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footer135.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2.xml" ContentType="application/vnd.openxmlformats-officedocument.wordprocessingml.header+xml"/>
  <Override PartName="/word/footer162.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5.xml" ContentType="application/vnd.openxmlformats-officedocument.wordprocessingml.header+xml"/>
  <Override PartName="/word/footer165.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header168.xml" ContentType="application/vnd.openxmlformats-officedocument.wordprocessingml.header+xml"/>
  <Override PartName="/word/footer168.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1.xml" ContentType="application/vnd.openxmlformats-officedocument.wordprocessingml.header+xml"/>
  <Override PartName="/word/footer171.xml" ContentType="application/vnd.openxmlformats-officedocument.wordprocessingml.footer+xml"/>
  <Override PartName="/word/header172.xml" ContentType="application/vnd.openxmlformats-officedocument.wordprocessingml.header+xml"/>
  <Override PartName="/word/header173.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header174.xml" ContentType="application/vnd.openxmlformats-officedocument.wordprocessingml.header+xml"/>
  <Override PartName="/word/footer174.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7.xml" ContentType="application/vnd.openxmlformats-officedocument.wordprocessingml.header+xml"/>
  <Override PartName="/word/footer177.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header180.xml" ContentType="application/vnd.openxmlformats-officedocument.wordprocessingml.header+xml"/>
  <Override PartName="/word/footer180.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183.xml" ContentType="application/vnd.openxmlformats-officedocument.wordprocessingml.header+xml"/>
  <Override PartName="/word/footer183.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186.xml" ContentType="application/vnd.openxmlformats-officedocument.wordprocessingml.header+xml"/>
  <Override PartName="/word/footer186.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89.xml" ContentType="application/vnd.openxmlformats-officedocument.wordprocessingml.header+xml"/>
  <Override PartName="/word/footer189.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header192.xml" ContentType="application/vnd.openxmlformats-officedocument.wordprocessingml.header+xml"/>
  <Override PartName="/word/footer192.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95.xml" ContentType="application/vnd.openxmlformats-officedocument.wordprocessingml.header+xml"/>
  <Override PartName="/word/footer195.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196.xml" ContentType="application/vnd.openxmlformats-officedocument.wordprocessingml.footer+xml"/>
  <Override PartName="/word/footer197.xml" ContentType="application/vnd.openxmlformats-officedocument.wordprocessingml.footer+xml"/>
  <Override PartName="/word/header198.xml" ContentType="application/vnd.openxmlformats-officedocument.wordprocessingml.header+xml"/>
  <Override PartName="/word/footer198.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header201.xml" ContentType="application/vnd.openxmlformats-officedocument.wordprocessingml.header+xml"/>
  <Override PartName="/word/footer201.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footer202.xml" ContentType="application/vnd.openxmlformats-officedocument.wordprocessingml.footer+xml"/>
  <Override PartName="/word/footer203.xml" ContentType="application/vnd.openxmlformats-officedocument.wordprocessingml.footer+xml"/>
  <Override PartName="/word/header204.xml" ContentType="application/vnd.openxmlformats-officedocument.wordprocessingml.header+xml"/>
  <Override PartName="/word/footer204.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footer205.xml" ContentType="application/vnd.openxmlformats-officedocument.wordprocessingml.footer+xml"/>
  <Override PartName="/word/footer206.xml" ContentType="application/vnd.openxmlformats-officedocument.wordprocessingml.footer+xml"/>
  <Override PartName="/word/header207.xml" ContentType="application/vnd.openxmlformats-officedocument.wordprocessingml.header+xml"/>
  <Override PartName="/word/footer207.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footer208.xml" ContentType="application/vnd.openxmlformats-officedocument.wordprocessingml.footer+xml"/>
  <Override PartName="/word/footer209.xml" ContentType="application/vnd.openxmlformats-officedocument.wordprocessingml.footer+xml"/>
  <Override PartName="/word/header210.xml" ContentType="application/vnd.openxmlformats-officedocument.wordprocessingml.header+xml"/>
  <Override PartName="/word/footer210.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header213.xml" ContentType="application/vnd.openxmlformats-officedocument.wordprocessingml.header+xml"/>
  <Override PartName="/word/footer213.xml" ContentType="application/vnd.openxmlformats-officedocument.wordprocessingml.footer+xml"/>
  <Override PartName="/word/header214.xml" ContentType="application/vnd.openxmlformats-officedocument.wordprocessingml.header+xml"/>
  <Override PartName="/word/header215.xml" ContentType="application/vnd.openxmlformats-officedocument.wordprocessingml.header+xml"/>
  <Override PartName="/word/footer214.xml" ContentType="application/vnd.openxmlformats-officedocument.wordprocessingml.footer+xml"/>
  <Override PartName="/word/footer215.xml" ContentType="application/vnd.openxmlformats-officedocument.wordprocessingml.footer+xml"/>
  <Override PartName="/word/header216.xml" ContentType="application/vnd.openxmlformats-officedocument.wordprocessingml.header+xml"/>
  <Override PartName="/word/footer216.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217.xml" ContentType="application/vnd.openxmlformats-officedocument.wordprocessingml.footer+xml"/>
  <Override PartName="/word/footer218.xml" ContentType="application/vnd.openxmlformats-officedocument.wordprocessingml.footer+xml"/>
  <Override PartName="/word/header219.xml" ContentType="application/vnd.openxmlformats-officedocument.wordprocessingml.header+xml"/>
  <Override PartName="/word/footer219.xml" ContentType="application/vnd.openxmlformats-officedocument.wordprocessingml.footer+xml"/>
  <Override PartName="/word/header220.xml" ContentType="application/vnd.openxmlformats-officedocument.wordprocessingml.header+xml"/>
  <Override PartName="/word/header221.xml" ContentType="application/vnd.openxmlformats-officedocument.wordprocessingml.header+xml"/>
  <Override PartName="/word/footer220.xml" ContentType="application/vnd.openxmlformats-officedocument.wordprocessingml.footer+xml"/>
  <Override PartName="/word/footer221.xml" ContentType="application/vnd.openxmlformats-officedocument.wordprocessingml.footer+xml"/>
  <Override PartName="/word/header222.xml" ContentType="application/vnd.openxmlformats-officedocument.wordprocessingml.header+xml"/>
  <Override PartName="/word/footer222.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header225.xml" ContentType="application/vnd.openxmlformats-officedocument.wordprocessingml.header+xml"/>
  <Override PartName="/word/footer225.xml" ContentType="application/vnd.openxmlformats-officedocument.wordprocessingml.footer+xml"/>
  <Override PartName="/word/header226.xml" ContentType="application/vnd.openxmlformats-officedocument.wordprocessingml.header+xml"/>
  <Override PartName="/word/header227.xml" ContentType="application/vnd.openxmlformats-officedocument.wordprocessingml.header+xml"/>
  <Override PartName="/word/footer226.xml" ContentType="application/vnd.openxmlformats-officedocument.wordprocessingml.footer+xml"/>
  <Override PartName="/word/footer227.xml" ContentType="application/vnd.openxmlformats-officedocument.wordprocessingml.footer+xml"/>
  <Override PartName="/word/header228.xml" ContentType="application/vnd.openxmlformats-officedocument.wordprocessingml.header+xml"/>
  <Override PartName="/word/footer228.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footer229.xml" ContentType="application/vnd.openxmlformats-officedocument.wordprocessingml.footer+xml"/>
  <Override PartName="/word/footer230.xml" ContentType="application/vnd.openxmlformats-officedocument.wordprocessingml.footer+xml"/>
  <Override PartName="/word/header231.xml" ContentType="application/vnd.openxmlformats-officedocument.wordprocessingml.header+xml"/>
  <Override PartName="/word/footer231.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footer232.xml" ContentType="application/vnd.openxmlformats-officedocument.wordprocessingml.footer+xml"/>
  <Override PartName="/word/footer233.xml" ContentType="application/vnd.openxmlformats-officedocument.wordprocessingml.footer+xml"/>
  <Override PartName="/word/header234.xml" ContentType="application/vnd.openxmlformats-officedocument.wordprocessingml.header+xml"/>
  <Override PartName="/word/footer234.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footer235.xml" ContentType="application/vnd.openxmlformats-officedocument.wordprocessingml.footer+xml"/>
  <Override PartName="/word/footer236.xml" ContentType="application/vnd.openxmlformats-officedocument.wordprocessingml.footer+xml"/>
  <Override PartName="/word/header237.xml" ContentType="application/vnd.openxmlformats-officedocument.wordprocessingml.header+xml"/>
  <Override PartName="/word/footer237.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footer238.xml" ContentType="application/vnd.openxmlformats-officedocument.wordprocessingml.footer+xml"/>
  <Override PartName="/word/footer239.xml" ContentType="application/vnd.openxmlformats-officedocument.wordprocessingml.footer+xml"/>
  <Override PartName="/word/header240.xml" ContentType="application/vnd.openxmlformats-officedocument.wordprocessingml.header+xml"/>
  <Override PartName="/word/footer240.xml" ContentType="application/vnd.openxmlformats-officedocument.wordprocessingml.footer+xml"/>
  <Override PartName="/word/header241.xml" ContentType="application/vnd.openxmlformats-officedocument.wordprocessingml.header+xml"/>
  <Override PartName="/word/header242.xml" ContentType="application/vnd.openxmlformats-officedocument.wordprocessingml.header+xml"/>
  <Override PartName="/word/footer241.xml" ContentType="application/vnd.openxmlformats-officedocument.wordprocessingml.footer+xml"/>
  <Override PartName="/word/footer242.xml" ContentType="application/vnd.openxmlformats-officedocument.wordprocessingml.footer+xml"/>
  <Override PartName="/word/header243.xml" ContentType="application/vnd.openxmlformats-officedocument.wordprocessingml.header+xml"/>
  <Override PartName="/word/footer243.xml" ContentType="application/vnd.openxmlformats-officedocument.wordprocessingml.footer+xml"/>
  <Override PartName="/word/header244.xml" ContentType="application/vnd.openxmlformats-officedocument.wordprocessingml.header+xml"/>
  <Override PartName="/word/header245.xml" ContentType="application/vnd.openxmlformats-officedocument.wordprocessingml.header+xml"/>
  <Override PartName="/word/footer244.xml" ContentType="application/vnd.openxmlformats-officedocument.wordprocessingml.footer+xml"/>
  <Override PartName="/word/footer245.xml" ContentType="application/vnd.openxmlformats-officedocument.wordprocessingml.footer+xml"/>
  <Override PartName="/word/header246.xml" ContentType="application/vnd.openxmlformats-officedocument.wordprocessingml.header+xml"/>
  <Override PartName="/word/footer246.xml" ContentType="application/vnd.openxmlformats-officedocument.wordprocessingml.footer+xml"/>
  <Override PartName="/word/header247.xml" ContentType="application/vnd.openxmlformats-officedocument.wordprocessingml.header+xml"/>
  <Override PartName="/word/header248.xml" ContentType="application/vnd.openxmlformats-officedocument.wordprocessingml.header+xml"/>
  <Override PartName="/word/footer247.xml" ContentType="application/vnd.openxmlformats-officedocument.wordprocessingml.footer+xml"/>
  <Override PartName="/word/footer248.xml" ContentType="application/vnd.openxmlformats-officedocument.wordprocessingml.footer+xml"/>
  <Override PartName="/word/header249.xml" ContentType="application/vnd.openxmlformats-officedocument.wordprocessingml.header+xml"/>
  <Override PartName="/word/footer249.xml" ContentType="application/vnd.openxmlformats-officedocument.wordprocessingml.footer+xml"/>
  <Override PartName="/word/header250.xml" ContentType="application/vnd.openxmlformats-officedocument.wordprocessingml.header+xml"/>
  <Override PartName="/word/header251.xml" ContentType="application/vnd.openxmlformats-officedocument.wordprocessingml.header+xml"/>
  <Override PartName="/word/footer250.xml" ContentType="application/vnd.openxmlformats-officedocument.wordprocessingml.footer+xml"/>
  <Override PartName="/word/footer251.xml" ContentType="application/vnd.openxmlformats-officedocument.wordprocessingml.footer+xml"/>
  <Override PartName="/word/header252.xml" ContentType="application/vnd.openxmlformats-officedocument.wordprocessingml.header+xml"/>
  <Override PartName="/word/footer252.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footer253.xml" ContentType="application/vnd.openxmlformats-officedocument.wordprocessingml.footer+xml"/>
  <Override PartName="/word/footer254.xml" ContentType="application/vnd.openxmlformats-officedocument.wordprocessingml.footer+xml"/>
  <Override PartName="/word/header255.xml" ContentType="application/vnd.openxmlformats-officedocument.wordprocessingml.header+xml"/>
  <Override PartName="/word/footer255.xml" ContentType="application/vnd.openxmlformats-officedocument.wordprocessingml.footer+xml"/>
  <Override PartName="/word/header256.xml" ContentType="application/vnd.openxmlformats-officedocument.wordprocessingml.header+xml"/>
  <Override PartName="/word/header257.xml" ContentType="application/vnd.openxmlformats-officedocument.wordprocessingml.header+xml"/>
  <Override PartName="/word/footer256.xml" ContentType="application/vnd.openxmlformats-officedocument.wordprocessingml.footer+xml"/>
  <Override PartName="/word/footer257.xml" ContentType="application/vnd.openxmlformats-officedocument.wordprocessingml.footer+xml"/>
  <Override PartName="/word/header258.xml" ContentType="application/vnd.openxmlformats-officedocument.wordprocessingml.header+xml"/>
  <Override PartName="/word/footer258.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footer259.xml" ContentType="application/vnd.openxmlformats-officedocument.wordprocessingml.footer+xml"/>
  <Override PartName="/word/footer260.xml" ContentType="application/vnd.openxmlformats-officedocument.wordprocessingml.footer+xml"/>
  <Override PartName="/word/header261.xml" ContentType="application/vnd.openxmlformats-officedocument.wordprocessingml.header+xml"/>
  <Override PartName="/word/footer261.xml" ContentType="application/vnd.openxmlformats-officedocument.wordprocessingml.footer+xml"/>
  <Override PartName="/word/header262.xml" ContentType="application/vnd.openxmlformats-officedocument.wordprocessingml.header+xml"/>
  <Override PartName="/word/header263.xml" ContentType="application/vnd.openxmlformats-officedocument.wordprocessingml.header+xml"/>
  <Override PartName="/word/footer262.xml" ContentType="application/vnd.openxmlformats-officedocument.wordprocessingml.footer+xml"/>
  <Override PartName="/word/footer263.xml" ContentType="application/vnd.openxmlformats-officedocument.wordprocessingml.footer+xml"/>
  <Override PartName="/word/header264.xml" ContentType="application/vnd.openxmlformats-officedocument.wordprocessingml.header+xml"/>
  <Override PartName="/word/footer264.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footer265.xml" ContentType="application/vnd.openxmlformats-officedocument.wordprocessingml.footer+xml"/>
  <Override PartName="/word/footer266.xml" ContentType="application/vnd.openxmlformats-officedocument.wordprocessingml.footer+xml"/>
  <Override PartName="/word/header267.xml" ContentType="application/vnd.openxmlformats-officedocument.wordprocessingml.header+xml"/>
  <Override PartName="/word/footer267.xml" ContentType="application/vnd.openxmlformats-officedocument.wordprocessingml.footer+xml"/>
  <Override PartName="/word/header268.xml" ContentType="application/vnd.openxmlformats-officedocument.wordprocessingml.header+xml"/>
  <Override PartName="/word/header269.xml" ContentType="application/vnd.openxmlformats-officedocument.wordprocessingml.header+xml"/>
  <Override PartName="/word/footer268.xml" ContentType="application/vnd.openxmlformats-officedocument.wordprocessingml.footer+xml"/>
  <Override PartName="/word/footer269.xml" ContentType="application/vnd.openxmlformats-officedocument.wordprocessingml.footer+xml"/>
  <Override PartName="/word/header270.xml" ContentType="application/vnd.openxmlformats-officedocument.wordprocessingml.header+xml"/>
  <Override PartName="/word/footer270.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footer271.xml" ContentType="application/vnd.openxmlformats-officedocument.wordprocessingml.footer+xml"/>
  <Override PartName="/word/footer272.xml" ContentType="application/vnd.openxmlformats-officedocument.wordprocessingml.footer+xml"/>
  <Override PartName="/word/header273.xml" ContentType="application/vnd.openxmlformats-officedocument.wordprocessingml.header+xml"/>
  <Override PartName="/word/footer273.xml" ContentType="application/vnd.openxmlformats-officedocument.wordprocessingml.footer+xml"/>
  <Override PartName="/word/header274.xml" ContentType="application/vnd.openxmlformats-officedocument.wordprocessingml.header+xml"/>
  <Override PartName="/word/header275.xml" ContentType="application/vnd.openxmlformats-officedocument.wordprocessingml.header+xml"/>
  <Override PartName="/word/footer274.xml" ContentType="application/vnd.openxmlformats-officedocument.wordprocessingml.footer+xml"/>
  <Override PartName="/word/footer275.xml" ContentType="application/vnd.openxmlformats-officedocument.wordprocessingml.footer+xml"/>
  <Override PartName="/word/header276.xml" ContentType="application/vnd.openxmlformats-officedocument.wordprocessingml.header+xml"/>
  <Override PartName="/word/footer276.xml" ContentType="application/vnd.openxmlformats-officedocument.wordprocessingml.footer+xml"/>
  <Override PartName="/word/header277.xml" ContentType="application/vnd.openxmlformats-officedocument.wordprocessingml.header+xml"/>
  <Override PartName="/word/header278.xml" ContentType="application/vnd.openxmlformats-officedocument.wordprocessingml.header+xml"/>
  <Override PartName="/word/footer277.xml" ContentType="application/vnd.openxmlformats-officedocument.wordprocessingml.footer+xml"/>
  <Override PartName="/word/footer278.xml" ContentType="application/vnd.openxmlformats-officedocument.wordprocessingml.footer+xml"/>
  <Override PartName="/word/header279.xml" ContentType="application/vnd.openxmlformats-officedocument.wordprocessingml.header+xml"/>
  <Override PartName="/word/footer279.xml" ContentType="application/vnd.openxmlformats-officedocument.wordprocessingml.footer+xml"/>
  <Override PartName="/word/header280.xml" ContentType="application/vnd.openxmlformats-officedocument.wordprocessingml.header+xml"/>
  <Override PartName="/word/header281.xml" ContentType="application/vnd.openxmlformats-officedocument.wordprocessingml.header+xml"/>
  <Override PartName="/word/footer280.xml" ContentType="application/vnd.openxmlformats-officedocument.wordprocessingml.footer+xml"/>
  <Override PartName="/word/footer281.xml" ContentType="application/vnd.openxmlformats-officedocument.wordprocessingml.footer+xml"/>
  <Override PartName="/word/header282.xml" ContentType="application/vnd.openxmlformats-officedocument.wordprocessingml.header+xml"/>
  <Override PartName="/word/footer282.xml" ContentType="application/vnd.openxmlformats-officedocument.wordprocessingml.footer+xml"/>
  <Override PartName="/word/header283.xml" ContentType="application/vnd.openxmlformats-officedocument.wordprocessingml.header+xml"/>
  <Override PartName="/word/header284.xml" ContentType="application/vnd.openxmlformats-officedocument.wordprocessingml.header+xml"/>
  <Override PartName="/word/footer283.xml" ContentType="application/vnd.openxmlformats-officedocument.wordprocessingml.footer+xml"/>
  <Override PartName="/word/footer284.xml" ContentType="application/vnd.openxmlformats-officedocument.wordprocessingml.footer+xml"/>
  <Override PartName="/word/header285.xml" ContentType="application/vnd.openxmlformats-officedocument.wordprocessingml.header+xml"/>
  <Override PartName="/word/footer285.xml" ContentType="application/vnd.openxmlformats-officedocument.wordprocessingml.footer+xml"/>
  <Override PartName="/word/header286.xml" ContentType="application/vnd.openxmlformats-officedocument.wordprocessingml.header+xml"/>
  <Override PartName="/word/header287.xml" ContentType="application/vnd.openxmlformats-officedocument.wordprocessingml.header+xml"/>
  <Override PartName="/word/footer286.xml" ContentType="application/vnd.openxmlformats-officedocument.wordprocessingml.footer+xml"/>
  <Override PartName="/word/footer287.xml" ContentType="application/vnd.openxmlformats-officedocument.wordprocessingml.footer+xml"/>
  <Override PartName="/word/header288.xml" ContentType="application/vnd.openxmlformats-officedocument.wordprocessingml.header+xml"/>
  <Override PartName="/word/footer288.xml" ContentType="application/vnd.openxmlformats-officedocument.wordprocessingml.footer+xml"/>
  <Override PartName="/word/header289.xml" ContentType="application/vnd.openxmlformats-officedocument.wordprocessingml.header+xml"/>
  <Override PartName="/word/header290.xml" ContentType="application/vnd.openxmlformats-officedocument.wordprocessingml.header+xml"/>
  <Override PartName="/word/footer289.xml" ContentType="application/vnd.openxmlformats-officedocument.wordprocessingml.footer+xml"/>
  <Override PartName="/word/footer290.xml" ContentType="application/vnd.openxmlformats-officedocument.wordprocessingml.footer+xml"/>
  <Override PartName="/word/header291.xml" ContentType="application/vnd.openxmlformats-officedocument.wordprocessingml.header+xml"/>
  <Override PartName="/word/footer291.xml" ContentType="application/vnd.openxmlformats-officedocument.wordprocessingml.footer+xml"/>
  <Override PartName="/word/header292.xml" ContentType="application/vnd.openxmlformats-officedocument.wordprocessingml.header+xml"/>
  <Override PartName="/word/header293.xml" ContentType="application/vnd.openxmlformats-officedocument.wordprocessingml.header+xml"/>
  <Override PartName="/word/footer292.xml" ContentType="application/vnd.openxmlformats-officedocument.wordprocessingml.footer+xml"/>
  <Override PartName="/word/footer293.xml" ContentType="application/vnd.openxmlformats-officedocument.wordprocessingml.footer+xml"/>
  <Override PartName="/word/header294.xml" ContentType="application/vnd.openxmlformats-officedocument.wordprocessingml.header+xml"/>
  <Override PartName="/word/footer294.xml" ContentType="application/vnd.openxmlformats-officedocument.wordprocessingml.footer+xml"/>
  <Override PartName="/word/header295.xml" ContentType="application/vnd.openxmlformats-officedocument.wordprocessingml.header+xml"/>
  <Override PartName="/word/header296.xml" ContentType="application/vnd.openxmlformats-officedocument.wordprocessingml.header+xml"/>
  <Override PartName="/word/footer295.xml" ContentType="application/vnd.openxmlformats-officedocument.wordprocessingml.footer+xml"/>
  <Override PartName="/word/footer296.xml" ContentType="application/vnd.openxmlformats-officedocument.wordprocessingml.footer+xml"/>
  <Override PartName="/word/header297.xml" ContentType="application/vnd.openxmlformats-officedocument.wordprocessingml.header+xml"/>
  <Override PartName="/word/footer297.xml" ContentType="application/vnd.openxmlformats-officedocument.wordprocessingml.footer+xml"/>
  <Override PartName="/word/header298.xml" ContentType="application/vnd.openxmlformats-officedocument.wordprocessingml.header+xml"/>
  <Override PartName="/word/header299.xml" ContentType="application/vnd.openxmlformats-officedocument.wordprocessingml.header+xml"/>
  <Override PartName="/word/footer298.xml" ContentType="application/vnd.openxmlformats-officedocument.wordprocessingml.footer+xml"/>
  <Override PartName="/word/footer299.xml" ContentType="application/vnd.openxmlformats-officedocument.wordprocessingml.footer+xml"/>
  <Override PartName="/word/header300.xml" ContentType="application/vnd.openxmlformats-officedocument.wordprocessingml.header+xml"/>
  <Override PartName="/word/footer300.xml" ContentType="application/vnd.openxmlformats-officedocument.wordprocessingml.footer+xml"/>
  <Override PartName="/word/header301.xml" ContentType="application/vnd.openxmlformats-officedocument.wordprocessingml.header+xml"/>
  <Override PartName="/word/header302.xml" ContentType="application/vnd.openxmlformats-officedocument.wordprocessingml.header+xml"/>
  <Override PartName="/word/footer301.xml" ContentType="application/vnd.openxmlformats-officedocument.wordprocessingml.footer+xml"/>
  <Override PartName="/word/footer302.xml" ContentType="application/vnd.openxmlformats-officedocument.wordprocessingml.footer+xml"/>
  <Override PartName="/word/header303.xml" ContentType="application/vnd.openxmlformats-officedocument.wordprocessingml.header+xml"/>
  <Override PartName="/word/footer303.xml" ContentType="application/vnd.openxmlformats-officedocument.wordprocessingml.footer+xml"/>
  <Override PartName="/word/header304.xml" ContentType="application/vnd.openxmlformats-officedocument.wordprocessingml.header+xml"/>
  <Override PartName="/word/header305.xml" ContentType="application/vnd.openxmlformats-officedocument.wordprocessingml.header+xml"/>
  <Override PartName="/word/footer304.xml" ContentType="application/vnd.openxmlformats-officedocument.wordprocessingml.footer+xml"/>
  <Override PartName="/word/footer305.xml" ContentType="application/vnd.openxmlformats-officedocument.wordprocessingml.footer+xml"/>
  <Override PartName="/word/header306.xml" ContentType="application/vnd.openxmlformats-officedocument.wordprocessingml.header+xml"/>
  <Override PartName="/word/footer306.xml" ContentType="application/vnd.openxmlformats-officedocument.wordprocessingml.footer+xml"/>
  <Override PartName="/word/header307.xml" ContentType="application/vnd.openxmlformats-officedocument.wordprocessingml.header+xml"/>
  <Override PartName="/word/header308.xml" ContentType="application/vnd.openxmlformats-officedocument.wordprocessingml.header+xml"/>
  <Override PartName="/word/footer307.xml" ContentType="application/vnd.openxmlformats-officedocument.wordprocessingml.footer+xml"/>
  <Override PartName="/word/footer308.xml" ContentType="application/vnd.openxmlformats-officedocument.wordprocessingml.footer+xml"/>
  <Override PartName="/word/header309.xml" ContentType="application/vnd.openxmlformats-officedocument.wordprocessingml.header+xml"/>
  <Override PartName="/word/footer309.xml" ContentType="application/vnd.openxmlformats-officedocument.wordprocessingml.footer+xml"/>
  <Override PartName="/word/header310.xml" ContentType="application/vnd.openxmlformats-officedocument.wordprocessingml.header+xml"/>
  <Override PartName="/word/header311.xml" ContentType="application/vnd.openxmlformats-officedocument.wordprocessingml.header+xml"/>
  <Override PartName="/word/footer310.xml" ContentType="application/vnd.openxmlformats-officedocument.wordprocessingml.footer+xml"/>
  <Override PartName="/word/footer311.xml" ContentType="application/vnd.openxmlformats-officedocument.wordprocessingml.footer+xml"/>
  <Override PartName="/word/header312.xml" ContentType="application/vnd.openxmlformats-officedocument.wordprocessingml.header+xml"/>
  <Override PartName="/word/footer3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075EB0" w14:textId="77777777" w:rsidR="00053D93" w:rsidRDefault="00260B75">
      <w:pPr>
        <w:spacing w:after="1475" w:line="265" w:lineRule="auto"/>
        <w:ind w:left="10" w:right="2477" w:hanging="10"/>
        <w:jc w:val="right"/>
      </w:pPr>
      <w:r>
        <w:rPr>
          <w:sz w:val="30"/>
        </w:rPr>
        <w:t>CONTRALORÍA GENERAL DE CUENTAS</w:t>
      </w:r>
    </w:p>
    <w:p w14:paraId="4CC83225" w14:textId="77777777" w:rsidR="00053D93" w:rsidRDefault="00260B75">
      <w:pPr>
        <w:spacing w:after="3"/>
        <w:ind w:left="10" w:right="43" w:hanging="10"/>
      </w:pPr>
      <w:r>
        <w:rPr>
          <w:rFonts w:ascii="Times New Roman" w:eastAsia="Times New Roman" w:hAnsi="Times New Roman" w:cs="Times New Roman"/>
          <w:sz w:val="74"/>
        </w:rPr>
        <w:t>1</w:t>
      </w:r>
    </w:p>
    <w:p w14:paraId="373895BA" w14:textId="77777777" w:rsidR="00053D93" w:rsidRDefault="00260B75">
      <w:pPr>
        <w:spacing w:after="18" w:line="248" w:lineRule="auto"/>
        <w:ind w:left="4474" w:hanging="3"/>
        <w:jc w:val="both"/>
      </w:pPr>
      <w:r>
        <w:rPr>
          <w:sz w:val="28"/>
        </w:rPr>
        <w:t>INFORME DE AUDITORÍA</w:t>
      </w:r>
    </w:p>
    <w:p w14:paraId="10D4DAB6" w14:textId="77777777" w:rsidR="00053D93" w:rsidRDefault="00260B75">
      <w:pPr>
        <w:spacing w:after="272" w:line="248" w:lineRule="auto"/>
        <w:ind w:left="3949" w:hanging="3"/>
        <w:jc w:val="both"/>
      </w:pPr>
      <w:r>
        <w:rPr>
          <w:sz w:val="28"/>
        </w:rPr>
        <w:t>FINANCIERA Y DE CUMPLIMIENTO</w:t>
      </w:r>
    </w:p>
    <w:p w14:paraId="50D73F4C" w14:textId="77777777" w:rsidR="00053D93" w:rsidRDefault="00260B75">
      <w:pPr>
        <w:tabs>
          <w:tab w:val="center" w:pos="5832"/>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MINISTERIO DE EDUCACION</w:t>
      </w:r>
    </w:p>
    <w:p w14:paraId="6CA435E0" w14:textId="77777777" w:rsidR="00053D93" w:rsidRDefault="00260B75">
      <w:pPr>
        <w:spacing w:after="302" w:line="265" w:lineRule="auto"/>
        <w:ind w:left="10" w:right="1966" w:hanging="10"/>
        <w:jc w:val="right"/>
      </w:pPr>
      <w:r>
        <w:rPr>
          <w:sz w:val="30"/>
        </w:rPr>
        <w:t>DEL 01 DE ENERO AL 31 DE DICIEMBRE DE 2024</w:t>
      </w:r>
    </w:p>
    <w:p w14:paraId="72B3C876" w14:textId="77777777" w:rsidR="00053D93" w:rsidRDefault="00260B75">
      <w:pPr>
        <w:spacing w:after="0"/>
        <w:ind w:left="17" w:hanging="10"/>
      </w:pPr>
      <w:r>
        <w:rPr>
          <w:rFonts w:ascii="Times New Roman" w:eastAsia="Times New Roman" w:hAnsi="Times New Roman" w:cs="Times New Roman"/>
          <w:sz w:val="82"/>
        </w:rPr>
        <w:t>1</w:t>
      </w:r>
    </w:p>
    <w:p w14:paraId="761E3AE5" w14:textId="77777777" w:rsidR="00053D93" w:rsidRDefault="00260B75">
      <w:pPr>
        <w:spacing w:after="3"/>
        <w:ind w:left="24" w:hanging="10"/>
      </w:pPr>
      <w:r>
        <w:rPr>
          <w:rFonts w:ascii="Times New Roman" w:eastAsia="Times New Roman" w:hAnsi="Times New Roman" w:cs="Times New Roman"/>
          <w:sz w:val="86"/>
        </w:rPr>
        <w:t>1</w:t>
      </w:r>
    </w:p>
    <w:p w14:paraId="00C64FEB" w14:textId="77777777" w:rsidR="00053D93" w:rsidRDefault="00260B75">
      <w:pPr>
        <w:spacing w:after="0"/>
        <w:ind w:left="17" w:hanging="10"/>
      </w:pPr>
      <w:r>
        <w:rPr>
          <w:rFonts w:ascii="Times New Roman" w:eastAsia="Times New Roman" w:hAnsi="Times New Roman" w:cs="Times New Roman"/>
          <w:sz w:val="88"/>
        </w:rPr>
        <w:t>1</w:t>
      </w:r>
    </w:p>
    <w:p w14:paraId="52F48D10" w14:textId="77777777" w:rsidR="00053D93" w:rsidRDefault="00260B75">
      <w:pPr>
        <w:spacing w:after="512"/>
        <w:ind w:left="17" w:hanging="10"/>
      </w:pPr>
      <w:r>
        <w:rPr>
          <w:noProof/>
        </w:rPr>
        <w:drawing>
          <wp:anchor distT="0" distB="0" distL="114300" distR="114300" simplePos="0" relativeHeight="251658240" behindDoc="0" locked="0" layoutInCell="1" allowOverlap="0" wp14:anchorId="7AD1D0A7" wp14:editId="5E3E7DFE">
            <wp:simplePos x="0" y="0"/>
            <wp:positionH relativeFrom="page">
              <wp:posOffset>649224</wp:posOffset>
            </wp:positionH>
            <wp:positionV relativeFrom="page">
              <wp:posOffset>9253728</wp:posOffset>
            </wp:positionV>
            <wp:extent cx="1156716" cy="475487"/>
            <wp:effectExtent l="0" t="0" r="0" b="0"/>
            <wp:wrapSquare wrapText="bothSides"/>
            <wp:docPr id="2383" name="Picture 2383"/>
            <wp:cNvGraphicFramePr/>
            <a:graphic xmlns:a="http://schemas.openxmlformats.org/drawingml/2006/main">
              <a:graphicData uri="http://schemas.openxmlformats.org/drawingml/2006/picture">
                <pic:pic xmlns:pic="http://schemas.openxmlformats.org/drawingml/2006/picture">
                  <pic:nvPicPr>
                    <pic:cNvPr id="2383" name="Picture 2383"/>
                    <pic:cNvPicPr/>
                  </pic:nvPicPr>
                  <pic:blipFill>
                    <a:blip r:embed="rId7"/>
                    <a:stretch>
                      <a:fillRect/>
                    </a:stretch>
                  </pic:blipFill>
                  <pic:spPr>
                    <a:xfrm>
                      <a:off x="0" y="0"/>
                      <a:ext cx="1156716" cy="475487"/>
                    </a:xfrm>
                    <a:prstGeom prst="rect">
                      <a:avLst/>
                    </a:prstGeom>
                  </pic:spPr>
                </pic:pic>
              </a:graphicData>
            </a:graphic>
          </wp:anchor>
        </w:drawing>
      </w:r>
      <w:r>
        <w:rPr>
          <w:noProof/>
        </w:rPr>
        <w:drawing>
          <wp:anchor distT="0" distB="0" distL="114300" distR="114300" simplePos="0" relativeHeight="251659264" behindDoc="0" locked="0" layoutInCell="1" allowOverlap="0" wp14:anchorId="1E7465B2" wp14:editId="726E3122">
            <wp:simplePos x="0" y="0"/>
            <wp:positionH relativeFrom="page">
              <wp:posOffset>429768</wp:posOffset>
            </wp:positionH>
            <wp:positionV relativeFrom="page">
              <wp:posOffset>9692640</wp:posOffset>
            </wp:positionV>
            <wp:extent cx="9144" cy="9144"/>
            <wp:effectExtent l="0" t="0" r="0" b="0"/>
            <wp:wrapSquare wrapText="bothSides"/>
            <wp:docPr id="2204" name="Picture 2204"/>
            <wp:cNvGraphicFramePr/>
            <a:graphic xmlns:a="http://schemas.openxmlformats.org/drawingml/2006/main">
              <a:graphicData uri="http://schemas.openxmlformats.org/drawingml/2006/picture">
                <pic:pic xmlns:pic="http://schemas.openxmlformats.org/drawingml/2006/picture">
                  <pic:nvPicPr>
                    <pic:cNvPr id="2204" name="Picture 2204"/>
                    <pic:cNvPicPr/>
                  </pic:nvPicPr>
                  <pic:blipFill>
                    <a:blip r:embed="rId8"/>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660288" behindDoc="0" locked="0" layoutInCell="1" allowOverlap="0" wp14:anchorId="085FCC88" wp14:editId="5E363587">
            <wp:simplePos x="0" y="0"/>
            <wp:positionH relativeFrom="page">
              <wp:posOffset>214884</wp:posOffset>
            </wp:positionH>
            <wp:positionV relativeFrom="page">
              <wp:posOffset>9715500</wp:posOffset>
            </wp:positionV>
            <wp:extent cx="77724" cy="32003"/>
            <wp:effectExtent l="0" t="0" r="0" b="0"/>
            <wp:wrapSquare wrapText="bothSides"/>
            <wp:docPr id="2205" name="Picture 2205"/>
            <wp:cNvGraphicFramePr/>
            <a:graphic xmlns:a="http://schemas.openxmlformats.org/drawingml/2006/main">
              <a:graphicData uri="http://schemas.openxmlformats.org/drawingml/2006/picture">
                <pic:pic xmlns:pic="http://schemas.openxmlformats.org/drawingml/2006/picture">
                  <pic:nvPicPr>
                    <pic:cNvPr id="2205" name="Picture 2205"/>
                    <pic:cNvPicPr/>
                  </pic:nvPicPr>
                  <pic:blipFill>
                    <a:blip r:embed="rId9"/>
                    <a:stretch>
                      <a:fillRect/>
                    </a:stretch>
                  </pic:blipFill>
                  <pic:spPr>
                    <a:xfrm>
                      <a:off x="0" y="0"/>
                      <a:ext cx="77724" cy="32003"/>
                    </a:xfrm>
                    <a:prstGeom prst="rect">
                      <a:avLst/>
                    </a:prstGeom>
                  </pic:spPr>
                </pic:pic>
              </a:graphicData>
            </a:graphic>
          </wp:anchor>
        </w:drawing>
      </w:r>
      <w:r>
        <w:rPr>
          <w:rFonts w:ascii="Times New Roman" w:eastAsia="Times New Roman" w:hAnsi="Times New Roman" w:cs="Times New Roman"/>
          <w:sz w:val="88"/>
        </w:rPr>
        <w:t>1</w:t>
      </w:r>
    </w:p>
    <w:p w14:paraId="0AD47C7A" w14:textId="77777777" w:rsidR="00053D93" w:rsidRDefault="00260B75">
      <w:pPr>
        <w:spacing w:after="3262" w:line="265" w:lineRule="auto"/>
        <w:ind w:left="60" w:right="65" w:hanging="10"/>
      </w:pPr>
      <w:r>
        <w:rPr>
          <w:noProof/>
        </w:rPr>
        <w:drawing>
          <wp:inline distT="0" distB="0" distL="0" distR="0" wp14:anchorId="60B057C1" wp14:editId="68236D8A">
            <wp:extent cx="45720" cy="27432"/>
            <wp:effectExtent l="0" t="0" r="0" b="0"/>
            <wp:docPr id="2203" name="Picture 2203"/>
            <wp:cNvGraphicFramePr/>
            <a:graphic xmlns:a="http://schemas.openxmlformats.org/drawingml/2006/main">
              <a:graphicData uri="http://schemas.openxmlformats.org/drawingml/2006/picture">
                <pic:pic xmlns:pic="http://schemas.openxmlformats.org/drawingml/2006/picture">
                  <pic:nvPicPr>
                    <pic:cNvPr id="2203" name="Picture 2203"/>
                    <pic:cNvPicPr/>
                  </pic:nvPicPr>
                  <pic:blipFill>
                    <a:blip r:embed="rId10"/>
                    <a:stretch>
                      <a:fillRect/>
                    </a:stretch>
                  </pic:blipFill>
                  <pic:spPr>
                    <a:xfrm>
                      <a:off x="0" y="0"/>
                      <a:ext cx="45720" cy="27432"/>
                    </a:xfrm>
                    <a:prstGeom prst="rect">
                      <a:avLst/>
                    </a:prstGeom>
                  </pic:spPr>
                </pic:pic>
              </a:graphicData>
            </a:graphic>
          </wp:inline>
        </w:drawing>
      </w:r>
      <w:r>
        <w:rPr>
          <w:rFonts w:ascii="Times New Roman" w:eastAsia="Times New Roman" w:hAnsi="Times New Roman" w:cs="Times New Roman"/>
          <w:sz w:val="66"/>
        </w:rPr>
        <w:t>1</w:t>
      </w:r>
    </w:p>
    <w:p w14:paraId="14B81536" w14:textId="77777777" w:rsidR="00053D93" w:rsidRDefault="00260B75">
      <w:pPr>
        <w:spacing w:after="402" w:line="248" w:lineRule="auto"/>
        <w:ind w:left="1709" w:hanging="3"/>
        <w:jc w:val="both"/>
      </w:pPr>
      <w:r>
        <w:rPr>
          <w:sz w:val="28"/>
        </w:rPr>
        <w:lastRenderedPageBreak/>
        <w:t>GUATEMALA, MAYO DE 2025</w:t>
      </w:r>
    </w:p>
    <w:p w14:paraId="751277A1" w14:textId="77777777" w:rsidR="00053D93" w:rsidRDefault="00260B75">
      <w:pPr>
        <w:spacing w:after="3"/>
        <w:ind w:left="24" w:right="10159" w:hanging="10"/>
      </w:pPr>
      <w:r>
        <w:rPr>
          <w:rFonts w:ascii="Times New Roman" w:eastAsia="Times New Roman" w:hAnsi="Times New Roman" w:cs="Times New Roman"/>
          <w:sz w:val="72"/>
        </w:rPr>
        <w:t>1</w:t>
      </w:r>
    </w:p>
    <w:p w14:paraId="60845279" w14:textId="77777777" w:rsidR="00053D93" w:rsidRDefault="00053D93">
      <w:pPr>
        <w:sectPr w:rsidR="00053D93">
          <w:headerReference w:type="even" r:id="rId11"/>
          <w:headerReference w:type="default" r:id="rId12"/>
          <w:footerReference w:type="even" r:id="rId13"/>
          <w:footerReference w:type="default" r:id="rId14"/>
          <w:headerReference w:type="first" r:id="rId15"/>
          <w:footerReference w:type="first" r:id="rId16"/>
          <w:pgSz w:w="12290" w:h="15912"/>
          <w:pgMar w:top="1440" w:right="1440" w:bottom="1440" w:left="310" w:header="720" w:footer="720" w:gutter="0"/>
          <w:cols w:space="720"/>
        </w:sectPr>
      </w:pPr>
    </w:p>
    <w:p w14:paraId="4F5CD6E1" w14:textId="77777777" w:rsidR="00053D93" w:rsidRDefault="00260B75">
      <w:pPr>
        <w:pStyle w:val="Ttulo1"/>
        <w:spacing w:after="0" w:line="259" w:lineRule="auto"/>
        <w:ind w:left="482" w:right="0" w:firstLine="0"/>
        <w:jc w:val="left"/>
      </w:pPr>
      <w:r>
        <w:rPr>
          <w:noProof/>
        </w:rPr>
        <w:drawing>
          <wp:anchor distT="0" distB="0" distL="114300" distR="114300" simplePos="0" relativeHeight="251661312" behindDoc="0" locked="0" layoutInCell="1" allowOverlap="0" wp14:anchorId="322E2C96" wp14:editId="30714E16">
            <wp:simplePos x="0" y="0"/>
            <wp:positionH relativeFrom="column">
              <wp:posOffset>-448055</wp:posOffset>
            </wp:positionH>
            <wp:positionV relativeFrom="paragraph">
              <wp:posOffset>-196595</wp:posOffset>
            </wp:positionV>
            <wp:extent cx="105156" cy="850392"/>
            <wp:effectExtent l="0" t="0" r="0" b="0"/>
            <wp:wrapSquare wrapText="bothSides"/>
            <wp:docPr id="8018" name="Picture 8018"/>
            <wp:cNvGraphicFramePr/>
            <a:graphic xmlns:a="http://schemas.openxmlformats.org/drawingml/2006/main">
              <a:graphicData uri="http://schemas.openxmlformats.org/drawingml/2006/picture">
                <pic:pic xmlns:pic="http://schemas.openxmlformats.org/drawingml/2006/picture">
                  <pic:nvPicPr>
                    <pic:cNvPr id="8018" name="Picture 8018"/>
                    <pic:cNvPicPr/>
                  </pic:nvPicPr>
                  <pic:blipFill>
                    <a:blip r:embed="rId17"/>
                    <a:stretch>
                      <a:fillRect/>
                    </a:stretch>
                  </pic:blipFill>
                  <pic:spPr>
                    <a:xfrm>
                      <a:off x="0" y="0"/>
                      <a:ext cx="105156" cy="850392"/>
                    </a:xfrm>
                    <a:prstGeom prst="rect">
                      <a:avLst/>
                    </a:prstGeom>
                  </pic:spPr>
                </pic:pic>
              </a:graphicData>
            </a:graphic>
          </wp:anchor>
        </w:drawing>
      </w:r>
      <w:r>
        <w:rPr>
          <w:rFonts w:ascii="Times New Roman" w:eastAsia="Times New Roman" w:hAnsi="Times New Roman" w:cs="Times New Roman"/>
          <w:sz w:val="92"/>
        </w:rPr>
        <w:t>cGc</w:t>
      </w:r>
    </w:p>
    <w:p w14:paraId="37AC574C" w14:textId="77777777" w:rsidR="00053D93" w:rsidRDefault="00260B75">
      <w:pPr>
        <w:spacing w:after="0"/>
      </w:pPr>
      <w:r>
        <w:rPr>
          <w:rFonts w:ascii="Times New Roman" w:eastAsia="Times New Roman" w:hAnsi="Times New Roman" w:cs="Times New Roman"/>
        </w:rPr>
        <w:t>Contraloría General de Cuentas</w:t>
      </w:r>
    </w:p>
    <w:p w14:paraId="699DC51D" w14:textId="77777777" w:rsidR="00053D93" w:rsidRDefault="00260B75">
      <w:pPr>
        <w:spacing w:after="1973"/>
        <w:ind w:left="36"/>
        <w:jc w:val="center"/>
      </w:pPr>
      <w:r>
        <w:rPr>
          <w:rFonts w:ascii="Times New Roman" w:eastAsia="Times New Roman" w:hAnsi="Times New Roman" w:cs="Times New Roman"/>
          <w:sz w:val="10"/>
        </w:rPr>
        <w:t>C,VATLMAIA CA</w:t>
      </w:r>
    </w:p>
    <w:p w14:paraId="649FE6D0" w14:textId="77777777" w:rsidR="00053D93" w:rsidRDefault="00260B75">
      <w:pPr>
        <w:spacing w:after="4" w:line="253" w:lineRule="auto"/>
        <w:ind w:left="10" w:right="7" w:hanging="10"/>
        <w:jc w:val="center"/>
      </w:pPr>
      <w:r>
        <w:rPr>
          <w:sz w:val="26"/>
        </w:rPr>
        <w:t>Licenciada</w:t>
      </w:r>
    </w:p>
    <w:p w14:paraId="6566AE60" w14:textId="77777777" w:rsidR="00053D93" w:rsidRDefault="00260B75">
      <w:pPr>
        <w:spacing w:after="1212" w:line="216" w:lineRule="auto"/>
        <w:ind w:left="1102" w:firstLine="252"/>
      </w:pPr>
      <w:r>
        <w:rPr>
          <w:rFonts w:ascii="Times New Roman" w:eastAsia="Times New Roman" w:hAnsi="Times New Roman" w:cs="Times New Roman"/>
          <w:sz w:val="40"/>
        </w:rPr>
        <w:t>Prevención buena gobernanzaeonstruyen Confianza</w:t>
      </w:r>
    </w:p>
    <w:p w14:paraId="2F3C7989" w14:textId="77777777" w:rsidR="00053D93" w:rsidRDefault="00260B75">
      <w:pPr>
        <w:spacing w:after="17" w:line="247" w:lineRule="auto"/>
        <w:ind w:left="14" w:right="14" w:firstLine="4"/>
        <w:jc w:val="both"/>
      </w:pPr>
      <w:r>
        <w:rPr>
          <w:sz w:val="26"/>
        </w:rPr>
        <w:t>Guatemala, 22 de mayo de 2025</w:t>
      </w:r>
    </w:p>
    <w:p w14:paraId="3E0F3C62" w14:textId="77777777" w:rsidR="00053D93" w:rsidRDefault="00053D93">
      <w:pPr>
        <w:sectPr w:rsidR="00053D93">
          <w:type w:val="continuous"/>
          <w:pgSz w:w="12290" w:h="15912"/>
          <w:pgMar w:top="1440" w:right="677" w:bottom="1440" w:left="1073" w:header="720" w:footer="720" w:gutter="0"/>
          <w:cols w:num="2" w:space="720" w:equalWidth="0">
            <w:col w:w="2628" w:space="3247"/>
            <w:col w:w="4666"/>
          </w:cols>
        </w:sectPr>
      </w:pPr>
    </w:p>
    <w:p w14:paraId="698C5D9B" w14:textId="77777777" w:rsidR="00053D93" w:rsidRDefault="00260B75">
      <w:pPr>
        <w:spacing w:after="251" w:line="247" w:lineRule="auto"/>
        <w:ind w:left="1505" w:right="2794" w:firstLine="4"/>
        <w:jc w:val="both"/>
      </w:pPr>
      <w:r>
        <w:rPr>
          <w:sz w:val="26"/>
        </w:rPr>
        <w:t>Anabella María Giracca Méndez de Castellanos Ministra de Educacion</w:t>
      </w:r>
    </w:p>
    <w:p w14:paraId="48EFF3A0" w14:textId="77777777" w:rsidR="00053D93" w:rsidRDefault="00260B75">
      <w:pPr>
        <w:tabs>
          <w:tab w:val="center" w:pos="3085"/>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MINISTERIO DE EDUCACION</w:t>
      </w:r>
    </w:p>
    <w:p w14:paraId="386225AE" w14:textId="77777777" w:rsidR="00053D93" w:rsidRDefault="00260B75">
      <w:pPr>
        <w:spacing w:after="370" w:line="247" w:lineRule="auto"/>
        <w:ind w:left="1512" w:right="14" w:firstLine="4"/>
        <w:jc w:val="both"/>
      </w:pPr>
      <w:r>
        <w:rPr>
          <w:sz w:val="26"/>
        </w:rPr>
        <w:t>Su Despacho</w:t>
      </w:r>
    </w:p>
    <w:p w14:paraId="284C54E9" w14:textId="77777777" w:rsidR="00053D93" w:rsidRDefault="00260B75">
      <w:pPr>
        <w:spacing w:after="0"/>
        <w:ind w:left="43"/>
      </w:pPr>
      <w:r>
        <w:rPr>
          <w:rFonts w:ascii="Times New Roman" w:eastAsia="Times New Roman" w:hAnsi="Times New Roman" w:cs="Times New Roman"/>
          <w:sz w:val="64"/>
        </w:rPr>
        <w:t>1</w:t>
      </w:r>
    </w:p>
    <w:p w14:paraId="13623A2D" w14:textId="77777777" w:rsidR="00053D93" w:rsidRDefault="00260B75">
      <w:pPr>
        <w:spacing w:after="349" w:line="247" w:lineRule="auto"/>
        <w:ind w:left="1505" w:right="14" w:firstLine="4"/>
        <w:jc w:val="both"/>
      </w:pPr>
      <w:r>
        <w:rPr>
          <w:sz w:val="26"/>
        </w:rPr>
        <w:t>Señor (a) Ministra de Educacion:</w:t>
      </w:r>
    </w:p>
    <w:p w14:paraId="3A5E876C" w14:textId="77777777" w:rsidR="00053D93" w:rsidRDefault="00260B75">
      <w:pPr>
        <w:spacing w:after="17" w:line="247" w:lineRule="auto"/>
        <w:ind w:left="1483" w:right="14" w:firstLine="4"/>
        <w:jc w:val="both"/>
      </w:pPr>
      <w:r>
        <w:rPr>
          <w:sz w:val="26"/>
        </w:rPr>
        <w:t xml:space="preserve">En mi calidad de Subcontralor de Calidad de Gasto Público y en cumplimiento de lo regulado en el artículo 13 literal k) de la Ley Orgánica de la Contraloría General de Cuentas, conforme la delegación que oportunamente me fuera otorgada, hago de su conocimiento de manera oficial el informe de auditoría realizado por el equipo de auditores designados mediante nombramiento (s) número (s) DAS-03-0037-2024, </w:t>
      </w:r>
      <w:r>
        <w:rPr>
          <w:rFonts w:ascii="Times New Roman" w:eastAsia="Times New Roman" w:hAnsi="Times New Roman" w:cs="Times New Roman"/>
          <w:sz w:val="26"/>
        </w:rPr>
        <w:t xml:space="preserve">DAS-03-0087-2024, </w:t>
      </w:r>
      <w:r>
        <w:rPr>
          <w:sz w:val="26"/>
        </w:rPr>
        <w:t>DAS-03-0090-2024</w:t>
      </w:r>
    </w:p>
    <w:p w14:paraId="577E011E" w14:textId="77777777" w:rsidR="00053D93" w:rsidRDefault="00260B75">
      <w:pPr>
        <w:spacing w:after="3010" w:line="247" w:lineRule="auto"/>
        <w:ind w:left="1483" w:right="14" w:firstLine="4"/>
        <w:jc w:val="both"/>
      </w:pPr>
      <w:r>
        <w:rPr>
          <w:sz w:val="26"/>
        </w:rPr>
        <w:t>DAS-03-0095-2024, quienes de conformidad con el artículo 29 de la precitada Ley Orgánica son responsables del contenido y efectos legales del mismo.</w:t>
      </w:r>
    </w:p>
    <w:p w14:paraId="17FDAF4C" w14:textId="77777777" w:rsidR="00053D93" w:rsidRDefault="00260B75">
      <w:pPr>
        <w:spacing w:after="91"/>
        <w:ind w:left="319" w:hanging="10"/>
      </w:pPr>
      <w:r>
        <w:rPr>
          <w:noProof/>
        </w:rPr>
        <w:lastRenderedPageBreak/>
        <mc:AlternateContent>
          <mc:Choice Requires="wpg">
            <w:drawing>
              <wp:anchor distT="0" distB="0" distL="114300" distR="114300" simplePos="0" relativeHeight="251662336" behindDoc="0" locked="0" layoutInCell="1" allowOverlap="1" wp14:anchorId="05CD626F" wp14:editId="3345F7E5">
                <wp:simplePos x="0" y="0"/>
                <wp:positionH relativeFrom="column">
                  <wp:posOffset>-64007</wp:posOffset>
                </wp:positionH>
                <wp:positionV relativeFrom="paragraph">
                  <wp:posOffset>-1892922</wp:posOffset>
                </wp:positionV>
                <wp:extent cx="7498081" cy="4233672"/>
                <wp:effectExtent l="0" t="0" r="0" b="0"/>
                <wp:wrapSquare wrapText="bothSides"/>
                <wp:docPr id="2274632" name="Group 2274632"/>
                <wp:cNvGraphicFramePr/>
                <a:graphic xmlns:a="http://schemas.openxmlformats.org/drawingml/2006/main">
                  <a:graphicData uri="http://schemas.microsoft.com/office/word/2010/wordprocessingGroup">
                    <wpg:wgp>
                      <wpg:cNvGrpSpPr/>
                      <wpg:grpSpPr>
                        <a:xfrm>
                          <a:off x="0" y="0"/>
                          <a:ext cx="7498081" cy="4233672"/>
                          <a:chOff x="0" y="0"/>
                          <a:chExt cx="7498081" cy="4233672"/>
                        </a:xfrm>
                      </wpg:grpSpPr>
                      <pic:pic xmlns:pic="http://schemas.openxmlformats.org/drawingml/2006/picture">
                        <pic:nvPicPr>
                          <pic:cNvPr id="2458096" name="Picture 2458096"/>
                          <pic:cNvPicPr/>
                        </pic:nvPicPr>
                        <pic:blipFill>
                          <a:blip r:embed="rId18"/>
                          <a:stretch>
                            <a:fillRect/>
                          </a:stretch>
                        </pic:blipFill>
                        <pic:spPr>
                          <a:xfrm>
                            <a:off x="0" y="0"/>
                            <a:ext cx="7498081" cy="4215385"/>
                          </a:xfrm>
                          <a:prstGeom prst="rect">
                            <a:avLst/>
                          </a:prstGeom>
                        </pic:spPr>
                      </pic:pic>
                      <wps:wsp>
                        <wps:cNvPr id="2637" name="Rectangle 2637"/>
                        <wps:cNvSpPr/>
                        <wps:spPr>
                          <a:xfrm>
                            <a:off x="1732788" y="4091941"/>
                            <a:ext cx="650641" cy="188502"/>
                          </a:xfrm>
                          <a:prstGeom prst="rect">
                            <a:avLst/>
                          </a:prstGeom>
                          <a:ln>
                            <a:noFill/>
                          </a:ln>
                        </wps:spPr>
                        <wps:txbx>
                          <w:txbxContent>
                            <w:p w14:paraId="143E24CE" w14:textId="77777777" w:rsidR="00053D93" w:rsidRDefault="00260B75">
                              <w:r>
                                <w:rPr>
                                  <w:rFonts w:ascii="Times New Roman" w:eastAsia="Times New Roman" w:hAnsi="Times New Roman" w:cs="Times New Roman"/>
                                </w:rPr>
                                <w:t xml:space="preserve">Cuentas </w:t>
                              </w:r>
                            </w:p>
                          </w:txbxContent>
                        </wps:txbx>
                        <wps:bodyPr horzOverflow="overflow" vert="horz" lIns="0" tIns="0" rIns="0" bIns="0" rtlCol="0">
                          <a:noAutofit/>
                        </wps:bodyPr>
                      </wps:wsp>
                      <wps:wsp>
                        <wps:cNvPr id="2638" name="Rectangle 2638"/>
                        <wps:cNvSpPr/>
                        <wps:spPr>
                          <a:xfrm>
                            <a:off x="2221992" y="4096512"/>
                            <a:ext cx="79050" cy="182423"/>
                          </a:xfrm>
                          <a:prstGeom prst="rect">
                            <a:avLst/>
                          </a:prstGeom>
                          <a:ln>
                            <a:noFill/>
                          </a:ln>
                        </wps:spPr>
                        <wps:txbx>
                          <w:txbxContent>
                            <w:p w14:paraId="14500D38" w14:textId="77777777" w:rsidR="00053D93" w:rsidRDefault="00260B75">
                              <w:r>
                                <w:rPr>
                                  <w:rFonts w:ascii="Times New Roman" w:eastAsia="Times New Roman" w:hAnsi="Times New Roman" w:cs="Times New Roman"/>
                                  <w:sz w:val="14"/>
                                </w:rPr>
                                <w:t xml:space="preserve">1 </w:t>
                              </w:r>
                            </w:p>
                          </w:txbxContent>
                        </wps:txbx>
                        <wps:bodyPr horzOverflow="overflow" vert="horz" lIns="0" tIns="0" rIns="0" bIns="0" rtlCol="0">
                          <a:noAutofit/>
                        </wps:bodyPr>
                      </wps:wsp>
                      <wps:wsp>
                        <wps:cNvPr id="2645" name="Rectangle 2645"/>
                        <wps:cNvSpPr/>
                        <wps:spPr>
                          <a:xfrm>
                            <a:off x="4357116" y="4087369"/>
                            <a:ext cx="358765" cy="194583"/>
                          </a:xfrm>
                          <a:prstGeom prst="rect">
                            <a:avLst/>
                          </a:prstGeom>
                          <a:ln>
                            <a:noFill/>
                          </a:ln>
                        </wps:spPr>
                        <wps:txbx>
                          <w:txbxContent>
                            <w:p w14:paraId="5342937E" w14:textId="77777777" w:rsidR="00053D93" w:rsidRDefault="00260B75">
                              <w:r>
                                <w:rPr>
                                  <w:rFonts w:ascii="Times New Roman" w:eastAsia="Times New Roman" w:hAnsi="Times New Roman" w:cs="Times New Roman"/>
                                  <w:sz w:val="20"/>
                                </w:rPr>
                                <w:t xml:space="preserve">C.A. </w:t>
                              </w:r>
                            </w:p>
                          </w:txbxContent>
                        </wps:txbx>
                        <wps:bodyPr horzOverflow="overflow" vert="horz" lIns="0" tIns="0" rIns="0" bIns="0" rtlCol="0">
                          <a:noAutofit/>
                        </wps:bodyPr>
                      </wps:wsp>
                      <wps:wsp>
                        <wps:cNvPr id="2646" name="Rectangle 2646"/>
                        <wps:cNvSpPr/>
                        <wps:spPr>
                          <a:xfrm>
                            <a:off x="4626864" y="4096513"/>
                            <a:ext cx="565511" cy="182422"/>
                          </a:xfrm>
                          <a:prstGeom prst="rect">
                            <a:avLst/>
                          </a:prstGeom>
                          <a:ln>
                            <a:noFill/>
                          </a:ln>
                        </wps:spPr>
                        <wps:txbx>
                          <w:txbxContent>
                            <w:p w14:paraId="61C609D7" w14:textId="77777777" w:rsidR="00053D93" w:rsidRDefault="00260B75">
                              <w:r>
                                <w:rPr>
                                  <w:rFonts w:ascii="Times New Roman" w:eastAsia="Times New Roman" w:hAnsi="Times New Roman" w:cs="Times New Roman"/>
                                </w:rPr>
                                <w:t xml:space="preserve">Código </w:t>
                              </w:r>
                            </w:p>
                          </w:txbxContent>
                        </wps:txbx>
                        <wps:bodyPr horzOverflow="overflow" vert="horz" lIns="0" tIns="0" rIns="0" bIns="0" rtlCol="0">
                          <a:noAutofit/>
                        </wps:bodyPr>
                      </wps:wsp>
                    </wpg:wgp>
                  </a:graphicData>
                </a:graphic>
              </wp:anchor>
            </w:drawing>
          </mc:Choice>
          <mc:Fallback>
            <w:pict>
              <v:group w14:anchorId="05CD626F" id="Group 2274632" o:spid="_x0000_s1026" style="position:absolute;left:0;text-align:left;margin-left:-5.05pt;margin-top:-149.05pt;width:590.4pt;height:333.35pt;z-index:251662336" coordsize="74980,423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mjUdeaQZPAAwKlddwwO&#10;tMjBBIPHNXco+Lf+CqjAfs23ICggXSnJ6V+HdzCyN8ylWwCQRjGa/ob/AG1Ph0fif8D9Z0RbZp5C&#10;hkjKIWO4dK/FvTv2Q/iLr+tPYWXhbUriUNtEhiIDc4B6dK7aSjKFm7GEm1LY8Pk/5BkQH945r9Sf&#10;+CK6zR2fj1XRxH5kY+ZSADivDPDv/BLf4w61YxrdaXbWLKBt+0TEggnngCv06/Y4/Zdtv2Zvh0mk&#10;8Satc/PfTJISrOeePYdKeIlDRRdxUm76qx9A7eRnrUo4FNAyM+lOHSvPNhaKKKQ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8096" o:spid="_x0000_s1027" type="#_x0000_t75" style="position:absolute;width:74980;height:4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">
                  <v:imagedata r:id="rId19" o:title=""/>
                </v:shape>
                <v:rect id="Rectangle 2637" o:spid="_x0000_s1028" style="position:absolute;left:17327;top:40919;width:6507;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ep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Jw9HqcYAAADdAAAA&#10;DwAAAAAAAAAAAAAAAAAHAgAAZHJzL2Rvd25yZXYueG1sUEsFBgAAAAADAAMAtwAAAPoCAAAAAA==&#10;" filled="f" stroked="f">
                  <v:textbox inset="0,0,0,0">
                    <w:txbxContent>
                      <w:p w14:paraId="143E24CE" w14:textId="77777777" w:rsidR="00053D93" w:rsidRDefault="00260B75">
                        <w:r>
                          <w:rPr>
                            <w:rFonts w:ascii="Times New Roman" w:eastAsia="Times New Roman" w:hAnsi="Times New Roman" w:cs="Times New Roman"/>
                          </w:rPr>
                          <w:t xml:space="preserve">Cuentas </w:t>
                        </w:r>
                      </w:p>
                    </w:txbxContent>
                  </v:textbox>
                </v:rect>
                <v:rect id="Rectangle 2638" o:spid="_x0000_s1029" style="position:absolute;left:22219;top:40965;width:79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PbwwAAAN0AAAAPAAAAZHJzL2Rvd25yZXYueG1sRE9Na8JA&#10;EL0X/A/LCN7qxgi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VpDT28MAAADdAAAADwAA&#10;AAAAAAAAAAAAAAAHAgAAZHJzL2Rvd25yZXYueG1sUEsFBgAAAAADAAMAtwAAAPcCAAAAAA==&#10;" filled="f" stroked="f">
                  <v:textbox inset="0,0,0,0">
                    <w:txbxContent>
                      <w:p w14:paraId="14500D38" w14:textId="77777777" w:rsidR="00053D93" w:rsidRDefault="00260B75">
                        <w:r>
                          <w:rPr>
                            <w:rFonts w:ascii="Times New Roman" w:eastAsia="Times New Roman" w:hAnsi="Times New Roman" w:cs="Times New Roman"/>
                            <w:sz w:val="14"/>
                          </w:rPr>
                          <w:t xml:space="preserve">1 </w:t>
                        </w:r>
                      </w:p>
                    </w:txbxContent>
                  </v:textbox>
                </v:rect>
                <v:rect id="Rectangle 2645" o:spid="_x0000_s1030" style="position:absolute;left:43571;top:40873;width:3587;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14:paraId="5342937E" w14:textId="77777777" w:rsidR="00053D93" w:rsidRDefault="00260B75">
                        <w:r>
                          <w:rPr>
                            <w:rFonts w:ascii="Times New Roman" w:eastAsia="Times New Roman" w:hAnsi="Times New Roman" w:cs="Times New Roman"/>
                            <w:sz w:val="20"/>
                          </w:rPr>
                          <w:t xml:space="preserve">C.A. </w:t>
                        </w:r>
                      </w:p>
                    </w:txbxContent>
                  </v:textbox>
                </v:rect>
                <v:rect id="Rectangle 2646" o:spid="_x0000_s1031" style="position:absolute;left:46268;top:40965;width:5655;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FPxQAAAN0AAAAPAAAAZHJzL2Rvd25yZXYueG1sRI9Pi8Iw&#10;FMTvC/sdwlvwtqYrUr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AQRZFPxQAAAN0AAAAP&#10;AAAAAAAAAAAAAAAAAAcCAABkcnMvZG93bnJldi54bWxQSwUGAAAAAAMAAwC3AAAA+QIAAAAA&#10;" filled="f" stroked="f">
                  <v:textbox inset="0,0,0,0">
                    <w:txbxContent>
                      <w:p w14:paraId="61C609D7" w14:textId="77777777" w:rsidR="00053D93" w:rsidRDefault="00260B75">
                        <w:r>
                          <w:rPr>
                            <w:rFonts w:ascii="Times New Roman" w:eastAsia="Times New Roman" w:hAnsi="Times New Roman" w:cs="Times New Roman"/>
                          </w:rPr>
                          <w:t xml:space="preserve">Código </w:t>
                        </w:r>
                      </w:p>
                    </w:txbxContent>
                  </v:textbox>
                </v:rect>
                <w10:wrap type="square"/>
              </v:group>
            </w:pict>
          </mc:Fallback>
        </mc:AlternateContent>
      </w:r>
      <w:r>
        <w:t>Fecha y Hora:</w:t>
      </w:r>
    </w:p>
    <w:p w14:paraId="7A3AB073" w14:textId="77777777" w:rsidR="00053D93" w:rsidRDefault="00260B75">
      <w:pPr>
        <w:spacing w:after="103"/>
        <w:ind w:left="298" w:hanging="3"/>
      </w:pPr>
      <w:r>
        <w:rPr>
          <w:sz w:val="20"/>
        </w:rPr>
        <w:t>Nombre completo:</w:t>
      </w:r>
    </w:p>
    <w:p w14:paraId="389034AC" w14:textId="77777777" w:rsidR="00053D93" w:rsidRDefault="00260B75">
      <w:pPr>
        <w:spacing w:after="91"/>
        <w:ind w:left="319" w:hanging="10"/>
      </w:pPr>
      <w:r>
        <w:t>CUI:</w:t>
      </w:r>
    </w:p>
    <w:p w14:paraId="0F417EEF" w14:textId="77777777" w:rsidR="00053D93" w:rsidRDefault="00260B75">
      <w:pPr>
        <w:tabs>
          <w:tab w:val="center" w:pos="565"/>
          <w:tab w:val="center" w:pos="6217"/>
        </w:tabs>
        <w:spacing w:after="0" w:line="265" w:lineRule="auto"/>
      </w:pPr>
      <w:r>
        <w:rPr>
          <w:sz w:val="18"/>
        </w:rPr>
        <w:tab/>
        <w:t>Cargo:</w:t>
      </w:r>
      <w:r>
        <w:rPr>
          <w:sz w:val="18"/>
        </w:rPr>
        <w:tab/>
        <w:t>MINISTERIu OE EDUCACii</w:t>
      </w:r>
    </w:p>
    <w:p w14:paraId="5EAF3F22" w14:textId="77777777" w:rsidR="00053D93" w:rsidRDefault="00260B75">
      <w:pPr>
        <w:spacing w:after="26"/>
        <w:ind w:left="2549"/>
        <w:jc w:val="center"/>
      </w:pPr>
      <w:r>
        <w:rPr>
          <w:sz w:val="20"/>
        </w:rPr>
        <w:t>DESPACHO SUPERIC</w:t>
      </w:r>
    </w:p>
    <w:p w14:paraId="0415F0EB" w14:textId="77777777" w:rsidR="00053D93" w:rsidRDefault="00260B75">
      <w:pPr>
        <w:tabs>
          <w:tab w:val="center" w:pos="547"/>
          <w:tab w:val="center" w:pos="2340"/>
        </w:tabs>
        <w:spacing w:after="1212" w:line="216" w:lineRule="auto"/>
      </w:pPr>
      <w:r>
        <w:tab/>
        <w:t>Firma:</w:t>
      </w:r>
      <w:r>
        <w:tab/>
      </w:r>
      <w:r>
        <w:rPr>
          <w:rFonts w:ascii="Times New Roman" w:eastAsia="Times New Roman" w:hAnsi="Times New Roman" w:cs="Times New Roman"/>
        </w:rPr>
        <w:t>4Fñhniñ)</w:t>
      </w:r>
      <w:r>
        <w:rPr>
          <w:noProof/>
        </w:rPr>
        <w:drawing>
          <wp:inline distT="0" distB="0" distL="0" distR="0" wp14:anchorId="1E43CF2E" wp14:editId="2A6FDA06">
            <wp:extent cx="9144" cy="68580"/>
            <wp:effectExtent l="0" t="0" r="0" b="0"/>
            <wp:docPr id="7903" name="Picture 7903"/>
            <wp:cNvGraphicFramePr/>
            <a:graphic xmlns:a="http://schemas.openxmlformats.org/drawingml/2006/main">
              <a:graphicData uri="http://schemas.openxmlformats.org/drawingml/2006/picture">
                <pic:pic xmlns:pic="http://schemas.openxmlformats.org/drawingml/2006/picture">
                  <pic:nvPicPr>
                    <pic:cNvPr id="7903" name="Picture 7903"/>
                    <pic:cNvPicPr/>
                  </pic:nvPicPr>
                  <pic:blipFill>
                    <a:blip r:embed="rId20"/>
                    <a:stretch>
                      <a:fillRect/>
                    </a:stretch>
                  </pic:blipFill>
                  <pic:spPr>
                    <a:xfrm>
                      <a:off x="0" y="0"/>
                      <a:ext cx="9144" cy="68580"/>
                    </a:xfrm>
                    <a:prstGeom prst="rect">
                      <a:avLst/>
                    </a:prstGeom>
                  </pic:spPr>
                </pic:pic>
              </a:graphicData>
            </a:graphic>
          </wp:inline>
        </w:drawing>
      </w:r>
    </w:p>
    <w:p w14:paraId="58C81A9F" w14:textId="77777777" w:rsidR="00053D93" w:rsidRDefault="00260B75">
      <w:pPr>
        <w:spacing w:after="1025"/>
        <w:ind w:left="9" w:right="9619" w:hanging="10"/>
      </w:pPr>
      <w:r>
        <w:rPr>
          <w:sz w:val="78"/>
        </w:rPr>
        <w:t xml:space="preserve">i </w:t>
      </w:r>
      <w:r>
        <w:rPr>
          <w:rFonts w:ascii="Times New Roman" w:eastAsia="Times New Roman" w:hAnsi="Times New Roman" w:cs="Times New Roman"/>
          <w:sz w:val="78"/>
        </w:rPr>
        <w:t>i</w:t>
      </w:r>
    </w:p>
    <w:p w14:paraId="0FB228E5" w14:textId="77777777" w:rsidR="00053D93" w:rsidRDefault="00260B75">
      <w:pPr>
        <w:pStyle w:val="Ttulo1"/>
        <w:ind w:left="17" w:right="1685"/>
      </w:pPr>
      <w:r>
        <w:t>i</w:t>
      </w:r>
      <w:r>
        <w:tab/>
        <w:t>CONTRALORÍA GENERAL DE CUENTAS i</w:t>
      </w:r>
    </w:p>
    <w:p w14:paraId="40D79895" w14:textId="77777777" w:rsidR="00053D93" w:rsidRDefault="00260B75">
      <w:pPr>
        <w:spacing w:after="46" w:line="248" w:lineRule="auto"/>
        <w:ind w:left="4517" w:hanging="3"/>
        <w:jc w:val="both"/>
      </w:pPr>
      <w:r>
        <w:rPr>
          <w:sz w:val="28"/>
        </w:rPr>
        <w:t>INFORME DE AUDITORÍA</w:t>
      </w:r>
    </w:p>
    <w:p w14:paraId="2A05593B" w14:textId="77777777" w:rsidR="00053D93" w:rsidRDefault="00260B75">
      <w:pPr>
        <w:pStyle w:val="Ttulo2"/>
        <w:spacing w:after="0"/>
        <w:ind w:left="32" w:right="2160"/>
        <w:jc w:val="right"/>
      </w:pPr>
      <w:r>
        <w:rPr>
          <w:sz w:val="28"/>
        </w:rPr>
        <w:lastRenderedPageBreak/>
        <w:t>FINANCIERA Y DE CUMPLIMIENTO</w:t>
      </w:r>
    </w:p>
    <w:p w14:paraId="2A3D02C1" w14:textId="77777777" w:rsidR="00053D93" w:rsidRDefault="00260B75">
      <w:pPr>
        <w:spacing w:after="18" w:line="248" w:lineRule="auto"/>
        <w:ind w:left="4287" w:hanging="3"/>
        <w:jc w:val="both"/>
      </w:pPr>
      <w:r>
        <w:rPr>
          <w:sz w:val="28"/>
        </w:rPr>
        <w:t>MINISTERIO DE EDUCACION</w:t>
      </w:r>
    </w:p>
    <w:p w14:paraId="019F632F" w14:textId="77777777" w:rsidR="00053D93" w:rsidRDefault="00260B75">
      <w:pPr>
        <w:spacing w:after="8478" w:line="265" w:lineRule="auto"/>
        <w:ind w:left="10" w:right="1368" w:hanging="10"/>
        <w:jc w:val="right"/>
      </w:pPr>
      <w:r>
        <w:rPr>
          <w:sz w:val="30"/>
        </w:rPr>
        <w:t>DEL 01 DE ENERO AL 31 DE DICIEMBRE DE 2024</w:t>
      </w:r>
    </w:p>
    <w:p w14:paraId="5AACB6F9" w14:textId="77777777" w:rsidR="00053D93" w:rsidRDefault="00260B75">
      <w:pPr>
        <w:tabs>
          <w:tab w:val="center" w:pos="1707"/>
          <w:tab w:val="center" w:pos="5980"/>
        </w:tabs>
        <w:spacing w:after="18" w:line="248" w:lineRule="auto"/>
      </w:pPr>
      <w:r>
        <w:rPr>
          <w:noProof/>
        </w:rPr>
        <w:drawing>
          <wp:inline distT="0" distB="0" distL="0" distR="0" wp14:anchorId="200BE881" wp14:editId="03E36BEB">
            <wp:extent cx="109728" cy="292609"/>
            <wp:effectExtent l="0" t="0" r="0" b="0"/>
            <wp:docPr id="9280" name="Picture 9280"/>
            <wp:cNvGraphicFramePr/>
            <a:graphic xmlns:a="http://schemas.openxmlformats.org/drawingml/2006/main">
              <a:graphicData uri="http://schemas.openxmlformats.org/drawingml/2006/picture">
                <pic:pic xmlns:pic="http://schemas.openxmlformats.org/drawingml/2006/picture">
                  <pic:nvPicPr>
                    <pic:cNvPr id="9280" name="Picture 9280"/>
                    <pic:cNvPicPr/>
                  </pic:nvPicPr>
                  <pic:blipFill>
                    <a:blip r:embed="rId21"/>
                    <a:stretch>
                      <a:fillRect/>
                    </a:stretch>
                  </pic:blipFill>
                  <pic:spPr>
                    <a:xfrm>
                      <a:off x="0" y="0"/>
                      <a:ext cx="109728" cy="292609"/>
                    </a:xfrm>
                    <a:prstGeom prst="rect">
                      <a:avLst/>
                    </a:prstGeom>
                  </pic:spPr>
                </pic:pic>
              </a:graphicData>
            </a:graphic>
          </wp:inline>
        </w:drawing>
      </w:r>
      <w:r>
        <w:rPr>
          <w:sz w:val="28"/>
        </w:rPr>
        <w:tab/>
        <w:t xml:space="preserve">III </w:t>
      </w:r>
      <w:r>
        <w:rPr>
          <w:noProof/>
        </w:rPr>
        <w:drawing>
          <wp:inline distT="0" distB="0" distL="0" distR="0" wp14:anchorId="46AFBBAF" wp14:editId="5EC013F2">
            <wp:extent cx="932688" cy="411480"/>
            <wp:effectExtent l="0" t="0" r="0" b="0"/>
            <wp:docPr id="2458097" name="Picture 2458097"/>
            <wp:cNvGraphicFramePr/>
            <a:graphic xmlns:a="http://schemas.openxmlformats.org/drawingml/2006/main">
              <a:graphicData uri="http://schemas.openxmlformats.org/drawingml/2006/picture">
                <pic:pic xmlns:pic="http://schemas.openxmlformats.org/drawingml/2006/picture">
                  <pic:nvPicPr>
                    <pic:cNvPr id="2458097" name="Picture 2458097"/>
                    <pic:cNvPicPr/>
                  </pic:nvPicPr>
                  <pic:blipFill>
                    <a:blip r:embed="rId22"/>
                    <a:stretch>
                      <a:fillRect/>
                    </a:stretch>
                  </pic:blipFill>
                  <pic:spPr>
                    <a:xfrm>
                      <a:off x="0" y="0"/>
                      <a:ext cx="932688" cy="411480"/>
                    </a:xfrm>
                    <a:prstGeom prst="rect">
                      <a:avLst/>
                    </a:prstGeom>
                  </pic:spPr>
                </pic:pic>
              </a:graphicData>
            </a:graphic>
          </wp:inline>
        </w:drawing>
      </w:r>
      <w:r>
        <w:rPr>
          <w:sz w:val="28"/>
        </w:rPr>
        <w:tab/>
        <w:t xml:space="preserve">GUATEMALA, MAYO DE 2025 </w:t>
      </w:r>
      <w:r>
        <w:rPr>
          <w:noProof/>
        </w:rPr>
        <w:drawing>
          <wp:inline distT="0" distB="0" distL="0" distR="0" wp14:anchorId="09CA0FEC" wp14:editId="27D17E84">
            <wp:extent cx="27432" cy="27432"/>
            <wp:effectExtent l="0" t="0" r="0" b="0"/>
            <wp:docPr id="9281" name="Picture 9281"/>
            <wp:cNvGraphicFramePr/>
            <a:graphic xmlns:a="http://schemas.openxmlformats.org/drawingml/2006/main">
              <a:graphicData uri="http://schemas.openxmlformats.org/drawingml/2006/picture">
                <pic:pic xmlns:pic="http://schemas.openxmlformats.org/drawingml/2006/picture">
                  <pic:nvPicPr>
                    <pic:cNvPr id="9281" name="Picture 9281"/>
                    <pic:cNvPicPr/>
                  </pic:nvPicPr>
                  <pic:blipFill>
                    <a:blip r:embed="rId23"/>
                    <a:stretch>
                      <a:fillRect/>
                    </a:stretch>
                  </pic:blipFill>
                  <pic:spPr>
                    <a:xfrm>
                      <a:off x="0" y="0"/>
                      <a:ext cx="27432" cy="27432"/>
                    </a:xfrm>
                    <a:prstGeom prst="rect">
                      <a:avLst/>
                    </a:prstGeom>
                  </pic:spPr>
                </pic:pic>
              </a:graphicData>
            </a:graphic>
          </wp:inline>
        </w:drawing>
      </w:r>
    </w:p>
    <w:p w14:paraId="2EF45171" w14:textId="77777777" w:rsidR="00053D93" w:rsidRDefault="00053D93">
      <w:pPr>
        <w:sectPr w:rsidR="00053D93">
          <w:type w:val="continuous"/>
          <w:pgSz w:w="12290" w:h="15912"/>
          <w:pgMar w:top="504" w:right="2045" w:bottom="763" w:left="324" w:header="720" w:footer="720" w:gutter="0"/>
          <w:cols w:space="720"/>
        </w:sectPr>
      </w:pPr>
    </w:p>
    <w:p w14:paraId="6DE518F7" w14:textId="77777777" w:rsidR="00053D93" w:rsidRDefault="00260B75">
      <w:pPr>
        <w:spacing w:after="0"/>
        <w:ind w:left="36"/>
      </w:pPr>
      <w:r>
        <w:rPr>
          <w:sz w:val="236"/>
        </w:rPr>
        <w:lastRenderedPageBreak/>
        <w:t>i</w:t>
      </w:r>
    </w:p>
    <w:p w14:paraId="08FBAF6C" w14:textId="77777777" w:rsidR="00053D93" w:rsidRDefault="00260B75">
      <w:pPr>
        <w:tabs>
          <w:tab w:val="center" w:pos="5918"/>
          <w:tab w:val="center" w:pos="8929"/>
          <w:tab w:val="right" w:pos="10210"/>
        </w:tabs>
        <w:spacing w:after="174" w:line="248" w:lineRule="auto"/>
      </w:pPr>
      <w:r>
        <w:rPr>
          <w:rFonts w:ascii="Courier New" w:eastAsia="Courier New" w:hAnsi="Courier New" w:cs="Courier New"/>
          <w:sz w:val="28"/>
        </w:rPr>
        <w:t>i</w:t>
      </w:r>
      <w:r>
        <w:rPr>
          <w:rFonts w:ascii="Courier New" w:eastAsia="Courier New" w:hAnsi="Courier New" w:cs="Courier New"/>
          <w:sz w:val="28"/>
        </w:rPr>
        <w:tab/>
      </w:r>
      <w:r>
        <w:rPr>
          <w:sz w:val="28"/>
        </w:rPr>
        <w:t>ÍNDICE</w:t>
      </w:r>
      <w:r>
        <w:rPr>
          <w:sz w:val="28"/>
        </w:rPr>
        <w:tab/>
      </w:r>
      <w:r>
        <w:rPr>
          <w:noProof/>
        </w:rPr>
        <w:drawing>
          <wp:inline distT="0" distB="0" distL="0" distR="0" wp14:anchorId="2AEF671F" wp14:editId="3D53C995">
            <wp:extent cx="9144" cy="4572"/>
            <wp:effectExtent l="0" t="0" r="0" b="0"/>
            <wp:docPr id="10931" name="Picture 10931"/>
            <wp:cNvGraphicFramePr/>
            <a:graphic xmlns:a="http://schemas.openxmlformats.org/drawingml/2006/main">
              <a:graphicData uri="http://schemas.openxmlformats.org/drawingml/2006/picture">
                <pic:pic xmlns:pic="http://schemas.openxmlformats.org/drawingml/2006/picture">
                  <pic:nvPicPr>
                    <pic:cNvPr id="10931" name="Picture 10931"/>
                    <pic:cNvPicPr/>
                  </pic:nvPicPr>
                  <pic:blipFill>
                    <a:blip r:embed="rId24"/>
                    <a:stretch>
                      <a:fillRect/>
                    </a:stretch>
                  </pic:blipFill>
                  <pic:spPr>
                    <a:xfrm>
                      <a:off x="0" y="0"/>
                      <a:ext cx="9144" cy="4572"/>
                    </a:xfrm>
                    <a:prstGeom prst="rect">
                      <a:avLst/>
                    </a:prstGeom>
                  </pic:spPr>
                </pic:pic>
              </a:graphicData>
            </a:graphic>
          </wp:inline>
        </w:drawing>
      </w:r>
      <w:r>
        <w:rPr>
          <w:sz w:val="28"/>
        </w:rPr>
        <w:tab/>
        <w:t>Página</w:t>
      </w:r>
    </w:p>
    <w:p w14:paraId="3A858718" w14:textId="77777777" w:rsidR="00053D93" w:rsidRDefault="00260B75">
      <w:pPr>
        <w:spacing w:after="18" w:line="248" w:lineRule="auto"/>
        <w:ind w:left="1709" w:hanging="3"/>
        <w:jc w:val="both"/>
      </w:pPr>
      <w:r>
        <w:rPr>
          <w:noProof/>
        </w:rPr>
        <mc:AlternateContent>
          <mc:Choice Requires="wpg">
            <w:drawing>
              <wp:anchor distT="0" distB="0" distL="114300" distR="114300" simplePos="0" relativeHeight="251663360" behindDoc="0" locked="0" layoutInCell="1" allowOverlap="1" wp14:anchorId="5269313E" wp14:editId="289308BE">
                <wp:simplePos x="0" y="0"/>
                <wp:positionH relativeFrom="column">
                  <wp:posOffset>22860</wp:posOffset>
                </wp:positionH>
                <wp:positionV relativeFrom="paragraph">
                  <wp:posOffset>-9374</wp:posOffset>
                </wp:positionV>
                <wp:extent cx="109728" cy="393192"/>
                <wp:effectExtent l="0" t="0" r="0" b="0"/>
                <wp:wrapSquare wrapText="bothSides"/>
                <wp:docPr id="2454128" name="Group 2454128"/>
                <wp:cNvGraphicFramePr/>
                <a:graphic xmlns:a="http://schemas.openxmlformats.org/drawingml/2006/main">
                  <a:graphicData uri="http://schemas.microsoft.com/office/word/2010/wordprocessingGroup">
                    <wpg:wgp>
                      <wpg:cNvGrpSpPr/>
                      <wpg:grpSpPr>
                        <a:xfrm>
                          <a:off x="0" y="0"/>
                          <a:ext cx="109728" cy="393192"/>
                          <a:chOff x="0" y="0"/>
                          <a:chExt cx="109728" cy="393192"/>
                        </a:xfrm>
                      </wpg:grpSpPr>
                      <wps:wsp>
                        <wps:cNvPr id="9447" name="Rectangle 9447"/>
                        <wps:cNvSpPr/>
                        <wps:spPr>
                          <a:xfrm>
                            <a:off x="0" y="0"/>
                            <a:ext cx="145938" cy="522946"/>
                          </a:xfrm>
                          <a:prstGeom prst="rect">
                            <a:avLst/>
                          </a:prstGeom>
                          <a:ln>
                            <a:noFill/>
                          </a:ln>
                        </wps:spPr>
                        <wps:txbx>
                          <w:txbxContent>
                            <w:p w14:paraId="5B7790BD" w14:textId="77777777" w:rsidR="00053D93" w:rsidRDefault="00260B75">
                              <w:r>
                                <w:rPr>
                                  <w:rFonts w:ascii="Courier New" w:eastAsia="Courier New" w:hAnsi="Courier New" w:cs="Courier New"/>
                                  <w:sz w:val="78"/>
                                </w:rPr>
                                <w:t>i</w:t>
                              </w:r>
                            </w:p>
                          </w:txbxContent>
                        </wps:txbx>
                        <wps:bodyPr horzOverflow="overflow" vert="horz" lIns="0" tIns="0" rIns="0" bIns="0" rtlCol="0">
                          <a:noAutofit/>
                        </wps:bodyPr>
                      </wps:wsp>
                    </wpg:wgp>
                  </a:graphicData>
                </a:graphic>
              </wp:anchor>
            </w:drawing>
          </mc:Choice>
          <mc:Fallback>
            <w:pict>
              <v:group w14:anchorId="5269313E" id="Group 2454128" o:spid="_x0000_s1032" style="position:absolute;left:0;text-align:left;margin-left:1.8pt;margin-top:-.75pt;width:8.65pt;height:30.95pt;z-index:251663360" coordsize="109728,39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">
                <v:rect id="Rectangle 9447" o:spid="_x0000_s1033" style="position:absolute;width:145938;height:52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" filled="f" stroked="f">
                  <v:textbox inset="0,0,0,0">
                    <w:txbxContent>
                      <w:p w14:paraId="5B7790BD" w14:textId="77777777" w:rsidR="00053D93" w:rsidRDefault="00260B75">
                        <w:r>
                          <w:rPr>
                            <w:rFonts w:ascii="Courier New" w:eastAsia="Courier New" w:hAnsi="Courier New" w:cs="Courier New"/>
                            <w:sz w:val="78"/>
                          </w:rPr>
                          <w:t>i</w:t>
                        </w:r>
                      </w:p>
                    </w:txbxContent>
                  </v:textbox>
                </v:rect>
                <w10:wrap type="square"/>
              </v:group>
            </w:pict>
          </mc:Fallback>
        </mc:AlternateContent>
      </w:r>
      <w:r>
        <w:rPr>
          <w:sz w:val="28"/>
        </w:rPr>
        <w:t>1. INFORMACIÓN GENERAL DE LA ENTIDAD AUDITADA</w:t>
      </w:r>
    </w:p>
    <w:p w14:paraId="2F9C7AC9" w14:textId="77777777" w:rsidR="00053D93" w:rsidRDefault="00260B75">
      <w:pPr>
        <w:spacing w:after="53" w:line="247" w:lineRule="auto"/>
        <w:ind w:left="14" w:right="14" w:firstLine="4"/>
        <w:jc w:val="both"/>
      </w:pPr>
      <w:r>
        <w:rPr>
          <w:sz w:val="26"/>
        </w:rPr>
        <w:t>Base legal</w:t>
      </w:r>
    </w:p>
    <w:p w14:paraId="211F4D69" w14:textId="77777777" w:rsidR="00053D93" w:rsidRDefault="00260B75">
      <w:pPr>
        <w:tabs>
          <w:tab w:val="center" w:pos="2538"/>
          <w:tab w:val="right" w:pos="10210"/>
        </w:tabs>
        <w:spacing w:after="0"/>
      </w:pPr>
      <w:r>
        <w:rPr>
          <w:noProof/>
        </w:rPr>
        <mc:AlternateContent>
          <mc:Choice Requires="wpg">
            <w:drawing>
              <wp:inline distT="0" distB="0" distL="0" distR="0" wp14:anchorId="2BC3261C" wp14:editId="7899C5C7">
                <wp:extent cx="114300" cy="379476"/>
                <wp:effectExtent l="0" t="0" r="0" b="0"/>
                <wp:docPr id="2454129" name="Group 2454129"/>
                <wp:cNvGraphicFramePr/>
                <a:graphic xmlns:a="http://schemas.openxmlformats.org/drawingml/2006/main">
                  <a:graphicData uri="http://schemas.microsoft.com/office/word/2010/wordprocessingGroup">
                    <wpg:wgp>
                      <wpg:cNvGrpSpPr/>
                      <wpg:grpSpPr>
                        <a:xfrm>
                          <a:off x="0" y="0"/>
                          <a:ext cx="114300" cy="379476"/>
                          <a:chOff x="0" y="0"/>
                          <a:chExt cx="114300" cy="379476"/>
                        </a:xfrm>
                      </wpg:grpSpPr>
                      <wps:wsp>
                        <wps:cNvPr id="9448" name="Rectangle 9448"/>
                        <wps:cNvSpPr/>
                        <wps:spPr>
                          <a:xfrm>
                            <a:off x="0" y="0"/>
                            <a:ext cx="152019" cy="504703"/>
                          </a:xfrm>
                          <a:prstGeom prst="rect">
                            <a:avLst/>
                          </a:prstGeom>
                          <a:ln>
                            <a:noFill/>
                          </a:ln>
                        </wps:spPr>
                        <wps:txbx>
                          <w:txbxContent>
                            <w:p w14:paraId="1F64E2CA" w14:textId="77777777" w:rsidR="00053D93" w:rsidRDefault="00260B75">
                              <w:r>
                                <w:rPr>
                                  <w:sz w:val="236"/>
                                </w:rPr>
                                <w:t>i</w:t>
                              </w:r>
                            </w:p>
                          </w:txbxContent>
                        </wps:txbx>
                        <wps:bodyPr horzOverflow="overflow" vert="horz" lIns="0" tIns="0" rIns="0" bIns="0" rtlCol="0">
                          <a:noAutofit/>
                        </wps:bodyPr>
                      </wps:wsp>
                    </wpg:wgp>
                  </a:graphicData>
                </a:graphic>
              </wp:inline>
            </w:drawing>
          </mc:Choice>
          <mc:Fallback>
            <w:pict>
              <v:group w14:anchorId="2BC3261C" id="Group 2454129" o:spid="_x0000_s1034" style="width:9pt;height:29.9pt;mso-position-horizontal-relative:char;mso-position-vertical-relative:line" coordsize="114300,3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">
                <v:rect id="Rectangle 9448" o:spid="_x0000_s1035" style="position:absolute;width:152019;height:504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" filled="f" stroked="f">
                  <v:textbox inset="0,0,0,0">
                    <w:txbxContent>
                      <w:p w14:paraId="1F64E2CA" w14:textId="77777777" w:rsidR="00053D93" w:rsidRDefault="00260B75">
                        <w:r>
                          <w:rPr>
                            <w:sz w:val="236"/>
                          </w:rPr>
                          <w:t>i</w:t>
                        </w:r>
                      </w:p>
                    </w:txbxContent>
                  </v:textbox>
                </v:rect>
                <w10:anchorlock/>
              </v:group>
            </w:pict>
          </mc:Fallback>
        </mc:AlternateContent>
      </w:r>
      <w:r>
        <w:rPr>
          <w:sz w:val="24"/>
        </w:rPr>
        <w:tab/>
        <w:t>Misión</w:t>
      </w:r>
      <w:r>
        <w:rPr>
          <w:sz w:val="24"/>
        </w:rPr>
        <w:tab/>
      </w:r>
      <w:r>
        <w:rPr>
          <w:rFonts w:ascii="Courier New" w:eastAsia="Courier New" w:hAnsi="Courier New" w:cs="Courier New"/>
          <w:sz w:val="24"/>
        </w:rPr>
        <w:t>1</w:t>
      </w:r>
    </w:p>
    <w:p w14:paraId="48E96732" w14:textId="77777777" w:rsidR="00053D93" w:rsidRDefault="00260B75">
      <w:pPr>
        <w:spacing w:after="57" w:line="450" w:lineRule="auto"/>
        <w:ind w:left="14" w:right="14" w:firstLine="4"/>
        <w:jc w:val="both"/>
      </w:pPr>
      <w:r>
        <w:rPr>
          <w:noProof/>
        </w:rPr>
        <w:drawing>
          <wp:anchor distT="0" distB="0" distL="114300" distR="114300" simplePos="0" relativeHeight="251664384" behindDoc="0" locked="0" layoutInCell="1" allowOverlap="0" wp14:anchorId="3E4559AE" wp14:editId="058E41C1">
            <wp:simplePos x="0" y="0"/>
            <wp:positionH relativeFrom="column">
              <wp:posOffset>13716</wp:posOffset>
            </wp:positionH>
            <wp:positionV relativeFrom="paragraph">
              <wp:posOffset>174031</wp:posOffset>
            </wp:positionV>
            <wp:extent cx="123444" cy="891540"/>
            <wp:effectExtent l="0" t="0" r="0" b="0"/>
            <wp:wrapSquare wrapText="bothSides"/>
            <wp:docPr id="11041" name="Picture 11041"/>
            <wp:cNvGraphicFramePr/>
            <a:graphic xmlns:a="http://schemas.openxmlformats.org/drawingml/2006/main">
              <a:graphicData uri="http://schemas.openxmlformats.org/drawingml/2006/picture">
                <pic:pic xmlns:pic="http://schemas.openxmlformats.org/drawingml/2006/picture">
                  <pic:nvPicPr>
                    <pic:cNvPr id="11041" name="Picture 11041"/>
                    <pic:cNvPicPr/>
                  </pic:nvPicPr>
                  <pic:blipFill>
                    <a:blip r:embed="rId25"/>
                    <a:stretch>
                      <a:fillRect/>
                    </a:stretch>
                  </pic:blipFill>
                  <pic:spPr>
                    <a:xfrm>
                      <a:off x="0" y="0"/>
                      <a:ext cx="123444" cy="891540"/>
                    </a:xfrm>
                    <a:prstGeom prst="rect">
                      <a:avLst/>
                    </a:prstGeom>
                  </pic:spPr>
                </pic:pic>
              </a:graphicData>
            </a:graphic>
          </wp:anchor>
        </w:drawing>
      </w:r>
      <w:r>
        <w:rPr>
          <w:sz w:val="26"/>
        </w:rPr>
        <w:t>Visión</w:t>
      </w:r>
      <w:r>
        <w:rPr>
          <w:sz w:val="26"/>
        </w:rPr>
        <w:tab/>
      </w:r>
      <w:r>
        <w:rPr>
          <w:rFonts w:ascii="Courier New" w:eastAsia="Courier New" w:hAnsi="Courier New" w:cs="Courier New"/>
          <w:sz w:val="26"/>
        </w:rPr>
        <w:t xml:space="preserve">1 </w:t>
      </w:r>
      <w:r>
        <w:rPr>
          <w:sz w:val="26"/>
        </w:rPr>
        <w:t>Funciones</w:t>
      </w:r>
      <w:r>
        <w:rPr>
          <w:sz w:val="26"/>
        </w:rPr>
        <w:tab/>
      </w:r>
      <w:r>
        <w:rPr>
          <w:rFonts w:ascii="Courier New" w:eastAsia="Courier New" w:hAnsi="Courier New" w:cs="Courier New"/>
          <w:sz w:val="26"/>
        </w:rPr>
        <w:t>1</w:t>
      </w:r>
    </w:p>
    <w:p w14:paraId="3D28CFE4" w14:textId="77777777" w:rsidR="00053D93" w:rsidRDefault="00260B75">
      <w:pPr>
        <w:pStyle w:val="Ttulo2"/>
        <w:spacing w:after="0"/>
        <w:ind w:left="32" w:right="151"/>
        <w:jc w:val="right"/>
      </w:pPr>
      <w:r>
        <w:rPr>
          <w:sz w:val="28"/>
        </w:rPr>
        <w:t>2. FUNDAMENTO LEGAL PARA LA PRÁCTICA DE AUDITORÍA</w:t>
      </w:r>
      <w:r>
        <w:rPr>
          <w:sz w:val="28"/>
        </w:rPr>
        <w:tab/>
      </w:r>
      <w:r>
        <w:rPr>
          <w:rFonts w:ascii="Courier New" w:eastAsia="Courier New" w:hAnsi="Courier New" w:cs="Courier New"/>
          <w:sz w:val="28"/>
        </w:rPr>
        <w:t xml:space="preserve">2 </w:t>
      </w:r>
      <w:r>
        <w:rPr>
          <w:sz w:val="28"/>
        </w:rPr>
        <w:t>3. IDENTIFICACIÓN DE LAS NORMAS DE AUDITORÍA</w:t>
      </w:r>
      <w:r>
        <w:rPr>
          <w:sz w:val="28"/>
        </w:rPr>
        <w:tab/>
      </w:r>
      <w:r>
        <w:rPr>
          <w:rFonts w:ascii="Courier New" w:eastAsia="Courier New" w:hAnsi="Courier New" w:cs="Courier New"/>
          <w:sz w:val="28"/>
        </w:rPr>
        <w:t>3</w:t>
      </w:r>
    </w:p>
    <w:p w14:paraId="61BC38CA" w14:textId="77777777" w:rsidR="00053D93" w:rsidRDefault="00260B75">
      <w:r>
        <w:rPr>
          <w:sz w:val="30"/>
        </w:rPr>
        <w:t>OBSERVADAS</w:t>
      </w:r>
    </w:p>
    <w:p w14:paraId="0CDB8ADB" w14:textId="77777777" w:rsidR="00053D93" w:rsidRDefault="00260B75">
      <w:pPr>
        <w:numPr>
          <w:ilvl w:val="0"/>
          <w:numId w:val="1"/>
        </w:numPr>
        <w:ind w:hanging="367"/>
      </w:pPr>
      <w:r>
        <w:rPr>
          <w:sz w:val="30"/>
        </w:rPr>
        <w:t>NIVEL DE SEGURIDAD</w:t>
      </w:r>
      <w:r>
        <w:rPr>
          <w:sz w:val="30"/>
        </w:rPr>
        <w:tab/>
      </w:r>
      <w:r>
        <w:rPr>
          <w:rFonts w:ascii="Courier New" w:eastAsia="Courier New" w:hAnsi="Courier New" w:cs="Courier New"/>
          <w:sz w:val="30"/>
        </w:rPr>
        <w:t>4</w:t>
      </w:r>
    </w:p>
    <w:p w14:paraId="5D6AB57E" w14:textId="77777777" w:rsidR="00053D93" w:rsidRDefault="00260B75">
      <w:pPr>
        <w:numPr>
          <w:ilvl w:val="0"/>
          <w:numId w:val="1"/>
        </w:numPr>
        <w:ind w:hanging="367"/>
      </w:pPr>
      <w:r>
        <w:rPr>
          <w:sz w:val="30"/>
        </w:rPr>
        <w:t>OBLIGACIONES DE LAS DISTINTAS PARTES</w:t>
      </w:r>
      <w:r>
        <w:rPr>
          <w:sz w:val="30"/>
        </w:rPr>
        <w:tab/>
      </w:r>
      <w:r>
        <w:rPr>
          <w:rFonts w:ascii="Courier New" w:eastAsia="Courier New" w:hAnsi="Courier New" w:cs="Courier New"/>
          <w:sz w:val="30"/>
        </w:rPr>
        <w:t>5</w:t>
      </w:r>
    </w:p>
    <w:p w14:paraId="61C19CFB" w14:textId="77777777" w:rsidR="00053D93" w:rsidRDefault="00260B75">
      <w:pPr>
        <w:tabs>
          <w:tab w:val="center" w:pos="4046"/>
          <w:tab w:val="right" w:pos="10210"/>
        </w:tabs>
      </w:pPr>
      <w:r>
        <w:rPr>
          <w:sz w:val="26"/>
        </w:rPr>
        <w:tab/>
        <w:t>Obligaciones del equipo de auditoría</w:t>
      </w:r>
      <w:r>
        <w:rPr>
          <w:sz w:val="26"/>
        </w:rPr>
        <w:tab/>
      </w:r>
      <w:r>
        <w:rPr>
          <w:rFonts w:ascii="Courier New" w:eastAsia="Courier New" w:hAnsi="Courier New" w:cs="Courier New"/>
          <w:sz w:val="26"/>
        </w:rPr>
        <w:t>5</w:t>
      </w:r>
    </w:p>
    <w:p w14:paraId="5BB02CD6" w14:textId="77777777" w:rsidR="00053D93" w:rsidRDefault="00260B75">
      <w:pPr>
        <w:tabs>
          <w:tab w:val="center" w:pos="3528"/>
          <w:tab w:val="right" w:pos="10210"/>
        </w:tabs>
      </w:pPr>
      <w:r>
        <w:rPr>
          <w:sz w:val="26"/>
        </w:rPr>
        <w:tab/>
        <w:t>Obligaciones de la entidad</w:t>
      </w:r>
      <w:r>
        <w:rPr>
          <w:sz w:val="26"/>
        </w:rPr>
        <w:tab/>
      </w:r>
      <w:r>
        <w:rPr>
          <w:rFonts w:ascii="Courier New" w:eastAsia="Courier New" w:hAnsi="Courier New" w:cs="Courier New"/>
          <w:sz w:val="26"/>
        </w:rPr>
        <w:t>5</w:t>
      </w:r>
    </w:p>
    <w:p w14:paraId="10B4FDEA" w14:textId="77777777" w:rsidR="00053D93" w:rsidRDefault="00260B75">
      <w:pPr>
        <w:numPr>
          <w:ilvl w:val="0"/>
          <w:numId w:val="1"/>
        </w:numPr>
        <w:ind w:hanging="367"/>
      </w:pPr>
      <w:r>
        <w:rPr>
          <w:sz w:val="30"/>
        </w:rPr>
        <w:t>CRITERIOS OBSERVADOS</w:t>
      </w:r>
      <w:r>
        <w:rPr>
          <w:sz w:val="30"/>
        </w:rPr>
        <w:tab/>
      </w:r>
      <w:r>
        <w:rPr>
          <w:rFonts w:ascii="Courier New" w:eastAsia="Courier New" w:hAnsi="Courier New" w:cs="Courier New"/>
          <w:sz w:val="30"/>
        </w:rPr>
        <w:t>6</w:t>
      </w:r>
    </w:p>
    <w:p w14:paraId="0A7DAA44" w14:textId="77777777" w:rsidR="00053D93" w:rsidRDefault="00260B75">
      <w:pPr>
        <w:numPr>
          <w:ilvl w:val="0"/>
          <w:numId w:val="1"/>
        </w:numPr>
        <w:ind w:hanging="367"/>
      </w:pPr>
      <w:r>
        <w:rPr>
          <w:sz w:val="30"/>
        </w:rPr>
        <w:t>ALCANCE</w:t>
      </w:r>
      <w:r>
        <w:rPr>
          <w:sz w:val="30"/>
        </w:rPr>
        <w:tab/>
      </w:r>
      <w:r>
        <w:rPr>
          <w:rFonts w:ascii="Courier New" w:eastAsia="Courier New" w:hAnsi="Courier New" w:cs="Courier New"/>
          <w:sz w:val="30"/>
        </w:rPr>
        <w:t>15</w:t>
      </w:r>
    </w:p>
    <w:p w14:paraId="11F9A548" w14:textId="77777777" w:rsidR="00053D93" w:rsidRDefault="00260B75">
      <w:r>
        <w:rPr>
          <w:sz w:val="26"/>
        </w:rPr>
        <w:t>Área financiera</w:t>
      </w:r>
    </w:p>
    <w:p w14:paraId="314685F0" w14:textId="77777777" w:rsidR="00053D93" w:rsidRDefault="00260B75">
      <w:r>
        <w:rPr>
          <w:rFonts w:ascii="Courier New" w:eastAsia="Courier New" w:hAnsi="Courier New" w:cs="Courier New"/>
          <w:sz w:val="28"/>
        </w:rPr>
        <w:t>15</w:t>
      </w:r>
    </w:p>
    <w:p w14:paraId="798D064D" w14:textId="77777777" w:rsidR="00053D93" w:rsidRDefault="00260B75">
      <w:pPr>
        <w:tabs>
          <w:tab w:val="center" w:pos="9875"/>
        </w:tabs>
      </w:pPr>
      <w:r>
        <w:rPr>
          <w:sz w:val="24"/>
        </w:rPr>
        <w:t>Área de cumplimiento</w:t>
      </w:r>
      <w:r>
        <w:rPr>
          <w:sz w:val="24"/>
        </w:rPr>
        <w:tab/>
      </w:r>
      <w:r>
        <w:rPr>
          <w:rFonts w:ascii="Courier New" w:eastAsia="Courier New" w:hAnsi="Courier New" w:cs="Courier New"/>
          <w:sz w:val="24"/>
        </w:rPr>
        <w:t>31</w:t>
      </w:r>
    </w:p>
    <w:p w14:paraId="3237A811" w14:textId="77777777" w:rsidR="00053D93" w:rsidRDefault="00260B75">
      <w:r>
        <w:rPr>
          <w:rFonts w:ascii="Courier New" w:eastAsia="Courier New" w:hAnsi="Courier New" w:cs="Courier New"/>
          <w:sz w:val="20"/>
        </w:rPr>
        <w:t>Otros aspectos</w:t>
      </w:r>
    </w:p>
    <w:p w14:paraId="1C3763D4" w14:textId="77777777" w:rsidR="00053D93" w:rsidRDefault="00260B75">
      <w:r>
        <w:rPr>
          <w:rFonts w:ascii="Courier New" w:eastAsia="Courier New" w:hAnsi="Courier New" w:cs="Courier New"/>
          <w:sz w:val="24"/>
        </w:rPr>
        <w:t>31</w:t>
      </w:r>
    </w:p>
    <w:p w14:paraId="13FD72B7" w14:textId="77777777" w:rsidR="00053D93" w:rsidRDefault="00260B75">
      <w:pPr>
        <w:tabs>
          <w:tab w:val="center" w:pos="3208"/>
          <w:tab w:val="right" w:pos="10210"/>
        </w:tabs>
      </w:pPr>
      <w:r>
        <w:rPr>
          <w:sz w:val="26"/>
        </w:rPr>
        <w:tab/>
        <w:t>Área del especialista</w:t>
      </w:r>
      <w:r>
        <w:rPr>
          <w:sz w:val="26"/>
        </w:rPr>
        <w:tab/>
      </w:r>
      <w:r>
        <w:rPr>
          <w:rFonts w:ascii="Courier New" w:eastAsia="Courier New" w:hAnsi="Courier New" w:cs="Courier New"/>
          <w:sz w:val="26"/>
        </w:rPr>
        <w:t>40</w:t>
      </w:r>
    </w:p>
    <w:p w14:paraId="7D26A0E1" w14:textId="77777777" w:rsidR="00053D93" w:rsidRDefault="00260B75">
      <w:pPr>
        <w:numPr>
          <w:ilvl w:val="0"/>
          <w:numId w:val="1"/>
        </w:numPr>
        <w:ind w:hanging="367"/>
      </w:pPr>
      <w:r>
        <w:rPr>
          <w:sz w:val="30"/>
        </w:rPr>
        <w:lastRenderedPageBreak/>
        <w:t>OBJETIVOS DE LA AUDITORÍA</w:t>
      </w:r>
      <w:r>
        <w:rPr>
          <w:sz w:val="30"/>
        </w:rPr>
        <w:tab/>
      </w:r>
      <w:r>
        <w:rPr>
          <w:rFonts w:ascii="Courier New" w:eastAsia="Courier New" w:hAnsi="Courier New" w:cs="Courier New"/>
          <w:sz w:val="30"/>
        </w:rPr>
        <w:t>41</w:t>
      </w:r>
    </w:p>
    <w:p w14:paraId="4DF6E61A" w14:textId="77777777" w:rsidR="00053D93" w:rsidRDefault="00260B75">
      <w:pPr>
        <w:tabs>
          <w:tab w:val="center" w:pos="2556"/>
          <w:tab w:val="center" w:pos="9864"/>
        </w:tabs>
      </w:pPr>
      <w:r>
        <w:rPr>
          <w:sz w:val="26"/>
        </w:rPr>
        <w:tab/>
        <w:t>General</w:t>
      </w:r>
      <w:r>
        <w:rPr>
          <w:sz w:val="26"/>
        </w:rPr>
        <w:tab/>
      </w:r>
      <w:r>
        <w:rPr>
          <w:rFonts w:ascii="Courier New" w:eastAsia="Courier New" w:hAnsi="Courier New" w:cs="Courier New"/>
          <w:sz w:val="26"/>
        </w:rPr>
        <w:t>41</w:t>
      </w:r>
    </w:p>
    <w:p w14:paraId="13E651C8" w14:textId="77777777" w:rsidR="00053D93" w:rsidRDefault="00260B75">
      <w:pPr>
        <w:tabs>
          <w:tab w:val="center" w:pos="2736"/>
          <w:tab w:val="center" w:pos="9857"/>
        </w:tabs>
      </w:pPr>
      <w:r>
        <w:rPr>
          <w:sz w:val="18"/>
        </w:rPr>
        <w:tab/>
      </w:r>
      <w:r>
        <w:rPr>
          <w:rFonts w:ascii="Courier New" w:eastAsia="Courier New" w:hAnsi="Courier New" w:cs="Courier New"/>
          <w:sz w:val="18"/>
        </w:rPr>
        <w:t>Específicos</w:t>
      </w:r>
      <w:r>
        <w:rPr>
          <w:rFonts w:ascii="Courier New" w:eastAsia="Courier New" w:hAnsi="Courier New" w:cs="Courier New"/>
          <w:sz w:val="18"/>
        </w:rPr>
        <w:tab/>
        <w:t>41</w:t>
      </w:r>
    </w:p>
    <w:p w14:paraId="05DC3370" w14:textId="77777777" w:rsidR="00053D93" w:rsidRDefault="00260B75">
      <w:pPr>
        <w:numPr>
          <w:ilvl w:val="0"/>
          <w:numId w:val="1"/>
        </w:numPr>
        <w:ind w:hanging="367"/>
      </w:pPr>
      <w:r>
        <w:rPr>
          <w:sz w:val="30"/>
        </w:rPr>
        <w:t>ACCIONES PREVENTIVAS</w:t>
      </w:r>
      <w:r>
        <w:rPr>
          <w:sz w:val="30"/>
        </w:rPr>
        <w:tab/>
      </w:r>
      <w:r>
        <w:rPr>
          <w:rFonts w:ascii="Courier New" w:eastAsia="Courier New" w:hAnsi="Courier New" w:cs="Courier New"/>
          <w:sz w:val="30"/>
        </w:rPr>
        <w:t>42</w:t>
      </w:r>
    </w:p>
    <w:p w14:paraId="6BADF1A1" w14:textId="77777777" w:rsidR="00053D93" w:rsidRDefault="00260B75">
      <w:pPr>
        <w:numPr>
          <w:ilvl w:val="0"/>
          <w:numId w:val="1"/>
        </w:numPr>
        <w:ind w:hanging="367"/>
      </w:pPr>
      <w:r>
        <w:rPr>
          <w:sz w:val="30"/>
        </w:rPr>
        <w:t>RESULTADOS DE LA AUDITORÍA</w:t>
      </w:r>
      <w:r>
        <w:rPr>
          <w:sz w:val="30"/>
        </w:rPr>
        <w:tab/>
      </w:r>
      <w:r>
        <w:rPr>
          <w:rFonts w:ascii="Courier New" w:eastAsia="Courier New" w:hAnsi="Courier New" w:cs="Courier New"/>
          <w:sz w:val="30"/>
        </w:rPr>
        <w:t>48</w:t>
      </w:r>
    </w:p>
    <w:p w14:paraId="0B1B9232" w14:textId="77777777" w:rsidR="00053D93" w:rsidRDefault="00260B75">
      <w:pPr>
        <w:tabs>
          <w:tab w:val="center" w:pos="3139"/>
          <w:tab w:val="center" w:pos="9868"/>
        </w:tabs>
      </w:pPr>
      <w:r>
        <w:rPr>
          <w:sz w:val="24"/>
        </w:rPr>
        <w:tab/>
        <w:t>Estados financieros</w:t>
      </w:r>
      <w:r>
        <w:rPr>
          <w:sz w:val="24"/>
        </w:rPr>
        <w:tab/>
      </w:r>
      <w:r>
        <w:rPr>
          <w:rFonts w:ascii="Courier New" w:eastAsia="Courier New" w:hAnsi="Courier New" w:cs="Courier New"/>
          <w:sz w:val="24"/>
        </w:rPr>
        <w:t>48</w:t>
      </w:r>
    </w:p>
    <w:p w14:paraId="3BC44070" w14:textId="77777777" w:rsidR="00053D93" w:rsidRDefault="00260B75">
      <w:pPr>
        <w:tabs>
          <w:tab w:val="center" w:pos="3730"/>
          <w:tab w:val="center" w:pos="9864"/>
        </w:tabs>
      </w:pPr>
      <w:r>
        <w:rPr>
          <w:sz w:val="26"/>
        </w:rPr>
        <w:tab/>
        <w:t>Notas a los estados financieros</w:t>
      </w:r>
      <w:r>
        <w:rPr>
          <w:sz w:val="26"/>
        </w:rPr>
        <w:tab/>
      </w:r>
      <w:r>
        <w:rPr>
          <w:rFonts w:ascii="Courier New" w:eastAsia="Courier New" w:hAnsi="Courier New" w:cs="Courier New"/>
          <w:sz w:val="26"/>
        </w:rPr>
        <w:t>49</w:t>
      </w:r>
    </w:p>
    <w:p w14:paraId="72E8CBF8" w14:textId="77777777" w:rsidR="00053D93" w:rsidRDefault="00260B75">
      <w:pPr>
        <w:tabs>
          <w:tab w:val="center" w:pos="4248"/>
          <w:tab w:val="center" w:pos="9846"/>
        </w:tabs>
      </w:pPr>
      <w:r>
        <w:rPr>
          <w:sz w:val="24"/>
        </w:rPr>
        <w:tab/>
        <w:t>Informe relacionado con el control interno</w:t>
      </w:r>
      <w:r>
        <w:rPr>
          <w:sz w:val="24"/>
        </w:rPr>
        <w:tab/>
      </w:r>
      <w:r>
        <w:rPr>
          <w:rFonts w:ascii="Courier New" w:eastAsia="Courier New" w:hAnsi="Courier New" w:cs="Courier New"/>
          <w:sz w:val="24"/>
        </w:rPr>
        <w:t>61</w:t>
      </w:r>
    </w:p>
    <w:p w14:paraId="67E5EDA4" w14:textId="77777777" w:rsidR="00053D93" w:rsidRDefault="00260B75">
      <w:pPr>
        <w:tabs>
          <w:tab w:val="center" w:pos="5364"/>
          <w:tab w:val="center" w:pos="9860"/>
        </w:tabs>
      </w:pPr>
      <w:r>
        <w:rPr>
          <w:sz w:val="26"/>
        </w:rPr>
        <w:tab/>
        <w:t>Informe relacionado con el cumplimiento a leyes y regulaciones</w:t>
      </w:r>
      <w:r>
        <w:rPr>
          <w:sz w:val="26"/>
        </w:rPr>
        <w:tab/>
      </w:r>
      <w:r>
        <w:rPr>
          <w:rFonts w:ascii="Courier New" w:eastAsia="Courier New" w:hAnsi="Courier New" w:cs="Courier New"/>
          <w:sz w:val="26"/>
        </w:rPr>
        <w:t>65</w:t>
      </w:r>
    </w:p>
    <w:p w14:paraId="7ADA92DA" w14:textId="77777777" w:rsidR="00053D93" w:rsidRDefault="00260B75">
      <w:pPr>
        <w:spacing w:after="17" w:line="247" w:lineRule="auto"/>
        <w:ind w:left="2138" w:right="14" w:firstLine="4"/>
        <w:jc w:val="both"/>
      </w:pPr>
      <w:r>
        <w:rPr>
          <w:sz w:val="26"/>
        </w:rPr>
        <w:t>aplicables</w:t>
      </w:r>
    </w:p>
    <w:p w14:paraId="2E40B314" w14:textId="77777777" w:rsidR="00053D93" w:rsidRDefault="00260B75">
      <w:pPr>
        <w:spacing w:after="0"/>
        <w:ind w:left="655"/>
      </w:pPr>
      <w:r>
        <w:rPr>
          <w:noProof/>
        </w:rPr>
        <w:drawing>
          <wp:inline distT="0" distB="0" distL="0" distR="0" wp14:anchorId="3D7D3EEA" wp14:editId="08E35A86">
            <wp:extent cx="1156716" cy="411480"/>
            <wp:effectExtent l="0" t="0" r="0" b="0"/>
            <wp:docPr id="11042" name="Picture 11042"/>
            <wp:cNvGraphicFramePr/>
            <a:graphic xmlns:a="http://schemas.openxmlformats.org/drawingml/2006/main">
              <a:graphicData uri="http://schemas.openxmlformats.org/drawingml/2006/picture">
                <pic:pic xmlns:pic="http://schemas.openxmlformats.org/drawingml/2006/picture">
                  <pic:nvPicPr>
                    <pic:cNvPr id="11042" name="Picture 11042"/>
                    <pic:cNvPicPr/>
                  </pic:nvPicPr>
                  <pic:blipFill>
                    <a:blip r:embed="rId26"/>
                    <a:stretch>
                      <a:fillRect/>
                    </a:stretch>
                  </pic:blipFill>
                  <pic:spPr>
                    <a:xfrm>
                      <a:off x="0" y="0"/>
                      <a:ext cx="1156716" cy="411480"/>
                    </a:xfrm>
                    <a:prstGeom prst="rect">
                      <a:avLst/>
                    </a:prstGeom>
                  </pic:spPr>
                </pic:pic>
              </a:graphicData>
            </a:graphic>
          </wp:inline>
        </w:drawing>
      </w:r>
    </w:p>
    <w:p w14:paraId="0322BFBD" w14:textId="77777777" w:rsidR="00053D93" w:rsidRDefault="00260B75">
      <w:pPr>
        <w:tabs>
          <w:tab w:val="center" w:pos="5602"/>
          <w:tab w:val="right" w:pos="10210"/>
        </w:tabs>
      </w:pPr>
      <w:r>
        <w:rPr>
          <w:sz w:val="26"/>
        </w:rPr>
        <w:tab/>
        <w:t>Hallazgos relacionados con el cumplimiento a leyes y regulaciones</w:t>
      </w:r>
      <w:r>
        <w:rPr>
          <w:sz w:val="26"/>
        </w:rPr>
        <w:tab/>
      </w:r>
      <w:r>
        <w:rPr>
          <w:rFonts w:ascii="Courier New" w:eastAsia="Courier New" w:hAnsi="Courier New" w:cs="Courier New"/>
          <w:sz w:val="26"/>
        </w:rPr>
        <w:t>69</w:t>
      </w:r>
    </w:p>
    <w:p w14:paraId="67227559" w14:textId="77777777" w:rsidR="00053D93" w:rsidRDefault="00260B75">
      <w:r>
        <w:rPr>
          <w:sz w:val="26"/>
        </w:rPr>
        <w:t>aplicables</w:t>
      </w:r>
    </w:p>
    <w:p w14:paraId="2FFCC04F" w14:textId="77777777" w:rsidR="00053D93" w:rsidRDefault="00260B75">
      <w:pPr>
        <w:numPr>
          <w:ilvl w:val="0"/>
          <w:numId w:val="1"/>
        </w:numPr>
        <w:ind w:hanging="367"/>
      </w:pPr>
      <w:r>
        <w:rPr>
          <w:sz w:val="28"/>
        </w:rPr>
        <w:t>SEGUIMIENTO A RECOMENDACIONES</w:t>
      </w:r>
      <w:r>
        <w:rPr>
          <w:sz w:val="28"/>
        </w:rPr>
        <w:tab/>
      </w:r>
      <w:r>
        <w:rPr>
          <w:rFonts w:ascii="Courier New" w:eastAsia="Courier New" w:hAnsi="Courier New" w:cs="Courier New"/>
          <w:sz w:val="28"/>
        </w:rPr>
        <w:t>478</w:t>
      </w:r>
    </w:p>
    <w:p w14:paraId="0E6A738A" w14:textId="77777777" w:rsidR="00053D93" w:rsidRDefault="00260B75">
      <w:pPr>
        <w:numPr>
          <w:ilvl w:val="0"/>
          <w:numId w:val="1"/>
        </w:numPr>
        <w:ind w:hanging="367"/>
      </w:pPr>
      <w:r>
        <w:rPr>
          <w:sz w:val="28"/>
        </w:rPr>
        <w:t>AUTORIDADES DE LA ENTIDAD, DURANTE EL PERÍODO</w:t>
      </w:r>
      <w:r>
        <w:rPr>
          <w:sz w:val="28"/>
        </w:rPr>
        <w:tab/>
      </w:r>
      <w:r>
        <w:rPr>
          <w:rFonts w:ascii="Courier New" w:eastAsia="Courier New" w:hAnsi="Courier New" w:cs="Courier New"/>
          <w:sz w:val="28"/>
        </w:rPr>
        <w:t>479</w:t>
      </w:r>
    </w:p>
    <w:p w14:paraId="24DF2AA2" w14:textId="77777777" w:rsidR="00053D93" w:rsidRDefault="00260B75">
      <w:r>
        <w:rPr>
          <w:sz w:val="28"/>
        </w:rPr>
        <w:t>AUDITADO</w:t>
      </w:r>
    </w:p>
    <w:p w14:paraId="207356DB" w14:textId="77777777" w:rsidR="00053D93" w:rsidRDefault="00260B75">
      <w:pPr>
        <w:numPr>
          <w:ilvl w:val="0"/>
          <w:numId w:val="1"/>
        </w:numPr>
        <w:ind w:hanging="367"/>
      </w:pPr>
      <w:r>
        <w:rPr>
          <w:sz w:val="28"/>
        </w:rPr>
        <w:t>EQUIPO DE AUDITORÍA</w:t>
      </w:r>
      <w:r>
        <w:rPr>
          <w:sz w:val="28"/>
        </w:rPr>
        <w:tab/>
      </w:r>
      <w:r>
        <w:rPr>
          <w:rFonts w:ascii="Courier New" w:eastAsia="Courier New" w:hAnsi="Courier New" w:cs="Courier New"/>
          <w:sz w:val="28"/>
        </w:rPr>
        <w:t>480</w:t>
      </w:r>
    </w:p>
    <w:p w14:paraId="03D7C669" w14:textId="77777777" w:rsidR="00053D93" w:rsidRDefault="00260B75">
      <w:pPr>
        <w:numPr>
          <w:ilvl w:val="0"/>
          <w:numId w:val="1"/>
        </w:numPr>
        <w:ind w:hanging="367"/>
      </w:pPr>
      <w:r>
        <w:rPr>
          <w:sz w:val="28"/>
        </w:rPr>
        <w:t>CONTROL DE CALIDAD ASIGNADO</w:t>
      </w:r>
      <w:r>
        <w:rPr>
          <w:sz w:val="28"/>
        </w:rPr>
        <w:tab/>
      </w:r>
      <w:r>
        <w:rPr>
          <w:rFonts w:ascii="Courier New" w:eastAsia="Courier New" w:hAnsi="Courier New" w:cs="Courier New"/>
          <w:sz w:val="28"/>
        </w:rPr>
        <w:t>481</w:t>
      </w:r>
    </w:p>
    <w:p w14:paraId="07E35C20" w14:textId="77777777" w:rsidR="00053D93" w:rsidRDefault="00260B75">
      <w:pPr>
        <w:numPr>
          <w:ilvl w:val="0"/>
          <w:numId w:val="1"/>
        </w:numPr>
        <w:ind w:hanging="367"/>
      </w:pPr>
      <w:r>
        <w:rPr>
          <w:sz w:val="26"/>
        </w:rPr>
        <w:t>ANEXOS</w:t>
      </w:r>
      <w:r>
        <w:rPr>
          <w:sz w:val="26"/>
        </w:rPr>
        <w:tab/>
      </w:r>
      <w:r>
        <w:rPr>
          <w:rFonts w:ascii="Courier New" w:eastAsia="Courier New" w:hAnsi="Courier New" w:cs="Courier New"/>
          <w:sz w:val="26"/>
        </w:rPr>
        <w:t>482</w:t>
      </w:r>
    </w:p>
    <w:p w14:paraId="3851F105" w14:textId="77777777" w:rsidR="00053D93" w:rsidRDefault="00260B75">
      <w:pPr>
        <w:spacing w:after="76" w:line="252" w:lineRule="auto"/>
        <w:ind w:left="2213" w:hanging="10"/>
        <w:jc w:val="both"/>
      </w:pPr>
      <w:r>
        <w:rPr>
          <w:sz w:val="24"/>
        </w:rPr>
        <w:t>Nombramiento</w:t>
      </w:r>
    </w:p>
    <w:p w14:paraId="3A982BE7" w14:textId="77777777" w:rsidR="00053D93" w:rsidRDefault="00260B75">
      <w:pPr>
        <w:spacing w:after="2736" w:line="247" w:lineRule="auto"/>
        <w:ind w:left="2203" w:right="14" w:firstLine="4"/>
        <w:jc w:val="both"/>
      </w:pPr>
      <w:r>
        <w:rPr>
          <w:noProof/>
        </w:rPr>
        <w:drawing>
          <wp:anchor distT="0" distB="0" distL="114300" distR="114300" simplePos="0" relativeHeight="251665408" behindDoc="0" locked="0" layoutInCell="1" allowOverlap="0" wp14:anchorId="15146D0C" wp14:editId="4BA818D6">
            <wp:simplePos x="0" y="0"/>
            <wp:positionH relativeFrom="page">
              <wp:posOffset>635508</wp:posOffset>
            </wp:positionH>
            <wp:positionV relativeFrom="page">
              <wp:posOffset>9194292</wp:posOffset>
            </wp:positionV>
            <wp:extent cx="1156716" cy="406908"/>
            <wp:effectExtent l="0" t="0" r="0" b="0"/>
            <wp:wrapTopAndBottom/>
            <wp:docPr id="12604" name="Picture 12604"/>
            <wp:cNvGraphicFramePr/>
            <a:graphic xmlns:a="http://schemas.openxmlformats.org/drawingml/2006/main">
              <a:graphicData uri="http://schemas.openxmlformats.org/drawingml/2006/picture">
                <pic:pic xmlns:pic="http://schemas.openxmlformats.org/drawingml/2006/picture">
                  <pic:nvPicPr>
                    <pic:cNvPr id="12604" name="Picture 12604"/>
                    <pic:cNvPicPr/>
                  </pic:nvPicPr>
                  <pic:blipFill>
                    <a:blip r:embed="rId27"/>
                    <a:stretch>
                      <a:fillRect/>
                    </a:stretch>
                  </pic:blipFill>
                  <pic:spPr>
                    <a:xfrm>
                      <a:off x="0" y="0"/>
                      <a:ext cx="1156716" cy="406908"/>
                    </a:xfrm>
                    <a:prstGeom prst="rect">
                      <a:avLst/>
                    </a:prstGeom>
                  </pic:spPr>
                </pic:pic>
              </a:graphicData>
            </a:graphic>
          </wp:anchor>
        </w:drawing>
      </w:r>
      <w:r>
        <w:rPr>
          <w:sz w:val="26"/>
        </w:rPr>
        <w:t>Formulario SRI</w:t>
      </w:r>
    </w:p>
    <w:p w14:paraId="7AD903A6" w14:textId="77777777" w:rsidR="00053D93" w:rsidRDefault="00260B75">
      <w:pPr>
        <w:spacing w:after="0"/>
      </w:pPr>
      <w:r>
        <w:rPr>
          <w:sz w:val="312"/>
        </w:rPr>
        <w:lastRenderedPageBreak/>
        <w:t>i</w:t>
      </w:r>
    </w:p>
    <w:p w14:paraId="726DE320" w14:textId="77777777" w:rsidR="00053D93" w:rsidRDefault="00260B75">
      <w:pPr>
        <w:tabs>
          <w:tab w:val="center" w:pos="2096"/>
          <w:tab w:val="center" w:pos="9122"/>
        </w:tabs>
        <w:spacing w:after="5"/>
      </w:pPr>
      <w:r>
        <w:rPr>
          <w:noProof/>
        </w:rPr>
        <w:drawing>
          <wp:anchor distT="0" distB="0" distL="114300" distR="114300" simplePos="0" relativeHeight="251666432" behindDoc="0" locked="0" layoutInCell="1" allowOverlap="0" wp14:anchorId="0ACD9B6B" wp14:editId="0CD00AE7">
            <wp:simplePos x="0" y="0"/>
            <wp:positionH relativeFrom="column">
              <wp:posOffset>-109727</wp:posOffset>
            </wp:positionH>
            <wp:positionV relativeFrom="paragraph">
              <wp:posOffset>-214883</wp:posOffset>
            </wp:positionV>
            <wp:extent cx="329184" cy="4215384"/>
            <wp:effectExtent l="0" t="0" r="0" b="0"/>
            <wp:wrapSquare wrapText="bothSides"/>
            <wp:docPr id="18385" name="Picture 18385"/>
            <wp:cNvGraphicFramePr/>
            <a:graphic xmlns:a="http://schemas.openxmlformats.org/drawingml/2006/main">
              <a:graphicData uri="http://schemas.openxmlformats.org/drawingml/2006/picture">
                <pic:pic xmlns:pic="http://schemas.openxmlformats.org/drawingml/2006/picture">
                  <pic:nvPicPr>
                    <pic:cNvPr id="18385" name="Picture 18385"/>
                    <pic:cNvPicPr/>
                  </pic:nvPicPr>
                  <pic:blipFill>
                    <a:blip r:embed="rId28"/>
                    <a:stretch>
                      <a:fillRect/>
                    </a:stretch>
                  </pic:blipFill>
                  <pic:spPr>
                    <a:xfrm>
                      <a:off x="0" y="0"/>
                      <a:ext cx="329184" cy="4215384"/>
                    </a:xfrm>
                    <a:prstGeom prst="rect">
                      <a:avLst/>
                    </a:prstGeom>
                  </pic:spPr>
                </pic:pic>
              </a:graphicData>
            </a:graphic>
          </wp:anchor>
        </w:drawing>
      </w:r>
      <w:r>
        <w:rPr>
          <w:sz w:val="24"/>
        </w:rPr>
        <w:tab/>
      </w:r>
      <w:r>
        <w:rPr>
          <w:noProof/>
        </w:rPr>
        <w:drawing>
          <wp:inline distT="0" distB="0" distL="0" distR="0" wp14:anchorId="243EE7C8" wp14:editId="1C4EAF69">
            <wp:extent cx="955548" cy="416052"/>
            <wp:effectExtent l="0" t="0" r="0" b="0"/>
            <wp:docPr id="18387" name="Picture 18387"/>
            <wp:cNvGraphicFramePr/>
            <a:graphic xmlns:a="http://schemas.openxmlformats.org/drawingml/2006/main">
              <a:graphicData uri="http://schemas.openxmlformats.org/drawingml/2006/picture">
                <pic:pic xmlns:pic="http://schemas.openxmlformats.org/drawingml/2006/picture">
                  <pic:nvPicPr>
                    <pic:cNvPr id="18387" name="Picture 18387"/>
                    <pic:cNvPicPr/>
                  </pic:nvPicPr>
                  <pic:blipFill>
                    <a:blip r:embed="rId29"/>
                    <a:stretch>
                      <a:fillRect/>
                    </a:stretch>
                  </pic:blipFill>
                  <pic:spPr>
                    <a:xfrm>
                      <a:off x="0" y="0"/>
                      <a:ext cx="955548" cy="416052"/>
                    </a:xfrm>
                    <a:prstGeom prst="rect">
                      <a:avLst/>
                    </a:prstGeom>
                  </pic:spPr>
                </pic:pic>
              </a:graphicData>
            </a:graphic>
          </wp:inline>
        </w:drawing>
      </w:r>
      <w:r>
        <w:rPr>
          <w:rFonts w:ascii="Times New Roman" w:eastAsia="Times New Roman" w:hAnsi="Times New Roman" w:cs="Times New Roman"/>
          <w:sz w:val="24"/>
        </w:rPr>
        <w:tab/>
        <w:t xml:space="preserve">construyen </w:t>
      </w:r>
    </w:p>
    <w:p w14:paraId="7CAF2B26" w14:textId="77777777" w:rsidR="00053D93" w:rsidRDefault="00260B75">
      <w:pPr>
        <w:spacing w:after="1400" w:line="265" w:lineRule="auto"/>
        <w:ind w:left="118" w:hanging="10"/>
      </w:pPr>
      <w:r>
        <w:rPr>
          <w:sz w:val="12"/>
        </w:rPr>
        <w:t>GUATEMALA.</w:t>
      </w:r>
      <w:r>
        <w:rPr>
          <w:noProof/>
        </w:rPr>
        <w:drawing>
          <wp:inline distT="0" distB="0" distL="0" distR="0" wp14:anchorId="11AC1B20" wp14:editId="12995526">
            <wp:extent cx="109728" cy="50292"/>
            <wp:effectExtent l="0" t="0" r="0" b="0"/>
            <wp:docPr id="18293" name="Picture 18293"/>
            <wp:cNvGraphicFramePr/>
            <a:graphic xmlns:a="http://schemas.openxmlformats.org/drawingml/2006/main">
              <a:graphicData uri="http://schemas.openxmlformats.org/drawingml/2006/picture">
                <pic:pic xmlns:pic="http://schemas.openxmlformats.org/drawingml/2006/picture">
                  <pic:nvPicPr>
                    <pic:cNvPr id="18293" name="Picture 18293"/>
                    <pic:cNvPicPr/>
                  </pic:nvPicPr>
                  <pic:blipFill>
                    <a:blip r:embed="rId30"/>
                    <a:stretch>
                      <a:fillRect/>
                    </a:stretch>
                  </pic:blipFill>
                  <pic:spPr>
                    <a:xfrm>
                      <a:off x="0" y="0"/>
                      <a:ext cx="109728" cy="50292"/>
                    </a:xfrm>
                    <a:prstGeom prst="rect">
                      <a:avLst/>
                    </a:prstGeom>
                  </pic:spPr>
                </pic:pic>
              </a:graphicData>
            </a:graphic>
          </wp:inline>
        </w:drawing>
      </w:r>
    </w:p>
    <w:p w14:paraId="671739A1" w14:textId="77777777" w:rsidR="00053D93" w:rsidRDefault="00260B75">
      <w:pPr>
        <w:spacing w:after="598" w:line="267" w:lineRule="auto"/>
        <w:ind w:left="18" w:right="21" w:hanging="4"/>
        <w:jc w:val="right"/>
      </w:pPr>
      <w:r>
        <w:rPr>
          <w:sz w:val="26"/>
        </w:rPr>
        <w:t>Guatemala, 08 de mayo de 2025</w:t>
      </w:r>
    </w:p>
    <w:p w14:paraId="010AB3D4" w14:textId="77777777" w:rsidR="00053D93" w:rsidRDefault="00260B75">
      <w:pPr>
        <w:spacing w:after="17" w:line="247" w:lineRule="auto"/>
        <w:ind w:left="14" w:right="14" w:firstLine="4"/>
        <w:jc w:val="both"/>
      </w:pPr>
      <w:r>
        <w:rPr>
          <w:sz w:val="26"/>
        </w:rPr>
        <w:t>Licenciada</w:t>
      </w:r>
    </w:p>
    <w:p w14:paraId="12A1736E" w14:textId="77777777" w:rsidR="00053D93" w:rsidRDefault="00260B75">
      <w:pPr>
        <w:spacing w:after="17" w:line="247" w:lineRule="auto"/>
        <w:ind w:left="14" w:right="14" w:firstLine="4"/>
        <w:jc w:val="both"/>
      </w:pPr>
      <w:r>
        <w:rPr>
          <w:sz w:val="26"/>
        </w:rPr>
        <w:t>Anabella María Giracca Méndez de Castellanos</w:t>
      </w:r>
    </w:p>
    <w:p w14:paraId="56D60B44" w14:textId="77777777" w:rsidR="00053D93" w:rsidRDefault="00260B75">
      <w:pPr>
        <w:spacing w:after="17" w:line="247" w:lineRule="auto"/>
        <w:ind w:left="14" w:right="14" w:firstLine="4"/>
        <w:jc w:val="both"/>
      </w:pPr>
      <w:r>
        <w:rPr>
          <w:sz w:val="26"/>
        </w:rPr>
        <w:t>Ministra de Educacion</w:t>
      </w:r>
    </w:p>
    <w:p w14:paraId="6C7B1FE8" w14:textId="77777777" w:rsidR="00053D93" w:rsidRDefault="00260B75">
      <w:pPr>
        <w:spacing w:after="18" w:line="248" w:lineRule="auto"/>
        <w:ind w:left="1709" w:hanging="3"/>
        <w:jc w:val="both"/>
      </w:pPr>
      <w:r>
        <w:rPr>
          <w:sz w:val="28"/>
        </w:rPr>
        <w:t>MINISTERIO DE EDUCACION</w:t>
      </w:r>
    </w:p>
    <w:p w14:paraId="4A83F487" w14:textId="77777777" w:rsidR="00053D93" w:rsidRDefault="00260B75">
      <w:pPr>
        <w:spacing w:after="557" w:line="247" w:lineRule="auto"/>
        <w:ind w:left="14" w:right="14" w:firstLine="4"/>
        <w:jc w:val="both"/>
      </w:pPr>
      <w:r>
        <w:rPr>
          <w:sz w:val="26"/>
        </w:rPr>
        <w:t>Su Despacho</w:t>
      </w:r>
    </w:p>
    <w:p w14:paraId="4348B297" w14:textId="77777777" w:rsidR="00053D93" w:rsidRDefault="00260B75">
      <w:pPr>
        <w:spacing w:after="291" w:line="247" w:lineRule="auto"/>
        <w:ind w:left="14" w:right="14" w:firstLine="4"/>
        <w:jc w:val="both"/>
      </w:pPr>
      <w:r>
        <w:rPr>
          <w:sz w:val="26"/>
        </w:rPr>
        <w:t>Señor (a) Ministra de Educacion:</w:t>
      </w:r>
    </w:p>
    <w:p w14:paraId="56F812A3" w14:textId="77777777" w:rsidR="00053D93" w:rsidRDefault="00260B75">
      <w:pPr>
        <w:spacing w:after="17" w:line="247" w:lineRule="auto"/>
        <w:ind w:left="14" w:right="14" w:firstLine="1454"/>
        <w:jc w:val="both"/>
      </w:pPr>
      <w:r>
        <w:rPr>
          <w:sz w:val="26"/>
        </w:rPr>
        <w:t xml:space="preserve">El equipo de auditoría, designado de conformidad con el (los) nombramiento (s) No. (Nos.) DAS-03-0037-2024 de fecha 09 de agosto de 2024, DAS-03-0087-2024 </w:t>
      </w:r>
      <w:r>
        <w:rPr>
          <w:rFonts w:ascii="Times New Roman" w:eastAsia="Times New Roman" w:hAnsi="Times New Roman" w:cs="Times New Roman"/>
          <w:sz w:val="26"/>
        </w:rPr>
        <w:t xml:space="preserve">1 </w:t>
      </w:r>
      <w:r>
        <w:rPr>
          <w:sz w:val="26"/>
        </w:rPr>
        <w:t>de fecha 15 de octubre de 2024, DAS-03-0090-2024 de fecha 22 de octubre de</w:t>
      </w:r>
    </w:p>
    <w:p w14:paraId="05EFD182" w14:textId="77777777" w:rsidR="00053D93" w:rsidRDefault="00260B75">
      <w:pPr>
        <w:spacing w:after="173" w:line="247" w:lineRule="auto"/>
        <w:ind w:left="14" w:right="14" w:firstLine="1728"/>
        <w:jc w:val="both"/>
      </w:pPr>
      <w:r>
        <w:rPr>
          <w:noProof/>
        </w:rPr>
        <w:drawing>
          <wp:anchor distT="0" distB="0" distL="114300" distR="114300" simplePos="0" relativeHeight="251667456" behindDoc="0" locked="0" layoutInCell="1" allowOverlap="0" wp14:anchorId="1F6440F6" wp14:editId="641CF302">
            <wp:simplePos x="0" y="0"/>
            <wp:positionH relativeFrom="page">
              <wp:posOffset>6999733</wp:posOffset>
            </wp:positionH>
            <wp:positionV relativeFrom="page">
              <wp:posOffset>5939028</wp:posOffset>
            </wp:positionV>
            <wp:extent cx="13715" cy="13716"/>
            <wp:effectExtent l="0" t="0" r="0" b="0"/>
            <wp:wrapSquare wrapText="bothSides"/>
            <wp:docPr id="18294" name="Picture 18294"/>
            <wp:cNvGraphicFramePr/>
            <a:graphic xmlns:a="http://schemas.openxmlformats.org/drawingml/2006/main">
              <a:graphicData uri="http://schemas.openxmlformats.org/drawingml/2006/picture">
                <pic:pic xmlns:pic="http://schemas.openxmlformats.org/drawingml/2006/picture">
                  <pic:nvPicPr>
                    <pic:cNvPr id="18294" name="Picture 18294"/>
                    <pic:cNvPicPr/>
                  </pic:nvPicPr>
                  <pic:blipFill>
                    <a:blip r:embed="rId31"/>
                    <a:stretch>
                      <a:fillRect/>
                    </a:stretch>
                  </pic:blipFill>
                  <pic:spPr>
                    <a:xfrm>
                      <a:off x="0" y="0"/>
                      <a:ext cx="13715" cy="13716"/>
                    </a:xfrm>
                    <a:prstGeom prst="rect">
                      <a:avLst/>
                    </a:prstGeom>
                  </pic:spPr>
                </pic:pic>
              </a:graphicData>
            </a:graphic>
          </wp:anchor>
        </w:drawing>
      </w:r>
      <w:r>
        <w:rPr>
          <w:sz w:val="26"/>
        </w:rPr>
        <w:t xml:space="preserve">2024 y DAS-03-0095-2024 de fecha 03 de diciembre de 2024, ha practicado </w:t>
      </w:r>
      <w:r>
        <w:rPr>
          <w:rFonts w:ascii="Times New Roman" w:eastAsia="Times New Roman" w:hAnsi="Times New Roman" w:cs="Times New Roman"/>
          <w:sz w:val="26"/>
        </w:rPr>
        <w:t xml:space="preserve">1 </w:t>
      </w:r>
      <w:r>
        <w:rPr>
          <w:sz w:val="26"/>
        </w:rPr>
        <w:t>auditoría Financiera y de Cumplimiento, en (el) (la) MINISTERIO DE EDUCACION, con el objetivo de emitir opinión sobre la razonabilidad de la ejecución del presupuesto de ingresos y egresos.</w:t>
      </w:r>
    </w:p>
    <w:p w14:paraId="5C4516FB" w14:textId="77777777" w:rsidR="00053D93" w:rsidRDefault="00260B75">
      <w:pPr>
        <w:spacing w:after="3" w:line="265" w:lineRule="auto"/>
        <w:ind w:left="60" w:right="65" w:hanging="10"/>
      </w:pPr>
      <w:r>
        <w:rPr>
          <w:rFonts w:ascii="Times New Roman" w:eastAsia="Times New Roman" w:hAnsi="Times New Roman" w:cs="Times New Roman"/>
          <w:sz w:val="66"/>
        </w:rPr>
        <w:t>1</w:t>
      </w:r>
    </w:p>
    <w:p w14:paraId="618F8235" w14:textId="77777777" w:rsidR="00053D93" w:rsidRDefault="00260B75">
      <w:pPr>
        <w:spacing w:after="331" w:line="247" w:lineRule="auto"/>
        <w:ind w:left="79" w:right="14" w:firstLine="4"/>
        <w:jc w:val="both"/>
      </w:pPr>
      <w:r>
        <w:rPr>
          <w:noProof/>
        </w:rPr>
        <w:lastRenderedPageBreak/>
        <w:drawing>
          <wp:anchor distT="0" distB="0" distL="114300" distR="114300" simplePos="0" relativeHeight="251668480" behindDoc="0" locked="0" layoutInCell="1" allowOverlap="0" wp14:anchorId="45A3852B" wp14:editId="2D389C9D">
            <wp:simplePos x="0" y="0"/>
            <wp:positionH relativeFrom="column">
              <wp:posOffset>50292</wp:posOffset>
            </wp:positionH>
            <wp:positionV relativeFrom="paragraph">
              <wp:posOffset>121244</wp:posOffset>
            </wp:positionV>
            <wp:extent cx="169164" cy="1152144"/>
            <wp:effectExtent l="0" t="0" r="0" b="0"/>
            <wp:wrapSquare wrapText="bothSides"/>
            <wp:docPr id="18386" name="Picture 18386"/>
            <wp:cNvGraphicFramePr/>
            <a:graphic xmlns:a="http://schemas.openxmlformats.org/drawingml/2006/main">
              <a:graphicData uri="http://schemas.openxmlformats.org/drawingml/2006/picture">
                <pic:pic xmlns:pic="http://schemas.openxmlformats.org/drawingml/2006/picture">
                  <pic:nvPicPr>
                    <pic:cNvPr id="18386" name="Picture 18386"/>
                    <pic:cNvPicPr/>
                  </pic:nvPicPr>
                  <pic:blipFill>
                    <a:blip r:embed="rId32"/>
                    <a:stretch>
                      <a:fillRect/>
                    </a:stretch>
                  </pic:blipFill>
                  <pic:spPr>
                    <a:xfrm>
                      <a:off x="0" y="0"/>
                      <a:ext cx="169164" cy="1152144"/>
                    </a:xfrm>
                    <a:prstGeom prst="rect">
                      <a:avLst/>
                    </a:prstGeom>
                  </pic:spPr>
                </pic:pic>
              </a:graphicData>
            </a:graphic>
          </wp:anchor>
        </w:drawing>
      </w:r>
      <w:r>
        <w:rPr>
          <w:sz w:val="26"/>
        </w:rPr>
        <w:t>Nuestro examen se basó en la evaluación de las operaciones y registros financieros, aspectos de cumplimiento y de control interno, por el período del 01 de enero al 31 de diciembre de 2024. El resultado se dio a conocer al equipo de auditoría que se asignó a la Dirección de Contabilidad del Estado, quien emitió el Dictamen.</w:t>
      </w:r>
    </w:p>
    <w:p w14:paraId="59832217" w14:textId="77777777" w:rsidR="00053D93" w:rsidRDefault="00260B75">
      <w:pPr>
        <w:spacing w:after="17" w:line="247" w:lineRule="auto"/>
        <w:ind w:left="115" w:right="14" w:firstLine="1426"/>
        <w:jc w:val="both"/>
      </w:pPr>
      <w:r>
        <w:rPr>
          <w:sz w:val="26"/>
        </w:rPr>
        <w:t xml:space="preserve">Asimismo se elaboró (elaboraron) el (los) informe (s) de Cumplimiento a Leyes y </w:t>
      </w:r>
      <w:r>
        <w:rPr>
          <w:rFonts w:ascii="Times New Roman" w:eastAsia="Times New Roman" w:hAnsi="Times New Roman" w:cs="Times New Roman"/>
          <w:sz w:val="26"/>
        </w:rPr>
        <w:t xml:space="preserve">1 </w:t>
      </w:r>
      <w:r>
        <w:rPr>
          <w:sz w:val="26"/>
        </w:rPr>
        <w:t>Regulaciones Aplicables, que contiene (n) 33 hallazgo (s), de conformidad con su clasificación y área correspondiente el (los) cual (es) se menciona (n) a</w:t>
      </w:r>
    </w:p>
    <w:p w14:paraId="16BFA958" w14:textId="77777777" w:rsidR="00053D93" w:rsidRDefault="00260B75">
      <w:pPr>
        <w:spacing w:after="60" w:line="252" w:lineRule="auto"/>
        <w:ind w:left="1788" w:hanging="10"/>
        <w:jc w:val="both"/>
      </w:pPr>
      <w:r>
        <w:rPr>
          <w:sz w:val="24"/>
        </w:rPr>
        <w:t>continuación:</w:t>
      </w:r>
    </w:p>
    <w:p w14:paraId="51D05867" w14:textId="77777777" w:rsidR="00053D93" w:rsidRDefault="00260B75">
      <w:pPr>
        <w:spacing w:after="3" w:line="265" w:lineRule="auto"/>
        <w:ind w:left="132" w:right="65" w:hanging="10"/>
      </w:pPr>
      <w:r>
        <w:rPr>
          <w:rFonts w:ascii="Times New Roman" w:eastAsia="Times New Roman" w:hAnsi="Times New Roman" w:cs="Times New Roman"/>
          <w:sz w:val="66"/>
        </w:rPr>
        <w:t>1</w:t>
      </w:r>
    </w:p>
    <w:p w14:paraId="40DC538A" w14:textId="77777777" w:rsidR="00053D93" w:rsidRDefault="00260B75">
      <w:pPr>
        <w:pStyle w:val="Ttulo3"/>
        <w:spacing w:after="254"/>
        <w:ind w:left="1796" w:right="7"/>
      </w:pPr>
      <w:r>
        <w:t>Hallazgos relacionados con el cumplimiento a leyes y regulaciones</w:t>
      </w:r>
    </w:p>
    <w:p w14:paraId="5F7DB317" w14:textId="77777777" w:rsidR="00053D93" w:rsidRDefault="00260B75">
      <w:pPr>
        <w:tabs>
          <w:tab w:val="center" w:pos="2318"/>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aplicables</w:t>
      </w:r>
    </w:p>
    <w:p w14:paraId="744C7103" w14:textId="77777777" w:rsidR="00053D93" w:rsidRDefault="00260B75">
      <w:pPr>
        <w:spacing w:after="18" w:line="248" w:lineRule="auto"/>
        <w:ind w:left="1709" w:hanging="3"/>
        <w:jc w:val="both"/>
      </w:pPr>
      <w:r>
        <w:rPr>
          <w:sz w:val="28"/>
        </w:rPr>
        <w:t>Área financiera y cumplimiento</w:t>
      </w:r>
    </w:p>
    <w:p w14:paraId="3398835E" w14:textId="77777777" w:rsidR="00053D93" w:rsidRDefault="00260B75">
      <w:pPr>
        <w:pStyle w:val="Ttulo2"/>
        <w:tabs>
          <w:tab w:val="center" w:pos="4838"/>
        </w:tabs>
        <w:spacing w:after="3" w:line="261" w:lineRule="auto"/>
        <w:ind w:left="0" w:right="0" w:firstLine="0"/>
      </w:pPr>
      <w:r>
        <w:rPr>
          <w:noProof/>
        </w:rPr>
        <mc:AlternateContent>
          <mc:Choice Requires="wpg">
            <w:drawing>
              <wp:inline distT="0" distB="0" distL="0" distR="0" wp14:anchorId="6FDCEC47" wp14:editId="0961574F">
                <wp:extent cx="128016" cy="411480"/>
                <wp:effectExtent l="0" t="0" r="0" b="0"/>
                <wp:docPr id="2454135" name="Group 2454135"/>
                <wp:cNvGraphicFramePr/>
                <a:graphic xmlns:a="http://schemas.openxmlformats.org/drawingml/2006/main">
                  <a:graphicData uri="http://schemas.microsoft.com/office/word/2010/wordprocessingGroup">
                    <wpg:wgp>
                      <wpg:cNvGrpSpPr/>
                      <wpg:grpSpPr>
                        <a:xfrm>
                          <a:off x="0" y="0"/>
                          <a:ext cx="128016" cy="411480"/>
                          <a:chOff x="0" y="0"/>
                          <a:chExt cx="128016" cy="411480"/>
                        </a:xfrm>
                      </wpg:grpSpPr>
                      <wps:wsp>
                        <wps:cNvPr id="12723" name="Rectangle 12723"/>
                        <wps:cNvSpPr/>
                        <wps:spPr>
                          <a:xfrm>
                            <a:off x="0" y="0"/>
                            <a:ext cx="170261" cy="547269"/>
                          </a:xfrm>
                          <a:prstGeom prst="rect">
                            <a:avLst/>
                          </a:prstGeom>
                          <a:ln>
                            <a:noFill/>
                          </a:ln>
                        </wps:spPr>
                        <wps:txbx>
                          <w:txbxContent>
                            <w:p w14:paraId="1D2FEAFD" w14:textId="77777777" w:rsidR="00053D93" w:rsidRDefault="00260B75">
                              <w:r>
                                <w:rPr>
                                  <w:sz w:val="246"/>
                                </w:rPr>
                                <w:t>i</w:t>
                              </w:r>
                            </w:p>
                          </w:txbxContent>
                        </wps:txbx>
                        <wps:bodyPr horzOverflow="overflow" vert="horz" lIns="0" tIns="0" rIns="0" bIns="0" rtlCol="0">
                          <a:noAutofit/>
                        </wps:bodyPr>
                      </wps:wsp>
                    </wpg:wgp>
                  </a:graphicData>
                </a:graphic>
              </wp:inline>
            </w:drawing>
          </mc:Choice>
          <mc:Fallback>
            <w:pict>
              <v:group w14:anchorId="6FDCEC47" id="Group 2454135" o:spid="_x0000_s1036" style="width:10.1pt;height:32.4pt;mso-position-horizontal-relative:char;mso-position-vertical-relative:line" coordsize="128016,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">
                <v:rect id="Rectangle 12723" o:spid="_x0000_s1037" style="position:absolute;width:170261;height:54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" filled="f" stroked="f">
                  <v:textbox inset="0,0,0,0">
                    <w:txbxContent>
                      <w:p w14:paraId="1D2FEAFD" w14:textId="77777777" w:rsidR="00053D93" w:rsidRDefault="00260B75">
                        <w:r>
                          <w:rPr>
                            <w:sz w:val="246"/>
                          </w:rPr>
                          <w:t>i</w:t>
                        </w:r>
                      </w:p>
                    </w:txbxContent>
                  </v:textbox>
                </v:rect>
                <w10:anchorlock/>
              </v:group>
            </w:pict>
          </mc:Fallback>
        </mc:AlternateContent>
      </w:r>
      <w:r>
        <w:rPr>
          <w:sz w:val="30"/>
        </w:rPr>
        <w:tab/>
        <w:t>DIRECCION GENERAL DE EDUCACION FISICA -DIGEF-</w:t>
      </w:r>
    </w:p>
    <w:p w14:paraId="7CF4699D" w14:textId="77777777" w:rsidR="00053D93" w:rsidRDefault="00260B75">
      <w:pPr>
        <w:spacing w:after="17" w:line="247" w:lineRule="auto"/>
        <w:ind w:left="151" w:right="14" w:firstLine="4"/>
        <w:jc w:val="both"/>
      </w:pPr>
      <w:r>
        <w:rPr>
          <w:sz w:val="26"/>
        </w:rPr>
        <w:t>1'. Falta de reposición de activos fijos (Hallazgo No. 1)</w:t>
      </w:r>
    </w:p>
    <w:p w14:paraId="47849C47" w14:textId="77777777" w:rsidR="00053D93" w:rsidRDefault="00260B75">
      <w:pPr>
        <w:spacing w:after="0"/>
        <w:ind w:left="-14" w:right="-1649"/>
      </w:pPr>
      <w:r>
        <w:rPr>
          <w:noProof/>
        </w:rPr>
        <w:drawing>
          <wp:inline distT="0" distB="0" distL="0" distR="0" wp14:anchorId="765F1A62" wp14:editId="398413A5">
            <wp:extent cx="7543800" cy="603504"/>
            <wp:effectExtent l="0" t="0" r="0" b="0"/>
            <wp:docPr id="18388" name="Picture 18388"/>
            <wp:cNvGraphicFramePr/>
            <a:graphic xmlns:a="http://schemas.openxmlformats.org/drawingml/2006/main">
              <a:graphicData uri="http://schemas.openxmlformats.org/drawingml/2006/picture">
                <pic:pic xmlns:pic="http://schemas.openxmlformats.org/drawingml/2006/picture">
                  <pic:nvPicPr>
                    <pic:cNvPr id="18388" name="Picture 18388"/>
                    <pic:cNvPicPr/>
                  </pic:nvPicPr>
                  <pic:blipFill>
                    <a:blip r:embed="rId33"/>
                    <a:stretch>
                      <a:fillRect/>
                    </a:stretch>
                  </pic:blipFill>
                  <pic:spPr>
                    <a:xfrm>
                      <a:off x="0" y="0"/>
                      <a:ext cx="7543800" cy="603504"/>
                    </a:xfrm>
                    <a:prstGeom prst="rect">
                      <a:avLst/>
                    </a:prstGeom>
                  </pic:spPr>
                </pic:pic>
              </a:graphicData>
            </a:graphic>
          </wp:inline>
        </w:drawing>
      </w:r>
    </w:p>
    <w:p w14:paraId="456C2D87" w14:textId="77777777" w:rsidR="00053D93" w:rsidRDefault="00053D93">
      <w:pPr>
        <w:sectPr w:rsidR="00053D93">
          <w:headerReference w:type="even" r:id="rId34"/>
          <w:headerReference w:type="default" r:id="rId35"/>
          <w:footerReference w:type="even" r:id="rId36"/>
          <w:footerReference w:type="default" r:id="rId37"/>
          <w:headerReference w:type="first" r:id="rId38"/>
          <w:footerReference w:type="first" r:id="rId39"/>
          <w:pgSz w:w="12290" w:h="15912"/>
          <w:pgMar w:top="461" w:right="1764" w:bottom="641" w:left="317" w:header="720" w:footer="720" w:gutter="0"/>
          <w:cols w:space="720"/>
          <w:titlePg/>
        </w:sectPr>
      </w:pPr>
    </w:p>
    <w:p w14:paraId="621B76CC" w14:textId="77777777" w:rsidR="00053D93" w:rsidRDefault="00260B75">
      <w:pPr>
        <w:spacing w:after="0"/>
        <w:ind w:left="-249" w:right="28" w:hanging="10"/>
        <w:jc w:val="right"/>
      </w:pPr>
      <w:r>
        <w:rPr>
          <w:noProof/>
        </w:rPr>
        <w:lastRenderedPageBreak/>
        <w:drawing>
          <wp:inline distT="0" distB="0" distL="0" distR="0" wp14:anchorId="1AF2661A" wp14:editId="6043C005">
            <wp:extent cx="1883664" cy="626364"/>
            <wp:effectExtent l="0" t="0" r="0" b="0"/>
            <wp:docPr id="2458101" name="Picture 2458101"/>
            <wp:cNvGraphicFramePr/>
            <a:graphic xmlns:a="http://schemas.openxmlformats.org/drawingml/2006/main">
              <a:graphicData uri="http://schemas.openxmlformats.org/drawingml/2006/picture">
                <pic:pic xmlns:pic="http://schemas.openxmlformats.org/drawingml/2006/picture">
                  <pic:nvPicPr>
                    <pic:cNvPr id="2458101" name="Picture 2458101"/>
                    <pic:cNvPicPr/>
                  </pic:nvPicPr>
                  <pic:blipFill>
                    <a:blip r:embed="rId40"/>
                    <a:stretch>
                      <a:fillRect/>
                    </a:stretch>
                  </pic:blipFill>
                  <pic:spPr>
                    <a:xfrm>
                      <a:off x="0" y="0"/>
                      <a:ext cx="1883664" cy="626364"/>
                    </a:xfrm>
                    <a:prstGeom prst="rect">
                      <a:avLst/>
                    </a:prstGeom>
                  </pic:spPr>
                </pic:pic>
              </a:graphicData>
            </a:graphic>
          </wp:inline>
        </w:drawing>
      </w:r>
      <w:r>
        <w:rPr>
          <w:rFonts w:ascii="Times New Roman" w:eastAsia="Times New Roman" w:hAnsi="Times New Roman" w:cs="Times New Roman"/>
          <w:sz w:val="26"/>
        </w:rPr>
        <w:t>amstruyen Con fi anza</w:t>
      </w:r>
    </w:p>
    <w:p w14:paraId="52A95962" w14:textId="77777777" w:rsidR="00053D93" w:rsidRDefault="00260B75">
      <w:pPr>
        <w:spacing w:after="0" w:line="408" w:lineRule="auto"/>
        <w:ind w:left="28" w:right="8626" w:hanging="14"/>
      </w:pPr>
      <w:r>
        <w:rPr>
          <w:rFonts w:ascii="Times New Roman" w:eastAsia="Times New Roman" w:hAnsi="Times New Roman" w:cs="Times New Roman"/>
          <w:sz w:val="10"/>
        </w:rPr>
        <w:t>1</w:t>
      </w:r>
      <w:r>
        <w:rPr>
          <w:rFonts w:ascii="Times New Roman" w:eastAsia="Times New Roman" w:hAnsi="Times New Roman" w:cs="Times New Roman"/>
          <w:sz w:val="10"/>
        </w:rPr>
        <w:tab/>
      </w:r>
      <w:r>
        <w:rPr>
          <w:sz w:val="10"/>
        </w:rPr>
        <w:t xml:space="preserve">GUATEMAI_A. CA </w:t>
      </w:r>
      <w:r>
        <w:rPr>
          <w:rFonts w:ascii="Times New Roman" w:eastAsia="Times New Roman" w:hAnsi="Times New Roman" w:cs="Times New Roman"/>
          <w:sz w:val="10"/>
        </w:rPr>
        <w:t>1</w:t>
      </w:r>
    </w:p>
    <w:p w14:paraId="45D6E64F" w14:textId="77777777" w:rsidR="00053D93" w:rsidRDefault="00260B75">
      <w:pPr>
        <w:spacing w:after="100" w:line="247" w:lineRule="auto"/>
        <w:ind w:left="1879" w:right="14" w:firstLine="4"/>
        <w:jc w:val="both"/>
      </w:pPr>
      <w:r>
        <w:rPr>
          <w:sz w:val="26"/>
        </w:rPr>
        <w:t>2. Incumplimientos a la Ley de Servicio Civil (Hallazgo No. 2)</w:t>
      </w:r>
    </w:p>
    <w:p w14:paraId="604E3924" w14:textId="77777777" w:rsidR="00053D93" w:rsidRDefault="00260B75">
      <w:pPr>
        <w:spacing w:after="17" w:line="529" w:lineRule="auto"/>
        <w:ind w:left="2224" w:right="14" w:hanging="2210"/>
        <w:jc w:val="both"/>
      </w:pPr>
      <w:r>
        <w:rPr>
          <w:rFonts w:ascii="Times New Roman" w:eastAsia="Times New Roman" w:hAnsi="Times New Roman" w:cs="Times New Roman"/>
          <w:sz w:val="26"/>
        </w:rPr>
        <w:t>1</w:t>
      </w:r>
      <w:r>
        <w:rPr>
          <w:rFonts w:ascii="Times New Roman" w:eastAsia="Times New Roman" w:hAnsi="Times New Roman" w:cs="Times New Roman"/>
          <w:sz w:val="26"/>
        </w:rPr>
        <w:tab/>
        <w:t xml:space="preserve">3. </w:t>
      </w:r>
      <w:r>
        <w:rPr>
          <w:sz w:val="26"/>
        </w:rPr>
        <w:t>Falta de calidad del gasto por la utilización inoportuna de equipo, materiales y suministros adquiridos (Hallazgo No. 3)</w:t>
      </w:r>
    </w:p>
    <w:p w14:paraId="33F30F1E" w14:textId="77777777" w:rsidR="00053D93" w:rsidRDefault="00260B75">
      <w:pPr>
        <w:spacing w:after="17" w:line="247" w:lineRule="auto"/>
        <w:ind w:left="14" w:right="14" w:firstLine="4"/>
        <w:jc w:val="both"/>
      </w:pPr>
      <w:r>
        <w:rPr>
          <w:rFonts w:ascii="Times New Roman" w:eastAsia="Times New Roman" w:hAnsi="Times New Roman" w:cs="Times New Roman"/>
          <w:sz w:val="26"/>
        </w:rPr>
        <w:t xml:space="preserve">4. </w:t>
      </w:r>
      <w:r>
        <w:rPr>
          <w:sz w:val="26"/>
        </w:rPr>
        <w:t>Faltante de activos fijos (Hallazgo No. 4)</w:t>
      </w:r>
    </w:p>
    <w:p w14:paraId="0E97C11A" w14:textId="77777777" w:rsidR="00053D93" w:rsidRDefault="00260B75">
      <w:pPr>
        <w:tabs>
          <w:tab w:val="center" w:pos="5825"/>
        </w:tabs>
        <w:spacing w:after="62" w:line="247" w:lineRule="auto"/>
      </w:pPr>
      <w:r>
        <w:rPr>
          <w:noProof/>
        </w:rPr>
        <mc:AlternateContent>
          <mc:Choice Requires="wpg">
            <w:drawing>
              <wp:inline distT="0" distB="0" distL="0" distR="0" wp14:anchorId="222A7216" wp14:editId="5167698B">
                <wp:extent cx="114300" cy="297180"/>
                <wp:effectExtent l="0" t="0" r="0" b="0"/>
                <wp:docPr id="2454140" name="Group 2454140"/>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8796" name="Rectangle 18796"/>
                        <wps:cNvSpPr/>
                        <wps:spPr>
                          <a:xfrm>
                            <a:off x="0" y="0"/>
                            <a:ext cx="152019" cy="395249"/>
                          </a:xfrm>
                          <a:prstGeom prst="rect">
                            <a:avLst/>
                          </a:prstGeom>
                          <a:ln>
                            <a:noFill/>
                          </a:ln>
                        </wps:spPr>
                        <wps:txbx>
                          <w:txbxContent>
                            <w:p w14:paraId="61A8D990"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inline>
            </w:drawing>
          </mc:Choice>
          <mc:Fallback>
            <w:pict>
              <v:group w14:anchorId="222A7216" id="Group 2454140" o:spid="_x0000_s1038"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">
                <v:rect id="Rectangle 18796" o:spid="_x0000_s1039"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" filled="f" stroked="f">
                  <v:textbox inset="0,0,0,0">
                    <w:txbxContent>
                      <w:p w14:paraId="61A8D990" w14:textId="77777777" w:rsidR="00053D93" w:rsidRDefault="00260B75">
                        <w:r>
                          <w:rPr>
                            <w:rFonts w:ascii="Times New Roman" w:eastAsia="Times New Roman" w:hAnsi="Times New Roman" w:cs="Times New Roman"/>
                            <w:sz w:val="66"/>
                          </w:rPr>
                          <w:t>1</w:t>
                        </w:r>
                      </w:p>
                    </w:txbxContent>
                  </v:textbox>
                </v:rect>
                <w10:anchorlock/>
              </v:group>
            </w:pict>
          </mc:Fallback>
        </mc:AlternateContent>
      </w:r>
      <w:r>
        <w:rPr>
          <w:sz w:val="26"/>
        </w:rPr>
        <w:tab/>
        <w:t>5. Incumplimiento en el plazo de entrega de documentación (Hallazgo No. 5)</w:t>
      </w:r>
    </w:p>
    <w:p w14:paraId="6ED7B5B2" w14:textId="77777777" w:rsidR="00053D93" w:rsidRDefault="00260B75">
      <w:pPr>
        <w:spacing w:after="210" w:line="247" w:lineRule="auto"/>
        <w:ind w:left="1879" w:right="14" w:firstLine="4"/>
        <w:jc w:val="both"/>
      </w:pPr>
      <w:r>
        <w:rPr>
          <w:rFonts w:ascii="Times New Roman" w:eastAsia="Times New Roman" w:hAnsi="Times New Roman" w:cs="Times New Roman"/>
          <w:sz w:val="26"/>
        </w:rPr>
        <w:t xml:space="preserve">6. </w:t>
      </w:r>
      <w:r>
        <w:rPr>
          <w:sz w:val="26"/>
        </w:rPr>
        <w:t>Falta de ejecución presupuestaria y gestión oportuna en la readecuación de</w:t>
      </w:r>
    </w:p>
    <w:p w14:paraId="646250CB" w14:textId="77777777" w:rsidR="00053D93" w:rsidRDefault="00260B75">
      <w:pPr>
        <w:tabs>
          <w:tab w:val="center" w:pos="3539"/>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recursos (Hallazgo No. 6)</w:t>
      </w:r>
    </w:p>
    <w:p w14:paraId="2AC26193" w14:textId="77777777" w:rsidR="00053D93" w:rsidRDefault="00260B75">
      <w:pPr>
        <w:spacing w:after="17" w:line="247" w:lineRule="auto"/>
        <w:ind w:left="1886" w:right="14" w:firstLine="4"/>
        <w:jc w:val="both"/>
      </w:pPr>
      <w:r>
        <w:rPr>
          <w:rFonts w:ascii="Times New Roman" w:eastAsia="Times New Roman" w:hAnsi="Times New Roman" w:cs="Times New Roman"/>
          <w:sz w:val="26"/>
        </w:rPr>
        <w:t xml:space="preserve">7. </w:t>
      </w:r>
      <w:r>
        <w:rPr>
          <w:sz w:val="26"/>
        </w:rPr>
        <w:t>Falta de actualización de registros en tarjetas de responsabilidad (Hallazgo</w:t>
      </w:r>
    </w:p>
    <w:p w14:paraId="7E261878" w14:textId="77777777" w:rsidR="00053D93" w:rsidRDefault="00260B75">
      <w:pPr>
        <w:spacing w:after="177"/>
        <w:ind w:left="2549"/>
      </w:pPr>
      <w:r>
        <w:rPr>
          <w:noProof/>
        </w:rPr>
        <w:drawing>
          <wp:inline distT="0" distB="0" distL="0" distR="0" wp14:anchorId="0748D224" wp14:editId="0FB25DFD">
            <wp:extent cx="22860" cy="18288"/>
            <wp:effectExtent l="0" t="0" r="0" b="0"/>
            <wp:docPr id="24363" name="Picture 24363"/>
            <wp:cNvGraphicFramePr/>
            <a:graphic xmlns:a="http://schemas.openxmlformats.org/drawingml/2006/main">
              <a:graphicData uri="http://schemas.openxmlformats.org/drawingml/2006/picture">
                <pic:pic xmlns:pic="http://schemas.openxmlformats.org/drawingml/2006/picture">
                  <pic:nvPicPr>
                    <pic:cNvPr id="24363" name="Picture 24363"/>
                    <pic:cNvPicPr/>
                  </pic:nvPicPr>
                  <pic:blipFill>
                    <a:blip r:embed="rId41"/>
                    <a:stretch>
                      <a:fillRect/>
                    </a:stretch>
                  </pic:blipFill>
                  <pic:spPr>
                    <a:xfrm>
                      <a:off x="0" y="0"/>
                      <a:ext cx="22860" cy="18288"/>
                    </a:xfrm>
                    <a:prstGeom prst="rect">
                      <a:avLst/>
                    </a:prstGeom>
                  </pic:spPr>
                </pic:pic>
              </a:graphicData>
            </a:graphic>
          </wp:inline>
        </w:drawing>
      </w:r>
    </w:p>
    <w:p w14:paraId="1685AC28" w14:textId="77777777" w:rsidR="00053D93" w:rsidRDefault="00260B75">
      <w:pPr>
        <w:tabs>
          <w:tab w:val="center" w:pos="6037"/>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t xml:space="preserve">8. </w:t>
      </w:r>
      <w:r>
        <w:rPr>
          <w:sz w:val="26"/>
        </w:rPr>
        <w:t>Falta de seguimiento a recomendaciones de auditoría anterior (Hallazgo No.</w:t>
      </w:r>
    </w:p>
    <w:p w14:paraId="212A380D" w14:textId="77777777" w:rsidR="00053D93" w:rsidRDefault="00260B75">
      <w:pPr>
        <w:spacing w:after="0"/>
        <w:ind w:left="89" w:hanging="10"/>
      </w:pPr>
      <w:r>
        <w:rPr>
          <w:rFonts w:ascii="Times New Roman" w:eastAsia="Times New Roman" w:hAnsi="Times New Roman" w:cs="Times New Roman"/>
          <w:sz w:val="24"/>
        </w:rPr>
        <w:t>8)</w:t>
      </w:r>
    </w:p>
    <w:p w14:paraId="6BB50311" w14:textId="77777777" w:rsidR="00053D93" w:rsidRDefault="00260B75">
      <w:pPr>
        <w:spacing w:after="72" w:line="247" w:lineRule="auto"/>
        <w:ind w:left="94" w:right="1188" w:firstLine="4"/>
        <w:jc w:val="both"/>
      </w:pPr>
      <w:r>
        <w:rPr>
          <w:noProof/>
        </w:rPr>
        <mc:AlternateContent>
          <mc:Choice Requires="wpg">
            <w:drawing>
              <wp:anchor distT="0" distB="0" distL="114300" distR="114300" simplePos="0" relativeHeight="251669504" behindDoc="0" locked="0" layoutInCell="1" allowOverlap="1" wp14:anchorId="48CC5B25" wp14:editId="62D18909">
                <wp:simplePos x="0" y="0"/>
                <wp:positionH relativeFrom="column">
                  <wp:posOffset>64008</wp:posOffset>
                </wp:positionH>
                <wp:positionV relativeFrom="paragraph">
                  <wp:posOffset>512064</wp:posOffset>
                </wp:positionV>
                <wp:extent cx="118872" cy="297180"/>
                <wp:effectExtent l="0" t="0" r="0" b="0"/>
                <wp:wrapSquare wrapText="bothSides"/>
                <wp:docPr id="2454142" name="Group 2454142"/>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8800" name="Rectangle 18800"/>
                        <wps:cNvSpPr/>
                        <wps:spPr>
                          <a:xfrm>
                            <a:off x="0" y="0"/>
                            <a:ext cx="158100" cy="395249"/>
                          </a:xfrm>
                          <a:prstGeom prst="rect">
                            <a:avLst/>
                          </a:prstGeom>
                          <a:ln>
                            <a:noFill/>
                          </a:ln>
                        </wps:spPr>
                        <wps:txbx>
                          <w:txbxContent>
                            <w:p w14:paraId="54560B4C"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48CC5B25" id="Group 2454142" o:spid="_x0000_s1040" style="position:absolute;left:0;text-align:left;margin-left:5.05pt;margin-top:40.3pt;width:9.35pt;height:23.4pt;z-index:251669504;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">
                <v:rect id="Rectangle 18800" o:spid="_x0000_s1041"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" filled="f" stroked="f">
                  <v:textbox inset="0,0,0,0">
                    <w:txbxContent>
                      <w:p w14:paraId="54560B4C"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noProof/>
        </w:rPr>
        <mc:AlternateContent>
          <mc:Choice Requires="wpg">
            <w:drawing>
              <wp:inline distT="0" distB="0" distL="0" distR="0" wp14:anchorId="1B82FC02" wp14:editId="0B0A951F">
                <wp:extent cx="114300" cy="297180"/>
                <wp:effectExtent l="0" t="0" r="0" b="0"/>
                <wp:docPr id="2454141" name="Group 2454141"/>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8799" name="Rectangle 18799"/>
                        <wps:cNvSpPr/>
                        <wps:spPr>
                          <a:xfrm>
                            <a:off x="0" y="0"/>
                            <a:ext cx="152019" cy="395249"/>
                          </a:xfrm>
                          <a:prstGeom prst="rect">
                            <a:avLst/>
                          </a:prstGeom>
                          <a:ln>
                            <a:noFill/>
                          </a:ln>
                        </wps:spPr>
                        <wps:txbx>
                          <w:txbxContent>
                            <w:p w14:paraId="019EB750"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inline>
            </w:drawing>
          </mc:Choice>
          <mc:Fallback>
            <w:pict>
              <v:group w14:anchorId="1B82FC02" id="Group 2454141" o:spid="_x0000_s1042"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">
                <v:rect id="Rectangle 18799" o:spid="_x0000_s1043"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" filled="f" stroked="f">
                  <v:textbox inset="0,0,0,0">
                    <w:txbxContent>
                      <w:p w14:paraId="019EB750" w14:textId="77777777" w:rsidR="00053D93" w:rsidRDefault="00260B75">
                        <w:r>
                          <w:rPr>
                            <w:rFonts w:ascii="Times New Roman" w:eastAsia="Times New Roman" w:hAnsi="Times New Roman" w:cs="Times New Roman"/>
                            <w:sz w:val="66"/>
                          </w:rPr>
                          <w:t>1</w:t>
                        </w:r>
                      </w:p>
                    </w:txbxContent>
                  </v:textbox>
                </v:rect>
                <w10:anchorlock/>
              </v:group>
            </w:pict>
          </mc:Fallback>
        </mc:AlternateContent>
      </w:r>
      <w:r>
        <w:rPr>
          <w:sz w:val="26"/>
        </w:rPr>
        <w:t xml:space="preserve"> 9. Irregularidades en la adquisición de boletos aéreos en los procesos de cotización y compra directa por ausencia de ofertas en perjuicio del patrimonio del Ministerio de Educación (Hallazgo No. 9)</w:t>
      </w:r>
    </w:p>
    <w:p w14:paraId="1A4393CC" w14:textId="77777777" w:rsidR="00053D93" w:rsidRDefault="00260B75">
      <w:pPr>
        <w:pStyle w:val="Ttulo2"/>
        <w:spacing w:after="3" w:line="261" w:lineRule="auto"/>
        <w:ind w:left="111" w:right="7"/>
        <w:jc w:val="both"/>
      </w:pPr>
      <w:r>
        <w:rPr>
          <w:noProof/>
        </w:rPr>
        <w:drawing>
          <wp:anchor distT="0" distB="0" distL="114300" distR="114300" simplePos="0" relativeHeight="251670528" behindDoc="0" locked="0" layoutInCell="1" allowOverlap="0" wp14:anchorId="3007892D" wp14:editId="2C263EB1">
            <wp:simplePos x="0" y="0"/>
            <wp:positionH relativeFrom="page">
              <wp:posOffset>201168</wp:posOffset>
            </wp:positionH>
            <wp:positionV relativeFrom="page">
              <wp:posOffset>9079992</wp:posOffset>
            </wp:positionV>
            <wp:extent cx="7539228" cy="621792"/>
            <wp:effectExtent l="0" t="0" r="0" b="0"/>
            <wp:wrapTopAndBottom/>
            <wp:docPr id="24489" name="Picture 24489"/>
            <wp:cNvGraphicFramePr/>
            <a:graphic xmlns:a="http://schemas.openxmlformats.org/drawingml/2006/main">
              <a:graphicData uri="http://schemas.openxmlformats.org/drawingml/2006/picture">
                <pic:pic xmlns:pic="http://schemas.openxmlformats.org/drawingml/2006/picture">
                  <pic:nvPicPr>
                    <pic:cNvPr id="24489" name="Picture 24489"/>
                    <pic:cNvPicPr/>
                  </pic:nvPicPr>
                  <pic:blipFill>
                    <a:blip r:embed="rId42"/>
                    <a:stretch>
                      <a:fillRect/>
                    </a:stretch>
                  </pic:blipFill>
                  <pic:spPr>
                    <a:xfrm>
                      <a:off x="0" y="0"/>
                      <a:ext cx="7539228" cy="621792"/>
                    </a:xfrm>
                    <a:prstGeom prst="rect">
                      <a:avLst/>
                    </a:prstGeom>
                  </pic:spPr>
                </pic:pic>
              </a:graphicData>
            </a:graphic>
          </wp:anchor>
        </w:drawing>
      </w:r>
      <w:r>
        <w:rPr>
          <w:sz w:val="30"/>
        </w:rPr>
        <w:t>DIRECCION GENERAL DE PARTICIPACION COMUNITARIA Y SERVICIOS DE APOYO -DIGEPSA-</w:t>
      </w:r>
    </w:p>
    <w:p w14:paraId="2D89ACE3" w14:textId="77777777" w:rsidR="00053D93" w:rsidRDefault="00260B75">
      <w:pPr>
        <w:tabs>
          <w:tab w:val="center" w:pos="5098"/>
        </w:tabs>
        <w:spacing w:after="17" w:line="247" w:lineRule="auto"/>
      </w:pPr>
      <w:r>
        <w:rPr>
          <w:noProof/>
        </w:rPr>
        <mc:AlternateContent>
          <mc:Choice Requires="wpg">
            <w:drawing>
              <wp:inline distT="0" distB="0" distL="0" distR="0" wp14:anchorId="523FE0BF" wp14:editId="779DCE0F">
                <wp:extent cx="118872" cy="292608"/>
                <wp:effectExtent l="0" t="0" r="0" b="0"/>
                <wp:docPr id="2454143" name="Group 2454143"/>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8801" name="Rectangle 18801"/>
                        <wps:cNvSpPr/>
                        <wps:spPr>
                          <a:xfrm>
                            <a:off x="0" y="0"/>
                            <a:ext cx="158100" cy="389168"/>
                          </a:xfrm>
                          <a:prstGeom prst="rect">
                            <a:avLst/>
                          </a:prstGeom>
                          <a:ln>
                            <a:noFill/>
                          </a:ln>
                        </wps:spPr>
                        <wps:txbx>
                          <w:txbxContent>
                            <w:p w14:paraId="16CFF761"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523FE0BF" id="Group 2454143" o:spid="_x0000_s1044"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">
                <v:rect id="Rectangle 18801" o:spid="_x0000_s1045" style="position:absolute;width:158100;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" filled="f" stroked="f">
                  <v:textbox inset="0,0,0,0">
                    <w:txbxContent>
                      <w:p w14:paraId="16CFF761"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ab/>
        <w:t>10. Falta de respaldo de sistemas informáticos (Hallazgo No. 1)</w:t>
      </w:r>
    </w:p>
    <w:p w14:paraId="15BA47A6" w14:textId="77777777" w:rsidR="00053D93" w:rsidRDefault="00260B75">
      <w:pPr>
        <w:spacing w:after="90" w:line="247" w:lineRule="auto"/>
        <w:ind w:left="1886" w:right="14" w:firstLine="4"/>
        <w:jc w:val="both"/>
      </w:pPr>
      <w:r>
        <w:rPr>
          <w:sz w:val="26"/>
        </w:rPr>
        <w:t>1 1. Deficiente supervisión y seguimiento a las regularizaciones de los programas</w:t>
      </w:r>
    </w:p>
    <w:p w14:paraId="265B7436" w14:textId="77777777" w:rsidR="00053D93" w:rsidRDefault="00260B75">
      <w:pPr>
        <w:tabs>
          <w:tab w:val="center" w:pos="6232"/>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 apoyo en la base de datos del Sistema de Asignación y Dotación de</w:t>
      </w:r>
    </w:p>
    <w:p w14:paraId="1D860B58" w14:textId="77777777" w:rsidR="00053D93" w:rsidRDefault="00260B75">
      <w:pPr>
        <w:spacing w:after="17" w:line="247" w:lineRule="auto"/>
        <w:ind w:left="2261" w:right="14" w:firstLine="4"/>
        <w:jc w:val="both"/>
      </w:pPr>
      <w:r>
        <w:rPr>
          <w:sz w:val="26"/>
        </w:rPr>
        <w:t>Recursos -SDR- (Hallazgo No. 2)</w:t>
      </w:r>
    </w:p>
    <w:p w14:paraId="3A6DECA3" w14:textId="77777777" w:rsidR="00053D93" w:rsidRDefault="00260B75">
      <w:pPr>
        <w:pStyle w:val="Ttulo2"/>
        <w:spacing w:after="3" w:line="261" w:lineRule="auto"/>
        <w:ind w:left="147" w:right="7"/>
        <w:jc w:val="both"/>
      </w:pPr>
      <w:r>
        <w:rPr>
          <w:sz w:val="30"/>
        </w:rPr>
        <w:t>DIRECCION GENERAL DE GESTION DE CALIDAD EDUCATIVA</w:t>
      </w:r>
    </w:p>
    <w:p w14:paraId="261BEF80" w14:textId="77777777" w:rsidR="00053D93" w:rsidRDefault="00260B75">
      <w:pPr>
        <w:spacing w:after="279" w:line="247" w:lineRule="auto"/>
        <w:ind w:left="2261" w:right="259" w:hanging="2124"/>
        <w:jc w:val="both"/>
      </w:pPr>
      <w:r>
        <w:rPr>
          <w:noProof/>
        </w:rPr>
        <mc:AlternateContent>
          <mc:Choice Requires="wpg">
            <w:drawing>
              <wp:inline distT="0" distB="0" distL="0" distR="0" wp14:anchorId="7BF70B02" wp14:editId="4F6E4BC7">
                <wp:extent cx="118872" cy="292607"/>
                <wp:effectExtent l="0" t="0" r="0" b="0"/>
                <wp:docPr id="2454144" name="Group 2454144"/>
                <wp:cNvGraphicFramePr/>
                <a:graphic xmlns:a="http://schemas.openxmlformats.org/drawingml/2006/main">
                  <a:graphicData uri="http://schemas.microsoft.com/office/word/2010/wordprocessingGroup">
                    <wpg:wgp>
                      <wpg:cNvGrpSpPr/>
                      <wpg:grpSpPr>
                        <a:xfrm>
                          <a:off x="0" y="0"/>
                          <a:ext cx="118872" cy="292607"/>
                          <a:chOff x="0" y="0"/>
                          <a:chExt cx="118872" cy="292607"/>
                        </a:xfrm>
                      </wpg:grpSpPr>
                      <wps:wsp>
                        <wps:cNvPr id="18803" name="Rectangle 18803"/>
                        <wps:cNvSpPr/>
                        <wps:spPr>
                          <a:xfrm>
                            <a:off x="0" y="0"/>
                            <a:ext cx="158100" cy="389168"/>
                          </a:xfrm>
                          <a:prstGeom prst="rect">
                            <a:avLst/>
                          </a:prstGeom>
                          <a:ln>
                            <a:noFill/>
                          </a:ln>
                        </wps:spPr>
                        <wps:txbx>
                          <w:txbxContent>
                            <w:p w14:paraId="3E9B2AFC"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7BF70B02" id="Group 2454144" o:spid="_x0000_s1046" style="width:9.35pt;height:23.05pt;mso-position-horizontal-relative:char;mso-position-vertical-relative:line" coordsize="118872,292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">
                <v:rect id="Rectangle 18803" o:spid="_x0000_s1047" style="position:absolute;width:158100;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" filled="f" stroked="f">
                  <v:textbox inset="0,0,0,0">
                    <w:txbxContent>
                      <w:p w14:paraId="3E9B2AFC"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12. Falta de conciliación del Libro de Inventarios con el Sistema de Contabilidad Integrada -SICOIN- (Hallazgo No. 1)</w:t>
      </w:r>
    </w:p>
    <w:p w14:paraId="18BFC384" w14:textId="77777777" w:rsidR="00053D93" w:rsidRDefault="00260B75">
      <w:pPr>
        <w:tabs>
          <w:tab w:val="center" w:pos="5450"/>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13. Falta de realización de inventarios físicos anuales (Hallazgo No. 2)</w:t>
      </w:r>
    </w:p>
    <w:p w14:paraId="0FBC5368" w14:textId="77777777" w:rsidR="00053D93" w:rsidRDefault="00260B75">
      <w:pPr>
        <w:numPr>
          <w:ilvl w:val="0"/>
          <w:numId w:val="2"/>
        </w:numPr>
        <w:spacing w:after="17" w:line="247" w:lineRule="auto"/>
        <w:ind w:right="14" w:hanging="367"/>
        <w:jc w:val="both"/>
      </w:pPr>
      <w:r>
        <w:rPr>
          <w:sz w:val="26"/>
        </w:rPr>
        <w:t>Incumplimiento en las Metas Físicas y Financieras sobre la Provisión de</w:t>
      </w:r>
    </w:p>
    <w:p w14:paraId="46D875F4" w14:textId="77777777" w:rsidR="00053D93" w:rsidRDefault="00260B75">
      <w:pPr>
        <w:spacing w:after="17" w:line="247" w:lineRule="auto"/>
        <w:ind w:left="158" w:right="14" w:firstLine="4"/>
        <w:jc w:val="both"/>
      </w:pPr>
      <w:r>
        <w:rPr>
          <w:noProof/>
        </w:rPr>
        <mc:AlternateContent>
          <mc:Choice Requires="wpg">
            <w:drawing>
              <wp:anchor distT="0" distB="0" distL="114300" distR="114300" simplePos="0" relativeHeight="251671552" behindDoc="0" locked="0" layoutInCell="1" allowOverlap="1" wp14:anchorId="555DFB77" wp14:editId="1184ECD5">
                <wp:simplePos x="0" y="0"/>
                <wp:positionH relativeFrom="column">
                  <wp:posOffset>100584</wp:posOffset>
                </wp:positionH>
                <wp:positionV relativeFrom="paragraph">
                  <wp:posOffset>-1920</wp:posOffset>
                </wp:positionV>
                <wp:extent cx="118872" cy="297180"/>
                <wp:effectExtent l="0" t="0" r="0" b="0"/>
                <wp:wrapSquare wrapText="bothSides"/>
                <wp:docPr id="2454145" name="Group 2454145"/>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8805" name="Rectangle 18805"/>
                        <wps:cNvSpPr/>
                        <wps:spPr>
                          <a:xfrm>
                            <a:off x="0" y="0"/>
                            <a:ext cx="158100" cy="395249"/>
                          </a:xfrm>
                          <a:prstGeom prst="rect">
                            <a:avLst/>
                          </a:prstGeom>
                          <a:ln>
                            <a:noFill/>
                          </a:ln>
                        </wps:spPr>
                        <wps:txbx>
                          <w:txbxContent>
                            <w:p w14:paraId="098EE291"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55DFB77" id="Group 2454145" o:spid="_x0000_s1048" style="position:absolute;left:0;text-align:left;margin-left:7.9pt;margin-top:-.15pt;width:9.35pt;height:23.4pt;z-index:251671552;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">
                <v:rect id="Rectangle 18805" o:spid="_x0000_s1049"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" filled="f" stroked="f">
                  <v:textbox inset="0,0,0,0">
                    <w:txbxContent>
                      <w:p w14:paraId="098EE291"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sz w:val="26"/>
        </w:rPr>
        <w:t>Textos Escolares en los Niveles Educativos de Primaria y Preprimaria.</w:t>
      </w:r>
    </w:p>
    <w:p w14:paraId="7931DBD1" w14:textId="77777777" w:rsidR="00053D93" w:rsidRDefault="00260B75">
      <w:pPr>
        <w:spacing w:after="61" w:line="247" w:lineRule="auto"/>
        <w:ind w:left="158" w:right="14" w:firstLine="4"/>
        <w:jc w:val="both"/>
      </w:pPr>
      <w:r>
        <w:rPr>
          <w:sz w:val="26"/>
        </w:rPr>
        <w:lastRenderedPageBreak/>
        <w:t>(Hallazgo No. 3)</w:t>
      </w:r>
    </w:p>
    <w:p w14:paraId="08CADA63" w14:textId="77777777" w:rsidR="00053D93" w:rsidRDefault="00260B75">
      <w:pPr>
        <w:numPr>
          <w:ilvl w:val="0"/>
          <w:numId w:val="2"/>
        </w:numPr>
        <w:spacing w:after="371" w:line="247" w:lineRule="auto"/>
        <w:ind w:right="14" w:hanging="367"/>
        <w:jc w:val="both"/>
      </w:pPr>
      <w:r>
        <w:rPr>
          <w:sz w:val="26"/>
        </w:rPr>
        <w:t>Falta de publicación de Facturas en Guatecompras (Hallazgo No. 4)</w:t>
      </w:r>
    </w:p>
    <w:p w14:paraId="6928CC5F" w14:textId="77777777" w:rsidR="00053D93" w:rsidRDefault="00260B75">
      <w:pPr>
        <w:tabs>
          <w:tab w:val="center" w:pos="6044"/>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16. Publicación extemporánea del Acta de Negociación en Guatecompras.</w:t>
      </w:r>
    </w:p>
    <w:p w14:paraId="5D35527E" w14:textId="77777777" w:rsidR="00053D93" w:rsidRDefault="00260B75">
      <w:pPr>
        <w:spacing w:after="17" w:line="247" w:lineRule="auto"/>
        <w:ind w:left="2261" w:right="14" w:firstLine="4"/>
        <w:jc w:val="both"/>
      </w:pPr>
      <w:r>
        <w:rPr>
          <w:sz w:val="26"/>
        </w:rPr>
        <w:t>(Hallazgo No. 5)</w:t>
      </w:r>
    </w:p>
    <w:p w14:paraId="61AAA0E2" w14:textId="77777777" w:rsidR="00053D93" w:rsidRDefault="00260B75">
      <w:pPr>
        <w:tabs>
          <w:tab w:val="center" w:pos="324"/>
          <w:tab w:val="center" w:pos="6055"/>
        </w:tabs>
        <w:spacing w:after="17" w:line="247" w:lineRule="auto"/>
      </w:pPr>
      <w:r>
        <w:rPr>
          <w:sz w:val="26"/>
        </w:rPr>
        <w:tab/>
      </w:r>
      <w:r>
        <w:rPr>
          <w:noProof/>
        </w:rPr>
        <mc:AlternateContent>
          <mc:Choice Requires="wpg">
            <w:drawing>
              <wp:inline distT="0" distB="0" distL="0" distR="0" wp14:anchorId="337E70BC" wp14:editId="14B7AF78">
                <wp:extent cx="114300" cy="297180"/>
                <wp:effectExtent l="0" t="0" r="0" b="0"/>
                <wp:docPr id="2454146" name="Group 2454146"/>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8807" name="Rectangle 18807"/>
                        <wps:cNvSpPr/>
                        <wps:spPr>
                          <a:xfrm>
                            <a:off x="0" y="0"/>
                            <a:ext cx="152019" cy="395250"/>
                          </a:xfrm>
                          <a:prstGeom prst="rect">
                            <a:avLst/>
                          </a:prstGeom>
                          <a:ln>
                            <a:noFill/>
                          </a:ln>
                        </wps:spPr>
                        <wps:txbx>
                          <w:txbxContent>
                            <w:p w14:paraId="2E25FB06"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337E70BC" id="Group 2454146" o:spid="_x0000_s1050"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">
                <v:rect id="Rectangle 18807" o:spid="_x0000_s1051"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" filled="f" stroked="f">
                  <v:textbox inset="0,0,0,0">
                    <w:txbxContent>
                      <w:p w14:paraId="2E25FB06"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ab/>
        <w:t>17. Falta de Registro de Bienes en Donaciones en el Libro de Inventarios y en e}</w:t>
      </w:r>
    </w:p>
    <w:p w14:paraId="69EAFAA1" w14:textId="77777777" w:rsidR="00053D93" w:rsidRDefault="00260B75">
      <w:pPr>
        <w:spacing w:after="57" w:line="247" w:lineRule="auto"/>
        <w:ind w:left="187" w:right="14" w:firstLine="4"/>
        <w:jc w:val="both"/>
      </w:pPr>
      <w:r>
        <w:rPr>
          <w:sz w:val="26"/>
        </w:rPr>
        <w:t>Módulo SICOIN. (Hallazgo No. 6)</w:t>
      </w:r>
    </w:p>
    <w:p w14:paraId="769DEE57" w14:textId="77777777" w:rsidR="00053D93" w:rsidRDefault="00260B75">
      <w:pPr>
        <w:spacing w:after="18" w:line="248" w:lineRule="auto"/>
        <w:ind w:left="209" w:right="2362" w:firstLine="1678"/>
        <w:jc w:val="both"/>
      </w:pPr>
      <w:r>
        <w:rPr>
          <w:sz w:val="28"/>
        </w:rPr>
        <w:t xml:space="preserve">DIRECCIÓN DEPARTAMENTAL DE EDUCACION DE ESCUINTLA </w:t>
      </w:r>
      <w:r>
        <w:rPr>
          <w:rFonts w:ascii="Times New Roman" w:eastAsia="Times New Roman" w:hAnsi="Times New Roman" w:cs="Times New Roman"/>
          <w:sz w:val="28"/>
        </w:rPr>
        <w:t>1</w:t>
      </w:r>
      <w:r>
        <w:rPr>
          <w:noProof/>
        </w:rPr>
        <w:drawing>
          <wp:inline distT="0" distB="0" distL="0" distR="0" wp14:anchorId="65D359E5" wp14:editId="782C9515">
            <wp:extent cx="4572" cy="77724"/>
            <wp:effectExtent l="0" t="0" r="0" b="0"/>
            <wp:docPr id="2458103" name="Picture 2458103"/>
            <wp:cNvGraphicFramePr/>
            <a:graphic xmlns:a="http://schemas.openxmlformats.org/drawingml/2006/main">
              <a:graphicData uri="http://schemas.openxmlformats.org/drawingml/2006/picture">
                <pic:pic xmlns:pic="http://schemas.openxmlformats.org/drawingml/2006/picture">
                  <pic:nvPicPr>
                    <pic:cNvPr id="2458103" name="Picture 2458103"/>
                    <pic:cNvPicPr/>
                  </pic:nvPicPr>
                  <pic:blipFill>
                    <a:blip r:embed="rId43"/>
                    <a:stretch>
                      <a:fillRect/>
                    </a:stretch>
                  </pic:blipFill>
                  <pic:spPr>
                    <a:xfrm>
                      <a:off x="0" y="0"/>
                      <a:ext cx="4572" cy="77724"/>
                    </a:xfrm>
                    <a:prstGeom prst="rect">
                      <a:avLst/>
                    </a:prstGeom>
                  </pic:spPr>
                </pic:pic>
              </a:graphicData>
            </a:graphic>
          </wp:inline>
        </w:drawing>
      </w:r>
    </w:p>
    <w:p w14:paraId="23CD897A" w14:textId="77777777" w:rsidR="00053D93" w:rsidRDefault="00260B75">
      <w:pPr>
        <w:spacing w:after="17" w:line="247" w:lineRule="auto"/>
        <w:ind w:left="1894" w:right="14" w:firstLine="4"/>
        <w:jc w:val="both"/>
      </w:pPr>
      <w:r>
        <w:rPr>
          <w:sz w:val="26"/>
        </w:rPr>
        <w:t>18. Irregularidad en el manejo de los recursos financieros de los programas de</w:t>
      </w:r>
    </w:p>
    <w:p w14:paraId="1F1FC931" w14:textId="77777777" w:rsidR="00053D93" w:rsidRDefault="00260B75">
      <w:pPr>
        <w:spacing w:after="258"/>
        <w:ind w:left="-4" w:right="1699" w:hanging="10"/>
        <w:jc w:val="right"/>
      </w:pPr>
      <w:r>
        <w:rPr>
          <w:noProof/>
        </w:rPr>
        <w:drawing>
          <wp:inline distT="0" distB="0" distL="0" distR="0" wp14:anchorId="6160403C" wp14:editId="448D3682">
            <wp:extent cx="1815084" cy="644652"/>
            <wp:effectExtent l="0" t="0" r="0" b="0"/>
            <wp:docPr id="2458106" name="Picture 2458106"/>
            <wp:cNvGraphicFramePr/>
            <a:graphic xmlns:a="http://schemas.openxmlformats.org/drawingml/2006/main">
              <a:graphicData uri="http://schemas.openxmlformats.org/drawingml/2006/picture">
                <pic:pic xmlns:pic="http://schemas.openxmlformats.org/drawingml/2006/picture">
                  <pic:nvPicPr>
                    <pic:cNvPr id="2458106" name="Picture 2458106"/>
                    <pic:cNvPicPr/>
                  </pic:nvPicPr>
                  <pic:blipFill>
                    <a:blip r:embed="rId44"/>
                    <a:stretch>
                      <a:fillRect/>
                    </a:stretch>
                  </pic:blipFill>
                  <pic:spPr>
                    <a:xfrm>
                      <a:off x="0" y="0"/>
                      <a:ext cx="1815084" cy="644652"/>
                    </a:xfrm>
                    <a:prstGeom prst="rect">
                      <a:avLst/>
                    </a:prstGeom>
                  </pic:spPr>
                </pic:pic>
              </a:graphicData>
            </a:graphic>
          </wp:inline>
        </w:drawing>
      </w:r>
      <w:r>
        <w:rPr>
          <w:rFonts w:ascii="Times New Roman" w:eastAsia="Times New Roman" w:hAnsi="Times New Roman" w:cs="Times New Roman"/>
          <w:sz w:val="26"/>
        </w:rPr>
        <w:t xml:space="preserve">amstruyen </w:t>
      </w:r>
    </w:p>
    <w:p w14:paraId="2176154D" w14:textId="77777777" w:rsidR="00053D93" w:rsidRDefault="00260B75">
      <w:pPr>
        <w:spacing w:after="3"/>
        <w:ind w:left="10" w:right="3485" w:hanging="10"/>
      </w:pPr>
      <w:r>
        <w:rPr>
          <w:rFonts w:ascii="Times New Roman" w:eastAsia="Times New Roman" w:hAnsi="Times New Roman" w:cs="Times New Roman"/>
          <w:sz w:val="70"/>
        </w:rPr>
        <w:t>1</w:t>
      </w:r>
    </w:p>
    <w:p w14:paraId="4A1BDCCD" w14:textId="77777777" w:rsidR="00053D93" w:rsidRDefault="00260B75">
      <w:pPr>
        <w:spacing w:after="3" w:line="265" w:lineRule="auto"/>
        <w:ind w:left="60" w:right="65" w:hanging="10"/>
      </w:pPr>
      <w:r>
        <w:rPr>
          <w:rFonts w:ascii="Times New Roman" w:eastAsia="Times New Roman" w:hAnsi="Times New Roman" w:cs="Times New Roman"/>
          <w:sz w:val="66"/>
        </w:rPr>
        <w:t xml:space="preserve">1 </w:t>
      </w:r>
      <w:r>
        <w:rPr>
          <w:noProof/>
        </w:rPr>
        <w:drawing>
          <wp:inline distT="0" distB="0" distL="0" distR="0" wp14:anchorId="7870E49A" wp14:editId="1DFEDDCF">
            <wp:extent cx="9144" cy="13716"/>
            <wp:effectExtent l="0" t="0" r="0" b="0"/>
            <wp:docPr id="30525" name="Picture 30525"/>
            <wp:cNvGraphicFramePr/>
            <a:graphic xmlns:a="http://schemas.openxmlformats.org/drawingml/2006/main">
              <a:graphicData uri="http://schemas.openxmlformats.org/drawingml/2006/picture">
                <pic:pic xmlns:pic="http://schemas.openxmlformats.org/drawingml/2006/picture">
                  <pic:nvPicPr>
                    <pic:cNvPr id="30525" name="Picture 30525"/>
                    <pic:cNvPicPr/>
                  </pic:nvPicPr>
                  <pic:blipFill>
                    <a:blip r:embed="rId45"/>
                    <a:stretch>
                      <a:fillRect/>
                    </a:stretch>
                  </pic:blipFill>
                  <pic:spPr>
                    <a:xfrm>
                      <a:off x="0" y="0"/>
                      <a:ext cx="9144" cy="13716"/>
                    </a:xfrm>
                    <a:prstGeom prst="rect">
                      <a:avLst/>
                    </a:prstGeom>
                  </pic:spPr>
                </pic:pic>
              </a:graphicData>
            </a:graphic>
          </wp:inline>
        </w:drawing>
      </w:r>
    </w:p>
    <w:p w14:paraId="29F2764C" w14:textId="77777777" w:rsidR="00053D93" w:rsidRDefault="00260B75">
      <w:pPr>
        <w:spacing w:after="17" w:line="247" w:lineRule="auto"/>
        <w:ind w:left="2261" w:right="14" w:firstLine="4"/>
        <w:jc w:val="both"/>
      </w:pPr>
      <w:r>
        <w:rPr>
          <w:sz w:val="26"/>
        </w:rPr>
        <w:t>apoyo a la Educación (Hallazgo No. 1)</w:t>
      </w:r>
    </w:p>
    <w:p w14:paraId="55B10292" w14:textId="77777777" w:rsidR="00053D93" w:rsidRDefault="00260B75">
      <w:pPr>
        <w:pStyle w:val="Ttulo2"/>
        <w:spacing w:after="3" w:line="261" w:lineRule="auto"/>
        <w:ind w:left="1896" w:right="7"/>
        <w:jc w:val="both"/>
      </w:pPr>
      <w:r>
        <w:rPr>
          <w:sz w:val="30"/>
        </w:rPr>
        <w:t>DIRECCION DEPARTAMENTAL DE EDUCACION DE SANTA ROSA</w:t>
      </w:r>
    </w:p>
    <w:p w14:paraId="02BC8764" w14:textId="77777777" w:rsidR="00053D93" w:rsidRDefault="00260B75">
      <w:pPr>
        <w:spacing w:after="381" w:line="247" w:lineRule="auto"/>
        <w:ind w:left="2261" w:right="259" w:hanging="367"/>
        <w:jc w:val="both"/>
      </w:pPr>
      <w:r>
        <w:rPr>
          <w:sz w:val="26"/>
        </w:rPr>
        <w:t>19. Envío extemporáneo de movimientos de personal a la Dirección de Probidad (Hallazgo No. 1)</w:t>
      </w:r>
    </w:p>
    <w:p w14:paraId="15A2AD78" w14:textId="77777777" w:rsidR="00053D93" w:rsidRDefault="00260B75">
      <w:pPr>
        <w:tabs>
          <w:tab w:val="center" w:pos="5522"/>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20. Falta de publicación de Facturas en Guatecompras (Hallazgo No. 2)</w:t>
      </w:r>
    </w:p>
    <w:p w14:paraId="1CE59988" w14:textId="77777777" w:rsidR="00053D93" w:rsidRDefault="00260B75">
      <w:pPr>
        <w:spacing w:after="17" w:line="247" w:lineRule="auto"/>
        <w:ind w:left="14" w:right="785" w:firstLine="1822"/>
        <w:jc w:val="both"/>
      </w:pPr>
      <w:r>
        <w:rPr>
          <w:sz w:val="26"/>
        </w:rPr>
        <w:t xml:space="preserve">21. Falta de Publicación de Actas de Negociación y Solicitud o Requerimiento del </w:t>
      </w:r>
      <w:r>
        <w:rPr>
          <w:noProof/>
        </w:rPr>
        <mc:AlternateContent>
          <mc:Choice Requires="wpg">
            <w:drawing>
              <wp:inline distT="0" distB="0" distL="0" distR="0" wp14:anchorId="55901D66" wp14:editId="14C4ABAC">
                <wp:extent cx="118872" cy="301752"/>
                <wp:effectExtent l="0" t="0" r="0" b="0"/>
                <wp:docPr id="2454156" name="Group 2454156"/>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24990" name="Rectangle 24990"/>
                        <wps:cNvSpPr/>
                        <wps:spPr>
                          <a:xfrm>
                            <a:off x="0" y="0"/>
                            <a:ext cx="158100" cy="401330"/>
                          </a:xfrm>
                          <a:prstGeom prst="rect">
                            <a:avLst/>
                          </a:prstGeom>
                          <a:ln>
                            <a:noFill/>
                          </a:ln>
                        </wps:spPr>
                        <wps:txbx>
                          <w:txbxContent>
                            <w:p w14:paraId="02771DF8"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55901D66" id="Group 2454156" o:spid="_x0000_s1052"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">
                <v:rect id="Rectangle 24990" o:spid="_x0000_s1053"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" filled="f" stroked="f">
                  <v:textbox inset="0,0,0,0">
                    <w:txbxContent>
                      <w:p w14:paraId="02771DF8"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Bien en Guatecompras. (Hallazgo No. 3)</w:t>
      </w:r>
    </w:p>
    <w:p w14:paraId="2F3FC515" w14:textId="77777777" w:rsidR="00053D93" w:rsidRDefault="00260B75">
      <w:pPr>
        <w:pStyle w:val="Ttulo2"/>
        <w:spacing w:after="3" w:line="261" w:lineRule="auto"/>
        <w:ind w:left="1687" w:right="7"/>
        <w:jc w:val="both"/>
      </w:pPr>
      <w:r>
        <w:rPr>
          <w:sz w:val="30"/>
        </w:rPr>
        <w:t>DIRECCION DEPARTAMENTAL DE EDUCACION DE SUCHITEPEQUEZ</w:t>
      </w:r>
    </w:p>
    <w:p w14:paraId="3C7885D4" w14:textId="77777777" w:rsidR="00053D93" w:rsidRDefault="00260B75">
      <w:pPr>
        <w:numPr>
          <w:ilvl w:val="0"/>
          <w:numId w:val="3"/>
        </w:numPr>
        <w:spacing w:after="17" w:line="247" w:lineRule="auto"/>
        <w:ind w:right="140" w:hanging="382"/>
        <w:jc w:val="both"/>
      </w:pPr>
      <w:r>
        <w:rPr>
          <w:sz w:val="26"/>
        </w:rPr>
        <w:t>Incumplimiento en la presentación oportuna de información y documentación solicitada por la comisión de auditoría (Hallazgo No. 1)</w:t>
      </w:r>
    </w:p>
    <w:p w14:paraId="76B2EFA0" w14:textId="77777777" w:rsidR="00053D93" w:rsidRDefault="00260B75">
      <w:pPr>
        <w:numPr>
          <w:ilvl w:val="0"/>
          <w:numId w:val="3"/>
        </w:numPr>
        <w:spacing w:after="233" w:line="247" w:lineRule="auto"/>
        <w:ind w:right="140" w:hanging="382"/>
        <w:jc w:val="both"/>
      </w:pPr>
      <w:r>
        <w:rPr>
          <w:sz w:val="26"/>
        </w:rPr>
        <w:t>Irregularidad en el manejo de los recursos financieros de los programas de</w:t>
      </w:r>
    </w:p>
    <w:p w14:paraId="499FD69E" w14:textId="77777777" w:rsidR="00053D93" w:rsidRDefault="00260B75">
      <w:pPr>
        <w:tabs>
          <w:tab w:val="center" w:pos="4198"/>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apoyo a la Educación (Hallazgo No. 2)</w:t>
      </w:r>
    </w:p>
    <w:p w14:paraId="13F9513B" w14:textId="77777777" w:rsidR="00053D93" w:rsidRDefault="00260B75">
      <w:pPr>
        <w:pStyle w:val="Ttulo2"/>
        <w:spacing w:after="198" w:line="261" w:lineRule="auto"/>
        <w:ind w:left="1904" w:right="7"/>
        <w:jc w:val="both"/>
      </w:pPr>
      <w:r>
        <w:rPr>
          <w:sz w:val="30"/>
        </w:rPr>
        <w:lastRenderedPageBreak/>
        <w:t>DIRECCION DEPARTAMENTAL DE EDUCACION DE ALTA VERAPAZ</w:t>
      </w:r>
    </w:p>
    <w:p w14:paraId="5EADF223" w14:textId="77777777" w:rsidR="00053D93" w:rsidRDefault="00260B75">
      <w:pPr>
        <w:spacing w:after="427" w:line="439" w:lineRule="auto"/>
        <w:ind w:left="2254" w:right="187" w:hanging="2160"/>
        <w:jc w:val="both"/>
      </w:pPr>
      <w:r>
        <w:rPr>
          <w:noProof/>
        </w:rPr>
        <w:drawing>
          <wp:anchor distT="0" distB="0" distL="114300" distR="114300" simplePos="0" relativeHeight="251672576" behindDoc="0" locked="0" layoutInCell="1" allowOverlap="0" wp14:anchorId="57FAA240" wp14:editId="452F5701">
            <wp:simplePos x="0" y="0"/>
            <wp:positionH relativeFrom="page">
              <wp:posOffset>201168</wp:posOffset>
            </wp:positionH>
            <wp:positionV relativeFrom="page">
              <wp:posOffset>9070848</wp:posOffset>
            </wp:positionV>
            <wp:extent cx="7543799" cy="626364"/>
            <wp:effectExtent l="0" t="0" r="0" b="0"/>
            <wp:wrapTopAndBottom/>
            <wp:docPr id="30645" name="Picture 30645"/>
            <wp:cNvGraphicFramePr/>
            <a:graphic xmlns:a="http://schemas.openxmlformats.org/drawingml/2006/main">
              <a:graphicData uri="http://schemas.openxmlformats.org/drawingml/2006/picture">
                <pic:pic xmlns:pic="http://schemas.openxmlformats.org/drawingml/2006/picture">
                  <pic:nvPicPr>
                    <pic:cNvPr id="30645" name="Picture 30645"/>
                    <pic:cNvPicPr/>
                  </pic:nvPicPr>
                  <pic:blipFill>
                    <a:blip r:embed="rId46"/>
                    <a:stretch>
                      <a:fillRect/>
                    </a:stretch>
                  </pic:blipFill>
                  <pic:spPr>
                    <a:xfrm>
                      <a:off x="0" y="0"/>
                      <a:ext cx="7543799" cy="626364"/>
                    </a:xfrm>
                    <a:prstGeom prst="rect">
                      <a:avLst/>
                    </a:prstGeom>
                  </pic:spPr>
                </pic:pic>
              </a:graphicData>
            </a:graphic>
          </wp:anchor>
        </w:drawing>
      </w:r>
      <w:r>
        <w:rPr>
          <w:rFonts w:ascii="Times New Roman" w:eastAsia="Times New Roman" w:hAnsi="Times New Roman" w:cs="Times New Roman"/>
          <w:sz w:val="26"/>
        </w:rPr>
        <w:t xml:space="preserve">1 </w:t>
      </w:r>
      <w:r>
        <w:rPr>
          <w:sz w:val="26"/>
        </w:rPr>
        <w:t>24. Falta de celeridad y eficiencia en el pago del aporte económico por gastos funerarios en el Programa de Salud Escolar durante su ejecución (Hallazgo</w:t>
      </w:r>
    </w:p>
    <w:p w14:paraId="522F2146" w14:textId="77777777" w:rsidR="00053D93" w:rsidRDefault="00260B75">
      <w:pPr>
        <w:tabs>
          <w:tab w:val="center" w:pos="5144"/>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DIRECCIÓN DEPARTAMENTAL DE EDUCACION DE IZABAL</w:t>
      </w:r>
    </w:p>
    <w:p w14:paraId="751C5E3B" w14:textId="77777777" w:rsidR="00053D93" w:rsidRDefault="00260B75">
      <w:pPr>
        <w:numPr>
          <w:ilvl w:val="0"/>
          <w:numId w:val="4"/>
        </w:numPr>
        <w:spacing w:after="17" w:line="247" w:lineRule="auto"/>
        <w:ind w:right="7" w:hanging="389"/>
        <w:jc w:val="both"/>
      </w:pPr>
      <w:r>
        <w:rPr>
          <w:sz w:val="26"/>
        </w:rPr>
        <w:t>Falta de rendición de cuentas (Hallazgo No. I)</w:t>
      </w:r>
    </w:p>
    <w:p w14:paraId="5C57FB89" w14:textId="77777777" w:rsidR="00053D93" w:rsidRDefault="00260B75">
      <w:pPr>
        <w:tabs>
          <w:tab w:val="center" w:pos="5180"/>
        </w:tabs>
        <w:spacing w:after="18" w:line="248" w:lineRule="auto"/>
      </w:pPr>
      <w:r>
        <w:rPr>
          <w:noProof/>
        </w:rPr>
        <mc:AlternateContent>
          <mc:Choice Requires="wpg">
            <w:drawing>
              <wp:inline distT="0" distB="0" distL="0" distR="0" wp14:anchorId="44298E77" wp14:editId="094B418D">
                <wp:extent cx="118872" cy="301752"/>
                <wp:effectExtent l="0" t="0" r="0" b="0"/>
                <wp:docPr id="2454157" name="Group 2454157"/>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24994" name="Rectangle 24994"/>
                        <wps:cNvSpPr/>
                        <wps:spPr>
                          <a:xfrm>
                            <a:off x="0" y="0"/>
                            <a:ext cx="158100" cy="401330"/>
                          </a:xfrm>
                          <a:prstGeom prst="rect">
                            <a:avLst/>
                          </a:prstGeom>
                          <a:ln>
                            <a:noFill/>
                          </a:ln>
                        </wps:spPr>
                        <wps:txbx>
                          <w:txbxContent>
                            <w:p w14:paraId="66DA2DC0"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44298E77" id="Group 2454157" o:spid="_x0000_s1054"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">
                <v:rect id="Rectangle 24994" o:spid="_x0000_s1055"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" filled="f" stroked="f">
                  <v:textbox inset="0,0,0,0">
                    <w:txbxContent>
                      <w:p w14:paraId="66DA2DC0"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8"/>
        </w:rPr>
        <w:tab/>
        <w:t>DIRECCION DEPARTAMENTAL DE EDUCACION DE JALAPA</w:t>
      </w:r>
    </w:p>
    <w:p w14:paraId="3659AB95" w14:textId="77777777" w:rsidR="00053D93" w:rsidRDefault="00260B75">
      <w:pPr>
        <w:numPr>
          <w:ilvl w:val="0"/>
          <w:numId w:val="4"/>
        </w:numPr>
        <w:spacing w:after="136" w:line="252" w:lineRule="auto"/>
        <w:ind w:right="7" w:hanging="389"/>
        <w:jc w:val="both"/>
      </w:pPr>
      <w:r>
        <w:rPr>
          <w:sz w:val="24"/>
        </w:rPr>
        <w:t>Incumplimiento en la presentación oportuna de información y documentación</w:t>
      </w:r>
    </w:p>
    <w:p w14:paraId="291853CA" w14:textId="77777777" w:rsidR="00053D93" w:rsidRDefault="00260B75">
      <w:pPr>
        <w:tabs>
          <w:tab w:val="center" w:pos="5018"/>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solicitada por la comisión de auditoría (Hallazgo No. 1)</w:t>
      </w:r>
    </w:p>
    <w:p w14:paraId="25532C00" w14:textId="77777777" w:rsidR="00053D93" w:rsidRDefault="00260B75">
      <w:pPr>
        <w:spacing w:after="121" w:line="248" w:lineRule="auto"/>
        <w:ind w:left="1889" w:hanging="3"/>
        <w:jc w:val="both"/>
      </w:pPr>
      <w:r>
        <w:rPr>
          <w:sz w:val="28"/>
        </w:rPr>
        <w:t>DIRECCION DEPARTAMENTAL DE EDUCACION GUATEMALA NORTE</w:t>
      </w:r>
    </w:p>
    <w:p w14:paraId="02CBB7A6" w14:textId="77777777" w:rsidR="00053D93" w:rsidRDefault="00260B75">
      <w:pPr>
        <w:spacing w:after="17" w:line="541" w:lineRule="auto"/>
        <w:ind w:left="2254" w:right="14" w:hanging="2110"/>
        <w:jc w:val="both"/>
      </w:pPr>
      <w:r>
        <w:rPr>
          <w:rFonts w:ascii="Times New Roman" w:eastAsia="Times New Roman" w:hAnsi="Times New Roman" w:cs="Times New Roman"/>
          <w:sz w:val="26"/>
        </w:rPr>
        <w:t xml:space="preserve">1 </w:t>
      </w:r>
      <w:r>
        <w:rPr>
          <w:sz w:val="26"/>
        </w:rPr>
        <w:t>27. Saldo de caja de ejercicios anteriores no trasladados al Fondo Común oportunamente (Hallazgo No. 1)</w:t>
      </w:r>
    </w:p>
    <w:p w14:paraId="5C50FEE5" w14:textId="77777777" w:rsidR="00053D93" w:rsidRDefault="00260B75">
      <w:pPr>
        <w:spacing w:after="378" w:line="247" w:lineRule="auto"/>
        <w:ind w:left="1879" w:right="14" w:firstLine="4"/>
        <w:jc w:val="both"/>
      </w:pPr>
      <w:r>
        <w:rPr>
          <w:sz w:val="26"/>
        </w:rPr>
        <w:t>28. Falta de supervisión en centro educativo (Hallazgo No. 2)</w:t>
      </w:r>
    </w:p>
    <w:p w14:paraId="2A4F7BC0" w14:textId="77777777" w:rsidR="00053D93" w:rsidRDefault="00260B75">
      <w:pPr>
        <w:tabs>
          <w:tab w:val="center" w:pos="5803"/>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DIRECCION DEPARTAMENTAL DE EDUCACION GUATEMALA ORIENTE</w:t>
      </w:r>
    </w:p>
    <w:p w14:paraId="464B3616" w14:textId="77777777" w:rsidR="00053D93" w:rsidRDefault="00260B75">
      <w:pPr>
        <w:spacing w:after="317" w:line="247" w:lineRule="auto"/>
        <w:ind w:left="1886" w:right="14" w:firstLine="4"/>
        <w:jc w:val="both"/>
      </w:pPr>
      <w:r>
        <w:rPr>
          <w:sz w:val="26"/>
        </w:rPr>
        <w:t>29. Falta de contratación de seguro para Vehículos (Hallazgo No. 1)</w:t>
      </w:r>
    </w:p>
    <w:p w14:paraId="4E66D2D1" w14:textId="77777777" w:rsidR="00053D93" w:rsidRDefault="00260B75">
      <w:pPr>
        <w:tabs>
          <w:tab w:val="center" w:pos="5094"/>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30. Falta de supervisión en centros educativos (Hallazgo No. 2)</w:t>
      </w:r>
    </w:p>
    <w:p w14:paraId="59B27A2F" w14:textId="77777777" w:rsidR="00053D93" w:rsidRDefault="00260B75">
      <w:pPr>
        <w:spacing w:after="263" w:line="247" w:lineRule="auto"/>
        <w:ind w:left="1879" w:right="14" w:firstLine="4"/>
        <w:jc w:val="both"/>
      </w:pPr>
      <w:r>
        <w:rPr>
          <w:sz w:val="26"/>
        </w:rPr>
        <w:t>31. Falta de registro actualizado del libro de inventarios (Hallazgo No. 3)</w:t>
      </w:r>
    </w:p>
    <w:p w14:paraId="2F064A3F" w14:textId="77777777" w:rsidR="00053D93" w:rsidRDefault="00260B75">
      <w:pPr>
        <w:tabs>
          <w:tab w:val="center" w:pos="5969"/>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DIRECCION DEPARTAMENTAL DE EDUCACION GUATEMALA OCCIDENTE</w:t>
      </w:r>
    </w:p>
    <w:p w14:paraId="1F5B1F51" w14:textId="77777777" w:rsidR="00053D93" w:rsidRDefault="00260B75">
      <w:pPr>
        <w:spacing w:after="195" w:line="247" w:lineRule="auto"/>
        <w:ind w:left="1879" w:right="14" w:firstLine="4"/>
        <w:jc w:val="both"/>
      </w:pPr>
      <w:r>
        <w:rPr>
          <w:sz w:val="26"/>
        </w:rPr>
        <w:t>32. Incorrecta aplicación de normativa legal (Hallazgo No. 1)</w:t>
      </w:r>
    </w:p>
    <w:p w14:paraId="05CD2465" w14:textId="77777777" w:rsidR="00053D93" w:rsidRDefault="00260B75">
      <w:pPr>
        <w:tabs>
          <w:tab w:val="center" w:pos="302"/>
          <w:tab w:val="center" w:pos="6055"/>
        </w:tabs>
        <w:spacing w:after="4" w:line="267" w:lineRule="auto"/>
      </w:pPr>
      <w:r>
        <w:rPr>
          <w:sz w:val="26"/>
        </w:rPr>
        <w:tab/>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33. Asignaciones improcedentes de combustible a Técnicos de Servicios de</w:t>
      </w:r>
    </w:p>
    <w:p w14:paraId="29F9F27C" w14:textId="77777777" w:rsidR="00053D93" w:rsidRDefault="00260B75">
      <w:pPr>
        <w:spacing w:after="17" w:line="247" w:lineRule="auto"/>
        <w:ind w:left="2239" w:right="14" w:firstLine="4"/>
        <w:jc w:val="both"/>
      </w:pPr>
      <w:r>
        <w:rPr>
          <w:sz w:val="26"/>
        </w:rPr>
        <w:t>Apoyo (Hallazgo No. 2)</w:t>
      </w:r>
    </w:p>
    <w:p w14:paraId="74D856EF" w14:textId="77777777" w:rsidR="00053D93" w:rsidRDefault="00260B75">
      <w:pPr>
        <w:tabs>
          <w:tab w:val="center" w:pos="2192"/>
          <w:tab w:val="right" w:pos="11398"/>
        </w:tabs>
        <w:spacing w:after="5"/>
        <w:ind w:right="-15"/>
      </w:pPr>
      <w:r>
        <w:rPr>
          <w:noProof/>
        </w:rPr>
        <w:lastRenderedPageBreak/>
        <w:drawing>
          <wp:anchor distT="0" distB="0" distL="114300" distR="114300" simplePos="0" relativeHeight="251673600" behindDoc="0" locked="0" layoutInCell="1" allowOverlap="0" wp14:anchorId="271E7B4B" wp14:editId="576CA125">
            <wp:simplePos x="0" y="0"/>
            <wp:positionH relativeFrom="column">
              <wp:posOffset>68580</wp:posOffset>
            </wp:positionH>
            <wp:positionV relativeFrom="paragraph">
              <wp:posOffset>-187451</wp:posOffset>
            </wp:positionV>
            <wp:extent cx="182880" cy="4521708"/>
            <wp:effectExtent l="0" t="0" r="0" b="0"/>
            <wp:wrapSquare wrapText="bothSides"/>
            <wp:docPr id="37778" name="Picture 37778"/>
            <wp:cNvGraphicFramePr/>
            <a:graphic xmlns:a="http://schemas.openxmlformats.org/drawingml/2006/main">
              <a:graphicData uri="http://schemas.openxmlformats.org/drawingml/2006/picture">
                <pic:pic xmlns:pic="http://schemas.openxmlformats.org/drawingml/2006/picture">
                  <pic:nvPicPr>
                    <pic:cNvPr id="37778" name="Picture 37778"/>
                    <pic:cNvPicPr/>
                  </pic:nvPicPr>
                  <pic:blipFill>
                    <a:blip r:embed="rId47"/>
                    <a:stretch>
                      <a:fillRect/>
                    </a:stretch>
                  </pic:blipFill>
                  <pic:spPr>
                    <a:xfrm>
                      <a:off x="0" y="0"/>
                      <a:ext cx="182880" cy="4521708"/>
                    </a:xfrm>
                    <a:prstGeom prst="rect">
                      <a:avLst/>
                    </a:prstGeom>
                  </pic:spPr>
                </pic:pic>
              </a:graphicData>
            </a:graphic>
          </wp:anchor>
        </w:drawing>
      </w:r>
      <w:r>
        <w:rPr>
          <w:sz w:val="24"/>
        </w:rPr>
        <w:tab/>
      </w:r>
      <w:r>
        <w:rPr>
          <w:noProof/>
        </w:rPr>
        <w:drawing>
          <wp:inline distT="0" distB="0" distL="0" distR="0" wp14:anchorId="7D6EEB6B" wp14:editId="234A660D">
            <wp:extent cx="950976" cy="411480"/>
            <wp:effectExtent l="0" t="0" r="0" b="0"/>
            <wp:docPr id="37783" name="Picture 37783"/>
            <wp:cNvGraphicFramePr/>
            <a:graphic xmlns:a="http://schemas.openxmlformats.org/drawingml/2006/main">
              <a:graphicData uri="http://schemas.openxmlformats.org/drawingml/2006/picture">
                <pic:pic xmlns:pic="http://schemas.openxmlformats.org/drawingml/2006/picture">
                  <pic:nvPicPr>
                    <pic:cNvPr id="37783" name="Picture 37783"/>
                    <pic:cNvPicPr/>
                  </pic:nvPicPr>
                  <pic:blipFill>
                    <a:blip r:embed="rId48"/>
                    <a:stretch>
                      <a:fillRect/>
                    </a:stretch>
                  </pic:blipFill>
                  <pic:spPr>
                    <a:xfrm>
                      <a:off x="0" y="0"/>
                      <a:ext cx="950976" cy="411480"/>
                    </a:xfrm>
                    <a:prstGeom prst="rect">
                      <a:avLst/>
                    </a:prstGeom>
                  </pic:spPr>
                </pic:pic>
              </a:graphicData>
            </a:graphic>
          </wp:inline>
        </w:drawing>
      </w:r>
      <w:r>
        <w:rPr>
          <w:rFonts w:ascii="Times New Roman" w:eastAsia="Times New Roman" w:hAnsi="Times New Roman" w:cs="Times New Roman"/>
          <w:sz w:val="24"/>
        </w:rPr>
        <w:tab/>
        <w:t>construyen Con fi anza</w:t>
      </w:r>
    </w:p>
    <w:p w14:paraId="2A8C1180" w14:textId="77777777" w:rsidR="00053D93" w:rsidRDefault="00260B75">
      <w:pPr>
        <w:spacing w:after="1400" w:line="265" w:lineRule="auto"/>
        <w:ind w:left="118" w:hanging="10"/>
      </w:pPr>
      <w:r>
        <w:rPr>
          <w:sz w:val="12"/>
        </w:rPr>
        <w:t>GUATEMALA. CA</w:t>
      </w:r>
    </w:p>
    <w:p w14:paraId="5A882CF2" w14:textId="77777777" w:rsidR="00053D93" w:rsidRDefault="00260B75">
      <w:pPr>
        <w:spacing w:after="621" w:line="247" w:lineRule="auto"/>
        <w:ind w:left="108" w:right="1116" w:firstLine="4"/>
        <w:jc w:val="both"/>
      </w:pPr>
      <w:r>
        <w:rPr>
          <w:sz w:val="26"/>
        </w:rPr>
        <w:t>El (los) hallazgo (s) contenido (s) en el presente informe, se detalla (n) en el apartado correspondiente, así mismo se dio (dieron) a conocer por el equipo de auditoría a las personas responsables de la entidad auditada oportunamente.</w:t>
      </w:r>
    </w:p>
    <w:p w14:paraId="35312AC3" w14:textId="77777777" w:rsidR="00053D93" w:rsidRDefault="00260B75">
      <w:pPr>
        <w:spacing w:after="154" w:line="247" w:lineRule="auto"/>
        <w:ind w:left="108" w:right="1130" w:firstLine="547"/>
        <w:jc w:val="both"/>
      </w:pPr>
      <w:r>
        <w:rPr>
          <w:sz w:val="26"/>
        </w:rPr>
        <w:t xml:space="preserve">La auditoría fue practicada por los auditores: Lic. Abino Ramos Gómez, Licda. Aurelia Xúm Yes de Vásquez, Licda. Brenda Yohana Granados Subuyuj, Lic. Edvin Francisco Lemus Guerra, Lic. Eludio Amado Gomez Vasquez, Licda. Eva Lorena López Aguirre, Lic. Henry Noel Rodas Romero, Lic. Héctor Fredy García Méndez, Lic. Jorge Aparicio Herrera Ramírez, Lic. Juan Arturo Chavarria Pop, Lic. </w:t>
      </w:r>
      <w:r>
        <w:rPr>
          <w:noProof/>
        </w:rPr>
        <w:drawing>
          <wp:inline distT="0" distB="0" distL="0" distR="0" wp14:anchorId="7839D610" wp14:editId="5DD61FBE">
            <wp:extent cx="9144" cy="13716"/>
            <wp:effectExtent l="0" t="0" r="0" b="0"/>
            <wp:docPr id="37698" name="Picture 37698"/>
            <wp:cNvGraphicFramePr/>
            <a:graphic xmlns:a="http://schemas.openxmlformats.org/drawingml/2006/main">
              <a:graphicData uri="http://schemas.openxmlformats.org/drawingml/2006/picture">
                <pic:pic xmlns:pic="http://schemas.openxmlformats.org/drawingml/2006/picture">
                  <pic:nvPicPr>
                    <pic:cNvPr id="37698" name="Picture 37698"/>
                    <pic:cNvPicPr/>
                  </pic:nvPicPr>
                  <pic:blipFill>
                    <a:blip r:embed="rId49"/>
                    <a:stretch>
                      <a:fillRect/>
                    </a:stretch>
                  </pic:blipFill>
                  <pic:spPr>
                    <a:xfrm>
                      <a:off x="0" y="0"/>
                      <a:ext cx="9144" cy="13716"/>
                    </a:xfrm>
                    <a:prstGeom prst="rect">
                      <a:avLst/>
                    </a:prstGeom>
                  </pic:spPr>
                </pic:pic>
              </a:graphicData>
            </a:graphic>
          </wp:inline>
        </w:drawing>
      </w:r>
      <w:r>
        <w:rPr>
          <w:sz w:val="26"/>
        </w:rPr>
        <w:t xml:space="preserve"> Juan Cayetano Rosales Tahay, Lic. Luis Miguel Vega, Lic. Mynor Rene Toledo Taracena, Licda. Wendy Marisol López Ramírez, Ing. Hector David Coy Poou y Lic. Jonny Estuardo Orozco De Leon, Lic. Gerson Omar Palma Ordoñez (Coordinador) y Licda. Claudia Rosana Azurdia Aguilera de Hernández (Supervisor).</w:t>
      </w:r>
    </w:p>
    <w:p w14:paraId="3A42556E" w14:textId="77777777" w:rsidR="00053D93" w:rsidRDefault="00260B75">
      <w:pPr>
        <w:spacing w:after="18" w:line="248" w:lineRule="auto"/>
        <w:ind w:left="-40" w:hanging="3"/>
        <w:jc w:val="both"/>
      </w:pPr>
      <w:r>
        <w:rPr>
          <w:noProof/>
        </w:rPr>
        <w:lastRenderedPageBreak/>
        <w:drawing>
          <wp:inline distT="0" distB="0" distL="0" distR="0" wp14:anchorId="7A8CA6A5" wp14:editId="00E1F3FE">
            <wp:extent cx="7534656" cy="5006340"/>
            <wp:effectExtent l="0" t="0" r="0" b="0"/>
            <wp:docPr id="2458108" name="Picture 2458108"/>
            <wp:cNvGraphicFramePr/>
            <a:graphic xmlns:a="http://schemas.openxmlformats.org/drawingml/2006/main">
              <a:graphicData uri="http://schemas.openxmlformats.org/drawingml/2006/picture">
                <pic:pic xmlns:pic="http://schemas.openxmlformats.org/drawingml/2006/picture">
                  <pic:nvPicPr>
                    <pic:cNvPr id="2458108" name="Picture 2458108"/>
                    <pic:cNvPicPr/>
                  </pic:nvPicPr>
                  <pic:blipFill>
                    <a:blip r:embed="rId50"/>
                    <a:stretch>
                      <a:fillRect/>
                    </a:stretch>
                  </pic:blipFill>
                  <pic:spPr>
                    <a:xfrm>
                      <a:off x="0" y="0"/>
                      <a:ext cx="7534656" cy="5006340"/>
                    </a:xfrm>
                    <a:prstGeom prst="rect">
                      <a:avLst/>
                    </a:prstGeom>
                  </pic:spPr>
                </pic:pic>
              </a:graphicData>
            </a:graphic>
          </wp:inline>
        </w:drawing>
      </w:r>
      <w:r>
        <w:rPr>
          <w:sz w:val="28"/>
        </w:rPr>
        <w:t>EQUIPO DE AUDITORÍA</w:t>
      </w:r>
    </w:p>
    <w:p w14:paraId="1DD42798" w14:textId="77777777" w:rsidR="00053D93" w:rsidRDefault="00053D93">
      <w:pPr>
        <w:sectPr w:rsidR="00053D93">
          <w:headerReference w:type="even" r:id="rId51"/>
          <w:headerReference w:type="default" r:id="rId52"/>
          <w:footerReference w:type="even" r:id="rId53"/>
          <w:footerReference w:type="default" r:id="rId54"/>
          <w:headerReference w:type="first" r:id="rId55"/>
          <w:footerReference w:type="first" r:id="rId56"/>
          <w:pgSz w:w="12290" w:h="15912"/>
          <w:pgMar w:top="439" w:right="634" w:bottom="245" w:left="259" w:header="734" w:footer="144" w:gutter="0"/>
          <w:cols w:space="720"/>
          <w:titlePg/>
        </w:sectPr>
      </w:pPr>
    </w:p>
    <w:p w14:paraId="6EFFA265" w14:textId="77777777" w:rsidR="00053D93" w:rsidRDefault="00260B75">
      <w:pPr>
        <w:tabs>
          <w:tab w:val="center" w:pos="2109"/>
          <w:tab w:val="center" w:pos="9151"/>
        </w:tabs>
        <w:spacing w:after="0"/>
      </w:pPr>
      <w:r>
        <w:rPr>
          <w:sz w:val="24"/>
        </w:rPr>
        <w:lastRenderedPageBreak/>
        <w:tab/>
      </w:r>
      <w:r>
        <w:rPr>
          <w:noProof/>
        </w:rPr>
        <w:drawing>
          <wp:inline distT="0" distB="0" distL="0" distR="0" wp14:anchorId="775A080C" wp14:editId="53F3BE14">
            <wp:extent cx="950976" cy="411480"/>
            <wp:effectExtent l="0" t="0" r="0" b="0"/>
            <wp:docPr id="45697" name="Picture 45697"/>
            <wp:cNvGraphicFramePr/>
            <a:graphic xmlns:a="http://schemas.openxmlformats.org/drawingml/2006/main">
              <a:graphicData uri="http://schemas.openxmlformats.org/drawingml/2006/picture">
                <pic:pic xmlns:pic="http://schemas.openxmlformats.org/drawingml/2006/picture">
                  <pic:nvPicPr>
                    <pic:cNvPr id="45697" name="Picture 45697"/>
                    <pic:cNvPicPr/>
                  </pic:nvPicPr>
                  <pic:blipFill>
                    <a:blip r:embed="rId57"/>
                    <a:stretch>
                      <a:fillRect/>
                    </a:stretch>
                  </pic:blipFill>
                  <pic:spPr>
                    <a:xfrm>
                      <a:off x="0" y="0"/>
                      <a:ext cx="950976" cy="411480"/>
                    </a:xfrm>
                    <a:prstGeom prst="rect">
                      <a:avLst/>
                    </a:prstGeom>
                  </pic:spPr>
                </pic:pic>
              </a:graphicData>
            </a:graphic>
          </wp:inline>
        </w:drawing>
      </w:r>
      <w:r>
        <w:rPr>
          <w:rFonts w:ascii="Times New Roman" w:eastAsia="Times New Roman" w:hAnsi="Times New Roman" w:cs="Times New Roman"/>
          <w:sz w:val="24"/>
        </w:rPr>
        <w:tab/>
        <w:t xml:space="preserve">construyen </w:t>
      </w:r>
    </w:p>
    <w:p w14:paraId="6005F506" w14:textId="77777777" w:rsidR="00053D93" w:rsidRDefault="00260B75">
      <w:pPr>
        <w:spacing w:after="166" w:line="265" w:lineRule="auto"/>
        <w:ind w:left="1774" w:hanging="10"/>
      </w:pPr>
      <w:r>
        <w:rPr>
          <w:sz w:val="12"/>
        </w:rPr>
        <w:t>GUAIEMAL4. C.'</w:t>
      </w:r>
    </w:p>
    <w:p w14:paraId="5F95DC97" w14:textId="77777777" w:rsidR="00053D93" w:rsidRDefault="00260B75">
      <w:pPr>
        <w:spacing w:after="1879"/>
        <w:ind w:left="1332" w:right="-1015"/>
      </w:pPr>
      <w:r>
        <w:rPr>
          <w:noProof/>
        </w:rPr>
        <mc:AlternateContent>
          <mc:Choice Requires="wpg">
            <w:drawing>
              <wp:inline distT="0" distB="0" distL="0" distR="0" wp14:anchorId="48CFE519" wp14:editId="6A94D622">
                <wp:extent cx="6249924" cy="6515100"/>
                <wp:effectExtent l="0" t="0" r="0" b="0"/>
                <wp:docPr id="2275700" name="Group 2275700"/>
                <wp:cNvGraphicFramePr/>
                <a:graphic xmlns:a="http://schemas.openxmlformats.org/drawingml/2006/main">
                  <a:graphicData uri="http://schemas.microsoft.com/office/word/2010/wordprocessingGroup">
                    <wpg:wgp>
                      <wpg:cNvGrpSpPr/>
                      <wpg:grpSpPr>
                        <a:xfrm>
                          <a:off x="0" y="0"/>
                          <a:ext cx="6249924" cy="6515100"/>
                          <a:chOff x="0" y="0"/>
                          <a:chExt cx="6249924" cy="6515100"/>
                        </a:xfrm>
                      </wpg:grpSpPr>
                      <pic:pic xmlns:pic="http://schemas.openxmlformats.org/drawingml/2006/picture">
                        <pic:nvPicPr>
                          <pic:cNvPr id="2458110" name="Picture 2458110"/>
                          <pic:cNvPicPr/>
                        </pic:nvPicPr>
                        <pic:blipFill>
                          <a:blip r:embed="rId58"/>
                          <a:stretch>
                            <a:fillRect/>
                          </a:stretch>
                        </pic:blipFill>
                        <pic:spPr>
                          <a:xfrm>
                            <a:off x="0" y="0"/>
                            <a:ext cx="6249924" cy="6478524"/>
                          </a:xfrm>
                          <a:prstGeom prst="rect">
                            <a:avLst/>
                          </a:prstGeom>
                        </pic:spPr>
                      </pic:pic>
                      <wps:wsp>
                        <wps:cNvPr id="38395" name="Rectangle 38395"/>
                        <wps:cNvSpPr/>
                        <wps:spPr>
                          <a:xfrm>
                            <a:off x="2825496" y="6432804"/>
                            <a:ext cx="571592" cy="109454"/>
                          </a:xfrm>
                          <a:prstGeom prst="rect">
                            <a:avLst/>
                          </a:prstGeom>
                          <a:ln>
                            <a:noFill/>
                          </a:ln>
                        </wps:spPr>
                        <wps:txbx>
                          <w:txbxContent>
                            <w:p w14:paraId="100077E8" w14:textId="77777777" w:rsidR="00053D93" w:rsidRDefault="00260B75">
                              <w:r>
                                <w:rPr>
                                  <w:sz w:val="16"/>
                                </w:rPr>
                                <w:t xml:space="preserve">Supervisor </w:t>
                              </w:r>
                            </w:p>
                          </w:txbxContent>
                        </wps:txbx>
                        <wps:bodyPr horzOverflow="overflow" vert="horz" lIns="0" tIns="0" rIns="0" bIns="0" rtlCol="0">
                          <a:noAutofit/>
                        </wps:bodyPr>
                      </wps:wsp>
                      <wps:wsp>
                        <wps:cNvPr id="38396" name="Rectangle 38396"/>
                        <wps:cNvSpPr/>
                        <wps:spPr>
                          <a:xfrm>
                            <a:off x="3255264" y="6428232"/>
                            <a:ext cx="772256" cy="103373"/>
                          </a:xfrm>
                          <a:prstGeom prst="rect">
                            <a:avLst/>
                          </a:prstGeom>
                          <a:ln>
                            <a:noFill/>
                          </a:ln>
                        </wps:spPr>
                        <wps:txbx>
                          <w:txbxContent>
                            <w:p w14:paraId="3B472BC0" w14:textId="77777777" w:rsidR="00053D93" w:rsidRDefault="00260B75">
                              <w:r>
                                <w:rPr>
                                  <w:sz w:val="14"/>
                                </w:rPr>
                                <w:t>Gubemamental</w:t>
                              </w:r>
                            </w:p>
                          </w:txbxContent>
                        </wps:txbx>
                        <wps:bodyPr horzOverflow="overflow" vert="horz" lIns="0" tIns="0" rIns="0" bIns="0" rtlCol="0">
                          <a:noAutofit/>
                        </wps:bodyPr>
                      </wps:wsp>
                    </wpg:wgp>
                  </a:graphicData>
                </a:graphic>
              </wp:inline>
            </w:drawing>
          </mc:Choice>
          <mc:Fallback>
            <w:pict>
              <v:group w14:anchorId="48CFE519" id="Group 2275700" o:spid="_x0000_s1056" style="width:492.1pt;height:513pt;mso-position-horizontal-relative:char;mso-position-vertical-relative:line" coordsize="62499,651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">
                <v:shape id="Picture 2458110" o:spid="_x0000_s1057" type="#_x0000_t75" style="position:absolute;width:62499;height:6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">
                  <v:imagedata r:id="rId59" o:title=""/>
                </v:shape>
                <v:rect id="Rectangle 38395" o:spid="_x0000_s1058" style="position:absolute;left:28254;top:64328;width:5716;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" filled="f" stroked="f">
                  <v:textbox inset="0,0,0,0">
                    <w:txbxContent>
                      <w:p w14:paraId="100077E8" w14:textId="77777777" w:rsidR="00053D93" w:rsidRDefault="00260B75">
                        <w:r>
                          <w:rPr>
                            <w:sz w:val="16"/>
                          </w:rPr>
                          <w:t xml:space="preserve">Supervisor </w:t>
                        </w:r>
                      </w:p>
                    </w:txbxContent>
                  </v:textbox>
                </v:rect>
                <v:rect id="Rectangle 38396" o:spid="_x0000_s1059" style="position:absolute;left:32552;top:64282;width:7723;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" filled="f" stroked="f">
                  <v:textbox inset="0,0,0,0">
                    <w:txbxContent>
                      <w:p w14:paraId="3B472BC0" w14:textId="77777777" w:rsidR="00053D93" w:rsidRDefault="00260B75">
                        <w:r>
                          <w:rPr>
                            <w:sz w:val="14"/>
                          </w:rPr>
                          <w:t>Gubemamental</w:t>
                        </w:r>
                      </w:p>
                    </w:txbxContent>
                  </v:textbox>
                </v:rect>
                <w10:anchorlock/>
              </v:group>
            </w:pict>
          </mc:Fallback>
        </mc:AlternateContent>
      </w:r>
    </w:p>
    <w:p w14:paraId="133C7EE6" w14:textId="77777777" w:rsidR="00053D93" w:rsidRDefault="00260B75">
      <w:pPr>
        <w:spacing w:after="0"/>
        <w:ind w:left="-115" w:right="-1591"/>
      </w:pPr>
      <w:r>
        <w:rPr>
          <w:noProof/>
        </w:rPr>
        <w:lastRenderedPageBreak/>
        <w:drawing>
          <wp:inline distT="0" distB="0" distL="0" distR="0" wp14:anchorId="6AE7BF53" wp14:editId="57A3BF59">
            <wp:extent cx="7534655" cy="854964"/>
            <wp:effectExtent l="0" t="0" r="0" b="0"/>
            <wp:docPr id="45696" name="Picture 45696"/>
            <wp:cNvGraphicFramePr/>
            <a:graphic xmlns:a="http://schemas.openxmlformats.org/drawingml/2006/main">
              <a:graphicData uri="http://schemas.openxmlformats.org/drawingml/2006/picture">
                <pic:pic xmlns:pic="http://schemas.openxmlformats.org/drawingml/2006/picture">
                  <pic:nvPicPr>
                    <pic:cNvPr id="45696" name="Picture 45696"/>
                    <pic:cNvPicPr/>
                  </pic:nvPicPr>
                  <pic:blipFill>
                    <a:blip r:embed="rId60"/>
                    <a:stretch>
                      <a:fillRect/>
                    </a:stretch>
                  </pic:blipFill>
                  <pic:spPr>
                    <a:xfrm>
                      <a:off x="0" y="0"/>
                      <a:ext cx="7534655" cy="854964"/>
                    </a:xfrm>
                    <a:prstGeom prst="rect">
                      <a:avLst/>
                    </a:prstGeom>
                  </pic:spPr>
                </pic:pic>
              </a:graphicData>
            </a:graphic>
          </wp:inline>
        </w:drawing>
      </w:r>
    </w:p>
    <w:p w14:paraId="12DD0291" w14:textId="77777777" w:rsidR="00053D93" w:rsidRDefault="00260B75">
      <w:pPr>
        <w:spacing w:after="22"/>
        <w:ind w:left="1670" w:right="-7"/>
      </w:pPr>
      <w:r>
        <w:rPr>
          <w:noProof/>
        </w:rPr>
        <mc:AlternateContent>
          <mc:Choice Requires="wpg">
            <w:drawing>
              <wp:inline distT="0" distB="0" distL="0" distR="0" wp14:anchorId="3FF09E43" wp14:editId="0CF43D85">
                <wp:extent cx="5381245" cy="9144"/>
                <wp:effectExtent l="0" t="0" r="0" b="0"/>
                <wp:docPr id="2458112" name="Group 2458112"/>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111" name="Shape 2458111"/>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12" style="width:423.72pt;height:0.720001pt;mso-position-horizontal-relative:char;mso-position-vertical-relative:line" coordsize="53812,91">
                <v:shape id="Shape 2458111" style="position:absolute;width:53812;height:91;left:0;top:0;" coordsize="5381245,9144" path="m0,4572l5381245,4572">
                  <v:stroke weight="0.720001pt" endcap="flat" joinstyle="miter" miterlimit="1" on="true" color="#000000"/>
                  <v:fill on="false" color="#000000"/>
                </v:shape>
              </v:group>
            </w:pict>
          </mc:Fallback>
        </mc:AlternateContent>
      </w:r>
    </w:p>
    <w:p w14:paraId="43B83351" w14:textId="77777777" w:rsidR="00053D93" w:rsidRDefault="00260B75">
      <w:pPr>
        <w:spacing w:after="244" w:line="248" w:lineRule="auto"/>
        <w:ind w:left="1709" w:hanging="3"/>
        <w:jc w:val="both"/>
      </w:pPr>
      <w:r>
        <w:rPr>
          <w:sz w:val="28"/>
        </w:rPr>
        <w:t>1. INFORMACIÓN GENERAL DE LA ENTIDAD AUDITADA</w:t>
      </w:r>
    </w:p>
    <w:p w14:paraId="0C957E93" w14:textId="77777777" w:rsidR="00053D93" w:rsidRDefault="00260B75">
      <w:pPr>
        <w:spacing w:after="309" w:line="248" w:lineRule="auto"/>
        <w:ind w:left="1709" w:hanging="3"/>
        <w:jc w:val="both"/>
      </w:pPr>
      <w:r>
        <w:rPr>
          <w:sz w:val="28"/>
        </w:rPr>
        <w:t>Base legal</w:t>
      </w:r>
    </w:p>
    <w:p w14:paraId="5E258034" w14:textId="77777777" w:rsidR="00053D93" w:rsidRDefault="00260B75">
      <w:pPr>
        <w:spacing w:after="309" w:line="247" w:lineRule="auto"/>
        <w:ind w:left="1678" w:right="14" w:firstLine="4"/>
        <w:jc w:val="both"/>
      </w:pPr>
      <w:r>
        <w:rPr>
          <w:sz w:val="26"/>
        </w:rPr>
        <w:t>De conformidad con [o que preceptúa la Constitución Política de la República de Guatemala, artículo 71 . Derecho a la educación, establece: "Se garantiza la libertad de enseñanza y de criterio docente. Es obligación del Estado proporcionar y facilitar educación a sus habitantes sin discriminación alguna. Se declara de utilidad y necesidad pública la fundación y mantenimiento de centros. educativos culturales y museos."; artículo 72. Fines de la educación, establece: "La educación tiene como fin primordial el desarrollo integral de la persona humana, el conocimiento de la realidad y cultura nacional y universal. Se declara de interés nacional la educación, la instrucción, formación social y la enseñanza sistemática de la Constitución de la República y de los derechos humanos.'</w:t>
      </w:r>
      <w:r>
        <w:rPr>
          <w:noProof/>
        </w:rPr>
        <w:drawing>
          <wp:inline distT="0" distB="0" distL="0" distR="0" wp14:anchorId="10E8CE3E" wp14:editId="4E3CD978">
            <wp:extent cx="13716" cy="41148"/>
            <wp:effectExtent l="0" t="0" r="0" b="0"/>
            <wp:docPr id="48877" name="Picture 48877"/>
            <wp:cNvGraphicFramePr/>
            <a:graphic xmlns:a="http://schemas.openxmlformats.org/drawingml/2006/main">
              <a:graphicData uri="http://schemas.openxmlformats.org/drawingml/2006/picture">
                <pic:pic xmlns:pic="http://schemas.openxmlformats.org/drawingml/2006/picture">
                  <pic:nvPicPr>
                    <pic:cNvPr id="48877" name="Picture 48877"/>
                    <pic:cNvPicPr/>
                  </pic:nvPicPr>
                  <pic:blipFill>
                    <a:blip r:embed="rId61"/>
                    <a:stretch>
                      <a:fillRect/>
                    </a:stretch>
                  </pic:blipFill>
                  <pic:spPr>
                    <a:xfrm>
                      <a:off x="0" y="0"/>
                      <a:ext cx="13716" cy="41148"/>
                    </a:xfrm>
                    <a:prstGeom prst="rect">
                      <a:avLst/>
                    </a:prstGeom>
                  </pic:spPr>
                </pic:pic>
              </a:graphicData>
            </a:graphic>
          </wp:inline>
        </w:drawing>
      </w:r>
    </w:p>
    <w:p w14:paraId="5FB42A93" w14:textId="77777777" w:rsidR="00053D93" w:rsidRDefault="00260B75">
      <w:pPr>
        <w:spacing w:after="307" w:line="247" w:lineRule="auto"/>
        <w:ind w:left="1670" w:right="14" w:firstLine="4"/>
        <w:jc w:val="both"/>
      </w:pPr>
      <w:r>
        <w:rPr>
          <w:sz w:val="26"/>
        </w:rPr>
        <w:t>Decreto Número 12-91 , del Congreso de la República de Guatemala, Ley de Educación Nacional, artículo 8. Definición, establece: "El Ministerio de Educación es la Institución del Estado responsable de coordinar y ejecutar las políticas educativas, determinadas por el Sistema Educativo del país."</w:t>
      </w:r>
    </w:p>
    <w:p w14:paraId="1DD22185" w14:textId="77777777" w:rsidR="00053D93" w:rsidRDefault="00260B75">
      <w:pPr>
        <w:spacing w:after="290" w:line="247" w:lineRule="auto"/>
        <w:ind w:left="1663" w:right="14" w:firstLine="4"/>
        <w:jc w:val="both"/>
      </w:pPr>
      <w:r>
        <w:rPr>
          <w:sz w:val="26"/>
        </w:rPr>
        <w:t>Decreto Número 1 14-97, del Congreso de la República de Guatemala, Ley del Organismo Ejecutivo, artículo 33. Ministerio de Educación, establece: "Le corresponde lo relativo a la aplicación del régimen jurídico concerniente a los servicios escolares y extraescolares para la educación de los guatemaltecos..."</w:t>
      </w:r>
    </w:p>
    <w:p w14:paraId="215CB62C" w14:textId="77777777" w:rsidR="00053D93" w:rsidRDefault="00260B75">
      <w:pPr>
        <w:spacing w:after="327" w:line="248" w:lineRule="auto"/>
        <w:ind w:left="1709" w:hanging="3"/>
        <w:jc w:val="both"/>
      </w:pPr>
      <w:r>
        <w:rPr>
          <w:sz w:val="28"/>
        </w:rPr>
        <w:t>Misión</w:t>
      </w:r>
    </w:p>
    <w:p w14:paraId="7CC57B11" w14:textId="77777777" w:rsidR="00053D93" w:rsidRDefault="00260B75">
      <w:pPr>
        <w:spacing w:after="321" w:line="247" w:lineRule="auto"/>
        <w:ind w:left="1656" w:right="14" w:firstLine="4"/>
        <w:jc w:val="both"/>
      </w:pPr>
      <w:r>
        <w:rPr>
          <w:sz w:val="26"/>
        </w:rPr>
        <w:t>Somos una Institución evolutiva, organizada, eficiente y eficaz, generadora de oportunidades de enseñanza-aprendizaje, orientada a resultados, que aprovecha diligentemente las oportunidades que el siglo XXI le brinda y comprometida con una Guatemala mejor.</w:t>
      </w:r>
    </w:p>
    <w:p w14:paraId="3F0F2726" w14:textId="77777777" w:rsidR="00053D93" w:rsidRDefault="00260B75">
      <w:pPr>
        <w:spacing w:after="327" w:line="248" w:lineRule="auto"/>
        <w:ind w:left="1709" w:hanging="3"/>
        <w:jc w:val="both"/>
      </w:pPr>
      <w:r>
        <w:rPr>
          <w:sz w:val="28"/>
        </w:rPr>
        <w:t>Visión</w:t>
      </w:r>
    </w:p>
    <w:p w14:paraId="435DACE7" w14:textId="77777777" w:rsidR="00053D93" w:rsidRDefault="00260B75">
      <w:pPr>
        <w:spacing w:after="296" w:line="247" w:lineRule="auto"/>
        <w:ind w:left="1649" w:right="14" w:firstLine="4"/>
        <w:jc w:val="both"/>
      </w:pPr>
      <w:r>
        <w:rPr>
          <w:sz w:val="26"/>
        </w:rPr>
        <w:lastRenderedPageBreak/>
        <w:t>Formar ciudadanos con carácter, capaces de aprender por sí mismos, orgullosos de ser guatemaltecos, empeñados en conseguir su desarrollo integral, con principios, valores y convicciones que fundamentan su conducta.</w:t>
      </w:r>
    </w:p>
    <w:p w14:paraId="7BBEFA6C" w14:textId="77777777" w:rsidR="00053D93" w:rsidRDefault="00260B75">
      <w:pPr>
        <w:spacing w:after="329" w:line="248" w:lineRule="auto"/>
        <w:ind w:left="1709" w:hanging="3"/>
        <w:jc w:val="both"/>
      </w:pPr>
      <w:r>
        <w:rPr>
          <w:sz w:val="28"/>
        </w:rPr>
        <w:t>Funciones</w:t>
      </w:r>
    </w:p>
    <w:p w14:paraId="6899FFA3" w14:textId="77777777" w:rsidR="00053D93" w:rsidRDefault="00260B75">
      <w:pPr>
        <w:spacing w:after="17" w:line="247" w:lineRule="auto"/>
        <w:ind w:left="1649" w:right="14" w:firstLine="4"/>
        <w:jc w:val="both"/>
      </w:pPr>
      <w:r>
        <w:rPr>
          <w:sz w:val="26"/>
        </w:rPr>
        <w:t>El Ministerio de Educación de Guatemala, de acuerdo con el artículo 33 de la Ley del Organismo Ejecutivo, le corresponde las siguientes funciones:</w:t>
      </w:r>
    </w:p>
    <w:tbl>
      <w:tblPr>
        <w:tblStyle w:val="TableGrid"/>
        <w:tblW w:w="9425" w:type="dxa"/>
        <w:tblInd w:w="691" w:type="dxa"/>
        <w:tblLook w:val="04A0" w:firstRow="1" w:lastRow="0" w:firstColumn="1" w:lastColumn="0" w:noHBand="0" w:noVBand="1"/>
      </w:tblPr>
      <w:tblGrid>
        <w:gridCol w:w="1298"/>
        <w:gridCol w:w="8169"/>
      </w:tblGrid>
      <w:tr w:rsidR="00053D93" w14:paraId="6AD5FFF2" w14:textId="77777777">
        <w:trPr>
          <w:trHeight w:val="634"/>
        </w:trPr>
        <w:tc>
          <w:tcPr>
            <w:tcW w:w="1789" w:type="dxa"/>
            <w:tcBorders>
              <w:top w:val="nil"/>
              <w:left w:val="nil"/>
              <w:bottom w:val="nil"/>
              <w:right w:val="nil"/>
            </w:tcBorders>
          </w:tcPr>
          <w:p w14:paraId="76F0FA89" w14:textId="77777777" w:rsidR="00053D93" w:rsidRDefault="00260B75">
            <w:r>
              <w:rPr>
                <w:noProof/>
              </w:rPr>
              <w:drawing>
                <wp:inline distT="0" distB="0" distL="0" distR="0" wp14:anchorId="0F6FAC3C" wp14:editId="4A2F32E4">
                  <wp:extent cx="1124712" cy="402336"/>
                  <wp:effectExtent l="0" t="0" r="0" b="0"/>
                  <wp:docPr id="48976" name="Picture 48976"/>
                  <wp:cNvGraphicFramePr/>
                  <a:graphic xmlns:a="http://schemas.openxmlformats.org/drawingml/2006/main">
                    <a:graphicData uri="http://schemas.openxmlformats.org/drawingml/2006/picture">
                      <pic:pic xmlns:pic="http://schemas.openxmlformats.org/drawingml/2006/picture">
                        <pic:nvPicPr>
                          <pic:cNvPr id="48976" name="Picture 48976"/>
                          <pic:cNvPicPr/>
                        </pic:nvPicPr>
                        <pic:blipFill>
                          <a:blip r:embed="rId62"/>
                          <a:stretch>
                            <a:fillRect/>
                          </a:stretch>
                        </pic:blipFill>
                        <pic:spPr>
                          <a:xfrm>
                            <a:off x="0" y="0"/>
                            <a:ext cx="1124712" cy="402336"/>
                          </a:xfrm>
                          <a:prstGeom prst="rect">
                            <a:avLst/>
                          </a:prstGeom>
                        </pic:spPr>
                      </pic:pic>
                    </a:graphicData>
                  </a:graphic>
                </wp:inline>
              </w:drawing>
            </w:r>
          </w:p>
        </w:tc>
        <w:tc>
          <w:tcPr>
            <w:tcW w:w="7636" w:type="dxa"/>
            <w:tcBorders>
              <w:top w:val="nil"/>
              <w:left w:val="nil"/>
              <w:bottom w:val="nil"/>
              <w:right w:val="nil"/>
            </w:tcBorders>
          </w:tcPr>
          <w:p w14:paraId="15C8504F" w14:textId="77777777" w:rsidR="00053D93" w:rsidRDefault="00053D93">
            <w:pPr>
              <w:ind w:left="-2826" w:right="10462"/>
            </w:pPr>
          </w:p>
          <w:tbl>
            <w:tblPr>
              <w:tblStyle w:val="TableGrid"/>
              <w:tblW w:w="7618" w:type="dxa"/>
              <w:tblInd w:w="18" w:type="dxa"/>
              <w:tblCellMar>
                <w:top w:w="16" w:type="dxa"/>
                <w:left w:w="1735" w:type="dxa"/>
                <w:right w:w="115" w:type="dxa"/>
              </w:tblCellMar>
              <w:tblLook w:val="04A0" w:firstRow="1" w:lastRow="0" w:firstColumn="1" w:lastColumn="0" w:noHBand="0" w:noVBand="1"/>
            </w:tblPr>
            <w:tblGrid>
              <w:gridCol w:w="7618"/>
            </w:tblGrid>
            <w:tr w:rsidR="00053D93" w14:paraId="46E16A39" w14:textId="77777777">
              <w:trPr>
                <w:trHeight w:val="50"/>
              </w:trPr>
              <w:tc>
                <w:tcPr>
                  <w:tcW w:w="7618" w:type="dxa"/>
                  <w:tcBorders>
                    <w:top w:val="nil"/>
                    <w:left w:val="single" w:sz="2" w:space="0" w:color="000000"/>
                    <w:bottom w:val="single" w:sz="2" w:space="0" w:color="000000"/>
                    <w:right w:val="nil"/>
                  </w:tcBorders>
                </w:tcPr>
                <w:p w14:paraId="40BDA7F6" w14:textId="77777777" w:rsidR="00053D93" w:rsidRDefault="00053D93"/>
              </w:tc>
            </w:tr>
            <w:tr w:rsidR="00053D93" w14:paraId="4B32D373" w14:textId="77777777">
              <w:trPr>
                <w:trHeight w:val="583"/>
              </w:trPr>
              <w:tc>
                <w:tcPr>
                  <w:tcW w:w="7618" w:type="dxa"/>
                  <w:tcBorders>
                    <w:top w:val="single" w:sz="2" w:space="0" w:color="000000"/>
                    <w:left w:val="single" w:sz="2" w:space="0" w:color="000000"/>
                    <w:bottom w:val="nil"/>
                    <w:right w:val="nil"/>
                  </w:tcBorders>
                </w:tcPr>
                <w:p w14:paraId="50B4EF16" w14:textId="77777777" w:rsidR="00053D93" w:rsidRDefault="00260B75">
                  <w:pPr>
                    <w:ind w:left="835"/>
                  </w:pPr>
                  <w:r>
                    <w:rPr>
                      <w:sz w:val="14"/>
                    </w:rPr>
                    <w:t>MIMSTERIO DE EDUCACION</w:t>
                  </w:r>
                </w:p>
                <w:p w14:paraId="48450BCA" w14:textId="77777777" w:rsidR="00053D93" w:rsidRDefault="00260B75">
                  <w:pPr>
                    <w:ind w:left="338"/>
                  </w:pPr>
                  <w:r>
                    <w:rPr>
                      <w:sz w:val="14"/>
                    </w:rPr>
                    <w:t>AUDITORÍA FINANCIERA Y DE CUMPLIMIENTO</w:t>
                  </w:r>
                </w:p>
                <w:p w14:paraId="1BE21455" w14:textId="77777777" w:rsidR="00053D93" w:rsidRDefault="00260B75">
                  <w:r>
                    <w:rPr>
                      <w:sz w:val="14"/>
                    </w:rPr>
                    <w:t>PERIODO DEL. 01 DE ENERO AL 31 DE DICIEM3RE DE 2024</w:t>
                  </w:r>
                </w:p>
              </w:tc>
            </w:tr>
          </w:tbl>
          <w:p w14:paraId="77E6C30F" w14:textId="77777777" w:rsidR="00053D93" w:rsidRDefault="00053D93"/>
        </w:tc>
      </w:tr>
    </w:tbl>
    <w:p w14:paraId="2EC8DD87" w14:textId="77777777" w:rsidR="00053D93" w:rsidRDefault="00260B75">
      <w:pPr>
        <w:spacing w:after="3" w:line="265" w:lineRule="auto"/>
        <w:ind w:left="60" w:right="65" w:hanging="10"/>
      </w:pPr>
      <w:r>
        <w:rPr>
          <w:rFonts w:ascii="Times New Roman" w:eastAsia="Times New Roman" w:hAnsi="Times New Roman" w:cs="Times New Roman"/>
          <w:sz w:val="66"/>
        </w:rPr>
        <w:t>1</w:t>
      </w:r>
    </w:p>
    <w:p w14:paraId="6AE74C32" w14:textId="77777777" w:rsidR="00053D93" w:rsidRDefault="00260B75">
      <w:pPr>
        <w:spacing w:after="178" w:line="265" w:lineRule="auto"/>
        <w:ind w:left="1846" w:right="230" w:hanging="10"/>
        <w:jc w:val="center"/>
      </w:pPr>
      <w:r>
        <w:rPr>
          <w:rFonts w:ascii="Times New Roman" w:eastAsia="Times New Roman" w:hAnsi="Times New Roman" w:cs="Times New Roman"/>
          <w:sz w:val="14"/>
        </w:rPr>
        <w:t>2</w:t>
      </w:r>
    </w:p>
    <w:p w14:paraId="4663174B" w14:textId="77777777" w:rsidR="00053D93" w:rsidRDefault="00260B75">
      <w:pPr>
        <w:spacing w:after="349"/>
        <w:ind w:left="1649"/>
      </w:pPr>
      <w:r>
        <w:rPr>
          <w:noProof/>
        </w:rPr>
        <mc:AlternateContent>
          <mc:Choice Requires="wpg">
            <w:drawing>
              <wp:inline distT="0" distB="0" distL="0" distR="0" wp14:anchorId="0FC03E68" wp14:editId="5D26CCA2">
                <wp:extent cx="5385816" cy="9144"/>
                <wp:effectExtent l="0" t="0" r="0" b="0"/>
                <wp:docPr id="2458114" name="Group 2458114"/>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113" name="Shape 2458113"/>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14" style="width:424.08pt;height:0.720001pt;mso-position-horizontal-relative:char;mso-position-vertical-relative:line" coordsize="53858,91">
                <v:shape id="Shape 2458113" style="position:absolute;width:53858;height:91;left:0;top:0;" coordsize="5385816,9144" path="m0,4572l5385816,4572">
                  <v:stroke weight="0.720001pt" endcap="flat" joinstyle="miter" miterlimit="1" on="true" color="#000000"/>
                  <v:fill on="false" color="#000000"/>
                </v:shape>
              </v:group>
            </w:pict>
          </mc:Fallback>
        </mc:AlternateContent>
      </w:r>
    </w:p>
    <w:p w14:paraId="62817F45" w14:textId="77777777" w:rsidR="00053D93" w:rsidRDefault="00260B75">
      <w:pPr>
        <w:spacing w:after="311" w:line="247" w:lineRule="auto"/>
        <w:ind w:left="1663" w:right="14" w:firstLine="4"/>
        <w:jc w:val="both"/>
      </w:pPr>
      <w:r>
        <w:rPr>
          <w:sz w:val="26"/>
        </w:rPr>
        <w:t>Formular y administrar la política educativa, velando por la calidad y la cobertura de la prestación de los servicios educativos públicos y privados, todo ello de conformidad con la ley.</w:t>
      </w:r>
    </w:p>
    <w:p w14:paraId="1CFC70E8" w14:textId="77777777" w:rsidR="00053D93" w:rsidRDefault="00260B75">
      <w:pPr>
        <w:spacing w:after="336" w:line="247" w:lineRule="auto"/>
        <w:ind w:left="1663" w:right="14" w:firstLine="4"/>
        <w:jc w:val="both"/>
      </w:pPr>
      <w:r>
        <w:rPr>
          <w:sz w:val="26"/>
        </w:rPr>
        <w:t>Coordinar con el Ministerio de Comunicaciones, Infraestructura y Vivienda las propuestas para formular y poner en vigor las normas técnicas para Ea infraestructura del sector.</w:t>
      </w:r>
    </w:p>
    <w:p w14:paraId="1B842AE8" w14:textId="77777777" w:rsidR="00053D93" w:rsidRDefault="00260B75">
      <w:pPr>
        <w:spacing w:after="319" w:line="247" w:lineRule="auto"/>
        <w:ind w:left="1649" w:right="14" w:firstLine="4"/>
        <w:jc w:val="both"/>
      </w:pPr>
      <w:r>
        <w:rPr>
          <w:sz w:val="26"/>
        </w:rPr>
        <w:t>Velar porque el sistema educativo del Estado contribuya al desarrollo integral de la persona, con base en los principios constitucionales de respeto a la vida, la libertad, [a justicia, la seguridad y la paz y al carácter multiétnico, p[uricu[tural y multilingüe de Guatemala.</w:t>
      </w:r>
    </w:p>
    <w:p w14:paraId="386EC9B8" w14:textId="77777777" w:rsidR="00053D93" w:rsidRDefault="00260B75">
      <w:pPr>
        <w:spacing w:after="330" w:line="247" w:lineRule="auto"/>
        <w:ind w:left="1663" w:right="14" w:firstLine="4"/>
        <w:jc w:val="both"/>
      </w:pPr>
      <w:r>
        <w:rPr>
          <w:sz w:val="26"/>
        </w:rPr>
        <w:t>Coordinar esfuerzos con [as universidades y otras entidades educativas del país, para lograr el mejoramiento cualitativo del sistema educativo nacional.</w:t>
      </w:r>
    </w:p>
    <w:p w14:paraId="0D3D5D9B" w14:textId="77777777" w:rsidR="00053D93" w:rsidRDefault="00260B75">
      <w:pPr>
        <w:spacing w:after="310" w:line="247" w:lineRule="auto"/>
        <w:ind w:left="1656" w:right="14" w:firstLine="4"/>
        <w:jc w:val="both"/>
      </w:pPr>
      <w:r>
        <w:rPr>
          <w:sz w:val="26"/>
        </w:rPr>
        <w:t>Coordinar y velar por el adecuado funcionamiento de los sistemas nacionales de alfabetización, planificación educativa, investigación, evaluación, capacitación de docentes y personal magisterial, y educación intercultural ajustándolos a las diferentes realidades regionales y étnicas del país.</w:t>
      </w:r>
    </w:p>
    <w:p w14:paraId="063CBAE9" w14:textId="77777777" w:rsidR="00053D93" w:rsidRDefault="00260B75">
      <w:pPr>
        <w:spacing w:after="333" w:line="247" w:lineRule="auto"/>
        <w:ind w:left="1642" w:right="14" w:firstLine="4"/>
        <w:jc w:val="both"/>
      </w:pPr>
      <w:r>
        <w:rPr>
          <w:sz w:val="26"/>
        </w:rPr>
        <w:t xml:space="preserve">Promover la autogestión educativa y la descentralización de los recursos económicos para los servicios de apoyo educativo mediante la organización de </w:t>
      </w:r>
      <w:r>
        <w:rPr>
          <w:sz w:val="26"/>
        </w:rPr>
        <w:lastRenderedPageBreak/>
        <w:t>comités educativos, juntas escolares y otras modalidades en todas las escuelas oficiales públicas; así como aprobarles sus estatutos y reconocer su personalidad jurídica.</w:t>
      </w:r>
    </w:p>
    <w:p w14:paraId="62DB2794" w14:textId="77777777" w:rsidR="00053D93" w:rsidRDefault="00260B75">
      <w:pPr>
        <w:spacing w:after="333" w:line="247" w:lineRule="auto"/>
        <w:ind w:left="1649" w:right="14" w:firstLine="4"/>
        <w:jc w:val="both"/>
      </w:pPr>
      <w:r>
        <w:rPr>
          <w:sz w:val="26"/>
        </w:rPr>
        <w:t>Administrar en forma descentralizada y subsidiaria los servicios de elaboración, producción e impresión de textos, materiales educativos y servicios de apoyo a la prestación de los servicios educativos.</w:t>
      </w:r>
    </w:p>
    <w:p w14:paraId="0C8A35AE" w14:textId="77777777" w:rsidR="00053D93" w:rsidRDefault="00260B75">
      <w:pPr>
        <w:spacing w:after="301" w:line="247" w:lineRule="auto"/>
        <w:ind w:left="1656" w:right="14" w:firstLine="4"/>
        <w:jc w:val="both"/>
      </w:pPr>
      <w:r>
        <w:rPr>
          <w:sz w:val="26"/>
        </w:rPr>
        <w:t>Formular la política de becas y administrar descentralizadamente el sistema de becas y bolsas de estudio que otorga el Estado.</w:t>
      </w:r>
    </w:p>
    <w:p w14:paraId="2D3A10AE" w14:textId="77777777" w:rsidR="00053D93" w:rsidRDefault="00260B75">
      <w:pPr>
        <w:spacing w:after="253" w:line="248" w:lineRule="auto"/>
        <w:ind w:left="1709" w:hanging="3"/>
        <w:jc w:val="both"/>
      </w:pPr>
      <w:r>
        <w:rPr>
          <w:sz w:val="28"/>
        </w:rPr>
        <w:t>2. FUNDAMENTO LEGAL PARA LA PRÁCTICA DE AUDITORÍA</w:t>
      </w:r>
    </w:p>
    <w:p w14:paraId="279EAD18" w14:textId="77777777" w:rsidR="00053D93" w:rsidRDefault="00260B75">
      <w:pPr>
        <w:spacing w:after="264" w:line="247" w:lineRule="auto"/>
        <w:ind w:left="1656" w:right="14" w:firstLine="4"/>
        <w:jc w:val="both"/>
      </w:pPr>
      <w:r>
        <w:rPr>
          <w:sz w:val="26"/>
        </w:rPr>
        <w:t>La auditoría se realizó con base en:</w:t>
      </w:r>
    </w:p>
    <w:p w14:paraId="0D6328F2" w14:textId="77777777" w:rsidR="00053D93" w:rsidRDefault="00260B75">
      <w:pPr>
        <w:spacing w:after="87" w:line="247" w:lineRule="auto"/>
        <w:ind w:left="14" w:right="14" w:firstLine="1656"/>
        <w:jc w:val="both"/>
      </w:pPr>
      <w:r>
        <w:rPr>
          <w:sz w:val="26"/>
        </w:rPr>
        <w:t xml:space="preserve">La Constitución Política de la República de Guatemala, artículos 232 Contraloría </w:t>
      </w:r>
      <w:r>
        <w:rPr>
          <w:rFonts w:ascii="Times New Roman" w:eastAsia="Times New Roman" w:hAnsi="Times New Roman" w:cs="Times New Roman"/>
          <w:sz w:val="26"/>
        </w:rPr>
        <w:t xml:space="preserve">1 </w:t>
      </w:r>
      <w:r>
        <w:rPr>
          <w:sz w:val="26"/>
        </w:rPr>
        <w:t>General de Cuentas y 241 Rendición de Cuentas del Estado.</w:t>
      </w:r>
    </w:p>
    <w:p w14:paraId="30267A5F" w14:textId="77777777" w:rsidR="00053D93" w:rsidRDefault="00260B75">
      <w:pPr>
        <w:spacing w:after="17" w:line="247" w:lineRule="auto"/>
        <w:ind w:left="1656" w:right="14" w:firstLine="4"/>
        <w:jc w:val="both"/>
      </w:pPr>
      <w:r>
        <w:rPr>
          <w:sz w:val="26"/>
        </w:rPr>
        <w:t>El Decreto Número 31-2002, del Congreso de la República de Guatemala, Ley</w:t>
      </w:r>
    </w:p>
    <w:tbl>
      <w:tblPr>
        <w:tblStyle w:val="TableGrid"/>
        <w:tblW w:w="9432" w:type="dxa"/>
        <w:tblInd w:w="698" w:type="dxa"/>
        <w:tblLook w:val="04A0" w:firstRow="1" w:lastRow="0" w:firstColumn="1" w:lastColumn="0" w:noHBand="0" w:noVBand="1"/>
      </w:tblPr>
      <w:tblGrid>
        <w:gridCol w:w="1295"/>
        <w:gridCol w:w="8165"/>
      </w:tblGrid>
      <w:tr w:rsidR="00053D93" w14:paraId="04492B72" w14:textId="77777777">
        <w:trPr>
          <w:trHeight w:val="641"/>
        </w:trPr>
        <w:tc>
          <w:tcPr>
            <w:tcW w:w="1789" w:type="dxa"/>
            <w:tcBorders>
              <w:top w:val="nil"/>
              <w:left w:val="nil"/>
              <w:bottom w:val="nil"/>
              <w:right w:val="nil"/>
            </w:tcBorders>
          </w:tcPr>
          <w:p w14:paraId="4F3159AA" w14:textId="77777777" w:rsidR="00053D93" w:rsidRDefault="00260B75">
            <w:r>
              <w:rPr>
                <w:noProof/>
              </w:rPr>
              <w:drawing>
                <wp:inline distT="0" distB="0" distL="0" distR="0" wp14:anchorId="34854D2D" wp14:editId="78EE8785">
                  <wp:extent cx="1124712" cy="406908"/>
                  <wp:effectExtent l="0" t="0" r="0" b="0"/>
                  <wp:docPr id="52275" name="Picture 52275"/>
                  <wp:cNvGraphicFramePr/>
                  <a:graphic xmlns:a="http://schemas.openxmlformats.org/drawingml/2006/main">
                    <a:graphicData uri="http://schemas.openxmlformats.org/drawingml/2006/picture">
                      <pic:pic xmlns:pic="http://schemas.openxmlformats.org/drawingml/2006/picture">
                        <pic:nvPicPr>
                          <pic:cNvPr id="52275" name="Picture 52275"/>
                          <pic:cNvPicPr/>
                        </pic:nvPicPr>
                        <pic:blipFill>
                          <a:blip r:embed="rId63"/>
                          <a:stretch>
                            <a:fillRect/>
                          </a:stretch>
                        </pic:blipFill>
                        <pic:spPr>
                          <a:xfrm>
                            <a:off x="0" y="0"/>
                            <a:ext cx="1124712" cy="406908"/>
                          </a:xfrm>
                          <a:prstGeom prst="rect">
                            <a:avLst/>
                          </a:prstGeom>
                        </pic:spPr>
                      </pic:pic>
                    </a:graphicData>
                  </a:graphic>
                </wp:inline>
              </w:drawing>
            </w:r>
          </w:p>
        </w:tc>
        <w:tc>
          <w:tcPr>
            <w:tcW w:w="7643" w:type="dxa"/>
            <w:tcBorders>
              <w:top w:val="nil"/>
              <w:left w:val="nil"/>
              <w:bottom w:val="nil"/>
              <w:right w:val="nil"/>
            </w:tcBorders>
          </w:tcPr>
          <w:p w14:paraId="3349AFB7" w14:textId="77777777" w:rsidR="00053D93" w:rsidRDefault="00053D93">
            <w:pPr>
              <w:ind w:left="-2833" w:right="10476"/>
            </w:pPr>
          </w:p>
          <w:tbl>
            <w:tblPr>
              <w:tblStyle w:val="TableGrid"/>
              <w:tblW w:w="7625" w:type="dxa"/>
              <w:tblInd w:w="18" w:type="dxa"/>
              <w:tblCellMar>
                <w:top w:w="30" w:type="dxa"/>
                <w:left w:w="1735" w:type="dxa"/>
                <w:right w:w="115" w:type="dxa"/>
              </w:tblCellMar>
              <w:tblLook w:val="04A0" w:firstRow="1" w:lastRow="0" w:firstColumn="1" w:lastColumn="0" w:noHBand="0" w:noVBand="1"/>
            </w:tblPr>
            <w:tblGrid>
              <w:gridCol w:w="7625"/>
            </w:tblGrid>
            <w:tr w:rsidR="00053D93" w14:paraId="2F6B2D9E" w14:textId="77777777">
              <w:trPr>
                <w:trHeight w:val="39"/>
              </w:trPr>
              <w:tc>
                <w:tcPr>
                  <w:tcW w:w="7625" w:type="dxa"/>
                  <w:tcBorders>
                    <w:top w:val="nil"/>
                    <w:left w:val="single" w:sz="2" w:space="0" w:color="000000"/>
                    <w:bottom w:val="single" w:sz="2" w:space="0" w:color="000000"/>
                    <w:right w:val="nil"/>
                  </w:tcBorders>
                </w:tcPr>
                <w:p w14:paraId="2CE6DAF8" w14:textId="77777777" w:rsidR="00053D93" w:rsidRDefault="00053D93"/>
              </w:tc>
            </w:tr>
            <w:tr w:rsidR="00053D93" w14:paraId="37311DDC" w14:textId="77777777">
              <w:trPr>
                <w:trHeight w:val="595"/>
              </w:trPr>
              <w:tc>
                <w:tcPr>
                  <w:tcW w:w="7625" w:type="dxa"/>
                  <w:tcBorders>
                    <w:top w:val="single" w:sz="2" w:space="0" w:color="000000"/>
                    <w:left w:val="single" w:sz="2" w:space="0" w:color="000000"/>
                    <w:bottom w:val="nil"/>
                    <w:right w:val="nil"/>
                  </w:tcBorders>
                </w:tcPr>
                <w:p w14:paraId="3DC1D1DA" w14:textId="77777777" w:rsidR="00053D93" w:rsidRDefault="00260B75">
                  <w:pPr>
                    <w:ind w:left="835"/>
                  </w:pPr>
                  <w:r>
                    <w:rPr>
                      <w:sz w:val="14"/>
                    </w:rPr>
                    <w:t>MINISTERIO DE EDUCACION</w:t>
                  </w:r>
                </w:p>
                <w:p w14:paraId="4F9C6EA9" w14:textId="77777777" w:rsidR="00053D93" w:rsidRDefault="00260B75">
                  <w:pPr>
                    <w:ind w:left="338"/>
                  </w:pPr>
                  <w:r>
                    <w:rPr>
                      <w:sz w:val="14"/>
                    </w:rPr>
                    <w:t>AUDITORIA FINANCIERA Y DE CUMPLIMIENTO</w:t>
                  </w:r>
                </w:p>
                <w:p w14:paraId="3F4E3AC3" w14:textId="77777777" w:rsidR="00053D93" w:rsidRDefault="00260B75">
                  <w:r>
                    <w:rPr>
                      <w:sz w:val="14"/>
                    </w:rPr>
                    <w:t>PERIODO DEL 01 DE ENERO AL 31 DE DiClEMBRE DE 2024</w:t>
                  </w:r>
                </w:p>
              </w:tc>
            </w:tr>
          </w:tbl>
          <w:p w14:paraId="725364A6" w14:textId="77777777" w:rsidR="00053D93" w:rsidRDefault="00053D93"/>
        </w:tc>
      </w:tr>
    </w:tbl>
    <w:p w14:paraId="061460B3" w14:textId="77777777" w:rsidR="00053D93" w:rsidRDefault="00260B75">
      <w:pPr>
        <w:spacing w:after="0"/>
      </w:pPr>
      <w:r>
        <w:rPr>
          <w:sz w:val="256"/>
        </w:rPr>
        <w:t>i</w:t>
      </w:r>
    </w:p>
    <w:p w14:paraId="56CE73EA" w14:textId="77777777" w:rsidR="00053D93" w:rsidRDefault="00260B75">
      <w:pPr>
        <w:spacing w:after="41"/>
        <w:ind w:left="1663"/>
      </w:pPr>
      <w:r>
        <w:rPr>
          <w:noProof/>
        </w:rPr>
        <mc:AlternateContent>
          <mc:Choice Requires="wpg">
            <w:drawing>
              <wp:inline distT="0" distB="0" distL="0" distR="0" wp14:anchorId="71D1E0CA" wp14:editId="1BA99FBE">
                <wp:extent cx="5385816" cy="13716"/>
                <wp:effectExtent l="0" t="0" r="0" b="0"/>
                <wp:docPr id="2458116" name="Group 2458116"/>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115" name="Shape 2458115"/>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16" style="width:424.08pt;height:1.08pt;mso-position-horizontal-relative:char;mso-position-vertical-relative:line" coordsize="53858,137">
                <v:shape id="Shape 2458115" style="position:absolute;width:53858;height:137;left:0;top:0;" coordsize="5385816,13716" path="m0,6858l5385816,6858">
                  <v:stroke weight="1.08pt" endcap="flat" joinstyle="miter" miterlimit="1" on="true" color="#000000"/>
                  <v:fill on="false" color="#000000"/>
                </v:shape>
              </v:group>
            </w:pict>
          </mc:Fallback>
        </mc:AlternateContent>
      </w:r>
    </w:p>
    <w:p w14:paraId="4941BD63" w14:textId="77777777" w:rsidR="00053D93" w:rsidRDefault="00260B75">
      <w:pPr>
        <w:spacing w:after="306" w:line="247" w:lineRule="auto"/>
        <w:ind w:left="1685" w:right="14" w:firstLine="4"/>
        <w:jc w:val="both"/>
      </w:pPr>
      <w:r>
        <w:rPr>
          <w:sz w:val="26"/>
        </w:rPr>
        <w:t>Orgánica de la Contraloría General de Cuentas, artículos 2. Ámbito de competencia, 4. Atribuciones.</w:t>
      </w:r>
    </w:p>
    <w:p w14:paraId="7A0B4F96" w14:textId="77777777" w:rsidR="00053D93" w:rsidRDefault="00260B75">
      <w:pPr>
        <w:spacing w:after="150" w:line="247" w:lineRule="auto"/>
        <w:ind w:left="14" w:right="14" w:firstLine="4"/>
        <w:jc w:val="both"/>
      </w:pPr>
      <w:r>
        <w:rPr>
          <w:noProof/>
        </w:rPr>
        <mc:AlternateContent>
          <mc:Choice Requires="wpg">
            <w:drawing>
              <wp:anchor distT="0" distB="0" distL="114300" distR="114300" simplePos="0" relativeHeight="251674624" behindDoc="0" locked="0" layoutInCell="1" allowOverlap="1" wp14:anchorId="55620753" wp14:editId="2CBFEA0C">
                <wp:simplePos x="0" y="0"/>
                <wp:positionH relativeFrom="column">
                  <wp:posOffset>9144</wp:posOffset>
                </wp:positionH>
                <wp:positionV relativeFrom="paragraph">
                  <wp:posOffset>-63336</wp:posOffset>
                </wp:positionV>
                <wp:extent cx="118872" cy="374904"/>
                <wp:effectExtent l="0" t="0" r="0" b="0"/>
                <wp:wrapSquare wrapText="bothSides"/>
                <wp:docPr id="2454202" name="Group 2454202"/>
                <wp:cNvGraphicFramePr/>
                <a:graphic xmlns:a="http://schemas.openxmlformats.org/drawingml/2006/main">
                  <a:graphicData uri="http://schemas.microsoft.com/office/word/2010/wordprocessingGroup">
                    <wpg:wgp>
                      <wpg:cNvGrpSpPr/>
                      <wpg:grpSpPr>
                        <a:xfrm>
                          <a:off x="0" y="0"/>
                          <a:ext cx="118872" cy="374904"/>
                          <a:chOff x="0" y="0"/>
                          <a:chExt cx="118872" cy="374904"/>
                        </a:xfrm>
                      </wpg:grpSpPr>
                      <wps:wsp>
                        <wps:cNvPr id="52698" name="Rectangle 52698"/>
                        <wps:cNvSpPr/>
                        <wps:spPr>
                          <a:xfrm>
                            <a:off x="0" y="0"/>
                            <a:ext cx="158100" cy="498623"/>
                          </a:xfrm>
                          <a:prstGeom prst="rect">
                            <a:avLst/>
                          </a:prstGeom>
                          <a:ln>
                            <a:noFill/>
                          </a:ln>
                        </wps:spPr>
                        <wps:txbx>
                          <w:txbxContent>
                            <w:p w14:paraId="4E1D9F53" w14:textId="77777777" w:rsidR="00053D93" w:rsidRDefault="00260B75">
                              <w:r>
                                <w:rPr>
                                  <w:rFonts w:ascii="Times New Roman" w:eastAsia="Times New Roman" w:hAnsi="Times New Roman" w:cs="Times New Roman"/>
                                  <w:sz w:val="84"/>
                                </w:rPr>
                                <w:t>i</w:t>
                              </w:r>
                            </w:p>
                          </w:txbxContent>
                        </wps:txbx>
                        <wps:bodyPr horzOverflow="overflow" vert="horz" lIns="0" tIns="0" rIns="0" bIns="0" rtlCol="0">
                          <a:noAutofit/>
                        </wps:bodyPr>
                      </wps:wsp>
                    </wpg:wgp>
                  </a:graphicData>
                </a:graphic>
              </wp:anchor>
            </w:drawing>
          </mc:Choice>
          <mc:Fallback>
            <w:pict>
              <v:group w14:anchorId="55620753" id="Group 2454202" o:spid="_x0000_s1060" style="position:absolute;left:0;text-align:left;margin-left:.7pt;margin-top:-5pt;width:9.35pt;height:29.5pt;z-index:251674624;mso-position-horizontal-relative:text;mso-position-vertical-relative:text" coordsize="118872,37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">
                <v:rect id="Rectangle 52698" o:spid="_x0000_s1061" style="position:absolute;width:158100;height:498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" filled="f" stroked="f">
                  <v:textbox inset="0,0,0,0">
                    <w:txbxContent>
                      <w:p w14:paraId="4E1D9F53" w14:textId="77777777" w:rsidR="00053D93" w:rsidRDefault="00260B75">
                        <w:r>
                          <w:rPr>
                            <w:rFonts w:ascii="Times New Roman" w:eastAsia="Times New Roman" w:hAnsi="Times New Roman" w:cs="Times New Roman"/>
                            <w:sz w:val="84"/>
                          </w:rPr>
                          <w:t>i</w:t>
                        </w:r>
                      </w:p>
                    </w:txbxContent>
                  </v:textbox>
                </v:rect>
                <w10:wrap type="square"/>
              </v:group>
            </w:pict>
          </mc:Fallback>
        </mc:AlternateContent>
      </w:r>
      <w:r>
        <w:rPr>
          <w:sz w:val="26"/>
        </w:rPr>
        <w:t>El Acuerdo Gubernativo No. 96-2019, del Presidente de la República, Reglamento de la Ley Orgánica de la Contraloría General de Cuentas.</w:t>
      </w:r>
    </w:p>
    <w:p w14:paraId="1EF9186B" w14:textId="77777777" w:rsidR="00053D93" w:rsidRDefault="00260B75">
      <w:pPr>
        <w:spacing w:after="285" w:line="247" w:lineRule="auto"/>
        <w:ind w:left="1670" w:right="14" w:hanging="1656"/>
        <w:jc w:val="both"/>
      </w:pPr>
      <w:r>
        <w:rPr>
          <w:noProof/>
        </w:rPr>
        <w:lastRenderedPageBreak/>
        <mc:AlternateContent>
          <mc:Choice Requires="wpg">
            <w:drawing>
              <wp:anchor distT="0" distB="0" distL="114300" distR="114300" simplePos="0" relativeHeight="251675648" behindDoc="0" locked="0" layoutInCell="1" allowOverlap="1" wp14:anchorId="5982A19A" wp14:editId="037E8995">
                <wp:simplePos x="0" y="0"/>
                <wp:positionH relativeFrom="column">
                  <wp:posOffset>18288</wp:posOffset>
                </wp:positionH>
                <wp:positionV relativeFrom="paragraph">
                  <wp:posOffset>521208</wp:posOffset>
                </wp:positionV>
                <wp:extent cx="109728" cy="379476"/>
                <wp:effectExtent l="0" t="0" r="0" b="0"/>
                <wp:wrapSquare wrapText="bothSides"/>
                <wp:docPr id="2454204" name="Group 2454204"/>
                <wp:cNvGraphicFramePr/>
                <a:graphic xmlns:a="http://schemas.openxmlformats.org/drawingml/2006/main">
                  <a:graphicData uri="http://schemas.microsoft.com/office/word/2010/wordprocessingGroup">
                    <wpg:wgp>
                      <wpg:cNvGrpSpPr/>
                      <wpg:grpSpPr>
                        <a:xfrm>
                          <a:off x="0" y="0"/>
                          <a:ext cx="109728" cy="379476"/>
                          <a:chOff x="0" y="0"/>
                          <a:chExt cx="109728" cy="379476"/>
                        </a:xfrm>
                      </wpg:grpSpPr>
                      <wps:wsp>
                        <wps:cNvPr id="52700" name="Rectangle 52700"/>
                        <wps:cNvSpPr/>
                        <wps:spPr>
                          <a:xfrm>
                            <a:off x="0" y="0"/>
                            <a:ext cx="145938" cy="504703"/>
                          </a:xfrm>
                          <a:prstGeom prst="rect">
                            <a:avLst/>
                          </a:prstGeom>
                          <a:ln>
                            <a:noFill/>
                          </a:ln>
                        </wps:spPr>
                        <wps:txbx>
                          <w:txbxContent>
                            <w:p w14:paraId="0A196FB9" w14:textId="77777777" w:rsidR="00053D93" w:rsidRDefault="00260B75">
                              <w:r>
                                <w:rPr>
                                  <w:sz w:val="226"/>
                                </w:rPr>
                                <w:t>i</w:t>
                              </w:r>
                            </w:p>
                          </w:txbxContent>
                        </wps:txbx>
                        <wps:bodyPr horzOverflow="overflow" vert="horz" lIns="0" tIns="0" rIns="0" bIns="0" rtlCol="0">
                          <a:noAutofit/>
                        </wps:bodyPr>
                      </wps:wsp>
                    </wpg:wgp>
                  </a:graphicData>
                </a:graphic>
              </wp:anchor>
            </w:drawing>
          </mc:Choice>
          <mc:Fallback>
            <w:pict>
              <v:group w14:anchorId="5982A19A" id="Group 2454204" o:spid="_x0000_s1062" style="position:absolute;left:0;text-align:left;margin-left:1.45pt;margin-top:41.05pt;width:8.65pt;height:29.9pt;z-index:251675648;mso-position-horizontal-relative:text;mso-position-vertical-relative:text" coordsize="109728,3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">
                <v:rect id="Rectangle 52700" o:spid="_x0000_s1063" style="position:absolute;width:145938;height:504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" filled="f" stroked="f">
                  <v:textbox inset="0,0,0,0">
                    <w:txbxContent>
                      <w:p w14:paraId="0A196FB9" w14:textId="77777777" w:rsidR="00053D93" w:rsidRDefault="00260B75">
                        <w:r>
                          <w:rPr>
                            <w:sz w:val="226"/>
                          </w:rPr>
                          <w:t>i</w:t>
                        </w:r>
                      </w:p>
                    </w:txbxContent>
                  </v:textbox>
                </v:rect>
                <w10:wrap type="square"/>
              </v:group>
            </w:pict>
          </mc:Fallback>
        </mc:AlternateContent>
      </w:r>
      <w:r>
        <w:rPr>
          <w:noProof/>
        </w:rPr>
        <mc:AlternateContent>
          <mc:Choice Requires="wpg">
            <w:drawing>
              <wp:inline distT="0" distB="0" distL="0" distR="0" wp14:anchorId="2870DD8A" wp14:editId="0CEFCAC2">
                <wp:extent cx="114300" cy="379476"/>
                <wp:effectExtent l="0" t="0" r="0" b="0"/>
                <wp:docPr id="2454203" name="Group 2454203"/>
                <wp:cNvGraphicFramePr/>
                <a:graphic xmlns:a="http://schemas.openxmlformats.org/drawingml/2006/main">
                  <a:graphicData uri="http://schemas.microsoft.com/office/word/2010/wordprocessingGroup">
                    <wpg:wgp>
                      <wpg:cNvGrpSpPr/>
                      <wpg:grpSpPr>
                        <a:xfrm>
                          <a:off x="0" y="0"/>
                          <a:ext cx="114300" cy="379476"/>
                          <a:chOff x="0" y="0"/>
                          <a:chExt cx="114300" cy="379476"/>
                        </a:xfrm>
                      </wpg:grpSpPr>
                      <wps:wsp>
                        <wps:cNvPr id="52699" name="Rectangle 52699"/>
                        <wps:cNvSpPr/>
                        <wps:spPr>
                          <a:xfrm>
                            <a:off x="0" y="0"/>
                            <a:ext cx="152019" cy="504703"/>
                          </a:xfrm>
                          <a:prstGeom prst="rect">
                            <a:avLst/>
                          </a:prstGeom>
                          <a:ln>
                            <a:noFill/>
                          </a:ln>
                        </wps:spPr>
                        <wps:txbx>
                          <w:txbxContent>
                            <w:p w14:paraId="7FC662DD" w14:textId="77777777" w:rsidR="00053D93" w:rsidRDefault="00260B75">
                              <w:r>
                                <w:rPr>
                                  <w:sz w:val="236"/>
                                </w:rPr>
                                <w:t>i</w:t>
                              </w:r>
                            </w:p>
                          </w:txbxContent>
                        </wps:txbx>
                        <wps:bodyPr horzOverflow="overflow" vert="horz" lIns="0" tIns="0" rIns="0" bIns="0" rtlCol="0">
                          <a:noAutofit/>
                        </wps:bodyPr>
                      </wps:wsp>
                    </wpg:wgp>
                  </a:graphicData>
                </a:graphic>
              </wp:inline>
            </w:drawing>
          </mc:Choice>
          <mc:Fallback>
            <w:pict>
              <v:group w14:anchorId="2870DD8A" id="Group 2454203" o:spid="_x0000_s1064" style="width:9pt;height:29.9pt;mso-position-horizontal-relative:char;mso-position-vertical-relative:line" coordsize="114300,3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">
                <v:rect id="Rectangle 52699" o:spid="_x0000_s1065" style="position:absolute;width:152019;height:504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" filled="f" stroked="f">
                  <v:textbox inset="0,0,0,0">
                    <w:txbxContent>
                      <w:p w14:paraId="7FC662DD" w14:textId="77777777" w:rsidR="00053D93" w:rsidRDefault="00260B75">
                        <w:r>
                          <w:rPr>
                            <w:sz w:val="236"/>
                          </w:rPr>
                          <w:t>i</w:t>
                        </w:r>
                      </w:p>
                    </w:txbxContent>
                  </v:textbox>
                </v:rect>
                <w10:anchorlock/>
              </v:group>
            </w:pict>
          </mc:Fallback>
        </mc:AlternateContent>
      </w:r>
      <w:r>
        <w:rPr>
          <w:sz w:val="26"/>
        </w:rPr>
        <w:t xml:space="preserve"> El Acuerdo Número A-075-2017, del Contralor General de Cuentas, Normas de Auditoría Gubernamental de carácter técnico, denominadas "Normas Internacionales de las Entidades Fiscalizadoras Superiores adaptadas a Guatemala", -ISSAI.GT-.</w:t>
      </w:r>
    </w:p>
    <w:p w14:paraId="552A7C23" w14:textId="77777777" w:rsidR="00053D93" w:rsidRDefault="00260B75">
      <w:pPr>
        <w:spacing w:after="291" w:line="247" w:lineRule="auto"/>
        <w:ind w:left="1692" w:right="14" w:firstLine="4"/>
        <w:jc w:val="both"/>
      </w:pPr>
      <w:r>
        <w:rPr>
          <w:sz w:val="26"/>
        </w:rPr>
        <w:t>El Acuerdo Número A-066-2021 , del Contralor General de Cuentas, que aprueba la actualización de los Manuales de Auditoría Gubernamental.</w:t>
      </w:r>
    </w:p>
    <w:p w14:paraId="59E93E8D" w14:textId="77777777" w:rsidR="00053D93" w:rsidRDefault="00260B75">
      <w:pPr>
        <w:spacing w:after="1955" w:line="247" w:lineRule="auto"/>
        <w:ind w:left="1692" w:right="14" w:firstLine="4"/>
        <w:jc w:val="both"/>
      </w:pPr>
      <w:r>
        <w:rPr>
          <w:sz w:val="26"/>
        </w:rPr>
        <w:t>El Acuerdo Número A-044-2024, del Contralor General de Cuentas, que aprueba la actualización de los Manuales de Auditoría Gubernamental.</w:t>
      </w:r>
    </w:p>
    <w:p w14:paraId="6411A061" w14:textId="77777777" w:rsidR="00053D93" w:rsidRDefault="00260B75">
      <w:pPr>
        <w:spacing w:after="141" w:line="404" w:lineRule="auto"/>
        <w:ind w:left="1670" w:right="14" w:hanging="1656"/>
        <w:jc w:val="both"/>
      </w:pPr>
      <w:r>
        <w:rPr>
          <w:sz w:val="26"/>
        </w:rPr>
        <w:t>i Los Nombramientos de Auditoría Financiera y de Cumplimiento Nos. DAS-03-0037-2024, del 09 de agosto de 2024, DAS-03-0087-2024, del 15 de octubre de 2024, DAS-03-0090-2024, del 22 de octubre de 2024 y DAS-03-0095-2024, del 03 de diciembre 2024.</w:t>
      </w:r>
    </w:p>
    <w:p w14:paraId="13429E6E" w14:textId="77777777" w:rsidR="00053D93" w:rsidRDefault="00260B75">
      <w:pPr>
        <w:spacing w:after="423" w:line="248" w:lineRule="auto"/>
        <w:ind w:left="1709" w:hanging="3"/>
        <w:jc w:val="both"/>
      </w:pPr>
      <w:r>
        <w:rPr>
          <w:sz w:val="28"/>
        </w:rPr>
        <w:t>3. IDENTIFICACIÓN DE LAS NORMAS DE AUDITORÍA OBSERVADAS</w:t>
      </w:r>
    </w:p>
    <w:tbl>
      <w:tblPr>
        <w:tblStyle w:val="TableGrid"/>
        <w:tblpPr w:vertAnchor="text" w:tblpX="1771" w:tblpY="-4931"/>
        <w:tblOverlap w:val="never"/>
        <w:tblW w:w="8330" w:type="dxa"/>
        <w:tblInd w:w="0" w:type="dxa"/>
        <w:tblCellMar>
          <w:top w:w="2" w:type="dxa"/>
        </w:tblCellMar>
        <w:tblLook w:val="04A0" w:firstRow="1" w:lastRow="0" w:firstColumn="1" w:lastColumn="0" w:noHBand="0" w:noVBand="1"/>
      </w:tblPr>
      <w:tblGrid>
        <w:gridCol w:w="1109"/>
        <w:gridCol w:w="619"/>
        <w:gridCol w:w="6602"/>
      </w:tblGrid>
      <w:tr w:rsidR="00053D93" w14:paraId="5C372F86" w14:textId="77777777">
        <w:trPr>
          <w:trHeight w:val="271"/>
        </w:trPr>
        <w:tc>
          <w:tcPr>
            <w:tcW w:w="1109" w:type="dxa"/>
            <w:tcBorders>
              <w:top w:val="nil"/>
              <w:left w:val="nil"/>
              <w:bottom w:val="nil"/>
              <w:right w:val="nil"/>
            </w:tcBorders>
          </w:tcPr>
          <w:p w14:paraId="7DC498BB" w14:textId="77777777" w:rsidR="00053D93" w:rsidRDefault="00260B75">
            <w:r>
              <w:rPr>
                <w:sz w:val="30"/>
              </w:rPr>
              <w:lastRenderedPageBreak/>
              <w:t>ISSAI.GT</w:t>
            </w:r>
          </w:p>
        </w:tc>
        <w:tc>
          <w:tcPr>
            <w:tcW w:w="619" w:type="dxa"/>
            <w:tcBorders>
              <w:top w:val="nil"/>
              <w:left w:val="nil"/>
              <w:bottom w:val="nil"/>
              <w:right w:val="nil"/>
            </w:tcBorders>
          </w:tcPr>
          <w:p w14:paraId="7A2435AA" w14:textId="77777777" w:rsidR="00053D93" w:rsidRDefault="00260B75">
            <w:pPr>
              <w:ind w:left="202"/>
              <w:jc w:val="center"/>
            </w:pPr>
            <w:r>
              <w:rPr>
                <w:rFonts w:ascii="Times New Roman" w:eastAsia="Times New Roman" w:hAnsi="Times New Roman" w:cs="Times New Roman"/>
              </w:rPr>
              <w:t>1</w:t>
            </w:r>
          </w:p>
        </w:tc>
        <w:tc>
          <w:tcPr>
            <w:tcW w:w="6602" w:type="dxa"/>
            <w:tcBorders>
              <w:top w:val="nil"/>
              <w:left w:val="nil"/>
              <w:bottom w:val="nil"/>
              <w:right w:val="nil"/>
            </w:tcBorders>
          </w:tcPr>
          <w:p w14:paraId="5A2BC526" w14:textId="77777777" w:rsidR="00053D93" w:rsidRDefault="00260B75">
            <w:pPr>
              <w:ind w:left="14"/>
            </w:pPr>
            <w:r>
              <w:rPr>
                <w:sz w:val="26"/>
              </w:rPr>
              <w:t>Premisas Generales para la Auditoría Independiente.</w:t>
            </w:r>
          </w:p>
        </w:tc>
      </w:tr>
      <w:tr w:rsidR="00053D93" w14:paraId="7B4D1563" w14:textId="77777777">
        <w:trPr>
          <w:trHeight w:val="302"/>
        </w:trPr>
        <w:tc>
          <w:tcPr>
            <w:tcW w:w="1109" w:type="dxa"/>
            <w:tcBorders>
              <w:top w:val="nil"/>
              <w:left w:val="nil"/>
              <w:bottom w:val="nil"/>
              <w:right w:val="nil"/>
            </w:tcBorders>
          </w:tcPr>
          <w:p w14:paraId="4C271706" w14:textId="77777777" w:rsidR="00053D93" w:rsidRDefault="00260B75">
            <w:r>
              <w:rPr>
                <w:sz w:val="30"/>
              </w:rPr>
              <w:t>ISSAI.GT</w:t>
            </w:r>
          </w:p>
        </w:tc>
        <w:tc>
          <w:tcPr>
            <w:tcW w:w="619" w:type="dxa"/>
            <w:tcBorders>
              <w:top w:val="nil"/>
              <w:left w:val="nil"/>
              <w:bottom w:val="nil"/>
              <w:right w:val="nil"/>
            </w:tcBorders>
          </w:tcPr>
          <w:p w14:paraId="12AB17E0" w14:textId="77777777" w:rsidR="00053D93" w:rsidRDefault="00260B75">
            <w:pPr>
              <w:ind w:left="86"/>
              <w:jc w:val="center"/>
            </w:pPr>
            <w:r>
              <w:rPr>
                <w:rFonts w:ascii="Times New Roman" w:eastAsia="Times New Roman" w:hAnsi="Times New Roman" w:cs="Times New Roman"/>
                <w:sz w:val="24"/>
              </w:rPr>
              <w:t>30</w:t>
            </w:r>
          </w:p>
        </w:tc>
        <w:tc>
          <w:tcPr>
            <w:tcW w:w="6602" w:type="dxa"/>
            <w:tcBorders>
              <w:top w:val="nil"/>
              <w:left w:val="nil"/>
              <w:bottom w:val="nil"/>
              <w:right w:val="nil"/>
            </w:tcBorders>
          </w:tcPr>
          <w:p w14:paraId="48BFA5EB" w14:textId="77777777" w:rsidR="00053D93" w:rsidRDefault="00260B75">
            <w:pPr>
              <w:ind w:left="7"/>
            </w:pPr>
            <w:r>
              <w:rPr>
                <w:sz w:val="26"/>
              </w:rPr>
              <w:t>Código de ética.</w:t>
            </w:r>
          </w:p>
        </w:tc>
      </w:tr>
      <w:tr w:rsidR="00053D93" w14:paraId="353B092E" w14:textId="77777777">
        <w:trPr>
          <w:trHeight w:val="301"/>
        </w:trPr>
        <w:tc>
          <w:tcPr>
            <w:tcW w:w="1109" w:type="dxa"/>
            <w:tcBorders>
              <w:top w:val="nil"/>
              <w:left w:val="nil"/>
              <w:bottom w:val="nil"/>
              <w:right w:val="nil"/>
            </w:tcBorders>
          </w:tcPr>
          <w:p w14:paraId="573A822E" w14:textId="77777777" w:rsidR="00053D93" w:rsidRDefault="00260B75">
            <w:r>
              <w:rPr>
                <w:sz w:val="30"/>
              </w:rPr>
              <w:t>ISSAI.GT</w:t>
            </w:r>
          </w:p>
        </w:tc>
        <w:tc>
          <w:tcPr>
            <w:tcW w:w="619" w:type="dxa"/>
            <w:tcBorders>
              <w:top w:val="nil"/>
              <w:left w:val="nil"/>
              <w:bottom w:val="nil"/>
              <w:right w:val="nil"/>
            </w:tcBorders>
          </w:tcPr>
          <w:p w14:paraId="7AA10B6E" w14:textId="77777777" w:rsidR="00053D93" w:rsidRDefault="00260B75">
            <w:pPr>
              <w:ind w:left="86"/>
              <w:jc w:val="center"/>
            </w:pPr>
            <w:r>
              <w:rPr>
                <w:rFonts w:ascii="Times New Roman" w:eastAsia="Times New Roman" w:hAnsi="Times New Roman" w:cs="Times New Roman"/>
                <w:sz w:val="26"/>
              </w:rPr>
              <w:t>40</w:t>
            </w:r>
          </w:p>
        </w:tc>
        <w:tc>
          <w:tcPr>
            <w:tcW w:w="6602" w:type="dxa"/>
            <w:tcBorders>
              <w:top w:val="nil"/>
              <w:left w:val="nil"/>
              <w:bottom w:val="nil"/>
              <w:right w:val="nil"/>
            </w:tcBorders>
          </w:tcPr>
          <w:p w14:paraId="0F406A4F" w14:textId="77777777" w:rsidR="00053D93" w:rsidRDefault="00260B75">
            <w:pPr>
              <w:ind w:left="7"/>
            </w:pPr>
            <w:r>
              <w:rPr>
                <w:sz w:val="26"/>
              </w:rPr>
              <w:t>Control de calidad para fa EFS.</w:t>
            </w:r>
          </w:p>
        </w:tc>
      </w:tr>
      <w:tr w:rsidR="00053D93" w14:paraId="226DB3AE" w14:textId="77777777">
        <w:trPr>
          <w:trHeight w:val="327"/>
        </w:trPr>
        <w:tc>
          <w:tcPr>
            <w:tcW w:w="1109" w:type="dxa"/>
            <w:tcBorders>
              <w:top w:val="nil"/>
              <w:left w:val="nil"/>
              <w:bottom w:val="nil"/>
              <w:right w:val="nil"/>
            </w:tcBorders>
          </w:tcPr>
          <w:p w14:paraId="34DBF132" w14:textId="77777777" w:rsidR="00053D93" w:rsidRDefault="00260B75">
            <w:r>
              <w:rPr>
                <w:sz w:val="30"/>
              </w:rPr>
              <w:t>ISSAI.GT</w:t>
            </w:r>
          </w:p>
        </w:tc>
        <w:tc>
          <w:tcPr>
            <w:tcW w:w="619" w:type="dxa"/>
            <w:tcBorders>
              <w:top w:val="nil"/>
              <w:left w:val="nil"/>
              <w:bottom w:val="nil"/>
              <w:right w:val="nil"/>
            </w:tcBorders>
          </w:tcPr>
          <w:p w14:paraId="74C0C994" w14:textId="77777777" w:rsidR="00053D93" w:rsidRDefault="00260B75">
            <w:pPr>
              <w:ind w:left="122"/>
            </w:pPr>
            <w:r>
              <w:rPr>
                <w:rFonts w:ascii="Times New Roman" w:eastAsia="Times New Roman" w:hAnsi="Times New Roman" w:cs="Times New Roman"/>
                <w:sz w:val="26"/>
              </w:rPr>
              <w:t>100</w:t>
            </w:r>
          </w:p>
        </w:tc>
        <w:tc>
          <w:tcPr>
            <w:tcW w:w="6602" w:type="dxa"/>
            <w:tcBorders>
              <w:top w:val="nil"/>
              <w:left w:val="nil"/>
              <w:bottom w:val="nil"/>
              <w:right w:val="nil"/>
            </w:tcBorders>
          </w:tcPr>
          <w:p w14:paraId="2302185F" w14:textId="77777777" w:rsidR="00053D93" w:rsidRDefault="00260B75">
            <w:pPr>
              <w:ind w:left="14"/>
            </w:pPr>
            <w:r>
              <w:rPr>
                <w:sz w:val="26"/>
              </w:rPr>
              <w:t>Principios fundamentales de auditoría del sector público.</w:t>
            </w:r>
          </w:p>
        </w:tc>
      </w:tr>
      <w:tr w:rsidR="00053D93" w14:paraId="1A947CD1" w14:textId="77777777">
        <w:trPr>
          <w:trHeight w:val="323"/>
        </w:trPr>
        <w:tc>
          <w:tcPr>
            <w:tcW w:w="1109" w:type="dxa"/>
            <w:tcBorders>
              <w:top w:val="nil"/>
              <w:left w:val="nil"/>
              <w:bottom w:val="nil"/>
              <w:right w:val="nil"/>
            </w:tcBorders>
          </w:tcPr>
          <w:p w14:paraId="6592D268" w14:textId="77777777" w:rsidR="00053D93" w:rsidRDefault="00260B75">
            <w:r>
              <w:rPr>
                <w:sz w:val="30"/>
              </w:rPr>
              <w:t>ISSAI.GT</w:t>
            </w:r>
          </w:p>
        </w:tc>
        <w:tc>
          <w:tcPr>
            <w:tcW w:w="619" w:type="dxa"/>
            <w:tcBorders>
              <w:top w:val="nil"/>
              <w:left w:val="nil"/>
              <w:bottom w:val="nil"/>
              <w:right w:val="nil"/>
            </w:tcBorders>
          </w:tcPr>
          <w:p w14:paraId="4C9EC276" w14:textId="77777777" w:rsidR="00053D93" w:rsidRDefault="00260B75">
            <w:pPr>
              <w:ind w:left="108"/>
            </w:pPr>
            <w:r>
              <w:rPr>
                <w:rFonts w:ascii="Times New Roman" w:eastAsia="Times New Roman" w:hAnsi="Times New Roman" w:cs="Times New Roman"/>
                <w:sz w:val="24"/>
              </w:rPr>
              <w:t>200</w:t>
            </w:r>
          </w:p>
        </w:tc>
        <w:tc>
          <w:tcPr>
            <w:tcW w:w="6602" w:type="dxa"/>
            <w:tcBorders>
              <w:top w:val="nil"/>
              <w:left w:val="nil"/>
              <w:bottom w:val="nil"/>
              <w:right w:val="nil"/>
            </w:tcBorders>
          </w:tcPr>
          <w:p w14:paraId="01970B2D" w14:textId="77777777" w:rsidR="00053D93" w:rsidRDefault="00260B75">
            <w:pPr>
              <w:ind w:left="14"/>
            </w:pPr>
            <w:r>
              <w:rPr>
                <w:sz w:val="24"/>
              </w:rPr>
              <w:t>Principios fundamentales de auditoría financiera.</w:t>
            </w:r>
          </w:p>
        </w:tc>
      </w:tr>
      <w:tr w:rsidR="00053D93" w14:paraId="1C89D927" w14:textId="77777777">
        <w:trPr>
          <w:trHeight w:val="308"/>
        </w:trPr>
        <w:tc>
          <w:tcPr>
            <w:tcW w:w="1109" w:type="dxa"/>
            <w:tcBorders>
              <w:top w:val="nil"/>
              <w:left w:val="nil"/>
              <w:bottom w:val="nil"/>
              <w:right w:val="nil"/>
            </w:tcBorders>
          </w:tcPr>
          <w:p w14:paraId="4D850BA2" w14:textId="77777777" w:rsidR="00053D93" w:rsidRDefault="00260B75">
            <w:pPr>
              <w:ind w:left="7"/>
            </w:pPr>
            <w:r>
              <w:rPr>
                <w:sz w:val="30"/>
              </w:rPr>
              <w:t>ISSAI.GT</w:t>
            </w:r>
          </w:p>
        </w:tc>
        <w:tc>
          <w:tcPr>
            <w:tcW w:w="619" w:type="dxa"/>
            <w:tcBorders>
              <w:top w:val="nil"/>
              <w:left w:val="nil"/>
              <w:bottom w:val="nil"/>
              <w:right w:val="nil"/>
            </w:tcBorders>
          </w:tcPr>
          <w:p w14:paraId="041C238E" w14:textId="77777777" w:rsidR="00053D93" w:rsidRDefault="00260B75">
            <w:pPr>
              <w:ind w:left="108"/>
            </w:pPr>
            <w:r>
              <w:rPr>
                <w:rFonts w:ascii="Times New Roman" w:eastAsia="Times New Roman" w:hAnsi="Times New Roman" w:cs="Times New Roman"/>
                <w:sz w:val="26"/>
              </w:rPr>
              <w:t>400</w:t>
            </w:r>
          </w:p>
        </w:tc>
        <w:tc>
          <w:tcPr>
            <w:tcW w:w="6602" w:type="dxa"/>
            <w:tcBorders>
              <w:top w:val="nil"/>
              <w:left w:val="nil"/>
              <w:bottom w:val="nil"/>
              <w:right w:val="nil"/>
            </w:tcBorders>
          </w:tcPr>
          <w:p w14:paraId="468CA45A" w14:textId="77777777" w:rsidR="00053D93" w:rsidRDefault="00260B75">
            <w:pPr>
              <w:ind w:left="14"/>
            </w:pPr>
            <w:r>
              <w:rPr>
                <w:sz w:val="24"/>
              </w:rPr>
              <w:t>Principios fundamentales de la auditoría de cumplimiento.</w:t>
            </w:r>
          </w:p>
        </w:tc>
      </w:tr>
      <w:tr w:rsidR="00053D93" w14:paraId="562999CF" w14:textId="77777777">
        <w:trPr>
          <w:trHeight w:val="306"/>
        </w:trPr>
        <w:tc>
          <w:tcPr>
            <w:tcW w:w="1109" w:type="dxa"/>
            <w:tcBorders>
              <w:top w:val="nil"/>
              <w:left w:val="nil"/>
              <w:bottom w:val="nil"/>
              <w:right w:val="nil"/>
            </w:tcBorders>
          </w:tcPr>
          <w:p w14:paraId="6F5C7971" w14:textId="77777777" w:rsidR="00053D93" w:rsidRDefault="00260B75">
            <w:r>
              <w:rPr>
                <w:sz w:val="30"/>
              </w:rPr>
              <w:t>ISSAI.GT</w:t>
            </w:r>
          </w:p>
        </w:tc>
        <w:tc>
          <w:tcPr>
            <w:tcW w:w="619" w:type="dxa"/>
            <w:tcBorders>
              <w:top w:val="nil"/>
              <w:left w:val="nil"/>
              <w:bottom w:val="nil"/>
              <w:right w:val="nil"/>
            </w:tcBorders>
          </w:tcPr>
          <w:p w14:paraId="49ABE0CE" w14:textId="77777777" w:rsidR="00053D93" w:rsidRDefault="00260B75">
            <w:r>
              <w:rPr>
                <w:rFonts w:ascii="Times New Roman" w:eastAsia="Times New Roman" w:hAnsi="Times New Roman" w:cs="Times New Roman"/>
                <w:sz w:val="26"/>
              </w:rPr>
              <w:t>1210</w:t>
            </w:r>
          </w:p>
        </w:tc>
        <w:tc>
          <w:tcPr>
            <w:tcW w:w="6602" w:type="dxa"/>
            <w:tcBorders>
              <w:top w:val="nil"/>
              <w:left w:val="nil"/>
              <w:bottom w:val="nil"/>
              <w:right w:val="nil"/>
            </w:tcBorders>
          </w:tcPr>
          <w:p w14:paraId="61DC294F" w14:textId="77777777" w:rsidR="00053D93" w:rsidRDefault="00260B75">
            <w:r>
              <w:rPr>
                <w:sz w:val="24"/>
              </w:rPr>
              <w:t>Acuerdos sobre términos del contrato de auditoría.</w:t>
            </w:r>
          </w:p>
        </w:tc>
      </w:tr>
      <w:tr w:rsidR="00053D93" w14:paraId="1381DE66" w14:textId="77777777">
        <w:trPr>
          <w:trHeight w:val="309"/>
        </w:trPr>
        <w:tc>
          <w:tcPr>
            <w:tcW w:w="1109" w:type="dxa"/>
            <w:tcBorders>
              <w:top w:val="nil"/>
              <w:left w:val="nil"/>
              <w:bottom w:val="nil"/>
              <w:right w:val="nil"/>
            </w:tcBorders>
          </w:tcPr>
          <w:p w14:paraId="14FE7970" w14:textId="77777777" w:rsidR="00053D93" w:rsidRDefault="00260B75">
            <w:pPr>
              <w:ind w:left="7"/>
            </w:pPr>
            <w:r>
              <w:rPr>
                <w:sz w:val="30"/>
              </w:rPr>
              <w:t>ISSAI.GT</w:t>
            </w:r>
          </w:p>
        </w:tc>
        <w:tc>
          <w:tcPr>
            <w:tcW w:w="619" w:type="dxa"/>
            <w:tcBorders>
              <w:top w:val="nil"/>
              <w:left w:val="nil"/>
              <w:bottom w:val="nil"/>
              <w:right w:val="nil"/>
            </w:tcBorders>
          </w:tcPr>
          <w:p w14:paraId="01856BFF" w14:textId="77777777" w:rsidR="00053D93" w:rsidRDefault="00260B75">
            <w:r>
              <w:rPr>
                <w:rFonts w:ascii="Times New Roman" w:eastAsia="Times New Roman" w:hAnsi="Times New Roman" w:cs="Times New Roman"/>
                <w:sz w:val="26"/>
              </w:rPr>
              <w:t>1220</w:t>
            </w:r>
          </w:p>
        </w:tc>
        <w:tc>
          <w:tcPr>
            <w:tcW w:w="6602" w:type="dxa"/>
            <w:tcBorders>
              <w:top w:val="nil"/>
              <w:left w:val="nil"/>
              <w:bottom w:val="nil"/>
              <w:right w:val="nil"/>
            </w:tcBorders>
          </w:tcPr>
          <w:p w14:paraId="768CD2DA" w14:textId="77777777" w:rsidR="00053D93" w:rsidRDefault="00260B75">
            <w:pPr>
              <w:ind w:left="14"/>
            </w:pPr>
            <w:r>
              <w:rPr>
                <w:sz w:val="26"/>
              </w:rPr>
              <w:t>Control de calidad en una auditoría de estados financieros.</w:t>
            </w:r>
          </w:p>
        </w:tc>
      </w:tr>
      <w:tr w:rsidR="00053D93" w14:paraId="4FEFA9FD" w14:textId="77777777">
        <w:trPr>
          <w:trHeight w:val="304"/>
        </w:trPr>
        <w:tc>
          <w:tcPr>
            <w:tcW w:w="1109" w:type="dxa"/>
            <w:tcBorders>
              <w:top w:val="nil"/>
              <w:left w:val="nil"/>
              <w:bottom w:val="nil"/>
              <w:right w:val="nil"/>
            </w:tcBorders>
          </w:tcPr>
          <w:p w14:paraId="783DAEF7" w14:textId="77777777" w:rsidR="00053D93" w:rsidRDefault="00260B75">
            <w:pPr>
              <w:ind w:left="7"/>
            </w:pPr>
            <w:r>
              <w:rPr>
                <w:sz w:val="30"/>
              </w:rPr>
              <w:t>ISSAI.GT</w:t>
            </w:r>
          </w:p>
        </w:tc>
        <w:tc>
          <w:tcPr>
            <w:tcW w:w="619" w:type="dxa"/>
            <w:tcBorders>
              <w:top w:val="nil"/>
              <w:left w:val="nil"/>
              <w:bottom w:val="nil"/>
              <w:right w:val="nil"/>
            </w:tcBorders>
          </w:tcPr>
          <w:p w14:paraId="716E379B" w14:textId="77777777" w:rsidR="00053D93" w:rsidRDefault="00260B75">
            <w:r>
              <w:rPr>
                <w:rFonts w:ascii="Times New Roman" w:eastAsia="Times New Roman" w:hAnsi="Times New Roman" w:cs="Times New Roman"/>
                <w:sz w:val="26"/>
              </w:rPr>
              <w:t>1230</w:t>
            </w:r>
          </w:p>
        </w:tc>
        <w:tc>
          <w:tcPr>
            <w:tcW w:w="6602" w:type="dxa"/>
            <w:tcBorders>
              <w:top w:val="nil"/>
              <w:left w:val="nil"/>
              <w:bottom w:val="nil"/>
              <w:right w:val="nil"/>
            </w:tcBorders>
          </w:tcPr>
          <w:p w14:paraId="2C583B82" w14:textId="77777777" w:rsidR="00053D93" w:rsidRDefault="00260B75">
            <w:pPr>
              <w:ind w:left="22"/>
            </w:pPr>
            <w:r>
              <w:rPr>
                <w:sz w:val="26"/>
              </w:rPr>
              <w:t>Documentos de auditoría.</w:t>
            </w:r>
          </w:p>
        </w:tc>
      </w:tr>
      <w:tr w:rsidR="00053D93" w14:paraId="7AF1732A" w14:textId="77777777">
        <w:trPr>
          <w:trHeight w:val="617"/>
        </w:trPr>
        <w:tc>
          <w:tcPr>
            <w:tcW w:w="1109" w:type="dxa"/>
            <w:tcBorders>
              <w:top w:val="nil"/>
              <w:left w:val="nil"/>
              <w:bottom w:val="nil"/>
              <w:right w:val="nil"/>
            </w:tcBorders>
          </w:tcPr>
          <w:p w14:paraId="38593EDB" w14:textId="77777777" w:rsidR="00053D93" w:rsidRDefault="00260B75">
            <w:pPr>
              <w:ind w:left="7"/>
            </w:pPr>
            <w:r>
              <w:rPr>
                <w:sz w:val="32"/>
              </w:rPr>
              <w:t>ISSA.GT</w:t>
            </w:r>
          </w:p>
        </w:tc>
        <w:tc>
          <w:tcPr>
            <w:tcW w:w="619" w:type="dxa"/>
            <w:tcBorders>
              <w:top w:val="nil"/>
              <w:left w:val="nil"/>
              <w:bottom w:val="nil"/>
              <w:right w:val="nil"/>
            </w:tcBorders>
          </w:tcPr>
          <w:p w14:paraId="52CD1945" w14:textId="77777777" w:rsidR="00053D93" w:rsidRDefault="00260B75">
            <w:r>
              <w:rPr>
                <w:rFonts w:ascii="Times New Roman" w:eastAsia="Times New Roman" w:hAnsi="Times New Roman" w:cs="Times New Roman"/>
                <w:sz w:val="26"/>
              </w:rPr>
              <w:t>1240</w:t>
            </w:r>
          </w:p>
        </w:tc>
        <w:tc>
          <w:tcPr>
            <w:tcW w:w="6602" w:type="dxa"/>
            <w:tcBorders>
              <w:top w:val="nil"/>
              <w:left w:val="nil"/>
              <w:bottom w:val="nil"/>
              <w:right w:val="nil"/>
            </w:tcBorders>
          </w:tcPr>
          <w:p w14:paraId="214F515F" w14:textId="77777777" w:rsidR="00053D93" w:rsidRDefault="00260B75">
            <w:pPr>
              <w:ind w:left="14"/>
              <w:jc w:val="both"/>
            </w:pPr>
            <w:r>
              <w:rPr>
                <w:sz w:val="26"/>
              </w:rPr>
              <w:t>Obligaciones del auditor en relación con el fraude en una auditoría de estados financieros.</w:t>
            </w:r>
          </w:p>
        </w:tc>
      </w:tr>
      <w:tr w:rsidR="00053D93" w14:paraId="7870DD40" w14:textId="77777777">
        <w:trPr>
          <w:trHeight w:val="610"/>
        </w:trPr>
        <w:tc>
          <w:tcPr>
            <w:tcW w:w="1109" w:type="dxa"/>
            <w:tcBorders>
              <w:top w:val="nil"/>
              <w:left w:val="nil"/>
              <w:bottom w:val="nil"/>
              <w:right w:val="nil"/>
            </w:tcBorders>
          </w:tcPr>
          <w:p w14:paraId="1BDC014E" w14:textId="77777777" w:rsidR="00053D93" w:rsidRDefault="00260B75">
            <w:pPr>
              <w:ind w:left="7"/>
            </w:pPr>
            <w:r>
              <w:rPr>
                <w:sz w:val="30"/>
              </w:rPr>
              <w:t>ISSAI.GT</w:t>
            </w:r>
          </w:p>
        </w:tc>
        <w:tc>
          <w:tcPr>
            <w:tcW w:w="619" w:type="dxa"/>
            <w:tcBorders>
              <w:top w:val="nil"/>
              <w:left w:val="nil"/>
              <w:bottom w:val="nil"/>
              <w:right w:val="nil"/>
            </w:tcBorders>
          </w:tcPr>
          <w:p w14:paraId="622AC84E" w14:textId="77777777" w:rsidR="00053D93" w:rsidRDefault="00260B75">
            <w:r>
              <w:rPr>
                <w:rFonts w:ascii="Times New Roman" w:eastAsia="Times New Roman" w:hAnsi="Times New Roman" w:cs="Times New Roman"/>
                <w:sz w:val="26"/>
              </w:rPr>
              <w:t>1250</w:t>
            </w:r>
          </w:p>
        </w:tc>
        <w:tc>
          <w:tcPr>
            <w:tcW w:w="6602" w:type="dxa"/>
            <w:tcBorders>
              <w:top w:val="nil"/>
              <w:left w:val="nil"/>
              <w:bottom w:val="nil"/>
              <w:right w:val="nil"/>
            </w:tcBorders>
          </w:tcPr>
          <w:p w14:paraId="1E53304E" w14:textId="77777777" w:rsidR="00053D93" w:rsidRDefault="00260B75">
            <w:pPr>
              <w:ind w:firstLine="14"/>
            </w:pPr>
            <w:r>
              <w:rPr>
                <w:sz w:val="26"/>
              </w:rPr>
              <w:t>Consideración de la normativa en la auditoría de estados financieros.</w:t>
            </w:r>
          </w:p>
        </w:tc>
      </w:tr>
      <w:tr w:rsidR="00053D93" w14:paraId="7ED3EC00" w14:textId="77777777">
        <w:trPr>
          <w:trHeight w:val="296"/>
        </w:trPr>
        <w:tc>
          <w:tcPr>
            <w:tcW w:w="1109" w:type="dxa"/>
            <w:tcBorders>
              <w:top w:val="nil"/>
              <w:left w:val="nil"/>
              <w:bottom w:val="nil"/>
              <w:right w:val="nil"/>
            </w:tcBorders>
          </w:tcPr>
          <w:p w14:paraId="1CE4D3F1" w14:textId="77777777" w:rsidR="00053D93" w:rsidRDefault="00260B75">
            <w:pPr>
              <w:ind w:left="7"/>
            </w:pPr>
            <w:r>
              <w:rPr>
                <w:sz w:val="30"/>
              </w:rPr>
              <w:t>ISSAI.GT</w:t>
            </w:r>
          </w:p>
        </w:tc>
        <w:tc>
          <w:tcPr>
            <w:tcW w:w="619" w:type="dxa"/>
            <w:tcBorders>
              <w:top w:val="nil"/>
              <w:left w:val="nil"/>
              <w:bottom w:val="nil"/>
              <w:right w:val="nil"/>
            </w:tcBorders>
          </w:tcPr>
          <w:p w14:paraId="11A3896A" w14:textId="77777777" w:rsidR="00053D93" w:rsidRDefault="00260B75">
            <w:pPr>
              <w:ind w:left="7"/>
            </w:pPr>
            <w:r>
              <w:rPr>
                <w:rFonts w:ascii="Times New Roman" w:eastAsia="Times New Roman" w:hAnsi="Times New Roman" w:cs="Times New Roman"/>
                <w:sz w:val="26"/>
              </w:rPr>
              <w:t>1260</w:t>
            </w:r>
          </w:p>
        </w:tc>
        <w:tc>
          <w:tcPr>
            <w:tcW w:w="6602" w:type="dxa"/>
            <w:tcBorders>
              <w:top w:val="nil"/>
              <w:left w:val="nil"/>
              <w:bottom w:val="nil"/>
              <w:right w:val="nil"/>
            </w:tcBorders>
          </w:tcPr>
          <w:p w14:paraId="49DB5836" w14:textId="77777777" w:rsidR="00053D93" w:rsidRDefault="00260B75">
            <w:pPr>
              <w:ind w:left="14"/>
            </w:pPr>
            <w:r>
              <w:rPr>
                <w:sz w:val="26"/>
              </w:rPr>
              <w:t>Comunicación con los encargados de la gobernanza.</w:t>
            </w:r>
          </w:p>
        </w:tc>
      </w:tr>
      <w:tr w:rsidR="00053D93" w14:paraId="30C094EA" w14:textId="77777777">
        <w:trPr>
          <w:trHeight w:val="585"/>
        </w:trPr>
        <w:tc>
          <w:tcPr>
            <w:tcW w:w="1109" w:type="dxa"/>
            <w:tcBorders>
              <w:top w:val="nil"/>
              <w:left w:val="nil"/>
              <w:bottom w:val="nil"/>
              <w:right w:val="nil"/>
            </w:tcBorders>
          </w:tcPr>
          <w:p w14:paraId="2311BAC8" w14:textId="77777777" w:rsidR="00053D93" w:rsidRDefault="00260B75">
            <w:pPr>
              <w:ind w:left="7"/>
            </w:pPr>
            <w:r>
              <w:rPr>
                <w:sz w:val="30"/>
              </w:rPr>
              <w:t>ISSAI.GT</w:t>
            </w:r>
          </w:p>
        </w:tc>
        <w:tc>
          <w:tcPr>
            <w:tcW w:w="619" w:type="dxa"/>
            <w:tcBorders>
              <w:top w:val="nil"/>
              <w:left w:val="nil"/>
              <w:bottom w:val="nil"/>
              <w:right w:val="nil"/>
            </w:tcBorders>
          </w:tcPr>
          <w:p w14:paraId="7A374B04" w14:textId="77777777" w:rsidR="00053D93" w:rsidRDefault="00260B75">
            <w:r>
              <w:rPr>
                <w:rFonts w:ascii="Times New Roman" w:eastAsia="Times New Roman" w:hAnsi="Times New Roman" w:cs="Times New Roman"/>
                <w:sz w:val="26"/>
              </w:rPr>
              <w:t>1265</w:t>
            </w:r>
          </w:p>
        </w:tc>
        <w:tc>
          <w:tcPr>
            <w:tcW w:w="6602" w:type="dxa"/>
            <w:tcBorders>
              <w:top w:val="nil"/>
              <w:left w:val="nil"/>
              <w:bottom w:val="nil"/>
              <w:right w:val="nil"/>
            </w:tcBorders>
          </w:tcPr>
          <w:p w14:paraId="3645D9C8" w14:textId="77777777" w:rsidR="00053D93" w:rsidRDefault="00260B75">
            <w:pPr>
              <w:ind w:left="14"/>
              <w:jc w:val="both"/>
            </w:pPr>
            <w:r>
              <w:rPr>
                <w:sz w:val="26"/>
              </w:rPr>
              <w:t>Comunicación de deficiencias de control interno a los encargados de [a gobernanza y a la dirección.</w:t>
            </w:r>
          </w:p>
        </w:tc>
      </w:tr>
    </w:tbl>
    <w:p w14:paraId="671DA4E1" w14:textId="77777777" w:rsidR="00053D93" w:rsidRDefault="00260B75">
      <w:pPr>
        <w:spacing w:before="71" w:after="17" w:line="247" w:lineRule="auto"/>
        <w:ind w:left="14" w:right="14" w:firstLine="4"/>
        <w:jc w:val="both"/>
      </w:pPr>
      <w:r>
        <w:rPr>
          <w:noProof/>
        </w:rPr>
        <mc:AlternateContent>
          <mc:Choice Requires="wpg">
            <w:drawing>
              <wp:anchor distT="0" distB="0" distL="114300" distR="114300" simplePos="0" relativeHeight="251676672" behindDoc="0" locked="0" layoutInCell="1" allowOverlap="1" wp14:anchorId="66421CDC" wp14:editId="115A2075">
                <wp:simplePos x="0" y="0"/>
                <wp:positionH relativeFrom="column">
                  <wp:posOffset>32004</wp:posOffset>
                </wp:positionH>
                <wp:positionV relativeFrom="paragraph">
                  <wp:posOffset>-49891</wp:posOffset>
                </wp:positionV>
                <wp:extent cx="160020" cy="352044"/>
                <wp:effectExtent l="0" t="0" r="0" b="0"/>
                <wp:wrapSquare wrapText="bothSides"/>
                <wp:docPr id="2454205" name="Group 2454205"/>
                <wp:cNvGraphicFramePr/>
                <a:graphic xmlns:a="http://schemas.openxmlformats.org/drawingml/2006/main">
                  <a:graphicData uri="http://schemas.microsoft.com/office/word/2010/wordprocessingGroup">
                    <wpg:wgp>
                      <wpg:cNvGrpSpPr/>
                      <wpg:grpSpPr>
                        <a:xfrm>
                          <a:off x="0" y="0"/>
                          <a:ext cx="160020" cy="352044"/>
                          <a:chOff x="0" y="0"/>
                          <a:chExt cx="160020" cy="352044"/>
                        </a:xfrm>
                      </wpg:grpSpPr>
                      <wps:wsp>
                        <wps:cNvPr id="52702" name="Rectangle 52702"/>
                        <wps:cNvSpPr/>
                        <wps:spPr>
                          <a:xfrm>
                            <a:off x="0" y="0"/>
                            <a:ext cx="212827" cy="468218"/>
                          </a:xfrm>
                          <a:prstGeom prst="rect">
                            <a:avLst/>
                          </a:prstGeom>
                          <a:ln>
                            <a:noFill/>
                          </a:ln>
                        </wps:spPr>
                        <wps:txbx>
                          <w:txbxContent>
                            <w:p w14:paraId="37C543F0" w14:textId="77777777" w:rsidR="00053D93" w:rsidRDefault="00260B75">
                              <w:r>
                                <w:rPr>
                                  <w:sz w:val="322"/>
                                </w:rPr>
                                <w:t>i</w:t>
                              </w:r>
                            </w:p>
                          </w:txbxContent>
                        </wps:txbx>
                        <wps:bodyPr horzOverflow="overflow" vert="horz" lIns="0" tIns="0" rIns="0" bIns="0" rtlCol="0">
                          <a:noAutofit/>
                        </wps:bodyPr>
                      </wps:wsp>
                    </wpg:wgp>
                  </a:graphicData>
                </a:graphic>
              </wp:anchor>
            </w:drawing>
          </mc:Choice>
          <mc:Fallback>
            <w:pict>
              <v:group w14:anchorId="66421CDC" id="Group 2454205" o:spid="_x0000_s1066" style="position:absolute;left:0;text-align:left;margin-left:2.5pt;margin-top:-3.95pt;width:12.6pt;height:27.7pt;z-index:251676672;mso-position-horizontal-relative:text;mso-position-vertical-relative:text" coordsize="160020,352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">
                <v:rect id="Rectangle 52702" o:spid="_x0000_s1067" style="position:absolute;width:212827;height:468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" filled="f" stroked="f">
                  <v:textbox inset="0,0,0,0">
                    <w:txbxContent>
                      <w:p w14:paraId="37C543F0" w14:textId="77777777" w:rsidR="00053D93" w:rsidRDefault="00260B75">
                        <w:r>
                          <w:rPr>
                            <w:sz w:val="322"/>
                          </w:rPr>
                          <w:t>i</w:t>
                        </w:r>
                      </w:p>
                    </w:txbxContent>
                  </v:textbox>
                </v:rect>
                <w10:wrap type="square"/>
              </v:group>
            </w:pict>
          </mc:Fallback>
        </mc:AlternateContent>
      </w:r>
      <w:r>
        <w:rPr>
          <w:sz w:val="26"/>
        </w:rPr>
        <w:t xml:space="preserve">ISSAI.GT </w:t>
      </w:r>
      <w:r>
        <w:rPr>
          <w:rFonts w:ascii="Times New Roman" w:eastAsia="Times New Roman" w:hAnsi="Times New Roman" w:cs="Times New Roman"/>
          <w:sz w:val="26"/>
        </w:rPr>
        <w:t xml:space="preserve">1300 </w:t>
      </w:r>
      <w:r>
        <w:rPr>
          <w:sz w:val="26"/>
        </w:rPr>
        <w:t>Planificación de una auditoría de estados financieros.</w:t>
      </w:r>
    </w:p>
    <w:p w14:paraId="774B3DB3" w14:textId="77777777" w:rsidR="00053D93" w:rsidRDefault="00260B75">
      <w:pPr>
        <w:spacing w:after="17" w:line="247" w:lineRule="auto"/>
        <w:ind w:left="1756" w:right="14" w:hanging="1742"/>
        <w:jc w:val="both"/>
      </w:pPr>
      <w:r>
        <w:rPr>
          <w:sz w:val="26"/>
        </w:rPr>
        <w:t xml:space="preserve">ISSAI.GT </w:t>
      </w:r>
      <w:r>
        <w:rPr>
          <w:rFonts w:ascii="Times New Roman" w:eastAsia="Times New Roman" w:hAnsi="Times New Roman" w:cs="Times New Roman"/>
          <w:sz w:val="26"/>
        </w:rPr>
        <w:t xml:space="preserve">1315 </w:t>
      </w:r>
      <w:r>
        <w:rPr>
          <w:sz w:val="26"/>
        </w:rPr>
        <w:t>Identificación y evaluación de los riesgos de irregularidades importantes a través de una comprensión de la entidad y su</w:t>
      </w:r>
    </w:p>
    <w:tbl>
      <w:tblPr>
        <w:tblStyle w:val="TableGrid"/>
        <w:tblW w:w="9439" w:type="dxa"/>
        <w:tblInd w:w="756" w:type="dxa"/>
        <w:tblLook w:val="04A0" w:firstRow="1" w:lastRow="0" w:firstColumn="1" w:lastColumn="0" w:noHBand="0" w:noVBand="1"/>
      </w:tblPr>
      <w:tblGrid>
        <w:gridCol w:w="1677"/>
        <w:gridCol w:w="10542"/>
      </w:tblGrid>
      <w:tr w:rsidR="00053D93" w14:paraId="6EE20B7E" w14:textId="77777777">
        <w:trPr>
          <w:trHeight w:val="648"/>
        </w:trPr>
        <w:tc>
          <w:tcPr>
            <w:tcW w:w="1723" w:type="dxa"/>
            <w:tcBorders>
              <w:top w:val="nil"/>
              <w:left w:val="nil"/>
              <w:bottom w:val="nil"/>
              <w:right w:val="nil"/>
            </w:tcBorders>
          </w:tcPr>
          <w:p w14:paraId="1C8B06CC" w14:textId="77777777" w:rsidR="00053D93" w:rsidRDefault="00260B75">
            <w:r>
              <w:rPr>
                <w:noProof/>
              </w:rPr>
              <w:drawing>
                <wp:inline distT="0" distB="0" distL="0" distR="0" wp14:anchorId="499BD7A2" wp14:editId="7AAC455A">
                  <wp:extent cx="1065276" cy="411480"/>
                  <wp:effectExtent l="0" t="0" r="0" b="0"/>
                  <wp:docPr id="55485" name="Picture 55485"/>
                  <wp:cNvGraphicFramePr/>
                  <a:graphic xmlns:a="http://schemas.openxmlformats.org/drawingml/2006/main">
                    <a:graphicData uri="http://schemas.openxmlformats.org/drawingml/2006/picture">
                      <pic:pic xmlns:pic="http://schemas.openxmlformats.org/drawingml/2006/picture">
                        <pic:nvPicPr>
                          <pic:cNvPr id="55485" name="Picture 55485"/>
                          <pic:cNvPicPr/>
                        </pic:nvPicPr>
                        <pic:blipFill>
                          <a:blip r:embed="rId64"/>
                          <a:stretch>
                            <a:fillRect/>
                          </a:stretch>
                        </pic:blipFill>
                        <pic:spPr>
                          <a:xfrm>
                            <a:off x="0" y="0"/>
                            <a:ext cx="1065276" cy="411480"/>
                          </a:xfrm>
                          <a:prstGeom prst="rect">
                            <a:avLst/>
                          </a:prstGeom>
                        </pic:spPr>
                      </pic:pic>
                    </a:graphicData>
                  </a:graphic>
                </wp:inline>
              </w:drawing>
            </w:r>
          </w:p>
        </w:tc>
        <w:tc>
          <w:tcPr>
            <w:tcW w:w="7717" w:type="dxa"/>
            <w:tcBorders>
              <w:top w:val="nil"/>
              <w:left w:val="nil"/>
              <w:bottom w:val="nil"/>
              <w:right w:val="nil"/>
            </w:tcBorders>
          </w:tcPr>
          <w:p w14:paraId="1C9082DF" w14:textId="77777777" w:rsidR="00053D93" w:rsidRDefault="00053D93">
            <w:pPr>
              <w:ind w:left="-2824" w:right="10541"/>
            </w:pPr>
          </w:p>
          <w:tbl>
            <w:tblPr>
              <w:tblStyle w:val="TableGrid"/>
              <w:tblW w:w="7672" w:type="dxa"/>
              <w:tblInd w:w="45" w:type="dxa"/>
              <w:tblCellMar>
                <w:top w:w="26" w:type="dxa"/>
                <w:left w:w="1782" w:type="dxa"/>
                <w:right w:w="115" w:type="dxa"/>
              </w:tblCellMar>
              <w:tblLook w:val="04A0" w:firstRow="1" w:lastRow="0" w:firstColumn="1" w:lastColumn="0" w:noHBand="0" w:noVBand="1"/>
            </w:tblPr>
            <w:tblGrid>
              <w:gridCol w:w="7672"/>
            </w:tblGrid>
            <w:tr w:rsidR="00053D93" w14:paraId="26B28562" w14:textId="77777777">
              <w:trPr>
                <w:trHeight w:val="612"/>
              </w:trPr>
              <w:tc>
                <w:tcPr>
                  <w:tcW w:w="7672" w:type="dxa"/>
                  <w:tcBorders>
                    <w:top w:val="single" w:sz="2" w:space="0" w:color="000000"/>
                    <w:left w:val="single" w:sz="2" w:space="0" w:color="000000"/>
                    <w:bottom w:val="nil"/>
                    <w:right w:val="nil"/>
                  </w:tcBorders>
                </w:tcPr>
                <w:p w14:paraId="6EF978C7" w14:textId="77777777" w:rsidR="00053D93" w:rsidRDefault="00260B75">
                  <w:pPr>
                    <w:ind w:left="835"/>
                  </w:pPr>
                  <w:r>
                    <w:rPr>
                      <w:sz w:val="14"/>
                    </w:rPr>
                    <w:t>MINISTERIO DE EDUCACION</w:t>
                  </w:r>
                </w:p>
                <w:p w14:paraId="739B6D57" w14:textId="77777777" w:rsidR="00053D93" w:rsidRDefault="00260B75">
                  <w:pPr>
                    <w:ind w:left="331"/>
                  </w:pPr>
                  <w:r>
                    <w:rPr>
                      <w:sz w:val="14"/>
                    </w:rPr>
                    <w:t>AUDITORIA FINANCIERA Y DE CUMPLIMIENTO</w:t>
                  </w:r>
                </w:p>
                <w:p w14:paraId="2CBE96F8" w14:textId="77777777" w:rsidR="00053D93" w:rsidRDefault="00260B75">
                  <w:r>
                    <w:rPr>
                      <w:sz w:val="14"/>
                    </w:rPr>
                    <w:t>PERIODO DEL 01 DE ENERO AL 31 DE DICIEMBRE DE 2024</w:t>
                  </w:r>
                </w:p>
              </w:tc>
            </w:tr>
          </w:tbl>
          <w:p w14:paraId="29B3B98C" w14:textId="77777777" w:rsidR="00053D93" w:rsidRDefault="00053D93"/>
        </w:tc>
      </w:tr>
    </w:tbl>
    <w:p w14:paraId="70DFE698" w14:textId="77777777" w:rsidR="00053D93" w:rsidRDefault="00260B75">
      <w:pPr>
        <w:tabs>
          <w:tab w:val="center" w:pos="5915"/>
        </w:tabs>
        <w:spacing w:after="3" w:line="265" w:lineRule="auto"/>
      </w:pPr>
      <w:r>
        <w:rPr>
          <w:sz w:val="226"/>
        </w:rPr>
        <w:t>i</w:t>
      </w:r>
      <w:r>
        <w:rPr>
          <w:sz w:val="226"/>
        </w:rPr>
        <w:tab/>
      </w:r>
      <w:r>
        <w:rPr>
          <w:rFonts w:ascii="Times New Roman" w:eastAsia="Times New Roman" w:hAnsi="Times New Roman" w:cs="Times New Roman"/>
          <w:sz w:val="226"/>
        </w:rPr>
        <w:t>4</w:t>
      </w:r>
    </w:p>
    <w:p w14:paraId="589E3EF1" w14:textId="77777777" w:rsidR="00053D93" w:rsidRDefault="00260B75">
      <w:pPr>
        <w:spacing w:after="43"/>
        <w:ind w:left="1699"/>
      </w:pPr>
      <w:r>
        <w:rPr>
          <w:noProof/>
        </w:rPr>
        <mc:AlternateContent>
          <mc:Choice Requires="wpg">
            <w:drawing>
              <wp:inline distT="0" distB="0" distL="0" distR="0" wp14:anchorId="3DED964A" wp14:editId="5EAB73D1">
                <wp:extent cx="5376673" cy="9144"/>
                <wp:effectExtent l="0" t="0" r="0" b="0"/>
                <wp:docPr id="2458118" name="Group 2458118"/>
                <wp:cNvGraphicFramePr/>
                <a:graphic xmlns:a="http://schemas.openxmlformats.org/drawingml/2006/main">
                  <a:graphicData uri="http://schemas.microsoft.com/office/word/2010/wordprocessingGroup">
                    <wpg:wgp>
                      <wpg:cNvGrpSpPr/>
                      <wpg:grpSpPr>
                        <a:xfrm>
                          <a:off x="0" y="0"/>
                          <a:ext cx="5376673" cy="9144"/>
                          <a:chOff x="0" y="0"/>
                          <a:chExt cx="5376673" cy="9144"/>
                        </a:xfrm>
                      </wpg:grpSpPr>
                      <wps:wsp>
                        <wps:cNvPr id="2458117" name="Shape 2458117"/>
                        <wps:cNvSpPr/>
                        <wps:spPr>
                          <a:xfrm>
                            <a:off x="0" y="0"/>
                            <a:ext cx="5376673" cy="9144"/>
                          </a:xfrm>
                          <a:custGeom>
                            <a:avLst/>
                            <a:gdLst/>
                            <a:ahLst/>
                            <a:cxnLst/>
                            <a:rect l="0" t="0" r="0" b="0"/>
                            <a:pathLst>
                              <a:path w="5376673" h="9144">
                                <a:moveTo>
                                  <a:pt x="0" y="4572"/>
                                </a:moveTo>
                                <a:lnTo>
                                  <a:pt x="5376673"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18" style="width:423.36pt;height:0.720005pt;mso-position-horizontal-relative:char;mso-position-vertical-relative:line" coordsize="53766,91">
                <v:shape id="Shape 2458117" style="position:absolute;width:53766;height:91;left:0;top:0;" coordsize="5376673,9144" path="m0,4572l5376673,4572">
                  <v:stroke weight="0.720005pt" endcap="flat" joinstyle="miter" miterlimit="1" on="true" color="#000000"/>
                  <v:fill on="false" color="#000000"/>
                </v:shape>
              </v:group>
            </w:pict>
          </mc:Fallback>
        </mc:AlternateContent>
      </w:r>
    </w:p>
    <w:p w14:paraId="49E188C7" w14:textId="77777777" w:rsidR="00053D93" w:rsidRDefault="00260B75">
      <w:pPr>
        <w:spacing w:after="10" w:line="252" w:lineRule="auto"/>
        <w:ind w:left="3524" w:hanging="10"/>
        <w:jc w:val="both"/>
      </w:pPr>
      <w:r>
        <w:rPr>
          <w:sz w:val="24"/>
        </w:rPr>
        <w:t>entorno.</w:t>
      </w:r>
    </w:p>
    <w:tbl>
      <w:tblPr>
        <w:tblStyle w:val="TableGrid"/>
        <w:tblW w:w="8316" w:type="dxa"/>
        <w:tblInd w:w="1757" w:type="dxa"/>
        <w:tblLook w:val="04A0" w:firstRow="1" w:lastRow="0" w:firstColumn="1" w:lastColumn="0" w:noHBand="0" w:noVBand="1"/>
      </w:tblPr>
      <w:tblGrid>
        <w:gridCol w:w="1073"/>
        <w:gridCol w:w="655"/>
        <w:gridCol w:w="6588"/>
      </w:tblGrid>
      <w:tr w:rsidR="00053D93" w14:paraId="58E1A94C" w14:textId="77777777">
        <w:trPr>
          <w:trHeight w:val="260"/>
        </w:trPr>
        <w:tc>
          <w:tcPr>
            <w:tcW w:w="1073" w:type="dxa"/>
            <w:tcBorders>
              <w:top w:val="nil"/>
              <w:left w:val="nil"/>
              <w:bottom w:val="nil"/>
              <w:right w:val="nil"/>
            </w:tcBorders>
          </w:tcPr>
          <w:p w14:paraId="6C492357" w14:textId="77777777" w:rsidR="00053D93" w:rsidRDefault="00260B75">
            <w:pPr>
              <w:ind w:left="29"/>
            </w:pPr>
            <w:r>
              <w:rPr>
                <w:sz w:val="30"/>
              </w:rPr>
              <w:t>ISSAI.GT</w:t>
            </w:r>
          </w:p>
        </w:tc>
        <w:tc>
          <w:tcPr>
            <w:tcW w:w="655" w:type="dxa"/>
            <w:tcBorders>
              <w:top w:val="nil"/>
              <w:left w:val="nil"/>
              <w:bottom w:val="nil"/>
              <w:right w:val="nil"/>
            </w:tcBorders>
          </w:tcPr>
          <w:p w14:paraId="4CDDB3C5" w14:textId="77777777" w:rsidR="00053D93" w:rsidRDefault="00260B75">
            <w:pPr>
              <w:ind w:left="50"/>
            </w:pPr>
            <w:r>
              <w:rPr>
                <w:rFonts w:ascii="Times New Roman" w:eastAsia="Times New Roman" w:hAnsi="Times New Roman" w:cs="Times New Roman"/>
                <w:sz w:val="26"/>
              </w:rPr>
              <w:t>1320</w:t>
            </w:r>
          </w:p>
        </w:tc>
        <w:tc>
          <w:tcPr>
            <w:tcW w:w="6588" w:type="dxa"/>
            <w:tcBorders>
              <w:top w:val="nil"/>
              <w:left w:val="nil"/>
              <w:bottom w:val="nil"/>
              <w:right w:val="nil"/>
            </w:tcBorders>
          </w:tcPr>
          <w:p w14:paraId="70466D72" w14:textId="77777777" w:rsidR="00053D93" w:rsidRDefault="00260B75">
            <w:pPr>
              <w:ind w:left="36"/>
            </w:pPr>
            <w:r>
              <w:rPr>
                <w:sz w:val="26"/>
              </w:rPr>
              <w:t>La materialidad al planificar y ejecutar una auditoría.</w:t>
            </w:r>
          </w:p>
        </w:tc>
      </w:tr>
      <w:tr w:rsidR="00053D93" w14:paraId="19F9B47E" w14:textId="77777777">
        <w:trPr>
          <w:trHeight w:val="308"/>
        </w:trPr>
        <w:tc>
          <w:tcPr>
            <w:tcW w:w="1073" w:type="dxa"/>
            <w:tcBorders>
              <w:top w:val="nil"/>
              <w:left w:val="nil"/>
              <w:bottom w:val="nil"/>
              <w:right w:val="nil"/>
            </w:tcBorders>
          </w:tcPr>
          <w:p w14:paraId="64289E40" w14:textId="77777777" w:rsidR="00053D93" w:rsidRDefault="00260B75">
            <w:pPr>
              <w:ind w:left="29"/>
            </w:pPr>
            <w:r>
              <w:rPr>
                <w:sz w:val="28"/>
              </w:rPr>
              <w:t>ISSAI.GT</w:t>
            </w:r>
          </w:p>
        </w:tc>
        <w:tc>
          <w:tcPr>
            <w:tcW w:w="655" w:type="dxa"/>
            <w:tcBorders>
              <w:top w:val="nil"/>
              <w:left w:val="nil"/>
              <w:bottom w:val="nil"/>
              <w:right w:val="nil"/>
            </w:tcBorders>
          </w:tcPr>
          <w:p w14:paraId="054BEEB2" w14:textId="77777777" w:rsidR="00053D93" w:rsidRDefault="00260B75">
            <w:pPr>
              <w:ind w:left="50"/>
            </w:pPr>
            <w:r>
              <w:rPr>
                <w:rFonts w:ascii="Times New Roman" w:eastAsia="Times New Roman" w:hAnsi="Times New Roman" w:cs="Times New Roman"/>
                <w:sz w:val="26"/>
              </w:rPr>
              <w:t>1330</w:t>
            </w:r>
          </w:p>
        </w:tc>
        <w:tc>
          <w:tcPr>
            <w:tcW w:w="6588" w:type="dxa"/>
            <w:tcBorders>
              <w:top w:val="nil"/>
              <w:left w:val="nil"/>
              <w:bottom w:val="nil"/>
              <w:right w:val="nil"/>
            </w:tcBorders>
          </w:tcPr>
          <w:p w14:paraId="4D10D64A" w14:textId="77777777" w:rsidR="00053D93" w:rsidRDefault="00260B75">
            <w:pPr>
              <w:ind w:left="36"/>
            </w:pPr>
            <w:r>
              <w:rPr>
                <w:sz w:val="26"/>
              </w:rPr>
              <w:t>Las respuestas del auditor a los riesgos evaluados.</w:t>
            </w:r>
          </w:p>
        </w:tc>
      </w:tr>
      <w:tr w:rsidR="00053D93" w14:paraId="54792A25" w14:textId="77777777">
        <w:trPr>
          <w:trHeight w:val="619"/>
        </w:trPr>
        <w:tc>
          <w:tcPr>
            <w:tcW w:w="1073" w:type="dxa"/>
            <w:tcBorders>
              <w:top w:val="nil"/>
              <w:left w:val="nil"/>
              <w:bottom w:val="nil"/>
              <w:right w:val="nil"/>
            </w:tcBorders>
          </w:tcPr>
          <w:p w14:paraId="1B8E16EC" w14:textId="77777777" w:rsidR="00053D93" w:rsidRDefault="00260B75">
            <w:pPr>
              <w:ind w:left="29"/>
            </w:pPr>
            <w:r>
              <w:rPr>
                <w:sz w:val="28"/>
              </w:rPr>
              <w:t>ISSAI.GT</w:t>
            </w:r>
          </w:p>
        </w:tc>
        <w:tc>
          <w:tcPr>
            <w:tcW w:w="655" w:type="dxa"/>
            <w:tcBorders>
              <w:top w:val="nil"/>
              <w:left w:val="nil"/>
              <w:bottom w:val="nil"/>
              <w:right w:val="nil"/>
            </w:tcBorders>
          </w:tcPr>
          <w:p w14:paraId="35122AB6" w14:textId="77777777" w:rsidR="00053D93" w:rsidRDefault="00260B75">
            <w:pPr>
              <w:ind w:left="50"/>
            </w:pPr>
            <w:r>
              <w:rPr>
                <w:rFonts w:ascii="Times New Roman" w:eastAsia="Times New Roman" w:hAnsi="Times New Roman" w:cs="Times New Roman"/>
                <w:sz w:val="26"/>
              </w:rPr>
              <w:t>1402</w:t>
            </w:r>
          </w:p>
        </w:tc>
        <w:tc>
          <w:tcPr>
            <w:tcW w:w="6588" w:type="dxa"/>
            <w:tcBorders>
              <w:top w:val="nil"/>
              <w:left w:val="nil"/>
              <w:bottom w:val="nil"/>
              <w:right w:val="nil"/>
            </w:tcBorders>
          </w:tcPr>
          <w:p w14:paraId="14FD4CD4" w14:textId="77777777" w:rsidR="00053D93" w:rsidRDefault="00260B75">
            <w:pPr>
              <w:ind w:left="29"/>
              <w:jc w:val="both"/>
            </w:pPr>
            <w:r>
              <w:rPr>
                <w:sz w:val="26"/>
              </w:rPr>
              <w:t>Consideraciones de auditoría relativas a entidades que utilizan organizaciones de servicios.</w:t>
            </w:r>
          </w:p>
        </w:tc>
      </w:tr>
      <w:tr w:rsidR="00053D93" w14:paraId="68BFDD34" w14:textId="77777777">
        <w:trPr>
          <w:trHeight w:val="302"/>
        </w:trPr>
        <w:tc>
          <w:tcPr>
            <w:tcW w:w="1073" w:type="dxa"/>
            <w:tcBorders>
              <w:top w:val="nil"/>
              <w:left w:val="nil"/>
              <w:bottom w:val="nil"/>
              <w:right w:val="nil"/>
            </w:tcBorders>
          </w:tcPr>
          <w:p w14:paraId="4752B212" w14:textId="77777777" w:rsidR="00053D93" w:rsidRDefault="00260B75">
            <w:pPr>
              <w:ind w:left="29"/>
            </w:pPr>
            <w:r>
              <w:rPr>
                <w:sz w:val="28"/>
              </w:rPr>
              <w:t>ISSAI.GT</w:t>
            </w:r>
          </w:p>
        </w:tc>
        <w:tc>
          <w:tcPr>
            <w:tcW w:w="655" w:type="dxa"/>
            <w:tcBorders>
              <w:top w:val="nil"/>
              <w:left w:val="nil"/>
              <w:bottom w:val="nil"/>
              <w:right w:val="nil"/>
            </w:tcBorders>
          </w:tcPr>
          <w:p w14:paraId="4A863434" w14:textId="77777777" w:rsidR="00053D93" w:rsidRDefault="00260B75">
            <w:pPr>
              <w:ind w:left="50"/>
            </w:pPr>
            <w:r>
              <w:rPr>
                <w:rFonts w:ascii="Times New Roman" w:eastAsia="Times New Roman" w:hAnsi="Times New Roman" w:cs="Times New Roman"/>
                <w:sz w:val="26"/>
              </w:rPr>
              <w:t>1450</w:t>
            </w:r>
          </w:p>
        </w:tc>
        <w:tc>
          <w:tcPr>
            <w:tcW w:w="6588" w:type="dxa"/>
            <w:tcBorders>
              <w:top w:val="nil"/>
              <w:left w:val="nil"/>
              <w:bottom w:val="nil"/>
              <w:right w:val="nil"/>
            </w:tcBorders>
          </w:tcPr>
          <w:p w14:paraId="198D9CAA" w14:textId="77777777" w:rsidR="00053D93" w:rsidRDefault="00260B75">
            <w:pPr>
              <w:ind w:left="36"/>
              <w:jc w:val="both"/>
            </w:pPr>
            <w:r>
              <w:rPr>
                <w:sz w:val="26"/>
              </w:rPr>
              <w:t>Evaluación de equivocaciones identificadas durante la auditoría.</w:t>
            </w:r>
          </w:p>
        </w:tc>
      </w:tr>
      <w:tr w:rsidR="00053D93" w14:paraId="1A28633E" w14:textId="77777777">
        <w:trPr>
          <w:trHeight w:val="299"/>
        </w:trPr>
        <w:tc>
          <w:tcPr>
            <w:tcW w:w="1073" w:type="dxa"/>
            <w:tcBorders>
              <w:top w:val="nil"/>
              <w:left w:val="nil"/>
              <w:bottom w:val="nil"/>
              <w:right w:val="nil"/>
            </w:tcBorders>
          </w:tcPr>
          <w:p w14:paraId="2395FD9E" w14:textId="77777777" w:rsidR="00053D93" w:rsidRDefault="00260B75">
            <w:pPr>
              <w:ind w:left="29"/>
            </w:pPr>
            <w:r>
              <w:rPr>
                <w:sz w:val="28"/>
              </w:rPr>
              <w:t>ISSAI.GT</w:t>
            </w:r>
          </w:p>
        </w:tc>
        <w:tc>
          <w:tcPr>
            <w:tcW w:w="655" w:type="dxa"/>
            <w:tcBorders>
              <w:top w:val="nil"/>
              <w:left w:val="nil"/>
              <w:bottom w:val="nil"/>
              <w:right w:val="nil"/>
            </w:tcBorders>
          </w:tcPr>
          <w:p w14:paraId="4C2F5530" w14:textId="77777777" w:rsidR="00053D93" w:rsidRDefault="00260B75">
            <w:pPr>
              <w:ind w:left="50"/>
            </w:pPr>
            <w:r>
              <w:rPr>
                <w:rFonts w:ascii="Times New Roman" w:eastAsia="Times New Roman" w:hAnsi="Times New Roman" w:cs="Times New Roman"/>
                <w:sz w:val="26"/>
              </w:rPr>
              <w:t>1500</w:t>
            </w:r>
          </w:p>
        </w:tc>
        <w:tc>
          <w:tcPr>
            <w:tcW w:w="6588" w:type="dxa"/>
            <w:tcBorders>
              <w:top w:val="nil"/>
              <w:left w:val="nil"/>
              <w:bottom w:val="nil"/>
              <w:right w:val="nil"/>
            </w:tcBorders>
          </w:tcPr>
          <w:p w14:paraId="4EE3F485" w14:textId="77777777" w:rsidR="00053D93" w:rsidRDefault="00260B75">
            <w:pPr>
              <w:ind w:left="36"/>
            </w:pPr>
            <w:r>
              <w:rPr>
                <w:sz w:val="26"/>
              </w:rPr>
              <w:t>Evidencia de auditoría.</w:t>
            </w:r>
          </w:p>
        </w:tc>
      </w:tr>
      <w:tr w:rsidR="00053D93" w14:paraId="03149686" w14:textId="77777777">
        <w:trPr>
          <w:trHeight w:val="612"/>
        </w:trPr>
        <w:tc>
          <w:tcPr>
            <w:tcW w:w="1073" w:type="dxa"/>
            <w:tcBorders>
              <w:top w:val="nil"/>
              <w:left w:val="nil"/>
              <w:bottom w:val="nil"/>
              <w:right w:val="nil"/>
            </w:tcBorders>
          </w:tcPr>
          <w:p w14:paraId="1A73FB98" w14:textId="77777777" w:rsidR="00053D93" w:rsidRDefault="00260B75">
            <w:pPr>
              <w:ind w:left="22"/>
            </w:pPr>
            <w:r>
              <w:rPr>
                <w:sz w:val="30"/>
              </w:rPr>
              <w:t>ISSAI.GT</w:t>
            </w:r>
          </w:p>
        </w:tc>
        <w:tc>
          <w:tcPr>
            <w:tcW w:w="655" w:type="dxa"/>
            <w:tcBorders>
              <w:top w:val="nil"/>
              <w:left w:val="nil"/>
              <w:bottom w:val="nil"/>
              <w:right w:val="nil"/>
            </w:tcBorders>
          </w:tcPr>
          <w:p w14:paraId="6E87C74A" w14:textId="77777777" w:rsidR="00053D93" w:rsidRDefault="00260B75">
            <w:pPr>
              <w:ind w:left="43"/>
            </w:pPr>
            <w:r>
              <w:rPr>
                <w:rFonts w:ascii="Times New Roman" w:eastAsia="Times New Roman" w:hAnsi="Times New Roman" w:cs="Times New Roman"/>
                <w:sz w:val="26"/>
              </w:rPr>
              <w:t>1501</w:t>
            </w:r>
          </w:p>
        </w:tc>
        <w:tc>
          <w:tcPr>
            <w:tcW w:w="6588" w:type="dxa"/>
            <w:tcBorders>
              <w:top w:val="nil"/>
              <w:left w:val="nil"/>
              <w:bottom w:val="nil"/>
              <w:right w:val="nil"/>
            </w:tcBorders>
          </w:tcPr>
          <w:p w14:paraId="69F55040" w14:textId="77777777" w:rsidR="00053D93" w:rsidRDefault="00260B75">
            <w:pPr>
              <w:ind w:left="22" w:firstLine="14"/>
            </w:pPr>
            <w:r>
              <w:rPr>
                <w:sz w:val="26"/>
              </w:rPr>
              <w:t>Evidencia de auditoría consideraciones adicionales en determinados ámbitos.</w:t>
            </w:r>
          </w:p>
        </w:tc>
      </w:tr>
      <w:tr w:rsidR="00053D93" w14:paraId="2585074F" w14:textId="77777777">
        <w:trPr>
          <w:trHeight w:val="314"/>
        </w:trPr>
        <w:tc>
          <w:tcPr>
            <w:tcW w:w="1073" w:type="dxa"/>
            <w:tcBorders>
              <w:top w:val="nil"/>
              <w:left w:val="nil"/>
              <w:bottom w:val="nil"/>
              <w:right w:val="nil"/>
            </w:tcBorders>
          </w:tcPr>
          <w:p w14:paraId="47DF3C0A" w14:textId="77777777" w:rsidR="00053D93" w:rsidRDefault="00260B75">
            <w:pPr>
              <w:ind w:left="22"/>
            </w:pPr>
            <w:r>
              <w:rPr>
                <w:sz w:val="30"/>
              </w:rPr>
              <w:t>ISSAI.GT</w:t>
            </w:r>
          </w:p>
        </w:tc>
        <w:tc>
          <w:tcPr>
            <w:tcW w:w="655" w:type="dxa"/>
            <w:tcBorders>
              <w:top w:val="nil"/>
              <w:left w:val="nil"/>
              <w:bottom w:val="nil"/>
              <w:right w:val="nil"/>
            </w:tcBorders>
          </w:tcPr>
          <w:p w14:paraId="5A0F2FAA" w14:textId="77777777" w:rsidR="00053D93" w:rsidRDefault="00260B75">
            <w:pPr>
              <w:ind w:left="43"/>
            </w:pPr>
            <w:r>
              <w:rPr>
                <w:rFonts w:ascii="Times New Roman" w:eastAsia="Times New Roman" w:hAnsi="Times New Roman" w:cs="Times New Roman"/>
                <w:sz w:val="26"/>
              </w:rPr>
              <w:t>1505</w:t>
            </w:r>
          </w:p>
        </w:tc>
        <w:tc>
          <w:tcPr>
            <w:tcW w:w="6588" w:type="dxa"/>
            <w:tcBorders>
              <w:top w:val="nil"/>
              <w:left w:val="nil"/>
              <w:bottom w:val="nil"/>
              <w:right w:val="nil"/>
            </w:tcBorders>
          </w:tcPr>
          <w:p w14:paraId="13A46A0C" w14:textId="77777777" w:rsidR="00053D93" w:rsidRDefault="00260B75">
            <w:pPr>
              <w:ind w:left="29"/>
            </w:pPr>
            <w:r>
              <w:rPr>
                <w:sz w:val="26"/>
              </w:rPr>
              <w:t>Confirmaciones externas.</w:t>
            </w:r>
          </w:p>
        </w:tc>
      </w:tr>
      <w:tr w:rsidR="00053D93" w14:paraId="5F4B1229" w14:textId="77777777">
        <w:trPr>
          <w:trHeight w:val="304"/>
        </w:trPr>
        <w:tc>
          <w:tcPr>
            <w:tcW w:w="1073" w:type="dxa"/>
            <w:tcBorders>
              <w:top w:val="nil"/>
              <w:left w:val="nil"/>
              <w:bottom w:val="nil"/>
              <w:right w:val="nil"/>
            </w:tcBorders>
          </w:tcPr>
          <w:p w14:paraId="7B7616F8" w14:textId="77777777" w:rsidR="00053D93" w:rsidRDefault="00260B75">
            <w:pPr>
              <w:ind w:left="22"/>
            </w:pPr>
            <w:r>
              <w:rPr>
                <w:sz w:val="28"/>
              </w:rPr>
              <w:t>ISSAI.GT</w:t>
            </w:r>
          </w:p>
        </w:tc>
        <w:tc>
          <w:tcPr>
            <w:tcW w:w="655" w:type="dxa"/>
            <w:tcBorders>
              <w:top w:val="nil"/>
              <w:left w:val="nil"/>
              <w:bottom w:val="nil"/>
              <w:right w:val="nil"/>
            </w:tcBorders>
          </w:tcPr>
          <w:p w14:paraId="7C5C2DEA" w14:textId="77777777" w:rsidR="00053D93" w:rsidRDefault="00260B75">
            <w:pPr>
              <w:ind w:left="43"/>
            </w:pPr>
            <w:r>
              <w:rPr>
                <w:rFonts w:ascii="Times New Roman" w:eastAsia="Times New Roman" w:hAnsi="Times New Roman" w:cs="Times New Roman"/>
                <w:sz w:val="26"/>
              </w:rPr>
              <w:t>1510</w:t>
            </w:r>
          </w:p>
        </w:tc>
        <w:tc>
          <w:tcPr>
            <w:tcW w:w="6588" w:type="dxa"/>
            <w:tcBorders>
              <w:top w:val="nil"/>
              <w:left w:val="nil"/>
              <w:bottom w:val="nil"/>
              <w:right w:val="nil"/>
            </w:tcBorders>
          </w:tcPr>
          <w:p w14:paraId="775A53BB" w14:textId="77777777" w:rsidR="00053D93" w:rsidRDefault="00260B75">
            <w:pPr>
              <w:ind w:left="29"/>
            </w:pPr>
            <w:r>
              <w:rPr>
                <w:sz w:val="26"/>
              </w:rPr>
              <w:t>Encargos iniciales de auditoría saldos de apertura.</w:t>
            </w:r>
          </w:p>
        </w:tc>
      </w:tr>
      <w:tr w:rsidR="00053D93" w14:paraId="5ADAB0B6" w14:textId="77777777">
        <w:trPr>
          <w:trHeight w:val="301"/>
        </w:trPr>
        <w:tc>
          <w:tcPr>
            <w:tcW w:w="1073" w:type="dxa"/>
            <w:tcBorders>
              <w:top w:val="nil"/>
              <w:left w:val="nil"/>
              <w:bottom w:val="nil"/>
              <w:right w:val="nil"/>
            </w:tcBorders>
          </w:tcPr>
          <w:p w14:paraId="5E049804" w14:textId="77777777" w:rsidR="00053D93" w:rsidRDefault="00260B75">
            <w:pPr>
              <w:ind w:left="22"/>
            </w:pPr>
            <w:r>
              <w:rPr>
                <w:sz w:val="28"/>
              </w:rPr>
              <w:lastRenderedPageBreak/>
              <w:t>ISSAI.GT</w:t>
            </w:r>
          </w:p>
        </w:tc>
        <w:tc>
          <w:tcPr>
            <w:tcW w:w="655" w:type="dxa"/>
            <w:tcBorders>
              <w:top w:val="nil"/>
              <w:left w:val="nil"/>
              <w:bottom w:val="nil"/>
              <w:right w:val="nil"/>
            </w:tcBorders>
          </w:tcPr>
          <w:p w14:paraId="7148CB95" w14:textId="77777777" w:rsidR="00053D93" w:rsidRDefault="00260B75">
            <w:pPr>
              <w:ind w:left="43"/>
            </w:pPr>
            <w:r>
              <w:rPr>
                <w:rFonts w:ascii="Times New Roman" w:eastAsia="Times New Roman" w:hAnsi="Times New Roman" w:cs="Times New Roman"/>
                <w:sz w:val="26"/>
              </w:rPr>
              <w:t>1520</w:t>
            </w:r>
          </w:p>
        </w:tc>
        <w:tc>
          <w:tcPr>
            <w:tcW w:w="6588" w:type="dxa"/>
            <w:tcBorders>
              <w:top w:val="nil"/>
              <w:left w:val="nil"/>
              <w:bottom w:val="nil"/>
              <w:right w:val="nil"/>
            </w:tcBorders>
          </w:tcPr>
          <w:p w14:paraId="10B7162F" w14:textId="77777777" w:rsidR="00053D93" w:rsidRDefault="00260B75">
            <w:pPr>
              <w:ind w:left="29"/>
            </w:pPr>
            <w:r>
              <w:rPr>
                <w:sz w:val="26"/>
              </w:rPr>
              <w:t>Procedimientos analíticos.</w:t>
            </w:r>
          </w:p>
        </w:tc>
      </w:tr>
      <w:tr w:rsidR="00053D93" w14:paraId="47A00C82" w14:textId="77777777">
        <w:trPr>
          <w:trHeight w:val="308"/>
        </w:trPr>
        <w:tc>
          <w:tcPr>
            <w:tcW w:w="1073" w:type="dxa"/>
            <w:tcBorders>
              <w:top w:val="nil"/>
              <w:left w:val="nil"/>
              <w:bottom w:val="nil"/>
              <w:right w:val="nil"/>
            </w:tcBorders>
          </w:tcPr>
          <w:p w14:paraId="12BA1355" w14:textId="77777777" w:rsidR="00053D93" w:rsidRDefault="00260B75">
            <w:pPr>
              <w:ind w:left="22"/>
            </w:pPr>
            <w:r>
              <w:rPr>
                <w:sz w:val="28"/>
              </w:rPr>
              <w:t>ISSAI.GT</w:t>
            </w:r>
          </w:p>
        </w:tc>
        <w:tc>
          <w:tcPr>
            <w:tcW w:w="655" w:type="dxa"/>
            <w:tcBorders>
              <w:top w:val="nil"/>
              <w:left w:val="nil"/>
              <w:bottom w:val="nil"/>
              <w:right w:val="nil"/>
            </w:tcBorders>
          </w:tcPr>
          <w:p w14:paraId="078455DC" w14:textId="77777777" w:rsidR="00053D93" w:rsidRDefault="00260B75">
            <w:pPr>
              <w:ind w:left="43"/>
            </w:pPr>
            <w:r>
              <w:rPr>
                <w:rFonts w:ascii="Times New Roman" w:eastAsia="Times New Roman" w:hAnsi="Times New Roman" w:cs="Times New Roman"/>
                <w:sz w:val="26"/>
              </w:rPr>
              <w:t>1530</w:t>
            </w:r>
          </w:p>
        </w:tc>
        <w:tc>
          <w:tcPr>
            <w:tcW w:w="6588" w:type="dxa"/>
            <w:tcBorders>
              <w:top w:val="nil"/>
              <w:left w:val="nil"/>
              <w:bottom w:val="nil"/>
              <w:right w:val="nil"/>
            </w:tcBorders>
          </w:tcPr>
          <w:p w14:paraId="7ADE9250" w14:textId="77777777" w:rsidR="00053D93" w:rsidRDefault="00260B75">
            <w:pPr>
              <w:ind w:left="29"/>
            </w:pPr>
            <w:r>
              <w:rPr>
                <w:sz w:val="24"/>
              </w:rPr>
              <w:t>Muestreo de auditoría.</w:t>
            </w:r>
          </w:p>
        </w:tc>
      </w:tr>
      <w:tr w:rsidR="00053D93" w14:paraId="3AADCD3F" w14:textId="77777777">
        <w:trPr>
          <w:trHeight w:val="617"/>
        </w:trPr>
        <w:tc>
          <w:tcPr>
            <w:tcW w:w="1073" w:type="dxa"/>
            <w:tcBorders>
              <w:top w:val="nil"/>
              <w:left w:val="nil"/>
              <w:bottom w:val="nil"/>
              <w:right w:val="nil"/>
            </w:tcBorders>
          </w:tcPr>
          <w:p w14:paraId="620CC465" w14:textId="77777777" w:rsidR="00053D93" w:rsidRDefault="00260B75">
            <w:pPr>
              <w:ind w:left="22"/>
            </w:pPr>
            <w:r>
              <w:rPr>
                <w:sz w:val="28"/>
              </w:rPr>
              <w:t>ISSAI.GT</w:t>
            </w:r>
          </w:p>
        </w:tc>
        <w:tc>
          <w:tcPr>
            <w:tcW w:w="655" w:type="dxa"/>
            <w:tcBorders>
              <w:top w:val="nil"/>
              <w:left w:val="nil"/>
              <w:bottom w:val="nil"/>
              <w:right w:val="nil"/>
            </w:tcBorders>
          </w:tcPr>
          <w:p w14:paraId="1ED7497C" w14:textId="77777777" w:rsidR="00053D93" w:rsidRDefault="00260B75">
            <w:pPr>
              <w:ind w:left="43"/>
            </w:pPr>
            <w:r>
              <w:rPr>
                <w:rFonts w:ascii="Times New Roman" w:eastAsia="Times New Roman" w:hAnsi="Times New Roman" w:cs="Times New Roman"/>
                <w:sz w:val="26"/>
              </w:rPr>
              <w:t>1540</w:t>
            </w:r>
          </w:p>
        </w:tc>
        <w:tc>
          <w:tcPr>
            <w:tcW w:w="6588" w:type="dxa"/>
            <w:tcBorders>
              <w:top w:val="nil"/>
              <w:left w:val="nil"/>
              <w:bottom w:val="nil"/>
              <w:right w:val="nil"/>
            </w:tcBorders>
          </w:tcPr>
          <w:p w14:paraId="442AD803" w14:textId="77777777" w:rsidR="00053D93" w:rsidRDefault="00260B75">
            <w:pPr>
              <w:ind w:left="14" w:hanging="7"/>
              <w:jc w:val="both"/>
            </w:pPr>
            <w:r>
              <w:rPr>
                <w:sz w:val="26"/>
              </w:rPr>
              <w:t>Auditoría de estimaciones contables, incluido el valor razonable, e información relacionada.</w:t>
            </w:r>
          </w:p>
        </w:tc>
      </w:tr>
      <w:tr w:rsidR="00053D93" w14:paraId="36EB38F6" w14:textId="77777777">
        <w:trPr>
          <w:trHeight w:val="305"/>
        </w:trPr>
        <w:tc>
          <w:tcPr>
            <w:tcW w:w="1073" w:type="dxa"/>
            <w:tcBorders>
              <w:top w:val="nil"/>
              <w:left w:val="nil"/>
              <w:bottom w:val="nil"/>
              <w:right w:val="nil"/>
            </w:tcBorders>
          </w:tcPr>
          <w:p w14:paraId="38A7C1C7" w14:textId="77777777" w:rsidR="00053D93" w:rsidRDefault="00260B75">
            <w:pPr>
              <w:ind w:left="14"/>
            </w:pPr>
            <w:r>
              <w:rPr>
                <w:sz w:val="30"/>
              </w:rPr>
              <w:t>ISSAI.GT</w:t>
            </w:r>
          </w:p>
        </w:tc>
        <w:tc>
          <w:tcPr>
            <w:tcW w:w="655" w:type="dxa"/>
            <w:tcBorders>
              <w:top w:val="nil"/>
              <w:left w:val="nil"/>
              <w:bottom w:val="nil"/>
              <w:right w:val="nil"/>
            </w:tcBorders>
          </w:tcPr>
          <w:p w14:paraId="16C1CB9C" w14:textId="77777777" w:rsidR="00053D93" w:rsidRDefault="00260B75">
            <w:pPr>
              <w:ind w:left="43"/>
            </w:pPr>
            <w:r>
              <w:rPr>
                <w:rFonts w:ascii="Times New Roman" w:eastAsia="Times New Roman" w:hAnsi="Times New Roman" w:cs="Times New Roman"/>
                <w:sz w:val="26"/>
              </w:rPr>
              <w:t>1550</w:t>
            </w:r>
          </w:p>
        </w:tc>
        <w:tc>
          <w:tcPr>
            <w:tcW w:w="6588" w:type="dxa"/>
            <w:tcBorders>
              <w:top w:val="nil"/>
              <w:left w:val="nil"/>
              <w:bottom w:val="nil"/>
              <w:right w:val="nil"/>
            </w:tcBorders>
          </w:tcPr>
          <w:p w14:paraId="23ACCAC2" w14:textId="77777777" w:rsidR="00053D93" w:rsidRDefault="00260B75">
            <w:pPr>
              <w:ind w:left="22"/>
            </w:pPr>
            <w:r>
              <w:rPr>
                <w:sz w:val="26"/>
              </w:rPr>
              <w:t>Partes vinculadas.</w:t>
            </w:r>
          </w:p>
        </w:tc>
      </w:tr>
      <w:tr w:rsidR="00053D93" w14:paraId="4C8211BD" w14:textId="77777777">
        <w:trPr>
          <w:trHeight w:val="312"/>
        </w:trPr>
        <w:tc>
          <w:tcPr>
            <w:tcW w:w="1073" w:type="dxa"/>
            <w:tcBorders>
              <w:top w:val="nil"/>
              <w:left w:val="nil"/>
              <w:bottom w:val="nil"/>
              <w:right w:val="nil"/>
            </w:tcBorders>
          </w:tcPr>
          <w:p w14:paraId="78F50FF4" w14:textId="77777777" w:rsidR="00053D93" w:rsidRDefault="00260B75">
            <w:pPr>
              <w:ind w:left="14"/>
            </w:pPr>
            <w:r>
              <w:rPr>
                <w:sz w:val="30"/>
              </w:rPr>
              <w:t>ISSAI.GT</w:t>
            </w:r>
          </w:p>
        </w:tc>
        <w:tc>
          <w:tcPr>
            <w:tcW w:w="655" w:type="dxa"/>
            <w:tcBorders>
              <w:top w:val="nil"/>
              <w:left w:val="nil"/>
              <w:bottom w:val="nil"/>
              <w:right w:val="nil"/>
            </w:tcBorders>
          </w:tcPr>
          <w:p w14:paraId="6C71F4A1" w14:textId="77777777" w:rsidR="00053D93" w:rsidRDefault="00260B75">
            <w:pPr>
              <w:ind w:left="36"/>
            </w:pPr>
            <w:r>
              <w:rPr>
                <w:rFonts w:ascii="Times New Roman" w:eastAsia="Times New Roman" w:hAnsi="Times New Roman" w:cs="Times New Roman"/>
                <w:sz w:val="26"/>
              </w:rPr>
              <w:t>1560</w:t>
            </w:r>
          </w:p>
        </w:tc>
        <w:tc>
          <w:tcPr>
            <w:tcW w:w="6588" w:type="dxa"/>
            <w:tcBorders>
              <w:top w:val="nil"/>
              <w:left w:val="nil"/>
              <w:bottom w:val="nil"/>
              <w:right w:val="nil"/>
            </w:tcBorders>
          </w:tcPr>
          <w:p w14:paraId="6AC2C164" w14:textId="77777777" w:rsidR="00053D93" w:rsidRDefault="00260B75">
            <w:pPr>
              <w:ind w:left="22"/>
            </w:pPr>
            <w:r>
              <w:rPr>
                <w:sz w:val="26"/>
              </w:rPr>
              <w:t>Hechos posteriores.</w:t>
            </w:r>
          </w:p>
        </w:tc>
      </w:tr>
      <w:tr w:rsidR="00053D93" w14:paraId="7279605A" w14:textId="77777777">
        <w:trPr>
          <w:trHeight w:val="292"/>
        </w:trPr>
        <w:tc>
          <w:tcPr>
            <w:tcW w:w="1073" w:type="dxa"/>
            <w:tcBorders>
              <w:top w:val="nil"/>
              <w:left w:val="nil"/>
              <w:bottom w:val="nil"/>
              <w:right w:val="nil"/>
            </w:tcBorders>
          </w:tcPr>
          <w:p w14:paraId="34EF5587" w14:textId="77777777" w:rsidR="00053D93" w:rsidRDefault="00260B75">
            <w:pPr>
              <w:ind w:left="14"/>
            </w:pPr>
            <w:r>
              <w:rPr>
                <w:sz w:val="28"/>
              </w:rPr>
              <w:t>ISSAI.GT</w:t>
            </w:r>
          </w:p>
        </w:tc>
        <w:tc>
          <w:tcPr>
            <w:tcW w:w="655" w:type="dxa"/>
            <w:tcBorders>
              <w:top w:val="nil"/>
              <w:left w:val="nil"/>
              <w:bottom w:val="nil"/>
              <w:right w:val="nil"/>
            </w:tcBorders>
          </w:tcPr>
          <w:p w14:paraId="5CB0FC06" w14:textId="77777777" w:rsidR="00053D93" w:rsidRDefault="00260B75">
            <w:pPr>
              <w:ind w:left="36"/>
            </w:pPr>
            <w:r>
              <w:rPr>
                <w:rFonts w:ascii="Times New Roman" w:eastAsia="Times New Roman" w:hAnsi="Times New Roman" w:cs="Times New Roman"/>
                <w:sz w:val="26"/>
              </w:rPr>
              <w:t>1580</w:t>
            </w:r>
          </w:p>
        </w:tc>
        <w:tc>
          <w:tcPr>
            <w:tcW w:w="6588" w:type="dxa"/>
            <w:tcBorders>
              <w:top w:val="nil"/>
              <w:left w:val="nil"/>
              <w:bottom w:val="nil"/>
              <w:right w:val="nil"/>
            </w:tcBorders>
          </w:tcPr>
          <w:p w14:paraId="0CC1662C" w14:textId="77777777" w:rsidR="00053D93" w:rsidRDefault="00260B75">
            <w:pPr>
              <w:ind w:left="22"/>
            </w:pPr>
            <w:r>
              <w:rPr>
                <w:sz w:val="26"/>
              </w:rPr>
              <w:t>Manifestaciones escritas.</w:t>
            </w:r>
          </w:p>
        </w:tc>
      </w:tr>
      <w:tr w:rsidR="00053D93" w14:paraId="207F0BEA" w14:textId="77777777">
        <w:trPr>
          <w:trHeight w:val="631"/>
        </w:trPr>
        <w:tc>
          <w:tcPr>
            <w:tcW w:w="1073" w:type="dxa"/>
            <w:tcBorders>
              <w:top w:val="nil"/>
              <w:left w:val="nil"/>
              <w:bottom w:val="nil"/>
              <w:right w:val="nil"/>
            </w:tcBorders>
          </w:tcPr>
          <w:p w14:paraId="357249A4" w14:textId="77777777" w:rsidR="00053D93" w:rsidRDefault="00260B75">
            <w:pPr>
              <w:ind w:left="14"/>
            </w:pPr>
            <w:r>
              <w:rPr>
                <w:sz w:val="28"/>
              </w:rPr>
              <w:t>ISSAI.GT</w:t>
            </w:r>
          </w:p>
        </w:tc>
        <w:tc>
          <w:tcPr>
            <w:tcW w:w="655" w:type="dxa"/>
            <w:tcBorders>
              <w:top w:val="nil"/>
              <w:left w:val="nil"/>
              <w:bottom w:val="nil"/>
              <w:right w:val="nil"/>
            </w:tcBorders>
          </w:tcPr>
          <w:p w14:paraId="7C7FF69C" w14:textId="77777777" w:rsidR="00053D93" w:rsidRDefault="00260B75">
            <w:pPr>
              <w:ind w:left="36"/>
            </w:pPr>
            <w:r>
              <w:rPr>
                <w:rFonts w:ascii="Times New Roman" w:eastAsia="Times New Roman" w:hAnsi="Times New Roman" w:cs="Times New Roman"/>
                <w:sz w:val="26"/>
              </w:rPr>
              <w:t>1600</w:t>
            </w:r>
          </w:p>
        </w:tc>
        <w:tc>
          <w:tcPr>
            <w:tcW w:w="6588" w:type="dxa"/>
            <w:tcBorders>
              <w:top w:val="nil"/>
              <w:left w:val="nil"/>
              <w:bottom w:val="nil"/>
              <w:right w:val="nil"/>
            </w:tcBorders>
          </w:tcPr>
          <w:p w14:paraId="5424BD4D" w14:textId="77777777" w:rsidR="00053D93" w:rsidRDefault="00260B75">
            <w:pPr>
              <w:ind w:left="14"/>
              <w:jc w:val="both"/>
            </w:pPr>
            <w:r>
              <w:rPr>
                <w:sz w:val="26"/>
              </w:rPr>
              <w:t>Consideraciones específicas Auditorías de Estados Financieros correspondientes a un grupo.</w:t>
            </w:r>
          </w:p>
        </w:tc>
      </w:tr>
      <w:tr w:rsidR="00053D93" w14:paraId="78AB5C14" w14:textId="77777777">
        <w:trPr>
          <w:trHeight w:val="292"/>
        </w:trPr>
        <w:tc>
          <w:tcPr>
            <w:tcW w:w="1073" w:type="dxa"/>
            <w:tcBorders>
              <w:top w:val="nil"/>
              <w:left w:val="nil"/>
              <w:bottom w:val="nil"/>
              <w:right w:val="nil"/>
            </w:tcBorders>
          </w:tcPr>
          <w:p w14:paraId="44F8DAC9" w14:textId="77777777" w:rsidR="00053D93" w:rsidRDefault="00260B75">
            <w:pPr>
              <w:ind w:left="14"/>
            </w:pPr>
            <w:r>
              <w:rPr>
                <w:sz w:val="28"/>
              </w:rPr>
              <w:t>ISSAI.GT</w:t>
            </w:r>
          </w:p>
        </w:tc>
        <w:tc>
          <w:tcPr>
            <w:tcW w:w="655" w:type="dxa"/>
            <w:tcBorders>
              <w:top w:val="nil"/>
              <w:left w:val="nil"/>
              <w:bottom w:val="nil"/>
              <w:right w:val="nil"/>
            </w:tcBorders>
          </w:tcPr>
          <w:p w14:paraId="19EE3580" w14:textId="77777777" w:rsidR="00053D93" w:rsidRDefault="00260B75">
            <w:pPr>
              <w:ind w:left="36"/>
            </w:pPr>
            <w:r>
              <w:rPr>
                <w:rFonts w:ascii="Times New Roman" w:eastAsia="Times New Roman" w:hAnsi="Times New Roman" w:cs="Times New Roman"/>
                <w:sz w:val="26"/>
              </w:rPr>
              <w:t>1610</w:t>
            </w:r>
          </w:p>
        </w:tc>
        <w:tc>
          <w:tcPr>
            <w:tcW w:w="6588" w:type="dxa"/>
            <w:tcBorders>
              <w:top w:val="nil"/>
              <w:left w:val="nil"/>
              <w:bottom w:val="nil"/>
              <w:right w:val="nil"/>
            </w:tcBorders>
          </w:tcPr>
          <w:p w14:paraId="6287393A" w14:textId="77777777" w:rsidR="00053D93" w:rsidRDefault="00260B75">
            <w:pPr>
              <w:ind w:left="22"/>
            </w:pPr>
            <w:r>
              <w:rPr>
                <w:sz w:val="26"/>
              </w:rPr>
              <w:t>Utilización del trabajo de los auditores internos.</w:t>
            </w:r>
          </w:p>
        </w:tc>
      </w:tr>
      <w:tr w:rsidR="00053D93" w14:paraId="6D436171" w14:textId="77777777">
        <w:trPr>
          <w:trHeight w:val="315"/>
        </w:trPr>
        <w:tc>
          <w:tcPr>
            <w:tcW w:w="1073" w:type="dxa"/>
            <w:tcBorders>
              <w:top w:val="nil"/>
              <w:left w:val="nil"/>
              <w:bottom w:val="nil"/>
              <w:right w:val="nil"/>
            </w:tcBorders>
          </w:tcPr>
          <w:p w14:paraId="60F86EB0" w14:textId="77777777" w:rsidR="00053D93" w:rsidRDefault="00260B75">
            <w:pPr>
              <w:ind w:left="7"/>
            </w:pPr>
            <w:r>
              <w:rPr>
                <w:sz w:val="30"/>
              </w:rPr>
              <w:t>ISSAI.GT</w:t>
            </w:r>
          </w:p>
        </w:tc>
        <w:tc>
          <w:tcPr>
            <w:tcW w:w="655" w:type="dxa"/>
            <w:tcBorders>
              <w:top w:val="nil"/>
              <w:left w:val="nil"/>
              <w:bottom w:val="nil"/>
              <w:right w:val="nil"/>
            </w:tcBorders>
          </w:tcPr>
          <w:p w14:paraId="35BB46DB" w14:textId="77777777" w:rsidR="00053D93" w:rsidRDefault="00260B75">
            <w:pPr>
              <w:ind w:left="36"/>
            </w:pPr>
            <w:r>
              <w:rPr>
                <w:rFonts w:ascii="Times New Roman" w:eastAsia="Times New Roman" w:hAnsi="Times New Roman" w:cs="Times New Roman"/>
                <w:sz w:val="26"/>
              </w:rPr>
              <w:t>1620</w:t>
            </w:r>
          </w:p>
        </w:tc>
        <w:tc>
          <w:tcPr>
            <w:tcW w:w="6588" w:type="dxa"/>
            <w:tcBorders>
              <w:top w:val="nil"/>
              <w:left w:val="nil"/>
              <w:bottom w:val="nil"/>
              <w:right w:val="nil"/>
            </w:tcBorders>
          </w:tcPr>
          <w:p w14:paraId="6C9A0F21" w14:textId="77777777" w:rsidR="00053D93" w:rsidRDefault="00260B75">
            <w:pPr>
              <w:ind w:left="22"/>
            </w:pPr>
            <w:r>
              <w:rPr>
                <w:sz w:val="26"/>
              </w:rPr>
              <w:t>Utilización del trabajo de un experto.</w:t>
            </w:r>
          </w:p>
        </w:tc>
      </w:tr>
      <w:tr w:rsidR="00053D93" w14:paraId="6ED94C58" w14:textId="77777777">
        <w:trPr>
          <w:trHeight w:val="591"/>
        </w:trPr>
        <w:tc>
          <w:tcPr>
            <w:tcW w:w="1073" w:type="dxa"/>
            <w:tcBorders>
              <w:top w:val="nil"/>
              <w:left w:val="nil"/>
              <w:bottom w:val="nil"/>
              <w:right w:val="nil"/>
            </w:tcBorders>
          </w:tcPr>
          <w:p w14:paraId="4CFE2103" w14:textId="77777777" w:rsidR="00053D93" w:rsidRDefault="00260B75">
            <w:pPr>
              <w:ind w:left="7"/>
            </w:pPr>
            <w:r>
              <w:rPr>
                <w:sz w:val="28"/>
              </w:rPr>
              <w:t>ISSAI.GT</w:t>
            </w:r>
          </w:p>
        </w:tc>
        <w:tc>
          <w:tcPr>
            <w:tcW w:w="655" w:type="dxa"/>
            <w:tcBorders>
              <w:top w:val="nil"/>
              <w:left w:val="nil"/>
              <w:bottom w:val="nil"/>
              <w:right w:val="nil"/>
            </w:tcBorders>
          </w:tcPr>
          <w:p w14:paraId="4C455EC2" w14:textId="77777777" w:rsidR="00053D93" w:rsidRDefault="00260B75">
            <w:pPr>
              <w:ind w:left="29"/>
            </w:pPr>
            <w:r>
              <w:rPr>
                <w:rFonts w:ascii="Times New Roman" w:eastAsia="Times New Roman" w:hAnsi="Times New Roman" w:cs="Times New Roman"/>
                <w:sz w:val="26"/>
              </w:rPr>
              <w:t>1700</w:t>
            </w:r>
          </w:p>
        </w:tc>
        <w:tc>
          <w:tcPr>
            <w:tcW w:w="6588" w:type="dxa"/>
            <w:tcBorders>
              <w:top w:val="nil"/>
              <w:left w:val="nil"/>
              <w:bottom w:val="nil"/>
              <w:right w:val="nil"/>
            </w:tcBorders>
          </w:tcPr>
          <w:p w14:paraId="1C511D2F" w14:textId="77777777" w:rsidR="00053D93" w:rsidRDefault="00260B75">
            <w:pPr>
              <w:ind w:left="7" w:firstLine="7"/>
              <w:jc w:val="both"/>
            </w:pPr>
            <w:r>
              <w:rPr>
                <w:sz w:val="26"/>
              </w:rPr>
              <w:t>Formación de una opinión y elaboración del informe sobre los estados financieros.</w:t>
            </w:r>
          </w:p>
        </w:tc>
      </w:tr>
      <w:tr w:rsidR="00053D93" w14:paraId="00641F5D" w14:textId="77777777">
        <w:trPr>
          <w:trHeight w:val="629"/>
        </w:trPr>
        <w:tc>
          <w:tcPr>
            <w:tcW w:w="1073" w:type="dxa"/>
            <w:tcBorders>
              <w:top w:val="nil"/>
              <w:left w:val="nil"/>
              <w:bottom w:val="nil"/>
              <w:right w:val="nil"/>
            </w:tcBorders>
          </w:tcPr>
          <w:p w14:paraId="2152B59F" w14:textId="77777777" w:rsidR="00053D93" w:rsidRDefault="00260B75">
            <w:pPr>
              <w:ind w:left="7"/>
            </w:pPr>
            <w:r>
              <w:rPr>
                <w:sz w:val="28"/>
              </w:rPr>
              <w:t>ISSAI.GT</w:t>
            </w:r>
          </w:p>
        </w:tc>
        <w:tc>
          <w:tcPr>
            <w:tcW w:w="655" w:type="dxa"/>
            <w:tcBorders>
              <w:top w:val="nil"/>
              <w:left w:val="nil"/>
              <w:bottom w:val="nil"/>
              <w:right w:val="nil"/>
            </w:tcBorders>
          </w:tcPr>
          <w:p w14:paraId="7D0E4CBB" w14:textId="77777777" w:rsidR="00053D93" w:rsidRDefault="00260B75">
            <w:pPr>
              <w:ind w:left="29"/>
            </w:pPr>
            <w:r>
              <w:rPr>
                <w:rFonts w:ascii="Times New Roman" w:eastAsia="Times New Roman" w:hAnsi="Times New Roman" w:cs="Times New Roman"/>
                <w:sz w:val="26"/>
              </w:rPr>
              <w:t>1705</w:t>
            </w:r>
          </w:p>
        </w:tc>
        <w:tc>
          <w:tcPr>
            <w:tcW w:w="6588" w:type="dxa"/>
            <w:tcBorders>
              <w:top w:val="nil"/>
              <w:left w:val="nil"/>
              <w:bottom w:val="nil"/>
              <w:right w:val="nil"/>
            </w:tcBorders>
          </w:tcPr>
          <w:p w14:paraId="28A29613" w14:textId="77777777" w:rsidR="00053D93" w:rsidRDefault="00260B75">
            <w:pPr>
              <w:ind w:left="7"/>
            </w:pPr>
            <w:r>
              <w:rPr>
                <w:sz w:val="26"/>
              </w:rPr>
              <w:t>Modificaciones a la opinión en el informe del auditor independiente.</w:t>
            </w:r>
          </w:p>
        </w:tc>
      </w:tr>
      <w:tr w:rsidR="00053D93" w14:paraId="08E14562" w14:textId="77777777">
        <w:trPr>
          <w:trHeight w:val="605"/>
        </w:trPr>
        <w:tc>
          <w:tcPr>
            <w:tcW w:w="1073" w:type="dxa"/>
            <w:tcBorders>
              <w:top w:val="nil"/>
              <w:left w:val="nil"/>
              <w:bottom w:val="nil"/>
              <w:right w:val="nil"/>
            </w:tcBorders>
          </w:tcPr>
          <w:p w14:paraId="1C13D8B4" w14:textId="77777777" w:rsidR="00053D93" w:rsidRDefault="00260B75">
            <w:r>
              <w:rPr>
                <w:sz w:val="30"/>
              </w:rPr>
              <w:t>ISSAI.GT</w:t>
            </w:r>
          </w:p>
        </w:tc>
        <w:tc>
          <w:tcPr>
            <w:tcW w:w="655" w:type="dxa"/>
            <w:tcBorders>
              <w:top w:val="nil"/>
              <w:left w:val="nil"/>
              <w:bottom w:val="nil"/>
              <w:right w:val="nil"/>
            </w:tcBorders>
          </w:tcPr>
          <w:p w14:paraId="406D216C" w14:textId="77777777" w:rsidR="00053D93" w:rsidRDefault="00260B75">
            <w:pPr>
              <w:ind w:left="22"/>
            </w:pPr>
            <w:r>
              <w:rPr>
                <w:rFonts w:ascii="Times New Roman" w:eastAsia="Times New Roman" w:hAnsi="Times New Roman" w:cs="Times New Roman"/>
                <w:sz w:val="26"/>
              </w:rPr>
              <w:t>1706</w:t>
            </w:r>
          </w:p>
        </w:tc>
        <w:tc>
          <w:tcPr>
            <w:tcW w:w="6588" w:type="dxa"/>
            <w:tcBorders>
              <w:top w:val="nil"/>
              <w:left w:val="nil"/>
              <w:bottom w:val="nil"/>
              <w:right w:val="nil"/>
            </w:tcBorders>
          </w:tcPr>
          <w:p w14:paraId="35A7FEA8" w14:textId="77777777" w:rsidR="00053D93" w:rsidRDefault="00260B75">
            <w:pPr>
              <w:ind w:firstLine="7"/>
            </w:pPr>
            <w:r>
              <w:rPr>
                <w:sz w:val="26"/>
              </w:rPr>
              <w:t>Párrafos de énfasis y párrafos sobre otros asuntos en el informe del auditor independiente.</w:t>
            </w:r>
          </w:p>
        </w:tc>
      </w:tr>
      <w:tr w:rsidR="00053D93" w14:paraId="62BDA8DB" w14:textId="77777777">
        <w:trPr>
          <w:trHeight w:val="285"/>
        </w:trPr>
        <w:tc>
          <w:tcPr>
            <w:tcW w:w="1073" w:type="dxa"/>
            <w:tcBorders>
              <w:top w:val="nil"/>
              <w:left w:val="nil"/>
              <w:bottom w:val="nil"/>
              <w:right w:val="nil"/>
            </w:tcBorders>
          </w:tcPr>
          <w:p w14:paraId="452F659E" w14:textId="77777777" w:rsidR="00053D93" w:rsidRDefault="00260B75">
            <w:r>
              <w:rPr>
                <w:sz w:val="28"/>
              </w:rPr>
              <w:t>ISSAI.GT</w:t>
            </w:r>
          </w:p>
        </w:tc>
        <w:tc>
          <w:tcPr>
            <w:tcW w:w="655" w:type="dxa"/>
            <w:tcBorders>
              <w:top w:val="nil"/>
              <w:left w:val="nil"/>
              <w:bottom w:val="nil"/>
              <w:right w:val="nil"/>
            </w:tcBorders>
          </w:tcPr>
          <w:p w14:paraId="465A2DE6" w14:textId="77777777" w:rsidR="00053D93" w:rsidRDefault="00260B75">
            <w:r>
              <w:rPr>
                <w:rFonts w:ascii="Times New Roman" w:eastAsia="Times New Roman" w:hAnsi="Times New Roman" w:cs="Times New Roman"/>
                <w:sz w:val="26"/>
              </w:rPr>
              <w:t>4000</w:t>
            </w:r>
          </w:p>
        </w:tc>
        <w:tc>
          <w:tcPr>
            <w:tcW w:w="6588" w:type="dxa"/>
            <w:tcBorders>
              <w:top w:val="nil"/>
              <w:left w:val="nil"/>
              <w:bottom w:val="nil"/>
              <w:right w:val="nil"/>
            </w:tcBorders>
          </w:tcPr>
          <w:p w14:paraId="0C9F9FAF" w14:textId="77777777" w:rsidR="00053D93" w:rsidRDefault="00260B75">
            <w:pPr>
              <w:ind w:left="7"/>
            </w:pPr>
            <w:r>
              <w:rPr>
                <w:sz w:val="26"/>
              </w:rPr>
              <w:t>Norma para las auditorías de cumplimiento.</w:t>
            </w:r>
          </w:p>
        </w:tc>
      </w:tr>
    </w:tbl>
    <w:p w14:paraId="2103C0D0" w14:textId="77777777" w:rsidR="00053D93" w:rsidRDefault="00260B75">
      <w:pPr>
        <w:pStyle w:val="Ttulo1"/>
        <w:spacing w:after="308"/>
        <w:ind w:left="1687" w:right="7"/>
      </w:pPr>
      <w:r>
        <w:t>4. NIVEL DE SEGURIDAD</w:t>
      </w:r>
    </w:p>
    <w:p w14:paraId="2808AA94" w14:textId="77777777" w:rsidR="00053D93" w:rsidRDefault="00260B75">
      <w:pPr>
        <w:spacing w:after="309" w:line="290" w:lineRule="auto"/>
        <w:ind w:left="1670" w:firstLine="19"/>
      </w:pPr>
      <w:r>
        <w:rPr>
          <w:sz w:val="26"/>
        </w:rPr>
        <w:t>La auditoría se realizó con nivel de seguridad razonable, es decir, con un nivel de seguridad elevado; pero no completo, debido a las limitaciones inherentes de una auditoría.</w:t>
      </w:r>
    </w:p>
    <w:p w14:paraId="6F84C063" w14:textId="77777777" w:rsidR="00053D93" w:rsidRDefault="00260B75">
      <w:pPr>
        <w:spacing w:after="17" w:line="247" w:lineRule="auto"/>
        <w:ind w:left="14" w:right="14" w:firstLine="1670"/>
        <w:jc w:val="both"/>
      </w:pPr>
      <w:r>
        <w:rPr>
          <w:sz w:val="26"/>
        </w:rPr>
        <w:t xml:space="preserve">La auditoría de seguridad razonable comprendió el análisis de riesgos efectuado a </w:t>
      </w:r>
      <w:r>
        <w:rPr>
          <w:rFonts w:ascii="Times New Roman" w:eastAsia="Times New Roman" w:hAnsi="Times New Roman" w:cs="Times New Roman"/>
          <w:sz w:val="26"/>
        </w:rPr>
        <w:t xml:space="preserve">1 </w:t>
      </w:r>
      <w:r>
        <w:rPr>
          <w:sz w:val="26"/>
        </w:rPr>
        <w:t>través de la evaluación del control interno, la aplicación de procedimientos para</w:t>
      </w:r>
    </w:p>
    <w:p w14:paraId="52D580E3" w14:textId="77777777" w:rsidR="00053D93" w:rsidRDefault="00260B75">
      <w:pPr>
        <w:spacing w:after="4" w:line="267" w:lineRule="auto"/>
        <w:ind w:left="18" w:right="21" w:hanging="4"/>
        <w:jc w:val="right"/>
      </w:pPr>
      <w:r>
        <w:rPr>
          <w:sz w:val="26"/>
        </w:rPr>
        <w:t>hacer frente a éstos y una valoración de la suficiencia e idoneidad de la evidencia</w:t>
      </w:r>
    </w:p>
    <w:p w14:paraId="63BE6618" w14:textId="77777777" w:rsidR="00053D93" w:rsidRDefault="00260B75">
      <w:pPr>
        <w:spacing w:after="276" w:line="252" w:lineRule="auto"/>
        <w:ind w:left="1673" w:hanging="10"/>
        <w:jc w:val="both"/>
      </w:pPr>
      <w:r>
        <w:rPr>
          <w:sz w:val="24"/>
        </w:rPr>
        <w:t>obtenida.</w:t>
      </w:r>
    </w:p>
    <w:p w14:paraId="1A5F9A8F" w14:textId="77777777" w:rsidR="00053D93" w:rsidRDefault="00260B75">
      <w:pPr>
        <w:spacing w:after="3"/>
        <w:ind w:left="24" w:hanging="10"/>
      </w:pPr>
      <w:r>
        <w:rPr>
          <w:rFonts w:ascii="Times New Roman" w:eastAsia="Times New Roman" w:hAnsi="Times New Roman" w:cs="Times New Roman"/>
          <w:sz w:val="86"/>
        </w:rPr>
        <w:t>1</w:t>
      </w:r>
    </w:p>
    <w:tbl>
      <w:tblPr>
        <w:tblStyle w:val="TableGrid"/>
        <w:tblW w:w="9418" w:type="dxa"/>
        <w:tblInd w:w="706" w:type="dxa"/>
        <w:tblLook w:val="04A0" w:firstRow="1" w:lastRow="0" w:firstColumn="1" w:lastColumn="0" w:noHBand="0" w:noVBand="1"/>
      </w:tblPr>
      <w:tblGrid>
        <w:gridCol w:w="1230"/>
        <w:gridCol w:w="8222"/>
      </w:tblGrid>
      <w:tr w:rsidR="00053D93" w14:paraId="739ED182" w14:textId="77777777">
        <w:trPr>
          <w:trHeight w:val="648"/>
        </w:trPr>
        <w:tc>
          <w:tcPr>
            <w:tcW w:w="1715" w:type="dxa"/>
            <w:tcBorders>
              <w:top w:val="nil"/>
              <w:left w:val="nil"/>
              <w:bottom w:val="nil"/>
              <w:right w:val="nil"/>
            </w:tcBorders>
          </w:tcPr>
          <w:p w14:paraId="60B932BE" w14:textId="77777777" w:rsidR="00053D93" w:rsidRDefault="00260B75">
            <w:r>
              <w:rPr>
                <w:noProof/>
              </w:rPr>
              <w:drawing>
                <wp:inline distT="0" distB="0" distL="0" distR="0" wp14:anchorId="7286F815" wp14:editId="3EE831B1">
                  <wp:extent cx="1060704" cy="411480"/>
                  <wp:effectExtent l="0" t="0" r="0" b="0"/>
                  <wp:docPr id="58630" name="Picture 58630"/>
                  <wp:cNvGraphicFramePr/>
                  <a:graphic xmlns:a="http://schemas.openxmlformats.org/drawingml/2006/main">
                    <a:graphicData uri="http://schemas.openxmlformats.org/drawingml/2006/picture">
                      <pic:pic xmlns:pic="http://schemas.openxmlformats.org/drawingml/2006/picture">
                        <pic:nvPicPr>
                          <pic:cNvPr id="58630" name="Picture 58630"/>
                          <pic:cNvPicPr/>
                        </pic:nvPicPr>
                        <pic:blipFill>
                          <a:blip r:embed="rId65"/>
                          <a:stretch>
                            <a:fillRect/>
                          </a:stretch>
                        </pic:blipFill>
                        <pic:spPr>
                          <a:xfrm>
                            <a:off x="0" y="0"/>
                            <a:ext cx="1060704" cy="411480"/>
                          </a:xfrm>
                          <a:prstGeom prst="rect">
                            <a:avLst/>
                          </a:prstGeom>
                        </pic:spPr>
                      </pic:pic>
                    </a:graphicData>
                  </a:graphic>
                </wp:inline>
              </w:drawing>
            </w:r>
          </w:p>
        </w:tc>
        <w:tc>
          <w:tcPr>
            <w:tcW w:w="7702" w:type="dxa"/>
            <w:tcBorders>
              <w:top w:val="nil"/>
              <w:left w:val="nil"/>
              <w:bottom w:val="nil"/>
              <w:right w:val="nil"/>
            </w:tcBorders>
          </w:tcPr>
          <w:p w14:paraId="3BDC9836" w14:textId="77777777" w:rsidR="00053D93" w:rsidRDefault="00053D93">
            <w:pPr>
              <w:ind w:left="-2767" w:right="10469"/>
            </w:pPr>
          </w:p>
          <w:tbl>
            <w:tblPr>
              <w:tblStyle w:val="TableGrid"/>
              <w:tblW w:w="7657" w:type="dxa"/>
              <w:tblInd w:w="45" w:type="dxa"/>
              <w:tblCellMar>
                <w:top w:w="22" w:type="dxa"/>
                <w:left w:w="1782" w:type="dxa"/>
                <w:right w:w="115" w:type="dxa"/>
              </w:tblCellMar>
              <w:tblLook w:val="04A0" w:firstRow="1" w:lastRow="0" w:firstColumn="1" w:lastColumn="0" w:noHBand="0" w:noVBand="1"/>
            </w:tblPr>
            <w:tblGrid>
              <w:gridCol w:w="7657"/>
            </w:tblGrid>
            <w:tr w:rsidR="00053D93" w14:paraId="5269B97C" w14:textId="77777777">
              <w:trPr>
                <w:trHeight w:val="50"/>
              </w:trPr>
              <w:tc>
                <w:tcPr>
                  <w:tcW w:w="7657" w:type="dxa"/>
                  <w:tcBorders>
                    <w:top w:val="nil"/>
                    <w:left w:val="single" w:sz="2" w:space="0" w:color="000000"/>
                    <w:bottom w:val="single" w:sz="2" w:space="0" w:color="000000"/>
                    <w:right w:val="nil"/>
                  </w:tcBorders>
                </w:tcPr>
                <w:p w14:paraId="18C82CC1" w14:textId="77777777" w:rsidR="00053D93" w:rsidRDefault="00053D93"/>
              </w:tc>
            </w:tr>
            <w:tr w:rsidR="00053D93" w14:paraId="2135C248" w14:textId="77777777">
              <w:trPr>
                <w:trHeight w:val="583"/>
              </w:trPr>
              <w:tc>
                <w:tcPr>
                  <w:tcW w:w="7657" w:type="dxa"/>
                  <w:tcBorders>
                    <w:top w:val="single" w:sz="2" w:space="0" w:color="000000"/>
                    <w:left w:val="single" w:sz="2" w:space="0" w:color="000000"/>
                    <w:bottom w:val="nil"/>
                    <w:right w:val="nil"/>
                  </w:tcBorders>
                </w:tcPr>
                <w:p w14:paraId="3CFDADED" w14:textId="77777777" w:rsidR="00053D93" w:rsidRDefault="00260B75">
                  <w:pPr>
                    <w:ind w:left="835"/>
                  </w:pPr>
                  <w:r>
                    <w:rPr>
                      <w:sz w:val="14"/>
                    </w:rPr>
                    <w:t>MINISTERIO DE EDUCACION</w:t>
                  </w:r>
                </w:p>
                <w:p w14:paraId="6B063BCE" w14:textId="77777777" w:rsidR="00053D93" w:rsidRDefault="00260B75">
                  <w:pPr>
                    <w:ind w:left="338"/>
                  </w:pPr>
                  <w:r>
                    <w:rPr>
                      <w:sz w:val="14"/>
                    </w:rPr>
                    <w:t>AUDITORIA FINANCIERA Y DE CUMPLIMIENTO</w:t>
                  </w:r>
                </w:p>
                <w:p w14:paraId="69313E73" w14:textId="77777777" w:rsidR="00053D93" w:rsidRDefault="00260B75">
                  <w:r>
                    <w:rPr>
                      <w:sz w:val="14"/>
                    </w:rPr>
                    <w:t>PERIODO DEL Dl DE ENERO AL 31 DE DICIEMBRE OE 2024</w:t>
                  </w:r>
                </w:p>
              </w:tc>
            </w:tr>
          </w:tbl>
          <w:p w14:paraId="266B0B57" w14:textId="77777777" w:rsidR="00053D93" w:rsidRDefault="00053D93"/>
        </w:tc>
      </w:tr>
    </w:tbl>
    <w:p w14:paraId="2ED85E51" w14:textId="77777777" w:rsidR="00053D93" w:rsidRDefault="00053D93">
      <w:pPr>
        <w:sectPr w:rsidR="00053D93">
          <w:headerReference w:type="even" r:id="rId66"/>
          <w:headerReference w:type="default" r:id="rId67"/>
          <w:footerReference w:type="even" r:id="rId68"/>
          <w:footerReference w:type="default" r:id="rId69"/>
          <w:headerReference w:type="first" r:id="rId70"/>
          <w:footerReference w:type="first" r:id="rId71"/>
          <w:pgSz w:w="12290" w:h="15912"/>
          <w:pgMar w:top="439" w:right="1786" w:bottom="230" w:left="346" w:header="662" w:footer="720" w:gutter="0"/>
          <w:cols w:space="720"/>
          <w:titlePg/>
        </w:sectPr>
      </w:pPr>
    </w:p>
    <w:p w14:paraId="3DA70718" w14:textId="77777777" w:rsidR="00053D93" w:rsidRDefault="00260B75">
      <w:pPr>
        <w:spacing w:after="178" w:line="265" w:lineRule="auto"/>
        <w:ind w:left="1846" w:right="115" w:hanging="10"/>
        <w:jc w:val="center"/>
      </w:pPr>
      <w:r>
        <w:rPr>
          <w:rFonts w:ascii="Times New Roman" w:eastAsia="Times New Roman" w:hAnsi="Times New Roman" w:cs="Times New Roman"/>
          <w:sz w:val="14"/>
        </w:rPr>
        <w:lastRenderedPageBreak/>
        <w:t>5</w:t>
      </w:r>
    </w:p>
    <w:p w14:paraId="4BC7EA00" w14:textId="77777777" w:rsidR="00053D93" w:rsidRDefault="00260B75">
      <w:pPr>
        <w:spacing w:after="38"/>
        <w:ind w:left="1721" w:right="-22"/>
      </w:pPr>
      <w:r>
        <w:rPr>
          <w:noProof/>
        </w:rPr>
        <mc:AlternateContent>
          <mc:Choice Requires="wpg">
            <w:drawing>
              <wp:inline distT="0" distB="0" distL="0" distR="0" wp14:anchorId="6CC73B13" wp14:editId="323237B2">
                <wp:extent cx="5381245" cy="9144"/>
                <wp:effectExtent l="0" t="0" r="0" b="0"/>
                <wp:docPr id="2458120" name="Group 2458120"/>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119" name="Shape 2458119"/>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20" style="width:423.72pt;height:0.720001pt;mso-position-horizontal-relative:char;mso-position-vertical-relative:line" coordsize="53812,91">
                <v:shape id="Shape 2458119" style="position:absolute;width:53812;height:91;left:0;top:0;" coordsize="5381245,9144" path="m0,4572l5381245,4572">
                  <v:stroke weight="0.720001pt" endcap="flat" joinstyle="miter" miterlimit="1" on="true" color="#000000"/>
                  <v:fill on="false" color="#000000"/>
                </v:shape>
              </v:group>
            </w:pict>
          </mc:Fallback>
        </mc:AlternateContent>
      </w:r>
    </w:p>
    <w:p w14:paraId="4F68EA60" w14:textId="77777777" w:rsidR="00053D93" w:rsidRDefault="00260B75">
      <w:pPr>
        <w:pStyle w:val="Ttulo1"/>
        <w:tabs>
          <w:tab w:val="center" w:pos="4320"/>
        </w:tabs>
        <w:ind w:left="0" w:right="0" w:firstLine="0"/>
        <w:jc w:val="left"/>
      </w:pPr>
      <w:r>
        <w:t>i</w:t>
      </w:r>
      <w:r>
        <w:tab/>
        <w:t>5. OBLIGACIONES DE LAS DISTINTAS PARTES</w:t>
      </w:r>
    </w:p>
    <w:p w14:paraId="06F43FB1" w14:textId="77777777" w:rsidR="00053D93" w:rsidRDefault="00260B75">
      <w:pPr>
        <w:spacing w:after="324" w:line="248" w:lineRule="auto"/>
        <w:ind w:left="1709" w:hanging="3"/>
        <w:jc w:val="both"/>
      </w:pPr>
      <w:r>
        <w:rPr>
          <w:sz w:val="28"/>
        </w:rPr>
        <w:t>Obligaciones del equipo de auditoría</w:t>
      </w:r>
    </w:p>
    <w:p w14:paraId="633C2278" w14:textId="77777777" w:rsidR="00053D93" w:rsidRDefault="00260B75">
      <w:pPr>
        <w:spacing w:after="58" w:line="247" w:lineRule="auto"/>
        <w:ind w:left="1728" w:right="14" w:firstLine="4"/>
        <w:jc w:val="both"/>
      </w:pPr>
      <w:r>
        <w:rPr>
          <w:sz w:val="26"/>
        </w:rPr>
        <w:t>De conformidad a la función fiscalizadora descrita en la Constitución Política de la República de Guatemala, según lo establecido en el artículo 232. Contraloría General de Cuentas, fuimos designados para efectuar [a Auditoría Financiera y de Cumplimiento, mediante los Nombramientos de Auditoría Financiera y de</w:t>
      </w:r>
    </w:p>
    <w:p w14:paraId="15034624" w14:textId="77777777" w:rsidR="00053D93" w:rsidRDefault="00260B75">
      <w:pPr>
        <w:spacing w:after="265" w:line="247" w:lineRule="auto"/>
        <w:ind w:left="1728" w:right="14" w:firstLine="4"/>
        <w:jc w:val="both"/>
      </w:pPr>
      <w:r>
        <w:rPr>
          <w:sz w:val="26"/>
        </w:rPr>
        <w:t xml:space="preserve">Cumplimiento Nos. DAS-03-0037-2024, dei </w:t>
      </w:r>
      <w:r>
        <w:rPr>
          <w:rFonts w:ascii="Times New Roman" w:eastAsia="Times New Roman" w:hAnsi="Times New Roman" w:cs="Times New Roman"/>
          <w:sz w:val="26"/>
        </w:rPr>
        <w:t xml:space="preserve">09 de agosto </w:t>
      </w:r>
      <w:r>
        <w:rPr>
          <w:sz w:val="26"/>
        </w:rPr>
        <w:t>de 2024, DAS-03-0087-2024, del 15 de octubre de 2024, DAS-03-0090-2024, del 22 de octubre de 2024 y DAS-03-0095-2024, del 03 de diciembre 2024, de manera objetiva y en el plazo establecido según la planificación de auditoría.</w:t>
      </w:r>
    </w:p>
    <w:p w14:paraId="39A67FD0" w14:textId="77777777" w:rsidR="00053D93" w:rsidRDefault="00260B75">
      <w:pPr>
        <w:spacing w:after="271" w:line="247" w:lineRule="auto"/>
        <w:ind w:left="1721" w:right="14" w:firstLine="4"/>
        <w:jc w:val="both"/>
      </w:pPr>
      <w:r>
        <w:rPr>
          <w:sz w:val="26"/>
        </w:rPr>
        <w:t>Se observaron las Normas Internacionales de [as Entidades Fiscalizadoras Superiores adaptadas a Guatemala, -ISSAI.GT-, [eyes, disposiciones vigentes aplicables a la entidad auditada.</w:t>
      </w:r>
    </w:p>
    <w:tbl>
      <w:tblPr>
        <w:tblStyle w:val="TableGrid"/>
        <w:tblpPr w:vertAnchor="page" w:horzAnchor="page" w:tblpX="2870" w:tblpY="14472"/>
        <w:tblOverlap w:val="never"/>
        <w:tblW w:w="7613" w:type="dxa"/>
        <w:tblInd w:w="0" w:type="dxa"/>
        <w:tblCellMar>
          <w:top w:w="31" w:type="dxa"/>
          <w:left w:w="1738" w:type="dxa"/>
          <w:right w:w="115" w:type="dxa"/>
        </w:tblCellMar>
        <w:tblLook w:val="04A0" w:firstRow="1" w:lastRow="0" w:firstColumn="1" w:lastColumn="0" w:noHBand="0" w:noVBand="1"/>
      </w:tblPr>
      <w:tblGrid>
        <w:gridCol w:w="7613"/>
      </w:tblGrid>
      <w:tr w:rsidR="00053D93" w14:paraId="701BCE34" w14:textId="77777777">
        <w:trPr>
          <w:trHeight w:val="43"/>
        </w:trPr>
        <w:tc>
          <w:tcPr>
            <w:tcW w:w="7613" w:type="dxa"/>
            <w:tcBorders>
              <w:top w:val="nil"/>
              <w:left w:val="single" w:sz="2" w:space="0" w:color="000000"/>
              <w:bottom w:val="single" w:sz="2" w:space="0" w:color="000000"/>
              <w:right w:val="nil"/>
            </w:tcBorders>
          </w:tcPr>
          <w:p w14:paraId="438212E6" w14:textId="77777777" w:rsidR="00053D93" w:rsidRDefault="00053D93"/>
        </w:tc>
      </w:tr>
      <w:tr w:rsidR="00053D93" w14:paraId="4173B1DD" w14:textId="77777777">
        <w:trPr>
          <w:trHeight w:val="598"/>
        </w:trPr>
        <w:tc>
          <w:tcPr>
            <w:tcW w:w="7613" w:type="dxa"/>
            <w:tcBorders>
              <w:top w:val="single" w:sz="2" w:space="0" w:color="000000"/>
              <w:left w:val="single" w:sz="2" w:space="0" w:color="000000"/>
              <w:bottom w:val="nil"/>
              <w:right w:val="nil"/>
            </w:tcBorders>
          </w:tcPr>
          <w:p w14:paraId="75C29A1F" w14:textId="77777777" w:rsidR="00053D93" w:rsidRDefault="00260B75">
            <w:pPr>
              <w:ind w:left="835"/>
            </w:pPr>
            <w:r>
              <w:rPr>
                <w:sz w:val="14"/>
              </w:rPr>
              <w:lastRenderedPageBreak/>
              <w:t>MINISTERIO DE EDUCACION</w:t>
            </w:r>
          </w:p>
          <w:p w14:paraId="459F9391" w14:textId="77777777" w:rsidR="00053D93" w:rsidRDefault="00260B75">
            <w:pPr>
              <w:ind w:left="338"/>
            </w:pPr>
            <w:r>
              <w:rPr>
                <w:sz w:val="14"/>
              </w:rPr>
              <w:t>AUDITORIA FINANCIERA Y DE CUMPLIMIENTO</w:t>
            </w:r>
          </w:p>
          <w:p w14:paraId="15ED08B4" w14:textId="77777777" w:rsidR="00053D93" w:rsidRDefault="00260B75">
            <w:r>
              <w:rPr>
                <w:sz w:val="14"/>
              </w:rPr>
              <w:t>PERIODO DEL 01 DE ENERO AL 31 DE DICIEMBRE DE 2024</w:t>
            </w:r>
          </w:p>
        </w:tc>
      </w:tr>
    </w:tbl>
    <w:p w14:paraId="0E7B4846" w14:textId="77777777" w:rsidR="00053D93" w:rsidRDefault="00260B75">
      <w:pPr>
        <w:spacing w:after="327" w:line="247" w:lineRule="auto"/>
        <w:ind w:left="1714" w:right="14" w:firstLine="4"/>
        <w:jc w:val="both"/>
      </w:pPr>
      <w:r>
        <w:rPr>
          <w:sz w:val="26"/>
        </w:rPr>
        <w:t>Asimismo, cuando el equipo de auditoría finalizó el trabajo de campo, notificó a los responsables de la entidad los posibles hallazgos, resultados de la auditoría; se programó una reunión, a efecto proporcionar información y documentación, la que posteriormente el equipo de auditoría analizó para confirmar o desvanecer los mismos. Lo anterior, se realizó con la finalidad de cumplir con el debido proceso en la Constitución Política de la República de Guatemala, artículo 12. Derecho de Defensa y el Decreto 2-89, del Congreso de la República de Guatemala y Ley del Organismo Judicial, artículo 16. Debido Proceso.</w:t>
      </w:r>
    </w:p>
    <w:p w14:paraId="2A9068DE" w14:textId="77777777" w:rsidR="00053D93" w:rsidRDefault="00260B75">
      <w:pPr>
        <w:spacing w:after="270" w:line="248" w:lineRule="auto"/>
        <w:ind w:left="1709" w:hanging="3"/>
        <w:jc w:val="both"/>
      </w:pPr>
      <w:r>
        <w:rPr>
          <w:sz w:val="28"/>
        </w:rPr>
        <w:t>Obligaciones de la entidad</w:t>
      </w:r>
    </w:p>
    <w:p w14:paraId="0113D269" w14:textId="77777777" w:rsidR="00053D93" w:rsidRDefault="00260B75">
      <w:pPr>
        <w:spacing w:after="297" w:line="247" w:lineRule="auto"/>
        <w:ind w:left="1706" w:right="14" w:firstLine="4"/>
        <w:jc w:val="both"/>
      </w:pPr>
      <w:r>
        <w:rPr>
          <w:sz w:val="26"/>
        </w:rPr>
        <w:t>El Ministerio de Educación, es una institución pública, la cual durante del proceso de la auditoría estuvo obligada a presentar la información y documentación dentro del plazo requerido, a facilitar al equipo de auditoría el acceso a toda la información pertinente para la evaluación del estado de liquidación presupuestaria, como registros, documentos y cualquier otro material requerido para los fines de la auditoría y permitir el acceso sin restricciones a aquellas personas de la entidad de las que fue necesario obtener evidencia de auditoría.</w:t>
      </w:r>
    </w:p>
    <w:p w14:paraId="707BBDBD" w14:textId="77777777" w:rsidR="00053D93" w:rsidRDefault="00260B75">
      <w:pPr>
        <w:spacing w:after="17" w:line="247" w:lineRule="auto"/>
        <w:ind w:left="14" w:right="14" w:firstLine="4"/>
        <w:jc w:val="both"/>
      </w:pPr>
      <w:r>
        <w:rPr>
          <w:sz w:val="26"/>
        </w:rPr>
        <w:t>Durante el desarrollo de la auditoría, no toda la información requerida estuvo disponible, debido a que el Ministerio de Educación no entregó la documentación solicitada dentro del plazo requerido, específicamente, se requirió información a las siguientes unidades ejecutoras:</w:t>
      </w:r>
    </w:p>
    <w:p w14:paraId="562AF352" w14:textId="77777777" w:rsidR="00053D93" w:rsidRDefault="00260B75">
      <w:pPr>
        <w:spacing w:after="0"/>
        <w:ind w:left="14"/>
      </w:pPr>
      <w:r>
        <w:rPr>
          <w:noProof/>
        </w:rPr>
        <mc:AlternateContent>
          <mc:Choice Requires="wpg">
            <w:drawing>
              <wp:inline distT="0" distB="0" distL="0" distR="0" wp14:anchorId="4B8F81CD" wp14:editId="5B738304">
                <wp:extent cx="150876" cy="324612"/>
                <wp:effectExtent l="0" t="0" r="0" b="0"/>
                <wp:docPr id="2454239" name="Group 2454239"/>
                <wp:cNvGraphicFramePr/>
                <a:graphic xmlns:a="http://schemas.openxmlformats.org/drawingml/2006/main">
                  <a:graphicData uri="http://schemas.microsoft.com/office/word/2010/wordprocessingGroup">
                    <wpg:wgp>
                      <wpg:cNvGrpSpPr/>
                      <wpg:grpSpPr>
                        <a:xfrm>
                          <a:off x="0" y="0"/>
                          <a:ext cx="150876" cy="324612"/>
                          <a:chOff x="0" y="0"/>
                          <a:chExt cx="150876" cy="324612"/>
                        </a:xfrm>
                      </wpg:grpSpPr>
                      <wps:wsp>
                        <wps:cNvPr id="59180" name="Rectangle 59180"/>
                        <wps:cNvSpPr/>
                        <wps:spPr>
                          <a:xfrm>
                            <a:off x="0" y="0"/>
                            <a:ext cx="200665" cy="431734"/>
                          </a:xfrm>
                          <a:prstGeom prst="rect">
                            <a:avLst/>
                          </a:prstGeom>
                          <a:ln>
                            <a:noFill/>
                          </a:ln>
                        </wps:spPr>
                        <wps:txbx>
                          <w:txbxContent>
                            <w:p w14:paraId="22A7378C" w14:textId="77777777" w:rsidR="00053D93" w:rsidRDefault="00260B75">
                              <w:r>
                                <w:rPr>
                                  <w:rFonts w:ascii="Times New Roman" w:eastAsia="Times New Roman" w:hAnsi="Times New Roman" w:cs="Times New Roman"/>
                                  <w:sz w:val="92"/>
                                </w:rPr>
                                <w:t>1</w:t>
                              </w:r>
                            </w:p>
                          </w:txbxContent>
                        </wps:txbx>
                        <wps:bodyPr horzOverflow="overflow" vert="horz" lIns="0" tIns="0" rIns="0" bIns="0" rtlCol="0">
                          <a:noAutofit/>
                        </wps:bodyPr>
                      </wps:wsp>
                    </wpg:wgp>
                  </a:graphicData>
                </a:graphic>
              </wp:inline>
            </w:drawing>
          </mc:Choice>
          <mc:Fallback>
            <w:pict>
              <v:group w14:anchorId="4B8F81CD" id="Group 2454239" o:spid="_x0000_s1068" style="width:11.9pt;height:25.55pt;mso-position-horizontal-relative:char;mso-position-vertical-relative:line" coordsize="150876,324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">
                <v:rect id="Rectangle 59180" o:spid="_x0000_s1069" style="position:absolute;width:200665;height:43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" filled="f" stroked="f">
                  <v:textbox inset="0,0,0,0">
                    <w:txbxContent>
                      <w:p w14:paraId="22A7378C" w14:textId="77777777" w:rsidR="00053D93" w:rsidRDefault="00260B75">
                        <w:r>
                          <w:rPr>
                            <w:rFonts w:ascii="Times New Roman" w:eastAsia="Times New Roman" w:hAnsi="Times New Roman" w:cs="Times New Roman"/>
                            <w:sz w:val="92"/>
                          </w:rPr>
                          <w:t>1</w:t>
                        </w:r>
                      </w:p>
                    </w:txbxContent>
                  </v:textbox>
                </v:rect>
                <w10:anchorlock/>
              </v:group>
            </w:pict>
          </mc:Fallback>
        </mc:AlternateContent>
      </w:r>
    </w:p>
    <w:p w14:paraId="48C57950" w14:textId="77777777" w:rsidR="00053D93" w:rsidRDefault="00260B75">
      <w:pPr>
        <w:spacing w:after="17" w:line="247" w:lineRule="auto"/>
        <w:ind w:left="14" w:right="14" w:firstLine="4"/>
        <w:jc w:val="both"/>
      </w:pPr>
      <w:r>
        <w:rPr>
          <w:sz w:val="26"/>
        </w:rPr>
        <w:t>Unidad Ejecutora 109: Dirección General de Educación Física -DIGEF-.</w:t>
      </w:r>
    </w:p>
    <w:p w14:paraId="5ACBDAD0" w14:textId="77777777" w:rsidR="00053D93" w:rsidRDefault="00260B75">
      <w:pPr>
        <w:spacing w:after="17" w:line="247" w:lineRule="auto"/>
        <w:ind w:left="1714" w:right="14" w:firstLine="4"/>
        <w:jc w:val="both"/>
      </w:pPr>
      <w:r>
        <w:rPr>
          <w:sz w:val="26"/>
        </w:rPr>
        <w:t>Unidad Ejecutora 310: Dirección Departamental de Educación de Suchitepéquez.</w:t>
      </w:r>
    </w:p>
    <w:p w14:paraId="599634DA" w14:textId="77777777" w:rsidR="00053D93" w:rsidRDefault="00260B75">
      <w:pPr>
        <w:spacing w:after="0"/>
        <w:ind w:left="749"/>
      </w:pPr>
      <w:r>
        <w:rPr>
          <w:noProof/>
        </w:rPr>
        <w:drawing>
          <wp:inline distT="0" distB="0" distL="0" distR="0" wp14:anchorId="79761FB8" wp14:editId="43ABCBEE">
            <wp:extent cx="1124712" cy="406908"/>
            <wp:effectExtent l="0" t="0" r="0" b="0"/>
            <wp:docPr id="62260" name="Picture 62260"/>
            <wp:cNvGraphicFramePr/>
            <a:graphic xmlns:a="http://schemas.openxmlformats.org/drawingml/2006/main">
              <a:graphicData uri="http://schemas.openxmlformats.org/drawingml/2006/picture">
                <pic:pic xmlns:pic="http://schemas.openxmlformats.org/drawingml/2006/picture">
                  <pic:nvPicPr>
                    <pic:cNvPr id="62260" name="Picture 62260"/>
                    <pic:cNvPicPr/>
                  </pic:nvPicPr>
                  <pic:blipFill>
                    <a:blip r:embed="rId72"/>
                    <a:stretch>
                      <a:fillRect/>
                    </a:stretch>
                  </pic:blipFill>
                  <pic:spPr>
                    <a:xfrm>
                      <a:off x="0" y="0"/>
                      <a:ext cx="1124712" cy="406908"/>
                    </a:xfrm>
                    <a:prstGeom prst="rect">
                      <a:avLst/>
                    </a:prstGeom>
                  </pic:spPr>
                </pic:pic>
              </a:graphicData>
            </a:graphic>
          </wp:inline>
        </w:drawing>
      </w:r>
    </w:p>
    <w:p w14:paraId="7276807C" w14:textId="77777777" w:rsidR="00053D93" w:rsidRDefault="00260B75">
      <w:pPr>
        <w:spacing w:after="243" w:line="265" w:lineRule="auto"/>
        <w:ind w:left="3624" w:hanging="10"/>
        <w:jc w:val="center"/>
      </w:pPr>
      <w:r>
        <w:rPr>
          <w:sz w:val="14"/>
        </w:rPr>
        <w:t xml:space="preserve">OE </w:t>
      </w:r>
    </w:p>
    <w:p w14:paraId="472C0776" w14:textId="77777777" w:rsidR="00053D93" w:rsidRDefault="00260B75">
      <w:pPr>
        <w:spacing w:after="29"/>
        <w:ind w:left="1714" w:right="-7"/>
      </w:pPr>
      <w:r>
        <w:rPr>
          <w:noProof/>
        </w:rPr>
        <mc:AlternateContent>
          <mc:Choice Requires="wpg">
            <w:drawing>
              <wp:inline distT="0" distB="0" distL="0" distR="0" wp14:anchorId="30BB4D7E" wp14:editId="1C98A10F">
                <wp:extent cx="5372101" cy="9144"/>
                <wp:effectExtent l="0" t="0" r="0" b="0"/>
                <wp:docPr id="2458124" name="Group 2458124"/>
                <wp:cNvGraphicFramePr/>
                <a:graphic xmlns:a="http://schemas.openxmlformats.org/drawingml/2006/main">
                  <a:graphicData uri="http://schemas.microsoft.com/office/word/2010/wordprocessingGroup">
                    <wpg:wgp>
                      <wpg:cNvGrpSpPr/>
                      <wpg:grpSpPr>
                        <a:xfrm>
                          <a:off x="0" y="0"/>
                          <a:ext cx="5372101" cy="9144"/>
                          <a:chOff x="0" y="0"/>
                          <a:chExt cx="5372101" cy="9144"/>
                        </a:xfrm>
                      </wpg:grpSpPr>
                      <wps:wsp>
                        <wps:cNvPr id="2458123" name="Shape 2458123"/>
                        <wps:cNvSpPr/>
                        <wps:spPr>
                          <a:xfrm>
                            <a:off x="0" y="0"/>
                            <a:ext cx="5372101" cy="9144"/>
                          </a:xfrm>
                          <a:custGeom>
                            <a:avLst/>
                            <a:gdLst/>
                            <a:ahLst/>
                            <a:cxnLst/>
                            <a:rect l="0" t="0" r="0" b="0"/>
                            <a:pathLst>
                              <a:path w="5372101" h="9144">
                                <a:moveTo>
                                  <a:pt x="0" y="4572"/>
                                </a:moveTo>
                                <a:lnTo>
                                  <a:pt x="5372101"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24" style="width:423pt;height:0.719994pt;mso-position-horizontal-relative:char;mso-position-vertical-relative:line" coordsize="53721,91">
                <v:shape id="Shape 2458123" style="position:absolute;width:53721;height:91;left:0;top:0;" coordsize="5372101,9144" path="m0,4572l5372101,4572">
                  <v:stroke weight="0.719994pt" endcap="flat" joinstyle="miter" miterlimit="1" on="true" color="#000000"/>
                  <v:fill on="false" color="#000000"/>
                </v:shape>
              </v:group>
            </w:pict>
          </mc:Fallback>
        </mc:AlternateContent>
      </w:r>
    </w:p>
    <w:p w14:paraId="7F2721CA" w14:textId="77777777" w:rsidR="00053D93" w:rsidRDefault="00260B75">
      <w:pPr>
        <w:spacing w:after="312" w:line="247" w:lineRule="auto"/>
        <w:ind w:left="1735" w:right="14" w:firstLine="4"/>
        <w:jc w:val="both"/>
      </w:pPr>
      <w:r>
        <w:rPr>
          <w:sz w:val="26"/>
        </w:rPr>
        <w:t>Unidad Ejecutora 321: Dirección Departamental de Educación de Jalapa.</w:t>
      </w:r>
    </w:p>
    <w:p w14:paraId="1B48401D" w14:textId="77777777" w:rsidR="00053D93" w:rsidRDefault="00260B75">
      <w:pPr>
        <w:spacing w:after="333" w:line="247" w:lineRule="auto"/>
        <w:ind w:left="1721" w:right="14" w:firstLine="4"/>
        <w:jc w:val="both"/>
      </w:pPr>
      <w:r>
        <w:rPr>
          <w:sz w:val="26"/>
        </w:rPr>
        <w:t>Como resultado de lo anterior, se suscribieron las siguientes actas por parte del equipo de auditoría:</w:t>
      </w:r>
    </w:p>
    <w:p w14:paraId="3DD06A95" w14:textId="77777777" w:rsidR="00053D93" w:rsidRDefault="00260B75">
      <w:pPr>
        <w:spacing w:after="223" w:line="290" w:lineRule="auto"/>
        <w:ind w:left="1418" w:firstLine="295"/>
      </w:pPr>
      <w:r>
        <w:rPr>
          <w:sz w:val="26"/>
        </w:rPr>
        <w:t xml:space="preserve">Acta No. 010-2025, del 6 de marzo de 2025, del Libro de Actas No. L2 51 ,804. </w:t>
      </w:r>
      <w:r>
        <w:rPr>
          <w:noProof/>
        </w:rPr>
        <w:drawing>
          <wp:inline distT="0" distB="0" distL="0" distR="0" wp14:anchorId="26677E77" wp14:editId="6B6B4FAE">
            <wp:extent cx="9144" cy="9144"/>
            <wp:effectExtent l="0" t="0" r="0" b="0"/>
            <wp:docPr id="65520" name="Picture 65520"/>
            <wp:cNvGraphicFramePr/>
            <a:graphic xmlns:a="http://schemas.openxmlformats.org/drawingml/2006/main">
              <a:graphicData uri="http://schemas.openxmlformats.org/drawingml/2006/picture">
                <pic:pic xmlns:pic="http://schemas.openxmlformats.org/drawingml/2006/picture">
                  <pic:nvPicPr>
                    <pic:cNvPr id="65520" name="Picture 65520"/>
                    <pic:cNvPicPr/>
                  </pic:nvPicPr>
                  <pic:blipFill>
                    <a:blip r:embed="rId73"/>
                    <a:stretch>
                      <a:fillRect/>
                    </a:stretch>
                  </pic:blipFill>
                  <pic:spPr>
                    <a:xfrm>
                      <a:off x="0" y="0"/>
                      <a:ext cx="9144" cy="9144"/>
                    </a:xfrm>
                    <a:prstGeom prst="rect">
                      <a:avLst/>
                    </a:prstGeom>
                  </pic:spPr>
                </pic:pic>
              </a:graphicData>
            </a:graphic>
          </wp:inline>
        </w:drawing>
      </w:r>
      <w:r>
        <w:rPr>
          <w:sz w:val="26"/>
        </w:rPr>
        <w:tab/>
        <w:t>Acta No. 01 1-2025, del 5 de marzo de 2025, del Libro de Actas No. L2 51 ,804. Acta No. 01-2025, del 5 de marzo de 2025, del Libro de Actas No. L2 74,347.</w:t>
      </w:r>
    </w:p>
    <w:p w14:paraId="7F95ABFE" w14:textId="77777777" w:rsidR="00053D93" w:rsidRDefault="00260B75">
      <w:pPr>
        <w:spacing w:after="314" w:line="247" w:lineRule="auto"/>
        <w:ind w:left="1714" w:right="14" w:firstLine="4"/>
        <w:jc w:val="both"/>
      </w:pPr>
      <w:r>
        <w:rPr>
          <w:sz w:val="26"/>
        </w:rPr>
        <w:lastRenderedPageBreak/>
        <w:t>El incumplimiento en la entrega oportuna de la información solicitada ocasionó retrasos significativos en la ejecución de los procedimientos y técnicas de auditoría, lo cual afectó el análisis oportuno del estado de liquidación presupuestaria. Como resultado, se formularon los siguientes hallazgos:</w:t>
      </w:r>
    </w:p>
    <w:p w14:paraId="2BF4359F" w14:textId="77777777" w:rsidR="00053D93" w:rsidRDefault="00260B75">
      <w:pPr>
        <w:spacing w:after="17" w:line="247" w:lineRule="auto"/>
        <w:ind w:left="1706" w:right="14" w:firstLine="4"/>
        <w:jc w:val="both"/>
      </w:pPr>
      <w:r>
        <w:rPr>
          <w:sz w:val="26"/>
        </w:rPr>
        <w:t>Hallazgo No. 5: Incumplimiento en el plazo de entrega de documentación por parte de la Dirección General de Educación Física -DIGEF-.</w:t>
      </w:r>
    </w:p>
    <w:p w14:paraId="52B9E276" w14:textId="77777777" w:rsidR="00053D93" w:rsidRDefault="00260B75">
      <w:pPr>
        <w:spacing w:after="17" w:line="247" w:lineRule="auto"/>
        <w:ind w:left="1706" w:right="14" w:firstLine="4"/>
        <w:jc w:val="both"/>
      </w:pPr>
      <w:r>
        <w:rPr>
          <w:sz w:val="26"/>
        </w:rPr>
        <w:t>Hallazgo No. 1: Incumplimiento en la presentación oportuna de información por parte de la Dirección Departamental de Educación de Suchitepéquez.</w:t>
      </w:r>
    </w:p>
    <w:p w14:paraId="4031B091" w14:textId="77777777" w:rsidR="00053D93" w:rsidRDefault="00260B75">
      <w:pPr>
        <w:spacing w:after="309" w:line="247" w:lineRule="auto"/>
        <w:ind w:left="1706" w:right="14" w:firstLine="4"/>
        <w:jc w:val="both"/>
      </w:pPr>
      <w:r>
        <w:rPr>
          <w:noProof/>
        </w:rPr>
        <w:drawing>
          <wp:anchor distT="0" distB="0" distL="114300" distR="114300" simplePos="0" relativeHeight="251677696" behindDoc="0" locked="0" layoutInCell="1" allowOverlap="0" wp14:anchorId="0EDCA5BF" wp14:editId="41CF5AA4">
            <wp:simplePos x="0" y="0"/>
            <wp:positionH relativeFrom="page">
              <wp:posOffset>196596</wp:posOffset>
            </wp:positionH>
            <wp:positionV relativeFrom="page">
              <wp:posOffset>9752076</wp:posOffset>
            </wp:positionV>
            <wp:extent cx="13716" cy="150876"/>
            <wp:effectExtent l="0" t="0" r="0" b="0"/>
            <wp:wrapTopAndBottom/>
            <wp:docPr id="2458121" name="Picture 2458121"/>
            <wp:cNvGraphicFramePr/>
            <a:graphic xmlns:a="http://schemas.openxmlformats.org/drawingml/2006/main">
              <a:graphicData uri="http://schemas.openxmlformats.org/drawingml/2006/picture">
                <pic:pic xmlns:pic="http://schemas.openxmlformats.org/drawingml/2006/picture">
                  <pic:nvPicPr>
                    <pic:cNvPr id="2458121" name="Picture 2458121"/>
                    <pic:cNvPicPr/>
                  </pic:nvPicPr>
                  <pic:blipFill>
                    <a:blip r:embed="rId74"/>
                    <a:stretch>
                      <a:fillRect/>
                    </a:stretch>
                  </pic:blipFill>
                  <pic:spPr>
                    <a:xfrm>
                      <a:off x="0" y="0"/>
                      <a:ext cx="13716" cy="150876"/>
                    </a:xfrm>
                    <a:prstGeom prst="rect">
                      <a:avLst/>
                    </a:prstGeom>
                  </pic:spPr>
                </pic:pic>
              </a:graphicData>
            </a:graphic>
          </wp:anchor>
        </w:drawing>
      </w:r>
      <w:r>
        <w:rPr>
          <w:sz w:val="26"/>
        </w:rPr>
        <w:t>Hallazgo. No. 1: Incumplimiento en la presentación oportuna de información por parte de la Dirección Departamental de Educación de Jalapa.</w:t>
      </w:r>
    </w:p>
    <w:p w14:paraId="4D4F9380" w14:textId="77777777" w:rsidR="00053D93" w:rsidRDefault="00260B75">
      <w:pPr>
        <w:pStyle w:val="Ttulo1"/>
        <w:spacing w:after="285"/>
        <w:ind w:left="1687" w:right="7"/>
      </w:pPr>
      <w:r>
        <w:t>6. CRITERIOS OBSERVADOS</w:t>
      </w:r>
    </w:p>
    <w:p w14:paraId="00DA73C4" w14:textId="77777777" w:rsidR="00053D93" w:rsidRDefault="00260B75">
      <w:pPr>
        <w:spacing w:after="281" w:line="247" w:lineRule="auto"/>
        <w:ind w:left="1699" w:right="14" w:firstLine="4"/>
        <w:jc w:val="both"/>
      </w:pPr>
      <w:r>
        <w:rPr>
          <w:sz w:val="26"/>
        </w:rPr>
        <w:t>Se identificaron leyes y normas tanto generales como específicas que fueron objeto de evaluación en relación con la materia controlada, siendo las siguientes:</w:t>
      </w:r>
    </w:p>
    <w:p w14:paraId="5797C6A5" w14:textId="77777777" w:rsidR="00053D93" w:rsidRDefault="00260B75">
      <w:pPr>
        <w:spacing w:after="311" w:line="248" w:lineRule="auto"/>
        <w:ind w:left="1709" w:hanging="3"/>
        <w:jc w:val="both"/>
      </w:pPr>
      <w:r>
        <w:rPr>
          <w:sz w:val="28"/>
        </w:rPr>
        <w:t>Generales</w:t>
      </w:r>
    </w:p>
    <w:p w14:paraId="74AC9ABB" w14:textId="77777777" w:rsidR="00053D93" w:rsidRDefault="00260B75">
      <w:pPr>
        <w:spacing w:after="329" w:line="247" w:lineRule="auto"/>
        <w:ind w:left="1699" w:right="14" w:firstLine="4"/>
        <w:jc w:val="both"/>
      </w:pPr>
      <w:r>
        <w:rPr>
          <w:sz w:val="26"/>
        </w:rPr>
        <w:t>El Decreto Número 57-92, del Congreso de la República de Guatemala, Ley de Contrataciones del Estado.</w:t>
      </w:r>
    </w:p>
    <w:p w14:paraId="1CB8E7BB" w14:textId="77777777" w:rsidR="00053D93" w:rsidRDefault="00260B75">
      <w:pPr>
        <w:spacing w:after="343" w:line="247" w:lineRule="auto"/>
        <w:ind w:left="1685" w:right="14" w:firstLine="4"/>
        <w:jc w:val="both"/>
      </w:pPr>
      <w:r>
        <w:rPr>
          <w:sz w:val="26"/>
        </w:rPr>
        <w:t>El Decreto Número 132-96, del Congreso de la República de Guatemala, Ley de Tránsito.</w:t>
      </w:r>
    </w:p>
    <w:p w14:paraId="7C9EA4B5" w14:textId="77777777" w:rsidR="00053D93" w:rsidRDefault="00260B75">
      <w:pPr>
        <w:spacing w:after="323" w:line="247" w:lineRule="auto"/>
        <w:ind w:left="1685" w:right="14" w:firstLine="4"/>
        <w:jc w:val="both"/>
      </w:pPr>
      <w:r>
        <w:rPr>
          <w:sz w:val="26"/>
        </w:rPr>
        <w:t>El Decreto Número 101-97, del Congreso de la República de Guatemala, Ley Orgánica del Presupuesto.</w:t>
      </w:r>
    </w:p>
    <w:p w14:paraId="6D21A14C" w14:textId="77777777" w:rsidR="00053D93" w:rsidRDefault="00260B75">
      <w:pPr>
        <w:spacing w:after="309" w:line="247" w:lineRule="auto"/>
        <w:ind w:left="1685" w:right="14" w:firstLine="4"/>
        <w:jc w:val="both"/>
      </w:pPr>
      <w:r>
        <w:rPr>
          <w:sz w:val="26"/>
        </w:rPr>
        <w:t>El Decreto Número 31-2002, del Congreso de la República de Guatemala, Ley Orgánica de la Contraloría General de Cuentas.</w:t>
      </w:r>
    </w:p>
    <w:p w14:paraId="3E35D007" w14:textId="77777777" w:rsidR="00053D93" w:rsidRDefault="00260B75">
      <w:pPr>
        <w:spacing w:after="17" w:line="247" w:lineRule="auto"/>
        <w:ind w:left="1692" w:right="14" w:firstLine="4"/>
        <w:jc w:val="both"/>
      </w:pPr>
      <w:r>
        <w:rPr>
          <w:sz w:val="26"/>
        </w:rPr>
        <w:t>El Decreto Número 89-2002, del Congreso de la República de Guatemala, Ley de Probidad y Responsabilidades de Funcionarios y Empleados Públicos.</w:t>
      </w:r>
    </w:p>
    <w:tbl>
      <w:tblPr>
        <w:tblStyle w:val="TableGrid"/>
        <w:tblW w:w="9418" w:type="dxa"/>
        <w:tblInd w:w="727" w:type="dxa"/>
        <w:tblLook w:val="04A0" w:firstRow="1" w:lastRow="0" w:firstColumn="1" w:lastColumn="0" w:noHBand="0" w:noVBand="1"/>
      </w:tblPr>
      <w:tblGrid>
        <w:gridCol w:w="1294"/>
        <w:gridCol w:w="8145"/>
      </w:tblGrid>
      <w:tr w:rsidR="00053D93" w14:paraId="078FDB41" w14:textId="77777777">
        <w:trPr>
          <w:trHeight w:val="634"/>
        </w:trPr>
        <w:tc>
          <w:tcPr>
            <w:tcW w:w="1787" w:type="dxa"/>
            <w:tcBorders>
              <w:top w:val="nil"/>
              <w:left w:val="nil"/>
              <w:bottom w:val="nil"/>
              <w:right w:val="nil"/>
            </w:tcBorders>
          </w:tcPr>
          <w:p w14:paraId="317A7A48" w14:textId="77777777" w:rsidR="00053D93" w:rsidRDefault="00260B75">
            <w:r>
              <w:rPr>
                <w:noProof/>
              </w:rPr>
              <w:drawing>
                <wp:inline distT="0" distB="0" distL="0" distR="0" wp14:anchorId="4AD51FA4" wp14:editId="6D2BBD27">
                  <wp:extent cx="1124712" cy="402337"/>
                  <wp:effectExtent l="0" t="0" r="0" b="0"/>
                  <wp:docPr id="65635" name="Picture 65635"/>
                  <wp:cNvGraphicFramePr/>
                  <a:graphic xmlns:a="http://schemas.openxmlformats.org/drawingml/2006/main">
                    <a:graphicData uri="http://schemas.openxmlformats.org/drawingml/2006/picture">
                      <pic:pic xmlns:pic="http://schemas.openxmlformats.org/drawingml/2006/picture">
                        <pic:nvPicPr>
                          <pic:cNvPr id="65635" name="Picture 65635"/>
                          <pic:cNvPicPr/>
                        </pic:nvPicPr>
                        <pic:blipFill>
                          <a:blip r:embed="rId75"/>
                          <a:stretch>
                            <a:fillRect/>
                          </a:stretch>
                        </pic:blipFill>
                        <pic:spPr>
                          <a:xfrm>
                            <a:off x="0" y="0"/>
                            <a:ext cx="1124712" cy="402337"/>
                          </a:xfrm>
                          <a:prstGeom prst="rect">
                            <a:avLst/>
                          </a:prstGeom>
                        </pic:spPr>
                      </pic:pic>
                    </a:graphicData>
                  </a:graphic>
                </wp:inline>
              </w:drawing>
            </w:r>
          </w:p>
        </w:tc>
        <w:tc>
          <w:tcPr>
            <w:tcW w:w="7631" w:type="dxa"/>
            <w:tcBorders>
              <w:top w:val="nil"/>
              <w:left w:val="nil"/>
              <w:bottom w:val="nil"/>
              <w:right w:val="nil"/>
            </w:tcBorders>
          </w:tcPr>
          <w:p w14:paraId="42B1D88C" w14:textId="77777777" w:rsidR="00053D93" w:rsidRDefault="00053D93">
            <w:pPr>
              <w:ind w:left="-2831" w:right="10462"/>
            </w:pPr>
          </w:p>
          <w:tbl>
            <w:tblPr>
              <w:tblStyle w:val="TableGrid"/>
              <w:tblW w:w="7615" w:type="dxa"/>
              <w:tblInd w:w="16" w:type="dxa"/>
              <w:tblCellMar>
                <w:top w:w="33" w:type="dxa"/>
                <w:left w:w="1732" w:type="dxa"/>
                <w:right w:w="115" w:type="dxa"/>
              </w:tblCellMar>
              <w:tblLook w:val="04A0" w:firstRow="1" w:lastRow="0" w:firstColumn="1" w:lastColumn="0" w:noHBand="0" w:noVBand="1"/>
            </w:tblPr>
            <w:tblGrid>
              <w:gridCol w:w="7615"/>
            </w:tblGrid>
            <w:tr w:rsidR="00053D93" w14:paraId="5054660F" w14:textId="77777777">
              <w:trPr>
                <w:trHeight w:val="43"/>
              </w:trPr>
              <w:tc>
                <w:tcPr>
                  <w:tcW w:w="7615" w:type="dxa"/>
                  <w:tcBorders>
                    <w:top w:val="nil"/>
                    <w:left w:val="single" w:sz="2" w:space="0" w:color="000000"/>
                    <w:bottom w:val="single" w:sz="2" w:space="0" w:color="000000"/>
                    <w:right w:val="nil"/>
                  </w:tcBorders>
                </w:tcPr>
                <w:p w14:paraId="3BCD5C22" w14:textId="77777777" w:rsidR="00053D93" w:rsidRDefault="00053D93"/>
              </w:tc>
            </w:tr>
            <w:tr w:rsidR="00053D93" w14:paraId="55B34172" w14:textId="77777777">
              <w:trPr>
                <w:trHeight w:val="583"/>
              </w:trPr>
              <w:tc>
                <w:tcPr>
                  <w:tcW w:w="7615" w:type="dxa"/>
                  <w:tcBorders>
                    <w:top w:val="single" w:sz="2" w:space="0" w:color="000000"/>
                    <w:left w:val="single" w:sz="2" w:space="0" w:color="000000"/>
                    <w:bottom w:val="nil"/>
                    <w:right w:val="nil"/>
                  </w:tcBorders>
                </w:tcPr>
                <w:p w14:paraId="50DC21E5" w14:textId="77777777" w:rsidR="00053D93" w:rsidRDefault="00260B75">
                  <w:pPr>
                    <w:ind w:left="842"/>
                  </w:pPr>
                  <w:r>
                    <w:rPr>
                      <w:sz w:val="14"/>
                    </w:rPr>
                    <w:t>MINISTERIO DE EDUCACON</w:t>
                  </w:r>
                </w:p>
                <w:p w14:paraId="280D1CDE" w14:textId="77777777" w:rsidR="00053D93" w:rsidRDefault="00260B75">
                  <w:pPr>
                    <w:ind w:left="346"/>
                  </w:pPr>
                  <w:r>
                    <w:rPr>
                      <w:sz w:val="14"/>
                    </w:rPr>
                    <w:t>AUDITORIA FINANCIERA Y DE CUMPLIMIENTO</w:t>
                  </w:r>
                </w:p>
                <w:p w14:paraId="1A193FDA" w14:textId="77777777" w:rsidR="00053D93" w:rsidRDefault="00260B75">
                  <w:r>
                    <w:rPr>
                      <w:sz w:val="14"/>
                    </w:rPr>
                    <w:t>PERtODO DEL 01 DE ENERO AL 31 DE DICIEMBRE DE 2024</w:t>
                  </w:r>
                </w:p>
              </w:tc>
            </w:tr>
          </w:tbl>
          <w:p w14:paraId="58E2958B" w14:textId="77777777" w:rsidR="00053D93" w:rsidRDefault="00053D93"/>
        </w:tc>
      </w:tr>
    </w:tbl>
    <w:p w14:paraId="34DAF35A" w14:textId="77777777" w:rsidR="00053D93" w:rsidRDefault="00260B75">
      <w:pPr>
        <w:spacing w:after="167"/>
        <w:ind w:left="1620"/>
        <w:jc w:val="center"/>
      </w:pPr>
      <w:r>
        <w:rPr>
          <w:rFonts w:ascii="Times New Roman" w:eastAsia="Times New Roman" w:hAnsi="Times New Roman" w:cs="Times New Roman"/>
          <w:sz w:val="16"/>
        </w:rPr>
        <w:t>7</w:t>
      </w:r>
    </w:p>
    <w:p w14:paraId="4EB69A03" w14:textId="77777777" w:rsidR="00053D93" w:rsidRDefault="00260B75">
      <w:pPr>
        <w:spacing w:after="51"/>
        <w:ind w:left="1692"/>
      </w:pPr>
      <w:r>
        <w:rPr>
          <w:noProof/>
        </w:rPr>
        <mc:AlternateContent>
          <mc:Choice Requires="wpg">
            <w:drawing>
              <wp:inline distT="0" distB="0" distL="0" distR="0" wp14:anchorId="4204748F" wp14:editId="3FF8614C">
                <wp:extent cx="5381244" cy="9144"/>
                <wp:effectExtent l="0" t="0" r="0" b="0"/>
                <wp:docPr id="2458126" name="Group 2458126"/>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125" name="Shape 2458125"/>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26" style="width:423.72pt;height:0.720005pt;mso-position-horizontal-relative:char;mso-position-vertical-relative:line" coordsize="53812,91">
                <v:shape id="Shape 2458125" style="position:absolute;width:53812;height:91;left:0;top:0;" coordsize="5381244,9144" path="m0,4572l5381244,4572">
                  <v:stroke weight="0.720005pt" endcap="flat" joinstyle="miter" miterlimit="1" on="true" color="#000000"/>
                  <v:fill on="false" color="#000000"/>
                </v:shape>
              </v:group>
            </w:pict>
          </mc:Fallback>
        </mc:AlternateContent>
      </w:r>
    </w:p>
    <w:p w14:paraId="4E3F4885" w14:textId="77777777" w:rsidR="00053D93" w:rsidRDefault="00260B75">
      <w:pPr>
        <w:spacing w:after="297" w:line="247" w:lineRule="auto"/>
        <w:ind w:left="14" w:right="14" w:firstLine="4"/>
        <w:jc w:val="both"/>
      </w:pPr>
      <w:r>
        <w:rPr>
          <w:noProof/>
        </w:rPr>
        <w:lastRenderedPageBreak/>
        <mc:AlternateContent>
          <mc:Choice Requires="wpg">
            <w:drawing>
              <wp:anchor distT="0" distB="0" distL="114300" distR="114300" simplePos="0" relativeHeight="251678720" behindDoc="0" locked="0" layoutInCell="1" allowOverlap="1" wp14:anchorId="36B98829" wp14:editId="06A967C9">
                <wp:simplePos x="0" y="0"/>
                <wp:positionH relativeFrom="column">
                  <wp:posOffset>13716</wp:posOffset>
                </wp:positionH>
                <wp:positionV relativeFrom="paragraph">
                  <wp:posOffset>35900</wp:posOffset>
                </wp:positionV>
                <wp:extent cx="132588" cy="338328"/>
                <wp:effectExtent l="0" t="0" r="0" b="0"/>
                <wp:wrapSquare wrapText="bothSides"/>
                <wp:docPr id="2454264" name="Group 2454264"/>
                <wp:cNvGraphicFramePr/>
                <a:graphic xmlns:a="http://schemas.openxmlformats.org/drawingml/2006/main">
                  <a:graphicData uri="http://schemas.microsoft.com/office/word/2010/wordprocessingGroup">
                    <wpg:wgp>
                      <wpg:cNvGrpSpPr/>
                      <wpg:grpSpPr>
                        <a:xfrm>
                          <a:off x="0" y="0"/>
                          <a:ext cx="132588" cy="338328"/>
                          <a:chOff x="0" y="0"/>
                          <a:chExt cx="132588" cy="338328"/>
                        </a:xfrm>
                      </wpg:grpSpPr>
                      <wps:wsp>
                        <wps:cNvPr id="66127" name="Rectangle 66127"/>
                        <wps:cNvSpPr/>
                        <wps:spPr>
                          <a:xfrm>
                            <a:off x="0" y="0"/>
                            <a:ext cx="176342" cy="449976"/>
                          </a:xfrm>
                          <a:prstGeom prst="rect">
                            <a:avLst/>
                          </a:prstGeom>
                          <a:ln>
                            <a:noFill/>
                          </a:ln>
                        </wps:spPr>
                        <wps:txbx>
                          <w:txbxContent>
                            <w:p w14:paraId="2A428091"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anchor>
            </w:drawing>
          </mc:Choice>
          <mc:Fallback>
            <w:pict>
              <v:group w14:anchorId="36B98829" id="Group 2454264" o:spid="_x0000_s1070" style="position:absolute;left:0;text-align:left;margin-left:1.1pt;margin-top:2.85pt;width:10.45pt;height:26.65pt;z-index:251678720;mso-position-horizontal-relative:text;mso-position-vertical-relative:text" coordsize="132588,338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">
                <v:rect id="Rectangle 66127" o:spid="_x0000_s1071" style="position:absolute;width:176342;height:449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" filled="f" stroked="f">
                  <v:textbox inset="0,0,0,0">
                    <w:txbxContent>
                      <w:p w14:paraId="2A428091" w14:textId="77777777" w:rsidR="00053D93" w:rsidRDefault="00260B75">
                        <w:r>
                          <w:rPr>
                            <w:rFonts w:ascii="Times New Roman" w:eastAsia="Times New Roman" w:hAnsi="Times New Roman" w:cs="Times New Roman"/>
                            <w:sz w:val="80"/>
                          </w:rPr>
                          <w:t>1</w:t>
                        </w:r>
                      </w:p>
                    </w:txbxContent>
                  </v:textbox>
                </v:rect>
                <w10:wrap type="square"/>
              </v:group>
            </w:pict>
          </mc:Fallback>
        </mc:AlternateContent>
      </w:r>
      <w:r>
        <w:rPr>
          <w:sz w:val="26"/>
        </w:rPr>
        <w:t>El Decreto Número 54-2022, del Congreso de la República de Guatemala, Ley del Presupuesto General de Ingresos y Egresos del Estado para el ejercicio fiscal Dos Mil Veintitrés, con vigencia para el ejercicio fiscal 2024.</w:t>
      </w:r>
    </w:p>
    <w:p w14:paraId="6CCDF194" w14:textId="77777777" w:rsidR="00053D93" w:rsidRDefault="00260B75">
      <w:pPr>
        <w:spacing w:after="0"/>
        <w:ind w:left="17" w:hanging="10"/>
      </w:pPr>
      <w:r>
        <w:rPr>
          <w:rFonts w:ascii="Times New Roman" w:eastAsia="Times New Roman" w:hAnsi="Times New Roman" w:cs="Times New Roman"/>
          <w:sz w:val="82"/>
        </w:rPr>
        <w:t>1</w:t>
      </w:r>
    </w:p>
    <w:p w14:paraId="33B99DBF" w14:textId="77777777" w:rsidR="00053D93" w:rsidRDefault="00260B75">
      <w:pPr>
        <w:spacing w:after="17" w:line="247" w:lineRule="auto"/>
        <w:ind w:left="14" w:right="14" w:firstLine="4"/>
        <w:jc w:val="both"/>
      </w:pPr>
      <w:r>
        <w:rPr>
          <w:sz w:val="26"/>
        </w:rPr>
        <w:t>El Decreto No. 1748, del Congreso de la República de Guatemala, Ley de Servicio Civil.</w:t>
      </w:r>
    </w:p>
    <w:p w14:paraId="72E58046" w14:textId="77777777" w:rsidR="00053D93" w:rsidRDefault="00260B75">
      <w:pPr>
        <w:spacing w:after="0"/>
        <w:ind w:left="22"/>
      </w:pPr>
      <w:r>
        <w:rPr>
          <w:noProof/>
        </w:rPr>
        <mc:AlternateContent>
          <mc:Choice Requires="wpg">
            <w:drawing>
              <wp:inline distT="0" distB="0" distL="0" distR="0" wp14:anchorId="2BFF4A29" wp14:editId="7BCCCCF3">
                <wp:extent cx="137160" cy="342900"/>
                <wp:effectExtent l="0" t="0" r="0" b="0"/>
                <wp:docPr id="2454263" name="Group 2454263"/>
                <wp:cNvGraphicFramePr/>
                <a:graphic xmlns:a="http://schemas.openxmlformats.org/drawingml/2006/main">
                  <a:graphicData uri="http://schemas.microsoft.com/office/word/2010/wordprocessingGroup">
                    <wpg:wgp>
                      <wpg:cNvGrpSpPr/>
                      <wpg:grpSpPr>
                        <a:xfrm>
                          <a:off x="0" y="0"/>
                          <a:ext cx="137160" cy="342900"/>
                          <a:chOff x="0" y="0"/>
                          <a:chExt cx="137160" cy="342900"/>
                        </a:xfrm>
                      </wpg:grpSpPr>
                      <wps:wsp>
                        <wps:cNvPr id="66129" name="Rectangle 66129"/>
                        <wps:cNvSpPr/>
                        <wps:spPr>
                          <a:xfrm>
                            <a:off x="0" y="0"/>
                            <a:ext cx="182423" cy="456057"/>
                          </a:xfrm>
                          <a:prstGeom prst="rect">
                            <a:avLst/>
                          </a:prstGeom>
                          <a:ln>
                            <a:noFill/>
                          </a:ln>
                        </wps:spPr>
                        <wps:txbx>
                          <w:txbxContent>
                            <w:p w14:paraId="5EFD2205"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inline>
            </w:drawing>
          </mc:Choice>
          <mc:Fallback>
            <w:pict>
              <v:group w14:anchorId="2BFF4A29" id="Group 2454263" o:spid="_x0000_s1072" style="width:10.8pt;height:27pt;mso-position-horizontal-relative:char;mso-position-vertical-relative:line" coordsize="13716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">
                <v:rect id="Rectangle 66129" o:spid="_x0000_s1073" style="position:absolute;width:182423;height:456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" filled="f" stroked="f">
                  <v:textbox inset="0,0,0,0">
                    <w:txbxContent>
                      <w:p w14:paraId="5EFD2205" w14:textId="77777777" w:rsidR="00053D93" w:rsidRDefault="00260B75">
                        <w:r>
                          <w:rPr>
                            <w:rFonts w:ascii="Times New Roman" w:eastAsia="Times New Roman" w:hAnsi="Times New Roman" w:cs="Times New Roman"/>
                            <w:sz w:val="82"/>
                          </w:rPr>
                          <w:t>1</w:t>
                        </w:r>
                      </w:p>
                    </w:txbxContent>
                  </v:textbox>
                </v:rect>
                <w10:anchorlock/>
              </v:group>
            </w:pict>
          </mc:Fallback>
        </mc:AlternateContent>
      </w:r>
    </w:p>
    <w:p w14:paraId="6977001A" w14:textId="77777777" w:rsidR="00053D93" w:rsidRDefault="00260B75">
      <w:pPr>
        <w:spacing w:after="299" w:line="247" w:lineRule="auto"/>
        <w:ind w:left="14" w:right="14" w:firstLine="4"/>
        <w:jc w:val="both"/>
      </w:pPr>
      <w:r>
        <w:rPr>
          <w:noProof/>
        </w:rPr>
        <mc:AlternateContent>
          <mc:Choice Requires="wpg">
            <w:drawing>
              <wp:anchor distT="0" distB="0" distL="114300" distR="114300" simplePos="0" relativeHeight="251679744" behindDoc="0" locked="0" layoutInCell="1" allowOverlap="1" wp14:anchorId="7ADF801C" wp14:editId="6B42997F">
                <wp:simplePos x="0" y="0"/>
                <wp:positionH relativeFrom="column">
                  <wp:posOffset>13716</wp:posOffset>
                </wp:positionH>
                <wp:positionV relativeFrom="paragraph">
                  <wp:posOffset>216742</wp:posOffset>
                </wp:positionV>
                <wp:extent cx="137160" cy="333756"/>
                <wp:effectExtent l="0" t="0" r="0" b="0"/>
                <wp:wrapSquare wrapText="bothSides"/>
                <wp:docPr id="2454265" name="Group 2454265"/>
                <wp:cNvGraphicFramePr/>
                <a:graphic xmlns:a="http://schemas.openxmlformats.org/drawingml/2006/main">
                  <a:graphicData uri="http://schemas.microsoft.com/office/word/2010/wordprocessingGroup">
                    <wpg:wgp>
                      <wpg:cNvGrpSpPr/>
                      <wpg:grpSpPr>
                        <a:xfrm>
                          <a:off x="0" y="0"/>
                          <a:ext cx="137160" cy="333756"/>
                          <a:chOff x="0" y="0"/>
                          <a:chExt cx="137160" cy="333756"/>
                        </a:xfrm>
                      </wpg:grpSpPr>
                      <wps:wsp>
                        <wps:cNvPr id="66130" name="Rectangle 66130"/>
                        <wps:cNvSpPr/>
                        <wps:spPr>
                          <a:xfrm>
                            <a:off x="0" y="0"/>
                            <a:ext cx="182423" cy="443896"/>
                          </a:xfrm>
                          <a:prstGeom prst="rect">
                            <a:avLst/>
                          </a:prstGeom>
                          <a:ln>
                            <a:noFill/>
                          </a:ln>
                        </wps:spPr>
                        <wps:txbx>
                          <w:txbxContent>
                            <w:p w14:paraId="4C551B49"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anchor>
            </w:drawing>
          </mc:Choice>
          <mc:Fallback>
            <w:pict>
              <v:group w14:anchorId="7ADF801C" id="Group 2454265" o:spid="_x0000_s1074" style="position:absolute;left:0;text-align:left;margin-left:1.1pt;margin-top:17.05pt;width:10.8pt;height:26.3pt;z-index:251679744;mso-position-horizontal-relative:text;mso-position-vertical-relative:text" coordsize="137160,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">
                <v:rect id="Rectangle 66130" o:spid="_x0000_s1075" style="position:absolute;width:182423;height:443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" filled="f" stroked="f">
                  <v:textbox inset="0,0,0,0">
                    <w:txbxContent>
                      <w:p w14:paraId="4C551B49" w14:textId="77777777" w:rsidR="00053D93" w:rsidRDefault="00260B75">
                        <w:r>
                          <w:rPr>
                            <w:rFonts w:ascii="Times New Roman" w:eastAsia="Times New Roman" w:hAnsi="Times New Roman" w:cs="Times New Roman"/>
                            <w:sz w:val="82"/>
                          </w:rPr>
                          <w:t>1</w:t>
                        </w:r>
                      </w:p>
                    </w:txbxContent>
                  </v:textbox>
                </v:rect>
                <w10:wrap type="square"/>
              </v:group>
            </w:pict>
          </mc:Fallback>
        </mc:AlternateContent>
      </w:r>
      <w:r>
        <w:rPr>
          <w:sz w:val="26"/>
        </w:rPr>
        <w:t>El Decreto Número 17-2024, del Congreso de la República de Guatemala, Ampliación al Presupuesto General de Ingresos y Egresos del Estado para el Ejercicio Fiscal 2024.</w:t>
      </w:r>
    </w:p>
    <w:p w14:paraId="154BDD42" w14:textId="77777777" w:rsidR="00053D93" w:rsidRDefault="00260B75">
      <w:pPr>
        <w:spacing w:after="655" w:line="247" w:lineRule="auto"/>
        <w:ind w:left="14" w:right="14" w:firstLine="4"/>
        <w:jc w:val="both"/>
      </w:pPr>
      <w:r>
        <w:rPr>
          <w:noProof/>
        </w:rPr>
        <mc:AlternateContent>
          <mc:Choice Requires="wpg">
            <w:drawing>
              <wp:anchor distT="0" distB="0" distL="114300" distR="114300" simplePos="0" relativeHeight="251680768" behindDoc="0" locked="0" layoutInCell="1" allowOverlap="1" wp14:anchorId="7507898E" wp14:editId="3D35067F">
                <wp:simplePos x="0" y="0"/>
                <wp:positionH relativeFrom="column">
                  <wp:posOffset>13716</wp:posOffset>
                </wp:positionH>
                <wp:positionV relativeFrom="paragraph">
                  <wp:posOffset>-46202</wp:posOffset>
                </wp:positionV>
                <wp:extent cx="137160" cy="329184"/>
                <wp:effectExtent l="0" t="0" r="0" b="0"/>
                <wp:wrapSquare wrapText="bothSides"/>
                <wp:docPr id="2454266" name="Group 2454266"/>
                <wp:cNvGraphicFramePr/>
                <a:graphic xmlns:a="http://schemas.openxmlformats.org/drawingml/2006/main">
                  <a:graphicData uri="http://schemas.microsoft.com/office/word/2010/wordprocessingGroup">
                    <wpg:wgp>
                      <wpg:cNvGrpSpPr/>
                      <wpg:grpSpPr>
                        <a:xfrm>
                          <a:off x="0" y="0"/>
                          <a:ext cx="137160" cy="329184"/>
                          <a:chOff x="0" y="0"/>
                          <a:chExt cx="137160" cy="329184"/>
                        </a:xfrm>
                      </wpg:grpSpPr>
                      <wps:wsp>
                        <wps:cNvPr id="66131" name="Rectangle 66131"/>
                        <wps:cNvSpPr/>
                        <wps:spPr>
                          <a:xfrm>
                            <a:off x="0" y="0"/>
                            <a:ext cx="182423" cy="437814"/>
                          </a:xfrm>
                          <a:prstGeom prst="rect">
                            <a:avLst/>
                          </a:prstGeom>
                          <a:ln>
                            <a:noFill/>
                          </a:ln>
                        </wps:spPr>
                        <wps:txbx>
                          <w:txbxContent>
                            <w:p w14:paraId="62120063"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anchor>
            </w:drawing>
          </mc:Choice>
          <mc:Fallback>
            <w:pict>
              <v:group w14:anchorId="7507898E" id="Group 2454266" o:spid="_x0000_s1076" style="position:absolute;left:0;text-align:left;margin-left:1.1pt;margin-top:-3.65pt;width:10.8pt;height:25.9pt;z-index:251680768;mso-position-horizontal-relative:text;mso-position-vertical-relative:text" coordsize="137160,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">
                <v:rect id="Rectangle 66131" o:spid="_x0000_s1077" style="position:absolute;width:182423;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" filled="f" stroked="f">
                  <v:textbox inset="0,0,0,0">
                    <w:txbxContent>
                      <w:p w14:paraId="62120063" w14:textId="77777777" w:rsidR="00053D93" w:rsidRDefault="00260B75">
                        <w:r>
                          <w:rPr>
                            <w:rFonts w:ascii="Times New Roman" w:eastAsia="Times New Roman" w:hAnsi="Times New Roman" w:cs="Times New Roman"/>
                            <w:sz w:val="82"/>
                          </w:rPr>
                          <w:t>1</w:t>
                        </w:r>
                      </w:p>
                    </w:txbxContent>
                  </v:textbox>
                </v:rect>
                <w10:wrap type="square"/>
              </v:group>
            </w:pict>
          </mc:Fallback>
        </mc:AlternateContent>
      </w:r>
      <w:r>
        <w:rPr>
          <w:sz w:val="26"/>
        </w:rPr>
        <w:t>El Acuerdo Gubernativo Número 217-94, del Presidente de la República, Reglamento de Inventarios de los Bienes Muebles de la Administración Pública.</w:t>
      </w:r>
    </w:p>
    <w:p w14:paraId="1A73F177" w14:textId="77777777" w:rsidR="00053D93" w:rsidRDefault="00260B75">
      <w:pPr>
        <w:tabs>
          <w:tab w:val="right" w:pos="10166"/>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El Acuerdo Gubernativo Número 613-2005, del Presidente de la República,</w:t>
      </w:r>
    </w:p>
    <w:p w14:paraId="6D031674" w14:textId="77777777" w:rsidR="00053D93" w:rsidRDefault="00260B75">
      <w:pPr>
        <w:spacing w:after="56" w:line="247" w:lineRule="auto"/>
        <w:ind w:left="14" w:right="14" w:firstLine="1685"/>
        <w:jc w:val="both"/>
      </w:pPr>
      <w:r>
        <w:rPr>
          <w:sz w:val="26"/>
        </w:rPr>
        <w:t xml:space="preserve">Reglamento de la Ley de Probidad y Responsabilidades de Funcionarios y </w:t>
      </w:r>
      <w:r>
        <w:rPr>
          <w:rFonts w:ascii="Times New Roman" w:eastAsia="Times New Roman" w:hAnsi="Times New Roman" w:cs="Times New Roman"/>
          <w:sz w:val="26"/>
        </w:rPr>
        <w:t xml:space="preserve">1 </w:t>
      </w:r>
      <w:r>
        <w:rPr>
          <w:sz w:val="26"/>
        </w:rPr>
        <w:t>Empleados Públicos.</w:t>
      </w:r>
    </w:p>
    <w:p w14:paraId="2A815122" w14:textId="77777777" w:rsidR="00053D93" w:rsidRDefault="00260B75">
      <w:pPr>
        <w:spacing w:after="80" w:line="247" w:lineRule="auto"/>
        <w:ind w:left="14" w:right="14" w:firstLine="1685"/>
        <w:jc w:val="both"/>
      </w:pPr>
      <w:r>
        <w:rPr>
          <w:noProof/>
        </w:rPr>
        <w:drawing>
          <wp:anchor distT="0" distB="0" distL="114300" distR="114300" simplePos="0" relativeHeight="251681792" behindDoc="0" locked="0" layoutInCell="1" allowOverlap="0" wp14:anchorId="3646FDFE" wp14:editId="5C8ADA87">
            <wp:simplePos x="0" y="0"/>
            <wp:positionH relativeFrom="page">
              <wp:posOffset>6757416</wp:posOffset>
            </wp:positionH>
            <wp:positionV relativeFrom="page">
              <wp:posOffset>6885433</wp:posOffset>
            </wp:positionV>
            <wp:extent cx="13715" cy="9143"/>
            <wp:effectExtent l="0" t="0" r="0" b="0"/>
            <wp:wrapSquare wrapText="bothSides"/>
            <wp:docPr id="68233" name="Picture 68233"/>
            <wp:cNvGraphicFramePr/>
            <a:graphic xmlns:a="http://schemas.openxmlformats.org/drawingml/2006/main">
              <a:graphicData uri="http://schemas.openxmlformats.org/drawingml/2006/picture">
                <pic:pic xmlns:pic="http://schemas.openxmlformats.org/drawingml/2006/picture">
                  <pic:nvPicPr>
                    <pic:cNvPr id="68233" name="Picture 68233"/>
                    <pic:cNvPicPr/>
                  </pic:nvPicPr>
                  <pic:blipFill>
                    <a:blip r:embed="rId76"/>
                    <a:stretch>
                      <a:fillRect/>
                    </a:stretch>
                  </pic:blipFill>
                  <pic:spPr>
                    <a:xfrm>
                      <a:off x="0" y="0"/>
                      <a:ext cx="13715" cy="9143"/>
                    </a:xfrm>
                    <a:prstGeom prst="rect">
                      <a:avLst/>
                    </a:prstGeom>
                  </pic:spPr>
                </pic:pic>
              </a:graphicData>
            </a:graphic>
          </wp:anchor>
        </w:drawing>
      </w:r>
      <w:r>
        <w:rPr>
          <w:noProof/>
        </w:rPr>
        <w:drawing>
          <wp:anchor distT="0" distB="0" distL="114300" distR="114300" simplePos="0" relativeHeight="251682816" behindDoc="0" locked="0" layoutInCell="1" allowOverlap="0" wp14:anchorId="55EE6467" wp14:editId="358EAAD2">
            <wp:simplePos x="0" y="0"/>
            <wp:positionH relativeFrom="page">
              <wp:posOffset>201168</wp:posOffset>
            </wp:positionH>
            <wp:positionV relativeFrom="page">
              <wp:posOffset>9930384</wp:posOffset>
            </wp:positionV>
            <wp:extent cx="13716" cy="18288"/>
            <wp:effectExtent l="0" t="0" r="0" b="0"/>
            <wp:wrapTopAndBottom/>
            <wp:docPr id="68234" name="Picture 68234"/>
            <wp:cNvGraphicFramePr/>
            <a:graphic xmlns:a="http://schemas.openxmlformats.org/drawingml/2006/main">
              <a:graphicData uri="http://schemas.openxmlformats.org/drawingml/2006/picture">
                <pic:pic xmlns:pic="http://schemas.openxmlformats.org/drawingml/2006/picture">
                  <pic:nvPicPr>
                    <pic:cNvPr id="68234" name="Picture 68234"/>
                    <pic:cNvPicPr/>
                  </pic:nvPicPr>
                  <pic:blipFill>
                    <a:blip r:embed="rId77"/>
                    <a:stretch>
                      <a:fillRect/>
                    </a:stretch>
                  </pic:blipFill>
                  <pic:spPr>
                    <a:xfrm>
                      <a:off x="0" y="0"/>
                      <a:ext cx="13716" cy="18288"/>
                    </a:xfrm>
                    <a:prstGeom prst="rect">
                      <a:avLst/>
                    </a:prstGeom>
                  </pic:spPr>
                </pic:pic>
              </a:graphicData>
            </a:graphic>
          </wp:anchor>
        </w:drawing>
      </w:r>
      <w:r>
        <w:rPr>
          <w:sz w:val="26"/>
        </w:rPr>
        <w:t xml:space="preserve">El Acuerdo Gubernativo No. 540-201 3, del Presidente de la República, </w:t>
      </w:r>
      <w:r>
        <w:rPr>
          <w:rFonts w:ascii="Times New Roman" w:eastAsia="Times New Roman" w:hAnsi="Times New Roman" w:cs="Times New Roman"/>
          <w:sz w:val="26"/>
        </w:rPr>
        <w:t xml:space="preserve">1 </w:t>
      </w:r>
      <w:r>
        <w:rPr>
          <w:sz w:val="26"/>
        </w:rPr>
        <w:t>Reglamento de la Ley Orgánica del Presupuesto.</w:t>
      </w:r>
    </w:p>
    <w:p w14:paraId="3E125BE5" w14:textId="77777777" w:rsidR="00053D93" w:rsidRDefault="00260B75">
      <w:pPr>
        <w:spacing w:after="229" w:line="247" w:lineRule="auto"/>
        <w:ind w:left="14" w:right="14" w:firstLine="1462"/>
        <w:jc w:val="both"/>
      </w:pPr>
      <w:r>
        <w:rPr>
          <w:sz w:val="26"/>
        </w:rPr>
        <w:t xml:space="preserve">El Acuerdo Gubernativo Número 55-2016, del Presidente de la República, </w:t>
      </w:r>
      <w:r>
        <w:rPr>
          <w:noProof/>
        </w:rPr>
        <mc:AlternateContent>
          <mc:Choice Requires="wpg">
            <w:drawing>
              <wp:inline distT="0" distB="0" distL="0" distR="0" wp14:anchorId="3D3C073E" wp14:editId="42EE9DE8">
                <wp:extent cx="137160" cy="329184"/>
                <wp:effectExtent l="0" t="0" r="0" b="0"/>
                <wp:docPr id="2454267" name="Group 2454267"/>
                <wp:cNvGraphicFramePr/>
                <a:graphic xmlns:a="http://schemas.openxmlformats.org/drawingml/2006/main">
                  <a:graphicData uri="http://schemas.microsoft.com/office/word/2010/wordprocessingGroup">
                    <wpg:wgp>
                      <wpg:cNvGrpSpPr/>
                      <wpg:grpSpPr>
                        <a:xfrm>
                          <a:off x="0" y="0"/>
                          <a:ext cx="137160" cy="329184"/>
                          <a:chOff x="0" y="0"/>
                          <a:chExt cx="137160" cy="329184"/>
                        </a:xfrm>
                      </wpg:grpSpPr>
                      <wps:wsp>
                        <wps:cNvPr id="66135" name="Rectangle 66135"/>
                        <wps:cNvSpPr/>
                        <wps:spPr>
                          <a:xfrm>
                            <a:off x="0" y="0"/>
                            <a:ext cx="182423" cy="437814"/>
                          </a:xfrm>
                          <a:prstGeom prst="rect">
                            <a:avLst/>
                          </a:prstGeom>
                          <a:ln>
                            <a:noFill/>
                          </a:ln>
                        </wps:spPr>
                        <wps:txbx>
                          <w:txbxContent>
                            <w:p w14:paraId="5D58A0D9"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inline>
            </w:drawing>
          </mc:Choice>
          <mc:Fallback>
            <w:pict>
              <v:group w14:anchorId="3D3C073E" id="Group 2454267" o:spid="_x0000_s1078" style="width:10.8pt;height:25.9pt;mso-position-horizontal-relative:char;mso-position-vertical-relative:line" coordsize="137160,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">
                <v:rect id="Rectangle 66135" o:spid="_x0000_s1079" style="position:absolute;width:182423;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" filled="f" stroked="f">
                  <v:textbox inset="0,0,0,0">
                    <w:txbxContent>
                      <w:p w14:paraId="5D58A0D9" w14:textId="77777777" w:rsidR="00053D93" w:rsidRDefault="00260B75">
                        <w:r>
                          <w:rPr>
                            <w:rFonts w:ascii="Times New Roman" w:eastAsia="Times New Roman" w:hAnsi="Times New Roman" w:cs="Times New Roman"/>
                            <w:sz w:val="82"/>
                          </w:rPr>
                          <w:t>1</w:t>
                        </w:r>
                      </w:p>
                    </w:txbxContent>
                  </v:textbox>
                </v:rect>
                <w10:anchorlock/>
              </v:group>
            </w:pict>
          </mc:Fallback>
        </mc:AlternateContent>
      </w:r>
      <w:r>
        <w:rPr>
          <w:sz w:val="26"/>
        </w:rPr>
        <w:t xml:space="preserve"> Reglamento de Manejo de Subsidios y Subvenciones.</w:t>
      </w:r>
    </w:p>
    <w:p w14:paraId="615C3229" w14:textId="77777777" w:rsidR="00053D93" w:rsidRDefault="00260B75">
      <w:pPr>
        <w:spacing w:after="329" w:line="247" w:lineRule="auto"/>
        <w:ind w:left="14" w:right="14" w:firstLine="4"/>
        <w:jc w:val="both"/>
      </w:pPr>
      <w:r>
        <w:rPr>
          <w:noProof/>
        </w:rPr>
        <mc:AlternateContent>
          <mc:Choice Requires="wpg">
            <w:drawing>
              <wp:anchor distT="0" distB="0" distL="114300" distR="114300" simplePos="0" relativeHeight="251683840" behindDoc="0" locked="0" layoutInCell="1" allowOverlap="1" wp14:anchorId="572C9297" wp14:editId="6400855E">
                <wp:simplePos x="0" y="0"/>
                <wp:positionH relativeFrom="column">
                  <wp:posOffset>9144</wp:posOffset>
                </wp:positionH>
                <wp:positionV relativeFrom="paragraph">
                  <wp:posOffset>13317</wp:posOffset>
                </wp:positionV>
                <wp:extent cx="141732" cy="329184"/>
                <wp:effectExtent l="0" t="0" r="0" b="0"/>
                <wp:wrapSquare wrapText="bothSides"/>
                <wp:docPr id="2454268" name="Group 2454268"/>
                <wp:cNvGraphicFramePr/>
                <a:graphic xmlns:a="http://schemas.openxmlformats.org/drawingml/2006/main">
                  <a:graphicData uri="http://schemas.microsoft.com/office/word/2010/wordprocessingGroup">
                    <wpg:wgp>
                      <wpg:cNvGrpSpPr/>
                      <wpg:grpSpPr>
                        <a:xfrm>
                          <a:off x="0" y="0"/>
                          <a:ext cx="141732" cy="329184"/>
                          <a:chOff x="0" y="0"/>
                          <a:chExt cx="141732" cy="329184"/>
                        </a:xfrm>
                      </wpg:grpSpPr>
                      <wps:wsp>
                        <wps:cNvPr id="66136" name="Rectangle 66136"/>
                        <wps:cNvSpPr/>
                        <wps:spPr>
                          <a:xfrm>
                            <a:off x="0" y="0"/>
                            <a:ext cx="188504" cy="437814"/>
                          </a:xfrm>
                          <a:prstGeom prst="rect">
                            <a:avLst/>
                          </a:prstGeom>
                          <a:ln>
                            <a:noFill/>
                          </a:ln>
                        </wps:spPr>
                        <wps:txbx>
                          <w:txbxContent>
                            <w:p w14:paraId="507090F7"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572C9297" id="Group 2454268" o:spid="_x0000_s1080" style="position:absolute;left:0;text-align:left;margin-left:.7pt;margin-top:1.05pt;width:11.15pt;height:25.9pt;z-index:251683840;mso-position-horizontal-relative:text;mso-position-vertical-relative:text" coordsize="141732,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">
                <v:rect id="Rectangle 66136" o:spid="_x0000_s1081" style="position:absolute;width:188504;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" filled="f" stroked="f">
                  <v:textbox inset="0,0,0,0">
                    <w:txbxContent>
                      <w:p w14:paraId="507090F7" w14:textId="77777777" w:rsidR="00053D93" w:rsidRDefault="00260B75">
                        <w:r>
                          <w:rPr>
                            <w:rFonts w:ascii="Times New Roman" w:eastAsia="Times New Roman" w:hAnsi="Times New Roman" w:cs="Times New Roman"/>
                            <w:sz w:val="86"/>
                          </w:rPr>
                          <w:t>1</w:t>
                        </w:r>
                      </w:p>
                    </w:txbxContent>
                  </v:textbox>
                </v:rect>
                <w10:wrap type="square"/>
              </v:group>
            </w:pict>
          </mc:Fallback>
        </mc:AlternateContent>
      </w:r>
      <w:r>
        <w:rPr>
          <w:sz w:val="26"/>
        </w:rPr>
        <w:t>El Acuerdo Gubernativo Número 106-2016, del Presidente de la República, Reglamento General de Viáticos y Gastos Conexos.</w:t>
      </w:r>
    </w:p>
    <w:p w14:paraId="28FD4429" w14:textId="77777777" w:rsidR="00053D93" w:rsidRDefault="00260B75">
      <w:pPr>
        <w:spacing w:after="695" w:line="247" w:lineRule="auto"/>
        <w:ind w:left="14" w:right="14" w:firstLine="4"/>
        <w:jc w:val="both"/>
      </w:pPr>
      <w:r>
        <w:rPr>
          <w:noProof/>
        </w:rPr>
        <mc:AlternateContent>
          <mc:Choice Requires="wpg">
            <w:drawing>
              <wp:anchor distT="0" distB="0" distL="114300" distR="114300" simplePos="0" relativeHeight="251684864" behindDoc="0" locked="0" layoutInCell="1" allowOverlap="1" wp14:anchorId="0309512D" wp14:editId="177BDFA7">
                <wp:simplePos x="0" y="0"/>
                <wp:positionH relativeFrom="column">
                  <wp:posOffset>9144</wp:posOffset>
                </wp:positionH>
                <wp:positionV relativeFrom="paragraph">
                  <wp:posOffset>-54156</wp:posOffset>
                </wp:positionV>
                <wp:extent cx="141732" cy="329185"/>
                <wp:effectExtent l="0" t="0" r="0" b="0"/>
                <wp:wrapSquare wrapText="bothSides"/>
                <wp:docPr id="2454269" name="Group 2454269"/>
                <wp:cNvGraphicFramePr/>
                <a:graphic xmlns:a="http://schemas.openxmlformats.org/drawingml/2006/main">
                  <a:graphicData uri="http://schemas.microsoft.com/office/word/2010/wordprocessingGroup">
                    <wpg:wgp>
                      <wpg:cNvGrpSpPr/>
                      <wpg:grpSpPr>
                        <a:xfrm>
                          <a:off x="0" y="0"/>
                          <a:ext cx="141732" cy="329185"/>
                          <a:chOff x="0" y="0"/>
                          <a:chExt cx="141732" cy="329185"/>
                        </a:xfrm>
                      </wpg:grpSpPr>
                      <wps:wsp>
                        <wps:cNvPr id="66137" name="Rectangle 66137"/>
                        <wps:cNvSpPr/>
                        <wps:spPr>
                          <a:xfrm>
                            <a:off x="0" y="0"/>
                            <a:ext cx="188504" cy="437815"/>
                          </a:xfrm>
                          <a:prstGeom prst="rect">
                            <a:avLst/>
                          </a:prstGeom>
                          <a:ln>
                            <a:noFill/>
                          </a:ln>
                        </wps:spPr>
                        <wps:txbx>
                          <w:txbxContent>
                            <w:p w14:paraId="15ED09A5"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0309512D" id="Group 2454269" o:spid="_x0000_s1082" style="position:absolute;left:0;text-align:left;margin-left:.7pt;margin-top:-4.25pt;width:11.15pt;height:25.9pt;z-index:251684864;mso-position-horizontal-relative:text;mso-position-vertical-relative:text" coordsize="141732,329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">
                <v:rect id="Rectangle 66137" o:spid="_x0000_s1083" style="position:absolute;width:188504;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" filled="f" stroked="f">
                  <v:textbox inset="0,0,0,0">
                    <w:txbxContent>
                      <w:p w14:paraId="15ED09A5" w14:textId="77777777" w:rsidR="00053D93" w:rsidRDefault="00260B75">
                        <w:r>
                          <w:rPr>
                            <w:rFonts w:ascii="Times New Roman" w:eastAsia="Times New Roman" w:hAnsi="Times New Roman" w:cs="Times New Roman"/>
                            <w:sz w:val="86"/>
                          </w:rPr>
                          <w:t>1</w:t>
                        </w:r>
                      </w:p>
                    </w:txbxContent>
                  </v:textbox>
                </v:rect>
                <w10:wrap type="square"/>
              </v:group>
            </w:pict>
          </mc:Fallback>
        </mc:AlternateContent>
      </w:r>
      <w:r>
        <w:rPr>
          <w:sz w:val="26"/>
        </w:rPr>
        <w:t>El Acuerdo Gubernativo No. 122-2016, del Presidente de la República, Reglamento de la Ley de Contrataciones del Estado.</w:t>
      </w:r>
    </w:p>
    <w:p w14:paraId="172C96A3" w14:textId="77777777" w:rsidR="00053D93" w:rsidRDefault="00260B75">
      <w:pPr>
        <w:tabs>
          <w:tab w:val="right" w:pos="10166"/>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El Acuerdo Número 93-2018, de la Fiscal General de la República y Jefa del</w:t>
      </w:r>
    </w:p>
    <w:p w14:paraId="249BB878" w14:textId="77777777" w:rsidR="00053D93" w:rsidRDefault="00260B75">
      <w:pPr>
        <w:spacing w:after="17" w:line="247" w:lineRule="auto"/>
        <w:ind w:left="14" w:right="14" w:firstLine="1678"/>
        <w:jc w:val="both"/>
      </w:pPr>
      <w:r>
        <w:rPr>
          <w:sz w:val="26"/>
        </w:rPr>
        <w:t xml:space="preserve">Ministerio Público, Reglamento del Registro Nacional de Agresores Sexuales del </w:t>
      </w:r>
      <w:r>
        <w:rPr>
          <w:rFonts w:ascii="Times New Roman" w:eastAsia="Times New Roman" w:hAnsi="Times New Roman" w:cs="Times New Roman"/>
          <w:sz w:val="26"/>
        </w:rPr>
        <w:t xml:space="preserve">1 </w:t>
      </w:r>
      <w:r>
        <w:rPr>
          <w:sz w:val="26"/>
        </w:rPr>
        <w:t>Ministerio Público.</w:t>
      </w:r>
    </w:p>
    <w:p w14:paraId="0500917D" w14:textId="77777777" w:rsidR="00053D93" w:rsidRDefault="00260B75">
      <w:pPr>
        <w:spacing w:after="17" w:line="247" w:lineRule="auto"/>
        <w:ind w:left="14" w:right="14" w:firstLine="1685"/>
        <w:jc w:val="both"/>
      </w:pPr>
      <w:r>
        <w:rPr>
          <w:sz w:val="26"/>
        </w:rPr>
        <w:t xml:space="preserve">El Acuerdo Gubernativo No. 96-2019, del Presidente de la República, Reglamento </w:t>
      </w:r>
      <w:r>
        <w:rPr>
          <w:rFonts w:ascii="Times New Roman" w:eastAsia="Times New Roman" w:hAnsi="Times New Roman" w:cs="Times New Roman"/>
          <w:sz w:val="26"/>
        </w:rPr>
        <w:t xml:space="preserve">1 </w:t>
      </w:r>
      <w:r>
        <w:rPr>
          <w:sz w:val="26"/>
        </w:rPr>
        <w:t>de la Ley Orgánica de la Contraloría General de Cuentas.</w:t>
      </w:r>
    </w:p>
    <w:p w14:paraId="01DA1D3D" w14:textId="77777777" w:rsidR="00053D93" w:rsidRDefault="00260B75">
      <w:pPr>
        <w:spacing w:after="17" w:line="247" w:lineRule="auto"/>
        <w:ind w:left="14" w:right="14" w:firstLine="1678"/>
        <w:jc w:val="both"/>
      </w:pPr>
      <w:r>
        <w:rPr>
          <w:sz w:val="26"/>
        </w:rPr>
        <w:t xml:space="preserve">El Acuerdo Ministerial No. 25-2010 "A", del Ministro de Finanzas Públicas, de los </w:t>
      </w:r>
      <w:r>
        <w:rPr>
          <w:rFonts w:ascii="Times New Roman" w:eastAsia="Times New Roman" w:hAnsi="Times New Roman" w:cs="Times New Roman"/>
          <w:sz w:val="26"/>
        </w:rPr>
        <w:t xml:space="preserve">1 </w:t>
      </w:r>
      <w:r>
        <w:rPr>
          <w:sz w:val="26"/>
        </w:rPr>
        <w:t>Manuales y Programación de Anticipos.</w:t>
      </w:r>
    </w:p>
    <w:p w14:paraId="27A062D0" w14:textId="77777777" w:rsidR="00053D93" w:rsidRDefault="00260B75">
      <w:pPr>
        <w:spacing w:after="17" w:line="247" w:lineRule="auto"/>
        <w:ind w:left="1670" w:right="94" w:firstLine="4"/>
        <w:jc w:val="both"/>
      </w:pPr>
      <w:r>
        <w:rPr>
          <w:sz w:val="26"/>
        </w:rPr>
        <w:lastRenderedPageBreak/>
        <w:t>El Acuerdo Ministerial Número 50-2022, del Ministro de Finanzas Públicas, Manual de Inventarios de Activos Fijos en el SICOIN WEB, que será utilizado a través del Sistema de Contabilidad Integrada SICOIN WEB.</w:t>
      </w:r>
    </w:p>
    <w:tbl>
      <w:tblPr>
        <w:tblStyle w:val="TableGrid"/>
        <w:tblW w:w="9432" w:type="dxa"/>
        <w:tblInd w:w="706" w:type="dxa"/>
        <w:tblLook w:val="04A0" w:firstRow="1" w:lastRow="0" w:firstColumn="1" w:lastColumn="0" w:noHBand="0" w:noVBand="1"/>
      </w:tblPr>
      <w:tblGrid>
        <w:gridCol w:w="1298"/>
        <w:gridCol w:w="8162"/>
      </w:tblGrid>
      <w:tr w:rsidR="00053D93" w14:paraId="67264FCD" w14:textId="77777777">
        <w:trPr>
          <w:trHeight w:val="641"/>
        </w:trPr>
        <w:tc>
          <w:tcPr>
            <w:tcW w:w="1791" w:type="dxa"/>
            <w:tcBorders>
              <w:top w:val="nil"/>
              <w:left w:val="nil"/>
              <w:bottom w:val="nil"/>
              <w:right w:val="nil"/>
            </w:tcBorders>
          </w:tcPr>
          <w:p w14:paraId="4EFB7B23" w14:textId="77777777" w:rsidR="00053D93" w:rsidRDefault="00260B75">
            <w:r>
              <w:rPr>
                <w:noProof/>
              </w:rPr>
              <w:drawing>
                <wp:inline distT="0" distB="0" distL="0" distR="0" wp14:anchorId="063FB4E8" wp14:editId="550BEB57">
                  <wp:extent cx="1124712" cy="406909"/>
                  <wp:effectExtent l="0" t="0" r="0" b="0"/>
                  <wp:docPr id="68290" name="Picture 68290"/>
                  <wp:cNvGraphicFramePr/>
                  <a:graphic xmlns:a="http://schemas.openxmlformats.org/drawingml/2006/main">
                    <a:graphicData uri="http://schemas.openxmlformats.org/drawingml/2006/picture">
                      <pic:pic xmlns:pic="http://schemas.openxmlformats.org/drawingml/2006/picture">
                        <pic:nvPicPr>
                          <pic:cNvPr id="68290" name="Picture 68290"/>
                          <pic:cNvPicPr/>
                        </pic:nvPicPr>
                        <pic:blipFill>
                          <a:blip r:embed="rId78"/>
                          <a:stretch>
                            <a:fillRect/>
                          </a:stretch>
                        </pic:blipFill>
                        <pic:spPr>
                          <a:xfrm>
                            <a:off x="0" y="0"/>
                            <a:ext cx="1124712" cy="406909"/>
                          </a:xfrm>
                          <a:prstGeom prst="rect">
                            <a:avLst/>
                          </a:prstGeom>
                        </pic:spPr>
                      </pic:pic>
                    </a:graphicData>
                  </a:graphic>
                </wp:inline>
              </w:drawing>
            </w:r>
          </w:p>
        </w:tc>
        <w:tc>
          <w:tcPr>
            <w:tcW w:w="7641" w:type="dxa"/>
            <w:tcBorders>
              <w:top w:val="nil"/>
              <w:left w:val="nil"/>
              <w:bottom w:val="nil"/>
              <w:right w:val="nil"/>
            </w:tcBorders>
          </w:tcPr>
          <w:p w14:paraId="20AFD9B0" w14:textId="77777777" w:rsidR="00053D93" w:rsidRDefault="00053D93">
            <w:pPr>
              <w:ind w:left="-2814" w:right="10454"/>
            </w:pPr>
          </w:p>
          <w:tbl>
            <w:tblPr>
              <w:tblStyle w:val="TableGrid"/>
              <w:tblW w:w="7620" w:type="dxa"/>
              <w:tblInd w:w="20" w:type="dxa"/>
              <w:tblCellMar>
                <w:top w:w="25" w:type="dxa"/>
                <w:left w:w="1731" w:type="dxa"/>
                <w:right w:w="115" w:type="dxa"/>
              </w:tblCellMar>
              <w:tblLook w:val="04A0" w:firstRow="1" w:lastRow="0" w:firstColumn="1" w:lastColumn="0" w:noHBand="0" w:noVBand="1"/>
            </w:tblPr>
            <w:tblGrid>
              <w:gridCol w:w="7620"/>
            </w:tblGrid>
            <w:tr w:rsidR="00053D93" w14:paraId="2DAE2AE8" w14:textId="77777777">
              <w:trPr>
                <w:trHeight w:val="50"/>
              </w:trPr>
              <w:tc>
                <w:tcPr>
                  <w:tcW w:w="7620" w:type="dxa"/>
                  <w:tcBorders>
                    <w:top w:val="nil"/>
                    <w:left w:val="single" w:sz="2" w:space="0" w:color="000000"/>
                    <w:bottom w:val="single" w:sz="2" w:space="0" w:color="000000"/>
                    <w:right w:val="nil"/>
                  </w:tcBorders>
                </w:tcPr>
                <w:p w14:paraId="153F04F7" w14:textId="77777777" w:rsidR="00053D93" w:rsidRDefault="00053D93"/>
              </w:tc>
            </w:tr>
            <w:tr w:rsidR="00053D93" w14:paraId="5D848A7D" w14:textId="77777777">
              <w:trPr>
                <w:trHeight w:val="590"/>
              </w:trPr>
              <w:tc>
                <w:tcPr>
                  <w:tcW w:w="7620" w:type="dxa"/>
                  <w:tcBorders>
                    <w:top w:val="single" w:sz="2" w:space="0" w:color="000000"/>
                    <w:left w:val="single" w:sz="2" w:space="0" w:color="000000"/>
                    <w:bottom w:val="nil"/>
                    <w:right w:val="nil"/>
                  </w:tcBorders>
                </w:tcPr>
                <w:p w14:paraId="0DB0E272" w14:textId="77777777" w:rsidR="00053D93" w:rsidRDefault="00260B75">
                  <w:pPr>
                    <w:ind w:left="835"/>
                  </w:pPr>
                  <w:r>
                    <w:rPr>
                      <w:sz w:val="14"/>
                    </w:rPr>
                    <w:t>MINISTERIO DE EDUCACION</w:t>
                  </w:r>
                </w:p>
                <w:p w14:paraId="55EBF2EC" w14:textId="77777777" w:rsidR="00053D93" w:rsidRDefault="00260B75">
                  <w:pPr>
                    <w:ind w:left="338"/>
                  </w:pPr>
                  <w:r>
                    <w:rPr>
                      <w:sz w:val="14"/>
                    </w:rPr>
                    <w:t>AUDITORIA FINANCIERA Y OE CUMPLIMIENTO</w:t>
                  </w:r>
                </w:p>
                <w:p w14:paraId="57D33AD3" w14:textId="77777777" w:rsidR="00053D93" w:rsidRDefault="00260B75">
                  <w:r>
                    <w:rPr>
                      <w:sz w:val="14"/>
                    </w:rPr>
                    <w:t>PERIODO DEL 01 DE ENERO AL 31 DE DICIEMBRE DE 2024</w:t>
                  </w:r>
                </w:p>
              </w:tc>
            </w:tr>
          </w:tbl>
          <w:p w14:paraId="40C1D572" w14:textId="77777777" w:rsidR="00053D93" w:rsidRDefault="00053D93"/>
        </w:tc>
      </w:tr>
    </w:tbl>
    <w:p w14:paraId="43D06010" w14:textId="77777777" w:rsidR="00053D93" w:rsidRDefault="00053D93">
      <w:pPr>
        <w:sectPr w:rsidR="00053D93">
          <w:headerReference w:type="even" r:id="rId79"/>
          <w:headerReference w:type="default" r:id="rId80"/>
          <w:footerReference w:type="even" r:id="rId81"/>
          <w:footerReference w:type="default" r:id="rId82"/>
          <w:headerReference w:type="first" r:id="rId83"/>
          <w:footerReference w:type="first" r:id="rId84"/>
          <w:pgSz w:w="12290" w:h="15912"/>
          <w:pgMar w:top="655" w:right="1807" w:bottom="778" w:left="317" w:header="655" w:footer="230" w:gutter="0"/>
          <w:cols w:space="720"/>
        </w:sectPr>
      </w:pPr>
    </w:p>
    <w:p w14:paraId="2C021191" w14:textId="77777777" w:rsidR="00053D93" w:rsidRDefault="00260B75">
      <w:pPr>
        <w:spacing w:after="125" w:line="332" w:lineRule="auto"/>
        <w:ind w:left="5288" w:hanging="10"/>
        <w:jc w:val="center"/>
      </w:pPr>
      <w:r>
        <w:rPr>
          <w:sz w:val="16"/>
        </w:rPr>
        <w:lastRenderedPageBreak/>
        <w:t xml:space="preserve">At </w:t>
      </w:r>
    </w:p>
    <w:p w14:paraId="6668B3A7" w14:textId="77777777" w:rsidR="00053D93" w:rsidRDefault="00260B75">
      <w:pPr>
        <w:spacing w:after="342"/>
        <w:ind w:left="1699"/>
      </w:pPr>
      <w:r>
        <w:rPr>
          <w:noProof/>
        </w:rPr>
        <mc:AlternateContent>
          <mc:Choice Requires="wpg">
            <w:drawing>
              <wp:inline distT="0" distB="0" distL="0" distR="0" wp14:anchorId="45505840" wp14:editId="36565B74">
                <wp:extent cx="5376672" cy="9144"/>
                <wp:effectExtent l="0" t="0" r="0" b="0"/>
                <wp:docPr id="2458128" name="Group 2458128"/>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127" name="Shape 2458127"/>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28" style="width:423.36pt;height:0.720001pt;mso-position-horizontal-relative:char;mso-position-vertical-relative:line" coordsize="53766,91">
                <v:shape id="Shape 2458127" style="position:absolute;width:53766;height:91;left:0;top:0;" coordsize="5376672,9144" path="m0,4572l5376672,4572">
                  <v:stroke weight="0.720001pt" endcap="flat" joinstyle="miter" miterlimit="1" on="true" color="#000000"/>
                  <v:fill on="false" color="#000000"/>
                </v:shape>
              </v:group>
            </w:pict>
          </mc:Fallback>
        </mc:AlternateContent>
      </w:r>
    </w:p>
    <w:p w14:paraId="59C0EE8D" w14:textId="77777777" w:rsidR="00053D93" w:rsidRDefault="00260B75">
      <w:pPr>
        <w:spacing w:after="340" w:line="247" w:lineRule="auto"/>
        <w:ind w:left="1699" w:right="14" w:firstLine="4"/>
        <w:jc w:val="both"/>
      </w:pPr>
      <w:r>
        <w:rPr>
          <w:sz w:val="26"/>
        </w:rPr>
        <w:t>El Acuerdo Ministerial Número 460-2023, del Ministro de Finanzas Públicas, Actualización del Manual de Clasificaciones Presupuestarias para el Sector Público de Guatemala, 7ma. Edición.</w:t>
      </w:r>
    </w:p>
    <w:p w14:paraId="598C6BBE" w14:textId="77777777" w:rsidR="00053D93" w:rsidRDefault="00260B75">
      <w:pPr>
        <w:spacing w:after="334" w:line="247" w:lineRule="auto"/>
        <w:ind w:left="1699" w:right="14" w:firstLine="4"/>
        <w:jc w:val="both"/>
      </w:pPr>
      <w:r>
        <w:rPr>
          <w:sz w:val="26"/>
        </w:rPr>
        <w:t>El Acuerdo Ministerial Número 638-2024, del Ministro de Finanzas Públicas, que aprueba las normas para liquidación del presupuesto general de ingresos y egresos del estado para el ejercicio dos mil veinticuatro.</w:t>
      </w:r>
    </w:p>
    <w:p w14:paraId="7B0E2DAA" w14:textId="77777777" w:rsidR="00053D93" w:rsidRDefault="00260B75">
      <w:pPr>
        <w:spacing w:after="342" w:line="247" w:lineRule="auto"/>
        <w:ind w:left="1699" w:right="14" w:firstLine="4"/>
        <w:jc w:val="both"/>
      </w:pPr>
      <w:r>
        <w:rPr>
          <w:sz w:val="26"/>
        </w:rPr>
        <w:t>El Acuerdo Número A-18-2007, del Contralor General de Cuentas, Reglamento para [a Prestación de Servicios, Autorizaciones y Venta de Formularios Impresos.</w:t>
      </w:r>
    </w:p>
    <w:p w14:paraId="69FAC432" w14:textId="77777777" w:rsidR="00053D93" w:rsidRDefault="00260B75">
      <w:pPr>
        <w:spacing w:after="221" w:line="247" w:lineRule="auto"/>
        <w:ind w:left="14" w:right="14" w:firstLine="1678"/>
        <w:jc w:val="both"/>
      </w:pPr>
      <w:r>
        <w:rPr>
          <w:sz w:val="26"/>
        </w:rPr>
        <w:t xml:space="preserve">El Acuerdo Número A-013-2015, del Contralor General de Cuentas, La Rendición Electrónica Mensual de Ingresos y Egresos de las Entidades Autónomas y </w:t>
      </w:r>
      <w:r>
        <w:rPr>
          <w:noProof/>
        </w:rPr>
        <mc:AlternateContent>
          <mc:Choice Requires="wpg">
            <w:drawing>
              <wp:inline distT="0" distB="0" distL="0" distR="0" wp14:anchorId="29FF4091" wp14:editId="405CC2D5">
                <wp:extent cx="123444" cy="338328"/>
                <wp:effectExtent l="0" t="0" r="0" b="0"/>
                <wp:docPr id="2454289" name="Group 2454289"/>
                <wp:cNvGraphicFramePr/>
                <a:graphic xmlns:a="http://schemas.openxmlformats.org/drawingml/2006/main">
                  <a:graphicData uri="http://schemas.microsoft.com/office/word/2010/wordprocessingGroup">
                    <wpg:wgp>
                      <wpg:cNvGrpSpPr/>
                      <wpg:grpSpPr>
                        <a:xfrm>
                          <a:off x="0" y="0"/>
                          <a:ext cx="123444" cy="338328"/>
                          <a:chOff x="0" y="0"/>
                          <a:chExt cx="123444" cy="338328"/>
                        </a:xfrm>
                      </wpg:grpSpPr>
                      <wps:wsp>
                        <wps:cNvPr id="68801" name="Rectangle 68801"/>
                        <wps:cNvSpPr/>
                        <wps:spPr>
                          <a:xfrm>
                            <a:off x="0" y="0"/>
                            <a:ext cx="164181" cy="449976"/>
                          </a:xfrm>
                          <a:prstGeom prst="rect">
                            <a:avLst/>
                          </a:prstGeom>
                          <a:ln>
                            <a:noFill/>
                          </a:ln>
                        </wps:spPr>
                        <wps:txbx>
                          <w:txbxContent>
                            <w:p w14:paraId="753132B1" w14:textId="77777777" w:rsidR="00053D93" w:rsidRDefault="00260B75">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inline>
            </w:drawing>
          </mc:Choice>
          <mc:Fallback>
            <w:pict>
              <v:group w14:anchorId="29FF4091" id="Group 2454289" o:spid="_x0000_s1084" style="width:9.7pt;height:26.65pt;mso-position-horizontal-relative:char;mso-position-vertical-relative:line" coordsize="123444,338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">
                <v:rect id="Rectangle 68801" o:spid="_x0000_s1085" style="position:absolute;width:164181;height:449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" filled="f" stroked="f">
                  <v:textbox inset="0,0,0,0">
                    <w:txbxContent>
                      <w:p w14:paraId="753132B1" w14:textId="77777777" w:rsidR="00053D93" w:rsidRDefault="00260B75">
                        <w:r>
                          <w:rPr>
                            <w:rFonts w:ascii="Times New Roman" w:eastAsia="Times New Roman" w:hAnsi="Times New Roman" w:cs="Times New Roman"/>
                            <w:sz w:val="74"/>
                          </w:rPr>
                          <w:t>1</w:t>
                        </w:r>
                      </w:p>
                    </w:txbxContent>
                  </v:textbox>
                </v:rect>
                <w10:anchorlock/>
              </v:group>
            </w:pict>
          </mc:Fallback>
        </mc:AlternateContent>
      </w:r>
      <w:r>
        <w:rPr>
          <w:sz w:val="26"/>
        </w:rPr>
        <w:t xml:space="preserve"> Descentralizadas.</w:t>
      </w:r>
    </w:p>
    <w:p w14:paraId="5445B2AA" w14:textId="77777777" w:rsidR="00053D93" w:rsidRDefault="00260B75">
      <w:pPr>
        <w:spacing w:after="17" w:line="247" w:lineRule="auto"/>
        <w:ind w:left="14" w:right="14" w:firstLine="4"/>
        <w:jc w:val="both"/>
      </w:pPr>
      <w:r>
        <w:rPr>
          <w:noProof/>
        </w:rPr>
        <mc:AlternateContent>
          <mc:Choice Requires="wpg">
            <w:drawing>
              <wp:anchor distT="0" distB="0" distL="114300" distR="114300" simplePos="0" relativeHeight="251685888" behindDoc="0" locked="0" layoutInCell="1" allowOverlap="1" wp14:anchorId="41AB3C25" wp14:editId="612F3E51">
                <wp:simplePos x="0" y="0"/>
                <wp:positionH relativeFrom="column">
                  <wp:posOffset>13716</wp:posOffset>
                </wp:positionH>
                <wp:positionV relativeFrom="paragraph">
                  <wp:posOffset>4409</wp:posOffset>
                </wp:positionV>
                <wp:extent cx="123444" cy="333756"/>
                <wp:effectExtent l="0" t="0" r="0" b="0"/>
                <wp:wrapSquare wrapText="bothSides"/>
                <wp:docPr id="2454290" name="Group 2454290"/>
                <wp:cNvGraphicFramePr/>
                <a:graphic xmlns:a="http://schemas.openxmlformats.org/drawingml/2006/main">
                  <a:graphicData uri="http://schemas.microsoft.com/office/word/2010/wordprocessingGroup">
                    <wpg:wgp>
                      <wpg:cNvGrpSpPr/>
                      <wpg:grpSpPr>
                        <a:xfrm>
                          <a:off x="0" y="0"/>
                          <a:ext cx="123444" cy="333756"/>
                          <a:chOff x="0" y="0"/>
                          <a:chExt cx="123444" cy="333756"/>
                        </a:xfrm>
                      </wpg:grpSpPr>
                      <wps:wsp>
                        <wps:cNvPr id="68802" name="Rectangle 68802"/>
                        <wps:cNvSpPr/>
                        <wps:spPr>
                          <a:xfrm>
                            <a:off x="0" y="0"/>
                            <a:ext cx="164181" cy="443896"/>
                          </a:xfrm>
                          <a:prstGeom prst="rect">
                            <a:avLst/>
                          </a:prstGeom>
                          <a:ln>
                            <a:noFill/>
                          </a:ln>
                        </wps:spPr>
                        <wps:txbx>
                          <w:txbxContent>
                            <w:p w14:paraId="7ADB8BBE" w14:textId="77777777" w:rsidR="00053D93" w:rsidRDefault="00260B75">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anchor>
            </w:drawing>
          </mc:Choice>
          <mc:Fallback>
            <w:pict>
              <v:group w14:anchorId="41AB3C25" id="Group 2454290" o:spid="_x0000_s1086" style="position:absolute;left:0;text-align:left;margin-left:1.1pt;margin-top:.35pt;width:9.7pt;height:26.3pt;z-index:251685888;mso-position-horizontal-relative:text;mso-position-vertical-relative:text" coordsize="123444,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">
                <v:rect id="Rectangle 68802" o:spid="_x0000_s1087" style="position:absolute;width:164181;height:443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" filled="f" stroked="f">
                  <v:textbox inset="0,0,0,0">
                    <w:txbxContent>
                      <w:p w14:paraId="7ADB8BBE" w14:textId="77777777" w:rsidR="00053D93" w:rsidRDefault="00260B75">
                        <w:r>
                          <w:rPr>
                            <w:rFonts w:ascii="Times New Roman" w:eastAsia="Times New Roman" w:hAnsi="Times New Roman" w:cs="Times New Roman"/>
                            <w:sz w:val="74"/>
                          </w:rPr>
                          <w:t>1</w:t>
                        </w:r>
                      </w:p>
                    </w:txbxContent>
                  </v:textbox>
                </v:rect>
                <w10:wrap type="square"/>
              </v:group>
            </w:pict>
          </mc:Fallback>
        </mc:AlternateContent>
      </w:r>
      <w:r>
        <w:rPr>
          <w:sz w:val="26"/>
        </w:rPr>
        <w:t>El Acuerdo Número A-038-2016, del Contralor General de Cuentas, que crea la Unidad de Digitalización y Resguardo de Contratos de la Contraloría General de</w:t>
      </w:r>
    </w:p>
    <w:p w14:paraId="10E4114E" w14:textId="77777777" w:rsidR="00053D93" w:rsidRDefault="00260B75">
      <w:pPr>
        <w:spacing w:after="264" w:line="247" w:lineRule="auto"/>
        <w:ind w:left="1692" w:right="14" w:firstLine="4"/>
        <w:jc w:val="both"/>
      </w:pPr>
      <w:r>
        <w:rPr>
          <w:sz w:val="26"/>
        </w:rPr>
        <w:t>Cuentas.</w:t>
      </w:r>
    </w:p>
    <w:tbl>
      <w:tblPr>
        <w:tblStyle w:val="TableGrid"/>
        <w:tblpPr w:vertAnchor="page" w:horzAnchor="page" w:tblpX="2827" w:tblpY="14436"/>
        <w:tblOverlap w:val="never"/>
        <w:tblW w:w="7613" w:type="dxa"/>
        <w:tblInd w:w="0" w:type="dxa"/>
        <w:tblCellMar>
          <w:top w:w="21" w:type="dxa"/>
          <w:left w:w="1731" w:type="dxa"/>
          <w:right w:w="115" w:type="dxa"/>
        </w:tblCellMar>
        <w:tblLook w:val="04A0" w:firstRow="1" w:lastRow="0" w:firstColumn="1" w:lastColumn="0" w:noHBand="0" w:noVBand="1"/>
      </w:tblPr>
      <w:tblGrid>
        <w:gridCol w:w="7613"/>
      </w:tblGrid>
      <w:tr w:rsidR="00053D93" w14:paraId="678E683F" w14:textId="77777777">
        <w:trPr>
          <w:trHeight w:val="58"/>
        </w:trPr>
        <w:tc>
          <w:tcPr>
            <w:tcW w:w="7613" w:type="dxa"/>
            <w:tcBorders>
              <w:top w:val="nil"/>
              <w:left w:val="single" w:sz="2" w:space="0" w:color="000000"/>
              <w:bottom w:val="single" w:sz="2" w:space="0" w:color="000000"/>
              <w:right w:val="nil"/>
            </w:tcBorders>
          </w:tcPr>
          <w:p w14:paraId="1878A63E" w14:textId="77777777" w:rsidR="00053D93" w:rsidRDefault="00053D93"/>
        </w:tc>
      </w:tr>
      <w:tr w:rsidR="00053D93" w14:paraId="2EF184D0" w14:textId="77777777">
        <w:trPr>
          <w:trHeight w:val="583"/>
        </w:trPr>
        <w:tc>
          <w:tcPr>
            <w:tcW w:w="7613" w:type="dxa"/>
            <w:tcBorders>
              <w:top w:val="single" w:sz="2" w:space="0" w:color="000000"/>
              <w:left w:val="single" w:sz="2" w:space="0" w:color="000000"/>
              <w:bottom w:val="nil"/>
              <w:right w:val="nil"/>
            </w:tcBorders>
          </w:tcPr>
          <w:p w14:paraId="5D421CEA" w14:textId="77777777" w:rsidR="00053D93" w:rsidRDefault="00260B75">
            <w:pPr>
              <w:ind w:left="835"/>
            </w:pPr>
            <w:r>
              <w:rPr>
                <w:sz w:val="14"/>
              </w:rPr>
              <w:lastRenderedPageBreak/>
              <w:t>MINISTERIO DE EDUCACION</w:t>
            </w:r>
          </w:p>
          <w:p w14:paraId="4C5C29A7" w14:textId="77777777" w:rsidR="00053D93" w:rsidRDefault="00260B75">
            <w:pPr>
              <w:ind w:left="338"/>
            </w:pPr>
            <w:r>
              <w:rPr>
                <w:sz w:val="14"/>
              </w:rPr>
              <w:t>AUDITORfA FINANCIERA Y DE CUMPLIMENTO</w:t>
            </w:r>
          </w:p>
          <w:p w14:paraId="06B6D40C" w14:textId="77777777" w:rsidR="00053D93" w:rsidRDefault="00260B75">
            <w:r>
              <w:rPr>
                <w:sz w:val="14"/>
              </w:rPr>
              <w:t>PERIODO DEL 01 DE ENERO At. 31 DE DICIEMBRE OE 2024</w:t>
            </w:r>
          </w:p>
        </w:tc>
      </w:tr>
    </w:tbl>
    <w:p w14:paraId="0280D8BD" w14:textId="77777777" w:rsidR="00053D93" w:rsidRDefault="00260B75">
      <w:pPr>
        <w:spacing w:after="3"/>
        <w:ind w:left="74" w:right="43" w:hanging="10"/>
      </w:pPr>
      <w:r>
        <w:rPr>
          <w:noProof/>
        </w:rPr>
        <w:drawing>
          <wp:anchor distT="0" distB="0" distL="114300" distR="114300" simplePos="0" relativeHeight="251686912" behindDoc="0" locked="0" layoutInCell="1" allowOverlap="0" wp14:anchorId="6C769253" wp14:editId="1BD85F62">
            <wp:simplePos x="0" y="0"/>
            <wp:positionH relativeFrom="page">
              <wp:posOffset>640080</wp:posOffset>
            </wp:positionH>
            <wp:positionV relativeFrom="page">
              <wp:posOffset>9166860</wp:posOffset>
            </wp:positionV>
            <wp:extent cx="1133856" cy="406908"/>
            <wp:effectExtent l="0" t="0" r="0" b="0"/>
            <wp:wrapTopAndBottom/>
            <wp:docPr id="71179" name="Picture 71179"/>
            <wp:cNvGraphicFramePr/>
            <a:graphic xmlns:a="http://schemas.openxmlformats.org/drawingml/2006/main">
              <a:graphicData uri="http://schemas.openxmlformats.org/drawingml/2006/picture">
                <pic:pic xmlns:pic="http://schemas.openxmlformats.org/drawingml/2006/picture">
                  <pic:nvPicPr>
                    <pic:cNvPr id="71179" name="Picture 71179"/>
                    <pic:cNvPicPr/>
                  </pic:nvPicPr>
                  <pic:blipFill>
                    <a:blip r:embed="rId85"/>
                    <a:stretch>
                      <a:fillRect/>
                    </a:stretch>
                  </pic:blipFill>
                  <pic:spPr>
                    <a:xfrm>
                      <a:off x="0" y="0"/>
                      <a:ext cx="1133856" cy="406908"/>
                    </a:xfrm>
                    <a:prstGeom prst="rect">
                      <a:avLst/>
                    </a:prstGeom>
                  </pic:spPr>
                </pic:pic>
              </a:graphicData>
            </a:graphic>
          </wp:anchor>
        </w:drawing>
      </w:r>
      <w:r>
        <w:rPr>
          <w:noProof/>
        </w:rPr>
        <w:drawing>
          <wp:anchor distT="0" distB="0" distL="114300" distR="114300" simplePos="0" relativeHeight="251687936" behindDoc="0" locked="0" layoutInCell="1" allowOverlap="0" wp14:anchorId="56CFF55D" wp14:editId="0304C48F">
            <wp:simplePos x="0" y="0"/>
            <wp:positionH relativeFrom="page">
              <wp:posOffset>196596</wp:posOffset>
            </wp:positionH>
            <wp:positionV relativeFrom="page">
              <wp:posOffset>9870948</wp:posOffset>
            </wp:positionV>
            <wp:extent cx="13716" cy="32004"/>
            <wp:effectExtent l="0" t="0" r="0" b="0"/>
            <wp:wrapTopAndBottom/>
            <wp:docPr id="71110" name="Picture 71110"/>
            <wp:cNvGraphicFramePr/>
            <a:graphic xmlns:a="http://schemas.openxmlformats.org/drawingml/2006/main">
              <a:graphicData uri="http://schemas.openxmlformats.org/drawingml/2006/picture">
                <pic:pic xmlns:pic="http://schemas.openxmlformats.org/drawingml/2006/picture">
                  <pic:nvPicPr>
                    <pic:cNvPr id="71110" name="Picture 71110"/>
                    <pic:cNvPicPr/>
                  </pic:nvPicPr>
                  <pic:blipFill>
                    <a:blip r:embed="rId86"/>
                    <a:stretch>
                      <a:fillRect/>
                    </a:stretch>
                  </pic:blipFill>
                  <pic:spPr>
                    <a:xfrm>
                      <a:off x="0" y="0"/>
                      <a:ext cx="13716" cy="32004"/>
                    </a:xfrm>
                    <a:prstGeom prst="rect">
                      <a:avLst/>
                    </a:prstGeom>
                  </pic:spPr>
                </pic:pic>
              </a:graphicData>
            </a:graphic>
          </wp:anchor>
        </w:drawing>
      </w:r>
      <w:r>
        <w:rPr>
          <w:rFonts w:ascii="Times New Roman" w:eastAsia="Times New Roman" w:hAnsi="Times New Roman" w:cs="Times New Roman"/>
          <w:sz w:val="74"/>
        </w:rPr>
        <w:t>1</w:t>
      </w:r>
    </w:p>
    <w:p w14:paraId="24076E7A" w14:textId="77777777" w:rsidR="00053D93" w:rsidRDefault="00260B75">
      <w:pPr>
        <w:spacing w:after="17" w:line="247" w:lineRule="auto"/>
        <w:ind w:left="14" w:right="14" w:firstLine="4"/>
        <w:jc w:val="both"/>
      </w:pPr>
      <w:r>
        <w:rPr>
          <w:sz w:val="26"/>
        </w:rPr>
        <w:t>El Acuerdo No. A-005-2017, del Contralor General de Cuentas, Actualización de Funcionarios.</w:t>
      </w:r>
    </w:p>
    <w:p w14:paraId="4C26116B" w14:textId="77777777" w:rsidR="00053D93" w:rsidRDefault="00260B75">
      <w:pPr>
        <w:spacing w:after="0"/>
        <w:ind w:left="22"/>
      </w:pPr>
      <w:r>
        <w:rPr>
          <w:noProof/>
        </w:rPr>
        <mc:AlternateContent>
          <mc:Choice Requires="wpg">
            <w:drawing>
              <wp:inline distT="0" distB="0" distL="0" distR="0" wp14:anchorId="68F55845" wp14:editId="2748435C">
                <wp:extent cx="123444" cy="333756"/>
                <wp:effectExtent l="0" t="0" r="0" b="0"/>
                <wp:docPr id="2454291" name="Group 2454291"/>
                <wp:cNvGraphicFramePr/>
                <a:graphic xmlns:a="http://schemas.openxmlformats.org/drawingml/2006/main">
                  <a:graphicData uri="http://schemas.microsoft.com/office/word/2010/wordprocessingGroup">
                    <wpg:wgp>
                      <wpg:cNvGrpSpPr/>
                      <wpg:grpSpPr>
                        <a:xfrm>
                          <a:off x="0" y="0"/>
                          <a:ext cx="123444" cy="333756"/>
                          <a:chOff x="0" y="0"/>
                          <a:chExt cx="123444" cy="333756"/>
                        </a:xfrm>
                      </wpg:grpSpPr>
                      <wps:wsp>
                        <wps:cNvPr id="68804" name="Rectangle 68804"/>
                        <wps:cNvSpPr/>
                        <wps:spPr>
                          <a:xfrm>
                            <a:off x="0" y="0"/>
                            <a:ext cx="164181" cy="443895"/>
                          </a:xfrm>
                          <a:prstGeom prst="rect">
                            <a:avLst/>
                          </a:prstGeom>
                          <a:ln>
                            <a:noFill/>
                          </a:ln>
                        </wps:spPr>
                        <wps:txbx>
                          <w:txbxContent>
                            <w:p w14:paraId="62F610FD" w14:textId="77777777" w:rsidR="00053D93" w:rsidRDefault="00260B75">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inline>
            </w:drawing>
          </mc:Choice>
          <mc:Fallback>
            <w:pict>
              <v:group w14:anchorId="68F55845" id="Group 2454291" o:spid="_x0000_s1088" style="width:9.7pt;height:26.3pt;mso-position-horizontal-relative:char;mso-position-vertical-relative:line" coordsize="123444,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">
                <v:rect id="Rectangle 68804" o:spid="_x0000_s1089" style="position:absolute;width:164181;height:44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" filled="f" stroked="f">
                  <v:textbox inset="0,0,0,0">
                    <w:txbxContent>
                      <w:p w14:paraId="62F610FD" w14:textId="77777777" w:rsidR="00053D93" w:rsidRDefault="00260B75">
                        <w:r>
                          <w:rPr>
                            <w:rFonts w:ascii="Times New Roman" w:eastAsia="Times New Roman" w:hAnsi="Times New Roman" w:cs="Times New Roman"/>
                            <w:sz w:val="74"/>
                          </w:rPr>
                          <w:t>1</w:t>
                        </w:r>
                      </w:p>
                    </w:txbxContent>
                  </v:textbox>
                </v:rect>
                <w10:anchorlock/>
              </v:group>
            </w:pict>
          </mc:Fallback>
        </mc:AlternateContent>
      </w:r>
    </w:p>
    <w:p w14:paraId="6B771135" w14:textId="77777777" w:rsidR="00053D93" w:rsidRDefault="00260B75">
      <w:pPr>
        <w:spacing w:after="208" w:line="247" w:lineRule="auto"/>
        <w:ind w:left="14" w:right="14" w:firstLine="1469"/>
        <w:jc w:val="both"/>
      </w:pPr>
      <w:r>
        <w:rPr>
          <w:sz w:val="26"/>
        </w:rPr>
        <w:t xml:space="preserve">El Acuerdo A-002-2020, del Contralor General de Cuentas, que aprueba el uso del </w:t>
      </w:r>
      <w:r>
        <w:rPr>
          <w:rFonts w:ascii="Times New Roman" w:eastAsia="Times New Roman" w:hAnsi="Times New Roman" w:cs="Times New Roman"/>
          <w:sz w:val="26"/>
        </w:rPr>
        <w:t xml:space="preserve">1 </w:t>
      </w:r>
      <w:r>
        <w:rPr>
          <w:sz w:val="26"/>
        </w:rPr>
        <w:t>Sistema de Registro de Atas, Ascensos y Bajas de la Administración Pública.</w:t>
      </w:r>
    </w:p>
    <w:p w14:paraId="51DC0834" w14:textId="77777777" w:rsidR="00053D93" w:rsidRDefault="00260B75">
      <w:pPr>
        <w:spacing w:after="102" w:line="247" w:lineRule="auto"/>
        <w:ind w:left="14" w:right="14" w:firstLine="1462"/>
        <w:jc w:val="both"/>
      </w:pPr>
      <w:r>
        <w:rPr>
          <w:sz w:val="26"/>
        </w:rPr>
        <w:t xml:space="preserve">El Acuerdo Número A-009-2021 , del Contralor General de Cuentas, que aprueba </w:t>
      </w:r>
      <w:r>
        <w:rPr>
          <w:noProof/>
        </w:rPr>
        <mc:AlternateContent>
          <mc:Choice Requires="wpg">
            <w:drawing>
              <wp:inline distT="0" distB="0" distL="0" distR="0" wp14:anchorId="1A4CE74F" wp14:editId="13526EBC">
                <wp:extent cx="132588" cy="338328"/>
                <wp:effectExtent l="0" t="0" r="0" b="0"/>
                <wp:docPr id="2454292" name="Group 2454292"/>
                <wp:cNvGraphicFramePr/>
                <a:graphic xmlns:a="http://schemas.openxmlformats.org/drawingml/2006/main">
                  <a:graphicData uri="http://schemas.microsoft.com/office/word/2010/wordprocessingGroup">
                    <wpg:wgp>
                      <wpg:cNvGrpSpPr/>
                      <wpg:grpSpPr>
                        <a:xfrm>
                          <a:off x="0" y="0"/>
                          <a:ext cx="132588" cy="338328"/>
                          <a:chOff x="0" y="0"/>
                          <a:chExt cx="132588" cy="338328"/>
                        </a:xfrm>
                      </wpg:grpSpPr>
                      <wps:wsp>
                        <wps:cNvPr id="68806" name="Rectangle 68806"/>
                        <wps:cNvSpPr/>
                        <wps:spPr>
                          <a:xfrm>
                            <a:off x="0" y="0"/>
                            <a:ext cx="176342" cy="449977"/>
                          </a:xfrm>
                          <a:prstGeom prst="rect">
                            <a:avLst/>
                          </a:prstGeom>
                          <a:ln>
                            <a:noFill/>
                          </a:ln>
                        </wps:spPr>
                        <wps:txbx>
                          <w:txbxContent>
                            <w:p w14:paraId="52979E08"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inline>
            </w:drawing>
          </mc:Choice>
          <mc:Fallback>
            <w:pict>
              <v:group w14:anchorId="1A4CE74F" id="Group 2454292" o:spid="_x0000_s1090" style="width:10.45pt;height:26.65pt;mso-position-horizontal-relative:char;mso-position-vertical-relative:line" coordsize="132588,338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">
                <v:rect id="Rectangle 68806" o:spid="_x0000_s1091" style="position:absolute;width:176342;height:449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" filled="f" stroked="f">
                  <v:textbox inset="0,0,0,0">
                    <w:txbxContent>
                      <w:p w14:paraId="52979E08" w14:textId="77777777" w:rsidR="00053D93" w:rsidRDefault="00260B75">
                        <w:r>
                          <w:rPr>
                            <w:rFonts w:ascii="Times New Roman" w:eastAsia="Times New Roman" w:hAnsi="Times New Roman" w:cs="Times New Roman"/>
                            <w:sz w:val="80"/>
                          </w:rPr>
                          <w:t>1</w:t>
                        </w:r>
                      </w:p>
                    </w:txbxContent>
                  </v:textbox>
                </v:rect>
                <w10:anchorlock/>
              </v:group>
            </w:pict>
          </mc:Fallback>
        </mc:AlternateContent>
      </w:r>
      <w:r>
        <w:rPr>
          <w:sz w:val="26"/>
        </w:rPr>
        <w:t xml:space="preserve"> el Sistema de Comunicaciones Electrónicas de la Contraloría General de Cuentas.</w:t>
      </w:r>
    </w:p>
    <w:p w14:paraId="013386BD" w14:textId="77777777" w:rsidR="00053D93" w:rsidRDefault="00260B75">
      <w:pPr>
        <w:spacing w:after="313" w:line="247" w:lineRule="auto"/>
        <w:ind w:left="1678" w:right="14" w:firstLine="4"/>
        <w:jc w:val="both"/>
      </w:pPr>
      <w:r>
        <w:rPr>
          <w:sz w:val="26"/>
        </w:rPr>
        <w:t>El Acuerdo Número A-039-2023, del Contralor General de Cuentas, que aprueba las Normas Generales y Técnicas de Control Interno Gubernamental.</w:t>
      </w:r>
    </w:p>
    <w:p w14:paraId="30C4BDF4" w14:textId="77777777" w:rsidR="00053D93" w:rsidRDefault="00260B75">
      <w:pPr>
        <w:spacing w:after="661" w:line="247" w:lineRule="auto"/>
        <w:ind w:left="14" w:right="14" w:firstLine="4"/>
        <w:jc w:val="both"/>
      </w:pPr>
      <w:r>
        <w:rPr>
          <w:noProof/>
        </w:rPr>
        <mc:AlternateContent>
          <mc:Choice Requires="wpg">
            <w:drawing>
              <wp:anchor distT="0" distB="0" distL="114300" distR="114300" simplePos="0" relativeHeight="251688960" behindDoc="0" locked="0" layoutInCell="1" allowOverlap="1" wp14:anchorId="5C6EDC24" wp14:editId="2400339C">
                <wp:simplePos x="0" y="0"/>
                <wp:positionH relativeFrom="column">
                  <wp:posOffset>4572</wp:posOffset>
                </wp:positionH>
                <wp:positionV relativeFrom="paragraph">
                  <wp:posOffset>4692</wp:posOffset>
                </wp:positionV>
                <wp:extent cx="141732" cy="333756"/>
                <wp:effectExtent l="0" t="0" r="0" b="0"/>
                <wp:wrapSquare wrapText="bothSides"/>
                <wp:docPr id="2454293" name="Group 2454293"/>
                <wp:cNvGraphicFramePr/>
                <a:graphic xmlns:a="http://schemas.openxmlformats.org/drawingml/2006/main">
                  <a:graphicData uri="http://schemas.microsoft.com/office/word/2010/wordprocessingGroup">
                    <wpg:wgp>
                      <wpg:cNvGrpSpPr/>
                      <wpg:grpSpPr>
                        <a:xfrm>
                          <a:off x="0" y="0"/>
                          <a:ext cx="141732" cy="333756"/>
                          <a:chOff x="0" y="0"/>
                          <a:chExt cx="141732" cy="333756"/>
                        </a:xfrm>
                      </wpg:grpSpPr>
                      <wps:wsp>
                        <wps:cNvPr id="68807" name="Rectangle 68807"/>
                        <wps:cNvSpPr/>
                        <wps:spPr>
                          <a:xfrm>
                            <a:off x="0" y="0"/>
                            <a:ext cx="188504" cy="443895"/>
                          </a:xfrm>
                          <a:prstGeom prst="rect">
                            <a:avLst/>
                          </a:prstGeom>
                          <a:ln>
                            <a:noFill/>
                          </a:ln>
                        </wps:spPr>
                        <wps:txbx>
                          <w:txbxContent>
                            <w:p w14:paraId="33910EF6"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5C6EDC24" id="Group 2454293" o:spid="_x0000_s1092" style="position:absolute;left:0;text-align:left;margin-left:.35pt;margin-top:.35pt;width:11.15pt;height:26.3pt;z-index:251688960;mso-position-horizontal-relative:text;mso-position-vertical-relative:text" coordsize="141732,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">
                <v:rect id="Rectangle 68807" o:spid="_x0000_s1093" style="position:absolute;width:188504;height:44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" filled="f" stroked="f">
                  <v:textbox inset="0,0,0,0">
                    <w:txbxContent>
                      <w:p w14:paraId="33910EF6" w14:textId="77777777" w:rsidR="00053D93" w:rsidRDefault="00260B75">
                        <w:r>
                          <w:rPr>
                            <w:rFonts w:ascii="Times New Roman" w:eastAsia="Times New Roman" w:hAnsi="Times New Roman" w:cs="Times New Roman"/>
                            <w:sz w:val="86"/>
                          </w:rPr>
                          <w:t>1</w:t>
                        </w:r>
                      </w:p>
                    </w:txbxContent>
                  </v:textbox>
                </v:rect>
                <w10:wrap type="square"/>
              </v:group>
            </w:pict>
          </mc:Fallback>
        </mc:AlternateContent>
      </w:r>
      <w:r>
        <w:rPr>
          <w:sz w:val="26"/>
        </w:rPr>
        <w:t>El Acuerdo Número A-085-2023, del Contralor General de Cuentas, Sistematización de Entrega Mensual de Caja Fiscal de Forma Electrónica.</w:t>
      </w:r>
    </w:p>
    <w:p w14:paraId="06B80373" w14:textId="77777777" w:rsidR="00053D93" w:rsidRDefault="00260B75">
      <w:pPr>
        <w:spacing w:after="17" w:line="392" w:lineRule="auto"/>
        <w:ind w:left="14" w:right="14" w:firstLine="4"/>
        <w:jc w:val="both"/>
      </w:pPr>
      <w:r>
        <w:rPr>
          <w:rFonts w:ascii="Times New Roman" w:eastAsia="Times New Roman" w:hAnsi="Times New Roman" w:cs="Times New Roman"/>
          <w:sz w:val="26"/>
        </w:rPr>
        <w:t xml:space="preserve">1 </w:t>
      </w:r>
      <w:r>
        <w:rPr>
          <w:sz w:val="26"/>
        </w:rPr>
        <w:t xml:space="preserve">La Resolución Número DCE-06-2016, la Dirección de Contabilidad del Estado, Ministerio de Finanzas Públicas, Manual de Inventarios de Activos Fijos Sistema </w:t>
      </w:r>
      <w:r>
        <w:rPr>
          <w:noProof/>
        </w:rPr>
        <mc:AlternateContent>
          <mc:Choice Requires="wpg">
            <w:drawing>
              <wp:inline distT="0" distB="0" distL="0" distR="0" wp14:anchorId="36C8BC0B" wp14:editId="4DE2B9B4">
                <wp:extent cx="146304" cy="329184"/>
                <wp:effectExtent l="0" t="0" r="0" b="0"/>
                <wp:docPr id="2454294" name="Group 2454294"/>
                <wp:cNvGraphicFramePr/>
                <a:graphic xmlns:a="http://schemas.openxmlformats.org/drawingml/2006/main">
                  <a:graphicData uri="http://schemas.microsoft.com/office/word/2010/wordprocessingGroup">
                    <wpg:wgp>
                      <wpg:cNvGrpSpPr/>
                      <wpg:grpSpPr>
                        <a:xfrm>
                          <a:off x="0" y="0"/>
                          <a:ext cx="146304" cy="329184"/>
                          <a:chOff x="0" y="0"/>
                          <a:chExt cx="146304" cy="329184"/>
                        </a:xfrm>
                      </wpg:grpSpPr>
                      <wps:wsp>
                        <wps:cNvPr id="68809" name="Rectangle 68809"/>
                        <wps:cNvSpPr/>
                        <wps:spPr>
                          <a:xfrm>
                            <a:off x="0" y="0"/>
                            <a:ext cx="194584" cy="437814"/>
                          </a:xfrm>
                          <a:prstGeom prst="rect">
                            <a:avLst/>
                          </a:prstGeom>
                          <a:ln>
                            <a:noFill/>
                          </a:ln>
                        </wps:spPr>
                        <wps:txbx>
                          <w:txbxContent>
                            <w:p w14:paraId="5FD68679" w14:textId="77777777" w:rsidR="00053D93" w:rsidRDefault="00260B75">
                              <w:r>
                                <w:rPr>
                                  <w:rFonts w:ascii="Times New Roman" w:eastAsia="Times New Roman" w:hAnsi="Times New Roman" w:cs="Times New Roman"/>
                                  <w:sz w:val="88"/>
                                </w:rPr>
                                <w:t>1</w:t>
                              </w:r>
                            </w:p>
                          </w:txbxContent>
                        </wps:txbx>
                        <wps:bodyPr horzOverflow="overflow" vert="horz" lIns="0" tIns="0" rIns="0" bIns="0" rtlCol="0">
                          <a:noAutofit/>
                        </wps:bodyPr>
                      </wps:wsp>
                    </wpg:wgp>
                  </a:graphicData>
                </a:graphic>
              </wp:inline>
            </w:drawing>
          </mc:Choice>
          <mc:Fallback>
            <w:pict>
              <v:group w14:anchorId="36C8BC0B" id="Group 2454294" o:spid="_x0000_s1094" style="width:11.5pt;height:25.9pt;mso-position-horizontal-relative:char;mso-position-vertical-relative:line" coordsize="146304,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">
                <v:rect id="Rectangle 68809" o:spid="_x0000_s1095" style="position:absolute;width:194584;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" filled="f" stroked="f">
                  <v:textbox inset="0,0,0,0">
                    <w:txbxContent>
                      <w:p w14:paraId="5FD68679" w14:textId="77777777" w:rsidR="00053D93" w:rsidRDefault="00260B75">
                        <w:r>
                          <w:rPr>
                            <w:rFonts w:ascii="Times New Roman" w:eastAsia="Times New Roman" w:hAnsi="Times New Roman" w:cs="Times New Roman"/>
                            <w:sz w:val="88"/>
                          </w:rPr>
                          <w:t>1</w:t>
                        </w:r>
                      </w:p>
                    </w:txbxContent>
                  </v:textbox>
                </v:rect>
                <w10:anchorlock/>
              </v:group>
            </w:pict>
          </mc:Fallback>
        </mc:AlternateContent>
      </w:r>
      <w:r>
        <w:rPr>
          <w:sz w:val="26"/>
        </w:rPr>
        <w:t xml:space="preserve"> de Contabilidad Integrada SICOIN.</w:t>
      </w:r>
    </w:p>
    <w:p w14:paraId="5C690E88" w14:textId="77777777" w:rsidR="00053D93" w:rsidRDefault="00260B75">
      <w:pPr>
        <w:spacing w:after="17" w:line="247" w:lineRule="auto"/>
        <w:ind w:left="14" w:right="14" w:firstLine="4"/>
        <w:jc w:val="both"/>
      </w:pPr>
      <w:r>
        <w:rPr>
          <w:sz w:val="26"/>
        </w:rPr>
        <w:t>La Resolución Número 001-2022, de la Directora de la Dirección General de Adquisiciones del Estado, Normas para el Uso del Sistema de Información de Contrataciones y Adquisiciones del Estado -GUATECOMPRAS-.</w:t>
      </w:r>
    </w:p>
    <w:p w14:paraId="455F5EFF" w14:textId="77777777" w:rsidR="00053D93" w:rsidRDefault="00260B75">
      <w:pPr>
        <w:spacing w:after="48"/>
        <w:ind w:left="1678"/>
      </w:pPr>
      <w:r>
        <w:rPr>
          <w:noProof/>
        </w:rPr>
        <mc:AlternateContent>
          <mc:Choice Requires="wpg">
            <w:drawing>
              <wp:inline distT="0" distB="0" distL="0" distR="0" wp14:anchorId="0DFB01B7" wp14:editId="717D7C5B">
                <wp:extent cx="5376672" cy="9144"/>
                <wp:effectExtent l="0" t="0" r="0" b="0"/>
                <wp:docPr id="2458132" name="Group 2458132"/>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131" name="Shape 2458131"/>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32" style="width:423.36pt;height:0.720001pt;mso-position-horizontal-relative:char;mso-position-vertical-relative:line" coordsize="53766,91">
                <v:shape id="Shape 2458131" style="position:absolute;width:53766;height:91;left:0;top:0;" coordsize="5376672,9144" path="m0,4572l5376672,4572">
                  <v:stroke weight="0.720001pt" endcap="flat" joinstyle="miter" miterlimit="1" on="true" color="#000000"/>
                  <v:fill on="false" color="#000000"/>
                </v:shape>
              </v:group>
            </w:pict>
          </mc:Fallback>
        </mc:AlternateContent>
      </w:r>
    </w:p>
    <w:p w14:paraId="76CC27DD" w14:textId="77777777" w:rsidR="00053D93" w:rsidRDefault="00260B75">
      <w:pPr>
        <w:spacing w:after="311" w:line="247" w:lineRule="auto"/>
        <w:ind w:left="1692" w:right="14" w:firstLine="4"/>
        <w:jc w:val="both"/>
      </w:pPr>
      <w:r>
        <w:rPr>
          <w:sz w:val="26"/>
        </w:rPr>
        <w:t>La Resolución DDC-190-2022, de la Dirección de Atención y Asistencia al Consumidor, Ministerio de Economía.</w:t>
      </w:r>
    </w:p>
    <w:p w14:paraId="11223137" w14:textId="77777777" w:rsidR="00053D93" w:rsidRDefault="00260B75">
      <w:pPr>
        <w:spacing w:after="289" w:line="247" w:lineRule="auto"/>
        <w:ind w:left="1692" w:right="14" w:firstLine="4"/>
        <w:jc w:val="both"/>
      </w:pPr>
      <w:r>
        <w:rPr>
          <w:sz w:val="26"/>
        </w:rPr>
        <w:t>El Acuerdo Ministerial, Número 523-2014, Manual de Registro de Donaciones, Ministro de Finanzas Públicas.</w:t>
      </w:r>
    </w:p>
    <w:p w14:paraId="67C6BC0E" w14:textId="77777777" w:rsidR="00053D93" w:rsidRDefault="00260B75">
      <w:pPr>
        <w:spacing w:after="290" w:line="247" w:lineRule="auto"/>
        <w:ind w:left="1699" w:right="14" w:firstLine="4"/>
        <w:jc w:val="both"/>
      </w:pPr>
      <w:r>
        <w:rPr>
          <w:sz w:val="26"/>
        </w:rPr>
        <w:t>La Circular 3-57, de la Dirección de Contabilidad del Estado, del Ministerio de Finanzas Públicas.</w:t>
      </w:r>
    </w:p>
    <w:p w14:paraId="4E296450" w14:textId="77777777" w:rsidR="00053D93" w:rsidRDefault="00260B75">
      <w:pPr>
        <w:spacing w:after="322" w:line="247" w:lineRule="auto"/>
        <w:ind w:left="1692" w:right="14" w:firstLine="4"/>
        <w:jc w:val="both"/>
      </w:pPr>
      <w:r>
        <w:rPr>
          <w:sz w:val="26"/>
        </w:rPr>
        <w:t xml:space="preserve">La Circular Conjunta del Ministerio de Finanzas Públicas, Oficina Nacional de Servicio Civil y Contraloría General de Cuentas, Normas para la contratación de </w:t>
      </w:r>
      <w:r>
        <w:rPr>
          <w:sz w:val="26"/>
        </w:rPr>
        <w:lastRenderedPageBreak/>
        <w:t>Servicios Técnicos y Profesionales con cargo al renglón presupuestario 029 "Otras remuneraciones de personal temporal".</w:t>
      </w:r>
    </w:p>
    <w:p w14:paraId="24FA3B3D" w14:textId="77777777" w:rsidR="00053D93" w:rsidRDefault="00260B75">
      <w:pPr>
        <w:spacing w:after="283" w:line="247" w:lineRule="auto"/>
        <w:ind w:left="1678" w:right="14" w:firstLine="4"/>
        <w:jc w:val="both"/>
      </w:pPr>
      <w:r>
        <w:rPr>
          <w:sz w:val="26"/>
        </w:rPr>
        <w:t>El Oficio Circular No. DTP-001-2024, del Ministerio de Finanzas Públicas, del 03 de enero de 2024, aspectos a considerar para el Ejercicio Fiscal dos mil veinticuatro, de conformidad con el Decreto Número 54-2022, Ley del Presupuesto General de Ingresos y Egresos del Estado para el Ejercicio Fiscal Dos Mil Veintitrés, con vigencia para el ejercicio fiscal 2024.</w:t>
      </w:r>
    </w:p>
    <w:p w14:paraId="2EBF5566" w14:textId="77777777" w:rsidR="00053D93" w:rsidRDefault="00260B75">
      <w:pPr>
        <w:pStyle w:val="Ttulo2"/>
        <w:spacing w:after="251" w:line="261" w:lineRule="auto"/>
        <w:ind w:left="1687" w:right="7"/>
        <w:jc w:val="both"/>
      </w:pPr>
      <w:r>
        <w:rPr>
          <w:noProof/>
        </w:rPr>
        <w:drawing>
          <wp:anchor distT="0" distB="0" distL="114300" distR="114300" simplePos="0" relativeHeight="251689984" behindDoc="0" locked="0" layoutInCell="1" allowOverlap="0" wp14:anchorId="761895B5" wp14:editId="28343B43">
            <wp:simplePos x="0" y="0"/>
            <wp:positionH relativeFrom="page">
              <wp:posOffset>521208</wp:posOffset>
            </wp:positionH>
            <wp:positionV relativeFrom="page">
              <wp:posOffset>9148573</wp:posOffset>
            </wp:positionV>
            <wp:extent cx="6126481" cy="507492"/>
            <wp:effectExtent l="0" t="0" r="0" b="0"/>
            <wp:wrapTopAndBottom/>
            <wp:docPr id="2458129" name="Picture 2458129"/>
            <wp:cNvGraphicFramePr/>
            <a:graphic xmlns:a="http://schemas.openxmlformats.org/drawingml/2006/main">
              <a:graphicData uri="http://schemas.openxmlformats.org/drawingml/2006/picture">
                <pic:pic xmlns:pic="http://schemas.openxmlformats.org/drawingml/2006/picture">
                  <pic:nvPicPr>
                    <pic:cNvPr id="2458129" name="Picture 2458129"/>
                    <pic:cNvPicPr/>
                  </pic:nvPicPr>
                  <pic:blipFill>
                    <a:blip r:embed="rId87"/>
                    <a:stretch>
                      <a:fillRect/>
                    </a:stretch>
                  </pic:blipFill>
                  <pic:spPr>
                    <a:xfrm>
                      <a:off x="0" y="0"/>
                      <a:ext cx="6126481" cy="507492"/>
                    </a:xfrm>
                    <a:prstGeom prst="rect">
                      <a:avLst/>
                    </a:prstGeom>
                  </pic:spPr>
                </pic:pic>
              </a:graphicData>
            </a:graphic>
          </wp:anchor>
        </w:drawing>
      </w:r>
      <w:r>
        <w:rPr>
          <w:sz w:val="30"/>
        </w:rPr>
        <w:t>Específicos</w:t>
      </w:r>
    </w:p>
    <w:p w14:paraId="7D3BF368" w14:textId="77777777" w:rsidR="00053D93" w:rsidRDefault="00260B75">
      <w:pPr>
        <w:spacing w:after="306" w:line="247" w:lineRule="auto"/>
        <w:ind w:left="1692" w:right="14" w:firstLine="4"/>
        <w:jc w:val="both"/>
      </w:pPr>
      <w:r>
        <w:rPr>
          <w:sz w:val="26"/>
        </w:rPr>
        <w:t>El Decreto Número 12-91 , del Congreso de la República de Guatemala, Ley de Educación Nacional.</w:t>
      </w:r>
    </w:p>
    <w:p w14:paraId="7FF5D650" w14:textId="77777777" w:rsidR="00053D93" w:rsidRDefault="00260B75">
      <w:pPr>
        <w:spacing w:after="290" w:line="247" w:lineRule="auto"/>
        <w:ind w:left="1692" w:right="14" w:firstLine="4"/>
        <w:jc w:val="both"/>
      </w:pPr>
      <w:r>
        <w:rPr>
          <w:sz w:val="26"/>
        </w:rPr>
        <w:t>El Decreto Número 17-95, del Congreso de la República de Guatemala, Ley de Institutos de Educación por Cooperativa de Enseñanza.</w:t>
      </w:r>
    </w:p>
    <w:p w14:paraId="152BACE2" w14:textId="77777777" w:rsidR="00053D93" w:rsidRDefault="00260B75">
      <w:pPr>
        <w:spacing w:after="277" w:line="247" w:lineRule="auto"/>
        <w:ind w:left="1692" w:right="14" w:firstLine="4"/>
        <w:jc w:val="both"/>
      </w:pPr>
      <w:r>
        <w:rPr>
          <w:sz w:val="26"/>
        </w:rPr>
        <w:t>El Decreto Número 76-97, del Congreso de la República de Guatemala, Ley Nacional para el Desarrollo de [a Cultura Física y del Deporte.</w:t>
      </w:r>
    </w:p>
    <w:p w14:paraId="47940A48" w14:textId="77777777" w:rsidR="00053D93" w:rsidRDefault="00260B75">
      <w:pPr>
        <w:spacing w:after="304" w:line="247" w:lineRule="auto"/>
        <w:ind w:left="1670" w:right="14" w:firstLine="4"/>
        <w:jc w:val="both"/>
      </w:pPr>
      <w:r>
        <w:rPr>
          <w:sz w:val="26"/>
        </w:rPr>
        <w:t>El Decreto Número 16-2017, del Congreso de la República de Guatemala, Ley de Alimentación Escolar.</w:t>
      </w:r>
    </w:p>
    <w:p w14:paraId="155B3E21" w14:textId="77777777" w:rsidR="00053D93" w:rsidRDefault="00260B75">
      <w:pPr>
        <w:spacing w:after="304" w:line="247" w:lineRule="auto"/>
        <w:ind w:left="1685" w:right="14" w:firstLine="4"/>
        <w:jc w:val="both"/>
      </w:pPr>
      <w:r>
        <w:rPr>
          <w:sz w:val="26"/>
        </w:rPr>
        <w:t>El Decreto Número 1485, del Congreso de la República de Guatemala, Estatuto Provisional de los Trabajadores del Estado.</w:t>
      </w:r>
    </w:p>
    <w:p w14:paraId="686B46E3" w14:textId="77777777" w:rsidR="00053D93" w:rsidRDefault="00260B75">
      <w:pPr>
        <w:spacing w:after="286" w:line="247" w:lineRule="auto"/>
        <w:ind w:left="1678" w:right="14" w:firstLine="4"/>
        <w:jc w:val="both"/>
      </w:pPr>
      <w:r>
        <w:rPr>
          <w:sz w:val="26"/>
        </w:rPr>
        <w:t>El Acuerdo Gubernativo No. 827-97, del Presidente de la República, Reglamento de Becas para Estudiantes del Nivel de Educación Media.</w:t>
      </w:r>
    </w:p>
    <w:p w14:paraId="768B5691" w14:textId="77777777" w:rsidR="00053D93" w:rsidRDefault="00260B75">
      <w:pPr>
        <w:spacing w:after="17" w:line="247" w:lineRule="auto"/>
        <w:ind w:left="1685" w:right="14" w:firstLine="4"/>
        <w:jc w:val="both"/>
      </w:pPr>
      <w:r>
        <w:rPr>
          <w:sz w:val="26"/>
        </w:rPr>
        <w:t>El Acuerdo Gubernativo Número M. de E. 3-70, del Presidente Constitucional de la República, del 20 de diciembre de 1969, Reglamento sobre Organización y Funcionamiento de los Archivos Escolares.</w:t>
      </w:r>
    </w:p>
    <w:p w14:paraId="5A84EC4A" w14:textId="77777777" w:rsidR="00053D93" w:rsidRDefault="00260B75">
      <w:pPr>
        <w:spacing w:after="352"/>
        <w:ind w:left="1692"/>
      </w:pPr>
      <w:r>
        <w:rPr>
          <w:noProof/>
        </w:rPr>
        <mc:AlternateContent>
          <mc:Choice Requires="wpg">
            <w:drawing>
              <wp:inline distT="0" distB="0" distL="0" distR="0" wp14:anchorId="76D25294" wp14:editId="7DB6DE6A">
                <wp:extent cx="5376673" cy="9144"/>
                <wp:effectExtent l="0" t="0" r="0" b="0"/>
                <wp:docPr id="2458134" name="Group 2458134"/>
                <wp:cNvGraphicFramePr/>
                <a:graphic xmlns:a="http://schemas.openxmlformats.org/drawingml/2006/main">
                  <a:graphicData uri="http://schemas.microsoft.com/office/word/2010/wordprocessingGroup">
                    <wpg:wgp>
                      <wpg:cNvGrpSpPr/>
                      <wpg:grpSpPr>
                        <a:xfrm>
                          <a:off x="0" y="0"/>
                          <a:ext cx="5376673" cy="9144"/>
                          <a:chOff x="0" y="0"/>
                          <a:chExt cx="5376673" cy="9144"/>
                        </a:xfrm>
                      </wpg:grpSpPr>
                      <wps:wsp>
                        <wps:cNvPr id="2458133" name="Shape 2458133"/>
                        <wps:cNvSpPr/>
                        <wps:spPr>
                          <a:xfrm>
                            <a:off x="0" y="0"/>
                            <a:ext cx="5376673" cy="9144"/>
                          </a:xfrm>
                          <a:custGeom>
                            <a:avLst/>
                            <a:gdLst/>
                            <a:ahLst/>
                            <a:cxnLst/>
                            <a:rect l="0" t="0" r="0" b="0"/>
                            <a:pathLst>
                              <a:path w="5376673" h="9144">
                                <a:moveTo>
                                  <a:pt x="0" y="4572"/>
                                </a:moveTo>
                                <a:lnTo>
                                  <a:pt x="5376673"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34" style="width:423.36pt;height:0.719994pt;mso-position-horizontal-relative:char;mso-position-vertical-relative:line" coordsize="53766,91">
                <v:shape id="Shape 2458133" style="position:absolute;width:53766;height:91;left:0;top:0;" coordsize="5376673,9144" path="m0,4572l5376673,4572">
                  <v:stroke weight="0.719994pt" endcap="flat" joinstyle="miter" miterlimit="1" on="true" color="#000000"/>
                  <v:fill on="false" color="#000000"/>
                </v:shape>
              </v:group>
            </w:pict>
          </mc:Fallback>
        </mc:AlternateContent>
      </w:r>
    </w:p>
    <w:p w14:paraId="3869B736" w14:textId="77777777" w:rsidR="00053D93" w:rsidRDefault="00260B75">
      <w:pPr>
        <w:spacing w:after="17" w:line="247" w:lineRule="auto"/>
        <w:ind w:left="14" w:right="14" w:firstLine="4"/>
        <w:jc w:val="both"/>
      </w:pPr>
      <w:r>
        <w:rPr>
          <w:rFonts w:ascii="Times New Roman" w:eastAsia="Times New Roman" w:hAnsi="Times New Roman" w:cs="Times New Roman"/>
          <w:sz w:val="26"/>
        </w:rPr>
        <w:t xml:space="preserve">1 </w:t>
      </w:r>
      <w:r>
        <w:rPr>
          <w:sz w:val="26"/>
        </w:rPr>
        <w:t xml:space="preserve">El Acuerdo Gubernativo No. 60-2007, del Presidente de la República, Reglamento para la Aprobación de los Estatutos, Reconocimientos de la Personalidad Jurídica </w:t>
      </w:r>
      <w:r>
        <w:rPr>
          <w:noProof/>
        </w:rPr>
        <mc:AlternateContent>
          <mc:Choice Requires="wpg">
            <w:drawing>
              <wp:inline distT="0" distB="0" distL="0" distR="0" wp14:anchorId="6B7F8303" wp14:editId="15D209B2">
                <wp:extent cx="137160" cy="297180"/>
                <wp:effectExtent l="0" t="0" r="0" b="0"/>
                <wp:docPr id="2454304" name="Group 2454304"/>
                <wp:cNvGraphicFramePr/>
                <a:graphic xmlns:a="http://schemas.openxmlformats.org/drawingml/2006/main">
                  <a:graphicData uri="http://schemas.microsoft.com/office/word/2010/wordprocessingGroup">
                    <wpg:wgp>
                      <wpg:cNvGrpSpPr/>
                      <wpg:grpSpPr>
                        <a:xfrm>
                          <a:off x="0" y="0"/>
                          <a:ext cx="137160" cy="297180"/>
                          <a:chOff x="0" y="0"/>
                          <a:chExt cx="137160" cy="297180"/>
                        </a:xfrm>
                      </wpg:grpSpPr>
                      <wps:wsp>
                        <wps:cNvPr id="74915" name="Rectangle 74915"/>
                        <wps:cNvSpPr/>
                        <wps:spPr>
                          <a:xfrm>
                            <a:off x="0" y="0"/>
                            <a:ext cx="182423" cy="395250"/>
                          </a:xfrm>
                          <a:prstGeom prst="rect">
                            <a:avLst/>
                          </a:prstGeom>
                          <a:ln>
                            <a:noFill/>
                          </a:ln>
                        </wps:spPr>
                        <wps:txbx>
                          <w:txbxContent>
                            <w:p w14:paraId="2AF192ED"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inline>
            </w:drawing>
          </mc:Choice>
          <mc:Fallback>
            <w:pict>
              <v:group w14:anchorId="6B7F8303" id="Group 2454304" o:spid="_x0000_s1096" style="width:10.8pt;height:23.4pt;mso-position-horizontal-relative:char;mso-position-vertical-relative:line" coordsize="13716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">
                <v:rect id="Rectangle 74915" o:spid="_x0000_s1097" style="position:absolute;width:182423;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" filled="f" stroked="f">
                  <v:textbox inset="0,0,0,0">
                    <w:txbxContent>
                      <w:p w14:paraId="2AF192ED" w14:textId="77777777" w:rsidR="00053D93" w:rsidRDefault="00260B75">
                        <w:r>
                          <w:rPr>
                            <w:rFonts w:ascii="Times New Roman" w:eastAsia="Times New Roman" w:hAnsi="Times New Roman" w:cs="Times New Roman"/>
                            <w:sz w:val="82"/>
                          </w:rPr>
                          <w:t>1</w:t>
                        </w:r>
                      </w:p>
                    </w:txbxContent>
                  </v:textbox>
                </v:rect>
                <w10:anchorlock/>
              </v:group>
            </w:pict>
          </mc:Fallback>
        </mc:AlternateContent>
      </w:r>
      <w:r>
        <w:rPr>
          <w:sz w:val="26"/>
        </w:rPr>
        <w:t xml:space="preserve"> y Funcionamiento de las Organizaciones de Padres de Familia de los Establecimientos Escolares Públicos.</w:t>
      </w:r>
    </w:p>
    <w:p w14:paraId="4AA674C6" w14:textId="77777777" w:rsidR="00053D93" w:rsidRDefault="00260B75">
      <w:pPr>
        <w:spacing w:after="104"/>
        <w:ind w:left="14"/>
      </w:pPr>
      <w:r>
        <w:rPr>
          <w:noProof/>
        </w:rPr>
        <w:drawing>
          <wp:inline distT="0" distB="0" distL="0" distR="0" wp14:anchorId="35CAB207" wp14:editId="3C1C9182">
            <wp:extent cx="9144" cy="45720"/>
            <wp:effectExtent l="0" t="0" r="0" b="0"/>
            <wp:docPr id="76980" name="Picture 76980"/>
            <wp:cNvGraphicFramePr/>
            <a:graphic xmlns:a="http://schemas.openxmlformats.org/drawingml/2006/main">
              <a:graphicData uri="http://schemas.openxmlformats.org/drawingml/2006/picture">
                <pic:pic xmlns:pic="http://schemas.openxmlformats.org/drawingml/2006/picture">
                  <pic:nvPicPr>
                    <pic:cNvPr id="76980" name="Picture 76980"/>
                    <pic:cNvPicPr/>
                  </pic:nvPicPr>
                  <pic:blipFill>
                    <a:blip r:embed="rId88"/>
                    <a:stretch>
                      <a:fillRect/>
                    </a:stretch>
                  </pic:blipFill>
                  <pic:spPr>
                    <a:xfrm>
                      <a:off x="0" y="0"/>
                      <a:ext cx="9144" cy="45720"/>
                    </a:xfrm>
                    <a:prstGeom prst="rect">
                      <a:avLst/>
                    </a:prstGeom>
                  </pic:spPr>
                </pic:pic>
              </a:graphicData>
            </a:graphic>
          </wp:inline>
        </w:drawing>
      </w:r>
    </w:p>
    <w:p w14:paraId="6EDAA7D1" w14:textId="77777777" w:rsidR="00053D93" w:rsidRDefault="00260B75">
      <w:pPr>
        <w:spacing w:after="102" w:line="397" w:lineRule="auto"/>
        <w:ind w:left="1684" w:right="14" w:hanging="1670"/>
        <w:jc w:val="both"/>
      </w:pPr>
      <w:r>
        <w:rPr>
          <w:rFonts w:ascii="Times New Roman" w:eastAsia="Times New Roman" w:hAnsi="Times New Roman" w:cs="Times New Roman"/>
          <w:sz w:val="26"/>
        </w:rPr>
        <w:lastRenderedPageBreak/>
        <w:t xml:space="preserve">1 </w:t>
      </w:r>
      <w:r>
        <w:rPr>
          <w:sz w:val="26"/>
        </w:rPr>
        <w:t>El Acuerdo Gubernativo Número 225-2008, del Presidente de la República, Reglamento Orgánico Interno del Ministerio de Educación.</w:t>
      </w:r>
    </w:p>
    <w:p w14:paraId="5564FF9A" w14:textId="77777777" w:rsidR="00053D93" w:rsidRDefault="00260B75">
      <w:pPr>
        <w:spacing w:after="0"/>
        <w:ind w:left="17" w:hanging="10"/>
      </w:pPr>
      <w:r>
        <w:rPr>
          <w:rFonts w:ascii="Times New Roman" w:eastAsia="Times New Roman" w:hAnsi="Times New Roman" w:cs="Times New Roman"/>
          <w:sz w:val="80"/>
        </w:rPr>
        <w:t>1</w:t>
      </w:r>
    </w:p>
    <w:p w14:paraId="1EAE8865" w14:textId="77777777" w:rsidR="00053D93" w:rsidRDefault="00260B75">
      <w:pPr>
        <w:spacing w:after="299" w:line="247" w:lineRule="auto"/>
        <w:ind w:left="1706" w:right="14" w:firstLine="4"/>
        <w:jc w:val="both"/>
      </w:pPr>
      <w:r>
        <w:rPr>
          <w:sz w:val="26"/>
        </w:rPr>
        <w:t>El Acuerdo Gubernativo No. 226-2008, del Presidente de la República, se acuerda que la prestación del servicio público de educación es gratuito.</w:t>
      </w:r>
    </w:p>
    <w:p w14:paraId="28B34F2D" w14:textId="77777777" w:rsidR="00053D93" w:rsidRDefault="00260B75">
      <w:pPr>
        <w:spacing w:after="261" w:line="247" w:lineRule="auto"/>
        <w:ind w:left="14" w:right="14" w:firstLine="1699"/>
        <w:jc w:val="both"/>
      </w:pPr>
      <w:r>
        <w:rPr>
          <w:noProof/>
        </w:rPr>
        <mc:AlternateContent>
          <mc:Choice Requires="wpg">
            <w:drawing>
              <wp:anchor distT="0" distB="0" distL="114300" distR="114300" simplePos="0" relativeHeight="251691008" behindDoc="0" locked="0" layoutInCell="1" allowOverlap="1" wp14:anchorId="2F06EF56" wp14:editId="3818782E">
                <wp:simplePos x="0" y="0"/>
                <wp:positionH relativeFrom="column">
                  <wp:posOffset>9144</wp:posOffset>
                </wp:positionH>
                <wp:positionV relativeFrom="paragraph">
                  <wp:posOffset>242477</wp:posOffset>
                </wp:positionV>
                <wp:extent cx="132588" cy="292608"/>
                <wp:effectExtent l="0" t="0" r="0" b="0"/>
                <wp:wrapSquare wrapText="bothSides"/>
                <wp:docPr id="2454305" name="Group 2454305"/>
                <wp:cNvGraphicFramePr/>
                <a:graphic xmlns:a="http://schemas.openxmlformats.org/drawingml/2006/main">
                  <a:graphicData uri="http://schemas.microsoft.com/office/word/2010/wordprocessingGroup">
                    <wpg:wgp>
                      <wpg:cNvGrpSpPr/>
                      <wpg:grpSpPr>
                        <a:xfrm>
                          <a:off x="0" y="0"/>
                          <a:ext cx="132588" cy="292608"/>
                          <a:chOff x="0" y="0"/>
                          <a:chExt cx="132588" cy="292608"/>
                        </a:xfrm>
                      </wpg:grpSpPr>
                      <wps:wsp>
                        <wps:cNvPr id="74918" name="Rectangle 74918"/>
                        <wps:cNvSpPr/>
                        <wps:spPr>
                          <a:xfrm>
                            <a:off x="0" y="0"/>
                            <a:ext cx="176342" cy="389169"/>
                          </a:xfrm>
                          <a:prstGeom prst="rect">
                            <a:avLst/>
                          </a:prstGeom>
                          <a:ln>
                            <a:noFill/>
                          </a:ln>
                        </wps:spPr>
                        <wps:txbx>
                          <w:txbxContent>
                            <w:p w14:paraId="2711DEDB"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anchor>
            </w:drawing>
          </mc:Choice>
          <mc:Fallback>
            <w:pict>
              <v:group w14:anchorId="2F06EF56" id="Group 2454305" o:spid="_x0000_s1098" style="position:absolute;left:0;text-align:left;margin-left:.7pt;margin-top:19.1pt;width:10.45pt;height:23.05pt;z-index:251691008;mso-position-horizontal-relative:text;mso-position-vertical-relative:text" coordsize="132588,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">
                <v:rect id="Rectangle 74918" o:spid="_x0000_s1099" style="position:absolute;width:176342;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" filled="f" stroked="f">
                  <v:textbox inset="0,0,0,0">
                    <w:txbxContent>
                      <w:p w14:paraId="2711DEDB" w14:textId="77777777" w:rsidR="00053D93" w:rsidRDefault="00260B75">
                        <w:r>
                          <w:rPr>
                            <w:rFonts w:ascii="Times New Roman" w:eastAsia="Times New Roman" w:hAnsi="Times New Roman" w:cs="Times New Roman"/>
                            <w:sz w:val="80"/>
                          </w:rPr>
                          <w:t>1</w:t>
                        </w:r>
                      </w:p>
                    </w:txbxContent>
                  </v:textbox>
                </v:rect>
                <w10:wrap type="square"/>
              </v:group>
            </w:pict>
          </mc:Fallback>
        </mc:AlternateContent>
      </w:r>
      <w:r>
        <w:rPr>
          <w:sz w:val="26"/>
        </w:rPr>
        <w:t>El Acuerdo Gubernativo Número 202-2010, del Presidente de la República, Reglamento para la Aprobación de los Estatutos, Reconocimiento de la Personalidad Jurídica y Funcionamiento de los Consejos de los Centros Educativos Públicos.</w:t>
      </w:r>
    </w:p>
    <w:p w14:paraId="01F14BF1" w14:textId="77777777" w:rsidR="00053D93" w:rsidRDefault="00260B75">
      <w:pPr>
        <w:spacing w:after="3"/>
        <w:ind w:left="74" w:right="3485" w:hanging="10"/>
      </w:pPr>
      <w:r>
        <w:rPr>
          <w:noProof/>
        </w:rPr>
        <w:drawing>
          <wp:inline distT="0" distB="0" distL="0" distR="0" wp14:anchorId="1DC7508F" wp14:editId="026A3B3F">
            <wp:extent cx="9144" cy="27432"/>
            <wp:effectExtent l="0" t="0" r="0" b="0"/>
            <wp:docPr id="76981" name="Picture 76981"/>
            <wp:cNvGraphicFramePr/>
            <a:graphic xmlns:a="http://schemas.openxmlformats.org/drawingml/2006/main">
              <a:graphicData uri="http://schemas.openxmlformats.org/drawingml/2006/picture">
                <pic:pic xmlns:pic="http://schemas.openxmlformats.org/drawingml/2006/picture">
                  <pic:nvPicPr>
                    <pic:cNvPr id="76981" name="Picture 76981"/>
                    <pic:cNvPicPr/>
                  </pic:nvPicPr>
                  <pic:blipFill>
                    <a:blip r:embed="rId89"/>
                    <a:stretch>
                      <a:fillRect/>
                    </a:stretch>
                  </pic:blipFill>
                  <pic:spPr>
                    <a:xfrm>
                      <a:off x="0" y="0"/>
                      <a:ext cx="9144" cy="27432"/>
                    </a:xfrm>
                    <a:prstGeom prst="rect">
                      <a:avLst/>
                    </a:prstGeom>
                  </pic:spPr>
                </pic:pic>
              </a:graphicData>
            </a:graphic>
          </wp:inline>
        </w:drawing>
      </w:r>
      <w:r>
        <w:rPr>
          <w:rFonts w:ascii="Times New Roman" w:eastAsia="Times New Roman" w:hAnsi="Times New Roman" w:cs="Times New Roman"/>
          <w:sz w:val="70"/>
        </w:rPr>
        <w:t>1</w:t>
      </w:r>
    </w:p>
    <w:p w14:paraId="20FB00D1" w14:textId="77777777" w:rsidR="00053D93" w:rsidRDefault="00260B75">
      <w:pPr>
        <w:spacing w:after="17" w:line="247" w:lineRule="auto"/>
        <w:ind w:left="14" w:right="14" w:firstLine="1692"/>
        <w:jc w:val="both"/>
      </w:pPr>
      <w:r>
        <w:rPr>
          <w:sz w:val="26"/>
        </w:rPr>
        <w:t>El Acuerdo Gubernativo Número 35-2015, del Presidente de la República, Reglamento de la Ley de Institutos de Educación por Cooperativa de Enseñanza.</w:t>
      </w:r>
    </w:p>
    <w:p w14:paraId="585B2878" w14:textId="77777777" w:rsidR="00053D93" w:rsidRDefault="00260B75">
      <w:pPr>
        <w:spacing w:after="0"/>
        <w:ind w:left="22"/>
      </w:pPr>
      <w:r>
        <w:rPr>
          <w:noProof/>
        </w:rPr>
        <mc:AlternateContent>
          <mc:Choice Requires="wpg">
            <w:drawing>
              <wp:inline distT="0" distB="0" distL="0" distR="0" wp14:anchorId="406F8354" wp14:editId="110E0423">
                <wp:extent cx="132588" cy="297180"/>
                <wp:effectExtent l="0" t="0" r="0" b="0"/>
                <wp:docPr id="2454306" name="Group 2454306"/>
                <wp:cNvGraphicFramePr/>
                <a:graphic xmlns:a="http://schemas.openxmlformats.org/drawingml/2006/main">
                  <a:graphicData uri="http://schemas.microsoft.com/office/word/2010/wordprocessingGroup">
                    <wpg:wgp>
                      <wpg:cNvGrpSpPr/>
                      <wpg:grpSpPr>
                        <a:xfrm>
                          <a:off x="0" y="0"/>
                          <a:ext cx="132588" cy="297180"/>
                          <a:chOff x="0" y="0"/>
                          <a:chExt cx="132588" cy="297180"/>
                        </a:xfrm>
                      </wpg:grpSpPr>
                      <wps:wsp>
                        <wps:cNvPr id="74920" name="Rectangle 74920"/>
                        <wps:cNvSpPr/>
                        <wps:spPr>
                          <a:xfrm>
                            <a:off x="0" y="0"/>
                            <a:ext cx="176342" cy="395249"/>
                          </a:xfrm>
                          <a:prstGeom prst="rect">
                            <a:avLst/>
                          </a:prstGeom>
                          <a:ln>
                            <a:noFill/>
                          </a:ln>
                        </wps:spPr>
                        <wps:txbx>
                          <w:txbxContent>
                            <w:p w14:paraId="3CF2220E"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inline>
            </w:drawing>
          </mc:Choice>
          <mc:Fallback>
            <w:pict>
              <v:group w14:anchorId="406F8354" id="Group 2454306" o:spid="_x0000_s1100" style="width:10.45pt;height:23.4pt;mso-position-horizontal-relative:char;mso-position-vertical-relative:line" coordsize="132588,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">
                <v:rect id="Rectangle 74920" o:spid="_x0000_s1101" style="position:absolute;width:176342;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" filled="f" stroked="f">
                  <v:textbox inset="0,0,0,0">
                    <w:txbxContent>
                      <w:p w14:paraId="3CF2220E" w14:textId="77777777" w:rsidR="00053D93" w:rsidRDefault="00260B75">
                        <w:r>
                          <w:rPr>
                            <w:rFonts w:ascii="Times New Roman" w:eastAsia="Times New Roman" w:hAnsi="Times New Roman" w:cs="Times New Roman"/>
                            <w:sz w:val="80"/>
                          </w:rPr>
                          <w:t>1</w:t>
                        </w:r>
                      </w:p>
                    </w:txbxContent>
                  </v:textbox>
                </v:rect>
                <w10:anchorlock/>
              </v:group>
            </w:pict>
          </mc:Fallback>
        </mc:AlternateContent>
      </w:r>
    </w:p>
    <w:p w14:paraId="3C2C6C92" w14:textId="77777777" w:rsidR="00053D93" w:rsidRDefault="00260B75">
      <w:pPr>
        <w:spacing w:after="56" w:line="247" w:lineRule="auto"/>
        <w:ind w:left="1699" w:right="14" w:hanging="1685"/>
        <w:jc w:val="both"/>
      </w:pPr>
      <w:r>
        <w:rPr>
          <w:sz w:val="26"/>
        </w:rPr>
        <w:t>El Acuerdo Gubernativo No. 36-2015, del Presidente de la República, Reglamento del Régimen de Cuotas para Centros Educativos Privados.</w:t>
      </w:r>
    </w:p>
    <w:tbl>
      <w:tblPr>
        <w:tblStyle w:val="TableGrid"/>
        <w:tblpPr w:vertAnchor="page" w:horzAnchor="page" w:tblpX="2885" w:tblpY="14551"/>
        <w:tblOverlap w:val="never"/>
        <w:tblW w:w="7613" w:type="dxa"/>
        <w:tblInd w:w="0" w:type="dxa"/>
        <w:tblCellMar>
          <w:top w:w="31" w:type="dxa"/>
          <w:left w:w="1745" w:type="dxa"/>
          <w:right w:w="115" w:type="dxa"/>
        </w:tblCellMar>
        <w:tblLook w:val="04A0" w:firstRow="1" w:lastRow="0" w:firstColumn="1" w:lastColumn="0" w:noHBand="0" w:noVBand="1"/>
      </w:tblPr>
      <w:tblGrid>
        <w:gridCol w:w="7613"/>
      </w:tblGrid>
      <w:tr w:rsidR="00053D93" w14:paraId="3A0569F1" w14:textId="77777777">
        <w:trPr>
          <w:trHeight w:val="36"/>
        </w:trPr>
        <w:tc>
          <w:tcPr>
            <w:tcW w:w="7613" w:type="dxa"/>
            <w:tcBorders>
              <w:top w:val="nil"/>
              <w:left w:val="single" w:sz="2" w:space="0" w:color="000000"/>
              <w:bottom w:val="single" w:sz="2" w:space="0" w:color="000000"/>
              <w:right w:val="nil"/>
            </w:tcBorders>
          </w:tcPr>
          <w:p w14:paraId="0F4DE2E0" w14:textId="77777777" w:rsidR="00053D93" w:rsidRDefault="00053D93"/>
        </w:tc>
      </w:tr>
      <w:tr w:rsidR="00053D93" w14:paraId="351FD728" w14:textId="77777777">
        <w:trPr>
          <w:trHeight w:val="605"/>
        </w:trPr>
        <w:tc>
          <w:tcPr>
            <w:tcW w:w="7613" w:type="dxa"/>
            <w:tcBorders>
              <w:top w:val="single" w:sz="2" w:space="0" w:color="000000"/>
              <w:left w:val="single" w:sz="2" w:space="0" w:color="000000"/>
              <w:bottom w:val="nil"/>
              <w:right w:val="nil"/>
            </w:tcBorders>
          </w:tcPr>
          <w:p w14:paraId="7CBE0FB9" w14:textId="77777777" w:rsidR="00053D93" w:rsidRDefault="00260B75">
            <w:pPr>
              <w:ind w:left="828"/>
            </w:pPr>
            <w:r>
              <w:rPr>
                <w:sz w:val="14"/>
              </w:rPr>
              <w:lastRenderedPageBreak/>
              <w:t>MINISTERIO DE EDUCACION</w:t>
            </w:r>
          </w:p>
          <w:p w14:paraId="226E2FDC" w14:textId="77777777" w:rsidR="00053D93" w:rsidRDefault="00260B75">
            <w:pPr>
              <w:ind w:left="331"/>
            </w:pPr>
            <w:r>
              <w:rPr>
                <w:sz w:val="14"/>
              </w:rPr>
              <w:t>AUDITORIA FINANCIERA Y DE CUMPLIMIENTO</w:t>
            </w:r>
          </w:p>
          <w:p w14:paraId="782EC3F0" w14:textId="77777777" w:rsidR="00053D93" w:rsidRDefault="00260B75">
            <w:r>
              <w:rPr>
                <w:sz w:val="14"/>
              </w:rPr>
              <w:t>PERIODO DEL 01 DE ENERO AL 31 DE DICIEMBRE DE 2024</w:t>
            </w:r>
          </w:p>
        </w:tc>
      </w:tr>
    </w:tbl>
    <w:p w14:paraId="218DF4DF" w14:textId="77777777" w:rsidR="00053D93" w:rsidRDefault="00260B75">
      <w:pPr>
        <w:spacing w:after="3"/>
        <w:ind w:left="74" w:right="9864" w:hanging="10"/>
      </w:pPr>
      <w:r>
        <w:rPr>
          <w:noProof/>
        </w:rPr>
        <w:drawing>
          <wp:anchor distT="0" distB="0" distL="114300" distR="114300" simplePos="0" relativeHeight="251692032" behindDoc="0" locked="0" layoutInCell="1" allowOverlap="0" wp14:anchorId="61C17C4B" wp14:editId="56CA3152">
            <wp:simplePos x="0" y="0"/>
            <wp:positionH relativeFrom="page">
              <wp:posOffset>685800</wp:posOffset>
            </wp:positionH>
            <wp:positionV relativeFrom="page">
              <wp:posOffset>9240013</wp:posOffset>
            </wp:positionV>
            <wp:extent cx="1120140" cy="411480"/>
            <wp:effectExtent l="0" t="0" r="0" b="0"/>
            <wp:wrapTopAndBottom/>
            <wp:docPr id="77060" name="Picture 77060"/>
            <wp:cNvGraphicFramePr/>
            <a:graphic xmlns:a="http://schemas.openxmlformats.org/drawingml/2006/main">
              <a:graphicData uri="http://schemas.openxmlformats.org/drawingml/2006/picture">
                <pic:pic xmlns:pic="http://schemas.openxmlformats.org/drawingml/2006/picture">
                  <pic:nvPicPr>
                    <pic:cNvPr id="77060" name="Picture 77060"/>
                    <pic:cNvPicPr/>
                  </pic:nvPicPr>
                  <pic:blipFill>
                    <a:blip r:embed="rId90"/>
                    <a:stretch>
                      <a:fillRect/>
                    </a:stretch>
                  </pic:blipFill>
                  <pic:spPr>
                    <a:xfrm>
                      <a:off x="0" y="0"/>
                      <a:ext cx="1120140" cy="411480"/>
                    </a:xfrm>
                    <a:prstGeom prst="rect">
                      <a:avLst/>
                    </a:prstGeom>
                  </pic:spPr>
                </pic:pic>
              </a:graphicData>
            </a:graphic>
          </wp:anchor>
        </w:drawing>
      </w:r>
      <w:r>
        <w:rPr>
          <w:noProof/>
        </w:rPr>
        <w:drawing>
          <wp:anchor distT="0" distB="0" distL="114300" distR="114300" simplePos="0" relativeHeight="251693056" behindDoc="0" locked="0" layoutInCell="1" allowOverlap="0" wp14:anchorId="25D2FC18" wp14:editId="2A1DEE60">
            <wp:simplePos x="0" y="0"/>
            <wp:positionH relativeFrom="page">
              <wp:posOffset>219456</wp:posOffset>
            </wp:positionH>
            <wp:positionV relativeFrom="page">
              <wp:posOffset>9688068</wp:posOffset>
            </wp:positionV>
            <wp:extent cx="13716" cy="18288"/>
            <wp:effectExtent l="0" t="0" r="0" b="0"/>
            <wp:wrapTopAndBottom/>
            <wp:docPr id="76985" name="Picture 76985"/>
            <wp:cNvGraphicFramePr/>
            <a:graphic xmlns:a="http://schemas.openxmlformats.org/drawingml/2006/main">
              <a:graphicData uri="http://schemas.openxmlformats.org/drawingml/2006/picture">
                <pic:pic xmlns:pic="http://schemas.openxmlformats.org/drawingml/2006/picture">
                  <pic:nvPicPr>
                    <pic:cNvPr id="76985" name="Picture 76985"/>
                    <pic:cNvPicPr/>
                  </pic:nvPicPr>
                  <pic:blipFill>
                    <a:blip r:embed="rId91"/>
                    <a:stretch>
                      <a:fillRect/>
                    </a:stretch>
                  </pic:blipFill>
                  <pic:spPr>
                    <a:xfrm>
                      <a:off x="0" y="0"/>
                      <a:ext cx="13716" cy="18288"/>
                    </a:xfrm>
                    <a:prstGeom prst="rect">
                      <a:avLst/>
                    </a:prstGeom>
                  </pic:spPr>
                </pic:pic>
              </a:graphicData>
            </a:graphic>
          </wp:anchor>
        </w:drawing>
      </w:r>
      <w:r>
        <w:rPr>
          <w:noProof/>
        </w:rPr>
        <w:drawing>
          <wp:anchor distT="0" distB="0" distL="114300" distR="114300" simplePos="0" relativeHeight="251694080" behindDoc="0" locked="0" layoutInCell="1" allowOverlap="0" wp14:anchorId="594EA18E" wp14:editId="3898A5C5">
            <wp:simplePos x="0" y="0"/>
            <wp:positionH relativeFrom="column">
              <wp:posOffset>160020</wp:posOffset>
            </wp:positionH>
            <wp:positionV relativeFrom="paragraph">
              <wp:posOffset>9144</wp:posOffset>
            </wp:positionV>
            <wp:extent cx="36576" cy="18288"/>
            <wp:effectExtent l="0" t="0" r="0" b="0"/>
            <wp:wrapSquare wrapText="bothSides"/>
            <wp:docPr id="76982" name="Picture 76982"/>
            <wp:cNvGraphicFramePr/>
            <a:graphic xmlns:a="http://schemas.openxmlformats.org/drawingml/2006/main">
              <a:graphicData uri="http://schemas.openxmlformats.org/drawingml/2006/picture">
                <pic:pic xmlns:pic="http://schemas.openxmlformats.org/drawingml/2006/picture">
                  <pic:nvPicPr>
                    <pic:cNvPr id="76982" name="Picture 76982"/>
                    <pic:cNvPicPr/>
                  </pic:nvPicPr>
                  <pic:blipFill>
                    <a:blip r:embed="rId92"/>
                    <a:stretch>
                      <a:fillRect/>
                    </a:stretch>
                  </pic:blipFill>
                  <pic:spPr>
                    <a:xfrm>
                      <a:off x="0" y="0"/>
                      <a:ext cx="36576" cy="18288"/>
                    </a:xfrm>
                    <a:prstGeom prst="rect">
                      <a:avLst/>
                    </a:prstGeom>
                  </pic:spPr>
                </pic:pic>
              </a:graphicData>
            </a:graphic>
          </wp:anchor>
        </w:drawing>
      </w:r>
      <w:r>
        <w:rPr>
          <w:noProof/>
        </w:rPr>
        <w:drawing>
          <wp:anchor distT="0" distB="0" distL="114300" distR="114300" simplePos="0" relativeHeight="251695104" behindDoc="0" locked="0" layoutInCell="1" allowOverlap="0" wp14:anchorId="531C4098" wp14:editId="7DE6F2BD">
            <wp:simplePos x="0" y="0"/>
            <wp:positionH relativeFrom="column">
              <wp:posOffset>18288</wp:posOffset>
            </wp:positionH>
            <wp:positionV relativeFrom="paragraph">
              <wp:posOffset>27432</wp:posOffset>
            </wp:positionV>
            <wp:extent cx="4572" cy="18288"/>
            <wp:effectExtent l="0" t="0" r="0" b="0"/>
            <wp:wrapSquare wrapText="bothSides"/>
            <wp:docPr id="76983" name="Picture 76983"/>
            <wp:cNvGraphicFramePr/>
            <a:graphic xmlns:a="http://schemas.openxmlformats.org/drawingml/2006/main">
              <a:graphicData uri="http://schemas.openxmlformats.org/drawingml/2006/picture">
                <pic:pic xmlns:pic="http://schemas.openxmlformats.org/drawingml/2006/picture">
                  <pic:nvPicPr>
                    <pic:cNvPr id="76983" name="Picture 76983"/>
                    <pic:cNvPicPr/>
                  </pic:nvPicPr>
                  <pic:blipFill>
                    <a:blip r:embed="rId93"/>
                    <a:stretch>
                      <a:fillRect/>
                    </a:stretch>
                  </pic:blipFill>
                  <pic:spPr>
                    <a:xfrm>
                      <a:off x="0" y="0"/>
                      <a:ext cx="4572" cy="18288"/>
                    </a:xfrm>
                    <a:prstGeom prst="rect">
                      <a:avLst/>
                    </a:prstGeom>
                  </pic:spPr>
                </pic:pic>
              </a:graphicData>
            </a:graphic>
          </wp:anchor>
        </w:drawing>
      </w:r>
      <w:r>
        <w:rPr>
          <w:rFonts w:ascii="Times New Roman" w:eastAsia="Times New Roman" w:hAnsi="Times New Roman" w:cs="Times New Roman"/>
          <w:sz w:val="70"/>
        </w:rPr>
        <w:t>1</w:t>
      </w:r>
    </w:p>
    <w:p w14:paraId="5DF7D298" w14:textId="77777777" w:rsidR="00053D93" w:rsidRDefault="00260B75">
      <w:pPr>
        <w:spacing w:after="97" w:line="247" w:lineRule="auto"/>
        <w:ind w:left="14" w:right="14" w:firstLine="1685"/>
        <w:jc w:val="both"/>
      </w:pPr>
      <w:r>
        <w:rPr>
          <w:sz w:val="26"/>
        </w:rPr>
        <w:t xml:space="preserve">El Acuerdo Gubernativo No. 52-2015, del Presidente de la República, Reglamento </w:t>
      </w:r>
      <w:r>
        <w:rPr>
          <w:rFonts w:ascii="Times New Roman" w:eastAsia="Times New Roman" w:hAnsi="Times New Roman" w:cs="Times New Roman"/>
          <w:sz w:val="26"/>
        </w:rPr>
        <w:t xml:space="preserve">1 </w:t>
      </w:r>
      <w:r>
        <w:rPr>
          <w:sz w:val="26"/>
        </w:rPr>
        <w:t>para la Autorización y Funcionamiento de Centros Educativos Privados</w:t>
      </w:r>
    </w:p>
    <w:p w14:paraId="07570B48" w14:textId="77777777" w:rsidR="00053D93" w:rsidRDefault="00260B75">
      <w:pPr>
        <w:spacing w:after="189" w:line="247" w:lineRule="auto"/>
        <w:ind w:left="14" w:right="14" w:firstLine="4"/>
        <w:jc w:val="both"/>
      </w:pPr>
      <w:r>
        <w:rPr>
          <w:sz w:val="26"/>
        </w:rPr>
        <w:t xml:space="preserve">El Acuerdo Gubernativo Número 233-2017, del Presidente de la República, </w:t>
      </w:r>
      <w:r>
        <w:rPr>
          <w:noProof/>
        </w:rPr>
        <mc:AlternateContent>
          <mc:Choice Requires="wpg">
            <w:drawing>
              <wp:inline distT="0" distB="0" distL="0" distR="0" wp14:anchorId="1FFB2F9A" wp14:editId="025DF300">
                <wp:extent cx="128016" cy="292608"/>
                <wp:effectExtent l="0" t="0" r="0" b="0"/>
                <wp:docPr id="2454307" name="Group 2454307"/>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74923" name="Rectangle 74923"/>
                        <wps:cNvSpPr/>
                        <wps:spPr>
                          <a:xfrm>
                            <a:off x="0" y="0"/>
                            <a:ext cx="170261" cy="389169"/>
                          </a:xfrm>
                          <a:prstGeom prst="rect">
                            <a:avLst/>
                          </a:prstGeom>
                          <a:ln>
                            <a:noFill/>
                          </a:ln>
                        </wps:spPr>
                        <wps:txbx>
                          <w:txbxContent>
                            <w:p w14:paraId="1F851705"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inline>
            </w:drawing>
          </mc:Choice>
          <mc:Fallback>
            <w:pict>
              <v:group w14:anchorId="1FFB2F9A" id="Group 2454307" o:spid="_x0000_s1102" style="width:10.1pt;height:23.05pt;mso-position-horizontal-relative:char;mso-position-vertical-relative:lin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">
                <v:rect id="Rectangle 74923" o:spid="_x0000_s1103"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" filled="f" stroked="f">
                  <v:textbox inset="0,0,0,0">
                    <w:txbxContent>
                      <w:p w14:paraId="1F851705" w14:textId="77777777" w:rsidR="00053D93" w:rsidRDefault="00260B75">
                        <w:r>
                          <w:rPr>
                            <w:rFonts w:ascii="Times New Roman" w:eastAsia="Times New Roman" w:hAnsi="Times New Roman" w:cs="Times New Roman"/>
                            <w:sz w:val="78"/>
                          </w:rPr>
                          <w:t>1</w:t>
                        </w:r>
                      </w:p>
                    </w:txbxContent>
                  </v:textbox>
                </v:rect>
                <w10:anchorlock/>
              </v:group>
            </w:pict>
          </mc:Fallback>
        </mc:AlternateContent>
      </w:r>
      <w:r>
        <w:rPr>
          <w:sz w:val="26"/>
        </w:rPr>
        <w:t xml:space="preserve"> Reglamento de las Organizaciones de Padres de Familia -OPF-.</w:t>
      </w:r>
    </w:p>
    <w:p w14:paraId="31587883" w14:textId="77777777" w:rsidR="00053D93" w:rsidRDefault="00260B75">
      <w:pPr>
        <w:spacing w:after="308" w:line="247" w:lineRule="auto"/>
        <w:ind w:left="14" w:right="14" w:firstLine="4"/>
        <w:jc w:val="both"/>
      </w:pPr>
      <w:r>
        <w:rPr>
          <w:noProof/>
        </w:rPr>
        <mc:AlternateContent>
          <mc:Choice Requires="wpg">
            <w:drawing>
              <wp:anchor distT="0" distB="0" distL="114300" distR="114300" simplePos="0" relativeHeight="251696128" behindDoc="0" locked="0" layoutInCell="1" allowOverlap="1" wp14:anchorId="6940087C" wp14:editId="589273CF">
                <wp:simplePos x="0" y="0"/>
                <wp:positionH relativeFrom="column">
                  <wp:posOffset>18288</wp:posOffset>
                </wp:positionH>
                <wp:positionV relativeFrom="paragraph">
                  <wp:posOffset>45882</wp:posOffset>
                </wp:positionV>
                <wp:extent cx="128016" cy="297180"/>
                <wp:effectExtent l="0" t="0" r="0" b="0"/>
                <wp:wrapSquare wrapText="bothSides"/>
                <wp:docPr id="2454308" name="Group 2454308"/>
                <wp:cNvGraphicFramePr/>
                <a:graphic xmlns:a="http://schemas.openxmlformats.org/drawingml/2006/main">
                  <a:graphicData uri="http://schemas.microsoft.com/office/word/2010/wordprocessingGroup">
                    <wpg:wgp>
                      <wpg:cNvGrpSpPr/>
                      <wpg:grpSpPr>
                        <a:xfrm>
                          <a:off x="0" y="0"/>
                          <a:ext cx="128016" cy="297180"/>
                          <a:chOff x="0" y="0"/>
                          <a:chExt cx="128016" cy="297180"/>
                        </a:xfrm>
                      </wpg:grpSpPr>
                      <wps:wsp>
                        <wps:cNvPr id="74924" name="Rectangle 74924"/>
                        <wps:cNvSpPr/>
                        <wps:spPr>
                          <a:xfrm>
                            <a:off x="0" y="0"/>
                            <a:ext cx="170261" cy="395249"/>
                          </a:xfrm>
                          <a:prstGeom prst="rect">
                            <a:avLst/>
                          </a:prstGeom>
                          <a:ln>
                            <a:noFill/>
                          </a:ln>
                        </wps:spPr>
                        <wps:txbx>
                          <w:txbxContent>
                            <w:p w14:paraId="1819A9D6"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6940087C" id="Group 2454308" o:spid="_x0000_s1104" style="position:absolute;left:0;text-align:left;margin-left:1.45pt;margin-top:3.6pt;width:10.1pt;height:23.4pt;z-index:251696128;mso-position-horizontal-relative:text;mso-position-vertical-relative:text" coordsize="128016,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">
                <v:rect id="Rectangle 74924" o:spid="_x0000_s1105" style="position:absolute;width:17026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" filled="f" stroked="f">
                  <v:textbox inset="0,0,0,0">
                    <w:txbxContent>
                      <w:p w14:paraId="1819A9D6" w14:textId="77777777" w:rsidR="00053D93" w:rsidRDefault="00260B75">
                        <w:r>
                          <w:rPr>
                            <w:rFonts w:ascii="Times New Roman" w:eastAsia="Times New Roman" w:hAnsi="Times New Roman" w:cs="Times New Roman"/>
                            <w:sz w:val="78"/>
                          </w:rPr>
                          <w:t>1</w:t>
                        </w:r>
                      </w:p>
                    </w:txbxContent>
                  </v:textbox>
                </v:rect>
                <w10:wrap type="square"/>
              </v:group>
            </w:pict>
          </mc:Fallback>
        </mc:AlternateContent>
      </w:r>
      <w:r>
        <w:rPr>
          <w:sz w:val="26"/>
        </w:rPr>
        <w:t>El Acuerdo Gubernativo Número 247-2017, del Presidente de la República, Formación de Docentes de Nivel de Educación Primaria.</w:t>
      </w:r>
    </w:p>
    <w:p w14:paraId="2A140BA3" w14:textId="77777777" w:rsidR="00053D93" w:rsidRDefault="00260B75">
      <w:pPr>
        <w:spacing w:after="244" w:line="247" w:lineRule="auto"/>
        <w:ind w:left="14" w:right="14" w:firstLine="4"/>
        <w:jc w:val="both"/>
      </w:pPr>
      <w:r>
        <w:rPr>
          <w:noProof/>
        </w:rPr>
        <mc:AlternateContent>
          <mc:Choice Requires="wpg">
            <w:drawing>
              <wp:anchor distT="0" distB="0" distL="114300" distR="114300" simplePos="0" relativeHeight="251697152" behindDoc="0" locked="0" layoutInCell="1" allowOverlap="1" wp14:anchorId="0571B939" wp14:editId="76DB7E32">
                <wp:simplePos x="0" y="0"/>
                <wp:positionH relativeFrom="column">
                  <wp:posOffset>36576</wp:posOffset>
                </wp:positionH>
                <wp:positionV relativeFrom="paragraph">
                  <wp:posOffset>-18451</wp:posOffset>
                </wp:positionV>
                <wp:extent cx="114300" cy="297180"/>
                <wp:effectExtent l="0" t="0" r="0" b="0"/>
                <wp:wrapSquare wrapText="bothSides"/>
                <wp:docPr id="2454309" name="Group 2454309"/>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74925" name="Rectangle 74925"/>
                        <wps:cNvSpPr/>
                        <wps:spPr>
                          <a:xfrm>
                            <a:off x="0" y="0"/>
                            <a:ext cx="152019" cy="395249"/>
                          </a:xfrm>
                          <a:prstGeom prst="rect">
                            <a:avLst/>
                          </a:prstGeom>
                          <a:ln>
                            <a:noFill/>
                          </a:ln>
                        </wps:spPr>
                        <wps:txbx>
                          <w:txbxContent>
                            <w:p w14:paraId="14E8F35D"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0571B939" id="Group 2454309" o:spid="_x0000_s1106" style="position:absolute;left:0;text-align:left;margin-left:2.9pt;margin-top:-1.45pt;width:9pt;height:23.4pt;z-index:251697152;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">
                <v:rect id="Rectangle 74925" o:spid="_x0000_s1107"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" filled="f" stroked="f">
                  <v:textbox inset="0,0,0,0">
                    <w:txbxContent>
                      <w:p w14:paraId="14E8F35D"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sz w:val="26"/>
        </w:rPr>
        <w:t>El Acuerdo Gubernativo Número 183-2018, del Presidente de la República, Reglamento de la Ley de Aimentación Escolar.</w:t>
      </w:r>
    </w:p>
    <w:p w14:paraId="5E0F4215" w14:textId="77777777" w:rsidR="00053D93" w:rsidRDefault="00260B75">
      <w:pPr>
        <w:spacing w:after="17" w:line="247" w:lineRule="auto"/>
        <w:ind w:left="14" w:right="14" w:firstLine="4"/>
        <w:jc w:val="both"/>
      </w:pPr>
      <w:r>
        <w:rPr>
          <w:noProof/>
        </w:rPr>
        <mc:AlternateContent>
          <mc:Choice Requires="wpg">
            <w:drawing>
              <wp:inline distT="0" distB="0" distL="0" distR="0" wp14:anchorId="5D8530BC" wp14:editId="59AB7DC7">
                <wp:extent cx="132588" cy="288036"/>
                <wp:effectExtent l="0" t="0" r="0" b="0"/>
                <wp:docPr id="2454310" name="Group 2454310"/>
                <wp:cNvGraphicFramePr/>
                <a:graphic xmlns:a="http://schemas.openxmlformats.org/drawingml/2006/main">
                  <a:graphicData uri="http://schemas.microsoft.com/office/word/2010/wordprocessingGroup">
                    <wpg:wgp>
                      <wpg:cNvGrpSpPr/>
                      <wpg:grpSpPr>
                        <a:xfrm>
                          <a:off x="0" y="0"/>
                          <a:ext cx="132588" cy="288036"/>
                          <a:chOff x="0" y="0"/>
                          <a:chExt cx="132588" cy="288036"/>
                        </a:xfrm>
                      </wpg:grpSpPr>
                      <wps:wsp>
                        <wps:cNvPr id="74926" name="Rectangle 74926"/>
                        <wps:cNvSpPr/>
                        <wps:spPr>
                          <a:xfrm>
                            <a:off x="0" y="0"/>
                            <a:ext cx="176342" cy="383088"/>
                          </a:xfrm>
                          <a:prstGeom prst="rect">
                            <a:avLst/>
                          </a:prstGeom>
                          <a:ln>
                            <a:noFill/>
                          </a:ln>
                        </wps:spPr>
                        <wps:txbx>
                          <w:txbxContent>
                            <w:p w14:paraId="1BF615FF"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inline>
            </w:drawing>
          </mc:Choice>
          <mc:Fallback>
            <w:pict>
              <v:group w14:anchorId="5D8530BC" id="Group 2454310" o:spid="_x0000_s1108" style="width:10.45pt;height:22.7pt;mso-position-horizontal-relative:char;mso-position-vertical-relative:line" coordsize="13258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">
                <v:rect id="Rectangle 74926" o:spid="_x0000_s1109" style="position:absolute;width:176342;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" filled="f" stroked="f">
                  <v:textbox inset="0,0,0,0">
                    <w:txbxContent>
                      <w:p w14:paraId="1BF615FF" w14:textId="77777777" w:rsidR="00053D93" w:rsidRDefault="00260B75">
                        <w:r>
                          <w:rPr>
                            <w:rFonts w:ascii="Times New Roman" w:eastAsia="Times New Roman" w:hAnsi="Times New Roman" w:cs="Times New Roman"/>
                            <w:sz w:val="80"/>
                          </w:rPr>
                          <w:t>1</w:t>
                        </w:r>
                      </w:p>
                    </w:txbxContent>
                  </v:textbox>
                </v:rect>
                <w10:anchorlock/>
              </v:group>
            </w:pict>
          </mc:Fallback>
        </mc:AlternateContent>
      </w:r>
      <w:r>
        <w:rPr>
          <w:sz w:val="26"/>
        </w:rPr>
        <w:t xml:space="preserve"> El Acuerdo Gubernativo Número 1-2024, del Presidente de la República, Distribución analítica del presupuesto.</w:t>
      </w:r>
    </w:p>
    <w:p w14:paraId="0A66FF9E" w14:textId="77777777" w:rsidR="00053D93" w:rsidRDefault="00260B75">
      <w:pPr>
        <w:spacing w:after="142"/>
        <w:ind w:left="29"/>
      </w:pPr>
      <w:r>
        <w:rPr>
          <w:noProof/>
        </w:rPr>
        <w:drawing>
          <wp:inline distT="0" distB="0" distL="0" distR="0" wp14:anchorId="23052133" wp14:editId="16D75634">
            <wp:extent cx="13716" cy="27432"/>
            <wp:effectExtent l="0" t="0" r="0" b="0"/>
            <wp:docPr id="76984" name="Picture 76984"/>
            <wp:cNvGraphicFramePr/>
            <a:graphic xmlns:a="http://schemas.openxmlformats.org/drawingml/2006/main">
              <a:graphicData uri="http://schemas.openxmlformats.org/drawingml/2006/picture">
                <pic:pic xmlns:pic="http://schemas.openxmlformats.org/drawingml/2006/picture">
                  <pic:nvPicPr>
                    <pic:cNvPr id="76984" name="Picture 76984"/>
                    <pic:cNvPicPr/>
                  </pic:nvPicPr>
                  <pic:blipFill>
                    <a:blip r:embed="rId94"/>
                    <a:stretch>
                      <a:fillRect/>
                    </a:stretch>
                  </pic:blipFill>
                  <pic:spPr>
                    <a:xfrm>
                      <a:off x="0" y="0"/>
                      <a:ext cx="13716" cy="27432"/>
                    </a:xfrm>
                    <a:prstGeom prst="rect">
                      <a:avLst/>
                    </a:prstGeom>
                  </pic:spPr>
                </pic:pic>
              </a:graphicData>
            </a:graphic>
          </wp:inline>
        </w:drawing>
      </w:r>
    </w:p>
    <w:p w14:paraId="2C68F7AA" w14:textId="77777777" w:rsidR="00053D93" w:rsidRDefault="00260B75">
      <w:pPr>
        <w:spacing w:after="88" w:line="319" w:lineRule="auto"/>
        <w:ind w:left="1670" w:right="14" w:hanging="1656"/>
        <w:jc w:val="both"/>
      </w:pPr>
      <w:r>
        <w:rPr>
          <w:rFonts w:ascii="Times New Roman" w:eastAsia="Times New Roman" w:hAnsi="Times New Roman" w:cs="Times New Roman"/>
          <w:sz w:val="26"/>
        </w:rPr>
        <w:t xml:space="preserve">1 </w:t>
      </w:r>
      <w:r>
        <w:rPr>
          <w:sz w:val="26"/>
        </w:rPr>
        <w:t>Acuerdo Ministerial No. 2647-2007 "A", de la Ministra de Educación, Reglamento Interno de la Dirección General de Educación Física -DIGEF-.</w:t>
      </w:r>
    </w:p>
    <w:p w14:paraId="51F1EF20" w14:textId="77777777" w:rsidR="00053D93" w:rsidRDefault="00260B75">
      <w:pPr>
        <w:spacing w:after="0"/>
        <w:ind w:left="9" w:right="9619" w:hanging="10"/>
      </w:pPr>
      <w:r>
        <w:rPr>
          <w:rFonts w:ascii="Times New Roman" w:eastAsia="Times New Roman" w:hAnsi="Times New Roman" w:cs="Times New Roman"/>
          <w:sz w:val="78"/>
        </w:rPr>
        <w:t>1</w:t>
      </w:r>
    </w:p>
    <w:p w14:paraId="496F8B92" w14:textId="77777777" w:rsidR="00053D93" w:rsidRDefault="00260B75">
      <w:pPr>
        <w:spacing w:after="17" w:line="247" w:lineRule="auto"/>
        <w:ind w:left="1714" w:right="14" w:firstLine="4"/>
        <w:jc w:val="both"/>
      </w:pPr>
      <w:r>
        <w:rPr>
          <w:sz w:val="26"/>
        </w:rPr>
        <w:t>El Acuerdo Ministerial No. 1291-2008, la Ministra de Educación, Normas de Organización Interna de las Direcciones Departamentales de Educación.</w:t>
      </w:r>
    </w:p>
    <w:p w14:paraId="574A3DEC" w14:textId="77777777" w:rsidR="00053D93" w:rsidRDefault="00053D93">
      <w:pPr>
        <w:sectPr w:rsidR="00053D93">
          <w:headerReference w:type="even" r:id="rId95"/>
          <w:headerReference w:type="default" r:id="rId96"/>
          <w:footerReference w:type="even" r:id="rId97"/>
          <w:footerReference w:type="default" r:id="rId98"/>
          <w:headerReference w:type="first" r:id="rId99"/>
          <w:footerReference w:type="first" r:id="rId100"/>
          <w:pgSz w:w="12290" w:h="15912"/>
          <w:pgMar w:top="673" w:right="1807" w:bottom="698" w:left="317" w:header="634" w:footer="230" w:gutter="0"/>
          <w:pgNumType w:start="8"/>
          <w:cols w:space="720"/>
          <w:titlePg/>
        </w:sectPr>
      </w:pPr>
    </w:p>
    <w:p w14:paraId="5636776D" w14:textId="77777777" w:rsidR="00053D93" w:rsidRDefault="00260B75">
      <w:pPr>
        <w:spacing w:after="0"/>
      </w:pPr>
      <w:r>
        <w:rPr>
          <w:rFonts w:ascii="Times New Roman" w:eastAsia="Times New Roman" w:hAnsi="Times New Roman" w:cs="Times New Roman"/>
          <w:sz w:val="94"/>
        </w:rPr>
        <w:lastRenderedPageBreak/>
        <w:t>1</w:t>
      </w:r>
    </w:p>
    <w:p w14:paraId="029071A2" w14:textId="77777777" w:rsidR="00053D93" w:rsidRDefault="00260B75">
      <w:pPr>
        <w:spacing w:after="350"/>
        <w:ind w:left="1692"/>
      </w:pPr>
      <w:r>
        <w:rPr>
          <w:noProof/>
        </w:rPr>
        <mc:AlternateContent>
          <mc:Choice Requires="wpg">
            <w:drawing>
              <wp:inline distT="0" distB="0" distL="0" distR="0" wp14:anchorId="5E12D6F7" wp14:editId="13CDA5EA">
                <wp:extent cx="5372100" cy="9144"/>
                <wp:effectExtent l="0" t="0" r="0" b="0"/>
                <wp:docPr id="2458136" name="Group 2458136"/>
                <wp:cNvGraphicFramePr/>
                <a:graphic xmlns:a="http://schemas.openxmlformats.org/drawingml/2006/main">
                  <a:graphicData uri="http://schemas.microsoft.com/office/word/2010/wordprocessingGroup">
                    <wpg:wgp>
                      <wpg:cNvGrpSpPr/>
                      <wpg:grpSpPr>
                        <a:xfrm>
                          <a:off x="0" y="0"/>
                          <a:ext cx="5372100" cy="9144"/>
                          <a:chOff x="0" y="0"/>
                          <a:chExt cx="5372100" cy="9144"/>
                        </a:xfrm>
                      </wpg:grpSpPr>
                      <wps:wsp>
                        <wps:cNvPr id="2458135" name="Shape 2458135"/>
                        <wps:cNvSpPr/>
                        <wps:spPr>
                          <a:xfrm>
                            <a:off x="0" y="0"/>
                            <a:ext cx="5372100" cy="9144"/>
                          </a:xfrm>
                          <a:custGeom>
                            <a:avLst/>
                            <a:gdLst/>
                            <a:ahLst/>
                            <a:cxnLst/>
                            <a:rect l="0" t="0" r="0" b="0"/>
                            <a:pathLst>
                              <a:path w="5372100" h="9144">
                                <a:moveTo>
                                  <a:pt x="0" y="4572"/>
                                </a:moveTo>
                                <a:lnTo>
                                  <a:pt x="537210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36" style="width:423pt;height:0.720001pt;mso-position-horizontal-relative:char;mso-position-vertical-relative:line" coordsize="53721,91">
                <v:shape id="Shape 2458135" style="position:absolute;width:53721;height:91;left:0;top:0;" coordsize="5372100,9144" path="m0,4572l5372100,4572">
                  <v:stroke weight="0.720001pt" endcap="flat" joinstyle="miter" miterlimit="1" on="true" color="#000000"/>
                  <v:fill on="false" color="#000000"/>
                </v:shape>
              </v:group>
            </w:pict>
          </mc:Fallback>
        </mc:AlternateContent>
      </w:r>
    </w:p>
    <w:p w14:paraId="7A640FF1" w14:textId="77777777" w:rsidR="00053D93" w:rsidRDefault="00260B75">
      <w:pPr>
        <w:spacing w:after="815" w:line="247" w:lineRule="auto"/>
        <w:ind w:left="1714" w:right="14" w:firstLine="4"/>
        <w:jc w:val="both"/>
      </w:pPr>
      <w:r>
        <w:rPr>
          <w:sz w:val="26"/>
        </w:rPr>
        <w:t>El Acuerdo Ministerial No. 1003-2009, de [a Ministra de Educación, Reglamento Interno de la Dirección de Informática -DINFO-.</w:t>
      </w:r>
    </w:p>
    <w:p w14:paraId="6BC48451" w14:textId="77777777" w:rsidR="00053D93" w:rsidRDefault="00260B75">
      <w:pPr>
        <w:spacing w:after="17" w:line="348" w:lineRule="auto"/>
        <w:ind w:left="1720" w:right="14" w:hanging="1706"/>
        <w:jc w:val="both"/>
      </w:pPr>
      <w:r>
        <w:rPr>
          <w:rFonts w:ascii="Times New Roman" w:eastAsia="Times New Roman" w:hAnsi="Times New Roman" w:cs="Times New Roman"/>
          <w:sz w:val="26"/>
        </w:rPr>
        <w:t xml:space="preserve">1 </w:t>
      </w:r>
      <w:r>
        <w:rPr>
          <w:sz w:val="26"/>
        </w:rPr>
        <w:t>El Acuerdo Ministerial No. 1063-2009, de la Ministra de Educación, Reglamento Interno de la Dirección de Desarrollo y Fortalecimiento Institucional (DIDEFI).</w:t>
      </w:r>
    </w:p>
    <w:p w14:paraId="6D14FA41" w14:textId="77777777" w:rsidR="00053D93" w:rsidRDefault="00260B75">
      <w:pPr>
        <w:spacing w:after="0"/>
        <w:ind w:left="22"/>
      </w:pPr>
      <w:r>
        <w:rPr>
          <w:noProof/>
        </w:rPr>
        <mc:AlternateContent>
          <mc:Choice Requires="wpg">
            <w:drawing>
              <wp:inline distT="0" distB="0" distL="0" distR="0" wp14:anchorId="5362AFDD" wp14:editId="0C01916C">
                <wp:extent cx="141732" cy="333756"/>
                <wp:effectExtent l="0" t="0" r="0" b="0"/>
                <wp:docPr id="2454322" name="Group 2454322"/>
                <wp:cNvGraphicFramePr/>
                <a:graphic xmlns:a="http://schemas.openxmlformats.org/drawingml/2006/main">
                  <a:graphicData uri="http://schemas.microsoft.com/office/word/2010/wordprocessingGroup">
                    <wpg:wgp>
                      <wpg:cNvGrpSpPr/>
                      <wpg:grpSpPr>
                        <a:xfrm>
                          <a:off x="0" y="0"/>
                          <a:ext cx="141732" cy="333756"/>
                          <a:chOff x="0" y="0"/>
                          <a:chExt cx="141732" cy="333756"/>
                        </a:xfrm>
                      </wpg:grpSpPr>
                      <wps:wsp>
                        <wps:cNvPr id="77522" name="Rectangle 77522"/>
                        <wps:cNvSpPr/>
                        <wps:spPr>
                          <a:xfrm>
                            <a:off x="0" y="0"/>
                            <a:ext cx="188504" cy="443896"/>
                          </a:xfrm>
                          <a:prstGeom prst="rect">
                            <a:avLst/>
                          </a:prstGeom>
                          <a:ln>
                            <a:noFill/>
                          </a:ln>
                        </wps:spPr>
                        <wps:txbx>
                          <w:txbxContent>
                            <w:p w14:paraId="59E6937B"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inline>
            </w:drawing>
          </mc:Choice>
          <mc:Fallback>
            <w:pict>
              <v:group w14:anchorId="5362AFDD" id="Group 2454322" o:spid="_x0000_s1110" style="width:11.15pt;height:26.3pt;mso-position-horizontal-relative:char;mso-position-vertical-relative:line" coordsize="141732,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">
                <v:rect id="Rectangle 77522" o:spid="_x0000_s1111" style="position:absolute;width:188504;height:443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" filled="f" stroked="f">
                  <v:textbox inset="0,0,0,0">
                    <w:txbxContent>
                      <w:p w14:paraId="59E6937B" w14:textId="77777777" w:rsidR="00053D93" w:rsidRDefault="00260B75">
                        <w:r>
                          <w:rPr>
                            <w:rFonts w:ascii="Times New Roman" w:eastAsia="Times New Roman" w:hAnsi="Times New Roman" w:cs="Times New Roman"/>
                            <w:sz w:val="86"/>
                          </w:rPr>
                          <w:t>1</w:t>
                        </w:r>
                      </w:p>
                    </w:txbxContent>
                  </v:textbox>
                </v:rect>
                <w10:anchorlock/>
              </v:group>
            </w:pict>
          </mc:Fallback>
        </mc:AlternateContent>
      </w:r>
    </w:p>
    <w:p w14:paraId="58D17FEE" w14:textId="77777777" w:rsidR="00053D93" w:rsidRDefault="00260B75">
      <w:pPr>
        <w:spacing w:after="144" w:line="247" w:lineRule="auto"/>
        <w:ind w:left="14" w:right="14" w:firstLine="1476"/>
        <w:jc w:val="both"/>
      </w:pPr>
      <w:r>
        <w:rPr>
          <w:sz w:val="26"/>
        </w:rPr>
        <w:t xml:space="preserve">El Acuerdo Ministerial Número 2072-2009, de la Ministra de Educación, </w:t>
      </w:r>
      <w:r>
        <w:rPr>
          <w:rFonts w:ascii="Times New Roman" w:eastAsia="Times New Roman" w:hAnsi="Times New Roman" w:cs="Times New Roman"/>
          <w:sz w:val="26"/>
        </w:rPr>
        <w:t xml:space="preserve">1 </w:t>
      </w:r>
      <w:r>
        <w:rPr>
          <w:sz w:val="26"/>
        </w:rPr>
        <w:t>Reglamento Interno de Trabajo del Ministerio de Educación.</w:t>
      </w:r>
    </w:p>
    <w:p w14:paraId="7825B216" w14:textId="77777777" w:rsidR="00053D93" w:rsidRDefault="00260B75">
      <w:pPr>
        <w:spacing w:after="209" w:line="247" w:lineRule="auto"/>
        <w:ind w:left="14" w:right="14" w:firstLine="4"/>
        <w:jc w:val="both"/>
      </w:pPr>
      <w:r>
        <w:rPr>
          <w:noProof/>
        </w:rPr>
        <mc:AlternateContent>
          <mc:Choice Requires="wpg">
            <w:drawing>
              <wp:anchor distT="0" distB="0" distL="114300" distR="114300" simplePos="0" relativeHeight="251698176" behindDoc="0" locked="0" layoutInCell="1" allowOverlap="1" wp14:anchorId="3334916F" wp14:editId="02BC27D2">
                <wp:simplePos x="0" y="0"/>
                <wp:positionH relativeFrom="column">
                  <wp:posOffset>13716</wp:posOffset>
                </wp:positionH>
                <wp:positionV relativeFrom="paragraph">
                  <wp:posOffset>152288</wp:posOffset>
                </wp:positionV>
                <wp:extent cx="141732" cy="329184"/>
                <wp:effectExtent l="0" t="0" r="0" b="0"/>
                <wp:wrapSquare wrapText="bothSides"/>
                <wp:docPr id="2454323" name="Group 2454323"/>
                <wp:cNvGraphicFramePr/>
                <a:graphic xmlns:a="http://schemas.openxmlformats.org/drawingml/2006/main">
                  <a:graphicData uri="http://schemas.microsoft.com/office/word/2010/wordprocessingGroup">
                    <wpg:wgp>
                      <wpg:cNvGrpSpPr/>
                      <wpg:grpSpPr>
                        <a:xfrm>
                          <a:off x="0" y="0"/>
                          <a:ext cx="141732" cy="329184"/>
                          <a:chOff x="0" y="0"/>
                          <a:chExt cx="141732" cy="329184"/>
                        </a:xfrm>
                      </wpg:grpSpPr>
                      <wps:wsp>
                        <wps:cNvPr id="77524" name="Rectangle 77524"/>
                        <wps:cNvSpPr/>
                        <wps:spPr>
                          <a:xfrm>
                            <a:off x="0" y="0"/>
                            <a:ext cx="188504" cy="437815"/>
                          </a:xfrm>
                          <a:prstGeom prst="rect">
                            <a:avLst/>
                          </a:prstGeom>
                          <a:ln>
                            <a:noFill/>
                          </a:ln>
                        </wps:spPr>
                        <wps:txbx>
                          <w:txbxContent>
                            <w:p w14:paraId="17683D3C"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3334916F" id="Group 2454323" o:spid="_x0000_s1112" style="position:absolute;left:0;text-align:left;margin-left:1.1pt;margin-top:12pt;width:11.15pt;height:25.9pt;z-index:251698176;mso-position-horizontal-relative:text;mso-position-vertical-relative:text" coordsize="141732,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">
                <v:rect id="Rectangle 77524" o:spid="_x0000_s1113" style="position:absolute;width:188504;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" filled="f" stroked="f">
                  <v:textbox inset="0,0,0,0">
                    <w:txbxContent>
                      <w:p w14:paraId="17683D3C" w14:textId="77777777" w:rsidR="00053D93" w:rsidRDefault="00260B75">
                        <w:r>
                          <w:rPr>
                            <w:rFonts w:ascii="Times New Roman" w:eastAsia="Times New Roman" w:hAnsi="Times New Roman" w:cs="Times New Roman"/>
                            <w:sz w:val="86"/>
                          </w:rPr>
                          <w:t>1</w:t>
                        </w:r>
                      </w:p>
                    </w:txbxContent>
                  </v:textbox>
                </v:rect>
                <w10:wrap type="square"/>
              </v:group>
            </w:pict>
          </mc:Fallback>
        </mc:AlternateContent>
      </w:r>
      <w:r>
        <w:rPr>
          <w:sz w:val="26"/>
        </w:rPr>
        <w:t>El Acuerdo Ministerial No. 2833-2010, del Ministro de Educación, aprueba el Manual de Funciones, Organización y Puestos de la Dirección General de Educación Física (DIGEF), Código MAN-TEC-.</w:t>
      </w:r>
    </w:p>
    <w:p w14:paraId="592DF405" w14:textId="77777777" w:rsidR="00053D93" w:rsidRDefault="00260B75">
      <w:pPr>
        <w:spacing w:after="305" w:line="247" w:lineRule="auto"/>
        <w:ind w:left="1699" w:right="14" w:hanging="1685"/>
        <w:jc w:val="both"/>
      </w:pPr>
      <w:r>
        <w:rPr>
          <w:noProof/>
        </w:rPr>
        <mc:AlternateContent>
          <mc:Choice Requires="wpg">
            <w:drawing>
              <wp:anchor distT="0" distB="0" distL="114300" distR="114300" simplePos="0" relativeHeight="251699200" behindDoc="0" locked="0" layoutInCell="1" allowOverlap="1" wp14:anchorId="07504443" wp14:editId="2D576ED2">
                <wp:simplePos x="0" y="0"/>
                <wp:positionH relativeFrom="column">
                  <wp:posOffset>18288</wp:posOffset>
                </wp:positionH>
                <wp:positionV relativeFrom="paragraph">
                  <wp:posOffset>521208</wp:posOffset>
                </wp:positionV>
                <wp:extent cx="137160" cy="324612"/>
                <wp:effectExtent l="0" t="0" r="0" b="0"/>
                <wp:wrapSquare wrapText="bothSides"/>
                <wp:docPr id="2454325" name="Group 2454325"/>
                <wp:cNvGraphicFramePr/>
                <a:graphic xmlns:a="http://schemas.openxmlformats.org/drawingml/2006/main">
                  <a:graphicData uri="http://schemas.microsoft.com/office/word/2010/wordprocessingGroup">
                    <wpg:wgp>
                      <wpg:cNvGrpSpPr/>
                      <wpg:grpSpPr>
                        <a:xfrm>
                          <a:off x="0" y="0"/>
                          <a:ext cx="137160" cy="324612"/>
                          <a:chOff x="0" y="0"/>
                          <a:chExt cx="137160" cy="324612"/>
                        </a:xfrm>
                      </wpg:grpSpPr>
                      <wps:wsp>
                        <wps:cNvPr id="77526" name="Rectangle 77526"/>
                        <wps:cNvSpPr/>
                        <wps:spPr>
                          <a:xfrm>
                            <a:off x="0" y="0"/>
                            <a:ext cx="182423" cy="431734"/>
                          </a:xfrm>
                          <a:prstGeom prst="rect">
                            <a:avLst/>
                          </a:prstGeom>
                          <a:ln>
                            <a:noFill/>
                          </a:ln>
                        </wps:spPr>
                        <wps:txbx>
                          <w:txbxContent>
                            <w:p w14:paraId="0455F323"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anchor>
            </w:drawing>
          </mc:Choice>
          <mc:Fallback>
            <w:pict>
              <v:group w14:anchorId="07504443" id="Group 2454325" o:spid="_x0000_s1114" style="position:absolute;left:0;text-align:left;margin-left:1.45pt;margin-top:41.05pt;width:10.8pt;height:25.55pt;z-index:251699200;mso-position-horizontal-relative:text;mso-position-vertical-relative:text" coordsize="137160,324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">
                <v:rect id="Rectangle 77526" o:spid="_x0000_s1115" style="position:absolute;width:182423;height:43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" filled="f" stroked="f">
                  <v:textbox inset="0,0,0,0">
                    <w:txbxContent>
                      <w:p w14:paraId="0455F323" w14:textId="77777777" w:rsidR="00053D93" w:rsidRDefault="00260B75">
                        <w:r>
                          <w:rPr>
                            <w:rFonts w:ascii="Times New Roman" w:eastAsia="Times New Roman" w:hAnsi="Times New Roman" w:cs="Times New Roman"/>
                            <w:sz w:val="82"/>
                          </w:rPr>
                          <w:t>1</w:t>
                        </w:r>
                      </w:p>
                    </w:txbxContent>
                  </v:textbox>
                </v:rect>
                <w10:wrap type="square"/>
              </v:group>
            </w:pict>
          </mc:Fallback>
        </mc:AlternateContent>
      </w:r>
      <w:r>
        <w:rPr>
          <w:noProof/>
        </w:rPr>
        <mc:AlternateContent>
          <mc:Choice Requires="wpg">
            <w:drawing>
              <wp:inline distT="0" distB="0" distL="0" distR="0" wp14:anchorId="0E434CC5" wp14:editId="46E4C7AB">
                <wp:extent cx="137160" cy="329184"/>
                <wp:effectExtent l="0" t="0" r="0" b="0"/>
                <wp:docPr id="2454324" name="Group 2454324"/>
                <wp:cNvGraphicFramePr/>
                <a:graphic xmlns:a="http://schemas.openxmlformats.org/drawingml/2006/main">
                  <a:graphicData uri="http://schemas.microsoft.com/office/word/2010/wordprocessingGroup">
                    <wpg:wgp>
                      <wpg:cNvGrpSpPr/>
                      <wpg:grpSpPr>
                        <a:xfrm>
                          <a:off x="0" y="0"/>
                          <a:ext cx="137160" cy="329184"/>
                          <a:chOff x="0" y="0"/>
                          <a:chExt cx="137160" cy="329184"/>
                        </a:xfrm>
                      </wpg:grpSpPr>
                      <wps:wsp>
                        <wps:cNvPr id="77525" name="Rectangle 77525"/>
                        <wps:cNvSpPr/>
                        <wps:spPr>
                          <a:xfrm>
                            <a:off x="0" y="0"/>
                            <a:ext cx="182423" cy="437814"/>
                          </a:xfrm>
                          <a:prstGeom prst="rect">
                            <a:avLst/>
                          </a:prstGeom>
                          <a:ln>
                            <a:noFill/>
                          </a:ln>
                        </wps:spPr>
                        <wps:txbx>
                          <w:txbxContent>
                            <w:p w14:paraId="45A104DE"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inline>
            </w:drawing>
          </mc:Choice>
          <mc:Fallback>
            <w:pict>
              <v:group w14:anchorId="0E434CC5" id="Group 2454324" o:spid="_x0000_s1116" style="width:10.8pt;height:25.9pt;mso-position-horizontal-relative:char;mso-position-vertical-relative:line" coordsize="137160,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">
                <v:rect id="Rectangle 77525" o:spid="_x0000_s1117" style="position:absolute;width:182423;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" filled="f" stroked="f">
                  <v:textbox inset="0,0,0,0">
                    <w:txbxContent>
                      <w:p w14:paraId="45A104DE" w14:textId="77777777" w:rsidR="00053D93" w:rsidRDefault="00260B75">
                        <w:r>
                          <w:rPr>
                            <w:rFonts w:ascii="Times New Roman" w:eastAsia="Times New Roman" w:hAnsi="Times New Roman" w:cs="Times New Roman"/>
                            <w:sz w:val="82"/>
                          </w:rPr>
                          <w:t>1</w:t>
                        </w:r>
                      </w:p>
                    </w:txbxContent>
                  </v:textbox>
                </v:rect>
                <w10:anchorlock/>
              </v:group>
            </w:pict>
          </mc:Fallback>
        </mc:AlternateContent>
      </w:r>
      <w:r>
        <w:rPr>
          <w:sz w:val="26"/>
        </w:rPr>
        <w:t xml:space="preserve"> El Acuerdo Ministerial Número 1096-2012, de la Ministra de Educación, Reglamento para Transferencias de Recursos Financieros a tos Consejos Educativos y Otras Organizaciones de Padres de Familia Legalmente Constituidas de Centros Educativos Públicos.</w:t>
      </w:r>
    </w:p>
    <w:tbl>
      <w:tblPr>
        <w:tblStyle w:val="TableGrid"/>
        <w:tblpPr w:vertAnchor="page" w:horzAnchor="page" w:tblpX="2870" w:tblpY="14443"/>
        <w:tblOverlap w:val="never"/>
        <w:tblW w:w="7613" w:type="dxa"/>
        <w:tblInd w:w="0" w:type="dxa"/>
        <w:tblCellMar>
          <w:top w:w="36" w:type="dxa"/>
          <w:left w:w="1738" w:type="dxa"/>
          <w:right w:w="115" w:type="dxa"/>
        </w:tblCellMar>
        <w:tblLook w:val="04A0" w:firstRow="1" w:lastRow="0" w:firstColumn="1" w:lastColumn="0" w:noHBand="0" w:noVBand="1"/>
      </w:tblPr>
      <w:tblGrid>
        <w:gridCol w:w="7613"/>
      </w:tblGrid>
      <w:tr w:rsidR="00053D93" w14:paraId="7507850A" w14:textId="77777777">
        <w:trPr>
          <w:trHeight w:val="36"/>
        </w:trPr>
        <w:tc>
          <w:tcPr>
            <w:tcW w:w="7613" w:type="dxa"/>
            <w:tcBorders>
              <w:top w:val="nil"/>
              <w:left w:val="single" w:sz="2" w:space="0" w:color="000000"/>
              <w:bottom w:val="single" w:sz="2" w:space="0" w:color="000000"/>
              <w:right w:val="nil"/>
            </w:tcBorders>
          </w:tcPr>
          <w:p w14:paraId="52F751BC" w14:textId="77777777" w:rsidR="00053D93" w:rsidRDefault="00053D93"/>
        </w:tc>
      </w:tr>
      <w:tr w:rsidR="00053D93" w14:paraId="070BDE5B" w14:textId="77777777">
        <w:trPr>
          <w:trHeight w:val="605"/>
        </w:trPr>
        <w:tc>
          <w:tcPr>
            <w:tcW w:w="7613" w:type="dxa"/>
            <w:tcBorders>
              <w:top w:val="single" w:sz="2" w:space="0" w:color="000000"/>
              <w:left w:val="single" w:sz="2" w:space="0" w:color="000000"/>
              <w:bottom w:val="nil"/>
              <w:right w:val="nil"/>
            </w:tcBorders>
          </w:tcPr>
          <w:p w14:paraId="3C87D87A" w14:textId="77777777" w:rsidR="00053D93" w:rsidRDefault="00260B75">
            <w:pPr>
              <w:ind w:left="835"/>
            </w:pPr>
            <w:r>
              <w:rPr>
                <w:sz w:val="14"/>
              </w:rPr>
              <w:lastRenderedPageBreak/>
              <w:t>MINISTERIO DE EDUCACION</w:t>
            </w:r>
          </w:p>
          <w:p w14:paraId="4288A64C" w14:textId="77777777" w:rsidR="00053D93" w:rsidRDefault="00260B75">
            <w:pPr>
              <w:ind w:left="338"/>
            </w:pPr>
            <w:r>
              <w:rPr>
                <w:sz w:val="14"/>
              </w:rPr>
              <w:t>AUDITORIA FINANCIERA Y DE CUMPLIMIENTO</w:t>
            </w:r>
          </w:p>
          <w:p w14:paraId="0F60939E" w14:textId="77777777" w:rsidR="00053D93" w:rsidRDefault="00260B75">
            <w:r>
              <w:rPr>
                <w:sz w:val="14"/>
              </w:rPr>
              <w:t>PERIODO DEL 01 DE ENERO AL 31 DE DICIEMBRE DE 2024</w:t>
            </w:r>
          </w:p>
        </w:tc>
      </w:tr>
    </w:tbl>
    <w:p w14:paraId="6D5E073F" w14:textId="77777777" w:rsidR="00053D93" w:rsidRDefault="00260B75">
      <w:pPr>
        <w:spacing w:after="17" w:line="247" w:lineRule="auto"/>
        <w:ind w:left="14" w:right="14" w:firstLine="4"/>
        <w:jc w:val="both"/>
      </w:pPr>
      <w:r>
        <w:rPr>
          <w:noProof/>
        </w:rPr>
        <w:drawing>
          <wp:anchor distT="0" distB="0" distL="114300" distR="114300" simplePos="0" relativeHeight="251700224" behindDoc="0" locked="0" layoutInCell="1" allowOverlap="0" wp14:anchorId="51CCBFC0" wp14:editId="36E51BFE">
            <wp:simplePos x="0" y="0"/>
            <wp:positionH relativeFrom="page">
              <wp:posOffset>676656</wp:posOffset>
            </wp:positionH>
            <wp:positionV relativeFrom="page">
              <wp:posOffset>9171432</wp:posOffset>
            </wp:positionV>
            <wp:extent cx="1120140" cy="406908"/>
            <wp:effectExtent l="0" t="0" r="0" b="0"/>
            <wp:wrapTopAndBottom/>
            <wp:docPr id="79612" name="Picture 79612"/>
            <wp:cNvGraphicFramePr/>
            <a:graphic xmlns:a="http://schemas.openxmlformats.org/drawingml/2006/main">
              <a:graphicData uri="http://schemas.openxmlformats.org/drawingml/2006/picture">
                <pic:pic xmlns:pic="http://schemas.openxmlformats.org/drawingml/2006/picture">
                  <pic:nvPicPr>
                    <pic:cNvPr id="79612" name="Picture 79612"/>
                    <pic:cNvPicPr/>
                  </pic:nvPicPr>
                  <pic:blipFill>
                    <a:blip r:embed="rId101"/>
                    <a:stretch>
                      <a:fillRect/>
                    </a:stretch>
                  </pic:blipFill>
                  <pic:spPr>
                    <a:xfrm>
                      <a:off x="0" y="0"/>
                      <a:ext cx="1120140" cy="406908"/>
                    </a:xfrm>
                    <a:prstGeom prst="rect">
                      <a:avLst/>
                    </a:prstGeom>
                  </pic:spPr>
                </pic:pic>
              </a:graphicData>
            </a:graphic>
          </wp:anchor>
        </w:drawing>
      </w:r>
      <w:r>
        <w:rPr>
          <w:noProof/>
        </w:rPr>
        <mc:AlternateContent>
          <mc:Choice Requires="wpg">
            <w:drawing>
              <wp:anchor distT="0" distB="0" distL="114300" distR="114300" simplePos="0" relativeHeight="251701248" behindDoc="0" locked="0" layoutInCell="1" allowOverlap="1" wp14:anchorId="0E6FA0B0" wp14:editId="6B74495D">
                <wp:simplePos x="0" y="0"/>
                <wp:positionH relativeFrom="column">
                  <wp:posOffset>18288</wp:posOffset>
                </wp:positionH>
                <wp:positionV relativeFrom="paragraph">
                  <wp:posOffset>-44592</wp:posOffset>
                </wp:positionV>
                <wp:extent cx="137160" cy="324612"/>
                <wp:effectExtent l="0" t="0" r="0" b="0"/>
                <wp:wrapSquare wrapText="bothSides"/>
                <wp:docPr id="2454326" name="Group 2454326"/>
                <wp:cNvGraphicFramePr/>
                <a:graphic xmlns:a="http://schemas.openxmlformats.org/drawingml/2006/main">
                  <a:graphicData uri="http://schemas.microsoft.com/office/word/2010/wordprocessingGroup">
                    <wpg:wgp>
                      <wpg:cNvGrpSpPr/>
                      <wpg:grpSpPr>
                        <a:xfrm>
                          <a:off x="0" y="0"/>
                          <a:ext cx="137160" cy="324612"/>
                          <a:chOff x="0" y="0"/>
                          <a:chExt cx="137160" cy="324612"/>
                        </a:xfrm>
                      </wpg:grpSpPr>
                      <wps:wsp>
                        <wps:cNvPr id="77527" name="Rectangle 77527"/>
                        <wps:cNvSpPr/>
                        <wps:spPr>
                          <a:xfrm>
                            <a:off x="0" y="0"/>
                            <a:ext cx="182423" cy="431733"/>
                          </a:xfrm>
                          <a:prstGeom prst="rect">
                            <a:avLst/>
                          </a:prstGeom>
                          <a:ln>
                            <a:noFill/>
                          </a:ln>
                        </wps:spPr>
                        <wps:txbx>
                          <w:txbxContent>
                            <w:p w14:paraId="5916A9B4"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anchor>
            </w:drawing>
          </mc:Choice>
          <mc:Fallback>
            <w:pict>
              <v:group w14:anchorId="0E6FA0B0" id="Group 2454326" o:spid="_x0000_s1118" style="position:absolute;left:0;text-align:left;margin-left:1.45pt;margin-top:-3.5pt;width:10.8pt;height:25.55pt;z-index:251701248;mso-position-horizontal-relative:text;mso-position-vertical-relative:text" coordsize="137160,324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">
                <v:rect id="Rectangle 77527" o:spid="_x0000_s1119" style="position:absolute;width:182423;height:431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" filled="f" stroked="f">
                  <v:textbox inset="0,0,0,0">
                    <w:txbxContent>
                      <w:p w14:paraId="5916A9B4" w14:textId="77777777" w:rsidR="00053D93" w:rsidRDefault="00260B75">
                        <w:r>
                          <w:rPr>
                            <w:rFonts w:ascii="Times New Roman" w:eastAsia="Times New Roman" w:hAnsi="Times New Roman" w:cs="Times New Roman"/>
                            <w:sz w:val="82"/>
                          </w:rPr>
                          <w:t>1</w:t>
                        </w:r>
                      </w:p>
                    </w:txbxContent>
                  </v:textbox>
                </v:rect>
                <w10:wrap type="square"/>
              </v:group>
            </w:pict>
          </mc:Fallback>
        </mc:AlternateContent>
      </w:r>
      <w:r>
        <w:rPr>
          <w:sz w:val="26"/>
        </w:rPr>
        <w:t>El Acuerdo Ministerial Número 3667-2012, de ta Ministra de Educación,</w:t>
      </w:r>
    </w:p>
    <w:p w14:paraId="4B48F2F3" w14:textId="77777777" w:rsidR="00053D93" w:rsidRDefault="00260B75">
      <w:pPr>
        <w:spacing w:after="190" w:line="247" w:lineRule="auto"/>
        <w:ind w:left="14" w:right="14" w:firstLine="1483"/>
        <w:jc w:val="both"/>
      </w:pPr>
      <w:r>
        <w:rPr>
          <w:sz w:val="26"/>
        </w:rPr>
        <w:t xml:space="preserve">Desconcentrar en la Direcciones Departamentales de Educación la Asignación, Ejecución y Dotación de Recursos Financieros a los Centros Educativos Públicos </w:t>
      </w:r>
      <w:r>
        <w:rPr>
          <w:noProof/>
        </w:rPr>
        <mc:AlternateContent>
          <mc:Choice Requires="wpg">
            <w:drawing>
              <wp:inline distT="0" distB="0" distL="0" distR="0" wp14:anchorId="672F7549" wp14:editId="22B35F24">
                <wp:extent cx="132588" cy="324612"/>
                <wp:effectExtent l="0" t="0" r="0" b="0"/>
                <wp:docPr id="2454327" name="Group 2454327"/>
                <wp:cNvGraphicFramePr/>
                <a:graphic xmlns:a="http://schemas.openxmlformats.org/drawingml/2006/main">
                  <a:graphicData uri="http://schemas.microsoft.com/office/word/2010/wordprocessingGroup">
                    <wpg:wgp>
                      <wpg:cNvGrpSpPr/>
                      <wpg:grpSpPr>
                        <a:xfrm>
                          <a:off x="0" y="0"/>
                          <a:ext cx="132588" cy="324612"/>
                          <a:chOff x="0" y="0"/>
                          <a:chExt cx="132588" cy="324612"/>
                        </a:xfrm>
                      </wpg:grpSpPr>
                      <wps:wsp>
                        <wps:cNvPr id="77528" name="Rectangle 77528"/>
                        <wps:cNvSpPr/>
                        <wps:spPr>
                          <a:xfrm>
                            <a:off x="0" y="0"/>
                            <a:ext cx="176342" cy="431734"/>
                          </a:xfrm>
                          <a:prstGeom prst="rect">
                            <a:avLst/>
                          </a:prstGeom>
                          <a:ln>
                            <a:noFill/>
                          </a:ln>
                        </wps:spPr>
                        <wps:txbx>
                          <w:txbxContent>
                            <w:p w14:paraId="290FA2D8"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inline>
            </w:drawing>
          </mc:Choice>
          <mc:Fallback>
            <w:pict>
              <v:group w14:anchorId="672F7549" id="Group 2454327" o:spid="_x0000_s1120" style="width:10.45pt;height:25.55pt;mso-position-horizontal-relative:char;mso-position-vertical-relative:line" coordsize="132588,324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">
                <v:rect id="Rectangle 77528" o:spid="_x0000_s1121" style="position:absolute;width:176342;height:43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" filled="f" stroked="f">
                  <v:textbox inset="0,0,0,0">
                    <w:txbxContent>
                      <w:p w14:paraId="290FA2D8" w14:textId="77777777" w:rsidR="00053D93" w:rsidRDefault="00260B75">
                        <w:r>
                          <w:rPr>
                            <w:rFonts w:ascii="Times New Roman" w:eastAsia="Times New Roman" w:hAnsi="Times New Roman" w:cs="Times New Roman"/>
                            <w:sz w:val="80"/>
                          </w:rPr>
                          <w:t>1</w:t>
                        </w:r>
                      </w:p>
                    </w:txbxContent>
                  </v:textbox>
                </v:rect>
                <w10:anchorlock/>
              </v:group>
            </w:pict>
          </mc:Fallback>
        </mc:AlternateContent>
      </w:r>
      <w:r>
        <w:rPr>
          <w:sz w:val="26"/>
        </w:rPr>
        <w:t xml:space="preserve"> para Implementar los Servicios de Apoyo.</w:t>
      </w:r>
    </w:p>
    <w:p w14:paraId="489D1FE1" w14:textId="77777777" w:rsidR="00053D93" w:rsidRDefault="00260B75">
      <w:pPr>
        <w:spacing w:after="272" w:line="247" w:lineRule="auto"/>
        <w:ind w:left="14" w:right="14" w:firstLine="4"/>
        <w:jc w:val="both"/>
      </w:pPr>
      <w:r>
        <w:rPr>
          <w:noProof/>
        </w:rPr>
        <mc:AlternateContent>
          <mc:Choice Requires="wpg">
            <w:drawing>
              <wp:anchor distT="0" distB="0" distL="114300" distR="114300" simplePos="0" relativeHeight="251702272" behindDoc="0" locked="0" layoutInCell="1" allowOverlap="1" wp14:anchorId="5655B7F3" wp14:editId="317ED73F">
                <wp:simplePos x="0" y="0"/>
                <wp:positionH relativeFrom="column">
                  <wp:posOffset>22860</wp:posOffset>
                </wp:positionH>
                <wp:positionV relativeFrom="paragraph">
                  <wp:posOffset>18288</wp:posOffset>
                </wp:positionV>
                <wp:extent cx="132588" cy="329184"/>
                <wp:effectExtent l="0" t="0" r="0" b="0"/>
                <wp:wrapSquare wrapText="bothSides"/>
                <wp:docPr id="2454328" name="Group 2454328"/>
                <wp:cNvGraphicFramePr/>
                <a:graphic xmlns:a="http://schemas.openxmlformats.org/drawingml/2006/main">
                  <a:graphicData uri="http://schemas.microsoft.com/office/word/2010/wordprocessingGroup">
                    <wpg:wgp>
                      <wpg:cNvGrpSpPr/>
                      <wpg:grpSpPr>
                        <a:xfrm>
                          <a:off x="0" y="0"/>
                          <a:ext cx="132588" cy="329184"/>
                          <a:chOff x="0" y="0"/>
                          <a:chExt cx="132588" cy="329184"/>
                        </a:xfrm>
                      </wpg:grpSpPr>
                      <wps:wsp>
                        <wps:cNvPr id="77529" name="Rectangle 77529"/>
                        <wps:cNvSpPr/>
                        <wps:spPr>
                          <a:xfrm>
                            <a:off x="0" y="0"/>
                            <a:ext cx="176342" cy="437815"/>
                          </a:xfrm>
                          <a:prstGeom prst="rect">
                            <a:avLst/>
                          </a:prstGeom>
                          <a:ln>
                            <a:noFill/>
                          </a:ln>
                        </wps:spPr>
                        <wps:txbx>
                          <w:txbxContent>
                            <w:p w14:paraId="55DBBC33"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anchor>
            </w:drawing>
          </mc:Choice>
          <mc:Fallback>
            <w:pict>
              <v:group w14:anchorId="5655B7F3" id="Group 2454328" o:spid="_x0000_s1122" style="position:absolute;left:0;text-align:left;margin-left:1.8pt;margin-top:1.45pt;width:10.45pt;height:25.9pt;z-index:251702272;mso-position-horizontal-relative:text;mso-position-vertical-relative:text" coordsize="132588,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">
                <v:rect id="Rectangle 77529" o:spid="_x0000_s1123" style="position:absolute;width:176342;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" filled="f" stroked="f">
                  <v:textbox inset="0,0,0,0">
                    <w:txbxContent>
                      <w:p w14:paraId="55DBBC33" w14:textId="77777777" w:rsidR="00053D93" w:rsidRDefault="00260B75">
                        <w:r>
                          <w:rPr>
                            <w:rFonts w:ascii="Times New Roman" w:eastAsia="Times New Roman" w:hAnsi="Times New Roman" w:cs="Times New Roman"/>
                            <w:sz w:val="80"/>
                          </w:rPr>
                          <w:t>1</w:t>
                        </w:r>
                      </w:p>
                    </w:txbxContent>
                  </v:textbox>
                </v:rect>
                <w10:wrap type="square"/>
              </v:group>
            </w:pict>
          </mc:Fallback>
        </mc:AlternateContent>
      </w:r>
      <w:r>
        <w:rPr>
          <w:sz w:val="26"/>
        </w:rPr>
        <w:t>El Acuerdo Ministerial No. 17-2014, de la Ministra de Educación, acuerda autorizar la desconcentración de la administración financiera en las Direcciones que se encuentren constituidas como unidades ejecutoras.</w:t>
      </w:r>
    </w:p>
    <w:p w14:paraId="4EDCDF24" w14:textId="77777777" w:rsidR="00053D93" w:rsidRDefault="00260B75">
      <w:pPr>
        <w:spacing w:after="0"/>
        <w:ind w:left="17" w:hanging="10"/>
      </w:pPr>
      <w:r>
        <w:rPr>
          <w:rFonts w:ascii="Times New Roman" w:eastAsia="Times New Roman" w:hAnsi="Times New Roman" w:cs="Times New Roman"/>
          <w:sz w:val="80"/>
        </w:rPr>
        <w:t>1</w:t>
      </w:r>
    </w:p>
    <w:p w14:paraId="0A695135" w14:textId="77777777" w:rsidR="00053D93" w:rsidRDefault="00260B75">
      <w:pPr>
        <w:spacing w:after="198" w:line="247" w:lineRule="auto"/>
        <w:ind w:left="14" w:right="14" w:firstLine="1692"/>
        <w:jc w:val="both"/>
      </w:pPr>
      <w:r>
        <w:rPr>
          <w:sz w:val="26"/>
        </w:rPr>
        <w:t xml:space="preserve">El Acuerdo Ministerial No. 627-2014, de la Ministra de Educación, Reglamento para la Administración de Vehículos y Uso de Combustible del Ministerio de </w:t>
      </w:r>
      <w:r>
        <w:rPr>
          <w:noProof/>
        </w:rPr>
        <mc:AlternateContent>
          <mc:Choice Requires="wpg">
            <w:drawing>
              <wp:inline distT="0" distB="0" distL="0" distR="0" wp14:anchorId="6A1449ED" wp14:editId="2764F239">
                <wp:extent cx="132588" cy="324612"/>
                <wp:effectExtent l="0" t="0" r="0" b="0"/>
                <wp:docPr id="2454329" name="Group 2454329"/>
                <wp:cNvGraphicFramePr/>
                <a:graphic xmlns:a="http://schemas.openxmlformats.org/drawingml/2006/main">
                  <a:graphicData uri="http://schemas.microsoft.com/office/word/2010/wordprocessingGroup">
                    <wpg:wgp>
                      <wpg:cNvGrpSpPr/>
                      <wpg:grpSpPr>
                        <a:xfrm>
                          <a:off x="0" y="0"/>
                          <a:ext cx="132588" cy="324612"/>
                          <a:chOff x="0" y="0"/>
                          <a:chExt cx="132588" cy="324612"/>
                        </a:xfrm>
                      </wpg:grpSpPr>
                      <wps:wsp>
                        <wps:cNvPr id="77531" name="Rectangle 77531"/>
                        <wps:cNvSpPr/>
                        <wps:spPr>
                          <a:xfrm>
                            <a:off x="0" y="0"/>
                            <a:ext cx="176342" cy="431734"/>
                          </a:xfrm>
                          <a:prstGeom prst="rect">
                            <a:avLst/>
                          </a:prstGeom>
                          <a:ln>
                            <a:noFill/>
                          </a:ln>
                        </wps:spPr>
                        <wps:txbx>
                          <w:txbxContent>
                            <w:p w14:paraId="64737FBB"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inline>
            </w:drawing>
          </mc:Choice>
          <mc:Fallback>
            <w:pict>
              <v:group w14:anchorId="6A1449ED" id="Group 2454329" o:spid="_x0000_s1124" style="width:10.45pt;height:25.55pt;mso-position-horizontal-relative:char;mso-position-vertical-relative:line" coordsize="132588,324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">
                <v:rect id="Rectangle 77531" o:spid="_x0000_s1125" style="position:absolute;width:176342;height:43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" filled="f" stroked="f">
                  <v:textbox inset="0,0,0,0">
                    <w:txbxContent>
                      <w:p w14:paraId="64737FBB" w14:textId="77777777" w:rsidR="00053D93" w:rsidRDefault="00260B75">
                        <w:r>
                          <w:rPr>
                            <w:rFonts w:ascii="Times New Roman" w:eastAsia="Times New Roman" w:hAnsi="Times New Roman" w:cs="Times New Roman"/>
                            <w:sz w:val="80"/>
                          </w:rPr>
                          <w:t>1</w:t>
                        </w:r>
                      </w:p>
                    </w:txbxContent>
                  </v:textbox>
                </v:rect>
                <w10:anchorlock/>
              </v:group>
            </w:pict>
          </mc:Fallback>
        </mc:AlternateContent>
      </w:r>
      <w:r>
        <w:rPr>
          <w:sz w:val="26"/>
        </w:rPr>
        <w:tab/>
        <w:t>Educación.</w:t>
      </w:r>
    </w:p>
    <w:p w14:paraId="055D0BAA" w14:textId="77777777" w:rsidR="00053D93" w:rsidRDefault="00260B75">
      <w:pPr>
        <w:spacing w:after="295" w:line="247" w:lineRule="auto"/>
        <w:ind w:left="14" w:right="14" w:firstLine="4"/>
        <w:jc w:val="both"/>
      </w:pPr>
      <w:r>
        <w:rPr>
          <w:noProof/>
        </w:rPr>
        <mc:AlternateContent>
          <mc:Choice Requires="wpg">
            <w:drawing>
              <wp:anchor distT="0" distB="0" distL="114300" distR="114300" simplePos="0" relativeHeight="251703296" behindDoc="0" locked="0" layoutInCell="1" allowOverlap="1" wp14:anchorId="66AD487A" wp14:editId="20C24D02">
                <wp:simplePos x="0" y="0"/>
                <wp:positionH relativeFrom="column">
                  <wp:posOffset>18288</wp:posOffset>
                </wp:positionH>
                <wp:positionV relativeFrom="paragraph">
                  <wp:posOffset>19424</wp:posOffset>
                </wp:positionV>
                <wp:extent cx="137160" cy="324613"/>
                <wp:effectExtent l="0" t="0" r="0" b="0"/>
                <wp:wrapSquare wrapText="bothSides"/>
                <wp:docPr id="2454330" name="Group 2454330"/>
                <wp:cNvGraphicFramePr/>
                <a:graphic xmlns:a="http://schemas.openxmlformats.org/drawingml/2006/main">
                  <a:graphicData uri="http://schemas.microsoft.com/office/word/2010/wordprocessingGroup">
                    <wpg:wgp>
                      <wpg:cNvGrpSpPr/>
                      <wpg:grpSpPr>
                        <a:xfrm>
                          <a:off x="0" y="0"/>
                          <a:ext cx="137160" cy="324613"/>
                          <a:chOff x="0" y="0"/>
                          <a:chExt cx="137160" cy="324613"/>
                        </a:xfrm>
                      </wpg:grpSpPr>
                      <wps:wsp>
                        <wps:cNvPr id="77532" name="Rectangle 77532"/>
                        <wps:cNvSpPr/>
                        <wps:spPr>
                          <a:xfrm>
                            <a:off x="0" y="0"/>
                            <a:ext cx="182423" cy="431735"/>
                          </a:xfrm>
                          <a:prstGeom prst="rect">
                            <a:avLst/>
                          </a:prstGeom>
                          <a:ln>
                            <a:noFill/>
                          </a:ln>
                        </wps:spPr>
                        <wps:txbx>
                          <w:txbxContent>
                            <w:p w14:paraId="72100F40"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anchor>
            </w:drawing>
          </mc:Choice>
          <mc:Fallback>
            <w:pict>
              <v:group w14:anchorId="66AD487A" id="Group 2454330" o:spid="_x0000_s1126" style="position:absolute;left:0;text-align:left;margin-left:1.45pt;margin-top:1.55pt;width:10.8pt;height:25.55pt;z-index:251703296;mso-position-horizontal-relative:text;mso-position-vertical-relative:text" coordsize="137160,324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">
                <v:rect id="Rectangle 77532" o:spid="_x0000_s1127" style="position:absolute;width:182423;height:43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" filled="f" stroked="f">
                  <v:textbox inset="0,0,0,0">
                    <w:txbxContent>
                      <w:p w14:paraId="72100F40" w14:textId="77777777" w:rsidR="00053D93" w:rsidRDefault="00260B75">
                        <w:r>
                          <w:rPr>
                            <w:rFonts w:ascii="Times New Roman" w:eastAsia="Times New Roman" w:hAnsi="Times New Roman" w:cs="Times New Roman"/>
                            <w:sz w:val="82"/>
                          </w:rPr>
                          <w:t>1</w:t>
                        </w:r>
                      </w:p>
                    </w:txbxContent>
                  </v:textbox>
                </v:rect>
                <w10:wrap type="square"/>
              </v:group>
            </w:pict>
          </mc:Fallback>
        </mc:AlternateContent>
      </w:r>
      <w:r>
        <w:rPr>
          <w:sz w:val="26"/>
        </w:rPr>
        <w:t>El Acuerdo Ministerial No. 1059-2018, del Ministro de Educación, Crear Programa de Apoyo Denominado Mantenimiento de Edificios Escolares Públicos.</w:t>
      </w:r>
    </w:p>
    <w:p w14:paraId="5D952F14" w14:textId="77777777" w:rsidR="00053D93" w:rsidRDefault="00260B75">
      <w:pPr>
        <w:spacing w:after="510" w:line="247" w:lineRule="auto"/>
        <w:ind w:left="14" w:right="14" w:firstLine="4"/>
        <w:jc w:val="both"/>
      </w:pPr>
      <w:r>
        <w:rPr>
          <w:noProof/>
        </w:rPr>
        <mc:AlternateContent>
          <mc:Choice Requires="wpg">
            <w:drawing>
              <wp:anchor distT="0" distB="0" distL="114300" distR="114300" simplePos="0" relativeHeight="251704320" behindDoc="0" locked="0" layoutInCell="1" allowOverlap="1" wp14:anchorId="591113A7" wp14:editId="7F2BC3E8">
                <wp:simplePos x="0" y="0"/>
                <wp:positionH relativeFrom="column">
                  <wp:posOffset>18288</wp:posOffset>
                </wp:positionH>
                <wp:positionV relativeFrom="paragraph">
                  <wp:posOffset>-45956</wp:posOffset>
                </wp:positionV>
                <wp:extent cx="137160" cy="315468"/>
                <wp:effectExtent l="0" t="0" r="0" b="0"/>
                <wp:wrapSquare wrapText="bothSides"/>
                <wp:docPr id="2454331" name="Group 2454331"/>
                <wp:cNvGraphicFramePr/>
                <a:graphic xmlns:a="http://schemas.openxmlformats.org/drawingml/2006/main">
                  <a:graphicData uri="http://schemas.microsoft.com/office/word/2010/wordprocessingGroup">
                    <wpg:wgp>
                      <wpg:cNvGrpSpPr/>
                      <wpg:grpSpPr>
                        <a:xfrm>
                          <a:off x="0" y="0"/>
                          <a:ext cx="137160" cy="315468"/>
                          <a:chOff x="0" y="0"/>
                          <a:chExt cx="137160" cy="315468"/>
                        </a:xfrm>
                      </wpg:grpSpPr>
                      <wps:wsp>
                        <wps:cNvPr id="77533" name="Rectangle 77533"/>
                        <wps:cNvSpPr/>
                        <wps:spPr>
                          <a:xfrm>
                            <a:off x="0" y="0"/>
                            <a:ext cx="182423" cy="419572"/>
                          </a:xfrm>
                          <a:prstGeom prst="rect">
                            <a:avLst/>
                          </a:prstGeom>
                          <a:ln>
                            <a:noFill/>
                          </a:ln>
                        </wps:spPr>
                        <wps:txbx>
                          <w:txbxContent>
                            <w:p w14:paraId="6463B8CE"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anchor>
            </w:drawing>
          </mc:Choice>
          <mc:Fallback>
            <w:pict>
              <v:group w14:anchorId="591113A7" id="Group 2454331" o:spid="_x0000_s1128" style="position:absolute;left:0;text-align:left;margin-left:1.45pt;margin-top:-3.6pt;width:10.8pt;height:24.85pt;z-index:251704320;mso-position-horizontal-relative:text;mso-position-vertical-relative:text" coordsize="137160,315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">
                <v:rect id="Rectangle 77533" o:spid="_x0000_s1129" style="position:absolute;width:182423;height:419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" filled="f" stroked="f">
                  <v:textbox inset="0,0,0,0">
                    <w:txbxContent>
                      <w:p w14:paraId="6463B8CE" w14:textId="77777777" w:rsidR="00053D93" w:rsidRDefault="00260B75">
                        <w:r>
                          <w:rPr>
                            <w:rFonts w:ascii="Times New Roman" w:eastAsia="Times New Roman" w:hAnsi="Times New Roman" w:cs="Times New Roman"/>
                            <w:sz w:val="82"/>
                          </w:rPr>
                          <w:t>1</w:t>
                        </w:r>
                      </w:p>
                    </w:txbxContent>
                  </v:textbox>
                </v:rect>
                <w10:wrap type="square"/>
              </v:group>
            </w:pict>
          </mc:Fallback>
        </mc:AlternateContent>
      </w:r>
      <w:r>
        <w:rPr>
          <w:sz w:val="26"/>
        </w:rPr>
        <w:t>El Acuerdo Ministerial No. 321 1-2018, del Ministro de Educación, Reglamento para la Entrega de Recursos al Programa de Gratuidad de la Educación.</w:t>
      </w:r>
    </w:p>
    <w:p w14:paraId="3F3C068E" w14:textId="77777777" w:rsidR="00053D93" w:rsidRDefault="00260B75">
      <w:pPr>
        <w:spacing w:after="17" w:line="247" w:lineRule="auto"/>
        <w:ind w:left="14" w:right="14" w:firstLine="4"/>
        <w:jc w:val="both"/>
      </w:pPr>
      <w:r>
        <w:rPr>
          <w:rFonts w:ascii="Times New Roman" w:eastAsia="Times New Roman" w:hAnsi="Times New Roman" w:cs="Times New Roman"/>
          <w:sz w:val="26"/>
        </w:rPr>
        <w:t xml:space="preserve">1 </w:t>
      </w:r>
      <w:r>
        <w:rPr>
          <w:sz w:val="26"/>
        </w:rPr>
        <w:t xml:space="preserve">El Acuerdo Ministerial Número 1202-2019, del Ministerio de Educación Reglamento para la Entrega de Recursos al Programa de Apoyo denominado Materiales y Recursos de Enseñanza (Valija Didáctica), en los Centros Educativos </w:t>
      </w:r>
      <w:r>
        <w:rPr>
          <w:rFonts w:ascii="Times New Roman" w:eastAsia="Times New Roman" w:hAnsi="Times New Roman" w:cs="Times New Roman"/>
          <w:sz w:val="26"/>
        </w:rPr>
        <w:t xml:space="preserve">1 </w:t>
      </w:r>
      <w:r>
        <w:rPr>
          <w:sz w:val="26"/>
        </w:rPr>
        <w:t>Públicos del País.</w:t>
      </w:r>
    </w:p>
    <w:p w14:paraId="7CD44BD3" w14:textId="77777777" w:rsidR="00053D93" w:rsidRDefault="00260B75">
      <w:pPr>
        <w:spacing w:after="52"/>
        <w:ind w:left="1692"/>
      </w:pPr>
      <w:r>
        <w:rPr>
          <w:noProof/>
        </w:rPr>
        <mc:AlternateContent>
          <mc:Choice Requires="wpg">
            <w:drawing>
              <wp:inline distT="0" distB="0" distL="0" distR="0" wp14:anchorId="4D079E1B" wp14:editId="38495158">
                <wp:extent cx="5381244" cy="9144"/>
                <wp:effectExtent l="0" t="0" r="0" b="0"/>
                <wp:docPr id="2458140" name="Group 2458140"/>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139" name="Shape 2458139"/>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40" style="width:423.72pt;height:0.720001pt;mso-position-horizontal-relative:char;mso-position-vertical-relative:line" coordsize="53812,91">
                <v:shape id="Shape 2458139" style="position:absolute;width:53812;height:91;left:0;top:0;" coordsize="5381244,9144" path="m0,4572l5381244,4572">
                  <v:stroke weight="0.720001pt" endcap="flat" joinstyle="miter" miterlimit="1" on="true" color="#000000"/>
                  <v:fill on="false" color="#000000"/>
                </v:shape>
              </v:group>
            </w:pict>
          </mc:Fallback>
        </mc:AlternateContent>
      </w:r>
    </w:p>
    <w:p w14:paraId="776DE079" w14:textId="77777777" w:rsidR="00053D93" w:rsidRDefault="00260B75">
      <w:pPr>
        <w:spacing w:after="292" w:line="247" w:lineRule="auto"/>
        <w:ind w:left="1714" w:right="14" w:firstLine="4"/>
        <w:jc w:val="both"/>
      </w:pPr>
      <w:r>
        <w:rPr>
          <w:sz w:val="26"/>
        </w:rPr>
        <w:t>El Acuerdo Ministerial No. 1234-2019, del Ministro de Educación, Reglamento para la Entrega de Recursos al Programa de Apoyo denominado Útiles Escolares, en los Centros Educativos Públicos del País.</w:t>
      </w:r>
    </w:p>
    <w:p w14:paraId="4D4987DA" w14:textId="77777777" w:rsidR="00053D93" w:rsidRDefault="00260B75">
      <w:pPr>
        <w:spacing w:after="283" w:line="247" w:lineRule="auto"/>
        <w:ind w:left="1714" w:right="14" w:firstLine="4"/>
        <w:jc w:val="both"/>
      </w:pPr>
      <w:r>
        <w:rPr>
          <w:sz w:val="26"/>
        </w:rPr>
        <w:t>El Acuerdo Ministerial No. 1953-2021, de la Ministra de Educación, Acuerda, articulo 1 , Aprobar el Manual de Funciones, Organización y Puestos de las Direcciones Departamentales de Educación -DIDEDUC-, Código: DES-MAN-08.</w:t>
      </w:r>
    </w:p>
    <w:p w14:paraId="18EDA6D1" w14:textId="77777777" w:rsidR="00053D93" w:rsidRDefault="00260B75">
      <w:pPr>
        <w:spacing w:after="309" w:line="247" w:lineRule="auto"/>
        <w:ind w:left="1714" w:right="14" w:firstLine="4"/>
        <w:jc w:val="both"/>
      </w:pPr>
      <w:r>
        <w:rPr>
          <w:sz w:val="26"/>
        </w:rPr>
        <w:t>El Acuerdo Ministerial No. DIREH-4026-2022, de la Ministra de Educación, Manual de Puestos con Cargo al Renglón de Gasto 021 "Personal Supernumerario" del Ministerio de Educación.</w:t>
      </w:r>
    </w:p>
    <w:p w14:paraId="702553A0" w14:textId="77777777" w:rsidR="00053D93" w:rsidRDefault="00260B75">
      <w:pPr>
        <w:spacing w:after="286" w:line="247" w:lineRule="auto"/>
        <w:ind w:left="1714" w:right="14" w:firstLine="4"/>
        <w:jc w:val="both"/>
      </w:pPr>
      <w:r>
        <w:rPr>
          <w:sz w:val="26"/>
        </w:rPr>
        <w:lastRenderedPageBreak/>
        <w:t>El Acuerdo Ministerial No. 303-2024, de [a Ministra de Educación, Manual de Organización y Funciones, de la Dirección General de Participación Comunitaria y Servicios de Apoyo -DIGEPSA-.</w:t>
      </w:r>
    </w:p>
    <w:p w14:paraId="630607B3" w14:textId="77777777" w:rsidR="00053D93" w:rsidRDefault="00260B75">
      <w:pPr>
        <w:spacing w:after="284" w:line="247" w:lineRule="auto"/>
        <w:ind w:left="1721" w:right="14" w:firstLine="4"/>
        <w:jc w:val="both"/>
      </w:pPr>
      <w:r>
        <w:rPr>
          <w:sz w:val="26"/>
        </w:rPr>
        <w:t>El Acuerdo Ministerial Número 815-2024, de la Ministra de Educación, Disposiciones para el Aporte Económico por Gastos Funerarios, en el Marco del Programa de Salud Escolar.</w:t>
      </w:r>
    </w:p>
    <w:tbl>
      <w:tblPr>
        <w:tblStyle w:val="TableGrid"/>
        <w:tblpPr w:vertAnchor="page" w:horzAnchor="page" w:tblpX="2826" w:tblpY="14494"/>
        <w:tblOverlap w:val="never"/>
        <w:tblW w:w="7657" w:type="dxa"/>
        <w:tblInd w:w="0" w:type="dxa"/>
        <w:tblCellMar>
          <w:top w:w="21" w:type="dxa"/>
          <w:left w:w="1775" w:type="dxa"/>
          <w:right w:w="115" w:type="dxa"/>
        </w:tblCellMar>
        <w:tblLook w:val="04A0" w:firstRow="1" w:lastRow="0" w:firstColumn="1" w:lastColumn="0" w:noHBand="0" w:noVBand="1"/>
      </w:tblPr>
      <w:tblGrid>
        <w:gridCol w:w="7657"/>
      </w:tblGrid>
      <w:tr w:rsidR="00053D93" w14:paraId="4BDD2517" w14:textId="77777777">
        <w:trPr>
          <w:trHeight w:val="33"/>
        </w:trPr>
        <w:tc>
          <w:tcPr>
            <w:tcW w:w="7657" w:type="dxa"/>
            <w:tcBorders>
              <w:top w:val="nil"/>
              <w:left w:val="single" w:sz="2" w:space="0" w:color="000000"/>
              <w:bottom w:val="single" w:sz="2" w:space="0" w:color="000000"/>
              <w:right w:val="nil"/>
            </w:tcBorders>
          </w:tcPr>
          <w:p w14:paraId="7962517D" w14:textId="77777777" w:rsidR="00053D93" w:rsidRDefault="00053D93"/>
        </w:tc>
      </w:tr>
      <w:tr w:rsidR="00053D93" w14:paraId="6DD7D745" w14:textId="77777777">
        <w:trPr>
          <w:trHeight w:val="600"/>
        </w:trPr>
        <w:tc>
          <w:tcPr>
            <w:tcW w:w="7657" w:type="dxa"/>
            <w:tcBorders>
              <w:top w:val="single" w:sz="2" w:space="0" w:color="000000"/>
              <w:left w:val="single" w:sz="2" w:space="0" w:color="000000"/>
              <w:bottom w:val="nil"/>
              <w:right w:val="nil"/>
            </w:tcBorders>
          </w:tcPr>
          <w:p w14:paraId="7DE4C6C8" w14:textId="77777777" w:rsidR="00053D93" w:rsidRDefault="00260B75">
            <w:pPr>
              <w:ind w:left="842"/>
            </w:pPr>
            <w:r>
              <w:rPr>
                <w:sz w:val="14"/>
              </w:rPr>
              <w:lastRenderedPageBreak/>
              <w:t>MINISTERIO DE EDUCACION</w:t>
            </w:r>
          </w:p>
          <w:p w14:paraId="4CAAE848" w14:textId="77777777" w:rsidR="00053D93" w:rsidRDefault="00260B75">
            <w:pPr>
              <w:ind w:left="346"/>
            </w:pPr>
            <w:r>
              <w:rPr>
                <w:sz w:val="14"/>
              </w:rPr>
              <w:t>AUDITORIA FINANCIERA Y DE CUMPLIMIENTO</w:t>
            </w:r>
          </w:p>
          <w:p w14:paraId="539DF549" w14:textId="77777777" w:rsidR="00053D93" w:rsidRDefault="00260B75">
            <w:r>
              <w:rPr>
                <w:sz w:val="14"/>
              </w:rPr>
              <w:t>PERIODO DEL 01 DE ENERO AL 31 DE DICIEMBRE 2024</w:t>
            </w:r>
          </w:p>
        </w:tc>
      </w:tr>
    </w:tbl>
    <w:p w14:paraId="0C6A6589" w14:textId="77777777" w:rsidR="00053D93" w:rsidRDefault="00260B75">
      <w:pPr>
        <w:spacing w:after="268" w:line="247" w:lineRule="auto"/>
        <w:ind w:left="1714" w:right="14" w:firstLine="4"/>
        <w:jc w:val="both"/>
      </w:pPr>
      <w:r>
        <w:rPr>
          <w:noProof/>
        </w:rPr>
        <w:drawing>
          <wp:anchor distT="0" distB="0" distL="114300" distR="114300" simplePos="0" relativeHeight="251705344" behindDoc="0" locked="0" layoutInCell="1" allowOverlap="0" wp14:anchorId="6FC26725" wp14:editId="0FFBEFE7">
            <wp:simplePos x="0" y="0"/>
            <wp:positionH relativeFrom="page">
              <wp:posOffset>667512</wp:posOffset>
            </wp:positionH>
            <wp:positionV relativeFrom="page">
              <wp:posOffset>9203436</wp:posOffset>
            </wp:positionV>
            <wp:extent cx="1069848" cy="406908"/>
            <wp:effectExtent l="0" t="0" r="0" b="0"/>
            <wp:wrapTopAndBottom/>
            <wp:docPr id="82854" name="Picture 82854"/>
            <wp:cNvGraphicFramePr/>
            <a:graphic xmlns:a="http://schemas.openxmlformats.org/drawingml/2006/main">
              <a:graphicData uri="http://schemas.openxmlformats.org/drawingml/2006/picture">
                <pic:pic xmlns:pic="http://schemas.openxmlformats.org/drawingml/2006/picture">
                  <pic:nvPicPr>
                    <pic:cNvPr id="82854" name="Picture 82854"/>
                    <pic:cNvPicPr/>
                  </pic:nvPicPr>
                  <pic:blipFill>
                    <a:blip r:embed="rId102"/>
                    <a:stretch>
                      <a:fillRect/>
                    </a:stretch>
                  </pic:blipFill>
                  <pic:spPr>
                    <a:xfrm>
                      <a:off x="0" y="0"/>
                      <a:ext cx="1069848" cy="406908"/>
                    </a:xfrm>
                    <a:prstGeom prst="rect">
                      <a:avLst/>
                    </a:prstGeom>
                  </pic:spPr>
                </pic:pic>
              </a:graphicData>
            </a:graphic>
          </wp:anchor>
        </w:drawing>
      </w:r>
      <w:r>
        <w:rPr>
          <w:noProof/>
        </w:rPr>
        <w:drawing>
          <wp:anchor distT="0" distB="0" distL="114300" distR="114300" simplePos="0" relativeHeight="251706368" behindDoc="0" locked="0" layoutInCell="1" allowOverlap="0" wp14:anchorId="4F2F3554" wp14:editId="611DAB22">
            <wp:simplePos x="0" y="0"/>
            <wp:positionH relativeFrom="page">
              <wp:posOffset>210312</wp:posOffset>
            </wp:positionH>
            <wp:positionV relativeFrom="page">
              <wp:posOffset>9834373</wp:posOffset>
            </wp:positionV>
            <wp:extent cx="13716" cy="77723"/>
            <wp:effectExtent l="0" t="0" r="0" b="0"/>
            <wp:wrapTopAndBottom/>
            <wp:docPr id="2458137" name="Picture 2458137"/>
            <wp:cNvGraphicFramePr/>
            <a:graphic xmlns:a="http://schemas.openxmlformats.org/drawingml/2006/main">
              <a:graphicData uri="http://schemas.openxmlformats.org/drawingml/2006/picture">
                <pic:pic xmlns:pic="http://schemas.openxmlformats.org/drawingml/2006/picture">
                  <pic:nvPicPr>
                    <pic:cNvPr id="2458137" name="Picture 2458137"/>
                    <pic:cNvPicPr/>
                  </pic:nvPicPr>
                  <pic:blipFill>
                    <a:blip r:embed="rId103"/>
                    <a:stretch>
                      <a:fillRect/>
                    </a:stretch>
                  </pic:blipFill>
                  <pic:spPr>
                    <a:xfrm>
                      <a:off x="0" y="0"/>
                      <a:ext cx="13716" cy="77723"/>
                    </a:xfrm>
                    <a:prstGeom prst="rect">
                      <a:avLst/>
                    </a:prstGeom>
                  </pic:spPr>
                </pic:pic>
              </a:graphicData>
            </a:graphic>
          </wp:anchor>
        </w:drawing>
      </w:r>
      <w:r>
        <w:rPr>
          <w:sz w:val="26"/>
        </w:rPr>
        <w:t>El Acuerdo Ministerial Número 3370-2024, Contrato Administrativo Número 01-2024-DIGEF-CD, servicio de transporte aéreo para la delegación deportiva escolar de Guatemala que participará en los juegos Deportivos escolares centroamericanos del CODICADER, para estudiantes con discapacidad, a realizarse en panamá, panamá a solicitud de DIGEF.</w:t>
      </w:r>
    </w:p>
    <w:p w14:paraId="68C5E8CC" w14:textId="77777777" w:rsidR="00053D93" w:rsidRDefault="00260B75">
      <w:pPr>
        <w:spacing w:after="326" w:line="247" w:lineRule="auto"/>
        <w:ind w:left="1714" w:right="14" w:firstLine="4"/>
        <w:jc w:val="both"/>
      </w:pPr>
      <w:r>
        <w:rPr>
          <w:sz w:val="26"/>
        </w:rPr>
        <w:t>La Resolución No. 1 1 13, Ministerio de Educación, "Aprobar la publicación y utilización de los documentos que encuentran en el Sitio Web del Sistema de Gestión de la Calidad del Ministerio de Educación."</w:t>
      </w:r>
    </w:p>
    <w:p w14:paraId="0B80C483" w14:textId="77777777" w:rsidR="00053D93" w:rsidRDefault="00260B75">
      <w:pPr>
        <w:spacing w:after="302" w:line="247" w:lineRule="auto"/>
        <w:ind w:left="1721" w:right="14" w:firstLine="4"/>
        <w:jc w:val="both"/>
      </w:pPr>
      <w:r>
        <w:rPr>
          <w:sz w:val="26"/>
        </w:rPr>
        <w:t>La Resolución DIDEDUC GUATE-ORIENTE No. 454-2021/D.A.C.-l.C., de la Dirección Departamental de Educación Guatemala Oriente.</w:t>
      </w:r>
    </w:p>
    <w:p w14:paraId="65FF865E" w14:textId="77777777" w:rsidR="00053D93" w:rsidRDefault="00260B75">
      <w:pPr>
        <w:spacing w:after="222" w:line="247" w:lineRule="auto"/>
        <w:ind w:left="1714" w:right="14" w:firstLine="4"/>
        <w:jc w:val="both"/>
      </w:pPr>
      <w:r>
        <w:rPr>
          <w:sz w:val="26"/>
        </w:rPr>
        <w:t>La Resolución No. 3317-2022, Ministerio de Educación, Primero, establece: "Crear la Comisión de Saneamiento de Cuentas Contables del Ministerio de Educación."</w:t>
      </w:r>
    </w:p>
    <w:p w14:paraId="16D2A782" w14:textId="77777777" w:rsidR="00053D93" w:rsidRDefault="00260B75">
      <w:pPr>
        <w:spacing w:after="3"/>
        <w:ind w:left="161" w:hanging="10"/>
      </w:pPr>
      <w:r>
        <w:rPr>
          <w:rFonts w:ascii="Times New Roman" w:eastAsia="Times New Roman" w:hAnsi="Times New Roman" w:cs="Times New Roman"/>
          <w:sz w:val="64"/>
        </w:rPr>
        <w:t>1</w:t>
      </w:r>
    </w:p>
    <w:p w14:paraId="2A70D429" w14:textId="77777777" w:rsidR="00053D93" w:rsidRDefault="00260B75">
      <w:pPr>
        <w:spacing w:after="104" w:line="247" w:lineRule="auto"/>
        <w:ind w:left="137" w:right="14" w:firstLine="1584"/>
        <w:jc w:val="both"/>
      </w:pPr>
      <w:r>
        <w:rPr>
          <w:sz w:val="26"/>
        </w:rPr>
        <w:t xml:space="preserve">La Resolución No. 83-2024, de la Ministra de Educación, Normas Generales para la Ejecución Presupuestaria, y Normas de Austeridad y Contención del Gasto, </w:t>
      </w:r>
      <w:r>
        <w:rPr>
          <w:rFonts w:ascii="Times New Roman" w:eastAsia="Times New Roman" w:hAnsi="Times New Roman" w:cs="Times New Roman"/>
          <w:sz w:val="26"/>
        </w:rPr>
        <w:t xml:space="preserve">1 </w:t>
      </w:r>
      <w:r>
        <w:rPr>
          <w:sz w:val="26"/>
        </w:rPr>
        <w:t>Correspondientes al Ejercicio Fiscal 2024.</w:t>
      </w:r>
    </w:p>
    <w:p w14:paraId="4587E9A2" w14:textId="77777777" w:rsidR="00053D93" w:rsidRDefault="00260B75">
      <w:pPr>
        <w:spacing w:after="17" w:line="247" w:lineRule="auto"/>
        <w:ind w:left="1714" w:right="14" w:firstLine="4"/>
        <w:jc w:val="both"/>
      </w:pPr>
      <w:r>
        <w:rPr>
          <w:sz w:val="26"/>
        </w:rPr>
        <w:t>La Resolución No. 3434-2024, proceso de Cotización identificado como C-33/2024-MlNEDUC, Servicio de trasporte aéreo para la delegación deportiva escolar de Guatemala que participará en los juegos deportivos escolares</w:t>
      </w:r>
    </w:p>
    <w:p w14:paraId="0A1AC34C" w14:textId="77777777" w:rsidR="00053D93" w:rsidRDefault="00260B75">
      <w:pPr>
        <w:spacing w:after="43"/>
        <w:ind w:left="1685"/>
      </w:pPr>
      <w:r>
        <w:rPr>
          <w:noProof/>
        </w:rPr>
        <mc:AlternateContent>
          <mc:Choice Requires="wpg">
            <w:drawing>
              <wp:inline distT="0" distB="0" distL="0" distR="0" wp14:anchorId="4A3B2C77" wp14:editId="5B25A766">
                <wp:extent cx="5381244" cy="9144"/>
                <wp:effectExtent l="0" t="0" r="0" b="0"/>
                <wp:docPr id="2458142" name="Group 2458142"/>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141" name="Shape 2458141"/>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42" style="width:423.72pt;height:0.720001pt;mso-position-horizontal-relative:char;mso-position-vertical-relative:line" coordsize="53812,91">
                <v:shape id="Shape 2458141" style="position:absolute;width:53812;height:91;left:0;top:0;" coordsize="5381244,9144" path="m0,4572l5381244,4572">
                  <v:stroke weight="0.720001pt" endcap="flat" joinstyle="miter" miterlimit="1" on="true" color="#000000"/>
                  <v:fill on="false" color="#000000"/>
                </v:shape>
              </v:group>
            </w:pict>
          </mc:Fallback>
        </mc:AlternateContent>
      </w:r>
    </w:p>
    <w:p w14:paraId="3FC2ED1D" w14:textId="77777777" w:rsidR="00053D93" w:rsidRDefault="00260B75">
      <w:pPr>
        <w:spacing w:after="302" w:line="247" w:lineRule="auto"/>
        <w:ind w:left="1699" w:right="14" w:firstLine="4"/>
        <w:jc w:val="both"/>
      </w:pPr>
      <w:r>
        <w:rPr>
          <w:sz w:val="26"/>
        </w:rPr>
        <w:t>centroamericanos del codicader, para estudiantes con discapacidad, a realizarse en panamá, panamá.</w:t>
      </w:r>
    </w:p>
    <w:p w14:paraId="340F3559" w14:textId="77777777" w:rsidR="00053D93" w:rsidRDefault="00260B75">
      <w:pPr>
        <w:spacing w:after="311" w:line="247" w:lineRule="auto"/>
        <w:ind w:left="1699" w:right="14" w:firstLine="4"/>
        <w:jc w:val="both"/>
      </w:pPr>
      <w:r>
        <w:rPr>
          <w:sz w:val="26"/>
        </w:rPr>
        <w:t>Código: ADQ-PRO-OI , Versión 16, Procedimiento Gestión de Compras: Modalidades de Contrato Abierto, Compra de Baja Cuantía y Compra Directa, Del proceso: Gestión de Adquisiciones.</w:t>
      </w:r>
    </w:p>
    <w:p w14:paraId="467E5992" w14:textId="77777777" w:rsidR="00053D93" w:rsidRDefault="00260B75">
      <w:pPr>
        <w:spacing w:after="284" w:line="247" w:lineRule="auto"/>
        <w:ind w:left="1706" w:right="14" w:firstLine="4"/>
        <w:jc w:val="both"/>
      </w:pPr>
      <w:r>
        <w:rPr>
          <w:sz w:val="26"/>
        </w:rPr>
        <w:t>Código: ALM-PRO-OI , Procedimiento Almacén.</w:t>
      </w:r>
    </w:p>
    <w:p w14:paraId="783EFF64" w14:textId="77777777" w:rsidR="00053D93" w:rsidRDefault="00260B75">
      <w:pPr>
        <w:spacing w:after="298" w:line="247" w:lineRule="auto"/>
        <w:ind w:left="1706" w:right="14" w:firstLine="4"/>
        <w:jc w:val="both"/>
      </w:pPr>
      <w:r>
        <w:rPr>
          <w:sz w:val="26"/>
        </w:rPr>
        <w:t>Código DES-MAN-OI, Versión 3.0, Manual de Procedimientos de Soporte Técnico de la Dirección de Informática, Sección Procedimientos Generales de la Dirección de Informática.</w:t>
      </w:r>
    </w:p>
    <w:p w14:paraId="23D898DD" w14:textId="77777777" w:rsidR="00053D93" w:rsidRDefault="00260B75">
      <w:pPr>
        <w:spacing w:after="295" w:line="247" w:lineRule="auto"/>
        <w:ind w:left="1714" w:right="14" w:firstLine="4"/>
        <w:jc w:val="both"/>
      </w:pPr>
      <w:r>
        <w:rPr>
          <w:sz w:val="26"/>
        </w:rPr>
        <w:lastRenderedPageBreak/>
        <w:t>Código: INV-INS-OI, Versión 4, Instructivo Alza de Bienes Muebles.</w:t>
      </w:r>
    </w:p>
    <w:p w14:paraId="476D21BD" w14:textId="77777777" w:rsidR="00053D93" w:rsidRDefault="00260B75">
      <w:pPr>
        <w:spacing w:after="320" w:line="247" w:lineRule="auto"/>
        <w:ind w:left="1714" w:right="14" w:firstLine="4"/>
        <w:jc w:val="both"/>
      </w:pPr>
      <w:r>
        <w:rPr>
          <w:sz w:val="26"/>
        </w:rPr>
        <w:t>Código: INV-lNS-02, Instructivo Asignación de Bienes Muebles.</w:t>
      </w:r>
    </w:p>
    <w:p w14:paraId="40B42621" w14:textId="77777777" w:rsidR="00053D93" w:rsidRDefault="00260B75">
      <w:pPr>
        <w:spacing w:after="295" w:line="247" w:lineRule="auto"/>
        <w:ind w:left="1714" w:right="14" w:firstLine="4"/>
        <w:jc w:val="both"/>
      </w:pPr>
      <w:r>
        <w:rPr>
          <w:sz w:val="26"/>
        </w:rPr>
        <w:t>Código INV-lNS-03, Versión 3, Instructivo Baja de Bienes Muebles.</w:t>
      </w:r>
    </w:p>
    <w:p w14:paraId="5A278AFD" w14:textId="77777777" w:rsidR="00053D93" w:rsidRDefault="00260B75">
      <w:pPr>
        <w:spacing w:after="319" w:line="247" w:lineRule="auto"/>
        <w:ind w:left="1714" w:right="14" w:firstLine="4"/>
        <w:jc w:val="both"/>
      </w:pPr>
      <w:r>
        <w:rPr>
          <w:sz w:val="26"/>
        </w:rPr>
        <w:t>Código: INV-lNS-04, Versión: 1 , Instructivo Administración de Inventarios.</w:t>
      </w:r>
    </w:p>
    <w:tbl>
      <w:tblPr>
        <w:tblStyle w:val="TableGrid"/>
        <w:tblpPr w:vertAnchor="page" w:horzAnchor="page" w:tblpX="2887" w:tblpY="14530"/>
        <w:tblOverlap w:val="never"/>
        <w:tblW w:w="7625" w:type="dxa"/>
        <w:tblInd w:w="0" w:type="dxa"/>
        <w:tblCellMar>
          <w:top w:w="25" w:type="dxa"/>
          <w:left w:w="1735" w:type="dxa"/>
          <w:right w:w="115" w:type="dxa"/>
        </w:tblCellMar>
        <w:tblLook w:val="04A0" w:firstRow="1" w:lastRow="0" w:firstColumn="1" w:lastColumn="0" w:noHBand="0" w:noVBand="1"/>
      </w:tblPr>
      <w:tblGrid>
        <w:gridCol w:w="7625"/>
      </w:tblGrid>
      <w:tr w:rsidR="00053D93" w14:paraId="0DA69DDE" w14:textId="77777777">
        <w:trPr>
          <w:trHeight w:val="612"/>
        </w:trPr>
        <w:tc>
          <w:tcPr>
            <w:tcW w:w="7625" w:type="dxa"/>
            <w:tcBorders>
              <w:top w:val="single" w:sz="2" w:space="0" w:color="000000"/>
              <w:left w:val="single" w:sz="2" w:space="0" w:color="000000"/>
              <w:bottom w:val="nil"/>
              <w:right w:val="nil"/>
            </w:tcBorders>
          </w:tcPr>
          <w:p w14:paraId="3A0C054B" w14:textId="77777777" w:rsidR="00053D93" w:rsidRDefault="00260B75">
            <w:pPr>
              <w:ind w:left="842"/>
            </w:pPr>
            <w:r>
              <w:rPr>
                <w:sz w:val="14"/>
              </w:rPr>
              <w:lastRenderedPageBreak/>
              <w:t>MINISTERIO DE EDUCACION</w:t>
            </w:r>
          </w:p>
          <w:p w14:paraId="7A33F1F9" w14:textId="77777777" w:rsidR="00053D93" w:rsidRDefault="00260B75">
            <w:pPr>
              <w:ind w:left="346"/>
            </w:pPr>
            <w:r>
              <w:rPr>
                <w:sz w:val="14"/>
              </w:rPr>
              <w:lastRenderedPageBreak/>
              <w:t>AUDITORiA FINANCIERA Y DE CUMPLIMIENTO</w:t>
            </w:r>
          </w:p>
          <w:p w14:paraId="35D6D498" w14:textId="77777777" w:rsidR="00053D93" w:rsidRDefault="00260B75">
            <w:r>
              <w:rPr>
                <w:sz w:val="16"/>
              </w:rPr>
              <w:t>PERIODO DEL 01 DE ENERO AL 31 DE DICEMBRE DE 2024</w:t>
            </w:r>
          </w:p>
        </w:tc>
      </w:tr>
    </w:tbl>
    <w:p w14:paraId="4C030E89" w14:textId="77777777" w:rsidR="00053D93" w:rsidRDefault="00260B75">
      <w:pPr>
        <w:spacing w:after="295" w:line="247" w:lineRule="auto"/>
        <w:ind w:left="1714" w:right="14" w:firstLine="4"/>
        <w:jc w:val="both"/>
      </w:pPr>
      <w:r>
        <w:rPr>
          <w:noProof/>
        </w:rPr>
        <w:lastRenderedPageBreak/>
        <w:drawing>
          <wp:anchor distT="0" distB="0" distL="114300" distR="114300" simplePos="0" relativeHeight="251707392" behindDoc="0" locked="0" layoutInCell="1" allowOverlap="0" wp14:anchorId="4E93C98C" wp14:editId="16A7E35E">
            <wp:simplePos x="0" y="0"/>
            <wp:positionH relativeFrom="page">
              <wp:posOffset>681228</wp:posOffset>
            </wp:positionH>
            <wp:positionV relativeFrom="page">
              <wp:posOffset>9212580</wp:posOffset>
            </wp:positionV>
            <wp:extent cx="1129284" cy="411480"/>
            <wp:effectExtent l="0" t="0" r="0" b="0"/>
            <wp:wrapTopAndBottom/>
            <wp:docPr id="85952" name="Picture 85952"/>
            <wp:cNvGraphicFramePr/>
            <a:graphic xmlns:a="http://schemas.openxmlformats.org/drawingml/2006/main">
              <a:graphicData uri="http://schemas.openxmlformats.org/drawingml/2006/picture">
                <pic:pic xmlns:pic="http://schemas.openxmlformats.org/drawingml/2006/picture">
                  <pic:nvPicPr>
                    <pic:cNvPr id="85952" name="Picture 85952"/>
                    <pic:cNvPicPr/>
                  </pic:nvPicPr>
                  <pic:blipFill>
                    <a:blip r:embed="rId104"/>
                    <a:stretch>
                      <a:fillRect/>
                    </a:stretch>
                  </pic:blipFill>
                  <pic:spPr>
                    <a:xfrm>
                      <a:off x="0" y="0"/>
                      <a:ext cx="1129284" cy="411480"/>
                    </a:xfrm>
                    <a:prstGeom prst="rect">
                      <a:avLst/>
                    </a:prstGeom>
                  </pic:spPr>
                </pic:pic>
              </a:graphicData>
            </a:graphic>
          </wp:anchor>
        </w:drawing>
      </w:r>
      <w:r>
        <w:rPr>
          <w:noProof/>
        </w:rPr>
        <w:drawing>
          <wp:anchor distT="0" distB="0" distL="114300" distR="114300" simplePos="0" relativeHeight="251708416" behindDoc="0" locked="0" layoutInCell="1" allowOverlap="0" wp14:anchorId="41CA4904" wp14:editId="085FFD51">
            <wp:simplePos x="0" y="0"/>
            <wp:positionH relativeFrom="page">
              <wp:posOffset>228600</wp:posOffset>
            </wp:positionH>
            <wp:positionV relativeFrom="page">
              <wp:posOffset>9902952</wp:posOffset>
            </wp:positionV>
            <wp:extent cx="13716" cy="22860"/>
            <wp:effectExtent l="0" t="0" r="0" b="0"/>
            <wp:wrapTopAndBottom/>
            <wp:docPr id="85856" name="Picture 85856"/>
            <wp:cNvGraphicFramePr/>
            <a:graphic xmlns:a="http://schemas.openxmlformats.org/drawingml/2006/main">
              <a:graphicData uri="http://schemas.openxmlformats.org/drawingml/2006/picture">
                <pic:pic xmlns:pic="http://schemas.openxmlformats.org/drawingml/2006/picture">
                  <pic:nvPicPr>
                    <pic:cNvPr id="85856" name="Picture 85856"/>
                    <pic:cNvPicPr/>
                  </pic:nvPicPr>
                  <pic:blipFill>
                    <a:blip r:embed="rId105"/>
                    <a:stretch>
                      <a:fillRect/>
                    </a:stretch>
                  </pic:blipFill>
                  <pic:spPr>
                    <a:xfrm>
                      <a:off x="0" y="0"/>
                      <a:ext cx="13716" cy="22860"/>
                    </a:xfrm>
                    <a:prstGeom prst="rect">
                      <a:avLst/>
                    </a:prstGeom>
                  </pic:spPr>
                </pic:pic>
              </a:graphicData>
            </a:graphic>
          </wp:anchor>
        </w:drawing>
      </w:r>
      <w:r>
        <w:rPr>
          <w:sz w:val="26"/>
        </w:rPr>
        <w:t>Código: MAN-TEC-3, Versión 01 , Manual de Funciones, Organización y Puestos de la Dirección Generai de Educación Física (DIGEF).</w:t>
      </w:r>
    </w:p>
    <w:p w14:paraId="2C518326" w14:textId="77777777" w:rsidR="00053D93" w:rsidRDefault="00260B75">
      <w:pPr>
        <w:spacing w:after="301" w:line="247" w:lineRule="auto"/>
        <w:ind w:left="1721" w:right="14" w:firstLine="4"/>
        <w:jc w:val="both"/>
      </w:pPr>
      <w:r>
        <w:rPr>
          <w:sz w:val="26"/>
        </w:rPr>
        <w:t>Código: PRA-lNS-03, versión 13, Instructivo Transferencias Corrientes a Organizaciones de Padres de Familia -OPF-.</w:t>
      </w:r>
    </w:p>
    <w:p w14:paraId="4E21196D" w14:textId="77777777" w:rsidR="00053D93" w:rsidRDefault="00260B75">
      <w:pPr>
        <w:spacing w:after="304" w:line="247" w:lineRule="auto"/>
        <w:ind w:left="1721" w:right="14" w:firstLine="4"/>
        <w:jc w:val="both"/>
      </w:pPr>
      <w:r>
        <w:rPr>
          <w:sz w:val="26"/>
        </w:rPr>
        <w:t>Código PRA-lNS-33, Versión 02, Instructivo para realizar Reintegros de Recursos Financieros de los Programas de Apoyo al Fondo Común por parte de [as Organizaciones de Padres de Familia -OPF-, Del Proceso: Programas de Apoyo.</w:t>
      </w:r>
    </w:p>
    <w:p w14:paraId="66D95585" w14:textId="77777777" w:rsidR="00053D93" w:rsidRDefault="00260B75">
      <w:pPr>
        <w:spacing w:after="225" w:line="247" w:lineRule="auto"/>
        <w:ind w:left="1721" w:right="14" w:firstLine="4"/>
        <w:jc w:val="both"/>
      </w:pPr>
      <w:r>
        <w:rPr>
          <w:sz w:val="26"/>
        </w:rPr>
        <w:t>Código: PRA-lNS-43, Versión 2, Instructivo Aporte Económico por Gastos Funerarios derivados al Fallecimiento de Estudiantes inscritos en el Sistema de Educación Pública, Niveles de Educación Inicial, Preprimaria, Primaria y Media (Ciclos Básico y Diversificado). Dei proceso: Servicios de apoyo.</w:t>
      </w:r>
    </w:p>
    <w:p w14:paraId="3AB2B0E0" w14:textId="77777777" w:rsidR="00053D93" w:rsidRDefault="00260B75">
      <w:pPr>
        <w:spacing w:after="3"/>
        <w:ind w:left="161" w:hanging="10"/>
      </w:pPr>
      <w:r>
        <w:rPr>
          <w:rFonts w:ascii="Times New Roman" w:eastAsia="Times New Roman" w:hAnsi="Times New Roman" w:cs="Times New Roman"/>
          <w:sz w:val="64"/>
        </w:rPr>
        <w:t>1</w:t>
      </w:r>
    </w:p>
    <w:p w14:paraId="743847E1" w14:textId="77777777" w:rsidR="00053D93" w:rsidRDefault="00260B75">
      <w:pPr>
        <w:spacing w:after="310" w:line="247" w:lineRule="auto"/>
        <w:ind w:left="1728" w:right="14" w:firstLine="4"/>
        <w:jc w:val="both"/>
      </w:pPr>
      <w:r>
        <w:rPr>
          <w:sz w:val="26"/>
        </w:rPr>
        <w:t>Código: RHU-lNS-15, Versión 03, Instructivo Bloqueo de Salarios y Conformación de Expedientes de Acciones o Movimientos de Personal para los Renglones 01 1 "Personal Permanente" y 022 "Personal por Contrato."</w:t>
      </w:r>
    </w:p>
    <w:p w14:paraId="2E2A8005" w14:textId="77777777" w:rsidR="00053D93" w:rsidRDefault="00260B75">
      <w:pPr>
        <w:spacing w:after="17" w:line="247" w:lineRule="auto"/>
        <w:ind w:left="1735" w:right="14" w:firstLine="4"/>
        <w:jc w:val="both"/>
      </w:pPr>
      <w:r>
        <w:rPr>
          <w:sz w:val="26"/>
        </w:rPr>
        <w:t>Código: RHU-lNS-15, Versión 4, Instructivo Bloqueo de Salarios y Conformación de Expedientes de Acciones o Movimientos de Personal para los Renglones 011 "Personal Permanente" y 022 "Personal por Contrato."</w:t>
      </w:r>
    </w:p>
    <w:p w14:paraId="2F7E0E45" w14:textId="77777777" w:rsidR="00053D93" w:rsidRDefault="00053D93">
      <w:pPr>
        <w:sectPr w:rsidR="00053D93">
          <w:headerReference w:type="even" r:id="rId106"/>
          <w:headerReference w:type="default" r:id="rId107"/>
          <w:footerReference w:type="even" r:id="rId108"/>
          <w:footerReference w:type="default" r:id="rId109"/>
          <w:headerReference w:type="first" r:id="rId110"/>
          <w:footerReference w:type="first" r:id="rId111"/>
          <w:pgSz w:w="12290" w:h="15912"/>
          <w:pgMar w:top="504" w:right="1814" w:bottom="785" w:left="295" w:header="662" w:footer="720" w:gutter="0"/>
          <w:cols w:space="720"/>
          <w:titlePg/>
        </w:sectPr>
      </w:pPr>
    </w:p>
    <w:p w14:paraId="11F6275D" w14:textId="77777777" w:rsidR="00053D93" w:rsidRDefault="00260B75">
      <w:pPr>
        <w:spacing w:after="332"/>
        <w:ind w:left="1649"/>
      </w:pPr>
      <w:r>
        <w:rPr>
          <w:noProof/>
        </w:rPr>
        <w:lastRenderedPageBreak/>
        <mc:AlternateContent>
          <mc:Choice Requires="wpg">
            <w:drawing>
              <wp:inline distT="0" distB="0" distL="0" distR="0" wp14:anchorId="6585BE40" wp14:editId="56E0956F">
                <wp:extent cx="5385816" cy="9144"/>
                <wp:effectExtent l="0" t="0" r="0" b="0"/>
                <wp:docPr id="2458144" name="Group 2458144"/>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143" name="Shape 2458143"/>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44" style="width:424.08pt;height:0.720001pt;mso-position-horizontal-relative:char;mso-position-vertical-relative:line" coordsize="53858,91">
                <v:shape id="Shape 2458143" style="position:absolute;width:53858;height:91;left:0;top:0;" coordsize="5385816,9144" path="m0,4572l5385816,4572">
                  <v:stroke weight="0.720001pt" endcap="flat" joinstyle="miter" miterlimit="1" on="true" color="#000000"/>
                  <v:fill on="false" color="#000000"/>
                </v:shape>
              </v:group>
            </w:pict>
          </mc:Fallback>
        </mc:AlternateContent>
      </w:r>
    </w:p>
    <w:p w14:paraId="2B50DA67" w14:textId="77777777" w:rsidR="00053D93" w:rsidRDefault="00260B75">
      <w:pPr>
        <w:spacing w:after="304" w:line="247" w:lineRule="auto"/>
        <w:ind w:left="1670" w:right="14" w:firstLine="4"/>
        <w:jc w:val="both"/>
      </w:pPr>
      <w:r>
        <w:rPr>
          <w:sz w:val="26"/>
        </w:rPr>
        <w:t>Código: RHU-PRO-02, Versión 6, Procedimiento, Creación de Puestos con Cargo al Renglón de Gasto 021 , "Personal Supernumerario."</w:t>
      </w:r>
    </w:p>
    <w:p w14:paraId="57D75D0F" w14:textId="77777777" w:rsidR="00053D93" w:rsidRDefault="00260B75">
      <w:pPr>
        <w:spacing w:after="316" w:line="247" w:lineRule="auto"/>
        <w:ind w:left="1670" w:right="14" w:firstLine="4"/>
        <w:jc w:val="both"/>
      </w:pPr>
      <w:r>
        <w:rPr>
          <w:sz w:val="26"/>
        </w:rPr>
        <w:t>Código: RHU-lNS-38, Versión 2, Instructivo para la Conformación de Expedientes y Contratación de Personal con Cargo al Renglón de Gasto 021 , "Personal Supernumerario."</w:t>
      </w:r>
    </w:p>
    <w:p w14:paraId="7C19F8C3" w14:textId="77777777" w:rsidR="00053D93" w:rsidRDefault="00260B75">
      <w:pPr>
        <w:spacing w:after="303" w:line="247" w:lineRule="auto"/>
        <w:ind w:left="14" w:right="14" w:firstLine="4"/>
        <w:jc w:val="both"/>
      </w:pPr>
      <w:r>
        <w:rPr>
          <w:noProof/>
        </w:rPr>
        <mc:AlternateContent>
          <mc:Choice Requires="wpg">
            <w:drawing>
              <wp:anchor distT="0" distB="0" distL="114300" distR="114300" simplePos="0" relativeHeight="251709440" behindDoc="0" locked="0" layoutInCell="1" allowOverlap="1" wp14:anchorId="00D1AAA8" wp14:editId="068C8EA8">
                <wp:simplePos x="0" y="0"/>
                <wp:positionH relativeFrom="column">
                  <wp:posOffset>9144</wp:posOffset>
                </wp:positionH>
                <wp:positionV relativeFrom="paragraph">
                  <wp:posOffset>27095</wp:posOffset>
                </wp:positionV>
                <wp:extent cx="146304" cy="365760"/>
                <wp:effectExtent l="0" t="0" r="0" b="0"/>
                <wp:wrapSquare wrapText="bothSides"/>
                <wp:docPr id="2454343" name="Group 2454343"/>
                <wp:cNvGraphicFramePr/>
                <a:graphic xmlns:a="http://schemas.openxmlformats.org/drawingml/2006/main">
                  <a:graphicData uri="http://schemas.microsoft.com/office/word/2010/wordprocessingGroup">
                    <wpg:wgp>
                      <wpg:cNvGrpSpPr/>
                      <wpg:grpSpPr>
                        <a:xfrm>
                          <a:off x="0" y="0"/>
                          <a:ext cx="146304" cy="365760"/>
                          <a:chOff x="0" y="0"/>
                          <a:chExt cx="146304" cy="365760"/>
                        </a:xfrm>
                      </wpg:grpSpPr>
                      <wps:wsp>
                        <wps:cNvPr id="86404" name="Rectangle 86404"/>
                        <wps:cNvSpPr/>
                        <wps:spPr>
                          <a:xfrm>
                            <a:off x="0" y="0"/>
                            <a:ext cx="194584" cy="486461"/>
                          </a:xfrm>
                          <a:prstGeom prst="rect">
                            <a:avLst/>
                          </a:prstGeom>
                          <a:ln>
                            <a:noFill/>
                          </a:ln>
                        </wps:spPr>
                        <wps:txbx>
                          <w:txbxContent>
                            <w:p w14:paraId="317EC2E2" w14:textId="77777777" w:rsidR="00053D93" w:rsidRDefault="00260B75">
                              <w:r>
                                <w:rPr>
                                  <w:sz w:val="302"/>
                                </w:rPr>
                                <w:t>i</w:t>
                              </w:r>
                            </w:p>
                          </w:txbxContent>
                        </wps:txbx>
                        <wps:bodyPr horzOverflow="overflow" vert="horz" lIns="0" tIns="0" rIns="0" bIns="0" rtlCol="0">
                          <a:noAutofit/>
                        </wps:bodyPr>
                      </wps:wsp>
                    </wpg:wgp>
                  </a:graphicData>
                </a:graphic>
              </wp:anchor>
            </w:drawing>
          </mc:Choice>
          <mc:Fallback>
            <w:pict>
              <v:group w14:anchorId="00D1AAA8" id="Group 2454343" o:spid="_x0000_s1130" style="position:absolute;left:0;text-align:left;margin-left:.7pt;margin-top:2.15pt;width:11.5pt;height:28.8pt;z-index:251709440;mso-position-horizontal-relative:text;mso-position-vertical-relative:text" coordsize="146304,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">
                <v:rect id="Rectangle 86404" o:spid="_x0000_s1131" style="position:absolute;width:194584;height:486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" filled="f" stroked="f">
                  <v:textbox inset="0,0,0,0">
                    <w:txbxContent>
                      <w:p w14:paraId="317EC2E2" w14:textId="77777777" w:rsidR="00053D93" w:rsidRDefault="00260B75">
                        <w:r>
                          <w:rPr>
                            <w:sz w:val="302"/>
                          </w:rPr>
                          <w:t>i</w:t>
                        </w:r>
                      </w:p>
                    </w:txbxContent>
                  </v:textbox>
                </v:rect>
                <w10:wrap type="square"/>
              </v:group>
            </w:pict>
          </mc:Fallback>
        </mc:AlternateContent>
      </w:r>
      <w:r>
        <w:rPr>
          <w:sz w:val="26"/>
        </w:rPr>
        <w:t>Código: RHU-lNS-16, Versión 2, Instructivo, Registro de la Contratación y Liquidación de Nómina 021.</w:t>
      </w:r>
    </w:p>
    <w:p w14:paraId="0B695BC3" w14:textId="77777777" w:rsidR="00053D93" w:rsidRDefault="00260B75">
      <w:pPr>
        <w:spacing w:after="320" w:line="247" w:lineRule="auto"/>
        <w:ind w:left="1678" w:right="14" w:firstLine="4"/>
        <w:jc w:val="both"/>
      </w:pPr>
      <w:r>
        <w:rPr>
          <w:sz w:val="26"/>
        </w:rPr>
        <w:t>Código: SER-lNS-02, Versión: 8, Instructivo Solicitud y Mantenimiento de Vehículos Oficiales, Del Proceso: Servicios Generales.</w:t>
      </w:r>
    </w:p>
    <w:p w14:paraId="63F1F253" w14:textId="77777777" w:rsidR="00053D93" w:rsidRDefault="00260B75">
      <w:pPr>
        <w:spacing w:after="447" w:line="247" w:lineRule="auto"/>
        <w:ind w:left="1692" w:right="14" w:firstLine="4"/>
        <w:jc w:val="both"/>
      </w:pPr>
      <w:r>
        <w:rPr>
          <w:sz w:val="26"/>
        </w:rPr>
        <w:t>Código VDE-MAN-08, Versión 2, Manual de Organización y Funciones de la Dirección General de Participación Comunitaria y Servicios de Apoyo -DIGEPSA-.</w:t>
      </w:r>
    </w:p>
    <w:p w14:paraId="53EA339E" w14:textId="77777777" w:rsidR="00053D93" w:rsidRDefault="00260B75">
      <w:pPr>
        <w:spacing w:after="389" w:line="247" w:lineRule="auto"/>
        <w:ind w:left="1699" w:right="14" w:firstLine="4"/>
        <w:jc w:val="both"/>
      </w:pPr>
      <w:r>
        <w:rPr>
          <w:sz w:val="26"/>
        </w:rPr>
        <w:t>La Guía Lineamientos para el Arrendamiento de Bienes Inmuebles (ADQ-GUl-04).</w:t>
      </w:r>
    </w:p>
    <w:p w14:paraId="5ACB0997" w14:textId="77777777" w:rsidR="00053D93" w:rsidRDefault="00260B75">
      <w:pPr>
        <w:spacing w:after="451" w:line="247" w:lineRule="auto"/>
        <w:ind w:left="1699" w:right="14" w:firstLine="4"/>
        <w:jc w:val="both"/>
      </w:pPr>
      <w:r>
        <w:rPr>
          <w:sz w:val="26"/>
        </w:rPr>
        <w:t>La Circular No. DIREH-0039-2015, Ampliación Circular No. DIREH-0033-2015 Lineamientos para solicitar emisión de acuerdo ministerial de cese de funciones de personal con cargo al renglón presupuestario 01 1 "Personal Permanente".</w:t>
      </w:r>
    </w:p>
    <w:p w14:paraId="3A3BD3DA" w14:textId="77777777" w:rsidR="00053D93" w:rsidRDefault="00260B75">
      <w:pPr>
        <w:spacing w:after="439" w:line="247" w:lineRule="auto"/>
        <w:ind w:left="1706" w:right="14" w:firstLine="4"/>
        <w:jc w:val="both"/>
      </w:pPr>
      <w:r>
        <w:rPr>
          <w:sz w:val="26"/>
        </w:rPr>
        <w:t>El Convenio Marco de Cooperación suscrito entre el Ministerio de Educación y la Universidad de San Carlos de Guatemala.</w:t>
      </w:r>
    </w:p>
    <w:p w14:paraId="243B1E8D" w14:textId="77777777" w:rsidR="00053D93" w:rsidRDefault="00260B75">
      <w:pPr>
        <w:spacing w:after="440" w:line="247" w:lineRule="auto"/>
        <w:ind w:left="1699" w:right="14" w:firstLine="4"/>
        <w:jc w:val="both"/>
      </w:pPr>
      <w:r>
        <w:rPr>
          <w:sz w:val="26"/>
        </w:rPr>
        <w:t xml:space="preserve">El Convenio Específico de Cooperación para la Transición de la Formación Inicial de Docentes a Nivel Superior en la República de Guatemala. </w:t>
      </w:r>
      <w:r>
        <w:rPr>
          <w:noProof/>
        </w:rPr>
        <w:drawing>
          <wp:inline distT="0" distB="0" distL="0" distR="0" wp14:anchorId="5949692B" wp14:editId="70548D6A">
            <wp:extent cx="9144" cy="9144"/>
            <wp:effectExtent l="0" t="0" r="0" b="0"/>
            <wp:docPr id="88947" name="Picture 88947"/>
            <wp:cNvGraphicFramePr/>
            <a:graphic xmlns:a="http://schemas.openxmlformats.org/drawingml/2006/main">
              <a:graphicData uri="http://schemas.openxmlformats.org/drawingml/2006/picture">
                <pic:pic xmlns:pic="http://schemas.openxmlformats.org/drawingml/2006/picture">
                  <pic:nvPicPr>
                    <pic:cNvPr id="88947" name="Picture 88947"/>
                    <pic:cNvPicPr/>
                  </pic:nvPicPr>
                  <pic:blipFill>
                    <a:blip r:embed="rId93"/>
                    <a:stretch>
                      <a:fillRect/>
                    </a:stretch>
                  </pic:blipFill>
                  <pic:spPr>
                    <a:xfrm>
                      <a:off x="0" y="0"/>
                      <a:ext cx="9144" cy="9144"/>
                    </a:xfrm>
                    <a:prstGeom prst="rect">
                      <a:avLst/>
                    </a:prstGeom>
                  </pic:spPr>
                </pic:pic>
              </a:graphicData>
            </a:graphic>
          </wp:inline>
        </w:drawing>
      </w:r>
    </w:p>
    <w:p w14:paraId="0B0FBE39" w14:textId="77777777" w:rsidR="00053D93" w:rsidRDefault="00260B75">
      <w:pPr>
        <w:spacing w:after="457" w:line="247" w:lineRule="auto"/>
        <w:ind w:left="1706" w:right="14" w:firstLine="4"/>
        <w:jc w:val="both"/>
      </w:pPr>
      <w:r>
        <w:rPr>
          <w:sz w:val="26"/>
        </w:rPr>
        <w:t>El Contrato de Adhesión por Prestación de Servicios Educativos Colegio EPIC Guatemala.</w:t>
      </w:r>
    </w:p>
    <w:p w14:paraId="7601509E" w14:textId="77777777" w:rsidR="00053D93" w:rsidRDefault="00260B75">
      <w:pPr>
        <w:spacing w:after="452" w:line="247" w:lineRule="auto"/>
        <w:ind w:left="1706" w:right="14" w:firstLine="4"/>
        <w:jc w:val="both"/>
      </w:pPr>
      <w:r>
        <w:rPr>
          <w:sz w:val="26"/>
        </w:rPr>
        <w:t>EL Contrato Administrativo Número: GUAORl-42-2023-L, por la Directora de la Dirección Departamental de Educación Guatemala Oriente y el Gerente de Operaciones y Representante Legal de [a entidad denominada Cofiño Stahl y Compañía, Sociedad Anónima.</w:t>
      </w:r>
    </w:p>
    <w:p w14:paraId="2B7EBB48" w14:textId="77777777" w:rsidR="00053D93" w:rsidRDefault="00260B75">
      <w:pPr>
        <w:spacing w:after="279" w:line="247" w:lineRule="auto"/>
        <w:ind w:left="1714" w:right="14" w:firstLine="4"/>
        <w:jc w:val="both"/>
      </w:pPr>
      <w:r>
        <w:rPr>
          <w:sz w:val="26"/>
        </w:rPr>
        <w:lastRenderedPageBreak/>
        <w:t>El Contrato Administrativo Número 01-2024-DIGEF-CD, entre la Dirección General de Educación Física -DIGEF- y la entidad LAX TRAVEL, S.A.</w:t>
      </w:r>
    </w:p>
    <w:p w14:paraId="37E372A1" w14:textId="77777777" w:rsidR="00053D93" w:rsidRDefault="00260B75">
      <w:pPr>
        <w:spacing w:after="448" w:line="247" w:lineRule="auto"/>
        <w:ind w:left="1714" w:right="14" w:firstLine="4"/>
        <w:jc w:val="both"/>
      </w:pPr>
      <w:r>
        <w:rPr>
          <w:sz w:val="26"/>
        </w:rPr>
        <w:t>Las Especificaciones Técnicas del Proceso de Cotización C-033/2024-MlNEDUC "Servicio de trasporte aéreo para la delegación deportiva escolar de Guatemala que participará en los juegos deportivos escolares centroamericanos del</w:t>
      </w:r>
    </w:p>
    <w:tbl>
      <w:tblPr>
        <w:tblStyle w:val="TableGrid"/>
        <w:tblpPr w:vertAnchor="text" w:tblpX="2575" w:tblpY="62"/>
        <w:tblOverlap w:val="never"/>
        <w:tblW w:w="7620" w:type="dxa"/>
        <w:tblInd w:w="0" w:type="dxa"/>
        <w:tblCellMar>
          <w:top w:w="53" w:type="dxa"/>
          <w:left w:w="1738" w:type="dxa"/>
          <w:right w:w="115" w:type="dxa"/>
        </w:tblCellMar>
        <w:tblLook w:val="04A0" w:firstRow="1" w:lastRow="0" w:firstColumn="1" w:lastColumn="0" w:noHBand="0" w:noVBand="1"/>
      </w:tblPr>
      <w:tblGrid>
        <w:gridCol w:w="7620"/>
      </w:tblGrid>
      <w:tr w:rsidR="00053D93" w14:paraId="69387A79" w14:textId="77777777">
        <w:trPr>
          <w:trHeight w:val="608"/>
        </w:trPr>
        <w:tc>
          <w:tcPr>
            <w:tcW w:w="7620" w:type="dxa"/>
            <w:tcBorders>
              <w:top w:val="single" w:sz="2" w:space="0" w:color="000000"/>
              <w:left w:val="single" w:sz="2" w:space="0" w:color="000000"/>
              <w:bottom w:val="nil"/>
              <w:right w:val="nil"/>
            </w:tcBorders>
          </w:tcPr>
          <w:p w14:paraId="2BB14A2E" w14:textId="77777777" w:rsidR="00053D93" w:rsidRDefault="00260B75">
            <w:pPr>
              <w:ind w:left="835"/>
            </w:pPr>
            <w:r>
              <w:rPr>
                <w:sz w:val="14"/>
              </w:rPr>
              <w:t>MINISTERIO DE EDUCACION</w:t>
            </w:r>
          </w:p>
          <w:p w14:paraId="4B778952" w14:textId="77777777" w:rsidR="00053D93" w:rsidRDefault="00260B75">
            <w:pPr>
              <w:ind w:left="338"/>
            </w:pPr>
            <w:r>
              <w:rPr>
                <w:sz w:val="14"/>
              </w:rPr>
              <w:t>AUDITORIA FINANCIERA Y DE CUMPLIMIENTO</w:t>
            </w:r>
          </w:p>
          <w:p w14:paraId="43DBFAFC" w14:textId="77777777" w:rsidR="00053D93" w:rsidRDefault="00260B75">
            <w:r>
              <w:rPr>
                <w:sz w:val="14"/>
              </w:rPr>
              <w:t>PERIODO DEL 01 DE ENERO AL 31 OE DICIEMBRE DE 2024</w:t>
            </w:r>
          </w:p>
        </w:tc>
      </w:tr>
    </w:tbl>
    <w:p w14:paraId="36BF677F" w14:textId="77777777" w:rsidR="00053D93" w:rsidRDefault="00260B75">
      <w:pPr>
        <w:pStyle w:val="Ttulo2"/>
        <w:tabs>
          <w:tab w:val="center" w:pos="1656"/>
        </w:tabs>
        <w:ind w:left="0" w:right="-7603" w:firstLine="0"/>
      </w:pPr>
      <w:r>
        <w:rPr>
          <w:noProof/>
        </w:rPr>
        <w:drawing>
          <wp:inline distT="0" distB="0" distL="0" distR="0" wp14:anchorId="76C20095" wp14:editId="0B9D55AF">
            <wp:extent cx="114300" cy="283463"/>
            <wp:effectExtent l="0" t="0" r="0" b="0"/>
            <wp:docPr id="88948" name="Picture 88948"/>
            <wp:cNvGraphicFramePr/>
            <a:graphic xmlns:a="http://schemas.openxmlformats.org/drawingml/2006/main">
              <a:graphicData uri="http://schemas.openxmlformats.org/drawingml/2006/picture">
                <pic:pic xmlns:pic="http://schemas.openxmlformats.org/drawingml/2006/picture">
                  <pic:nvPicPr>
                    <pic:cNvPr id="88948" name="Picture 88948"/>
                    <pic:cNvPicPr/>
                  </pic:nvPicPr>
                  <pic:blipFill>
                    <a:blip r:embed="rId112"/>
                    <a:stretch>
                      <a:fillRect/>
                    </a:stretch>
                  </pic:blipFill>
                  <pic:spPr>
                    <a:xfrm>
                      <a:off x="0" y="0"/>
                      <a:ext cx="114300" cy="283463"/>
                    </a:xfrm>
                    <a:prstGeom prst="rect">
                      <a:avLst/>
                    </a:prstGeom>
                  </pic:spPr>
                </pic:pic>
              </a:graphicData>
            </a:graphic>
          </wp:inline>
        </w:drawing>
      </w:r>
      <w:r>
        <w:rPr>
          <w:sz w:val="32"/>
        </w:rPr>
        <w:tab/>
        <w:t xml:space="preserve">III </w:t>
      </w:r>
      <w:r>
        <w:rPr>
          <w:noProof/>
        </w:rPr>
        <w:drawing>
          <wp:inline distT="0" distB="0" distL="0" distR="0" wp14:anchorId="2DECD04D" wp14:editId="70FFD683">
            <wp:extent cx="909828" cy="406908"/>
            <wp:effectExtent l="0" t="0" r="0" b="0"/>
            <wp:docPr id="89073" name="Picture 89073"/>
            <wp:cNvGraphicFramePr/>
            <a:graphic xmlns:a="http://schemas.openxmlformats.org/drawingml/2006/main">
              <a:graphicData uri="http://schemas.openxmlformats.org/drawingml/2006/picture">
                <pic:pic xmlns:pic="http://schemas.openxmlformats.org/drawingml/2006/picture">
                  <pic:nvPicPr>
                    <pic:cNvPr id="89073" name="Picture 89073"/>
                    <pic:cNvPicPr/>
                  </pic:nvPicPr>
                  <pic:blipFill>
                    <a:blip r:embed="rId113"/>
                    <a:stretch>
                      <a:fillRect/>
                    </a:stretch>
                  </pic:blipFill>
                  <pic:spPr>
                    <a:xfrm>
                      <a:off x="0" y="0"/>
                      <a:ext cx="909828" cy="406908"/>
                    </a:xfrm>
                    <a:prstGeom prst="rect">
                      <a:avLst/>
                    </a:prstGeom>
                  </pic:spPr>
                </pic:pic>
              </a:graphicData>
            </a:graphic>
          </wp:inline>
        </w:drawing>
      </w:r>
      <w:r>
        <w:rPr>
          <w:sz w:val="32"/>
        </w:rPr>
        <w:t>I</w:t>
      </w:r>
    </w:p>
    <w:p w14:paraId="67F2506C" w14:textId="77777777" w:rsidR="00053D93" w:rsidRDefault="00260B75">
      <w:pPr>
        <w:spacing w:after="51"/>
        <w:ind w:left="1714" w:right="-14"/>
      </w:pPr>
      <w:r>
        <w:rPr>
          <w:noProof/>
        </w:rPr>
        <mc:AlternateContent>
          <mc:Choice Requires="wpg">
            <w:drawing>
              <wp:inline distT="0" distB="0" distL="0" distR="0" wp14:anchorId="21D556CE" wp14:editId="106FD004">
                <wp:extent cx="5385816" cy="9144"/>
                <wp:effectExtent l="0" t="0" r="0" b="0"/>
                <wp:docPr id="2458146" name="Group 2458146"/>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145" name="Shape 2458145"/>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46" style="width:424.08pt;height:0.719997pt;mso-position-horizontal-relative:char;mso-position-vertical-relative:line" coordsize="53858,91">
                <v:shape id="Shape 2458145" style="position:absolute;width:53858;height:91;left:0;top:0;" coordsize="5385816,9144" path="m0,4572l5385816,4572">
                  <v:stroke weight="0.719997pt" endcap="flat" joinstyle="miter" miterlimit="1" on="true" color="#000000"/>
                  <v:fill on="false" color="#000000"/>
                </v:shape>
              </v:group>
            </w:pict>
          </mc:Fallback>
        </mc:AlternateContent>
      </w:r>
    </w:p>
    <w:p w14:paraId="56041E8B" w14:textId="77777777" w:rsidR="00053D93" w:rsidRDefault="00260B75">
      <w:pPr>
        <w:spacing w:after="318" w:line="247" w:lineRule="auto"/>
        <w:ind w:left="1721" w:right="14" w:firstLine="4"/>
        <w:jc w:val="both"/>
      </w:pPr>
      <w:r>
        <w:rPr>
          <w:sz w:val="26"/>
        </w:rPr>
        <w:t>codicader, para estudiantes con discapacidad, a realizarse en panamá, panamá; a solicitud de [a digef."</w:t>
      </w:r>
    </w:p>
    <w:p w14:paraId="77149621" w14:textId="77777777" w:rsidR="00053D93" w:rsidRDefault="00260B75">
      <w:pPr>
        <w:spacing w:after="298" w:line="247" w:lineRule="auto"/>
        <w:ind w:left="1728" w:right="14" w:firstLine="4"/>
        <w:jc w:val="both"/>
      </w:pPr>
      <w:r>
        <w:rPr>
          <w:sz w:val="26"/>
        </w:rPr>
        <w:t>El oficio DIGEPSA No. 76-2024, la Directora de -DIGEPSA-, Nombramiento para Subdirectora de Análisis y Transferencia Financiera, Dirección General de Participación Comunitaria y Servicios de Apoyo -DIGEPSA-.</w:t>
      </w:r>
    </w:p>
    <w:p w14:paraId="6BD075CF" w14:textId="77777777" w:rsidR="00053D93" w:rsidRDefault="00260B75">
      <w:pPr>
        <w:pStyle w:val="Ttulo1"/>
        <w:spacing w:after="276"/>
        <w:ind w:left="1687" w:right="7"/>
      </w:pPr>
      <w:r>
        <w:t>7. ALCANCE</w:t>
      </w:r>
    </w:p>
    <w:p w14:paraId="37446FED" w14:textId="77777777" w:rsidR="00053D93" w:rsidRDefault="00260B75">
      <w:pPr>
        <w:spacing w:after="339" w:line="248" w:lineRule="auto"/>
        <w:ind w:left="1709" w:hanging="3"/>
        <w:jc w:val="both"/>
      </w:pPr>
      <w:r>
        <w:rPr>
          <w:sz w:val="28"/>
        </w:rPr>
        <w:t>Área financiera</w:t>
      </w:r>
    </w:p>
    <w:p w14:paraId="578695F6" w14:textId="77777777" w:rsidR="00053D93" w:rsidRDefault="00260B75">
      <w:pPr>
        <w:spacing w:after="227" w:line="296" w:lineRule="auto"/>
        <w:ind w:left="14" w:right="14" w:firstLine="1685"/>
        <w:jc w:val="both"/>
      </w:pPr>
      <w:r>
        <w:rPr>
          <w:sz w:val="26"/>
        </w:rPr>
        <w:t xml:space="preserve">Con base a las variaciones de la ejecución presupuestaria de ingresos y egresos, del ejercicio fiscal comprendido del 01 de enero al 31 de diciembre de 2024, se </w:t>
      </w:r>
      <w:r>
        <w:rPr>
          <w:rFonts w:ascii="Times New Roman" w:eastAsia="Times New Roman" w:hAnsi="Times New Roman" w:cs="Times New Roman"/>
          <w:sz w:val="26"/>
        </w:rPr>
        <w:t xml:space="preserve">1 </w:t>
      </w:r>
      <w:r>
        <w:rPr>
          <w:sz w:val="26"/>
        </w:rPr>
        <w:t>aplicaron criterios cuantitativos y cualitativos para la selección de la muestra y se elaboraron [os programas de auditoría, con énfasis principalmente en las cuentas que conforman el área presupuestaria, siendo las siguientes:</w:t>
      </w:r>
    </w:p>
    <w:p w14:paraId="6133E76A" w14:textId="77777777" w:rsidR="00053D93" w:rsidRDefault="00260B75">
      <w:pPr>
        <w:spacing w:after="647" w:line="248" w:lineRule="auto"/>
        <w:ind w:left="1789" w:hanging="3"/>
        <w:jc w:val="both"/>
      </w:pPr>
      <w:r>
        <w:rPr>
          <w:sz w:val="28"/>
        </w:rPr>
        <w:t>Estado de Liquidación Presupuestaria</w:t>
      </w:r>
    </w:p>
    <w:p w14:paraId="1F41C0AD" w14:textId="77777777" w:rsidR="00053D93" w:rsidRDefault="00260B75">
      <w:pPr>
        <w:spacing w:after="76" w:line="396" w:lineRule="auto"/>
        <w:ind w:left="1684" w:right="14" w:hanging="1670"/>
        <w:jc w:val="both"/>
      </w:pPr>
      <w:r>
        <w:rPr>
          <w:noProof/>
        </w:rPr>
        <w:drawing>
          <wp:anchor distT="0" distB="0" distL="114300" distR="114300" simplePos="0" relativeHeight="251710464" behindDoc="0" locked="0" layoutInCell="1" allowOverlap="0" wp14:anchorId="2C8BDF41" wp14:editId="0D008421">
            <wp:simplePos x="0" y="0"/>
            <wp:positionH relativeFrom="page">
              <wp:posOffset>201168</wp:posOffset>
            </wp:positionH>
            <wp:positionV relativeFrom="page">
              <wp:posOffset>9742932</wp:posOffset>
            </wp:positionV>
            <wp:extent cx="4572" cy="13715"/>
            <wp:effectExtent l="0" t="0" r="0" b="0"/>
            <wp:wrapTopAndBottom/>
            <wp:docPr id="92208" name="Picture 92208"/>
            <wp:cNvGraphicFramePr/>
            <a:graphic xmlns:a="http://schemas.openxmlformats.org/drawingml/2006/main">
              <a:graphicData uri="http://schemas.openxmlformats.org/drawingml/2006/picture">
                <pic:pic xmlns:pic="http://schemas.openxmlformats.org/drawingml/2006/picture">
                  <pic:nvPicPr>
                    <pic:cNvPr id="92208" name="Picture 92208"/>
                    <pic:cNvPicPr/>
                  </pic:nvPicPr>
                  <pic:blipFill>
                    <a:blip r:embed="rId114"/>
                    <a:stretch>
                      <a:fillRect/>
                    </a:stretch>
                  </pic:blipFill>
                  <pic:spPr>
                    <a:xfrm>
                      <a:off x="0" y="0"/>
                      <a:ext cx="4572" cy="13715"/>
                    </a:xfrm>
                    <a:prstGeom prst="rect">
                      <a:avLst/>
                    </a:prstGeom>
                  </pic:spPr>
                </pic:pic>
              </a:graphicData>
            </a:graphic>
          </wp:anchor>
        </w:drawing>
      </w:r>
      <w:r>
        <w:rPr>
          <w:rFonts w:ascii="Times New Roman" w:eastAsia="Times New Roman" w:hAnsi="Times New Roman" w:cs="Times New Roman"/>
          <w:sz w:val="26"/>
        </w:rPr>
        <w:t xml:space="preserve">1 </w:t>
      </w:r>
      <w:r>
        <w:rPr>
          <w:sz w:val="26"/>
        </w:rPr>
        <w:t>Ingresos: Se evaluaron 4 Unidades Ejecutoras; las Clases y Rubros de Ingresos, según muestra seleccionada, como se detalla a continuación:</w:t>
      </w:r>
    </w:p>
    <w:p w14:paraId="3889674B" w14:textId="77777777" w:rsidR="00053D93" w:rsidRDefault="00260B75">
      <w:pPr>
        <w:spacing w:after="330" w:line="247" w:lineRule="auto"/>
        <w:ind w:left="1699" w:right="14" w:firstLine="4"/>
        <w:jc w:val="both"/>
      </w:pPr>
      <w:r>
        <w:rPr>
          <w:sz w:val="26"/>
        </w:rPr>
        <w:t xml:space="preserve">De la Clase 1 1000, Rubro 1 1990 Otros Ingresos no Tributarios, correspondiente a la fuente de financiamiento 31 Ingresos propios, según muestra seleccionada, siendo las siguientes: 323 Dirección Departamental de Educación de Guatemala Norte, 324 Dirección Departamental de Educación Guatemala Sur, 325 Dirección </w:t>
      </w:r>
      <w:r>
        <w:rPr>
          <w:sz w:val="26"/>
        </w:rPr>
        <w:lastRenderedPageBreak/>
        <w:t>Departamental de Educación Guatemala Oriente y 326 Dirección Departamental de Educación Guatemala Occidente.</w:t>
      </w:r>
    </w:p>
    <w:p w14:paraId="0A4C75CD" w14:textId="77777777" w:rsidR="00053D93" w:rsidRDefault="00260B75">
      <w:pPr>
        <w:spacing w:after="258" w:line="247" w:lineRule="auto"/>
        <w:ind w:left="1706" w:right="14" w:firstLine="4"/>
        <w:jc w:val="both"/>
      </w:pPr>
      <w:r>
        <w:rPr>
          <w:sz w:val="26"/>
        </w:rPr>
        <w:t>Egresos: Se evaluaron 13 Unidades Ejecutoras; los Programas y Renglones Presupuestarios, según muestra seleccionada, como se detalla a continuación:</w:t>
      </w:r>
    </w:p>
    <w:p w14:paraId="324FECE0" w14:textId="77777777" w:rsidR="00053D93" w:rsidRDefault="00260B75">
      <w:pPr>
        <w:spacing w:after="323" w:line="248" w:lineRule="auto"/>
        <w:ind w:left="1709" w:hanging="3"/>
        <w:jc w:val="both"/>
      </w:pPr>
      <w:r>
        <w:rPr>
          <w:sz w:val="28"/>
        </w:rPr>
        <w:t>Unidad Ejecutora 108 Dirección General de Educación Bilingüe Intercultural -DIGEBI-</w:t>
      </w:r>
    </w:p>
    <w:p w14:paraId="3F3F1814" w14:textId="77777777" w:rsidR="00053D93" w:rsidRDefault="00260B75">
      <w:pPr>
        <w:spacing w:after="17" w:line="247" w:lineRule="auto"/>
        <w:ind w:left="1678" w:right="14" w:firstLine="4"/>
        <w:jc w:val="both"/>
      </w:pPr>
      <w:r>
        <w:rPr>
          <w:sz w:val="26"/>
        </w:rPr>
        <w:t>Programa 05, Actividades Comunes a los Programas de Preprimaria, Primaria y</w:t>
      </w:r>
    </w:p>
    <w:p w14:paraId="728B94C6" w14:textId="77777777" w:rsidR="00053D93" w:rsidRDefault="00260B75">
      <w:pPr>
        <w:spacing w:after="17" w:line="247" w:lineRule="auto"/>
        <w:ind w:left="1678" w:right="14" w:firstLine="4"/>
        <w:jc w:val="both"/>
      </w:pPr>
      <w:r>
        <w:rPr>
          <w:sz w:val="26"/>
        </w:rPr>
        <w:t>Básico y Diversificado (PRG. 11 , 12, 13 y 14), se evaluó lo siguiente: Grupo de Gasto 0 Servicios Personales, los renglones presupuestarios: 01 1 Personal permanente, 015 Complementos específicos al personal permanente, 022 Personal por contrato, 027 Complementos específicos al personal temporal, 071 Aguinaldo y 072 Bonificación anual (Bono 14); del Grupo de Gasto 1 Servicios no</w:t>
      </w:r>
    </w:p>
    <w:p w14:paraId="6FD76424" w14:textId="77777777" w:rsidR="00053D93" w:rsidRDefault="00260B75">
      <w:pPr>
        <w:spacing w:after="17" w:line="247" w:lineRule="auto"/>
        <w:ind w:left="1699" w:right="14" w:firstLine="4"/>
        <w:jc w:val="both"/>
      </w:pPr>
      <w:r>
        <w:rPr>
          <w:sz w:val="26"/>
        </w:rPr>
        <w:t>Personales, los renglones presupuestarios: 133 Viáticos en el interior, 185</w:t>
      </w:r>
    </w:p>
    <w:tbl>
      <w:tblPr>
        <w:tblStyle w:val="TableGrid"/>
        <w:tblW w:w="9418" w:type="dxa"/>
        <w:tblInd w:w="742" w:type="dxa"/>
        <w:tblLook w:val="04A0" w:firstRow="1" w:lastRow="0" w:firstColumn="1" w:lastColumn="0" w:noHBand="0" w:noVBand="1"/>
      </w:tblPr>
      <w:tblGrid>
        <w:gridCol w:w="1285"/>
        <w:gridCol w:w="8146"/>
      </w:tblGrid>
      <w:tr w:rsidR="00053D93" w14:paraId="59C1A012" w14:textId="77777777">
        <w:trPr>
          <w:trHeight w:val="648"/>
        </w:trPr>
        <w:tc>
          <w:tcPr>
            <w:tcW w:w="1784" w:type="dxa"/>
            <w:tcBorders>
              <w:top w:val="nil"/>
              <w:left w:val="nil"/>
              <w:bottom w:val="nil"/>
              <w:right w:val="nil"/>
            </w:tcBorders>
          </w:tcPr>
          <w:p w14:paraId="3529AECB" w14:textId="77777777" w:rsidR="00053D93" w:rsidRDefault="00260B75">
            <w:r>
              <w:rPr>
                <w:noProof/>
              </w:rPr>
              <w:drawing>
                <wp:inline distT="0" distB="0" distL="0" distR="0" wp14:anchorId="67D98C59" wp14:editId="1FEA3289">
                  <wp:extent cx="1120140" cy="411480"/>
                  <wp:effectExtent l="0" t="0" r="0" b="0"/>
                  <wp:docPr id="92298" name="Picture 92298"/>
                  <wp:cNvGraphicFramePr/>
                  <a:graphic xmlns:a="http://schemas.openxmlformats.org/drawingml/2006/main">
                    <a:graphicData uri="http://schemas.openxmlformats.org/drawingml/2006/picture">
                      <pic:pic xmlns:pic="http://schemas.openxmlformats.org/drawingml/2006/picture">
                        <pic:nvPicPr>
                          <pic:cNvPr id="92298" name="Picture 92298"/>
                          <pic:cNvPicPr/>
                        </pic:nvPicPr>
                        <pic:blipFill>
                          <a:blip r:embed="rId115"/>
                          <a:stretch>
                            <a:fillRect/>
                          </a:stretch>
                        </pic:blipFill>
                        <pic:spPr>
                          <a:xfrm>
                            <a:off x="0" y="0"/>
                            <a:ext cx="1120140" cy="411480"/>
                          </a:xfrm>
                          <a:prstGeom prst="rect">
                            <a:avLst/>
                          </a:prstGeom>
                        </pic:spPr>
                      </pic:pic>
                    </a:graphicData>
                  </a:graphic>
                </wp:inline>
              </w:drawing>
            </w:r>
          </w:p>
        </w:tc>
        <w:tc>
          <w:tcPr>
            <w:tcW w:w="7633" w:type="dxa"/>
            <w:tcBorders>
              <w:top w:val="nil"/>
              <w:left w:val="nil"/>
              <w:bottom w:val="nil"/>
              <w:right w:val="nil"/>
            </w:tcBorders>
          </w:tcPr>
          <w:p w14:paraId="1B236303" w14:textId="77777777" w:rsidR="00053D93" w:rsidRDefault="00053D93">
            <w:pPr>
              <w:ind w:left="-2850" w:right="10483"/>
            </w:pPr>
          </w:p>
          <w:tbl>
            <w:tblPr>
              <w:tblStyle w:val="TableGrid"/>
              <w:tblW w:w="7613" w:type="dxa"/>
              <w:tblInd w:w="20" w:type="dxa"/>
              <w:tblCellMar>
                <w:top w:w="31" w:type="dxa"/>
                <w:left w:w="1738" w:type="dxa"/>
                <w:right w:w="115" w:type="dxa"/>
              </w:tblCellMar>
              <w:tblLook w:val="04A0" w:firstRow="1" w:lastRow="0" w:firstColumn="1" w:lastColumn="0" w:noHBand="0" w:noVBand="1"/>
            </w:tblPr>
            <w:tblGrid>
              <w:gridCol w:w="7613"/>
            </w:tblGrid>
            <w:tr w:rsidR="00053D93" w14:paraId="2FA0A783" w14:textId="77777777">
              <w:trPr>
                <w:trHeight w:val="50"/>
              </w:trPr>
              <w:tc>
                <w:tcPr>
                  <w:tcW w:w="7613" w:type="dxa"/>
                  <w:tcBorders>
                    <w:top w:val="nil"/>
                    <w:left w:val="single" w:sz="2" w:space="0" w:color="000000"/>
                    <w:bottom w:val="single" w:sz="2" w:space="0" w:color="000000"/>
                    <w:right w:val="nil"/>
                  </w:tcBorders>
                </w:tcPr>
                <w:p w14:paraId="379A2595" w14:textId="77777777" w:rsidR="00053D93" w:rsidRDefault="00053D93"/>
              </w:tc>
            </w:tr>
            <w:tr w:rsidR="00053D93" w14:paraId="310BC73C" w14:textId="77777777">
              <w:trPr>
                <w:trHeight w:val="590"/>
              </w:trPr>
              <w:tc>
                <w:tcPr>
                  <w:tcW w:w="7613" w:type="dxa"/>
                  <w:tcBorders>
                    <w:top w:val="single" w:sz="2" w:space="0" w:color="000000"/>
                    <w:left w:val="single" w:sz="2" w:space="0" w:color="000000"/>
                    <w:bottom w:val="nil"/>
                    <w:right w:val="nil"/>
                  </w:tcBorders>
                </w:tcPr>
                <w:p w14:paraId="41471306" w14:textId="77777777" w:rsidR="00053D93" w:rsidRDefault="00260B75">
                  <w:pPr>
                    <w:ind w:left="835"/>
                  </w:pPr>
                  <w:r>
                    <w:rPr>
                      <w:sz w:val="14"/>
                    </w:rPr>
                    <w:t>MINISTERIO DE EDUCACION</w:t>
                  </w:r>
                </w:p>
                <w:p w14:paraId="5EB19D20" w14:textId="77777777" w:rsidR="00053D93" w:rsidRDefault="00260B75">
                  <w:pPr>
                    <w:ind w:left="338"/>
                  </w:pPr>
                  <w:r>
                    <w:rPr>
                      <w:sz w:val="14"/>
                    </w:rPr>
                    <w:t>AUDITORIA FINANCIERA Y OE CUMPLIMIENTO</w:t>
                  </w:r>
                </w:p>
                <w:p w14:paraId="5EE5CD8F" w14:textId="77777777" w:rsidR="00053D93" w:rsidRDefault="00260B75">
                  <w:r>
                    <w:rPr>
                      <w:sz w:val="14"/>
                    </w:rPr>
                    <w:t>PERIODO DEL 01 DE ENERO AL 31 DE DICIEMBRE DE 2024</w:t>
                  </w:r>
                </w:p>
              </w:tc>
            </w:tr>
          </w:tbl>
          <w:p w14:paraId="2BE70BEF" w14:textId="77777777" w:rsidR="00053D93" w:rsidRDefault="00053D93"/>
        </w:tc>
      </w:tr>
    </w:tbl>
    <w:p w14:paraId="7426C0FB" w14:textId="77777777" w:rsidR="00053D93" w:rsidRDefault="00260B75">
      <w:pPr>
        <w:tabs>
          <w:tab w:val="center" w:pos="6293"/>
        </w:tabs>
        <w:spacing w:after="3" w:line="265" w:lineRule="auto"/>
      </w:pPr>
      <w:r>
        <w:rPr>
          <w:sz w:val="16"/>
        </w:rPr>
        <w:t>i</w:t>
      </w:r>
      <w:r>
        <w:rPr>
          <w:sz w:val="16"/>
        </w:rPr>
        <w:tab/>
      </w:r>
      <w:r>
        <w:rPr>
          <w:rFonts w:ascii="Times New Roman" w:eastAsia="Times New Roman" w:hAnsi="Times New Roman" w:cs="Times New Roman"/>
          <w:sz w:val="16"/>
        </w:rPr>
        <w:t xml:space="preserve">15 </w:t>
      </w:r>
      <w:r>
        <w:rPr>
          <w:sz w:val="16"/>
        </w:rPr>
        <w:t xml:space="preserve">ORECCIÓN </w:t>
      </w:r>
    </w:p>
    <w:p w14:paraId="0DC65359" w14:textId="77777777" w:rsidR="00053D93" w:rsidRDefault="00260B75">
      <w:pPr>
        <w:spacing w:after="46"/>
        <w:ind w:left="1685"/>
      </w:pPr>
      <w:r>
        <w:rPr>
          <w:noProof/>
        </w:rPr>
        <mc:AlternateContent>
          <mc:Choice Requires="wpg">
            <w:drawing>
              <wp:inline distT="0" distB="0" distL="0" distR="0" wp14:anchorId="76A18370" wp14:editId="2D3C5F71">
                <wp:extent cx="5376672" cy="9144"/>
                <wp:effectExtent l="0" t="0" r="0" b="0"/>
                <wp:docPr id="2458148" name="Group 2458148"/>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147" name="Shape 2458147"/>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48" style="width:423.36pt;height:0.719997pt;mso-position-horizontal-relative:char;mso-position-vertical-relative:line" coordsize="53766,91">
                <v:shape id="Shape 2458147" style="position:absolute;width:53766;height:91;left:0;top:0;" coordsize="5376672,9144" path="m0,4572l5376672,4572">
                  <v:stroke weight="0.719997pt" endcap="flat" joinstyle="miter" miterlimit="1" on="true" color="#000000"/>
                  <v:fill on="false" color="#000000"/>
                </v:shape>
              </v:group>
            </w:pict>
          </mc:Fallback>
        </mc:AlternateContent>
      </w:r>
    </w:p>
    <w:p w14:paraId="0C78420B" w14:textId="77777777" w:rsidR="00053D93" w:rsidRDefault="00260B75">
      <w:pPr>
        <w:spacing w:after="323" w:line="247" w:lineRule="auto"/>
        <w:ind w:left="14" w:right="14" w:firstLine="4"/>
        <w:jc w:val="both"/>
      </w:pPr>
      <w:r>
        <w:rPr>
          <w:noProof/>
        </w:rPr>
        <w:lastRenderedPageBreak/>
        <mc:AlternateContent>
          <mc:Choice Requires="wpg">
            <w:drawing>
              <wp:anchor distT="0" distB="0" distL="114300" distR="114300" simplePos="0" relativeHeight="251711488" behindDoc="0" locked="0" layoutInCell="1" allowOverlap="1" wp14:anchorId="0026405B" wp14:editId="567F8F6A">
                <wp:simplePos x="0" y="0"/>
                <wp:positionH relativeFrom="column">
                  <wp:posOffset>9144</wp:posOffset>
                </wp:positionH>
                <wp:positionV relativeFrom="paragraph">
                  <wp:posOffset>2689</wp:posOffset>
                </wp:positionV>
                <wp:extent cx="128016" cy="402336"/>
                <wp:effectExtent l="0" t="0" r="0" b="0"/>
                <wp:wrapSquare wrapText="bothSides"/>
                <wp:docPr id="2454364" name="Group 2454364"/>
                <wp:cNvGraphicFramePr/>
                <a:graphic xmlns:a="http://schemas.openxmlformats.org/drawingml/2006/main">
                  <a:graphicData uri="http://schemas.microsoft.com/office/word/2010/wordprocessingGroup">
                    <wpg:wgp>
                      <wpg:cNvGrpSpPr/>
                      <wpg:grpSpPr>
                        <a:xfrm>
                          <a:off x="0" y="0"/>
                          <a:ext cx="128016" cy="402336"/>
                          <a:chOff x="0" y="0"/>
                          <a:chExt cx="128016" cy="402336"/>
                        </a:xfrm>
                      </wpg:grpSpPr>
                      <wps:wsp>
                        <wps:cNvPr id="92770" name="Rectangle 92770"/>
                        <wps:cNvSpPr/>
                        <wps:spPr>
                          <a:xfrm>
                            <a:off x="0" y="0"/>
                            <a:ext cx="170261" cy="535107"/>
                          </a:xfrm>
                          <a:prstGeom prst="rect">
                            <a:avLst/>
                          </a:prstGeom>
                          <a:ln>
                            <a:noFill/>
                          </a:ln>
                        </wps:spPr>
                        <wps:txbx>
                          <w:txbxContent>
                            <w:p w14:paraId="162B693B" w14:textId="77777777" w:rsidR="00053D93" w:rsidRDefault="00260B75">
                              <w:r>
                                <w:rPr>
                                  <w:sz w:val="264"/>
                                </w:rPr>
                                <w:t>i</w:t>
                              </w:r>
                            </w:p>
                          </w:txbxContent>
                        </wps:txbx>
                        <wps:bodyPr horzOverflow="overflow" vert="horz" lIns="0" tIns="0" rIns="0" bIns="0" rtlCol="0">
                          <a:noAutofit/>
                        </wps:bodyPr>
                      </wps:wsp>
                    </wpg:wgp>
                  </a:graphicData>
                </a:graphic>
              </wp:anchor>
            </w:drawing>
          </mc:Choice>
          <mc:Fallback>
            <w:pict>
              <v:group w14:anchorId="0026405B" id="Group 2454364" o:spid="_x0000_s1132" style="position:absolute;left:0;text-align:left;margin-left:.7pt;margin-top:.2pt;width:10.1pt;height:31.7pt;z-index:251711488;mso-position-horizontal-relative:text;mso-position-vertical-relative:text" coordsize="128016,40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">
                <v:rect id="Rectangle 92770" o:spid="_x0000_s1133" style="position:absolute;width:170261;height:53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" filled="f" stroked="f">
                  <v:textbox inset="0,0,0,0">
                    <w:txbxContent>
                      <w:p w14:paraId="162B693B" w14:textId="77777777" w:rsidR="00053D93" w:rsidRDefault="00260B75">
                        <w:r>
                          <w:rPr>
                            <w:sz w:val="264"/>
                          </w:rPr>
                          <w:t>i</w:t>
                        </w:r>
                      </w:p>
                    </w:txbxContent>
                  </v:textbox>
                </v:rect>
                <w10:wrap type="square"/>
              </v:group>
            </w:pict>
          </mc:Fallback>
        </mc:AlternateContent>
      </w:r>
      <w:r>
        <w:rPr>
          <w:noProof/>
        </w:rPr>
        <mc:AlternateContent>
          <mc:Choice Requires="wpg">
            <w:drawing>
              <wp:anchor distT="0" distB="0" distL="114300" distR="114300" simplePos="0" relativeHeight="251712512" behindDoc="0" locked="0" layoutInCell="1" allowOverlap="1" wp14:anchorId="76ADC3BA" wp14:editId="033AA638">
                <wp:simplePos x="0" y="0"/>
                <wp:positionH relativeFrom="column">
                  <wp:posOffset>13716</wp:posOffset>
                </wp:positionH>
                <wp:positionV relativeFrom="paragraph">
                  <wp:posOffset>523897</wp:posOffset>
                </wp:positionV>
                <wp:extent cx="128016" cy="397764"/>
                <wp:effectExtent l="0" t="0" r="0" b="0"/>
                <wp:wrapSquare wrapText="bothSides"/>
                <wp:docPr id="2454365" name="Group 2454365"/>
                <wp:cNvGraphicFramePr/>
                <a:graphic xmlns:a="http://schemas.openxmlformats.org/drawingml/2006/main">
                  <a:graphicData uri="http://schemas.microsoft.com/office/word/2010/wordprocessingGroup">
                    <wpg:wgp>
                      <wpg:cNvGrpSpPr/>
                      <wpg:grpSpPr>
                        <a:xfrm>
                          <a:off x="0" y="0"/>
                          <a:ext cx="128016" cy="397764"/>
                          <a:chOff x="0" y="0"/>
                          <a:chExt cx="128016" cy="397764"/>
                        </a:xfrm>
                      </wpg:grpSpPr>
                      <wps:wsp>
                        <wps:cNvPr id="92771" name="Rectangle 92771"/>
                        <wps:cNvSpPr/>
                        <wps:spPr>
                          <a:xfrm>
                            <a:off x="0" y="0"/>
                            <a:ext cx="170261" cy="529026"/>
                          </a:xfrm>
                          <a:prstGeom prst="rect">
                            <a:avLst/>
                          </a:prstGeom>
                          <a:ln>
                            <a:noFill/>
                          </a:ln>
                        </wps:spPr>
                        <wps:txbx>
                          <w:txbxContent>
                            <w:p w14:paraId="723B76BE" w14:textId="77777777" w:rsidR="00053D93" w:rsidRDefault="00260B75">
                              <w:r>
                                <w:rPr>
                                  <w:rFonts w:ascii="Times New Roman" w:eastAsia="Times New Roman" w:hAnsi="Times New Roman" w:cs="Times New Roman"/>
                                  <w:sz w:val="90"/>
                                </w:rPr>
                                <w:t>i</w:t>
                              </w:r>
                            </w:p>
                          </w:txbxContent>
                        </wps:txbx>
                        <wps:bodyPr horzOverflow="overflow" vert="horz" lIns="0" tIns="0" rIns="0" bIns="0" rtlCol="0">
                          <a:noAutofit/>
                        </wps:bodyPr>
                      </wps:wsp>
                    </wpg:wgp>
                  </a:graphicData>
                </a:graphic>
              </wp:anchor>
            </w:drawing>
          </mc:Choice>
          <mc:Fallback>
            <w:pict>
              <v:group w14:anchorId="76ADC3BA" id="Group 2454365" o:spid="_x0000_s1134" style="position:absolute;left:0;text-align:left;margin-left:1.1pt;margin-top:41.25pt;width:10.1pt;height:31.3pt;z-index:251712512;mso-position-horizontal-relative:text;mso-position-vertical-relative:text" coordsize="128016,397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">
                <v:rect id="Rectangle 92771" o:spid="_x0000_s1135" style="position:absolute;width:170261;height:529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" filled="f" stroked="f">
                  <v:textbox inset="0,0,0,0">
                    <w:txbxContent>
                      <w:p w14:paraId="723B76BE" w14:textId="77777777" w:rsidR="00053D93" w:rsidRDefault="00260B75">
                        <w:r>
                          <w:rPr>
                            <w:rFonts w:ascii="Times New Roman" w:eastAsia="Times New Roman" w:hAnsi="Times New Roman" w:cs="Times New Roman"/>
                            <w:sz w:val="90"/>
                          </w:rPr>
                          <w:t>i</w:t>
                        </w:r>
                      </w:p>
                    </w:txbxContent>
                  </v:textbox>
                </v:rect>
                <w10:wrap type="square"/>
              </v:group>
            </w:pict>
          </mc:Fallback>
        </mc:AlternateContent>
      </w:r>
      <w:r>
        <w:rPr>
          <w:noProof/>
        </w:rPr>
        <w:drawing>
          <wp:anchor distT="0" distB="0" distL="114300" distR="114300" simplePos="0" relativeHeight="251713536" behindDoc="0" locked="0" layoutInCell="1" allowOverlap="0" wp14:anchorId="7C075854" wp14:editId="40D4923E">
            <wp:simplePos x="0" y="0"/>
            <wp:positionH relativeFrom="column">
              <wp:posOffset>-82295</wp:posOffset>
            </wp:positionH>
            <wp:positionV relativeFrom="paragraph">
              <wp:posOffset>1045105</wp:posOffset>
            </wp:positionV>
            <wp:extent cx="233172" cy="4146804"/>
            <wp:effectExtent l="0" t="0" r="0" b="0"/>
            <wp:wrapSquare wrapText="bothSides"/>
            <wp:docPr id="95613" name="Picture 95613"/>
            <wp:cNvGraphicFramePr/>
            <a:graphic xmlns:a="http://schemas.openxmlformats.org/drawingml/2006/main">
              <a:graphicData uri="http://schemas.openxmlformats.org/drawingml/2006/picture">
                <pic:pic xmlns:pic="http://schemas.openxmlformats.org/drawingml/2006/picture">
                  <pic:nvPicPr>
                    <pic:cNvPr id="95613" name="Picture 95613"/>
                    <pic:cNvPicPr/>
                  </pic:nvPicPr>
                  <pic:blipFill>
                    <a:blip r:embed="rId116"/>
                    <a:stretch>
                      <a:fillRect/>
                    </a:stretch>
                  </pic:blipFill>
                  <pic:spPr>
                    <a:xfrm>
                      <a:off x="0" y="0"/>
                      <a:ext cx="233172" cy="4146804"/>
                    </a:xfrm>
                    <a:prstGeom prst="rect">
                      <a:avLst/>
                    </a:prstGeom>
                  </pic:spPr>
                </pic:pic>
              </a:graphicData>
            </a:graphic>
          </wp:anchor>
        </w:drawing>
      </w:r>
      <w:r>
        <w:rPr>
          <w:sz w:val="26"/>
        </w:rPr>
        <w:t>Servicios de Capacitación, 189 Otros estudios y/o servicios y 191 Primas y gastos de seguros y fianzas; del Grupo de Gasto 2 Materiales y Suministros, los renglones presupuestarios: 21 1 Alimentos para personas, 262 Combustibles y lubricantes, 267 Tintes, pinturas y colorantes y 291 Útiles de oficina; del Grupo de Gasto 3 Propiedad, Planta, Equipo e Intangibles, los renglones presupuestarios: 322 Mobiliario y equipo de oficina y 328 Equipo de cómputo.</w:t>
      </w:r>
    </w:p>
    <w:p w14:paraId="7C8A691F" w14:textId="77777777" w:rsidR="00053D93" w:rsidRDefault="00260B75">
      <w:pPr>
        <w:spacing w:after="303" w:line="247" w:lineRule="auto"/>
        <w:ind w:left="14" w:right="14" w:firstLine="4"/>
        <w:jc w:val="both"/>
      </w:pPr>
      <w:r>
        <w:rPr>
          <w:sz w:val="26"/>
        </w:rPr>
        <w:t>Programa 1 1 , Educación Escolar de Preprimaria, se evaluó Io siguiente: Grupo de Gasto 1 Servicios no Personales, el renglón presupuestario: 185 Servicios de Capacitación.</w:t>
      </w:r>
    </w:p>
    <w:p w14:paraId="64EFD540" w14:textId="77777777" w:rsidR="00053D93" w:rsidRDefault="00260B75">
      <w:pPr>
        <w:spacing w:after="314" w:line="247" w:lineRule="auto"/>
        <w:ind w:left="14" w:right="14" w:firstLine="4"/>
        <w:jc w:val="both"/>
      </w:pPr>
      <w:r>
        <w:rPr>
          <w:sz w:val="26"/>
        </w:rPr>
        <w:t>Programa 12, Educación Escolar de Primaria, se evaluó lo siguiente: Grupo de Gasto 1 Servicios no Personales, los renglones presupuestarios: 185 Servicios de Capacitación y 189 Otros estudios y/o servicios; del Grupo de Gasto 2 Materiales y</w:t>
      </w:r>
    </w:p>
    <w:p w14:paraId="5FD4F65A" w14:textId="77777777" w:rsidR="00053D93" w:rsidRDefault="00260B75">
      <w:pPr>
        <w:spacing w:after="314" w:line="247" w:lineRule="auto"/>
        <w:ind w:left="14" w:right="14" w:firstLine="4"/>
        <w:jc w:val="both"/>
      </w:pPr>
      <w:r>
        <w:rPr>
          <w:sz w:val="26"/>
        </w:rPr>
        <w:t>Suministros, el renglón presupuestario: 21 1 Alimentos para personas.</w:t>
      </w:r>
    </w:p>
    <w:p w14:paraId="07FBCF70" w14:textId="77777777" w:rsidR="00053D93" w:rsidRDefault="00260B75">
      <w:pPr>
        <w:spacing w:after="286" w:line="247" w:lineRule="auto"/>
        <w:ind w:left="14" w:right="14" w:firstLine="4"/>
        <w:jc w:val="both"/>
      </w:pPr>
      <w:r>
        <w:rPr>
          <w:sz w:val="26"/>
        </w:rPr>
        <w:t>Programa 13, Educación Escolar de Básica, se evaluó lo siguiente: Grupo de Gasto 4 Transferencias Corrientes, el renglón presupuestario: 416 Becas de estudio en el interior.</w:t>
      </w:r>
    </w:p>
    <w:p w14:paraId="6251AF03" w14:textId="77777777" w:rsidR="00053D93" w:rsidRDefault="00260B75">
      <w:pPr>
        <w:spacing w:after="343" w:line="247" w:lineRule="auto"/>
        <w:ind w:left="14" w:right="14" w:firstLine="4"/>
        <w:jc w:val="both"/>
      </w:pPr>
      <w:r>
        <w:rPr>
          <w:noProof/>
        </w:rPr>
        <w:drawing>
          <wp:anchor distT="0" distB="0" distL="114300" distR="114300" simplePos="0" relativeHeight="251714560" behindDoc="0" locked="0" layoutInCell="1" allowOverlap="0" wp14:anchorId="35FB2B84" wp14:editId="7FC13C5E">
            <wp:simplePos x="0" y="0"/>
            <wp:positionH relativeFrom="page">
              <wp:posOffset>7063741</wp:posOffset>
            </wp:positionH>
            <wp:positionV relativeFrom="page">
              <wp:posOffset>4073652</wp:posOffset>
            </wp:positionV>
            <wp:extent cx="9144" cy="9144"/>
            <wp:effectExtent l="0" t="0" r="0" b="0"/>
            <wp:wrapSquare wrapText="bothSides"/>
            <wp:docPr id="95552" name="Picture 95552"/>
            <wp:cNvGraphicFramePr/>
            <a:graphic xmlns:a="http://schemas.openxmlformats.org/drawingml/2006/main">
              <a:graphicData uri="http://schemas.openxmlformats.org/drawingml/2006/picture">
                <pic:pic xmlns:pic="http://schemas.openxmlformats.org/drawingml/2006/picture">
                  <pic:nvPicPr>
                    <pic:cNvPr id="95552" name="Picture 95552"/>
                    <pic:cNvPicPr/>
                  </pic:nvPicPr>
                  <pic:blipFill>
                    <a:blip r:embed="rId117"/>
                    <a:stretch>
                      <a:fillRect/>
                    </a:stretch>
                  </pic:blipFill>
                  <pic:spPr>
                    <a:xfrm>
                      <a:off x="0" y="0"/>
                      <a:ext cx="9144" cy="9144"/>
                    </a:xfrm>
                    <a:prstGeom prst="rect">
                      <a:avLst/>
                    </a:prstGeom>
                  </pic:spPr>
                </pic:pic>
              </a:graphicData>
            </a:graphic>
          </wp:anchor>
        </w:drawing>
      </w:r>
      <w:r>
        <w:rPr>
          <w:sz w:val="26"/>
        </w:rPr>
        <w:t>Programa 14, Educación Escolar de Diversificada, se evaluó lo siguiente: Grupo de Gasto 1 Servicios no Personales, los renglones presupuestarios: 185 Servicios de Capacitación y 189 Otros estudios y/o servicios; del Grupo de Gasto 4 Transferencias Corrientes, el renglón presupuestario: 416 Becas de estudio en el interior.</w:t>
      </w:r>
    </w:p>
    <w:p w14:paraId="72B3F02F" w14:textId="77777777" w:rsidR="00053D93" w:rsidRDefault="00260B75">
      <w:pPr>
        <w:spacing w:after="17" w:line="247" w:lineRule="auto"/>
        <w:ind w:left="14" w:right="14" w:firstLine="1469"/>
        <w:jc w:val="both"/>
      </w:pPr>
      <w:r>
        <w:rPr>
          <w:sz w:val="26"/>
        </w:rPr>
        <w:t xml:space="preserve">Durante la Auditoría Financiera y de Cumplimiento, fue evaluado el Grupo de </w:t>
      </w:r>
      <w:r>
        <w:rPr>
          <w:rFonts w:ascii="Times New Roman" w:eastAsia="Times New Roman" w:hAnsi="Times New Roman" w:cs="Times New Roman"/>
          <w:sz w:val="26"/>
        </w:rPr>
        <w:t xml:space="preserve">1 </w:t>
      </w:r>
      <w:r>
        <w:rPr>
          <w:sz w:val="26"/>
        </w:rPr>
        <w:t>Gasto 0 Servicios Personales, en la primera fase de la auditoría, la cual comprendió del 01 de enero al 31 de julio de 2024, con excepción del renglón presupuestario 021 Personal supernumerario, el cual fue evaluado al 31 de diciembre de 2024; en virtud que, se examinaron los procesos y no se identificaron riesgos ni debilidades significativas, que pudieran incidir en los resultados i operativos, administrativos, presupuestarios y/o financieros de la entidad.</w:t>
      </w:r>
    </w:p>
    <w:p w14:paraId="7C124311" w14:textId="77777777" w:rsidR="00053D93" w:rsidRDefault="00260B75">
      <w:pPr>
        <w:spacing w:after="18" w:line="248" w:lineRule="auto"/>
        <w:ind w:left="1709" w:hanging="3"/>
        <w:jc w:val="both"/>
      </w:pPr>
      <w:r>
        <w:rPr>
          <w:sz w:val="28"/>
        </w:rPr>
        <w:t>Unidad Ejecutora 109 Dirección General de Educación Física -DIGEF-</w:t>
      </w:r>
    </w:p>
    <w:p w14:paraId="63A3D717" w14:textId="77777777" w:rsidR="00053D93" w:rsidRDefault="00260B75">
      <w:pPr>
        <w:spacing w:after="17" w:line="247" w:lineRule="auto"/>
        <w:ind w:left="14" w:right="14" w:firstLine="4"/>
        <w:jc w:val="both"/>
      </w:pPr>
      <w:r>
        <w:rPr>
          <w:noProof/>
        </w:rPr>
        <mc:AlternateContent>
          <mc:Choice Requires="wpg">
            <w:drawing>
              <wp:anchor distT="0" distB="0" distL="114300" distR="114300" simplePos="0" relativeHeight="251715584" behindDoc="0" locked="0" layoutInCell="1" allowOverlap="1" wp14:anchorId="3335E50D" wp14:editId="35A0E3CA">
                <wp:simplePos x="0" y="0"/>
                <wp:positionH relativeFrom="column">
                  <wp:posOffset>4572</wp:posOffset>
                </wp:positionH>
                <wp:positionV relativeFrom="paragraph">
                  <wp:posOffset>516636</wp:posOffset>
                </wp:positionV>
                <wp:extent cx="146304" cy="379476"/>
                <wp:effectExtent l="0" t="0" r="0" b="0"/>
                <wp:wrapSquare wrapText="bothSides"/>
                <wp:docPr id="2454367" name="Group 2454367"/>
                <wp:cNvGraphicFramePr/>
                <a:graphic xmlns:a="http://schemas.openxmlformats.org/drawingml/2006/main">
                  <a:graphicData uri="http://schemas.microsoft.com/office/word/2010/wordprocessingGroup">
                    <wpg:wgp>
                      <wpg:cNvGrpSpPr/>
                      <wpg:grpSpPr>
                        <a:xfrm>
                          <a:off x="0" y="0"/>
                          <a:ext cx="146304" cy="379476"/>
                          <a:chOff x="0" y="0"/>
                          <a:chExt cx="146304" cy="379476"/>
                        </a:xfrm>
                      </wpg:grpSpPr>
                      <wps:wsp>
                        <wps:cNvPr id="92775" name="Rectangle 92775"/>
                        <wps:cNvSpPr/>
                        <wps:spPr>
                          <a:xfrm>
                            <a:off x="0" y="0"/>
                            <a:ext cx="194584" cy="504703"/>
                          </a:xfrm>
                          <a:prstGeom prst="rect">
                            <a:avLst/>
                          </a:prstGeom>
                          <a:ln>
                            <a:noFill/>
                          </a:ln>
                        </wps:spPr>
                        <wps:txbx>
                          <w:txbxContent>
                            <w:p w14:paraId="3F7D39C0" w14:textId="77777777" w:rsidR="00053D93" w:rsidRDefault="00260B75">
                              <w:r>
                                <w:rPr>
                                  <w:sz w:val="302"/>
                                </w:rPr>
                                <w:t>i</w:t>
                              </w:r>
                            </w:p>
                          </w:txbxContent>
                        </wps:txbx>
                        <wps:bodyPr horzOverflow="overflow" vert="horz" lIns="0" tIns="0" rIns="0" bIns="0" rtlCol="0">
                          <a:noAutofit/>
                        </wps:bodyPr>
                      </wps:wsp>
                    </wpg:wgp>
                  </a:graphicData>
                </a:graphic>
              </wp:anchor>
            </w:drawing>
          </mc:Choice>
          <mc:Fallback>
            <w:pict>
              <v:group w14:anchorId="3335E50D" id="Group 2454367" o:spid="_x0000_s1136" style="position:absolute;left:0;text-align:left;margin-left:.35pt;margin-top:40.7pt;width:11.5pt;height:29.9pt;z-index:251715584;mso-position-horizontal-relative:text;mso-position-vertical-relative:text" coordsize="146304,3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">
                <v:rect id="Rectangle 92775" o:spid="_x0000_s1137" style="position:absolute;width:194584;height:504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" filled="f" stroked="f">
                  <v:textbox inset="0,0,0,0">
                    <w:txbxContent>
                      <w:p w14:paraId="3F7D39C0" w14:textId="77777777" w:rsidR="00053D93" w:rsidRDefault="00260B75">
                        <w:r>
                          <w:rPr>
                            <w:sz w:val="302"/>
                          </w:rPr>
                          <w:t>i</w:t>
                        </w:r>
                      </w:p>
                    </w:txbxContent>
                  </v:textbox>
                </v:rect>
                <w10:wrap type="square"/>
              </v:group>
            </w:pict>
          </mc:Fallback>
        </mc:AlternateContent>
      </w:r>
      <w:r>
        <w:rPr>
          <w:noProof/>
        </w:rPr>
        <mc:AlternateContent>
          <mc:Choice Requires="wpg">
            <w:drawing>
              <wp:inline distT="0" distB="0" distL="0" distR="0" wp14:anchorId="784F7B78" wp14:editId="1C40A88D">
                <wp:extent cx="146304" cy="379476"/>
                <wp:effectExtent l="0" t="0" r="0" b="0"/>
                <wp:docPr id="2454366" name="Group 2454366"/>
                <wp:cNvGraphicFramePr/>
                <a:graphic xmlns:a="http://schemas.openxmlformats.org/drawingml/2006/main">
                  <a:graphicData uri="http://schemas.microsoft.com/office/word/2010/wordprocessingGroup">
                    <wpg:wgp>
                      <wpg:cNvGrpSpPr/>
                      <wpg:grpSpPr>
                        <a:xfrm>
                          <a:off x="0" y="0"/>
                          <a:ext cx="146304" cy="379476"/>
                          <a:chOff x="0" y="0"/>
                          <a:chExt cx="146304" cy="379476"/>
                        </a:xfrm>
                      </wpg:grpSpPr>
                      <wps:wsp>
                        <wps:cNvPr id="92774" name="Rectangle 92774"/>
                        <wps:cNvSpPr/>
                        <wps:spPr>
                          <a:xfrm>
                            <a:off x="0" y="0"/>
                            <a:ext cx="194584" cy="504703"/>
                          </a:xfrm>
                          <a:prstGeom prst="rect">
                            <a:avLst/>
                          </a:prstGeom>
                          <a:ln>
                            <a:noFill/>
                          </a:ln>
                        </wps:spPr>
                        <wps:txbx>
                          <w:txbxContent>
                            <w:p w14:paraId="7C6ADDB2" w14:textId="77777777" w:rsidR="00053D93" w:rsidRDefault="00260B75">
                              <w:r>
                                <w:rPr>
                                  <w:sz w:val="302"/>
                                </w:rPr>
                                <w:t>i</w:t>
                              </w:r>
                            </w:p>
                          </w:txbxContent>
                        </wps:txbx>
                        <wps:bodyPr horzOverflow="overflow" vert="horz" lIns="0" tIns="0" rIns="0" bIns="0" rtlCol="0">
                          <a:noAutofit/>
                        </wps:bodyPr>
                      </wps:wsp>
                    </wpg:wgp>
                  </a:graphicData>
                </a:graphic>
              </wp:inline>
            </w:drawing>
          </mc:Choice>
          <mc:Fallback>
            <w:pict>
              <v:group w14:anchorId="784F7B78" id="Group 2454366" o:spid="_x0000_s1138" style="width:11.5pt;height:29.9pt;mso-position-horizontal-relative:char;mso-position-vertical-relative:line" coordsize="146304,3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">
                <v:rect id="Rectangle 92774" o:spid="_x0000_s1139" style="position:absolute;width:194584;height:504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" filled="f" stroked="f">
                  <v:textbox inset="0,0,0,0">
                    <w:txbxContent>
                      <w:p w14:paraId="7C6ADDB2" w14:textId="77777777" w:rsidR="00053D93" w:rsidRDefault="00260B75">
                        <w:r>
                          <w:rPr>
                            <w:sz w:val="302"/>
                          </w:rPr>
                          <w:t>i</w:t>
                        </w:r>
                      </w:p>
                    </w:txbxContent>
                  </v:textbox>
                </v:rect>
                <w10:anchorlock/>
              </v:group>
            </w:pict>
          </mc:Fallback>
        </mc:AlternateContent>
      </w:r>
      <w:r>
        <w:rPr>
          <w:sz w:val="26"/>
        </w:rPr>
        <w:t xml:space="preserve"> Del Programa 03 Actividades Comunes a "os Programas de Preprimaria y Primaria (PRG. 1 1 y 12), se evaluó lo siguiente: Grupo de Gasto 0 Servicios Personales, los renglones presupuestarios: 01 1 Personal permanente, 015 Complementos específicos al personal permanente, 017 Derechos escalafonarios, i 071 Aguinaldo y 072 Bonificación anual (Bono 14).</w:t>
      </w:r>
    </w:p>
    <w:p w14:paraId="1F7F6732" w14:textId="77777777" w:rsidR="00053D93" w:rsidRDefault="00260B75">
      <w:pPr>
        <w:spacing w:after="17" w:line="247" w:lineRule="auto"/>
        <w:ind w:left="1706" w:right="14" w:firstLine="4"/>
        <w:jc w:val="both"/>
      </w:pPr>
      <w:r>
        <w:rPr>
          <w:sz w:val="26"/>
        </w:rPr>
        <w:t>Del Programa 04 Actividades Comunes a los Programas de Primaria, Básico y</w:t>
      </w:r>
    </w:p>
    <w:tbl>
      <w:tblPr>
        <w:tblStyle w:val="TableGrid"/>
        <w:tblW w:w="9410" w:type="dxa"/>
        <w:tblInd w:w="749" w:type="dxa"/>
        <w:tblLook w:val="04A0" w:firstRow="1" w:lastRow="0" w:firstColumn="1" w:lastColumn="0" w:noHBand="0" w:noVBand="1"/>
      </w:tblPr>
      <w:tblGrid>
        <w:gridCol w:w="1284"/>
        <w:gridCol w:w="8140"/>
      </w:tblGrid>
      <w:tr w:rsidR="00053D93" w14:paraId="0598C159" w14:textId="77777777">
        <w:trPr>
          <w:trHeight w:val="641"/>
        </w:trPr>
        <w:tc>
          <w:tcPr>
            <w:tcW w:w="1782" w:type="dxa"/>
            <w:tcBorders>
              <w:top w:val="nil"/>
              <w:left w:val="nil"/>
              <w:bottom w:val="nil"/>
              <w:right w:val="nil"/>
            </w:tcBorders>
          </w:tcPr>
          <w:p w14:paraId="75A6BAD5" w14:textId="77777777" w:rsidR="00053D93" w:rsidRDefault="00260B75">
            <w:r>
              <w:rPr>
                <w:noProof/>
              </w:rPr>
              <w:drawing>
                <wp:inline distT="0" distB="0" distL="0" distR="0" wp14:anchorId="778EE9BC" wp14:editId="40A9BA32">
                  <wp:extent cx="1120140" cy="406908"/>
                  <wp:effectExtent l="0" t="0" r="0" b="0"/>
                  <wp:docPr id="95614" name="Picture 95614"/>
                  <wp:cNvGraphicFramePr/>
                  <a:graphic xmlns:a="http://schemas.openxmlformats.org/drawingml/2006/main">
                    <a:graphicData uri="http://schemas.openxmlformats.org/drawingml/2006/picture">
                      <pic:pic xmlns:pic="http://schemas.openxmlformats.org/drawingml/2006/picture">
                        <pic:nvPicPr>
                          <pic:cNvPr id="95614" name="Picture 95614"/>
                          <pic:cNvPicPr/>
                        </pic:nvPicPr>
                        <pic:blipFill>
                          <a:blip r:embed="rId118"/>
                          <a:stretch>
                            <a:fillRect/>
                          </a:stretch>
                        </pic:blipFill>
                        <pic:spPr>
                          <a:xfrm>
                            <a:off x="0" y="0"/>
                            <a:ext cx="1120140" cy="406908"/>
                          </a:xfrm>
                          <a:prstGeom prst="rect">
                            <a:avLst/>
                          </a:prstGeom>
                        </pic:spPr>
                      </pic:pic>
                    </a:graphicData>
                  </a:graphic>
                </wp:inline>
              </w:drawing>
            </w:r>
          </w:p>
        </w:tc>
        <w:tc>
          <w:tcPr>
            <w:tcW w:w="7628" w:type="dxa"/>
            <w:tcBorders>
              <w:top w:val="nil"/>
              <w:left w:val="nil"/>
              <w:bottom w:val="nil"/>
              <w:right w:val="nil"/>
            </w:tcBorders>
          </w:tcPr>
          <w:p w14:paraId="185A7D22" w14:textId="77777777" w:rsidR="00053D93" w:rsidRDefault="00053D93">
            <w:pPr>
              <w:ind w:left="-2855" w:right="10483"/>
            </w:pPr>
          </w:p>
          <w:tbl>
            <w:tblPr>
              <w:tblStyle w:val="TableGrid"/>
              <w:tblW w:w="7610" w:type="dxa"/>
              <w:tblInd w:w="18" w:type="dxa"/>
              <w:tblCellMar>
                <w:top w:w="25" w:type="dxa"/>
                <w:left w:w="1735" w:type="dxa"/>
                <w:right w:w="115" w:type="dxa"/>
              </w:tblCellMar>
              <w:tblLook w:val="04A0" w:firstRow="1" w:lastRow="0" w:firstColumn="1" w:lastColumn="0" w:noHBand="0" w:noVBand="1"/>
            </w:tblPr>
            <w:tblGrid>
              <w:gridCol w:w="7610"/>
            </w:tblGrid>
            <w:tr w:rsidR="00053D93" w14:paraId="491F8C63" w14:textId="77777777">
              <w:trPr>
                <w:trHeight w:val="43"/>
              </w:trPr>
              <w:tc>
                <w:tcPr>
                  <w:tcW w:w="7610" w:type="dxa"/>
                  <w:tcBorders>
                    <w:top w:val="nil"/>
                    <w:left w:val="single" w:sz="2" w:space="0" w:color="000000"/>
                    <w:bottom w:val="single" w:sz="2" w:space="0" w:color="000000"/>
                    <w:right w:val="nil"/>
                  </w:tcBorders>
                </w:tcPr>
                <w:p w14:paraId="627F4FA6" w14:textId="77777777" w:rsidR="00053D93" w:rsidRDefault="00053D93"/>
              </w:tc>
            </w:tr>
            <w:tr w:rsidR="00053D93" w14:paraId="73051DC6" w14:textId="77777777">
              <w:trPr>
                <w:trHeight w:val="598"/>
              </w:trPr>
              <w:tc>
                <w:tcPr>
                  <w:tcW w:w="7610" w:type="dxa"/>
                  <w:tcBorders>
                    <w:top w:val="single" w:sz="2" w:space="0" w:color="000000"/>
                    <w:left w:val="single" w:sz="2" w:space="0" w:color="000000"/>
                    <w:bottom w:val="nil"/>
                    <w:right w:val="nil"/>
                  </w:tcBorders>
                </w:tcPr>
                <w:p w14:paraId="5A59A02F" w14:textId="77777777" w:rsidR="00053D93" w:rsidRDefault="00260B75">
                  <w:pPr>
                    <w:ind w:left="842"/>
                  </w:pPr>
                  <w:r>
                    <w:rPr>
                      <w:sz w:val="14"/>
                    </w:rPr>
                    <w:lastRenderedPageBreak/>
                    <w:t>MINISTERIO DE EDUCACION</w:t>
                  </w:r>
                </w:p>
                <w:p w14:paraId="3B630C55" w14:textId="77777777" w:rsidR="00053D93" w:rsidRDefault="00260B75">
                  <w:pPr>
                    <w:ind w:left="346"/>
                  </w:pPr>
                  <w:r>
                    <w:rPr>
                      <w:sz w:val="14"/>
                    </w:rPr>
                    <w:t>AUDITORIA FINANCIERA Y DE CUMPLIMIENTO</w:t>
                  </w:r>
                </w:p>
                <w:p w14:paraId="61DCE9E0" w14:textId="77777777" w:rsidR="00053D93" w:rsidRDefault="00260B75">
                  <w:r>
                    <w:rPr>
                      <w:sz w:val="14"/>
                    </w:rPr>
                    <w:t>PERÍODO DEL 01 DE ENERO AL 31 DE DCIEMBRE OE 2024</w:t>
                  </w:r>
                </w:p>
              </w:tc>
            </w:tr>
          </w:tbl>
          <w:p w14:paraId="2654283F" w14:textId="77777777" w:rsidR="00053D93" w:rsidRDefault="00053D93"/>
        </w:tc>
      </w:tr>
    </w:tbl>
    <w:p w14:paraId="503E193F" w14:textId="77777777" w:rsidR="00053D93" w:rsidRDefault="00053D93">
      <w:pPr>
        <w:sectPr w:rsidR="00053D93">
          <w:headerReference w:type="even" r:id="rId119"/>
          <w:headerReference w:type="default" r:id="rId120"/>
          <w:footerReference w:type="even" r:id="rId121"/>
          <w:footerReference w:type="default" r:id="rId122"/>
          <w:headerReference w:type="first" r:id="rId123"/>
          <w:footerReference w:type="first" r:id="rId124"/>
          <w:pgSz w:w="12290" w:h="15912"/>
          <w:pgMar w:top="634" w:right="1793" w:bottom="756" w:left="324" w:header="641" w:footer="720" w:gutter="0"/>
          <w:cols w:space="720"/>
          <w:titlePg/>
        </w:sectPr>
      </w:pPr>
    </w:p>
    <w:p w14:paraId="795B5C47" w14:textId="77777777" w:rsidR="00053D93" w:rsidRDefault="00260B75">
      <w:pPr>
        <w:spacing w:after="178" w:line="265" w:lineRule="auto"/>
        <w:ind w:left="1846" w:right="252" w:hanging="10"/>
        <w:jc w:val="center"/>
      </w:pPr>
      <w:r>
        <w:rPr>
          <w:rFonts w:ascii="Times New Roman" w:eastAsia="Times New Roman" w:hAnsi="Times New Roman" w:cs="Times New Roman"/>
          <w:sz w:val="14"/>
        </w:rPr>
        <w:lastRenderedPageBreak/>
        <w:t>17</w:t>
      </w:r>
    </w:p>
    <w:p w14:paraId="40EFFA31" w14:textId="77777777" w:rsidR="00053D93" w:rsidRDefault="00260B75">
      <w:pPr>
        <w:spacing w:after="23"/>
        <w:ind w:left="1613"/>
      </w:pPr>
      <w:r>
        <w:rPr>
          <w:noProof/>
        </w:rPr>
        <mc:AlternateContent>
          <mc:Choice Requires="wpg">
            <w:drawing>
              <wp:inline distT="0" distB="0" distL="0" distR="0" wp14:anchorId="4A58F564" wp14:editId="51CAE660">
                <wp:extent cx="5381245" cy="9144"/>
                <wp:effectExtent l="0" t="0" r="0" b="0"/>
                <wp:docPr id="2458150" name="Group 2458150"/>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149" name="Shape 2458149"/>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50" style="width:423.72pt;height:0.719997pt;mso-position-horizontal-relative:char;mso-position-vertical-relative:line" coordsize="53812,91">
                <v:shape id="Shape 2458149" style="position:absolute;width:53812;height:91;left:0;top:0;" coordsize="5381245,9144" path="m0,4572l5381245,4572">
                  <v:stroke weight="0.719997pt" endcap="flat" joinstyle="miter" miterlimit="1" on="true" color="#000000"/>
                  <v:fill on="false" color="#000000"/>
                </v:shape>
              </v:group>
            </w:pict>
          </mc:Fallback>
        </mc:AlternateContent>
      </w:r>
    </w:p>
    <w:p w14:paraId="515E00F1" w14:textId="77777777" w:rsidR="00053D93" w:rsidRDefault="00260B75">
      <w:pPr>
        <w:spacing w:after="17" w:line="247" w:lineRule="auto"/>
        <w:ind w:left="1627" w:right="14" w:firstLine="4"/>
        <w:jc w:val="both"/>
      </w:pPr>
      <w:r>
        <w:rPr>
          <w:sz w:val="26"/>
        </w:rPr>
        <w:t>Diversificado (PRG. 12, 13 y 14), se evaluó lo siguiente: Grupo de Gasto 0 Servicios Personales, los renglones presupuestarios: 01 1 Personal permanente, 015 Complementos específicos al personal permanente, 022 Personal por contrato, 071 Aguinaldo y 072 Bonificación anual (Bono 14); del Grupo de Gasto 1 Servicios no Personales, los renglones presupuestarios: 1 13 Telefonía, 133</w:t>
      </w:r>
    </w:p>
    <w:p w14:paraId="1E5700E8" w14:textId="77777777" w:rsidR="00053D93" w:rsidRDefault="00260B75">
      <w:pPr>
        <w:spacing w:after="272" w:line="247" w:lineRule="auto"/>
        <w:ind w:left="1620" w:right="14" w:firstLine="4"/>
        <w:jc w:val="both"/>
      </w:pPr>
      <w:r>
        <w:rPr>
          <w:sz w:val="26"/>
        </w:rPr>
        <w:t>Viáticos en el interior, 165 Mantenimiento y reparación de medios de transporte, 183 Servicios jurídicos, 185 Servicios de capacitación, 186 Servicios de informática y sistemas computarizados, 187 Servicios por actuaciones artísticas y deportivas, 188 Servicios de ingeniería, arquitectura y supervisión de obras, 189 Otros estudios y/o servicios, 191 Primas y gastos de seguros y fianzas, 196 Servicios de atención y protocolo, 197 Servicios de vigilancia y 199 Otros servicios; del Grupo de Gasto 2 Materiales y Suministros, los renglones presupuestarios: 21 1 Alimentos para personas, 233 Prendas de vestir, 267 Tintes, pinturas y colorantes, 284 Estructuras metálicas acabadas y 294 Útiles deportivos y recreativos; del Grupo de gasto 3 Propiedad, Planta, Equipo e Intangibles, los renglones presupuestarios: 324 Equipo educacional, cultural y recreativo y 328 Equipo de cómputo; del Grupo de Gasto 4 Transferencias Corrientes, los renglones presupuestarios: 41 9 Otras transferencias a personas individuales y 451 Transferencias a la administración central.</w:t>
      </w:r>
    </w:p>
    <w:tbl>
      <w:tblPr>
        <w:tblStyle w:val="TableGrid"/>
        <w:tblpPr w:vertAnchor="page" w:horzAnchor="page" w:tblpX="2866" w:tblpY="14522"/>
        <w:tblOverlap w:val="never"/>
        <w:tblW w:w="7625" w:type="dxa"/>
        <w:tblInd w:w="0" w:type="dxa"/>
        <w:tblCellMar>
          <w:top w:w="26" w:type="dxa"/>
          <w:left w:w="1742" w:type="dxa"/>
          <w:right w:w="115" w:type="dxa"/>
        </w:tblCellMar>
        <w:tblLook w:val="04A0" w:firstRow="1" w:lastRow="0" w:firstColumn="1" w:lastColumn="0" w:noHBand="0" w:noVBand="1"/>
      </w:tblPr>
      <w:tblGrid>
        <w:gridCol w:w="7625"/>
      </w:tblGrid>
      <w:tr w:rsidR="00053D93" w14:paraId="194C2682" w14:textId="77777777">
        <w:trPr>
          <w:trHeight w:val="36"/>
        </w:trPr>
        <w:tc>
          <w:tcPr>
            <w:tcW w:w="7625" w:type="dxa"/>
            <w:tcBorders>
              <w:top w:val="nil"/>
              <w:left w:val="single" w:sz="2" w:space="0" w:color="000000"/>
              <w:bottom w:val="single" w:sz="2" w:space="0" w:color="000000"/>
              <w:right w:val="nil"/>
            </w:tcBorders>
          </w:tcPr>
          <w:p w14:paraId="0ACA9894" w14:textId="77777777" w:rsidR="00053D93" w:rsidRDefault="00053D93"/>
        </w:tc>
      </w:tr>
      <w:tr w:rsidR="00053D93" w14:paraId="1191C4A1" w14:textId="77777777">
        <w:trPr>
          <w:trHeight w:val="598"/>
        </w:trPr>
        <w:tc>
          <w:tcPr>
            <w:tcW w:w="7625" w:type="dxa"/>
            <w:tcBorders>
              <w:top w:val="single" w:sz="2" w:space="0" w:color="000000"/>
              <w:left w:val="single" w:sz="2" w:space="0" w:color="000000"/>
              <w:bottom w:val="nil"/>
              <w:right w:val="nil"/>
            </w:tcBorders>
          </w:tcPr>
          <w:p w14:paraId="196DFA4F" w14:textId="77777777" w:rsidR="00053D93" w:rsidRDefault="00260B75">
            <w:pPr>
              <w:ind w:left="835"/>
            </w:pPr>
            <w:r>
              <w:rPr>
                <w:sz w:val="14"/>
              </w:rPr>
              <w:lastRenderedPageBreak/>
              <w:t>MINISTERIO OE EDUCACION</w:t>
            </w:r>
          </w:p>
          <w:p w14:paraId="2B285B34" w14:textId="77777777" w:rsidR="00053D93" w:rsidRDefault="00260B75">
            <w:pPr>
              <w:ind w:left="338"/>
            </w:pPr>
            <w:r>
              <w:rPr>
                <w:sz w:val="14"/>
              </w:rPr>
              <w:t>AUDITORIA FINANCIERA Y DE CUMPLIMIENTO</w:t>
            </w:r>
          </w:p>
          <w:p w14:paraId="463F9DB3" w14:textId="77777777" w:rsidR="00053D93" w:rsidRDefault="00260B75">
            <w:r>
              <w:rPr>
                <w:sz w:val="14"/>
              </w:rPr>
              <w:t>PERIODO DEL 01 ENERO AL 31 DE DICIEMBRE DE 2024</w:t>
            </w:r>
          </w:p>
        </w:tc>
      </w:tr>
    </w:tbl>
    <w:p w14:paraId="20311DD8" w14:textId="77777777" w:rsidR="00053D93" w:rsidRDefault="00260B75">
      <w:pPr>
        <w:spacing w:after="311" w:line="247" w:lineRule="auto"/>
        <w:ind w:left="1627" w:right="14" w:firstLine="4"/>
        <w:jc w:val="both"/>
      </w:pPr>
      <w:r>
        <w:rPr>
          <w:noProof/>
        </w:rPr>
        <w:drawing>
          <wp:anchor distT="0" distB="0" distL="114300" distR="114300" simplePos="0" relativeHeight="251716608" behindDoc="0" locked="0" layoutInCell="1" allowOverlap="0" wp14:anchorId="6FF4E40A" wp14:editId="20DD3471">
            <wp:simplePos x="0" y="0"/>
            <wp:positionH relativeFrom="page">
              <wp:posOffset>676656</wp:posOffset>
            </wp:positionH>
            <wp:positionV relativeFrom="page">
              <wp:posOffset>9217152</wp:posOffset>
            </wp:positionV>
            <wp:extent cx="1120140" cy="406908"/>
            <wp:effectExtent l="0" t="0" r="0" b="0"/>
            <wp:wrapTopAndBottom/>
            <wp:docPr id="99413" name="Picture 99413"/>
            <wp:cNvGraphicFramePr/>
            <a:graphic xmlns:a="http://schemas.openxmlformats.org/drawingml/2006/main">
              <a:graphicData uri="http://schemas.openxmlformats.org/drawingml/2006/picture">
                <pic:pic xmlns:pic="http://schemas.openxmlformats.org/drawingml/2006/picture">
                  <pic:nvPicPr>
                    <pic:cNvPr id="99413" name="Picture 99413"/>
                    <pic:cNvPicPr/>
                  </pic:nvPicPr>
                  <pic:blipFill>
                    <a:blip r:embed="rId125"/>
                    <a:stretch>
                      <a:fillRect/>
                    </a:stretch>
                  </pic:blipFill>
                  <pic:spPr>
                    <a:xfrm>
                      <a:off x="0" y="0"/>
                      <a:ext cx="1120140" cy="406908"/>
                    </a:xfrm>
                    <a:prstGeom prst="rect">
                      <a:avLst/>
                    </a:prstGeom>
                  </pic:spPr>
                </pic:pic>
              </a:graphicData>
            </a:graphic>
          </wp:anchor>
        </w:drawing>
      </w:r>
      <w:r>
        <w:rPr>
          <w:sz w:val="26"/>
        </w:rPr>
        <w:t>Del Programa 14 Educación Escolar Diversificada, se evaluó lo siguiente: Grupo de Gasto 0 Servicios Personales, los renglones presupuestarios: 01 1 Personal permanente, 015 Complementos específicos al personal permanente, 017 Derechos escalafonarios, 071 Aguinaldo y 072 Bonificación anual (Bono 14); del Grupo de Gasto 1 Servicios no Personales, los renglones presupuestarios: 1 13 Telefonía y 199 Otros servicios.</w:t>
      </w:r>
    </w:p>
    <w:p w14:paraId="1752BAA4" w14:textId="77777777" w:rsidR="00053D93" w:rsidRDefault="00260B75">
      <w:pPr>
        <w:spacing w:after="314" w:line="247" w:lineRule="auto"/>
        <w:ind w:left="14" w:right="14" w:firstLine="4"/>
        <w:jc w:val="both"/>
      </w:pPr>
      <w:r>
        <w:rPr>
          <w:noProof/>
        </w:rPr>
        <mc:AlternateContent>
          <mc:Choice Requires="wpg">
            <w:drawing>
              <wp:anchor distT="0" distB="0" distL="114300" distR="114300" simplePos="0" relativeHeight="251717632" behindDoc="0" locked="0" layoutInCell="1" allowOverlap="1" wp14:anchorId="6131A09A" wp14:editId="47EB0DB6">
                <wp:simplePos x="0" y="0"/>
                <wp:positionH relativeFrom="column">
                  <wp:posOffset>-27431</wp:posOffset>
                </wp:positionH>
                <wp:positionV relativeFrom="paragraph">
                  <wp:posOffset>-67208</wp:posOffset>
                </wp:positionV>
                <wp:extent cx="141732" cy="370332"/>
                <wp:effectExtent l="0" t="0" r="0" b="0"/>
                <wp:wrapSquare wrapText="bothSides"/>
                <wp:docPr id="2454385" name="Group 2454385"/>
                <wp:cNvGraphicFramePr/>
                <a:graphic xmlns:a="http://schemas.openxmlformats.org/drawingml/2006/main">
                  <a:graphicData uri="http://schemas.microsoft.com/office/word/2010/wordprocessingGroup">
                    <wpg:wgp>
                      <wpg:cNvGrpSpPr/>
                      <wpg:grpSpPr>
                        <a:xfrm>
                          <a:off x="0" y="0"/>
                          <a:ext cx="141732" cy="370332"/>
                          <a:chOff x="0" y="0"/>
                          <a:chExt cx="141732" cy="370332"/>
                        </a:xfrm>
                      </wpg:grpSpPr>
                      <wps:wsp>
                        <wps:cNvPr id="96151" name="Rectangle 96151"/>
                        <wps:cNvSpPr/>
                        <wps:spPr>
                          <a:xfrm>
                            <a:off x="0" y="0"/>
                            <a:ext cx="188504" cy="492541"/>
                          </a:xfrm>
                          <a:prstGeom prst="rect">
                            <a:avLst/>
                          </a:prstGeom>
                          <a:ln>
                            <a:noFill/>
                          </a:ln>
                        </wps:spPr>
                        <wps:txbx>
                          <w:txbxContent>
                            <w:p w14:paraId="5087018E" w14:textId="77777777" w:rsidR="00053D93" w:rsidRDefault="00260B75">
                              <w:r>
                                <w:rPr>
                                  <w:sz w:val="294"/>
                                </w:rPr>
                                <w:t>i</w:t>
                              </w:r>
                            </w:p>
                          </w:txbxContent>
                        </wps:txbx>
                        <wps:bodyPr horzOverflow="overflow" vert="horz" lIns="0" tIns="0" rIns="0" bIns="0" rtlCol="0">
                          <a:noAutofit/>
                        </wps:bodyPr>
                      </wps:wsp>
                    </wpg:wgp>
                  </a:graphicData>
                </a:graphic>
              </wp:anchor>
            </w:drawing>
          </mc:Choice>
          <mc:Fallback>
            <w:pict>
              <v:group w14:anchorId="6131A09A" id="Group 2454385" o:spid="_x0000_s1140" style="position:absolute;left:0;text-align:left;margin-left:-2.15pt;margin-top:-5.3pt;width:11.15pt;height:29.15pt;z-index:251717632;mso-position-horizontal-relative:text;mso-position-vertical-relative:text" coordsize="141732,37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">
                <v:rect id="Rectangle 96151" o:spid="_x0000_s1141" style="position:absolute;width:188504;height:492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" filled="f" stroked="f">
                  <v:textbox inset="0,0,0,0">
                    <w:txbxContent>
                      <w:p w14:paraId="5087018E" w14:textId="77777777" w:rsidR="00053D93" w:rsidRDefault="00260B75">
                        <w:r>
                          <w:rPr>
                            <w:sz w:val="294"/>
                          </w:rPr>
                          <w:t>i</w:t>
                        </w:r>
                      </w:p>
                    </w:txbxContent>
                  </v:textbox>
                </v:rect>
                <w10:wrap type="square"/>
              </v:group>
            </w:pict>
          </mc:Fallback>
        </mc:AlternateContent>
      </w:r>
      <w:r>
        <w:rPr>
          <w:noProof/>
        </w:rPr>
        <mc:AlternateContent>
          <mc:Choice Requires="wpg">
            <w:drawing>
              <wp:anchor distT="0" distB="0" distL="114300" distR="114300" simplePos="0" relativeHeight="251718656" behindDoc="0" locked="0" layoutInCell="1" allowOverlap="1" wp14:anchorId="1F79C9D3" wp14:editId="1E405ACD">
                <wp:simplePos x="0" y="0"/>
                <wp:positionH relativeFrom="column">
                  <wp:posOffset>-32003</wp:posOffset>
                </wp:positionH>
                <wp:positionV relativeFrom="paragraph">
                  <wp:posOffset>970635</wp:posOffset>
                </wp:positionV>
                <wp:extent cx="150876" cy="361187"/>
                <wp:effectExtent l="0" t="0" r="0" b="0"/>
                <wp:wrapSquare wrapText="bothSides"/>
                <wp:docPr id="2454386" name="Group 2454386"/>
                <wp:cNvGraphicFramePr/>
                <a:graphic xmlns:a="http://schemas.openxmlformats.org/drawingml/2006/main">
                  <a:graphicData uri="http://schemas.microsoft.com/office/word/2010/wordprocessingGroup">
                    <wpg:wgp>
                      <wpg:cNvGrpSpPr/>
                      <wpg:grpSpPr>
                        <a:xfrm>
                          <a:off x="0" y="0"/>
                          <a:ext cx="150876" cy="361187"/>
                          <a:chOff x="0" y="0"/>
                          <a:chExt cx="150876" cy="361187"/>
                        </a:xfrm>
                      </wpg:grpSpPr>
                      <wps:wsp>
                        <wps:cNvPr id="96152" name="Rectangle 96152"/>
                        <wps:cNvSpPr/>
                        <wps:spPr>
                          <a:xfrm>
                            <a:off x="0" y="0"/>
                            <a:ext cx="200665" cy="480379"/>
                          </a:xfrm>
                          <a:prstGeom prst="rect">
                            <a:avLst/>
                          </a:prstGeom>
                          <a:ln>
                            <a:noFill/>
                          </a:ln>
                        </wps:spPr>
                        <wps:txbx>
                          <w:txbxContent>
                            <w:p w14:paraId="2D3CC0BA" w14:textId="77777777" w:rsidR="00053D93" w:rsidRDefault="00260B75">
                              <w:r>
                                <w:rPr>
                                  <w:sz w:val="312"/>
                                </w:rPr>
                                <w:t>i</w:t>
                              </w:r>
                            </w:p>
                          </w:txbxContent>
                        </wps:txbx>
                        <wps:bodyPr horzOverflow="overflow" vert="horz" lIns="0" tIns="0" rIns="0" bIns="0" rtlCol="0">
                          <a:noAutofit/>
                        </wps:bodyPr>
                      </wps:wsp>
                    </wpg:wgp>
                  </a:graphicData>
                </a:graphic>
              </wp:anchor>
            </w:drawing>
          </mc:Choice>
          <mc:Fallback>
            <w:pict>
              <v:group w14:anchorId="1F79C9D3" id="Group 2454386" o:spid="_x0000_s1142" style="position:absolute;left:0;text-align:left;margin-left:-2.5pt;margin-top:76.45pt;width:11.9pt;height:28.45pt;z-index:251718656;mso-position-horizontal-relative:text;mso-position-vertical-relative:text" coordsize="150876,361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">
                <v:rect id="Rectangle 96152" o:spid="_x0000_s1143" style="position:absolute;width:200665;height:480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" filled="f" stroked="f">
                  <v:textbox inset="0,0,0,0">
                    <w:txbxContent>
                      <w:p w14:paraId="2D3CC0BA" w14:textId="77777777" w:rsidR="00053D93" w:rsidRDefault="00260B75">
                        <w:r>
                          <w:rPr>
                            <w:sz w:val="312"/>
                          </w:rPr>
                          <w:t>i</w:t>
                        </w:r>
                      </w:p>
                    </w:txbxContent>
                  </v:textbox>
                </v:rect>
                <w10:wrap type="square"/>
              </v:group>
            </w:pict>
          </mc:Fallback>
        </mc:AlternateContent>
      </w:r>
      <w:r>
        <w:rPr>
          <w:sz w:val="26"/>
        </w:rPr>
        <w:t>Durante la Auditoría Financiera y de Cumplimiento, fue evaluado el Grupo de Gasto 0 Servicios Personales, en la primera fase de la auditoría, la cual comprendió del 01 de enero al 31 de julio de 2024, con excepción del renglón presupuestario 021 Personal supernumerario, el cual fue evaluado al 31 de diciembre de 2024; en virtud que, se examinaron los procesos y no se identificaron riesgos ni debilidades significativas, que pudieran incidir en los resultados operativos, administrativos, presupuestarios y/o financieros de la entidad.</w:t>
      </w:r>
    </w:p>
    <w:p w14:paraId="5BCEF0E1" w14:textId="77777777" w:rsidR="00053D93" w:rsidRDefault="00260B75">
      <w:pPr>
        <w:spacing w:after="263" w:line="248" w:lineRule="auto"/>
        <w:ind w:left="1630" w:hanging="3"/>
        <w:jc w:val="both"/>
      </w:pPr>
      <w:r>
        <w:rPr>
          <w:sz w:val="28"/>
        </w:rPr>
        <w:t>Unidad Ejecutora 110 Dirección General de Educación Extraescolar -DIGEEX-</w:t>
      </w:r>
    </w:p>
    <w:p w14:paraId="2CFBD6A2" w14:textId="77777777" w:rsidR="00053D93" w:rsidRDefault="00260B75">
      <w:pPr>
        <w:spacing w:after="17" w:line="247" w:lineRule="auto"/>
        <w:ind w:left="14" w:right="14" w:firstLine="1634"/>
        <w:jc w:val="both"/>
      </w:pPr>
      <w:r>
        <w:rPr>
          <w:sz w:val="26"/>
        </w:rPr>
        <w:t xml:space="preserve">Del Programa 015 Educación Extraescolar, se evaluó [o siguiente: Grupo de Gasto </w:t>
      </w:r>
      <w:r>
        <w:rPr>
          <w:rFonts w:ascii="Times New Roman" w:eastAsia="Times New Roman" w:hAnsi="Times New Roman" w:cs="Times New Roman"/>
          <w:sz w:val="26"/>
        </w:rPr>
        <w:t xml:space="preserve">1 </w:t>
      </w:r>
      <w:r>
        <w:rPr>
          <w:sz w:val="26"/>
        </w:rPr>
        <w:t xml:space="preserve">O Servicios Personales, los renglones presupuestarios: 01 1 Personal permanente, 015 Complementos específicos al personal permanente, 022 Personal por contrato, 027 Complementos específicos al personal temporal, 071 Aguinaldo y </w:t>
      </w:r>
      <w:r>
        <w:rPr>
          <w:rFonts w:ascii="Times New Roman" w:eastAsia="Times New Roman" w:hAnsi="Times New Roman" w:cs="Times New Roman"/>
          <w:sz w:val="26"/>
        </w:rPr>
        <w:t xml:space="preserve">1 </w:t>
      </w:r>
      <w:r>
        <w:rPr>
          <w:sz w:val="26"/>
        </w:rPr>
        <w:t>072 Bonificación anual (Bono 14); del Grupo de Gasto 1 Servicios no Personales, los renglones presupuestarios: 1 13 Telefonía, 122 Impresión, encuadernación y</w:t>
      </w:r>
    </w:p>
    <w:p w14:paraId="5465D819" w14:textId="77777777" w:rsidR="00053D93" w:rsidRDefault="00260B75">
      <w:pPr>
        <w:spacing w:after="313" w:line="247" w:lineRule="auto"/>
        <w:ind w:left="14" w:right="14" w:firstLine="4"/>
        <w:jc w:val="both"/>
      </w:pPr>
      <w:r>
        <w:rPr>
          <w:noProof/>
        </w:rPr>
        <w:drawing>
          <wp:anchor distT="0" distB="0" distL="114300" distR="114300" simplePos="0" relativeHeight="251719680" behindDoc="0" locked="0" layoutInCell="1" allowOverlap="0" wp14:anchorId="25E83853" wp14:editId="58C5976D">
            <wp:simplePos x="0" y="0"/>
            <wp:positionH relativeFrom="column">
              <wp:posOffset>-32003</wp:posOffset>
            </wp:positionH>
            <wp:positionV relativeFrom="paragraph">
              <wp:posOffset>-525663</wp:posOffset>
            </wp:positionV>
            <wp:extent cx="132588" cy="1431036"/>
            <wp:effectExtent l="0" t="0" r="0" b="0"/>
            <wp:wrapSquare wrapText="bothSides"/>
            <wp:docPr id="103148" name="Picture 103148"/>
            <wp:cNvGraphicFramePr/>
            <a:graphic xmlns:a="http://schemas.openxmlformats.org/drawingml/2006/main">
              <a:graphicData uri="http://schemas.openxmlformats.org/drawingml/2006/picture">
                <pic:pic xmlns:pic="http://schemas.openxmlformats.org/drawingml/2006/picture">
                  <pic:nvPicPr>
                    <pic:cNvPr id="103148" name="Picture 103148"/>
                    <pic:cNvPicPr/>
                  </pic:nvPicPr>
                  <pic:blipFill>
                    <a:blip r:embed="rId126"/>
                    <a:stretch>
                      <a:fillRect/>
                    </a:stretch>
                  </pic:blipFill>
                  <pic:spPr>
                    <a:xfrm>
                      <a:off x="0" y="0"/>
                      <a:ext cx="132588" cy="1431036"/>
                    </a:xfrm>
                    <a:prstGeom prst="rect">
                      <a:avLst/>
                    </a:prstGeom>
                  </pic:spPr>
                </pic:pic>
              </a:graphicData>
            </a:graphic>
          </wp:anchor>
        </w:drawing>
      </w:r>
      <w:r>
        <w:rPr>
          <w:noProof/>
        </w:rPr>
        <mc:AlternateContent>
          <mc:Choice Requires="wpg">
            <w:drawing>
              <wp:anchor distT="0" distB="0" distL="114300" distR="114300" simplePos="0" relativeHeight="251720704" behindDoc="0" locked="0" layoutInCell="1" allowOverlap="1" wp14:anchorId="2F4F112E" wp14:editId="0752F0B9">
                <wp:simplePos x="0" y="0"/>
                <wp:positionH relativeFrom="column">
                  <wp:posOffset>1028700</wp:posOffset>
                </wp:positionH>
                <wp:positionV relativeFrom="paragraph">
                  <wp:posOffset>-50175</wp:posOffset>
                </wp:positionV>
                <wp:extent cx="5376672" cy="9144"/>
                <wp:effectExtent l="0" t="0" r="0" b="0"/>
                <wp:wrapSquare wrapText="bothSides"/>
                <wp:docPr id="2458154" name="Group 2458154"/>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153" name="Shape 2458153"/>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154" style="width:423.36pt;height:0.719997pt;position:absolute;mso-position-horizontal-relative:text;mso-position-horizontal:absolute;margin-left:81pt;mso-position-vertical-relative:text;margin-top:-3.95084pt;" coordsize="53766,91">
                <v:shape id="Shape 2458153" style="position:absolute;width:53766;height:91;left:0;top:0;" coordsize="5376672,9144" path="m0,4572l5376672,4572">
                  <v:stroke weight="0.719997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1721728" behindDoc="0" locked="0" layoutInCell="1" allowOverlap="1" wp14:anchorId="13E9A8F9" wp14:editId="0604220A">
                <wp:simplePos x="0" y="0"/>
                <wp:positionH relativeFrom="column">
                  <wp:posOffset>-22859</wp:posOffset>
                </wp:positionH>
                <wp:positionV relativeFrom="paragraph">
                  <wp:posOffset>1033389</wp:posOffset>
                </wp:positionV>
                <wp:extent cx="128016" cy="384048"/>
                <wp:effectExtent l="0" t="0" r="0" b="0"/>
                <wp:wrapSquare wrapText="bothSides"/>
                <wp:docPr id="2454389" name="Group 2454389"/>
                <wp:cNvGraphicFramePr/>
                <a:graphic xmlns:a="http://schemas.openxmlformats.org/drawingml/2006/main">
                  <a:graphicData uri="http://schemas.microsoft.com/office/word/2010/wordprocessingGroup">
                    <wpg:wgp>
                      <wpg:cNvGrpSpPr/>
                      <wpg:grpSpPr>
                        <a:xfrm>
                          <a:off x="0" y="0"/>
                          <a:ext cx="128016" cy="384048"/>
                          <a:chOff x="0" y="0"/>
                          <a:chExt cx="128016" cy="384048"/>
                        </a:xfrm>
                      </wpg:grpSpPr>
                      <wps:wsp>
                        <wps:cNvPr id="99971" name="Rectangle 99971"/>
                        <wps:cNvSpPr/>
                        <wps:spPr>
                          <a:xfrm>
                            <a:off x="0" y="0"/>
                            <a:ext cx="170261" cy="510784"/>
                          </a:xfrm>
                          <a:prstGeom prst="rect">
                            <a:avLst/>
                          </a:prstGeom>
                          <a:ln>
                            <a:noFill/>
                          </a:ln>
                        </wps:spPr>
                        <wps:txbx>
                          <w:txbxContent>
                            <w:p w14:paraId="20553F66" w14:textId="77777777" w:rsidR="00053D93" w:rsidRDefault="00260B75">
                              <w:r>
                                <w:rPr>
                                  <w:rFonts w:ascii="Times New Roman" w:eastAsia="Times New Roman" w:hAnsi="Times New Roman" w:cs="Times New Roman"/>
                                  <w:sz w:val="90"/>
                                </w:rPr>
                                <w:t>i</w:t>
                              </w:r>
                            </w:p>
                          </w:txbxContent>
                        </wps:txbx>
                        <wps:bodyPr horzOverflow="overflow" vert="horz" lIns="0" tIns="0" rIns="0" bIns="0" rtlCol="0">
                          <a:noAutofit/>
                        </wps:bodyPr>
                      </wps:wsp>
                    </wpg:wgp>
                  </a:graphicData>
                </a:graphic>
              </wp:anchor>
            </w:drawing>
          </mc:Choice>
          <mc:Fallback>
            <w:pict>
              <v:group w14:anchorId="13E9A8F9" id="Group 2454389" o:spid="_x0000_s1144" style="position:absolute;left:0;text-align:left;margin-left:-1.8pt;margin-top:81.35pt;width:10.1pt;height:30.25pt;z-index:251721728;mso-position-horizontal-relative:text;mso-position-vertical-relative:text" coordsize="128016,384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">
                <v:rect id="Rectangle 99971" o:spid="_x0000_s1145" style="position:absolute;width:170261;height:510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" filled="f" stroked="f">
                  <v:textbox inset="0,0,0,0">
                    <w:txbxContent>
                      <w:p w14:paraId="20553F66" w14:textId="77777777" w:rsidR="00053D93" w:rsidRDefault="00260B75">
                        <w:r>
                          <w:rPr>
                            <w:rFonts w:ascii="Times New Roman" w:eastAsia="Times New Roman" w:hAnsi="Times New Roman" w:cs="Times New Roman"/>
                            <w:sz w:val="90"/>
                          </w:rPr>
                          <w:t>i</w:t>
                        </w:r>
                      </w:p>
                    </w:txbxContent>
                  </v:textbox>
                </v:rect>
                <w10:wrap type="square"/>
              </v:group>
            </w:pict>
          </mc:Fallback>
        </mc:AlternateContent>
      </w:r>
      <w:r>
        <w:rPr>
          <w:sz w:val="26"/>
        </w:rPr>
        <w:t>reproducción, 131 Viáticos en el exterior, 141 Transporte de personas, 151 Arrendamiento de edificios y locales, 158 Derechos de bienes intangibles, 185 Servicios de capacitación, 189 Otros estudios y/o servicios, 197 Servicios de vigilancia y 199 Otros servicios; del Grupo de Gasto 2 Materiales y Suministros, el renglón presupuestario: 291 Útiles de oficina; Grupo de Gasto 3 Propiedad, Planta, Equipo e Intangibles, los renglones presupuestarios: 322 Mobiliario y equipo de oficina, 324 Equipo educacional, cultural y recreativo, 326 Equipo para comunicaciones y 328 Equipo de cómputo.</w:t>
      </w:r>
    </w:p>
    <w:p w14:paraId="6220095A" w14:textId="77777777" w:rsidR="00053D93" w:rsidRDefault="00260B75">
      <w:pPr>
        <w:spacing w:after="289" w:line="247" w:lineRule="auto"/>
        <w:ind w:left="14" w:right="14" w:firstLine="4"/>
        <w:jc w:val="both"/>
      </w:pPr>
      <w:r>
        <w:rPr>
          <w:noProof/>
        </w:rPr>
        <w:lastRenderedPageBreak/>
        <w:drawing>
          <wp:anchor distT="0" distB="0" distL="114300" distR="114300" simplePos="0" relativeHeight="251722752" behindDoc="0" locked="0" layoutInCell="1" allowOverlap="0" wp14:anchorId="679A9B58" wp14:editId="31466446">
            <wp:simplePos x="0" y="0"/>
            <wp:positionH relativeFrom="column">
              <wp:posOffset>-27431</wp:posOffset>
            </wp:positionH>
            <wp:positionV relativeFrom="paragraph">
              <wp:posOffset>-210623</wp:posOffset>
            </wp:positionV>
            <wp:extent cx="141732" cy="4146804"/>
            <wp:effectExtent l="0" t="0" r="0" b="0"/>
            <wp:wrapSquare wrapText="bothSides"/>
            <wp:docPr id="2458151" name="Picture 2458151"/>
            <wp:cNvGraphicFramePr/>
            <a:graphic xmlns:a="http://schemas.openxmlformats.org/drawingml/2006/main">
              <a:graphicData uri="http://schemas.openxmlformats.org/drawingml/2006/picture">
                <pic:pic xmlns:pic="http://schemas.openxmlformats.org/drawingml/2006/picture">
                  <pic:nvPicPr>
                    <pic:cNvPr id="2458151" name="Picture 2458151"/>
                    <pic:cNvPicPr/>
                  </pic:nvPicPr>
                  <pic:blipFill>
                    <a:blip r:embed="rId127"/>
                    <a:stretch>
                      <a:fillRect/>
                    </a:stretch>
                  </pic:blipFill>
                  <pic:spPr>
                    <a:xfrm>
                      <a:off x="0" y="0"/>
                      <a:ext cx="141732" cy="4146804"/>
                    </a:xfrm>
                    <a:prstGeom prst="rect">
                      <a:avLst/>
                    </a:prstGeom>
                  </pic:spPr>
                </pic:pic>
              </a:graphicData>
            </a:graphic>
          </wp:anchor>
        </w:drawing>
      </w:r>
      <w:r>
        <w:rPr>
          <w:sz w:val="26"/>
        </w:rPr>
        <w:t>Durante la Auditoría Financiera y de Cumplimiento, fue evaluado el Grupo de Gasto 0 Servicios Personales, en la primera fase de la auditoría, la cual comprendió del 01 de enero al 31 de julio de 2024, con excepción del renglón presupuestario 021 Personal supernumerario, el cual fue evaluado al 31 de diciembre de 2024; en virtud que, se examinaron los procesos y no se identificaron riesgos ni debilidades significativas, que pudieran incidir en los resultados operativos, administrativos, presupuestarios y/o financieros de la entidad.</w:t>
      </w:r>
    </w:p>
    <w:p w14:paraId="0213AC79" w14:textId="77777777" w:rsidR="00053D93" w:rsidRDefault="00260B75">
      <w:pPr>
        <w:pStyle w:val="Ttulo2"/>
        <w:spacing w:after="289"/>
        <w:ind w:left="32" w:right="22"/>
        <w:jc w:val="right"/>
      </w:pPr>
      <w:r>
        <w:rPr>
          <w:sz w:val="28"/>
        </w:rPr>
        <w:lastRenderedPageBreak/>
        <w:t>Unidad Ejecutora 118 Dirección de Adquisiciones y Contrataciones -DIDECO-</w:t>
      </w:r>
    </w:p>
    <w:tbl>
      <w:tblPr>
        <w:tblStyle w:val="TableGrid"/>
        <w:tblpPr w:vertAnchor="page" w:horzAnchor="page" w:tblpX="2863" w:tblpY="14515"/>
        <w:tblOverlap w:val="never"/>
        <w:tblW w:w="7628" w:type="dxa"/>
        <w:tblInd w:w="0" w:type="dxa"/>
        <w:tblCellMar>
          <w:top w:w="23" w:type="dxa"/>
          <w:left w:w="1738" w:type="dxa"/>
          <w:right w:w="115" w:type="dxa"/>
        </w:tblCellMar>
        <w:tblLook w:val="04A0" w:firstRow="1" w:lastRow="0" w:firstColumn="1" w:lastColumn="0" w:noHBand="0" w:noVBand="1"/>
      </w:tblPr>
      <w:tblGrid>
        <w:gridCol w:w="7628"/>
      </w:tblGrid>
      <w:tr w:rsidR="00053D93" w14:paraId="036E4BBD" w14:textId="77777777">
        <w:trPr>
          <w:trHeight w:val="43"/>
        </w:trPr>
        <w:tc>
          <w:tcPr>
            <w:tcW w:w="7628" w:type="dxa"/>
            <w:tcBorders>
              <w:top w:val="nil"/>
              <w:left w:val="single" w:sz="2" w:space="0" w:color="000000"/>
              <w:bottom w:val="single" w:sz="2" w:space="0" w:color="000000"/>
              <w:right w:val="nil"/>
            </w:tcBorders>
          </w:tcPr>
          <w:p w14:paraId="47CC4B37" w14:textId="77777777" w:rsidR="00053D93" w:rsidRDefault="00053D93"/>
        </w:tc>
      </w:tr>
      <w:tr w:rsidR="00053D93" w14:paraId="651F59C7" w14:textId="77777777">
        <w:trPr>
          <w:trHeight w:val="598"/>
        </w:trPr>
        <w:tc>
          <w:tcPr>
            <w:tcW w:w="7628" w:type="dxa"/>
            <w:tcBorders>
              <w:top w:val="single" w:sz="2" w:space="0" w:color="000000"/>
              <w:left w:val="single" w:sz="2" w:space="0" w:color="000000"/>
              <w:bottom w:val="nil"/>
              <w:right w:val="nil"/>
            </w:tcBorders>
          </w:tcPr>
          <w:p w14:paraId="395C321B" w14:textId="77777777" w:rsidR="00053D93" w:rsidRDefault="00260B75">
            <w:pPr>
              <w:ind w:left="842"/>
            </w:pPr>
            <w:r>
              <w:rPr>
                <w:sz w:val="14"/>
              </w:rPr>
              <w:lastRenderedPageBreak/>
              <w:t>MINISTERIO DE EDUCACION</w:t>
            </w:r>
          </w:p>
          <w:p w14:paraId="20FB023D" w14:textId="77777777" w:rsidR="00053D93" w:rsidRDefault="00260B75">
            <w:pPr>
              <w:ind w:left="338"/>
            </w:pPr>
            <w:r>
              <w:rPr>
                <w:sz w:val="14"/>
              </w:rPr>
              <w:t>AUDITORIA FINANCIERA Y DE CUMPLIMIENTO</w:t>
            </w:r>
          </w:p>
          <w:p w14:paraId="58919C20" w14:textId="77777777" w:rsidR="00053D93" w:rsidRDefault="00260B75">
            <w:r>
              <w:rPr>
                <w:sz w:val="14"/>
              </w:rPr>
              <w:t>PERIODO DEL 01 DE ENERO AL 31 DE DICIEMBRE OE 2024</w:t>
            </w:r>
          </w:p>
        </w:tc>
      </w:tr>
    </w:tbl>
    <w:p w14:paraId="7EC4258B" w14:textId="77777777" w:rsidR="00053D93" w:rsidRDefault="00260B75">
      <w:pPr>
        <w:spacing w:after="311" w:line="247" w:lineRule="auto"/>
        <w:ind w:left="14" w:right="14" w:firstLine="1454"/>
        <w:jc w:val="both"/>
      </w:pPr>
      <w:r>
        <w:rPr>
          <w:noProof/>
        </w:rPr>
        <w:drawing>
          <wp:anchor distT="0" distB="0" distL="114300" distR="114300" simplePos="0" relativeHeight="251723776" behindDoc="0" locked="0" layoutInCell="1" allowOverlap="0" wp14:anchorId="74819B15" wp14:editId="2B2763AD">
            <wp:simplePos x="0" y="0"/>
            <wp:positionH relativeFrom="page">
              <wp:posOffset>676656</wp:posOffset>
            </wp:positionH>
            <wp:positionV relativeFrom="page">
              <wp:posOffset>9217152</wp:posOffset>
            </wp:positionV>
            <wp:extent cx="1120140" cy="406909"/>
            <wp:effectExtent l="0" t="0" r="0" b="0"/>
            <wp:wrapTopAndBottom/>
            <wp:docPr id="103151" name="Picture 103151"/>
            <wp:cNvGraphicFramePr/>
            <a:graphic xmlns:a="http://schemas.openxmlformats.org/drawingml/2006/main">
              <a:graphicData uri="http://schemas.openxmlformats.org/drawingml/2006/picture">
                <pic:pic xmlns:pic="http://schemas.openxmlformats.org/drawingml/2006/picture">
                  <pic:nvPicPr>
                    <pic:cNvPr id="103151" name="Picture 103151"/>
                    <pic:cNvPicPr/>
                  </pic:nvPicPr>
                  <pic:blipFill>
                    <a:blip r:embed="rId128"/>
                    <a:stretch>
                      <a:fillRect/>
                    </a:stretch>
                  </pic:blipFill>
                  <pic:spPr>
                    <a:xfrm>
                      <a:off x="0" y="0"/>
                      <a:ext cx="1120140" cy="406909"/>
                    </a:xfrm>
                    <a:prstGeom prst="rect">
                      <a:avLst/>
                    </a:prstGeom>
                  </pic:spPr>
                </pic:pic>
              </a:graphicData>
            </a:graphic>
          </wp:anchor>
        </w:drawing>
      </w:r>
      <w:r>
        <w:rPr>
          <w:sz w:val="26"/>
        </w:rPr>
        <w:t xml:space="preserve">Del Programa 01 Actividades Centrales se evaluó Io siguiente: Grupo de Gasto O Servicios Personales, los renglones presupuestarios: 01 1 Personal permanente, 014 Complemento por calidad profesional al personal permanente, 015 Complementos específicos al personal permanente, 022 Personal por contrato, 027 Complementos específicos al personal temporal, 071 Aguinaldo y 072 Bonificación anual (Bono 14); del Grupo de Gasto 1 Servicios no Personales, los renglones presupuestarios: 133 Viáticos en el interior, 153 Arrendamiento de máquinas y equipos de oficina, 168 Mantenimiento y reparación de equipo de cómputo, 174 Mantenimiento y reparación de instalaciones y 189 Otros estudios y/o servicios; del Grupo de Gasto 2 Materiales y Suministros, los renglones presupuestarios: 267 Tintes, pinturas y colorantes, 268 Productos plásticos, nylon, </w:t>
      </w:r>
      <w:r>
        <w:rPr>
          <w:rFonts w:ascii="Times New Roman" w:eastAsia="Times New Roman" w:hAnsi="Times New Roman" w:cs="Times New Roman"/>
          <w:sz w:val="26"/>
        </w:rPr>
        <w:t xml:space="preserve">1 </w:t>
      </w:r>
      <w:r>
        <w:rPr>
          <w:sz w:val="26"/>
        </w:rPr>
        <w:t>vinil y P.V.C. y 291 Útiles de oficina; del Grupo de gasto 3 Propiedad, Planta, Equipo e Intangibles, los renglones presupuestarios: 322 Mobiliario y equipo de oficina, 328 Equipo de cómputo y 329 Otras maquinarias y equipos.</w:t>
      </w:r>
    </w:p>
    <w:p w14:paraId="45E1482C" w14:textId="77777777" w:rsidR="00053D93" w:rsidRDefault="00260B75">
      <w:pPr>
        <w:spacing w:after="98" w:line="247" w:lineRule="auto"/>
        <w:ind w:left="14" w:right="14" w:firstLine="1620"/>
        <w:jc w:val="both"/>
      </w:pPr>
      <w:r>
        <w:rPr>
          <w:noProof/>
        </w:rPr>
        <mc:AlternateContent>
          <mc:Choice Requires="wpg">
            <w:drawing>
              <wp:anchor distT="0" distB="0" distL="114300" distR="114300" simplePos="0" relativeHeight="251724800" behindDoc="0" locked="0" layoutInCell="1" allowOverlap="1" wp14:anchorId="21279ED2" wp14:editId="08048FE5">
                <wp:simplePos x="0" y="0"/>
                <wp:positionH relativeFrom="column">
                  <wp:posOffset>-36575</wp:posOffset>
                </wp:positionH>
                <wp:positionV relativeFrom="paragraph">
                  <wp:posOffset>611138</wp:posOffset>
                </wp:positionV>
                <wp:extent cx="150876" cy="374904"/>
                <wp:effectExtent l="0" t="0" r="0" b="0"/>
                <wp:wrapSquare wrapText="bothSides"/>
                <wp:docPr id="2454390" name="Group 2454390"/>
                <wp:cNvGraphicFramePr/>
                <a:graphic xmlns:a="http://schemas.openxmlformats.org/drawingml/2006/main">
                  <a:graphicData uri="http://schemas.microsoft.com/office/word/2010/wordprocessingGroup">
                    <wpg:wgp>
                      <wpg:cNvGrpSpPr/>
                      <wpg:grpSpPr>
                        <a:xfrm>
                          <a:off x="0" y="0"/>
                          <a:ext cx="150876" cy="374904"/>
                          <a:chOff x="0" y="0"/>
                          <a:chExt cx="150876" cy="374904"/>
                        </a:xfrm>
                      </wpg:grpSpPr>
                      <wps:wsp>
                        <wps:cNvPr id="99974" name="Rectangle 99974"/>
                        <wps:cNvSpPr/>
                        <wps:spPr>
                          <a:xfrm>
                            <a:off x="0" y="0"/>
                            <a:ext cx="200665" cy="498623"/>
                          </a:xfrm>
                          <a:prstGeom prst="rect">
                            <a:avLst/>
                          </a:prstGeom>
                          <a:ln>
                            <a:noFill/>
                          </a:ln>
                        </wps:spPr>
                        <wps:txbx>
                          <w:txbxContent>
                            <w:p w14:paraId="735565D6" w14:textId="77777777" w:rsidR="00053D93" w:rsidRDefault="00260B75">
                              <w:r>
                                <w:rPr>
                                  <w:sz w:val="312"/>
                                </w:rPr>
                                <w:t>i</w:t>
                              </w:r>
                            </w:p>
                          </w:txbxContent>
                        </wps:txbx>
                        <wps:bodyPr horzOverflow="overflow" vert="horz" lIns="0" tIns="0" rIns="0" bIns="0" rtlCol="0">
                          <a:noAutofit/>
                        </wps:bodyPr>
                      </wps:wsp>
                    </wpg:wgp>
                  </a:graphicData>
                </a:graphic>
              </wp:anchor>
            </w:drawing>
          </mc:Choice>
          <mc:Fallback>
            <w:pict>
              <v:group w14:anchorId="21279ED2" id="Group 2454390" o:spid="_x0000_s1146" style="position:absolute;left:0;text-align:left;margin-left:-2.9pt;margin-top:48.1pt;width:11.9pt;height:29.5pt;z-index:251724800;mso-position-horizontal-relative:text;mso-position-vertical-relative:text" coordsize="150876,37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">
                <v:rect id="Rectangle 99974" o:spid="_x0000_s1147" style="position:absolute;width:200665;height:498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" filled="f" stroked="f">
                  <v:textbox inset="0,0,0,0">
                    <w:txbxContent>
                      <w:p w14:paraId="735565D6" w14:textId="77777777" w:rsidR="00053D93" w:rsidRDefault="00260B75">
                        <w:r>
                          <w:rPr>
                            <w:sz w:val="312"/>
                          </w:rPr>
                          <w:t>i</w:t>
                        </w:r>
                      </w:p>
                    </w:txbxContent>
                  </v:textbox>
                </v:rect>
                <w10:wrap type="square"/>
              </v:group>
            </w:pict>
          </mc:Fallback>
        </mc:AlternateContent>
      </w:r>
      <w:r>
        <w:rPr>
          <w:sz w:val="26"/>
        </w:rPr>
        <w:t xml:space="preserve">Durante la Auditoría Financiera y de Cumplimiento, fue evaluado el Grupo de </w:t>
      </w:r>
      <w:r>
        <w:rPr>
          <w:rFonts w:ascii="Times New Roman" w:eastAsia="Times New Roman" w:hAnsi="Times New Roman" w:cs="Times New Roman"/>
          <w:sz w:val="26"/>
        </w:rPr>
        <w:t xml:space="preserve">1 </w:t>
      </w:r>
      <w:r>
        <w:rPr>
          <w:sz w:val="26"/>
        </w:rPr>
        <w:t>Gasto 0 Servicios Personales, en la primera fase de la auditoría, la cual comprendió del 01 de enero al 31 de julio de 2024, con excepción del renglón presupuestario 021 Personal supernumerario, el cual fue evaluado al 31 de diciembre de 2024; en virtud que, se examinaron los procesos y no se identificaron riesgos ni debilidades significativas, que pudieran incidir en los resultados</w:t>
      </w:r>
    </w:p>
    <w:p w14:paraId="6E9A916E" w14:textId="77777777" w:rsidR="00053D93" w:rsidRDefault="00260B75">
      <w:pPr>
        <w:tabs>
          <w:tab w:val="center" w:pos="5342"/>
        </w:tabs>
        <w:spacing w:after="10" w:line="252" w:lineRule="auto"/>
      </w:pPr>
      <w:r>
        <w:rPr>
          <w:rFonts w:ascii="Times New Roman" w:eastAsia="Times New Roman" w:hAnsi="Times New Roman" w:cs="Times New Roman"/>
          <w:sz w:val="24"/>
        </w:rPr>
        <w:t>1</w:t>
      </w:r>
      <w:r>
        <w:rPr>
          <w:rFonts w:ascii="Times New Roman" w:eastAsia="Times New Roman" w:hAnsi="Times New Roman" w:cs="Times New Roman"/>
          <w:sz w:val="24"/>
        </w:rPr>
        <w:tab/>
      </w:r>
      <w:r>
        <w:rPr>
          <w:sz w:val="24"/>
        </w:rPr>
        <w:t>operativos, administrativos, presupuestarios y/o financieros de la entidad.</w:t>
      </w:r>
    </w:p>
    <w:p w14:paraId="3ACA13CF" w14:textId="77777777" w:rsidR="00053D93" w:rsidRDefault="00260B75">
      <w:pPr>
        <w:spacing w:after="49"/>
        <w:ind w:left="1627"/>
      </w:pPr>
      <w:r>
        <w:rPr>
          <w:noProof/>
        </w:rPr>
        <mc:AlternateContent>
          <mc:Choice Requires="wpg">
            <w:drawing>
              <wp:inline distT="0" distB="0" distL="0" distR="0" wp14:anchorId="3211011C" wp14:editId="51645C7F">
                <wp:extent cx="5376672" cy="9144"/>
                <wp:effectExtent l="0" t="0" r="0" b="0"/>
                <wp:docPr id="2458156" name="Group 2458156"/>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155" name="Shape 2458155"/>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56" style="width:423.36pt;height:0.719994pt;mso-position-horizontal-relative:char;mso-position-vertical-relative:line" coordsize="53766,91">
                <v:shape id="Shape 2458155" style="position:absolute;width:53766;height:91;left:0;top:0;" coordsize="5376672,9144" path="m0,4572l5376672,4572">
                  <v:stroke weight="0.719994pt" endcap="flat" joinstyle="miter" miterlimit="1" on="true" color="#000000"/>
                  <v:fill on="false" color="#000000"/>
                </v:shape>
              </v:group>
            </w:pict>
          </mc:Fallback>
        </mc:AlternateContent>
      </w:r>
    </w:p>
    <w:p w14:paraId="7566C6EF" w14:textId="77777777" w:rsidR="00053D93" w:rsidRDefault="00260B75">
      <w:pPr>
        <w:spacing w:after="303" w:line="248" w:lineRule="auto"/>
        <w:ind w:left="1709" w:hanging="3"/>
        <w:jc w:val="both"/>
      </w:pPr>
      <w:r>
        <w:rPr>
          <w:sz w:val="28"/>
        </w:rPr>
        <w:t>Unidad Ejecutora 120 Dirección General de Evaluación e Investigación Educativa -DIGEDUCA-</w:t>
      </w:r>
    </w:p>
    <w:p w14:paraId="02EABDC2" w14:textId="77777777" w:rsidR="00053D93" w:rsidRDefault="00260B75">
      <w:pPr>
        <w:spacing w:after="304" w:line="247" w:lineRule="auto"/>
        <w:ind w:left="1642" w:right="14" w:firstLine="4"/>
        <w:jc w:val="both"/>
      </w:pPr>
      <w:r>
        <w:rPr>
          <w:sz w:val="26"/>
        </w:rPr>
        <w:t>Del Programa 01 Actividades Centrales, se evaluó lo siguiente: Grupo de Gasto 1 Servicios no Personales, los renglones presupuestarios: 151 Arrendamiento de edificios y locales, 191 Primas y gastos de seguros y fianzas, 197 Servicios de vigilancia y 199 Otros servicios.</w:t>
      </w:r>
    </w:p>
    <w:p w14:paraId="027E6391" w14:textId="77777777" w:rsidR="00053D93" w:rsidRDefault="00260B75">
      <w:pPr>
        <w:spacing w:after="17" w:line="247" w:lineRule="auto"/>
        <w:ind w:left="1649" w:right="14" w:firstLine="4"/>
        <w:jc w:val="both"/>
      </w:pPr>
      <w:r>
        <w:rPr>
          <w:sz w:val="26"/>
        </w:rPr>
        <w:t>Del Programa 05 Actividades Comunes a los Programas de Preprimaria, Primaria,</w:t>
      </w:r>
    </w:p>
    <w:p w14:paraId="45BE6BF9" w14:textId="77777777" w:rsidR="00053D93" w:rsidRDefault="00260B75">
      <w:pPr>
        <w:spacing w:after="17" w:line="247" w:lineRule="auto"/>
        <w:ind w:left="1649" w:right="14" w:firstLine="4"/>
        <w:jc w:val="both"/>
      </w:pPr>
      <w:r>
        <w:rPr>
          <w:sz w:val="26"/>
        </w:rPr>
        <w:t>Básico y Diversificado (PRG. 1 1 , 12, 13 Y 14), se evaluó lo siguiente: Grupo de Gasto 0 Servicios Personales, los renglones presupuestarios: 01 1 Personal permanente, 015 Complementos específicos al personal permanente, 022 Personal por contrato, 027 Complementos específicos al personal temporal, 071</w:t>
      </w:r>
    </w:p>
    <w:p w14:paraId="35410612" w14:textId="77777777" w:rsidR="00053D93" w:rsidRDefault="00260B75">
      <w:pPr>
        <w:spacing w:after="17" w:line="247" w:lineRule="auto"/>
        <w:ind w:left="1642" w:right="14" w:firstLine="4"/>
        <w:jc w:val="both"/>
      </w:pPr>
      <w:r>
        <w:rPr>
          <w:sz w:val="26"/>
        </w:rPr>
        <w:t>Aguinaldo, 72 Bonificación anual (Bono 14); del Grupo de Gasto 1 Servicios no Personales, los renglones presupuestarios: 1 14 Correos y telégrafos, 122</w:t>
      </w:r>
    </w:p>
    <w:tbl>
      <w:tblPr>
        <w:tblStyle w:val="TableGrid"/>
        <w:tblpPr w:vertAnchor="page" w:horzAnchor="page" w:tblpX="2877" w:tblpY="14472"/>
        <w:tblOverlap w:val="never"/>
        <w:tblW w:w="7613" w:type="dxa"/>
        <w:tblInd w:w="0" w:type="dxa"/>
        <w:tblCellMar>
          <w:top w:w="22" w:type="dxa"/>
          <w:left w:w="1731" w:type="dxa"/>
          <w:right w:w="115" w:type="dxa"/>
        </w:tblCellMar>
        <w:tblLook w:val="04A0" w:firstRow="1" w:lastRow="0" w:firstColumn="1" w:lastColumn="0" w:noHBand="0" w:noVBand="1"/>
      </w:tblPr>
      <w:tblGrid>
        <w:gridCol w:w="7613"/>
      </w:tblGrid>
      <w:tr w:rsidR="00053D93" w14:paraId="08BD3BA8" w14:textId="77777777">
        <w:trPr>
          <w:trHeight w:val="43"/>
        </w:trPr>
        <w:tc>
          <w:tcPr>
            <w:tcW w:w="7613" w:type="dxa"/>
            <w:tcBorders>
              <w:top w:val="nil"/>
              <w:left w:val="single" w:sz="2" w:space="0" w:color="000000"/>
              <w:bottom w:val="single" w:sz="2" w:space="0" w:color="000000"/>
              <w:right w:val="nil"/>
            </w:tcBorders>
          </w:tcPr>
          <w:p w14:paraId="1A92B1D7" w14:textId="77777777" w:rsidR="00053D93" w:rsidRDefault="00053D93"/>
        </w:tc>
      </w:tr>
      <w:tr w:rsidR="00053D93" w14:paraId="4975F179" w14:textId="77777777">
        <w:trPr>
          <w:trHeight w:val="590"/>
        </w:trPr>
        <w:tc>
          <w:tcPr>
            <w:tcW w:w="7613" w:type="dxa"/>
            <w:tcBorders>
              <w:top w:val="single" w:sz="2" w:space="0" w:color="000000"/>
              <w:left w:val="single" w:sz="2" w:space="0" w:color="000000"/>
              <w:bottom w:val="nil"/>
              <w:right w:val="nil"/>
            </w:tcBorders>
          </w:tcPr>
          <w:p w14:paraId="5EA6587F" w14:textId="77777777" w:rsidR="00053D93" w:rsidRDefault="00260B75">
            <w:pPr>
              <w:ind w:left="842"/>
            </w:pPr>
            <w:r>
              <w:rPr>
                <w:sz w:val="14"/>
              </w:rPr>
              <w:lastRenderedPageBreak/>
              <w:t>MINISTERIO DE EDUCACION</w:t>
            </w:r>
          </w:p>
          <w:p w14:paraId="2E9DF061" w14:textId="77777777" w:rsidR="00053D93" w:rsidRDefault="00260B75">
            <w:pPr>
              <w:ind w:left="346"/>
            </w:pPr>
            <w:r>
              <w:rPr>
                <w:sz w:val="14"/>
              </w:rPr>
              <w:t>AUDITORIA FINANCIERA Y OE CUMPLIMIENTO</w:t>
            </w:r>
          </w:p>
          <w:p w14:paraId="7C1B96D2" w14:textId="77777777" w:rsidR="00053D93" w:rsidRDefault="00260B75">
            <w:r>
              <w:rPr>
                <w:sz w:val="14"/>
              </w:rPr>
              <w:t>PERIODO DEL 01 DE ENERO AL 31 DE DICIEMBRE OE 2024</w:t>
            </w:r>
          </w:p>
        </w:tc>
      </w:tr>
    </w:tbl>
    <w:p w14:paraId="4CBD7A1C" w14:textId="77777777" w:rsidR="00053D93" w:rsidRDefault="00260B75">
      <w:pPr>
        <w:spacing w:after="321" w:line="247" w:lineRule="auto"/>
        <w:ind w:left="1642" w:right="14" w:firstLine="4"/>
        <w:jc w:val="both"/>
      </w:pPr>
      <w:r>
        <w:rPr>
          <w:noProof/>
        </w:rPr>
        <w:drawing>
          <wp:anchor distT="0" distB="0" distL="114300" distR="114300" simplePos="0" relativeHeight="251725824" behindDoc="0" locked="0" layoutInCell="1" allowOverlap="0" wp14:anchorId="123D5F5D" wp14:editId="5780237D">
            <wp:simplePos x="0" y="0"/>
            <wp:positionH relativeFrom="page">
              <wp:posOffset>681228</wp:posOffset>
            </wp:positionH>
            <wp:positionV relativeFrom="page">
              <wp:posOffset>9189720</wp:posOffset>
            </wp:positionV>
            <wp:extent cx="1120140" cy="402336"/>
            <wp:effectExtent l="0" t="0" r="0" b="0"/>
            <wp:wrapTopAndBottom/>
            <wp:docPr id="106774" name="Picture 106774"/>
            <wp:cNvGraphicFramePr/>
            <a:graphic xmlns:a="http://schemas.openxmlformats.org/drawingml/2006/main">
              <a:graphicData uri="http://schemas.openxmlformats.org/drawingml/2006/picture">
                <pic:pic xmlns:pic="http://schemas.openxmlformats.org/drawingml/2006/picture">
                  <pic:nvPicPr>
                    <pic:cNvPr id="106774" name="Picture 106774"/>
                    <pic:cNvPicPr/>
                  </pic:nvPicPr>
                  <pic:blipFill>
                    <a:blip r:embed="rId129"/>
                    <a:stretch>
                      <a:fillRect/>
                    </a:stretch>
                  </pic:blipFill>
                  <pic:spPr>
                    <a:xfrm>
                      <a:off x="0" y="0"/>
                      <a:ext cx="1120140" cy="402336"/>
                    </a:xfrm>
                    <a:prstGeom prst="rect">
                      <a:avLst/>
                    </a:prstGeom>
                  </pic:spPr>
                </pic:pic>
              </a:graphicData>
            </a:graphic>
          </wp:anchor>
        </w:drawing>
      </w:r>
      <w:r>
        <w:rPr>
          <w:sz w:val="26"/>
        </w:rPr>
        <w:t>Impresión, encuadernación y reproducción, 133 Viáticos en el interior, 136 Reconocimiento de gastos, 141 Transporte de personas, 157 Arrendamiento de equipo de cómputo, 158 Derechos de bienes intangibles y 186 Servicios de informática y sistemas computarizados, 189 Otros estudios y/o servicios; del Grupo de Gasto 3 Propiedad, Planta, Equipo e Intangibles, el renglón presupuestario: 328 Equipo de cómputo.</w:t>
      </w:r>
    </w:p>
    <w:p w14:paraId="1C026522" w14:textId="77777777" w:rsidR="00053D93" w:rsidRDefault="00260B75">
      <w:pPr>
        <w:spacing w:after="316" w:line="247" w:lineRule="auto"/>
        <w:ind w:left="1642" w:right="14" w:firstLine="4"/>
        <w:jc w:val="both"/>
      </w:pPr>
      <w:r>
        <w:rPr>
          <w:sz w:val="26"/>
        </w:rPr>
        <w:t>Del Programa 12 Educación Escolar de Primaria, se evaluó lo siguiente: Grupo de Gasto 1 Servicios no Personales, los renglones presupuestarios: 122 Impresión, encuadernación y reproducción y 189 Otros estudios y/o servicios.</w:t>
      </w:r>
    </w:p>
    <w:p w14:paraId="22EE7E7A" w14:textId="77777777" w:rsidR="00053D93" w:rsidRDefault="00260B75">
      <w:pPr>
        <w:spacing w:after="137" w:line="247" w:lineRule="auto"/>
        <w:ind w:left="1642" w:right="14" w:firstLine="4"/>
        <w:jc w:val="both"/>
      </w:pPr>
      <w:r>
        <w:rPr>
          <w:sz w:val="26"/>
        </w:rPr>
        <w:t>Del Programa 99 Partidas no Asignables a Programas, se evaluó lo siguiente:</w:t>
      </w:r>
    </w:p>
    <w:p w14:paraId="3276DFD8" w14:textId="77777777" w:rsidR="00053D93" w:rsidRDefault="00260B75">
      <w:pPr>
        <w:spacing w:after="44" w:line="384" w:lineRule="auto"/>
        <w:ind w:left="1634" w:right="14" w:hanging="1620"/>
        <w:jc w:val="both"/>
      </w:pPr>
      <w:r>
        <w:rPr>
          <w:rFonts w:ascii="Times New Roman" w:eastAsia="Times New Roman" w:hAnsi="Times New Roman" w:cs="Times New Roman"/>
          <w:sz w:val="26"/>
        </w:rPr>
        <w:t xml:space="preserve">1 </w:t>
      </w:r>
      <w:r>
        <w:rPr>
          <w:sz w:val="26"/>
        </w:rPr>
        <w:t>Gasto 4 Transferencias Corrientes, el renglón presupuestario: 472 Transferencias a organismos e instituciones internacionales.</w:t>
      </w:r>
    </w:p>
    <w:p w14:paraId="15762CED" w14:textId="77777777" w:rsidR="00053D93" w:rsidRDefault="00260B75">
      <w:pPr>
        <w:spacing w:after="544" w:line="247" w:lineRule="auto"/>
        <w:ind w:left="1627" w:right="14" w:firstLine="4"/>
        <w:jc w:val="both"/>
      </w:pPr>
      <w:r>
        <w:rPr>
          <w:sz w:val="26"/>
        </w:rPr>
        <w:t>Durante la Auditoría Financiera y de Cumplimiento, fue evaluado el Grupo de Gasto 0 Servicios Personales, en la primera fase de la auditoría, la cual comprendió del 01 de enero al 31 de julio de 2024, con excepción del renglón presupuestario 021 Personal supernumerario, el cual fue evaluado al 31 de diciembre de 2024; en virtud que, se examinaron los procesos y no se identificaron riesgos ni debilidades significativas, que pudieran incidir en los resultados operativos, administrativos, presupuestarios y/o financieros de la entidad.</w:t>
      </w:r>
    </w:p>
    <w:p w14:paraId="71A63033" w14:textId="77777777" w:rsidR="00053D93" w:rsidRDefault="00260B75">
      <w:pPr>
        <w:spacing w:after="18" w:line="248" w:lineRule="auto"/>
        <w:ind w:left="17" w:hanging="3"/>
        <w:jc w:val="both"/>
      </w:pPr>
      <w:r>
        <w:rPr>
          <w:rFonts w:ascii="Times New Roman" w:eastAsia="Times New Roman" w:hAnsi="Times New Roman" w:cs="Times New Roman"/>
          <w:sz w:val="28"/>
        </w:rPr>
        <w:t xml:space="preserve">1 </w:t>
      </w:r>
      <w:r>
        <w:rPr>
          <w:sz w:val="28"/>
        </w:rPr>
        <w:t>Unidad Ejecutora 123 Dirección General de Participación Comunitaria y Servicios de Apoyo -DIGEPSA</w:t>
      </w:r>
      <w:r>
        <w:rPr>
          <w:rFonts w:ascii="Times New Roman" w:eastAsia="Times New Roman" w:hAnsi="Times New Roman" w:cs="Times New Roman"/>
          <w:sz w:val="28"/>
        </w:rPr>
        <w:t>1</w:t>
      </w:r>
    </w:p>
    <w:p w14:paraId="0F9405E6" w14:textId="77777777" w:rsidR="00053D93" w:rsidRDefault="00260B75">
      <w:pPr>
        <w:spacing w:after="17" w:line="247" w:lineRule="auto"/>
        <w:ind w:left="1634" w:right="14" w:firstLine="4"/>
        <w:jc w:val="both"/>
      </w:pPr>
      <w:r>
        <w:rPr>
          <w:sz w:val="26"/>
        </w:rPr>
        <w:t>Programa 05, Actividades Comunes a los Programas de Preprimaria, Primaria y</w:t>
      </w:r>
    </w:p>
    <w:p w14:paraId="3CB2F54A" w14:textId="77777777" w:rsidR="00053D93" w:rsidRDefault="00260B75">
      <w:pPr>
        <w:spacing w:after="17" w:line="247" w:lineRule="auto"/>
        <w:ind w:left="1634" w:right="14" w:firstLine="4"/>
        <w:jc w:val="both"/>
      </w:pPr>
      <w:r>
        <w:rPr>
          <w:sz w:val="26"/>
        </w:rPr>
        <w:t>Básico y Diversificado (PRG. 1 1 , 12, 13 y 14), se evaluó lo siguiente: Grupo de</w:t>
      </w:r>
    </w:p>
    <w:p w14:paraId="3878DC38" w14:textId="77777777" w:rsidR="00053D93" w:rsidRDefault="00053D93">
      <w:pPr>
        <w:sectPr w:rsidR="00053D93">
          <w:headerReference w:type="even" r:id="rId130"/>
          <w:headerReference w:type="default" r:id="rId131"/>
          <w:footerReference w:type="even" r:id="rId132"/>
          <w:footerReference w:type="default" r:id="rId133"/>
          <w:headerReference w:type="first" r:id="rId134"/>
          <w:footerReference w:type="first" r:id="rId135"/>
          <w:pgSz w:w="12290" w:h="15912"/>
          <w:pgMar w:top="785" w:right="1807" w:bottom="785" w:left="396" w:header="662" w:footer="720" w:gutter="0"/>
          <w:cols w:space="720"/>
          <w:titlePg/>
        </w:sectPr>
      </w:pPr>
    </w:p>
    <w:p w14:paraId="0FA51D00" w14:textId="77777777" w:rsidR="00053D93" w:rsidRDefault="00260B75">
      <w:pPr>
        <w:spacing w:after="371" w:line="265" w:lineRule="auto"/>
        <w:ind w:left="1616" w:hanging="10"/>
        <w:jc w:val="center"/>
      </w:pPr>
      <w:r>
        <w:rPr>
          <w:noProof/>
        </w:rPr>
        <w:lastRenderedPageBreak/>
        <w:drawing>
          <wp:anchor distT="0" distB="0" distL="114300" distR="114300" simplePos="0" relativeHeight="251726848" behindDoc="0" locked="0" layoutInCell="1" allowOverlap="0" wp14:anchorId="69DE4ECB" wp14:editId="1081C087">
            <wp:simplePos x="0" y="0"/>
            <wp:positionH relativeFrom="column">
              <wp:posOffset>-118871</wp:posOffset>
            </wp:positionH>
            <wp:positionV relativeFrom="paragraph">
              <wp:posOffset>-187451</wp:posOffset>
            </wp:positionV>
            <wp:extent cx="269748" cy="1408176"/>
            <wp:effectExtent l="0" t="0" r="0" b="0"/>
            <wp:wrapSquare wrapText="bothSides"/>
            <wp:docPr id="110329" name="Picture 110329"/>
            <wp:cNvGraphicFramePr/>
            <a:graphic xmlns:a="http://schemas.openxmlformats.org/drawingml/2006/main">
              <a:graphicData uri="http://schemas.openxmlformats.org/drawingml/2006/picture">
                <pic:pic xmlns:pic="http://schemas.openxmlformats.org/drawingml/2006/picture">
                  <pic:nvPicPr>
                    <pic:cNvPr id="110329" name="Picture 110329"/>
                    <pic:cNvPicPr/>
                  </pic:nvPicPr>
                  <pic:blipFill>
                    <a:blip r:embed="rId136"/>
                    <a:stretch>
                      <a:fillRect/>
                    </a:stretch>
                  </pic:blipFill>
                  <pic:spPr>
                    <a:xfrm>
                      <a:off x="0" y="0"/>
                      <a:ext cx="269748" cy="1408176"/>
                    </a:xfrm>
                    <a:prstGeom prst="rect">
                      <a:avLst/>
                    </a:prstGeom>
                  </pic:spPr>
                </pic:pic>
              </a:graphicData>
            </a:graphic>
          </wp:anchor>
        </w:drawing>
      </w:r>
      <w:r>
        <w:rPr>
          <w:noProof/>
        </w:rPr>
        <mc:AlternateContent>
          <mc:Choice Requires="wpg">
            <w:drawing>
              <wp:anchor distT="0" distB="0" distL="114300" distR="114300" simplePos="0" relativeHeight="251727872" behindDoc="0" locked="0" layoutInCell="1" allowOverlap="1" wp14:anchorId="5CC3BB68" wp14:editId="5BF95FBE">
                <wp:simplePos x="0" y="0"/>
                <wp:positionH relativeFrom="column">
                  <wp:posOffset>1051560</wp:posOffset>
                </wp:positionH>
                <wp:positionV relativeFrom="paragraph">
                  <wp:posOffset>283464</wp:posOffset>
                </wp:positionV>
                <wp:extent cx="5381244" cy="9144"/>
                <wp:effectExtent l="0" t="0" r="0" b="0"/>
                <wp:wrapSquare wrapText="bothSides"/>
                <wp:docPr id="2458158" name="Group 2458158"/>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157" name="Shape 2458157"/>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158" style="width:423.72pt;height:0.720001pt;position:absolute;mso-position-horizontal-relative:text;mso-position-horizontal:absolute;margin-left:82.8pt;mso-position-vertical-relative:text;margin-top:22.32pt;" coordsize="53812,91">
                <v:shape id="Shape 2458157" style="position:absolute;width:53812;height:91;left:0;top:0;" coordsize="5381244,9144" path="m0,4572l5381244,4572">
                  <v:stroke weight="0.720001pt" endcap="flat" joinstyle="miter" miterlimit="1" on="true" color="#000000"/>
                  <v:fill on="false" color="#000000"/>
                </v:shape>
                <w10:wrap type="square"/>
              </v:group>
            </w:pict>
          </mc:Fallback>
        </mc:AlternateContent>
      </w:r>
      <w:r>
        <w:rPr>
          <w:rFonts w:ascii="Times New Roman" w:eastAsia="Times New Roman" w:hAnsi="Times New Roman" w:cs="Times New Roman"/>
          <w:sz w:val="12"/>
        </w:rPr>
        <w:t>20</w:t>
      </w:r>
    </w:p>
    <w:p w14:paraId="4C563582" w14:textId="77777777" w:rsidR="00053D93" w:rsidRDefault="00260B75">
      <w:pPr>
        <w:spacing w:before="54" w:after="17" w:line="247" w:lineRule="auto"/>
        <w:ind w:left="14" w:right="14" w:firstLine="4"/>
        <w:jc w:val="both"/>
      </w:pPr>
      <w:r>
        <w:rPr>
          <w:sz w:val="26"/>
        </w:rPr>
        <w:t>Gasto O Servicios Personales, los renglones presupuestarios: 01 1 Personal permanente, 015 Complementos específicos al personal permanente, 022 Personal por contrato, 027 Complementos específicos al personal temporal, 071</w:t>
      </w:r>
    </w:p>
    <w:p w14:paraId="224F9206" w14:textId="77777777" w:rsidR="00053D93" w:rsidRDefault="00260B75">
      <w:pPr>
        <w:spacing w:after="315" w:line="247" w:lineRule="auto"/>
        <w:ind w:left="14" w:right="14" w:firstLine="4"/>
        <w:jc w:val="both"/>
      </w:pPr>
      <w:r>
        <w:rPr>
          <w:sz w:val="26"/>
        </w:rPr>
        <w:t>Aguinaldo y 072 Bonificación anual (Bono 14); del Grupo de Gasto 1 Servicios no Personales, los renglones presupuestarios: 122 Impresión, encuadernación y</w:t>
      </w:r>
    </w:p>
    <w:p w14:paraId="61A1A2D4" w14:textId="77777777" w:rsidR="00053D93" w:rsidRDefault="00260B75">
      <w:pPr>
        <w:spacing w:after="315" w:line="247" w:lineRule="auto"/>
        <w:ind w:left="14" w:right="14" w:firstLine="4"/>
        <w:jc w:val="both"/>
      </w:pPr>
      <w:r>
        <w:rPr>
          <w:sz w:val="26"/>
        </w:rPr>
        <w:t>reproducción, 133 Viáticos en el interior, 151 Arrendamiento de edificios y locales, 165 Mantenimiento y reparación de medios de transporte y 191 Primas y gastos de seguros y fianzas; dei Grupo de Gasto 2 Materiales y Suministros, el renglón presupuestario: 262 Combustibles y lubricantes.</w:t>
      </w:r>
    </w:p>
    <w:p w14:paraId="10F09721" w14:textId="77777777" w:rsidR="00053D93" w:rsidRDefault="00260B75">
      <w:pPr>
        <w:spacing w:after="296" w:line="247" w:lineRule="auto"/>
        <w:ind w:left="1670" w:right="14" w:firstLine="4"/>
        <w:jc w:val="both"/>
      </w:pPr>
      <w:r>
        <w:rPr>
          <w:sz w:val="26"/>
        </w:rPr>
        <w:t>Programa 1 1 , Educación Escolar de Preprimaria, se evaluó lo siguiente: Grupo de Gasto 1 Servicios no Personales, el renglón presupuestario: 191 Primas y gastos de seguros y fianzas.</w:t>
      </w:r>
    </w:p>
    <w:p w14:paraId="78E286FB" w14:textId="77777777" w:rsidR="00053D93" w:rsidRDefault="00260B75">
      <w:pPr>
        <w:spacing w:after="303" w:line="247" w:lineRule="auto"/>
        <w:ind w:left="1670" w:right="14" w:firstLine="4"/>
        <w:jc w:val="both"/>
      </w:pPr>
      <w:r>
        <w:rPr>
          <w:sz w:val="26"/>
        </w:rPr>
        <w:t>Programa 12, Educación Escolar de Primaria, se evaluó Io siguiente: Grupo de Gasto 1 Servicios no Personales, el renglón presupuestario: 191 Primas y gastos de seguros y fianzas.</w:t>
      </w:r>
    </w:p>
    <w:tbl>
      <w:tblPr>
        <w:tblStyle w:val="TableGrid"/>
        <w:tblpPr w:vertAnchor="page" w:horzAnchor="page" w:tblpX="2902" w:tblpY="14486"/>
        <w:tblOverlap w:val="never"/>
        <w:tblW w:w="7618" w:type="dxa"/>
        <w:tblInd w:w="0" w:type="dxa"/>
        <w:tblCellMar>
          <w:top w:w="21" w:type="dxa"/>
          <w:left w:w="1735" w:type="dxa"/>
          <w:right w:w="115" w:type="dxa"/>
        </w:tblCellMar>
        <w:tblLook w:val="04A0" w:firstRow="1" w:lastRow="0" w:firstColumn="1" w:lastColumn="0" w:noHBand="0" w:noVBand="1"/>
      </w:tblPr>
      <w:tblGrid>
        <w:gridCol w:w="7618"/>
      </w:tblGrid>
      <w:tr w:rsidR="00053D93" w14:paraId="1E3A41DF" w14:textId="77777777">
        <w:trPr>
          <w:trHeight w:val="40"/>
        </w:trPr>
        <w:tc>
          <w:tcPr>
            <w:tcW w:w="7618" w:type="dxa"/>
            <w:tcBorders>
              <w:top w:val="nil"/>
              <w:left w:val="single" w:sz="2" w:space="0" w:color="000000"/>
              <w:bottom w:val="single" w:sz="2" w:space="0" w:color="000000"/>
              <w:right w:val="nil"/>
            </w:tcBorders>
          </w:tcPr>
          <w:p w14:paraId="25613BA7" w14:textId="77777777" w:rsidR="00053D93" w:rsidRDefault="00053D93"/>
        </w:tc>
      </w:tr>
      <w:tr w:rsidR="00053D93" w14:paraId="6ED368AC" w14:textId="77777777">
        <w:trPr>
          <w:trHeight w:val="600"/>
        </w:trPr>
        <w:tc>
          <w:tcPr>
            <w:tcW w:w="7618" w:type="dxa"/>
            <w:tcBorders>
              <w:top w:val="single" w:sz="2" w:space="0" w:color="000000"/>
              <w:left w:val="single" w:sz="2" w:space="0" w:color="000000"/>
              <w:bottom w:val="nil"/>
              <w:right w:val="nil"/>
            </w:tcBorders>
          </w:tcPr>
          <w:p w14:paraId="3BFDD770" w14:textId="77777777" w:rsidR="00053D93" w:rsidRDefault="00260B75">
            <w:pPr>
              <w:ind w:left="828"/>
            </w:pPr>
            <w:r>
              <w:rPr>
                <w:sz w:val="14"/>
              </w:rPr>
              <w:lastRenderedPageBreak/>
              <w:t>MINISTERIO DE EDUCACION</w:t>
            </w:r>
          </w:p>
          <w:p w14:paraId="143EABD9" w14:textId="77777777" w:rsidR="00053D93" w:rsidRDefault="00260B75">
            <w:pPr>
              <w:ind w:left="331"/>
            </w:pPr>
            <w:r>
              <w:rPr>
                <w:sz w:val="14"/>
              </w:rPr>
              <w:t>AUDITORIA FINANCiERA Y DE CUMPLIMIENTO</w:t>
            </w:r>
          </w:p>
          <w:p w14:paraId="4353543C" w14:textId="77777777" w:rsidR="00053D93" w:rsidRDefault="00260B75">
            <w:r>
              <w:rPr>
                <w:sz w:val="14"/>
              </w:rPr>
              <w:t>PERIODO DEL 01 DE ENERO AL 31 DE DICIEMBRE DE 2024</w:t>
            </w:r>
          </w:p>
        </w:tc>
      </w:tr>
    </w:tbl>
    <w:p w14:paraId="3F637762" w14:textId="77777777" w:rsidR="00053D93" w:rsidRDefault="00260B75">
      <w:pPr>
        <w:spacing w:after="309" w:line="247" w:lineRule="auto"/>
        <w:ind w:left="1670" w:right="14" w:firstLine="4"/>
        <w:jc w:val="both"/>
      </w:pPr>
      <w:r>
        <w:rPr>
          <w:noProof/>
        </w:rPr>
        <w:drawing>
          <wp:anchor distT="0" distB="0" distL="114300" distR="114300" simplePos="0" relativeHeight="251728896" behindDoc="0" locked="0" layoutInCell="1" allowOverlap="0" wp14:anchorId="08DAE97F" wp14:editId="513C6F13">
            <wp:simplePos x="0" y="0"/>
            <wp:positionH relativeFrom="page">
              <wp:posOffset>699516</wp:posOffset>
            </wp:positionH>
            <wp:positionV relativeFrom="page">
              <wp:posOffset>9198864</wp:posOffset>
            </wp:positionV>
            <wp:extent cx="1120140" cy="406908"/>
            <wp:effectExtent l="0" t="0" r="0" b="0"/>
            <wp:wrapTopAndBottom/>
            <wp:docPr id="110330" name="Picture 110330"/>
            <wp:cNvGraphicFramePr/>
            <a:graphic xmlns:a="http://schemas.openxmlformats.org/drawingml/2006/main">
              <a:graphicData uri="http://schemas.openxmlformats.org/drawingml/2006/picture">
                <pic:pic xmlns:pic="http://schemas.openxmlformats.org/drawingml/2006/picture">
                  <pic:nvPicPr>
                    <pic:cNvPr id="110330" name="Picture 110330"/>
                    <pic:cNvPicPr/>
                  </pic:nvPicPr>
                  <pic:blipFill>
                    <a:blip r:embed="rId137"/>
                    <a:stretch>
                      <a:fillRect/>
                    </a:stretch>
                  </pic:blipFill>
                  <pic:spPr>
                    <a:xfrm>
                      <a:off x="0" y="0"/>
                      <a:ext cx="1120140" cy="406908"/>
                    </a:xfrm>
                    <a:prstGeom prst="rect">
                      <a:avLst/>
                    </a:prstGeom>
                  </pic:spPr>
                </pic:pic>
              </a:graphicData>
            </a:graphic>
          </wp:anchor>
        </w:drawing>
      </w:r>
      <w:r>
        <w:rPr>
          <w:sz w:val="26"/>
        </w:rPr>
        <w:t>Programa 13, Educación Escolar de Básica, se evaluó lo siguiente: Grupo de Gasto 1 Servicios no Personales, el renglón presupuestario: 191 Primas y gastos de seguros y fianzas.</w:t>
      </w:r>
    </w:p>
    <w:p w14:paraId="65E7CFD4" w14:textId="77777777" w:rsidR="00053D93" w:rsidRDefault="00260B75">
      <w:pPr>
        <w:spacing w:after="309" w:line="247" w:lineRule="auto"/>
        <w:ind w:left="1670" w:right="14" w:firstLine="4"/>
        <w:jc w:val="both"/>
      </w:pPr>
      <w:r>
        <w:rPr>
          <w:sz w:val="26"/>
        </w:rPr>
        <w:t>Programa 14, Educación Escolar de Diversificada, se evaluó lo siguiente: Grupo de Gasto 1 Servicios no Personales, el renglón presupuestario: 191 Primas y gastos de seguros y fianzas.</w:t>
      </w:r>
    </w:p>
    <w:p w14:paraId="091CE112" w14:textId="77777777" w:rsidR="00053D93" w:rsidRDefault="00260B75">
      <w:pPr>
        <w:spacing w:after="17" w:line="247" w:lineRule="auto"/>
        <w:ind w:left="14" w:right="14" w:firstLine="1656"/>
        <w:jc w:val="both"/>
      </w:pPr>
      <w:r>
        <w:rPr>
          <w:sz w:val="26"/>
        </w:rPr>
        <w:t xml:space="preserve">Durante la Auditoría Financiera y de Cumplimiento, fue evaluado el Grupo de Gasto 0 Servicios Personales, en la primera fase de la auditoría, la cual comprendió del 01 de enero al 31 de julio de 2024, con excepción del renglón presupuestario 021 Personal supernumerario, el cual fue evaluado al 31 de </w:t>
      </w:r>
      <w:r>
        <w:rPr>
          <w:rFonts w:ascii="Times New Roman" w:eastAsia="Times New Roman" w:hAnsi="Times New Roman" w:cs="Times New Roman"/>
          <w:sz w:val="26"/>
        </w:rPr>
        <w:t xml:space="preserve">1 </w:t>
      </w:r>
      <w:r>
        <w:rPr>
          <w:sz w:val="26"/>
        </w:rPr>
        <w:t>diciembre de 2024; en virtud que, se examinaron los procesos y no se identificaron riesgos ni debilidades significativas, que pudieran incidir en los resultados operativos, administrativos, presupuestarios y/o financieros de la entidad.</w:t>
      </w:r>
    </w:p>
    <w:p w14:paraId="33F315FA" w14:textId="77777777" w:rsidR="00053D93" w:rsidRDefault="00260B75">
      <w:pPr>
        <w:spacing w:after="3"/>
        <w:ind w:left="74" w:right="3485" w:hanging="10"/>
      </w:pPr>
      <w:r>
        <w:rPr>
          <w:rFonts w:ascii="Times New Roman" w:eastAsia="Times New Roman" w:hAnsi="Times New Roman" w:cs="Times New Roman"/>
          <w:sz w:val="70"/>
        </w:rPr>
        <w:t>1</w:t>
      </w:r>
    </w:p>
    <w:p w14:paraId="0F9EF8A2" w14:textId="77777777" w:rsidR="00053D93" w:rsidRDefault="00260B75">
      <w:pPr>
        <w:spacing w:after="273" w:line="248" w:lineRule="auto"/>
        <w:ind w:left="1709" w:hanging="3"/>
        <w:jc w:val="both"/>
      </w:pPr>
      <w:r>
        <w:rPr>
          <w:sz w:val="28"/>
        </w:rPr>
        <w:t>Unidad Ejecutora 124 Dirección General de Gestión de Calidad Educativa</w:t>
      </w:r>
    </w:p>
    <w:p w14:paraId="60B5060A" w14:textId="77777777" w:rsidR="00053D93" w:rsidRDefault="00260B75">
      <w:pPr>
        <w:tabs>
          <w:tab w:val="center" w:pos="2344"/>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-DIGECADE-</w:t>
      </w:r>
    </w:p>
    <w:p w14:paraId="1BB58766" w14:textId="77777777" w:rsidR="00053D93" w:rsidRDefault="00260B75">
      <w:pPr>
        <w:spacing w:after="17" w:line="247" w:lineRule="auto"/>
        <w:ind w:left="1678" w:right="14" w:firstLine="4"/>
        <w:jc w:val="both"/>
      </w:pPr>
      <w:r>
        <w:rPr>
          <w:sz w:val="26"/>
        </w:rPr>
        <w:t>Del Programa 01 Actividades Centrales se evaluó lo siguiente: Grupo de Gasto 0</w:t>
      </w:r>
    </w:p>
    <w:p w14:paraId="1E181EC3" w14:textId="77777777" w:rsidR="00053D93" w:rsidRDefault="00260B75">
      <w:pPr>
        <w:spacing w:after="17" w:line="247" w:lineRule="auto"/>
        <w:ind w:left="1670" w:right="14" w:firstLine="4"/>
        <w:jc w:val="both"/>
      </w:pPr>
      <w:r>
        <w:rPr>
          <w:sz w:val="26"/>
        </w:rPr>
        <w:t xml:space="preserve">Servicios Personales, los renglones presupuestarios: 01 1 Personal permanente, 015 Complementos específicos al personal permanente, 022 Personal por contrato, 027 Complementos específicos al personal temporal,. 071 Aguinaldo y 072 Bonificación anual (Bono 14); del Grupo de Gasto 1 Servicios no Personales, </w:t>
      </w:r>
      <w:r>
        <w:rPr>
          <w:sz w:val="26"/>
        </w:rPr>
        <w:lastRenderedPageBreak/>
        <w:t>los renglones presupuestarios: 121 Divulgación e información, 189 Otros estudios</w:t>
      </w:r>
    </w:p>
    <w:p w14:paraId="1E60D5FD" w14:textId="77777777" w:rsidR="00053D93" w:rsidRDefault="00260B75">
      <w:pPr>
        <w:spacing w:after="167" w:line="265" w:lineRule="auto"/>
        <w:ind w:left="3099" w:hanging="10"/>
      </w:pPr>
      <w:r>
        <w:rPr>
          <w:sz w:val="14"/>
        </w:rPr>
        <w:t xml:space="preserve">OE </w:t>
      </w:r>
    </w:p>
    <w:p w14:paraId="03FE18C4" w14:textId="77777777" w:rsidR="00053D93" w:rsidRDefault="00260B75">
      <w:pPr>
        <w:spacing w:after="29"/>
        <w:ind w:left="1649"/>
      </w:pPr>
      <w:r>
        <w:rPr>
          <w:noProof/>
        </w:rPr>
        <mc:AlternateContent>
          <mc:Choice Requires="wpg">
            <w:drawing>
              <wp:inline distT="0" distB="0" distL="0" distR="0" wp14:anchorId="167DFFC0" wp14:editId="7AC9260A">
                <wp:extent cx="5376672" cy="9144"/>
                <wp:effectExtent l="0" t="0" r="0" b="0"/>
                <wp:docPr id="2458160" name="Group 2458160"/>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159" name="Shape 2458159"/>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60" style="width:423.36pt;height:0.719997pt;mso-position-horizontal-relative:char;mso-position-vertical-relative:line" coordsize="53766,91">
                <v:shape id="Shape 2458159" style="position:absolute;width:53766;height:91;left:0;top:0;" coordsize="5376672,9144" path="m0,4572l5376672,4572">
                  <v:stroke weight="0.719997pt" endcap="flat" joinstyle="miter" miterlimit="1" on="true" color="#000000"/>
                  <v:fill on="false" color="#000000"/>
                </v:shape>
              </v:group>
            </w:pict>
          </mc:Fallback>
        </mc:AlternateContent>
      </w:r>
    </w:p>
    <w:p w14:paraId="4608C01D" w14:textId="77777777" w:rsidR="00053D93" w:rsidRDefault="00260B75">
      <w:pPr>
        <w:spacing w:after="318" w:line="247" w:lineRule="auto"/>
        <w:ind w:left="1649" w:right="14" w:firstLine="4"/>
        <w:jc w:val="both"/>
      </w:pPr>
      <w:r>
        <w:rPr>
          <w:sz w:val="26"/>
        </w:rPr>
        <w:t>y/o servicios, 196 Servicios de atención y protocolo y 199 Otros servicios; del Grupo de Gasto 2 Materiales y Suministros, los renglones presupuestarios: 21 1 Alimentos para personas, 267 Tintes, pinturas y colorantes y 291 Útiles de oficina; del Grupo de gasto 3 Propiedad, Planta, Equipo e Intangibles, el renglón presupuestario: 328 Equipo de cómputo.</w:t>
      </w:r>
    </w:p>
    <w:p w14:paraId="58BEF91E" w14:textId="77777777" w:rsidR="00053D93" w:rsidRDefault="00260B75">
      <w:pPr>
        <w:spacing w:after="308" w:line="247" w:lineRule="auto"/>
        <w:ind w:left="1663" w:right="14" w:firstLine="4"/>
        <w:jc w:val="both"/>
      </w:pPr>
      <w:r>
        <w:rPr>
          <w:sz w:val="26"/>
        </w:rPr>
        <w:t>Del Programa 03 Actividades Comunes a los Programas de Preprimaria y Primaria (PRG. 1 1 y 12), se evaluó lo siguiente: del Grupo de Gasto 1 Servicios no Personales, el renglón presupuestario: 185 Servicios de capacitación; del Grupo de gasto 3 Propiedad, Planta, Equipo e Intangibles, el renglón presupuestario: 324 Equipo educacional, cultural y recreativo.</w:t>
      </w:r>
    </w:p>
    <w:p w14:paraId="3167D2E9" w14:textId="77777777" w:rsidR="00053D93" w:rsidRDefault="00260B75">
      <w:pPr>
        <w:spacing w:after="323" w:line="247" w:lineRule="auto"/>
        <w:ind w:left="1663" w:right="14" w:firstLine="4"/>
        <w:jc w:val="both"/>
      </w:pPr>
      <w:r>
        <w:rPr>
          <w:sz w:val="26"/>
        </w:rPr>
        <w:t>Del Programa 04 Actividades Comunes a los Programas de Primaria, Básico y</w:t>
      </w:r>
    </w:p>
    <w:p w14:paraId="7712F468" w14:textId="77777777" w:rsidR="00053D93" w:rsidRDefault="00260B75">
      <w:pPr>
        <w:spacing w:after="323" w:line="247" w:lineRule="auto"/>
        <w:ind w:left="1663" w:right="14" w:firstLine="4"/>
        <w:jc w:val="both"/>
      </w:pPr>
      <w:r>
        <w:rPr>
          <w:sz w:val="26"/>
        </w:rPr>
        <w:t>Diversificado (PRG. 12, 13 y 14), se evaluó lo siguiente: del Grupo de Gasto 1 Servicios no Personales, el renglón presupuestario: 189 Otros estudios y/o servicios.</w:t>
      </w:r>
    </w:p>
    <w:tbl>
      <w:tblPr>
        <w:tblStyle w:val="TableGrid"/>
        <w:tblpPr w:vertAnchor="page" w:horzAnchor="page" w:tblpX="2899" w:tblpY="14450"/>
        <w:tblOverlap w:val="never"/>
        <w:tblW w:w="7613" w:type="dxa"/>
        <w:tblInd w:w="0" w:type="dxa"/>
        <w:tblCellMar>
          <w:top w:w="18" w:type="dxa"/>
          <w:left w:w="1731" w:type="dxa"/>
          <w:right w:w="115" w:type="dxa"/>
        </w:tblCellMar>
        <w:tblLook w:val="04A0" w:firstRow="1" w:lastRow="0" w:firstColumn="1" w:lastColumn="0" w:noHBand="0" w:noVBand="1"/>
      </w:tblPr>
      <w:tblGrid>
        <w:gridCol w:w="7613"/>
      </w:tblGrid>
      <w:tr w:rsidR="00053D93" w14:paraId="3848866F" w14:textId="77777777">
        <w:trPr>
          <w:trHeight w:val="40"/>
        </w:trPr>
        <w:tc>
          <w:tcPr>
            <w:tcW w:w="7613" w:type="dxa"/>
            <w:tcBorders>
              <w:top w:val="nil"/>
              <w:left w:val="single" w:sz="2" w:space="0" w:color="000000"/>
              <w:bottom w:val="single" w:sz="2" w:space="0" w:color="000000"/>
              <w:right w:val="nil"/>
            </w:tcBorders>
          </w:tcPr>
          <w:p w14:paraId="2D3729BA" w14:textId="77777777" w:rsidR="00053D93" w:rsidRDefault="00053D93"/>
        </w:tc>
      </w:tr>
      <w:tr w:rsidR="00053D93" w14:paraId="5BECAB57" w14:textId="77777777">
        <w:trPr>
          <w:trHeight w:val="600"/>
        </w:trPr>
        <w:tc>
          <w:tcPr>
            <w:tcW w:w="7613" w:type="dxa"/>
            <w:tcBorders>
              <w:top w:val="single" w:sz="2" w:space="0" w:color="000000"/>
              <w:left w:val="single" w:sz="2" w:space="0" w:color="000000"/>
              <w:bottom w:val="nil"/>
              <w:right w:val="nil"/>
            </w:tcBorders>
          </w:tcPr>
          <w:p w14:paraId="515A1D33" w14:textId="77777777" w:rsidR="00053D93" w:rsidRDefault="00260B75">
            <w:pPr>
              <w:ind w:left="835"/>
            </w:pPr>
            <w:r>
              <w:rPr>
                <w:sz w:val="14"/>
              </w:rPr>
              <w:lastRenderedPageBreak/>
              <w:t>MINISTERIO DE EDUCACION</w:t>
            </w:r>
          </w:p>
          <w:p w14:paraId="091F154F" w14:textId="77777777" w:rsidR="00053D93" w:rsidRDefault="00260B75">
            <w:pPr>
              <w:ind w:left="338"/>
            </w:pPr>
            <w:r>
              <w:rPr>
                <w:sz w:val="14"/>
              </w:rPr>
              <w:t>AUDITORIA FINANCIERA Y DE CUMPLIMENTO</w:t>
            </w:r>
          </w:p>
          <w:p w14:paraId="08811AC5" w14:textId="77777777" w:rsidR="00053D93" w:rsidRDefault="00260B75">
            <w:r>
              <w:rPr>
                <w:sz w:val="14"/>
              </w:rPr>
              <w:t>PERIODO DEL DE ENERO AL 31 OE DICIEMBRE DE 2024</w:t>
            </w:r>
          </w:p>
        </w:tc>
      </w:tr>
    </w:tbl>
    <w:p w14:paraId="21761627" w14:textId="77777777" w:rsidR="00053D93" w:rsidRDefault="00260B75">
      <w:pPr>
        <w:spacing w:after="325" w:line="247" w:lineRule="auto"/>
        <w:ind w:left="1663" w:right="14" w:firstLine="4"/>
        <w:jc w:val="both"/>
      </w:pPr>
      <w:r>
        <w:rPr>
          <w:noProof/>
        </w:rPr>
        <w:drawing>
          <wp:anchor distT="0" distB="0" distL="114300" distR="114300" simplePos="0" relativeHeight="251729920" behindDoc="0" locked="0" layoutInCell="1" allowOverlap="0" wp14:anchorId="11C53DCE" wp14:editId="56E0B82A">
            <wp:simplePos x="0" y="0"/>
            <wp:positionH relativeFrom="page">
              <wp:posOffset>690372</wp:posOffset>
            </wp:positionH>
            <wp:positionV relativeFrom="page">
              <wp:posOffset>9176004</wp:posOffset>
            </wp:positionV>
            <wp:extent cx="1129284" cy="406908"/>
            <wp:effectExtent l="0" t="0" r="0" b="0"/>
            <wp:wrapTopAndBottom/>
            <wp:docPr id="113772" name="Picture 113772"/>
            <wp:cNvGraphicFramePr/>
            <a:graphic xmlns:a="http://schemas.openxmlformats.org/drawingml/2006/main">
              <a:graphicData uri="http://schemas.openxmlformats.org/drawingml/2006/picture">
                <pic:pic xmlns:pic="http://schemas.openxmlformats.org/drawingml/2006/picture">
                  <pic:nvPicPr>
                    <pic:cNvPr id="113772" name="Picture 113772"/>
                    <pic:cNvPicPr/>
                  </pic:nvPicPr>
                  <pic:blipFill>
                    <a:blip r:embed="rId138"/>
                    <a:stretch>
                      <a:fillRect/>
                    </a:stretch>
                  </pic:blipFill>
                  <pic:spPr>
                    <a:xfrm>
                      <a:off x="0" y="0"/>
                      <a:ext cx="1129284" cy="406908"/>
                    </a:xfrm>
                    <a:prstGeom prst="rect">
                      <a:avLst/>
                    </a:prstGeom>
                  </pic:spPr>
                </pic:pic>
              </a:graphicData>
            </a:graphic>
          </wp:anchor>
        </w:drawing>
      </w:r>
      <w:r>
        <w:rPr>
          <w:sz w:val="26"/>
        </w:rPr>
        <w:t>Del Programa 1 1 Educación Escolar de Preprimaria, se evaluó lo siguiente: del Grupo de Gasto 1 Servicios no Personales, los renglones presupuestarios: 122 Impresión, encuadernación y reproducción, 185 Servicios de capacitación, 189 Otros estudios y/o servicios, 196 Servicios de atención y protocolo y 199 Otros servicios.</w:t>
      </w:r>
    </w:p>
    <w:p w14:paraId="4A3C9F13" w14:textId="77777777" w:rsidR="00053D93" w:rsidRDefault="00260B75">
      <w:pPr>
        <w:spacing w:after="185" w:line="247" w:lineRule="auto"/>
        <w:ind w:left="14" w:right="14" w:firstLine="1649"/>
        <w:jc w:val="both"/>
      </w:pPr>
      <w:r>
        <w:rPr>
          <w:sz w:val="26"/>
        </w:rPr>
        <w:t xml:space="preserve">Del Programa 12 Educación Escolar de Primaria, se evaluó lo siguiente: del Grupo de Gasto 1 Servicios no Personales, los renglones presupuestarios: 122 Impresión, encuadernación y reproducción, 158 Derechos de bienes intangibles y 185 Servicios de capacitación; del Grupo de gasto 3 Propiedad, Planta, Equipo e </w:t>
      </w:r>
      <w:r>
        <w:rPr>
          <w:rFonts w:ascii="Times New Roman" w:eastAsia="Times New Roman" w:hAnsi="Times New Roman" w:cs="Times New Roman"/>
          <w:sz w:val="26"/>
        </w:rPr>
        <w:t xml:space="preserve">1 </w:t>
      </w:r>
      <w:r>
        <w:rPr>
          <w:sz w:val="26"/>
        </w:rPr>
        <w:t>Intangibles, el renglón presupuestario: 328 Equipo de cómputo.</w:t>
      </w:r>
    </w:p>
    <w:p w14:paraId="12AF6BA1" w14:textId="77777777" w:rsidR="00053D93" w:rsidRDefault="00260B75">
      <w:pPr>
        <w:spacing w:after="325" w:line="247" w:lineRule="auto"/>
        <w:ind w:left="1663" w:right="14" w:firstLine="4"/>
        <w:jc w:val="both"/>
      </w:pPr>
      <w:r>
        <w:rPr>
          <w:sz w:val="26"/>
        </w:rPr>
        <w:t>Del Programa 13 Educación Escolar Básica, se evaluó Io siguiente: del Grupo de gasto 3 Propiedad, Planta, Equipo e Intangibles, el renglón presupuestario: 328 Equipo de cómputo.</w:t>
      </w:r>
    </w:p>
    <w:p w14:paraId="6EC0BD27" w14:textId="77777777" w:rsidR="00053D93" w:rsidRDefault="00260B75">
      <w:pPr>
        <w:spacing w:after="17" w:line="247" w:lineRule="auto"/>
        <w:ind w:left="1670" w:right="14" w:firstLine="4"/>
        <w:jc w:val="both"/>
      </w:pPr>
      <w:r>
        <w:rPr>
          <w:sz w:val="26"/>
        </w:rPr>
        <w:t>Del Programa 14 Educación Escolar Diversificada, se evaluó lo siguiente: del</w:t>
      </w:r>
    </w:p>
    <w:p w14:paraId="73256DD0" w14:textId="77777777" w:rsidR="00053D93" w:rsidRDefault="00260B75">
      <w:pPr>
        <w:spacing w:after="125" w:line="247" w:lineRule="auto"/>
        <w:ind w:left="14" w:right="14" w:firstLine="1649"/>
        <w:jc w:val="both"/>
      </w:pPr>
      <w:r>
        <w:rPr>
          <w:sz w:val="26"/>
        </w:rPr>
        <w:t xml:space="preserve">Grupo de Gasto 1 Servicios no Personales, el renglón presupuestario: 185 </w:t>
      </w:r>
      <w:r>
        <w:rPr>
          <w:rFonts w:ascii="Times New Roman" w:eastAsia="Times New Roman" w:hAnsi="Times New Roman" w:cs="Times New Roman"/>
          <w:sz w:val="26"/>
        </w:rPr>
        <w:t xml:space="preserve">1 </w:t>
      </w:r>
      <w:r>
        <w:rPr>
          <w:sz w:val="26"/>
        </w:rPr>
        <w:t>Servicios de capacitación.</w:t>
      </w:r>
    </w:p>
    <w:p w14:paraId="7DF2AD16" w14:textId="77777777" w:rsidR="00053D93" w:rsidRDefault="00260B75">
      <w:pPr>
        <w:spacing w:after="17" w:line="247" w:lineRule="auto"/>
        <w:ind w:left="1663" w:right="14" w:firstLine="4"/>
        <w:jc w:val="both"/>
      </w:pPr>
      <w:r>
        <w:rPr>
          <w:sz w:val="26"/>
        </w:rPr>
        <w:t>Durante la Auditoría Financiera y de Cumplimiento, fue evaluado el Grupo de Gasto O Servicios Personales, en la primera fase de la auditoría, la cual comprendió del 01 de enero al 31 de julio de 2024, con excepción del renglón presupuestario 021 Personal supernumerario, el cual fue evaluado al 31 de</w:t>
      </w:r>
    </w:p>
    <w:p w14:paraId="61E70DD1" w14:textId="77777777" w:rsidR="00053D93" w:rsidRDefault="00260B75">
      <w:pPr>
        <w:spacing w:after="178" w:line="265" w:lineRule="auto"/>
        <w:ind w:left="1846" w:right="223" w:hanging="10"/>
        <w:jc w:val="center"/>
      </w:pPr>
      <w:r>
        <w:rPr>
          <w:rFonts w:ascii="Times New Roman" w:eastAsia="Times New Roman" w:hAnsi="Times New Roman" w:cs="Times New Roman"/>
          <w:sz w:val="14"/>
        </w:rPr>
        <w:t>22</w:t>
      </w:r>
    </w:p>
    <w:p w14:paraId="7809E942" w14:textId="77777777" w:rsidR="00053D93" w:rsidRDefault="00260B75">
      <w:pPr>
        <w:spacing w:after="46"/>
        <w:ind w:left="1627" w:right="-14"/>
      </w:pPr>
      <w:r>
        <w:rPr>
          <w:noProof/>
        </w:rPr>
        <w:lastRenderedPageBreak/>
        <mc:AlternateContent>
          <mc:Choice Requires="wpg">
            <w:drawing>
              <wp:inline distT="0" distB="0" distL="0" distR="0" wp14:anchorId="0606032B" wp14:editId="2FB44F48">
                <wp:extent cx="5381244" cy="9144"/>
                <wp:effectExtent l="0" t="0" r="0" b="0"/>
                <wp:docPr id="2458162" name="Group 2458162"/>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161" name="Shape 2458161"/>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62" style="width:423.72pt;height:0.720001pt;mso-position-horizontal-relative:char;mso-position-vertical-relative:line" coordsize="53812,91">
                <v:shape id="Shape 2458161" style="position:absolute;width:53812;height:91;left:0;top:0;" coordsize="5381244,9144" path="m0,4572l5381244,4572">
                  <v:stroke weight="0.720001pt" endcap="flat" joinstyle="miter" miterlimit="1" on="true" color="#000000"/>
                  <v:fill on="false" color="#000000"/>
                </v:shape>
              </v:group>
            </w:pict>
          </mc:Fallback>
        </mc:AlternateContent>
      </w:r>
    </w:p>
    <w:p w14:paraId="2F467D1E" w14:textId="77777777" w:rsidR="00053D93" w:rsidRDefault="00260B75">
      <w:pPr>
        <w:spacing w:after="279" w:line="247" w:lineRule="auto"/>
        <w:ind w:left="1642" w:right="14" w:firstLine="4"/>
        <w:jc w:val="both"/>
      </w:pPr>
      <w:r>
        <w:rPr>
          <w:sz w:val="26"/>
        </w:rPr>
        <w:t>diciembre de 2024; en virtud que, se examinaron los procesos y no se identificaron riesgos ni debilidades significativas, que pudieran incidir en los resultados operativos, administrativos, presupuestarios y/o financieros de la entidad.</w:t>
      </w:r>
    </w:p>
    <w:p w14:paraId="3E3AB05B" w14:textId="77777777" w:rsidR="00053D93" w:rsidRDefault="00260B75">
      <w:pPr>
        <w:spacing w:after="50" w:line="248" w:lineRule="auto"/>
        <w:ind w:left="-43" w:firstLine="1692"/>
        <w:jc w:val="both"/>
      </w:pPr>
      <w:r>
        <w:rPr>
          <w:sz w:val="28"/>
        </w:rPr>
        <w:t xml:space="preserve">Unidad Ejecutora 128 Dirección General de Monitoreo y Verificación de la </w:t>
      </w:r>
      <w:r>
        <w:rPr>
          <w:noProof/>
        </w:rPr>
        <mc:AlternateContent>
          <mc:Choice Requires="wpg">
            <w:drawing>
              <wp:inline distT="0" distB="0" distL="0" distR="0" wp14:anchorId="33523BA6" wp14:editId="74C71582">
                <wp:extent cx="137160" cy="402336"/>
                <wp:effectExtent l="0" t="0" r="0" b="0"/>
                <wp:docPr id="2454395" name="Group 2454395"/>
                <wp:cNvGraphicFramePr/>
                <a:graphic xmlns:a="http://schemas.openxmlformats.org/drawingml/2006/main">
                  <a:graphicData uri="http://schemas.microsoft.com/office/word/2010/wordprocessingGroup">
                    <wpg:wgp>
                      <wpg:cNvGrpSpPr/>
                      <wpg:grpSpPr>
                        <a:xfrm>
                          <a:off x="0" y="0"/>
                          <a:ext cx="137160" cy="402336"/>
                          <a:chOff x="0" y="0"/>
                          <a:chExt cx="137160" cy="402336"/>
                        </a:xfrm>
                      </wpg:grpSpPr>
                      <wps:wsp>
                        <wps:cNvPr id="114253" name="Rectangle 114253"/>
                        <wps:cNvSpPr/>
                        <wps:spPr>
                          <a:xfrm>
                            <a:off x="0" y="0"/>
                            <a:ext cx="182423" cy="535107"/>
                          </a:xfrm>
                          <a:prstGeom prst="rect">
                            <a:avLst/>
                          </a:prstGeom>
                          <a:ln>
                            <a:noFill/>
                          </a:ln>
                        </wps:spPr>
                        <wps:txbx>
                          <w:txbxContent>
                            <w:p w14:paraId="1F3DC06E" w14:textId="77777777" w:rsidR="00053D93" w:rsidRDefault="00260B75">
                              <w:r>
                                <w:rPr>
                                  <w:sz w:val="284"/>
                                </w:rPr>
                                <w:t>i</w:t>
                              </w:r>
                            </w:p>
                          </w:txbxContent>
                        </wps:txbx>
                        <wps:bodyPr horzOverflow="overflow" vert="horz" lIns="0" tIns="0" rIns="0" bIns="0" rtlCol="0">
                          <a:noAutofit/>
                        </wps:bodyPr>
                      </wps:wsp>
                    </wpg:wgp>
                  </a:graphicData>
                </a:graphic>
              </wp:inline>
            </w:drawing>
          </mc:Choice>
          <mc:Fallback>
            <w:pict>
              <v:group w14:anchorId="33523BA6" id="Group 2454395" o:spid="_x0000_s1148" style="width:10.8pt;height:31.7pt;mso-position-horizontal-relative:char;mso-position-vertical-relative:line" coordsize="137160,40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">
                <v:rect id="Rectangle 114253" o:spid="_x0000_s1149" style="position:absolute;width:182423;height:53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" filled="f" stroked="f">
                  <v:textbox inset="0,0,0,0">
                    <w:txbxContent>
                      <w:p w14:paraId="1F3DC06E" w14:textId="77777777" w:rsidR="00053D93" w:rsidRDefault="00260B75">
                        <w:r>
                          <w:rPr>
                            <w:sz w:val="284"/>
                          </w:rPr>
                          <w:t>i</w:t>
                        </w:r>
                      </w:p>
                    </w:txbxContent>
                  </v:textbox>
                </v:rect>
                <w10:anchorlock/>
              </v:group>
            </w:pict>
          </mc:Fallback>
        </mc:AlternateContent>
      </w:r>
      <w:r>
        <w:rPr>
          <w:sz w:val="28"/>
        </w:rPr>
        <w:t xml:space="preserve"> Calidad -DIGEMOCA-</w:t>
      </w:r>
    </w:p>
    <w:tbl>
      <w:tblPr>
        <w:tblStyle w:val="TableGrid"/>
        <w:tblpPr w:vertAnchor="page" w:horzAnchor="page" w:tblpX="2849" w:tblpY="14465"/>
        <w:tblOverlap w:val="never"/>
        <w:tblW w:w="7613" w:type="dxa"/>
        <w:tblInd w:w="0" w:type="dxa"/>
        <w:tblCellMar>
          <w:top w:w="46" w:type="dxa"/>
          <w:left w:w="1738" w:type="dxa"/>
          <w:right w:w="115" w:type="dxa"/>
        </w:tblCellMar>
        <w:tblLook w:val="04A0" w:firstRow="1" w:lastRow="0" w:firstColumn="1" w:lastColumn="0" w:noHBand="0" w:noVBand="1"/>
      </w:tblPr>
      <w:tblGrid>
        <w:gridCol w:w="7613"/>
      </w:tblGrid>
      <w:tr w:rsidR="00053D93" w14:paraId="60323CA2" w14:textId="77777777">
        <w:trPr>
          <w:trHeight w:val="43"/>
        </w:trPr>
        <w:tc>
          <w:tcPr>
            <w:tcW w:w="7613" w:type="dxa"/>
            <w:tcBorders>
              <w:top w:val="nil"/>
              <w:left w:val="single" w:sz="2" w:space="0" w:color="000000"/>
              <w:bottom w:val="single" w:sz="2" w:space="0" w:color="000000"/>
              <w:right w:val="nil"/>
            </w:tcBorders>
          </w:tcPr>
          <w:p w14:paraId="6C8C5F55" w14:textId="77777777" w:rsidR="00053D93" w:rsidRDefault="00053D93"/>
        </w:tc>
      </w:tr>
      <w:tr w:rsidR="00053D93" w14:paraId="38A8C713" w14:textId="77777777">
        <w:trPr>
          <w:trHeight w:val="590"/>
        </w:trPr>
        <w:tc>
          <w:tcPr>
            <w:tcW w:w="7613" w:type="dxa"/>
            <w:tcBorders>
              <w:top w:val="single" w:sz="2" w:space="0" w:color="000000"/>
              <w:left w:val="single" w:sz="2" w:space="0" w:color="000000"/>
              <w:bottom w:val="nil"/>
              <w:right w:val="nil"/>
            </w:tcBorders>
          </w:tcPr>
          <w:p w14:paraId="024CFD54" w14:textId="77777777" w:rsidR="00053D93" w:rsidRDefault="00260B75">
            <w:pPr>
              <w:ind w:left="835"/>
            </w:pPr>
            <w:r>
              <w:rPr>
                <w:sz w:val="14"/>
              </w:rPr>
              <w:lastRenderedPageBreak/>
              <w:t>MINISTERIO DE EDUCACION</w:t>
            </w:r>
          </w:p>
          <w:p w14:paraId="5E9F3743" w14:textId="77777777" w:rsidR="00053D93" w:rsidRDefault="00260B75">
            <w:pPr>
              <w:ind w:left="338"/>
            </w:pPr>
            <w:r>
              <w:rPr>
                <w:sz w:val="14"/>
              </w:rPr>
              <w:t>AUDITORIA FINANCIERA Y DE CUMPLIMIENTO</w:t>
            </w:r>
          </w:p>
          <w:p w14:paraId="1D17E494" w14:textId="77777777" w:rsidR="00053D93" w:rsidRDefault="00260B75">
            <w:pPr>
              <w:tabs>
                <w:tab w:val="center" w:pos="2034"/>
              </w:tabs>
            </w:pPr>
            <w:r>
              <w:rPr>
                <w:sz w:val="14"/>
              </w:rPr>
              <w:t xml:space="preserve">PERIODO </w:t>
            </w:r>
            <w:r>
              <w:rPr>
                <w:sz w:val="14"/>
              </w:rPr>
              <w:tab/>
              <w:t>01 DE ENERO AL 31 DE DICIEMBRE OE 2024</w:t>
            </w:r>
          </w:p>
        </w:tc>
      </w:tr>
    </w:tbl>
    <w:p w14:paraId="3DE9FE6B" w14:textId="77777777" w:rsidR="00053D93" w:rsidRDefault="00260B75">
      <w:pPr>
        <w:spacing w:after="115" w:line="247" w:lineRule="auto"/>
        <w:ind w:left="14" w:right="14" w:firstLine="4"/>
        <w:jc w:val="both"/>
      </w:pPr>
      <w:r>
        <w:rPr>
          <w:noProof/>
        </w:rPr>
        <w:drawing>
          <wp:anchor distT="0" distB="0" distL="114300" distR="114300" simplePos="0" relativeHeight="251730944" behindDoc="0" locked="0" layoutInCell="1" allowOverlap="0" wp14:anchorId="14912400" wp14:editId="1F1ECC93">
            <wp:simplePos x="0" y="0"/>
            <wp:positionH relativeFrom="page">
              <wp:posOffset>662940</wp:posOffset>
            </wp:positionH>
            <wp:positionV relativeFrom="page">
              <wp:posOffset>9185148</wp:posOffset>
            </wp:positionV>
            <wp:extent cx="1124712" cy="402337"/>
            <wp:effectExtent l="0" t="0" r="0" b="0"/>
            <wp:wrapTopAndBottom/>
            <wp:docPr id="117064" name="Picture 117064"/>
            <wp:cNvGraphicFramePr/>
            <a:graphic xmlns:a="http://schemas.openxmlformats.org/drawingml/2006/main">
              <a:graphicData uri="http://schemas.openxmlformats.org/drawingml/2006/picture">
                <pic:pic xmlns:pic="http://schemas.openxmlformats.org/drawingml/2006/picture">
                  <pic:nvPicPr>
                    <pic:cNvPr id="117064" name="Picture 117064"/>
                    <pic:cNvPicPr/>
                  </pic:nvPicPr>
                  <pic:blipFill>
                    <a:blip r:embed="rId139"/>
                    <a:stretch>
                      <a:fillRect/>
                    </a:stretch>
                  </pic:blipFill>
                  <pic:spPr>
                    <a:xfrm>
                      <a:off x="0" y="0"/>
                      <a:ext cx="1124712" cy="402337"/>
                    </a:xfrm>
                    <a:prstGeom prst="rect">
                      <a:avLst/>
                    </a:prstGeom>
                  </pic:spPr>
                </pic:pic>
              </a:graphicData>
            </a:graphic>
          </wp:anchor>
        </w:drawing>
      </w:r>
      <w:r>
        <w:rPr>
          <w:noProof/>
        </w:rPr>
        <mc:AlternateContent>
          <mc:Choice Requires="wpg">
            <w:drawing>
              <wp:anchor distT="0" distB="0" distL="114300" distR="114300" simplePos="0" relativeHeight="251731968" behindDoc="0" locked="0" layoutInCell="1" allowOverlap="1" wp14:anchorId="7B9ADC32" wp14:editId="7EFE5E39">
                <wp:simplePos x="0" y="0"/>
                <wp:positionH relativeFrom="column">
                  <wp:posOffset>-27431</wp:posOffset>
                </wp:positionH>
                <wp:positionV relativeFrom="paragraph">
                  <wp:posOffset>175564</wp:posOffset>
                </wp:positionV>
                <wp:extent cx="137160" cy="397764"/>
                <wp:effectExtent l="0" t="0" r="0" b="0"/>
                <wp:wrapSquare wrapText="bothSides"/>
                <wp:docPr id="2454396" name="Group 2454396"/>
                <wp:cNvGraphicFramePr/>
                <a:graphic xmlns:a="http://schemas.openxmlformats.org/drawingml/2006/main">
                  <a:graphicData uri="http://schemas.microsoft.com/office/word/2010/wordprocessingGroup">
                    <wpg:wgp>
                      <wpg:cNvGrpSpPr/>
                      <wpg:grpSpPr>
                        <a:xfrm>
                          <a:off x="0" y="0"/>
                          <a:ext cx="137160" cy="397764"/>
                          <a:chOff x="0" y="0"/>
                          <a:chExt cx="137160" cy="397764"/>
                        </a:xfrm>
                      </wpg:grpSpPr>
                      <wps:wsp>
                        <wps:cNvPr id="114254" name="Rectangle 114254"/>
                        <wps:cNvSpPr/>
                        <wps:spPr>
                          <a:xfrm>
                            <a:off x="0" y="0"/>
                            <a:ext cx="182423" cy="529026"/>
                          </a:xfrm>
                          <a:prstGeom prst="rect">
                            <a:avLst/>
                          </a:prstGeom>
                          <a:ln>
                            <a:noFill/>
                          </a:ln>
                        </wps:spPr>
                        <wps:txbx>
                          <w:txbxContent>
                            <w:p w14:paraId="2A06F52D" w14:textId="77777777" w:rsidR="00053D93" w:rsidRDefault="00260B75">
                              <w:r>
                                <w:rPr>
                                  <w:sz w:val="284"/>
                                </w:rPr>
                                <w:t>i</w:t>
                              </w:r>
                            </w:p>
                          </w:txbxContent>
                        </wps:txbx>
                        <wps:bodyPr horzOverflow="overflow" vert="horz" lIns="0" tIns="0" rIns="0" bIns="0" rtlCol="0">
                          <a:noAutofit/>
                        </wps:bodyPr>
                      </wps:wsp>
                    </wpg:wgp>
                  </a:graphicData>
                </a:graphic>
              </wp:anchor>
            </w:drawing>
          </mc:Choice>
          <mc:Fallback>
            <w:pict>
              <v:group w14:anchorId="7B9ADC32" id="Group 2454396" o:spid="_x0000_s1150" style="position:absolute;left:0;text-align:left;margin-left:-2.15pt;margin-top:13.8pt;width:10.8pt;height:31.3pt;z-index:251731968;mso-position-horizontal-relative:text;mso-position-vertical-relative:text" coordsize="137160,397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">
                <v:rect id="Rectangle 114254" o:spid="_x0000_s1151" style="position:absolute;width:182423;height:529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" filled="f" stroked="f">
                  <v:textbox inset="0,0,0,0">
                    <w:txbxContent>
                      <w:p w14:paraId="2A06F52D" w14:textId="77777777" w:rsidR="00053D93" w:rsidRDefault="00260B75">
                        <w:r>
                          <w:rPr>
                            <w:sz w:val="284"/>
                          </w:rPr>
                          <w:t>i</w:t>
                        </w:r>
                      </w:p>
                    </w:txbxContent>
                  </v:textbox>
                </v:rect>
                <w10:wrap type="square"/>
              </v:group>
            </w:pict>
          </mc:Fallback>
        </mc:AlternateContent>
      </w:r>
      <w:r>
        <w:rPr>
          <w:noProof/>
        </w:rPr>
        <mc:AlternateContent>
          <mc:Choice Requires="wpg">
            <w:drawing>
              <wp:anchor distT="0" distB="0" distL="114300" distR="114300" simplePos="0" relativeHeight="251732992" behindDoc="0" locked="0" layoutInCell="1" allowOverlap="1" wp14:anchorId="7F71BED8" wp14:editId="49B35456">
                <wp:simplePos x="0" y="0"/>
                <wp:positionH relativeFrom="column">
                  <wp:posOffset>-27431</wp:posOffset>
                </wp:positionH>
                <wp:positionV relativeFrom="paragraph">
                  <wp:posOffset>1208837</wp:posOffset>
                </wp:positionV>
                <wp:extent cx="141732" cy="397764"/>
                <wp:effectExtent l="0" t="0" r="0" b="0"/>
                <wp:wrapSquare wrapText="bothSides"/>
                <wp:docPr id="2454397" name="Group 2454397"/>
                <wp:cNvGraphicFramePr/>
                <a:graphic xmlns:a="http://schemas.openxmlformats.org/drawingml/2006/main">
                  <a:graphicData uri="http://schemas.microsoft.com/office/word/2010/wordprocessingGroup">
                    <wpg:wgp>
                      <wpg:cNvGrpSpPr/>
                      <wpg:grpSpPr>
                        <a:xfrm>
                          <a:off x="0" y="0"/>
                          <a:ext cx="141732" cy="397764"/>
                          <a:chOff x="0" y="0"/>
                          <a:chExt cx="141732" cy="397764"/>
                        </a:xfrm>
                      </wpg:grpSpPr>
                      <wps:wsp>
                        <wps:cNvPr id="114255" name="Rectangle 114255"/>
                        <wps:cNvSpPr/>
                        <wps:spPr>
                          <a:xfrm>
                            <a:off x="0" y="0"/>
                            <a:ext cx="188504" cy="529026"/>
                          </a:xfrm>
                          <a:prstGeom prst="rect">
                            <a:avLst/>
                          </a:prstGeom>
                          <a:ln>
                            <a:noFill/>
                          </a:ln>
                        </wps:spPr>
                        <wps:txbx>
                          <w:txbxContent>
                            <w:p w14:paraId="4686FEB4" w14:textId="77777777" w:rsidR="00053D93" w:rsidRDefault="00260B75">
                              <w:r>
                                <w:rPr>
                                  <w:rFonts w:ascii="Times New Roman" w:eastAsia="Times New Roman" w:hAnsi="Times New Roman" w:cs="Times New Roman"/>
                                  <w:sz w:val="100"/>
                                </w:rPr>
                                <w:t>i</w:t>
                              </w:r>
                            </w:p>
                          </w:txbxContent>
                        </wps:txbx>
                        <wps:bodyPr horzOverflow="overflow" vert="horz" lIns="0" tIns="0" rIns="0" bIns="0" rtlCol="0">
                          <a:noAutofit/>
                        </wps:bodyPr>
                      </wps:wsp>
                    </wpg:wgp>
                  </a:graphicData>
                </a:graphic>
              </wp:anchor>
            </w:drawing>
          </mc:Choice>
          <mc:Fallback>
            <w:pict>
              <v:group w14:anchorId="7F71BED8" id="Group 2454397" o:spid="_x0000_s1152" style="position:absolute;left:0;text-align:left;margin-left:-2.15pt;margin-top:95.2pt;width:11.15pt;height:31.3pt;z-index:251732992;mso-position-horizontal-relative:text;mso-position-vertical-relative:text" coordsize="141732,397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">
                <v:rect id="Rectangle 114255" o:spid="_x0000_s1153" style="position:absolute;width:188504;height:529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" filled="f" stroked="f">
                  <v:textbox inset="0,0,0,0">
                    <w:txbxContent>
                      <w:p w14:paraId="4686FEB4" w14:textId="77777777" w:rsidR="00053D93" w:rsidRDefault="00260B75">
                        <w:r>
                          <w:rPr>
                            <w:rFonts w:ascii="Times New Roman" w:eastAsia="Times New Roman" w:hAnsi="Times New Roman" w:cs="Times New Roman"/>
                            <w:sz w:val="100"/>
                          </w:rPr>
                          <w:t>i</w:t>
                        </w:r>
                      </w:p>
                    </w:txbxContent>
                  </v:textbox>
                </v:rect>
                <w10:wrap type="square"/>
              </v:group>
            </w:pict>
          </mc:Fallback>
        </mc:AlternateContent>
      </w:r>
      <w:r>
        <w:rPr>
          <w:noProof/>
        </w:rPr>
        <w:drawing>
          <wp:anchor distT="0" distB="0" distL="114300" distR="114300" simplePos="0" relativeHeight="251734016" behindDoc="0" locked="0" layoutInCell="1" allowOverlap="0" wp14:anchorId="7FB7486C" wp14:editId="356247A1">
            <wp:simplePos x="0" y="0"/>
            <wp:positionH relativeFrom="column">
              <wp:posOffset>-27431</wp:posOffset>
            </wp:positionH>
            <wp:positionV relativeFrom="paragraph">
              <wp:posOffset>1730044</wp:posOffset>
            </wp:positionV>
            <wp:extent cx="141732" cy="905256"/>
            <wp:effectExtent l="0" t="0" r="0" b="0"/>
            <wp:wrapSquare wrapText="bothSides"/>
            <wp:docPr id="117063" name="Picture 117063"/>
            <wp:cNvGraphicFramePr/>
            <a:graphic xmlns:a="http://schemas.openxmlformats.org/drawingml/2006/main">
              <a:graphicData uri="http://schemas.openxmlformats.org/drawingml/2006/picture">
                <pic:pic xmlns:pic="http://schemas.openxmlformats.org/drawingml/2006/picture">
                  <pic:nvPicPr>
                    <pic:cNvPr id="117063" name="Picture 117063"/>
                    <pic:cNvPicPr/>
                  </pic:nvPicPr>
                  <pic:blipFill>
                    <a:blip r:embed="rId140"/>
                    <a:stretch>
                      <a:fillRect/>
                    </a:stretch>
                  </pic:blipFill>
                  <pic:spPr>
                    <a:xfrm>
                      <a:off x="0" y="0"/>
                      <a:ext cx="141732" cy="905256"/>
                    </a:xfrm>
                    <a:prstGeom prst="rect">
                      <a:avLst/>
                    </a:prstGeom>
                  </pic:spPr>
                </pic:pic>
              </a:graphicData>
            </a:graphic>
          </wp:anchor>
        </w:drawing>
      </w:r>
      <w:r>
        <w:rPr>
          <w:sz w:val="26"/>
        </w:rPr>
        <w:t>Programa 01, Actividades Centrales, se evaluó lo siguiente: Grupo de Gasto 0 Servicios Personales, los renglones presupuestarios: 01 1 Personal permanente, 014 Complemento por calidad profesional al personal permanente, 015 Complementos específicos al personal permanente, 022 Personal por contrato, 027 Complementos específicos al personal temporal, 071 Aguinaldo y 072 Bonificación anual (Bono 14); del Grupo de Gasto 1 Servicios no Personales, los renglones presupuestarios: 1 13 Telefonía, 133 Viáticos en el interior, 151 Arrendamiento de edificios y locales, 155 Arrendamiento de medios de transporte, 165 Mantenimiento y reparación de medios de transporte, 189 Otros estudios y/o servicios, 191 Primas y gastos de seguros y fianzas y 199 Otros servicios; del Grupo de Gasto 2 Materiales y Suministros, el renglón presupuestario: 21 1 Alimentos para personas; del Grupo de Gasto 3 Propiedad, Planta, Equipo e Intangibles, los renglones presupuestarios: 325 Equipo de Transporte y 328 Equipo de cómputo.</w:t>
      </w:r>
    </w:p>
    <w:p w14:paraId="54D21288" w14:textId="77777777" w:rsidR="00053D93" w:rsidRDefault="00260B75">
      <w:pPr>
        <w:spacing w:after="548" w:line="247" w:lineRule="auto"/>
        <w:ind w:left="64" w:right="14" w:hanging="50"/>
        <w:jc w:val="both"/>
      </w:pPr>
      <w:r>
        <w:rPr>
          <w:noProof/>
        </w:rPr>
        <mc:AlternateContent>
          <mc:Choice Requires="wpg">
            <w:drawing>
              <wp:inline distT="0" distB="0" distL="0" distR="0" wp14:anchorId="1662B0A6" wp14:editId="631F9CE1">
                <wp:extent cx="141732" cy="393192"/>
                <wp:effectExtent l="0" t="0" r="0" b="0"/>
                <wp:docPr id="2454398" name="Group 2454398"/>
                <wp:cNvGraphicFramePr/>
                <a:graphic xmlns:a="http://schemas.openxmlformats.org/drawingml/2006/main">
                  <a:graphicData uri="http://schemas.microsoft.com/office/word/2010/wordprocessingGroup">
                    <wpg:wgp>
                      <wpg:cNvGrpSpPr/>
                      <wpg:grpSpPr>
                        <a:xfrm>
                          <a:off x="0" y="0"/>
                          <a:ext cx="141732" cy="393192"/>
                          <a:chOff x="0" y="0"/>
                          <a:chExt cx="141732" cy="393192"/>
                        </a:xfrm>
                      </wpg:grpSpPr>
                      <wps:wsp>
                        <wps:cNvPr id="114256" name="Rectangle 114256"/>
                        <wps:cNvSpPr/>
                        <wps:spPr>
                          <a:xfrm>
                            <a:off x="0" y="0"/>
                            <a:ext cx="188504" cy="522945"/>
                          </a:xfrm>
                          <a:prstGeom prst="rect">
                            <a:avLst/>
                          </a:prstGeom>
                          <a:ln>
                            <a:noFill/>
                          </a:ln>
                        </wps:spPr>
                        <wps:txbx>
                          <w:txbxContent>
                            <w:p w14:paraId="7011BF32" w14:textId="77777777" w:rsidR="00053D93" w:rsidRDefault="00260B75">
                              <w:r>
                                <w:rPr>
                                  <w:sz w:val="294"/>
                                </w:rPr>
                                <w:t>i</w:t>
                              </w:r>
                            </w:p>
                          </w:txbxContent>
                        </wps:txbx>
                        <wps:bodyPr horzOverflow="overflow" vert="horz" lIns="0" tIns="0" rIns="0" bIns="0" rtlCol="0">
                          <a:noAutofit/>
                        </wps:bodyPr>
                      </wps:wsp>
                    </wpg:wgp>
                  </a:graphicData>
                </a:graphic>
              </wp:inline>
            </w:drawing>
          </mc:Choice>
          <mc:Fallback>
            <w:pict>
              <v:group w14:anchorId="1662B0A6" id="Group 2454398" o:spid="_x0000_s1154" style="width:11.15pt;height:30.95pt;mso-position-horizontal-relative:char;mso-position-vertical-relative:line" coordsize="141732,39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">
                <v:rect id="Rectangle 114256" o:spid="_x0000_s1155" style="position:absolute;width:188504;height:522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" filled="f" stroked="f">
                  <v:textbox inset="0,0,0,0">
                    <w:txbxContent>
                      <w:p w14:paraId="7011BF32" w14:textId="77777777" w:rsidR="00053D93" w:rsidRDefault="00260B75">
                        <w:r>
                          <w:rPr>
                            <w:sz w:val="294"/>
                          </w:rPr>
                          <w:t>i</w:t>
                        </w:r>
                      </w:p>
                    </w:txbxContent>
                  </v:textbox>
                </v:rect>
                <w10:anchorlock/>
              </v:group>
            </w:pict>
          </mc:Fallback>
        </mc:AlternateContent>
      </w:r>
      <w:r>
        <w:rPr>
          <w:sz w:val="26"/>
        </w:rPr>
        <w:t xml:space="preserve"> Programa 051 Actividades Comunes a los Programas de Preprimaria, Primaria y Básico y Diversificado (PRG. 1 1, 12, 13 y 14), se evaluó lo siguiente: Grupo de Gasto 1 Servicios no Personales, los renglones presupuestarios: 133 Viáticos en el interior, 155 Arrendamiento de medios de transporte, 165 Mantenimiento y reparación de medios de transporte y 185 Servicios de Capacitación; del Grupo de </w:t>
      </w:r>
      <w:r>
        <w:rPr>
          <w:rFonts w:ascii="Times New Roman" w:eastAsia="Times New Roman" w:hAnsi="Times New Roman" w:cs="Times New Roman"/>
          <w:sz w:val="26"/>
        </w:rPr>
        <w:t xml:space="preserve">1 </w:t>
      </w:r>
      <w:r>
        <w:rPr>
          <w:sz w:val="26"/>
        </w:rPr>
        <w:t>Gasto 3 Propiedad, Planta, Equipo e Intangibles, el renglón presupuestario: 328 Equipo de cómputo.</w:t>
      </w:r>
    </w:p>
    <w:p w14:paraId="1A1DC612" w14:textId="77777777" w:rsidR="00053D93" w:rsidRDefault="00260B75">
      <w:pPr>
        <w:spacing w:after="46" w:line="296" w:lineRule="auto"/>
        <w:ind w:left="14" w:right="14" w:firstLine="4"/>
        <w:jc w:val="both"/>
      </w:pPr>
      <w:r>
        <w:rPr>
          <w:rFonts w:ascii="Times New Roman" w:eastAsia="Times New Roman" w:hAnsi="Times New Roman" w:cs="Times New Roman"/>
          <w:sz w:val="26"/>
        </w:rPr>
        <w:t xml:space="preserve">1 </w:t>
      </w:r>
      <w:r>
        <w:rPr>
          <w:sz w:val="26"/>
        </w:rPr>
        <w:t xml:space="preserve">Durante [a Auditoría Financiera y de Cumplimiento, fue evaluado el Grupo de Gasto 0 Servicios Personales, en la primera fase de la auditoría, la cual comprendió del 01 de enero al 31 de julio de 2024, con excepción del renglón </w:t>
      </w:r>
      <w:r>
        <w:rPr>
          <w:rFonts w:ascii="Times New Roman" w:eastAsia="Times New Roman" w:hAnsi="Times New Roman" w:cs="Times New Roman"/>
          <w:sz w:val="26"/>
        </w:rPr>
        <w:t xml:space="preserve">1 </w:t>
      </w:r>
      <w:r>
        <w:rPr>
          <w:sz w:val="26"/>
        </w:rPr>
        <w:t xml:space="preserve">presupuestario 021 Personal supernumerario, el cual fue </w:t>
      </w:r>
      <w:r>
        <w:rPr>
          <w:sz w:val="26"/>
        </w:rPr>
        <w:lastRenderedPageBreak/>
        <w:t>evaluado al 31 de diciembre de 2024; en virtud que, se examinaron los procesos y no se identificaron</w:t>
      </w:r>
    </w:p>
    <w:p w14:paraId="03447224" w14:textId="77777777" w:rsidR="00053D93" w:rsidRDefault="00260B75">
      <w:pPr>
        <w:spacing w:after="249" w:line="465" w:lineRule="auto"/>
        <w:ind w:left="1634" w:right="14" w:hanging="1620"/>
        <w:jc w:val="both"/>
      </w:pPr>
      <w:r>
        <w:rPr>
          <w:rFonts w:ascii="Times New Roman" w:eastAsia="Times New Roman" w:hAnsi="Times New Roman" w:cs="Times New Roman"/>
          <w:sz w:val="26"/>
        </w:rPr>
        <w:t xml:space="preserve">1 </w:t>
      </w:r>
      <w:r>
        <w:rPr>
          <w:sz w:val="26"/>
        </w:rPr>
        <w:t>riesgos ni debilidades significativas, que pudieran incidir en los resultados operativos, administrativos, presupuestarios y/o financieros de la entidad.</w:t>
      </w:r>
    </w:p>
    <w:p w14:paraId="73DB7B22" w14:textId="77777777" w:rsidR="00053D93" w:rsidRDefault="00260B75">
      <w:pPr>
        <w:tabs>
          <w:tab w:val="right" w:pos="10087"/>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Unidad Ejecutora 201 Dirección General de Administración Financiera -DAFI-</w:t>
      </w:r>
    </w:p>
    <w:p w14:paraId="460FC010" w14:textId="77777777" w:rsidR="00053D93" w:rsidRDefault="00260B75">
      <w:pPr>
        <w:spacing w:after="17" w:line="247" w:lineRule="auto"/>
        <w:ind w:left="14" w:right="14" w:firstLine="4"/>
        <w:jc w:val="both"/>
      </w:pPr>
      <w:r>
        <w:rPr>
          <w:noProof/>
        </w:rPr>
        <mc:AlternateContent>
          <mc:Choice Requires="wpg">
            <w:drawing>
              <wp:anchor distT="0" distB="0" distL="114300" distR="114300" simplePos="0" relativeHeight="251735040" behindDoc="0" locked="0" layoutInCell="1" allowOverlap="1" wp14:anchorId="4ED25601" wp14:editId="763A3E46">
                <wp:simplePos x="0" y="0"/>
                <wp:positionH relativeFrom="column">
                  <wp:posOffset>-32003</wp:posOffset>
                </wp:positionH>
                <wp:positionV relativeFrom="paragraph">
                  <wp:posOffset>-37803</wp:posOffset>
                </wp:positionV>
                <wp:extent cx="155448" cy="374903"/>
                <wp:effectExtent l="0" t="0" r="0" b="0"/>
                <wp:wrapSquare wrapText="bothSides"/>
                <wp:docPr id="2454399" name="Group 2454399"/>
                <wp:cNvGraphicFramePr/>
                <a:graphic xmlns:a="http://schemas.openxmlformats.org/drawingml/2006/main">
                  <a:graphicData uri="http://schemas.microsoft.com/office/word/2010/wordprocessingGroup">
                    <wpg:wgp>
                      <wpg:cNvGrpSpPr/>
                      <wpg:grpSpPr>
                        <a:xfrm>
                          <a:off x="0" y="0"/>
                          <a:ext cx="155448" cy="374903"/>
                          <a:chOff x="0" y="0"/>
                          <a:chExt cx="155448" cy="374903"/>
                        </a:xfrm>
                      </wpg:grpSpPr>
                      <wps:wsp>
                        <wps:cNvPr id="114262" name="Rectangle 114262"/>
                        <wps:cNvSpPr/>
                        <wps:spPr>
                          <a:xfrm>
                            <a:off x="0" y="0"/>
                            <a:ext cx="206746" cy="498622"/>
                          </a:xfrm>
                          <a:prstGeom prst="rect">
                            <a:avLst/>
                          </a:prstGeom>
                          <a:ln>
                            <a:noFill/>
                          </a:ln>
                        </wps:spPr>
                        <wps:txbx>
                          <w:txbxContent>
                            <w:p w14:paraId="1141B238" w14:textId="77777777" w:rsidR="00053D93" w:rsidRDefault="00260B75">
                              <w:r>
                                <w:rPr>
                                  <w:sz w:val="322"/>
                                </w:rPr>
                                <w:t>i</w:t>
                              </w:r>
                            </w:p>
                          </w:txbxContent>
                        </wps:txbx>
                        <wps:bodyPr horzOverflow="overflow" vert="horz" lIns="0" tIns="0" rIns="0" bIns="0" rtlCol="0">
                          <a:noAutofit/>
                        </wps:bodyPr>
                      </wps:wsp>
                    </wpg:wgp>
                  </a:graphicData>
                </a:graphic>
              </wp:anchor>
            </w:drawing>
          </mc:Choice>
          <mc:Fallback>
            <w:pict>
              <v:group w14:anchorId="4ED25601" id="Group 2454399" o:spid="_x0000_s1156" style="position:absolute;left:0;text-align:left;margin-left:-2.5pt;margin-top:-3pt;width:12.25pt;height:29.5pt;z-index:251735040;mso-position-horizontal-relative:text;mso-position-vertical-relative:text" coordsize="155448,374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">
                <v:rect id="Rectangle 114262" o:spid="_x0000_s1157" style="position:absolute;width:206746;height:498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" filled="f" stroked="f">
                  <v:textbox inset="0,0,0,0">
                    <w:txbxContent>
                      <w:p w14:paraId="1141B238" w14:textId="77777777" w:rsidR="00053D93" w:rsidRDefault="00260B75">
                        <w:r>
                          <w:rPr>
                            <w:sz w:val="322"/>
                          </w:rPr>
                          <w:t>i</w:t>
                        </w:r>
                      </w:p>
                    </w:txbxContent>
                  </v:textbox>
                </v:rect>
                <w10:wrap type="square"/>
              </v:group>
            </w:pict>
          </mc:Fallback>
        </mc:AlternateContent>
      </w:r>
      <w:r>
        <w:rPr>
          <w:sz w:val="26"/>
        </w:rPr>
        <w:t>Del Programa 01 Actividades Centrales, se evaluó lo siguiente: Grupo de Gasto 0 Servicios Personales, los renglones presupuestarios: 01 1 Personal permanente, 015 Complementos específicos al personal permanente, 022 Personal por</w:t>
      </w:r>
    </w:p>
    <w:p w14:paraId="65480831" w14:textId="77777777" w:rsidR="00053D93" w:rsidRDefault="00053D93">
      <w:pPr>
        <w:sectPr w:rsidR="00053D93">
          <w:headerReference w:type="even" r:id="rId141"/>
          <w:headerReference w:type="default" r:id="rId142"/>
          <w:footerReference w:type="even" r:id="rId143"/>
          <w:footerReference w:type="default" r:id="rId144"/>
          <w:headerReference w:type="first" r:id="rId145"/>
          <w:footerReference w:type="first" r:id="rId146"/>
          <w:pgSz w:w="12290" w:h="15912"/>
          <w:pgMar w:top="706" w:right="1829" w:bottom="778" w:left="374" w:header="432" w:footer="720" w:gutter="0"/>
          <w:cols w:space="720"/>
          <w:titlePg/>
        </w:sectPr>
      </w:pPr>
    </w:p>
    <w:p w14:paraId="176F2C99" w14:textId="77777777" w:rsidR="00053D93" w:rsidRDefault="00260B75">
      <w:pPr>
        <w:tabs>
          <w:tab w:val="center" w:pos="3164"/>
          <w:tab w:val="center" w:pos="5864"/>
        </w:tabs>
        <w:spacing w:after="177" w:line="265" w:lineRule="auto"/>
      </w:pPr>
      <w:r>
        <w:rPr>
          <w:sz w:val="14"/>
        </w:rPr>
        <w:lastRenderedPageBreak/>
        <w:tab/>
        <w:t xml:space="preserve">OE </w:t>
      </w:r>
      <w:r>
        <w:rPr>
          <w:sz w:val="14"/>
        </w:rPr>
        <w:tab/>
      </w:r>
      <w:r>
        <w:rPr>
          <w:rFonts w:ascii="Times New Roman" w:eastAsia="Times New Roman" w:hAnsi="Times New Roman" w:cs="Times New Roman"/>
          <w:sz w:val="14"/>
        </w:rPr>
        <w:t>23</w:t>
      </w:r>
    </w:p>
    <w:p w14:paraId="1F0EB988" w14:textId="77777777" w:rsidR="00053D93" w:rsidRDefault="00260B75">
      <w:pPr>
        <w:spacing w:after="42"/>
        <w:ind w:left="1656"/>
      </w:pPr>
      <w:r>
        <w:rPr>
          <w:noProof/>
        </w:rPr>
        <mc:AlternateContent>
          <mc:Choice Requires="wpg">
            <w:drawing>
              <wp:inline distT="0" distB="0" distL="0" distR="0" wp14:anchorId="3374026F" wp14:editId="048E31AC">
                <wp:extent cx="5372100" cy="9144"/>
                <wp:effectExtent l="0" t="0" r="0" b="0"/>
                <wp:docPr id="2458164" name="Group 2458164"/>
                <wp:cNvGraphicFramePr/>
                <a:graphic xmlns:a="http://schemas.openxmlformats.org/drawingml/2006/main">
                  <a:graphicData uri="http://schemas.microsoft.com/office/word/2010/wordprocessingGroup">
                    <wpg:wgp>
                      <wpg:cNvGrpSpPr/>
                      <wpg:grpSpPr>
                        <a:xfrm>
                          <a:off x="0" y="0"/>
                          <a:ext cx="5372100" cy="9144"/>
                          <a:chOff x="0" y="0"/>
                          <a:chExt cx="5372100" cy="9144"/>
                        </a:xfrm>
                      </wpg:grpSpPr>
                      <wps:wsp>
                        <wps:cNvPr id="2458163" name="Shape 2458163"/>
                        <wps:cNvSpPr/>
                        <wps:spPr>
                          <a:xfrm>
                            <a:off x="0" y="0"/>
                            <a:ext cx="5372100" cy="9144"/>
                          </a:xfrm>
                          <a:custGeom>
                            <a:avLst/>
                            <a:gdLst/>
                            <a:ahLst/>
                            <a:cxnLst/>
                            <a:rect l="0" t="0" r="0" b="0"/>
                            <a:pathLst>
                              <a:path w="5372100" h="9144">
                                <a:moveTo>
                                  <a:pt x="0" y="4572"/>
                                </a:moveTo>
                                <a:lnTo>
                                  <a:pt x="537210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64" style="width:423pt;height:0.720001pt;mso-position-horizontal-relative:char;mso-position-vertical-relative:line" coordsize="53721,91">
                <v:shape id="Shape 2458163" style="position:absolute;width:53721;height:91;left:0;top:0;" coordsize="5372100,9144" path="m0,4572l5372100,4572">
                  <v:stroke weight="0.720001pt" endcap="flat" joinstyle="miter" miterlimit="1" on="true" color="#000000"/>
                  <v:fill on="false" color="#000000"/>
                </v:shape>
              </v:group>
            </w:pict>
          </mc:Fallback>
        </mc:AlternateContent>
      </w:r>
    </w:p>
    <w:p w14:paraId="12F068FB" w14:textId="77777777" w:rsidR="00053D93" w:rsidRDefault="00260B75">
      <w:pPr>
        <w:spacing w:after="138" w:line="247" w:lineRule="auto"/>
        <w:ind w:left="14" w:right="14" w:firstLine="4"/>
        <w:jc w:val="both"/>
      </w:pPr>
      <w:r>
        <w:rPr>
          <w:noProof/>
        </w:rPr>
        <mc:AlternateContent>
          <mc:Choice Requires="wpg">
            <w:drawing>
              <wp:anchor distT="0" distB="0" distL="114300" distR="114300" simplePos="0" relativeHeight="251736064" behindDoc="0" locked="0" layoutInCell="1" allowOverlap="1" wp14:anchorId="5E1442B0" wp14:editId="4A4F4469">
                <wp:simplePos x="0" y="0"/>
                <wp:positionH relativeFrom="column">
                  <wp:posOffset>-13715</wp:posOffset>
                </wp:positionH>
                <wp:positionV relativeFrom="paragraph">
                  <wp:posOffset>512956</wp:posOffset>
                </wp:positionV>
                <wp:extent cx="141732" cy="397764"/>
                <wp:effectExtent l="0" t="0" r="0" b="0"/>
                <wp:wrapSquare wrapText="bothSides"/>
                <wp:docPr id="2454404" name="Group 2454404"/>
                <wp:cNvGraphicFramePr/>
                <a:graphic xmlns:a="http://schemas.openxmlformats.org/drawingml/2006/main">
                  <a:graphicData uri="http://schemas.microsoft.com/office/word/2010/wordprocessingGroup">
                    <wpg:wgp>
                      <wpg:cNvGrpSpPr/>
                      <wpg:grpSpPr>
                        <a:xfrm>
                          <a:off x="0" y="0"/>
                          <a:ext cx="141732" cy="397764"/>
                          <a:chOff x="0" y="0"/>
                          <a:chExt cx="141732" cy="397764"/>
                        </a:xfrm>
                      </wpg:grpSpPr>
                      <wps:wsp>
                        <wps:cNvPr id="117620" name="Rectangle 117620"/>
                        <wps:cNvSpPr/>
                        <wps:spPr>
                          <a:xfrm>
                            <a:off x="0" y="0"/>
                            <a:ext cx="188504" cy="529027"/>
                          </a:xfrm>
                          <a:prstGeom prst="rect">
                            <a:avLst/>
                          </a:prstGeom>
                          <a:ln>
                            <a:noFill/>
                          </a:ln>
                        </wps:spPr>
                        <wps:txbx>
                          <w:txbxContent>
                            <w:p w14:paraId="6C7DFB22" w14:textId="77777777" w:rsidR="00053D93" w:rsidRDefault="00260B75">
                              <w:r>
                                <w:rPr>
                                  <w:sz w:val="294"/>
                                </w:rPr>
                                <w:t>i</w:t>
                              </w:r>
                            </w:p>
                          </w:txbxContent>
                        </wps:txbx>
                        <wps:bodyPr horzOverflow="overflow" vert="horz" lIns="0" tIns="0" rIns="0" bIns="0" rtlCol="0">
                          <a:noAutofit/>
                        </wps:bodyPr>
                      </wps:wsp>
                    </wpg:wgp>
                  </a:graphicData>
                </a:graphic>
              </wp:anchor>
            </w:drawing>
          </mc:Choice>
          <mc:Fallback>
            <w:pict>
              <v:group w14:anchorId="5E1442B0" id="Group 2454404" o:spid="_x0000_s1158" style="position:absolute;left:0;text-align:left;margin-left:-1.1pt;margin-top:40.4pt;width:11.15pt;height:31.3pt;z-index:251736064;mso-position-horizontal-relative:text;mso-position-vertical-relative:text" coordsize="141732,397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">
                <v:rect id="Rectangle 117620" o:spid="_x0000_s1159" style="position:absolute;width:188504;height:529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" filled="f" stroked="f">
                  <v:textbox inset="0,0,0,0">
                    <w:txbxContent>
                      <w:p w14:paraId="6C7DFB22" w14:textId="77777777" w:rsidR="00053D93" w:rsidRDefault="00260B75">
                        <w:r>
                          <w:rPr>
                            <w:sz w:val="294"/>
                          </w:rPr>
                          <w:t>i</w:t>
                        </w:r>
                      </w:p>
                    </w:txbxContent>
                  </v:textbox>
                </v:rect>
                <w10:wrap type="square"/>
              </v:group>
            </w:pict>
          </mc:Fallback>
        </mc:AlternateContent>
      </w:r>
      <w:r>
        <w:rPr>
          <w:sz w:val="26"/>
        </w:rPr>
        <w:t>contrato, 027 Complementos específicos al persona' temporal, 071 Aguinaldo y 072 Bonificación anual (Bono 14); del Grupo de Gasto 1 Servicios no Personales, el renglón presupuestario: 151 Arrendamiento de edificios y locales; del Grupo de Gasto 3 Propiedad, Planta, Equipo e Intangibles, el renglón presupuestario: 328 Equipo de cómputo.</w:t>
      </w:r>
    </w:p>
    <w:p w14:paraId="2BF81F1B" w14:textId="77777777" w:rsidR="00053D93" w:rsidRDefault="00260B75">
      <w:pPr>
        <w:tabs>
          <w:tab w:val="right" w:pos="10102"/>
        </w:tabs>
        <w:spacing w:after="17" w:line="247" w:lineRule="auto"/>
      </w:pPr>
      <w:r>
        <w:rPr>
          <w:noProof/>
        </w:rPr>
        <mc:AlternateContent>
          <mc:Choice Requires="wpg">
            <w:drawing>
              <wp:inline distT="0" distB="0" distL="0" distR="0" wp14:anchorId="5E004E41" wp14:editId="4CC6F2D9">
                <wp:extent cx="141732" cy="397764"/>
                <wp:effectExtent l="0" t="0" r="0" b="0"/>
                <wp:docPr id="2454405" name="Group 2454405"/>
                <wp:cNvGraphicFramePr/>
                <a:graphic xmlns:a="http://schemas.openxmlformats.org/drawingml/2006/main">
                  <a:graphicData uri="http://schemas.microsoft.com/office/word/2010/wordprocessingGroup">
                    <wpg:wgp>
                      <wpg:cNvGrpSpPr/>
                      <wpg:grpSpPr>
                        <a:xfrm>
                          <a:off x="0" y="0"/>
                          <a:ext cx="141732" cy="397764"/>
                          <a:chOff x="0" y="0"/>
                          <a:chExt cx="141732" cy="397764"/>
                        </a:xfrm>
                      </wpg:grpSpPr>
                      <wps:wsp>
                        <wps:cNvPr id="117621" name="Rectangle 117621"/>
                        <wps:cNvSpPr/>
                        <wps:spPr>
                          <a:xfrm>
                            <a:off x="0" y="0"/>
                            <a:ext cx="188504" cy="529026"/>
                          </a:xfrm>
                          <a:prstGeom prst="rect">
                            <a:avLst/>
                          </a:prstGeom>
                          <a:ln>
                            <a:noFill/>
                          </a:ln>
                        </wps:spPr>
                        <wps:txbx>
                          <w:txbxContent>
                            <w:p w14:paraId="15083526" w14:textId="77777777" w:rsidR="00053D93" w:rsidRDefault="00260B75">
                              <w:r>
                                <w:rPr>
                                  <w:sz w:val="294"/>
                                </w:rPr>
                                <w:t>i</w:t>
                              </w:r>
                            </w:p>
                          </w:txbxContent>
                        </wps:txbx>
                        <wps:bodyPr horzOverflow="overflow" vert="horz" lIns="0" tIns="0" rIns="0" bIns="0" rtlCol="0">
                          <a:noAutofit/>
                        </wps:bodyPr>
                      </wps:wsp>
                    </wpg:wgp>
                  </a:graphicData>
                </a:graphic>
              </wp:inline>
            </w:drawing>
          </mc:Choice>
          <mc:Fallback>
            <w:pict>
              <v:group w14:anchorId="5E004E41" id="Group 2454405" o:spid="_x0000_s1160" style="width:11.15pt;height:31.3pt;mso-position-horizontal-relative:char;mso-position-vertical-relative:line" coordsize="141732,397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">
                <v:rect id="Rectangle 117621" o:spid="_x0000_s1161" style="position:absolute;width:188504;height:529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" filled="f" stroked="f">
                  <v:textbox inset="0,0,0,0">
                    <w:txbxContent>
                      <w:p w14:paraId="15083526" w14:textId="77777777" w:rsidR="00053D93" w:rsidRDefault="00260B75">
                        <w:r>
                          <w:rPr>
                            <w:sz w:val="294"/>
                          </w:rPr>
                          <w:t>i</w:t>
                        </w:r>
                      </w:p>
                    </w:txbxContent>
                  </v:textbox>
                </v:rect>
                <w10:anchorlock/>
              </v:group>
            </w:pict>
          </mc:Fallback>
        </mc:AlternateContent>
      </w:r>
      <w:r>
        <w:rPr>
          <w:sz w:val="26"/>
        </w:rPr>
        <w:tab/>
        <w:t>Del Programa 99 Partidas no Asignables a Programas, se evaluó lo siguiente:</w:t>
      </w:r>
    </w:p>
    <w:p w14:paraId="68CE11F1" w14:textId="77777777" w:rsidR="00053D93" w:rsidRDefault="00260B75">
      <w:pPr>
        <w:spacing w:after="17" w:line="247" w:lineRule="auto"/>
        <w:ind w:left="14" w:right="14" w:firstLine="4"/>
        <w:jc w:val="both"/>
      </w:pPr>
      <w:r>
        <w:rPr>
          <w:sz w:val="26"/>
        </w:rPr>
        <w:t>Grupo de Gasto 4 Transferencias Corrientes, el renglón presupuestario: 453</w:t>
      </w:r>
    </w:p>
    <w:p w14:paraId="4493412A" w14:textId="77777777" w:rsidR="00053D93" w:rsidRDefault="00260B75">
      <w:pPr>
        <w:spacing w:after="17" w:line="247" w:lineRule="auto"/>
        <w:ind w:left="14" w:right="14" w:firstLine="4"/>
        <w:jc w:val="both"/>
      </w:pPr>
      <w:r>
        <w:rPr>
          <w:noProof/>
        </w:rPr>
        <mc:AlternateContent>
          <mc:Choice Requires="wpg">
            <w:drawing>
              <wp:anchor distT="0" distB="0" distL="114300" distR="114300" simplePos="0" relativeHeight="251737088" behindDoc="0" locked="0" layoutInCell="1" allowOverlap="1" wp14:anchorId="075F4381" wp14:editId="6CAD6914">
                <wp:simplePos x="0" y="0"/>
                <wp:positionH relativeFrom="column">
                  <wp:posOffset>-13715</wp:posOffset>
                </wp:positionH>
                <wp:positionV relativeFrom="paragraph">
                  <wp:posOffset>-11911</wp:posOffset>
                </wp:positionV>
                <wp:extent cx="141732" cy="393192"/>
                <wp:effectExtent l="0" t="0" r="0" b="0"/>
                <wp:wrapSquare wrapText="bothSides"/>
                <wp:docPr id="2454406" name="Group 2454406"/>
                <wp:cNvGraphicFramePr/>
                <a:graphic xmlns:a="http://schemas.openxmlformats.org/drawingml/2006/main">
                  <a:graphicData uri="http://schemas.microsoft.com/office/word/2010/wordprocessingGroup">
                    <wpg:wgp>
                      <wpg:cNvGrpSpPr/>
                      <wpg:grpSpPr>
                        <a:xfrm>
                          <a:off x="0" y="0"/>
                          <a:ext cx="141732" cy="393192"/>
                          <a:chOff x="0" y="0"/>
                          <a:chExt cx="141732" cy="393192"/>
                        </a:xfrm>
                      </wpg:grpSpPr>
                      <wps:wsp>
                        <wps:cNvPr id="117622" name="Rectangle 117622"/>
                        <wps:cNvSpPr/>
                        <wps:spPr>
                          <a:xfrm>
                            <a:off x="0" y="0"/>
                            <a:ext cx="188504" cy="522946"/>
                          </a:xfrm>
                          <a:prstGeom prst="rect">
                            <a:avLst/>
                          </a:prstGeom>
                          <a:ln>
                            <a:noFill/>
                          </a:ln>
                        </wps:spPr>
                        <wps:txbx>
                          <w:txbxContent>
                            <w:p w14:paraId="4A1D40E8" w14:textId="77777777" w:rsidR="00053D93" w:rsidRDefault="00260B75">
                              <w:r>
                                <w:rPr>
                                  <w:sz w:val="294"/>
                                </w:rPr>
                                <w:t>i</w:t>
                              </w:r>
                            </w:p>
                          </w:txbxContent>
                        </wps:txbx>
                        <wps:bodyPr horzOverflow="overflow" vert="horz" lIns="0" tIns="0" rIns="0" bIns="0" rtlCol="0">
                          <a:noAutofit/>
                        </wps:bodyPr>
                      </wps:wsp>
                    </wpg:wgp>
                  </a:graphicData>
                </a:graphic>
              </wp:anchor>
            </w:drawing>
          </mc:Choice>
          <mc:Fallback>
            <w:pict>
              <v:group w14:anchorId="075F4381" id="Group 2454406" o:spid="_x0000_s1162" style="position:absolute;left:0;text-align:left;margin-left:-1.1pt;margin-top:-.95pt;width:11.15pt;height:30.95pt;z-index:251737088;mso-position-horizontal-relative:text;mso-position-vertical-relative:text" coordsize="141732,39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">
                <v:rect id="Rectangle 117622" o:spid="_x0000_s1163" style="position:absolute;width:188504;height:52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" filled="f" stroked="f">
                  <v:textbox inset="0,0,0,0">
                    <w:txbxContent>
                      <w:p w14:paraId="4A1D40E8" w14:textId="77777777" w:rsidR="00053D93" w:rsidRDefault="00260B75">
                        <w:r>
                          <w:rPr>
                            <w:sz w:val="294"/>
                          </w:rPr>
                          <w:t>i</w:t>
                        </w:r>
                      </w:p>
                    </w:txbxContent>
                  </v:textbox>
                </v:rect>
                <w10:wrap type="square"/>
              </v:group>
            </w:pict>
          </mc:Fallback>
        </mc:AlternateContent>
      </w:r>
      <w:r>
        <w:rPr>
          <w:sz w:val="26"/>
        </w:rPr>
        <w:t>Transferencias a entidades descentralizadas y autónomas no financieras; del Grupo de Gasto 5 Transferencias de Capital, el renglón presupuestario: 533 Transferencias a entidades descentralizadas y autónomas no financieras.</w:t>
      </w:r>
    </w:p>
    <w:p w14:paraId="6037B056" w14:textId="77777777" w:rsidR="00053D93" w:rsidRDefault="00260B75">
      <w:pPr>
        <w:spacing w:after="322" w:line="247" w:lineRule="auto"/>
        <w:ind w:left="1699" w:right="14" w:hanging="1685"/>
        <w:jc w:val="both"/>
      </w:pPr>
      <w:r>
        <w:rPr>
          <w:noProof/>
        </w:rPr>
        <mc:AlternateContent>
          <mc:Choice Requires="wpg">
            <w:drawing>
              <wp:anchor distT="0" distB="0" distL="114300" distR="114300" simplePos="0" relativeHeight="251738112" behindDoc="0" locked="0" layoutInCell="1" allowOverlap="1" wp14:anchorId="53A50D77" wp14:editId="7E0268F7">
                <wp:simplePos x="0" y="0"/>
                <wp:positionH relativeFrom="column">
                  <wp:posOffset>-18287</wp:posOffset>
                </wp:positionH>
                <wp:positionV relativeFrom="paragraph">
                  <wp:posOffset>521208</wp:posOffset>
                </wp:positionV>
                <wp:extent cx="146304" cy="388620"/>
                <wp:effectExtent l="0" t="0" r="0" b="0"/>
                <wp:wrapSquare wrapText="bothSides"/>
                <wp:docPr id="2454408" name="Group 2454408"/>
                <wp:cNvGraphicFramePr/>
                <a:graphic xmlns:a="http://schemas.openxmlformats.org/drawingml/2006/main">
                  <a:graphicData uri="http://schemas.microsoft.com/office/word/2010/wordprocessingGroup">
                    <wpg:wgp>
                      <wpg:cNvGrpSpPr/>
                      <wpg:grpSpPr>
                        <a:xfrm>
                          <a:off x="0" y="0"/>
                          <a:ext cx="146304" cy="388620"/>
                          <a:chOff x="0" y="0"/>
                          <a:chExt cx="146304" cy="388620"/>
                        </a:xfrm>
                      </wpg:grpSpPr>
                      <wps:wsp>
                        <wps:cNvPr id="117624" name="Rectangle 117624"/>
                        <wps:cNvSpPr/>
                        <wps:spPr>
                          <a:xfrm>
                            <a:off x="0" y="0"/>
                            <a:ext cx="194584" cy="516864"/>
                          </a:xfrm>
                          <a:prstGeom prst="rect">
                            <a:avLst/>
                          </a:prstGeom>
                          <a:ln>
                            <a:noFill/>
                          </a:ln>
                        </wps:spPr>
                        <wps:txbx>
                          <w:txbxContent>
                            <w:p w14:paraId="139C38DF" w14:textId="77777777" w:rsidR="00053D93" w:rsidRDefault="00260B75">
                              <w:r>
                                <w:rPr>
                                  <w:sz w:val="302"/>
                                </w:rPr>
                                <w:t>i</w:t>
                              </w:r>
                            </w:p>
                          </w:txbxContent>
                        </wps:txbx>
                        <wps:bodyPr horzOverflow="overflow" vert="horz" lIns="0" tIns="0" rIns="0" bIns="0" rtlCol="0">
                          <a:noAutofit/>
                        </wps:bodyPr>
                      </wps:wsp>
                    </wpg:wgp>
                  </a:graphicData>
                </a:graphic>
              </wp:anchor>
            </w:drawing>
          </mc:Choice>
          <mc:Fallback>
            <w:pict>
              <v:group w14:anchorId="53A50D77" id="Group 2454408" o:spid="_x0000_s1164" style="position:absolute;left:0;text-align:left;margin-left:-1.45pt;margin-top:41.05pt;width:11.5pt;height:30.6pt;z-index:251738112;mso-position-horizontal-relative:text;mso-position-vertical-relative:text" coordsize="146304,38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">
                <v:rect id="Rectangle 117624" o:spid="_x0000_s1165" style="position:absolute;width:194584;height:516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" filled="f" stroked="f">
                  <v:textbox inset="0,0,0,0">
                    <w:txbxContent>
                      <w:p w14:paraId="139C38DF" w14:textId="77777777" w:rsidR="00053D93" w:rsidRDefault="00260B75">
                        <w:r>
                          <w:rPr>
                            <w:sz w:val="302"/>
                          </w:rPr>
                          <w:t>i</w:t>
                        </w:r>
                      </w:p>
                    </w:txbxContent>
                  </v:textbox>
                </v:rect>
                <w10:wrap type="square"/>
              </v:group>
            </w:pict>
          </mc:Fallback>
        </mc:AlternateContent>
      </w:r>
      <w:r>
        <w:rPr>
          <w:noProof/>
        </w:rPr>
        <w:drawing>
          <wp:anchor distT="0" distB="0" distL="114300" distR="114300" simplePos="0" relativeHeight="251739136" behindDoc="0" locked="0" layoutInCell="1" allowOverlap="0" wp14:anchorId="3D81CAA9" wp14:editId="374883D8">
            <wp:simplePos x="0" y="0"/>
            <wp:positionH relativeFrom="column">
              <wp:posOffset>-18287</wp:posOffset>
            </wp:positionH>
            <wp:positionV relativeFrom="paragraph">
              <wp:posOffset>1042416</wp:posOffset>
            </wp:positionV>
            <wp:extent cx="141732" cy="1563624"/>
            <wp:effectExtent l="0" t="0" r="0" b="0"/>
            <wp:wrapSquare wrapText="bothSides"/>
            <wp:docPr id="120327" name="Picture 120327"/>
            <wp:cNvGraphicFramePr/>
            <a:graphic xmlns:a="http://schemas.openxmlformats.org/drawingml/2006/main">
              <a:graphicData uri="http://schemas.openxmlformats.org/drawingml/2006/picture">
                <pic:pic xmlns:pic="http://schemas.openxmlformats.org/drawingml/2006/picture">
                  <pic:nvPicPr>
                    <pic:cNvPr id="120327" name="Picture 120327"/>
                    <pic:cNvPicPr/>
                  </pic:nvPicPr>
                  <pic:blipFill>
                    <a:blip r:embed="rId147"/>
                    <a:stretch>
                      <a:fillRect/>
                    </a:stretch>
                  </pic:blipFill>
                  <pic:spPr>
                    <a:xfrm>
                      <a:off x="0" y="0"/>
                      <a:ext cx="141732" cy="1563624"/>
                    </a:xfrm>
                    <a:prstGeom prst="rect">
                      <a:avLst/>
                    </a:prstGeom>
                  </pic:spPr>
                </pic:pic>
              </a:graphicData>
            </a:graphic>
          </wp:anchor>
        </w:drawing>
      </w:r>
      <w:r>
        <w:rPr>
          <w:noProof/>
        </w:rPr>
        <mc:AlternateContent>
          <mc:Choice Requires="wpg">
            <w:drawing>
              <wp:inline distT="0" distB="0" distL="0" distR="0" wp14:anchorId="73F6D620" wp14:editId="5F816F9A">
                <wp:extent cx="146304" cy="393192"/>
                <wp:effectExtent l="0" t="0" r="0" b="0"/>
                <wp:docPr id="2454407" name="Group 2454407"/>
                <wp:cNvGraphicFramePr/>
                <a:graphic xmlns:a="http://schemas.openxmlformats.org/drawingml/2006/main">
                  <a:graphicData uri="http://schemas.microsoft.com/office/word/2010/wordprocessingGroup">
                    <wpg:wgp>
                      <wpg:cNvGrpSpPr/>
                      <wpg:grpSpPr>
                        <a:xfrm>
                          <a:off x="0" y="0"/>
                          <a:ext cx="146304" cy="393192"/>
                          <a:chOff x="0" y="0"/>
                          <a:chExt cx="146304" cy="393192"/>
                        </a:xfrm>
                      </wpg:grpSpPr>
                      <wps:wsp>
                        <wps:cNvPr id="117623" name="Rectangle 117623"/>
                        <wps:cNvSpPr/>
                        <wps:spPr>
                          <a:xfrm>
                            <a:off x="0" y="0"/>
                            <a:ext cx="194584" cy="522946"/>
                          </a:xfrm>
                          <a:prstGeom prst="rect">
                            <a:avLst/>
                          </a:prstGeom>
                          <a:ln>
                            <a:noFill/>
                          </a:ln>
                        </wps:spPr>
                        <wps:txbx>
                          <w:txbxContent>
                            <w:p w14:paraId="576E1E68" w14:textId="77777777" w:rsidR="00053D93" w:rsidRDefault="00260B75">
                              <w:r>
                                <w:rPr>
                                  <w:sz w:val="302"/>
                                </w:rPr>
                                <w:t>i</w:t>
                              </w:r>
                            </w:p>
                          </w:txbxContent>
                        </wps:txbx>
                        <wps:bodyPr horzOverflow="overflow" vert="horz" lIns="0" tIns="0" rIns="0" bIns="0" rtlCol="0">
                          <a:noAutofit/>
                        </wps:bodyPr>
                      </wps:wsp>
                    </wpg:wgp>
                  </a:graphicData>
                </a:graphic>
              </wp:inline>
            </w:drawing>
          </mc:Choice>
          <mc:Fallback>
            <w:pict>
              <v:group w14:anchorId="73F6D620" id="Group 2454407" o:spid="_x0000_s1166" style="width:11.5pt;height:30.95pt;mso-position-horizontal-relative:char;mso-position-vertical-relative:line" coordsize="146304,39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">
                <v:rect id="Rectangle 117623" o:spid="_x0000_s1167" style="position:absolute;width:194584;height:52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" filled="f" stroked="f">
                  <v:textbox inset="0,0,0,0">
                    <w:txbxContent>
                      <w:p w14:paraId="576E1E68" w14:textId="77777777" w:rsidR="00053D93" w:rsidRDefault="00260B75">
                        <w:r>
                          <w:rPr>
                            <w:sz w:val="302"/>
                          </w:rPr>
                          <w:t>i</w:t>
                        </w:r>
                      </w:p>
                    </w:txbxContent>
                  </v:textbox>
                </v:rect>
                <w10:anchorlock/>
              </v:group>
            </w:pict>
          </mc:Fallback>
        </mc:AlternateContent>
      </w:r>
      <w:r>
        <w:rPr>
          <w:sz w:val="26"/>
        </w:rPr>
        <w:t xml:space="preserve"> Durante la Auditoría Financiera y de Cumplimiento, fue evaluado el Grupo de Gasto 0 Servicios Personales, en la primera fase de la auditoría, la cual comprendió del 01 de enero al 31 de julio de 2024, con excepción del renglón presupuestario 021 Personal supernumerario, el cual fue evaluado al 31 de diciembre de 2024; en virtud que, se examinaron los procesos y no se identificaron riesgos ni debilidades significativas, que pudieran incidir en los resultados operativos, administrativos, presupuestarios y/o financieros de Ta entidad.</w:t>
      </w:r>
    </w:p>
    <w:tbl>
      <w:tblPr>
        <w:tblStyle w:val="TableGrid"/>
        <w:tblpPr w:vertAnchor="page" w:horzAnchor="page" w:tblpX="2863" w:tblpY="14429"/>
        <w:tblOverlap w:val="never"/>
        <w:tblW w:w="7620" w:type="dxa"/>
        <w:tblInd w:w="0" w:type="dxa"/>
        <w:tblCellMar>
          <w:top w:w="22" w:type="dxa"/>
          <w:left w:w="1745" w:type="dxa"/>
          <w:right w:w="115" w:type="dxa"/>
        </w:tblCellMar>
        <w:tblLook w:val="04A0" w:firstRow="1" w:lastRow="0" w:firstColumn="1" w:lastColumn="0" w:noHBand="0" w:noVBand="1"/>
      </w:tblPr>
      <w:tblGrid>
        <w:gridCol w:w="7620"/>
      </w:tblGrid>
      <w:tr w:rsidR="00053D93" w14:paraId="425F5F6A" w14:textId="77777777">
        <w:trPr>
          <w:trHeight w:val="43"/>
        </w:trPr>
        <w:tc>
          <w:tcPr>
            <w:tcW w:w="7620" w:type="dxa"/>
            <w:tcBorders>
              <w:top w:val="nil"/>
              <w:left w:val="single" w:sz="2" w:space="0" w:color="000000"/>
              <w:bottom w:val="single" w:sz="2" w:space="0" w:color="000000"/>
              <w:right w:val="nil"/>
            </w:tcBorders>
          </w:tcPr>
          <w:p w14:paraId="5374C967" w14:textId="77777777" w:rsidR="00053D93" w:rsidRDefault="00053D93"/>
        </w:tc>
      </w:tr>
      <w:tr w:rsidR="00053D93" w14:paraId="2FC06815" w14:textId="77777777">
        <w:trPr>
          <w:trHeight w:val="590"/>
        </w:trPr>
        <w:tc>
          <w:tcPr>
            <w:tcW w:w="7620" w:type="dxa"/>
            <w:tcBorders>
              <w:top w:val="single" w:sz="2" w:space="0" w:color="000000"/>
              <w:left w:val="single" w:sz="2" w:space="0" w:color="000000"/>
              <w:bottom w:val="nil"/>
              <w:right w:val="nil"/>
            </w:tcBorders>
          </w:tcPr>
          <w:p w14:paraId="5FDC4E08" w14:textId="77777777" w:rsidR="00053D93" w:rsidRDefault="00260B75">
            <w:pPr>
              <w:ind w:left="828"/>
            </w:pPr>
            <w:r>
              <w:rPr>
                <w:sz w:val="14"/>
              </w:rPr>
              <w:lastRenderedPageBreak/>
              <w:t>MENISTERIO DE EDUCACION</w:t>
            </w:r>
          </w:p>
          <w:p w14:paraId="21AA71A8" w14:textId="77777777" w:rsidR="00053D93" w:rsidRDefault="00260B75">
            <w:pPr>
              <w:ind w:left="338"/>
            </w:pPr>
            <w:r>
              <w:rPr>
                <w:sz w:val="14"/>
              </w:rPr>
              <w:t>AUDITORIA FINANCIERA Y DE CUMPLIMIENTO</w:t>
            </w:r>
          </w:p>
          <w:p w14:paraId="22D71153" w14:textId="77777777" w:rsidR="00053D93" w:rsidRDefault="00260B75">
            <w:r>
              <w:rPr>
                <w:sz w:val="14"/>
              </w:rPr>
              <w:t>PERIODO DEL 01 DE ENERO AL 31 DE D'CIEMBRE DE 2024</w:t>
            </w:r>
          </w:p>
        </w:tc>
      </w:tr>
    </w:tbl>
    <w:p w14:paraId="0365B9AF" w14:textId="77777777" w:rsidR="00053D93" w:rsidRDefault="00260B75">
      <w:pPr>
        <w:spacing w:after="326" w:line="248" w:lineRule="auto"/>
        <w:ind w:left="1709" w:hanging="3"/>
        <w:jc w:val="both"/>
      </w:pPr>
      <w:r>
        <w:rPr>
          <w:noProof/>
        </w:rPr>
        <w:drawing>
          <wp:anchor distT="0" distB="0" distL="114300" distR="114300" simplePos="0" relativeHeight="251740160" behindDoc="0" locked="0" layoutInCell="1" allowOverlap="0" wp14:anchorId="03A34908" wp14:editId="2A356278">
            <wp:simplePos x="0" y="0"/>
            <wp:positionH relativeFrom="page">
              <wp:posOffset>672084</wp:posOffset>
            </wp:positionH>
            <wp:positionV relativeFrom="page">
              <wp:posOffset>9162287</wp:posOffset>
            </wp:positionV>
            <wp:extent cx="1124712" cy="402337"/>
            <wp:effectExtent l="0" t="0" r="0" b="0"/>
            <wp:wrapTopAndBottom/>
            <wp:docPr id="120329" name="Picture 120329"/>
            <wp:cNvGraphicFramePr/>
            <a:graphic xmlns:a="http://schemas.openxmlformats.org/drawingml/2006/main">
              <a:graphicData uri="http://schemas.openxmlformats.org/drawingml/2006/picture">
                <pic:pic xmlns:pic="http://schemas.openxmlformats.org/drawingml/2006/picture">
                  <pic:nvPicPr>
                    <pic:cNvPr id="120329" name="Picture 120329"/>
                    <pic:cNvPicPr/>
                  </pic:nvPicPr>
                  <pic:blipFill>
                    <a:blip r:embed="rId148"/>
                    <a:stretch>
                      <a:fillRect/>
                    </a:stretch>
                  </pic:blipFill>
                  <pic:spPr>
                    <a:xfrm>
                      <a:off x="0" y="0"/>
                      <a:ext cx="1124712" cy="402337"/>
                    </a:xfrm>
                    <a:prstGeom prst="rect">
                      <a:avLst/>
                    </a:prstGeom>
                  </pic:spPr>
                </pic:pic>
              </a:graphicData>
            </a:graphic>
          </wp:anchor>
        </w:drawing>
      </w:r>
      <w:r>
        <w:rPr>
          <w:sz w:val="28"/>
        </w:rPr>
        <w:t>Unidad Ejecutora 323 Dirección Departamental de Educación Guatemala Norte</w:t>
      </w:r>
    </w:p>
    <w:p w14:paraId="7091300F" w14:textId="77777777" w:rsidR="00053D93" w:rsidRDefault="00260B75">
      <w:pPr>
        <w:spacing w:after="17" w:line="247" w:lineRule="auto"/>
        <w:ind w:left="14" w:right="14" w:firstLine="4"/>
        <w:jc w:val="both"/>
      </w:pPr>
      <w:r>
        <w:rPr>
          <w:sz w:val="26"/>
        </w:rPr>
        <w:t>Del Programa 01 Actividades Centrales se evaluó lo siguiente: Grupo de Gasto 0</w:t>
      </w:r>
    </w:p>
    <w:p w14:paraId="0CEDA637" w14:textId="77777777" w:rsidR="00053D93" w:rsidRDefault="00260B75">
      <w:pPr>
        <w:spacing w:after="344" w:line="247" w:lineRule="auto"/>
        <w:ind w:left="14" w:right="14" w:firstLine="1634"/>
        <w:jc w:val="both"/>
      </w:pPr>
      <w:r>
        <w:rPr>
          <w:noProof/>
        </w:rPr>
        <mc:AlternateContent>
          <mc:Choice Requires="wpg">
            <w:drawing>
              <wp:anchor distT="0" distB="0" distL="114300" distR="114300" simplePos="0" relativeHeight="251741184" behindDoc="0" locked="0" layoutInCell="1" allowOverlap="1" wp14:anchorId="5D0F4FA9" wp14:editId="2F6FFDD5">
                <wp:simplePos x="0" y="0"/>
                <wp:positionH relativeFrom="column">
                  <wp:posOffset>-22859</wp:posOffset>
                </wp:positionH>
                <wp:positionV relativeFrom="paragraph">
                  <wp:posOffset>480768</wp:posOffset>
                </wp:positionV>
                <wp:extent cx="146304" cy="393192"/>
                <wp:effectExtent l="0" t="0" r="0" b="0"/>
                <wp:wrapSquare wrapText="bothSides"/>
                <wp:docPr id="2454409" name="Group 2454409"/>
                <wp:cNvGraphicFramePr/>
                <a:graphic xmlns:a="http://schemas.openxmlformats.org/drawingml/2006/main">
                  <a:graphicData uri="http://schemas.microsoft.com/office/word/2010/wordprocessingGroup">
                    <wpg:wgp>
                      <wpg:cNvGrpSpPr/>
                      <wpg:grpSpPr>
                        <a:xfrm>
                          <a:off x="0" y="0"/>
                          <a:ext cx="146304" cy="393192"/>
                          <a:chOff x="0" y="0"/>
                          <a:chExt cx="146304" cy="393192"/>
                        </a:xfrm>
                      </wpg:grpSpPr>
                      <wps:wsp>
                        <wps:cNvPr id="117626" name="Rectangle 117626"/>
                        <wps:cNvSpPr/>
                        <wps:spPr>
                          <a:xfrm>
                            <a:off x="0" y="0"/>
                            <a:ext cx="194584" cy="522945"/>
                          </a:xfrm>
                          <a:prstGeom prst="rect">
                            <a:avLst/>
                          </a:prstGeom>
                          <a:ln>
                            <a:noFill/>
                          </a:ln>
                        </wps:spPr>
                        <wps:txbx>
                          <w:txbxContent>
                            <w:p w14:paraId="0334E7EB" w14:textId="77777777" w:rsidR="00053D93" w:rsidRDefault="00260B75">
                              <w:r>
                                <w:rPr>
                                  <w:rFonts w:ascii="Times New Roman" w:eastAsia="Times New Roman" w:hAnsi="Times New Roman" w:cs="Times New Roman"/>
                                  <w:sz w:val="102"/>
                                </w:rPr>
                                <w:t>i</w:t>
                              </w:r>
                            </w:p>
                          </w:txbxContent>
                        </wps:txbx>
                        <wps:bodyPr horzOverflow="overflow" vert="horz" lIns="0" tIns="0" rIns="0" bIns="0" rtlCol="0">
                          <a:noAutofit/>
                        </wps:bodyPr>
                      </wps:wsp>
                    </wpg:wgp>
                  </a:graphicData>
                </a:graphic>
              </wp:anchor>
            </w:drawing>
          </mc:Choice>
          <mc:Fallback>
            <w:pict>
              <v:group w14:anchorId="5D0F4FA9" id="Group 2454409" o:spid="_x0000_s1168" style="position:absolute;left:0;text-align:left;margin-left:-1.8pt;margin-top:37.85pt;width:11.5pt;height:30.95pt;z-index:251741184;mso-position-horizontal-relative:text;mso-position-vertical-relative:text" coordsize="146304,39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">
                <v:rect id="Rectangle 117626" o:spid="_x0000_s1169" style="position:absolute;width:194584;height:522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" filled="f" stroked="f">
                  <v:textbox inset="0,0,0,0">
                    <w:txbxContent>
                      <w:p w14:paraId="0334E7EB" w14:textId="77777777" w:rsidR="00053D93" w:rsidRDefault="00260B75">
                        <w:r>
                          <w:rPr>
                            <w:rFonts w:ascii="Times New Roman" w:eastAsia="Times New Roman" w:hAnsi="Times New Roman" w:cs="Times New Roman"/>
                            <w:sz w:val="102"/>
                          </w:rPr>
                          <w:t>i</w:t>
                        </w:r>
                      </w:p>
                    </w:txbxContent>
                  </v:textbox>
                </v:rect>
                <w10:wrap type="square"/>
              </v:group>
            </w:pict>
          </mc:Fallback>
        </mc:AlternateContent>
      </w:r>
      <w:r>
        <w:rPr>
          <w:sz w:val="26"/>
        </w:rPr>
        <w:t xml:space="preserve">Servicios Personales, el renglón presupuestario: 021 Personal supernumerario; del </w:t>
      </w:r>
      <w:r>
        <w:rPr>
          <w:rFonts w:ascii="Times New Roman" w:eastAsia="Times New Roman" w:hAnsi="Times New Roman" w:cs="Times New Roman"/>
          <w:sz w:val="26"/>
        </w:rPr>
        <w:t xml:space="preserve">1 </w:t>
      </w:r>
      <w:r>
        <w:rPr>
          <w:sz w:val="26"/>
        </w:rPr>
        <w:t>Grupo de gasto 3 Propiedad, Planta, Equipo e Intangibles, el renglón presupuestario: 328 Equipo de cómputo; del Grupo de Gasto 4 Transferencias Corrientes, el renglón presupuestario: 419 Otras transferencias a personas individuales.</w:t>
      </w:r>
    </w:p>
    <w:p w14:paraId="140E3BB6" w14:textId="77777777" w:rsidR="00053D93" w:rsidRDefault="00260B75">
      <w:pPr>
        <w:spacing w:after="314" w:line="247" w:lineRule="auto"/>
        <w:ind w:left="14" w:right="14" w:firstLine="4"/>
        <w:jc w:val="both"/>
      </w:pPr>
      <w:r>
        <w:rPr>
          <w:noProof/>
        </w:rPr>
        <w:drawing>
          <wp:anchor distT="0" distB="0" distL="114300" distR="114300" simplePos="0" relativeHeight="251742208" behindDoc="0" locked="0" layoutInCell="1" allowOverlap="0" wp14:anchorId="76699C62" wp14:editId="4CA14ACB">
            <wp:simplePos x="0" y="0"/>
            <wp:positionH relativeFrom="column">
              <wp:posOffset>-22859</wp:posOffset>
            </wp:positionH>
            <wp:positionV relativeFrom="paragraph">
              <wp:posOffset>-161964</wp:posOffset>
            </wp:positionV>
            <wp:extent cx="146304" cy="900684"/>
            <wp:effectExtent l="0" t="0" r="0" b="0"/>
            <wp:wrapSquare wrapText="bothSides"/>
            <wp:docPr id="120328" name="Picture 120328"/>
            <wp:cNvGraphicFramePr/>
            <a:graphic xmlns:a="http://schemas.openxmlformats.org/drawingml/2006/main">
              <a:graphicData uri="http://schemas.openxmlformats.org/drawingml/2006/picture">
                <pic:pic xmlns:pic="http://schemas.openxmlformats.org/drawingml/2006/picture">
                  <pic:nvPicPr>
                    <pic:cNvPr id="120328" name="Picture 120328"/>
                    <pic:cNvPicPr/>
                  </pic:nvPicPr>
                  <pic:blipFill>
                    <a:blip r:embed="rId149"/>
                    <a:stretch>
                      <a:fillRect/>
                    </a:stretch>
                  </pic:blipFill>
                  <pic:spPr>
                    <a:xfrm>
                      <a:off x="0" y="0"/>
                      <a:ext cx="146304" cy="900684"/>
                    </a:xfrm>
                    <a:prstGeom prst="rect">
                      <a:avLst/>
                    </a:prstGeom>
                  </pic:spPr>
                </pic:pic>
              </a:graphicData>
            </a:graphic>
          </wp:anchor>
        </w:drawing>
      </w:r>
      <w:r>
        <w:rPr>
          <w:noProof/>
        </w:rPr>
        <mc:AlternateContent>
          <mc:Choice Requires="wpg">
            <w:drawing>
              <wp:anchor distT="0" distB="0" distL="114300" distR="114300" simplePos="0" relativeHeight="251743232" behindDoc="0" locked="0" layoutInCell="1" allowOverlap="1" wp14:anchorId="62BF3CDD" wp14:editId="5D8ED26F">
                <wp:simplePos x="0" y="0"/>
                <wp:positionH relativeFrom="column">
                  <wp:posOffset>-27431</wp:posOffset>
                </wp:positionH>
                <wp:positionV relativeFrom="paragraph">
                  <wp:posOffset>871307</wp:posOffset>
                </wp:positionV>
                <wp:extent cx="146304" cy="379476"/>
                <wp:effectExtent l="0" t="0" r="0" b="0"/>
                <wp:wrapSquare wrapText="bothSides"/>
                <wp:docPr id="2454410" name="Group 2454410"/>
                <wp:cNvGraphicFramePr/>
                <a:graphic xmlns:a="http://schemas.openxmlformats.org/drawingml/2006/main">
                  <a:graphicData uri="http://schemas.microsoft.com/office/word/2010/wordprocessingGroup">
                    <wpg:wgp>
                      <wpg:cNvGrpSpPr/>
                      <wpg:grpSpPr>
                        <a:xfrm>
                          <a:off x="0" y="0"/>
                          <a:ext cx="146304" cy="379476"/>
                          <a:chOff x="0" y="0"/>
                          <a:chExt cx="146304" cy="379476"/>
                        </a:xfrm>
                      </wpg:grpSpPr>
                      <wps:wsp>
                        <wps:cNvPr id="117627" name="Rectangle 117627"/>
                        <wps:cNvSpPr/>
                        <wps:spPr>
                          <a:xfrm>
                            <a:off x="0" y="0"/>
                            <a:ext cx="194584" cy="504703"/>
                          </a:xfrm>
                          <a:prstGeom prst="rect">
                            <a:avLst/>
                          </a:prstGeom>
                          <a:ln>
                            <a:noFill/>
                          </a:ln>
                        </wps:spPr>
                        <wps:txbx>
                          <w:txbxContent>
                            <w:p w14:paraId="024F0F91" w14:textId="77777777" w:rsidR="00053D93" w:rsidRDefault="00260B75">
                              <w:r>
                                <w:rPr>
                                  <w:rFonts w:ascii="Times New Roman" w:eastAsia="Times New Roman" w:hAnsi="Times New Roman" w:cs="Times New Roman"/>
                                  <w:sz w:val="102"/>
                                </w:rPr>
                                <w:t>i</w:t>
                              </w:r>
                            </w:p>
                          </w:txbxContent>
                        </wps:txbx>
                        <wps:bodyPr horzOverflow="overflow" vert="horz" lIns="0" tIns="0" rIns="0" bIns="0" rtlCol="0">
                          <a:noAutofit/>
                        </wps:bodyPr>
                      </wps:wsp>
                    </wpg:wgp>
                  </a:graphicData>
                </a:graphic>
              </wp:anchor>
            </w:drawing>
          </mc:Choice>
          <mc:Fallback>
            <w:pict>
              <v:group w14:anchorId="62BF3CDD" id="Group 2454410" o:spid="_x0000_s1170" style="position:absolute;left:0;text-align:left;margin-left:-2.15pt;margin-top:68.6pt;width:11.5pt;height:29.9pt;z-index:251743232;mso-position-horizontal-relative:text;mso-position-vertical-relative:text" coordsize="146304,3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">
                <v:rect id="Rectangle 117627" o:spid="_x0000_s1171" style="position:absolute;width:194584;height:504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" filled="f" stroked="f">
                  <v:textbox inset="0,0,0,0">
                    <w:txbxContent>
                      <w:p w14:paraId="024F0F91" w14:textId="77777777" w:rsidR="00053D93" w:rsidRDefault="00260B75">
                        <w:r>
                          <w:rPr>
                            <w:rFonts w:ascii="Times New Roman" w:eastAsia="Times New Roman" w:hAnsi="Times New Roman" w:cs="Times New Roman"/>
                            <w:sz w:val="102"/>
                          </w:rPr>
                          <w:t>i</w:t>
                        </w:r>
                      </w:p>
                    </w:txbxContent>
                  </v:textbox>
                </v:rect>
                <w10:wrap type="square"/>
              </v:group>
            </w:pict>
          </mc:Fallback>
        </mc:AlternateContent>
      </w:r>
      <w:r>
        <w:rPr>
          <w:sz w:val="26"/>
        </w:rPr>
        <w:t>Del Programa 1 1 Educación Escolar de Preprimaria, se evaluó lo siguiente: Grupo de Gasto 0 Servicios Personales, los renglones presupuestarios: 01 1 Personal permanente, 015 Complementos específicos al personal permanente, 017 Derechos escalafonarios, 021 Personal supernumerario, 071 Aguinaldo y 072 Bonificación anual (Bono 14); del Grupo de Gasto 1 Servicios no Personales, los renglones presupuestarios: 1 1 1 Energía eléctrica y 1 12 Agua; del Grupo de Gasto 4 Transferencias Corrientes, e' renglón presupuestario: 435 Transferencias a otras instituciones sin fines de lucro.</w:t>
      </w:r>
    </w:p>
    <w:p w14:paraId="011583A5" w14:textId="77777777" w:rsidR="00053D93" w:rsidRDefault="00260B75">
      <w:pPr>
        <w:spacing w:after="17" w:line="247" w:lineRule="auto"/>
        <w:ind w:left="14" w:right="14" w:firstLine="4"/>
        <w:jc w:val="both"/>
      </w:pPr>
      <w:r>
        <w:rPr>
          <w:noProof/>
        </w:rPr>
        <mc:AlternateContent>
          <mc:Choice Requires="wpg">
            <w:drawing>
              <wp:anchor distT="0" distB="0" distL="114300" distR="114300" simplePos="0" relativeHeight="251744256" behindDoc="0" locked="0" layoutInCell="1" allowOverlap="1" wp14:anchorId="4B2BD898" wp14:editId="6C212B1D">
                <wp:simplePos x="0" y="0"/>
                <wp:positionH relativeFrom="column">
                  <wp:posOffset>-27431</wp:posOffset>
                </wp:positionH>
                <wp:positionV relativeFrom="paragraph">
                  <wp:posOffset>161824</wp:posOffset>
                </wp:positionV>
                <wp:extent cx="150876" cy="370332"/>
                <wp:effectExtent l="0" t="0" r="0" b="0"/>
                <wp:wrapSquare wrapText="bothSides"/>
                <wp:docPr id="2454411" name="Group 2454411"/>
                <wp:cNvGraphicFramePr/>
                <a:graphic xmlns:a="http://schemas.openxmlformats.org/drawingml/2006/main">
                  <a:graphicData uri="http://schemas.microsoft.com/office/word/2010/wordprocessingGroup">
                    <wpg:wgp>
                      <wpg:cNvGrpSpPr/>
                      <wpg:grpSpPr>
                        <a:xfrm>
                          <a:off x="0" y="0"/>
                          <a:ext cx="150876" cy="370332"/>
                          <a:chOff x="0" y="0"/>
                          <a:chExt cx="150876" cy="370332"/>
                        </a:xfrm>
                      </wpg:grpSpPr>
                      <wps:wsp>
                        <wps:cNvPr id="117628" name="Rectangle 117628"/>
                        <wps:cNvSpPr/>
                        <wps:spPr>
                          <a:xfrm>
                            <a:off x="0" y="0"/>
                            <a:ext cx="200665" cy="492541"/>
                          </a:xfrm>
                          <a:prstGeom prst="rect">
                            <a:avLst/>
                          </a:prstGeom>
                          <a:ln>
                            <a:noFill/>
                          </a:ln>
                        </wps:spPr>
                        <wps:txbx>
                          <w:txbxContent>
                            <w:p w14:paraId="6F93236C" w14:textId="77777777" w:rsidR="00053D93" w:rsidRDefault="00260B75">
                              <w:r>
                                <w:rPr>
                                  <w:sz w:val="312"/>
                                </w:rPr>
                                <w:t>i</w:t>
                              </w:r>
                            </w:p>
                          </w:txbxContent>
                        </wps:txbx>
                        <wps:bodyPr horzOverflow="overflow" vert="horz" lIns="0" tIns="0" rIns="0" bIns="0" rtlCol="0">
                          <a:noAutofit/>
                        </wps:bodyPr>
                      </wps:wsp>
                    </wpg:wgp>
                  </a:graphicData>
                </a:graphic>
              </wp:anchor>
            </w:drawing>
          </mc:Choice>
          <mc:Fallback>
            <w:pict>
              <v:group w14:anchorId="4B2BD898" id="Group 2454411" o:spid="_x0000_s1172" style="position:absolute;left:0;text-align:left;margin-left:-2.15pt;margin-top:12.75pt;width:11.9pt;height:29.15pt;z-index:251744256;mso-position-horizontal-relative:text;mso-position-vertical-relative:text" coordsize="150876,37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">
                <v:rect id="Rectangle 117628" o:spid="_x0000_s1173" style="position:absolute;width:200665;height:492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" filled="f" stroked="f">
                  <v:textbox inset="0,0,0,0">
                    <w:txbxContent>
                      <w:p w14:paraId="6F93236C" w14:textId="77777777" w:rsidR="00053D93" w:rsidRDefault="00260B75">
                        <w:r>
                          <w:rPr>
                            <w:sz w:val="312"/>
                          </w:rPr>
                          <w:t>i</w:t>
                        </w:r>
                      </w:p>
                    </w:txbxContent>
                  </v:textbox>
                </v:rect>
                <w10:wrap type="square"/>
              </v:group>
            </w:pict>
          </mc:Fallback>
        </mc:AlternateContent>
      </w:r>
      <w:r>
        <w:rPr>
          <w:sz w:val="26"/>
        </w:rPr>
        <w:t>Del Programa 12 Educación Escolar de Primaria, se evaluó lo siguiente: Grupo de Gasto 0 Servicios Personales, los renglones presupuestarios: 01 1 Personal permanente, 015 Complementos específicos al personal permanente, 017 Derechos escalafonarios, 021 Personal supernumerario, 071 Aguinaldo y 072</w:t>
      </w:r>
    </w:p>
    <w:p w14:paraId="31681235" w14:textId="77777777" w:rsidR="00053D93" w:rsidRDefault="00260B75">
      <w:pPr>
        <w:spacing w:after="49"/>
        <w:ind w:left="1620"/>
      </w:pPr>
      <w:r>
        <w:rPr>
          <w:noProof/>
        </w:rPr>
        <mc:AlternateContent>
          <mc:Choice Requires="wpg">
            <w:drawing>
              <wp:inline distT="0" distB="0" distL="0" distR="0" wp14:anchorId="4F7FE6F4" wp14:editId="78CBFC5F">
                <wp:extent cx="5376672" cy="9144"/>
                <wp:effectExtent l="0" t="0" r="0" b="0"/>
                <wp:docPr id="2458168" name="Group 2458168"/>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167" name="Shape 2458167"/>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68" style="width:423.36pt;height:0.719997pt;mso-position-horizontal-relative:char;mso-position-vertical-relative:line" coordsize="53766,91">
                <v:shape id="Shape 2458167" style="position:absolute;width:53766;height:91;left:0;top:0;" coordsize="5376672,9144" path="m0,4572l5376672,4572">
                  <v:stroke weight="0.719997pt" endcap="flat" joinstyle="miter" miterlimit="1" on="true" color="#000000"/>
                  <v:fill on="false" color="#000000"/>
                </v:shape>
              </v:group>
            </w:pict>
          </mc:Fallback>
        </mc:AlternateContent>
      </w:r>
    </w:p>
    <w:p w14:paraId="008F36C1" w14:textId="77777777" w:rsidR="00053D93" w:rsidRDefault="00260B75">
      <w:pPr>
        <w:spacing w:after="312" w:line="247" w:lineRule="auto"/>
        <w:ind w:left="14" w:right="14" w:firstLine="4"/>
        <w:jc w:val="both"/>
      </w:pPr>
      <w:r>
        <w:rPr>
          <w:noProof/>
        </w:rPr>
        <mc:AlternateContent>
          <mc:Choice Requires="wpg">
            <w:drawing>
              <wp:anchor distT="0" distB="0" distL="114300" distR="114300" simplePos="0" relativeHeight="251745280" behindDoc="0" locked="0" layoutInCell="1" allowOverlap="1" wp14:anchorId="449DD1A1" wp14:editId="757FF6E9">
                <wp:simplePos x="0" y="0"/>
                <wp:positionH relativeFrom="column">
                  <wp:posOffset>-22859</wp:posOffset>
                </wp:positionH>
                <wp:positionV relativeFrom="paragraph">
                  <wp:posOffset>512758</wp:posOffset>
                </wp:positionV>
                <wp:extent cx="123444" cy="411480"/>
                <wp:effectExtent l="0" t="0" r="0" b="0"/>
                <wp:wrapSquare wrapText="bothSides"/>
                <wp:docPr id="2454416" name="Group 2454416"/>
                <wp:cNvGraphicFramePr/>
                <a:graphic xmlns:a="http://schemas.openxmlformats.org/drawingml/2006/main">
                  <a:graphicData uri="http://schemas.microsoft.com/office/word/2010/wordprocessingGroup">
                    <wpg:wgp>
                      <wpg:cNvGrpSpPr/>
                      <wpg:grpSpPr>
                        <a:xfrm>
                          <a:off x="0" y="0"/>
                          <a:ext cx="123444" cy="411480"/>
                          <a:chOff x="0" y="0"/>
                          <a:chExt cx="123444" cy="411480"/>
                        </a:xfrm>
                      </wpg:grpSpPr>
                      <wps:wsp>
                        <wps:cNvPr id="120873" name="Rectangle 120873"/>
                        <wps:cNvSpPr/>
                        <wps:spPr>
                          <a:xfrm>
                            <a:off x="0" y="0"/>
                            <a:ext cx="164181" cy="547269"/>
                          </a:xfrm>
                          <a:prstGeom prst="rect">
                            <a:avLst/>
                          </a:prstGeom>
                          <a:ln>
                            <a:noFill/>
                          </a:ln>
                        </wps:spPr>
                        <wps:txbx>
                          <w:txbxContent>
                            <w:p w14:paraId="1E3254ED" w14:textId="77777777" w:rsidR="00053D93" w:rsidRDefault="00260B75">
                              <w:r>
                                <w:rPr>
                                  <w:rFonts w:ascii="Times New Roman" w:eastAsia="Times New Roman" w:hAnsi="Times New Roman" w:cs="Times New Roman"/>
                                  <w:sz w:val="86"/>
                                </w:rPr>
                                <w:t>i</w:t>
                              </w:r>
                            </w:p>
                          </w:txbxContent>
                        </wps:txbx>
                        <wps:bodyPr horzOverflow="overflow" vert="horz" lIns="0" tIns="0" rIns="0" bIns="0" rtlCol="0">
                          <a:noAutofit/>
                        </wps:bodyPr>
                      </wps:wsp>
                    </wpg:wgp>
                  </a:graphicData>
                </a:graphic>
              </wp:anchor>
            </w:drawing>
          </mc:Choice>
          <mc:Fallback>
            <w:pict>
              <v:group w14:anchorId="449DD1A1" id="Group 2454416" o:spid="_x0000_s1174" style="position:absolute;left:0;text-align:left;margin-left:-1.8pt;margin-top:40.35pt;width:9.7pt;height:32.4pt;z-index:251745280;mso-position-horizontal-relative:text;mso-position-vertical-relative:text" coordsize="123444,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">
                <v:rect id="Rectangle 120873" o:spid="_x0000_s1175" style="position:absolute;width:164181;height:54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" filled="f" stroked="f">
                  <v:textbox inset="0,0,0,0">
                    <w:txbxContent>
                      <w:p w14:paraId="1E3254ED" w14:textId="77777777" w:rsidR="00053D93" w:rsidRDefault="00260B75">
                        <w:r>
                          <w:rPr>
                            <w:rFonts w:ascii="Times New Roman" w:eastAsia="Times New Roman" w:hAnsi="Times New Roman" w:cs="Times New Roman"/>
                            <w:sz w:val="86"/>
                          </w:rPr>
                          <w:t>i</w:t>
                        </w:r>
                      </w:p>
                    </w:txbxContent>
                  </v:textbox>
                </v:rect>
                <w10:wrap type="square"/>
              </v:group>
            </w:pict>
          </mc:Fallback>
        </mc:AlternateContent>
      </w:r>
      <w:r>
        <w:rPr>
          <w:sz w:val="26"/>
        </w:rPr>
        <w:t>Bonificación anual (Bono 14); del Grupo de Gasto 1 Servicios no Personales, los renglones presupuestarios: 1 1 1 Energía eléctrica y 1 12 Agua; del Grupo de Gasto 4 Transferencias Corrientes, los renglones presupuestarios: 419 Otras transferencias a personas individuales y 435 Transferencias a otras instituciones sin fines de lucro.</w:t>
      </w:r>
    </w:p>
    <w:p w14:paraId="11342B46" w14:textId="77777777" w:rsidR="00053D93" w:rsidRDefault="00260B75">
      <w:pPr>
        <w:spacing w:after="298" w:line="247" w:lineRule="auto"/>
        <w:ind w:left="14" w:right="14" w:firstLine="4"/>
        <w:jc w:val="both"/>
      </w:pPr>
      <w:r>
        <w:rPr>
          <w:noProof/>
        </w:rPr>
        <mc:AlternateContent>
          <mc:Choice Requires="wpg">
            <w:drawing>
              <wp:anchor distT="0" distB="0" distL="114300" distR="114300" simplePos="0" relativeHeight="251746304" behindDoc="0" locked="0" layoutInCell="1" allowOverlap="1" wp14:anchorId="4930384A" wp14:editId="59EC3B3C">
                <wp:simplePos x="0" y="0"/>
                <wp:positionH relativeFrom="column">
                  <wp:posOffset>-22859</wp:posOffset>
                </wp:positionH>
                <wp:positionV relativeFrom="paragraph">
                  <wp:posOffset>-135721</wp:posOffset>
                </wp:positionV>
                <wp:extent cx="128016" cy="406908"/>
                <wp:effectExtent l="0" t="0" r="0" b="0"/>
                <wp:wrapSquare wrapText="bothSides"/>
                <wp:docPr id="2454417" name="Group 2454417"/>
                <wp:cNvGraphicFramePr/>
                <a:graphic xmlns:a="http://schemas.openxmlformats.org/drawingml/2006/main">
                  <a:graphicData uri="http://schemas.microsoft.com/office/word/2010/wordprocessingGroup">
                    <wpg:wgp>
                      <wpg:cNvGrpSpPr/>
                      <wpg:grpSpPr>
                        <a:xfrm>
                          <a:off x="0" y="0"/>
                          <a:ext cx="128016" cy="406908"/>
                          <a:chOff x="0" y="0"/>
                          <a:chExt cx="128016" cy="406908"/>
                        </a:xfrm>
                      </wpg:grpSpPr>
                      <wps:wsp>
                        <wps:cNvPr id="120874" name="Rectangle 120874"/>
                        <wps:cNvSpPr/>
                        <wps:spPr>
                          <a:xfrm>
                            <a:off x="0" y="0"/>
                            <a:ext cx="170261" cy="541188"/>
                          </a:xfrm>
                          <a:prstGeom prst="rect">
                            <a:avLst/>
                          </a:prstGeom>
                          <a:ln>
                            <a:noFill/>
                          </a:ln>
                        </wps:spPr>
                        <wps:txbx>
                          <w:txbxContent>
                            <w:p w14:paraId="2E10BFCC" w14:textId="77777777" w:rsidR="00053D93" w:rsidRDefault="00260B75">
                              <w:r>
                                <w:rPr>
                                  <w:sz w:val="264"/>
                                </w:rPr>
                                <w:t>i</w:t>
                              </w:r>
                            </w:p>
                          </w:txbxContent>
                        </wps:txbx>
                        <wps:bodyPr horzOverflow="overflow" vert="horz" lIns="0" tIns="0" rIns="0" bIns="0" rtlCol="0">
                          <a:noAutofit/>
                        </wps:bodyPr>
                      </wps:wsp>
                    </wpg:wgp>
                  </a:graphicData>
                </a:graphic>
              </wp:anchor>
            </w:drawing>
          </mc:Choice>
          <mc:Fallback>
            <w:pict>
              <v:group w14:anchorId="4930384A" id="Group 2454417" o:spid="_x0000_s1176" style="position:absolute;left:0;text-align:left;margin-left:-1.8pt;margin-top:-10.7pt;width:10.1pt;height:32.05pt;z-index:251746304;mso-position-horizontal-relative:text;mso-position-vertical-relative:text" coordsize="128016,4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">
                <v:rect id="Rectangle 120874" o:spid="_x0000_s1177" style="position:absolute;width:170261;height:54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" filled="f" stroked="f">
                  <v:textbox inset="0,0,0,0">
                    <w:txbxContent>
                      <w:p w14:paraId="2E10BFCC" w14:textId="77777777" w:rsidR="00053D93" w:rsidRDefault="00260B75">
                        <w:r>
                          <w:rPr>
                            <w:sz w:val="264"/>
                          </w:rPr>
                          <w:t>i</w:t>
                        </w:r>
                      </w:p>
                    </w:txbxContent>
                  </v:textbox>
                </v:rect>
                <w10:wrap type="square"/>
              </v:group>
            </w:pict>
          </mc:Fallback>
        </mc:AlternateContent>
      </w:r>
      <w:r>
        <w:rPr>
          <w:noProof/>
        </w:rPr>
        <mc:AlternateContent>
          <mc:Choice Requires="wpg">
            <w:drawing>
              <wp:anchor distT="0" distB="0" distL="114300" distR="114300" simplePos="0" relativeHeight="251747328" behindDoc="0" locked="0" layoutInCell="1" allowOverlap="1" wp14:anchorId="56A94A28" wp14:editId="378EC6CF">
                <wp:simplePos x="0" y="0"/>
                <wp:positionH relativeFrom="column">
                  <wp:posOffset>-22859</wp:posOffset>
                </wp:positionH>
                <wp:positionV relativeFrom="paragraph">
                  <wp:posOffset>380915</wp:posOffset>
                </wp:positionV>
                <wp:extent cx="128016" cy="406908"/>
                <wp:effectExtent l="0" t="0" r="0" b="0"/>
                <wp:wrapSquare wrapText="bothSides"/>
                <wp:docPr id="2454418" name="Group 2454418"/>
                <wp:cNvGraphicFramePr/>
                <a:graphic xmlns:a="http://schemas.openxmlformats.org/drawingml/2006/main">
                  <a:graphicData uri="http://schemas.microsoft.com/office/word/2010/wordprocessingGroup">
                    <wpg:wgp>
                      <wpg:cNvGrpSpPr/>
                      <wpg:grpSpPr>
                        <a:xfrm>
                          <a:off x="0" y="0"/>
                          <a:ext cx="128016" cy="406908"/>
                          <a:chOff x="0" y="0"/>
                          <a:chExt cx="128016" cy="406908"/>
                        </a:xfrm>
                      </wpg:grpSpPr>
                      <wps:wsp>
                        <wps:cNvPr id="120875" name="Rectangle 120875"/>
                        <wps:cNvSpPr/>
                        <wps:spPr>
                          <a:xfrm>
                            <a:off x="0" y="0"/>
                            <a:ext cx="170261" cy="541188"/>
                          </a:xfrm>
                          <a:prstGeom prst="rect">
                            <a:avLst/>
                          </a:prstGeom>
                          <a:ln>
                            <a:noFill/>
                          </a:ln>
                        </wps:spPr>
                        <wps:txbx>
                          <w:txbxContent>
                            <w:p w14:paraId="75A8CA72" w14:textId="77777777" w:rsidR="00053D93" w:rsidRDefault="00260B75">
                              <w:r>
                                <w:rPr>
                                  <w:sz w:val="264"/>
                                </w:rPr>
                                <w:t>i</w:t>
                              </w:r>
                            </w:p>
                          </w:txbxContent>
                        </wps:txbx>
                        <wps:bodyPr horzOverflow="overflow" vert="horz" lIns="0" tIns="0" rIns="0" bIns="0" rtlCol="0">
                          <a:noAutofit/>
                        </wps:bodyPr>
                      </wps:wsp>
                    </wpg:wgp>
                  </a:graphicData>
                </a:graphic>
              </wp:anchor>
            </w:drawing>
          </mc:Choice>
          <mc:Fallback>
            <w:pict>
              <v:group w14:anchorId="56A94A28" id="Group 2454418" o:spid="_x0000_s1178" style="position:absolute;left:0;text-align:left;margin-left:-1.8pt;margin-top:30pt;width:10.1pt;height:32.05pt;z-index:251747328;mso-position-horizontal-relative:text;mso-position-vertical-relative:text" coordsize="128016,4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">
                <v:rect id="Rectangle 120875" o:spid="_x0000_s1179" style="position:absolute;width:170261;height:54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" filled="f" stroked="f">
                  <v:textbox inset="0,0,0,0">
                    <w:txbxContent>
                      <w:p w14:paraId="75A8CA72" w14:textId="77777777" w:rsidR="00053D93" w:rsidRDefault="00260B75">
                        <w:r>
                          <w:rPr>
                            <w:sz w:val="264"/>
                          </w:rPr>
                          <w:t>i</w:t>
                        </w:r>
                      </w:p>
                    </w:txbxContent>
                  </v:textbox>
                </v:rect>
                <w10:wrap type="square"/>
              </v:group>
            </w:pict>
          </mc:Fallback>
        </mc:AlternateContent>
      </w:r>
      <w:r>
        <w:rPr>
          <w:noProof/>
        </w:rPr>
        <mc:AlternateContent>
          <mc:Choice Requires="wpg">
            <w:drawing>
              <wp:anchor distT="0" distB="0" distL="114300" distR="114300" simplePos="0" relativeHeight="251748352" behindDoc="0" locked="0" layoutInCell="1" allowOverlap="1" wp14:anchorId="7B6DCAB6" wp14:editId="3E06AE50">
                <wp:simplePos x="0" y="0"/>
                <wp:positionH relativeFrom="column">
                  <wp:posOffset>-22859</wp:posOffset>
                </wp:positionH>
                <wp:positionV relativeFrom="paragraph">
                  <wp:posOffset>902122</wp:posOffset>
                </wp:positionV>
                <wp:extent cx="132588" cy="402336"/>
                <wp:effectExtent l="0" t="0" r="0" b="0"/>
                <wp:wrapSquare wrapText="bothSides"/>
                <wp:docPr id="2454419" name="Group 2454419"/>
                <wp:cNvGraphicFramePr/>
                <a:graphic xmlns:a="http://schemas.openxmlformats.org/drawingml/2006/main">
                  <a:graphicData uri="http://schemas.microsoft.com/office/word/2010/wordprocessingGroup">
                    <wpg:wgp>
                      <wpg:cNvGrpSpPr/>
                      <wpg:grpSpPr>
                        <a:xfrm>
                          <a:off x="0" y="0"/>
                          <a:ext cx="132588" cy="402336"/>
                          <a:chOff x="0" y="0"/>
                          <a:chExt cx="132588" cy="402336"/>
                        </a:xfrm>
                      </wpg:grpSpPr>
                      <wps:wsp>
                        <wps:cNvPr id="120876" name="Rectangle 120876"/>
                        <wps:cNvSpPr/>
                        <wps:spPr>
                          <a:xfrm>
                            <a:off x="0" y="0"/>
                            <a:ext cx="176342" cy="535107"/>
                          </a:xfrm>
                          <a:prstGeom prst="rect">
                            <a:avLst/>
                          </a:prstGeom>
                          <a:ln>
                            <a:noFill/>
                          </a:ln>
                        </wps:spPr>
                        <wps:txbx>
                          <w:txbxContent>
                            <w:p w14:paraId="1F744A2F" w14:textId="77777777" w:rsidR="00053D93" w:rsidRDefault="00260B75">
                              <w:r>
                                <w:rPr>
                                  <w:sz w:val="274"/>
                                </w:rPr>
                                <w:t>i</w:t>
                              </w:r>
                            </w:p>
                          </w:txbxContent>
                        </wps:txbx>
                        <wps:bodyPr horzOverflow="overflow" vert="horz" lIns="0" tIns="0" rIns="0" bIns="0" rtlCol="0">
                          <a:noAutofit/>
                        </wps:bodyPr>
                      </wps:wsp>
                    </wpg:wgp>
                  </a:graphicData>
                </a:graphic>
              </wp:anchor>
            </w:drawing>
          </mc:Choice>
          <mc:Fallback>
            <w:pict>
              <v:group w14:anchorId="7B6DCAB6" id="Group 2454419" o:spid="_x0000_s1180" style="position:absolute;left:0;text-align:left;margin-left:-1.8pt;margin-top:71.05pt;width:10.45pt;height:31.7pt;z-index:251748352;mso-position-horizontal-relative:text;mso-position-vertical-relative:text" coordsize="132588,40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">
                <v:rect id="Rectangle 120876" o:spid="_x0000_s1181" style="position:absolute;width:176342;height:53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" filled="f" stroked="f">
                  <v:textbox inset="0,0,0,0">
                    <w:txbxContent>
                      <w:p w14:paraId="1F744A2F" w14:textId="77777777" w:rsidR="00053D93" w:rsidRDefault="00260B75">
                        <w:r>
                          <w:rPr>
                            <w:sz w:val="274"/>
                          </w:rPr>
                          <w:t>i</w:t>
                        </w:r>
                      </w:p>
                    </w:txbxContent>
                  </v:textbox>
                </v:rect>
                <w10:wrap type="square"/>
              </v:group>
            </w:pict>
          </mc:Fallback>
        </mc:AlternateContent>
      </w:r>
      <w:r>
        <w:rPr>
          <w:sz w:val="26"/>
        </w:rPr>
        <w:t>Del Programa 13 Educación Escolar Básica, se evaluó lo siguiente: Grupo de Gasto 0 Servicios Personales, los renglones presupuestarios: 01 1 Personal permanente, 015 Complementos específicos al personal permanente, 017 Derechos escalafonarios, 021 Personal supernumerario, 027 Complementos específicos al personal temporal, 071 Aguinaldo y 072 Bonificación anual (Bono 14); del Grupo de Gasto 4 Transferencias Corrientes, los renglones presupuestarios: 416 Becas de estudio en el interior, 419 Otras transferencias a personas individuales y 435 Transferencias a otras instituciones sin fines de lucro.</w:t>
      </w:r>
    </w:p>
    <w:tbl>
      <w:tblPr>
        <w:tblStyle w:val="TableGrid"/>
        <w:tblpPr w:vertAnchor="page" w:horzAnchor="page" w:tblpX="2856" w:tblpY="14400"/>
        <w:tblOverlap w:val="never"/>
        <w:tblW w:w="7613" w:type="dxa"/>
        <w:tblInd w:w="0" w:type="dxa"/>
        <w:tblCellMar>
          <w:top w:w="18" w:type="dxa"/>
          <w:left w:w="1738" w:type="dxa"/>
          <w:right w:w="115" w:type="dxa"/>
        </w:tblCellMar>
        <w:tblLook w:val="04A0" w:firstRow="1" w:lastRow="0" w:firstColumn="1" w:lastColumn="0" w:noHBand="0" w:noVBand="1"/>
      </w:tblPr>
      <w:tblGrid>
        <w:gridCol w:w="7613"/>
      </w:tblGrid>
      <w:tr w:rsidR="00053D93" w14:paraId="7DBA4CAA" w14:textId="77777777">
        <w:trPr>
          <w:trHeight w:val="33"/>
        </w:trPr>
        <w:tc>
          <w:tcPr>
            <w:tcW w:w="7613" w:type="dxa"/>
            <w:tcBorders>
              <w:top w:val="nil"/>
              <w:left w:val="single" w:sz="2" w:space="0" w:color="000000"/>
              <w:bottom w:val="single" w:sz="2" w:space="0" w:color="000000"/>
              <w:right w:val="nil"/>
            </w:tcBorders>
          </w:tcPr>
          <w:p w14:paraId="196CCB27" w14:textId="77777777" w:rsidR="00053D93" w:rsidRDefault="00053D93"/>
        </w:tc>
      </w:tr>
      <w:tr w:rsidR="00053D93" w14:paraId="79D3A320" w14:textId="77777777">
        <w:trPr>
          <w:trHeight w:val="600"/>
        </w:trPr>
        <w:tc>
          <w:tcPr>
            <w:tcW w:w="7613" w:type="dxa"/>
            <w:tcBorders>
              <w:top w:val="single" w:sz="2" w:space="0" w:color="000000"/>
              <w:left w:val="single" w:sz="2" w:space="0" w:color="000000"/>
              <w:bottom w:val="nil"/>
              <w:right w:val="nil"/>
            </w:tcBorders>
          </w:tcPr>
          <w:p w14:paraId="6F1C0A1E" w14:textId="77777777" w:rsidR="00053D93" w:rsidRDefault="00260B75">
            <w:pPr>
              <w:ind w:left="835"/>
            </w:pPr>
            <w:r>
              <w:rPr>
                <w:sz w:val="14"/>
              </w:rPr>
              <w:lastRenderedPageBreak/>
              <w:t>MINISTERIO DE EDUCACION</w:t>
            </w:r>
          </w:p>
          <w:p w14:paraId="21BD248D" w14:textId="77777777" w:rsidR="00053D93" w:rsidRDefault="00260B75">
            <w:pPr>
              <w:ind w:left="338"/>
            </w:pPr>
            <w:r>
              <w:rPr>
                <w:sz w:val="14"/>
              </w:rPr>
              <w:t>AUDITORIA FINANCIERA Y DE CUMPLIMIENTO</w:t>
            </w:r>
          </w:p>
          <w:p w14:paraId="702FEE3E" w14:textId="77777777" w:rsidR="00053D93" w:rsidRDefault="00260B75">
            <w:r>
              <w:rPr>
                <w:sz w:val="14"/>
              </w:rPr>
              <w:t>PERÍODO DEL 01 DE ENERO AL 31 DE DICIEMBRE DE 2024</w:t>
            </w:r>
          </w:p>
        </w:tc>
      </w:tr>
    </w:tbl>
    <w:p w14:paraId="47260453" w14:textId="77777777" w:rsidR="00053D93" w:rsidRDefault="00260B75">
      <w:pPr>
        <w:spacing w:after="129" w:line="247" w:lineRule="auto"/>
        <w:ind w:left="14" w:right="14" w:firstLine="4"/>
        <w:jc w:val="both"/>
      </w:pPr>
      <w:r>
        <w:rPr>
          <w:noProof/>
        </w:rPr>
        <w:drawing>
          <wp:anchor distT="0" distB="0" distL="114300" distR="114300" simplePos="0" relativeHeight="251749376" behindDoc="0" locked="0" layoutInCell="1" allowOverlap="0" wp14:anchorId="215A1931" wp14:editId="18853662">
            <wp:simplePos x="0" y="0"/>
            <wp:positionH relativeFrom="column">
              <wp:posOffset>-22859</wp:posOffset>
            </wp:positionH>
            <wp:positionV relativeFrom="paragraph">
              <wp:posOffset>-335590</wp:posOffset>
            </wp:positionV>
            <wp:extent cx="132588" cy="1431036"/>
            <wp:effectExtent l="0" t="0" r="0" b="0"/>
            <wp:wrapSquare wrapText="bothSides"/>
            <wp:docPr id="123586" name="Picture 123586"/>
            <wp:cNvGraphicFramePr/>
            <a:graphic xmlns:a="http://schemas.openxmlformats.org/drawingml/2006/main">
              <a:graphicData uri="http://schemas.openxmlformats.org/drawingml/2006/picture">
                <pic:pic xmlns:pic="http://schemas.openxmlformats.org/drawingml/2006/picture">
                  <pic:nvPicPr>
                    <pic:cNvPr id="123586" name="Picture 123586"/>
                    <pic:cNvPicPr/>
                  </pic:nvPicPr>
                  <pic:blipFill>
                    <a:blip r:embed="rId150"/>
                    <a:stretch>
                      <a:fillRect/>
                    </a:stretch>
                  </pic:blipFill>
                  <pic:spPr>
                    <a:xfrm>
                      <a:off x="0" y="0"/>
                      <a:ext cx="132588" cy="1431036"/>
                    </a:xfrm>
                    <a:prstGeom prst="rect">
                      <a:avLst/>
                    </a:prstGeom>
                  </pic:spPr>
                </pic:pic>
              </a:graphicData>
            </a:graphic>
          </wp:anchor>
        </w:drawing>
      </w:r>
      <w:r>
        <w:rPr>
          <w:noProof/>
        </w:rPr>
        <mc:AlternateContent>
          <mc:Choice Requires="wpg">
            <w:drawing>
              <wp:anchor distT="0" distB="0" distL="114300" distR="114300" simplePos="0" relativeHeight="251750400" behindDoc="0" locked="0" layoutInCell="1" allowOverlap="1" wp14:anchorId="49840F50" wp14:editId="6A4C555D">
                <wp:simplePos x="0" y="0"/>
                <wp:positionH relativeFrom="column">
                  <wp:posOffset>-22859</wp:posOffset>
                </wp:positionH>
                <wp:positionV relativeFrom="paragraph">
                  <wp:posOffset>1209745</wp:posOffset>
                </wp:positionV>
                <wp:extent cx="137160" cy="402336"/>
                <wp:effectExtent l="0" t="0" r="0" b="0"/>
                <wp:wrapSquare wrapText="bothSides"/>
                <wp:docPr id="2454420" name="Group 2454420"/>
                <wp:cNvGraphicFramePr/>
                <a:graphic xmlns:a="http://schemas.openxmlformats.org/drawingml/2006/main">
                  <a:graphicData uri="http://schemas.microsoft.com/office/word/2010/wordprocessingGroup">
                    <wpg:wgp>
                      <wpg:cNvGrpSpPr/>
                      <wpg:grpSpPr>
                        <a:xfrm>
                          <a:off x="0" y="0"/>
                          <a:ext cx="137160" cy="402336"/>
                          <a:chOff x="0" y="0"/>
                          <a:chExt cx="137160" cy="402336"/>
                        </a:xfrm>
                      </wpg:grpSpPr>
                      <wps:wsp>
                        <wps:cNvPr id="120877" name="Rectangle 120877"/>
                        <wps:cNvSpPr/>
                        <wps:spPr>
                          <a:xfrm>
                            <a:off x="0" y="0"/>
                            <a:ext cx="182423" cy="535107"/>
                          </a:xfrm>
                          <a:prstGeom prst="rect">
                            <a:avLst/>
                          </a:prstGeom>
                          <a:ln>
                            <a:noFill/>
                          </a:ln>
                        </wps:spPr>
                        <wps:txbx>
                          <w:txbxContent>
                            <w:p w14:paraId="25439270" w14:textId="77777777" w:rsidR="00053D93" w:rsidRDefault="00260B75">
                              <w:r>
                                <w:rPr>
                                  <w:sz w:val="284"/>
                                </w:rPr>
                                <w:t>i</w:t>
                              </w:r>
                            </w:p>
                          </w:txbxContent>
                        </wps:txbx>
                        <wps:bodyPr horzOverflow="overflow" vert="horz" lIns="0" tIns="0" rIns="0" bIns="0" rtlCol="0">
                          <a:noAutofit/>
                        </wps:bodyPr>
                      </wps:wsp>
                    </wpg:wgp>
                  </a:graphicData>
                </a:graphic>
              </wp:anchor>
            </w:drawing>
          </mc:Choice>
          <mc:Fallback>
            <w:pict>
              <v:group w14:anchorId="49840F50" id="Group 2454420" o:spid="_x0000_s1182" style="position:absolute;left:0;text-align:left;margin-left:-1.8pt;margin-top:95.25pt;width:10.8pt;height:31.7pt;z-index:251750400;mso-position-horizontal-relative:text;mso-position-vertical-relative:text" coordsize="137160,40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">
                <v:rect id="Rectangle 120877" o:spid="_x0000_s1183" style="position:absolute;width:182423;height:53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" filled="f" stroked="f">
                  <v:textbox inset="0,0,0,0">
                    <w:txbxContent>
                      <w:p w14:paraId="25439270" w14:textId="77777777" w:rsidR="00053D93" w:rsidRDefault="00260B75">
                        <w:r>
                          <w:rPr>
                            <w:sz w:val="284"/>
                          </w:rPr>
                          <w:t>i</w:t>
                        </w:r>
                      </w:p>
                    </w:txbxContent>
                  </v:textbox>
                </v:rect>
                <w10:wrap type="square"/>
              </v:group>
            </w:pict>
          </mc:Fallback>
        </mc:AlternateContent>
      </w:r>
      <w:r>
        <w:rPr>
          <w:sz w:val="26"/>
        </w:rPr>
        <w:t>Del Programa 14 Educación Escolar Diversificada, se evaluó lo siguiente: Grupo de Gasto 0 Servicios Personales, tos renglones presupuestarios: 01 1 Personal permanente, 015 Complementos específicos al personal permanente, 017 Derechos escalafonarios, 021 Personal supernumeratio, 027 Complementos específicos al personal temporal, 071 Aguinaldo y 072 Bonificación anual (Bono 14); del Grupo de Gasto 2 Materiales y Suministros, el renglón presupuestario: 293 Útiles educacionales y culturales; del Grupo de Gasto 4 Transferencias Corrientes, los renglones presupuestarios: 416 Becas de estudio en el interior, 419 Otras transferencias a personas individuales y 435 Transferencias a otras instituciones sin fines de lucro.</w:t>
      </w:r>
    </w:p>
    <w:p w14:paraId="1880CE2E" w14:textId="77777777" w:rsidR="00053D93" w:rsidRDefault="00260B75">
      <w:pPr>
        <w:spacing w:after="3"/>
        <w:ind w:left="10" w:right="3485" w:hanging="10"/>
      </w:pPr>
      <w:r>
        <w:rPr>
          <w:rFonts w:ascii="Times New Roman" w:eastAsia="Times New Roman" w:hAnsi="Times New Roman" w:cs="Times New Roman"/>
          <w:sz w:val="70"/>
        </w:rPr>
        <w:t>1</w:t>
      </w:r>
    </w:p>
    <w:p w14:paraId="20726F03" w14:textId="77777777" w:rsidR="00053D93" w:rsidRDefault="00260B75">
      <w:pPr>
        <w:spacing w:after="205" w:line="247" w:lineRule="auto"/>
        <w:ind w:left="14" w:right="14" w:firstLine="1454"/>
        <w:jc w:val="both"/>
      </w:pPr>
      <w:r>
        <w:rPr>
          <w:noProof/>
        </w:rPr>
        <mc:AlternateContent>
          <mc:Choice Requires="wpg">
            <w:drawing>
              <wp:anchor distT="0" distB="0" distL="114300" distR="114300" simplePos="0" relativeHeight="251751424" behindDoc="0" locked="0" layoutInCell="1" allowOverlap="1" wp14:anchorId="0D73C0CE" wp14:editId="2CB86785">
                <wp:simplePos x="0" y="0"/>
                <wp:positionH relativeFrom="column">
                  <wp:posOffset>-27431</wp:posOffset>
                </wp:positionH>
                <wp:positionV relativeFrom="paragraph">
                  <wp:posOffset>113045</wp:posOffset>
                </wp:positionV>
                <wp:extent cx="141732" cy="402336"/>
                <wp:effectExtent l="0" t="0" r="0" b="0"/>
                <wp:wrapSquare wrapText="bothSides"/>
                <wp:docPr id="2454421" name="Group 2454421"/>
                <wp:cNvGraphicFramePr/>
                <a:graphic xmlns:a="http://schemas.openxmlformats.org/drawingml/2006/main">
                  <a:graphicData uri="http://schemas.microsoft.com/office/word/2010/wordprocessingGroup">
                    <wpg:wgp>
                      <wpg:cNvGrpSpPr/>
                      <wpg:grpSpPr>
                        <a:xfrm>
                          <a:off x="0" y="0"/>
                          <a:ext cx="141732" cy="402336"/>
                          <a:chOff x="0" y="0"/>
                          <a:chExt cx="141732" cy="402336"/>
                        </a:xfrm>
                      </wpg:grpSpPr>
                      <wps:wsp>
                        <wps:cNvPr id="120879" name="Rectangle 120879"/>
                        <wps:cNvSpPr/>
                        <wps:spPr>
                          <a:xfrm>
                            <a:off x="0" y="0"/>
                            <a:ext cx="188504" cy="535107"/>
                          </a:xfrm>
                          <a:prstGeom prst="rect">
                            <a:avLst/>
                          </a:prstGeom>
                          <a:ln>
                            <a:noFill/>
                          </a:ln>
                        </wps:spPr>
                        <wps:txbx>
                          <w:txbxContent>
                            <w:p w14:paraId="682E293F" w14:textId="77777777" w:rsidR="00053D93" w:rsidRDefault="00260B75">
                              <w:r>
                                <w:rPr>
                                  <w:sz w:val="294"/>
                                </w:rPr>
                                <w:t>i</w:t>
                              </w:r>
                            </w:p>
                          </w:txbxContent>
                        </wps:txbx>
                        <wps:bodyPr horzOverflow="overflow" vert="horz" lIns="0" tIns="0" rIns="0" bIns="0" rtlCol="0">
                          <a:noAutofit/>
                        </wps:bodyPr>
                      </wps:wsp>
                    </wpg:wgp>
                  </a:graphicData>
                </a:graphic>
              </wp:anchor>
            </w:drawing>
          </mc:Choice>
          <mc:Fallback>
            <w:pict>
              <v:group w14:anchorId="0D73C0CE" id="Group 2454421" o:spid="_x0000_s1184" style="position:absolute;left:0;text-align:left;margin-left:-2.15pt;margin-top:8.9pt;width:11.15pt;height:31.7pt;z-index:251751424;mso-position-horizontal-relative:text;mso-position-vertical-relative:text" coordsize="141732,40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">
                <v:rect id="Rectangle 120879" o:spid="_x0000_s1185" style="position:absolute;width:188504;height:53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" filled="f" stroked="f">
                  <v:textbox inset="0,0,0,0">
                    <w:txbxContent>
                      <w:p w14:paraId="682E293F" w14:textId="77777777" w:rsidR="00053D93" w:rsidRDefault="00260B75">
                        <w:r>
                          <w:rPr>
                            <w:sz w:val="294"/>
                          </w:rPr>
                          <w:t>i</w:t>
                        </w:r>
                      </w:p>
                    </w:txbxContent>
                  </v:textbox>
                </v:rect>
                <w10:wrap type="square"/>
              </v:group>
            </w:pict>
          </mc:Fallback>
        </mc:AlternateContent>
      </w:r>
      <w:r>
        <w:rPr>
          <w:sz w:val="26"/>
        </w:rPr>
        <w:t xml:space="preserve">Del Programa 20 Apoyo para el Consumo Adecuado de Alimentos, se evaluó lo siguiente: Grupo de Gasto 2 Materiales y Suministros, el renglón presupuestario: 21 1 Alimentos para personas; del Grupo de Gasto 4 Transferencias Corrientes, los </w:t>
      </w:r>
      <w:r>
        <w:rPr>
          <w:noProof/>
        </w:rPr>
        <w:drawing>
          <wp:inline distT="0" distB="0" distL="0" distR="0" wp14:anchorId="39681423" wp14:editId="68D94CBE">
            <wp:extent cx="9144" cy="18289"/>
            <wp:effectExtent l="0" t="0" r="0" b="0"/>
            <wp:docPr id="123491" name="Picture 123491"/>
            <wp:cNvGraphicFramePr/>
            <a:graphic xmlns:a="http://schemas.openxmlformats.org/drawingml/2006/main">
              <a:graphicData uri="http://schemas.openxmlformats.org/drawingml/2006/picture">
                <pic:pic xmlns:pic="http://schemas.openxmlformats.org/drawingml/2006/picture">
                  <pic:nvPicPr>
                    <pic:cNvPr id="123491" name="Picture 123491"/>
                    <pic:cNvPicPr/>
                  </pic:nvPicPr>
                  <pic:blipFill>
                    <a:blip r:embed="rId151"/>
                    <a:stretch>
                      <a:fillRect/>
                    </a:stretch>
                  </pic:blipFill>
                  <pic:spPr>
                    <a:xfrm>
                      <a:off x="0" y="0"/>
                      <a:ext cx="9144" cy="18289"/>
                    </a:xfrm>
                    <a:prstGeom prst="rect">
                      <a:avLst/>
                    </a:prstGeom>
                  </pic:spPr>
                </pic:pic>
              </a:graphicData>
            </a:graphic>
          </wp:inline>
        </w:drawing>
      </w:r>
      <w:r>
        <w:rPr>
          <w:sz w:val="26"/>
        </w:rPr>
        <w:t xml:space="preserve"> renglones presupuestarios: 431 Transferencias a instituciones de enseñanza y 435 </w:t>
      </w:r>
      <w:r>
        <w:rPr>
          <w:rFonts w:ascii="Times New Roman" w:eastAsia="Times New Roman" w:hAnsi="Times New Roman" w:cs="Times New Roman"/>
          <w:sz w:val="26"/>
        </w:rPr>
        <w:t xml:space="preserve">1 </w:t>
      </w:r>
      <w:r>
        <w:rPr>
          <w:sz w:val="26"/>
        </w:rPr>
        <w:t>Transferencias a otras instituciones sin fines de lucro.</w:t>
      </w:r>
    </w:p>
    <w:p w14:paraId="611997AF" w14:textId="77777777" w:rsidR="00053D93" w:rsidRDefault="00260B75">
      <w:pPr>
        <w:spacing w:after="206" w:line="247" w:lineRule="auto"/>
        <w:ind w:left="14" w:right="14" w:firstLine="1447"/>
        <w:jc w:val="both"/>
      </w:pPr>
      <w:r>
        <w:rPr>
          <w:sz w:val="26"/>
        </w:rPr>
        <w:t xml:space="preserve">Del Programa 99 Partidas no Asignables a Programas, se evaluó Io siguiente: del </w:t>
      </w:r>
      <w:r>
        <w:rPr>
          <w:noProof/>
        </w:rPr>
        <mc:AlternateContent>
          <mc:Choice Requires="wpg">
            <w:drawing>
              <wp:inline distT="0" distB="0" distL="0" distR="0" wp14:anchorId="7362008B" wp14:editId="11BBC770">
                <wp:extent cx="114300" cy="297180"/>
                <wp:effectExtent l="0" t="0" r="0" b="0"/>
                <wp:docPr id="2454422" name="Group 2454422"/>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20881" name="Rectangle 120881"/>
                        <wps:cNvSpPr/>
                        <wps:spPr>
                          <a:xfrm>
                            <a:off x="0" y="0"/>
                            <a:ext cx="152019" cy="395250"/>
                          </a:xfrm>
                          <a:prstGeom prst="rect">
                            <a:avLst/>
                          </a:prstGeom>
                          <a:ln>
                            <a:noFill/>
                          </a:ln>
                        </wps:spPr>
                        <wps:txbx>
                          <w:txbxContent>
                            <w:p w14:paraId="3C27BD0F"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7362008B" id="Group 2454422" o:spid="_x0000_s1186"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">
                <v:rect id="Rectangle 120881" o:spid="_x0000_s1187"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" filled="f" stroked="f">
                  <v:textbox inset="0,0,0,0">
                    <w:txbxContent>
                      <w:p w14:paraId="3C27BD0F"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Grupo de Gasto 4 Transferencias Corrientes, [os renglones presupuestarios: 431 Transferencias a instituciones de enseñanza y 435 Transferencias a otras </w:t>
      </w:r>
      <w:r>
        <w:rPr>
          <w:rFonts w:ascii="Times New Roman" w:eastAsia="Times New Roman" w:hAnsi="Times New Roman" w:cs="Times New Roman"/>
          <w:sz w:val="26"/>
        </w:rPr>
        <w:t xml:space="preserve">1 </w:t>
      </w:r>
      <w:r>
        <w:rPr>
          <w:sz w:val="26"/>
        </w:rPr>
        <w:t>instituciones sin fines de lucro.</w:t>
      </w:r>
    </w:p>
    <w:p w14:paraId="2DDD0D5C" w14:textId="77777777" w:rsidR="00053D93" w:rsidRDefault="00260B75">
      <w:pPr>
        <w:spacing w:after="17" w:line="247" w:lineRule="auto"/>
        <w:ind w:left="-58" w:right="14" w:firstLine="1440"/>
        <w:jc w:val="both"/>
      </w:pPr>
      <w:r>
        <w:rPr>
          <w:noProof/>
        </w:rPr>
        <mc:AlternateContent>
          <mc:Choice Requires="wpg">
            <w:drawing>
              <wp:anchor distT="0" distB="0" distL="114300" distR="114300" simplePos="0" relativeHeight="251752448" behindDoc="0" locked="0" layoutInCell="1" allowOverlap="1" wp14:anchorId="6BDEDFBD" wp14:editId="603A3D82">
                <wp:simplePos x="0" y="0"/>
                <wp:positionH relativeFrom="column">
                  <wp:posOffset>-36575</wp:posOffset>
                </wp:positionH>
                <wp:positionV relativeFrom="paragraph">
                  <wp:posOffset>49746</wp:posOffset>
                </wp:positionV>
                <wp:extent cx="155448" cy="388620"/>
                <wp:effectExtent l="0" t="0" r="0" b="0"/>
                <wp:wrapSquare wrapText="bothSides"/>
                <wp:docPr id="2454423" name="Group 2454423"/>
                <wp:cNvGraphicFramePr/>
                <a:graphic xmlns:a="http://schemas.openxmlformats.org/drawingml/2006/main">
                  <a:graphicData uri="http://schemas.microsoft.com/office/word/2010/wordprocessingGroup">
                    <wpg:wgp>
                      <wpg:cNvGrpSpPr/>
                      <wpg:grpSpPr>
                        <a:xfrm>
                          <a:off x="0" y="0"/>
                          <a:ext cx="155448" cy="388620"/>
                          <a:chOff x="0" y="0"/>
                          <a:chExt cx="155448" cy="388620"/>
                        </a:xfrm>
                      </wpg:grpSpPr>
                      <wps:wsp>
                        <wps:cNvPr id="120883" name="Rectangle 120883"/>
                        <wps:cNvSpPr/>
                        <wps:spPr>
                          <a:xfrm>
                            <a:off x="0" y="0"/>
                            <a:ext cx="206746" cy="516865"/>
                          </a:xfrm>
                          <a:prstGeom prst="rect">
                            <a:avLst/>
                          </a:prstGeom>
                          <a:ln>
                            <a:noFill/>
                          </a:ln>
                        </wps:spPr>
                        <wps:txbx>
                          <w:txbxContent>
                            <w:p w14:paraId="3ECD67AC" w14:textId="77777777" w:rsidR="00053D93" w:rsidRDefault="00260B75">
                              <w:r>
                                <w:rPr>
                                  <w:sz w:val="322"/>
                                </w:rPr>
                                <w:t>i</w:t>
                              </w:r>
                            </w:p>
                          </w:txbxContent>
                        </wps:txbx>
                        <wps:bodyPr horzOverflow="overflow" vert="horz" lIns="0" tIns="0" rIns="0" bIns="0" rtlCol="0">
                          <a:noAutofit/>
                        </wps:bodyPr>
                      </wps:wsp>
                    </wpg:wgp>
                  </a:graphicData>
                </a:graphic>
              </wp:anchor>
            </w:drawing>
          </mc:Choice>
          <mc:Fallback>
            <w:pict>
              <v:group w14:anchorId="6BDEDFBD" id="Group 2454423" o:spid="_x0000_s1188" style="position:absolute;left:0;text-align:left;margin-left:-2.9pt;margin-top:3.9pt;width:12.25pt;height:30.6pt;z-index:251752448;mso-position-horizontal-relative:text;mso-position-vertical-relative:text" coordsize="155448,38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">
                <v:rect id="Rectangle 120883" o:spid="_x0000_s1189" style="position:absolute;width:206746;height:516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" filled="f" stroked="f">
                  <v:textbox inset="0,0,0,0">
                    <w:txbxContent>
                      <w:p w14:paraId="3ECD67AC" w14:textId="77777777" w:rsidR="00053D93" w:rsidRDefault="00260B75">
                        <w:r>
                          <w:rPr>
                            <w:sz w:val="322"/>
                          </w:rPr>
                          <w:t>i</w:t>
                        </w:r>
                      </w:p>
                    </w:txbxContent>
                  </v:textbox>
                </v:rect>
                <w10:wrap type="square"/>
              </v:group>
            </w:pict>
          </mc:Fallback>
        </mc:AlternateContent>
      </w:r>
      <w:r>
        <w:rPr>
          <w:sz w:val="26"/>
        </w:rPr>
        <w:t xml:space="preserve">Durante la Auditoría Financiera y de Cumplimiento, fue evaluado el Grupo de Gasto 0 Servicios Personales, en la primera fase de la auditoría, la cual comprendió del 01 de enero al 31 de julio de 2024, con excepción del renglón </w:t>
      </w:r>
      <w:r>
        <w:rPr>
          <w:noProof/>
        </w:rPr>
        <w:drawing>
          <wp:inline distT="0" distB="0" distL="0" distR="0" wp14:anchorId="35569B24" wp14:editId="568A71AB">
            <wp:extent cx="1586484" cy="1014985"/>
            <wp:effectExtent l="0" t="0" r="0" b="0"/>
            <wp:docPr id="2458165" name="Picture 2458165"/>
            <wp:cNvGraphicFramePr/>
            <a:graphic xmlns:a="http://schemas.openxmlformats.org/drawingml/2006/main">
              <a:graphicData uri="http://schemas.openxmlformats.org/drawingml/2006/picture">
                <pic:pic xmlns:pic="http://schemas.openxmlformats.org/drawingml/2006/picture">
                  <pic:nvPicPr>
                    <pic:cNvPr id="2458165" name="Picture 2458165"/>
                    <pic:cNvPicPr/>
                  </pic:nvPicPr>
                  <pic:blipFill>
                    <a:blip r:embed="rId152"/>
                    <a:stretch>
                      <a:fillRect/>
                    </a:stretch>
                  </pic:blipFill>
                  <pic:spPr>
                    <a:xfrm>
                      <a:off x="0" y="0"/>
                      <a:ext cx="1586484" cy="1014985"/>
                    </a:xfrm>
                    <a:prstGeom prst="rect">
                      <a:avLst/>
                    </a:prstGeom>
                  </pic:spPr>
                </pic:pic>
              </a:graphicData>
            </a:graphic>
          </wp:inline>
        </w:drawing>
      </w:r>
      <w:r>
        <w:rPr>
          <w:sz w:val="26"/>
        </w:rPr>
        <w:t>presupuestario 021 Personal supernumerario, el cual fue evaluado al 31 de</w:t>
      </w:r>
    </w:p>
    <w:p w14:paraId="145654C5" w14:textId="77777777" w:rsidR="00053D93" w:rsidRDefault="00260B75">
      <w:pPr>
        <w:spacing w:after="178" w:line="265" w:lineRule="auto"/>
        <w:ind w:left="1846" w:right="209" w:hanging="10"/>
        <w:jc w:val="center"/>
      </w:pPr>
      <w:r>
        <w:rPr>
          <w:rFonts w:ascii="Times New Roman" w:eastAsia="Times New Roman" w:hAnsi="Times New Roman" w:cs="Times New Roman"/>
          <w:sz w:val="14"/>
        </w:rPr>
        <w:t>25</w:t>
      </w:r>
    </w:p>
    <w:p w14:paraId="4EFED4F2" w14:textId="77777777" w:rsidR="00053D93" w:rsidRDefault="00260B75">
      <w:pPr>
        <w:spacing w:after="57"/>
        <w:ind w:left="1642" w:right="-14"/>
      </w:pPr>
      <w:r>
        <w:rPr>
          <w:noProof/>
        </w:rPr>
        <mc:AlternateContent>
          <mc:Choice Requires="wpg">
            <w:drawing>
              <wp:inline distT="0" distB="0" distL="0" distR="0" wp14:anchorId="183792CD" wp14:editId="2707889B">
                <wp:extent cx="5381244" cy="9144"/>
                <wp:effectExtent l="0" t="0" r="0" b="0"/>
                <wp:docPr id="2458170" name="Group 2458170"/>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169" name="Shape 2458169"/>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70" style="width:423.72pt;height:0.719997pt;mso-position-horizontal-relative:char;mso-position-vertical-relative:line" coordsize="53812,91">
                <v:shape id="Shape 2458169" style="position:absolute;width:53812;height:91;left:0;top:0;" coordsize="5381244,9144" path="m0,4572l5381244,4572">
                  <v:stroke weight="0.719997pt" endcap="flat" joinstyle="miter" miterlimit="1" on="true" color="#000000"/>
                  <v:fill on="false" color="#000000"/>
                </v:shape>
              </v:group>
            </w:pict>
          </mc:Fallback>
        </mc:AlternateContent>
      </w:r>
    </w:p>
    <w:p w14:paraId="213C176A" w14:textId="77777777" w:rsidR="00053D93" w:rsidRDefault="00260B75">
      <w:pPr>
        <w:spacing w:after="290" w:line="247" w:lineRule="auto"/>
        <w:ind w:left="14" w:right="14" w:firstLine="4"/>
        <w:jc w:val="both"/>
      </w:pPr>
      <w:r>
        <w:rPr>
          <w:noProof/>
        </w:rPr>
        <w:lastRenderedPageBreak/>
        <w:drawing>
          <wp:anchor distT="0" distB="0" distL="114300" distR="114300" simplePos="0" relativeHeight="251753472" behindDoc="0" locked="0" layoutInCell="1" allowOverlap="0" wp14:anchorId="67107CBF" wp14:editId="7E8E8E70">
            <wp:simplePos x="0" y="0"/>
            <wp:positionH relativeFrom="column">
              <wp:posOffset>-13715</wp:posOffset>
            </wp:positionH>
            <wp:positionV relativeFrom="paragraph">
              <wp:posOffset>-8964</wp:posOffset>
            </wp:positionV>
            <wp:extent cx="128016" cy="1943100"/>
            <wp:effectExtent l="0" t="0" r="0" b="0"/>
            <wp:wrapSquare wrapText="bothSides"/>
            <wp:docPr id="126911" name="Picture 126911"/>
            <wp:cNvGraphicFramePr/>
            <a:graphic xmlns:a="http://schemas.openxmlformats.org/drawingml/2006/main">
              <a:graphicData uri="http://schemas.openxmlformats.org/drawingml/2006/picture">
                <pic:pic xmlns:pic="http://schemas.openxmlformats.org/drawingml/2006/picture">
                  <pic:nvPicPr>
                    <pic:cNvPr id="126911" name="Picture 126911"/>
                    <pic:cNvPicPr/>
                  </pic:nvPicPr>
                  <pic:blipFill>
                    <a:blip r:embed="rId153"/>
                    <a:stretch>
                      <a:fillRect/>
                    </a:stretch>
                  </pic:blipFill>
                  <pic:spPr>
                    <a:xfrm>
                      <a:off x="0" y="0"/>
                      <a:ext cx="128016" cy="1943100"/>
                    </a:xfrm>
                    <a:prstGeom prst="rect">
                      <a:avLst/>
                    </a:prstGeom>
                  </pic:spPr>
                </pic:pic>
              </a:graphicData>
            </a:graphic>
          </wp:anchor>
        </w:drawing>
      </w:r>
      <w:r>
        <w:rPr>
          <w:sz w:val="26"/>
        </w:rPr>
        <w:t>diciembre de 2024; en virtud que, se examinaron los procesos y no se identificaron riesgos ni debilidades significativas, que pudieran incidir en los resultados operativos, administrativos, presupuestarios y/o financieros de la entidad.</w:t>
      </w:r>
    </w:p>
    <w:p w14:paraId="195B0CA3" w14:textId="77777777" w:rsidR="00053D93" w:rsidRDefault="00260B75">
      <w:pPr>
        <w:spacing w:after="278" w:line="248" w:lineRule="auto"/>
        <w:ind w:left="1709" w:hanging="3"/>
        <w:jc w:val="both"/>
      </w:pPr>
      <w:r>
        <w:rPr>
          <w:sz w:val="28"/>
        </w:rPr>
        <w:t>Unidad Ejecutora 324 Dirección Departamental de Educación Guatemala Sur</w:t>
      </w:r>
    </w:p>
    <w:p w14:paraId="5500757F" w14:textId="77777777" w:rsidR="00053D93" w:rsidRDefault="00260B75">
      <w:pPr>
        <w:spacing w:after="17" w:line="247" w:lineRule="auto"/>
        <w:ind w:left="14" w:right="14" w:firstLine="4"/>
        <w:jc w:val="both"/>
      </w:pPr>
      <w:r>
        <w:rPr>
          <w:sz w:val="26"/>
        </w:rPr>
        <w:t>Programa 01, Actividades Centrales, se evaluó lo siguiente: Grupo de Gasto O</w:t>
      </w:r>
    </w:p>
    <w:p w14:paraId="0DA87064" w14:textId="77777777" w:rsidR="00053D93" w:rsidRDefault="00260B75">
      <w:pPr>
        <w:spacing w:after="17" w:line="247" w:lineRule="auto"/>
        <w:ind w:left="14" w:right="14" w:firstLine="4"/>
        <w:jc w:val="both"/>
      </w:pPr>
      <w:r>
        <w:rPr>
          <w:sz w:val="26"/>
        </w:rPr>
        <w:t>Servicios Personales, el renglón presupuestario: 021 Personal supernumerario; del Grupo de Gasto 1 Servicios no Personales, los renglones presupuestarios: 1 1 1</w:t>
      </w:r>
    </w:p>
    <w:p w14:paraId="11EC6B59" w14:textId="77777777" w:rsidR="00053D93" w:rsidRDefault="00260B75">
      <w:pPr>
        <w:spacing w:after="38" w:line="247" w:lineRule="auto"/>
        <w:ind w:left="14" w:right="14" w:firstLine="4"/>
        <w:jc w:val="both"/>
      </w:pPr>
      <w:r>
        <w:rPr>
          <w:noProof/>
        </w:rPr>
        <mc:AlternateContent>
          <mc:Choice Requires="wpg">
            <w:drawing>
              <wp:anchor distT="0" distB="0" distL="114300" distR="114300" simplePos="0" relativeHeight="251754496" behindDoc="0" locked="0" layoutInCell="1" allowOverlap="1" wp14:anchorId="3DFB63D6" wp14:editId="7031DA09">
                <wp:simplePos x="0" y="0"/>
                <wp:positionH relativeFrom="column">
                  <wp:posOffset>-13715</wp:posOffset>
                </wp:positionH>
                <wp:positionV relativeFrom="paragraph">
                  <wp:posOffset>297840</wp:posOffset>
                </wp:positionV>
                <wp:extent cx="128016" cy="388620"/>
                <wp:effectExtent l="0" t="0" r="0" b="0"/>
                <wp:wrapSquare wrapText="bothSides"/>
                <wp:docPr id="2454428" name="Group 2454428"/>
                <wp:cNvGraphicFramePr/>
                <a:graphic xmlns:a="http://schemas.openxmlformats.org/drawingml/2006/main">
                  <a:graphicData uri="http://schemas.microsoft.com/office/word/2010/wordprocessingGroup">
                    <wpg:wgp>
                      <wpg:cNvGrpSpPr/>
                      <wpg:grpSpPr>
                        <a:xfrm>
                          <a:off x="0" y="0"/>
                          <a:ext cx="128016" cy="388620"/>
                          <a:chOff x="0" y="0"/>
                          <a:chExt cx="128016" cy="388620"/>
                        </a:xfrm>
                      </wpg:grpSpPr>
                      <wps:wsp>
                        <wps:cNvPr id="124106" name="Rectangle 124106"/>
                        <wps:cNvSpPr/>
                        <wps:spPr>
                          <a:xfrm>
                            <a:off x="0" y="0"/>
                            <a:ext cx="170261" cy="516864"/>
                          </a:xfrm>
                          <a:prstGeom prst="rect">
                            <a:avLst/>
                          </a:prstGeom>
                          <a:ln>
                            <a:noFill/>
                          </a:ln>
                        </wps:spPr>
                        <wps:txbx>
                          <w:txbxContent>
                            <w:p w14:paraId="0026ECDB" w14:textId="77777777" w:rsidR="00053D93" w:rsidRDefault="00260B75">
                              <w:r>
                                <w:rPr>
                                  <w:rFonts w:ascii="Times New Roman" w:eastAsia="Times New Roman" w:hAnsi="Times New Roman" w:cs="Times New Roman"/>
                                  <w:sz w:val="90"/>
                                </w:rPr>
                                <w:t>i</w:t>
                              </w:r>
                            </w:p>
                          </w:txbxContent>
                        </wps:txbx>
                        <wps:bodyPr horzOverflow="overflow" vert="horz" lIns="0" tIns="0" rIns="0" bIns="0" rtlCol="0">
                          <a:noAutofit/>
                        </wps:bodyPr>
                      </wps:wsp>
                    </wpg:wgp>
                  </a:graphicData>
                </a:graphic>
              </wp:anchor>
            </w:drawing>
          </mc:Choice>
          <mc:Fallback>
            <w:pict>
              <v:group w14:anchorId="3DFB63D6" id="Group 2454428" o:spid="_x0000_s1190" style="position:absolute;left:0;text-align:left;margin-left:-1.1pt;margin-top:23.45pt;width:10.1pt;height:30.6pt;z-index:251754496;mso-position-horizontal-relative:text;mso-position-vertical-relative:text" coordsize="128016,38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">
                <v:rect id="Rectangle 124106" o:spid="_x0000_s1191" style="position:absolute;width:170261;height:516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" filled="f" stroked="f">
                  <v:textbox inset="0,0,0,0">
                    <w:txbxContent>
                      <w:p w14:paraId="0026ECDB" w14:textId="77777777" w:rsidR="00053D93" w:rsidRDefault="00260B75">
                        <w:r>
                          <w:rPr>
                            <w:rFonts w:ascii="Times New Roman" w:eastAsia="Times New Roman" w:hAnsi="Times New Roman" w:cs="Times New Roman"/>
                            <w:sz w:val="90"/>
                          </w:rPr>
                          <w:t>i</w:t>
                        </w:r>
                      </w:p>
                    </w:txbxContent>
                  </v:textbox>
                </v:rect>
                <w10:wrap type="square"/>
              </v:group>
            </w:pict>
          </mc:Fallback>
        </mc:AlternateContent>
      </w:r>
      <w:r>
        <w:rPr>
          <w:sz w:val="26"/>
        </w:rPr>
        <w:t>Energía Eléctrica y 1 12 Agua; del Grupo de Gasto 3 Propiedad, Planta, Equipo e Intangibles, el renglón presupuestario: 328 Equipo de cómputo; del Grupo de Gasto 4 Transferencias Corrientes, el renglón presupuestario: 419 Otras transferencias a personas individuales.</w:t>
      </w:r>
    </w:p>
    <w:tbl>
      <w:tblPr>
        <w:tblStyle w:val="TableGrid"/>
        <w:tblpPr w:vertAnchor="page" w:horzAnchor="page" w:tblpX="2877" w:tblpY="14422"/>
        <w:tblOverlap w:val="never"/>
        <w:tblW w:w="7620" w:type="dxa"/>
        <w:tblInd w:w="0" w:type="dxa"/>
        <w:tblCellMar>
          <w:top w:w="22" w:type="dxa"/>
          <w:left w:w="1731" w:type="dxa"/>
          <w:right w:w="115" w:type="dxa"/>
        </w:tblCellMar>
        <w:tblLook w:val="04A0" w:firstRow="1" w:lastRow="0" w:firstColumn="1" w:lastColumn="0" w:noHBand="0" w:noVBand="1"/>
      </w:tblPr>
      <w:tblGrid>
        <w:gridCol w:w="7620"/>
      </w:tblGrid>
      <w:tr w:rsidR="00053D93" w14:paraId="42348EC7" w14:textId="77777777">
        <w:trPr>
          <w:trHeight w:val="43"/>
        </w:trPr>
        <w:tc>
          <w:tcPr>
            <w:tcW w:w="7620" w:type="dxa"/>
            <w:tcBorders>
              <w:top w:val="nil"/>
              <w:left w:val="single" w:sz="2" w:space="0" w:color="000000"/>
              <w:bottom w:val="single" w:sz="2" w:space="0" w:color="000000"/>
              <w:right w:val="nil"/>
            </w:tcBorders>
          </w:tcPr>
          <w:p w14:paraId="35DEDF98" w14:textId="77777777" w:rsidR="00053D93" w:rsidRDefault="00053D93"/>
        </w:tc>
      </w:tr>
      <w:tr w:rsidR="00053D93" w14:paraId="72443B04" w14:textId="77777777">
        <w:trPr>
          <w:trHeight w:val="590"/>
        </w:trPr>
        <w:tc>
          <w:tcPr>
            <w:tcW w:w="7620" w:type="dxa"/>
            <w:tcBorders>
              <w:top w:val="single" w:sz="2" w:space="0" w:color="000000"/>
              <w:left w:val="single" w:sz="2" w:space="0" w:color="000000"/>
              <w:bottom w:val="nil"/>
              <w:right w:val="nil"/>
            </w:tcBorders>
          </w:tcPr>
          <w:p w14:paraId="755649D9" w14:textId="77777777" w:rsidR="00053D93" w:rsidRDefault="00260B75">
            <w:pPr>
              <w:ind w:left="842"/>
            </w:pPr>
            <w:r>
              <w:rPr>
                <w:sz w:val="14"/>
              </w:rPr>
              <w:lastRenderedPageBreak/>
              <w:t>MINISTERIO OE EDUCACION</w:t>
            </w:r>
          </w:p>
          <w:p w14:paraId="0A5BF6B5" w14:textId="77777777" w:rsidR="00053D93" w:rsidRDefault="00260B75">
            <w:pPr>
              <w:ind w:left="346"/>
            </w:pPr>
            <w:r>
              <w:rPr>
                <w:sz w:val="14"/>
              </w:rPr>
              <w:t>AUDITORIA FINANCIERA Y DE CUMPLIMIENTO</w:t>
            </w:r>
          </w:p>
          <w:p w14:paraId="05142E63" w14:textId="77777777" w:rsidR="00053D93" w:rsidRDefault="00260B75">
            <w:r>
              <w:rPr>
                <w:sz w:val="14"/>
              </w:rPr>
              <w:t>PERÍODO DEL 01 DE ENERO AL 31 DE DICIEMBRE DE 2024</w:t>
            </w:r>
          </w:p>
        </w:tc>
      </w:tr>
    </w:tbl>
    <w:p w14:paraId="3E990B5A" w14:textId="77777777" w:rsidR="00053D93" w:rsidRDefault="00260B75">
      <w:pPr>
        <w:spacing w:after="17" w:line="247" w:lineRule="auto"/>
        <w:ind w:left="14" w:right="14" w:firstLine="4"/>
        <w:jc w:val="both"/>
      </w:pPr>
      <w:r>
        <w:rPr>
          <w:noProof/>
        </w:rPr>
        <w:drawing>
          <wp:anchor distT="0" distB="0" distL="114300" distR="114300" simplePos="0" relativeHeight="251755520" behindDoc="0" locked="0" layoutInCell="1" allowOverlap="0" wp14:anchorId="43868E8B" wp14:editId="1C174D54">
            <wp:simplePos x="0" y="0"/>
            <wp:positionH relativeFrom="page">
              <wp:posOffset>676656</wp:posOffset>
            </wp:positionH>
            <wp:positionV relativeFrom="page">
              <wp:posOffset>9157716</wp:posOffset>
            </wp:positionV>
            <wp:extent cx="1124712" cy="406907"/>
            <wp:effectExtent l="0" t="0" r="0" b="0"/>
            <wp:wrapTopAndBottom/>
            <wp:docPr id="126913" name="Picture 126913"/>
            <wp:cNvGraphicFramePr/>
            <a:graphic xmlns:a="http://schemas.openxmlformats.org/drawingml/2006/main">
              <a:graphicData uri="http://schemas.openxmlformats.org/drawingml/2006/picture">
                <pic:pic xmlns:pic="http://schemas.openxmlformats.org/drawingml/2006/picture">
                  <pic:nvPicPr>
                    <pic:cNvPr id="126913" name="Picture 126913"/>
                    <pic:cNvPicPr/>
                  </pic:nvPicPr>
                  <pic:blipFill>
                    <a:blip r:embed="rId154"/>
                    <a:stretch>
                      <a:fillRect/>
                    </a:stretch>
                  </pic:blipFill>
                  <pic:spPr>
                    <a:xfrm>
                      <a:off x="0" y="0"/>
                      <a:ext cx="1124712" cy="406907"/>
                    </a:xfrm>
                    <a:prstGeom prst="rect">
                      <a:avLst/>
                    </a:prstGeom>
                  </pic:spPr>
                </pic:pic>
              </a:graphicData>
            </a:graphic>
          </wp:anchor>
        </w:drawing>
      </w:r>
      <w:r>
        <w:rPr>
          <w:noProof/>
        </w:rPr>
        <w:drawing>
          <wp:anchor distT="0" distB="0" distL="114300" distR="114300" simplePos="0" relativeHeight="251756544" behindDoc="0" locked="0" layoutInCell="1" allowOverlap="0" wp14:anchorId="44FE5965" wp14:editId="6CB85546">
            <wp:simplePos x="0" y="0"/>
            <wp:positionH relativeFrom="column">
              <wp:posOffset>-22859</wp:posOffset>
            </wp:positionH>
            <wp:positionV relativeFrom="paragraph">
              <wp:posOffset>516636</wp:posOffset>
            </wp:positionV>
            <wp:extent cx="146304" cy="900684"/>
            <wp:effectExtent l="0" t="0" r="0" b="0"/>
            <wp:wrapSquare wrapText="bothSides"/>
            <wp:docPr id="126912" name="Picture 126912"/>
            <wp:cNvGraphicFramePr/>
            <a:graphic xmlns:a="http://schemas.openxmlformats.org/drawingml/2006/main">
              <a:graphicData uri="http://schemas.openxmlformats.org/drawingml/2006/picture">
                <pic:pic xmlns:pic="http://schemas.openxmlformats.org/drawingml/2006/picture">
                  <pic:nvPicPr>
                    <pic:cNvPr id="126912" name="Picture 126912"/>
                    <pic:cNvPicPr/>
                  </pic:nvPicPr>
                  <pic:blipFill>
                    <a:blip r:embed="rId155"/>
                    <a:stretch>
                      <a:fillRect/>
                    </a:stretch>
                  </pic:blipFill>
                  <pic:spPr>
                    <a:xfrm>
                      <a:off x="0" y="0"/>
                      <a:ext cx="146304" cy="900684"/>
                    </a:xfrm>
                    <a:prstGeom prst="rect">
                      <a:avLst/>
                    </a:prstGeom>
                  </pic:spPr>
                </pic:pic>
              </a:graphicData>
            </a:graphic>
          </wp:anchor>
        </w:drawing>
      </w:r>
      <w:r>
        <w:rPr>
          <w:noProof/>
        </w:rPr>
        <mc:AlternateContent>
          <mc:Choice Requires="wpg">
            <w:drawing>
              <wp:inline distT="0" distB="0" distL="0" distR="0" wp14:anchorId="76AC599C" wp14:editId="4CF6A730">
                <wp:extent cx="141732" cy="388620"/>
                <wp:effectExtent l="0" t="0" r="0" b="0"/>
                <wp:docPr id="2454429" name="Group 2454429"/>
                <wp:cNvGraphicFramePr/>
                <a:graphic xmlns:a="http://schemas.openxmlformats.org/drawingml/2006/main">
                  <a:graphicData uri="http://schemas.microsoft.com/office/word/2010/wordprocessingGroup">
                    <wpg:wgp>
                      <wpg:cNvGrpSpPr/>
                      <wpg:grpSpPr>
                        <a:xfrm>
                          <a:off x="0" y="0"/>
                          <a:ext cx="141732" cy="388620"/>
                          <a:chOff x="0" y="0"/>
                          <a:chExt cx="141732" cy="388620"/>
                        </a:xfrm>
                      </wpg:grpSpPr>
                      <wps:wsp>
                        <wps:cNvPr id="124107" name="Rectangle 124107"/>
                        <wps:cNvSpPr/>
                        <wps:spPr>
                          <a:xfrm>
                            <a:off x="0" y="0"/>
                            <a:ext cx="188504" cy="516865"/>
                          </a:xfrm>
                          <a:prstGeom prst="rect">
                            <a:avLst/>
                          </a:prstGeom>
                          <a:ln>
                            <a:noFill/>
                          </a:ln>
                        </wps:spPr>
                        <wps:txbx>
                          <w:txbxContent>
                            <w:p w14:paraId="2B01295E" w14:textId="77777777" w:rsidR="00053D93" w:rsidRDefault="00260B75">
                              <w:r>
                                <w:rPr>
                                  <w:sz w:val="294"/>
                                </w:rPr>
                                <w:t>i</w:t>
                              </w:r>
                            </w:p>
                          </w:txbxContent>
                        </wps:txbx>
                        <wps:bodyPr horzOverflow="overflow" vert="horz" lIns="0" tIns="0" rIns="0" bIns="0" rtlCol="0">
                          <a:noAutofit/>
                        </wps:bodyPr>
                      </wps:wsp>
                    </wpg:wgp>
                  </a:graphicData>
                </a:graphic>
              </wp:inline>
            </w:drawing>
          </mc:Choice>
          <mc:Fallback>
            <w:pict>
              <v:group w14:anchorId="76AC599C" id="Group 2454429" o:spid="_x0000_s1192" style="width:11.15pt;height:30.6pt;mso-position-horizontal-relative:char;mso-position-vertical-relative:line" coordsize="141732,38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">
                <v:rect id="Rectangle 124107" o:spid="_x0000_s1193" style="position:absolute;width:188504;height:516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" filled="f" stroked="f">
                  <v:textbox inset="0,0,0,0">
                    <w:txbxContent>
                      <w:p w14:paraId="2B01295E" w14:textId="77777777" w:rsidR="00053D93" w:rsidRDefault="00260B75">
                        <w:r>
                          <w:rPr>
                            <w:sz w:val="294"/>
                          </w:rPr>
                          <w:t>i</w:t>
                        </w:r>
                      </w:p>
                    </w:txbxContent>
                  </v:textbox>
                </v:rect>
                <w10:anchorlock/>
              </v:group>
            </w:pict>
          </mc:Fallback>
        </mc:AlternateContent>
      </w:r>
      <w:r>
        <w:rPr>
          <w:sz w:val="26"/>
        </w:rPr>
        <w:t xml:space="preserve"> Programa 1 1, Educación Escolar de Preprimaria, se evaluó lo siguiente: Grupo de Gasto 0 Servicios Personales, los renglones presupuestarios: 01 1 Personal permanente, 015 Complementos específicos al personal permanente, 017 Derechos escalafonarios, 021 Personal supernumerario, 071 Aguinaldo y 072 Bonificación anual (Bono 14); del Grupo de Gasto 1 Servicios no Personales, los renglones presupuestarios: 11 1 Energía Eléctrica y 1 12 Agua; del Grupo de Gasto 4 Transferencias Corrientes, el renglón presupuestario: 435 Transferencias a otras </w:t>
      </w:r>
      <w:r>
        <w:rPr>
          <w:noProof/>
        </w:rPr>
        <mc:AlternateContent>
          <mc:Choice Requires="wpg">
            <w:drawing>
              <wp:inline distT="0" distB="0" distL="0" distR="0" wp14:anchorId="2D78BD79" wp14:editId="0C09870E">
                <wp:extent cx="146304" cy="388620"/>
                <wp:effectExtent l="0" t="0" r="0" b="0"/>
                <wp:docPr id="2454430" name="Group 2454430"/>
                <wp:cNvGraphicFramePr/>
                <a:graphic xmlns:a="http://schemas.openxmlformats.org/drawingml/2006/main">
                  <a:graphicData uri="http://schemas.microsoft.com/office/word/2010/wordprocessingGroup">
                    <wpg:wgp>
                      <wpg:cNvGrpSpPr/>
                      <wpg:grpSpPr>
                        <a:xfrm>
                          <a:off x="0" y="0"/>
                          <a:ext cx="146304" cy="388620"/>
                          <a:chOff x="0" y="0"/>
                          <a:chExt cx="146304" cy="388620"/>
                        </a:xfrm>
                      </wpg:grpSpPr>
                      <wps:wsp>
                        <wps:cNvPr id="124108" name="Rectangle 124108"/>
                        <wps:cNvSpPr/>
                        <wps:spPr>
                          <a:xfrm>
                            <a:off x="0" y="0"/>
                            <a:ext cx="194584" cy="516864"/>
                          </a:xfrm>
                          <a:prstGeom prst="rect">
                            <a:avLst/>
                          </a:prstGeom>
                          <a:ln>
                            <a:noFill/>
                          </a:ln>
                        </wps:spPr>
                        <wps:txbx>
                          <w:txbxContent>
                            <w:p w14:paraId="2708DD96" w14:textId="77777777" w:rsidR="00053D93" w:rsidRDefault="00260B75">
                              <w:r>
                                <w:rPr>
                                  <w:rFonts w:ascii="Times New Roman" w:eastAsia="Times New Roman" w:hAnsi="Times New Roman" w:cs="Times New Roman"/>
                                  <w:sz w:val="102"/>
                                </w:rPr>
                                <w:t>i</w:t>
                              </w:r>
                            </w:p>
                          </w:txbxContent>
                        </wps:txbx>
                        <wps:bodyPr horzOverflow="overflow" vert="horz" lIns="0" tIns="0" rIns="0" bIns="0" rtlCol="0">
                          <a:noAutofit/>
                        </wps:bodyPr>
                      </wps:wsp>
                    </wpg:wgp>
                  </a:graphicData>
                </a:graphic>
              </wp:inline>
            </w:drawing>
          </mc:Choice>
          <mc:Fallback>
            <w:pict>
              <v:group w14:anchorId="2D78BD79" id="Group 2454430" o:spid="_x0000_s1194" style="width:11.5pt;height:30.6pt;mso-position-horizontal-relative:char;mso-position-vertical-relative:line" coordsize="146304,38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">
                <v:rect id="Rectangle 124108" o:spid="_x0000_s1195" style="position:absolute;width:194584;height:516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" filled="f" stroked="f">
                  <v:textbox inset="0,0,0,0">
                    <w:txbxContent>
                      <w:p w14:paraId="2708DD96" w14:textId="77777777" w:rsidR="00053D93" w:rsidRDefault="00260B75">
                        <w:r>
                          <w:rPr>
                            <w:rFonts w:ascii="Times New Roman" w:eastAsia="Times New Roman" w:hAnsi="Times New Roman" w:cs="Times New Roman"/>
                            <w:sz w:val="102"/>
                          </w:rPr>
                          <w:t>i</w:t>
                        </w:r>
                      </w:p>
                    </w:txbxContent>
                  </v:textbox>
                </v:rect>
                <w10:anchorlock/>
              </v:group>
            </w:pict>
          </mc:Fallback>
        </mc:AlternateContent>
      </w:r>
      <w:r>
        <w:rPr>
          <w:sz w:val="26"/>
        </w:rPr>
        <w:t xml:space="preserve"> instituciones sin fines de [ucro.</w:t>
      </w:r>
    </w:p>
    <w:p w14:paraId="10556220" w14:textId="77777777" w:rsidR="00053D93" w:rsidRDefault="00260B75">
      <w:pPr>
        <w:spacing w:after="17" w:line="247" w:lineRule="auto"/>
        <w:ind w:left="14" w:right="14" w:firstLine="1462"/>
        <w:jc w:val="both"/>
      </w:pPr>
      <w:r>
        <w:rPr>
          <w:sz w:val="26"/>
        </w:rPr>
        <w:t xml:space="preserve">Programa 12, Educación Escolar de Primaria, se evaluó lo siguiente: Grupo de Gasto O Servicios Personales, los renglones presupuestarios: 01 1 Personal </w:t>
      </w:r>
      <w:r>
        <w:rPr>
          <w:rFonts w:ascii="Times New Roman" w:eastAsia="Times New Roman" w:hAnsi="Times New Roman" w:cs="Times New Roman"/>
          <w:sz w:val="26"/>
        </w:rPr>
        <w:t xml:space="preserve">1 </w:t>
      </w:r>
      <w:r>
        <w:rPr>
          <w:sz w:val="26"/>
        </w:rPr>
        <w:t>permanente, 015 Complementos específicos al personal permanente, 017</w:t>
      </w:r>
    </w:p>
    <w:p w14:paraId="36A224B7" w14:textId="77777777" w:rsidR="00053D93" w:rsidRDefault="00260B75">
      <w:pPr>
        <w:spacing w:after="204" w:line="247" w:lineRule="auto"/>
        <w:ind w:left="14" w:right="14" w:firstLine="4"/>
        <w:jc w:val="both"/>
      </w:pPr>
      <w:r>
        <w:rPr>
          <w:noProof/>
        </w:rPr>
        <mc:AlternateContent>
          <mc:Choice Requires="wpg">
            <w:drawing>
              <wp:anchor distT="0" distB="0" distL="114300" distR="114300" simplePos="0" relativeHeight="251757568" behindDoc="0" locked="0" layoutInCell="1" allowOverlap="1" wp14:anchorId="648ECB1F" wp14:editId="55135674">
                <wp:simplePos x="0" y="0"/>
                <wp:positionH relativeFrom="column">
                  <wp:posOffset>-27431</wp:posOffset>
                </wp:positionH>
                <wp:positionV relativeFrom="paragraph">
                  <wp:posOffset>91686</wp:posOffset>
                </wp:positionV>
                <wp:extent cx="150876" cy="393192"/>
                <wp:effectExtent l="0" t="0" r="0" b="0"/>
                <wp:wrapSquare wrapText="bothSides"/>
                <wp:docPr id="2454431" name="Group 2454431"/>
                <wp:cNvGraphicFramePr/>
                <a:graphic xmlns:a="http://schemas.openxmlformats.org/drawingml/2006/main">
                  <a:graphicData uri="http://schemas.microsoft.com/office/word/2010/wordprocessingGroup">
                    <wpg:wgp>
                      <wpg:cNvGrpSpPr/>
                      <wpg:grpSpPr>
                        <a:xfrm>
                          <a:off x="0" y="0"/>
                          <a:ext cx="150876" cy="393192"/>
                          <a:chOff x="0" y="0"/>
                          <a:chExt cx="150876" cy="393192"/>
                        </a:xfrm>
                      </wpg:grpSpPr>
                      <wps:wsp>
                        <wps:cNvPr id="124110" name="Rectangle 124110"/>
                        <wps:cNvSpPr/>
                        <wps:spPr>
                          <a:xfrm>
                            <a:off x="0" y="0"/>
                            <a:ext cx="200665" cy="522945"/>
                          </a:xfrm>
                          <a:prstGeom prst="rect">
                            <a:avLst/>
                          </a:prstGeom>
                          <a:ln>
                            <a:noFill/>
                          </a:ln>
                        </wps:spPr>
                        <wps:txbx>
                          <w:txbxContent>
                            <w:p w14:paraId="49015D80" w14:textId="77777777" w:rsidR="00053D93" w:rsidRDefault="00260B75">
                              <w:r>
                                <w:rPr>
                                  <w:sz w:val="312"/>
                                </w:rPr>
                                <w:t>i</w:t>
                              </w:r>
                            </w:p>
                          </w:txbxContent>
                        </wps:txbx>
                        <wps:bodyPr horzOverflow="overflow" vert="horz" lIns="0" tIns="0" rIns="0" bIns="0" rtlCol="0">
                          <a:noAutofit/>
                        </wps:bodyPr>
                      </wps:wsp>
                    </wpg:wgp>
                  </a:graphicData>
                </a:graphic>
              </wp:anchor>
            </w:drawing>
          </mc:Choice>
          <mc:Fallback>
            <w:pict>
              <v:group w14:anchorId="648ECB1F" id="Group 2454431" o:spid="_x0000_s1196" style="position:absolute;left:0;text-align:left;margin-left:-2.15pt;margin-top:7.2pt;width:11.9pt;height:30.95pt;z-index:251757568;mso-position-horizontal-relative:text;mso-position-vertical-relative:text" coordsize="150876,39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">
                <v:rect id="Rectangle 124110" o:spid="_x0000_s1197" style="position:absolute;width:200665;height:522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" filled="f" stroked="f">
                  <v:textbox inset="0,0,0,0">
                    <w:txbxContent>
                      <w:p w14:paraId="49015D80" w14:textId="77777777" w:rsidR="00053D93" w:rsidRDefault="00260B75">
                        <w:r>
                          <w:rPr>
                            <w:sz w:val="312"/>
                          </w:rPr>
                          <w:t>i</w:t>
                        </w:r>
                      </w:p>
                    </w:txbxContent>
                  </v:textbox>
                </v:rect>
                <w10:wrap type="square"/>
              </v:group>
            </w:pict>
          </mc:Fallback>
        </mc:AlternateContent>
      </w:r>
      <w:r>
        <w:rPr>
          <w:sz w:val="26"/>
        </w:rPr>
        <w:t>Derechos escalafonarios, 021 Personal supernumerario, 071 Aguinaldo y 072 Bonificación anual (Bono 14); del Grupo de Gasto 1 Servicios no Personales, los renglones presupuestarios: 11 1 Energía Eléctrica y 1 12 Agua; del Grupo de Gasto 4 Transferencias Corrientes, los renglones presupuestarios: 419 Otras</w:t>
      </w:r>
    </w:p>
    <w:p w14:paraId="05675813" w14:textId="77777777" w:rsidR="00053D93" w:rsidRDefault="00260B75">
      <w:pPr>
        <w:spacing w:after="383" w:line="424" w:lineRule="auto"/>
        <w:ind w:left="1627" w:right="14" w:hanging="1613"/>
        <w:jc w:val="both"/>
      </w:pPr>
      <w:r>
        <w:rPr>
          <w:rFonts w:ascii="Times New Roman" w:eastAsia="Times New Roman" w:hAnsi="Times New Roman" w:cs="Times New Roman"/>
          <w:sz w:val="26"/>
        </w:rPr>
        <w:t xml:space="preserve">1 </w:t>
      </w:r>
      <w:r>
        <w:rPr>
          <w:sz w:val="26"/>
        </w:rPr>
        <w:t>transferencias a personas individuales y 435 Transferencias a otras instituciones sin fines de lucro.</w:t>
      </w:r>
    </w:p>
    <w:p w14:paraId="68AA9157" w14:textId="77777777" w:rsidR="00053D93" w:rsidRDefault="00260B75">
      <w:pPr>
        <w:spacing w:after="17" w:line="299" w:lineRule="auto"/>
        <w:ind w:left="14" w:right="14" w:firstLine="4"/>
        <w:jc w:val="both"/>
      </w:pPr>
      <w:r>
        <w:rPr>
          <w:rFonts w:ascii="Times New Roman" w:eastAsia="Times New Roman" w:hAnsi="Times New Roman" w:cs="Times New Roman"/>
          <w:sz w:val="26"/>
        </w:rPr>
        <w:t xml:space="preserve">1 </w:t>
      </w:r>
      <w:r>
        <w:rPr>
          <w:sz w:val="26"/>
        </w:rPr>
        <w:t xml:space="preserve">Programa 13, Educación Escolar de Básica, se evaluó lo siguiente: Grupo de Gasto 0 Servicios Personales, los renglones presupuestarios: 01 1 Personal </w:t>
      </w:r>
      <w:r>
        <w:rPr>
          <w:rFonts w:ascii="Times New Roman" w:eastAsia="Times New Roman" w:hAnsi="Times New Roman" w:cs="Times New Roman"/>
          <w:sz w:val="26"/>
        </w:rPr>
        <w:t xml:space="preserve">1 </w:t>
      </w:r>
      <w:r>
        <w:rPr>
          <w:sz w:val="26"/>
        </w:rPr>
        <w:t xml:space="preserve">permanente, 015 Complementos específicos al personal permanente, 017 Derechos escalafonarios, 021 Personal supernumerario, 027 Complementos específicos al personal temporal, 071 Aguinaldo y 072 Bonificación anual (Bono </w:t>
      </w:r>
      <w:r>
        <w:rPr>
          <w:rFonts w:ascii="Times New Roman" w:eastAsia="Times New Roman" w:hAnsi="Times New Roman" w:cs="Times New Roman"/>
          <w:sz w:val="26"/>
        </w:rPr>
        <w:t xml:space="preserve">1 </w:t>
      </w:r>
      <w:r>
        <w:rPr>
          <w:sz w:val="26"/>
        </w:rPr>
        <w:t>14); del Grupo de Gasto 1 Servicios no Personales, los renglones presupuestarios: 1 1 1 Energía Eléctrica y 1 12 Agua; del Grupo de Gasto 4 Transferencias</w:t>
      </w:r>
    </w:p>
    <w:p w14:paraId="72969889" w14:textId="77777777" w:rsidR="00053D93" w:rsidRDefault="00260B75">
      <w:pPr>
        <w:spacing w:after="297" w:line="247" w:lineRule="auto"/>
        <w:ind w:left="1634" w:right="14" w:firstLine="4"/>
        <w:jc w:val="both"/>
      </w:pPr>
      <w:r>
        <w:rPr>
          <w:sz w:val="26"/>
        </w:rPr>
        <w:t>Corrientes, los renglones presupuestarios: 416 Becas de estudio en el interior, 419</w:t>
      </w:r>
    </w:p>
    <w:p w14:paraId="1666A91F" w14:textId="77777777" w:rsidR="00053D93" w:rsidRDefault="00260B75">
      <w:pPr>
        <w:spacing w:after="17" w:line="359" w:lineRule="auto"/>
        <w:ind w:left="1605" w:right="14" w:hanging="1591"/>
        <w:jc w:val="both"/>
      </w:pPr>
      <w:r>
        <w:rPr>
          <w:rFonts w:ascii="Times New Roman" w:eastAsia="Times New Roman" w:hAnsi="Times New Roman" w:cs="Times New Roman"/>
          <w:sz w:val="26"/>
        </w:rPr>
        <w:t xml:space="preserve">1 </w:t>
      </w:r>
      <w:r>
        <w:rPr>
          <w:sz w:val="26"/>
        </w:rPr>
        <w:t>Otras transferencias a personas individuales y 435 Transferencias a otras instituciones sin fines de lucro.</w:t>
      </w:r>
    </w:p>
    <w:p w14:paraId="7B72CCB8" w14:textId="77777777" w:rsidR="00053D93" w:rsidRDefault="00053D93">
      <w:pPr>
        <w:sectPr w:rsidR="00053D93">
          <w:headerReference w:type="even" r:id="rId156"/>
          <w:headerReference w:type="default" r:id="rId157"/>
          <w:footerReference w:type="even" r:id="rId158"/>
          <w:footerReference w:type="default" r:id="rId159"/>
          <w:headerReference w:type="first" r:id="rId160"/>
          <w:footerReference w:type="first" r:id="rId161"/>
          <w:pgSz w:w="12290" w:h="15912"/>
          <w:pgMar w:top="691" w:right="1807" w:bottom="799" w:left="382" w:header="410" w:footer="720" w:gutter="0"/>
          <w:cols w:space="720"/>
          <w:titlePg/>
        </w:sectPr>
      </w:pPr>
    </w:p>
    <w:p w14:paraId="7E24B377" w14:textId="77777777" w:rsidR="00053D93" w:rsidRDefault="00260B75">
      <w:pPr>
        <w:spacing w:after="364"/>
        <w:ind w:left="1656" w:right="-14"/>
      </w:pPr>
      <w:r>
        <w:rPr>
          <w:noProof/>
        </w:rPr>
        <w:lastRenderedPageBreak/>
        <mc:AlternateContent>
          <mc:Choice Requires="wpg">
            <w:drawing>
              <wp:inline distT="0" distB="0" distL="0" distR="0" wp14:anchorId="61E87316" wp14:editId="2D93EFC1">
                <wp:extent cx="5376672" cy="9144"/>
                <wp:effectExtent l="0" t="0" r="0" b="0"/>
                <wp:docPr id="2458172" name="Group 2458172"/>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171" name="Shape 2458171"/>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72" style="width:423.36pt;height:0.719997pt;mso-position-horizontal-relative:char;mso-position-vertical-relative:line" coordsize="53766,91">
                <v:shape id="Shape 2458171" style="position:absolute;width:53766;height:91;left:0;top:0;" coordsize="5376672,9144" path="m0,4572l5376672,4572">
                  <v:stroke weight="0.719997pt" endcap="flat" joinstyle="miter" miterlimit="1" on="true" color="#000000"/>
                  <v:fill on="false" color="#000000"/>
                </v:shape>
              </v:group>
            </w:pict>
          </mc:Fallback>
        </mc:AlternateContent>
      </w:r>
    </w:p>
    <w:p w14:paraId="6105C98D" w14:textId="77777777" w:rsidR="00053D93" w:rsidRDefault="00260B75">
      <w:pPr>
        <w:spacing w:after="281" w:line="247" w:lineRule="auto"/>
        <w:ind w:left="1663" w:right="14" w:firstLine="4"/>
        <w:jc w:val="both"/>
      </w:pPr>
      <w:r>
        <w:rPr>
          <w:sz w:val="26"/>
        </w:rPr>
        <w:t>Programa 14, Educación Escolar de Diversificada, se evaluó [o siguiente: Grupo de Gasto 0 Servicios Personales, los renglones presupuestarios: 01 1 Personal permanente, 015 Complementos específicos al personal permanente, 017 Derechos escalafonarios, 021 Personal supernumerario, 027 Complementos específicos al personal temporal, 071 Aguinaldo y 072 Bonificación anual (Bono 14); del Grupo de Gasto 1 Servicios no Personales, los renglones presupuestarios: 1 1 1 Energía Eléctrica y 112 Agua; del Grupo de Gasto 2 Materiales y Suministros, el renglón presupuestario: 291 Útiles de oficina; del Grupo de Gasto 4 Transferencias Corrientes, los renglones presupuestarios: 416 Becas de estudio en el interior, 419 Otras transferencias a personas individuales y 435 Transferencias a otras instituciones sin fines de lucro.</w:t>
      </w:r>
    </w:p>
    <w:p w14:paraId="361200A9" w14:textId="77777777" w:rsidR="00053D93" w:rsidRDefault="00260B75">
      <w:pPr>
        <w:spacing w:after="261" w:line="247" w:lineRule="auto"/>
        <w:ind w:left="1663" w:right="14" w:firstLine="4"/>
        <w:jc w:val="both"/>
      </w:pPr>
      <w:r>
        <w:rPr>
          <w:sz w:val="26"/>
        </w:rPr>
        <w:t>Programa 20, Apoyo para el Consumo Adecuado de Alimentos, se evaluó lo siguiente: Grupo de Gasto 2 Materiales y Suministros, el renglón presupuestario: 21 1 Alimentos para personas; del Grupo de Gasto 4 Transferencias Corrientes, el renglón presupuestario: 435 Transferencias a otras instituciones sin fines de lucro.</w:t>
      </w:r>
    </w:p>
    <w:tbl>
      <w:tblPr>
        <w:tblStyle w:val="TableGrid"/>
        <w:tblpPr w:vertAnchor="page" w:horzAnchor="page" w:tblpX="2848" w:tblpY="14472"/>
        <w:tblOverlap w:val="never"/>
        <w:tblW w:w="7620" w:type="dxa"/>
        <w:tblInd w:w="0" w:type="dxa"/>
        <w:tblCellMar>
          <w:top w:w="29" w:type="dxa"/>
          <w:left w:w="1738" w:type="dxa"/>
          <w:right w:w="115" w:type="dxa"/>
        </w:tblCellMar>
        <w:tblLook w:val="04A0" w:firstRow="1" w:lastRow="0" w:firstColumn="1" w:lastColumn="0" w:noHBand="0" w:noVBand="1"/>
      </w:tblPr>
      <w:tblGrid>
        <w:gridCol w:w="7620"/>
      </w:tblGrid>
      <w:tr w:rsidR="00053D93" w14:paraId="6225B88F" w14:textId="77777777">
        <w:trPr>
          <w:trHeight w:val="43"/>
        </w:trPr>
        <w:tc>
          <w:tcPr>
            <w:tcW w:w="7620" w:type="dxa"/>
            <w:tcBorders>
              <w:top w:val="nil"/>
              <w:left w:val="single" w:sz="2" w:space="0" w:color="000000"/>
              <w:bottom w:val="single" w:sz="2" w:space="0" w:color="000000"/>
              <w:right w:val="nil"/>
            </w:tcBorders>
          </w:tcPr>
          <w:p w14:paraId="6BB03673" w14:textId="77777777" w:rsidR="00053D93" w:rsidRDefault="00053D93"/>
        </w:tc>
      </w:tr>
      <w:tr w:rsidR="00053D93" w14:paraId="37E45B3F" w14:textId="77777777">
        <w:trPr>
          <w:trHeight w:val="598"/>
        </w:trPr>
        <w:tc>
          <w:tcPr>
            <w:tcW w:w="7620" w:type="dxa"/>
            <w:tcBorders>
              <w:top w:val="single" w:sz="2" w:space="0" w:color="000000"/>
              <w:left w:val="single" w:sz="2" w:space="0" w:color="000000"/>
              <w:bottom w:val="nil"/>
              <w:right w:val="nil"/>
            </w:tcBorders>
          </w:tcPr>
          <w:p w14:paraId="5C263D9C" w14:textId="77777777" w:rsidR="00053D93" w:rsidRDefault="00260B75">
            <w:pPr>
              <w:ind w:left="835"/>
            </w:pPr>
            <w:r>
              <w:rPr>
                <w:sz w:val="14"/>
              </w:rPr>
              <w:lastRenderedPageBreak/>
              <w:t>MINISTERIO DE EDUCACION</w:t>
            </w:r>
          </w:p>
          <w:p w14:paraId="42166695" w14:textId="77777777" w:rsidR="00053D93" w:rsidRDefault="00260B75">
            <w:pPr>
              <w:ind w:left="338"/>
            </w:pPr>
            <w:r>
              <w:rPr>
                <w:sz w:val="14"/>
              </w:rPr>
              <w:t>AUDITORIA FINANCIERA Y OE CUMPLIMIENTO</w:t>
            </w:r>
          </w:p>
          <w:p w14:paraId="706A44F5" w14:textId="77777777" w:rsidR="00053D93" w:rsidRDefault="00260B75">
            <w:r>
              <w:rPr>
                <w:sz w:val="14"/>
              </w:rPr>
              <w:t>PERIODO DEL 01 DE ENERO AL 31 DE DICIEMBRE DE 2024</w:t>
            </w:r>
          </w:p>
        </w:tc>
      </w:tr>
    </w:tbl>
    <w:p w14:paraId="4E8D5D9F" w14:textId="77777777" w:rsidR="00053D93" w:rsidRDefault="00260B75">
      <w:pPr>
        <w:spacing w:after="89" w:line="247" w:lineRule="auto"/>
        <w:ind w:left="1663" w:right="14" w:firstLine="4"/>
        <w:jc w:val="both"/>
      </w:pPr>
      <w:r>
        <w:rPr>
          <w:noProof/>
        </w:rPr>
        <w:drawing>
          <wp:anchor distT="0" distB="0" distL="114300" distR="114300" simplePos="0" relativeHeight="251758592" behindDoc="0" locked="0" layoutInCell="1" allowOverlap="0" wp14:anchorId="1F619402" wp14:editId="7D77E2D8">
            <wp:simplePos x="0" y="0"/>
            <wp:positionH relativeFrom="page">
              <wp:posOffset>6684264</wp:posOffset>
            </wp:positionH>
            <wp:positionV relativeFrom="page">
              <wp:posOffset>429768</wp:posOffset>
            </wp:positionV>
            <wp:extent cx="18288" cy="9144"/>
            <wp:effectExtent l="0" t="0" r="0" b="0"/>
            <wp:wrapTopAndBottom/>
            <wp:docPr id="130284" name="Picture 130284"/>
            <wp:cNvGraphicFramePr/>
            <a:graphic xmlns:a="http://schemas.openxmlformats.org/drawingml/2006/main">
              <a:graphicData uri="http://schemas.openxmlformats.org/drawingml/2006/picture">
                <pic:pic xmlns:pic="http://schemas.openxmlformats.org/drawingml/2006/picture">
                  <pic:nvPicPr>
                    <pic:cNvPr id="130284" name="Picture 130284"/>
                    <pic:cNvPicPr/>
                  </pic:nvPicPr>
                  <pic:blipFill>
                    <a:blip r:embed="rId162"/>
                    <a:stretch>
                      <a:fillRect/>
                    </a:stretch>
                  </pic:blipFill>
                  <pic:spPr>
                    <a:xfrm>
                      <a:off x="0" y="0"/>
                      <a:ext cx="18288" cy="9144"/>
                    </a:xfrm>
                    <a:prstGeom prst="rect">
                      <a:avLst/>
                    </a:prstGeom>
                  </pic:spPr>
                </pic:pic>
              </a:graphicData>
            </a:graphic>
          </wp:anchor>
        </w:drawing>
      </w:r>
      <w:r>
        <w:rPr>
          <w:noProof/>
        </w:rPr>
        <w:drawing>
          <wp:anchor distT="0" distB="0" distL="114300" distR="114300" simplePos="0" relativeHeight="251759616" behindDoc="0" locked="0" layoutInCell="1" allowOverlap="0" wp14:anchorId="7B467BAA" wp14:editId="5A032B0F">
            <wp:simplePos x="0" y="0"/>
            <wp:positionH relativeFrom="page">
              <wp:posOffset>662940</wp:posOffset>
            </wp:positionH>
            <wp:positionV relativeFrom="page">
              <wp:posOffset>9189720</wp:posOffset>
            </wp:positionV>
            <wp:extent cx="1124712" cy="406908"/>
            <wp:effectExtent l="0" t="0" r="0" b="0"/>
            <wp:wrapTopAndBottom/>
            <wp:docPr id="130370" name="Picture 130370"/>
            <wp:cNvGraphicFramePr/>
            <a:graphic xmlns:a="http://schemas.openxmlformats.org/drawingml/2006/main">
              <a:graphicData uri="http://schemas.openxmlformats.org/drawingml/2006/picture">
                <pic:pic xmlns:pic="http://schemas.openxmlformats.org/drawingml/2006/picture">
                  <pic:nvPicPr>
                    <pic:cNvPr id="130370" name="Picture 130370"/>
                    <pic:cNvPicPr/>
                  </pic:nvPicPr>
                  <pic:blipFill>
                    <a:blip r:embed="rId163"/>
                    <a:stretch>
                      <a:fillRect/>
                    </a:stretch>
                  </pic:blipFill>
                  <pic:spPr>
                    <a:xfrm>
                      <a:off x="0" y="0"/>
                      <a:ext cx="1124712" cy="406908"/>
                    </a:xfrm>
                    <a:prstGeom prst="rect">
                      <a:avLst/>
                    </a:prstGeom>
                  </pic:spPr>
                </pic:pic>
              </a:graphicData>
            </a:graphic>
          </wp:anchor>
        </w:drawing>
      </w:r>
      <w:r>
        <w:rPr>
          <w:sz w:val="26"/>
        </w:rPr>
        <w:t>Programa 99, Partidas no asignables a programas, se evaluó lo siguiente: Grupo de Gasto 4 Transferencias Corrientes, el renglón presupuestario: 431 Transferencias a instituciones de enseñanza.</w:t>
      </w:r>
    </w:p>
    <w:p w14:paraId="204D7F85" w14:textId="77777777" w:rsidR="00053D93" w:rsidRDefault="00260B75">
      <w:pPr>
        <w:spacing w:after="505" w:line="247" w:lineRule="auto"/>
        <w:ind w:left="1677" w:right="14" w:hanging="1663"/>
        <w:jc w:val="both"/>
      </w:pPr>
      <w:r>
        <w:rPr>
          <w:noProof/>
        </w:rPr>
        <mc:AlternateContent>
          <mc:Choice Requires="wpg">
            <w:drawing>
              <wp:inline distT="0" distB="0" distL="0" distR="0" wp14:anchorId="4697B37E" wp14:editId="44CDC8D5">
                <wp:extent cx="141732" cy="365760"/>
                <wp:effectExtent l="0" t="0" r="0" b="0"/>
                <wp:docPr id="2454436" name="Group 2454436"/>
                <wp:cNvGraphicFramePr/>
                <a:graphic xmlns:a="http://schemas.openxmlformats.org/drawingml/2006/main">
                  <a:graphicData uri="http://schemas.microsoft.com/office/word/2010/wordprocessingGroup">
                    <wpg:wgp>
                      <wpg:cNvGrpSpPr/>
                      <wpg:grpSpPr>
                        <a:xfrm>
                          <a:off x="0" y="0"/>
                          <a:ext cx="141732" cy="365760"/>
                          <a:chOff x="0" y="0"/>
                          <a:chExt cx="141732" cy="365760"/>
                        </a:xfrm>
                      </wpg:grpSpPr>
                      <wps:wsp>
                        <wps:cNvPr id="127446" name="Rectangle 127446"/>
                        <wps:cNvSpPr/>
                        <wps:spPr>
                          <a:xfrm>
                            <a:off x="0" y="0"/>
                            <a:ext cx="188504" cy="486461"/>
                          </a:xfrm>
                          <a:prstGeom prst="rect">
                            <a:avLst/>
                          </a:prstGeom>
                          <a:ln>
                            <a:noFill/>
                          </a:ln>
                        </wps:spPr>
                        <wps:txbx>
                          <w:txbxContent>
                            <w:p w14:paraId="6D404CEE" w14:textId="77777777" w:rsidR="00053D93" w:rsidRDefault="00260B75">
                              <w:r>
                                <w:rPr>
                                  <w:sz w:val="294"/>
                                </w:rPr>
                                <w:t>i</w:t>
                              </w:r>
                            </w:p>
                          </w:txbxContent>
                        </wps:txbx>
                        <wps:bodyPr horzOverflow="overflow" vert="horz" lIns="0" tIns="0" rIns="0" bIns="0" rtlCol="0">
                          <a:noAutofit/>
                        </wps:bodyPr>
                      </wps:wsp>
                    </wpg:wgp>
                  </a:graphicData>
                </a:graphic>
              </wp:inline>
            </w:drawing>
          </mc:Choice>
          <mc:Fallback>
            <w:pict>
              <v:group w14:anchorId="4697B37E" id="Group 2454436" o:spid="_x0000_s1198" style="width:11.15pt;height:28.8pt;mso-position-horizontal-relative:char;mso-position-vertical-relative:line" coordsize="141732,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">
                <v:rect id="Rectangle 127446" o:spid="_x0000_s1199" style="position:absolute;width:188504;height:486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" filled="f" stroked="f">
                  <v:textbox inset="0,0,0,0">
                    <w:txbxContent>
                      <w:p w14:paraId="6D404CEE" w14:textId="77777777" w:rsidR="00053D93" w:rsidRDefault="00260B75">
                        <w:r>
                          <w:rPr>
                            <w:sz w:val="294"/>
                          </w:rPr>
                          <w:t>i</w:t>
                        </w:r>
                      </w:p>
                    </w:txbxContent>
                  </v:textbox>
                </v:rect>
                <w10:anchorlock/>
              </v:group>
            </w:pict>
          </mc:Fallback>
        </mc:AlternateContent>
      </w:r>
      <w:r>
        <w:rPr>
          <w:sz w:val="26"/>
        </w:rPr>
        <w:t xml:space="preserve"> Durante la Auditoría Financiera y de Cumplimiento, fue evaluado el Grupo de Gasto O Servicios Personales, en la primera fase de la auditoría, la cual comprendió del 01 de enero al 31 de julio de 2024, con excepción del renglón presupuestario 021 Personal supernumerario, el cual fue evaluado al 31 de diciembre de 2024; en virtud que, se examinaron los procesos y no se identificaron riesgos ni debilidades significativas, que pudieran incidir en los resultados operativos, administrativos, presupuestarios y/o financieros de la entidad.</w:t>
      </w:r>
    </w:p>
    <w:p w14:paraId="5821D43A" w14:textId="77777777" w:rsidR="00053D93" w:rsidRDefault="00260B75">
      <w:pPr>
        <w:tabs>
          <w:tab w:val="right" w:pos="10116"/>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Unidad Ejecutora 325 Dirección Departamental de Educación Guatemala</w:t>
      </w:r>
    </w:p>
    <w:p w14:paraId="24D796C7" w14:textId="77777777" w:rsidR="00053D93" w:rsidRDefault="00260B75">
      <w:pPr>
        <w:spacing w:after="646" w:line="247" w:lineRule="auto"/>
        <w:ind w:left="1656" w:right="14" w:firstLine="4"/>
        <w:jc w:val="both"/>
      </w:pPr>
      <w:r>
        <w:rPr>
          <w:sz w:val="26"/>
        </w:rPr>
        <w:t>Oriente</w:t>
      </w:r>
    </w:p>
    <w:p w14:paraId="7DC024BC" w14:textId="77777777" w:rsidR="00053D93" w:rsidRDefault="00260B75">
      <w:pPr>
        <w:spacing w:after="17" w:line="247" w:lineRule="auto"/>
        <w:ind w:left="14" w:right="14" w:firstLine="4"/>
        <w:jc w:val="both"/>
      </w:pPr>
      <w:r>
        <w:rPr>
          <w:rFonts w:ascii="Times New Roman" w:eastAsia="Times New Roman" w:hAnsi="Times New Roman" w:cs="Times New Roman"/>
          <w:sz w:val="26"/>
        </w:rPr>
        <w:t xml:space="preserve">1 </w:t>
      </w:r>
      <w:r>
        <w:rPr>
          <w:sz w:val="26"/>
        </w:rPr>
        <w:t xml:space="preserve">Del Programa 01 Actividades Centrales, se evaluó lo siguiente: Grupo de Gasto O Servicios Personales, los renglones presupuestarios: 01 1 Personal permanente, 015 Complementos específicos al personal permanente, 021 Personal supernumerario, 022 Personal por contrato, 027 Complementos específicos al personal temporal, 071 Aguinaldo y 072 Bonificación anual (Bono 14); del Grupo </w:t>
      </w:r>
      <w:r>
        <w:rPr>
          <w:rFonts w:ascii="Times New Roman" w:eastAsia="Times New Roman" w:hAnsi="Times New Roman" w:cs="Times New Roman"/>
          <w:sz w:val="26"/>
        </w:rPr>
        <w:t xml:space="preserve">1 </w:t>
      </w:r>
      <w:r>
        <w:rPr>
          <w:sz w:val="26"/>
        </w:rPr>
        <w:t xml:space="preserve">de Gasto 1 Servicios no Personales, los renglones presupuestarios: 1 1 1 Energía eléctrica, 1 12 Agua, 151 Arrendamiento de edificios y locales y 197 Servicios de </w:t>
      </w:r>
      <w:r>
        <w:rPr>
          <w:rFonts w:ascii="Times New Roman" w:eastAsia="Times New Roman" w:hAnsi="Times New Roman" w:cs="Times New Roman"/>
          <w:sz w:val="26"/>
        </w:rPr>
        <w:t xml:space="preserve">1 </w:t>
      </w:r>
      <w:r>
        <w:rPr>
          <w:sz w:val="26"/>
        </w:rPr>
        <w:t>vigilancia, del Grupo de Gasto 3 Propiedad, Planta, Equipo e Intangibles los</w:t>
      </w:r>
    </w:p>
    <w:p w14:paraId="4F4E3556" w14:textId="77777777" w:rsidR="00053D93" w:rsidRDefault="00260B75">
      <w:pPr>
        <w:tabs>
          <w:tab w:val="center" w:pos="5868"/>
          <w:tab w:val="center" w:pos="7160"/>
        </w:tabs>
        <w:spacing w:after="243" w:line="265" w:lineRule="auto"/>
      </w:pPr>
      <w:r>
        <w:rPr>
          <w:sz w:val="14"/>
        </w:rPr>
        <w:tab/>
      </w:r>
      <w:r>
        <w:rPr>
          <w:rFonts w:ascii="Times New Roman" w:eastAsia="Times New Roman" w:hAnsi="Times New Roman" w:cs="Times New Roman"/>
          <w:sz w:val="14"/>
        </w:rPr>
        <w:t>2?</w:t>
      </w:r>
      <w:r>
        <w:rPr>
          <w:rFonts w:ascii="Times New Roman" w:eastAsia="Times New Roman" w:hAnsi="Times New Roman" w:cs="Times New Roman"/>
          <w:sz w:val="14"/>
        </w:rPr>
        <w:tab/>
      </w:r>
      <w:r>
        <w:rPr>
          <w:sz w:val="14"/>
        </w:rPr>
        <w:t xml:space="preserve">OE AUDETCRiA </w:t>
      </w:r>
    </w:p>
    <w:p w14:paraId="0660F398" w14:textId="77777777" w:rsidR="00053D93" w:rsidRDefault="00260B75">
      <w:pPr>
        <w:spacing w:after="36"/>
        <w:ind w:left="1649" w:right="-14"/>
      </w:pPr>
      <w:r>
        <w:rPr>
          <w:noProof/>
        </w:rPr>
        <mc:AlternateContent>
          <mc:Choice Requires="wpg">
            <w:drawing>
              <wp:inline distT="0" distB="0" distL="0" distR="0" wp14:anchorId="259E67FA" wp14:editId="49079811">
                <wp:extent cx="5385816" cy="9144"/>
                <wp:effectExtent l="0" t="0" r="0" b="0"/>
                <wp:docPr id="2458174" name="Group 2458174"/>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173" name="Shape 2458173"/>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74" style="width:424.08pt;height:0.719997pt;mso-position-horizontal-relative:char;mso-position-vertical-relative:line" coordsize="53858,91">
                <v:shape id="Shape 2458173" style="position:absolute;width:53858;height:91;left:0;top:0;" coordsize="5385816,9144" path="m0,4572l5385816,4572">
                  <v:stroke weight="0.719997pt" endcap="flat" joinstyle="miter" miterlimit="1" on="true" color="#000000"/>
                  <v:fill on="false" color="#000000"/>
                </v:shape>
              </v:group>
            </w:pict>
          </mc:Fallback>
        </mc:AlternateContent>
      </w:r>
    </w:p>
    <w:p w14:paraId="506DCF68" w14:textId="77777777" w:rsidR="00053D93" w:rsidRDefault="00260B75">
      <w:pPr>
        <w:spacing w:after="278" w:line="247" w:lineRule="auto"/>
        <w:ind w:left="14" w:right="14" w:firstLine="4"/>
        <w:jc w:val="both"/>
      </w:pPr>
      <w:r>
        <w:rPr>
          <w:noProof/>
        </w:rPr>
        <w:drawing>
          <wp:anchor distT="0" distB="0" distL="114300" distR="114300" simplePos="0" relativeHeight="251760640" behindDoc="0" locked="0" layoutInCell="1" allowOverlap="0" wp14:anchorId="4361B17F" wp14:editId="15E32F81">
            <wp:simplePos x="0" y="0"/>
            <wp:positionH relativeFrom="column">
              <wp:posOffset>0</wp:posOffset>
            </wp:positionH>
            <wp:positionV relativeFrom="paragraph">
              <wp:posOffset>4767</wp:posOffset>
            </wp:positionV>
            <wp:extent cx="128016" cy="905256"/>
            <wp:effectExtent l="0" t="0" r="0" b="0"/>
            <wp:wrapSquare wrapText="bothSides"/>
            <wp:docPr id="133915" name="Picture 133915"/>
            <wp:cNvGraphicFramePr/>
            <a:graphic xmlns:a="http://schemas.openxmlformats.org/drawingml/2006/main">
              <a:graphicData uri="http://schemas.openxmlformats.org/drawingml/2006/picture">
                <pic:pic xmlns:pic="http://schemas.openxmlformats.org/drawingml/2006/picture">
                  <pic:nvPicPr>
                    <pic:cNvPr id="133915" name="Picture 133915"/>
                    <pic:cNvPicPr/>
                  </pic:nvPicPr>
                  <pic:blipFill>
                    <a:blip r:embed="rId164"/>
                    <a:stretch>
                      <a:fillRect/>
                    </a:stretch>
                  </pic:blipFill>
                  <pic:spPr>
                    <a:xfrm>
                      <a:off x="0" y="0"/>
                      <a:ext cx="128016" cy="905256"/>
                    </a:xfrm>
                    <a:prstGeom prst="rect">
                      <a:avLst/>
                    </a:prstGeom>
                  </pic:spPr>
                </pic:pic>
              </a:graphicData>
            </a:graphic>
          </wp:anchor>
        </w:drawing>
      </w:r>
      <w:r>
        <w:rPr>
          <w:sz w:val="26"/>
        </w:rPr>
        <w:t>renglones presupuestarios: 322 Mobiliario y equipo de oficina y 328 Equipo de cómputo, del Grupo de Gasto 4 Transferencias Corrientes, el renglón presupuestario: 419 Otras transferencias a personas individuales.</w:t>
      </w:r>
    </w:p>
    <w:p w14:paraId="1FBAA3AC" w14:textId="77777777" w:rsidR="00053D93" w:rsidRDefault="00260B75">
      <w:pPr>
        <w:spacing w:after="330" w:line="247" w:lineRule="auto"/>
        <w:ind w:left="14" w:right="14" w:firstLine="4"/>
        <w:jc w:val="both"/>
      </w:pPr>
      <w:r>
        <w:rPr>
          <w:sz w:val="26"/>
        </w:rPr>
        <w:t>Del Programa 05 Actividades Comunes a los Programas de Preprimaria, Primaria, Básico y Diversificado (PRG. 1 1, 12, 13 Y 14), se evaluó fo siguiente: Grupo de Gasto 0 Servicios Personales, el renglón presupuestario: 021 Personal supernumerario.</w:t>
      </w:r>
    </w:p>
    <w:p w14:paraId="5625BD9F" w14:textId="77777777" w:rsidR="00053D93" w:rsidRDefault="00260B75">
      <w:pPr>
        <w:spacing w:after="17" w:line="247" w:lineRule="auto"/>
        <w:ind w:left="14" w:right="14" w:firstLine="1670"/>
        <w:jc w:val="both"/>
      </w:pPr>
      <w:r>
        <w:rPr>
          <w:sz w:val="26"/>
        </w:rPr>
        <w:t xml:space="preserve">Del Programa 1 1 Educación Escolar de Preprimaria, se evaluó lo siguiente: Grupo de Gasto O Servicios Personales, los renglones presupuestarios: 01 1 Personal permanente, 015 Complementos específicos al personal permanente, 017 Derechos escalafonarios, 021 Personal supernumerario, 071 Aguinaldo y 072 Bonificación anual (Bono 14); del Grupo de Gasto 1 </w:t>
      </w:r>
      <w:r>
        <w:rPr>
          <w:sz w:val="26"/>
        </w:rPr>
        <w:lastRenderedPageBreak/>
        <w:t>Servicios no Personales, los renglones presupuestarios: 1 1 1 Energía eléctrica y 1 12 Agua; del Grupo de Gasto 4 Transferencias Corrientes, el renglón presupuestario: 435 Transferencias a otras i instituciones sin fines de lucro.</w:t>
      </w:r>
    </w:p>
    <w:tbl>
      <w:tblPr>
        <w:tblStyle w:val="TableGrid"/>
        <w:tblpPr w:vertAnchor="page" w:horzAnchor="page" w:tblpX="2849" w:tblpY="14472"/>
        <w:tblOverlap w:val="never"/>
        <w:tblW w:w="7620" w:type="dxa"/>
        <w:tblInd w:w="0" w:type="dxa"/>
        <w:tblCellMar>
          <w:top w:w="18" w:type="dxa"/>
          <w:left w:w="1745" w:type="dxa"/>
          <w:right w:w="115" w:type="dxa"/>
        </w:tblCellMar>
        <w:tblLook w:val="04A0" w:firstRow="1" w:lastRow="0" w:firstColumn="1" w:lastColumn="0" w:noHBand="0" w:noVBand="1"/>
      </w:tblPr>
      <w:tblGrid>
        <w:gridCol w:w="7620"/>
      </w:tblGrid>
      <w:tr w:rsidR="00053D93" w14:paraId="6F18038B" w14:textId="77777777">
        <w:trPr>
          <w:trHeight w:val="43"/>
        </w:trPr>
        <w:tc>
          <w:tcPr>
            <w:tcW w:w="7620" w:type="dxa"/>
            <w:tcBorders>
              <w:top w:val="nil"/>
              <w:left w:val="single" w:sz="2" w:space="0" w:color="000000"/>
              <w:bottom w:val="single" w:sz="2" w:space="0" w:color="000000"/>
              <w:right w:val="nil"/>
            </w:tcBorders>
          </w:tcPr>
          <w:p w14:paraId="00E86930" w14:textId="77777777" w:rsidR="00053D93" w:rsidRDefault="00053D93"/>
        </w:tc>
      </w:tr>
      <w:tr w:rsidR="00053D93" w14:paraId="326C276D" w14:textId="77777777">
        <w:trPr>
          <w:trHeight w:val="590"/>
        </w:trPr>
        <w:tc>
          <w:tcPr>
            <w:tcW w:w="7620" w:type="dxa"/>
            <w:tcBorders>
              <w:top w:val="single" w:sz="2" w:space="0" w:color="000000"/>
              <w:left w:val="single" w:sz="2" w:space="0" w:color="000000"/>
              <w:bottom w:val="nil"/>
              <w:right w:val="nil"/>
            </w:tcBorders>
          </w:tcPr>
          <w:p w14:paraId="074CD2AD" w14:textId="77777777" w:rsidR="00053D93" w:rsidRDefault="00260B75">
            <w:pPr>
              <w:ind w:left="828"/>
            </w:pPr>
            <w:r>
              <w:rPr>
                <w:sz w:val="14"/>
              </w:rPr>
              <w:lastRenderedPageBreak/>
              <w:t>WMSTERIO DE EDUCACION</w:t>
            </w:r>
          </w:p>
          <w:p w14:paraId="293AFA82" w14:textId="77777777" w:rsidR="00053D93" w:rsidRDefault="00260B75">
            <w:pPr>
              <w:ind w:left="338"/>
            </w:pPr>
            <w:r>
              <w:rPr>
                <w:sz w:val="14"/>
              </w:rPr>
              <w:t>AUDITORIA FINANCIERA Y DE CUMPLIMIENTO</w:t>
            </w:r>
          </w:p>
          <w:p w14:paraId="56A927E4" w14:textId="77777777" w:rsidR="00053D93" w:rsidRDefault="00260B75">
            <w:pPr>
              <w:tabs>
                <w:tab w:val="center" w:pos="2030"/>
              </w:tabs>
            </w:pPr>
            <w:r>
              <w:rPr>
                <w:sz w:val="14"/>
              </w:rPr>
              <w:t xml:space="preserve">PERIODO </w:t>
            </w:r>
            <w:r>
              <w:rPr>
                <w:sz w:val="14"/>
              </w:rPr>
              <w:tab/>
              <w:t>01 DE ENERO AL 31 DE DICIEMBRE OE 2024</w:t>
            </w:r>
          </w:p>
        </w:tc>
      </w:tr>
    </w:tbl>
    <w:p w14:paraId="7A315304" w14:textId="77777777" w:rsidR="00053D93" w:rsidRDefault="00260B75">
      <w:pPr>
        <w:spacing w:after="17" w:line="247" w:lineRule="auto"/>
        <w:ind w:left="14" w:right="14" w:firstLine="4"/>
        <w:jc w:val="both"/>
      </w:pPr>
      <w:r>
        <w:rPr>
          <w:noProof/>
        </w:rPr>
        <w:drawing>
          <wp:anchor distT="0" distB="0" distL="114300" distR="114300" simplePos="0" relativeHeight="251761664" behindDoc="0" locked="0" layoutInCell="1" allowOverlap="0" wp14:anchorId="47A21D96" wp14:editId="3155E666">
            <wp:simplePos x="0" y="0"/>
            <wp:positionH relativeFrom="page">
              <wp:posOffset>662940</wp:posOffset>
            </wp:positionH>
            <wp:positionV relativeFrom="page">
              <wp:posOffset>9189720</wp:posOffset>
            </wp:positionV>
            <wp:extent cx="1124712" cy="402336"/>
            <wp:effectExtent l="0" t="0" r="0" b="0"/>
            <wp:wrapTopAndBottom/>
            <wp:docPr id="133916" name="Picture 133916"/>
            <wp:cNvGraphicFramePr/>
            <a:graphic xmlns:a="http://schemas.openxmlformats.org/drawingml/2006/main">
              <a:graphicData uri="http://schemas.openxmlformats.org/drawingml/2006/picture">
                <pic:pic xmlns:pic="http://schemas.openxmlformats.org/drawingml/2006/picture">
                  <pic:nvPicPr>
                    <pic:cNvPr id="133916" name="Picture 133916"/>
                    <pic:cNvPicPr/>
                  </pic:nvPicPr>
                  <pic:blipFill>
                    <a:blip r:embed="rId165"/>
                    <a:stretch>
                      <a:fillRect/>
                    </a:stretch>
                  </pic:blipFill>
                  <pic:spPr>
                    <a:xfrm>
                      <a:off x="0" y="0"/>
                      <a:ext cx="1124712" cy="402336"/>
                    </a:xfrm>
                    <a:prstGeom prst="rect">
                      <a:avLst/>
                    </a:prstGeom>
                  </pic:spPr>
                </pic:pic>
              </a:graphicData>
            </a:graphic>
          </wp:anchor>
        </w:drawing>
      </w:r>
      <w:r>
        <w:rPr>
          <w:sz w:val="26"/>
        </w:rPr>
        <w:t>Del Programa 12 Educación Escolar de Primaria, se evaluó lo siguiente: Grupo de Gasto 0 Servicios Personales, los renglones presupuestarios: 01 1 Personal permanente, 015 Complementos específicos al personal permanente, 017 Derechos escalafonarios, 021 Personal supernumerario, 071 Aguinaldo y 072 Bonificación anual (Bono 14); del Grupo de Gasto 1 Servicios no Personales, los renglones presupuestarios: 1 11 Energía eléctrica y 1 12 Agua; del Grupo de Gasto 4 Transferencias Corrientes, los renglones presupuestarios: 419 Otras transferencias a personas individuales y 435 Transferencias a otras instituciones sin fines de lucro.</w:t>
      </w:r>
    </w:p>
    <w:p w14:paraId="514AB929" w14:textId="77777777" w:rsidR="00053D93" w:rsidRDefault="00260B75">
      <w:pPr>
        <w:spacing w:after="272" w:line="247" w:lineRule="auto"/>
        <w:ind w:left="86" w:right="14" w:hanging="72"/>
        <w:jc w:val="both"/>
      </w:pPr>
      <w:r>
        <w:rPr>
          <w:noProof/>
        </w:rPr>
        <mc:AlternateContent>
          <mc:Choice Requires="wpg">
            <w:drawing>
              <wp:inline distT="0" distB="0" distL="0" distR="0" wp14:anchorId="4774A7E7" wp14:editId="615A2261">
                <wp:extent cx="146304" cy="374904"/>
                <wp:effectExtent l="0" t="0" r="0" b="0"/>
                <wp:docPr id="2454440" name="Group 2454440"/>
                <wp:cNvGraphicFramePr/>
                <a:graphic xmlns:a="http://schemas.openxmlformats.org/drawingml/2006/main">
                  <a:graphicData uri="http://schemas.microsoft.com/office/word/2010/wordprocessingGroup">
                    <wpg:wgp>
                      <wpg:cNvGrpSpPr/>
                      <wpg:grpSpPr>
                        <a:xfrm>
                          <a:off x="0" y="0"/>
                          <a:ext cx="146304" cy="374904"/>
                          <a:chOff x="0" y="0"/>
                          <a:chExt cx="146304" cy="374904"/>
                        </a:xfrm>
                      </wpg:grpSpPr>
                      <wps:wsp>
                        <wps:cNvPr id="130883" name="Rectangle 130883"/>
                        <wps:cNvSpPr/>
                        <wps:spPr>
                          <a:xfrm>
                            <a:off x="0" y="0"/>
                            <a:ext cx="194584" cy="498623"/>
                          </a:xfrm>
                          <a:prstGeom prst="rect">
                            <a:avLst/>
                          </a:prstGeom>
                          <a:ln>
                            <a:noFill/>
                          </a:ln>
                        </wps:spPr>
                        <wps:txbx>
                          <w:txbxContent>
                            <w:p w14:paraId="27D30314" w14:textId="77777777" w:rsidR="00053D93" w:rsidRDefault="00260B75">
                              <w:r>
                                <w:rPr>
                                  <w:sz w:val="302"/>
                                </w:rPr>
                                <w:t>i</w:t>
                              </w:r>
                            </w:p>
                          </w:txbxContent>
                        </wps:txbx>
                        <wps:bodyPr horzOverflow="overflow" vert="horz" lIns="0" tIns="0" rIns="0" bIns="0" rtlCol="0">
                          <a:noAutofit/>
                        </wps:bodyPr>
                      </wps:wsp>
                    </wpg:wgp>
                  </a:graphicData>
                </a:graphic>
              </wp:inline>
            </w:drawing>
          </mc:Choice>
          <mc:Fallback>
            <w:pict>
              <v:group w14:anchorId="4774A7E7" id="Group 2454440" o:spid="_x0000_s1200" style="width:11.5pt;height:29.5pt;mso-position-horizontal-relative:char;mso-position-vertical-relative:line" coordsize="146304,37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">
                <v:rect id="Rectangle 130883" o:spid="_x0000_s1201" style="position:absolute;width:194584;height:498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" filled="f" stroked="f">
                  <v:textbox inset="0,0,0,0">
                    <w:txbxContent>
                      <w:p w14:paraId="27D30314" w14:textId="77777777" w:rsidR="00053D93" w:rsidRDefault="00260B75">
                        <w:r>
                          <w:rPr>
                            <w:sz w:val="302"/>
                          </w:rPr>
                          <w:t>i</w:t>
                        </w:r>
                      </w:p>
                    </w:txbxContent>
                  </v:textbox>
                </v:rect>
                <w10:anchorlock/>
              </v:group>
            </w:pict>
          </mc:Fallback>
        </mc:AlternateContent>
      </w:r>
      <w:r>
        <w:rPr>
          <w:sz w:val="26"/>
        </w:rPr>
        <w:t xml:space="preserve"> Del Programa 13 Educación Escolar Básica, se evaluó lo siguiente: Grupo de Gasto 0 Servicios Personales, los renglones presupuestarios: 01 1 Personal permanente, 015 Complementos específicos al personal permanente, 017 Derechos escalafonarios, 021 Personal supernumerario, 027 Complementos específicos al personal temporal y 072 Bonificación anual (Bono 14); del Grupo de </w:t>
      </w:r>
      <w:r>
        <w:rPr>
          <w:rFonts w:ascii="Times New Roman" w:eastAsia="Times New Roman" w:hAnsi="Times New Roman" w:cs="Times New Roman"/>
          <w:sz w:val="26"/>
        </w:rPr>
        <w:t xml:space="preserve">1 </w:t>
      </w:r>
      <w:r>
        <w:rPr>
          <w:sz w:val="26"/>
        </w:rPr>
        <w:t>Gasto 1 Servicios no Personales, los renglones presupuestarios: 1 1 1 Energía eléctrica y 1 12 Agua; del Grupo de Gasto 2 Materiales y Suministros, el renglón presupuestario: 293 Útiles educacionales y culturales; del Grupo de Gasto 4 Transferencias Corrientes, los renglones presupuestarios: 416 Becas de estudio en el interior, 419 Otras transferencias a personas individuales y 435 Transferencias a otras instituciones sin fines de lucro.</w:t>
      </w:r>
    </w:p>
    <w:p w14:paraId="3AAE4BB6" w14:textId="77777777" w:rsidR="00053D93" w:rsidRDefault="00260B75">
      <w:pPr>
        <w:spacing w:after="17" w:line="247" w:lineRule="auto"/>
        <w:ind w:left="1649" w:right="14" w:firstLine="4"/>
        <w:jc w:val="both"/>
      </w:pPr>
      <w:r>
        <w:rPr>
          <w:sz w:val="26"/>
        </w:rPr>
        <w:t>Del Programa 14 Educación Escolar Diversificada, se evaluó lo siguiente: Grupo de Gasto O Servicios Personales, los renglones presupuestarios: 01 1 Personal permanente, 015 Complementos específicos al personal permanente, 017</w:t>
      </w:r>
    </w:p>
    <w:p w14:paraId="4B9B5B96" w14:textId="77777777" w:rsidR="00053D93" w:rsidRDefault="00260B75">
      <w:pPr>
        <w:spacing w:after="56"/>
        <w:ind w:left="1656" w:right="-14"/>
      </w:pPr>
      <w:r>
        <w:rPr>
          <w:noProof/>
        </w:rPr>
        <mc:AlternateContent>
          <mc:Choice Requires="wpg">
            <w:drawing>
              <wp:inline distT="0" distB="0" distL="0" distR="0" wp14:anchorId="59E5DECB" wp14:editId="62A0FFBD">
                <wp:extent cx="5381244" cy="9144"/>
                <wp:effectExtent l="0" t="0" r="0" b="0"/>
                <wp:docPr id="2458176" name="Group 2458176"/>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175" name="Shape 2458175"/>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76" style="width:423.72pt;height:0.720005pt;mso-position-horizontal-relative:char;mso-position-vertical-relative:line" coordsize="53812,91">
                <v:shape id="Shape 2458175" style="position:absolute;width:53812;height:91;left:0;top:0;" coordsize="5381244,9144" path="m0,4572l5381244,4572">
                  <v:stroke weight="0.720005pt" endcap="flat" joinstyle="miter" miterlimit="1" on="true" color="#000000"/>
                  <v:fill on="false" color="#000000"/>
                </v:shape>
              </v:group>
            </w:pict>
          </mc:Fallback>
        </mc:AlternateContent>
      </w:r>
    </w:p>
    <w:p w14:paraId="2215547F" w14:textId="77777777" w:rsidR="00053D93" w:rsidRDefault="00260B75">
      <w:pPr>
        <w:spacing w:after="253" w:line="247" w:lineRule="auto"/>
        <w:ind w:left="1663" w:right="14" w:firstLine="4"/>
        <w:jc w:val="both"/>
      </w:pPr>
      <w:r>
        <w:rPr>
          <w:sz w:val="26"/>
        </w:rPr>
        <w:t>Derechos escalafonarios, 021 Personal supernumerario, 027 Complementos específicos al personal temporal, 071 Aguinaldo y 072 Bonificación anual (Bono 14); del Grupo de Gasto 1 Servicios no Personales, los renglones presupuestarios: 1 1 1 Energía eléctrica y 1 12 Agua; del Grupo de Gasto 2, el renglón presupuestario: 241 Papel de escritorio; del Grupo de Gasto 3 Propiedad, Planta, Equipo e Intangibles, el renglón presupuestario: 329 Otras maquinarias y equipos; del Grupo de Gasto 4 Transferencias Corrientes, los renglones presupuestarios: 416 Becas de estudio en el interior, 41 9 Otras transferencias a personas individuales y 435 Transferencias a otras instituciones sin fines de lucro.</w:t>
      </w:r>
    </w:p>
    <w:p w14:paraId="27575F29" w14:textId="77777777" w:rsidR="00053D93" w:rsidRDefault="00260B75">
      <w:pPr>
        <w:spacing w:after="241" w:line="247" w:lineRule="auto"/>
        <w:ind w:left="1663" w:right="14" w:firstLine="4"/>
        <w:jc w:val="both"/>
      </w:pPr>
      <w:r>
        <w:rPr>
          <w:sz w:val="26"/>
        </w:rPr>
        <w:t>Del Programa 20 Apoyo para el Consumo Adecuado de Alimentos, se evaluó lo siguiente: Grupo de Gasto O Servicios Personales, el renglón presupuestario: 21 1 Alimentos para personas; del Grupo de Gasto 4 Transferencias Corrientes, los renglones presupuestarios: 431 Transferencias a instituciones de enseñanza y 435 Transferencias a otras instituciones sin fines de lucro.</w:t>
      </w:r>
    </w:p>
    <w:p w14:paraId="5DEA6542" w14:textId="77777777" w:rsidR="00053D93" w:rsidRDefault="00260B75">
      <w:pPr>
        <w:spacing w:after="210" w:line="247" w:lineRule="auto"/>
        <w:ind w:left="1663" w:right="14" w:firstLine="4"/>
        <w:jc w:val="both"/>
      </w:pPr>
      <w:r>
        <w:rPr>
          <w:sz w:val="26"/>
        </w:rPr>
        <w:lastRenderedPageBreak/>
        <w:t>Del Programa 99 Partidas no Asignables a Programas, se evaluó lo siguiente: Grupo de Gasto 4 Transferencias Corrientes, el renglón presupuestario: 431 Transferencias a instituciones de enseñanza.</w:t>
      </w:r>
    </w:p>
    <w:p w14:paraId="043B8C1E" w14:textId="77777777" w:rsidR="00053D93" w:rsidRDefault="00260B75">
      <w:pPr>
        <w:spacing w:after="3" w:line="265" w:lineRule="auto"/>
        <w:ind w:left="60" w:right="65" w:hanging="10"/>
      </w:pPr>
      <w:r>
        <w:rPr>
          <w:rFonts w:ascii="Times New Roman" w:eastAsia="Times New Roman" w:hAnsi="Times New Roman" w:cs="Times New Roman"/>
          <w:sz w:val="66"/>
        </w:rPr>
        <w:t>1</w:t>
      </w:r>
    </w:p>
    <w:tbl>
      <w:tblPr>
        <w:tblStyle w:val="TableGrid"/>
        <w:tblpPr w:vertAnchor="page" w:horzAnchor="page" w:tblpX="2851" w:tblpY="14472"/>
        <w:tblOverlap w:val="never"/>
        <w:tblW w:w="7632" w:type="dxa"/>
        <w:tblInd w:w="0" w:type="dxa"/>
        <w:tblCellMar>
          <w:top w:w="31" w:type="dxa"/>
          <w:left w:w="1750" w:type="dxa"/>
          <w:right w:w="115" w:type="dxa"/>
        </w:tblCellMar>
        <w:tblLook w:val="04A0" w:firstRow="1" w:lastRow="0" w:firstColumn="1" w:lastColumn="0" w:noHBand="0" w:noVBand="1"/>
      </w:tblPr>
      <w:tblGrid>
        <w:gridCol w:w="7632"/>
      </w:tblGrid>
      <w:tr w:rsidR="00053D93" w14:paraId="39C99739" w14:textId="77777777">
        <w:trPr>
          <w:trHeight w:val="36"/>
        </w:trPr>
        <w:tc>
          <w:tcPr>
            <w:tcW w:w="7632" w:type="dxa"/>
            <w:tcBorders>
              <w:top w:val="nil"/>
              <w:left w:val="single" w:sz="2" w:space="0" w:color="000000"/>
              <w:bottom w:val="single" w:sz="2" w:space="0" w:color="000000"/>
              <w:right w:val="nil"/>
            </w:tcBorders>
          </w:tcPr>
          <w:p w14:paraId="7B7B0707" w14:textId="77777777" w:rsidR="00053D93" w:rsidRDefault="00053D93"/>
        </w:tc>
      </w:tr>
      <w:tr w:rsidR="00053D93" w14:paraId="7AF1271F" w14:textId="77777777">
        <w:trPr>
          <w:trHeight w:val="598"/>
        </w:trPr>
        <w:tc>
          <w:tcPr>
            <w:tcW w:w="7632" w:type="dxa"/>
            <w:tcBorders>
              <w:top w:val="single" w:sz="2" w:space="0" w:color="000000"/>
              <w:left w:val="single" w:sz="2" w:space="0" w:color="000000"/>
              <w:bottom w:val="nil"/>
              <w:right w:val="nil"/>
            </w:tcBorders>
          </w:tcPr>
          <w:p w14:paraId="05BB2CF8" w14:textId="77777777" w:rsidR="00053D93" w:rsidRDefault="00260B75">
            <w:pPr>
              <w:ind w:left="835"/>
            </w:pPr>
            <w:r>
              <w:rPr>
                <w:sz w:val="14"/>
              </w:rPr>
              <w:lastRenderedPageBreak/>
              <w:t>MINISTERIO DE EDUCACION</w:t>
            </w:r>
          </w:p>
          <w:p w14:paraId="78B8CF9A" w14:textId="77777777" w:rsidR="00053D93" w:rsidRDefault="00260B75">
            <w:pPr>
              <w:ind w:left="338"/>
            </w:pPr>
            <w:r>
              <w:rPr>
                <w:sz w:val="14"/>
              </w:rPr>
              <w:t>AUDITORIA FINANCIERA Y DE CUMPLIMIENTO</w:t>
            </w:r>
          </w:p>
          <w:p w14:paraId="650138E9" w14:textId="77777777" w:rsidR="00053D93" w:rsidRDefault="00260B75">
            <w:r>
              <w:rPr>
                <w:sz w:val="14"/>
              </w:rPr>
              <w:t>PERIODO DEL 01 DE ENERO AL 31 DE DICIEMBRE DE 2024</w:t>
            </w:r>
          </w:p>
        </w:tc>
      </w:tr>
    </w:tbl>
    <w:p w14:paraId="1076C05C" w14:textId="77777777" w:rsidR="00053D93" w:rsidRDefault="00260B75">
      <w:pPr>
        <w:spacing w:after="291" w:line="247" w:lineRule="auto"/>
        <w:ind w:left="1663" w:right="14" w:firstLine="4"/>
        <w:jc w:val="both"/>
      </w:pPr>
      <w:r>
        <w:rPr>
          <w:noProof/>
        </w:rPr>
        <w:drawing>
          <wp:anchor distT="0" distB="0" distL="114300" distR="114300" simplePos="0" relativeHeight="251762688" behindDoc="0" locked="0" layoutInCell="1" allowOverlap="0" wp14:anchorId="557FE860" wp14:editId="2702883D">
            <wp:simplePos x="0" y="0"/>
            <wp:positionH relativeFrom="page">
              <wp:posOffset>667512</wp:posOffset>
            </wp:positionH>
            <wp:positionV relativeFrom="page">
              <wp:posOffset>9189720</wp:posOffset>
            </wp:positionV>
            <wp:extent cx="1120140" cy="402337"/>
            <wp:effectExtent l="0" t="0" r="0" b="0"/>
            <wp:wrapTopAndBottom/>
            <wp:docPr id="137659" name="Picture 137659"/>
            <wp:cNvGraphicFramePr/>
            <a:graphic xmlns:a="http://schemas.openxmlformats.org/drawingml/2006/main">
              <a:graphicData uri="http://schemas.openxmlformats.org/drawingml/2006/picture">
                <pic:pic xmlns:pic="http://schemas.openxmlformats.org/drawingml/2006/picture">
                  <pic:nvPicPr>
                    <pic:cNvPr id="137659" name="Picture 137659"/>
                    <pic:cNvPicPr/>
                  </pic:nvPicPr>
                  <pic:blipFill>
                    <a:blip r:embed="rId166"/>
                    <a:stretch>
                      <a:fillRect/>
                    </a:stretch>
                  </pic:blipFill>
                  <pic:spPr>
                    <a:xfrm>
                      <a:off x="0" y="0"/>
                      <a:ext cx="1120140" cy="402337"/>
                    </a:xfrm>
                    <a:prstGeom prst="rect">
                      <a:avLst/>
                    </a:prstGeom>
                  </pic:spPr>
                </pic:pic>
              </a:graphicData>
            </a:graphic>
          </wp:anchor>
        </w:drawing>
      </w:r>
      <w:r>
        <w:rPr>
          <w:sz w:val="26"/>
        </w:rPr>
        <w:t>Durante la Auditoría Financiera y de Cumplimiento, fue evaluado el Grupo de Gasto 0 Servicios Personales, en la primera fase de la auditoría, la cual comprendió del .01 de enero al 31 de julio de 2024, con excepción del renglón presupuestario 021 Personal supernumerario, el cual fue evaluado al 31 de diciembre de 2024; en virtud que, se examinaron los procesos y no se identificaron riesgos ni debilidades significativas, que pudieran incidir en los resultados operativos, administrativos, presupuestarios y/o financieros de la entidad.</w:t>
      </w:r>
    </w:p>
    <w:p w14:paraId="36BE32B5" w14:textId="77777777" w:rsidR="00053D93" w:rsidRDefault="00260B75">
      <w:pPr>
        <w:spacing w:after="300" w:line="248" w:lineRule="auto"/>
        <w:ind w:left="1709" w:hanging="3"/>
        <w:jc w:val="both"/>
      </w:pPr>
      <w:r>
        <w:rPr>
          <w:sz w:val="28"/>
        </w:rPr>
        <w:t>Unidad Ejecutora 326 Dirección Departamental de Educación Guatemala Occidente</w:t>
      </w:r>
    </w:p>
    <w:p w14:paraId="39AC26D1" w14:textId="77777777" w:rsidR="00053D93" w:rsidRDefault="00260B75">
      <w:pPr>
        <w:spacing w:after="300" w:line="247" w:lineRule="auto"/>
        <w:ind w:left="14" w:right="14" w:firstLine="1620"/>
        <w:jc w:val="both"/>
      </w:pPr>
      <w:r>
        <w:rPr>
          <w:sz w:val="26"/>
        </w:rPr>
        <w:t xml:space="preserve">Del Programa 01 Actividades Centrales se evaluó lo siguiente: Grupo de Gasto 0 </w:t>
      </w:r>
      <w:r>
        <w:rPr>
          <w:rFonts w:ascii="Times New Roman" w:eastAsia="Times New Roman" w:hAnsi="Times New Roman" w:cs="Times New Roman"/>
          <w:sz w:val="26"/>
        </w:rPr>
        <w:t xml:space="preserve">1 </w:t>
      </w:r>
      <w:r>
        <w:rPr>
          <w:sz w:val="26"/>
        </w:rPr>
        <w:t>Servicios Personales, el renglón presupuestario: 021 Personal supernumerario; del Grupo de Gasto 1 Servicios no Personales, los renglones presupuestarios: 1 1 1 Energía eléctrica y 1 12 Agua; del Grupo de gasto 3 Propiedad, Planta, Equipo e Intangibles, el renglón presupuestario: 328 Equipo de cómputo.</w:t>
      </w:r>
    </w:p>
    <w:p w14:paraId="1C59EA55" w14:textId="77777777" w:rsidR="00053D93" w:rsidRDefault="00260B75">
      <w:pPr>
        <w:spacing w:after="17" w:line="247" w:lineRule="auto"/>
        <w:ind w:left="1656" w:right="14" w:firstLine="4"/>
        <w:jc w:val="both"/>
      </w:pPr>
      <w:r>
        <w:rPr>
          <w:sz w:val="26"/>
        </w:rPr>
        <w:t>Del Programa 1 1 Educación Escolar de Preprimaria, se evaluó lo siguiente: Grupo de Gasto 0 Servicios Personales, los renglones presupuestarios: 01 1 Personal permanente, 015 Complementos específicos al personal permanente, 017 Derechos escalafonarios, 021 Personal supernumerario, 071 Aguinaldo y 072 Bonificación anual (Bono 14); del Grupo de Gasto 1 Servicios no Personales, los renglones presupuestarios: 1 11 Energía eléctrica, 1 12 Agua y 1 13 Telefonía; del</w:t>
      </w:r>
    </w:p>
    <w:p w14:paraId="407F8084" w14:textId="77777777" w:rsidR="00053D93" w:rsidRDefault="00053D93">
      <w:pPr>
        <w:sectPr w:rsidR="00053D93">
          <w:headerReference w:type="even" r:id="rId167"/>
          <w:headerReference w:type="default" r:id="rId168"/>
          <w:footerReference w:type="even" r:id="rId169"/>
          <w:footerReference w:type="default" r:id="rId170"/>
          <w:headerReference w:type="first" r:id="rId171"/>
          <w:footerReference w:type="first" r:id="rId172"/>
          <w:pgSz w:w="12290" w:h="15912"/>
          <w:pgMar w:top="654" w:right="1829" w:bottom="792" w:left="346" w:header="454" w:footer="230" w:gutter="0"/>
          <w:cols w:space="720"/>
          <w:titlePg/>
        </w:sectPr>
      </w:pPr>
    </w:p>
    <w:p w14:paraId="76722649" w14:textId="77777777" w:rsidR="00053D93" w:rsidRDefault="00260B75">
      <w:pPr>
        <w:spacing w:after="45"/>
        <w:ind w:left="1728"/>
      </w:pPr>
      <w:r>
        <w:rPr>
          <w:noProof/>
        </w:rPr>
        <w:lastRenderedPageBreak/>
        <mc:AlternateContent>
          <mc:Choice Requires="wpg">
            <w:drawing>
              <wp:inline distT="0" distB="0" distL="0" distR="0" wp14:anchorId="27314C13" wp14:editId="29404C6C">
                <wp:extent cx="5376672" cy="9144"/>
                <wp:effectExtent l="0" t="0" r="0" b="0"/>
                <wp:docPr id="2458178" name="Group 2458178"/>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177" name="Shape 2458177"/>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78" style="width:423.36pt;height:0.719997pt;mso-position-horizontal-relative:char;mso-position-vertical-relative:line" coordsize="53766,91">
                <v:shape id="Shape 2458177" style="position:absolute;width:53766;height:91;left:0;top:0;" coordsize="5376672,9144" path="m0,4572l5376672,4572">
                  <v:stroke weight="0.719997pt" endcap="flat" joinstyle="miter" miterlimit="1" on="true" color="#000000"/>
                  <v:fill on="false" color="#000000"/>
                </v:shape>
              </v:group>
            </w:pict>
          </mc:Fallback>
        </mc:AlternateContent>
      </w:r>
    </w:p>
    <w:p w14:paraId="1433B2A9" w14:textId="77777777" w:rsidR="00053D93" w:rsidRDefault="00260B75">
      <w:pPr>
        <w:spacing w:after="282" w:line="247" w:lineRule="auto"/>
        <w:ind w:left="1735" w:right="14" w:firstLine="4"/>
        <w:jc w:val="both"/>
      </w:pPr>
      <w:r>
        <w:rPr>
          <w:sz w:val="26"/>
        </w:rPr>
        <w:t>Grupo de Gasto 4 Transferencias Corrientes, el renglón presupuestario: 435 Transferencias a otras instituciones sin fines de lucro.</w:t>
      </w:r>
    </w:p>
    <w:p w14:paraId="1E59C5DA" w14:textId="77777777" w:rsidR="00053D93" w:rsidRDefault="00260B75">
      <w:pPr>
        <w:spacing w:after="140" w:line="247" w:lineRule="auto"/>
        <w:ind w:left="14" w:right="14" w:firstLine="1678"/>
        <w:jc w:val="both"/>
      </w:pPr>
      <w:r>
        <w:rPr>
          <w:noProof/>
        </w:rPr>
        <mc:AlternateContent>
          <mc:Choice Requires="wpg">
            <w:drawing>
              <wp:anchor distT="0" distB="0" distL="114300" distR="114300" simplePos="0" relativeHeight="251763712" behindDoc="0" locked="0" layoutInCell="1" allowOverlap="1" wp14:anchorId="22C084B5" wp14:editId="4EAFD371">
                <wp:simplePos x="0" y="0"/>
                <wp:positionH relativeFrom="column">
                  <wp:posOffset>41148</wp:posOffset>
                </wp:positionH>
                <wp:positionV relativeFrom="paragraph">
                  <wp:posOffset>446812</wp:posOffset>
                </wp:positionV>
                <wp:extent cx="132588" cy="333756"/>
                <wp:effectExtent l="0" t="0" r="0" b="0"/>
                <wp:wrapSquare wrapText="bothSides"/>
                <wp:docPr id="2454446" name="Group 2454446"/>
                <wp:cNvGraphicFramePr/>
                <a:graphic xmlns:a="http://schemas.openxmlformats.org/drawingml/2006/main">
                  <a:graphicData uri="http://schemas.microsoft.com/office/word/2010/wordprocessingGroup">
                    <wpg:wgp>
                      <wpg:cNvGrpSpPr/>
                      <wpg:grpSpPr>
                        <a:xfrm>
                          <a:off x="0" y="0"/>
                          <a:ext cx="132588" cy="333756"/>
                          <a:chOff x="0" y="0"/>
                          <a:chExt cx="132588" cy="333756"/>
                        </a:xfrm>
                      </wpg:grpSpPr>
                      <wps:wsp>
                        <wps:cNvPr id="138194" name="Rectangle 138194"/>
                        <wps:cNvSpPr/>
                        <wps:spPr>
                          <a:xfrm>
                            <a:off x="0" y="0"/>
                            <a:ext cx="176342" cy="443896"/>
                          </a:xfrm>
                          <a:prstGeom prst="rect">
                            <a:avLst/>
                          </a:prstGeom>
                          <a:ln>
                            <a:noFill/>
                          </a:ln>
                        </wps:spPr>
                        <wps:txbx>
                          <w:txbxContent>
                            <w:p w14:paraId="0FDCA7CF"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anchor>
            </w:drawing>
          </mc:Choice>
          <mc:Fallback>
            <w:pict>
              <v:group w14:anchorId="22C084B5" id="Group 2454446" o:spid="_x0000_s1202" style="position:absolute;left:0;text-align:left;margin-left:3.25pt;margin-top:35.2pt;width:10.45pt;height:26.3pt;z-index:251763712;mso-position-horizontal-relative:text;mso-position-vertical-relative:text" coordsize="132588,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">
                <v:rect id="Rectangle 138194" o:spid="_x0000_s1203" style="position:absolute;width:176342;height:443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" filled="f" stroked="f">
                  <v:textbox inset="0,0,0,0">
                    <w:txbxContent>
                      <w:p w14:paraId="0FDCA7CF" w14:textId="77777777" w:rsidR="00053D93" w:rsidRDefault="00260B75">
                        <w:r>
                          <w:rPr>
                            <w:rFonts w:ascii="Times New Roman" w:eastAsia="Times New Roman" w:hAnsi="Times New Roman" w:cs="Times New Roman"/>
                            <w:sz w:val="80"/>
                          </w:rPr>
                          <w:t>1</w:t>
                        </w:r>
                      </w:p>
                    </w:txbxContent>
                  </v:textbox>
                </v:rect>
                <w10:wrap type="square"/>
              </v:group>
            </w:pict>
          </mc:Fallback>
        </mc:AlternateContent>
      </w:r>
      <w:r>
        <w:rPr>
          <w:sz w:val="26"/>
        </w:rPr>
        <w:t xml:space="preserve">Del Programa 12 Educación Escolar de Primaria, se evaluó lo siguiente: Grupo de Gasto 0 Servicios Personales, los renglones presupuestarios: 01 1 Personal permanente, 015 Complementos específicos al personal permanente, 017 Derechos escalafonarios, 021 Personal supernumerario, 071 Aguinaldo y 072 Bonificación anual (Bono 14); del Grupo de Gasto 1 Servicios no Personales, los renglones presupuestarios: 1 1 1 Energía eléctrica y 1 12 Agua; del Grupo de Gasto 4 Transferencias Corrientes, los renglones presupuestarios: 419 Otras transferencias a personas individuales y 435 Transferencias a otras instituciones </w:t>
      </w:r>
      <w:r>
        <w:rPr>
          <w:noProof/>
        </w:rPr>
        <mc:AlternateContent>
          <mc:Choice Requires="wpg">
            <w:drawing>
              <wp:inline distT="0" distB="0" distL="0" distR="0" wp14:anchorId="4A4F7F06" wp14:editId="66C8F560">
                <wp:extent cx="132588" cy="329184"/>
                <wp:effectExtent l="0" t="0" r="0" b="0"/>
                <wp:docPr id="2454447" name="Group 2454447"/>
                <wp:cNvGraphicFramePr/>
                <a:graphic xmlns:a="http://schemas.openxmlformats.org/drawingml/2006/main">
                  <a:graphicData uri="http://schemas.microsoft.com/office/word/2010/wordprocessingGroup">
                    <wpg:wgp>
                      <wpg:cNvGrpSpPr/>
                      <wpg:grpSpPr>
                        <a:xfrm>
                          <a:off x="0" y="0"/>
                          <a:ext cx="132588" cy="329184"/>
                          <a:chOff x="0" y="0"/>
                          <a:chExt cx="132588" cy="329184"/>
                        </a:xfrm>
                      </wpg:grpSpPr>
                      <wps:wsp>
                        <wps:cNvPr id="138195" name="Rectangle 138195"/>
                        <wps:cNvSpPr/>
                        <wps:spPr>
                          <a:xfrm>
                            <a:off x="0" y="0"/>
                            <a:ext cx="176342" cy="437815"/>
                          </a:xfrm>
                          <a:prstGeom prst="rect">
                            <a:avLst/>
                          </a:prstGeom>
                          <a:ln>
                            <a:noFill/>
                          </a:ln>
                        </wps:spPr>
                        <wps:txbx>
                          <w:txbxContent>
                            <w:p w14:paraId="6E63B8AD"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inline>
            </w:drawing>
          </mc:Choice>
          <mc:Fallback>
            <w:pict>
              <v:group w14:anchorId="4A4F7F06" id="Group 2454447" o:spid="_x0000_s1204" style="width:10.45pt;height:25.9pt;mso-position-horizontal-relative:char;mso-position-vertical-relative:line" coordsize="132588,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">
                <v:rect id="Rectangle 138195" o:spid="_x0000_s1205" style="position:absolute;width:176342;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" filled="f" stroked="f">
                  <v:textbox inset="0,0,0,0">
                    <w:txbxContent>
                      <w:p w14:paraId="6E63B8AD" w14:textId="77777777" w:rsidR="00053D93" w:rsidRDefault="00260B75">
                        <w:r>
                          <w:rPr>
                            <w:rFonts w:ascii="Times New Roman" w:eastAsia="Times New Roman" w:hAnsi="Times New Roman" w:cs="Times New Roman"/>
                            <w:sz w:val="80"/>
                          </w:rPr>
                          <w:t>1</w:t>
                        </w:r>
                      </w:p>
                    </w:txbxContent>
                  </v:textbox>
                </v:rect>
                <w10:anchorlock/>
              </v:group>
            </w:pict>
          </mc:Fallback>
        </mc:AlternateContent>
      </w:r>
      <w:r>
        <w:rPr>
          <w:sz w:val="26"/>
        </w:rPr>
        <w:t xml:space="preserve"> sin fines de lucro.</w:t>
      </w:r>
    </w:p>
    <w:p w14:paraId="75080878" w14:textId="77777777" w:rsidR="00053D93" w:rsidRDefault="00260B75">
      <w:pPr>
        <w:spacing w:after="370" w:line="247" w:lineRule="auto"/>
        <w:ind w:left="14" w:right="14" w:firstLine="1678"/>
        <w:jc w:val="both"/>
      </w:pPr>
      <w:r>
        <w:rPr>
          <w:noProof/>
        </w:rPr>
        <mc:AlternateContent>
          <mc:Choice Requires="wpg">
            <w:drawing>
              <wp:anchor distT="0" distB="0" distL="114300" distR="114300" simplePos="0" relativeHeight="251764736" behindDoc="0" locked="0" layoutInCell="1" allowOverlap="1" wp14:anchorId="467A48CE" wp14:editId="5C47D403">
                <wp:simplePos x="0" y="0"/>
                <wp:positionH relativeFrom="column">
                  <wp:posOffset>41148</wp:posOffset>
                </wp:positionH>
                <wp:positionV relativeFrom="paragraph">
                  <wp:posOffset>570774</wp:posOffset>
                </wp:positionV>
                <wp:extent cx="137160" cy="333756"/>
                <wp:effectExtent l="0" t="0" r="0" b="0"/>
                <wp:wrapSquare wrapText="bothSides"/>
                <wp:docPr id="2454448" name="Group 2454448"/>
                <wp:cNvGraphicFramePr/>
                <a:graphic xmlns:a="http://schemas.openxmlformats.org/drawingml/2006/main">
                  <a:graphicData uri="http://schemas.microsoft.com/office/word/2010/wordprocessingGroup">
                    <wpg:wgp>
                      <wpg:cNvGrpSpPr/>
                      <wpg:grpSpPr>
                        <a:xfrm>
                          <a:off x="0" y="0"/>
                          <a:ext cx="137160" cy="333756"/>
                          <a:chOff x="0" y="0"/>
                          <a:chExt cx="137160" cy="333756"/>
                        </a:xfrm>
                      </wpg:grpSpPr>
                      <wps:wsp>
                        <wps:cNvPr id="138197" name="Rectangle 138197"/>
                        <wps:cNvSpPr/>
                        <wps:spPr>
                          <a:xfrm>
                            <a:off x="0" y="0"/>
                            <a:ext cx="182423" cy="443895"/>
                          </a:xfrm>
                          <a:prstGeom prst="rect">
                            <a:avLst/>
                          </a:prstGeom>
                          <a:ln>
                            <a:noFill/>
                          </a:ln>
                        </wps:spPr>
                        <wps:txbx>
                          <w:txbxContent>
                            <w:p w14:paraId="52B53332"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anchor>
            </w:drawing>
          </mc:Choice>
          <mc:Fallback>
            <w:pict>
              <v:group w14:anchorId="467A48CE" id="Group 2454448" o:spid="_x0000_s1206" style="position:absolute;left:0;text-align:left;margin-left:3.25pt;margin-top:44.95pt;width:10.8pt;height:26.3pt;z-index:251764736;mso-position-horizontal-relative:text;mso-position-vertical-relative:text" coordsize="137160,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">
                <v:rect id="Rectangle 138197" o:spid="_x0000_s1207" style="position:absolute;width:182423;height:44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" filled="f" stroked="f">
                  <v:textbox inset="0,0,0,0">
                    <w:txbxContent>
                      <w:p w14:paraId="52B53332" w14:textId="77777777" w:rsidR="00053D93" w:rsidRDefault="00260B75">
                        <w:r>
                          <w:rPr>
                            <w:rFonts w:ascii="Times New Roman" w:eastAsia="Times New Roman" w:hAnsi="Times New Roman" w:cs="Times New Roman"/>
                            <w:sz w:val="82"/>
                          </w:rPr>
                          <w:t>1</w:t>
                        </w:r>
                      </w:p>
                    </w:txbxContent>
                  </v:textbox>
                </v:rect>
                <w10:wrap type="square"/>
              </v:group>
            </w:pict>
          </mc:Fallback>
        </mc:AlternateContent>
      </w:r>
      <w:r>
        <w:rPr>
          <w:sz w:val="26"/>
        </w:rPr>
        <w:t xml:space="preserve">Del Programa 13 Educación Escolar Básica, se evaluó lo siguiente: Grupo de </w:t>
      </w:r>
      <w:r>
        <w:rPr>
          <w:rFonts w:ascii="Times New Roman" w:eastAsia="Times New Roman" w:hAnsi="Times New Roman" w:cs="Times New Roman"/>
          <w:sz w:val="26"/>
        </w:rPr>
        <w:t xml:space="preserve">1 </w:t>
      </w:r>
      <w:r>
        <w:rPr>
          <w:sz w:val="26"/>
        </w:rPr>
        <w:t>Gasto 0 Servicios Personales, los renglones presupuestarios: 01 1 Personal permanente, 015 Complementos específicos al personal permanente, 017 Derechos escalafonarios, 021 Personal supernumerario, 027 Complementos específicos al personal temporal, 071 Aguinaldo y 072 Bonificación anual (Bono 14); del Grupo de Gasto 1 Servicios no Personales, los renglones presupuestarios:</w:t>
      </w:r>
    </w:p>
    <w:p w14:paraId="5039E059" w14:textId="77777777" w:rsidR="00053D93" w:rsidRDefault="00260B75">
      <w:pPr>
        <w:tabs>
          <w:tab w:val="right" w:pos="10188"/>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1 1 1 Energía eléctrica y 1 12 Agua; del Grupo de Gasto 4 Transferencias</w:t>
      </w:r>
    </w:p>
    <w:p w14:paraId="5760A0CE" w14:textId="77777777" w:rsidR="00053D93" w:rsidRDefault="00260B75">
      <w:pPr>
        <w:spacing w:after="321" w:line="247" w:lineRule="auto"/>
        <w:ind w:left="14" w:right="79" w:firstLine="4"/>
        <w:jc w:val="both"/>
      </w:pPr>
      <w:r>
        <w:rPr>
          <w:noProof/>
        </w:rPr>
        <mc:AlternateContent>
          <mc:Choice Requires="wpg">
            <w:drawing>
              <wp:anchor distT="0" distB="0" distL="114300" distR="114300" simplePos="0" relativeHeight="251765760" behindDoc="0" locked="0" layoutInCell="1" allowOverlap="1" wp14:anchorId="4A9D5460" wp14:editId="10BAC630">
                <wp:simplePos x="0" y="0"/>
                <wp:positionH relativeFrom="column">
                  <wp:posOffset>36576</wp:posOffset>
                </wp:positionH>
                <wp:positionV relativeFrom="paragraph">
                  <wp:posOffset>243537</wp:posOffset>
                </wp:positionV>
                <wp:extent cx="141732" cy="329184"/>
                <wp:effectExtent l="0" t="0" r="0" b="0"/>
                <wp:wrapSquare wrapText="bothSides"/>
                <wp:docPr id="2454449" name="Group 2454449"/>
                <wp:cNvGraphicFramePr/>
                <a:graphic xmlns:a="http://schemas.openxmlformats.org/drawingml/2006/main">
                  <a:graphicData uri="http://schemas.microsoft.com/office/word/2010/wordprocessingGroup">
                    <wpg:wgp>
                      <wpg:cNvGrpSpPr/>
                      <wpg:grpSpPr>
                        <a:xfrm>
                          <a:off x="0" y="0"/>
                          <a:ext cx="141732" cy="329184"/>
                          <a:chOff x="0" y="0"/>
                          <a:chExt cx="141732" cy="329184"/>
                        </a:xfrm>
                      </wpg:grpSpPr>
                      <wps:wsp>
                        <wps:cNvPr id="138199" name="Rectangle 138199"/>
                        <wps:cNvSpPr/>
                        <wps:spPr>
                          <a:xfrm>
                            <a:off x="0" y="0"/>
                            <a:ext cx="188504" cy="437815"/>
                          </a:xfrm>
                          <a:prstGeom prst="rect">
                            <a:avLst/>
                          </a:prstGeom>
                          <a:ln>
                            <a:noFill/>
                          </a:ln>
                        </wps:spPr>
                        <wps:txbx>
                          <w:txbxContent>
                            <w:p w14:paraId="3B5BA74E"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4A9D5460" id="Group 2454449" o:spid="_x0000_s1208" style="position:absolute;left:0;text-align:left;margin-left:2.9pt;margin-top:19.2pt;width:11.15pt;height:25.9pt;z-index:251765760;mso-position-horizontal-relative:text;mso-position-vertical-relative:text" coordsize="141732,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">
                <v:rect id="Rectangle 138199" o:spid="_x0000_s1209" style="position:absolute;width:188504;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" filled="f" stroked="f">
                  <v:textbox inset="0,0,0,0">
                    <w:txbxContent>
                      <w:p w14:paraId="3B5BA74E" w14:textId="77777777" w:rsidR="00053D93" w:rsidRDefault="00260B75">
                        <w:r>
                          <w:rPr>
                            <w:rFonts w:ascii="Times New Roman" w:eastAsia="Times New Roman" w:hAnsi="Times New Roman" w:cs="Times New Roman"/>
                            <w:sz w:val="86"/>
                          </w:rPr>
                          <w:t>1</w:t>
                        </w:r>
                      </w:p>
                    </w:txbxContent>
                  </v:textbox>
                </v:rect>
                <w10:wrap type="square"/>
              </v:group>
            </w:pict>
          </mc:Fallback>
        </mc:AlternateContent>
      </w:r>
      <w:r>
        <w:rPr>
          <w:sz w:val="26"/>
        </w:rPr>
        <w:t>Corrientes, los renglones presupuestarios: 416 Becas de estudio en el interior, 419 Otras transferencias a personas individuales y 435 Transferencias a otras instituciones sin fines de lucro.</w:t>
      </w:r>
    </w:p>
    <w:p w14:paraId="3105DCF2" w14:textId="77777777" w:rsidR="00053D93" w:rsidRDefault="00260B75">
      <w:pPr>
        <w:spacing w:after="738" w:line="247" w:lineRule="auto"/>
        <w:ind w:left="14" w:right="79" w:firstLine="4"/>
        <w:jc w:val="both"/>
      </w:pPr>
      <w:r>
        <w:rPr>
          <w:noProof/>
        </w:rPr>
        <mc:AlternateContent>
          <mc:Choice Requires="wpg">
            <w:drawing>
              <wp:anchor distT="0" distB="0" distL="114300" distR="114300" simplePos="0" relativeHeight="251766784" behindDoc="0" locked="0" layoutInCell="1" allowOverlap="1" wp14:anchorId="6851D4B6" wp14:editId="265A2994">
                <wp:simplePos x="0" y="0"/>
                <wp:positionH relativeFrom="column">
                  <wp:posOffset>36576</wp:posOffset>
                </wp:positionH>
                <wp:positionV relativeFrom="paragraph">
                  <wp:posOffset>-14087</wp:posOffset>
                </wp:positionV>
                <wp:extent cx="141732" cy="329184"/>
                <wp:effectExtent l="0" t="0" r="0" b="0"/>
                <wp:wrapSquare wrapText="bothSides"/>
                <wp:docPr id="2454450" name="Group 2454450"/>
                <wp:cNvGraphicFramePr/>
                <a:graphic xmlns:a="http://schemas.openxmlformats.org/drawingml/2006/main">
                  <a:graphicData uri="http://schemas.microsoft.com/office/word/2010/wordprocessingGroup">
                    <wpg:wgp>
                      <wpg:cNvGrpSpPr/>
                      <wpg:grpSpPr>
                        <a:xfrm>
                          <a:off x="0" y="0"/>
                          <a:ext cx="141732" cy="329184"/>
                          <a:chOff x="0" y="0"/>
                          <a:chExt cx="141732" cy="329184"/>
                        </a:xfrm>
                      </wpg:grpSpPr>
                      <wps:wsp>
                        <wps:cNvPr id="138200" name="Rectangle 138200"/>
                        <wps:cNvSpPr/>
                        <wps:spPr>
                          <a:xfrm>
                            <a:off x="0" y="0"/>
                            <a:ext cx="188504" cy="437814"/>
                          </a:xfrm>
                          <a:prstGeom prst="rect">
                            <a:avLst/>
                          </a:prstGeom>
                          <a:ln>
                            <a:noFill/>
                          </a:ln>
                        </wps:spPr>
                        <wps:txbx>
                          <w:txbxContent>
                            <w:p w14:paraId="74C95BE1"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6851D4B6" id="Group 2454450" o:spid="_x0000_s1210" style="position:absolute;left:0;text-align:left;margin-left:2.9pt;margin-top:-1.1pt;width:11.15pt;height:25.9pt;z-index:251766784;mso-position-horizontal-relative:text;mso-position-vertical-relative:text" coordsize="141732,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">
                <v:rect id="Rectangle 138200" o:spid="_x0000_s1211" style="position:absolute;width:188504;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" filled="f" stroked="f">
                  <v:textbox inset="0,0,0,0">
                    <w:txbxContent>
                      <w:p w14:paraId="74C95BE1" w14:textId="77777777" w:rsidR="00053D93" w:rsidRDefault="00260B75">
                        <w:r>
                          <w:rPr>
                            <w:rFonts w:ascii="Times New Roman" w:eastAsia="Times New Roman" w:hAnsi="Times New Roman" w:cs="Times New Roman"/>
                            <w:sz w:val="86"/>
                          </w:rPr>
                          <w:t>1</w:t>
                        </w:r>
                      </w:p>
                    </w:txbxContent>
                  </v:textbox>
                </v:rect>
                <w10:wrap type="square"/>
              </v:group>
            </w:pict>
          </mc:Fallback>
        </mc:AlternateContent>
      </w:r>
      <w:r>
        <w:rPr>
          <w:noProof/>
        </w:rPr>
        <mc:AlternateContent>
          <mc:Choice Requires="wpg">
            <w:drawing>
              <wp:anchor distT="0" distB="0" distL="114300" distR="114300" simplePos="0" relativeHeight="251767808" behindDoc="0" locked="0" layoutInCell="1" allowOverlap="1" wp14:anchorId="6BF9D5F9" wp14:editId="6A92AF09">
                <wp:simplePos x="0" y="0"/>
                <wp:positionH relativeFrom="column">
                  <wp:posOffset>32004</wp:posOffset>
                </wp:positionH>
                <wp:positionV relativeFrom="paragraph">
                  <wp:posOffset>1019184</wp:posOffset>
                </wp:positionV>
                <wp:extent cx="141732" cy="333756"/>
                <wp:effectExtent l="0" t="0" r="0" b="0"/>
                <wp:wrapSquare wrapText="bothSides"/>
                <wp:docPr id="2454451" name="Group 2454451"/>
                <wp:cNvGraphicFramePr/>
                <a:graphic xmlns:a="http://schemas.openxmlformats.org/drawingml/2006/main">
                  <a:graphicData uri="http://schemas.microsoft.com/office/word/2010/wordprocessingGroup">
                    <wpg:wgp>
                      <wpg:cNvGrpSpPr/>
                      <wpg:grpSpPr>
                        <a:xfrm>
                          <a:off x="0" y="0"/>
                          <a:ext cx="141732" cy="333756"/>
                          <a:chOff x="0" y="0"/>
                          <a:chExt cx="141732" cy="333756"/>
                        </a:xfrm>
                      </wpg:grpSpPr>
                      <wps:wsp>
                        <wps:cNvPr id="138201" name="Rectangle 138201"/>
                        <wps:cNvSpPr/>
                        <wps:spPr>
                          <a:xfrm>
                            <a:off x="0" y="0"/>
                            <a:ext cx="188504" cy="443895"/>
                          </a:xfrm>
                          <a:prstGeom prst="rect">
                            <a:avLst/>
                          </a:prstGeom>
                          <a:ln>
                            <a:noFill/>
                          </a:ln>
                        </wps:spPr>
                        <wps:txbx>
                          <w:txbxContent>
                            <w:p w14:paraId="29AC1C86"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6BF9D5F9" id="Group 2454451" o:spid="_x0000_s1212" style="position:absolute;left:0;text-align:left;margin-left:2.5pt;margin-top:80.25pt;width:11.15pt;height:26.3pt;z-index:251767808;mso-position-horizontal-relative:text;mso-position-vertical-relative:text" coordsize="141732,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">
                <v:rect id="Rectangle 138201" o:spid="_x0000_s1213" style="position:absolute;width:188504;height:44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" filled="f" stroked="f">
                  <v:textbox inset="0,0,0,0">
                    <w:txbxContent>
                      <w:p w14:paraId="29AC1C86" w14:textId="77777777" w:rsidR="00053D93" w:rsidRDefault="00260B75">
                        <w:r>
                          <w:rPr>
                            <w:rFonts w:ascii="Times New Roman" w:eastAsia="Times New Roman" w:hAnsi="Times New Roman" w:cs="Times New Roman"/>
                            <w:sz w:val="86"/>
                          </w:rPr>
                          <w:t>1</w:t>
                        </w:r>
                      </w:p>
                    </w:txbxContent>
                  </v:textbox>
                </v:rect>
                <w10:wrap type="square"/>
              </v:group>
            </w:pict>
          </mc:Fallback>
        </mc:AlternateContent>
      </w:r>
      <w:r>
        <w:rPr>
          <w:noProof/>
        </w:rPr>
        <mc:AlternateContent>
          <mc:Choice Requires="wpg">
            <w:drawing>
              <wp:anchor distT="0" distB="0" distL="114300" distR="114300" simplePos="0" relativeHeight="251768832" behindDoc="0" locked="0" layoutInCell="1" allowOverlap="1" wp14:anchorId="1851D698" wp14:editId="16A25565">
                <wp:simplePos x="0" y="0"/>
                <wp:positionH relativeFrom="column">
                  <wp:posOffset>27432</wp:posOffset>
                </wp:positionH>
                <wp:positionV relativeFrom="paragraph">
                  <wp:posOffset>1535820</wp:posOffset>
                </wp:positionV>
                <wp:extent cx="150876" cy="329184"/>
                <wp:effectExtent l="0" t="0" r="0" b="0"/>
                <wp:wrapSquare wrapText="bothSides"/>
                <wp:docPr id="2454452" name="Group 2454452"/>
                <wp:cNvGraphicFramePr/>
                <a:graphic xmlns:a="http://schemas.openxmlformats.org/drawingml/2006/main">
                  <a:graphicData uri="http://schemas.microsoft.com/office/word/2010/wordprocessingGroup">
                    <wpg:wgp>
                      <wpg:cNvGrpSpPr/>
                      <wpg:grpSpPr>
                        <a:xfrm>
                          <a:off x="0" y="0"/>
                          <a:ext cx="150876" cy="329184"/>
                          <a:chOff x="0" y="0"/>
                          <a:chExt cx="150876" cy="329184"/>
                        </a:xfrm>
                      </wpg:grpSpPr>
                      <wps:wsp>
                        <wps:cNvPr id="138202" name="Rectangle 138202"/>
                        <wps:cNvSpPr/>
                        <wps:spPr>
                          <a:xfrm>
                            <a:off x="0" y="0"/>
                            <a:ext cx="200665" cy="437814"/>
                          </a:xfrm>
                          <a:prstGeom prst="rect">
                            <a:avLst/>
                          </a:prstGeom>
                          <a:ln>
                            <a:noFill/>
                          </a:ln>
                        </wps:spPr>
                        <wps:txbx>
                          <w:txbxContent>
                            <w:p w14:paraId="0381914A" w14:textId="77777777" w:rsidR="00053D93" w:rsidRDefault="00260B75">
                              <w:r>
                                <w:rPr>
                                  <w:rFonts w:ascii="Times New Roman" w:eastAsia="Times New Roman" w:hAnsi="Times New Roman" w:cs="Times New Roman"/>
                                  <w:sz w:val="92"/>
                                </w:rPr>
                                <w:t>1</w:t>
                              </w:r>
                            </w:p>
                          </w:txbxContent>
                        </wps:txbx>
                        <wps:bodyPr horzOverflow="overflow" vert="horz" lIns="0" tIns="0" rIns="0" bIns="0" rtlCol="0">
                          <a:noAutofit/>
                        </wps:bodyPr>
                      </wps:wsp>
                    </wpg:wgp>
                  </a:graphicData>
                </a:graphic>
              </wp:anchor>
            </w:drawing>
          </mc:Choice>
          <mc:Fallback>
            <w:pict>
              <v:group w14:anchorId="1851D698" id="Group 2454452" o:spid="_x0000_s1214" style="position:absolute;left:0;text-align:left;margin-left:2.15pt;margin-top:120.95pt;width:11.9pt;height:25.9pt;z-index:251768832;mso-position-horizontal-relative:text;mso-position-vertical-relative:text" coordsize="150876,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">
                <v:rect id="Rectangle 138202" o:spid="_x0000_s1215" style="position:absolute;width:200665;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" filled="f" stroked="f">
                  <v:textbox inset="0,0,0,0">
                    <w:txbxContent>
                      <w:p w14:paraId="0381914A" w14:textId="77777777" w:rsidR="00053D93" w:rsidRDefault="00260B75">
                        <w:r>
                          <w:rPr>
                            <w:rFonts w:ascii="Times New Roman" w:eastAsia="Times New Roman" w:hAnsi="Times New Roman" w:cs="Times New Roman"/>
                            <w:sz w:val="92"/>
                          </w:rPr>
                          <w:t>1</w:t>
                        </w:r>
                      </w:p>
                    </w:txbxContent>
                  </v:textbox>
                </v:rect>
                <w10:wrap type="square"/>
              </v:group>
            </w:pict>
          </mc:Fallback>
        </mc:AlternateContent>
      </w:r>
      <w:r>
        <w:rPr>
          <w:sz w:val="26"/>
        </w:rPr>
        <w:t>Del Programa 14 Educación Escolar Diversificada, se evaluó lo siguiente: Grupo de Gasto 0 Servicios Personales, los renglones presupuestarios: 01 1 Personal permanente, 015 Complementos específicos al personal permanente, 017 Derechos escalafonarios, 021 Personal supernumerario, 027 Complementos específicos al personal temporal, 071 Aguinaldo y 072 Bonificación anual (Bono 14); del Grupo de Gasto 1 Servicios no Personales, [os renglones presupuestarios: 1 11 Energía eléctrica y 1 13 Telefonía; del Grupo de Gasto 4 Transferencias Corrientes, los renglones presupuestarios: 416 Becas de estudio en el interior, 419 Otras transferencias a personas individuales y 435 Transferencias a otras instituciones sin fines de lucro.</w:t>
      </w:r>
    </w:p>
    <w:p w14:paraId="48FA0F26" w14:textId="77777777" w:rsidR="00053D93" w:rsidRDefault="00260B75">
      <w:pPr>
        <w:spacing w:after="257" w:line="313" w:lineRule="auto"/>
        <w:ind w:left="1252" w:right="86" w:hanging="1238"/>
        <w:jc w:val="both"/>
      </w:pPr>
      <w:r>
        <w:rPr>
          <w:rFonts w:ascii="Times New Roman" w:eastAsia="Times New Roman" w:hAnsi="Times New Roman" w:cs="Times New Roman"/>
          <w:sz w:val="26"/>
        </w:rPr>
        <w:t xml:space="preserve">1 </w:t>
      </w:r>
      <w:r>
        <w:rPr>
          <w:sz w:val="26"/>
        </w:rPr>
        <w:t xml:space="preserve">Del Programa 20 Apoyo para el Consumo Adecuado de Aimentos, se evaluó lo </w:t>
      </w:r>
      <w:r>
        <w:rPr>
          <w:noProof/>
        </w:rPr>
        <w:drawing>
          <wp:inline distT="0" distB="0" distL="0" distR="0" wp14:anchorId="6CB2C4CD" wp14:editId="2134E6C2">
            <wp:extent cx="13716" cy="9144"/>
            <wp:effectExtent l="0" t="0" r="0" b="0"/>
            <wp:docPr id="140875" name="Picture 140875"/>
            <wp:cNvGraphicFramePr/>
            <a:graphic xmlns:a="http://schemas.openxmlformats.org/drawingml/2006/main">
              <a:graphicData uri="http://schemas.openxmlformats.org/drawingml/2006/picture">
                <pic:pic xmlns:pic="http://schemas.openxmlformats.org/drawingml/2006/picture">
                  <pic:nvPicPr>
                    <pic:cNvPr id="140875" name="Picture 140875"/>
                    <pic:cNvPicPr/>
                  </pic:nvPicPr>
                  <pic:blipFill>
                    <a:blip r:embed="rId49"/>
                    <a:stretch>
                      <a:fillRect/>
                    </a:stretch>
                  </pic:blipFill>
                  <pic:spPr>
                    <a:xfrm>
                      <a:off x="0" y="0"/>
                      <a:ext cx="13716" cy="9144"/>
                    </a:xfrm>
                    <a:prstGeom prst="rect">
                      <a:avLst/>
                    </a:prstGeom>
                  </pic:spPr>
                </pic:pic>
              </a:graphicData>
            </a:graphic>
          </wp:inline>
        </w:drawing>
      </w:r>
      <w:r>
        <w:rPr>
          <w:sz w:val="26"/>
        </w:rPr>
        <w:t xml:space="preserve"> siguiente: Grupo de Gasto 4 Transferencias Corrientes, los renglones presupuestarios: 431 </w:t>
      </w:r>
      <w:r>
        <w:rPr>
          <w:sz w:val="26"/>
        </w:rPr>
        <w:lastRenderedPageBreak/>
        <w:t>Transferencias a instituciones de enseñanza y 435 Transferencias a otras instituciones sin fines de lucro.</w:t>
      </w:r>
    </w:p>
    <w:p w14:paraId="3C23F979" w14:textId="77777777" w:rsidR="00053D93" w:rsidRDefault="00260B75">
      <w:pPr>
        <w:spacing w:after="17" w:line="247" w:lineRule="auto"/>
        <w:ind w:left="1706" w:right="94" w:hanging="1591"/>
        <w:jc w:val="both"/>
      </w:pPr>
      <w:r>
        <w:rPr>
          <w:rFonts w:ascii="Times New Roman" w:eastAsia="Times New Roman" w:hAnsi="Times New Roman" w:cs="Times New Roman"/>
          <w:sz w:val="26"/>
        </w:rPr>
        <w:t xml:space="preserve">1 </w:t>
      </w:r>
      <w:r>
        <w:rPr>
          <w:sz w:val="26"/>
        </w:rPr>
        <w:t>Dei Programa 99 Partidas no Asignables a Programas, se evaluó lo siguiente: Grupo de Gasto 4 Transferencias Corrientes, los renglones presupuestarios: el renglón presupuestario: 431 Transferencias a instituciones de enseñanza.</w:t>
      </w:r>
    </w:p>
    <w:tbl>
      <w:tblPr>
        <w:tblStyle w:val="TableGrid"/>
        <w:tblW w:w="9410" w:type="dxa"/>
        <w:tblInd w:w="756" w:type="dxa"/>
        <w:tblLook w:val="04A0" w:firstRow="1" w:lastRow="0" w:firstColumn="1" w:lastColumn="0" w:noHBand="0" w:noVBand="1"/>
      </w:tblPr>
      <w:tblGrid>
        <w:gridCol w:w="1285"/>
        <w:gridCol w:w="8146"/>
      </w:tblGrid>
      <w:tr w:rsidR="00053D93" w14:paraId="463E5E17" w14:textId="77777777">
        <w:trPr>
          <w:trHeight w:val="634"/>
        </w:trPr>
        <w:tc>
          <w:tcPr>
            <w:tcW w:w="1781" w:type="dxa"/>
            <w:tcBorders>
              <w:top w:val="nil"/>
              <w:left w:val="nil"/>
              <w:bottom w:val="nil"/>
              <w:right w:val="nil"/>
            </w:tcBorders>
          </w:tcPr>
          <w:p w14:paraId="4B267A89" w14:textId="77777777" w:rsidR="00053D93" w:rsidRDefault="00260B75">
            <w:r>
              <w:rPr>
                <w:noProof/>
              </w:rPr>
              <w:drawing>
                <wp:inline distT="0" distB="0" distL="0" distR="0" wp14:anchorId="058564BD" wp14:editId="69766C57">
                  <wp:extent cx="1120140" cy="402336"/>
                  <wp:effectExtent l="0" t="0" r="0" b="0"/>
                  <wp:docPr id="140939" name="Picture 140939"/>
                  <wp:cNvGraphicFramePr/>
                  <a:graphic xmlns:a="http://schemas.openxmlformats.org/drawingml/2006/main">
                    <a:graphicData uri="http://schemas.openxmlformats.org/drawingml/2006/picture">
                      <pic:pic xmlns:pic="http://schemas.openxmlformats.org/drawingml/2006/picture">
                        <pic:nvPicPr>
                          <pic:cNvPr id="140939" name="Picture 140939"/>
                          <pic:cNvPicPr/>
                        </pic:nvPicPr>
                        <pic:blipFill>
                          <a:blip r:embed="rId173"/>
                          <a:stretch>
                            <a:fillRect/>
                          </a:stretch>
                        </pic:blipFill>
                        <pic:spPr>
                          <a:xfrm>
                            <a:off x="0" y="0"/>
                            <a:ext cx="1120140" cy="402336"/>
                          </a:xfrm>
                          <a:prstGeom prst="rect">
                            <a:avLst/>
                          </a:prstGeom>
                        </pic:spPr>
                      </pic:pic>
                    </a:graphicData>
                  </a:graphic>
                </wp:inline>
              </w:drawing>
            </w:r>
          </w:p>
        </w:tc>
        <w:tc>
          <w:tcPr>
            <w:tcW w:w="7630" w:type="dxa"/>
            <w:tcBorders>
              <w:top w:val="nil"/>
              <w:left w:val="nil"/>
              <w:bottom w:val="nil"/>
              <w:right w:val="nil"/>
            </w:tcBorders>
          </w:tcPr>
          <w:p w14:paraId="1E37C2F9" w14:textId="77777777" w:rsidR="00053D93" w:rsidRDefault="00053D93">
            <w:pPr>
              <w:ind w:left="-2853" w:right="10483"/>
            </w:pPr>
          </w:p>
          <w:tbl>
            <w:tblPr>
              <w:tblStyle w:val="TableGrid"/>
              <w:tblW w:w="7613" w:type="dxa"/>
              <w:tblInd w:w="17" w:type="dxa"/>
              <w:tblCellMar>
                <w:top w:w="27" w:type="dxa"/>
                <w:left w:w="1745" w:type="dxa"/>
                <w:right w:w="115" w:type="dxa"/>
              </w:tblCellMar>
              <w:tblLook w:val="04A0" w:firstRow="1" w:lastRow="0" w:firstColumn="1" w:lastColumn="0" w:noHBand="0" w:noVBand="1"/>
            </w:tblPr>
            <w:tblGrid>
              <w:gridCol w:w="7613"/>
            </w:tblGrid>
            <w:tr w:rsidR="00053D93" w14:paraId="0AF189F3" w14:textId="77777777">
              <w:trPr>
                <w:trHeight w:val="48"/>
              </w:trPr>
              <w:tc>
                <w:tcPr>
                  <w:tcW w:w="7613" w:type="dxa"/>
                  <w:tcBorders>
                    <w:top w:val="nil"/>
                    <w:left w:val="single" w:sz="2" w:space="0" w:color="000000"/>
                    <w:bottom w:val="single" w:sz="2" w:space="0" w:color="000000"/>
                    <w:right w:val="nil"/>
                  </w:tcBorders>
                </w:tcPr>
                <w:p w14:paraId="5C3F7ED5" w14:textId="77777777" w:rsidR="00053D93" w:rsidRDefault="00053D93"/>
              </w:tc>
            </w:tr>
            <w:tr w:rsidR="00053D93" w14:paraId="10DC3226" w14:textId="77777777">
              <w:trPr>
                <w:trHeight w:val="586"/>
              </w:trPr>
              <w:tc>
                <w:tcPr>
                  <w:tcW w:w="7613" w:type="dxa"/>
                  <w:tcBorders>
                    <w:top w:val="single" w:sz="2" w:space="0" w:color="000000"/>
                    <w:left w:val="single" w:sz="2" w:space="0" w:color="000000"/>
                    <w:bottom w:val="nil"/>
                    <w:right w:val="nil"/>
                  </w:tcBorders>
                </w:tcPr>
                <w:p w14:paraId="6F45D736" w14:textId="77777777" w:rsidR="00053D93" w:rsidRDefault="00260B75">
                  <w:pPr>
                    <w:ind w:left="835"/>
                  </w:pPr>
                  <w:r>
                    <w:rPr>
                      <w:sz w:val="14"/>
                    </w:rPr>
                    <w:t>MINISTERIO DE EDUCACION</w:t>
                  </w:r>
                </w:p>
                <w:p w14:paraId="655E2BB3" w14:textId="77777777" w:rsidR="00053D93" w:rsidRDefault="00260B75">
                  <w:pPr>
                    <w:ind w:left="338"/>
                  </w:pPr>
                  <w:r>
                    <w:rPr>
                      <w:sz w:val="14"/>
                    </w:rPr>
                    <w:t>AUDITORIA FINANCIERA Y OE CUMPLIMIENTO</w:t>
                  </w:r>
                </w:p>
                <w:p w14:paraId="68BF603F" w14:textId="77777777" w:rsidR="00053D93" w:rsidRDefault="00260B75">
                  <w:r>
                    <w:rPr>
                      <w:sz w:val="14"/>
                    </w:rPr>
                    <w:t>PERIODO DEL 01 DE ENERO AL 31 DE DICIEMBRE DE 2024</w:t>
                  </w:r>
                </w:p>
              </w:tc>
            </w:tr>
          </w:tbl>
          <w:p w14:paraId="6A7C8670" w14:textId="77777777" w:rsidR="00053D93" w:rsidRDefault="00053D93"/>
        </w:tc>
      </w:tr>
    </w:tbl>
    <w:p w14:paraId="61AC654E" w14:textId="77777777" w:rsidR="00053D93" w:rsidRDefault="00260B75">
      <w:pPr>
        <w:spacing w:after="363"/>
        <w:ind w:left="1706"/>
      </w:pPr>
      <w:r>
        <w:rPr>
          <w:noProof/>
        </w:rPr>
        <mc:AlternateContent>
          <mc:Choice Requires="wpg">
            <w:drawing>
              <wp:inline distT="0" distB="0" distL="0" distR="0" wp14:anchorId="7F2742F5" wp14:editId="2040ACCA">
                <wp:extent cx="5381244" cy="9144"/>
                <wp:effectExtent l="0" t="0" r="0" b="0"/>
                <wp:docPr id="2458180" name="Group 2458180"/>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179" name="Shape 2458179"/>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80" style="width:423.72pt;height:0.719997pt;mso-position-horizontal-relative:char;mso-position-vertical-relative:line" coordsize="53812,91">
                <v:shape id="Shape 2458179" style="position:absolute;width:53812;height:91;left:0;top:0;" coordsize="5381244,9144" path="m0,4572l5381244,4572">
                  <v:stroke weight="0.719997pt" endcap="flat" joinstyle="miter" miterlimit="1" on="true" color="#000000"/>
                  <v:fill on="false" color="#000000"/>
                </v:shape>
              </v:group>
            </w:pict>
          </mc:Fallback>
        </mc:AlternateContent>
      </w:r>
    </w:p>
    <w:p w14:paraId="2DB75015" w14:textId="77777777" w:rsidR="00053D93" w:rsidRDefault="00260B75">
      <w:pPr>
        <w:spacing w:after="291" w:line="247" w:lineRule="auto"/>
        <w:ind w:left="1721" w:right="14" w:firstLine="4"/>
        <w:jc w:val="both"/>
      </w:pPr>
      <w:r>
        <w:rPr>
          <w:sz w:val="26"/>
        </w:rPr>
        <w:t>Durante la Auditoría Financiera y de Cumplimiento, fue evaluado el Grupo de Gasto 0 Servicios Personales, en la primera fase de la auditoría, la cual comprendió del 01 de enero al 31 de julio de 2024, con excepción del renglón presupuestario 021 Personal supernumerario, el cual fue evaluado al 31 de diciembre de 2024; en virtud que, se examinaron los procesos y no se identificaron riesgos ni debilidades significativas, que pudieran incidir en los resultados operativos, administrativos, presupuestarios y/o financieros de la entidad.</w:t>
      </w:r>
    </w:p>
    <w:p w14:paraId="6C87FAEF" w14:textId="77777777" w:rsidR="00053D93" w:rsidRDefault="00260B75">
      <w:pPr>
        <w:spacing w:after="306" w:line="247" w:lineRule="auto"/>
        <w:ind w:left="1728" w:right="14" w:firstLine="4"/>
        <w:jc w:val="both"/>
      </w:pPr>
      <w:r>
        <w:rPr>
          <w:sz w:val="26"/>
        </w:rPr>
        <w:t>Se evaluaron 6 clasificadores temáticos, en los que el Ministerio tiene vinculación presupuestaria: Pueblos Indígenas, Educación, Reducción de la Desnutrición, Niñez, Juventud y Género; para ello, se dio seguimiento a [as estructuras presupuestarias definidas y asociadas en cada clasificador para que fueran congruentes con la Política y la Metodología de Gestión por Resultados (GpR) según corresponda, que tuvieran asignación presupuestaria y meta física; que las unidades responsables realizaran la distribución de beneficiarios directos de la ejecución física; y que los informes fueran trasladados en los tiempos establecidos por cada clasificador temático, con el fin de que el gasto fuera transparente y se cumpliera con los planes y políticas institucionales de Gobierno.</w:t>
      </w:r>
    </w:p>
    <w:p w14:paraId="37B2A3B4" w14:textId="77777777" w:rsidR="00053D93" w:rsidRDefault="00260B75">
      <w:pPr>
        <w:spacing w:after="286" w:line="247" w:lineRule="auto"/>
        <w:ind w:left="1721" w:right="14" w:firstLine="4"/>
        <w:jc w:val="both"/>
      </w:pPr>
      <w:r>
        <w:rPr>
          <w:sz w:val="26"/>
        </w:rPr>
        <w:t xml:space="preserve">En cumplimiento al nombramiento de auditoría se incluyó ia evaluación de los movimientos contables registrados durante el año 2024, de las cuentas contables siguientes: 1232 Maquinaria y Equipo; 61 1 1 Remuneraciones; 61 12 Bienes y Servicios; 6151 Transferencias otorgadas al sector privado y 6152 Transferencias otorgadas al sector público, trasladadas por el equipo de auditoría designado en la Dirección de Contabilidad el Estado del Ministerio de Finanzas Públicas, informando a dicho equipo por medio de providencia en informe circunstanciado </w:t>
      </w:r>
      <w:r>
        <w:rPr>
          <w:sz w:val="26"/>
        </w:rPr>
        <w:lastRenderedPageBreak/>
        <w:t>de [a inclusión de las cuentas contables a través de los renglones presupuestarios en el Memorando de Planificación.</w:t>
      </w:r>
    </w:p>
    <w:p w14:paraId="5B3EF40D" w14:textId="77777777" w:rsidR="00053D93" w:rsidRDefault="00260B75">
      <w:pPr>
        <w:spacing w:after="183" w:line="247" w:lineRule="auto"/>
        <w:ind w:left="86" w:right="14" w:firstLine="1649"/>
        <w:jc w:val="both"/>
      </w:pPr>
      <w:r>
        <w:rPr>
          <w:sz w:val="26"/>
        </w:rPr>
        <w:t xml:space="preserve">En relación a las cuentas contables 1 1 12 Bancos y 1221 Cuentas a cobrar a largo plazo, fueron analizadas en el período auditado, considerando que, por constituir cuentas de balance contienen datos históricos, siendo responsabilidad del Ministerio de Educación debido que, son datos que vienen de ejercicios anteriores; es importante indicar que, la evaluación de los movimientos de las cuentas </w:t>
      </w:r>
      <w:r>
        <w:rPr>
          <w:rFonts w:ascii="Times New Roman" w:eastAsia="Times New Roman" w:hAnsi="Times New Roman" w:cs="Times New Roman"/>
          <w:sz w:val="26"/>
        </w:rPr>
        <w:t xml:space="preserve">1 </w:t>
      </w:r>
      <w:r>
        <w:rPr>
          <w:sz w:val="26"/>
        </w:rPr>
        <w:t>contables se efectuó a nivel de ejecución presupuestaria, de conformidad con el reporte número 00806918.rpt Matriz Presupuesto a Contabilidad, generado en el Sistema de Contabilidad Integral Gubernamental.</w:t>
      </w:r>
    </w:p>
    <w:p w14:paraId="19257163" w14:textId="77777777" w:rsidR="00053D93" w:rsidRDefault="00260B75">
      <w:pPr>
        <w:spacing w:after="3"/>
        <w:ind w:left="74" w:right="3485" w:hanging="10"/>
      </w:pPr>
      <w:r>
        <w:rPr>
          <w:rFonts w:ascii="Times New Roman" w:eastAsia="Times New Roman" w:hAnsi="Times New Roman" w:cs="Times New Roman"/>
          <w:sz w:val="70"/>
        </w:rPr>
        <w:t>1</w:t>
      </w:r>
    </w:p>
    <w:p w14:paraId="4C7BB490" w14:textId="77777777" w:rsidR="00053D93" w:rsidRDefault="00260B75">
      <w:pPr>
        <w:spacing w:after="17" w:line="247" w:lineRule="auto"/>
        <w:ind w:left="1728" w:right="14" w:firstLine="4"/>
        <w:jc w:val="both"/>
      </w:pPr>
      <w:r>
        <w:rPr>
          <w:sz w:val="26"/>
        </w:rPr>
        <w:t>La cuenta contable 1234 Construcciones en Proceso no fue objeto de evaluación; en virtud que, el renglón presupuestario 332 Construcciones de Bienes en Proceso Nacionales de uso no Común, corresponde a la fuente 52 préstamos externos, mismo que, fue evaluado por el equipo de auditoría asignado según</w:t>
      </w:r>
    </w:p>
    <w:tbl>
      <w:tblPr>
        <w:tblStyle w:val="TableGrid"/>
        <w:tblW w:w="9425" w:type="dxa"/>
        <w:tblInd w:w="770" w:type="dxa"/>
        <w:tblLook w:val="04A0" w:firstRow="1" w:lastRow="0" w:firstColumn="1" w:lastColumn="0" w:noHBand="0" w:noVBand="1"/>
      </w:tblPr>
      <w:tblGrid>
        <w:gridCol w:w="1771"/>
        <w:gridCol w:w="10513"/>
      </w:tblGrid>
      <w:tr w:rsidR="00053D93" w14:paraId="33DDE686" w14:textId="77777777">
        <w:trPr>
          <w:trHeight w:val="641"/>
        </w:trPr>
        <w:tc>
          <w:tcPr>
            <w:tcW w:w="1789" w:type="dxa"/>
            <w:tcBorders>
              <w:top w:val="nil"/>
              <w:left w:val="nil"/>
              <w:bottom w:val="nil"/>
              <w:right w:val="nil"/>
            </w:tcBorders>
          </w:tcPr>
          <w:p w14:paraId="40CACABC" w14:textId="77777777" w:rsidR="00053D93" w:rsidRDefault="00260B75">
            <w:r>
              <w:rPr>
                <w:noProof/>
              </w:rPr>
              <w:drawing>
                <wp:inline distT="0" distB="0" distL="0" distR="0" wp14:anchorId="6C31778E" wp14:editId="40C468F0">
                  <wp:extent cx="1124712" cy="406908"/>
                  <wp:effectExtent l="0" t="0" r="0" b="0"/>
                  <wp:docPr id="144947" name="Picture 144947"/>
                  <wp:cNvGraphicFramePr/>
                  <a:graphic xmlns:a="http://schemas.openxmlformats.org/drawingml/2006/main">
                    <a:graphicData uri="http://schemas.openxmlformats.org/drawingml/2006/picture">
                      <pic:pic xmlns:pic="http://schemas.openxmlformats.org/drawingml/2006/picture">
                        <pic:nvPicPr>
                          <pic:cNvPr id="144947" name="Picture 144947"/>
                          <pic:cNvPicPr/>
                        </pic:nvPicPr>
                        <pic:blipFill>
                          <a:blip r:embed="rId174"/>
                          <a:stretch>
                            <a:fillRect/>
                          </a:stretch>
                        </pic:blipFill>
                        <pic:spPr>
                          <a:xfrm>
                            <a:off x="0" y="0"/>
                            <a:ext cx="1124712" cy="406908"/>
                          </a:xfrm>
                          <a:prstGeom prst="rect">
                            <a:avLst/>
                          </a:prstGeom>
                        </pic:spPr>
                      </pic:pic>
                    </a:graphicData>
                  </a:graphic>
                </wp:inline>
              </w:drawing>
            </w:r>
          </w:p>
        </w:tc>
        <w:tc>
          <w:tcPr>
            <w:tcW w:w="7636" w:type="dxa"/>
            <w:tcBorders>
              <w:top w:val="nil"/>
              <w:left w:val="nil"/>
              <w:bottom w:val="nil"/>
              <w:right w:val="nil"/>
            </w:tcBorders>
          </w:tcPr>
          <w:p w14:paraId="3ED060A5" w14:textId="77777777" w:rsidR="00053D93" w:rsidRDefault="00053D93">
            <w:pPr>
              <w:ind w:left="-2876" w:right="10512"/>
            </w:pPr>
          </w:p>
          <w:tbl>
            <w:tblPr>
              <w:tblStyle w:val="TableGrid"/>
              <w:tblW w:w="7618" w:type="dxa"/>
              <w:tblInd w:w="18" w:type="dxa"/>
              <w:tblCellMar>
                <w:top w:w="28" w:type="dxa"/>
                <w:left w:w="1735" w:type="dxa"/>
                <w:right w:w="115" w:type="dxa"/>
              </w:tblCellMar>
              <w:tblLook w:val="04A0" w:firstRow="1" w:lastRow="0" w:firstColumn="1" w:lastColumn="0" w:noHBand="0" w:noVBand="1"/>
            </w:tblPr>
            <w:tblGrid>
              <w:gridCol w:w="7618"/>
            </w:tblGrid>
            <w:tr w:rsidR="00053D93" w14:paraId="51F3CA4A" w14:textId="77777777">
              <w:trPr>
                <w:trHeight w:val="33"/>
              </w:trPr>
              <w:tc>
                <w:tcPr>
                  <w:tcW w:w="7618" w:type="dxa"/>
                  <w:tcBorders>
                    <w:top w:val="nil"/>
                    <w:left w:val="single" w:sz="2" w:space="0" w:color="000000"/>
                    <w:bottom w:val="single" w:sz="2" w:space="0" w:color="000000"/>
                    <w:right w:val="nil"/>
                  </w:tcBorders>
                </w:tcPr>
                <w:p w14:paraId="5B186551" w14:textId="77777777" w:rsidR="00053D93" w:rsidRDefault="00053D93"/>
              </w:tc>
            </w:tr>
            <w:tr w:rsidR="00053D93" w14:paraId="0CDD9439" w14:textId="77777777">
              <w:trPr>
                <w:trHeight w:val="600"/>
              </w:trPr>
              <w:tc>
                <w:tcPr>
                  <w:tcW w:w="7618" w:type="dxa"/>
                  <w:tcBorders>
                    <w:top w:val="single" w:sz="2" w:space="0" w:color="000000"/>
                    <w:left w:val="single" w:sz="2" w:space="0" w:color="000000"/>
                    <w:bottom w:val="nil"/>
                    <w:right w:val="nil"/>
                  </w:tcBorders>
                </w:tcPr>
                <w:p w14:paraId="10A44803" w14:textId="77777777" w:rsidR="00053D93" w:rsidRDefault="00260B75">
                  <w:pPr>
                    <w:ind w:left="842"/>
                  </w:pPr>
                  <w:r>
                    <w:rPr>
                      <w:sz w:val="14"/>
                    </w:rPr>
                    <w:t>MINISTERIO DE EDUCACION</w:t>
                  </w:r>
                </w:p>
                <w:p w14:paraId="096B4760" w14:textId="77777777" w:rsidR="00053D93" w:rsidRDefault="00260B75">
                  <w:pPr>
                    <w:ind w:left="346"/>
                  </w:pPr>
                  <w:r>
                    <w:rPr>
                      <w:sz w:val="14"/>
                    </w:rPr>
                    <w:t>AUDITORIA FINANCIERA Y DE CUMPLIMIENTO</w:t>
                  </w:r>
                </w:p>
                <w:p w14:paraId="739DEEC3" w14:textId="77777777" w:rsidR="00053D93" w:rsidRDefault="00260B75">
                  <w:r>
                    <w:rPr>
                      <w:sz w:val="14"/>
                    </w:rPr>
                    <w:t>PERIODO DEL 01 DE ENERO AL 31 be DICIEMBRE DE 2024</w:t>
                  </w:r>
                </w:p>
              </w:tc>
            </w:tr>
          </w:tbl>
          <w:p w14:paraId="2B8BF90B" w14:textId="77777777" w:rsidR="00053D93" w:rsidRDefault="00053D93"/>
        </w:tc>
      </w:tr>
    </w:tbl>
    <w:p w14:paraId="62E1801D" w14:textId="77777777" w:rsidR="00053D93" w:rsidRDefault="00260B75">
      <w:pPr>
        <w:spacing w:after="0"/>
      </w:pPr>
      <w:r>
        <w:rPr>
          <w:sz w:val="294"/>
        </w:rPr>
        <w:t>i</w:t>
      </w:r>
    </w:p>
    <w:p w14:paraId="7FFCC5C7" w14:textId="77777777" w:rsidR="00053D93" w:rsidRDefault="00260B75">
      <w:pPr>
        <w:spacing w:after="22"/>
        <w:ind w:left="1663"/>
      </w:pPr>
      <w:r>
        <w:rPr>
          <w:noProof/>
        </w:rPr>
        <mc:AlternateContent>
          <mc:Choice Requires="wpg">
            <w:drawing>
              <wp:inline distT="0" distB="0" distL="0" distR="0" wp14:anchorId="49FA9DD2" wp14:editId="2E856AF0">
                <wp:extent cx="5381244" cy="9144"/>
                <wp:effectExtent l="0" t="0" r="0" b="0"/>
                <wp:docPr id="2458182" name="Group 2458182"/>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181" name="Shape 2458181"/>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82" style="width:423.72pt;height:0.720001pt;mso-position-horizontal-relative:char;mso-position-vertical-relative:line" coordsize="53812,91">
                <v:shape id="Shape 2458181" style="position:absolute;width:53812;height:91;left:0;top:0;" coordsize="5381244,9144" path="m0,4572l5381244,4572">
                  <v:stroke weight="0.720001pt" endcap="flat" joinstyle="miter" miterlimit="1" on="true" color="#000000"/>
                  <v:fill on="false" color="#000000"/>
                </v:shape>
              </v:group>
            </w:pict>
          </mc:Fallback>
        </mc:AlternateContent>
      </w:r>
    </w:p>
    <w:p w14:paraId="1F3C5D0E" w14:textId="77777777" w:rsidR="00053D93" w:rsidRDefault="00260B75">
      <w:pPr>
        <w:spacing w:after="329" w:line="247" w:lineRule="auto"/>
        <w:ind w:left="14" w:right="14" w:firstLine="4"/>
        <w:jc w:val="both"/>
      </w:pPr>
      <w:r>
        <w:rPr>
          <w:noProof/>
        </w:rPr>
        <mc:AlternateContent>
          <mc:Choice Requires="wpg">
            <w:drawing>
              <wp:anchor distT="0" distB="0" distL="114300" distR="114300" simplePos="0" relativeHeight="251769856" behindDoc="0" locked="0" layoutInCell="1" allowOverlap="1" wp14:anchorId="4F64575F" wp14:editId="5778BDB6">
                <wp:simplePos x="0" y="0"/>
                <wp:positionH relativeFrom="column">
                  <wp:posOffset>-4571</wp:posOffset>
                </wp:positionH>
                <wp:positionV relativeFrom="paragraph">
                  <wp:posOffset>9124</wp:posOffset>
                </wp:positionV>
                <wp:extent cx="146304" cy="379476"/>
                <wp:effectExtent l="0" t="0" r="0" b="0"/>
                <wp:wrapSquare wrapText="bothSides"/>
                <wp:docPr id="2454487" name="Group 2454487"/>
                <wp:cNvGraphicFramePr/>
                <a:graphic xmlns:a="http://schemas.openxmlformats.org/drawingml/2006/main">
                  <a:graphicData uri="http://schemas.microsoft.com/office/word/2010/wordprocessingGroup">
                    <wpg:wgp>
                      <wpg:cNvGrpSpPr/>
                      <wpg:grpSpPr>
                        <a:xfrm>
                          <a:off x="0" y="0"/>
                          <a:ext cx="146304" cy="379476"/>
                          <a:chOff x="0" y="0"/>
                          <a:chExt cx="146304" cy="379476"/>
                        </a:xfrm>
                      </wpg:grpSpPr>
                      <wps:wsp>
                        <wps:cNvPr id="145489" name="Rectangle 145489"/>
                        <wps:cNvSpPr/>
                        <wps:spPr>
                          <a:xfrm>
                            <a:off x="0" y="0"/>
                            <a:ext cx="194584" cy="504703"/>
                          </a:xfrm>
                          <a:prstGeom prst="rect">
                            <a:avLst/>
                          </a:prstGeom>
                          <a:ln>
                            <a:noFill/>
                          </a:ln>
                        </wps:spPr>
                        <wps:txbx>
                          <w:txbxContent>
                            <w:p w14:paraId="126BD722" w14:textId="77777777" w:rsidR="00053D93" w:rsidRDefault="00260B75">
                              <w:r>
                                <w:rPr>
                                  <w:sz w:val="302"/>
                                </w:rPr>
                                <w:t>i</w:t>
                              </w:r>
                            </w:p>
                          </w:txbxContent>
                        </wps:txbx>
                        <wps:bodyPr horzOverflow="overflow" vert="horz" lIns="0" tIns="0" rIns="0" bIns="0" rtlCol="0">
                          <a:noAutofit/>
                        </wps:bodyPr>
                      </wps:wsp>
                    </wpg:wgp>
                  </a:graphicData>
                </a:graphic>
              </wp:anchor>
            </w:drawing>
          </mc:Choice>
          <mc:Fallback>
            <w:pict>
              <v:group w14:anchorId="4F64575F" id="Group 2454487" o:spid="_x0000_s1216" style="position:absolute;left:0;text-align:left;margin-left:-.35pt;margin-top:.7pt;width:11.5pt;height:29.9pt;z-index:251769856;mso-position-horizontal-relative:text;mso-position-vertical-relative:text" coordsize="146304,3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">
                <v:rect id="Rectangle 145489" o:spid="_x0000_s1217" style="position:absolute;width:194584;height:504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" filled="f" stroked="f">
                  <v:textbox inset="0,0,0,0">
                    <w:txbxContent>
                      <w:p w14:paraId="126BD722" w14:textId="77777777" w:rsidR="00053D93" w:rsidRDefault="00260B75">
                        <w:r>
                          <w:rPr>
                            <w:sz w:val="302"/>
                          </w:rPr>
                          <w:t>i</w:t>
                        </w:r>
                      </w:p>
                    </w:txbxContent>
                  </v:textbox>
                </v:rect>
                <w10:wrap type="square"/>
              </v:group>
            </w:pict>
          </mc:Fallback>
        </mc:AlternateContent>
      </w:r>
      <w:r>
        <w:rPr>
          <w:sz w:val="26"/>
        </w:rPr>
        <w:t>Nombramiento No. DAS-03-F-0001-2024 del 24 de abril de 2024, de la Contraloría General de Cuentas, de conformidad con el Manual Operativo del Préstamo BID-3618/OC-GU; por lo que esta cuenta no fue incluida en el memorando de planificación.</w:t>
      </w:r>
    </w:p>
    <w:p w14:paraId="69CA9C01" w14:textId="77777777" w:rsidR="00053D93" w:rsidRDefault="00260B75">
      <w:pPr>
        <w:spacing w:after="316" w:line="247" w:lineRule="auto"/>
        <w:ind w:left="1685" w:right="14" w:firstLine="4"/>
        <w:jc w:val="both"/>
      </w:pPr>
      <w:r>
        <w:rPr>
          <w:sz w:val="26"/>
        </w:rPr>
        <w:t>Se evaluó una muestra de las compras y contrataciones de conformidad con la información que proporcionó la Dirección de Análisis de la Gestión Pública, Monitoreo y Alerta Temprana.</w:t>
      </w:r>
    </w:p>
    <w:p w14:paraId="1CCFBBDD" w14:textId="77777777" w:rsidR="00053D93" w:rsidRDefault="00260B75">
      <w:pPr>
        <w:spacing w:after="260" w:line="247" w:lineRule="auto"/>
        <w:ind w:left="1253" w:right="14" w:firstLine="439"/>
        <w:jc w:val="both"/>
      </w:pPr>
      <w:r>
        <w:rPr>
          <w:sz w:val="26"/>
        </w:rPr>
        <w:lastRenderedPageBreak/>
        <w:t xml:space="preserve">Se evaluaron las materias controladas de conformidad con la información que </w:t>
      </w:r>
      <w:r>
        <w:rPr>
          <w:noProof/>
        </w:rPr>
        <w:drawing>
          <wp:inline distT="0" distB="0" distL="0" distR="0" wp14:anchorId="4E12E607" wp14:editId="460F7E7F">
            <wp:extent cx="9144" cy="9144"/>
            <wp:effectExtent l="0" t="0" r="0" b="0"/>
            <wp:docPr id="147732" name="Picture 147732"/>
            <wp:cNvGraphicFramePr/>
            <a:graphic xmlns:a="http://schemas.openxmlformats.org/drawingml/2006/main">
              <a:graphicData uri="http://schemas.openxmlformats.org/drawingml/2006/picture">
                <pic:pic xmlns:pic="http://schemas.openxmlformats.org/drawingml/2006/picture">
                  <pic:nvPicPr>
                    <pic:cNvPr id="147732" name="Picture 147732"/>
                    <pic:cNvPicPr/>
                  </pic:nvPicPr>
                  <pic:blipFill>
                    <a:blip r:embed="rId93"/>
                    <a:stretch>
                      <a:fillRect/>
                    </a:stretch>
                  </pic:blipFill>
                  <pic:spPr>
                    <a:xfrm>
                      <a:off x="0" y="0"/>
                      <a:ext cx="9144" cy="9144"/>
                    </a:xfrm>
                    <a:prstGeom prst="rect">
                      <a:avLst/>
                    </a:prstGeom>
                  </pic:spPr>
                </pic:pic>
              </a:graphicData>
            </a:graphic>
          </wp:inline>
        </w:drawing>
      </w:r>
      <w:r>
        <w:rPr>
          <w:sz w:val="26"/>
        </w:rPr>
        <w:t xml:space="preserve"> proporcionó la Dirección de Auditoría para Atención a Denuncias.</w:t>
      </w:r>
    </w:p>
    <w:p w14:paraId="6866DD88" w14:textId="77777777" w:rsidR="00053D93" w:rsidRDefault="00260B75">
      <w:pPr>
        <w:spacing w:after="17" w:line="247" w:lineRule="auto"/>
        <w:ind w:left="14" w:right="14" w:firstLine="1692"/>
        <w:jc w:val="both"/>
      </w:pPr>
      <w:r>
        <w:rPr>
          <w:sz w:val="26"/>
        </w:rPr>
        <w:t xml:space="preserve">Se dio seguimiento a la implementación de las recomendaciones de la auditoría </w:t>
      </w:r>
      <w:r>
        <w:rPr>
          <w:noProof/>
        </w:rPr>
        <mc:AlternateContent>
          <mc:Choice Requires="wpg">
            <w:drawing>
              <wp:inline distT="0" distB="0" distL="0" distR="0" wp14:anchorId="5B74B3D0" wp14:editId="27231F0F">
                <wp:extent cx="146304" cy="365760"/>
                <wp:effectExtent l="0" t="0" r="0" b="0"/>
                <wp:docPr id="2454488" name="Group 2454488"/>
                <wp:cNvGraphicFramePr/>
                <a:graphic xmlns:a="http://schemas.openxmlformats.org/drawingml/2006/main">
                  <a:graphicData uri="http://schemas.microsoft.com/office/word/2010/wordprocessingGroup">
                    <wpg:wgp>
                      <wpg:cNvGrpSpPr/>
                      <wpg:grpSpPr>
                        <a:xfrm>
                          <a:off x="0" y="0"/>
                          <a:ext cx="146304" cy="365760"/>
                          <a:chOff x="0" y="0"/>
                          <a:chExt cx="146304" cy="365760"/>
                        </a:xfrm>
                      </wpg:grpSpPr>
                      <wps:wsp>
                        <wps:cNvPr id="145490" name="Rectangle 145490"/>
                        <wps:cNvSpPr/>
                        <wps:spPr>
                          <a:xfrm>
                            <a:off x="0" y="0"/>
                            <a:ext cx="194584" cy="486461"/>
                          </a:xfrm>
                          <a:prstGeom prst="rect">
                            <a:avLst/>
                          </a:prstGeom>
                          <a:ln>
                            <a:noFill/>
                          </a:ln>
                        </wps:spPr>
                        <wps:txbx>
                          <w:txbxContent>
                            <w:p w14:paraId="114BEEC7" w14:textId="77777777" w:rsidR="00053D93" w:rsidRDefault="00260B75">
                              <w:r>
                                <w:rPr>
                                  <w:sz w:val="302"/>
                                </w:rPr>
                                <w:t>i</w:t>
                              </w:r>
                            </w:p>
                          </w:txbxContent>
                        </wps:txbx>
                        <wps:bodyPr horzOverflow="overflow" vert="horz" lIns="0" tIns="0" rIns="0" bIns="0" rtlCol="0">
                          <a:noAutofit/>
                        </wps:bodyPr>
                      </wps:wsp>
                    </wpg:wgp>
                  </a:graphicData>
                </a:graphic>
              </wp:inline>
            </w:drawing>
          </mc:Choice>
          <mc:Fallback>
            <w:pict>
              <v:group w14:anchorId="5B74B3D0" id="Group 2454488" o:spid="_x0000_s1218" style="width:11.5pt;height:28.8pt;mso-position-horizontal-relative:char;mso-position-vertical-relative:line" coordsize="146304,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">
                <v:rect id="Rectangle 145490" o:spid="_x0000_s1219" style="position:absolute;width:194584;height:486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" filled="f" stroked="f">
                  <v:textbox inset="0,0,0,0">
                    <w:txbxContent>
                      <w:p w14:paraId="114BEEC7" w14:textId="77777777" w:rsidR="00053D93" w:rsidRDefault="00260B75">
                        <w:r>
                          <w:rPr>
                            <w:sz w:val="302"/>
                          </w:rPr>
                          <w:t>i</w:t>
                        </w:r>
                      </w:p>
                    </w:txbxContent>
                  </v:textbox>
                </v:rect>
                <w10:anchorlock/>
              </v:group>
            </w:pict>
          </mc:Fallback>
        </mc:AlternateContent>
      </w:r>
      <w:r>
        <w:rPr>
          <w:sz w:val="26"/>
        </w:rPr>
        <w:t xml:space="preserve"> financiera y de cumplimiento del ejercicio fiscal 2023.</w:t>
      </w:r>
    </w:p>
    <w:p w14:paraId="4D4D98DA" w14:textId="77777777" w:rsidR="00053D93" w:rsidRDefault="00260B75">
      <w:pPr>
        <w:spacing w:after="327" w:line="247" w:lineRule="auto"/>
        <w:ind w:left="14" w:right="14" w:firstLine="4"/>
        <w:jc w:val="both"/>
      </w:pPr>
      <w:r>
        <w:rPr>
          <w:sz w:val="26"/>
        </w:rPr>
        <w:t>La muestra seleccionada se evaluó a través de los Comprobantes Únicos de Registro -CUR-, con su respectiva documentación de respaldo, así como expedientes de personal, contratos, libros de bancos, conciliaciones bancarias, estados de cuenta bancarios, convenios, acuerdos de aprobación, etc.</w:t>
      </w:r>
    </w:p>
    <w:p w14:paraId="34EDB2FF" w14:textId="77777777" w:rsidR="00053D93" w:rsidRDefault="00260B75">
      <w:pPr>
        <w:spacing w:after="100" w:line="247" w:lineRule="auto"/>
        <w:ind w:left="1692" w:right="14" w:firstLine="4"/>
        <w:jc w:val="both"/>
      </w:pPr>
      <w:r>
        <w:rPr>
          <w:sz w:val="26"/>
        </w:rPr>
        <w:t>Área de cumplimiento</w:t>
      </w:r>
    </w:p>
    <w:p w14:paraId="1DF8A546" w14:textId="77777777" w:rsidR="00053D93" w:rsidRDefault="00260B75">
      <w:pPr>
        <w:spacing w:after="337" w:line="247" w:lineRule="auto"/>
        <w:ind w:left="1720" w:right="14" w:hanging="1706"/>
        <w:jc w:val="both"/>
      </w:pPr>
      <w:r>
        <w:rPr>
          <w:noProof/>
        </w:rPr>
        <mc:AlternateContent>
          <mc:Choice Requires="wpg">
            <w:drawing>
              <wp:inline distT="0" distB="0" distL="0" distR="0" wp14:anchorId="096B5CE4" wp14:editId="76D75384">
                <wp:extent cx="150876" cy="370332"/>
                <wp:effectExtent l="0" t="0" r="0" b="0"/>
                <wp:docPr id="2454489" name="Group 2454489"/>
                <wp:cNvGraphicFramePr/>
                <a:graphic xmlns:a="http://schemas.openxmlformats.org/drawingml/2006/main">
                  <a:graphicData uri="http://schemas.microsoft.com/office/word/2010/wordprocessingGroup">
                    <wpg:wgp>
                      <wpg:cNvGrpSpPr/>
                      <wpg:grpSpPr>
                        <a:xfrm>
                          <a:off x="0" y="0"/>
                          <a:ext cx="150876" cy="370332"/>
                          <a:chOff x="0" y="0"/>
                          <a:chExt cx="150876" cy="370332"/>
                        </a:xfrm>
                      </wpg:grpSpPr>
                      <wps:wsp>
                        <wps:cNvPr id="145491" name="Rectangle 145491"/>
                        <wps:cNvSpPr/>
                        <wps:spPr>
                          <a:xfrm>
                            <a:off x="0" y="0"/>
                            <a:ext cx="200665" cy="492542"/>
                          </a:xfrm>
                          <a:prstGeom prst="rect">
                            <a:avLst/>
                          </a:prstGeom>
                          <a:ln>
                            <a:noFill/>
                          </a:ln>
                        </wps:spPr>
                        <wps:txbx>
                          <w:txbxContent>
                            <w:p w14:paraId="00CAEDEE" w14:textId="77777777" w:rsidR="00053D93" w:rsidRDefault="00260B75">
                              <w:r>
                                <w:rPr>
                                  <w:sz w:val="312"/>
                                </w:rPr>
                                <w:t>i</w:t>
                              </w:r>
                            </w:p>
                          </w:txbxContent>
                        </wps:txbx>
                        <wps:bodyPr horzOverflow="overflow" vert="horz" lIns="0" tIns="0" rIns="0" bIns="0" rtlCol="0">
                          <a:noAutofit/>
                        </wps:bodyPr>
                      </wps:wsp>
                    </wpg:wgp>
                  </a:graphicData>
                </a:graphic>
              </wp:inline>
            </w:drawing>
          </mc:Choice>
          <mc:Fallback>
            <w:pict>
              <v:group w14:anchorId="096B5CE4" id="Group 2454489" o:spid="_x0000_s1220" style="width:11.9pt;height:29.15pt;mso-position-horizontal-relative:char;mso-position-vertical-relative:line" coordsize="150876,37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">
                <v:rect id="Rectangle 145491" o:spid="_x0000_s1221" style="position:absolute;width:200665;height:49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" filled="f" stroked="f">
                  <v:textbox inset="0,0,0,0">
                    <w:txbxContent>
                      <w:p w14:paraId="00CAEDEE" w14:textId="77777777" w:rsidR="00053D93" w:rsidRDefault="00260B75">
                        <w:r>
                          <w:rPr>
                            <w:sz w:val="312"/>
                          </w:rPr>
                          <w:t>i</w:t>
                        </w:r>
                      </w:p>
                    </w:txbxContent>
                  </v:textbox>
                </v:rect>
                <w10:anchorlock/>
              </v:group>
            </w:pict>
          </mc:Fallback>
        </mc:AlternateContent>
      </w:r>
      <w:r>
        <w:rPr>
          <w:sz w:val="26"/>
        </w:rPr>
        <w:t xml:space="preserve"> Se verificó que las operaciones financieras, presupuestarias y administrativas, se realizaran de conformidad con normas legales y procedimientos de control establecidos.</w:t>
      </w:r>
    </w:p>
    <w:p w14:paraId="66E93097" w14:textId="77777777" w:rsidR="00053D93" w:rsidRDefault="00260B75">
      <w:pPr>
        <w:spacing w:after="182" w:line="248" w:lineRule="auto"/>
        <w:ind w:left="1709" w:hanging="3"/>
        <w:jc w:val="both"/>
      </w:pPr>
      <w:r>
        <w:rPr>
          <w:sz w:val="28"/>
        </w:rPr>
        <w:t>Otros aspectos</w:t>
      </w:r>
    </w:p>
    <w:p w14:paraId="1AF9F99C" w14:textId="77777777" w:rsidR="00053D93" w:rsidRDefault="00260B75">
      <w:pPr>
        <w:spacing w:after="3"/>
        <w:ind w:left="74" w:right="3485" w:hanging="10"/>
      </w:pPr>
      <w:r>
        <w:rPr>
          <w:rFonts w:ascii="Times New Roman" w:eastAsia="Times New Roman" w:hAnsi="Times New Roman" w:cs="Times New Roman"/>
          <w:sz w:val="70"/>
        </w:rPr>
        <w:t>1</w:t>
      </w:r>
    </w:p>
    <w:p w14:paraId="02E9869B" w14:textId="77777777" w:rsidR="00053D93" w:rsidRDefault="00260B75">
      <w:pPr>
        <w:spacing w:after="295" w:line="248" w:lineRule="auto"/>
        <w:ind w:left="1709" w:hanging="3"/>
        <w:jc w:val="both"/>
      </w:pPr>
      <w:r>
        <w:rPr>
          <w:sz w:val="28"/>
        </w:rPr>
        <w:t>Sistemas de Información</w:t>
      </w:r>
    </w:p>
    <w:p w14:paraId="53DD8CDF" w14:textId="77777777" w:rsidR="00053D93" w:rsidRDefault="00260B75">
      <w:pPr>
        <w:spacing w:after="681" w:line="247" w:lineRule="auto"/>
        <w:ind w:left="1706" w:right="14" w:firstLine="4"/>
        <w:jc w:val="both"/>
      </w:pPr>
      <w:r>
        <w:rPr>
          <w:sz w:val="26"/>
        </w:rPr>
        <w:t>Se confirmó la correcta utilización de los sistemas de información que se detallan en los párrafos siguientes:</w:t>
      </w:r>
    </w:p>
    <w:p w14:paraId="7572396D" w14:textId="77777777" w:rsidR="00053D93" w:rsidRDefault="00260B75">
      <w:pPr>
        <w:tabs>
          <w:tab w:val="center" w:pos="4968"/>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Sistema de Contabilidad Integrada Gubernamental -SICOIN-</w:t>
      </w:r>
    </w:p>
    <w:p w14:paraId="3A120974" w14:textId="77777777" w:rsidR="00053D93" w:rsidRDefault="00260B75">
      <w:pPr>
        <w:spacing w:after="17" w:line="247" w:lineRule="auto"/>
        <w:ind w:left="1714" w:right="14" w:firstLine="4"/>
        <w:jc w:val="both"/>
      </w:pPr>
      <w:r>
        <w:rPr>
          <w:sz w:val="26"/>
        </w:rPr>
        <w:t>Se verificó que la entidad utilizó el Sistema de Contabilidad Integrada Gubernamental -SICOIN- para el registro de operaciones contables derivadas de la ejecución presupuestaria de ingresos y egresos.</w:t>
      </w:r>
    </w:p>
    <w:p w14:paraId="61016E8C" w14:textId="77777777" w:rsidR="00053D93" w:rsidRDefault="00260B75">
      <w:pPr>
        <w:spacing w:after="3"/>
        <w:ind w:left="74" w:right="3485" w:hanging="10"/>
      </w:pPr>
      <w:r>
        <w:rPr>
          <w:rFonts w:ascii="Times New Roman" w:eastAsia="Times New Roman" w:hAnsi="Times New Roman" w:cs="Times New Roman"/>
          <w:sz w:val="70"/>
        </w:rPr>
        <w:t>1</w:t>
      </w:r>
    </w:p>
    <w:p w14:paraId="0EFACEAC" w14:textId="77777777" w:rsidR="00053D93" w:rsidRDefault="00260B75">
      <w:pPr>
        <w:spacing w:after="340" w:line="248" w:lineRule="auto"/>
        <w:ind w:left="1709" w:hanging="3"/>
        <w:jc w:val="both"/>
      </w:pPr>
      <w:r>
        <w:rPr>
          <w:sz w:val="28"/>
        </w:rPr>
        <w:t>Sistema Informático de Gestión -SIGES-</w:t>
      </w:r>
    </w:p>
    <w:p w14:paraId="46D75FD8" w14:textId="77777777" w:rsidR="00053D93" w:rsidRDefault="00260B75">
      <w:pPr>
        <w:spacing w:after="10" w:line="252" w:lineRule="auto"/>
        <w:ind w:left="1731" w:hanging="10"/>
        <w:jc w:val="both"/>
      </w:pPr>
      <w:r>
        <w:rPr>
          <w:sz w:val="24"/>
        </w:rPr>
        <w:t>Se verificó que la entidad utilizó el Sistema Informático -SIGES-, para gestionar</w:t>
      </w:r>
    </w:p>
    <w:tbl>
      <w:tblPr>
        <w:tblStyle w:val="TableGrid"/>
        <w:tblW w:w="9425" w:type="dxa"/>
        <w:tblInd w:w="763" w:type="dxa"/>
        <w:tblLook w:val="04A0" w:firstRow="1" w:lastRow="0" w:firstColumn="1" w:lastColumn="0" w:noHBand="0" w:noVBand="1"/>
      </w:tblPr>
      <w:tblGrid>
        <w:gridCol w:w="1684"/>
        <w:gridCol w:w="10505"/>
      </w:tblGrid>
      <w:tr w:rsidR="00053D93" w14:paraId="6A5FEB46" w14:textId="77777777">
        <w:trPr>
          <w:trHeight w:val="641"/>
        </w:trPr>
        <w:tc>
          <w:tcPr>
            <w:tcW w:w="1730" w:type="dxa"/>
            <w:tcBorders>
              <w:top w:val="nil"/>
              <w:left w:val="nil"/>
              <w:bottom w:val="nil"/>
              <w:right w:val="nil"/>
            </w:tcBorders>
          </w:tcPr>
          <w:p w14:paraId="4F84C69F" w14:textId="77777777" w:rsidR="00053D93" w:rsidRDefault="00260B75">
            <w:r>
              <w:rPr>
                <w:noProof/>
              </w:rPr>
              <w:drawing>
                <wp:inline distT="0" distB="0" distL="0" distR="0" wp14:anchorId="3DABF41A" wp14:editId="08C05ABF">
                  <wp:extent cx="1069848" cy="406908"/>
                  <wp:effectExtent l="0" t="0" r="0" b="0"/>
                  <wp:docPr id="147832" name="Picture 147832"/>
                  <wp:cNvGraphicFramePr/>
                  <a:graphic xmlns:a="http://schemas.openxmlformats.org/drawingml/2006/main">
                    <a:graphicData uri="http://schemas.openxmlformats.org/drawingml/2006/picture">
                      <pic:pic xmlns:pic="http://schemas.openxmlformats.org/drawingml/2006/picture">
                        <pic:nvPicPr>
                          <pic:cNvPr id="147832" name="Picture 147832"/>
                          <pic:cNvPicPr/>
                        </pic:nvPicPr>
                        <pic:blipFill>
                          <a:blip r:embed="rId175"/>
                          <a:stretch>
                            <a:fillRect/>
                          </a:stretch>
                        </pic:blipFill>
                        <pic:spPr>
                          <a:xfrm>
                            <a:off x="0" y="0"/>
                            <a:ext cx="1069848" cy="406908"/>
                          </a:xfrm>
                          <a:prstGeom prst="rect">
                            <a:avLst/>
                          </a:prstGeom>
                        </pic:spPr>
                      </pic:pic>
                    </a:graphicData>
                  </a:graphic>
                </wp:inline>
              </w:drawing>
            </w:r>
          </w:p>
        </w:tc>
        <w:tc>
          <w:tcPr>
            <w:tcW w:w="7695" w:type="dxa"/>
            <w:tcBorders>
              <w:top w:val="nil"/>
              <w:left w:val="nil"/>
              <w:bottom w:val="nil"/>
              <w:right w:val="nil"/>
            </w:tcBorders>
          </w:tcPr>
          <w:p w14:paraId="33C4A3D8" w14:textId="77777777" w:rsidR="00053D93" w:rsidRDefault="00053D93">
            <w:pPr>
              <w:ind w:left="-2810" w:right="10505"/>
            </w:pPr>
          </w:p>
          <w:tbl>
            <w:tblPr>
              <w:tblStyle w:val="TableGrid"/>
              <w:tblW w:w="7650" w:type="dxa"/>
              <w:tblInd w:w="45" w:type="dxa"/>
              <w:tblCellMar>
                <w:top w:w="28" w:type="dxa"/>
                <w:left w:w="1775" w:type="dxa"/>
                <w:right w:w="115" w:type="dxa"/>
              </w:tblCellMar>
              <w:tblLook w:val="04A0" w:firstRow="1" w:lastRow="0" w:firstColumn="1" w:lastColumn="0" w:noHBand="0" w:noVBand="1"/>
            </w:tblPr>
            <w:tblGrid>
              <w:gridCol w:w="7650"/>
            </w:tblGrid>
            <w:tr w:rsidR="00053D93" w14:paraId="07CED805" w14:textId="77777777">
              <w:trPr>
                <w:trHeight w:val="612"/>
              </w:trPr>
              <w:tc>
                <w:tcPr>
                  <w:tcW w:w="7650" w:type="dxa"/>
                  <w:tcBorders>
                    <w:top w:val="single" w:sz="2" w:space="0" w:color="000000"/>
                    <w:left w:val="single" w:sz="2" w:space="0" w:color="000000"/>
                    <w:bottom w:val="nil"/>
                    <w:right w:val="nil"/>
                  </w:tcBorders>
                </w:tcPr>
                <w:p w14:paraId="19CE6665" w14:textId="77777777" w:rsidR="00053D93" w:rsidRDefault="00260B75">
                  <w:pPr>
                    <w:ind w:left="835"/>
                  </w:pPr>
                  <w:r>
                    <w:rPr>
                      <w:sz w:val="14"/>
                    </w:rPr>
                    <w:t>MINISTERIO DE EDUCACION</w:t>
                  </w:r>
                </w:p>
                <w:p w14:paraId="1E3AEAC3" w14:textId="77777777" w:rsidR="00053D93" w:rsidRDefault="00260B75">
                  <w:pPr>
                    <w:ind w:left="338"/>
                  </w:pPr>
                  <w:r>
                    <w:rPr>
                      <w:sz w:val="14"/>
                    </w:rPr>
                    <w:t>AUDITORIA FINANCIERA Y DE CUMPLIMIENTO</w:t>
                  </w:r>
                </w:p>
                <w:p w14:paraId="554D0BE9" w14:textId="77777777" w:rsidR="00053D93" w:rsidRDefault="00260B75">
                  <w:r>
                    <w:rPr>
                      <w:sz w:val="14"/>
                    </w:rPr>
                    <w:t>PERIODO DEL DE ENERO AL 31 OE DICIEMBRE DE 2024</w:t>
                  </w:r>
                </w:p>
              </w:tc>
            </w:tr>
          </w:tbl>
          <w:p w14:paraId="2541DA49" w14:textId="77777777" w:rsidR="00053D93" w:rsidRDefault="00053D93"/>
        </w:tc>
      </w:tr>
    </w:tbl>
    <w:p w14:paraId="7CD1C494" w14:textId="77777777" w:rsidR="00053D93" w:rsidRDefault="00260B75">
      <w:pPr>
        <w:spacing w:after="3"/>
        <w:ind w:left="74" w:right="3485" w:hanging="10"/>
      </w:pPr>
      <w:r>
        <w:rPr>
          <w:rFonts w:ascii="Times New Roman" w:eastAsia="Times New Roman" w:hAnsi="Times New Roman" w:cs="Times New Roman"/>
          <w:sz w:val="70"/>
        </w:rPr>
        <w:lastRenderedPageBreak/>
        <w:t>1</w:t>
      </w:r>
    </w:p>
    <w:p w14:paraId="166F4E0A" w14:textId="77777777" w:rsidR="00053D93" w:rsidRDefault="00053D93">
      <w:pPr>
        <w:sectPr w:rsidR="00053D93">
          <w:headerReference w:type="even" r:id="rId176"/>
          <w:headerReference w:type="default" r:id="rId177"/>
          <w:footerReference w:type="even" r:id="rId178"/>
          <w:footerReference w:type="default" r:id="rId179"/>
          <w:headerReference w:type="first" r:id="rId180"/>
          <w:footerReference w:type="first" r:id="rId181"/>
          <w:pgSz w:w="12290" w:h="15912"/>
          <w:pgMar w:top="439" w:right="1786" w:bottom="245" w:left="317" w:header="742" w:footer="720" w:gutter="0"/>
          <w:cols w:space="720"/>
          <w:titlePg/>
        </w:sectPr>
      </w:pPr>
    </w:p>
    <w:p w14:paraId="47119B3E" w14:textId="77777777" w:rsidR="00053D93" w:rsidRDefault="00260B75">
      <w:pPr>
        <w:tabs>
          <w:tab w:val="center" w:pos="3190"/>
          <w:tab w:val="center" w:pos="7700"/>
        </w:tabs>
        <w:spacing w:after="3" w:line="265" w:lineRule="auto"/>
      </w:pPr>
      <w:r>
        <w:rPr>
          <w:sz w:val="16"/>
        </w:rPr>
        <w:lastRenderedPageBreak/>
        <w:t>i</w:t>
      </w:r>
      <w:r>
        <w:rPr>
          <w:sz w:val="16"/>
        </w:rPr>
        <w:tab/>
        <w:t xml:space="preserve">OE </w:t>
      </w:r>
      <w:r>
        <w:rPr>
          <w:sz w:val="16"/>
        </w:rPr>
        <w:tab/>
        <w:t xml:space="preserve">Al </w:t>
      </w:r>
    </w:p>
    <w:p w14:paraId="097D698D" w14:textId="77777777" w:rsidR="00053D93" w:rsidRDefault="00260B75">
      <w:pPr>
        <w:spacing w:after="39"/>
        <w:ind w:left="1670"/>
      </w:pPr>
      <w:r>
        <w:rPr>
          <w:noProof/>
        </w:rPr>
        <mc:AlternateContent>
          <mc:Choice Requires="wpg">
            <w:drawing>
              <wp:inline distT="0" distB="0" distL="0" distR="0" wp14:anchorId="566607EF" wp14:editId="234B3EA8">
                <wp:extent cx="5385816" cy="9144"/>
                <wp:effectExtent l="0" t="0" r="0" b="0"/>
                <wp:docPr id="2458184" name="Group 2458184"/>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183" name="Shape 2458183"/>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84" style="width:424.08pt;height:0.719997pt;mso-position-horizontal-relative:char;mso-position-vertical-relative:line" coordsize="53858,91">
                <v:shape id="Shape 2458183" style="position:absolute;width:53858;height:91;left:0;top:0;" coordsize="5385816,9144" path="m0,4572l5385816,4572">
                  <v:stroke weight="0.719997pt" endcap="flat" joinstyle="miter" miterlimit="1" on="true" color="#000000"/>
                  <v:fill on="false" color="#000000"/>
                </v:shape>
              </v:group>
            </w:pict>
          </mc:Fallback>
        </mc:AlternateContent>
      </w:r>
    </w:p>
    <w:p w14:paraId="2B46F966" w14:textId="77777777" w:rsidR="00053D93" w:rsidRDefault="00260B75">
      <w:pPr>
        <w:tabs>
          <w:tab w:val="center" w:pos="2318"/>
        </w:tabs>
        <w:spacing w:after="17" w:line="247" w:lineRule="auto"/>
      </w:pPr>
      <w:r>
        <w:rPr>
          <w:sz w:val="26"/>
        </w:rPr>
        <w:t>i</w:t>
      </w:r>
      <w:r>
        <w:rPr>
          <w:sz w:val="26"/>
        </w:rPr>
        <w:tab/>
        <w:t>las compras.</w:t>
      </w:r>
    </w:p>
    <w:p w14:paraId="5CDA9A37" w14:textId="77777777" w:rsidR="00053D93" w:rsidRDefault="00260B75">
      <w:pPr>
        <w:spacing w:after="70" w:line="248" w:lineRule="auto"/>
        <w:ind w:left="7" w:firstLine="1440"/>
        <w:jc w:val="both"/>
      </w:pPr>
      <w:r>
        <w:rPr>
          <w:sz w:val="28"/>
        </w:rPr>
        <w:t xml:space="preserve">Sistema de Información de Contrataciones y Adquisiciones del Estado </w:t>
      </w:r>
      <w:r>
        <w:rPr>
          <w:noProof/>
        </w:rPr>
        <mc:AlternateContent>
          <mc:Choice Requires="wpg">
            <w:drawing>
              <wp:inline distT="0" distB="0" distL="0" distR="0" wp14:anchorId="18AF7CEA" wp14:editId="1F57D43B">
                <wp:extent cx="150876" cy="379476"/>
                <wp:effectExtent l="0" t="0" r="0" b="0"/>
                <wp:docPr id="2454509" name="Group 2454509"/>
                <wp:cNvGraphicFramePr/>
                <a:graphic xmlns:a="http://schemas.openxmlformats.org/drawingml/2006/main">
                  <a:graphicData uri="http://schemas.microsoft.com/office/word/2010/wordprocessingGroup">
                    <wpg:wgp>
                      <wpg:cNvGrpSpPr/>
                      <wpg:grpSpPr>
                        <a:xfrm>
                          <a:off x="0" y="0"/>
                          <a:ext cx="150876" cy="379476"/>
                          <a:chOff x="0" y="0"/>
                          <a:chExt cx="150876" cy="379476"/>
                        </a:xfrm>
                      </wpg:grpSpPr>
                      <wps:wsp>
                        <wps:cNvPr id="148280" name="Rectangle 148280"/>
                        <wps:cNvSpPr/>
                        <wps:spPr>
                          <a:xfrm>
                            <a:off x="0" y="0"/>
                            <a:ext cx="200665" cy="504703"/>
                          </a:xfrm>
                          <a:prstGeom prst="rect">
                            <a:avLst/>
                          </a:prstGeom>
                          <a:ln>
                            <a:noFill/>
                          </a:ln>
                        </wps:spPr>
                        <wps:txbx>
                          <w:txbxContent>
                            <w:p w14:paraId="6BACF491" w14:textId="77777777" w:rsidR="00053D93" w:rsidRDefault="00260B75">
                              <w:r>
                                <w:rPr>
                                  <w:sz w:val="312"/>
                                </w:rPr>
                                <w:t>i</w:t>
                              </w:r>
                            </w:p>
                          </w:txbxContent>
                        </wps:txbx>
                        <wps:bodyPr horzOverflow="overflow" vert="horz" lIns="0" tIns="0" rIns="0" bIns="0" rtlCol="0">
                          <a:noAutofit/>
                        </wps:bodyPr>
                      </wps:wsp>
                    </wpg:wgp>
                  </a:graphicData>
                </a:graphic>
              </wp:inline>
            </w:drawing>
          </mc:Choice>
          <mc:Fallback>
            <w:pict>
              <v:group w14:anchorId="18AF7CEA" id="Group 2454509" o:spid="_x0000_s1222" style="width:11.9pt;height:29.9pt;mso-position-horizontal-relative:char;mso-position-vertical-relative:line" coordsize="150876,3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">
                <v:rect id="Rectangle 148280" o:spid="_x0000_s1223" style="position:absolute;width:200665;height:504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" filled="f" stroked="f">
                  <v:textbox inset="0,0,0,0">
                    <w:txbxContent>
                      <w:p w14:paraId="6BACF491" w14:textId="77777777" w:rsidR="00053D93" w:rsidRDefault="00260B75">
                        <w:r>
                          <w:rPr>
                            <w:sz w:val="312"/>
                          </w:rPr>
                          <w:t>i</w:t>
                        </w:r>
                      </w:p>
                    </w:txbxContent>
                  </v:textbox>
                </v:rect>
                <w10:anchorlock/>
              </v:group>
            </w:pict>
          </mc:Fallback>
        </mc:AlternateContent>
      </w:r>
      <w:r>
        <w:rPr>
          <w:sz w:val="28"/>
        </w:rPr>
        <w:tab/>
        <w:t>-GUATECOMPRAS-</w:t>
      </w:r>
    </w:p>
    <w:p w14:paraId="495B19DB" w14:textId="77777777" w:rsidR="00053D93" w:rsidRDefault="00260B75">
      <w:pPr>
        <w:spacing w:after="294" w:line="247" w:lineRule="auto"/>
        <w:ind w:left="14" w:right="14" w:firstLine="4"/>
        <w:jc w:val="both"/>
      </w:pPr>
      <w:r>
        <w:rPr>
          <w:noProof/>
        </w:rPr>
        <mc:AlternateContent>
          <mc:Choice Requires="wpg">
            <w:drawing>
              <wp:anchor distT="0" distB="0" distL="114300" distR="114300" simplePos="0" relativeHeight="251770880" behindDoc="0" locked="0" layoutInCell="1" allowOverlap="1" wp14:anchorId="0775B042" wp14:editId="48F778C4">
                <wp:simplePos x="0" y="0"/>
                <wp:positionH relativeFrom="column">
                  <wp:posOffset>4572</wp:posOffset>
                </wp:positionH>
                <wp:positionV relativeFrom="paragraph">
                  <wp:posOffset>569367</wp:posOffset>
                </wp:positionV>
                <wp:extent cx="155448" cy="374904"/>
                <wp:effectExtent l="0" t="0" r="0" b="0"/>
                <wp:wrapSquare wrapText="bothSides"/>
                <wp:docPr id="2454510" name="Group 2454510"/>
                <wp:cNvGraphicFramePr/>
                <a:graphic xmlns:a="http://schemas.openxmlformats.org/drawingml/2006/main">
                  <a:graphicData uri="http://schemas.microsoft.com/office/word/2010/wordprocessingGroup">
                    <wpg:wgp>
                      <wpg:cNvGrpSpPr/>
                      <wpg:grpSpPr>
                        <a:xfrm>
                          <a:off x="0" y="0"/>
                          <a:ext cx="155448" cy="374904"/>
                          <a:chOff x="0" y="0"/>
                          <a:chExt cx="155448" cy="374904"/>
                        </a:xfrm>
                      </wpg:grpSpPr>
                      <wps:wsp>
                        <wps:cNvPr id="148281" name="Rectangle 148281"/>
                        <wps:cNvSpPr/>
                        <wps:spPr>
                          <a:xfrm>
                            <a:off x="0" y="0"/>
                            <a:ext cx="206746" cy="498622"/>
                          </a:xfrm>
                          <a:prstGeom prst="rect">
                            <a:avLst/>
                          </a:prstGeom>
                          <a:ln>
                            <a:noFill/>
                          </a:ln>
                        </wps:spPr>
                        <wps:txbx>
                          <w:txbxContent>
                            <w:p w14:paraId="6378E70C" w14:textId="77777777" w:rsidR="00053D93" w:rsidRDefault="00260B75">
                              <w:r>
                                <w:rPr>
                                  <w:sz w:val="322"/>
                                </w:rPr>
                                <w:t>i</w:t>
                              </w:r>
                            </w:p>
                          </w:txbxContent>
                        </wps:txbx>
                        <wps:bodyPr horzOverflow="overflow" vert="horz" lIns="0" tIns="0" rIns="0" bIns="0" rtlCol="0">
                          <a:noAutofit/>
                        </wps:bodyPr>
                      </wps:wsp>
                    </wpg:wgp>
                  </a:graphicData>
                </a:graphic>
              </wp:anchor>
            </w:drawing>
          </mc:Choice>
          <mc:Fallback>
            <w:pict>
              <v:group w14:anchorId="0775B042" id="Group 2454510" o:spid="_x0000_s1224" style="position:absolute;left:0;text-align:left;margin-left:.35pt;margin-top:44.85pt;width:12.25pt;height:29.5pt;z-index:251770880;mso-position-horizontal-relative:text;mso-position-vertical-relative:text" coordsize="155448,37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">
                <v:rect id="Rectangle 148281" o:spid="_x0000_s1225" style="position:absolute;width:206746;height:498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" filled="f" stroked="f">
                  <v:textbox inset="0,0,0,0">
                    <w:txbxContent>
                      <w:p w14:paraId="6378E70C" w14:textId="77777777" w:rsidR="00053D93" w:rsidRDefault="00260B75">
                        <w:r>
                          <w:rPr>
                            <w:sz w:val="322"/>
                          </w:rPr>
                          <w:t>i</w:t>
                        </w:r>
                      </w:p>
                    </w:txbxContent>
                  </v:textbox>
                </v:rect>
                <w10:wrap type="square"/>
              </v:group>
            </w:pict>
          </mc:Fallback>
        </mc:AlternateContent>
      </w:r>
      <w:r>
        <w:rPr>
          <w:sz w:val="26"/>
        </w:rPr>
        <w:t>Se verificó que la entidad publicara y gestionara en el Sistema de Información de Contrataciones y Adquisiciones del Estado, denominado GUATECOMPRAS, los anuncios y/o convocatorias y toda la información relacionada con la compra, venta y contrataciones de bienes, suministros, obras y servicios que se requirieron, en el período comprendido del 01 de enero al 31 de diciembre de 2024; y según reportes generados de dicho sistema, la entidad realizó en total 32,805 publicaciones, de la siguiente forma: publicaciones con Número de Operación Guatecompras NOG: 1 en evaluación, 449 prescindidos, 130 desiertos, 97 no adjudicados y 1892 adjudicados y con Número de Publicación Guatecompras NPG: 4,468 anulados y 25,768 adjudicados.</w:t>
      </w:r>
    </w:p>
    <w:p w14:paraId="46FBB349" w14:textId="77777777" w:rsidR="00053D93" w:rsidRDefault="00260B75">
      <w:pPr>
        <w:pStyle w:val="Ttulo2"/>
        <w:spacing w:after="284" w:line="261" w:lineRule="auto"/>
        <w:ind w:left="1687" w:right="7"/>
        <w:jc w:val="both"/>
      </w:pPr>
      <w:r>
        <w:rPr>
          <w:noProof/>
        </w:rPr>
        <mc:AlternateContent>
          <mc:Choice Requires="wpg">
            <w:drawing>
              <wp:anchor distT="0" distB="0" distL="114300" distR="114300" simplePos="0" relativeHeight="251771904" behindDoc="0" locked="0" layoutInCell="1" allowOverlap="1" wp14:anchorId="58E0D829" wp14:editId="44D17862">
                <wp:simplePos x="0" y="0"/>
                <wp:positionH relativeFrom="column">
                  <wp:posOffset>4572</wp:posOffset>
                </wp:positionH>
                <wp:positionV relativeFrom="paragraph">
                  <wp:posOffset>-25528</wp:posOffset>
                </wp:positionV>
                <wp:extent cx="150876" cy="370332"/>
                <wp:effectExtent l="0" t="0" r="0" b="0"/>
                <wp:wrapSquare wrapText="bothSides"/>
                <wp:docPr id="2454511" name="Group 2454511"/>
                <wp:cNvGraphicFramePr/>
                <a:graphic xmlns:a="http://schemas.openxmlformats.org/drawingml/2006/main">
                  <a:graphicData uri="http://schemas.microsoft.com/office/word/2010/wordprocessingGroup">
                    <wpg:wgp>
                      <wpg:cNvGrpSpPr/>
                      <wpg:grpSpPr>
                        <a:xfrm>
                          <a:off x="0" y="0"/>
                          <a:ext cx="150876" cy="370332"/>
                          <a:chOff x="0" y="0"/>
                          <a:chExt cx="150876" cy="370332"/>
                        </a:xfrm>
                      </wpg:grpSpPr>
                      <wps:wsp>
                        <wps:cNvPr id="148282" name="Rectangle 148282"/>
                        <wps:cNvSpPr/>
                        <wps:spPr>
                          <a:xfrm>
                            <a:off x="0" y="0"/>
                            <a:ext cx="200665" cy="492542"/>
                          </a:xfrm>
                          <a:prstGeom prst="rect">
                            <a:avLst/>
                          </a:prstGeom>
                          <a:ln>
                            <a:noFill/>
                          </a:ln>
                        </wps:spPr>
                        <wps:txbx>
                          <w:txbxContent>
                            <w:p w14:paraId="55125A34" w14:textId="77777777" w:rsidR="00053D93" w:rsidRDefault="00260B75">
                              <w:r>
                                <w:rPr>
                                  <w:sz w:val="312"/>
                                </w:rPr>
                                <w:t>i</w:t>
                              </w:r>
                            </w:p>
                          </w:txbxContent>
                        </wps:txbx>
                        <wps:bodyPr horzOverflow="overflow" vert="horz" lIns="0" tIns="0" rIns="0" bIns="0" rtlCol="0">
                          <a:noAutofit/>
                        </wps:bodyPr>
                      </wps:wsp>
                    </wpg:wgp>
                  </a:graphicData>
                </a:graphic>
              </wp:anchor>
            </w:drawing>
          </mc:Choice>
          <mc:Fallback>
            <w:pict>
              <v:group w14:anchorId="58E0D829" id="Group 2454511" o:spid="_x0000_s1226" style="position:absolute;left:0;text-align:left;margin-left:.35pt;margin-top:-2pt;width:11.9pt;height:29.15pt;z-index:251771904;mso-position-horizontal-relative:text;mso-position-vertical-relative:text" coordsize="150876,37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">
                <v:rect id="Rectangle 148282" o:spid="_x0000_s1227" style="position:absolute;width:200665;height:49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" filled="f" stroked="f">
                  <v:textbox inset="0,0,0,0">
                    <w:txbxContent>
                      <w:p w14:paraId="55125A34" w14:textId="77777777" w:rsidR="00053D93" w:rsidRDefault="00260B75">
                        <w:r>
                          <w:rPr>
                            <w:sz w:val="312"/>
                          </w:rPr>
                          <w:t>i</w:t>
                        </w:r>
                      </w:p>
                    </w:txbxContent>
                  </v:textbox>
                </v:rect>
                <w10:wrap type="square"/>
              </v:group>
            </w:pict>
          </mc:Fallback>
        </mc:AlternateContent>
      </w:r>
      <w:r>
        <w:rPr>
          <w:sz w:val="30"/>
        </w:rPr>
        <w:t>Sistema de Nómina, Registro de Servicios Personales, Estudios ylo Servicios Individuales y Otros Relacionados con el Recurso Humano -GUATENÓMINAS-</w:t>
      </w:r>
    </w:p>
    <w:p w14:paraId="4119D15C" w14:textId="77777777" w:rsidR="00053D93" w:rsidRDefault="00260B75">
      <w:pPr>
        <w:spacing w:after="309" w:line="247" w:lineRule="auto"/>
        <w:ind w:left="1692" w:right="14" w:firstLine="4"/>
        <w:jc w:val="both"/>
      </w:pPr>
      <w:r>
        <w:rPr>
          <w:sz w:val="26"/>
        </w:rPr>
        <w:t>Se verificó que la entidad utilizara el sistema de GUATENÓMINAS, para el registro y movimiento de personal.</w:t>
      </w:r>
    </w:p>
    <w:p w14:paraId="16818819" w14:textId="77777777" w:rsidR="00053D93" w:rsidRDefault="00260B75">
      <w:pPr>
        <w:spacing w:after="277" w:line="248" w:lineRule="auto"/>
        <w:ind w:left="1709" w:hanging="3"/>
        <w:jc w:val="both"/>
      </w:pPr>
      <w:r>
        <w:rPr>
          <w:sz w:val="28"/>
        </w:rPr>
        <w:t>Sistema Nacional de Inversión Pública -SNIP-</w:t>
      </w:r>
    </w:p>
    <w:p w14:paraId="024EDA1D" w14:textId="77777777" w:rsidR="00053D93" w:rsidRDefault="00260B75">
      <w:pPr>
        <w:spacing w:after="280" w:line="247" w:lineRule="auto"/>
        <w:ind w:left="1692" w:right="14" w:firstLine="4"/>
        <w:jc w:val="both"/>
      </w:pPr>
      <w:r>
        <w:rPr>
          <w:sz w:val="26"/>
        </w:rPr>
        <w:t>Se verificó que la entidad registrara en el Sistema Nacional de Inversión Pública -SNIP-, la ejecución de obras de infraestructura.</w:t>
      </w:r>
    </w:p>
    <w:p w14:paraId="26123266" w14:textId="77777777" w:rsidR="00053D93" w:rsidRDefault="00260B75">
      <w:pPr>
        <w:spacing w:after="608" w:line="248" w:lineRule="auto"/>
        <w:ind w:left="1709" w:hanging="3"/>
        <w:jc w:val="both"/>
      </w:pPr>
      <w:r>
        <w:rPr>
          <w:sz w:val="28"/>
        </w:rPr>
        <w:t>Sistema Nacional de Oposición e-Sino</w:t>
      </w:r>
    </w:p>
    <w:p w14:paraId="23243ED0" w14:textId="77777777" w:rsidR="00053D93" w:rsidRDefault="00260B75">
      <w:pPr>
        <w:spacing w:after="221" w:line="301" w:lineRule="auto"/>
        <w:ind w:left="1634" w:right="14" w:hanging="1620"/>
        <w:jc w:val="both"/>
      </w:pPr>
      <w:r>
        <w:rPr>
          <w:rFonts w:ascii="Times New Roman" w:eastAsia="Times New Roman" w:hAnsi="Times New Roman" w:cs="Times New Roman"/>
          <w:sz w:val="26"/>
        </w:rPr>
        <w:t xml:space="preserve">1 </w:t>
      </w:r>
      <w:r>
        <w:rPr>
          <w:sz w:val="26"/>
        </w:rPr>
        <w:t>Se verificó el sistema informático desarrollado para facilitar la participación y consulta de 'os maestros interesados en ocupar puestos docentes con cargo en el renglón presupuestario 01 1 personal permanente.</w:t>
      </w:r>
    </w:p>
    <w:p w14:paraId="408A6E2E" w14:textId="77777777" w:rsidR="00053D93" w:rsidRDefault="00260B75">
      <w:pPr>
        <w:spacing w:after="89" w:line="247" w:lineRule="auto"/>
        <w:ind w:left="1685" w:right="14" w:firstLine="4"/>
        <w:jc w:val="both"/>
      </w:pPr>
      <w:r>
        <w:rPr>
          <w:sz w:val="26"/>
        </w:rPr>
        <w:t>Aspectos de cumplimiento a evaluar</w:t>
      </w:r>
    </w:p>
    <w:p w14:paraId="19B1B288" w14:textId="77777777" w:rsidR="00053D93" w:rsidRDefault="00260B75">
      <w:pPr>
        <w:spacing w:after="3"/>
        <w:ind w:left="74" w:right="3485" w:hanging="10"/>
      </w:pPr>
      <w:r>
        <w:rPr>
          <w:rFonts w:ascii="Times New Roman" w:eastAsia="Times New Roman" w:hAnsi="Times New Roman" w:cs="Times New Roman"/>
          <w:sz w:val="70"/>
        </w:rPr>
        <w:t>1</w:t>
      </w:r>
    </w:p>
    <w:p w14:paraId="511ABA63" w14:textId="77777777" w:rsidR="00053D93" w:rsidRDefault="00260B75">
      <w:pPr>
        <w:spacing w:after="267" w:line="247" w:lineRule="auto"/>
        <w:ind w:left="1699" w:right="14" w:firstLine="4"/>
        <w:jc w:val="both"/>
      </w:pPr>
      <w:r>
        <w:rPr>
          <w:sz w:val="26"/>
        </w:rPr>
        <w:t>Plan Operativo Anual</w:t>
      </w:r>
    </w:p>
    <w:p w14:paraId="096D3D89" w14:textId="77777777" w:rsidR="00053D93" w:rsidRDefault="00260B75">
      <w:pPr>
        <w:spacing w:after="17" w:line="247" w:lineRule="auto"/>
        <w:ind w:left="1692" w:right="14" w:firstLine="4"/>
        <w:jc w:val="both"/>
      </w:pPr>
      <w:r>
        <w:rPr>
          <w:sz w:val="26"/>
        </w:rPr>
        <w:lastRenderedPageBreak/>
        <w:t>Se verificó que el Plan Operativo Anual -POA- cumpla con los requisitos establecidos para su elaboración, su ampliación y presentación ante la Secretaría de Planificación y Programación de la Presidencia -SEGEPLAN- y la</w:t>
      </w:r>
    </w:p>
    <w:p w14:paraId="3EDE74E1" w14:textId="77777777" w:rsidR="00053D93" w:rsidRDefault="00260B75">
      <w:pPr>
        <w:spacing w:after="17" w:line="247" w:lineRule="auto"/>
        <w:ind w:left="1699" w:right="14" w:firstLine="4"/>
        <w:jc w:val="both"/>
      </w:pPr>
      <w:r>
        <w:rPr>
          <w:sz w:val="26"/>
        </w:rPr>
        <w:t>Contraloría General de Cuentas. Asimismo, se evaluó si el presupuesto de</w:t>
      </w:r>
    </w:p>
    <w:tbl>
      <w:tblPr>
        <w:tblStyle w:val="TableGrid"/>
        <w:tblW w:w="9439" w:type="dxa"/>
        <w:tblInd w:w="742" w:type="dxa"/>
        <w:tblLook w:val="04A0" w:firstRow="1" w:lastRow="0" w:firstColumn="1" w:lastColumn="0" w:noHBand="0" w:noVBand="1"/>
      </w:tblPr>
      <w:tblGrid>
        <w:gridCol w:w="1778"/>
        <w:gridCol w:w="10519"/>
      </w:tblGrid>
      <w:tr w:rsidR="00053D93" w14:paraId="1706D1B5" w14:textId="77777777">
        <w:trPr>
          <w:trHeight w:val="641"/>
        </w:trPr>
        <w:tc>
          <w:tcPr>
            <w:tcW w:w="1796" w:type="dxa"/>
            <w:tcBorders>
              <w:top w:val="nil"/>
              <w:left w:val="nil"/>
              <w:bottom w:val="nil"/>
              <w:right w:val="nil"/>
            </w:tcBorders>
          </w:tcPr>
          <w:p w14:paraId="7736B9D8" w14:textId="77777777" w:rsidR="00053D93" w:rsidRDefault="00260B75">
            <w:r>
              <w:rPr>
                <w:noProof/>
              </w:rPr>
              <w:drawing>
                <wp:inline distT="0" distB="0" distL="0" distR="0" wp14:anchorId="33041920" wp14:editId="3F44AC14">
                  <wp:extent cx="1129284" cy="406908"/>
                  <wp:effectExtent l="0" t="0" r="0" b="0"/>
                  <wp:docPr id="150700" name="Picture 150700"/>
                  <wp:cNvGraphicFramePr/>
                  <a:graphic xmlns:a="http://schemas.openxmlformats.org/drawingml/2006/main">
                    <a:graphicData uri="http://schemas.openxmlformats.org/drawingml/2006/picture">
                      <pic:pic xmlns:pic="http://schemas.openxmlformats.org/drawingml/2006/picture">
                        <pic:nvPicPr>
                          <pic:cNvPr id="150700" name="Picture 150700"/>
                          <pic:cNvPicPr/>
                        </pic:nvPicPr>
                        <pic:blipFill>
                          <a:blip r:embed="rId182"/>
                          <a:stretch>
                            <a:fillRect/>
                          </a:stretch>
                        </pic:blipFill>
                        <pic:spPr>
                          <a:xfrm>
                            <a:off x="0" y="0"/>
                            <a:ext cx="1129284" cy="406908"/>
                          </a:xfrm>
                          <a:prstGeom prst="rect">
                            <a:avLst/>
                          </a:prstGeom>
                        </pic:spPr>
                      </pic:pic>
                    </a:graphicData>
                  </a:graphic>
                </wp:inline>
              </w:drawing>
            </w:r>
          </w:p>
        </w:tc>
        <w:tc>
          <w:tcPr>
            <w:tcW w:w="7643" w:type="dxa"/>
            <w:tcBorders>
              <w:top w:val="nil"/>
              <w:left w:val="nil"/>
              <w:bottom w:val="nil"/>
              <w:right w:val="nil"/>
            </w:tcBorders>
          </w:tcPr>
          <w:p w14:paraId="09849912" w14:textId="77777777" w:rsidR="00053D93" w:rsidRDefault="00053D93">
            <w:pPr>
              <w:ind w:left="-2876" w:right="10519"/>
            </w:pPr>
          </w:p>
          <w:tbl>
            <w:tblPr>
              <w:tblStyle w:val="TableGrid"/>
              <w:tblW w:w="7625" w:type="dxa"/>
              <w:tblInd w:w="18" w:type="dxa"/>
              <w:tblCellMar>
                <w:top w:w="23" w:type="dxa"/>
                <w:left w:w="1735" w:type="dxa"/>
                <w:right w:w="115" w:type="dxa"/>
              </w:tblCellMar>
              <w:tblLook w:val="04A0" w:firstRow="1" w:lastRow="0" w:firstColumn="1" w:lastColumn="0" w:noHBand="0" w:noVBand="1"/>
            </w:tblPr>
            <w:tblGrid>
              <w:gridCol w:w="7625"/>
            </w:tblGrid>
            <w:tr w:rsidR="00053D93" w14:paraId="3D1722EB" w14:textId="77777777">
              <w:trPr>
                <w:trHeight w:val="36"/>
              </w:trPr>
              <w:tc>
                <w:tcPr>
                  <w:tcW w:w="7625" w:type="dxa"/>
                  <w:tcBorders>
                    <w:top w:val="nil"/>
                    <w:left w:val="single" w:sz="2" w:space="0" w:color="000000"/>
                    <w:bottom w:val="single" w:sz="2" w:space="0" w:color="000000"/>
                    <w:right w:val="nil"/>
                  </w:tcBorders>
                </w:tcPr>
                <w:p w14:paraId="3EF0F5EC" w14:textId="77777777" w:rsidR="00053D93" w:rsidRDefault="00053D93"/>
              </w:tc>
            </w:tr>
            <w:tr w:rsidR="00053D93" w14:paraId="00598213" w14:textId="77777777">
              <w:trPr>
                <w:trHeight w:val="598"/>
              </w:trPr>
              <w:tc>
                <w:tcPr>
                  <w:tcW w:w="7625" w:type="dxa"/>
                  <w:tcBorders>
                    <w:top w:val="single" w:sz="2" w:space="0" w:color="000000"/>
                    <w:left w:val="single" w:sz="2" w:space="0" w:color="000000"/>
                    <w:bottom w:val="nil"/>
                    <w:right w:val="nil"/>
                  </w:tcBorders>
                </w:tcPr>
                <w:p w14:paraId="3BA37673" w14:textId="77777777" w:rsidR="00053D93" w:rsidRDefault="00260B75">
                  <w:pPr>
                    <w:ind w:left="835"/>
                  </w:pPr>
                  <w:r>
                    <w:rPr>
                      <w:sz w:val="14"/>
                    </w:rPr>
                    <w:t>WNISTERIO DE EDUCACION</w:t>
                  </w:r>
                </w:p>
                <w:p w14:paraId="0903F4E5" w14:textId="77777777" w:rsidR="00053D93" w:rsidRDefault="00260B75">
                  <w:pPr>
                    <w:ind w:left="338"/>
                  </w:pPr>
                  <w:r>
                    <w:rPr>
                      <w:sz w:val="14"/>
                    </w:rPr>
                    <w:t>AUDITORIA FINANCIERA Y DE CUMPLIMIENTO</w:t>
                  </w:r>
                </w:p>
                <w:p w14:paraId="77D6A3DE" w14:textId="77777777" w:rsidR="00053D93" w:rsidRDefault="00260B75">
                  <w:r>
                    <w:rPr>
                      <w:sz w:val="14"/>
                    </w:rPr>
                    <w:t>PERIODO DEL 01 DE ENERO AL 31 DE DICIEMBRE OE 2024</w:t>
                  </w:r>
                </w:p>
              </w:tc>
            </w:tr>
          </w:tbl>
          <w:p w14:paraId="04DFC149" w14:textId="77777777" w:rsidR="00053D93" w:rsidRDefault="00053D93"/>
        </w:tc>
      </w:tr>
    </w:tbl>
    <w:p w14:paraId="7BA7D9D6" w14:textId="77777777" w:rsidR="00053D93" w:rsidRDefault="00260B75">
      <w:pPr>
        <w:spacing w:after="3"/>
        <w:ind w:left="74" w:right="3485" w:hanging="10"/>
      </w:pPr>
      <w:r>
        <w:rPr>
          <w:rFonts w:ascii="Times New Roman" w:eastAsia="Times New Roman" w:hAnsi="Times New Roman" w:cs="Times New Roman"/>
          <w:sz w:val="70"/>
        </w:rPr>
        <w:t>1</w:t>
      </w:r>
    </w:p>
    <w:p w14:paraId="715CF2E5" w14:textId="77777777" w:rsidR="00053D93" w:rsidRDefault="00260B75">
      <w:pPr>
        <w:spacing w:after="40"/>
        <w:ind w:left="1642"/>
      </w:pPr>
      <w:r>
        <w:rPr>
          <w:noProof/>
        </w:rPr>
        <mc:AlternateContent>
          <mc:Choice Requires="wpg">
            <w:drawing>
              <wp:inline distT="0" distB="0" distL="0" distR="0" wp14:anchorId="488A51BC" wp14:editId="7D6E644C">
                <wp:extent cx="5381245" cy="9144"/>
                <wp:effectExtent l="0" t="0" r="0" b="0"/>
                <wp:docPr id="2458188" name="Group 2458188"/>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187" name="Shape 2458187"/>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88" style="width:423.72pt;height:0.720001pt;mso-position-horizontal-relative:char;mso-position-vertical-relative:line" coordsize="53812,91">
                <v:shape id="Shape 2458187" style="position:absolute;width:53812;height:91;left:0;top:0;" coordsize="5381245,9144" path="m0,4572l5381245,4572">
                  <v:stroke weight="0.720001pt" endcap="flat" joinstyle="miter" miterlimit="1" on="true" color="#000000"/>
                  <v:fill on="false" color="#000000"/>
                </v:shape>
              </v:group>
            </w:pict>
          </mc:Fallback>
        </mc:AlternateContent>
      </w:r>
    </w:p>
    <w:p w14:paraId="15DF1F13" w14:textId="77777777" w:rsidR="00053D93" w:rsidRDefault="00260B75">
      <w:pPr>
        <w:spacing w:after="283" w:line="247" w:lineRule="auto"/>
        <w:ind w:left="1656" w:right="14" w:firstLine="4"/>
        <w:jc w:val="both"/>
      </w:pPr>
      <w:r>
        <w:rPr>
          <w:sz w:val="26"/>
        </w:rPr>
        <w:t>egresos se ejecutó con razonabilidad y si las transferencias corrientes se efectuaron oportunamente y de acuerdo con la normativa legal.</w:t>
      </w:r>
    </w:p>
    <w:p w14:paraId="2BB7D453" w14:textId="77777777" w:rsidR="00053D93" w:rsidRDefault="00260B75">
      <w:pPr>
        <w:spacing w:after="289" w:line="248" w:lineRule="auto"/>
        <w:ind w:left="1709" w:hanging="3"/>
        <w:jc w:val="both"/>
      </w:pPr>
      <w:r>
        <w:rPr>
          <w:sz w:val="28"/>
        </w:rPr>
        <w:t>Convenios</w:t>
      </w:r>
    </w:p>
    <w:p w14:paraId="46594560" w14:textId="77777777" w:rsidR="00053D93" w:rsidRDefault="00260B75">
      <w:pPr>
        <w:spacing w:after="17" w:line="247" w:lineRule="auto"/>
        <w:ind w:left="1663" w:right="14" w:firstLine="4"/>
        <w:jc w:val="both"/>
      </w:pPr>
      <w:r>
        <w:rPr>
          <w:sz w:val="26"/>
        </w:rPr>
        <w:t>La entidad informó que cuenta con 52 convenios para el traslado de fondos a Organizaciones no Gubernamentales, las cuales ascienden a la cantidad de Q215,359,740.52, según cuadro siguiente:</w:t>
      </w:r>
    </w:p>
    <w:tbl>
      <w:tblPr>
        <w:tblStyle w:val="TableGrid"/>
        <w:tblW w:w="9401" w:type="dxa"/>
        <w:tblInd w:w="742" w:type="dxa"/>
        <w:tblLook w:val="04A0" w:firstRow="1" w:lastRow="0" w:firstColumn="1" w:lastColumn="0" w:noHBand="0" w:noVBand="1"/>
      </w:tblPr>
      <w:tblGrid>
        <w:gridCol w:w="1015"/>
        <w:gridCol w:w="10482"/>
      </w:tblGrid>
      <w:tr w:rsidR="00053D93" w14:paraId="5111B9A1" w14:textId="77777777">
        <w:trPr>
          <w:trHeight w:val="11105"/>
        </w:trPr>
        <w:tc>
          <w:tcPr>
            <w:tcW w:w="1021" w:type="dxa"/>
            <w:tcBorders>
              <w:top w:val="nil"/>
              <w:left w:val="nil"/>
              <w:bottom w:val="nil"/>
              <w:right w:val="nil"/>
            </w:tcBorders>
            <w:vAlign w:val="bottom"/>
          </w:tcPr>
          <w:p w14:paraId="69C749D1" w14:textId="77777777" w:rsidR="00053D93" w:rsidRDefault="00260B75">
            <w:r>
              <w:rPr>
                <w:noProof/>
              </w:rPr>
              <w:lastRenderedPageBreak/>
              <w:drawing>
                <wp:inline distT="0" distB="0" distL="0" distR="0" wp14:anchorId="0F0AB0FF" wp14:editId="2834E401">
                  <wp:extent cx="644652" cy="402336"/>
                  <wp:effectExtent l="0" t="0" r="0" b="0"/>
                  <wp:docPr id="154779" name="Picture 154779"/>
                  <wp:cNvGraphicFramePr/>
                  <a:graphic xmlns:a="http://schemas.openxmlformats.org/drawingml/2006/main">
                    <a:graphicData uri="http://schemas.openxmlformats.org/drawingml/2006/picture">
                      <pic:pic xmlns:pic="http://schemas.openxmlformats.org/drawingml/2006/picture">
                        <pic:nvPicPr>
                          <pic:cNvPr id="154779" name="Picture 154779"/>
                          <pic:cNvPicPr/>
                        </pic:nvPicPr>
                        <pic:blipFill>
                          <a:blip r:embed="rId183"/>
                          <a:stretch>
                            <a:fillRect/>
                          </a:stretch>
                        </pic:blipFill>
                        <pic:spPr>
                          <a:xfrm>
                            <a:off x="0" y="0"/>
                            <a:ext cx="644652" cy="402336"/>
                          </a:xfrm>
                          <a:prstGeom prst="rect">
                            <a:avLst/>
                          </a:prstGeom>
                        </pic:spPr>
                      </pic:pic>
                    </a:graphicData>
                  </a:graphic>
                </wp:inline>
              </w:drawing>
            </w:r>
          </w:p>
        </w:tc>
        <w:tc>
          <w:tcPr>
            <w:tcW w:w="8379" w:type="dxa"/>
            <w:tcBorders>
              <w:top w:val="nil"/>
              <w:left w:val="nil"/>
              <w:bottom w:val="nil"/>
              <w:right w:val="nil"/>
            </w:tcBorders>
          </w:tcPr>
          <w:p w14:paraId="1D67BDE1" w14:textId="77777777" w:rsidR="00053D93" w:rsidRDefault="00053D93">
            <w:pPr>
              <w:ind w:left="-2101" w:right="10481"/>
            </w:pPr>
          </w:p>
          <w:tbl>
            <w:tblPr>
              <w:tblStyle w:val="TableGrid"/>
              <w:tblW w:w="8374" w:type="dxa"/>
              <w:tblInd w:w="6" w:type="dxa"/>
              <w:tblCellMar>
                <w:right w:w="8" w:type="dxa"/>
              </w:tblCellMar>
              <w:tblLook w:val="04A0" w:firstRow="1" w:lastRow="0" w:firstColumn="1" w:lastColumn="0" w:noHBand="0" w:noVBand="1"/>
            </w:tblPr>
            <w:tblGrid>
              <w:gridCol w:w="249"/>
              <w:gridCol w:w="348"/>
              <w:gridCol w:w="179"/>
              <w:gridCol w:w="780"/>
              <w:gridCol w:w="917"/>
              <w:gridCol w:w="2186"/>
              <w:gridCol w:w="2278"/>
              <w:gridCol w:w="1437"/>
            </w:tblGrid>
            <w:tr w:rsidR="00053D93" w14:paraId="58B55F07" w14:textId="77777777">
              <w:trPr>
                <w:trHeight w:val="576"/>
              </w:trPr>
              <w:tc>
                <w:tcPr>
                  <w:tcW w:w="248" w:type="dxa"/>
                  <w:tcBorders>
                    <w:top w:val="single" w:sz="2" w:space="0" w:color="000000"/>
                    <w:left w:val="single" w:sz="2" w:space="0" w:color="000000"/>
                    <w:bottom w:val="single" w:sz="2" w:space="0" w:color="000000"/>
                    <w:right w:val="single" w:sz="2" w:space="0" w:color="000000"/>
                  </w:tcBorders>
                  <w:vAlign w:val="bottom"/>
                </w:tcPr>
                <w:p w14:paraId="2FEC2A3F" w14:textId="77777777" w:rsidR="00053D93" w:rsidRDefault="00260B75">
                  <w:pPr>
                    <w:ind w:left="-26"/>
                    <w:jc w:val="both"/>
                  </w:pPr>
                  <w:r>
                    <w:rPr>
                      <w:sz w:val="18"/>
                    </w:rPr>
                    <w:t>No.</w:t>
                  </w:r>
                </w:p>
              </w:tc>
              <w:tc>
                <w:tcPr>
                  <w:tcW w:w="1307" w:type="dxa"/>
                  <w:gridSpan w:val="3"/>
                  <w:tcBorders>
                    <w:top w:val="single" w:sz="2" w:space="0" w:color="000000"/>
                    <w:left w:val="single" w:sz="2" w:space="0" w:color="000000"/>
                    <w:bottom w:val="single" w:sz="2" w:space="0" w:color="000000"/>
                    <w:right w:val="single" w:sz="2" w:space="0" w:color="000000"/>
                  </w:tcBorders>
                  <w:vAlign w:val="bottom"/>
                </w:tcPr>
                <w:p w14:paraId="121D6DA2" w14:textId="77777777" w:rsidR="00053D93" w:rsidRDefault="00260B75">
                  <w:pPr>
                    <w:jc w:val="center"/>
                  </w:pPr>
                  <w:r>
                    <w:rPr>
                      <w:sz w:val="18"/>
                    </w:rPr>
                    <w:t>NÚMERO CONVENIO</w:t>
                  </w:r>
                </w:p>
              </w:tc>
              <w:tc>
                <w:tcPr>
                  <w:tcW w:w="917" w:type="dxa"/>
                  <w:tcBorders>
                    <w:top w:val="single" w:sz="2" w:space="0" w:color="000000"/>
                    <w:left w:val="single" w:sz="2" w:space="0" w:color="000000"/>
                    <w:bottom w:val="single" w:sz="2" w:space="0" w:color="000000"/>
                    <w:right w:val="single" w:sz="2" w:space="0" w:color="000000"/>
                  </w:tcBorders>
                  <w:vAlign w:val="bottom"/>
                </w:tcPr>
                <w:p w14:paraId="0E03A2EA" w14:textId="77777777" w:rsidR="00053D93" w:rsidRDefault="00260B75">
                  <w:pPr>
                    <w:ind w:right="18"/>
                    <w:jc w:val="center"/>
                  </w:pPr>
                  <w:r>
                    <w:rPr>
                      <w:sz w:val="20"/>
                    </w:rPr>
                    <w:t>FECHA</w:t>
                  </w:r>
                </w:p>
              </w:tc>
              <w:tc>
                <w:tcPr>
                  <w:tcW w:w="2186" w:type="dxa"/>
                  <w:tcBorders>
                    <w:top w:val="single" w:sz="2" w:space="0" w:color="000000"/>
                    <w:left w:val="single" w:sz="2" w:space="0" w:color="000000"/>
                    <w:bottom w:val="single" w:sz="2" w:space="0" w:color="000000"/>
                    <w:right w:val="single" w:sz="2" w:space="0" w:color="000000"/>
                  </w:tcBorders>
                  <w:vAlign w:val="bottom"/>
                </w:tcPr>
                <w:p w14:paraId="3C8DB44A" w14:textId="77777777" w:rsidR="00053D93" w:rsidRDefault="00260B75">
                  <w:pPr>
                    <w:ind w:left="173"/>
                  </w:pPr>
                  <w:r>
                    <w:rPr>
                      <w:sz w:val="18"/>
                    </w:rPr>
                    <w:t>ORGANISMO EJECUTOR</w:t>
                  </w:r>
                </w:p>
              </w:tc>
              <w:tc>
                <w:tcPr>
                  <w:tcW w:w="2278" w:type="dxa"/>
                  <w:tcBorders>
                    <w:top w:val="single" w:sz="2" w:space="0" w:color="000000"/>
                    <w:left w:val="single" w:sz="2" w:space="0" w:color="000000"/>
                    <w:bottom w:val="single" w:sz="2" w:space="0" w:color="000000"/>
                    <w:right w:val="single" w:sz="2" w:space="0" w:color="000000"/>
                  </w:tcBorders>
                  <w:vAlign w:val="bottom"/>
                </w:tcPr>
                <w:p w14:paraId="234A4716" w14:textId="77777777" w:rsidR="00053D93" w:rsidRDefault="00260B75">
                  <w:pPr>
                    <w:ind w:right="18"/>
                    <w:jc w:val="center"/>
                  </w:pPr>
                  <w:r>
                    <w:rPr>
                      <w:sz w:val="20"/>
                    </w:rPr>
                    <w:t>FINALIDAD</w:t>
                  </w:r>
                </w:p>
              </w:tc>
              <w:tc>
                <w:tcPr>
                  <w:tcW w:w="1437" w:type="dxa"/>
                  <w:tcBorders>
                    <w:top w:val="single" w:sz="2" w:space="0" w:color="000000"/>
                    <w:left w:val="single" w:sz="2" w:space="0" w:color="000000"/>
                    <w:bottom w:val="single" w:sz="2" w:space="0" w:color="000000"/>
                    <w:right w:val="single" w:sz="2" w:space="0" w:color="000000"/>
                  </w:tcBorders>
                  <w:vAlign w:val="bottom"/>
                </w:tcPr>
                <w:p w14:paraId="7395E66A" w14:textId="77777777" w:rsidR="00053D93" w:rsidRDefault="00260B75">
                  <w:pPr>
                    <w:ind w:right="40"/>
                    <w:jc w:val="center"/>
                  </w:pPr>
                  <w:r>
                    <w:rPr>
                      <w:sz w:val="20"/>
                    </w:rPr>
                    <w:t>VALOR Q.</w:t>
                  </w:r>
                </w:p>
              </w:tc>
            </w:tr>
            <w:tr w:rsidR="00053D93" w14:paraId="6B883CD7" w14:textId="77777777">
              <w:trPr>
                <w:trHeight w:val="5158"/>
              </w:trPr>
              <w:tc>
                <w:tcPr>
                  <w:tcW w:w="248" w:type="dxa"/>
                  <w:tcBorders>
                    <w:top w:val="single" w:sz="2" w:space="0" w:color="000000"/>
                    <w:left w:val="single" w:sz="2" w:space="0" w:color="000000"/>
                    <w:bottom w:val="single" w:sz="2" w:space="0" w:color="000000"/>
                    <w:right w:val="single" w:sz="2" w:space="0" w:color="000000"/>
                  </w:tcBorders>
                  <w:vAlign w:val="bottom"/>
                </w:tcPr>
                <w:p w14:paraId="410B6663" w14:textId="77777777" w:rsidR="00053D93" w:rsidRDefault="00260B75">
                  <w:pPr>
                    <w:ind w:left="68"/>
                  </w:pPr>
                  <w:r>
                    <w:rPr>
                      <w:rFonts w:ascii="Times New Roman" w:eastAsia="Times New Roman" w:hAnsi="Times New Roman" w:cs="Times New Roman"/>
                      <w:sz w:val="20"/>
                    </w:rPr>
                    <w:t>1</w:t>
                  </w:r>
                </w:p>
              </w:tc>
              <w:tc>
                <w:tcPr>
                  <w:tcW w:w="1307" w:type="dxa"/>
                  <w:gridSpan w:val="3"/>
                  <w:tcBorders>
                    <w:top w:val="single" w:sz="2" w:space="0" w:color="000000"/>
                    <w:left w:val="single" w:sz="2" w:space="0" w:color="000000"/>
                    <w:bottom w:val="single" w:sz="2" w:space="0" w:color="000000"/>
                    <w:right w:val="single" w:sz="2" w:space="0" w:color="000000"/>
                  </w:tcBorders>
                  <w:vAlign w:val="bottom"/>
                </w:tcPr>
                <w:p w14:paraId="6D63AB72" w14:textId="77777777" w:rsidR="00053D93" w:rsidRDefault="00260B75">
                  <w:pPr>
                    <w:ind w:left="60"/>
                    <w:jc w:val="center"/>
                  </w:pPr>
                  <w:r>
                    <w:rPr>
                      <w:sz w:val="20"/>
                    </w:rPr>
                    <w:t>NO APLICA</w:t>
                  </w:r>
                </w:p>
              </w:tc>
              <w:tc>
                <w:tcPr>
                  <w:tcW w:w="917" w:type="dxa"/>
                  <w:tcBorders>
                    <w:top w:val="single" w:sz="2" w:space="0" w:color="000000"/>
                    <w:left w:val="single" w:sz="2" w:space="0" w:color="000000"/>
                    <w:bottom w:val="single" w:sz="2" w:space="0" w:color="000000"/>
                    <w:right w:val="single" w:sz="2" w:space="0" w:color="000000"/>
                  </w:tcBorders>
                  <w:vAlign w:val="bottom"/>
                </w:tcPr>
                <w:p w14:paraId="23B51932" w14:textId="77777777" w:rsidR="00053D93" w:rsidRDefault="00260B75">
                  <w:pPr>
                    <w:ind w:left="18"/>
                    <w:jc w:val="center"/>
                  </w:pPr>
                  <w:r>
                    <w:rPr>
                      <w:rFonts w:ascii="Times New Roman" w:eastAsia="Times New Roman" w:hAnsi="Times New Roman" w:cs="Times New Roman"/>
                      <w:sz w:val="16"/>
                    </w:rPr>
                    <w:t>8/01/2024</w:t>
                  </w:r>
                </w:p>
              </w:tc>
              <w:tc>
                <w:tcPr>
                  <w:tcW w:w="2186" w:type="dxa"/>
                  <w:tcBorders>
                    <w:top w:val="single" w:sz="2" w:space="0" w:color="000000"/>
                    <w:left w:val="single" w:sz="2" w:space="0" w:color="000000"/>
                    <w:bottom w:val="single" w:sz="2" w:space="0" w:color="000000"/>
                    <w:right w:val="single" w:sz="2" w:space="0" w:color="000000"/>
                  </w:tcBorders>
                  <w:vAlign w:val="bottom"/>
                </w:tcPr>
                <w:p w14:paraId="7594527A" w14:textId="77777777" w:rsidR="00053D93" w:rsidRDefault="00260B75">
                  <w:pPr>
                    <w:ind w:left="79" w:right="76" w:hanging="7"/>
                    <w:jc w:val="both"/>
                  </w:pPr>
                  <w:r>
                    <w:rPr>
                      <w:sz w:val="18"/>
                    </w:rPr>
                    <w:t>Asociación Benemérito Comité Pro-Ciegos Y Sordos de Guatemala</w:t>
                  </w:r>
                </w:p>
              </w:tc>
              <w:tc>
                <w:tcPr>
                  <w:tcW w:w="2278" w:type="dxa"/>
                  <w:tcBorders>
                    <w:top w:val="single" w:sz="2" w:space="0" w:color="000000"/>
                    <w:left w:val="single" w:sz="2" w:space="0" w:color="000000"/>
                    <w:bottom w:val="single" w:sz="2" w:space="0" w:color="000000"/>
                    <w:right w:val="single" w:sz="2" w:space="0" w:color="000000"/>
                  </w:tcBorders>
                  <w:vAlign w:val="bottom"/>
                </w:tcPr>
                <w:p w14:paraId="562CFED1" w14:textId="77777777" w:rsidR="00053D93" w:rsidRDefault="00260B75">
                  <w:pPr>
                    <w:ind w:left="75" w:right="78" w:firstLine="7"/>
                    <w:jc w:val="both"/>
                  </w:pPr>
                  <w:r>
                    <w:rPr>
                      <w:sz w:val="16"/>
                    </w:rPr>
                    <w:t>Establecer la cooperación conjunta entre las partes para la búsqueda, promoción Y creación de oportunidades que brinden herramientas que promuevan el acceso a la educación y la superación de las personas con discapacidad visual y auditiva, fomentar, visibilizar e implementar conjuntamente actividades de asesoría. en la capacitación de los docentes de los establecimientos educativos oficiales en temas de discapacidad visual y auditiva, para que los estudiantes sean referidos a Asociación Benemérito Comité Pro-Ciegos y Sordos de Guatemala para atención médica en el campo de la oftalmología, otología y áreas relacionadas.</w:t>
                  </w:r>
                </w:p>
              </w:tc>
              <w:tc>
                <w:tcPr>
                  <w:tcW w:w="1437" w:type="dxa"/>
                  <w:tcBorders>
                    <w:top w:val="single" w:sz="2" w:space="0" w:color="000000"/>
                    <w:left w:val="single" w:sz="2" w:space="0" w:color="000000"/>
                    <w:bottom w:val="single" w:sz="2" w:space="0" w:color="000000"/>
                    <w:right w:val="single" w:sz="2" w:space="0" w:color="000000"/>
                  </w:tcBorders>
                  <w:vAlign w:val="bottom"/>
                </w:tcPr>
                <w:p w14:paraId="1738725E" w14:textId="77777777" w:rsidR="00053D93" w:rsidRDefault="00260B75">
                  <w:pPr>
                    <w:ind w:left="281"/>
                  </w:pPr>
                  <w:r>
                    <w:rPr>
                      <w:sz w:val="18"/>
                    </w:rPr>
                    <w:t>No Cuantificado</w:t>
                  </w:r>
                </w:p>
              </w:tc>
            </w:tr>
            <w:tr w:rsidR="00053D93" w14:paraId="6F3BEA84" w14:textId="77777777">
              <w:trPr>
                <w:trHeight w:val="2801"/>
              </w:trPr>
              <w:tc>
                <w:tcPr>
                  <w:tcW w:w="248" w:type="dxa"/>
                  <w:tcBorders>
                    <w:top w:val="single" w:sz="2" w:space="0" w:color="000000"/>
                    <w:left w:val="single" w:sz="2" w:space="0" w:color="000000"/>
                    <w:bottom w:val="single" w:sz="2" w:space="0" w:color="000000"/>
                    <w:right w:val="single" w:sz="2" w:space="0" w:color="000000"/>
                  </w:tcBorders>
                  <w:vAlign w:val="bottom"/>
                </w:tcPr>
                <w:p w14:paraId="6492E2E3" w14:textId="77777777" w:rsidR="00053D93" w:rsidRDefault="00260B75">
                  <w:pPr>
                    <w:ind w:left="68"/>
                  </w:pPr>
                  <w:r>
                    <w:rPr>
                      <w:rFonts w:ascii="Times New Roman" w:eastAsia="Times New Roman" w:hAnsi="Times New Roman" w:cs="Times New Roman"/>
                      <w:sz w:val="16"/>
                    </w:rPr>
                    <w:t>2</w:t>
                  </w:r>
                </w:p>
              </w:tc>
              <w:tc>
                <w:tcPr>
                  <w:tcW w:w="1307" w:type="dxa"/>
                  <w:gridSpan w:val="3"/>
                  <w:tcBorders>
                    <w:top w:val="single" w:sz="2" w:space="0" w:color="000000"/>
                    <w:left w:val="single" w:sz="2" w:space="0" w:color="000000"/>
                    <w:bottom w:val="single" w:sz="2" w:space="0" w:color="000000"/>
                    <w:right w:val="single" w:sz="2" w:space="0" w:color="000000"/>
                  </w:tcBorders>
                  <w:vAlign w:val="bottom"/>
                </w:tcPr>
                <w:p w14:paraId="7217161F" w14:textId="77777777" w:rsidR="00053D93" w:rsidRDefault="00260B75">
                  <w:pPr>
                    <w:ind w:left="68"/>
                    <w:jc w:val="center"/>
                  </w:pPr>
                  <w:r>
                    <w:rPr>
                      <w:sz w:val="20"/>
                    </w:rPr>
                    <w:t>NO APLICA</w:t>
                  </w:r>
                </w:p>
              </w:tc>
              <w:tc>
                <w:tcPr>
                  <w:tcW w:w="917" w:type="dxa"/>
                  <w:tcBorders>
                    <w:top w:val="single" w:sz="2" w:space="0" w:color="000000"/>
                    <w:left w:val="single" w:sz="2" w:space="0" w:color="000000"/>
                    <w:bottom w:val="single" w:sz="2" w:space="0" w:color="000000"/>
                    <w:right w:val="single" w:sz="2" w:space="0" w:color="000000"/>
                  </w:tcBorders>
                  <w:vAlign w:val="bottom"/>
                </w:tcPr>
                <w:p w14:paraId="7AB8A688" w14:textId="77777777" w:rsidR="00053D93" w:rsidRDefault="00260B75">
                  <w:pPr>
                    <w:ind w:left="32"/>
                    <w:jc w:val="center"/>
                  </w:pPr>
                  <w:r>
                    <w:rPr>
                      <w:rFonts w:ascii="Times New Roman" w:eastAsia="Times New Roman" w:hAnsi="Times New Roman" w:cs="Times New Roman"/>
                      <w:sz w:val="16"/>
                    </w:rPr>
                    <w:t>8/01/2024</w:t>
                  </w:r>
                </w:p>
              </w:tc>
              <w:tc>
                <w:tcPr>
                  <w:tcW w:w="2186" w:type="dxa"/>
                  <w:tcBorders>
                    <w:top w:val="single" w:sz="2" w:space="0" w:color="000000"/>
                    <w:left w:val="single" w:sz="2" w:space="0" w:color="000000"/>
                    <w:bottom w:val="single" w:sz="2" w:space="0" w:color="000000"/>
                    <w:right w:val="single" w:sz="2" w:space="0" w:color="000000"/>
                  </w:tcBorders>
                  <w:vAlign w:val="bottom"/>
                </w:tcPr>
                <w:p w14:paraId="18D9B89A" w14:textId="77777777" w:rsidR="00053D93" w:rsidRDefault="00260B75">
                  <w:pPr>
                    <w:tabs>
                      <w:tab w:val="center" w:pos="1310"/>
                    </w:tabs>
                  </w:pPr>
                  <w:r>
                    <w:rPr>
                      <w:sz w:val="18"/>
                    </w:rPr>
                    <w:t xml:space="preserve">Consejo </w:t>
                  </w:r>
                  <w:r>
                    <w:rPr>
                      <w:sz w:val="18"/>
                    </w:rPr>
                    <w:tab/>
                    <w:t>Nacional</w:t>
                  </w:r>
                </w:p>
                <w:p w14:paraId="738BB5E6" w14:textId="77777777" w:rsidR="00053D93" w:rsidRDefault="00260B75">
                  <w:pPr>
                    <w:ind w:left="86"/>
                  </w:pPr>
                  <w:r>
                    <w:rPr>
                      <w:sz w:val="18"/>
                    </w:rPr>
                    <w:t>Atención al Migrante de</w:t>
                  </w:r>
                </w:p>
                <w:p w14:paraId="51CE1D1C" w14:textId="77777777" w:rsidR="00053D93" w:rsidRDefault="00260B75">
                  <w:pPr>
                    <w:ind w:left="94"/>
                  </w:pPr>
                  <w:r>
                    <w:rPr>
                      <w:sz w:val="18"/>
                    </w:rPr>
                    <w:t>Guatemala</w:t>
                  </w:r>
                </w:p>
              </w:tc>
              <w:tc>
                <w:tcPr>
                  <w:tcW w:w="2278" w:type="dxa"/>
                  <w:tcBorders>
                    <w:top w:val="single" w:sz="2" w:space="0" w:color="000000"/>
                    <w:left w:val="single" w:sz="2" w:space="0" w:color="000000"/>
                    <w:bottom w:val="single" w:sz="2" w:space="0" w:color="000000"/>
                    <w:right w:val="single" w:sz="2" w:space="0" w:color="000000"/>
                  </w:tcBorders>
                  <w:vAlign w:val="bottom"/>
                </w:tcPr>
                <w:p w14:paraId="6B3F8C04" w14:textId="77777777" w:rsidR="00053D93" w:rsidRDefault="00260B75">
                  <w:pPr>
                    <w:spacing w:after="34" w:line="231" w:lineRule="auto"/>
                    <w:ind w:left="89" w:right="71"/>
                    <w:jc w:val="both"/>
                  </w:pPr>
                  <w:r>
                    <w:rPr>
                      <w:sz w:val="16"/>
                    </w:rPr>
                    <w:t>Establecer lazos de cooperación interinstitucional para coordinar y realizar acciones conjuntas que permitan orientar a estudiantes que sen atendidos en el Subsistema de Educación Escolar y en el</w:t>
                  </w:r>
                </w:p>
                <w:p w14:paraId="7FEB7547" w14:textId="77777777" w:rsidR="00053D93" w:rsidRDefault="00260B75">
                  <w:pPr>
                    <w:tabs>
                      <w:tab w:val="center" w:pos="1191"/>
                      <w:tab w:val="right" w:pos="2270"/>
                    </w:tabs>
                    <w:spacing w:after="24"/>
                  </w:pPr>
                  <w:r>
                    <w:rPr>
                      <w:sz w:val="16"/>
                    </w:rPr>
                    <w:t>Subsistema</w:t>
                  </w:r>
                  <w:r>
                    <w:rPr>
                      <w:sz w:val="16"/>
                    </w:rPr>
                    <w:tab/>
                    <w:t>de</w:t>
                  </w:r>
                  <w:r>
                    <w:rPr>
                      <w:sz w:val="16"/>
                    </w:rPr>
                    <w:tab/>
                    <w:t>Educación</w:t>
                  </w:r>
                </w:p>
                <w:p w14:paraId="06FF2081" w14:textId="77777777" w:rsidR="00053D93" w:rsidRDefault="00260B75">
                  <w:pPr>
                    <w:ind w:left="89" w:right="71" w:firstLine="7"/>
                    <w:jc w:val="both"/>
                  </w:pPr>
                  <w:r>
                    <w:rPr>
                      <w:sz w:val="16"/>
                    </w:rPr>
                    <w:t>Extraescolar, y a la Comunidad Educativa, sobre ta importancia de la prevención de la migración irregular.</w:t>
                  </w:r>
                </w:p>
              </w:tc>
              <w:tc>
                <w:tcPr>
                  <w:tcW w:w="1437" w:type="dxa"/>
                  <w:tcBorders>
                    <w:top w:val="single" w:sz="2" w:space="0" w:color="000000"/>
                    <w:left w:val="single" w:sz="2" w:space="0" w:color="000000"/>
                    <w:bottom w:val="single" w:sz="2" w:space="0" w:color="000000"/>
                    <w:right w:val="single" w:sz="2" w:space="0" w:color="000000"/>
                  </w:tcBorders>
                  <w:vAlign w:val="bottom"/>
                </w:tcPr>
                <w:p w14:paraId="048EA426" w14:textId="77777777" w:rsidR="00053D93" w:rsidRDefault="00260B75">
                  <w:pPr>
                    <w:ind w:right="54"/>
                    <w:jc w:val="right"/>
                  </w:pPr>
                  <w:r>
                    <w:rPr>
                      <w:sz w:val="18"/>
                    </w:rPr>
                    <w:t>No Cuantificado</w:t>
                  </w:r>
                </w:p>
              </w:tc>
            </w:tr>
            <w:tr w:rsidR="00053D93" w14:paraId="7744089E" w14:textId="77777777">
              <w:trPr>
                <w:trHeight w:val="1956"/>
              </w:trPr>
              <w:tc>
                <w:tcPr>
                  <w:tcW w:w="248" w:type="dxa"/>
                  <w:vMerge w:val="restart"/>
                  <w:tcBorders>
                    <w:top w:val="single" w:sz="2" w:space="0" w:color="000000"/>
                    <w:left w:val="single" w:sz="2" w:space="0" w:color="000000"/>
                    <w:bottom w:val="nil"/>
                    <w:right w:val="single" w:sz="2" w:space="0" w:color="000000"/>
                  </w:tcBorders>
                  <w:vAlign w:val="bottom"/>
                </w:tcPr>
                <w:p w14:paraId="68A0CA4E" w14:textId="77777777" w:rsidR="00053D93" w:rsidRDefault="00260B75">
                  <w:pPr>
                    <w:ind w:left="24"/>
                  </w:pPr>
                  <w:r>
                    <w:rPr>
                      <w:noProof/>
                    </w:rPr>
                    <w:drawing>
                      <wp:inline distT="0" distB="0" distL="0" distR="0" wp14:anchorId="101BCB24" wp14:editId="154CD037">
                        <wp:extent cx="137160" cy="406908"/>
                        <wp:effectExtent l="0" t="0" r="0" b="0"/>
                        <wp:docPr id="154660" name="Picture 154660"/>
                        <wp:cNvGraphicFramePr/>
                        <a:graphic xmlns:a="http://schemas.openxmlformats.org/drawingml/2006/main">
                          <a:graphicData uri="http://schemas.openxmlformats.org/drawingml/2006/picture">
                            <pic:pic xmlns:pic="http://schemas.openxmlformats.org/drawingml/2006/picture">
                              <pic:nvPicPr>
                                <pic:cNvPr id="154660" name="Picture 154660"/>
                                <pic:cNvPicPr/>
                              </pic:nvPicPr>
                              <pic:blipFill>
                                <a:blip r:embed="rId184"/>
                                <a:stretch>
                                  <a:fillRect/>
                                </a:stretch>
                              </pic:blipFill>
                              <pic:spPr>
                                <a:xfrm>
                                  <a:off x="0" y="0"/>
                                  <a:ext cx="137160" cy="406908"/>
                                </a:xfrm>
                                <a:prstGeom prst="rect">
                                  <a:avLst/>
                                </a:prstGeom>
                              </pic:spPr>
                            </pic:pic>
                          </a:graphicData>
                        </a:graphic>
                      </wp:inline>
                    </w:drawing>
                  </w:r>
                </w:p>
              </w:tc>
              <w:tc>
                <w:tcPr>
                  <w:tcW w:w="1307" w:type="dxa"/>
                  <w:gridSpan w:val="3"/>
                  <w:tcBorders>
                    <w:top w:val="single" w:sz="2" w:space="0" w:color="000000"/>
                    <w:left w:val="single" w:sz="2" w:space="0" w:color="000000"/>
                    <w:bottom w:val="nil"/>
                    <w:right w:val="single" w:sz="2" w:space="0" w:color="000000"/>
                  </w:tcBorders>
                </w:tcPr>
                <w:p w14:paraId="7B7DF204" w14:textId="77777777" w:rsidR="00053D93" w:rsidRDefault="00053D93"/>
              </w:tc>
              <w:tc>
                <w:tcPr>
                  <w:tcW w:w="917" w:type="dxa"/>
                  <w:tcBorders>
                    <w:top w:val="single" w:sz="2" w:space="0" w:color="000000"/>
                    <w:left w:val="single" w:sz="2" w:space="0" w:color="000000"/>
                    <w:bottom w:val="single" w:sz="2" w:space="0" w:color="000000"/>
                    <w:right w:val="single" w:sz="2" w:space="0" w:color="000000"/>
                  </w:tcBorders>
                </w:tcPr>
                <w:p w14:paraId="29BA81EF" w14:textId="77777777" w:rsidR="00053D93" w:rsidRDefault="00053D93"/>
              </w:tc>
              <w:tc>
                <w:tcPr>
                  <w:tcW w:w="2186" w:type="dxa"/>
                  <w:tcBorders>
                    <w:top w:val="single" w:sz="2" w:space="0" w:color="000000"/>
                    <w:left w:val="single" w:sz="2" w:space="0" w:color="000000"/>
                    <w:bottom w:val="single" w:sz="2" w:space="0" w:color="000000"/>
                    <w:right w:val="single" w:sz="2" w:space="0" w:color="000000"/>
                  </w:tcBorders>
                </w:tcPr>
                <w:p w14:paraId="731778AD" w14:textId="77777777" w:rsidR="00053D93" w:rsidRDefault="00053D93"/>
              </w:tc>
              <w:tc>
                <w:tcPr>
                  <w:tcW w:w="2278" w:type="dxa"/>
                  <w:tcBorders>
                    <w:top w:val="single" w:sz="2" w:space="0" w:color="000000"/>
                    <w:left w:val="single" w:sz="2" w:space="0" w:color="000000"/>
                    <w:bottom w:val="single" w:sz="2" w:space="0" w:color="000000"/>
                    <w:right w:val="single" w:sz="2" w:space="0" w:color="000000"/>
                  </w:tcBorders>
                  <w:vAlign w:val="bottom"/>
                </w:tcPr>
                <w:p w14:paraId="667D704B" w14:textId="77777777" w:rsidR="00053D93" w:rsidRDefault="00260B75">
                  <w:pPr>
                    <w:spacing w:line="262" w:lineRule="auto"/>
                    <w:ind w:left="96" w:right="64" w:firstLine="7"/>
                    <w:jc w:val="both"/>
                  </w:pPr>
                  <w:r>
                    <w:rPr>
                      <w:sz w:val="14"/>
                    </w:rPr>
                    <w:t xml:space="preserve">Establecer mecanismos de coordinación interinstitucional, que permitan la implementación de acciones conjuntas </w:t>
                  </w:r>
                  <w:r>
                    <w:rPr>
                      <w:rFonts w:ascii="Times New Roman" w:eastAsia="Times New Roman" w:hAnsi="Times New Roman" w:cs="Times New Roman"/>
                      <w:sz w:val="14"/>
                    </w:rPr>
                    <w:t>e</w:t>
                  </w:r>
                </w:p>
                <w:p w14:paraId="7549D95D" w14:textId="77777777" w:rsidR="00053D93" w:rsidRDefault="00260B75">
                  <w:pPr>
                    <w:ind w:left="103" w:right="57" w:hanging="7"/>
                    <w:jc w:val="both"/>
                  </w:pPr>
                  <w:r>
                    <w:rPr>
                      <w:sz w:val="16"/>
                    </w:rPr>
                    <w:t>intervenciones a nivel nacional e internacional orientadas reconocer y certificar competencias</w:t>
                  </w:r>
                </w:p>
              </w:tc>
              <w:tc>
                <w:tcPr>
                  <w:tcW w:w="1437" w:type="dxa"/>
                  <w:tcBorders>
                    <w:top w:val="single" w:sz="2" w:space="0" w:color="000000"/>
                    <w:left w:val="single" w:sz="2" w:space="0" w:color="000000"/>
                    <w:bottom w:val="single" w:sz="2" w:space="0" w:color="000000"/>
                    <w:right w:val="single" w:sz="2" w:space="0" w:color="000000"/>
                  </w:tcBorders>
                </w:tcPr>
                <w:p w14:paraId="2D24C91C" w14:textId="77777777" w:rsidR="00053D93" w:rsidRDefault="00053D93"/>
              </w:tc>
            </w:tr>
            <w:tr w:rsidR="00053D93" w14:paraId="5A365E27" w14:textId="77777777">
              <w:trPr>
                <w:trHeight w:val="615"/>
              </w:trPr>
              <w:tc>
                <w:tcPr>
                  <w:tcW w:w="0" w:type="auto"/>
                  <w:vMerge/>
                  <w:tcBorders>
                    <w:top w:val="nil"/>
                    <w:left w:val="single" w:sz="2" w:space="0" w:color="000000"/>
                    <w:bottom w:val="nil"/>
                    <w:right w:val="single" w:sz="2" w:space="0" w:color="000000"/>
                  </w:tcBorders>
                </w:tcPr>
                <w:p w14:paraId="080B8040" w14:textId="77777777" w:rsidR="00053D93" w:rsidRDefault="00053D93"/>
              </w:tc>
              <w:tc>
                <w:tcPr>
                  <w:tcW w:w="348" w:type="dxa"/>
                  <w:tcBorders>
                    <w:top w:val="nil"/>
                    <w:left w:val="single" w:sz="2" w:space="0" w:color="000000"/>
                    <w:bottom w:val="nil"/>
                    <w:right w:val="single" w:sz="2" w:space="0" w:color="000000"/>
                  </w:tcBorders>
                </w:tcPr>
                <w:p w14:paraId="3C43CBA0" w14:textId="77777777" w:rsidR="00053D93" w:rsidRDefault="00260B75">
                  <w:pPr>
                    <w:ind w:left="42"/>
                  </w:pPr>
                  <w:r>
                    <w:rPr>
                      <w:noProof/>
                    </w:rPr>
                    <w:drawing>
                      <wp:inline distT="0" distB="0" distL="0" distR="0" wp14:anchorId="3EDC80EF" wp14:editId="2C4B1815">
                        <wp:extent cx="132588" cy="393192"/>
                        <wp:effectExtent l="0" t="0" r="0" b="0"/>
                        <wp:docPr id="2458185" name="Picture 2458185"/>
                        <wp:cNvGraphicFramePr/>
                        <a:graphic xmlns:a="http://schemas.openxmlformats.org/drawingml/2006/main">
                          <a:graphicData uri="http://schemas.openxmlformats.org/drawingml/2006/picture">
                            <pic:pic xmlns:pic="http://schemas.openxmlformats.org/drawingml/2006/picture">
                              <pic:nvPicPr>
                                <pic:cNvPr id="2458185" name="Picture 2458185"/>
                                <pic:cNvPicPr/>
                              </pic:nvPicPr>
                              <pic:blipFill>
                                <a:blip r:embed="rId185"/>
                                <a:stretch>
                                  <a:fillRect/>
                                </a:stretch>
                              </pic:blipFill>
                              <pic:spPr>
                                <a:xfrm>
                                  <a:off x="0" y="0"/>
                                  <a:ext cx="132588" cy="393192"/>
                                </a:xfrm>
                                <a:prstGeom prst="rect">
                                  <a:avLst/>
                                </a:prstGeom>
                              </pic:spPr>
                            </pic:pic>
                          </a:graphicData>
                        </a:graphic>
                      </wp:inline>
                    </w:drawing>
                  </w:r>
                </w:p>
              </w:tc>
              <w:tc>
                <w:tcPr>
                  <w:tcW w:w="179" w:type="dxa"/>
                  <w:tcBorders>
                    <w:top w:val="nil"/>
                    <w:left w:val="single" w:sz="2" w:space="0" w:color="000000"/>
                    <w:bottom w:val="nil"/>
                    <w:right w:val="single" w:sz="2" w:space="0" w:color="000000"/>
                  </w:tcBorders>
                </w:tcPr>
                <w:p w14:paraId="0FE791B2" w14:textId="77777777" w:rsidR="00053D93" w:rsidRDefault="00053D93"/>
              </w:tc>
              <w:tc>
                <w:tcPr>
                  <w:tcW w:w="7598" w:type="dxa"/>
                  <w:gridSpan w:val="5"/>
                  <w:tcBorders>
                    <w:top w:val="single" w:sz="2" w:space="0" w:color="000000"/>
                    <w:left w:val="single" w:sz="2" w:space="0" w:color="000000"/>
                    <w:bottom w:val="nil"/>
                    <w:right w:val="nil"/>
                  </w:tcBorders>
                </w:tcPr>
                <w:p w14:paraId="41CD019A" w14:textId="77777777" w:rsidR="00053D93" w:rsidRDefault="00260B75">
                  <w:pPr>
                    <w:ind w:left="2575"/>
                  </w:pPr>
                  <w:r>
                    <w:rPr>
                      <w:sz w:val="14"/>
                    </w:rPr>
                    <w:t>MINISTERIO DE EDUCACION</w:t>
                  </w:r>
                </w:p>
                <w:p w14:paraId="70C343AA" w14:textId="77777777" w:rsidR="00053D93" w:rsidRDefault="00260B75">
                  <w:pPr>
                    <w:ind w:left="2078"/>
                  </w:pPr>
                  <w:r>
                    <w:rPr>
                      <w:sz w:val="14"/>
                    </w:rPr>
                    <w:t>AUDITORIA FINANCIERA Y DE CUMPLIMIENTO</w:t>
                  </w:r>
                </w:p>
                <w:p w14:paraId="0E07BEFB" w14:textId="77777777" w:rsidR="00053D93" w:rsidRDefault="00260B75">
                  <w:pPr>
                    <w:ind w:left="1747"/>
                  </w:pPr>
                  <w:r>
                    <w:rPr>
                      <w:sz w:val="14"/>
                    </w:rPr>
                    <w:t>PERIODO DEL 01 DE ENERO AL 31 DE DICIEMBRE OE 2024</w:t>
                  </w:r>
                </w:p>
              </w:tc>
            </w:tr>
          </w:tbl>
          <w:p w14:paraId="72C6D622" w14:textId="77777777" w:rsidR="00053D93" w:rsidRDefault="00053D93"/>
        </w:tc>
      </w:tr>
    </w:tbl>
    <w:p w14:paraId="300B4941" w14:textId="77777777" w:rsidR="00053D93" w:rsidRDefault="00053D93">
      <w:pPr>
        <w:spacing w:after="0"/>
        <w:ind w:left="-338" w:right="9907"/>
      </w:pPr>
    </w:p>
    <w:tbl>
      <w:tblPr>
        <w:tblStyle w:val="TableGrid"/>
        <w:tblW w:w="10181" w:type="dxa"/>
        <w:tblInd w:w="-36" w:type="dxa"/>
        <w:tblLook w:val="04A0" w:firstRow="1" w:lastRow="0" w:firstColumn="1" w:lastColumn="0" w:noHBand="0" w:noVBand="1"/>
      </w:tblPr>
      <w:tblGrid>
        <w:gridCol w:w="1778"/>
        <w:gridCol w:w="10483"/>
      </w:tblGrid>
      <w:tr w:rsidR="00053D93" w14:paraId="5978EE66" w14:textId="77777777">
        <w:trPr>
          <w:trHeight w:val="4795"/>
        </w:trPr>
        <w:tc>
          <w:tcPr>
            <w:tcW w:w="1793" w:type="dxa"/>
            <w:tcBorders>
              <w:top w:val="nil"/>
              <w:left w:val="nil"/>
              <w:bottom w:val="nil"/>
              <w:right w:val="nil"/>
            </w:tcBorders>
          </w:tcPr>
          <w:p w14:paraId="3C060E71" w14:textId="77777777" w:rsidR="00053D93" w:rsidRDefault="00260B75">
            <w:pPr>
              <w:ind w:left="36"/>
            </w:pPr>
            <w:r>
              <w:rPr>
                <w:noProof/>
              </w:rPr>
              <w:lastRenderedPageBreak/>
              <w:drawing>
                <wp:inline distT="0" distB="0" distL="0" distR="0" wp14:anchorId="57E7AD80" wp14:editId="6DF7F977">
                  <wp:extent cx="146304" cy="2976372"/>
                  <wp:effectExtent l="0" t="0" r="0" b="0"/>
                  <wp:docPr id="159330" name="Picture 159330"/>
                  <wp:cNvGraphicFramePr/>
                  <a:graphic xmlns:a="http://schemas.openxmlformats.org/drawingml/2006/main">
                    <a:graphicData uri="http://schemas.openxmlformats.org/drawingml/2006/picture">
                      <pic:pic xmlns:pic="http://schemas.openxmlformats.org/drawingml/2006/picture">
                        <pic:nvPicPr>
                          <pic:cNvPr id="159330" name="Picture 159330"/>
                          <pic:cNvPicPr/>
                        </pic:nvPicPr>
                        <pic:blipFill>
                          <a:blip r:embed="rId186"/>
                          <a:stretch>
                            <a:fillRect/>
                          </a:stretch>
                        </pic:blipFill>
                        <pic:spPr>
                          <a:xfrm>
                            <a:off x="0" y="0"/>
                            <a:ext cx="146304" cy="2976372"/>
                          </a:xfrm>
                          <a:prstGeom prst="rect">
                            <a:avLst/>
                          </a:prstGeom>
                        </pic:spPr>
                      </pic:pic>
                    </a:graphicData>
                  </a:graphic>
                </wp:inline>
              </w:drawing>
            </w:r>
          </w:p>
        </w:tc>
        <w:tc>
          <w:tcPr>
            <w:tcW w:w="8388" w:type="dxa"/>
            <w:vMerge w:val="restart"/>
            <w:tcBorders>
              <w:top w:val="nil"/>
              <w:left w:val="nil"/>
              <w:bottom w:val="nil"/>
              <w:right w:val="nil"/>
            </w:tcBorders>
          </w:tcPr>
          <w:p w14:paraId="4F64D7FF" w14:textId="77777777" w:rsidR="00053D93" w:rsidRDefault="00053D93">
            <w:pPr>
              <w:ind w:left="-2096" w:right="10483"/>
            </w:pPr>
          </w:p>
          <w:tbl>
            <w:tblPr>
              <w:tblStyle w:val="TableGrid"/>
              <w:tblW w:w="8373" w:type="dxa"/>
              <w:tblInd w:w="15" w:type="dxa"/>
              <w:tblLook w:val="04A0" w:firstRow="1" w:lastRow="0" w:firstColumn="1" w:lastColumn="0" w:noHBand="0" w:noVBand="1"/>
            </w:tblPr>
            <w:tblGrid>
              <w:gridCol w:w="307"/>
              <w:gridCol w:w="288"/>
              <w:gridCol w:w="177"/>
              <w:gridCol w:w="791"/>
              <w:gridCol w:w="917"/>
              <w:gridCol w:w="1965"/>
              <w:gridCol w:w="220"/>
              <w:gridCol w:w="2276"/>
              <w:gridCol w:w="1432"/>
            </w:tblGrid>
            <w:tr w:rsidR="00053D93" w14:paraId="7A5CAD2E" w14:textId="77777777">
              <w:trPr>
                <w:trHeight w:val="1508"/>
              </w:trPr>
              <w:tc>
                <w:tcPr>
                  <w:tcW w:w="302" w:type="dxa"/>
                  <w:tcBorders>
                    <w:top w:val="single" w:sz="2" w:space="0" w:color="000000"/>
                    <w:left w:val="single" w:sz="2" w:space="0" w:color="000000"/>
                    <w:bottom w:val="single" w:sz="2" w:space="0" w:color="000000"/>
                    <w:right w:val="single" w:sz="2" w:space="0" w:color="000000"/>
                  </w:tcBorders>
                  <w:vAlign w:val="bottom"/>
                </w:tcPr>
                <w:p w14:paraId="6ABF2E65" w14:textId="77777777" w:rsidR="00053D93" w:rsidRDefault="00260B75">
                  <w:pPr>
                    <w:ind w:left="71"/>
                  </w:pPr>
                  <w:r>
                    <w:rPr>
                      <w:rFonts w:ascii="Times New Roman" w:eastAsia="Times New Roman" w:hAnsi="Times New Roman" w:cs="Times New Roman"/>
                      <w:sz w:val="18"/>
                    </w:rPr>
                    <w:t>3</w:t>
                  </w:r>
                </w:p>
              </w:tc>
              <w:tc>
                <w:tcPr>
                  <w:tcW w:w="1257" w:type="dxa"/>
                  <w:gridSpan w:val="3"/>
                  <w:tcBorders>
                    <w:top w:val="single" w:sz="2" w:space="0" w:color="000000"/>
                    <w:left w:val="single" w:sz="2" w:space="0" w:color="000000"/>
                    <w:bottom w:val="single" w:sz="2" w:space="0" w:color="000000"/>
                    <w:right w:val="single" w:sz="2" w:space="0" w:color="000000"/>
                  </w:tcBorders>
                  <w:vAlign w:val="bottom"/>
                </w:tcPr>
                <w:p w14:paraId="4363D3F3" w14:textId="77777777" w:rsidR="00053D93" w:rsidRDefault="00260B75">
                  <w:pPr>
                    <w:ind w:left="3"/>
                    <w:jc w:val="center"/>
                  </w:pPr>
                  <w:r>
                    <w:rPr>
                      <w:sz w:val="20"/>
                    </w:rPr>
                    <w:t>NO APLICA</w:t>
                  </w:r>
                </w:p>
              </w:tc>
              <w:tc>
                <w:tcPr>
                  <w:tcW w:w="917" w:type="dxa"/>
                  <w:tcBorders>
                    <w:top w:val="single" w:sz="2" w:space="0" w:color="000000"/>
                    <w:left w:val="single" w:sz="2" w:space="0" w:color="000000"/>
                    <w:bottom w:val="single" w:sz="2" w:space="0" w:color="000000"/>
                    <w:right w:val="single" w:sz="2" w:space="0" w:color="000000"/>
                  </w:tcBorders>
                  <w:vAlign w:val="bottom"/>
                </w:tcPr>
                <w:p w14:paraId="67C6E366" w14:textId="77777777" w:rsidR="00053D93" w:rsidRDefault="00260B75">
                  <w:pPr>
                    <w:ind w:left="125"/>
                  </w:pPr>
                  <w:r>
                    <w:rPr>
                      <w:rFonts w:ascii="Times New Roman" w:eastAsia="Times New Roman" w:hAnsi="Times New Roman" w:cs="Times New Roman"/>
                      <w:sz w:val="16"/>
                    </w:rPr>
                    <w:t>8/01/2024</w:t>
                  </w:r>
                </w:p>
              </w:tc>
              <w:tc>
                <w:tcPr>
                  <w:tcW w:w="2186" w:type="dxa"/>
                  <w:gridSpan w:val="2"/>
                  <w:tcBorders>
                    <w:top w:val="single" w:sz="2" w:space="0" w:color="000000"/>
                    <w:left w:val="single" w:sz="2" w:space="0" w:color="000000"/>
                    <w:bottom w:val="single" w:sz="2" w:space="0" w:color="000000"/>
                    <w:right w:val="single" w:sz="2" w:space="0" w:color="000000"/>
                  </w:tcBorders>
                  <w:vAlign w:val="bottom"/>
                </w:tcPr>
                <w:p w14:paraId="540E9CE4" w14:textId="77777777" w:rsidR="00053D93" w:rsidRDefault="00260B75">
                  <w:pPr>
                    <w:ind w:left="86"/>
                  </w:pPr>
                  <w:r>
                    <w:rPr>
                      <w:sz w:val="16"/>
                    </w:rPr>
                    <w:t>Ministerio de Economía</w:t>
                  </w:r>
                </w:p>
              </w:tc>
              <w:tc>
                <w:tcPr>
                  <w:tcW w:w="2278" w:type="dxa"/>
                  <w:tcBorders>
                    <w:top w:val="single" w:sz="2" w:space="0" w:color="000000"/>
                    <w:left w:val="single" w:sz="2" w:space="0" w:color="000000"/>
                    <w:bottom w:val="single" w:sz="2" w:space="0" w:color="000000"/>
                    <w:right w:val="single" w:sz="2" w:space="0" w:color="000000"/>
                  </w:tcBorders>
                </w:tcPr>
                <w:p w14:paraId="4FA5B2B1" w14:textId="77777777" w:rsidR="00053D93" w:rsidRDefault="00260B75">
                  <w:pPr>
                    <w:ind w:left="82" w:right="86"/>
                    <w:jc w:val="both"/>
                  </w:pPr>
                  <w:r>
                    <w:rPr>
                      <w:sz w:val="16"/>
                    </w:rPr>
                    <w:t>laborales y ocupacionales; así como, la formación de capltal humano a través de procesos educativas. de interés en materia económica e incidencia en el mercado laboral para elevar la competitividad.</w:t>
                  </w:r>
                </w:p>
              </w:tc>
              <w:tc>
                <w:tcPr>
                  <w:tcW w:w="1433" w:type="dxa"/>
                  <w:tcBorders>
                    <w:top w:val="single" w:sz="2" w:space="0" w:color="000000"/>
                    <w:left w:val="single" w:sz="2" w:space="0" w:color="000000"/>
                    <w:bottom w:val="single" w:sz="2" w:space="0" w:color="000000"/>
                    <w:right w:val="single" w:sz="2" w:space="0" w:color="000000"/>
                  </w:tcBorders>
                  <w:vAlign w:val="bottom"/>
                </w:tcPr>
                <w:p w14:paraId="22C4FE4E" w14:textId="77777777" w:rsidR="00053D93" w:rsidRDefault="00260B75">
                  <w:pPr>
                    <w:ind w:left="274"/>
                  </w:pPr>
                  <w:r>
                    <w:rPr>
                      <w:sz w:val="16"/>
                    </w:rPr>
                    <w:t>No Cuantificado</w:t>
                  </w:r>
                </w:p>
              </w:tc>
            </w:tr>
            <w:tr w:rsidR="00053D93" w14:paraId="40A5158C" w14:textId="77777777">
              <w:trPr>
                <w:trHeight w:val="3240"/>
              </w:trPr>
              <w:tc>
                <w:tcPr>
                  <w:tcW w:w="302" w:type="dxa"/>
                  <w:tcBorders>
                    <w:top w:val="single" w:sz="2" w:space="0" w:color="000000"/>
                    <w:left w:val="single" w:sz="2" w:space="0" w:color="000000"/>
                    <w:bottom w:val="single" w:sz="2" w:space="0" w:color="000000"/>
                    <w:right w:val="single" w:sz="2" w:space="0" w:color="000000"/>
                  </w:tcBorders>
                  <w:vAlign w:val="bottom"/>
                </w:tcPr>
                <w:p w14:paraId="506CBC6A" w14:textId="77777777" w:rsidR="00053D93" w:rsidRDefault="00260B75">
                  <w:pPr>
                    <w:ind w:left="64"/>
                  </w:pPr>
                  <w:r>
                    <w:rPr>
                      <w:rFonts w:ascii="Times New Roman" w:eastAsia="Times New Roman" w:hAnsi="Times New Roman" w:cs="Times New Roman"/>
                      <w:sz w:val="18"/>
                    </w:rPr>
                    <w:t>4</w:t>
                  </w:r>
                </w:p>
              </w:tc>
              <w:tc>
                <w:tcPr>
                  <w:tcW w:w="1257" w:type="dxa"/>
                  <w:gridSpan w:val="3"/>
                  <w:tcBorders>
                    <w:top w:val="single" w:sz="2" w:space="0" w:color="000000"/>
                    <w:left w:val="single" w:sz="2" w:space="0" w:color="000000"/>
                    <w:bottom w:val="single" w:sz="2" w:space="0" w:color="000000"/>
                    <w:right w:val="single" w:sz="2" w:space="0" w:color="000000"/>
                  </w:tcBorders>
                  <w:vAlign w:val="bottom"/>
                </w:tcPr>
                <w:p w14:paraId="76850E57" w14:textId="77777777" w:rsidR="00053D93" w:rsidRDefault="00260B75">
                  <w:pPr>
                    <w:ind w:left="3"/>
                    <w:jc w:val="center"/>
                  </w:pPr>
                  <w:r>
                    <w:rPr>
                      <w:sz w:val="20"/>
                    </w:rPr>
                    <w:t>NO APLICA</w:t>
                  </w:r>
                </w:p>
              </w:tc>
              <w:tc>
                <w:tcPr>
                  <w:tcW w:w="917" w:type="dxa"/>
                  <w:tcBorders>
                    <w:top w:val="single" w:sz="2" w:space="0" w:color="000000"/>
                    <w:left w:val="single" w:sz="2" w:space="0" w:color="000000"/>
                    <w:bottom w:val="single" w:sz="2" w:space="0" w:color="000000"/>
                    <w:right w:val="single" w:sz="2" w:space="0" w:color="000000"/>
                  </w:tcBorders>
                  <w:vAlign w:val="bottom"/>
                </w:tcPr>
                <w:p w14:paraId="698405A8" w14:textId="77777777" w:rsidR="00053D93" w:rsidRDefault="00260B75">
                  <w:pPr>
                    <w:ind w:left="89"/>
                  </w:pPr>
                  <w:r>
                    <w:rPr>
                      <w:rFonts w:ascii="Times New Roman" w:eastAsia="Times New Roman" w:hAnsi="Times New Roman" w:cs="Times New Roman"/>
                      <w:sz w:val="18"/>
                    </w:rPr>
                    <w:t>11/01/2024</w:t>
                  </w:r>
                </w:p>
              </w:tc>
              <w:tc>
                <w:tcPr>
                  <w:tcW w:w="1966" w:type="dxa"/>
                  <w:tcBorders>
                    <w:top w:val="single" w:sz="2" w:space="0" w:color="000000"/>
                    <w:left w:val="single" w:sz="2" w:space="0" w:color="000000"/>
                    <w:bottom w:val="single" w:sz="2" w:space="0" w:color="000000"/>
                    <w:right w:val="nil"/>
                  </w:tcBorders>
                  <w:vAlign w:val="bottom"/>
                </w:tcPr>
                <w:p w14:paraId="08D9E729" w14:textId="77777777" w:rsidR="00053D93" w:rsidRDefault="00260B75">
                  <w:pPr>
                    <w:tabs>
                      <w:tab w:val="center" w:pos="565"/>
                      <w:tab w:val="center" w:pos="1472"/>
                    </w:tabs>
                  </w:pPr>
                  <w:r>
                    <w:rPr>
                      <w:sz w:val="20"/>
                    </w:rPr>
                    <w:tab/>
                    <w:t>Procuraduría</w:t>
                  </w:r>
                  <w:r>
                    <w:rPr>
                      <w:sz w:val="20"/>
                    </w:rPr>
                    <w:tab/>
                  </w:r>
                  <w:r>
                    <w:rPr>
                      <w:rFonts w:ascii="Times New Roman" w:eastAsia="Times New Roman" w:hAnsi="Times New Roman" w:cs="Times New Roman"/>
                      <w:sz w:val="20"/>
                    </w:rPr>
                    <w:t>de</w:t>
                  </w:r>
                </w:p>
                <w:p w14:paraId="2A85BD4D" w14:textId="77777777" w:rsidR="00053D93" w:rsidRDefault="00260B75">
                  <w:pPr>
                    <w:ind w:left="86"/>
                  </w:pPr>
                  <w:r>
                    <w:rPr>
                      <w:sz w:val="24"/>
                    </w:rPr>
                    <w:t>Derechos</w:t>
                  </w:r>
                </w:p>
                <w:p w14:paraId="67BC0FA8" w14:textId="77777777" w:rsidR="00053D93" w:rsidRDefault="00260B75">
                  <w:pPr>
                    <w:ind w:left="130"/>
                  </w:pPr>
                  <w:r>
                    <w:rPr>
                      <w:sz w:val="18"/>
                    </w:rPr>
                    <w:t>Humanos</w:t>
                  </w:r>
                </w:p>
              </w:tc>
              <w:tc>
                <w:tcPr>
                  <w:tcW w:w="220" w:type="dxa"/>
                  <w:tcBorders>
                    <w:top w:val="single" w:sz="2" w:space="0" w:color="000000"/>
                    <w:left w:val="nil"/>
                    <w:bottom w:val="single" w:sz="2" w:space="0" w:color="000000"/>
                    <w:right w:val="single" w:sz="2" w:space="0" w:color="000000"/>
                  </w:tcBorders>
                  <w:vAlign w:val="bottom"/>
                </w:tcPr>
                <w:p w14:paraId="34B19452" w14:textId="77777777" w:rsidR="00053D93" w:rsidRDefault="00260B75">
                  <w:pPr>
                    <w:ind w:left="-65"/>
                  </w:pPr>
                  <w:r>
                    <w:rPr>
                      <w:sz w:val="20"/>
                    </w:rPr>
                    <w:t>los</w:t>
                  </w:r>
                </w:p>
              </w:tc>
              <w:tc>
                <w:tcPr>
                  <w:tcW w:w="2278" w:type="dxa"/>
                  <w:tcBorders>
                    <w:top w:val="single" w:sz="2" w:space="0" w:color="000000"/>
                    <w:left w:val="single" w:sz="2" w:space="0" w:color="000000"/>
                    <w:bottom w:val="single" w:sz="2" w:space="0" w:color="000000"/>
                    <w:right w:val="single" w:sz="2" w:space="0" w:color="000000"/>
                  </w:tcBorders>
                  <w:vAlign w:val="bottom"/>
                </w:tcPr>
                <w:p w14:paraId="1B93E409" w14:textId="77777777" w:rsidR="00053D93" w:rsidRDefault="00260B75">
                  <w:pPr>
                    <w:spacing w:line="244" w:lineRule="auto"/>
                    <w:ind w:left="75" w:right="86" w:firstLine="7"/>
                    <w:jc w:val="both"/>
                  </w:pPr>
                  <w:r>
                    <w:rPr>
                      <w:sz w:val="16"/>
                    </w:rPr>
                    <w:t>Dar cumplimiento y seguimiento al mandato constitucional que cada una de las Partes ostenta y que en común contribuyan a un desarrollo y protección a los Derechos Humanos. por medio de actividades coordinadas que coadyuven al desarrollo de los enunciados en la Ley de la Comisión de Derechos Humanos del Congreso de la República y el</w:t>
                  </w:r>
                </w:p>
                <w:p w14:paraId="139FE35F" w14:textId="77777777" w:rsidR="00053D93" w:rsidRDefault="00260B75">
                  <w:pPr>
                    <w:ind w:left="82"/>
                  </w:pPr>
                  <w:r>
                    <w:rPr>
                      <w:sz w:val="16"/>
                    </w:rPr>
                    <w:t>Procurador de los Derechos</w:t>
                  </w:r>
                </w:p>
                <w:p w14:paraId="77E26C87" w14:textId="77777777" w:rsidR="00053D93" w:rsidRDefault="00260B75">
                  <w:pPr>
                    <w:ind w:left="82"/>
                  </w:pPr>
                  <w:r>
                    <w:rPr>
                      <w:sz w:val="16"/>
                    </w:rPr>
                    <w:t>Humanos y la Ley de Educación</w:t>
                  </w:r>
                </w:p>
                <w:p w14:paraId="446A8003" w14:textId="77777777" w:rsidR="00053D93" w:rsidRDefault="00260B75">
                  <w:pPr>
                    <w:ind w:left="82"/>
                  </w:pPr>
                  <w:r>
                    <w:rPr>
                      <w:sz w:val="16"/>
                    </w:rPr>
                    <w:t>Nacional,</w:t>
                  </w:r>
                </w:p>
              </w:tc>
              <w:tc>
                <w:tcPr>
                  <w:tcW w:w="1433" w:type="dxa"/>
                  <w:tcBorders>
                    <w:top w:val="single" w:sz="2" w:space="0" w:color="000000"/>
                    <w:left w:val="single" w:sz="2" w:space="0" w:color="000000"/>
                    <w:bottom w:val="single" w:sz="2" w:space="0" w:color="000000"/>
                    <w:right w:val="single" w:sz="2" w:space="0" w:color="000000"/>
                  </w:tcBorders>
                  <w:vAlign w:val="bottom"/>
                </w:tcPr>
                <w:p w14:paraId="44BDCE6D" w14:textId="77777777" w:rsidR="00053D93" w:rsidRDefault="00260B75">
                  <w:pPr>
                    <w:ind w:left="274"/>
                  </w:pPr>
                  <w:r>
                    <w:rPr>
                      <w:sz w:val="16"/>
                    </w:rPr>
                    <w:t>No Cuantificado</w:t>
                  </w:r>
                </w:p>
              </w:tc>
            </w:tr>
            <w:tr w:rsidR="00053D93" w14:paraId="07069175" w14:textId="77777777">
              <w:trPr>
                <w:trHeight w:val="2364"/>
              </w:trPr>
              <w:tc>
                <w:tcPr>
                  <w:tcW w:w="302" w:type="dxa"/>
                  <w:tcBorders>
                    <w:top w:val="single" w:sz="2" w:space="0" w:color="000000"/>
                    <w:left w:val="single" w:sz="2" w:space="0" w:color="000000"/>
                    <w:bottom w:val="single" w:sz="2" w:space="0" w:color="000000"/>
                    <w:right w:val="single" w:sz="2" w:space="0" w:color="000000"/>
                  </w:tcBorders>
                  <w:vAlign w:val="bottom"/>
                </w:tcPr>
                <w:p w14:paraId="18386F8F" w14:textId="77777777" w:rsidR="00053D93" w:rsidRDefault="00260B75">
                  <w:pPr>
                    <w:ind w:left="71"/>
                  </w:pPr>
                  <w:r>
                    <w:rPr>
                      <w:rFonts w:ascii="Times New Roman" w:eastAsia="Times New Roman" w:hAnsi="Times New Roman" w:cs="Times New Roman"/>
                      <w:sz w:val="16"/>
                    </w:rPr>
                    <w:t>5</w:t>
                  </w:r>
                </w:p>
              </w:tc>
              <w:tc>
                <w:tcPr>
                  <w:tcW w:w="1257" w:type="dxa"/>
                  <w:gridSpan w:val="3"/>
                  <w:tcBorders>
                    <w:top w:val="single" w:sz="2" w:space="0" w:color="000000"/>
                    <w:left w:val="single" w:sz="2" w:space="0" w:color="000000"/>
                    <w:bottom w:val="single" w:sz="2" w:space="0" w:color="000000"/>
                    <w:right w:val="single" w:sz="2" w:space="0" w:color="000000"/>
                  </w:tcBorders>
                  <w:vAlign w:val="bottom"/>
                </w:tcPr>
                <w:p w14:paraId="481C704E" w14:textId="77777777" w:rsidR="00053D93" w:rsidRDefault="00260B75">
                  <w:pPr>
                    <w:ind w:left="3"/>
                    <w:jc w:val="center"/>
                  </w:pPr>
                  <w:r>
                    <w:rPr>
                      <w:sz w:val="20"/>
                    </w:rPr>
                    <w:t>NO APLICA</w:t>
                  </w:r>
                </w:p>
              </w:tc>
              <w:tc>
                <w:tcPr>
                  <w:tcW w:w="917" w:type="dxa"/>
                  <w:tcBorders>
                    <w:top w:val="single" w:sz="2" w:space="0" w:color="000000"/>
                    <w:left w:val="single" w:sz="2" w:space="0" w:color="000000"/>
                    <w:bottom w:val="single" w:sz="2" w:space="0" w:color="000000"/>
                    <w:right w:val="single" w:sz="2" w:space="0" w:color="000000"/>
                  </w:tcBorders>
                  <w:vAlign w:val="bottom"/>
                </w:tcPr>
                <w:p w14:paraId="060D3263" w14:textId="77777777" w:rsidR="00053D93" w:rsidRDefault="00260B75">
                  <w:pPr>
                    <w:ind w:left="118"/>
                  </w:pPr>
                  <w:r>
                    <w:rPr>
                      <w:rFonts w:ascii="Times New Roman" w:eastAsia="Times New Roman" w:hAnsi="Times New Roman" w:cs="Times New Roman"/>
                      <w:sz w:val="16"/>
                    </w:rPr>
                    <w:t>4/03/2024</w:t>
                  </w:r>
                </w:p>
              </w:tc>
              <w:tc>
                <w:tcPr>
                  <w:tcW w:w="1966" w:type="dxa"/>
                  <w:tcBorders>
                    <w:top w:val="single" w:sz="2" w:space="0" w:color="000000"/>
                    <w:left w:val="single" w:sz="2" w:space="0" w:color="000000"/>
                    <w:bottom w:val="single" w:sz="2" w:space="0" w:color="000000"/>
                    <w:right w:val="nil"/>
                  </w:tcBorders>
                  <w:vAlign w:val="bottom"/>
                </w:tcPr>
                <w:p w14:paraId="4352AF78" w14:textId="77777777" w:rsidR="00053D93" w:rsidRDefault="00260B75">
                  <w:pPr>
                    <w:ind w:left="79"/>
                  </w:pPr>
                  <w:r>
                    <w:rPr>
                      <w:sz w:val="18"/>
                    </w:rPr>
                    <w:t>Asociación de Hombres</w:t>
                  </w:r>
                </w:p>
                <w:p w14:paraId="56226E93" w14:textId="77777777" w:rsidR="00053D93" w:rsidRDefault="00260B75">
                  <w:pPr>
                    <w:spacing w:after="58"/>
                    <w:ind w:left="86"/>
                  </w:pPr>
                  <w:r>
                    <w:rPr>
                      <w:noProof/>
                    </w:rPr>
                    <w:drawing>
                      <wp:inline distT="0" distB="0" distL="0" distR="0" wp14:anchorId="5D2A2EA2" wp14:editId="364BE5FA">
                        <wp:extent cx="534924" cy="96012"/>
                        <wp:effectExtent l="0" t="0" r="0" b="0"/>
                        <wp:docPr id="159240" name="Picture 159240"/>
                        <wp:cNvGraphicFramePr/>
                        <a:graphic xmlns:a="http://schemas.openxmlformats.org/drawingml/2006/main">
                          <a:graphicData uri="http://schemas.openxmlformats.org/drawingml/2006/picture">
                            <pic:pic xmlns:pic="http://schemas.openxmlformats.org/drawingml/2006/picture">
                              <pic:nvPicPr>
                                <pic:cNvPr id="159240" name="Picture 159240"/>
                                <pic:cNvPicPr/>
                              </pic:nvPicPr>
                              <pic:blipFill>
                                <a:blip r:embed="rId187"/>
                                <a:stretch>
                                  <a:fillRect/>
                                </a:stretch>
                              </pic:blipFill>
                              <pic:spPr>
                                <a:xfrm>
                                  <a:off x="0" y="0"/>
                                  <a:ext cx="534924" cy="96012"/>
                                </a:xfrm>
                                <a:prstGeom prst="rect">
                                  <a:avLst/>
                                </a:prstGeom>
                              </pic:spPr>
                            </pic:pic>
                          </a:graphicData>
                        </a:graphic>
                      </wp:inline>
                    </w:drawing>
                  </w:r>
                </w:p>
                <w:p w14:paraId="01F8F165" w14:textId="77777777" w:rsidR="00053D93" w:rsidRDefault="00260B75">
                  <w:pPr>
                    <w:ind w:left="86"/>
                  </w:pPr>
                  <w:r>
                    <w:rPr>
                      <w:sz w:val="18"/>
                    </w:rPr>
                    <w:t>BuitdOn Guatemala Ong.</w:t>
                  </w:r>
                </w:p>
              </w:tc>
              <w:tc>
                <w:tcPr>
                  <w:tcW w:w="220" w:type="dxa"/>
                  <w:tcBorders>
                    <w:top w:val="single" w:sz="2" w:space="0" w:color="000000"/>
                    <w:left w:val="nil"/>
                    <w:bottom w:val="single" w:sz="2" w:space="0" w:color="000000"/>
                    <w:right w:val="single" w:sz="2" w:space="0" w:color="000000"/>
                  </w:tcBorders>
                  <w:vAlign w:val="bottom"/>
                </w:tcPr>
                <w:p w14:paraId="46516A0F" w14:textId="77777777" w:rsidR="00053D93" w:rsidRDefault="00260B75">
                  <w:pPr>
                    <w:ind w:left="65"/>
                  </w:pPr>
                  <w:r>
                    <w:rPr>
                      <w:rFonts w:ascii="Times New Roman" w:eastAsia="Times New Roman" w:hAnsi="Times New Roman" w:cs="Times New Roman"/>
                      <w:sz w:val="10"/>
                    </w:rPr>
                    <w:t>Y</w:t>
                  </w:r>
                </w:p>
              </w:tc>
              <w:tc>
                <w:tcPr>
                  <w:tcW w:w="2278" w:type="dxa"/>
                  <w:tcBorders>
                    <w:top w:val="single" w:sz="2" w:space="0" w:color="000000"/>
                    <w:left w:val="single" w:sz="2" w:space="0" w:color="000000"/>
                    <w:bottom w:val="single" w:sz="2" w:space="0" w:color="000000"/>
                    <w:right w:val="single" w:sz="2" w:space="0" w:color="000000"/>
                  </w:tcBorders>
                  <w:vAlign w:val="bottom"/>
                </w:tcPr>
                <w:p w14:paraId="3C5EAE66" w14:textId="77777777" w:rsidR="00053D93" w:rsidRDefault="00260B75">
                  <w:pPr>
                    <w:spacing w:line="220" w:lineRule="auto"/>
                    <w:ind w:left="82" w:right="86" w:hanging="7"/>
                    <w:jc w:val="both"/>
                  </w:pPr>
                  <w:r>
                    <w:rPr>
                      <w:sz w:val="16"/>
                    </w:rPr>
                    <w:t>Apoyar mediante el reemplazo, el remozamiento y/o 'a ampliación de la infraestructura física a la Escuele Oficial Rural Mixta ubicada en el Parcelamiento Agrario La</w:t>
                  </w:r>
                </w:p>
                <w:p w14:paraId="17554D95" w14:textId="77777777" w:rsidR="00053D93" w:rsidRDefault="00260B75">
                  <w:pPr>
                    <w:ind w:left="82"/>
                  </w:pPr>
                  <w:r>
                    <w:rPr>
                      <w:sz w:val="16"/>
                    </w:rPr>
                    <w:t>Caoba. Municipio de Santa María</w:t>
                  </w:r>
                </w:p>
                <w:p w14:paraId="3E8E0E64" w14:textId="77777777" w:rsidR="00053D93" w:rsidRDefault="00260B75">
                  <w:pPr>
                    <w:ind w:left="75" w:right="86" w:firstLine="7"/>
                    <w:jc w:val="both"/>
                  </w:pPr>
                  <w:r>
                    <w:rPr>
                      <w:sz w:val="16"/>
                    </w:rPr>
                    <w:t xml:space="preserve">Cahabón, Departamento de Alta Verapaz. con </w:t>
                  </w:r>
                  <w:r>
                    <w:rPr>
                      <w:rFonts w:ascii="Times New Roman" w:eastAsia="Times New Roman" w:hAnsi="Times New Roman" w:cs="Times New Roman"/>
                      <w:sz w:val="16"/>
                    </w:rPr>
                    <w:t>el código 16-12-022843.</w:t>
                  </w:r>
                </w:p>
              </w:tc>
              <w:tc>
                <w:tcPr>
                  <w:tcW w:w="1433" w:type="dxa"/>
                  <w:tcBorders>
                    <w:top w:val="single" w:sz="2" w:space="0" w:color="000000"/>
                    <w:left w:val="single" w:sz="2" w:space="0" w:color="000000"/>
                    <w:bottom w:val="single" w:sz="2" w:space="0" w:color="000000"/>
                    <w:right w:val="single" w:sz="2" w:space="0" w:color="000000"/>
                  </w:tcBorders>
                  <w:vAlign w:val="bottom"/>
                </w:tcPr>
                <w:p w14:paraId="6ACAF42F" w14:textId="77777777" w:rsidR="00053D93" w:rsidRDefault="00260B75">
                  <w:pPr>
                    <w:ind w:right="79"/>
                    <w:jc w:val="right"/>
                  </w:pPr>
                  <w:r>
                    <w:rPr>
                      <w:sz w:val="18"/>
                    </w:rPr>
                    <w:t>179,300.oo</w:t>
                  </w:r>
                </w:p>
              </w:tc>
            </w:tr>
            <w:tr w:rsidR="00053D93" w14:paraId="361F6ACB" w14:textId="77777777">
              <w:trPr>
                <w:trHeight w:val="3446"/>
              </w:trPr>
              <w:tc>
                <w:tcPr>
                  <w:tcW w:w="302" w:type="dxa"/>
                  <w:tcBorders>
                    <w:top w:val="single" w:sz="2" w:space="0" w:color="000000"/>
                    <w:left w:val="single" w:sz="2" w:space="0" w:color="000000"/>
                    <w:bottom w:val="single" w:sz="2" w:space="0" w:color="000000"/>
                    <w:right w:val="single" w:sz="2" w:space="0" w:color="000000"/>
                  </w:tcBorders>
                  <w:vAlign w:val="bottom"/>
                </w:tcPr>
                <w:p w14:paraId="2206FC03" w14:textId="77777777" w:rsidR="00053D93" w:rsidRDefault="00260B75">
                  <w:pPr>
                    <w:ind w:left="64"/>
                  </w:pPr>
                  <w:r>
                    <w:rPr>
                      <w:rFonts w:ascii="Times New Roman" w:eastAsia="Times New Roman" w:hAnsi="Times New Roman" w:cs="Times New Roman"/>
                      <w:sz w:val="18"/>
                    </w:rPr>
                    <w:t>6</w:t>
                  </w:r>
                </w:p>
              </w:tc>
              <w:tc>
                <w:tcPr>
                  <w:tcW w:w="1257" w:type="dxa"/>
                  <w:gridSpan w:val="3"/>
                  <w:tcBorders>
                    <w:top w:val="single" w:sz="2" w:space="0" w:color="000000"/>
                    <w:left w:val="single" w:sz="2" w:space="0" w:color="000000"/>
                    <w:bottom w:val="single" w:sz="2" w:space="0" w:color="000000"/>
                    <w:right w:val="single" w:sz="2" w:space="0" w:color="000000"/>
                  </w:tcBorders>
                  <w:vAlign w:val="bottom"/>
                </w:tcPr>
                <w:p w14:paraId="00FED603" w14:textId="77777777" w:rsidR="00053D93" w:rsidRDefault="00260B75">
                  <w:pPr>
                    <w:ind w:left="3"/>
                    <w:jc w:val="center"/>
                  </w:pPr>
                  <w:r>
                    <w:rPr>
                      <w:sz w:val="20"/>
                    </w:rPr>
                    <w:t>NO APLICA</w:t>
                  </w:r>
                </w:p>
              </w:tc>
              <w:tc>
                <w:tcPr>
                  <w:tcW w:w="917" w:type="dxa"/>
                  <w:tcBorders>
                    <w:top w:val="single" w:sz="2" w:space="0" w:color="000000"/>
                    <w:left w:val="single" w:sz="2" w:space="0" w:color="000000"/>
                    <w:bottom w:val="single" w:sz="2" w:space="0" w:color="000000"/>
                    <w:right w:val="single" w:sz="2" w:space="0" w:color="000000"/>
                  </w:tcBorders>
                  <w:vAlign w:val="bottom"/>
                </w:tcPr>
                <w:p w14:paraId="4B64D92D" w14:textId="77777777" w:rsidR="00053D93" w:rsidRDefault="00260B75">
                  <w:pPr>
                    <w:ind w:left="89"/>
                  </w:pPr>
                  <w:r>
                    <w:rPr>
                      <w:rFonts w:ascii="Times New Roman" w:eastAsia="Times New Roman" w:hAnsi="Times New Roman" w:cs="Times New Roman"/>
                      <w:sz w:val="18"/>
                    </w:rPr>
                    <w:t>13/03/2024</w:t>
                  </w:r>
                </w:p>
              </w:tc>
              <w:tc>
                <w:tcPr>
                  <w:tcW w:w="1966" w:type="dxa"/>
                  <w:tcBorders>
                    <w:top w:val="single" w:sz="2" w:space="0" w:color="000000"/>
                    <w:left w:val="single" w:sz="2" w:space="0" w:color="000000"/>
                    <w:bottom w:val="single" w:sz="2" w:space="0" w:color="000000"/>
                    <w:right w:val="nil"/>
                  </w:tcBorders>
                  <w:vAlign w:val="bottom"/>
                </w:tcPr>
                <w:p w14:paraId="76EC7401" w14:textId="77777777" w:rsidR="00053D93" w:rsidRDefault="00260B75">
                  <w:pPr>
                    <w:spacing w:line="232" w:lineRule="auto"/>
                    <w:ind w:left="86" w:right="-130" w:hanging="7"/>
                    <w:jc w:val="both"/>
                  </w:pPr>
                  <w:r>
                    <w:rPr>
                      <w:sz w:val="18"/>
                    </w:rPr>
                    <w:t>Asociación de Hombres Mujeres, BuildOn Guatemala</w:t>
                  </w:r>
                </w:p>
                <w:p w14:paraId="682B3BCD" w14:textId="77777777" w:rsidR="00053D93" w:rsidRDefault="00260B75">
                  <w:pPr>
                    <w:ind w:left="86"/>
                  </w:pPr>
                  <w:r>
                    <w:rPr>
                      <w:rFonts w:ascii="Times New Roman" w:eastAsia="Times New Roman" w:hAnsi="Times New Roman" w:cs="Times New Roman"/>
                      <w:sz w:val="14"/>
                    </w:rPr>
                    <w:t>Ong,</w:t>
                  </w:r>
                </w:p>
              </w:tc>
              <w:tc>
                <w:tcPr>
                  <w:tcW w:w="220" w:type="dxa"/>
                  <w:tcBorders>
                    <w:top w:val="single" w:sz="2" w:space="0" w:color="000000"/>
                    <w:left w:val="nil"/>
                    <w:bottom w:val="single" w:sz="2" w:space="0" w:color="000000"/>
                    <w:right w:val="single" w:sz="2" w:space="0" w:color="000000"/>
                  </w:tcBorders>
                  <w:vAlign w:val="bottom"/>
                </w:tcPr>
                <w:p w14:paraId="5DA227F9" w14:textId="77777777" w:rsidR="00053D93" w:rsidRDefault="00260B75">
                  <w:pPr>
                    <w:ind w:left="65"/>
                  </w:pPr>
                  <w:r>
                    <w:rPr>
                      <w:rFonts w:ascii="Times New Roman" w:eastAsia="Times New Roman" w:hAnsi="Times New Roman" w:cs="Times New Roman"/>
                      <w:sz w:val="10"/>
                    </w:rPr>
                    <w:t>Y</w:t>
                  </w:r>
                </w:p>
              </w:tc>
              <w:tc>
                <w:tcPr>
                  <w:tcW w:w="2278" w:type="dxa"/>
                  <w:tcBorders>
                    <w:top w:val="single" w:sz="2" w:space="0" w:color="000000"/>
                    <w:left w:val="single" w:sz="2" w:space="0" w:color="000000"/>
                    <w:bottom w:val="single" w:sz="2" w:space="0" w:color="000000"/>
                    <w:right w:val="single" w:sz="2" w:space="0" w:color="000000"/>
                  </w:tcBorders>
                  <w:vAlign w:val="bottom"/>
                </w:tcPr>
                <w:p w14:paraId="30E46901" w14:textId="77777777" w:rsidR="00053D93" w:rsidRDefault="00260B75">
                  <w:pPr>
                    <w:ind w:left="82" w:right="79" w:hanging="7"/>
                    <w:jc w:val="both"/>
                  </w:pPr>
                  <w:r>
                    <w:rPr>
                      <w:sz w:val="16"/>
                    </w:rPr>
                    <w:t>Apoyar mediante el reemplazo, eT remozamiento y/o la ampliación de la infraestructura fisica de la Escueta Oficial Rural Mixta ubicada en Caserio Nueva Agua Caliente. Municipio de Santa María Cahabón, identificada con el código 16-12-01 15-43 y a la Escuela Oficial Rural Mixta ubicada en Caserio Tuzbilpec, Municipio de Santa Maria Cahabén. identificada con el código 16-12-0174-43, ambas escuelas del departamento de Ata Verapaz.</w:t>
                  </w:r>
                </w:p>
              </w:tc>
              <w:tc>
                <w:tcPr>
                  <w:tcW w:w="1433" w:type="dxa"/>
                  <w:tcBorders>
                    <w:top w:val="single" w:sz="2" w:space="0" w:color="000000"/>
                    <w:left w:val="single" w:sz="2" w:space="0" w:color="000000"/>
                    <w:bottom w:val="single" w:sz="2" w:space="0" w:color="000000"/>
                    <w:right w:val="single" w:sz="2" w:space="0" w:color="000000"/>
                  </w:tcBorders>
                  <w:vAlign w:val="bottom"/>
                </w:tcPr>
                <w:p w14:paraId="459D1445" w14:textId="77777777" w:rsidR="00053D93" w:rsidRDefault="00260B75">
                  <w:pPr>
                    <w:ind w:right="79"/>
                    <w:jc w:val="right"/>
                  </w:pPr>
                  <w:r>
                    <w:rPr>
                      <w:sz w:val="16"/>
                    </w:rPr>
                    <w:t>179,300.oo</w:t>
                  </w:r>
                </w:p>
              </w:tc>
            </w:tr>
            <w:tr w:rsidR="00053D93" w14:paraId="7D8701D7" w14:textId="77777777">
              <w:trPr>
                <w:trHeight w:val="2726"/>
              </w:trPr>
              <w:tc>
                <w:tcPr>
                  <w:tcW w:w="302" w:type="dxa"/>
                  <w:vMerge w:val="restart"/>
                  <w:tcBorders>
                    <w:top w:val="single" w:sz="2" w:space="0" w:color="000000"/>
                    <w:left w:val="single" w:sz="2" w:space="0" w:color="000000"/>
                    <w:bottom w:val="nil"/>
                    <w:right w:val="single" w:sz="2" w:space="0" w:color="000000"/>
                  </w:tcBorders>
                  <w:vAlign w:val="bottom"/>
                </w:tcPr>
                <w:p w14:paraId="6E50AB69" w14:textId="77777777" w:rsidR="00053D93" w:rsidRDefault="00260B75">
                  <w:pPr>
                    <w:ind w:left="14"/>
                  </w:pPr>
                  <w:r>
                    <w:rPr>
                      <w:noProof/>
                    </w:rPr>
                    <w:lastRenderedPageBreak/>
                    <w:drawing>
                      <wp:inline distT="0" distB="0" distL="0" distR="0" wp14:anchorId="18C27B98" wp14:editId="780C2C8A">
                        <wp:extent cx="182880" cy="406908"/>
                        <wp:effectExtent l="0" t="0" r="0" b="0"/>
                        <wp:docPr id="159198" name="Picture 159198"/>
                        <wp:cNvGraphicFramePr/>
                        <a:graphic xmlns:a="http://schemas.openxmlformats.org/drawingml/2006/main">
                          <a:graphicData uri="http://schemas.openxmlformats.org/drawingml/2006/picture">
                            <pic:pic xmlns:pic="http://schemas.openxmlformats.org/drawingml/2006/picture">
                              <pic:nvPicPr>
                                <pic:cNvPr id="159198" name="Picture 159198"/>
                                <pic:cNvPicPr/>
                              </pic:nvPicPr>
                              <pic:blipFill>
                                <a:blip r:embed="rId188"/>
                                <a:stretch>
                                  <a:fillRect/>
                                </a:stretch>
                              </pic:blipFill>
                              <pic:spPr>
                                <a:xfrm>
                                  <a:off x="0" y="0"/>
                                  <a:ext cx="182880" cy="406908"/>
                                </a:xfrm>
                                <a:prstGeom prst="rect">
                                  <a:avLst/>
                                </a:prstGeom>
                              </pic:spPr>
                            </pic:pic>
                          </a:graphicData>
                        </a:graphic>
                      </wp:inline>
                    </w:drawing>
                  </w:r>
                </w:p>
              </w:tc>
              <w:tc>
                <w:tcPr>
                  <w:tcW w:w="1257" w:type="dxa"/>
                  <w:gridSpan w:val="3"/>
                  <w:tcBorders>
                    <w:top w:val="single" w:sz="2" w:space="0" w:color="000000"/>
                    <w:left w:val="single" w:sz="2" w:space="0" w:color="000000"/>
                    <w:bottom w:val="nil"/>
                    <w:right w:val="single" w:sz="2" w:space="0" w:color="000000"/>
                  </w:tcBorders>
                </w:tcPr>
                <w:p w14:paraId="27CCC7CB" w14:textId="77777777" w:rsidR="00053D93" w:rsidRDefault="00053D93"/>
              </w:tc>
              <w:tc>
                <w:tcPr>
                  <w:tcW w:w="917" w:type="dxa"/>
                  <w:tcBorders>
                    <w:top w:val="single" w:sz="2" w:space="0" w:color="000000"/>
                    <w:left w:val="single" w:sz="2" w:space="0" w:color="000000"/>
                    <w:bottom w:val="single" w:sz="2" w:space="0" w:color="000000"/>
                    <w:right w:val="single" w:sz="2" w:space="0" w:color="000000"/>
                  </w:tcBorders>
                </w:tcPr>
                <w:p w14:paraId="761978E8" w14:textId="77777777" w:rsidR="00053D93" w:rsidRDefault="00053D93"/>
              </w:tc>
              <w:tc>
                <w:tcPr>
                  <w:tcW w:w="2186" w:type="dxa"/>
                  <w:gridSpan w:val="2"/>
                  <w:tcBorders>
                    <w:top w:val="single" w:sz="2" w:space="0" w:color="000000"/>
                    <w:left w:val="single" w:sz="2" w:space="0" w:color="000000"/>
                    <w:bottom w:val="single" w:sz="2" w:space="0" w:color="000000"/>
                    <w:right w:val="single" w:sz="2" w:space="0" w:color="000000"/>
                  </w:tcBorders>
                </w:tcPr>
                <w:p w14:paraId="4A404508" w14:textId="77777777" w:rsidR="00053D93" w:rsidRDefault="00053D93"/>
              </w:tc>
              <w:tc>
                <w:tcPr>
                  <w:tcW w:w="2278" w:type="dxa"/>
                  <w:tcBorders>
                    <w:top w:val="single" w:sz="2" w:space="0" w:color="000000"/>
                    <w:left w:val="single" w:sz="2" w:space="0" w:color="000000"/>
                    <w:bottom w:val="single" w:sz="2" w:space="0" w:color="000000"/>
                    <w:right w:val="single" w:sz="2" w:space="0" w:color="000000"/>
                  </w:tcBorders>
                  <w:vAlign w:val="bottom"/>
                </w:tcPr>
                <w:p w14:paraId="1EA51B5A" w14:textId="77777777" w:rsidR="00053D93" w:rsidRDefault="00260B75">
                  <w:pPr>
                    <w:spacing w:line="228" w:lineRule="auto"/>
                    <w:ind w:left="75" w:right="79" w:firstLine="7"/>
                    <w:jc w:val="both"/>
                  </w:pPr>
                  <w:r>
                    <w:rPr>
                      <w:sz w:val="16"/>
                    </w:rPr>
                    <w:t>Modificar la Cláusula NOVENA. VIGENCIA de la carta de Entendimiento de Cooperación Interinstitucional entre el Ministerio de Educación y la Deutsche</w:t>
                  </w:r>
                </w:p>
                <w:p w14:paraId="3F16FE33" w14:textId="77777777" w:rsidR="00053D93" w:rsidRDefault="00260B75">
                  <w:pPr>
                    <w:ind w:left="82" w:right="79"/>
                    <w:jc w:val="both"/>
                  </w:pPr>
                  <w:r>
                    <w:rPr>
                      <w:sz w:val="16"/>
                    </w:rPr>
                    <w:t>Gesellschaft Fúr Internationale Zusammenarbeit (GIZ) GmbH para la implementación del proyecto</w:t>
                  </w:r>
                </w:p>
              </w:tc>
              <w:tc>
                <w:tcPr>
                  <w:tcW w:w="1433" w:type="dxa"/>
                  <w:tcBorders>
                    <w:top w:val="single" w:sz="2" w:space="0" w:color="000000"/>
                    <w:left w:val="single" w:sz="2" w:space="0" w:color="000000"/>
                    <w:bottom w:val="single" w:sz="2" w:space="0" w:color="000000"/>
                    <w:right w:val="single" w:sz="2" w:space="0" w:color="000000"/>
                  </w:tcBorders>
                </w:tcPr>
                <w:p w14:paraId="7022AE56" w14:textId="77777777" w:rsidR="00053D93" w:rsidRDefault="00053D93"/>
              </w:tc>
            </w:tr>
            <w:tr w:rsidR="00053D93" w14:paraId="3DFBEDF6" w14:textId="77777777">
              <w:trPr>
                <w:trHeight w:val="600"/>
              </w:trPr>
              <w:tc>
                <w:tcPr>
                  <w:tcW w:w="0" w:type="auto"/>
                  <w:vMerge/>
                  <w:tcBorders>
                    <w:top w:val="nil"/>
                    <w:left w:val="single" w:sz="2" w:space="0" w:color="000000"/>
                    <w:bottom w:val="nil"/>
                    <w:right w:val="single" w:sz="2" w:space="0" w:color="000000"/>
                  </w:tcBorders>
                </w:tcPr>
                <w:p w14:paraId="3F5E84D3" w14:textId="77777777" w:rsidR="00053D93" w:rsidRDefault="00053D93"/>
              </w:tc>
              <w:tc>
                <w:tcPr>
                  <w:tcW w:w="288" w:type="dxa"/>
                  <w:tcBorders>
                    <w:top w:val="nil"/>
                    <w:left w:val="single" w:sz="2" w:space="0" w:color="000000"/>
                    <w:bottom w:val="nil"/>
                    <w:right w:val="single" w:sz="2" w:space="0" w:color="000000"/>
                  </w:tcBorders>
                </w:tcPr>
                <w:p w14:paraId="281A65E6" w14:textId="77777777" w:rsidR="00053D93" w:rsidRDefault="00260B75">
                  <w:r>
                    <w:rPr>
                      <w:noProof/>
                    </w:rPr>
                    <w:drawing>
                      <wp:inline distT="0" distB="0" distL="0" distR="0" wp14:anchorId="06159E6D" wp14:editId="066B6B7B">
                        <wp:extent cx="169164" cy="384048"/>
                        <wp:effectExtent l="0" t="0" r="0" b="0"/>
                        <wp:docPr id="159187" name="Picture 159187"/>
                        <wp:cNvGraphicFramePr/>
                        <a:graphic xmlns:a="http://schemas.openxmlformats.org/drawingml/2006/main">
                          <a:graphicData uri="http://schemas.openxmlformats.org/drawingml/2006/picture">
                            <pic:pic xmlns:pic="http://schemas.openxmlformats.org/drawingml/2006/picture">
                              <pic:nvPicPr>
                                <pic:cNvPr id="159187" name="Picture 159187"/>
                                <pic:cNvPicPr/>
                              </pic:nvPicPr>
                              <pic:blipFill>
                                <a:blip r:embed="rId189"/>
                                <a:stretch>
                                  <a:fillRect/>
                                </a:stretch>
                              </pic:blipFill>
                              <pic:spPr>
                                <a:xfrm>
                                  <a:off x="0" y="0"/>
                                  <a:ext cx="169164" cy="384048"/>
                                </a:xfrm>
                                <a:prstGeom prst="rect">
                                  <a:avLst/>
                                </a:prstGeom>
                              </pic:spPr>
                            </pic:pic>
                          </a:graphicData>
                        </a:graphic>
                      </wp:inline>
                    </w:drawing>
                  </w:r>
                </w:p>
              </w:tc>
              <w:tc>
                <w:tcPr>
                  <w:tcW w:w="177" w:type="dxa"/>
                  <w:tcBorders>
                    <w:top w:val="nil"/>
                    <w:left w:val="single" w:sz="2" w:space="0" w:color="000000"/>
                    <w:bottom w:val="nil"/>
                    <w:right w:val="single" w:sz="2" w:space="0" w:color="000000"/>
                  </w:tcBorders>
                </w:tcPr>
                <w:p w14:paraId="17C3FAD4" w14:textId="77777777" w:rsidR="00053D93" w:rsidRDefault="00053D93"/>
              </w:tc>
              <w:tc>
                <w:tcPr>
                  <w:tcW w:w="7606" w:type="dxa"/>
                  <w:gridSpan w:val="6"/>
                  <w:tcBorders>
                    <w:top w:val="single" w:sz="2" w:space="0" w:color="000000"/>
                    <w:left w:val="single" w:sz="2" w:space="0" w:color="000000"/>
                    <w:bottom w:val="nil"/>
                    <w:right w:val="nil"/>
                  </w:tcBorders>
                </w:tcPr>
                <w:p w14:paraId="547A5B6D" w14:textId="77777777" w:rsidR="00053D93" w:rsidRDefault="00260B75">
                  <w:pPr>
                    <w:ind w:left="2573"/>
                  </w:pPr>
                  <w:r>
                    <w:rPr>
                      <w:sz w:val="14"/>
                    </w:rPr>
                    <w:t>MINISTERIO DE EDUCACION</w:t>
                  </w:r>
                </w:p>
                <w:p w14:paraId="75123837" w14:textId="77777777" w:rsidR="00053D93" w:rsidRDefault="00260B75">
                  <w:pPr>
                    <w:ind w:left="2076"/>
                  </w:pPr>
                  <w:r>
                    <w:rPr>
                      <w:sz w:val="14"/>
                    </w:rPr>
                    <w:t>AUDITORIA FINANCIERA Y DE CUMPLIMIENTO</w:t>
                  </w:r>
                </w:p>
                <w:p w14:paraId="57038B18" w14:textId="77777777" w:rsidR="00053D93" w:rsidRDefault="00260B75">
                  <w:pPr>
                    <w:ind w:left="1738"/>
                  </w:pPr>
                  <w:r>
                    <w:rPr>
                      <w:sz w:val="14"/>
                    </w:rPr>
                    <w:t>PERIODO DEL 01 OE ENERO AL 31 DE DICIEMBRE DE 2024</w:t>
                  </w:r>
                </w:p>
              </w:tc>
            </w:tr>
          </w:tbl>
          <w:p w14:paraId="04E4D2D5" w14:textId="77777777" w:rsidR="00053D93" w:rsidRDefault="00053D93"/>
        </w:tc>
      </w:tr>
      <w:tr w:rsidR="00053D93" w14:paraId="30050EE2" w14:textId="77777777">
        <w:trPr>
          <w:trHeight w:val="814"/>
        </w:trPr>
        <w:tc>
          <w:tcPr>
            <w:tcW w:w="1793" w:type="dxa"/>
            <w:tcBorders>
              <w:top w:val="nil"/>
              <w:left w:val="nil"/>
              <w:bottom w:val="nil"/>
              <w:right w:val="nil"/>
            </w:tcBorders>
          </w:tcPr>
          <w:p w14:paraId="0F5EA1AA" w14:textId="77777777" w:rsidR="00053D93" w:rsidRDefault="00260B75">
            <w:pPr>
              <w:ind w:left="36"/>
            </w:pPr>
            <w:r>
              <w:rPr>
                <w:noProof/>
              </w:rPr>
              <w:drawing>
                <wp:inline distT="0" distB="0" distL="0" distR="0" wp14:anchorId="620703C8" wp14:editId="4228EF0A">
                  <wp:extent cx="150876" cy="379476"/>
                  <wp:effectExtent l="0" t="0" r="0" b="0"/>
                  <wp:docPr id="159331" name="Picture 159331"/>
                  <wp:cNvGraphicFramePr/>
                  <a:graphic xmlns:a="http://schemas.openxmlformats.org/drawingml/2006/main">
                    <a:graphicData uri="http://schemas.openxmlformats.org/drawingml/2006/picture">
                      <pic:pic xmlns:pic="http://schemas.openxmlformats.org/drawingml/2006/picture">
                        <pic:nvPicPr>
                          <pic:cNvPr id="159331" name="Picture 159331"/>
                          <pic:cNvPicPr/>
                        </pic:nvPicPr>
                        <pic:blipFill>
                          <a:blip r:embed="rId190"/>
                          <a:stretch>
                            <a:fillRect/>
                          </a:stretch>
                        </pic:blipFill>
                        <pic:spPr>
                          <a:xfrm>
                            <a:off x="0" y="0"/>
                            <a:ext cx="150876" cy="379476"/>
                          </a:xfrm>
                          <a:prstGeom prst="rect">
                            <a:avLst/>
                          </a:prstGeom>
                        </pic:spPr>
                      </pic:pic>
                    </a:graphicData>
                  </a:graphic>
                </wp:inline>
              </w:drawing>
            </w:r>
          </w:p>
        </w:tc>
        <w:tc>
          <w:tcPr>
            <w:tcW w:w="0" w:type="auto"/>
            <w:vMerge/>
            <w:tcBorders>
              <w:top w:val="nil"/>
              <w:left w:val="nil"/>
              <w:bottom w:val="nil"/>
              <w:right w:val="nil"/>
            </w:tcBorders>
          </w:tcPr>
          <w:p w14:paraId="3C6CABBC" w14:textId="77777777" w:rsidR="00053D93" w:rsidRDefault="00053D93"/>
        </w:tc>
      </w:tr>
      <w:tr w:rsidR="00053D93" w14:paraId="379A4110" w14:textId="77777777">
        <w:trPr>
          <w:trHeight w:val="814"/>
        </w:trPr>
        <w:tc>
          <w:tcPr>
            <w:tcW w:w="1793" w:type="dxa"/>
            <w:tcBorders>
              <w:top w:val="nil"/>
              <w:left w:val="nil"/>
              <w:bottom w:val="nil"/>
              <w:right w:val="nil"/>
            </w:tcBorders>
          </w:tcPr>
          <w:p w14:paraId="4D18C7CC" w14:textId="77777777" w:rsidR="00053D93" w:rsidRDefault="00260B75">
            <w:pPr>
              <w:ind w:left="36"/>
            </w:pPr>
            <w:r>
              <w:rPr>
                <w:noProof/>
              </w:rPr>
              <w:drawing>
                <wp:inline distT="0" distB="0" distL="0" distR="0" wp14:anchorId="3767353D" wp14:editId="0D724080">
                  <wp:extent cx="146304" cy="379476"/>
                  <wp:effectExtent l="0" t="0" r="0" b="0"/>
                  <wp:docPr id="159332" name="Picture 159332"/>
                  <wp:cNvGraphicFramePr/>
                  <a:graphic xmlns:a="http://schemas.openxmlformats.org/drawingml/2006/main">
                    <a:graphicData uri="http://schemas.openxmlformats.org/drawingml/2006/picture">
                      <pic:pic xmlns:pic="http://schemas.openxmlformats.org/drawingml/2006/picture">
                        <pic:nvPicPr>
                          <pic:cNvPr id="159332" name="Picture 159332"/>
                          <pic:cNvPicPr/>
                        </pic:nvPicPr>
                        <pic:blipFill>
                          <a:blip r:embed="rId191"/>
                          <a:stretch>
                            <a:fillRect/>
                          </a:stretch>
                        </pic:blipFill>
                        <pic:spPr>
                          <a:xfrm>
                            <a:off x="0" y="0"/>
                            <a:ext cx="146304" cy="379476"/>
                          </a:xfrm>
                          <a:prstGeom prst="rect">
                            <a:avLst/>
                          </a:prstGeom>
                        </pic:spPr>
                      </pic:pic>
                    </a:graphicData>
                  </a:graphic>
                </wp:inline>
              </w:drawing>
            </w:r>
          </w:p>
        </w:tc>
        <w:tc>
          <w:tcPr>
            <w:tcW w:w="0" w:type="auto"/>
            <w:vMerge/>
            <w:tcBorders>
              <w:top w:val="nil"/>
              <w:left w:val="nil"/>
              <w:bottom w:val="nil"/>
              <w:right w:val="nil"/>
            </w:tcBorders>
          </w:tcPr>
          <w:p w14:paraId="4AB5B2D4" w14:textId="77777777" w:rsidR="00053D93" w:rsidRDefault="00053D93"/>
        </w:tc>
      </w:tr>
      <w:tr w:rsidR="00053D93" w14:paraId="6E9C2ACA" w14:textId="77777777">
        <w:trPr>
          <w:trHeight w:val="806"/>
        </w:trPr>
        <w:tc>
          <w:tcPr>
            <w:tcW w:w="1793" w:type="dxa"/>
            <w:tcBorders>
              <w:top w:val="nil"/>
              <w:left w:val="nil"/>
              <w:bottom w:val="nil"/>
              <w:right w:val="nil"/>
            </w:tcBorders>
          </w:tcPr>
          <w:p w14:paraId="33BED8AE" w14:textId="77777777" w:rsidR="00053D93" w:rsidRDefault="00260B75">
            <w:pPr>
              <w:ind w:left="29"/>
            </w:pPr>
            <w:r>
              <w:rPr>
                <w:noProof/>
              </w:rPr>
              <w:drawing>
                <wp:inline distT="0" distB="0" distL="0" distR="0" wp14:anchorId="73213215" wp14:editId="5B8B49B0">
                  <wp:extent cx="155448" cy="374904"/>
                  <wp:effectExtent l="0" t="0" r="0" b="0"/>
                  <wp:docPr id="159333" name="Picture 159333"/>
                  <wp:cNvGraphicFramePr/>
                  <a:graphic xmlns:a="http://schemas.openxmlformats.org/drawingml/2006/main">
                    <a:graphicData uri="http://schemas.openxmlformats.org/drawingml/2006/picture">
                      <pic:pic xmlns:pic="http://schemas.openxmlformats.org/drawingml/2006/picture">
                        <pic:nvPicPr>
                          <pic:cNvPr id="159333" name="Picture 159333"/>
                          <pic:cNvPicPr/>
                        </pic:nvPicPr>
                        <pic:blipFill>
                          <a:blip r:embed="rId192"/>
                          <a:stretch>
                            <a:fillRect/>
                          </a:stretch>
                        </pic:blipFill>
                        <pic:spPr>
                          <a:xfrm>
                            <a:off x="0" y="0"/>
                            <a:ext cx="155448" cy="374904"/>
                          </a:xfrm>
                          <a:prstGeom prst="rect">
                            <a:avLst/>
                          </a:prstGeom>
                        </pic:spPr>
                      </pic:pic>
                    </a:graphicData>
                  </a:graphic>
                </wp:inline>
              </w:drawing>
            </w:r>
          </w:p>
        </w:tc>
        <w:tc>
          <w:tcPr>
            <w:tcW w:w="0" w:type="auto"/>
            <w:vMerge/>
            <w:tcBorders>
              <w:top w:val="nil"/>
              <w:left w:val="nil"/>
              <w:bottom w:val="nil"/>
              <w:right w:val="nil"/>
            </w:tcBorders>
          </w:tcPr>
          <w:p w14:paraId="3B8B6B32" w14:textId="77777777" w:rsidR="00053D93" w:rsidRDefault="00053D93"/>
        </w:tc>
      </w:tr>
      <w:tr w:rsidR="00053D93" w14:paraId="5271E583" w14:textId="77777777">
        <w:trPr>
          <w:trHeight w:val="814"/>
        </w:trPr>
        <w:tc>
          <w:tcPr>
            <w:tcW w:w="1793" w:type="dxa"/>
            <w:tcBorders>
              <w:top w:val="nil"/>
              <w:left w:val="nil"/>
              <w:bottom w:val="nil"/>
              <w:right w:val="nil"/>
            </w:tcBorders>
          </w:tcPr>
          <w:p w14:paraId="7822681D" w14:textId="77777777" w:rsidR="00053D93" w:rsidRDefault="00260B75">
            <w:pPr>
              <w:ind w:left="29"/>
            </w:pPr>
            <w:r>
              <w:rPr>
                <w:noProof/>
              </w:rPr>
              <w:drawing>
                <wp:inline distT="0" distB="0" distL="0" distR="0" wp14:anchorId="0996BABC" wp14:editId="768670F2">
                  <wp:extent cx="150876" cy="379476"/>
                  <wp:effectExtent l="0" t="0" r="0" b="0"/>
                  <wp:docPr id="159334" name="Picture 159334"/>
                  <wp:cNvGraphicFramePr/>
                  <a:graphic xmlns:a="http://schemas.openxmlformats.org/drawingml/2006/main">
                    <a:graphicData uri="http://schemas.openxmlformats.org/drawingml/2006/picture">
                      <pic:pic xmlns:pic="http://schemas.openxmlformats.org/drawingml/2006/picture">
                        <pic:nvPicPr>
                          <pic:cNvPr id="159334" name="Picture 159334"/>
                          <pic:cNvPicPr/>
                        </pic:nvPicPr>
                        <pic:blipFill>
                          <a:blip r:embed="rId193"/>
                          <a:stretch>
                            <a:fillRect/>
                          </a:stretch>
                        </pic:blipFill>
                        <pic:spPr>
                          <a:xfrm>
                            <a:off x="0" y="0"/>
                            <a:ext cx="150876" cy="379476"/>
                          </a:xfrm>
                          <a:prstGeom prst="rect">
                            <a:avLst/>
                          </a:prstGeom>
                        </pic:spPr>
                      </pic:pic>
                    </a:graphicData>
                  </a:graphic>
                </wp:inline>
              </w:drawing>
            </w:r>
          </w:p>
        </w:tc>
        <w:tc>
          <w:tcPr>
            <w:tcW w:w="0" w:type="auto"/>
            <w:vMerge/>
            <w:tcBorders>
              <w:top w:val="nil"/>
              <w:left w:val="nil"/>
              <w:bottom w:val="nil"/>
              <w:right w:val="nil"/>
            </w:tcBorders>
          </w:tcPr>
          <w:p w14:paraId="5B010D8E" w14:textId="77777777" w:rsidR="00053D93" w:rsidRDefault="00053D93"/>
        </w:tc>
      </w:tr>
      <w:tr w:rsidR="00053D93" w14:paraId="710105D0" w14:textId="77777777">
        <w:trPr>
          <w:trHeight w:val="1627"/>
        </w:trPr>
        <w:tc>
          <w:tcPr>
            <w:tcW w:w="1793" w:type="dxa"/>
            <w:tcBorders>
              <w:top w:val="nil"/>
              <w:left w:val="nil"/>
              <w:bottom w:val="nil"/>
              <w:right w:val="nil"/>
            </w:tcBorders>
          </w:tcPr>
          <w:p w14:paraId="767EC620" w14:textId="77777777" w:rsidR="00053D93" w:rsidRDefault="00260B75">
            <w:pPr>
              <w:ind w:left="22"/>
            </w:pPr>
            <w:r>
              <w:rPr>
                <w:noProof/>
              </w:rPr>
              <w:drawing>
                <wp:inline distT="0" distB="0" distL="0" distR="0" wp14:anchorId="1EA7EC07" wp14:editId="2B16829D">
                  <wp:extent cx="160020" cy="896112"/>
                  <wp:effectExtent l="0" t="0" r="0" b="0"/>
                  <wp:docPr id="159335" name="Picture 159335"/>
                  <wp:cNvGraphicFramePr/>
                  <a:graphic xmlns:a="http://schemas.openxmlformats.org/drawingml/2006/main">
                    <a:graphicData uri="http://schemas.openxmlformats.org/drawingml/2006/picture">
                      <pic:pic xmlns:pic="http://schemas.openxmlformats.org/drawingml/2006/picture">
                        <pic:nvPicPr>
                          <pic:cNvPr id="159335" name="Picture 159335"/>
                          <pic:cNvPicPr/>
                        </pic:nvPicPr>
                        <pic:blipFill>
                          <a:blip r:embed="rId194"/>
                          <a:stretch>
                            <a:fillRect/>
                          </a:stretch>
                        </pic:blipFill>
                        <pic:spPr>
                          <a:xfrm>
                            <a:off x="0" y="0"/>
                            <a:ext cx="160020" cy="896112"/>
                          </a:xfrm>
                          <a:prstGeom prst="rect">
                            <a:avLst/>
                          </a:prstGeom>
                        </pic:spPr>
                      </pic:pic>
                    </a:graphicData>
                  </a:graphic>
                </wp:inline>
              </w:drawing>
            </w:r>
          </w:p>
        </w:tc>
        <w:tc>
          <w:tcPr>
            <w:tcW w:w="0" w:type="auto"/>
            <w:vMerge/>
            <w:tcBorders>
              <w:top w:val="nil"/>
              <w:left w:val="nil"/>
              <w:bottom w:val="nil"/>
              <w:right w:val="nil"/>
            </w:tcBorders>
          </w:tcPr>
          <w:p w14:paraId="7883BD45" w14:textId="77777777" w:rsidR="00053D93" w:rsidRDefault="00053D93"/>
        </w:tc>
      </w:tr>
      <w:tr w:rsidR="00053D93" w14:paraId="2A9F9DB7" w14:textId="77777777">
        <w:trPr>
          <w:trHeight w:val="814"/>
        </w:trPr>
        <w:tc>
          <w:tcPr>
            <w:tcW w:w="1793" w:type="dxa"/>
            <w:tcBorders>
              <w:top w:val="nil"/>
              <w:left w:val="nil"/>
              <w:bottom w:val="nil"/>
              <w:right w:val="nil"/>
            </w:tcBorders>
          </w:tcPr>
          <w:p w14:paraId="4F48DF3E" w14:textId="77777777" w:rsidR="00053D93" w:rsidRDefault="00260B75">
            <w:pPr>
              <w:ind w:left="72"/>
            </w:pPr>
            <w:r>
              <w:rPr>
                <w:noProof/>
              </w:rPr>
              <w:drawing>
                <wp:inline distT="0" distB="0" distL="0" distR="0" wp14:anchorId="199D921C" wp14:editId="4CFB042D">
                  <wp:extent cx="128016" cy="379476"/>
                  <wp:effectExtent l="0" t="0" r="0" b="0"/>
                  <wp:docPr id="159336" name="Picture 159336"/>
                  <wp:cNvGraphicFramePr/>
                  <a:graphic xmlns:a="http://schemas.openxmlformats.org/drawingml/2006/main">
                    <a:graphicData uri="http://schemas.openxmlformats.org/drawingml/2006/picture">
                      <pic:pic xmlns:pic="http://schemas.openxmlformats.org/drawingml/2006/picture">
                        <pic:nvPicPr>
                          <pic:cNvPr id="159336" name="Picture 159336"/>
                          <pic:cNvPicPr/>
                        </pic:nvPicPr>
                        <pic:blipFill>
                          <a:blip r:embed="rId195"/>
                          <a:stretch>
                            <a:fillRect/>
                          </a:stretch>
                        </pic:blipFill>
                        <pic:spPr>
                          <a:xfrm>
                            <a:off x="0" y="0"/>
                            <a:ext cx="128016" cy="379476"/>
                          </a:xfrm>
                          <a:prstGeom prst="rect">
                            <a:avLst/>
                          </a:prstGeom>
                        </pic:spPr>
                      </pic:pic>
                    </a:graphicData>
                  </a:graphic>
                </wp:inline>
              </w:drawing>
            </w:r>
          </w:p>
        </w:tc>
        <w:tc>
          <w:tcPr>
            <w:tcW w:w="0" w:type="auto"/>
            <w:vMerge/>
            <w:tcBorders>
              <w:top w:val="nil"/>
              <w:left w:val="nil"/>
              <w:bottom w:val="nil"/>
              <w:right w:val="nil"/>
            </w:tcBorders>
          </w:tcPr>
          <w:p w14:paraId="39A92FE8" w14:textId="77777777" w:rsidR="00053D93" w:rsidRDefault="00053D93"/>
        </w:tc>
      </w:tr>
      <w:tr w:rsidR="00053D93" w14:paraId="0803C4B1" w14:textId="77777777">
        <w:trPr>
          <w:trHeight w:val="814"/>
        </w:trPr>
        <w:tc>
          <w:tcPr>
            <w:tcW w:w="1793" w:type="dxa"/>
            <w:tcBorders>
              <w:top w:val="nil"/>
              <w:left w:val="nil"/>
              <w:bottom w:val="nil"/>
              <w:right w:val="nil"/>
            </w:tcBorders>
          </w:tcPr>
          <w:p w14:paraId="4872456E" w14:textId="77777777" w:rsidR="00053D93" w:rsidRDefault="00260B75">
            <w:pPr>
              <w:ind w:left="79"/>
            </w:pPr>
            <w:r>
              <w:rPr>
                <w:noProof/>
              </w:rPr>
              <w:drawing>
                <wp:inline distT="0" distB="0" distL="0" distR="0" wp14:anchorId="54DC218A" wp14:editId="1BFF9A41">
                  <wp:extent cx="123444" cy="379475"/>
                  <wp:effectExtent l="0" t="0" r="0" b="0"/>
                  <wp:docPr id="159337" name="Picture 159337"/>
                  <wp:cNvGraphicFramePr/>
                  <a:graphic xmlns:a="http://schemas.openxmlformats.org/drawingml/2006/main">
                    <a:graphicData uri="http://schemas.openxmlformats.org/drawingml/2006/picture">
                      <pic:pic xmlns:pic="http://schemas.openxmlformats.org/drawingml/2006/picture">
                        <pic:nvPicPr>
                          <pic:cNvPr id="159337" name="Picture 159337"/>
                          <pic:cNvPicPr/>
                        </pic:nvPicPr>
                        <pic:blipFill>
                          <a:blip r:embed="rId196"/>
                          <a:stretch>
                            <a:fillRect/>
                          </a:stretch>
                        </pic:blipFill>
                        <pic:spPr>
                          <a:xfrm>
                            <a:off x="0" y="0"/>
                            <a:ext cx="123444" cy="379475"/>
                          </a:xfrm>
                          <a:prstGeom prst="rect">
                            <a:avLst/>
                          </a:prstGeom>
                        </pic:spPr>
                      </pic:pic>
                    </a:graphicData>
                  </a:graphic>
                </wp:inline>
              </w:drawing>
            </w:r>
          </w:p>
        </w:tc>
        <w:tc>
          <w:tcPr>
            <w:tcW w:w="0" w:type="auto"/>
            <w:vMerge/>
            <w:tcBorders>
              <w:top w:val="nil"/>
              <w:left w:val="nil"/>
              <w:bottom w:val="nil"/>
              <w:right w:val="nil"/>
            </w:tcBorders>
          </w:tcPr>
          <w:p w14:paraId="62DE5F88" w14:textId="77777777" w:rsidR="00053D93" w:rsidRDefault="00053D93"/>
        </w:tc>
      </w:tr>
      <w:tr w:rsidR="00053D93" w14:paraId="48711C45" w14:textId="77777777">
        <w:trPr>
          <w:trHeight w:val="810"/>
        </w:trPr>
        <w:tc>
          <w:tcPr>
            <w:tcW w:w="1793" w:type="dxa"/>
            <w:tcBorders>
              <w:top w:val="nil"/>
              <w:left w:val="nil"/>
              <w:bottom w:val="nil"/>
              <w:right w:val="nil"/>
            </w:tcBorders>
          </w:tcPr>
          <w:p w14:paraId="139D7D71" w14:textId="77777777" w:rsidR="00053D93" w:rsidRDefault="00260B75">
            <w:pPr>
              <w:ind w:left="50"/>
            </w:pPr>
            <w:r>
              <w:rPr>
                <w:noProof/>
              </w:rPr>
              <w:drawing>
                <wp:inline distT="0" distB="0" distL="0" distR="0" wp14:anchorId="37CD7167" wp14:editId="5F844253">
                  <wp:extent cx="141732" cy="374903"/>
                  <wp:effectExtent l="0" t="0" r="0" b="0"/>
                  <wp:docPr id="159338" name="Picture 159338"/>
                  <wp:cNvGraphicFramePr/>
                  <a:graphic xmlns:a="http://schemas.openxmlformats.org/drawingml/2006/main">
                    <a:graphicData uri="http://schemas.openxmlformats.org/drawingml/2006/picture">
                      <pic:pic xmlns:pic="http://schemas.openxmlformats.org/drawingml/2006/picture">
                        <pic:nvPicPr>
                          <pic:cNvPr id="159338" name="Picture 159338"/>
                          <pic:cNvPicPr/>
                        </pic:nvPicPr>
                        <pic:blipFill>
                          <a:blip r:embed="rId197"/>
                          <a:stretch>
                            <a:fillRect/>
                          </a:stretch>
                        </pic:blipFill>
                        <pic:spPr>
                          <a:xfrm>
                            <a:off x="0" y="0"/>
                            <a:ext cx="141732" cy="374903"/>
                          </a:xfrm>
                          <a:prstGeom prst="rect">
                            <a:avLst/>
                          </a:prstGeom>
                        </pic:spPr>
                      </pic:pic>
                    </a:graphicData>
                  </a:graphic>
                </wp:inline>
              </w:drawing>
            </w:r>
          </w:p>
        </w:tc>
        <w:tc>
          <w:tcPr>
            <w:tcW w:w="0" w:type="auto"/>
            <w:vMerge/>
            <w:tcBorders>
              <w:top w:val="nil"/>
              <w:left w:val="nil"/>
              <w:bottom w:val="nil"/>
              <w:right w:val="nil"/>
            </w:tcBorders>
          </w:tcPr>
          <w:p w14:paraId="1BE201F0" w14:textId="77777777" w:rsidR="00053D93" w:rsidRDefault="00053D93"/>
        </w:tc>
      </w:tr>
      <w:tr w:rsidR="00053D93" w14:paraId="627759AE" w14:textId="77777777">
        <w:trPr>
          <w:trHeight w:val="817"/>
        </w:trPr>
        <w:tc>
          <w:tcPr>
            <w:tcW w:w="1793" w:type="dxa"/>
            <w:tcBorders>
              <w:top w:val="nil"/>
              <w:left w:val="nil"/>
              <w:bottom w:val="nil"/>
              <w:right w:val="nil"/>
            </w:tcBorders>
          </w:tcPr>
          <w:p w14:paraId="365652DE" w14:textId="77777777" w:rsidR="00053D93" w:rsidRDefault="00260B75">
            <w:r>
              <w:rPr>
                <w:noProof/>
              </w:rPr>
              <w:drawing>
                <wp:inline distT="0" distB="0" distL="0" distR="0" wp14:anchorId="6FF1560C" wp14:editId="187EF9C8">
                  <wp:extent cx="173736" cy="374903"/>
                  <wp:effectExtent l="0" t="0" r="0" b="0"/>
                  <wp:docPr id="159339" name="Picture 159339"/>
                  <wp:cNvGraphicFramePr/>
                  <a:graphic xmlns:a="http://schemas.openxmlformats.org/drawingml/2006/main">
                    <a:graphicData uri="http://schemas.openxmlformats.org/drawingml/2006/picture">
                      <pic:pic xmlns:pic="http://schemas.openxmlformats.org/drawingml/2006/picture">
                        <pic:nvPicPr>
                          <pic:cNvPr id="159339" name="Picture 159339"/>
                          <pic:cNvPicPr/>
                        </pic:nvPicPr>
                        <pic:blipFill>
                          <a:blip r:embed="rId198"/>
                          <a:stretch>
                            <a:fillRect/>
                          </a:stretch>
                        </pic:blipFill>
                        <pic:spPr>
                          <a:xfrm>
                            <a:off x="0" y="0"/>
                            <a:ext cx="173736" cy="374903"/>
                          </a:xfrm>
                          <a:prstGeom prst="rect">
                            <a:avLst/>
                          </a:prstGeom>
                        </pic:spPr>
                      </pic:pic>
                    </a:graphicData>
                  </a:graphic>
                </wp:inline>
              </w:drawing>
            </w:r>
          </w:p>
        </w:tc>
        <w:tc>
          <w:tcPr>
            <w:tcW w:w="0" w:type="auto"/>
            <w:vMerge/>
            <w:tcBorders>
              <w:top w:val="nil"/>
              <w:left w:val="nil"/>
              <w:bottom w:val="nil"/>
              <w:right w:val="nil"/>
            </w:tcBorders>
          </w:tcPr>
          <w:p w14:paraId="28B5D349" w14:textId="77777777" w:rsidR="00053D93" w:rsidRDefault="00053D93"/>
        </w:tc>
      </w:tr>
      <w:tr w:rsidR="00053D93" w14:paraId="3FB35253" w14:textId="77777777">
        <w:trPr>
          <w:trHeight w:val="810"/>
        </w:trPr>
        <w:tc>
          <w:tcPr>
            <w:tcW w:w="1793" w:type="dxa"/>
            <w:tcBorders>
              <w:top w:val="nil"/>
              <w:left w:val="nil"/>
              <w:bottom w:val="nil"/>
              <w:right w:val="nil"/>
            </w:tcBorders>
          </w:tcPr>
          <w:p w14:paraId="17B850F7" w14:textId="77777777" w:rsidR="00053D93" w:rsidRDefault="00260B75">
            <w:r>
              <w:rPr>
                <w:noProof/>
              </w:rPr>
              <w:lastRenderedPageBreak/>
              <w:drawing>
                <wp:inline distT="0" distB="0" distL="0" distR="0" wp14:anchorId="5A412507" wp14:editId="1036604D">
                  <wp:extent cx="182880" cy="365760"/>
                  <wp:effectExtent l="0" t="0" r="0" b="0"/>
                  <wp:docPr id="159340" name="Picture 159340"/>
                  <wp:cNvGraphicFramePr/>
                  <a:graphic xmlns:a="http://schemas.openxmlformats.org/drawingml/2006/main">
                    <a:graphicData uri="http://schemas.openxmlformats.org/drawingml/2006/picture">
                      <pic:pic xmlns:pic="http://schemas.openxmlformats.org/drawingml/2006/picture">
                        <pic:nvPicPr>
                          <pic:cNvPr id="159340" name="Picture 159340"/>
                          <pic:cNvPicPr/>
                        </pic:nvPicPr>
                        <pic:blipFill>
                          <a:blip r:embed="rId199"/>
                          <a:stretch>
                            <a:fillRect/>
                          </a:stretch>
                        </pic:blipFill>
                        <pic:spPr>
                          <a:xfrm>
                            <a:off x="0" y="0"/>
                            <a:ext cx="182880" cy="365760"/>
                          </a:xfrm>
                          <a:prstGeom prst="rect">
                            <a:avLst/>
                          </a:prstGeom>
                        </pic:spPr>
                      </pic:pic>
                    </a:graphicData>
                  </a:graphic>
                </wp:inline>
              </w:drawing>
            </w:r>
          </w:p>
        </w:tc>
        <w:tc>
          <w:tcPr>
            <w:tcW w:w="0" w:type="auto"/>
            <w:vMerge/>
            <w:tcBorders>
              <w:top w:val="nil"/>
              <w:left w:val="nil"/>
              <w:bottom w:val="nil"/>
              <w:right w:val="nil"/>
            </w:tcBorders>
          </w:tcPr>
          <w:p w14:paraId="1506C4A9" w14:textId="77777777" w:rsidR="00053D93" w:rsidRDefault="00053D93"/>
        </w:tc>
      </w:tr>
      <w:tr w:rsidR="00053D93" w14:paraId="1CC6A96D" w14:textId="77777777">
        <w:trPr>
          <w:trHeight w:val="925"/>
        </w:trPr>
        <w:tc>
          <w:tcPr>
            <w:tcW w:w="1793" w:type="dxa"/>
            <w:tcBorders>
              <w:top w:val="nil"/>
              <w:left w:val="nil"/>
              <w:bottom w:val="nil"/>
              <w:right w:val="nil"/>
            </w:tcBorders>
          </w:tcPr>
          <w:p w14:paraId="5D6A0634" w14:textId="77777777" w:rsidR="00053D93" w:rsidRDefault="00260B75">
            <w:r>
              <w:rPr>
                <w:noProof/>
              </w:rPr>
              <w:drawing>
                <wp:inline distT="0" distB="0" distL="0" distR="0" wp14:anchorId="11192CE3" wp14:editId="0DDBBBD0">
                  <wp:extent cx="1129284" cy="512064"/>
                  <wp:effectExtent l="0" t="0" r="0" b="0"/>
                  <wp:docPr id="2458189" name="Picture 2458189"/>
                  <wp:cNvGraphicFramePr/>
                  <a:graphic xmlns:a="http://schemas.openxmlformats.org/drawingml/2006/main">
                    <a:graphicData uri="http://schemas.openxmlformats.org/drawingml/2006/picture">
                      <pic:pic xmlns:pic="http://schemas.openxmlformats.org/drawingml/2006/picture">
                        <pic:nvPicPr>
                          <pic:cNvPr id="2458189" name="Picture 2458189"/>
                          <pic:cNvPicPr/>
                        </pic:nvPicPr>
                        <pic:blipFill>
                          <a:blip r:embed="rId200"/>
                          <a:stretch>
                            <a:fillRect/>
                          </a:stretch>
                        </pic:blipFill>
                        <pic:spPr>
                          <a:xfrm>
                            <a:off x="0" y="0"/>
                            <a:ext cx="1129284" cy="512064"/>
                          </a:xfrm>
                          <a:prstGeom prst="rect">
                            <a:avLst/>
                          </a:prstGeom>
                        </pic:spPr>
                      </pic:pic>
                    </a:graphicData>
                  </a:graphic>
                </wp:inline>
              </w:drawing>
            </w:r>
          </w:p>
        </w:tc>
        <w:tc>
          <w:tcPr>
            <w:tcW w:w="0" w:type="auto"/>
            <w:vMerge/>
            <w:tcBorders>
              <w:top w:val="nil"/>
              <w:left w:val="nil"/>
              <w:bottom w:val="nil"/>
              <w:right w:val="nil"/>
            </w:tcBorders>
          </w:tcPr>
          <w:p w14:paraId="477CE0BE" w14:textId="77777777" w:rsidR="00053D93" w:rsidRDefault="00053D93"/>
        </w:tc>
      </w:tr>
    </w:tbl>
    <w:tbl>
      <w:tblPr>
        <w:tblStyle w:val="TableGrid"/>
        <w:tblpPr w:vertAnchor="text" w:tblpX="1801" w:tblpY="785"/>
        <w:tblOverlap w:val="never"/>
        <w:tblW w:w="8373" w:type="dxa"/>
        <w:tblInd w:w="0" w:type="dxa"/>
        <w:tblLook w:val="04A0" w:firstRow="1" w:lastRow="0" w:firstColumn="1" w:lastColumn="0" w:noHBand="0" w:noVBand="1"/>
      </w:tblPr>
      <w:tblGrid>
        <w:gridCol w:w="285"/>
        <w:gridCol w:w="256"/>
        <w:gridCol w:w="191"/>
        <w:gridCol w:w="826"/>
        <w:gridCol w:w="910"/>
        <w:gridCol w:w="1120"/>
        <w:gridCol w:w="1068"/>
        <w:gridCol w:w="2285"/>
        <w:gridCol w:w="1432"/>
      </w:tblGrid>
      <w:tr w:rsidR="00053D93" w14:paraId="2C28EFE9" w14:textId="77777777">
        <w:trPr>
          <w:trHeight w:val="2707"/>
        </w:trPr>
        <w:tc>
          <w:tcPr>
            <w:tcW w:w="280" w:type="dxa"/>
            <w:tcBorders>
              <w:top w:val="single" w:sz="2" w:space="0" w:color="000000"/>
              <w:left w:val="single" w:sz="2" w:space="0" w:color="000000"/>
              <w:bottom w:val="single" w:sz="2" w:space="0" w:color="000000"/>
              <w:right w:val="single" w:sz="2" w:space="0" w:color="000000"/>
            </w:tcBorders>
            <w:vAlign w:val="bottom"/>
          </w:tcPr>
          <w:p w14:paraId="0C5E6A41" w14:textId="77777777" w:rsidR="00053D93" w:rsidRDefault="00260B75">
            <w:pPr>
              <w:ind w:left="64"/>
            </w:pPr>
            <w:r>
              <w:rPr>
                <w:rFonts w:ascii="Times New Roman" w:eastAsia="Times New Roman" w:hAnsi="Times New Roman" w:cs="Times New Roman"/>
                <w:sz w:val="18"/>
              </w:rPr>
              <w:t>7</w:t>
            </w:r>
          </w:p>
        </w:tc>
        <w:tc>
          <w:tcPr>
            <w:tcW w:w="1274" w:type="dxa"/>
            <w:gridSpan w:val="3"/>
            <w:tcBorders>
              <w:top w:val="single" w:sz="2" w:space="0" w:color="000000"/>
              <w:left w:val="single" w:sz="2" w:space="0" w:color="000000"/>
              <w:bottom w:val="single" w:sz="2" w:space="0" w:color="000000"/>
              <w:right w:val="single" w:sz="2" w:space="0" w:color="000000"/>
            </w:tcBorders>
            <w:vAlign w:val="bottom"/>
          </w:tcPr>
          <w:p w14:paraId="1D1F072C" w14:textId="77777777" w:rsidR="00053D93" w:rsidRDefault="00260B75">
            <w:pPr>
              <w:ind w:left="22"/>
              <w:jc w:val="center"/>
            </w:pPr>
            <w:r>
              <w:rPr>
                <w:sz w:val="20"/>
              </w:rPr>
              <w:t>NO APLICA</w:t>
            </w:r>
          </w:p>
        </w:tc>
        <w:tc>
          <w:tcPr>
            <w:tcW w:w="910" w:type="dxa"/>
            <w:tcBorders>
              <w:top w:val="single" w:sz="2" w:space="0" w:color="000000"/>
              <w:left w:val="single" w:sz="2" w:space="0" w:color="000000"/>
              <w:bottom w:val="single" w:sz="2" w:space="0" w:color="000000"/>
              <w:right w:val="single" w:sz="2" w:space="0" w:color="000000"/>
            </w:tcBorders>
            <w:vAlign w:val="bottom"/>
          </w:tcPr>
          <w:p w14:paraId="4A62E85E" w14:textId="77777777" w:rsidR="00053D93" w:rsidRDefault="00260B75">
            <w:pPr>
              <w:ind w:left="79"/>
            </w:pPr>
            <w:r>
              <w:rPr>
                <w:rFonts w:ascii="Times New Roman" w:eastAsia="Times New Roman" w:hAnsi="Times New Roman" w:cs="Times New Roman"/>
                <w:sz w:val="16"/>
              </w:rPr>
              <w:t>20/03/2024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4F793FA1" w14:textId="77777777" w:rsidR="00053D93" w:rsidRDefault="00260B75">
            <w:pPr>
              <w:ind w:left="91"/>
            </w:pPr>
            <w:r>
              <w:rPr>
                <w:sz w:val="18"/>
              </w:rPr>
              <w:t>Deutsche Gesellschafl</w:t>
            </w:r>
          </w:p>
          <w:p w14:paraId="798AE963" w14:textId="77777777" w:rsidR="00053D93" w:rsidRDefault="00260B75">
            <w:pPr>
              <w:ind w:left="91"/>
            </w:pPr>
            <w:r>
              <w:rPr>
                <w:sz w:val="20"/>
              </w:rPr>
              <w:t>Internationale</w:t>
            </w:r>
          </w:p>
          <w:p w14:paraId="61287C5D" w14:textId="77777777" w:rsidR="00053D93" w:rsidRDefault="00260B75">
            <w:pPr>
              <w:ind w:left="84"/>
            </w:pPr>
            <w:r>
              <w:rPr>
                <w:sz w:val="18"/>
              </w:rPr>
              <w:t>Zusammenarbeit</w:t>
            </w:r>
          </w:p>
          <w:p w14:paraId="6937F04C" w14:textId="77777777" w:rsidR="00053D93" w:rsidRDefault="00260B75">
            <w:pPr>
              <w:ind w:left="91"/>
            </w:pPr>
            <w:r>
              <w:rPr>
                <w:sz w:val="18"/>
              </w:rPr>
              <w:t>GrnbH</w:t>
            </w:r>
          </w:p>
        </w:tc>
        <w:tc>
          <w:tcPr>
            <w:tcW w:w="2287" w:type="dxa"/>
            <w:tcBorders>
              <w:top w:val="single" w:sz="2" w:space="0" w:color="000000"/>
              <w:left w:val="single" w:sz="2" w:space="0" w:color="000000"/>
              <w:bottom w:val="single" w:sz="2" w:space="0" w:color="000000"/>
              <w:right w:val="single" w:sz="2" w:space="0" w:color="000000"/>
            </w:tcBorders>
          </w:tcPr>
          <w:p w14:paraId="220A7EC2" w14:textId="77777777" w:rsidR="00053D93" w:rsidRDefault="00260B75">
            <w:pPr>
              <w:ind w:left="84" w:right="79"/>
              <w:jc w:val="both"/>
            </w:pPr>
            <w:r>
              <w:rPr>
                <w:sz w:val="16"/>
              </w:rPr>
              <w:t xml:space="preserve">"Formación para el trabajo y la empleabilidad", la cual queda de la siguiente forma: NOVENA. PLAZO: El plazo para dar cumplimiento a presente Carta de Entendimiento por parte del Ministerio de Educación y la GiZ, inicia con la suscripción de la misma y termina el treinta de abril de dos mil veinticuatro (30104/2024), que permitirá culminar satisfactoriamente los procesos técnicos </w:t>
            </w:r>
            <w:r>
              <w:rPr>
                <w:rFonts w:ascii="Times New Roman" w:eastAsia="Times New Roman" w:hAnsi="Times New Roman" w:cs="Times New Roman"/>
                <w:sz w:val="16"/>
              </w:rPr>
              <w:t xml:space="preserve">Y </w:t>
            </w:r>
            <w:r>
              <w:rPr>
                <w:sz w:val="16"/>
              </w:rPr>
              <w:t>administrativos relacionados con la ejecuclón del Proyecto.</w:t>
            </w:r>
          </w:p>
        </w:tc>
        <w:tc>
          <w:tcPr>
            <w:tcW w:w="1433" w:type="dxa"/>
            <w:tcBorders>
              <w:top w:val="single" w:sz="2" w:space="0" w:color="000000"/>
              <w:left w:val="single" w:sz="2" w:space="0" w:color="000000"/>
              <w:bottom w:val="single" w:sz="2" w:space="0" w:color="000000"/>
              <w:right w:val="single" w:sz="2" w:space="0" w:color="000000"/>
            </w:tcBorders>
            <w:vAlign w:val="bottom"/>
          </w:tcPr>
          <w:p w14:paraId="07ADA894" w14:textId="77777777" w:rsidR="00053D93" w:rsidRDefault="00260B75">
            <w:pPr>
              <w:ind w:left="274"/>
            </w:pPr>
            <w:r>
              <w:rPr>
                <w:sz w:val="16"/>
              </w:rPr>
              <w:t>No Cuantificado</w:t>
            </w:r>
          </w:p>
        </w:tc>
      </w:tr>
      <w:tr w:rsidR="00053D93" w14:paraId="42291E43" w14:textId="77777777">
        <w:trPr>
          <w:trHeight w:val="2114"/>
        </w:trPr>
        <w:tc>
          <w:tcPr>
            <w:tcW w:w="280" w:type="dxa"/>
            <w:tcBorders>
              <w:top w:val="single" w:sz="2" w:space="0" w:color="000000"/>
              <w:left w:val="single" w:sz="2" w:space="0" w:color="000000"/>
              <w:bottom w:val="single" w:sz="2" w:space="0" w:color="000000"/>
              <w:right w:val="single" w:sz="2" w:space="0" w:color="000000"/>
            </w:tcBorders>
            <w:vAlign w:val="bottom"/>
          </w:tcPr>
          <w:p w14:paraId="398895B0" w14:textId="77777777" w:rsidR="00053D93" w:rsidRDefault="00260B75">
            <w:pPr>
              <w:ind w:left="71"/>
            </w:pPr>
            <w:r>
              <w:rPr>
                <w:rFonts w:ascii="Times New Roman" w:eastAsia="Times New Roman" w:hAnsi="Times New Roman" w:cs="Times New Roman"/>
                <w:sz w:val="16"/>
              </w:rPr>
              <w:t>8</w:t>
            </w:r>
          </w:p>
        </w:tc>
        <w:tc>
          <w:tcPr>
            <w:tcW w:w="1274" w:type="dxa"/>
            <w:gridSpan w:val="3"/>
            <w:tcBorders>
              <w:top w:val="single" w:sz="2" w:space="0" w:color="000000"/>
              <w:left w:val="single" w:sz="2" w:space="0" w:color="000000"/>
              <w:bottom w:val="single" w:sz="2" w:space="0" w:color="000000"/>
              <w:right w:val="single" w:sz="2" w:space="0" w:color="000000"/>
            </w:tcBorders>
            <w:vAlign w:val="bottom"/>
          </w:tcPr>
          <w:p w14:paraId="47E344D3" w14:textId="77777777" w:rsidR="00053D93" w:rsidRDefault="00260B75">
            <w:pPr>
              <w:ind w:left="29"/>
              <w:jc w:val="center"/>
            </w:pPr>
            <w:r>
              <w:rPr>
                <w:sz w:val="20"/>
              </w:rPr>
              <w:t>NO APLICA</w:t>
            </w:r>
          </w:p>
        </w:tc>
        <w:tc>
          <w:tcPr>
            <w:tcW w:w="910" w:type="dxa"/>
            <w:tcBorders>
              <w:top w:val="single" w:sz="2" w:space="0" w:color="000000"/>
              <w:left w:val="single" w:sz="2" w:space="0" w:color="000000"/>
              <w:bottom w:val="single" w:sz="2" w:space="0" w:color="000000"/>
              <w:right w:val="single" w:sz="2" w:space="0" w:color="000000"/>
            </w:tcBorders>
            <w:vAlign w:val="bottom"/>
          </w:tcPr>
          <w:p w14:paraId="74D41BDB" w14:textId="77777777" w:rsidR="00053D93" w:rsidRDefault="00260B75">
            <w:pPr>
              <w:ind w:left="86"/>
            </w:pPr>
            <w:r>
              <w:rPr>
                <w:rFonts w:ascii="Times New Roman" w:eastAsia="Times New Roman" w:hAnsi="Times New Roman" w:cs="Times New Roman"/>
                <w:sz w:val="16"/>
              </w:rPr>
              <w:t>31/05/2024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083D8C29" w14:textId="77777777" w:rsidR="00053D93" w:rsidRDefault="00260B75">
            <w:pPr>
              <w:ind w:left="91" w:right="82" w:hanging="7"/>
              <w:jc w:val="both"/>
            </w:pPr>
            <w:r>
              <w:rPr>
                <w:sz w:val="18"/>
              </w:rPr>
              <w:t xml:space="preserve">Asociación de Hombres y Mujeres, BuildOn Guatemala </w:t>
            </w:r>
            <w:r>
              <w:rPr>
                <w:rFonts w:ascii="Times New Roman" w:eastAsia="Times New Roman" w:hAnsi="Times New Roman" w:cs="Times New Roman"/>
                <w:sz w:val="18"/>
              </w:rPr>
              <w:t>ong,</w:t>
            </w:r>
          </w:p>
        </w:tc>
        <w:tc>
          <w:tcPr>
            <w:tcW w:w="2287" w:type="dxa"/>
            <w:tcBorders>
              <w:top w:val="single" w:sz="2" w:space="0" w:color="000000"/>
              <w:left w:val="single" w:sz="2" w:space="0" w:color="000000"/>
              <w:bottom w:val="single" w:sz="2" w:space="0" w:color="000000"/>
              <w:right w:val="single" w:sz="2" w:space="0" w:color="000000"/>
            </w:tcBorders>
          </w:tcPr>
          <w:p w14:paraId="3C36AE14" w14:textId="77777777" w:rsidR="00053D93" w:rsidRDefault="00260B75">
            <w:pPr>
              <w:spacing w:line="254" w:lineRule="auto"/>
              <w:ind w:left="84" w:right="86" w:firstLine="7"/>
              <w:jc w:val="both"/>
            </w:pPr>
            <w:r>
              <w:rPr>
                <w:sz w:val="16"/>
              </w:rPr>
              <w:t>Establecer las bases generales de coordinación entre las partes para implementar conjuntamente proyectos de construcción y/o ampliación de infraestructura educativa y el Proyecto Niños</w:t>
            </w:r>
          </w:p>
          <w:p w14:paraId="18C0FD0D" w14:textId="77777777" w:rsidR="00053D93" w:rsidRDefault="00260B75">
            <w:pPr>
              <w:spacing w:line="255" w:lineRule="auto"/>
              <w:ind w:left="84" w:right="86" w:firstLine="7"/>
              <w:jc w:val="both"/>
            </w:pPr>
            <w:r>
              <w:rPr>
                <w:sz w:val="16"/>
              </w:rPr>
              <w:t>Fuere de la Escuela (Out of School Children), en centros educativos oficiales det Nivel de Educación</w:t>
            </w:r>
          </w:p>
          <w:p w14:paraId="3EB88FA6" w14:textId="77777777" w:rsidR="00053D93" w:rsidRDefault="00260B75">
            <w:pPr>
              <w:ind w:left="84" w:right="86" w:firstLine="7"/>
              <w:jc w:val="both"/>
            </w:pPr>
            <w:r>
              <w:rPr>
                <w:sz w:val="16"/>
              </w:rPr>
              <w:t>Primaria del área rural de Guatemala seleccionado de común acuerdo.</w:t>
            </w:r>
          </w:p>
        </w:tc>
        <w:tc>
          <w:tcPr>
            <w:tcW w:w="1433" w:type="dxa"/>
            <w:tcBorders>
              <w:top w:val="single" w:sz="2" w:space="0" w:color="000000"/>
              <w:left w:val="single" w:sz="2" w:space="0" w:color="000000"/>
              <w:bottom w:val="single" w:sz="2" w:space="0" w:color="000000"/>
              <w:right w:val="single" w:sz="2" w:space="0" w:color="000000"/>
            </w:tcBorders>
            <w:vAlign w:val="bottom"/>
          </w:tcPr>
          <w:p w14:paraId="496BA86C" w14:textId="77777777" w:rsidR="00053D93" w:rsidRDefault="00260B75">
            <w:pPr>
              <w:ind w:left="389"/>
            </w:pPr>
            <w:r>
              <w:rPr>
                <w:rFonts w:ascii="Times New Roman" w:eastAsia="Times New Roman" w:hAnsi="Times New Roman" w:cs="Times New Roman"/>
                <w:sz w:val="18"/>
              </w:rPr>
              <w:t>1 1</w:t>
            </w:r>
          </w:p>
        </w:tc>
      </w:tr>
      <w:tr w:rsidR="00053D93" w14:paraId="1120BD79" w14:textId="77777777">
        <w:trPr>
          <w:trHeight w:val="612"/>
        </w:trPr>
        <w:tc>
          <w:tcPr>
            <w:tcW w:w="280" w:type="dxa"/>
            <w:tcBorders>
              <w:top w:val="single" w:sz="2" w:space="0" w:color="000000"/>
              <w:left w:val="single" w:sz="2" w:space="0" w:color="000000"/>
              <w:bottom w:val="single" w:sz="2" w:space="0" w:color="000000"/>
              <w:right w:val="single" w:sz="2" w:space="0" w:color="000000"/>
            </w:tcBorders>
            <w:vAlign w:val="bottom"/>
          </w:tcPr>
          <w:p w14:paraId="3E7AC0D0" w14:textId="77777777" w:rsidR="00053D93" w:rsidRDefault="00260B75">
            <w:pPr>
              <w:ind w:left="71"/>
            </w:pPr>
            <w:r>
              <w:rPr>
                <w:rFonts w:ascii="Times New Roman" w:eastAsia="Times New Roman" w:hAnsi="Times New Roman" w:cs="Times New Roman"/>
                <w:sz w:val="16"/>
              </w:rPr>
              <w:t>9</w:t>
            </w:r>
          </w:p>
        </w:tc>
        <w:tc>
          <w:tcPr>
            <w:tcW w:w="1274" w:type="dxa"/>
            <w:gridSpan w:val="3"/>
            <w:tcBorders>
              <w:top w:val="single" w:sz="2" w:space="0" w:color="000000"/>
              <w:left w:val="single" w:sz="2" w:space="0" w:color="000000"/>
              <w:bottom w:val="single" w:sz="2" w:space="0" w:color="000000"/>
              <w:right w:val="single" w:sz="2" w:space="0" w:color="000000"/>
            </w:tcBorders>
            <w:vAlign w:val="bottom"/>
          </w:tcPr>
          <w:p w14:paraId="0643C88D" w14:textId="77777777" w:rsidR="00053D93" w:rsidRDefault="00260B75">
            <w:pPr>
              <w:ind w:left="22"/>
              <w:jc w:val="center"/>
            </w:pPr>
            <w:r>
              <w:rPr>
                <w:sz w:val="20"/>
              </w:rPr>
              <w:t>NO APLICA</w:t>
            </w:r>
          </w:p>
        </w:tc>
        <w:tc>
          <w:tcPr>
            <w:tcW w:w="910" w:type="dxa"/>
            <w:tcBorders>
              <w:top w:val="single" w:sz="2" w:space="0" w:color="000000"/>
              <w:left w:val="single" w:sz="2" w:space="0" w:color="000000"/>
              <w:bottom w:val="single" w:sz="2" w:space="0" w:color="000000"/>
              <w:right w:val="single" w:sz="2" w:space="0" w:color="000000"/>
            </w:tcBorders>
            <w:vAlign w:val="bottom"/>
          </w:tcPr>
          <w:p w14:paraId="71718CA8" w14:textId="77777777" w:rsidR="00053D93" w:rsidRDefault="00260B75">
            <w:pPr>
              <w:ind w:left="122"/>
            </w:pPr>
            <w:r>
              <w:rPr>
                <w:rFonts w:ascii="Times New Roman" w:eastAsia="Times New Roman" w:hAnsi="Times New Roman" w:cs="Times New Roman"/>
                <w:sz w:val="16"/>
              </w:rPr>
              <w:t>4/06/2024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2C2DF528" w14:textId="77777777" w:rsidR="00053D93" w:rsidRDefault="00260B75">
            <w:pPr>
              <w:ind w:left="91"/>
            </w:pPr>
            <w:r>
              <w:rPr>
                <w:sz w:val="18"/>
              </w:rPr>
              <w:t>Universidad Rafael Landívar</w:t>
            </w:r>
          </w:p>
        </w:tc>
        <w:tc>
          <w:tcPr>
            <w:tcW w:w="2287" w:type="dxa"/>
            <w:tcBorders>
              <w:top w:val="single" w:sz="2" w:space="0" w:color="000000"/>
              <w:left w:val="single" w:sz="2" w:space="0" w:color="000000"/>
              <w:bottom w:val="single" w:sz="2" w:space="0" w:color="000000"/>
              <w:right w:val="single" w:sz="2" w:space="0" w:color="000000"/>
            </w:tcBorders>
          </w:tcPr>
          <w:p w14:paraId="7A22B733" w14:textId="77777777" w:rsidR="00053D93" w:rsidRDefault="00260B75">
            <w:pPr>
              <w:ind w:left="84" w:right="86"/>
              <w:jc w:val="both"/>
            </w:pPr>
            <w:r>
              <w:rPr>
                <w:sz w:val="16"/>
              </w:rPr>
              <w:t>Realizar acciones orientadas a procesos de investigación y evaluación educativa.</w:t>
            </w:r>
          </w:p>
        </w:tc>
        <w:tc>
          <w:tcPr>
            <w:tcW w:w="1433" w:type="dxa"/>
            <w:tcBorders>
              <w:top w:val="single" w:sz="2" w:space="0" w:color="000000"/>
              <w:left w:val="single" w:sz="2" w:space="0" w:color="000000"/>
              <w:bottom w:val="single" w:sz="2" w:space="0" w:color="000000"/>
              <w:right w:val="single" w:sz="2" w:space="0" w:color="000000"/>
            </w:tcBorders>
            <w:vAlign w:val="bottom"/>
          </w:tcPr>
          <w:p w14:paraId="20DB1E29" w14:textId="77777777" w:rsidR="00053D93" w:rsidRDefault="00260B75">
            <w:pPr>
              <w:ind w:left="274"/>
            </w:pPr>
            <w:r>
              <w:rPr>
                <w:sz w:val="16"/>
              </w:rPr>
              <w:t>No Cuantificado</w:t>
            </w:r>
          </w:p>
        </w:tc>
      </w:tr>
      <w:tr w:rsidR="00053D93" w14:paraId="633B30CC" w14:textId="77777777">
        <w:trPr>
          <w:trHeight w:val="1022"/>
        </w:trPr>
        <w:tc>
          <w:tcPr>
            <w:tcW w:w="280" w:type="dxa"/>
            <w:tcBorders>
              <w:top w:val="single" w:sz="2" w:space="0" w:color="000000"/>
              <w:left w:val="single" w:sz="2" w:space="0" w:color="000000"/>
              <w:bottom w:val="single" w:sz="2" w:space="0" w:color="000000"/>
              <w:right w:val="single" w:sz="2" w:space="0" w:color="000000"/>
            </w:tcBorders>
            <w:vAlign w:val="bottom"/>
          </w:tcPr>
          <w:p w14:paraId="301195BD" w14:textId="77777777" w:rsidR="00053D93" w:rsidRDefault="00260B75">
            <w:pPr>
              <w:ind w:left="28"/>
            </w:pPr>
            <w:r>
              <w:rPr>
                <w:rFonts w:ascii="Times New Roman" w:eastAsia="Times New Roman" w:hAnsi="Times New Roman" w:cs="Times New Roman"/>
                <w:sz w:val="18"/>
              </w:rPr>
              <w:t>10</w:t>
            </w:r>
          </w:p>
        </w:tc>
        <w:tc>
          <w:tcPr>
            <w:tcW w:w="1274" w:type="dxa"/>
            <w:gridSpan w:val="3"/>
            <w:tcBorders>
              <w:top w:val="single" w:sz="2" w:space="0" w:color="000000"/>
              <w:left w:val="single" w:sz="2" w:space="0" w:color="000000"/>
              <w:bottom w:val="single" w:sz="2" w:space="0" w:color="000000"/>
              <w:right w:val="single" w:sz="2" w:space="0" w:color="000000"/>
            </w:tcBorders>
            <w:vAlign w:val="bottom"/>
          </w:tcPr>
          <w:p w14:paraId="2DAA31C7" w14:textId="77777777" w:rsidR="00053D93" w:rsidRDefault="00260B75">
            <w:pPr>
              <w:ind w:left="22"/>
              <w:jc w:val="center"/>
            </w:pPr>
            <w:r>
              <w:rPr>
                <w:sz w:val="20"/>
              </w:rPr>
              <w:t>NO APLICA</w:t>
            </w:r>
          </w:p>
        </w:tc>
        <w:tc>
          <w:tcPr>
            <w:tcW w:w="910" w:type="dxa"/>
            <w:tcBorders>
              <w:top w:val="single" w:sz="2" w:space="0" w:color="000000"/>
              <w:left w:val="single" w:sz="2" w:space="0" w:color="000000"/>
              <w:bottom w:val="single" w:sz="2" w:space="0" w:color="000000"/>
              <w:right w:val="single" w:sz="2" w:space="0" w:color="000000"/>
            </w:tcBorders>
            <w:vAlign w:val="bottom"/>
          </w:tcPr>
          <w:p w14:paraId="75446905" w14:textId="77777777" w:rsidR="00053D93" w:rsidRDefault="00260B75">
            <w:pPr>
              <w:ind w:left="122"/>
            </w:pPr>
            <w:r>
              <w:rPr>
                <w:rFonts w:ascii="Times New Roman" w:eastAsia="Times New Roman" w:hAnsi="Times New Roman" w:cs="Times New Roman"/>
                <w:sz w:val="16"/>
              </w:rPr>
              <w:t>6/06/2024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5C7DDAD4" w14:textId="77777777" w:rsidR="00053D93" w:rsidRDefault="00260B75">
            <w:pPr>
              <w:ind w:left="91"/>
            </w:pPr>
            <w:r>
              <w:rPr>
                <w:sz w:val="18"/>
              </w:rPr>
              <w:t>Enel Guatemala, Sociedad</w:t>
            </w:r>
          </w:p>
          <w:p w14:paraId="6340D426" w14:textId="77777777" w:rsidR="00053D93" w:rsidRDefault="00260B75">
            <w:pPr>
              <w:ind w:left="84"/>
            </w:pPr>
            <w:r>
              <w:rPr>
                <w:sz w:val="16"/>
              </w:rPr>
              <w:t>Anónima</w:t>
            </w:r>
          </w:p>
        </w:tc>
        <w:tc>
          <w:tcPr>
            <w:tcW w:w="2287" w:type="dxa"/>
            <w:tcBorders>
              <w:top w:val="single" w:sz="2" w:space="0" w:color="000000"/>
              <w:left w:val="single" w:sz="2" w:space="0" w:color="000000"/>
              <w:bottom w:val="single" w:sz="2" w:space="0" w:color="000000"/>
              <w:right w:val="single" w:sz="2" w:space="0" w:color="000000"/>
            </w:tcBorders>
          </w:tcPr>
          <w:p w14:paraId="4917AD8A" w14:textId="77777777" w:rsidR="00053D93" w:rsidRDefault="00260B75">
            <w:pPr>
              <w:ind w:left="84" w:right="86" w:firstLine="7"/>
              <w:jc w:val="both"/>
            </w:pPr>
            <w:r>
              <w:rPr>
                <w:sz w:val="16"/>
              </w:rPr>
              <w:t>Ejecutar el Proyecto 'Innovaplay', en establecimientos educativos oficiales aledaños a las plantas de generación de energía eléctricas que Enel Guatemala, Sociedad Anónima.</w:t>
            </w:r>
          </w:p>
        </w:tc>
        <w:tc>
          <w:tcPr>
            <w:tcW w:w="1433" w:type="dxa"/>
            <w:tcBorders>
              <w:top w:val="single" w:sz="2" w:space="0" w:color="000000"/>
              <w:left w:val="single" w:sz="2" w:space="0" w:color="000000"/>
              <w:bottom w:val="single" w:sz="2" w:space="0" w:color="000000"/>
              <w:right w:val="single" w:sz="2" w:space="0" w:color="000000"/>
            </w:tcBorders>
          </w:tcPr>
          <w:p w14:paraId="2C696B04" w14:textId="77777777" w:rsidR="00053D93" w:rsidRDefault="00053D93"/>
        </w:tc>
      </w:tr>
      <w:tr w:rsidR="00053D93" w14:paraId="1B7313C7" w14:textId="77777777">
        <w:trPr>
          <w:trHeight w:val="1503"/>
        </w:trPr>
        <w:tc>
          <w:tcPr>
            <w:tcW w:w="280" w:type="dxa"/>
            <w:tcBorders>
              <w:top w:val="single" w:sz="2" w:space="0" w:color="000000"/>
              <w:left w:val="single" w:sz="2" w:space="0" w:color="000000"/>
              <w:bottom w:val="single" w:sz="2" w:space="0" w:color="000000"/>
              <w:right w:val="single" w:sz="2" w:space="0" w:color="000000"/>
            </w:tcBorders>
            <w:vAlign w:val="bottom"/>
          </w:tcPr>
          <w:p w14:paraId="70CBF2B9" w14:textId="77777777" w:rsidR="00053D93" w:rsidRDefault="00260B75">
            <w:pPr>
              <w:ind w:left="28"/>
            </w:pPr>
            <w:r>
              <w:rPr>
                <w:rFonts w:ascii="Times New Roman" w:eastAsia="Times New Roman" w:hAnsi="Times New Roman" w:cs="Times New Roman"/>
                <w:sz w:val="18"/>
              </w:rPr>
              <w:t>11</w:t>
            </w:r>
          </w:p>
        </w:tc>
        <w:tc>
          <w:tcPr>
            <w:tcW w:w="1274" w:type="dxa"/>
            <w:gridSpan w:val="3"/>
            <w:tcBorders>
              <w:top w:val="single" w:sz="2" w:space="0" w:color="000000"/>
              <w:left w:val="single" w:sz="2" w:space="0" w:color="000000"/>
              <w:bottom w:val="single" w:sz="2" w:space="0" w:color="000000"/>
              <w:right w:val="single" w:sz="2" w:space="0" w:color="000000"/>
            </w:tcBorders>
            <w:vAlign w:val="bottom"/>
          </w:tcPr>
          <w:p w14:paraId="5B2BA3A2" w14:textId="77777777" w:rsidR="00053D93" w:rsidRDefault="00260B75">
            <w:pPr>
              <w:ind w:left="22"/>
              <w:jc w:val="center"/>
            </w:pPr>
            <w:r>
              <w:rPr>
                <w:sz w:val="20"/>
              </w:rPr>
              <w:t>NO APLICA</w:t>
            </w:r>
          </w:p>
        </w:tc>
        <w:tc>
          <w:tcPr>
            <w:tcW w:w="910" w:type="dxa"/>
            <w:tcBorders>
              <w:top w:val="single" w:sz="2" w:space="0" w:color="000000"/>
              <w:left w:val="single" w:sz="2" w:space="0" w:color="000000"/>
              <w:bottom w:val="single" w:sz="2" w:space="0" w:color="000000"/>
              <w:right w:val="single" w:sz="2" w:space="0" w:color="000000"/>
            </w:tcBorders>
            <w:vAlign w:val="bottom"/>
          </w:tcPr>
          <w:p w14:paraId="34316494" w14:textId="77777777" w:rsidR="00053D93" w:rsidRDefault="00260B75">
            <w:pPr>
              <w:ind w:left="86"/>
            </w:pPr>
            <w:r>
              <w:rPr>
                <w:rFonts w:ascii="Times New Roman" w:eastAsia="Times New Roman" w:hAnsi="Times New Roman" w:cs="Times New Roman"/>
                <w:sz w:val="16"/>
              </w:rPr>
              <w:t>17/06/2024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65EC5CBA" w14:textId="77777777" w:rsidR="00053D93" w:rsidRDefault="00260B75">
            <w:pPr>
              <w:ind w:left="84" w:firstLine="7"/>
              <w:jc w:val="both"/>
            </w:pPr>
            <w:r>
              <w:rPr>
                <w:sz w:val="16"/>
              </w:rPr>
              <w:t>Municipalidad de Mixco del departamento de Guatemala</w:t>
            </w:r>
          </w:p>
        </w:tc>
        <w:tc>
          <w:tcPr>
            <w:tcW w:w="2287" w:type="dxa"/>
            <w:tcBorders>
              <w:top w:val="single" w:sz="2" w:space="0" w:color="000000"/>
              <w:left w:val="single" w:sz="2" w:space="0" w:color="000000"/>
              <w:bottom w:val="single" w:sz="2" w:space="0" w:color="000000"/>
              <w:right w:val="single" w:sz="2" w:space="0" w:color="000000"/>
            </w:tcBorders>
          </w:tcPr>
          <w:p w14:paraId="37AE390B" w14:textId="77777777" w:rsidR="00053D93" w:rsidRDefault="00260B75">
            <w:pPr>
              <w:spacing w:after="1" w:line="228" w:lineRule="auto"/>
              <w:ind w:left="84" w:right="86"/>
              <w:jc w:val="both"/>
            </w:pPr>
            <w:r>
              <w:rPr>
                <w:sz w:val="16"/>
              </w:rPr>
              <w:t>Coordinación interinstitucional de acciones necesarias que permitan la consecución det desarrollo integral y sostenible de la educación en los centros educativos oficiales del municipio de Mixco. departamento de</w:t>
            </w:r>
          </w:p>
          <w:p w14:paraId="31CF1CEF" w14:textId="77777777" w:rsidR="00053D93" w:rsidRDefault="00260B75">
            <w:pPr>
              <w:ind w:left="84"/>
            </w:pPr>
            <w:r>
              <w:rPr>
                <w:sz w:val="16"/>
              </w:rPr>
              <w:t>Guatemala.</w:t>
            </w:r>
          </w:p>
        </w:tc>
        <w:tc>
          <w:tcPr>
            <w:tcW w:w="1433" w:type="dxa"/>
            <w:tcBorders>
              <w:top w:val="single" w:sz="2" w:space="0" w:color="000000"/>
              <w:left w:val="single" w:sz="2" w:space="0" w:color="000000"/>
              <w:bottom w:val="single" w:sz="2" w:space="0" w:color="000000"/>
              <w:right w:val="single" w:sz="2" w:space="0" w:color="000000"/>
            </w:tcBorders>
            <w:vAlign w:val="bottom"/>
          </w:tcPr>
          <w:p w14:paraId="7195D0AB" w14:textId="77777777" w:rsidR="00053D93" w:rsidRDefault="00260B75">
            <w:pPr>
              <w:ind w:left="230"/>
            </w:pPr>
            <w:r>
              <w:rPr>
                <w:sz w:val="16"/>
              </w:rPr>
              <w:t>No cuantificadao</w:t>
            </w:r>
          </w:p>
        </w:tc>
      </w:tr>
      <w:tr w:rsidR="00053D93" w14:paraId="169B60DF" w14:textId="77777777">
        <w:trPr>
          <w:trHeight w:val="669"/>
        </w:trPr>
        <w:tc>
          <w:tcPr>
            <w:tcW w:w="280" w:type="dxa"/>
            <w:tcBorders>
              <w:top w:val="single" w:sz="2" w:space="0" w:color="000000"/>
              <w:left w:val="single" w:sz="2" w:space="0" w:color="000000"/>
              <w:bottom w:val="single" w:sz="2" w:space="0" w:color="000000"/>
              <w:right w:val="single" w:sz="2" w:space="0" w:color="000000"/>
            </w:tcBorders>
            <w:vAlign w:val="bottom"/>
          </w:tcPr>
          <w:p w14:paraId="28CA8340" w14:textId="77777777" w:rsidR="00053D93" w:rsidRDefault="00260B75">
            <w:pPr>
              <w:ind w:left="35"/>
            </w:pPr>
            <w:r>
              <w:rPr>
                <w:rFonts w:ascii="Times New Roman" w:eastAsia="Times New Roman" w:hAnsi="Times New Roman" w:cs="Times New Roman"/>
                <w:sz w:val="18"/>
              </w:rPr>
              <w:lastRenderedPageBreak/>
              <w:t>12</w:t>
            </w:r>
          </w:p>
        </w:tc>
        <w:tc>
          <w:tcPr>
            <w:tcW w:w="1274" w:type="dxa"/>
            <w:gridSpan w:val="3"/>
            <w:tcBorders>
              <w:top w:val="single" w:sz="2" w:space="0" w:color="000000"/>
              <w:left w:val="single" w:sz="2" w:space="0" w:color="000000"/>
              <w:bottom w:val="single" w:sz="2" w:space="0" w:color="000000"/>
              <w:right w:val="single" w:sz="2" w:space="0" w:color="000000"/>
            </w:tcBorders>
            <w:vAlign w:val="bottom"/>
          </w:tcPr>
          <w:p w14:paraId="7C19EC70" w14:textId="77777777" w:rsidR="00053D93" w:rsidRDefault="00260B75">
            <w:pPr>
              <w:ind w:left="22"/>
              <w:jc w:val="center"/>
            </w:pPr>
            <w:r>
              <w:rPr>
                <w:sz w:val="20"/>
              </w:rPr>
              <w:t>NO APLICA</w:t>
            </w:r>
          </w:p>
        </w:tc>
        <w:tc>
          <w:tcPr>
            <w:tcW w:w="910" w:type="dxa"/>
            <w:tcBorders>
              <w:top w:val="single" w:sz="2" w:space="0" w:color="000000"/>
              <w:left w:val="single" w:sz="2" w:space="0" w:color="000000"/>
              <w:bottom w:val="single" w:sz="2" w:space="0" w:color="000000"/>
              <w:right w:val="single" w:sz="2" w:space="0" w:color="000000"/>
            </w:tcBorders>
            <w:vAlign w:val="bottom"/>
          </w:tcPr>
          <w:p w14:paraId="09907BC1" w14:textId="77777777" w:rsidR="00053D93" w:rsidRDefault="00260B75">
            <w:pPr>
              <w:ind w:left="79"/>
            </w:pPr>
            <w:r>
              <w:rPr>
                <w:rFonts w:ascii="Times New Roman" w:eastAsia="Times New Roman" w:hAnsi="Times New Roman" w:cs="Times New Roman"/>
                <w:sz w:val="16"/>
              </w:rPr>
              <w:t>21/06/2024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06E8405B" w14:textId="77777777" w:rsidR="00053D93" w:rsidRDefault="00260B75">
            <w:pPr>
              <w:tabs>
                <w:tab w:val="center" w:pos="814"/>
                <w:tab w:val="center" w:pos="1949"/>
              </w:tabs>
            </w:pPr>
            <w:r>
              <w:rPr>
                <w:sz w:val="18"/>
              </w:rPr>
              <w:tab/>
              <w:t>Consejo Noruego</w:t>
            </w:r>
            <w:r>
              <w:rPr>
                <w:sz w:val="18"/>
              </w:rPr>
              <w:tab/>
              <w:t>para</w:t>
            </w:r>
          </w:p>
          <w:p w14:paraId="16F9A11A" w14:textId="77777777" w:rsidR="00053D93" w:rsidRDefault="00260B75">
            <w:pPr>
              <w:ind w:left="91"/>
            </w:pPr>
            <w:r>
              <w:rPr>
                <w:sz w:val="18"/>
              </w:rPr>
              <w:t>Refugiados</w:t>
            </w:r>
          </w:p>
        </w:tc>
        <w:tc>
          <w:tcPr>
            <w:tcW w:w="2287" w:type="dxa"/>
            <w:tcBorders>
              <w:top w:val="single" w:sz="2" w:space="0" w:color="000000"/>
              <w:left w:val="single" w:sz="2" w:space="0" w:color="000000"/>
              <w:bottom w:val="single" w:sz="2" w:space="0" w:color="000000"/>
              <w:right w:val="single" w:sz="2" w:space="0" w:color="000000"/>
            </w:tcBorders>
          </w:tcPr>
          <w:p w14:paraId="01A62536" w14:textId="77777777" w:rsidR="00053D93" w:rsidRDefault="00260B75">
            <w:pPr>
              <w:ind w:left="77" w:right="79" w:firstLine="7"/>
              <w:jc w:val="both"/>
            </w:pPr>
            <w:r>
              <w:rPr>
                <w:sz w:val="16"/>
              </w:rPr>
              <w:t>Implementar el "Programa de Infraestructura y Alojamiento, Agua, Saneamiento e Higiene (Shelter• ash)".</w:t>
            </w:r>
          </w:p>
        </w:tc>
        <w:tc>
          <w:tcPr>
            <w:tcW w:w="1433" w:type="dxa"/>
            <w:tcBorders>
              <w:top w:val="single" w:sz="2" w:space="0" w:color="000000"/>
              <w:left w:val="single" w:sz="2" w:space="0" w:color="000000"/>
              <w:bottom w:val="single" w:sz="2" w:space="0" w:color="000000"/>
              <w:right w:val="single" w:sz="2" w:space="0" w:color="000000"/>
            </w:tcBorders>
          </w:tcPr>
          <w:p w14:paraId="5DEE3606" w14:textId="77777777" w:rsidR="00053D93" w:rsidRDefault="00053D93"/>
        </w:tc>
      </w:tr>
      <w:tr w:rsidR="00053D93" w14:paraId="2D63A444" w14:textId="77777777">
        <w:trPr>
          <w:trHeight w:val="1366"/>
        </w:trPr>
        <w:tc>
          <w:tcPr>
            <w:tcW w:w="280" w:type="dxa"/>
            <w:tcBorders>
              <w:top w:val="single" w:sz="2" w:space="0" w:color="000000"/>
              <w:left w:val="single" w:sz="2" w:space="0" w:color="000000"/>
              <w:bottom w:val="single" w:sz="2" w:space="0" w:color="000000"/>
              <w:right w:val="single" w:sz="2" w:space="0" w:color="000000"/>
            </w:tcBorders>
            <w:vAlign w:val="bottom"/>
          </w:tcPr>
          <w:p w14:paraId="61DFFE09" w14:textId="77777777" w:rsidR="00053D93" w:rsidRDefault="00260B75">
            <w:pPr>
              <w:ind w:left="28"/>
            </w:pPr>
            <w:r>
              <w:rPr>
                <w:rFonts w:ascii="Times New Roman" w:eastAsia="Times New Roman" w:hAnsi="Times New Roman" w:cs="Times New Roman"/>
                <w:sz w:val="18"/>
              </w:rPr>
              <w:t>13</w:t>
            </w:r>
          </w:p>
        </w:tc>
        <w:tc>
          <w:tcPr>
            <w:tcW w:w="1274" w:type="dxa"/>
            <w:gridSpan w:val="3"/>
            <w:tcBorders>
              <w:top w:val="single" w:sz="2" w:space="0" w:color="000000"/>
              <w:left w:val="single" w:sz="2" w:space="0" w:color="000000"/>
              <w:bottom w:val="single" w:sz="2" w:space="0" w:color="000000"/>
              <w:right w:val="single" w:sz="2" w:space="0" w:color="000000"/>
            </w:tcBorders>
            <w:vAlign w:val="bottom"/>
          </w:tcPr>
          <w:p w14:paraId="692193DB" w14:textId="77777777" w:rsidR="00053D93" w:rsidRDefault="00260B75">
            <w:pPr>
              <w:ind w:left="29"/>
              <w:jc w:val="center"/>
            </w:pPr>
            <w:r>
              <w:rPr>
                <w:sz w:val="20"/>
              </w:rPr>
              <w:t>NO APLICA</w:t>
            </w:r>
          </w:p>
        </w:tc>
        <w:tc>
          <w:tcPr>
            <w:tcW w:w="910" w:type="dxa"/>
            <w:tcBorders>
              <w:top w:val="single" w:sz="2" w:space="0" w:color="000000"/>
              <w:left w:val="single" w:sz="2" w:space="0" w:color="000000"/>
              <w:bottom w:val="single" w:sz="2" w:space="0" w:color="000000"/>
              <w:right w:val="single" w:sz="2" w:space="0" w:color="000000"/>
            </w:tcBorders>
            <w:vAlign w:val="bottom"/>
          </w:tcPr>
          <w:p w14:paraId="48322AAD" w14:textId="77777777" w:rsidR="00053D93" w:rsidRDefault="00260B75">
            <w:pPr>
              <w:ind w:left="79"/>
            </w:pPr>
            <w:r>
              <w:rPr>
                <w:rFonts w:ascii="Times New Roman" w:eastAsia="Times New Roman" w:hAnsi="Times New Roman" w:cs="Times New Roman"/>
                <w:sz w:val="16"/>
              </w:rPr>
              <w:t>20/07/2024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479BFAD3" w14:textId="77777777" w:rsidR="00053D93" w:rsidRDefault="00260B75">
            <w:pPr>
              <w:spacing w:after="42"/>
              <w:ind w:left="91"/>
            </w:pPr>
            <w:r>
              <w:rPr>
                <w:sz w:val="18"/>
              </w:rPr>
              <w:t>Instituto de Cooperación</w:t>
            </w:r>
          </w:p>
          <w:p w14:paraId="45F25189" w14:textId="77777777" w:rsidR="00053D93" w:rsidRDefault="00260B75">
            <w:pPr>
              <w:tabs>
                <w:tab w:val="center" w:pos="581"/>
                <w:tab w:val="center" w:pos="1531"/>
                <w:tab w:val="center" w:pos="2049"/>
              </w:tabs>
            </w:pPr>
            <w:r>
              <w:rPr>
                <w:sz w:val="20"/>
              </w:rPr>
              <w:tab/>
              <w:t>Internacional</w:t>
            </w:r>
            <w:r>
              <w:rPr>
                <w:sz w:val="20"/>
              </w:rPr>
              <w:tab/>
              <w:t>de</w:t>
            </w:r>
            <w:r>
              <w:rPr>
                <w:sz w:val="20"/>
              </w:rPr>
              <w:tab/>
              <w:t>la</w:t>
            </w:r>
          </w:p>
          <w:p w14:paraId="7C2EC949" w14:textId="77777777" w:rsidR="00053D93" w:rsidRDefault="00260B75">
            <w:pPr>
              <w:ind w:left="84"/>
            </w:pPr>
            <w:r>
              <w:rPr>
                <w:sz w:val="18"/>
              </w:rPr>
              <w:t>Asociación Alemana para la</w:t>
            </w:r>
          </w:p>
          <w:p w14:paraId="29ECF187" w14:textId="77777777" w:rsidR="00053D93" w:rsidRDefault="00260B75">
            <w:pPr>
              <w:ind w:left="91"/>
            </w:pPr>
            <w:r>
              <w:rPr>
                <w:sz w:val="18"/>
              </w:rPr>
              <w:t>Educación de Adultos —DVV</w:t>
            </w:r>
          </w:p>
          <w:p w14:paraId="01FA9333" w14:textId="77777777" w:rsidR="00053D93" w:rsidRDefault="00260B75">
            <w:pPr>
              <w:ind w:left="91"/>
            </w:pPr>
            <w:r>
              <w:rPr>
                <w:sz w:val="16"/>
              </w:rPr>
              <w:t>International</w:t>
            </w:r>
          </w:p>
        </w:tc>
        <w:tc>
          <w:tcPr>
            <w:tcW w:w="2287" w:type="dxa"/>
            <w:tcBorders>
              <w:top w:val="single" w:sz="2" w:space="0" w:color="000000"/>
              <w:left w:val="single" w:sz="2" w:space="0" w:color="000000"/>
              <w:bottom w:val="single" w:sz="2" w:space="0" w:color="000000"/>
              <w:right w:val="single" w:sz="2" w:space="0" w:color="000000"/>
            </w:tcBorders>
            <w:vAlign w:val="bottom"/>
          </w:tcPr>
          <w:p w14:paraId="04EDC620" w14:textId="77777777" w:rsidR="00053D93" w:rsidRDefault="00260B75">
            <w:pPr>
              <w:ind w:left="84" w:right="79" w:firstLine="7"/>
              <w:jc w:val="both"/>
            </w:pPr>
            <w:r>
              <w:rPr>
                <w:sz w:val="16"/>
              </w:rPr>
              <w:t>Establecer acciones de apoyo para fonalecimiento del Subsistema de Educación Extraescolar, a través de la implementación det Proyecto: Fortalecimiento de la Educación de Jóvenes y Adultos -EPJA-.</w:t>
            </w:r>
          </w:p>
        </w:tc>
        <w:tc>
          <w:tcPr>
            <w:tcW w:w="1433" w:type="dxa"/>
            <w:tcBorders>
              <w:top w:val="single" w:sz="2" w:space="0" w:color="000000"/>
              <w:left w:val="single" w:sz="2" w:space="0" w:color="000000"/>
              <w:bottom w:val="single" w:sz="2" w:space="0" w:color="000000"/>
              <w:right w:val="single" w:sz="2" w:space="0" w:color="000000"/>
            </w:tcBorders>
            <w:vAlign w:val="bottom"/>
          </w:tcPr>
          <w:p w14:paraId="30D66EC1" w14:textId="77777777" w:rsidR="00053D93" w:rsidRDefault="00260B75">
            <w:pPr>
              <w:ind w:right="79"/>
              <w:jc w:val="right"/>
            </w:pPr>
            <w:r>
              <w:rPr>
                <w:sz w:val="16"/>
              </w:rPr>
              <w:t>67,500.oo</w:t>
            </w:r>
          </w:p>
        </w:tc>
      </w:tr>
      <w:tr w:rsidR="00053D93" w14:paraId="45032E57" w14:textId="77777777">
        <w:trPr>
          <w:trHeight w:val="3281"/>
        </w:trPr>
        <w:tc>
          <w:tcPr>
            <w:tcW w:w="280" w:type="dxa"/>
            <w:vMerge w:val="restart"/>
            <w:tcBorders>
              <w:top w:val="single" w:sz="2" w:space="0" w:color="000000"/>
              <w:left w:val="single" w:sz="2" w:space="0" w:color="000000"/>
              <w:bottom w:val="nil"/>
              <w:right w:val="single" w:sz="2" w:space="0" w:color="000000"/>
            </w:tcBorders>
            <w:vAlign w:val="bottom"/>
          </w:tcPr>
          <w:p w14:paraId="62A19E34" w14:textId="77777777" w:rsidR="00053D93" w:rsidRDefault="00260B75">
            <w:pPr>
              <w:ind w:left="14"/>
            </w:pPr>
            <w:r>
              <w:rPr>
                <w:noProof/>
              </w:rPr>
              <w:drawing>
                <wp:inline distT="0" distB="0" distL="0" distR="0" wp14:anchorId="41C0C8A5" wp14:editId="1BDE309E">
                  <wp:extent cx="169164" cy="397764"/>
                  <wp:effectExtent l="0" t="0" r="0" b="0"/>
                  <wp:docPr id="164906" name="Picture 164906"/>
                  <wp:cNvGraphicFramePr/>
                  <a:graphic xmlns:a="http://schemas.openxmlformats.org/drawingml/2006/main">
                    <a:graphicData uri="http://schemas.openxmlformats.org/drawingml/2006/picture">
                      <pic:pic xmlns:pic="http://schemas.openxmlformats.org/drawingml/2006/picture">
                        <pic:nvPicPr>
                          <pic:cNvPr id="164906" name="Picture 164906"/>
                          <pic:cNvPicPr/>
                        </pic:nvPicPr>
                        <pic:blipFill>
                          <a:blip r:embed="rId201"/>
                          <a:stretch>
                            <a:fillRect/>
                          </a:stretch>
                        </pic:blipFill>
                        <pic:spPr>
                          <a:xfrm>
                            <a:off x="0" y="0"/>
                            <a:ext cx="169164" cy="397764"/>
                          </a:xfrm>
                          <a:prstGeom prst="rect">
                            <a:avLst/>
                          </a:prstGeom>
                        </pic:spPr>
                      </pic:pic>
                    </a:graphicData>
                  </a:graphic>
                </wp:inline>
              </w:drawing>
            </w:r>
          </w:p>
        </w:tc>
        <w:tc>
          <w:tcPr>
            <w:tcW w:w="1274" w:type="dxa"/>
            <w:gridSpan w:val="3"/>
            <w:tcBorders>
              <w:top w:val="single" w:sz="2" w:space="0" w:color="000000"/>
              <w:left w:val="single" w:sz="2" w:space="0" w:color="000000"/>
              <w:bottom w:val="nil"/>
              <w:right w:val="single" w:sz="2" w:space="0" w:color="000000"/>
            </w:tcBorders>
          </w:tcPr>
          <w:p w14:paraId="6D3F1CBF" w14:textId="77777777" w:rsidR="00053D93" w:rsidRDefault="00053D93"/>
        </w:tc>
        <w:tc>
          <w:tcPr>
            <w:tcW w:w="910" w:type="dxa"/>
            <w:tcBorders>
              <w:top w:val="single" w:sz="2" w:space="0" w:color="000000"/>
              <w:left w:val="single" w:sz="2" w:space="0" w:color="000000"/>
              <w:bottom w:val="single" w:sz="2" w:space="0" w:color="000000"/>
              <w:right w:val="single" w:sz="2" w:space="0" w:color="000000"/>
            </w:tcBorders>
          </w:tcPr>
          <w:p w14:paraId="293ECA78" w14:textId="77777777" w:rsidR="00053D93" w:rsidRDefault="00053D93"/>
        </w:tc>
        <w:tc>
          <w:tcPr>
            <w:tcW w:w="1121" w:type="dxa"/>
            <w:tcBorders>
              <w:top w:val="single" w:sz="2" w:space="0" w:color="000000"/>
              <w:left w:val="single" w:sz="2" w:space="0" w:color="000000"/>
              <w:bottom w:val="single" w:sz="2" w:space="0" w:color="000000"/>
              <w:right w:val="nil"/>
            </w:tcBorders>
            <w:vAlign w:val="bottom"/>
          </w:tcPr>
          <w:p w14:paraId="68EA1377" w14:textId="77777777" w:rsidR="00053D93" w:rsidRDefault="00260B75">
            <w:pPr>
              <w:ind w:left="91"/>
            </w:pPr>
            <w:r>
              <w:rPr>
                <w:sz w:val="18"/>
              </w:rPr>
              <w:t xml:space="preserve">Fundación </w:t>
            </w:r>
          </w:p>
        </w:tc>
        <w:tc>
          <w:tcPr>
            <w:tcW w:w="1068" w:type="dxa"/>
            <w:tcBorders>
              <w:top w:val="single" w:sz="2" w:space="0" w:color="000000"/>
              <w:left w:val="nil"/>
              <w:bottom w:val="single" w:sz="2" w:space="0" w:color="000000"/>
              <w:right w:val="single" w:sz="2" w:space="0" w:color="000000"/>
            </w:tcBorders>
            <w:vAlign w:val="bottom"/>
          </w:tcPr>
          <w:p w14:paraId="76F9AD12" w14:textId="77777777" w:rsidR="00053D93" w:rsidRDefault="00260B75">
            <w:pPr>
              <w:ind w:left="14"/>
            </w:pPr>
            <w:r>
              <w:rPr>
                <w:sz w:val="18"/>
              </w:rPr>
              <w:t>Guatemalteca</w:t>
            </w:r>
          </w:p>
        </w:tc>
        <w:tc>
          <w:tcPr>
            <w:tcW w:w="2287" w:type="dxa"/>
            <w:tcBorders>
              <w:top w:val="single" w:sz="2" w:space="0" w:color="000000"/>
              <w:left w:val="single" w:sz="2" w:space="0" w:color="000000"/>
              <w:bottom w:val="single" w:sz="2" w:space="0" w:color="000000"/>
              <w:right w:val="single" w:sz="2" w:space="0" w:color="000000"/>
            </w:tcBorders>
          </w:tcPr>
          <w:p w14:paraId="63717A82" w14:textId="77777777" w:rsidR="00053D93" w:rsidRDefault="00260B75">
            <w:pPr>
              <w:ind w:left="91"/>
            </w:pPr>
            <w:r>
              <w:rPr>
                <w:sz w:val="16"/>
              </w:rPr>
              <w:t>Modificar la cláusula "NOVENA</w:t>
            </w:r>
          </w:p>
          <w:p w14:paraId="1375A785" w14:textId="77777777" w:rsidR="00053D93" w:rsidRDefault="00260B75">
            <w:pPr>
              <w:ind w:left="84"/>
            </w:pPr>
            <w:r>
              <w:rPr>
                <w:sz w:val="16"/>
              </w:rPr>
              <w:t>VIGENCIA". del CONVENIO DE</w:t>
            </w:r>
          </w:p>
          <w:p w14:paraId="23A84813" w14:textId="77777777" w:rsidR="00053D93" w:rsidRDefault="00260B75">
            <w:pPr>
              <w:ind w:left="84"/>
            </w:pPr>
            <w:r>
              <w:rPr>
                <w:sz w:val="20"/>
              </w:rPr>
              <w:t>COOPERACIÓN</w:t>
            </w:r>
          </w:p>
          <w:p w14:paraId="09E1C192" w14:textId="77777777" w:rsidR="00053D93" w:rsidRDefault="00260B75">
            <w:pPr>
              <w:ind w:left="91"/>
            </w:pPr>
            <w:r>
              <w:rPr>
                <w:sz w:val="18"/>
              </w:rPr>
              <w:t>INTERINSTITUCIONAL ENTRE</w:t>
            </w:r>
          </w:p>
          <w:p w14:paraId="34CBA826" w14:textId="77777777" w:rsidR="00053D93" w:rsidRDefault="00260B75">
            <w:pPr>
              <w:ind w:left="91"/>
            </w:pPr>
            <w:r>
              <w:rPr>
                <w:sz w:val="16"/>
              </w:rPr>
              <w:t>EL MINISTERIO DE EDUCACION</w:t>
            </w:r>
          </w:p>
          <w:p w14:paraId="03FE96CB" w14:textId="77777777" w:rsidR="00053D93" w:rsidRDefault="00260B75">
            <w:pPr>
              <w:tabs>
                <w:tab w:val="center" w:pos="123"/>
                <w:tab w:val="center" w:pos="721"/>
                <w:tab w:val="center" w:pos="1736"/>
              </w:tabs>
            </w:pPr>
            <w:r>
              <w:rPr>
                <w:sz w:val="20"/>
              </w:rPr>
              <w:tab/>
            </w:r>
            <w:r>
              <w:rPr>
                <w:rFonts w:ascii="Times New Roman" w:eastAsia="Times New Roman" w:hAnsi="Times New Roman" w:cs="Times New Roman"/>
                <w:sz w:val="20"/>
              </w:rPr>
              <w:t>Y</w:t>
            </w:r>
            <w:r>
              <w:rPr>
                <w:rFonts w:ascii="Times New Roman" w:eastAsia="Times New Roman" w:hAnsi="Times New Roman" w:cs="Times New Roman"/>
                <w:sz w:val="20"/>
              </w:rPr>
              <w:tab/>
            </w:r>
            <w:r>
              <w:rPr>
                <w:sz w:val="20"/>
              </w:rPr>
              <w:t>LA</w:t>
            </w:r>
            <w:r>
              <w:rPr>
                <w:sz w:val="20"/>
              </w:rPr>
              <w:tab/>
              <w:t>FUNDACION</w:t>
            </w:r>
          </w:p>
          <w:p w14:paraId="58EBAD2E" w14:textId="77777777" w:rsidR="00053D93" w:rsidRDefault="00260B75">
            <w:pPr>
              <w:ind w:left="84" w:right="79" w:firstLine="7"/>
              <w:jc w:val="both"/>
            </w:pPr>
            <w:r>
              <w:rPr>
                <w:sz w:val="16"/>
              </w:rPr>
              <w:t>GUATEMALTECA PARA NINOS CON SORDOCEGUERA ALEX, FUNDAL, para ampliar el plazo X E det Convenio. quedando de ta pcs siguiente forma: "NOVENA. VIGENCIA: El presente Convenio tendré vigencia desde fecha de su suscripción hasta el treinta y uno de diciembre de y dos mil veintiocho (31/1212028) y podrá</w:t>
            </w:r>
          </w:p>
        </w:tc>
        <w:tc>
          <w:tcPr>
            <w:tcW w:w="1433" w:type="dxa"/>
            <w:tcBorders>
              <w:top w:val="single" w:sz="2" w:space="0" w:color="000000"/>
              <w:left w:val="single" w:sz="2" w:space="0" w:color="000000"/>
              <w:bottom w:val="single" w:sz="2" w:space="0" w:color="000000"/>
              <w:right w:val="single" w:sz="2" w:space="0" w:color="000000"/>
            </w:tcBorders>
          </w:tcPr>
          <w:p w14:paraId="645FA9D5" w14:textId="77777777" w:rsidR="00053D93" w:rsidRDefault="00053D93"/>
        </w:tc>
      </w:tr>
      <w:tr w:rsidR="00053D93" w14:paraId="319812C5" w14:textId="77777777">
        <w:trPr>
          <w:trHeight w:val="600"/>
        </w:trPr>
        <w:tc>
          <w:tcPr>
            <w:tcW w:w="0" w:type="auto"/>
            <w:vMerge/>
            <w:tcBorders>
              <w:top w:val="nil"/>
              <w:left w:val="single" w:sz="2" w:space="0" w:color="000000"/>
              <w:bottom w:val="nil"/>
              <w:right w:val="single" w:sz="2" w:space="0" w:color="000000"/>
            </w:tcBorders>
          </w:tcPr>
          <w:p w14:paraId="261590E8" w14:textId="77777777" w:rsidR="00053D93" w:rsidRDefault="00053D93"/>
        </w:tc>
        <w:tc>
          <w:tcPr>
            <w:tcW w:w="256" w:type="dxa"/>
            <w:tcBorders>
              <w:top w:val="nil"/>
              <w:left w:val="single" w:sz="2" w:space="0" w:color="000000"/>
              <w:bottom w:val="nil"/>
              <w:right w:val="single" w:sz="2" w:space="0" w:color="000000"/>
            </w:tcBorders>
          </w:tcPr>
          <w:p w14:paraId="2464CAD5" w14:textId="77777777" w:rsidR="00053D93" w:rsidRDefault="00260B75">
            <w:r>
              <w:rPr>
                <w:noProof/>
              </w:rPr>
              <w:drawing>
                <wp:inline distT="0" distB="0" distL="0" distR="0" wp14:anchorId="35FBEC99" wp14:editId="1CB08333">
                  <wp:extent cx="132588" cy="379476"/>
                  <wp:effectExtent l="0" t="0" r="0" b="0"/>
                  <wp:docPr id="164871" name="Picture 164871"/>
                  <wp:cNvGraphicFramePr/>
                  <a:graphic xmlns:a="http://schemas.openxmlformats.org/drawingml/2006/main">
                    <a:graphicData uri="http://schemas.openxmlformats.org/drawingml/2006/picture">
                      <pic:pic xmlns:pic="http://schemas.openxmlformats.org/drawingml/2006/picture">
                        <pic:nvPicPr>
                          <pic:cNvPr id="164871" name="Picture 164871"/>
                          <pic:cNvPicPr/>
                        </pic:nvPicPr>
                        <pic:blipFill>
                          <a:blip r:embed="rId202"/>
                          <a:stretch>
                            <a:fillRect/>
                          </a:stretch>
                        </pic:blipFill>
                        <pic:spPr>
                          <a:xfrm>
                            <a:off x="0" y="0"/>
                            <a:ext cx="132588" cy="379476"/>
                          </a:xfrm>
                          <a:prstGeom prst="rect">
                            <a:avLst/>
                          </a:prstGeom>
                        </pic:spPr>
                      </pic:pic>
                    </a:graphicData>
                  </a:graphic>
                </wp:inline>
              </w:drawing>
            </w:r>
          </w:p>
        </w:tc>
        <w:tc>
          <w:tcPr>
            <w:tcW w:w="191" w:type="dxa"/>
            <w:tcBorders>
              <w:top w:val="nil"/>
              <w:left w:val="single" w:sz="2" w:space="0" w:color="000000"/>
              <w:bottom w:val="nil"/>
              <w:right w:val="single" w:sz="2" w:space="0" w:color="000000"/>
            </w:tcBorders>
          </w:tcPr>
          <w:p w14:paraId="49C609D9" w14:textId="77777777" w:rsidR="00053D93" w:rsidRDefault="00053D93"/>
        </w:tc>
        <w:tc>
          <w:tcPr>
            <w:tcW w:w="7646" w:type="dxa"/>
            <w:gridSpan w:val="6"/>
            <w:tcBorders>
              <w:top w:val="single" w:sz="2" w:space="0" w:color="000000"/>
              <w:left w:val="single" w:sz="2" w:space="0" w:color="000000"/>
              <w:bottom w:val="nil"/>
              <w:right w:val="nil"/>
            </w:tcBorders>
          </w:tcPr>
          <w:p w14:paraId="4D7493B6" w14:textId="77777777" w:rsidR="00053D93" w:rsidRDefault="00260B75">
            <w:pPr>
              <w:ind w:left="2614"/>
            </w:pPr>
            <w:r>
              <w:rPr>
                <w:sz w:val="14"/>
              </w:rPr>
              <w:t>MINISTERIO DE EDUCACION</w:t>
            </w:r>
          </w:p>
          <w:p w14:paraId="0C538AB5" w14:textId="77777777" w:rsidR="00053D93" w:rsidRDefault="00260B75">
            <w:pPr>
              <w:ind w:left="2117"/>
            </w:pPr>
            <w:r>
              <w:rPr>
                <w:sz w:val="14"/>
              </w:rPr>
              <w:t>AUDITORiA FINANCIERA Y DE CUMPLIMIENTO</w:t>
            </w:r>
          </w:p>
          <w:p w14:paraId="7BFCF035" w14:textId="77777777" w:rsidR="00053D93" w:rsidRDefault="00260B75">
            <w:pPr>
              <w:ind w:left="1778"/>
            </w:pPr>
            <w:r>
              <w:rPr>
                <w:sz w:val="14"/>
              </w:rPr>
              <w:t>PERÍODO DEL 01 DE ENERO AL 31 DE DICIEMBRE DE 2024</w:t>
            </w:r>
          </w:p>
        </w:tc>
      </w:tr>
    </w:tbl>
    <w:p w14:paraId="3214F09A" w14:textId="77777777" w:rsidR="00053D93" w:rsidRDefault="00260B75">
      <w:pPr>
        <w:spacing w:after="0"/>
        <w:ind w:left="-338" w:right="9922"/>
      </w:pPr>
      <w:r>
        <w:rPr>
          <w:noProof/>
        </w:rPr>
        <w:lastRenderedPageBreak/>
        <w:drawing>
          <wp:anchor distT="0" distB="0" distL="114300" distR="114300" simplePos="0" relativeHeight="251772928" behindDoc="0" locked="0" layoutInCell="1" allowOverlap="0" wp14:anchorId="3AA5F84B" wp14:editId="0C333B01">
            <wp:simplePos x="0" y="0"/>
            <wp:positionH relativeFrom="column">
              <wp:posOffset>9144</wp:posOffset>
            </wp:positionH>
            <wp:positionV relativeFrom="paragraph">
              <wp:posOffset>0</wp:posOffset>
            </wp:positionV>
            <wp:extent cx="146304" cy="1431036"/>
            <wp:effectExtent l="0" t="0" r="0" b="0"/>
            <wp:wrapSquare wrapText="bothSides"/>
            <wp:docPr id="165076" name="Picture 165076"/>
            <wp:cNvGraphicFramePr/>
            <a:graphic xmlns:a="http://schemas.openxmlformats.org/drawingml/2006/main">
              <a:graphicData uri="http://schemas.openxmlformats.org/drawingml/2006/picture">
                <pic:pic xmlns:pic="http://schemas.openxmlformats.org/drawingml/2006/picture">
                  <pic:nvPicPr>
                    <pic:cNvPr id="165076" name="Picture 165076"/>
                    <pic:cNvPicPr/>
                  </pic:nvPicPr>
                  <pic:blipFill>
                    <a:blip r:embed="rId203"/>
                    <a:stretch>
                      <a:fillRect/>
                    </a:stretch>
                  </pic:blipFill>
                  <pic:spPr>
                    <a:xfrm>
                      <a:off x="0" y="0"/>
                      <a:ext cx="146304" cy="1431036"/>
                    </a:xfrm>
                    <a:prstGeom prst="rect">
                      <a:avLst/>
                    </a:prstGeom>
                  </pic:spPr>
                </pic:pic>
              </a:graphicData>
            </a:graphic>
          </wp:anchor>
        </w:drawing>
      </w:r>
      <w:r>
        <w:rPr>
          <w:noProof/>
        </w:rPr>
        <w:drawing>
          <wp:anchor distT="0" distB="0" distL="114300" distR="114300" simplePos="0" relativeHeight="251773952" behindDoc="0" locked="0" layoutInCell="1" allowOverlap="0" wp14:anchorId="246B3C1A" wp14:editId="40ED87C3">
            <wp:simplePos x="0" y="0"/>
            <wp:positionH relativeFrom="column">
              <wp:posOffset>4572</wp:posOffset>
            </wp:positionH>
            <wp:positionV relativeFrom="paragraph">
              <wp:posOffset>1568196</wp:posOffset>
            </wp:positionV>
            <wp:extent cx="150876" cy="379476"/>
            <wp:effectExtent l="0" t="0" r="0" b="0"/>
            <wp:wrapSquare wrapText="bothSides"/>
            <wp:docPr id="165077" name="Picture 165077"/>
            <wp:cNvGraphicFramePr/>
            <a:graphic xmlns:a="http://schemas.openxmlformats.org/drawingml/2006/main">
              <a:graphicData uri="http://schemas.openxmlformats.org/drawingml/2006/picture">
                <pic:pic xmlns:pic="http://schemas.openxmlformats.org/drawingml/2006/picture">
                  <pic:nvPicPr>
                    <pic:cNvPr id="165077" name="Picture 165077"/>
                    <pic:cNvPicPr/>
                  </pic:nvPicPr>
                  <pic:blipFill>
                    <a:blip r:embed="rId204"/>
                    <a:stretch>
                      <a:fillRect/>
                    </a:stretch>
                  </pic:blipFill>
                  <pic:spPr>
                    <a:xfrm>
                      <a:off x="0" y="0"/>
                      <a:ext cx="150876" cy="379476"/>
                    </a:xfrm>
                    <a:prstGeom prst="rect">
                      <a:avLst/>
                    </a:prstGeom>
                  </pic:spPr>
                </pic:pic>
              </a:graphicData>
            </a:graphic>
          </wp:anchor>
        </w:drawing>
      </w:r>
      <w:r>
        <w:rPr>
          <w:noProof/>
        </w:rPr>
        <w:drawing>
          <wp:anchor distT="0" distB="0" distL="114300" distR="114300" simplePos="0" relativeHeight="251774976" behindDoc="0" locked="0" layoutInCell="1" allowOverlap="0" wp14:anchorId="737E2744" wp14:editId="49B55D54">
            <wp:simplePos x="0" y="0"/>
            <wp:positionH relativeFrom="column">
              <wp:posOffset>4572</wp:posOffset>
            </wp:positionH>
            <wp:positionV relativeFrom="paragraph">
              <wp:posOffset>2084832</wp:posOffset>
            </wp:positionV>
            <wp:extent cx="150876" cy="379476"/>
            <wp:effectExtent l="0" t="0" r="0" b="0"/>
            <wp:wrapSquare wrapText="bothSides"/>
            <wp:docPr id="165078" name="Picture 165078"/>
            <wp:cNvGraphicFramePr/>
            <a:graphic xmlns:a="http://schemas.openxmlformats.org/drawingml/2006/main">
              <a:graphicData uri="http://schemas.openxmlformats.org/drawingml/2006/picture">
                <pic:pic xmlns:pic="http://schemas.openxmlformats.org/drawingml/2006/picture">
                  <pic:nvPicPr>
                    <pic:cNvPr id="165078" name="Picture 165078"/>
                    <pic:cNvPicPr/>
                  </pic:nvPicPr>
                  <pic:blipFill>
                    <a:blip r:embed="rId205"/>
                    <a:stretch>
                      <a:fillRect/>
                    </a:stretch>
                  </pic:blipFill>
                  <pic:spPr>
                    <a:xfrm>
                      <a:off x="0" y="0"/>
                      <a:ext cx="150876" cy="379476"/>
                    </a:xfrm>
                    <a:prstGeom prst="rect">
                      <a:avLst/>
                    </a:prstGeom>
                  </pic:spPr>
                </pic:pic>
              </a:graphicData>
            </a:graphic>
          </wp:anchor>
        </w:drawing>
      </w:r>
      <w:r>
        <w:rPr>
          <w:noProof/>
        </w:rPr>
        <w:drawing>
          <wp:anchor distT="0" distB="0" distL="114300" distR="114300" simplePos="0" relativeHeight="251776000" behindDoc="0" locked="0" layoutInCell="1" allowOverlap="0" wp14:anchorId="4DCA42A5" wp14:editId="636B99B1">
            <wp:simplePos x="0" y="0"/>
            <wp:positionH relativeFrom="column">
              <wp:posOffset>0</wp:posOffset>
            </wp:positionH>
            <wp:positionV relativeFrom="paragraph">
              <wp:posOffset>2601468</wp:posOffset>
            </wp:positionV>
            <wp:extent cx="155448" cy="379476"/>
            <wp:effectExtent l="0" t="0" r="0" b="0"/>
            <wp:wrapSquare wrapText="bothSides"/>
            <wp:docPr id="165079" name="Picture 165079"/>
            <wp:cNvGraphicFramePr/>
            <a:graphic xmlns:a="http://schemas.openxmlformats.org/drawingml/2006/main">
              <a:graphicData uri="http://schemas.openxmlformats.org/drawingml/2006/picture">
                <pic:pic xmlns:pic="http://schemas.openxmlformats.org/drawingml/2006/picture">
                  <pic:nvPicPr>
                    <pic:cNvPr id="165079" name="Picture 165079"/>
                    <pic:cNvPicPr/>
                  </pic:nvPicPr>
                  <pic:blipFill>
                    <a:blip r:embed="rId206"/>
                    <a:stretch>
                      <a:fillRect/>
                    </a:stretch>
                  </pic:blipFill>
                  <pic:spPr>
                    <a:xfrm>
                      <a:off x="0" y="0"/>
                      <a:ext cx="155448" cy="379476"/>
                    </a:xfrm>
                    <a:prstGeom prst="rect">
                      <a:avLst/>
                    </a:prstGeom>
                  </pic:spPr>
                </pic:pic>
              </a:graphicData>
            </a:graphic>
          </wp:anchor>
        </w:drawing>
      </w:r>
      <w:r>
        <w:rPr>
          <w:noProof/>
        </w:rPr>
        <w:drawing>
          <wp:anchor distT="0" distB="0" distL="114300" distR="114300" simplePos="0" relativeHeight="251777024" behindDoc="0" locked="0" layoutInCell="1" allowOverlap="0" wp14:anchorId="31F40EC4" wp14:editId="7AE74B84">
            <wp:simplePos x="0" y="0"/>
            <wp:positionH relativeFrom="column">
              <wp:posOffset>0</wp:posOffset>
            </wp:positionH>
            <wp:positionV relativeFrom="paragraph">
              <wp:posOffset>3122676</wp:posOffset>
            </wp:positionV>
            <wp:extent cx="155448" cy="374904"/>
            <wp:effectExtent l="0" t="0" r="0" b="0"/>
            <wp:wrapSquare wrapText="bothSides"/>
            <wp:docPr id="165080" name="Picture 165080"/>
            <wp:cNvGraphicFramePr/>
            <a:graphic xmlns:a="http://schemas.openxmlformats.org/drawingml/2006/main">
              <a:graphicData uri="http://schemas.openxmlformats.org/drawingml/2006/picture">
                <pic:pic xmlns:pic="http://schemas.openxmlformats.org/drawingml/2006/picture">
                  <pic:nvPicPr>
                    <pic:cNvPr id="165080" name="Picture 165080"/>
                    <pic:cNvPicPr/>
                  </pic:nvPicPr>
                  <pic:blipFill>
                    <a:blip r:embed="rId207"/>
                    <a:stretch>
                      <a:fillRect/>
                    </a:stretch>
                  </pic:blipFill>
                  <pic:spPr>
                    <a:xfrm>
                      <a:off x="0" y="0"/>
                      <a:ext cx="155448" cy="374904"/>
                    </a:xfrm>
                    <a:prstGeom prst="rect">
                      <a:avLst/>
                    </a:prstGeom>
                  </pic:spPr>
                </pic:pic>
              </a:graphicData>
            </a:graphic>
          </wp:anchor>
        </w:drawing>
      </w:r>
      <w:r>
        <w:rPr>
          <w:noProof/>
        </w:rPr>
        <w:drawing>
          <wp:anchor distT="0" distB="0" distL="114300" distR="114300" simplePos="0" relativeHeight="251778048" behindDoc="0" locked="0" layoutInCell="1" allowOverlap="0" wp14:anchorId="164910C0" wp14:editId="0C144ABA">
            <wp:simplePos x="0" y="0"/>
            <wp:positionH relativeFrom="column">
              <wp:posOffset>0</wp:posOffset>
            </wp:positionH>
            <wp:positionV relativeFrom="paragraph">
              <wp:posOffset>3639312</wp:posOffset>
            </wp:positionV>
            <wp:extent cx="155448" cy="370332"/>
            <wp:effectExtent l="0" t="0" r="0" b="0"/>
            <wp:wrapSquare wrapText="bothSides"/>
            <wp:docPr id="165081" name="Picture 165081"/>
            <wp:cNvGraphicFramePr/>
            <a:graphic xmlns:a="http://schemas.openxmlformats.org/drawingml/2006/main">
              <a:graphicData uri="http://schemas.openxmlformats.org/drawingml/2006/picture">
                <pic:pic xmlns:pic="http://schemas.openxmlformats.org/drawingml/2006/picture">
                  <pic:nvPicPr>
                    <pic:cNvPr id="165081" name="Picture 165081"/>
                    <pic:cNvPicPr/>
                  </pic:nvPicPr>
                  <pic:blipFill>
                    <a:blip r:embed="rId208"/>
                    <a:stretch>
                      <a:fillRect/>
                    </a:stretch>
                  </pic:blipFill>
                  <pic:spPr>
                    <a:xfrm>
                      <a:off x="0" y="0"/>
                      <a:ext cx="155448" cy="370332"/>
                    </a:xfrm>
                    <a:prstGeom prst="rect">
                      <a:avLst/>
                    </a:prstGeom>
                  </pic:spPr>
                </pic:pic>
              </a:graphicData>
            </a:graphic>
          </wp:anchor>
        </w:drawing>
      </w:r>
      <w:r>
        <w:rPr>
          <w:noProof/>
        </w:rPr>
        <w:drawing>
          <wp:anchor distT="0" distB="0" distL="114300" distR="114300" simplePos="0" relativeHeight="251779072" behindDoc="0" locked="0" layoutInCell="1" allowOverlap="0" wp14:anchorId="01838529" wp14:editId="2D98233A">
            <wp:simplePos x="0" y="0"/>
            <wp:positionH relativeFrom="column">
              <wp:posOffset>0</wp:posOffset>
            </wp:positionH>
            <wp:positionV relativeFrom="paragraph">
              <wp:posOffset>4151376</wp:posOffset>
            </wp:positionV>
            <wp:extent cx="155448" cy="374904"/>
            <wp:effectExtent l="0" t="0" r="0" b="0"/>
            <wp:wrapSquare wrapText="bothSides"/>
            <wp:docPr id="165082" name="Picture 165082"/>
            <wp:cNvGraphicFramePr/>
            <a:graphic xmlns:a="http://schemas.openxmlformats.org/drawingml/2006/main">
              <a:graphicData uri="http://schemas.openxmlformats.org/drawingml/2006/picture">
                <pic:pic xmlns:pic="http://schemas.openxmlformats.org/drawingml/2006/picture">
                  <pic:nvPicPr>
                    <pic:cNvPr id="165082" name="Picture 165082"/>
                    <pic:cNvPicPr/>
                  </pic:nvPicPr>
                  <pic:blipFill>
                    <a:blip r:embed="rId209"/>
                    <a:stretch>
                      <a:fillRect/>
                    </a:stretch>
                  </pic:blipFill>
                  <pic:spPr>
                    <a:xfrm>
                      <a:off x="0" y="0"/>
                      <a:ext cx="155448" cy="374904"/>
                    </a:xfrm>
                    <a:prstGeom prst="rect">
                      <a:avLst/>
                    </a:prstGeom>
                  </pic:spPr>
                </pic:pic>
              </a:graphicData>
            </a:graphic>
          </wp:anchor>
        </w:drawing>
      </w:r>
      <w:r>
        <w:rPr>
          <w:noProof/>
        </w:rPr>
        <w:drawing>
          <wp:anchor distT="0" distB="0" distL="114300" distR="114300" simplePos="0" relativeHeight="251780096" behindDoc="0" locked="0" layoutInCell="1" allowOverlap="0" wp14:anchorId="408C3DCA" wp14:editId="5F2B4BEE">
            <wp:simplePos x="0" y="0"/>
            <wp:positionH relativeFrom="column">
              <wp:posOffset>-4571</wp:posOffset>
            </wp:positionH>
            <wp:positionV relativeFrom="paragraph">
              <wp:posOffset>4668012</wp:posOffset>
            </wp:positionV>
            <wp:extent cx="160020" cy="374903"/>
            <wp:effectExtent l="0" t="0" r="0" b="0"/>
            <wp:wrapSquare wrapText="bothSides"/>
            <wp:docPr id="165083" name="Picture 165083"/>
            <wp:cNvGraphicFramePr/>
            <a:graphic xmlns:a="http://schemas.openxmlformats.org/drawingml/2006/main">
              <a:graphicData uri="http://schemas.openxmlformats.org/drawingml/2006/picture">
                <pic:pic xmlns:pic="http://schemas.openxmlformats.org/drawingml/2006/picture">
                  <pic:nvPicPr>
                    <pic:cNvPr id="165083" name="Picture 165083"/>
                    <pic:cNvPicPr/>
                  </pic:nvPicPr>
                  <pic:blipFill>
                    <a:blip r:embed="rId210"/>
                    <a:stretch>
                      <a:fillRect/>
                    </a:stretch>
                  </pic:blipFill>
                  <pic:spPr>
                    <a:xfrm>
                      <a:off x="0" y="0"/>
                      <a:ext cx="160020" cy="374903"/>
                    </a:xfrm>
                    <a:prstGeom prst="rect">
                      <a:avLst/>
                    </a:prstGeom>
                  </pic:spPr>
                </pic:pic>
              </a:graphicData>
            </a:graphic>
          </wp:anchor>
        </w:drawing>
      </w:r>
      <w:r>
        <w:rPr>
          <w:noProof/>
        </w:rPr>
        <w:drawing>
          <wp:anchor distT="0" distB="0" distL="114300" distR="114300" simplePos="0" relativeHeight="251781120" behindDoc="0" locked="0" layoutInCell="1" allowOverlap="0" wp14:anchorId="1B0CCE04" wp14:editId="55484026">
            <wp:simplePos x="0" y="0"/>
            <wp:positionH relativeFrom="column">
              <wp:posOffset>-4571</wp:posOffset>
            </wp:positionH>
            <wp:positionV relativeFrom="paragraph">
              <wp:posOffset>5184648</wp:posOffset>
            </wp:positionV>
            <wp:extent cx="160020" cy="374904"/>
            <wp:effectExtent l="0" t="0" r="0" b="0"/>
            <wp:wrapSquare wrapText="bothSides"/>
            <wp:docPr id="165084" name="Picture 165084"/>
            <wp:cNvGraphicFramePr/>
            <a:graphic xmlns:a="http://schemas.openxmlformats.org/drawingml/2006/main">
              <a:graphicData uri="http://schemas.openxmlformats.org/drawingml/2006/picture">
                <pic:pic xmlns:pic="http://schemas.openxmlformats.org/drawingml/2006/picture">
                  <pic:nvPicPr>
                    <pic:cNvPr id="165084" name="Picture 165084"/>
                    <pic:cNvPicPr/>
                  </pic:nvPicPr>
                  <pic:blipFill>
                    <a:blip r:embed="rId211"/>
                    <a:stretch>
                      <a:fillRect/>
                    </a:stretch>
                  </pic:blipFill>
                  <pic:spPr>
                    <a:xfrm>
                      <a:off x="0" y="0"/>
                      <a:ext cx="160020" cy="374904"/>
                    </a:xfrm>
                    <a:prstGeom prst="rect">
                      <a:avLst/>
                    </a:prstGeom>
                  </pic:spPr>
                </pic:pic>
              </a:graphicData>
            </a:graphic>
          </wp:anchor>
        </w:drawing>
      </w:r>
      <w:r>
        <w:rPr>
          <w:noProof/>
        </w:rPr>
        <w:drawing>
          <wp:anchor distT="0" distB="0" distL="114300" distR="114300" simplePos="0" relativeHeight="251782144" behindDoc="0" locked="0" layoutInCell="1" allowOverlap="0" wp14:anchorId="4FD1E3B2" wp14:editId="4219011A">
            <wp:simplePos x="0" y="0"/>
            <wp:positionH relativeFrom="column">
              <wp:posOffset>13716</wp:posOffset>
            </wp:positionH>
            <wp:positionV relativeFrom="paragraph">
              <wp:posOffset>5701284</wp:posOffset>
            </wp:positionV>
            <wp:extent cx="141732" cy="374904"/>
            <wp:effectExtent l="0" t="0" r="0" b="0"/>
            <wp:wrapSquare wrapText="bothSides"/>
            <wp:docPr id="165085" name="Picture 165085"/>
            <wp:cNvGraphicFramePr/>
            <a:graphic xmlns:a="http://schemas.openxmlformats.org/drawingml/2006/main">
              <a:graphicData uri="http://schemas.openxmlformats.org/drawingml/2006/picture">
                <pic:pic xmlns:pic="http://schemas.openxmlformats.org/drawingml/2006/picture">
                  <pic:nvPicPr>
                    <pic:cNvPr id="165085" name="Picture 165085"/>
                    <pic:cNvPicPr/>
                  </pic:nvPicPr>
                  <pic:blipFill>
                    <a:blip r:embed="rId212"/>
                    <a:stretch>
                      <a:fillRect/>
                    </a:stretch>
                  </pic:blipFill>
                  <pic:spPr>
                    <a:xfrm>
                      <a:off x="0" y="0"/>
                      <a:ext cx="141732" cy="374904"/>
                    </a:xfrm>
                    <a:prstGeom prst="rect">
                      <a:avLst/>
                    </a:prstGeom>
                  </pic:spPr>
                </pic:pic>
              </a:graphicData>
            </a:graphic>
          </wp:anchor>
        </w:drawing>
      </w:r>
      <w:r>
        <w:rPr>
          <w:noProof/>
        </w:rPr>
        <w:drawing>
          <wp:anchor distT="0" distB="0" distL="114300" distR="114300" simplePos="0" relativeHeight="251783168" behindDoc="0" locked="0" layoutInCell="1" allowOverlap="0" wp14:anchorId="544C0954" wp14:editId="040EAEEA">
            <wp:simplePos x="0" y="0"/>
            <wp:positionH relativeFrom="column">
              <wp:posOffset>-9143</wp:posOffset>
            </wp:positionH>
            <wp:positionV relativeFrom="paragraph">
              <wp:posOffset>6217921</wp:posOffset>
            </wp:positionV>
            <wp:extent cx="164592" cy="374903"/>
            <wp:effectExtent l="0" t="0" r="0" b="0"/>
            <wp:wrapSquare wrapText="bothSides"/>
            <wp:docPr id="165086" name="Picture 165086"/>
            <wp:cNvGraphicFramePr/>
            <a:graphic xmlns:a="http://schemas.openxmlformats.org/drawingml/2006/main">
              <a:graphicData uri="http://schemas.openxmlformats.org/drawingml/2006/picture">
                <pic:pic xmlns:pic="http://schemas.openxmlformats.org/drawingml/2006/picture">
                  <pic:nvPicPr>
                    <pic:cNvPr id="165086" name="Picture 165086"/>
                    <pic:cNvPicPr/>
                  </pic:nvPicPr>
                  <pic:blipFill>
                    <a:blip r:embed="rId213"/>
                    <a:stretch>
                      <a:fillRect/>
                    </a:stretch>
                  </pic:blipFill>
                  <pic:spPr>
                    <a:xfrm>
                      <a:off x="0" y="0"/>
                      <a:ext cx="164592" cy="374903"/>
                    </a:xfrm>
                    <a:prstGeom prst="rect">
                      <a:avLst/>
                    </a:prstGeom>
                  </pic:spPr>
                </pic:pic>
              </a:graphicData>
            </a:graphic>
          </wp:anchor>
        </w:drawing>
      </w:r>
      <w:r>
        <w:rPr>
          <w:noProof/>
        </w:rPr>
        <w:drawing>
          <wp:anchor distT="0" distB="0" distL="114300" distR="114300" simplePos="0" relativeHeight="251784192" behindDoc="0" locked="0" layoutInCell="1" allowOverlap="0" wp14:anchorId="425900DA" wp14:editId="6B828DB9">
            <wp:simplePos x="0" y="0"/>
            <wp:positionH relativeFrom="column">
              <wp:posOffset>-9143</wp:posOffset>
            </wp:positionH>
            <wp:positionV relativeFrom="paragraph">
              <wp:posOffset>6734557</wp:posOffset>
            </wp:positionV>
            <wp:extent cx="164592" cy="374903"/>
            <wp:effectExtent l="0" t="0" r="0" b="0"/>
            <wp:wrapSquare wrapText="bothSides"/>
            <wp:docPr id="165087" name="Picture 165087"/>
            <wp:cNvGraphicFramePr/>
            <a:graphic xmlns:a="http://schemas.openxmlformats.org/drawingml/2006/main">
              <a:graphicData uri="http://schemas.openxmlformats.org/drawingml/2006/picture">
                <pic:pic xmlns:pic="http://schemas.openxmlformats.org/drawingml/2006/picture">
                  <pic:nvPicPr>
                    <pic:cNvPr id="165087" name="Picture 165087"/>
                    <pic:cNvPicPr/>
                  </pic:nvPicPr>
                  <pic:blipFill>
                    <a:blip r:embed="rId214"/>
                    <a:stretch>
                      <a:fillRect/>
                    </a:stretch>
                  </pic:blipFill>
                  <pic:spPr>
                    <a:xfrm>
                      <a:off x="0" y="0"/>
                      <a:ext cx="164592" cy="374903"/>
                    </a:xfrm>
                    <a:prstGeom prst="rect">
                      <a:avLst/>
                    </a:prstGeom>
                  </pic:spPr>
                </pic:pic>
              </a:graphicData>
            </a:graphic>
          </wp:anchor>
        </w:drawing>
      </w:r>
      <w:r>
        <w:rPr>
          <w:noProof/>
        </w:rPr>
        <w:drawing>
          <wp:anchor distT="0" distB="0" distL="114300" distR="114300" simplePos="0" relativeHeight="251785216" behindDoc="0" locked="0" layoutInCell="1" allowOverlap="0" wp14:anchorId="0A83ECF1" wp14:editId="0225A169">
            <wp:simplePos x="0" y="0"/>
            <wp:positionH relativeFrom="column">
              <wp:posOffset>-13715</wp:posOffset>
            </wp:positionH>
            <wp:positionV relativeFrom="paragraph">
              <wp:posOffset>7251192</wp:posOffset>
            </wp:positionV>
            <wp:extent cx="169164" cy="370332"/>
            <wp:effectExtent l="0" t="0" r="0" b="0"/>
            <wp:wrapSquare wrapText="bothSides"/>
            <wp:docPr id="165088" name="Picture 165088"/>
            <wp:cNvGraphicFramePr/>
            <a:graphic xmlns:a="http://schemas.openxmlformats.org/drawingml/2006/main">
              <a:graphicData uri="http://schemas.openxmlformats.org/drawingml/2006/picture">
                <pic:pic xmlns:pic="http://schemas.openxmlformats.org/drawingml/2006/picture">
                  <pic:nvPicPr>
                    <pic:cNvPr id="165088" name="Picture 165088"/>
                    <pic:cNvPicPr/>
                  </pic:nvPicPr>
                  <pic:blipFill>
                    <a:blip r:embed="rId215"/>
                    <a:stretch>
                      <a:fillRect/>
                    </a:stretch>
                  </pic:blipFill>
                  <pic:spPr>
                    <a:xfrm>
                      <a:off x="0" y="0"/>
                      <a:ext cx="169164" cy="370332"/>
                    </a:xfrm>
                    <a:prstGeom prst="rect">
                      <a:avLst/>
                    </a:prstGeom>
                  </pic:spPr>
                </pic:pic>
              </a:graphicData>
            </a:graphic>
          </wp:anchor>
        </w:drawing>
      </w:r>
      <w:r>
        <w:rPr>
          <w:noProof/>
        </w:rPr>
        <w:drawing>
          <wp:anchor distT="0" distB="0" distL="114300" distR="114300" simplePos="0" relativeHeight="251786240" behindDoc="0" locked="0" layoutInCell="1" allowOverlap="0" wp14:anchorId="78ADF409" wp14:editId="4477F4A2">
            <wp:simplePos x="0" y="0"/>
            <wp:positionH relativeFrom="column">
              <wp:posOffset>-18287</wp:posOffset>
            </wp:positionH>
            <wp:positionV relativeFrom="paragraph">
              <wp:posOffset>7767828</wp:posOffset>
            </wp:positionV>
            <wp:extent cx="173736" cy="365761"/>
            <wp:effectExtent l="0" t="0" r="0" b="0"/>
            <wp:wrapSquare wrapText="bothSides"/>
            <wp:docPr id="165089" name="Picture 165089"/>
            <wp:cNvGraphicFramePr/>
            <a:graphic xmlns:a="http://schemas.openxmlformats.org/drawingml/2006/main">
              <a:graphicData uri="http://schemas.openxmlformats.org/drawingml/2006/picture">
                <pic:pic xmlns:pic="http://schemas.openxmlformats.org/drawingml/2006/picture">
                  <pic:nvPicPr>
                    <pic:cNvPr id="165089" name="Picture 165089"/>
                    <pic:cNvPicPr/>
                  </pic:nvPicPr>
                  <pic:blipFill>
                    <a:blip r:embed="rId216"/>
                    <a:stretch>
                      <a:fillRect/>
                    </a:stretch>
                  </pic:blipFill>
                  <pic:spPr>
                    <a:xfrm>
                      <a:off x="0" y="0"/>
                      <a:ext cx="173736" cy="365761"/>
                    </a:xfrm>
                    <a:prstGeom prst="rect">
                      <a:avLst/>
                    </a:prstGeom>
                  </pic:spPr>
                </pic:pic>
              </a:graphicData>
            </a:graphic>
          </wp:anchor>
        </w:drawing>
      </w:r>
      <w:r>
        <w:rPr>
          <w:noProof/>
        </w:rPr>
        <w:drawing>
          <wp:anchor distT="0" distB="0" distL="114300" distR="114300" simplePos="0" relativeHeight="251787264" behindDoc="0" locked="0" layoutInCell="1" allowOverlap="0" wp14:anchorId="48F0C2E4" wp14:editId="57718F13">
            <wp:simplePos x="0" y="0"/>
            <wp:positionH relativeFrom="column">
              <wp:posOffset>-18287</wp:posOffset>
            </wp:positionH>
            <wp:positionV relativeFrom="paragraph">
              <wp:posOffset>8289036</wp:posOffset>
            </wp:positionV>
            <wp:extent cx="182880" cy="356616"/>
            <wp:effectExtent l="0" t="0" r="0" b="0"/>
            <wp:wrapSquare wrapText="bothSides"/>
            <wp:docPr id="165090" name="Picture 165090"/>
            <wp:cNvGraphicFramePr/>
            <a:graphic xmlns:a="http://schemas.openxmlformats.org/drawingml/2006/main">
              <a:graphicData uri="http://schemas.openxmlformats.org/drawingml/2006/picture">
                <pic:pic xmlns:pic="http://schemas.openxmlformats.org/drawingml/2006/picture">
                  <pic:nvPicPr>
                    <pic:cNvPr id="165090" name="Picture 165090"/>
                    <pic:cNvPicPr/>
                  </pic:nvPicPr>
                  <pic:blipFill>
                    <a:blip r:embed="rId217"/>
                    <a:stretch>
                      <a:fillRect/>
                    </a:stretch>
                  </pic:blipFill>
                  <pic:spPr>
                    <a:xfrm>
                      <a:off x="0" y="0"/>
                      <a:ext cx="182880" cy="356616"/>
                    </a:xfrm>
                    <a:prstGeom prst="rect">
                      <a:avLst/>
                    </a:prstGeom>
                  </pic:spPr>
                </pic:pic>
              </a:graphicData>
            </a:graphic>
          </wp:anchor>
        </w:drawing>
      </w:r>
      <w:r>
        <w:rPr>
          <w:noProof/>
        </w:rPr>
        <w:drawing>
          <wp:anchor distT="0" distB="0" distL="114300" distR="114300" simplePos="0" relativeHeight="251788288" behindDoc="0" locked="0" layoutInCell="1" allowOverlap="0" wp14:anchorId="3A8ABB79" wp14:editId="7746D630">
            <wp:simplePos x="0" y="0"/>
            <wp:positionH relativeFrom="column">
              <wp:posOffset>-18287</wp:posOffset>
            </wp:positionH>
            <wp:positionV relativeFrom="paragraph">
              <wp:posOffset>8805672</wp:posOffset>
            </wp:positionV>
            <wp:extent cx="1440180" cy="502920"/>
            <wp:effectExtent l="0" t="0" r="0" b="0"/>
            <wp:wrapSquare wrapText="bothSides"/>
            <wp:docPr id="2458191" name="Picture 2458191"/>
            <wp:cNvGraphicFramePr/>
            <a:graphic xmlns:a="http://schemas.openxmlformats.org/drawingml/2006/main">
              <a:graphicData uri="http://schemas.openxmlformats.org/drawingml/2006/picture">
                <pic:pic xmlns:pic="http://schemas.openxmlformats.org/drawingml/2006/picture">
                  <pic:nvPicPr>
                    <pic:cNvPr id="2458191" name="Picture 2458191"/>
                    <pic:cNvPicPr/>
                  </pic:nvPicPr>
                  <pic:blipFill>
                    <a:blip r:embed="rId218"/>
                    <a:stretch>
                      <a:fillRect/>
                    </a:stretch>
                  </pic:blipFill>
                  <pic:spPr>
                    <a:xfrm>
                      <a:off x="0" y="0"/>
                      <a:ext cx="1440180" cy="502920"/>
                    </a:xfrm>
                    <a:prstGeom prst="rect">
                      <a:avLst/>
                    </a:prstGeom>
                  </pic:spPr>
                </pic:pic>
              </a:graphicData>
            </a:graphic>
          </wp:anchor>
        </w:drawing>
      </w:r>
      <w:r>
        <w:br w:type="page"/>
      </w:r>
    </w:p>
    <w:p w14:paraId="685F0009" w14:textId="77777777" w:rsidR="00053D93" w:rsidRDefault="00260B75">
      <w:pPr>
        <w:spacing w:after="185"/>
        <w:ind w:left="-14"/>
      </w:pPr>
      <w:r>
        <w:rPr>
          <w:noProof/>
        </w:rPr>
        <w:lastRenderedPageBreak/>
        <w:drawing>
          <wp:inline distT="0" distB="0" distL="0" distR="0" wp14:anchorId="7393E958" wp14:editId="0C6BC331">
            <wp:extent cx="146304" cy="370332"/>
            <wp:effectExtent l="0" t="0" r="0" b="0"/>
            <wp:docPr id="170967" name="Picture 170967"/>
            <wp:cNvGraphicFramePr/>
            <a:graphic xmlns:a="http://schemas.openxmlformats.org/drawingml/2006/main">
              <a:graphicData uri="http://schemas.openxmlformats.org/drawingml/2006/picture">
                <pic:pic xmlns:pic="http://schemas.openxmlformats.org/drawingml/2006/picture">
                  <pic:nvPicPr>
                    <pic:cNvPr id="170967" name="Picture 170967"/>
                    <pic:cNvPicPr/>
                  </pic:nvPicPr>
                  <pic:blipFill>
                    <a:blip r:embed="rId219"/>
                    <a:stretch>
                      <a:fillRect/>
                    </a:stretch>
                  </pic:blipFill>
                  <pic:spPr>
                    <a:xfrm>
                      <a:off x="0" y="0"/>
                      <a:ext cx="146304" cy="370332"/>
                    </a:xfrm>
                    <a:prstGeom prst="rect">
                      <a:avLst/>
                    </a:prstGeom>
                  </pic:spPr>
                </pic:pic>
              </a:graphicData>
            </a:graphic>
          </wp:inline>
        </w:drawing>
      </w:r>
    </w:p>
    <w:tbl>
      <w:tblPr>
        <w:tblStyle w:val="TableGrid"/>
        <w:tblW w:w="10200" w:type="dxa"/>
        <w:tblInd w:w="-58" w:type="dxa"/>
        <w:tblLook w:val="04A0" w:firstRow="1" w:lastRow="0" w:firstColumn="1" w:lastColumn="0" w:noHBand="0" w:noVBand="1"/>
      </w:tblPr>
      <w:tblGrid>
        <w:gridCol w:w="288"/>
        <w:gridCol w:w="1263"/>
        <w:gridCol w:w="10480"/>
      </w:tblGrid>
      <w:tr w:rsidR="00053D93" w14:paraId="04CF0BB1" w14:textId="77777777">
        <w:trPr>
          <w:trHeight w:val="752"/>
        </w:trPr>
        <w:tc>
          <w:tcPr>
            <w:tcW w:w="536" w:type="dxa"/>
            <w:tcBorders>
              <w:top w:val="nil"/>
              <w:left w:val="nil"/>
              <w:bottom w:val="nil"/>
              <w:right w:val="nil"/>
            </w:tcBorders>
          </w:tcPr>
          <w:p w14:paraId="1F914D09" w14:textId="77777777" w:rsidR="00053D93" w:rsidRDefault="00260B75">
            <w:pPr>
              <w:ind w:left="36"/>
            </w:pPr>
            <w:r>
              <w:rPr>
                <w:noProof/>
              </w:rPr>
              <w:drawing>
                <wp:inline distT="0" distB="0" distL="0" distR="0" wp14:anchorId="1D2BE9C6" wp14:editId="38B40288">
                  <wp:extent cx="146304" cy="365760"/>
                  <wp:effectExtent l="0" t="0" r="0" b="0"/>
                  <wp:docPr id="170968" name="Picture 170968"/>
                  <wp:cNvGraphicFramePr/>
                  <a:graphic xmlns:a="http://schemas.openxmlformats.org/drawingml/2006/main">
                    <a:graphicData uri="http://schemas.openxmlformats.org/drawingml/2006/picture">
                      <pic:pic xmlns:pic="http://schemas.openxmlformats.org/drawingml/2006/picture">
                        <pic:nvPicPr>
                          <pic:cNvPr id="170968" name="Picture 170968"/>
                          <pic:cNvPicPr/>
                        </pic:nvPicPr>
                        <pic:blipFill>
                          <a:blip r:embed="rId220"/>
                          <a:stretch>
                            <a:fillRect/>
                          </a:stretch>
                        </pic:blipFill>
                        <pic:spPr>
                          <a:xfrm>
                            <a:off x="0" y="0"/>
                            <a:ext cx="146304" cy="365760"/>
                          </a:xfrm>
                          <a:prstGeom prst="rect">
                            <a:avLst/>
                          </a:prstGeom>
                        </pic:spPr>
                      </pic:pic>
                    </a:graphicData>
                  </a:graphic>
                </wp:inline>
              </w:drawing>
            </w:r>
          </w:p>
        </w:tc>
        <w:tc>
          <w:tcPr>
            <w:tcW w:w="1277" w:type="dxa"/>
            <w:vMerge w:val="restart"/>
            <w:tcBorders>
              <w:top w:val="nil"/>
              <w:left w:val="nil"/>
              <w:bottom w:val="nil"/>
              <w:right w:val="nil"/>
            </w:tcBorders>
            <w:vAlign w:val="bottom"/>
          </w:tcPr>
          <w:p w14:paraId="24451E19" w14:textId="77777777" w:rsidR="00053D93" w:rsidRDefault="00260B75">
            <w:pPr>
              <w:ind w:left="248"/>
            </w:pPr>
            <w:r>
              <w:rPr>
                <w:noProof/>
              </w:rPr>
              <w:drawing>
                <wp:inline distT="0" distB="0" distL="0" distR="0" wp14:anchorId="6CD1FEAF" wp14:editId="4F247343">
                  <wp:extent cx="644652" cy="406908"/>
                  <wp:effectExtent l="0" t="0" r="0" b="0"/>
                  <wp:docPr id="170982" name="Picture 170982"/>
                  <wp:cNvGraphicFramePr/>
                  <a:graphic xmlns:a="http://schemas.openxmlformats.org/drawingml/2006/main">
                    <a:graphicData uri="http://schemas.openxmlformats.org/drawingml/2006/picture">
                      <pic:pic xmlns:pic="http://schemas.openxmlformats.org/drawingml/2006/picture">
                        <pic:nvPicPr>
                          <pic:cNvPr id="170982" name="Picture 170982"/>
                          <pic:cNvPicPr/>
                        </pic:nvPicPr>
                        <pic:blipFill>
                          <a:blip r:embed="rId221"/>
                          <a:stretch>
                            <a:fillRect/>
                          </a:stretch>
                        </pic:blipFill>
                        <pic:spPr>
                          <a:xfrm>
                            <a:off x="0" y="0"/>
                            <a:ext cx="644652" cy="406908"/>
                          </a:xfrm>
                          <a:prstGeom prst="rect">
                            <a:avLst/>
                          </a:prstGeom>
                        </pic:spPr>
                      </pic:pic>
                    </a:graphicData>
                  </a:graphic>
                </wp:inline>
              </w:drawing>
            </w:r>
          </w:p>
        </w:tc>
        <w:tc>
          <w:tcPr>
            <w:tcW w:w="8386" w:type="dxa"/>
            <w:vMerge w:val="restart"/>
            <w:tcBorders>
              <w:top w:val="nil"/>
              <w:left w:val="nil"/>
              <w:bottom w:val="nil"/>
              <w:right w:val="nil"/>
            </w:tcBorders>
          </w:tcPr>
          <w:p w14:paraId="0AA07808" w14:textId="77777777" w:rsidR="00053D93" w:rsidRDefault="00053D93">
            <w:pPr>
              <w:ind w:left="-2094" w:right="10480"/>
            </w:pPr>
          </w:p>
          <w:tbl>
            <w:tblPr>
              <w:tblStyle w:val="TableGrid"/>
              <w:tblW w:w="8373" w:type="dxa"/>
              <w:tblInd w:w="13" w:type="dxa"/>
              <w:tblCellMar>
                <w:right w:w="3" w:type="dxa"/>
              </w:tblCellMar>
              <w:tblLook w:val="04A0" w:firstRow="1" w:lastRow="0" w:firstColumn="1" w:lastColumn="0" w:noHBand="0" w:noVBand="1"/>
            </w:tblPr>
            <w:tblGrid>
              <w:gridCol w:w="303"/>
              <w:gridCol w:w="293"/>
              <w:gridCol w:w="177"/>
              <w:gridCol w:w="779"/>
              <w:gridCol w:w="914"/>
              <w:gridCol w:w="1943"/>
              <w:gridCol w:w="245"/>
              <w:gridCol w:w="2281"/>
              <w:gridCol w:w="1438"/>
            </w:tblGrid>
            <w:tr w:rsidR="00053D93" w14:paraId="76EC8F99" w14:textId="77777777">
              <w:trPr>
                <w:trHeight w:val="634"/>
              </w:trPr>
              <w:tc>
                <w:tcPr>
                  <w:tcW w:w="300" w:type="dxa"/>
                  <w:tcBorders>
                    <w:top w:val="single" w:sz="2" w:space="0" w:color="000000"/>
                    <w:left w:val="single" w:sz="2" w:space="0" w:color="000000"/>
                    <w:bottom w:val="single" w:sz="2" w:space="0" w:color="000000"/>
                    <w:right w:val="single" w:sz="2" w:space="0" w:color="000000"/>
                  </w:tcBorders>
                  <w:vAlign w:val="bottom"/>
                </w:tcPr>
                <w:p w14:paraId="4929814E" w14:textId="77777777" w:rsidR="00053D93" w:rsidRDefault="00260B75">
                  <w:pPr>
                    <w:ind w:left="23"/>
                  </w:pPr>
                  <w:r>
                    <w:rPr>
                      <w:rFonts w:ascii="Times New Roman" w:eastAsia="Times New Roman" w:hAnsi="Times New Roman" w:cs="Times New Roman"/>
                      <w:sz w:val="16"/>
                    </w:rPr>
                    <w:t>14</w:t>
                  </w:r>
                </w:p>
              </w:tc>
              <w:tc>
                <w:tcPr>
                  <w:tcW w:w="1250" w:type="dxa"/>
                  <w:gridSpan w:val="3"/>
                  <w:tcBorders>
                    <w:top w:val="single" w:sz="2" w:space="0" w:color="000000"/>
                    <w:left w:val="single" w:sz="2" w:space="0" w:color="000000"/>
                    <w:bottom w:val="single" w:sz="2" w:space="0" w:color="000000"/>
                    <w:right w:val="single" w:sz="2" w:space="0" w:color="000000"/>
                  </w:tcBorders>
                  <w:vAlign w:val="bottom"/>
                </w:tcPr>
                <w:p w14:paraId="5852623B" w14:textId="77777777" w:rsidR="00053D93" w:rsidRDefault="00260B75">
                  <w:pPr>
                    <w:ind w:right="7"/>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6B8F438D" w14:textId="77777777" w:rsidR="00053D93" w:rsidRDefault="00260B75">
                  <w:pPr>
                    <w:ind w:left="86"/>
                  </w:pPr>
                  <w:r>
                    <w:rPr>
                      <w:rFonts w:ascii="Times New Roman" w:eastAsia="Times New Roman" w:hAnsi="Times New Roman" w:cs="Times New Roman"/>
                      <w:sz w:val="16"/>
                    </w:rPr>
                    <w:t>19/07/2024</w:t>
                  </w:r>
                </w:p>
              </w:tc>
              <w:tc>
                <w:tcPr>
                  <w:tcW w:w="2189" w:type="dxa"/>
                  <w:gridSpan w:val="2"/>
                  <w:tcBorders>
                    <w:top w:val="single" w:sz="2" w:space="0" w:color="000000"/>
                    <w:left w:val="single" w:sz="2" w:space="0" w:color="000000"/>
                    <w:bottom w:val="single" w:sz="2" w:space="0" w:color="000000"/>
                    <w:right w:val="single" w:sz="2" w:space="0" w:color="000000"/>
                  </w:tcBorders>
                </w:tcPr>
                <w:p w14:paraId="721F7B6B" w14:textId="77777777" w:rsidR="00053D93" w:rsidRDefault="00260B75">
                  <w:pPr>
                    <w:ind w:left="79" w:right="91"/>
                    <w:jc w:val="both"/>
                  </w:pPr>
                  <w:r>
                    <w:rPr>
                      <w:sz w:val="18"/>
                    </w:rPr>
                    <w:t>para niños con Sordoceguera Alex "Fundación Alex o Fundal".</w:t>
                  </w:r>
                </w:p>
              </w:tc>
              <w:tc>
                <w:tcPr>
                  <w:tcW w:w="2282" w:type="dxa"/>
                  <w:tcBorders>
                    <w:top w:val="single" w:sz="2" w:space="0" w:color="000000"/>
                    <w:left w:val="single" w:sz="2" w:space="0" w:color="000000"/>
                    <w:bottom w:val="single" w:sz="2" w:space="0" w:color="000000"/>
                    <w:right w:val="single" w:sz="2" w:space="0" w:color="000000"/>
                  </w:tcBorders>
                </w:tcPr>
                <w:p w14:paraId="3CCEBA2C" w14:textId="77777777" w:rsidR="00053D93" w:rsidRDefault="00260B75">
                  <w:pPr>
                    <w:ind w:left="79"/>
                  </w:pPr>
                  <w:r>
                    <w:rPr>
                      <w:sz w:val="14"/>
                    </w:rPr>
                    <w:t>ampliarse por las parles. de común acuerdo, por medio de Adenda que pasará a formar parte del mismo."</w:t>
                  </w:r>
                </w:p>
              </w:tc>
              <w:tc>
                <w:tcPr>
                  <w:tcW w:w="1437" w:type="dxa"/>
                  <w:tcBorders>
                    <w:top w:val="single" w:sz="2" w:space="0" w:color="000000"/>
                    <w:left w:val="single" w:sz="2" w:space="0" w:color="000000"/>
                    <w:bottom w:val="single" w:sz="2" w:space="0" w:color="000000"/>
                    <w:right w:val="single" w:sz="2" w:space="0" w:color="000000"/>
                  </w:tcBorders>
                  <w:vAlign w:val="bottom"/>
                </w:tcPr>
                <w:p w14:paraId="61C8FF07" w14:textId="77777777" w:rsidR="00053D93" w:rsidRDefault="00260B75">
                  <w:pPr>
                    <w:ind w:left="274"/>
                  </w:pPr>
                  <w:r>
                    <w:rPr>
                      <w:sz w:val="18"/>
                    </w:rPr>
                    <w:t>No Cuantificado</w:t>
                  </w:r>
                </w:p>
              </w:tc>
            </w:tr>
            <w:tr w:rsidR="00053D93" w14:paraId="6049D7C5" w14:textId="77777777">
              <w:trPr>
                <w:trHeight w:val="1452"/>
              </w:trPr>
              <w:tc>
                <w:tcPr>
                  <w:tcW w:w="300" w:type="dxa"/>
                  <w:tcBorders>
                    <w:top w:val="single" w:sz="2" w:space="0" w:color="000000"/>
                    <w:left w:val="single" w:sz="2" w:space="0" w:color="000000"/>
                    <w:bottom w:val="single" w:sz="2" w:space="0" w:color="000000"/>
                    <w:right w:val="single" w:sz="2" w:space="0" w:color="000000"/>
                  </w:tcBorders>
                  <w:vAlign w:val="bottom"/>
                </w:tcPr>
                <w:p w14:paraId="6C4DDB89" w14:textId="77777777" w:rsidR="00053D93" w:rsidRDefault="00260B75">
                  <w:pPr>
                    <w:ind w:left="23"/>
                  </w:pPr>
                  <w:r>
                    <w:rPr>
                      <w:rFonts w:ascii="Times New Roman" w:eastAsia="Times New Roman" w:hAnsi="Times New Roman" w:cs="Times New Roman"/>
                      <w:sz w:val="18"/>
                    </w:rPr>
                    <w:t>15</w:t>
                  </w:r>
                </w:p>
              </w:tc>
              <w:tc>
                <w:tcPr>
                  <w:tcW w:w="1250" w:type="dxa"/>
                  <w:gridSpan w:val="3"/>
                  <w:tcBorders>
                    <w:top w:val="single" w:sz="2" w:space="0" w:color="000000"/>
                    <w:left w:val="single" w:sz="2" w:space="0" w:color="000000"/>
                    <w:bottom w:val="single" w:sz="2" w:space="0" w:color="000000"/>
                    <w:right w:val="single" w:sz="2" w:space="0" w:color="000000"/>
                  </w:tcBorders>
                  <w:vAlign w:val="bottom"/>
                </w:tcPr>
                <w:p w14:paraId="01EC19D3" w14:textId="77777777" w:rsidR="00053D93" w:rsidRDefault="00260B75">
                  <w:pPr>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59A75B4A" w14:textId="77777777" w:rsidR="00053D93" w:rsidRDefault="00260B75">
                  <w:pPr>
                    <w:ind w:left="79"/>
                  </w:pPr>
                  <w:r>
                    <w:rPr>
                      <w:rFonts w:ascii="Times New Roman" w:eastAsia="Times New Roman" w:hAnsi="Times New Roman" w:cs="Times New Roman"/>
                      <w:sz w:val="16"/>
                    </w:rPr>
                    <w:t>23/07/2024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0466031A" w14:textId="77777777" w:rsidR="00053D93" w:rsidRDefault="00260B75">
                  <w:pPr>
                    <w:ind w:left="86"/>
                    <w:jc w:val="both"/>
                  </w:pPr>
                  <w:r>
                    <w:rPr>
                      <w:sz w:val="16"/>
                    </w:rPr>
                    <w:t>Seeds for Progress Fundatton Inc.</w:t>
                  </w:r>
                </w:p>
              </w:tc>
              <w:tc>
                <w:tcPr>
                  <w:tcW w:w="2282" w:type="dxa"/>
                  <w:tcBorders>
                    <w:top w:val="single" w:sz="2" w:space="0" w:color="000000"/>
                    <w:left w:val="single" w:sz="2" w:space="0" w:color="000000"/>
                    <w:bottom w:val="single" w:sz="2" w:space="0" w:color="000000"/>
                    <w:right w:val="single" w:sz="2" w:space="0" w:color="000000"/>
                  </w:tcBorders>
                  <w:vAlign w:val="bottom"/>
                </w:tcPr>
                <w:p w14:paraId="58919F10" w14:textId="77777777" w:rsidR="00053D93" w:rsidRDefault="00260B75">
                  <w:pPr>
                    <w:ind w:left="72" w:right="91" w:firstLine="7"/>
                    <w:jc w:val="both"/>
                  </w:pPr>
                  <w:r>
                    <w:rPr>
                      <w:sz w:val="16"/>
                    </w:rPr>
                    <w:t>Establecer una alianza de responsabilidad compartida, que contribuya con la calidad educativa en centros educativos públicos de los Niveles de Educación de Preprimaria, Primaria y Media, en comunidades rurales cafetaleras.</w:t>
                  </w:r>
                </w:p>
              </w:tc>
              <w:tc>
                <w:tcPr>
                  <w:tcW w:w="1437" w:type="dxa"/>
                  <w:tcBorders>
                    <w:top w:val="single" w:sz="2" w:space="0" w:color="000000"/>
                    <w:left w:val="single" w:sz="2" w:space="0" w:color="000000"/>
                    <w:bottom w:val="single" w:sz="2" w:space="0" w:color="000000"/>
                    <w:right w:val="single" w:sz="2" w:space="0" w:color="000000"/>
                  </w:tcBorders>
                </w:tcPr>
                <w:p w14:paraId="658FFF81" w14:textId="77777777" w:rsidR="00053D93" w:rsidRDefault="00053D93"/>
              </w:tc>
            </w:tr>
            <w:tr w:rsidR="00053D93" w14:paraId="40409C5A" w14:textId="77777777">
              <w:trPr>
                <w:trHeight w:val="3128"/>
              </w:trPr>
              <w:tc>
                <w:tcPr>
                  <w:tcW w:w="300" w:type="dxa"/>
                  <w:tcBorders>
                    <w:top w:val="single" w:sz="2" w:space="0" w:color="000000"/>
                    <w:left w:val="single" w:sz="2" w:space="0" w:color="000000"/>
                    <w:bottom w:val="single" w:sz="2" w:space="0" w:color="000000"/>
                    <w:right w:val="single" w:sz="2" w:space="0" w:color="000000"/>
                  </w:tcBorders>
                  <w:vAlign w:val="bottom"/>
                </w:tcPr>
                <w:p w14:paraId="0BE78D97" w14:textId="77777777" w:rsidR="00053D93" w:rsidRDefault="00260B75">
                  <w:pPr>
                    <w:ind w:left="23"/>
                  </w:pPr>
                  <w:r>
                    <w:rPr>
                      <w:rFonts w:ascii="Times New Roman" w:eastAsia="Times New Roman" w:hAnsi="Times New Roman" w:cs="Times New Roman"/>
                      <w:sz w:val="18"/>
                    </w:rPr>
                    <w:t>16</w:t>
                  </w:r>
                </w:p>
              </w:tc>
              <w:tc>
                <w:tcPr>
                  <w:tcW w:w="1250" w:type="dxa"/>
                  <w:gridSpan w:val="3"/>
                  <w:tcBorders>
                    <w:top w:val="single" w:sz="2" w:space="0" w:color="000000"/>
                    <w:left w:val="single" w:sz="2" w:space="0" w:color="000000"/>
                    <w:bottom w:val="single" w:sz="2" w:space="0" w:color="000000"/>
                    <w:right w:val="single" w:sz="2" w:space="0" w:color="000000"/>
                  </w:tcBorders>
                  <w:vAlign w:val="bottom"/>
                </w:tcPr>
                <w:p w14:paraId="4D2F9858" w14:textId="77777777" w:rsidR="00053D93" w:rsidRDefault="00260B75">
                  <w:pPr>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35F4548A" w14:textId="77777777" w:rsidR="00053D93" w:rsidRDefault="00260B75">
                  <w:pPr>
                    <w:ind w:left="79"/>
                  </w:pPr>
                  <w:r>
                    <w:rPr>
                      <w:rFonts w:ascii="Times New Roman" w:eastAsia="Times New Roman" w:hAnsi="Times New Roman" w:cs="Times New Roman"/>
                      <w:sz w:val="16"/>
                    </w:rPr>
                    <w:t>23/07/2024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795C1389" w14:textId="77777777" w:rsidR="00053D93" w:rsidRDefault="00260B75">
                  <w:pPr>
                    <w:ind w:left="86"/>
                  </w:pPr>
                  <w:r>
                    <w:rPr>
                      <w:sz w:val="18"/>
                    </w:rPr>
                    <w:t>Onex (Guatemala), S.A.</w:t>
                  </w:r>
                </w:p>
              </w:tc>
              <w:tc>
                <w:tcPr>
                  <w:tcW w:w="2282" w:type="dxa"/>
                  <w:tcBorders>
                    <w:top w:val="single" w:sz="2" w:space="0" w:color="000000"/>
                    <w:left w:val="single" w:sz="2" w:space="0" w:color="000000"/>
                    <w:bottom w:val="single" w:sz="2" w:space="0" w:color="000000"/>
                    <w:right w:val="single" w:sz="2" w:space="0" w:color="000000"/>
                  </w:tcBorders>
                </w:tcPr>
                <w:p w14:paraId="5C667411" w14:textId="77777777" w:rsidR="00053D93" w:rsidRDefault="00260B75">
                  <w:pPr>
                    <w:ind w:left="72" w:firstLine="7"/>
                    <w:jc w:val="both"/>
                  </w:pPr>
                  <w:r>
                    <w:rPr>
                      <w:sz w:val="16"/>
                    </w:rPr>
                    <w:t>Modificar la cláusula "NOVENA. VIGENCIA', del CONVENIO DE</w:t>
                  </w:r>
                </w:p>
                <w:p w14:paraId="617F8F68" w14:textId="77777777" w:rsidR="00053D93" w:rsidRDefault="00260B75">
                  <w:pPr>
                    <w:ind w:left="79"/>
                  </w:pPr>
                  <w:r>
                    <w:rPr>
                      <w:sz w:val="20"/>
                    </w:rPr>
                    <w:t>COOPERACIÓN</w:t>
                  </w:r>
                </w:p>
                <w:p w14:paraId="75AD83D0" w14:textId="77777777" w:rsidR="00053D93" w:rsidRDefault="00260B75">
                  <w:pPr>
                    <w:ind w:left="72" w:right="84" w:firstLine="7"/>
                    <w:jc w:val="both"/>
                  </w:pPr>
                  <w:r>
                    <w:rPr>
                      <w:sz w:val="16"/>
                    </w:rPr>
                    <w:t>INTERINSTITUCIONAL ENTRE EL MINISTERIO DE EDUCACIÓN Y UNEX (GUATEMALA), S.A.. pera ampliar la vigencia del Convenio. quedando de la siguiente forma: "NOVENA. VIGENCIA; El presente ConvenEo tendrá vigencia desde la fecha de su suscripción hasta el treinta y uno de diciembre de dos mil veintiocho (31/12/2028) y podré ampliarse por las partes. de común acuerdo, por medio de Adenda que pasará a formar parte del mismo."</w:t>
                  </w:r>
                </w:p>
              </w:tc>
              <w:tc>
                <w:tcPr>
                  <w:tcW w:w="1437" w:type="dxa"/>
                  <w:tcBorders>
                    <w:top w:val="single" w:sz="2" w:space="0" w:color="000000"/>
                    <w:left w:val="single" w:sz="2" w:space="0" w:color="000000"/>
                    <w:bottom w:val="single" w:sz="2" w:space="0" w:color="000000"/>
                    <w:right w:val="single" w:sz="2" w:space="0" w:color="000000"/>
                  </w:tcBorders>
                  <w:vAlign w:val="bottom"/>
                </w:tcPr>
                <w:p w14:paraId="1CA6A625" w14:textId="77777777" w:rsidR="00053D93" w:rsidRDefault="00260B75">
                  <w:pPr>
                    <w:ind w:left="274"/>
                  </w:pPr>
                  <w:r>
                    <w:rPr>
                      <w:sz w:val="18"/>
                    </w:rPr>
                    <w:t>No Cuantificado</w:t>
                  </w:r>
                </w:p>
              </w:tc>
            </w:tr>
            <w:tr w:rsidR="00053D93" w14:paraId="09D567EC" w14:textId="77777777">
              <w:trPr>
                <w:trHeight w:val="1222"/>
              </w:trPr>
              <w:tc>
                <w:tcPr>
                  <w:tcW w:w="300" w:type="dxa"/>
                  <w:tcBorders>
                    <w:top w:val="single" w:sz="2" w:space="0" w:color="000000"/>
                    <w:left w:val="single" w:sz="2" w:space="0" w:color="000000"/>
                    <w:bottom w:val="single" w:sz="2" w:space="0" w:color="000000"/>
                    <w:right w:val="single" w:sz="2" w:space="0" w:color="000000"/>
                  </w:tcBorders>
                </w:tcPr>
                <w:p w14:paraId="09BB0A68" w14:textId="77777777" w:rsidR="00053D93" w:rsidRDefault="00053D93"/>
              </w:tc>
              <w:tc>
                <w:tcPr>
                  <w:tcW w:w="1250" w:type="dxa"/>
                  <w:gridSpan w:val="3"/>
                  <w:tcBorders>
                    <w:top w:val="single" w:sz="2" w:space="0" w:color="000000"/>
                    <w:left w:val="single" w:sz="2" w:space="0" w:color="000000"/>
                    <w:bottom w:val="single" w:sz="2" w:space="0" w:color="000000"/>
                    <w:right w:val="single" w:sz="2" w:space="0" w:color="000000"/>
                  </w:tcBorders>
                  <w:vAlign w:val="bottom"/>
                </w:tcPr>
                <w:p w14:paraId="678AE5DC" w14:textId="77777777" w:rsidR="00053D93" w:rsidRDefault="00260B75">
                  <w:pPr>
                    <w:ind w:left="7"/>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56A11DF5" w14:textId="77777777" w:rsidR="00053D93" w:rsidRDefault="00260B75">
                  <w:pPr>
                    <w:ind w:left="79"/>
                  </w:pPr>
                  <w:r>
                    <w:rPr>
                      <w:rFonts w:ascii="Times New Roman" w:eastAsia="Times New Roman" w:hAnsi="Times New Roman" w:cs="Times New Roman"/>
                      <w:sz w:val="16"/>
                    </w:rPr>
                    <w:t>29/07/2024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7E073590" w14:textId="77777777" w:rsidR="00053D93" w:rsidRDefault="00260B75">
                  <w:pPr>
                    <w:ind w:left="86"/>
                  </w:pPr>
                  <w:r>
                    <w:rPr>
                      <w:sz w:val="18"/>
                    </w:rPr>
                    <w:t>Ecoflltro Sociedad Anónima</w:t>
                  </w:r>
                </w:p>
              </w:tc>
              <w:tc>
                <w:tcPr>
                  <w:tcW w:w="2282" w:type="dxa"/>
                  <w:tcBorders>
                    <w:top w:val="single" w:sz="2" w:space="0" w:color="000000"/>
                    <w:left w:val="single" w:sz="2" w:space="0" w:color="000000"/>
                    <w:bottom w:val="single" w:sz="2" w:space="0" w:color="000000"/>
                    <w:right w:val="single" w:sz="2" w:space="0" w:color="000000"/>
                  </w:tcBorders>
                  <w:vAlign w:val="bottom"/>
                </w:tcPr>
                <w:p w14:paraId="759ED549" w14:textId="77777777" w:rsidR="00053D93" w:rsidRDefault="00260B75">
                  <w:pPr>
                    <w:ind w:left="79" w:right="84" w:firstLine="7"/>
                    <w:jc w:val="both"/>
                  </w:pPr>
                  <w:r>
                    <w:rPr>
                      <w:sz w:val="16"/>
                    </w:rPr>
                    <w:t>Establecer las bases generales de cooperación y coordinación entre las panes para ejecutar el Programa "Ecoflltro en mi aula" en los centros educativos públicos seleccionados a nivel nacional.</w:t>
                  </w:r>
                </w:p>
              </w:tc>
              <w:tc>
                <w:tcPr>
                  <w:tcW w:w="1437" w:type="dxa"/>
                  <w:tcBorders>
                    <w:top w:val="single" w:sz="2" w:space="0" w:color="000000"/>
                    <w:left w:val="single" w:sz="2" w:space="0" w:color="000000"/>
                    <w:bottom w:val="single" w:sz="2" w:space="0" w:color="000000"/>
                    <w:right w:val="single" w:sz="2" w:space="0" w:color="000000"/>
                  </w:tcBorders>
                </w:tcPr>
                <w:p w14:paraId="69695B03" w14:textId="77777777" w:rsidR="00053D93" w:rsidRDefault="00053D93"/>
              </w:tc>
            </w:tr>
            <w:tr w:rsidR="00053D93" w14:paraId="249804C2" w14:textId="77777777">
              <w:trPr>
                <w:trHeight w:val="1154"/>
              </w:trPr>
              <w:tc>
                <w:tcPr>
                  <w:tcW w:w="300" w:type="dxa"/>
                  <w:tcBorders>
                    <w:top w:val="single" w:sz="2" w:space="0" w:color="000000"/>
                    <w:left w:val="single" w:sz="2" w:space="0" w:color="000000"/>
                    <w:bottom w:val="single" w:sz="2" w:space="0" w:color="000000"/>
                    <w:right w:val="single" w:sz="2" w:space="0" w:color="000000"/>
                  </w:tcBorders>
                  <w:vAlign w:val="bottom"/>
                </w:tcPr>
                <w:p w14:paraId="5B007670" w14:textId="77777777" w:rsidR="00053D93" w:rsidRDefault="00260B75">
                  <w:pPr>
                    <w:ind w:left="23"/>
                  </w:pPr>
                  <w:r>
                    <w:rPr>
                      <w:rFonts w:ascii="Times New Roman" w:eastAsia="Times New Roman" w:hAnsi="Times New Roman" w:cs="Times New Roman"/>
                      <w:sz w:val="18"/>
                    </w:rPr>
                    <w:t>18</w:t>
                  </w:r>
                </w:p>
              </w:tc>
              <w:tc>
                <w:tcPr>
                  <w:tcW w:w="1250" w:type="dxa"/>
                  <w:gridSpan w:val="3"/>
                  <w:tcBorders>
                    <w:top w:val="single" w:sz="2" w:space="0" w:color="000000"/>
                    <w:left w:val="single" w:sz="2" w:space="0" w:color="000000"/>
                    <w:bottom w:val="single" w:sz="2" w:space="0" w:color="000000"/>
                    <w:right w:val="single" w:sz="2" w:space="0" w:color="000000"/>
                  </w:tcBorders>
                  <w:vAlign w:val="bottom"/>
                </w:tcPr>
                <w:p w14:paraId="3BCC9F3F" w14:textId="77777777" w:rsidR="00053D93" w:rsidRDefault="00260B75">
                  <w:pPr>
                    <w:ind w:left="7"/>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340617B1" w14:textId="77777777" w:rsidR="00053D93" w:rsidRDefault="00260B75">
                  <w:pPr>
                    <w:ind w:left="86"/>
                  </w:pPr>
                  <w:r>
                    <w:rPr>
                      <w:rFonts w:ascii="Times New Roman" w:eastAsia="Times New Roman" w:hAnsi="Times New Roman" w:cs="Times New Roman"/>
                      <w:sz w:val="16"/>
                    </w:rPr>
                    <w:t>31/07/2024</w:t>
                  </w:r>
                </w:p>
              </w:tc>
              <w:tc>
                <w:tcPr>
                  <w:tcW w:w="2189" w:type="dxa"/>
                  <w:gridSpan w:val="2"/>
                  <w:tcBorders>
                    <w:top w:val="single" w:sz="2" w:space="0" w:color="000000"/>
                    <w:left w:val="single" w:sz="2" w:space="0" w:color="000000"/>
                    <w:bottom w:val="single" w:sz="2" w:space="0" w:color="000000"/>
                    <w:right w:val="single" w:sz="2" w:space="0" w:color="000000"/>
                  </w:tcBorders>
                  <w:vAlign w:val="bottom"/>
                </w:tcPr>
                <w:p w14:paraId="68C7B90A" w14:textId="77777777" w:rsidR="00053D93" w:rsidRDefault="00260B75">
                  <w:pPr>
                    <w:spacing w:line="220" w:lineRule="auto"/>
                    <w:ind w:left="86" w:hanging="7"/>
                  </w:pPr>
                  <w:r>
                    <w:rPr>
                      <w:sz w:val="18"/>
                    </w:rPr>
                    <w:t>Asociación de Servicios Educativos y Culturales (A.S.E.C.)/lnstituto</w:t>
                  </w:r>
                </w:p>
                <w:p w14:paraId="5112A95F" w14:textId="77777777" w:rsidR="00053D93" w:rsidRDefault="00260B75">
                  <w:pPr>
                    <w:ind w:left="86"/>
                    <w:jc w:val="both"/>
                  </w:pPr>
                  <w:r>
                    <w:rPr>
                      <w:sz w:val="18"/>
                    </w:rPr>
                    <w:t>Guatemalteco de Educación Radiofónica (IGER).</w:t>
                  </w:r>
                </w:p>
              </w:tc>
              <w:tc>
                <w:tcPr>
                  <w:tcW w:w="2282" w:type="dxa"/>
                  <w:tcBorders>
                    <w:top w:val="single" w:sz="2" w:space="0" w:color="000000"/>
                    <w:left w:val="single" w:sz="2" w:space="0" w:color="000000"/>
                    <w:bottom w:val="single" w:sz="2" w:space="0" w:color="000000"/>
                    <w:right w:val="single" w:sz="2" w:space="0" w:color="000000"/>
                  </w:tcBorders>
                </w:tcPr>
                <w:p w14:paraId="53F87B33" w14:textId="77777777" w:rsidR="00053D93" w:rsidRDefault="00260B75">
                  <w:pPr>
                    <w:ind w:left="79" w:right="84" w:firstLine="7"/>
                    <w:jc w:val="both"/>
                  </w:pPr>
                  <w:r>
                    <w:rPr>
                      <w:sz w:val="16"/>
                    </w:rPr>
                    <w:t>Establecer las bases generales de coordinación entre las partes para implementar el Programa El Maestro en Casa. en apoyo a la educación extraescolar o paralela a nivel nacional.</w:t>
                  </w:r>
                </w:p>
              </w:tc>
              <w:tc>
                <w:tcPr>
                  <w:tcW w:w="1437" w:type="dxa"/>
                  <w:tcBorders>
                    <w:top w:val="single" w:sz="2" w:space="0" w:color="000000"/>
                    <w:left w:val="single" w:sz="2" w:space="0" w:color="000000"/>
                    <w:bottom w:val="single" w:sz="2" w:space="0" w:color="000000"/>
                    <w:right w:val="single" w:sz="2" w:space="0" w:color="000000"/>
                  </w:tcBorders>
                  <w:vAlign w:val="bottom"/>
                </w:tcPr>
                <w:p w14:paraId="7E9B3D9F" w14:textId="77777777" w:rsidR="00053D93" w:rsidRDefault="00260B75">
                  <w:pPr>
                    <w:ind w:right="81"/>
                    <w:jc w:val="right"/>
                  </w:pPr>
                  <w:r>
                    <w:rPr>
                      <w:sz w:val="16"/>
                    </w:rPr>
                    <w:t>20,000.oo</w:t>
                  </w:r>
                </w:p>
              </w:tc>
            </w:tr>
            <w:tr w:rsidR="00053D93" w14:paraId="0E97D01C" w14:textId="77777777">
              <w:trPr>
                <w:trHeight w:val="1512"/>
              </w:trPr>
              <w:tc>
                <w:tcPr>
                  <w:tcW w:w="300" w:type="dxa"/>
                  <w:tcBorders>
                    <w:top w:val="single" w:sz="2" w:space="0" w:color="000000"/>
                    <w:left w:val="single" w:sz="2" w:space="0" w:color="000000"/>
                    <w:bottom w:val="single" w:sz="2" w:space="0" w:color="000000"/>
                    <w:right w:val="single" w:sz="2" w:space="0" w:color="000000"/>
                  </w:tcBorders>
                  <w:vAlign w:val="bottom"/>
                </w:tcPr>
                <w:p w14:paraId="76FB5406" w14:textId="77777777" w:rsidR="00053D93" w:rsidRDefault="00260B75">
                  <w:pPr>
                    <w:ind w:left="23"/>
                  </w:pPr>
                  <w:r>
                    <w:rPr>
                      <w:rFonts w:ascii="Times New Roman" w:eastAsia="Times New Roman" w:hAnsi="Times New Roman" w:cs="Times New Roman"/>
                      <w:sz w:val="18"/>
                    </w:rPr>
                    <w:t>19</w:t>
                  </w:r>
                </w:p>
              </w:tc>
              <w:tc>
                <w:tcPr>
                  <w:tcW w:w="1250" w:type="dxa"/>
                  <w:gridSpan w:val="3"/>
                  <w:tcBorders>
                    <w:top w:val="single" w:sz="2" w:space="0" w:color="000000"/>
                    <w:left w:val="single" w:sz="2" w:space="0" w:color="000000"/>
                    <w:bottom w:val="single" w:sz="2" w:space="0" w:color="000000"/>
                    <w:right w:val="single" w:sz="2" w:space="0" w:color="000000"/>
                  </w:tcBorders>
                  <w:vAlign w:val="bottom"/>
                </w:tcPr>
                <w:p w14:paraId="22D36A4F" w14:textId="77777777" w:rsidR="00053D93" w:rsidRDefault="00260B75">
                  <w:pPr>
                    <w:ind w:left="7"/>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23A2238E" w14:textId="77777777" w:rsidR="00053D93" w:rsidRDefault="00260B75">
                  <w:pPr>
                    <w:ind w:left="122"/>
                  </w:pPr>
                  <w:r>
                    <w:rPr>
                      <w:rFonts w:ascii="Times New Roman" w:eastAsia="Times New Roman" w:hAnsi="Times New Roman" w:cs="Times New Roman"/>
                      <w:sz w:val="16"/>
                    </w:rPr>
                    <w:t>2/08/2024</w:t>
                  </w:r>
                </w:p>
              </w:tc>
              <w:tc>
                <w:tcPr>
                  <w:tcW w:w="1944" w:type="dxa"/>
                  <w:tcBorders>
                    <w:top w:val="single" w:sz="2" w:space="0" w:color="000000"/>
                    <w:left w:val="single" w:sz="2" w:space="0" w:color="000000"/>
                    <w:bottom w:val="single" w:sz="2" w:space="0" w:color="000000"/>
                    <w:right w:val="nil"/>
                  </w:tcBorders>
                  <w:vAlign w:val="bottom"/>
                </w:tcPr>
                <w:p w14:paraId="1E3AC3AC" w14:textId="77777777" w:rsidR="00053D93" w:rsidRDefault="00260B75">
                  <w:pPr>
                    <w:ind w:left="86"/>
                  </w:pPr>
                  <w:r>
                    <w:rPr>
                      <w:sz w:val="18"/>
                    </w:rPr>
                    <w:t>Oficina de Educación</w:t>
                  </w:r>
                </w:p>
                <w:p w14:paraId="4F716318" w14:textId="77777777" w:rsidR="00053D93" w:rsidRDefault="00260B75">
                  <w:pPr>
                    <w:ind w:left="86"/>
                  </w:pPr>
                  <w:r>
                    <w:rPr>
                      <w:sz w:val="18"/>
                    </w:rPr>
                    <w:t>Gyeongsangbuk-do de</w:t>
                  </w:r>
                </w:p>
                <w:p w14:paraId="4BF35FBE" w14:textId="77777777" w:rsidR="00053D93" w:rsidRDefault="00260B75">
                  <w:pPr>
                    <w:ind w:left="86"/>
                  </w:pPr>
                  <w:r>
                    <w:rPr>
                      <w:sz w:val="18"/>
                    </w:rPr>
                    <w:t>República de Corea</w:t>
                  </w:r>
                </w:p>
              </w:tc>
              <w:tc>
                <w:tcPr>
                  <w:tcW w:w="245" w:type="dxa"/>
                  <w:tcBorders>
                    <w:top w:val="single" w:sz="2" w:space="0" w:color="000000"/>
                    <w:left w:val="nil"/>
                    <w:bottom w:val="single" w:sz="2" w:space="0" w:color="000000"/>
                    <w:right w:val="single" w:sz="2" w:space="0" w:color="000000"/>
                  </w:tcBorders>
                  <w:vAlign w:val="bottom"/>
                </w:tcPr>
                <w:p w14:paraId="52ACD590" w14:textId="77777777" w:rsidR="00053D93" w:rsidRDefault="00260B75">
                  <w:r>
                    <w:rPr>
                      <w:sz w:val="18"/>
                    </w:rPr>
                    <w:t>de</w:t>
                  </w:r>
                </w:p>
              </w:tc>
              <w:tc>
                <w:tcPr>
                  <w:tcW w:w="2282" w:type="dxa"/>
                  <w:tcBorders>
                    <w:top w:val="single" w:sz="2" w:space="0" w:color="000000"/>
                    <w:left w:val="single" w:sz="2" w:space="0" w:color="000000"/>
                    <w:bottom w:val="single" w:sz="2" w:space="0" w:color="000000"/>
                    <w:right w:val="single" w:sz="2" w:space="0" w:color="000000"/>
                  </w:tcBorders>
                </w:tcPr>
                <w:p w14:paraId="4B89D179" w14:textId="77777777" w:rsidR="00053D93" w:rsidRDefault="00260B75">
                  <w:pPr>
                    <w:ind w:left="79" w:right="76" w:firstLine="7"/>
                    <w:jc w:val="both"/>
                  </w:pPr>
                  <w:r>
                    <w:rPr>
                      <w:sz w:val="16"/>
                    </w:rPr>
                    <w:t>Promover la cooperación mutua entre la Oficina de Educación de Gyeongsangbuk-do de la República de Corea y el Ministerio de Educación de la República de Guatemala, con el fin de apoyar el desarrollo de tecnologías de la información y comunicación (TIC).</w:t>
                  </w:r>
                </w:p>
              </w:tc>
              <w:tc>
                <w:tcPr>
                  <w:tcW w:w="1437" w:type="dxa"/>
                  <w:tcBorders>
                    <w:top w:val="single" w:sz="2" w:space="0" w:color="000000"/>
                    <w:left w:val="single" w:sz="2" w:space="0" w:color="000000"/>
                    <w:bottom w:val="single" w:sz="2" w:space="0" w:color="000000"/>
                    <w:right w:val="single" w:sz="2" w:space="0" w:color="000000"/>
                  </w:tcBorders>
                  <w:vAlign w:val="bottom"/>
                </w:tcPr>
                <w:p w14:paraId="0135F8D6" w14:textId="77777777" w:rsidR="00053D93" w:rsidRDefault="00260B75">
                  <w:pPr>
                    <w:ind w:left="274"/>
                  </w:pPr>
                  <w:r>
                    <w:rPr>
                      <w:sz w:val="16"/>
                    </w:rPr>
                    <w:t>No cuantificado</w:t>
                  </w:r>
                </w:p>
              </w:tc>
            </w:tr>
            <w:tr w:rsidR="00053D93" w14:paraId="35C33561" w14:textId="77777777">
              <w:trPr>
                <w:trHeight w:val="2148"/>
              </w:trPr>
              <w:tc>
                <w:tcPr>
                  <w:tcW w:w="300" w:type="dxa"/>
                  <w:tcBorders>
                    <w:top w:val="single" w:sz="2" w:space="0" w:color="000000"/>
                    <w:left w:val="single" w:sz="2" w:space="0" w:color="000000"/>
                    <w:bottom w:val="single" w:sz="2" w:space="0" w:color="000000"/>
                    <w:right w:val="single" w:sz="2" w:space="0" w:color="000000"/>
                  </w:tcBorders>
                  <w:vAlign w:val="bottom"/>
                </w:tcPr>
                <w:p w14:paraId="711775A5" w14:textId="77777777" w:rsidR="00053D93" w:rsidRDefault="00260B75">
                  <w:pPr>
                    <w:ind w:left="23"/>
                  </w:pPr>
                  <w:r>
                    <w:rPr>
                      <w:rFonts w:ascii="Times New Roman" w:eastAsia="Times New Roman" w:hAnsi="Times New Roman" w:cs="Times New Roman"/>
                      <w:sz w:val="16"/>
                    </w:rPr>
                    <w:lastRenderedPageBreak/>
                    <w:t>20</w:t>
                  </w:r>
                </w:p>
              </w:tc>
              <w:tc>
                <w:tcPr>
                  <w:tcW w:w="1250" w:type="dxa"/>
                  <w:gridSpan w:val="3"/>
                  <w:tcBorders>
                    <w:top w:val="single" w:sz="2" w:space="0" w:color="000000"/>
                    <w:left w:val="single" w:sz="2" w:space="0" w:color="000000"/>
                    <w:bottom w:val="single" w:sz="2" w:space="0" w:color="000000"/>
                    <w:right w:val="single" w:sz="2" w:space="0" w:color="000000"/>
                  </w:tcBorders>
                  <w:vAlign w:val="bottom"/>
                </w:tcPr>
                <w:p w14:paraId="2C093E7B" w14:textId="77777777" w:rsidR="00053D93" w:rsidRDefault="00260B75">
                  <w:pPr>
                    <w:ind w:left="7"/>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79AEB664" w14:textId="77777777" w:rsidR="00053D93" w:rsidRDefault="00260B75">
                  <w:pPr>
                    <w:ind w:left="94"/>
                  </w:pPr>
                  <w:r>
                    <w:rPr>
                      <w:rFonts w:ascii="Times New Roman" w:eastAsia="Times New Roman" w:hAnsi="Times New Roman" w:cs="Times New Roman"/>
                      <w:sz w:val="16"/>
                    </w:rPr>
                    <w:t>12/0812024</w:t>
                  </w:r>
                </w:p>
              </w:tc>
              <w:tc>
                <w:tcPr>
                  <w:tcW w:w="1944" w:type="dxa"/>
                  <w:tcBorders>
                    <w:top w:val="single" w:sz="2" w:space="0" w:color="000000"/>
                    <w:left w:val="single" w:sz="2" w:space="0" w:color="000000"/>
                    <w:bottom w:val="single" w:sz="2" w:space="0" w:color="000000"/>
                    <w:right w:val="nil"/>
                  </w:tcBorders>
                  <w:vAlign w:val="bottom"/>
                </w:tcPr>
                <w:p w14:paraId="3E9825FF" w14:textId="77777777" w:rsidR="00053D93" w:rsidRDefault="00260B75">
                  <w:pPr>
                    <w:ind w:left="94"/>
                  </w:pPr>
                  <w:r>
                    <w:rPr>
                      <w:sz w:val="18"/>
                    </w:rPr>
                    <w:t>Banco de Guatemala</w:t>
                  </w:r>
                </w:p>
              </w:tc>
              <w:tc>
                <w:tcPr>
                  <w:tcW w:w="245" w:type="dxa"/>
                  <w:tcBorders>
                    <w:top w:val="single" w:sz="2" w:space="0" w:color="000000"/>
                    <w:left w:val="nil"/>
                    <w:bottom w:val="single" w:sz="2" w:space="0" w:color="000000"/>
                    <w:right w:val="single" w:sz="2" w:space="0" w:color="000000"/>
                  </w:tcBorders>
                </w:tcPr>
                <w:p w14:paraId="6DF6714A" w14:textId="77777777" w:rsidR="00053D93" w:rsidRDefault="00053D93"/>
              </w:tc>
              <w:tc>
                <w:tcPr>
                  <w:tcW w:w="2282" w:type="dxa"/>
                  <w:tcBorders>
                    <w:top w:val="single" w:sz="2" w:space="0" w:color="000000"/>
                    <w:left w:val="single" w:sz="2" w:space="0" w:color="000000"/>
                    <w:bottom w:val="single" w:sz="2" w:space="0" w:color="000000"/>
                    <w:right w:val="single" w:sz="2" w:space="0" w:color="000000"/>
                  </w:tcBorders>
                  <w:vAlign w:val="bottom"/>
                </w:tcPr>
                <w:p w14:paraId="226512EE" w14:textId="77777777" w:rsidR="00053D93" w:rsidRDefault="00260B75">
                  <w:pPr>
                    <w:spacing w:after="10" w:line="239" w:lineRule="auto"/>
                    <w:ind w:left="86" w:right="76"/>
                    <w:jc w:val="both"/>
                  </w:pPr>
                  <w:r>
                    <w:rPr>
                      <w:sz w:val="16"/>
                    </w:rPr>
                    <w:t>La coordinación entre las partes para la ejecución del Programa de Educación Económico-Financiera del Banco de Guatemala. el cual contribuye con la calidad educativa puntualmente con la educación económEca•financiera, beneficiando a los estudiantes y docentes de los centros educativos oficiales de tos Niveles de Educación Primaria y</w:t>
                  </w:r>
                </w:p>
                <w:p w14:paraId="1A93EF6F" w14:textId="77777777" w:rsidR="00053D93" w:rsidRDefault="00260B75">
                  <w:pPr>
                    <w:ind w:left="86"/>
                  </w:pPr>
                  <w:r>
                    <w:rPr>
                      <w:sz w:val="14"/>
                    </w:rPr>
                    <w:t>Media.</w:t>
                  </w:r>
                </w:p>
              </w:tc>
              <w:tc>
                <w:tcPr>
                  <w:tcW w:w="1437" w:type="dxa"/>
                  <w:tcBorders>
                    <w:top w:val="single" w:sz="2" w:space="0" w:color="000000"/>
                    <w:left w:val="single" w:sz="2" w:space="0" w:color="000000"/>
                    <w:bottom w:val="single" w:sz="2" w:space="0" w:color="000000"/>
                    <w:right w:val="single" w:sz="2" w:space="0" w:color="000000"/>
                  </w:tcBorders>
                  <w:vAlign w:val="bottom"/>
                </w:tcPr>
                <w:p w14:paraId="385526ED" w14:textId="77777777" w:rsidR="00053D93" w:rsidRDefault="00260B75">
                  <w:pPr>
                    <w:ind w:left="281"/>
                  </w:pPr>
                  <w:r>
                    <w:rPr>
                      <w:sz w:val="16"/>
                    </w:rPr>
                    <w:t>No cuantificado</w:t>
                  </w:r>
                </w:p>
              </w:tc>
            </w:tr>
            <w:tr w:rsidR="00053D93" w14:paraId="457F5E4C" w14:textId="77777777">
              <w:trPr>
                <w:trHeight w:val="2030"/>
              </w:trPr>
              <w:tc>
                <w:tcPr>
                  <w:tcW w:w="300" w:type="dxa"/>
                  <w:vMerge w:val="restart"/>
                  <w:tcBorders>
                    <w:top w:val="single" w:sz="2" w:space="0" w:color="000000"/>
                    <w:left w:val="single" w:sz="2" w:space="0" w:color="000000"/>
                    <w:bottom w:val="nil"/>
                    <w:right w:val="single" w:sz="2" w:space="0" w:color="000000"/>
                  </w:tcBorders>
                  <w:vAlign w:val="bottom"/>
                </w:tcPr>
                <w:p w14:paraId="1CE39791" w14:textId="77777777" w:rsidR="00053D93" w:rsidRDefault="00260B75">
                  <w:pPr>
                    <w:ind w:left="16"/>
                  </w:pPr>
                  <w:r>
                    <w:rPr>
                      <w:noProof/>
                    </w:rPr>
                    <w:drawing>
                      <wp:inline distT="0" distB="0" distL="0" distR="0" wp14:anchorId="4466BC90" wp14:editId="345CB761">
                        <wp:extent cx="178308" cy="402336"/>
                        <wp:effectExtent l="0" t="0" r="0" b="0"/>
                        <wp:docPr id="170813" name="Picture 170813"/>
                        <wp:cNvGraphicFramePr/>
                        <a:graphic xmlns:a="http://schemas.openxmlformats.org/drawingml/2006/main">
                          <a:graphicData uri="http://schemas.openxmlformats.org/drawingml/2006/picture">
                            <pic:pic xmlns:pic="http://schemas.openxmlformats.org/drawingml/2006/picture">
                              <pic:nvPicPr>
                                <pic:cNvPr id="170813" name="Picture 170813"/>
                                <pic:cNvPicPr/>
                              </pic:nvPicPr>
                              <pic:blipFill>
                                <a:blip r:embed="rId222"/>
                                <a:stretch>
                                  <a:fillRect/>
                                </a:stretch>
                              </pic:blipFill>
                              <pic:spPr>
                                <a:xfrm>
                                  <a:off x="0" y="0"/>
                                  <a:ext cx="178308" cy="402336"/>
                                </a:xfrm>
                                <a:prstGeom prst="rect">
                                  <a:avLst/>
                                </a:prstGeom>
                              </pic:spPr>
                            </pic:pic>
                          </a:graphicData>
                        </a:graphic>
                      </wp:inline>
                    </w:drawing>
                  </w:r>
                </w:p>
              </w:tc>
              <w:tc>
                <w:tcPr>
                  <w:tcW w:w="1250" w:type="dxa"/>
                  <w:gridSpan w:val="3"/>
                  <w:tcBorders>
                    <w:top w:val="single" w:sz="2" w:space="0" w:color="000000"/>
                    <w:left w:val="single" w:sz="2" w:space="0" w:color="000000"/>
                    <w:bottom w:val="nil"/>
                    <w:right w:val="single" w:sz="2" w:space="0" w:color="000000"/>
                  </w:tcBorders>
                </w:tcPr>
                <w:p w14:paraId="623A5A88" w14:textId="77777777" w:rsidR="00053D93" w:rsidRDefault="00053D93"/>
              </w:tc>
              <w:tc>
                <w:tcPr>
                  <w:tcW w:w="914" w:type="dxa"/>
                  <w:tcBorders>
                    <w:top w:val="single" w:sz="2" w:space="0" w:color="000000"/>
                    <w:left w:val="single" w:sz="2" w:space="0" w:color="000000"/>
                    <w:bottom w:val="single" w:sz="2" w:space="0" w:color="000000"/>
                    <w:right w:val="single" w:sz="2" w:space="0" w:color="000000"/>
                  </w:tcBorders>
                </w:tcPr>
                <w:p w14:paraId="73B010D5" w14:textId="77777777" w:rsidR="00053D93" w:rsidRDefault="00053D93"/>
              </w:tc>
              <w:tc>
                <w:tcPr>
                  <w:tcW w:w="2189" w:type="dxa"/>
                  <w:gridSpan w:val="2"/>
                  <w:tcBorders>
                    <w:top w:val="single" w:sz="2" w:space="0" w:color="000000"/>
                    <w:left w:val="single" w:sz="2" w:space="0" w:color="000000"/>
                    <w:bottom w:val="single" w:sz="2" w:space="0" w:color="000000"/>
                    <w:right w:val="single" w:sz="2" w:space="0" w:color="000000"/>
                  </w:tcBorders>
                </w:tcPr>
                <w:p w14:paraId="4482BE21" w14:textId="77777777" w:rsidR="00053D93" w:rsidRDefault="00053D93"/>
              </w:tc>
              <w:tc>
                <w:tcPr>
                  <w:tcW w:w="2282" w:type="dxa"/>
                  <w:tcBorders>
                    <w:top w:val="single" w:sz="2" w:space="0" w:color="000000"/>
                    <w:left w:val="single" w:sz="2" w:space="0" w:color="000000"/>
                    <w:bottom w:val="single" w:sz="2" w:space="0" w:color="000000"/>
                    <w:right w:val="single" w:sz="2" w:space="0" w:color="000000"/>
                  </w:tcBorders>
                </w:tcPr>
                <w:p w14:paraId="66C4D07A" w14:textId="77777777" w:rsidR="00053D93" w:rsidRDefault="00260B75">
                  <w:pPr>
                    <w:ind w:left="79" w:right="69" w:firstLine="7"/>
                    <w:jc w:val="both"/>
                  </w:pPr>
                  <w:r>
                    <w:rPr>
                      <w:sz w:val="16"/>
                    </w:rPr>
                    <w:t>Contribuir de forma interinstitucional. gratuita y con fines estrictamente educativos. mediante los esfuerzos, competencias, capacidades Y recursos educativos con Io que ye cuentan las instituciones que conforman la Estrategia Nacional de Inclusión Financiera -ENIF- , asi como, btindar conocimiento técnico de las partes en materia de</w:t>
                  </w:r>
                </w:p>
              </w:tc>
              <w:tc>
                <w:tcPr>
                  <w:tcW w:w="1437" w:type="dxa"/>
                  <w:tcBorders>
                    <w:top w:val="single" w:sz="2" w:space="0" w:color="000000"/>
                    <w:left w:val="single" w:sz="2" w:space="0" w:color="000000"/>
                    <w:bottom w:val="single" w:sz="2" w:space="0" w:color="000000"/>
                    <w:right w:val="single" w:sz="2" w:space="0" w:color="000000"/>
                  </w:tcBorders>
                </w:tcPr>
                <w:p w14:paraId="277EC604" w14:textId="77777777" w:rsidR="00053D93" w:rsidRDefault="00053D93"/>
              </w:tc>
            </w:tr>
            <w:tr w:rsidR="00053D93" w14:paraId="4A7C0860" w14:textId="77777777">
              <w:trPr>
                <w:trHeight w:val="605"/>
              </w:trPr>
              <w:tc>
                <w:tcPr>
                  <w:tcW w:w="0" w:type="auto"/>
                  <w:vMerge/>
                  <w:tcBorders>
                    <w:top w:val="nil"/>
                    <w:left w:val="single" w:sz="2" w:space="0" w:color="000000"/>
                    <w:bottom w:val="nil"/>
                    <w:right w:val="single" w:sz="2" w:space="0" w:color="000000"/>
                  </w:tcBorders>
                </w:tcPr>
                <w:p w14:paraId="42515117" w14:textId="77777777" w:rsidR="00053D93" w:rsidRDefault="00053D93"/>
              </w:tc>
              <w:tc>
                <w:tcPr>
                  <w:tcW w:w="293" w:type="dxa"/>
                  <w:tcBorders>
                    <w:top w:val="nil"/>
                    <w:left w:val="single" w:sz="2" w:space="0" w:color="000000"/>
                    <w:bottom w:val="nil"/>
                    <w:right w:val="single" w:sz="2" w:space="0" w:color="000000"/>
                  </w:tcBorders>
                </w:tcPr>
                <w:p w14:paraId="44A0C422" w14:textId="77777777" w:rsidR="00053D93" w:rsidRDefault="00260B75">
                  <w:pPr>
                    <w:ind w:left="-3"/>
                  </w:pPr>
                  <w:r>
                    <w:rPr>
                      <w:noProof/>
                    </w:rPr>
                    <w:drawing>
                      <wp:inline distT="0" distB="0" distL="0" distR="0" wp14:anchorId="63F3E09F" wp14:editId="1DFD328B">
                        <wp:extent cx="173736" cy="388620"/>
                        <wp:effectExtent l="0" t="0" r="0" b="0"/>
                        <wp:docPr id="170781" name="Picture 170781"/>
                        <wp:cNvGraphicFramePr/>
                        <a:graphic xmlns:a="http://schemas.openxmlformats.org/drawingml/2006/main">
                          <a:graphicData uri="http://schemas.openxmlformats.org/drawingml/2006/picture">
                            <pic:pic xmlns:pic="http://schemas.openxmlformats.org/drawingml/2006/picture">
                              <pic:nvPicPr>
                                <pic:cNvPr id="170781" name="Picture 170781"/>
                                <pic:cNvPicPr/>
                              </pic:nvPicPr>
                              <pic:blipFill>
                                <a:blip r:embed="rId223"/>
                                <a:stretch>
                                  <a:fillRect/>
                                </a:stretch>
                              </pic:blipFill>
                              <pic:spPr>
                                <a:xfrm>
                                  <a:off x="0" y="0"/>
                                  <a:ext cx="173736" cy="388620"/>
                                </a:xfrm>
                                <a:prstGeom prst="rect">
                                  <a:avLst/>
                                </a:prstGeom>
                              </pic:spPr>
                            </pic:pic>
                          </a:graphicData>
                        </a:graphic>
                      </wp:inline>
                    </w:drawing>
                  </w:r>
                </w:p>
              </w:tc>
              <w:tc>
                <w:tcPr>
                  <w:tcW w:w="177" w:type="dxa"/>
                  <w:tcBorders>
                    <w:top w:val="nil"/>
                    <w:left w:val="single" w:sz="2" w:space="0" w:color="000000"/>
                    <w:bottom w:val="nil"/>
                    <w:right w:val="single" w:sz="2" w:space="0" w:color="000000"/>
                  </w:tcBorders>
                </w:tcPr>
                <w:p w14:paraId="669131F4" w14:textId="77777777" w:rsidR="00053D93" w:rsidRDefault="00053D93"/>
              </w:tc>
              <w:tc>
                <w:tcPr>
                  <w:tcW w:w="7603" w:type="dxa"/>
                  <w:gridSpan w:val="6"/>
                  <w:tcBorders>
                    <w:top w:val="single" w:sz="2" w:space="0" w:color="000000"/>
                    <w:left w:val="single" w:sz="2" w:space="0" w:color="000000"/>
                    <w:bottom w:val="nil"/>
                    <w:right w:val="nil"/>
                  </w:tcBorders>
                </w:tcPr>
                <w:p w14:paraId="6B36432B" w14:textId="77777777" w:rsidR="00053D93" w:rsidRDefault="00260B75">
                  <w:pPr>
                    <w:ind w:left="2566"/>
                  </w:pPr>
                  <w:r>
                    <w:rPr>
                      <w:sz w:val="14"/>
                    </w:rPr>
                    <w:t>MINISTERIO DE EDUCACION</w:t>
                  </w:r>
                </w:p>
                <w:p w14:paraId="1BBBA72F" w14:textId="77777777" w:rsidR="00053D93" w:rsidRDefault="00260B75">
                  <w:pPr>
                    <w:ind w:left="2069"/>
                  </w:pPr>
                  <w:r>
                    <w:rPr>
                      <w:sz w:val="14"/>
                    </w:rPr>
                    <w:t>AUDITORIA FINANCIERA Y DE CUMPLIMIENTO</w:t>
                  </w:r>
                </w:p>
                <w:p w14:paraId="0909728C" w14:textId="77777777" w:rsidR="00053D93" w:rsidRDefault="00260B75">
                  <w:pPr>
                    <w:tabs>
                      <w:tab w:val="center" w:pos="2681"/>
                      <w:tab w:val="center" w:pos="4431"/>
                    </w:tabs>
                  </w:pPr>
                  <w:r>
                    <w:rPr>
                      <w:sz w:val="14"/>
                    </w:rPr>
                    <w:tab/>
                    <w:t xml:space="preserve">PERIODO DEL 01 DE ENERO AL 31 </w:t>
                  </w:r>
                  <w:r>
                    <w:rPr>
                      <w:sz w:val="14"/>
                    </w:rPr>
                    <w:tab/>
                    <w:t>DICIEMBRE DE 2024</w:t>
                  </w:r>
                </w:p>
              </w:tc>
            </w:tr>
          </w:tbl>
          <w:p w14:paraId="135A2877" w14:textId="77777777" w:rsidR="00053D93" w:rsidRDefault="00053D93"/>
        </w:tc>
      </w:tr>
      <w:tr w:rsidR="00053D93" w14:paraId="0A2167C0" w14:textId="77777777">
        <w:trPr>
          <w:trHeight w:val="821"/>
        </w:trPr>
        <w:tc>
          <w:tcPr>
            <w:tcW w:w="536" w:type="dxa"/>
            <w:tcBorders>
              <w:top w:val="nil"/>
              <w:left w:val="nil"/>
              <w:bottom w:val="nil"/>
              <w:right w:val="nil"/>
            </w:tcBorders>
          </w:tcPr>
          <w:p w14:paraId="16002A18" w14:textId="77777777" w:rsidR="00053D93" w:rsidRDefault="00260B75">
            <w:pPr>
              <w:ind w:left="36"/>
            </w:pPr>
            <w:r>
              <w:rPr>
                <w:noProof/>
              </w:rPr>
              <w:drawing>
                <wp:inline distT="0" distB="0" distL="0" distR="0" wp14:anchorId="1588BEDD" wp14:editId="3A0ED8E3">
                  <wp:extent cx="150876" cy="370332"/>
                  <wp:effectExtent l="0" t="0" r="0" b="0"/>
                  <wp:docPr id="170969" name="Picture 170969"/>
                  <wp:cNvGraphicFramePr/>
                  <a:graphic xmlns:a="http://schemas.openxmlformats.org/drawingml/2006/main">
                    <a:graphicData uri="http://schemas.openxmlformats.org/drawingml/2006/picture">
                      <pic:pic xmlns:pic="http://schemas.openxmlformats.org/drawingml/2006/picture">
                        <pic:nvPicPr>
                          <pic:cNvPr id="170969" name="Picture 170969"/>
                          <pic:cNvPicPr/>
                        </pic:nvPicPr>
                        <pic:blipFill>
                          <a:blip r:embed="rId224"/>
                          <a:stretch>
                            <a:fillRect/>
                          </a:stretch>
                        </pic:blipFill>
                        <pic:spPr>
                          <a:xfrm>
                            <a:off x="0" y="0"/>
                            <a:ext cx="150876" cy="370332"/>
                          </a:xfrm>
                          <a:prstGeom prst="rect">
                            <a:avLst/>
                          </a:prstGeom>
                        </pic:spPr>
                      </pic:pic>
                    </a:graphicData>
                  </a:graphic>
                </wp:inline>
              </w:drawing>
            </w:r>
          </w:p>
        </w:tc>
        <w:tc>
          <w:tcPr>
            <w:tcW w:w="0" w:type="auto"/>
            <w:vMerge/>
            <w:tcBorders>
              <w:top w:val="nil"/>
              <w:left w:val="nil"/>
              <w:bottom w:val="nil"/>
              <w:right w:val="nil"/>
            </w:tcBorders>
          </w:tcPr>
          <w:p w14:paraId="1F5B9551" w14:textId="77777777" w:rsidR="00053D93" w:rsidRDefault="00053D93"/>
        </w:tc>
        <w:tc>
          <w:tcPr>
            <w:tcW w:w="0" w:type="auto"/>
            <w:vMerge/>
            <w:tcBorders>
              <w:top w:val="nil"/>
              <w:left w:val="nil"/>
              <w:bottom w:val="nil"/>
              <w:right w:val="nil"/>
            </w:tcBorders>
          </w:tcPr>
          <w:p w14:paraId="177BF98E" w14:textId="77777777" w:rsidR="00053D93" w:rsidRDefault="00053D93"/>
        </w:tc>
      </w:tr>
      <w:tr w:rsidR="00053D93" w14:paraId="03F9D9CE" w14:textId="77777777">
        <w:trPr>
          <w:trHeight w:val="817"/>
        </w:trPr>
        <w:tc>
          <w:tcPr>
            <w:tcW w:w="536" w:type="dxa"/>
            <w:tcBorders>
              <w:top w:val="nil"/>
              <w:left w:val="nil"/>
              <w:bottom w:val="nil"/>
              <w:right w:val="nil"/>
            </w:tcBorders>
          </w:tcPr>
          <w:p w14:paraId="3E95D5D7" w14:textId="77777777" w:rsidR="00053D93" w:rsidRDefault="00260B75">
            <w:pPr>
              <w:ind w:left="36"/>
            </w:pPr>
            <w:r>
              <w:rPr>
                <w:noProof/>
              </w:rPr>
              <w:drawing>
                <wp:inline distT="0" distB="0" distL="0" distR="0" wp14:anchorId="66A34392" wp14:editId="20642057">
                  <wp:extent cx="146304" cy="370332"/>
                  <wp:effectExtent l="0" t="0" r="0" b="0"/>
                  <wp:docPr id="170970" name="Picture 170970"/>
                  <wp:cNvGraphicFramePr/>
                  <a:graphic xmlns:a="http://schemas.openxmlformats.org/drawingml/2006/main">
                    <a:graphicData uri="http://schemas.openxmlformats.org/drawingml/2006/picture">
                      <pic:pic xmlns:pic="http://schemas.openxmlformats.org/drawingml/2006/picture">
                        <pic:nvPicPr>
                          <pic:cNvPr id="170970" name="Picture 170970"/>
                          <pic:cNvPicPr/>
                        </pic:nvPicPr>
                        <pic:blipFill>
                          <a:blip r:embed="rId225"/>
                          <a:stretch>
                            <a:fillRect/>
                          </a:stretch>
                        </pic:blipFill>
                        <pic:spPr>
                          <a:xfrm>
                            <a:off x="0" y="0"/>
                            <a:ext cx="146304" cy="370332"/>
                          </a:xfrm>
                          <a:prstGeom prst="rect">
                            <a:avLst/>
                          </a:prstGeom>
                        </pic:spPr>
                      </pic:pic>
                    </a:graphicData>
                  </a:graphic>
                </wp:inline>
              </w:drawing>
            </w:r>
          </w:p>
        </w:tc>
        <w:tc>
          <w:tcPr>
            <w:tcW w:w="0" w:type="auto"/>
            <w:vMerge/>
            <w:tcBorders>
              <w:top w:val="nil"/>
              <w:left w:val="nil"/>
              <w:bottom w:val="nil"/>
              <w:right w:val="nil"/>
            </w:tcBorders>
          </w:tcPr>
          <w:p w14:paraId="15396F93" w14:textId="77777777" w:rsidR="00053D93" w:rsidRDefault="00053D93"/>
        </w:tc>
        <w:tc>
          <w:tcPr>
            <w:tcW w:w="0" w:type="auto"/>
            <w:vMerge/>
            <w:tcBorders>
              <w:top w:val="nil"/>
              <w:left w:val="nil"/>
              <w:bottom w:val="nil"/>
              <w:right w:val="nil"/>
            </w:tcBorders>
          </w:tcPr>
          <w:p w14:paraId="577A2568" w14:textId="77777777" w:rsidR="00053D93" w:rsidRDefault="00053D93"/>
        </w:tc>
      </w:tr>
      <w:tr w:rsidR="00053D93" w14:paraId="58E81B00" w14:textId="77777777">
        <w:trPr>
          <w:trHeight w:val="817"/>
        </w:trPr>
        <w:tc>
          <w:tcPr>
            <w:tcW w:w="536" w:type="dxa"/>
            <w:tcBorders>
              <w:top w:val="nil"/>
              <w:left w:val="nil"/>
              <w:bottom w:val="nil"/>
              <w:right w:val="nil"/>
            </w:tcBorders>
          </w:tcPr>
          <w:p w14:paraId="23257134" w14:textId="77777777" w:rsidR="00053D93" w:rsidRDefault="00260B75">
            <w:pPr>
              <w:ind w:left="36"/>
            </w:pPr>
            <w:r>
              <w:rPr>
                <w:noProof/>
              </w:rPr>
              <w:drawing>
                <wp:inline distT="0" distB="0" distL="0" distR="0" wp14:anchorId="3C397D73" wp14:editId="048E8870">
                  <wp:extent cx="146304" cy="370332"/>
                  <wp:effectExtent l="0" t="0" r="0" b="0"/>
                  <wp:docPr id="170971" name="Picture 170971"/>
                  <wp:cNvGraphicFramePr/>
                  <a:graphic xmlns:a="http://schemas.openxmlformats.org/drawingml/2006/main">
                    <a:graphicData uri="http://schemas.openxmlformats.org/drawingml/2006/picture">
                      <pic:pic xmlns:pic="http://schemas.openxmlformats.org/drawingml/2006/picture">
                        <pic:nvPicPr>
                          <pic:cNvPr id="170971" name="Picture 170971"/>
                          <pic:cNvPicPr/>
                        </pic:nvPicPr>
                        <pic:blipFill>
                          <a:blip r:embed="rId226"/>
                          <a:stretch>
                            <a:fillRect/>
                          </a:stretch>
                        </pic:blipFill>
                        <pic:spPr>
                          <a:xfrm>
                            <a:off x="0" y="0"/>
                            <a:ext cx="146304" cy="370332"/>
                          </a:xfrm>
                          <a:prstGeom prst="rect">
                            <a:avLst/>
                          </a:prstGeom>
                        </pic:spPr>
                      </pic:pic>
                    </a:graphicData>
                  </a:graphic>
                </wp:inline>
              </w:drawing>
            </w:r>
          </w:p>
        </w:tc>
        <w:tc>
          <w:tcPr>
            <w:tcW w:w="0" w:type="auto"/>
            <w:vMerge/>
            <w:tcBorders>
              <w:top w:val="nil"/>
              <w:left w:val="nil"/>
              <w:bottom w:val="nil"/>
              <w:right w:val="nil"/>
            </w:tcBorders>
          </w:tcPr>
          <w:p w14:paraId="6E74A8A9" w14:textId="77777777" w:rsidR="00053D93" w:rsidRDefault="00053D93"/>
        </w:tc>
        <w:tc>
          <w:tcPr>
            <w:tcW w:w="0" w:type="auto"/>
            <w:vMerge/>
            <w:tcBorders>
              <w:top w:val="nil"/>
              <w:left w:val="nil"/>
              <w:bottom w:val="nil"/>
              <w:right w:val="nil"/>
            </w:tcBorders>
          </w:tcPr>
          <w:p w14:paraId="0C775442" w14:textId="77777777" w:rsidR="00053D93" w:rsidRDefault="00053D93"/>
        </w:tc>
      </w:tr>
      <w:tr w:rsidR="00053D93" w14:paraId="7999582F" w14:textId="77777777">
        <w:trPr>
          <w:trHeight w:val="814"/>
        </w:trPr>
        <w:tc>
          <w:tcPr>
            <w:tcW w:w="536" w:type="dxa"/>
            <w:tcBorders>
              <w:top w:val="nil"/>
              <w:left w:val="nil"/>
              <w:bottom w:val="nil"/>
              <w:right w:val="nil"/>
            </w:tcBorders>
          </w:tcPr>
          <w:p w14:paraId="5B60C396" w14:textId="77777777" w:rsidR="00053D93" w:rsidRDefault="00260B75">
            <w:pPr>
              <w:ind w:left="29"/>
            </w:pPr>
            <w:r>
              <w:rPr>
                <w:noProof/>
              </w:rPr>
              <w:drawing>
                <wp:inline distT="0" distB="0" distL="0" distR="0" wp14:anchorId="6B14D420" wp14:editId="191ACC9C">
                  <wp:extent cx="150876" cy="365760"/>
                  <wp:effectExtent l="0" t="0" r="0" b="0"/>
                  <wp:docPr id="170972" name="Picture 170972"/>
                  <wp:cNvGraphicFramePr/>
                  <a:graphic xmlns:a="http://schemas.openxmlformats.org/drawingml/2006/main">
                    <a:graphicData uri="http://schemas.openxmlformats.org/drawingml/2006/picture">
                      <pic:pic xmlns:pic="http://schemas.openxmlformats.org/drawingml/2006/picture">
                        <pic:nvPicPr>
                          <pic:cNvPr id="170972" name="Picture 170972"/>
                          <pic:cNvPicPr/>
                        </pic:nvPicPr>
                        <pic:blipFill>
                          <a:blip r:embed="rId227"/>
                          <a:stretch>
                            <a:fillRect/>
                          </a:stretch>
                        </pic:blipFill>
                        <pic:spPr>
                          <a:xfrm>
                            <a:off x="0" y="0"/>
                            <a:ext cx="150876" cy="365760"/>
                          </a:xfrm>
                          <a:prstGeom prst="rect">
                            <a:avLst/>
                          </a:prstGeom>
                        </pic:spPr>
                      </pic:pic>
                    </a:graphicData>
                  </a:graphic>
                </wp:inline>
              </w:drawing>
            </w:r>
          </w:p>
        </w:tc>
        <w:tc>
          <w:tcPr>
            <w:tcW w:w="0" w:type="auto"/>
            <w:vMerge/>
            <w:tcBorders>
              <w:top w:val="nil"/>
              <w:left w:val="nil"/>
              <w:bottom w:val="nil"/>
              <w:right w:val="nil"/>
            </w:tcBorders>
          </w:tcPr>
          <w:p w14:paraId="2A3C439C" w14:textId="77777777" w:rsidR="00053D93" w:rsidRDefault="00053D93"/>
        </w:tc>
        <w:tc>
          <w:tcPr>
            <w:tcW w:w="0" w:type="auto"/>
            <w:vMerge/>
            <w:tcBorders>
              <w:top w:val="nil"/>
              <w:left w:val="nil"/>
              <w:bottom w:val="nil"/>
              <w:right w:val="nil"/>
            </w:tcBorders>
          </w:tcPr>
          <w:p w14:paraId="64FA83A6" w14:textId="77777777" w:rsidR="00053D93" w:rsidRDefault="00053D93"/>
        </w:tc>
      </w:tr>
      <w:tr w:rsidR="00053D93" w14:paraId="34548597" w14:textId="77777777">
        <w:trPr>
          <w:trHeight w:val="810"/>
        </w:trPr>
        <w:tc>
          <w:tcPr>
            <w:tcW w:w="536" w:type="dxa"/>
            <w:tcBorders>
              <w:top w:val="nil"/>
              <w:left w:val="nil"/>
              <w:bottom w:val="nil"/>
              <w:right w:val="nil"/>
            </w:tcBorders>
          </w:tcPr>
          <w:p w14:paraId="0AD8FDF6" w14:textId="77777777" w:rsidR="00053D93" w:rsidRDefault="00260B75">
            <w:pPr>
              <w:ind w:left="29"/>
            </w:pPr>
            <w:r>
              <w:rPr>
                <w:noProof/>
              </w:rPr>
              <w:drawing>
                <wp:inline distT="0" distB="0" distL="0" distR="0" wp14:anchorId="34282F40" wp14:editId="04A97508">
                  <wp:extent cx="146304" cy="356616"/>
                  <wp:effectExtent l="0" t="0" r="0" b="0"/>
                  <wp:docPr id="170973" name="Picture 170973"/>
                  <wp:cNvGraphicFramePr/>
                  <a:graphic xmlns:a="http://schemas.openxmlformats.org/drawingml/2006/main">
                    <a:graphicData uri="http://schemas.openxmlformats.org/drawingml/2006/picture">
                      <pic:pic xmlns:pic="http://schemas.openxmlformats.org/drawingml/2006/picture">
                        <pic:nvPicPr>
                          <pic:cNvPr id="170973" name="Picture 170973"/>
                          <pic:cNvPicPr/>
                        </pic:nvPicPr>
                        <pic:blipFill>
                          <a:blip r:embed="rId228"/>
                          <a:stretch>
                            <a:fillRect/>
                          </a:stretch>
                        </pic:blipFill>
                        <pic:spPr>
                          <a:xfrm>
                            <a:off x="0" y="0"/>
                            <a:ext cx="146304" cy="356616"/>
                          </a:xfrm>
                          <a:prstGeom prst="rect">
                            <a:avLst/>
                          </a:prstGeom>
                        </pic:spPr>
                      </pic:pic>
                    </a:graphicData>
                  </a:graphic>
                </wp:inline>
              </w:drawing>
            </w:r>
          </w:p>
        </w:tc>
        <w:tc>
          <w:tcPr>
            <w:tcW w:w="0" w:type="auto"/>
            <w:vMerge/>
            <w:tcBorders>
              <w:top w:val="nil"/>
              <w:left w:val="nil"/>
              <w:bottom w:val="nil"/>
              <w:right w:val="nil"/>
            </w:tcBorders>
          </w:tcPr>
          <w:p w14:paraId="419375A6" w14:textId="77777777" w:rsidR="00053D93" w:rsidRDefault="00053D93"/>
        </w:tc>
        <w:tc>
          <w:tcPr>
            <w:tcW w:w="0" w:type="auto"/>
            <w:vMerge/>
            <w:tcBorders>
              <w:top w:val="nil"/>
              <w:left w:val="nil"/>
              <w:bottom w:val="nil"/>
              <w:right w:val="nil"/>
            </w:tcBorders>
          </w:tcPr>
          <w:p w14:paraId="51152C62" w14:textId="77777777" w:rsidR="00053D93" w:rsidRDefault="00053D93"/>
        </w:tc>
      </w:tr>
      <w:tr w:rsidR="00053D93" w14:paraId="66E765D6" w14:textId="77777777">
        <w:trPr>
          <w:trHeight w:val="810"/>
        </w:trPr>
        <w:tc>
          <w:tcPr>
            <w:tcW w:w="536" w:type="dxa"/>
            <w:tcBorders>
              <w:top w:val="nil"/>
              <w:left w:val="nil"/>
              <w:bottom w:val="nil"/>
              <w:right w:val="nil"/>
            </w:tcBorders>
          </w:tcPr>
          <w:p w14:paraId="2995D177" w14:textId="77777777" w:rsidR="00053D93" w:rsidRDefault="00260B75">
            <w:pPr>
              <w:ind w:left="29"/>
            </w:pPr>
            <w:r>
              <w:rPr>
                <w:noProof/>
              </w:rPr>
              <w:drawing>
                <wp:inline distT="0" distB="0" distL="0" distR="0" wp14:anchorId="73FB7205" wp14:editId="105219EA">
                  <wp:extent cx="146304" cy="352044"/>
                  <wp:effectExtent l="0" t="0" r="0" b="0"/>
                  <wp:docPr id="170974" name="Picture 170974"/>
                  <wp:cNvGraphicFramePr/>
                  <a:graphic xmlns:a="http://schemas.openxmlformats.org/drawingml/2006/main">
                    <a:graphicData uri="http://schemas.openxmlformats.org/drawingml/2006/picture">
                      <pic:pic xmlns:pic="http://schemas.openxmlformats.org/drawingml/2006/picture">
                        <pic:nvPicPr>
                          <pic:cNvPr id="170974" name="Picture 170974"/>
                          <pic:cNvPicPr/>
                        </pic:nvPicPr>
                        <pic:blipFill>
                          <a:blip r:embed="rId229"/>
                          <a:stretch>
                            <a:fillRect/>
                          </a:stretch>
                        </pic:blipFill>
                        <pic:spPr>
                          <a:xfrm>
                            <a:off x="0" y="0"/>
                            <a:ext cx="146304" cy="352044"/>
                          </a:xfrm>
                          <a:prstGeom prst="rect">
                            <a:avLst/>
                          </a:prstGeom>
                        </pic:spPr>
                      </pic:pic>
                    </a:graphicData>
                  </a:graphic>
                </wp:inline>
              </w:drawing>
            </w:r>
          </w:p>
        </w:tc>
        <w:tc>
          <w:tcPr>
            <w:tcW w:w="0" w:type="auto"/>
            <w:vMerge/>
            <w:tcBorders>
              <w:top w:val="nil"/>
              <w:left w:val="nil"/>
              <w:bottom w:val="nil"/>
              <w:right w:val="nil"/>
            </w:tcBorders>
          </w:tcPr>
          <w:p w14:paraId="73919360" w14:textId="77777777" w:rsidR="00053D93" w:rsidRDefault="00053D93"/>
        </w:tc>
        <w:tc>
          <w:tcPr>
            <w:tcW w:w="0" w:type="auto"/>
            <w:vMerge/>
            <w:tcBorders>
              <w:top w:val="nil"/>
              <w:left w:val="nil"/>
              <w:bottom w:val="nil"/>
              <w:right w:val="nil"/>
            </w:tcBorders>
          </w:tcPr>
          <w:p w14:paraId="32CFBF37" w14:textId="77777777" w:rsidR="00053D93" w:rsidRDefault="00053D93"/>
        </w:tc>
      </w:tr>
      <w:tr w:rsidR="00053D93" w14:paraId="790E82D2" w14:textId="77777777">
        <w:trPr>
          <w:trHeight w:val="814"/>
        </w:trPr>
        <w:tc>
          <w:tcPr>
            <w:tcW w:w="536" w:type="dxa"/>
            <w:tcBorders>
              <w:top w:val="nil"/>
              <w:left w:val="nil"/>
              <w:bottom w:val="nil"/>
              <w:right w:val="nil"/>
            </w:tcBorders>
          </w:tcPr>
          <w:p w14:paraId="563AC02C" w14:textId="77777777" w:rsidR="00053D93" w:rsidRDefault="00260B75">
            <w:pPr>
              <w:ind w:left="29"/>
            </w:pPr>
            <w:r>
              <w:rPr>
                <w:noProof/>
              </w:rPr>
              <w:drawing>
                <wp:inline distT="0" distB="0" distL="0" distR="0" wp14:anchorId="38B8CF4B" wp14:editId="24F54D4F">
                  <wp:extent cx="146304" cy="352044"/>
                  <wp:effectExtent l="0" t="0" r="0" b="0"/>
                  <wp:docPr id="170975" name="Picture 170975"/>
                  <wp:cNvGraphicFramePr/>
                  <a:graphic xmlns:a="http://schemas.openxmlformats.org/drawingml/2006/main">
                    <a:graphicData uri="http://schemas.openxmlformats.org/drawingml/2006/picture">
                      <pic:pic xmlns:pic="http://schemas.openxmlformats.org/drawingml/2006/picture">
                        <pic:nvPicPr>
                          <pic:cNvPr id="170975" name="Picture 170975"/>
                          <pic:cNvPicPr/>
                        </pic:nvPicPr>
                        <pic:blipFill>
                          <a:blip r:embed="rId230"/>
                          <a:stretch>
                            <a:fillRect/>
                          </a:stretch>
                        </pic:blipFill>
                        <pic:spPr>
                          <a:xfrm>
                            <a:off x="0" y="0"/>
                            <a:ext cx="146304" cy="352044"/>
                          </a:xfrm>
                          <a:prstGeom prst="rect">
                            <a:avLst/>
                          </a:prstGeom>
                        </pic:spPr>
                      </pic:pic>
                    </a:graphicData>
                  </a:graphic>
                </wp:inline>
              </w:drawing>
            </w:r>
          </w:p>
        </w:tc>
        <w:tc>
          <w:tcPr>
            <w:tcW w:w="0" w:type="auto"/>
            <w:vMerge/>
            <w:tcBorders>
              <w:top w:val="nil"/>
              <w:left w:val="nil"/>
              <w:bottom w:val="nil"/>
              <w:right w:val="nil"/>
            </w:tcBorders>
          </w:tcPr>
          <w:p w14:paraId="26EB345F" w14:textId="77777777" w:rsidR="00053D93" w:rsidRDefault="00053D93"/>
        </w:tc>
        <w:tc>
          <w:tcPr>
            <w:tcW w:w="0" w:type="auto"/>
            <w:vMerge/>
            <w:tcBorders>
              <w:top w:val="nil"/>
              <w:left w:val="nil"/>
              <w:bottom w:val="nil"/>
              <w:right w:val="nil"/>
            </w:tcBorders>
          </w:tcPr>
          <w:p w14:paraId="2844F8EE" w14:textId="77777777" w:rsidR="00053D93" w:rsidRDefault="00053D93"/>
        </w:tc>
      </w:tr>
      <w:tr w:rsidR="00053D93" w14:paraId="4D33AEE2" w14:textId="77777777">
        <w:trPr>
          <w:trHeight w:val="821"/>
        </w:trPr>
        <w:tc>
          <w:tcPr>
            <w:tcW w:w="536" w:type="dxa"/>
            <w:tcBorders>
              <w:top w:val="nil"/>
              <w:left w:val="nil"/>
              <w:bottom w:val="nil"/>
              <w:right w:val="nil"/>
            </w:tcBorders>
          </w:tcPr>
          <w:p w14:paraId="3CBDB39E" w14:textId="77777777" w:rsidR="00053D93" w:rsidRDefault="00260B75">
            <w:pPr>
              <w:ind w:left="22"/>
            </w:pPr>
            <w:r>
              <w:rPr>
                <w:noProof/>
              </w:rPr>
              <w:drawing>
                <wp:inline distT="0" distB="0" distL="0" distR="0" wp14:anchorId="71A39A1A" wp14:editId="2C5BBF73">
                  <wp:extent cx="160020" cy="361188"/>
                  <wp:effectExtent l="0" t="0" r="0" b="0"/>
                  <wp:docPr id="170976" name="Picture 170976"/>
                  <wp:cNvGraphicFramePr/>
                  <a:graphic xmlns:a="http://schemas.openxmlformats.org/drawingml/2006/main">
                    <a:graphicData uri="http://schemas.openxmlformats.org/drawingml/2006/picture">
                      <pic:pic xmlns:pic="http://schemas.openxmlformats.org/drawingml/2006/picture">
                        <pic:nvPicPr>
                          <pic:cNvPr id="170976" name="Picture 170976"/>
                          <pic:cNvPicPr/>
                        </pic:nvPicPr>
                        <pic:blipFill>
                          <a:blip r:embed="rId231"/>
                          <a:stretch>
                            <a:fillRect/>
                          </a:stretch>
                        </pic:blipFill>
                        <pic:spPr>
                          <a:xfrm>
                            <a:off x="0" y="0"/>
                            <a:ext cx="160020" cy="361188"/>
                          </a:xfrm>
                          <a:prstGeom prst="rect">
                            <a:avLst/>
                          </a:prstGeom>
                        </pic:spPr>
                      </pic:pic>
                    </a:graphicData>
                  </a:graphic>
                </wp:inline>
              </w:drawing>
            </w:r>
          </w:p>
        </w:tc>
        <w:tc>
          <w:tcPr>
            <w:tcW w:w="0" w:type="auto"/>
            <w:vMerge/>
            <w:tcBorders>
              <w:top w:val="nil"/>
              <w:left w:val="nil"/>
              <w:bottom w:val="nil"/>
              <w:right w:val="nil"/>
            </w:tcBorders>
          </w:tcPr>
          <w:p w14:paraId="54A07BA8" w14:textId="77777777" w:rsidR="00053D93" w:rsidRDefault="00053D93"/>
        </w:tc>
        <w:tc>
          <w:tcPr>
            <w:tcW w:w="0" w:type="auto"/>
            <w:vMerge/>
            <w:tcBorders>
              <w:top w:val="nil"/>
              <w:left w:val="nil"/>
              <w:bottom w:val="nil"/>
              <w:right w:val="nil"/>
            </w:tcBorders>
          </w:tcPr>
          <w:p w14:paraId="2BB4ABE8" w14:textId="77777777" w:rsidR="00053D93" w:rsidRDefault="00053D93"/>
        </w:tc>
      </w:tr>
      <w:tr w:rsidR="00053D93" w14:paraId="28A955E7" w14:textId="77777777">
        <w:trPr>
          <w:trHeight w:val="810"/>
        </w:trPr>
        <w:tc>
          <w:tcPr>
            <w:tcW w:w="536" w:type="dxa"/>
            <w:tcBorders>
              <w:top w:val="nil"/>
              <w:left w:val="nil"/>
              <w:bottom w:val="nil"/>
              <w:right w:val="nil"/>
            </w:tcBorders>
          </w:tcPr>
          <w:p w14:paraId="52C8F881" w14:textId="77777777" w:rsidR="00053D93" w:rsidRDefault="00260B75">
            <w:pPr>
              <w:ind w:left="22"/>
            </w:pPr>
            <w:r>
              <w:rPr>
                <w:noProof/>
              </w:rPr>
              <w:drawing>
                <wp:inline distT="0" distB="0" distL="0" distR="0" wp14:anchorId="56CC56BF" wp14:editId="7828D186">
                  <wp:extent cx="160020" cy="361188"/>
                  <wp:effectExtent l="0" t="0" r="0" b="0"/>
                  <wp:docPr id="170977" name="Picture 170977"/>
                  <wp:cNvGraphicFramePr/>
                  <a:graphic xmlns:a="http://schemas.openxmlformats.org/drawingml/2006/main">
                    <a:graphicData uri="http://schemas.openxmlformats.org/drawingml/2006/picture">
                      <pic:pic xmlns:pic="http://schemas.openxmlformats.org/drawingml/2006/picture">
                        <pic:nvPicPr>
                          <pic:cNvPr id="170977" name="Picture 170977"/>
                          <pic:cNvPicPr/>
                        </pic:nvPicPr>
                        <pic:blipFill>
                          <a:blip r:embed="rId232"/>
                          <a:stretch>
                            <a:fillRect/>
                          </a:stretch>
                        </pic:blipFill>
                        <pic:spPr>
                          <a:xfrm>
                            <a:off x="0" y="0"/>
                            <a:ext cx="160020" cy="361188"/>
                          </a:xfrm>
                          <a:prstGeom prst="rect">
                            <a:avLst/>
                          </a:prstGeom>
                        </pic:spPr>
                      </pic:pic>
                    </a:graphicData>
                  </a:graphic>
                </wp:inline>
              </w:drawing>
            </w:r>
          </w:p>
        </w:tc>
        <w:tc>
          <w:tcPr>
            <w:tcW w:w="0" w:type="auto"/>
            <w:vMerge/>
            <w:tcBorders>
              <w:top w:val="nil"/>
              <w:left w:val="nil"/>
              <w:bottom w:val="nil"/>
              <w:right w:val="nil"/>
            </w:tcBorders>
          </w:tcPr>
          <w:p w14:paraId="02F255FE" w14:textId="77777777" w:rsidR="00053D93" w:rsidRDefault="00053D93"/>
        </w:tc>
        <w:tc>
          <w:tcPr>
            <w:tcW w:w="0" w:type="auto"/>
            <w:vMerge/>
            <w:tcBorders>
              <w:top w:val="nil"/>
              <w:left w:val="nil"/>
              <w:bottom w:val="nil"/>
              <w:right w:val="nil"/>
            </w:tcBorders>
          </w:tcPr>
          <w:p w14:paraId="25D99EAF" w14:textId="77777777" w:rsidR="00053D93" w:rsidRDefault="00053D93"/>
        </w:tc>
      </w:tr>
      <w:tr w:rsidR="00053D93" w14:paraId="037F9497" w14:textId="77777777">
        <w:trPr>
          <w:trHeight w:val="821"/>
        </w:trPr>
        <w:tc>
          <w:tcPr>
            <w:tcW w:w="536" w:type="dxa"/>
            <w:tcBorders>
              <w:top w:val="nil"/>
              <w:left w:val="nil"/>
              <w:bottom w:val="nil"/>
              <w:right w:val="nil"/>
            </w:tcBorders>
          </w:tcPr>
          <w:p w14:paraId="03513D7D" w14:textId="77777777" w:rsidR="00053D93" w:rsidRDefault="00260B75">
            <w:pPr>
              <w:ind w:left="14"/>
            </w:pPr>
            <w:r>
              <w:rPr>
                <w:noProof/>
              </w:rPr>
              <w:drawing>
                <wp:inline distT="0" distB="0" distL="0" distR="0" wp14:anchorId="50FAF059" wp14:editId="45E36B1C">
                  <wp:extent cx="169164" cy="370332"/>
                  <wp:effectExtent l="0" t="0" r="0" b="0"/>
                  <wp:docPr id="170978" name="Picture 170978"/>
                  <wp:cNvGraphicFramePr/>
                  <a:graphic xmlns:a="http://schemas.openxmlformats.org/drawingml/2006/main">
                    <a:graphicData uri="http://schemas.openxmlformats.org/drawingml/2006/picture">
                      <pic:pic xmlns:pic="http://schemas.openxmlformats.org/drawingml/2006/picture">
                        <pic:nvPicPr>
                          <pic:cNvPr id="170978" name="Picture 170978"/>
                          <pic:cNvPicPr/>
                        </pic:nvPicPr>
                        <pic:blipFill>
                          <a:blip r:embed="rId233"/>
                          <a:stretch>
                            <a:fillRect/>
                          </a:stretch>
                        </pic:blipFill>
                        <pic:spPr>
                          <a:xfrm>
                            <a:off x="0" y="0"/>
                            <a:ext cx="169164" cy="370332"/>
                          </a:xfrm>
                          <a:prstGeom prst="rect">
                            <a:avLst/>
                          </a:prstGeom>
                        </pic:spPr>
                      </pic:pic>
                    </a:graphicData>
                  </a:graphic>
                </wp:inline>
              </w:drawing>
            </w:r>
          </w:p>
        </w:tc>
        <w:tc>
          <w:tcPr>
            <w:tcW w:w="0" w:type="auto"/>
            <w:vMerge/>
            <w:tcBorders>
              <w:top w:val="nil"/>
              <w:left w:val="nil"/>
              <w:bottom w:val="nil"/>
              <w:right w:val="nil"/>
            </w:tcBorders>
          </w:tcPr>
          <w:p w14:paraId="5EB08B39" w14:textId="77777777" w:rsidR="00053D93" w:rsidRDefault="00053D93"/>
        </w:tc>
        <w:tc>
          <w:tcPr>
            <w:tcW w:w="0" w:type="auto"/>
            <w:vMerge/>
            <w:tcBorders>
              <w:top w:val="nil"/>
              <w:left w:val="nil"/>
              <w:bottom w:val="nil"/>
              <w:right w:val="nil"/>
            </w:tcBorders>
          </w:tcPr>
          <w:p w14:paraId="35D9E6FF" w14:textId="77777777" w:rsidR="00053D93" w:rsidRDefault="00053D93"/>
        </w:tc>
      </w:tr>
      <w:tr w:rsidR="00053D93" w14:paraId="6598B997" w14:textId="77777777">
        <w:trPr>
          <w:trHeight w:val="810"/>
        </w:trPr>
        <w:tc>
          <w:tcPr>
            <w:tcW w:w="536" w:type="dxa"/>
            <w:tcBorders>
              <w:top w:val="nil"/>
              <w:left w:val="nil"/>
              <w:bottom w:val="nil"/>
              <w:right w:val="nil"/>
            </w:tcBorders>
          </w:tcPr>
          <w:p w14:paraId="50741110" w14:textId="77777777" w:rsidR="00053D93" w:rsidRDefault="00260B75">
            <w:r>
              <w:rPr>
                <w:noProof/>
              </w:rPr>
              <w:drawing>
                <wp:inline distT="0" distB="0" distL="0" distR="0" wp14:anchorId="4090F6C6" wp14:editId="1457EF76">
                  <wp:extent cx="169164" cy="361188"/>
                  <wp:effectExtent l="0" t="0" r="0" b="0"/>
                  <wp:docPr id="170979" name="Picture 170979"/>
                  <wp:cNvGraphicFramePr/>
                  <a:graphic xmlns:a="http://schemas.openxmlformats.org/drawingml/2006/main">
                    <a:graphicData uri="http://schemas.openxmlformats.org/drawingml/2006/picture">
                      <pic:pic xmlns:pic="http://schemas.openxmlformats.org/drawingml/2006/picture">
                        <pic:nvPicPr>
                          <pic:cNvPr id="170979" name="Picture 170979"/>
                          <pic:cNvPicPr/>
                        </pic:nvPicPr>
                        <pic:blipFill>
                          <a:blip r:embed="rId234"/>
                          <a:stretch>
                            <a:fillRect/>
                          </a:stretch>
                        </pic:blipFill>
                        <pic:spPr>
                          <a:xfrm>
                            <a:off x="0" y="0"/>
                            <a:ext cx="169164" cy="361188"/>
                          </a:xfrm>
                          <a:prstGeom prst="rect">
                            <a:avLst/>
                          </a:prstGeom>
                        </pic:spPr>
                      </pic:pic>
                    </a:graphicData>
                  </a:graphic>
                </wp:inline>
              </w:drawing>
            </w:r>
          </w:p>
        </w:tc>
        <w:tc>
          <w:tcPr>
            <w:tcW w:w="0" w:type="auto"/>
            <w:vMerge/>
            <w:tcBorders>
              <w:top w:val="nil"/>
              <w:left w:val="nil"/>
              <w:bottom w:val="nil"/>
              <w:right w:val="nil"/>
            </w:tcBorders>
          </w:tcPr>
          <w:p w14:paraId="0FBF7319" w14:textId="77777777" w:rsidR="00053D93" w:rsidRDefault="00053D93"/>
        </w:tc>
        <w:tc>
          <w:tcPr>
            <w:tcW w:w="0" w:type="auto"/>
            <w:vMerge/>
            <w:tcBorders>
              <w:top w:val="nil"/>
              <w:left w:val="nil"/>
              <w:bottom w:val="nil"/>
              <w:right w:val="nil"/>
            </w:tcBorders>
          </w:tcPr>
          <w:p w14:paraId="3EAF4938" w14:textId="77777777" w:rsidR="00053D93" w:rsidRDefault="00053D93"/>
        </w:tc>
      </w:tr>
      <w:tr w:rsidR="00053D93" w14:paraId="1D87E1D7" w14:textId="77777777">
        <w:trPr>
          <w:trHeight w:val="1627"/>
        </w:trPr>
        <w:tc>
          <w:tcPr>
            <w:tcW w:w="536" w:type="dxa"/>
            <w:tcBorders>
              <w:top w:val="nil"/>
              <w:left w:val="nil"/>
              <w:bottom w:val="nil"/>
              <w:right w:val="nil"/>
            </w:tcBorders>
          </w:tcPr>
          <w:p w14:paraId="2F14C44D" w14:textId="77777777" w:rsidR="00053D93" w:rsidRDefault="00260B75">
            <w:pPr>
              <w:ind w:left="7"/>
            </w:pPr>
            <w:r>
              <w:rPr>
                <w:noProof/>
              </w:rPr>
              <w:drawing>
                <wp:inline distT="0" distB="0" distL="0" distR="0" wp14:anchorId="0C8A3A11" wp14:editId="2DE25A7F">
                  <wp:extent cx="155448" cy="356616"/>
                  <wp:effectExtent l="0" t="0" r="0" b="0"/>
                  <wp:docPr id="170980" name="Picture 170980"/>
                  <wp:cNvGraphicFramePr/>
                  <a:graphic xmlns:a="http://schemas.openxmlformats.org/drawingml/2006/main">
                    <a:graphicData uri="http://schemas.openxmlformats.org/drawingml/2006/picture">
                      <pic:pic xmlns:pic="http://schemas.openxmlformats.org/drawingml/2006/picture">
                        <pic:nvPicPr>
                          <pic:cNvPr id="170980" name="Picture 170980"/>
                          <pic:cNvPicPr/>
                        </pic:nvPicPr>
                        <pic:blipFill>
                          <a:blip r:embed="rId235"/>
                          <a:stretch>
                            <a:fillRect/>
                          </a:stretch>
                        </pic:blipFill>
                        <pic:spPr>
                          <a:xfrm>
                            <a:off x="0" y="0"/>
                            <a:ext cx="155448" cy="356616"/>
                          </a:xfrm>
                          <a:prstGeom prst="rect">
                            <a:avLst/>
                          </a:prstGeom>
                        </pic:spPr>
                      </pic:pic>
                    </a:graphicData>
                  </a:graphic>
                </wp:inline>
              </w:drawing>
            </w:r>
          </w:p>
        </w:tc>
        <w:tc>
          <w:tcPr>
            <w:tcW w:w="0" w:type="auto"/>
            <w:vMerge/>
            <w:tcBorders>
              <w:top w:val="nil"/>
              <w:left w:val="nil"/>
              <w:bottom w:val="nil"/>
              <w:right w:val="nil"/>
            </w:tcBorders>
          </w:tcPr>
          <w:p w14:paraId="4ABB8DC5" w14:textId="77777777" w:rsidR="00053D93" w:rsidRDefault="00053D93"/>
        </w:tc>
        <w:tc>
          <w:tcPr>
            <w:tcW w:w="0" w:type="auto"/>
            <w:vMerge/>
            <w:tcBorders>
              <w:top w:val="nil"/>
              <w:left w:val="nil"/>
              <w:bottom w:val="nil"/>
              <w:right w:val="nil"/>
            </w:tcBorders>
          </w:tcPr>
          <w:p w14:paraId="183AA991" w14:textId="77777777" w:rsidR="00053D93" w:rsidRDefault="00053D93"/>
        </w:tc>
      </w:tr>
      <w:tr w:rsidR="00053D93" w14:paraId="15B1525D" w14:textId="77777777">
        <w:trPr>
          <w:trHeight w:val="2549"/>
        </w:trPr>
        <w:tc>
          <w:tcPr>
            <w:tcW w:w="536" w:type="dxa"/>
            <w:tcBorders>
              <w:top w:val="nil"/>
              <w:left w:val="nil"/>
              <w:bottom w:val="nil"/>
              <w:right w:val="nil"/>
            </w:tcBorders>
          </w:tcPr>
          <w:p w14:paraId="00EFB77F" w14:textId="77777777" w:rsidR="00053D93" w:rsidRDefault="00260B75">
            <w:pPr>
              <w:ind w:left="7"/>
            </w:pPr>
            <w:r>
              <w:rPr>
                <w:noProof/>
              </w:rPr>
              <w:lastRenderedPageBreak/>
              <w:drawing>
                <wp:inline distT="0" distB="0" distL="0" distR="0" wp14:anchorId="5FB67614" wp14:editId="75DCC317">
                  <wp:extent cx="178308" cy="347473"/>
                  <wp:effectExtent l="0" t="0" r="0" b="0"/>
                  <wp:docPr id="170981" name="Picture 170981"/>
                  <wp:cNvGraphicFramePr/>
                  <a:graphic xmlns:a="http://schemas.openxmlformats.org/drawingml/2006/main">
                    <a:graphicData uri="http://schemas.openxmlformats.org/drawingml/2006/picture">
                      <pic:pic xmlns:pic="http://schemas.openxmlformats.org/drawingml/2006/picture">
                        <pic:nvPicPr>
                          <pic:cNvPr id="170981" name="Picture 170981"/>
                          <pic:cNvPicPr/>
                        </pic:nvPicPr>
                        <pic:blipFill>
                          <a:blip r:embed="rId236"/>
                          <a:stretch>
                            <a:fillRect/>
                          </a:stretch>
                        </pic:blipFill>
                        <pic:spPr>
                          <a:xfrm>
                            <a:off x="0" y="0"/>
                            <a:ext cx="178308" cy="347473"/>
                          </a:xfrm>
                          <a:prstGeom prst="rect">
                            <a:avLst/>
                          </a:prstGeom>
                        </pic:spPr>
                      </pic:pic>
                    </a:graphicData>
                  </a:graphic>
                </wp:inline>
              </w:drawing>
            </w:r>
          </w:p>
        </w:tc>
        <w:tc>
          <w:tcPr>
            <w:tcW w:w="0" w:type="auto"/>
            <w:vMerge/>
            <w:tcBorders>
              <w:top w:val="nil"/>
              <w:left w:val="nil"/>
              <w:bottom w:val="nil"/>
              <w:right w:val="nil"/>
            </w:tcBorders>
          </w:tcPr>
          <w:p w14:paraId="075F3412" w14:textId="77777777" w:rsidR="00053D93" w:rsidRDefault="00053D93"/>
        </w:tc>
        <w:tc>
          <w:tcPr>
            <w:tcW w:w="0" w:type="auto"/>
            <w:vMerge/>
            <w:tcBorders>
              <w:top w:val="nil"/>
              <w:left w:val="nil"/>
              <w:bottom w:val="nil"/>
              <w:right w:val="nil"/>
            </w:tcBorders>
          </w:tcPr>
          <w:p w14:paraId="6A5D3B1A" w14:textId="77777777" w:rsidR="00053D93" w:rsidRDefault="00053D93"/>
        </w:tc>
      </w:tr>
    </w:tbl>
    <w:p w14:paraId="4EB189F5" w14:textId="77777777" w:rsidR="00053D93" w:rsidRDefault="00260B75">
      <w:pPr>
        <w:spacing w:after="158"/>
        <w:ind w:left="-29"/>
      </w:pPr>
      <w:r>
        <w:rPr>
          <w:noProof/>
        </w:rPr>
        <w:drawing>
          <wp:inline distT="0" distB="0" distL="0" distR="0" wp14:anchorId="313543CA" wp14:editId="63766EBA">
            <wp:extent cx="132588" cy="352044"/>
            <wp:effectExtent l="0" t="0" r="0" b="0"/>
            <wp:docPr id="176582" name="Picture 176582"/>
            <wp:cNvGraphicFramePr/>
            <a:graphic xmlns:a="http://schemas.openxmlformats.org/drawingml/2006/main">
              <a:graphicData uri="http://schemas.openxmlformats.org/drawingml/2006/picture">
                <pic:pic xmlns:pic="http://schemas.openxmlformats.org/drawingml/2006/picture">
                  <pic:nvPicPr>
                    <pic:cNvPr id="176582" name="Picture 176582"/>
                    <pic:cNvPicPr/>
                  </pic:nvPicPr>
                  <pic:blipFill>
                    <a:blip r:embed="rId237"/>
                    <a:stretch>
                      <a:fillRect/>
                    </a:stretch>
                  </pic:blipFill>
                  <pic:spPr>
                    <a:xfrm>
                      <a:off x="0" y="0"/>
                      <a:ext cx="132588" cy="352044"/>
                    </a:xfrm>
                    <a:prstGeom prst="rect">
                      <a:avLst/>
                    </a:prstGeom>
                  </pic:spPr>
                </pic:pic>
              </a:graphicData>
            </a:graphic>
          </wp:inline>
        </w:drawing>
      </w:r>
    </w:p>
    <w:tbl>
      <w:tblPr>
        <w:tblStyle w:val="TableGrid"/>
        <w:tblW w:w="10157" w:type="dxa"/>
        <w:tblInd w:w="-22" w:type="dxa"/>
        <w:tblLook w:val="04A0" w:firstRow="1" w:lastRow="0" w:firstColumn="1" w:lastColumn="0" w:noHBand="0" w:noVBand="1"/>
      </w:tblPr>
      <w:tblGrid>
        <w:gridCol w:w="245"/>
        <w:gridCol w:w="1260"/>
        <w:gridCol w:w="10473"/>
      </w:tblGrid>
      <w:tr w:rsidR="00053D93" w14:paraId="32E49214" w14:textId="77777777">
        <w:trPr>
          <w:trHeight w:val="785"/>
        </w:trPr>
        <w:tc>
          <w:tcPr>
            <w:tcW w:w="490" w:type="dxa"/>
            <w:tcBorders>
              <w:top w:val="nil"/>
              <w:left w:val="nil"/>
              <w:bottom w:val="nil"/>
              <w:right w:val="nil"/>
            </w:tcBorders>
          </w:tcPr>
          <w:p w14:paraId="0C06637C" w14:textId="77777777" w:rsidR="00053D93" w:rsidRDefault="00260B75">
            <w:r>
              <w:rPr>
                <w:noProof/>
              </w:rPr>
              <w:drawing>
                <wp:inline distT="0" distB="0" distL="0" distR="0" wp14:anchorId="5182C750" wp14:editId="21251790">
                  <wp:extent cx="128016" cy="352044"/>
                  <wp:effectExtent l="0" t="0" r="0" b="0"/>
                  <wp:docPr id="176571" name="Picture 176571"/>
                  <wp:cNvGraphicFramePr/>
                  <a:graphic xmlns:a="http://schemas.openxmlformats.org/drawingml/2006/main">
                    <a:graphicData uri="http://schemas.openxmlformats.org/drawingml/2006/picture">
                      <pic:pic xmlns:pic="http://schemas.openxmlformats.org/drawingml/2006/picture">
                        <pic:nvPicPr>
                          <pic:cNvPr id="176571" name="Picture 176571"/>
                          <pic:cNvPicPr/>
                        </pic:nvPicPr>
                        <pic:blipFill>
                          <a:blip r:embed="rId238"/>
                          <a:stretch>
                            <a:fillRect/>
                          </a:stretch>
                        </pic:blipFill>
                        <pic:spPr>
                          <a:xfrm>
                            <a:off x="0" y="0"/>
                            <a:ext cx="128016" cy="352044"/>
                          </a:xfrm>
                          <a:prstGeom prst="rect">
                            <a:avLst/>
                          </a:prstGeom>
                        </pic:spPr>
                      </pic:pic>
                    </a:graphicData>
                  </a:graphic>
                </wp:inline>
              </w:drawing>
            </w:r>
          </w:p>
        </w:tc>
        <w:tc>
          <w:tcPr>
            <w:tcW w:w="1271" w:type="dxa"/>
            <w:vMerge w:val="restart"/>
            <w:tcBorders>
              <w:top w:val="nil"/>
              <w:left w:val="nil"/>
              <w:bottom w:val="nil"/>
              <w:right w:val="nil"/>
            </w:tcBorders>
            <w:vAlign w:val="bottom"/>
          </w:tcPr>
          <w:p w14:paraId="6C23399A" w14:textId="77777777" w:rsidR="00053D93" w:rsidRDefault="00260B75">
            <w:pPr>
              <w:ind w:left="245"/>
            </w:pPr>
            <w:r>
              <w:rPr>
                <w:noProof/>
              </w:rPr>
              <w:drawing>
                <wp:inline distT="0" distB="0" distL="0" distR="0" wp14:anchorId="2705BE70" wp14:editId="2267A156">
                  <wp:extent cx="644652" cy="406909"/>
                  <wp:effectExtent l="0" t="0" r="0" b="0"/>
                  <wp:docPr id="2458193" name="Picture 2458193"/>
                  <wp:cNvGraphicFramePr/>
                  <a:graphic xmlns:a="http://schemas.openxmlformats.org/drawingml/2006/main">
                    <a:graphicData uri="http://schemas.openxmlformats.org/drawingml/2006/picture">
                      <pic:pic xmlns:pic="http://schemas.openxmlformats.org/drawingml/2006/picture">
                        <pic:nvPicPr>
                          <pic:cNvPr id="2458193" name="Picture 2458193"/>
                          <pic:cNvPicPr/>
                        </pic:nvPicPr>
                        <pic:blipFill>
                          <a:blip r:embed="rId239"/>
                          <a:stretch>
                            <a:fillRect/>
                          </a:stretch>
                        </pic:blipFill>
                        <pic:spPr>
                          <a:xfrm>
                            <a:off x="0" y="0"/>
                            <a:ext cx="644652" cy="406909"/>
                          </a:xfrm>
                          <a:prstGeom prst="rect">
                            <a:avLst/>
                          </a:prstGeom>
                        </pic:spPr>
                      </pic:pic>
                    </a:graphicData>
                  </a:graphic>
                </wp:inline>
              </w:drawing>
            </w:r>
          </w:p>
        </w:tc>
        <w:tc>
          <w:tcPr>
            <w:tcW w:w="8396" w:type="dxa"/>
            <w:vMerge w:val="restart"/>
            <w:tcBorders>
              <w:top w:val="nil"/>
              <w:left w:val="nil"/>
              <w:bottom w:val="nil"/>
              <w:right w:val="nil"/>
            </w:tcBorders>
          </w:tcPr>
          <w:p w14:paraId="1E65B392" w14:textId="77777777" w:rsidR="00053D93" w:rsidRDefault="00053D93">
            <w:pPr>
              <w:ind w:left="-2077" w:right="10473"/>
            </w:pPr>
          </w:p>
          <w:tbl>
            <w:tblPr>
              <w:tblStyle w:val="TableGrid"/>
              <w:tblW w:w="8385" w:type="dxa"/>
              <w:tblInd w:w="11" w:type="dxa"/>
              <w:tblLook w:val="04A0" w:firstRow="1" w:lastRow="0" w:firstColumn="1" w:lastColumn="0" w:noHBand="0" w:noVBand="1"/>
            </w:tblPr>
            <w:tblGrid>
              <w:gridCol w:w="293"/>
              <w:gridCol w:w="255"/>
              <w:gridCol w:w="193"/>
              <w:gridCol w:w="817"/>
              <w:gridCol w:w="914"/>
              <w:gridCol w:w="1678"/>
              <w:gridCol w:w="259"/>
              <w:gridCol w:w="256"/>
              <w:gridCol w:w="2280"/>
              <w:gridCol w:w="1440"/>
            </w:tblGrid>
            <w:tr w:rsidR="00053D93" w14:paraId="2D7BD90F" w14:textId="77777777">
              <w:trPr>
                <w:trHeight w:val="2539"/>
              </w:trPr>
              <w:tc>
                <w:tcPr>
                  <w:tcW w:w="288" w:type="dxa"/>
                  <w:tcBorders>
                    <w:top w:val="single" w:sz="2" w:space="0" w:color="000000"/>
                    <w:left w:val="single" w:sz="2" w:space="0" w:color="000000"/>
                    <w:bottom w:val="single" w:sz="2" w:space="0" w:color="000000"/>
                    <w:right w:val="single" w:sz="2" w:space="0" w:color="000000"/>
                  </w:tcBorders>
                  <w:vAlign w:val="bottom"/>
                </w:tcPr>
                <w:p w14:paraId="3EA6ADCC" w14:textId="77777777" w:rsidR="00053D93" w:rsidRDefault="00260B75">
                  <w:pPr>
                    <w:ind w:left="22"/>
                  </w:pPr>
                  <w:r>
                    <w:rPr>
                      <w:rFonts w:ascii="Times New Roman" w:eastAsia="Times New Roman" w:hAnsi="Times New Roman" w:cs="Times New Roman"/>
                      <w:sz w:val="16"/>
                    </w:rPr>
                    <w:t>21</w:t>
                  </w:r>
                </w:p>
              </w:tc>
              <w:tc>
                <w:tcPr>
                  <w:tcW w:w="1267" w:type="dxa"/>
                  <w:gridSpan w:val="3"/>
                  <w:tcBorders>
                    <w:top w:val="single" w:sz="2" w:space="0" w:color="000000"/>
                    <w:left w:val="single" w:sz="2" w:space="0" w:color="000000"/>
                    <w:bottom w:val="single" w:sz="2" w:space="0" w:color="000000"/>
                    <w:right w:val="single" w:sz="2" w:space="0" w:color="000000"/>
                  </w:tcBorders>
                  <w:vAlign w:val="bottom"/>
                </w:tcPr>
                <w:p w14:paraId="1B664912" w14:textId="77777777" w:rsidR="00053D93" w:rsidRDefault="00260B75">
                  <w:pPr>
                    <w:ind w:left="22"/>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3E0E08D6" w14:textId="77777777" w:rsidR="00053D93" w:rsidRDefault="00260B75">
                  <w:pPr>
                    <w:ind w:left="94"/>
                  </w:pPr>
                  <w:r>
                    <w:rPr>
                      <w:rFonts w:ascii="Times New Roman" w:eastAsia="Times New Roman" w:hAnsi="Times New Roman" w:cs="Times New Roman"/>
                      <w:sz w:val="16"/>
                    </w:rPr>
                    <w:t>12/08/2024</w:t>
                  </w:r>
                </w:p>
              </w:tc>
              <w:tc>
                <w:tcPr>
                  <w:tcW w:w="2193" w:type="dxa"/>
                  <w:gridSpan w:val="3"/>
                  <w:tcBorders>
                    <w:top w:val="single" w:sz="2" w:space="0" w:color="000000"/>
                    <w:left w:val="single" w:sz="2" w:space="0" w:color="000000"/>
                    <w:bottom w:val="single" w:sz="2" w:space="0" w:color="000000"/>
                    <w:right w:val="single" w:sz="2" w:space="0" w:color="000000"/>
                  </w:tcBorders>
                  <w:vAlign w:val="bottom"/>
                </w:tcPr>
                <w:p w14:paraId="3B75D6A7" w14:textId="77777777" w:rsidR="00053D93" w:rsidRDefault="00260B75">
                  <w:pPr>
                    <w:ind w:left="86"/>
                  </w:pPr>
                  <w:r>
                    <w:rPr>
                      <w:sz w:val="18"/>
                    </w:rPr>
                    <w:t>Ministerio de Economía,</w:t>
                  </w:r>
                </w:p>
                <w:p w14:paraId="32B8A780" w14:textId="77777777" w:rsidR="00053D93" w:rsidRDefault="00260B75">
                  <w:pPr>
                    <w:ind w:left="94"/>
                  </w:pPr>
                  <w:r>
                    <w:rPr>
                      <w:sz w:val="18"/>
                    </w:rPr>
                    <w:t>Banco de Guatemala y</w:t>
                  </w:r>
                </w:p>
                <w:p w14:paraId="70FEA360" w14:textId="77777777" w:rsidR="00053D93" w:rsidRDefault="00260B75">
                  <w:pPr>
                    <w:ind w:left="86"/>
                  </w:pPr>
                  <w:r>
                    <w:rPr>
                      <w:sz w:val="16"/>
                    </w:rPr>
                    <w:t>Superintendencia de Bancos</w:t>
                  </w:r>
                </w:p>
              </w:tc>
              <w:tc>
                <w:tcPr>
                  <w:tcW w:w="2282" w:type="dxa"/>
                  <w:tcBorders>
                    <w:top w:val="single" w:sz="2" w:space="0" w:color="000000"/>
                    <w:left w:val="single" w:sz="2" w:space="0" w:color="000000"/>
                    <w:bottom w:val="single" w:sz="2" w:space="0" w:color="000000"/>
                    <w:right w:val="single" w:sz="2" w:space="0" w:color="000000"/>
                  </w:tcBorders>
                </w:tcPr>
                <w:p w14:paraId="73CE9DD2" w14:textId="77777777" w:rsidR="00053D93" w:rsidRDefault="00260B75">
                  <w:pPr>
                    <w:ind w:left="68" w:right="84"/>
                    <w:jc w:val="both"/>
                  </w:pPr>
                  <w:r>
                    <w:rPr>
                      <w:sz w:val="16"/>
                    </w:rPr>
                    <w:t>programas de educación financiera, al fortalecimiento de tas competencias en educación financiera mediante programas educativos integrales, sobre temas económico•financieros dirigidos a los estudiantes, docentes y formadores. que tes permitan el dominio de los conceptos y de los productos y servicios financieros; así como los riesgos y los beneficios que éstos implican, con el propósito que puedan tomar decisiones financieras informadas.</w:t>
                  </w:r>
                </w:p>
              </w:tc>
              <w:tc>
                <w:tcPr>
                  <w:tcW w:w="1440" w:type="dxa"/>
                  <w:tcBorders>
                    <w:top w:val="single" w:sz="2" w:space="0" w:color="000000"/>
                    <w:left w:val="single" w:sz="2" w:space="0" w:color="000000"/>
                    <w:bottom w:val="single" w:sz="2" w:space="0" w:color="000000"/>
                    <w:right w:val="single" w:sz="2" w:space="0" w:color="000000"/>
                  </w:tcBorders>
                  <w:vAlign w:val="bottom"/>
                </w:tcPr>
                <w:p w14:paraId="58897C8C" w14:textId="77777777" w:rsidR="00053D93" w:rsidRDefault="00260B75">
                  <w:pPr>
                    <w:ind w:left="262"/>
                  </w:pPr>
                  <w:r>
                    <w:rPr>
                      <w:sz w:val="16"/>
                    </w:rPr>
                    <w:t>No cuantificado</w:t>
                  </w:r>
                </w:p>
              </w:tc>
            </w:tr>
            <w:tr w:rsidR="00053D93" w14:paraId="6036212E" w14:textId="77777777">
              <w:trPr>
                <w:trHeight w:val="2376"/>
              </w:trPr>
              <w:tc>
                <w:tcPr>
                  <w:tcW w:w="288" w:type="dxa"/>
                  <w:tcBorders>
                    <w:top w:val="single" w:sz="2" w:space="0" w:color="000000"/>
                    <w:left w:val="single" w:sz="2" w:space="0" w:color="000000"/>
                    <w:bottom w:val="single" w:sz="2" w:space="0" w:color="000000"/>
                    <w:right w:val="single" w:sz="2" w:space="0" w:color="000000"/>
                  </w:tcBorders>
                  <w:vAlign w:val="bottom"/>
                </w:tcPr>
                <w:p w14:paraId="0342D1E5" w14:textId="77777777" w:rsidR="00053D93" w:rsidRDefault="00260B75">
                  <w:pPr>
                    <w:ind w:left="29"/>
                  </w:pPr>
                  <w:r>
                    <w:rPr>
                      <w:rFonts w:ascii="Times New Roman" w:eastAsia="Times New Roman" w:hAnsi="Times New Roman" w:cs="Times New Roman"/>
                      <w:sz w:val="16"/>
                    </w:rPr>
                    <w:t>22</w:t>
                  </w:r>
                </w:p>
              </w:tc>
              <w:tc>
                <w:tcPr>
                  <w:tcW w:w="1267" w:type="dxa"/>
                  <w:gridSpan w:val="3"/>
                  <w:tcBorders>
                    <w:top w:val="single" w:sz="2" w:space="0" w:color="000000"/>
                    <w:left w:val="single" w:sz="2" w:space="0" w:color="000000"/>
                    <w:bottom w:val="single" w:sz="2" w:space="0" w:color="000000"/>
                    <w:right w:val="single" w:sz="2" w:space="0" w:color="000000"/>
                  </w:tcBorders>
                  <w:vAlign w:val="bottom"/>
                </w:tcPr>
                <w:p w14:paraId="357AEF92" w14:textId="77777777" w:rsidR="00053D93" w:rsidRDefault="00260B75">
                  <w:pPr>
                    <w:ind w:left="36"/>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4845826B" w14:textId="77777777" w:rsidR="00053D93" w:rsidRDefault="00260B75">
                  <w:pPr>
                    <w:ind w:left="101"/>
                  </w:pPr>
                  <w:r>
                    <w:rPr>
                      <w:rFonts w:ascii="Times New Roman" w:eastAsia="Times New Roman" w:hAnsi="Times New Roman" w:cs="Times New Roman"/>
                      <w:sz w:val="16"/>
                    </w:rPr>
                    <w:t>13/08/2024</w:t>
                  </w:r>
                </w:p>
              </w:tc>
              <w:tc>
                <w:tcPr>
                  <w:tcW w:w="2193" w:type="dxa"/>
                  <w:gridSpan w:val="3"/>
                  <w:tcBorders>
                    <w:top w:val="single" w:sz="2" w:space="0" w:color="000000"/>
                    <w:left w:val="single" w:sz="2" w:space="0" w:color="000000"/>
                    <w:bottom w:val="single" w:sz="2" w:space="0" w:color="000000"/>
                    <w:right w:val="single" w:sz="2" w:space="0" w:color="000000"/>
                  </w:tcBorders>
                  <w:vAlign w:val="bottom"/>
                </w:tcPr>
                <w:p w14:paraId="2DA90D34" w14:textId="77777777" w:rsidR="00053D93" w:rsidRDefault="00260B75">
                  <w:pPr>
                    <w:ind w:left="94" w:right="84"/>
                    <w:jc w:val="both"/>
                  </w:pPr>
                  <w:r>
                    <w:rPr>
                      <w:sz w:val="18"/>
                    </w:rPr>
                    <w:t>Fondo de las Naciones Unidas para la Infancia -UNICEF- y la Municipalidad de Chiquimula, departamento de Chiquimula</w:t>
                  </w:r>
                </w:p>
              </w:tc>
              <w:tc>
                <w:tcPr>
                  <w:tcW w:w="2282" w:type="dxa"/>
                  <w:tcBorders>
                    <w:top w:val="single" w:sz="2" w:space="0" w:color="000000"/>
                    <w:left w:val="single" w:sz="2" w:space="0" w:color="000000"/>
                    <w:bottom w:val="single" w:sz="2" w:space="0" w:color="000000"/>
                    <w:right w:val="single" w:sz="2" w:space="0" w:color="000000"/>
                  </w:tcBorders>
                </w:tcPr>
                <w:p w14:paraId="496C3E8F" w14:textId="77777777" w:rsidR="00053D93" w:rsidRDefault="00260B75">
                  <w:pPr>
                    <w:ind w:left="75" w:right="84" w:firstLine="7"/>
                    <w:jc w:val="both"/>
                  </w:pPr>
                  <w:r>
                    <w:rPr>
                      <w:sz w:val="16"/>
                    </w:rPr>
                    <w:t>La implementación en el municipio de Chiquimula, del departamento de Chiquimula, de un (1) Entorno Virtual de Aprendizaje. para propiciar el desarrollo de la población. a través de su participación en procesos de aprendizaje significativos. autónomos colaborativos, mediante el uso de herramientas tecnológicas, en un modelo educativo flexible. pertinente y de calidad.</w:t>
                  </w:r>
                </w:p>
              </w:tc>
              <w:tc>
                <w:tcPr>
                  <w:tcW w:w="1440" w:type="dxa"/>
                  <w:tcBorders>
                    <w:top w:val="single" w:sz="2" w:space="0" w:color="000000"/>
                    <w:left w:val="single" w:sz="2" w:space="0" w:color="000000"/>
                    <w:bottom w:val="single" w:sz="2" w:space="0" w:color="000000"/>
                    <w:right w:val="single" w:sz="2" w:space="0" w:color="000000"/>
                  </w:tcBorders>
                  <w:vAlign w:val="bottom"/>
                </w:tcPr>
                <w:p w14:paraId="58A8D667" w14:textId="77777777" w:rsidR="00053D93" w:rsidRDefault="00260B75">
                  <w:pPr>
                    <w:ind w:left="269"/>
                  </w:pPr>
                  <w:r>
                    <w:rPr>
                      <w:sz w:val="16"/>
                    </w:rPr>
                    <w:t>No cuantificado</w:t>
                  </w:r>
                </w:p>
              </w:tc>
            </w:tr>
            <w:tr w:rsidR="00053D93" w14:paraId="66E87362" w14:textId="77777777">
              <w:trPr>
                <w:trHeight w:val="1932"/>
              </w:trPr>
              <w:tc>
                <w:tcPr>
                  <w:tcW w:w="288" w:type="dxa"/>
                  <w:tcBorders>
                    <w:top w:val="single" w:sz="2" w:space="0" w:color="000000"/>
                    <w:left w:val="single" w:sz="2" w:space="0" w:color="000000"/>
                    <w:bottom w:val="single" w:sz="2" w:space="0" w:color="000000"/>
                    <w:right w:val="single" w:sz="2" w:space="0" w:color="000000"/>
                  </w:tcBorders>
                  <w:vAlign w:val="bottom"/>
                </w:tcPr>
                <w:p w14:paraId="17A3D3E8" w14:textId="77777777" w:rsidR="00053D93" w:rsidRDefault="00260B75">
                  <w:pPr>
                    <w:ind w:left="29"/>
                  </w:pPr>
                  <w:r>
                    <w:rPr>
                      <w:rFonts w:ascii="Times New Roman" w:eastAsia="Times New Roman" w:hAnsi="Times New Roman" w:cs="Times New Roman"/>
                      <w:sz w:val="18"/>
                    </w:rPr>
                    <w:lastRenderedPageBreak/>
                    <w:t>23</w:t>
                  </w:r>
                </w:p>
              </w:tc>
              <w:tc>
                <w:tcPr>
                  <w:tcW w:w="1267" w:type="dxa"/>
                  <w:gridSpan w:val="3"/>
                  <w:tcBorders>
                    <w:top w:val="single" w:sz="2" w:space="0" w:color="000000"/>
                    <w:left w:val="single" w:sz="2" w:space="0" w:color="000000"/>
                    <w:bottom w:val="single" w:sz="2" w:space="0" w:color="000000"/>
                    <w:right w:val="single" w:sz="2" w:space="0" w:color="000000"/>
                  </w:tcBorders>
                  <w:vAlign w:val="bottom"/>
                </w:tcPr>
                <w:p w14:paraId="030517DE" w14:textId="77777777" w:rsidR="00053D93" w:rsidRDefault="00260B75">
                  <w:pPr>
                    <w:ind w:left="29"/>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7571560B" w14:textId="77777777" w:rsidR="00053D93" w:rsidRDefault="00260B75">
                  <w:pPr>
                    <w:ind w:left="94"/>
                  </w:pPr>
                  <w:r>
                    <w:rPr>
                      <w:rFonts w:ascii="Times New Roman" w:eastAsia="Times New Roman" w:hAnsi="Times New Roman" w:cs="Times New Roman"/>
                      <w:sz w:val="16"/>
                    </w:rPr>
                    <w:t>22/08/2024</w:t>
                  </w:r>
                </w:p>
              </w:tc>
              <w:tc>
                <w:tcPr>
                  <w:tcW w:w="1678" w:type="dxa"/>
                  <w:tcBorders>
                    <w:top w:val="single" w:sz="2" w:space="0" w:color="000000"/>
                    <w:left w:val="single" w:sz="2" w:space="0" w:color="000000"/>
                    <w:bottom w:val="single" w:sz="2" w:space="0" w:color="000000"/>
                    <w:right w:val="nil"/>
                  </w:tcBorders>
                  <w:vAlign w:val="bottom"/>
                </w:tcPr>
                <w:p w14:paraId="17FEDF42" w14:textId="77777777" w:rsidR="00053D93" w:rsidRDefault="00260B75">
                  <w:pPr>
                    <w:ind w:left="101" w:hanging="7"/>
                  </w:pPr>
                  <w:r>
                    <w:rPr>
                      <w:sz w:val="18"/>
                    </w:rPr>
                    <w:t>Secretaría Privada Presidencia</w:t>
                  </w:r>
                </w:p>
              </w:tc>
              <w:tc>
                <w:tcPr>
                  <w:tcW w:w="259" w:type="dxa"/>
                  <w:tcBorders>
                    <w:top w:val="single" w:sz="2" w:space="0" w:color="000000"/>
                    <w:left w:val="nil"/>
                    <w:bottom w:val="single" w:sz="2" w:space="0" w:color="000000"/>
                    <w:right w:val="nil"/>
                  </w:tcBorders>
                  <w:vAlign w:val="bottom"/>
                </w:tcPr>
                <w:p w14:paraId="27C7A9BD" w14:textId="77777777" w:rsidR="00053D93" w:rsidRDefault="00260B75">
                  <w:r>
                    <w:rPr>
                      <w:sz w:val="18"/>
                    </w:rPr>
                    <w:t>de</w:t>
                  </w:r>
                </w:p>
              </w:tc>
              <w:tc>
                <w:tcPr>
                  <w:tcW w:w="256" w:type="dxa"/>
                  <w:tcBorders>
                    <w:top w:val="single" w:sz="2" w:space="0" w:color="000000"/>
                    <w:left w:val="nil"/>
                    <w:bottom w:val="single" w:sz="2" w:space="0" w:color="000000"/>
                    <w:right w:val="single" w:sz="2" w:space="0" w:color="000000"/>
                  </w:tcBorders>
                </w:tcPr>
                <w:p w14:paraId="31C78B6E" w14:textId="77777777" w:rsidR="00053D93" w:rsidRDefault="00053D93"/>
              </w:tc>
              <w:tc>
                <w:tcPr>
                  <w:tcW w:w="2282" w:type="dxa"/>
                  <w:tcBorders>
                    <w:top w:val="single" w:sz="2" w:space="0" w:color="000000"/>
                    <w:left w:val="single" w:sz="2" w:space="0" w:color="000000"/>
                    <w:bottom w:val="single" w:sz="2" w:space="0" w:color="000000"/>
                    <w:right w:val="single" w:sz="2" w:space="0" w:color="000000"/>
                  </w:tcBorders>
                  <w:vAlign w:val="bottom"/>
                </w:tcPr>
                <w:p w14:paraId="4F3CD7A6" w14:textId="77777777" w:rsidR="00053D93" w:rsidRDefault="00260B75">
                  <w:pPr>
                    <w:spacing w:line="238" w:lineRule="auto"/>
                    <w:ind w:left="82" w:right="84" w:firstLine="7"/>
                    <w:jc w:val="both"/>
                  </w:pPr>
                  <w:r>
                    <w:rPr>
                      <w:sz w:val="16"/>
                    </w:rPr>
                    <w:t>Establecer el marco de cooperación. para que el personal y contratistas que designe la Secretaría Privada de</w:t>
                  </w:r>
                </w:p>
                <w:p w14:paraId="6C29C93A" w14:textId="77777777" w:rsidR="00053D93" w:rsidRDefault="00260B75">
                  <w:pPr>
                    <w:ind w:left="82" w:right="84" w:firstLine="7"/>
                    <w:jc w:val="both"/>
                  </w:pPr>
                  <w:r>
                    <w:rPr>
                      <w:sz w:val="16"/>
                    </w:rPr>
                    <w:t>Presidencia, en materia de su competencia, apoye la definición, seguimiento y monitoreo de las intervenciones referente a tas metas presidenciales vinculadas con el Ministerio de Educación.</w:t>
                  </w:r>
                </w:p>
              </w:tc>
              <w:tc>
                <w:tcPr>
                  <w:tcW w:w="1440" w:type="dxa"/>
                  <w:tcBorders>
                    <w:top w:val="single" w:sz="2" w:space="0" w:color="000000"/>
                    <w:left w:val="single" w:sz="2" w:space="0" w:color="000000"/>
                    <w:bottom w:val="single" w:sz="2" w:space="0" w:color="000000"/>
                    <w:right w:val="single" w:sz="2" w:space="0" w:color="000000"/>
                  </w:tcBorders>
                  <w:vAlign w:val="bottom"/>
                </w:tcPr>
                <w:p w14:paraId="1A19B2AE" w14:textId="77777777" w:rsidR="00053D93" w:rsidRDefault="00260B75">
                  <w:pPr>
                    <w:ind w:left="276"/>
                  </w:pPr>
                  <w:r>
                    <w:rPr>
                      <w:sz w:val="16"/>
                    </w:rPr>
                    <w:t>No cuantificado</w:t>
                  </w:r>
                </w:p>
              </w:tc>
            </w:tr>
            <w:tr w:rsidR="00053D93" w14:paraId="2D8F974E" w14:textId="77777777">
              <w:trPr>
                <w:trHeight w:val="4090"/>
              </w:trPr>
              <w:tc>
                <w:tcPr>
                  <w:tcW w:w="288" w:type="dxa"/>
                  <w:tcBorders>
                    <w:top w:val="single" w:sz="2" w:space="0" w:color="000000"/>
                    <w:left w:val="single" w:sz="2" w:space="0" w:color="000000"/>
                    <w:bottom w:val="single" w:sz="2" w:space="0" w:color="000000"/>
                    <w:right w:val="single" w:sz="2" w:space="0" w:color="000000"/>
                  </w:tcBorders>
                  <w:vAlign w:val="bottom"/>
                </w:tcPr>
                <w:p w14:paraId="7E9F5CF3" w14:textId="77777777" w:rsidR="00053D93" w:rsidRDefault="00260B75">
                  <w:pPr>
                    <w:ind w:left="29"/>
                  </w:pPr>
                  <w:r>
                    <w:rPr>
                      <w:rFonts w:ascii="Times New Roman" w:eastAsia="Times New Roman" w:hAnsi="Times New Roman" w:cs="Times New Roman"/>
                      <w:sz w:val="16"/>
                    </w:rPr>
                    <w:t>24</w:t>
                  </w:r>
                </w:p>
              </w:tc>
              <w:tc>
                <w:tcPr>
                  <w:tcW w:w="1267" w:type="dxa"/>
                  <w:gridSpan w:val="3"/>
                  <w:tcBorders>
                    <w:top w:val="single" w:sz="2" w:space="0" w:color="000000"/>
                    <w:left w:val="single" w:sz="2" w:space="0" w:color="000000"/>
                    <w:bottom w:val="single" w:sz="2" w:space="0" w:color="000000"/>
                    <w:right w:val="single" w:sz="2" w:space="0" w:color="000000"/>
                  </w:tcBorders>
                  <w:vAlign w:val="bottom"/>
                </w:tcPr>
                <w:p w14:paraId="42BDDB20" w14:textId="77777777" w:rsidR="00053D93" w:rsidRDefault="00260B75">
                  <w:pPr>
                    <w:ind w:left="29"/>
                    <w:jc w:val="center"/>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088C366A" w14:textId="77777777" w:rsidR="00053D93" w:rsidRDefault="00260B75">
                  <w:pPr>
                    <w:ind w:left="94"/>
                  </w:pPr>
                  <w:r>
                    <w:rPr>
                      <w:rFonts w:ascii="Times New Roman" w:eastAsia="Times New Roman" w:hAnsi="Times New Roman" w:cs="Times New Roman"/>
                      <w:sz w:val="16"/>
                    </w:rPr>
                    <w:t>28/0812024</w:t>
                  </w:r>
                </w:p>
              </w:tc>
              <w:tc>
                <w:tcPr>
                  <w:tcW w:w="1678" w:type="dxa"/>
                  <w:tcBorders>
                    <w:top w:val="single" w:sz="2" w:space="0" w:color="000000"/>
                    <w:left w:val="single" w:sz="2" w:space="0" w:color="000000"/>
                    <w:bottom w:val="single" w:sz="2" w:space="0" w:color="000000"/>
                    <w:right w:val="nil"/>
                  </w:tcBorders>
                  <w:vAlign w:val="bottom"/>
                </w:tcPr>
                <w:p w14:paraId="0610478B" w14:textId="77777777" w:rsidR="00053D93" w:rsidRDefault="00260B75">
                  <w:pPr>
                    <w:ind w:left="101"/>
                  </w:pPr>
                  <w:r>
                    <w:rPr>
                      <w:sz w:val="20"/>
                    </w:rPr>
                    <w:t>Ministerio</w:t>
                  </w:r>
                </w:p>
                <w:p w14:paraId="39955A77" w14:textId="77777777" w:rsidR="00053D93" w:rsidRDefault="00260B75">
                  <w:pPr>
                    <w:ind w:left="101"/>
                  </w:pPr>
                  <w:r>
                    <w:rPr>
                      <w:sz w:val="20"/>
                    </w:rPr>
                    <w:t>Comunicaciones.</w:t>
                  </w:r>
                </w:p>
                <w:p w14:paraId="31BC5F33" w14:textId="77777777" w:rsidR="00053D93" w:rsidRDefault="00260B75">
                  <w:pPr>
                    <w:ind w:left="101" w:right="-137"/>
                  </w:pPr>
                  <w:r>
                    <w:rPr>
                      <w:sz w:val="16"/>
                    </w:rPr>
                    <w:t>Infraestructura y Vivienda</w:t>
                  </w:r>
                </w:p>
              </w:tc>
              <w:tc>
                <w:tcPr>
                  <w:tcW w:w="259" w:type="dxa"/>
                  <w:tcBorders>
                    <w:top w:val="single" w:sz="2" w:space="0" w:color="000000"/>
                    <w:left w:val="nil"/>
                    <w:bottom w:val="single" w:sz="2" w:space="0" w:color="000000"/>
                    <w:right w:val="nil"/>
                  </w:tcBorders>
                </w:tcPr>
                <w:p w14:paraId="229CE472" w14:textId="77777777" w:rsidR="00053D93" w:rsidRDefault="00053D93"/>
              </w:tc>
              <w:tc>
                <w:tcPr>
                  <w:tcW w:w="256" w:type="dxa"/>
                  <w:tcBorders>
                    <w:top w:val="single" w:sz="2" w:space="0" w:color="000000"/>
                    <w:left w:val="nil"/>
                    <w:bottom w:val="single" w:sz="2" w:space="0" w:color="000000"/>
                    <w:right w:val="single" w:sz="2" w:space="0" w:color="000000"/>
                  </w:tcBorders>
                  <w:vAlign w:val="bottom"/>
                </w:tcPr>
                <w:p w14:paraId="77F4B6BD" w14:textId="77777777" w:rsidR="00053D93" w:rsidRDefault="00260B75">
                  <w:r>
                    <w:rPr>
                      <w:sz w:val="20"/>
                    </w:rPr>
                    <w:t>de</w:t>
                  </w:r>
                </w:p>
              </w:tc>
              <w:tc>
                <w:tcPr>
                  <w:tcW w:w="2282" w:type="dxa"/>
                  <w:tcBorders>
                    <w:top w:val="single" w:sz="2" w:space="0" w:color="000000"/>
                    <w:left w:val="single" w:sz="2" w:space="0" w:color="000000"/>
                    <w:bottom w:val="single" w:sz="2" w:space="0" w:color="000000"/>
                    <w:right w:val="single" w:sz="2" w:space="0" w:color="000000"/>
                  </w:tcBorders>
                  <w:vAlign w:val="bottom"/>
                </w:tcPr>
                <w:p w14:paraId="02135BE3" w14:textId="77777777" w:rsidR="00053D93" w:rsidRDefault="00260B75">
                  <w:pPr>
                    <w:spacing w:after="18" w:line="224" w:lineRule="auto"/>
                    <w:ind w:left="82" w:right="84" w:firstLine="7"/>
                    <w:jc w:val="both"/>
                  </w:pPr>
                  <w:r>
                    <w:rPr>
                      <w:sz w:val="16"/>
                    </w:rPr>
                    <w:t>Establecer las disposiciones para la entrega y recepción de los bienes adquiridos por ta Unidad de</w:t>
                  </w:r>
                </w:p>
                <w:p w14:paraId="3BB8C43E" w14:textId="77777777" w:rsidR="00053D93" w:rsidRDefault="00260B75">
                  <w:pPr>
                    <w:spacing w:line="256" w:lineRule="auto"/>
                    <w:ind w:left="82" w:right="77" w:firstLine="7"/>
                    <w:jc w:val="both"/>
                  </w:pPr>
                  <w:r>
                    <w:rPr>
                      <w:sz w:val="16"/>
                    </w:rPr>
                    <w:t>Construcción de Edificios del Estado -UCEE-, ante situaciones de prevención, urgencia. emergencia, la activación de un estado de alarma y el cumplimiento de la normativa relacionada con un estado de calamidad pública. para lo cual. se [levará a cabo la entrega y recepción de bienes (módulos prefabricados para funcionamiento temporal de establecimientos educativos, equipamiento consistente en mobiliaño escolar-pupitres, mesas y cátedras. asi como otra que de común acuerdo. sean</w:t>
                  </w:r>
                </w:p>
                <w:p w14:paraId="3A4D61E2" w14:textId="77777777" w:rsidR="00053D93" w:rsidRDefault="00260B75">
                  <w:pPr>
                    <w:ind w:left="89" w:right="77"/>
                    <w:jc w:val="both"/>
                  </w:pPr>
                  <w:r>
                    <w:rPr>
                      <w:sz w:val="16"/>
                    </w:rPr>
                    <w:t>establecidos), de conformidad con las necesidades institucionales del Ministerio de Educación.</w:t>
                  </w:r>
                </w:p>
              </w:tc>
              <w:tc>
                <w:tcPr>
                  <w:tcW w:w="1440" w:type="dxa"/>
                  <w:tcBorders>
                    <w:top w:val="single" w:sz="2" w:space="0" w:color="000000"/>
                    <w:left w:val="single" w:sz="2" w:space="0" w:color="000000"/>
                    <w:bottom w:val="single" w:sz="2" w:space="0" w:color="000000"/>
                    <w:right w:val="single" w:sz="2" w:space="0" w:color="000000"/>
                  </w:tcBorders>
                  <w:vAlign w:val="bottom"/>
                </w:tcPr>
                <w:p w14:paraId="45B0E009" w14:textId="77777777" w:rsidR="00053D93" w:rsidRDefault="00260B75">
                  <w:pPr>
                    <w:ind w:left="283"/>
                  </w:pPr>
                  <w:r>
                    <w:rPr>
                      <w:sz w:val="16"/>
                    </w:rPr>
                    <w:t>No cuantificado</w:t>
                  </w:r>
                </w:p>
              </w:tc>
            </w:tr>
            <w:tr w:rsidR="00053D93" w14:paraId="7E5BC47A" w14:textId="77777777">
              <w:trPr>
                <w:trHeight w:val="2350"/>
              </w:trPr>
              <w:tc>
                <w:tcPr>
                  <w:tcW w:w="288" w:type="dxa"/>
                  <w:vMerge w:val="restart"/>
                  <w:tcBorders>
                    <w:top w:val="single" w:sz="2" w:space="0" w:color="000000"/>
                    <w:left w:val="single" w:sz="2" w:space="0" w:color="000000"/>
                    <w:bottom w:val="nil"/>
                    <w:right w:val="single" w:sz="2" w:space="0" w:color="000000"/>
                  </w:tcBorders>
                  <w:vAlign w:val="bottom"/>
                </w:tcPr>
                <w:p w14:paraId="78AC6399" w14:textId="77777777" w:rsidR="00053D93" w:rsidRDefault="00260B75">
                  <w:pPr>
                    <w:ind w:left="22"/>
                  </w:pPr>
                  <w:r>
                    <w:rPr>
                      <w:noProof/>
                    </w:rPr>
                    <w:drawing>
                      <wp:inline distT="0" distB="0" distL="0" distR="0" wp14:anchorId="7CA52120" wp14:editId="65F4D45D">
                        <wp:extent cx="169164" cy="406909"/>
                        <wp:effectExtent l="0" t="0" r="0" b="0"/>
                        <wp:docPr id="176433" name="Picture 176433"/>
                        <wp:cNvGraphicFramePr/>
                        <a:graphic xmlns:a="http://schemas.openxmlformats.org/drawingml/2006/main">
                          <a:graphicData uri="http://schemas.openxmlformats.org/drawingml/2006/picture">
                            <pic:pic xmlns:pic="http://schemas.openxmlformats.org/drawingml/2006/picture">
                              <pic:nvPicPr>
                                <pic:cNvPr id="176433" name="Picture 176433"/>
                                <pic:cNvPicPr/>
                              </pic:nvPicPr>
                              <pic:blipFill>
                                <a:blip r:embed="rId240"/>
                                <a:stretch>
                                  <a:fillRect/>
                                </a:stretch>
                              </pic:blipFill>
                              <pic:spPr>
                                <a:xfrm>
                                  <a:off x="0" y="0"/>
                                  <a:ext cx="169164" cy="406909"/>
                                </a:xfrm>
                                <a:prstGeom prst="rect">
                                  <a:avLst/>
                                </a:prstGeom>
                              </pic:spPr>
                            </pic:pic>
                          </a:graphicData>
                        </a:graphic>
                      </wp:inline>
                    </w:drawing>
                  </w:r>
                </w:p>
              </w:tc>
              <w:tc>
                <w:tcPr>
                  <w:tcW w:w="1267" w:type="dxa"/>
                  <w:gridSpan w:val="3"/>
                  <w:tcBorders>
                    <w:top w:val="single" w:sz="2" w:space="0" w:color="000000"/>
                    <w:left w:val="single" w:sz="2" w:space="0" w:color="000000"/>
                    <w:bottom w:val="nil"/>
                    <w:right w:val="single" w:sz="2" w:space="0" w:color="000000"/>
                  </w:tcBorders>
                </w:tcPr>
                <w:p w14:paraId="0875E3BD" w14:textId="77777777" w:rsidR="00053D93" w:rsidRDefault="00053D93"/>
              </w:tc>
              <w:tc>
                <w:tcPr>
                  <w:tcW w:w="914" w:type="dxa"/>
                  <w:tcBorders>
                    <w:top w:val="single" w:sz="2" w:space="0" w:color="000000"/>
                    <w:left w:val="single" w:sz="2" w:space="0" w:color="000000"/>
                    <w:bottom w:val="single" w:sz="2" w:space="0" w:color="000000"/>
                    <w:right w:val="single" w:sz="2" w:space="0" w:color="000000"/>
                  </w:tcBorders>
                </w:tcPr>
                <w:p w14:paraId="2DAE8694" w14:textId="77777777" w:rsidR="00053D93" w:rsidRDefault="00053D93"/>
              </w:tc>
              <w:tc>
                <w:tcPr>
                  <w:tcW w:w="2193" w:type="dxa"/>
                  <w:gridSpan w:val="3"/>
                  <w:tcBorders>
                    <w:top w:val="single" w:sz="2" w:space="0" w:color="000000"/>
                    <w:left w:val="single" w:sz="2" w:space="0" w:color="000000"/>
                    <w:bottom w:val="single" w:sz="2" w:space="0" w:color="000000"/>
                    <w:right w:val="single" w:sz="2" w:space="0" w:color="000000"/>
                  </w:tcBorders>
                </w:tcPr>
                <w:p w14:paraId="1B6DA918" w14:textId="77777777" w:rsidR="00053D93" w:rsidRDefault="00053D93"/>
              </w:tc>
              <w:tc>
                <w:tcPr>
                  <w:tcW w:w="2282" w:type="dxa"/>
                  <w:tcBorders>
                    <w:top w:val="single" w:sz="2" w:space="0" w:color="000000"/>
                    <w:left w:val="single" w:sz="2" w:space="0" w:color="000000"/>
                    <w:bottom w:val="single" w:sz="2" w:space="0" w:color="000000"/>
                    <w:right w:val="single" w:sz="2" w:space="0" w:color="000000"/>
                  </w:tcBorders>
                  <w:vAlign w:val="center"/>
                </w:tcPr>
                <w:p w14:paraId="58FCC294" w14:textId="77777777" w:rsidR="00053D93" w:rsidRDefault="00260B75">
                  <w:pPr>
                    <w:spacing w:after="4" w:line="236" w:lineRule="auto"/>
                    <w:ind w:left="89" w:right="69" w:firstLine="7"/>
                    <w:jc w:val="both"/>
                  </w:pPr>
                  <w:r>
                    <w:rPr>
                      <w:sz w:val="16"/>
                    </w:rPr>
                    <w:t>Establecer bases generales de cooperación entre las panes para el fortalecimiento del Sistema Educativo Nacional, a través de los</w:t>
                  </w:r>
                </w:p>
                <w:p w14:paraId="73C17ED4" w14:textId="77777777" w:rsidR="00053D93" w:rsidRDefault="00260B75">
                  <w:pPr>
                    <w:spacing w:after="31"/>
                    <w:ind w:left="96"/>
                  </w:pPr>
                  <w:r>
                    <w:rPr>
                      <w:sz w:val="16"/>
                    </w:rPr>
                    <w:t>Programas institucionales: Aulas</w:t>
                  </w:r>
                </w:p>
                <w:p w14:paraId="612B8DC4" w14:textId="77777777" w:rsidR="00053D93" w:rsidRDefault="00260B75">
                  <w:pPr>
                    <w:spacing w:after="21" w:line="230" w:lineRule="auto"/>
                    <w:ind w:left="96"/>
                    <w:jc w:val="both"/>
                  </w:pPr>
                  <w:r>
                    <w:rPr>
                      <w:sz w:val="16"/>
                    </w:rPr>
                    <w:t>Musicales del Programa Pentagrama y el Programa</w:t>
                  </w:r>
                </w:p>
                <w:p w14:paraId="5EEA70B1" w14:textId="77777777" w:rsidR="00053D93" w:rsidRDefault="00260B75">
                  <w:pPr>
                    <w:ind w:left="96" w:right="69"/>
                    <w:jc w:val="both"/>
                  </w:pPr>
                  <w:r>
                    <w:rPr>
                      <w:sz w:val="16"/>
                    </w:rPr>
                    <w:t>Nacional de Lectura "Leamos Juntos". y la implementación de los programas: Gira Vive Sin Drogas. Programa "Limpiemos Nuestra Guatemala", Proyecto "Que Vivan</w:t>
                  </w:r>
                </w:p>
              </w:tc>
              <w:tc>
                <w:tcPr>
                  <w:tcW w:w="1440" w:type="dxa"/>
                  <w:tcBorders>
                    <w:top w:val="single" w:sz="2" w:space="0" w:color="000000"/>
                    <w:left w:val="single" w:sz="2" w:space="0" w:color="000000"/>
                    <w:bottom w:val="single" w:sz="2" w:space="0" w:color="000000"/>
                    <w:right w:val="single" w:sz="2" w:space="0" w:color="000000"/>
                  </w:tcBorders>
                </w:tcPr>
                <w:p w14:paraId="62F223FE" w14:textId="77777777" w:rsidR="00053D93" w:rsidRDefault="00053D93"/>
              </w:tc>
            </w:tr>
            <w:tr w:rsidR="00053D93" w14:paraId="275FB14E" w14:textId="77777777">
              <w:trPr>
                <w:trHeight w:val="609"/>
              </w:trPr>
              <w:tc>
                <w:tcPr>
                  <w:tcW w:w="0" w:type="auto"/>
                  <w:vMerge/>
                  <w:tcBorders>
                    <w:top w:val="nil"/>
                    <w:left w:val="single" w:sz="2" w:space="0" w:color="000000"/>
                    <w:bottom w:val="nil"/>
                    <w:right w:val="single" w:sz="2" w:space="0" w:color="000000"/>
                  </w:tcBorders>
                </w:tcPr>
                <w:p w14:paraId="218D6A2B" w14:textId="77777777" w:rsidR="00053D93" w:rsidRDefault="00053D93"/>
              </w:tc>
              <w:tc>
                <w:tcPr>
                  <w:tcW w:w="255" w:type="dxa"/>
                  <w:tcBorders>
                    <w:top w:val="nil"/>
                    <w:left w:val="single" w:sz="2" w:space="0" w:color="000000"/>
                    <w:bottom w:val="nil"/>
                    <w:right w:val="single" w:sz="2" w:space="0" w:color="000000"/>
                  </w:tcBorders>
                </w:tcPr>
                <w:p w14:paraId="492EB230" w14:textId="77777777" w:rsidR="00053D93" w:rsidRDefault="00260B75">
                  <w:r>
                    <w:rPr>
                      <w:noProof/>
                    </w:rPr>
                    <w:drawing>
                      <wp:inline distT="0" distB="0" distL="0" distR="0" wp14:anchorId="7C83EAD8" wp14:editId="6BD5525B">
                        <wp:extent cx="132588" cy="388620"/>
                        <wp:effectExtent l="0" t="0" r="0" b="0"/>
                        <wp:docPr id="176405" name="Picture 176405"/>
                        <wp:cNvGraphicFramePr/>
                        <a:graphic xmlns:a="http://schemas.openxmlformats.org/drawingml/2006/main">
                          <a:graphicData uri="http://schemas.openxmlformats.org/drawingml/2006/picture">
                            <pic:pic xmlns:pic="http://schemas.openxmlformats.org/drawingml/2006/picture">
                              <pic:nvPicPr>
                                <pic:cNvPr id="176405" name="Picture 176405"/>
                                <pic:cNvPicPr/>
                              </pic:nvPicPr>
                              <pic:blipFill>
                                <a:blip r:embed="rId241"/>
                                <a:stretch>
                                  <a:fillRect/>
                                </a:stretch>
                              </pic:blipFill>
                              <pic:spPr>
                                <a:xfrm>
                                  <a:off x="0" y="0"/>
                                  <a:ext cx="132588" cy="388620"/>
                                </a:xfrm>
                                <a:prstGeom prst="rect">
                                  <a:avLst/>
                                </a:prstGeom>
                              </pic:spPr>
                            </pic:pic>
                          </a:graphicData>
                        </a:graphic>
                      </wp:inline>
                    </w:drawing>
                  </w:r>
                </w:p>
              </w:tc>
              <w:tc>
                <w:tcPr>
                  <w:tcW w:w="194" w:type="dxa"/>
                  <w:tcBorders>
                    <w:top w:val="nil"/>
                    <w:left w:val="single" w:sz="2" w:space="0" w:color="000000"/>
                    <w:bottom w:val="nil"/>
                    <w:right w:val="single" w:sz="2" w:space="0" w:color="000000"/>
                  </w:tcBorders>
                </w:tcPr>
                <w:p w14:paraId="1F76A89E" w14:textId="77777777" w:rsidR="00053D93" w:rsidRDefault="00053D93"/>
              </w:tc>
              <w:tc>
                <w:tcPr>
                  <w:tcW w:w="7648" w:type="dxa"/>
                  <w:gridSpan w:val="7"/>
                  <w:tcBorders>
                    <w:top w:val="single" w:sz="2" w:space="0" w:color="000000"/>
                    <w:left w:val="single" w:sz="2" w:space="0" w:color="000000"/>
                    <w:bottom w:val="nil"/>
                    <w:right w:val="nil"/>
                  </w:tcBorders>
                </w:tcPr>
                <w:p w14:paraId="262F6C53" w14:textId="77777777" w:rsidR="00053D93" w:rsidRDefault="00260B75">
                  <w:pPr>
                    <w:ind w:left="2611"/>
                  </w:pPr>
                  <w:r>
                    <w:rPr>
                      <w:sz w:val="14"/>
                    </w:rPr>
                    <w:t>MINFSTERIO OE EDUCACION</w:t>
                  </w:r>
                </w:p>
                <w:p w14:paraId="045B651A" w14:textId="77777777" w:rsidR="00053D93" w:rsidRDefault="00260B75">
                  <w:pPr>
                    <w:ind w:left="2121"/>
                  </w:pPr>
                  <w:r>
                    <w:rPr>
                      <w:sz w:val="14"/>
                    </w:rPr>
                    <w:t>AUDITORIA FINANCIERA Y DE CUMPLIMIENTO</w:t>
                  </w:r>
                </w:p>
                <w:p w14:paraId="41424BB8" w14:textId="77777777" w:rsidR="00053D93" w:rsidRDefault="00260B75">
                  <w:pPr>
                    <w:ind w:left="1783"/>
                  </w:pPr>
                  <w:r>
                    <w:rPr>
                      <w:sz w:val="14"/>
                    </w:rPr>
                    <w:t>PER(ODO DEL 01 DE ENERO AL 31 OE DICIEMBRE DE 2024</w:t>
                  </w:r>
                </w:p>
              </w:tc>
            </w:tr>
          </w:tbl>
          <w:p w14:paraId="1D21C08D" w14:textId="77777777" w:rsidR="00053D93" w:rsidRDefault="00053D93"/>
        </w:tc>
      </w:tr>
      <w:tr w:rsidR="00053D93" w14:paraId="74A847EB" w14:textId="77777777">
        <w:trPr>
          <w:trHeight w:val="824"/>
        </w:trPr>
        <w:tc>
          <w:tcPr>
            <w:tcW w:w="490" w:type="dxa"/>
            <w:tcBorders>
              <w:top w:val="nil"/>
              <w:left w:val="nil"/>
              <w:bottom w:val="nil"/>
              <w:right w:val="nil"/>
            </w:tcBorders>
          </w:tcPr>
          <w:p w14:paraId="05C4CD3B" w14:textId="77777777" w:rsidR="00053D93" w:rsidRDefault="00260B75">
            <w:pPr>
              <w:ind w:left="7"/>
            </w:pPr>
            <w:r>
              <w:rPr>
                <w:noProof/>
              </w:rPr>
              <w:drawing>
                <wp:inline distT="0" distB="0" distL="0" distR="0" wp14:anchorId="71C570DB" wp14:editId="3E876EE1">
                  <wp:extent cx="132588" cy="361188"/>
                  <wp:effectExtent l="0" t="0" r="0" b="0"/>
                  <wp:docPr id="176572" name="Picture 176572"/>
                  <wp:cNvGraphicFramePr/>
                  <a:graphic xmlns:a="http://schemas.openxmlformats.org/drawingml/2006/main">
                    <a:graphicData uri="http://schemas.openxmlformats.org/drawingml/2006/picture">
                      <pic:pic xmlns:pic="http://schemas.openxmlformats.org/drawingml/2006/picture">
                        <pic:nvPicPr>
                          <pic:cNvPr id="176572" name="Picture 176572"/>
                          <pic:cNvPicPr/>
                        </pic:nvPicPr>
                        <pic:blipFill>
                          <a:blip r:embed="rId242"/>
                          <a:stretch>
                            <a:fillRect/>
                          </a:stretch>
                        </pic:blipFill>
                        <pic:spPr>
                          <a:xfrm>
                            <a:off x="0" y="0"/>
                            <a:ext cx="132588" cy="361188"/>
                          </a:xfrm>
                          <a:prstGeom prst="rect">
                            <a:avLst/>
                          </a:prstGeom>
                        </pic:spPr>
                      </pic:pic>
                    </a:graphicData>
                  </a:graphic>
                </wp:inline>
              </w:drawing>
            </w:r>
          </w:p>
        </w:tc>
        <w:tc>
          <w:tcPr>
            <w:tcW w:w="0" w:type="auto"/>
            <w:vMerge/>
            <w:tcBorders>
              <w:top w:val="nil"/>
              <w:left w:val="nil"/>
              <w:bottom w:val="nil"/>
              <w:right w:val="nil"/>
            </w:tcBorders>
          </w:tcPr>
          <w:p w14:paraId="6A01FA3E" w14:textId="77777777" w:rsidR="00053D93" w:rsidRDefault="00053D93"/>
        </w:tc>
        <w:tc>
          <w:tcPr>
            <w:tcW w:w="0" w:type="auto"/>
            <w:vMerge/>
            <w:tcBorders>
              <w:top w:val="nil"/>
              <w:left w:val="nil"/>
              <w:bottom w:val="nil"/>
              <w:right w:val="nil"/>
            </w:tcBorders>
          </w:tcPr>
          <w:p w14:paraId="68EA03FF" w14:textId="77777777" w:rsidR="00053D93" w:rsidRDefault="00053D93"/>
        </w:tc>
      </w:tr>
      <w:tr w:rsidR="00053D93" w14:paraId="46142FE9" w14:textId="77777777">
        <w:trPr>
          <w:trHeight w:val="817"/>
        </w:trPr>
        <w:tc>
          <w:tcPr>
            <w:tcW w:w="490" w:type="dxa"/>
            <w:tcBorders>
              <w:top w:val="nil"/>
              <w:left w:val="nil"/>
              <w:bottom w:val="nil"/>
              <w:right w:val="nil"/>
            </w:tcBorders>
          </w:tcPr>
          <w:p w14:paraId="76DBECFE" w14:textId="77777777" w:rsidR="00053D93" w:rsidRDefault="00260B75">
            <w:pPr>
              <w:ind w:left="7"/>
            </w:pPr>
            <w:r>
              <w:rPr>
                <w:noProof/>
              </w:rPr>
              <w:drawing>
                <wp:inline distT="0" distB="0" distL="0" distR="0" wp14:anchorId="6CB5882D" wp14:editId="0B360968">
                  <wp:extent cx="132588" cy="361188"/>
                  <wp:effectExtent l="0" t="0" r="0" b="0"/>
                  <wp:docPr id="176573" name="Picture 176573"/>
                  <wp:cNvGraphicFramePr/>
                  <a:graphic xmlns:a="http://schemas.openxmlformats.org/drawingml/2006/main">
                    <a:graphicData uri="http://schemas.openxmlformats.org/drawingml/2006/picture">
                      <pic:pic xmlns:pic="http://schemas.openxmlformats.org/drawingml/2006/picture">
                        <pic:nvPicPr>
                          <pic:cNvPr id="176573" name="Picture 176573"/>
                          <pic:cNvPicPr/>
                        </pic:nvPicPr>
                        <pic:blipFill>
                          <a:blip r:embed="rId243"/>
                          <a:stretch>
                            <a:fillRect/>
                          </a:stretch>
                        </pic:blipFill>
                        <pic:spPr>
                          <a:xfrm>
                            <a:off x="0" y="0"/>
                            <a:ext cx="132588" cy="361188"/>
                          </a:xfrm>
                          <a:prstGeom prst="rect">
                            <a:avLst/>
                          </a:prstGeom>
                        </pic:spPr>
                      </pic:pic>
                    </a:graphicData>
                  </a:graphic>
                </wp:inline>
              </w:drawing>
            </w:r>
          </w:p>
        </w:tc>
        <w:tc>
          <w:tcPr>
            <w:tcW w:w="0" w:type="auto"/>
            <w:vMerge/>
            <w:tcBorders>
              <w:top w:val="nil"/>
              <w:left w:val="nil"/>
              <w:bottom w:val="nil"/>
              <w:right w:val="nil"/>
            </w:tcBorders>
          </w:tcPr>
          <w:p w14:paraId="6E1FB864" w14:textId="77777777" w:rsidR="00053D93" w:rsidRDefault="00053D93"/>
        </w:tc>
        <w:tc>
          <w:tcPr>
            <w:tcW w:w="0" w:type="auto"/>
            <w:vMerge/>
            <w:tcBorders>
              <w:top w:val="nil"/>
              <w:left w:val="nil"/>
              <w:bottom w:val="nil"/>
              <w:right w:val="nil"/>
            </w:tcBorders>
          </w:tcPr>
          <w:p w14:paraId="51F1D8BA" w14:textId="77777777" w:rsidR="00053D93" w:rsidRDefault="00053D93"/>
        </w:tc>
      </w:tr>
      <w:tr w:rsidR="00053D93" w14:paraId="2BC1110B" w14:textId="77777777">
        <w:trPr>
          <w:trHeight w:val="828"/>
        </w:trPr>
        <w:tc>
          <w:tcPr>
            <w:tcW w:w="490" w:type="dxa"/>
            <w:tcBorders>
              <w:top w:val="nil"/>
              <w:left w:val="nil"/>
              <w:bottom w:val="nil"/>
              <w:right w:val="nil"/>
            </w:tcBorders>
          </w:tcPr>
          <w:p w14:paraId="0F7EDD68" w14:textId="77777777" w:rsidR="00053D93" w:rsidRDefault="00260B75">
            <w:pPr>
              <w:ind w:left="14"/>
            </w:pPr>
            <w:r>
              <w:rPr>
                <w:noProof/>
              </w:rPr>
              <w:drawing>
                <wp:inline distT="0" distB="0" distL="0" distR="0" wp14:anchorId="3313935A" wp14:editId="1108C2DC">
                  <wp:extent cx="132588" cy="379476"/>
                  <wp:effectExtent l="0" t="0" r="0" b="0"/>
                  <wp:docPr id="176574" name="Picture 176574"/>
                  <wp:cNvGraphicFramePr/>
                  <a:graphic xmlns:a="http://schemas.openxmlformats.org/drawingml/2006/main">
                    <a:graphicData uri="http://schemas.openxmlformats.org/drawingml/2006/picture">
                      <pic:pic xmlns:pic="http://schemas.openxmlformats.org/drawingml/2006/picture">
                        <pic:nvPicPr>
                          <pic:cNvPr id="176574" name="Picture 176574"/>
                          <pic:cNvPicPr/>
                        </pic:nvPicPr>
                        <pic:blipFill>
                          <a:blip r:embed="rId244"/>
                          <a:stretch>
                            <a:fillRect/>
                          </a:stretch>
                        </pic:blipFill>
                        <pic:spPr>
                          <a:xfrm>
                            <a:off x="0" y="0"/>
                            <a:ext cx="132588" cy="379476"/>
                          </a:xfrm>
                          <a:prstGeom prst="rect">
                            <a:avLst/>
                          </a:prstGeom>
                        </pic:spPr>
                      </pic:pic>
                    </a:graphicData>
                  </a:graphic>
                </wp:inline>
              </w:drawing>
            </w:r>
          </w:p>
        </w:tc>
        <w:tc>
          <w:tcPr>
            <w:tcW w:w="0" w:type="auto"/>
            <w:vMerge/>
            <w:tcBorders>
              <w:top w:val="nil"/>
              <w:left w:val="nil"/>
              <w:bottom w:val="nil"/>
              <w:right w:val="nil"/>
            </w:tcBorders>
          </w:tcPr>
          <w:p w14:paraId="11009781" w14:textId="77777777" w:rsidR="00053D93" w:rsidRDefault="00053D93"/>
        </w:tc>
        <w:tc>
          <w:tcPr>
            <w:tcW w:w="0" w:type="auto"/>
            <w:vMerge/>
            <w:tcBorders>
              <w:top w:val="nil"/>
              <w:left w:val="nil"/>
              <w:bottom w:val="nil"/>
              <w:right w:val="nil"/>
            </w:tcBorders>
          </w:tcPr>
          <w:p w14:paraId="5EC0F698" w14:textId="77777777" w:rsidR="00053D93" w:rsidRDefault="00053D93"/>
        </w:tc>
      </w:tr>
      <w:tr w:rsidR="00053D93" w14:paraId="07AD7B82" w14:textId="77777777">
        <w:trPr>
          <w:trHeight w:val="1598"/>
        </w:trPr>
        <w:tc>
          <w:tcPr>
            <w:tcW w:w="490" w:type="dxa"/>
            <w:tcBorders>
              <w:top w:val="nil"/>
              <w:left w:val="nil"/>
              <w:bottom w:val="nil"/>
              <w:right w:val="nil"/>
            </w:tcBorders>
          </w:tcPr>
          <w:p w14:paraId="28B79516" w14:textId="77777777" w:rsidR="00053D93" w:rsidRDefault="00260B75">
            <w:pPr>
              <w:ind w:left="14"/>
            </w:pPr>
            <w:r>
              <w:rPr>
                <w:noProof/>
              </w:rPr>
              <w:drawing>
                <wp:inline distT="0" distB="0" distL="0" distR="0" wp14:anchorId="18281943" wp14:editId="555DE0AD">
                  <wp:extent cx="137160" cy="356616"/>
                  <wp:effectExtent l="0" t="0" r="0" b="0"/>
                  <wp:docPr id="176575" name="Picture 176575"/>
                  <wp:cNvGraphicFramePr/>
                  <a:graphic xmlns:a="http://schemas.openxmlformats.org/drawingml/2006/main">
                    <a:graphicData uri="http://schemas.openxmlformats.org/drawingml/2006/picture">
                      <pic:pic xmlns:pic="http://schemas.openxmlformats.org/drawingml/2006/picture">
                        <pic:nvPicPr>
                          <pic:cNvPr id="176575" name="Picture 176575"/>
                          <pic:cNvPicPr/>
                        </pic:nvPicPr>
                        <pic:blipFill>
                          <a:blip r:embed="rId245"/>
                          <a:stretch>
                            <a:fillRect/>
                          </a:stretch>
                        </pic:blipFill>
                        <pic:spPr>
                          <a:xfrm>
                            <a:off x="0" y="0"/>
                            <a:ext cx="137160" cy="356616"/>
                          </a:xfrm>
                          <a:prstGeom prst="rect">
                            <a:avLst/>
                          </a:prstGeom>
                        </pic:spPr>
                      </pic:pic>
                    </a:graphicData>
                  </a:graphic>
                </wp:inline>
              </w:drawing>
            </w:r>
          </w:p>
        </w:tc>
        <w:tc>
          <w:tcPr>
            <w:tcW w:w="0" w:type="auto"/>
            <w:vMerge/>
            <w:tcBorders>
              <w:top w:val="nil"/>
              <w:left w:val="nil"/>
              <w:bottom w:val="nil"/>
              <w:right w:val="nil"/>
            </w:tcBorders>
          </w:tcPr>
          <w:p w14:paraId="25DF286A" w14:textId="77777777" w:rsidR="00053D93" w:rsidRDefault="00053D93"/>
        </w:tc>
        <w:tc>
          <w:tcPr>
            <w:tcW w:w="0" w:type="auto"/>
            <w:vMerge/>
            <w:tcBorders>
              <w:top w:val="nil"/>
              <w:left w:val="nil"/>
              <w:bottom w:val="nil"/>
              <w:right w:val="nil"/>
            </w:tcBorders>
          </w:tcPr>
          <w:p w14:paraId="7D1E1F8E" w14:textId="77777777" w:rsidR="00053D93" w:rsidRDefault="00053D93"/>
        </w:tc>
      </w:tr>
      <w:tr w:rsidR="00053D93" w14:paraId="213A948B" w14:textId="77777777">
        <w:trPr>
          <w:trHeight w:val="1616"/>
        </w:trPr>
        <w:tc>
          <w:tcPr>
            <w:tcW w:w="490" w:type="dxa"/>
            <w:tcBorders>
              <w:top w:val="nil"/>
              <w:left w:val="nil"/>
              <w:bottom w:val="nil"/>
              <w:right w:val="nil"/>
            </w:tcBorders>
            <w:vAlign w:val="bottom"/>
          </w:tcPr>
          <w:p w14:paraId="2567D384" w14:textId="77777777" w:rsidR="00053D93" w:rsidRDefault="00260B75">
            <w:pPr>
              <w:ind w:left="22"/>
            </w:pPr>
            <w:r>
              <w:rPr>
                <w:noProof/>
              </w:rPr>
              <w:drawing>
                <wp:inline distT="0" distB="0" distL="0" distR="0" wp14:anchorId="0D8135AD" wp14:editId="30F4E5BF">
                  <wp:extent cx="123444" cy="347472"/>
                  <wp:effectExtent l="0" t="0" r="0" b="0"/>
                  <wp:docPr id="176576" name="Picture 176576"/>
                  <wp:cNvGraphicFramePr/>
                  <a:graphic xmlns:a="http://schemas.openxmlformats.org/drawingml/2006/main">
                    <a:graphicData uri="http://schemas.openxmlformats.org/drawingml/2006/picture">
                      <pic:pic xmlns:pic="http://schemas.openxmlformats.org/drawingml/2006/picture">
                        <pic:nvPicPr>
                          <pic:cNvPr id="176576" name="Picture 176576"/>
                          <pic:cNvPicPr/>
                        </pic:nvPicPr>
                        <pic:blipFill>
                          <a:blip r:embed="rId246"/>
                          <a:stretch>
                            <a:fillRect/>
                          </a:stretch>
                        </pic:blipFill>
                        <pic:spPr>
                          <a:xfrm>
                            <a:off x="0" y="0"/>
                            <a:ext cx="123444" cy="347472"/>
                          </a:xfrm>
                          <a:prstGeom prst="rect">
                            <a:avLst/>
                          </a:prstGeom>
                        </pic:spPr>
                      </pic:pic>
                    </a:graphicData>
                  </a:graphic>
                </wp:inline>
              </w:drawing>
            </w:r>
          </w:p>
        </w:tc>
        <w:tc>
          <w:tcPr>
            <w:tcW w:w="0" w:type="auto"/>
            <w:vMerge/>
            <w:tcBorders>
              <w:top w:val="nil"/>
              <w:left w:val="nil"/>
              <w:bottom w:val="nil"/>
              <w:right w:val="nil"/>
            </w:tcBorders>
          </w:tcPr>
          <w:p w14:paraId="1B2A25A7" w14:textId="77777777" w:rsidR="00053D93" w:rsidRDefault="00053D93"/>
        </w:tc>
        <w:tc>
          <w:tcPr>
            <w:tcW w:w="0" w:type="auto"/>
            <w:vMerge/>
            <w:tcBorders>
              <w:top w:val="nil"/>
              <w:left w:val="nil"/>
              <w:bottom w:val="nil"/>
              <w:right w:val="nil"/>
            </w:tcBorders>
          </w:tcPr>
          <w:p w14:paraId="3AF34213" w14:textId="77777777" w:rsidR="00053D93" w:rsidRDefault="00053D93"/>
        </w:tc>
      </w:tr>
      <w:tr w:rsidR="00053D93" w14:paraId="468C0BA1" w14:textId="77777777">
        <w:trPr>
          <w:trHeight w:val="821"/>
        </w:trPr>
        <w:tc>
          <w:tcPr>
            <w:tcW w:w="490" w:type="dxa"/>
            <w:tcBorders>
              <w:top w:val="nil"/>
              <w:left w:val="nil"/>
              <w:bottom w:val="nil"/>
              <w:right w:val="nil"/>
            </w:tcBorders>
          </w:tcPr>
          <w:p w14:paraId="5F615077" w14:textId="77777777" w:rsidR="00053D93" w:rsidRDefault="00260B75">
            <w:pPr>
              <w:ind w:left="22"/>
            </w:pPr>
            <w:r>
              <w:rPr>
                <w:noProof/>
              </w:rPr>
              <w:drawing>
                <wp:inline distT="0" distB="0" distL="0" distR="0" wp14:anchorId="3E1E9732" wp14:editId="369B2598">
                  <wp:extent cx="141732" cy="352044"/>
                  <wp:effectExtent l="0" t="0" r="0" b="0"/>
                  <wp:docPr id="176577" name="Picture 176577"/>
                  <wp:cNvGraphicFramePr/>
                  <a:graphic xmlns:a="http://schemas.openxmlformats.org/drawingml/2006/main">
                    <a:graphicData uri="http://schemas.openxmlformats.org/drawingml/2006/picture">
                      <pic:pic xmlns:pic="http://schemas.openxmlformats.org/drawingml/2006/picture">
                        <pic:nvPicPr>
                          <pic:cNvPr id="176577" name="Picture 176577"/>
                          <pic:cNvPicPr/>
                        </pic:nvPicPr>
                        <pic:blipFill>
                          <a:blip r:embed="rId247"/>
                          <a:stretch>
                            <a:fillRect/>
                          </a:stretch>
                        </pic:blipFill>
                        <pic:spPr>
                          <a:xfrm>
                            <a:off x="0" y="0"/>
                            <a:ext cx="141732" cy="352044"/>
                          </a:xfrm>
                          <a:prstGeom prst="rect">
                            <a:avLst/>
                          </a:prstGeom>
                        </pic:spPr>
                      </pic:pic>
                    </a:graphicData>
                  </a:graphic>
                </wp:inline>
              </w:drawing>
            </w:r>
          </w:p>
        </w:tc>
        <w:tc>
          <w:tcPr>
            <w:tcW w:w="0" w:type="auto"/>
            <w:vMerge/>
            <w:tcBorders>
              <w:top w:val="nil"/>
              <w:left w:val="nil"/>
              <w:bottom w:val="nil"/>
              <w:right w:val="nil"/>
            </w:tcBorders>
          </w:tcPr>
          <w:p w14:paraId="3358D95F" w14:textId="77777777" w:rsidR="00053D93" w:rsidRDefault="00053D93"/>
        </w:tc>
        <w:tc>
          <w:tcPr>
            <w:tcW w:w="0" w:type="auto"/>
            <w:vMerge/>
            <w:tcBorders>
              <w:top w:val="nil"/>
              <w:left w:val="nil"/>
              <w:bottom w:val="nil"/>
              <w:right w:val="nil"/>
            </w:tcBorders>
          </w:tcPr>
          <w:p w14:paraId="7297D9D1" w14:textId="77777777" w:rsidR="00053D93" w:rsidRDefault="00053D93"/>
        </w:tc>
      </w:tr>
      <w:tr w:rsidR="00053D93" w14:paraId="2889C74B" w14:textId="77777777">
        <w:trPr>
          <w:trHeight w:val="810"/>
        </w:trPr>
        <w:tc>
          <w:tcPr>
            <w:tcW w:w="490" w:type="dxa"/>
            <w:tcBorders>
              <w:top w:val="nil"/>
              <w:left w:val="nil"/>
              <w:bottom w:val="nil"/>
              <w:right w:val="nil"/>
            </w:tcBorders>
          </w:tcPr>
          <w:p w14:paraId="05A6FE20" w14:textId="77777777" w:rsidR="00053D93" w:rsidRDefault="00260B75">
            <w:pPr>
              <w:ind w:left="22"/>
            </w:pPr>
            <w:r>
              <w:rPr>
                <w:noProof/>
              </w:rPr>
              <w:lastRenderedPageBreak/>
              <w:drawing>
                <wp:inline distT="0" distB="0" distL="0" distR="0" wp14:anchorId="78FDF62E" wp14:editId="41DA4B3B">
                  <wp:extent cx="141732" cy="352044"/>
                  <wp:effectExtent l="0" t="0" r="0" b="0"/>
                  <wp:docPr id="176578" name="Picture 176578"/>
                  <wp:cNvGraphicFramePr/>
                  <a:graphic xmlns:a="http://schemas.openxmlformats.org/drawingml/2006/main">
                    <a:graphicData uri="http://schemas.openxmlformats.org/drawingml/2006/picture">
                      <pic:pic xmlns:pic="http://schemas.openxmlformats.org/drawingml/2006/picture">
                        <pic:nvPicPr>
                          <pic:cNvPr id="176578" name="Picture 176578"/>
                          <pic:cNvPicPr/>
                        </pic:nvPicPr>
                        <pic:blipFill>
                          <a:blip r:embed="rId248"/>
                          <a:stretch>
                            <a:fillRect/>
                          </a:stretch>
                        </pic:blipFill>
                        <pic:spPr>
                          <a:xfrm>
                            <a:off x="0" y="0"/>
                            <a:ext cx="141732" cy="352044"/>
                          </a:xfrm>
                          <a:prstGeom prst="rect">
                            <a:avLst/>
                          </a:prstGeom>
                        </pic:spPr>
                      </pic:pic>
                    </a:graphicData>
                  </a:graphic>
                </wp:inline>
              </w:drawing>
            </w:r>
          </w:p>
        </w:tc>
        <w:tc>
          <w:tcPr>
            <w:tcW w:w="0" w:type="auto"/>
            <w:vMerge/>
            <w:tcBorders>
              <w:top w:val="nil"/>
              <w:left w:val="nil"/>
              <w:bottom w:val="nil"/>
              <w:right w:val="nil"/>
            </w:tcBorders>
          </w:tcPr>
          <w:p w14:paraId="726FD4E8" w14:textId="77777777" w:rsidR="00053D93" w:rsidRDefault="00053D93"/>
        </w:tc>
        <w:tc>
          <w:tcPr>
            <w:tcW w:w="0" w:type="auto"/>
            <w:vMerge/>
            <w:tcBorders>
              <w:top w:val="nil"/>
              <w:left w:val="nil"/>
              <w:bottom w:val="nil"/>
              <w:right w:val="nil"/>
            </w:tcBorders>
          </w:tcPr>
          <w:p w14:paraId="4747CCD4" w14:textId="77777777" w:rsidR="00053D93" w:rsidRDefault="00053D93"/>
        </w:tc>
      </w:tr>
      <w:tr w:rsidR="00053D93" w14:paraId="401F9FBF" w14:textId="77777777">
        <w:trPr>
          <w:trHeight w:val="821"/>
        </w:trPr>
        <w:tc>
          <w:tcPr>
            <w:tcW w:w="490" w:type="dxa"/>
            <w:tcBorders>
              <w:top w:val="nil"/>
              <w:left w:val="nil"/>
              <w:bottom w:val="nil"/>
              <w:right w:val="nil"/>
            </w:tcBorders>
          </w:tcPr>
          <w:p w14:paraId="48AF5FC3" w14:textId="77777777" w:rsidR="00053D93" w:rsidRDefault="00260B75">
            <w:pPr>
              <w:ind w:left="22"/>
            </w:pPr>
            <w:r>
              <w:rPr>
                <w:noProof/>
              </w:rPr>
              <w:drawing>
                <wp:inline distT="0" distB="0" distL="0" distR="0" wp14:anchorId="6E84EE79" wp14:editId="7CBD8234">
                  <wp:extent cx="141732" cy="356616"/>
                  <wp:effectExtent l="0" t="0" r="0" b="0"/>
                  <wp:docPr id="176579" name="Picture 176579"/>
                  <wp:cNvGraphicFramePr/>
                  <a:graphic xmlns:a="http://schemas.openxmlformats.org/drawingml/2006/main">
                    <a:graphicData uri="http://schemas.openxmlformats.org/drawingml/2006/picture">
                      <pic:pic xmlns:pic="http://schemas.openxmlformats.org/drawingml/2006/picture">
                        <pic:nvPicPr>
                          <pic:cNvPr id="176579" name="Picture 176579"/>
                          <pic:cNvPicPr/>
                        </pic:nvPicPr>
                        <pic:blipFill>
                          <a:blip r:embed="rId249"/>
                          <a:stretch>
                            <a:fillRect/>
                          </a:stretch>
                        </pic:blipFill>
                        <pic:spPr>
                          <a:xfrm>
                            <a:off x="0" y="0"/>
                            <a:ext cx="141732" cy="356616"/>
                          </a:xfrm>
                          <a:prstGeom prst="rect">
                            <a:avLst/>
                          </a:prstGeom>
                        </pic:spPr>
                      </pic:pic>
                    </a:graphicData>
                  </a:graphic>
                </wp:inline>
              </w:drawing>
            </w:r>
          </w:p>
        </w:tc>
        <w:tc>
          <w:tcPr>
            <w:tcW w:w="0" w:type="auto"/>
            <w:vMerge/>
            <w:tcBorders>
              <w:top w:val="nil"/>
              <w:left w:val="nil"/>
              <w:bottom w:val="nil"/>
              <w:right w:val="nil"/>
            </w:tcBorders>
          </w:tcPr>
          <w:p w14:paraId="0AF99BAD" w14:textId="77777777" w:rsidR="00053D93" w:rsidRDefault="00053D93"/>
        </w:tc>
        <w:tc>
          <w:tcPr>
            <w:tcW w:w="0" w:type="auto"/>
            <w:vMerge/>
            <w:tcBorders>
              <w:top w:val="nil"/>
              <w:left w:val="nil"/>
              <w:bottom w:val="nil"/>
              <w:right w:val="nil"/>
            </w:tcBorders>
          </w:tcPr>
          <w:p w14:paraId="24D5FB8A" w14:textId="77777777" w:rsidR="00053D93" w:rsidRDefault="00053D93"/>
        </w:tc>
      </w:tr>
      <w:tr w:rsidR="00053D93" w14:paraId="69B212BE" w14:textId="77777777">
        <w:trPr>
          <w:trHeight w:val="4975"/>
        </w:trPr>
        <w:tc>
          <w:tcPr>
            <w:tcW w:w="490" w:type="dxa"/>
            <w:tcBorders>
              <w:top w:val="nil"/>
              <w:left w:val="nil"/>
              <w:bottom w:val="nil"/>
              <w:right w:val="nil"/>
            </w:tcBorders>
          </w:tcPr>
          <w:p w14:paraId="18402839" w14:textId="77777777" w:rsidR="00053D93" w:rsidRDefault="00260B75">
            <w:pPr>
              <w:ind w:left="22"/>
            </w:pPr>
            <w:r>
              <w:rPr>
                <w:noProof/>
              </w:rPr>
              <w:drawing>
                <wp:inline distT="0" distB="0" distL="0" distR="0" wp14:anchorId="0D38F49D" wp14:editId="5D0CD7EA">
                  <wp:extent cx="141732" cy="347472"/>
                  <wp:effectExtent l="0" t="0" r="0" b="0"/>
                  <wp:docPr id="176580" name="Picture 176580"/>
                  <wp:cNvGraphicFramePr/>
                  <a:graphic xmlns:a="http://schemas.openxmlformats.org/drawingml/2006/main">
                    <a:graphicData uri="http://schemas.openxmlformats.org/drawingml/2006/picture">
                      <pic:pic xmlns:pic="http://schemas.openxmlformats.org/drawingml/2006/picture">
                        <pic:nvPicPr>
                          <pic:cNvPr id="176580" name="Picture 176580"/>
                          <pic:cNvPicPr/>
                        </pic:nvPicPr>
                        <pic:blipFill>
                          <a:blip r:embed="rId250"/>
                          <a:stretch>
                            <a:fillRect/>
                          </a:stretch>
                        </pic:blipFill>
                        <pic:spPr>
                          <a:xfrm>
                            <a:off x="0" y="0"/>
                            <a:ext cx="141732" cy="347472"/>
                          </a:xfrm>
                          <a:prstGeom prst="rect">
                            <a:avLst/>
                          </a:prstGeom>
                        </pic:spPr>
                      </pic:pic>
                    </a:graphicData>
                  </a:graphic>
                </wp:inline>
              </w:drawing>
            </w:r>
          </w:p>
        </w:tc>
        <w:tc>
          <w:tcPr>
            <w:tcW w:w="0" w:type="auto"/>
            <w:vMerge/>
            <w:tcBorders>
              <w:top w:val="nil"/>
              <w:left w:val="nil"/>
              <w:bottom w:val="nil"/>
              <w:right w:val="nil"/>
            </w:tcBorders>
          </w:tcPr>
          <w:p w14:paraId="7053D145" w14:textId="77777777" w:rsidR="00053D93" w:rsidRDefault="00053D93"/>
        </w:tc>
        <w:tc>
          <w:tcPr>
            <w:tcW w:w="0" w:type="auto"/>
            <w:vMerge/>
            <w:tcBorders>
              <w:top w:val="nil"/>
              <w:left w:val="nil"/>
              <w:bottom w:val="nil"/>
              <w:right w:val="nil"/>
            </w:tcBorders>
          </w:tcPr>
          <w:p w14:paraId="5A90379B" w14:textId="77777777" w:rsidR="00053D93" w:rsidRDefault="00053D93"/>
        </w:tc>
      </w:tr>
    </w:tbl>
    <w:p w14:paraId="6F85F044" w14:textId="77777777" w:rsidR="00053D93" w:rsidRDefault="00053D93">
      <w:pPr>
        <w:sectPr w:rsidR="00053D93">
          <w:headerReference w:type="even" r:id="rId251"/>
          <w:headerReference w:type="default" r:id="rId252"/>
          <w:footerReference w:type="even" r:id="rId253"/>
          <w:footerReference w:type="default" r:id="rId254"/>
          <w:headerReference w:type="first" r:id="rId255"/>
          <w:footerReference w:type="first" r:id="rId256"/>
          <w:pgSz w:w="12290" w:h="15912"/>
          <w:pgMar w:top="403" w:right="1822" w:bottom="252" w:left="338" w:header="598" w:footer="720" w:gutter="0"/>
          <w:cols w:space="720"/>
          <w:titlePg/>
        </w:sectPr>
      </w:pPr>
    </w:p>
    <w:p w14:paraId="005F5A77" w14:textId="77777777" w:rsidR="00053D93" w:rsidRDefault="00260B75">
      <w:pPr>
        <w:spacing w:after="186" w:line="265" w:lineRule="auto"/>
        <w:ind w:left="1443" w:hanging="10"/>
      </w:pPr>
      <w:r>
        <w:rPr>
          <w:noProof/>
        </w:rPr>
        <w:lastRenderedPageBreak/>
        <w:drawing>
          <wp:anchor distT="0" distB="0" distL="114300" distR="114300" simplePos="0" relativeHeight="251789312" behindDoc="0" locked="0" layoutInCell="1" allowOverlap="0" wp14:anchorId="50C424A4" wp14:editId="0FBE925B">
            <wp:simplePos x="0" y="0"/>
            <wp:positionH relativeFrom="page">
              <wp:posOffset>219456</wp:posOffset>
            </wp:positionH>
            <wp:positionV relativeFrom="page">
              <wp:posOffset>1353312</wp:posOffset>
            </wp:positionV>
            <wp:extent cx="141732" cy="356616"/>
            <wp:effectExtent l="0" t="0" r="0" b="0"/>
            <wp:wrapTopAndBottom/>
            <wp:docPr id="182742" name="Picture 182742"/>
            <wp:cNvGraphicFramePr/>
            <a:graphic xmlns:a="http://schemas.openxmlformats.org/drawingml/2006/main">
              <a:graphicData uri="http://schemas.openxmlformats.org/drawingml/2006/picture">
                <pic:pic xmlns:pic="http://schemas.openxmlformats.org/drawingml/2006/picture">
                  <pic:nvPicPr>
                    <pic:cNvPr id="182742" name="Picture 182742"/>
                    <pic:cNvPicPr/>
                  </pic:nvPicPr>
                  <pic:blipFill>
                    <a:blip r:embed="rId257"/>
                    <a:stretch>
                      <a:fillRect/>
                    </a:stretch>
                  </pic:blipFill>
                  <pic:spPr>
                    <a:xfrm>
                      <a:off x="0" y="0"/>
                      <a:ext cx="141732" cy="356616"/>
                    </a:xfrm>
                    <a:prstGeom prst="rect">
                      <a:avLst/>
                    </a:prstGeom>
                  </pic:spPr>
                </pic:pic>
              </a:graphicData>
            </a:graphic>
          </wp:anchor>
        </w:drawing>
      </w:r>
      <w:r>
        <w:rPr>
          <w:noProof/>
        </w:rPr>
        <w:drawing>
          <wp:anchor distT="0" distB="0" distL="114300" distR="114300" simplePos="0" relativeHeight="251790336" behindDoc="0" locked="0" layoutInCell="1" allowOverlap="0" wp14:anchorId="1D015A51" wp14:editId="57F2A42D">
            <wp:simplePos x="0" y="0"/>
            <wp:positionH relativeFrom="page">
              <wp:posOffset>667512</wp:posOffset>
            </wp:positionH>
            <wp:positionV relativeFrom="page">
              <wp:posOffset>9185148</wp:posOffset>
            </wp:positionV>
            <wp:extent cx="553212" cy="406909"/>
            <wp:effectExtent l="0" t="0" r="0" b="0"/>
            <wp:wrapTopAndBottom/>
            <wp:docPr id="182743" name="Picture 182743"/>
            <wp:cNvGraphicFramePr/>
            <a:graphic xmlns:a="http://schemas.openxmlformats.org/drawingml/2006/main">
              <a:graphicData uri="http://schemas.openxmlformats.org/drawingml/2006/picture">
                <pic:pic xmlns:pic="http://schemas.openxmlformats.org/drawingml/2006/picture">
                  <pic:nvPicPr>
                    <pic:cNvPr id="182743" name="Picture 182743"/>
                    <pic:cNvPicPr/>
                  </pic:nvPicPr>
                  <pic:blipFill>
                    <a:blip r:embed="rId258"/>
                    <a:stretch>
                      <a:fillRect/>
                    </a:stretch>
                  </pic:blipFill>
                  <pic:spPr>
                    <a:xfrm>
                      <a:off x="0" y="0"/>
                      <a:ext cx="553212" cy="406909"/>
                    </a:xfrm>
                    <a:prstGeom prst="rect">
                      <a:avLst/>
                    </a:prstGeom>
                  </pic:spPr>
                </pic:pic>
              </a:graphicData>
            </a:graphic>
          </wp:anchor>
        </w:drawing>
      </w:r>
      <w:r>
        <w:rPr>
          <w:sz w:val="14"/>
        </w:rPr>
        <w:t xml:space="preserve">OE </w:t>
      </w:r>
    </w:p>
    <w:tbl>
      <w:tblPr>
        <w:tblStyle w:val="TableGrid"/>
        <w:tblW w:w="8555" w:type="dxa"/>
        <w:tblInd w:w="-83" w:type="dxa"/>
        <w:tblCellMar>
          <w:top w:w="28" w:type="dxa"/>
        </w:tblCellMar>
        <w:tblLook w:val="04A0" w:firstRow="1" w:lastRow="0" w:firstColumn="1" w:lastColumn="0" w:noHBand="0" w:noVBand="1"/>
      </w:tblPr>
      <w:tblGrid>
        <w:gridCol w:w="311"/>
        <w:gridCol w:w="303"/>
        <w:gridCol w:w="254"/>
        <w:gridCol w:w="871"/>
        <w:gridCol w:w="914"/>
        <w:gridCol w:w="1061"/>
        <w:gridCol w:w="972"/>
        <w:gridCol w:w="144"/>
        <w:gridCol w:w="2285"/>
        <w:gridCol w:w="1440"/>
      </w:tblGrid>
      <w:tr w:rsidR="00053D93" w14:paraId="3A929CD5" w14:textId="77777777">
        <w:trPr>
          <w:trHeight w:val="742"/>
        </w:trPr>
        <w:tc>
          <w:tcPr>
            <w:tcW w:w="610" w:type="dxa"/>
            <w:gridSpan w:val="2"/>
            <w:tcBorders>
              <w:top w:val="single" w:sz="2" w:space="0" w:color="000000"/>
              <w:left w:val="single" w:sz="2" w:space="0" w:color="000000"/>
              <w:bottom w:val="single" w:sz="2" w:space="0" w:color="000000"/>
              <w:right w:val="single" w:sz="2" w:space="0" w:color="000000"/>
            </w:tcBorders>
            <w:vAlign w:val="bottom"/>
          </w:tcPr>
          <w:p w14:paraId="651E4126" w14:textId="77777777" w:rsidR="00053D93" w:rsidRDefault="00260B75">
            <w:pPr>
              <w:ind w:left="198"/>
            </w:pPr>
            <w:r>
              <w:rPr>
                <w:rFonts w:ascii="Times New Roman" w:eastAsia="Times New Roman" w:hAnsi="Times New Roman" w:cs="Times New Roman"/>
                <w:sz w:val="16"/>
              </w:rPr>
              <w:t>25</w:t>
            </w:r>
          </w:p>
        </w:tc>
        <w:tc>
          <w:tcPr>
            <w:tcW w:w="1126" w:type="dxa"/>
            <w:gridSpan w:val="2"/>
            <w:tcBorders>
              <w:top w:val="single" w:sz="2" w:space="0" w:color="000000"/>
              <w:left w:val="single" w:sz="2" w:space="0" w:color="000000"/>
              <w:bottom w:val="single" w:sz="2" w:space="0" w:color="000000"/>
              <w:right w:val="single" w:sz="2" w:space="0" w:color="000000"/>
            </w:tcBorders>
            <w:vAlign w:val="bottom"/>
          </w:tcPr>
          <w:p w14:paraId="54B6384E" w14:textId="77777777" w:rsidR="00053D93" w:rsidRDefault="00260B75">
            <w:pPr>
              <w:ind w:left="92"/>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6D9AE6F8" w14:textId="77777777" w:rsidR="00053D93" w:rsidRDefault="00260B75">
            <w:pPr>
              <w:ind w:left="89"/>
            </w:pPr>
            <w:r>
              <w:rPr>
                <w:rFonts w:ascii="Times New Roman" w:eastAsia="Times New Roman" w:hAnsi="Times New Roman" w:cs="Times New Roman"/>
                <w:sz w:val="16"/>
              </w:rPr>
              <w:t>30/08/2024</w:t>
            </w:r>
          </w:p>
        </w:tc>
        <w:tc>
          <w:tcPr>
            <w:tcW w:w="1061" w:type="dxa"/>
            <w:tcBorders>
              <w:top w:val="single" w:sz="2" w:space="0" w:color="000000"/>
              <w:left w:val="single" w:sz="2" w:space="0" w:color="000000"/>
              <w:bottom w:val="single" w:sz="2" w:space="0" w:color="000000"/>
              <w:right w:val="nil"/>
            </w:tcBorders>
          </w:tcPr>
          <w:p w14:paraId="6A9BA1BE" w14:textId="77777777" w:rsidR="00053D93" w:rsidRDefault="00260B75">
            <w:pPr>
              <w:ind w:left="89"/>
            </w:pPr>
            <w:r>
              <w:rPr>
                <w:sz w:val="20"/>
              </w:rPr>
              <w:t>Fundación</w:t>
            </w:r>
          </w:p>
          <w:p w14:paraId="6F98D45B" w14:textId="77777777" w:rsidR="00053D93" w:rsidRDefault="00260B75">
            <w:pPr>
              <w:ind w:left="89"/>
            </w:pPr>
            <w:r>
              <w:rPr>
                <w:sz w:val="18"/>
              </w:rPr>
              <w:t>Guatemala.</w:t>
            </w:r>
          </w:p>
          <w:p w14:paraId="55179B32" w14:textId="77777777" w:rsidR="00053D93" w:rsidRDefault="00260B75">
            <w:pPr>
              <w:ind w:left="82"/>
            </w:pPr>
            <w:r>
              <w:rPr>
                <w:sz w:val="16"/>
              </w:rPr>
              <w:t>Anónima</w:t>
            </w:r>
          </w:p>
        </w:tc>
        <w:tc>
          <w:tcPr>
            <w:tcW w:w="1116" w:type="dxa"/>
            <w:gridSpan w:val="2"/>
            <w:tcBorders>
              <w:top w:val="single" w:sz="2" w:space="0" w:color="000000"/>
              <w:left w:val="nil"/>
              <w:bottom w:val="single" w:sz="2" w:space="0" w:color="000000"/>
              <w:right w:val="single" w:sz="2" w:space="0" w:color="000000"/>
            </w:tcBorders>
          </w:tcPr>
          <w:p w14:paraId="05A9BBFD" w14:textId="77777777" w:rsidR="00053D93" w:rsidRDefault="00260B75">
            <w:pPr>
              <w:ind w:right="86"/>
              <w:jc w:val="right"/>
            </w:pPr>
            <w:r>
              <w:rPr>
                <w:sz w:val="20"/>
              </w:rPr>
              <w:t>Azteca</w:t>
            </w:r>
          </w:p>
          <w:p w14:paraId="5B9D7ED3" w14:textId="77777777" w:rsidR="00053D93" w:rsidRDefault="00260B75">
            <w:pPr>
              <w:ind w:left="367"/>
            </w:pPr>
            <w:r>
              <w:rPr>
                <w:sz w:val="20"/>
              </w:rPr>
              <w:t>Sociedad</w:t>
            </w:r>
          </w:p>
        </w:tc>
        <w:tc>
          <w:tcPr>
            <w:tcW w:w="2287" w:type="dxa"/>
            <w:tcBorders>
              <w:top w:val="single" w:sz="2" w:space="0" w:color="000000"/>
              <w:left w:val="single" w:sz="2" w:space="0" w:color="000000"/>
              <w:bottom w:val="single" w:sz="2" w:space="0" w:color="000000"/>
              <w:right w:val="single" w:sz="2" w:space="0" w:color="000000"/>
            </w:tcBorders>
          </w:tcPr>
          <w:p w14:paraId="44173B0B" w14:textId="77777777" w:rsidR="00053D93" w:rsidRDefault="00260B75">
            <w:pPr>
              <w:ind w:left="86" w:right="84" w:firstLine="7"/>
              <w:jc w:val="both"/>
            </w:pPr>
            <w:r>
              <w:rPr>
                <w:sz w:val="16"/>
              </w:rPr>
              <w:t>Nuestros Lagos de Guatemala", Programa "Esperanza Azteca". Proyecto "Heroes del Ambiente" y el Programa "Plantel Azteca".</w:t>
            </w:r>
          </w:p>
        </w:tc>
        <w:tc>
          <w:tcPr>
            <w:tcW w:w="1440" w:type="dxa"/>
            <w:tcBorders>
              <w:top w:val="single" w:sz="2" w:space="0" w:color="000000"/>
              <w:left w:val="single" w:sz="2" w:space="0" w:color="000000"/>
              <w:bottom w:val="single" w:sz="2" w:space="0" w:color="000000"/>
              <w:right w:val="single" w:sz="2" w:space="0" w:color="000000"/>
            </w:tcBorders>
            <w:vAlign w:val="bottom"/>
          </w:tcPr>
          <w:p w14:paraId="4A40FF65" w14:textId="77777777" w:rsidR="00053D93" w:rsidRDefault="00260B75">
            <w:pPr>
              <w:ind w:right="76"/>
              <w:jc w:val="right"/>
            </w:pPr>
            <w:r>
              <w:rPr>
                <w:sz w:val="16"/>
              </w:rPr>
              <w:t>2,260.ooo.oo</w:t>
            </w:r>
          </w:p>
        </w:tc>
      </w:tr>
      <w:tr w:rsidR="00053D93" w14:paraId="7F7FDF55" w14:textId="77777777">
        <w:trPr>
          <w:trHeight w:val="2357"/>
        </w:trPr>
        <w:tc>
          <w:tcPr>
            <w:tcW w:w="610" w:type="dxa"/>
            <w:gridSpan w:val="2"/>
            <w:tcBorders>
              <w:top w:val="single" w:sz="2" w:space="0" w:color="000000"/>
              <w:left w:val="single" w:sz="2" w:space="0" w:color="000000"/>
              <w:bottom w:val="single" w:sz="2" w:space="0" w:color="000000"/>
              <w:right w:val="single" w:sz="2" w:space="0" w:color="000000"/>
            </w:tcBorders>
            <w:vAlign w:val="bottom"/>
          </w:tcPr>
          <w:p w14:paraId="25977ABC" w14:textId="77777777" w:rsidR="00053D93" w:rsidRDefault="00260B75">
            <w:pPr>
              <w:ind w:right="49"/>
              <w:jc w:val="center"/>
            </w:pPr>
            <w:r>
              <w:rPr>
                <w:rFonts w:ascii="Times New Roman" w:eastAsia="Times New Roman" w:hAnsi="Times New Roman" w:cs="Times New Roman"/>
                <w:sz w:val="16"/>
              </w:rPr>
              <w:t>26</w:t>
            </w:r>
          </w:p>
        </w:tc>
        <w:tc>
          <w:tcPr>
            <w:tcW w:w="1126" w:type="dxa"/>
            <w:gridSpan w:val="2"/>
            <w:tcBorders>
              <w:top w:val="single" w:sz="2" w:space="0" w:color="000000"/>
              <w:left w:val="single" w:sz="2" w:space="0" w:color="000000"/>
              <w:bottom w:val="single" w:sz="2" w:space="0" w:color="000000"/>
              <w:right w:val="single" w:sz="2" w:space="0" w:color="000000"/>
            </w:tcBorders>
            <w:vAlign w:val="bottom"/>
          </w:tcPr>
          <w:p w14:paraId="3F4C5297" w14:textId="77777777" w:rsidR="00053D93" w:rsidRDefault="00260B75">
            <w:pPr>
              <w:ind w:left="99"/>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6E0951F4" w14:textId="77777777" w:rsidR="00053D93" w:rsidRDefault="00260B75">
            <w:pPr>
              <w:ind w:left="13"/>
              <w:jc w:val="center"/>
            </w:pPr>
            <w:r>
              <w:rPr>
                <w:rFonts w:ascii="Times New Roman" w:eastAsia="Times New Roman" w:hAnsi="Times New Roman" w:cs="Times New Roman"/>
                <w:sz w:val="16"/>
              </w:rPr>
              <w:t>211 0/2024</w:t>
            </w:r>
          </w:p>
        </w:tc>
        <w:tc>
          <w:tcPr>
            <w:tcW w:w="1061" w:type="dxa"/>
            <w:tcBorders>
              <w:top w:val="single" w:sz="2" w:space="0" w:color="000000"/>
              <w:left w:val="single" w:sz="2" w:space="0" w:color="000000"/>
              <w:bottom w:val="single" w:sz="2" w:space="0" w:color="000000"/>
              <w:right w:val="nil"/>
            </w:tcBorders>
            <w:vAlign w:val="bottom"/>
          </w:tcPr>
          <w:p w14:paraId="7699FB71" w14:textId="77777777" w:rsidR="00053D93" w:rsidRDefault="00260B75">
            <w:pPr>
              <w:ind w:left="96"/>
            </w:pPr>
            <w:r>
              <w:rPr>
                <w:sz w:val="18"/>
              </w:rPr>
              <w:t xml:space="preserve">Fundación </w:t>
            </w:r>
          </w:p>
          <w:p w14:paraId="0C501D5C" w14:textId="77777777" w:rsidR="00053D93" w:rsidRDefault="00260B75">
            <w:pPr>
              <w:ind w:left="89"/>
            </w:pPr>
            <w:r>
              <w:rPr>
                <w:sz w:val="18"/>
              </w:rPr>
              <w:t>Cooperación</w:t>
            </w:r>
          </w:p>
        </w:tc>
        <w:tc>
          <w:tcPr>
            <w:tcW w:w="972" w:type="dxa"/>
            <w:tcBorders>
              <w:top w:val="single" w:sz="2" w:space="0" w:color="000000"/>
              <w:left w:val="nil"/>
              <w:bottom w:val="single" w:sz="2" w:space="0" w:color="000000"/>
              <w:right w:val="nil"/>
            </w:tcBorders>
            <w:vAlign w:val="bottom"/>
          </w:tcPr>
          <w:p w14:paraId="7882F6E9" w14:textId="77777777" w:rsidR="00053D93" w:rsidRDefault="00260B75">
            <w:r>
              <w:rPr>
                <w:sz w:val="18"/>
              </w:rPr>
              <w:t>Educación</w:t>
            </w:r>
          </w:p>
        </w:tc>
        <w:tc>
          <w:tcPr>
            <w:tcW w:w="144" w:type="dxa"/>
            <w:tcBorders>
              <w:top w:val="single" w:sz="2" w:space="0" w:color="000000"/>
              <w:left w:val="nil"/>
              <w:bottom w:val="single" w:sz="2" w:space="0" w:color="000000"/>
              <w:right w:val="single" w:sz="2" w:space="0" w:color="000000"/>
            </w:tcBorders>
            <w:vAlign w:val="bottom"/>
          </w:tcPr>
          <w:p w14:paraId="53473417" w14:textId="77777777" w:rsidR="00053D93" w:rsidRDefault="00260B75">
            <w:r>
              <w:rPr>
                <w:sz w:val="16"/>
              </w:rPr>
              <w:t>Y</w:t>
            </w:r>
          </w:p>
        </w:tc>
        <w:tc>
          <w:tcPr>
            <w:tcW w:w="2287" w:type="dxa"/>
            <w:tcBorders>
              <w:top w:val="single" w:sz="2" w:space="0" w:color="000000"/>
              <w:left w:val="single" w:sz="2" w:space="0" w:color="000000"/>
              <w:bottom w:val="single" w:sz="2" w:space="0" w:color="000000"/>
              <w:right w:val="single" w:sz="2" w:space="0" w:color="000000"/>
            </w:tcBorders>
          </w:tcPr>
          <w:p w14:paraId="6DA64279" w14:textId="77777777" w:rsidR="00053D93" w:rsidRDefault="00260B75">
            <w:pPr>
              <w:spacing w:line="234" w:lineRule="auto"/>
              <w:ind w:left="86" w:right="76" w:firstLine="7"/>
              <w:jc w:val="both"/>
            </w:pPr>
            <w:r>
              <w:rPr>
                <w:sz w:val="18"/>
              </w:rPr>
              <w:t>Modificar las clausulas: QUINTA. COMPROMISO DE LAS PARTES, SEXTA. COORDINACIÓN Y SUPERVISIÓN. OCTAVA. ÁMBITO DE APLICACIÓN Y NOVENA. VIGENCIA", del</w:t>
            </w:r>
          </w:p>
          <w:p w14:paraId="1E512048" w14:textId="77777777" w:rsidR="00053D93" w:rsidRDefault="00260B75">
            <w:pPr>
              <w:spacing w:line="252" w:lineRule="auto"/>
              <w:ind w:left="94" w:right="84"/>
              <w:jc w:val="both"/>
            </w:pPr>
            <w:r>
              <w:rPr>
                <w:sz w:val="16"/>
              </w:rPr>
              <w:t xml:space="preserve">Convenio Marco de Cooperación Interinstitucional entre el Ministerio de Educación y la Fundación Educación y Cooperación para implementar </w:t>
            </w:r>
            <w:r>
              <w:rPr>
                <w:rFonts w:ascii="Times New Roman" w:eastAsia="Times New Roman" w:hAnsi="Times New Roman" w:cs="Times New Roman"/>
                <w:sz w:val="16"/>
              </w:rPr>
              <w:t xml:space="preserve">el </w:t>
            </w:r>
            <w:r>
              <w:rPr>
                <w:sz w:val="16"/>
              </w:rPr>
              <w:t>Programa Educación y Cooperación en</w:t>
            </w:r>
          </w:p>
          <w:p w14:paraId="29503B9B" w14:textId="77777777" w:rsidR="00053D93" w:rsidRDefault="00260B75">
            <w:pPr>
              <w:ind w:left="94"/>
            </w:pPr>
            <w:r>
              <w:rPr>
                <w:sz w:val="16"/>
              </w:rPr>
              <w:t>Guatemala.</w:t>
            </w:r>
          </w:p>
        </w:tc>
        <w:tc>
          <w:tcPr>
            <w:tcW w:w="1440" w:type="dxa"/>
            <w:tcBorders>
              <w:top w:val="single" w:sz="2" w:space="0" w:color="000000"/>
              <w:left w:val="single" w:sz="2" w:space="0" w:color="000000"/>
              <w:bottom w:val="single" w:sz="2" w:space="0" w:color="000000"/>
              <w:right w:val="single" w:sz="2" w:space="0" w:color="000000"/>
            </w:tcBorders>
            <w:vAlign w:val="bottom"/>
          </w:tcPr>
          <w:p w14:paraId="060B6DCC" w14:textId="77777777" w:rsidR="00053D93" w:rsidRDefault="00260B75">
            <w:pPr>
              <w:ind w:left="276"/>
            </w:pPr>
            <w:r>
              <w:rPr>
                <w:sz w:val="16"/>
              </w:rPr>
              <w:t>No cuantificado</w:t>
            </w:r>
          </w:p>
        </w:tc>
      </w:tr>
      <w:tr w:rsidR="00053D93" w14:paraId="0D55F829" w14:textId="77777777">
        <w:trPr>
          <w:trHeight w:val="1728"/>
        </w:trPr>
        <w:tc>
          <w:tcPr>
            <w:tcW w:w="610" w:type="dxa"/>
            <w:gridSpan w:val="2"/>
            <w:tcBorders>
              <w:top w:val="single" w:sz="2" w:space="0" w:color="000000"/>
              <w:left w:val="single" w:sz="2" w:space="0" w:color="000000"/>
              <w:bottom w:val="single" w:sz="2" w:space="0" w:color="000000"/>
              <w:right w:val="single" w:sz="2" w:space="0" w:color="000000"/>
            </w:tcBorders>
            <w:vAlign w:val="bottom"/>
          </w:tcPr>
          <w:p w14:paraId="67A7B0DE" w14:textId="77777777" w:rsidR="00053D93" w:rsidRDefault="00260B75">
            <w:pPr>
              <w:ind w:right="49"/>
              <w:jc w:val="center"/>
            </w:pPr>
            <w:r>
              <w:rPr>
                <w:rFonts w:ascii="Times New Roman" w:eastAsia="Times New Roman" w:hAnsi="Times New Roman" w:cs="Times New Roman"/>
                <w:sz w:val="16"/>
              </w:rPr>
              <w:t>27</w:t>
            </w:r>
          </w:p>
        </w:tc>
        <w:tc>
          <w:tcPr>
            <w:tcW w:w="1126" w:type="dxa"/>
            <w:gridSpan w:val="2"/>
            <w:tcBorders>
              <w:top w:val="single" w:sz="2" w:space="0" w:color="000000"/>
              <w:left w:val="single" w:sz="2" w:space="0" w:color="000000"/>
              <w:bottom w:val="single" w:sz="2" w:space="0" w:color="000000"/>
              <w:right w:val="single" w:sz="2" w:space="0" w:color="000000"/>
            </w:tcBorders>
            <w:vAlign w:val="bottom"/>
          </w:tcPr>
          <w:p w14:paraId="2739318E" w14:textId="77777777" w:rsidR="00053D93" w:rsidRDefault="00260B75">
            <w:pPr>
              <w:ind w:left="92"/>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582EE68E" w14:textId="77777777" w:rsidR="00053D93" w:rsidRDefault="00260B75">
            <w:pPr>
              <w:ind w:left="96"/>
            </w:pPr>
            <w:r>
              <w:rPr>
                <w:rFonts w:ascii="Times New Roman" w:eastAsia="Times New Roman" w:hAnsi="Times New Roman" w:cs="Times New Roman"/>
                <w:sz w:val="16"/>
              </w:rPr>
              <w:t>1 5/10/2024</w:t>
            </w:r>
          </w:p>
        </w:tc>
        <w:tc>
          <w:tcPr>
            <w:tcW w:w="1061" w:type="dxa"/>
            <w:tcBorders>
              <w:top w:val="single" w:sz="2" w:space="0" w:color="000000"/>
              <w:left w:val="single" w:sz="2" w:space="0" w:color="000000"/>
              <w:bottom w:val="single" w:sz="2" w:space="0" w:color="000000"/>
              <w:right w:val="nil"/>
            </w:tcBorders>
            <w:vAlign w:val="bottom"/>
          </w:tcPr>
          <w:p w14:paraId="1A4FCADA" w14:textId="77777777" w:rsidR="00053D93" w:rsidRDefault="00260B75">
            <w:pPr>
              <w:ind w:left="89"/>
            </w:pPr>
            <w:r>
              <w:rPr>
                <w:sz w:val="18"/>
              </w:rPr>
              <w:t xml:space="preserve">Fundación </w:t>
            </w:r>
          </w:p>
          <w:p w14:paraId="0225CAF1" w14:textId="77777777" w:rsidR="00053D93" w:rsidRDefault="00260B75">
            <w:pPr>
              <w:ind w:left="89"/>
            </w:pPr>
            <w:r>
              <w:rPr>
                <w:sz w:val="18"/>
              </w:rPr>
              <w:t>Cooperación</w:t>
            </w:r>
          </w:p>
        </w:tc>
        <w:tc>
          <w:tcPr>
            <w:tcW w:w="972" w:type="dxa"/>
            <w:tcBorders>
              <w:top w:val="single" w:sz="2" w:space="0" w:color="000000"/>
              <w:left w:val="nil"/>
              <w:bottom w:val="single" w:sz="2" w:space="0" w:color="000000"/>
              <w:right w:val="nil"/>
            </w:tcBorders>
            <w:vAlign w:val="bottom"/>
          </w:tcPr>
          <w:p w14:paraId="7EE7266F" w14:textId="77777777" w:rsidR="00053D93" w:rsidRDefault="00260B75">
            <w:r>
              <w:rPr>
                <w:sz w:val="18"/>
              </w:rPr>
              <w:t>Educación</w:t>
            </w:r>
          </w:p>
        </w:tc>
        <w:tc>
          <w:tcPr>
            <w:tcW w:w="144" w:type="dxa"/>
            <w:tcBorders>
              <w:top w:val="single" w:sz="2" w:space="0" w:color="000000"/>
              <w:left w:val="nil"/>
              <w:bottom w:val="single" w:sz="2" w:space="0" w:color="000000"/>
              <w:right w:val="single" w:sz="2" w:space="0" w:color="000000"/>
            </w:tcBorders>
            <w:vAlign w:val="bottom"/>
          </w:tcPr>
          <w:p w14:paraId="04BA7AF3" w14:textId="77777777" w:rsidR="00053D93" w:rsidRDefault="00260B75">
            <w:r>
              <w:rPr>
                <w:rFonts w:ascii="Times New Roman" w:eastAsia="Times New Roman" w:hAnsi="Times New Roman" w:cs="Times New Roman"/>
                <w:sz w:val="10"/>
              </w:rPr>
              <w:t>Y</w:t>
            </w:r>
          </w:p>
        </w:tc>
        <w:tc>
          <w:tcPr>
            <w:tcW w:w="2287" w:type="dxa"/>
            <w:tcBorders>
              <w:top w:val="single" w:sz="2" w:space="0" w:color="000000"/>
              <w:left w:val="single" w:sz="2" w:space="0" w:color="000000"/>
              <w:bottom w:val="single" w:sz="2" w:space="0" w:color="000000"/>
              <w:right w:val="single" w:sz="2" w:space="0" w:color="000000"/>
            </w:tcBorders>
          </w:tcPr>
          <w:p w14:paraId="010B61D2" w14:textId="77777777" w:rsidR="00053D93" w:rsidRDefault="00260B75">
            <w:pPr>
              <w:spacing w:line="233" w:lineRule="auto"/>
              <w:ind w:left="86" w:right="84" w:firstLine="7"/>
              <w:jc w:val="both"/>
            </w:pPr>
            <w:r>
              <w:rPr>
                <w:sz w:val="16"/>
              </w:rPr>
              <w:t>Coordinar acciones que incidan de forma sostenible en la atención integral y en la prevención de la desnutrición. procurando desarrollo pleno de la niñez de cero (O) a cuatro (4) años, a través de la implementación del Programa Acompáñame a Crecer del</w:t>
            </w:r>
          </w:p>
          <w:p w14:paraId="2CB468D7" w14:textId="77777777" w:rsidR="00053D93" w:rsidRDefault="00260B75">
            <w:pPr>
              <w:ind w:left="94"/>
            </w:pPr>
            <w:r>
              <w:rPr>
                <w:sz w:val="16"/>
              </w:rPr>
              <w:t>Ministerio de Educación.</w:t>
            </w:r>
          </w:p>
        </w:tc>
        <w:tc>
          <w:tcPr>
            <w:tcW w:w="1440" w:type="dxa"/>
            <w:tcBorders>
              <w:top w:val="single" w:sz="2" w:space="0" w:color="000000"/>
              <w:left w:val="single" w:sz="2" w:space="0" w:color="000000"/>
              <w:bottom w:val="single" w:sz="2" w:space="0" w:color="000000"/>
              <w:right w:val="single" w:sz="2" w:space="0" w:color="000000"/>
            </w:tcBorders>
            <w:vAlign w:val="bottom"/>
          </w:tcPr>
          <w:p w14:paraId="2026D8C0" w14:textId="77777777" w:rsidR="00053D93" w:rsidRDefault="00260B75">
            <w:pPr>
              <w:ind w:right="76"/>
              <w:jc w:val="right"/>
            </w:pPr>
            <w:r>
              <w:rPr>
                <w:rFonts w:ascii="Times New Roman" w:eastAsia="Times New Roman" w:hAnsi="Times New Roman" w:cs="Times New Roman"/>
                <w:sz w:val="18"/>
              </w:rPr>
              <w:t>2.148,997.52</w:t>
            </w:r>
          </w:p>
        </w:tc>
      </w:tr>
      <w:tr w:rsidR="00053D93" w14:paraId="612B309E" w14:textId="77777777">
        <w:trPr>
          <w:trHeight w:val="1289"/>
        </w:trPr>
        <w:tc>
          <w:tcPr>
            <w:tcW w:w="610" w:type="dxa"/>
            <w:gridSpan w:val="2"/>
            <w:tcBorders>
              <w:top w:val="single" w:sz="2" w:space="0" w:color="000000"/>
              <w:left w:val="single" w:sz="2" w:space="0" w:color="000000"/>
              <w:bottom w:val="single" w:sz="2" w:space="0" w:color="000000"/>
              <w:right w:val="single" w:sz="2" w:space="0" w:color="000000"/>
            </w:tcBorders>
            <w:vAlign w:val="bottom"/>
          </w:tcPr>
          <w:p w14:paraId="361DF3C8" w14:textId="77777777" w:rsidR="00053D93" w:rsidRDefault="00260B75">
            <w:pPr>
              <w:ind w:right="49"/>
              <w:jc w:val="center"/>
            </w:pPr>
            <w:r>
              <w:rPr>
                <w:rFonts w:ascii="Times New Roman" w:eastAsia="Times New Roman" w:hAnsi="Times New Roman" w:cs="Times New Roman"/>
                <w:sz w:val="16"/>
              </w:rPr>
              <w:t>28</w:t>
            </w:r>
          </w:p>
        </w:tc>
        <w:tc>
          <w:tcPr>
            <w:tcW w:w="1126" w:type="dxa"/>
            <w:gridSpan w:val="2"/>
            <w:tcBorders>
              <w:top w:val="single" w:sz="2" w:space="0" w:color="000000"/>
              <w:left w:val="single" w:sz="2" w:space="0" w:color="000000"/>
              <w:bottom w:val="single" w:sz="2" w:space="0" w:color="000000"/>
              <w:right w:val="single" w:sz="2" w:space="0" w:color="000000"/>
            </w:tcBorders>
            <w:vAlign w:val="bottom"/>
          </w:tcPr>
          <w:p w14:paraId="361E084D" w14:textId="77777777" w:rsidR="00053D93" w:rsidRDefault="00260B75">
            <w:pPr>
              <w:ind w:left="92"/>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39313C74" w14:textId="77777777" w:rsidR="00053D93" w:rsidRDefault="00260B75">
            <w:pPr>
              <w:ind w:left="89"/>
            </w:pPr>
            <w:r>
              <w:rPr>
                <w:rFonts w:ascii="Times New Roman" w:eastAsia="Times New Roman" w:hAnsi="Times New Roman" w:cs="Times New Roman"/>
                <w:sz w:val="16"/>
              </w:rPr>
              <w:t>1511012024</w:t>
            </w:r>
          </w:p>
        </w:tc>
        <w:tc>
          <w:tcPr>
            <w:tcW w:w="2177" w:type="dxa"/>
            <w:gridSpan w:val="3"/>
            <w:tcBorders>
              <w:top w:val="single" w:sz="2" w:space="0" w:color="000000"/>
              <w:left w:val="single" w:sz="2" w:space="0" w:color="000000"/>
              <w:bottom w:val="single" w:sz="2" w:space="0" w:color="000000"/>
              <w:right w:val="single" w:sz="2" w:space="0" w:color="000000"/>
            </w:tcBorders>
            <w:vAlign w:val="bottom"/>
          </w:tcPr>
          <w:p w14:paraId="30E8F6BF" w14:textId="77777777" w:rsidR="00053D93" w:rsidRDefault="00260B75">
            <w:pPr>
              <w:spacing w:after="5" w:line="245" w:lineRule="auto"/>
              <w:ind w:left="82" w:right="72" w:firstLine="7"/>
              <w:jc w:val="both"/>
            </w:pPr>
            <w:r>
              <w:rPr>
                <w:sz w:val="18"/>
              </w:rPr>
              <w:t>Ministerio de Salud Pública y Asistencia Social, Ministerio de la Defensa Nacional y Ministerio de Trabajo y</w:t>
            </w:r>
          </w:p>
          <w:p w14:paraId="744ED799" w14:textId="77777777" w:rsidR="00053D93" w:rsidRDefault="00260B75">
            <w:pPr>
              <w:ind w:left="89"/>
            </w:pPr>
            <w:r>
              <w:rPr>
                <w:sz w:val="18"/>
              </w:rPr>
              <w:t>Previsión Social</w:t>
            </w:r>
          </w:p>
        </w:tc>
        <w:tc>
          <w:tcPr>
            <w:tcW w:w="2287" w:type="dxa"/>
            <w:tcBorders>
              <w:top w:val="single" w:sz="2" w:space="0" w:color="000000"/>
              <w:left w:val="single" w:sz="2" w:space="0" w:color="000000"/>
              <w:bottom w:val="single" w:sz="2" w:space="0" w:color="000000"/>
              <w:right w:val="single" w:sz="2" w:space="0" w:color="000000"/>
            </w:tcBorders>
          </w:tcPr>
          <w:p w14:paraId="0FB1FD19" w14:textId="77777777" w:rsidR="00053D93" w:rsidRDefault="00260B75">
            <w:pPr>
              <w:ind w:left="86" w:right="76" w:firstLine="7"/>
              <w:jc w:val="both"/>
            </w:pPr>
            <w:r>
              <w:rPr>
                <w:sz w:val="16"/>
              </w:rPr>
              <w:t>Establecer un marco general que facilite la implementación de acciones interinstitucionales conjuntas para la prevención de enfermedades, en particular. las enfermedades crónicas de los riñones.</w:t>
            </w:r>
          </w:p>
        </w:tc>
        <w:tc>
          <w:tcPr>
            <w:tcW w:w="1440" w:type="dxa"/>
            <w:tcBorders>
              <w:top w:val="single" w:sz="2" w:space="0" w:color="000000"/>
              <w:left w:val="single" w:sz="2" w:space="0" w:color="000000"/>
              <w:bottom w:val="single" w:sz="2" w:space="0" w:color="000000"/>
              <w:right w:val="single" w:sz="2" w:space="0" w:color="000000"/>
            </w:tcBorders>
            <w:vAlign w:val="bottom"/>
          </w:tcPr>
          <w:p w14:paraId="3A476CF1" w14:textId="77777777" w:rsidR="00053D93" w:rsidRDefault="00260B75">
            <w:pPr>
              <w:ind w:left="276"/>
            </w:pPr>
            <w:r>
              <w:rPr>
                <w:sz w:val="16"/>
              </w:rPr>
              <w:t>No cuantificado</w:t>
            </w:r>
          </w:p>
        </w:tc>
      </w:tr>
      <w:tr w:rsidR="00053D93" w14:paraId="71E93FCB" w14:textId="77777777">
        <w:trPr>
          <w:trHeight w:val="2366"/>
        </w:trPr>
        <w:tc>
          <w:tcPr>
            <w:tcW w:w="610" w:type="dxa"/>
            <w:gridSpan w:val="2"/>
            <w:tcBorders>
              <w:top w:val="single" w:sz="2" w:space="0" w:color="000000"/>
              <w:left w:val="single" w:sz="2" w:space="0" w:color="000000"/>
              <w:bottom w:val="single" w:sz="2" w:space="0" w:color="000000"/>
              <w:right w:val="single" w:sz="2" w:space="0" w:color="000000"/>
            </w:tcBorders>
            <w:vAlign w:val="bottom"/>
          </w:tcPr>
          <w:p w14:paraId="50F4F9C9" w14:textId="77777777" w:rsidR="00053D93" w:rsidRDefault="00260B75">
            <w:pPr>
              <w:ind w:left="198"/>
            </w:pPr>
            <w:r>
              <w:rPr>
                <w:rFonts w:ascii="Times New Roman" w:eastAsia="Times New Roman" w:hAnsi="Times New Roman" w:cs="Times New Roman"/>
                <w:sz w:val="16"/>
              </w:rPr>
              <w:t>29</w:t>
            </w:r>
          </w:p>
        </w:tc>
        <w:tc>
          <w:tcPr>
            <w:tcW w:w="1126" w:type="dxa"/>
            <w:gridSpan w:val="2"/>
            <w:tcBorders>
              <w:top w:val="single" w:sz="2" w:space="0" w:color="000000"/>
              <w:left w:val="single" w:sz="2" w:space="0" w:color="000000"/>
              <w:bottom w:val="single" w:sz="2" w:space="0" w:color="000000"/>
              <w:right w:val="single" w:sz="2" w:space="0" w:color="000000"/>
            </w:tcBorders>
            <w:vAlign w:val="bottom"/>
          </w:tcPr>
          <w:p w14:paraId="611F6C6F" w14:textId="77777777" w:rsidR="00053D93" w:rsidRDefault="00260B75">
            <w:pPr>
              <w:ind w:left="92"/>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0D8FC50E" w14:textId="77777777" w:rsidR="00053D93" w:rsidRDefault="00260B75">
            <w:pPr>
              <w:ind w:left="89"/>
            </w:pPr>
            <w:r>
              <w:rPr>
                <w:rFonts w:ascii="Times New Roman" w:eastAsia="Times New Roman" w:hAnsi="Times New Roman" w:cs="Times New Roman"/>
                <w:sz w:val="16"/>
              </w:rPr>
              <w:t>1 6/10/2024</w:t>
            </w:r>
          </w:p>
        </w:tc>
        <w:tc>
          <w:tcPr>
            <w:tcW w:w="2177" w:type="dxa"/>
            <w:gridSpan w:val="3"/>
            <w:tcBorders>
              <w:top w:val="single" w:sz="2" w:space="0" w:color="000000"/>
              <w:left w:val="single" w:sz="2" w:space="0" w:color="000000"/>
              <w:bottom w:val="single" w:sz="2" w:space="0" w:color="000000"/>
              <w:right w:val="single" w:sz="2" w:space="0" w:color="000000"/>
            </w:tcBorders>
            <w:vAlign w:val="bottom"/>
          </w:tcPr>
          <w:p w14:paraId="5F875EAF" w14:textId="77777777" w:rsidR="00053D93" w:rsidRDefault="00260B75">
            <w:pPr>
              <w:ind w:left="82" w:right="79" w:firstLine="7"/>
              <w:jc w:val="both"/>
            </w:pPr>
            <w:r>
              <w:rPr>
                <w:sz w:val="18"/>
              </w:rPr>
              <w:t>Fondo de las Naciones Unidas para la Infancia -UNICEF- y la Municipalidad de Mataquescuintla, departamento de Jalapa</w:t>
            </w:r>
          </w:p>
        </w:tc>
        <w:tc>
          <w:tcPr>
            <w:tcW w:w="2287" w:type="dxa"/>
            <w:tcBorders>
              <w:top w:val="single" w:sz="2" w:space="0" w:color="000000"/>
              <w:left w:val="single" w:sz="2" w:space="0" w:color="000000"/>
              <w:bottom w:val="single" w:sz="2" w:space="0" w:color="000000"/>
              <w:right w:val="single" w:sz="2" w:space="0" w:color="000000"/>
            </w:tcBorders>
          </w:tcPr>
          <w:p w14:paraId="67484D0B" w14:textId="77777777" w:rsidR="00053D93" w:rsidRDefault="00260B75">
            <w:pPr>
              <w:spacing w:after="29" w:line="255" w:lineRule="auto"/>
              <w:ind w:left="86" w:right="84" w:firstLine="7"/>
              <w:jc w:val="both"/>
            </w:pPr>
            <w:r>
              <w:rPr>
                <w:sz w:val="16"/>
              </w:rPr>
              <w:t>La implementación en el municipio de Mataquescuintla, del departamento de Jalapa. de un (1) Entorno Virtual de Aprendizaje, para propiciar el desarrollo de la población. a través de su participación en procesos de aprendizaje significativos, autónomos colaborativos,</w:t>
            </w:r>
          </w:p>
          <w:p w14:paraId="5BC0874B" w14:textId="77777777" w:rsidR="00053D93" w:rsidRDefault="00260B75">
            <w:pPr>
              <w:ind w:left="86" w:right="84"/>
              <w:jc w:val="both"/>
            </w:pPr>
            <w:r>
              <w:rPr>
                <w:sz w:val="16"/>
              </w:rPr>
              <w:t xml:space="preserve">mediante el uso de </w:t>
            </w:r>
            <w:r>
              <w:rPr>
                <w:noProof/>
              </w:rPr>
              <w:drawing>
                <wp:inline distT="0" distB="0" distL="0" distR="0" wp14:anchorId="12912885" wp14:editId="65CC2572">
                  <wp:extent cx="502920" cy="68580"/>
                  <wp:effectExtent l="0" t="0" r="0" b="0"/>
                  <wp:docPr id="182646" name="Picture 182646"/>
                  <wp:cNvGraphicFramePr/>
                  <a:graphic xmlns:a="http://schemas.openxmlformats.org/drawingml/2006/main">
                    <a:graphicData uri="http://schemas.openxmlformats.org/drawingml/2006/picture">
                      <pic:pic xmlns:pic="http://schemas.openxmlformats.org/drawingml/2006/picture">
                        <pic:nvPicPr>
                          <pic:cNvPr id="182646" name="Picture 182646"/>
                          <pic:cNvPicPr/>
                        </pic:nvPicPr>
                        <pic:blipFill>
                          <a:blip r:embed="rId259"/>
                          <a:stretch>
                            <a:fillRect/>
                          </a:stretch>
                        </pic:blipFill>
                        <pic:spPr>
                          <a:xfrm>
                            <a:off x="0" y="0"/>
                            <a:ext cx="502920" cy="68580"/>
                          </a:xfrm>
                          <a:prstGeom prst="rect">
                            <a:avLst/>
                          </a:prstGeom>
                        </pic:spPr>
                      </pic:pic>
                    </a:graphicData>
                  </a:graphic>
                </wp:inline>
              </w:drawing>
            </w:r>
            <w:r>
              <w:rPr>
                <w:sz w:val="16"/>
              </w:rPr>
              <w:t>tecnológicas, en un modelo educativo flexible, pertinente y de calidad.</w:t>
            </w:r>
          </w:p>
        </w:tc>
        <w:tc>
          <w:tcPr>
            <w:tcW w:w="1440" w:type="dxa"/>
            <w:tcBorders>
              <w:top w:val="single" w:sz="2" w:space="0" w:color="000000"/>
              <w:left w:val="single" w:sz="2" w:space="0" w:color="000000"/>
              <w:bottom w:val="single" w:sz="2" w:space="0" w:color="000000"/>
              <w:right w:val="single" w:sz="2" w:space="0" w:color="000000"/>
            </w:tcBorders>
            <w:vAlign w:val="bottom"/>
          </w:tcPr>
          <w:p w14:paraId="04134275" w14:textId="77777777" w:rsidR="00053D93" w:rsidRDefault="00260B75">
            <w:pPr>
              <w:ind w:left="269"/>
            </w:pPr>
            <w:r>
              <w:rPr>
                <w:sz w:val="16"/>
              </w:rPr>
              <w:t>No cuantificado</w:t>
            </w:r>
          </w:p>
        </w:tc>
      </w:tr>
      <w:tr w:rsidR="00053D93" w14:paraId="1533218A" w14:textId="77777777">
        <w:trPr>
          <w:trHeight w:val="2880"/>
        </w:trPr>
        <w:tc>
          <w:tcPr>
            <w:tcW w:w="306" w:type="dxa"/>
            <w:tcBorders>
              <w:top w:val="single" w:sz="2" w:space="0" w:color="000000"/>
              <w:left w:val="single" w:sz="2" w:space="0" w:color="000000"/>
              <w:bottom w:val="single" w:sz="2" w:space="0" w:color="000000"/>
              <w:right w:val="nil"/>
            </w:tcBorders>
            <w:vAlign w:val="bottom"/>
          </w:tcPr>
          <w:p w14:paraId="1C413EEB" w14:textId="77777777" w:rsidR="00053D93" w:rsidRDefault="00260B75">
            <w:pPr>
              <w:ind w:right="-36"/>
              <w:jc w:val="right"/>
            </w:pPr>
            <w:r>
              <w:rPr>
                <w:rFonts w:ascii="Times New Roman" w:eastAsia="Times New Roman" w:hAnsi="Times New Roman" w:cs="Times New Roman"/>
                <w:sz w:val="16"/>
              </w:rPr>
              <w:lastRenderedPageBreak/>
              <w:t>30</w:t>
            </w:r>
          </w:p>
        </w:tc>
        <w:tc>
          <w:tcPr>
            <w:tcW w:w="304" w:type="dxa"/>
            <w:tcBorders>
              <w:top w:val="single" w:sz="2" w:space="0" w:color="000000"/>
              <w:left w:val="nil"/>
              <w:bottom w:val="single" w:sz="2" w:space="0" w:color="000000"/>
              <w:right w:val="single" w:sz="2" w:space="0" w:color="000000"/>
            </w:tcBorders>
          </w:tcPr>
          <w:p w14:paraId="0E176DB4" w14:textId="77777777" w:rsidR="00053D93" w:rsidRDefault="00053D93"/>
        </w:tc>
        <w:tc>
          <w:tcPr>
            <w:tcW w:w="1126" w:type="dxa"/>
            <w:gridSpan w:val="2"/>
            <w:tcBorders>
              <w:top w:val="single" w:sz="2" w:space="0" w:color="000000"/>
              <w:left w:val="single" w:sz="2" w:space="0" w:color="000000"/>
              <w:bottom w:val="single" w:sz="2" w:space="0" w:color="000000"/>
              <w:right w:val="single" w:sz="2" w:space="0" w:color="000000"/>
            </w:tcBorders>
            <w:vAlign w:val="bottom"/>
          </w:tcPr>
          <w:p w14:paraId="33D84BF0" w14:textId="77777777" w:rsidR="00053D93" w:rsidRDefault="00260B75">
            <w:pPr>
              <w:ind w:left="85"/>
            </w:pPr>
            <w:r>
              <w:rPr>
                <w:sz w:val="20"/>
              </w:rPr>
              <w:t>NO APLICA</w:t>
            </w:r>
          </w:p>
        </w:tc>
        <w:tc>
          <w:tcPr>
            <w:tcW w:w="914" w:type="dxa"/>
            <w:tcBorders>
              <w:top w:val="single" w:sz="2" w:space="0" w:color="000000"/>
              <w:left w:val="single" w:sz="2" w:space="0" w:color="000000"/>
              <w:bottom w:val="single" w:sz="2" w:space="0" w:color="000000"/>
              <w:right w:val="single" w:sz="2" w:space="0" w:color="000000"/>
            </w:tcBorders>
            <w:vAlign w:val="bottom"/>
          </w:tcPr>
          <w:p w14:paraId="0BE5FCD9" w14:textId="77777777" w:rsidR="00053D93" w:rsidRDefault="00260B75">
            <w:pPr>
              <w:ind w:right="9"/>
              <w:jc w:val="center"/>
            </w:pPr>
            <w:r>
              <w:rPr>
                <w:rFonts w:ascii="Times New Roman" w:eastAsia="Times New Roman" w:hAnsi="Times New Roman" w:cs="Times New Roman"/>
                <w:sz w:val="16"/>
              </w:rPr>
              <w:t>8111/2024</w:t>
            </w:r>
          </w:p>
        </w:tc>
        <w:tc>
          <w:tcPr>
            <w:tcW w:w="2177" w:type="dxa"/>
            <w:gridSpan w:val="3"/>
            <w:tcBorders>
              <w:top w:val="single" w:sz="2" w:space="0" w:color="000000"/>
              <w:left w:val="single" w:sz="2" w:space="0" w:color="000000"/>
              <w:bottom w:val="single" w:sz="2" w:space="0" w:color="000000"/>
              <w:right w:val="single" w:sz="2" w:space="0" w:color="000000"/>
            </w:tcBorders>
            <w:vAlign w:val="bottom"/>
          </w:tcPr>
          <w:p w14:paraId="1121CF53" w14:textId="77777777" w:rsidR="00053D93" w:rsidRDefault="00260B75">
            <w:pPr>
              <w:ind w:left="75" w:firstLine="7"/>
              <w:jc w:val="both"/>
            </w:pPr>
            <w:r>
              <w:rPr>
                <w:sz w:val="18"/>
              </w:rPr>
              <w:t>Banco de América Central, sociedad anónima</w:t>
            </w:r>
          </w:p>
        </w:tc>
        <w:tc>
          <w:tcPr>
            <w:tcW w:w="2287" w:type="dxa"/>
            <w:tcBorders>
              <w:top w:val="single" w:sz="2" w:space="0" w:color="000000"/>
              <w:left w:val="single" w:sz="2" w:space="0" w:color="000000"/>
              <w:bottom w:val="single" w:sz="2" w:space="0" w:color="000000"/>
              <w:right w:val="single" w:sz="2" w:space="0" w:color="000000"/>
            </w:tcBorders>
          </w:tcPr>
          <w:p w14:paraId="591B695C" w14:textId="77777777" w:rsidR="00053D93" w:rsidRDefault="00260B75">
            <w:pPr>
              <w:spacing w:line="243" w:lineRule="auto"/>
              <w:ind w:left="72" w:right="84" w:firstLine="14"/>
              <w:jc w:val="both"/>
            </w:pPr>
            <w:r>
              <w:rPr>
                <w:sz w:val="16"/>
              </w:rPr>
              <w:t>Modificar la Clausula "Décima Segunda. Vigencia" de ta Certa de entendimiento suscrita el doce de junio de dos mil dieciocho (12106/2018). quedando de la siguiente forma: "DÉCIMA SEGUNDA. VIGENCIA: La</w:t>
            </w:r>
          </w:p>
          <w:p w14:paraId="0BA5CFD5" w14:textId="77777777" w:rsidR="00053D93" w:rsidRDefault="00260B75">
            <w:pPr>
              <w:spacing w:line="231" w:lineRule="auto"/>
              <w:ind w:left="79" w:right="76" w:firstLine="7"/>
              <w:jc w:val="both"/>
            </w:pPr>
            <w:r>
              <w:rPr>
                <w:sz w:val="16"/>
              </w:rPr>
              <w:t>presente Carta de Entendimiento tendrá vigencia desde la fecha de su suscripción hasta el treinta y uno de diciembre de dos mil veintiocho (31/12/2028). Dicho plazo podrá prorrogarse por medio de Adenda que pasará a formar parte de la presente Carta de</w:t>
            </w:r>
          </w:p>
          <w:p w14:paraId="7322D6F2" w14:textId="77777777" w:rsidR="00053D93" w:rsidRDefault="00260B75">
            <w:pPr>
              <w:ind w:left="86"/>
            </w:pPr>
            <w:r>
              <w:rPr>
                <w:sz w:val="14"/>
              </w:rPr>
              <w:t>Entendimiento."</w:t>
            </w:r>
          </w:p>
        </w:tc>
        <w:tc>
          <w:tcPr>
            <w:tcW w:w="1440" w:type="dxa"/>
            <w:tcBorders>
              <w:top w:val="single" w:sz="2" w:space="0" w:color="000000"/>
              <w:left w:val="single" w:sz="2" w:space="0" w:color="000000"/>
              <w:bottom w:val="single" w:sz="2" w:space="0" w:color="000000"/>
              <w:right w:val="single" w:sz="2" w:space="0" w:color="000000"/>
            </w:tcBorders>
            <w:vAlign w:val="bottom"/>
          </w:tcPr>
          <w:p w14:paraId="1A9D0770" w14:textId="77777777" w:rsidR="00053D93" w:rsidRDefault="00260B75">
            <w:pPr>
              <w:ind w:left="269"/>
            </w:pPr>
            <w:r>
              <w:rPr>
                <w:sz w:val="16"/>
              </w:rPr>
              <w:t>No cuantificado</w:t>
            </w:r>
          </w:p>
        </w:tc>
      </w:tr>
      <w:tr w:rsidR="00053D93" w14:paraId="392A29F7" w14:textId="77777777">
        <w:trPr>
          <w:trHeight w:val="1448"/>
        </w:trPr>
        <w:tc>
          <w:tcPr>
            <w:tcW w:w="306" w:type="dxa"/>
            <w:tcBorders>
              <w:top w:val="single" w:sz="2" w:space="0" w:color="000000"/>
              <w:left w:val="single" w:sz="2" w:space="0" w:color="000000"/>
              <w:bottom w:val="single" w:sz="2" w:space="0" w:color="000000"/>
              <w:right w:val="single" w:sz="2" w:space="0" w:color="000000"/>
            </w:tcBorders>
            <w:vAlign w:val="bottom"/>
          </w:tcPr>
          <w:p w14:paraId="659A7A68" w14:textId="77777777" w:rsidR="00053D93" w:rsidRDefault="00260B75">
            <w:pPr>
              <w:ind w:right="-14"/>
              <w:jc w:val="right"/>
            </w:pPr>
            <w:r>
              <w:rPr>
                <w:rFonts w:ascii="Times New Roman" w:eastAsia="Times New Roman" w:hAnsi="Times New Roman" w:cs="Times New Roman"/>
                <w:sz w:val="16"/>
              </w:rPr>
              <w:t>31</w:t>
            </w:r>
          </w:p>
        </w:tc>
        <w:tc>
          <w:tcPr>
            <w:tcW w:w="304" w:type="dxa"/>
            <w:tcBorders>
              <w:top w:val="single" w:sz="2" w:space="0" w:color="000000"/>
              <w:left w:val="single" w:sz="2" w:space="0" w:color="000000"/>
              <w:bottom w:val="single" w:sz="2" w:space="0" w:color="000000"/>
              <w:right w:val="single" w:sz="2" w:space="0" w:color="000000"/>
            </w:tcBorders>
          </w:tcPr>
          <w:p w14:paraId="7256C85C" w14:textId="77777777" w:rsidR="00053D93" w:rsidRDefault="00053D93"/>
        </w:tc>
        <w:tc>
          <w:tcPr>
            <w:tcW w:w="1126" w:type="dxa"/>
            <w:gridSpan w:val="2"/>
            <w:tcBorders>
              <w:top w:val="single" w:sz="2" w:space="0" w:color="000000"/>
              <w:left w:val="single" w:sz="2" w:space="0" w:color="000000"/>
              <w:bottom w:val="single" w:sz="2" w:space="0" w:color="000000"/>
              <w:right w:val="single" w:sz="2" w:space="0" w:color="000000"/>
            </w:tcBorders>
            <w:vAlign w:val="bottom"/>
          </w:tcPr>
          <w:p w14:paraId="065176CC" w14:textId="77777777" w:rsidR="00053D93" w:rsidRDefault="00260B75">
            <w:pPr>
              <w:ind w:left="207"/>
            </w:pPr>
            <w:r>
              <w:rPr>
                <w:rFonts w:ascii="Times New Roman" w:eastAsia="Times New Roman" w:hAnsi="Times New Roman" w:cs="Times New Roman"/>
                <w:sz w:val="16"/>
              </w:rPr>
              <w:t>01-2024</w:t>
            </w:r>
          </w:p>
        </w:tc>
        <w:tc>
          <w:tcPr>
            <w:tcW w:w="914" w:type="dxa"/>
            <w:tcBorders>
              <w:top w:val="single" w:sz="2" w:space="0" w:color="000000"/>
              <w:left w:val="single" w:sz="2" w:space="0" w:color="000000"/>
              <w:bottom w:val="single" w:sz="2" w:space="0" w:color="000000"/>
              <w:right w:val="single" w:sz="2" w:space="0" w:color="000000"/>
            </w:tcBorders>
          </w:tcPr>
          <w:p w14:paraId="7E472FDF" w14:textId="77777777" w:rsidR="00053D93" w:rsidRDefault="00260B75">
            <w:pPr>
              <w:ind w:left="111"/>
            </w:pPr>
            <w:r>
              <w:rPr>
                <w:rFonts w:ascii="Times New Roman" w:eastAsia="Times New Roman" w:hAnsi="Times New Roman" w:cs="Times New Roman"/>
                <w:sz w:val="16"/>
              </w:rPr>
              <w:t>4/11/2024</w:t>
            </w:r>
          </w:p>
        </w:tc>
        <w:tc>
          <w:tcPr>
            <w:tcW w:w="2177" w:type="dxa"/>
            <w:gridSpan w:val="3"/>
            <w:tcBorders>
              <w:top w:val="single" w:sz="2" w:space="0" w:color="000000"/>
              <w:left w:val="single" w:sz="2" w:space="0" w:color="000000"/>
              <w:bottom w:val="single" w:sz="2" w:space="0" w:color="000000"/>
              <w:right w:val="single" w:sz="2" w:space="0" w:color="000000"/>
            </w:tcBorders>
            <w:vAlign w:val="bottom"/>
          </w:tcPr>
          <w:p w14:paraId="0C046DF5" w14:textId="77777777" w:rsidR="00053D93" w:rsidRDefault="00260B75">
            <w:pPr>
              <w:spacing w:line="254" w:lineRule="auto"/>
              <w:ind w:left="60" w:right="79" w:firstLine="22"/>
              <w:jc w:val="both"/>
            </w:pPr>
            <w:r>
              <w:rPr>
                <w:sz w:val="18"/>
              </w:rPr>
              <w:t xml:space="preserve">Fundación CONGUATE y establecimientos educativos priorizados </w:t>
            </w:r>
            <w:r>
              <w:rPr>
                <w:noProof/>
              </w:rPr>
              <w:drawing>
                <wp:inline distT="0" distB="0" distL="0" distR="0" wp14:anchorId="63C569EB" wp14:editId="277D3E9B">
                  <wp:extent cx="22860" cy="73152"/>
                  <wp:effectExtent l="0" t="0" r="0" b="0"/>
                  <wp:docPr id="182612" name="Picture 182612"/>
                  <wp:cNvGraphicFramePr/>
                  <a:graphic xmlns:a="http://schemas.openxmlformats.org/drawingml/2006/main">
                    <a:graphicData uri="http://schemas.openxmlformats.org/drawingml/2006/picture">
                      <pic:pic xmlns:pic="http://schemas.openxmlformats.org/drawingml/2006/picture">
                        <pic:nvPicPr>
                          <pic:cNvPr id="182612" name="Picture 182612"/>
                          <pic:cNvPicPr/>
                        </pic:nvPicPr>
                        <pic:blipFill>
                          <a:blip r:embed="rId260"/>
                          <a:stretch>
                            <a:fillRect/>
                          </a:stretch>
                        </pic:blipFill>
                        <pic:spPr>
                          <a:xfrm>
                            <a:off x="0" y="0"/>
                            <a:ext cx="22860" cy="73152"/>
                          </a:xfrm>
                          <a:prstGeom prst="rect">
                            <a:avLst/>
                          </a:prstGeom>
                        </pic:spPr>
                      </pic:pic>
                    </a:graphicData>
                  </a:graphic>
                </wp:inline>
              </w:drawing>
            </w:r>
            <w:r>
              <w:rPr>
                <w:sz w:val="18"/>
              </w:rPr>
              <w:t xml:space="preserve"> </w:t>
            </w:r>
            <w:r>
              <w:rPr>
                <w:noProof/>
              </w:rPr>
              <w:drawing>
                <wp:inline distT="0" distB="0" distL="0" distR="0" wp14:anchorId="0AD778CF" wp14:editId="07424F08">
                  <wp:extent cx="45720" cy="54863"/>
                  <wp:effectExtent l="0" t="0" r="0" b="0"/>
                  <wp:docPr id="182611" name="Picture 182611"/>
                  <wp:cNvGraphicFramePr/>
                  <a:graphic xmlns:a="http://schemas.openxmlformats.org/drawingml/2006/main">
                    <a:graphicData uri="http://schemas.openxmlformats.org/drawingml/2006/picture">
                      <pic:pic xmlns:pic="http://schemas.openxmlformats.org/drawingml/2006/picture">
                        <pic:nvPicPr>
                          <pic:cNvPr id="182611" name="Picture 182611"/>
                          <pic:cNvPicPr/>
                        </pic:nvPicPr>
                        <pic:blipFill>
                          <a:blip r:embed="rId261"/>
                          <a:stretch>
                            <a:fillRect/>
                          </a:stretch>
                        </pic:blipFill>
                        <pic:spPr>
                          <a:xfrm>
                            <a:off x="0" y="0"/>
                            <a:ext cx="45720" cy="54863"/>
                          </a:xfrm>
                          <a:prstGeom prst="rect">
                            <a:avLst/>
                          </a:prstGeom>
                        </pic:spPr>
                      </pic:pic>
                    </a:graphicData>
                  </a:graphic>
                </wp:inline>
              </w:drawing>
            </w:r>
            <w:r>
              <w:rPr>
                <w:sz w:val="18"/>
              </w:rPr>
              <w:t xml:space="preserve"> la jurisdicción de Dirección Departamental de Educación</w:t>
            </w:r>
          </w:p>
          <w:p w14:paraId="20FB11DE" w14:textId="77777777" w:rsidR="00053D93" w:rsidRDefault="00260B75">
            <w:pPr>
              <w:ind w:left="75"/>
            </w:pPr>
            <w:r>
              <w:rPr>
                <w:sz w:val="18"/>
              </w:rPr>
              <w:t>Guatemala Norte</w:t>
            </w:r>
          </w:p>
        </w:tc>
        <w:tc>
          <w:tcPr>
            <w:tcW w:w="2287" w:type="dxa"/>
            <w:tcBorders>
              <w:top w:val="single" w:sz="2" w:space="0" w:color="000000"/>
              <w:left w:val="single" w:sz="2" w:space="0" w:color="000000"/>
              <w:bottom w:val="single" w:sz="2" w:space="0" w:color="000000"/>
              <w:right w:val="single" w:sz="2" w:space="0" w:color="000000"/>
            </w:tcBorders>
            <w:vAlign w:val="bottom"/>
          </w:tcPr>
          <w:p w14:paraId="5AE93E86" w14:textId="77777777" w:rsidR="00053D93" w:rsidRDefault="00260B75">
            <w:pPr>
              <w:spacing w:line="263" w:lineRule="auto"/>
              <w:ind w:left="79" w:right="84" w:firstLine="7"/>
              <w:jc w:val="both"/>
            </w:pPr>
            <w:r>
              <w:rPr>
                <w:sz w:val="16"/>
              </w:rPr>
              <w:t>Pago de honorarios a recurso humano de la Fundación CONGUATE y adquisición de Mobiliario o enseres de cocinas a establecimientos públicos priorizados bajo 'a jurisdicción de Dirección Departamental de</w:t>
            </w:r>
          </w:p>
          <w:p w14:paraId="41108275" w14:textId="77777777" w:rsidR="00053D93" w:rsidRDefault="00260B75">
            <w:pPr>
              <w:ind w:left="86"/>
            </w:pPr>
            <w:r>
              <w:rPr>
                <w:sz w:val="16"/>
              </w:rPr>
              <w:t>Educación Guatemala Norte.</w:t>
            </w:r>
          </w:p>
        </w:tc>
        <w:tc>
          <w:tcPr>
            <w:tcW w:w="1440" w:type="dxa"/>
            <w:tcBorders>
              <w:top w:val="single" w:sz="2" w:space="0" w:color="000000"/>
              <w:left w:val="single" w:sz="2" w:space="0" w:color="000000"/>
              <w:bottom w:val="single" w:sz="2" w:space="0" w:color="000000"/>
              <w:right w:val="single" w:sz="2" w:space="0" w:color="000000"/>
            </w:tcBorders>
          </w:tcPr>
          <w:p w14:paraId="31698BEF" w14:textId="77777777" w:rsidR="00053D93" w:rsidRDefault="00053D93"/>
        </w:tc>
      </w:tr>
      <w:tr w:rsidR="00053D93" w14:paraId="13AECE97" w14:textId="77777777">
        <w:trPr>
          <w:trHeight w:val="483"/>
        </w:trPr>
        <w:tc>
          <w:tcPr>
            <w:tcW w:w="306" w:type="dxa"/>
            <w:vMerge w:val="restart"/>
            <w:tcBorders>
              <w:top w:val="single" w:sz="2" w:space="0" w:color="000000"/>
              <w:left w:val="single" w:sz="2" w:space="0" w:color="000000"/>
              <w:bottom w:val="nil"/>
              <w:right w:val="single" w:sz="2" w:space="0" w:color="000000"/>
            </w:tcBorders>
            <w:vAlign w:val="center"/>
          </w:tcPr>
          <w:p w14:paraId="2198AFEA" w14:textId="77777777" w:rsidR="00053D93" w:rsidRDefault="00260B75">
            <w:pPr>
              <w:ind w:left="-4"/>
            </w:pPr>
            <w:r>
              <w:rPr>
                <w:noProof/>
              </w:rPr>
              <w:drawing>
                <wp:inline distT="0" distB="0" distL="0" distR="0" wp14:anchorId="15DE915E" wp14:editId="167B841D">
                  <wp:extent cx="196596" cy="406909"/>
                  <wp:effectExtent l="0" t="0" r="0" b="0"/>
                  <wp:docPr id="182549" name="Picture 182549"/>
                  <wp:cNvGraphicFramePr/>
                  <a:graphic xmlns:a="http://schemas.openxmlformats.org/drawingml/2006/main">
                    <a:graphicData uri="http://schemas.openxmlformats.org/drawingml/2006/picture">
                      <pic:pic xmlns:pic="http://schemas.openxmlformats.org/drawingml/2006/picture">
                        <pic:nvPicPr>
                          <pic:cNvPr id="182549" name="Picture 182549"/>
                          <pic:cNvPicPr/>
                        </pic:nvPicPr>
                        <pic:blipFill>
                          <a:blip r:embed="rId262"/>
                          <a:stretch>
                            <a:fillRect/>
                          </a:stretch>
                        </pic:blipFill>
                        <pic:spPr>
                          <a:xfrm>
                            <a:off x="0" y="0"/>
                            <a:ext cx="196596" cy="406909"/>
                          </a:xfrm>
                          <a:prstGeom prst="rect">
                            <a:avLst/>
                          </a:prstGeom>
                        </pic:spPr>
                      </pic:pic>
                    </a:graphicData>
                  </a:graphic>
                </wp:inline>
              </w:drawing>
            </w:r>
          </w:p>
        </w:tc>
        <w:tc>
          <w:tcPr>
            <w:tcW w:w="304" w:type="dxa"/>
            <w:tcBorders>
              <w:top w:val="single" w:sz="2" w:space="0" w:color="000000"/>
              <w:left w:val="single" w:sz="2" w:space="0" w:color="000000"/>
              <w:bottom w:val="nil"/>
              <w:right w:val="single" w:sz="2" w:space="0" w:color="000000"/>
            </w:tcBorders>
          </w:tcPr>
          <w:p w14:paraId="79A16CE9" w14:textId="77777777" w:rsidR="00053D93" w:rsidRDefault="00053D93"/>
        </w:tc>
        <w:tc>
          <w:tcPr>
            <w:tcW w:w="1126" w:type="dxa"/>
            <w:gridSpan w:val="2"/>
            <w:tcBorders>
              <w:top w:val="single" w:sz="2" w:space="0" w:color="000000"/>
              <w:left w:val="single" w:sz="2" w:space="0" w:color="000000"/>
              <w:bottom w:val="nil"/>
              <w:right w:val="single" w:sz="2" w:space="0" w:color="000000"/>
            </w:tcBorders>
          </w:tcPr>
          <w:p w14:paraId="40DC1CBB" w14:textId="77777777" w:rsidR="00053D93" w:rsidRDefault="00053D93"/>
        </w:tc>
        <w:tc>
          <w:tcPr>
            <w:tcW w:w="914" w:type="dxa"/>
            <w:tcBorders>
              <w:top w:val="single" w:sz="2" w:space="0" w:color="000000"/>
              <w:left w:val="single" w:sz="2" w:space="0" w:color="000000"/>
              <w:bottom w:val="single" w:sz="2" w:space="0" w:color="000000"/>
              <w:right w:val="single" w:sz="2" w:space="0" w:color="000000"/>
            </w:tcBorders>
          </w:tcPr>
          <w:p w14:paraId="574715F6" w14:textId="77777777" w:rsidR="00053D93" w:rsidRDefault="00053D93"/>
        </w:tc>
        <w:tc>
          <w:tcPr>
            <w:tcW w:w="2177" w:type="dxa"/>
            <w:gridSpan w:val="3"/>
            <w:tcBorders>
              <w:top w:val="single" w:sz="2" w:space="0" w:color="000000"/>
              <w:left w:val="single" w:sz="2" w:space="0" w:color="000000"/>
              <w:bottom w:val="single" w:sz="2" w:space="0" w:color="000000"/>
              <w:right w:val="single" w:sz="2" w:space="0" w:color="000000"/>
            </w:tcBorders>
            <w:vAlign w:val="bottom"/>
          </w:tcPr>
          <w:p w14:paraId="5D226B03" w14:textId="77777777" w:rsidR="00053D93" w:rsidRDefault="00260B75">
            <w:pPr>
              <w:tabs>
                <w:tab w:val="right" w:pos="2177"/>
              </w:tabs>
            </w:pPr>
            <w:r>
              <w:rPr>
                <w:sz w:val="18"/>
              </w:rPr>
              <w:t>Asociación</w:t>
            </w:r>
            <w:r>
              <w:rPr>
                <w:sz w:val="18"/>
              </w:rPr>
              <w:tab/>
              <w:t>Ak'Tenamit,</w:t>
            </w:r>
          </w:p>
        </w:tc>
        <w:tc>
          <w:tcPr>
            <w:tcW w:w="2287" w:type="dxa"/>
            <w:tcBorders>
              <w:top w:val="single" w:sz="2" w:space="0" w:color="000000"/>
              <w:left w:val="single" w:sz="2" w:space="0" w:color="000000"/>
              <w:bottom w:val="single" w:sz="2" w:space="0" w:color="000000"/>
              <w:right w:val="single" w:sz="2" w:space="0" w:color="000000"/>
            </w:tcBorders>
          </w:tcPr>
          <w:p w14:paraId="0C703A78" w14:textId="77777777" w:rsidR="00053D93" w:rsidRDefault="00260B75">
            <w:pPr>
              <w:ind w:left="79"/>
            </w:pPr>
            <w:r>
              <w:rPr>
                <w:sz w:val="16"/>
              </w:rPr>
              <w:t>Transferencias A Instituciones Que</w:t>
            </w:r>
          </w:p>
          <w:p w14:paraId="487FC20B" w14:textId="77777777" w:rsidR="00053D93" w:rsidRDefault="00260B75">
            <w:pPr>
              <w:ind w:left="86"/>
            </w:pPr>
            <w:r>
              <w:rPr>
                <w:sz w:val="16"/>
              </w:rPr>
              <w:t>Prestan Servicios Educativos</w:t>
            </w:r>
          </w:p>
        </w:tc>
        <w:tc>
          <w:tcPr>
            <w:tcW w:w="1440" w:type="dxa"/>
            <w:tcBorders>
              <w:top w:val="single" w:sz="2" w:space="0" w:color="000000"/>
              <w:left w:val="single" w:sz="2" w:space="0" w:color="000000"/>
              <w:bottom w:val="single" w:sz="2" w:space="0" w:color="000000"/>
              <w:right w:val="single" w:sz="2" w:space="0" w:color="000000"/>
            </w:tcBorders>
          </w:tcPr>
          <w:p w14:paraId="6843FF87" w14:textId="77777777" w:rsidR="00053D93" w:rsidRDefault="00053D93"/>
        </w:tc>
      </w:tr>
      <w:tr w:rsidR="00053D93" w14:paraId="5C948C97" w14:textId="77777777">
        <w:trPr>
          <w:trHeight w:val="451"/>
        </w:trPr>
        <w:tc>
          <w:tcPr>
            <w:tcW w:w="0" w:type="auto"/>
            <w:vMerge/>
            <w:tcBorders>
              <w:top w:val="nil"/>
              <w:left w:val="single" w:sz="2" w:space="0" w:color="000000"/>
              <w:bottom w:val="nil"/>
              <w:right w:val="single" w:sz="2" w:space="0" w:color="000000"/>
            </w:tcBorders>
          </w:tcPr>
          <w:p w14:paraId="34382397" w14:textId="77777777" w:rsidR="00053D93" w:rsidRDefault="00053D93"/>
        </w:tc>
        <w:tc>
          <w:tcPr>
            <w:tcW w:w="304" w:type="dxa"/>
            <w:vMerge w:val="restart"/>
            <w:tcBorders>
              <w:top w:val="nil"/>
              <w:left w:val="single" w:sz="2" w:space="0" w:color="000000"/>
              <w:bottom w:val="nil"/>
              <w:right w:val="single" w:sz="2" w:space="0" w:color="000000"/>
            </w:tcBorders>
          </w:tcPr>
          <w:p w14:paraId="68BA1C30" w14:textId="77777777" w:rsidR="00053D93" w:rsidRDefault="00053D93"/>
        </w:tc>
        <w:tc>
          <w:tcPr>
            <w:tcW w:w="254" w:type="dxa"/>
            <w:vMerge w:val="restart"/>
            <w:tcBorders>
              <w:top w:val="nil"/>
              <w:left w:val="single" w:sz="2" w:space="0" w:color="000000"/>
              <w:bottom w:val="nil"/>
              <w:right w:val="single" w:sz="2" w:space="0" w:color="000000"/>
            </w:tcBorders>
          </w:tcPr>
          <w:p w14:paraId="46D85074" w14:textId="77777777" w:rsidR="00053D93" w:rsidRDefault="00053D93"/>
        </w:tc>
        <w:tc>
          <w:tcPr>
            <w:tcW w:w="7691" w:type="dxa"/>
            <w:gridSpan w:val="7"/>
            <w:vMerge w:val="restart"/>
            <w:tcBorders>
              <w:top w:val="single" w:sz="2" w:space="0" w:color="000000"/>
              <w:left w:val="single" w:sz="2" w:space="0" w:color="000000"/>
              <w:bottom w:val="nil"/>
              <w:right w:val="nil"/>
            </w:tcBorders>
          </w:tcPr>
          <w:p w14:paraId="73934502" w14:textId="77777777" w:rsidR="00053D93" w:rsidRDefault="00260B75">
            <w:pPr>
              <w:ind w:left="2639"/>
            </w:pPr>
            <w:r>
              <w:rPr>
                <w:sz w:val="14"/>
              </w:rPr>
              <w:t>MINISTERIO DE EDUCACION</w:t>
            </w:r>
          </w:p>
          <w:p w14:paraId="73CB59E1" w14:textId="77777777" w:rsidR="00053D93" w:rsidRDefault="00260B75">
            <w:pPr>
              <w:ind w:left="2149"/>
            </w:pPr>
            <w:r>
              <w:rPr>
                <w:sz w:val="14"/>
              </w:rPr>
              <w:t>AUDITORIA FINANCIERA Y DE CUMPLIMIENTO</w:t>
            </w:r>
          </w:p>
          <w:p w14:paraId="5B440C31" w14:textId="77777777" w:rsidR="00053D93" w:rsidRDefault="00260B75">
            <w:pPr>
              <w:ind w:left="1811"/>
            </w:pPr>
            <w:r>
              <w:rPr>
                <w:sz w:val="14"/>
              </w:rPr>
              <w:t>PER(OOO DEL 01 DE ENERO AL 31 DE DICIEMBRE DE 2024</w:t>
            </w:r>
          </w:p>
        </w:tc>
      </w:tr>
      <w:tr w:rsidR="00053D93" w14:paraId="1EC7DD38" w14:textId="77777777">
        <w:trPr>
          <w:trHeight w:val="450"/>
        </w:trPr>
        <w:tc>
          <w:tcPr>
            <w:tcW w:w="0" w:type="auto"/>
            <w:vMerge/>
            <w:tcBorders>
              <w:top w:val="nil"/>
              <w:left w:val="single" w:sz="2" w:space="0" w:color="000000"/>
              <w:bottom w:val="nil"/>
              <w:right w:val="single" w:sz="2" w:space="0" w:color="000000"/>
            </w:tcBorders>
          </w:tcPr>
          <w:p w14:paraId="49E2600F" w14:textId="77777777" w:rsidR="00053D93" w:rsidRDefault="00053D93"/>
        </w:tc>
        <w:tc>
          <w:tcPr>
            <w:tcW w:w="0" w:type="auto"/>
            <w:vMerge/>
            <w:tcBorders>
              <w:top w:val="nil"/>
              <w:left w:val="single" w:sz="2" w:space="0" w:color="000000"/>
              <w:bottom w:val="nil"/>
              <w:right w:val="single" w:sz="2" w:space="0" w:color="000000"/>
            </w:tcBorders>
          </w:tcPr>
          <w:p w14:paraId="0C8C0C2C" w14:textId="77777777" w:rsidR="00053D93" w:rsidRDefault="00053D93"/>
        </w:tc>
        <w:tc>
          <w:tcPr>
            <w:tcW w:w="0" w:type="auto"/>
            <w:vMerge/>
            <w:tcBorders>
              <w:top w:val="nil"/>
              <w:left w:val="single" w:sz="2" w:space="0" w:color="000000"/>
              <w:bottom w:val="nil"/>
              <w:right w:val="single" w:sz="2" w:space="0" w:color="000000"/>
            </w:tcBorders>
          </w:tcPr>
          <w:p w14:paraId="73BBBCF6" w14:textId="77777777" w:rsidR="00053D93" w:rsidRDefault="00053D93"/>
        </w:tc>
        <w:tc>
          <w:tcPr>
            <w:tcW w:w="0" w:type="auto"/>
            <w:gridSpan w:val="7"/>
            <w:vMerge/>
            <w:tcBorders>
              <w:top w:val="nil"/>
              <w:left w:val="single" w:sz="2" w:space="0" w:color="000000"/>
              <w:bottom w:val="nil"/>
              <w:right w:val="nil"/>
            </w:tcBorders>
          </w:tcPr>
          <w:p w14:paraId="044D266D" w14:textId="77777777" w:rsidR="00053D93" w:rsidRDefault="00053D93"/>
        </w:tc>
      </w:tr>
    </w:tbl>
    <w:tbl>
      <w:tblPr>
        <w:tblStyle w:val="TableGrid"/>
        <w:tblpPr w:vertAnchor="page" w:horzAnchor="page" w:tblpX="2863" w:tblpY="14494"/>
        <w:tblOverlap w:val="never"/>
        <w:tblW w:w="7620" w:type="dxa"/>
        <w:tblInd w:w="0" w:type="dxa"/>
        <w:tblCellMar>
          <w:top w:w="40" w:type="dxa"/>
          <w:left w:w="1745" w:type="dxa"/>
          <w:right w:w="115" w:type="dxa"/>
        </w:tblCellMar>
        <w:tblLook w:val="04A0" w:firstRow="1" w:lastRow="0" w:firstColumn="1" w:lastColumn="0" w:noHBand="0" w:noVBand="1"/>
      </w:tblPr>
      <w:tblGrid>
        <w:gridCol w:w="7620"/>
      </w:tblGrid>
      <w:tr w:rsidR="00053D93" w14:paraId="33405CD4" w14:textId="77777777">
        <w:trPr>
          <w:trHeight w:val="41"/>
        </w:trPr>
        <w:tc>
          <w:tcPr>
            <w:tcW w:w="7620" w:type="dxa"/>
            <w:tcBorders>
              <w:top w:val="nil"/>
              <w:left w:val="single" w:sz="2" w:space="0" w:color="000000"/>
              <w:bottom w:val="single" w:sz="2" w:space="0" w:color="000000"/>
              <w:right w:val="nil"/>
            </w:tcBorders>
          </w:tcPr>
          <w:p w14:paraId="747E7AF7" w14:textId="77777777" w:rsidR="00053D93" w:rsidRDefault="00053D93"/>
        </w:tc>
      </w:tr>
      <w:tr w:rsidR="00053D93" w14:paraId="5CE7560B" w14:textId="77777777">
        <w:trPr>
          <w:trHeight w:val="600"/>
        </w:trPr>
        <w:tc>
          <w:tcPr>
            <w:tcW w:w="7620" w:type="dxa"/>
            <w:tcBorders>
              <w:top w:val="single" w:sz="2" w:space="0" w:color="000000"/>
              <w:left w:val="single" w:sz="2" w:space="0" w:color="000000"/>
              <w:bottom w:val="nil"/>
              <w:right w:val="nil"/>
            </w:tcBorders>
          </w:tcPr>
          <w:p w14:paraId="4735F7AC" w14:textId="77777777" w:rsidR="00053D93" w:rsidRDefault="00260B75">
            <w:pPr>
              <w:ind w:left="828"/>
            </w:pPr>
            <w:r>
              <w:rPr>
                <w:sz w:val="12"/>
              </w:rPr>
              <w:lastRenderedPageBreak/>
              <w:t>MENISTEREO DE EDUCACION</w:t>
            </w:r>
          </w:p>
          <w:p w14:paraId="7C6B6656" w14:textId="77777777" w:rsidR="00053D93" w:rsidRDefault="00260B75">
            <w:pPr>
              <w:ind w:left="338"/>
            </w:pPr>
            <w:r>
              <w:rPr>
                <w:sz w:val="14"/>
              </w:rPr>
              <w:t>AUDITORIA FINANCIERA Y DE CUMPLIMIENTO</w:t>
            </w:r>
          </w:p>
          <w:p w14:paraId="3F41DDD0" w14:textId="77777777" w:rsidR="00053D93" w:rsidRDefault="00260B75">
            <w:r>
              <w:rPr>
                <w:sz w:val="14"/>
              </w:rPr>
              <w:t>PERIODO DEI. 01 DE ENERO AL 31 DE DICIEMBRE DE 2024</w:t>
            </w:r>
          </w:p>
        </w:tc>
      </w:tr>
    </w:tbl>
    <w:p w14:paraId="31DCC9E6" w14:textId="77777777" w:rsidR="00053D93" w:rsidRDefault="00260B75">
      <w:pPr>
        <w:tabs>
          <w:tab w:val="center" w:pos="3618"/>
          <w:tab w:val="center" w:pos="5101"/>
        </w:tabs>
        <w:spacing w:after="0" w:line="265" w:lineRule="auto"/>
      </w:pPr>
      <w:r>
        <w:rPr>
          <w:noProof/>
        </w:rPr>
        <w:drawing>
          <wp:anchor distT="0" distB="0" distL="114300" distR="114300" simplePos="0" relativeHeight="251791360" behindDoc="0" locked="0" layoutInCell="1" allowOverlap="0" wp14:anchorId="1B881285" wp14:editId="4E3B44D1">
            <wp:simplePos x="0" y="0"/>
            <wp:positionH relativeFrom="page">
              <wp:posOffset>214884</wp:posOffset>
            </wp:positionH>
            <wp:positionV relativeFrom="page">
              <wp:posOffset>1357884</wp:posOffset>
            </wp:positionV>
            <wp:extent cx="141732" cy="365760"/>
            <wp:effectExtent l="0" t="0" r="0" b="0"/>
            <wp:wrapTopAndBottom/>
            <wp:docPr id="189930" name="Picture 189930"/>
            <wp:cNvGraphicFramePr/>
            <a:graphic xmlns:a="http://schemas.openxmlformats.org/drawingml/2006/main">
              <a:graphicData uri="http://schemas.openxmlformats.org/drawingml/2006/picture">
                <pic:pic xmlns:pic="http://schemas.openxmlformats.org/drawingml/2006/picture">
                  <pic:nvPicPr>
                    <pic:cNvPr id="189930" name="Picture 189930"/>
                    <pic:cNvPicPr/>
                  </pic:nvPicPr>
                  <pic:blipFill>
                    <a:blip r:embed="rId263"/>
                    <a:stretch>
                      <a:fillRect/>
                    </a:stretch>
                  </pic:blipFill>
                  <pic:spPr>
                    <a:xfrm>
                      <a:off x="0" y="0"/>
                      <a:ext cx="141732" cy="365760"/>
                    </a:xfrm>
                    <a:prstGeom prst="rect">
                      <a:avLst/>
                    </a:prstGeom>
                  </pic:spPr>
                </pic:pic>
              </a:graphicData>
            </a:graphic>
          </wp:anchor>
        </w:drawing>
      </w:r>
      <w:r>
        <w:rPr>
          <w:noProof/>
        </w:rPr>
        <w:drawing>
          <wp:anchor distT="0" distB="0" distL="114300" distR="114300" simplePos="0" relativeHeight="251792384" behindDoc="0" locked="0" layoutInCell="1" allowOverlap="0" wp14:anchorId="52CBF139" wp14:editId="74F1F5BD">
            <wp:simplePos x="0" y="0"/>
            <wp:positionH relativeFrom="page">
              <wp:posOffset>676656</wp:posOffset>
            </wp:positionH>
            <wp:positionV relativeFrom="page">
              <wp:posOffset>9203436</wp:posOffset>
            </wp:positionV>
            <wp:extent cx="1120140" cy="406909"/>
            <wp:effectExtent l="0" t="0" r="0" b="0"/>
            <wp:wrapTopAndBottom/>
            <wp:docPr id="189931" name="Picture 189931"/>
            <wp:cNvGraphicFramePr/>
            <a:graphic xmlns:a="http://schemas.openxmlformats.org/drawingml/2006/main">
              <a:graphicData uri="http://schemas.openxmlformats.org/drawingml/2006/picture">
                <pic:pic xmlns:pic="http://schemas.openxmlformats.org/drawingml/2006/picture">
                  <pic:nvPicPr>
                    <pic:cNvPr id="189931" name="Picture 189931"/>
                    <pic:cNvPicPr/>
                  </pic:nvPicPr>
                  <pic:blipFill>
                    <a:blip r:embed="rId264"/>
                    <a:stretch>
                      <a:fillRect/>
                    </a:stretch>
                  </pic:blipFill>
                  <pic:spPr>
                    <a:xfrm>
                      <a:off x="0" y="0"/>
                      <a:ext cx="1120140" cy="406909"/>
                    </a:xfrm>
                    <a:prstGeom prst="rect">
                      <a:avLst/>
                    </a:prstGeom>
                  </pic:spPr>
                </pic:pic>
              </a:graphicData>
            </a:graphic>
          </wp:anchor>
        </w:drawing>
      </w:r>
      <w:r>
        <w:rPr>
          <w:sz w:val="18"/>
        </w:rPr>
        <w:tab/>
        <w:t>Nuevo) AAT</w:t>
      </w:r>
      <w:r>
        <w:rPr>
          <w:sz w:val="18"/>
        </w:rPr>
        <w:tab/>
        <w:t>Gratuitos.</w:t>
      </w:r>
    </w:p>
    <w:tbl>
      <w:tblPr>
        <w:tblStyle w:val="TableGrid"/>
        <w:tblW w:w="8460" w:type="dxa"/>
        <w:tblInd w:w="0" w:type="dxa"/>
        <w:tblCellMar>
          <w:left w:w="75" w:type="dxa"/>
          <w:right w:w="69" w:type="dxa"/>
        </w:tblCellMar>
        <w:tblLook w:val="04A0" w:firstRow="1" w:lastRow="0" w:firstColumn="1" w:lastColumn="0" w:noHBand="0" w:noVBand="1"/>
      </w:tblPr>
      <w:tblGrid>
        <w:gridCol w:w="389"/>
        <w:gridCol w:w="1223"/>
        <w:gridCol w:w="979"/>
        <w:gridCol w:w="2139"/>
        <w:gridCol w:w="2233"/>
        <w:gridCol w:w="1497"/>
      </w:tblGrid>
      <w:tr w:rsidR="00053D93" w14:paraId="2C38BD75" w14:textId="77777777">
        <w:trPr>
          <w:trHeight w:val="551"/>
        </w:trPr>
        <w:tc>
          <w:tcPr>
            <w:tcW w:w="389" w:type="dxa"/>
            <w:tcBorders>
              <w:top w:val="single" w:sz="2" w:space="0" w:color="000000"/>
              <w:left w:val="single" w:sz="2" w:space="0" w:color="000000"/>
              <w:bottom w:val="single" w:sz="2" w:space="0" w:color="000000"/>
              <w:right w:val="single" w:sz="2" w:space="0" w:color="000000"/>
            </w:tcBorders>
          </w:tcPr>
          <w:p w14:paraId="7E3A5797" w14:textId="77777777" w:rsidR="00053D93" w:rsidRDefault="00260B75">
            <w:pPr>
              <w:spacing w:after="239"/>
              <w:ind w:left="33"/>
            </w:pPr>
            <w:r>
              <w:rPr>
                <w:rFonts w:ascii="Times New Roman" w:eastAsia="Times New Roman" w:hAnsi="Times New Roman" w:cs="Times New Roman"/>
                <w:sz w:val="16"/>
              </w:rPr>
              <w:t>32</w:t>
            </w:r>
          </w:p>
          <w:p w14:paraId="1F3F304C" w14:textId="77777777" w:rsidR="00053D93" w:rsidRDefault="00260B75">
            <w:pPr>
              <w:ind w:left="33"/>
            </w:pPr>
            <w:r>
              <w:rPr>
                <w:rFonts w:ascii="Times New Roman" w:eastAsia="Times New Roman" w:hAnsi="Times New Roman" w:cs="Times New Roman"/>
                <w:sz w:val="18"/>
              </w:rPr>
              <w:t>33</w:t>
            </w:r>
          </w:p>
        </w:tc>
        <w:tc>
          <w:tcPr>
            <w:tcW w:w="1257" w:type="dxa"/>
            <w:tcBorders>
              <w:top w:val="single" w:sz="2" w:space="0" w:color="000000"/>
              <w:left w:val="single" w:sz="2" w:space="0" w:color="000000"/>
              <w:bottom w:val="single" w:sz="2" w:space="0" w:color="000000"/>
              <w:right w:val="single" w:sz="2" w:space="0" w:color="000000"/>
            </w:tcBorders>
          </w:tcPr>
          <w:p w14:paraId="562C9193" w14:textId="77777777" w:rsidR="00053D93" w:rsidRDefault="00260B75">
            <w:pPr>
              <w:spacing w:after="239"/>
              <w:ind w:right="31"/>
              <w:jc w:val="center"/>
            </w:pPr>
            <w:r>
              <w:rPr>
                <w:rFonts w:ascii="Times New Roman" w:eastAsia="Times New Roman" w:hAnsi="Times New Roman" w:cs="Times New Roman"/>
                <w:sz w:val="16"/>
              </w:rPr>
              <w:t>02-2024</w:t>
            </w:r>
          </w:p>
          <w:p w14:paraId="06D99690" w14:textId="77777777" w:rsidR="00053D93" w:rsidRDefault="00260B75">
            <w:pPr>
              <w:ind w:right="31"/>
              <w:jc w:val="center"/>
            </w:pPr>
            <w:r>
              <w:rPr>
                <w:rFonts w:ascii="Times New Roman" w:eastAsia="Times New Roman" w:hAnsi="Times New Roman" w:cs="Times New Roman"/>
                <w:sz w:val="16"/>
              </w:rPr>
              <w:t>02-2024</w:t>
            </w:r>
          </w:p>
        </w:tc>
        <w:tc>
          <w:tcPr>
            <w:tcW w:w="922" w:type="dxa"/>
            <w:tcBorders>
              <w:top w:val="single" w:sz="2" w:space="0" w:color="000000"/>
              <w:left w:val="single" w:sz="2" w:space="0" w:color="000000"/>
              <w:bottom w:val="single" w:sz="2" w:space="0" w:color="000000"/>
              <w:right w:val="single" w:sz="2" w:space="0" w:color="000000"/>
            </w:tcBorders>
          </w:tcPr>
          <w:p w14:paraId="6471C3D7" w14:textId="77777777" w:rsidR="00053D93" w:rsidRDefault="00260B75">
            <w:pPr>
              <w:spacing w:after="239"/>
              <w:ind w:left="7"/>
            </w:pPr>
            <w:r>
              <w:rPr>
                <w:rFonts w:ascii="Times New Roman" w:eastAsia="Times New Roman" w:hAnsi="Times New Roman" w:cs="Times New Roman"/>
                <w:sz w:val="16"/>
              </w:rPr>
              <w:t>15/0312024</w:t>
            </w:r>
          </w:p>
          <w:p w14:paraId="7B72EB6A" w14:textId="77777777" w:rsidR="00053D93" w:rsidRDefault="00260B75">
            <w:pPr>
              <w:ind w:left="43"/>
            </w:pPr>
            <w:r>
              <w:rPr>
                <w:rFonts w:ascii="Times New Roman" w:eastAsia="Times New Roman" w:hAnsi="Times New Roman" w:cs="Times New Roman"/>
                <w:sz w:val="16"/>
              </w:rPr>
              <w:t>8110/2024</w:t>
            </w:r>
          </w:p>
        </w:tc>
        <w:tc>
          <w:tcPr>
            <w:tcW w:w="2174" w:type="dxa"/>
            <w:tcBorders>
              <w:top w:val="single" w:sz="2" w:space="0" w:color="000000"/>
              <w:left w:val="single" w:sz="2" w:space="0" w:color="000000"/>
              <w:bottom w:val="single" w:sz="2" w:space="0" w:color="000000"/>
              <w:right w:val="single" w:sz="2" w:space="0" w:color="000000"/>
            </w:tcBorders>
          </w:tcPr>
          <w:p w14:paraId="02BE3952" w14:textId="77777777" w:rsidR="00053D93" w:rsidRDefault="00260B75">
            <w:pPr>
              <w:spacing w:after="29"/>
            </w:pPr>
            <w:r>
              <w:rPr>
                <w:sz w:val="18"/>
              </w:rPr>
              <w:t xml:space="preserve">(Pueblo </w:t>
            </w:r>
          </w:p>
          <w:p w14:paraId="56A9C359" w14:textId="77777777" w:rsidR="00053D93" w:rsidRDefault="00260B75">
            <w:pPr>
              <w:ind w:left="7" w:hanging="7"/>
            </w:pPr>
            <w:r>
              <w:rPr>
                <w:sz w:val="18"/>
              </w:rPr>
              <w:t>Asociación</w:t>
            </w:r>
            <w:r>
              <w:rPr>
                <w:sz w:val="18"/>
              </w:rPr>
              <w:tab/>
              <w:t>Ak 'Tenamit, (Pueblo Nuevo) AAT</w:t>
            </w:r>
          </w:p>
        </w:tc>
        <w:tc>
          <w:tcPr>
            <w:tcW w:w="2282" w:type="dxa"/>
            <w:tcBorders>
              <w:top w:val="single" w:sz="2" w:space="0" w:color="000000"/>
              <w:left w:val="single" w:sz="2" w:space="0" w:color="000000"/>
              <w:bottom w:val="single" w:sz="2" w:space="0" w:color="000000"/>
              <w:right w:val="single" w:sz="2" w:space="0" w:color="000000"/>
            </w:tcBorders>
            <w:vAlign w:val="bottom"/>
          </w:tcPr>
          <w:p w14:paraId="49B80EE4" w14:textId="77777777" w:rsidR="00053D93" w:rsidRDefault="00260B75">
            <w:r>
              <w:rPr>
                <w:sz w:val="16"/>
              </w:rPr>
              <w:t>Ampliación Presupuestaria.</w:t>
            </w:r>
          </w:p>
        </w:tc>
        <w:tc>
          <w:tcPr>
            <w:tcW w:w="1435" w:type="dxa"/>
            <w:tcBorders>
              <w:top w:val="single" w:sz="2" w:space="0" w:color="000000"/>
              <w:left w:val="single" w:sz="2" w:space="0" w:color="000000"/>
              <w:bottom w:val="single" w:sz="2" w:space="0" w:color="000000"/>
              <w:right w:val="single" w:sz="2" w:space="0" w:color="000000"/>
            </w:tcBorders>
            <w:vAlign w:val="bottom"/>
          </w:tcPr>
          <w:p w14:paraId="35201E57" w14:textId="77777777" w:rsidR="00053D93" w:rsidRDefault="00260B75">
            <w:pPr>
              <w:ind w:right="17"/>
              <w:jc w:val="right"/>
            </w:pPr>
            <w:r>
              <w:rPr>
                <w:rFonts w:ascii="Times New Roman" w:eastAsia="Times New Roman" w:hAnsi="Times New Roman" w:cs="Times New Roman"/>
                <w:sz w:val="18"/>
              </w:rPr>
              <w:t>3.000.000.00</w:t>
            </w:r>
          </w:p>
        </w:tc>
      </w:tr>
      <w:tr w:rsidR="00053D93" w14:paraId="337A9546" w14:textId="77777777">
        <w:trPr>
          <w:trHeight w:val="554"/>
        </w:trPr>
        <w:tc>
          <w:tcPr>
            <w:tcW w:w="389" w:type="dxa"/>
            <w:tcBorders>
              <w:top w:val="single" w:sz="2" w:space="0" w:color="000000"/>
              <w:left w:val="single" w:sz="2" w:space="0" w:color="000000"/>
              <w:bottom w:val="single" w:sz="2" w:space="0" w:color="000000"/>
              <w:right w:val="single" w:sz="2" w:space="0" w:color="000000"/>
            </w:tcBorders>
            <w:vAlign w:val="bottom"/>
          </w:tcPr>
          <w:p w14:paraId="17C900C8" w14:textId="77777777" w:rsidR="00053D93" w:rsidRDefault="00260B75">
            <w:pPr>
              <w:ind w:left="33"/>
            </w:pPr>
            <w:r>
              <w:rPr>
                <w:rFonts w:ascii="Times New Roman" w:eastAsia="Times New Roman" w:hAnsi="Times New Roman" w:cs="Times New Roman"/>
                <w:sz w:val="16"/>
              </w:rPr>
              <w:t>34</w:t>
            </w:r>
          </w:p>
        </w:tc>
        <w:tc>
          <w:tcPr>
            <w:tcW w:w="1257" w:type="dxa"/>
            <w:tcBorders>
              <w:top w:val="single" w:sz="2" w:space="0" w:color="000000"/>
              <w:left w:val="single" w:sz="2" w:space="0" w:color="000000"/>
              <w:bottom w:val="single" w:sz="2" w:space="0" w:color="000000"/>
              <w:right w:val="single" w:sz="2" w:space="0" w:color="000000"/>
            </w:tcBorders>
            <w:vAlign w:val="bottom"/>
          </w:tcPr>
          <w:p w14:paraId="152FB2E1" w14:textId="77777777" w:rsidR="00053D93" w:rsidRDefault="00260B75">
            <w:pPr>
              <w:ind w:right="24"/>
              <w:jc w:val="center"/>
            </w:pPr>
            <w:r>
              <w:rPr>
                <w:rFonts w:ascii="Times New Roman" w:eastAsia="Times New Roman" w:hAnsi="Times New Roman" w:cs="Times New Roman"/>
                <w:sz w:val="16"/>
              </w:rPr>
              <w:t>01-2024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61EE1A62" w14:textId="77777777" w:rsidR="00053D93" w:rsidRDefault="00260B75">
            <w:pPr>
              <w:ind w:left="7"/>
            </w:pPr>
            <w:r>
              <w:rPr>
                <w:rFonts w:ascii="Times New Roman" w:eastAsia="Times New Roman" w:hAnsi="Times New Roman" w:cs="Times New Roman"/>
                <w:sz w:val="18"/>
              </w:rPr>
              <w:t>14/03/2024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067707BC" w14:textId="77777777" w:rsidR="00053D93" w:rsidRDefault="00260B75">
            <w:r>
              <w:rPr>
                <w:sz w:val="18"/>
              </w:rPr>
              <w:t>Asociación Centro Don</w:t>
            </w:r>
          </w:p>
          <w:p w14:paraId="1F705A84" w14:textId="77777777" w:rsidR="00053D93" w:rsidRDefault="00260B75">
            <w:pPr>
              <w:ind w:left="7"/>
            </w:pPr>
            <w:r>
              <w:rPr>
                <w:rFonts w:ascii="Times New Roman" w:eastAsia="Times New Roman" w:hAnsi="Times New Roman" w:cs="Times New Roman"/>
                <w:sz w:val="14"/>
              </w:rPr>
              <w:t>Bosco</w:t>
            </w:r>
          </w:p>
        </w:tc>
        <w:tc>
          <w:tcPr>
            <w:tcW w:w="2282" w:type="dxa"/>
            <w:tcBorders>
              <w:top w:val="single" w:sz="2" w:space="0" w:color="000000"/>
              <w:left w:val="single" w:sz="2" w:space="0" w:color="000000"/>
              <w:bottom w:val="single" w:sz="2" w:space="0" w:color="000000"/>
              <w:right w:val="single" w:sz="2" w:space="0" w:color="000000"/>
            </w:tcBorders>
          </w:tcPr>
          <w:p w14:paraId="344D3BAB" w14:textId="77777777" w:rsidR="00053D93" w:rsidRDefault="00260B75">
            <w:pPr>
              <w:spacing w:line="254" w:lineRule="auto"/>
              <w:ind w:left="7" w:hanging="7"/>
              <w:jc w:val="both"/>
            </w:pPr>
            <w:r>
              <w:rPr>
                <w:sz w:val="16"/>
              </w:rPr>
              <w:t>Transferencias a Instituciones que Prestan Servicios Educativos</w:t>
            </w:r>
          </w:p>
          <w:p w14:paraId="11F6CE10" w14:textId="77777777" w:rsidR="00053D93" w:rsidRDefault="00260B75">
            <w:pPr>
              <w:ind w:left="7"/>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444C0578" w14:textId="77777777" w:rsidR="00053D93" w:rsidRDefault="00260B75">
            <w:pPr>
              <w:ind w:left="302"/>
            </w:pPr>
            <w:r>
              <w:rPr>
                <w:rFonts w:ascii="Times New Roman" w:eastAsia="Times New Roman" w:hAnsi="Times New Roman" w:cs="Times New Roman"/>
                <w:sz w:val="18"/>
              </w:rPr>
              <w:t>42.000.000.00</w:t>
            </w:r>
          </w:p>
        </w:tc>
      </w:tr>
      <w:tr w:rsidR="00053D93" w14:paraId="794F97F6" w14:textId="77777777">
        <w:trPr>
          <w:trHeight w:val="562"/>
        </w:trPr>
        <w:tc>
          <w:tcPr>
            <w:tcW w:w="389" w:type="dxa"/>
            <w:tcBorders>
              <w:top w:val="single" w:sz="2" w:space="0" w:color="000000"/>
              <w:left w:val="single" w:sz="2" w:space="0" w:color="000000"/>
              <w:bottom w:val="single" w:sz="2" w:space="0" w:color="000000"/>
              <w:right w:val="single" w:sz="2" w:space="0" w:color="000000"/>
            </w:tcBorders>
            <w:vAlign w:val="bottom"/>
          </w:tcPr>
          <w:p w14:paraId="00BD7F9E" w14:textId="77777777" w:rsidR="00053D93" w:rsidRDefault="00260B75">
            <w:pPr>
              <w:ind w:left="41"/>
            </w:pPr>
            <w:r>
              <w:rPr>
                <w:rFonts w:ascii="Times New Roman" w:eastAsia="Times New Roman" w:hAnsi="Times New Roman" w:cs="Times New Roman"/>
                <w:sz w:val="16"/>
              </w:rPr>
              <w:t>35</w:t>
            </w:r>
          </w:p>
        </w:tc>
        <w:tc>
          <w:tcPr>
            <w:tcW w:w="1257" w:type="dxa"/>
            <w:tcBorders>
              <w:top w:val="single" w:sz="2" w:space="0" w:color="000000"/>
              <w:left w:val="single" w:sz="2" w:space="0" w:color="000000"/>
              <w:bottom w:val="single" w:sz="2" w:space="0" w:color="000000"/>
              <w:right w:val="single" w:sz="2" w:space="0" w:color="000000"/>
            </w:tcBorders>
            <w:vAlign w:val="bottom"/>
          </w:tcPr>
          <w:p w14:paraId="00D57412" w14:textId="77777777" w:rsidR="00053D93" w:rsidRDefault="00260B75">
            <w:pPr>
              <w:ind w:right="17"/>
              <w:jc w:val="center"/>
            </w:pPr>
            <w:r>
              <w:rPr>
                <w:rFonts w:ascii="Times New Roman" w:eastAsia="Times New Roman" w:hAnsi="Times New Roman" w:cs="Times New Roman"/>
                <w:sz w:val="16"/>
              </w:rPr>
              <w:t>02-2024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17D27557" w14:textId="77777777" w:rsidR="00053D93" w:rsidRDefault="00260B75">
            <w:pPr>
              <w:ind w:right="7"/>
              <w:jc w:val="center"/>
            </w:pPr>
            <w:r>
              <w:rPr>
                <w:rFonts w:ascii="Times New Roman" w:eastAsia="Times New Roman" w:hAnsi="Times New Roman" w:cs="Times New Roman"/>
                <w:sz w:val="16"/>
              </w:rPr>
              <w:t>1103/2024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7FEC3C51" w14:textId="77777777" w:rsidR="00053D93" w:rsidRDefault="00260B75">
            <w:pPr>
              <w:tabs>
                <w:tab w:val="right" w:pos="2030"/>
              </w:tabs>
              <w:spacing w:after="15"/>
            </w:pPr>
            <w:r>
              <w:rPr>
                <w:sz w:val="18"/>
              </w:rPr>
              <w:t>Asociación</w:t>
            </w:r>
            <w:r>
              <w:rPr>
                <w:sz w:val="18"/>
              </w:rPr>
              <w:tab/>
              <w:t>Comunidad</w:t>
            </w:r>
          </w:p>
          <w:p w14:paraId="24D2D957" w14:textId="77777777" w:rsidR="00053D93" w:rsidRDefault="00260B75">
            <w:pPr>
              <w:ind w:left="7"/>
            </w:pPr>
            <w:r>
              <w:rPr>
                <w:sz w:val="18"/>
              </w:rPr>
              <w:t>Esperanza</w:t>
            </w:r>
          </w:p>
        </w:tc>
        <w:tc>
          <w:tcPr>
            <w:tcW w:w="2282" w:type="dxa"/>
            <w:tcBorders>
              <w:top w:val="single" w:sz="2" w:space="0" w:color="000000"/>
              <w:left w:val="single" w:sz="2" w:space="0" w:color="000000"/>
              <w:bottom w:val="single" w:sz="2" w:space="0" w:color="000000"/>
              <w:right w:val="single" w:sz="2" w:space="0" w:color="000000"/>
            </w:tcBorders>
          </w:tcPr>
          <w:p w14:paraId="47E89BAC" w14:textId="77777777" w:rsidR="00053D93" w:rsidRDefault="00260B75">
            <w:pPr>
              <w:spacing w:line="257" w:lineRule="auto"/>
              <w:ind w:left="7" w:hanging="7"/>
              <w:jc w:val="both"/>
            </w:pPr>
            <w:r>
              <w:rPr>
                <w:sz w:val="16"/>
              </w:rPr>
              <w:t>Trangferencías a Instituciones que Prestan Servicios Educativos</w:t>
            </w:r>
          </w:p>
          <w:p w14:paraId="41A8F0BF" w14:textId="77777777" w:rsidR="00053D93" w:rsidRDefault="00260B75">
            <w:pPr>
              <w:ind w:left="7"/>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0928B25F" w14:textId="77777777" w:rsidR="00053D93" w:rsidRDefault="00260B75">
            <w:pPr>
              <w:ind w:right="10"/>
              <w:jc w:val="right"/>
            </w:pPr>
            <w:r>
              <w:rPr>
                <w:sz w:val="18"/>
              </w:rPr>
              <w:t>1.005,175.oo</w:t>
            </w:r>
          </w:p>
        </w:tc>
      </w:tr>
      <w:tr w:rsidR="00053D93" w14:paraId="37AECA29" w14:textId="77777777">
        <w:trPr>
          <w:trHeight w:val="631"/>
        </w:trPr>
        <w:tc>
          <w:tcPr>
            <w:tcW w:w="389" w:type="dxa"/>
            <w:tcBorders>
              <w:top w:val="single" w:sz="2" w:space="0" w:color="000000"/>
              <w:left w:val="single" w:sz="2" w:space="0" w:color="000000"/>
              <w:bottom w:val="single" w:sz="2" w:space="0" w:color="000000"/>
              <w:right w:val="single" w:sz="2" w:space="0" w:color="000000"/>
            </w:tcBorders>
            <w:vAlign w:val="bottom"/>
          </w:tcPr>
          <w:p w14:paraId="7D85B412" w14:textId="77777777" w:rsidR="00053D93" w:rsidRDefault="00260B75">
            <w:pPr>
              <w:ind w:left="41"/>
            </w:pPr>
            <w:r>
              <w:rPr>
                <w:rFonts w:ascii="Times New Roman" w:eastAsia="Times New Roman" w:hAnsi="Times New Roman" w:cs="Times New Roman"/>
                <w:sz w:val="16"/>
              </w:rPr>
              <w:t>36</w:t>
            </w:r>
          </w:p>
        </w:tc>
        <w:tc>
          <w:tcPr>
            <w:tcW w:w="1257" w:type="dxa"/>
            <w:tcBorders>
              <w:top w:val="single" w:sz="2" w:space="0" w:color="000000"/>
              <w:left w:val="single" w:sz="2" w:space="0" w:color="000000"/>
              <w:bottom w:val="single" w:sz="2" w:space="0" w:color="000000"/>
              <w:right w:val="single" w:sz="2" w:space="0" w:color="000000"/>
            </w:tcBorders>
            <w:vAlign w:val="bottom"/>
          </w:tcPr>
          <w:p w14:paraId="0D5A128C" w14:textId="77777777" w:rsidR="00053D93" w:rsidRDefault="00260B75">
            <w:pPr>
              <w:ind w:right="17"/>
              <w:jc w:val="center"/>
            </w:pPr>
            <w:r>
              <w:rPr>
                <w:rFonts w:ascii="Times New Roman" w:eastAsia="Times New Roman" w:hAnsi="Times New Roman" w:cs="Times New Roman"/>
                <w:sz w:val="16"/>
              </w:rPr>
              <w:t>04-2024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53865003" w14:textId="77777777" w:rsidR="00053D93" w:rsidRDefault="00260B75">
            <w:pPr>
              <w:ind w:left="14"/>
            </w:pPr>
            <w:r>
              <w:rPr>
                <w:rFonts w:ascii="Times New Roman" w:eastAsia="Times New Roman" w:hAnsi="Times New Roman" w:cs="Times New Roman"/>
                <w:sz w:val="16"/>
              </w:rPr>
              <w:t>13/0812024</w:t>
            </w:r>
          </w:p>
        </w:tc>
        <w:tc>
          <w:tcPr>
            <w:tcW w:w="2174" w:type="dxa"/>
            <w:tcBorders>
              <w:top w:val="single" w:sz="2" w:space="0" w:color="000000"/>
              <w:left w:val="single" w:sz="2" w:space="0" w:color="000000"/>
              <w:bottom w:val="single" w:sz="2" w:space="0" w:color="000000"/>
              <w:right w:val="single" w:sz="2" w:space="0" w:color="000000"/>
            </w:tcBorders>
          </w:tcPr>
          <w:p w14:paraId="62B8640C" w14:textId="77777777" w:rsidR="00053D93" w:rsidRDefault="00260B75">
            <w:r>
              <w:rPr>
                <w:sz w:val="16"/>
              </w:rPr>
              <w:t>Asociación Cultural Misionera</w:t>
            </w:r>
          </w:p>
          <w:p w14:paraId="56E2FBD9" w14:textId="77777777" w:rsidR="00053D93" w:rsidRDefault="00260B75">
            <w:pPr>
              <w:ind w:left="7"/>
            </w:pPr>
            <w:r>
              <w:rPr>
                <w:sz w:val="20"/>
              </w:rPr>
              <w:t>Somascas Hijas De San</w:t>
            </w:r>
          </w:p>
          <w:p w14:paraId="5CE4855A" w14:textId="77777777" w:rsidR="00053D93" w:rsidRDefault="00260B75">
            <w:pPr>
              <w:ind w:left="7"/>
            </w:pPr>
            <w:r>
              <w:rPr>
                <w:sz w:val="16"/>
              </w:rPr>
              <w:t>Jerónimo Emiliani</w:t>
            </w:r>
          </w:p>
        </w:tc>
        <w:tc>
          <w:tcPr>
            <w:tcW w:w="2282" w:type="dxa"/>
            <w:tcBorders>
              <w:top w:val="single" w:sz="2" w:space="0" w:color="000000"/>
              <w:left w:val="single" w:sz="2" w:space="0" w:color="000000"/>
              <w:bottom w:val="single" w:sz="2" w:space="0" w:color="000000"/>
              <w:right w:val="single" w:sz="2" w:space="0" w:color="000000"/>
            </w:tcBorders>
          </w:tcPr>
          <w:p w14:paraId="45DCBF83" w14:textId="77777777" w:rsidR="00053D93" w:rsidRDefault="00260B75">
            <w:pPr>
              <w:spacing w:line="255" w:lineRule="auto"/>
              <w:ind w:left="14" w:hanging="7"/>
              <w:jc w:val="both"/>
            </w:pPr>
            <w:r>
              <w:rPr>
                <w:sz w:val="16"/>
              </w:rPr>
              <w:t>Transferencias a Instituciones que Prestan Servicios Educativos</w:t>
            </w:r>
          </w:p>
          <w:p w14:paraId="40ABDB0F" w14:textId="77777777" w:rsidR="00053D93" w:rsidRDefault="00260B75">
            <w:pPr>
              <w:ind w:left="7"/>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1BFF9974" w14:textId="77777777" w:rsidR="00053D93" w:rsidRDefault="00260B75">
            <w:pPr>
              <w:ind w:right="10"/>
              <w:jc w:val="right"/>
            </w:pPr>
            <w:r>
              <w:rPr>
                <w:rFonts w:ascii="Times New Roman" w:eastAsia="Times New Roman" w:hAnsi="Times New Roman" w:cs="Times New Roman"/>
                <w:sz w:val="18"/>
              </w:rPr>
              <w:t>2.000.000.00</w:t>
            </w:r>
          </w:p>
        </w:tc>
      </w:tr>
      <w:tr w:rsidR="00053D93" w14:paraId="568D4AC0" w14:textId="77777777">
        <w:trPr>
          <w:trHeight w:val="562"/>
        </w:trPr>
        <w:tc>
          <w:tcPr>
            <w:tcW w:w="389" w:type="dxa"/>
            <w:tcBorders>
              <w:top w:val="single" w:sz="2" w:space="0" w:color="000000"/>
              <w:left w:val="single" w:sz="2" w:space="0" w:color="000000"/>
              <w:bottom w:val="single" w:sz="2" w:space="0" w:color="000000"/>
              <w:right w:val="single" w:sz="2" w:space="0" w:color="000000"/>
            </w:tcBorders>
            <w:vAlign w:val="bottom"/>
          </w:tcPr>
          <w:p w14:paraId="478E6AA0" w14:textId="77777777" w:rsidR="00053D93" w:rsidRDefault="00260B75">
            <w:pPr>
              <w:ind w:left="41"/>
            </w:pPr>
            <w:r>
              <w:rPr>
                <w:rFonts w:ascii="Times New Roman" w:eastAsia="Times New Roman" w:hAnsi="Times New Roman" w:cs="Times New Roman"/>
                <w:sz w:val="16"/>
              </w:rPr>
              <w:t>37</w:t>
            </w:r>
          </w:p>
        </w:tc>
        <w:tc>
          <w:tcPr>
            <w:tcW w:w="1257" w:type="dxa"/>
            <w:tcBorders>
              <w:top w:val="single" w:sz="2" w:space="0" w:color="000000"/>
              <w:left w:val="single" w:sz="2" w:space="0" w:color="000000"/>
              <w:bottom w:val="single" w:sz="2" w:space="0" w:color="000000"/>
              <w:right w:val="single" w:sz="2" w:space="0" w:color="000000"/>
            </w:tcBorders>
            <w:vAlign w:val="bottom"/>
          </w:tcPr>
          <w:p w14:paraId="3D9D4CE6" w14:textId="77777777" w:rsidR="00053D93" w:rsidRDefault="00260B75">
            <w:pPr>
              <w:ind w:right="17"/>
              <w:jc w:val="center"/>
            </w:pPr>
            <w:r>
              <w:rPr>
                <w:rFonts w:ascii="Times New Roman" w:eastAsia="Times New Roman" w:hAnsi="Times New Roman" w:cs="Times New Roman"/>
                <w:sz w:val="16"/>
              </w:rPr>
              <w:t>02-2024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569BE60D" w14:textId="77777777" w:rsidR="00053D93" w:rsidRDefault="00260B75">
            <w:pPr>
              <w:jc w:val="center"/>
            </w:pPr>
            <w:r>
              <w:rPr>
                <w:rFonts w:ascii="Times New Roman" w:eastAsia="Times New Roman" w:hAnsi="Times New Roman" w:cs="Times New Roman"/>
                <w:sz w:val="16"/>
              </w:rPr>
              <w:t>8/07/2024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35D55A0A" w14:textId="77777777" w:rsidR="00053D93" w:rsidRDefault="00260B75">
            <w:pPr>
              <w:ind w:left="14" w:hanging="7"/>
              <w:jc w:val="both"/>
            </w:pPr>
            <w:r>
              <w:rPr>
                <w:sz w:val="18"/>
              </w:rPr>
              <w:t>Asociación De Centros Educativos Mayas -ACEM-</w:t>
            </w:r>
          </w:p>
        </w:tc>
        <w:tc>
          <w:tcPr>
            <w:tcW w:w="2282" w:type="dxa"/>
            <w:tcBorders>
              <w:top w:val="single" w:sz="2" w:space="0" w:color="000000"/>
              <w:left w:val="single" w:sz="2" w:space="0" w:color="000000"/>
              <w:bottom w:val="single" w:sz="2" w:space="0" w:color="000000"/>
              <w:right w:val="single" w:sz="2" w:space="0" w:color="000000"/>
            </w:tcBorders>
          </w:tcPr>
          <w:p w14:paraId="54EBF8E3" w14:textId="77777777" w:rsidR="00053D93" w:rsidRDefault="00260B75">
            <w:pPr>
              <w:spacing w:line="254" w:lineRule="auto"/>
              <w:ind w:left="14" w:hanging="7"/>
              <w:jc w:val="both"/>
            </w:pPr>
            <w:r>
              <w:rPr>
                <w:sz w:val="16"/>
              </w:rPr>
              <w:t>Transferencias a Instituciones que Prestan Servicios Educativos</w:t>
            </w:r>
          </w:p>
          <w:p w14:paraId="7BB812B3" w14:textId="77777777" w:rsidR="00053D93" w:rsidRDefault="00260B75">
            <w:pPr>
              <w:ind w:left="14"/>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5FB24EFE" w14:textId="77777777" w:rsidR="00053D93" w:rsidRDefault="00260B75">
            <w:pPr>
              <w:ind w:left="317"/>
            </w:pPr>
            <w:r>
              <w:rPr>
                <w:rFonts w:ascii="Times New Roman" w:eastAsia="Times New Roman" w:hAnsi="Times New Roman" w:cs="Times New Roman"/>
                <w:sz w:val="18"/>
              </w:rPr>
              <w:t>19.000.000.00</w:t>
            </w:r>
          </w:p>
        </w:tc>
      </w:tr>
      <w:tr w:rsidR="00053D93" w14:paraId="5B9505F4" w14:textId="77777777">
        <w:trPr>
          <w:trHeight w:val="557"/>
        </w:trPr>
        <w:tc>
          <w:tcPr>
            <w:tcW w:w="389" w:type="dxa"/>
            <w:tcBorders>
              <w:top w:val="single" w:sz="2" w:space="0" w:color="000000"/>
              <w:left w:val="single" w:sz="2" w:space="0" w:color="000000"/>
              <w:bottom w:val="single" w:sz="2" w:space="0" w:color="000000"/>
              <w:right w:val="single" w:sz="2" w:space="0" w:color="000000"/>
            </w:tcBorders>
            <w:vAlign w:val="bottom"/>
          </w:tcPr>
          <w:p w14:paraId="057997D9" w14:textId="77777777" w:rsidR="00053D93" w:rsidRDefault="00260B75">
            <w:pPr>
              <w:ind w:left="41"/>
            </w:pPr>
            <w:r>
              <w:rPr>
                <w:rFonts w:ascii="Times New Roman" w:eastAsia="Times New Roman" w:hAnsi="Times New Roman" w:cs="Times New Roman"/>
                <w:sz w:val="16"/>
              </w:rPr>
              <w:t>38</w:t>
            </w:r>
          </w:p>
        </w:tc>
        <w:tc>
          <w:tcPr>
            <w:tcW w:w="1257" w:type="dxa"/>
            <w:tcBorders>
              <w:top w:val="single" w:sz="2" w:space="0" w:color="000000"/>
              <w:left w:val="single" w:sz="2" w:space="0" w:color="000000"/>
              <w:bottom w:val="single" w:sz="2" w:space="0" w:color="000000"/>
              <w:right w:val="single" w:sz="2" w:space="0" w:color="000000"/>
            </w:tcBorders>
            <w:vAlign w:val="bottom"/>
          </w:tcPr>
          <w:p w14:paraId="24C3091F" w14:textId="77777777" w:rsidR="00053D93" w:rsidRDefault="00260B75">
            <w:pPr>
              <w:ind w:right="10"/>
              <w:jc w:val="center"/>
            </w:pPr>
            <w:r>
              <w:rPr>
                <w:rFonts w:ascii="Times New Roman" w:eastAsia="Times New Roman" w:hAnsi="Times New Roman" w:cs="Times New Roman"/>
                <w:sz w:val="16"/>
              </w:rPr>
              <w:t>03-2024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6941A0F5" w14:textId="77777777" w:rsidR="00053D93" w:rsidRDefault="00260B75">
            <w:pPr>
              <w:ind w:left="7"/>
            </w:pPr>
            <w:r>
              <w:rPr>
                <w:rFonts w:ascii="Times New Roman" w:eastAsia="Times New Roman" w:hAnsi="Times New Roman" w:cs="Times New Roman"/>
                <w:sz w:val="16"/>
              </w:rPr>
              <w:t>21/0612024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15C8C7C6" w14:textId="77777777" w:rsidR="00053D93" w:rsidRDefault="00260B75">
            <w:pPr>
              <w:ind w:left="7"/>
            </w:pPr>
            <w:r>
              <w:rPr>
                <w:sz w:val="16"/>
              </w:rPr>
              <w:t>Asociación Futuro Vivo</w:t>
            </w:r>
          </w:p>
        </w:tc>
        <w:tc>
          <w:tcPr>
            <w:tcW w:w="2282" w:type="dxa"/>
            <w:tcBorders>
              <w:top w:val="single" w:sz="2" w:space="0" w:color="000000"/>
              <w:left w:val="single" w:sz="2" w:space="0" w:color="000000"/>
              <w:bottom w:val="single" w:sz="2" w:space="0" w:color="000000"/>
              <w:right w:val="single" w:sz="2" w:space="0" w:color="000000"/>
            </w:tcBorders>
          </w:tcPr>
          <w:p w14:paraId="52A4B891" w14:textId="77777777" w:rsidR="00053D93" w:rsidRDefault="00260B75">
            <w:pPr>
              <w:spacing w:line="263" w:lineRule="auto"/>
              <w:ind w:left="14" w:hanging="7"/>
              <w:jc w:val="both"/>
            </w:pPr>
            <w:r>
              <w:rPr>
                <w:sz w:val="16"/>
              </w:rPr>
              <w:t>Transferencias a Instjtuciones que Prestan Servicios Educativos</w:t>
            </w:r>
          </w:p>
          <w:p w14:paraId="14497103" w14:textId="77777777" w:rsidR="00053D93" w:rsidRDefault="00260B75">
            <w:pPr>
              <w:ind w:left="14"/>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60814DDD" w14:textId="77777777" w:rsidR="00053D93" w:rsidRDefault="00260B75">
            <w:pPr>
              <w:ind w:right="10"/>
              <w:jc w:val="right"/>
            </w:pPr>
            <w:r>
              <w:rPr>
                <w:rFonts w:ascii="Times New Roman" w:eastAsia="Times New Roman" w:hAnsi="Times New Roman" w:cs="Times New Roman"/>
                <w:sz w:val="16"/>
              </w:rPr>
              <w:t>11869,680.oo</w:t>
            </w:r>
          </w:p>
        </w:tc>
      </w:tr>
      <w:tr w:rsidR="00053D93" w14:paraId="1083C53B" w14:textId="77777777">
        <w:trPr>
          <w:trHeight w:val="425"/>
        </w:trPr>
        <w:tc>
          <w:tcPr>
            <w:tcW w:w="389" w:type="dxa"/>
            <w:tcBorders>
              <w:top w:val="single" w:sz="2" w:space="0" w:color="000000"/>
              <w:left w:val="single" w:sz="2" w:space="0" w:color="000000"/>
              <w:bottom w:val="single" w:sz="2" w:space="0" w:color="000000"/>
              <w:right w:val="single" w:sz="2" w:space="0" w:color="000000"/>
            </w:tcBorders>
            <w:vAlign w:val="bottom"/>
          </w:tcPr>
          <w:p w14:paraId="7F124657" w14:textId="77777777" w:rsidR="00053D93" w:rsidRDefault="00260B75">
            <w:pPr>
              <w:ind w:left="48"/>
            </w:pPr>
            <w:r>
              <w:rPr>
                <w:rFonts w:ascii="Times New Roman" w:eastAsia="Times New Roman" w:hAnsi="Times New Roman" w:cs="Times New Roman"/>
                <w:sz w:val="16"/>
              </w:rPr>
              <w:t>39</w:t>
            </w:r>
          </w:p>
        </w:tc>
        <w:tc>
          <w:tcPr>
            <w:tcW w:w="1257" w:type="dxa"/>
            <w:tcBorders>
              <w:top w:val="single" w:sz="2" w:space="0" w:color="000000"/>
              <w:left w:val="single" w:sz="2" w:space="0" w:color="000000"/>
              <w:bottom w:val="single" w:sz="2" w:space="0" w:color="000000"/>
              <w:right w:val="single" w:sz="2" w:space="0" w:color="000000"/>
            </w:tcBorders>
            <w:vAlign w:val="bottom"/>
          </w:tcPr>
          <w:p w14:paraId="7B217C9A" w14:textId="77777777" w:rsidR="00053D93" w:rsidRDefault="00260B75">
            <w:pPr>
              <w:ind w:right="3"/>
              <w:jc w:val="center"/>
            </w:pPr>
            <w:r>
              <w:rPr>
                <w:rFonts w:ascii="Times New Roman" w:eastAsia="Times New Roman" w:hAnsi="Times New Roman" w:cs="Times New Roman"/>
                <w:sz w:val="16"/>
              </w:rPr>
              <w:t>01-2024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4EB609AB" w14:textId="77777777" w:rsidR="00053D93" w:rsidRDefault="00260B75">
            <w:pPr>
              <w:ind w:left="14"/>
            </w:pPr>
            <w:r>
              <w:rPr>
                <w:rFonts w:ascii="Times New Roman" w:eastAsia="Times New Roman" w:hAnsi="Times New Roman" w:cs="Times New Roman"/>
                <w:sz w:val="16"/>
              </w:rPr>
              <w:t>31/10/2024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389DCA5A" w14:textId="77777777" w:rsidR="00053D93" w:rsidRDefault="00260B75">
            <w:pPr>
              <w:ind w:left="7"/>
            </w:pPr>
            <w:r>
              <w:rPr>
                <w:sz w:val="18"/>
              </w:rPr>
              <w:t>Asociación Futuro VIVO</w:t>
            </w:r>
          </w:p>
        </w:tc>
        <w:tc>
          <w:tcPr>
            <w:tcW w:w="2282" w:type="dxa"/>
            <w:tcBorders>
              <w:top w:val="single" w:sz="2" w:space="0" w:color="000000"/>
              <w:left w:val="single" w:sz="2" w:space="0" w:color="000000"/>
              <w:bottom w:val="single" w:sz="2" w:space="0" w:color="000000"/>
              <w:right w:val="single" w:sz="2" w:space="0" w:color="000000"/>
            </w:tcBorders>
            <w:vAlign w:val="bottom"/>
          </w:tcPr>
          <w:p w14:paraId="1868A162" w14:textId="77777777" w:rsidR="00053D93" w:rsidRDefault="00260B75">
            <w:pPr>
              <w:ind w:left="7"/>
            </w:pPr>
            <w:r>
              <w:rPr>
                <w:sz w:val="16"/>
              </w:rPr>
              <w:t>Ampliación Presupuestaria,</w:t>
            </w:r>
          </w:p>
        </w:tc>
        <w:tc>
          <w:tcPr>
            <w:tcW w:w="1435" w:type="dxa"/>
            <w:tcBorders>
              <w:top w:val="single" w:sz="2" w:space="0" w:color="000000"/>
              <w:left w:val="single" w:sz="2" w:space="0" w:color="000000"/>
              <w:bottom w:val="single" w:sz="2" w:space="0" w:color="000000"/>
              <w:right w:val="single" w:sz="2" w:space="0" w:color="000000"/>
            </w:tcBorders>
            <w:vAlign w:val="bottom"/>
          </w:tcPr>
          <w:p w14:paraId="0103F968" w14:textId="77777777" w:rsidR="00053D93" w:rsidRDefault="00260B75">
            <w:pPr>
              <w:ind w:right="10"/>
              <w:jc w:val="right"/>
            </w:pPr>
            <w:r>
              <w:rPr>
                <w:rFonts w:ascii="Times New Roman" w:eastAsia="Times New Roman" w:hAnsi="Times New Roman" w:cs="Times New Roman"/>
                <w:sz w:val="18"/>
              </w:rPr>
              <w:t>477.390.00</w:t>
            </w:r>
          </w:p>
        </w:tc>
      </w:tr>
      <w:tr w:rsidR="00053D93" w14:paraId="46604606" w14:textId="77777777">
        <w:trPr>
          <w:trHeight w:val="554"/>
        </w:trPr>
        <w:tc>
          <w:tcPr>
            <w:tcW w:w="389" w:type="dxa"/>
            <w:tcBorders>
              <w:top w:val="single" w:sz="2" w:space="0" w:color="000000"/>
              <w:left w:val="single" w:sz="2" w:space="0" w:color="000000"/>
              <w:bottom w:val="single" w:sz="2" w:space="0" w:color="000000"/>
              <w:right w:val="single" w:sz="2" w:space="0" w:color="000000"/>
            </w:tcBorders>
            <w:vAlign w:val="bottom"/>
          </w:tcPr>
          <w:p w14:paraId="2A320FA0" w14:textId="77777777" w:rsidR="00053D93" w:rsidRDefault="00260B75">
            <w:pPr>
              <w:ind w:left="41"/>
            </w:pPr>
            <w:r>
              <w:rPr>
                <w:rFonts w:ascii="Times New Roman" w:eastAsia="Times New Roman" w:hAnsi="Times New Roman" w:cs="Times New Roman"/>
                <w:sz w:val="16"/>
              </w:rPr>
              <w:t>40</w:t>
            </w:r>
          </w:p>
        </w:tc>
        <w:tc>
          <w:tcPr>
            <w:tcW w:w="1257" w:type="dxa"/>
            <w:tcBorders>
              <w:top w:val="single" w:sz="2" w:space="0" w:color="000000"/>
              <w:left w:val="single" w:sz="2" w:space="0" w:color="000000"/>
              <w:bottom w:val="single" w:sz="2" w:space="0" w:color="000000"/>
              <w:right w:val="single" w:sz="2" w:space="0" w:color="000000"/>
            </w:tcBorders>
            <w:vAlign w:val="bottom"/>
          </w:tcPr>
          <w:p w14:paraId="5D8E2C07" w14:textId="77777777" w:rsidR="00053D93" w:rsidRDefault="00260B75">
            <w:pPr>
              <w:ind w:right="10"/>
              <w:jc w:val="center"/>
            </w:pPr>
            <w:r>
              <w:rPr>
                <w:rFonts w:ascii="Times New Roman" w:eastAsia="Times New Roman" w:hAnsi="Times New Roman" w:cs="Times New Roman"/>
                <w:sz w:val="16"/>
              </w:rPr>
              <w:t>03-2024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323BE1E5" w14:textId="77777777" w:rsidR="00053D93" w:rsidRDefault="00260B75">
            <w:pPr>
              <w:ind w:left="7"/>
            </w:pPr>
            <w:r>
              <w:rPr>
                <w:rFonts w:ascii="Times New Roman" w:eastAsia="Times New Roman" w:hAnsi="Times New Roman" w:cs="Times New Roman"/>
                <w:sz w:val="16"/>
              </w:rPr>
              <w:t>29103/2024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3E55EC27" w14:textId="77777777" w:rsidR="00053D93" w:rsidRDefault="00260B75">
            <w:pPr>
              <w:ind w:left="7"/>
            </w:pPr>
            <w:r>
              <w:rPr>
                <w:sz w:val="18"/>
              </w:rPr>
              <w:t>Asociación Grupo Ceiba</w:t>
            </w:r>
          </w:p>
        </w:tc>
        <w:tc>
          <w:tcPr>
            <w:tcW w:w="2282" w:type="dxa"/>
            <w:tcBorders>
              <w:top w:val="single" w:sz="2" w:space="0" w:color="000000"/>
              <w:left w:val="single" w:sz="2" w:space="0" w:color="000000"/>
              <w:bottom w:val="single" w:sz="2" w:space="0" w:color="000000"/>
              <w:right w:val="single" w:sz="2" w:space="0" w:color="000000"/>
            </w:tcBorders>
          </w:tcPr>
          <w:p w14:paraId="01516578" w14:textId="77777777" w:rsidR="00053D93" w:rsidRDefault="00260B75">
            <w:pPr>
              <w:spacing w:line="252" w:lineRule="auto"/>
              <w:ind w:left="14" w:hanging="7"/>
              <w:jc w:val="both"/>
            </w:pPr>
            <w:r>
              <w:rPr>
                <w:sz w:val="16"/>
              </w:rPr>
              <w:t>Transferencias a Instituciones que Prestan Servicios Educativos</w:t>
            </w:r>
          </w:p>
          <w:p w14:paraId="2AAE6325" w14:textId="77777777" w:rsidR="00053D93" w:rsidRDefault="00260B75">
            <w:pPr>
              <w:ind w:left="14"/>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7F1E3EE8" w14:textId="77777777" w:rsidR="00053D93" w:rsidRDefault="00260B75">
            <w:pPr>
              <w:ind w:right="3"/>
              <w:jc w:val="right"/>
            </w:pPr>
            <w:r>
              <w:rPr>
                <w:rFonts w:ascii="Times New Roman" w:eastAsia="Times New Roman" w:hAnsi="Times New Roman" w:cs="Times New Roman"/>
                <w:sz w:val="18"/>
              </w:rPr>
              <w:t>2.000.000.00</w:t>
            </w:r>
          </w:p>
        </w:tc>
      </w:tr>
      <w:tr w:rsidR="00053D93" w14:paraId="7C383CBA" w14:textId="77777777">
        <w:trPr>
          <w:trHeight w:val="365"/>
        </w:trPr>
        <w:tc>
          <w:tcPr>
            <w:tcW w:w="389" w:type="dxa"/>
            <w:tcBorders>
              <w:top w:val="single" w:sz="2" w:space="0" w:color="000000"/>
              <w:left w:val="single" w:sz="2" w:space="0" w:color="000000"/>
              <w:bottom w:val="single" w:sz="2" w:space="0" w:color="000000"/>
              <w:right w:val="single" w:sz="2" w:space="0" w:color="000000"/>
            </w:tcBorders>
            <w:vAlign w:val="bottom"/>
          </w:tcPr>
          <w:p w14:paraId="766B4073" w14:textId="77777777" w:rsidR="00053D93" w:rsidRDefault="00260B75">
            <w:pPr>
              <w:ind w:left="41"/>
            </w:pPr>
            <w:r>
              <w:rPr>
                <w:rFonts w:ascii="Times New Roman" w:eastAsia="Times New Roman" w:hAnsi="Times New Roman" w:cs="Times New Roman"/>
                <w:sz w:val="16"/>
              </w:rPr>
              <w:t>41</w:t>
            </w:r>
          </w:p>
        </w:tc>
        <w:tc>
          <w:tcPr>
            <w:tcW w:w="1257" w:type="dxa"/>
            <w:tcBorders>
              <w:top w:val="single" w:sz="2" w:space="0" w:color="000000"/>
              <w:left w:val="single" w:sz="2" w:space="0" w:color="000000"/>
              <w:bottom w:val="single" w:sz="2" w:space="0" w:color="000000"/>
              <w:right w:val="single" w:sz="2" w:space="0" w:color="000000"/>
            </w:tcBorders>
            <w:vAlign w:val="bottom"/>
          </w:tcPr>
          <w:p w14:paraId="0B9467AD" w14:textId="77777777" w:rsidR="00053D93" w:rsidRDefault="00260B75">
            <w:pPr>
              <w:ind w:right="3"/>
              <w:jc w:val="center"/>
            </w:pPr>
            <w:r>
              <w:rPr>
                <w:rFonts w:ascii="Times New Roman" w:eastAsia="Times New Roman" w:hAnsi="Times New Roman" w:cs="Times New Roman"/>
                <w:sz w:val="16"/>
              </w:rPr>
              <w:t>03-2024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575A20E7" w14:textId="77777777" w:rsidR="00053D93" w:rsidRDefault="00260B75">
            <w:pPr>
              <w:ind w:left="22"/>
            </w:pPr>
            <w:r>
              <w:rPr>
                <w:rFonts w:ascii="Times New Roman" w:eastAsia="Times New Roman" w:hAnsi="Times New Roman" w:cs="Times New Roman"/>
                <w:sz w:val="16"/>
              </w:rPr>
              <w:t>13/08/2024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37AD1B94" w14:textId="77777777" w:rsidR="00053D93" w:rsidRDefault="00260B75">
            <w:pPr>
              <w:ind w:left="7"/>
            </w:pPr>
            <w:r>
              <w:rPr>
                <w:sz w:val="18"/>
              </w:rPr>
              <w:t>Asociación Grupo Ceiba</w:t>
            </w:r>
          </w:p>
        </w:tc>
        <w:tc>
          <w:tcPr>
            <w:tcW w:w="2282" w:type="dxa"/>
            <w:tcBorders>
              <w:top w:val="single" w:sz="2" w:space="0" w:color="000000"/>
              <w:left w:val="single" w:sz="2" w:space="0" w:color="000000"/>
              <w:bottom w:val="single" w:sz="2" w:space="0" w:color="000000"/>
              <w:right w:val="single" w:sz="2" w:space="0" w:color="000000"/>
            </w:tcBorders>
            <w:vAlign w:val="bottom"/>
          </w:tcPr>
          <w:p w14:paraId="0707D88E" w14:textId="77777777" w:rsidR="00053D93" w:rsidRDefault="00260B75">
            <w:pPr>
              <w:ind w:left="7"/>
            </w:pPr>
            <w:r>
              <w:rPr>
                <w:sz w:val="16"/>
              </w:rPr>
              <w:t>Ampliación Presupuestaria.</w:t>
            </w:r>
          </w:p>
        </w:tc>
        <w:tc>
          <w:tcPr>
            <w:tcW w:w="1435" w:type="dxa"/>
            <w:tcBorders>
              <w:top w:val="single" w:sz="2" w:space="0" w:color="000000"/>
              <w:left w:val="single" w:sz="2" w:space="0" w:color="000000"/>
              <w:bottom w:val="single" w:sz="2" w:space="0" w:color="000000"/>
              <w:right w:val="single" w:sz="2" w:space="0" w:color="000000"/>
            </w:tcBorders>
          </w:tcPr>
          <w:p w14:paraId="530B869E" w14:textId="77777777" w:rsidR="00053D93" w:rsidRDefault="00053D93"/>
        </w:tc>
      </w:tr>
      <w:tr w:rsidR="00053D93" w14:paraId="1986C4DA" w14:textId="77777777">
        <w:trPr>
          <w:trHeight w:val="633"/>
        </w:trPr>
        <w:tc>
          <w:tcPr>
            <w:tcW w:w="389" w:type="dxa"/>
            <w:tcBorders>
              <w:top w:val="single" w:sz="2" w:space="0" w:color="000000"/>
              <w:left w:val="single" w:sz="2" w:space="0" w:color="000000"/>
              <w:bottom w:val="single" w:sz="2" w:space="0" w:color="000000"/>
              <w:right w:val="single" w:sz="2" w:space="0" w:color="000000"/>
            </w:tcBorders>
            <w:vAlign w:val="bottom"/>
          </w:tcPr>
          <w:p w14:paraId="147EA9E7" w14:textId="77777777" w:rsidR="00053D93" w:rsidRDefault="00260B75">
            <w:pPr>
              <w:ind w:left="41"/>
            </w:pPr>
            <w:r>
              <w:rPr>
                <w:rFonts w:ascii="Times New Roman" w:eastAsia="Times New Roman" w:hAnsi="Times New Roman" w:cs="Times New Roman"/>
                <w:sz w:val="16"/>
              </w:rPr>
              <w:t>42</w:t>
            </w:r>
          </w:p>
        </w:tc>
        <w:tc>
          <w:tcPr>
            <w:tcW w:w="1257" w:type="dxa"/>
            <w:tcBorders>
              <w:top w:val="single" w:sz="2" w:space="0" w:color="000000"/>
              <w:left w:val="single" w:sz="2" w:space="0" w:color="000000"/>
              <w:bottom w:val="single" w:sz="2" w:space="0" w:color="000000"/>
              <w:right w:val="single" w:sz="2" w:space="0" w:color="000000"/>
            </w:tcBorders>
            <w:vAlign w:val="bottom"/>
          </w:tcPr>
          <w:p w14:paraId="5A48BFFC" w14:textId="77777777" w:rsidR="00053D93" w:rsidRDefault="00260B75">
            <w:pPr>
              <w:ind w:right="3"/>
              <w:jc w:val="center"/>
            </w:pPr>
            <w:r>
              <w:rPr>
                <w:rFonts w:ascii="Times New Roman" w:eastAsia="Times New Roman" w:hAnsi="Times New Roman" w:cs="Times New Roman"/>
                <w:sz w:val="16"/>
              </w:rPr>
              <w:t>02-2024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33FA01D0" w14:textId="77777777" w:rsidR="00053D93" w:rsidRDefault="00260B75">
            <w:pPr>
              <w:ind w:left="14"/>
            </w:pPr>
            <w:r>
              <w:rPr>
                <w:rFonts w:ascii="Times New Roman" w:eastAsia="Times New Roman" w:hAnsi="Times New Roman" w:cs="Times New Roman"/>
                <w:sz w:val="16"/>
              </w:rPr>
              <w:t>20/06/2024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1924452F" w14:textId="77777777" w:rsidR="00053D93" w:rsidRDefault="00260B75">
            <w:pPr>
              <w:ind w:left="7"/>
            </w:pPr>
            <w:r>
              <w:rPr>
                <w:sz w:val="18"/>
              </w:rPr>
              <w:t>Asociación Obras Sociales</w:t>
            </w:r>
          </w:p>
          <w:p w14:paraId="1F7ECD87" w14:textId="77777777" w:rsidR="00053D93" w:rsidRDefault="00260B75">
            <w:pPr>
              <w:ind w:left="14"/>
            </w:pPr>
            <w:r>
              <w:rPr>
                <w:sz w:val="18"/>
              </w:rPr>
              <w:t>De Las Dominicas De La</w:t>
            </w:r>
          </w:p>
          <w:p w14:paraId="5E9F8962" w14:textId="77777777" w:rsidR="00053D93" w:rsidRDefault="00260B75">
            <w:pPr>
              <w:ind w:left="7"/>
            </w:pPr>
            <w:r>
              <w:rPr>
                <w:sz w:val="16"/>
              </w:rPr>
              <w:t>Anunciata</w:t>
            </w:r>
          </w:p>
        </w:tc>
        <w:tc>
          <w:tcPr>
            <w:tcW w:w="2282" w:type="dxa"/>
            <w:tcBorders>
              <w:top w:val="single" w:sz="2" w:space="0" w:color="000000"/>
              <w:left w:val="single" w:sz="2" w:space="0" w:color="000000"/>
              <w:bottom w:val="single" w:sz="2" w:space="0" w:color="000000"/>
              <w:right w:val="single" w:sz="2" w:space="0" w:color="000000"/>
            </w:tcBorders>
            <w:vAlign w:val="bottom"/>
          </w:tcPr>
          <w:p w14:paraId="29667089" w14:textId="77777777" w:rsidR="00053D93" w:rsidRDefault="00260B75">
            <w:pPr>
              <w:ind w:left="14" w:right="14" w:hanging="7"/>
              <w:jc w:val="both"/>
            </w:pPr>
            <w:r>
              <w:rPr>
                <w:sz w:val="16"/>
              </w:rPr>
              <w:t>Transferencias 8 Instituciones que Prestan Servicios Educativos Gratuitos.</w:t>
            </w:r>
          </w:p>
        </w:tc>
        <w:tc>
          <w:tcPr>
            <w:tcW w:w="1435" w:type="dxa"/>
            <w:tcBorders>
              <w:top w:val="single" w:sz="2" w:space="0" w:color="000000"/>
              <w:left w:val="single" w:sz="2" w:space="0" w:color="000000"/>
              <w:bottom w:val="single" w:sz="2" w:space="0" w:color="000000"/>
              <w:right w:val="single" w:sz="2" w:space="0" w:color="000000"/>
            </w:tcBorders>
          </w:tcPr>
          <w:p w14:paraId="59F7FBE1" w14:textId="77777777" w:rsidR="00053D93" w:rsidRDefault="00053D93"/>
        </w:tc>
      </w:tr>
      <w:tr w:rsidR="00053D93" w14:paraId="097C1512" w14:textId="77777777">
        <w:trPr>
          <w:trHeight w:val="694"/>
        </w:trPr>
        <w:tc>
          <w:tcPr>
            <w:tcW w:w="389" w:type="dxa"/>
            <w:tcBorders>
              <w:top w:val="single" w:sz="2" w:space="0" w:color="000000"/>
              <w:left w:val="single" w:sz="2" w:space="0" w:color="000000"/>
              <w:bottom w:val="single" w:sz="2" w:space="0" w:color="000000"/>
              <w:right w:val="single" w:sz="2" w:space="0" w:color="000000"/>
            </w:tcBorders>
            <w:vAlign w:val="bottom"/>
          </w:tcPr>
          <w:p w14:paraId="623A9810" w14:textId="77777777" w:rsidR="00053D93" w:rsidRDefault="00260B75">
            <w:pPr>
              <w:ind w:left="41"/>
            </w:pPr>
            <w:r>
              <w:rPr>
                <w:rFonts w:ascii="Times New Roman" w:eastAsia="Times New Roman" w:hAnsi="Times New Roman" w:cs="Times New Roman"/>
                <w:sz w:val="18"/>
              </w:rPr>
              <w:t>43</w:t>
            </w:r>
          </w:p>
        </w:tc>
        <w:tc>
          <w:tcPr>
            <w:tcW w:w="1257" w:type="dxa"/>
            <w:tcBorders>
              <w:top w:val="single" w:sz="2" w:space="0" w:color="000000"/>
              <w:left w:val="single" w:sz="2" w:space="0" w:color="000000"/>
              <w:bottom w:val="single" w:sz="2" w:space="0" w:color="000000"/>
              <w:right w:val="single" w:sz="2" w:space="0" w:color="000000"/>
            </w:tcBorders>
            <w:vAlign w:val="bottom"/>
          </w:tcPr>
          <w:p w14:paraId="7CE898D7" w14:textId="77777777" w:rsidR="00053D93" w:rsidRDefault="00260B75">
            <w:pPr>
              <w:ind w:right="10"/>
              <w:jc w:val="center"/>
            </w:pPr>
            <w:r>
              <w:rPr>
                <w:rFonts w:ascii="Times New Roman" w:eastAsia="Times New Roman" w:hAnsi="Times New Roman" w:cs="Times New Roman"/>
                <w:sz w:val="16"/>
              </w:rPr>
              <w:t>02-2024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023C7A0D" w14:textId="77777777" w:rsidR="00053D93" w:rsidRDefault="00260B75">
            <w:pPr>
              <w:ind w:right="7"/>
              <w:jc w:val="center"/>
            </w:pPr>
            <w:r>
              <w:rPr>
                <w:rFonts w:ascii="Times New Roman" w:eastAsia="Times New Roman" w:hAnsi="Times New Roman" w:cs="Times New Roman"/>
                <w:sz w:val="16"/>
              </w:rPr>
              <w:t>711 112024</w:t>
            </w:r>
          </w:p>
        </w:tc>
        <w:tc>
          <w:tcPr>
            <w:tcW w:w="2174" w:type="dxa"/>
            <w:tcBorders>
              <w:top w:val="single" w:sz="2" w:space="0" w:color="000000"/>
              <w:left w:val="single" w:sz="2" w:space="0" w:color="000000"/>
              <w:bottom w:val="single" w:sz="2" w:space="0" w:color="000000"/>
              <w:right w:val="single" w:sz="2" w:space="0" w:color="000000"/>
            </w:tcBorders>
          </w:tcPr>
          <w:p w14:paraId="652307A2" w14:textId="77777777" w:rsidR="00053D93" w:rsidRDefault="00260B75">
            <w:pPr>
              <w:ind w:left="7"/>
            </w:pPr>
            <w:r>
              <w:rPr>
                <w:sz w:val="18"/>
              </w:rPr>
              <w:t>Asociación Obras Sociales</w:t>
            </w:r>
          </w:p>
          <w:p w14:paraId="0BE8B390" w14:textId="77777777" w:rsidR="00053D93" w:rsidRDefault="00260B75">
            <w:pPr>
              <w:ind w:left="14"/>
            </w:pPr>
            <w:r>
              <w:rPr>
                <w:sz w:val="18"/>
              </w:rPr>
              <w:t>De Las Dominicas De La</w:t>
            </w:r>
          </w:p>
          <w:p w14:paraId="793D6065" w14:textId="77777777" w:rsidR="00053D93" w:rsidRDefault="00260B75">
            <w:pPr>
              <w:ind w:left="7"/>
            </w:pPr>
            <w:r>
              <w:rPr>
                <w:sz w:val="16"/>
              </w:rPr>
              <w:t>Anunciata</w:t>
            </w:r>
          </w:p>
        </w:tc>
        <w:tc>
          <w:tcPr>
            <w:tcW w:w="2282" w:type="dxa"/>
            <w:tcBorders>
              <w:top w:val="single" w:sz="2" w:space="0" w:color="000000"/>
              <w:left w:val="single" w:sz="2" w:space="0" w:color="000000"/>
              <w:bottom w:val="single" w:sz="2" w:space="0" w:color="000000"/>
              <w:right w:val="single" w:sz="2" w:space="0" w:color="000000"/>
            </w:tcBorders>
            <w:vAlign w:val="bottom"/>
          </w:tcPr>
          <w:p w14:paraId="42A7EEAA" w14:textId="77777777" w:rsidR="00053D93" w:rsidRDefault="00260B75">
            <w:pPr>
              <w:ind w:left="7"/>
            </w:pPr>
            <w:r>
              <w:rPr>
                <w:sz w:val="16"/>
              </w:rPr>
              <w:t>Ampliación Presupuestaria.</w:t>
            </w:r>
          </w:p>
        </w:tc>
        <w:tc>
          <w:tcPr>
            <w:tcW w:w="1435" w:type="dxa"/>
            <w:tcBorders>
              <w:top w:val="single" w:sz="2" w:space="0" w:color="000000"/>
              <w:left w:val="single" w:sz="2" w:space="0" w:color="000000"/>
              <w:bottom w:val="single" w:sz="2" w:space="0" w:color="000000"/>
              <w:right w:val="single" w:sz="2" w:space="0" w:color="000000"/>
            </w:tcBorders>
            <w:vAlign w:val="bottom"/>
          </w:tcPr>
          <w:p w14:paraId="3F7BBFDB" w14:textId="77777777" w:rsidR="00053D93" w:rsidRDefault="00260B75">
            <w:pPr>
              <w:ind w:right="3"/>
              <w:jc w:val="right"/>
            </w:pPr>
            <w:r>
              <w:rPr>
                <w:sz w:val="16"/>
              </w:rPr>
              <w:t>1 ,585.560.oo</w:t>
            </w:r>
          </w:p>
        </w:tc>
      </w:tr>
      <w:tr w:rsidR="00053D93" w14:paraId="7C6803A1" w14:textId="77777777">
        <w:trPr>
          <w:trHeight w:val="554"/>
        </w:trPr>
        <w:tc>
          <w:tcPr>
            <w:tcW w:w="389" w:type="dxa"/>
            <w:tcBorders>
              <w:top w:val="single" w:sz="2" w:space="0" w:color="000000"/>
              <w:left w:val="single" w:sz="2" w:space="0" w:color="000000"/>
              <w:bottom w:val="single" w:sz="2" w:space="0" w:color="000000"/>
              <w:right w:val="single" w:sz="2" w:space="0" w:color="000000"/>
            </w:tcBorders>
            <w:vAlign w:val="bottom"/>
          </w:tcPr>
          <w:p w14:paraId="78410537" w14:textId="77777777" w:rsidR="00053D93" w:rsidRDefault="00260B75">
            <w:pPr>
              <w:ind w:left="41"/>
            </w:pPr>
            <w:r>
              <w:rPr>
                <w:rFonts w:ascii="Times New Roman" w:eastAsia="Times New Roman" w:hAnsi="Times New Roman" w:cs="Times New Roman"/>
                <w:sz w:val="16"/>
              </w:rPr>
              <w:t>44</w:t>
            </w:r>
          </w:p>
        </w:tc>
        <w:tc>
          <w:tcPr>
            <w:tcW w:w="1257" w:type="dxa"/>
            <w:tcBorders>
              <w:top w:val="single" w:sz="2" w:space="0" w:color="000000"/>
              <w:left w:val="single" w:sz="2" w:space="0" w:color="000000"/>
              <w:bottom w:val="single" w:sz="2" w:space="0" w:color="000000"/>
              <w:right w:val="single" w:sz="2" w:space="0" w:color="000000"/>
            </w:tcBorders>
            <w:vAlign w:val="bottom"/>
          </w:tcPr>
          <w:p w14:paraId="7171F93A" w14:textId="77777777" w:rsidR="00053D93" w:rsidRDefault="00260B75">
            <w:pPr>
              <w:ind w:right="17"/>
              <w:jc w:val="center"/>
            </w:pPr>
            <w:r>
              <w:rPr>
                <w:rFonts w:ascii="Times New Roman" w:eastAsia="Times New Roman" w:hAnsi="Times New Roman" w:cs="Times New Roman"/>
                <w:sz w:val="16"/>
              </w:rPr>
              <w:t>01-2024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3C7315CA" w14:textId="77777777" w:rsidR="00053D93" w:rsidRDefault="00260B75">
            <w:pPr>
              <w:jc w:val="center"/>
            </w:pPr>
            <w:r>
              <w:rPr>
                <w:rFonts w:ascii="Times New Roman" w:eastAsia="Times New Roman" w:hAnsi="Times New Roman" w:cs="Times New Roman"/>
                <w:sz w:val="16"/>
              </w:rPr>
              <w:t>110312024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2617B9A1" w14:textId="77777777" w:rsidR="00053D93" w:rsidRDefault="00260B75">
            <w:pPr>
              <w:ind w:left="7"/>
            </w:pPr>
            <w:r>
              <w:rPr>
                <w:sz w:val="18"/>
              </w:rPr>
              <w:t>Asociación para El Desarrollo</w:t>
            </w:r>
          </w:p>
          <w:p w14:paraId="773927C2" w14:textId="77777777" w:rsidR="00053D93" w:rsidRDefault="00260B75">
            <w:pPr>
              <w:ind w:left="14"/>
            </w:pPr>
            <w:r>
              <w:rPr>
                <w:sz w:val="16"/>
              </w:rPr>
              <w:t>Integral del Nororiente</w:t>
            </w:r>
          </w:p>
        </w:tc>
        <w:tc>
          <w:tcPr>
            <w:tcW w:w="2282" w:type="dxa"/>
            <w:tcBorders>
              <w:top w:val="single" w:sz="2" w:space="0" w:color="000000"/>
              <w:left w:val="single" w:sz="2" w:space="0" w:color="000000"/>
              <w:bottom w:val="single" w:sz="2" w:space="0" w:color="000000"/>
              <w:right w:val="single" w:sz="2" w:space="0" w:color="000000"/>
            </w:tcBorders>
          </w:tcPr>
          <w:p w14:paraId="66B7283F" w14:textId="77777777" w:rsidR="00053D93" w:rsidRDefault="00260B75">
            <w:pPr>
              <w:ind w:left="14" w:right="14" w:hanging="7"/>
              <w:jc w:val="both"/>
            </w:pPr>
            <w:r>
              <w:rPr>
                <w:sz w:val="16"/>
              </w:rPr>
              <w:t>Transferencias a Instituciones que Prestan Servicios Educativos 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1B8FF2F3" w14:textId="77777777" w:rsidR="00053D93" w:rsidRDefault="00260B75">
            <w:pPr>
              <w:ind w:right="3"/>
              <w:jc w:val="right"/>
            </w:pPr>
            <w:r>
              <w:rPr>
                <w:rFonts w:ascii="Times New Roman" w:eastAsia="Times New Roman" w:hAnsi="Times New Roman" w:cs="Times New Roman"/>
                <w:sz w:val="16"/>
              </w:rPr>
              <w:t>1«500.000.00</w:t>
            </w:r>
          </w:p>
        </w:tc>
      </w:tr>
      <w:tr w:rsidR="00053D93" w14:paraId="423ADE14" w14:textId="77777777">
        <w:trPr>
          <w:trHeight w:val="547"/>
        </w:trPr>
        <w:tc>
          <w:tcPr>
            <w:tcW w:w="389" w:type="dxa"/>
            <w:tcBorders>
              <w:top w:val="single" w:sz="2" w:space="0" w:color="000000"/>
              <w:left w:val="single" w:sz="2" w:space="0" w:color="000000"/>
              <w:bottom w:val="single" w:sz="2" w:space="0" w:color="000000"/>
              <w:right w:val="single" w:sz="2" w:space="0" w:color="000000"/>
            </w:tcBorders>
            <w:vAlign w:val="bottom"/>
          </w:tcPr>
          <w:p w14:paraId="3D602FE6" w14:textId="77777777" w:rsidR="00053D93" w:rsidRDefault="00260B75">
            <w:pPr>
              <w:ind w:left="33"/>
            </w:pPr>
            <w:r>
              <w:rPr>
                <w:rFonts w:ascii="Times New Roman" w:eastAsia="Times New Roman" w:hAnsi="Times New Roman" w:cs="Times New Roman"/>
                <w:sz w:val="18"/>
              </w:rPr>
              <w:t>45</w:t>
            </w:r>
          </w:p>
        </w:tc>
        <w:tc>
          <w:tcPr>
            <w:tcW w:w="1257" w:type="dxa"/>
            <w:tcBorders>
              <w:top w:val="single" w:sz="2" w:space="0" w:color="000000"/>
              <w:left w:val="single" w:sz="2" w:space="0" w:color="000000"/>
              <w:bottom w:val="single" w:sz="2" w:space="0" w:color="000000"/>
              <w:right w:val="single" w:sz="2" w:space="0" w:color="000000"/>
            </w:tcBorders>
            <w:vAlign w:val="bottom"/>
          </w:tcPr>
          <w:p w14:paraId="2E1A6080" w14:textId="77777777" w:rsidR="00053D93" w:rsidRDefault="00260B75">
            <w:pPr>
              <w:ind w:right="10"/>
              <w:jc w:val="center"/>
            </w:pPr>
            <w:r>
              <w:rPr>
                <w:rFonts w:ascii="Times New Roman" w:eastAsia="Times New Roman" w:hAnsi="Times New Roman" w:cs="Times New Roman"/>
                <w:sz w:val="16"/>
              </w:rPr>
              <w:t>01-2024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44F4CF17" w14:textId="77777777" w:rsidR="00053D93" w:rsidRDefault="00260B75">
            <w:pPr>
              <w:ind w:left="7"/>
            </w:pPr>
            <w:r>
              <w:rPr>
                <w:rFonts w:ascii="Times New Roman" w:eastAsia="Times New Roman" w:hAnsi="Times New Roman" w:cs="Times New Roman"/>
                <w:sz w:val="16"/>
              </w:rPr>
              <w:t>26/03/2024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7EB96EDB" w14:textId="77777777" w:rsidR="00053D93" w:rsidRDefault="00260B75">
            <w:pPr>
              <w:tabs>
                <w:tab w:val="right" w:pos="2030"/>
              </w:tabs>
            </w:pPr>
            <w:r>
              <w:rPr>
                <w:sz w:val="18"/>
              </w:rPr>
              <w:t>Asociación</w:t>
            </w:r>
            <w:r>
              <w:rPr>
                <w:sz w:val="18"/>
              </w:rPr>
              <w:tab/>
              <w:t>Pequeñas</w:t>
            </w:r>
          </w:p>
          <w:p w14:paraId="2ADECF08" w14:textId="77777777" w:rsidR="00053D93" w:rsidRDefault="00260B75">
            <w:pPr>
              <w:ind w:left="7"/>
            </w:pPr>
            <w:r>
              <w:rPr>
                <w:sz w:val="18"/>
              </w:rPr>
              <w:t>Apóstoles De La Redención</w:t>
            </w:r>
          </w:p>
        </w:tc>
        <w:tc>
          <w:tcPr>
            <w:tcW w:w="2282" w:type="dxa"/>
            <w:tcBorders>
              <w:top w:val="single" w:sz="2" w:space="0" w:color="000000"/>
              <w:left w:val="single" w:sz="2" w:space="0" w:color="000000"/>
              <w:bottom w:val="single" w:sz="2" w:space="0" w:color="000000"/>
              <w:right w:val="single" w:sz="2" w:space="0" w:color="000000"/>
            </w:tcBorders>
          </w:tcPr>
          <w:p w14:paraId="40B928F8" w14:textId="77777777" w:rsidR="00053D93" w:rsidRDefault="00260B75">
            <w:pPr>
              <w:ind w:left="14" w:right="14" w:hanging="7"/>
              <w:jc w:val="both"/>
            </w:pPr>
            <w:r>
              <w:rPr>
                <w:sz w:val="16"/>
              </w:rPr>
              <w:t>Transferencias a Instituciones que Prestan Servicios Educativos 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1A657B60" w14:textId="77777777" w:rsidR="00053D93" w:rsidRDefault="00260B75">
            <w:pPr>
              <w:ind w:right="3"/>
              <w:jc w:val="right"/>
            </w:pPr>
            <w:r>
              <w:rPr>
                <w:sz w:val="18"/>
              </w:rPr>
              <w:t>1.741.520.oo</w:t>
            </w:r>
          </w:p>
        </w:tc>
      </w:tr>
      <w:tr w:rsidR="00053D93" w14:paraId="158F0B50" w14:textId="77777777">
        <w:trPr>
          <w:trHeight w:val="432"/>
        </w:trPr>
        <w:tc>
          <w:tcPr>
            <w:tcW w:w="389" w:type="dxa"/>
            <w:tcBorders>
              <w:top w:val="single" w:sz="2" w:space="0" w:color="000000"/>
              <w:left w:val="single" w:sz="2" w:space="0" w:color="000000"/>
              <w:bottom w:val="single" w:sz="2" w:space="0" w:color="000000"/>
              <w:right w:val="single" w:sz="2" w:space="0" w:color="000000"/>
            </w:tcBorders>
            <w:vAlign w:val="bottom"/>
          </w:tcPr>
          <w:p w14:paraId="676674B0" w14:textId="77777777" w:rsidR="00053D93" w:rsidRDefault="00260B75">
            <w:pPr>
              <w:ind w:left="41"/>
            </w:pPr>
            <w:r>
              <w:rPr>
                <w:rFonts w:ascii="Times New Roman" w:eastAsia="Times New Roman" w:hAnsi="Times New Roman" w:cs="Times New Roman"/>
                <w:sz w:val="16"/>
              </w:rPr>
              <w:t>46</w:t>
            </w:r>
          </w:p>
        </w:tc>
        <w:tc>
          <w:tcPr>
            <w:tcW w:w="1257" w:type="dxa"/>
            <w:tcBorders>
              <w:top w:val="single" w:sz="2" w:space="0" w:color="000000"/>
              <w:left w:val="single" w:sz="2" w:space="0" w:color="000000"/>
              <w:bottom w:val="single" w:sz="2" w:space="0" w:color="000000"/>
              <w:right w:val="single" w:sz="2" w:space="0" w:color="000000"/>
            </w:tcBorders>
            <w:vAlign w:val="bottom"/>
          </w:tcPr>
          <w:p w14:paraId="60977274" w14:textId="77777777" w:rsidR="00053D93" w:rsidRDefault="00260B75">
            <w:pPr>
              <w:ind w:right="17"/>
              <w:jc w:val="center"/>
            </w:pPr>
            <w:r>
              <w:rPr>
                <w:rFonts w:ascii="Times New Roman" w:eastAsia="Times New Roman" w:hAnsi="Times New Roman" w:cs="Times New Roman"/>
                <w:sz w:val="16"/>
              </w:rPr>
              <w:t>01-2024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2D0EC946" w14:textId="77777777" w:rsidR="00053D93" w:rsidRDefault="00260B75">
            <w:pPr>
              <w:ind w:left="50"/>
            </w:pPr>
            <w:r>
              <w:rPr>
                <w:rFonts w:ascii="Times New Roman" w:eastAsia="Times New Roman" w:hAnsi="Times New Roman" w:cs="Times New Roman"/>
                <w:sz w:val="16"/>
              </w:rPr>
              <w:t>4/09/2024</w:t>
            </w:r>
          </w:p>
        </w:tc>
        <w:tc>
          <w:tcPr>
            <w:tcW w:w="2174" w:type="dxa"/>
            <w:tcBorders>
              <w:top w:val="single" w:sz="2" w:space="0" w:color="000000"/>
              <w:left w:val="single" w:sz="2" w:space="0" w:color="000000"/>
              <w:bottom w:val="single" w:sz="2" w:space="0" w:color="000000"/>
              <w:right w:val="single" w:sz="2" w:space="0" w:color="000000"/>
            </w:tcBorders>
          </w:tcPr>
          <w:p w14:paraId="2B4C42F2" w14:textId="77777777" w:rsidR="00053D93" w:rsidRDefault="00260B75">
            <w:pPr>
              <w:tabs>
                <w:tab w:val="right" w:pos="2030"/>
              </w:tabs>
            </w:pPr>
            <w:r>
              <w:rPr>
                <w:sz w:val="18"/>
              </w:rPr>
              <w:t>Asociación</w:t>
            </w:r>
            <w:r>
              <w:rPr>
                <w:sz w:val="18"/>
              </w:rPr>
              <w:tab/>
              <w:t>Pequeñas</w:t>
            </w:r>
          </w:p>
          <w:p w14:paraId="27B10074" w14:textId="77777777" w:rsidR="00053D93" w:rsidRDefault="00260B75">
            <w:pPr>
              <w:ind w:left="7"/>
            </w:pPr>
            <w:r>
              <w:rPr>
                <w:sz w:val="18"/>
              </w:rPr>
              <w:t>Apóstoles De La Redención</w:t>
            </w:r>
          </w:p>
        </w:tc>
        <w:tc>
          <w:tcPr>
            <w:tcW w:w="2282" w:type="dxa"/>
            <w:tcBorders>
              <w:top w:val="single" w:sz="2" w:space="0" w:color="000000"/>
              <w:left w:val="single" w:sz="2" w:space="0" w:color="000000"/>
              <w:bottom w:val="single" w:sz="2" w:space="0" w:color="000000"/>
              <w:right w:val="single" w:sz="2" w:space="0" w:color="000000"/>
            </w:tcBorders>
            <w:vAlign w:val="bottom"/>
          </w:tcPr>
          <w:p w14:paraId="4C6B2101" w14:textId="77777777" w:rsidR="00053D93" w:rsidRDefault="00260B75">
            <w:pPr>
              <w:ind w:left="7"/>
            </w:pPr>
            <w:r>
              <w:rPr>
                <w:sz w:val="16"/>
              </w:rPr>
              <w:t>Ampliación Presupuestaria.</w:t>
            </w:r>
          </w:p>
        </w:tc>
        <w:tc>
          <w:tcPr>
            <w:tcW w:w="1435" w:type="dxa"/>
            <w:tcBorders>
              <w:top w:val="single" w:sz="2" w:space="0" w:color="000000"/>
              <w:left w:val="single" w:sz="2" w:space="0" w:color="000000"/>
              <w:bottom w:val="single" w:sz="2" w:space="0" w:color="000000"/>
              <w:right w:val="single" w:sz="2" w:space="0" w:color="000000"/>
            </w:tcBorders>
            <w:vAlign w:val="bottom"/>
          </w:tcPr>
          <w:p w14:paraId="44DE0C6A" w14:textId="77777777" w:rsidR="00053D93" w:rsidRDefault="00260B75">
            <w:pPr>
              <w:ind w:right="3"/>
              <w:jc w:val="right"/>
            </w:pPr>
            <w:r>
              <w:rPr>
                <w:rFonts w:ascii="Times New Roman" w:eastAsia="Times New Roman" w:hAnsi="Times New Roman" w:cs="Times New Roman"/>
                <w:sz w:val="18"/>
              </w:rPr>
              <w:t>858.480.00</w:t>
            </w:r>
          </w:p>
        </w:tc>
      </w:tr>
      <w:tr w:rsidR="00053D93" w14:paraId="6860FBB9" w14:textId="77777777">
        <w:trPr>
          <w:trHeight w:val="494"/>
        </w:trPr>
        <w:tc>
          <w:tcPr>
            <w:tcW w:w="389" w:type="dxa"/>
            <w:tcBorders>
              <w:top w:val="single" w:sz="2" w:space="0" w:color="000000"/>
              <w:left w:val="single" w:sz="2" w:space="0" w:color="000000"/>
              <w:bottom w:val="single" w:sz="2" w:space="0" w:color="000000"/>
              <w:right w:val="single" w:sz="2" w:space="0" w:color="000000"/>
            </w:tcBorders>
            <w:vAlign w:val="bottom"/>
          </w:tcPr>
          <w:p w14:paraId="2BB1B682" w14:textId="77777777" w:rsidR="00053D93" w:rsidRDefault="00260B75">
            <w:pPr>
              <w:ind w:left="33"/>
            </w:pPr>
            <w:r>
              <w:rPr>
                <w:rFonts w:ascii="Times New Roman" w:eastAsia="Times New Roman" w:hAnsi="Times New Roman" w:cs="Times New Roman"/>
                <w:sz w:val="16"/>
              </w:rPr>
              <w:t>47</w:t>
            </w:r>
          </w:p>
        </w:tc>
        <w:tc>
          <w:tcPr>
            <w:tcW w:w="1257" w:type="dxa"/>
            <w:tcBorders>
              <w:top w:val="single" w:sz="2" w:space="0" w:color="000000"/>
              <w:left w:val="single" w:sz="2" w:space="0" w:color="000000"/>
              <w:bottom w:val="single" w:sz="2" w:space="0" w:color="000000"/>
              <w:right w:val="single" w:sz="2" w:space="0" w:color="000000"/>
            </w:tcBorders>
            <w:vAlign w:val="bottom"/>
          </w:tcPr>
          <w:p w14:paraId="5BB366C7" w14:textId="77777777" w:rsidR="00053D93" w:rsidRDefault="00260B75">
            <w:pPr>
              <w:ind w:right="17"/>
              <w:jc w:val="center"/>
            </w:pPr>
            <w:r>
              <w:rPr>
                <w:rFonts w:ascii="Times New Roman" w:eastAsia="Times New Roman" w:hAnsi="Times New Roman" w:cs="Times New Roman"/>
                <w:sz w:val="16"/>
              </w:rPr>
              <w:t>02-2024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0C7ABA0F" w14:textId="77777777" w:rsidR="00053D93" w:rsidRDefault="00260B75">
            <w:pPr>
              <w:jc w:val="center"/>
            </w:pPr>
            <w:r>
              <w:rPr>
                <w:rFonts w:ascii="Times New Roman" w:eastAsia="Times New Roman" w:hAnsi="Times New Roman" w:cs="Times New Roman"/>
                <w:sz w:val="16"/>
              </w:rPr>
              <w:t>6105/2024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5B409C27" w14:textId="77777777" w:rsidR="00053D93" w:rsidRDefault="00260B75">
            <w:pPr>
              <w:ind w:left="14"/>
            </w:pPr>
            <w:r>
              <w:rPr>
                <w:sz w:val="18"/>
              </w:rPr>
              <w:t>Fundación Adentro</w:t>
            </w:r>
          </w:p>
        </w:tc>
        <w:tc>
          <w:tcPr>
            <w:tcW w:w="2282" w:type="dxa"/>
            <w:tcBorders>
              <w:top w:val="single" w:sz="2" w:space="0" w:color="000000"/>
              <w:left w:val="single" w:sz="2" w:space="0" w:color="000000"/>
              <w:bottom w:val="single" w:sz="2" w:space="0" w:color="000000"/>
              <w:right w:val="single" w:sz="2" w:space="0" w:color="000000"/>
            </w:tcBorders>
          </w:tcPr>
          <w:p w14:paraId="58B361AD" w14:textId="77777777" w:rsidR="00053D93" w:rsidRDefault="00260B75">
            <w:pPr>
              <w:ind w:left="14" w:hanging="7"/>
              <w:jc w:val="both"/>
            </w:pPr>
            <w:r>
              <w:rPr>
                <w:sz w:val="16"/>
              </w:rPr>
              <w:t>Transferencias a Instituciones que Prestan Servicios Educativos</w:t>
            </w:r>
          </w:p>
          <w:p w14:paraId="74B71E0F" w14:textId="77777777" w:rsidR="00053D93" w:rsidRDefault="00260B75">
            <w:pPr>
              <w:ind w:left="14"/>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tcPr>
          <w:p w14:paraId="30091B17" w14:textId="77777777" w:rsidR="00053D93" w:rsidRDefault="00053D93"/>
        </w:tc>
      </w:tr>
      <w:tr w:rsidR="00053D93" w14:paraId="26CD9493" w14:textId="77777777">
        <w:trPr>
          <w:trHeight w:val="619"/>
        </w:trPr>
        <w:tc>
          <w:tcPr>
            <w:tcW w:w="389" w:type="dxa"/>
            <w:tcBorders>
              <w:top w:val="single" w:sz="2" w:space="0" w:color="000000"/>
              <w:left w:val="single" w:sz="2" w:space="0" w:color="000000"/>
              <w:bottom w:val="single" w:sz="2" w:space="0" w:color="000000"/>
              <w:right w:val="single" w:sz="2" w:space="0" w:color="000000"/>
            </w:tcBorders>
            <w:vAlign w:val="bottom"/>
          </w:tcPr>
          <w:p w14:paraId="6BA5D527" w14:textId="77777777" w:rsidR="00053D93" w:rsidRDefault="00260B75">
            <w:pPr>
              <w:ind w:left="33"/>
            </w:pPr>
            <w:r>
              <w:rPr>
                <w:rFonts w:ascii="Times New Roman" w:eastAsia="Times New Roman" w:hAnsi="Times New Roman" w:cs="Times New Roman"/>
                <w:sz w:val="18"/>
              </w:rPr>
              <w:t>48</w:t>
            </w:r>
          </w:p>
        </w:tc>
        <w:tc>
          <w:tcPr>
            <w:tcW w:w="1257" w:type="dxa"/>
            <w:tcBorders>
              <w:top w:val="single" w:sz="2" w:space="0" w:color="000000"/>
              <w:left w:val="single" w:sz="2" w:space="0" w:color="000000"/>
              <w:bottom w:val="single" w:sz="2" w:space="0" w:color="000000"/>
              <w:right w:val="single" w:sz="2" w:space="0" w:color="000000"/>
            </w:tcBorders>
            <w:vAlign w:val="bottom"/>
          </w:tcPr>
          <w:p w14:paraId="53EF170D" w14:textId="77777777" w:rsidR="00053D93" w:rsidRDefault="00260B75">
            <w:pPr>
              <w:ind w:right="17"/>
              <w:jc w:val="center"/>
            </w:pPr>
            <w:r>
              <w:rPr>
                <w:rFonts w:ascii="Times New Roman" w:eastAsia="Times New Roman" w:hAnsi="Times New Roman" w:cs="Times New Roman"/>
                <w:sz w:val="16"/>
              </w:rPr>
              <w:t>01-2024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16543E7E" w14:textId="77777777" w:rsidR="00053D93" w:rsidRDefault="00260B75">
            <w:pPr>
              <w:ind w:left="14"/>
            </w:pPr>
            <w:r>
              <w:rPr>
                <w:rFonts w:ascii="Times New Roman" w:eastAsia="Times New Roman" w:hAnsi="Times New Roman" w:cs="Times New Roman"/>
                <w:sz w:val="18"/>
              </w:rPr>
              <w:t>16/04/2024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38EE2969" w14:textId="77777777" w:rsidR="00053D93" w:rsidRDefault="00260B75">
            <w:pPr>
              <w:tabs>
                <w:tab w:val="right" w:pos="2030"/>
              </w:tabs>
              <w:spacing w:after="6"/>
            </w:pPr>
            <w:r>
              <w:rPr>
                <w:sz w:val="18"/>
              </w:rPr>
              <w:t>Fundación Educativa</w:t>
            </w:r>
            <w:r>
              <w:rPr>
                <w:sz w:val="18"/>
              </w:rPr>
              <w:tab/>
              <w:t>Y</w:t>
            </w:r>
          </w:p>
          <w:p w14:paraId="23B77F7B" w14:textId="77777777" w:rsidR="00053D93" w:rsidRDefault="00260B75">
            <w:r>
              <w:rPr>
                <w:sz w:val="18"/>
              </w:rPr>
              <w:t>Alegría</w:t>
            </w:r>
          </w:p>
        </w:tc>
        <w:tc>
          <w:tcPr>
            <w:tcW w:w="2282" w:type="dxa"/>
            <w:tcBorders>
              <w:top w:val="single" w:sz="2" w:space="0" w:color="000000"/>
              <w:left w:val="single" w:sz="2" w:space="0" w:color="000000"/>
              <w:bottom w:val="single" w:sz="2" w:space="0" w:color="000000"/>
              <w:right w:val="single" w:sz="2" w:space="0" w:color="000000"/>
            </w:tcBorders>
          </w:tcPr>
          <w:p w14:paraId="51A25F75" w14:textId="77777777" w:rsidR="00053D93" w:rsidRDefault="00260B75">
            <w:pPr>
              <w:spacing w:line="243" w:lineRule="auto"/>
              <w:ind w:left="14" w:hanging="7"/>
              <w:jc w:val="both"/>
            </w:pPr>
            <w:r>
              <w:rPr>
                <w:sz w:val="16"/>
              </w:rPr>
              <w:t>Transferencias a Instituciones que Prestan Servicios Educativos</w:t>
            </w:r>
          </w:p>
          <w:p w14:paraId="5D34FA2C" w14:textId="77777777" w:rsidR="00053D93" w:rsidRDefault="00260B75">
            <w:pPr>
              <w:ind w:left="14"/>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546E4EB0" w14:textId="77777777" w:rsidR="00053D93" w:rsidRDefault="00260B75">
            <w:pPr>
              <w:ind w:right="3"/>
              <w:jc w:val="right"/>
            </w:pPr>
            <w:r>
              <w:rPr>
                <w:rFonts w:ascii="Times New Roman" w:eastAsia="Times New Roman" w:hAnsi="Times New Roman" w:cs="Times New Roman"/>
                <w:sz w:val="18"/>
              </w:rPr>
              <w:t>87.794.320.00</w:t>
            </w:r>
          </w:p>
        </w:tc>
      </w:tr>
      <w:tr w:rsidR="00053D93" w14:paraId="730A8BA3" w14:textId="77777777">
        <w:trPr>
          <w:trHeight w:val="490"/>
        </w:trPr>
        <w:tc>
          <w:tcPr>
            <w:tcW w:w="389" w:type="dxa"/>
            <w:tcBorders>
              <w:top w:val="single" w:sz="2" w:space="0" w:color="000000"/>
              <w:left w:val="single" w:sz="2" w:space="0" w:color="000000"/>
              <w:bottom w:val="single" w:sz="2" w:space="0" w:color="000000"/>
              <w:right w:val="single" w:sz="2" w:space="0" w:color="000000"/>
            </w:tcBorders>
            <w:vAlign w:val="bottom"/>
          </w:tcPr>
          <w:p w14:paraId="37C98EB0" w14:textId="77777777" w:rsidR="00053D93" w:rsidRDefault="00260B75">
            <w:pPr>
              <w:ind w:left="33"/>
            </w:pPr>
            <w:r>
              <w:rPr>
                <w:rFonts w:ascii="Times New Roman" w:eastAsia="Times New Roman" w:hAnsi="Times New Roman" w:cs="Times New Roman"/>
                <w:sz w:val="16"/>
              </w:rPr>
              <w:t>49</w:t>
            </w:r>
          </w:p>
        </w:tc>
        <w:tc>
          <w:tcPr>
            <w:tcW w:w="1257" w:type="dxa"/>
            <w:tcBorders>
              <w:top w:val="single" w:sz="2" w:space="0" w:color="000000"/>
              <w:left w:val="single" w:sz="2" w:space="0" w:color="000000"/>
              <w:bottom w:val="single" w:sz="2" w:space="0" w:color="000000"/>
              <w:right w:val="single" w:sz="2" w:space="0" w:color="000000"/>
            </w:tcBorders>
            <w:vAlign w:val="bottom"/>
          </w:tcPr>
          <w:p w14:paraId="4A73D41F" w14:textId="77777777" w:rsidR="00053D93" w:rsidRDefault="00260B75">
            <w:pPr>
              <w:ind w:right="17"/>
              <w:jc w:val="center"/>
            </w:pPr>
            <w:r>
              <w:rPr>
                <w:rFonts w:ascii="Times New Roman" w:eastAsia="Times New Roman" w:hAnsi="Times New Roman" w:cs="Times New Roman"/>
                <w:sz w:val="16"/>
              </w:rPr>
              <w:t>02-2024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589D8F76" w14:textId="77777777" w:rsidR="00053D93" w:rsidRDefault="00260B75">
            <w:pPr>
              <w:ind w:left="50"/>
            </w:pPr>
            <w:r>
              <w:rPr>
                <w:rFonts w:ascii="Times New Roman" w:eastAsia="Times New Roman" w:hAnsi="Times New Roman" w:cs="Times New Roman"/>
                <w:sz w:val="16"/>
              </w:rPr>
              <w:t>2105/2024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2F9598C8" w14:textId="77777777" w:rsidR="00053D93" w:rsidRDefault="00260B75">
            <w:pPr>
              <w:ind w:left="7"/>
            </w:pPr>
            <w:r>
              <w:rPr>
                <w:sz w:val="18"/>
              </w:rPr>
              <w:t>Fundación Pescanova</w:t>
            </w:r>
          </w:p>
        </w:tc>
        <w:tc>
          <w:tcPr>
            <w:tcW w:w="2282" w:type="dxa"/>
            <w:tcBorders>
              <w:top w:val="single" w:sz="2" w:space="0" w:color="000000"/>
              <w:left w:val="single" w:sz="2" w:space="0" w:color="000000"/>
              <w:bottom w:val="single" w:sz="2" w:space="0" w:color="000000"/>
              <w:right w:val="single" w:sz="2" w:space="0" w:color="000000"/>
            </w:tcBorders>
          </w:tcPr>
          <w:p w14:paraId="1912EE40" w14:textId="77777777" w:rsidR="00053D93" w:rsidRDefault="00260B75">
            <w:pPr>
              <w:spacing w:line="245" w:lineRule="auto"/>
              <w:ind w:left="14" w:hanging="7"/>
              <w:jc w:val="both"/>
            </w:pPr>
            <w:r>
              <w:rPr>
                <w:sz w:val="16"/>
              </w:rPr>
              <w:t>Transferencias a Instituciones que Prestan Servicios Educativos</w:t>
            </w:r>
          </w:p>
          <w:p w14:paraId="064ACC91" w14:textId="77777777" w:rsidR="00053D93" w:rsidRDefault="00260B75">
            <w:pPr>
              <w:ind w:left="14"/>
            </w:pPr>
            <w:r>
              <w:rPr>
                <w:sz w:val="14"/>
              </w:rPr>
              <w:lastRenderedPageBreak/>
              <w:t>Gratuitos.</w:t>
            </w:r>
          </w:p>
        </w:tc>
        <w:tc>
          <w:tcPr>
            <w:tcW w:w="1435" w:type="dxa"/>
            <w:tcBorders>
              <w:top w:val="single" w:sz="2" w:space="0" w:color="000000"/>
              <w:left w:val="single" w:sz="2" w:space="0" w:color="000000"/>
              <w:bottom w:val="single" w:sz="2" w:space="0" w:color="000000"/>
              <w:right w:val="single" w:sz="2" w:space="0" w:color="000000"/>
            </w:tcBorders>
          </w:tcPr>
          <w:p w14:paraId="7E969CCE" w14:textId="77777777" w:rsidR="00053D93" w:rsidRDefault="00053D93"/>
        </w:tc>
      </w:tr>
      <w:tr w:rsidR="00053D93" w14:paraId="22618DFA" w14:textId="77777777">
        <w:trPr>
          <w:trHeight w:val="648"/>
        </w:trPr>
        <w:tc>
          <w:tcPr>
            <w:tcW w:w="389" w:type="dxa"/>
            <w:tcBorders>
              <w:top w:val="single" w:sz="2" w:space="0" w:color="000000"/>
              <w:left w:val="single" w:sz="2" w:space="0" w:color="000000"/>
              <w:bottom w:val="single" w:sz="2" w:space="0" w:color="000000"/>
              <w:right w:val="single" w:sz="2" w:space="0" w:color="000000"/>
            </w:tcBorders>
            <w:vAlign w:val="bottom"/>
          </w:tcPr>
          <w:p w14:paraId="769BCF58" w14:textId="77777777" w:rsidR="00053D93" w:rsidRDefault="00260B75">
            <w:pPr>
              <w:ind w:left="41"/>
            </w:pPr>
            <w:r>
              <w:rPr>
                <w:rFonts w:ascii="Times New Roman" w:eastAsia="Times New Roman" w:hAnsi="Times New Roman" w:cs="Times New Roman"/>
                <w:sz w:val="16"/>
              </w:rPr>
              <w:t>50</w:t>
            </w:r>
          </w:p>
        </w:tc>
        <w:tc>
          <w:tcPr>
            <w:tcW w:w="1257" w:type="dxa"/>
            <w:tcBorders>
              <w:top w:val="single" w:sz="2" w:space="0" w:color="000000"/>
              <w:left w:val="single" w:sz="2" w:space="0" w:color="000000"/>
              <w:bottom w:val="single" w:sz="2" w:space="0" w:color="000000"/>
              <w:right w:val="single" w:sz="2" w:space="0" w:color="000000"/>
            </w:tcBorders>
            <w:vAlign w:val="bottom"/>
          </w:tcPr>
          <w:p w14:paraId="526E48CC" w14:textId="77777777" w:rsidR="00053D93" w:rsidRDefault="00260B75">
            <w:pPr>
              <w:ind w:right="17"/>
              <w:jc w:val="center"/>
            </w:pPr>
            <w:r>
              <w:rPr>
                <w:rFonts w:ascii="Times New Roman" w:eastAsia="Times New Roman" w:hAnsi="Times New Roman" w:cs="Times New Roman"/>
                <w:sz w:val="16"/>
              </w:rPr>
              <w:t>05-2024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6BEB8E40" w14:textId="77777777" w:rsidR="00053D93" w:rsidRDefault="00260B75">
            <w:pPr>
              <w:ind w:left="50"/>
            </w:pPr>
            <w:r>
              <w:rPr>
                <w:rFonts w:ascii="Times New Roman" w:eastAsia="Times New Roman" w:hAnsi="Times New Roman" w:cs="Times New Roman"/>
                <w:sz w:val="16"/>
              </w:rPr>
              <w:t>7/08/2024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46BD2CC7" w14:textId="77777777" w:rsidR="00053D93" w:rsidRDefault="00260B75">
            <w:pPr>
              <w:spacing w:after="1" w:line="223" w:lineRule="auto"/>
              <w:ind w:firstLine="14"/>
              <w:jc w:val="both"/>
            </w:pPr>
            <w:r>
              <w:rPr>
                <w:sz w:val="18"/>
              </w:rPr>
              <w:t>Fundación para el Desarrollo y la Educación de la Mujer</w:t>
            </w:r>
          </w:p>
          <w:p w14:paraId="626BAE20" w14:textId="77777777" w:rsidR="00053D93" w:rsidRDefault="00260B75">
            <w:pPr>
              <w:ind w:left="14"/>
            </w:pPr>
            <w:r>
              <w:rPr>
                <w:sz w:val="18"/>
              </w:rPr>
              <w:t>Indígena -Talita Kumi-</w:t>
            </w:r>
          </w:p>
        </w:tc>
        <w:tc>
          <w:tcPr>
            <w:tcW w:w="2282" w:type="dxa"/>
            <w:tcBorders>
              <w:top w:val="single" w:sz="2" w:space="0" w:color="000000"/>
              <w:left w:val="single" w:sz="2" w:space="0" w:color="000000"/>
              <w:bottom w:val="single" w:sz="2" w:space="0" w:color="000000"/>
              <w:right w:val="single" w:sz="2" w:space="0" w:color="000000"/>
            </w:tcBorders>
            <w:vAlign w:val="bottom"/>
          </w:tcPr>
          <w:p w14:paraId="5803E7AD" w14:textId="77777777" w:rsidR="00053D93" w:rsidRDefault="00260B75">
            <w:pPr>
              <w:spacing w:line="262" w:lineRule="auto"/>
              <w:ind w:left="14" w:hanging="7"/>
              <w:jc w:val="both"/>
            </w:pPr>
            <w:r>
              <w:rPr>
                <w:sz w:val="16"/>
              </w:rPr>
              <w:t>Transferencias a Instituciones que Prestan Servicios Educativos</w:t>
            </w:r>
          </w:p>
          <w:p w14:paraId="28DBC0D3" w14:textId="77777777" w:rsidR="00053D93" w:rsidRDefault="00260B75">
            <w:pPr>
              <w:ind w:left="14"/>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tcPr>
          <w:p w14:paraId="1181247D" w14:textId="77777777" w:rsidR="00053D93" w:rsidRDefault="00053D93"/>
        </w:tc>
      </w:tr>
      <w:tr w:rsidR="00053D93" w14:paraId="676D7743" w14:textId="77777777">
        <w:trPr>
          <w:trHeight w:val="622"/>
        </w:trPr>
        <w:tc>
          <w:tcPr>
            <w:tcW w:w="389" w:type="dxa"/>
            <w:tcBorders>
              <w:top w:val="single" w:sz="2" w:space="0" w:color="000000"/>
              <w:left w:val="single" w:sz="2" w:space="0" w:color="000000"/>
              <w:bottom w:val="single" w:sz="2" w:space="0" w:color="000000"/>
              <w:right w:val="single" w:sz="2" w:space="0" w:color="000000"/>
            </w:tcBorders>
            <w:vAlign w:val="bottom"/>
          </w:tcPr>
          <w:p w14:paraId="13907D00" w14:textId="77777777" w:rsidR="00053D93" w:rsidRDefault="00260B75">
            <w:pPr>
              <w:ind w:right="34"/>
              <w:jc w:val="center"/>
            </w:pPr>
            <w:r>
              <w:rPr>
                <w:rFonts w:ascii="Times New Roman" w:eastAsia="Times New Roman" w:hAnsi="Times New Roman" w:cs="Times New Roman"/>
                <w:sz w:val="16"/>
              </w:rPr>
              <w:t>51</w:t>
            </w:r>
          </w:p>
        </w:tc>
        <w:tc>
          <w:tcPr>
            <w:tcW w:w="1257" w:type="dxa"/>
            <w:tcBorders>
              <w:top w:val="single" w:sz="2" w:space="0" w:color="000000"/>
              <w:left w:val="single" w:sz="2" w:space="0" w:color="000000"/>
              <w:bottom w:val="single" w:sz="2" w:space="0" w:color="000000"/>
              <w:right w:val="single" w:sz="2" w:space="0" w:color="000000"/>
            </w:tcBorders>
            <w:vAlign w:val="bottom"/>
          </w:tcPr>
          <w:p w14:paraId="29181FED" w14:textId="77777777" w:rsidR="00053D93" w:rsidRDefault="00260B75">
            <w:pPr>
              <w:ind w:right="10"/>
              <w:jc w:val="center"/>
            </w:pPr>
            <w:r>
              <w:rPr>
                <w:rFonts w:ascii="Times New Roman" w:eastAsia="Times New Roman" w:hAnsi="Times New Roman" w:cs="Times New Roman"/>
                <w:sz w:val="16"/>
              </w:rPr>
              <w:t>01-2024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1D8D800C" w14:textId="77777777" w:rsidR="00053D93" w:rsidRDefault="00260B75">
            <w:pPr>
              <w:jc w:val="center"/>
            </w:pPr>
            <w:r>
              <w:rPr>
                <w:rFonts w:ascii="Times New Roman" w:eastAsia="Times New Roman" w:hAnsi="Times New Roman" w:cs="Times New Roman"/>
                <w:sz w:val="16"/>
              </w:rPr>
              <w:t>6103/2024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587601A2" w14:textId="77777777" w:rsidR="00053D93" w:rsidRDefault="00260B75">
            <w:pPr>
              <w:ind w:left="7"/>
            </w:pPr>
            <w:r>
              <w:rPr>
                <w:sz w:val="18"/>
              </w:rPr>
              <w:t>Fundación Futuro De Los Niños</w:t>
            </w:r>
          </w:p>
        </w:tc>
        <w:tc>
          <w:tcPr>
            <w:tcW w:w="2282" w:type="dxa"/>
            <w:tcBorders>
              <w:top w:val="single" w:sz="2" w:space="0" w:color="000000"/>
              <w:left w:val="single" w:sz="2" w:space="0" w:color="000000"/>
              <w:bottom w:val="single" w:sz="2" w:space="0" w:color="000000"/>
              <w:right w:val="single" w:sz="2" w:space="0" w:color="000000"/>
            </w:tcBorders>
          </w:tcPr>
          <w:p w14:paraId="4229834F" w14:textId="77777777" w:rsidR="00053D93" w:rsidRDefault="00260B75">
            <w:pPr>
              <w:spacing w:line="243" w:lineRule="auto"/>
              <w:ind w:left="14" w:hanging="7"/>
              <w:jc w:val="both"/>
            </w:pPr>
            <w:r>
              <w:rPr>
                <w:sz w:val="16"/>
              </w:rPr>
              <w:t>Transferencias a Instituciones que Prestan Servicios Educativos</w:t>
            </w:r>
          </w:p>
          <w:p w14:paraId="4D9F5746" w14:textId="77777777" w:rsidR="00053D93" w:rsidRDefault="00260B75">
            <w:pPr>
              <w:ind w:left="14"/>
            </w:pPr>
            <w:r>
              <w:rPr>
                <w:sz w:val="14"/>
              </w:rPr>
              <w:t>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74E3EFA5" w14:textId="77777777" w:rsidR="00053D93" w:rsidRDefault="00260B75">
            <w:pPr>
              <w:ind w:right="3"/>
              <w:jc w:val="right"/>
            </w:pPr>
            <w:r>
              <w:rPr>
                <w:rFonts w:ascii="Times New Roman" w:eastAsia="Times New Roman" w:hAnsi="Times New Roman" w:cs="Times New Roman"/>
                <w:sz w:val="18"/>
              </w:rPr>
              <w:t>210.000.00</w:t>
            </w:r>
          </w:p>
        </w:tc>
      </w:tr>
      <w:tr w:rsidR="00053D93" w14:paraId="0E705DCA" w14:textId="77777777">
        <w:trPr>
          <w:trHeight w:val="554"/>
        </w:trPr>
        <w:tc>
          <w:tcPr>
            <w:tcW w:w="389" w:type="dxa"/>
            <w:tcBorders>
              <w:top w:val="single" w:sz="2" w:space="0" w:color="000000"/>
              <w:left w:val="single" w:sz="2" w:space="0" w:color="000000"/>
              <w:bottom w:val="single" w:sz="2" w:space="0" w:color="000000"/>
              <w:right w:val="single" w:sz="2" w:space="0" w:color="000000"/>
            </w:tcBorders>
            <w:vAlign w:val="bottom"/>
          </w:tcPr>
          <w:p w14:paraId="6D853BF3" w14:textId="77777777" w:rsidR="00053D93" w:rsidRDefault="00260B75">
            <w:pPr>
              <w:ind w:left="41"/>
            </w:pPr>
            <w:r>
              <w:rPr>
                <w:rFonts w:ascii="Times New Roman" w:eastAsia="Times New Roman" w:hAnsi="Times New Roman" w:cs="Times New Roman"/>
                <w:sz w:val="16"/>
              </w:rPr>
              <w:t>52</w:t>
            </w:r>
          </w:p>
        </w:tc>
        <w:tc>
          <w:tcPr>
            <w:tcW w:w="1257" w:type="dxa"/>
            <w:tcBorders>
              <w:top w:val="single" w:sz="2" w:space="0" w:color="000000"/>
              <w:left w:val="single" w:sz="2" w:space="0" w:color="000000"/>
              <w:bottom w:val="single" w:sz="2" w:space="0" w:color="000000"/>
              <w:right w:val="single" w:sz="2" w:space="0" w:color="000000"/>
            </w:tcBorders>
            <w:vAlign w:val="bottom"/>
          </w:tcPr>
          <w:p w14:paraId="2B59C7B9" w14:textId="77777777" w:rsidR="00053D93" w:rsidRDefault="00260B75">
            <w:pPr>
              <w:ind w:right="17"/>
              <w:jc w:val="center"/>
            </w:pPr>
            <w:r>
              <w:rPr>
                <w:rFonts w:ascii="Times New Roman" w:eastAsia="Times New Roman" w:hAnsi="Times New Roman" w:cs="Times New Roman"/>
                <w:sz w:val="16"/>
              </w:rPr>
              <w:t>03-2024</w:t>
            </w:r>
          </w:p>
        </w:tc>
        <w:tc>
          <w:tcPr>
            <w:tcW w:w="922" w:type="dxa"/>
            <w:tcBorders>
              <w:top w:val="single" w:sz="2" w:space="0" w:color="000000"/>
              <w:left w:val="single" w:sz="2" w:space="0" w:color="000000"/>
              <w:bottom w:val="single" w:sz="2" w:space="0" w:color="000000"/>
              <w:right w:val="single" w:sz="2" w:space="0" w:color="000000"/>
            </w:tcBorders>
            <w:vAlign w:val="bottom"/>
          </w:tcPr>
          <w:p w14:paraId="2E4FD428" w14:textId="77777777" w:rsidR="00053D93" w:rsidRDefault="00260B75">
            <w:pPr>
              <w:ind w:right="7"/>
              <w:jc w:val="center"/>
            </w:pPr>
            <w:r>
              <w:rPr>
                <w:rFonts w:ascii="Times New Roman" w:eastAsia="Times New Roman" w:hAnsi="Times New Roman" w:cs="Times New Roman"/>
                <w:sz w:val="16"/>
              </w:rPr>
              <w:t>4112/2024</w:t>
            </w:r>
          </w:p>
        </w:tc>
        <w:tc>
          <w:tcPr>
            <w:tcW w:w="2174" w:type="dxa"/>
            <w:tcBorders>
              <w:top w:val="single" w:sz="2" w:space="0" w:color="000000"/>
              <w:left w:val="single" w:sz="2" w:space="0" w:color="000000"/>
              <w:bottom w:val="single" w:sz="2" w:space="0" w:color="000000"/>
              <w:right w:val="single" w:sz="2" w:space="0" w:color="000000"/>
            </w:tcBorders>
            <w:vAlign w:val="bottom"/>
          </w:tcPr>
          <w:p w14:paraId="478AD51A" w14:textId="77777777" w:rsidR="00053D93" w:rsidRDefault="00260B75">
            <w:pPr>
              <w:ind w:left="7" w:firstLine="7"/>
            </w:pPr>
            <w:r>
              <w:rPr>
                <w:sz w:val="18"/>
              </w:rPr>
              <w:t xml:space="preserve">Instituto Por Cooperación </w:t>
            </w:r>
            <w:r>
              <w:rPr>
                <w:rFonts w:ascii="Times New Roman" w:eastAsia="Times New Roman" w:hAnsi="Times New Roman" w:cs="Times New Roman"/>
                <w:sz w:val="18"/>
              </w:rPr>
              <w:t>Social -'CS-</w:t>
            </w:r>
          </w:p>
        </w:tc>
        <w:tc>
          <w:tcPr>
            <w:tcW w:w="2282" w:type="dxa"/>
            <w:tcBorders>
              <w:top w:val="single" w:sz="2" w:space="0" w:color="000000"/>
              <w:left w:val="single" w:sz="2" w:space="0" w:color="000000"/>
              <w:bottom w:val="single" w:sz="2" w:space="0" w:color="000000"/>
              <w:right w:val="single" w:sz="2" w:space="0" w:color="000000"/>
            </w:tcBorders>
          </w:tcPr>
          <w:p w14:paraId="341E26BB" w14:textId="77777777" w:rsidR="00053D93" w:rsidRDefault="00260B75">
            <w:pPr>
              <w:ind w:left="14" w:right="14" w:hanging="7"/>
              <w:jc w:val="both"/>
            </w:pPr>
            <w:r>
              <w:rPr>
                <w:sz w:val="16"/>
              </w:rPr>
              <w:t>Transferencias a Instituciones que Prestan Servicios Educativos Gratuitos.</w:t>
            </w:r>
          </w:p>
        </w:tc>
        <w:tc>
          <w:tcPr>
            <w:tcW w:w="1435" w:type="dxa"/>
            <w:tcBorders>
              <w:top w:val="single" w:sz="2" w:space="0" w:color="000000"/>
              <w:left w:val="single" w:sz="2" w:space="0" w:color="000000"/>
              <w:bottom w:val="single" w:sz="2" w:space="0" w:color="000000"/>
              <w:right w:val="single" w:sz="2" w:space="0" w:color="000000"/>
            </w:tcBorders>
            <w:vAlign w:val="bottom"/>
          </w:tcPr>
          <w:p w14:paraId="03C09713" w14:textId="77777777" w:rsidR="00053D93" w:rsidRDefault="00260B75">
            <w:pPr>
              <w:ind w:right="3"/>
              <w:jc w:val="right"/>
            </w:pPr>
            <w:r>
              <w:rPr>
                <w:sz w:val="16"/>
              </w:rPr>
              <w:t>1 ,000.ooo.oo</w:t>
            </w:r>
          </w:p>
        </w:tc>
      </w:tr>
      <w:tr w:rsidR="00053D93" w14:paraId="09EDEE8B" w14:textId="77777777">
        <w:trPr>
          <w:trHeight w:val="379"/>
        </w:trPr>
        <w:tc>
          <w:tcPr>
            <w:tcW w:w="7025" w:type="dxa"/>
            <w:gridSpan w:val="5"/>
            <w:tcBorders>
              <w:top w:val="single" w:sz="2" w:space="0" w:color="000000"/>
              <w:left w:val="single" w:sz="2" w:space="0" w:color="000000"/>
              <w:bottom w:val="single" w:sz="2" w:space="0" w:color="000000"/>
              <w:right w:val="single" w:sz="2" w:space="0" w:color="000000"/>
            </w:tcBorders>
            <w:vAlign w:val="bottom"/>
          </w:tcPr>
          <w:p w14:paraId="07CAD678" w14:textId="77777777" w:rsidR="00053D93" w:rsidRDefault="00260B75">
            <w:pPr>
              <w:ind w:right="46"/>
              <w:jc w:val="center"/>
            </w:pPr>
            <w:r>
              <w:rPr>
                <w:sz w:val="18"/>
              </w:rPr>
              <w:t>TOTAL</w:t>
            </w:r>
          </w:p>
        </w:tc>
        <w:tc>
          <w:tcPr>
            <w:tcW w:w="1435" w:type="dxa"/>
            <w:tcBorders>
              <w:top w:val="single" w:sz="2" w:space="0" w:color="000000"/>
              <w:left w:val="single" w:sz="2" w:space="0" w:color="000000"/>
              <w:bottom w:val="single" w:sz="2" w:space="0" w:color="000000"/>
              <w:right w:val="single" w:sz="2" w:space="0" w:color="000000"/>
            </w:tcBorders>
          </w:tcPr>
          <w:p w14:paraId="0B926308" w14:textId="77777777" w:rsidR="00053D93" w:rsidRDefault="00053D93"/>
        </w:tc>
      </w:tr>
    </w:tbl>
    <w:p w14:paraId="07E50CA9" w14:textId="77777777" w:rsidR="00053D93" w:rsidRDefault="00260B75">
      <w:pPr>
        <w:spacing w:after="397" w:line="265" w:lineRule="auto"/>
        <w:ind w:left="10" w:hanging="10"/>
      </w:pPr>
      <w:r>
        <w:rPr>
          <w:sz w:val="14"/>
        </w:rPr>
        <w:t>Fuente: Infor•macíón proporcionada 8 través de Oficio No. DAFl-DC-1373-2025 del 07/02/2025 de la Dirección de Administración Financiera.</w:t>
      </w:r>
    </w:p>
    <w:p w14:paraId="792371C7" w14:textId="77777777" w:rsidR="00053D93" w:rsidRDefault="00260B75">
      <w:pPr>
        <w:spacing w:after="288" w:line="248" w:lineRule="auto"/>
        <w:ind w:left="10" w:hanging="3"/>
        <w:jc w:val="both"/>
      </w:pPr>
      <w:r>
        <w:rPr>
          <w:sz w:val="28"/>
        </w:rPr>
        <w:t>Donaciones</w:t>
      </w:r>
    </w:p>
    <w:p w14:paraId="5FD0DCF2" w14:textId="77777777" w:rsidR="00053D93" w:rsidRDefault="00260B75">
      <w:pPr>
        <w:spacing w:after="17" w:line="247" w:lineRule="auto"/>
        <w:ind w:left="14" w:right="14" w:firstLine="4"/>
        <w:jc w:val="both"/>
      </w:pPr>
      <w:r>
        <w:rPr>
          <w:sz w:val="26"/>
        </w:rPr>
        <w:t>La entidad reportó que, al 31 de diciembre 2024, no recibieron donaciones.</w:t>
      </w:r>
    </w:p>
    <w:p w14:paraId="6AB92147" w14:textId="77777777" w:rsidR="00053D93" w:rsidRDefault="00260B75">
      <w:pPr>
        <w:spacing w:after="331"/>
        <w:ind w:left="7" w:right="-7"/>
      </w:pPr>
      <w:r>
        <w:rPr>
          <w:noProof/>
        </w:rPr>
        <mc:AlternateContent>
          <mc:Choice Requires="wpg">
            <w:drawing>
              <wp:inline distT="0" distB="0" distL="0" distR="0" wp14:anchorId="016D524B" wp14:editId="59FAB9D2">
                <wp:extent cx="5381245" cy="9144"/>
                <wp:effectExtent l="0" t="0" r="0" b="0"/>
                <wp:docPr id="2458196" name="Group 2458196"/>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195" name="Shape 2458195"/>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196" style="width:423.72pt;height:0.720001pt;mso-position-horizontal-relative:char;mso-position-vertical-relative:line" coordsize="53812,91">
                <v:shape id="Shape 2458195" style="position:absolute;width:53812;height:91;left:0;top:0;" coordsize="5381245,9144" path="m0,4572l5381245,4572">
                  <v:stroke weight="0.720001pt" endcap="flat" joinstyle="miter" miterlimit="1" on="true" color="#000000"/>
                  <v:fill on="false" color="#000000"/>
                </v:shape>
              </v:group>
            </w:pict>
          </mc:Fallback>
        </mc:AlternateContent>
      </w:r>
    </w:p>
    <w:p w14:paraId="5B3E9A2D" w14:textId="77777777" w:rsidR="00053D93" w:rsidRDefault="00260B75">
      <w:pPr>
        <w:spacing w:after="313" w:line="248" w:lineRule="auto"/>
        <w:ind w:left="32" w:hanging="3"/>
        <w:jc w:val="both"/>
      </w:pPr>
      <w:r>
        <w:rPr>
          <w:sz w:val="28"/>
        </w:rPr>
        <w:t>Préstamos</w:t>
      </w:r>
    </w:p>
    <w:p w14:paraId="0BAD9415" w14:textId="77777777" w:rsidR="00053D93" w:rsidRDefault="00260B75">
      <w:pPr>
        <w:spacing w:after="270" w:line="247" w:lineRule="auto"/>
        <w:ind w:left="14" w:right="14" w:firstLine="4"/>
        <w:jc w:val="both"/>
      </w:pPr>
      <w:r>
        <w:rPr>
          <w:sz w:val="26"/>
        </w:rPr>
        <w:t>La entidad reportó que, al 31 de diciembre 2024, no suscribieron préstamos.</w:t>
      </w:r>
    </w:p>
    <w:p w14:paraId="1D16940A" w14:textId="77777777" w:rsidR="00053D93" w:rsidRDefault="00260B75">
      <w:pPr>
        <w:spacing w:after="311" w:line="248" w:lineRule="auto"/>
        <w:ind w:left="25" w:hanging="3"/>
        <w:jc w:val="both"/>
      </w:pPr>
      <w:r>
        <w:rPr>
          <w:sz w:val="28"/>
        </w:rPr>
        <w:t>Transferencias</w:t>
      </w:r>
    </w:p>
    <w:tbl>
      <w:tblPr>
        <w:tblStyle w:val="TableGrid"/>
        <w:tblpPr w:vertAnchor="page" w:horzAnchor="page" w:tblpX="2876" w:tblpY="14472"/>
        <w:tblOverlap w:val="never"/>
        <w:tblW w:w="7622" w:type="dxa"/>
        <w:tblInd w:w="0" w:type="dxa"/>
        <w:tblCellMar>
          <w:top w:w="25" w:type="dxa"/>
          <w:left w:w="1740" w:type="dxa"/>
          <w:right w:w="115" w:type="dxa"/>
        </w:tblCellMar>
        <w:tblLook w:val="04A0" w:firstRow="1" w:lastRow="0" w:firstColumn="1" w:lastColumn="0" w:noHBand="0" w:noVBand="1"/>
      </w:tblPr>
      <w:tblGrid>
        <w:gridCol w:w="7622"/>
      </w:tblGrid>
      <w:tr w:rsidR="00053D93" w14:paraId="7D6FC94D" w14:textId="77777777">
        <w:trPr>
          <w:trHeight w:val="36"/>
        </w:trPr>
        <w:tc>
          <w:tcPr>
            <w:tcW w:w="7622" w:type="dxa"/>
            <w:tcBorders>
              <w:top w:val="nil"/>
              <w:left w:val="single" w:sz="2" w:space="0" w:color="000000"/>
              <w:bottom w:val="single" w:sz="2" w:space="0" w:color="000000"/>
              <w:right w:val="nil"/>
            </w:tcBorders>
          </w:tcPr>
          <w:p w14:paraId="063A1622" w14:textId="77777777" w:rsidR="00053D93" w:rsidRDefault="00053D93"/>
        </w:tc>
      </w:tr>
      <w:tr w:rsidR="00053D93" w14:paraId="472CE715" w14:textId="77777777">
        <w:trPr>
          <w:trHeight w:val="590"/>
        </w:trPr>
        <w:tc>
          <w:tcPr>
            <w:tcW w:w="7622" w:type="dxa"/>
            <w:tcBorders>
              <w:top w:val="single" w:sz="2" w:space="0" w:color="000000"/>
              <w:left w:val="single" w:sz="2" w:space="0" w:color="000000"/>
              <w:bottom w:val="nil"/>
              <w:right w:val="nil"/>
            </w:tcBorders>
          </w:tcPr>
          <w:p w14:paraId="448A7C98" w14:textId="77777777" w:rsidR="00053D93" w:rsidRDefault="00260B75">
            <w:pPr>
              <w:ind w:left="842"/>
            </w:pPr>
            <w:r>
              <w:rPr>
                <w:sz w:val="14"/>
              </w:rPr>
              <w:lastRenderedPageBreak/>
              <w:t>MINISTERIO DE EDUCACION</w:t>
            </w:r>
          </w:p>
          <w:p w14:paraId="0FDAA32C" w14:textId="77777777" w:rsidR="00053D93" w:rsidRDefault="00260B75">
            <w:pPr>
              <w:ind w:left="346"/>
            </w:pPr>
            <w:r>
              <w:rPr>
                <w:sz w:val="14"/>
              </w:rPr>
              <w:t>AUDITORIA FINANCIERA Y DE CUMPLIMIENTO</w:t>
            </w:r>
          </w:p>
          <w:p w14:paraId="51B27B31" w14:textId="77777777" w:rsidR="00053D93" w:rsidRDefault="00260B75">
            <w:r>
              <w:rPr>
                <w:sz w:val="14"/>
              </w:rPr>
              <w:t>PERIODO DEL 01 OE ENERO Al. 31 DE DICIEMBRE DE 2024</w:t>
            </w:r>
          </w:p>
        </w:tc>
      </w:tr>
    </w:tbl>
    <w:p w14:paraId="20A9FA21" w14:textId="77777777" w:rsidR="00053D93" w:rsidRDefault="00260B75">
      <w:pPr>
        <w:spacing w:after="17" w:line="247" w:lineRule="auto"/>
        <w:ind w:left="14" w:right="14" w:firstLine="4"/>
        <w:jc w:val="both"/>
      </w:pPr>
      <w:r>
        <w:rPr>
          <w:noProof/>
        </w:rPr>
        <w:drawing>
          <wp:anchor distT="0" distB="0" distL="114300" distR="114300" simplePos="0" relativeHeight="251793408" behindDoc="0" locked="0" layoutInCell="1" allowOverlap="0" wp14:anchorId="02B79E70" wp14:editId="5945D1E7">
            <wp:simplePos x="0" y="0"/>
            <wp:positionH relativeFrom="page">
              <wp:posOffset>685800</wp:posOffset>
            </wp:positionH>
            <wp:positionV relativeFrom="page">
              <wp:posOffset>9185148</wp:posOffset>
            </wp:positionV>
            <wp:extent cx="1120140" cy="402336"/>
            <wp:effectExtent l="0" t="0" r="0" b="0"/>
            <wp:wrapTopAndBottom/>
            <wp:docPr id="195214" name="Picture 195214"/>
            <wp:cNvGraphicFramePr/>
            <a:graphic xmlns:a="http://schemas.openxmlformats.org/drawingml/2006/main">
              <a:graphicData uri="http://schemas.openxmlformats.org/drawingml/2006/picture">
                <pic:pic xmlns:pic="http://schemas.openxmlformats.org/drawingml/2006/picture">
                  <pic:nvPicPr>
                    <pic:cNvPr id="195214" name="Picture 195214"/>
                    <pic:cNvPicPr/>
                  </pic:nvPicPr>
                  <pic:blipFill>
                    <a:blip r:embed="rId265"/>
                    <a:stretch>
                      <a:fillRect/>
                    </a:stretch>
                  </pic:blipFill>
                  <pic:spPr>
                    <a:xfrm>
                      <a:off x="0" y="0"/>
                      <a:ext cx="1120140" cy="402336"/>
                    </a:xfrm>
                    <a:prstGeom prst="rect">
                      <a:avLst/>
                    </a:prstGeom>
                  </pic:spPr>
                </pic:pic>
              </a:graphicData>
            </a:graphic>
          </wp:anchor>
        </w:drawing>
      </w:r>
      <w:r>
        <w:rPr>
          <w:sz w:val="26"/>
        </w:rPr>
        <w:t>La entidad reportó durante el período comprendido del 01 de enero al 31 de diciembre de 2024, transferencias a través del renglón presupuestario 431 Transferencias a instituciones de enseñanza y 435 Transferencias a otras instituciones sin fines de lucro, como se describe a continuación:</w:t>
      </w:r>
    </w:p>
    <w:tbl>
      <w:tblPr>
        <w:tblStyle w:val="TableGrid"/>
        <w:tblW w:w="8460" w:type="dxa"/>
        <w:tblInd w:w="22" w:type="dxa"/>
        <w:tblCellMar>
          <w:left w:w="72" w:type="dxa"/>
          <w:right w:w="77" w:type="dxa"/>
        </w:tblCellMar>
        <w:tblLook w:val="04A0" w:firstRow="1" w:lastRow="0" w:firstColumn="1" w:lastColumn="0" w:noHBand="0" w:noVBand="1"/>
      </w:tblPr>
      <w:tblGrid>
        <w:gridCol w:w="1167"/>
        <w:gridCol w:w="4242"/>
        <w:gridCol w:w="1622"/>
        <w:gridCol w:w="1429"/>
      </w:tblGrid>
      <w:tr w:rsidR="00053D93" w14:paraId="57354E3F" w14:textId="77777777">
        <w:trPr>
          <w:trHeight w:val="442"/>
        </w:trPr>
        <w:tc>
          <w:tcPr>
            <w:tcW w:w="1174" w:type="dxa"/>
            <w:tcBorders>
              <w:top w:val="single" w:sz="2" w:space="0" w:color="000000"/>
              <w:left w:val="single" w:sz="2" w:space="0" w:color="000000"/>
              <w:bottom w:val="single" w:sz="2" w:space="0" w:color="000000"/>
              <w:right w:val="single" w:sz="2" w:space="0" w:color="000000"/>
            </w:tcBorders>
          </w:tcPr>
          <w:p w14:paraId="33ED943D" w14:textId="77777777" w:rsidR="00053D93" w:rsidRDefault="00260B75">
            <w:pPr>
              <w:ind w:left="5"/>
              <w:jc w:val="center"/>
            </w:pPr>
            <w:r>
              <w:rPr>
                <w:sz w:val="18"/>
              </w:rPr>
              <w:t>ENTIDAD</w:t>
            </w:r>
          </w:p>
        </w:tc>
        <w:tc>
          <w:tcPr>
            <w:tcW w:w="4332" w:type="dxa"/>
            <w:tcBorders>
              <w:top w:val="single" w:sz="2" w:space="0" w:color="000000"/>
              <w:left w:val="single" w:sz="2" w:space="0" w:color="000000"/>
              <w:bottom w:val="single" w:sz="2" w:space="0" w:color="000000"/>
              <w:right w:val="single" w:sz="2" w:space="0" w:color="000000"/>
            </w:tcBorders>
          </w:tcPr>
          <w:p w14:paraId="3C5CB03E" w14:textId="77777777" w:rsidR="00053D93" w:rsidRDefault="00260B75">
            <w:pPr>
              <w:ind w:left="22"/>
              <w:jc w:val="center"/>
            </w:pPr>
            <w:r>
              <w:rPr>
                <w:sz w:val="20"/>
              </w:rPr>
              <w:t>ENTIDAD RECEPTORA</w:t>
            </w:r>
          </w:p>
        </w:tc>
        <w:tc>
          <w:tcPr>
            <w:tcW w:w="1594" w:type="dxa"/>
            <w:tcBorders>
              <w:top w:val="single" w:sz="2" w:space="0" w:color="000000"/>
              <w:left w:val="single" w:sz="2" w:space="0" w:color="000000"/>
              <w:bottom w:val="single" w:sz="2" w:space="0" w:color="000000"/>
              <w:right w:val="single" w:sz="2" w:space="0" w:color="000000"/>
            </w:tcBorders>
          </w:tcPr>
          <w:p w14:paraId="4AE20A52" w14:textId="77777777" w:rsidR="00053D93" w:rsidRDefault="00260B75">
            <w:pPr>
              <w:jc w:val="center"/>
            </w:pPr>
            <w:r>
              <w:rPr>
                <w:sz w:val="20"/>
              </w:rPr>
              <w:t>RENGLÓN</w:t>
            </w:r>
          </w:p>
          <w:p w14:paraId="5CB2D6C9" w14:textId="77777777" w:rsidR="00053D93" w:rsidRDefault="00260B75">
            <w:pPr>
              <w:ind w:left="17"/>
            </w:pPr>
            <w:r>
              <w:rPr>
                <w:sz w:val="20"/>
              </w:rPr>
              <w:t>PRESUPUESTARIO</w:t>
            </w:r>
          </w:p>
        </w:tc>
        <w:tc>
          <w:tcPr>
            <w:tcW w:w="1361" w:type="dxa"/>
            <w:tcBorders>
              <w:top w:val="single" w:sz="2" w:space="0" w:color="000000"/>
              <w:left w:val="single" w:sz="2" w:space="0" w:color="000000"/>
              <w:bottom w:val="single" w:sz="2" w:space="0" w:color="000000"/>
              <w:right w:val="single" w:sz="2" w:space="0" w:color="000000"/>
            </w:tcBorders>
          </w:tcPr>
          <w:p w14:paraId="53E6C58B" w14:textId="77777777" w:rsidR="00053D93" w:rsidRDefault="00260B75">
            <w:pPr>
              <w:ind w:left="4"/>
              <w:jc w:val="center"/>
            </w:pPr>
            <w:r>
              <w:rPr>
                <w:sz w:val="20"/>
              </w:rPr>
              <w:t>VALOR Q.</w:t>
            </w:r>
          </w:p>
        </w:tc>
      </w:tr>
      <w:tr w:rsidR="00053D93" w14:paraId="10513620" w14:textId="77777777">
        <w:trPr>
          <w:trHeight w:val="392"/>
        </w:trPr>
        <w:tc>
          <w:tcPr>
            <w:tcW w:w="1174" w:type="dxa"/>
            <w:vMerge w:val="restart"/>
            <w:tcBorders>
              <w:top w:val="single" w:sz="2" w:space="0" w:color="000000"/>
              <w:left w:val="single" w:sz="2" w:space="0" w:color="000000"/>
              <w:bottom w:val="single" w:sz="2" w:space="0" w:color="000000"/>
              <w:right w:val="single" w:sz="2" w:space="0" w:color="000000"/>
            </w:tcBorders>
          </w:tcPr>
          <w:p w14:paraId="33079E2E" w14:textId="77777777" w:rsidR="00053D93" w:rsidRDefault="00260B75">
            <w:pPr>
              <w:spacing w:after="11"/>
              <w:ind w:left="5"/>
              <w:jc w:val="center"/>
            </w:pPr>
            <w:r>
              <w:rPr>
                <w:sz w:val="16"/>
              </w:rPr>
              <w:t>Ministerio de</w:t>
            </w:r>
          </w:p>
          <w:p w14:paraId="464C15A4" w14:textId="77777777" w:rsidR="00053D93" w:rsidRDefault="00260B75">
            <w:pPr>
              <w:ind w:left="12"/>
              <w:jc w:val="center"/>
            </w:pPr>
            <w:r>
              <w:rPr>
                <w:sz w:val="18"/>
              </w:rPr>
              <w:t>Educación</w:t>
            </w:r>
          </w:p>
        </w:tc>
        <w:tc>
          <w:tcPr>
            <w:tcW w:w="4332" w:type="dxa"/>
            <w:tcBorders>
              <w:top w:val="single" w:sz="2" w:space="0" w:color="000000"/>
              <w:left w:val="single" w:sz="2" w:space="0" w:color="000000"/>
              <w:bottom w:val="single" w:sz="2" w:space="0" w:color="000000"/>
              <w:right w:val="single" w:sz="2" w:space="0" w:color="000000"/>
            </w:tcBorders>
          </w:tcPr>
          <w:p w14:paraId="6FE700A1" w14:textId="77777777" w:rsidR="00053D93" w:rsidRDefault="00260B75">
            <w:pPr>
              <w:ind w:left="14"/>
            </w:pPr>
            <w:r>
              <w:rPr>
                <w:sz w:val="18"/>
              </w:rPr>
              <w:t>Fundación Fe y Alegría</w:t>
            </w:r>
          </w:p>
        </w:tc>
        <w:tc>
          <w:tcPr>
            <w:tcW w:w="1594" w:type="dxa"/>
            <w:tcBorders>
              <w:top w:val="single" w:sz="2" w:space="0" w:color="000000"/>
              <w:left w:val="single" w:sz="2" w:space="0" w:color="000000"/>
              <w:bottom w:val="single" w:sz="2" w:space="0" w:color="000000"/>
              <w:right w:val="single" w:sz="2" w:space="0" w:color="000000"/>
            </w:tcBorders>
          </w:tcPr>
          <w:p w14:paraId="0C100858" w14:textId="77777777" w:rsidR="00053D93" w:rsidRDefault="00260B75">
            <w:pPr>
              <w:ind w:right="22"/>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tcPr>
          <w:p w14:paraId="5E1CC227" w14:textId="77777777" w:rsidR="00053D93" w:rsidRDefault="00260B75">
            <w:pPr>
              <w:ind w:left="245"/>
            </w:pPr>
            <w:r>
              <w:rPr>
                <w:rFonts w:ascii="Times New Roman" w:eastAsia="Times New Roman" w:hAnsi="Times New Roman" w:cs="Times New Roman"/>
                <w:sz w:val="18"/>
              </w:rPr>
              <w:t>87.794,320.00</w:t>
            </w:r>
          </w:p>
        </w:tc>
      </w:tr>
      <w:tr w:rsidR="00053D93" w14:paraId="25719831" w14:textId="77777777">
        <w:trPr>
          <w:trHeight w:val="331"/>
        </w:trPr>
        <w:tc>
          <w:tcPr>
            <w:tcW w:w="0" w:type="auto"/>
            <w:vMerge/>
            <w:tcBorders>
              <w:top w:val="nil"/>
              <w:left w:val="single" w:sz="2" w:space="0" w:color="000000"/>
              <w:bottom w:val="nil"/>
              <w:right w:val="single" w:sz="2" w:space="0" w:color="000000"/>
            </w:tcBorders>
          </w:tcPr>
          <w:p w14:paraId="169628F1"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19AD6BB0" w14:textId="77777777" w:rsidR="00053D93" w:rsidRDefault="00260B75">
            <w:pPr>
              <w:spacing w:after="43"/>
              <w:ind w:left="7"/>
            </w:pPr>
            <w:r>
              <w:rPr>
                <w:sz w:val="18"/>
              </w:rPr>
              <w:t>Asociación Grupo Ceiba</w:t>
            </w:r>
          </w:p>
          <w:p w14:paraId="2D08F304" w14:textId="77777777" w:rsidR="00053D93" w:rsidRDefault="00260B75">
            <w:pPr>
              <w:ind w:left="7"/>
            </w:pPr>
            <w:r>
              <w:rPr>
                <w:sz w:val="18"/>
              </w:rPr>
              <w:t>Asociación Futuro Vivo</w:t>
            </w:r>
          </w:p>
        </w:tc>
        <w:tc>
          <w:tcPr>
            <w:tcW w:w="1594" w:type="dxa"/>
            <w:tcBorders>
              <w:top w:val="single" w:sz="2" w:space="0" w:color="000000"/>
              <w:left w:val="single" w:sz="2" w:space="0" w:color="000000"/>
              <w:bottom w:val="single" w:sz="2" w:space="0" w:color="000000"/>
              <w:right w:val="single" w:sz="2" w:space="0" w:color="000000"/>
            </w:tcBorders>
          </w:tcPr>
          <w:p w14:paraId="4B5F9D25" w14:textId="77777777" w:rsidR="00053D93" w:rsidRDefault="00260B75">
            <w:pPr>
              <w:spacing w:after="59"/>
              <w:ind w:right="22"/>
              <w:jc w:val="center"/>
            </w:pPr>
            <w:r>
              <w:rPr>
                <w:rFonts w:ascii="Times New Roman" w:eastAsia="Times New Roman" w:hAnsi="Times New Roman" w:cs="Times New Roman"/>
                <w:sz w:val="16"/>
              </w:rPr>
              <w:t>431</w:t>
            </w:r>
          </w:p>
          <w:p w14:paraId="2E1C733A"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tcPr>
          <w:p w14:paraId="147D494C" w14:textId="77777777" w:rsidR="00053D93" w:rsidRDefault="00053D93"/>
        </w:tc>
      </w:tr>
      <w:tr w:rsidR="00053D93" w14:paraId="6E58063C" w14:textId="77777777">
        <w:trPr>
          <w:trHeight w:val="332"/>
        </w:trPr>
        <w:tc>
          <w:tcPr>
            <w:tcW w:w="0" w:type="auto"/>
            <w:vMerge/>
            <w:tcBorders>
              <w:top w:val="nil"/>
              <w:left w:val="single" w:sz="2" w:space="0" w:color="000000"/>
              <w:bottom w:val="nil"/>
              <w:right w:val="single" w:sz="2" w:space="0" w:color="000000"/>
            </w:tcBorders>
          </w:tcPr>
          <w:p w14:paraId="11E85064"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vAlign w:val="bottom"/>
          </w:tcPr>
          <w:p w14:paraId="1860D5D6" w14:textId="77777777" w:rsidR="00053D93" w:rsidRDefault="00260B75">
            <w:pPr>
              <w:ind w:left="7"/>
            </w:pPr>
            <w:r>
              <w:rPr>
                <w:sz w:val="18"/>
              </w:rPr>
              <w:t>Asociación ak tenamit, (pueblo nuevo) aat</w:t>
            </w:r>
          </w:p>
        </w:tc>
        <w:tc>
          <w:tcPr>
            <w:tcW w:w="1594" w:type="dxa"/>
            <w:tcBorders>
              <w:top w:val="single" w:sz="2" w:space="0" w:color="000000"/>
              <w:left w:val="single" w:sz="2" w:space="0" w:color="000000"/>
              <w:bottom w:val="single" w:sz="2" w:space="0" w:color="000000"/>
              <w:right w:val="single" w:sz="2" w:space="0" w:color="000000"/>
            </w:tcBorders>
            <w:vAlign w:val="bottom"/>
          </w:tcPr>
          <w:p w14:paraId="55F82D7C"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tcPr>
          <w:p w14:paraId="2CF5D779" w14:textId="77777777" w:rsidR="00053D93" w:rsidRDefault="00053D93"/>
        </w:tc>
      </w:tr>
      <w:tr w:rsidR="00053D93" w14:paraId="03536DBF" w14:textId="77777777">
        <w:trPr>
          <w:trHeight w:val="687"/>
        </w:trPr>
        <w:tc>
          <w:tcPr>
            <w:tcW w:w="0" w:type="auto"/>
            <w:vMerge/>
            <w:tcBorders>
              <w:top w:val="nil"/>
              <w:left w:val="single" w:sz="2" w:space="0" w:color="000000"/>
              <w:bottom w:val="nil"/>
              <w:right w:val="single" w:sz="2" w:space="0" w:color="000000"/>
            </w:tcBorders>
          </w:tcPr>
          <w:p w14:paraId="41F41E5D"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4D3DA549" w14:textId="77777777" w:rsidR="00053D93" w:rsidRDefault="00260B75">
            <w:pPr>
              <w:ind w:left="7" w:right="14"/>
              <w:jc w:val="both"/>
            </w:pPr>
            <w:r>
              <w:rPr>
                <w:sz w:val="18"/>
              </w:rPr>
              <w:t>Asociación de padres de familia y amigos de las escuelas de educación especial y centro de rehabilitación integral de Alta Verapaz (asoedecri a.v.)</w:t>
            </w:r>
          </w:p>
        </w:tc>
        <w:tc>
          <w:tcPr>
            <w:tcW w:w="1594" w:type="dxa"/>
            <w:tcBorders>
              <w:top w:val="single" w:sz="2" w:space="0" w:color="000000"/>
              <w:left w:val="single" w:sz="2" w:space="0" w:color="000000"/>
              <w:bottom w:val="single" w:sz="2" w:space="0" w:color="000000"/>
              <w:right w:val="single" w:sz="2" w:space="0" w:color="000000"/>
            </w:tcBorders>
            <w:vAlign w:val="bottom"/>
          </w:tcPr>
          <w:p w14:paraId="50FAB0A5"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vAlign w:val="bottom"/>
          </w:tcPr>
          <w:p w14:paraId="3C577C96" w14:textId="77777777" w:rsidR="00053D93" w:rsidRDefault="00260B75">
            <w:pPr>
              <w:ind w:left="245"/>
            </w:pPr>
            <w:r>
              <w:rPr>
                <w:rFonts w:ascii="Times New Roman" w:eastAsia="Times New Roman" w:hAnsi="Times New Roman" w:cs="Times New Roman"/>
                <w:sz w:val="18"/>
              </w:rPr>
              <w:t>10.000.000.00</w:t>
            </w:r>
          </w:p>
        </w:tc>
      </w:tr>
      <w:tr w:rsidR="00053D93" w14:paraId="19025463" w14:textId="77777777">
        <w:trPr>
          <w:trHeight w:val="386"/>
        </w:trPr>
        <w:tc>
          <w:tcPr>
            <w:tcW w:w="0" w:type="auto"/>
            <w:vMerge/>
            <w:tcBorders>
              <w:top w:val="nil"/>
              <w:left w:val="single" w:sz="2" w:space="0" w:color="000000"/>
              <w:bottom w:val="nil"/>
              <w:right w:val="single" w:sz="2" w:space="0" w:color="000000"/>
            </w:tcBorders>
          </w:tcPr>
          <w:p w14:paraId="32A5F767"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2410FB0C" w14:textId="77777777" w:rsidR="00053D93" w:rsidRDefault="00260B75">
            <w:pPr>
              <w:ind w:left="14"/>
            </w:pPr>
            <w:r>
              <w:rPr>
                <w:sz w:val="18"/>
              </w:rPr>
              <w:t>Fundación futuro de los niños</w:t>
            </w:r>
          </w:p>
        </w:tc>
        <w:tc>
          <w:tcPr>
            <w:tcW w:w="1594" w:type="dxa"/>
            <w:tcBorders>
              <w:top w:val="single" w:sz="2" w:space="0" w:color="000000"/>
              <w:left w:val="single" w:sz="2" w:space="0" w:color="000000"/>
              <w:bottom w:val="single" w:sz="2" w:space="0" w:color="000000"/>
              <w:right w:val="single" w:sz="2" w:space="0" w:color="000000"/>
            </w:tcBorders>
          </w:tcPr>
          <w:p w14:paraId="3A7BB08F"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tcPr>
          <w:p w14:paraId="36313671" w14:textId="77777777" w:rsidR="00053D93" w:rsidRDefault="00260B75">
            <w:pPr>
              <w:ind w:right="3"/>
              <w:jc w:val="right"/>
            </w:pPr>
            <w:r>
              <w:rPr>
                <w:rFonts w:ascii="Times New Roman" w:eastAsia="Times New Roman" w:hAnsi="Times New Roman" w:cs="Times New Roman"/>
                <w:sz w:val="18"/>
              </w:rPr>
              <w:t>210.000.00</w:t>
            </w:r>
          </w:p>
        </w:tc>
      </w:tr>
      <w:tr w:rsidR="00053D93" w14:paraId="32359A67" w14:textId="77777777">
        <w:trPr>
          <w:trHeight w:val="384"/>
        </w:trPr>
        <w:tc>
          <w:tcPr>
            <w:tcW w:w="0" w:type="auto"/>
            <w:vMerge/>
            <w:tcBorders>
              <w:top w:val="nil"/>
              <w:left w:val="single" w:sz="2" w:space="0" w:color="000000"/>
              <w:bottom w:val="nil"/>
              <w:right w:val="single" w:sz="2" w:space="0" w:color="000000"/>
            </w:tcBorders>
          </w:tcPr>
          <w:p w14:paraId="096C0A72"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10D97EE6" w14:textId="77777777" w:rsidR="00053D93" w:rsidRDefault="00260B75">
            <w:pPr>
              <w:spacing w:after="52"/>
              <w:ind w:left="7"/>
            </w:pPr>
            <w:r>
              <w:rPr>
                <w:sz w:val="18"/>
              </w:rPr>
              <w:t>Asociación de Centros Educativos Mayas -ACEM-</w:t>
            </w:r>
          </w:p>
          <w:p w14:paraId="02E5FBF9" w14:textId="77777777" w:rsidR="00053D93" w:rsidRDefault="00260B75">
            <w:pPr>
              <w:ind w:left="7"/>
            </w:pPr>
            <w:r>
              <w:rPr>
                <w:sz w:val="16"/>
              </w:rPr>
              <w:t>Asociación para el desarrollo integral de nororiente (adin)</w:t>
            </w:r>
          </w:p>
        </w:tc>
        <w:tc>
          <w:tcPr>
            <w:tcW w:w="1594" w:type="dxa"/>
            <w:tcBorders>
              <w:top w:val="single" w:sz="2" w:space="0" w:color="000000"/>
              <w:left w:val="single" w:sz="2" w:space="0" w:color="000000"/>
              <w:bottom w:val="single" w:sz="2" w:space="0" w:color="000000"/>
              <w:right w:val="single" w:sz="2" w:space="0" w:color="000000"/>
            </w:tcBorders>
          </w:tcPr>
          <w:p w14:paraId="4C003EB2" w14:textId="77777777" w:rsidR="00053D93" w:rsidRDefault="00260B75">
            <w:pPr>
              <w:spacing w:after="59"/>
              <w:ind w:right="29"/>
              <w:jc w:val="center"/>
            </w:pPr>
            <w:r>
              <w:rPr>
                <w:rFonts w:ascii="Times New Roman" w:eastAsia="Times New Roman" w:hAnsi="Times New Roman" w:cs="Times New Roman"/>
                <w:sz w:val="16"/>
              </w:rPr>
              <w:t>431</w:t>
            </w:r>
          </w:p>
          <w:p w14:paraId="40721832"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vAlign w:val="bottom"/>
          </w:tcPr>
          <w:p w14:paraId="7417055C" w14:textId="77777777" w:rsidR="00053D93" w:rsidRDefault="00260B75">
            <w:pPr>
              <w:ind w:right="3"/>
              <w:jc w:val="right"/>
            </w:pPr>
            <w:r>
              <w:rPr>
                <w:sz w:val="16"/>
              </w:rPr>
              <w:t>1.500,ooo.oo</w:t>
            </w:r>
          </w:p>
        </w:tc>
      </w:tr>
      <w:tr w:rsidR="00053D93" w14:paraId="1616D26A" w14:textId="77777777">
        <w:trPr>
          <w:trHeight w:val="256"/>
        </w:trPr>
        <w:tc>
          <w:tcPr>
            <w:tcW w:w="0" w:type="auto"/>
            <w:vMerge/>
            <w:tcBorders>
              <w:top w:val="nil"/>
              <w:left w:val="single" w:sz="2" w:space="0" w:color="000000"/>
              <w:bottom w:val="nil"/>
              <w:right w:val="single" w:sz="2" w:space="0" w:color="000000"/>
            </w:tcBorders>
          </w:tcPr>
          <w:p w14:paraId="4D711E2F"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079FD6D5" w14:textId="77777777" w:rsidR="00053D93" w:rsidRDefault="00260B75">
            <w:pPr>
              <w:ind w:left="7"/>
            </w:pPr>
            <w:r>
              <w:rPr>
                <w:sz w:val="18"/>
              </w:rPr>
              <w:t>Asociación Centro Don Bosco</w:t>
            </w:r>
          </w:p>
        </w:tc>
        <w:tc>
          <w:tcPr>
            <w:tcW w:w="1594" w:type="dxa"/>
            <w:tcBorders>
              <w:top w:val="single" w:sz="2" w:space="0" w:color="000000"/>
              <w:left w:val="single" w:sz="2" w:space="0" w:color="000000"/>
              <w:bottom w:val="single" w:sz="2" w:space="0" w:color="000000"/>
              <w:right w:val="single" w:sz="2" w:space="0" w:color="000000"/>
            </w:tcBorders>
          </w:tcPr>
          <w:p w14:paraId="1A01501F" w14:textId="77777777" w:rsidR="00053D93" w:rsidRDefault="00260B75">
            <w:pPr>
              <w:ind w:right="22"/>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tcPr>
          <w:p w14:paraId="3F6B6537" w14:textId="77777777" w:rsidR="00053D93" w:rsidRDefault="00260B75">
            <w:pPr>
              <w:ind w:left="238"/>
            </w:pPr>
            <w:r>
              <w:rPr>
                <w:rFonts w:ascii="Times New Roman" w:eastAsia="Times New Roman" w:hAnsi="Times New Roman" w:cs="Times New Roman"/>
                <w:sz w:val="18"/>
              </w:rPr>
              <w:t>42.000.000.00</w:t>
            </w:r>
          </w:p>
        </w:tc>
      </w:tr>
      <w:tr w:rsidR="00053D93" w14:paraId="0FCB8B72" w14:textId="77777777">
        <w:trPr>
          <w:trHeight w:val="259"/>
        </w:trPr>
        <w:tc>
          <w:tcPr>
            <w:tcW w:w="0" w:type="auto"/>
            <w:vMerge/>
            <w:tcBorders>
              <w:top w:val="nil"/>
              <w:left w:val="single" w:sz="2" w:space="0" w:color="000000"/>
              <w:bottom w:val="nil"/>
              <w:right w:val="single" w:sz="2" w:space="0" w:color="000000"/>
            </w:tcBorders>
          </w:tcPr>
          <w:p w14:paraId="0492E169"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11DE35C4" w14:textId="77777777" w:rsidR="00053D93" w:rsidRDefault="00260B75">
            <w:pPr>
              <w:ind w:left="7"/>
            </w:pPr>
            <w:r>
              <w:rPr>
                <w:sz w:val="18"/>
              </w:rPr>
              <w:t>Asociación Comunidad Esperanza</w:t>
            </w:r>
          </w:p>
        </w:tc>
        <w:tc>
          <w:tcPr>
            <w:tcW w:w="1594" w:type="dxa"/>
            <w:tcBorders>
              <w:top w:val="single" w:sz="2" w:space="0" w:color="000000"/>
              <w:left w:val="single" w:sz="2" w:space="0" w:color="000000"/>
              <w:bottom w:val="single" w:sz="2" w:space="0" w:color="000000"/>
              <w:right w:val="single" w:sz="2" w:space="0" w:color="000000"/>
            </w:tcBorders>
          </w:tcPr>
          <w:p w14:paraId="14C151A9" w14:textId="77777777" w:rsidR="00053D93" w:rsidRDefault="00260B75">
            <w:pPr>
              <w:ind w:right="22"/>
              <w:jc w:val="center"/>
            </w:pPr>
            <w:r>
              <w:rPr>
                <w:rFonts w:ascii="Times New Roman" w:eastAsia="Times New Roman" w:hAnsi="Times New Roman" w:cs="Times New Roman"/>
                <w:sz w:val="18"/>
              </w:rPr>
              <w:t>431</w:t>
            </w:r>
          </w:p>
        </w:tc>
        <w:tc>
          <w:tcPr>
            <w:tcW w:w="1361" w:type="dxa"/>
            <w:tcBorders>
              <w:top w:val="single" w:sz="2" w:space="0" w:color="000000"/>
              <w:left w:val="single" w:sz="2" w:space="0" w:color="000000"/>
              <w:bottom w:val="single" w:sz="2" w:space="0" w:color="000000"/>
              <w:right w:val="single" w:sz="2" w:space="0" w:color="000000"/>
            </w:tcBorders>
          </w:tcPr>
          <w:p w14:paraId="57666F60" w14:textId="77777777" w:rsidR="00053D93" w:rsidRDefault="00260B75">
            <w:pPr>
              <w:ind w:right="3"/>
              <w:jc w:val="right"/>
            </w:pPr>
            <w:r>
              <w:rPr>
                <w:rFonts w:ascii="Times New Roman" w:eastAsia="Times New Roman" w:hAnsi="Times New Roman" w:cs="Times New Roman"/>
                <w:sz w:val="18"/>
              </w:rPr>
              <w:t>1.005.175.00</w:t>
            </w:r>
          </w:p>
        </w:tc>
      </w:tr>
      <w:tr w:rsidR="00053D93" w14:paraId="00F77FE9" w14:textId="77777777">
        <w:trPr>
          <w:trHeight w:val="547"/>
        </w:trPr>
        <w:tc>
          <w:tcPr>
            <w:tcW w:w="0" w:type="auto"/>
            <w:vMerge/>
            <w:tcBorders>
              <w:top w:val="nil"/>
              <w:left w:val="single" w:sz="2" w:space="0" w:color="000000"/>
              <w:bottom w:val="nil"/>
              <w:right w:val="single" w:sz="2" w:space="0" w:color="000000"/>
            </w:tcBorders>
          </w:tcPr>
          <w:p w14:paraId="0EB15887"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vAlign w:val="center"/>
          </w:tcPr>
          <w:p w14:paraId="449DEACA" w14:textId="77777777" w:rsidR="00053D93" w:rsidRDefault="00260B75">
            <w:pPr>
              <w:ind w:left="7"/>
            </w:pPr>
            <w:r>
              <w:rPr>
                <w:sz w:val="18"/>
              </w:rPr>
              <w:t>Asociación Obras Sociales de las Dominicas de la Anunciata</w:t>
            </w:r>
          </w:p>
        </w:tc>
        <w:tc>
          <w:tcPr>
            <w:tcW w:w="1594" w:type="dxa"/>
            <w:tcBorders>
              <w:top w:val="single" w:sz="2" w:space="0" w:color="000000"/>
              <w:left w:val="single" w:sz="2" w:space="0" w:color="000000"/>
              <w:bottom w:val="single" w:sz="2" w:space="0" w:color="000000"/>
              <w:right w:val="single" w:sz="2" w:space="0" w:color="000000"/>
            </w:tcBorders>
            <w:vAlign w:val="center"/>
          </w:tcPr>
          <w:p w14:paraId="7945269D"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vAlign w:val="center"/>
          </w:tcPr>
          <w:p w14:paraId="6CE75011" w14:textId="77777777" w:rsidR="00053D93" w:rsidRDefault="00260B75">
            <w:pPr>
              <w:ind w:right="3"/>
              <w:jc w:val="right"/>
            </w:pPr>
            <w:r>
              <w:rPr>
                <w:rFonts w:ascii="Times New Roman" w:eastAsia="Times New Roman" w:hAnsi="Times New Roman" w:cs="Times New Roman"/>
                <w:sz w:val="16"/>
              </w:rPr>
              <w:t>3.335.000.00</w:t>
            </w:r>
          </w:p>
        </w:tc>
      </w:tr>
      <w:tr w:rsidR="00053D93" w14:paraId="5BE94CFB" w14:textId="77777777">
        <w:trPr>
          <w:trHeight w:val="324"/>
        </w:trPr>
        <w:tc>
          <w:tcPr>
            <w:tcW w:w="0" w:type="auto"/>
            <w:vMerge/>
            <w:tcBorders>
              <w:top w:val="nil"/>
              <w:left w:val="single" w:sz="2" w:space="0" w:color="000000"/>
              <w:bottom w:val="nil"/>
              <w:right w:val="single" w:sz="2" w:space="0" w:color="000000"/>
            </w:tcBorders>
          </w:tcPr>
          <w:p w14:paraId="31F2B821"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478EA374" w14:textId="77777777" w:rsidR="00053D93" w:rsidRDefault="00260B75">
            <w:pPr>
              <w:spacing w:after="45"/>
              <w:ind w:left="14"/>
            </w:pPr>
            <w:r>
              <w:rPr>
                <w:sz w:val="18"/>
              </w:rPr>
              <w:t>Instituto de Cooperación Social</w:t>
            </w:r>
          </w:p>
          <w:p w14:paraId="462179D6" w14:textId="77777777" w:rsidR="00053D93" w:rsidRDefault="00260B75">
            <w:pPr>
              <w:ind w:left="7"/>
            </w:pPr>
            <w:r>
              <w:rPr>
                <w:sz w:val="18"/>
              </w:rPr>
              <w:t>Fundación Adentro</w:t>
            </w:r>
          </w:p>
        </w:tc>
        <w:tc>
          <w:tcPr>
            <w:tcW w:w="1594" w:type="dxa"/>
            <w:tcBorders>
              <w:top w:val="single" w:sz="2" w:space="0" w:color="000000"/>
              <w:left w:val="single" w:sz="2" w:space="0" w:color="000000"/>
              <w:bottom w:val="single" w:sz="2" w:space="0" w:color="000000"/>
              <w:right w:val="single" w:sz="2" w:space="0" w:color="000000"/>
            </w:tcBorders>
          </w:tcPr>
          <w:p w14:paraId="0D4BDD10" w14:textId="77777777" w:rsidR="00053D93" w:rsidRDefault="00260B75">
            <w:pPr>
              <w:spacing w:after="66"/>
              <w:ind w:right="29"/>
              <w:jc w:val="center"/>
            </w:pPr>
            <w:r>
              <w:rPr>
                <w:rFonts w:ascii="Times New Roman" w:eastAsia="Times New Roman" w:hAnsi="Times New Roman" w:cs="Times New Roman"/>
                <w:sz w:val="16"/>
              </w:rPr>
              <w:t>431</w:t>
            </w:r>
          </w:p>
          <w:p w14:paraId="326C6BE1"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tcPr>
          <w:p w14:paraId="04737201" w14:textId="77777777" w:rsidR="00053D93" w:rsidRDefault="00053D93"/>
        </w:tc>
      </w:tr>
      <w:tr w:rsidR="00053D93" w14:paraId="75FF89B5" w14:textId="77777777">
        <w:trPr>
          <w:trHeight w:val="255"/>
        </w:trPr>
        <w:tc>
          <w:tcPr>
            <w:tcW w:w="0" w:type="auto"/>
            <w:vMerge/>
            <w:tcBorders>
              <w:top w:val="nil"/>
              <w:left w:val="single" w:sz="2" w:space="0" w:color="000000"/>
              <w:bottom w:val="nil"/>
              <w:right w:val="single" w:sz="2" w:space="0" w:color="000000"/>
            </w:tcBorders>
          </w:tcPr>
          <w:p w14:paraId="203B1100"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vAlign w:val="bottom"/>
          </w:tcPr>
          <w:p w14:paraId="15080259" w14:textId="77777777" w:rsidR="00053D93" w:rsidRDefault="00260B75">
            <w:r>
              <w:rPr>
                <w:sz w:val="16"/>
              </w:rPr>
              <w:t>Asociación pequeñas apóstoles de la redención</w:t>
            </w:r>
          </w:p>
        </w:tc>
        <w:tc>
          <w:tcPr>
            <w:tcW w:w="1594" w:type="dxa"/>
            <w:tcBorders>
              <w:top w:val="single" w:sz="2" w:space="0" w:color="000000"/>
              <w:left w:val="single" w:sz="2" w:space="0" w:color="000000"/>
              <w:bottom w:val="single" w:sz="2" w:space="0" w:color="000000"/>
              <w:right w:val="single" w:sz="2" w:space="0" w:color="000000"/>
            </w:tcBorders>
            <w:vAlign w:val="bottom"/>
          </w:tcPr>
          <w:p w14:paraId="6F4EBF89"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tcPr>
          <w:p w14:paraId="3B16D53E" w14:textId="77777777" w:rsidR="00053D93" w:rsidRDefault="00053D93"/>
        </w:tc>
      </w:tr>
      <w:tr w:rsidR="00053D93" w14:paraId="6A41A06A" w14:textId="77777777">
        <w:trPr>
          <w:trHeight w:val="487"/>
        </w:trPr>
        <w:tc>
          <w:tcPr>
            <w:tcW w:w="0" w:type="auto"/>
            <w:vMerge/>
            <w:tcBorders>
              <w:top w:val="nil"/>
              <w:left w:val="single" w:sz="2" w:space="0" w:color="000000"/>
              <w:bottom w:val="nil"/>
              <w:right w:val="single" w:sz="2" w:space="0" w:color="000000"/>
            </w:tcBorders>
          </w:tcPr>
          <w:p w14:paraId="6752CAF4"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6E40E98D" w14:textId="77777777" w:rsidR="00053D93" w:rsidRDefault="00260B75">
            <w:pPr>
              <w:jc w:val="both"/>
            </w:pPr>
            <w:r>
              <w:rPr>
                <w:sz w:val="18"/>
              </w:rPr>
              <w:t>Asociación cultural misioneras somascas hijas de sn Jeronimo Emiliani</w:t>
            </w:r>
          </w:p>
        </w:tc>
        <w:tc>
          <w:tcPr>
            <w:tcW w:w="1594" w:type="dxa"/>
            <w:tcBorders>
              <w:top w:val="single" w:sz="2" w:space="0" w:color="000000"/>
              <w:left w:val="single" w:sz="2" w:space="0" w:color="000000"/>
              <w:bottom w:val="single" w:sz="2" w:space="0" w:color="000000"/>
              <w:right w:val="single" w:sz="2" w:space="0" w:color="000000"/>
            </w:tcBorders>
            <w:vAlign w:val="bottom"/>
          </w:tcPr>
          <w:p w14:paraId="4B4CAA2D"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vAlign w:val="bottom"/>
          </w:tcPr>
          <w:p w14:paraId="5729662D" w14:textId="77777777" w:rsidR="00053D93" w:rsidRDefault="00260B75">
            <w:pPr>
              <w:ind w:left="324"/>
            </w:pPr>
            <w:r>
              <w:rPr>
                <w:rFonts w:ascii="Times New Roman" w:eastAsia="Times New Roman" w:hAnsi="Times New Roman" w:cs="Times New Roman"/>
                <w:sz w:val="18"/>
              </w:rPr>
              <w:t>2.000.000.00</w:t>
            </w:r>
          </w:p>
        </w:tc>
      </w:tr>
      <w:tr w:rsidR="00053D93" w14:paraId="500ECF97" w14:textId="77777777">
        <w:trPr>
          <w:trHeight w:val="259"/>
        </w:trPr>
        <w:tc>
          <w:tcPr>
            <w:tcW w:w="0" w:type="auto"/>
            <w:vMerge/>
            <w:tcBorders>
              <w:top w:val="nil"/>
              <w:left w:val="single" w:sz="2" w:space="0" w:color="000000"/>
              <w:bottom w:val="nil"/>
              <w:right w:val="single" w:sz="2" w:space="0" w:color="000000"/>
            </w:tcBorders>
          </w:tcPr>
          <w:p w14:paraId="72B3FB11"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7DB39EFA" w14:textId="77777777" w:rsidR="00053D93" w:rsidRDefault="00260B75">
            <w:pPr>
              <w:ind w:left="7"/>
            </w:pPr>
            <w:r>
              <w:rPr>
                <w:sz w:val="18"/>
              </w:rPr>
              <w:t>Fundación Percanova</w:t>
            </w:r>
          </w:p>
        </w:tc>
        <w:tc>
          <w:tcPr>
            <w:tcW w:w="1594" w:type="dxa"/>
            <w:tcBorders>
              <w:top w:val="single" w:sz="2" w:space="0" w:color="000000"/>
              <w:left w:val="single" w:sz="2" w:space="0" w:color="000000"/>
              <w:bottom w:val="single" w:sz="2" w:space="0" w:color="000000"/>
              <w:right w:val="single" w:sz="2" w:space="0" w:color="000000"/>
            </w:tcBorders>
          </w:tcPr>
          <w:p w14:paraId="6EE6DAEC"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tcPr>
          <w:p w14:paraId="2969848D" w14:textId="77777777" w:rsidR="00053D93" w:rsidRDefault="00260B75">
            <w:pPr>
              <w:ind w:right="3"/>
              <w:jc w:val="right"/>
            </w:pPr>
            <w:r>
              <w:rPr>
                <w:rFonts w:ascii="Times New Roman" w:eastAsia="Times New Roman" w:hAnsi="Times New Roman" w:cs="Times New Roman"/>
                <w:sz w:val="18"/>
              </w:rPr>
              <w:t>1 200.000.00</w:t>
            </w:r>
          </w:p>
        </w:tc>
      </w:tr>
      <w:tr w:rsidR="00053D93" w14:paraId="37D94230" w14:textId="77777777">
        <w:trPr>
          <w:trHeight w:val="367"/>
        </w:trPr>
        <w:tc>
          <w:tcPr>
            <w:tcW w:w="0" w:type="auto"/>
            <w:vMerge/>
            <w:tcBorders>
              <w:top w:val="nil"/>
              <w:left w:val="single" w:sz="2" w:space="0" w:color="000000"/>
              <w:bottom w:val="nil"/>
              <w:right w:val="single" w:sz="2" w:space="0" w:color="000000"/>
            </w:tcBorders>
          </w:tcPr>
          <w:p w14:paraId="633EC0CD"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7977565B" w14:textId="77777777" w:rsidR="00053D93" w:rsidRDefault="00260B75">
            <w:pPr>
              <w:ind w:left="7"/>
            </w:pPr>
            <w:r>
              <w:rPr>
                <w:sz w:val="18"/>
              </w:rPr>
              <w:t>Fundación Para el Desarrollo y la Educación de la Mujer Indígena</w:t>
            </w:r>
          </w:p>
        </w:tc>
        <w:tc>
          <w:tcPr>
            <w:tcW w:w="1594" w:type="dxa"/>
            <w:tcBorders>
              <w:top w:val="single" w:sz="2" w:space="0" w:color="000000"/>
              <w:left w:val="single" w:sz="2" w:space="0" w:color="000000"/>
              <w:bottom w:val="single" w:sz="2" w:space="0" w:color="000000"/>
              <w:right w:val="single" w:sz="2" w:space="0" w:color="000000"/>
            </w:tcBorders>
            <w:vAlign w:val="bottom"/>
          </w:tcPr>
          <w:p w14:paraId="7238D1BF" w14:textId="77777777" w:rsidR="00053D93" w:rsidRDefault="00260B75">
            <w:pPr>
              <w:ind w:right="29"/>
              <w:jc w:val="center"/>
            </w:pPr>
            <w:r>
              <w:rPr>
                <w:rFonts w:ascii="Times New Roman" w:eastAsia="Times New Roman" w:hAnsi="Times New Roman" w:cs="Times New Roman"/>
                <w:sz w:val="16"/>
              </w:rPr>
              <w:t>431</w:t>
            </w:r>
          </w:p>
        </w:tc>
        <w:tc>
          <w:tcPr>
            <w:tcW w:w="1361" w:type="dxa"/>
            <w:tcBorders>
              <w:top w:val="single" w:sz="2" w:space="0" w:color="000000"/>
              <w:left w:val="single" w:sz="2" w:space="0" w:color="000000"/>
              <w:bottom w:val="single" w:sz="2" w:space="0" w:color="000000"/>
              <w:right w:val="single" w:sz="2" w:space="0" w:color="000000"/>
            </w:tcBorders>
          </w:tcPr>
          <w:p w14:paraId="08D393C9" w14:textId="77777777" w:rsidR="00053D93" w:rsidRDefault="00053D93"/>
        </w:tc>
      </w:tr>
      <w:tr w:rsidR="00053D93" w14:paraId="3957C4CD" w14:textId="77777777">
        <w:trPr>
          <w:trHeight w:val="324"/>
        </w:trPr>
        <w:tc>
          <w:tcPr>
            <w:tcW w:w="0" w:type="auto"/>
            <w:vMerge/>
            <w:tcBorders>
              <w:top w:val="nil"/>
              <w:left w:val="single" w:sz="2" w:space="0" w:color="000000"/>
              <w:bottom w:val="single" w:sz="2" w:space="0" w:color="000000"/>
              <w:right w:val="single" w:sz="2" w:space="0" w:color="000000"/>
            </w:tcBorders>
          </w:tcPr>
          <w:p w14:paraId="24CCFFCF" w14:textId="77777777" w:rsidR="00053D93" w:rsidRDefault="00053D93"/>
        </w:tc>
        <w:tc>
          <w:tcPr>
            <w:tcW w:w="4332" w:type="dxa"/>
            <w:tcBorders>
              <w:top w:val="single" w:sz="2" w:space="0" w:color="000000"/>
              <w:left w:val="single" w:sz="2" w:space="0" w:color="000000"/>
              <w:bottom w:val="single" w:sz="2" w:space="0" w:color="000000"/>
              <w:right w:val="single" w:sz="2" w:space="0" w:color="000000"/>
            </w:tcBorders>
          </w:tcPr>
          <w:p w14:paraId="677E6FE7" w14:textId="77777777" w:rsidR="00053D93" w:rsidRDefault="00260B75">
            <w:pPr>
              <w:ind w:left="7"/>
            </w:pPr>
            <w:r>
              <w:rPr>
                <w:sz w:val="18"/>
              </w:rPr>
              <w:t>Fundación Conguate</w:t>
            </w:r>
          </w:p>
        </w:tc>
        <w:tc>
          <w:tcPr>
            <w:tcW w:w="1594" w:type="dxa"/>
            <w:tcBorders>
              <w:top w:val="single" w:sz="2" w:space="0" w:color="000000"/>
              <w:left w:val="single" w:sz="2" w:space="0" w:color="000000"/>
              <w:bottom w:val="single" w:sz="2" w:space="0" w:color="000000"/>
              <w:right w:val="single" w:sz="2" w:space="0" w:color="000000"/>
            </w:tcBorders>
          </w:tcPr>
          <w:p w14:paraId="7897EA99" w14:textId="77777777" w:rsidR="00053D93" w:rsidRDefault="00260B75">
            <w:pPr>
              <w:ind w:right="7"/>
              <w:jc w:val="center"/>
            </w:pPr>
            <w:r>
              <w:rPr>
                <w:rFonts w:ascii="Times New Roman" w:eastAsia="Times New Roman" w:hAnsi="Times New Roman" w:cs="Times New Roman"/>
                <w:sz w:val="18"/>
              </w:rPr>
              <w:t>435</w:t>
            </w:r>
          </w:p>
        </w:tc>
        <w:tc>
          <w:tcPr>
            <w:tcW w:w="1361" w:type="dxa"/>
            <w:tcBorders>
              <w:top w:val="single" w:sz="2" w:space="0" w:color="000000"/>
              <w:left w:val="single" w:sz="2" w:space="0" w:color="000000"/>
              <w:bottom w:val="single" w:sz="2" w:space="0" w:color="000000"/>
              <w:right w:val="single" w:sz="2" w:space="0" w:color="000000"/>
            </w:tcBorders>
            <w:vAlign w:val="bottom"/>
          </w:tcPr>
          <w:p w14:paraId="770FEF2F" w14:textId="77777777" w:rsidR="00053D93" w:rsidRDefault="00260B75">
            <w:pPr>
              <w:ind w:right="3"/>
              <w:jc w:val="right"/>
            </w:pPr>
            <w:r>
              <w:rPr>
                <w:sz w:val="16"/>
              </w:rPr>
              <w:t>5.000,000.oo</w:t>
            </w:r>
          </w:p>
        </w:tc>
      </w:tr>
      <w:tr w:rsidR="00053D93" w14:paraId="15935E3A" w14:textId="77777777">
        <w:trPr>
          <w:trHeight w:val="259"/>
        </w:trPr>
        <w:tc>
          <w:tcPr>
            <w:tcW w:w="5505" w:type="dxa"/>
            <w:gridSpan w:val="2"/>
            <w:tcBorders>
              <w:top w:val="single" w:sz="2" w:space="0" w:color="000000"/>
              <w:left w:val="single" w:sz="2" w:space="0" w:color="000000"/>
              <w:bottom w:val="single" w:sz="2" w:space="0" w:color="000000"/>
              <w:right w:val="nil"/>
            </w:tcBorders>
          </w:tcPr>
          <w:p w14:paraId="7725C782" w14:textId="77777777" w:rsidR="00053D93" w:rsidRDefault="00260B75">
            <w:pPr>
              <w:ind w:left="1562"/>
              <w:jc w:val="center"/>
            </w:pPr>
            <w:r>
              <w:rPr>
                <w:sz w:val="18"/>
              </w:rPr>
              <w:t>TOTAL</w:t>
            </w:r>
          </w:p>
        </w:tc>
        <w:tc>
          <w:tcPr>
            <w:tcW w:w="1594" w:type="dxa"/>
            <w:tcBorders>
              <w:top w:val="single" w:sz="2" w:space="0" w:color="000000"/>
              <w:left w:val="nil"/>
              <w:bottom w:val="single" w:sz="2" w:space="0" w:color="000000"/>
              <w:right w:val="single" w:sz="2" w:space="0" w:color="000000"/>
            </w:tcBorders>
          </w:tcPr>
          <w:p w14:paraId="7F63BAA9" w14:textId="77777777" w:rsidR="00053D93" w:rsidRDefault="00053D93"/>
        </w:tc>
        <w:tc>
          <w:tcPr>
            <w:tcW w:w="1361" w:type="dxa"/>
            <w:tcBorders>
              <w:top w:val="single" w:sz="2" w:space="0" w:color="000000"/>
              <w:left w:val="single" w:sz="2" w:space="0" w:color="000000"/>
              <w:bottom w:val="single" w:sz="2" w:space="0" w:color="000000"/>
              <w:right w:val="single" w:sz="2" w:space="0" w:color="000000"/>
            </w:tcBorders>
          </w:tcPr>
          <w:p w14:paraId="2FFCF017" w14:textId="77777777" w:rsidR="00053D93" w:rsidRDefault="00260B75">
            <w:pPr>
              <w:ind w:left="158"/>
            </w:pPr>
            <w:r>
              <w:rPr>
                <w:rFonts w:ascii="Times New Roman" w:eastAsia="Times New Roman" w:hAnsi="Times New Roman" w:cs="Times New Roman"/>
                <w:sz w:val="18"/>
              </w:rPr>
              <w:t>201 278.643.00</w:t>
            </w:r>
          </w:p>
        </w:tc>
      </w:tr>
    </w:tbl>
    <w:p w14:paraId="51928F91" w14:textId="77777777" w:rsidR="00053D93" w:rsidRDefault="00260B75">
      <w:pPr>
        <w:spacing w:after="447" w:line="265" w:lineRule="auto"/>
        <w:ind w:left="32" w:hanging="10"/>
      </w:pPr>
      <w:r>
        <w:rPr>
          <w:sz w:val="16"/>
        </w:rPr>
        <w:t>Fuente: Reporte R00813307 .rpt del Sistema de Contabilidad Integrada -SICOIN-.</w:t>
      </w:r>
    </w:p>
    <w:p w14:paraId="7E9A85DD" w14:textId="77777777" w:rsidR="00053D93" w:rsidRDefault="00260B75">
      <w:pPr>
        <w:spacing w:after="337" w:line="248" w:lineRule="auto"/>
        <w:ind w:left="17" w:hanging="3"/>
        <w:jc w:val="both"/>
      </w:pPr>
      <w:r>
        <w:rPr>
          <w:sz w:val="28"/>
        </w:rPr>
        <w:t>Área del especialista</w:t>
      </w:r>
    </w:p>
    <w:p w14:paraId="090E6779" w14:textId="77777777" w:rsidR="00053D93" w:rsidRDefault="00260B75">
      <w:pPr>
        <w:spacing w:after="17" w:line="247" w:lineRule="auto"/>
        <w:ind w:left="14" w:right="14" w:firstLine="4"/>
        <w:jc w:val="both"/>
      </w:pPr>
      <w:r>
        <w:rPr>
          <w:sz w:val="26"/>
        </w:rPr>
        <w:t>Durante el proceso de auditoría y mediante ei Oficio No. CGC-DAS-03-0037 -AFC-MlNEDUC-009-2024 del 22 de octubre de 2024, el equipo de auditoría solicitó la participación de un especialista para la evaluación del Sistema Integral de Recursos Humanos -eSlRH-, administrado por la Dirección General de Recursos Humanos -DIREH-, con énfasis en [os módulos correspondientes al personal docente y administrativo del Ministerio de Educación.</w:t>
      </w:r>
    </w:p>
    <w:p w14:paraId="08A44DEC" w14:textId="77777777" w:rsidR="00053D93" w:rsidRDefault="00053D93">
      <w:pPr>
        <w:sectPr w:rsidR="00053D93">
          <w:headerReference w:type="even" r:id="rId266"/>
          <w:headerReference w:type="default" r:id="rId267"/>
          <w:footerReference w:type="even" r:id="rId268"/>
          <w:footerReference w:type="default" r:id="rId269"/>
          <w:headerReference w:type="first" r:id="rId270"/>
          <w:footerReference w:type="first" r:id="rId271"/>
          <w:pgSz w:w="12290" w:h="15912"/>
          <w:pgMar w:top="742" w:right="1814" w:bottom="814" w:left="2009" w:header="641" w:footer="720" w:gutter="0"/>
          <w:cols w:space="720"/>
          <w:titlePg/>
        </w:sectPr>
      </w:pPr>
    </w:p>
    <w:p w14:paraId="224E1CB8" w14:textId="77777777" w:rsidR="00053D93" w:rsidRDefault="00260B75">
      <w:pPr>
        <w:spacing w:after="322" w:line="247" w:lineRule="auto"/>
        <w:ind w:left="1750" w:right="14" w:firstLine="4"/>
        <w:jc w:val="both"/>
      </w:pPr>
      <w:r>
        <w:rPr>
          <w:sz w:val="26"/>
        </w:rPr>
        <w:lastRenderedPageBreak/>
        <w:t>En atención a dicha solicitud, la Dirección de Auditoría al Sector Educación, Cultura y Deportes emitió la Providencia No. DAS-03-PROV-526-2024 del 23 de octubre de 2024, la cual fue remitida a la Dirección de Auditoría a Sistemas Informáticos y Nóminas de Gobierno; a su vez, esta Dirección, con el visto bueno de la Subcontraloría de Calidad de Gasto Público de la Contraloría General de Cuentas, emitió el nombramiento No. DAS-12-0025-2024 del 29 de octubre de 2024, para practicar Auditoría de Cumplimiento con Nivel de Seguridad Limitada al sistema mencionado.</w:t>
      </w:r>
    </w:p>
    <w:p w14:paraId="29B08B59" w14:textId="77777777" w:rsidR="00053D93" w:rsidRDefault="00260B75">
      <w:pPr>
        <w:spacing w:after="95" w:line="247" w:lineRule="auto"/>
        <w:ind w:left="14" w:right="14" w:firstLine="1692"/>
        <w:jc w:val="both"/>
      </w:pPr>
      <w:r>
        <w:rPr>
          <w:sz w:val="26"/>
        </w:rPr>
        <w:t xml:space="preserve">Como resultado de la evaluación realizada al Sistema Integral de Recursos Humanos -eSlRH-, el equipo de auditor(a nombrado para practicar Auditoría de Cumplimiento con Nivel de Seguridad Limitada, determinó dos hallazgos relacionados con el cumplimiento a leyes y regulaciones aplicables, los cuales se </w:t>
      </w:r>
      <w:r>
        <w:rPr>
          <w:rFonts w:ascii="Times New Roman" w:eastAsia="Times New Roman" w:hAnsi="Times New Roman" w:cs="Times New Roman"/>
          <w:sz w:val="26"/>
        </w:rPr>
        <w:t xml:space="preserve">1 </w:t>
      </w:r>
      <w:r>
        <w:rPr>
          <w:sz w:val="26"/>
        </w:rPr>
        <w:t xml:space="preserve">detallan a continuación: 1. Falta de actualización tecnológica del Sistema Integral de Recursos Humanos -eSlRH- y 2. Deficiencias operativas en el funcionamiento </w:t>
      </w:r>
      <w:r>
        <w:rPr>
          <w:rFonts w:ascii="Times New Roman" w:eastAsia="Times New Roman" w:hAnsi="Times New Roman" w:cs="Times New Roman"/>
          <w:sz w:val="26"/>
        </w:rPr>
        <w:t xml:space="preserve">1 </w:t>
      </w:r>
      <w:r>
        <w:rPr>
          <w:sz w:val="26"/>
        </w:rPr>
        <w:t>del Sistema Integral de Recursos Humanos -eSlRH-.</w:t>
      </w:r>
    </w:p>
    <w:p w14:paraId="74DE9A43" w14:textId="77777777" w:rsidR="00053D93" w:rsidRDefault="00260B75">
      <w:pPr>
        <w:pStyle w:val="Ttulo1"/>
        <w:spacing w:after="98"/>
        <w:ind w:left="1687" w:right="7"/>
      </w:pPr>
      <w:r>
        <w:t>8. OBJETIVOS DE LA AUDITORÍA</w:t>
      </w:r>
    </w:p>
    <w:p w14:paraId="1AD100BE" w14:textId="77777777" w:rsidR="00053D93" w:rsidRDefault="00260B75">
      <w:pPr>
        <w:spacing w:after="0"/>
        <w:ind w:left="17" w:hanging="10"/>
      </w:pPr>
      <w:r>
        <w:rPr>
          <w:rFonts w:ascii="Times New Roman" w:eastAsia="Times New Roman" w:hAnsi="Times New Roman" w:cs="Times New Roman"/>
          <w:sz w:val="82"/>
        </w:rPr>
        <w:t>1</w:t>
      </w:r>
    </w:p>
    <w:p w14:paraId="5F162B00" w14:textId="77777777" w:rsidR="00053D93" w:rsidRDefault="00260B75">
      <w:pPr>
        <w:spacing w:after="778" w:line="247" w:lineRule="auto"/>
        <w:ind w:left="1742" w:right="14" w:firstLine="4"/>
        <w:jc w:val="both"/>
      </w:pPr>
      <w:r>
        <w:rPr>
          <w:sz w:val="26"/>
        </w:rPr>
        <w:t>General</w:t>
      </w:r>
    </w:p>
    <w:p w14:paraId="707C7EC1" w14:textId="77777777" w:rsidR="00053D93" w:rsidRDefault="00260B75">
      <w:pPr>
        <w:tabs>
          <w:tab w:val="right" w:pos="10202"/>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Emitir opinión sobre la razonabilidad del Estado de Liquidación Presupuestaria de</w:t>
      </w:r>
    </w:p>
    <w:p w14:paraId="7317B78F" w14:textId="77777777" w:rsidR="00053D93" w:rsidRDefault="00260B75">
      <w:pPr>
        <w:spacing w:after="17" w:line="247" w:lineRule="auto"/>
        <w:ind w:left="14" w:right="14" w:firstLine="4"/>
        <w:jc w:val="both"/>
      </w:pPr>
      <w:r>
        <w:rPr>
          <w:noProof/>
        </w:rPr>
        <mc:AlternateContent>
          <mc:Choice Requires="wpg">
            <w:drawing>
              <wp:anchor distT="0" distB="0" distL="114300" distR="114300" simplePos="0" relativeHeight="251794432" behindDoc="0" locked="0" layoutInCell="1" allowOverlap="1" wp14:anchorId="669272FE" wp14:editId="1B527695">
                <wp:simplePos x="0" y="0"/>
                <wp:positionH relativeFrom="page">
                  <wp:posOffset>1280160</wp:posOffset>
                </wp:positionH>
                <wp:positionV relativeFrom="page">
                  <wp:posOffset>754380</wp:posOffset>
                </wp:positionV>
                <wp:extent cx="5381244" cy="13716"/>
                <wp:effectExtent l="0" t="0" r="0" b="0"/>
                <wp:wrapTopAndBottom/>
                <wp:docPr id="2458198" name="Group 2458198"/>
                <wp:cNvGraphicFramePr/>
                <a:graphic xmlns:a="http://schemas.openxmlformats.org/drawingml/2006/main">
                  <a:graphicData uri="http://schemas.microsoft.com/office/word/2010/wordprocessingGroup">
                    <wpg:wgp>
                      <wpg:cNvGrpSpPr/>
                      <wpg:grpSpPr>
                        <a:xfrm>
                          <a:off x="0" y="0"/>
                          <a:ext cx="5381244" cy="13716"/>
                          <a:chOff x="0" y="0"/>
                          <a:chExt cx="5381244" cy="13716"/>
                        </a:xfrm>
                      </wpg:grpSpPr>
                      <wps:wsp>
                        <wps:cNvPr id="2458197" name="Shape 2458197"/>
                        <wps:cNvSpPr/>
                        <wps:spPr>
                          <a:xfrm>
                            <a:off x="0" y="0"/>
                            <a:ext cx="5381244" cy="13716"/>
                          </a:xfrm>
                          <a:custGeom>
                            <a:avLst/>
                            <a:gdLst/>
                            <a:ahLst/>
                            <a:cxnLst/>
                            <a:rect l="0" t="0" r="0" b="0"/>
                            <a:pathLst>
                              <a:path w="5381244" h="13716">
                                <a:moveTo>
                                  <a:pt x="0" y="6858"/>
                                </a:moveTo>
                                <a:lnTo>
                                  <a:pt x="53812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198" style="width:423.72pt;height:1.08pt;position:absolute;mso-position-horizontal-relative:page;mso-position-horizontal:absolute;margin-left:100.8pt;mso-position-vertical-relative:page;margin-top:59.4pt;" coordsize="53812,137">
                <v:shape id="Shape 2458197" style="position:absolute;width:53812;height:137;left:0;top:0;" coordsize="5381244,13716" path="m0,6858l5381244,6858">
                  <v:stroke weight="1.08pt" endcap="flat" joinstyle="miter" miterlimit="1" on="true" color="#000000"/>
                  <v:fill on="false" color="#000000"/>
                </v:shape>
                <w10:wrap type="topAndBottom"/>
              </v:group>
            </w:pict>
          </mc:Fallback>
        </mc:AlternateContent>
      </w:r>
      <w:r>
        <w:rPr>
          <w:noProof/>
        </w:rPr>
        <w:drawing>
          <wp:anchor distT="0" distB="0" distL="114300" distR="114300" simplePos="0" relativeHeight="251795456" behindDoc="0" locked="0" layoutInCell="1" allowOverlap="0" wp14:anchorId="459BF2B8" wp14:editId="0ABB465A">
            <wp:simplePos x="0" y="0"/>
            <wp:positionH relativeFrom="page">
              <wp:posOffset>6757416</wp:posOffset>
            </wp:positionH>
            <wp:positionV relativeFrom="page">
              <wp:posOffset>8174736</wp:posOffset>
            </wp:positionV>
            <wp:extent cx="13717" cy="22861"/>
            <wp:effectExtent l="0" t="0" r="0" b="0"/>
            <wp:wrapSquare wrapText="bothSides"/>
            <wp:docPr id="198161" name="Picture 198161"/>
            <wp:cNvGraphicFramePr/>
            <a:graphic xmlns:a="http://schemas.openxmlformats.org/drawingml/2006/main">
              <a:graphicData uri="http://schemas.openxmlformats.org/drawingml/2006/picture">
                <pic:pic xmlns:pic="http://schemas.openxmlformats.org/drawingml/2006/picture">
                  <pic:nvPicPr>
                    <pic:cNvPr id="198161" name="Picture 198161"/>
                    <pic:cNvPicPr/>
                  </pic:nvPicPr>
                  <pic:blipFill>
                    <a:blip r:embed="rId272"/>
                    <a:stretch>
                      <a:fillRect/>
                    </a:stretch>
                  </pic:blipFill>
                  <pic:spPr>
                    <a:xfrm>
                      <a:off x="0" y="0"/>
                      <a:ext cx="13717" cy="22861"/>
                    </a:xfrm>
                    <a:prstGeom prst="rect">
                      <a:avLst/>
                    </a:prstGeom>
                  </pic:spPr>
                </pic:pic>
              </a:graphicData>
            </a:graphic>
          </wp:anchor>
        </w:drawing>
      </w:r>
      <w:r>
        <w:rPr>
          <w:sz w:val="26"/>
        </w:rPr>
        <w:t>Ingresos y Egresos del ejercicio fiscal 2024.</w:t>
      </w:r>
    </w:p>
    <w:p w14:paraId="6FE9D61E" w14:textId="77777777" w:rsidR="00053D93" w:rsidRDefault="00260B75">
      <w:pPr>
        <w:pStyle w:val="Ttulo2"/>
        <w:tabs>
          <w:tab w:val="center" w:pos="2362"/>
        </w:tabs>
        <w:spacing w:after="668" w:line="261" w:lineRule="auto"/>
        <w:ind w:left="0" w:right="0" w:firstLine="0"/>
      </w:pPr>
      <w:r>
        <w:rPr>
          <w:noProof/>
        </w:rPr>
        <mc:AlternateContent>
          <mc:Choice Requires="wpg">
            <w:drawing>
              <wp:inline distT="0" distB="0" distL="0" distR="0" wp14:anchorId="4D86A570" wp14:editId="4185A31D">
                <wp:extent cx="150876" cy="333756"/>
                <wp:effectExtent l="0" t="0" r="0" b="0"/>
                <wp:docPr id="2454890" name="Group 2454890"/>
                <wp:cNvGraphicFramePr/>
                <a:graphic xmlns:a="http://schemas.openxmlformats.org/drawingml/2006/main">
                  <a:graphicData uri="http://schemas.microsoft.com/office/word/2010/wordprocessingGroup">
                    <wpg:wgp>
                      <wpg:cNvGrpSpPr/>
                      <wpg:grpSpPr>
                        <a:xfrm>
                          <a:off x="0" y="0"/>
                          <a:ext cx="150876" cy="333756"/>
                          <a:chOff x="0" y="0"/>
                          <a:chExt cx="150876" cy="333756"/>
                        </a:xfrm>
                      </wpg:grpSpPr>
                      <wps:wsp>
                        <wps:cNvPr id="195788" name="Rectangle 195788"/>
                        <wps:cNvSpPr/>
                        <wps:spPr>
                          <a:xfrm>
                            <a:off x="0" y="0"/>
                            <a:ext cx="200665" cy="443895"/>
                          </a:xfrm>
                          <a:prstGeom prst="rect">
                            <a:avLst/>
                          </a:prstGeom>
                          <a:ln>
                            <a:noFill/>
                          </a:ln>
                        </wps:spPr>
                        <wps:txbx>
                          <w:txbxContent>
                            <w:p w14:paraId="7F7C39DF" w14:textId="77777777" w:rsidR="00053D93" w:rsidRDefault="00260B75">
                              <w:r>
                                <w:rPr>
                                  <w:rFonts w:ascii="Times New Roman" w:eastAsia="Times New Roman" w:hAnsi="Times New Roman" w:cs="Times New Roman"/>
                                  <w:sz w:val="88"/>
                                </w:rPr>
                                <w:t>1</w:t>
                              </w:r>
                            </w:p>
                          </w:txbxContent>
                        </wps:txbx>
                        <wps:bodyPr horzOverflow="overflow" vert="horz" lIns="0" tIns="0" rIns="0" bIns="0" rtlCol="0">
                          <a:noAutofit/>
                        </wps:bodyPr>
                      </wps:wsp>
                    </wpg:wgp>
                  </a:graphicData>
                </a:graphic>
              </wp:inline>
            </w:drawing>
          </mc:Choice>
          <mc:Fallback>
            <w:pict>
              <v:group w14:anchorId="4D86A570" id="Group 2454890" o:spid="_x0000_s1228" style="width:11.9pt;height:26.3pt;mso-position-horizontal-relative:char;mso-position-vertical-relative:line" coordsize="150876,333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">
                <v:rect id="Rectangle 195788" o:spid="_x0000_s1229" style="position:absolute;width:200665;height:44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" filled="f" stroked="f">
                  <v:textbox inset="0,0,0,0">
                    <w:txbxContent>
                      <w:p w14:paraId="7F7C39DF" w14:textId="77777777" w:rsidR="00053D93" w:rsidRDefault="00260B75">
                        <w:r>
                          <w:rPr>
                            <w:rFonts w:ascii="Times New Roman" w:eastAsia="Times New Roman" w:hAnsi="Times New Roman" w:cs="Times New Roman"/>
                            <w:sz w:val="88"/>
                          </w:rPr>
                          <w:t>1</w:t>
                        </w:r>
                      </w:p>
                    </w:txbxContent>
                  </v:textbox>
                </v:rect>
                <w10:anchorlock/>
              </v:group>
            </w:pict>
          </mc:Fallback>
        </mc:AlternateContent>
      </w:r>
      <w:r>
        <w:rPr>
          <w:sz w:val="30"/>
        </w:rPr>
        <w:tab/>
        <w:t>Específicos</w:t>
      </w:r>
    </w:p>
    <w:p w14:paraId="78C82FC3" w14:textId="77777777" w:rsidR="00053D93" w:rsidRDefault="00260B75">
      <w:pPr>
        <w:spacing w:after="17" w:line="247" w:lineRule="auto"/>
        <w:ind w:left="14" w:right="14" w:firstLine="4"/>
        <w:jc w:val="both"/>
      </w:pPr>
      <w:r>
        <w:rPr>
          <w:rFonts w:ascii="Times New Roman" w:eastAsia="Times New Roman" w:hAnsi="Times New Roman" w:cs="Times New Roman"/>
          <w:sz w:val="26"/>
        </w:rPr>
        <w:t xml:space="preserve">1 </w:t>
      </w:r>
      <w:r>
        <w:rPr>
          <w:sz w:val="26"/>
        </w:rPr>
        <w:t xml:space="preserve">Verificar la razonabilidad de la ejecución presupuestaria de los ingresos y egresos por medio de la muestra seleccionada, de acuerdo con la materialidad o </w:t>
      </w:r>
      <w:r>
        <w:rPr>
          <w:rFonts w:ascii="Times New Roman" w:eastAsia="Times New Roman" w:hAnsi="Times New Roman" w:cs="Times New Roman"/>
          <w:sz w:val="26"/>
        </w:rPr>
        <w:t xml:space="preserve">1 </w:t>
      </w:r>
      <w:r>
        <w:rPr>
          <w:sz w:val="26"/>
        </w:rPr>
        <w:t>importancia relativa.</w:t>
      </w:r>
    </w:p>
    <w:p w14:paraId="32DD3737" w14:textId="77777777" w:rsidR="00053D93" w:rsidRDefault="00260B75">
      <w:pPr>
        <w:spacing w:after="262" w:line="296" w:lineRule="auto"/>
        <w:ind w:left="14" w:right="14" w:firstLine="1714"/>
        <w:jc w:val="both"/>
      </w:pPr>
      <w:r>
        <w:rPr>
          <w:sz w:val="26"/>
        </w:rPr>
        <w:t xml:space="preserve">Evaluar que el presupuesto de ingresos y egresos del ejercicio fiscal 2024, se </w:t>
      </w:r>
      <w:r>
        <w:rPr>
          <w:rFonts w:ascii="Times New Roman" w:eastAsia="Times New Roman" w:hAnsi="Times New Roman" w:cs="Times New Roman"/>
          <w:sz w:val="26"/>
        </w:rPr>
        <w:t xml:space="preserve">1 </w:t>
      </w:r>
      <w:r>
        <w:rPr>
          <w:sz w:val="26"/>
        </w:rPr>
        <w:t xml:space="preserve">haya ejecutado razonablemente y de conformidad con los clasificadores presupuestarios establecidos, cumpliendo con leyes, reglamentos, normas y metodologías aplicables a través de los rubros de ingresos y renglones </w:t>
      </w:r>
      <w:r>
        <w:rPr>
          <w:rFonts w:ascii="Times New Roman" w:eastAsia="Times New Roman" w:hAnsi="Times New Roman" w:cs="Times New Roman"/>
          <w:sz w:val="26"/>
        </w:rPr>
        <w:t xml:space="preserve">1 </w:t>
      </w:r>
      <w:r>
        <w:rPr>
          <w:sz w:val="26"/>
        </w:rPr>
        <w:t>presupuestarios seleccionados de conformidad con la materialidad e importancia relativa.</w:t>
      </w:r>
    </w:p>
    <w:p w14:paraId="6B9BF7B1" w14:textId="77777777" w:rsidR="00053D93" w:rsidRDefault="00260B75">
      <w:pPr>
        <w:spacing w:after="3"/>
        <w:ind w:left="74" w:right="3485" w:hanging="10"/>
      </w:pPr>
      <w:r>
        <w:rPr>
          <w:rFonts w:ascii="Times New Roman" w:eastAsia="Times New Roman" w:hAnsi="Times New Roman" w:cs="Times New Roman"/>
          <w:sz w:val="70"/>
        </w:rPr>
        <w:t>1</w:t>
      </w:r>
    </w:p>
    <w:p w14:paraId="597A42C7" w14:textId="77777777" w:rsidR="00053D93" w:rsidRDefault="00260B75">
      <w:pPr>
        <w:spacing w:after="648" w:line="247" w:lineRule="auto"/>
        <w:ind w:left="14" w:right="14" w:firstLine="1706"/>
        <w:jc w:val="both"/>
      </w:pPr>
      <w:r>
        <w:rPr>
          <w:sz w:val="26"/>
        </w:rPr>
        <w:lastRenderedPageBreak/>
        <w:t xml:space="preserve">Evaluar si la estructura de control interno establecida en la entidad, referente al proceso contable, presupuestario, tesorería y administrativo, se aplica, es efectivo </w:t>
      </w:r>
      <w:r>
        <w:rPr>
          <w:rFonts w:ascii="Times New Roman" w:eastAsia="Times New Roman" w:hAnsi="Times New Roman" w:cs="Times New Roman"/>
          <w:sz w:val="26"/>
        </w:rPr>
        <w:t xml:space="preserve">1 </w:t>
      </w:r>
      <w:r>
        <w:rPr>
          <w:sz w:val="26"/>
        </w:rPr>
        <w:t>y adecuado para el logro de los objetivos de la entidad y si se está cumpliendo de conformidad con las normas establecidas.</w:t>
      </w:r>
    </w:p>
    <w:tbl>
      <w:tblPr>
        <w:tblStyle w:val="TableGrid"/>
        <w:tblpPr w:vertAnchor="text" w:tblpX="2570" w:tblpY="5"/>
        <w:tblOverlap w:val="never"/>
        <w:tblW w:w="7625" w:type="dxa"/>
        <w:tblInd w:w="0" w:type="dxa"/>
        <w:tblCellMar>
          <w:top w:w="46" w:type="dxa"/>
          <w:left w:w="1735" w:type="dxa"/>
          <w:right w:w="115" w:type="dxa"/>
        </w:tblCellMar>
        <w:tblLook w:val="04A0" w:firstRow="1" w:lastRow="0" w:firstColumn="1" w:lastColumn="0" w:noHBand="0" w:noVBand="1"/>
      </w:tblPr>
      <w:tblGrid>
        <w:gridCol w:w="7625"/>
      </w:tblGrid>
      <w:tr w:rsidR="00053D93" w14:paraId="101A404E" w14:textId="77777777">
        <w:trPr>
          <w:trHeight w:val="50"/>
        </w:trPr>
        <w:tc>
          <w:tcPr>
            <w:tcW w:w="7625" w:type="dxa"/>
            <w:tcBorders>
              <w:top w:val="nil"/>
              <w:left w:val="single" w:sz="2" w:space="0" w:color="000000"/>
              <w:bottom w:val="single" w:sz="2" w:space="0" w:color="000000"/>
              <w:right w:val="nil"/>
            </w:tcBorders>
          </w:tcPr>
          <w:p w14:paraId="4260A156" w14:textId="77777777" w:rsidR="00053D93" w:rsidRDefault="00053D93"/>
        </w:tc>
      </w:tr>
      <w:tr w:rsidR="00053D93" w14:paraId="3E620078" w14:textId="77777777">
        <w:trPr>
          <w:trHeight w:val="590"/>
        </w:trPr>
        <w:tc>
          <w:tcPr>
            <w:tcW w:w="7625" w:type="dxa"/>
            <w:tcBorders>
              <w:top w:val="single" w:sz="2" w:space="0" w:color="000000"/>
              <w:left w:val="single" w:sz="2" w:space="0" w:color="000000"/>
              <w:bottom w:val="nil"/>
              <w:right w:val="nil"/>
            </w:tcBorders>
          </w:tcPr>
          <w:p w14:paraId="5A219E91" w14:textId="77777777" w:rsidR="00053D93" w:rsidRDefault="00260B75">
            <w:pPr>
              <w:ind w:left="842"/>
            </w:pPr>
            <w:r>
              <w:rPr>
                <w:sz w:val="14"/>
              </w:rPr>
              <w:t>MINISTERIO DE EDUCACION</w:t>
            </w:r>
          </w:p>
          <w:p w14:paraId="56CCFD49" w14:textId="77777777" w:rsidR="00053D93" w:rsidRDefault="00260B75">
            <w:pPr>
              <w:ind w:left="346"/>
            </w:pPr>
            <w:r>
              <w:rPr>
                <w:sz w:val="14"/>
              </w:rPr>
              <w:t>AUDITORIA FINANCIERA Y OE CUMPLIMIENTO</w:t>
            </w:r>
          </w:p>
          <w:p w14:paraId="111DC6D8" w14:textId="77777777" w:rsidR="00053D93" w:rsidRDefault="00260B75">
            <w:r>
              <w:rPr>
                <w:sz w:val="14"/>
              </w:rPr>
              <w:t>PERIODO DEL 01 DE ENERO AL 31 DE DICIEMBRE DE 2024</w:t>
            </w:r>
          </w:p>
        </w:tc>
      </w:tr>
    </w:tbl>
    <w:p w14:paraId="50B8D7AE" w14:textId="77777777" w:rsidR="00053D93" w:rsidRDefault="00260B75">
      <w:pPr>
        <w:pStyle w:val="Ttulo1"/>
        <w:spacing w:after="97" w:line="259" w:lineRule="auto"/>
        <w:ind w:left="773" w:right="6955"/>
        <w:jc w:val="left"/>
      </w:pPr>
      <w:r>
        <w:rPr>
          <w:sz w:val="34"/>
        </w:rPr>
        <w:t xml:space="preserve">III </w:t>
      </w:r>
      <w:r>
        <w:rPr>
          <w:noProof/>
        </w:rPr>
        <w:drawing>
          <wp:inline distT="0" distB="0" distL="0" distR="0" wp14:anchorId="3ECF58D1" wp14:editId="338F1621">
            <wp:extent cx="873252" cy="406909"/>
            <wp:effectExtent l="0" t="0" r="0" b="0"/>
            <wp:docPr id="198240" name="Picture 198240"/>
            <wp:cNvGraphicFramePr/>
            <a:graphic xmlns:a="http://schemas.openxmlformats.org/drawingml/2006/main">
              <a:graphicData uri="http://schemas.openxmlformats.org/drawingml/2006/picture">
                <pic:pic xmlns:pic="http://schemas.openxmlformats.org/drawingml/2006/picture">
                  <pic:nvPicPr>
                    <pic:cNvPr id="198240" name="Picture 198240"/>
                    <pic:cNvPicPr/>
                  </pic:nvPicPr>
                  <pic:blipFill>
                    <a:blip r:embed="rId273"/>
                    <a:stretch>
                      <a:fillRect/>
                    </a:stretch>
                  </pic:blipFill>
                  <pic:spPr>
                    <a:xfrm>
                      <a:off x="0" y="0"/>
                      <a:ext cx="873252" cy="406909"/>
                    </a:xfrm>
                    <a:prstGeom prst="rect">
                      <a:avLst/>
                    </a:prstGeom>
                  </pic:spPr>
                </pic:pic>
              </a:graphicData>
            </a:graphic>
          </wp:inline>
        </w:drawing>
      </w:r>
      <w:r>
        <w:rPr>
          <w:sz w:val="34"/>
        </w:rPr>
        <w:t>II</w:t>
      </w:r>
    </w:p>
    <w:p w14:paraId="5E37111D" w14:textId="77777777" w:rsidR="00053D93" w:rsidRDefault="00260B75">
      <w:pPr>
        <w:spacing w:after="3"/>
        <w:ind w:left="24" w:hanging="10"/>
      </w:pPr>
      <w:r>
        <w:rPr>
          <w:rFonts w:ascii="Times New Roman" w:eastAsia="Times New Roman" w:hAnsi="Times New Roman" w:cs="Times New Roman"/>
          <w:sz w:val="86"/>
        </w:rPr>
        <w:t>1</w:t>
      </w:r>
    </w:p>
    <w:p w14:paraId="01987CC0" w14:textId="77777777" w:rsidR="00053D93" w:rsidRDefault="00260B75">
      <w:pPr>
        <w:spacing w:after="301" w:line="247" w:lineRule="auto"/>
        <w:ind w:left="1685" w:right="14" w:firstLine="4"/>
        <w:jc w:val="both"/>
      </w:pPr>
      <w:r>
        <w:rPr>
          <w:sz w:val="26"/>
        </w:rPr>
        <w:t>Verificar que los registros presupuestarios de ingresos y egresos, transacciones financieras y actuaciones administrativas sean confiables, oportunas y auditables, de acuerdo con las políticas presupuestarias, contables y normativa legal aplicable.</w:t>
      </w:r>
    </w:p>
    <w:p w14:paraId="51F684DA" w14:textId="77777777" w:rsidR="00053D93" w:rsidRDefault="00260B75">
      <w:pPr>
        <w:spacing w:after="302" w:line="247" w:lineRule="auto"/>
        <w:ind w:left="1706" w:right="14" w:firstLine="4"/>
        <w:jc w:val="both"/>
      </w:pPr>
      <w:r>
        <w:rPr>
          <w:sz w:val="26"/>
        </w:rPr>
        <w:t>Evaluar si las modificaciones presupuestarias se sometieron al proceso legal establecido.</w:t>
      </w:r>
    </w:p>
    <w:p w14:paraId="79537463" w14:textId="77777777" w:rsidR="00053D93" w:rsidRDefault="00260B75">
      <w:pPr>
        <w:spacing w:after="305" w:line="247" w:lineRule="auto"/>
        <w:ind w:left="14" w:right="14" w:firstLine="4"/>
        <w:jc w:val="both"/>
      </w:pPr>
      <w:r>
        <w:rPr>
          <w:noProof/>
        </w:rPr>
        <w:drawing>
          <wp:anchor distT="0" distB="0" distL="114300" distR="114300" simplePos="0" relativeHeight="251796480" behindDoc="0" locked="0" layoutInCell="1" allowOverlap="0" wp14:anchorId="1350BF6A" wp14:editId="1BCC0DAB">
            <wp:simplePos x="0" y="0"/>
            <wp:positionH relativeFrom="column">
              <wp:posOffset>22860</wp:posOffset>
            </wp:positionH>
            <wp:positionV relativeFrom="paragraph">
              <wp:posOffset>1259</wp:posOffset>
            </wp:positionV>
            <wp:extent cx="150876" cy="882396"/>
            <wp:effectExtent l="0" t="0" r="0" b="0"/>
            <wp:wrapSquare wrapText="bothSides"/>
            <wp:docPr id="202512" name="Picture 202512"/>
            <wp:cNvGraphicFramePr/>
            <a:graphic xmlns:a="http://schemas.openxmlformats.org/drawingml/2006/main">
              <a:graphicData uri="http://schemas.openxmlformats.org/drawingml/2006/picture">
                <pic:pic xmlns:pic="http://schemas.openxmlformats.org/drawingml/2006/picture">
                  <pic:nvPicPr>
                    <pic:cNvPr id="202512" name="Picture 202512"/>
                    <pic:cNvPicPr/>
                  </pic:nvPicPr>
                  <pic:blipFill>
                    <a:blip r:embed="rId274"/>
                    <a:stretch>
                      <a:fillRect/>
                    </a:stretch>
                  </pic:blipFill>
                  <pic:spPr>
                    <a:xfrm>
                      <a:off x="0" y="0"/>
                      <a:ext cx="150876" cy="882396"/>
                    </a:xfrm>
                    <a:prstGeom prst="rect">
                      <a:avLst/>
                    </a:prstGeom>
                  </pic:spPr>
                </pic:pic>
              </a:graphicData>
            </a:graphic>
          </wp:anchor>
        </w:drawing>
      </w:r>
      <w:r>
        <w:rPr>
          <w:sz w:val="26"/>
        </w:rPr>
        <w:t>Verificar de acuerdo a una muestra, la existencia de documentos que soportan legal, técnica, financiera y contablemente los registros que afectan el Estado de Liquidación Presupuestaria de Ingresos y Egresos</w:t>
      </w:r>
    </w:p>
    <w:p w14:paraId="11A4F36D" w14:textId="77777777" w:rsidR="00053D93" w:rsidRDefault="00260B75">
      <w:pPr>
        <w:pStyle w:val="Ttulo2"/>
        <w:spacing w:after="268" w:line="261" w:lineRule="auto"/>
        <w:ind w:left="1687" w:right="7"/>
        <w:jc w:val="both"/>
      </w:pPr>
      <w:r>
        <w:rPr>
          <w:noProof/>
        </w:rPr>
        <mc:AlternateContent>
          <mc:Choice Requires="wpg">
            <w:drawing>
              <wp:anchor distT="0" distB="0" distL="114300" distR="114300" simplePos="0" relativeHeight="251797504" behindDoc="0" locked="0" layoutInCell="1" allowOverlap="1" wp14:anchorId="7E350985" wp14:editId="53BB408E">
                <wp:simplePos x="0" y="0"/>
                <wp:positionH relativeFrom="page">
                  <wp:posOffset>1248156</wp:posOffset>
                </wp:positionH>
                <wp:positionV relativeFrom="page">
                  <wp:posOffset>772668</wp:posOffset>
                </wp:positionV>
                <wp:extent cx="5385816" cy="9144"/>
                <wp:effectExtent l="0" t="0" r="0" b="0"/>
                <wp:wrapTopAndBottom/>
                <wp:docPr id="2458200" name="Group 2458200"/>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199" name="Shape 2458199"/>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200" style="width:424.08pt;height:0.720001pt;position:absolute;mso-position-horizontal-relative:page;mso-position-horizontal:absolute;margin-left:98.28pt;mso-position-vertical-relative:page;margin-top:60.84pt;" coordsize="53858,91">
                <v:shape id="Shape 2458199" style="position:absolute;width:53858;height:91;left:0;top:0;" coordsize="5385816,9144" path="m0,4572l5385816,4572">
                  <v:stroke weight="0.720001pt" endcap="flat" joinstyle="miter" miterlimit="1" on="true" color="#000000"/>
                  <v:fill on="false" color="#000000"/>
                </v:shape>
                <w10:wrap type="topAndBottom"/>
              </v:group>
            </w:pict>
          </mc:Fallback>
        </mc:AlternateContent>
      </w:r>
      <w:r>
        <w:rPr>
          <w:sz w:val="30"/>
        </w:rPr>
        <w:t>9. ACCIONES PREVENTIVAS</w:t>
      </w:r>
    </w:p>
    <w:p w14:paraId="001B6103" w14:textId="77777777" w:rsidR="00053D93" w:rsidRDefault="00260B75">
      <w:pPr>
        <w:spacing w:after="296" w:line="247" w:lineRule="auto"/>
        <w:ind w:left="1721" w:right="14" w:firstLine="4"/>
        <w:jc w:val="both"/>
      </w:pPr>
      <w:r>
        <w:rPr>
          <w:sz w:val="26"/>
        </w:rPr>
        <w:t>Durante el desarrollo de la auditoría, fue considerado el enfoque preventivo, el cual permite fortalecer el sistema de control interno de la entidad así como prevenir que ocurran eventos que afecten los objetivos institucionales.</w:t>
      </w:r>
    </w:p>
    <w:p w14:paraId="35655D59" w14:textId="77777777" w:rsidR="00053D93" w:rsidRDefault="00260B75">
      <w:pPr>
        <w:spacing w:after="290" w:line="247" w:lineRule="auto"/>
        <w:ind w:left="1706" w:right="14" w:firstLine="4"/>
        <w:jc w:val="both"/>
      </w:pPr>
      <w:r>
        <w:rPr>
          <w:sz w:val="26"/>
        </w:rPr>
        <w:t>El enfoque preventivo, está contemplado en las Normas Generales y Técnicas de Control Interno Gubernamental, aprobadas mediante el Acuerdo Número A-039-2023 del Contralor General de Cuentas; promueve la buena gobernanza con el objeto de construir confianza en las instituciones públicas.</w:t>
      </w:r>
    </w:p>
    <w:p w14:paraId="0CBAEE16" w14:textId="77777777" w:rsidR="00053D93" w:rsidRDefault="00260B75">
      <w:pPr>
        <w:spacing w:after="17" w:line="247" w:lineRule="auto"/>
        <w:ind w:left="1714" w:right="14" w:firstLine="4"/>
        <w:jc w:val="both"/>
      </w:pPr>
      <w:r>
        <w:rPr>
          <w:sz w:val="26"/>
        </w:rPr>
        <w:t>La metodología utilizada para la aplicación del enfoque preventivo, fue realizada a través de la emisión de oficios, dirigidos a funcionarios y empleados de la entidad, en los cuales se incluyeron "Acciones Preventivas", orientadas a corregir de manera oportuna los aspectos observados durante el proceso de la ejecución de la auditoría, las cuales se detallan a continuación:</w:t>
      </w:r>
    </w:p>
    <w:tbl>
      <w:tblPr>
        <w:tblStyle w:val="TableGrid"/>
        <w:tblW w:w="9425" w:type="dxa"/>
        <w:tblInd w:w="770" w:type="dxa"/>
        <w:tblLook w:val="04A0" w:firstRow="1" w:lastRow="0" w:firstColumn="1" w:lastColumn="0" w:noHBand="0" w:noVBand="1"/>
      </w:tblPr>
      <w:tblGrid>
        <w:gridCol w:w="801"/>
        <w:gridCol w:w="8631"/>
      </w:tblGrid>
      <w:tr w:rsidR="00053D93" w14:paraId="661A129F" w14:textId="77777777">
        <w:trPr>
          <w:trHeight w:val="4975"/>
        </w:trPr>
        <w:tc>
          <w:tcPr>
            <w:tcW w:w="998" w:type="dxa"/>
            <w:tcBorders>
              <w:top w:val="nil"/>
              <w:left w:val="nil"/>
              <w:bottom w:val="nil"/>
              <w:right w:val="nil"/>
            </w:tcBorders>
            <w:vAlign w:val="bottom"/>
          </w:tcPr>
          <w:p w14:paraId="7A4C802E" w14:textId="77777777" w:rsidR="00053D93" w:rsidRDefault="00260B75">
            <w:r>
              <w:rPr>
                <w:noProof/>
              </w:rPr>
              <w:lastRenderedPageBreak/>
              <w:drawing>
                <wp:inline distT="0" distB="0" distL="0" distR="0" wp14:anchorId="51A8708F" wp14:editId="45F30A25">
                  <wp:extent cx="626364" cy="406908"/>
                  <wp:effectExtent l="0" t="0" r="0" b="0"/>
                  <wp:docPr id="202513" name="Picture 202513"/>
                  <wp:cNvGraphicFramePr/>
                  <a:graphic xmlns:a="http://schemas.openxmlformats.org/drawingml/2006/main">
                    <a:graphicData uri="http://schemas.openxmlformats.org/drawingml/2006/picture">
                      <pic:pic xmlns:pic="http://schemas.openxmlformats.org/drawingml/2006/picture">
                        <pic:nvPicPr>
                          <pic:cNvPr id="202513" name="Picture 202513"/>
                          <pic:cNvPicPr/>
                        </pic:nvPicPr>
                        <pic:blipFill>
                          <a:blip r:embed="rId275"/>
                          <a:stretch>
                            <a:fillRect/>
                          </a:stretch>
                        </pic:blipFill>
                        <pic:spPr>
                          <a:xfrm>
                            <a:off x="0" y="0"/>
                            <a:ext cx="626364" cy="406908"/>
                          </a:xfrm>
                          <a:prstGeom prst="rect">
                            <a:avLst/>
                          </a:prstGeom>
                        </pic:spPr>
                      </pic:pic>
                    </a:graphicData>
                  </a:graphic>
                </wp:inline>
              </w:drawing>
            </w:r>
          </w:p>
        </w:tc>
        <w:tc>
          <w:tcPr>
            <w:tcW w:w="8427" w:type="dxa"/>
            <w:tcBorders>
              <w:top w:val="nil"/>
              <w:left w:val="nil"/>
              <w:bottom w:val="nil"/>
              <w:right w:val="nil"/>
            </w:tcBorders>
          </w:tcPr>
          <w:p w14:paraId="63DE5BC5" w14:textId="77777777" w:rsidR="00053D93" w:rsidRDefault="00053D93">
            <w:pPr>
              <w:ind w:left="-2049" w:right="10476"/>
            </w:pPr>
          </w:p>
          <w:tbl>
            <w:tblPr>
              <w:tblStyle w:val="TableGrid"/>
              <w:tblW w:w="8416" w:type="dxa"/>
              <w:tblInd w:w="11" w:type="dxa"/>
              <w:tblCellMar>
                <w:right w:w="72" w:type="dxa"/>
              </w:tblCellMar>
              <w:tblLook w:val="04A0" w:firstRow="1" w:lastRow="0" w:firstColumn="1" w:lastColumn="0" w:noHBand="0" w:noVBand="1"/>
            </w:tblPr>
            <w:tblGrid>
              <w:gridCol w:w="370"/>
              <w:gridCol w:w="78"/>
              <w:gridCol w:w="283"/>
              <w:gridCol w:w="3347"/>
              <w:gridCol w:w="940"/>
              <w:gridCol w:w="1063"/>
              <w:gridCol w:w="301"/>
              <w:gridCol w:w="1286"/>
              <w:gridCol w:w="748"/>
            </w:tblGrid>
            <w:tr w:rsidR="00053D93" w14:paraId="539B69BD" w14:textId="77777777">
              <w:trPr>
                <w:trHeight w:val="1008"/>
              </w:trPr>
              <w:tc>
                <w:tcPr>
                  <w:tcW w:w="373" w:type="dxa"/>
                  <w:tcBorders>
                    <w:top w:val="single" w:sz="2" w:space="0" w:color="000000"/>
                    <w:left w:val="single" w:sz="2" w:space="0" w:color="000000"/>
                    <w:bottom w:val="single" w:sz="2" w:space="0" w:color="000000"/>
                    <w:right w:val="single" w:sz="2" w:space="0" w:color="000000"/>
                  </w:tcBorders>
                </w:tcPr>
                <w:p w14:paraId="64738688" w14:textId="77777777" w:rsidR="00053D93" w:rsidRDefault="00260B75">
                  <w:pPr>
                    <w:ind w:left="28"/>
                  </w:pPr>
                  <w:r>
                    <w:rPr>
                      <w:sz w:val="14"/>
                    </w:rPr>
                    <w:t>No.</w:t>
                  </w:r>
                </w:p>
              </w:tc>
              <w:tc>
                <w:tcPr>
                  <w:tcW w:w="12" w:type="dxa"/>
                  <w:tcBorders>
                    <w:top w:val="single" w:sz="2" w:space="0" w:color="000000"/>
                    <w:left w:val="single" w:sz="2" w:space="0" w:color="000000"/>
                    <w:bottom w:val="single" w:sz="2" w:space="0" w:color="000000"/>
                    <w:right w:val="single" w:sz="2" w:space="0" w:color="000000"/>
                  </w:tcBorders>
                </w:tcPr>
                <w:p w14:paraId="3EFCF3D0" w14:textId="77777777" w:rsidR="00053D93" w:rsidRDefault="00053D93"/>
              </w:tc>
              <w:tc>
                <w:tcPr>
                  <w:tcW w:w="3696" w:type="dxa"/>
                  <w:gridSpan w:val="2"/>
                  <w:tcBorders>
                    <w:top w:val="single" w:sz="2" w:space="0" w:color="000000"/>
                    <w:left w:val="single" w:sz="2" w:space="0" w:color="000000"/>
                    <w:bottom w:val="single" w:sz="2" w:space="0" w:color="000000"/>
                    <w:right w:val="single" w:sz="2" w:space="0" w:color="000000"/>
                  </w:tcBorders>
                </w:tcPr>
                <w:p w14:paraId="09223554" w14:textId="77777777" w:rsidR="00053D93" w:rsidRDefault="00260B75">
                  <w:pPr>
                    <w:ind w:right="26"/>
                    <w:jc w:val="center"/>
                  </w:pPr>
                  <w:r>
                    <w:rPr>
                      <w:sz w:val="14"/>
                    </w:rPr>
                    <w:t>No. De onclo</w:t>
                  </w:r>
                </w:p>
              </w:tc>
              <w:tc>
                <w:tcPr>
                  <w:tcW w:w="950" w:type="dxa"/>
                  <w:tcBorders>
                    <w:top w:val="single" w:sz="2" w:space="0" w:color="000000"/>
                    <w:left w:val="single" w:sz="2" w:space="0" w:color="000000"/>
                    <w:bottom w:val="single" w:sz="2" w:space="0" w:color="000000"/>
                    <w:right w:val="single" w:sz="2" w:space="0" w:color="000000"/>
                  </w:tcBorders>
                </w:tcPr>
                <w:p w14:paraId="006484ED" w14:textId="77777777" w:rsidR="00053D93" w:rsidRDefault="00260B75">
                  <w:pPr>
                    <w:ind w:left="65"/>
                    <w:jc w:val="center"/>
                  </w:pPr>
                  <w:r>
                    <w:rPr>
                      <w:sz w:val="14"/>
                    </w:rPr>
                    <w:t>Fecha</w:t>
                  </w:r>
                </w:p>
              </w:tc>
              <w:tc>
                <w:tcPr>
                  <w:tcW w:w="1332" w:type="dxa"/>
                  <w:gridSpan w:val="2"/>
                  <w:tcBorders>
                    <w:top w:val="single" w:sz="2" w:space="0" w:color="000000"/>
                    <w:left w:val="single" w:sz="2" w:space="0" w:color="000000"/>
                    <w:bottom w:val="single" w:sz="2" w:space="0" w:color="000000"/>
                    <w:right w:val="single" w:sz="2" w:space="0" w:color="000000"/>
                  </w:tcBorders>
                </w:tcPr>
                <w:p w14:paraId="2B4C2E6C" w14:textId="77777777" w:rsidR="00053D93" w:rsidRDefault="00260B75">
                  <w:pPr>
                    <w:spacing w:after="12"/>
                    <w:ind w:left="58"/>
                    <w:jc w:val="center"/>
                  </w:pPr>
                  <w:r>
                    <w:rPr>
                      <w:sz w:val="14"/>
                    </w:rPr>
                    <w:t>Norrna de Control</w:t>
                  </w:r>
                </w:p>
                <w:p w14:paraId="249DB32A" w14:textId="77777777" w:rsidR="00053D93" w:rsidRDefault="00260B75">
                  <w:pPr>
                    <w:ind w:left="65"/>
                    <w:jc w:val="center"/>
                  </w:pPr>
                  <w:r>
                    <w:rPr>
                      <w:sz w:val="14"/>
                    </w:rPr>
                    <w:t>Interno relacionada</w:t>
                  </w:r>
                </w:p>
              </w:tc>
              <w:tc>
                <w:tcPr>
                  <w:tcW w:w="1296" w:type="dxa"/>
                  <w:tcBorders>
                    <w:top w:val="single" w:sz="2" w:space="0" w:color="000000"/>
                    <w:left w:val="single" w:sz="2" w:space="0" w:color="000000"/>
                    <w:bottom w:val="single" w:sz="2" w:space="0" w:color="000000"/>
                    <w:right w:val="single" w:sz="2" w:space="0" w:color="000000"/>
                  </w:tcBorders>
                </w:tcPr>
                <w:p w14:paraId="50EF1086" w14:textId="77777777" w:rsidR="00053D93" w:rsidRDefault="00260B75">
                  <w:pPr>
                    <w:ind w:left="58"/>
                    <w:jc w:val="center"/>
                  </w:pPr>
                  <w:r>
                    <w:rPr>
                      <w:sz w:val="14"/>
                    </w:rPr>
                    <w:t>Acclón Preventiva</w:t>
                  </w:r>
                </w:p>
              </w:tc>
              <w:tc>
                <w:tcPr>
                  <w:tcW w:w="756" w:type="dxa"/>
                  <w:tcBorders>
                    <w:top w:val="single" w:sz="2" w:space="0" w:color="000000"/>
                    <w:left w:val="single" w:sz="2" w:space="0" w:color="000000"/>
                    <w:bottom w:val="single" w:sz="2" w:space="0" w:color="000000"/>
                    <w:right w:val="single" w:sz="2" w:space="0" w:color="000000"/>
                  </w:tcBorders>
                </w:tcPr>
                <w:p w14:paraId="7E59BC58" w14:textId="77777777" w:rsidR="00053D93" w:rsidRDefault="00260B75">
                  <w:pPr>
                    <w:ind w:left="122" w:hanging="14"/>
                  </w:pPr>
                  <w:r>
                    <w:rPr>
                      <w:sz w:val="14"/>
                    </w:rPr>
                    <w:t>Estado de ta Acción</w:t>
                  </w:r>
                </w:p>
              </w:tc>
            </w:tr>
            <w:tr w:rsidR="00053D93" w14:paraId="3B0DAE8C" w14:textId="77777777">
              <w:trPr>
                <w:trHeight w:val="1328"/>
              </w:trPr>
              <w:tc>
                <w:tcPr>
                  <w:tcW w:w="373" w:type="dxa"/>
                  <w:tcBorders>
                    <w:top w:val="single" w:sz="2" w:space="0" w:color="000000"/>
                    <w:left w:val="single" w:sz="2" w:space="0" w:color="000000"/>
                    <w:bottom w:val="single" w:sz="2" w:space="0" w:color="000000"/>
                    <w:right w:val="single" w:sz="2" w:space="0" w:color="000000"/>
                  </w:tcBorders>
                </w:tcPr>
                <w:p w14:paraId="0C34558C" w14:textId="77777777" w:rsidR="00053D93" w:rsidRDefault="00053D93"/>
              </w:tc>
              <w:tc>
                <w:tcPr>
                  <w:tcW w:w="12" w:type="dxa"/>
                  <w:tcBorders>
                    <w:top w:val="single" w:sz="2" w:space="0" w:color="000000"/>
                    <w:left w:val="single" w:sz="2" w:space="0" w:color="000000"/>
                    <w:bottom w:val="single" w:sz="2" w:space="0" w:color="000000"/>
                    <w:right w:val="single" w:sz="2" w:space="0" w:color="000000"/>
                  </w:tcBorders>
                </w:tcPr>
                <w:p w14:paraId="4EC2A630" w14:textId="77777777" w:rsidR="00053D93" w:rsidRDefault="00053D93"/>
              </w:tc>
              <w:tc>
                <w:tcPr>
                  <w:tcW w:w="3696" w:type="dxa"/>
                  <w:gridSpan w:val="2"/>
                  <w:tcBorders>
                    <w:top w:val="single" w:sz="2" w:space="0" w:color="000000"/>
                    <w:left w:val="single" w:sz="2" w:space="0" w:color="000000"/>
                    <w:bottom w:val="single" w:sz="2" w:space="0" w:color="000000"/>
                    <w:right w:val="single" w:sz="2" w:space="0" w:color="000000"/>
                  </w:tcBorders>
                </w:tcPr>
                <w:p w14:paraId="1C6E6079" w14:textId="77777777" w:rsidR="00053D93" w:rsidRDefault="00260B75">
                  <w:pPr>
                    <w:ind w:left="-12"/>
                  </w:pPr>
                  <w:r>
                    <w:rPr>
                      <w:sz w:val="14"/>
                    </w:rPr>
                    <w:t>CGCOAS-03-0037.AFC.WNEDUC.DlGECADE.PREV.01-2024</w:t>
                  </w:r>
                </w:p>
              </w:tc>
              <w:tc>
                <w:tcPr>
                  <w:tcW w:w="950" w:type="dxa"/>
                  <w:tcBorders>
                    <w:top w:val="single" w:sz="2" w:space="0" w:color="000000"/>
                    <w:left w:val="single" w:sz="2" w:space="0" w:color="000000"/>
                    <w:bottom w:val="single" w:sz="2" w:space="0" w:color="000000"/>
                    <w:right w:val="single" w:sz="2" w:space="0" w:color="000000"/>
                  </w:tcBorders>
                </w:tcPr>
                <w:p w14:paraId="5177BE0C" w14:textId="77777777" w:rsidR="00053D93" w:rsidRDefault="00260B75">
                  <w:pPr>
                    <w:ind w:left="72"/>
                    <w:jc w:val="center"/>
                  </w:pPr>
                  <w:r>
                    <w:rPr>
                      <w:rFonts w:ascii="Times New Roman" w:eastAsia="Times New Roman" w:hAnsi="Times New Roman" w:cs="Times New Roman"/>
                      <w:sz w:val="12"/>
                    </w:rPr>
                    <w:t>16110?2024</w:t>
                  </w:r>
                </w:p>
              </w:tc>
              <w:tc>
                <w:tcPr>
                  <w:tcW w:w="1066" w:type="dxa"/>
                  <w:tcBorders>
                    <w:top w:val="single" w:sz="2" w:space="0" w:color="000000"/>
                    <w:left w:val="single" w:sz="2" w:space="0" w:color="000000"/>
                    <w:bottom w:val="single" w:sz="2" w:space="0" w:color="000000"/>
                    <w:right w:val="nil"/>
                  </w:tcBorders>
                </w:tcPr>
                <w:p w14:paraId="79C2C61F" w14:textId="77777777" w:rsidR="00053D93" w:rsidRDefault="00260B75">
                  <w:pPr>
                    <w:ind w:left="79"/>
                  </w:pPr>
                  <w:r>
                    <w:rPr>
                      <w:sz w:val="16"/>
                    </w:rPr>
                    <w:t>Norma</w:t>
                  </w:r>
                </w:p>
                <w:p w14:paraId="40378574" w14:textId="77777777" w:rsidR="00053D93" w:rsidRDefault="00260B75">
                  <w:pPr>
                    <w:spacing w:after="5"/>
                    <w:ind w:left="79"/>
                  </w:pPr>
                  <w:r>
                    <w:rPr>
                      <w:sz w:val="14"/>
                    </w:rPr>
                    <w:t xml:space="preserve">Conciliad5n de </w:t>
                  </w:r>
                </w:p>
                <w:p w14:paraId="2D078616" w14:textId="77777777" w:rsidR="00053D93" w:rsidRDefault="00260B75">
                  <w:pPr>
                    <w:ind w:left="79"/>
                  </w:pPr>
                  <w:r>
                    <w:rPr>
                      <w:sz w:val="14"/>
                    </w:rPr>
                    <w:t>Bancarios</w:t>
                  </w:r>
                </w:p>
              </w:tc>
              <w:tc>
                <w:tcPr>
                  <w:tcW w:w="266" w:type="dxa"/>
                  <w:tcBorders>
                    <w:top w:val="single" w:sz="2" w:space="0" w:color="000000"/>
                    <w:left w:val="nil"/>
                    <w:bottom w:val="single" w:sz="2" w:space="0" w:color="000000"/>
                    <w:right w:val="single" w:sz="2" w:space="0" w:color="000000"/>
                  </w:tcBorders>
                </w:tcPr>
                <w:p w14:paraId="14AFD6C2" w14:textId="77777777" w:rsidR="00053D93" w:rsidRDefault="00260B75">
                  <w:pPr>
                    <w:ind w:left="-7"/>
                  </w:pPr>
                  <w:r>
                    <w:rPr>
                      <w:rFonts w:ascii="Times New Roman" w:eastAsia="Times New Roman" w:hAnsi="Times New Roman" w:cs="Times New Roman"/>
                      <w:sz w:val="16"/>
                    </w:rPr>
                    <w:t>8.6</w:t>
                  </w:r>
                </w:p>
                <w:p w14:paraId="38CE7F02" w14:textId="77777777" w:rsidR="00053D93" w:rsidRDefault="00260B75">
                  <w:pPr>
                    <w:ind w:left="-166" w:right="14"/>
                    <w:jc w:val="center"/>
                  </w:pPr>
                  <w:r>
                    <w:rPr>
                      <w:sz w:val="14"/>
                    </w:rPr>
                    <w:t>Saldos</w:t>
                  </w:r>
                </w:p>
              </w:tc>
              <w:tc>
                <w:tcPr>
                  <w:tcW w:w="1296" w:type="dxa"/>
                  <w:tcBorders>
                    <w:top w:val="single" w:sz="2" w:space="0" w:color="000000"/>
                    <w:left w:val="single" w:sz="2" w:space="0" w:color="000000"/>
                    <w:bottom w:val="single" w:sz="2" w:space="0" w:color="000000"/>
                    <w:right w:val="single" w:sz="2" w:space="0" w:color="000000"/>
                  </w:tcBorders>
                </w:tcPr>
                <w:p w14:paraId="64EB41D9" w14:textId="77777777" w:rsidR="00053D93" w:rsidRDefault="00260B75">
                  <w:pPr>
                    <w:spacing w:line="261" w:lineRule="auto"/>
                    <w:ind w:left="79"/>
                  </w:pPr>
                  <w:r>
                    <w:rPr>
                      <w:sz w:val="14"/>
                    </w:rPr>
                    <w:t>Falta de registro de las</w:t>
                  </w:r>
                  <w:r>
                    <w:rPr>
                      <w:sz w:val="14"/>
                    </w:rPr>
                    <w:tab/>
                    <w:t>operaciones contables financieras de Cala Chica en el libro autorizado</w:t>
                  </w:r>
                </w:p>
                <w:p w14:paraId="3049FEAB" w14:textId="77777777" w:rsidR="00053D93" w:rsidRDefault="00260B75">
                  <w:pPr>
                    <w:ind w:left="79"/>
                  </w:pPr>
                  <w:r>
                    <w:rPr>
                      <w:sz w:val="12"/>
                    </w:rPr>
                    <w:t>(actualización)</w:t>
                  </w:r>
                </w:p>
              </w:tc>
              <w:tc>
                <w:tcPr>
                  <w:tcW w:w="756" w:type="dxa"/>
                  <w:tcBorders>
                    <w:top w:val="single" w:sz="2" w:space="0" w:color="000000"/>
                    <w:left w:val="single" w:sz="2" w:space="0" w:color="000000"/>
                    <w:bottom w:val="single" w:sz="2" w:space="0" w:color="000000"/>
                    <w:right w:val="single" w:sz="2" w:space="0" w:color="000000"/>
                  </w:tcBorders>
                </w:tcPr>
                <w:p w14:paraId="21BBC1FC" w14:textId="77777777" w:rsidR="00053D93" w:rsidRDefault="00260B75">
                  <w:pPr>
                    <w:ind w:left="58"/>
                    <w:jc w:val="center"/>
                  </w:pPr>
                  <w:r>
                    <w:rPr>
                      <w:sz w:val="12"/>
                    </w:rPr>
                    <w:t>Atendida</w:t>
                  </w:r>
                </w:p>
              </w:tc>
            </w:tr>
            <w:tr w:rsidR="00053D93" w14:paraId="5252DE5B" w14:textId="77777777">
              <w:trPr>
                <w:trHeight w:val="1566"/>
              </w:trPr>
              <w:tc>
                <w:tcPr>
                  <w:tcW w:w="373" w:type="dxa"/>
                  <w:tcBorders>
                    <w:top w:val="single" w:sz="2" w:space="0" w:color="000000"/>
                    <w:left w:val="single" w:sz="2" w:space="0" w:color="000000"/>
                    <w:bottom w:val="single" w:sz="2" w:space="0" w:color="000000"/>
                    <w:right w:val="single" w:sz="2" w:space="0" w:color="000000"/>
                  </w:tcBorders>
                </w:tcPr>
                <w:p w14:paraId="16EE0E13" w14:textId="77777777" w:rsidR="00053D93" w:rsidRDefault="00260B75">
                  <w:pPr>
                    <w:ind w:left="85"/>
                  </w:pPr>
                  <w:r>
                    <w:rPr>
                      <w:rFonts w:ascii="Times New Roman" w:eastAsia="Times New Roman" w:hAnsi="Times New Roman" w:cs="Times New Roman"/>
                      <w:sz w:val="14"/>
                    </w:rPr>
                    <w:t>2</w:t>
                  </w:r>
                </w:p>
              </w:tc>
              <w:tc>
                <w:tcPr>
                  <w:tcW w:w="12" w:type="dxa"/>
                  <w:tcBorders>
                    <w:top w:val="single" w:sz="2" w:space="0" w:color="000000"/>
                    <w:left w:val="single" w:sz="2" w:space="0" w:color="000000"/>
                    <w:bottom w:val="single" w:sz="2" w:space="0" w:color="000000"/>
                    <w:right w:val="single" w:sz="2" w:space="0" w:color="000000"/>
                  </w:tcBorders>
                </w:tcPr>
                <w:p w14:paraId="459EA0E1" w14:textId="77777777" w:rsidR="00053D93" w:rsidRDefault="00053D93"/>
              </w:tc>
              <w:tc>
                <w:tcPr>
                  <w:tcW w:w="3696" w:type="dxa"/>
                  <w:gridSpan w:val="2"/>
                  <w:tcBorders>
                    <w:top w:val="single" w:sz="2" w:space="0" w:color="000000"/>
                    <w:left w:val="single" w:sz="2" w:space="0" w:color="000000"/>
                    <w:bottom w:val="single" w:sz="2" w:space="0" w:color="000000"/>
                    <w:right w:val="single" w:sz="2" w:space="0" w:color="000000"/>
                  </w:tcBorders>
                </w:tcPr>
                <w:p w14:paraId="718EB77E" w14:textId="77777777" w:rsidR="00053D93" w:rsidRDefault="00053D93"/>
              </w:tc>
              <w:tc>
                <w:tcPr>
                  <w:tcW w:w="950" w:type="dxa"/>
                  <w:tcBorders>
                    <w:top w:val="single" w:sz="2" w:space="0" w:color="000000"/>
                    <w:left w:val="single" w:sz="2" w:space="0" w:color="000000"/>
                    <w:bottom w:val="single" w:sz="2" w:space="0" w:color="000000"/>
                    <w:right w:val="single" w:sz="2" w:space="0" w:color="000000"/>
                  </w:tcBorders>
                </w:tcPr>
                <w:p w14:paraId="0B226239" w14:textId="77777777" w:rsidR="00053D93" w:rsidRDefault="00260B75">
                  <w:pPr>
                    <w:ind w:left="65"/>
                    <w:jc w:val="center"/>
                  </w:pPr>
                  <w:r>
                    <w:rPr>
                      <w:rFonts w:ascii="Times New Roman" w:eastAsia="Times New Roman" w:hAnsi="Times New Roman" w:cs="Times New Roman"/>
                      <w:sz w:val="12"/>
                    </w:rPr>
                    <w:t>28110'2024</w:t>
                  </w:r>
                </w:p>
              </w:tc>
              <w:tc>
                <w:tcPr>
                  <w:tcW w:w="1066" w:type="dxa"/>
                  <w:tcBorders>
                    <w:top w:val="single" w:sz="2" w:space="0" w:color="000000"/>
                    <w:left w:val="single" w:sz="2" w:space="0" w:color="000000"/>
                    <w:bottom w:val="single" w:sz="2" w:space="0" w:color="000000"/>
                    <w:right w:val="nil"/>
                  </w:tcBorders>
                </w:tcPr>
                <w:p w14:paraId="411EEB84" w14:textId="77777777" w:rsidR="00053D93" w:rsidRDefault="00260B75">
                  <w:pPr>
                    <w:ind w:left="79"/>
                  </w:pPr>
                  <w:r>
                    <w:rPr>
                      <w:sz w:val="16"/>
                    </w:rPr>
                    <w:t>Norma</w:t>
                  </w:r>
                </w:p>
                <w:p w14:paraId="5A3DF361" w14:textId="77777777" w:rsidR="00053D93" w:rsidRDefault="00260B75">
                  <w:pPr>
                    <w:spacing w:after="5"/>
                    <w:ind w:left="79"/>
                  </w:pPr>
                  <w:r>
                    <w:rPr>
                      <w:sz w:val="14"/>
                    </w:rPr>
                    <w:t>Constitución</w:t>
                  </w:r>
                </w:p>
                <w:p w14:paraId="15AEB492" w14:textId="77777777" w:rsidR="00053D93" w:rsidRDefault="00260B75">
                  <w:pPr>
                    <w:ind w:left="79"/>
                  </w:pPr>
                  <w:r>
                    <w:rPr>
                      <w:sz w:val="14"/>
                    </w:rPr>
                    <w:t>Administraclón</w:t>
                  </w:r>
                </w:p>
                <w:p w14:paraId="6A5200D4" w14:textId="77777777" w:rsidR="00053D93" w:rsidRDefault="00260B75">
                  <w:pPr>
                    <w:ind w:left="86"/>
                  </w:pPr>
                  <w:r>
                    <w:rPr>
                      <w:sz w:val="14"/>
                    </w:rPr>
                    <w:t>Fondos Rotativos</w:t>
                  </w:r>
                </w:p>
              </w:tc>
              <w:tc>
                <w:tcPr>
                  <w:tcW w:w="266" w:type="dxa"/>
                  <w:tcBorders>
                    <w:top w:val="single" w:sz="2" w:space="0" w:color="000000"/>
                    <w:left w:val="nil"/>
                    <w:bottom w:val="single" w:sz="2" w:space="0" w:color="000000"/>
                    <w:right w:val="single" w:sz="2" w:space="0" w:color="000000"/>
                  </w:tcBorders>
                </w:tcPr>
                <w:p w14:paraId="66F6C345" w14:textId="77777777" w:rsidR="00053D93" w:rsidRDefault="00260B75">
                  <w:pPr>
                    <w:spacing w:after="153"/>
                  </w:pPr>
                  <w:r>
                    <w:rPr>
                      <w:rFonts w:ascii="Times New Roman" w:eastAsia="Times New Roman" w:hAnsi="Times New Roman" w:cs="Times New Roman"/>
                      <w:sz w:val="16"/>
                    </w:rPr>
                    <w:t>8.7</w:t>
                  </w:r>
                </w:p>
                <w:p w14:paraId="23AE0A61" w14:textId="77777777" w:rsidR="00053D93" w:rsidRDefault="00260B75">
                  <w:pPr>
                    <w:ind w:left="58"/>
                  </w:pPr>
                  <w:r>
                    <w:rPr>
                      <w:sz w:val="14"/>
                    </w:rPr>
                    <w:t>de</w:t>
                  </w:r>
                </w:p>
              </w:tc>
              <w:tc>
                <w:tcPr>
                  <w:tcW w:w="1296" w:type="dxa"/>
                  <w:tcBorders>
                    <w:top w:val="single" w:sz="2" w:space="0" w:color="000000"/>
                    <w:left w:val="single" w:sz="2" w:space="0" w:color="000000"/>
                    <w:bottom w:val="single" w:sz="2" w:space="0" w:color="000000"/>
                    <w:right w:val="single" w:sz="2" w:space="0" w:color="000000"/>
                  </w:tcBorders>
                </w:tcPr>
                <w:p w14:paraId="66D0FCAF" w14:textId="77777777" w:rsidR="00053D93" w:rsidRDefault="00260B75">
                  <w:pPr>
                    <w:spacing w:after="15" w:line="280" w:lineRule="auto"/>
                    <w:ind w:left="79" w:firstLine="7"/>
                  </w:pPr>
                  <w:r>
                    <w:rPr>
                      <w:sz w:val="14"/>
                    </w:rPr>
                    <w:t>Falta de arqueos al Rotativo: asimlsmo, que la persona</w:t>
                  </w:r>
                  <w:r>
                    <w:rPr>
                      <w:sz w:val="14"/>
                    </w:rPr>
                    <w:tab/>
                    <w:t>nombrada para el efecto sea diferente</w:t>
                  </w:r>
                  <w:r>
                    <w:rPr>
                      <w:sz w:val="14"/>
                    </w:rPr>
                    <w:tab/>
                  </w:r>
                  <w:r>
                    <w:rPr>
                      <w:rFonts w:ascii="Times New Roman" w:eastAsia="Times New Roman" w:hAnsi="Times New Roman" w:cs="Times New Roman"/>
                      <w:sz w:val="14"/>
                    </w:rPr>
                    <w:t>81</w:t>
                  </w:r>
                </w:p>
                <w:p w14:paraId="7A7AB06B" w14:textId="77777777" w:rsidR="00053D93" w:rsidRDefault="00260B75">
                  <w:pPr>
                    <w:ind w:left="79" w:right="7" w:firstLine="7"/>
                    <w:jc w:val="both"/>
                  </w:pPr>
                  <w:r>
                    <w:rPr>
                      <w:sz w:val="14"/>
                    </w:rPr>
                    <w:t>encargado de ta administraclón del fondo.</w:t>
                  </w:r>
                </w:p>
              </w:tc>
              <w:tc>
                <w:tcPr>
                  <w:tcW w:w="756" w:type="dxa"/>
                  <w:tcBorders>
                    <w:top w:val="single" w:sz="2" w:space="0" w:color="000000"/>
                    <w:left w:val="single" w:sz="2" w:space="0" w:color="000000"/>
                    <w:bottom w:val="single" w:sz="2" w:space="0" w:color="000000"/>
                    <w:right w:val="single" w:sz="2" w:space="0" w:color="000000"/>
                  </w:tcBorders>
                </w:tcPr>
                <w:p w14:paraId="4FCEF9D2" w14:textId="77777777" w:rsidR="00053D93" w:rsidRDefault="00260B75">
                  <w:pPr>
                    <w:ind w:left="72"/>
                    <w:jc w:val="center"/>
                  </w:pPr>
                  <w:r>
                    <w:rPr>
                      <w:sz w:val="12"/>
                    </w:rPr>
                    <w:t>Atendida</w:t>
                  </w:r>
                </w:p>
              </w:tc>
            </w:tr>
            <w:tr w:rsidR="00053D93" w14:paraId="7E611246" w14:textId="77777777">
              <w:trPr>
                <w:trHeight w:val="461"/>
              </w:trPr>
              <w:tc>
                <w:tcPr>
                  <w:tcW w:w="373" w:type="dxa"/>
                  <w:vMerge w:val="restart"/>
                  <w:tcBorders>
                    <w:top w:val="single" w:sz="2" w:space="0" w:color="000000"/>
                    <w:left w:val="single" w:sz="2" w:space="0" w:color="000000"/>
                    <w:bottom w:val="nil"/>
                    <w:right w:val="single" w:sz="2" w:space="0" w:color="000000"/>
                  </w:tcBorders>
                </w:tcPr>
                <w:p w14:paraId="50292692" w14:textId="77777777" w:rsidR="00053D93" w:rsidRDefault="00260B75">
                  <w:pPr>
                    <w:ind w:left="93"/>
                  </w:pPr>
                  <w:r>
                    <w:rPr>
                      <w:rFonts w:ascii="Times New Roman" w:eastAsia="Times New Roman" w:hAnsi="Times New Roman" w:cs="Times New Roman"/>
                      <w:sz w:val="16"/>
                    </w:rPr>
                    <w:t>3</w:t>
                  </w:r>
                </w:p>
              </w:tc>
              <w:tc>
                <w:tcPr>
                  <w:tcW w:w="12" w:type="dxa"/>
                  <w:vMerge w:val="restart"/>
                  <w:tcBorders>
                    <w:top w:val="single" w:sz="2" w:space="0" w:color="000000"/>
                    <w:left w:val="single" w:sz="2" w:space="0" w:color="000000"/>
                    <w:bottom w:val="nil"/>
                    <w:right w:val="single" w:sz="2" w:space="0" w:color="000000"/>
                  </w:tcBorders>
                </w:tcPr>
                <w:p w14:paraId="55B97CE3" w14:textId="77777777" w:rsidR="00053D93" w:rsidRDefault="00053D93"/>
              </w:tc>
              <w:tc>
                <w:tcPr>
                  <w:tcW w:w="3696" w:type="dxa"/>
                  <w:gridSpan w:val="2"/>
                  <w:tcBorders>
                    <w:top w:val="single" w:sz="2" w:space="0" w:color="000000"/>
                    <w:left w:val="single" w:sz="2" w:space="0" w:color="000000"/>
                    <w:bottom w:val="single" w:sz="2" w:space="0" w:color="000000"/>
                    <w:right w:val="single" w:sz="2" w:space="0" w:color="000000"/>
                  </w:tcBorders>
                </w:tcPr>
                <w:p w14:paraId="47F9061A" w14:textId="77777777" w:rsidR="00053D93" w:rsidRDefault="00260B75">
                  <w:pPr>
                    <w:ind w:left="-4"/>
                  </w:pPr>
                  <w:r>
                    <w:rPr>
                      <w:sz w:val="14"/>
                    </w:rPr>
                    <w:t>CGC-AFC-DDEGO-OP-001-2024</w:t>
                  </w:r>
                </w:p>
              </w:tc>
              <w:tc>
                <w:tcPr>
                  <w:tcW w:w="950" w:type="dxa"/>
                  <w:tcBorders>
                    <w:top w:val="single" w:sz="2" w:space="0" w:color="000000"/>
                    <w:left w:val="single" w:sz="2" w:space="0" w:color="000000"/>
                    <w:bottom w:val="single" w:sz="2" w:space="0" w:color="000000"/>
                    <w:right w:val="single" w:sz="2" w:space="0" w:color="000000"/>
                  </w:tcBorders>
                </w:tcPr>
                <w:p w14:paraId="376BF407" w14:textId="77777777" w:rsidR="00053D93" w:rsidRDefault="00260B75">
                  <w:pPr>
                    <w:ind w:left="79"/>
                    <w:jc w:val="center"/>
                  </w:pPr>
                  <w:r>
                    <w:rPr>
                      <w:rFonts w:ascii="Times New Roman" w:eastAsia="Times New Roman" w:hAnsi="Times New Roman" w:cs="Times New Roman"/>
                      <w:sz w:val="12"/>
                    </w:rPr>
                    <w:t>2911012024</w:t>
                  </w:r>
                </w:p>
              </w:tc>
              <w:tc>
                <w:tcPr>
                  <w:tcW w:w="1066" w:type="dxa"/>
                  <w:tcBorders>
                    <w:top w:val="single" w:sz="2" w:space="0" w:color="000000"/>
                    <w:left w:val="single" w:sz="2" w:space="0" w:color="000000"/>
                    <w:bottom w:val="single" w:sz="2" w:space="0" w:color="000000"/>
                    <w:right w:val="nil"/>
                  </w:tcBorders>
                </w:tcPr>
                <w:p w14:paraId="437D8F8D" w14:textId="77777777" w:rsidR="00053D93" w:rsidRDefault="00260B75">
                  <w:pPr>
                    <w:ind w:left="86"/>
                  </w:pPr>
                  <w:r>
                    <w:rPr>
                      <w:sz w:val="16"/>
                    </w:rPr>
                    <w:t>Norma</w:t>
                  </w:r>
                </w:p>
                <w:p w14:paraId="42F8FA5A" w14:textId="77777777" w:rsidR="00053D93" w:rsidRDefault="00260B75">
                  <w:pPr>
                    <w:ind w:left="86"/>
                  </w:pPr>
                  <w:r>
                    <w:rPr>
                      <w:sz w:val="14"/>
                    </w:rPr>
                    <w:t>Documentos</w:t>
                  </w:r>
                </w:p>
              </w:tc>
              <w:tc>
                <w:tcPr>
                  <w:tcW w:w="266" w:type="dxa"/>
                  <w:tcBorders>
                    <w:top w:val="single" w:sz="2" w:space="0" w:color="000000"/>
                    <w:left w:val="nil"/>
                    <w:bottom w:val="single" w:sz="2" w:space="0" w:color="000000"/>
                    <w:right w:val="single" w:sz="2" w:space="0" w:color="000000"/>
                  </w:tcBorders>
                </w:tcPr>
                <w:p w14:paraId="64A91846" w14:textId="77777777" w:rsidR="00053D93" w:rsidRDefault="00260B75">
                  <w:pPr>
                    <w:ind w:left="65" w:hanging="65"/>
                  </w:pPr>
                  <w:r>
                    <w:rPr>
                      <w:rFonts w:ascii="Times New Roman" w:eastAsia="Times New Roman" w:hAnsi="Times New Roman" w:cs="Times New Roman"/>
                      <w:sz w:val="16"/>
                    </w:rPr>
                    <w:t xml:space="preserve">4.2 </w:t>
                  </w:r>
                  <w:r>
                    <w:rPr>
                      <w:sz w:val="16"/>
                    </w:rPr>
                    <w:t>de</w:t>
                  </w:r>
                </w:p>
              </w:tc>
              <w:tc>
                <w:tcPr>
                  <w:tcW w:w="1296" w:type="dxa"/>
                  <w:tcBorders>
                    <w:top w:val="single" w:sz="2" w:space="0" w:color="000000"/>
                    <w:left w:val="single" w:sz="2" w:space="0" w:color="000000"/>
                    <w:bottom w:val="single" w:sz="2" w:space="0" w:color="000000"/>
                    <w:right w:val="single" w:sz="2" w:space="0" w:color="000000"/>
                  </w:tcBorders>
                </w:tcPr>
                <w:p w14:paraId="46151D81" w14:textId="77777777" w:rsidR="00053D93" w:rsidRDefault="00260B75">
                  <w:pPr>
                    <w:ind w:left="86"/>
                    <w:jc w:val="both"/>
                  </w:pPr>
                  <w:r>
                    <w:rPr>
                      <w:sz w:val="14"/>
                    </w:rPr>
                    <w:t>Falta de verificación en la publicación de</w:t>
                  </w:r>
                </w:p>
              </w:tc>
              <w:tc>
                <w:tcPr>
                  <w:tcW w:w="756" w:type="dxa"/>
                  <w:tcBorders>
                    <w:top w:val="single" w:sz="2" w:space="0" w:color="000000"/>
                    <w:left w:val="single" w:sz="2" w:space="0" w:color="000000"/>
                    <w:bottom w:val="single" w:sz="2" w:space="0" w:color="000000"/>
                    <w:right w:val="single" w:sz="2" w:space="0" w:color="000000"/>
                  </w:tcBorders>
                </w:tcPr>
                <w:p w14:paraId="3319C32B" w14:textId="77777777" w:rsidR="00053D93" w:rsidRDefault="00260B75">
                  <w:pPr>
                    <w:ind w:left="86"/>
                    <w:jc w:val="center"/>
                  </w:pPr>
                  <w:r>
                    <w:rPr>
                      <w:sz w:val="12"/>
                    </w:rPr>
                    <w:t>Atendida</w:t>
                  </w:r>
                </w:p>
              </w:tc>
            </w:tr>
            <w:tr w:rsidR="00053D93" w14:paraId="7953CB9A" w14:textId="77777777">
              <w:trPr>
                <w:trHeight w:val="605"/>
              </w:trPr>
              <w:tc>
                <w:tcPr>
                  <w:tcW w:w="0" w:type="auto"/>
                  <w:vMerge/>
                  <w:tcBorders>
                    <w:top w:val="nil"/>
                    <w:left w:val="single" w:sz="2" w:space="0" w:color="000000"/>
                    <w:bottom w:val="nil"/>
                    <w:right w:val="single" w:sz="2" w:space="0" w:color="000000"/>
                  </w:tcBorders>
                </w:tcPr>
                <w:p w14:paraId="6D06F679" w14:textId="77777777" w:rsidR="00053D93" w:rsidRDefault="00053D93"/>
              </w:tc>
              <w:tc>
                <w:tcPr>
                  <w:tcW w:w="0" w:type="auto"/>
                  <w:vMerge/>
                  <w:tcBorders>
                    <w:top w:val="nil"/>
                    <w:left w:val="single" w:sz="2" w:space="0" w:color="000000"/>
                    <w:bottom w:val="nil"/>
                    <w:right w:val="single" w:sz="2" w:space="0" w:color="000000"/>
                  </w:tcBorders>
                </w:tcPr>
                <w:p w14:paraId="3F2A614A" w14:textId="77777777" w:rsidR="00053D93" w:rsidRDefault="00053D93"/>
              </w:tc>
              <w:tc>
                <w:tcPr>
                  <w:tcW w:w="283" w:type="dxa"/>
                  <w:tcBorders>
                    <w:top w:val="nil"/>
                    <w:left w:val="single" w:sz="2" w:space="0" w:color="000000"/>
                    <w:bottom w:val="nil"/>
                    <w:right w:val="single" w:sz="2" w:space="0" w:color="000000"/>
                  </w:tcBorders>
                </w:tcPr>
                <w:p w14:paraId="57E32BEC" w14:textId="77777777" w:rsidR="00053D93" w:rsidRDefault="00053D93"/>
              </w:tc>
              <w:tc>
                <w:tcPr>
                  <w:tcW w:w="5696" w:type="dxa"/>
                  <w:gridSpan w:val="4"/>
                  <w:tcBorders>
                    <w:top w:val="single" w:sz="2" w:space="0" w:color="000000"/>
                    <w:left w:val="single" w:sz="2" w:space="0" w:color="000000"/>
                    <w:bottom w:val="nil"/>
                    <w:right w:val="nil"/>
                  </w:tcBorders>
                </w:tcPr>
                <w:p w14:paraId="4118E6FC" w14:textId="77777777" w:rsidR="00053D93" w:rsidRDefault="00260B75">
                  <w:pPr>
                    <w:ind w:left="1369"/>
                    <w:jc w:val="center"/>
                  </w:pPr>
                  <w:r>
                    <w:rPr>
                      <w:sz w:val="14"/>
                    </w:rPr>
                    <w:t>MINISTERIO DE EDUCACION</w:t>
                  </w:r>
                </w:p>
                <w:p w14:paraId="73621AC0" w14:textId="77777777" w:rsidR="00053D93" w:rsidRDefault="00260B75">
                  <w:pPr>
                    <w:ind w:left="2211"/>
                  </w:pPr>
                  <w:r>
                    <w:rPr>
                      <w:sz w:val="14"/>
                    </w:rPr>
                    <w:t>AUDITORiA FINANCIERA Y DE CUMPLIMIENTO</w:t>
                  </w:r>
                </w:p>
                <w:p w14:paraId="15A9235A" w14:textId="77777777" w:rsidR="00053D93" w:rsidRDefault="00260B75">
                  <w:pPr>
                    <w:ind w:left="1873"/>
                  </w:pPr>
                  <w:r>
                    <w:rPr>
                      <w:sz w:val="14"/>
                    </w:rPr>
                    <w:t>PERIODO DEL 01 DE ENERO AL 31 DE DICIEMBRE DE 2024</w:t>
                  </w:r>
                </w:p>
              </w:tc>
              <w:tc>
                <w:tcPr>
                  <w:tcW w:w="1296" w:type="dxa"/>
                  <w:tcBorders>
                    <w:top w:val="single" w:sz="2" w:space="0" w:color="000000"/>
                    <w:left w:val="nil"/>
                    <w:bottom w:val="nil"/>
                    <w:right w:val="nil"/>
                  </w:tcBorders>
                </w:tcPr>
                <w:p w14:paraId="14BDE0E1" w14:textId="77777777" w:rsidR="00053D93" w:rsidRDefault="00053D93"/>
              </w:tc>
              <w:tc>
                <w:tcPr>
                  <w:tcW w:w="756" w:type="dxa"/>
                  <w:tcBorders>
                    <w:top w:val="single" w:sz="2" w:space="0" w:color="000000"/>
                    <w:left w:val="nil"/>
                    <w:bottom w:val="nil"/>
                    <w:right w:val="nil"/>
                  </w:tcBorders>
                </w:tcPr>
                <w:p w14:paraId="5368DF85" w14:textId="77777777" w:rsidR="00053D93" w:rsidRDefault="00053D93"/>
              </w:tc>
            </w:tr>
          </w:tbl>
          <w:p w14:paraId="1EB6CE6E" w14:textId="77777777" w:rsidR="00053D93" w:rsidRDefault="00053D93"/>
        </w:tc>
      </w:tr>
    </w:tbl>
    <w:p w14:paraId="1149549A" w14:textId="77777777" w:rsidR="00053D93" w:rsidRDefault="00260B75">
      <w:pPr>
        <w:spacing w:after="248"/>
        <w:ind w:left="-281" w:right="10519"/>
      </w:pPr>
      <w:r>
        <w:rPr>
          <w:noProof/>
        </w:rPr>
        <w:drawing>
          <wp:anchor distT="0" distB="0" distL="114300" distR="114300" simplePos="0" relativeHeight="251798528" behindDoc="0" locked="0" layoutInCell="1" allowOverlap="0" wp14:anchorId="17D9125F" wp14:editId="7DA293AF">
            <wp:simplePos x="0" y="0"/>
            <wp:positionH relativeFrom="page">
              <wp:posOffset>219456</wp:posOffset>
            </wp:positionH>
            <wp:positionV relativeFrom="page">
              <wp:posOffset>297180</wp:posOffset>
            </wp:positionV>
            <wp:extent cx="132588" cy="379476"/>
            <wp:effectExtent l="0" t="0" r="0" b="0"/>
            <wp:wrapTopAndBottom/>
            <wp:docPr id="207217" name="Picture 207217"/>
            <wp:cNvGraphicFramePr/>
            <a:graphic xmlns:a="http://schemas.openxmlformats.org/drawingml/2006/main">
              <a:graphicData uri="http://schemas.openxmlformats.org/drawingml/2006/picture">
                <pic:pic xmlns:pic="http://schemas.openxmlformats.org/drawingml/2006/picture">
                  <pic:nvPicPr>
                    <pic:cNvPr id="207217" name="Picture 207217"/>
                    <pic:cNvPicPr/>
                  </pic:nvPicPr>
                  <pic:blipFill>
                    <a:blip r:embed="rId276"/>
                    <a:stretch>
                      <a:fillRect/>
                    </a:stretch>
                  </pic:blipFill>
                  <pic:spPr>
                    <a:xfrm>
                      <a:off x="0" y="0"/>
                      <a:ext cx="132588" cy="379476"/>
                    </a:xfrm>
                    <a:prstGeom prst="rect">
                      <a:avLst/>
                    </a:prstGeom>
                  </pic:spPr>
                </pic:pic>
              </a:graphicData>
            </a:graphic>
          </wp:anchor>
        </w:drawing>
      </w:r>
    </w:p>
    <w:tbl>
      <w:tblPr>
        <w:tblStyle w:val="TableGrid"/>
        <w:tblW w:w="10135" w:type="dxa"/>
        <w:tblInd w:w="65" w:type="dxa"/>
        <w:tblLook w:val="04A0" w:firstRow="1" w:lastRow="0" w:firstColumn="1" w:lastColumn="0" w:noHBand="0" w:noVBand="1"/>
      </w:tblPr>
      <w:tblGrid>
        <w:gridCol w:w="1428"/>
        <w:gridCol w:w="8709"/>
      </w:tblGrid>
      <w:tr w:rsidR="00053D93" w14:paraId="07DF90CF" w14:textId="77777777">
        <w:trPr>
          <w:trHeight w:val="778"/>
        </w:trPr>
        <w:tc>
          <w:tcPr>
            <w:tcW w:w="1724" w:type="dxa"/>
            <w:tcBorders>
              <w:top w:val="nil"/>
              <w:left w:val="nil"/>
              <w:bottom w:val="nil"/>
              <w:right w:val="nil"/>
            </w:tcBorders>
          </w:tcPr>
          <w:p w14:paraId="453F4E91" w14:textId="77777777" w:rsidR="00053D93" w:rsidRDefault="00260B75">
            <w:r>
              <w:rPr>
                <w:noProof/>
              </w:rPr>
              <w:drawing>
                <wp:inline distT="0" distB="0" distL="0" distR="0" wp14:anchorId="6108A439" wp14:editId="2390FE18">
                  <wp:extent cx="137160" cy="370332"/>
                  <wp:effectExtent l="0" t="0" r="0" b="0"/>
                  <wp:docPr id="207203" name="Picture 207203"/>
                  <wp:cNvGraphicFramePr/>
                  <a:graphic xmlns:a="http://schemas.openxmlformats.org/drawingml/2006/main">
                    <a:graphicData uri="http://schemas.openxmlformats.org/drawingml/2006/picture">
                      <pic:pic xmlns:pic="http://schemas.openxmlformats.org/drawingml/2006/picture">
                        <pic:nvPicPr>
                          <pic:cNvPr id="207203" name="Picture 207203"/>
                          <pic:cNvPicPr/>
                        </pic:nvPicPr>
                        <pic:blipFill>
                          <a:blip r:embed="rId277"/>
                          <a:stretch>
                            <a:fillRect/>
                          </a:stretch>
                        </pic:blipFill>
                        <pic:spPr>
                          <a:xfrm>
                            <a:off x="0" y="0"/>
                            <a:ext cx="137160" cy="370332"/>
                          </a:xfrm>
                          <a:prstGeom prst="rect">
                            <a:avLst/>
                          </a:prstGeom>
                        </pic:spPr>
                      </pic:pic>
                    </a:graphicData>
                  </a:graphic>
                </wp:inline>
              </w:drawing>
            </w:r>
          </w:p>
        </w:tc>
        <w:tc>
          <w:tcPr>
            <w:tcW w:w="8411" w:type="dxa"/>
            <w:vMerge w:val="restart"/>
            <w:tcBorders>
              <w:top w:val="nil"/>
              <w:left w:val="nil"/>
              <w:bottom w:val="nil"/>
              <w:right w:val="nil"/>
            </w:tcBorders>
          </w:tcPr>
          <w:p w14:paraId="28B5FA7A" w14:textId="77777777" w:rsidR="00053D93" w:rsidRDefault="00053D93">
            <w:pPr>
              <w:ind w:left="-2070" w:right="10481"/>
            </w:pPr>
          </w:p>
          <w:tbl>
            <w:tblPr>
              <w:tblStyle w:val="TableGrid"/>
              <w:tblW w:w="8408" w:type="dxa"/>
              <w:tblInd w:w="3" w:type="dxa"/>
              <w:tblCellMar>
                <w:right w:w="4" w:type="dxa"/>
              </w:tblCellMar>
              <w:tblLook w:val="04A0" w:firstRow="1" w:lastRow="0" w:firstColumn="1" w:lastColumn="0" w:noHBand="0" w:noVBand="1"/>
            </w:tblPr>
            <w:tblGrid>
              <w:gridCol w:w="323"/>
              <w:gridCol w:w="293"/>
              <w:gridCol w:w="179"/>
              <w:gridCol w:w="3281"/>
              <w:gridCol w:w="958"/>
              <w:gridCol w:w="1058"/>
              <w:gridCol w:w="267"/>
              <w:gridCol w:w="1293"/>
              <w:gridCol w:w="756"/>
            </w:tblGrid>
            <w:tr w:rsidR="00053D93" w14:paraId="4F81D460" w14:textId="77777777">
              <w:trPr>
                <w:trHeight w:val="569"/>
              </w:trPr>
              <w:tc>
                <w:tcPr>
                  <w:tcW w:w="321" w:type="dxa"/>
                  <w:tcBorders>
                    <w:top w:val="single" w:sz="2" w:space="0" w:color="000000"/>
                    <w:left w:val="single" w:sz="2" w:space="0" w:color="000000"/>
                    <w:bottom w:val="single" w:sz="2" w:space="0" w:color="000000"/>
                    <w:right w:val="single" w:sz="2" w:space="0" w:color="000000"/>
                  </w:tcBorders>
                </w:tcPr>
                <w:p w14:paraId="6856E014" w14:textId="77777777" w:rsidR="00053D93" w:rsidRDefault="00053D93"/>
              </w:tc>
              <w:tc>
                <w:tcPr>
                  <w:tcW w:w="3755" w:type="dxa"/>
                  <w:gridSpan w:val="3"/>
                  <w:tcBorders>
                    <w:top w:val="single" w:sz="2" w:space="0" w:color="000000"/>
                    <w:left w:val="single" w:sz="2" w:space="0" w:color="000000"/>
                    <w:bottom w:val="single" w:sz="2" w:space="0" w:color="000000"/>
                    <w:right w:val="single" w:sz="2" w:space="0" w:color="000000"/>
                  </w:tcBorders>
                </w:tcPr>
                <w:p w14:paraId="67DF3D39" w14:textId="77777777" w:rsidR="00053D93" w:rsidRDefault="00053D93"/>
              </w:tc>
              <w:tc>
                <w:tcPr>
                  <w:tcW w:w="958" w:type="dxa"/>
                  <w:tcBorders>
                    <w:top w:val="single" w:sz="2" w:space="0" w:color="000000"/>
                    <w:left w:val="single" w:sz="2" w:space="0" w:color="000000"/>
                    <w:bottom w:val="single" w:sz="2" w:space="0" w:color="000000"/>
                    <w:right w:val="single" w:sz="2" w:space="0" w:color="000000"/>
                  </w:tcBorders>
                </w:tcPr>
                <w:p w14:paraId="7A3CAB5D" w14:textId="77777777" w:rsidR="00053D93" w:rsidRDefault="00053D93"/>
              </w:tc>
              <w:tc>
                <w:tcPr>
                  <w:tcW w:w="1325" w:type="dxa"/>
                  <w:gridSpan w:val="2"/>
                  <w:tcBorders>
                    <w:top w:val="single" w:sz="2" w:space="0" w:color="000000"/>
                    <w:left w:val="single" w:sz="2" w:space="0" w:color="000000"/>
                    <w:bottom w:val="single" w:sz="2" w:space="0" w:color="000000"/>
                    <w:right w:val="single" w:sz="2" w:space="0" w:color="000000"/>
                  </w:tcBorders>
                </w:tcPr>
                <w:p w14:paraId="04871210" w14:textId="77777777" w:rsidR="00053D93" w:rsidRDefault="00260B75">
                  <w:pPr>
                    <w:ind w:left="86"/>
                  </w:pPr>
                  <w:r>
                    <w:rPr>
                      <w:sz w:val="14"/>
                    </w:rPr>
                    <w:t>Respaldo</w:t>
                  </w:r>
                </w:p>
              </w:tc>
              <w:tc>
                <w:tcPr>
                  <w:tcW w:w="1293" w:type="dxa"/>
                  <w:tcBorders>
                    <w:top w:val="single" w:sz="2" w:space="0" w:color="000000"/>
                    <w:left w:val="single" w:sz="2" w:space="0" w:color="000000"/>
                    <w:bottom w:val="single" w:sz="2" w:space="0" w:color="000000"/>
                    <w:right w:val="single" w:sz="2" w:space="0" w:color="000000"/>
                  </w:tcBorders>
                </w:tcPr>
                <w:p w14:paraId="4CCCAC47" w14:textId="77777777" w:rsidR="00053D93" w:rsidRDefault="00260B75">
                  <w:pPr>
                    <w:spacing w:after="5"/>
                    <w:ind w:left="86"/>
                  </w:pPr>
                  <w:r>
                    <w:rPr>
                      <w:sz w:val="14"/>
                    </w:rPr>
                    <w:t>documentos</w:t>
                  </w:r>
                </w:p>
                <w:p w14:paraId="62FA1009" w14:textId="77777777" w:rsidR="00053D93" w:rsidRDefault="00260B75">
                  <w:pPr>
                    <w:ind w:left="86"/>
                  </w:pPr>
                  <w:r>
                    <w:rPr>
                      <w:sz w:val="12"/>
                    </w:rPr>
                    <w:t>Guatecompras.</w:t>
                  </w:r>
                </w:p>
              </w:tc>
              <w:tc>
                <w:tcPr>
                  <w:tcW w:w="756" w:type="dxa"/>
                  <w:tcBorders>
                    <w:top w:val="single" w:sz="2" w:space="0" w:color="000000"/>
                    <w:left w:val="single" w:sz="2" w:space="0" w:color="000000"/>
                    <w:bottom w:val="single" w:sz="2" w:space="0" w:color="000000"/>
                    <w:right w:val="single" w:sz="2" w:space="0" w:color="000000"/>
                  </w:tcBorders>
                </w:tcPr>
                <w:p w14:paraId="2E4606DB" w14:textId="77777777" w:rsidR="00053D93" w:rsidRDefault="00053D93"/>
              </w:tc>
            </w:tr>
            <w:tr w:rsidR="00053D93" w14:paraId="104518D3" w14:textId="77777777">
              <w:trPr>
                <w:trHeight w:val="1642"/>
              </w:trPr>
              <w:tc>
                <w:tcPr>
                  <w:tcW w:w="321" w:type="dxa"/>
                  <w:tcBorders>
                    <w:top w:val="single" w:sz="2" w:space="0" w:color="000000"/>
                    <w:left w:val="single" w:sz="2" w:space="0" w:color="000000"/>
                    <w:bottom w:val="single" w:sz="2" w:space="0" w:color="000000"/>
                    <w:right w:val="single" w:sz="2" w:space="0" w:color="000000"/>
                  </w:tcBorders>
                </w:tcPr>
                <w:p w14:paraId="42BD5864" w14:textId="77777777" w:rsidR="00053D93" w:rsidRDefault="00260B75">
                  <w:pPr>
                    <w:ind w:left="94"/>
                  </w:pPr>
                  <w:r>
                    <w:rPr>
                      <w:rFonts w:ascii="Times New Roman" w:eastAsia="Times New Roman" w:hAnsi="Times New Roman" w:cs="Times New Roman"/>
                      <w:sz w:val="12"/>
                    </w:rPr>
                    <w:t>4</w:t>
                  </w:r>
                </w:p>
              </w:tc>
              <w:tc>
                <w:tcPr>
                  <w:tcW w:w="3755" w:type="dxa"/>
                  <w:gridSpan w:val="3"/>
                  <w:tcBorders>
                    <w:top w:val="single" w:sz="2" w:space="0" w:color="000000"/>
                    <w:left w:val="single" w:sz="2" w:space="0" w:color="000000"/>
                    <w:bottom w:val="single" w:sz="2" w:space="0" w:color="000000"/>
                    <w:right w:val="single" w:sz="2" w:space="0" w:color="000000"/>
                  </w:tcBorders>
                </w:tcPr>
                <w:p w14:paraId="74F4D548" w14:textId="77777777" w:rsidR="00053D93" w:rsidRDefault="00260B75">
                  <w:pPr>
                    <w:ind w:left="61"/>
                  </w:pPr>
                  <w:r>
                    <w:rPr>
                      <w:sz w:val="14"/>
                    </w:rPr>
                    <w:t>CGc-DAs-03-0037.AFC.MlNEDUC.DlGECADE.PREV-03-2024</w:t>
                  </w:r>
                </w:p>
              </w:tc>
              <w:tc>
                <w:tcPr>
                  <w:tcW w:w="958" w:type="dxa"/>
                  <w:tcBorders>
                    <w:top w:val="single" w:sz="2" w:space="0" w:color="000000"/>
                    <w:left w:val="single" w:sz="2" w:space="0" w:color="000000"/>
                    <w:bottom w:val="single" w:sz="2" w:space="0" w:color="000000"/>
                    <w:right w:val="single" w:sz="2" w:space="0" w:color="000000"/>
                  </w:tcBorders>
                </w:tcPr>
                <w:p w14:paraId="6FA72D01" w14:textId="77777777" w:rsidR="00053D93" w:rsidRDefault="00260B75">
                  <w:pPr>
                    <w:ind w:left="11"/>
                    <w:jc w:val="center"/>
                  </w:pPr>
                  <w:r>
                    <w:rPr>
                      <w:rFonts w:ascii="Times New Roman" w:eastAsia="Times New Roman" w:hAnsi="Times New Roman" w:cs="Times New Roman"/>
                      <w:sz w:val="10"/>
                    </w:rPr>
                    <w:t>411 1 '2024</w:t>
                  </w:r>
                </w:p>
              </w:tc>
              <w:tc>
                <w:tcPr>
                  <w:tcW w:w="1058" w:type="dxa"/>
                  <w:tcBorders>
                    <w:top w:val="single" w:sz="2" w:space="0" w:color="000000"/>
                    <w:left w:val="single" w:sz="2" w:space="0" w:color="000000"/>
                    <w:bottom w:val="single" w:sz="2" w:space="0" w:color="000000"/>
                    <w:right w:val="nil"/>
                  </w:tcBorders>
                </w:tcPr>
                <w:p w14:paraId="7B767752" w14:textId="77777777" w:rsidR="00053D93" w:rsidRDefault="00260B75">
                  <w:pPr>
                    <w:spacing w:after="8"/>
                    <w:ind w:left="86"/>
                  </w:pPr>
                  <w:r>
                    <w:rPr>
                      <w:sz w:val="14"/>
                    </w:rPr>
                    <w:t xml:space="preserve">Norma 3.1. a) </w:t>
                  </w:r>
                </w:p>
                <w:p w14:paraId="0ACC7DA7" w14:textId="77777777" w:rsidR="00053D93" w:rsidRDefault="00260B75">
                  <w:pPr>
                    <w:ind w:left="86"/>
                  </w:pPr>
                  <w:r>
                    <w:rPr>
                      <w:sz w:val="16"/>
                    </w:rPr>
                    <w:t>Eficiente</w:t>
                  </w:r>
                </w:p>
                <w:p w14:paraId="61FD22B1" w14:textId="77777777" w:rsidR="00053D93" w:rsidRDefault="00260B75">
                  <w:pPr>
                    <w:ind w:left="86"/>
                  </w:pPr>
                  <w:r>
                    <w:rPr>
                      <w:sz w:val="12"/>
                    </w:rPr>
                    <w:t>Procedimientos</w:t>
                  </w:r>
                </w:p>
              </w:tc>
              <w:tc>
                <w:tcPr>
                  <w:tcW w:w="266" w:type="dxa"/>
                  <w:tcBorders>
                    <w:top w:val="single" w:sz="2" w:space="0" w:color="000000"/>
                    <w:left w:val="nil"/>
                    <w:bottom w:val="single" w:sz="2" w:space="0" w:color="000000"/>
                    <w:right w:val="single" w:sz="2" w:space="0" w:color="000000"/>
                  </w:tcBorders>
                </w:tcPr>
                <w:p w14:paraId="4728D4E4" w14:textId="77777777" w:rsidR="00053D93" w:rsidRDefault="00260B75">
                  <w:pPr>
                    <w:ind w:left="57" w:hanging="223"/>
                  </w:pPr>
                  <w:r>
                    <w:rPr>
                      <w:sz w:val="12"/>
                    </w:rPr>
                    <w:t>Disemo de</w:t>
                  </w:r>
                </w:p>
              </w:tc>
              <w:tc>
                <w:tcPr>
                  <w:tcW w:w="1293" w:type="dxa"/>
                  <w:tcBorders>
                    <w:top w:val="single" w:sz="2" w:space="0" w:color="000000"/>
                    <w:left w:val="single" w:sz="2" w:space="0" w:color="000000"/>
                    <w:bottom w:val="single" w:sz="2" w:space="0" w:color="000000"/>
                    <w:right w:val="single" w:sz="2" w:space="0" w:color="000000"/>
                  </w:tcBorders>
                </w:tcPr>
                <w:p w14:paraId="047BFA96" w14:textId="77777777" w:rsidR="00053D93" w:rsidRDefault="00260B75">
                  <w:pPr>
                    <w:spacing w:line="277" w:lineRule="auto"/>
                    <w:ind w:right="73"/>
                    <w:jc w:val="right"/>
                  </w:pPr>
                  <w:r>
                    <w:rPr>
                      <w:sz w:val="14"/>
                    </w:rPr>
                    <w:t>Falta de actua\ización de los procedimientos (FtN.PRO.01 FIN.GU'.05),</w:t>
                  </w:r>
                  <w:r>
                    <w:rPr>
                      <w:sz w:val="14"/>
                    </w:rPr>
                    <w:tab/>
                    <w:t>en</w:t>
                  </w:r>
                </w:p>
                <w:p w14:paraId="2348F21C" w14:textId="77777777" w:rsidR="00053D93" w:rsidRDefault="00260B75">
                  <w:pPr>
                    <w:ind w:left="79" w:right="80" w:firstLine="7"/>
                    <w:jc w:val="both"/>
                  </w:pPr>
                  <w:r>
                    <w:rPr>
                      <w:sz w:val="14"/>
                    </w:rPr>
                    <w:t>relación a que no se especifica la frecuencia para practicar los arqueos de caja chica.</w:t>
                  </w:r>
                </w:p>
              </w:tc>
              <w:tc>
                <w:tcPr>
                  <w:tcW w:w="756" w:type="dxa"/>
                  <w:tcBorders>
                    <w:top w:val="single" w:sz="2" w:space="0" w:color="000000"/>
                    <w:left w:val="single" w:sz="2" w:space="0" w:color="000000"/>
                    <w:bottom w:val="single" w:sz="2" w:space="0" w:color="000000"/>
                    <w:right w:val="single" w:sz="2" w:space="0" w:color="000000"/>
                  </w:tcBorders>
                </w:tcPr>
                <w:p w14:paraId="407CD6B1" w14:textId="77777777" w:rsidR="00053D93" w:rsidRDefault="00260B75">
                  <w:pPr>
                    <w:ind w:left="2"/>
                    <w:jc w:val="center"/>
                  </w:pPr>
                  <w:r>
                    <w:rPr>
                      <w:sz w:val="12"/>
                    </w:rPr>
                    <w:t>Atendida</w:t>
                  </w:r>
                </w:p>
              </w:tc>
            </w:tr>
            <w:tr w:rsidR="00053D93" w14:paraId="66BB242A" w14:textId="77777777">
              <w:trPr>
                <w:trHeight w:val="1771"/>
              </w:trPr>
              <w:tc>
                <w:tcPr>
                  <w:tcW w:w="321" w:type="dxa"/>
                  <w:tcBorders>
                    <w:top w:val="single" w:sz="2" w:space="0" w:color="000000"/>
                    <w:left w:val="single" w:sz="2" w:space="0" w:color="000000"/>
                    <w:bottom w:val="single" w:sz="2" w:space="0" w:color="000000"/>
                    <w:right w:val="single" w:sz="2" w:space="0" w:color="000000"/>
                  </w:tcBorders>
                </w:tcPr>
                <w:p w14:paraId="45D605EF" w14:textId="77777777" w:rsidR="00053D93" w:rsidRDefault="00260B75">
                  <w:pPr>
                    <w:ind w:left="94"/>
                  </w:pPr>
                  <w:r>
                    <w:rPr>
                      <w:rFonts w:ascii="Times New Roman" w:eastAsia="Times New Roman" w:hAnsi="Times New Roman" w:cs="Times New Roman"/>
                      <w:sz w:val="14"/>
                    </w:rPr>
                    <w:t>5</w:t>
                  </w:r>
                </w:p>
              </w:tc>
              <w:tc>
                <w:tcPr>
                  <w:tcW w:w="3755" w:type="dxa"/>
                  <w:gridSpan w:val="3"/>
                  <w:tcBorders>
                    <w:top w:val="single" w:sz="2" w:space="0" w:color="000000"/>
                    <w:left w:val="single" w:sz="2" w:space="0" w:color="000000"/>
                    <w:bottom w:val="single" w:sz="2" w:space="0" w:color="000000"/>
                    <w:right w:val="single" w:sz="2" w:space="0" w:color="000000"/>
                  </w:tcBorders>
                </w:tcPr>
                <w:p w14:paraId="3EAE6CE7" w14:textId="77777777" w:rsidR="00053D93" w:rsidRDefault="00260B75">
                  <w:pPr>
                    <w:ind w:left="61"/>
                  </w:pPr>
                  <w:r>
                    <w:rPr>
                      <w:sz w:val="14"/>
                    </w:rPr>
                    <w:t>CGCOAS-03-0037.AFC-MlNEDUC-DtGECADE.PREV.04-2024</w:t>
                  </w:r>
                </w:p>
              </w:tc>
              <w:tc>
                <w:tcPr>
                  <w:tcW w:w="958" w:type="dxa"/>
                  <w:tcBorders>
                    <w:top w:val="single" w:sz="2" w:space="0" w:color="000000"/>
                    <w:left w:val="single" w:sz="2" w:space="0" w:color="000000"/>
                    <w:bottom w:val="single" w:sz="2" w:space="0" w:color="000000"/>
                    <w:right w:val="single" w:sz="2" w:space="0" w:color="000000"/>
                  </w:tcBorders>
                </w:tcPr>
                <w:p w14:paraId="4494B3E8" w14:textId="77777777" w:rsidR="00053D93" w:rsidRDefault="00260B75">
                  <w:pPr>
                    <w:ind w:left="25"/>
                    <w:jc w:val="center"/>
                  </w:pPr>
                  <w:r>
                    <w:rPr>
                      <w:rFonts w:ascii="Times New Roman" w:eastAsia="Times New Roman" w:hAnsi="Times New Roman" w:cs="Times New Roman"/>
                      <w:sz w:val="12"/>
                    </w:rPr>
                    <w:t>12111/2024</w:t>
                  </w:r>
                </w:p>
              </w:tc>
              <w:tc>
                <w:tcPr>
                  <w:tcW w:w="1058" w:type="dxa"/>
                  <w:tcBorders>
                    <w:top w:val="single" w:sz="2" w:space="0" w:color="000000"/>
                    <w:left w:val="single" w:sz="2" w:space="0" w:color="000000"/>
                    <w:bottom w:val="single" w:sz="2" w:space="0" w:color="000000"/>
                    <w:right w:val="nil"/>
                  </w:tcBorders>
                </w:tcPr>
                <w:p w14:paraId="17C6AAE4" w14:textId="77777777" w:rsidR="00053D93" w:rsidRDefault="00260B75">
                  <w:pPr>
                    <w:ind w:left="86"/>
                  </w:pPr>
                  <w:r>
                    <w:rPr>
                      <w:sz w:val="16"/>
                    </w:rPr>
                    <w:t>Norma</w:t>
                  </w:r>
                </w:p>
                <w:p w14:paraId="3B96BDFA" w14:textId="77777777" w:rsidR="00053D93" w:rsidRDefault="00260B75">
                  <w:pPr>
                    <w:ind w:left="86"/>
                  </w:pPr>
                  <w:r>
                    <w:rPr>
                      <w:sz w:val="14"/>
                    </w:rPr>
                    <w:t>Documentos</w:t>
                  </w:r>
                </w:p>
                <w:p w14:paraId="2102EECC" w14:textId="77777777" w:rsidR="00053D93" w:rsidRDefault="00260B75">
                  <w:pPr>
                    <w:ind w:left="86"/>
                  </w:pPr>
                  <w:r>
                    <w:rPr>
                      <w:sz w:val="14"/>
                    </w:rPr>
                    <w:t>Respa[do</w:t>
                  </w:r>
                </w:p>
              </w:tc>
              <w:tc>
                <w:tcPr>
                  <w:tcW w:w="266" w:type="dxa"/>
                  <w:tcBorders>
                    <w:top w:val="single" w:sz="2" w:space="0" w:color="000000"/>
                    <w:left w:val="nil"/>
                    <w:bottom w:val="single" w:sz="2" w:space="0" w:color="000000"/>
                    <w:right w:val="single" w:sz="2" w:space="0" w:color="000000"/>
                  </w:tcBorders>
                </w:tcPr>
                <w:p w14:paraId="088FCCD3" w14:textId="77777777" w:rsidR="00053D93" w:rsidRDefault="00260B75">
                  <w:pPr>
                    <w:ind w:left="65" w:hanging="65"/>
                  </w:pPr>
                  <w:r>
                    <w:rPr>
                      <w:rFonts w:ascii="Times New Roman" w:eastAsia="Times New Roman" w:hAnsi="Times New Roman" w:cs="Times New Roman"/>
                      <w:sz w:val="16"/>
                    </w:rPr>
                    <w:t xml:space="preserve">4.2 </w:t>
                  </w:r>
                  <w:r>
                    <w:rPr>
                      <w:sz w:val="16"/>
                    </w:rPr>
                    <w:t>de</w:t>
                  </w:r>
                </w:p>
              </w:tc>
              <w:tc>
                <w:tcPr>
                  <w:tcW w:w="1293" w:type="dxa"/>
                  <w:tcBorders>
                    <w:top w:val="single" w:sz="2" w:space="0" w:color="000000"/>
                    <w:left w:val="single" w:sz="2" w:space="0" w:color="000000"/>
                    <w:bottom w:val="single" w:sz="2" w:space="0" w:color="000000"/>
                    <w:right w:val="single" w:sz="2" w:space="0" w:color="000000"/>
                  </w:tcBorders>
                </w:tcPr>
                <w:p w14:paraId="0FB15D6C" w14:textId="77777777" w:rsidR="00053D93" w:rsidRDefault="00260B75">
                  <w:pPr>
                    <w:ind w:left="86" w:right="80"/>
                    <w:jc w:val="both"/>
                  </w:pPr>
                  <w:r>
                    <w:rPr>
                      <w:sz w:val="14"/>
                    </w:rPr>
                    <w:t>Falta de verificadón de tos documentos de respaldo dB modo que correspondan al paga realizado.</w:t>
                  </w:r>
                </w:p>
              </w:tc>
              <w:tc>
                <w:tcPr>
                  <w:tcW w:w="756" w:type="dxa"/>
                  <w:tcBorders>
                    <w:top w:val="single" w:sz="2" w:space="0" w:color="000000"/>
                    <w:left w:val="single" w:sz="2" w:space="0" w:color="000000"/>
                    <w:bottom w:val="single" w:sz="2" w:space="0" w:color="000000"/>
                    <w:right w:val="single" w:sz="2" w:space="0" w:color="000000"/>
                  </w:tcBorders>
                </w:tcPr>
                <w:p w14:paraId="2259B680" w14:textId="77777777" w:rsidR="00053D93" w:rsidRDefault="00260B75">
                  <w:pPr>
                    <w:ind w:left="2"/>
                    <w:jc w:val="center"/>
                  </w:pPr>
                  <w:r>
                    <w:rPr>
                      <w:sz w:val="12"/>
                    </w:rPr>
                    <w:t>Atendida</w:t>
                  </w:r>
                </w:p>
              </w:tc>
            </w:tr>
            <w:tr w:rsidR="00053D93" w14:paraId="74C0CE46" w14:textId="77777777">
              <w:trPr>
                <w:trHeight w:val="1761"/>
              </w:trPr>
              <w:tc>
                <w:tcPr>
                  <w:tcW w:w="321" w:type="dxa"/>
                  <w:tcBorders>
                    <w:top w:val="single" w:sz="2" w:space="0" w:color="000000"/>
                    <w:left w:val="single" w:sz="2" w:space="0" w:color="000000"/>
                    <w:bottom w:val="single" w:sz="2" w:space="0" w:color="000000"/>
                    <w:right w:val="single" w:sz="2" w:space="0" w:color="000000"/>
                  </w:tcBorders>
                </w:tcPr>
                <w:p w14:paraId="34674D07" w14:textId="77777777" w:rsidR="00053D93" w:rsidRDefault="00260B75">
                  <w:pPr>
                    <w:ind w:left="94"/>
                  </w:pPr>
                  <w:r>
                    <w:rPr>
                      <w:rFonts w:ascii="Times New Roman" w:eastAsia="Times New Roman" w:hAnsi="Times New Roman" w:cs="Times New Roman"/>
                      <w:sz w:val="14"/>
                    </w:rPr>
                    <w:t>6</w:t>
                  </w:r>
                </w:p>
              </w:tc>
              <w:tc>
                <w:tcPr>
                  <w:tcW w:w="3755" w:type="dxa"/>
                  <w:gridSpan w:val="3"/>
                  <w:tcBorders>
                    <w:top w:val="single" w:sz="2" w:space="0" w:color="000000"/>
                    <w:left w:val="single" w:sz="2" w:space="0" w:color="000000"/>
                    <w:bottom w:val="single" w:sz="2" w:space="0" w:color="000000"/>
                    <w:right w:val="single" w:sz="2" w:space="0" w:color="000000"/>
                  </w:tcBorders>
                </w:tcPr>
                <w:p w14:paraId="7A02E35A" w14:textId="77777777" w:rsidR="00053D93" w:rsidRDefault="00260B75">
                  <w:pPr>
                    <w:ind w:left="68"/>
                  </w:pPr>
                  <w:r>
                    <w:rPr>
                      <w:sz w:val="14"/>
                    </w:rPr>
                    <w:t>cec.0As.03-0037.AFC.MlNEDUC.DlGECADE.FREV.05-2024</w:t>
                  </w:r>
                </w:p>
              </w:tc>
              <w:tc>
                <w:tcPr>
                  <w:tcW w:w="958" w:type="dxa"/>
                  <w:tcBorders>
                    <w:top w:val="single" w:sz="2" w:space="0" w:color="000000"/>
                    <w:left w:val="single" w:sz="2" w:space="0" w:color="000000"/>
                    <w:bottom w:val="single" w:sz="2" w:space="0" w:color="000000"/>
                    <w:right w:val="single" w:sz="2" w:space="0" w:color="000000"/>
                  </w:tcBorders>
                </w:tcPr>
                <w:p w14:paraId="5BD8DD6B" w14:textId="77777777" w:rsidR="00053D93" w:rsidRDefault="00260B75">
                  <w:pPr>
                    <w:ind w:left="18"/>
                    <w:jc w:val="center"/>
                  </w:pPr>
                  <w:r>
                    <w:rPr>
                      <w:rFonts w:ascii="Times New Roman" w:eastAsia="Times New Roman" w:hAnsi="Times New Roman" w:cs="Times New Roman"/>
                      <w:sz w:val="12"/>
                    </w:rPr>
                    <w:t>25/11/2024</w:t>
                  </w:r>
                </w:p>
              </w:tc>
              <w:tc>
                <w:tcPr>
                  <w:tcW w:w="1325" w:type="dxa"/>
                  <w:gridSpan w:val="2"/>
                  <w:tcBorders>
                    <w:top w:val="single" w:sz="2" w:space="0" w:color="000000"/>
                    <w:left w:val="single" w:sz="2" w:space="0" w:color="000000"/>
                    <w:bottom w:val="single" w:sz="2" w:space="0" w:color="000000"/>
                    <w:right w:val="single" w:sz="2" w:space="0" w:color="000000"/>
                  </w:tcBorders>
                </w:tcPr>
                <w:p w14:paraId="29B3371A" w14:textId="77777777" w:rsidR="00053D93" w:rsidRDefault="00260B75">
                  <w:pPr>
                    <w:tabs>
                      <w:tab w:val="center" w:pos="288"/>
                      <w:tab w:val="center" w:pos="1152"/>
                    </w:tabs>
                    <w:spacing w:after="44"/>
                  </w:pPr>
                  <w:r>
                    <w:rPr>
                      <w:sz w:val="16"/>
                    </w:rPr>
                    <w:tab/>
                    <w:t>Norma</w:t>
                  </w:r>
                  <w:r>
                    <w:rPr>
                      <w:sz w:val="16"/>
                    </w:rPr>
                    <w:tab/>
                  </w:r>
                  <w:r>
                    <w:rPr>
                      <w:rFonts w:ascii="Times New Roman" w:eastAsia="Times New Roman" w:hAnsi="Times New Roman" w:cs="Times New Roman"/>
                      <w:sz w:val="16"/>
                    </w:rPr>
                    <w:t>4.2</w:t>
                  </w:r>
                </w:p>
                <w:p w14:paraId="5B55A321" w14:textId="77777777" w:rsidR="00053D93" w:rsidRDefault="00260B75">
                  <w:pPr>
                    <w:tabs>
                      <w:tab w:val="center" w:pos="432"/>
                      <w:tab w:val="center" w:pos="1184"/>
                    </w:tabs>
                    <w:spacing w:after="32"/>
                  </w:pPr>
                  <w:r>
                    <w:rPr>
                      <w:sz w:val="14"/>
                    </w:rPr>
                    <w:tab/>
                    <w:t>Documentas</w:t>
                  </w:r>
                  <w:r>
                    <w:rPr>
                      <w:sz w:val="14"/>
                    </w:rPr>
                    <w:tab/>
                    <w:t>de</w:t>
                  </w:r>
                </w:p>
                <w:p w14:paraId="7F601C26" w14:textId="77777777" w:rsidR="00053D93" w:rsidRDefault="00260B75">
                  <w:pPr>
                    <w:ind w:left="86"/>
                  </w:pPr>
                  <w:r>
                    <w:rPr>
                      <w:sz w:val="14"/>
                    </w:rPr>
                    <w:t>Respaldo</w:t>
                  </w:r>
                </w:p>
              </w:tc>
              <w:tc>
                <w:tcPr>
                  <w:tcW w:w="1293" w:type="dxa"/>
                  <w:tcBorders>
                    <w:top w:val="single" w:sz="2" w:space="0" w:color="000000"/>
                    <w:left w:val="single" w:sz="2" w:space="0" w:color="000000"/>
                    <w:bottom w:val="single" w:sz="2" w:space="0" w:color="000000"/>
                    <w:right w:val="single" w:sz="2" w:space="0" w:color="000000"/>
                  </w:tcBorders>
                </w:tcPr>
                <w:p w14:paraId="2524E4FA" w14:textId="77777777" w:rsidR="00053D93" w:rsidRDefault="00260B75">
                  <w:pPr>
                    <w:ind w:left="86" w:right="80"/>
                    <w:jc w:val="both"/>
                  </w:pPr>
                  <w:r>
                    <w:rPr>
                      <w:sz w:val="14"/>
                    </w:rPr>
                    <w:t>Documentos publicados Guatecompras distintos a 'os que conforman el CUR de</w:t>
                  </w:r>
                </w:p>
              </w:tc>
              <w:tc>
                <w:tcPr>
                  <w:tcW w:w="756" w:type="dxa"/>
                  <w:tcBorders>
                    <w:top w:val="single" w:sz="2" w:space="0" w:color="000000"/>
                    <w:left w:val="single" w:sz="2" w:space="0" w:color="000000"/>
                    <w:bottom w:val="single" w:sz="2" w:space="0" w:color="000000"/>
                    <w:right w:val="single" w:sz="2" w:space="0" w:color="000000"/>
                  </w:tcBorders>
                </w:tcPr>
                <w:p w14:paraId="13711860" w14:textId="77777777" w:rsidR="00053D93" w:rsidRDefault="00260B75">
                  <w:pPr>
                    <w:ind w:left="2"/>
                    <w:jc w:val="center"/>
                  </w:pPr>
                  <w:r>
                    <w:rPr>
                      <w:sz w:val="12"/>
                    </w:rPr>
                    <w:t>Atendida</w:t>
                  </w:r>
                </w:p>
              </w:tc>
            </w:tr>
            <w:tr w:rsidR="00053D93" w14:paraId="01C576C7" w14:textId="77777777">
              <w:trPr>
                <w:trHeight w:val="1822"/>
              </w:trPr>
              <w:tc>
                <w:tcPr>
                  <w:tcW w:w="321" w:type="dxa"/>
                  <w:tcBorders>
                    <w:top w:val="single" w:sz="2" w:space="0" w:color="000000"/>
                    <w:left w:val="single" w:sz="2" w:space="0" w:color="000000"/>
                    <w:bottom w:val="single" w:sz="2" w:space="0" w:color="000000"/>
                    <w:right w:val="single" w:sz="2" w:space="0" w:color="000000"/>
                  </w:tcBorders>
                </w:tcPr>
                <w:p w14:paraId="23B64480" w14:textId="77777777" w:rsidR="00053D93" w:rsidRDefault="00260B75">
                  <w:pPr>
                    <w:ind w:left="94"/>
                  </w:pPr>
                  <w:r>
                    <w:rPr>
                      <w:rFonts w:ascii="Times New Roman" w:eastAsia="Times New Roman" w:hAnsi="Times New Roman" w:cs="Times New Roman"/>
                      <w:sz w:val="14"/>
                    </w:rPr>
                    <w:lastRenderedPageBreak/>
                    <w:t>7</w:t>
                  </w:r>
                </w:p>
              </w:tc>
              <w:tc>
                <w:tcPr>
                  <w:tcW w:w="3755" w:type="dxa"/>
                  <w:gridSpan w:val="3"/>
                  <w:tcBorders>
                    <w:top w:val="single" w:sz="2" w:space="0" w:color="000000"/>
                    <w:left w:val="single" w:sz="2" w:space="0" w:color="000000"/>
                    <w:bottom w:val="single" w:sz="2" w:space="0" w:color="000000"/>
                    <w:right w:val="single" w:sz="2" w:space="0" w:color="000000"/>
                  </w:tcBorders>
                </w:tcPr>
                <w:p w14:paraId="226E99B9" w14:textId="77777777" w:rsidR="00053D93" w:rsidRDefault="00260B75">
                  <w:pPr>
                    <w:ind w:left="61"/>
                  </w:pPr>
                  <w:r>
                    <w:rPr>
                      <w:sz w:val="14"/>
                    </w:rPr>
                    <w:t>CGCOAS-03-0037.AFOMlNEDUC-DlGECADE-PREV-06-2024</w:t>
                  </w:r>
                </w:p>
              </w:tc>
              <w:tc>
                <w:tcPr>
                  <w:tcW w:w="958" w:type="dxa"/>
                  <w:tcBorders>
                    <w:top w:val="single" w:sz="2" w:space="0" w:color="000000"/>
                    <w:left w:val="single" w:sz="2" w:space="0" w:color="000000"/>
                    <w:bottom w:val="single" w:sz="2" w:space="0" w:color="000000"/>
                    <w:right w:val="single" w:sz="2" w:space="0" w:color="000000"/>
                  </w:tcBorders>
                </w:tcPr>
                <w:p w14:paraId="080C2308" w14:textId="77777777" w:rsidR="00053D93" w:rsidRDefault="00260B75">
                  <w:pPr>
                    <w:ind w:left="11"/>
                    <w:jc w:val="center"/>
                  </w:pPr>
                  <w:r>
                    <w:rPr>
                      <w:rFonts w:ascii="Times New Roman" w:eastAsia="Times New Roman" w:hAnsi="Times New Roman" w:cs="Times New Roman"/>
                      <w:sz w:val="12"/>
                    </w:rPr>
                    <w:t>26'1112024</w:t>
                  </w:r>
                </w:p>
              </w:tc>
              <w:tc>
                <w:tcPr>
                  <w:tcW w:w="1325" w:type="dxa"/>
                  <w:gridSpan w:val="2"/>
                  <w:tcBorders>
                    <w:top w:val="single" w:sz="2" w:space="0" w:color="000000"/>
                    <w:left w:val="single" w:sz="2" w:space="0" w:color="000000"/>
                    <w:bottom w:val="single" w:sz="2" w:space="0" w:color="000000"/>
                    <w:right w:val="single" w:sz="2" w:space="0" w:color="000000"/>
                  </w:tcBorders>
                </w:tcPr>
                <w:p w14:paraId="54A88EB2" w14:textId="77777777" w:rsidR="00053D93" w:rsidRDefault="00260B75">
                  <w:pPr>
                    <w:ind w:left="79"/>
                  </w:pPr>
                  <w:r>
                    <w:rPr>
                      <w:sz w:val="12"/>
                    </w:rPr>
                    <w:t>Norma 12.2 Norrnatjva (ntema</w:t>
                  </w:r>
                </w:p>
              </w:tc>
              <w:tc>
                <w:tcPr>
                  <w:tcW w:w="1293" w:type="dxa"/>
                  <w:tcBorders>
                    <w:top w:val="single" w:sz="2" w:space="0" w:color="000000"/>
                    <w:left w:val="single" w:sz="2" w:space="0" w:color="000000"/>
                    <w:bottom w:val="single" w:sz="2" w:space="0" w:color="000000"/>
                    <w:right w:val="single" w:sz="2" w:space="0" w:color="000000"/>
                  </w:tcBorders>
                </w:tcPr>
                <w:p w14:paraId="6177239F" w14:textId="77777777" w:rsidR="00053D93" w:rsidRDefault="00260B75">
                  <w:pPr>
                    <w:ind w:left="86"/>
                  </w:pPr>
                  <w:r>
                    <w:rPr>
                      <w:sz w:val="14"/>
                    </w:rPr>
                    <w:t>Falta de firmas en las de responsabllidad de activos filos.</w:t>
                  </w:r>
                </w:p>
              </w:tc>
              <w:tc>
                <w:tcPr>
                  <w:tcW w:w="756" w:type="dxa"/>
                  <w:tcBorders>
                    <w:top w:val="single" w:sz="2" w:space="0" w:color="000000"/>
                    <w:left w:val="single" w:sz="2" w:space="0" w:color="000000"/>
                    <w:bottom w:val="single" w:sz="2" w:space="0" w:color="000000"/>
                    <w:right w:val="single" w:sz="2" w:space="0" w:color="000000"/>
                  </w:tcBorders>
                </w:tcPr>
                <w:p w14:paraId="329E6640" w14:textId="77777777" w:rsidR="00053D93" w:rsidRDefault="00260B75">
                  <w:pPr>
                    <w:ind w:right="5"/>
                    <w:jc w:val="center"/>
                  </w:pPr>
                  <w:r>
                    <w:rPr>
                      <w:sz w:val="12"/>
                    </w:rPr>
                    <w:t>Atendida</w:t>
                  </w:r>
                </w:p>
              </w:tc>
            </w:tr>
            <w:tr w:rsidR="00053D93" w14:paraId="12F1FF1D" w14:textId="77777777">
              <w:trPr>
                <w:trHeight w:val="1706"/>
              </w:trPr>
              <w:tc>
                <w:tcPr>
                  <w:tcW w:w="321" w:type="dxa"/>
                  <w:tcBorders>
                    <w:top w:val="single" w:sz="2" w:space="0" w:color="000000"/>
                    <w:left w:val="single" w:sz="2" w:space="0" w:color="000000"/>
                    <w:bottom w:val="single" w:sz="2" w:space="0" w:color="000000"/>
                    <w:right w:val="single" w:sz="2" w:space="0" w:color="000000"/>
                  </w:tcBorders>
                </w:tcPr>
                <w:p w14:paraId="0F6A5563" w14:textId="77777777" w:rsidR="00053D93" w:rsidRDefault="00053D93"/>
              </w:tc>
              <w:tc>
                <w:tcPr>
                  <w:tcW w:w="3755" w:type="dxa"/>
                  <w:gridSpan w:val="3"/>
                  <w:tcBorders>
                    <w:top w:val="single" w:sz="2" w:space="0" w:color="000000"/>
                    <w:left w:val="single" w:sz="2" w:space="0" w:color="000000"/>
                    <w:bottom w:val="single" w:sz="2" w:space="0" w:color="000000"/>
                    <w:right w:val="single" w:sz="2" w:space="0" w:color="000000"/>
                  </w:tcBorders>
                </w:tcPr>
                <w:p w14:paraId="7D5A6711" w14:textId="77777777" w:rsidR="00053D93" w:rsidRDefault="00053D93"/>
              </w:tc>
              <w:tc>
                <w:tcPr>
                  <w:tcW w:w="958" w:type="dxa"/>
                  <w:tcBorders>
                    <w:top w:val="single" w:sz="2" w:space="0" w:color="000000"/>
                    <w:left w:val="single" w:sz="2" w:space="0" w:color="000000"/>
                    <w:bottom w:val="single" w:sz="2" w:space="0" w:color="000000"/>
                    <w:right w:val="single" w:sz="2" w:space="0" w:color="000000"/>
                  </w:tcBorders>
                </w:tcPr>
                <w:p w14:paraId="1030FF8C" w14:textId="77777777" w:rsidR="00053D93" w:rsidRDefault="00260B75">
                  <w:pPr>
                    <w:ind w:left="4"/>
                    <w:jc w:val="center"/>
                  </w:pPr>
                  <w:r>
                    <w:rPr>
                      <w:rFonts w:ascii="Times New Roman" w:eastAsia="Times New Roman" w:hAnsi="Times New Roman" w:cs="Times New Roman"/>
                      <w:sz w:val="10"/>
                    </w:rPr>
                    <w:t>26111 Q024</w:t>
                  </w:r>
                </w:p>
              </w:tc>
              <w:tc>
                <w:tcPr>
                  <w:tcW w:w="1325" w:type="dxa"/>
                  <w:gridSpan w:val="2"/>
                  <w:tcBorders>
                    <w:top w:val="single" w:sz="2" w:space="0" w:color="000000"/>
                    <w:left w:val="single" w:sz="2" w:space="0" w:color="000000"/>
                    <w:bottom w:val="single" w:sz="2" w:space="0" w:color="000000"/>
                    <w:right w:val="single" w:sz="2" w:space="0" w:color="000000"/>
                  </w:tcBorders>
                </w:tcPr>
                <w:p w14:paraId="42C867D0" w14:textId="77777777" w:rsidR="00053D93" w:rsidRDefault="00260B75">
                  <w:pPr>
                    <w:ind w:left="79"/>
                  </w:pPr>
                  <w:r>
                    <w:rPr>
                      <w:sz w:val="12"/>
                    </w:rPr>
                    <w:t>Norma 12.2 Normatjva Intema</w:t>
                  </w:r>
                </w:p>
              </w:tc>
              <w:tc>
                <w:tcPr>
                  <w:tcW w:w="1293" w:type="dxa"/>
                  <w:tcBorders>
                    <w:top w:val="single" w:sz="2" w:space="0" w:color="000000"/>
                    <w:left w:val="single" w:sz="2" w:space="0" w:color="000000"/>
                    <w:bottom w:val="single" w:sz="2" w:space="0" w:color="000000"/>
                    <w:right w:val="single" w:sz="2" w:space="0" w:color="000000"/>
                  </w:tcBorders>
                </w:tcPr>
                <w:p w14:paraId="1D437B1E" w14:textId="77777777" w:rsidR="00053D93" w:rsidRDefault="00260B75">
                  <w:pPr>
                    <w:ind w:left="79" w:firstLine="7"/>
                  </w:pPr>
                  <w:r>
                    <w:rPr>
                      <w:sz w:val="14"/>
                    </w:rPr>
                    <w:t>Falta de actualizadón de los registros en las tarjetas</w:t>
                  </w:r>
                  <w:r>
                    <w:rPr>
                      <w:sz w:val="14"/>
                    </w:rPr>
                    <w:tab/>
                    <w:t>de responsabilidad de activos filos.</w:t>
                  </w:r>
                </w:p>
              </w:tc>
              <w:tc>
                <w:tcPr>
                  <w:tcW w:w="756" w:type="dxa"/>
                  <w:tcBorders>
                    <w:top w:val="single" w:sz="2" w:space="0" w:color="000000"/>
                    <w:left w:val="single" w:sz="2" w:space="0" w:color="000000"/>
                    <w:bottom w:val="single" w:sz="2" w:space="0" w:color="000000"/>
                    <w:right w:val="single" w:sz="2" w:space="0" w:color="000000"/>
                  </w:tcBorders>
                </w:tcPr>
                <w:p w14:paraId="40D6FE99" w14:textId="77777777" w:rsidR="00053D93" w:rsidRDefault="00260B75">
                  <w:pPr>
                    <w:ind w:right="5"/>
                    <w:jc w:val="center"/>
                  </w:pPr>
                  <w:r>
                    <w:rPr>
                      <w:sz w:val="12"/>
                    </w:rPr>
                    <w:t>Atendida</w:t>
                  </w:r>
                </w:p>
              </w:tc>
            </w:tr>
            <w:tr w:rsidR="00053D93" w14:paraId="15ED739C" w14:textId="77777777">
              <w:trPr>
                <w:trHeight w:val="1764"/>
              </w:trPr>
              <w:tc>
                <w:tcPr>
                  <w:tcW w:w="321" w:type="dxa"/>
                  <w:tcBorders>
                    <w:top w:val="single" w:sz="2" w:space="0" w:color="000000"/>
                    <w:left w:val="single" w:sz="2" w:space="0" w:color="000000"/>
                    <w:bottom w:val="single" w:sz="2" w:space="0" w:color="000000"/>
                    <w:right w:val="single" w:sz="2" w:space="0" w:color="000000"/>
                  </w:tcBorders>
                </w:tcPr>
                <w:p w14:paraId="68D4B29B" w14:textId="77777777" w:rsidR="00053D93" w:rsidRDefault="00260B75">
                  <w:pPr>
                    <w:ind w:left="94"/>
                  </w:pPr>
                  <w:r>
                    <w:rPr>
                      <w:rFonts w:ascii="Times New Roman" w:eastAsia="Times New Roman" w:hAnsi="Times New Roman" w:cs="Times New Roman"/>
                      <w:sz w:val="12"/>
                    </w:rPr>
                    <w:t>9</w:t>
                  </w:r>
                </w:p>
              </w:tc>
              <w:tc>
                <w:tcPr>
                  <w:tcW w:w="3755" w:type="dxa"/>
                  <w:gridSpan w:val="3"/>
                  <w:tcBorders>
                    <w:top w:val="single" w:sz="2" w:space="0" w:color="000000"/>
                    <w:left w:val="single" w:sz="2" w:space="0" w:color="000000"/>
                    <w:bottom w:val="single" w:sz="2" w:space="0" w:color="000000"/>
                    <w:right w:val="single" w:sz="2" w:space="0" w:color="000000"/>
                  </w:tcBorders>
                </w:tcPr>
                <w:p w14:paraId="42D4D18E" w14:textId="77777777" w:rsidR="00053D93" w:rsidRDefault="00260B75">
                  <w:pPr>
                    <w:ind w:left="61"/>
                  </w:pPr>
                  <w:r>
                    <w:rPr>
                      <w:sz w:val="14"/>
                    </w:rPr>
                    <w:t>CGC-DAS.03-OC37.AFC-MlNEDUC-DlGECADE-PREV-08-2024</w:t>
                  </w:r>
                </w:p>
              </w:tc>
              <w:tc>
                <w:tcPr>
                  <w:tcW w:w="958" w:type="dxa"/>
                  <w:tcBorders>
                    <w:top w:val="single" w:sz="2" w:space="0" w:color="000000"/>
                    <w:left w:val="single" w:sz="2" w:space="0" w:color="000000"/>
                    <w:bottom w:val="single" w:sz="2" w:space="0" w:color="000000"/>
                    <w:right w:val="single" w:sz="2" w:space="0" w:color="000000"/>
                  </w:tcBorders>
                </w:tcPr>
                <w:p w14:paraId="797807FA" w14:textId="77777777" w:rsidR="00053D93" w:rsidRDefault="00260B75">
                  <w:pPr>
                    <w:ind w:left="4"/>
                    <w:jc w:val="center"/>
                  </w:pPr>
                  <w:r>
                    <w:rPr>
                      <w:rFonts w:ascii="Times New Roman" w:eastAsia="Times New Roman" w:hAnsi="Times New Roman" w:cs="Times New Roman"/>
                      <w:sz w:val="12"/>
                    </w:rPr>
                    <w:t>23111 t2024</w:t>
                  </w:r>
                </w:p>
              </w:tc>
              <w:tc>
                <w:tcPr>
                  <w:tcW w:w="1325" w:type="dxa"/>
                  <w:gridSpan w:val="2"/>
                  <w:tcBorders>
                    <w:top w:val="single" w:sz="2" w:space="0" w:color="000000"/>
                    <w:left w:val="single" w:sz="2" w:space="0" w:color="000000"/>
                    <w:bottom w:val="single" w:sz="2" w:space="0" w:color="000000"/>
                    <w:right w:val="single" w:sz="2" w:space="0" w:color="000000"/>
                  </w:tcBorders>
                </w:tcPr>
                <w:p w14:paraId="0CD70865" w14:textId="77777777" w:rsidR="00053D93" w:rsidRDefault="00260B75">
                  <w:pPr>
                    <w:ind w:left="79"/>
                  </w:pPr>
                  <w:r>
                    <w:rPr>
                      <w:sz w:val="12"/>
                    </w:rPr>
                    <w:t>Norma 12.2 Normativa Intema</w:t>
                  </w:r>
                </w:p>
              </w:tc>
              <w:tc>
                <w:tcPr>
                  <w:tcW w:w="1293" w:type="dxa"/>
                  <w:tcBorders>
                    <w:top w:val="single" w:sz="2" w:space="0" w:color="000000"/>
                    <w:left w:val="single" w:sz="2" w:space="0" w:color="000000"/>
                    <w:bottom w:val="single" w:sz="2" w:space="0" w:color="000000"/>
                    <w:right w:val="single" w:sz="2" w:space="0" w:color="000000"/>
                  </w:tcBorders>
                </w:tcPr>
                <w:p w14:paraId="3069C6DC" w14:textId="77777777" w:rsidR="00053D93" w:rsidRDefault="00260B75">
                  <w:pPr>
                    <w:spacing w:after="21" w:line="282" w:lineRule="auto"/>
                    <w:ind w:left="79" w:right="80" w:firstLine="7"/>
                    <w:jc w:val="both"/>
                  </w:pPr>
                  <w:r>
                    <w:rPr>
                      <w:sz w:val="14"/>
                    </w:rPr>
                    <w:t>Falta de actualizadón de tos reglstros de los bienes en el libro</w:t>
                  </w:r>
                </w:p>
                <w:p w14:paraId="64FEBA4A" w14:textId="77777777" w:rsidR="00053D93" w:rsidRDefault="00260B75">
                  <w:pPr>
                    <w:tabs>
                      <w:tab w:val="center" w:pos="382"/>
                      <w:tab w:val="center" w:pos="1145"/>
                    </w:tabs>
                    <w:spacing w:after="29"/>
                  </w:pPr>
                  <w:r>
                    <w:rPr>
                      <w:sz w:val="14"/>
                    </w:rPr>
                    <w:tab/>
                    <w:t>autorizado</w:t>
                  </w:r>
                  <w:r>
                    <w:rPr>
                      <w:sz w:val="14"/>
                    </w:rPr>
                    <w:tab/>
                    <w:t>de</w:t>
                  </w:r>
                </w:p>
                <w:p w14:paraId="1B3D96F4" w14:textId="77777777" w:rsidR="00053D93" w:rsidRDefault="00260B75">
                  <w:pPr>
                    <w:ind w:left="79"/>
                  </w:pPr>
                  <w:r>
                    <w:rPr>
                      <w:sz w:val="12"/>
                    </w:rPr>
                    <w:t>inventarios de activos</w:t>
                  </w:r>
                </w:p>
              </w:tc>
              <w:tc>
                <w:tcPr>
                  <w:tcW w:w="756" w:type="dxa"/>
                  <w:tcBorders>
                    <w:top w:val="single" w:sz="2" w:space="0" w:color="000000"/>
                    <w:left w:val="single" w:sz="2" w:space="0" w:color="000000"/>
                    <w:bottom w:val="single" w:sz="2" w:space="0" w:color="000000"/>
                    <w:right w:val="single" w:sz="2" w:space="0" w:color="000000"/>
                  </w:tcBorders>
                </w:tcPr>
                <w:p w14:paraId="24D4E1F6" w14:textId="77777777" w:rsidR="00053D93" w:rsidRDefault="00260B75">
                  <w:pPr>
                    <w:ind w:right="5"/>
                    <w:jc w:val="center"/>
                  </w:pPr>
                  <w:r>
                    <w:rPr>
                      <w:sz w:val="12"/>
                    </w:rPr>
                    <w:t>Atendida</w:t>
                  </w:r>
                </w:p>
              </w:tc>
            </w:tr>
            <w:tr w:rsidR="00053D93" w14:paraId="1A92F322" w14:textId="77777777">
              <w:trPr>
                <w:trHeight w:val="1767"/>
              </w:trPr>
              <w:tc>
                <w:tcPr>
                  <w:tcW w:w="321" w:type="dxa"/>
                  <w:tcBorders>
                    <w:top w:val="single" w:sz="2" w:space="0" w:color="000000"/>
                    <w:left w:val="single" w:sz="2" w:space="0" w:color="000000"/>
                    <w:bottom w:val="single" w:sz="2" w:space="0" w:color="000000"/>
                    <w:right w:val="single" w:sz="2" w:space="0" w:color="000000"/>
                  </w:tcBorders>
                </w:tcPr>
                <w:p w14:paraId="5178E7F6" w14:textId="77777777" w:rsidR="00053D93" w:rsidRDefault="00260B75">
                  <w:pPr>
                    <w:ind w:left="58"/>
                  </w:pPr>
                  <w:r>
                    <w:rPr>
                      <w:rFonts w:ascii="Times New Roman" w:eastAsia="Times New Roman" w:hAnsi="Times New Roman" w:cs="Times New Roman"/>
                      <w:sz w:val="14"/>
                    </w:rPr>
                    <w:t>10</w:t>
                  </w:r>
                </w:p>
              </w:tc>
              <w:tc>
                <w:tcPr>
                  <w:tcW w:w="3755" w:type="dxa"/>
                  <w:gridSpan w:val="3"/>
                  <w:tcBorders>
                    <w:top w:val="single" w:sz="2" w:space="0" w:color="000000"/>
                    <w:left w:val="single" w:sz="2" w:space="0" w:color="000000"/>
                    <w:bottom w:val="single" w:sz="2" w:space="0" w:color="000000"/>
                    <w:right w:val="single" w:sz="2" w:space="0" w:color="000000"/>
                  </w:tcBorders>
                </w:tcPr>
                <w:p w14:paraId="26679C5D" w14:textId="77777777" w:rsidR="00053D93" w:rsidRDefault="00260B75">
                  <w:pPr>
                    <w:ind w:left="54"/>
                  </w:pPr>
                  <w:r>
                    <w:rPr>
                      <w:sz w:val="14"/>
                    </w:rPr>
                    <w:t>CGC.DAS.03-0037.AFC.MlNEDUC.DlGECAOE-PREV-og.2024</w:t>
                  </w:r>
                </w:p>
              </w:tc>
              <w:tc>
                <w:tcPr>
                  <w:tcW w:w="958" w:type="dxa"/>
                  <w:tcBorders>
                    <w:top w:val="single" w:sz="2" w:space="0" w:color="000000"/>
                    <w:left w:val="single" w:sz="2" w:space="0" w:color="000000"/>
                    <w:bottom w:val="single" w:sz="2" w:space="0" w:color="000000"/>
                    <w:right w:val="single" w:sz="2" w:space="0" w:color="000000"/>
                  </w:tcBorders>
                </w:tcPr>
                <w:p w14:paraId="6FE66703" w14:textId="77777777" w:rsidR="00053D93" w:rsidRDefault="00260B75">
                  <w:pPr>
                    <w:ind w:right="4"/>
                    <w:jc w:val="center"/>
                  </w:pPr>
                  <w:r>
                    <w:rPr>
                      <w:rFonts w:ascii="Times New Roman" w:eastAsia="Times New Roman" w:hAnsi="Times New Roman" w:cs="Times New Roman"/>
                      <w:sz w:val="14"/>
                    </w:rPr>
                    <w:t>26'11/2024</w:t>
                  </w:r>
                </w:p>
              </w:tc>
              <w:tc>
                <w:tcPr>
                  <w:tcW w:w="1325" w:type="dxa"/>
                  <w:gridSpan w:val="2"/>
                  <w:tcBorders>
                    <w:top w:val="single" w:sz="2" w:space="0" w:color="000000"/>
                    <w:left w:val="single" w:sz="2" w:space="0" w:color="000000"/>
                    <w:bottom w:val="single" w:sz="2" w:space="0" w:color="000000"/>
                    <w:right w:val="single" w:sz="2" w:space="0" w:color="000000"/>
                  </w:tcBorders>
                </w:tcPr>
                <w:p w14:paraId="750AC603" w14:textId="77777777" w:rsidR="00053D93" w:rsidRDefault="00260B75">
                  <w:pPr>
                    <w:ind w:left="79"/>
                  </w:pPr>
                  <w:r>
                    <w:rPr>
                      <w:sz w:val="12"/>
                    </w:rPr>
                    <w:t>Norma 4.3 Archivo</w:t>
                  </w:r>
                </w:p>
              </w:tc>
              <w:tc>
                <w:tcPr>
                  <w:tcW w:w="1293" w:type="dxa"/>
                  <w:tcBorders>
                    <w:top w:val="single" w:sz="2" w:space="0" w:color="000000"/>
                    <w:left w:val="single" w:sz="2" w:space="0" w:color="000000"/>
                    <w:bottom w:val="single" w:sz="2" w:space="0" w:color="000000"/>
                    <w:right w:val="single" w:sz="2" w:space="0" w:color="000000"/>
                  </w:tcBorders>
                </w:tcPr>
                <w:p w14:paraId="395B5EE5" w14:textId="77777777" w:rsidR="00053D93" w:rsidRDefault="00260B75">
                  <w:pPr>
                    <w:ind w:left="79"/>
                  </w:pPr>
                  <w:r>
                    <w:rPr>
                      <w:sz w:val="14"/>
                    </w:rPr>
                    <w:t>Inadecuada conservaclón preservación de las tarjetas</w:t>
                  </w:r>
                  <w:r>
                    <w:rPr>
                      <w:sz w:val="14"/>
                    </w:rPr>
                    <w:tab/>
                    <w:t>de responsabilidad de activos fijos.</w:t>
                  </w:r>
                </w:p>
              </w:tc>
              <w:tc>
                <w:tcPr>
                  <w:tcW w:w="756" w:type="dxa"/>
                  <w:tcBorders>
                    <w:top w:val="single" w:sz="2" w:space="0" w:color="000000"/>
                    <w:left w:val="single" w:sz="2" w:space="0" w:color="000000"/>
                    <w:bottom w:val="single" w:sz="2" w:space="0" w:color="000000"/>
                    <w:right w:val="single" w:sz="2" w:space="0" w:color="000000"/>
                  </w:tcBorders>
                </w:tcPr>
                <w:p w14:paraId="01545023" w14:textId="77777777" w:rsidR="00053D93" w:rsidRDefault="00260B75">
                  <w:pPr>
                    <w:ind w:right="5"/>
                    <w:jc w:val="center"/>
                  </w:pPr>
                  <w:r>
                    <w:rPr>
                      <w:sz w:val="12"/>
                    </w:rPr>
                    <w:t>Atendida</w:t>
                  </w:r>
                </w:p>
              </w:tc>
            </w:tr>
            <w:tr w:rsidR="00053D93" w14:paraId="55972410" w14:textId="77777777">
              <w:trPr>
                <w:trHeight w:val="490"/>
              </w:trPr>
              <w:tc>
                <w:tcPr>
                  <w:tcW w:w="321" w:type="dxa"/>
                  <w:vMerge w:val="restart"/>
                  <w:tcBorders>
                    <w:top w:val="single" w:sz="2" w:space="0" w:color="000000"/>
                    <w:left w:val="single" w:sz="2" w:space="0" w:color="000000"/>
                    <w:bottom w:val="nil"/>
                    <w:right w:val="single" w:sz="2" w:space="0" w:color="000000"/>
                  </w:tcBorders>
                </w:tcPr>
                <w:p w14:paraId="12861D79" w14:textId="77777777" w:rsidR="00053D93" w:rsidRDefault="00260B75">
                  <w:pPr>
                    <w:spacing w:after="120"/>
                    <w:ind w:left="58"/>
                  </w:pPr>
                  <w:r>
                    <w:rPr>
                      <w:rFonts w:ascii="Times New Roman" w:eastAsia="Times New Roman" w:hAnsi="Times New Roman" w:cs="Times New Roman"/>
                      <w:sz w:val="14"/>
                    </w:rPr>
                    <w:t>11</w:t>
                  </w:r>
                </w:p>
                <w:p w14:paraId="3E2559D3" w14:textId="77777777" w:rsidR="00053D93" w:rsidRDefault="00260B75">
                  <w:pPr>
                    <w:ind w:left="37"/>
                  </w:pPr>
                  <w:r>
                    <w:rPr>
                      <w:noProof/>
                    </w:rPr>
                    <w:drawing>
                      <wp:inline distT="0" distB="0" distL="0" distR="0" wp14:anchorId="0C709AF7" wp14:editId="56F5AAB4">
                        <wp:extent cx="178308" cy="402336"/>
                        <wp:effectExtent l="0" t="0" r="0" b="0"/>
                        <wp:docPr id="206962" name="Picture 206962"/>
                        <wp:cNvGraphicFramePr/>
                        <a:graphic xmlns:a="http://schemas.openxmlformats.org/drawingml/2006/main">
                          <a:graphicData uri="http://schemas.openxmlformats.org/drawingml/2006/picture">
                            <pic:pic xmlns:pic="http://schemas.openxmlformats.org/drawingml/2006/picture">
                              <pic:nvPicPr>
                                <pic:cNvPr id="206962" name="Picture 206962"/>
                                <pic:cNvPicPr/>
                              </pic:nvPicPr>
                              <pic:blipFill>
                                <a:blip r:embed="rId278"/>
                                <a:stretch>
                                  <a:fillRect/>
                                </a:stretch>
                              </pic:blipFill>
                              <pic:spPr>
                                <a:xfrm>
                                  <a:off x="0" y="0"/>
                                  <a:ext cx="178308" cy="402336"/>
                                </a:xfrm>
                                <a:prstGeom prst="rect">
                                  <a:avLst/>
                                </a:prstGeom>
                              </pic:spPr>
                            </pic:pic>
                          </a:graphicData>
                        </a:graphic>
                      </wp:inline>
                    </w:drawing>
                  </w:r>
                </w:p>
              </w:tc>
              <w:tc>
                <w:tcPr>
                  <w:tcW w:w="3755" w:type="dxa"/>
                  <w:gridSpan w:val="3"/>
                  <w:tcBorders>
                    <w:top w:val="single" w:sz="2" w:space="0" w:color="000000"/>
                    <w:left w:val="single" w:sz="2" w:space="0" w:color="000000"/>
                    <w:bottom w:val="nil"/>
                    <w:right w:val="single" w:sz="2" w:space="0" w:color="000000"/>
                  </w:tcBorders>
                </w:tcPr>
                <w:p w14:paraId="39F3D1F3" w14:textId="77777777" w:rsidR="00053D93" w:rsidRDefault="00260B75">
                  <w:pPr>
                    <w:ind w:left="54"/>
                  </w:pPr>
                  <w:r>
                    <w:rPr>
                      <w:sz w:val="14"/>
                    </w:rPr>
                    <w:t>CGC.AFCODEGO.OP-002-20U</w:t>
                  </w:r>
                </w:p>
              </w:tc>
              <w:tc>
                <w:tcPr>
                  <w:tcW w:w="958" w:type="dxa"/>
                  <w:tcBorders>
                    <w:top w:val="single" w:sz="2" w:space="0" w:color="000000"/>
                    <w:left w:val="single" w:sz="2" w:space="0" w:color="000000"/>
                    <w:bottom w:val="single" w:sz="2" w:space="0" w:color="000000"/>
                    <w:right w:val="single" w:sz="2" w:space="0" w:color="000000"/>
                  </w:tcBorders>
                </w:tcPr>
                <w:p w14:paraId="59CA34C9" w14:textId="77777777" w:rsidR="00053D93" w:rsidRDefault="00260B75">
                  <w:pPr>
                    <w:ind w:right="4"/>
                    <w:jc w:val="center"/>
                  </w:pPr>
                  <w:r>
                    <w:rPr>
                      <w:rFonts w:ascii="Times New Roman" w:eastAsia="Times New Roman" w:hAnsi="Times New Roman" w:cs="Times New Roman"/>
                      <w:sz w:val="14"/>
                    </w:rPr>
                    <w:t>26'11/2024</w:t>
                  </w:r>
                </w:p>
              </w:tc>
              <w:tc>
                <w:tcPr>
                  <w:tcW w:w="1325" w:type="dxa"/>
                  <w:gridSpan w:val="2"/>
                  <w:tcBorders>
                    <w:top w:val="single" w:sz="2" w:space="0" w:color="000000"/>
                    <w:left w:val="single" w:sz="2" w:space="0" w:color="000000"/>
                    <w:bottom w:val="single" w:sz="2" w:space="0" w:color="000000"/>
                    <w:right w:val="single" w:sz="2" w:space="0" w:color="000000"/>
                  </w:tcBorders>
                </w:tcPr>
                <w:p w14:paraId="3D57F73C" w14:textId="77777777" w:rsidR="00053D93" w:rsidRDefault="00260B75">
                  <w:pPr>
                    <w:tabs>
                      <w:tab w:val="center" w:pos="281"/>
                      <w:tab w:val="center" w:pos="1148"/>
                    </w:tabs>
                    <w:spacing w:after="31"/>
                  </w:pPr>
                  <w:r>
                    <w:rPr>
                      <w:sz w:val="16"/>
                    </w:rPr>
                    <w:tab/>
                    <w:t>Norma</w:t>
                  </w:r>
                  <w:r>
                    <w:rPr>
                      <w:sz w:val="16"/>
                    </w:rPr>
                    <w:tab/>
                  </w:r>
                  <w:r>
                    <w:rPr>
                      <w:rFonts w:ascii="Times New Roman" w:eastAsia="Times New Roman" w:hAnsi="Times New Roman" w:cs="Times New Roman"/>
                      <w:sz w:val="16"/>
                    </w:rPr>
                    <w:t>2.3</w:t>
                  </w:r>
                </w:p>
                <w:p w14:paraId="72B48811" w14:textId="77777777" w:rsidR="00053D93" w:rsidRDefault="00260B75">
                  <w:pPr>
                    <w:tabs>
                      <w:tab w:val="center" w:pos="468"/>
                      <w:tab w:val="center" w:pos="1170"/>
                    </w:tabs>
                  </w:pPr>
                  <w:r>
                    <w:rPr>
                      <w:sz w:val="14"/>
                    </w:rPr>
                    <w:tab/>
                    <w:t>Administración</w:t>
                  </w:r>
                  <w:r>
                    <w:rPr>
                      <w:sz w:val="14"/>
                    </w:rPr>
                    <w:tab/>
                    <w:t>del</w:t>
                  </w:r>
                </w:p>
              </w:tc>
              <w:tc>
                <w:tcPr>
                  <w:tcW w:w="1293" w:type="dxa"/>
                  <w:tcBorders>
                    <w:top w:val="single" w:sz="2" w:space="0" w:color="000000"/>
                    <w:left w:val="single" w:sz="2" w:space="0" w:color="000000"/>
                    <w:bottom w:val="single" w:sz="2" w:space="0" w:color="000000"/>
                    <w:right w:val="single" w:sz="2" w:space="0" w:color="000000"/>
                  </w:tcBorders>
                </w:tcPr>
                <w:p w14:paraId="12D4FB20" w14:textId="77777777" w:rsidR="00053D93" w:rsidRDefault="00260B75">
                  <w:pPr>
                    <w:ind w:left="86"/>
                    <w:jc w:val="both"/>
                  </w:pPr>
                  <w:r>
                    <w:rPr>
                      <w:sz w:val="12"/>
                    </w:rPr>
                    <w:t>Expedientes de personal incompletos.</w:t>
                  </w:r>
                </w:p>
              </w:tc>
              <w:tc>
                <w:tcPr>
                  <w:tcW w:w="756" w:type="dxa"/>
                  <w:tcBorders>
                    <w:top w:val="single" w:sz="2" w:space="0" w:color="000000"/>
                    <w:left w:val="single" w:sz="2" w:space="0" w:color="000000"/>
                    <w:bottom w:val="single" w:sz="2" w:space="0" w:color="000000"/>
                    <w:right w:val="single" w:sz="2" w:space="0" w:color="000000"/>
                  </w:tcBorders>
                </w:tcPr>
                <w:p w14:paraId="0FB2B359" w14:textId="77777777" w:rsidR="00053D93" w:rsidRDefault="00260B75">
                  <w:pPr>
                    <w:ind w:left="2"/>
                    <w:jc w:val="center"/>
                  </w:pPr>
                  <w:r>
                    <w:rPr>
                      <w:sz w:val="12"/>
                    </w:rPr>
                    <w:t>Atendida</w:t>
                  </w:r>
                </w:p>
              </w:tc>
            </w:tr>
            <w:tr w:rsidR="00053D93" w14:paraId="15A9B7EF" w14:textId="77777777">
              <w:trPr>
                <w:trHeight w:val="590"/>
              </w:trPr>
              <w:tc>
                <w:tcPr>
                  <w:tcW w:w="0" w:type="auto"/>
                  <w:vMerge/>
                  <w:tcBorders>
                    <w:top w:val="nil"/>
                    <w:left w:val="single" w:sz="2" w:space="0" w:color="000000"/>
                    <w:bottom w:val="nil"/>
                    <w:right w:val="single" w:sz="2" w:space="0" w:color="000000"/>
                  </w:tcBorders>
                </w:tcPr>
                <w:p w14:paraId="224F65A3" w14:textId="77777777" w:rsidR="00053D93" w:rsidRDefault="00053D93"/>
              </w:tc>
              <w:tc>
                <w:tcPr>
                  <w:tcW w:w="293" w:type="dxa"/>
                  <w:tcBorders>
                    <w:top w:val="nil"/>
                    <w:left w:val="single" w:sz="2" w:space="0" w:color="000000"/>
                    <w:bottom w:val="nil"/>
                    <w:right w:val="single" w:sz="2" w:space="0" w:color="000000"/>
                  </w:tcBorders>
                </w:tcPr>
                <w:p w14:paraId="5AFAE04D" w14:textId="77777777" w:rsidR="00053D93" w:rsidRDefault="00260B75">
                  <w:pPr>
                    <w:ind w:left="-4"/>
                  </w:pPr>
                  <w:r>
                    <w:rPr>
                      <w:noProof/>
                    </w:rPr>
                    <w:drawing>
                      <wp:inline distT="0" distB="0" distL="0" distR="0" wp14:anchorId="29A2A557" wp14:editId="5FADCE4C">
                        <wp:extent cx="173736" cy="374903"/>
                        <wp:effectExtent l="0" t="0" r="0" b="0"/>
                        <wp:docPr id="206955" name="Picture 206955"/>
                        <wp:cNvGraphicFramePr/>
                        <a:graphic xmlns:a="http://schemas.openxmlformats.org/drawingml/2006/main">
                          <a:graphicData uri="http://schemas.openxmlformats.org/drawingml/2006/picture">
                            <pic:pic xmlns:pic="http://schemas.openxmlformats.org/drawingml/2006/picture">
                              <pic:nvPicPr>
                                <pic:cNvPr id="206955" name="Picture 206955"/>
                                <pic:cNvPicPr/>
                              </pic:nvPicPr>
                              <pic:blipFill>
                                <a:blip r:embed="rId279"/>
                                <a:stretch>
                                  <a:fillRect/>
                                </a:stretch>
                              </pic:blipFill>
                              <pic:spPr>
                                <a:xfrm>
                                  <a:off x="0" y="0"/>
                                  <a:ext cx="173736" cy="374903"/>
                                </a:xfrm>
                                <a:prstGeom prst="rect">
                                  <a:avLst/>
                                </a:prstGeom>
                              </pic:spPr>
                            </pic:pic>
                          </a:graphicData>
                        </a:graphic>
                      </wp:inline>
                    </w:drawing>
                  </w:r>
                </w:p>
              </w:tc>
              <w:tc>
                <w:tcPr>
                  <w:tcW w:w="179" w:type="dxa"/>
                  <w:tcBorders>
                    <w:top w:val="nil"/>
                    <w:left w:val="single" w:sz="2" w:space="0" w:color="000000"/>
                    <w:bottom w:val="nil"/>
                    <w:right w:val="single" w:sz="2" w:space="0" w:color="000000"/>
                  </w:tcBorders>
                </w:tcPr>
                <w:p w14:paraId="657BCBC1" w14:textId="77777777" w:rsidR="00053D93" w:rsidRDefault="00053D93"/>
              </w:tc>
              <w:tc>
                <w:tcPr>
                  <w:tcW w:w="5566" w:type="dxa"/>
                  <w:gridSpan w:val="4"/>
                  <w:tcBorders>
                    <w:top w:val="single" w:sz="2" w:space="0" w:color="000000"/>
                    <w:left w:val="single" w:sz="2" w:space="0" w:color="000000"/>
                    <w:bottom w:val="nil"/>
                    <w:right w:val="nil"/>
                  </w:tcBorders>
                </w:tcPr>
                <w:p w14:paraId="59448686" w14:textId="77777777" w:rsidR="00053D93" w:rsidRDefault="00260B75">
                  <w:pPr>
                    <w:ind w:left="1163"/>
                    <w:jc w:val="center"/>
                  </w:pPr>
                  <w:r>
                    <w:rPr>
                      <w:sz w:val="14"/>
                    </w:rPr>
                    <w:t>MINISTERIO DE EDUCACION</w:t>
                  </w:r>
                </w:p>
                <w:p w14:paraId="34E9B399" w14:textId="77777777" w:rsidR="00053D93" w:rsidRDefault="00260B75">
                  <w:pPr>
                    <w:ind w:left="2074"/>
                  </w:pPr>
                  <w:r>
                    <w:rPr>
                      <w:sz w:val="14"/>
                    </w:rPr>
                    <w:t>AUDITORfA FINANCIERA Y DE CUMPLIMIENTO</w:t>
                  </w:r>
                </w:p>
                <w:p w14:paraId="049BC429" w14:textId="77777777" w:rsidR="00053D93" w:rsidRDefault="00260B75">
                  <w:pPr>
                    <w:ind w:left="1742"/>
                  </w:pPr>
                  <w:r>
                    <w:rPr>
                      <w:sz w:val="14"/>
                    </w:rPr>
                    <w:t>PERIODO DEL 01 OE ENERO AL 31 DE DICIEMBRE DE 2024</w:t>
                  </w:r>
                </w:p>
              </w:tc>
              <w:tc>
                <w:tcPr>
                  <w:tcW w:w="1293" w:type="dxa"/>
                  <w:tcBorders>
                    <w:top w:val="single" w:sz="2" w:space="0" w:color="000000"/>
                    <w:left w:val="nil"/>
                    <w:bottom w:val="nil"/>
                    <w:right w:val="nil"/>
                  </w:tcBorders>
                </w:tcPr>
                <w:p w14:paraId="66C1089F" w14:textId="77777777" w:rsidR="00053D93" w:rsidRDefault="00053D93"/>
              </w:tc>
              <w:tc>
                <w:tcPr>
                  <w:tcW w:w="756" w:type="dxa"/>
                  <w:tcBorders>
                    <w:top w:val="single" w:sz="2" w:space="0" w:color="000000"/>
                    <w:left w:val="nil"/>
                    <w:bottom w:val="nil"/>
                    <w:right w:val="nil"/>
                  </w:tcBorders>
                </w:tcPr>
                <w:p w14:paraId="1674B0A7" w14:textId="77777777" w:rsidR="00053D93" w:rsidRDefault="00053D93"/>
              </w:tc>
            </w:tr>
          </w:tbl>
          <w:p w14:paraId="2B020752" w14:textId="77777777" w:rsidR="00053D93" w:rsidRDefault="00053D93"/>
        </w:tc>
      </w:tr>
      <w:tr w:rsidR="00053D93" w14:paraId="1807BC0C" w14:textId="77777777">
        <w:trPr>
          <w:trHeight w:val="814"/>
        </w:trPr>
        <w:tc>
          <w:tcPr>
            <w:tcW w:w="1724" w:type="dxa"/>
            <w:tcBorders>
              <w:top w:val="nil"/>
              <w:left w:val="nil"/>
              <w:bottom w:val="nil"/>
              <w:right w:val="nil"/>
            </w:tcBorders>
          </w:tcPr>
          <w:p w14:paraId="26C31BA2" w14:textId="77777777" w:rsidR="00053D93" w:rsidRDefault="00260B75">
            <w:pPr>
              <w:ind w:left="7"/>
            </w:pPr>
            <w:r>
              <w:rPr>
                <w:noProof/>
              </w:rPr>
              <w:drawing>
                <wp:inline distT="0" distB="0" distL="0" distR="0" wp14:anchorId="29D035B1" wp14:editId="33A89959">
                  <wp:extent cx="137160" cy="370332"/>
                  <wp:effectExtent l="0" t="0" r="0" b="0"/>
                  <wp:docPr id="207204" name="Picture 207204"/>
                  <wp:cNvGraphicFramePr/>
                  <a:graphic xmlns:a="http://schemas.openxmlformats.org/drawingml/2006/main">
                    <a:graphicData uri="http://schemas.openxmlformats.org/drawingml/2006/picture">
                      <pic:pic xmlns:pic="http://schemas.openxmlformats.org/drawingml/2006/picture">
                        <pic:nvPicPr>
                          <pic:cNvPr id="207204" name="Picture 207204"/>
                          <pic:cNvPicPr/>
                        </pic:nvPicPr>
                        <pic:blipFill>
                          <a:blip r:embed="rId280"/>
                          <a:stretch>
                            <a:fillRect/>
                          </a:stretch>
                        </pic:blipFill>
                        <pic:spPr>
                          <a:xfrm>
                            <a:off x="0" y="0"/>
                            <a:ext cx="137160" cy="370332"/>
                          </a:xfrm>
                          <a:prstGeom prst="rect">
                            <a:avLst/>
                          </a:prstGeom>
                        </pic:spPr>
                      </pic:pic>
                    </a:graphicData>
                  </a:graphic>
                </wp:inline>
              </w:drawing>
            </w:r>
          </w:p>
        </w:tc>
        <w:tc>
          <w:tcPr>
            <w:tcW w:w="0" w:type="auto"/>
            <w:vMerge/>
            <w:tcBorders>
              <w:top w:val="nil"/>
              <w:left w:val="nil"/>
              <w:bottom w:val="nil"/>
              <w:right w:val="nil"/>
            </w:tcBorders>
          </w:tcPr>
          <w:p w14:paraId="2607E5CD" w14:textId="77777777" w:rsidR="00053D93" w:rsidRDefault="00053D93"/>
        </w:tc>
      </w:tr>
      <w:tr w:rsidR="00053D93" w14:paraId="59F0287E" w14:textId="77777777">
        <w:trPr>
          <w:trHeight w:val="817"/>
        </w:trPr>
        <w:tc>
          <w:tcPr>
            <w:tcW w:w="1724" w:type="dxa"/>
            <w:tcBorders>
              <w:top w:val="nil"/>
              <w:left w:val="nil"/>
              <w:bottom w:val="nil"/>
              <w:right w:val="nil"/>
            </w:tcBorders>
          </w:tcPr>
          <w:p w14:paraId="7BC5D247" w14:textId="77777777" w:rsidR="00053D93" w:rsidRDefault="00260B75">
            <w:pPr>
              <w:ind w:left="7"/>
            </w:pPr>
            <w:r>
              <w:rPr>
                <w:noProof/>
              </w:rPr>
              <w:drawing>
                <wp:inline distT="0" distB="0" distL="0" distR="0" wp14:anchorId="660FC133" wp14:editId="0573A184">
                  <wp:extent cx="128016" cy="370332"/>
                  <wp:effectExtent l="0" t="0" r="0" b="0"/>
                  <wp:docPr id="207205" name="Picture 207205"/>
                  <wp:cNvGraphicFramePr/>
                  <a:graphic xmlns:a="http://schemas.openxmlformats.org/drawingml/2006/main">
                    <a:graphicData uri="http://schemas.openxmlformats.org/drawingml/2006/picture">
                      <pic:pic xmlns:pic="http://schemas.openxmlformats.org/drawingml/2006/picture">
                        <pic:nvPicPr>
                          <pic:cNvPr id="207205" name="Picture 207205"/>
                          <pic:cNvPicPr/>
                        </pic:nvPicPr>
                        <pic:blipFill>
                          <a:blip r:embed="rId281"/>
                          <a:stretch>
                            <a:fillRect/>
                          </a:stretch>
                        </pic:blipFill>
                        <pic:spPr>
                          <a:xfrm>
                            <a:off x="0" y="0"/>
                            <a:ext cx="128016" cy="370332"/>
                          </a:xfrm>
                          <a:prstGeom prst="rect">
                            <a:avLst/>
                          </a:prstGeom>
                        </pic:spPr>
                      </pic:pic>
                    </a:graphicData>
                  </a:graphic>
                </wp:inline>
              </w:drawing>
            </w:r>
          </w:p>
        </w:tc>
        <w:tc>
          <w:tcPr>
            <w:tcW w:w="0" w:type="auto"/>
            <w:vMerge/>
            <w:tcBorders>
              <w:top w:val="nil"/>
              <w:left w:val="nil"/>
              <w:bottom w:val="nil"/>
              <w:right w:val="nil"/>
            </w:tcBorders>
          </w:tcPr>
          <w:p w14:paraId="6F20D74A" w14:textId="77777777" w:rsidR="00053D93" w:rsidRDefault="00053D93"/>
        </w:tc>
      </w:tr>
      <w:tr w:rsidR="00053D93" w14:paraId="573FB61D" w14:textId="77777777">
        <w:trPr>
          <w:trHeight w:val="1616"/>
        </w:trPr>
        <w:tc>
          <w:tcPr>
            <w:tcW w:w="1724" w:type="dxa"/>
            <w:tcBorders>
              <w:top w:val="nil"/>
              <w:left w:val="nil"/>
              <w:bottom w:val="nil"/>
              <w:right w:val="nil"/>
            </w:tcBorders>
          </w:tcPr>
          <w:p w14:paraId="6D4E584A" w14:textId="77777777" w:rsidR="00053D93" w:rsidRDefault="00260B75">
            <w:pPr>
              <w:ind w:left="7"/>
            </w:pPr>
            <w:r>
              <w:rPr>
                <w:noProof/>
              </w:rPr>
              <w:drawing>
                <wp:inline distT="0" distB="0" distL="0" distR="0" wp14:anchorId="4007EC37" wp14:editId="0AFDDAB7">
                  <wp:extent cx="141732" cy="873252"/>
                  <wp:effectExtent l="0" t="0" r="0" b="0"/>
                  <wp:docPr id="207206" name="Picture 207206"/>
                  <wp:cNvGraphicFramePr/>
                  <a:graphic xmlns:a="http://schemas.openxmlformats.org/drawingml/2006/main">
                    <a:graphicData uri="http://schemas.openxmlformats.org/drawingml/2006/picture">
                      <pic:pic xmlns:pic="http://schemas.openxmlformats.org/drawingml/2006/picture">
                        <pic:nvPicPr>
                          <pic:cNvPr id="207206" name="Picture 207206"/>
                          <pic:cNvPicPr/>
                        </pic:nvPicPr>
                        <pic:blipFill>
                          <a:blip r:embed="rId282"/>
                          <a:stretch>
                            <a:fillRect/>
                          </a:stretch>
                        </pic:blipFill>
                        <pic:spPr>
                          <a:xfrm>
                            <a:off x="0" y="0"/>
                            <a:ext cx="141732" cy="873252"/>
                          </a:xfrm>
                          <a:prstGeom prst="rect">
                            <a:avLst/>
                          </a:prstGeom>
                        </pic:spPr>
                      </pic:pic>
                    </a:graphicData>
                  </a:graphic>
                </wp:inline>
              </w:drawing>
            </w:r>
          </w:p>
        </w:tc>
        <w:tc>
          <w:tcPr>
            <w:tcW w:w="0" w:type="auto"/>
            <w:vMerge/>
            <w:tcBorders>
              <w:top w:val="nil"/>
              <w:left w:val="nil"/>
              <w:bottom w:val="nil"/>
              <w:right w:val="nil"/>
            </w:tcBorders>
          </w:tcPr>
          <w:p w14:paraId="719E0C03" w14:textId="77777777" w:rsidR="00053D93" w:rsidRDefault="00053D93"/>
        </w:tc>
      </w:tr>
      <w:tr w:rsidR="00053D93" w14:paraId="5D4D05D3" w14:textId="77777777">
        <w:trPr>
          <w:trHeight w:val="814"/>
        </w:trPr>
        <w:tc>
          <w:tcPr>
            <w:tcW w:w="1724" w:type="dxa"/>
            <w:tcBorders>
              <w:top w:val="nil"/>
              <w:left w:val="nil"/>
              <w:bottom w:val="nil"/>
              <w:right w:val="nil"/>
            </w:tcBorders>
          </w:tcPr>
          <w:p w14:paraId="423A6D72" w14:textId="77777777" w:rsidR="00053D93" w:rsidRDefault="00260B75">
            <w:pPr>
              <w:ind w:left="7"/>
            </w:pPr>
            <w:r>
              <w:rPr>
                <w:noProof/>
              </w:rPr>
              <w:drawing>
                <wp:inline distT="0" distB="0" distL="0" distR="0" wp14:anchorId="47BC6510" wp14:editId="217DF4B3">
                  <wp:extent cx="123444" cy="361188"/>
                  <wp:effectExtent l="0" t="0" r="0" b="0"/>
                  <wp:docPr id="207207" name="Picture 207207"/>
                  <wp:cNvGraphicFramePr/>
                  <a:graphic xmlns:a="http://schemas.openxmlformats.org/drawingml/2006/main">
                    <a:graphicData uri="http://schemas.openxmlformats.org/drawingml/2006/picture">
                      <pic:pic xmlns:pic="http://schemas.openxmlformats.org/drawingml/2006/picture">
                        <pic:nvPicPr>
                          <pic:cNvPr id="207207" name="Picture 207207"/>
                          <pic:cNvPicPr/>
                        </pic:nvPicPr>
                        <pic:blipFill>
                          <a:blip r:embed="rId283"/>
                          <a:stretch>
                            <a:fillRect/>
                          </a:stretch>
                        </pic:blipFill>
                        <pic:spPr>
                          <a:xfrm>
                            <a:off x="0" y="0"/>
                            <a:ext cx="123444" cy="361188"/>
                          </a:xfrm>
                          <a:prstGeom prst="rect">
                            <a:avLst/>
                          </a:prstGeom>
                        </pic:spPr>
                      </pic:pic>
                    </a:graphicData>
                  </a:graphic>
                </wp:inline>
              </w:drawing>
            </w:r>
          </w:p>
        </w:tc>
        <w:tc>
          <w:tcPr>
            <w:tcW w:w="0" w:type="auto"/>
            <w:vMerge/>
            <w:tcBorders>
              <w:top w:val="nil"/>
              <w:left w:val="nil"/>
              <w:bottom w:val="nil"/>
              <w:right w:val="nil"/>
            </w:tcBorders>
          </w:tcPr>
          <w:p w14:paraId="5685925E" w14:textId="77777777" w:rsidR="00053D93" w:rsidRDefault="00053D93"/>
        </w:tc>
      </w:tr>
      <w:tr w:rsidR="00053D93" w14:paraId="3C9C45A7" w14:textId="77777777">
        <w:trPr>
          <w:trHeight w:val="814"/>
        </w:trPr>
        <w:tc>
          <w:tcPr>
            <w:tcW w:w="1724" w:type="dxa"/>
            <w:tcBorders>
              <w:top w:val="nil"/>
              <w:left w:val="nil"/>
              <w:bottom w:val="nil"/>
              <w:right w:val="nil"/>
            </w:tcBorders>
          </w:tcPr>
          <w:p w14:paraId="6EE55C25" w14:textId="77777777" w:rsidR="00053D93" w:rsidRDefault="00260B75">
            <w:pPr>
              <w:ind w:left="7"/>
            </w:pPr>
            <w:r>
              <w:rPr>
                <w:noProof/>
              </w:rPr>
              <w:drawing>
                <wp:inline distT="0" distB="0" distL="0" distR="0" wp14:anchorId="7821415A" wp14:editId="2ED52118">
                  <wp:extent cx="123444" cy="361188"/>
                  <wp:effectExtent l="0" t="0" r="0" b="0"/>
                  <wp:docPr id="207208" name="Picture 207208"/>
                  <wp:cNvGraphicFramePr/>
                  <a:graphic xmlns:a="http://schemas.openxmlformats.org/drawingml/2006/main">
                    <a:graphicData uri="http://schemas.openxmlformats.org/drawingml/2006/picture">
                      <pic:pic xmlns:pic="http://schemas.openxmlformats.org/drawingml/2006/picture">
                        <pic:nvPicPr>
                          <pic:cNvPr id="207208" name="Picture 207208"/>
                          <pic:cNvPicPr/>
                        </pic:nvPicPr>
                        <pic:blipFill>
                          <a:blip r:embed="rId284"/>
                          <a:stretch>
                            <a:fillRect/>
                          </a:stretch>
                        </pic:blipFill>
                        <pic:spPr>
                          <a:xfrm>
                            <a:off x="0" y="0"/>
                            <a:ext cx="123444" cy="361188"/>
                          </a:xfrm>
                          <a:prstGeom prst="rect">
                            <a:avLst/>
                          </a:prstGeom>
                        </pic:spPr>
                      </pic:pic>
                    </a:graphicData>
                  </a:graphic>
                </wp:inline>
              </w:drawing>
            </w:r>
          </w:p>
        </w:tc>
        <w:tc>
          <w:tcPr>
            <w:tcW w:w="0" w:type="auto"/>
            <w:vMerge/>
            <w:tcBorders>
              <w:top w:val="nil"/>
              <w:left w:val="nil"/>
              <w:bottom w:val="nil"/>
              <w:right w:val="nil"/>
            </w:tcBorders>
          </w:tcPr>
          <w:p w14:paraId="700CF83E" w14:textId="77777777" w:rsidR="00053D93" w:rsidRDefault="00053D93"/>
        </w:tc>
      </w:tr>
      <w:tr w:rsidR="00053D93" w14:paraId="38475473" w14:textId="77777777">
        <w:trPr>
          <w:trHeight w:val="814"/>
        </w:trPr>
        <w:tc>
          <w:tcPr>
            <w:tcW w:w="1724" w:type="dxa"/>
            <w:tcBorders>
              <w:top w:val="nil"/>
              <w:left w:val="nil"/>
              <w:bottom w:val="nil"/>
              <w:right w:val="nil"/>
            </w:tcBorders>
          </w:tcPr>
          <w:p w14:paraId="5228FD7F" w14:textId="77777777" w:rsidR="00053D93" w:rsidRDefault="00260B75">
            <w:pPr>
              <w:ind w:left="7"/>
            </w:pPr>
            <w:r>
              <w:rPr>
                <w:noProof/>
              </w:rPr>
              <w:drawing>
                <wp:inline distT="0" distB="0" distL="0" distR="0" wp14:anchorId="416351E3" wp14:editId="1A4945D6">
                  <wp:extent cx="118872" cy="361188"/>
                  <wp:effectExtent l="0" t="0" r="0" b="0"/>
                  <wp:docPr id="207209" name="Picture 207209"/>
                  <wp:cNvGraphicFramePr/>
                  <a:graphic xmlns:a="http://schemas.openxmlformats.org/drawingml/2006/main">
                    <a:graphicData uri="http://schemas.openxmlformats.org/drawingml/2006/picture">
                      <pic:pic xmlns:pic="http://schemas.openxmlformats.org/drawingml/2006/picture">
                        <pic:nvPicPr>
                          <pic:cNvPr id="207209" name="Picture 207209"/>
                          <pic:cNvPicPr/>
                        </pic:nvPicPr>
                        <pic:blipFill>
                          <a:blip r:embed="rId285"/>
                          <a:stretch>
                            <a:fillRect/>
                          </a:stretch>
                        </pic:blipFill>
                        <pic:spPr>
                          <a:xfrm>
                            <a:off x="0" y="0"/>
                            <a:ext cx="118872" cy="361188"/>
                          </a:xfrm>
                          <a:prstGeom prst="rect">
                            <a:avLst/>
                          </a:prstGeom>
                        </pic:spPr>
                      </pic:pic>
                    </a:graphicData>
                  </a:graphic>
                </wp:inline>
              </w:drawing>
            </w:r>
          </w:p>
        </w:tc>
        <w:tc>
          <w:tcPr>
            <w:tcW w:w="0" w:type="auto"/>
            <w:vMerge/>
            <w:tcBorders>
              <w:top w:val="nil"/>
              <w:left w:val="nil"/>
              <w:bottom w:val="nil"/>
              <w:right w:val="nil"/>
            </w:tcBorders>
          </w:tcPr>
          <w:p w14:paraId="0991C536" w14:textId="77777777" w:rsidR="00053D93" w:rsidRDefault="00053D93"/>
        </w:tc>
      </w:tr>
      <w:tr w:rsidR="00053D93" w14:paraId="66E4D362" w14:textId="77777777">
        <w:trPr>
          <w:trHeight w:val="814"/>
        </w:trPr>
        <w:tc>
          <w:tcPr>
            <w:tcW w:w="1724" w:type="dxa"/>
            <w:tcBorders>
              <w:top w:val="nil"/>
              <w:left w:val="nil"/>
              <w:bottom w:val="nil"/>
              <w:right w:val="nil"/>
            </w:tcBorders>
          </w:tcPr>
          <w:p w14:paraId="237FA395" w14:textId="77777777" w:rsidR="00053D93" w:rsidRDefault="00260B75">
            <w:pPr>
              <w:ind w:left="22"/>
            </w:pPr>
            <w:r>
              <w:rPr>
                <w:noProof/>
              </w:rPr>
              <w:lastRenderedPageBreak/>
              <w:drawing>
                <wp:inline distT="0" distB="0" distL="0" distR="0" wp14:anchorId="0808EA74" wp14:editId="59171119">
                  <wp:extent cx="118872" cy="361188"/>
                  <wp:effectExtent l="0" t="0" r="0" b="0"/>
                  <wp:docPr id="207210" name="Picture 207210"/>
                  <wp:cNvGraphicFramePr/>
                  <a:graphic xmlns:a="http://schemas.openxmlformats.org/drawingml/2006/main">
                    <a:graphicData uri="http://schemas.openxmlformats.org/drawingml/2006/picture">
                      <pic:pic xmlns:pic="http://schemas.openxmlformats.org/drawingml/2006/picture">
                        <pic:nvPicPr>
                          <pic:cNvPr id="207210" name="Picture 207210"/>
                          <pic:cNvPicPr/>
                        </pic:nvPicPr>
                        <pic:blipFill>
                          <a:blip r:embed="rId286"/>
                          <a:stretch>
                            <a:fillRect/>
                          </a:stretch>
                        </pic:blipFill>
                        <pic:spPr>
                          <a:xfrm>
                            <a:off x="0" y="0"/>
                            <a:ext cx="118872" cy="361188"/>
                          </a:xfrm>
                          <a:prstGeom prst="rect">
                            <a:avLst/>
                          </a:prstGeom>
                        </pic:spPr>
                      </pic:pic>
                    </a:graphicData>
                  </a:graphic>
                </wp:inline>
              </w:drawing>
            </w:r>
          </w:p>
        </w:tc>
        <w:tc>
          <w:tcPr>
            <w:tcW w:w="0" w:type="auto"/>
            <w:vMerge/>
            <w:tcBorders>
              <w:top w:val="nil"/>
              <w:left w:val="nil"/>
              <w:bottom w:val="nil"/>
              <w:right w:val="nil"/>
            </w:tcBorders>
          </w:tcPr>
          <w:p w14:paraId="72B362DE" w14:textId="77777777" w:rsidR="00053D93" w:rsidRDefault="00053D93"/>
        </w:tc>
      </w:tr>
      <w:tr w:rsidR="00053D93" w14:paraId="705ECAC3" w14:textId="77777777">
        <w:trPr>
          <w:trHeight w:val="810"/>
        </w:trPr>
        <w:tc>
          <w:tcPr>
            <w:tcW w:w="1724" w:type="dxa"/>
            <w:tcBorders>
              <w:top w:val="nil"/>
              <w:left w:val="nil"/>
              <w:bottom w:val="nil"/>
              <w:right w:val="nil"/>
            </w:tcBorders>
          </w:tcPr>
          <w:p w14:paraId="738E56CD" w14:textId="77777777" w:rsidR="00053D93" w:rsidRDefault="00260B75">
            <w:pPr>
              <w:ind w:left="22"/>
            </w:pPr>
            <w:r>
              <w:rPr>
                <w:noProof/>
              </w:rPr>
              <w:drawing>
                <wp:inline distT="0" distB="0" distL="0" distR="0" wp14:anchorId="64F7C552" wp14:editId="1059C172">
                  <wp:extent cx="137160" cy="361188"/>
                  <wp:effectExtent l="0" t="0" r="0" b="0"/>
                  <wp:docPr id="207211" name="Picture 207211"/>
                  <wp:cNvGraphicFramePr/>
                  <a:graphic xmlns:a="http://schemas.openxmlformats.org/drawingml/2006/main">
                    <a:graphicData uri="http://schemas.openxmlformats.org/drawingml/2006/picture">
                      <pic:pic xmlns:pic="http://schemas.openxmlformats.org/drawingml/2006/picture">
                        <pic:nvPicPr>
                          <pic:cNvPr id="207211" name="Picture 207211"/>
                          <pic:cNvPicPr/>
                        </pic:nvPicPr>
                        <pic:blipFill>
                          <a:blip r:embed="rId287"/>
                          <a:stretch>
                            <a:fillRect/>
                          </a:stretch>
                        </pic:blipFill>
                        <pic:spPr>
                          <a:xfrm>
                            <a:off x="0" y="0"/>
                            <a:ext cx="137160" cy="361188"/>
                          </a:xfrm>
                          <a:prstGeom prst="rect">
                            <a:avLst/>
                          </a:prstGeom>
                        </pic:spPr>
                      </pic:pic>
                    </a:graphicData>
                  </a:graphic>
                </wp:inline>
              </w:drawing>
            </w:r>
          </w:p>
        </w:tc>
        <w:tc>
          <w:tcPr>
            <w:tcW w:w="0" w:type="auto"/>
            <w:vMerge/>
            <w:tcBorders>
              <w:top w:val="nil"/>
              <w:left w:val="nil"/>
              <w:bottom w:val="nil"/>
              <w:right w:val="nil"/>
            </w:tcBorders>
          </w:tcPr>
          <w:p w14:paraId="36A4EE82" w14:textId="77777777" w:rsidR="00053D93" w:rsidRDefault="00053D93"/>
        </w:tc>
      </w:tr>
      <w:tr w:rsidR="00053D93" w14:paraId="3483F9F0" w14:textId="77777777">
        <w:trPr>
          <w:trHeight w:val="817"/>
        </w:trPr>
        <w:tc>
          <w:tcPr>
            <w:tcW w:w="1724" w:type="dxa"/>
            <w:tcBorders>
              <w:top w:val="nil"/>
              <w:left w:val="nil"/>
              <w:bottom w:val="nil"/>
              <w:right w:val="nil"/>
            </w:tcBorders>
          </w:tcPr>
          <w:p w14:paraId="7F959D5D" w14:textId="77777777" w:rsidR="00053D93" w:rsidRDefault="00260B75">
            <w:pPr>
              <w:ind w:left="14"/>
            </w:pPr>
            <w:r>
              <w:rPr>
                <w:noProof/>
              </w:rPr>
              <w:drawing>
                <wp:inline distT="0" distB="0" distL="0" distR="0" wp14:anchorId="5E5EE00B" wp14:editId="78C5F796">
                  <wp:extent cx="146304" cy="370332"/>
                  <wp:effectExtent l="0" t="0" r="0" b="0"/>
                  <wp:docPr id="207212" name="Picture 207212"/>
                  <wp:cNvGraphicFramePr/>
                  <a:graphic xmlns:a="http://schemas.openxmlformats.org/drawingml/2006/main">
                    <a:graphicData uri="http://schemas.openxmlformats.org/drawingml/2006/picture">
                      <pic:pic xmlns:pic="http://schemas.openxmlformats.org/drawingml/2006/picture">
                        <pic:nvPicPr>
                          <pic:cNvPr id="207212" name="Picture 207212"/>
                          <pic:cNvPicPr/>
                        </pic:nvPicPr>
                        <pic:blipFill>
                          <a:blip r:embed="rId288"/>
                          <a:stretch>
                            <a:fillRect/>
                          </a:stretch>
                        </pic:blipFill>
                        <pic:spPr>
                          <a:xfrm>
                            <a:off x="0" y="0"/>
                            <a:ext cx="146304" cy="370332"/>
                          </a:xfrm>
                          <a:prstGeom prst="rect">
                            <a:avLst/>
                          </a:prstGeom>
                        </pic:spPr>
                      </pic:pic>
                    </a:graphicData>
                  </a:graphic>
                </wp:inline>
              </w:drawing>
            </w:r>
          </w:p>
        </w:tc>
        <w:tc>
          <w:tcPr>
            <w:tcW w:w="0" w:type="auto"/>
            <w:vMerge/>
            <w:tcBorders>
              <w:top w:val="nil"/>
              <w:left w:val="nil"/>
              <w:bottom w:val="nil"/>
              <w:right w:val="nil"/>
            </w:tcBorders>
          </w:tcPr>
          <w:p w14:paraId="29C2E2CF" w14:textId="77777777" w:rsidR="00053D93" w:rsidRDefault="00053D93"/>
        </w:tc>
      </w:tr>
      <w:tr w:rsidR="00053D93" w14:paraId="5A22AB3A" w14:textId="77777777">
        <w:trPr>
          <w:trHeight w:val="810"/>
        </w:trPr>
        <w:tc>
          <w:tcPr>
            <w:tcW w:w="1724" w:type="dxa"/>
            <w:tcBorders>
              <w:top w:val="nil"/>
              <w:left w:val="nil"/>
              <w:bottom w:val="nil"/>
              <w:right w:val="nil"/>
            </w:tcBorders>
          </w:tcPr>
          <w:p w14:paraId="461844C1" w14:textId="77777777" w:rsidR="00053D93" w:rsidRDefault="00260B75">
            <w:pPr>
              <w:ind w:left="22"/>
            </w:pPr>
            <w:r>
              <w:rPr>
                <w:noProof/>
              </w:rPr>
              <w:drawing>
                <wp:inline distT="0" distB="0" distL="0" distR="0" wp14:anchorId="5DB81D6B" wp14:editId="7B4D694F">
                  <wp:extent cx="132588" cy="361189"/>
                  <wp:effectExtent l="0" t="0" r="0" b="0"/>
                  <wp:docPr id="207213" name="Picture 207213"/>
                  <wp:cNvGraphicFramePr/>
                  <a:graphic xmlns:a="http://schemas.openxmlformats.org/drawingml/2006/main">
                    <a:graphicData uri="http://schemas.openxmlformats.org/drawingml/2006/picture">
                      <pic:pic xmlns:pic="http://schemas.openxmlformats.org/drawingml/2006/picture">
                        <pic:nvPicPr>
                          <pic:cNvPr id="207213" name="Picture 207213"/>
                          <pic:cNvPicPr/>
                        </pic:nvPicPr>
                        <pic:blipFill>
                          <a:blip r:embed="rId289"/>
                          <a:stretch>
                            <a:fillRect/>
                          </a:stretch>
                        </pic:blipFill>
                        <pic:spPr>
                          <a:xfrm>
                            <a:off x="0" y="0"/>
                            <a:ext cx="132588" cy="361189"/>
                          </a:xfrm>
                          <a:prstGeom prst="rect">
                            <a:avLst/>
                          </a:prstGeom>
                        </pic:spPr>
                      </pic:pic>
                    </a:graphicData>
                  </a:graphic>
                </wp:inline>
              </w:drawing>
            </w:r>
          </w:p>
        </w:tc>
        <w:tc>
          <w:tcPr>
            <w:tcW w:w="0" w:type="auto"/>
            <w:vMerge/>
            <w:tcBorders>
              <w:top w:val="nil"/>
              <w:left w:val="nil"/>
              <w:bottom w:val="nil"/>
              <w:right w:val="nil"/>
            </w:tcBorders>
          </w:tcPr>
          <w:p w14:paraId="2C126E6A" w14:textId="77777777" w:rsidR="00053D93" w:rsidRDefault="00053D93"/>
        </w:tc>
      </w:tr>
      <w:tr w:rsidR="00053D93" w14:paraId="26397C3A" w14:textId="77777777">
        <w:trPr>
          <w:trHeight w:val="1267"/>
        </w:trPr>
        <w:tc>
          <w:tcPr>
            <w:tcW w:w="1724" w:type="dxa"/>
            <w:tcBorders>
              <w:top w:val="nil"/>
              <w:left w:val="nil"/>
              <w:bottom w:val="nil"/>
              <w:right w:val="nil"/>
            </w:tcBorders>
          </w:tcPr>
          <w:p w14:paraId="7F0FBE49" w14:textId="77777777" w:rsidR="00053D93" w:rsidRDefault="00260B75">
            <w:pPr>
              <w:ind w:left="29"/>
            </w:pPr>
            <w:r>
              <w:rPr>
                <w:noProof/>
              </w:rPr>
              <w:drawing>
                <wp:inline distT="0" distB="0" distL="0" distR="0" wp14:anchorId="63CDFAED" wp14:editId="7020406B">
                  <wp:extent cx="100584" cy="361188"/>
                  <wp:effectExtent l="0" t="0" r="0" b="0"/>
                  <wp:docPr id="207214" name="Picture 207214"/>
                  <wp:cNvGraphicFramePr/>
                  <a:graphic xmlns:a="http://schemas.openxmlformats.org/drawingml/2006/main">
                    <a:graphicData uri="http://schemas.openxmlformats.org/drawingml/2006/picture">
                      <pic:pic xmlns:pic="http://schemas.openxmlformats.org/drawingml/2006/picture">
                        <pic:nvPicPr>
                          <pic:cNvPr id="207214" name="Picture 207214"/>
                          <pic:cNvPicPr/>
                        </pic:nvPicPr>
                        <pic:blipFill>
                          <a:blip r:embed="rId290"/>
                          <a:stretch>
                            <a:fillRect/>
                          </a:stretch>
                        </pic:blipFill>
                        <pic:spPr>
                          <a:xfrm>
                            <a:off x="0" y="0"/>
                            <a:ext cx="100584" cy="361188"/>
                          </a:xfrm>
                          <a:prstGeom prst="rect">
                            <a:avLst/>
                          </a:prstGeom>
                        </pic:spPr>
                      </pic:pic>
                    </a:graphicData>
                  </a:graphic>
                </wp:inline>
              </w:drawing>
            </w:r>
          </w:p>
        </w:tc>
        <w:tc>
          <w:tcPr>
            <w:tcW w:w="0" w:type="auto"/>
            <w:vMerge/>
            <w:tcBorders>
              <w:top w:val="nil"/>
              <w:left w:val="nil"/>
              <w:bottom w:val="nil"/>
              <w:right w:val="nil"/>
            </w:tcBorders>
          </w:tcPr>
          <w:p w14:paraId="1A03FE24" w14:textId="77777777" w:rsidR="00053D93" w:rsidRDefault="00053D93"/>
        </w:tc>
      </w:tr>
      <w:tr w:rsidR="00053D93" w14:paraId="184114AC" w14:textId="77777777">
        <w:trPr>
          <w:trHeight w:val="3460"/>
        </w:trPr>
        <w:tc>
          <w:tcPr>
            <w:tcW w:w="1724" w:type="dxa"/>
            <w:tcBorders>
              <w:top w:val="nil"/>
              <w:left w:val="nil"/>
              <w:bottom w:val="nil"/>
              <w:right w:val="nil"/>
            </w:tcBorders>
          </w:tcPr>
          <w:p w14:paraId="065F8C0C" w14:textId="77777777" w:rsidR="00053D93" w:rsidRDefault="00260B75">
            <w:pPr>
              <w:ind w:left="29"/>
            </w:pPr>
            <w:r>
              <w:rPr>
                <w:noProof/>
              </w:rPr>
              <w:drawing>
                <wp:inline distT="0" distB="0" distL="0" distR="0" wp14:anchorId="20543F69" wp14:editId="5B116068">
                  <wp:extent cx="1074420" cy="1833372"/>
                  <wp:effectExtent l="0" t="0" r="0" b="0"/>
                  <wp:docPr id="2458201" name="Picture 2458201"/>
                  <wp:cNvGraphicFramePr/>
                  <a:graphic xmlns:a="http://schemas.openxmlformats.org/drawingml/2006/main">
                    <a:graphicData uri="http://schemas.openxmlformats.org/drawingml/2006/picture">
                      <pic:pic xmlns:pic="http://schemas.openxmlformats.org/drawingml/2006/picture">
                        <pic:nvPicPr>
                          <pic:cNvPr id="2458201" name="Picture 2458201"/>
                          <pic:cNvPicPr/>
                        </pic:nvPicPr>
                        <pic:blipFill>
                          <a:blip r:embed="rId291"/>
                          <a:stretch>
                            <a:fillRect/>
                          </a:stretch>
                        </pic:blipFill>
                        <pic:spPr>
                          <a:xfrm>
                            <a:off x="0" y="0"/>
                            <a:ext cx="1074420" cy="1833372"/>
                          </a:xfrm>
                          <a:prstGeom prst="rect">
                            <a:avLst/>
                          </a:prstGeom>
                        </pic:spPr>
                      </pic:pic>
                    </a:graphicData>
                  </a:graphic>
                </wp:inline>
              </w:drawing>
            </w:r>
          </w:p>
        </w:tc>
        <w:tc>
          <w:tcPr>
            <w:tcW w:w="0" w:type="auto"/>
            <w:vMerge/>
            <w:tcBorders>
              <w:top w:val="nil"/>
              <w:left w:val="nil"/>
              <w:bottom w:val="nil"/>
              <w:right w:val="nil"/>
            </w:tcBorders>
          </w:tcPr>
          <w:p w14:paraId="1A8C6D12" w14:textId="77777777" w:rsidR="00053D93" w:rsidRDefault="00053D93"/>
        </w:tc>
      </w:tr>
    </w:tbl>
    <w:p w14:paraId="13C2C8C1" w14:textId="77777777" w:rsidR="00053D93" w:rsidRDefault="00260B75">
      <w:pPr>
        <w:spacing w:after="231"/>
        <w:ind w:left="-281" w:right="10483"/>
      </w:pPr>
      <w:r>
        <w:rPr>
          <w:noProof/>
        </w:rPr>
        <w:drawing>
          <wp:anchor distT="0" distB="0" distL="114300" distR="114300" simplePos="0" relativeHeight="251799552" behindDoc="0" locked="0" layoutInCell="1" allowOverlap="0" wp14:anchorId="44AC57A3" wp14:editId="22AAEA99">
            <wp:simplePos x="0" y="0"/>
            <wp:positionH relativeFrom="page">
              <wp:posOffset>201168</wp:posOffset>
            </wp:positionH>
            <wp:positionV relativeFrom="page">
              <wp:posOffset>315468</wp:posOffset>
            </wp:positionV>
            <wp:extent cx="150876" cy="384048"/>
            <wp:effectExtent l="0" t="0" r="0" b="0"/>
            <wp:wrapTopAndBottom/>
            <wp:docPr id="212591" name="Picture 212591"/>
            <wp:cNvGraphicFramePr/>
            <a:graphic xmlns:a="http://schemas.openxmlformats.org/drawingml/2006/main">
              <a:graphicData uri="http://schemas.openxmlformats.org/drawingml/2006/picture">
                <pic:pic xmlns:pic="http://schemas.openxmlformats.org/drawingml/2006/picture">
                  <pic:nvPicPr>
                    <pic:cNvPr id="212591" name="Picture 212591"/>
                    <pic:cNvPicPr/>
                  </pic:nvPicPr>
                  <pic:blipFill>
                    <a:blip r:embed="rId292"/>
                    <a:stretch>
                      <a:fillRect/>
                    </a:stretch>
                  </pic:blipFill>
                  <pic:spPr>
                    <a:xfrm>
                      <a:off x="0" y="0"/>
                      <a:ext cx="150876" cy="384048"/>
                    </a:xfrm>
                    <a:prstGeom prst="rect">
                      <a:avLst/>
                    </a:prstGeom>
                  </pic:spPr>
                </pic:pic>
              </a:graphicData>
            </a:graphic>
          </wp:anchor>
        </w:drawing>
      </w:r>
    </w:p>
    <w:tbl>
      <w:tblPr>
        <w:tblStyle w:val="TableGrid"/>
        <w:tblW w:w="10149" w:type="dxa"/>
        <w:tblInd w:w="43" w:type="dxa"/>
        <w:tblLook w:val="04A0" w:firstRow="1" w:lastRow="0" w:firstColumn="1" w:lastColumn="0" w:noHBand="0" w:noVBand="1"/>
      </w:tblPr>
      <w:tblGrid>
        <w:gridCol w:w="1473"/>
        <w:gridCol w:w="8686"/>
      </w:tblGrid>
      <w:tr w:rsidR="00053D93" w14:paraId="0D4A3D03" w14:textId="77777777">
        <w:trPr>
          <w:trHeight w:val="798"/>
        </w:trPr>
        <w:tc>
          <w:tcPr>
            <w:tcW w:w="1779" w:type="dxa"/>
            <w:tcBorders>
              <w:top w:val="nil"/>
              <w:left w:val="nil"/>
              <w:bottom w:val="nil"/>
              <w:right w:val="nil"/>
            </w:tcBorders>
          </w:tcPr>
          <w:p w14:paraId="329C456B" w14:textId="77777777" w:rsidR="00053D93" w:rsidRDefault="00260B75">
            <w:r>
              <w:rPr>
                <w:noProof/>
              </w:rPr>
              <w:drawing>
                <wp:inline distT="0" distB="0" distL="0" distR="0" wp14:anchorId="11F6B605" wp14:editId="40B18767">
                  <wp:extent cx="146304" cy="374904"/>
                  <wp:effectExtent l="0" t="0" r="0" b="0"/>
                  <wp:docPr id="212573" name="Picture 212573"/>
                  <wp:cNvGraphicFramePr/>
                  <a:graphic xmlns:a="http://schemas.openxmlformats.org/drawingml/2006/main">
                    <a:graphicData uri="http://schemas.openxmlformats.org/drawingml/2006/picture">
                      <pic:pic xmlns:pic="http://schemas.openxmlformats.org/drawingml/2006/picture">
                        <pic:nvPicPr>
                          <pic:cNvPr id="212573" name="Picture 212573"/>
                          <pic:cNvPicPr/>
                        </pic:nvPicPr>
                        <pic:blipFill>
                          <a:blip r:embed="rId293"/>
                          <a:stretch>
                            <a:fillRect/>
                          </a:stretch>
                        </pic:blipFill>
                        <pic:spPr>
                          <a:xfrm>
                            <a:off x="0" y="0"/>
                            <a:ext cx="146304" cy="374904"/>
                          </a:xfrm>
                          <a:prstGeom prst="rect">
                            <a:avLst/>
                          </a:prstGeom>
                        </pic:spPr>
                      </pic:pic>
                    </a:graphicData>
                  </a:graphic>
                </wp:inline>
              </w:drawing>
            </w:r>
          </w:p>
        </w:tc>
        <w:tc>
          <w:tcPr>
            <w:tcW w:w="8370" w:type="dxa"/>
            <w:vMerge w:val="restart"/>
            <w:tcBorders>
              <w:top w:val="nil"/>
              <w:left w:val="nil"/>
              <w:bottom w:val="nil"/>
              <w:right w:val="nil"/>
            </w:tcBorders>
          </w:tcPr>
          <w:p w14:paraId="301FE147" w14:textId="77777777" w:rsidR="00053D93" w:rsidRDefault="00053D93">
            <w:pPr>
              <w:ind w:left="-2103" w:right="10473"/>
            </w:pPr>
          </w:p>
          <w:tbl>
            <w:tblPr>
              <w:tblStyle w:val="TableGrid"/>
              <w:tblW w:w="8370" w:type="dxa"/>
              <w:tblInd w:w="0" w:type="dxa"/>
              <w:tblLook w:val="04A0" w:firstRow="1" w:lastRow="0" w:firstColumn="1" w:lastColumn="0" w:noHBand="0" w:noVBand="1"/>
            </w:tblPr>
            <w:tblGrid>
              <w:gridCol w:w="335"/>
              <w:gridCol w:w="288"/>
              <w:gridCol w:w="177"/>
              <w:gridCol w:w="3243"/>
              <w:gridCol w:w="952"/>
              <w:gridCol w:w="1331"/>
              <w:gridCol w:w="1288"/>
              <w:gridCol w:w="756"/>
            </w:tblGrid>
            <w:tr w:rsidR="00053D93" w14:paraId="76FA9424" w14:textId="77777777">
              <w:trPr>
                <w:trHeight w:val="1299"/>
              </w:trPr>
              <w:tc>
                <w:tcPr>
                  <w:tcW w:w="330" w:type="dxa"/>
                  <w:tcBorders>
                    <w:top w:val="single" w:sz="2" w:space="0" w:color="000000"/>
                    <w:left w:val="single" w:sz="2" w:space="0" w:color="000000"/>
                    <w:bottom w:val="single" w:sz="2" w:space="0" w:color="000000"/>
                    <w:right w:val="single" w:sz="2" w:space="0" w:color="000000"/>
                  </w:tcBorders>
                </w:tcPr>
                <w:p w14:paraId="52123E9A" w14:textId="77777777" w:rsidR="00053D93" w:rsidRDefault="00053D93"/>
              </w:tc>
              <w:tc>
                <w:tcPr>
                  <w:tcW w:w="3713" w:type="dxa"/>
                  <w:gridSpan w:val="3"/>
                  <w:tcBorders>
                    <w:top w:val="single" w:sz="2" w:space="0" w:color="000000"/>
                    <w:left w:val="single" w:sz="2" w:space="0" w:color="000000"/>
                    <w:bottom w:val="single" w:sz="2" w:space="0" w:color="000000"/>
                    <w:right w:val="single" w:sz="2" w:space="0" w:color="000000"/>
                  </w:tcBorders>
                </w:tcPr>
                <w:p w14:paraId="20F883AC" w14:textId="77777777" w:rsidR="00053D93" w:rsidRDefault="00053D93"/>
              </w:tc>
              <w:tc>
                <w:tcPr>
                  <w:tcW w:w="953" w:type="dxa"/>
                  <w:tcBorders>
                    <w:top w:val="single" w:sz="2" w:space="0" w:color="000000"/>
                    <w:left w:val="single" w:sz="2" w:space="0" w:color="000000"/>
                    <w:bottom w:val="single" w:sz="2" w:space="0" w:color="000000"/>
                    <w:right w:val="single" w:sz="2" w:space="0" w:color="000000"/>
                  </w:tcBorders>
                </w:tcPr>
                <w:p w14:paraId="78E01C45" w14:textId="77777777" w:rsidR="00053D93" w:rsidRDefault="00053D93"/>
              </w:tc>
              <w:tc>
                <w:tcPr>
                  <w:tcW w:w="1332" w:type="dxa"/>
                  <w:tcBorders>
                    <w:top w:val="single" w:sz="2" w:space="0" w:color="000000"/>
                    <w:left w:val="single" w:sz="2" w:space="0" w:color="000000"/>
                    <w:bottom w:val="single" w:sz="2" w:space="0" w:color="000000"/>
                    <w:right w:val="single" w:sz="2" w:space="0" w:color="000000"/>
                  </w:tcBorders>
                </w:tcPr>
                <w:p w14:paraId="48A98B83" w14:textId="77777777" w:rsidR="00053D93" w:rsidRDefault="00260B75">
                  <w:pPr>
                    <w:ind w:left="58"/>
                  </w:pPr>
                  <w:r>
                    <w:rPr>
                      <w:sz w:val="14"/>
                    </w:rPr>
                    <w:t>Personal</w:t>
                  </w:r>
                </w:p>
              </w:tc>
              <w:tc>
                <w:tcPr>
                  <w:tcW w:w="1286" w:type="dxa"/>
                  <w:tcBorders>
                    <w:top w:val="single" w:sz="2" w:space="0" w:color="000000"/>
                    <w:left w:val="single" w:sz="2" w:space="0" w:color="000000"/>
                    <w:bottom w:val="single" w:sz="2" w:space="0" w:color="000000"/>
                    <w:right w:val="single" w:sz="2" w:space="0" w:color="000000"/>
                  </w:tcBorders>
                </w:tcPr>
                <w:p w14:paraId="2B59F197" w14:textId="77777777" w:rsidR="00053D93" w:rsidRDefault="00053D93"/>
              </w:tc>
              <w:tc>
                <w:tcPr>
                  <w:tcW w:w="756" w:type="dxa"/>
                  <w:tcBorders>
                    <w:top w:val="single" w:sz="2" w:space="0" w:color="000000"/>
                    <w:left w:val="single" w:sz="2" w:space="0" w:color="000000"/>
                    <w:bottom w:val="single" w:sz="2" w:space="0" w:color="000000"/>
                    <w:right w:val="single" w:sz="2" w:space="0" w:color="000000"/>
                  </w:tcBorders>
                </w:tcPr>
                <w:p w14:paraId="3495EEE5" w14:textId="77777777" w:rsidR="00053D93" w:rsidRDefault="00053D93"/>
              </w:tc>
            </w:tr>
            <w:tr w:rsidR="00053D93" w14:paraId="48C1591A" w14:textId="77777777">
              <w:trPr>
                <w:trHeight w:val="1776"/>
              </w:trPr>
              <w:tc>
                <w:tcPr>
                  <w:tcW w:w="330" w:type="dxa"/>
                  <w:tcBorders>
                    <w:top w:val="single" w:sz="2" w:space="0" w:color="000000"/>
                    <w:left w:val="single" w:sz="2" w:space="0" w:color="000000"/>
                    <w:bottom w:val="single" w:sz="2" w:space="0" w:color="000000"/>
                    <w:right w:val="single" w:sz="2" w:space="0" w:color="000000"/>
                  </w:tcBorders>
                </w:tcPr>
                <w:p w14:paraId="061217D3" w14:textId="77777777" w:rsidR="00053D93" w:rsidRDefault="00260B75">
                  <w:pPr>
                    <w:ind w:left="14"/>
                  </w:pPr>
                  <w:r>
                    <w:rPr>
                      <w:rFonts w:ascii="Times New Roman" w:eastAsia="Times New Roman" w:hAnsi="Times New Roman" w:cs="Times New Roman"/>
                      <w:sz w:val="12"/>
                    </w:rPr>
                    <w:t>12</w:t>
                  </w:r>
                </w:p>
              </w:tc>
              <w:tc>
                <w:tcPr>
                  <w:tcW w:w="3713" w:type="dxa"/>
                  <w:gridSpan w:val="3"/>
                  <w:tcBorders>
                    <w:top w:val="single" w:sz="2" w:space="0" w:color="000000"/>
                    <w:left w:val="single" w:sz="2" w:space="0" w:color="000000"/>
                    <w:bottom w:val="single" w:sz="2" w:space="0" w:color="000000"/>
                    <w:right w:val="single" w:sz="2" w:space="0" w:color="000000"/>
                  </w:tcBorders>
                </w:tcPr>
                <w:p w14:paraId="7F28BF1B" w14:textId="77777777" w:rsidR="00053D93" w:rsidRDefault="00260B75">
                  <w:pPr>
                    <w:tabs>
                      <w:tab w:val="center" w:pos="230"/>
                      <w:tab w:val="center" w:pos="1354"/>
                      <w:tab w:val="center" w:pos="2560"/>
                    </w:tabs>
                  </w:pPr>
                  <w:r>
                    <w:rPr>
                      <w:sz w:val="20"/>
                    </w:rPr>
                    <w:tab/>
                    <w:t>Oficio</w:t>
                  </w:r>
                  <w:r>
                    <w:rPr>
                      <w:sz w:val="20"/>
                    </w:rPr>
                    <w:tab/>
                    <w:t>No .</w:t>
                  </w:r>
                  <w:r>
                    <w:rPr>
                      <w:sz w:val="20"/>
                    </w:rPr>
                    <w:tab/>
                  </w:r>
                  <w:r>
                    <w:rPr>
                      <w:rFonts w:ascii="Times New Roman" w:eastAsia="Times New Roman" w:hAnsi="Times New Roman" w:cs="Times New Roman"/>
                      <w:sz w:val="20"/>
                    </w:rPr>
                    <w:t>0 1 - 2 0 24</w:t>
                  </w:r>
                </w:p>
                <w:p w14:paraId="59387D9F" w14:textId="77777777" w:rsidR="00053D93" w:rsidRDefault="00260B75">
                  <w:r>
                    <w:rPr>
                      <w:sz w:val="14"/>
                    </w:rPr>
                    <w:t>(DIDEOUC JALAPA)</w:t>
                  </w:r>
                </w:p>
              </w:tc>
              <w:tc>
                <w:tcPr>
                  <w:tcW w:w="953" w:type="dxa"/>
                  <w:tcBorders>
                    <w:top w:val="single" w:sz="2" w:space="0" w:color="000000"/>
                    <w:left w:val="single" w:sz="2" w:space="0" w:color="000000"/>
                    <w:bottom w:val="single" w:sz="2" w:space="0" w:color="000000"/>
                    <w:right w:val="single" w:sz="2" w:space="0" w:color="000000"/>
                  </w:tcBorders>
                </w:tcPr>
                <w:p w14:paraId="67381EB1" w14:textId="77777777" w:rsidR="00053D93" w:rsidRDefault="00260B75">
                  <w:pPr>
                    <w:ind w:right="41"/>
                    <w:jc w:val="center"/>
                  </w:pPr>
                  <w:r>
                    <w:rPr>
                      <w:rFonts w:ascii="Times New Roman" w:eastAsia="Times New Roman" w:hAnsi="Times New Roman" w:cs="Times New Roman"/>
                      <w:sz w:val="12"/>
                    </w:rPr>
                    <w:t>20'1112024</w:t>
                  </w:r>
                </w:p>
              </w:tc>
              <w:tc>
                <w:tcPr>
                  <w:tcW w:w="1332" w:type="dxa"/>
                  <w:tcBorders>
                    <w:top w:val="single" w:sz="2" w:space="0" w:color="000000"/>
                    <w:left w:val="single" w:sz="2" w:space="0" w:color="000000"/>
                    <w:bottom w:val="single" w:sz="2" w:space="0" w:color="000000"/>
                    <w:right w:val="single" w:sz="2" w:space="0" w:color="000000"/>
                  </w:tcBorders>
                </w:tcPr>
                <w:p w14:paraId="6EFE55A6" w14:textId="77777777" w:rsidR="00053D93" w:rsidRDefault="00260B75">
                  <w:pPr>
                    <w:spacing w:after="62"/>
                    <w:ind w:left="65"/>
                  </w:pPr>
                  <w:r>
                    <w:rPr>
                      <w:sz w:val="14"/>
                    </w:rPr>
                    <w:t>Norma 3.1. a) Diseño</w:t>
                  </w:r>
                </w:p>
                <w:p w14:paraId="2E28A9FB" w14:textId="77777777" w:rsidR="00053D93" w:rsidRDefault="00260B75">
                  <w:pPr>
                    <w:tabs>
                      <w:tab w:val="center" w:pos="324"/>
                      <w:tab w:val="center" w:pos="1163"/>
                    </w:tabs>
                    <w:spacing w:after="8"/>
                  </w:pPr>
                  <w:r>
                    <w:rPr>
                      <w:sz w:val="16"/>
                    </w:rPr>
                    <w:tab/>
                    <w:t>Eficiente</w:t>
                  </w:r>
                  <w:r>
                    <w:rPr>
                      <w:sz w:val="16"/>
                    </w:rPr>
                    <w:tab/>
                    <w:t>de</w:t>
                  </w:r>
                </w:p>
                <w:p w14:paraId="690DD294" w14:textId="77777777" w:rsidR="00053D93" w:rsidRDefault="00260B75">
                  <w:pPr>
                    <w:ind w:left="65"/>
                  </w:pPr>
                  <w:r>
                    <w:rPr>
                      <w:sz w:val="12"/>
                    </w:rPr>
                    <w:t>Procedimlentos</w:t>
                  </w:r>
                </w:p>
              </w:tc>
              <w:tc>
                <w:tcPr>
                  <w:tcW w:w="1286" w:type="dxa"/>
                  <w:tcBorders>
                    <w:top w:val="single" w:sz="2" w:space="0" w:color="000000"/>
                    <w:left w:val="single" w:sz="2" w:space="0" w:color="000000"/>
                    <w:bottom w:val="single" w:sz="2" w:space="0" w:color="000000"/>
                    <w:right w:val="single" w:sz="2" w:space="0" w:color="000000"/>
                  </w:tcBorders>
                </w:tcPr>
                <w:p w14:paraId="52547425" w14:textId="77777777" w:rsidR="00053D93" w:rsidRDefault="00260B75">
                  <w:pPr>
                    <w:spacing w:line="285" w:lineRule="auto"/>
                    <w:ind w:left="58" w:right="105"/>
                    <w:jc w:val="both"/>
                  </w:pPr>
                  <w:r>
                    <w:rPr>
                      <w:sz w:val="14"/>
                    </w:rPr>
                    <w:t>Falta de control en la adquisición de Insumos por pane de</w:t>
                  </w:r>
                </w:p>
                <w:p w14:paraId="0CF89D5D" w14:textId="77777777" w:rsidR="00053D93" w:rsidRDefault="00260B75">
                  <w:pPr>
                    <w:ind w:left="180"/>
                  </w:pPr>
                  <w:r>
                    <w:rPr>
                      <w:sz w:val="14"/>
                    </w:rPr>
                    <w:t>OPF.</w:t>
                  </w:r>
                </w:p>
              </w:tc>
              <w:tc>
                <w:tcPr>
                  <w:tcW w:w="756" w:type="dxa"/>
                  <w:tcBorders>
                    <w:top w:val="single" w:sz="2" w:space="0" w:color="000000"/>
                    <w:left w:val="single" w:sz="2" w:space="0" w:color="000000"/>
                    <w:bottom w:val="single" w:sz="2" w:space="0" w:color="000000"/>
                    <w:right w:val="single" w:sz="2" w:space="0" w:color="000000"/>
                  </w:tcBorders>
                </w:tcPr>
                <w:p w14:paraId="38B9BE2B" w14:textId="77777777" w:rsidR="00053D93" w:rsidRDefault="00260B75">
                  <w:pPr>
                    <w:ind w:left="125"/>
                  </w:pPr>
                  <w:r>
                    <w:rPr>
                      <w:sz w:val="12"/>
                    </w:rPr>
                    <w:t>Atendida</w:t>
                  </w:r>
                </w:p>
              </w:tc>
            </w:tr>
            <w:tr w:rsidR="00053D93" w14:paraId="032E2C3F" w14:textId="77777777">
              <w:trPr>
                <w:trHeight w:val="1764"/>
              </w:trPr>
              <w:tc>
                <w:tcPr>
                  <w:tcW w:w="330" w:type="dxa"/>
                  <w:tcBorders>
                    <w:top w:val="single" w:sz="2" w:space="0" w:color="000000"/>
                    <w:left w:val="single" w:sz="2" w:space="0" w:color="000000"/>
                    <w:bottom w:val="single" w:sz="2" w:space="0" w:color="000000"/>
                    <w:right w:val="single" w:sz="2" w:space="0" w:color="000000"/>
                  </w:tcBorders>
                </w:tcPr>
                <w:p w14:paraId="3C842059" w14:textId="77777777" w:rsidR="00053D93" w:rsidRDefault="00260B75">
                  <w:pPr>
                    <w:ind w:left="28"/>
                  </w:pPr>
                  <w:r>
                    <w:rPr>
                      <w:rFonts w:ascii="Times New Roman" w:eastAsia="Times New Roman" w:hAnsi="Times New Roman" w:cs="Times New Roman"/>
                      <w:sz w:val="14"/>
                    </w:rPr>
                    <w:lastRenderedPageBreak/>
                    <w:t>13</w:t>
                  </w:r>
                </w:p>
              </w:tc>
              <w:tc>
                <w:tcPr>
                  <w:tcW w:w="3713" w:type="dxa"/>
                  <w:gridSpan w:val="3"/>
                  <w:tcBorders>
                    <w:top w:val="single" w:sz="2" w:space="0" w:color="000000"/>
                    <w:left w:val="single" w:sz="2" w:space="0" w:color="000000"/>
                    <w:bottom w:val="single" w:sz="2" w:space="0" w:color="000000"/>
                    <w:right w:val="single" w:sz="2" w:space="0" w:color="000000"/>
                  </w:tcBorders>
                </w:tcPr>
                <w:p w14:paraId="33D9D15F" w14:textId="77777777" w:rsidR="00053D93" w:rsidRDefault="00260B75">
                  <w:pPr>
                    <w:ind w:left="7"/>
                  </w:pPr>
                  <w:r>
                    <w:rPr>
                      <w:sz w:val="14"/>
                    </w:rPr>
                    <w:t>CGC-DAS-03-D037.AFC-MlNEDUC.DlGEF-01-2024</w:t>
                  </w:r>
                </w:p>
              </w:tc>
              <w:tc>
                <w:tcPr>
                  <w:tcW w:w="953" w:type="dxa"/>
                  <w:tcBorders>
                    <w:top w:val="single" w:sz="2" w:space="0" w:color="000000"/>
                    <w:left w:val="single" w:sz="2" w:space="0" w:color="000000"/>
                    <w:bottom w:val="single" w:sz="2" w:space="0" w:color="000000"/>
                    <w:right w:val="single" w:sz="2" w:space="0" w:color="000000"/>
                  </w:tcBorders>
                </w:tcPr>
                <w:p w14:paraId="4641F796" w14:textId="77777777" w:rsidR="00053D93" w:rsidRDefault="00260B75">
                  <w:pPr>
                    <w:ind w:right="19"/>
                    <w:jc w:val="center"/>
                  </w:pPr>
                  <w:r>
                    <w:rPr>
                      <w:rFonts w:ascii="Times New Roman" w:eastAsia="Times New Roman" w:hAnsi="Times New Roman" w:cs="Times New Roman"/>
                      <w:sz w:val="14"/>
                    </w:rPr>
                    <w:t>511 1 '2024</w:t>
                  </w:r>
                </w:p>
              </w:tc>
              <w:tc>
                <w:tcPr>
                  <w:tcW w:w="1332" w:type="dxa"/>
                  <w:tcBorders>
                    <w:top w:val="single" w:sz="2" w:space="0" w:color="000000"/>
                    <w:left w:val="single" w:sz="2" w:space="0" w:color="000000"/>
                    <w:bottom w:val="single" w:sz="2" w:space="0" w:color="000000"/>
                    <w:right w:val="single" w:sz="2" w:space="0" w:color="000000"/>
                  </w:tcBorders>
                </w:tcPr>
                <w:p w14:paraId="6BC419AB" w14:textId="77777777" w:rsidR="00053D93" w:rsidRDefault="00260B75">
                  <w:pPr>
                    <w:ind w:left="72"/>
                    <w:jc w:val="both"/>
                  </w:pPr>
                  <w:r>
                    <w:rPr>
                      <w:sz w:val="12"/>
                    </w:rPr>
                    <w:t>Norma 4.4 Controf y Usa de Formularios</w:t>
                  </w:r>
                </w:p>
              </w:tc>
              <w:tc>
                <w:tcPr>
                  <w:tcW w:w="1286" w:type="dxa"/>
                  <w:tcBorders>
                    <w:top w:val="single" w:sz="2" w:space="0" w:color="000000"/>
                    <w:left w:val="single" w:sz="2" w:space="0" w:color="000000"/>
                    <w:bottom w:val="single" w:sz="2" w:space="0" w:color="000000"/>
                    <w:right w:val="single" w:sz="2" w:space="0" w:color="000000"/>
                  </w:tcBorders>
                </w:tcPr>
                <w:p w14:paraId="5D19AFB4" w14:textId="77777777" w:rsidR="00053D93" w:rsidRDefault="00260B75">
                  <w:pPr>
                    <w:ind w:left="65" w:right="98" w:firstLine="7"/>
                    <w:jc w:val="both"/>
                  </w:pPr>
                  <w:r>
                    <w:rPr>
                      <w:sz w:val="12"/>
                    </w:rPr>
                    <w:t>Falta de contrd en ta utilbzación de libro y fomes oficleles.</w:t>
                  </w:r>
                </w:p>
              </w:tc>
              <w:tc>
                <w:tcPr>
                  <w:tcW w:w="756" w:type="dxa"/>
                  <w:tcBorders>
                    <w:top w:val="single" w:sz="2" w:space="0" w:color="000000"/>
                    <w:left w:val="single" w:sz="2" w:space="0" w:color="000000"/>
                    <w:bottom w:val="single" w:sz="2" w:space="0" w:color="000000"/>
                    <w:right w:val="single" w:sz="2" w:space="0" w:color="000000"/>
                  </w:tcBorders>
                </w:tcPr>
                <w:p w14:paraId="3D766C86" w14:textId="77777777" w:rsidR="00053D93" w:rsidRDefault="00260B75">
                  <w:pPr>
                    <w:ind w:right="31"/>
                    <w:jc w:val="center"/>
                  </w:pPr>
                  <w:r>
                    <w:rPr>
                      <w:sz w:val="12"/>
                    </w:rPr>
                    <w:t>Atendida</w:t>
                  </w:r>
                </w:p>
              </w:tc>
            </w:tr>
            <w:tr w:rsidR="00053D93" w14:paraId="2ABDE1DC" w14:textId="77777777">
              <w:trPr>
                <w:trHeight w:val="1855"/>
              </w:trPr>
              <w:tc>
                <w:tcPr>
                  <w:tcW w:w="330" w:type="dxa"/>
                  <w:tcBorders>
                    <w:top w:val="single" w:sz="2" w:space="0" w:color="000000"/>
                    <w:left w:val="single" w:sz="2" w:space="0" w:color="000000"/>
                    <w:bottom w:val="single" w:sz="2" w:space="0" w:color="000000"/>
                    <w:right w:val="single" w:sz="2" w:space="0" w:color="000000"/>
                  </w:tcBorders>
                </w:tcPr>
                <w:p w14:paraId="1D641F04" w14:textId="77777777" w:rsidR="00053D93" w:rsidRDefault="00260B75">
                  <w:pPr>
                    <w:ind w:left="28"/>
                  </w:pPr>
                  <w:r>
                    <w:rPr>
                      <w:rFonts w:ascii="Times New Roman" w:eastAsia="Times New Roman" w:hAnsi="Times New Roman" w:cs="Times New Roman"/>
                      <w:sz w:val="14"/>
                    </w:rPr>
                    <w:t>14</w:t>
                  </w:r>
                </w:p>
              </w:tc>
              <w:tc>
                <w:tcPr>
                  <w:tcW w:w="3713" w:type="dxa"/>
                  <w:gridSpan w:val="3"/>
                  <w:tcBorders>
                    <w:top w:val="single" w:sz="2" w:space="0" w:color="000000"/>
                    <w:left w:val="single" w:sz="2" w:space="0" w:color="000000"/>
                    <w:bottom w:val="single" w:sz="2" w:space="0" w:color="000000"/>
                    <w:right w:val="single" w:sz="2" w:space="0" w:color="000000"/>
                  </w:tcBorders>
                </w:tcPr>
                <w:p w14:paraId="2506A3CA" w14:textId="77777777" w:rsidR="00053D93" w:rsidRDefault="00260B75">
                  <w:pPr>
                    <w:tabs>
                      <w:tab w:val="center" w:pos="198"/>
                      <w:tab w:val="center" w:pos="1195"/>
                      <w:tab w:val="center" w:pos="2102"/>
                      <w:tab w:val="center" w:pos="2927"/>
                    </w:tabs>
                    <w:spacing w:after="24"/>
                  </w:pPr>
                  <w:r>
                    <w:rPr>
                      <w:sz w:val="16"/>
                    </w:rPr>
                    <w:tab/>
                    <w:t>Oficio</w:t>
                  </w:r>
                  <w:r>
                    <w:rPr>
                      <w:sz w:val="16"/>
                    </w:rPr>
                    <w:tab/>
                    <w:t>Preventivo</w:t>
                  </w:r>
                  <w:r>
                    <w:rPr>
                      <w:sz w:val="16"/>
                    </w:rPr>
                    <w:tab/>
                    <w:t>No.</w:t>
                  </w:r>
                  <w:r>
                    <w:rPr>
                      <w:sz w:val="16"/>
                    </w:rPr>
                    <w:tab/>
                  </w:r>
                  <w:r>
                    <w:rPr>
                      <w:rFonts w:ascii="Times New Roman" w:eastAsia="Times New Roman" w:hAnsi="Times New Roman" w:cs="Times New Roman"/>
                      <w:sz w:val="16"/>
                    </w:rPr>
                    <w:t>01 -2024</w:t>
                  </w:r>
                </w:p>
                <w:p w14:paraId="0AC643DE" w14:textId="77777777" w:rsidR="00053D93" w:rsidRDefault="00260B75">
                  <w:pPr>
                    <w:ind w:left="14"/>
                  </w:pPr>
                  <w:r>
                    <w:rPr>
                      <w:sz w:val="14"/>
                    </w:rPr>
                    <w:t>(GUATE NORTE)</w:t>
                  </w:r>
                </w:p>
              </w:tc>
              <w:tc>
                <w:tcPr>
                  <w:tcW w:w="953" w:type="dxa"/>
                  <w:tcBorders>
                    <w:top w:val="single" w:sz="2" w:space="0" w:color="000000"/>
                    <w:left w:val="single" w:sz="2" w:space="0" w:color="000000"/>
                    <w:bottom w:val="single" w:sz="2" w:space="0" w:color="000000"/>
                    <w:right w:val="single" w:sz="2" w:space="0" w:color="000000"/>
                  </w:tcBorders>
                </w:tcPr>
                <w:p w14:paraId="73265A10" w14:textId="77777777" w:rsidR="00053D93" w:rsidRDefault="00260B75">
                  <w:pPr>
                    <w:ind w:right="4"/>
                    <w:jc w:val="center"/>
                  </w:pPr>
                  <w:r>
                    <w:rPr>
                      <w:rFonts w:ascii="Times New Roman" w:eastAsia="Times New Roman" w:hAnsi="Times New Roman" w:cs="Times New Roman"/>
                      <w:sz w:val="12"/>
                    </w:rPr>
                    <w:t>25111/2024</w:t>
                  </w:r>
                </w:p>
              </w:tc>
              <w:tc>
                <w:tcPr>
                  <w:tcW w:w="1332" w:type="dxa"/>
                  <w:tcBorders>
                    <w:top w:val="single" w:sz="2" w:space="0" w:color="000000"/>
                    <w:left w:val="single" w:sz="2" w:space="0" w:color="000000"/>
                    <w:bottom w:val="single" w:sz="2" w:space="0" w:color="000000"/>
                    <w:right w:val="single" w:sz="2" w:space="0" w:color="000000"/>
                  </w:tcBorders>
                </w:tcPr>
                <w:p w14:paraId="2159FD6B" w14:textId="77777777" w:rsidR="00053D93" w:rsidRDefault="00260B75">
                  <w:pPr>
                    <w:spacing w:after="9"/>
                    <w:ind w:left="79"/>
                  </w:pPr>
                  <w:r>
                    <w:rPr>
                      <w:sz w:val="14"/>
                    </w:rPr>
                    <w:t>Norrna 3.1. a) Diseho</w:t>
                  </w:r>
                </w:p>
                <w:p w14:paraId="145BB10A" w14:textId="77777777" w:rsidR="00053D93" w:rsidRDefault="00260B75">
                  <w:pPr>
                    <w:ind w:left="86"/>
                  </w:pPr>
                  <w:r>
                    <w:rPr>
                      <w:sz w:val="16"/>
                    </w:rPr>
                    <w:t>Eficiente</w:t>
                  </w:r>
                </w:p>
                <w:p w14:paraId="1CA384D5" w14:textId="77777777" w:rsidR="00053D93" w:rsidRDefault="00260B75">
                  <w:pPr>
                    <w:ind w:left="79"/>
                  </w:pPr>
                  <w:r>
                    <w:rPr>
                      <w:sz w:val="12"/>
                    </w:rPr>
                    <w:t>Procedimientos</w:t>
                  </w:r>
                </w:p>
              </w:tc>
              <w:tc>
                <w:tcPr>
                  <w:tcW w:w="1286" w:type="dxa"/>
                  <w:tcBorders>
                    <w:top w:val="single" w:sz="2" w:space="0" w:color="000000"/>
                    <w:left w:val="single" w:sz="2" w:space="0" w:color="000000"/>
                    <w:bottom w:val="single" w:sz="2" w:space="0" w:color="000000"/>
                    <w:right w:val="single" w:sz="2" w:space="0" w:color="000000"/>
                  </w:tcBorders>
                </w:tcPr>
                <w:p w14:paraId="482B9BB2" w14:textId="77777777" w:rsidR="00053D93" w:rsidRDefault="00260B75">
                  <w:pPr>
                    <w:spacing w:after="5"/>
                    <w:ind w:left="79"/>
                  </w:pPr>
                  <w:r>
                    <w:rPr>
                      <w:sz w:val="14"/>
                    </w:rPr>
                    <w:t>Falta de ectualfzadén</w:t>
                  </w:r>
                </w:p>
                <w:p w14:paraId="4C00DDF8" w14:textId="77777777" w:rsidR="00053D93" w:rsidRDefault="00260B75">
                  <w:pPr>
                    <w:spacing w:after="27" w:line="287" w:lineRule="auto"/>
                    <w:ind w:left="79" w:firstLine="662"/>
                  </w:pPr>
                  <w:r>
                    <w:rPr>
                      <w:sz w:val="14"/>
                    </w:rPr>
                    <w:t>formato RHU-FOR.29 para que</w:t>
                  </w:r>
                  <w:r>
                    <w:rPr>
                      <w:sz w:val="14"/>
                    </w:rPr>
                    <w:tab/>
                    <w:t>incluya</w:t>
                  </w:r>
                </w:p>
                <w:p w14:paraId="585058EC" w14:textId="77777777" w:rsidR="00053D93" w:rsidRDefault="00260B75">
                  <w:pPr>
                    <w:tabs>
                      <w:tab w:val="center" w:pos="328"/>
                      <w:tab w:val="center" w:pos="842"/>
                      <w:tab w:val="center" w:pos="1156"/>
                    </w:tabs>
                  </w:pPr>
                  <w:r>
                    <w:rPr>
                      <w:sz w:val="14"/>
                    </w:rPr>
                    <w:tab/>
                    <w:t>Finiquito</w:t>
                  </w:r>
                  <w:r>
                    <w:rPr>
                      <w:sz w:val="14"/>
                    </w:rPr>
                    <w:tab/>
                  </w:r>
                  <w:r>
                    <w:rPr>
                      <w:rFonts w:ascii="Times New Roman" w:eastAsia="Times New Roman" w:hAnsi="Times New Roman" w:cs="Times New Roman"/>
                      <w:sz w:val="14"/>
                    </w:rPr>
                    <w:t>Y</w:t>
                  </w:r>
                  <w:r>
                    <w:rPr>
                      <w:rFonts w:ascii="Times New Roman" w:eastAsia="Times New Roman" w:hAnsi="Times New Roman" w:cs="Times New Roman"/>
                      <w:sz w:val="14"/>
                    </w:rPr>
                    <w:tab/>
                  </w:r>
                  <w:r>
                    <w:rPr>
                      <w:sz w:val="14"/>
                    </w:rPr>
                    <w:t>la</w:t>
                  </w:r>
                </w:p>
                <w:p w14:paraId="1D7029CE" w14:textId="77777777" w:rsidR="00053D93" w:rsidRDefault="00260B75">
                  <w:pPr>
                    <w:spacing w:line="236" w:lineRule="auto"/>
                    <w:ind w:left="79"/>
                    <w:jc w:val="both"/>
                  </w:pPr>
                  <w:r>
                    <w:rPr>
                      <w:sz w:val="14"/>
                    </w:rPr>
                    <w:t>actualización anual de datos de IB CGC.</w:t>
                  </w:r>
                </w:p>
                <w:p w14:paraId="73009608" w14:textId="77777777" w:rsidR="00053D93" w:rsidRDefault="00260B75">
                  <w:pPr>
                    <w:ind w:left="79"/>
                  </w:pPr>
                  <w:r>
                    <w:rPr>
                      <w:sz w:val="12"/>
                    </w:rPr>
                    <w:t>dentro del l[stado de documentos obligatorios.</w:t>
                  </w:r>
                </w:p>
              </w:tc>
              <w:tc>
                <w:tcPr>
                  <w:tcW w:w="756" w:type="dxa"/>
                  <w:tcBorders>
                    <w:top w:val="single" w:sz="2" w:space="0" w:color="000000"/>
                    <w:left w:val="single" w:sz="2" w:space="0" w:color="000000"/>
                    <w:bottom w:val="single" w:sz="2" w:space="0" w:color="000000"/>
                    <w:right w:val="single" w:sz="2" w:space="0" w:color="000000"/>
                  </w:tcBorders>
                </w:tcPr>
                <w:p w14:paraId="788894B5" w14:textId="77777777" w:rsidR="00053D93" w:rsidRDefault="00260B75">
                  <w:pPr>
                    <w:ind w:right="16"/>
                    <w:jc w:val="center"/>
                  </w:pPr>
                  <w:r>
                    <w:rPr>
                      <w:sz w:val="12"/>
                    </w:rPr>
                    <w:t>Atendida</w:t>
                  </w:r>
                </w:p>
              </w:tc>
            </w:tr>
            <w:tr w:rsidR="00053D93" w14:paraId="46C97662" w14:textId="77777777">
              <w:trPr>
                <w:trHeight w:val="2108"/>
              </w:trPr>
              <w:tc>
                <w:tcPr>
                  <w:tcW w:w="330" w:type="dxa"/>
                  <w:tcBorders>
                    <w:top w:val="single" w:sz="2" w:space="0" w:color="000000"/>
                    <w:left w:val="single" w:sz="2" w:space="0" w:color="000000"/>
                    <w:bottom w:val="single" w:sz="2" w:space="0" w:color="000000"/>
                    <w:right w:val="single" w:sz="2" w:space="0" w:color="000000"/>
                  </w:tcBorders>
                </w:tcPr>
                <w:p w14:paraId="518E835F" w14:textId="77777777" w:rsidR="00053D93" w:rsidRDefault="00260B75">
                  <w:pPr>
                    <w:ind w:left="35"/>
                  </w:pPr>
                  <w:r>
                    <w:rPr>
                      <w:rFonts w:ascii="Times New Roman" w:eastAsia="Times New Roman" w:hAnsi="Times New Roman" w:cs="Times New Roman"/>
                      <w:sz w:val="14"/>
                    </w:rPr>
                    <w:t>15</w:t>
                  </w:r>
                </w:p>
              </w:tc>
              <w:tc>
                <w:tcPr>
                  <w:tcW w:w="3713" w:type="dxa"/>
                  <w:gridSpan w:val="3"/>
                  <w:tcBorders>
                    <w:top w:val="single" w:sz="2" w:space="0" w:color="000000"/>
                    <w:left w:val="single" w:sz="2" w:space="0" w:color="000000"/>
                    <w:bottom w:val="single" w:sz="2" w:space="0" w:color="000000"/>
                    <w:right w:val="single" w:sz="2" w:space="0" w:color="000000"/>
                  </w:tcBorders>
                </w:tcPr>
                <w:p w14:paraId="6352B42B" w14:textId="77777777" w:rsidR="00053D93" w:rsidRDefault="00260B75">
                  <w:pPr>
                    <w:ind w:left="22"/>
                  </w:pPr>
                  <w:r>
                    <w:rPr>
                      <w:sz w:val="14"/>
                    </w:rPr>
                    <w:t>CGC.AFC.MINEDUC-GUATE SUR.001-2024</w:t>
                  </w:r>
                </w:p>
              </w:tc>
              <w:tc>
                <w:tcPr>
                  <w:tcW w:w="953" w:type="dxa"/>
                  <w:tcBorders>
                    <w:top w:val="single" w:sz="2" w:space="0" w:color="000000"/>
                    <w:left w:val="single" w:sz="2" w:space="0" w:color="000000"/>
                    <w:bottom w:val="single" w:sz="2" w:space="0" w:color="000000"/>
                    <w:right w:val="single" w:sz="2" w:space="0" w:color="000000"/>
                  </w:tcBorders>
                </w:tcPr>
                <w:p w14:paraId="76D6BB98" w14:textId="77777777" w:rsidR="00053D93" w:rsidRDefault="00053D93"/>
              </w:tc>
              <w:tc>
                <w:tcPr>
                  <w:tcW w:w="1332" w:type="dxa"/>
                  <w:tcBorders>
                    <w:top w:val="single" w:sz="2" w:space="0" w:color="000000"/>
                    <w:left w:val="single" w:sz="2" w:space="0" w:color="000000"/>
                    <w:bottom w:val="single" w:sz="2" w:space="0" w:color="000000"/>
                    <w:right w:val="single" w:sz="2" w:space="0" w:color="000000"/>
                  </w:tcBorders>
                </w:tcPr>
                <w:p w14:paraId="26E7BE97" w14:textId="77777777" w:rsidR="00053D93" w:rsidRDefault="00260B75">
                  <w:pPr>
                    <w:tabs>
                      <w:tab w:val="center" w:pos="292"/>
                      <w:tab w:val="center" w:pos="1159"/>
                    </w:tabs>
                    <w:spacing w:after="7"/>
                  </w:pPr>
                  <w:r>
                    <w:rPr>
                      <w:sz w:val="16"/>
                    </w:rPr>
                    <w:tab/>
                    <w:t>Norma</w:t>
                  </w:r>
                  <w:r>
                    <w:rPr>
                      <w:sz w:val="16"/>
                    </w:rPr>
                    <w:tab/>
                  </w:r>
                  <w:r>
                    <w:rPr>
                      <w:rFonts w:ascii="Times New Roman" w:eastAsia="Times New Roman" w:hAnsi="Times New Roman" w:cs="Times New Roman"/>
                      <w:sz w:val="16"/>
                    </w:rPr>
                    <w:t>8.6</w:t>
                  </w:r>
                </w:p>
                <w:p w14:paraId="238770D0" w14:textId="77777777" w:rsidR="00053D93" w:rsidRDefault="00260B75">
                  <w:pPr>
                    <w:spacing w:after="5"/>
                    <w:ind w:left="86"/>
                  </w:pPr>
                  <w:r>
                    <w:rPr>
                      <w:sz w:val="14"/>
                    </w:rPr>
                    <w:t>Conciliación de Saldos</w:t>
                  </w:r>
                </w:p>
                <w:p w14:paraId="1DFF99C1" w14:textId="77777777" w:rsidR="00053D93" w:rsidRDefault="00260B75">
                  <w:pPr>
                    <w:ind w:left="94"/>
                  </w:pPr>
                  <w:r>
                    <w:rPr>
                      <w:sz w:val="14"/>
                    </w:rPr>
                    <w:t>Bancarios</w:t>
                  </w:r>
                </w:p>
              </w:tc>
              <w:tc>
                <w:tcPr>
                  <w:tcW w:w="1286" w:type="dxa"/>
                  <w:tcBorders>
                    <w:top w:val="single" w:sz="2" w:space="0" w:color="000000"/>
                    <w:left w:val="single" w:sz="2" w:space="0" w:color="000000"/>
                    <w:bottom w:val="single" w:sz="2" w:space="0" w:color="000000"/>
                    <w:right w:val="single" w:sz="2" w:space="0" w:color="000000"/>
                  </w:tcBorders>
                </w:tcPr>
                <w:p w14:paraId="71BA51CF" w14:textId="77777777" w:rsidR="00053D93" w:rsidRDefault="00260B75">
                  <w:pPr>
                    <w:spacing w:line="269" w:lineRule="auto"/>
                    <w:ind w:left="86" w:right="77"/>
                    <w:jc w:val="both"/>
                  </w:pPr>
                  <w:r>
                    <w:rPr>
                      <w:sz w:val="14"/>
                    </w:rPr>
                    <w:t>Falta de registro adecuada de las operaciones contables</w:t>
                  </w:r>
                </w:p>
                <w:p w14:paraId="13E16418" w14:textId="77777777" w:rsidR="00053D93" w:rsidRDefault="00260B75">
                  <w:pPr>
                    <w:spacing w:line="326" w:lineRule="auto"/>
                    <w:ind w:left="86" w:hanging="7"/>
                  </w:pPr>
                  <w:r>
                    <w:rPr>
                      <w:sz w:val="14"/>
                    </w:rPr>
                    <w:t>"nancieras en los libros oficiales del estableclmiento</w:t>
                  </w:r>
                </w:p>
                <w:p w14:paraId="48C9A3CA" w14:textId="77777777" w:rsidR="00053D93" w:rsidRDefault="00260B75">
                  <w:pPr>
                    <w:spacing w:line="264" w:lineRule="auto"/>
                    <w:ind w:left="86" w:right="69"/>
                    <w:jc w:val="both"/>
                  </w:pPr>
                  <w:r>
                    <w:rPr>
                      <w:sz w:val="12"/>
                    </w:rPr>
                    <w:t>EOUM Asentamiento Unidos por la Paz. espec(ficamente tos llbros de Caja y</w:t>
                  </w:r>
                </w:p>
                <w:p w14:paraId="7A9D69A0" w14:textId="77777777" w:rsidR="00053D93" w:rsidRDefault="00260B75">
                  <w:pPr>
                    <w:ind w:left="94"/>
                  </w:pPr>
                  <w:r>
                    <w:rPr>
                      <w:sz w:val="14"/>
                    </w:rPr>
                    <w:t>Bancos.</w:t>
                  </w:r>
                </w:p>
              </w:tc>
              <w:tc>
                <w:tcPr>
                  <w:tcW w:w="756" w:type="dxa"/>
                  <w:tcBorders>
                    <w:top w:val="single" w:sz="2" w:space="0" w:color="000000"/>
                    <w:left w:val="single" w:sz="2" w:space="0" w:color="000000"/>
                    <w:bottom w:val="single" w:sz="2" w:space="0" w:color="000000"/>
                    <w:right w:val="single" w:sz="2" w:space="0" w:color="000000"/>
                  </w:tcBorders>
                </w:tcPr>
                <w:p w14:paraId="03EA18E3" w14:textId="77777777" w:rsidR="00053D93" w:rsidRDefault="00260B75">
                  <w:pPr>
                    <w:ind w:right="2"/>
                    <w:jc w:val="center"/>
                  </w:pPr>
                  <w:r>
                    <w:rPr>
                      <w:sz w:val="12"/>
                    </w:rPr>
                    <w:t>Atendida</w:t>
                  </w:r>
                </w:p>
              </w:tc>
            </w:tr>
            <w:tr w:rsidR="00053D93" w14:paraId="07282E6B" w14:textId="77777777">
              <w:trPr>
                <w:trHeight w:val="1764"/>
              </w:trPr>
              <w:tc>
                <w:tcPr>
                  <w:tcW w:w="330" w:type="dxa"/>
                  <w:tcBorders>
                    <w:top w:val="single" w:sz="2" w:space="0" w:color="000000"/>
                    <w:left w:val="single" w:sz="2" w:space="0" w:color="000000"/>
                    <w:bottom w:val="single" w:sz="2" w:space="0" w:color="000000"/>
                    <w:right w:val="single" w:sz="2" w:space="0" w:color="000000"/>
                  </w:tcBorders>
                </w:tcPr>
                <w:p w14:paraId="39CF771A" w14:textId="77777777" w:rsidR="00053D93" w:rsidRDefault="00260B75">
                  <w:pPr>
                    <w:ind w:left="42"/>
                  </w:pPr>
                  <w:r>
                    <w:rPr>
                      <w:rFonts w:ascii="Times New Roman" w:eastAsia="Times New Roman" w:hAnsi="Times New Roman" w:cs="Times New Roman"/>
                      <w:sz w:val="14"/>
                    </w:rPr>
                    <w:t>16</w:t>
                  </w:r>
                </w:p>
              </w:tc>
              <w:tc>
                <w:tcPr>
                  <w:tcW w:w="3713" w:type="dxa"/>
                  <w:gridSpan w:val="3"/>
                  <w:tcBorders>
                    <w:top w:val="single" w:sz="2" w:space="0" w:color="000000"/>
                    <w:left w:val="single" w:sz="2" w:space="0" w:color="000000"/>
                    <w:bottom w:val="single" w:sz="2" w:space="0" w:color="000000"/>
                    <w:right w:val="single" w:sz="2" w:space="0" w:color="000000"/>
                  </w:tcBorders>
                </w:tcPr>
                <w:p w14:paraId="6718F0B1" w14:textId="77777777" w:rsidR="00053D93" w:rsidRDefault="00260B75">
                  <w:pPr>
                    <w:ind w:left="29"/>
                  </w:pPr>
                  <w:r>
                    <w:rPr>
                      <w:sz w:val="14"/>
                    </w:rPr>
                    <w:t>Oficio Preventivo No. 2 CGc-AFC.MlNEDUC.UE324 GUATE SUR</w:t>
                  </w:r>
                </w:p>
              </w:tc>
              <w:tc>
                <w:tcPr>
                  <w:tcW w:w="953" w:type="dxa"/>
                  <w:tcBorders>
                    <w:top w:val="single" w:sz="2" w:space="0" w:color="000000"/>
                    <w:left w:val="single" w:sz="2" w:space="0" w:color="000000"/>
                    <w:bottom w:val="single" w:sz="2" w:space="0" w:color="000000"/>
                    <w:right w:val="single" w:sz="2" w:space="0" w:color="000000"/>
                  </w:tcBorders>
                </w:tcPr>
                <w:p w14:paraId="42D6A4BF" w14:textId="77777777" w:rsidR="00053D93" w:rsidRDefault="00260B75">
                  <w:pPr>
                    <w:ind w:left="24"/>
                    <w:jc w:val="center"/>
                  </w:pPr>
                  <w:r>
                    <w:rPr>
                      <w:rFonts w:ascii="Times New Roman" w:eastAsia="Times New Roman" w:hAnsi="Times New Roman" w:cs="Times New Roman"/>
                      <w:sz w:val="12"/>
                    </w:rPr>
                    <w:t>27111/2024</w:t>
                  </w:r>
                </w:p>
              </w:tc>
              <w:tc>
                <w:tcPr>
                  <w:tcW w:w="1332" w:type="dxa"/>
                  <w:tcBorders>
                    <w:top w:val="single" w:sz="2" w:space="0" w:color="000000"/>
                    <w:left w:val="single" w:sz="2" w:space="0" w:color="000000"/>
                    <w:bottom w:val="single" w:sz="2" w:space="0" w:color="000000"/>
                    <w:right w:val="single" w:sz="2" w:space="0" w:color="000000"/>
                  </w:tcBorders>
                </w:tcPr>
                <w:p w14:paraId="3F7B0330" w14:textId="77777777" w:rsidR="00053D93" w:rsidRDefault="00260B75">
                  <w:pPr>
                    <w:spacing w:after="47"/>
                    <w:ind w:left="94"/>
                  </w:pPr>
                  <w:r>
                    <w:rPr>
                      <w:sz w:val="14"/>
                    </w:rPr>
                    <w:t>Norma 3.1. a)</w:t>
                  </w:r>
                </w:p>
                <w:p w14:paraId="6D360D12" w14:textId="77777777" w:rsidR="00053D93" w:rsidRDefault="00260B75">
                  <w:pPr>
                    <w:tabs>
                      <w:tab w:val="center" w:pos="360"/>
                      <w:tab w:val="center" w:pos="1195"/>
                    </w:tabs>
                    <w:spacing w:after="14"/>
                  </w:pPr>
                  <w:r>
                    <w:rPr>
                      <w:sz w:val="16"/>
                    </w:rPr>
                    <w:tab/>
                    <w:t>Eficiente</w:t>
                  </w:r>
                  <w:r>
                    <w:rPr>
                      <w:sz w:val="16"/>
                    </w:rPr>
                    <w:tab/>
                  </w:r>
                  <w:r>
                    <w:rPr>
                      <w:rFonts w:ascii="Times New Roman" w:eastAsia="Times New Roman" w:hAnsi="Times New Roman" w:cs="Times New Roman"/>
                      <w:sz w:val="16"/>
                    </w:rPr>
                    <w:t>de</w:t>
                  </w:r>
                </w:p>
                <w:p w14:paraId="4DA05410" w14:textId="77777777" w:rsidR="00053D93" w:rsidRDefault="00260B75">
                  <w:pPr>
                    <w:ind w:left="94"/>
                  </w:pPr>
                  <w:r>
                    <w:rPr>
                      <w:sz w:val="12"/>
                    </w:rPr>
                    <w:t>Procedimientos</w:t>
                  </w:r>
                </w:p>
              </w:tc>
              <w:tc>
                <w:tcPr>
                  <w:tcW w:w="1286" w:type="dxa"/>
                  <w:tcBorders>
                    <w:top w:val="single" w:sz="2" w:space="0" w:color="000000"/>
                    <w:left w:val="single" w:sz="2" w:space="0" w:color="000000"/>
                    <w:bottom w:val="single" w:sz="2" w:space="0" w:color="000000"/>
                    <w:right w:val="single" w:sz="2" w:space="0" w:color="000000"/>
                  </w:tcBorders>
                </w:tcPr>
                <w:p w14:paraId="1AC5D2A4" w14:textId="77777777" w:rsidR="00053D93" w:rsidRDefault="00260B75">
                  <w:pPr>
                    <w:spacing w:after="15" w:line="286" w:lineRule="auto"/>
                    <w:ind w:left="86" w:right="69" w:firstLine="7"/>
                    <w:jc w:val="both"/>
                  </w:pPr>
                  <w:r>
                    <w:rPr>
                      <w:sz w:val="14"/>
                    </w:rPr>
                    <w:t>Falta de instrucción ylo recordatorio para evitar et cobro. colectas o similares</w:t>
                  </w:r>
                </w:p>
                <w:p w14:paraId="322E957A" w14:textId="77777777" w:rsidR="00053D93" w:rsidRDefault="00260B75">
                  <w:pPr>
                    <w:ind w:left="94" w:firstLine="338"/>
                  </w:pPr>
                  <w:r>
                    <w:rPr>
                      <w:sz w:val="12"/>
                    </w:rPr>
                    <w:t>log</w:t>
                  </w:r>
                  <w:r>
                    <w:rPr>
                      <w:sz w:val="12"/>
                    </w:rPr>
                    <w:tab/>
                    <w:t>centros educativas.</w:t>
                  </w:r>
                </w:p>
              </w:tc>
              <w:tc>
                <w:tcPr>
                  <w:tcW w:w="756" w:type="dxa"/>
                  <w:tcBorders>
                    <w:top w:val="single" w:sz="2" w:space="0" w:color="000000"/>
                    <w:left w:val="single" w:sz="2" w:space="0" w:color="000000"/>
                    <w:bottom w:val="single" w:sz="2" w:space="0" w:color="000000"/>
                    <w:right w:val="single" w:sz="2" w:space="0" w:color="000000"/>
                  </w:tcBorders>
                </w:tcPr>
                <w:p w14:paraId="40293021" w14:textId="77777777" w:rsidR="00053D93" w:rsidRDefault="00260B75">
                  <w:pPr>
                    <w:ind w:left="20"/>
                    <w:jc w:val="center"/>
                  </w:pPr>
                  <w:r>
                    <w:rPr>
                      <w:sz w:val="12"/>
                    </w:rPr>
                    <w:t>Atendida</w:t>
                  </w:r>
                </w:p>
              </w:tc>
            </w:tr>
            <w:tr w:rsidR="00053D93" w14:paraId="237A5934" w14:textId="77777777">
              <w:trPr>
                <w:trHeight w:val="1761"/>
              </w:trPr>
              <w:tc>
                <w:tcPr>
                  <w:tcW w:w="330" w:type="dxa"/>
                  <w:tcBorders>
                    <w:top w:val="single" w:sz="2" w:space="0" w:color="000000"/>
                    <w:left w:val="single" w:sz="2" w:space="0" w:color="000000"/>
                    <w:bottom w:val="single" w:sz="2" w:space="0" w:color="000000"/>
                    <w:right w:val="single" w:sz="2" w:space="0" w:color="000000"/>
                  </w:tcBorders>
                </w:tcPr>
                <w:p w14:paraId="2B897CD7" w14:textId="77777777" w:rsidR="00053D93" w:rsidRDefault="00260B75">
                  <w:pPr>
                    <w:ind w:left="49"/>
                  </w:pPr>
                  <w:r>
                    <w:rPr>
                      <w:rFonts w:ascii="Times New Roman" w:eastAsia="Times New Roman" w:hAnsi="Times New Roman" w:cs="Times New Roman"/>
                      <w:sz w:val="14"/>
                    </w:rPr>
                    <w:t>17</w:t>
                  </w:r>
                </w:p>
              </w:tc>
              <w:tc>
                <w:tcPr>
                  <w:tcW w:w="3713" w:type="dxa"/>
                  <w:gridSpan w:val="3"/>
                  <w:tcBorders>
                    <w:top w:val="single" w:sz="2" w:space="0" w:color="000000"/>
                    <w:left w:val="single" w:sz="2" w:space="0" w:color="000000"/>
                    <w:bottom w:val="single" w:sz="2" w:space="0" w:color="000000"/>
                    <w:right w:val="single" w:sz="2" w:space="0" w:color="000000"/>
                  </w:tcBorders>
                </w:tcPr>
                <w:p w14:paraId="5486FFE6" w14:textId="77777777" w:rsidR="00053D93" w:rsidRDefault="00260B75">
                  <w:pPr>
                    <w:ind w:left="29"/>
                  </w:pPr>
                  <w:r>
                    <w:rPr>
                      <w:sz w:val="12"/>
                    </w:rPr>
                    <w:t>Ofda Preventivo No. 1-2024</w:t>
                  </w:r>
                </w:p>
              </w:tc>
              <w:tc>
                <w:tcPr>
                  <w:tcW w:w="953" w:type="dxa"/>
                  <w:tcBorders>
                    <w:top w:val="single" w:sz="2" w:space="0" w:color="000000"/>
                    <w:left w:val="single" w:sz="2" w:space="0" w:color="000000"/>
                    <w:bottom w:val="single" w:sz="2" w:space="0" w:color="000000"/>
                    <w:right w:val="single" w:sz="2" w:space="0" w:color="000000"/>
                  </w:tcBorders>
                </w:tcPr>
                <w:p w14:paraId="5A13F272" w14:textId="77777777" w:rsidR="00053D93" w:rsidRDefault="00260B75">
                  <w:pPr>
                    <w:ind w:left="46"/>
                    <w:jc w:val="center"/>
                  </w:pPr>
                  <w:r>
                    <w:rPr>
                      <w:rFonts w:ascii="Times New Roman" w:eastAsia="Times New Roman" w:hAnsi="Times New Roman" w:cs="Times New Roman"/>
                      <w:sz w:val="12"/>
                    </w:rPr>
                    <w:t>18/1112024</w:t>
                  </w:r>
                </w:p>
              </w:tc>
              <w:tc>
                <w:tcPr>
                  <w:tcW w:w="1332" w:type="dxa"/>
                  <w:tcBorders>
                    <w:top w:val="single" w:sz="2" w:space="0" w:color="000000"/>
                    <w:left w:val="single" w:sz="2" w:space="0" w:color="000000"/>
                    <w:bottom w:val="single" w:sz="2" w:space="0" w:color="000000"/>
                    <w:right w:val="single" w:sz="2" w:space="0" w:color="000000"/>
                  </w:tcBorders>
                </w:tcPr>
                <w:p w14:paraId="4A48DBBA" w14:textId="77777777" w:rsidR="00053D93" w:rsidRDefault="00260B75">
                  <w:pPr>
                    <w:ind w:left="101"/>
                  </w:pPr>
                  <w:r>
                    <w:rPr>
                      <w:sz w:val="14"/>
                    </w:rPr>
                    <w:t>Norma 3.1. 8) Dseno</w:t>
                  </w:r>
                </w:p>
                <w:p w14:paraId="68224004" w14:textId="77777777" w:rsidR="00053D93" w:rsidRDefault="00260B75">
                  <w:pPr>
                    <w:ind w:left="101"/>
                  </w:pPr>
                  <w:r>
                    <w:rPr>
                      <w:sz w:val="16"/>
                    </w:rPr>
                    <w:t>Eficiente</w:t>
                  </w:r>
                </w:p>
                <w:p w14:paraId="04FEC44E" w14:textId="77777777" w:rsidR="00053D93" w:rsidRDefault="00260B75">
                  <w:pPr>
                    <w:ind w:left="108"/>
                  </w:pPr>
                  <w:r>
                    <w:rPr>
                      <w:sz w:val="12"/>
                    </w:rPr>
                    <w:t>Procedimlentos</w:t>
                  </w:r>
                </w:p>
              </w:tc>
              <w:tc>
                <w:tcPr>
                  <w:tcW w:w="1286" w:type="dxa"/>
                  <w:tcBorders>
                    <w:top w:val="single" w:sz="2" w:space="0" w:color="000000"/>
                    <w:left w:val="single" w:sz="2" w:space="0" w:color="000000"/>
                    <w:bottom w:val="single" w:sz="2" w:space="0" w:color="000000"/>
                    <w:right w:val="single" w:sz="2" w:space="0" w:color="000000"/>
                  </w:tcBorders>
                </w:tcPr>
                <w:p w14:paraId="3CBD9890" w14:textId="77777777" w:rsidR="00053D93" w:rsidRDefault="00260B75">
                  <w:pPr>
                    <w:spacing w:after="10"/>
                    <w:ind w:left="39"/>
                    <w:jc w:val="center"/>
                  </w:pPr>
                  <w:r>
                    <w:rPr>
                      <w:sz w:val="14"/>
                    </w:rPr>
                    <w:t>Falta de ectua[izadón</w:t>
                  </w:r>
                </w:p>
                <w:p w14:paraId="509296F1" w14:textId="77777777" w:rsidR="00053D93" w:rsidRDefault="00260B75">
                  <w:pPr>
                    <w:spacing w:after="42" w:line="288" w:lineRule="auto"/>
                    <w:ind w:left="108" w:right="55" w:firstLine="655"/>
                    <w:jc w:val="both"/>
                  </w:pPr>
                  <w:r>
                    <w:rPr>
                      <w:sz w:val="14"/>
                    </w:rPr>
                    <w:t xml:space="preserve">formato RHU.FOR.29 para que incluya </w:t>
                  </w:r>
                  <w:r>
                    <w:rPr>
                      <w:rFonts w:ascii="Times New Roman" w:eastAsia="Times New Roman" w:hAnsi="Times New Roman" w:cs="Times New Roman"/>
                      <w:sz w:val="14"/>
                    </w:rPr>
                    <w:t xml:space="preserve">el </w:t>
                  </w:r>
                  <w:r>
                    <w:rPr>
                      <w:sz w:val="14"/>
                    </w:rPr>
                    <w:t>Finiquito, dentro del</w:t>
                  </w:r>
                </w:p>
                <w:p w14:paraId="22B57218" w14:textId="77777777" w:rsidR="00053D93" w:rsidRDefault="00260B75">
                  <w:pPr>
                    <w:ind w:left="108" w:hanging="7"/>
                  </w:pPr>
                  <w:r>
                    <w:rPr>
                      <w:sz w:val="12"/>
                    </w:rPr>
                    <w:t>listado</w:t>
                  </w:r>
                  <w:r>
                    <w:rPr>
                      <w:sz w:val="12"/>
                    </w:rPr>
                    <w:tab/>
                    <w:t>de documentos obligatorios.</w:t>
                  </w:r>
                </w:p>
              </w:tc>
              <w:tc>
                <w:tcPr>
                  <w:tcW w:w="756" w:type="dxa"/>
                  <w:tcBorders>
                    <w:top w:val="single" w:sz="2" w:space="0" w:color="000000"/>
                    <w:left w:val="single" w:sz="2" w:space="0" w:color="000000"/>
                    <w:bottom w:val="single" w:sz="2" w:space="0" w:color="000000"/>
                    <w:right w:val="single" w:sz="2" w:space="0" w:color="000000"/>
                  </w:tcBorders>
                </w:tcPr>
                <w:p w14:paraId="25E6D4B1" w14:textId="77777777" w:rsidR="00053D93" w:rsidRDefault="00260B75">
                  <w:pPr>
                    <w:ind w:left="41"/>
                    <w:jc w:val="center"/>
                  </w:pPr>
                  <w:r>
                    <w:rPr>
                      <w:sz w:val="12"/>
                    </w:rPr>
                    <w:t>Atendida</w:t>
                  </w:r>
                </w:p>
              </w:tc>
            </w:tr>
            <w:tr w:rsidR="00053D93" w14:paraId="7E7CE474" w14:textId="77777777">
              <w:trPr>
                <w:trHeight w:val="953"/>
              </w:trPr>
              <w:tc>
                <w:tcPr>
                  <w:tcW w:w="330" w:type="dxa"/>
                  <w:vMerge w:val="restart"/>
                  <w:tcBorders>
                    <w:top w:val="single" w:sz="2" w:space="0" w:color="000000"/>
                    <w:left w:val="single" w:sz="2" w:space="0" w:color="000000"/>
                    <w:bottom w:val="nil"/>
                    <w:right w:val="single" w:sz="2" w:space="0" w:color="000000"/>
                  </w:tcBorders>
                </w:tcPr>
                <w:p w14:paraId="27BCDDA2" w14:textId="77777777" w:rsidR="00053D93" w:rsidRDefault="00260B75">
                  <w:pPr>
                    <w:spacing w:after="595"/>
                    <w:ind w:left="49"/>
                  </w:pPr>
                  <w:r>
                    <w:rPr>
                      <w:rFonts w:ascii="Times New Roman" w:eastAsia="Times New Roman" w:hAnsi="Times New Roman" w:cs="Times New Roman"/>
                      <w:sz w:val="14"/>
                    </w:rPr>
                    <w:t>18</w:t>
                  </w:r>
                </w:p>
                <w:p w14:paraId="138F5D1B" w14:textId="77777777" w:rsidR="00053D93" w:rsidRDefault="00260B75">
                  <w:pPr>
                    <w:ind w:left="42"/>
                  </w:pPr>
                  <w:r>
                    <w:rPr>
                      <w:noProof/>
                    </w:rPr>
                    <w:drawing>
                      <wp:inline distT="0" distB="0" distL="0" distR="0" wp14:anchorId="75A44CFC" wp14:editId="3B2A6632">
                        <wp:extent cx="182880" cy="402336"/>
                        <wp:effectExtent l="0" t="0" r="0" b="0"/>
                        <wp:docPr id="212357" name="Picture 212357"/>
                        <wp:cNvGraphicFramePr/>
                        <a:graphic xmlns:a="http://schemas.openxmlformats.org/drawingml/2006/main">
                          <a:graphicData uri="http://schemas.openxmlformats.org/drawingml/2006/picture">
                            <pic:pic xmlns:pic="http://schemas.openxmlformats.org/drawingml/2006/picture">
                              <pic:nvPicPr>
                                <pic:cNvPr id="212357" name="Picture 212357"/>
                                <pic:cNvPicPr/>
                              </pic:nvPicPr>
                              <pic:blipFill>
                                <a:blip r:embed="rId294"/>
                                <a:stretch>
                                  <a:fillRect/>
                                </a:stretch>
                              </pic:blipFill>
                              <pic:spPr>
                                <a:xfrm>
                                  <a:off x="0" y="0"/>
                                  <a:ext cx="182880" cy="402336"/>
                                </a:xfrm>
                                <a:prstGeom prst="rect">
                                  <a:avLst/>
                                </a:prstGeom>
                              </pic:spPr>
                            </pic:pic>
                          </a:graphicData>
                        </a:graphic>
                      </wp:inline>
                    </w:drawing>
                  </w:r>
                </w:p>
              </w:tc>
              <w:tc>
                <w:tcPr>
                  <w:tcW w:w="3713" w:type="dxa"/>
                  <w:gridSpan w:val="3"/>
                  <w:tcBorders>
                    <w:top w:val="single" w:sz="2" w:space="0" w:color="000000"/>
                    <w:left w:val="single" w:sz="2" w:space="0" w:color="000000"/>
                    <w:bottom w:val="single" w:sz="2" w:space="0" w:color="000000"/>
                    <w:right w:val="single" w:sz="2" w:space="0" w:color="000000"/>
                  </w:tcBorders>
                </w:tcPr>
                <w:p w14:paraId="7DF392B2" w14:textId="77777777" w:rsidR="00053D93" w:rsidRDefault="00260B75">
                  <w:pPr>
                    <w:ind w:left="367"/>
                  </w:pPr>
                  <w:r>
                    <w:rPr>
                      <w:sz w:val="12"/>
                    </w:rPr>
                    <w:t>Preventivo No. 2-2024</w:t>
                  </w:r>
                </w:p>
              </w:tc>
              <w:tc>
                <w:tcPr>
                  <w:tcW w:w="953" w:type="dxa"/>
                  <w:tcBorders>
                    <w:top w:val="single" w:sz="2" w:space="0" w:color="000000"/>
                    <w:left w:val="single" w:sz="2" w:space="0" w:color="000000"/>
                    <w:bottom w:val="single" w:sz="2" w:space="0" w:color="000000"/>
                    <w:right w:val="single" w:sz="2" w:space="0" w:color="000000"/>
                  </w:tcBorders>
                </w:tcPr>
                <w:p w14:paraId="044FB838" w14:textId="77777777" w:rsidR="00053D93" w:rsidRDefault="00260B75">
                  <w:pPr>
                    <w:ind w:left="60"/>
                    <w:jc w:val="center"/>
                  </w:pPr>
                  <w:r>
                    <w:rPr>
                      <w:rFonts w:ascii="Times New Roman" w:eastAsia="Times New Roman" w:hAnsi="Times New Roman" w:cs="Times New Roman"/>
                      <w:sz w:val="12"/>
                    </w:rPr>
                    <w:t>18111/2024</w:t>
                  </w:r>
                </w:p>
              </w:tc>
              <w:tc>
                <w:tcPr>
                  <w:tcW w:w="1332" w:type="dxa"/>
                  <w:tcBorders>
                    <w:top w:val="single" w:sz="2" w:space="0" w:color="000000"/>
                    <w:left w:val="single" w:sz="2" w:space="0" w:color="000000"/>
                    <w:bottom w:val="single" w:sz="2" w:space="0" w:color="000000"/>
                    <w:right w:val="single" w:sz="2" w:space="0" w:color="000000"/>
                  </w:tcBorders>
                </w:tcPr>
                <w:p w14:paraId="015AF212" w14:textId="77777777" w:rsidR="00053D93" w:rsidRDefault="00260B75">
                  <w:pPr>
                    <w:tabs>
                      <w:tab w:val="center" w:pos="313"/>
                      <w:tab w:val="center" w:pos="1188"/>
                    </w:tabs>
                    <w:spacing w:after="17"/>
                  </w:pPr>
                  <w:r>
                    <w:rPr>
                      <w:sz w:val="16"/>
                    </w:rPr>
                    <w:tab/>
                    <w:t>Norma</w:t>
                  </w:r>
                  <w:r>
                    <w:rPr>
                      <w:sz w:val="16"/>
                    </w:rPr>
                    <w:tab/>
                  </w:r>
                  <w:r>
                    <w:rPr>
                      <w:rFonts w:ascii="Times New Roman" w:eastAsia="Times New Roman" w:hAnsi="Times New Roman" w:cs="Times New Roman"/>
                      <w:sz w:val="16"/>
                    </w:rPr>
                    <w:t>2.3</w:t>
                  </w:r>
                </w:p>
                <w:p w14:paraId="19055915" w14:textId="77777777" w:rsidR="00053D93" w:rsidRDefault="00260B75">
                  <w:pPr>
                    <w:tabs>
                      <w:tab w:val="center" w:pos="504"/>
                      <w:tab w:val="center" w:pos="1206"/>
                    </w:tabs>
                    <w:spacing w:after="46"/>
                  </w:pPr>
                  <w:r>
                    <w:rPr>
                      <w:sz w:val="12"/>
                    </w:rPr>
                    <w:tab/>
                    <w:t>Adminlstcac.ión</w:t>
                  </w:r>
                  <w:r>
                    <w:rPr>
                      <w:sz w:val="12"/>
                    </w:rPr>
                    <w:tab/>
                  </w:r>
                  <w:r>
                    <w:rPr>
                      <w:rFonts w:ascii="Times New Roman" w:eastAsia="Times New Roman" w:hAnsi="Times New Roman" w:cs="Times New Roman"/>
                      <w:sz w:val="12"/>
                    </w:rPr>
                    <w:t>del</w:t>
                  </w:r>
                </w:p>
                <w:p w14:paraId="7D374B79" w14:textId="77777777" w:rsidR="00053D93" w:rsidRDefault="00260B75">
                  <w:pPr>
                    <w:ind w:left="115"/>
                  </w:pPr>
                  <w:r>
                    <w:rPr>
                      <w:sz w:val="14"/>
                    </w:rPr>
                    <w:t>Personal</w:t>
                  </w:r>
                </w:p>
              </w:tc>
              <w:tc>
                <w:tcPr>
                  <w:tcW w:w="1286" w:type="dxa"/>
                  <w:tcBorders>
                    <w:top w:val="single" w:sz="2" w:space="0" w:color="000000"/>
                    <w:left w:val="single" w:sz="2" w:space="0" w:color="000000"/>
                    <w:bottom w:val="single" w:sz="2" w:space="0" w:color="000000"/>
                    <w:right w:val="single" w:sz="2" w:space="0" w:color="000000"/>
                  </w:tcBorders>
                </w:tcPr>
                <w:p w14:paraId="4D576C49" w14:textId="77777777" w:rsidR="00053D93" w:rsidRDefault="00260B75">
                  <w:pPr>
                    <w:spacing w:after="41" w:line="263" w:lineRule="auto"/>
                    <w:ind w:left="108" w:right="48" w:firstLine="7"/>
                    <w:jc w:val="both"/>
                  </w:pPr>
                  <w:r>
                    <w:rPr>
                      <w:sz w:val="14"/>
                    </w:rPr>
                    <w:t>Falta de actualizadán de expedientes de personBl y falta de</w:t>
                  </w:r>
                </w:p>
                <w:p w14:paraId="2DE21066" w14:textId="77777777" w:rsidR="00053D93" w:rsidRDefault="00260B75">
                  <w:pPr>
                    <w:ind w:left="108" w:firstLine="7"/>
                    <w:jc w:val="both"/>
                  </w:pPr>
                  <w:r>
                    <w:rPr>
                      <w:sz w:val="14"/>
                    </w:rPr>
                    <w:t>control de tas Justificaciones por</w:t>
                  </w:r>
                </w:p>
              </w:tc>
              <w:tc>
                <w:tcPr>
                  <w:tcW w:w="756" w:type="dxa"/>
                  <w:tcBorders>
                    <w:top w:val="single" w:sz="2" w:space="0" w:color="000000"/>
                    <w:left w:val="single" w:sz="2" w:space="0" w:color="000000"/>
                    <w:bottom w:val="single" w:sz="2" w:space="0" w:color="000000"/>
                    <w:right w:val="single" w:sz="2" w:space="0" w:color="000000"/>
                  </w:tcBorders>
                </w:tcPr>
                <w:p w14:paraId="549BF7C3" w14:textId="77777777" w:rsidR="00053D93" w:rsidRDefault="00260B75">
                  <w:pPr>
                    <w:ind w:left="56"/>
                    <w:jc w:val="center"/>
                  </w:pPr>
                  <w:r>
                    <w:rPr>
                      <w:sz w:val="12"/>
                    </w:rPr>
                    <w:t>Atendida</w:t>
                  </w:r>
                </w:p>
              </w:tc>
            </w:tr>
            <w:tr w:rsidR="00053D93" w14:paraId="260F9D1E" w14:textId="77777777">
              <w:trPr>
                <w:trHeight w:val="612"/>
              </w:trPr>
              <w:tc>
                <w:tcPr>
                  <w:tcW w:w="0" w:type="auto"/>
                  <w:vMerge/>
                  <w:tcBorders>
                    <w:top w:val="nil"/>
                    <w:left w:val="single" w:sz="2" w:space="0" w:color="000000"/>
                    <w:bottom w:val="nil"/>
                    <w:right w:val="single" w:sz="2" w:space="0" w:color="000000"/>
                  </w:tcBorders>
                </w:tcPr>
                <w:p w14:paraId="18553692" w14:textId="77777777" w:rsidR="00053D93" w:rsidRDefault="00053D93"/>
              </w:tc>
              <w:tc>
                <w:tcPr>
                  <w:tcW w:w="288" w:type="dxa"/>
                  <w:tcBorders>
                    <w:top w:val="nil"/>
                    <w:left w:val="single" w:sz="2" w:space="0" w:color="000000"/>
                    <w:bottom w:val="nil"/>
                    <w:right w:val="single" w:sz="2" w:space="0" w:color="000000"/>
                  </w:tcBorders>
                </w:tcPr>
                <w:p w14:paraId="181B3F68" w14:textId="77777777" w:rsidR="00053D93" w:rsidRDefault="00260B75">
                  <w:pPr>
                    <w:ind w:left="7"/>
                  </w:pPr>
                  <w:r>
                    <w:rPr>
                      <w:noProof/>
                    </w:rPr>
                    <w:drawing>
                      <wp:inline distT="0" distB="0" distL="0" distR="0" wp14:anchorId="649F4F5F" wp14:editId="4EB4ED17">
                        <wp:extent cx="164592" cy="388620"/>
                        <wp:effectExtent l="0" t="0" r="0" b="0"/>
                        <wp:docPr id="212343" name="Picture 212343"/>
                        <wp:cNvGraphicFramePr/>
                        <a:graphic xmlns:a="http://schemas.openxmlformats.org/drawingml/2006/main">
                          <a:graphicData uri="http://schemas.openxmlformats.org/drawingml/2006/picture">
                            <pic:pic xmlns:pic="http://schemas.openxmlformats.org/drawingml/2006/picture">
                              <pic:nvPicPr>
                                <pic:cNvPr id="212343" name="Picture 212343"/>
                                <pic:cNvPicPr/>
                              </pic:nvPicPr>
                              <pic:blipFill>
                                <a:blip r:embed="rId295"/>
                                <a:stretch>
                                  <a:fillRect/>
                                </a:stretch>
                              </pic:blipFill>
                              <pic:spPr>
                                <a:xfrm>
                                  <a:off x="0" y="0"/>
                                  <a:ext cx="164592" cy="388620"/>
                                </a:xfrm>
                                <a:prstGeom prst="rect">
                                  <a:avLst/>
                                </a:prstGeom>
                              </pic:spPr>
                            </pic:pic>
                          </a:graphicData>
                        </a:graphic>
                      </wp:inline>
                    </w:drawing>
                  </w:r>
                </w:p>
              </w:tc>
              <w:tc>
                <w:tcPr>
                  <w:tcW w:w="177" w:type="dxa"/>
                  <w:tcBorders>
                    <w:top w:val="nil"/>
                    <w:left w:val="single" w:sz="2" w:space="0" w:color="000000"/>
                    <w:bottom w:val="nil"/>
                    <w:right w:val="single" w:sz="2" w:space="0" w:color="000000"/>
                  </w:tcBorders>
                </w:tcPr>
                <w:p w14:paraId="685C2D61" w14:textId="77777777" w:rsidR="00053D93" w:rsidRDefault="00053D93"/>
              </w:tc>
              <w:tc>
                <w:tcPr>
                  <w:tcW w:w="7574" w:type="dxa"/>
                  <w:gridSpan w:val="5"/>
                  <w:tcBorders>
                    <w:top w:val="single" w:sz="2" w:space="0" w:color="000000"/>
                    <w:left w:val="single" w:sz="2" w:space="0" w:color="000000"/>
                    <w:bottom w:val="nil"/>
                    <w:right w:val="nil"/>
                  </w:tcBorders>
                </w:tcPr>
                <w:p w14:paraId="3345CFB6" w14:textId="77777777" w:rsidR="00053D93" w:rsidRDefault="00260B75">
                  <w:pPr>
                    <w:ind w:left="2573"/>
                  </w:pPr>
                  <w:r>
                    <w:rPr>
                      <w:sz w:val="14"/>
                    </w:rPr>
                    <w:t>MINISTERIO DE EDUCACION</w:t>
                  </w:r>
                </w:p>
                <w:p w14:paraId="183E3B0F" w14:textId="77777777" w:rsidR="00053D93" w:rsidRDefault="00260B75">
                  <w:pPr>
                    <w:ind w:left="2076"/>
                  </w:pPr>
                  <w:r>
                    <w:rPr>
                      <w:sz w:val="14"/>
                    </w:rPr>
                    <w:t>AUDITORIA FINANCIERA Y DE CUMPLIMIENTO</w:t>
                  </w:r>
                </w:p>
                <w:p w14:paraId="266C5BEF" w14:textId="77777777" w:rsidR="00053D93" w:rsidRDefault="00260B75">
                  <w:pPr>
                    <w:ind w:left="1738"/>
                  </w:pPr>
                  <w:r>
                    <w:rPr>
                      <w:sz w:val="14"/>
                    </w:rPr>
                    <w:t>PERIODO DEL 01 DE ENERO AL 31 DE DICfEMBRE OE 2024</w:t>
                  </w:r>
                </w:p>
              </w:tc>
            </w:tr>
          </w:tbl>
          <w:p w14:paraId="400B51B4" w14:textId="77777777" w:rsidR="00053D93" w:rsidRDefault="00053D93"/>
        </w:tc>
      </w:tr>
      <w:tr w:rsidR="00053D93" w14:paraId="419E1C2F" w14:textId="77777777">
        <w:trPr>
          <w:trHeight w:val="814"/>
        </w:trPr>
        <w:tc>
          <w:tcPr>
            <w:tcW w:w="1779" w:type="dxa"/>
            <w:tcBorders>
              <w:top w:val="nil"/>
              <w:left w:val="nil"/>
              <w:bottom w:val="nil"/>
              <w:right w:val="nil"/>
            </w:tcBorders>
          </w:tcPr>
          <w:p w14:paraId="74134EAA" w14:textId="77777777" w:rsidR="00053D93" w:rsidRDefault="00260B75">
            <w:pPr>
              <w:ind w:left="7"/>
            </w:pPr>
            <w:r>
              <w:rPr>
                <w:noProof/>
              </w:rPr>
              <w:drawing>
                <wp:inline distT="0" distB="0" distL="0" distR="0" wp14:anchorId="0DF875AF" wp14:editId="0FC76463">
                  <wp:extent cx="150876" cy="374904"/>
                  <wp:effectExtent l="0" t="0" r="0" b="0"/>
                  <wp:docPr id="212574" name="Picture 212574"/>
                  <wp:cNvGraphicFramePr/>
                  <a:graphic xmlns:a="http://schemas.openxmlformats.org/drawingml/2006/main">
                    <a:graphicData uri="http://schemas.openxmlformats.org/drawingml/2006/picture">
                      <pic:pic xmlns:pic="http://schemas.openxmlformats.org/drawingml/2006/picture">
                        <pic:nvPicPr>
                          <pic:cNvPr id="212574" name="Picture 212574"/>
                          <pic:cNvPicPr/>
                        </pic:nvPicPr>
                        <pic:blipFill>
                          <a:blip r:embed="rId296"/>
                          <a:stretch>
                            <a:fillRect/>
                          </a:stretch>
                        </pic:blipFill>
                        <pic:spPr>
                          <a:xfrm>
                            <a:off x="0" y="0"/>
                            <a:ext cx="150876" cy="374904"/>
                          </a:xfrm>
                          <a:prstGeom prst="rect">
                            <a:avLst/>
                          </a:prstGeom>
                        </pic:spPr>
                      </pic:pic>
                    </a:graphicData>
                  </a:graphic>
                </wp:inline>
              </w:drawing>
            </w:r>
          </w:p>
        </w:tc>
        <w:tc>
          <w:tcPr>
            <w:tcW w:w="0" w:type="auto"/>
            <w:vMerge/>
            <w:tcBorders>
              <w:top w:val="nil"/>
              <w:left w:val="nil"/>
              <w:bottom w:val="nil"/>
              <w:right w:val="nil"/>
            </w:tcBorders>
          </w:tcPr>
          <w:p w14:paraId="23BDC0E7" w14:textId="77777777" w:rsidR="00053D93" w:rsidRDefault="00053D93"/>
        </w:tc>
      </w:tr>
      <w:tr w:rsidR="00053D93" w14:paraId="090697C6" w14:textId="77777777">
        <w:trPr>
          <w:trHeight w:val="814"/>
        </w:trPr>
        <w:tc>
          <w:tcPr>
            <w:tcW w:w="1779" w:type="dxa"/>
            <w:tcBorders>
              <w:top w:val="nil"/>
              <w:left w:val="nil"/>
              <w:bottom w:val="nil"/>
              <w:right w:val="nil"/>
            </w:tcBorders>
          </w:tcPr>
          <w:p w14:paraId="69AC0EBD" w14:textId="77777777" w:rsidR="00053D93" w:rsidRDefault="00260B75">
            <w:pPr>
              <w:ind w:left="14"/>
            </w:pPr>
            <w:r>
              <w:rPr>
                <w:noProof/>
              </w:rPr>
              <w:drawing>
                <wp:inline distT="0" distB="0" distL="0" distR="0" wp14:anchorId="6F62EB13" wp14:editId="40E13230">
                  <wp:extent cx="141732" cy="374904"/>
                  <wp:effectExtent l="0" t="0" r="0" b="0"/>
                  <wp:docPr id="212575" name="Picture 212575"/>
                  <wp:cNvGraphicFramePr/>
                  <a:graphic xmlns:a="http://schemas.openxmlformats.org/drawingml/2006/main">
                    <a:graphicData uri="http://schemas.openxmlformats.org/drawingml/2006/picture">
                      <pic:pic xmlns:pic="http://schemas.openxmlformats.org/drawingml/2006/picture">
                        <pic:nvPicPr>
                          <pic:cNvPr id="212575" name="Picture 212575"/>
                          <pic:cNvPicPr/>
                        </pic:nvPicPr>
                        <pic:blipFill>
                          <a:blip r:embed="rId297"/>
                          <a:stretch>
                            <a:fillRect/>
                          </a:stretch>
                        </pic:blipFill>
                        <pic:spPr>
                          <a:xfrm>
                            <a:off x="0" y="0"/>
                            <a:ext cx="141732" cy="374904"/>
                          </a:xfrm>
                          <a:prstGeom prst="rect">
                            <a:avLst/>
                          </a:prstGeom>
                        </pic:spPr>
                      </pic:pic>
                    </a:graphicData>
                  </a:graphic>
                </wp:inline>
              </w:drawing>
            </w:r>
          </w:p>
        </w:tc>
        <w:tc>
          <w:tcPr>
            <w:tcW w:w="0" w:type="auto"/>
            <w:vMerge/>
            <w:tcBorders>
              <w:top w:val="nil"/>
              <w:left w:val="nil"/>
              <w:bottom w:val="nil"/>
              <w:right w:val="nil"/>
            </w:tcBorders>
          </w:tcPr>
          <w:p w14:paraId="08BE566F" w14:textId="77777777" w:rsidR="00053D93" w:rsidRDefault="00053D93"/>
        </w:tc>
      </w:tr>
      <w:tr w:rsidR="00053D93" w14:paraId="4389E15A" w14:textId="77777777">
        <w:trPr>
          <w:trHeight w:val="814"/>
        </w:trPr>
        <w:tc>
          <w:tcPr>
            <w:tcW w:w="1779" w:type="dxa"/>
            <w:tcBorders>
              <w:top w:val="nil"/>
              <w:left w:val="nil"/>
              <w:bottom w:val="nil"/>
              <w:right w:val="nil"/>
            </w:tcBorders>
          </w:tcPr>
          <w:p w14:paraId="5CF94A4A" w14:textId="77777777" w:rsidR="00053D93" w:rsidRDefault="00260B75">
            <w:pPr>
              <w:ind w:left="14"/>
            </w:pPr>
            <w:r>
              <w:rPr>
                <w:noProof/>
              </w:rPr>
              <w:drawing>
                <wp:inline distT="0" distB="0" distL="0" distR="0" wp14:anchorId="1A4F1FB3" wp14:editId="687FDBB5">
                  <wp:extent cx="155448" cy="374904"/>
                  <wp:effectExtent l="0" t="0" r="0" b="0"/>
                  <wp:docPr id="212576" name="Picture 212576"/>
                  <wp:cNvGraphicFramePr/>
                  <a:graphic xmlns:a="http://schemas.openxmlformats.org/drawingml/2006/main">
                    <a:graphicData uri="http://schemas.openxmlformats.org/drawingml/2006/picture">
                      <pic:pic xmlns:pic="http://schemas.openxmlformats.org/drawingml/2006/picture">
                        <pic:nvPicPr>
                          <pic:cNvPr id="212576" name="Picture 212576"/>
                          <pic:cNvPicPr/>
                        </pic:nvPicPr>
                        <pic:blipFill>
                          <a:blip r:embed="rId298"/>
                          <a:stretch>
                            <a:fillRect/>
                          </a:stretch>
                        </pic:blipFill>
                        <pic:spPr>
                          <a:xfrm>
                            <a:off x="0" y="0"/>
                            <a:ext cx="155448" cy="374904"/>
                          </a:xfrm>
                          <a:prstGeom prst="rect">
                            <a:avLst/>
                          </a:prstGeom>
                        </pic:spPr>
                      </pic:pic>
                    </a:graphicData>
                  </a:graphic>
                </wp:inline>
              </w:drawing>
            </w:r>
          </w:p>
        </w:tc>
        <w:tc>
          <w:tcPr>
            <w:tcW w:w="0" w:type="auto"/>
            <w:vMerge/>
            <w:tcBorders>
              <w:top w:val="nil"/>
              <w:left w:val="nil"/>
              <w:bottom w:val="nil"/>
              <w:right w:val="nil"/>
            </w:tcBorders>
          </w:tcPr>
          <w:p w14:paraId="62A3DE09" w14:textId="77777777" w:rsidR="00053D93" w:rsidRDefault="00053D93"/>
        </w:tc>
      </w:tr>
      <w:tr w:rsidR="00053D93" w14:paraId="065ACF75" w14:textId="77777777">
        <w:trPr>
          <w:trHeight w:val="806"/>
        </w:trPr>
        <w:tc>
          <w:tcPr>
            <w:tcW w:w="1779" w:type="dxa"/>
            <w:tcBorders>
              <w:top w:val="nil"/>
              <w:left w:val="nil"/>
              <w:bottom w:val="nil"/>
              <w:right w:val="nil"/>
            </w:tcBorders>
          </w:tcPr>
          <w:p w14:paraId="1B970A9F" w14:textId="77777777" w:rsidR="00053D93" w:rsidRDefault="00260B75">
            <w:pPr>
              <w:ind w:left="14"/>
            </w:pPr>
            <w:r>
              <w:rPr>
                <w:noProof/>
              </w:rPr>
              <w:drawing>
                <wp:inline distT="0" distB="0" distL="0" distR="0" wp14:anchorId="0C1CAC1D" wp14:editId="43038397">
                  <wp:extent cx="141732" cy="365760"/>
                  <wp:effectExtent l="0" t="0" r="0" b="0"/>
                  <wp:docPr id="212577" name="Picture 212577"/>
                  <wp:cNvGraphicFramePr/>
                  <a:graphic xmlns:a="http://schemas.openxmlformats.org/drawingml/2006/main">
                    <a:graphicData uri="http://schemas.openxmlformats.org/drawingml/2006/picture">
                      <pic:pic xmlns:pic="http://schemas.openxmlformats.org/drawingml/2006/picture">
                        <pic:nvPicPr>
                          <pic:cNvPr id="212577" name="Picture 212577"/>
                          <pic:cNvPicPr/>
                        </pic:nvPicPr>
                        <pic:blipFill>
                          <a:blip r:embed="rId299"/>
                          <a:stretch>
                            <a:fillRect/>
                          </a:stretch>
                        </pic:blipFill>
                        <pic:spPr>
                          <a:xfrm>
                            <a:off x="0" y="0"/>
                            <a:ext cx="141732" cy="365760"/>
                          </a:xfrm>
                          <a:prstGeom prst="rect">
                            <a:avLst/>
                          </a:prstGeom>
                        </pic:spPr>
                      </pic:pic>
                    </a:graphicData>
                  </a:graphic>
                </wp:inline>
              </w:drawing>
            </w:r>
          </w:p>
        </w:tc>
        <w:tc>
          <w:tcPr>
            <w:tcW w:w="0" w:type="auto"/>
            <w:vMerge/>
            <w:tcBorders>
              <w:top w:val="nil"/>
              <w:left w:val="nil"/>
              <w:bottom w:val="nil"/>
              <w:right w:val="nil"/>
            </w:tcBorders>
          </w:tcPr>
          <w:p w14:paraId="0C7F2FD6" w14:textId="77777777" w:rsidR="00053D93" w:rsidRDefault="00053D93"/>
        </w:tc>
      </w:tr>
      <w:tr w:rsidR="00053D93" w14:paraId="43268CF8" w14:textId="77777777">
        <w:trPr>
          <w:trHeight w:val="814"/>
        </w:trPr>
        <w:tc>
          <w:tcPr>
            <w:tcW w:w="1779" w:type="dxa"/>
            <w:tcBorders>
              <w:top w:val="nil"/>
              <w:left w:val="nil"/>
              <w:bottom w:val="nil"/>
              <w:right w:val="nil"/>
            </w:tcBorders>
          </w:tcPr>
          <w:p w14:paraId="64D55D25" w14:textId="77777777" w:rsidR="00053D93" w:rsidRDefault="00260B75">
            <w:pPr>
              <w:ind w:left="22"/>
            </w:pPr>
            <w:r>
              <w:rPr>
                <w:noProof/>
              </w:rPr>
              <w:lastRenderedPageBreak/>
              <w:drawing>
                <wp:inline distT="0" distB="0" distL="0" distR="0" wp14:anchorId="78DC1464" wp14:editId="2E0726AE">
                  <wp:extent cx="132588" cy="365760"/>
                  <wp:effectExtent l="0" t="0" r="0" b="0"/>
                  <wp:docPr id="212578" name="Picture 212578"/>
                  <wp:cNvGraphicFramePr/>
                  <a:graphic xmlns:a="http://schemas.openxmlformats.org/drawingml/2006/main">
                    <a:graphicData uri="http://schemas.openxmlformats.org/drawingml/2006/picture">
                      <pic:pic xmlns:pic="http://schemas.openxmlformats.org/drawingml/2006/picture">
                        <pic:nvPicPr>
                          <pic:cNvPr id="212578" name="Picture 212578"/>
                          <pic:cNvPicPr/>
                        </pic:nvPicPr>
                        <pic:blipFill>
                          <a:blip r:embed="rId300"/>
                          <a:stretch>
                            <a:fillRect/>
                          </a:stretch>
                        </pic:blipFill>
                        <pic:spPr>
                          <a:xfrm>
                            <a:off x="0" y="0"/>
                            <a:ext cx="132588" cy="365760"/>
                          </a:xfrm>
                          <a:prstGeom prst="rect">
                            <a:avLst/>
                          </a:prstGeom>
                        </pic:spPr>
                      </pic:pic>
                    </a:graphicData>
                  </a:graphic>
                </wp:inline>
              </w:drawing>
            </w:r>
          </w:p>
        </w:tc>
        <w:tc>
          <w:tcPr>
            <w:tcW w:w="0" w:type="auto"/>
            <w:vMerge/>
            <w:tcBorders>
              <w:top w:val="nil"/>
              <w:left w:val="nil"/>
              <w:bottom w:val="nil"/>
              <w:right w:val="nil"/>
            </w:tcBorders>
          </w:tcPr>
          <w:p w14:paraId="686343A2" w14:textId="77777777" w:rsidR="00053D93" w:rsidRDefault="00053D93"/>
        </w:tc>
      </w:tr>
      <w:tr w:rsidR="00053D93" w14:paraId="4EFBD3A4" w14:textId="77777777">
        <w:trPr>
          <w:trHeight w:val="806"/>
        </w:trPr>
        <w:tc>
          <w:tcPr>
            <w:tcW w:w="1779" w:type="dxa"/>
            <w:tcBorders>
              <w:top w:val="nil"/>
              <w:left w:val="nil"/>
              <w:bottom w:val="nil"/>
              <w:right w:val="nil"/>
            </w:tcBorders>
          </w:tcPr>
          <w:p w14:paraId="38FAEE3F" w14:textId="77777777" w:rsidR="00053D93" w:rsidRDefault="00260B75">
            <w:pPr>
              <w:ind w:left="22"/>
            </w:pPr>
            <w:r>
              <w:rPr>
                <w:noProof/>
              </w:rPr>
              <w:drawing>
                <wp:inline distT="0" distB="0" distL="0" distR="0" wp14:anchorId="6363BFD8" wp14:editId="04C3AB1F">
                  <wp:extent cx="132588" cy="361188"/>
                  <wp:effectExtent l="0" t="0" r="0" b="0"/>
                  <wp:docPr id="212579" name="Picture 212579"/>
                  <wp:cNvGraphicFramePr/>
                  <a:graphic xmlns:a="http://schemas.openxmlformats.org/drawingml/2006/main">
                    <a:graphicData uri="http://schemas.openxmlformats.org/drawingml/2006/picture">
                      <pic:pic xmlns:pic="http://schemas.openxmlformats.org/drawingml/2006/picture">
                        <pic:nvPicPr>
                          <pic:cNvPr id="212579" name="Picture 212579"/>
                          <pic:cNvPicPr/>
                        </pic:nvPicPr>
                        <pic:blipFill>
                          <a:blip r:embed="rId301"/>
                          <a:stretch>
                            <a:fillRect/>
                          </a:stretch>
                        </pic:blipFill>
                        <pic:spPr>
                          <a:xfrm>
                            <a:off x="0" y="0"/>
                            <a:ext cx="132588" cy="361188"/>
                          </a:xfrm>
                          <a:prstGeom prst="rect">
                            <a:avLst/>
                          </a:prstGeom>
                        </pic:spPr>
                      </pic:pic>
                    </a:graphicData>
                  </a:graphic>
                </wp:inline>
              </w:drawing>
            </w:r>
          </w:p>
        </w:tc>
        <w:tc>
          <w:tcPr>
            <w:tcW w:w="0" w:type="auto"/>
            <w:vMerge/>
            <w:tcBorders>
              <w:top w:val="nil"/>
              <w:left w:val="nil"/>
              <w:bottom w:val="nil"/>
              <w:right w:val="nil"/>
            </w:tcBorders>
          </w:tcPr>
          <w:p w14:paraId="0D92ACCC" w14:textId="77777777" w:rsidR="00053D93" w:rsidRDefault="00053D93"/>
        </w:tc>
      </w:tr>
      <w:tr w:rsidR="00053D93" w14:paraId="41CEB466" w14:textId="77777777">
        <w:trPr>
          <w:trHeight w:val="814"/>
        </w:trPr>
        <w:tc>
          <w:tcPr>
            <w:tcW w:w="1779" w:type="dxa"/>
            <w:tcBorders>
              <w:top w:val="nil"/>
              <w:left w:val="nil"/>
              <w:bottom w:val="nil"/>
              <w:right w:val="nil"/>
            </w:tcBorders>
          </w:tcPr>
          <w:p w14:paraId="2DF329FF" w14:textId="77777777" w:rsidR="00053D93" w:rsidRDefault="00260B75">
            <w:pPr>
              <w:ind w:left="22"/>
            </w:pPr>
            <w:r>
              <w:rPr>
                <w:noProof/>
              </w:rPr>
              <w:drawing>
                <wp:inline distT="0" distB="0" distL="0" distR="0" wp14:anchorId="61887C15" wp14:editId="4C0D17D5">
                  <wp:extent cx="128016" cy="365760"/>
                  <wp:effectExtent l="0" t="0" r="0" b="0"/>
                  <wp:docPr id="212580" name="Picture 212580"/>
                  <wp:cNvGraphicFramePr/>
                  <a:graphic xmlns:a="http://schemas.openxmlformats.org/drawingml/2006/main">
                    <a:graphicData uri="http://schemas.openxmlformats.org/drawingml/2006/picture">
                      <pic:pic xmlns:pic="http://schemas.openxmlformats.org/drawingml/2006/picture">
                        <pic:nvPicPr>
                          <pic:cNvPr id="212580" name="Picture 212580"/>
                          <pic:cNvPicPr/>
                        </pic:nvPicPr>
                        <pic:blipFill>
                          <a:blip r:embed="rId302"/>
                          <a:stretch>
                            <a:fillRect/>
                          </a:stretch>
                        </pic:blipFill>
                        <pic:spPr>
                          <a:xfrm>
                            <a:off x="0" y="0"/>
                            <a:ext cx="128016" cy="365760"/>
                          </a:xfrm>
                          <a:prstGeom prst="rect">
                            <a:avLst/>
                          </a:prstGeom>
                        </pic:spPr>
                      </pic:pic>
                    </a:graphicData>
                  </a:graphic>
                </wp:inline>
              </w:drawing>
            </w:r>
          </w:p>
        </w:tc>
        <w:tc>
          <w:tcPr>
            <w:tcW w:w="0" w:type="auto"/>
            <w:vMerge/>
            <w:tcBorders>
              <w:top w:val="nil"/>
              <w:left w:val="nil"/>
              <w:bottom w:val="nil"/>
              <w:right w:val="nil"/>
            </w:tcBorders>
          </w:tcPr>
          <w:p w14:paraId="649EF94C" w14:textId="77777777" w:rsidR="00053D93" w:rsidRDefault="00053D93"/>
        </w:tc>
      </w:tr>
      <w:tr w:rsidR="00053D93" w14:paraId="6929B51E" w14:textId="77777777">
        <w:trPr>
          <w:trHeight w:val="814"/>
        </w:trPr>
        <w:tc>
          <w:tcPr>
            <w:tcW w:w="1779" w:type="dxa"/>
            <w:tcBorders>
              <w:top w:val="nil"/>
              <w:left w:val="nil"/>
              <w:bottom w:val="nil"/>
              <w:right w:val="nil"/>
            </w:tcBorders>
          </w:tcPr>
          <w:p w14:paraId="31EB7417" w14:textId="77777777" w:rsidR="00053D93" w:rsidRDefault="00260B75">
            <w:pPr>
              <w:ind w:left="29"/>
            </w:pPr>
            <w:r>
              <w:rPr>
                <w:noProof/>
              </w:rPr>
              <w:drawing>
                <wp:inline distT="0" distB="0" distL="0" distR="0" wp14:anchorId="2D5816EE" wp14:editId="2774660E">
                  <wp:extent cx="128016" cy="365760"/>
                  <wp:effectExtent l="0" t="0" r="0" b="0"/>
                  <wp:docPr id="212581" name="Picture 212581"/>
                  <wp:cNvGraphicFramePr/>
                  <a:graphic xmlns:a="http://schemas.openxmlformats.org/drawingml/2006/main">
                    <a:graphicData uri="http://schemas.openxmlformats.org/drawingml/2006/picture">
                      <pic:pic xmlns:pic="http://schemas.openxmlformats.org/drawingml/2006/picture">
                        <pic:nvPicPr>
                          <pic:cNvPr id="212581" name="Picture 212581"/>
                          <pic:cNvPicPr/>
                        </pic:nvPicPr>
                        <pic:blipFill>
                          <a:blip r:embed="rId303"/>
                          <a:stretch>
                            <a:fillRect/>
                          </a:stretch>
                        </pic:blipFill>
                        <pic:spPr>
                          <a:xfrm>
                            <a:off x="0" y="0"/>
                            <a:ext cx="128016" cy="365760"/>
                          </a:xfrm>
                          <a:prstGeom prst="rect">
                            <a:avLst/>
                          </a:prstGeom>
                        </pic:spPr>
                      </pic:pic>
                    </a:graphicData>
                  </a:graphic>
                </wp:inline>
              </w:drawing>
            </w:r>
          </w:p>
        </w:tc>
        <w:tc>
          <w:tcPr>
            <w:tcW w:w="0" w:type="auto"/>
            <w:vMerge/>
            <w:tcBorders>
              <w:top w:val="nil"/>
              <w:left w:val="nil"/>
              <w:bottom w:val="nil"/>
              <w:right w:val="nil"/>
            </w:tcBorders>
          </w:tcPr>
          <w:p w14:paraId="30D15153" w14:textId="77777777" w:rsidR="00053D93" w:rsidRDefault="00053D93"/>
        </w:tc>
      </w:tr>
      <w:tr w:rsidR="00053D93" w14:paraId="63DA697E" w14:textId="77777777">
        <w:trPr>
          <w:trHeight w:val="806"/>
        </w:trPr>
        <w:tc>
          <w:tcPr>
            <w:tcW w:w="1779" w:type="dxa"/>
            <w:tcBorders>
              <w:top w:val="nil"/>
              <w:left w:val="nil"/>
              <w:bottom w:val="nil"/>
              <w:right w:val="nil"/>
            </w:tcBorders>
          </w:tcPr>
          <w:p w14:paraId="0016232F" w14:textId="77777777" w:rsidR="00053D93" w:rsidRDefault="00260B75">
            <w:pPr>
              <w:ind w:left="29"/>
            </w:pPr>
            <w:r>
              <w:rPr>
                <w:noProof/>
              </w:rPr>
              <w:drawing>
                <wp:inline distT="0" distB="0" distL="0" distR="0" wp14:anchorId="377BE667" wp14:editId="2742C38D">
                  <wp:extent cx="141732" cy="361188"/>
                  <wp:effectExtent l="0" t="0" r="0" b="0"/>
                  <wp:docPr id="212582" name="Picture 212582"/>
                  <wp:cNvGraphicFramePr/>
                  <a:graphic xmlns:a="http://schemas.openxmlformats.org/drawingml/2006/main">
                    <a:graphicData uri="http://schemas.openxmlformats.org/drawingml/2006/picture">
                      <pic:pic xmlns:pic="http://schemas.openxmlformats.org/drawingml/2006/picture">
                        <pic:nvPicPr>
                          <pic:cNvPr id="212582" name="Picture 212582"/>
                          <pic:cNvPicPr/>
                        </pic:nvPicPr>
                        <pic:blipFill>
                          <a:blip r:embed="rId304"/>
                          <a:stretch>
                            <a:fillRect/>
                          </a:stretch>
                        </pic:blipFill>
                        <pic:spPr>
                          <a:xfrm>
                            <a:off x="0" y="0"/>
                            <a:ext cx="141732" cy="361188"/>
                          </a:xfrm>
                          <a:prstGeom prst="rect">
                            <a:avLst/>
                          </a:prstGeom>
                        </pic:spPr>
                      </pic:pic>
                    </a:graphicData>
                  </a:graphic>
                </wp:inline>
              </w:drawing>
            </w:r>
          </w:p>
        </w:tc>
        <w:tc>
          <w:tcPr>
            <w:tcW w:w="0" w:type="auto"/>
            <w:vMerge/>
            <w:tcBorders>
              <w:top w:val="nil"/>
              <w:left w:val="nil"/>
              <w:bottom w:val="nil"/>
              <w:right w:val="nil"/>
            </w:tcBorders>
          </w:tcPr>
          <w:p w14:paraId="6C506909" w14:textId="77777777" w:rsidR="00053D93" w:rsidRDefault="00053D93"/>
        </w:tc>
      </w:tr>
      <w:tr w:rsidR="00053D93" w14:paraId="1ED9352F" w14:textId="77777777">
        <w:trPr>
          <w:trHeight w:val="821"/>
        </w:trPr>
        <w:tc>
          <w:tcPr>
            <w:tcW w:w="1779" w:type="dxa"/>
            <w:tcBorders>
              <w:top w:val="nil"/>
              <w:left w:val="nil"/>
              <w:bottom w:val="nil"/>
              <w:right w:val="nil"/>
            </w:tcBorders>
          </w:tcPr>
          <w:p w14:paraId="4D0DEB8D" w14:textId="77777777" w:rsidR="00053D93" w:rsidRDefault="00260B75">
            <w:pPr>
              <w:ind w:left="29"/>
            </w:pPr>
            <w:r>
              <w:rPr>
                <w:noProof/>
              </w:rPr>
              <w:drawing>
                <wp:inline distT="0" distB="0" distL="0" distR="0" wp14:anchorId="4754D2A9" wp14:editId="1C228074">
                  <wp:extent cx="141732" cy="374904"/>
                  <wp:effectExtent l="0" t="0" r="0" b="0"/>
                  <wp:docPr id="212583" name="Picture 212583"/>
                  <wp:cNvGraphicFramePr/>
                  <a:graphic xmlns:a="http://schemas.openxmlformats.org/drawingml/2006/main">
                    <a:graphicData uri="http://schemas.openxmlformats.org/drawingml/2006/picture">
                      <pic:pic xmlns:pic="http://schemas.openxmlformats.org/drawingml/2006/picture">
                        <pic:nvPicPr>
                          <pic:cNvPr id="212583" name="Picture 212583"/>
                          <pic:cNvPicPr/>
                        </pic:nvPicPr>
                        <pic:blipFill>
                          <a:blip r:embed="rId305"/>
                          <a:stretch>
                            <a:fillRect/>
                          </a:stretch>
                        </pic:blipFill>
                        <pic:spPr>
                          <a:xfrm>
                            <a:off x="0" y="0"/>
                            <a:ext cx="141732" cy="374904"/>
                          </a:xfrm>
                          <a:prstGeom prst="rect">
                            <a:avLst/>
                          </a:prstGeom>
                        </pic:spPr>
                      </pic:pic>
                    </a:graphicData>
                  </a:graphic>
                </wp:inline>
              </w:drawing>
            </w:r>
          </w:p>
        </w:tc>
        <w:tc>
          <w:tcPr>
            <w:tcW w:w="0" w:type="auto"/>
            <w:vMerge/>
            <w:tcBorders>
              <w:top w:val="nil"/>
              <w:left w:val="nil"/>
              <w:bottom w:val="nil"/>
              <w:right w:val="nil"/>
            </w:tcBorders>
          </w:tcPr>
          <w:p w14:paraId="2A1265D4" w14:textId="77777777" w:rsidR="00053D93" w:rsidRDefault="00053D93"/>
        </w:tc>
      </w:tr>
      <w:tr w:rsidR="00053D93" w14:paraId="36305AB2" w14:textId="77777777">
        <w:trPr>
          <w:trHeight w:val="810"/>
        </w:trPr>
        <w:tc>
          <w:tcPr>
            <w:tcW w:w="1779" w:type="dxa"/>
            <w:tcBorders>
              <w:top w:val="nil"/>
              <w:left w:val="nil"/>
              <w:bottom w:val="nil"/>
              <w:right w:val="nil"/>
            </w:tcBorders>
          </w:tcPr>
          <w:p w14:paraId="0DDA0446" w14:textId="77777777" w:rsidR="00053D93" w:rsidRDefault="00260B75">
            <w:pPr>
              <w:ind w:left="29"/>
            </w:pPr>
            <w:r>
              <w:rPr>
                <w:noProof/>
              </w:rPr>
              <w:drawing>
                <wp:inline distT="0" distB="0" distL="0" distR="0" wp14:anchorId="72A69A8F" wp14:editId="7C845788">
                  <wp:extent cx="137160" cy="365760"/>
                  <wp:effectExtent l="0" t="0" r="0" b="0"/>
                  <wp:docPr id="212584" name="Picture 212584"/>
                  <wp:cNvGraphicFramePr/>
                  <a:graphic xmlns:a="http://schemas.openxmlformats.org/drawingml/2006/main">
                    <a:graphicData uri="http://schemas.openxmlformats.org/drawingml/2006/picture">
                      <pic:pic xmlns:pic="http://schemas.openxmlformats.org/drawingml/2006/picture">
                        <pic:nvPicPr>
                          <pic:cNvPr id="212584" name="Picture 212584"/>
                          <pic:cNvPicPr/>
                        </pic:nvPicPr>
                        <pic:blipFill>
                          <a:blip r:embed="rId306"/>
                          <a:stretch>
                            <a:fillRect/>
                          </a:stretch>
                        </pic:blipFill>
                        <pic:spPr>
                          <a:xfrm>
                            <a:off x="0" y="0"/>
                            <a:ext cx="137160" cy="365760"/>
                          </a:xfrm>
                          <a:prstGeom prst="rect">
                            <a:avLst/>
                          </a:prstGeom>
                        </pic:spPr>
                      </pic:pic>
                    </a:graphicData>
                  </a:graphic>
                </wp:inline>
              </w:drawing>
            </w:r>
          </w:p>
        </w:tc>
        <w:tc>
          <w:tcPr>
            <w:tcW w:w="0" w:type="auto"/>
            <w:vMerge/>
            <w:tcBorders>
              <w:top w:val="nil"/>
              <w:left w:val="nil"/>
              <w:bottom w:val="nil"/>
              <w:right w:val="nil"/>
            </w:tcBorders>
          </w:tcPr>
          <w:p w14:paraId="7FE2ADBE" w14:textId="77777777" w:rsidR="00053D93" w:rsidRDefault="00053D93"/>
        </w:tc>
      </w:tr>
      <w:tr w:rsidR="00053D93" w14:paraId="17D98DCC" w14:textId="77777777">
        <w:trPr>
          <w:trHeight w:val="814"/>
        </w:trPr>
        <w:tc>
          <w:tcPr>
            <w:tcW w:w="1779" w:type="dxa"/>
            <w:tcBorders>
              <w:top w:val="nil"/>
              <w:left w:val="nil"/>
              <w:bottom w:val="nil"/>
              <w:right w:val="nil"/>
            </w:tcBorders>
          </w:tcPr>
          <w:p w14:paraId="78141E20" w14:textId="77777777" w:rsidR="00053D93" w:rsidRDefault="00260B75">
            <w:pPr>
              <w:ind w:left="29"/>
            </w:pPr>
            <w:r>
              <w:rPr>
                <w:noProof/>
              </w:rPr>
              <w:drawing>
                <wp:inline distT="0" distB="0" distL="0" distR="0" wp14:anchorId="7C1EF8B5" wp14:editId="4B384525">
                  <wp:extent cx="118872" cy="361188"/>
                  <wp:effectExtent l="0" t="0" r="0" b="0"/>
                  <wp:docPr id="212585" name="Picture 212585"/>
                  <wp:cNvGraphicFramePr/>
                  <a:graphic xmlns:a="http://schemas.openxmlformats.org/drawingml/2006/main">
                    <a:graphicData uri="http://schemas.openxmlformats.org/drawingml/2006/picture">
                      <pic:pic xmlns:pic="http://schemas.openxmlformats.org/drawingml/2006/picture">
                        <pic:nvPicPr>
                          <pic:cNvPr id="212585" name="Picture 212585"/>
                          <pic:cNvPicPr/>
                        </pic:nvPicPr>
                        <pic:blipFill>
                          <a:blip r:embed="rId307"/>
                          <a:stretch>
                            <a:fillRect/>
                          </a:stretch>
                        </pic:blipFill>
                        <pic:spPr>
                          <a:xfrm>
                            <a:off x="0" y="0"/>
                            <a:ext cx="118872" cy="361188"/>
                          </a:xfrm>
                          <a:prstGeom prst="rect">
                            <a:avLst/>
                          </a:prstGeom>
                        </pic:spPr>
                      </pic:pic>
                    </a:graphicData>
                  </a:graphic>
                </wp:inline>
              </w:drawing>
            </w:r>
          </w:p>
        </w:tc>
        <w:tc>
          <w:tcPr>
            <w:tcW w:w="0" w:type="auto"/>
            <w:vMerge/>
            <w:tcBorders>
              <w:top w:val="nil"/>
              <w:left w:val="nil"/>
              <w:bottom w:val="nil"/>
              <w:right w:val="nil"/>
            </w:tcBorders>
          </w:tcPr>
          <w:p w14:paraId="36D4AC0F" w14:textId="77777777" w:rsidR="00053D93" w:rsidRDefault="00053D93"/>
        </w:tc>
      </w:tr>
      <w:tr w:rsidR="00053D93" w14:paraId="043DA1C6" w14:textId="77777777">
        <w:trPr>
          <w:trHeight w:val="810"/>
        </w:trPr>
        <w:tc>
          <w:tcPr>
            <w:tcW w:w="1779" w:type="dxa"/>
            <w:tcBorders>
              <w:top w:val="nil"/>
              <w:left w:val="nil"/>
              <w:bottom w:val="nil"/>
              <w:right w:val="nil"/>
            </w:tcBorders>
          </w:tcPr>
          <w:p w14:paraId="1021967E" w14:textId="77777777" w:rsidR="00053D93" w:rsidRDefault="00260B75">
            <w:pPr>
              <w:ind w:left="29"/>
            </w:pPr>
            <w:r>
              <w:rPr>
                <w:noProof/>
              </w:rPr>
              <w:drawing>
                <wp:inline distT="0" distB="0" distL="0" distR="0" wp14:anchorId="48C16CFD" wp14:editId="3F7F09DD">
                  <wp:extent cx="118872" cy="356615"/>
                  <wp:effectExtent l="0" t="0" r="0" b="0"/>
                  <wp:docPr id="212586" name="Picture 212586"/>
                  <wp:cNvGraphicFramePr/>
                  <a:graphic xmlns:a="http://schemas.openxmlformats.org/drawingml/2006/main">
                    <a:graphicData uri="http://schemas.openxmlformats.org/drawingml/2006/picture">
                      <pic:pic xmlns:pic="http://schemas.openxmlformats.org/drawingml/2006/picture">
                        <pic:nvPicPr>
                          <pic:cNvPr id="212586" name="Picture 212586"/>
                          <pic:cNvPicPr/>
                        </pic:nvPicPr>
                        <pic:blipFill>
                          <a:blip r:embed="rId308"/>
                          <a:stretch>
                            <a:fillRect/>
                          </a:stretch>
                        </pic:blipFill>
                        <pic:spPr>
                          <a:xfrm>
                            <a:off x="0" y="0"/>
                            <a:ext cx="118872" cy="356615"/>
                          </a:xfrm>
                          <a:prstGeom prst="rect">
                            <a:avLst/>
                          </a:prstGeom>
                        </pic:spPr>
                      </pic:pic>
                    </a:graphicData>
                  </a:graphic>
                </wp:inline>
              </w:drawing>
            </w:r>
          </w:p>
        </w:tc>
        <w:tc>
          <w:tcPr>
            <w:tcW w:w="0" w:type="auto"/>
            <w:vMerge/>
            <w:tcBorders>
              <w:top w:val="nil"/>
              <w:left w:val="nil"/>
              <w:bottom w:val="nil"/>
              <w:right w:val="nil"/>
            </w:tcBorders>
          </w:tcPr>
          <w:p w14:paraId="739708E8" w14:textId="77777777" w:rsidR="00053D93" w:rsidRDefault="00053D93"/>
        </w:tc>
      </w:tr>
      <w:tr w:rsidR="00053D93" w14:paraId="3CB5AD07" w14:textId="77777777">
        <w:trPr>
          <w:trHeight w:val="810"/>
        </w:trPr>
        <w:tc>
          <w:tcPr>
            <w:tcW w:w="1779" w:type="dxa"/>
            <w:tcBorders>
              <w:top w:val="nil"/>
              <w:left w:val="nil"/>
              <w:bottom w:val="nil"/>
              <w:right w:val="nil"/>
            </w:tcBorders>
          </w:tcPr>
          <w:p w14:paraId="4B73D536" w14:textId="77777777" w:rsidR="00053D93" w:rsidRDefault="00260B75">
            <w:pPr>
              <w:ind w:left="29"/>
            </w:pPr>
            <w:r>
              <w:rPr>
                <w:noProof/>
              </w:rPr>
              <w:drawing>
                <wp:inline distT="0" distB="0" distL="0" distR="0" wp14:anchorId="07AA48F7" wp14:editId="2ABDF1DD">
                  <wp:extent cx="114300" cy="352044"/>
                  <wp:effectExtent l="0" t="0" r="0" b="0"/>
                  <wp:docPr id="212587" name="Picture 212587"/>
                  <wp:cNvGraphicFramePr/>
                  <a:graphic xmlns:a="http://schemas.openxmlformats.org/drawingml/2006/main">
                    <a:graphicData uri="http://schemas.openxmlformats.org/drawingml/2006/picture">
                      <pic:pic xmlns:pic="http://schemas.openxmlformats.org/drawingml/2006/picture">
                        <pic:nvPicPr>
                          <pic:cNvPr id="212587" name="Picture 212587"/>
                          <pic:cNvPicPr/>
                        </pic:nvPicPr>
                        <pic:blipFill>
                          <a:blip r:embed="rId309"/>
                          <a:stretch>
                            <a:fillRect/>
                          </a:stretch>
                        </pic:blipFill>
                        <pic:spPr>
                          <a:xfrm>
                            <a:off x="0" y="0"/>
                            <a:ext cx="114300" cy="352044"/>
                          </a:xfrm>
                          <a:prstGeom prst="rect">
                            <a:avLst/>
                          </a:prstGeom>
                        </pic:spPr>
                      </pic:pic>
                    </a:graphicData>
                  </a:graphic>
                </wp:inline>
              </w:drawing>
            </w:r>
          </w:p>
        </w:tc>
        <w:tc>
          <w:tcPr>
            <w:tcW w:w="0" w:type="auto"/>
            <w:vMerge/>
            <w:tcBorders>
              <w:top w:val="nil"/>
              <w:left w:val="nil"/>
              <w:bottom w:val="nil"/>
              <w:right w:val="nil"/>
            </w:tcBorders>
          </w:tcPr>
          <w:p w14:paraId="35C75FDF" w14:textId="77777777" w:rsidR="00053D93" w:rsidRDefault="00053D93"/>
        </w:tc>
      </w:tr>
      <w:tr w:rsidR="00053D93" w14:paraId="5DD24A44" w14:textId="77777777">
        <w:trPr>
          <w:trHeight w:val="817"/>
        </w:trPr>
        <w:tc>
          <w:tcPr>
            <w:tcW w:w="1779" w:type="dxa"/>
            <w:tcBorders>
              <w:top w:val="nil"/>
              <w:left w:val="nil"/>
              <w:bottom w:val="nil"/>
              <w:right w:val="nil"/>
            </w:tcBorders>
          </w:tcPr>
          <w:p w14:paraId="20BBB62B" w14:textId="77777777" w:rsidR="00053D93" w:rsidRDefault="00260B75">
            <w:pPr>
              <w:ind w:left="29"/>
            </w:pPr>
            <w:r>
              <w:rPr>
                <w:noProof/>
              </w:rPr>
              <w:drawing>
                <wp:inline distT="0" distB="0" distL="0" distR="0" wp14:anchorId="53F485B9" wp14:editId="66BAED43">
                  <wp:extent cx="118872" cy="352044"/>
                  <wp:effectExtent l="0" t="0" r="0" b="0"/>
                  <wp:docPr id="212588" name="Picture 212588"/>
                  <wp:cNvGraphicFramePr/>
                  <a:graphic xmlns:a="http://schemas.openxmlformats.org/drawingml/2006/main">
                    <a:graphicData uri="http://schemas.openxmlformats.org/drawingml/2006/picture">
                      <pic:pic xmlns:pic="http://schemas.openxmlformats.org/drawingml/2006/picture">
                        <pic:nvPicPr>
                          <pic:cNvPr id="212588" name="Picture 212588"/>
                          <pic:cNvPicPr/>
                        </pic:nvPicPr>
                        <pic:blipFill>
                          <a:blip r:embed="rId310"/>
                          <a:stretch>
                            <a:fillRect/>
                          </a:stretch>
                        </pic:blipFill>
                        <pic:spPr>
                          <a:xfrm>
                            <a:off x="0" y="0"/>
                            <a:ext cx="118872" cy="352044"/>
                          </a:xfrm>
                          <a:prstGeom prst="rect">
                            <a:avLst/>
                          </a:prstGeom>
                        </pic:spPr>
                      </pic:pic>
                    </a:graphicData>
                  </a:graphic>
                </wp:inline>
              </w:drawing>
            </w:r>
          </w:p>
        </w:tc>
        <w:tc>
          <w:tcPr>
            <w:tcW w:w="0" w:type="auto"/>
            <w:vMerge/>
            <w:tcBorders>
              <w:top w:val="nil"/>
              <w:left w:val="nil"/>
              <w:bottom w:val="nil"/>
              <w:right w:val="nil"/>
            </w:tcBorders>
          </w:tcPr>
          <w:p w14:paraId="5C48542E" w14:textId="77777777" w:rsidR="00053D93" w:rsidRDefault="00053D93"/>
        </w:tc>
      </w:tr>
      <w:tr w:rsidR="00053D93" w14:paraId="3931F53D" w14:textId="77777777">
        <w:trPr>
          <w:trHeight w:val="918"/>
        </w:trPr>
        <w:tc>
          <w:tcPr>
            <w:tcW w:w="1779" w:type="dxa"/>
            <w:tcBorders>
              <w:top w:val="nil"/>
              <w:left w:val="nil"/>
              <w:bottom w:val="nil"/>
              <w:right w:val="nil"/>
            </w:tcBorders>
          </w:tcPr>
          <w:p w14:paraId="6777FF92" w14:textId="77777777" w:rsidR="00053D93" w:rsidRDefault="00260B75">
            <w:pPr>
              <w:ind w:left="29"/>
            </w:pPr>
            <w:r>
              <w:rPr>
                <w:noProof/>
              </w:rPr>
              <w:drawing>
                <wp:inline distT="0" distB="0" distL="0" distR="0" wp14:anchorId="2C2D0220" wp14:editId="55B756D9">
                  <wp:extent cx="1110996" cy="498348"/>
                  <wp:effectExtent l="0" t="0" r="0" b="0"/>
                  <wp:docPr id="2458203" name="Picture 2458203"/>
                  <wp:cNvGraphicFramePr/>
                  <a:graphic xmlns:a="http://schemas.openxmlformats.org/drawingml/2006/main">
                    <a:graphicData uri="http://schemas.openxmlformats.org/drawingml/2006/picture">
                      <pic:pic xmlns:pic="http://schemas.openxmlformats.org/drawingml/2006/picture">
                        <pic:nvPicPr>
                          <pic:cNvPr id="2458203" name="Picture 2458203"/>
                          <pic:cNvPicPr/>
                        </pic:nvPicPr>
                        <pic:blipFill>
                          <a:blip r:embed="rId311"/>
                          <a:stretch>
                            <a:fillRect/>
                          </a:stretch>
                        </pic:blipFill>
                        <pic:spPr>
                          <a:xfrm>
                            <a:off x="0" y="0"/>
                            <a:ext cx="1110996" cy="498348"/>
                          </a:xfrm>
                          <a:prstGeom prst="rect">
                            <a:avLst/>
                          </a:prstGeom>
                        </pic:spPr>
                      </pic:pic>
                    </a:graphicData>
                  </a:graphic>
                </wp:inline>
              </w:drawing>
            </w:r>
          </w:p>
        </w:tc>
        <w:tc>
          <w:tcPr>
            <w:tcW w:w="0" w:type="auto"/>
            <w:vMerge/>
            <w:tcBorders>
              <w:top w:val="nil"/>
              <w:left w:val="nil"/>
              <w:bottom w:val="nil"/>
              <w:right w:val="nil"/>
            </w:tcBorders>
          </w:tcPr>
          <w:p w14:paraId="01948153" w14:textId="77777777" w:rsidR="00053D93" w:rsidRDefault="00053D93"/>
        </w:tc>
      </w:tr>
    </w:tbl>
    <w:p w14:paraId="4C9A05D2" w14:textId="77777777" w:rsidR="00053D93" w:rsidRDefault="00260B75">
      <w:pPr>
        <w:spacing w:after="241"/>
        <w:ind w:left="-281" w:right="10483"/>
      </w:pPr>
      <w:r>
        <w:rPr>
          <w:noProof/>
        </w:rPr>
        <w:drawing>
          <wp:anchor distT="0" distB="0" distL="114300" distR="114300" simplePos="0" relativeHeight="251800576" behindDoc="0" locked="0" layoutInCell="1" allowOverlap="0" wp14:anchorId="758B98C6" wp14:editId="0770CAE3">
            <wp:simplePos x="0" y="0"/>
            <wp:positionH relativeFrom="page">
              <wp:posOffset>214884</wp:posOffset>
            </wp:positionH>
            <wp:positionV relativeFrom="page">
              <wp:posOffset>324612</wp:posOffset>
            </wp:positionV>
            <wp:extent cx="118872" cy="342900"/>
            <wp:effectExtent l="0" t="0" r="0" b="0"/>
            <wp:wrapTopAndBottom/>
            <wp:docPr id="217574" name="Picture 217574"/>
            <wp:cNvGraphicFramePr/>
            <a:graphic xmlns:a="http://schemas.openxmlformats.org/drawingml/2006/main">
              <a:graphicData uri="http://schemas.openxmlformats.org/drawingml/2006/picture">
                <pic:pic xmlns:pic="http://schemas.openxmlformats.org/drawingml/2006/picture">
                  <pic:nvPicPr>
                    <pic:cNvPr id="217574" name="Picture 217574"/>
                    <pic:cNvPicPr/>
                  </pic:nvPicPr>
                  <pic:blipFill>
                    <a:blip r:embed="rId312"/>
                    <a:stretch>
                      <a:fillRect/>
                    </a:stretch>
                  </pic:blipFill>
                  <pic:spPr>
                    <a:xfrm>
                      <a:off x="0" y="0"/>
                      <a:ext cx="118872" cy="342900"/>
                    </a:xfrm>
                    <a:prstGeom prst="rect">
                      <a:avLst/>
                    </a:prstGeom>
                  </pic:spPr>
                </pic:pic>
              </a:graphicData>
            </a:graphic>
          </wp:anchor>
        </w:drawing>
      </w:r>
    </w:p>
    <w:tbl>
      <w:tblPr>
        <w:tblStyle w:val="TableGrid"/>
        <w:tblW w:w="10149" w:type="dxa"/>
        <w:tblInd w:w="58" w:type="dxa"/>
        <w:tblLook w:val="04A0" w:firstRow="1" w:lastRow="0" w:firstColumn="1" w:lastColumn="0" w:noHBand="0" w:noVBand="1"/>
      </w:tblPr>
      <w:tblGrid>
        <w:gridCol w:w="1634"/>
        <w:gridCol w:w="10488"/>
      </w:tblGrid>
      <w:tr w:rsidR="00053D93" w14:paraId="12A3517C" w14:textId="77777777">
        <w:trPr>
          <w:trHeight w:val="756"/>
        </w:trPr>
        <w:tc>
          <w:tcPr>
            <w:tcW w:w="1636" w:type="dxa"/>
            <w:tcBorders>
              <w:top w:val="nil"/>
              <w:left w:val="nil"/>
              <w:bottom w:val="nil"/>
              <w:right w:val="nil"/>
            </w:tcBorders>
          </w:tcPr>
          <w:p w14:paraId="4BDE145E" w14:textId="77777777" w:rsidR="00053D93" w:rsidRDefault="00260B75">
            <w:pPr>
              <w:ind w:left="7"/>
            </w:pPr>
            <w:r>
              <w:rPr>
                <w:noProof/>
              </w:rPr>
              <w:drawing>
                <wp:inline distT="0" distB="0" distL="0" distR="0" wp14:anchorId="0D2409C2" wp14:editId="3A972028">
                  <wp:extent cx="118872" cy="342900"/>
                  <wp:effectExtent l="0" t="0" r="0" b="0"/>
                  <wp:docPr id="217559" name="Picture 217559"/>
                  <wp:cNvGraphicFramePr/>
                  <a:graphic xmlns:a="http://schemas.openxmlformats.org/drawingml/2006/main">
                    <a:graphicData uri="http://schemas.openxmlformats.org/drawingml/2006/picture">
                      <pic:pic xmlns:pic="http://schemas.openxmlformats.org/drawingml/2006/picture">
                        <pic:nvPicPr>
                          <pic:cNvPr id="217559" name="Picture 217559"/>
                          <pic:cNvPicPr/>
                        </pic:nvPicPr>
                        <pic:blipFill>
                          <a:blip r:embed="rId313"/>
                          <a:stretch>
                            <a:fillRect/>
                          </a:stretch>
                        </pic:blipFill>
                        <pic:spPr>
                          <a:xfrm>
                            <a:off x="0" y="0"/>
                            <a:ext cx="118872" cy="342900"/>
                          </a:xfrm>
                          <a:prstGeom prst="rect">
                            <a:avLst/>
                          </a:prstGeom>
                        </pic:spPr>
                      </pic:pic>
                    </a:graphicData>
                  </a:graphic>
                </wp:inline>
              </w:drawing>
            </w:r>
          </w:p>
        </w:tc>
        <w:tc>
          <w:tcPr>
            <w:tcW w:w="8513" w:type="dxa"/>
            <w:vMerge w:val="restart"/>
            <w:tcBorders>
              <w:top w:val="nil"/>
              <w:left w:val="nil"/>
              <w:bottom w:val="nil"/>
              <w:right w:val="nil"/>
            </w:tcBorders>
          </w:tcPr>
          <w:p w14:paraId="21C03424" w14:textId="77777777" w:rsidR="00053D93" w:rsidRDefault="00053D93">
            <w:pPr>
              <w:ind w:left="-1975" w:right="10488"/>
            </w:pPr>
          </w:p>
          <w:tbl>
            <w:tblPr>
              <w:tblStyle w:val="TableGrid"/>
              <w:tblW w:w="8511" w:type="dxa"/>
              <w:tblInd w:w="2" w:type="dxa"/>
              <w:tblCellMar>
                <w:top w:w="11" w:type="dxa"/>
              </w:tblCellMar>
              <w:tblLook w:val="04A0" w:firstRow="1" w:lastRow="0" w:firstColumn="1" w:lastColumn="0" w:noHBand="0" w:noVBand="1"/>
            </w:tblPr>
            <w:tblGrid>
              <w:gridCol w:w="304"/>
              <w:gridCol w:w="314"/>
              <w:gridCol w:w="269"/>
              <w:gridCol w:w="3326"/>
              <w:gridCol w:w="944"/>
              <w:gridCol w:w="1331"/>
              <w:gridCol w:w="1279"/>
              <w:gridCol w:w="744"/>
            </w:tblGrid>
            <w:tr w:rsidR="00053D93" w14:paraId="3A77BA22" w14:textId="77777777">
              <w:trPr>
                <w:trHeight w:val="833"/>
              </w:trPr>
              <w:tc>
                <w:tcPr>
                  <w:tcW w:w="299" w:type="dxa"/>
                  <w:tcBorders>
                    <w:top w:val="single" w:sz="2" w:space="0" w:color="000000"/>
                    <w:left w:val="single" w:sz="2" w:space="0" w:color="000000"/>
                    <w:bottom w:val="single" w:sz="2" w:space="0" w:color="000000"/>
                    <w:right w:val="single" w:sz="2" w:space="0" w:color="000000"/>
                  </w:tcBorders>
                </w:tcPr>
                <w:p w14:paraId="659D0252" w14:textId="77777777" w:rsidR="00053D93" w:rsidRDefault="00053D93"/>
              </w:tc>
              <w:tc>
                <w:tcPr>
                  <w:tcW w:w="3893" w:type="dxa"/>
                  <w:gridSpan w:val="3"/>
                  <w:tcBorders>
                    <w:top w:val="single" w:sz="2" w:space="0" w:color="000000"/>
                    <w:left w:val="single" w:sz="2" w:space="0" w:color="000000"/>
                    <w:bottom w:val="single" w:sz="2" w:space="0" w:color="000000"/>
                    <w:right w:val="single" w:sz="2" w:space="0" w:color="000000"/>
                  </w:tcBorders>
                </w:tcPr>
                <w:p w14:paraId="536EFB4C" w14:textId="77777777" w:rsidR="00053D93" w:rsidRDefault="00053D93"/>
              </w:tc>
              <w:tc>
                <w:tcPr>
                  <w:tcW w:w="950" w:type="dxa"/>
                  <w:tcBorders>
                    <w:top w:val="single" w:sz="2" w:space="0" w:color="000000"/>
                    <w:left w:val="single" w:sz="2" w:space="0" w:color="000000"/>
                    <w:bottom w:val="single" w:sz="2" w:space="0" w:color="000000"/>
                    <w:right w:val="single" w:sz="2" w:space="0" w:color="000000"/>
                  </w:tcBorders>
                </w:tcPr>
                <w:p w14:paraId="63AB87F2" w14:textId="77777777" w:rsidR="00053D93" w:rsidRDefault="00053D93"/>
              </w:tc>
              <w:tc>
                <w:tcPr>
                  <w:tcW w:w="1339" w:type="dxa"/>
                  <w:tcBorders>
                    <w:top w:val="single" w:sz="2" w:space="0" w:color="000000"/>
                    <w:left w:val="single" w:sz="2" w:space="0" w:color="000000"/>
                    <w:bottom w:val="single" w:sz="2" w:space="0" w:color="000000"/>
                    <w:right w:val="single" w:sz="2" w:space="0" w:color="000000"/>
                  </w:tcBorders>
                </w:tcPr>
                <w:p w14:paraId="468B39FD" w14:textId="77777777" w:rsidR="00053D93" w:rsidRDefault="00053D93"/>
              </w:tc>
              <w:tc>
                <w:tcPr>
                  <w:tcW w:w="1282" w:type="dxa"/>
                  <w:tcBorders>
                    <w:top w:val="single" w:sz="2" w:space="0" w:color="000000"/>
                    <w:left w:val="single" w:sz="2" w:space="0" w:color="000000"/>
                    <w:bottom w:val="single" w:sz="2" w:space="0" w:color="000000"/>
                    <w:right w:val="single" w:sz="2" w:space="0" w:color="000000"/>
                  </w:tcBorders>
                </w:tcPr>
                <w:p w14:paraId="663C680A" w14:textId="77777777" w:rsidR="00053D93" w:rsidRDefault="00260B75">
                  <w:pPr>
                    <w:spacing w:line="328" w:lineRule="auto"/>
                    <w:ind w:left="68"/>
                    <w:jc w:val="both"/>
                  </w:pPr>
                  <w:r>
                    <w:rPr>
                      <w:sz w:val="14"/>
                    </w:rPr>
                    <w:t>entradas tardias y apllcaciones de</w:t>
                  </w:r>
                </w:p>
                <w:p w14:paraId="36702C43" w14:textId="77777777" w:rsidR="00053D93" w:rsidRDefault="00260B75">
                  <w:pPr>
                    <w:ind w:left="68"/>
                  </w:pPr>
                  <w:r>
                    <w:rPr>
                      <w:sz w:val="14"/>
                    </w:rPr>
                    <w:t>sanaones.</w:t>
                  </w:r>
                </w:p>
              </w:tc>
              <w:tc>
                <w:tcPr>
                  <w:tcW w:w="749" w:type="dxa"/>
                  <w:tcBorders>
                    <w:top w:val="single" w:sz="2" w:space="0" w:color="000000"/>
                    <w:left w:val="single" w:sz="2" w:space="0" w:color="000000"/>
                    <w:bottom w:val="single" w:sz="2" w:space="0" w:color="000000"/>
                    <w:right w:val="single" w:sz="2" w:space="0" w:color="000000"/>
                  </w:tcBorders>
                </w:tcPr>
                <w:p w14:paraId="085EDE02" w14:textId="77777777" w:rsidR="00053D93" w:rsidRDefault="00053D93"/>
              </w:tc>
            </w:tr>
            <w:tr w:rsidR="00053D93" w14:paraId="00B72DAC" w14:textId="77777777">
              <w:trPr>
                <w:trHeight w:val="1774"/>
              </w:trPr>
              <w:tc>
                <w:tcPr>
                  <w:tcW w:w="299" w:type="dxa"/>
                  <w:tcBorders>
                    <w:top w:val="single" w:sz="2" w:space="0" w:color="000000"/>
                    <w:left w:val="single" w:sz="2" w:space="0" w:color="000000"/>
                    <w:bottom w:val="single" w:sz="2" w:space="0" w:color="000000"/>
                    <w:right w:val="single" w:sz="2" w:space="0" w:color="000000"/>
                  </w:tcBorders>
                </w:tcPr>
                <w:p w14:paraId="1E2C882A" w14:textId="77777777" w:rsidR="00053D93" w:rsidRDefault="00260B75">
                  <w:pPr>
                    <w:ind w:right="14"/>
                    <w:jc w:val="right"/>
                  </w:pPr>
                  <w:r>
                    <w:rPr>
                      <w:rFonts w:ascii="Times New Roman" w:eastAsia="Times New Roman" w:hAnsi="Times New Roman" w:cs="Times New Roman"/>
                      <w:sz w:val="12"/>
                    </w:rPr>
                    <w:lastRenderedPageBreak/>
                    <w:t>19</w:t>
                  </w:r>
                </w:p>
              </w:tc>
              <w:tc>
                <w:tcPr>
                  <w:tcW w:w="3893" w:type="dxa"/>
                  <w:gridSpan w:val="3"/>
                  <w:tcBorders>
                    <w:top w:val="single" w:sz="2" w:space="0" w:color="000000"/>
                    <w:left w:val="single" w:sz="2" w:space="0" w:color="000000"/>
                    <w:bottom w:val="single" w:sz="2" w:space="0" w:color="000000"/>
                    <w:right w:val="single" w:sz="2" w:space="0" w:color="000000"/>
                  </w:tcBorders>
                </w:tcPr>
                <w:p w14:paraId="2D70769F" w14:textId="77777777" w:rsidR="00053D93" w:rsidRDefault="00260B75">
                  <w:pPr>
                    <w:ind w:left="187"/>
                  </w:pPr>
                  <w:r>
                    <w:rPr>
                      <w:sz w:val="12"/>
                    </w:rPr>
                    <w:t>Oficio Preventivo No, 3-2024</w:t>
                  </w:r>
                </w:p>
              </w:tc>
              <w:tc>
                <w:tcPr>
                  <w:tcW w:w="950" w:type="dxa"/>
                  <w:tcBorders>
                    <w:top w:val="single" w:sz="2" w:space="0" w:color="000000"/>
                    <w:left w:val="single" w:sz="2" w:space="0" w:color="000000"/>
                    <w:bottom w:val="single" w:sz="2" w:space="0" w:color="000000"/>
                    <w:right w:val="single" w:sz="2" w:space="0" w:color="000000"/>
                  </w:tcBorders>
                </w:tcPr>
                <w:p w14:paraId="4E83708D" w14:textId="77777777" w:rsidR="00053D93" w:rsidRDefault="00260B75">
                  <w:pPr>
                    <w:ind w:right="9"/>
                    <w:jc w:val="center"/>
                  </w:pPr>
                  <w:r>
                    <w:rPr>
                      <w:rFonts w:ascii="Times New Roman" w:eastAsia="Times New Roman" w:hAnsi="Times New Roman" w:cs="Times New Roman"/>
                      <w:sz w:val="12"/>
                    </w:rPr>
                    <w:t>18/1112024</w:t>
                  </w:r>
                </w:p>
              </w:tc>
              <w:tc>
                <w:tcPr>
                  <w:tcW w:w="1339" w:type="dxa"/>
                  <w:tcBorders>
                    <w:top w:val="single" w:sz="2" w:space="0" w:color="000000"/>
                    <w:left w:val="single" w:sz="2" w:space="0" w:color="000000"/>
                    <w:bottom w:val="single" w:sz="2" w:space="0" w:color="000000"/>
                    <w:right w:val="single" w:sz="2" w:space="0" w:color="000000"/>
                  </w:tcBorders>
                </w:tcPr>
                <w:p w14:paraId="2381B34E" w14:textId="77777777" w:rsidR="00053D93" w:rsidRDefault="00260B75">
                  <w:pPr>
                    <w:tabs>
                      <w:tab w:val="center" w:pos="280"/>
                      <w:tab w:val="center" w:pos="1148"/>
                    </w:tabs>
                    <w:spacing w:after="34"/>
                  </w:pPr>
                  <w:r>
                    <w:rPr>
                      <w:sz w:val="16"/>
                    </w:rPr>
                    <w:tab/>
                    <w:t>Norma</w:t>
                  </w:r>
                  <w:r>
                    <w:rPr>
                      <w:sz w:val="16"/>
                    </w:rPr>
                    <w:tab/>
                  </w:r>
                  <w:r>
                    <w:rPr>
                      <w:rFonts w:ascii="Times New Roman" w:eastAsia="Times New Roman" w:hAnsi="Times New Roman" w:cs="Times New Roman"/>
                      <w:sz w:val="16"/>
                    </w:rPr>
                    <w:t>4 . 2</w:t>
                  </w:r>
                </w:p>
                <w:p w14:paraId="41C88842" w14:textId="77777777" w:rsidR="00053D93" w:rsidRDefault="00260B75">
                  <w:pPr>
                    <w:tabs>
                      <w:tab w:val="center" w:pos="424"/>
                      <w:tab w:val="center" w:pos="1183"/>
                    </w:tabs>
                    <w:spacing w:after="24"/>
                  </w:pPr>
                  <w:r>
                    <w:rPr>
                      <w:sz w:val="14"/>
                    </w:rPr>
                    <w:tab/>
                    <w:t>Documentos</w:t>
                  </w:r>
                  <w:r>
                    <w:rPr>
                      <w:sz w:val="14"/>
                    </w:rPr>
                    <w:tab/>
                    <w:t>de</w:t>
                  </w:r>
                </w:p>
                <w:p w14:paraId="45202C69" w14:textId="77777777" w:rsidR="00053D93" w:rsidRDefault="00260B75">
                  <w:pPr>
                    <w:ind w:left="75"/>
                  </w:pPr>
                  <w:r>
                    <w:rPr>
                      <w:sz w:val="14"/>
                    </w:rPr>
                    <w:t>Respalde</w:t>
                  </w:r>
                </w:p>
              </w:tc>
              <w:tc>
                <w:tcPr>
                  <w:tcW w:w="1282" w:type="dxa"/>
                  <w:tcBorders>
                    <w:top w:val="single" w:sz="2" w:space="0" w:color="000000"/>
                    <w:left w:val="single" w:sz="2" w:space="0" w:color="000000"/>
                    <w:bottom w:val="single" w:sz="2" w:space="0" w:color="000000"/>
                    <w:right w:val="single" w:sz="2" w:space="0" w:color="000000"/>
                  </w:tcBorders>
                </w:tcPr>
                <w:p w14:paraId="7E548937" w14:textId="77777777" w:rsidR="00053D93" w:rsidRDefault="00260B75">
                  <w:pPr>
                    <w:spacing w:line="281" w:lineRule="auto"/>
                    <w:ind w:left="68"/>
                    <w:jc w:val="both"/>
                  </w:pPr>
                  <w:r>
                    <w:rPr>
                      <w:sz w:val="12"/>
                    </w:rPr>
                    <w:t>Falta de control en los formulaciones de</w:t>
                  </w:r>
                </w:p>
                <w:p w14:paraId="0C20F15A" w14:textId="77777777" w:rsidR="00053D93" w:rsidRDefault="00260B75">
                  <w:pPr>
                    <w:ind w:left="68"/>
                  </w:pPr>
                  <w:r>
                    <w:rPr>
                      <w:sz w:val="14"/>
                    </w:rPr>
                    <w:t>Mático Constancia</w:t>
                  </w:r>
                </w:p>
              </w:tc>
              <w:tc>
                <w:tcPr>
                  <w:tcW w:w="749" w:type="dxa"/>
                  <w:tcBorders>
                    <w:top w:val="single" w:sz="2" w:space="0" w:color="000000"/>
                    <w:left w:val="single" w:sz="2" w:space="0" w:color="000000"/>
                    <w:bottom w:val="single" w:sz="2" w:space="0" w:color="000000"/>
                    <w:right w:val="single" w:sz="2" w:space="0" w:color="000000"/>
                  </w:tcBorders>
                </w:tcPr>
                <w:p w14:paraId="66D7D299" w14:textId="77777777" w:rsidR="00053D93" w:rsidRDefault="00260B75">
                  <w:pPr>
                    <w:ind w:right="23"/>
                    <w:jc w:val="center"/>
                  </w:pPr>
                  <w:r>
                    <w:rPr>
                      <w:sz w:val="12"/>
                    </w:rPr>
                    <w:t>Atendida</w:t>
                  </w:r>
                </w:p>
              </w:tc>
            </w:tr>
            <w:tr w:rsidR="00053D93" w14:paraId="6CDBBA73" w14:textId="77777777">
              <w:trPr>
                <w:trHeight w:val="1769"/>
              </w:trPr>
              <w:tc>
                <w:tcPr>
                  <w:tcW w:w="299" w:type="dxa"/>
                  <w:tcBorders>
                    <w:top w:val="single" w:sz="2" w:space="0" w:color="000000"/>
                    <w:left w:val="single" w:sz="2" w:space="0" w:color="000000"/>
                    <w:bottom w:val="single" w:sz="2" w:space="0" w:color="000000"/>
                    <w:right w:val="single" w:sz="2" w:space="0" w:color="000000"/>
                  </w:tcBorders>
                </w:tcPr>
                <w:p w14:paraId="0E5FDD27" w14:textId="77777777" w:rsidR="00053D93" w:rsidRDefault="00260B75">
                  <w:pPr>
                    <w:ind w:right="7"/>
                    <w:jc w:val="right"/>
                  </w:pPr>
                  <w:r>
                    <w:rPr>
                      <w:rFonts w:ascii="Times New Roman" w:eastAsia="Times New Roman" w:hAnsi="Times New Roman" w:cs="Times New Roman"/>
                      <w:sz w:val="12"/>
                    </w:rPr>
                    <w:t>20</w:t>
                  </w:r>
                </w:p>
              </w:tc>
              <w:tc>
                <w:tcPr>
                  <w:tcW w:w="3893" w:type="dxa"/>
                  <w:gridSpan w:val="3"/>
                  <w:tcBorders>
                    <w:top w:val="single" w:sz="2" w:space="0" w:color="000000"/>
                    <w:left w:val="single" w:sz="2" w:space="0" w:color="000000"/>
                    <w:bottom w:val="single" w:sz="2" w:space="0" w:color="000000"/>
                    <w:right w:val="single" w:sz="2" w:space="0" w:color="000000"/>
                  </w:tcBorders>
                </w:tcPr>
                <w:p w14:paraId="0EB3E775" w14:textId="77777777" w:rsidR="00053D93" w:rsidRDefault="00260B75">
                  <w:pPr>
                    <w:ind w:left="194"/>
                  </w:pPr>
                  <w:r>
                    <w:rPr>
                      <w:sz w:val="12"/>
                    </w:rPr>
                    <w:t>Olido Preventivo No. 4-2024</w:t>
                  </w:r>
                </w:p>
              </w:tc>
              <w:tc>
                <w:tcPr>
                  <w:tcW w:w="950" w:type="dxa"/>
                  <w:tcBorders>
                    <w:top w:val="single" w:sz="2" w:space="0" w:color="000000"/>
                    <w:left w:val="single" w:sz="2" w:space="0" w:color="000000"/>
                    <w:bottom w:val="single" w:sz="2" w:space="0" w:color="000000"/>
                    <w:right w:val="single" w:sz="2" w:space="0" w:color="000000"/>
                  </w:tcBorders>
                </w:tcPr>
                <w:p w14:paraId="26C31AA8" w14:textId="77777777" w:rsidR="00053D93" w:rsidRDefault="00260B75">
                  <w:pPr>
                    <w:ind w:right="2"/>
                    <w:jc w:val="center"/>
                  </w:pPr>
                  <w:r>
                    <w:rPr>
                      <w:rFonts w:ascii="Times New Roman" w:eastAsia="Times New Roman" w:hAnsi="Times New Roman" w:cs="Times New Roman"/>
                      <w:sz w:val="12"/>
                    </w:rPr>
                    <w:t>18'11/2024</w:t>
                  </w:r>
                </w:p>
              </w:tc>
              <w:tc>
                <w:tcPr>
                  <w:tcW w:w="1339" w:type="dxa"/>
                  <w:tcBorders>
                    <w:top w:val="single" w:sz="2" w:space="0" w:color="000000"/>
                    <w:left w:val="single" w:sz="2" w:space="0" w:color="000000"/>
                    <w:bottom w:val="single" w:sz="2" w:space="0" w:color="000000"/>
                    <w:right w:val="single" w:sz="2" w:space="0" w:color="000000"/>
                  </w:tcBorders>
                </w:tcPr>
                <w:p w14:paraId="25E26222" w14:textId="77777777" w:rsidR="00053D93" w:rsidRDefault="00260B75">
                  <w:pPr>
                    <w:ind w:left="75"/>
                  </w:pPr>
                  <w:r>
                    <w:rPr>
                      <w:sz w:val="12"/>
                    </w:rPr>
                    <w:t>Norma 12.2 Normativa Tntema</w:t>
                  </w:r>
                </w:p>
              </w:tc>
              <w:tc>
                <w:tcPr>
                  <w:tcW w:w="1282" w:type="dxa"/>
                  <w:tcBorders>
                    <w:top w:val="single" w:sz="2" w:space="0" w:color="000000"/>
                    <w:left w:val="single" w:sz="2" w:space="0" w:color="000000"/>
                    <w:bottom w:val="single" w:sz="2" w:space="0" w:color="000000"/>
                    <w:right w:val="single" w:sz="2" w:space="0" w:color="000000"/>
                  </w:tcBorders>
                </w:tcPr>
                <w:p w14:paraId="78DB6BEE" w14:textId="77777777" w:rsidR="00053D93" w:rsidRDefault="00260B75">
                  <w:pPr>
                    <w:ind w:left="68" w:firstLine="7"/>
                  </w:pPr>
                  <w:r>
                    <w:rPr>
                      <w:sz w:val="12"/>
                    </w:rPr>
                    <w:t>Falta de control en las</w:t>
                  </w:r>
                  <w:r>
                    <w:rPr>
                      <w:sz w:val="12"/>
                    </w:rPr>
                    <w:tab/>
                    <w:t>tarjetas</w:t>
                  </w:r>
                  <w:r>
                    <w:rPr>
                      <w:sz w:val="12"/>
                    </w:rPr>
                    <w:tab/>
                    <w:t>de responsabilidad (falta de firmas)</w:t>
                  </w:r>
                </w:p>
              </w:tc>
              <w:tc>
                <w:tcPr>
                  <w:tcW w:w="749" w:type="dxa"/>
                  <w:tcBorders>
                    <w:top w:val="single" w:sz="2" w:space="0" w:color="000000"/>
                    <w:left w:val="single" w:sz="2" w:space="0" w:color="000000"/>
                    <w:bottom w:val="single" w:sz="2" w:space="0" w:color="000000"/>
                    <w:right w:val="single" w:sz="2" w:space="0" w:color="000000"/>
                  </w:tcBorders>
                </w:tcPr>
                <w:p w14:paraId="14C88D26" w14:textId="77777777" w:rsidR="00053D93" w:rsidRDefault="00260B75">
                  <w:pPr>
                    <w:ind w:right="16"/>
                    <w:jc w:val="center"/>
                  </w:pPr>
                  <w:r>
                    <w:rPr>
                      <w:sz w:val="12"/>
                    </w:rPr>
                    <w:t>Atendida</w:t>
                  </w:r>
                </w:p>
              </w:tc>
            </w:tr>
            <w:tr w:rsidR="00053D93" w14:paraId="39489400" w14:textId="77777777">
              <w:trPr>
                <w:trHeight w:val="1759"/>
              </w:trPr>
              <w:tc>
                <w:tcPr>
                  <w:tcW w:w="299" w:type="dxa"/>
                  <w:tcBorders>
                    <w:top w:val="single" w:sz="2" w:space="0" w:color="000000"/>
                    <w:left w:val="single" w:sz="2" w:space="0" w:color="000000"/>
                    <w:bottom w:val="single" w:sz="2" w:space="0" w:color="000000"/>
                    <w:right w:val="single" w:sz="2" w:space="0" w:color="000000"/>
                  </w:tcBorders>
                </w:tcPr>
                <w:p w14:paraId="448CD134" w14:textId="77777777" w:rsidR="00053D93" w:rsidRDefault="00260B75">
                  <w:pPr>
                    <w:ind w:right="14"/>
                    <w:jc w:val="right"/>
                  </w:pPr>
                  <w:r>
                    <w:rPr>
                      <w:rFonts w:ascii="Times New Roman" w:eastAsia="Times New Roman" w:hAnsi="Times New Roman" w:cs="Times New Roman"/>
                      <w:sz w:val="12"/>
                    </w:rPr>
                    <w:t>21</w:t>
                  </w:r>
                </w:p>
              </w:tc>
              <w:tc>
                <w:tcPr>
                  <w:tcW w:w="3893" w:type="dxa"/>
                  <w:gridSpan w:val="3"/>
                  <w:tcBorders>
                    <w:top w:val="single" w:sz="2" w:space="0" w:color="000000"/>
                    <w:left w:val="single" w:sz="2" w:space="0" w:color="000000"/>
                    <w:bottom w:val="single" w:sz="2" w:space="0" w:color="000000"/>
                    <w:right w:val="single" w:sz="2" w:space="0" w:color="000000"/>
                  </w:tcBorders>
                </w:tcPr>
                <w:p w14:paraId="69428271" w14:textId="77777777" w:rsidR="00053D93" w:rsidRDefault="00260B75">
                  <w:pPr>
                    <w:ind w:left="202"/>
                  </w:pPr>
                  <w:r>
                    <w:rPr>
                      <w:sz w:val="12"/>
                    </w:rPr>
                    <w:t>Ofido Preventivo No. 5-2024</w:t>
                  </w:r>
                </w:p>
              </w:tc>
              <w:tc>
                <w:tcPr>
                  <w:tcW w:w="950" w:type="dxa"/>
                  <w:tcBorders>
                    <w:top w:val="single" w:sz="2" w:space="0" w:color="000000"/>
                    <w:left w:val="single" w:sz="2" w:space="0" w:color="000000"/>
                    <w:bottom w:val="single" w:sz="2" w:space="0" w:color="000000"/>
                    <w:right w:val="single" w:sz="2" w:space="0" w:color="000000"/>
                  </w:tcBorders>
                </w:tcPr>
                <w:p w14:paraId="37931EFD" w14:textId="77777777" w:rsidR="00053D93" w:rsidRDefault="00260B75">
                  <w:pPr>
                    <w:ind w:right="2"/>
                    <w:jc w:val="center"/>
                  </w:pPr>
                  <w:r>
                    <w:rPr>
                      <w:rFonts w:ascii="Times New Roman" w:eastAsia="Times New Roman" w:hAnsi="Times New Roman" w:cs="Times New Roman"/>
                      <w:sz w:val="12"/>
                    </w:rPr>
                    <w:t>26111 ?2024</w:t>
                  </w:r>
                </w:p>
              </w:tc>
              <w:tc>
                <w:tcPr>
                  <w:tcW w:w="1339" w:type="dxa"/>
                  <w:tcBorders>
                    <w:top w:val="single" w:sz="2" w:space="0" w:color="000000"/>
                    <w:left w:val="single" w:sz="2" w:space="0" w:color="000000"/>
                    <w:bottom w:val="single" w:sz="2" w:space="0" w:color="000000"/>
                    <w:right w:val="single" w:sz="2" w:space="0" w:color="000000"/>
                  </w:tcBorders>
                </w:tcPr>
                <w:p w14:paraId="2218A601" w14:textId="77777777" w:rsidR="00053D93" w:rsidRDefault="00260B75">
                  <w:pPr>
                    <w:tabs>
                      <w:tab w:val="center" w:pos="287"/>
                      <w:tab w:val="center" w:pos="1090"/>
                    </w:tabs>
                    <w:spacing w:after="4"/>
                  </w:pPr>
                  <w:r>
                    <w:rPr>
                      <w:sz w:val="16"/>
                    </w:rPr>
                    <w:tab/>
                    <w:t>Norma</w:t>
                  </w:r>
                  <w:r>
                    <w:rPr>
                      <w:sz w:val="16"/>
                    </w:rPr>
                    <w:tab/>
                  </w:r>
                  <w:r>
                    <w:rPr>
                      <w:rFonts w:ascii="Times New Roman" w:eastAsia="Times New Roman" w:hAnsi="Times New Roman" w:cs="Times New Roman"/>
                      <w:sz w:val="16"/>
                    </w:rPr>
                    <w:t>4</w:t>
                  </w:r>
                </w:p>
                <w:p w14:paraId="26A542E4" w14:textId="77777777" w:rsidR="00053D93" w:rsidRDefault="00260B75">
                  <w:pPr>
                    <w:spacing w:after="5"/>
                    <w:ind w:left="82"/>
                  </w:pPr>
                  <w:r>
                    <w:rPr>
                      <w:sz w:val="14"/>
                    </w:rPr>
                    <w:t>Documentos</w:t>
                  </w:r>
                </w:p>
                <w:p w14:paraId="2D03E618" w14:textId="77777777" w:rsidR="00053D93" w:rsidRDefault="00260B75">
                  <w:pPr>
                    <w:ind w:left="82"/>
                  </w:pPr>
                  <w:r>
                    <w:rPr>
                      <w:sz w:val="14"/>
                    </w:rPr>
                    <w:t>Respaldo</w:t>
                  </w:r>
                </w:p>
              </w:tc>
              <w:tc>
                <w:tcPr>
                  <w:tcW w:w="1282" w:type="dxa"/>
                  <w:tcBorders>
                    <w:top w:val="single" w:sz="2" w:space="0" w:color="000000"/>
                    <w:left w:val="single" w:sz="2" w:space="0" w:color="000000"/>
                    <w:bottom w:val="single" w:sz="2" w:space="0" w:color="000000"/>
                    <w:right w:val="single" w:sz="2" w:space="0" w:color="000000"/>
                  </w:tcBorders>
                </w:tcPr>
                <w:p w14:paraId="099EE237" w14:textId="77777777" w:rsidR="00053D93" w:rsidRDefault="00260B75">
                  <w:pPr>
                    <w:spacing w:line="296" w:lineRule="auto"/>
                    <w:ind w:right="84"/>
                    <w:jc w:val="right"/>
                  </w:pPr>
                  <w:r>
                    <w:rPr>
                      <w:sz w:val="16"/>
                    </w:rPr>
                    <w:t>Fella da control en pagos</w:t>
                  </w:r>
                  <w:r>
                    <w:rPr>
                      <w:sz w:val="16"/>
                    </w:rPr>
                    <w:tab/>
                  </w:r>
                  <w:r>
                    <w:rPr>
                      <w:rFonts w:ascii="Times New Roman" w:eastAsia="Times New Roman" w:hAnsi="Times New Roman" w:cs="Times New Roman"/>
                      <w:sz w:val="16"/>
                    </w:rPr>
                    <w:t>de</w:t>
                  </w:r>
                </w:p>
                <w:p w14:paraId="2F591400" w14:textId="77777777" w:rsidR="00053D93" w:rsidRDefault="00260B75">
                  <w:pPr>
                    <w:spacing w:after="168" w:line="277" w:lineRule="auto"/>
                    <w:ind w:left="75" w:right="84"/>
                    <w:jc w:val="both"/>
                  </w:pPr>
                  <w:r>
                    <w:rPr>
                      <w:sz w:val="14"/>
                    </w:rPr>
                    <w:t>operadón esa.Ela en los estableclmientos educatlvos.</w:t>
                  </w:r>
                </w:p>
                <w:p w14:paraId="07610A70" w14:textId="77777777" w:rsidR="00053D93" w:rsidRDefault="00260B75">
                  <w:pPr>
                    <w:ind w:left="75" w:firstLine="7"/>
                  </w:pPr>
                  <w:r>
                    <w:rPr>
                      <w:sz w:val="14"/>
                    </w:rPr>
                    <w:t>Falta de revisión de ingresos</w:t>
                  </w:r>
                  <w:r>
                    <w:rPr>
                      <w:sz w:val="14"/>
                    </w:rPr>
                    <w:tab/>
                    <w:t>vanes (forma 63-A2).</w:t>
                  </w:r>
                </w:p>
              </w:tc>
              <w:tc>
                <w:tcPr>
                  <w:tcW w:w="749" w:type="dxa"/>
                  <w:tcBorders>
                    <w:top w:val="single" w:sz="2" w:space="0" w:color="000000"/>
                    <w:left w:val="single" w:sz="2" w:space="0" w:color="000000"/>
                    <w:bottom w:val="single" w:sz="2" w:space="0" w:color="000000"/>
                    <w:right w:val="single" w:sz="2" w:space="0" w:color="000000"/>
                  </w:tcBorders>
                </w:tcPr>
                <w:p w14:paraId="30DA1446" w14:textId="77777777" w:rsidR="00053D93" w:rsidRDefault="00260B75">
                  <w:pPr>
                    <w:ind w:right="2"/>
                    <w:jc w:val="center"/>
                  </w:pPr>
                  <w:r>
                    <w:rPr>
                      <w:sz w:val="12"/>
                    </w:rPr>
                    <w:t>Atendida</w:t>
                  </w:r>
                </w:p>
              </w:tc>
            </w:tr>
            <w:tr w:rsidR="00053D93" w14:paraId="5280906E" w14:textId="77777777">
              <w:trPr>
                <w:trHeight w:val="1764"/>
              </w:trPr>
              <w:tc>
                <w:tcPr>
                  <w:tcW w:w="299" w:type="dxa"/>
                  <w:tcBorders>
                    <w:top w:val="single" w:sz="2" w:space="0" w:color="000000"/>
                    <w:left w:val="single" w:sz="2" w:space="0" w:color="000000"/>
                    <w:bottom w:val="single" w:sz="2" w:space="0" w:color="000000"/>
                    <w:right w:val="single" w:sz="2" w:space="0" w:color="000000"/>
                  </w:tcBorders>
                </w:tcPr>
                <w:p w14:paraId="3062A449" w14:textId="77777777" w:rsidR="00053D93" w:rsidRDefault="00260B75">
                  <w:pPr>
                    <w:jc w:val="right"/>
                  </w:pPr>
                  <w:r>
                    <w:rPr>
                      <w:rFonts w:ascii="Times New Roman" w:eastAsia="Times New Roman" w:hAnsi="Times New Roman" w:cs="Times New Roman"/>
                      <w:sz w:val="12"/>
                    </w:rPr>
                    <w:t>22</w:t>
                  </w:r>
                </w:p>
              </w:tc>
              <w:tc>
                <w:tcPr>
                  <w:tcW w:w="3893" w:type="dxa"/>
                  <w:gridSpan w:val="3"/>
                  <w:tcBorders>
                    <w:top w:val="single" w:sz="2" w:space="0" w:color="000000"/>
                    <w:left w:val="single" w:sz="2" w:space="0" w:color="000000"/>
                    <w:bottom w:val="single" w:sz="2" w:space="0" w:color="000000"/>
                    <w:right w:val="single" w:sz="2" w:space="0" w:color="000000"/>
                  </w:tcBorders>
                </w:tcPr>
                <w:p w14:paraId="534547A8" w14:textId="77777777" w:rsidR="00053D93" w:rsidRDefault="00260B75">
                  <w:pPr>
                    <w:ind w:left="202"/>
                  </w:pPr>
                  <w:r>
                    <w:rPr>
                      <w:sz w:val="14"/>
                    </w:rPr>
                    <w:t>CGc-DAs-03-0037.AFc.M[NEDuC.UE306DlDEDUSR-PREV.01-2025</w:t>
                  </w:r>
                </w:p>
              </w:tc>
              <w:tc>
                <w:tcPr>
                  <w:tcW w:w="950" w:type="dxa"/>
                  <w:tcBorders>
                    <w:top w:val="single" w:sz="2" w:space="0" w:color="000000"/>
                    <w:left w:val="single" w:sz="2" w:space="0" w:color="000000"/>
                    <w:bottom w:val="single" w:sz="2" w:space="0" w:color="000000"/>
                    <w:right w:val="single" w:sz="2" w:space="0" w:color="000000"/>
                  </w:tcBorders>
                </w:tcPr>
                <w:p w14:paraId="23DAC848" w14:textId="77777777" w:rsidR="00053D93" w:rsidRDefault="00260B75">
                  <w:pPr>
                    <w:ind w:left="85"/>
                    <w:jc w:val="center"/>
                  </w:pPr>
                  <w:r>
                    <w:rPr>
                      <w:rFonts w:ascii="Times New Roman" w:eastAsia="Times New Roman" w:hAnsi="Times New Roman" w:cs="Times New Roman"/>
                      <w:sz w:val="12"/>
                    </w:rPr>
                    <w:t>110212025</w:t>
                  </w:r>
                </w:p>
              </w:tc>
              <w:tc>
                <w:tcPr>
                  <w:tcW w:w="1339" w:type="dxa"/>
                  <w:tcBorders>
                    <w:top w:val="single" w:sz="2" w:space="0" w:color="000000"/>
                    <w:left w:val="single" w:sz="2" w:space="0" w:color="000000"/>
                    <w:bottom w:val="single" w:sz="2" w:space="0" w:color="000000"/>
                    <w:right w:val="single" w:sz="2" w:space="0" w:color="000000"/>
                  </w:tcBorders>
                </w:tcPr>
                <w:p w14:paraId="1B423A3D" w14:textId="77777777" w:rsidR="00053D93" w:rsidRDefault="00260B75">
                  <w:pPr>
                    <w:ind w:left="82"/>
                  </w:pPr>
                  <w:r>
                    <w:rPr>
                      <w:sz w:val="12"/>
                    </w:rPr>
                    <w:t>Norma 12.2 Normativa Interna</w:t>
                  </w:r>
                </w:p>
              </w:tc>
              <w:tc>
                <w:tcPr>
                  <w:tcW w:w="1282" w:type="dxa"/>
                  <w:tcBorders>
                    <w:top w:val="single" w:sz="2" w:space="0" w:color="000000"/>
                    <w:left w:val="single" w:sz="2" w:space="0" w:color="000000"/>
                    <w:bottom w:val="single" w:sz="2" w:space="0" w:color="000000"/>
                    <w:right w:val="single" w:sz="2" w:space="0" w:color="000000"/>
                  </w:tcBorders>
                </w:tcPr>
                <w:p w14:paraId="56C105F5" w14:textId="77777777" w:rsidR="00053D93" w:rsidRDefault="00260B75">
                  <w:pPr>
                    <w:spacing w:line="293" w:lineRule="auto"/>
                    <w:ind w:left="82"/>
                    <w:jc w:val="both"/>
                  </w:pPr>
                  <w:r>
                    <w:rPr>
                      <w:sz w:val="14"/>
                    </w:rPr>
                    <w:t>Falta de firmas en las tarjetas de</w:t>
                  </w:r>
                </w:p>
                <w:p w14:paraId="460E7300" w14:textId="77777777" w:rsidR="00053D93" w:rsidRDefault="00260B75">
                  <w:pPr>
                    <w:ind w:left="82" w:hanging="7"/>
                  </w:pPr>
                  <w:r>
                    <w:rPr>
                      <w:sz w:val="14"/>
                    </w:rPr>
                    <w:t>responsabilidad de acüvos fijos</w:t>
                  </w:r>
                </w:p>
              </w:tc>
              <w:tc>
                <w:tcPr>
                  <w:tcW w:w="749" w:type="dxa"/>
                  <w:tcBorders>
                    <w:top w:val="single" w:sz="2" w:space="0" w:color="000000"/>
                    <w:left w:val="single" w:sz="2" w:space="0" w:color="000000"/>
                    <w:bottom w:val="single" w:sz="2" w:space="0" w:color="000000"/>
                    <w:right w:val="single" w:sz="2" w:space="0" w:color="000000"/>
                  </w:tcBorders>
                </w:tcPr>
                <w:p w14:paraId="335EAF87" w14:textId="77777777" w:rsidR="00053D93" w:rsidRDefault="00260B75">
                  <w:pPr>
                    <w:ind w:right="2"/>
                    <w:jc w:val="center"/>
                  </w:pPr>
                  <w:r>
                    <w:rPr>
                      <w:sz w:val="12"/>
                    </w:rPr>
                    <w:t>Atendida</w:t>
                  </w:r>
                </w:p>
              </w:tc>
            </w:tr>
            <w:tr w:rsidR="00053D93" w14:paraId="1C4099C4" w14:textId="77777777">
              <w:trPr>
                <w:trHeight w:val="1757"/>
              </w:trPr>
              <w:tc>
                <w:tcPr>
                  <w:tcW w:w="299" w:type="dxa"/>
                  <w:tcBorders>
                    <w:top w:val="single" w:sz="2" w:space="0" w:color="000000"/>
                    <w:left w:val="single" w:sz="2" w:space="0" w:color="000000"/>
                    <w:bottom w:val="single" w:sz="2" w:space="0" w:color="000000"/>
                    <w:right w:val="single" w:sz="2" w:space="0" w:color="000000"/>
                  </w:tcBorders>
                </w:tcPr>
                <w:p w14:paraId="2931A341" w14:textId="77777777" w:rsidR="00053D93" w:rsidRDefault="00260B75">
                  <w:pPr>
                    <w:jc w:val="right"/>
                  </w:pPr>
                  <w:r>
                    <w:rPr>
                      <w:rFonts w:ascii="Times New Roman" w:eastAsia="Times New Roman" w:hAnsi="Times New Roman" w:cs="Times New Roman"/>
                      <w:sz w:val="12"/>
                    </w:rPr>
                    <w:t>23</w:t>
                  </w:r>
                </w:p>
              </w:tc>
              <w:tc>
                <w:tcPr>
                  <w:tcW w:w="3893" w:type="dxa"/>
                  <w:gridSpan w:val="3"/>
                  <w:tcBorders>
                    <w:top w:val="single" w:sz="2" w:space="0" w:color="000000"/>
                    <w:left w:val="single" w:sz="2" w:space="0" w:color="000000"/>
                    <w:bottom w:val="single" w:sz="2" w:space="0" w:color="000000"/>
                    <w:right w:val="single" w:sz="2" w:space="0" w:color="000000"/>
                  </w:tcBorders>
                </w:tcPr>
                <w:p w14:paraId="7050BF8A" w14:textId="77777777" w:rsidR="00053D93" w:rsidRDefault="00260B75">
                  <w:pPr>
                    <w:ind w:left="202"/>
                  </w:pPr>
                  <w:r>
                    <w:rPr>
                      <w:sz w:val="14"/>
                    </w:rPr>
                    <w:t>CGC-DAS-03-0037.DlDEOUC.RETALHULEU.-01-2024</w:t>
                  </w:r>
                </w:p>
              </w:tc>
              <w:tc>
                <w:tcPr>
                  <w:tcW w:w="950" w:type="dxa"/>
                  <w:tcBorders>
                    <w:top w:val="single" w:sz="2" w:space="0" w:color="000000"/>
                    <w:left w:val="single" w:sz="2" w:space="0" w:color="000000"/>
                    <w:bottom w:val="single" w:sz="2" w:space="0" w:color="000000"/>
                    <w:right w:val="single" w:sz="2" w:space="0" w:color="000000"/>
                  </w:tcBorders>
                </w:tcPr>
                <w:p w14:paraId="64D1038C" w14:textId="77777777" w:rsidR="00053D93" w:rsidRDefault="00260B75">
                  <w:pPr>
                    <w:ind w:left="13"/>
                    <w:jc w:val="center"/>
                  </w:pPr>
                  <w:r>
                    <w:rPr>
                      <w:rFonts w:ascii="Times New Roman" w:eastAsia="Times New Roman" w:hAnsi="Times New Roman" w:cs="Times New Roman"/>
                      <w:sz w:val="12"/>
                    </w:rPr>
                    <w:t>2010212025</w:t>
                  </w:r>
                </w:p>
              </w:tc>
              <w:tc>
                <w:tcPr>
                  <w:tcW w:w="1339" w:type="dxa"/>
                  <w:tcBorders>
                    <w:top w:val="single" w:sz="2" w:space="0" w:color="000000"/>
                    <w:left w:val="single" w:sz="2" w:space="0" w:color="000000"/>
                    <w:bottom w:val="single" w:sz="2" w:space="0" w:color="000000"/>
                    <w:right w:val="single" w:sz="2" w:space="0" w:color="000000"/>
                  </w:tcBorders>
                </w:tcPr>
                <w:p w14:paraId="4181F9C9" w14:textId="77777777" w:rsidR="00053D93" w:rsidRDefault="00260B75">
                  <w:pPr>
                    <w:spacing w:after="42"/>
                    <w:ind w:left="89"/>
                  </w:pPr>
                  <w:r>
                    <w:rPr>
                      <w:sz w:val="14"/>
                    </w:rPr>
                    <w:t>Norma 3.1. a) Diseho</w:t>
                  </w:r>
                </w:p>
                <w:p w14:paraId="32586B63" w14:textId="77777777" w:rsidR="00053D93" w:rsidRDefault="00260B75">
                  <w:pPr>
                    <w:tabs>
                      <w:tab w:val="center" w:pos="352"/>
                      <w:tab w:val="center" w:pos="1194"/>
                    </w:tabs>
                  </w:pPr>
                  <w:r>
                    <w:rPr>
                      <w:sz w:val="16"/>
                    </w:rPr>
                    <w:tab/>
                    <w:t>Eficiente</w:t>
                  </w:r>
                  <w:r>
                    <w:rPr>
                      <w:sz w:val="16"/>
                    </w:rPr>
                    <w:tab/>
                    <w:t>de</w:t>
                  </w:r>
                </w:p>
                <w:p w14:paraId="051C86DE" w14:textId="77777777" w:rsidR="00053D93" w:rsidRDefault="00260B75">
                  <w:pPr>
                    <w:ind w:left="89"/>
                  </w:pPr>
                  <w:r>
                    <w:rPr>
                      <w:sz w:val="12"/>
                    </w:rPr>
                    <w:t>Pte:edimEentes</w:t>
                  </w:r>
                </w:p>
              </w:tc>
              <w:tc>
                <w:tcPr>
                  <w:tcW w:w="1282" w:type="dxa"/>
                  <w:tcBorders>
                    <w:top w:val="single" w:sz="2" w:space="0" w:color="000000"/>
                    <w:left w:val="single" w:sz="2" w:space="0" w:color="000000"/>
                    <w:bottom w:val="single" w:sz="2" w:space="0" w:color="000000"/>
                    <w:right w:val="single" w:sz="2" w:space="0" w:color="000000"/>
                  </w:tcBorders>
                </w:tcPr>
                <w:p w14:paraId="326E9438" w14:textId="77777777" w:rsidR="00053D93" w:rsidRDefault="00260B75">
                  <w:pPr>
                    <w:spacing w:line="280" w:lineRule="auto"/>
                    <w:ind w:left="82" w:right="76"/>
                  </w:pPr>
                  <w:r>
                    <w:rPr>
                      <w:sz w:val="14"/>
                    </w:rPr>
                    <w:t>Falta de controles interno preparación</w:t>
                  </w:r>
                  <w:r>
                    <w:rPr>
                      <w:sz w:val="14"/>
                    </w:rPr>
                    <w:tab/>
                    <w:t>de aumentos confor•me al Programa</w:t>
                  </w:r>
                  <w:r>
                    <w:rPr>
                      <w:sz w:val="14"/>
                    </w:rPr>
                    <w:tab/>
                    <w:t>de</w:t>
                  </w:r>
                </w:p>
                <w:p w14:paraId="5738EA34" w14:textId="77777777" w:rsidR="00053D93" w:rsidRDefault="00260B75">
                  <w:pPr>
                    <w:ind w:left="82"/>
                  </w:pPr>
                  <w:r>
                    <w:rPr>
                      <w:sz w:val="12"/>
                    </w:rPr>
                    <w:t>Alimentación Escotar</w:t>
                  </w:r>
                </w:p>
              </w:tc>
              <w:tc>
                <w:tcPr>
                  <w:tcW w:w="749" w:type="dxa"/>
                  <w:tcBorders>
                    <w:top w:val="single" w:sz="2" w:space="0" w:color="000000"/>
                    <w:left w:val="single" w:sz="2" w:space="0" w:color="000000"/>
                    <w:bottom w:val="single" w:sz="2" w:space="0" w:color="000000"/>
                    <w:right w:val="single" w:sz="2" w:space="0" w:color="000000"/>
                  </w:tcBorders>
                </w:tcPr>
                <w:p w14:paraId="3D7DC021" w14:textId="77777777" w:rsidR="00053D93" w:rsidRDefault="00260B75">
                  <w:pPr>
                    <w:ind w:left="5"/>
                    <w:jc w:val="center"/>
                  </w:pPr>
                  <w:r>
                    <w:rPr>
                      <w:sz w:val="12"/>
                    </w:rPr>
                    <w:t>Atendida</w:t>
                  </w:r>
                </w:p>
              </w:tc>
            </w:tr>
            <w:tr w:rsidR="00053D93" w14:paraId="6D36CE0D" w14:textId="77777777">
              <w:trPr>
                <w:trHeight w:val="1768"/>
              </w:trPr>
              <w:tc>
                <w:tcPr>
                  <w:tcW w:w="299" w:type="dxa"/>
                  <w:tcBorders>
                    <w:top w:val="single" w:sz="2" w:space="0" w:color="000000"/>
                    <w:left w:val="single" w:sz="2" w:space="0" w:color="000000"/>
                    <w:bottom w:val="single" w:sz="2" w:space="0" w:color="000000"/>
                    <w:right w:val="single" w:sz="2" w:space="0" w:color="000000"/>
                  </w:tcBorders>
                </w:tcPr>
                <w:p w14:paraId="7557BDA1" w14:textId="77777777" w:rsidR="00053D93" w:rsidRDefault="00260B75">
                  <w:pPr>
                    <w:jc w:val="right"/>
                  </w:pPr>
                  <w:r>
                    <w:rPr>
                      <w:rFonts w:ascii="Times New Roman" w:eastAsia="Times New Roman" w:hAnsi="Times New Roman" w:cs="Times New Roman"/>
                      <w:sz w:val="12"/>
                    </w:rPr>
                    <w:t>24</w:t>
                  </w:r>
                </w:p>
              </w:tc>
              <w:tc>
                <w:tcPr>
                  <w:tcW w:w="3893" w:type="dxa"/>
                  <w:gridSpan w:val="3"/>
                  <w:tcBorders>
                    <w:top w:val="single" w:sz="2" w:space="0" w:color="000000"/>
                    <w:left w:val="single" w:sz="2" w:space="0" w:color="000000"/>
                    <w:bottom w:val="single" w:sz="2" w:space="0" w:color="000000"/>
                    <w:right w:val="single" w:sz="2" w:space="0" w:color="000000"/>
                  </w:tcBorders>
                </w:tcPr>
                <w:p w14:paraId="4212C9FE" w14:textId="77777777" w:rsidR="00053D93" w:rsidRDefault="00260B75">
                  <w:pPr>
                    <w:ind w:left="209"/>
                  </w:pPr>
                  <w:r>
                    <w:rPr>
                      <w:sz w:val="14"/>
                    </w:rPr>
                    <w:t>CGCOAs-03-D037-AFc-MlNEDUC.DlGEF-02-2024</w:t>
                  </w:r>
                </w:p>
              </w:tc>
              <w:tc>
                <w:tcPr>
                  <w:tcW w:w="950" w:type="dxa"/>
                  <w:tcBorders>
                    <w:top w:val="single" w:sz="2" w:space="0" w:color="000000"/>
                    <w:left w:val="single" w:sz="2" w:space="0" w:color="000000"/>
                    <w:bottom w:val="single" w:sz="2" w:space="0" w:color="000000"/>
                    <w:right w:val="single" w:sz="2" w:space="0" w:color="000000"/>
                  </w:tcBorders>
                </w:tcPr>
                <w:p w14:paraId="65DBDC87" w14:textId="77777777" w:rsidR="00053D93" w:rsidRDefault="00260B75">
                  <w:pPr>
                    <w:ind w:left="13"/>
                    <w:jc w:val="center"/>
                  </w:pPr>
                  <w:r>
                    <w:rPr>
                      <w:rFonts w:ascii="Times New Roman" w:eastAsia="Times New Roman" w:hAnsi="Times New Roman" w:cs="Times New Roman"/>
                      <w:sz w:val="12"/>
                    </w:rPr>
                    <w:t>2'1212024</w:t>
                  </w:r>
                </w:p>
              </w:tc>
              <w:tc>
                <w:tcPr>
                  <w:tcW w:w="1339" w:type="dxa"/>
                  <w:tcBorders>
                    <w:top w:val="single" w:sz="2" w:space="0" w:color="000000"/>
                    <w:left w:val="single" w:sz="2" w:space="0" w:color="000000"/>
                    <w:bottom w:val="single" w:sz="2" w:space="0" w:color="000000"/>
                    <w:right w:val="single" w:sz="2" w:space="0" w:color="000000"/>
                  </w:tcBorders>
                </w:tcPr>
                <w:p w14:paraId="3EA81D48" w14:textId="77777777" w:rsidR="00053D93" w:rsidRDefault="00260B75">
                  <w:pPr>
                    <w:ind w:left="89"/>
                  </w:pPr>
                  <w:r>
                    <w:rPr>
                      <w:sz w:val="12"/>
                    </w:rPr>
                    <w:t>Norma 12.2 Normativa Inteme</w:t>
                  </w:r>
                </w:p>
              </w:tc>
              <w:tc>
                <w:tcPr>
                  <w:tcW w:w="1282" w:type="dxa"/>
                  <w:tcBorders>
                    <w:top w:val="single" w:sz="2" w:space="0" w:color="000000"/>
                    <w:left w:val="single" w:sz="2" w:space="0" w:color="000000"/>
                    <w:bottom w:val="single" w:sz="2" w:space="0" w:color="000000"/>
                    <w:right w:val="single" w:sz="2" w:space="0" w:color="000000"/>
                  </w:tcBorders>
                </w:tcPr>
                <w:p w14:paraId="52781EC2" w14:textId="77777777" w:rsidR="00053D93" w:rsidRDefault="00260B75">
                  <w:pPr>
                    <w:spacing w:line="288" w:lineRule="auto"/>
                    <w:ind w:left="89" w:right="62"/>
                    <w:jc w:val="both"/>
                  </w:pPr>
                  <w:r>
                    <w:rPr>
                      <w:sz w:val="14"/>
                    </w:rPr>
                    <w:t>Falta de control en la salvaguarda de tos bienes, por</w:t>
                  </w:r>
                </w:p>
                <w:p w14:paraId="6540DCE1" w14:textId="77777777" w:rsidR="00053D93" w:rsidRDefault="00260B75">
                  <w:pPr>
                    <w:ind w:left="89"/>
                  </w:pPr>
                  <w:r>
                    <w:rPr>
                      <w:sz w:val="14"/>
                    </w:rPr>
                    <w:t>condiciones estructurares inapropiadas de la bodega</w:t>
                  </w:r>
                </w:p>
              </w:tc>
              <w:tc>
                <w:tcPr>
                  <w:tcW w:w="749" w:type="dxa"/>
                  <w:tcBorders>
                    <w:top w:val="single" w:sz="2" w:space="0" w:color="000000"/>
                    <w:left w:val="single" w:sz="2" w:space="0" w:color="000000"/>
                    <w:bottom w:val="single" w:sz="2" w:space="0" w:color="000000"/>
                    <w:right w:val="single" w:sz="2" w:space="0" w:color="000000"/>
                  </w:tcBorders>
                </w:tcPr>
                <w:p w14:paraId="04668CDE" w14:textId="77777777" w:rsidR="00053D93" w:rsidRDefault="00260B75">
                  <w:pPr>
                    <w:ind w:left="20"/>
                    <w:jc w:val="center"/>
                  </w:pPr>
                  <w:r>
                    <w:rPr>
                      <w:sz w:val="12"/>
                    </w:rPr>
                    <w:t>Atendida</w:t>
                  </w:r>
                </w:p>
              </w:tc>
            </w:tr>
            <w:tr w:rsidR="00053D93" w14:paraId="379B4822" w14:textId="77777777">
              <w:trPr>
                <w:trHeight w:val="1806"/>
              </w:trPr>
              <w:tc>
                <w:tcPr>
                  <w:tcW w:w="299" w:type="dxa"/>
                  <w:tcBorders>
                    <w:top w:val="single" w:sz="2" w:space="0" w:color="000000"/>
                    <w:left w:val="single" w:sz="2" w:space="0" w:color="000000"/>
                    <w:bottom w:val="single" w:sz="2" w:space="0" w:color="000000"/>
                    <w:right w:val="single" w:sz="2" w:space="0" w:color="000000"/>
                  </w:tcBorders>
                </w:tcPr>
                <w:p w14:paraId="6A8BCBC5" w14:textId="77777777" w:rsidR="00053D93" w:rsidRDefault="00260B75">
                  <w:pPr>
                    <w:ind w:right="-7"/>
                    <w:jc w:val="right"/>
                  </w:pPr>
                  <w:r>
                    <w:rPr>
                      <w:rFonts w:ascii="Times New Roman" w:eastAsia="Times New Roman" w:hAnsi="Times New Roman" w:cs="Times New Roman"/>
                      <w:sz w:val="14"/>
                    </w:rPr>
                    <w:t>25</w:t>
                  </w:r>
                </w:p>
              </w:tc>
              <w:tc>
                <w:tcPr>
                  <w:tcW w:w="3893" w:type="dxa"/>
                  <w:gridSpan w:val="3"/>
                  <w:tcBorders>
                    <w:top w:val="single" w:sz="2" w:space="0" w:color="000000"/>
                    <w:left w:val="single" w:sz="2" w:space="0" w:color="000000"/>
                    <w:bottom w:val="single" w:sz="2" w:space="0" w:color="000000"/>
                    <w:right w:val="single" w:sz="2" w:space="0" w:color="000000"/>
                  </w:tcBorders>
                </w:tcPr>
                <w:p w14:paraId="101538EF" w14:textId="77777777" w:rsidR="00053D93" w:rsidRDefault="00260B75">
                  <w:pPr>
                    <w:ind w:left="209"/>
                  </w:pPr>
                  <w:r>
                    <w:rPr>
                      <w:sz w:val="14"/>
                    </w:rPr>
                    <w:t>CGC-DAs-03-0037-AFc-MlNEDUCeDlGEF.03-2024</w:t>
                  </w:r>
                </w:p>
              </w:tc>
              <w:tc>
                <w:tcPr>
                  <w:tcW w:w="950" w:type="dxa"/>
                  <w:tcBorders>
                    <w:top w:val="single" w:sz="2" w:space="0" w:color="000000"/>
                    <w:left w:val="single" w:sz="2" w:space="0" w:color="000000"/>
                    <w:bottom w:val="single" w:sz="2" w:space="0" w:color="000000"/>
                    <w:right w:val="single" w:sz="2" w:space="0" w:color="000000"/>
                  </w:tcBorders>
                </w:tcPr>
                <w:p w14:paraId="1935DFAD" w14:textId="77777777" w:rsidR="00053D93" w:rsidRDefault="00260B75">
                  <w:pPr>
                    <w:ind w:left="20"/>
                    <w:jc w:val="center"/>
                  </w:pPr>
                  <w:r>
                    <w:rPr>
                      <w:rFonts w:ascii="Times New Roman" w:eastAsia="Times New Roman" w:hAnsi="Times New Roman" w:cs="Times New Roman"/>
                      <w:sz w:val="12"/>
                    </w:rPr>
                    <w:t>211212024</w:t>
                  </w:r>
                </w:p>
              </w:tc>
              <w:tc>
                <w:tcPr>
                  <w:tcW w:w="1339" w:type="dxa"/>
                  <w:tcBorders>
                    <w:top w:val="single" w:sz="2" w:space="0" w:color="000000"/>
                    <w:left w:val="single" w:sz="2" w:space="0" w:color="000000"/>
                    <w:bottom w:val="single" w:sz="2" w:space="0" w:color="000000"/>
                    <w:right w:val="single" w:sz="2" w:space="0" w:color="000000"/>
                  </w:tcBorders>
                </w:tcPr>
                <w:p w14:paraId="42D2A1D3" w14:textId="77777777" w:rsidR="00053D93" w:rsidRDefault="00260B75">
                  <w:pPr>
                    <w:spacing w:after="30"/>
                    <w:ind w:left="96"/>
                  </w:pPr>
                  <w:r>
                    <w:rPr>
                      <w:sz w:val="12"/>
                    </w:rPr>
                    <w:t>Norme 12.2 Normativa</w:t>
                  </w:r>
                </w:p>
                <w:p w14:paraId="2596FB6A" w14:textId="77777777" w:rsidR="00053D93" w:rsidRDefault="00260B75">
                  <w:pPr>
                    <w:ind w:left="96"/>
                  </w:pPr>
                  <w:r>
                    <w:rPr>
                      <w:sz w:val="14"/>
                    </w:rPr>
                    <w:t>Intema</w:t>
                  </w:r>
                </w:p>
              </w:tc>
              <w:tc>
                <w:tcPr>
                  <w:tcW w:w="1282" w:type="dxa"/>
                  <w:tcBorders>
                    <w:top w:val="single" w:sz="2" w:space="0" w:color="000000"/>
                    <w:left w:val="single" w:sz="2" w:space="0" w:color="000000"/>
                    <w:bottom w:val="single" w:sz="2" w:space="0" w:color="000000"/>
                    <w:right w:val="single" w:sz="2" w:space="0" w:color="000000"/>
                  </w:tcBorders>
                </w:tcPr>
                <w:p w14:paraId="2C37CA3B" w14:textId="77777777" w:rsidR="00053D93" w:rsidRDefault="00260B75">
                  <w:pPr>
                    <w:spacing w:line="279" w:lineRule="auto"/>
                    <w:ind w:left="96" w:right="62"/>
                    <w:jc w:val="both"/>
                  </w:pPr>
                  <w:r>
                    <w:rPr>
                      <w:sz w:val="14"/>
                    </w:rPr>
                    <w:t>Faita de control en las productos que se encuentran en el almacén;</w:t>
                  </w:r>
                </w:p>
                <w:p w14:paraId="7356002A" w14:textId="77777777" w:rsidR="00053D93" w:rsidRDefault="00260B75">
                  <w:pPr>
                    <w:spacing w:after="65"/>
                    <w:ind w:left="96"/>
                  </w:pPr>
                  <w:r>
                    <w:rPr>
                      <w:noProof/>
                    </w:rPr>
                    <w:drawing>
                      <wp:inline distT="0" distB="0" distL="0" distR="0" wp14:anchorId="52B97FB6" wp14:editId="31655983">
                        <wp:extent cx="310896" cy="73153"/>
                        <wp:effectExtent l="0" t="0" r="0" b="0"/>
                        <wp:docPr id="217439" name="Picture 217439"/>
                        <wp:cNvGraphicFramePr/>
                        <a:graphic xmlns:a="http://schemas.openxmlformats.org/drawingml/2006/main">
                          <a:graphicData uri="http://schemas.openxmlformats.org/drawingml/2006/picture">
                            <pic:pic xmlns:pic="http://schemas.openxmlformats.org/drawingml/2006/picture">
                              <pic:nvPicPr>
                                <pic:cNvPr id="217439" name="Picture 217439"/>
                                <pic:cNvPicPr/>
                              </pic:nvPicPr>
                              <pic:blipFill>
                                <a:blip r:embed="rId314"/>
                                <a:stretch>
                                  <a:fillRect/>
                                </a:stretch>
                              </pic:blipFill>
                              <pic:spPr>
                                <a:xfrm>
                                  <a:off x="0" y="0"/>
                                  <a:ext cx="310896" cy="73153"/>
                                </a:xfrm>
                                <a:prstGeom prst="rect">
                                  <a:avLst/>
                                </a:prstGeom>
                              </pic:spPr>
                            </pic:pic>
                          </a:graphicData>
                        </a:graphic>
                      </wp:inline>
                    </w:drawing>
                  </w:r>
                </w:p>
                <w:p w14:paraId="45513714" w14:textId="77777777" w:rsidR="00053D93" w:rsidRDefault="00260B75">
                  <w:pPr>
                    <w:ind w:left="96" w:right="62"/>
                    <w:jc w:val="both"/>
                  </w:pPr>
                  <w:r>
                    <w:rPr>
                      <w:sz w:val="14"/>
                    </w:rPr>
                    <w:t>actualización en los sistemas de almacén y tarjetas kardex.</w:t>
                  </w:r>
                </w:p>
              </w:tc>
              <w:tc>
                <w:tcPr>
                  <w:tcW w:w="749" w:type="dxa"/>
                  <w:tcBorders>
                    <w:top w:val="single" w:sz="2" w:space="0" w:color="000000"/>
                    <w:left w:val="single" w:sz="2" w:space="0" w:color="000000"/>
                    <w:bottom w:val="single" w:sz="2" w:space="0" w:color="000000"/>
                    <w:right w:val="single" w:sz="2" w:space="0" w:color="000000"/>
                  </w:tcBorders>
                </w:tcPr>
                <w:p w14:paraId="57BAE2CA" w14:textId="77777777" w:rsidR="00053D93" w:rsidRDefault="00260B75">
                  <w:pPr>
                    <w:ind w:left="34"/>
                    <w:jc w:val="center"/>
                  </w:pPr>
                  <w:r>
                    <w:rPr>
                      <w:sz w:val="12"/>
                    </w:rPr>
                    <w:t>Atendida</w:t>
                  </w:r>
                </w:p>
              </w:tc>
            </w:tr>
            <w:tr w:rsidR="00053D93" w14:paraId="6703E1C7" w14:textId="77777777">
              <w:trPr>
                <w:trHeight w:val="432"/>
              </w:trPr>
              <w:tc>
                <w:tcPr>
                  <w:tcW w:w="299" w:type="dxa"/>
                  <w:vMerge w:val="restart"/>
                  <w:tcBorders>
                    <w:top w:val="single" w:sz="2" w:space="0" w:color="000000"/>
                    <w:left w:val="single" w:sz="2" w:space="0" w:color="000000"/>
                    <w:bottom w:val="nil"/>
                    <w:right w:val="single" w:sz="2" w:space="0" w:color="000000"/>
                  </w:tcBorders>
                </w:tcPr>
                <w:p w14:paraId="5B2B17A4" w14:textId="77777777" w:rsidR="00053D93" w:rsidRDefault="00260B75">
                  <w:pPr>
                    <w:ind w:left="-4"/>
                  </w:pPr>
                  <w:r>
                    <w:rPr>
                      <w:noProof/>
                    </w:rPr>
                    <w:drawing>
                      <wp:inline distT="0" distB="0" distL="0" distR="0" wp14:anchorId="1827BBC0" wp14:editId="475A8154">
                        <wp:extent cx="192024" cy="402336"/>
                        <wp:effectExtent l="0" t="0" r="0" b="0"/>
                        <wp:docPr id="217360" name="Picture 217360"/>
                        <wp:cNvGraphicFramePr/>
                        <a:graphic xmlns:a="http://schemas.openxmlformats.org/drawingml/2006/main">
                          <a:graphicData uri="http://schemas.openxmlformats.org/drawingml/2006/picture">
                            <pic:pic xmlns:pic="http://schemas.openxmlformats.org/drawingml/2006/picture">
                              <pic:nvPicPr>
                                <pic:cNvPr id="217360" name="Picture 217360"/>
                                <pic:cNvPicPr/>
                              </pic:nvPicPr>
                              <pic:blipFill>
                                <a:blip r:embed="rId315"/>
                                <a:stretch>
                                  <a:fillRect/>
                                </a:stretch>
                              </pic:blipFill>
                              <pic:spPr>
                                <a:xfrm>
                                  <a:off x="0" y="0"/>
                                  <a:ext cx="192024" cy="402336"/>
                                </a:xfrm>
                                <a:prstGeom prst="rect">
                                  <a:avLst/>
                                </a:prstGeom>
                              </pic:spPr>
                            </pic:pic>
                          </a:graphicData>
                        </a:graphic>
                      </wp:inline>
                    </w:drawing>
                  </w:r>
                </w:p>
              </w:tc>
              <w:tc>
                <w:tcPr>
                  <w:tcW w:w="271" w:type="dxa"/>
                  <w:vMerge w:val="restart"/>
                  <w:tcBorders>
                    <w:top w:val="single" w:sz="2" w:space="0" w:color="000000"/>
                    <w:left w:val="single" w:sz="2" w:space="0" w:color="000000"/>
                    <w:bottom w:val="nil"/>
                    <w:right w:val="single" w:sz="2" w:space="0" w:color="000000"/>
                  </w:tcBorders>
                </w:tcPr>
                <w:p w14:paraId="1F36DFDF" w14:textId="77777777" w:rsidR="00053D93" w:rsidRDefault="00260B75">
                  <w:pPr>
                    <w:ind w:right="-39"/>
                  </w:pPr>
                  <w:r>
                    <w:rPr>
                      <w:noProof/>
                    </w:rPr>
                    <w:drawing>
                      <wp:inline distT="0" distB="0" distL="0" distR="0" wp14:anchorId="76203F6A" wp14:editId="4E2DC5C9">
                        <wp:extent cx="196596" cy="406908"/>
                        <wp:effectExtent l="0" t="0" r="0" b="0"/>
                        <wp:docPr id="2458205" name="Picture 2458205"/>
                        <wp:cNvGraphicFramePr/>
                        <a:graphic xmlns:a="http://schemas.openxmlformats.org/drawingml/2006/main">
                          <a:graphicData uri="http://schemas.openxmlformats.org/drawingml/2006/picture">
                            <pic:pic xmlns:pic="http://schemas.openxmlformats.org/drawingml/2006/picture">
                              <pic:nvPicPr>
                                <pic:cNvPr id="2458205" name="Picture 2458205"/>
                                <pic:cNvPicPr/>
                              </pic:nvPicPr>
                              <pic:blipFill>
                                <a:blip r:embed="rId316"/>
                                <a:stretch>
                                  <a:fillRect/>
                                </a:stretch>
                              </pic:blipFill>
                              <pic:spPr>
                                <a:xfrm>
                                  <a:off x="0" y="0"/>
                                  <a:ext cx="196596" cy="406908"/>
                                </a:xfrm>
                                <a:prstGeom prst="rect">
                                  <a:avLst/>
                                </a:prstGeom>
                              </pic:spPr>
                            </pic:pic>
                          </a:graphicData>
                        </a:graphic>
                      </wp:inline>
                    </w:drawing>
                  </w:r>
                </w:p>
              </w:tc>
              <w:tc>
                <w:tcPr>
                  <w:tcW w:w="269" w:type="dxa"/>
                  <w:vMerge w:val="restart"/>
                  <w:tcBorders>
                    <w:top w:val="single" w:sz="2" w:space="0" w:color="000000"/>
                    <w:left w:val="single" w:sz="2" w:space="0" w:color="000000"/>
                    <w:bottom w:val="nil"/>
                    <w:right w:val="single" w:sz="2" w:space="0" w:color="000000"/>
                  </w:tcBorders>
                </w:tcPr>
                <w:p w14:paraId="17373A11" w14:textId="77777777" w:rsidR="00053D93" w:rsidRDefault="00260B75">
                  <w:pPr>
                    <w:ind w:left="39"/>
                  </w:pPr>
                  <w:r>
                    <w:rPr>
                      <w:noProof/>
                    </w:rPr>
                    <w:drawing>
                      <wp:inline distT="0" distB="0" distL="0" distR="0" wp14:anchorId="4D0988A9" wp14:editId="01CC90AB">
                        <wp:extent cx="77724" cy="402336"/>
                        <wp:effectExtent l="0" t="0" r="0" b="0"/>
                        <wp:docPr id="217344" name="Picture 217344"/>
                        <wp:cNvGraphicFramePr/>
                        <a:graphic xmlns:a="http://schemas.openxmlformats.org/drawingml/2006/main">
                          <a:graphicData uri="http://schemas.openxmlformats.org/drawingml/2006/picture">
                            <pic:pic xmlns:pic="http://schemas.openxmlformats.org/drawingml/2006/picture">
                              <pic:nvPicPr>
                                <pic:cNvPr id="217344" name="Picture 217344"/>
                                <pic:cNvPicPr/>
                              </pic:nvPicPr>
                              <pic:blipFill>
                                <a:blip r:embed="rId317"/>
                                <a:stretch>
                                  <a:fillRect/>
                                </a:stretch>
                              </pic:blipFill>
                              <pic:spPr>
                                <a:xfrm>
                                  <a:off x="0" y="0"/>
                                  <a:ext cx="77724" cy="402336"/>
                                </a:xfrm>
                                <a:prstGeom prst="rect">
                                  <a:avLst/>
                                </a:prstGeom>
                              </pic:spPr>
                            </pic:pic>
                          </a:graphicData>
                        </a:graphic>
                      </wp:inline>
                    </w:drawing>
                  </w:r>
                </w:p>
              </w:tc>
              <w:tc>
                <w:tcPr>
                  <w:tcW w:w="7673" w:type="dxa"/>
                  <w:gridSpan w:val="5"/>
                  <w:vMerge w:val="restart"/>
                  <w:tcBorders>
                    <w:top w:val="single" w:sz="2" w:space="0" w:color="000000"/>
                    <w:left w:val="single" w:sz="2" w:space="0" w:color="000000"/>
                    <w:bottom w:val="nil"/>
                    <w:right w:val="nil"/>
                  </w:tcBorders>
                </w:tcPr>
                <w:p w14:paraId="3CBB5FAA" w14:textId="77777777" w:rsidR="00053D93" w:rsidRDefault="00260B75">
                  <w:pPr>
                    <w:ind w:right="782"/>
                    <w:jc w:val="center"/>
                  </w:pPr>
                  <w:r>
                    <w:rPr>
                      <w:sz w:val="14"/>
                    </w:rPr>
                    <w:t>MINISTERIO DE EDUCACION</w:t>
                  </w:r>
                </w:p>
                <w:p w14:paraId="7B51CD27" w14:textId="77777777" w:rsidR="00053D93" w:rsidRDefault="00260B75">
                  <w:pPr>
                    <w:ind w:left="2167"/>
                  </w:pPr>
                  <w:r>
                    <w:rPr>
                      <w:sz w:val="14"/>
                    </w:rPr>
                    <w:t>AUDITORIA FINANCIERA Y DE CUMPLIMIENTO</w:t>
                  </w:r>
                </w:p>
                <w:p w14:paraId="0C384D8D" w14:textId="77777777" w:rsidR="00053D93" w:rsidRDefault="00260B75">
                  <w:pPr>
                    <w:ind w:left="1829"/>
                  </w:pPr>
                  <w:r>
                    <w:rPr>
                      <w:sz w:val="14"/>
                    </w:rPr>
                    <w:lastRenderedPageBreak/>
                    <w:t>PERIODO DEL 01 DE ENERO AL 31 DE DICIEMBRE DE 2024</w:t>
                  </w:r>
                </w:p>
              </w:tc>
            </w:tr>
            <w:tr w:rsidR="00053D93" w14:paraId="14A8E2A6" w14:textId="77777777">
              <w:trPr>
                <w:trHeight w:val="450"/>
              </w:trPr>
              <w:tc>
                <w:tcPr>
                  <w:tcW w:w="0" w:type="auto"/>
                  <w:vMerge/>
                  <w:tcBorders>
                    <w:top w:val="nil"/>
                    <w:left w:val="single" w:sz="2" w:space="0" w:color="000000"/>
                    <w:bottom w:val="nil"/>
                    <w:right w:val="single" w:sz="2" w:space="0" w:color="000000"/>
                  </w:tcBorders>
                </w:tcPr>
                <w:p w14:paraId="1AF97B0B" w14:textId="77777777" w:rsidR="00053D93" w:rsidRDefault="00053D93"/>
              </w:tc>
              <w:tc>
                <w:tcPr>
                  <w:tcW w:w="0" w:type="auto"/>
                  <w:vMerge/>
                  <w:tcBorders>
                    <w:top w:val="nil"/>
                    <w:left w:val="single" w:sz="2" w:space="0" w:color="000000"/>
                    <w:bottom w:val="nil"/>
                    <w:right w:val="single" w:sz="2" w:space="0" w:color="000000"/>
                  </w:tcBorders>
                </w:tcPr>
                <w:p w14:paraId="6FF2101D" w14:textId="77777777" w:rsidR="00053D93" w:rsidRDefault="00053D93"/>
              </w:tc>
              <w:tc>
                <w:tcPr>
                  <w:tcW w:w="0" w:type="auto"/>
                  <w:vMerge/>
                  <w:tcBorders>
                    <w:top w:val="nil"/>
                    <w:left w:val="single" w:sz="2" w:space="0" w:color="000000"/>
                    <w:bottom w:val="nil"/>
                    <w:right w:val="single" w:sz="2" w:space="0" w:color="000000"/>
                  </w:tcBorders>
                </w:tcPr>
                <w:p w14:paraId="34610E70" w14:textId="77777777" w:rsidR="00053D93" w:rsidRDefault="00053D93"/>
              </w:tc>
              <w:tc>
                <w:tcPr>
                  <w:tcW w:w="0" w:type="auto"/>
                  <w:gridSpan w:val="5"/>
                  <w:vMerge/>
                  <w:tcBorders>
                    <w:top w:val="nil"/>
                    <w:left w:val="single" w:sz="2" w:space="0" w:color="000000"/>
                    <w:bottom w:val="nil"/>
                    <w:right w:val="nil"/>
                  </w:tcBorders>
                </w:tcPr>
                <w:p w14:paraId="0A73B9BB" w14:textId="77777777" w:rsidR="00053D93" w:rsidRDefault="00053D93"/>
              </w:tc>
            </w:tr>
          </w:tbl>
          <w:p w14:paraId="2E0BB81F" w14:textId="77777777" w:rsidR="00053D93" w:rsidRDefault="00053D93"/>
        </w:tc>
      </w:tr>
      <w:tr w:rsidR="00053D93" w14:paraId="5A7CBFE6" w14:textId="77777777">
        <w:trPr>
          <w:trHeight w:val="810"/>
        </w:trPr>
        <w:tc>
          <w:tcPr>
            <w:tcW w:w="1636" w:type="dxa"/>
            <w:tcBorders>
              <w:top w:val="nil"/>
              <w:left w:val="nil"/>
              <w:bottom w:val="nil"/>
              <w:right w:val="nil"/>
            </w:tcBorders>
          </w:tcPr>
          <w:p w14:paraId="1E79BBD2" w14:textId="77777777" w:rsidR="00053D93" w:rsidRDefault="00260B75">
            <w:pPr>
              <w:ind w:left="7"/>
            </w:pPr>
            <w:r>
              <w:rPr>
                <w:noProof/>
              </w:rPr>
              <w:drawing>
                <wp:inline distT="0" distB="0" distL="0" distR="0" wp14:anchorId="1FD6985C" wp14:editId="069FC9A9">
                  <wp:extent cx="123444" cy="338328"/>
                  <wp:effectExtent l="0" t="0" r="0" b="0"/>
                  <wp:docPr id="217575" name="Picture 217575"/>
                  <wp:cNvGraphicFramePr/>
                  <a:graphic xmlns:a="http://schemas.openxmlformats.org/drawingml/2006/main">
                    <a:graphicData uri="http://schemas.openxmlformats.org/drawingml/2006/picture">
                      <pic:pic xmlns:pic="http://schemas.openxmlformats.org/drawingml/2006/picture">
                        <pic:nvPicPr>
                          <pic:cNvPr id="217575" name="Picture 217575"/>
                          <pic:cNvPicPr/>
                        </pic:nvPicPr>
                        <pic:blipFill>
                          <a:blip r:embed="rId318"/>
                          <a:stretch>
                            <a:fillRect/>
                          </a:stretch>
                        </pic:blipFill>
                        <pic:spPr>
                          <a:xfrm>
                            <a:off x="0" y="0"/>
                            <a:ext cx="123444" cy="338328"/>
                          </a:xfrm>
                          <a:prstGeom prst="rect">
                            <a:avLst/>
                          </a:prstGeom>
                        </pic:spPr>
                      </pic:pic>
                    </a:graphicData>
                  </a:graphic>
                </wp:inline>
              </w:drawing>
            </w:r>
          </w:p>
        </w:tc>
        <w:tc>
          <w:tcPr>
            <w:tcW w:w="0" w:type="auto"/>
            <w:vMerge/>
            <w:tcBorders>
              <w:top w:val="nil"/>
              <w:left w:val="nil"/>
              <w:bottom w:val="nil"/>
              <w:right w:val="nil"/>
            </w:tcBorders>
          </w:tcPr>
          <w:p w14:paraId="3F271C7D" w14:textId="77777777" w:rsidR="00053D93" w:rsidRDefault="00053D93"/>
        </w:tc>
      </w:tr>
      <w:tr w:rsidR="00053D93" w14:paraId="1DF95E47" w14:textId="77777777">
        <w:trPr>
          <w:trHeight w:val="817"/>
        </w:trPr>
        <w:tc>
          <w:tcPr>
            <w:tcW w:w="1636" w:type="dxa"/>
            <w:tcBorders>
              <w:top w:val="nil"/>
              <w:left w:val="nil"/>
              <w:bottom w:val="nil"/>
              <w:right w:val="nil"/>
            </w:tcBorders>
          </w:tcPr>
          <w:p w14:paraId="7EDAC83F" w14:textId="77777777" w:rsidR="00053D93" w:rsidRDefault="00260B75">
            <w:pPr>
              <w:ind w:left="14"/>
            </w:pPr>
            <w:r>
              <w:rPr>
                <w:noProof/>
              </w:rPr>
              <w:lastRenderedPageBreak/>
              <w:drawing>
                <wp:inline distT="0" distB="0" distL="0" distR="0" wp14:anchorId="3B080068" wp14:editId="3D046F79">
                  <wp:extent cx="118872" cy="342900"/>
                  <wp:effectExtent l="0" t="0" r="0" b="0"/>
                  <wp:docPr id="217560" name="Picture 217560"/>
                  <wp:cNvGraphicFramePr/>
                  <a:graphic xmlns:a="http://schemas.openxmlformats.org/drawingml/2006/main">
                    <a:graphicData uri="http://schemas.openxmlformats.org/drawingml/2006/picture">
                      <pic:pic xmlns:pic="http://schemas.openxmlformats.org/drawingml/2006/picture">
                        <pic:nvPicPr>
                          <pic:cNvPr id="217560" name="Picture 217560"/>
                          <pic:cNvPicPr/>
                        </pic:nvPicPr>
                        <pic:blipFill>
                          <a:blip r:embed="rId319"/>
                          <a:stretch>
                            <a:fillRect/>
                          </a:stretch>
                        </pic:blipFill>
                        <pic:spPr>
                          <a:xfrm>
                            <a:off x="0" y="0"/>
                            <a:ext cx="118872" cy="342900"/>
                          </a:xfrm>
                          <a:prstGeom prst="rect">
                            <a:avLst/>
                          </a:prstGeom>
                        </pic:spPr>
                      </pic:pic>
                    </a:graphicData>
                  </a:graphic>
                </wp:inline>
              </w:drawing>
            </w:r>
          </w:p>
        </w:tc>
        <w:tc>
          <w:tcPr>
            <w:tcW w:w="0" w:type="auto"/>
            <w:vMerge/>
            <w:tcBorders>
              <w:top w:val="nil"/>
              <w:left w:val="nil"/>
              <w:bottom w:val="nil"/>
              <w:right w:val="nil"/>
            </w:tcBorders>
          </w:tcPr>
          <w:p w14:paraId="2A411618" w14:textId="77777777" w:rsidR="00053D93" w:rsidRDefault="00053D93"/>
        </w:tc>
      </w:tr>
      <w:tr w:rsidR="00053D93" w14:paraId="211CB4EC" w14:textId="77777777">
        <w:trPr>
          <w:trHeight w:val="810"/>
        </w:trPr>
        <w:tc>
          <w:tcPr>
            <w:tcW w:w="1636" w:type="dxa"/>
            <w:tcBorders>
              <w:top w:val="nil"/>
              <w:left w:val="nil"/>
              <w:bottom w:val="nil"/>
              <w:right w:val="nil"/>
            </w:tcBorders>
          </w:tcPr>
          <w:p w14:paraId="02A28F2E" w14:textId="77777777" w:rsidR="00053D93" w:rsidRDefault="00260B75">
            <w:pPr>
              <w:ind w:left="14"/>
            </w:pPr>
            <w:r>
              <w:rPr>
                <w:noProof/>
              </w:rPr>
              <w:drawing>
                <wp:inline distT="0" distB="0" distL="0" distR="0" wp14:anchorId="6E3538B1" wp14:editId="0ACCBFF0">
                  <wp:extent cx="118872" cy="338328"/>
                  <wp:effectExtent l="0" t="0" r="0" b="0"/>
                  <wp:docPr id="217561" name="Picture 217561"/>
                  <wp:cNvGraphicFramePr/>
                  <a:graphic xmlns:a="http://schemas.openxmlformats.org/drawingml/2006/main">
                    <a:graphicData uri="http://schemas.openxmlformats.org/drawingml/2006/picture">
                      <pic:pic xmlns:pic="http://schemas.openxmlformats.org/drawingml/2006/picture">
                        <pic:nvPicPr>
                          <pic:cNvPr id="217561" name="Picture 217561"/>
                          <pic:cNvPicPr/>
                        </pic:nvPicPr>
                        <pic:blipFill>
                          <a:blip r:embed="rId320"/>
                          <a:stretch>
                            <a:fillRect/>
                          </a:stretch>
                        </pic:blipFill>
                        <pic:spPr>
                          <a:xfrm>
                            <a:off x="0" y="0"/>
                            <a:ext cx="118872" cy="338328"/>
                          </a:xfrm>
                          <a:prstGeom prst="rect">
                            <a:avLst/>
                          </a:prstGeom>
                        </pic:spPr>
                      </pic:pic>
                    </a:graphicData>
                  </a:graphic>
                </wp:inline>
              </w:drawing>
            </w:r>
          </w:p>
        </w:tc>
        <w:tc>
          <w:tcPr>
            <w:tcW w:w="0" w:type="auto"/>
            <w:vMerge/>
            <w:tcBorders>
              <w:top w:val="nil"/>
              <w:left w:val="nil"/>
              <w:bottom w:val="nil"/>
              <w:right w:val="nil"/>
            </w:tcBorders>
          </w:tcPr>
          <w:p w14:paraId="315B92D5" w14:textId="77777777" w:rsidR="00053D93" w:rsidRDefault="00053D93"/>
        </w:tc>
      </w:tr>
      <w:tr w:rsidR="00053D93" w14:paraId="21980CF5" w14:textId="77777777">
        <w:trPr>
          <w:trHeight w:val="810"/>
        </w:trPr>
        <w:tc>
          <w:tcPr>
            <w:tcW w:w="1636" w:type="dxa"/>
            <w:tcBorders>
              <w:top w:val="nil"/>
              <w:left w:val="nil"/>
              <w:bottom w:val="nil"/>
              <w:right w:val="nil"/>
            </w:tcBorders>
          </w:tcPr>
          <w:p w14:paraId="65558D69" w14:textId="77777777" w:rsidR="00053D93" w:rsidRDefault="00260B75">
            <w:pPr>
              <w:ind w:left="14"/>
            </w:pPr>
            <w:r>
              <w:rPr>
                <w:noProof/>
              </w:rPr>
              <w:drawing>
                <wp:inline distT="0" distB="0" distL="0" distR="0" wp14:anchorId="6BEC015F" wp14:editId="57FD99A3">
                  <wp:extent cx="118872" cy="333756"/>
                  <wp:effectExtent l="0" t="0" r="0" b="0"/>
                  <wp:docPr id="217562" name="Picture 217562"/>
                  <wp:cNvGraphicFramePr/>
                  <a:graphic xmlns:a="http://schemas.openxmlformats.org/drawingml/2006/main">
                    <a:graphicData uri="http://schemas.openxmlformats.org/drawingml/2006/picture">
                      <pic:pic xmlns:pic="http://schemas.openxmlformats.org/drawingml/2006/picture">
                        <pic:nvPicPr>
                          <pic:cNvPr id="217562" name="Picture 217562"/>
                          <pic:cNvPicPr/>
                        </pic:nvPicPr>
                        <pic:blipFill>
                          <a:blip r:embed="rId321"/>
                          <a:stretch>
                            <a:fillRect/>
                          </a:stretch>
                        </pic:blipFill>
                        <pic:spPr>
                          <a:xfrm>
                            <a:off x="0" y="0"/>
                            <a:ext cx="118872" cy="333756"/>
                          </a:xfrm>
                          <a:prstGeom prst="rect">
                            <a:avLst/>
                          </a:prstGeom>
                        </pic:spPr>
                      </pic:pic>
                    </a:graphicData>
                  </a:graphic>
                </wp:inline>
              </w:drawing>
            </w:r>
          </w:p>
        </w:tc>
        <w:tc>
          <w:tcPr>
            <w:tcW w:w="0" w:type="auto"/>
            <w:vMerge/>
            <w:tcBorders>
              <w:top w:val="nil"/>
              <w:left w:val="nil"/>
              <w:bottom w:val="nil"/>
              <w:right w:val="nil"/>
            </w:tcBorders>
          </w:tcPr>
          <w:p w14:paraId="1E1EE085" w14:textId="77777777" w:rsidR="00053D93" w:rsidRDefault="00053D93"/>
        </w:tc>
      </w:tr>
      <w:tr w:rsidR="00053D93" w14:paraId="29478AC7" w14:textId="77777777">
        <w:trPr>
          <w:trHeight w:val="810"/>
        </w:trPr>
        <w:tc>
          <w:tcPr>
            <w:tcW w:w="1636" w:type="dxa"/>
            <w:tcBorders>
              <w:top w:val="nil"/>
              <w:left w:val="nil"/>
              <w:bottom w:val="nil"/>
              <w:right w:val="nil"/>
            </w:tcBorders>
          </w:tcPr>
          <w:p w14:paraId="6135E726" w14:textId="77777777" w:rsidR="00053D93" w:rsidRDefault="00260B75">
            <w:pPr>
              <w:ind w:left="22"/>
            </w:pPr>
            <w:r>
              <w:rPr>
                <w:noProof/>
              </w:rPr>
              <w:drawing>
                <wp:inline distT="0" distB="0" distL="0" distR="0" wp14:anchorId="36FBF36F" wp14:editId="7AB6AE68">
                  <wp:extent cx="109728" cy="329184"/>
                  <wp:effectExtent l="0" t="0" r="0" b="0"/>
                  <wp:docPr id="217563" name="Picture 217563"/>
                  <wp:cNvGraphicFramePr/>
                  <a:graphic xmlns:a="http://schemas.openxmlformats.org/drawingml/2006/main">
                    <a:graphicData uri="http://schemas.openxmlformats.org/drawingml/2006/picture">
                      <pic:pic xmlns:pic="http://schemas.openxmlformats.org/drawingml/2006/picture">
                        <pic:nvPicPr>
                          <pic:cNvPr id="217563" name="Picture 217563"/>
                          <pic:cNvPicPr/>
                        </pic:nvPicPr>
                        <pic:blipFill>
                          <a:blip r:embed="rId322"/>
                          <a:stretch>
                            <a:fillRect/>
                          </a:stretch>
                        </pic:blipFill>
                        <pic:spPr>
                          <a:xfrm>
                            <a:off x="0" y="0"/>
                            <a:ext cx="109728" cy="329184"/>
                          </a:xfrm>
                          <a:prstGeom prst="rect">
                            <a:avLst/>
                          </a:prstGeom>
                        </pic:spPr>
                      </pic:pic>
                    </a:graphicData>
                  </a:graphic>
                </wp:inline>
              </w:drawing>
            </w:r>
          </w:p>
        </w:tc>
        <w:tc>
          <w:tcPr>
            <w:tcW w:w="0" w:type="auto"/>
            <w:vMerge/>
            <w:tcBorders>
              <w:top w:val="nil"/>
              <w:left w:val="nil"/>
              <w:bottom w:val="nil"/>
              <w:right w:val="nil"/>
            </w:tcBorders>
          </w:tcPr>
          <w:p w14:paraId="6BF175F8" w14:textId="77777777" w:rsidR="00053D93" w:rsidRDefault="00053D93"/>
        </w:tc>
      </w:tr>
      <w:tr w:rsidR="00053D93" w14:paraId="38F165FA" w14:textId="77777777">
        <w:trPr>
          <w:trHeight w:val="1616"/>
        </w:trPr>
        <w:tc>
          <w:tcPr>
            <w:tcW w:w="1636" w:type="dxa"/>
            <w:tcBorders>
              <w:top w:val="nil"/>
              <w:left w:val="nil"/>
              <w:bottom w:val="nil"/>
              <w:right w:val="nil"/>
            </w:tcBorders>
          </w:tcPr>
          <w:p w14:paraId="38A3CC7C" w14:textId="77777777" w:rsidR="00053D93" w:rsidRDefault="00260B75">
            <w:pPr>
              <w:ind w:left="14"/>
            </w:pPr>
            <w:r>
              <w:rPr>
                <w:noProof/>
              </w:rPr>
              <w:drawing>
                <wp:inline distT="0" distB="0" distL="0" distR="0" wp14:anchorId="4D4DB7C1" wp14:editId="398F3736">
                  <wp:extent cx="114300" cy="836676"/>
                  <wp:effectExtent l="0" t="0" r="0" b="0"/>
                  <wp:docPr id="217564" name="Picture 217564"/>
                  <wp:cNvGraphicFramePr/>
                  <a:graphic xmlns:a="http://schemas.openxmlformats.org/drawingml/2006/main">
                    <a:graphicData uri="http://schemas.openxmlformats.org/drawingml/2006/picture">
                      <pic:pic xmlns:pic="http://schemas.openxmlformats.org/drawingml/2006/picture">
                        <pic:nvPicPr>
                          <pic:cNvPr id="217564" name="Picture 217564"/>
                          <pic:cNvPicPr/>
                        </pic:nvPicPr>
                        <pic:blipFill>
                          <a:blip r:embed="rId323"/>
                          <a:stretch>
                            <a:fillRect/>
                          </a:stretch>
                        </pic:blipFill>
                        <pic:spPr>
                          <a:xfrm>
                            <a:off x="0" y="0"/>
                            <a:ext cx="114300" cy="836676"/>
                          </a:xfrm>
                          <a:prstGeom prst="rect">
                            <a:avLst/>
                          </a:prstGeom>
                        </pic:spPr>
                      </pic:pic>
                    </a:graphicData>
                  </a:graphic>
                </wp:inline>
              </w:drawing>
            </w:r>
          </w:p>
        </w:tc>
        <w:tc>
          <w:tcPr>
            <w:tcW w:w="0" w:type="auto"/>
            <w:vMerge/>
            <w:tcBorders>
              <w:top w:val="nil"/>
              <w:left w:val="nil"/>
              <w:bottom w:val="nil"/>
              <w:right w:val="nil"/>
            </w:tcBorders>
          </w:tcPr>
          <w:p w14:paraId="7EE882DD" w14:textId="77777777" w:rsidR="00053D93" w:rsidRDefault="00053D93"/>
        </w:tc>
      </w:tr>
      <w:tr w:rsidR="00053D93" w14:paraId="0AFB6C6F" w14:textId="77777777">
        <w:trPr>
          <w:trHeight w:val="817"/>
        </w:trPr>
        <w:tc>
          <w:tcPr>
            <w:tcW w:w="1636" w:type="dxa"/>
            <w:tcBorders>
              <w:top w:val="nil"/>
              <w:left w:val="nil"/>
              <w:bottom w:val="nil"/>
              <w:right w:val="nil"/>
            </w:tcBorders>
          </w:tcPr>
          <w:p w14:paraId="1FE1EDE1" w14:textId="77777777" w:rsidR="00053D93" w:rsidRDefault="00260B75">
            <w:pPr>
              <w:ind w:left="14"/>
            </w:pPr>
            <w:r>
              <w:rPr>
                <w:noProof/>
              </w:rPr>
              <w:drawing>
                <wp:inline distT="0" distB="0" distL="0" distR="0" wp14:anchorId="4645F320" wp14:editId="048CEAAB">
                  <wp:extent cx="114300" cy="329184"/>
                  <wp:effectExtent l="0" t="0" r="0" b="0"/>
                  <wp:docPr id="217565" name="Picture 217565"/>
                  <wp:cNvGraphicFramePr/>
                  <a:graphic xmlns:a="http://schemas.openxmlformats.org/drawingml/2006/main">
                    <a:graphicData uri="http://schemas.openxmlformats.org/drawingml/2006/picture">
                      <pic:pic xmlns:pic="http://schemas.openxmlformats.org/drawingml/2006/picture">
                        <pic:nvPicPr>
                          <pic:cNvPr id="217565" name="Picture 217565"/>
                          <pic:cNvPicPr/>
                        </pic:nvPicPr>
                        <pic:blipFill>
                          <a:blip r:embed="rId324"/>
                          <a:stretch>
                            <a:fillRect/>
                          </a:stretch>
                        </pic:blipFill>
                        <pic:spPr>
                          <a:xfrm>
                            <a:off x="0" y="0"/>
                            <a:ext cx="114300" cy="329184"/>
                          </a:xfrm>
                          <a:prstGeom prst="rect">
                            <a:avLst/>
                          </a:prstGeom>
                        </pic:spPr>
                      </pic:pic>
                    </a:graphicData>
                  </a:graphic>
                </wp:inline>
              </w:drawing>
            </w:r>
          </w:p>
        </w:tc>
        <w:tc>
          <w:tcPr>
            <w:tcW w:w="0" w:type="auto"/>
            <w:vMerge/>
            <w:tcBorders>
              <w:top w:val="nil"/>
              <w:left w:val="nil"/>
              <w:bottom w:val="nil"/>
              <w:right w:val="nil"/>
            </w:tcBorders>
          </w:tcPr>
          <w:p w14:paraId="396FA436" w14:textId="77777777" w:rsidR="00053D93" w:rsidRDefault="00053D93"/>
        </w:tc>
      </w:tr>
      <w:tr w:rsidR="00053D93" w14:paraId="3B389B29" w14:textId="77777777">
        <w:trPr>
          <w:trHeight w:val="806"/>
        </w:trPr>
        <w:tc>
          <w:tcPr>
            <w:tcW w:w="1636" w:type="dxa"/>
            <w:tcBorders>
              <w:top w:val="nil"/>
              <w:left w:val="nil"/>
              <w:bottom w:val="nil"/>
              <w:right w:val="nil"/>
            </w:tcBorders>
          </w:tcPr>
          <w:p w14:paraId="6A7B965E" w14:textId="77777777" w:rsidR="00053D93" w:rsidRDefault="00260B75">
            <w:pPr>
              <w:ind w:left="14"/>
            </w:pPr>
            <w:r>
              <w:rPr>
                <w:noProof/>
              </w:rPr>
              <w:drawing>
                <wp:inline distT="0" distB="0" distL="0" distR="0" wp14:anchorId="2D136602" wp14:editId="5C3D23EE">
                  <wp:extent cx="128016" cy="324612"/>
                  <wp:effectExtent l="0" t="0" r="0" b="0"/>
                  <wp:docPr id="217566" name="Picture 217566"/>
                  <wp:cNvGraphicFramePr/>
                  <a:graphic xmlns:a="http://schemas.openxmlformats.org/drawingml/2006/main">
                    <a:graphicData uri="http://schemas.openxmlformats.org/drawingml/2006/picture">
                      <pic:pic xmlns:pic="http://schemas.openxmlformats.org/drawingml/2006/picture">
                        <pic:nvPicPr>
                          <pic:cNvPr id="217566" name="Picture 217566"/>
                          <pic:cNvPicPr/>
                        </pic:nvPicPr>
                        <pic:blipFill>
                          <a:blip r:embed="rId325"/>
                          <a:stretch>
                            <a:fillRect/>
                          </a:stretch>
                        </pic:blipFill>
                        <pic:spPr>
                          <a:xfrm>
                            <a:off x="0" y="0"/>
                            <a:ext cx="128016" cy="324612"/>
                          </a:xfrm>
                          <a:prstGeom prst="rect">
                            <a:avLst/>
                          </a:prstGeom>
                        </pic:spPr>
                      </pic:pic>
                    </a:graphicData>
                  </a:graphic>
                </wp:inline>
              </w:drawing>
            </w:r>
          </w:p>
        </w:tc>
        <w:tc>
          <w:tcPr>
            <w:tcW w:w="0" w:type="auto"/>
            <w:vMerge/>
            <w:tcBorders>
              <w:top w:val="nil"/>
              <w:left w:val="nil"/>
              <w:bottom w:val="nil"/>
              <w:right w:val="nil"/>
            </w:tcBorders>
          </w:tcPr>
          <w:p w14:paraId="22448F42" w14:textId="77777777" w:rsidR="00053D93" w:rsidRDefault="00053D93"/>
        </w:tc>
      </w:tr>
      <w:tr w:rsidR="00053D93" w14:paraId="17886D16" w14:textId="77777777">
        <w:trPr>
          <w:trHeight w:val="824"/>
        </w:trPr>
        <w:tc>
          <w:tcPr>
            <w:tcW w:w="1636" w:type="dxa"/>
            <w:tcBorders>
              <w:top w:val="nil"/>
              <w:left w:val="nil"/>
              <w:bottom w:val="nil"/>
              <w:right w:val="nil"/>
            </w:tcBorders>
          </w:tcPr>
          <w:p w14:paraId="05A558FA" w14:textId="77777777" w:rsidR="00053D93" w:rsidRDefault="00260B75">
            <w:pPr>
              <w:ind w:left="7"/>
            </w:pPr>
            <w:r>
              <w:rPr>
                <w:noProof/>
              </w:rPr>
              <w:drawing>
                <wp:inline distT="0" distB="0" distL="0" distR="0" wp14:anchorId="30984D0F" wp14:editId="5DD10BFE">
                  <wp:extent cx="137160" cy="338328"/>
                  <wp:effectExtent l="0" t="0" r="0" b="0"/>
                  <wp:docPr id="217567" name="Picture 217567"/>
                  <wp:cNvGraphicFramePr/>
                  <a:graphic xmlns:a="http://schemas.openxmlformats.org/drawingml/2006/main">
                    <a:graphicData uri="http://schemas.openxmlformats.org/drawingml/2006/picture">
                      <pic:pic xmlns:pic="http://schemas.openxmlformats.org/drawingml/2006/picture">
                        <pic:nvPicPr>
                          <pic:cNvPr id="217567" name="Picture 217567"/>
                          <pic:cNvPicPr/>
                        </pic:nvPicPr>
                        <pic:blipFill>
                          <a:blip r:embed="rId326"/>
                          <a:stretch>
                            <a:fillRect/>
                          </a:stretch>
                        </pic:blipFill>
                        <pic:spPr>
                          <a:xfrm>
                            <a:off x="0" y="0"/>
                            <a:ext cx="137160" cy="338328"/>
                          </a:xfrm>
                          <a:prstGeom prst="rect">
                            <a:avLst/>
                          </a:prstGeom>
                        </pic:spPr>
                      </pic:pic>
                    </a:graphicData>
                  </a:graphic>
                </wp:inline>
              </w:drawing>
            </w:r>
          </w:p>
        </w:tc>
        <w:tc>
          <w:tcPr>
            <w:tcW w:w="0" w:type="auto"/>
            <w:vMerge/>
            <w:tcBorders>
              <w:top w:val="nil"/>
              <w:left w:val="nil"/>
              <w:bottom w:val="nil"/>
              <w:right w:val="nil"/>
            </w:tcBorders>
          </w:tcPr>
          <w:p w14:paraId="33532392" w14:textId="77777777" w:rsidR="00053D93" w:rsidRDefault="00053D93"/>
        </w:tc>
      </w:tr>
      <w:tr w:rsidR="00053D93" w14:paraId="7A2E3004" w14:textId="77777777">
        <w:trPr>
          <w:trHeight w:val="810"/>
        </w:trPr>
        <w:tc>
          <w:tcPr>
            <w:tcW w:w="1636" w:type="dxa"/>
            <w:tcBorders>
              <w:top w:val="nil"/>
              <w:left w:val="nil"/>
              <w:bottom w:val="nil"/>
              <w:right w:val="nil"/>
            </w:tcBorders>
          </w:tcPr>
          <w:p w14:paraId="67CD9EAF" w14:textId="77777777" w:rsidR="00053D93" w:rsidRDefault="00260B75">
            <w:pPr>
              <w:ind w:left="7"/>
            </w:pPr>
            <w:r>
              <w:rPr>
                <w:noProof/>
              </w:rPr>
              <w:drawing>
                <wp:inline distT="0" distB="0" distL="0" distR="0" wp14:anchorId="37C5FD6B" wp14:editId="4197CC29">
                  <wp:extent cx="132588" cy="329184"/>
                  <wp:effectExtent l="0" t="0" r="0" b="0"/>
                  <wp:docPr id="217568" name="Picture 217568"/>
                  <wp:cNvGraphicFramePr/>
                  <a:graphic xmlns:a="http://schemas.openxmlformats.org/drawingml/2006/main">
                    <a:graphicData uri="http://schemas.openxmlformats.org/drawingml/2006/picture">
                      <pic:pic xmlns:pic="http://schemas.openxmlformats.org/drawingml/2006/picture">
                        <pic:nvPicPr>
                          <pic:cNvPr id="217568" name="Picture 217568"/>
                          <pic:cNvPicPr/>
                        </pic:nvPicPr>
                        <pic:blipFill>
                          <a:blip r:embed="rId327"/>
                          <a:stretch>
                            <a:fillRect/>
                          </a:stretch>
                        </pic:blipFill>
                        <pic:spPr>
                          <a:xfrm>
                            <a:off x="0" y="0"/>
                            <a:ext cx="132588" cy="329184"/>
                          </a:xfrm>
                          <a:prstGeom prst="rect">
                            <a:avLst/>
                          </a:prstGeom>
                        </pic:spPr>
                      </pic:pic>
                    </a:graphicData>
                  </a:graphic>
                </wp:inline>
              </w:drawing>
            </w:r>
          </w:p>
        </w:tc>
        <w:tc>
          <w:tcPr>
            <w:tcW w:w="0" w:type="auto"/>
            <w:vMerge/>
            <w:tcBorders>
              <w:top w:val="nil"/>
              <w:left w:val="nil"/>
              <w:bottom w:val="nil"/>
              <w:right w:val="nil"/>
            </w:tcBorders>
          </w:tcPr>
          <w:p w14:paraId="564D9A88" w14:textId="77777777" w:rsidR="00053D93" w:rsidRDefault="00053D93"/>
        </w:tc>
      </w:tr>
      <w:tr w:rsidR="00053D93" w14:paraId="0564CD35" w14:textId="77777777">
        <w:trPr>
          <w:trHeight w:val="810"/>
        </w:trPr>
        <w:tc>
          <w:tcPr>
            <w:tcW w:w="1636" w:type="dxa"/>
            <w:tcBorders>
              <w:top w:val="nil"/>
              <w:left w:val="nil"/>
              <w:bottom w:val="nil"/>
              <w:right w:val="nil"/>
            </w:tcBorders>
          </w:tcPr>
          <w:p w14:paraId="58F4F6C6" w14:textId="77777777" w:rsidR="00053D93" w:rsidRDefault="00260B75">
            <w:pPr>
              <w:ind w:left="7"/>
            </w:pPr>
            <w:r>
              <w:rPr>
                <w:noProof/>
              </w:rPr>
              <w:drawing>
                <wp:inline distT="0" distB="0" distL="0" distR="0" wp14:anchorId="77801603" wp14:editId="07D9581F">
                  <wp:extent cx="114300" cy="324613"/>
                  <wp:effectExtent l="0" t="0" r="0" b="0"/>
                  <wp:docPr id="217569" name="Picture 217569"/>
                  <wp:cNvGraphicFramePr/>
                  <a:graphic xmlns:a="http://schemas.openxmlformats.org/drawingml/2006/main">
                    <a:graphicData uri="http://schemas.openxmlformats.org/drawingml/2006/picture">
                      <pic:pic xmlns:pic="http://schemas.openxmlformats.org/drawingml/2006/picture">
                        <pic:nvPicPr>
                          <pic:cNvPr id="217569" name="Picture 217569"/>
                          <pic:cNvPicPr/>
                        </pic:nvPicPr>
                        <pic:blipFill>
                          <a:blip r:embed="rId328"/>
                          <a:stretch>
                            <a:fillRect/>
                          </a:stretch>
                        </pic:blipFill>
                        <pic:spPr>
                          <a:xfrm>
                            <a:off x="0" y="0"/>
                            <a:ext cx="114300" cy="324613"/>
                          </a:xfrm>
                          <a:prstGeom prst="rect">
                            <a:avLst/>
                          </a:prstGeom>
                        </pic:spPr>
                      </pic:pic>
                    </a:graphicData>
                  </a:graphic>
                </wp:inline>
              </w:drawing>
            </w:r>
          </w:p>
        </w:tc>
        <w:tc>
          <w:tcPr>
            <w:tcW w:w="0" w:type="auto"/>
            <w:vMerge/>
            <w:tcBorders>
              <w:top w:val="nil"/>
              <w:left w:val="nil"/>
              <w:bottom w:val="nil"/>
              <w:right w:val="nil"/>
            </w:tcBorders>
          </w:tcPr>
          <w:p w14:paraId="48ABE45E" w14:textId="77777777" w:rsidR="00053D93" w:rsidRDefault="00053D93"/>
        </w:tc>
      </w:tr>
      <w:tr w:rsidR="00053D93" w14:paraId="2574407C" w14:textId="77777777">
        <w:trPr>
          <w:trHeight w:val="810"/>
        </w:trPr>
        <w:tc>
          <w:tcPr>
            <w:tcW w:w="1636" w:type="dxa"/>
            <w:tcBorders>
              <w:top w:val="nil"/>
              <w:left w:val="nil"/>
              <w:bottom w:val="nil"/>
              <w:right w:val="nil"/>
            </w:tcBorders>
          </w:tcPr>
          <w:p w14:paraId="072122AE" w14:textId="77777777" w:rsidR="00053D93" w:rsidRDefault="00260B75">
            <w:pPr>
              <w:ind w:left="7"/>
            </w:pPr>
            <w:r>
              <w:rPr>
                <w:noProof/>
              </w:rPr>
              <w:drawing>
                <wp:inline distT="0" distB="0" distL="0" distR="0" wp14:anchorId="38164772" wp14:editId="49BFC45E">
                  <wp:extent cx="114300" cy="320040"/>
                  <wp:effectExtent l="0" t="0" r="0" b="0"/>
                  <wp:docPr id="217570" name="Picture 217570"/>
                  <wp:cNvGraphicFramePr/>
                  <a:graphic xmlns:a="http://schemas.openxmlformats.org/drawingml/2006/main">
                    <a:graphicData uri="http://schemas.openxmlformats.org/drawingml/2006/picture">
                      <pic:pic xmlns:pic="http://schemas.openxmlformats.org/drawingml/2006/picture">
                        <pic:nvPicPr>
                          <pic:cNvPr id="217570" name="Picture 217570"/>
                          <pic:cNvPicPr/>
                        </pic:nvPicPr>
                        <pic:blipFill>
                          <a:blip r:embed="rId329"/>
                          <a:stretch>
                            <a:fillRect/>
                          </a:stretch>
                        </pic:blipFill>
                        <pic:spPr>
                          <a:xfrm>
                            <a:off x="0" y="0"/>
                            <a:ext cx="114300" cy="320040"/>
                          </a:xfrm>
                          <a:prstGeom prst="rect">
                            <a:avLst/>
                          </a:prstGeom>
                        </pic:spPr>
                      </pic:pic>
                    </a:graphicData>
                  </a:graphic>
                </wp:inline>
              </w:drawing>
            </w:r>
          </w:p>
        </w:tc>
        <w:tc>
          <w:tcPr>
            <w:tcW w:w="0" w:type="auto"/>
            <w:vMerge/>
            <w:tcBorders>
              <w:top w:val="nil"/>
              <w:left w:val="nil"/>
              <w:bottom w:val="nil"/>
              <w:right w:val="nil"/>
            </w:tcBorders>
          </w:tcPr>
          <w:p w14:paraId="1D3C1813" w14:textId="77777777" w:rsidR="00053D93" w:rsidRDefault="00053D93"/>
        </w:tc>
      </w:tr>
      <w:tr w:rsidR="00053D93" w14:paraId="23510F07" w14:textId="77777777">
        <w:trPr>
          <w:trHeight w:val="814"/>
        </w:trPr>
        <w:tc>
          <w:tcPr>
            <w:tcW w:w="1636" w:type="dxa"/>
            <w:tcBorders>
              <w:top w:val="nil"/>
              <w:left w:val="nil"/>
              <w:bottom w:val="nil"/>
              <w:right w:val="nil"/>
            </w:tcBorders>
          </w:tcPr>
          <w:p w14:paraId="77DA95A2" w14:textId="77777777" w:rsidR="00053D93" w:rsidRDefault="00260B75">
            <w:r>
              <w:rPr>
                <w:noProof/>
              </w:rPr>
              <w:drawing>
                <wp:inline distT="0" distB="0" distL="0" distR="0" wp14:anchorId="5CDD2FD3" wp14:editId="2C809E26">
                  <wp:extent cx="118872" cy="320041"/>
                  <wp:effectExtent l="0" t="0" r="0" b="0"/>
                  <wp:docPr id="217571" name="Picture 217571"/>
                  <wp:cNvGraphicFramePr/>
                  <a:graphic xmlns:a="http://schemas.openxmlformats.org/drawingml/2006/main">
                    <a:graphicData uri="http://schemas.openxmlformats.org/drawingml/2006/picture">
                      <pic:pic xmlns:pic="http://schemas.openxmlformats.org/drawingml/2006/picture">
                        <pic:nvPicPr>
                          <pic:cNvPr id="217571" name="Picture 217571"/>
                          <pic:cNvPicPr/>
                        </pic:nvPicPr>
                        <pic:blipFill>
                          <a:blip r:embed="rId330"/>
                          <a:stretch>
                            <a:fillRect/>
                          </a:stretch>
                        </pic:blipFill>
                        <pic:spPr>
                          <a:xfrm>
                            <a:off x="0" y="0"/>
                            <a:ext cx="118872" cy="320041"/>
                          </a:xfrm>
                          <a:prstGeom prst="rect">
                            <a:avLst/>
                          </a:prstGeom>
                        </pic:spPr>
                      </pic:pic>
                    </a:graphicData>
                  </a:graphic>
                </wp:inline>
              </w:drawing>
            </w:r>
          </w:p>
        </w:tc>
        <w:tc>
          <w:tcPr>
            <w:tcW w:w="0" w:type="auto"/>
            <w:vMerge/>
            <w:tcBorders>
              <w:top w:val="nil"/>
              <w:left w:val="nil"/>
              <w:bottom w:val="nil"/>
              <w:right w:val="nil"/>
            </w:tcBorders>
          </w:tcPr>
          <w:p w14:paraId="17AB57B9" w14:textId="77777777" w:rsidR="00053D93" w:rsidRDefault="00053D93"/>
        </w:tc>
      </w:tr>
      <w:tr w:rsidR="00053D93" w14:paraId="2136CDF7" w14:textId="77777777">
        <w:trPr>
          <w:trHeight w:val="814"/>
        </w:trPr>
        <w:tc>
          <w:tcPr>
            <w:tcW w:w="1636" w:type="dxa"/>
            <w:tcBorders>
              <w:top w:val="nil"/>
              <w:left w:val="nil"/>
              <w:bottom w:val="nil"/>
              <w:right w:val="nil"/>
            </w:tcBorders>
          </w:tcPr>
          <w:p w14:paraId="77BA4992" w14:textId="77777777" w:rsidR="00053D93" w:rsidRDefault="00260B75">
            <w:r>
              <w:rPr>
                <w:noProof/>
              </w:rPr>
              <w:drawing>
                <wp:inline distT="0" distB="0" distL="0" distR="0" wp14:anchorId="5D3FF23E" wp14:editId="793D1793">
                  <wp:extent cx="123444" cy="315468"/>
                  <wp:effectExtent l="0" t="0" r="0" b="0"/>
                  <wp:docPr id="217576" name="Picture 217576"/>
                  <wp:cNvGraphicFramePr/>
                  <a:graphic xmlns:a="http://schemas.openxmlformats.org/drawingml/2006/main">
                    <a:graphicData uri="http://schemas.openxmlformats.org/drawingml/2006/picture">
                      <pic:pic xmlns:pic="http://schemas.openxmlformats.org/drawingml/2006/picture">
                        <pic:nvPicPr>
                          <pic:cNvPr id="217576" name="Picture 217576"/>
                          <pic:cNvPicPr/>
                        </pic:nvPicPr>
                        <pic:blipFill>
                          <a:blip r:embed="rId331"/>
                          <a:stretch>
                            <a:fillRect/>
                          </a:stretch>
                        </pic:blipFill>
                        <pic:spPr>
                          <a:xfrm>
                            <a:off x="0" y="0"/>
                            <a:ext cx="123444" cy="315468"/>
                          </a:xfrm>
                          <a:prstGeom prst="rect">
                            <a:avLst/>
                          </a:prstGeom>
                        </pic:spPr>
                      </pic:pic>
                    </a:graphicData>
                  </a:graphic>
                </wp:inline>
              </w:drawing>
            </w:r>
          </w:p>
        </w:tc>
        <w:tc>
          <w:tcPr>
            <w:tcW w:w="0" w:type="auto"/>
            <w:vMerge/>
            <w:tcBorders>
              <w:top w:val="nil"/>
              <w:left w:val="nil"/>
              <w:bottom w:val="nil"/>
              <w:right w:val="nil"/>
            </w:tcBorders>
          </w:tcPr>
          <w:p w14:paraId="40A55190" w14:textId="77777777" w:rsidR="00053D93" w:rsidRDefault="00053D93"/>
        </w:tc>
      </w:tr>
      <w:tr w:rsidR="00053D93" w14:paraId="0823D7AE" w14:textId="77777777">
        <w:trPr>
          <w:trHeight w:val="947"/>
        </w:trPr>
        <w:tc>
          <w:tcPr>
            <w:tcW w:w="1636" w:type="dxa"/>
            <w:tcBorders>
              <w:top w:val="nil"/>
              <w:left w:val="nil"/>
              <w:bottom w:val="nil"/>
              <w:right w:val="nil"/>
            </w:tcBorders>
          </w:tcPr>
          <w:p w14:paraId="4E884F9A" w14:textId="77777777" w:rsidR="00053D93" w:rsidRDefault="00260B75">
            <w:pPr>
              <w:ind w:left="7"/>
            </w:pPr>
            <w:r>
              <w:rPr>
                <w:noProof/>
              </w:rPr>
              <w:drawing>
                <wp:inline distT="0" distB="0" distL="0" distR="0" wp14:anchorId="37BE678D" wp14:editId="1E975D86">
                  <wp:extent cx="1033272" cy="498348"/>
                  <wp:effectExtent l="0" t="0" r="0" b="0"/>
                  <wp:docPr id="2458207" name="Picture 2458207"/>
                  <wp:cNvGraphicFramePr/>
                  <a:graphic xmlns:a="http://schemas.openxmlformats.org/drawingml/2006/main">
                    <a:graphicData uri="http://schemas.openxmlformats.org/drawingml/2006/picture">
                      <pic:pic xmlns:pic="http://schemas.openxmlformats.org/drawingml/2006/picture">
                        <pic:nvPicPr>
                          <pic:cNvPr id="2458207" name="Picture 2458207"/>
                          <pic:cNvPicPr/>
                        </pic:nvPicPr>
                        <pic:blipFill>
                          <a:blip r:embed="rId332"/>
                          <a:stretch>
                            <a:fillRect/>
                          </a:stretch>
                        </pic:blipFill>
                        <pic:spPr>
                          <a:xfrm>
                            <a:off x="0" y="0"/>
                            <a:ext cx="1033272" cy="498348"/>
                          </a:xfrm>
                          <a:prstGeom prst="rect">
                            <a:avLst/>
                          </a:prstGeom>
                        </pic:spPr>
                      </pic:pic>
                    </a:graphicData>
                  </a:graphic>
                </wp:inline>
              </w:drawing>
            </w:r>
          </w:p>
        </w:tc>
        <w:tc>
          <w:tcPr>
            <w:tcW w:w="0" w:type="auto"/>
            <w:vMerge/>
            <w:tcBorders>
              <w:top w:val="nil"/>
              <w:left w:val="nil"/>
              <w:bottom w:val="nil"/>
              <w:right w:val="nil"/>
            </w:tcBorders>
          </w:tcPr>
          <w:p w14:paraId="5E629CBD" w14:textId="77777777" w:rsidR="00053D93" w:rsidRDefault="00053D93"/>
        </w:tc>
      </w:tr>
    </w:tbl>
    <w:p w14:paraId="6215D998" w14:textId="77777777" w:rsidR="00053D93" w:rsidRDefault="00053D93">
      <w:pPr>
        <w:sectPr w:rsidR="00053D93">
          <w:headerReference w:type="even" r:id="rId333"/>
          <w:headerReference w:type="default" r:id="rId334"/>
          <w:footerReference w:type="even" r:id="rId335"/>
          <w:footerReference w:type="default" r:id="rId336"/>
          <w:headerReference w:type="first" r:id="rId337"/>
          <w:footerReference w:type="first" r:id="rId338"/>
          <w:pgSz w:w="12290" w:h="15912"/>
          <w:pgMar w:top="1217" w:right="1807" w:bottom="266" w:left="281" w:header="641" w:footer="720" w:gutter="0"/>
          <w:cols w:space="720"/>
          <w:titlePg/>
        </w:sectPr>
      </w:pPr>
    </w:p>
    <w:p w14:paraId="7B497C93" w14:textId="77777777" w:rsidR="00053D93" w:rsidRDefault="00260B75">
      <w:pPr>
        <w:spacing w:after="248"/>
        <w:ind w:left="-1973" w:right="10469"/>
      </w:pPr>
      <w:r>
        <w:rPr>
          <w:noProof/>
        </w:rPr>
        <w:lastRenderedPageBreak/>
        <w:drawing>
          <wp:anchor distT="0" distB="0" distL="114300" distR="114300" simplePos="0" relativeHeight="251801600" behindDoc="0" locked="0" layoutInCell="1" allowOverlap="0" wp14:anchorId="2FEB943B" wp14:editId="7BA257E6">
            <wp:simplePos x="0" y="0"/>
            <wp:positionH relativeFrom="page">
              <wp:posOffset>196596</wp:posOffset>
            </wp:positionH>
            <wp:positionV relativeFrom="page">
              <wp:posOffset>352044</wp:posOffset>
            </wp:positionV>
            <wp:extent cx="160020" cy="342900"/>
            <wp:effectExtent l="0" t="0" r="0" b="0"/>
            <wp:wrapTopAndBottom/>
            <wp:docPr id="223139" name="Picture 223139"/>
            <wp:cNvGraphicFramePr/>
            <a:graphic xmlns:a="http://schemas.openxmlformats.org/drawingml/2006/main">
              <a:graphicData uri="http://schemas.openxmlformats.org/drawingml/2006/picture">
                <pic:pic xmlns:pic="http://schemas.openxmlformats.org/drawingml/2006/picture">
                  <pic:nvPicPr>
                    <pic:cNvPr id="223139" name="Picture 223139"/>
                    <pic:cNvPicPr/>
                  </pic:nvPicPr>
                  <pic:blipFill>
                    <a:blip r:embed="rId339"/>
                    <a:stretch>
                      <a:fillRect/>
                    </a:stretch>
                  </pic:blipFill>
                  <pic:spPr>
                    <a:xfrm>
                      <a:off x="0" y="0"/>
                      <a:ext cx="160020" cy="342900"/>
                    </a:xfrm>
                    <a:prstGeom prst="rect">
                      <a:avLst/>
                    </a:prstGeom>
                  </pic:spPr>
                </pic:pic>
              </a:graphicData>
            </a:graphic>
          </wp:anchor>
        </w:drawing>
      </w:r>
      <w:r>
        <w:rPr>
          <w:noProof/>
        </w:rPr>
        <w:drawing>
          <wp:anchor distT="0" distB="0" distL="114300" distR="114300" simplePos="0" relativeHeight="251802624" behindDoc="0" locked="0" layoutInCell="1" allowOverlap="0" wp14:anchorId="1E1302CD" wp14:editId="5A5F29D8">
            <wp:simplePos x="0" y="0"/>
            <wp:positionH relativeFrom="page">
              <wp:posOffset>201168</wp:posOffset>
            </wp:positionH>
            <wp:positionV relativeFrom="page">
              <wp:posOffset>882396</wp:posOffset>
            </wp:positionV>
            <wp:extent cx="155448" cy="324612"/>
            <wp:effectExtent l="0" t="0" r="0" b="0"/>
            <wp:wrapTopAndBottom/>
            <wp:docPr id="223140" name="Picture 223140"/>
            <wp:cNvGraphicFramePr/>
            <a:graphic xmlns:a="http://schemas.openxmlformats.org/drawingml/2006/main">
              <a:graphicData uri="http://schemas.openxmlformats.org/drawingml/2006/picture">
                <pic:pic xmlns:pic="http://schemas.openxmlformats.org/drawingml/2006/picture">
                  <pic:nvPicPr>
                    <pic:cNvPr id="223140" name="Picture 223140"/>
                    <pic:cNvPicPr/>
                  </pic:nvPicPr>
                  <pic:blipFill>
                    <a:blip r:embed="rId340"/>
                    <a:stretch>
                      <a:fillRect/>
                    </a:stretch>
                  </pic:blipFill>
                  <pic:spPr>
                    <a:xfrm>
                      <a:off x="0" y="0"/>
                      <a:ext cx="155448" cy="324612"/>
                    </a:xfrm>
                    <a:prstGeom prst="rect">
                      <a:avLst/>
                    </a:prstGeom>
                  </pic:spPr>
                </pic:pic>
              </a:graphicData>
            </a:graphic>
          </wp:anchor>
        </w:drawing>
      </w:r>
      <w:r>
        <w:rPr>
          <w:noProof/>
        </w:rPr>
        <w:drawing>
          <wp:anchor distT="0" distB="0" distL="114300" distR="114300" simplePos="0" relativeHeight="251803648" behindDoc="0" locked="0" layoutInCell="1" allowOverlap="0" wp14:anchorId="0FD5263A" wp14:editId="7F2841FA">
            <wp:simplePos x="0" y="0"/>
            <wp:positionH relativeFrom="page">
              <wp:posOffset>205740</wp:posOffset>
            </wp:positionH>
            <wp:positionV relativeFrom="page">
              <wp:posOffset>1399032</wp:posOffset>
            </wp:positionV>
            <wp:extent cx="155448" cy="342900"/>
            <wp:effectExtent l="0" t="0" r="0" b="0"/>
            <wp:wrapTopAndBottom/>
            <wp:docPr id="223141" name="Picture 223141"/>
            <wp:cNvGraphicFramePr/>
            <a:graphic xmlns:a="http://schemas.openxmlformats.org/drawingml/2006/main">
              <a:graphicData uri="http://schemas.openxmlformats.org/drawingml/2006/picture">
                <pic:pic xmlns:pic="http://schemas.openxmlformats.org/drawingml/2006/picture">
                  <pic:nvPicPr>
                    <pic:cNvPr id="223141" name="Picture 223141"/>
                    <pic:cNvPicPr/>
                  </pic:nvPicPr>
                  <pic:blipFill>
                    <a:blip r:embed="rId341"/>
                    <a:stretch>
                      <a:fillRect/>
                    </a:stretch>
                  </pic:blipFill>
                  <pic:spPr>
                    <a:xfrm>
                      <a:off x="0" y="0"/>
                      <a:ext cx="155448" cy="342900"/>
                    </a:xfrm>
                    <a:prstGeom prst="rect">
                      <a:avLst/>
                    </a:prstGeom>
                  </pic:spPr>
                </pic:pic>
              </a:graphicData>
            </a:graphic>
          </wp:anchor>
        </w:drawing>
      </w:r>
      <w:r>
        <w:rPr>
          <w:noProof/>
        </w:rPr>
        <w:drawing>
          <wp:anchor distT="0" distB="0" distL="114300" distR="114300" simplePos="0" relativeHeight="251804672" behindDoc="0" locked="0" layoutInCell="1" allowOverlap="0" wp14:anchorId="46781BE4" wp14:editId="08D2CE47">
            <wp:simplePos x="0" y="0"/>
            <wp:positionH relativeFrom="page">
              <wp:posOffset>205740</wp:posOffset>
            </wp:positionH>
            <wp:positionV relativeFrom="page">
              <wp:posOffset>1915668</wp:posOffset>
            </wp:positionV>
            <wp:extent cx="155448" cy="324612"/>
            <wp:effectExtent l="0" t="0" r="0" b="0"/>
            <wp:wrapTopAndBottom/>
            <wp:docPr id="223142" name="Picture 223142"/>
            <wp:cNvGraphicFramePr/>
            <a:graphic xmlns:a="http://schemas.openxmlformats.org/drawingml/2006/main">
              <a:graphicData uri="http://schemas.openxmlformats.org/drawingml/2006/picture">
                <pic:pic xmlns:pic="http://schemas.openxmlformats.org/drawingml/2006/picture">
                  <pic:nvPicPr>
                    <pic:cNvPr id="223142" name="Picture 223142"/>
                    <pic:cNvPicPr/>
                  </pic:nvPicPr>
                  <pic:blipFill>
                    <a:blip r:embed="rId342"/>
                    <a:stretch>
                      <a:fillRect/>
                    </a:stretch>
                  </pic:blipFill>
                  <pic:spPr>
                    <a:xfrm>
                      <a:off x="0" y="0"/>
                      <a:ext cx="155448" cy="324612"/>
                    </a:xfrm>
                    <a:prstGeom prst="rect">
                      <a:avLst/>
                    </a:prstGeom>
                  </pic:spPr>
                </pic:pic>
              </a:graphicData>
            </a:graphic>
          </wp:anchor>
        </w:drawing>
      </w:r>
      <w:r>
        <w:rPr>
          <w:noProof/>
        </w:rPr>
        <w:drawing>
          <wp:anchor distT="0" distB="0" distL="114300" distR="114300" simplePos="0" relativeHeight="251805696" behindDoc="0" locked="0" layoutInCell="1" allowOverlap="0" wp14:anchorId="1A40221B" wp14:editId="29693502">
            <wp:simplePos x="0" y="0"/>
            <wp:positionH relativeFrom="page">
              <wp:posOffset>210312</wp:posOffset>
            </wp:positionH>
            <wp:positionV relativeFrom="page">
              <wp:posOffset>2432304</wp:posOffset>
            </wp:positionV>
            <wp:extent cx="155448" cy="324612"/>
            <wp:effectExtent l="0" t="0" r="0" b="0"/>
            <wp:wrapTopAndBottom/>
            <wp:docPr id="223143" name="Picture 223143"/>
            <wp:cNvGraphicFramePr/>
            <a:graphic xmlns:a="http://schemas.openxmlformats.org/drawingml/2006/main">
              <a:graphicData uri="http://schemas.openxmlformats.org/drawingml/2006/picture">
                <pic:pic xmlns:pic="http://schemas.openxmlformats.org/drawingml/2006/picture">
                  <pic:nvPicPr>
                    <pic:cNvPr id="223143" name="Picture 223143"/>
                    <pic:cNvPicPr/>
                  </pic:nvPicPr>
                  <pic:blipFill>
                    <a:blip r:embed="rId343"/>
                    <a:stretch>
                      <a:fillRect/>
                    </a:stretch>
                  </pic:blipFill>
                  <pic:spPr>
                    <a:xfrm>
                      <a:off x="0" y="0"/>
                      <a:ext cx="155448" cy="324612"/>
                    </a:xfrm>
                    <a:prstGeom prst="rect">
                      <a:avLst/>
                    </a:prstGeom>
                  </pic:spPr>
                </pic:pic>
              </a:graphicData>
            </a:graphic>
          </wp:anchor>
        </w:drawing>
      </w:r>
      <w:r>
        <w:rPr>
          <w:noProof/>
        </w:rPr>
        <w:drawing>
          <wp:anchor distT="0" distB="0" distL="114300" distR="114300" simplePos="0" relativeHeight="251806720" behindDoc="0" locked="0" layoutInCell="1" allowOverlap="0" wp14:anchorId="44236757" wp14:editId="1D4057BD">
            <wp:simplePos x="0" y="0"/>
            <wp:positionH relativeFrom="page">
              <wp:posOffset>210312</wp:posOffset>
            </wp:positionH>
            <wp:positionV relativeFrom="page">
              <wp:posOffset>2948940</wp:posOffset>
            </wp:positionV>
            <wp:extent cx="146304" cy="324612"/>
            <wp:effectExtent l="0" t="0" r="0" b="0"/>
            <wp:wrapTopAndBottom/>
            <wp:docPr id="223144" name="Picture 223144"/>
            <wp:cNvGraphicFramePr/>
            <a:graphic xmlns:a="http://schemas.openxmlformats.org/drawingml/2006/main">
              <a:graphicData uri="http://schemas.openxmlformats.org/drawingml/2006/picture">
                <pic:pic xmlns:pic="http://schemas.openxmlformats.org/drawingml/2006/picture">
                  <pic:nvPicPr>
                    <pic:cNvPr id="223144" name="Picture 223144"/>
                    <pic:cNvPicPr/>
                  </pic:nvPicPr>
                  <pic:blipFill>
                    <a:blip r:embed="rId344"/>
                    <a:stretch>
                      <a:fillRect/>
                    </a:stretch>
                  </pic:blipFill>
                  <pic:spPr>
                    <a:xfrm>
                      <a:off x="0" y="0"/>
                      <a:ext cx="146304" cy="324612"/>
                    </a:xfrm>
                    <a:prstGeom prst="rect">
                      <a:avLst/>
                    </a:prstGeom>
                  </pic:spPr>
                </pic:pic>
              </a:graphicData>
            </a:graphic>
          </wp:anchor>
        </w:drawing>
      </w:r>
      <w:r>
        <w:rPr>
          <w:noProof/>
        </w:rPr>
        <w:drawing>
          <wp:anchor distT="0" distB="0" distL="114300" distR="114300" simplePos="0" relativeHeight="251807744" behindDoc="0" locked="0" layoutInCell="1" allowOverlap="0" wp14:anchorId="4872AD0D" wp14:editId="726598D2">
            <wp:simplePos x="0" y="0"/>
            <wp:positionH relativeFrom="page">
              <wp:posOffset>214884</wp:posOffset>
            </wp:positionH>
            <wp:positionV relativeFrom="page">
              <wp:posOffset>3465576</wp:posOffset>
            </wp:positionV>
            <wp:extent cx="132588" cy="315468"/>
            <wp:effectExtent l="0" t="0" r="0" b="0"/>
            <wp:wrapTopAndBottom/>
            <wp:docPr id="223132" name="Picture 223132"/>
            <wp:cNvGraphicFramePr/>
            <a:graphic xmlns:a="http://schemas.openxmlformats.org/drawingml/2006/main">
              <a:graphicData uri="http://schemas.openxmlformats.org/drawingml/2006/picture">
                <pic:pic xmlns:pic="http://schemas.openxmlformats.org/drawingml/2006/picture">
                  <pic:nvPicPr>
                    <pic:cNvPr id="223132" name="Picture 223132"/>
                    <pic:cNvPicPr/>
                  </pic:nvPicPr>
                  <pic:blipFill>
                    <a:blip r:embed="rId345"/>
                    <a:stretch>
                      <a:fillRect/>
                    </a:stretch>
                  </pic:blipFill>
                  <pic:spPr>
                    <a:xfrm>
                      <a:off x="0" y="0"/>
                      <a:ext cx="132588" cy="315468"/>
                    </a:xfrm>
                    <a:prstGeom prst="rect">
                      <a:avLst/>
                    </a:prstGeom>
                  </pic:spPr>
                </pic:pic>
              </a:graphicData>
            </a:graphic>
          </wp:anchor>
        </w:drawing>
      </w:r>
      <w:r>
        <w:rPr>
          <w:noProof/>
        </w:rPr>
        <w:drawing>
          <wp:anchor distT="0" distB="0" distL="114300" distR="114300" simplePos="0" relativeHeight="251808768" behindDoc="0" locked="0" layoutInCell="1" allowOverlap="0" wp14:anchorId="3EA4ACF8" wp14:editId="4E8C8986">
            <wp:simplePos x="0" y="0"/>
            <wp:positionH relativeFrom="page">
              <wp:posOffset>210312</wp:posOffset>
            </wp:positionH>
            <wp:positionV relativeFrom="page">
              <wp:posOffset>3982212</wp:posOffset>
            </wp:positionV>
            <wp:extent cx="132588" cy="310896"/>
            <wp:effectExtent l="0" t="0" r="0" b="0"/>
            <wp:wrapTopAndBottom/>
            <wp:docPr id="223133" name="Picture 223133"/>
            <wp:cNvGraphicFramePr/>
            <a:graphic xmlns:a="http://schemas.openxmlformats.org/drawingml/2006/main">
              <a:graphicData uri="http://schemas.openxmlformats.org/drawingml/2006/picture">
                <pic:pic xmlns:pic="http://schemas.openxmlformats.org/drawingml/2006/picture">
                  <pic:nvPicPr>
                    <pic:cNvPr id="223133" name="Picture 223133"/>
                    <pic:cNvPicPr/>
                  </pic:nvPicPr>
                  <pic:blipFill>
                    <a:blip r:embed="rId346"/>
                    <a:stretch>
                      <a:fillRect/>
                    </a:stretch>
                  </pic:blipFill>
                  <pic:spPr>
                    <a:xfrm>
                      <a:off x="0" y="0"/>
                      <a:ext cx="132588" cy="310896"/>
                    </a:xfrm>
                    <a:prstGeom prst="rect">
                      <a:avLst/>
                    </a:prstGeom>
                  </pic:spPr>
                </pic:pic>
              </a:graphicData>
            </a:graphic>
          </wp:anchor>
        </w:drawing>
      </w:r>
      <w:r>
        <w:rPr>
          <w:noProof/>
        </w:rPr>
        <w:drawing>
          <wp:anchor distT="0" distB="0" distL="114300" distR="114300" simplePos="0" relativeHeight="251809792" behindDoc="0" locked="0" layoutInCell="1" allowOverlap="0" wp14:anchorId="0084B4F2" wp14:editId="7E1E6487">
            <wp:simplePos x="0" y="0"/>
            <wp:positionH relativeFrom="page">
              <wp:posOffset>210312</wp:posOffset>
            </wp:positionH>
            <wp:positionV relativeFrom="page">
              <wp:posOffset>4494276</wp:posOffset>
            </wp:positionV>
            <wp:extent cx="132588" cy="315468"/>
            <wp:effectExtent l="0" t="0" r="0" b="0"/>
            <wp:wrapTopAndBottom/>
            <wp:docPr id="223145" name="Picture 223145"/>
            <wp:cNvGraphicFramePr/>
            <a:graphic xmlns:a="http://schemas.openxmlformats.org/drawingml/2006/main">
              <a:graphicData uri="http://schemas.openxmlformats.org/drawingml/2006/picture">
                <pic:pic xmlns:pic="http://schemas.openxmlformats.org/drawingml/2006/picture">
                  <pic:nvPicPr>
                    <pic:cNvPr id="223145" name="Picture 223145"/>
                    <pic:cNvPicPr/>
                  </pic:nvPicPr>
                  <pic:blipFill>
                    <a:blip r:embed="rId347"/>
                    <a:stretch>
                      <a:fillRect/>
                    </a:stretch>
                  </pic:blipFill>
                  <pic:spPr>
                    <a:xfrm>
                      <a:off x="0" y="0"/>
                      <a:ext cx="132588" cy="315468"/>
                    </a:xfrm>
                    <a:prstGeom prst="rect">
                      <a:avLst/>
                    </a:prstGeom>
                  </pic:spPr>
                </pic:pic>
              </a:graphicData>
            </a:graphic>
          </wp:anchor>
        </w:drawing>
      </w:r>
      <w:r>
        <w:rPr>
          <w:noProof/>
        </w:rPr>
        <w:drawing>
          <wp:anchor distT="0" distB="0" distL="114300" distR="114300" simplePos="0" relativeHeight="251810816" behindDoc="0" locked="0" layoutInCell="1" allowOverlap="0" wp14:anchorId="6F038D39" wp14:editId="764DA496">
            <wp:simplePos x="0" y="0"/>
            <wp:positionH relativeFrom="page">
              <wp:posOffset>210312</wp:posOffset>
            </wp:positionH>
            <wp:positionV relativeFrom="page">
              <wp:posOffset>5010912</wp:posOffset>
            </wp:positionV>
            <wp:extent cx="132588" cy="315468"/>
            <wp:effectExtent l="0" t="0" r="0" b="0"/>
            <wp:wrapTopAndBottom/>
            <wp:docPr id="223134" name="Picture 223134"/>
            <wp:cNvGraphicFramePr/>
            <a:graphic xmlns:a="http://schemas.openxmlformats.org/drawingml/2006/main">
              <a:graphicData uri="http://schemas.openxmlformats.org/drawingml/2006/picture">
                <pic:pic xmlns:pic="http://schemas.openxmlformats.org/drawingml/2006/picture">
                  <pic:nvPicPr>
                    <pic:cNvPr id="223134" name="Picture 223134"/>
                    <pic:cNvPicPr/>
                  </pic:nvPicPr>
                  <pic:blipFill>
                    <a:blip r:embed="rId348"/>
                    <a:stretch>
                      <a:fillRect/>
                    </a:stretch>
                  </pic:blipFill>
                  <pic:spPr>
                    <a:xfrm>
                      <a:off x="0" y="0"/>
                      <a:ext cx="132588" cy="315468"/>
                    </a:xfrm>
                    <a:prstGeom prst="rect">
                      <a:avLst/>
                    </a:prstGeom>
                  </pic:spPr>
                </pic:pic>
              </a:graphicData>
            </a:graphic>
          </wp:anchor>
        </w:drawing>
      </w:r>
      <w:r>
        <w:rPr>
          <w:noProof/>
        </w:rPr>
        <w:drawing>
          <wp:anchor distT="0" distB="0" distL="114300" distR="114300" simplePos="0" relativeHeight="251811840" behindDoc="0" locked="0" layoutInCell="1" allowOverlap="0" wp14:anchorId="1BB00974" wp14:editId="4B675D77">
            <wp:simplePos x="0" y="0"/>
            <wp:positionH relativeFrom="page">
              <wp:posOffset>214884</wp:posOffset>
            </wp:positionH>
            <wp:positionV relativeFrom="page">
              <wp:posOffset>5527548</wp:posOffset>
            </wp:positionV>
            <wp:extent cx="146304" cy="315468"/>
            <wp:effectExtent l="0" t="0" r="0" b="0"/>
            <wp:wrapTopAndBottom/>
            <wp:docPr id="223135" name="Picture 223135"/>
            <wp:cNvGraphicFramePr/>
            <a:graphic xmlns:a="http://schemas.openxmlformats.org/drawingml/2006/main">
              <a:graphicData uri="http://schemas.openxmlformats.org/drawingml/2006/picture">
                <pic:pic xmlns:pic="http://schemas.openxmlformats.org/drawingml/2006/picture">
                  <pic:nvPicPr>
                    <pic:cNvPr id="223135" name="Picture 223135"/>
                    <pic:cNvPicPr/>
                  </pic:nvPicPr>
                  <pic:blipFill>
                    <a:blip r:embed="rId349"/>
                    <a:stretch>
                      <a:fillRect/>
                    </a:stretch>
                  </pic:blipFill>
                  <pic:spPr>
                    <a:xfrm>
                      <a:off x="0" y="0"/>
                      <a:ext cx="146304" cy="315468"/>
                    </a:xfrm>
                    <a:prstGeom prst="rect">
                      <a:avLst/>
                    </a:prstGeom>
                  </pic:spPr>
                </pic:pic>
              </a:graphicData>
            </a:graphic>
          </wp:anchor>
        </w:drawing>
      </w:r>
      <w:r>
        <w:rPr>
          <w:noProof/>
        </w:rPr>
        <w:drawing>
          <wp:anchor distT="0" distB="0" distL="114300" distR="114300" simplePos="0" relativeHeight="251812864" behindDoc="0" locked="0" layoutInCell="1" allowOverlap="0" wp14:anchorId="57796C28" wp14:editId="683710C6">
            <wp:simplePos x="0" y="0"/>
            <wp:positionH relativeFrom="page">
              <wp:posOffset>214884</wp:posOffset>
            </wp:positionH>
            <wp:positionV relativeFrom="page">
              <wp:posOffset>6039613</wp:posOffset>
            </wp:positionV>
            <wp:extent cx="141732" cy="329184"/>
            <wp:effectExtent l="0" t="0" r="0" b="0"/>
            <wp:wrapTopAndBottom/>
            <wp:docPr id="223146" name="Picture 223146"/>
            <wp:cNvGraphicFramePr/>
            <a:graphic xmlns:a="http://schemas.openxmlformats.org/drawingml/2006/main">
              <a:graphicData uri="http://schemas.openxmlformats.org/drawingml/2006/picture">
                <pic:pic xmlns:pic="http://schemas.openxmlformats.org/drawingml/2006/picture">
                  <pic:nvPicPr>
                    <pic:cNvPr id="223146" name="Picture 223146"/>
                    <pic:cNvPicPr/>
                  </pic:nvPicPr>
                  <pic:blipFill>
                    <a:blip r:embed="rId350"/>
                    <a:stretch>
                      <a:fillRect/>
                    </a:stretch>
                  </pic:blipFill>
                  <pic:spPr>
                    <a:xfrm>
                      <a:off x="0" y="0"/>
                      <a:ext cx="141732" cy="329184"/>
                    </a:xfrm>
                    <a:prstGeom prst="rect">
                      <a:avLst/>
                    </a:prstGeom>
                  </pic:spPr>
                </pic:pic>
              </a:graphicData>
            </a:graphic>
          </wp:anchor>
        </w:drawing>
      </w:r>
      <w:r>
        <w:rPr>
          <w:noProof/>
        </w:rPr>
        <w:drawing>
          <wp:anchor distT="0" distB="0" distL="114300" distR="114300" simplePos="0" relativeHeight="251813888" behindDoc="0" locked="0" layoutInCell="1" allowOverlap="0" wp14:anchorId="238B5865" wp14:editId="33CAD3B7">
            <wp:simplePos x="0" y="0"/>
            <wp:positionH relativeFrom="page">
              <wp:posOffset>214884</wp:posOffset>
            </wp:positionH>
            <wp:positionV relativeFrom="page">
              <wp:posOffset>6560821</wp:posOffset>
            </wp:positionV>
            <wp:extent cx="137160" cy="315468"/>
            <wp:effectExtent l="0" t="0" r="0" b="0"/>
            <wp:wrapTopAndBottom/>
            <wp:docPr id="223136" name="Picture 223136"/>
            <wp:cNvGraphicFramePr/>
            <a:graphic xmlns:a="http://schemas.openxmlformats.org/drawingml/2006/main">
              <a:graphicData uri="http://schemas.openxmlformats.org/drawingml/2006/picture">
                <pic:pic xmlns:pic="http://schemas.openxmlformats.org/drawingml/2006/picture">
                  <pic:nvPicPr>
                    <pic:cNvPr id="223136" name="Picture 223136"/>
                    <pic:cNvPicPr/>
                  </pic:nvPicPr>
                  <pic:blipFill>
                    <a:blip r:embed="rId351"/>
                    <a:stretch>
                      <a:fillRect/>
                    </a:stretch>
                  </pic:blipFill>
                  <pic:spPr>
                    <a:xfrm>
                      <a:off x="0" y="0"/>
                      <a:ext cx="137160" cy="315468"/>
                    </a:xfrm>
                    <a:prstGeom prst="rect">
                      <a:avLst/>
                    </a:prstGeom>
                  </pic:spPr>
                </pic:pic>
              </a:graphicData>
            </a:graphic>
          </wp:anchor>
        </w:drawing>
      </w:r>
      <w:r>
        <w:rPr>
          <w:noProof/>
        </w:rPr>
        <w:drawing>
          <wp:anchor distT="0" distB="0" distL="114300" distR="114300" simplePos="0" relativeHeight="251814912" behindDoc="0" locked="0" layoutInCell="1" allowOverlap="0" wp14:anchorId="0728CFBA" wp14:editId="43B5C78B">
            <wp:simplePos x="0" y="0"/>
            <wp:positionH relativeFrom="page">
              <wp:posOffset>160020</wp:posOffset>
            </wp:positionH>
            <wp:positionV relativeFrom="page">
              <wp:posOffset>7072885</wp:posOffset>
            </wp:positionV>
            <wp:extent cx="173736" cy="315468"/>
            <wp:effectExtent l="0" t="0" r="0" b="0"/>
            <wp:wrapTopAndBottom/>
            <wp:docPr id="223137" name="Picture 223137"/>
            <wp:cNvGraphicFramePr/>
            <a:graphic xmlns:a="http://schemas.openxmlformats.org/drawingml/2006/main">
              <a:graphicData uri="http://schemas.openxmlformats.org/drawingml/2006/picture">
                <pic:pic xmlns:pic="http://schemas.openxmlformats.org/drawingml/2006/picture">
                  <pic:nvPicPr>
                    <pic:cNvPr id="223137" name="Picture 223137"/>
                    <pic:cNvPicPr/>
                  </pic:nvPicPr>
                  <pic:blipFill>
                    <a:blip r:embed="rId352"/>
                    <a:stretch>
                      <a:fillRect/>
                    </a:stretch>
                  </pic:blipFill>
                  <pic:spPr>
                    <a:xfrm>
                      <a:off x="0" y="0"/>
                      <a:ext cx="173736" cy="315468"/>
                    </a:xfrm>
                    <a:prstGeom prst="rect">
                      <a:avLst/>
                    </a:prstGeom>
                  </pic:spPr>
                </pic:pic>
              </a:graphicData>
            </a:graphic>
          </wp:anchor>
        </w:drawing>
      </w:r>
      <w:r>
        <w:rPr>
          <w:noProof/>
        </w:rPr>
        <w:drawing>
          <wp:anchor distT="0" distB="0" distL="114300" distR="114300" simplePos="0" relativeHeight="251815936" behindDoc="0" locked="0" layoutInCell="1" allowOverlap="0" wp14:anchorId="2FB50972" wp14:editId="4F382E1C">
            <wp:simplePos x="0" y="0"/>
            <wp:positionH relativeFrom="page">
              <wp:posOffset>210312</wp:posOffset>
            </wp:positionH>
            <wp:positionV relativeFrom="page">
              <wp:posOffset>7594093</wp:posOffset>
            </wp:positionV>
            <wp:extent cx="118872" cy="306324"/>
            <wp:effectExtent l="0" t="0" r="0" b="0"/>
            <wp:wrapTopAndBottom/>
            <wp:docPr id="223147" name="Picture 223147"/>
            <wp:cNvGraphicFramePr/>
            <a:graphic xmlns:a="http://schemas.openxmlformats.org/drawingml/2006/main">
              <a:graphicData uri="http://schemas.openxmlformats.org/drawingml/2006/picture">
                <pic:pic xmlns:pic="http://schemas.openxmlformats.org/drawingml/2006/picture">
                  <pic:nvPicPr>
                    <pic:cNvPr id="223147" name="Picture 223147"/>
                    <pic:cNvPicPr/>
                  </pic:nvPicPr>
                  <pic:blipFill>
                    <a:blip r:embed="rId353"/>
                    <a:stretch>
                      <a:fillRect/>
                    </a:stretch>
                  </pic:blipFill>
                  <pic:spPr>
                    <a:xfrm>
                      <a:off x="0" y="0"/>
                      <a:ext cx="118872" cy="306324"/>
                    </a:xfrm>
                    <a:prstGeom prst="rect">
                      <a:avLst/>
                    </a:prstGeom>
                  </pic:spPr>
                </pic:pic>
              </a:graphicData>
            </a:graphic>
          </wp:anchor>
        </w:drawing>
      </w:r>
      <w:r>
        <w:rPr>
          <w:noProof/>
        </w:rPr>
        <w:drawing>
          <wp:anchor distT="0" distB="0" distL="114300" distR="114300" simplePos="0" relativeHeight="251816960" behindDoc="0" locked="0" layoutInCell="1" allowOverlap="0" wp14:anchorId="394DBDE4" wp14:editId="767AA5DF">
            <wp:simplePos x="0" y="0"/>
            <wp:positionH relativeFrom="page">
              <wp:posOffset>699516</wp:posOffset>
            </wp:positionH>
            <wp:positionV relativeFrom="page">
              <wp:posOffset>9240013</wp:posOffset>
            </wp:positionV>
            <wp:extent cx="644652" cy="406908"/>
            <wp:effectExtent l="0" t="0" r="0" b="0"/>
            <wp:wrapTopAndBottom/>
            <wp:docPr id="223138" name="Picture 223138"/>
            <wp:cNvGraphicFramePr/>
            <a:graphic xmlns:a="http://schemas.openxmlformats.org/drawingml/2006/main">
              <a:graphicData uri="http://schemas.openxmlformats.org/drawingml/2006/picture">
                <pic:pic xmlns:pic="http://schemas.openxmlformats.org/drawingml/2006/picture">
                  <pic:nvPicPr>
                    <pic:cNvPr id="223138" name="Picture 223138"/>
                    <pic:cNvPicPr/>
                  </pic:nvPicPr>
                  <pic:blipFill>
                    <a:blip r:embed="rId354"/>
                    <a:stretch>
                      <a:fillRect/>
                    </a:stretch>
                  </pic:blipFill>
                  <pic:spPr>
                    <a:xfrm>
                      <a:off x="0" y="0"/>
                      <a:ext cx="644652" cy="406908"/>
                    </a:xfrm>
                    <a:prstGeom prst="rect">
                      <a:avLst/>
                    </a:prstGeom>
                  </pic:spPr>
                </pic:pic>
              </a:graphicData>
            </a:graphic>
          </wp:anchor>
        </w:drawing>
      </w:r>
    </w:p>
    <w:tbl>
      <w:tblPr>
        <w:tblStyle w:val="TableGrid"/>
        <w:tblW w:w="8357" w:type="dxa"/>
        <w:tblInd w:w="151" w:type="dxa"/>
        <w:tblLook w:val="04A0" w:firstRow="1" w:lastRow="0" w:firstColumn="1" w:lastColumn="0" w:noHBand="0" w:noVBand="1"/>
      </w:tblPr>
      <w:tblGrid>
        <w:gridCol w:w="111"/>
        <w:gridCol w:w="249"/>
        <w:gridCol w:w="68"/>
        <w:gridCol w:w="11"/>
        <w:gridCol w:w="288"/>
        <w:gridCol w:w="171"/>
        <w:gridCol w:w="3153"/>
        <w:gridCol w:w="11"/>
        <w:gridCol w:w="937"/>
        <w:gridCol w:w="9"/>
        <w:gridCol w:w="1056"/>
        <w:gridCol w:w="260"/>
        <w:gridCol w:w="14"/>
        <w:gridCol w:w="814"/>
        <w:gridCol w:w="455"/>
        <w:gridCol w:w="10"/>
        <w:gridCol w:w="732"/>
        <w:gridCol w:w="8"/>
      </w:tblGrid>
      <w:tr w:rsidR="00053D93" w14:paraId="658D1952" w14:textId="77777777">
        <w:trPr>
          <w:gridBefore w:val="1"/>
          <w:wBefore w:w="111" w:type="dxa"/>
          <w:trHeight w:val="1704"/>
        </w:trPr>
        <w:tc>
          <w:tcPr>
            <w:tcW w:w="317" w:type="dxa"/>
            <w:gridSpan w:val="2"/>
            <w:tcBorders>
              <w:top w:val="single" w:sz="2" w:space="0" w:color="000000"/>
              <w:left w:val="single" w:sz="2" w:space="0" w:color="000000"/>
              <w:bottom w:val="single" w:sz="2" w:space="0" w:color="000000"/>
              <w:right w:val="single" w:sz="2" w:space="0" w:color="000000"/>
            </w:tcBorders>
          </w:tcPr>
          <w:p w14:paraId="4D3D03DF" w14:textId="77777777" w:rsidR="00053D93" w:rsidRDefault="00260B75">
            <w:r>
              <w:rPr>
                <w:rFonts w:ascii="Times New Roman" w:eastAsia="Times New Roman" w:hAnsi="Times New Roman" w:cs="Times New Roman"/>
                <w:sz w:val="12"/>
              </w:rPr>
              <w:t>26</w:t>
            </w:r>
          </w:p>
        </w:tc>
        <w:tc>
          <w:tcPr>
            <w:tcW w:w="7" w:type="dxa"/>
            <w:tcBorders>
              <w:top w:val="single" w:sz="2" w:space="0" w:color="000000"/>
              <w:left w:val="single" w:sz="2" w:space="0" w:color="000000"/>
              <w:bottom w:val="single" w:sz="2" w:space="0" w:color="000000"/>
              <w:right w:val="single" w:sz="2" w:space="0" w:color="000000"/>
            </w:tcBorders>
          </w:tcPr>
          <w:p w14:paraId="38CA4E37" w14:textId="77777777" w:rsidR="00053D93" w:rsidRDefault="00053D93"/>
        </w:tc>
        <w:tc>
          <w:tcPr>
            <w:tcW w:w="3712" w:type="dxa"/>
            <w:gridSpan w:val="4"/>
            <w:tcBorders>
              <w:top w:val="single" w:sz="2" w:space="0" w:color="000000"/>
              <w:left w:val="single" w:sz="2" w:space="0" w:color="000000"/>
              <w:bottom w:val="single" w:sz="2" w:space="0" w:color="000000"/>
              <w:right w:val="single" w:sz="2" w:space="0" w:color="000000"/>
            </w:tcBorders>
          </w:tcPr>
          <w:p w14:paraId="44276368" w14:textId="77777777" w:rsidR="00053D93" w:rsidRDefault="00260B75">
            <w:pPr>
              <w:ind w:left="-7"/>
            </w:pPr>
            <w:r>
              <w:rPr>
                <w:sz w:val="14"/>
              </w:rPr>
              <w:t>CGc.OAS.03-0037-AFC.MlNEDuc-.01GEF.04-2024</w:t>
            </w:r>
          </w:p>
        </w:tc>
        <w:tc>
          <w:tcPr>
            <w:tcW w:w="953" w:type="dxa"/>
            <w:gridSpan w:val="2"/>
            <w:tcBorders>
              <w:top w:val="single" w:sz="2" w:space="0" w:color="000000"/>
              <w:left w:val="single" w:sz="2" w:space="0" w:color="000000"/>
              <w:bottom w:val="single" w:sz="2" w:space="0" w:color="000000"/>
              <w:right w:val="single" w:sz="2" w:space="0" w:color="000000"/>
            </w:tcBorders>
          </w:tcPr>
          <w:p w14:paraId="361D54F0" w14:textId="77777777" w:rsidR="00053D93" w:rsidRDefault="00260B75">
            <w:pPr>
              <w:ind w:right="55"/>
              <w:jc w:val="center"/>
            </w:pPr>
            <w:r>
              <w:rPr>
                <w:rFonts w:ascii="Times New Roman" w:eastAsia="Times New Roman" w:hAnsi="Times New Roman" w:cs="Times New Roman"/>
                <w:sz w:val="12"/>
              </w:rPr>
              <w:t>4102/2025</w:t>
            </w:r>
          </w:p>
        </w:tc>
        <w:tc>
          <w:tcPr>
            <w:tcW w:w="1339" w:type="dxa"/>
            <w:gridSpan w:val="3"/>
            <w:tcBorders>
              <w:top w:val="single" w:sz="2" w:space="0" w:color="000000"/>
              <w:left w:val="single" w:sz="2" w:space="0" w:color="000000"/>
              <w:bottom w:val="single" w:sz="2" w:space="0" w:color="000000"/>
              <w:right w:val="single" w:sz="2" w:space="0" w:color="000000"/>
            </w:tcBorders>
          </w:tcPr>
          <w:p w14:paraId="1E5051F5" w14:textId="77777777" w:rsidR="00053D93" w:rsidRDefault="00260B75">
            <w:pPr>
              <w:spacing w:after="5"/>
              <w:ind w:left="58"/>
            </w:pPr>
            <w:r>
              <w:rPr>
                <w:sz w:val="12"/>
              </w:rPr>
              <w:t>Norma 12.2 Normativa</w:t>
            </w:r>
          </w:p>
          <w:p w14:paraId="0A64E485" w14:textId="77777777" w:rsidR="00053D93" w:rsidRDefault="00260B75">
            <w:pPr>
              <w:ind w:left="58"/>
            </w:pPr>
            <w:r>
              <w:rPr>
                <w:sz w:val="14"/>
              </w:rPr>
              <w:t>Intema</w:t>
            </w:r>
          </w:p>
        </w:tc>
        <w:tc>
          <w:tcPr>
            <w:tcW w:w="814" w:type="dxa"/>
            <w:tcBorders>
              <w:top w:val="single" w:sz="2" w:space="0" w:color="000000"/>
              <w:left w:val="single" w:sz="2" w:space="0" w:color="000000"/>
              <w:bottom w:val="single" w:sz="2" w:space="0" w:color="000000"/>
              <w:right w:val="nil"/>
            </w:tcBorders>
          </w:tcPr>
          <w:p w14:paraId="5B9F84DA" w14:textId="77777777" w:rsidR="00053D93" w:rsidRDefault="00260B75">
            <w:pPr>
              <w:ind w:left="50" w:right="-50"/>
              <w:jc w:val="both"/>
            </w:pPr>
            <w:r>
              <w:rPr>
                <w:sz w:val="14"/>
              </w:rPr>
              <w:t>Falta de control salvaguarda bienes, por cámaras seguridad almacén</w:t>
            </w:r>
          </w:p>
        </w:tc>
        <w:tc>
          <w:tcPr>
            <w:tcW w:w="468" w:type="dxa"/>
            <w:gridSpan w:val="2"/>
            <w:tcBorders>
              <w:top w:val="single" w:sz="2" w:space="0" w:color="000000"/>
              <w:left w:val="nil"/>
              <w:bottom w:val="single" w:sz="2" w:space="0" w:color="000000"/>
              <w:right w:val="single" w:sz="2" w:space="0" w:color="000000"/>
            </w:tcBorders>
          </w:tcPr>
          <w:p w14:paraId="11B8846D" w14:textId="77777777" w:rsidR="00053D93" w:rsidRDefault="00260B75">
            <w:pPr>
              <w:ind w:left="-65" w:right="108" w:firstLine="166"/>
              <w:jc w:val="both"/>
            </w:pPr>
            <w:r>
              <w:rPr>
                <w:sz w:val="14"/>
              </w:rPr>
              <w:t>en 18 de tos falta de de</w:t>
            </w:r>
          </w:p>
        </w:tc>
        <w:tc>
          <w:tcPr>
            <w:tcW w:w="746" w:type="dxa"/>
            <w:gridSpan w:val="2"/>
            <w:tcBorders>
              <w:top w:val="single" w:sz="2" w:space="0" w:color="000000"/>
              <w:left w:val="single" w:sz="2" w:space="0" w:color="000000"/>
              <w:bottom w:val="single" w:sz="2" w:space="0" w:color="000000"/>
              <w:right w:val="single" w:sz="2" w:space="0" w:color="000000"/>
            </w:tcBorders>
          </w:tcPr>
          <w:p w14:paraId="6EBD0C48" w14:textId="77777777" w:rsidR="00053D93" w:rsidRDefault="00260B75">
            <w:pPr>
              <w:ind w:left="122"/>
            </w:pPr>
            <w:r>
              <w:rPr>
                <w:sz w:val="12"/>
              </w:rPr>
              <w:t>Atendida</w:t>
            </w:r>
          </w:p>
        </w:tc>
      </w:tr>
      <w:tr w:rsidR="00053D93" w14:paraId="794D495A" w14:textId="77777777">
        <w:trPr>
          <w:gridBefore w:val="1"/>
          <w:wBefore w:w="111" w:type="dxa"/>
          <w:trHeight w:val="1771"/>
        </w:trPr>
        <w:tc>
          <w:tcPr>
            <w:tcW w:w="317" w:type="dxa"/>
            <w:gridSpan w:val="2"/>
            <w:tcBorders>
              <w:top w:val="single" w:sz="2" w:space="0" w:color="000000"/>
              <w:left w:val="single" w:sz="2" w:space="0" w:color="000000"/>
              <w:bottom w:val="single" w:sz="2" w:space="0" w:color="000000"/>
              <w:right w:val="single" w:sz="2" w:space="0" w:color="000000"/>
            </w:tcBorders>
          </w:tcPr>
          <w:p w14:paraId="71113FAB" w14:textId="77777777" w:rsidR="00053D93" w:rsidRDefault="00260B75">
            <w:pPr>
              <w:ind w:left="7"/>
            </w:pPr>
            <w:r>
              <w:rPr>
                <w:rFonts w:ascii="Times New Roman" w:eastAsia="Times New Roman" w:hAnsi="Times New Roman" w:cs="Times New Roman"/>
                <w:sz w:val="14"/>
              </w:rPr>
              <w:lastRenderedPageBreak/>
              <w:t>27</w:t>
            </w:r>
          </w:p>
        </w:tc>
        <w:tc>
          <w:tcPr>
            <w:tcW w:w="7" w:type="dxa"/>
            <w:tcBorders>
              <w:top w:val="single" w:sz="2" w:space="0" w:color="000000"/>
              <w:left w:val="single" w:sz="2" w:space="0" w:color="000000"/>
              <w:bottom w:val="single" w:sz="2" w:space="0" w:color="000000"/>
              <w:right w:val="single" w:sz="2" w:space="0" w:color="000000"/>
            </w:tcBorders>
          </w:tcPr>
          <w:p w14:paraId="3DC47E01" w14:textId="77777777" w:rsidR="00053D93" w:rsidRDefault="00053D93"/>
        </w:tc>
        <w:tc>
          <w:tcPr>
            <w:tcW w:w="3712" w:type="dxa"/>
            <w:gridSpan w:val="4"/>
            <w:tcBorders>
              <w:top w:val="single" w:sz="2" w:space="0" w:color="000000"/>
              <w:left w:val="single" w:sz="2" w:space="0" w:color="000000"/>
              <w:bottom w:val="single" w:sz="2" w:space="0" w:color="000000"/>
              <w:right w:val="single" w:sz="2" w:space="0" w:color="000000"/>
            </w:tcBorders>
          </w:tcPr>
          <w:p w14:paraId="3622C202" w14:textId="77777777" w:rsidR="00053D93" w:rsidRDefault="00260B75">
            <w:pPr>
              <w:ind w:left="7"/>
            </w:pPr>
            <w:r>
              <w:rPr>
                <w:sz w:val="14"/>
              </w:rPr>
              <w:t>CGCOAs-03-0037.AFC-M[NEDuc.01GEF-05-2024</w:t>
            </w:r>
          </w:p>
        </w:tc>
        <w:tc>
          <w:tcPr>
            <w:tcW w:w="953" w:type="dxa"/>
            <w:gridSpan w:val="2"/>
            <w:tcBorders>
              <w:top w:val="single" w:sz="2" w:space="0" w:color="000000"/>
              <w:left w:val="single" w:sz="2" w:space="0" w:color="000000"/>
              <w:bottom w:val="single" w:sz="2" w:space="0" w:color="000000"/>
              <w:right w:val="single" w:sz="2" w:space="0" w:color="000000"/>
            </w:tcBorders>
          </w:tcPr>
          <w:p w14:paraId="6E7991CD" w14:textId="77777777" w:rsidR="00053D93" w:rsidRDefault="00260B75">
            <w:pPr>
              <w:ind w:right="26"/>
              <w:jc w:val="center"/>
            </w:pPr>
            <w:r>
              <w:rPr>
                <w:rFonts w:ascii="Times New Roman" w:eastAsia="Times New Roman" w:hAnsi="Times New Roman" w:cs="Times New Roman"/>
                <w:sz w:val="12"/>
              </w:rPr>
              <w:t>12/0212025</w:t>
            </w:r>
          </w:p>
        </w:tc>
        <w:tc>
          <w:tcPr>
            <w:tcW w:w="1339" w:type="dxa"/>
            <w:gridSpan w:val="3"/>
            <w:tcBorders>
              <w:top w:val="single" w:sz="2" w:space="0" w:color="000000"/>
              <w:left w:val="single" w:sz="2" w:space="0" w:color="000000"/>
              <w:bottom w:val="single" w:sz="2" w:space="0" w:color="000000"/>
              <w:right w:val="single" w:sz="2" w:space="0" w:color="000000"/>
            </w:tcBorders>
          </w:tcPr>
          <w:p w14:paraId="48DB65D3" w14:textId="77777777" w:rsidR="00053D93" w:rsidRDefault="00260B75">
            <w:pPr>
              <w:spacing w:after="13"/>
              <w:ind w:left="65"/>
            </w:pPr>
            <w:r>
              <w:rPr>
                <w:sz w:val="12"/>
              </w:rPr>
              <w:t>Norma 12.2 Normativa</w:t>
            </w:r>
          </w:p>
          <w:p w14:paraId="23DE2F56" w14:textId="77777777" w:rsidR="00053D93" w:rsidRDefault="00260B75">
            <w:pPr>
              <w:ind w:left="65"/>
            </w:pPr>
            <w:r>
              <w:rPr>
                <w:sz w:val="14"/>
              </w:rPr>
              <w:t>Intema</w:t>
            </w:r>
          </w:p>
        </w:tc>
        <w:tc>
          <w:tcPr>
            <w:tcW w:w="1282" w:type="dxa"/>
            <w:gridSpan w:val="3"/>
            <w:tcBorders>
              <w:top w:val="single" w:sz="2" w:space="0" w:color="000000"/>
              <w:left w:val="single" w:sz="2" w:space="0" w:color="000000"/>
              <w:bottom w:val="single" w:sz="2" w:space="0" w:color="000000"/>
              <w:right w:val="single" w:sz="2" w:space="0" w:color="000000"/>
            </w:tcBorders>
          </w:tcPr>
          <w:p w14:paraId="1DCACE5C" w14:textId="77777777" w:rsidR="00053D93" w:rsidRDefault="00260B75">
            <w:pPr>
              <w:spacing w:after="25" w:line="312" w:lineRule="auto"/>
              <w:ind w:left="58" w:right="101"/>
              <w:jc w:val="both"/>
            </w:pPr>
            <w:r>
              <w:rPr>
                <w:sz w:val="14"/>
              </w:rPr>
              <w:t>Deficiencras en la póliza da seguro (vehiculos no registrados. números</w:t>
            </w:r>
          </w:p>
          <w:p w14:paraId="085B6A47" w14:textId="77777777" w:rsidR="00053D93" w:rsidRDefault="00260B75">
            <w:pPr>
              <w:tabs>
                <w:tab w:val="center" w:pos="130"/>
                <w:tab w:val="center" w:pos="619"/>
                <w:tab w:val="center" w:pos="1116"/>
              </w:tabs>
            </w:pPr>
            <w:r>
              <w:rPr>
                <w:sz w:val="16"/>
              </w:rPr>
              <w:tab/>
              <w:t>de</w:t>
            </w:r>
            <w:r>
              <w:rPr>
                <w:sz w:val="16"/>
              </w:rPr>
              <w:tab/>
              <w:t>places</w:t>
            </w:r>
            <w:r>
              <w:rPr>
                <w:sz w:val="16"/>
              </w:rPr>
              <w:tab/>
              <w:t>no</w:t>
            </w:r>
          </w:p>
          <w:p w14:paraId="3608EAE1" w14:textId="77777777" w:rsidR="00053D93" w:rsidRDefault="00260B75">
            <w:pPr>
              <w:ind w:left="65" w:right="94"/>
            </w:pPr>
            <w:r>
              <w:rPr>
                <w:sz w:val="12"/>
              </w:rPr>
              <w:t>actuallzados mode!os de vehlculos registrados incorrectamente)</w:t>
            </w:r>
          </w:p>
        </w:tc>
        <w:tc>
          <w:tcPr>
            <w:tcW w:w="746" w:type="dxa"/>
            <w:gridSpan w:val="2"/>
            <w:tcBorders>
              <w:top w:val="single" w:sz="2" w:space="0" w:color="000000"/>
              <w:left w:val="single" w:sz="2" w:space="0" w:color="000000"/>
              <w:bottom w:val="single" w:sz="2" w:space="0" w:color="000000"/>
              <w:right w:val="single" w:sz="2" w:space="0" w:color="000000"/>
            </w:tcBorders>
          </w:tcPr>
          <w:p w14:paraId="0F277F5A" w14:textId="77777777" w:rsidR="00053D93" w:rsidRDefault="00260B75">
            <w:pPr>
              <w:ind w:left="130"/>
            </w:pPr>
            <w:r>
              <w:rPr>
                <w:sz w:val="12"/>
              </w:rPr>
              <w:t>Atendida</w:t>
            </w:r>
          </w:p>
        </w:tc>
      </w:tr>
      <w:tr w:rsidR="00053D93" w14:paraId="628385E0" w14:textId="77777777">
        <w:trPr>
          <w:gridBefore w:val="1"/>
          <w:wBefore w:w="111" w:type="dxa"/>
          <w:trHeight w:val="1767"/>
        </w:trPr>
        <w:tc>
          <w:tcPr>
            <w:tcW w:w="317" w:type="dxa"/>
            <w:gridSpan w:val="2"/>
            <w:tcBorders>
              <w:top w:val="single" w:sz="2" w:space="0" w:color="000000"/>
              <w:left w:val="single" w:sz="2" w:space="0" w:color="000000"/>
              <w:bottom w:val="single" w:sz="2" w:space="0" w:color="000000"/>
              <w:right w:val="single" w:sz="2" w:space="0" w:color="000000"/>
            </w:tcBorders>
          </w:tcPr>
          <w:p w14:paraId="2504019A" w14:textId="77777777" w:rsidR="00053D93" w:rsidRDefault="00260B75">
            <w:pPr>
              <w:ind w:left="22"/>
            </w:pPr>
            <w:r>
              <w:rPr>
                <w:rFonts w:ascii="Times New Roman" w:eastAsia="Times New Roman" w:hAnsi="Times New Roman" w:cs="Times New Roman"/>
                <w:sz w:val="12"/>
              </w:rPr>
              <w:t>28</w:t>
            </w:r>
          </w:p>
        </w:tc>
        <w:tc>
          <w:tcPr>
            <w:tcW w:w="7" w:type="dxa"/>
            <w:tcBorders>
              <w:top w:val="single" w:sz="2" w:space="0" w:color="000000"/>
              <w:left w:val="single" w:sz="2" w:space="0" w:color="000000"/>
              <w:bottom w:val="single" w:sz="2" w:space="0" w:color="000000"/>
              <w:right w:val="single" w:sz="2" w:space="0" w:color="000000"/>
            </w:tcBorders>
          </w:tcPr>
          <w:p w14:paraId="25BE26D2" w14:textId="77777777" w:rsidR="00053D93" w:rsidRDefault="00053D93"/>
        </w:tc>
        <w:tc>
          <w:tcPr>
            <w:tcW w:w="3712" w:type="dxa"/>
            <w:gridSpan w:val="4"/>
            <w:tcBorders>
              <w:top w:val="single" w:sz="2" w:space="0" w:color="000000"/>
              <w:left w:val="single" w:sz="2" w:space="0" w:color="000000"/>
              <w:bottom w:val="single" w:sz="2" w:space="0" w:color="000000"/>
              <w:right w:val="single" w:sz="2" w:space="0" w:color="000000"/>
            </w:tcBorders>
          </w:tcPr>
          <w:p w14:paraId="0AE410C5" w14:textId="77777777" w:rsidR="00053D93" w:rsidRDefault="00260B75">
            <w:pPr>
              <w:ind w:left="14"/>
            </w:pPr>
            <w:r>
              <w:rPr>
                <w:sz w:val="14"/>
              </w:rPr>
              <w:t>CGC.DAs-03-0037-AFc.MlNEDUC.DlCEF-06-2D24</w:t>
            </w:r>
          </w:p>
        </w:tc>
        <w:tc>
          <w:tcPr>
            <w:tcW w:w="953" w:type="dxa"/>
            <w:gridSpan w:val="2"/>
            <w:tcBorders>
              <w:top w:val="single" w:sz="2" w:space="0" w:color="000000"/>
              <w:left w:val="single" w:sz="2" w:space="0" w:color="000000"/>
              <w:bottom w:val="single" w:sz="2" w:space="0" w:color="000000"/>
              <w:right w:val="single" w:sz="2" w:space="0" w:color="000000"/>
            </w:tcBorders>
          </w:tcPr>
          <w:p w14:paraId="6A641E2B" w14:textId="77777777" w:rsidR="00053D93" w:rsidRDefault="00260B75">
            <w:pPr>
              <w:ind w:right="12"/>
              <w:jc w:val="center"/>
            </w:pPr>
            <w:r>
              <w:rPr>
                <w:rFonts w:ascii="Times New Roman" w:eastAsia="Times New Roman" w:hAnsi="Times New Roman" w:cs="Times New Roman"/>
                <w:sz w:val="12"/>
              </w:rPr>
              <w:t>31032025</w:t>
            </w:r>
          </w:p>
        </w:tc>
        <w:tc>
          <w:tcPr>
            <w:tcW w:w="1339" w:type="dxa"/>
            <w:gridSpan w:val="3"/>
            <w:tcBorders>
              <w:top w:val="single" w:sz="2" w:space="0" w:color="000000"/>
              <w:left w:val="single" w:sz="2" w:space="0" w:color="000000"/>
              <w:bottom w:val="single" w:sz="2" w:space="0" w:color="000000"/>
              <w:right w:val="single" w:sz="2" w:space="0" w:color="000000"/>
            </w:tcBorders>
          </w:tcPr>
          <w:p w14:paraId="1DE65833" w14:textId="77777777" w:rsidR="00053D93" w:rsidRDefault="00260B75">
            <w:pPr>
              <w:spacing w:after="60"/>
              <w:ind w:left="72"/>
            </w:pPr>
            <w:r>
              <w:rPr>
                <w:sz w:val="14"/>
              </w:rPr>
              <w:t>Norma 3.1. a) Oseóo</w:t>
            </w:r>
          </w:p>
          <w:p w14:paraId="28D26AAE" w14:textId="77777777" w:rsidR="00053D93" w:rsidRDefault="00260B75">
            <w:pPr>
              <w:tabs>
                <w:tab w:val="center" w:pos="335"/>
                <w:tab w:val="center" w:pos="1177"/>
              </w:tabs>
              <w:spacing w:after="15"/>
            </w:pPr>
            <w:r>
              <w:rPr>
                <w:sz w:val="16"/>
              </w:rPr>
              <w:tab/>
              <w:t>Eficiente</w:t>
            </w:r>
            <w:r>
              <w:rPr>
                <w:sz w:val="16"/>
              </w:rPr>
              <w:tab/>
              <w:t>de</w:t>
            </w:r>
          </w:p>
          <w:p w14:paraId="2B5359FF" w14:textId="77777777" w:rsidR="00053D93" w:rsidRDefault="00260B75">
            <w:pPr>
              <w:ind w:left="72"/>
            </w:pPr>
            <w:r>
              <w:rPr>
                <w:sz w:val="12"/>
              </w:rPr>
              <w:t>Proceú•nTentos</w:t>
            </w:r>
          </w:p>
        </w:tc>
        <w:tc>
          <w:tcPr>
            <w:tcW w:w="1282" w:type="dxa"/>
            <w:gridSpan w:val="3"/>
            <w:tcBorders>
              <w:top w:val="single" w:sz="2" w:space="0" w:color="000000"/>
              <w:left w:val="single" w:sz="2" w:space="0" w:color="000000"/>
              <w:bottom w:val="single" w:sz="2" w:space="0" w:color="000000"/>
              <w:right w:val="single" w:sz="2" w:space="0" w:color="000000"/>
            </w:tcBorders>
          </w:tcPr>
          <w:p w14:paraId="37B05BBC" w14:textId="77777777" w:rsidR="00053D93" w:rsidRDefault="00260B75">
            <w:pPr>
              <w:ind w:left="72" w:right="94" w:hanging="7"/>
              <w:jc w:val="both"/>
            </w:pPr>
            <w:r>
              <w:rPr>
                <w:sz w:val="12"/>
              </w:rPr>
              <w:t>Falta de control en la rescisión da contratos del renglón 189 Otros estudios y/o servicios</w:t>
            </w:r>
          </w:p>
        </w:tc>
        <w:tc>
          <w:tcPr>
            <w:tcW w:w="746" w:type="dxa"/>
            <w:gridSpan w:val="2"/>
            <w:tcBorders>
              <w:top w:val="single" w:sz="2" w:space="0" w:color="000000"/>
              <w:left w:val="single" w:sz="2" w:space="0" w:color="000000"/>
              <w:bottom w:val="single" w:sz="2" w:space="0" w:color="000000"/>
              <w:right w:val="single" w:sz="2" w:space="0" w:color="000000"/>
            </w:tcBorders>
          </w:tcPr>
          <w:p w14:paraId="03BC1BCF" w14:textId="77777777" w:rsidR="00053D93" w:rsidRDefault="00053D93"/>
        </w:tc>
      </w:tr>
      <w:tr w:rsidR="00053D93" w14:paraId="1658629F" w14:textId="77777777">
        <w:trPr>
          <w:gridBefore w:val="1"/>
          <w:wBefore w:w="111" w:type="dxa"/>
          <w:trHeight w:val="355"/>
        </w:trPr>
        <w:tc>
          <w:tcPr>
            <w:tcW w:w="317" w:type="dxa"/>
            <w:gridSpan w:val="2"/>
            <w:tcBorders>
              <w:top w:val="single" w:sz="2" w:space="0" w:color="000000"/>
              <w:left w:val="single" w:sz="2" w:space="0" w:color="000000"/>
              <w:bottom w:val="nil"/>
              <w:right w:val="single" w:sz="2" w:space="0" w:color="000000"/>
            </w:tcBorders>
          </w:tcPr>
          <w:p w14:paraId="6AB3CC9F" w14:textId="77777777" w:rsidR="00053D93" w:rsidRDefault="00260B75">
            <w:pPr>
              <w:ind w:left="22"/>
            </w:pPr>
            <w:r>
              <w:rPr>
                <w:rFonts w:ascii="Times New Roman" w:eastAsia="Times New Roman" w:hAnsi="Times New Roman" w:cs="Times New Roman"/>
                <w:sz w:val="14"/>
              </w:rPr>
              <w:t>29</w:t>
            </w:r>
          </w:p>
        </w:tc>
        <w:tc>
          <w:tcPr>
            <w:tcW w:w="7" w:type="dxa"/>
            <w:vMerge w:val="restart"/>
            <w:tcBorders>
              <w:top w:val="single" w:sz="2" w:space="0" w:color="000000"/>
              <w:left w:val="single" w:sz="2" w:space="0" w:color="000000"/>
              <w:bottom w:val="single" w:sz="2" w:space="0" w:color="000000"/>
              <w:right w:val="single" w:sz="2" w:space="0" w:color="000000"/>
            </w:tcBorders>
          </w:tcPr>
          <w:p w14:paraId="0EBDDF55" w14:textId="77777777" w:rsidR="00053D93" w:rsidRDefault="00053D93"/>
        </w:tc>
        <w:tc>
          <w:tcPr>
            <w:tcW w:w="3712" w:type="dxa"/>
            <w:gridSpan w:val="4"/>
            <w:vMerge w:val="restart"/>
            <w:tcBorders>
              <w:top w:val="single" w:sz="2" w:space="0" w:color="000000"/>
              <w:left w:val="single" w:sz="2" w:space="0" w:color="000000"/>
              <w:bottom w:val="single" w:sz="2" w:space="0" w:color="000000"/>
              <w:right w:val="single" w:sz="2" w:space="0" w:color="000000"/>
            </w:tcBorders>
          </w:tcPr>
          <w:p w14:paraId="252D851D" w14:textId="77777777" w:rsidR="00053D93" w:rsidRDefault="00260B75">
            <w:pPr>
              <w:ind w:left="22"/>
            </w:pPr>
            <w:r>
              <w:rPr>
                <w:sz w:val="14"/>
              </w:rPr>
              <w:t>CGC-AFC-MINEDUC.GUATE SUR-003-2024</w:t>
            </w:r>
          </w:p>
        </w:tc>
        <w:tc>
          <w:tcPr>
            <w:tcW w:w="953" w:type="dxa"/>
            <w:gridSpan w:val="2"/>
            <w:vMerge w:val="restart"/>
            <w:tcBorders>
              <w:top w:val="single" w:sz="2" w:space="0" w:color="000000"/>
              <w:left w:val="single" w:sz="2" w:space="0" w:color="000000"/>
              <w:bottom w:val="single" w:sz="2" w:space="0" w:color="000000"/>
              <w:right w:val="single" w:sz="2" w:space="0" w:color="000000"/>
            </w:tcBorders>
          </w:tcPr>
          <w:p w14:paraId="5E587D14" w14:textId="77777777" w:rsidR="00053D93" w:rsidRDefault="00260B75">
            <w:pPr>
              <w:ind w:left="3"/>
              <w:jc w:val="center"/>
            </w:pPr>
            <w:r>
              <w:rPr>
                <w:rFonts w:ascii="Times New Roman" w:eastAsia="Times New Roman" w:hAnsi="Times New Roman" w:cs="Times New Roman"/>
                <w:sz w:val="12"/>
              </w:rPr>
              <w:t>11102/2025</w:t>
            </w:r>
          </w:p>
        </w:tc>
        <w:tc>
          <w:tcPr>
            <w:tcW w:w="1066" w:type="dxa"/>
            <w:vMerge w:val="restart"/>
            <w:tcBorders>
              <w:top w:val="single" w:sz="2" w:space="0" w:color="000000"/>
              <w:left w:val="single" w:sz="2" w:space="0" w:color="000000"/>
              <w:bottom w:val="single" w:sz="2" w:space="0" w:color="000000"/>
              <w:right w:val="nil"/>
            </w:tcBorders>
          </w:tcPr>
          <w:p w14:paraId="03C3566A" w14:textId="77777777" w:rsidR="00053D93" w:rsidRDefault="00260B75">
            <w:pPr>
              <w:ind w:left="79"/>
            </w:pPr>
            <w:r>
              <w:rPr>
                <w:sz w:val="16"/>
              </w:rPr>
              <w:t>Norma</w:t>
            </w:r>
          </w:p>
          <w:p w14:paraId="77D6D46E" w14:textId="77777777" w:rsidR="00053D93" w:rsidRDefault="00260B75">
            <w:pPr>
              <w:ind w:left="79"/>
            </w:pPr>
            <w:r>
              <w:rPr>
                <w:sz w:val="14"/>
              </w:rPr>
              <w:t xml:space="preserve">Conciliación de </w:t>
            </w:r>
          </w:p>
          <w:p w14:paraId="07A07B72" w14:textId="77777777" w:rsidR="00053D93" w:rsidRDefault="00260B75">
            <w:pPr>
              <w:ind w:left="79"/>
            </w:pPr>
            <w:r>
              <w:rPr>
                <w:sz w:val="14"/>
              </w:rPr>
              <w:t>Bancados</w:t>
            </w:r>
          </w:p>
        </w:tc>
        <w:tc>
          <w:tcPr>
            <w:tcW w:w="274" w:type="dxa"/>
            <w:gridSpan w:val="2"/>
            <w:vMerge w:val="restart"/>
            <w:tcBorders>
              <w:top w:val="single" w:sz="2" w:space="0" w:color="000000"/>
              <w:left w:val="nil"/>
              <w:bottom w:val="single" w:sz="2" w:space="0" w:color="000000"/>
              <w:right w:val="single" w:sz="2" w:space="0" w:color="000000"/>
            </w:tcBorders>
          </w:tcPr>
          <w:p w14:paraId="32AC8514" w14:textId="77777777" w:rsidR="00053D93" w:rsidRDefault="00260B75">
            <w:r>
              <w:rPr>
                <w:rFonts w:ascii="Times New Roman" w:eastAsia="Times New Roman" w:hAnsi="Times New Roman" w:cs="Times New Roman"/>
                <w:sz w:val="16"/>
              </w:rPr>
              <w:t>8.6</w:t>
            </w:r>
          </w:p>
          <w:p w14:paraId="1F7A20BE" w14:textId="77777777" w:rsidR="00053D93" w:rsidRDefault="00260B75">
            <w:pPr>
              <w:ind w:left="-158" w:right="86"/>
              <w:jc w:val="center"/>
            </w:pPr>
            <w:r>
              <w:rPr>
                <w:sz w:val="12"/>
              </w:rPr>
              <w:t>SaTdos</w:t>
            </w:r>
          </w:p>
        </w:tc>
        <w:tc>
          <w:tcPr>
            <w:tcW w:w="1282" w:type="dxa"/>
            <w:gridSpan w:val="3"/>
            <w:vMerge w:val="restart"/>
            <w:tcBorders>
              <w:top w:val="single" w:sz="2" w:space="0" w:color="000000"/>
              <w:left w:val="single" w:sz="2" w:space="0" w:color="000000"/>
              <w:bottom w:val="single" w:sz="2" w:space="0" w:color="000000"/>
              <w:right w:val="single" w:sz="2" w:space="0" w:color="000000"/>
            </w:tcBorders>
          </w:tcPr>
          <w:p w14:paraId="2B46CFA6" w14:textId="77777777" w:rsidR="00053D93" w:rsidRDefault="00260B75">
            <w:pPr>
              <w:spacing w:line="289" w:lineRule="auto"/>
              <w:ind w:left="79" w:right="86"/>
              <w:jc w:val="both"/>
            </w:pPr>
            <w:r>
              <w:rPr>
                <w:sz w:val="14"/>
              </w:rPr>
              <w:t>Falta de actualizadón de tos libras dB caja y bancos: y liquidad±n pendiente de</w:t>
            </w:r>
          </w:p>
          <w:p w14:paraId="5698D6BD" w14:textId="77777777" w:rsidR="00053D93" w:rsidRDefault="00260B75">
            <w:pPr>
              <w:ind w:left="79"/>
              <w:jc w:val="both"/>
            </w:pPr>
            <w:r>
              <w:rPr>
                <w:sz w:val="12"/>
              </w:rPr>
              <w:t>transferencia redbida por OFF</w:t>
            </w:r>
          </w:p>
        </w:tc>
        <w:tc>
          <w:tcPr>
            <w:tcW w:w="746" w:type="dxa"/>
            <w:gridSpan w:val="2"/>
            <w:vMerge w:val="restart"/>
            <w:tcBorders>
              <w:top w:val="single" w:sz="2" w:space="0" w:color="000000"/>
              <w:left w:val="single" w:sz="2" w:space="0" w:color="000000"/>
              <w:bottom w:val="single" w:sz="2" w:space="0" w:color="000000"/>
              <w:right w:val="single" w:sz="2" w:space="0" w:color="000000"/>
            </w:tcBorders>
          </w:tcPr>
          <w:p w14:paraId="4072FCC8" w14:textId="77777777" w:rsidR="00053D93" w:rsidRDefault="00260B75">
            <w:pPr>
              <w:ind w:right="5"/>
              <w:jc w:val="center"/>
            </w:pPr>
            <w:r>
              <w:rPr>
                <w:sz w:val="12"/>
              </w:rPr>
              <w:t>Atendida</w:t>
            </w:r>
          </w:p>
        </w:tc>
      </w:tr>
      <w:tr w:rsidR="00053D93" w14:paraId="794DCED5" w14:textId="77777777">
        <w:trPr>
          <w:gridBefore w:val="1"/>
          <w:wBefore w:w="111" w:type="dxa"/>
          <w:trHeight w:val="1402"/>
        </w:trPr>
        <w:tc>
          <w:tcPr>
            <w:tcW w:w="317" w:type="dxa"/>
            <w:gridSpan w:val="2"/>
            <w:tcBorders>
              <w:top w:val="nil"/>
              <w:left w:val="single" w:sz="2" w:space="0" w:color="000000"/>
              <w:bottom w:val="single" w:sz="2" w:space="0" w:color="000000"/>
              <w:right w:val="single" w:sz="2" w:space="0" w:color="000000"/>
            </w:tcBorders>
          </w:tcPr>
          <w:p w14:paraId="57CC18B2" w14:textId="77777777" w:rsidR="00053D93" w:rsidRDefault="00053D93"/>
        </w:tc>
        <w:tc>
          <w:tcPr>
            <w:tcW w:w="0" w:type="auto"/>
            <w:vMerge/>
            <w:tcBorders>
              <w:top w:val="nil"/>
              <w:left w:val="single" w:sz="2" w:space="0" w:color="000000"/>
              <w:bottom w:val="single" w:sz="2" w:space="0" w:color="000000"/>
              <w:right w:val="single" w:sz="2" w:space="0" w:color="000000"/>
            </w:tcBorders>
          </w:tcPr>
          <w:p w14:paraId="4BDC4193" w14:textId="77777777" w:rsidR="00053D93" w:rsidRDefault="00053D93"/>
        </w:tc>
        <w:tc>
          <w:tcPr>
            <w:tcW w:w="0" w:type="auto"/>
            <w:gridSpan w:val="4"/>
            <w:vMerge/>
            <w:tcBorders>
              <w:top w:val="nil"/>
              <w:left w:val="single" w:sz="2" w:space="0" w:color="000000"/>
              <w:bottom w:val="single" w:sz="2" w:space="0" w:color="000000"/>
              <w:right w:val="single" w:sz="2" w:space="0" w:color="000000"/>
            </w:tcBorders>
          </w:tcPr>
          <w:p w14:paraId="5BCC873B" w14:textId="77777777" w:rsidR="00053D93" w:rsidRDefault="00053D93"/>
        </w:tc>
        <w:tc>
          <w:tcPr>
            <w:tcW w:w="0" w:type="auto"/>
            <w:gridSpan w:val="2"/>
            <w:vMerge/>
            <w:tcBorders>
              <w:top w:val="nil"/>
              <w:left w:val="single" w:sz="2" w:space="0" w:color="000000"/>
              <w:bottom w:val="single" w:sz="2" w:space="0" w:color="000000"/>
              <w:right w:val="single" w:sz="2" w:space="0" w:color="000000"/>
            </w:tcBorders>
          </w:tcPr>
          <w:p w14:paraId="506CD2AD" w14:textId="77777777" w:rsidR="00053D93" w:rsidRDefault="00053D93"/>
        </w:tc>
        <w:tc>
          <w:tcPr>
            <w:tcW w:w="0" w:type="auto"/>
            <w:vMerge/>
            <w:tcBorders>
              <w:top w:val="nil"/>
              <w:left w:val="single" w:sz="2" w:space="0" w:color="000000"/>
              <w:bottom w:val="single" w:sz="2" w:space="0" w:color="000000"/>
              <w:right w:val="nil"/>
            </w:tcBorders>
          </w:tcPr>
          <w:p w14:paraId="79DB146E" w14:textId="77777777" w:rsidR="00053D93" w:rsidRDefault="00053D93"/>
        </w:tc>
        <w:tc>
          <w:tcPr>
            <w:tcW w:w="0" w:type="auto"/>
            <w:gridSpan w:val="2"/>
            <w:vMerge/>
            <w:tcBorders>
              <w:top w:val="nil"/>
              <w:left w:val="nil"/>
              <w:bottom w:val="single" w:sz="2" w:space="0" w:color="000000"/>
              <w:right w:val="single" w:sz="2" w:space="0" w:color="000000"/>
            </w:tcBorders>
          </w:tcPr>
          <w:p w14:paraId="64ABBB24" w14:textId="77777777" w:rsidR="00053D93" w:rsidRDefault="00053D93"/>
        </w:tc>
        <w:tc>
          <w:tcPr>
            <w:tcW w:w="0" w:type="auto"/>
            <w:gridSpan w:val="3"/>
            <w:vMerge/>
            <w:tcBorders>
              <w:top w:val="nil"/>
              <w:left w:val="single" w:sz="2" w:space="0" w:color="000000"/>
              <w:bottom w:val="single" w:sz="2" w:space="0" w:color="000000"/>
              <w:right w:val="single" w:sz="2" w:space="0" w:color="000000"/>
            </w:tcBorders>
          </w:tcPr>
          <w:p w14:paraId="2B374599" w14:textId="77777777" w:rsidR="00053D93" w:rsidRDefault="00053D93"/>
        </w:tc>
        <w:tc>
          <w:tcPr>
            <w:tcW w:w="0" w:type="auto"/>
            <w:gridSpan w:val="2"/>
            <w:vMerge/>
            <w:tcBorders>
              <w:top w:val="nil"/>
              <w:left w:val="single" w:sz="2" w:space="0" w:color="000000"/>
              <w:bottom w:val="single" w:sz="2" w:space="0" w:color="000000"/>
              <w:right w:val="single" w:sz="2" w:space="0" w:color="000000"/>
            </w:tcBorders>
          </w:tcPr>
          <w:p w14:paraId="0275B92E" w14:textId="77777777" w:rsidR="00053D93" w:rsidRDefault="00053D93"/>
        </w:tc>
      </w:tr>
      <w:tr w:rsidR="00053D93" w14:paraId="5BFD8AB1" w14:textId="77777777">
        <w:trPr>
          <w:gridBefore w:val="1"/>
          <w:wBefore w:w="111" w:type="dxa"/>
          <w:trHeight w:val="1764"/>
        </w:trPr>
        <w:tc>
          <w:tcPr>
            <w:tcW w:w="317" w:type="dxa"/>
            <w:gridSpan w:val="2"/>
            <w:tcBorders>
              <w:top w:val="single" w:sz="2" w:space="0" w:color="000000"/>
              <w:left w:val="single" w:sz="2" w:space="0" w:color="000000"/>
              <w:bottom w:val="single" w:sz="2" w:space="0" w:color="000000"/>
              <w:right w:val="single" w:sz="2" w:space="0" w:color="000000"/>
            </w:tcBorders>
          </w:tcPr>
          <w:p w14:paraId="3904B944" w14:textId="77777777" w:rsidR="00053D93" w:rsidRDefault="00260B75">
            <w:pPr>
              <w:ind w:left="29"/>
            </w:pPr>
            <w:r>
              <w:rPr>
                <w:rFonts w:ascii="Times New Roman" w:eastAsia="Times New Roman" w:hAnsi="Times New Roman" w:cs="Times New Roman"/>
                <w:sz w:val="14"/>
              </w:rPr>
              <w:t>30</w:t>
            </w:r>
          </w:p>
        </w:tc>
        <w:tc>
          <w:tcPr>
            <w:tcW w:w="7" w:type="dxa"/>
            <w:tcBorders>
              <w:top w:val="single" w:sz="2" w:space="0" w:color="000000"/>
              <w:left w:val="single" w:sz="2" w:space="0" w:color="000000"/>
              <w:bottom w:val="single" w:sz="2" w:space="0" w:color="000000"/>
              <w:right w:val="single" w:sz="2" w:space="0" w:color="000000"/>
            </w:tcBorders>
          </w:tcPr>
          <w:p w14:paraId="0544483D" w14:textId="77777777" w:rsidR="00053D93" w:rsidRDefault="00053D93"/>
        </w:tc>
        <w:tc>
          <w:tcPr>
            <w:tcW w:w="3712" w:type="dxa"/>
            <w:gridSpan w:val="4"/>
            <w:tcBorders>
              <w:top w:val="single" w:sz="2" w:space="0" w:color="000000"/>
              <w:left w:val="single" w:sz="2" w:space="0" w:color="000000"/>
              <w:bottom w:val="single" w:sz="2" w:space="0" w:color="000000"/>
              <w:right w:val="single" w:sz="2" w:space="0" w:color="000000"/>
            </w:tcBorders>
          </w:tcPr>
          <w:p w14:paraId="2793FA2B" w14:textId="77777777" w:rsidR="00053D93" w:rsidRDefault="00260B75">
            <w:pPr>
              <w:ind w:left="29"/>
            </w:pPr>
            <w:r>
              <w:rPr>
                <w:sz w:val="14"/>
              </w:rPr>
              <w:t>CGC.AFC.MINEDUC-GUATE SUR.004-202d</w:t>
            </w:r>
          </w:p>
        </w:tc>
        <w:tc>
          <w:tcPr>
            <w:tcW w:w="953" w:type="dxa"/>
            <w:gridSpan w:val="2"/>
            <w:tcBorders>
              <w:top w:val="single" w:sz="2" w:space="0" w:color="000000"/>
              <w:left w:val="single" w:sz="2" w:space="0" w:color="000000"/>
              <w:bottom w:val="single" w:sz="2" w:space="0" w:color="000000"/>
              <w:right w:val="single" w:sz="2" w:space="0" w:color="000000"/>
            </w:tcBorders>
          </w:tcPr>
          <w:p w14:paraId="72F10B53" w14:textId="77777777" w:rsidR="00053D93" w:rsidRDefault="00260B75">
            <w:pPr>
              <w:ind w:left="17"/>
              <w:jc w:val="center"/>
            </w:pPr>
            <w:r>
              <w:rPr>
                <w:rFonts w:ascii="Times New Roman" w:eastAsia="Times New Roman" w:hAnsi="Times New Roman" w:cs="Times New Roman"/>
                <w:sz w:val="12"/>
              </w:rPr>
              <w:t>1110212025</w:t>
            </w:r>
          </w:p>
        </w:tc>
        <w:tc>
          <w:tcPr>
            <w:tcW w:w="1339" w:type="dxa"/>
            <w:gridSpan w:val="3"/>
            <w:tcBorders>
              <w:top w:val="single" w:sz="2" w:space="0" w:color="000000"/>
              <w:left w:val="single" w:sz="2" w:space="0" w:color="000000"/>
              <w:bottom w:val="single" w:sz="2" w:space="0" w:color="000000"/>
              <w:right w:val="single" w:sz="2" w:space="0" w:color="000000"/>
            </w:tcBorders>
          </w:tcPr>
          <w:p w14:paraId="244C68D7" w14:textId="77777777" w:rsidR="00053D93" w:rsidRDefault="00260B75">
            <w:pPr>
              <w:tabs>
                <w:tab w:val="center" w:pos="292"/>
                <w:tab w:val="center" w:pos="1163"/>
              </w:tabs>
              <w:spacing w:after="39"/>
            </w:pPr>
            <w:r>
              <w:rPr>
                <w:sz w:val="16"/>
              </w:rPr>
              <w:tab/>
              <w:t>Norma</w:t>
            </w:r>
            <w:r>
              <w:rPr>
                <w:sz w:val="16"/>
              </w:rPr>
              <w:tab/>
            </w:r>
            <w:r>
              <w:rPr>
                <w:rFonts w:ascii="Times New Roman" w:eastAsia="Times New Roman" w:hAnsi="Times New Roman" w:cs="Times New Roman"/>
                <w:sz w:val="16"/>
              </w:rPr>
              <w:t>4. 2</w:t>
            </w:r>
          </w:p>
          <w:p w14:paraId="225EB2FC" w14:textId="77777777" w:rsidR="00053D93" w:rsidRDefault="00260B75">
            <w:pPr>
              <w:tabs>
                <w:tab w:val="center" w:pos="436"/>
                <w:tab w:val="center" w:pos="1195"/>
              </w:tabs>
              <w:spacing w:after="26"/>
            </w:pPr>
            <w:r>
              <w:rPr>
                <w:sz w:val="14"/>
              </w:rPr>
              <w:tab/>
              <w:t>Documentos</w:t>
            </w:r>
            <w:r>
              <w:rPr>
                <w:sz w:val="14"/>
              </w:rPr>
              <w:tab/>
            </w:r>
            <w:r>
              <w:rPr>
                <w:rFonts w:ascii="Times New Roman" w:eastAsia="Times New Roman" w:hAnsi="Times New Roman" w:cs="Times New Roman"/>
                <w:sz w:val="14"/>
              </w:rPr>
              <w:t>de</w:t>
            </w:r>
          </w:p>
          <w:p w14:paraId="26052DD6" w14:textId="77777777" w:rsidR="00053D93" w:rsidRDefault="00260B75">
            <w:pPr>
              <w:ind w:left="86"/>
            </w:pPr>
            <w:r>
              <w:rPr>
                <w:sz w:val="14"/>
              </w:rPr>
              <w:t>Respaldo</w:t>
            </w:r>
          </w:p>
        </w:tc>
        <w:tc>
          <w:tcPr>
            <w:tcW w:w="1282" w:type="dxa"/>
            <w:gridSpan w:val="3"/>
            <w:tcBorders>
              <w:top w:val="single" w:sz="2" w:space="0" w:color="000000"/>
              <w:left w:val="single" w:sz="2" w:space="0" w:color="000000"/>
              <w:bottom w:val="single" w:sz="2" w:space="0" w:color="000000"/>
              <w:right w:val="single" w:sz="2" w:space="0" w:color="000000"/>
            </w:tcBorders>
          </w:tcPr>
          <w:p w14:paraId="2FBC3EBD" w14:textId="77777777" w:rsidR="00053D93" w:rsidRDefault="00260B75">
            <w:pPr>
              <w:spacing w:after="1" w:line="248" w:lineRule="auto"/>
              <w:ind w:left="79" w:firstLine="7"/>
            </w:pPr>
            <w:r>
              <w:rPr>
                <w:sz w:val="14"/>
              </w:rPr>
              <w:t>Falta ds control en la documentación de soporte.</w:t>
            </w:r>
          </w:p>
          <w:p w14:paraId="63BFA3E3" w14:textId="77777777" w:rsidR="00053D93" w:rsidRDefault="00260B75">
            <w:pPr>
              <w:ind w:left="79" w:firstLine="7"/>
            </w:pPr>
            <w:r>
              <w:rPr>
                <w:sz w:val="14"/>
              </w:rPr>
              <w:t>concretamente</w:t>
            </w:r>
            <w:r>
              <w:rPr>
                <w:sz w:val="14"/>
              </w:rPr>
              <w:tab/>
              <w:t>los registros del Libro AkMliar de Bancos de la OFF los realizan con láplz</w:t>
            </w:r>
          </w:p>
        </w:tc>
        <w:tc>
          <w:tcPr>
            <w:tcW w:w="746" w:type="dxa"/>
            <w:gridSpan w:val="2"/>
            <w:tcBorders>
              <w:top w:val="single" w:sz="2" w:space="0" w:color="000000"/>
              <w:left w:val="single" w:sz="2" w:space="0" w:color="000000"/>
              <w:bottom w:val="single" w:sz="2" w:space="0" w:color="000000"/>
              <w:right w:val="single" w:sz="2" w:space="0" w:color="000000"/>
            </w:tcBorders>
          </w:tcPr>
          <w:p w14:paraId="49FF2364" w14:textId="77777777" w:rsidR="00053D93" w:rsidRDefault="00260B75">
            <w:pPr>
              <w:ind w:left="10"/>
              <w:jc w:val="center"/>
            </w:pPr>
            <w:r>
              <w:rPr>
                <w:sz w:val="12"/>
              </w:rPr>
              <w:t>Atendida</w:t>
            </w:r>
          </w:p>
        </w:tc>
      </w:tr>
      <w:tr w:rsidR="00053D93" w14:paraId="45914903" w14:textId="77777777">
        <w:trPr>
          <w:gridBefore w:val="1"/>
          <w:wBefore w:w="111" w:type="dxa"/>
          <w:trHeight w:val="1769"/>
        </w:trPr>
        <w:tc>
          <w:tcPr>
            <w:tcW w:w="317" w:type="dxa"/>
            <w:gridSpan w:val="2"/>
            <w:tcBorders>
              <w:top w:val="single" w:sz="2" w:space="0" w:color="000000"/>
              <w:left w:val="single" w:sz="2" w:space="0" w:color="000000"/>
              <w:bottom w:val="single" w:sz="2" w:space="0" w:color="000000"/>
              <w:right w:val="single" w:sz="2" w:space="0" w:color="000000"/>
            </w:tcBorders>
          </w:tcPr>
          <w:p w14:paraId="28BEA090" w14:textId="77777777" w:rsidR="00053D93" w:rsidRDefault="00260B75">
            <w:pPr>
              <w:ind w:left="36"/>
            </w:pPr>
            <w:r>
              <w:rPr>
                <w:rFonts w:ascii="Times New Roman" w:eastAsia="Times New Roman" w:hAnsi="Times New Roman" w:cs="Times New Roman"/>
                <w:sz w:val="12"/>
              </w:rPr>
              <w:t>31</w:t>
            </w:r>
          </w:p>
        </w:tc>
        <w:tc>
          <w:tcPr>
            <w:tcW w:w="7" w:type="dxa"/>
            <w:tcBorders>
              <w:top w:val="single" w:sz="2" w:space="0" w:color="000000"/>
              <w:left w:val="single" w:sz="2" w:space="0" w:color="000000"/>
              <w:bottom w:val="single" w:sz="2" w:space="0" w:color="000000"/>
              <w:right w:val="single" w:sz="2" w:space="0" w:color="000000"/>
            </w:tcBorders>
          </w:tcPr>
          <w:p w14:paraId="34227C3F" w14:textId="77777777" w:rsidR="00053D93" w:rsidRDefault="00053D93"/>
        </w:tc>
        <w:tc>
          <w:tcPr>
            <w:tcW w:w="3712" w:type="dxa"/>
            <w:gridSpan w:val="4"/>
            <w:tcBorders>
              <w:top w:val="single" w:sz="2" w:space="0" w:color="000000"/>
              <w:left w:val="single" w:sz="2" w:space="0" w:color="000000"/>
              <w:bottom w:val="single" w:sz="2" w:space="0" w:color="000000"/>
              <w:right w:val="single" w:sz="2" w:space="0" w:color="000000"/>
            </w:tcBorders>
          </w:tcPr>
          <w:p w14:paraId="2A053EC0" w14:textId="77777777" w:rsidR="00053D93" w:rsidRDefault="00260B75">
            <w:pPr>
              <w:ind w:left="36"/>
            </w:pPr>
            <w:r>
              <w:rPr>
                <w:sz w:val="12"/>
              </w:rPr>
              <w:t>Ofido Preventivo No, 01-2025</w:t>
            </w:r>
          </w:p>
        </w:tc>
        <w:tc>
          <w:tcPr>
            <w:tcW w:w="953" w:type="dxa"/>
            <w:gridSpan w:val="2"/>
            <w:tcBorders>
              <w:top w:val="single" w:sz="2" w:space="0" w:color="000000"/>
              <w:left w:val="single" w:sz="2" w:space="0" w:color="000000"/>
              <w:bottom w:val="single" w:sz="2" w:space="0" w:color="000000"/>
              <w:right w:val="single" w:sz="2" w:space="0" w:color="000000"/>
            </w:tcBorders>
          </w:tcPr>
          <w:p w14:paraId="264518A1" w14:textId="77777777" w:rsidR="00053D93" w:rsidRDefault="00260B75">
            <w:pPr>
              <w:ind w:left="17"/>
              <w:jc w:val="center"/>
            </w:pPr>
            <w:r>
              <w:rPr>
                <w:rFonts w:ascii="Times New Roman" w:eastAsia="Times New Roman" w:hAnsi="Times New Roman" w:cs="Times New Roman"/>
                <w:sz w:val="12"/>
              </w:rPr>
              <w:t>510212025</w:t>
            </w:r>
          </w:p>
        </w:tc>
        <w:tc>
          <w:tcPr>
            <w:tcW w:w="1339" w:type="dxa"/>
            <w:gridSpan w:val="3"/>
            <w:tcBorders>
              <w:top w:val="single" w:sz="2" w:space="0" w:color="000000"/>
              <w:left w:val="single" w:sz="2" w:space="0" w:color="000000"/>
              <w:bottom w:val="single" w:sz="2" w:space="0" w:color="000000"/>
              <w:right w:val="single" w:sz="2" w:space="0" w:color="000000"/>
            </w:tcBorders>
          </w:tcPr>
          <w:p w14:paraId="43CE99E7" w14:textId="77777777" w:rsidR="00053D93" w:rsidRDefault="00260B75">
            <w:pPr>
              <w:ind w:left="94"/>
              <w:jc w:val="both"/>
            </w:pPr>
            <w:r>
              <w:rPr>
                <w:sz w:val="14"/>
              </w:rPr>
              <w:t>Norma 4.4 Control y Uso de Formularios</w:t>
            </w:r>
          </w:p>
        </w:tc>
        <w:tc>
          <w:tcPr>
            <w:tcW w:w="1282" w:type="dxa"/>
            <w:gridSpan w:val="3"/>
            <w:tcBorders>
              <w:top w:val="single" w:sz="2" w:space="0" w:color="000000"/>
              <w:left w:val="single" w:sz="2" w:space="0" w:color="000000"/>
              <w:bottom w:val="single" w:sz="2" w:space="0" w:color="000000"/>
              <w:right w:val="single" w:sz="2" w:space="0" w:color="000000"/>
            </w:tcBorders>
          </w:tcPr>
          <w:p w14:paraId="67F2FC58" w14:textId="77777777" w:rsidR="00053D93" w:rsidRDefault="00260B75">
            <w:pPr>
              <w:spacing w:after="45" w:line="272" w:lineRule="auto"/>
              <w:ind w:left="94"/>
              <w:jc w:val="both"/>
            </w:pPr>
            <w:r>
              <w:rPr>
                <w:sz w:val="14"/>
              </w:rPr>
              <w:t>Falta de control en la gestión y resguardo</w:t>
            </w:r>
          </w:p>
          <w:p w14:paraId="6FC7BC78" w14:textId="77777777" w:rsidR="00053D93" w:rsidRDefault="00260B75">
            <w:pPr>
              <w:spacing w:line="274" w:lineRule="auto"/>
              <w:ind w:left="94"/>
              <w:jc w:val="both"/>
            </w:pPr>
            <w:r>
              <w:rPr>
                <w:sz w:val="14"/>
              </w:rPr>
              <w:t>de los folios autorizados por la</w:t>
            </w:r>
          </w:p>
          <w:p w14:paraId="5C963523" w14:textId="77777777" w:rsidR="00053D93" w:rsidRDefault="00260B75">
            <w:pPr>
              <w:ind w:left="94"/>
            </w:pPr>
            <w:r>
              <w:rPr>
                <w:rFonts w:ascii="Times New Roman" w:eastAsia="Times New Roman" w:hAnsi="Times New Roman" w:cs="Times New Roman"/>
                <w:sz w:val="14"/>
              </w:rPr>
              <w:t>CGC</w:t>
            </w:r>
          </w:p>
        </w:tc>
        <w:tc>
          <w:tcPr>
            <w:tcW w:w="746" w:type="dxa"/>
            <w:gridSpan w:val="2"/>
            <w:tcBorders>
              <w:top w:val="single" w:sz="2" w:space="0" w:color="000000"/>
              <w:left w:val="single" w:sz="2" w:space="0" w:color="000000"/>
              <w:bottom w:val="single" w:sz="2" w:space="0" w:color="000000"/>
              <w:right w:val="single" w:sz="2" w:space="0" w:color="000000"/>
            </w:tcBorders>
          </w:tcPr>
          <w:p w14:paraId="09816F23" w14:textId="77777777" w:rsidR="00053D93" w:rsidRDefault="00260B75">
            <w:pPr>
              <w:ind w:left="24"/>
              <w:jc w:val="center"/>
            </w:pPr>
            <w:r>
              <w:rPr>
                <w:sz w:val="12"/>
              </w:rPr>
              <w:t>Atendida</w:t>
            </w:r>
          </w:p>
        </w:tc>
      </w:tr>
      <w:tr w:rsidR="00053D93" w14:paraId="52C708DA" w14:textId="77777777">
        <w:trPr>
          <w:gridBefore w:val="1"/>
          <w:wBefore w:w="111" w:type="dxa"/>
          <w:trHeight w:val="1759"/>
        </w:trPr>
        <w:tc>
          <w:tcPr>
            <w:tcW w:w="317" w:type="dxa"/>
            <w:gridSpan w:val="2"/>
            <w:tcBorders>
              <w:top w:val="single" w:sz="2" w:space="0" w:color="000000"/>
              <w:left w:val="single" w:sz="2" w:space="0" w:color="000000"/>
              <w:bottom w:val="single" w:sz="2" w:space="0" w:color="000000"/>
              <w:right w:val="single" w:sz="2" w:space="0" w:color="000000"/>
            </w:tcBorders>
          </w:tcPr>
          <w:p w14:paraId="71AAD3E0" w14:textId="77777777" w:rsidR="00053D93" w:rsidRDefault="00260B75">
            <w:pPr>
              <w:ind w:left="36"/>
            </w:pPr>
            <w:r>
              <w:rPr>
                <w:rFonts w:ascii="Times New Roman" w:eastAsia="Times New Roman" w:hAnsi="Times New Roman" w:cs="Times New Roman"/>
                <w:sz w:val="14"/>
              </w:rPr>
              <w:t>32</w:t>
            </w:r>
          </w:p>
        </w:tc>
        <w:tc>
          <w:tcPr>
            <w:tcW w:w="7" w:type="dxa"/>
            <w:tcBorders>
              <w:top w:val="single" w:sz="2" w:space="0" w:color="000000"/>
              <w:left w:val="single" w:sz="2" w:space="0" w:color="000000"/>
              <w:bottom w:val="single" w:sz="2" w:space="0" w:color="000000"/>
              <w:right w:val="single" w:sz="2" w:space="0" w:color="000000"/>
            </w:tcBorders>
          </w:tcPr>
          <w:p w14:paraId="418F25C5" w14:textId="77777777" w:rsidR="00053D93" w:rsidRDefault="00053D93"/>
        </w:tc>
        <w:tc>
          <w:tcPr>
            <w:tcW w:w="3712" w:type="dxa"/>
            <w:gridSpan w:val="4"/>
            <w:tcBorders>
              <w:top w:val="single" w:sz="2" w:space="0" w:color="000000"/>
              <w:left w:val="single" w:sz="2" w:space="0" w:color="000000"/>
              <w:bottom w:val="single" w:sz="2" w:space="0" w:color="000000"/>
              <w:right w:val="single" w:sz="2" w:space="0" w:color="000000"/>
            </w:tcBorders>
          </w:tcPr>
          <w:p w14:paraId="2BA8D7E6" w14:textId="77777777" w:rsidR="00053D93" w:rsidRDefault="00260B75">
            <w:pPr>
              <w:ind w:left="36"/>
            </w:pPr>
            <w:r>
              <w:rPr>
                <w:sz w:val="14"/>
              </w:rPr>
              <w:t>CGCOAs-03-0037.AFC.MlNEDUC-.DlGECADE.PREV.10-2024</w:t>
            </w:r>
          </w:p>
        </w:tc>
        <w:tc>
          <w:tcPr>
            <w:tcW w:w="953" w:type="dxa"/>
            <w:gridSpan w:val="2"/>
            <w:tcBorders>
              <w:top w:val="single" w:sz="2" w:space="0" w:color="000000"/>
              <w:left w:val="single" w:sz="2" w:space="0" w:color="000000"/>
              <w:bottom w:val="single" w:sz="2" w:space="0" w:color="000000"/>
              <w:right w:val="single" w:sz="2" w:space="0" w:color="000000"/>
            </w:tcBorders>
          </w:tcPr>
          <w:p w14:paraId="076F6A86" w14:textId="77777777" w:rsidR="00053D93" w:rsidRDefault="00260B75">
            <w:pPr>
              <w:ind w:left="32"/>
              <w:jc w:val="center"/>
            </w:pPr>
            <w:r>
              <w:rPr>
                <w:rFonts w:ascii="Times New Roman" w:eastAsia="Times New Roman" w:hAnsi="Times New Roman" w:cs="Times New Roman"/>
                <w:sz w:val="12"/>
              </w:rPr>
              <w:t>5103'2025</w:t>
            </w:r>
          </w:p>
        </w:tc>
        <w:tc>
          <w:tcPr>
            <w:tcW w:w="1339" w:type="dxa"/>
            <w:gridSpan w:val="3"/>
            <w:tcBorders>
              <w:top w:val="single" w:sz="2" w:space="0" w:color="000000"/>
              <w:left w:val="single" w:sz="2" w:space="0" w:color="000000"/>
              <w:bottom w:val="single" w:sz="2" w:space="0" w:color="000000"/>
              <w:right w:val="single" w:sz="2" w:space="0" w:color="000000"/>
            </w:tcBorders>
          </w:tcPr>
          <w:p w14:paraId="58565398" w14:textId="77777777" w:rsidR="00053D93" w:rsidRDefault="00260B75">
            <w:pPr>
              <w:ind w:left="101"/>
            </w:pPr>
            <w:r>
              <w:rPr>
                <w:sz w:val="14"/>
              </w:rPr>
              <w:t>Norma 4.3</w:t>
            </w:r>
          </w:p>
        </w:tc>
        <w:tc>
          <w:tcPr>
            <w:tcW w:w="1282" w:type="dxa"/>
            <w:gridSpan w:val="3"/>
            <w:tcBorders>
              <w:top w:val="single" w:sz="2" w:space="0" w:color="000000"/>
              <w:left w:val="single" w:sz="2" w:space="0" w:color="000000"/>
              <w:bottom w:val="single" w:sz="2" w:space="0" w:color="000000"/>
              <w:right w:val="single" w:sz="2" w:space="0" w:color="000000"/>
            </w:tcBorders>
          </w:tcPr>
          <w:p w14:paraId="02D1E1E9" w14:textId="77777777" w:rsidR="00053D93" w:rsidRDefault="00260B75">
            <w:pPr>
              <w:spacing w:after="2" w:line="296" w:lineRule="auto"/>
              <w:ind w:left="101" w:firstLine="972"/>
            </w:pPr>
            <w:r>
              <w:rPr>
                <w:sz w:val="14"/>
              </w:rPr>
              <w:t>de procedimlento</w:t>
            </w:r>
            <w:r>
              <w:rPr>
                <w:sz w:val="14"/>
              </w:rPr>
              <w:tab/>
              <w:t>que establezca</w:t>
            </w:r>
            <w:r>
              <w:rPr>
                <w:sz w:val="14"/>
              </w:rPr>
              <w:tab/>
              <w:t>tos</w:t>
            </w:r>
          </w:p>
          <w:p w14:paraId="48D46C81" w14:textId="77777777" w:rsidR="00053D93" w:rsidRDefault="00260B75">
            <w:pPr>
              <w:ind w:left="101" w:right="58"/>
              <w:jc w:val="both"/>
            </w:pPr>
            <w:r>
              <w:rPr>
                <w:sz w:val="14"/>
              </w:rPr>
              <w:t>lineamientos acciones conxetas para evitar ta pérdida de formula:ios y formas Oficiales (tolics).</w:t>
            </w:r>
          </w:p>
        </w:tc>
        <w:tc>
          <w:tcPr>
            <w:tcW w:w="746" w:type="dxa"/>
            <w:gridSpan w:val="2"/>
            <w:tcBorders>
              <w:top w:val="single" w:sz="2" w:space="0" w:color="000000"/>
              <w:left w:val="single" w:sz="2" w:space="0" w:color="000000"/>
              <w:bottom w:val="single" w:sz="2" w:space="0" w:color="000000"/>
              <w:right w:val="single" w:sz="2" w:space="0" w:color="000000"/>
            </w:tcBorders>
          </w:tcPr>
          <w:p w14:paraId="185367EF" w14:textId="77777777" w:rsidR="00053D93" w:rsidRDefault="00260B75">
            <w:pPr>
              <w:ind w:left="39"/>
              <w:jc w:val="center"/>
            </w:pPr>
            <w:r>
              <w:rPr>
                <w:sz w:val="12"/>
              </w:rPr>
              <w:t>Atendida</w:t>
            </w:r>
          </w:p>
        </w:tc>
      </w:tr>
      <w:tr w:rsidR="00053D93" w14:paraId="4F9F384F" w14:textId="77777777">
        <w:trPr>
          <w:gridBefore w:val="1"/>
          <w:wBefore w:w="111" w:type="dxa"/>
          <w:trHeight w:val="979"/>
        </w:trPr>
        <w:tc>
          <w:tcPr>
            <w:tcW w:w="317" w:type="dxa"/>
            <w:gridSpan w:val="2"/>
            <w:vMerge w:val="restart"/>
            <w:tcBorders>
              <w:top w:val="single" w:sz="2" w:space="0" w:color="000000"/>
              <w:left w:val="single" w:sz="2" w:space="0" w:color="000000"/>
              <w:bottom w:val="nil"/>
              <w:right w:val="single" w:sz="2" w:space="0" w:color="000000"/>
            </w:tcBorders>
          </w:tcPr>
          <w:p w14:paraId="38AB628C" w14:textId="77777777" w:rsidR="00053D93" w:rsidRDefault="00260B75">
            <w:pPr>
              <w:spacing w:after="624"/>
              <w:ind w:left="43"/>
            </w:pPr>
            <w:r>
              <w:rPr>
                <w:rFonts w:ascii="Times New Roman" w:eastAsia="Times New Roman" w:hAnsi="Times New Roman" w:cs="Times New Roman"/>
                <w:sz w:val="14"/>
              </w:rPr>
              <w:t>33</w:t>
            </w:r>
          </w:p>
          <w:p w14:paraId="21F0560D" w14:textId="77777777" w:rsidR="00053D93" w:rsidRDefault="00260B75">
            <w:pPr>
              <w:ind w:left="36"/>
            </w:pPr>
            <w:r>
              <w:rPr>
                <w:noProof/>
              </w:rPr>
              <w:drawing>
                <wp:inline distT="0" distB="0" distL="0" distR="0" wp14:anchorId="5A3A583E" wp14:editId="0B5822A9">
                  <wp:extent cx="137160" cy="406908"/>
                  <wp:effectExtent l="0" t="0" r="0" b="0"/>
                  <wp:docPr id="222922" name="Picture 222922"/>
                  <wp:cNvGraphicFramePr/>
                  <a:graphic xmlns:a="http://schemas.openxmlformats.org/drawingml/2006/main">
                    <a:graphicData uri="http://schemas.openxmlformats.org/drawingml/2006/picture">
                      <pic:pic xmlns:pic="http://schemas.openxmlformats.org/drawingml/2006/picture">
                        <pic:nvPicPr>
                          <pic:cNvPr id="222922" name="Picture 222922"/>
                          <pic:cNvPicPr/>
                        </pic:nvPicPr>
                        <pic:blipFill>
                          <a:blip r:embed="rId355"/>
                          <a:stretch>
                            <a:fillRect/>
                          </a:stretch>
                        </pic:blipFill>
                        <pic:spPr>
                          <a:xfrm>
                            <a:off x="0" y="0"/>
                            <a:ext cx="137160" cy="406908"/>
                          </a:xfrm>
                          <a:prstGeom prst="rect">
                            <a:avLst/>
                          </a:prstGeom>
                        </pic:spPr>
                      </pic:pic>
                    </a:graphicData>
                  </a:graphic>
                </wp:inline>
              </w:drawing>
            </w:r>
          </w:p>
        </w:tc>
        <w:tc>
          <w:tcPr>
            <w:tcW w:w="7" w:type="dxa"/>
            <w:vMerge w:val="restart"/>
            <w:tcBorders>
              <w:top w:val="single" w:sz="2" w:space="0" w:color="000000"/>
              <w:left w:val="single" w:sz="2" w:space="0" w:color="000000"/>
              <w:bottom w:val="nil"/>
              <w:right w:val="single" w:sz="2" w:space="0" w:color="000000"/>
            </w:tcBorders>
          </w:tcPr>
          <w:p w14:paraId="1C21E540" w14:textId="77777777" w:rsidR="00053D93" w:rsidRDefault="00053D93"/>
        </w:tc>
        <w:tc>
          <w:tcPr>
            <w:tcW w:w="3712" w:type="dxa"/>
            <w:gridSpan w:val="4"/>
            <w:tcBorders>
              <w:top w:val="single" w:sz="2" w:space="0" w:color="000000"/>
              <w:left w:val="single" w:sz="2" w:space="0" w:color="000000"/>
              <w:bottom w:val="single" w:sz="2" w:space="0" w:color="000000"/>
              <w:right w:val="single" w:sz="2" w:space="0" w:color="000000"/>
            </w:tcBorders>
          </w:tcPr>
          <w:p w14:paraId="5B648863" w14:textId="77777777" w:rsidR="00053D93" w:rsidRDefault="00260B75">
            <w:pPr>
              <w:ind w:left="43"/>
            </w:pPr>
            <w:r>
              <w:rPr>
                <w:sz w:val="14"/>
              </w:rPr>
              <w:t>Ofido Preventivo No. 2-2025</w:t>
            </w:r>
          </w:p>
        </w:tc>
        <w:tc>
          <w:tcPr>
            <w:tcW w:w="953" w:type="dxa"/>
            <w:gridSpan w:val="2"/>
            <w:tcBorders>
              <w:top w:val="single" w:sz="2" w:space="0" w:color="000000"/>
              <w:left w:val="single" w:sz="2" w:space="0" w:color="000000"/>
              <w:bottom w:val="single" w:sz="2" w:space="0" w:color="000000"/>
              <w:right w:val="single" w:sz="2" w:space="0" w:color="000000"/>
            </w:tcBorders>
          </w:tcPr>
          <w:p w14:paraId="3AD12A63" w14:textId="77777777" w:rsidR="00053D93" w:rsidRDefault="00260B75">
            <w:pPr>
              <w:ind w:left="60"/>
              <w:jc w:val="center"/>
            </w:pPr>
            <w:r>
              <w:rPr>
                <w:rFonts w:ascii="Times New Roman" w:eastAsia="Times New Roman" w:hAnsi="Times New Roman" w:cs="Times New Roman"/>
                <w:sz w:val="12"/>
              </w:rPr>
              <w:t>17/03/2025</w:t>
            </w:r>
          </w:p>
        </w:tc>
        <w:tc>
          <w:tcPr>
            <w:tcW w:w="1339" w:type="dxa"/>
            <w:gridSpan w:val="3"/>
            <w:tcBorders>
              <w:top w:val="single" w:sz="2" w:space="0" w:color="000000"/>
              <w:left w:val="single" w:sz="2" w:space="0" w:color="000000"/>
              <w:bottom w:val="single" w:sz="2" w:space="0" w:color="000000"/>
              <w:right w:val="single" w:sz="2" w:space="0" w:color="000000"/>
            </w:tcBorders>
          </w:tcPr>
          <w:p w14:paraId="0553EB70" w14:textId="77777777" w:rsidR="00053D93" w:rsidRDefault="00260B75">
            <w:pPr>
              <w:tabs>
                <w:tab w:val="center" w:pos="313"/>
                <w:tab w:val="center" w:pos="1188"/>
              </w:tabs>
              <w:spacing w:after="35"/>
            </w:pPr>
            <w:r>
              <w:rPr>
                <w:sz w:val="16"/>
              </w:rPr>
              <w:tab/>
              <w:t>Norme</w:t>
            </w:r>
            <w:r>
              <w:rPr>
                <w:sz w:val="16"/>
              </w:rPr>
              <w:tab/>
            </w:r>
            <w:r>
              <w:rPr>
                <w:rFonts w:ascii="Times New Roman" w:eastAsia="Times New Roman" w:hAnsi="Times New Roman" w:cs="Times New Roman"/>
                <w:sz w:val="16"/>
              </w:rPr>
              <w:t>2 .3</w:t>
            </w:r>
          </w:p>
          <w:p w14:paraId="7F7BE87F" w14:textId="77777777" w:rsidR="00053D93" w:rsidRDefault="00260B75">
            <w:pPr>
              <w:tabs>
                <w:tab w:val="center" w:pos="497"/>
                <w:tab w:val="center" w:pos="1206"/>
              </w:tabs>
              <w:spacing w:after="24"/>
            </w:pPr>
            <w:r>
              <w:rPr>
                <w:sz w:val="14"/>
              </w:rPr>
              <w:tab/>
              <w:t>Administración</w:t>
            </w:r>
            <w:r>
              <w:rPr>
                <w:sz w:val="14"/>
              </w:rPr>
              <w:tab/>
            </w:r>
            <w:r>
              <w:rPr>
                <w:rFonts w:ascii="Times New Roman" w:eastAsia="Times New Roman" w:hAnsi="Times New Roman" w:cs="Times New Roman"/>
                <w:sz w:val="14"/>
              </w:rPr>
              <w:t>del</w:t>
            </w:r>
          </w:p>
          <w:p w14:paraId="4F9354E9" w14:textId="77777777" w:rsidR="00053D93" w:rsidRDefault="00260B75">
            <w:pPr>
              <w:ind w:left="108"/>
            </w:pPr>
            <w:r>
              <w:rPr>
                <w:sz w:val="14"/>
              </w:rPr>
              <w:t>Personal</w:t>
            </w:r>
          </w:p>
        </w:tc>
        <w:tc>
          <w:tcPr>
            <w:tcW w:w="1282" w:type="dxa"/>
            <w:gridSpan w:val="3"/>
            <w:tcBorders>
              <w:top w:val="single" w:sz="2" w:space="0" w:color="000000"/>
              <w:left w:val="single" w:sz="2" w:space="0" w:color="000000"/>
              <w:bottom w:val="single" w:sz="2" w:space="0" w:color="000000"/>
              <w:right w:val="single" w:sz="2" w:space="0" w:color="000000"/>
            </w:tcBorders>
          </w:tcPr>
          <w:p w14:paraId="622D4363" w14:textId="77777777" w:rsidR="00053D93" w:rsidRDefault="00260B75">
            <w:pPr>
              <w:spacing w:after="33" w:line="235" w:lineRule="auto"/>
              <w:ind w:left="108"/>
              <w:jc w:val="both"/>
            </w:pPr>
            <w:r>
              <w:rPr>
                <w:sz w:val="14"/>
              </w:rPr>
              <w:t>Falta de control en el seguimiento a los</w:t>
            </w:r>
          </w:p>
          <w:p w14:paraId="7D7F1782" w14:textId="77777777" w:rsidR="00053D93" w:rsidRDefault="00260B75">
            <w:pPr>
              <w:ind w:left="115" w:right="50" w:hanging="7"/>
              <w:jc w:val="both"/>
            </w:pPr>
            <w:r>
              <w:rPr>
                <w:sz w:val="14"/>
              </w:rPr>
              <w:t>convenios de subvención de programas de apoyo,</w:t>
            </w:r>
          </w:p>
        </w:tc>
        <w:tc>
          <w:tcPr>
            <w:tcW w:w="746" w:type="dxa"/>
            <w:gridSpan w:val="2"/>
            <w:tcBorders>
              <w:top w:val="single" w:sz="2" w:space="0" w:color="000000"/>
              <w:left w:val="single" w:sz="2" w:space="0" w:color="000000"/>
              <w:bottom w:val="single" w:sz="2" w:space="0" w:color="000000"/>
              <w:right w:val="single" w:sz="2" w:space="0" w:color="000000"/>
            </w:tcBorders>
          </w:tcPr>
          <w:p w14:paraId="0FB5E1AC" w14:textId="77777777" w:rsidR="00053D93" w:rsidRDefault="00260B75">
            <w:pPr>
              <w:ind w:left="53"/>
              <w:jc w:val="center"/>
            </w:pPr>
            <w:r>
              <w:rPr>
                <w:sz w:val="12"/>
              </w:rPr>
              <w:t>Atendida</w:t>
            </w:r>
          </w:p>
        </w:tc>
      </w:tr>
      <w:tr w:rsidR="00053D93" w14:paraId="00DBBC3D" w14:textId="77777777">
        <w:trPr>
          <w:gridBefore w:val="1"/>
          <w:wBefore w:w="111" w:type="dxa"/>
          <w:trHeight w:val="619"/>
        </w:trPr>
        <w:tc>
          <w:tcPr>
            <w:tcW w:w="0" w:type="auto"/>
            <w:gridSpan w:val="2"/>
            <w:vMerge/>
            <w:tcBorders>
              <w:top w:val="nil"/>
              <w:left w:val="single" w:sz="2" w:space="0" w:color="000000"/>
              <w:bottom w:val="nil"/>
              <w:right w:val="single" w:sz="2" w:space="0" w:color="000000"/>
            </w:tcBorders>
          </w:tcPr>
          <w:p w14:paraId="2A400AB6" w14:textId="77777777" w:rsidR="00053D93" w:rsidRDefault="00053D93"/>
        </w:tc>
        <w:tc>
          <w:tcPr>
            <w:tcW w:w="0" w:type="auto"/>
            <w:vMerge/>
            <w:tcBorders>
              <w:top w:val="nil"/>
              <w:left w:val="single" w:sz="2" w:space="0" w:color="000000"/>
              <w:bottom w:val="nil"/>
              <w:right w:val="single" w:sz="2" w:space="0" w:color="000000"/>
            </w:tcBorders>
          </w:tcPr>
          <w:p w14:paraId="75E7C40D" w14:textId="77777777" w:rsidR="00053D93" w:rsidRDefault="00053D93"/>
        </w:tc>
        <w:tc>
          <w:tcPr>
            <w:tcW w:w="288" w:type="dxa"/>
            <w:tcBorders>
              <w:top w:val="nil"/>
              <w:left w:val="single" w:sz="2" w:space="0" w:color="000000"/>
              <w:bottom w:val="nil"/>
              <w:right w:val="single" w:sz="2" w:space="0" w:color="000000"/>
            </w:tcBorders>
          </w:tcPr>
          <w:p w14:paraId="5759220E" w14:textId="77777777" w:rsidR="00053D93" w:rsidRDefault="00260B75">
            <w:r>
              <w:rPr>
                <w:noProof/>
              </w:rPr>
              <w:drawing>
                <wp:inline distT="0" distB="0" distL="0" distR="0" wp14:anchorId="4F366298" wp14:editId="747139B5">
                  <wp:extent cx="169164" cy="388620"/>
                  <wp:effectExtent l="0" t="0" r="0" b="0"/>
                  <wp:docPr id="222906" name="Picture 222906"/>
                  <wp:cNvGraphicFramePr/>
                  <a:graphic xmlns:a="http://schemas.openxmlformats.org/drawingml/2006/main">
                    <a:graphicData uri="http://schemas.openxmlformats.org/drawingml/2006/picture">
                      <pic:pic xmlns:pic="http://schemas.openxmlformats.org/drawingml/2006/picture">
                        <pic:nvPicPr>
                          <pic:cNvPr id="222906" name="Picture 222906"/>
                          <pic:cNvPicPr/>
                        </pic:nvPicPr>
                        <pic:blipFill>
                          <a:blip r:embed="rId356"/>
                          <a:stretch>
                            <a:fillRect/>
                          </a:stretch>
                        </pic:blipFill>
                        <pic:spPr>
                          <a:xfrm>
                            <a:off x="0" y="0"/>
                            <a:ext cx="169164" cy="388620"/>
                          </a:xfrm>
                          <a:prstGeom prst="rect">
                            <a:avLst/>
                          </a:prstGeom>
                        </pic:spPr>
                      </pic:pic>
                    </a:graphicData>
                  </a:graphic>
                </wp:inline>
              </w:drawing>
            </w:r>
          </w:p>
        </w:tc>
        <w:tc>
          <w:tcPr>
            <w:tcW w:w="173" w:type="dxa"/>
            <w:tcBorders>
              <w:top w:val="nil"/>
              <w:left w:val="single" w:sz="2" w:space="0" w:color="000000"/>
              <w:bottom w:val="nil"/>
              <w:right w:val="single" w:sz="2" w:space="0" w:color="000000"/>
            </w:tcBorders>
          </w:tcPr>
          <w:p w14:paraId="117C4C54" w14:textId="77777777" w:rsidR="00053D93" w:rsidRDefault="00053D93"/>
        </w:tc>
        <w:tc>
          <w:tcPr>
            <w:tcW w:w="7572" w:type="dxa"/>
            <w:gridSpan w:val="12"/>
            <w:tcBorders>
              <w:top w:val="single" w:sz="2" w:space="0" w:color="000000"/>
              <w:left w:val="single" w:sz="2" w:space="0" w:color="000000"/>
              <w:bottom w:val="nil"/>
              <w:right w:val="nil"/>
            </w:tcBorders>
          </w:tcPr>
          <w:p w14:paraId="6888F2CD" w14:textId="77777777" w:rsidR="00053D93" w:rsidRDefault="00260B75">
            <w:pPr>
              <w:ind w:left="2570"/>
            </w:pPr>
            <w:r>
              <w:rPr>
                <w:sz w:val="14"/>
              </w:rPr>
              <w:t>MINISTERIO DE EDUCACION</w:t>
            </w:r>
          </w:p>
          <w:p w14:paraId="68D79CD4" w14:textId="77777777" w:rsidR="00053D93" w:rsidRDefault="00260B75">
            <w:pPr>
              <w:ind w:left="2081"/>
            </w:pPr>
            <w:r>
              <w:rPr>
                <w:sz w:val="14"/>
              </w:rPr>
              <w:t>AUDITORIA FINANCIERA Y DE CUMPLIMIENTO</w:t>
            </w:r>
          </w:p>
          <w:p w14:paraId="32A8629C" w14:textId="77777777" w:rsidR="00053D93" w:rsidRDefault="00260B75">
            <w:pPr>
              <w:ind w:left="1742"/>
            </w:pPr>
            <w:r>
              <w:rPr>
                <w:sz w:val="14"/>
              </w:rPr>
              <w:t>PERIODO DEL 01 DE ENERO AL 31 DE DICIEMBRE DE 2024</w:t>
            </w:r>
          </w:p>
        </w:tc>
      </w:tr>
      <w:tr w:rsidR="00053D93" w14:paraId="370408FA" w14:textId="77777777">
        <w:tblPrEx>
          <w:tblCellMar>
            <w:top w:w="42" w:type="dxa"/>
            <w:left w:w="72" w:type="dxa"/>
            <w:right w:w="76" w:type="dxa"/>
          </w:tblCellMar>
        </w:tblPrEx>
        <w:trPr>
          <w:gridAfter w:val="1"/>
          <w:wAfter w:w="8" w:type="dxa"/>
          <w:trHeight w:val="799"/>
        </w:trPr>
        <w:tc>
          <w:tcPr>
            <w:tcW w:w="360" w:type="dxa"/>
            <w:gridSpan w:val="2"/>
            <w:tcBorders>
              <w:top w:val="single" w:sz="2" w:space="0" w:color="000000"/>
              <w:left w:val="single" w:sz="2" w:space="0" w:color="000000"/>
              <w:bottom w:val="single" w:sz="2" w:space="0" w:color="000000"/>
              <w:right w:val="single" w:sz="2" w:space="0" w:color="000000"/>
            </w:tcBorders>
          </w:tcPr>
          <w:p w14:paraId="08D1212B" w14:textId="77777777" w:rsidR="00053D93" w:rsidRDefault="00053D93"/>
        </w:tc>
        <w:tc>
          <w:tcPr>
            <w:tcW w:w="3776" w:type="dxa"/>
            <w:gridSpan w:val="5"/>
            <w:tcBorders>
              <w:top w:val="single" w:sz="2" w:space="0" w:color="000000"/>
              <w:left w:val="single" w:sz="2" w:space="0" w:color="000000"/>
              <w:bottom w:val="single" w:sz="2" w:space="0" w:color="000000"/>
              <w:right w:val="single" w:sz="2" w:space="0" w:color="000000"/>
            </w:tcBorders>
          </w:tcPr>
          <w:p w14:paraId="59F21A28" w14:textId="77777777" w:rsidR="00053D93" w:rsidRDefault="00053D93"/>
        </w:tc>
        <w:tc>
          <w:tcPr>
            <w:tcW w:w="955" w:type="dxa"/>
            <w:gridSpan w:val="2"/>
            <w:tcBorders>
              <w:top w:val="single" w:sz="2" w:space="0" w:color="000000"/>
              <w:left w:val="single" w:sz="2" w:space="0" w:color="000000"/>
              <w:bottom w:val="single" w:sz="2" w:space="0" w:color="000000"/>
              <w:right w:val="single" w:sz="2" w:space="0" w:color="000000"/>
            </w:tcBorders>
          </w:tcPr>
          <w:p w14:paraId="37E243F7" w14:textId="77777777" w:rsidR="00053D93" w:rsidRDefault="00053D93"/>
        </w:tc>
        <w:tc>
          <w:tcPr>
            <w:tcW w:w="1335" w:type="dxa"/>
            <w:gridSpan w:val="3"/>
            <w:tcBorders>
              <w:top w:val="single" w:sz="2" w:space="0" w:color="000000"/>
              <w:left w:val="single" w:sz="2" w:space="0" w:color="000000"/>
              <w:bottom w:val="single" w:sz="2" w:space="0" w:color="000000"/>
              <w:right w:val="single" w:sz="2" w:space="0" w:color="000000"/>
            </w:tcBorders>
          </w:tcPr>
          <w:p w14:paraId="7E562B33" w14:textId="77777777" w:rsidR="00053D93" w:rsidRDefault="00053D93"/>
        </w:tc>
        <w:tc>
          <w:tcPr>
            <w:tcW w:w="1286" w:type="dxa"/>
            <w:gridSpan w:val="3"/>
            <w:tcBorders>
              <w:top w:val="single" w:sz="2" w:space="0" w:color="000000"/>
              <w:left w:val="single" w:sz="2" w:space="0" w:color="000000"/>
              <w:bottom w:val="single" w:sz="2" w:space="0" w:color="000000"/>
              <w:right w:val="single" w:sz="2" w:space="0" w:color="000000"/>
            </w:tcBorders>
          </w:tcPr>
          <w:p w14:paraId="4AC446E0" w14:textId="77777777" w:rsidR="00053D93" w:rsidRDefault="00260B75">
            <w:pPr>
              <w:ind w:right="7" w:firstLine="7"/>
              <w:jc w:val="both"/>
            </w:pPr>
            <w:r>
              <w:rPr>
                <w:sz w:val="14"/>
              </w:rPr>
              <w:t>actualizar y verificar tes inventarios y revisar la propiedad de tos terrenos.</w:t>
            </w:r>
          </w:p>
        </w:tc>
        <w:tc>
          <w:tcPr>
            <w:tcW w:w="749" w:type="dxa"/>
            <w:gridSpan w:val="2"/>
            <w:tcBorders>
              <w:top w:val="single" w:sz="2" w:space="0" w:color="000000"/>
              <w:left w:val="single" w:sz="2" w:space="0" w:color="000000"/>
              <w:bottom w:val="single" w:sz="2" w:space="0" w:color="000000"/>
              <w:right w:val="single" w:sz="2" w:space="0" w:color="000000"/>
            </w:tcBorders>
          </w:tcPr>
          <w:p w14:paraId="66DFE93F" w14:textId="77777777" w:rsidR="00053D93" w:rsidRDefault="00053D93"/>
        </w:tc>
      </w:tr>
      <w:tr w:rsidR="00053D93" w14:paraId="0ADFE0C1" w14:textId="77777777">
        <w:tblPrEx>
          <w:tblCellMar>
            <w:top w:w="42" w:type="dxa"/>
            <w:left w:w="72" w:type="dxa"/>
            <w:right w:w="76" w:type="dxa"/>
          </w:tblCellMar>
        </w:tblPrEx>
        <w:trPr>
          <w:gridAfter w:val="1"/>
          <w:wAfter w:w="8" w:type="dxa"/>
          <w:trHeight w:val="1771"/>
        </w:trPr>
        <w:tc>
          <w:tcPr>
            <w:tcW w:w="360" w:type="dxa"/>
            <w:gridSpan w:val="2"/>
            <w:tcBorders>
              <w:top w:val="single" w:sz="2" w:space="0" w:color="000000"/>
              <w:left w:val="single" w:sz="2" w:space="0" w:color="000000"/>
              <w:bottom w:val="single" w:sz="2" w:space="0" w:color="000000"/>
              <w:right w:val="single" w:sz="2" w:space="0" w:color="000000"/>
            </w:tcBorders>
          </w:tcPr>
          <w:p w14:paraId="30D938A9" w14:textId="77777777" w:rsidR="00053D93" w:rsidRDefault="00260B75">
            <w:pPr>
              <w:ind w:left="39"/>
            </w:pPr>
            <w:r>
              <w:rPr>
                <w:rFonts w:ascii="Times New Roman" w:eastAsia="Times New Roman" w:hAnsi="Times New Roman" w:cs="Times New Roman"/>
                <w:sz w:val="14"/>
              </w:rPr>
              <w:t>34</w:t>
            </w:r>
          </w:p>
        </w:tc>
        <w:tc>
          <w:tcPr>
            <w:tcW w:w="3776" w:type="dxa"/>
            <w:gridSpan w:val="5"/>
            <w:tcBorders>
              <w:top w:val="single" w:sz="2" w:space="0" w:color="000000"/>
              <w:left w:val="single" w:sz="2" w:space="0" w:color="000000"/>
              <w:bottom w:val="single" w:sz="2" w:space="0" w:color="000000"/>
              <w:right w:val="single" w:sz="2" w:space="0" w:color="000000"/>
            </w:tcBorders>
          </w:tcPr>
          <w:p w14:paraId="185F7D12" w14:textId="77777777" w:rsidR="00053D93" w:rsidRDefault="00260B75">
            <w:pPr>
              <w:ind w:left="3"/>
            </w:pPr>
            <w:r>
              <w:rPr>
                <w:sz w:val="14"/>
              </w:rPr>
              <w:t>CGC-AFC.MINEOUC-GUATE SUR-OOS.2024</w:t>
            </w:r>
          </w:p>
        </w:tc>
        <w:tc>
          <w:tcPr>
            <w:tcW w:w="955" w:type="dxa"/>
            <w:gridSpan w:val="2"/>
            <w:tcBorders>
              <w:top w:val="single" w:sz="2" w:space="0" w:color="000000"/>
              <w:left w:val="single" w:sz="2" w:space="0" w:color="000000"/>
              <w:bottom w:val="single" w:sz="2" w:space="0" w:color="000000"/>
              <w:right w:val="single" w:sz="2" w:space="0" w:color="000000"/>
            </w:tcBorders>
          </w:tcPr>
          <w:p w14:paraId="224DCE91" w14:textId="77777777" w:rsidR="00053D93" w:rsidRDefault="00260B75">
            <w:pPr>
              <w:jc w:val="center"/>
            </w:pPr>
            <w:r>
              <w:rPr>
                <w:rFonts w:ascii="Times New Roman" w:eastAsia="Times New Roman" w:hAnsi="Times New Roman" w:cs="Times New Roman"/>
                <w:sz w:val="12"/>
              </w:rPr>
              <w:t>1210312025</w:t>
            </w:r>
          </w:p>
        </w:tc>
        <w:tc>
          <w:tcPr>
            <w:tcW w:w="1335" w:type="dxa"/>
            <w:gridSpan w:val="3"/>
            <w:tcBorders>
              <w:top w:val="single" w:sz="2" w:space="0" w:color="000000"/>
              <w:left w:val="single" w:sz="2" w:space="0" w:color="000000"/>
              <w:bottom w:val="single" w:sz="2" w:space="0" w:color="000000"/>
              <w:right w:val="single" w:sz="2" w:space="0" w:color="000000"/>
            </w:tcBorders>
          </w:tcPr>
          <w:p w14:paraId="1DFA5EE7" w14:textId="77777777" w:rsidR="00053D93" w:rsidRDefault="00260B75">
            <w:pPr>
              <w:ind w:left="3"/>
              <w:jc w:val="both"/>
            </w:pPr>
            <w:r>
              <w:rPr>
                <w:sz w:val="14"/>
              </w:rPr>
              <w:t>Norma 1.1.6 RendicJón de Cuentas</w:t>
            </w:r>
          </w:p>
        </w:tc>
        <w:tc>
          <w:tcPr>
            <w:tcW w:w="1286" w:type="dxa"/>
            <w:gridSpan w:val="3"/>
            <w:tcBorders>
              <w:top w:val="single" w:sz="2" w:space="0" w:color="000000"/>
              <w:left w:val="single" w:sz="2" w:space="0" w:color="000000"/>
              <w:bottom w:val="single" w:sz="2" w:space="0" w:color="000000"/>
              <w:right w:val="single" w:sz="2" w:space="0" w:color="000000"/>
            </w:tcBorders>
          </w:tcPr>
          <w:p w14:paraId="29178FAC" w14:textId="77777777" w:rsidR="00053D93" w:rsidRDefault="00260B75">
            <w:pPr>
              <w:ind w:right="14" w:firstLine="7"/>
              <w:jc w:val="both"/>
            </w:pPr>
            <w:r>
              <w:rPr>
                <w:sz w:val="14"/>
              </w:rPr>
              <w:t>Falta de gestión en los procesos de liquidaclón de tos programas de apoyo.</w:t>
            </w:r>
          </w:p>
        </w:tc>
        <w:tc>
          <w:tcPr>
            <w:tcW w:w="749" w:type="dxa"/>
            <w:gridSpan w:val="2"/>
            <w:tcBorders>
              <w:top w:val="single" w:sz="2" w:space="0" w:color="000000"/>
              <w:left w:val="single" w:sz="2" w:space="0" w:color="000000"/>
              <w:bottom w:val="single" w:sz="2" w:space="0" w:color="000000"/>
              <w:right w:val="single" w:sz="2" w:space="0" w:color="000000"/>
            </w:tcBorders>
          </w:tcPr>
          <w:p w14:paraId="07EF8577" w14:textId="77777777" w:rsidR="00053D93" w:rsidRDefault="00260B75">
            <w:pPr>
              <w:ind w:right="12"/>
              <w:jc w:val="center"/>
            </w:pPr>
            <w:r>
              <w:rPr>
                <w:sz w:val="12"/>
              </w:rPr>
              <w:t>Atendida</w:t>
            </w:r>
          </w:p>
        </w:tc>
      </w:tr>
      <w:tr w:rsidR="00053D93" w14:paraId="4897C556" w14:textId="77777777">
        <w:tblPrEx>
          <w:tblCellMar>
            <w:top w:w="42" w:type="dxa"/>
            <w:left w:w="72" w:type="dxa"/>
            <w:right w:w="76" w:type="dxa"/>
          </w:tblCellMar>
        </w:tblPrEx>
        <w:trPr>
          <w:gridAfter w:val="1"/>
          <w:wAfter w:w="8" w:type="dxa"/>
          <w:trHeight w:val="1771"/>
        </w:trPr>
        <w:tc>
          <w:tcPr>
            <w:tcW w:w="360" w:type="dxa"/>
            <w:gridSpan w:val="2"/>
            <w:tcBorders>
              <w:top w:val="single" w:sz="2" w:space="0" w:color="000000"/>
              <w:left w:val="single" w:sz="2" w:space="0" w:color="000000"/>
              <w:bottom w:val="single" w:sz="2" w:space="0" w:color="000000"/>
              <w:right w:val="single" w:sz="2" w:space="0" w:color="000000"/>
            </w:tcBorders>
          </w:tcPr>
          <w:p w14:paraId="49BDFA45" w14:textId="77777777" w:rsidR="00053D93" w:rsidRDefault="00260B75">
            <w:pPr>
              <w:ind w:left="3"/>
              <w:jc w:val="center"/>
            </w:pPr>
            <w:r>
              <w:rPr>
                <w:rFonts w:ascii="Times New Roman" w:eastAsia="Times New Roman" w:hAnsi="Times New Roman" w:cs="Times New Roman"/>
                <w:sz w:val="14"/>
              </w:rPr>
              <w:t>35</w:t>
            </w:r>
          </w:p>
        </w:tc>
        <w:tc>
          <w:tcPr>
            <w:tcW w:w="3776" w:type="dxa"/>
            <w:gridSpan w:val="5"/>
            <w:tcBorders>
              <w:top w:val="single" w:sz="2" w:space="0" w:color="000000"/>
              <w:left w:val="single" w:sz="2" w:space="0" w:color="000000"/>
              <w:bottom w:val="single" w:sz="2" w:space="0" w:color="000000"/>
              <w:right w:val="single" w:sz="2" w:space="0" w:color="000000"/>
            </w:tcBorders>
          </w:tcPr>
          <w:p w14:paraId="1836FEB6" w14:textId="77777777" w:rsidR="00053D93" w:rsidRDefault="00260B75">
            <w:pPr>
              <w:ind w:left="10"/>
            </w:pPr>
            <w:r>
              <w:rPr>
                <w:sz w:val="14"/>
              </w:rPr>
              <w:t>CGC-AFC-MINEOUC.GUATE SUR-OD6-2024</w:t>
            </w:r>
          </w:p>
        </w:tc>
        <w:tc>
          <w:tcPr>
            <w:tcW w:w="955" w:type="dxa"/>
            <w:gridSpan w:val="2"/>
            <w:tcBorders>
              <w:top w:val="single" w:sz="2" w:space="0" w:color="000000"/>
              <w:left w:val="single" w:sz="2" w:space="0" w:color="000000"/>
              <w:bottom w:val="single" w:sz="2" w:space="0" w:color="000000"/>
              <w:right w:val="single" w:sz="2" w:space="0" w:color="000000"/>
            </w:tcBorders>
          </w:tcPr>
          <w:p w14:paraId="10D65733" w14:textId="77777777" w:rsidR="00053D93" w:rsidRDefault="00260B75">
            <w:pPr>
              <w:jc w:val="center"/>
            </w:pPr>
            <w:r>
              <w:rPr>
                <w:rFonts w:ascii="Times New Roman" w:eastAsia="Times New Roman" w:hAnsi="Times New Roman" w:cs="Times New Roman"/>
                <w:sz w:val="14"/>
              </w:rPr>
              <w:t>4'03/2025</w:t>
            </w:r>
          </w:p>
        </w:tc>
        <w:tc>
          <w:tcPr>
            <w:tcW w:w="1335" w:type="dxa"/>
            <w:gridSpan w:val="3"/>
            <w:tcBorders>
              <w:top w:val="single" w:sz="2" w:space="0" w:color="000000"/>
              <w:left w:val="single" w:sz="2" w:space="0" w:color="000000"/>
              <w:bottom w:val="single" w:sz="2" w:space="0" w:color="000000"/>
              <w:right w:val="single" w:sz="2" w:space="0" w:color="000000"/>
            </w:tcBorders>
          </w:tcPr>
          <w:p w14:paraId="09DBF328" w14:textId="77777777" w:rsidR="00053D93" w:rsidRDefault="00260B75">
            <w:pPr>
              <w:tabs>
                <w:tab w:val="right" w:pos="1186"/>
              </w:tabs>
              <w:spacing w:after="14"/>
            </w:pPr>
            <w:r>
              <w:rPr>
                <w:sz w:val="16"/>
              </w:rPr>
              <w:t>Norma</w:t>
            </w:r>
            <w:r>
              <w:rPr>
                <w:sz w:val="16"/>
              </w:rPr>
              <w:tab/>
            </w:r>
            <w:r>
              <w:rPr>
                <w:rFonts w:ascii="Times New Roman" w:eastAsia="Times New Roman" w:hAnsi="Times New Roman" w:cs="Times New Roman"/>
                <w:sz w:val="16"/>
              </w:rPr>
              <w:t>8.6</w:t>
            </w:r>
          </w:p>
          <w:p w14:paraId="560BFEC7" w14:textId="77777777" w:rsidR="00053D93" w:rsidRDefault="00260B75">
            <w:pPr>
              <w:ind w:left="10"/>
            </w:pPr>
            <w:r>
              <w:rPr>
                <w:sz w:val="14"/>
              </w:rPr>
              <w:t>Conciliación de Saldos</w:t>
            </w:r>
          </w:p>
          <w:p w14:paraId="2539E971" w14:textId="77777777" w:rsidR="00053D93" w:rsidRDefault="00260B75">
            <w:pPr>
              <w:ind w:left="10"/>
            </w:pPr>
            <w:r>
              <w:rPr>
                <w:sz w:val="14"/>
              </w:rPr>
              <w:t>Bancarios</w:t>
            </w:r>
          </w:p>
        </w:tc>
        <w:tc>
          <w:tcPr>
            <w:tcW w:w="1286" w:type="dxa"/>
            <w:gridSpan w:val="3"/>
            <w:tcBorders>
              <w:top w:val="single" w:sz="2" w:space="0" w:color="000000"/>
              <w:left w:val="single" w:sz="2" w:space="0" w:color="000000"/>
              <w:bottom w:val="single" w:sz="2" w:space="0" w:color="000000"/>
              <w:right w:val="single" w:sz="2" w:space="0" w:color="000000"/>
            </w:tcBorders>
          </w:tcPr>
          <w:p w14:paraId="39BD6307" w14:textId="77777777" w:rsidR="00053D93" w:rsidRDefault="00260B75">
            <w:pPr>
              <w:spacing w:line="281" w:lineRule="auto"/>
              <w:ind w:left="7"/>
              <w:jc w:val="both"/>
            </w:pPr>
            <w:r>
              <w:rPr>
                <w:sz w:val="14"/>
              </w:rPr>
              <w:t>Falta de gestión en los procesos de</w:t>
            </w:r>
          </w:p>
          <w:p w14:paraId="318CC841" w14:textId="77777777" w:rsidR="00053D93" w:rsidRDefault="00260B75">
            <w:pPr>
              <w:spacing w:line="291" w:lineRule="auto"/>
              <w:ind w:left="7"/>
            </w:pPr>
            <w:r>
              <w:rPr>
                <w:sz w:val="14"/>
              </w:rPr>
              <w:t>actuallzación conciliación completa registros</w:t>
            </w:r>
          </w:p>
          <w:p w14:paraId="00EB2EBF" w14:textId="77777777" w:rsidR="00053D93" w:rsidRDefault="00260B75">
            <w:pPr>
              <w:ind w:left="7"/>
            </w:pPr>
            <w:r>
              <w:rPr>
                <w:sz w:val="12"/>
              </w:rPr>
              <w:t>contables.</w:t>
            </w:r>
          </w:p>
        </w:tc>
        <w:tc>
          <w:tcPr>
            <w:tcW w:w="749" w:type="dxa"/>
            <w:gridSpan w:val="2"/>
            <w:tcBorders>
              <w:top w:val="single" w:sz="2" w:space="0" w:color="000000"/>
              <w:left w:val="single" w:sz="2" w:space="0" w:color="000000"/>
              <w:bottom w:val="single" w:sz="2" w:space="0" w:color="000000"/>
              <w:right w:val="single" w:sz="2" w:space="0" w:color="000000"/>
            </w:tcBorders>
          </w:tcPr>
          <w:p w14:paraId="596D13A7" w14:textId="77777777" w:rsidR="00053D93" w:rsidRDefault="00260B75">
            <w:pPr>
              <w:ind w:right="4"/>
              <w:jc w:val="center"/>
            </w:pPr>
            <w:r>
              <w:rPr>
                <w:sz w:val="12"/>
              </w:rPr>
              <w:t>Atendida</w:t>
            </w:r>
          </w:p>
        </w:tc>
      </w:tr>
      <w:tr w:rsidR="00053D93" w14:paraId="0E1A441E" w14:textId="77777777">
        <w:tblPrEx>
          <w:tblCellMar>
            <w:top w:w="42" w:type="dxa"/>
            <w:left w:w="72" w:type="dxa"/>
            <w:right w:w="76" w:type="dxa"/>
          </w:tblCellMar>
        </w:tblPrEx>
        <w:trPr>
          <w:gridAfter w:val="1"/>
          <w:wAfter w:w="8" w:type="dxa"/>
          <w:trHeight w:val="1760"/>
        </w:trPr>
        <w:tc>
          <w:tcPr>
            <w:tcW w:w="360" w:type="dxa"/>
            <w:gridSpan w:val="2"/>
            <w:tcBorders>
              <w:top w:val="single" w:sz="2" w:space="0" w:color="000000"/>
              <w:left w:val="single" w:sz="2" w:space="0" w:color="000000"/>
              <w:bottom w:val="single" w:sz="2" w:space="0" w:color="000000"/>
              <w:right w:val="single" w:sz="2" w:space="0" w:color="000000"/>
            </w:tcBorders>
          </w:tcPr>
          <w:p w14:paraId="017A471E" w14:textId="77777777" w:rsidR="00053D93" w:rsidRDefault="00260B75">
            <w:pPr>
              <w:ind w:left="10"/>
              <w:jc w:val="center"/>
            </w:pPr>
            <w:r>
              <w:rPr>
                <w:rFonts w:ascii="Times New Roman" w:eastAsia="Times New Roman" w:hAnsi="Times New Roman" w:cs="Times New Roman"/>
                <w:sz w:val="12"/>
              </w:rPr>
              <w:t>36</w:t>
            </w:r>
          </w:p>
        </w:tc>
        <w:tc>
          <w:tcPr>
            <w:tcW w:w="3776" w:type="dxa"/>
            <w:gridSpan w:val="5"/>
            <w:tcBorders>
              <w:top w:val="single" w:sz="2" w:space="0" w:color="000000"/>
              <w:left w:val="single" w:sz="2" w:space="0" w:color="000000"/>
              <w:bottom w:val="single" w:sz="2" w:space="0" w:color="000000"/>
              <w:right w:val="single" w:sz="2" w:space="0" w:color="000000"/>
            </w:tcBorders>
          </w:tcPr>
          <w:p w14:paraId="4B06F954" w14:textId="77777777" w:rsidR="00053D93" w:rsidRDefault="00260B75">
            <w:pPr>
              <w:ind w:left="10"/>
            </w:pPr>
            <w:r>
              <w:rPr>
                <w:sz w:val="14"/>
              </w:rPr>
              <w:t>CGC-OAs-03-0037-D'DEDuc.RETALHULEU.02-2024</w:t>
            </w:r>
          </w:p>
        </w:tc>
        <w:tc>
          <w:tcPr>
            <w:tcW w:w="955" w:type="dxa"/>
            <w:gridSpan w:val="2"/>
            <w:tcBorders>
              <w:top w:val="single" w:sz="2" w:space="0" w:color="000000"/>
              <w:left w:val="single" w:sz="2" w:space="0" w:color="000000"/>
              <w:bottom w:val="single" w:sz="2" w:space="0" w:color="000000"/>
              <w:right w:val="single" w:sz="2" w:space="0" w:color="000000"/>
            </w:tcBorders>
          </w:tcPr>
          <w:p w14:paraId="6597E488" w14:textId="77777777" w:rsidR="00053D93" w:rsidRDefault="00260B75">
            <w:pPr>
              <w:ind w:left="14"/>
              <w:jc w:val="center"/>
            </w:pPr>
            <w:r>
              <w:rPr>
                <w:rFonts w:ascii="Times New Roman" w:eastAsia="Times New Roman" w:hAnsi="Times New Roman" w:cs="Times New Roman"/>
                <w:sz w:val="12"/>
              </w:rPr>
              <w:t>17103'2025</w:t>
            </w:r>
          </w:p>
        </w:tc>
        <w:tc>
          <w:tcPr>
            <w:tcW w:w="1335" w:type="dxa"/>
            <w:gridSpan w:val="3"/>
            <w:tcBorders>
              <w:top w:val="single" w:sz="2" w:space="0" w:color="000000"/>
              <w:left w:val="single" w:sz="2" w:space="0" w:color="000000"/>
              <w:bottom w:val="single" w:sz="2" w:space="0" w:color="000000"/>
              <w:right w:val="single" w:sz="2" w:space="0" w:color="000000"/>
            </w:tcBorders>
          </w:tcPr>
          <w:p w14:paraId="0F27129F" w14:textId="77777777" w:rsidR="00053D93" w:rsidRDefault="00260B75">
            <w:pPr>
              <w:spacing w:after="22"/>
              <w:ind w:left="10"/>
            </w:pPr>
            <w:r>
              <w:rPr>
                <w:sz w:val="14"/>
              </w:rPr>
              <w:t>Norma 3.1. d) Medidas</w:t>
            </w:r>
          </w:p>
          <w:p w14:paraId="69020FBD" w14:textId="77777777" w:rsidR="00053D93" w:rsidRDefault="00260B75">
            <w:pPr>
              <w:ind w:left="10"/>
            </w:pPr>
            <w:r>
              <w:rPr>
                <w:sz w:val="16"/>
              </w:rPr>
              <w:t>Correctivas</w:t>
            </w:r>
          </w:p>
          <w:p w14:paraId="0F22A56C" w14:textId="77777777" w:rsidR="00053D93" w:rsidRDefault="00260B75">
            <w:pPr>
              <w:tabs>
                <w:tab w:val="right" w:pos="1186"/>
              </w:tabs>
              <w:spacing w:after="25"/>
            </w:pPr>
            <w:r>
              <w:rPr>
                <w:sz w:val="14"/>
              </w:rPr>
              <w:t>Pertinentes</w:t>
            </w:r>
            <w:r>
              <w:rPr>
                <w:sz w:val="14"/>
              </w:rPr>
              <w:tab/>
              <w:t>y</w:t>
            </w:r>
          </w:p>
          <w:p w14:paraId="3F30D8F5" w14:textId="77777777" w:rsidR="00053D93" w:rsidRDefault="00260B75">
            <w:pPr>
              <w:spacing w:after="14"/>
              <w:ind w:left="10"/>
            </w:pPr>
            <w:r>
              <w:rPr>
                <w:sz w:val="14"/>
              </w:rPr>
              <w:t>Oponunas sobre les</w:t>
            </w:r>
          </w:p>
          <w:p w14:paraId="4FFFF5BC" w14:textId="77777777" w:rsidR="00053D93" w:rsidRDefault="00260B75">
            <w:pPr>
              <w:ind w:left="10"/>
            </w:pPr>
            <w:r>
              <w:rPr>
                <w:sz w:val="12"/>
              </w:rPr>
              <w:t>Actlvidedes de Control</w:t>
            </w:r>
          </w:p>
        </w:tc>
        <w:tc>
          <w:tcPr>
            <w:tcW w:w="1286" w:type="dxa"/>
            <w:gridSpan w:val="3"/>
            <w:tcBorders>
              <w:top w:val="single" w:sz="2" w:space="0" w:color="000000"/>
              <w:left w:val="single" w:sz="2" w:space="0" w:color="000000"/>
              <w:bottom w:val="single" w:sz="2" w:space="0" w:color="000000"/>
              <w:right w:val="single" w:sz="2" w:space="0" w:color="000000"/>
            </w:tcBorders>
          </w:tcPr>
          <w:p w14:paraId="2983191F" w14:textId="77777777" w:rsidR="00053D93" w:rsidRDefault="00260B75">
            <w:pPr>
              <w:ind w:left="7" w:right="7" w:firstLine="7"/>
              <w:jc w:val="both"/>
            </w:pPr>
            <w:r>
              <w:rPr>
                <w:sz w:val="14"/>
              </w:rPr>
              <w:t xml:space="preserve">Falta de control en 'a preparación de alimentos </w:t>
            </w:r>
            <w:r>
              <w:rPr>
                <w:rFonts w:ascii="Times New Roman" w:eastAsia="Times New Roman" w:hAnsi="Times New Roman" w:cs="Times New Roman"/>
                <w:sz w:val="14"/>
              </w:rPr>
              <w:t xml:space="preserve">del </w:t>
            </w:r>
            <w:r>
              <w:rPr>
                <w:sz w:val="14"/>
              </w:rPr>
              <w:t>Programa de Rimentación Escolar.</w:t>
            </w:r>
          </w:p>
        </w:tc>
        <w:tc>
          <w:tcPr>
            <w:tcW w:w="749" w:type="dxa"/>
            <w:gridSpan w:val="2"/>
            <w:tcBorders>
              <w:top w:val="single" w:sz="2" w:space="0" w:color="000000"/>
              <w:left w:val="single" w:sz="2" w:space="0" w:color="000000"/>
              <w:bottom w:val="single" w:sz="2" w:space="0" w:color="000000"/>
              <w:right w:val="single" w:sz="2" w:space="0" w:color="000000"/>
            </w:tcBorders>
          </w:tcPr>
          <w:p w14:paraId="25677C5A" w14:textId="77777777" w:rsidR="00053D93" w:rsidRDefault="00260B75">
            <w:pPr>
              <w:ind w:left="3"/>
              <w:jc w:val="center"/>
            </w:pPr>
            <w:r>
              <w:rPr>
                <w:sz w:val="12"/>
              </w:rPr>
              <w:t>Atendida</w:t>
            </w:r>
          </w:p>
        </w:tc>
      </w:tr>
      <w:tr w:rsidR="00053D93" w14:paraId="008E808F" w14:textId="77777777">
        <w:tblPrEx>
          <w:tblCellMar>
            <w:top w:w="42" w:type="dxa"/>
            <w:left w:w="72" w:type="dxa"/>
            <w:right w:w="76" w:type="dxa"/>
          </w:tblCellMar>
        </w:tblPrEx>
        <w:trPr>
          <w:gridAfter w:val="1"/>
          <w:wAfter w:w="8" w:type="dxa"/>
          <w:trHeight w:val="1764"/>
        </w:trPr>
        <w:tc>
          <w:tcPr>
            <w:tcW w:w="360" w:type="dxa"/>
            <w:gridSpan w:val="2"/>
            <w:tcBorders>
              <w:top w:val="single" w:sz="2" w:space="0" w:color="000000"/>
              <w:left w:val="single" w:sz="2" w:space="0" w:color="000000"/>
              <w:bottom w:val="single" w:sz="2" w:space="0" w:color="000000"/>
              <w:right w:val="single" w:sz="2" w:space="0" w:color="000000"/>
            </w:tcBorders>
          </w:tcPr>
          <w:p w14:paraId="20B3E7F3" w14:textId="77777777" w:rsidR="00053D93" w:rsidRDefault="00260B75">
            <w:pPr>
              <w:ind w:left="10"/>
              <w:jc w:val="center"/>
            </w:pPr>
            <w:r>
              <w:rPr>
                <w:rFonts w:ascii="Times New Roman" w:eastAsia="Times New Roman" w:hAnsi="Times New Roman" w:cs="Times New Roman"/>
                <w:sz w:val="12"/>
              </w:rPr>
              <w:t>37</w:t>
            </w:r>
          </w:p>
        </w:tc>
        <w:tc>
          <w:tcPr>
            <w:tcW w:w="3776" w:type="dxa"/>
            <w:gridSpan w:val="5"/>
            <w:tcBorders>
              <w:top w:val="single" w:sz="2" w:space="0" w:color="000000"/>
              <w:left w:val="single" w:sz="2" w:space="0" w:color="000000"/>
              <w:bottom w:val="single" w:sz="2" w:space="0" w:color="000000"/>
              <w:right w:val="single" w:sz="2" w:space="0" w:color="000000"/>
            </w:tcBorders>
          </w:tcPr>
          <w:p w14:paraId="30D61FD5" w14:textId="77777777" w:rsidR="00053D93" w:rsidRDefault="00260B75">
            <w:pPr>
              <w:ind w:left="17"/>
            </w:pPr>
            <w:r>
              <w:rPr>
                <w:sz w:val="14"/>
              </w:rPr>
              <w:t>CGc-DAs-03-0037.DIDEDUC.RETALHULEU-C3-2024</w:t>
            </w:r>
          </w:p>
        </w:tc>
        <w:tc>
          <w:tcPr>
            <w:tcW w:w="955" w:type="dxa"/>
            <w:gridSpan w:val="2"/>
            <w:tcBorders>
              <w:top w:val="single" w:sz="2" w:space="0" w:color="000000"/>
              <w:left w:val="single" w:sz="2" w:space="0" w:color="000000"/>
              <w:bottom w:val="single" w:sz="2" w:space="0" w:color="000000"/>
              <w:right w:val="single" w:sz="2" w:space="0" w:color="000000"/>
            </w:tcBorders>
          </w:tcPr>
          <w:p w14:paraId="218FFDF4" w14:textId="77777777" w:rsidR="00053D93" w:rsidRDefault="00260B75">
            <w:pPr>
              <w:ind w:left="22"/>
              <w:jc w:val="center"/>
            </w:pPr>
            <w:r>
              <w:rPr>
                <w:rFonts w:ascii="Times New Roman" w:eastAsia="Times New Roman" w:hAnsi="Times New Roman" w:cs="Times New Roman"/>
                <w:sz w:val="14"/>
              </w:rPr>
              <w:t>17/03'2025</w:t>
            </w:r>
          </w:p>
        </w:tc>
        <w:tc>
          <w:tcPr>
            <w:tcW w:w="1335" w:type="dxa"/>
            <w:gridSpan w:val="3"/>
            <w:tcBorders>
              <w:top w:val="single" w:sz="2" w:space="0" w:color="000000"/>
              <w:left w:val="single" w:sz="2" w:space="0" w:color="000000"/>
              <w:bottom w:val="single" w:sz="2" w:space="0" w:color="000000"/>
              <w:right w:val="single" w:sz="2" w:space="0" w:color="000000"/>
            </w:tcBorders>
          </w:tcPr>
          <w:p w14:paraId="2C0E4FBC" w14:textId="77777777" w:rsidR="00053D93" w:rsidRDefault="00260B75">
            <w:pPr>
              <w:tabs>
                <w:tab w:val="right" w:pos="1186"/>
              </w:tabs>
              <w:spacing w:after="37"/>
            </w:pPr>
            <w:r>
              <w:rPr>
                <w:sz w:val="16"/>
              </w:rPr>
              <w:t>Norma</w:t>
            </w:r>
            <w:r>
              <w:rPr>
                <w:sz w:val="16"/>
              </w:rPr>
              <w:tab/>
            </w:r>
            <w:r>
              <w:rPr>
                <w:rFonts w:ascii="Times New Roman" w:eastAsia="Times New Roman" w:hAnsi="Times New Roman" w:cs="Times New Roman"/>
                <w:sz w:val="16"/>
              </w:rPr>
              <w:t>4.2</w:t>
            </w:r>
          </w:p>
          <w:p w14:paraId="3C15ADD3" w14:textId="77777777" w:rsidR="00053D93" w:rsidRDefault="00260B75">
            <w:pPr>
              <w:ind w:left="10" w:firstLine="7"/>
            </w:pPr>
            <w:r>
              <w:rPr>
                <w:sz w:val="14"/>
              </w:rPr>
              <w:t>Documentos</w:t>
            </w:r>
            <w:r>
              <w:rPr>
                <w:sz w:val="14"/>
              </w:rPr>
              <w:tab/>
              <w:t>de respaldo</w:t>
            </w:r>
          </w:p>
        </w:tc>
        <w:tc>
          <w:tcPr>
            <w:tcW w:w="1286" w:type="dxa"/>
            <w:gridSpan w:val="3"/>
            <w:tcBorders>
              <w:top w:val="single" w:sz="2" w:space="0" w:color="000000"/>
              <w:left w:val="single" w:sz="2" w:space="0" w:color="000000"/>
              <w:bottom w:val="single" w:sz="2" w:space="0" w:color="000000"/>
              <w:right w:val="single" w:sz="2" w:space="0" w:color="000000"/>
            </w:tcBorders>
          </w:tcPr>
          <w:p w14:paraId="26BA38EB" w14:textId="77777777" w:rsidR="00053D93" w:rsidRDefault="00260B75">
            <w:pPr>
              <w:spacing w:after="37"/>
              <w:ind w:left="14"/>
            </w:pPr>
            <w:r>
              <w:rPr>
                <w:sz w:val="14"/>
              </w:rPr>
              <w:t>Falta de control en la</w:t>
            </w:r>
          </w:p>
          <w:p w14:paraId="51264ADD" w14:textId="77777777" w:rsidR="00053D93" w:rsidRDefault="00260B75">
            <w:pPr>
              <w:ind w:left="7" w:firstLine="7"/>
              <w:jc w:val="both"/>
            </w:pPr>
            <w:r>
              <w:rPr>
                <w:sz w:val="14"/>
              </w:rPr>
              <w:t>documentación de respaldo para la selección de los proveedores det Programa de Alimentación Escorar.</w:t>
            </w:r>
          </w:p>
        </w:tc>
        <w:tc>
          <w:tcPr>
            <w:tcW w:w="749" w:type="dxa"/>
            <w:gridSpan w:val="2"/>
            <w:tcBorders>
              <w:top w:val="single" w:sz="2" w:space="0" w:color="000000"/>
              <w:left w:val="single" w:sz="2" w:space="0" w:color="000000"/>
              <w:bottom w:val="single" w:sz="2" w:space="0" w:color="000000"/>
              <w:right w:val="single" w:sz="2" w:space="0" w:color="000000"/>
            </w:tcBorders>
          </w:tcPr>
          <w:p w14:paraId="4512E2AB" w14:textId="77777777" w:rsidR="00053D93" w:rsidRDefault="00260B75">
            <w:pPr>
              <w:ind w:left="10"/>
              <w:jc w:val="center"/>
            </w:pPr>
            <w:r>
              <w:rPr>
                <w:sz w:val="12"/>
              </w:rPr>
              <w:t>Atendida</w:t>
            </w:r>
          </w:p>
        </w:tc>
      </w:tr>
    </w:tbl>
    <w:tbl>
      <w:tblPr>
        <w:tblStyle w:val="TableGrid"/>
        <w:tblpPr w:vertAnchor="page" w:horzAnchor="page" w:tblpX="2887" w:tblpY="14541"/>
        <w:tblOverlap w:val="never"/>
        <w:tblW w:w="7610" w:type="dxa"/>
        <w:tblInd w:w="0" w:type="dxa"/>
        <w:tblCellMar>
          <w:top w:w="53" w:type="dxa"/>
          <w:left w:w="1735" w:type="dxa"/>
          <w:right w:w="115" w:type="dxa"/>
        </w:tblCellMar>
        <w:tblLook w:val="04A0" w:firstRow="1" w:lastRow="0" w:firstColumn="1" w:lastColumn="0" w:noHBand="0" w:noVBand="1"/>
      </w:tblPr>
      <w:tblGrid>
        <w:gridCol w:w="7610"/>
      </w:tblGrid>
      <w:tr w:rsidR="00053D93" w14:paraId="4903DC0C" w14:textId="77777777">
        <w:trPr>
          <w:trHeight w:val="608"/>
        </w:trPr>
        <w:tc>
          <w:tcPr>
            <w:tcW w:w="7610" w:type="dxa"/>
            <w:tcBorders>
              <w:top w:val="single" w:sz="2" w:space="0" w:color="000000"/>
              <w:left w:val="single" w:sz="2" w:space="0" w:color="000000"/>
              <w:bottom w:val="nil"/>
              <w:right w:val="nil"/>
            </w:tcBorders>
          </w:tcPr>
          <w:p w14:paraId="75E69788" w14:textId="77777777" w:rsidR="00053D93" w:rsidRDefault="00260B75">
            <w:pPr>
              <w:ind w:left="835"/>
            </w:pPr>
            <w:r>
              <w:rPr>
                <w:sz w:val="14"/>
              </w:rPr>
              <w:lastRenderedPageBreak/>
              <w:t>MINISTERIO DE EDUCACION</w:t>
            </w:r>
          </w:p>
          <w:p w14:paraId="2A503558" w14:textId="77777777" w:rsidR="00053D93" w:rsidRDefault="00260B75">
            <w:pPr>
              <w:ind w:left="338"/>
            </w:pPr>
            <w:r>
              <w:rPr>
                <w:sz w:val="14"/>
              </w:rPr>
              <w:lastRenderedPageBreak/>
              <w:t>AUDITORIA FINANCIERA Y DE CUMPLIMIENTO</w:t>
            </w:r>
          </w:p>
          <w:p w14:paraId="621B366D" w14:textId="77777777" w:rsidR="00053D93" w:rsidRDefault="00260B75">
            <w:r>
              <w:rPr>
                <w:sz w:val="14"/>
              </w:rPr>
              <w:t>PERÍODO DEL 01 DE ENERO AL 31 DE DICIEMBRE DE 2024</w:t>
            </w:r>
          </w:p>
        </w:tc>
      </w:tr>
    </w:tbl>
    <w:p w14:paraId="341D9A24" w14:textId="77777777" w:rsidR="00053D93" w:rsidRDefault="00260B75">
      <w:pPr>
        <w:spacing w:after="17" w:line="247" w:lineRule="auto"/>
        <w:ind w:left="14" w:right="14" w:firstLine="4"/>
        <w:jc w:val="both"/>
      </w:pPr>
      <w:r>
        <w:rPr>
          <w:noProof/>
        </w:rPr>
        <w:lastRenderedPageBreak/>
        <w:drawing>
          <wp:anchor distT="0" distB="0" distL="114300" distR="114300" simplePos="0" relativeHeight="251817984" behindDoc="0" locked="0" layoutInCell="1" allowOverlap="0" wp14:anchorId="36BFC273" wp14:editId="75938C9E">
            <wp:simplePos x="0" y="0"/>
            <wp:positionH relativeFrom="page">
              <wp:posOffset>205740</wp:posOffset>
            </wp:positionH>
            <wp:positionV relativeFrom="page">
              <wp:posOffset>324612</wp:posOffset>
            </wp:positionV>
            <wp:extent cx="118872" cy="338328"/>
            <wp:effectExtent l="0" t="0" r="0" b="0"/>
            <wp:wrapTopAndBottom/>
            <wp:docPr id="226976" name="Picture 226976"/>
            <wp:cNvGraphicFramePr/>
            <a:graphic xmlns:a="http://schemas.openxmlformats.org/drawingml/2006/main">
              <a:graphicData uri="http://schemas.openxmlformats.org/drawingml/2006/picture">
                <pic:pic xmlns:pic="http://schemas.openxmlformats.org/drawingml/2006/picture">
                  <pic:nvPicPr>
                    <pic:cNvPr id="226976" name="Picture 226976"/>
                    <pic:cNvPicPr/>
                  </pic:nvPicPr>
                  <pic:blipFill>
                    <a:blip r:embed="rId357"/>
                    <a:stretch>
                      <a:fillRect/>
                    </a:stretch>
                  </pic:blipFill>
                  <pic:spPr>
                    <a:xfrm>
                      <a:off x="0" y="0"/>
                      <a:ext cx="118872" cy="338328"/>
                    </a:xfrm>
                    <a:prstGeom prst="rect">
                      <a:avLst/>
                    </a:prstGeom>
                  </pic:spPr>
                </pic:pic>
              </a:graphicData>
            </a:graphic>
          </wp:anchor>
        </w:drawing>
      </w:r>
      <w:r>
        <w:rPr>
          <w:noProof/>
        </w:rPr>
        <w:drawing>
          <wp:anchor distT="0" distB="0" distL="114300" distR="114300" simplePos="0" relativeHeight="251819008" behindDoc="0" locked="0" layoutInCell="1" allowOverlap="0" wp14:anchorId="3886773E" wp14:editId="19996A74">
            <wp:simplePos x="0" y="0"/>
            <wp:positionH relativeFrom="page">
              <wp:posOffset>210312</wp:posOffset>
            </wp:positionH>
            <wp:positionV relativeFrom="page">
              <wp:posOffset>2921508</wp:posOffset>
            </wp:positionV>
            <wp:extent cx="118872" cy="347472"/>
            <wp:effectExtent l="0" t="0" r="0" b="0"/>
            <wp:wrapTopAndBottom/>
            <wp:docPr id="226977" name="Picture 226977"/>
            <wp:cNvGraphicFramePr/>
            <a:graphic xmlns:a="http://schemas.openxmlformats.org/drawingml/2006/main">
              <a:graphicData uri="http://schemas.openxmlformats.org/drawingml/2006/picture">
                <pic:pic xmlns:pic="http://schemas.openxmlformats.org/drawingml/2006/picture">
                  <pic:nvPicPr>
                    <pic:cNvPr id="226977" name="Picture 226977"/>
                    <pic:cNvPicPr/>
                  </pic:nvPicPr>
                  <pic:blipFill>
                    <a:blip r:embed="rId358"/>
                    <a:stretch>
                      <a:fillRect/>
                    </a:stretch>
                  </pic:blipFill>
                  <pic:spPr>
                    <a:xfrm>
                      <a:off x="0" y="0"/>
                      <a:ext cx="118872" cy="347472"/>
                    </a:xfrm>
                    <a:prstGeom prst="rect">
                      <a:avLst/>
                    </a:prstGeom>
                  </pic:spPr>
                </pic:pic>
              </a:graphicData>
            </a:graphic>
          </wp:anchor>
        </w:drawing>
      </w:r>
      <w:r>
        <w:rPr>
          <w:noProof/>
        </w:rPr>
        <w:drawing>
          <wp:anchor distT="0" distB="0" distL="114300" distR="114300" simplePos="0" relativeHeight="251820032" behindDoc="0" locked="0" layoutInCell="1" allowOverlap="0" wp14:anchorId="2D95B151" wp14:editId="62C04DB6">
            <wp:simplePos x="0" y="0"/>
            <wp:positionH relativeFrom="page">
              <wp:posOffset>214884</wp:posOffset>
            </wp:positionH>
            <wp:positionV relativeFrom="page">
              <wp:posOffset>6012180</wp:posOffset>
            </wp:positionV>
            <wp:extent cx="137160" cy="338328"/>
            <wp:effectExtent l="0" t="0" r="0" b="0"/>
            <wp:wrapSquare wrapText="bothSides"/>
            <wp:docPr id="226978" name="Picture 226978"/>
            <wp:cNvGraphicFramePr/>
            <a:graphic xmlns:a="http://schemas.openxmlformats.org/drawingml/2006/main">
              <a:graphicData uri="http://schemas.openxmlformats.org/drawingml/2006/picture">
                <pic:pic xmlns:pic="http://schemas.openxmlformats.org/drawingml/2006/picture">
                  <pic:nvPicPr>
                    <pic:cNvPr id="226978" name="Picture 226978"/>
                    <pic:cNvPicPr/>
                  </pic:nvPicPr>
                  <pic:blipFill>
                    <a:blip r:embed="rId359"/>
                    <a:stretch>
                      <a:fillRect/>
                    </a:stretch>
                  </pic:blipFill>
                  <pic:spPr>
                    <a:xfrm>
                      <a:off x="0" y="0"/>
                      <a:ext cx="137160" cy="338328"/>
                    </a:xfrm>
                    <a:prstGeom prst="rect">
                      <a:avLst/>
                    </a:prstGeom>
                  </pic:spPr>
                </pic:pic>
              </a:graphicData>
            </a:graphic>
          </wp:anchor>
        </w:drawing>
      </w:r>
      <w:r>
        <w:rPr>
          <w:noProof/>
        </w:rPr>
        <w:drawing>
          <wp:anchor distT="0" distB="0" distL="114300" distR="114300" simplePos="0" relativeHeight="251821056" behindDoc="0" locked="0" layoutInCell="1" allowOverlap="0" wp14:anchorId="06721E6E" wp14:editId="6306173C">
            <wp:simplePos x="0" y="0"/>
            <wp:positionH relativeFrom="page">
              <wp:posOffset>685800</wp:posOffset>
            </wp:positionH>
            <wp:positionV relativeFrom="page">
              <wp:posOffset>9212580</wp:posOffset>
            </wp:positionV>
            <wp:extent cx="1124712" cy="411480"/>
            <wp:effectExtent l="0" t="0" r="0" b="0"/>
            <wp:wrapTopAndBottom/>
            <wp:docPr id="226979" name="Picture 226979"/>
            <wp:cNvGraphicFramePr/>
            <a:graphic xmlns:a="http://schemas.openxmlformats.org/drawingml/2006/main">
              <a:graphicData uri="http://schemas.openxmlformats.org/drawingml/2006/picture">
                <pic:pic xmlns:pic="http://schemas.openxmlformats.org/drawingml/2006/picture">
                  <pic:nvPicPr>
                    <pic:cNvPr id="226979" name="Picture 226979"/>
                    <pic:cNvPicPr/>
                  </pic:nvPicPr>
                  <pic:blipFill>
                    <a:blip r:embed="rId360"/>
                    <a:stretch>
                      <a:fillRect/>
                    </a:stretch>
                  </pic:blipFill>
                  <pic:spPr>
                    <a:xfrm>
                      <a:off x="0" y="0"/>
                      <a:ext cx="1124712" cy="411480"/>
                    </a:xfrm>
                    <a:prstGeom prst="rect">
                      <a:avLst/>
                    </a:prstGeom>
                  </pic:spPr>
                </pic:pic>
              </a:graphicData>
            </a:graphic>
          </wp:anchor>
        </w:drawing>
      </w:r>
      <w:r>
        <w:rPr>
          <w:sz w:val="26"/>
        </w:rPr>
        <w:t>Se formuló un total de treinta y siete (37) acciones preventivas de las cuales los responsables de la entidad atendieron al 100%.</w:t>
      </w:r>
    </w:p>
    <w:p w14:paraId="6EAF327D" w14:textId="77777777" w:rsidR="00053D93" w:rsidRDefault="00260B75">
      <w:pPr>
        <w:spacing w:after="138" w:line="265" w:lineRule="auto"/>
        <w:ind w:left="4150" w:hanging="10"/>
      </w:pPr>
      <w:r>
        <w:rPr>
          <w:rFonts w:ascii="Times New Roman" w:eastAsia="Times New Roman" w:hAnsi="Times New Roman" w:cs="Times New Roman"/>
          <w:sz w:val="14"/>
        </w:rPr>
        <w:t>48</w:t>
      </w:r>
    </w:p>
    <w:p w14:paraId="5230D654" w14:textId="77777777" w:rsidR="00053D93" w:rsidRDefault="00260B75">
      <w:pPr>
        <w:spacing w:after="3"/>
        <w:ind w:left="-22"/>
      </w:pPr>
      <w:r>
        <w:rPr>
          <w:noProof/>
        </w:rPr>
        <w:drawing>
          <wp:inline distT="0" distB="0" distL="0" distR="0" wp14:anchorId="7BB63841" wp14:editId="1898FF31">
            <wp:extent cx="5385816" cy="68580"/>
            <wp:effectExtent l="0" t="0" r="0" b="0"/>
            <wp:docPr id="2458209" name="Picture 2458209"/>
            <wp:cNvGraphicFramePr/>
            <a:graphic xmlns:a="http://schemas.openxmlformats.org/drawingml/2006/main">
              <a:graphicData uri="http://schemas.openxmlformats.org/drawingml/2006/picture">
                <pic:pic xmlns:pic="http://schemas.openxmlformats.org/drawingml/2006/picture">
                  <pic:nvPicPr>
                    <pic:cNvPr id="2458209" name="Picture 2458209"/>
                    <pic:cNvPicPr/>
                  </pic:nvPicPr>
                  <pic:blipFill>
                    <a:blip r:embed="rId361"/>
                    <a:stretch>
                      <a:fillRect/>
                    </a:stretch>
                  </pic:blipFill>
                  <pic:spPr>
                    <a:xfrm>
                      <a:off x="0" y="0"/>
                      <a:ext cx="5385816" cy="68580"/>
                    </a:xfrm>
                    <a:prstGeom prst="rect">
                      <a:avLst/>
                    </a:prstGeom>
                  </pic:spPr>
                </pic:pic>
              </a:graphicData>
            </a:graphic>
          </wp:inline>
        </w:drawing>
      </w:r>
    </w:p>
    <w:p w14:paraId="369B242A" w14:textId="77777777" w:rsidR="00053D93" w:rsidRDefault="00260B75">
      <w:pPr>
        <w:pStyle w:val="Ttulo2"/>
        <w:spacing w:after="607" w:line="261" w:lineRule="auto"/>
        <w:ind w:left="10" w:right="7"/>
        <w:jc w:val="both"/>
      </w:pPr>
      <w:r>
        <w:rPr>
          <w:sz w:val="30"/>
        </w:rPr>
        <w:lastRenderedPageBreak/>
        <w:t>10. RESULTADOS DE LA AUDITORÍA</w:t>
      </w:r>
    </w:p>
    <w:tbl>
      <w:tblPr>
        <w:tblStyle w:val="TableGrid"/>
        <w:tblpPr w:vertAnchor="page" w:horzAnchor="page" w:tblpX="2881" w:tblpY="14527"/>
        <w:tblOverlap w:val="never"/>
        <w:tblW w:w="7667" w:type="dxa"/>
        <w:tblInd w:w="0" w:type="dxa"/>
        <w:tblCellMar>
          <w:top w:w="50" w:type="dxa"/>
          <w:left w:w="1777" w:type="dxa"/>
          <w:right w:w="115" w:type="dxa"/>
        </w:tblCellMar>
        <w:tblLook w:val="04A0" w:firstRow="1" w:lastRow="0" w:firstColumn="1" w:lastColumn="0" w:noHBand="0" w:noVBand="1"/>
      </w:tblPr>
      <w:tblGrid>
        <w:gridCol w:w="7667"/>
      </w:tblGrid>
      <w:tr w:rsidR="00053D93" w14:paraId="201C39AE" w14:textId="77777777">
        <w:trPr>
          <w:trHeight w:val="629"/>
        </w:trPr>
        <w:tc>
          <w:tcPr>
            <w:tcW w:w="7667" w:type="dxa"/>
            <w:tcBorders>
              <w:top w:val="single" w:sz="2" w:space="0" w:color="000000"/>
              <w:left w:val="single" w:sz="2" w:space="0" w:color="000000"/>
              <w:bottom w:val="nil"/>
              <w:right w:val="nil"/>
            </w:tcBorders>
          </w:tcPr>
          <w:p w14:paraId="78C73C51" w14:textId="77777777" w:rsidR="00053D93" w:rsidRDefault="00260B75">
            <w:pPr>
              <w:ind w:left="835"/>
            </w:pPr>
            <w:r>
              <w:rPr>
                <w:sz w:val="14"/>
              </w:rPr>
              <w:lastRenderedPageBreak/>
              <w:t>MINISTERIO DE EDUCACION</w:t>
            </w:r>
          </w:p>
          <w:p w14:paraId="0E61E032" w14:textId="77777777" w:rsidR="00053D93" w:rsidRDefault="00260B75">
            <w:pPr>
              <w:ind w:left="331"/>
            </w:pPr>
            <w:r>
              <w:rPr>
                <w:sz w:val="14"/>
              </w:rPr>
              <w:lastRenderedPageBreak/>
              <w:t>AUDITORIA FINANCIERA Y DE CUMPLIMIENTO</w:t>
            </w:r>
          </w:p>
          <w:p w14:paraId="5BE29FE0" w14:textId="77777777" w:rsidR="00053D93" w:rsidRDefault="00260B75">
            <w:r>
              <w:rPr>
                <w:sz w:val="14"/>
              </w:rPr>
              <w:t>PERIODO DEL 01 DE ENERO AL 31 DE DICIEMBRE DE 2024</w:t>
            </w:r>
          </w:p>
        </w:tc>
      </w:tr>
    </w:tbl>
    <w:p w14:paraId="75DD91DD" w14:textId="77777777" w:rsidR="00053D93" w:rsidRDefault="00260B75">
      <w:pPr>
        <w:spacing w:after="6946" w:line="248" w:lineRule="auto"/>
        <w:ind w:left="17" w:hanging="3"/>
        <w:jc w:val="both"/>
      </w:pPr>
      <w:r>
        <w:rPr>
          <w:noProof/>
        </w:rPr>
        <w:lastRenderedPageBreak/>
        <w:drawing>
          <wp:anchor distT="0" distB="0" distL="114300" distR="114300" simplePos="0" relativeHeight="251822080" behindDoc="0" locked="0" layoutInCell="1" allowOverlap="0" wp14:anchorId="4082ABBB" wp14:editId="7002EFDC">
            <wp:simplePos x="0" y="0"/>
            <wp:positionH relativeFrom="page">
              <wp:posOffset>169164</wp:posOffset>
            </wp:positionH>
            <wp:positionV relativeFrom="page">
              <wp:posOffset>338328</wp:posOffset>
            </wp:positionV>
            <wp:extent cx="123444" cy="352044"/>
            <wp:effectExtent l="0" t="0" r="0" b="0"/>
            <wp:wrapSquare wrapText="bothSides"/>
            <wp:docPr id="231049" name="Picture 231049"/>
            <wp:cNvGraphicFramePr/>
            <a:graphic xmlns:a="http://schemas.openxmlformats.org/drawingml/2006/main">
              <a:graphicData uri="http://schemas.openxmlformats.org/drawingml/2006/picture">
                <pic:pic xmlns:pic="http://schemas.openxmlformats.org/drawingml/2006/picture">
                  <pic:nvPicPr>
                    <pic:cNvPr id="231049" name="Picture 231049"/>
                    <pic:cNvPicPr/>
                  </pic:nvPicPr>
                  <pic:blipFill>
                    <a:blip r:embed="rId362"/>
                    <a:stretch>
                      <a:fillRect/>
                    </a:stretch>
                  </pic:blipFill>
                  <pic:spPr>
                    <a:xfrm>
                      <a:off x="0" y="0"/>
                      <a:ext cx="123444" cy="352044"/>
                    </a:xfrm>
                    <a:prstGeom prst="rect">
                      <a:avLst/>
                    </a:prstGeom>
                  </pic:spPr>
                </pic:pic>
              </a:graphicData>
            </a:graphic>
          </wp:anchor>
        </w:drawing>
      </w:r>
      <w:r>
        <w:rPr>
          <w:noProof/>
        </w:rPr>
        <w:drawing>
          <wp:anchor distT="0" distB="0" distL="114300" distR="114300" simplePos="0" relativeHeight="251823104" behindDoc="0" locked="0" layoutInCell="1" allowOverlap="0" wp14:anchorId="3BB8BD57" wp14:editId="3944742B">
            <wp:simplePos x="0" y="0"/>
            <wp:positionH relativeFrom="page">
              <wp:posOffset>196596</wp:posOffset>
            </wp:positionH>
            <wp:positionV relativeFrom="page">
              <wp:posOffset>2926080</wp:posOffset>
            </wp:positionV>
            <wp:extent cx="132588" cy="361188"/>
            <wp:effectExtent l="0" t="0" r="0" b="0"/>
            <wp:wrapTopAndBottom/>
            <wp:docPr id="231051" name="Picture 231051"/>
            <wp:cNvGraphicFramePr/>
            <a:graphic xmlns:a="http://schemas.openxmlformats.org/drawingml/2006/main">
              <a:graphicData uri="http://schemas.openxmlformats.org/drawingml/2006/picture">
                <pic:pic xmlns:pic="http://schemas.openxmlformats.org/drawingml/2006/picture">
                  <pic:nvPicPr>
                    <pic:cNvPr id="231051" name="Picture 231051"/>
                    <pic:cNvPicPr/>
                  </pic:nvPicPr>
                  <pic:blipFill>
                    <a:blip r:embed="rId363"/>
                    <a:stretch>
                      <a:fillRect/>
                    </a:stretch>
                  </pic:blipFill>
                  <pic:spPr>
                    <a:xfrm>
                      <a:off x="0" y="0"/>
                      <a:ext cx="132588" cy="361188"/>
                    </a:xfrm>
                    <a:prstGeom prst="rect">
                      <a:avLst/>
                    </a:prstGeom>
                  </pic:spPr>
                </pic:pic>
              </a:graphicData>
            </a:graphic>
          </wp:anchor>
        </w:drawing>
      </w:r>
      <w:r>
        <w:rPr>
          <w:noProof/>
        </w:rPr>
        <w:drawing>
          <wp:anchor distT="0" distB="0" distL="114300" distR="114300" simplePos="0" relativeHeight="251824128" behindDoc="0" locked="0" layoutInCell="1" allowOverlap="0" wp14:anchorId="12296CFE" wp14:editId="5A46F7CE">
            <wp:simplePos x="0" y="0"/>
            <wp:positionH relativeFrom="page">
              <wp:posOffset>704088</wp:posOffset>
            </wp:positionH>
            <wp:positionV relativeFrom="page">
              <wp:posOffset>9217153</wp:posOffset>
            </wp:positionV>
            <wp:extent cx="1074420" cy="416051"/>
            <wp:effectExtent l="0" t="0" r="0" b="0"/>
            <wp:wrapTopAndBottom/>
            <wp:docPr id="231057" name="Picture 231057"/>
            <wp:cNvGraphicFramePr/>
            <a:graphic xmlns:a="http://schemas.openxmlformats.org/drawingml/2006/main">
              <a:graphicData uri="http://schemas.openxmlformats.org/drawingml/2006/picture">
                <pic:pic xmlns:pic="http://schemas.openxmlformats.org/drawingml/2006/picture">
                  <pic:nvPicPr>
                    <pic:cNvPr id="231057" name="Picture 231057"/>
                    <pic:cNvPicPr/>
                  </pic:nvPicPr>
                  <pic:blipFill>
                    <a:blip r:embed="rId364"/>
                    <a:stretch>
                      <a:fillRect/>
                    </a:stretch>
                  </pic:blipFill>
                  <pic:spPr>
                    <a:xfrm>
                      <a:off x="0" y="0"/>
                      <a:ext cx="1074420" cy="416051"/>
                    </a:xfrm>
                    <a:prstGeom prst="rect">
                      <a:avLst/>
                    </a:prstGeom>
                  </pic:spPr>
                </pic:pic>
              </a:graphicData>
            </a:graphic>
          </wp:anchor>
        </w:drawing>
      </w:r>
      <w:r>
        <w:rPr>
          <w:noProof/>
        </w:rPr>
        <w:drawing>
          <wp:anchor distT="0" distB="0" distL="114300" distR="114300" simplePos="0" relativeHeight="251825152" behindDoc="0" locked="0" layoutInCell="1" allowOverlap="0" wp14:anchorId="6F9D8821" wp14:editId="097C4238">
            <wp:simplePos x="0" y="0"/>
            <wp:positionH relativeFrom="page">
              <wp:posOffset>192024</wp:posOffset>
            </wp:positionH>
            <wp:positionV relativeFrom="page">
              <wp:posOffset>1892808</wp:posOffset>
            </wp:positionV>
            <wp:extent cx="132588" cy="356616"/>
            <wp:effectExtent l="0" t="0" r="0" b="0"/>
            <wp:wrapTopAndBottom/>
            <wp:docPr id="231060" name="Picture 231060"/>
            <wp:cNvGraphicFramePr/>
            <a:graphic xmlns:a="http://schemas.openxmlformats.org/drawingml/2006/main">
              <a:graphicData uri="http://schemas.openxmlformats.org/drawingml/2006/picture">
                <pic:pic xmlns:pic="http://schemas.openxmlformats.org/drawingml/2006/picture">
                  <pic:nvPicPr>
                    <pic:cNvPr id="231060" name="Picture 231060"/>
                    <pic:cNvPicPr/>
                  </pic:nvPicPr>
                  <pic:blipFill>
                    <a:blip r:embed="rId365"/>
                    <a:stretch>
                      <a:fillRect/>
                    </a:stretch>
                  </pic:blipFill>
                  <pic:spPr>
                    <a:xfrm>
                      <a:off x="0" y="0"/>
                      <a:ext cx="132588" cy="356616"/>
                    </a:xfrm>
                    <a:prstGeom prst="rect">
                      <a:avLst/>
                    </a:prstGeom>
                  </pic:spPr>
                </pic:pic>
              </a:graphicData>
            </a:graphic>
          </wp:anchor>
        </w:drawing>
      </w:r>
      <w:r>
        <w:rPr>
          <w:sz w:val="28"/>
        </w:rPr>
        <w:t>Estados financieros</w:t>
      </w:r>
    </w:p>
    <w:p w14:paraId="5031BA54" w14:textId="77777777" w:rsidR="00053D93" w:rsidRDefault="00260B75">
      <w:pPr>
        <w:spacing w:after="0"/>
        <w:ind w:right="3665"/>
        <w:jc w:val="right"/>
      </w:pPr>
      <w:r>
        <w:rPr>
          <w:noProof/>
        </w:rPr>
        <w:drawing>
          <wp:anchor distT="0" distB="0" distL="114300" distR="114300" simplePos="0" relativeHeight="251826176" behindDoc="0" locked="0" layoutInCell="1" allowOverlap="0" wp14:anchorId="7F0504EE" wp14:editId="7E9B0D34">
            <wp:simplePos x="0" y="0"/>
            <wp:positionH relativeFrom="column">
              <wp:posOffset>333756</wp:posOffset>
            </wp:positionH>
            <wp:positionV relativeFrom="paragraph">
              <wp:posOffset>-3557015</wp:posOffset>
            </wp:positionV>
            <wp:extent cx="4860036" cy="4165092"/>
            <wp:effectExtent l="0" t="0" r="0" b="0"/>
            <wp:wrapSquare wrapText="bothSides"/>
            <wp:docPr id="2458211" name="Picture 2458211"/>
            <wp:cNvGraphicFramePr/>
            <a:graphic xmlns:a="http://schemas.openxmlformats.org/drawingml/2006/main">
              <a:graphicData uri="http://schemas.openxmlformats.org/drawingml/2006/picture">
                <pic:pic xmlns:pic="http://schemas.openxmlformats.org/drawingml/2006/picture">
                  <pic:nvPicPr>
                    <pic:cNvPr id="2458211" name="Picture 2458211"/>
                    <pic:cNvPicPr/>
                  </pic:nvPicPr>
                  <pic:blipFill>
                    <a:blip r:embed="rId366"/>
                    <a:stretch>
                      <a:fillRect/>
                    </a:stretch>
                  </pic:blipFill>
                  <pic:spPr>
                    <a:xfrm>
                      <a:off x="0" y="0"/>
                      <a:ext cx="4860036" cy="4165092"/>
                    </a:xfrm>
                    <a:prstGeom prst="rect">
                      <a:avLst/>
                    </a:prstGeom>
                  </pic:spPr>
                </pic:pic>
              </a:graphicData>
            </a:graphic>
          </wp:anchor>
        </w:drawing>
      </w:r>
      <w:r>
        <w:rPr>
          <w:sz w:val="18"/>
        </w:rPr>
        <w:t>va. Bo.</w:t>
      </w:r>
    </w:p>
    <w:p w14:paraId="1EC609DA" w14:textId="77777777" w:rsidR="00053D93" w:rsidRDefault="00260B75">
      <w:pPr>
        <w:spacing w:after="3398"/>
        <w:ind w:right="3377"/>
        <w:jc w:val="right"/>
      </w:pPr>
      <w:r>
        <w:rPr>
          <w:rFonts w:ascii="Times New Roman" w:eastAsia="Times New Roman" w:hAnsi="Times New Roman" w:cs="Times New Roman"/>
          <w:sz w:val="14"/>
        </w:rPr>
        <w:t>M.S</w:t>
      </w:r>
    </w:p>
    <w:p w14:paraId="2E74A1CD" w14:textId="77777777" w:rsidR="00053D93" w:rsidRDefault="00260B75">
      <w:pPr>
        <w:tabs>
          <w:tab w:val="center" w:pos="1685"/>
          <w:tab w:val="center" w:pos="5807"/>
        </w:tabs>
        <w:spacing w:after="3" w:line="265" w:lineRule="auto"/>
      </w:pPr>
      <w:r>
        <w:rPr>
          <w:noProof/>
        </w:rPr>
        <w:lastRenderedPageBreak/>
        <mc:AlternateContent>
          <mc:Choice Requires="wpg">
            <w:drawing>
              <wp:anchor distT="0" distB="0" distL="114300" distR="114300" simplePos="0" relativeHeight="251827200" behindDoc="0" locked="0" layoutInCell="1" allowOverlap="1" wp14:anchorId="1D566FB7" wp14:editId="180881A5">
                <wp:simplePos x="0" y="0"/>
                <wp:positionH relativeFrom="column">
                  <wp:posOffset>370332</wp:posOffset>
                </wp:positionH>
                <wp:positionV relativeFrom="paragraph">
                  <wp:posOffset>13715</wp:posOffset>
                </wp:positionV>
                <wp:extent cx="1421892" cy="27432"/>
                <wp:effectExtent l="0" t="0" r="0" b="0"/>
                <wp:wrapSquare wrapText="bothSides"/>
                <wp:docPr id="2458218" name="Group 2458218"/>
                <wp:cNvGraphicFramePr/>
                <a:graphic xmlns:a="http://schemas.openxmlformats.org/drawingml/2006/main">
                  <a:graphicData uri="http://schemas.microsoft.com/office/word/2010/wordprocessingGroup">
                    <wpg:wgp>
                      <wpg:cNvGrpSpPr/>
                      <wpg:grpSpPr>
                        <a:xfrm>
                          <a:off x="0" y="0"/>
                          <a:ext cx="1421892" cy="27432"/>
                          <a:chOff x="0" y="0"/>
                          <a:chExt cx="1421892" cy="27432"/>
                        </a:xfrm>
                      </wpg:grpSpPr>
                      <wps:wsp>
                        <wps:cNvPr id="2458217" name="Shape 2458217"/>
                        <wps:cNvSpPr/>
                        <wps:spPr>
                          <a:xfrm>
                            <a:off x="0" y="0"/>
                            <a:ext cx="1421892" cy="27432"/>
                          </a:xfrm>
                          <a:custGeom>
                            <a:avLst/>
                            <a:gdLst/>
                            <a:ahLst/>
                            <a:cxnLst/>
                            <a:rect l="0" t="0" r="0" b="0"/>
                            <a:pathLst>
                              <a:path w="1421892" h="27432">
                                <a:moveTo>
                                  <a:pt x="0" y="13715"/>
                                </a:moveTo>
                                <a:lnTo>
                                  <a:pt x="1421892" y="13715"/>
                                </a:lnTo>
                              </a:path>
                            </a:pathLst>
                          </a:custGeom>
                          <a:ln w="2743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218" style="width:111.96pt;height:2.15997pt;position:absolute;mso-position-horizontal-relative:text;mso-position-horizontal:absolute;margin-left:29.16pt;mso-position-vertical-relative:text;margin-top:1.07996pt;" coordsize="14218,274">
                <v:shape id="Shape 2458217" style="position:absolute;width:14218;height:274;left:0;top:0;" coordsize="1421892,27432" path="m0,13715l1421892,13715">
                  <v:stroke weight="2.15997pt" endcap="flat" joinstyle="miter" miterlimit="1" on="true" color="#000000"/>
                  <v:fill on="false" color="#000000"/>
                </v:shape>
                <w10:wrap type="square"/>
              </v:group>
            </w:pict>
          </mc:Fallback>
        </mc:AlternateContent>
      </w:r>
      <w:r>
        <w:rPr>
          <w:sz w:val="16"/>
        </w:rPr>
        <w:tab/>
        <w:t>PBX: (502) 24114595</w:t>
      </w:r>
      <w:r>
        <w:rPr>
          <w:sz w:val="16"/>
        </w:rPr>
        <w:tab/>
        <w:t>O</w:t>
      </w:r>
      <w:r>
        <w:rPr>
          <w:noProof/>
        </w:rPr>
        <w:drawing>
          <wp:inline distT="0" distB="0" distL="0" distR="0" wp14:anchorId="19625955" wp14:editId="6D09C2CE">
            <wp:extent cx="438912" cy="269748"/>
            <wp:effectExtent l="0" t="0" r="0" b="0"/>
            <wp:docPr id="2458213" name="Picture 2458213"/>
            <wp:cNvGraphicFramePr/>
            <a:graphic xmlns:a="http://schemas.openxmlformats.org/drawingml/2006/main">
              <a:graphicData uri="http://schemas.openxmlformats.org/drawingml/2006/picture">
                <pic:pic xmlns:pic="http://schemas.openxmlformats.org/drawingml/2006/picture">
                  <pic:nvPicPr>
                    <pic:cNvPr id="2458213" name="Picture 2458213"/>
                    <pic:cNvPicPr/>
                  </pic:nvPicPr>
                  <pic:blipFill>
                    <a:blip r:embed="rId367"/>
                    <a:stretch>
                      <a:fillRect/>
                    </a:stretch>
                  </pic:blipFill>
                  <pic:spPr>
                    <a:xfrm>
                      <a:off x="0" y="0"/>
                      <a:ext cx="438912" cy="269748"/>
                    </a:xfrm>
                    <a:prstGeom prst="rect">
                      <a:avLst/>
                    </a:prstGeom>
                  </pic:spPr>
                </pic:pic>
              </a:graphicData>
            </a:graphic>
          </wp:inline>
        </w:drawing>
      </w:r>
      <w:r>
        <w:rPr>
          <w:rFonts w:ascii="Times New Roman" w:eastAsia="Times New Roman" w:hAnsi="Times New Roman" w:cs="Times New Roman"/>
          <w:sz w:val="16"/>
        </w:rPr>
        <w:t xml:space="preserve">O </w:t>
      </w:r>
      <w:r>
        <w:rPr>
          <w:noProof/>
        </w:rPr>
        <w:drawing>
          <wp:inline distT="0" distB="0" distL="0" distR="0" wp14:anchorId="2A834A21" wp14:editId="09BFA00B">
            <wp:extent cx="2066544" cy="365760"/>
            <wp:effectExtent l="0" t="0" r="0" b="0"/>
            <wp:docPr id="2458215" name="Picture 2458215"/>
            <wp:cNvGraphicFramePr/>
            <a:graphic xmlns:a="http://schemas.openxmlformats.org/drawingml/2006/main">
              <a:graphicData uri="http://schemas.openxmlformats.org/drawingml/2006/picture">
                <pic:pic xmlns:pic="http://schemas.openxmlformats.org/drawingml/2006/picture">
                  <pic:nvPicPr>
                    <pic:cNvPr id="2458215" name="Picture 2458215"/>
                    <pic:cNvPicPr/>
                  </pic:nvPicPr>
                  <pic:blipFill>
                    <a:blip r:embed="rId368"/>
                    <a:stretch>
                      <a:fillRect/>
                    </a:stretch>
                  </pic:blipFill>
                  <pic:spPr>
                    <a:xfrm>
                      <a:off x="0" y="0"/>
                      <a:ext cx="2066544" cy="365760"/>
                    </a:xfrm>
                    <a:prstGeom prst="rect">
                      <a:avLst/>
                    </a:prstGeom>
                  </pic:spPr>
                </pic:pic>
              </a:graphicData>
            </a:graphic>
          </wp:inline>
        </w:drawing>
      </w:r>
    </w:p>
    <w:p w14:paraId="4B6FF264" w14:textId="77777777" w:rsidR="00053D93" w:rsidRDefault="00053D93">
      <w:pPr>
        <w:sectPr w:rsidR="00053D93">
          <w:headerReference w:type="even" r:id="rId369"/>
          <w:headerReference w:type="default" r:id="rId370"/>
          <w:footerReference w:type="even" r:id="rId371"/>
          <w:footerReference w:type="default" r:id="rId372"/>
          <w:headerReference w:type="first" r:id="rId373"/>
          <w:footerReference w:type="first" r:id="rId374"/>
          <w:pgSz w:w="12290" w:h="15912"/>
          <w:pgMar w:top="792" w:right="1814" w:bottom="698" w:left="1973" w:header="662" w:footer="720" w:gutter="0"/>
          <w:cols w:space="720"/>
        </w:sectPr>
      </w:pPr>
    </w:p>
    <w:tbl>
      <w:tblPr>
        <w:tblStyle w:val="TableGrid"/>
        <w:tblpPr w:vertAnchor="text" w:tblpX="98" w:tblpY="1015"/>
        <w:tblOverlap w:val="never"/>
        <w:tblW w:w="10011" w:type="dxa"/>
        <w:tblInd w:w="0" w:type="dxa"/>
        <w:tblLook w:val="04A0" w:firstRow="1" w:lastRow="0" w:firstColumn="1" w:lastColumn="0" w:noHBand="0" w:noVBand="1"/>
      </w:tblPr>
      <w:tblGrid>
        <w:gridCol w:w="242"/>
        <w:gridCol w:w="272"/>
        <w:gridCol w:w="238"/>
        <w:gridCol w:w="1093"/>
        <w:gridCol w:w="1179"/>
        <w:gridCol w:w="947"/>
        <w:gridCol w:w="766"/>
        <w:gridCol w:w="943"/>
        <w:gridCol w:w="1005"/>
        <w:gridCol w:w="3326"/>
      </w:tblGrid>
      <w:tr w:rsidR="00053D93" w14:paraId="62D54582" w14:textId="77777777">
        <w:trPr>
          <w:trHeight w:val="292"/>
        </w:trPr>
        <w:tc>
          <w:tcPr>
            <w:tcW w:w="245" w:type="dxa"/>
            <w:tcBorders>
              <w:top w:val="single" w:sz="2" w:space="0" w:color="000000"/>
              <w:left w:val="single" w:sz="2" w:space="0" w:color="000000"/>
              <w:bottom w:val="single" w:sz="2" w:space="0" w:color="000000"/>
              <w:right w:val="single" w:sz="2" w:space="0" w:color="000000"/>
            </w:tcBorders>
          </w:tcPr>
          <w:p w14:paraId="20B2B3A8" w14:textId="77777777" w:rsidR="00053D93" w:rsidRDefault="00053D93"/>
        </w:tc>
        <w:tc>
          <w:tcPr>
            <w:tcW w:w="274" w:type="dxa"/>
            <w:tcBorders>
              <w:top w:val="single" w:sz="2" w:space="0" w:color="000000"/>
              <w:left w:val="single" w:sz="2" w:space="0" w:color="000000"/>
              <w:bottom w:val="single" w:sz="2" w:space="0" w:color="000000"/>
              <w:right w:val="single" w:sz="2" w:space="0" w:color="000000"/>
            </w:tcBorders>
          </w:tcPr>
          <w:p w14:paraId="02A2F8E5" w14:textId="77777777" w:rsidR="00053D93" w:rsidRDefault="00053D93"/>
        </w:tc>
        <w:tc>
          <w:tcPr>
            <w:tcW w:w="238" w:type="dxa"/>
            <w:tcBorders>
              <w:top w:val="single" w:sz="2" w:space="0" w:color="000000"/>
              <w:left w:val="single" w:sz="2" w:space="0" w:color="000000"/>
              <w:bottom w:val="single" w:sz="2" w:space="0" w:color="000000"/>
              <w:right w:val="single" w:sz="2" w:space="0" w:color="000000"/>
            </w:tcBorders>
          </w:tcPr>
          <w:p w14:paraId="413319E5" w14:textId="77777777" w:rsidR="00053D93" w:rsidRDefault="00053D93"/>
        </w:tc>
        <w:tc>
          <w:tcPr>
            <w:tcW w:w="2278" w:type="dxa"/>
            <w:gridSpan w:val="2"/>
            <w:tcBorders>
              <w:top w:val="single" w:sz="2" w:space="0" w:color="000000"/>
              <w:left w:val="single" w:sz="2" w:space="0" w:color="000000"/>
              <w:bottom w:val="single" w:sz="2" w:space="0" w:color="000000"/>
              <w:right w:val="single" w:sz="2" w:space="0" w:color="000000"/>
            </w:tcBorders>
          </w:tcPr>
          <w:p w14:paraId="60754294" w14:textId="77777777" w:rsidR="00053D93" w:rsidRDefault="00260B75">
            <w:pPr>
              <w:ind w:left="53"/>
            </w:pPr>
            <w:r>
              <w:rPr>
                <w:sz w:val="6"/>
              </w:rPr>
              <w:t xml:space="preserve">• </w:t>
            </w:r>
            <w:r>
              <w:rPr>
                <w:noProof/>
              </w:rPr>
              <w:drawing>
                <wp:inline distT="0" distB="0" distL="0" distR="0" wp14:anchorId="176B877C" wp14:editId="13397073">
                  <wp:extent cx="1307592" cy="141732"/>
                  <wp:effectExtent l="0" t="0" r="0" b="0"/>
                  <wp:docPr id="2458221" name="Picture 2458221"/>
                  <wp:cNvGraphicFramePr/>
                  <a:graphic xmlns:a="http://schemas.openxmlformats.org/drawingml/2006/main">
                    <a:graphicData uri="http://schemas.openxmlformats.org/drawingml/2006/picture">
                      <pic:pic xmlns:pic="http://schemas.openxmlformats.org/drawingml/2006/picture">
                        <pic:nvPicPr>
                          <pic:cNvPr id="2458221" name="Picture 2458221"/>
                          <pic:cNvPicPr/>
                        </pic:nvPicPr>
                        <pic:blipFill>
                          <a:blip r:embed="rId375"/>
                          <a:stretch>
                            <a:fillRect/>
                          </a:stretch>
                        </pic:blipFill>
                        <pic:spPr>
                          <a:xfrm>
                            <a:off x="0" y="0"/>
                            <a:ext cx="1307592" cy="141732"/>
                          </a:xfrm>
                          <a:prstGeom prst="rect">
                            <a:avLst/>
                          </a:prstGeom>
                        </pic:spPr>
                      </pic:pic>
                    </a:graphicData>
                  </a:graphic>
                </wp:inline>
              </w:drawing>
            </w:r>
          </w:p>
        </w:tc>
        <w:tc>
          <w:tcPr>
            <w:tcW w:w="979" w:type="dxa"/>
            <w:tcBorders>
              <w:top w:val="single" w:sz="2" w:space="0" w:color="000000"/>
              <w:left w:val="single" w:sz="2" w:space="0" w:color="000000"/>
              <w:bottom w:val="single" w:sz="2" w:space="0" w:color="000000"/>
              <w:right w:val="single" w:sz="2" w:space="0" w:color="000000"/>
            </w:tcBorders>
          </w:tcPr>
          <w:p w14:paraId="0D881730" w14:textId="77777777" w:rsidR="00053D93" w:rsidRDefault="00260B75">
            <w:pPr>
              <w:ind w:right="22"/>
              <w:jc w:val="center"/>
            </w:pPr>
            <w:r>
              <w:rPr>
                <w:sz w:val="16"/>
              </w:rPr>
              <w:t>' A*oudo</w:t>
            </w:r>
          </w:p>
        </w:tc>
        <w:tc>
          <w:tcPr>
            <w:tcW w:w="770" w:type="dxa"/>
            <w:tcBorders>
              <w:top w:val="single" w:sz="2" w:space="0" w:color="000000"/>
              <w:left w:val="single" w:sz="2" w:space="0" w:color="000000"/>
              <w:bottom w:val="single" w:sz="2" w:space="0" w:color="000000"/>
              <w:right w:val="single" w:sz="2" w:space="0" w:color="000000"/>
            </w:tcBorders>
          </w:tcPr>
          <w:p w14:paraId="38EE43BC" w14:textId="77777777" w:rsidR="00053D93" w:rsidRDefault="00260B75">
            <w:pPr>
              <w:ind w:left="101"/>
            </w:pPr>
            <w:r>
              <w:rPr>
                <w:noProof/>
              </w:rPr>
              <w:drawing>
                <wp:inline distT="0" distB="0" distL="0" distR="0" wp14:anchorId="1D9B9B6F" wp14:editId="75A6B8E1">
                  <wp:extent cx="397764" cy="137160"/>
                  <wp:effectExtent l="0" t="0" r="0" b="0"/>
                  <wp:docPr id="238808" name="Picture 238808"/>
                  <wp:cNvGraphicFramePr/>
                  <a:graphic xmlns:a="http://schemas.openxmlformats.org/drawingml/2006/main">
                    <a:graphicData uri="http://schemas.openxmlformats.org/drawingml/2006/picture">
                      <pic:pic xmlns:pic="http://schemas.openxmlformats.org/drawingml/2006/picture">
                        <pic:nvPicPr>
                          <pic:cNvPr id="238808" name="Picture 238808"/>
                          <pic:cNvPicPr/>
                        </pic:nvPicPr>
                        <pic:blipFill>
                          <a:blip r:embed="rId376"/>
                          <a:stretch>
                            <a:fillRect/>
                          </a:stretch>
                        </pic:blipFill>
                        <pic:spPr>
                          <a:xfrm>
                            <a:off x="0" y="0"/>
                            <a:ext cx="397764" cy="137160"/>
                          </a:xfrm>
                          <a:prstGeom prst="rect">
                            <a:avLst/>
                          </a:prstGeom>
                        </pic:spPr>
                      </pic:pic>
                    </a:graphicData>
                  </a:graphic>
                </wp:inline>
              </w:drawing>
            </w:r>
          </w:p>
        </w:tc>
        <w:tc>
          <w:tcPr>
            <w:tcW w:w="972" w:type="dxa"/>
            <w:tcBorders>
              <w:top w:val="single" w:sz="2" w:space="0" w:color="000000"/>
              <w:left w:val="single" w:sz="2" w:space="0" w:color="000000"/>
              <w:bottom w:val="single" w:sz="2" w:space="0" w:color="000000"/>
              <w:right w:val="single" w:sz="2" w:space="0" w:color="000000"/>
            </w:tcBorders>
          </w:tcPr>
          <w:p w14:paraId="27A95F16" w14:textId="77777777" w:rsidR="00053D93" w:rsidRDefault="00260B75">
            <w:pPr>
              <w:ind w:left="43"/>
              <w:jc w:val="center"/>
            </w:pPr>
            <w:r>
              <w:rPr>
                <w:sz w:val="12"/>
              </w:rPr>
              <w:t>VÉeñte</w:t>
            </w:r>
          </w:p>
        </w:tc>
        <w:tc>
          <w:tcPr>
            <w:tcW w:w="4255" w:type="dxa"/>
            <w:gridSpan w:val="2"/>
            <w:tcBorders>
              <w:top w:val="single" w:sz="2" w:space="0" w:color="000000"/>
              <w:left w:val="single" w:sz="2" w:space="0" w:color="000000"/>
              <w:bottom w:val="single" w:sz="2" w:space="0" w:color="000000"/>
              <w:right w:val="single" w:sz="2" w:space="0" w:color="000000"/>
            </w:tcBorders>
          </w:tcPr>
          <w:p w14:paraId="27B19607" w14:textId="77777777" w:rsidR="00053D93" w:rsidRDefault="00260B75">
            <w:pPr>
              <w:tabs>
                <w:tab w:val="center" w:pos="1570"/>
                <w:tab w:val="center" w:pos="3467"/>
              </w:tabs>
            </w:pPr>
            <w:r>
              <w:rPr>
                <w:sz w:val="14"/>
              </w:rPr>
              <w:tab/>
              <w:t xml:space="preserve">AnSIS9 yjusüfiéaéi*ies.dé kiprirEiP1é•s </w:t>
            </w:r>
            <w:r>
              <w:rPr>
                <w:sz w:val="14"/>
              </w:rPr>
              <w:tab/>
              <w:t>finaxkraà</w:t>
            </w:r>
          </w:p>
        </w:tc>
      </w:tr>
      <w:tr w:rsidR="00053D93" w14:paraId="2BC0D01C" w14:textId="77777777">
        <w:trPr>
          <w:trHeight w:val="752"/>
        </w:trPr>
        <w:tc>
          <w:tcPr>
            <w:tcW w:w="245" w:type="dxa"/>
            <w:tcBorders>
              <w:top w:val="single" w:sz="2" w:space="0" w:color="000000"/>
              <w:left w:val="single" w:sz="2" w:space="0" w:color="000000"/>
              <w:bottom w:val="single" w:sz="2" w:space="0" w:color="000000"/>
              <w:right w:val="single" w:sz="2" w:space="0" w:color="000000"/>
            </w:tcBorders>
          </w:tcPr>
          <w:p w14:paraId="2AD88A8F" w14:textId="77777777" w:rsidR="00053D93" w:rsidRDefault="00053D93"/>
        </w:tc>
        <w:tc>
          <w:tcPr>
            <w:tcW w:w="274" w:type="dxa"/>
            <w:tcBorders>
              <w:top w:val="single" w:sz="2" w:space="0" w:color="000000"/>
              <w:left w:val="single" w:sz="2" w:space="0" w:color="000000"/>
              <w:bottom w:val="single" w:sz="2" w:space="0" w:color="000000"/>
              <w:right w:val="single" w:sz="2" w:space="0" w:color="000000"/>
            </w:tcBorders>
          </w:tcPr>
          <w:p w14:paraId="50484CDE" w14:textId="77777777" w:rsidR="00053D93" w:rsidRDefault="00260B75">
            <w:pPr>
              <w:ind w:left="68"/>
            </w:pPr>
            <w:r>
              <w:rPr>
                <w:rFonts w:ascii="Times New Roman" w:eastAsia="Times New Roman" w:hAnsi="Times New Roman" w:cs="Times New Roman"/>
                <w:sz w:val="12"/>
              </w:rPr>
              <w:t>000</w:t>
            </w:r>
          </w:p>
        </w:tc>
        <w:tc>
          <w:tcPr>
            <w:tcW w:w="238" w:type="dxa"/>
            <w:tcBorders>
              <w:top w:val="single" w:sz="2" w:space="0" w:color="000000"/>
              <w:left w:val="single" w:sz="2" w:space="0" w:color="000000"/>
              <w:bottom w:val="single" w:sz="2" w:space="0" w:color="000000"/>
              <w:right w:val="single" w:sz="2" w:space="0" w:color="000000"/>
            </w:tcBorders>
          </w:tcPr>
          <w:p w14:paraId="00B9ADFB" w14:textId="77777777" w:rsidR="00053D93" w:rsidRDefault="00053D93"/>
        </w:tc>
        <w:tc>
          <w:tcPr>
            <w:tcW w:w="2278" w:type="dxa"/>
            <w:gridSpan w:val="2"/>
            <w:tcBorders>
              <w:top w:val="single" w:sz="2" w:space="0" w:color="000000"/>
              <w:left w:val="single" w:sz="2" w:space="0" w:color="000000"/>
              <w:bottom w:val="single" w:sz="2" w:space="0" w:color="000000"/>
              <w:right w:val="single" w:sz="2" w:space="0" w:color="000000"/>
            </w:tcBorders>
          </w:tcPr>
          <w:p w14:paraId="6E5414AD" w14:textId="77777777" w:rsidR="00053D93" w:rsidRDefault="00053D93"/>
        </w:tc>
        <w:tc>
          <w:tcPr>
            <w:tcW w:w="979" w:type="dxa"/>
            <w:tcBorders>
              <w:top w:val="single" w:sz="2" w:space="0" w:color="000000"/>
              <w:left w:val="single" w:sz="2" w:space="0" w:color="000000"/>
              <w:bottom w:val="single" w:sz="2" w:space="0" w:color="000000"/>
              <w:right w:val="single" w:sz="2" w:space="0" w:color="000000"/>
            </w:tcBorders>
          </w:tcPr>
          <w:p w14:paraId="2AAA2E48" w14:textId="77777777" w:rsidR="00053D93" w:rsidRDefault="00053D93"/>
        </w:tc>
        <w:tc>
          <w:tcPr>
            <w:tcW w:w="770" w:type="dxa"/>
            <w:tcBorders>
              <w:top w:val="single" w:sz="2" w:space="0" w:color="000000"/>
              <w:left w:val="single" w:sz="2" w:space="0" w:color="000000"/>
              <w:bottom w:val="single" w:sz="2" w:space="0" w:color="000000"/>
              <w:right w:val="single" w:sz="2" w:space="0" w:color="000000"/>
            </w:tcBorders>
          </w:tcPr>
          <w:p w14:paraId="5DBE41B8"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66EC0735" w14:textId="77777777" w:rsidR="00053D93" w:rsidRDefault="00053D93"/>
        </w:tc>
        <w:tc>
          <w:tcPr>
            <w:tcW w:w="4255" w:type="dxa"/>
            <w:gridSpan w:val="2"/>
            <w:tcBorders>
              <w:top w:val="single" w:sz="2" w:space="0" w:color="000000"/>
              <w:left w:val="single" w:sz="2" w:space="0" w:color="000000"/>
              <w:bottom w:val="single" w:sz="2" w:space="0" w:color="000000"/>
              <w:right w:val="single" w:sz="2" w:space="0" w:color="000000"/>
            </w:tcBorders>
          </w:tcPr>
          <w:p w14:paraId="07DD7484" w14:textId="77777777" w:rsidR="00053D93" w:rsidRDefault="00260B75">
            <w:pPr>
              <w:tabs>
                <w:tab w:val="center" w:pos="1343"/>
                <w:tab w:val="center" w:pos="3038"/>
              </w:tabs>
              <w:spacing w:after="45"/>
            </w:pPr>
            <w:r>
              <w:rPr>
                <w:sz w:val="12"/>
              </w:rPr>
              <w:t xml:space="preserve">Fmarznrrw•ltn </w:t>
            </w:r>
            <w:r>
              <w:rPr>
                <w:sz w:val="12"/>
              </w:rPr>
              <w:tab/>
              <w:t xml:space="preserve">dB gasto O •SefVúS </w:t>
            </w:r>
            <w:r>
              <w:rPr>
                <w:sz w:val="12"/>
              </w:rPr>
              <w:tab/>
              <w:t>ees&amp;l de espacb vesk.m:estarh.</w:t>
            </w:r>
          </w:p>
          <w:p w14:paraId="55CBB3E2" w14:textId="77777777" w:rsidR="00053D93" w:rsidRDefault="00260B75">
            <w:pPr>
              <w:tabs>
                <w:tab w:val="center" w:pos="785"/>
                <w:tab w:val="center" w:pos="1426"/>
                <w:tab w:val="center" w:pos="2138"/>
                <w:tab w:val="center" w:pos="2790"/>
                <w:tab w:val="center" w:pos="3830"/>
              </w:tabs>
            </w:pPr>
            <w:r>
              <w:rPr>
                <w:sz w:val="12"/>
              </w:rPr>
              <w:tab/>
              <w:t xml:space="preserve">pam. B </w:t>
            </w:r>
            <w:r>
              <w:rPr>
                <w:sz w:val="12"/>
              </w:rPr>
              <w:tab/>
              <w:t xml:space="preserve">de </w:t>
            </w:r>
            <w:r>
              <w:rPr>
                <w:sz w:val="12"/>
              </w:rPr>
              <w:tab/>
              <w:t xml:space="preserve">de </w:t>
            </w:r>
            <w:r>
              <w:rPr>
                <w:sz w:val="12"/>
              </w:rPr>
              <w:tab/>
              <w:t xml:space="preserve">acdzes. </w:t>
            </w:r>
            <w:r>
              <w:rPr>
                <w:sz w:val="12"/>
              </w:rPr>
              <w:tab/>
              <w:t>do hsuu.fts</w:t>
            </w:r>
          </w:p>
          <w:p w14:paraId="02C0CD55" w14:textId="77777777" w:rsidR="00053D93" w:rsidRDefault="00260B75">
            <w:pPr>
              <w:spacing w:after="11" w:line="216" w:lineRule="auto"/>
              <w:ind w:left="814" w:right="266" w:firstLine="1829"/>
              <w:jc w:val="both"/>
            </w:pPr>
            <w:r>
              <w:rPr>
                <w:sz w:val="12"/>
              </w:rPr>
              <w:t>a acaãvas Rivadc•s de eq»o *oyecto de V V). y</w:t>
            </w:r>
          </w:p>
          <w:p w14:paraId="3991DC65" w14:textId="77777777" w:rsidR="00053D93" w:rsidRDefault="00260B75">
            <w:pPr>
              <w:ind w:left="36"/>
            </w:pPr>
            <w:r>
              <w:rPr>
                <w:sz w:val="12"/>
              </w:rPr>
              <w:t>Rogaras da GatuZad dB ta azadón, lides &amp;cdares VaÑa</w:t>
            </w:r>
          </w:p>
        </w:tc>
      </w:tr>
      <w:tr w:rsidR="00053D93" w14:paraId="4EBCAFE7" w14:textId="77777777">
        <w:trPr>
          <w:trHeight w:val="284"/>
        </w:trPr>
        <w:tc>
          <w:tcPr>
            <w:tcW w:w="245" w:type="dxa"/>
            <w:tcBorders>
              <w:top w:val="single" w:sz="2" w:space="0" w:color="000000"/>
              <w:left w:val="single" w:sz="2" w:space="0" w:color="000000"/>
              <w:bottom w:val="single" w:sz="2" w:space="0" w:color="000000"/>
              <w:right w:val="single" w:sz="2" w:space="0" w:color="000000"/>
            </w:tcBorders>
          </w:tcPr>
          <w:p w14:paraId="1EFC7C3E" w14:textId="77777777" w:rsidR="00053D93" w:rsidRDefault="00260B75">
            <w:pPr>
              <w:ind w:left="82"/>
            </w:pPr>
            <w:r>
              <w:rPr>
                <w:rFonts w:ascii="Times New Roman" w:eastAsia="Times New Roman" w:hAnsi="Times New Roman" w:cs="Times New Roman"/>
                <w:sz w:val="10"/>
              </w:rPr>
              <w:t>C3</w:t>
            </w:r>
          </w:p>
        </w:tc>
        <w:tc>
          <w:tcPr>
            <w:tcW w:w="274" w:type="dxa"/>
            <w:tcBorders>
              <w:top w:val="single" w:sz="2" w:space="0" w:color="000000"/>
              <w:left w:val="single" w:sz="2" w:space="0" w:color="000000"/>
              <w:bottom w:val="single" w:sz="2" w:space="0" w:color="000000"/>
              <w:right w:val="single" w:sz="2" w:space="0" w:color="000000"/>
            </w:tcBorders>
          </w:tcPr>
          <w:p w14:paraId="57372798" w14:textId="77777777" w:rsidR="00053D93" w:rsidRDefault="00053D93"/>
        </w:tc>
        <w:tc>
          <w:tcPr>
            <w:tcW w:w="238" w:type="dxa"/>
            <w:tcBorders>
              <w:top w:val="single" w:sz="2" w:space="0" w:color="000000"/>
              <w:left w:val="single" w:sz="2" w:space="0" w:color="000000"/>
              <w:bottom w:val="single" w:sz="2" w:space="0" w:color="000000"/>
              <w:right w:val="single" w:sz="2" w:space="0" w:color="000000"/>
            </w:tcBorders>
          </w:tcPr>
          <w:p w14:paraId="79F6E096" w14:textId="77777777" w:rsidR="00053D93" w:rsidRDefault="00260B75">
            <w:pPr>
              <w:ind w:left="53"/>
              <w:jc w:val="both"/>
            </w:pPr>
            <w:r>
              <w:rPr>
                <w:rFonts w:ascii="Times New Roman" w:eastAsia="Times New Roman" w:hAnsi="Times New Roman" w:cs="Times New Roman"/>
                <w:sz w:val="10"/>
              </w:rPr>
              <w:t>000</w:t>
            </w:r>
          </w:p>
        </w:tc>
        <w:tc>
          <w:tcPr>
            <w:tcW w:w="2278" w:type="dxa"/>
            <w:gridSpan w:val="2"/>
            <w:tcBorders>
              <w:top w:val="single" w:sz="2" w:space="0" w:color="000000"/>
              <w:left w:val="single" w:sz="2" w:space="0" w:color="000000"/>
              <w:bottom w:val="single" w:sz="2" w:space="0" w:color="000000"/>
              <w:right w:val="single" w:sz="2" w:space="0" w:color="000000"/>
            </w:tcBorders>
          </w:tcPr>
          <w:p w14:paraId="0F12C9B0" w14:textId="77777777" w:rsidR="00053D93" w:rsidRDefault="00260B75">
            <w:pPr>
              <w:ind w:left="31"/>
            </w:pPr>
            <w:r>
              <w:rPr>
                <w:noProof/>
              </w:rPr>
              <w:drawing>
                <wp:inline distT="0" distB="0" distL="0" distR="0" wp14:anchorId="180F7B7D" wp14:editId="250125AE">
                  <wp:extent cx="1293876" cy="155448"/>
                  <wp:effectExtent l="0" t="0" r="0" b="0"/>
                  <wp:docPr id="239162" name="Picture 239162"/>
                  <wp:cNvGraphicFramePr/>
                  <a:graphic xmlns:a="http://schemas.openxmlformats.org/drawingml/2006/main">
                    <a:graphicData uri="http://schemas.openxmlformats.org/drawingml/2006/picture">
                      <pic:pic xmlns:pic="http://schemas.openxmlformats.org/drawingml/2006/picture">
                        <pic:nvPicPr>
                          <pic:cNvPr id="239162" name="Picture 239162"/>
                          <pic:cNvPicPr/>
                        </pic:nvPicPr>
                        <pic:blipFill>
                          <a:blip r:embed="rId377"/>
                          <a:stretch>
                            <a:fillRect/>
                          </a:stretch>
                        </pic:blipFill>
                        <pic:spPr>
                          <a:xfrm>
                            <a:off x="0" y="0"/>
                            <a:ext cx="1293876" cy="155448"/>
                          </a:xfrm>
                          <a:prstGeom prst="rect">
                            <a:avLst/>
                          </a:prstGeom>
                        </pic:spPr>
                      </pic:pic>
                    </a:graphicData>
                  </a:graphic>
                </wp:inline>
              </w:drawing>
            </w:r>
          </w:p>
        </w:tc>
        <w:tc>
          <w:tcPr>
            <w:tcW w:w="979" w:type="dxa"/>
            <w:tcBorders>
              <w:top w:val="single" w:sz="2" w:space="0" w:color="000000"/>
              <w:left w:val="single" w:sz="2" w:space="0" w:color="000000"/>
              <w:bottom w:val="single" w:sz="2" w:space="0" w:color="000000"/>
              <w:right w:val="single" w:sz="2" w:space="0" w:color="000000"/>
            </w:tcBorders>
          </w:tcPr>
          <w:p w14:paraId="5ED02DB1" w14:textId="77777777" w:rsidR="00053D93" w:rsidRDefault="00053D93"/>
        </w:tc>
        <w:tc>
          <w:tcPr>
            <w:tcW w:w="770" w:type="dxa"/>
            <w:tcBorders>
              <w:top w:val="single" w:sz="2" w:space="0" w:color="000000"/>
              <w:left w:val="single" w:sz="2" w:space="0" w:color="000000"/>
              <w:bottom w:val="single" w:sz="2" w:space="0" w:color="000000"/>
              <w:right w:val="single" w:sz="2" w:space="0" w:color="000000"/>
            </w:tcBorders>
          </w:tcPr>
          <w:p w14:paraId="7375C773"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0871730D" w14:textId="77777777" w:rsidR="00053D93" w:rsidRDefault="00260B75">
            <w:pPr>
              <w:ind w:right="14"/>
              <w:jc w:val="right"/>
            </w:pPr>
            <w:r>
              <w:rPr>
                <w:sz w:val="10"/>
              </w:rPr>
              <w:t>2.31.57Q128tn</w:t>
            </w:r>
          </w:p>
        </w:tc>
        <w:tc>
          <w:tcPr>
            <w:tcW w:w="4255" w:type="dxa"/>
            <w:gridSpan w:val="2"/>
            <w:tcBorders>
              <w:top w:val="single" w:sz="2" w:space="0" w:color="000000"/>
              <w:left w:val="single" w:sz="2" w:space="0" w:color="000000"/>
              <w:bottom w:val="single" w:sz="2" w:space="0" w:color="000000"/>
              <w:right w:val="single" w:sz="2" w:space="0" w:color="000000"/>
            </w:tcBorders>
          </w:tcPr>
          <w:p w14:paraId="03577F56" w14:textId="77777777" w:rsidR="00053D93" w:rsidRDefault="00260B75">
            <w:pPr>
              <w:ind w:left="29"/>
            </w:pPr>
            <w:r>
              <w:rPr>
                <w:noProof/>
              </w:rPr>
              <w:drawing>
                <wp:inline distT="0" distB="0" distL="0" distR="0" wp14:anchorId="380F51B0" wp14:editId="3EBD9FBC">
                  <wp:extent cx="1426465" cy="64008"/>
                  <wp:effectExtent l="0" t="0" r="0" b="0"/>
                  <wp:docPr id="2458223" name="Picture 2458223"/>
                  <wp:cNvGraphicFramePr/>
                  <a:graphic xmlns:a="http://schemas.openxmlformats.org/drawingml/2006/main">
                    <a:graphicData uri="http://schemas.openxmlformats.org/drawingml/2006/picture">
                      <pic:pic xmlns:pic="http://schemas.openxmlformats.org/drawingml/2006/picture">
                        <pic:nvPicPr>
                          <pic:cNvPr id="2458223" name="Picture 2458223"/>
                          <pic:cNvPicPr/>
                        </pic:nvPicPr>
                        <pic:blipFill>
                          <a:blip r:embed="rId378"/>
                          <a:stretch>
                            <a:fillRect/>
                          </a:stretch>
                        </pic:blipFill>
                        <pic:spPr>
                          <a:xfrm>
                            <a:off x="0" y="0"/>
                            <a:ext cx="1426465" cy="64008"/>
                          </a:xfrm>
                          <a:prstGeom prst="rect">
                            <a:avLst/>
                          </a:prstGeom>
                        </pic:spPr>
                      </pic:pic>
                    </a:graphicData>
                  </a:graphic>
                </wp:inline>
              </w:drawing>
            </w:r>
          </w:p>
        </w:tc>
      </w:tr>
      <w:tr w:rsidR="00053D93" w14:paraId="714814E7" w14:textId="77777777">
        <w:trPr>
          <w:trHeight w:val="428"/>
        </w:trPr>
        <w:tc>
          <w:tcPr>
            <w:tcW w:w="245" w:type="dxa"/>
            <w:tcBorders>
              <w:top w:val="single" w:sz="2" w:space="0" w:color="000000"/>
              <w:left w:val="single" w:sz="2" w:space="0" w:color="000000"/>
              <w:bottom w:val="single" w:sz="2" w:space="0" w:color="000000"/>
              <w:right w:val="single" w:sz="2" w:space="0" w:color="000000"/>
            </w:tcBorders>
          </w:tcPr>
          <w:p w14:paraId="37B50A75" w14:textId="77777777" w:rsidR="00053D93" w:rsidRDefault="00260B75">
            <w:pPr>
              <w:spacing w:after="285"/>
              <w:ind w:left="75"/>
            </w:pPr>
            <w:r>
              <w:rPr>
                <w:rFonts w:ascii="Times New Roman" w:eastAsia="Times New Roman" w:hAnsi="Times New Roman" w:cs="Times New Roman"/>
                <w:sz w:val="10"/>
              </w:rPr>
              <w:t>04</w:t>
            </w:r>
          </w:p>
          <w:p w14:paraId="375F06AB" w14:textId="77777777" w:rsidR="00053D93" w:rsidRDefault="00260B75">
            <w:pPr>
              <w:ind w:left="68"/>
            </w:pPr>
            <w:r>
              <w:rPr>
                <w:rFonts w:ascii="Times New Roman" w:eastAsia="Times New Roman" w:hAnsi="Times New Roman" w:cs="Times New Roman"/>
                <w:sz w:val="12"/>
              </w:rPr>
              <w:t>05</w:t>
            </w:r>
          </w:p>
        </w:tc>
        <w:tc>
          <w:tcPr>
            <w:tcW w:w="274" w:type="dxa"/>
            <w:tcBorders>
              <w:top w:val="single" w:sz="2" w:space="0" w:color="000000"/>
              <w:left w:val="single" w:sz="2" w:space="0" w:color="000000"/>
              <w:bottom w:val="single" w:sz="2" w:space="0" w:color="000000"/>
              <w:right w:val="single" w:sz="2" w:space="0" w:color="000000"/>
            </w:tcBorders>
          </w:tcPr>
          <w:p w14:paraId="538F91A1" w14:textId="77777777" w:rsidR="00053D93" w:rsidRDefault="00260B75">
            <w:pPr>
              <w:ind w:left="60"/>
            </w:pPr>
            <w:r>
              <w:rPr>
                <w:sz w:val="12"/>
              </w:rPr>
              <w:t>coo</w:t>
            </w:r>
          </w:p>
        </w:tc>
        <w:tc>
          <w:tcPr>
            <w:tcW w:w="238" w:type="dxa"/>
            <w:tcBorders>
              <w:top w:val="single" w:sz="2" w:space="0" w:color="000000"/>
              <w:left w:val="single" w:sz="2" w:space="0" w:color="000000"/>
              <w:bottom w:val="single" w:sz="2" w:space="0" w:color="000000"/>
              <w:right w:val="single" w:sz="2" w:space="0" w:color="000000"/>
            </w:tcBorders>
          </w:tcPr>
          <w:p w14:paraId="45D2C094" w14:textId="77777777" w:rsidR="00053D93" w:rsidRDefault="00260B75">
            <w:pPr>
              <w:spacing w:after="285"/>
              <w:ind w:left="46"/>
              <w:jc w:val="both"/>
            </w:pPr>
            <w:r>
              <w:rPr>
                <w:sz w:val="10"/>
              </w:rPr>
              <w:t xml:space="preserve">000 </w:t>
            </w:r>
          </w:p>
          <w:p w14:paraId="4132C79B" w14:textId="77777777" w:rsidR="00053D93" w:rsidRDefault="00260B75">
            <w:pPr>
              <w:ind w:left="39"/>
              <w:jc w:val="both"/>
            </w:pPr>
            <w:r>
              <w:rPr>
                <w:sz w:val="18"/>
              </w:rPr>
              <w:t xml:space="preserve">un </w:t>
            </w:r>
          </w:p>
        </w:tc>
        <w:tc>
          <w:tcPr>
            <w:tcW w:w="1090" w:type="dxa"/>
            <w:tcBorders>
              <w:top w:val="single" w:sz="2" w:space="0" w:color="000000"/>
              <w:left w:val="single" w:sz="2" w:space="0" w:color="000000"/>
              <w:bottom w:val="single" w:sz="2" w:space="0" w:color="000000"/>
              <w:right w:val="nil"/>
            </w:tcBorders>
          </w:tcPr>
          <w:p w14:paraId="542056FB" w14:textId="77777777" w:rsidR="00053D93" w:rsidRDefault="00260B75">
            <w:pPr>
              <w:ind w:left="31"/>
            </w:pPr>
            <w:r>
              <w:rPr>
                <w:noProof/>
              </w:rPr>
              <w:drawing>
                <wp:inline distT="0" distB="0" distL="0" distR="0" wp14:anchorId="0BA5BE20" wp14:editId="707B8865">
                  <wp:extent cx="672084" cy="315468"/>
                  <wp:effectExtent l="0" t="0" r="0" b="0"/>
                  <wp:docPr id="2458225" name="Picture 2458225"/>
                  <wp:cNvGraphicFramePr/>
                  <a:graphic xmlns:a="http://schemas.openxmlformats.org/drawingml/2006/main">
                    <a:graphicData uri="http://schemas.openxmlformats.org/drawingml/2006/picture">
                      <pic:pic xmlns:pic="http://schemas.openxmlformats.org/drawingml/2006/picture">
                        <pic:nvPicPr>
                          <pic:cNvPr id="2458225" name="Picture 2458225"/>
                          <pic:cNvPicPr/>
                        </pic:nvPicPr>
                        <pic:blipFill>
                          <a:blip r:embed="rId379"/>
                          <a:stretch>
                            <a:fillRect/>
                          </a:stretch>
                        </pic:blipFill>
                        <pic:spPr>
                          <a:xfrm>
                            <a:off x="0" y="0"/>
                            <a:ext cx="672084" cy="315468"/>
                          </a:xfrm>
                          <a:prstGeom prst="rect">
                            <a:avLst/>
                          </a:prstGeom>
                        </pic:spPr>
                      </pic:pic>
                    </a:graphicData>
                  </a:graphic>
                </wp:inline>
              </w:drawing>
            </w:r>
          </w:p>
        </w:tc>
        <w:tc>
          <w:tcPr>
            <w:tcW w:w="1188" w:type="dxa"/>
            <w:tcBorders>
              <w:top w:val="single" w:sz="2" w:space="0" w:color="000000"/>
              <w:left w:val="nil"/>
              <w:bottom w:val="single" w:sz="2" w:space="0" w:color="000000"/>
              <w:right w:val="single" w:sz="2" w:space="0" w:color="000000"/>
            </w:tcBorders>
          </w:tcPr>
          <w:p w14:paraId="77B5B492" w14:textId="77777777" w:rsidR="00053D93" w:rsidRDefault="00260B75">
            <w:r>
              <w:rPr>
                <w:noProof/>
              </w:rPr>
              <mc:AlternateContent>
                <mc:Choice Requires="wpg">
                  <w:drawing>
                    <wp:inline distT="0" distB="0" distL="0" distR="0" wp14:anchorId="4E2C826D" wp14:editId="1C9473A1">
                      <wp:extent cx="694944" cy="320040"/>
                      <wp:effectExtent l="0" t="0" r="0" b="0"/>
                      <wp:docPr id="2306148" name="Group 2306148"/>
                      <wp:cNvGraphicFramePr/>
                      <a:graphic xmlns:a="http://schemas.openxmlformats.org/drawingml/2006/main">
                        <a:graphicData uri="http://schemas.microsoft.com/office/word/2010/wordprocessingGroup">
                          <wpg:wgp>
                            <wpg:cNvGrpSpPr/>
                            <wpg:grpSpPr>
                              <a:xfrm>
                                <a:off x="0" y="0"/>
                                <a:ext cx="694944" cy="320040"/>
                                <a:chOff x="0" y="0"/>
                                <a:chExt cx="694944" cy="320040"/>
                              </a:xfrm>
                            </wpg:grpSpPr>
                            <pic:pic xmlns:pic="http://schemas.openxmlformats.org/drawingml/2006/picture">
                              <pic:nvPicPr>
                                <pic:cNvPr id="2458227" name="Picture 2458227"/>
                                <pic:cNvPicPr/>
                              </pic:nvPicPr>
                              <pic:blipFill>
                                <a:blip r:embed="rId380"/>
                                <a:stretch>
                                  <a:fillRect/>
                                </a:stretch>
                              </pic:blipFill>
                              <pic:spPr>
                                <a:xfrm>
                                  <a:off x="0" y="9144"/>
                                  <a:ext cx="617220" cy="310896"/>
                                </a:xfrm>
                                <a:prstGeom prst="rect">
                                  <a:avLst/>
                                </a:prstGeom>
                              </pic:spPr>
                            </pic:pic>
                            <wps:wsp>
                              <wps:cNvPr id="231448" name="Rectangle 231448"/>
                              <wps:cNvSpPr/>
                              <wps:spPr>
                                <a:xfrm>
                                  <a:off x="585216" y="96012"/>
                                  <a:ext cx="97292" cy="72969"/>
                                </a:xfrm>
                                <a:prstGeom prst="rect">
                                  <a:avLst/>
                                </a:prstGeom>
                                <a:ln>
                                  <a:noFill/>
                                </a:ln>
                              </wps:spPr>
                              <wps:txbx>
                                <w:txbxContent>
                                  <w:p w14:paraId="31C2AE90" w14:textId="77777777" w:rsidR="00053D93" w:rsidRDefault="00260B75">
                                    <w:r>
                                      <w:rPr>
                                        <w:sz w:val="10"/>
                                      </w:rPr>
                                      <w:t xml:space="preserve">13 </w:t>
                                    </w:r>
                                  </w:p>
                                </w:txbxContent>
                              </wps:txbx>
                              <wps:bodyPr horzOverflow="overflow" vert="horz" lIns="0" tIns="0" rIns="0" bIns="0" rtlCol="0">
                                <a:noAutofit/>
                              </wps:bodyPr>
                            </wps:wsp>
                            <wps:wsp>
                              <wps:cNvPr id="231449" name="Rectangle 231449"/>
                              <wps:cNvSpPr/>
                              <wps:spPr>
                                <a:xfrm>
                                  <a:off x="658368" y="96012"/>
                                  <a:ext cx="48646" cy="72969"/>
                                </a:xfrm>
                                <a:prstGeom prst="rect">
                                  <a:avLst/>
                                </a:prstGeom>
                                <a:ln>
                                  <a:noFill/>
                                </a:ln>
                              </wps:spPr>
                              <wps:txbx>
                                <w:txbxContent>
                                  <w:p w14:paraId="2F47F437" w14:textId="77777777" w:rsidR="00053D93" w:rsidRDefault="00260B75">
                                    <w:r>
                                      <w:rPr>
                                        <w:sz w:val="14"/>
                                      </w:rPr>
                                      <w:t>Y</w:t>
                                    </w:r>
                                  </w:p>
                                </w:txbxContent>
                              </wps:txbx>
                              <wps:bodyPr horzOverflow="overflow" vert="horz" lIns="0" tIns="0" rIns="0" bIns="0" rtlCol="0">
                                <a:noAutofit/>
                              </wps:bodyPr>
                            </wps:wsp>
                          </wpg:wgp>
                        </a:graphicData>
                      </a:graphic>
                    </wp:inline>
                  </w:drawing>
                </mc:Choice>
                <mc:Fallback>
                  <w:pict>
                    <v:group w14:anchorId="4E2C826D" id="Group 2306148" o:spid="_x0000_s1230" style="width:54.7pt;height:25.2pt;mso-position-horizontal-relative:char;mso-position-vertical-relative:line" coordsize="6949,32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">
                      <v:shape id="Picture 2458227" o:spid="_x0000_s1231" type="#_x0000_t75" style="position:absolute;top:91;width:6172;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">
                        <v:imagedata r:id="rId381" o:title=""/>
                      </v:shape>
                      <v:rect id="Rectangle 231448" o:spid="_x0000_s1232" style="position:absolute;left:5852;top:960;width:973;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" filled="f" stroked="f">
                        <v:textbox inset="0,0,0,0">
                          <w:txbxContent>
                            <w:p w14:paraId="31C2AE90" w14:textId="77777777" w:rsidR="00053D93" w:rsidRDefault="00260B75">
                              <w:r>
                                <w:rPr>
                                  <w:sz w:val="10"/>
                                </w:rPr>
                                <w:t xml:space="preserve">13 </w:t>
                              </w:r>
                            </w:p>
                          </w:txbxContent>
                        </v:textbox>
                      </v:rect>
                      <v:rect id="Rectangle 231449" o:spid="_x0000_s1233" style="position:absolute;left:6583;top:960;width:487;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" filled="f" stroked="f">
                        <v:textbox inset="0,0,0,0">
                          <w:txbxContent>
                            <w:p w14:paraId="2F47F437" w14:textId="77777777" w:rsidR="00053D93" w:rsidRDefault="00260B75">
                              <w:r>
                                <w:rPr>
                                  <w:sz w:val="14"/>
                                </w:rPr>
                                <w:t>Y</w:t>
                              </w:r>
                            </w:p>
                          </w:txbxContent>
                        </v:textbox>
                      </v:rect>
                      <w10:anchorlock/>
                    </v:group>
                  </w:pict>
                </mc:Fallback>
              </mc:AlternateContent>
            </w:r>
          </w:p>
        </w:tc>
        <w:tc>
          <w:tcPr>
            <w:tcW w:w="979" w:type="dxa"/>
            <w:tcBorders>
              <w:top w:val="single" w:sz="2" w:space="0" w:color="000000"/>
              <w:left w:val="single" w:sz="2" w:space="0" w:color="000000"/>
              <w:bottom w:val="single" w:sz="2" w:space="0" w:color="000000"/>
              <w:right w:val="single" w:sz="2" w:space="0" w:color="000000"/>
            </w:tcBorders>
          </w:tcPr>
          <w:p w14:paraId="10DD39A1" w14:textId="77777777" w:rsidR="00053D93" w:rsidRDefault="00053D93"/>
        </w:tc>
        <w:tc>
          <w:tcPr>
            <w:tcW w:w="770" w:type="dxa"/>
            <w:tcBorders>
              <w:top w:val="single" w:sz="2" w:space="0" w:color="000000"/>
              <w:left w:val="single" w:sz="2" w:space="0" w:color="000000"/>
              <w:bottom w:val="single" w:sz="2" w:space="0" w:color="000000"/>
              <w:right w:val="single" w:sz="2" w:space="0" w:color="000000"/>
            </w:tcBorders>
          </w:tcPr>
          <w:p w14:paraId="11F8A13E" w14:textId="77777777" w:rsidR="00053D93" w:rsidRDefault="00260B75">
            <w:pPr>
              <w:ind w:right="14"/>
              <w:jc w:val="right"/>
            </w:pPr>
            <w:r>
              <w:rPr>
                <w:sz w:val="12"/>
              </w:rPr>
              <w:t>6325.90aoo</w:t>
            </w:r>
          </w:p>
        </w:tc>
        <w:tc>
          <w:tcPr>
            <w:tcW w:w="972" w:type="dxa"/>
            <w:tcBorders>
              <w:top w:val="single" w:sz="2" w:space="0" w:color="000000"/>
              <w:left w:val="single" w:sz="2" w:space="0" w:color="000000"/>
              <w:bottom w:val="single" w:sz="2" w:space="0" w:color="000000"/>
              <w:right w:val="single" w:sz="2" w:space="0" w:color="000000"/>
            </w:tcBorders>
          </w:tcPr>
          <w:p w14:paraId="0A4E9381" w14:textId="77777777" w:rsidR="00053D93" w:rsidRDefault="00053D93"/>
        </w:tc>
        <w:tc>
          <w:tcPr>
            <w:tcW w:w="907" w:type="dxa"/>
            <w:tcBorders>
              <w:top w:val="single" w:sz="2" w:space="0" w:color="000000"/>
              <w:left w:val="single" w:sz="2" w:space="0" w:color="000000"/>
              <w:bottom w:val="single" w:sz="2" w:space="0" w:color="000000"/>
              <w:right w:val="nil"/>
            </w:tcBorders>
          </w:tcPr>
          <w:p w14:paraId="037D7663" w14:textId="77777777" w:rsidR="00053D93" w:rsidRDefault="00260B75">
            <w:pPr>
              <w:ind w:left="22" w:right="-94"/>
            </w:pPr>
            <w:r>
              <w:rPr>
                <w:noProof/>
              </w:rPr>
              <w:drawing>
                <wp:inline distT="0" distB="0" distL="0" distR="0" wp14:anchorId="0624ADC6" wp14:editId="482B46F1">
                  <wp:extent cx="621792" cy="233172"/>
                  <wp:effectExtent l="0" t="0" r="0" b="0"/>
                  <wp:docPr id="239454" name="Picture 239454"/>
                  <wp:cNvGraphicFramePr/>
                  <a:graphic xmlns:a="http://schemas.openxmlformats.org/drawingml/2006/main">
                    <a:graphicData uri="http://schemas.openxmlformats.org/drawingml/2006/picture">
                      <pic:pic xmlns:pic="http://schemas.openxmlformats.org/drawingml/2006/picture">
                        <pic:nvPicPr>
                          <pic:cNvPr id="239454" name="Picture 239454"/>
                          <pic:cNvPicPr/>
                        </pic:nvPicPr>
                        <pic:blipFill>
                          <a:blip r:embed="rId382"/>
                          <a:stretch>
                            <a:fillRect/>
                          </a:stretch>
                        </pic:blipFill>
                        <pic:spPr>
                          <a:xfrm>
                            <a:off x="0" y="0"/>
                            <a:ext cx="621792" cy="233172"/>
                          </a:xfrm>
                          <a:prstGeom prst="rect">
                            <a:avLst/>
                          </a:prstGeom>
                        </pic:spPr>
                      </pic:pic>
                    </a:graphicData>
                  </a:graphic>
                </wp:inline>
              </w:drawing>
            </w:r>
          </w:p>
        </w:tc>
        <w:tc>
          <w:tcPr>
            <w:tcW w:w="3348" w:type="dxa"/>
            <w:tcBorders>
              <w:top w:val="single" w:sz="2" w:space="0" w:color="000000"/>
              <w:left w:val="nil"/>
              <w:bottom w:val="single" w:sz="2" w:space="0" w:color="000000"/>
              <w:right w:val="single" w:sz="2" w:space="0" w:color="000000"/>
            </w:tcBorders>
            <w:vAlign w:val="center"/>
          </w:tcPr>
          <w:p w14:paraId="7F33621E" w14:textId="77777777" w:rsidR="00053D93" w:rsidRDefault="00260B75">
            <w:r>
              <w:rPr>
                <w:sz w:val="12"/>
              </w:rPr>
              <w:t xml:space="preserve">de gaste G </w:t>
            </w:r>
            <w:r>
              <w:rPr>
                <w:noProof/>
              </w:rPr>
              <w:drawing>
                <wp:inline distT="0" distB="0" distL="0" distR="0" wp14:anchorId="3F4D665D" wp14:editId="175CDD52">
                  <wp:extent cx="1632204" cy="228600"/>
                  <wp:effectExtent l="0" t="0" r="0" b="0"/>
                  <wp:docPr id="2458228" name="Picture 2458228"/>
                  <wp:cNvGraphicFramePr/>
                  <a:graphic xmlns:a="http://schemas.openxmlformats.org/drawingml/2006/main">
                    <a:graphicData uri="http://schemas.openxmlformats.org/drawingml/2006/picture">
                      <pic:pic xmlns:pic="http://schemas.openxmlformats.org/drawingml/2006/picture">
                        <pic:nvPicPr>
                          <pic:cNvPr id="2458228" name="Picture 2458228"/>
                          <pic:cNvPicPr/>
                        </pic:nvPicPr>
                        <pic:blipFill>
                          <a:blip r:embed="rId383"/>
                          <a:stretch>
                            <a:fillRect/>
                          </a:stretch>
                        </pic:blipFill>
                        <pic:spPr>
                          <a:xfrm>
                            <a:off x="0" y="0"/>
                            <a:ext cx="1632204" cy="228600"/>
                          </a:xfrm>
                          <a:prstGeom prst="rect">
                            <a:avLst/>
                          </a:prstGeom>
                        </pic:spPr>
                      </pic:pic>
                    </a:graphicData>
                  </a:graphic>
                </wp:inline>
              </w:drawing>
            </w:r>
          </w:p>
        </w:tc>
      </w:tr>
      <w:tr w:rsidR="00053D93" w14:paraId="20F182F3" w14:textId="77777777">
        <w:trPr>
          <w:trHeight w:val="554"/>
        </w:trPr>
        <w:tc>
          <w:tcPr>
            <w:tcW w:w="245" w:type="dxa"/>
            <w:tcBorders>
              <w:top w:val="single" w:sz="2" w:space="0" w:color="000000"/>
              <w:left w:val="single" w:sz="2" w:space="0" w:color="000000"/>
              <w:bottom w:val="single" w:sz="2" w:space="0" w:color="000000"/>
              <w:right w:val="single" w:sz="2" w:space="0" w:color="000000"/>
            </w:tcBorders>
          </w:tcPr>
          <w:p w14:paraId="7556D36E" w14:textId="77777777" w:rsidR="00053D93" w:rsidRDefault="00053D93"/>
        </w:tc>
        <w:tc>
          <w:tcPr>
            <w:tcW w:w="274" w:type="dxa"/>
            <w:tcBorders>
              <w:top w:val="single" w:sz="2" w:space="0" w:color="000000"/>
              <w:left w:val="single" w:sz="2" w:space="0" w:color="000000"/>
              <w:bottom w:val="single" w:sz="2" w:space="0" w:color="000000"/>
              <w:right w:val="single" w:sz="2" w:space="0" w:color="000000"/>
            </w:tcBorders>
          </w:tcPr>
          <w:p w14:paraId="1EFA2A5C" w14:textId="77777777" w:rsidR="00053D93" w:rsidRDefault="00053D93"/>
        </w:tc>
        <w:tc>
          <w:tcPr>
            <w:tcW w:w="238" w:type="dxa"/>
            <w:tcBorders>
              <w:top w:val="single" w:sz="2" w:space="0" w:color="000000"/>
              <w:left w:val="single" w:sz="2" w:space="0" w:color="000000"/>
              <w:bottom w:val="single" w:sz="2" w:space="0" w:color="000000"/>
              <w:right w:val="single" w:sz="2" w:space="0" w:color="000000"/>
            </w:tcBorders>
          </w:tcPr>
          <w:p w14:paraId="7E37C796" w14:textId="77777777" w:rsidR="00053D93" w:rsidRDefault="00053D93"/>
        </w:tc>
        <w:tc>
          <w:tcPr>
            <w:tcW w:w="1090" w:type="dxa"/>
            <w:tcBorders>
              <w:top w:val="single" w:sz="2" w:space="0" w:color="000000"/>
              <w:left w:val="single" w:sz="2" w:space="0" w:color="000000"/>
              <w:bottom w:val="single" w:sz="2" w:space="0" w:color="000000"/>
              <w:right w:val="nil"/>
            </w:tcBorders>
            <w:vAlign w:val="center"/>
          </w:tcPr>
          <w:p w14:paraId="3CF0C03A" w14:textId="77777777" w:rsidR="00053D93" w:rsidRDefault="00260B75">
            <w:pPr>
              <w:ind w:left="24"/>
            </w:pPr>
            <w:r>
              <w:rPr>
                <w:sz w:val="10"/>
              </w:rPr>
              <w:t>(R; 1'. 12. 13 Y</w:t>
            </w:r>
          </w:p>
        </w:tc>
        <w:tc>
          <w:tcPr>
            <w:tcW w:w="1188" w:type="dxa"/>
            <w:tcBorders>
              <w:top w:val="single" w:sz="2" w:space="0" w:color="000000"/>
              <w:left w:val="nil"/>
              <w:bottom w:val="single" w:sz="2" w:space="0" w:color="000000"/>
              <w:right w:val="single" w:sz="2" w:space="0" w:color="000000"/>
            </w:tcBorders>
          </w:tcPr>
          <w:p w14:paraId="7B0B38EC" w14:textId="77777777" w:rsidR="00053D93" w:rsidRDefault="00260B75">
            <w:r>
              <w:rPr>
                <w:sz w:val="14"/>
              </w:rPr>
              <w:t>aAsco Y</w:t>
            </w:r>
            <w:r>
              <w:rPr>
                <w:noProof/>
              </w:rPr>
              <w:drawing>
                <wp:inline distT="0" distB="0" distL="0" distR="0" wp14:anchorId="60A35CF7" wp14:editId="76326930">
                  <wp:extent cx="402336" cy="54864"/>
                  <wp:effectExtent l="0" t="0" r="0" b="0"/>
                  <wp:docPr id="238986" name="Picture 238986"/>
                  <wp:cNvGraphicFramePr/>
                  <a:graphic xmlns:a="http://schemas.openxmlformats.org/drawingml/2006/main">
                    <a:graphicData uri="http://schemas.openxmlformats.org/drawingml/2006/picture">
                      <pic:pic xmlns:pic="http://schemas.openxmlformats.org/drawingml/2006/picture">
                        <pic:nvPicPr>
                          <pic:cNvPr id="238986" name="Picture 238986"/>
                          <pic:cNvPicPr/>
                        </pic:nvPicPr>
                        <pic:blipFill>
                          <a:blip r:embed="rId384"/>
                          <a:stretch>
                            <a:fillRect/>
                          </a:stretch>
                        </pic:blipFill>
                        <pic:spPr>
                          <a:xfrm>
                            <a:off x="0" y="0"/>
                            <a:ext cx="402336" cy="54864"/>
                          </a:xfrm>
                          <a:prstGeom prst="rect">
                            <a:avLst/>
                          </a:prstGeom>
                        </pic:spPr>
                      </pic:pic>
                    </a:graphicData>
                  </a:graphic>
                </wp:inline>
              </w:drawing>
            </w:r>
          </w:p>
        </w:tc>
        <w:tc>
          <w:tcPr>
            <w:tcW w:w="979" w:type="dxa"/>
            <w:tcBorders>
              <w:top w:val="single" w:sz="2" w:space="0" w:color="000000"/>
              <w:left w:val="single" w:sz="2" w:space="0" w:color="000000"/>
              <w:bottom w:val="single" w:sz="2" w:space="0" w:color="000000"/>
              <w:right w:val="single" w:sz="2" w:space="0" w:color="000000"/>
            </w:tcBorders>
          </w:tcPr>
          <w:p w14:paraId="7893BD5A" w14:textId="77777777" w:rsidR="00053D93" w:rsidRDefault="00053D93"/>
        </w:tc>
        <w:tc>
          <w:tcPr>
            <w:tcW w:w="770" w:type="dxa"/>
            <w:tcBorders>
              <w:top w:val="single" w:sz="2" w:space="0" w:color="000000"/>
              <w:left w:val="single" w:sz="2" w:space="0" w:color="000000"/>
              <w:bottom w:val="single" w:sz="2" w:space="0" w:color="000000"/>
              <w:right w:val="single" w:sz="2" w:space="0" w:color="000000"/>
            </w:tcBorders>
          </w:tcPr>
          <w:p w14:paraId="56D41D34"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2271494E" w14:textId="77777777" w:rsidR="00053D93" w:rsidRDefault="00260B75">
            <w:pPr>
              <w:ind w:left="338"/>
            </w:pPr>
            <w:r>
              <w:rPr>
                <w:sz w:val="12"/>
              </w:rPr>
              <w:t xml:space="preserve">419, 94222 </w:t>
            </w:r>
          </w:p>
        </w:tc>
        <w:tc>
          <w:tcPr>
            <w:tcW w:w="907" w:type="dxa"/>
            <w:tcBorders>
              <w:top w:val="single" w:sz="2" w:space="0" w:color="000000"/>
              <w:left w:val="single" w:sz="2" w:space="0" w:color="000000"/>
              <w:bottom w:val="single" w:sz="2" w:space="0" w:color="000000"/>
              <w:right w:val="nil"/>
            </w:tcBorders>
            <w:vAlign w:val="bottom"/>
          </w:tcPr>
          <w:p w14:paraId="6F160103" w14:textId="77777777" w:rsidR="00053D93" w:rsidRDefault="00260B75">
            <w:pPr>
              <w:ind w:left="14"/>
            </w:pPr>
            <w:r>
              <w:rPr>
                <w:sz w:val="14"/>
              </w:rPr>
              <w:t xml:space="preserve">"01 ecz </w:t>
            </w:r>
          </w:p>
        </w:tc>
        <w:tc>
          <w:tcPr>
            <w:tcW w:w="3348" w:type="dxa"/>
            <w:tcBorders>
              <w:top w:val="single" w:sz="2" w:space="0" w:color="000000"/>
              <w:left w:val="nil"/>
              <w:bottom w:val="single" w:sz="2" w:space="0" w:color="000000"/>
              <w:right w:val="single" w:sz="2" w:space="0" w:color="000000"/>
            </w:tcBorders>
          </w:tcPr>
          <w:p w14:paraId="3A31BB76" w14:textId="77777777" w:rsidR="00053D93" w:rsidRDefault="00260B75">
            <w:pPr>
              <w:ind w:left="-893"/>
            </w:pPr>
            <w:r>
              <w:rPr>
                <w:noProof/>
              </w:rPr>
              <mc:AlternateContent>
                <mc:Choice Requires="wpg">
                  <w:drawing>
                    <wp:inline distT="0" distB="0" distL="0" distR="0" wp14:anchorId="06FA4124" wp14:editId="49A1A85E">
                      <wp:extent cx="2546604" cy="288036"/>
                      <wp:effectExtent l="0" t="0" r="0" b="0"/>
                      <wp:docPr id="2306257" name="Group 2306257"/>
                      <wp:cNvGraphicFramePr/>
                      <a:graphic xmlns:a="http://schemas.openxmlformats.org/drawingml/2006/main">
                        <a:graphicData uri="http://schemas.microsoft.com/office/word/2010/wordprocessingGroup">
                          <wpg:wgp>
                            <wpg:cNvGrpSpPr/>
                            <wpg:grpSpPr>
                              <a:xfrm>
                                <a:off x="0" y="0"/>
                                <a:ext cx="2546604" cy="288036"/>
                                <a:chOff x="0" y="0"/>
                                <a:chExt cx="2546604" cy="288036"/>
                              </a:xfrm>
                            </wpg:grpSpPr>
                            <pic:pic xmlns:pic="http://schemas.openxmlformats.org/drawingml/2006/picture">
                              <pic:nvPicPr>
                                <pic:cNvPr id="2458230" name="Picture 2458230"/>
                                <pic:cNvPicPr/>
                              </pic:nvPicPr>
                              <pic:blipFill>
                                <a:blip r:embed="rId385"/>
                                <a:stretch>
                                  <a:fillRect/>
                                </a:stretch>
                              </pic:blipFill>
                              <pic:spPr>
                                <a:xfrm>
                                  <a:off x="0" y="0"/>
                                  <a:ext cx="2473452" cy="288036"/>
                                </a:xfrm>
                                <a:prstGeom prst="rect">
                                  <a:avLst/>
                                </a:prstGeom>
                              </pic:spPr>
                            </pic:pic>
                            <wps:wsp>
                              <wps:cNvPr id="231522" name="Rectangle 231522"/>
                              <wps:cNvSpPr/>
                              <wps:spPr>
                                <a:xfrm>
                                  <a:off x="2382012" y="137160"/>
                                  <a:ext cx="218908" cy="85131"/>
                                </a:xfrm>
                                <a:prstGeom prst="rect">
                                  <a:avLst/>
                                </a:prstGeom>
                                <a:ln>
                                  <a:noFill/>
                                </a:ln>
                              </wps:spPr>
                              <wps:txbx>
                                <w:txbxContent>
                                  <w:p w14:paraId="5B6CB548" w14:textId="77777777" w:rsidR="00053D93" w:rsidRDefault="00260B75">
                                    <w:r>
                                      <w:rPr>
                                        <w:sz w:val="14"/>
                                      </w:rPr>
                                      <w:t>evec</w:t>
                                    </w:r>
                                  </w:p>
                                </w:txbxContent>
                              </wps:txbx>
                              <wps:bodyPr horzOverflow="overflow" vert="horz" lIns="0" tIns="0" rIns="0" bIns="0" rtlCol="0">
                                <a:noAutofit/>
                              </wps:bodyPr>
                            </wps:wsp>
                          </wpg:wgp>
                        </a:graphicData>
                      </a:graphic>
                    </wp:inline>
                  </w:drawing>
                </mc:Choice>
                <mc:Fallback>
                  <w:pict>
                    <v:group w14:anchorId="06FA4124" id="Group 2306257" o:spid="_x0000_s1234" style="width:200.5pt;height:22.7pt;mso-position-horizontal-relative:char;mso-position-vertical-relative:line" coordsize="25466,28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">
                      <v:shape id="Picture 2458230" o:spid="_x0000_s1235" type="#_x0000_t75" style="position:absolute;width:2473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">
                        <v:imagedata r:id="rId386" o:title=""/>
                      </v:shape>
                      <v:rect id="Rectangle 231522" o:spid="_x0000_s1236" style="position:absolute;left:23820;top:1371;width:2189;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" filled="f" stroked="f">
                        <v:textbox inset="0,0,0,0">
                          <w:txbxContent>
                            <w:p w14:paraId="5B6CB548" w14:textId="77777777" w:rsidR="00053D93" w:rsidRDefault="00260B75">
                              <w:r>
                                <w:rPr>
                                  <w:sz w:val="14"/>
                                </w:rPr>
                                <w:t>evec</w:t>
                              </w:r>
                            </w:p>
                          </w:txbxContent>
                        </v:textbox>
                      </v:rect>
                      <w10:anchorlock/>
                    </v:group>
                  </w:pict>
                </mc:Fallback>
              </mc:AlternateContent>
            </w:r>
            <w:r>
              <w:rPr>
                <w:sz w:val="12"/>
              </w:rPr>
              <w:t>'asta O</w:t>
            </w:r>
          </w:p>
        </w:tc>
      </w:tr>
      <w:tr w:rsidR="00053D93" w14:paraId="2C286D37" w14:textId="77777777">
        <w:trPr>
          <w:trHeight w:val="553"/>
        </w:trPr>
        <w:tc>
          <w:tcPr>
            <w:tcW w:w="245" w:type="dxa"/>
            <w:tcBorders>
              <w:top w:val="single" w:sz="2" w:space="0" w:color="000000"/>
              <w:left w:val="single" w:sz="2" w:space="0" w:color="000000"/>
              <w:bottom w:val="single" w:sz="2" w:space="0" w:color="000000"/>
              <w:right w:val="single" w:sz="2" w:space="0" w:color="000000"/>
            </w:tcBorders>
          </w:tcPr>
          <w:p w14:paraId="6C395906" w14:textId="77777777" w:rsidR="00053D93" w:rsidRDefault="00053D93"/>
        </w:tc>
        <w:tc>
          <w:tcPr>
            <w:tcW w:w="274" w:type="dxa"/>
            <w:tcBorders>
              <w:top w:val="single" w:sz="2" w:space="0" w:color="000000"/>
              <w:left w:val="single" w:sz="2" w:space="0" w:color="000000"/>
              <w:bottom w:val="single" w:sz="2" w:space="0" w:color="000000"/>
              <w:right w:val="single" w:sz="2" w:space="0" w:color="000000"/>
            </w:tcBorders>
          </w:tcPr>
          <w:p w14:paraId="6F193696" w14:textId="77777777" w:rsidR="00053D93" w:rsidRDefault="00260B75">
            <w:pPr>
              <w:spacing w:after="300"/>
              <w:ind w:left="46"/>
            </w:pPr>
            <w:r>
              <w:rPr>
                <w:rFonts w:ascii="Times New Roman" w:eastAsia="Times New Roman" w:hAnsi="Times New Roman" w:cs="Times New Roman"/>
                <w:sz w:val="10"/>
              </w:rPr>
              <w:t>000</w:t>
            </w:r>
          </w:p>
          <w:p w14:paraId="354FF8A0" w14:textId="77777777" w:rsidR="00053D93" w:rsidRDefault="00260B75">
            <w:pPr>
              <w:ind w:left="39"/>
            </w:pPr>
            <w:r>
              <w:rPr>
                <w:rFonts w:ascii="Times New Roman" w:eastAsia="Times New Roman" w:hAnsi="Times New Roman" w:cs="Times New Roman"/>
                <w:sz w:val="12"/>
              </w:rPr>
              <w:t>000</w:t>
            </w:r>
          </w:p>
        </w:tc>
        <w:tc>
          <w:tcPr>
            <w:tcW w:w="238" w:type="dxa"/>
            <w:tcBorders>
              <w:top w:val="single" w:sz="2" w:space="0" w:color="000000"/>
              <w:left w:val="single" w:sz="2" w:space="0" w:color="000000"/>
              <w:bottom w:val="single" w:sz="2" w:space="0" w:color="000000"/>
              <w:right w:val="single" w:sz="2" w:space="0" w:color="000000"/>
            </w:tcBorders>
          </w:tcPr>
          <w:p w14:paraId="5801EDC3" w14:textId="77777777" w:rsidR="00053D93" w:rsidRDefault="00053D93"/>
        </w:tc>
        <w:tc>
          <w:tcPr>
            <w:tcW w:w="1090" w:type="dxa"/>
            <w:tcBorders>
              <w:top w:val="single" w:sz="2" w:space="0" w:color="000000"/>
              <w:left w:val="single" w:sz="2" w:space="0" w:color="000000"/>
              <w:bottom w:val="single" w:sz="2" w:space="0" w:color="000000"/>
              <w:right w:val="nil"/>
            </w:tcBorders>
          </w:tcPr>
          <w:p w14:paraId="5D0B314C" w14:textId="77777777" w:rsidR="00053D93" w:rsidRDefault="00260B75">
            <w:pPr>
              <w:ind w:left="17"/>
            </w:pPr>
            <w:r>
              <w:rPr>
                <w:noProof/>
              </w:rPr>
              <w:drawing>
                <wp:inline distT="0" distB="0" distL="0" distR="0" wp14:anchorId="59C4F105" wp14:editId="735F229B">
                  <wp:extent cx="681228" cy="324612"/>
                  <wp:effectExtent l="0" t="0" r="0" b="0"/>
                  <wp:docPr id="2458231" name="Picture 2458231"/>
                  <wp:cNvGraphicFramePr/>
                  <a:graphic xmlns:a="http://schemas.openxmlformats.org/drawingml/2006/main">
                    <a:graphicData uri="http://schemas.openxmlformats.org/drawingml/2006/picture">
                      <pic:pic xmlns:pic="http://schemas.openxmlformats.org/drawingml/2006/picture">
                        <pic:nvPicPr>
                          <pic:cNvPr id="2458231" name="Picture 2458231"/>
                          <pic:cNvPicPr/>
                        </pic:nvPicPr>
                        <pic:blipFill>
                          <a:blip r:embed="rId387"/>
                          <a:stretch>
                            <a:fillRect/>
                          </a:stretch>
                        </pic:blipFill>
                        <pic:spPr>
                          <a:xfrm>
                            <a:off x="0" y="0"/>
                            <a:ext cx="681228" cy="324612"/>
                          </a:xfrm>
                          <a:prstGeom prst="rect">
                            <a:avLst/>
                          </a:prstGeom>
                        </pic:spPr>
                      </pic:pic>
                    </a:graphicData>
                  </a:graphic>
                </wp:inline>
              </w:drawing>
            </w:r>
          </w:p>
        </w:tc>
        <w:tc>
          <w:tcPr>
            <w:tcW w:w="1188" w:type="dxa"/>
            <w:tcBorders>
              <w:top w:val="single" w:sz="2" w:space="0" w:color="000000"/>
              <w:left w:val="nil"/>
              <w:bottom w:val="single" w:sz="2" w:space="0" w:color="000000"/>
              <w:right w:val="single" w:sz="2" w:space="0" w:color="000000"/>
            </w:tcBorders>
          </w:tcPr>
          <w:p w14:paraId="116F1A30" w14:textId="77777777" w:rsidR="00053D93" w:rsidRDefault="00260B75">
            <w:r>
              <w:rPr>
                <w:noProof/>
              </w:rPr>
              <w:drawing>
                <wp:inline distT="0" distB="0" distL="0" distR="0" wp14:anchorId="23BF93B0" wp14:editId="079198B0">
                  <wp:extent cx="685800" cy="324612"/>
                  <wp:effectExtent l="0" t="0" r="0" b="0"/>
                  <wp:docPr id="2458233" name="Picture 2458233"/>
                  <wp:cNvGraphicFramePr/>
                  <a:graphic xmlns:a="http://schemas.openxmlformats.org/drawingml/2006/main">
                    <a:graphicData uri="http://schemas.openxmlformats.org/drawingml/2006/picture">
                      <pic:pic xmlns:pic="http://schemas.openxmlformats.org/drawingml/2006/picture">
                        <pic:nvPicPr>
                          <pic:cNvPr id="2458233" name="Picture 2458233"/>
                          <pic:cNvPicPr/>
                        </pic:nvPicPr>
                        <pic:blipFill>
                          <a:blip r:embed="rId388"/>
                          <a:stretch>
                            <a:fillRect/>
                          </a:stretch>
                        </pic:blipFill>
                        <pic:spPr>
                          <a:xfrm>
                            <a:off x="0" y="0"/>
                            <a:ext cx="685800" cy="324612"/>
                          </a:xfrm>
                          <a:prstGeom prst="rect">
                            <a:avLst/>
                          </a:prstGeom>
                        </pic:spPr>
                      </pic:pic>
                    </a:graphicData>
                  </a:graphic>
                </wp:inline>
              </w:drawing>
            </w:r>
          </w:p>
        </w:tc>
        <w:tc>
          <w:tcPr>
            <w:tcW w:w="979" w:type="dxa"/>
            <w:tcBorders>
              <w:top w:val="single" w:sz="2" w:space="0" w:color="000000"/>
              <w:left w:val="single" w:sz="2" w:space="0" w:color="000000"/>
              <w:bottom w:val="single" w:sz="2" w:space="0" w:color="000000"/>
              <w:right w:val="single" w:sz="2" w:space="0" w:color="000000"/>
            </w:tcBorders>
          </w:tcPr>
          <w:p w14:paraId="6E4C544A" w14:textId="77777777" w:rsidR="00053D93" w:rsidRDefault="00053D93"/>
        </w:tc>
        <w:tc>
          <w:tcPr>
            <w:tcW w:w="770" w:type="dxa"/>
            <w:tcBorders>
              <w:top w:val="single" w:sz="2" w:space="0" w:color="000000"/>
              <w:left w:val="single" w:sz="2" w:space="0" w:color="000000"/>
              <w:bottom w:val="single" w:sz="2" w:space="0" w:color="000000"/>
              <w:right w:val="single" w:sz="2" w:space="0" w:color="000000"/>
            </w:tcBorders>
          </w:tcPr>
          <w:p w14:paraId="014A8536"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22E51281" w14:textId="77777777" w:rsidR="00053D93" w:rsidRDefault="00053D93"/>
        </w:tc>
        <w:tc>
          <w:tcPr>
            <w:tcW w:w="4255" w:type="dxa"/>
            <w:gridSpan w:val="2"/>
            <w:tcBorders>
              <w:top w:val="single" w:sz="2" w:space="0" w:color="000000"/>
              <w:left w:val="single" w:sz="2" w:space="0" w:color="000000"/>
              <w:bottom w:val="single" w:sz="2" w:space="0" w:color="000000"/>
              <w:right w:val="single" w:sz="2" w:space="0" w:color="000000"/>
            </w:tcBorders>
          </w:tcPr>
          <w:p w14:paraId="4903A6F2" w14:textId="77777777" w:rsidR="00053D93" w:rsidRDefault="00053D93"/>
        </w:tc>
      </w:tr>
      <w:tr w:rsidR="00053D93" w14:paraId="65A4C54D" w14:textId="77777777">
        <w:trPr>
          <w:trHeight w:val="267"/>
        </w:trPr>
        <w:tc>
          <w:tcPr>
            <w:tcW w:w="245" w:type="dxa"/>
            <w:tcBorders>
              <w:top w:val="single" w:sz="2" w:space="0" w:color="000000"/>
              <w:left w:val="single" w:sz="2" w:space="0" w:color="000000"/>
              <w:bottom w:val="single" w:sz="2" w:space="0" w:color="000000"/>
              <w:right w:val="single" w:sz="2" w:space="0" w:color="000000"/>
            </w:tcBorders>
            <w:vAlign w:val="bottom"/>
          </w:tcPr>
          <w:p w14:paraId="25F2AA4D" w14:textId="77777777" w:rsidR="00053D93" w:rsidRDefault="00260B75">
            <w:pPr>
              <w:ind w:left="60"/>
            </w:pPr>
            <w:r>
              <w:rPr>
                <w:rFonts w:ascii="Times New Roman" w:eastAsia="Times New Roman" w:hAnsi="Times New Roman" w:cs="Times New Roman"/>
                <w:sz w:val="10"/>
              </w:rPr>
              <w:t>11</w:t>
            </w:r>
          </w:p>
        </w:tc>
        <w:tc>
          <w:tcPr>
            <w:tcW w:w="274" w:type="dxa"/>
            <w:tcBorders>
              <w:top w:val="single" w:sz="2" w:space="0" w:color="000000"/>
              <w:left w:val="single" w:sz="2" w:space="0" w:color="000000"/>
              <w:bottom w:val="single" w:sz="2" w:space="0" w:color="000000"/>
              <w:right w:val="single" w:sz="2" w:space="0" w:color="000000"/>
            </w:tcBorders>
          </w:tcPr>
          <w:p w14:paraId="697C2536" w14:textId="77777777" w:rsidR="00053D93" w:rsidRDefault="00053D93"/>
        </w:tc>
        <w:tc>
          <w:tcPr>
            <w:tcW w:w="238" w:type="dxa"/>
            <w:tcBorders>
              <w:top w:val="single" w:sz="2" w:space="0" w:color="000000"/>
              <w:left w:val="single" w:sz="2" w:space="0" w:color="000000"/>
              <w:bottom w:val="single" w:sz="2" w:space="0" w:color="000000"/>
              <w:right w:val="single" w:sz="2" w:space="0" w:color="000000"/>
            </w:tcBorders>
          </w:tcPr>
          <w:p w14:paraId="5AAC6F45" w14:textId="77777777" w:rsidR="00053D93" w:rsidRDefault="00260B75">
            <w:pPr>
              <w:ind w:left="32"/>
              <w:jc w:val="both"/>
            </w:pPr>
            <w:r>
              <w:rPr>
                <w:sz w:val="12"/>
              </w:rPr>
              <w:t>oco</w:t>
            </w:r>
          </w:p>
        </w:tc>
        <w:tc>
          <w:tcPr>
            <w:tcW w:w="1090" w:type="dxa"/>
            <w:tcBorders>
              <w:top w:val="single" w:sz="2" w:space="0" w:color="000000"/>
              <w:left w:val="single" w:sz="2" w:space="0" w:color="000000"/>
              <w:bottom w:val="single" w:sz="2" w:space="0" w:color="000000"/>
              <w:right w:val="nil"/>
            </w:tcBorders>
          </w:tcPr>
          <w:p w14:paraId="24357E10" w14:textId="77777777" w:rsidR="00053D93" w:rsidRDefault="00260B75">
            <w:pPr>
              <w:ind w:left="10"/>
            </w:pPr>
            <w:r>
              <w:rPr>
                <w:noProof/>
              </w:rPr>
              <w:drawing>
                <wp:inline distT="0" distB="0" distL="0" distR="0" wp14:anchorId="779B51EE" wp14:editId="1CA307EE">
                  <wp:extent cx="685800" cy="155448"/>
                  <wp:effectExtent l="0" t="0" r="0" b="0"/>
                  <wp:docPr id="2458235" name="Picture 2458235"/>
                  <wp:cNvGraphicFramePr/>
                  <a:graphic xmlns:a="http://schemas.openxmlformats.org/drawingml/2006/main">
                    <a:graphicData uri="http://schemas.openxmlformats.org/drawingml/2006/picture">
                      <pic:pic xmlns:pic="http://schemas.openxmlformats.org/drawingml/2006/picture">
                        <pic:nvPicPr>
                          <pic:cNvPr id="2458235" name="Picture 2458235"/>
                          <pic:cNvPicPr/>
                        </pic:nvPicPr>
                        <pic:blipFill>
                          <a:blip r:embed="rId389"/>
                          <a:stretch>
                            <a:fillRect/>
                          </a:stretch>
                        </pic:blipFill>
                        <pic:spPr>
                          <a:xfrm>
                            <a:off x="0" y="0"/>
                            <a:ext cx="685800" cy="155448"/>
                          </a:xfrm>
                          <a:prstGeom prst="rect">
                            <a:avLst/>
                          </a:prstGeom>
                        </pic:spPr>
                      </pic:pic>
                    </a:graphicData>
                  </a:graphic>
                </wp:inline>
              </w:drawing>
            </w:r>
          </w:p>
        </w:tc>
        <w:tc>
          <w:tcPr>
            <w:tcW w:w="1188" w:type="dxa"/>
            <w:tcBorders>
              <w:top w:val="single" w:sz="2" w:space="0" w:color="000000"/>
              <w:left w:val="nil"/>
              <w:bottom w:val="single" w:sz="2" w:space="0" w:color="000000"/>
              <w:right w:val="single" w:sz="2" w:space="0" w:color="000000"/>
            </w:tcBorders>
          </w:tcPr>
          <w:p w14:paraId="3331F70B" w14:textId="77777777" w:rsidR="00053D93" w:rsidRDefault="00053D93"/>
        </w:tc>
        <w:tc>
          <w:tcPr>
            <w:tcW w:w="979" w:type="dxa"/>
            <w:tcBorders>
              <w:top w:val="single" w:sz="2" w:space="0" w:color="000000"/>
              <w:left w:val="single" w:sz="2" w:space="0" w:color="000000"/>
              <w:bottom w:val="single" w:sz="2" w:space="0" w:color="000000"/>
              <w:right w:val="single" w:sz="2" w:space="0" w:color="000000"/>
            </w:tcBorders>
            <w:vAlign w:val="bottom"/>
          </w:tcPr>
          <w:p w14:paraId="1EDF2290" w14:textId="77777777" w:rsidR="00053D93" w:rsidRDefault="00260B75">
            <w:pPr>
              <w:ind w:right="43"/>
              <w:jc w:val="right"/>
            </w:pPr>
            <w:r>
              <w:rPr>
                <w:rFonts w:ascii="Times New Roman" w:eastAsia="Times New Roman" w:hAnsi="Times New Roman" w:cs="Times New Roman"/>
                <w:sz w:val="10"/>
              </w:rPr>
              <w:t>491.934,60800</w:t>
            </w:r>
          </w:p>
        </w:tc>
        <w:tc>
          <w:tcPr>
            <w:tcW w:w="770" w:type="dxa"/>
            <w:tcBorders>
              <w:top w:val="single" w:sz="2" w:space="0" w:color="000000"/>
              <w:left w:val="single" w:sz="2" w:space="0" w:color="000000"/>
              <w:bottom w:val="single" w:sz="2" w:space="0" w:color="000000"/>
              <w:right w:val="single" w:sz="2" w:space="0" w:color="000000"/>
            </w:tcBorders>
          </w:tcPr>
          <w:p w14:paraId="713D9F50" w14:textId="77777777" w:rsidR="00053D93" w:rsidRDefault="00260B75">
            <w:pPr>
              <w:ind w:left="108"/>
            </w:pPr>
            <w:r>
              <w:rPr>
                <w:noProof/>
              </w:rPr>
              <w:drawing>
                <wp:inline distT="0" distB="0" distL="0" distR="0" wp14:anchorId="357401AA" wp14:editId="3E70A62F">
                  <wp:extent cx="393192" cy="146304"/>
                  <wp:effectExtent l="0" t="0" r="0" b="0"/>
                  <wp:docPr id="238827" name="Picture 238827"/>
                  <wp:cNvGraphicFramePr/>
                  <a:graphic xmlns:a="http://schemas.openxmlformats.org/drawingml/2006/main">
                    <a:graphicData uri="http://schemas.openxmlformats.org/drawingml/2006/picture">
                      <pic:pic xmlns:pic="http://schemas.openxmlformats.org/drawingml/2006/picture">
                        <pic:nvPicPr>
                          <pic:cNvPr id="238827" name="Picture 238827"/>
                          <pic:cNvPicPr/>
                        </pic:nvPicPr>
                        <pic:blipFill>
                          <a:blip r:embed="rId390"/>
                          <a:stretch>
                            <a:fillRect/>
                          </a:stretch>
                        </pic:blipFill>
                        <pic:spPr>
                          <a:xfrm>
                            <a:off x="0" y="0"/>
                            <a:ext cx="393192" cy="146304"/>
                          </a:xfrm>
                          <a:prstGeom prst="rect">
                            <a:avLst/>
                          </a:prstGeom>
                        </pic:spPr>
                      </pic:pic>
                    </a:graphicData>
                  </a:graphic>
                </wp:inline>
              </w:drawing>
            </w:r>
          </w:p>
        </w:tc>
        <w:tc>
          <w:tcPr>
            <w:tcW w:w="972" w:type="dxa"/>
            <w:tcBorders>
              <w:top w:val="single" w:sz="2" w:space="0" w:color="000000"/>
              <w:left w:val="single" w:sz="2" w:space="0" w:color="000000"/>
              <w:bottom w:val="single" w:sz="2" w:space="0" w:color="000000"/>
              <w:right w:val="single" w:sz="2" w:space="0" w:color="000000"/>
            </w:tcBorders>
          </w:tcPr>
          <w:p w14:paraId="6415B852" w14:textId="77777777" w:rsidR="00053D93" w:rsidRDefault="00260B75">
            <w:pPr>
              <w:ind w:right="43"/>
              <w:jc w:val="right"/>
            </w:pPr>
            <w:r>
              <w:rPr>
                <w:sz w:val="10"/>
              </w:rPr>
              <w:t>z. 150.072.323 oa</w:t>
            </w:r>
          </w:p>
          <w:p w14:paraId="304D1029" w14:textId="77777777" w:rsidR="00053D93" w:rsidRDefault="00260B75">
            <w:pPr>
              <w:ind w:right="43"/>
              <w:jc w:val="right"/>
            </w:pPr>
            <w:r>
              <w:rPr>
                <w:sz w:val="10"/>
              </w:rPr>
              <w:t>509.904,679.cn</w:t>
            </w:r>
          </w:p>
        </w:tc>
        <w:tc>
          <w:tcPr>
            <w:tcW w:w="4255" w:type="dxa"/>
            <w:gridSpan w:val="2"/>
            <w:tcBorders>
              <w:top w:val="single" w:sz="2" w:space="0" w:color="000000"/>
              <w:left w:val="single" w:sz="2" w:space="0" w:color="000000"/>
              <w:bottom w:val="single" w:sz="2" w:space="0" w:color="000000"/>
              <w:right w:val="single" w:sz="2" w:space="0" w:color="000000"/>
            </w:tcBorders>
          </w:tcPr>
          <w:p w14:paraId="1771BDBA" w14:textId="77777777" w:rsidR="00053D93" w:rsidRDefault="00260B75">
            <w:pPr>
              <w:tabs>
                <w:tab w:val="center" w:pos="936"/>
                <w:tab w:val="center" w:pos="1285"/>
                <w:tab w:val="center" w:pos="1836"/>
                <w:tab w:val="center" w:pos="2761"/>
              </w:tabs>
            </w:pPr>
            <w:r>
              <w:rPr>
                <w:sz w:val="10"/>
              </w:rPr>
              <w:t xml:space="preserve">rrmc.iarriz•nto </w:t>
            </w:r>
            <w:r>
              <w:rPr>
                <w:sz w:val="10"/>
              </w:rPr>
              <w:tab/>
              <w:t xml:space="preserve">'e </w:t>
            </w:r>
            <w:r>
              <w:rPr>
                <w:sz w:val="10"/>
              </w:rPr>
              <w:tab/>
              <w:t xml:space="preserve">O </w:t>
            </w:r>
            <w:r>
              <w:rPr>
                <w:sz w:val="10"/>
              </w:rPr>
              <w:tab/>
              <w:t xml:space="preserve">pe </w:t>
            </w:r>
            <w:r>
              <w:rPr>
                <w:sz w:val="10"/>
              </w:rPr>
              <w:tab/>
              <w:t>rnarc.ã•ri-nto pua- B</w:t>
            </w:r>
          </w:p>
          <w:p w14:paraId="01885154" w14:textId="77777777" w:rsidR="00053D93" w:rsidRDefault="00260B75">
            <w:pPr>
              <w:tabs>
                <w:tab w:val="center" w:pos="2160"/>
                <w:tab w:val="center" w:pos="3528"/>
              </w:tabs>
            </w:pPr>
            <w:r>
              <w:rPr>
                <w:sz w:val="12"/>
              </w:rPr>
              <w:t xml:space="preserve">%atsnnienla de Edichs </w:t>
            </w:r>
            <w:r>
              <w:rPr>
                <w:sz w:val="12"/>
              </w:rPr>
              <w:tab/>
              <w:t xml:space="preserve">Rogrzra de üihs Escolares y </w:t>
            </w:r>
            <w:r>
              <w:rPr>
                <w:sz w:val="12"/>
              </w:rPr>
              <w:tab/>
              <w:t>de pu#tras</w:t>
            </w:r>
          </w:p>
        </w:tc>
      </w:tr>
    </w:tbl>
    <w:p w14:paraId="7D32073E" w14:textId="77777777" w:rsidR="00053D93" w:rsidRDefault="00260B75">
      <w:pPr>
        <w:tabs>
          <w:tab w:val="center" w:pos="3920"/>
          <w:tab w:val="center" w:pos="6293"/>
        </w:tabs>
        <w:spacing w:after="145" w:line="265" w:lineRule="auto"/>
      </w:pPr>
      <w:r>
        <w:rPr>
          <w:noProof/>
        </w:rPr>
        <w:lastRenderedPageBreak/>
        <w:drawing>
          <wp:anchor distT="0" distB="0" distL="114300" distR="114300" simplePos="0" relativeHeight="251828224" behindDoc="0" locked="0" layoutInCell="1" allowOverlap="0" wp14:anchorId="02A4213C" wp14:editId="6D9BAB33">
            <wp:simplePos x="0" y="0"/>
            <wp:positionH relativeFrom="column">
              <wp:posOffset>-1426463</wp:posOffset>
            </wp:positionH>
            <wp:positionV relativeFrom="paragraph">
              <wp:posOffset>-2702798</wp:posOffset>
            </wp:positionV>
            <wp:extent cx="9651492" cy="6487669"/>
            <wp:effectExtent l="0" t="0" r="0" b="0"/>
            <wp:wrapSquare wrapText="bothSides"/>
            <wp:docPr id="2458219" name="Picture 2458219"/>
            <wp:cNvGraphicFramePr/>
            <a:graphic xmlns:a="http://schemas.openxmlformats.org/drawingml/2006/main">
              <a:graphicData uri="http://schemas.openxmlformats.org/drawingml/2006/picture">
                <pic:pic xmlns:pic="http://schemas.openxmlformats.org/drawingml/2006/picture">
                  <pic:nvPicPr>
                    <pic:cNvPr id="2458219" name="Picture 2458219"/>
                    <pic:cNvPicPr/>
                  </pic:nvPicPr>
                  <pic:blipFill>
                    <a:blip r:embed="rId391"/>
                    <a:stretch>
                      <a:fillRect/>
                    </a:stretch>
                  </pic:blipFill>
                  <pic:spPr>
                    <a:xfrm>
                      <a:off x="0" y="0"/>
                      <a:ext cx="9651492" cy="6487669"/>
                    </a:xfrm>
                    <a:prstGeom prst="rect">
                      <a:avLst/>
                    </a:prstGeom>
                  </pic:spPr>
                </pic:pic>
              </a:graphicData>
            </a:graphic>
          </wp:anchor>
        </w:drawing>
      </w:r>
      <w:r>
        <w:rPr>
          <w:noProof/>
        </w:rPr>
        <mc:AlternateContent>
          <mc:Choice Requires="wpg">
            <w:drawing>
              <wp:anchor distT="0" distB="0" distL="114300" distR="114300" simplePos="0" relativeHeight="251829248" behindDoc="0" locked="0" layoutInCell="1" allowOverlap="1" wp14:anchorId="0803AA69" wp14:editId="0FAD3153">
                <wp:simplePos x="0" y="0"/>
                <wp:positionH relativeFrom="column">
                  <wp:posOffset>402336</wp:posOffset>
                </wp:positionH>
                <wp:positionV relativeFrom="paragraph">
                  <wp:posOffset>232426</wp:posOffset>
                </wp:positionV>
                <wp:extent cx="3337560" cy="9144"/>
                <wp:effectExtent l="0" t="0" r="0" b="0"/>
                <wp:wrapSquare wrapText="bothSides"/>
                <wp:docPr id="2458238" name="Group 2458238"/>
                <wp:cNvGraphicFramePr/>
                <a:graphic xmlns:a="http://schemas.openxmlformats.org/drawingml/2006/main">
                  <a:graphicData uri="http://schemas.microsoft.com/office/word/2010/wordprocessingGroup">
                    <wpg:wgp>
                      <wpg:cNvGrpSpPr/>
                      <wpg:grpSpPr>
                        <a:xfrm>
                          <a:off x="0" y="0"/>
                          <a:ext cx="3337560" cy="9144"/>
                          <a:chOff x="0" y="0"/>
                          <a:chExt cx="3337560" cy="9144"/>
                        </a:xfrm>
                      </wpg:grpSpPr>
                      <wps:wsp>
                        <wps:cNvPr id="2458237" name="Shape 2458237"/>
                        <wps:cNvSpPr/>
                        <wps:spPr>
                          <a:xfrm>
                            <a:off x="0" y="0"/>
                            <a:ext cx="3337560" cy="9144"/>
                          </a:xfrm>
                          <a:custGeom>
                            <a:avLst/>
                            <a:gdLst/>
                            <a:ahLst/>
                            <a:cxnLst/>
                            <a:rect l="0" t="0" r="0" b="0"/>
                            <a:pathLst>
                              <a:path w="3337560" h="9144">
                                <a:moveTo>
                                  <a:pt x="0" y="4572"/>
                                </a:moveTo>
                                <a:lnTo>
                                  <a:pt x="333756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238" style="width:262.8pt;height:0.720016pt;position:absolute;mso-position-horizontal-relative:text;mso-position-horizontal:absolute;margin-left:31.68pt;mso-position-vertical-relative:text;margin-top:18.3012pt;" coordsize="33375,91">
                <v:shape id="Shape 2458237" style="position:absolute;width:33375;height:91;left:0;top:0;" coordsize="3337560,9144" path="m0,4572l3337560,4572">
                  <v:stroke weight="0.720016pt" endcap="flat" joinstyle="miter" miterlimit="1" on="true" color="#000000"/>
                  <v:fill on="false" color="#000000"/>
                </v:shape>
                <w10:wrap type="square"/>
              </v:group>
            </w:pict>
          </mc:Fallback>
        </mc:AlternateContent>
      </w:r>
      <w:r>
        <w:rPr>
          <w:sz w:val="14"/>
        </w:rPr>
        <w:tab/>
        <w:t xml:space="preserve">AnáliSs y </w:t>
      </w:r>
      <w:r>
        <w:rPr>
          <w:sz w:val="14"/>
        </w:rPr>
        <w:tab/>
        <w:t>Variaciones</w:t>
      </w:r>
    </w:p>
    <w:p w14:paraId="034CCCE3" w14:textId="77777777" w:rsidR="00053D93" w:rsidRDefault="00260B75">
      <w:pPr>
        <w:tabs>
          <w:tab w:val="center" w:pos="1141"/>
          <w:tab w:val="center" w:pos="7805"/>
          <w:tab w:val="center" w:pos="9191"/>
        </w:tabs>
        <w:spacing w:after="3" w:line="265" w:lineRule="auto"/>
      </w:pPr>
      <w:r>
        <w:rPr>
          <w:sz w:val="14"/>
        </w:rPr>
        <w:lastRenderedPageBreak/>
        <w:tab/>
        <w:t>Entidad: MNSTEREO DE EDI.mClôN</w:t>
      </w:r>
      <w:r>
        <w:rPr>
          <w:sz w:val="14"/>
        </w:rPr>
        <w:tab/>
        <w:t>Código Informe</w:t>
      </w:r>
      <w:r>
        <w:rPr>
          <w:sz w:val="14"/>
        </w:rPr>
        <w:tab/>
        <w:t>CRCD8</w:t>
      </w:r>
    </w:p>
    <w:p w14:paraId="345CE194" w14:textId="77777777" w:rsidR="00053D93" w:rsidRDefault="00260B75">
      <w:pPr>
        <w:spacing w:before="245" w:after="271" w:line="265" w:lineRule="auto"/>
        <w:ind w:left="154" w:hanging="10"/>
      </w:pPr>
      <w:r>
        <w:rPr>
          <w:sz w:val="14"/>
        </w:rPr>
        <w:t>Periodo: ENERO-OICIEMBRE</w:t>
      </w:r>
    </w:p>
    <w:p w14:paraId="6A46BEAF" w14:textId="77777777" w:rsidR="00053D93" w:rsidRDefault="00260B75">
      <w:pPr>
        <w:spacing w:before="921" w:after="0"/>
        <w:ind w:right="3701"/>
        <w:jc w:val="center"/>
      </w:pPr>
      <w:r>
        <w:rPr>
          <w:rFonts w:ascii="Times New Roman" w:eastAsia="Times New Roman" w:hAnsi="Times New Roman" w:cs="Times New Roman"/>
          <w:sz w:val="66"/>
        </w:rPr>
        <w:t>o</w:t>
      </w:r>
    </w:p>
    <w:tbl>
      <w:tblPr>
        <w:tblStyle w:val="TableGrid"/>
        <w:tblpPr w:vertAnchor="text" w:tblpX="300" w:tblpY="2681"/>
        <w:tblOverlap w:val="never"/>
        <w:tblW w:w="10450" w:type="dxa"/>
        <w:tblInd w:w="0" w:type="dxa"/>
        <w:tblLook w:val="04A0" w:firstRow="1" w:lastRow="0" w:firstColumn="1" w:lastColumn="0" w:noHBand="0" w:noVBand="1"/>
      </w:tblPr>
      <w:tblGrid>
        <w:gridCol w:w="259"/>
        <w:gridCol w:w="269"/>
        <w:gridCol w:w="252"/>
        <w:gridCol w:w="475"/>
        <w:gridCol w:w="1678"/>
        <w:gridCol w:w="228"/>
        <w:gridCol w:w="1032"/>
        <w:gridCol w:w="792"/>
        <w:gridCol w:w="1008"/>
        <w:gridCol w:w="4198"/>
        <w:gridCol w:w="259"/>
      </w:tblGrid>
      <w:tr w:rsidR="00053D93" w14:paraId="29657958" w14:textId="77777777">
        <w:trPr>
          <w:trHeight w:val="231"/>
        </w:trPr>
        <w:tc>
          <w:tcPr>
            <w:tcW w:w="259" w:type="dxa"/>
            <w:tcBorders>
              <w:top w:val="single" w:sz="2" w:space="0" w:color="000000"/>
              <w:left w:val="single" w:sz="2" w:space="0" w:color="000000"/>
              <w:bottom w:val="single" w:sz="2" w:space="0" w:color="000000"/>
              <w:right w:val="single" w:sz="2" w:space="0" w:color="000000"/>
            </w:tcBorders>
          </w:tcPr>
          <w:p w14:paraId="370E4133" w14:textId="77777777" w:rsidR="00053D93" w:rsidRDefault="00053D93"/>
        </w:tc>
        <w:tc>
          <w:tcPr>
            <w:tcW w:w="269" w:type="dxa"/>
            <w:tcBorders>
              <w:top w:val="single" w:sz="2" w:space="0" w:color="000000"/>
              <w:left w:val="single" w:sz="2" w:space="0" w:color="000000"/>
              <w:bottom w:val="single" w:sz="2" w:space="0" w:color="000000"/>
              <w:right w:val="single" w:sz="2" w:space="0" w:color="000000"/>
            </w:tcBorders>
          </w:tcPr>
          <w:p w14:paraId="38E82482" w14:textId="77777777" w:rsidR="00053D93" w:rsidRDefault="00053D93"/>
        </w:tc>
        <w:tc>
          <w:tcPr>
            <w:tcW w:w="252" w:type="dxa"/>
            <w:tcBorders>
              <w:top w:val="single" w:sz="2" w:space="0" w:color="000000"/>
              <w:left w:val="single" w:sz="2" w:space="0" w:color="000000"/>
              <w:bottom w:val="single" w:sz="2" w:space="0" w:color="000000"/>
              <w:right w:val="single" w:sz="2" w:space="0" w:color="000000"/>
            </w:tcBorders>
          </w:tcPr>
          <w:p w14:paraId="3CCD670B" w14:textId="77777777" w:rsidR="00053D93" w:rsidRDefault="00053D93"/>
        </w:tc>
        <w:tc>
          <w:tcPr>
            <w:tcW w:w="475" w:type="dxa"/>
            <w:tcBorders>
              <w:top w:val="single" w:sz="2" w:space="0" w:color="000000"/>
              <w:left w:val="single" w:sz="2" w:space="0" w:color="000000"/>
              <w:bottom w:val="single" w:sz="2" w:space="0" w:color="000000"/>
              <w:right w:val="nil"/>
            </w:tcBorders>
          </w:tcPr>
          <w:p w14:paraId="2EF6E657" w14:textId="77777777" w:rsidR="00053D93" w:rsidRDefault="00053D93"/>
        </w:tc>
        <w:tc>
          <w:tcPr>
            <w:tcW w:w="1678" w:type="dxa"/>
            <w:tcBorders>
              <w:top w:val="single" w:sz="2" w:space="0" w:color="000000"/>
              <w:left w:val="nil"/>
              <w:bottom w:val="single" w:sz="2" w:space="0" w:color="000000"/>
              <w:right w:val="nil"/>
            </w:tcBorders>
          </w:tcPr>
          <w:p w14:paraId="50EF6D2C" w14:textId="77777777" w:rsidR="00053D93" w:rsidRDefault="00260B75">
            <w:pPr>
              <w:ind w:right="58"/>
              <w:jc w:val="center"/>
            </w:pPr>
            <w:r>
              <w:rPr>
                <w:sz w:val="20"/>
              </w:rPr>
              <w:t>cates"</w:t>
            </w:r>
          </w:p>
        </w:tc>
        <w:tc>
          <w:tcPr>
            <w:tcW w:w="228" w:type="dxa"/>
            <w:tcBorders>
              <w:top w:val="single" w:sz="2" w:space="0" w:color="000000"/>
              <w:left w:val="nil"/>
              <w:bottom w:val="single" w:sz="2" w:space="0" w:color="000000"/>
              <w:right w:val="single" w:sz="2" w:space="0" w:color="000000"/>
            </w:tcBorders>
          </w:tcPr>
          <w:p w14:paraId="0C3C1B76"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78F6359C" w14:textId="77777777" w:rsidR="00053D93" w:rsidRDefault="00053D93"/>
        </w:tc>
        <w:tc>
          <w:tcPr>
            <w:tcW w:w="792" w:type="dxa"/>
            <w:tcBorders>
              <w:top w:val="single" w:sz="2" w:space="0" w:color="000000"/>
              <w:left w:val="single" w:sz="2" w:space="0" w:color="000000"/>
              <w:bottom w:val="single" w:sz="2" w:space="0" w:color="000000"/>
              <w:right w:val="single" w:sz="2" w:space="0" w:color="000000"/>
            </w:tcBorders>
          </w:tcPr>
          <w:p w14:paraId="1873A746"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tcPr>
          <w:p w14:paraId="27E4D6D0" w14:textId="77777777" w:rsidR="00053D93" w:rsidRDefault="00260B75">
            <w:pPr>
              <w:ind w:left="36"/>
              <w:jc w:val="center"/>
            </w:pPr>
            <w:r>
              <w:rPr>
                <w:rFonts w:ascii="Times New Roman" w:eastAsia="Times New Roman" w:hAnsi="Times New Roman" w:cs="Times New Roman"/>
                <w:sz w:val="12"/>
              </w:rPr>
              <w:t>Wgente</w:t>
            </w:r>
          </w:p>
        </w:tc>
        <w:tc>
          <w:tcPr>
            <w:tcW w:w="4198" w:type="dxa"/>
            <w:tcBorders>
              <w:top w:val="single" w:sz="2" w:space="0" w:color="000000"/>
              <w:left w:val="single" w:sz="2" w:space="0" w:color="000000"/>
              <w:bottom w:val="single" w:sz="2" w:space="0" w:color="000000"/>
              <w:right w:val="nil"/>
            </w:tcBorders>
          </w:tcPr>
          <w:p w14:paraId="1111ADC0" w14:textId="77777777" w:rsidR="00053D93" w:rsidRDefault="00260B75">
            <w:pPr>
              <w:tabs>
                <w:tab w:val="center" w:pos="544"/>
                <w:tab w:val="center" w:pos="1573"/>
                <w:tab w:val="center" w:pos="3654"/>
              </w:tabs>
            </w:pPr>
            <w:r>
              <w:rPr>
                <w:sz w:val="14"/>
              </w:rPr>
              <w:tab/>
              <w:t xml:space="preserve">. </w:t>
            </w:r>
            <w:r>
              <w:rPr>
                <w:sz w:val="14"/>
              </w:rPr>
              <w:tab/>
              <w:t xml:space="preserve">yjusüIEacbnes ias </w:t>
            </w:r>
            <w:r>
              <w:rPr>
                <w:sz w:val="14"/>
              </w:rPr>
              <w:tab/>
              <w:t>friancbraS -</w:t>
            </w:r>
          </w:p>
        </w:tc>
        <w:tc>
          <w:tcPr>
            <w:tcW w:w="259" w:type="dxa"/>
            <w:tcBorders>
              <w:top w:val="single" w:sz="2" w:space="0" w:color="000000"/>
              <w:left w:val="nil"/>
              <w:bottom w:val="single" w:sz="2" w:space="0" w:color="000000"/>
              <w:right w:val="single" w:sz="2" w:space="0" w:color="000000"/>
            </w:tcBorders>
          </w:tcPr>
          <w:p w14:paraId="6E435D76" w14:textId="77777777" w:rsidR="00053D93" w:rsidRDefault="00053D93"/>
        </w:tc>
      </w:tr>
      <w:tr w:rsidR="00053D93" w14:paraId="1F4259BD" w14:textId="77777777">
        <w:trPr>
          <w:trHeight w:val="154"/>
        </w:trPr>
        <w:tc>
          <w:tcPr>
            <w:tcW w:w="259" w:type="dxa"/>
            <w:tcBorders>
              <w:top w:val="single" w:sz="2" w:space="0" w:color="000000"/>
              <w:left w:val="single" w:sz="2" w:space="0" w:color="000000"/>
              <w:bottom w:val="single" w:sz="2" w:space="0" w:color="000000"/>
              <w:right w:val="single" w:sz="2" w:space="0" w:color="000000"/>
            </w:tcBorders>
          </w:tcPr>
          <w:p w14:paraId="34ECFA03" w14:textId="77777777" w:rsidR="00053D93" w:rsidRDefault="00260B75">
            <w:pPr>
              <w:ind w:left="20"/>
              <w:jc w:val="center"/>
            </w:pPr>
            <w:r>
              <w:rPr>
                <w:rFonts w:ascii="Times New Roman" w:eastAsia="Times New Roman" w:hAnsi="Times New Roman" w:cs="Times New Roman"/>
                <w:sz w:val="12"/>
              </w:rPr>
              <w:t>12</w:t>
            </w:r>
          </w:p>
        </w:tc>
        <w:tc>
          <w:tcPr>
            <w:tcW w:w="269" w:type="dxa"/>
            <w:tcBorders>
              <w:top w:val="single" w:sz="2" w:space="0" w:color="000000"/>
              <w:left w:val="single" w:sz="2" w:space="0" w:color="000000"/>
              <w:bottom w:val="single" w:sz="2" w:space="0" w:color="000000"/>
              <w:right w:val="single" w:sz="2" w:space="0" w:color="000000"/>
            </w:tcBorders>
          </w:tcPr>
          <w:p w14:paraId="02402527" w14:textId="77777777" w:rsidR="00053D93" w:rsidRDefault="00260B75">
            <w:pPr>
              <w:ind w:left="60"/>
            </w:pPr>
            <w:r>
              <w:rPr>
                <w:rFonts w:ascii="Times New Roman" w:eastAsia="Times New Roman" w:hAnsi="Times New Roman" w:cs="Times New Roman"/>
                <w:sz w:val="12"/>
              </w:rPr>
              <w:t>000</w:t>
            </w:r>
          </w:p>
        </w:tc>
        <w:tc>
          <w:tcPr>
            <w:tcW w:w="252" w:type="dxa"/>
            <w:tcBorders>
              <w:top w:val="single" w:sz="2" w:space="0" w:color="000000"/>
              <w:left w:val="single" w:sz="2" w:space="0" w:color="000000"/>
              <w:bottom w:val="single" w:sz="2" w:space="0" w:color="000000"/>
              <w:right w:val="single" w:sz="2" w:space="0" w:color="000000"/>
            </w:tcBorders>
          </w:tcPr>
          <w:p w14:paraId="71DDF765" w14:textId="77777777" w:rsidR="00053D93" w:rsidRDefault="00260B75">
            <w:pPr>
              <w:ind w:left="58"/>
            </w:pPr>
            <w:r>
              <w:rPr>
                <w:rFonts w:ascii="Times New Roman" w:eastAsia="Times New Roman" w:hAnsi="Times New Roman" w:cs="Times New Roman"/>
                <w:sz w:val="10"/>
              </w:rPr>
              <w:t>000</w:t>
            </w:r>
          </w:p>
        </w:tc>
        <w:tc>
          <w:tcPr>
            <w:tcW w:w="475" w:type="dxa"/>
            <w:tcBorders>
              <w:top w:val="single" w:sz="2" w:space="0" w:color="000000"/>
              <w:left w:val="single" w:sz="2" w:space="0" w:color="000000"/>
              <w:bottom w:val="single" w:sz="2" w:space="0" w:color="000000"/>
              <w:right w:val="nil"/>
            </w:tcBorders>
          </w:tcPr>
          <w:p w14:paraId="6B68E0AB" w14:textId="77777777" w:rsidR="00053D93" w:rsidRDefault="00260B75">
            <w:pPr>
              <w:ind w:left="36"/>
              <w:jc w:val="both"/>
            </w:pPr>
            <w:r>
              <w:rPr>
                <w:sz w:val="26"/>
              </w:rPr>
              <w:t xml:space="preserve">um </w:t>
            </w:r>
          </w:p>
        </w:tc>
        <w:tc>
          <w:tcPr>
            <w:tcW w:w="1678" w:type="dxa"/>
            <w:tcBorders>
              <w:top w:val="single" w:sz="2" w:space="0" w:color="000000"/>
              <w:left w:val="nil"/>
              <w:bottom w:val="single" w:sz="2" w:space="0" w:color="000000"/>
              <w:right w:val="nil"/>
            </w:tcBorders>
          </w:tcPr>
          <w:p w14:paraId="317FDE28" w14:textId="77777777" w:rsidR="00053D93" w:rsidRDefault="00260B75">
            <w:pPr>
              <w:ind w:left="101"/>
            </w:pPr>
            <w:r>
              <w:rPr>
                <w:sz w:val="12"/>
              </w:rPr>
              <w:t>ESCOLA R [E</w:t>
            </w:r>
          </w:p>
        </w:tc>
        <w:tc>
          <w:tcPr>
            <w:tcW w:w="228" w:type="dxa"/>
            <w:tcBorders>
              <w:top w:val="single" w:sz="2" w:space="0" w:color="000000"/>
              <w:left w:val="nil"/>
              <w:bottom w:val="single" w:sz="2" w:space="0" w:color="000000"/>
              <w:right w:val="single" w:sz="2" w:space="0" w:color="000000"/>
            </w:tcBorders>
          </w:tcPr>
          <w:p w14:paraId="117A7CE0"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231556C6" w14:textId="77777777" w:rsidR="00053D93" w:rsidRDefault="00053D93"/>
        </w:tc>
        <w:tc>
          <w:tcPr>
            <w:tcW w:w="792" w:type="dxa"/>
            <w:tcBorders>
              <w:top w:val="single" w:sz="2" w:space="0" w:color="000000"/>
              <w:left w:val="single" w:sz="2" w:space="0" w:color="000000"/>
              <w:bottom w:val="single" w:sz="2" w:space="0" w:color="000000"/>
              <w:right w:val="single" w:sz="2" w:space="0" w:color="000000"/>
            </w:tcBorders>
          </w:tcPr>
          <w:p w14:paraId="04AEA2A8" w14:textId="77777777" w:rsidR="00053D93" w:rsidRDefault="00260B75">
            <w:pPr>
              <w:ind w:right="14"/>
              <w:jc w:val="right"/>
            </w:pPr>
            <w:r>
              <w:rPr>
                <w:sz w:val="12"/>
              </w:rPr>
              <w:t>276.2A034.oo</w:t>
            </w:r>
          </w:p>
        </w:tc>
        <w:tc>
          <w:tcPr>
            <w:tcW w:w="1008" w:type="dxa"/>
            <w:tcBorders>
              <w:top w:val="single" w:sz="2" w:space="0" w:color="000000"/>
              <w:left w:val="single" w:sz="2" w:space="0" w:color="000000"/>
              <w:bottom w:val="single" w:sz="2" w:space="0" w:color="000000"/>
              <w:right w:val="single" w:sz="2" w:space="0" w:color="000000"/>
            </w:tcBorders>
          </w:tcPr>
          <w:p w14:paraId="3AA2A767" w14:textId="77777777" w:rsidR="00053D93" w:rsidRDefault="00260B75">
            <w:pPr>
              <w:ind w:right="7"/>
              <w:jc w:val="right"/>
            </w:pPr>
            <w:r>
              <w:rPr>
                <w:rFonts w:ascii="Times New Roman" w:eastAsia="Times New Roman" w:hAnsi="Times New Roman" w:cs="Times New Roman"/>
                <w:sz w:val="10"/>
              </w:rPr>
              <w:t>1.043.179.421.00</w:t>
            </w:r>
          </w:p>
        </w:tc>
        <w:tc>
          <w:tcPr>
            <w:tcW w:w="4198" w:type="dxa"/>
            <w:vMerge w:val="restart"/>
            <w:tcBorders>
              <w:top w:val="single" w:sz="2" w:space="0" w:color="000000"/>
              <w:left w:val="single" w:sz="2" w:space="0" w:color="000000"/>
              <w:bottom w:val="single" w:sz="2" w:space="0" w:color="000000"/>
              <w:right w:val="nil"/>
            </w:tcBorders>
            <w:vAlign w:val="center"/>
          </w:tcPr>
          <w:p w14:paraId="0CFCDFE1" w14:textId="77777777" w:rsidR="00053D93" w:rsidRDefault="00260B75">
            <w:pPr>
              <w:spacing w:line="307" w:lineRule="auto"/>
              <w:ind w:left="655" w:right="202" w:hanging="619"/>
            </w:pPr>
            <w:r>
              <w:rPr>
                <w:sz w:val="12"/>
              </w:rPr>
              <w:t xml:space="preserve">Fnanáam'nlo </w:t>
            </w:r>
            <w:r>
              <w:rPr>
                <w:sz w:val="12"/>
              </w:rPr>
              <w:tab/>
              <w:t xml:space="preserve">de gasto O </w:t>
            </w:r>
            <w:r>
              <w:rPr>
                <w:sz w:val="12"/>
              </w:rPr>
              <w:tab/>
              <w:t xml:space="preserve">por sma'es-. ' hartinen:c paa: 8 Rogara de de </w:t>
            </w:r>
            <w:r>
              <w:rPr>
                <w:sz w:val="12"/>
              </w:rPr>
              <w:tab/>
              <w:t xml:space="preserve">de </w:t>
            </w:r>
            <w:r>
              <w:rPr>
                <w:sz w:val="12"/>
              </w:rPr>
              <w:tab/>
              <w:t>acolares.</w:t>
            </w:r>
          </w:p>
          <w:p w14:paraId="5C257CD3" w14:textId="77777777" w:rsidR="00053D93" w:rsidRDefault="00260B75">
            <w:pPr>
              <w:ind w:left="36"/>
            </w:pPr>
            <w:r>
              <w:rPr>
                <w:sz w:val="12"/>
              </w:rPr>
              <w:t>e•üXXNas</w:t>
            </w:r>
          </w:p>
        </w:tc>
        <w:tc>
          <w:tcPr>
            <w:tcW w:w="259" w:type="dxa"/>
            <w:vMerge w:val="restart"/>
            <w:tcBorders>
              <w:top w:val="single" w:sz="2" w:space="0" w:color="000000"/>
              <w:left w:val="nil"/>
              <w:bottom w:val="single" w:sz="2" w:space="0" w:color="000000"/>
              <w:right w:val="single" w:sz="2" w:space="0" w:color="000000"/>
            </w:tcBorders>
          </w:tcPr>
          <w:p w14:paraId="25328C70" w14:textId="77777777" w:rsidR="00053D93" w:rsidRDefault="00053D93"/>
        </w:tc>
      </w:tr>
      <w:tr w:rsidR="00053D93" w14:paraId="6D171F77" w14:textId="77777777">
        <w:trPr>
          <w:trHeight w:val="238"/>
        </w:trPr>
        <w:tc>
          <w:tcPr>
            <w:tcW w:w="259" w:type="dxa"/>
            <w:tcBorders>
              <w:top w:val="single" w:sz="2" w:space="0" w:color="000000"/>
              <w:left w:val="single" w:sz="2" w:space="0" w:color="000000"/>
              <w:bottom w:val="single" w:sz="2" w:space="0" w:color="000000"/>
              <w:right w:val="single" w:sz="2" w:space="0" w:color="000000"/>
            </w:tcBorders>
          </w:tcPr>
          <w:p w14:paraId="4F797237" w14:textId="77777777" w:rsidR="00053D93" w:rsidRDefault="00260B75">
            <w:pPr>
              <w:spacing w:after="8"/>
              <w:ind w:left="27"/>
              <w:jc w:val="center"/>
            </w:pPr>
            <w:r>
              <w:rPr>
                <w:rFonts w:ascii="Times New Roman" w:eastAsia="Times New Roman" w:hAnsi="Times New Roman" w:cs="Times New Roman"/>
                <w:sz w:val="12"/>
              </w:rPr>
              <w:t>12</w:t>
            </w:r>
          </w:p>
          <w:p w14:paraId="011F778F" w14:textId="77777777" w:rsidR="00053D93" w:rsidRDefault="00260B75">
            <w:pPr>
              <w:ind w:left="13"/>
              <w:jc w:val="center"/>
            </w:pPr>
            <w:r>
              <w:rPr>
                <w:rFonts w:ascii="Times New Roman" w:eastAsia="Times New Roman" w:hAnsi="Times New Roman" w:cs="Times New Roman"/>
                <w:sz w:val="12"/>
              </w:rPr>
              <w:t>12</w:t>
            </w:r>
          </w:p>
        </w:tc>
        <w:tc>
          <w:tcPr>
            <w:tcW w:w="269" w:type="dxa"/>
            <w:tcBorders>
              <w:top w:val="single" w:sz="2" w:space="0" w:color="000000"/>
              <w:left w:val="single" w:sz="2" w:space="0" w:color="000000"/>
              <w:bottom w:val="single" w:sz="2" w:space="0" w:color="000000"/>
              <w:right w:val="single" w:sz="2" w:space="0" w:color="000000"/>
            </w:tcBorders>
          </w:tcPr>
          <w:p w14:paraId="2F3A58AE" w14:textId="77777777" w:rsidR="00053D93" w:rsidRDefault="00260B75">
            <w:pPr>
              <w:spacing w:after="26"/>
              <w:ind w:left="60"/>
            </w:pPr>
            <w:r>
              <w:rPr>
                <w:rFonts w:ascii="Times New Roman" w:eastAsia="Times New Roman" w:hAnsi="Times New Roman" w:cs="Times New Roman"/>
                <w:sz w:val="10"/>
              </w:rPr>
              <w:t>001</w:t>
            </w:r>
          </w:p>
          <w:p w14:paraId="6C68D9BC" w14:textId="77777777" w:rsidR="00053D93" w:rsidRDefault="00260B75">
            <w:pPr>
              <w:ind w:left="60"/>
            </w:pPr>
            <w:r>
              <w:rPr>
                <w:rFonts w:ascii="Times New Roman" w:eastAsia="Times New Roman" w:hAnsi="Times New Roman" w:cs="Times New Roman"/>
                <w:sz w:val="10"/>
              </w:rPr>
              <w:t>002</w:t>
            </w:r>
          </w:p>
        </w:tc>
        <w:tc>
          <w:tcPr>
            <w:tcW w:w="252" w:type="dxa"/>
            <w:tcBorders>
              <w:top w:val="single" w:sz="2" w:space="0" w:color="000000"/>
              <w:left w:val="single" w:sz="2" w:space="0" w:color="000000"/>
              <w:bottom w:val="single" w:sz="2" w:space="0" w:color="000000"/>
              <w:right w:val="single" w:sz="2" w:space="0" w:color="000000"/>
            </w:tcBorders>
          </w:tcPr>
          <w:p w14:paraId="0D75F46D" w14:textId="77777777" w:rsidR="00053D93" w:rsidRDefault="00053D93"/>
        </w:tc>
        <w:tc>
          <w:tcPr>
            <w:tcW w:w="475" w:type="dxa"/>
            <w:tcBorders>
              <w:top w:val="single" w:sz="2" w:space="0" w:color="000000"/>
              <w:left w:val="single" w:sz="2" w:space="0" w:color="000000"/>
              <w:bottom w:val="single" w:sz="2" w:space="0" w:color="000000"/>
              <w:right w:val="nil"/>
            </w:tcBorders>
          </w:tcPr>
          <w:p w14:paraId="012EC3DB" w14:textId="77777777" w:rsidR="00053D93" w:rsidRDefault="00053D93"/>
        </w:tc>
        <w:tc>
          <w:tcPr>
            <w:tcW w:w="1678" w:type="dxa"/>
            <w:tcBorders>
              <w:top w:val="single" w:sz="2" w:space="0" w:color="000000"/>
              <w:left w:val="nil"/>
              <w:bottom w:val="single" w:sz="2" w:space="0" w:color="000000"/>
              <w:right w:val="nil"/>
            </w:tcBorders>
            <w:vAlign w:val="bottom"/>
          </w:tcPr>
          <w:p w14:paraId="7A1C5C42" w14:textId="77777777" w:rsidR="00053D93" w:rsidRDefault="00260B75">
            <w:r>
              <w:rPr>
                <w:sz w:val="14"/>
              </w:rPr>
              <w:t>BLMNE</w:t>
            </w:r>
          </w:p>
        </w:tc>
        <w:tc>
          <w:tcPr>
            <w:tcW w:w="228" w:type="dxa"/>
            <w:tcBorders>
              <w:top w:val="single" w:sz="2" w:space="0" w:color="000000"/>
              <w:left w:val="nil"/>
              <w:bottom w:val="single" w:sz="2" w:space="0" w:color="000000"/>
              <w:right w:val="single" w:sz="2" w:space="0" w:color="000000"/>
            </w:tcBorders>
          </w:tcPr>
          <w:p w14:paraId="2D0C368E"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4895BE3A" w14:textId="77777777" w:rsidR="00053D93" w:rsidRDefault="00260B75">
            <w:pPr>
              <w:ind w:right="14"/>
              <w:jc w:val="right"/>
            </w:pPr>
            <w:r>
              <w:rPr>
                <w:sz w:val="10"/>
              </w:rPr>
              <w:t>e.7d1,53-o.z59.oo</w:t>
            </w:r>
          </w:p>
        </w:tc>
        <w:tc>
          <w:tcPr>
            <w:tcW w:w="792" w:type="dxa"/>
            <w:tcBorders>
              <w:top w:val="single" w:sz="2" w:space="0" w:color="000000"/>
              <w:left w:val="single" w:sz="2" w:space="0" w:color="000000"/>
              <w:bottom w:val="single" w:sz="2" w:space="0" w:color="000000"/>
              <w:right w:val="single" w:sz="2" w:space="0" w:color="000000"/>
            </w:tcBorders>
          </w:tcPr>
          <w:p w14:paraId="33AF8C57" w14:textId="77777777" w:rsidR="00053D93" w:rsidRDefault="00260B75">
            <w:pPr>
              <w:spacing w:after="8"/>
              <w:ind w:right="14"/>
              <w:jc w:val="right"/>
            </w:pPr>
            <w:r>
              <w:rPr>
                <w:rFonts w:ascii="Times New Roman" w:eastAsia="Times New Roman" w:hAnsi="Times New Roman" w:cs="Times New Roman"/>
                <w:sz w:val="12"/>
              </w:rPr>
              <w:t>.8.3.57,8'500</w:t>
            </w:r>
          </w:p>
          <w:p w14:paraId="70A7B434" w14:textId="77777777" w:rsidR="00053D93" w:rsidRDefault="00260B75">
            <w:pPr>
              <w:ind w:right="14"/>
              <w:jc w:val="center"/>
            </w:pPr>
            <w:r>
              <w:rPr>
                <w:rFonts w:ascii="Times New Roman" w:eastAsia="Times New Roman" w:hAnsi="Times New Roman" w:cs="Times New Roman"/>
                <w:sz w:val="10"/>
              </w:rPr>
              <w:t>312.591.032</w:t>
            </w:r>
          </w:p>
        </w:tc>
        <w:tc>
          <w:tcPr>
            <w:tcW w:w="1008" w:type="dxa"/>
            <w:tcBorders>
              <w:top w:val="single" w:sz="2" w:space="0" w:color="000000"/>
              <w:left w:val="single" w:sz="2" w:space="0" w:color="000000"/>
              <w:bottom w:val="single" w:sz="2" w:space="0" w:color="000000"/>
              <w:right w:val="single" w:sz="2" w:space="0" w:color="000000"/>
            </w:tcBorders>
          </w:tcPr>
          <w:p w14:paraId="6CB91D7B" w14:textId="77777777" w:rsidR="00053D93" w:rsidRDefault="00260B75">
            <w:pPr>
              <w:spacing w:after="33"/>
              <w:ind w:right="7"/>
              <w:jc w:val="right"/>
            </w:pPr>
            <w:r>
              <w:rPr>
                <w:sz w:val="10"/>
              </w:rPr>
              <w:t>8.733.172.4U_DO</w:t>
            </w:r>
          </w:p>
          <w:p w14:paraId="14ACFBC9" w14:textId="77777777" w:rsidR="00053D93" w:rsidRDefault="00260B75">
            <w:pPr>
              <w:ind w:right="14"/>
              <w:jc w:val="right"/>
            </w:pPr>
            <w:r>
              <w:rPr>
                <w:rFonts w:ascii="Times New Roman" w:eastAsia="Times New Roman" w:hAnsi="Times New Roman" w:cs="Times New Roman"/>
                <w:sz w:val="12"/>
              </w:rPr>
              <w:t>2.297 '84.247a;</w:t>
            </w:r>
          </w:p>
        </w:tc>
        <w:tc>
          <w:tcPr>
            <w:tcW w:w="0" w:type="auto"/>
            <w:vMerge/>
            <w:tcBorders>
              <w:top w:val="nil"/>
              <w:left w:val="single" w:sz="2" w:space="0" w:color="000000"/>
              <w:bottom w:val="nil"/>
              <w:right w:val="nil"/>
            </w:tcBorders>
          </w:tcPr>
          <w:p w14:paraId="4B440A7C" w14:textId="77777777" w:rsidR="00053D93" w:rsidRDefault="00053D93"/>
        </w:tc>
        <w:tc>
          <w:tcPr>
            <w:tcW w:w="0" w:type="auto"/>
            <w:vMerge/>
            <w:tcBorders>
              <w:top w:val="nil"/>
              <w:left w:val="nil"/>
              <w:bottom w:val="nil"/>
              <w:right w:val="single" w:sz="2" w:space="0" w:color="000000"/>
            </w:tcBorders>
          </w:tcPr>
          <w:p w14:paraId="0C53274B" w14:textId="77777777" w:rsidR="00053D93" w:rsidRDefault="00053D93"/>
        </w:tc>
      </w:tr>
      <w:tr w:rsidR="00053D93" w14:paraId="0EB54EE1" w14:textId="77777777">
        <w:trPr>
          <w:trHeight w:val="234"/>
        </w:trPr>
        <w:tc>
          <w:tcPr>
            <w:tcW w:w="259" w:type="dxa"/>
            <w:tcBorders>
              <w:top w:val="single" w:sz="2" w:space="0" w:color="000000"/>
              <w:left w:val="single" w:sz="2" w:space="0" w:color="000000"/>
              <w:bottom w:val="single" w:sz="2" w:space="0" w:color="000000"/>
              <w:right w:val="single" w:sz="2" w:space="0" w:color="000000"/>
            </w:tcBorders>
          </w:tcPr>
          <w:p w14:paraId="2B1F136A" w14:textId="77777777" w:rsidR="00053D93" w:rsidRDefault="00260B75">
            <w:pPr>
              <w:ind w:left="13"/>
              <w:jc w:val="center"/>
            </w:pPr>
            <w:r>
              <w:rPr>
                <w:rFonts w:ascii="Times New Roman" w:eastAsia="Times New Roman" w:hAnsi="Times New Roman" w:cs="Times New Roman"/>
                <w:sz w:val="12"/>
              </w:rPr>
              <w:t>12</w:t>
            </w:r>
          </w:p>
        </w:tc>
        <w:tc>
          <w:tcPr>
            <w:tcW w:w="269" w:type="dxa"/>
            <w:tcBorders>
              <w:top w:val="single" w:sz="2" w:space="0" w:color="000000"/>
              <w:left w:val="single" w:sz="2" w:space="0" w:color="000000"/>
              <w:bottom w:val="single" w:sz="2" w:space="0" w:color="000000"/>
              <w:right w:val="single" w:sz="2" w:space="0" w:color="000000"/>
            </w:tcBorders>
          </w:tcPr>
          <w:p w14:paraId="623894A9" w14:textId="77777777" w:rsidR="00053D93" w:rsidRDefault="00260B75">
            <w:pPr>
              <w:ind w:left="60"/>
            </w:pPr>
            <w:r>
              <w:rPr>
                <w:rFonts w:ascii="Times New Roman" w:eastAsia="Times New Roman" w:hAnsi="Times New Roman" w:cs="Times New Roman"/>
                <w:sz w:val="10"/>
              </w:rPr>
              <w:t>004</w:t>
            </w:r>
          </w:p>
        </w:tc>
        <w:tc>
          <w:tcPr>
            <w:tcW w:w="252" w:type="dxa"/>
            <w:tcBorders>
              <w:top w:val="single" w:sz="2" w:space="0" w:color="000000"/>
              <w:left w:val="single" w:sz="2" w:space="0" w:color="000000"/>
              <w:bottom w:val="single" w:sz="2" w:space="0" w:color="000000"/>
              <w:right w:val="single" w:sz="2" w:space="0" w:color="000000"/>
            </w:tcBorders>
          </w:tcPr>
          <w:p w14:paraId="2FABF85A" w14:textId="77777777" w:rsidR="00053D93" w:rsidRDefault="00053D93"/>
        </w:tc>
        <w:tc>
          <w:tcPr>
            <w:tcW w:w="475" w:type="dxa"/>
            <w:tcBorders>
              <w:top w:val="single" w:sz="2" w:space="0" w:color="000000"/>
              <w:left w:val="single" w:sz="2" w:space="0" w:color="000000"/>
              <w:bottom w:val="single" w:sz="2" w:space="0" w:color="000000"/>
              <w:right w:val="nil"/>
            </w:tcBorders>
          </w:tcPr>
          <w:p w14:paraId="7363702E" w14:textId="77777777" w:rsidR="00053D93" w:rsidRDefault="00053D93"/>
        </w:tc>
        <w:tc>
          <w:tcPr>
            <w:tcW w:w="1678" w:type="dxa"/>
            <w:tcBorders>
              <w:top w:val="single" w:sz="2" w:space="0" w:color="000000"/>
              <w:left w:val="nil"/>
              <w:bottom w:val="single" w:sz="2" w:space="0" w:color="000000"/>
              <w:right w:val="nil"/>
            </w:tcBorders>
          </w:tcPr>
          <w:p w14:paraId="48D38C99" w14:textId="77777777" w:rsidR="00053D93" w:rsidRDefault="00053D93"/>
        </w:tc>
        <w:tc>
          <w:tcPr>
            <w:tcW w:w="228" w:type="dxa"/>
            <w:tcBorders>
              <w:top w:val="single" w:sz="2" w:space="0" w:color="000000"/>
              <w:left w:val="nil"/>
              <w:bottom w:val="single" w:sz="2" w:space="0" w:color="000000"/>
              <w:right w:val="single" w:sz="2" w:space="0" w:color="000000"/>
            </w:tcBorders>
          </w:tcPr>
          <w:p w14:paraId="76C59508"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14F350BD" w14:textId="77777777" w:rsidR="00053D93" w:rsidRDefault="00053D93"/>
        </w:tc>
        <w:tc>
          <w:tcPr>
            <w:tcW w:w="792" w:type="dxa"/>
            <w:tcBorders>
              <w:top w:val="single" w:sz="2" w:space="0" w:color="000000"/>
              <w:left w:val="single" w:sz="2" w:space="0" w:color="000000"/>
              <w:bottom w:val="single" w:sz="2" w:space="0" w:color="000000"/>
              <w:right w:val="single" w:sz="2" w:space="0" w:color="000000"/>
            </w:tcBorders>
          </w:tcPr>
          <w:p w14:paraId="556D2DD0"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tcPr>
          <w:p w14:paraId="58836585" w14:textId="77777777" w:rsidR="00053D93" w:rsidRDefault="00053D93"/>
        </w:tc>
        <w:tc>
          <w:tcPr>
            <w:tcW w:w="0" w:type="auto"/>
            <w:vMerge/>
            <w:tcBorders>
              <w:top w:val="nil"/>
              <w:left w:val="single" w:sz="2" w:space="0" w:color="000000"/>
              <w:bottom w:val="single" w:sz="2" w:space="0" w:color="000000"/>
              <w:right w:val="nil"/>
            </w:tcBorders>
          </w:tcPr>
          <w:p w14:paraId="43DA7ACE" w14:textId="77777777" w:rsidR="00053D93" w:rsidRDefault="00053D93"/>
        </w:tc>
        <w:tc>
          <w:tcPr>
            <w:tcW w:w="0" w:type="auto"/>
            <w:vMerge/>
            <w:tcBorders>
              <w:top w:val="nil"/>
              <w:left w:val="nil"/>
              <w:bottom w:val="single" w:sz="2" w:space="0" w:color="000000"/>
              <w:right w:val="single" w:sz="2" w:space="0" w:color="000000"/>
            </w:tcBorders>
          </w:tcPr>
          <w:p w14:paraId="2FA6025C" w14:textId="77777777" w:rsidR="00053D93" w:rsidRDefault="00053D93"/>
        </w:tc>
      </w:tr>
      <w:tr w:rsidR="00053D93" w14:paraId="0DADADF5" w14:textId="77777777">
        <w:trPr>
          <w:trHeight w:val="418"/>
        </w:trPr>
        <w:tc>
          <w:tcPr>
            <w:tcW w:w="259" w:type="dxa"/>
            <w:tcBorders>
              <w:top w:val="single" w:sz="2" w:space="0" w:color="000000"/>
              <w:left w:val="single" w:sz="2" w:space="0" w:color="000000"/>
              <w:bottom w:val="single" w:sz="2" w:space="0" w:color="000000"/>
              <w:right w:val="single" w:sz="2" w:space="0" w:color="000000"/>
            </w:tcBorders>
          </w:tcPr>
          <w:p w14:paraId="5C9FBDD7" w14:textId="77777777" w:rsidR="00053D93" w:rsidRDefault="00260B75">
            <w:pPr>
              <w:ind w:left="13"/>
              <w:jc w:val="center"/>
            </w:pPr>
            <w:r>
              <w:rPr>
                <w:rFonts w:ascii="Times New Roman" w:eastAsia="Times New Roman" w:hAnsi="Times New Roman" w:cs="Times New Roman"/>
                <w:sz w:val="12"/>
              </w:rPr>
              <w:t>13</w:t>
            </w:r>
          </w:p>
        </w:tc>
        <w:tc>
          <w:tcPr>
            <w:tcW w:w="269" w:type="dxa"/>
            <w:tcBorders>
              <w:top w:val="single" w:sz="2" w:space="0" w:color="000000"/>
              <w:left w:val="single" w:sz="2" w:space="0" w:color="000000"/>
              <w:bottom w:val="single" w:sz="2" w:space="0" w:color="000000"/>
              <w:right w:val="single" w:sz="2" w:space="0" w:color="000000"/>
            </w:tcBorders>
          </w:tcPr>
          <w:p w14:paraId="7742D278" w14:textId="77777777" w:rsidR="00053D93" w:rsidRDefault="00260B75">
            <w:pPr>
              <w:ind w:left="60"/>
            </w:pPr>
            <w:r>
              <w:rPr>
                <w:sz w:val="10"/>
              </w:rPr>
              <w:t>ooc</w:t>
            </w:r>
          </w:p>
        </w:tc>
        <w:tc>
          <w:tcPr>
            <w:tcW w:w="252" w:type="dxa"/>
            <w:tcBorders>
              <w:top w:val="single" w:sz="2" w:space="0" w:color="000000"/>
              <w:left w:val="single" w:sz="2" w:space="0" w:color="000000"/>
              <w:bottom w:val="single" w:sz="2" w:space="0" w:color="000000"/>
              <w:right w:val="single" w:sz="2" w:space="0" w:color="000000"/>
            </w:tcBorders>
          </w:tcPr>
          <w:p w14:paraId="59913EFA" w14:textId="77777777" w:rsidR="00053D93" w:rsidRDefault="00053D93"/>
        </w:tc>
        <w:tc>
          <w:tcPr>
            <w:tcW w:w="475" w:type="dxa"/>
            <w:tcBorders>
              <w:top w:val="single" w:sz="2" w:space="0" w:color="000000"/>
              <w:left w:val="single" w:sz="2" w:space="0" w:color="000000"/>
              <w:bottom w:val="single" w:sz="2" w:space="0" w:color="000000"/>
              <w:right w:val="nil"/>
            </w:tcBorders>
          </w:tcPr>
          <w:p w14:paraId="3429E08D" w14:textId="77777777" w:rsidR="00053D93" w:rsidRDefault="00260B75">
            <w:pPr>
              <w:ind w:left="29"/>
              <w:jc w:val="both"/>
            </w:pPr>
            <w:r>
              <w:rPr>
                <w:sz w:val="20"/>
              </w:rPr>
              <w:t xml:space="preserve">Kimc </w:t>
            </w:r>
          </w:p>
        </w:tc>
        <w:tc>
          <w:tcPr>
            <w:tcW w:w="1678" w:type="dxa"/>
            <w:tcBorders>
              <w:top w:val="single" w:sz="2" w:space="0" w:color="000000"/>
              <w:left w:val="nil"/>
              <w:bottom w:val="single" w:sz="2" w:space="0" w:color="000000"/>
              <w:right w:val="nil"/>
            </w:tcBorders>
          </w:tcPr>
          <w:p w14:paraId="459851FF" w14:textId="77777777" w:rsidR="00053D93" w:rsidRDefault="00260B75">
            <w:pPr>
              <w:ind w:left="101"/>
            </w:pPr>
            <w:r>
              <w:rPr>
                <w:sz w:val="14"/>
              </w:rPr>
              <w:t>SCOtAR</w:t>
            </w:r>
          </w:p>
        </w:tc>
        <w:tc>
          <w:tcPr>
            <w:tcW w:w="228" w:type="dxa"/>
            <w:tcBorders>
              <w:top w:val="single" w:sz="2" w:space="0" w:color="000000"/>
              <w:left w:val="nil"/>
              <w:bottom w:val="single" w:sz="2" w:space="0" w:color="000000"/>
              <w:right w:val="single" w:sz="2" w:space="0" w:color="000000"/>
            </w:tcBorders>
          </w:tcPr>
          <w:p w14:paraId="7F8E7621"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1756CFAB" w14:textId="77777777" w:rsidR="00053D93" w:rsidRDefault="00260B75">
            <w:pPr>
              <w:ind w:right="14"/>
              <w:jc w:val="right"/>
            </w:pPr>
            <w:r>
              <w:rPr>
                <w:rFonts w:ascii="Times New Roman" w:eastAsia="Times New Roman" w:hAnsi="Times New Roman" w:cs="Times New Roman"/>
                <w:sz w:val="10"/>
              </w:rPr>
              <w:t>1.357.318.690 00</w:t>
            </w:r>
          </w:p>
        </w:tc>
        <w:tc>
          <w:tcPr>
            <w:tcW w:w="792" w:type="dxa"/>
            <w:tcBorders>
              <w:top w:val="single" w:sz="2" w:space="0" w:color="000000"/>
              <w:left w:val="single" w:sz="2" w:space="0" w:color="000000"/>
              <w:bottom w:val="single" w:sz="2" w:space="0" w:color="000000"/>
              <w:right w:val="single" w:sz="2" w:space="0" w:color="000000"/>
            </w:tcBorders>
          </w:tcPr>
          <w:p w14:paraId="78699A60"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tcPr>
          <w:p w14:paraId="06544B1E" w14:textId="77777777" w:rsidR="00053D93" w:rsidRDefault="00260B75">
            <w:pPr>
              <w:ind w:right="14"/>
              <w:jc w:val="right"/>
            </w:pPr>
            <w:r>
              <w:rPr>
                <w:sz w:val="12"/>
              </w:rPr>
              <w:t>1,4d4.992.65sw</w:t>
            </w:r>
          </w:p>
        </w:tc>
        <w:tc>
          <w:tcPr>
            <w:tcW w:w="4198" w:type="dxa"/>
            <w:tcBorders>
              <w:top w:val="single" w:sz="2" w:space="0" w:color="000000"/>
              <w:left w:val="single" w:sz="2" w:space="0" w:color="000000"/>
              <w:bottom w:val="single" w:sz="2" w:space="0" w:color="000000"/>
              <w:right w:val="nil"/>
            </w:tcBorders>
          </w:tcPr>
          <w:p w14:paraId="6AD26349" w14:textId="77777777" w:rsidR="00053D93" w:rsidRDefault="00260B75">
            <w:pPr>
              <w:ind w:left="648" w:right="151" w:hanging="612"/>
            </w:pPr>
            <w:r>
              <w:rPr>
                <w:sz w:val="12"/>
              </w:rPr>
              <w:t xml:space="preserve">Fnarciamento grupa de gasto O "Scr-wcós </w:t>
            </w:r>
            <w:r>
              <w:rPr>
                <w:sz w:val="12"/>
              </w:rPr>
              <w:tab/>
              <w:t xml:space="preserve">fnarcamerda para. 8 Rograrm de de </w:t>
            </w:r>
            <w:r>
              <w:rPr>
                <w:sz w:val="12"/>
              </w:rPr>
              <w:tab/>
              <w:t xml:space="preserve">3ucaci%t </w:t>
            </w:r>
            <w:r>
              <w:rPr>
                <w:sz w:val="12"/>
              </w:rPr>
              <w:tab/>
              <w:t xml:space="preserve">dc ia </w:t>
            </w:r>
          </w:p>
        </w:tc>
        <w:tc>
          <w:tcPr>
            <w:tcW w:w="259" w:type="dxa"/>
            <w:tcBorders>
              <w:top w:val="single" w:sz="2" w:space="0" w:color="000000"/>
              <w:left w:val="nil"/>
              <w:bottom w:val="single" w:sz="2" w:space="0" w:color="000000"/>
              <w:right w:val="single" w:sz="2" w:space="0" w:color="000000"/>
            </w:tcBorders>
            <w:vAlign w:val="center"/>
          </w:tcPr>
          <w:p w14:paraId="2437D9DD" w14:textId="77777777" w:rsidR="00053D93" w:rsidRDefault="00260B75">
            <w:pPr>
              <w:jc w:val="both"/>
            </w:pPr>
            <w:r>
              <w:rPr>
                <w:sz w:val="14"/>
              </w:rPr>
              <w:t>ülhs</w:t>
            </w:r>
          </w:p>
        </w:tc>
      </w:tr>
      <w:tr w:rsidR="00053D93" w14:paraId="5772E4B3" w14:textId="77777777">
        <w:trPr>
          <w:trHeight w:val="180"/>
        </w:trPr>
        <w:tc>
          <w:tcPr>
            <w:tcW w:w="259" w:type="dxa"/>
            <w:tcBorders>
              <w:top w:val="single" w:sz="2" w:space="0" w:color="000000"/>
              <w:left w:val="single" w:sz="2" w:space="0" w:color="000000"/>
              <w:bottom w:val="single" w:sz="2" w:space="0" w:color="000000"/>
              <w:right w:val="single" w:sz="2" w:space="0" w:color="000000"/>
            </w:tcBorders>
          </w:tcPr>
          <w:p w14:paraId="5AF74C18" w14:textId="77777777" w:rsidR="00053D93" w:rsidRDefault="00053D93"/>
        </w:tc>
        <w:tc>
          <w:tcPr>
            <w:tcW w:w="269" w:type="dxa"/>
            <w:tcBorders>
              <w:top w:val="single" w:sz="2" w:space="0" w:color="000000"/>
              <w:left w:val="single" w:sz="2" w:space="0" w:color="000000"/>
              <w:bottom w:val="single" w:sz="2" w:space="0" w:color="000000"/>
              <w:right w:val="single" w:sz="2" w:space="0" w:color="000000"/>
            </w:tcBorders>
          </w:tcPr>
          <w:p w14:paraId="5C2F287B" w14:textId="77777777" w:rsidR="00053D93" w:rsidRDefault="00053D93"/>
        </w:tc>
        <w:tc>
          <w:tcPr>
            <w:tcW w:w="252" w:type="dxa"/>
            <w:tcBorders>
              <w:top w:val="single" w:sz="2" w:space="0" w:color="000000"/>
              <w:left w:val="single" w:sz="2" w:space="0" w:color="000000"/>
              <w:bottom w:val="single" w:sz="2" w:space="0" w:color="000000"/>
              <w:right w:val="single" w:sz="2" w:space="0" w:color="000000"/>
            </w:tcBorders>
          </w:tcPr>
          <w:p w14:paraId="1830E8E1" w14:textId="77777777" w:rsidR="00053D93" w:rsidRDefault="00260B75">
            <w:pPr>
              <w:ind w:left="50"/>
              <w:jc w:val="both"/>
            </w:pPr>
            <w:r>
              <w:rPr>
                <w:sz w:val="12"/>
              </w:rPr>
              <w:t>coo</w:t>
            </w:r>
          </w:p>
        </w:tc>
        <w:tc>
          <w:tcPr>
            <w:tcW w:w="475" w:type="dxa"/>
            <w:tcBorders>
              <w:top w:val="single" w:sz="2" w:space="0" w:color="000000"/>
              <w:left w:val="single" w:sz="2" w:space="0" w:color="000000"/>
              <w:bottom w:val="single" w:sz="2" w:space="0" w:color="000000"/>
              <w:right w:val="nil"/>
            </w:tcBorders>
          </w:tcPr>
          <w:p w14:paraId="2762AC53" w14:textId="77777777" w:rsidR="00053D93" w:rsidRDefault="00053D93"/>
        </w:tc>
        <w:tc>
          <w:tcPr>
            <w:tcW w:w="1678" w:type="dxa"/>
            <w:tcBorders>
              <w:top w:val="single" w:sz="2" w:space="0" w:color="000000"/>
              <w:left w:val="nil"/>
              <w:bottom w:val="single" w:sz="2" w:space="0" w:color="000000"/>
              <w:right w:val="nil"/>
            </w:tcBorders>
          </w:tcPr>
          <w:p w14:paraId="0F79A28E" w14:textId="77777777" w:rsidR="00053D93" w:rsidRDefault="00053D93"/>
        </w:tc>
        <w:tc>
          <w:tcPr>
            <w:tcW w:w="228" w:type="dxa"/>
            <w:tcBorders>
              <w:top w:val="single" w:sz="2" w:space="0" w:color="000000"/>
              <w:left w:val="nil"/>
              <w:bottom w:val="single" w:sz="2" w:space="0" w:color="000000"/>
              <w:right w:val="single" w:sz="2" w:space="0" w:color="000000"/>
            </w:tcBorders>
          </w:tcPr>
          <w:p w14:paraId="485DD01E"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5205E105" w14:textId="77777777" w:rsidR="00053D93" w:rsidRDefault="00260B75">
            <w:pPr>
              <w:ind w:right="14"/>
              <w:jc w:val="right"/>
            </w:pPr>
            <w:r>
              <w:rPr>
                <w:rFonts w:ascii="Times New Roman" w:eastAsia="Times New Roman" w:hAnsi="Times New Roman" w:cs="Times New Roman"/>
                <w:sz w:val="12"/>
              </w:rPr>
              <w:t>00</w:t>
            </w:r>
          </w:p>
        </w:tc>
        <w:tc>
          <w:tcPr>
            <w:tcW w:w="792" w:type="dxa"/>
            <w:tcBorders>
              <w:top w:val="single" w:sz="2" w:space="0" w:color="000000"/>
              <w:left w:val="single" w:sz="2" w:space="0" w:color="000000"/>
              <w:bottom w:val="single" w:sz="2" w:space="0" w:color="000000"/>
              <w:right w:val="single" w:sz="2" w:space="0" w:color="000000"/>
            </w:tcBorders>
          </w:tcPr>
          <w:p w14:paraId="469659A7" w14:textId="77777777" w:rsidR="00053D93" w:rsidRDefault="00260B75">
            <w:pPr>
              <w:ind w:right="7"/>
              <w:jc w:val="center"/>
            </w:pPr>
            <w:r>
              <w:rPr>
                <w:rFonts w:ascii="Times New Roman" w:eastAsia="Times New Roman" w:hAnsi="Times New Roman" w:cs="Times New Roman"/>
                <w:sz w:val="10"/>
              </w:rPr>
              <w:t>-22.675,964</w:t>
            </w:r>
          </w:p>
        </w:tc>
        <w:tc>
          <w:tcPr>
            <w:tcW w:w="1008" w:type="dxa"/>
            <w:tcBorders>
              <w:top w:val="single" w:sz="2" w:space="0" w:color="000000"/>
              <w:left w:val="single" w:sz="2" w:space="0" w:color="000000"/>
              <w:bottom w:val="single" w:sz="2" w:space="0" w:color="000000"/>
              <w:right w:val="single" w:sz="2" w:space="0" w:color="000000"/>
            </w:tcBorders>
          </w:tcPr>
          <w:p w14:paraId="10FA3789" w14:textId="77777777" w:rsidR="00053D93" w:rsidRDefault="00260B75">
            <w:pPr>
              <w:ind w:left="403"/>
            </w:pPr>
            <w:r>
              <w:rPr>
                <w:rFonts w:ascii="Times New Roman" w:eastAsia="Times New Roman" w:hAnsi="Times New Roman" w:cs="Times New Roman"/>
                <w:sz w:val="10"/>
              </w:rPr>
              <w:t>95.543.512</w:t>
            </w:r>
          </w:p>
        </w:tc>
        <w:tc>
          <w:tcPr>
            <w:tcW w:w="4198" w:type="dxa"/>
            <w:vMerge w:val="restart"/>
            <w:tcBorders>
              <w:top w:val="single" w:sz="2" w:space="0" w:color="000000"/>
              <w:left w:val="single" w:sz="2" w:space="0" w:color="000000"/>
              <w:bottom w:val="single" w:sz="2" w:space="0" w:color="000000"/>
              <w:right w:val="nil"/>
            </w:tcBorders>
            <w:vAlign w:val="center"/>
          </w:tcPr>
          <w:p w14:paraId="6A312A68" w14:textId="77777777" w:rsidR="00053D93" w:rsidRDefault="00260B75">
            <w:pPr>
              <w:spacing w:line="271" w:lineRule="auto"/>
              <w:ind w:right="205"/>
              <w:jc w:val="center"/>
            </w:pPr>
            <w:r>
              <w:rPr>
                <w:sz w:val="12"/>
              </w:rPr>
              <w:t xml:space="preserve">Fnarwarrwnto grupo de gasto O 'Servk:io$ pc_r5N.a-Ês•. fivmciaaü_nn pua S Regraria de de </w:t>
            </w:r>
            <w:r>
              <w:rPr>
                <w:sz w:val="12"/>
              </w:rPr>
              <w:tab/>
              <w:t xml:space="preserve">acdues. </w:t>
            </w:r>
            <w:r>
              <w:rPr>
                <w:sz w:val="12"/>
              </w:rPr>
              <w:tab/>
              <w:t>de hsLutcs Vecrn'bgms,</w:t>
            </w:r>
          </w:p>
          <w:p w14:paraId="7B34B4FD" w14:textId="77777777" w:rsidR="00053D93" w:rsidRDefault="00260B75">
            <w:pPr>
              <w:tabs>
                <w:tab w:val="center" w:pos="3406"/>
              </w:tabs>
            </w:pPr>
            <w:r>
              <w:rPr>
                <w:sz w:val="14"/>
              </w:rPr>
              <w:t xml:space="preserve">Roçam Becas </w:t>
            </w:r>
            <w:r>
              <w:rPr>
                <w:sz w:val="14"/>
              </w:rPr>
              <w:tab/>
              <w:t>d.zxtvas. Roga:rg</w:t>
            </w:r>
          </w:p>
          <w:p w14:paraId="30104C9D" w14:textId="77777777" w:rsidR="00053D93" w:rsidRDefault="00260B75">
            <w:pPr>
              <w:ind w:left="22" w:firstLine="1152"/>
            </w:pPr>
            <w:r>
              <w:rPr>
                <w:sz w:val="12"/>
              </w:rPr>
              <w:lastRenderedPageBreak/>
              <w:t xml:space="preserve">Gus *colares. Va$a </w:t>
            </w:r>
            <w:r>
              <w:rPr>
                <w:sz w:val="12"/>
              </w:rPr>
              <w:tab/>
              <w:t xml:space="preserve">Beeag "sas de a:udn d-cbcón evpo Rcyec:o de </w:t>
            </w:r>
            <w:r>
              <w:rPr>
                <w:sz w:val="12"/>
              </w:rPr>
              <w:tab/>
              <w:t xml:space="preserve">V </w:t>
            </w:r>
            <w:r>
              <w:rPr>
                <w:sz w:val="12"/>
              </w:rPr>
              <w:tab/>
              <w:t>V)</w:t>
            </w:r>
          </w:p>
        </w:tc>
        <w:tc>
          <w:tcPr>
            <w:tcW w:w="259" w:type="dxa"/>
            <w:vMerge w:val="restart"/>
            <w:tcBorders>
              <w:top w:val="single" w:sz="2" w:space="0" w:color="000000"/>
              <w:left w:val="nil"/>
              <w:bottom w:val="single" w:sz="2" w:space="0" w:color="000000"/>
              <w:right w:val="single" w:sz="2" w:space="0" w:color="000000"/>
            </w:tcBorders>
            <w:vAlign w:val="bottom"/>
          </w:tcPr>
          <w:p w14:paraId="7C5802DD" w14:textId="77777777" w:rsidR="00053D93" w:rsidRDefault="00260B75">
            <w:pPr>
              <w:ind w:left="29"/>
            </w:pPr>
            <w:r>
              <w:rPr>
                <w:sz w:val="12"/>
              </w:rPr>
              <w:lastRenderedPageBreak/>
              <w:t>de</w:t>
            </w:r>
          </w:p>
        </w:tc>
      </w:tr>
      <w:tr w:rsidR="00053D93" w14:paraId="03A787F5" w14:textId="77777777">
        <w:trPr>
          <w:trHeight w:val="198"/>
        </w:trPr>
        <w:tc>
          <w:tcPr>
            <w:tcW w:w="259" w:type="dxa"/>
            <w:tcBorders>
              <w:top w:val="single" w:sz="2" w:space="0" w:color="000000"/>
              <w:left w:val="single" w:sz="2" w:space="0" w:color="000000"/>
              <w:bottom w:val="single" w:sz="2" w:space="0" w:color="000000"/>
              <w:right w:val="single" w:sz="2" w:space="0" w:color="000000"/>
            </w:tcBorders>
          </w:tcPr>
          <w:p w14:paraId="6DBC9026" w14:textId="77777777" w:rsidR="00053D93" w:rsidRDefault="00053D93"/>
        </w:tc>
        <w:tc>
          <w:tcPr>
            <w:tcW w:w="269" w:type="dxa"/>
            <w:tcBorders>
              <w:top w:val="single" w:sz="2" w:space="0" w:color="000000"/>
              <w:left w:val="single" w:sz="2" w:space="0" w:color="000000"/>
              <w:bottom w:val="single" w:sz="2" w:space="0" w:color="000000"/>
              <w:right w:val="single" w:sz="2" w:space="0" w:color="000000"/>
            </w:tcBorders>
          </w:tcPr>
          <w:p w14:paraId="75F2FBEF" w14:textId="77777777" w:rsidR="00053D93" w:rsidRDefault="00260B75">
            <w:pPr>
              <w:ind w:left="60"/>
            </w:pPr>
            <w:r>
              <w:rPr>
                <w:rFonts w:ascii="Times New Roman" w:eastAsia="Times New Roman" w:hAnsi="Times New Roman" w:cs="Times New Roman"/>
                <w:sz w:val="10"/>
              </w:rPr>
              <w:t>001</w:t>
            </w:r>
          </w:p>
        </w:tc>
        <w:tc>
          <w:tcPr>
            <w:tcW w:w="252" w:type="dxa"/>
            <w:tcBorders>
              <w:top w:val="single" w:sz="2" w:space="0" w:color="000000"/>
              <w:left w:val="single" w:sz="2" w:space="0" w:color="000000"/>
              <w:bottom w:val="single" w:sz="2" w:space="0" w:color="000000"/>
              <w:right w:val="single" w:sz="2" w:space="0" w:color="000000"/>
            </w:tcBorders>
          </w:tcPr>
          <w:p w14:paraId="05B80307" w14:textId="77777777" w:rsidR="00053D93" w:rsidRDefault="00260B75">
            <w:pPr>
              <w:ind w:left="50"/>
              <w:jc w:val="both"/>
            </w:pPr>
            <w:r>
              <w:rPr>
                <w:rFonts w:ascii="Times New Roman" w:eastAsia="Times New Roman" w:hAnsi="Times New Roman" w:cs="Times New Roman"/>
                <w:sz w:val="12"/>
              </w:rPr>
              <w:t>000</w:t>
            </w:r>
          </w:p>
        </w:tc>
        <w:tc>
          <w:tcPr>
            <w:tcW w:w="475" w:type="dxa"/>
            <w:tcBorders>
              <w:top w:val="single" w:sz="2" w:space="0" w:color="000000"/>
              <w:left w:val="single" w:sz="2" w:space="0" w:color="000000"/>
              <w:bottom w:val="single" w:sz="2" w:space="0" w:color="000000"/>
              <w:right w:val="nil"/>
            </w:tcBorders>
          </w:tcPr>
          <w:p w14:paraId="7F58D91D" w14:textId="77777777" w:rsidR="00053D93" w:rsidRDefault="00053D93"/>
        </w:tc>
        <w:tc>
          <w:tcPr>
            <w:tcW w:w="1678" w:type="dxa"/>
            <w:tcBorders>
              <w:top w:val="single" w:sz="2" w:space="0" w:color="000000"/>
              <w:left w:val="nil"/>
              <w:bottom w:val="single" w:sz="2" w:space="0" w:color="000000"/>
              <w:right w:val="nil"/>
            </w:tcBorders>
          </w:tcPr>
          <w:p w14:paraId="0E8E28DF" w14:textId="77777777" w:rsidR="00053D93" w:rsidRDefault="00260B75">
            <w:pPr>
              <w:ind w:left="950"/>
            </w:pPr>
            <w:r>
              <w:rPr>
                <w:sz w:val="10"/>
              </w:rPr>
              <w:t>DOC.8•éTF</w:t>
            </w:r>
          </w:p>
        </w:tc>
        <w:tc>
          <w:tcPr>
            <w:tcW w:w="228" w:type="dxa"/>
            <w:tcBorders>
              <w:top w:val="single" w:sz="2" w:space="0" w:color="000000"/>
              <w:left w:val="nil"/>
              <w:bottom w:val="single" w:sz="2" w:space="0" w:color="000000"/>
              <w:right w:val="single" w:sz="2" w:space="0" w:color="000000"/>
            </w:tcBorders>
          </w:tcPr>
          <w:p w14:paraId="7EC2A5E2"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0C62DC1F" w14:textId="77777777" w:rsidR="00053D93" w:rsidRDefault="00260B75">
            <w:pPr>
              <w:ind w:right="14"/>
              <w:jc w:val="right"/>
            </w:pPr>
            <w:r>
              <w:rPr>
                <w:rFonts w:ascii="Times New Roman" w:eastAsia="Times New Roman" w:hAnsi="Times New Roman" w:cs="Times New Roman"/>
                <w:sz w:val="12"/>
              </w:rPr>
              <w:t>34ã39'.065m</w:t>
            </w:r>
          </w:p>
        </w:tc>
        <w:tc>
          <w:tcPr>
            <w:tcW w:w="792" w:type="dxa"/>
            <w:tcBorders>
              <w:top w:val="single" w:sz="2" w:space="0" w:color="000000"/>
              <w:left w:val="single" w:sz="2" w:space="0" w:color="000000"/>
              <w:bottom w:val="single" w:sz="2" w:space="0" w:color="000000"/>
              <w:right w:val="single" w:sz="2" w:space="0" w:color="000000"/>
            </w:tcBorders>
          </w:tcPr>
          <w:p w14:paraId="47A33F0B" w14:textId="77777777" w:rsidR="00053D93" w:rsidRDefault="00260B75">
            <w:pPr>
              <w:ind w:right="22"/>
              <w:jc w:val="right"/>
            </w:pPr>
            <w:r>
              <w:rPr>
                <w:sz w:val="10"/>
              </w:rPr>
              <w:t>5.00S.ta5.f)O</w:t>
            </w:r>
          </w:p>
        </w:tc>
        <w:tc>
          <w:tcPr>
            <w:tcW w:w="1008" w:type="dxa"/>
            <w:tcBorders>
              <w:top w:val="single" w:sz="2" w:space="0" w:color="000000"/>
              <w:left w:val="single" w:sz="2" w:space="0" w:color="000000"/>
              <w:bottom w:val="single" w:sz="2" w:space="0" w:color="000000"/>
              <w:right w:val="single" w:sz="2" w:space="0" w:color="000000"/>
            </w:tcBorders>
          </w:tcPr>
          <w:p w14:paraId="5CB66229" w14:textId="77777777" w:rsidR="00053D93" w:rsidRDefault="00260B75">
            <w:pPr>
              <w:ind w:right="14"/>
              <w:jc w:val="right"/>
            </w:pPr>
            <w:r>
              <w:rPr>
                <w:rFonts w:ascii="Times New Roman" w:eastAsia="Times New Roman" w:hAnsi="Times New Roman" w:cs="Times New Roman"/>
                <w:sz w:val="10"/>
              </w:rPr>
              <w:t>351.400.100.00</w:t>
            </w:r>
          </w:p>
        </w:tc>
        <w:tc>
          <w:tcPr>
            <w:tcW w:w="0" w:type="auto"/>
            <w:vMerge/>
            <w:tcBorders>
              <w:top w:val="nil"/>
              <w:left w:val="single" w:sz="2" w:space="0" w:color="000000"/>
              <w:bottom w:val="nil"/>
              <w:right w:val="nil"/>
            </w:tcBorders>
          </w:tcPr>
          <w:p w14:paraId="5BE09E94" w14:textId="77777777" w:rsidR="00053D93" w:rsidRDefault="00053D93"/>
        </w:tc>
        <w:tc>
          <w:tcPr>
            <w:tcW w:w="0" w:type="auto"/>
            <w:vMerge/>
            <w:tcBorders>
              <w:top w:val="nil"/>
              <w:left w:val="nil"/>
              <w:bottom w:val="nil"/>
              <w:right w:val="single" w:sz="2" w:space="0" w:color="000000"/>
            </w:tcBorders>
          </w:tcPr>
          <w:p w14:paraId="53306BE1" w14:textId="77777777" w:rsidR="00053D93" w:rsidRDefault="00053D93"/>
        </w:tc>
      </w:tr>
      <w:tr w:rsidR="00053D93" w14:paraId="1ED540A3" w14:textId="77777777">
        <w:trPr>
          <w:trHeight w:val="400"/>
        </w:trPr>
        <w:tc>
          <w:tcPr>
            <w:tcW w:w="259" w:type="dxa"/>
            <w:tcBorders>
              <w:top w:val="single" w:sz="2" w:space="0" w:color="000000"/>
              <w:left w:val="single" w:sz="2" w:space="0" w:color="000000"/>
              <w:bottom w:val="single" w:sz="2" w:space="0" w:color="000000"/>
              <w:right w:val="single" w:sz="2" w:space="0" w:color="000000"/>
            </w:tcBorders>
          </w:tcPr>
          <w:p w14:paraId="4D178716" w14:textId="77777777" w:rsidR="00053D93" w:rsidRDefault="00053D93"/>
        </w:tc>
        <w:tc>
          <w:tcPr>
            <w:tcW w:w="269" w:type="dxa"/>
            <w:tcBorders>
              <w:top w:val="single" w:sz="2" w:space="0" w:color="000000"/>
              <w:left w:val="single" w:sz="2" w:space="0" w:color="000000"/>
              <w:bottom w:val="single" w:sz="2" w:space="0" w:color="000000"/>
              <w:right w:val="single" w:sz="2" w:space="0" w:color="000000"/>
            </w:tcBorders>
          </w:tcPr>
          <w:p w14:paraId="1AA642F7" w14:textId="77777777" w:rsidR="00053D93" w:rsidRDefault="00053D93"/>
        </w:tc>
        <w:tc>
          <w:tcPr>
            <w:tcW w:w="252" w:type="dxa"/>
            <w:tcBorders>
              <w:top w:val="single" w:sz="2" w:space="0" w:color="000000"/>
              <w:left w:val="single" w:sz="2" w:space="0" w:color="000000"/>
              <w:bottom w:val="single" w:sz="2" w:space="0" w:color="000000"/>
              <w:right w:val="single" w:sz="2" w:space="0" w:color="000000"/>
            </w:tcBorders>
          </w:tcPr>
          <w:p w14:paraId="7763CDC0" w14:textId="77777777" w:rsidR="00053D93" w:rsidRDefault="00053D93"/>
        </w:tc>
        <w:tc>
          <w:tcPr>
            <w:tcW w:w="475" w:type="dxa"/>
            <w:tcBorders>
              <w:top w:val="single" w:sz="2" w:space="0" w:color="000000"/>
              <w:left w:val="single" w:sz="2" w:space="0" w:color="000000"/>
              <w:bottom w:val="single" w:sz="2" w:space="0" w:color="000000"/>
              <w:right w:val="nil"/>
            </w:tcBorders>
          </w:tcPr>
          <w:p w14:paraId="4AD93EA7" w14:textId="77777777" w:rsidR="00053D93" w:rsidRDefault="00053D93"/>
        </w:tc>
        <w:tc>
          <w:tcPr>
            <w:tcW w:w="1678" w:type="dxa"/>
            <w:tcBorders>
              <w:top w:val="single" w:sz="2" w:space="0" w:color="000000"/>
              <w:left w:val="nil"/>
              <w:bottom w:val="single" w:sz="2" w:space="0" w:color="000000"/>
              <w:right w:val="nil"/>
            </w:tcBorders>
            <w:vAlign w:val="center"/>
          </w:tcPr>
          <w:p w14:paraId="0B4568E9" w14:textId="77777777" w:rsidR="00053D93" w:rsidRDefault="00260B75">
            <w:pPr>
              <w:ind w:left="288"/>
            </w:pPr>
            <w:r>
              <w:rPr>
                <w:sz w:val="18"/>
              </w:rPr>
              <w:t>mRTVAS Y</w:t>
            </w:r>
          </w:p>
        </w:tc>
        <w:tc>
          <w:tcPr>
            <w:tcW w:w="228" w:type="dxa"/>
            <w:tcBorders>
              <w:top w:val="single" w:sz="2" w:space="0" w:color="000000"/>
              <w:left w:val="nil"/>
              <w:bottom w:val="single" w:sz="2" w:space="0" w:color="000000"/>
              <w:right w:val="single" w:sz="2" w:space="0" w:color="000000"/>
            </w:tcBorders>
          </w:tcPr>
          <w:p w14:paraId="00D656C4"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39CB3F72" w14:textId="77777777" w:rsidR="00053D93" w:rsidRDefault="00260B75">
            <w:pPr>
              <w:ind w:right="22"/>
              <w:jc w:val="right"/>
            </w:pPr>
            <w:r>
              <w:rPr>
                <w:sz w:val="12"/>
              </w:rPr>
              <w:t>2.454g2r,oc</w:t>
            </w:r>
          </w:p>
        </w:tc>
        <w:tc>
          <w:tcPr>
            <w:tcW w:w="792" w:type="dxa"/>
            <w:tcBorders>
              <w:top w:val="single" w:sz="2" w:space="0" w:color="000000"/>
              <w:left w:val="single" w:sz="2" w:space="0" w:color="000000"/>
              <w:bottom w:val="single" w:sz="2" w:space="0" w:color="000000"/>
              <w:right w:val="single" w:sz="2" w:space="0" w:color="000000"/>
            </w:tcBorders>
          </w:tcPr>
          <w:p w14:paraId="454DD2A1"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tcPr>
          <w:p w14:paraId="5596441A" w14:textId="77777777" w:rsidR="00053D93" w:rsidRDefault="00053D93"/>
        </w:tc>
        <w:tc>
          <w:tcPr>
            <w:tcW w:w="0" w:type="auto"/>
            <w:vMerge/>
            <w:tcBorders>
              <w:top w:val="nil"/>
              <w:left w:val="single" w:sz="2" w:space="0" w:color="000000"/>
              <w:bottom w:val="nil"/>
              <w:right w:val="nil"/>
            </w:tcBorders>
          </w:tcPr>
          <w:p w14:paraId="00BF7C94" w14:textId="77777777" w:rsidR="00053D93" w:rsidRDefault="00053D93"/>
        </w:tc>
        <w:tc>
          <w:tcPr>
            <w:tcW w:w="0" w:type="auto"/>
            <w:vMerge/>
            <w:tcBorders>
              <w:top w:val="nil"/>
              <w:left w:val="nil"/>
              <w:bottom w:val="nil"/>
              <w:right w:val="single" w:sz="2" w:space="0" w:color="000000"/>
            </w:tcBorders>
          </w:tcPr>
          <w:p w14:paraId="4D1AF928" w14:textId="77777777" w:rsidR="00053D93" w:rsidRDefault="00053D93"/>
        </w:tc>
      </w:tr>
      <w:tr w:rsidR="00053D93" w14:paraId="253913FE" w14:textId="77777777">
        <w:trPr>
          <w:trHeight w:val="194"/>
        </w:trPr>
        <w:tc>
          <w:tcPr>
            <w:tcW w:w="259" w:type="dxa"/>
            <w:tcBorders>
              <w:top w:val="single" w:sz="2" w:space="0" w:color="000000"/>
              <w:left w:val="single" w:sz="2" w:space="0" w:color="000000"/>
              <w:bottom w:val="single" w:sz="2" w:space="0" w:color="000000"/>
              <w:right w:val="single" w:sz="2" w:space="0" w:color="000000"/>
            </w:tcBorders>
          </w:tcPr>
          <w:p w14:paraId="761D68A1" w14:textId="77777777" w:rsidR="00053D93" w:rsidRDefault="00053D93"/>
        </w:tc>
        <w:tc>
          <w:tcPr>
            <w:tcW w:w="269" w:type="dxa"/>
            <w:tcBorders>
              <w:top w:val="single" w:sz="2" w:space="0" w:color="000000"/>
              <w:left w:val="single" w:sz="2" w:space="0" w:color="000000"/>
              <w:bottom w:val="single" w:sz="2" w:space="0" w:color="000000"/>
              <w:right w:val="single" w:sz="2" w:space="0" w:color="000000"/>
            </w:tcBorders>
          </w:tcPr>
          <w:p w14:paraId="6143EA43" w14:textId="77777777" w:rsidR="00053D93" w:rsidRDefault="00260B75">
            <w:pPr>
              <w:ind w:left="53"/>
            </w:pPr>
            <w:r>
              <w:rPr>
                <w:rFonts w:ascii="Times New Roman" w:eastAsia="Times New Roman" w:hAnsi="Times New Roman" w:cs="Times New Roman"/>
                <w:sz w:val="12"/>
              </w:rPr>
              <w:t>cnz</w:t>
            </w:r>
          </w:p>
        </w:tc>
        <w:tc>
          <w:tcPr>
            <w:tcW w:w="252" w:type="dxa"/>
            <w:tcBorders>
              <w:top w:val="single" w:sz="2" w:space="0" w:color="000000"/>
              <w:left w:val="single" w:sz="2" w:space="0" w:color="000000"/>
              <w:bottom w:val="single" w:sz="2" w:space="0" w:color="000000"/>
              <w:right w:val="single" w:sz="2" w:space="0" w:color="000000"/>
            </w:tcBorders>
          </w:tcPr>
          <w:p w14:paraId="057EFD43" w14:textId="77777777" w:rsidR="00053D93" w:rsidRDefault="00260B75">
            <w:pPr>
              <w:ind w:left="43"/>
              <w:jc w:val="both"/>
            </w:pPr>
            <w:r>
              <w:rPr>
                <w:rFonts w:ascii="Times New Roman" w:eastAsia="Times New Roman" w:hAnsi="Times New Roman" w:cs="Times New Roman"/>
                <w:sz w:val="12"/>
              </w:rPr>
              <w:t>000</w:t>
            </w:r>
          </w:p>
        </w:tc>
        <w:tc>
          <w:tcPr>
            <w:tcW w:w="2153" w:type="dxa"/>
            <w:gridSpan w:val="2"/>
            <w:tcBorders>
              <w:top w:val="single" w:sz="2" w:space="0" w:color="000000"/>
              <w:left w:val="single" w:sz="2" w:space="0" w:color="000000"/>
              <w:bottom w:val="single" w:sz="2" w:space="0" w:color="000000"/>
              <w:right w:val="nil"/>
            </w:tcBorders>
          </w:tcPr>
          <w:p w14:paraId="73C69C8C" w14:textId="77777777" w:rsidR="00053D93" w:rsidRDefault="00260B75">
            <w:pPr>
              <w:ind w:left="22"/>
            </w:pPr>
            <w:r>
              <w:rPr>
                <w:sz w:val="12"/>
              </w:rPr>
              <w:t>FON.hCDN</w:t>
            </w:r>
          </w:p>
        </w:tc>
        <w:tc>
          <w:tcPr>
            <w:tcW w:w="228" w:type="dxa"/>
            <w:tcBorders>
              <w:top w:val="single" w:sz="2" w:space="0" w:color="000000"/>
              <w:left w:val="nil"/>
              <w:bottom w:val="single" w:sz="2" w:space="0" w:color="000000"/>
              <w:right w:val="single" w:sz="2" w:space="0" w:color="000000"/>
            </w:tcBorders>
          </w:tcPr>
          <w:p w14:paraId="2570A351"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6D362906" w14:textId="77777777" w:rsidR="00053D93" w:rsidRDefault="00260B75">
            <w:pPr>
              <w:ind w:right="29"/>
              <w:jc w:val="right"/>
            </w:pPr>
            <w:r>
              <w:rPr>
                <w:sz w:val="10"/>
              </w:rPr>
              <w:t>39.291 ,585.oo</w:t>
            </w:r>
          </w:p>
        </w:tc>
        <w:tc>
          <w:tcPr>
            <w:tcW w:w="792" w:type="dxa"/>
            <w:tcBorders>
              <w:top w:val="single" w:sz="2" w:space="0" w:color="000000"/>
              <w:left w:val="single" w:sz="2" w:space="0" w:color="000000"/>
              <w:bottom w:val="single" w:sz="2" w:space="0" w:color="000000"/>
              <w:right w:val="single" w:sz="2" w:space="0" w:color="000000"/>
            </w:tcBorders>
          </w:tcPr>
          <w:p w14:paraId="51D0B9C6"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tcPr>
          <w:p w14:paraId="4F73BEAA" w14:textId="77777777" w:rsidR="00053D93" w:rsidRDefault="00260B75">
            <w:pPr>
              <w:ind w:right="22"/>
              <w:jc w:val="right"/>
            </w:pPr>
            <w:r>
              <w:rPr>
                <w:sz w:val="12"/>
              </w:rPr>
              <w:t xml:space="preserve">91.523.7nOO </w:t>
            </w:r>
          </w:p>
        </w:tc>
        <w:tc>
          <w:tcPr>
            <w:tcW w:w="0" w:type="auto"/>
            <w:vMerge/>
            <w:tcBorders>
              <w:top w:val="nil"/>
              <w:left w:val="single" w:sz="2" w:space="0" w:color="000000"/>
              <w:bottom w:val="nil"/>
              <w:right w:val="nil"/>
            </w:tcBorders>
          </w:tcPr>
          <w:p w14:paraId="26666284" w14:textId="77777777" w:rsidR="00053D93" w:rsidRDefault="00053D93"/>
        </w:tc>
        <w:tc>
          <w:tcPr>
            <w:tcW w:w="0" w:type="auto"/>
            <w:vMerge/>
            <w:tcBorders>
              <w:top w:val="nil"/>
              <w:left w:val="nil"/>
              <w:bottom w:val="nil"/>
              <w:right w:val="single" w:sz="2" w:space="0" w:color="000000"/>
            </w:tcBorders>
          </w:tcPr>
          <w:p w14:paraId="40DE24DD" w14:textId="77777777" w:rsidR="00053D93" w:rsidRDefault="00053D93"/>
        </w:tc>
      </w:tr>
      <w:tr w:rsidR="00053D93" w14:paraId="42914862" w14:textId="77777777">
        <w:trPr>
          <w:trHeight w:val="175"/>
        </w:trPr>
        <w:tc>
          <w:tcPr>
            <w:tcW w:w="259" w:type="dxa"/>
            <w:tcBorders>
              <w:top w:val="single" w:sz="2" w:space="0" w:color="000000"/>
              <w:left w:val="single" w:sz="2" w:space="0" w:color="000000"/>
              <w:bottom w:val="single" w:sz="2" w:space="0" w:color="000000"/>
              <w:right w:val="single" w:sz="2" w:space="0" w:color="000000"/>
            </w:tcBorders>
          </w:tcPr>
          <w:p w14:paraId="19C0CBB8" w14:textId="77777777" w:rsidR="00053D93" w:rsidRDefault="00053D93"/>
        </w:tc>
        <w:tc>
          <w:tcPr>
            <w:tcW w:w="269" w:type="dxa"/>
            <w:tcBorders>
              <w:top w:val="single" w:sz="2" w:space="0" w:color="000000"/>
              <w:left w:val="single" w:sz="2" w:space="0" w:color="000000"/>
              <w:bottom w:val="single" w:sz="2" w:space="0" w:color="000000"/>
              <w:right w:val="single" w:sz="2" w:space="0" w:color="000000"/>
            </w:tcBorders>
          </w:tcPr>
          <w:p w14:paraId="14542085" w14:textId="77777777" w:rsidR="00053D93" w:rsidRDefault="00260B75">
            <w:pPr>
              <w:ind w:left="46"/>
            </w:pPr>
            <w:r>
              <w:rPr>
                <w:rFonts w:ascii="Times New Roman" w:eastAsia="Times New Roman" w:hAnsi="Times New Roman" w:cs="Times New Roman"/>
                <w:sz w:val="12"/>
              </w:rPr>
              <w:t>oa3</w:t>
            </w:r>
          </w:p>
        </w:tc>
        <w:tc>
          <w:tcPr>
            <w:tcW w:w="252" w:type="dxa"/>
            <w:tcBorders>
              <w:top w:val="single" w:sz="2" w:space="0" w:color="000000"/>
              <w:left w:val="single" w:sz="2" w:space="0" w:color="000000"/>
              <w:bottom w:val="single" w:sz="2" w:space="0" w:color="000000"/>
              <w:right w:val="single" w:sz="2" w:space="0" w:color="000000"/>
            </w:tcBorders>
          </w:tcPr>
          <w:p w14:paraId="7A705D83" w14:textId="77777777" w:rsidR="00053D93" w:rsidRDefault="00053D93"/>
        </w:tc>
        <w:tc>
          <w:tcPr>
            <w:tcW w:w="2153" w:type="dxa"/>
            <w:gridSpan w:val="2"/>
            <w:tcBorders>
              <w:top w:val="single" w:sz="2" w:space="0" w:color="000000"/>
              <w:left w:val="single" w:sz="2" w:space="0" w:color="000000"/>
              <w:bottom w:val="single" w:sz="2" w:space="0" w:color="000000"/>
              <w:right w:val="nil"/>
            </w:tcBorders>
          </w:tcPr>
          <w:p w14:paraId="43C06A91" w14:textId="77777777" w:rsidR="00053D93" w:rsidRDefault="00053D93"/>
        </w:tc>
        <w:tc>
          <w:tcPr>
            <w:tcW w:w="228" w:type="dxa"/>
            <w:tcBorders>
              <w:top w:val="single" w:sz="2" w:space="0" w:color="000000"/>
              <w:left w:val="nil"/>
              <w:bottom w:val="single" w:sz="2" w:space="0" w:color="000000"/>
              <w:right w:val="single" w:sz="2" w:space="0" w:color="000000"/>
            </w:tcBorders>
          </w:tcPr>
          <w:p w14:paraId="47C51FCE"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70620796" w14:textId="77777777" w:rsidR="00053D93" w:rsidRDefault="00260B75">
            <w:pPr>
              <w:ind w:right="29"/>
              <w:jc w:val="right"/>
            </w:pPr>
            <w:r>
              <w:rPr>
                <w:sz w:val="12"/>
              </w:rPr>
              <w:t>92,89Qt32.oo</w:t>
            </w:r>
          </w:p>
        </w:tc>
        <w:tc>
          <w:tcPr>
            <w:tcW w:w="792" w:type="dxa"/>
            <w:tcBorders>
              <w:top w:val="single" w:sz="2" w:space="0" w:color="000000"/>
              <w:left w:val="single" w:sz="2" w:space="0" w:color="000000"/>
              <w:bottom w:val="single" w:sz="2" w:space="0" w:color="000000"/>
              <w:right w:val="single" w:sz="2" w:space="0" w:color="000000"/>
            </w:tcBorders>
          </w:tcPr>
          <w:p w14:paraId="7BC9F8F4" w14:textId="77777777" w:rsidR="00053D93" w:rsidRDefault="00260B75">
            <w:pPr>
              <w:ind w:right="29"/>
              <w:jc w:val="right"/>
            </w:pPr>
            <w:r>
              <w:rPr>
                <w:rFonts w:ascii="Times New Roman" w:eastAsia="Times New Roman" w:hAnsi="Times New Roman" w:cs="Times New Roman"/>
                <w:sz w:val="10"/>
              </w:rPr>
              <w:t>-30.313,12600</w:t>
            </w:r>
          </w:p>
        </w:tc>
        <w:tc>
          <w:tcPr>
            <w:tcW w:w="1008" w:type="dxa"/>
            <w:tcBorders>
              <w:top w:val="single" w:sz="2" w:space="0" w:color="000000"/>
              <w:left w:val="single" w:sz="2" w:space="0" w:color="000000"/>
              <w:bottom w:val="single" w:sz="2" w:space="0" w:color="000000"/>
              <w:right w:val="single" w:sz="2" w:space="0" w:color="000000"/>
            </w:tcBorders>
          </w:tcPr>
          <w:p w14:paraId="0E60A566" w14:textId="77777777" w:rsidR="00053D93" w:rsidRDefault="00260B75">
            <w:pPr>
              <w:ind w:right="29"/>
              <w:jc w:val="right"/>
            </w:pPr>
            <w:r>
              <w:rPr>
                <w:sz w:val="10"/>
              </w:rPr>
              <w:t xml:space="preserve">00 </w:t>
            </w:r>
          </w:p>
        </w:tc>
        <w:tc>
          <w:tcPr>
            <w:tcW w:w="0" w:type="auto"/>
            <w:vMerge/>
            <w:tcBorders>
              <w:top w:val="nil"/>
              <w:left w:val="single" w:sz="2" w:space="0" w:color="000000"/>
              <w:bottom w:val="nil"/>
              <w:right w:val="nil"/>
            </w:tcBorders>
          </w:tcPr>
          <w:p w14:paraId="2CB5FE2A" w14:textId="77777777" w:rsidR="00053D93" w:rsidRDefault="00053D93"/>
        </w:tc>
        <w:tc>
          <w:tcPr>
            <w:tcW w:w="0" w:type="auto"/>
            <w:vMerge/>
            <w:tcBorders>
              <w:top w:val="nil"/>
              <w:left w:val="nil"/>
              <w:bottom w:val="nil"/>
              <w:right w:val="single" w:sz="2" w:space="0" w:color="000000"/>
            </w:tcBorders>
          </w:tcPr>
          <w:p w14:paraId="5CE46F5E" w14:textId="77777777" w:rsidR="00053D93" w:rsidRDefault="00053D93"/>
        </w:tc>
      </w:tr>
      <w:tr w:rsidR="00053D93" w14:paraId="527D57D6" w14:textId="77777777">
        <w:trPr>
          <w:trHeight w:val="185"/>
        </w:trPr>
        <w:tc>
          <w:tcPr>
            <w:tcW w:w="259" w:type="dxa"/>
            <w:tcBorders>
              <w:top w:val="single" w:sz="2" w:space="0" w:color="000000"/>
              <w:left w:val="single" w:sz="2" w:space="0" w:color="000000"/>
              <w:bottom w:val="single" w:sz="2" w:space="0" w:color="000000"/>
              <w:right w:val="single" w:sz="2" w:space="0" w:color="000000"/>
            </w:tcBorders>
          </w:tcPr>
          <w:p w14:paraId="5A92AC45" w14:textId="77777777" w:rsidR="00053D93" w:rsidRDefault="00053D93"/>
        </w:tc>
        <w:tc>
          <w:tcPr>
            <w:tcW w:w="269" w:type="dxa"/>
            <w:tcBorders>
              <w:top w:val="single" w:sz="2" w:space="0" w:color="000000"/>
              <w:left w:val="single" w:sz="2" w:space="0" w:color="000000"/>
              <w:bottom w:val="single" w:sz="2" w:space="0" w:color="000000"/>
              <w:right w:val="single" w:sz="2" w:space="0" w:color="000000"/>
            </w:tcBorders>
          </w:tcPr>
          <w:p w14:paraId="47E7B6A5" w14:textId="77777777" w:rsidR="00053D93" w:rsidRDefault="00260B75">
            <w:pPr>
              <w:ind w:left="46"/>
            </w:pPr>
            <w:r>
              <w:rPr>
                <w:rFonts w:ascii="Times New Roman" w:eastAsia="Times New Roman" w:hAnsi="Times New Roman" w:cs="Times New Roman"/>
                <w:sz w:val="10"/>
              </w:rPr>
              <w:t>00-1</w:t>
            </w:r>
          </w:p>
        </w:tc>
        <w:tc>
          <w:tcPr>
            <w:tcW w:w="252" w:type="dxa"/>
            <w:tcBorders>
              <w:top w:val="single" w:sz="2" w:space="0" w:color="000000"/>
              <w:left w:val="single" w:sz="2" w:space="0" w:color="000000"/>
              <w:bottom w:val="single" w:sz="2" w:space="0" w:color="000000"/>
              <w:right w:val="single" w:sz="2" w:space="0" w:color="000000"/>
            </w:tcBorders>
          </w:tcPr>
          <w:p w14:paraId="1F56C125" w14:textId="77777777" w:rsidR="00053D93" w:rsidRDefault="00260B75">
            <w:pPr>
              <w:ind w:left="43"/>
            </w:pPr>
            <w:r>
              <w:rPr>
                <w:sz w:val="12"/>
              </w:rPr>
              <w:t>coo</w:t>
            </w:r>
          </w:p>
        </w:tc>
        <w:tc>
          <w:tcPr>
            <w:tcW w:w="2153" w:type="dxa"/>
            <w:gridSpan w:val="2"/>
            <w:tcBorders>
              <w:top w:val="single" w:sz="2" w:space="0" w:color="000000"/>
              <w:left w:val="single" w:sz="2" w:space="0" w:color="000000"/>
              <w:bottom w:val="single" w:sz="2" w:space="0" w:color="000000"/>
              <w:right w:val="nil"/>
            </w:tcBorders>
          </w:tcPr>
          <w:p w14:paraId="5E3C5CD1" w14:textId="77777777" w:rsidR="00053D93" w:rsidRDefault="00260B75">
            <w:pPr>
              <w:ind w:left="22"/>
            </w:pPr>
            <w:r>
              <w:rPr>
                <w:sz w:val="12"/>
              </w:rPr>
              <w:t>FOR*AC N SECFETARAL</w:t>
            </w:r>
          </w:p>
        </w:tc>
        <w:tc>
          <w:tcPr>
            <w:tcW w:w="228" w:type="dxa"/>
            <w:tcBorders>
              <w:top w:val="single" w:sz="2" w:space="0" w:color="000000"/>
              <w:left w:val="nil"/>
              <w:bottom w:val="single" w:sz="2" w:space="0" w:color="000000"/>
              <w:right w:val="single" w:sz="2" w:space="0" w:color="000000"/>
            </w:tcBorders>
          </w:tcPr>
          <w:p w14:paraId="4CC1967E"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39B72E13" w14:textId="77777777" w:rsidR="00053D93" w:rsidRDefault="00260B75">
            <w:pPr>
              <w:ind w:left="413"/>
            </w:pPr>
            <w:r>
              <w:rPr>
                <w:rFonts w:ascii="Times New Roman" w:eastAsia="Times New Roman" w:hAnsi="Times New Roman" w:cs="Times New Roman"/>
                <w:sz w:val="10"/>
              </w:rPr>
              <w:t>14.264,533</w:t>
            </w:r>
          </w:p>
        </w:tc>
        <w:tc>
          <w:tcPr>
            <w:tcW w:w="792" w:type="dxa"/>
            <w:tcBorders>
              <w:top w:val="single" w:sz="2" w:space="0" w:color="000000"/>
              <w:left w:val="single" w:sz="2" w:space="0" w:color="000000"/>
              <w:bottom w:val="single" w:sz="2" w:space="0" w:color="000000"/>
              <w:right w:val="single" w:sz="2" w:space="0" w:color="000000"/>
            </w:tcBorders>
          </w:tcPr>
          <w:p w14:paraId="436F61A0"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tcPr>
          <w:p w14:paraId="2300FEFC" w14:textId="77777777" w:rsidR="00053D93" w:rsidRDefault="00260B75">
            <w:pPr>
              <w:ind w:right="29"/>
              <w:jc w:val="right"/>
            </w:pPr>
            <w:r>
              <w:rPr>
                <w:rFonts w:ascii="Times New Roman" w:eastAsia="Times New Roman" w:hAnsi="Times New Roman" w:cs="Times New Roman"/>
                <w:sz w:val="10"/>
              </w:rPr>
              <w:t>13.*92.184.00</w:t>
            </w:r>
          </w:p>
        </w:tc>
        <w:tc>
          <w:tcPr>
            <w:tcW w:w="0" w:type="auto"/>
            <w:vMerge/>
            <w:tcBorders>
              <w:top w:val="nil"/>
              <w:left w:val="single" w:sz="2" w:space="0" w:color="000000"/>
              <w:bottom w:val="nil"/>
              <w:right w:val="nil"/>
            </w:tcBorders>
          </w:tcPr>
          <w:p w14:paraId="7842C470" w14:textId="77777777" w:rsidR="00053D93" w:rsidRDefault="00053D93"/>
        </w:tc>
        <w:tc>
          <w:tcPr>
            <w:tcW w:w="0" w:type="auto"/>
            <w:vMerge/>
            <w:tcBorders>
              <w:top w:val="nil"/>
              <w:left w:val="nil"/>
              <w:bottom w:val="nil"/>
              <w:right w:val="single" w:sz="2" w:space="0" w:color="000000"/>
            </w:tcBorders>
          </w:tcPr>
          <w:p w14:paraId="3476F40D" w14:textId="77777777" w:rsidR="00053D93" w:rsidRDefault="00053D93"/>
        </w:tc>
      </w:tr>
      <w:tr w:rsidR="00053D93" w14:paraId="3F572DD3" w14:textId="77777777">
        <w:trPr>
          <w:trHeight w:val="281"/>
        </w:trPr>
        <w:tc>
          <w:tcPr>
            <w:tcW w:w="259" w:type="dxa"/>
            <w:tcBorders>
              <w:top w:val="single" w:sz="2" w:space="0" w:color="000000"/>
              <w:left w:val="single" w:sz="2" w:space="0" w:color="000000"/>
              <w:bottom w:val="single" w:sz="2" w:space="0" w:color="000000"/>
              <w:right w:val="single" w:sz="2" w:space="0" w:color="000000"/>
            </w:tcBorders>
            <w:vAlign w:val="bottom"/>
          </w:tcPr>
          <w:p w14:paraId="2D9F80AA" w14:textId="77777777" w:rsidR="00053D93" w:rsidRDefault="00260B75">
            <w:pPr>
              <w:ind w:right="9"/>
              <w:jc w:val="center"/>
            </w:pPr>
            <w:r>
              <w:rPr>
                <w:rFonts w:ascii="Times New Roman" w:eastAsia="Times New Roman" w:hAnsi="Times New Roman" w:cs="Times New Roman"/>
                <w:sz w:val="10"/>
              </w:rPr>
              <w:t>14</w:t>
            </w:r>
          </w:p>
        </w:tc>
        <w:tc>
          <w:tcPr>
            <w:tcW w:w="269" w:type="dxa"/>
            <w:tcBorders>
              <w:top w:val="single" w:sz="2" w:space="0" w:color="000000"/>
              <w:left w:val="single" w:sz="2" w:space="0" w:color="000000"/>
              <w:bottom w:val="single" w:sz="2" w:space="0" w:color="000000"/>
              <w:right w:val="single" w:sz="2" w:space="0" w:color="000000"/>
            </w:tcBorders>
            <w:vAlign w:val="bottom"/>
          </w:tcPr>
          <w:p w14:paraId="5B17BE04" w14:textId="77777777" w:rsidR="00053D93" w:rsidRDefault="00260B75">
            <w:pPr>
              <w:ind w:left="46"/>
            </w:pPr>
            <w:r>
              <w:rPr>
                <w:sz w:val="12"/>
              </w:rPr>
              <w:t>oos</w:t>
            </w:r>
          </w:p>
        </w:tc>
        <w:tc>
          <w:tcPr>
            <w:tcW w:w="252" w:type="dxa"/>
            <w:tcBorders>
              <w:top w:val="single" w:sz="2" w:space="0" w:color="000000"/>
              <w:left w:val="single" w:sz="2" w:space="0" w:color="000000"/>
              <w:bottom w:val="single" w:sz="2" w:space="0" w:color="000000"/>
              <w:right w:val="single" w:sz="2" w:space="0" w:color="000000"/>
            </w:tcBorders>
          </w:tcPr>
          <w:p w14:paraId="38E18B80" w14:textId="77777777" w:rsidR="00053D93" w:rsidRDefault="00053D93"/>
        </w:tc>
        <w:tc>
          <w:tcPr>
            <w:tcW w:w="2153" w:type="dxa"/>
            <w:gridSpan w:val="2"/>
            <w:tcBorders>
              <w:top w:val="single" w:sz="2" w:space="0" w:color="000000"/>
              <w:left w:val="single" w:sz="2" w:space="0" w:color="000000"/>
              <w:bottom w:val="single" w:sz="2" w:space="0" w:color="000000"/>
              <w:right w:val="nil"/>
            </w:tcBorders>
            <w:vAlign w:val="bottom"/>
          </w:tcPr>
          <w:p w14:paraId="3FB1847E" w14:textId="77777777" w:rsidR="00053D93" w:rsidRDefault="00260B75">
            <w:pPr>
              <w:ind w:left="14"/>
            </w:pPr>
            <w:r>
              <w:rPr>
                <w:sz w:val="16"/>
              </w:rPr>
              <w:t>Fox,"</w:t>
            </w:r>
          </w:p>
        </w:tc>
        <w:tc>
          <w:tcPr>
            <w:tcW w:w="228" w:type="dxa"/>
            <w:tcBorders>
              <w:top w:val="single" w:sz="2" w:space="0" w:color="000000"/>
              <w:left w:val="nil"/>
              <w:bottom w:val="single" w:sz="2" w:space="0" w:color="000000"/>
              <w:right w:val="single" w:sz="2" w:space="0" w:color="000000"/>
            </w:tcBorders>
          </w:tcPr>
          <w:p w14:paraId="1834AB32" w14:textId="77777777" w:rsidR="00053D93" w:rsidRDefault="00053D93"/>
        </w:tc>
        <w:tc>
          <w:tcPr>
            <w:tcW w:w="1032" w:type="dxa"/>
            <w:tcBorders>
              <w:top w:val="single" w:sz="2" w:space="0" w:color="000000"/>
              <w:left w:val="single" w:sz="2" w:space="0" w:color="000000"/>
              <w:bottom w:val="single" w:sz="2" w:space="0" w:color="000000"/>
              <w:right w:val="single" w:sz="2" w:space="0" w:color="000000"/>
            </w:tcBorders>
          </w:tcPr>
          <w:p w14:paraId="37985357" w14:textId="77777777" w:rsidR="00053D93" w:rsidRDefault="00260B75">
            <w:pPr>
              <w:spacing w:after="57"/>
              <w:ind w:right="29"/>
              <w:jc w:val="right"/>
            </w:pPr>
            <w:r>
              <w:rPr>
                <w:rFonts w:ascii="Times New Roman" w:eastAsia="Times New Roman" w:hAnsi="Times New Roman" w:cs="Times New Roman"/>
                <w:sz w:val="8"/>
              </w:rPr>
              <w:t>33.245.764 co</w:t>
            </w:r>
          </w:p>
          <w:p w14:paraId="69C1F098" w14:textId="77777777" w:rsidR="00053D93" w:rsidRDefault="00260B75">
            <w:pPr>
              <w:ind w:right="55"/>
              <w:jc w:val="center"/>
            </w:pPr>
            <w:r>
              <w:rPr>
                <w:rFonts w:ascii="Times New Roman" w:eastAsia="Times New Roman" w:hAnsi="Times New Roman" w:cs="Times New Roman"/>
                <w:sz w:val="12"/>
              </w:rPr>
              <w:t>2.</w:t>
            </w:r>
          </w:p>
        </w:tc>
        <w:tc>
          <w:tcPr>
            <w:tcW w:w="792" w:type="dxa"/>
            <w:tcBorders>
              <w:top w:val="single" w:sz="2" w:space="0" w:color="000000"/>
              <w:left w:val="single" w:sz="2" w:space="0" w:color="000000"/>
              <w:bottom w:val="single" w:sz="2" w:space="0" w:color="000000"/>
              <w:right w:val="single" w:sz="2" w:space="0" w:color="000000"/>
            </w:tcBorders>
          </w:tcPr>
          <w:p w14:paraId="5037D5B4" w14:textId="77777777" w:rsidR="00053D93" w:rsidRDefault="00260B75">
            <w:pPr>
              <w:ind w:right="36"/>
              <w:jc w:val="right"/>
            </w:pPr>
            <w:r>
              <w:rPr>
                <w:rFonts w:ascii="Times New Roman" w:eastAsia="Times New Roman" w:hAnsi="Times New Roman" w:cs="Times New Roman"/>
                <w:sz w:val="10"/>
              </w:rPr>
              <w:t>-3.375.524 oc</w:t>
            </w:r>
          </w:p>
        </w:tc>
        <w:tc>
          <w:tcPr>
            <w:tcW w:w="1008" w:type="dxa"/>
            <w:tcBorders>
              <w:top w:val="single" w:sz="2" w:space="0" w:color="000000"/>
              <w:left w:val="single" w:sz="2" w:space="0" w:color="000000"/>
              <w:bottom w:val="single" w:sz="2" w:space="0" w:color="000000"/>
              <w:right w:val="single" w:sz="2" w:space="0" w:color="000000"/>
            </w:tcBorders>
          </w:tcPr>
          <w:p w14:paraId="090E361B" w14:textId="77777777" w:rsidR="00053D93" w:rsidRDefault="00053D93"/>
        </w:tc>
        <w:tc>
          <w:tcPr>
            <w:tcW w:w="0" w:type="auto"/>
            <w:vMerge/>
            <w:tcBorders>
              <w:top w:val="nil"/>
              <w:left w:val="single" w:sz="2" w:space="0" w:color="000000"/>
              <w:bottom w:val="nil"/>
              <w:right w:val="nil"/>
            </w:tcBorders>
          </w:tcPr>
          <w:p w14:paraId="013E69E0" w14:textId="77777777" w:rsidR="00053D93" w:rsidRDefault="00053D93"/>
        </w:tc>
        <w:tc>
          <w:tcPr>
            <w:tcW w:w="0" w:type="auto"/>
            <w:vMerge/>
            <w:tcBorders>
              <w:top w:val="nil"/>
              <w:left w:val="nil"/>
              <w:bottom w:val="nil"/>
              <w:right w:val="single" w:sz="2" w:space="0" w:color="000000"/>
            </w:tcBorders>
          </w:tcPr>
          <w:p w14:paraId="52707577" w14:textId="77777777" w:rsidR="00053D93" w:rsidRDefault="00053D93"/>
        </w:tc>
      </w:tr>
      <w:tr w:rsidR="00053D93" w14:paraId="50E22660" w14:textId="77777777">
        <w:trPr>
          <w:trHeight w:val="367"/>
        </w:trPr>
        <w:tc>
          <w:tcPr>
            <w:tcW w:w="259" w:type="dxa"/>
            <w:tcBorders>
              <w:top w:val="single" w:sz="2" w:space="0" w:color="000000"/>
              <w:left w:val="single" w:sz="2" w:space="0" w:color="000000"/>
              <w:bottom w:val="single" w:sz="2" w:space="0" w:color="000000"/>
              <w:right w:val="single" w:sz="2" w:space="0" w:color="000000"/>
            </w:tcBorders>
            <w:vAlign w:val="center"/>
          </w:tcPr>
          <w:p w14:paraId="0E85C38F" w14:textId="77777777" w:rsidR="00053D93" w:rsidRDefault="00260B75">
            <w:pPr>
              <w:ind w:left="75"/>
            </w:pPr>
            <w:r>
              <w:rPr>
                <w:rFonts w:ascii="Times New Roman" w:eastAsia="Times New Roman" w:hAnsi="Times New Roman" w:cs="Times New Roman"/>
                <w:sz w:val="12"/>
              </w:rPr>
              <w:t>14</w:t>
            </w:r>
          </w:p>
        </w:tc>
        <w:tc>
          <w:tcPr>
            <w:tcW w:w="269" w:type="dxa"/>
            <w:tcBorders>
              <w:top w:val="single" w:sz="2" w:space="0" w:color="000000"/>
              <w:left w:val="single" w:sz="2" w:space="0" w:color="000000"/>
              <w:bottom w:val="single" w:sz="2" w:space="0" w:color="000000"/>
              <w:right w:val="single" w:sz="2" w:space="0" w:color="000000"/>
            </w:tcBorders>
          </w:tcPr>
          <w:p w14:paraId="3CABF880" w14:textId="77777777" w:rsidR="00053D93" w:rsidRDefault="00053D93"/>
        </w:tc>
        <w:tc>
          <w:tcPr>
            <w:tcW w:w="252" w:type="dxa"/>
            <w:tcBorders>
              <w:top w:val="single" w:sz="2" w:space="0" w:color="000000"/>
              <w:left w:val="single" w:sz="2" w:space="0" w:color="000000"/>
              <w:bottom w:val="single" w:sz="2" w:space="0" w:color="000000"/>
              <w:right w:val="single" w:sz="2" w:space="0" w:color="000000"/>
            </w:tcBorders>
          </w:tcPr>
          <w:p w14:paraId="2C691F24" w14:textId="77777777" w:rsidR="00053D93" w:rsidRDefault="00053D93"/>
        </w:tc>
        <w:tc>
          <w:tcPr>
            <w:tcW w:w="2153" w:type="dxa"/>
            <w:gridSpan w:val="2"/>
            <w:tcBorders>
              <w:top w:val="single" w:sz="2" w:space="0" w:color="000000"/>
              <w:left w:val="single" w:sz="2" w:space="0" w:color="000000"/>
              <w:bottom w:val="single" w:sz="2" w:space="0" w:color="000000"/>
              <w:right w:val="nil"/>
            </w:tcBorders>
          </w:tcPr>
          <w:p w14:paraId="57DC7D58" w14:textId="77777777" w:rsidR="00053D93" w:rsidRDefault="00260B75">
            <w:pPr>
              <w:ind w:left="14" w:right="294"/>
            </w:pPr>
            <w:r>
              <w:rPr>
                <w:sz w:val="12"/>
              </w:rPr>
              <w:t xml:space="preserve">CX)NSTRt.ECON </w:t>
            </w:r>
            <w:r>
              <w:rPr>
                <w:sz w:val="12"/>
              </w:rPr>
              <w:tab/>
              <w:t>Y arcos E</w:t>
            </w:r>
          </w:p>
        </w:tc>
        <w:tc>
          <w:tcPr>
            <w:tcW w:w="228" w:type="dxa"/>
            <w:tcBorders>
              <w:top w:val="single" w:sz="2" w:space="0" w:color="000000"/>
              <w:left w:val="nil"/>
              <w:bottom w:val="single" w:sz="2" w:space="0" w:color="000000"/>
              <w:right w:val="single" w:sz="2" w:space="0" w:color="000000"/>
            </w:tcBorders>
          </w:tcPr>
          <w:p w14:paraId="40C18DEF" w14:textId="77777777" w:rsidR="00053D93" w:rsidRDefault="00260B75">
            <w:r>
              <w:rPr>
                <w:sz w:val="20"/>
              </w:rPr>
              <w:t>[E</w:t>
            </w:r>
          </w:p>
        </w:tc>
        <w:tc>
          <w:tcPr>
            <w:tcW w:w="1032" w:type="dxa"/>
            <w:tcBorders>
              <w:top w:val="single" w:sz="2" w:space="0" w:color="000000"/>
              <w:left w:val="single" w:sz="2" w:space="0" w:color="000000"/>
              <w:bottom w:val="single" w:sz="2" w:space="0" w:color="000000"/>
              <w:right w:val="single" w:sz="2" w:space="0" w:color="000000"/>
            </w:tcBorders>
            <w:vAlign w:val="center"/>
          </w:tcPr>
          <w:p w14:paraId="5C6ED20E" w14:textId="77777777" w:rsidR="00053D93" w:rsidRDefault="00260B75">
            <w:pPr>
              <w:ind w:right="36"/>
              <w:jc w:val="right"/>
            </w:pPr>
            <w:r>
              <w:rPr>
                <w:rFonts w:ascii="Times New Roman" w:eastAsia="Times New Roman" w:hAnsi="Times New Roman" w:cs="Times New Roman"/>
                <w:sz w:val="8"/>
              </w:rPr>
              <w:t>5.740.313_CC</w:t>
            </w:r>
          </w:p>
        </w:tc>
        <w:tc>
          <w:tcPr>
            <w:tcW w:w="792" w:type="dxa"/>
            <w:tcBorders>
              <w:top w:val="single" w:sz="2" w:space="0" w:color="000000"/>
              <w:left w:val="single" w:sz="2" w:space="0" w:color="000000"/>
              <w:bottom w:val="single" w:sz="2" w:space="0" w:color="000000"/>
              <w:right w:val="single" w:sz="2" w:space="0" w:color="000000"/>
            </w:tcBorders>
            <w:vAlign w:val="center"/>
          </w:tcPr>
          <w:p w14:paraId="227D40D3" w14:textId="77777777" w:rsidR="00053D93" w:rsidRDefault="00260B75">
            <w:pPr>
              <w:ind w:right="36"/>
              <w:jc w:val="right"/>
            </w:pPr>
            <w:r>
              <w:rPr>
                <w:rFonts w:ascii="Times New Roman" w:eastAsia="Times New Roman" w:hAnsi="Times New Roman" w:cs="Times New Roman"/>
                <w:sz w:val="10"/>
              </w:rPr>
              <w:t>-4.82422CO</w:t>
            </w:r>
          </w:p>
        </w:tc>
        <w:tc>
          <w:tcPr>
            <w:tcW w:w="1008" w:type="dxa"/>
            <w:tcBorders>
              <w:top w:val="single" w:sz="2" w:space="0" w:color="000000"/>
              <w:left w:val="single" w:sz="2" w:space="0" w:color="000000"/>
              <w:bottom w:val="single" w:sz="2" w:space="0" w:color="000000"/>
              <w:right w:val="single" w:sz="2" w:space="0" w:color="000000"/>
            </w:tcBorders>
            <w:vAlign w:val="center"/>
          </w:tcPr>
          <w:p w14:paraId="3A2C9B0C" w14:textId="77777777" w:rsidR="00053D93" w:rsidRDefault="00260B75">
            <w:pPr>
              <w:ind w:right="29"/>
              <w:jc w:val="right"/>
            </w:pPr>
            <w:r>
              <w:rPr>
                <w:sz w:val="14"/>
              </w:rPr>
              <w:t>se,'.eaoa</w:t>
            </w:r>
          </w:p>
        </w:tc>
        <w:tc>
          <w:tcPr>
            <w:tcW w:w="0" w:type="auto"/>
            <w:vMerge/>
            <w:tcBorders>
              <w:top w:val="nil"/>
              <w:left w:val="single" w:sz="2" w:space="0" w:color="000000"/>
              <w:bottom w:val="single" w:sz="2" w:space="0" w:color="000000"/>
              <w:right w:val="nil"/>
            </w:tcBorders>
          </w:tcPr>
          <w:p w14:paraId="5C44DE45" w14:textId="77777777" w:rsidR="00053D93" w:rsidRDefault="00053D93"/>
        </w:tc>
        <w:tc>
          <w:tcPr>
            <w:tcW w:w="0" w:type="auto"/>
            <w:vMerge/>
            <w:tcBorders>
              <w:top w:val="nil"/>
              <w:left w:val="nil"/>
              <w:bottom w:val="single" w:sz="2" w:space="0" w:color="000000"/>
              <w:right w:val="single" w:sz="2" w:space="0" w:color="000000"/>
            </w:tcBorders>
          </w:tcPr>
          <w:p w14:paraId="590FDEC6" w14:textId="77777777" w:rsidR="00053D93" w:rsidRDefault="00053D93"/>
        </w:tc>
      </w:tr>
    </w:tbl>
    <w:p w14:paraId="0EE6FF8E" w14:textId="77777777" w:rsidR="00053D93" w:rsidRDefault="00260B75">
      <w:pPr>
        <w:tabs>
          <w:tab w:val="center" w:pos="2912"/>
        </w:tabs>
        <w:spacing w:after="0"/>
        <w:ind w:left="-15"/>
      </w:pPr>
      <w:r>
        <w:rPr>
          <w:noProof/>
        </w:rPr>
        <w:lastRenderedPageBreak/>
        <w:drawing>
          <wp:anchor distT="0" distB="0" distL="114300" distR="114300" simplePos="0" relativeHeight="251830272" behindDoc="0" locked="0" layoutInCell="1" allowOverlap="0" wp14:anchorId="0249F2F4" wp14:editId="69FA3E26">
            <wp:simplePos x="0" y="0"/>
            <wp:positionH relativeFrom="column">
              <wp:posOffset>-1083563</wp:posOffset>
            </wp:positionH>
            <wp:positionV relativeFrom="paragraph">
              <wp:posOffset>-1660184</wp:posOffset>
            </wp:positionV>
            <wp:extent cx="9313163" cy="6478525"/>
            <wp:effectExtent l="0" t="0" r="0" b="0"/>
            <wp:wrapSquare wrapText="bothSides"/>
            <wp:docPr id="2458239" name="Picture 2458239"/>
            <wp:cNvGraphicFramePr/>
            <a:graphic xmlns:a="http://schemas.openxmlformats.org/drawingml/2006/main">
              <a:graphicData uri="http://schemas.openxmlformats.org/drawingml/2006/picture">
                <pic:pic xmlns:pic="http://schemas.openxmlformats.org/drawingml/2006/picture">
                  <pic:nvPicPr>
                    <pic:cNvPr id="2458239" name="Picture 2458239"/>
                    <pic:cNvPicPr/>
                  </pic:nvPicPr>
                  <pic:blipFill>
                    <a:blip r:embed="rId392"/>
                    <a:stretch>
                      <a:fillRect/>
                    </a:stretch>
                  </pic:blipFill>
                  <pic:spPr>
                    <a:xfrm>
                      <a:off x="0" y="0"/>
                      <a:ext cx="9313163" cy="6478525"/>
                    </a:xfrm>
                    <a:prstGeom prst="rect">
                      <a:avLst/>
                    </a:prstGeom>
                  </pic:spPr>
                </pic:pic>
              </a:graphicData>
            </a:graphic>
          </wp:anchor>
        </w:drawing>
      </w:r>
      <w:r>
        <w:rPr>
          <w:rFonts w:ascii="Times New Roman" w:eastAsia="Times New Roman" w:hAnsi="Times New Roman" w:cs="Times New Roman"/>
          <w:sz w:val="40"/>
        </w:rPr>
        <w:t>00</w:t>
      </w:r>
      <w:r>
        <w:rPr>
          <w:rFonts w:ascii="Times New Roman" w:eastAsia="Times New Roman" w:hAnsi="Times New Roman" w:cs="Times New Roman"/>
          <w:sz w:val="40"/>
        </w:rPr>
        <w:tab/>
      </w:r>
      <w:r>
        <w:rPr>
          <w:sz w:val="40"/>
        </w:rPr>
        <w:t>Ministerio de</w:t>
      </w:r>
    </w:p>
    <w:p w14:paraId="4EE6936C" w14:textId="77777777" w:rsidR="00053D93" w:rsidRDefault="00260B75">
      <w:pPr>
        <w:spacing w:after="40"/>
        <w:ind w:left="1853" w:hanging="10"/>
      </w:pPr>
      <w:r>
        <w:rPr>
          <w:sz w:val="46"/>
        </w:rPr>
        <w:lastRenderedPageBreak/>
        <w:t>Educación</w:t>
      </w:r>
    </w:p>
    <w:p w14:paraId="7EB26FD8" w14:textId="77777777" w:rsidR="00053D93" w:rsidRDefault="00260B75">
      <w:pPr>
        <w:spacing w:after="0" w:line="265" w:lineRule="auto"/>
        <w:ind w:left="10" w:right="6005" w:hanging="10"/>
        <w:jc w:val="right"/>
      </w:pPr>
      <w:r>
        <w:rPr>
          <w:sz w:val="14"/>
        </w:rPr>
        <w:t>Inbrmcs do Go*ión y Rondic.ión da Cuentas</w:t>
      </w:r>
    </w:p>
    <w:p w14:paraId="1E79BAF7" w14:textId="77777777" w:rsidR="00053D93" w:rsidRDefault="00260B75">
      <w:pPr>
        <w:tabs>
          <w:tab w:val="center" w:pos="4277"/>
          <w:tab w:val="center" w:pos="6239"/>
        </w:tabs>
        <w:spacing w:after="577" w:line="265" w:lineRule="auto"/>
      </w:pPr>
      <w:r>
        <w:rPr>
          <w:sz w:val="14"/>
        </w:rPr>
        <w:tab/>
        <w:t xml:space="preserve">AnálWs y </w:t>
      </w:r>
      <w:r>
        <w:rPr>
          <w:sz w:val="14"/>
        </w:rPr>
        <w:tab/>
        <w:t>de tas Prindpalas Variacfones</w:t>
      </w:r>
    </w:p>
    <w:p w14:paraId="3F065532" w14:textId="77777777" w:rsidR="00053D93" w:rsidRDefault="00260B75">
      <w:pPr>
        <w:spacing w:after="156" w:line="265" w:lineRule="auto"/>
        <w:ind w:left="874" w:hanging="10"/>
      </w:pPr>
      <w:r>
        <w:rPr>
          <w:rFonts w:ascii="Times New Roman" w:eastAsia="Times New Roman" w:hAnsi="Times New Roman" w:cs="Times New Roman"/>
          <w:sz w:val="12"/>
        </w:rPr>
        <w:t>2024</w:t>
      </w:r>
    </w:p>
    <w:p w14:paraId="70FF333B" w14:textId="77777777" w:rsidR="00053D93" w:rsidRDefault="00260B75">
      <w:pPr>
        <w:spacing w:after="187" w:line="265" w:lineRule="auto"/>
        <w:ind w:left="348" w:hanging="10"/>
      </w:pPr>
      <w:r>
        <w:rPr>
          <w:sz w:val="14"/>
        </w:rPr>
        <w:t>Período: ENEROOCtEMBRE</w:t>
      </w:r>
    </w:p>
    <w:p w14:paraId="095D56FF" w14:textId="77777777" w:rsidR="00053D93" w:rsidRDefault="00260B75">
      <w:pPr>
        <w:spacing w:after="3" w:line="265" w:lineRule="auto"/>
        <w:ind w:left="413" w:hanging="10"/>
      </w:pPr>
      <w:r>
        <w:rPr>
          <w:rFonts w:ascii="Times New Roman" w:eastAsia="Times New Roman" w:hAnsi="Times New Roman" w:cs="Times New Roman"/>
          <w:sz w:val="12"/>
        </w:rPr>
        <w:t>- %trtxttrra</w:t>
      </w:r>
      <w:r>
        <w:br w:type="page"/>
      </w:r>
    </w:p>
    <w:p w14:paraId="5CDF3227" w14:textId="77777777" w:rsidR="00053D93" w:rsidRDefault="00260B75">
      <w:pPr>
        <w:spacing w:after="236"/>
        <w:ind w:right="137"/>
        <w:jc w:val="right"/>
      </w:pPr>
      <w:r>
        <w:rPr>
          <w:rFonts w:ascii="Times New Roman" w:eastAsia="Times New Roman" w:hAnsi="Times New Roman" w:cs="Times New Roman"/>
          <w:sz w:val="18"/>
        </w:rPr>
        <w:lastRenderedPageBreak/>
        <w:t>o</w:t>
      </w:r>
    </w:p>
    <w:p w14:paraId="7993E0E0" w14:textId="77777777" w:rsidR="00053D93" w:rsidRDefault="00260B75">
      <w:pPr>
        <w:spacing w:after="297"/>
        <w:ind w:left="374" w:right="130" w:hanging="10"/>
        <w:jc w:val="right"/>
      </w:pPr>
      <w:r>
        <w:rPr>
          <w:rFonts w:ascii="Times New Roman" w:eastAsia="Times New Roman" w:hAnsi="Times New Roman" w:cs="Times New Roman"/>
          <w:sz w:val="20"/>
        </w:rPr>
        <w:t>o</w:t>
      </w:r>
    </w:p>
    <w:p w14:paraId="3926E1FE" w14:textId="77777777" w:rsidR="00053D93" w:rsidRDefault="00260B75">
      <w:pPr>
        <w:spacing w:after="0"/>
        <w:ind w:left="1932" w:hanging="10"/>
      </w:pPr>
      <w:r>
        <w:rPr>
          <w:sz w:val="40"/>
        </w:rPr>
        <w:t>Ministerio de</w:t>
      </w:r>
    </w:p>
    <w:p w14:paraId="23B8A76A" w14:textId="77777777" w:rsidR="00053D93" w:rsidRDefault="00260B75">
      <w:pPr>
        <w:spacing w:after="0"/>
        <w:ind w:left="1853" w:hanging="10"/>
      </w:pPr>
      <w:r>
        <w:rPr>
          <w:sz w:val="46"/>
        </w:rPr>
        <w:t>Educación</w:t>
      </w:r>
    </w:p>
    <w:p w14:paraId="7DFB54B0" w14:textId="77777777" w:rsidR="00053D93" w:rsidRDefault="00260B75">
      <w:pPr>
        <w:spacing w:after="368" w:line="265" w:lineRule="auto"/>
        <w:ind w:left="10" w:right="122" w:hanging="10"/>
        <w:jc w:val="right"/>
      </w:pPr>
      <w:r>
        <w:rPr>
          <w:rFonts w:ascii="Times New Roman" w:eastAsia="Times New Roman" w:hAnsi="Times New Roman" w:cs="Times New Roman"/>
        </w:rPr>
        <w:t>o</w:t>
      </w:r>
    </w:p>
    <w:p w14:paraId="2DECD335" w14:textId="77777777" w:rsidR="00053D93" w:rsidRDefault="00260B75">
      <w:pPr>
        <w:spacing w:after="3" w:line="265" w:lineRule="auto"/>
        <w:ind w:left="4359" w:hanging="10"/>
      </w:pPr>
      <w:r>
        <w:rPr>
          <w:sz w:val="14"/>
        </w:rPr>
        <w:t>Informes de Gc*ión y Rendición de Cuantas</w:t>
      </w:r>
    </w:p>
    <w:p w14:paraId="716F680D" w14:textId="77777777" w:rsidR="00053D93" w:rsidRDefault="00260B75">
      <w:pPr>
        <w:spacing w:after="307" w:line="265" w:lineRule="auto"/>
        <w:ind w:left="4049" w:hanging="10"/>
      </w:pPr>
      <w:r>
        <w:rPr>
          <w:sz w:val="14"/>
        </w:rPr>
        <w:t>Análids y Jusjficadones de las Principales Variaciones</w:t>
      </w:r>
    </w:p>
    <w:p w14:paraId="59F7A5B8" w14:textId="77777777" w:rsidR="00053D93" w:rsidRDefault="00260B75">
      <w:pPr>
        <w:tabs>
          <w:tab w:val="center" w:pos="1415"/>
          <w:tab w:val="center" w:pos="8320"/>
          <w:tab w:val="center" w:pos="9749"/>
        </w:tabs>
        <w:spacing w:after="140" w:line="265" w:lineRule="auto"/>
      </w:pPr>
      <w:r>
        <w:rPr>
          <w:sz w:val="14"/>
        </w:rPr>
        <w:tab/>
        <w:t>Entidad: MtNlSTERlO DE EDUCACION</w:t>
      </w:r>
      <w:r>
        <w:rPr>
          <w:sz w:val="14"/>
        </w:rPr>
        <w:tab/>
        <w:t>Código Informe</w:t>
      </w:r>
      <w:r>
        <w:rPr>
          <w:sz w:val="14"/>
        </w:rPr>
        <w:tab/>
        <w:t>IGRü)6</w:t>
      </w:r>
    </w:p>
    <w:p w14:paraId="0C9D6C5F" w14:textId="77777777" w:rsidR="00053D93" w:rsidRDefault="00260B75">
      <w:pPr>
        <w:spacing w:after="125" w:line="265" w:lineRule="auto"/>
        <w:ind w:left="399" w:hanging="10"/>
      </w:pPr>
      <w:r>
        <w:rPr>
          <w:sz w:val="14"/>
        </w:rPr>
        <w:t>Ejercicio: 2024</w:t>
      </w:r>
    </w:p>
    <w:p w14:paraId="0E533AE7" w14:textId="77777777" w:rsidR="00053D93" w:rsidRDefault="00260B75">
      <w:pPr>
        <w:spacing w:after="1644" w:line="265" w:lineRule="auto"/>
        <w:ind w:left="399" w:hanging="10"/>
      </w:pPr>
      <w:r>
        <w:rPr>
          <w:noProof/>
        </w:rPr>
        <w:drawing>
          <wp:anchor distT="0" distB="0" distL="114300" distR="114300" simplePos="0" relativeHeight="251831296" behindDoc="0" locked="0" layoutInCell="1" allowOverlap="0" wp14:anchorId="402F2AE6" wp14:editId="6C8D8408">
            <wp:simplePos x="0" y="0"/>
            <wp:positionH relativeFrom="page">
              <wp:posOffset>667512</wp:posOffset>
            </wp:positionH>
            <wp:positionV relativeFrom="page">
              <wp:posOffset>192024</wp:posOffset>
            </wp:positionV>
            <wp:extent cx="9166860" cy="169164"/>
            <wp:effectExtent l="0" t="0" r="0" b="0"/>
            <wp:wrapTopAndBottom/>
            <wp:docPr id="2458241" name="Picture 2458241"/>
            <wp:cNvGraphicFramePr/>
            <a:graphic xmlns:a="http://schemas.openxmlformats.org/drawingml/2006/main">
              <a:graphicData uri="http://schemas.openxmlformats.org/drawingml/2006/picture">
                <pic:pic xmlns:pic="http://schemas.openxmlformats.org/drawingml/2006/picture">
                  <pic:nvPicPr>
                    <pic:cNvPr id="2458241" name="Picture 2458241"/>
                    <pic:cNvPicPr/>
                  </pic:nvPicPr>
                  <pic:blipFill>
                    <a:blip r:embed="rId393"/>
                    <a:stretch>
                      <a:fillRect/>
                    </a:stretch>
                  </pic:blipFill>
                  <pic:spPr>
                    <a:xfrm>
                      <a:off x="0" y="0"/>
                      <a:ext cx="9166860" cy="169164"/>
                    </a:xfrm>
                    <a:prstGeom prst="rect">
                      <a:avLst/>
                    </a:prstGeom>
                  </pic:spPr>
                </pic:pic>
              </a:graphicData>
            </a:graphic>
          </wp:anchor>
        </w:drawing>
      </w:r>
      <w:r>
        <w:rPr>
          <w:noProof/>
        </w:rPr>
        <w:drawing>
          <wp:anchor distT="0" distB="0" distL="114300" distR="114300" simplePos="0" relativeHeight="251832320" behindDoc="0" locked="0" layoutInCell="1" allowOverlap="0" wp14:anchorId="0C0F15E1" wp14:editId="39C70CAA">
            <wp:simplePos x="0" y="0"/>
            <wp:positionH relativeFrom="page">
              <wp:posOffset>534924</wp:posOffset>
            </wp:positionH>
            <wp:positionV relativeFrom="page">
              <wp:posOffset>694944</wp:posOffset>
            </wp:positionV>
            <wp:extent cx="406908" cy="5984749"/>
            <wp:effectExtent l="0" t="0" r="0" b="0"/>
            <wp:wrapSquare wrapText="bothSides"/>
            <wp:docPr id="2458243" name="Picture 2458243"/>
            <wp:cNvGraphicFramePr/>
            <a:graphic xmlns:a="http://schemas.openxmlformats.org/drawingml/2006/main">
              <a:graphicData uri="http://schemas.openxmlformats.org/drawingml/2006/picture">
                <pic:pic xmlns:pic="http://schemas.openxmlformats.org/drawingml/2006/picture">
                  <pic:nvPicPr>
                    <pic:cNvPr id="2458243" name="Picture 2458243"/>
                    <pic:cNvPicPr/>
                  </pic:nvPicPr>
                  <pic:blipFill>
                    <a:blip r:embed="rId394"/>
                    <a:stretch>
                      <a:fillRect/>
                    </a:stretch>
                  </pic:blipFill>
                  <pic:spPr>
                    <a:xfrm>
                      <a:off x="0" y="0"/>
                      <a:ext cx="406908" cy="5984749"/>
                    </a:xfrm>
                    <a:prstGeom prst="rect">
                      <a:avLst/>
                    </a:prstGeom>
                  </pic:spPr>
                </pic:pic>
              </a:graphicData>
            </a:graphic>
          </wp:anchor>
        </w:drawing>
      </w:r>
      <w:r>
        <w:rPr>
          <w:sz w:val="14"/>
        </w:rPr>
        <w:t>Periodo: ENERO-DICIEMBRE</w:t>
      </w:r>
    </w:p>
    <w:tbl>
      <w:tblPr>
        <w:tblStyle w:val="TableGrid"/>
        <w:tblpPr w:vertAnchor="text" w:tblpX="364" w:tblpY="-1572"/>
        <w:tblOverlap w:val="never"/>
        <w:tblW w:w="10368" w:type="dxa"/>
        <w:tblInd w:w="0" w:type="dxa"/>
        <w:tblLook w:val="04A0" w:firstRow="1" w:lastRow="0" w:firstColumn="1" w:lastColumn="0" w:noHBand="0" w:noVBand="1"/>
      </w:tblPr>
      <w:tblGrid>
        <w:gridCol w:w="258"/>
        <w:gridCol w:w="274"/>
        <w:gridCol w:w="252"/>
        <w:gridCol w:w="2369"/>
        <w:gridCol w:w="1008"/>
        <w:gridCol w:w="785"/>
        <w:gridCol w:w="1008"/>
        <w:gridCol w:w="2199"/>
        <w:gridCol w:w="1310"/>
        <w:gridCol w:w="159"/>
        <w:gridCol w:w="746"/>
      </w:tblGrid>
      <w:tr w:rsidR="00053D93" w14:paraId="6DBA3CB9" w14:textId="77777777">
        <w:trPr>
          <w:trHeight w:val="245"/>
        </w:trPr>
        <w:tc>
          <w:tcPr>
            <w:tcW w:w="785" w:type="dxa"/>
            <w:gridSpan w:val="3"/>
            <w:tcBorders>
              <w:top w:val="single" w:sz="2" w:space="0" w:color="000000"/>
              <w:left w:val="single" w:sz="2" w:space="0" w:color="000000"/>
              <w:bottom w:val="single" w:sz="2" w:space="0" w:color="000000"/>
              <w:right w:val="single" w:sz="2" w:space="0" w:color="000000"/>
            </w:tcBorders>
          </w:tcPr>
          <w:p w14:paraId="2A0760D9" w14:textId="77777777" w:rsidR="00053D93" w:rsidRDefault="00260B75">
            <w:pPr>
              <w:ind w:left="5"/>
              <w:jc w:val="center"/>
            </w:pPr>
            <w:r>
              <w:rPr>
                <w:sz w:val="16"/>
              </w:rPr>
              <w:lastRenderedPageBreak/>
              <w:t>atnxtura</w:t>
            </w:r>
          </w:p>
        </w:tc>
        <w:tc>
          <w:tcPr>
            <w:tcW w:w="2369" w:type="dxa"/>
            <w:tcBorders>
              <w:top w:val="single" w:sz="2" w:space="0" w:color="000000"/>
              <w:left w:val="single" w:sz="2" w:space="0" w:color="000000"/>
              <w:bottom w:val="single" w:sz="2" w:space="0" w:color="000000"/>
              <w:right w:val="single" w:sz="2" w:space="0" w:color="000000"/>
            </w:tcBorders>
          </w:tcPr>
          <w:p w14:paraId="781B2FC2" w14:textId="77777777" w:rsidR="00053D93" w:rsidRDefault="00260B75">
            <w:pPr>
              <w:ind w:left="27"/>
              <w:jc w:val="center"/>
            </w:pPr>
            <w:r>
              <w:rPr>
                <w:sz w:val="12"/>
              </w:rPr>
              <w:t xml:space="preserve">la 'atógop(a </w:t>
            </w:r>
          </w:p>
        </w:tc>
        <w:tc>
          <w:tcPr>
            <w:tcW w:w="1008" w:type="dxa"/>
            <w:tcBorders>
              <w:top w:val="single" w:sz="2" w:space="0" w:color="000000"/>
              <w:left w:val="single" w:sz="2" w:space="0" w:color="000000"/>
              <w:bottom w:val="single" w:sz="2" w:space="0" w:color="000000"/>
              <w:right w:val="single" w:sz="2" w:space="0" w:color="000000"/>
            </w:tcBorders>
          </w:tcPr>
          <w:p w14:paraId="460417E4" w14:textId="77777777" w:rsidR="00053D93" w:rsidRDefault="00260B75">
            <w:pPr>
              <w:ind w:left="567"/>
              <w:jc w:val="center"/>
            </w:pPr>
            <w:r>
              <w:rPr>
                <w:sz w:val="6"/>
              </w:rPr>
              <w:t>•</w:t>
            </w:r>
          </w:p>
        </w:tc>
        <w:tc>
          <w:tcPr>
            <w:tcW w:w="785" w:type="dxa"/>
            <w:tcBorders>
              <w:top w:val="single" w:sz="2" w:space="0" w:color="000000"/>
              <w:left w:val="single" w:sz="2" w:space="0" w:color="000000"/>
              <w:bottom w:val="single" w:sz="2" w:space="0" w:color="000000"/>
              <w:right w:val="single" w:sz="2" w:space="0" w:color="000000"/>
            </w:tcBorders>
          </w:tcPr>
          <w:p w14:paraId="26156DC1"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tcPr>
          <w:p w14:paraId="1F205C7B" w14:textId="77777777" w:rsidR="00053D93" w:rsidRDefault="00053D93"/>
        </w:tc>
        <w:tc>
          <w:tcPr>
            <w:tcW w:w="2199" w:type="dxa"/>
            <w:tcBorders>
              <w:top w:val="single" w:sz="2" w:space="0" w:color="000000"/>
              <w:left w:val="single" w:sz="2" w:space="0" w:color="000000"/>
              <w:bottom w:val="single" w:sz="2" w:space="0" w:color="000000"/>
              <w:right w:val="nil"/>
            </w:tcBorders>
          </w:tcPr>
          <w:p w14:paraId="3788AC95" w14:textId="77777777" w:rsidR="00053D93" w:rsidRDefault="00260B75">
            <w:pPr>
              <w:tabs>
                <w:tab w:val="center" w:pos="402"/>
                <w:tab w:val="right" w:pos="2199"/>
              </w:tabs>
            </w:pPr>
            <w:r>
              <w:rPr>
                <w:sz w:val="10"/>
              </w:rPr>
              <w:tab/>
              <w:t xml:space="preserve">. </w:t>
            </w:r>
            <w:r>
              <w:rPr>
                <w:sz w:val="10"/>
              </w:rPr>
              <w:tab/>
              <w:t xml:space="preserve">de -Las </w:t>
            </w:r>
          </w:p>
        </w:tc>
        <w:tc>
          <w:tcPr>
            <w:tcW w:w="1310" w:type="dxa"/>
            <w:tcBorders>
              <w:top w:val="single" w:sz="2" w:space="0" w:color="000000"/>
              <w:left w:val="nil"/>
              <w:bottom w:val="single" w:sz="2" w:space="0" w:color="000000"/>
              <w:right w:val="nil"/>
            </w:tcBorders>
          </w:tcPr>
          <w:p w14:paraId="11519810" w14:textId="77777777" w:rsidR="00053D93" w:rsidRDefault="00260B75">
            <w:pPr>
              <w:ind w:left="497"/>
            </w:pPr>
            <w:r>
              <w:rPr>
                <w:sz w:val="14"/>
              </w:rPr>
              <w:t>va ac!anos</w:t>
            </w:r>
          </w:p>
        </w:tc>
        <w:tc>
          <w:tcPr>
            <w:tcW w:w="904" w:type="dxa"/>
            <w:gridSpan w:val="2"/>
            <w:tcBorders>
              <w:top w:val="single" w:sz="2" w:space="0" w:color="000000"/>
              <w:left w:val="nil"/>
              <w:bottom w:val="single" w:sz="2" w:space="0" w:color="000000"/>
              <w:right w:val="single" w:sz="2" w:space="0" w:color="000000"/>
            </w:tcBorders>
          </w:tcPr>
          <w:p w14:paraId="02435FAE" w14:textId="77777777" w:rsidR="00053D93" w:rsidRDefault="00053D93"/>
        </w:tc>
      </w:tr>
      <w:tr w:rsidR="00053D93" w14:paraId="65DB419B" w14:textId="77777777">
        <w:trPr>
          <w:trHeight w:val="544"/>
        </w:trPr>
        <w:tc>
          <w:tcPr>
            <w:tcW w:w="259" w:type="dxa"/>
            <w:tcBorders>
              <w:top w:val="single" w:sz="2" w:space="0" w:color="000000"/>
              <w:left w:val="single" w:sz="2" w:space="0" w:color="000000"/>
              <w:bottom w:val="single" w:sz="2" w:space="0" w:color="000000"/>
              <w:right w:val="single" w:sz="2" w:space="0" w:color="000000"/>
            </w:tcBorders>
            <w:vAlign w:val="bottom"/>
          </w:tcPr>
          <w:p w14:paraId="1CB86CFD" w14:textId="77777777" w:rsidR="00053D93" w:rsidRDefault="00260B75">
            <w:pPr>
              <w:ind w:left="82"/>
            </w:pPr>
            <w:r>
              <w:rPr>
                <w:rFonts w:ascii="Times New Roman" w:eastAsia="Times New Roman" w:hAnsi="Times New Roman" w:cs="Times New Roman"/>
                <w:sz w:val="12"/>
              </w:rPr>
              <w:t>18</w:t>
            </w:r>
          </w:p>
        </w:tc>
        <w:tc>
          <w:tcPr>
            <w:tcW w:w="274" w:type="dxa"/>
            <w:tcBorders>
              <w:top w:val="single" w:sz="2" w:space="0" w:color="000000"/>
              <w:left w:val="single" w:sz="2" w:space="0" w:color="000000"/>
              <w:bottom w:val="single" w:sz="2" w:space="0" w:color="000000"/>
              <w:right w:val="single" w:sz="2" w:space="0" w:color="000000"/>
            </w:tcBorders>
          </w:tcPr>
          <w:p w14:paraId="6A39DFFA" w14:textId="77777777" w:rsidR="00053D93" w:rsidRDefault="00053D93"/>
        </w:tc>
        <w:tc>
          <w:tcPr>
            <w:tcW w:w="252" w:type="dxa"/>
            <w:tcBorders>
              <w:top w:val="single" w:sz="2" w:space="0" w:color="000000"/>
              <w:left w:val="single" w:sz="2" w:space="0" w:color="000000"/>
              <w:bottom w:val="single" w:sz="2" w:space="0" w:color="000000"/>
              <w:right w:val="single" w:sz="2" w:space="0" w:color="000000"/>
            </w:tcBorders>
          </w:tcPr>
          <w:p w14:paraId="49527141" w14:textId="77777777" w:rsidR="00053D93" w:rsidRDefault="00260B75">
            <w:pPr>
              <w:ind w:left="53"/>
              <w:jc w:val="both"/>
            </w:pPr>
            <w:r>
              <w:rPr>
                <w:rFonts w:ascii="Times New Roman" w:eastAsia="Times New Roman" w:hAnsi="Times New Roman" w:cs="Times New Roman"/>
                <w:sz w:val="10"/>
              </w:rPr>
              <w:t>000</w:t>
            </w:r>
          </w:p>
        </w:tc>
        <w:tc>
          <w:tcPr>
            <w:tcW w:w="2369" w:type="dxa"/>
            <w:tcBorders>
              <w:top w:val="single" w:sz="2" w:space="0" w:color="000000"/>
              <w:left w:val="single" w:sz="2" w:space="0" w:color="000000"/>
              <w:bottom w:val="single" w:sz="2" w:space="0" w:color="000000"/>
              <w:right w:val="single" w:sz="2" w:space="0" w:color="000000"/>
            </w:tcBorders>
            <w:vAlign w:val="bottom"/>
          </w:tcPr>
          <w:p w14:paraId="7ACFB8FB" w14:textId="77777777" w:rsidR="00053D93" w:rsidRDefault="00260B75">
            <w:pPr>
              <w:spacing w:after="235"/>
              <w:ind w:left="557"/>
            </w:pPr>
            <w:r>
              <w:rPr>
                <w:sz w:val="14"/>
              </w:rPr>
              <w:t>S(TRASCOLAR</w:t>
            </w:r>
          </w:p>
          <w:p w14:paraId="0DF86461" w14:textId="77777777" w:rsidR="00053D93" w:rsidRDefault="00260B75">
            <w:pPr>
              <w:ind w:left="24"/>
            </w:pPr>
            <w:r>
              <w:rPr>
                <w:sz w:val="18"/>
              </w:rPr>
              <w:t>Enm</w:t>
            </w:r>
          </w:p>
        </w:tc>
        <w:tc>
          <w:tcPr>
            <w:tcW w:w="1008" w:type="dxa"/>
            <w:tcBorders>
              <w:top w:val="single" w:sz="2" w:space="0" w:color="000000"/>
              <w:left w:val="single" w:sz="2" w:space="0" w:color="000000"/>
              <w:bottom w:val="single" w:sz="2" w:space="0" w:color="000000"/>
              <w:right w:val="single" w:sz="2" w:space="0" w:color="000000"/>
            </w:tcBorders>
            <w:vAlign w:val="bottom"/>
          </w:tcPr>
          <w:p w14:paraId="0D2FA5FF" w14:textId="77777777" w:rsidR="00053D93" w:rsidRDefault="00260B75">
            <w:pPr>
              <w:ind w:right="26"/>
              <w:jc w:val="right"/>
            </w:pPr>
            <w:r>
              <w:rPr>
                <w:sz w:val="12"/>
              </w:rPr>
              <w:t>4'.%6.789.oc</w:t>
            </w:r>
          </w:p>
        </w:tc>
        <w:tc>
          <w:tcPr>
            <w:tcW w:w="785" w:type="dxa"/>
            <w:tcBorders>
              <w:top w:val="single" w:sz="2" w:space="0" w:color="000000"/>
              <w:left w:val="single" w:sz="2" w:space="0" w:color="000000"/>
              <w:bottom w:val="single" w:sz="2" w:space="0" w:color="000000"/>
              <w:right w:val="single" w:sz="2" w:space="0" w:color="000000"/>
            </w:tcBorders>
          </w:tcPr>
          <w:p w14:paraId="77FFE96C" w14:textId="77777777" w:rsidR="00053D93" w:rsidRDefault="00260B75">
            <w:pPr>
              <w:spacing w:after="228"/>
              <w:ind w:right="19"/>
              <w:jc w:val="right"/>
            </w:pPr>
            <w:r>
              <w:rPr>
                <w:sz w:val="14"/>
              </w:rPr>
              <w:t>.S7E5,sosco</w:t>
            </w:r>
          </w:p>
          <w:p w14:paraId="2FAAC082" w14:textId="77777777" w:rsidR="00053D93" w:rsidRDefault="00260B75">
            <w:pPr>
              <w:ind w:right="19"/>
              <w:jc w:val="right"/>
            </w:pPr>
            <w:r>
              <w:rPr>
                <w:sz w:val="12"/>
              </w:rPr>
              <w:t>.11.3sa.349m</w:t>
            </w:r>
          </w:p>
        </w:tc>
        <w:tc>
          <w:tcPr>
            <w:tcW w:w="1008" w:type="dxa"/>
            <w:tcBorders>
              <w:top w:val="single" w:sz="2" w:space="0" w:color="000000"/>
              <w:left w:val="single" w:sz="2" w:space="0" w:color="000000"/>
              <w:bottom w:val="single" w:sz="2" w:space="0" w:color="000000"/>
              <w:right w:val="single" w:sz="2" w:space="0" w:color="000000"/>
            </w:tcBorders>
          </w:tcPr>
          <w:p w14:paraId="44A800D6" w14:textId="77777777" w:rsidR="00053D93" w:rsidRDefault="00260B75">
            <w:pPr>
              <w:spacing w:after="278"/>
              <w:ind w:right="110"/>
              <w:jc w:val="center"/>
            </w:pPr>
            <w:r>
              <w:rPr>
                <w:sz w:val="10"/>
              </w:rPr>
              <w:t xml:space="preserve">103. </w:t>
            </w:r>
          </w:p>
          <w:p w14:paraId="7C34E1C3" w14:textId="77777777" w:rsidR="00053D93" w:rsidRDefault="00260B75">
            <w:pPr>
              <w:ind w:right="19"/>
              <w:jc w:val="right"/>
            </w:pPr>
            <w:r>
              <w:rPr>
                <w:rFonts w:ascii="Times New Roman" w:eastAsia="Times New Roman" w:hAnsi="Times New Roman" w:cs="Times New Roman"/>
                <w:sz w:val="10"/>
              </w:rPr>
              <w:t xml:space="preserve">30.Z2s-QOO </w:t>
            </w:r>
          </w:p>
        </w:tc>
        <w:tc>
          <w:tcPr>
            <w:tcW w:w="2199" w:type="dxa"/>
            <w:tcBorders>
              <w:top w:val="single" w:sz="2" w:space="0" w:color="000000"/>
              <w:left w:val="single" w:sz="2" w:space="0" w:color="000000"/>
              <w:bottom w:val="single" w:sz="2" w:space="0" w:color="000000"/>
              <w:right w:val="nil"/>
            </w:tcBorders>
          </w:tcPr>
          <w:p w14:paraId="13C5F5BF" w14:textId="77777777" w:rsidR="00053D93" w:rsidRDefault="00260B75">
            <w:pPr>
              <w:spacing w:after="6" w:line="225" w:lineRule="auto"/>
              <w:ind w:left="1097" w:right="198" w:hanging="1073"/>
            </w:pPr>
            <w:r>
              <w:rPr>
                <w:sz w:val="12"/>
              </w:rPr>
              <w:t xml:space="preserve">Fnuxiarr*ma </w:t>
            </w:r>
            <w:r>
              <w:rPr>
                <w:sz w:val="12"/>
              </w:rPr>
              <w:tab/>
              <w:t xml:space="preserve">gasb O atro•oscdu. </w:t>
            </w:r>
          </w:p>
          <w:p w14:paraId="2C715643" w14:textId="77777777" w:rsidR="00053D93" w:rsidRDefault="00260B75">
            <w:pPr>
              <w:spacing w:after="20"/>
              <w:ind w:left="24"/>
            </w:pPr>
            <w:r>
              <w:rPr>
                <w:sz w:val="12"/>
              </w:rPr>
              <w:t>Regrx•rn de LNc. Escoteros</w:t>
            </w:r>
          </w:p>
          <w:p w14:paraId="130712D2" w14:textId="77777777" w:rsidR="00053D93" w:rsidRDefault="00260B75">
            <w:pPr>
              <w:tabs>
                <w:tab w:val="center" w:pos="989"/>
                <w:tab w:val="center" w:pos="1356"/>
              </w:tabs>
            </w:pPr>
            <w:r>
              <w:rPr>
                <w:sz w:val="10"/>
              </w:rPr>
              <w:tab/>
            </w:r>
            <w:r>
              <w:rPr>
                <w:rFonts w:ascii="Times New Roman" w:eastAsia="Times New Roman" w:hAnsi="Times New Roman" w:cs="Times New Roman"/>
                <w:sz w:val="10"/>
              </w:rPr>
              <w:t xml:space="preserve">de </w:t>
            </w:r>
            <w:r>
              <w:rPr>
                <w:rFonts w:ascii="Times New Roman" w:eastAsia="Times New Roman" w:hAnsi="Times New Roman" w:cs="Times New Roman"/>
                <w:sz w:val="10"/>
              </w:rPr>
              <w:tab/>
              <w:t>O</w:t>
            </w:r>
          </w:p>
        </w:tc>
        <w:tc>
          <w:tcPr>
            <w:tcW w:w="1310" w:type="dxa"/>
            <w:tcBorders>
              <w:top w:val="single" w:sz="2" w:space="0" w:color="000000"/>
              <w:left w:val="nil"/>
              <w:bottom w:val="single" w:sz="2" w:space="0" w:color="000000"/>
              <w:right w:val="nil"/>
            </w:tcBorders>
          </w:tcPr>
          <w:p w14:paraId="1169CAE6" w14:textId="77777777" w:rsidR="00053D93" w:rsidRDefault="00260B75">
            <w:pPr>
              <w:spacing w:after="43"/>
              <w:ind w:left="209"/>
            </w:pPr>
            <w:r>
              <w:rPr>
                <w:sz w:val="10"/>
              </w:rPr>
              <w:t xml:space="preserve">fh7%..iarncnta </w:t>
            </w:r>
          </w:p>
          <w:p w14:paraId="22998D68" w14:textId="77777777" w:rsidR="00053D93" w:rsidRDefault="00260B75">
            <w:pPr>
              <w:tabs>
                <w:tab w:val="center" w:pos="659"/>
              </w:tabs>
            </w:pPr>
            <w:r>
              <w:rPr>
                <w:sz w:val="12"/>
              </w:rPr>
              <w:t xml:space="preserve">a </w:t>
            </w:r>
            <w:r>
              <w:rPr>
                <w:sz w:val="12"/>
              </w:rPr>
              <w:tab/>
              <w:t xml:space="preserve">SIE.advos </w:t>
            </w:r>
          </w:p>
        </w:tc>
        <w:tc>
          <w:tcPr>
            <w:tcW w:w="904" w:type="dxa"/>
            <w:gridSpan w:val="2"/>
            <w:tcBorders>
              <w:top w:val="single" w:sz="2" w:space="0" w:color="000000"/>
              <w:left w:val="nil"/>
              <w:bottom w:val="single" w:sz="2" w:space="0" w:color="000000"/>
              <w:right w:val="single" w:sz="2" w:space="0" w:color="000000"/>
            </w:tcBorders>
          </w:tcPr>
          <w:p w14:paraId="77D29CEE" w14:textId="77777777" w:rsidR="00053D93" w:rsidRDefault="00260B75">
            <w:pPr>
              <w:ind w:firstLine="346"/>
            </w:pPr>
            <w:r>
              <w:rPr>
                <w:sz w:val="12"/>
              </w:rPr>
              <w:t>de hsEos e-atuaos y</w:t>
            </w:r>
          </w:p>
        </w:tc>
      </w:tr>
      <w:tr w:rsidR="00053D93" w14:paraId="279887C8" w14:textId="77777777">
        <w:trPr>
          <w:trHeight w:val="352"/>
        </w:trPr>
        <w:tc>
          <w:tcPr>
            <w:tcW w:w="259" w:type="dxa"/>
            <w:tcBorders>
              <w:top w:val="single" w:sz="2" w:space="0" w:color="000000"/>
              <w:left w:val="single" w:sz="2" w:space="0" w:color="000000"/>
              <w:bottom w:val="single" w:sz="2" w:space="0" w:color="000000"/>
              <w:right w:val="single" w:sz="2" w:space="0" w:color="000000"/>
            </w:tcBorders>
          </w:tcPr>
          <w:p w14:paraId="2770CDEC" w14:textId="77777777" w:rsidR="00053D93" w:rsidRDefault="00053D93"/>
        </w:tc>
        <w:tc>
          <w:tcPr>
            <w:tcW w:w="274" w:type="dxa"/>
            <w:tcBorders>
              <w:top w:val="single" w:sz="2" w:space="0" w:color="000000"/>
              <w:left w:val="single" w:sz="2" w:space="0" w:color="000000"/>
              <w:bottom w:val="single" w:sz="2" w:space="0" w:color="000000"/>
              <w:right w:val="single" w:sz="2" w:space="0" w:color="000000"/>
            </w:tcBorders>
            <w:vAlign w:val="center"/>
          </w:tcPr>
          <w:p w14:paraId="2D989ED1" w14:textId="77777777" w:rsidR="00053D93" w:rsidRDefault="00260B75">
            <w:pPr>
              <w:ind w:left="53"/>
            </w:pPr>
            <w:r>
              <w:rPr>
                <w:rFonts w:ascii="Times New Roman" w:eastAsia="Times New Roman" w:hAnsi="Times New Roman" w:cs="Times New Roman"/>
                <w:sz w:val="12"/>
              </w:rPr>
              <w:t>000</w:t>
            </w:r>
          </w:p>
        </w:tc>
        <w:tc>
          <w:tcPr>
            <w:tcW w:w="252" w:type="dxa"/>
            <w:tcBorders>
              <w:top w:val="single" w:sz="2" w:space="0" w:color="000000"/>
              <w:left w:val="single" w:sz="2" w:space="0" w:color="000000"/>
              <w:bottom w:val="single" w:sz="2" w:space="0" w:color="000000"/>
              <w:right w:val="single" w:sz="2" w:space="0" w:color="000000"/>
            </w:tcBorders>
          </w:tcPr>
          <w:p w14:paraId="531187B9" w14:textId="77777777" w:rsidR="00053D93" w:rsidRDefault="00053D93"/>
        </w:tc>
        <w:tc>
          <w:tcPr>
            <w:tcW w:w="2369" w:type="dxa"/>
            <w:tcBorders>
              <w:top w:val="single" w:sz="2" w:space="0" w:color="000000"/>
              <w:left w:val="single" w:sz="2" w:space="0" w:color="000000"/>
              <w:bottom w:val="single" w:sz="2" w:space="0" w:color="000000"/>
              <w:right w:val="single" w:sz="2" w:space="0" w:color="000000"/>
            </w:tcBorders>
            <w:vAlign w:val="bottom"/>
          </w:tcPr>
          <w:p w14:paraId="6290AF34" w14:textId="77777777" w:rsidR="00053D93" w:rsidRDefault="00260B75">
            <w:pPr>
              <w:ind w:left="24" w:right="393"/>
              <w:jc w:val="both"/>
            </w:pPr>
            <w:r>
              <w:rPr>
                <w:sz w:val="12"/>
              </w:rPr>
              <w:t>AFOYO PARA EL corsu.o ADa-AOO DE ALezqros</w:t>
            </w:r>
          </w:p>
        </w:tc>
        <w:tc>
          <w:tcPr>
            <w:tcW w:w="1008" w:type="dxa"/>
            <w:tcBorders>
              <w:top w:val="single" w:sz="2" w:space="0" w:color="000000"/>
              <w:left w:val="single" w:sz="2" w:space="0" w:color="000000"/>
              <w:bottom w:val="single" w:sz="2" w:space="0" w:color="000000"/>
              <w:right w:val="single" w:sz="2" w:space="0" w:color="000000"/>
            </w:tcBorders>
          </w:tcPr>
          <w:p w14:paraId="639E466A" w14:textId="77777777" w:rsidR="00053D93" w:rsidRDefault="00053D93"/>
        </w:tc>
        <w:tc>
          <w:tcPr>
            <w:tcW w:w="785" w:type="dxa"/>
            <w:tcBorders>
              <w:top w:val="single" w:sz="2" w:space="0" w:color="000000"/>
              <w:left w:val="single" w:sz="2" w:space="0" w:color="000000"/>
              <w:bottom w:val="single" w:sz="2" w:space="0" w:color="000000"/>
              <w:right w:val="single" w:sz="2" w:space="0" w:color="000000"/>
            </w:tcBorders>
          </w:tcPr>
          <w:p w14:paraId="4A003942"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vAlign w:val="center"/>
          </w:tcPr>
          <w:p w14:paraId="05A17046" w14:textId="77777777" w:rsidR="00053D93" w:rsidRDefault="00260B75">
            <w:pPr>
              <w:ind w:right="19"/>
              <w:jc w:val="right"/>
            </w:pPr>
            <w:r>
              <w:rPr>
                <w:sz w:val="12"/>
              </w:rPr>
              <w:t>3.5EA7E.12am</w:t>
            </w:r>
          </w:p>
        </w:tc>
        <w:tc>
          <w:tcPr>
            <w:tcW w:w="2199" w:type="dxa"/>
            <w:tcBorders>
              <w:top w:val="single" w:sz="2" w:space="0" w:color="000000"/>
              <w:left w:val="single" w:sz="2" w:space="0" w:color="000000"/>
              <w:bottom w:val="single" w:sz="2" w:space="0" w:color="000000"/>
              <w:right w:val="nil"/>
            </w:tcBorders>
          </w:tcPr>
          <w:p w14:paraId="1D5CD1FF" w14:textId="77777777" w:rsidR="00053D93" w:rsidRDefault="00053D93"/>
        </w:tc>
        <w:tc>
          <w:tcPr>
            <w:tcW w:w="1310" w:type="dxa"/>
            <w:tcBorders>
              <w:top w:val="single" w:sz="2" w:space="0" w:color="000000"/>
              <w:left w:val="nil"/>
              <w:bottom w:val="single" w:sz="2" w:space="0" w:color="000000"/>
              <w:right w:val="nil"/>
            </w:tcBorders>
          </w:tcPr>
          <w:p w14:paraId="0CF0EFB1" w14:textId="77777777" w:rsidR="00053D93" w:rsidRDefault="00053D93"/>
        </w:tc>
        <w:tc>
          <w:tcPr>
            <w:tcW w:w="904" w:type="dxa"/>
            <w:gridSpan w:val="2"/>
            <w:tcBorders>
              <w:top w:val="single" w:sz="2" w:space="0" w:color="000000"/>
              <w:left w:val="nil"/>
              <w:bottom w:val="single" w:sz="2" w:space="0" w:color="000000"/>
              <w:right w:val="single" w:sz="2" w:space="0" w:color="000000"/>
            </w:tcBorders>
          </w:tcPr>
          <w:p w14:paraId="12281ACB" w14:textId="77777777" w:rsidR="00053D93" w:rsidRDefault="00053D93"/>
        </w:tc>
      </w:tr>
      <w:tr w:rsidR="00053D93" w14:paraId="0C984DDE" w14:textId="77777777">
        <w:trPr>
          <w:trHeight w:val="400"/>
        </w:trPr>
        <w:tc>
          <w:tcPr>
            <w:tcW w:w="259" w:type="dxa"/>
            <w:tcBorders>
              <w:top w:val="single" w:sz="2" w:space="0" w:color="000000"/>
              <w:left w:val="single" w:sz="2" w:space="0" w:color="000000"/>
              <w:bottom w:val="single" w:sz="2" w:space="0" w:color="000000"/>
              <w:right w:val="single" w:sz="2" w:space="0" w:color="000000"/>
            </w:tcBorders>
          </w:tcPr>
          <w:p w14:paraId="219DD9AD" w14:textId="77777777" w:rsidR="00053D93" w:rsidRDefault="00260B75">
            <w:pPr>
              <w:ind w:left="75"/>
            </w:pPr>
            <w:r>
              <w:rPr>
                <w:rFonts w:ascii="Times New Roman" w:eastAsia="Times New Roman" w:hAnsi="Times New Roman" w:cs="Times New Roman"/>
                <w:sz w:val="10"/>
              </w:rPr>
              <w:t>99</w:t>
            </w:r>
          </w:p>
        </w:tc>
        <w:tc>
          <w:tcPr>
            <w:tcW w:w="274" w:type="dxa"/>
            <w:tcBorders>
              <w:top w:val="single" w:sz="2" w:space="0" w:color="000000"/>
              <w:left w:val="single" w:sz="2" w:space="0" w:color="000000"/>
              <w:bottom w:val="single" w:sz="2" w:space="0" w:color="000000"/>
              <w:right w:val="single" w:sz="2" w:space="0" w:color="000000"/>
            </w:tcBorders>
          </w:tcPr>
          <w:p w14:paraId="3FB48968" w14:textId="77777777" w:rsidR="00053D93" w:rsidRDefault="00053D93"/>
        </w:tc>
        <w:tc>
          <w:tcPr>
            <w:tcW w:w="252" w:type="dxa"/>
            <w:tcBorders>
              <w:top w:val="single" w:sz="2" w:space="0" w:color="000000"/>
              <w:left w:val="single" w:sz="2" w:space="0" w:color="000000"/>
              <w:bottom w:val="single" w:sz="2" w:space="0" w:color="000000"/>
              <w:right w:val="single" w:sz="2" w:space="0" w:color="000000"/>
            </w:tcBorders>
          </w:tcPr>
          <w:p w14:paraId="0C08202B" w14:textId="77777777" w:rsidR="00053D93" w:rsidRDefault="00053D93"/>
        </w:tc>
        <w:tc>
          <w:tcPr>
            <w:tcW w:w="2369" w:type="dxa"/>
            <w:tcBorders>
              <w:top w:val="single" w:sz="2" w:space="0" w:color="000000"/>
              <w:left w:val="single" w:sz="2" w:space="0" w:color="000000"/>
              <w:bottom w:val="single" w:sz="2" w:space="0" w:color="000000"/>
              <w:right w:val="single" w:sz="2" w:space="0" w:color="000000"/>
            </w:tcBorders>
          </w:tcPr>
          <w:p w14:paraId="2EC6CCBE" w14:textId="77777777" w:rsidR="00053D93" w:rsidRDefault="00260B75">
            <w:pPr>
              <w:ind w:left="24"/>
            </w:pPr>
            <w:r>
              <w:rPr>
                <w:sz w:val="12"/>
              </w:rPr>
              <w:t>PARTu5 ASG•ABLES A</w:t>
            </w:r>
          </w:p>
        </w:tc>
        <w:tc>
          <w:tcPr>
            <w:tcW w:w="1008" w:type="dxa"/>
            <w:tcBorders>
              <w:top w:val="single" w:sz="2" w:space="0" w:color="000000"/>
              <w:left w:val="single" w:sz="2" w:space="0" w:color="000000"/>
              <w:bottom w:val="single" w:sz="2" w:space="0" w:color="000000"/>
              <w:right w:val="single" w:sz="2" w:space="0" w:color="000000"/>
            </w:tcBorders>
          </w:tcPr>
          <w:p w14:paraId="1BA95491" w14:textId="77777777" w:rsidR="00053D93" w:rsidRDefault="00053D93"/>
        </w:tc>
        <w:tc>
          <w:tcPr>
            <w:tcW w:w="785" w:type="dxa"/>
            <w:tcBorders>
              <w:top w:val="single" w:sz="2" w:space="0" w:color="000000"/>
              <w:left w:val="single" w:sz="2" w:space="0" w:color="000000"/>
              <w:bottom w:val="single" w:sz="2" w:space="0" w:color="000000"/>
              <w:right w:val="single" w:sz="2" w:space="0" w:color="000000"/>
            </w:tcBorders>
          </w:tcPr>
          <w:p w14:paraId="4A1DF35A"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tcPr>
          <w:p w14:paraId="7A0D91C4" w14:textId="77777777" w:rsidR="00053D93" w:rsidRDefault="00260B75">
            <w:pPr>
              <w:ind w:right="23"/>
              <w:jc w:val="center"/>
            </w:pPr>
            <w:r>
              <w:rPr>
                <w:sz w:val="10"/>
              </w:rPr>
              <w:t xml:space="preserve">69 .87 </w:t>
            </w:r>
          </w:p>
        </w:tc>
        <w:tc>
          <w:tcPr>
            <w:tcW w:w="2199" w:type="dxa"/>
            <w:tcBorders>
              <w:top w:val="single" w:sz="2" w:space="0" w:color="000000"/>
              <w:left w:val="single" w:sz="2" w:space="0" w:color="000000"/>
              <w:bottom w:val="single" w:sz="2" w:space="0" w:color="000000"/>
              <w:right w:val="nil"/>
            </w:tcBorders>
          </w:tcPr>
          <w:p w14:paraId="759E16BE" w14:textId="77777777" w:rsidR="00053D93" w:rsidRDefault="00260B75">
            <w:pPr>
              <w:ind w:right="278"/>
              <w:jc w:val="center"/>
            </w:pPr>
            <w:r>
              <w:rPr>
                <w:sz w:val="14"/>
              </w:rPr>
              <w:t xml:space="preserve">La </w:t>
            </w:r>
          </w:p>
          <w:p w14:paraId="4CDB71AE" w14:textId="77777777" w:rsidR="00053D93" w:rsidRDefault="00260B75">
            <w:pPr>
              <w:tabs>
                <w:tab w:val="center" w:pos="1475"/>
              </w:tabs>
              <w:spacing w:after="6"/>
            </w:pPr>
            <w:r>
              <w:rPr>
                <w:sz w:val="12"/>
              </w:rPr>
              <w:t xml:space="preserve">A.Lrrms </w:t>
            </w:r>
            <w:r>
              <w:rPr>
                <w:sz w:val="12"/>
              </w:rPr>
              <w:tab/>
              <w:t xml:space="preserve">aauesc.o'a:, </w:t>
            </w:r>
          </w:p>
          <w:p w14:paraId="19A50764" w14:textId="77777777" w:rsidR="00053D93" w:rsidRDefault="00260B75">
            <w:pPr>
              <w:ind w:left="579"/>
            </w:pPr>
            <w:r>
              <w:rPr>
                <w:sz w:val="16"/>
              </w:rPr>
              <w:t>LUe• Esc&amp;ra</w:t>
            </w:r>
          </w:p>
        </w:tc>
        <w:tc>
          <w:tcPr>
            <w:tcW w:w="1310" w:type="dxa"/>
            <w:tcBorders>
              <w:top w:val="single" w:sz="2" w:space="0" w:color="000000"/>
              <w:left w:val="nil"/>
              <w:bottom w:val="single" w:sz="2" w:space="0" w:color="000000"/>
              <w:right w:val="nil"/>
            </w:tcBorders>
          </w:tcPr>
          <w:p w14:paraId="6B193F5F" w14:textId="77777777" w:rsidR="00053D93" w:rsidRDefault="00260B75">
            <w:pPr>
              <w:ind w:left="130"/>
            </w:pPr>
            <w:r>
              <w:rPr>
                <w:sz w:val="18"/>
              </w:rPr>
              <w:t>8</w:t>
            </w:r>
          </w:p>
          <w:p w14:paraId="42A11A9E" w14:textId="77777777" w:rsidR="00053D93" w:rsidRDefault="00260B75">
            <w:pPr>
              <w:ind w:left="108"/>
            </w:pPr>
            <w:r>
              <w:rPr>
                <w:sz w:val="14"/>
              </w:rPr>
              <w:t>B Czaz-s</w:t>
            </w:r>
          </w:p>
        </w:tc>
        <w:tc>
          <w:tcPr>
            <w:tcW w:w="904" w:type="dxa"/>
            <w:gridSpan w:val="2"/>
            <w:tcBorders>
              <w:top w:val="single" w:sz="2" w:space="0" w:color="000000"/>
              <w:left w:val="nil"/>
              <w:bottom w:val="single" w:sz="2" w:space="0" w:color="000000"/>
              <w:right w:val="single" w:sz="2" w:space="0" w:color="000000"/>
            </w:tcBorders>
          </w:tcPr>
          <w:p w14:paraId="39870A06" w14:textId="77777777" w:rsidR="00053D93" w:rsidRDefault="00053D93"/>
        </w:tc>
      </w:tr>
      <w:tr w:rsidR="00053D93" w14:paraId="73BB5D73" w14:textId="77777777">
        <w:trPr>
          <w:trHeight w:val="454"/>
        </w:trPr>
        <w:tc>
          <w:tcPr>
            <w:tcW w:w="259" w:type="dxa"/>
            <w:tcBorders>
              <w:top w:val="single" w:sz="2" w:space="0" w:color="000000"/>
              <w:left w:val="single" w:sz="2" w:space="0" w:color="000000"/>
              <w:bottom w:val="single" w:sz="2" w:space="0" w:color="000000"/>
              <w:right w:val="single" w:sz="2" w:space="0" w:color="000000"/>
            </w:tcBorders>
          </w:tcPr>
          <w:p w14:paraId="49EFEE47" w14:textId="77777777" w:rsidR="00053D93" w:rsidRDefault="00053D93"/>
        </w:tc>
        <w:tc>
          <w:tcPr>
            <w:tcW w:w="274" w:type="dxa"/>
            <w:tcBorders>
              <w:top w:val="single" w:sz="2" w:space="0" w:color="000000"/>
              <w:left w:val="single" w:sz="2" w:space="0" w:color="000000"/>
              <w:bottom w:val="single" w:sz="2" w:space="0" w:color="000000"/>
              <w:right w:val="single" w:sz="2" w:space="0" w:color="000000"/>
            </w:tcBorders>
          </w:tcPr>
          <w:p w14:paraId="1494EF37" w14:textId="77777777" w:rsidR="00053D93" w:rsidRDefault="00053D93"/>
        </w:tc>
        <w:tc>
          <w:tcPr>
            <w:tcW w:w="252" w:type="dxa"/>
            <w:tcBorders>
              <w:top w:val="single" w:sz="2" w:space="0" w:color="000000"/>
              <w:left w:val="single" w:sz="2" w:space="0" w:color="000000"/>
              <w:bottom w:val="single" w:sz="2" w:space="0" w:color="000000"/>
              <w:right w:val="single" w:sz="2" w:space="0" w:color="000000"/>
            </w:tcBorders>
          </w:tcPr>
          <w:p w14:paraId="30A9C728" w14:textId="77777777" w:rsidR="00053D93" w:rsidRDefault="00053D93"/>
        </w:tc>
        <w:tc>
          <w:tcPr>
            <w:tcW w:w="2369" w:type="dxa"/>
            <w:tcBorders>
              <w:top w:val="single" w:sz="2" w:space="0" w:color="000000"/>
              <w:left w:val="single" w:sz="2" w:space="0" w:color="000000"/>
              <w:bottom w:val="single" w:sz="2" w:space="0" w:color="000000"/>
              <w:right w:val="single" w:sz="2" w:space="0" w:color="000000"/>
            </w:tcBorders>
            <w:vAlign w:val="center"/>
          </w:tcPr>
          <w:p w14:paraId="7C4A0984" w14:textId="77777777" w:rsidR="00053D93" w:rsidRDefault="00260B75">
            <w:pPr>
              <w:ind w:left="17"/>
            </w:pPr>
            <w:r>
              <w:rPr>
                <w:sz w:val="14"/>
              </w:rPr>
              <w:t>Total:</w:t>
            </w:r>
          </w:p>
        </w:tc>
        <w:tc>
          <w:tcPr>
            <w:tcW w:w="1008" w:type="dxa"/>
            <w:tcBorders>
              <w:top w:val="single" w:sz="2" w:space="0" w:color="000000"/>
              <w:left w:val="single" w:sz="2" w:space="0" w:color="000000"/>
              <w:bottom w:val="single" w:sz="2" w:space="0" w:color="000000"/>
              <w:right w:val="single" w:sz="2" w:space="0" w:color="000000"/>
            </w:tcBorders>
          </w:tcPr>
          <w:p w14:paraId="3F5C11CD" w14:textId="77777777" w:rsidR="00053D93" w:rsidRDefault="00053D93"/>
        </w:tc>
        <w:tc>
          <w:tcPr>
            <w:tcW w:w="785" w:type="dxa"/>
            <w:tcBorders>
              <w:top w:val="single" w:sz="2" w:space="0" w:color="000000"/>
              <w:left w:val="single" w:sz="2" w:space="0" w:color="000000"/>
              <w:bottom w:val="single" w:sz="2" w:space="0" w:color="000000"/>
              <w:right w:val="single" w:sz="2" w:space="0" w:color="000000"/>
            </w:tcBorders>
          </w:tcPr>
          <w:p w14:paraId="4A23C142"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vAlign w:val="center"/>
          </w:tcPr>
          <w:p w14:paraId="58B9EE5F" w14:textId="77777777" w:rsidR="00053D93" w:rsidRDefault="00260B75">
            <w:pPr>
              <w:ind w:right="26"/>
              <w:jc w:val="right"/>
            </w:pPr>
            <w:r>
              <w:rPr>
                <w:sz w:val="12"/>
              </w:rPr>
              <w:t xml:space="preserve">Z257.138,8SZOO </w:t>
            </w:r>
          </w:p>
        </w:tc>
        <w:tc>
          <w:tcPr>
            <w:tcW w:w="3668" w:type="dxa"/>
            <w:gridSpan w:val="3"/>
            <w:tcBorders>
              <w:top w:val="single" w:sz="2" w:space="0" w:color="000000"/>
              <w:left w:val="single" w:sz="2" w:space="0" w:color="000000"/>
              <w:bottom w:val="single" w:sz="2" w:space="0" w:color="000000"/>
              <w:right w:val="nil"/>
            </w:tcBorders>
          </w:tcPr>
          <w:p w14:paraId="6FFA93D7" w14:textId="77777777" w:rsidR="00053D93" w:rsidRDefault="00260B75">
            <w:pPr>
              <w:spacing w:line="216" w:lineRule="auto"/>
              <w:ind w:left="276" w:firstLine="7"/>
            </w:pPr>
            <w:r>
              <w:rPr>
                <w:sz w:val="12"/>
              </w:rPr>
              <w:t xml:space="preserve">ind±.ar que los montos may.es de </w:t>
            </w:r>
            <w:r>
              <w:rPr>
                <w:sz w:val="12"/>
              </w:rPr>
              <w:tab/>
              <w:t xml:space="preserve">qua se han grupo O </w:t>
            </w:r>
            <w:r>
              <w:rPr>
                <w:sz w:val="12"/>
              </w:rPr>
              <w:tab/>
              <w:t xml:space="preserve">personates¯. para el pago da sueldos saiar" </w:t>
            </w:r>
          </w:p>
          <w:p w14:paraId="7B069D6E" w14:textId="77777777" w:rsidR="00053D93" w:rsidRDefault="00260B75">
            <w:pPr>
              <w:ind w:left="24"/>
            </w:pPr>
            <w:r>
              <w:rPr>
                <w:sz w:val="12"/>
              </w:rPr>
              <w:t>labma en el Nlnisterlo de</w:t>
            </w:r>
          </w:p>
        </w:tc>
        <w:tc>
          <w:tcPr>
            <w:tcW w:w="746" w:type="dxa"/>
            <w:tcBorders>
              <w:top w:val="single" w:sz="2" w:space="0" w:color="000000"/>
              <w:left w:val="nil"/>
              <w:bottom w:val="single" w:sz="2" w:space="0" w:color="000000"/>
              <w:right w:val="single" w:sz="2" w:space="0" w:color="000000"/>
            </w:tcBorders>
          </w:tcPr>
          <w:p w14:paraId="47D28EC1" w14:textId="77777777" w:rsidR="00053D93" w:rsidRDefault="00260B75">
            <w:pPr>
              <w:ind w:firstLine="194"/>
            </w:pPr>
            <w:r>
              <w:rPr>
                <w:sz w:val="12"/>
              </w:rPr>
              <w:t>han sido personal que</w:t>
            </w:r>
          </w:p>
        </w:tc>
      </w:tr>
    </w:tbl>
    <w:p w14:paraId="75FCEEB9" w14:textId="77777777" w:rsidR="00053D93" w:rsidRDefault="00260B75">
      <w:pPr>
        <w:spacing w:after="758"/>
        <w:ind w:left="374" w:right="-1" w:hanging="10"/>
        <w:jc w:val="right"/>
      </w:pPr>
      <w:r>
        <w:rPr>
          <w:rFonts w:ascii="Times New Roman" w:eastAsia="Times New Roman" w:hAnsi="Times New Roman" w:cs="Times New Roman"/>
          <w:sz w:val="20"/>
        </w:rPr>
        <w:t>o</w:t>
      </w:r>
    </w:p>
    <w:tbl>
      <w:tblPr>
        <w:tblStyle w:val="TableGrid"/>
        <w:tblW w:w="7452" w:type="dxa"/>
        <w:tblInd w:w="5357" w:type="dxa"/>
        <w:tblLook w:val="04A0" w:firstRow="1" w:lastRow="0" w:firstColumn="1" w:lastColumn="0" w:noHBand="0" w:noVBand="1"/>
      </w:tblPr>
      <w:tblGrid>
        <w:gridCol w:w="2283"/>
        <w:gridCol w:w="372"/>
        <w:gridCol w:w="4557"/>
        <w:gridCol w:w="240"/>
      </w:tblGrid>
      <w:tr w:rsidR="00053D93" w14:paraId="17CC04D9" w14:textId="77777777">
        <w:trPr>
          <w:trHeight w:val="234"/>
        </w:trPr>
        <w:tc>
          <w:tcPr>
            <w:tcW w:w="2290" w:type="dxa"/>
            <w:tcBorders>
              <w:top w:val="nil"/>
              <w:left w:val="nil"/>
              <w:bottom w:val="nil"/>
              <w:right w:val="nil"/>
            </w:tcBorders>
          </w:tcPr>
          <w:p w14:paraId="035F296B" w14:textId="77777777" w:rsidR="00053D93" w:rsidRDefault="00053D93"/>
        </w:tc>
        <w:tc>
          <w:tcPr>
            <w:tcW w:w="374" w:type="dxa"/>
            <w:tcBorders>
              <w:top w:val="nil"/>
              <w:left w:val="nil"/>
              <w:bottom w:val="nil"/>
              <w:right w:val="nil"/>
            </w:tcBorders>
          </w:tcPr>
          <w:p w14:paraId="74C4AB3C" w14:textId="77777777" w:rsidR="00053D93" w:rsidRDefault="00053D93"/>
        </w:tc>
        <w:tc>
          <w:tcPr>
            <w:tcW w:w="4565" w:type="dxa"/>
            <w:tcBorders>
              <w:top w:val="nil"/>
              <w:left w:val="nil"/>
              <w:bottom w:val="nil"/>
              <w:right w:val="nil"/>
            </w:tcBorders>
          </w:tcPr>
          <w:p w14:paraId="37EA13EF" w14:textId="77777777" w:rsidR="00053D93" w:rsidRDefault="00260B75">
            <w:pPr>
              <w:ind w:left="1757"/>
            </w:pPr>
            <w:r>
              <w:rPr>
                <w:rFonts w:ascii="Times New Roman" w:eastAsia="Times New Roman" w:hAnsi="Times New Roman" w:cs="Times New Roman"/>
              </w:rPr>
              <w:t>z:zz-</w:t>
            </w:r>
          </w:p>
        </w:tc>
        <w:tc>
          <w:tcPr>
            <w:tcW w:w="223" w:type="dxa"/>
            <w:tcBorders>
              <w:top w:val="nil"/>
              <w:left w:val="nil"/>
              <w:bottom w:val="nil"/>
              <w:right w:val="nil"/>
            </w:tcBorders>
          </w:tcPr>
          <w:p w14:paraId="2A0B8A79" w14:textId="77777777" w:rsidR="00053D93" w:rsidRDefault="00053D93"/>
        </w:tc>
      </w:tr>
      <w:tr w:rsidR="00053D93" w14:paraId="2ADB32E4" w14:textId="77777777">
        <w:trPr>
          <w:trHeight w:val="308"/>
        </w:trPr>
        <w:tc>
          <w:tcPr>
            <w:tcW w:w="2290" w:type="dxa"/>
            <w:tcBorders>
              <w:top w:val="nil"/>
              <w:left w:val="nil"/>
              <w:bottom w:val="nil"/>
              <w:right w:val="nil"/>
            </w:tcBorders>
          </w:tcPr>
          <w:p w14:paraId="08E2B7DA" w14:textId="77777777" w:rsidR="00053D93" w:rsidRDefault="00260B75">
            <w:pPr>
              <w:ind w:left="22"/>
            </w:pPr>
            <w:r>
              <w:rPr>
                <w:sz w:val="14"/>
              </w:rPr>
              <w:t>Licda. Th?lma Élizabeth Monterroso Díaz</w:t>
            </w:r>
          </w:p>
        </w:tc>
        <w:tc>
          <w:tcPr>
            <w:tcW w:w="374" w:type="dxa"/>
            <w:tcBorders>
              <w:top w:val="nil"/>
              <w:left w:val="nil"/>
              <w:bottom w:val="nil"/>
              <w:right w:val="nil"/>
            </w:tcBorders>
            <w:vAlign w:val="bottom"/>
          </w:tcPr>
          <w:p w14:paraId="7CB3D074" w14:textId="77777777" w:rsidR="00053D93" w:rsidRDefault="00260B75">
            <w:pPr>
              <w:ind w:left="7"/>
              <w:jc w:val="center"/>
            </w:pPr>
            <w:r>
              <w:rPr>
                <w:sz w:val="14"/>
              </w:rPr>
              <w:t>Fu</w:t>
            </w:r>
          </w:p>
        </w:tc>
        <w:tc>
          <w:tcPr>
            <w:tcW w:w="4565" w:type="dxa"/>
            <w:tcBorders>
              <w:top w:val="nil"/>
              <w:left w:val="nil"/>
              <w:bottom w:val="nil"/>
              <w:right w:val="nil"/>
            </w:tcBorders>
          </w:tcPr>
          <w:p w14:paraId="1950DD11" w14:textId="77777777" w:rsidR="00053D93" w:rsidRDefault="00260B75">
            <w:pPr>
              <w:ind w:left="22" w:right="3312" w:firstLine="403"/>
            </w:pPr>
            <w:r>
              <w:rPr>
                <w:sz w:val="12"/>
              </w:rPr>
              <w:t xml:space="preserve">a </w:t>
            </w:r>
            <w:r>
              <w:rPr>
                <w:sz w:val="12"/>
              </w:rPr>
              <w:tab/>
              <w:t xml:space="preserve">fo ona{io Re </w:t>
            </w:r>
            <w:r>
              <w:rPr>
                <w:sz w:val="12"/>
              </w:rPr>
              <w:tab/>
              <w:t>de la</w:t>
            </w:r>
          </w:p>
        </w:tc>
        <w:tc>
          <w:tcPr>
            <w:tcW w:w="223" w:type="dxa"/>
            <w:tcBorders>
              <w:top w:val="nil"/>
              <w:left w:val="nil"/>
              <w:bottom w:val="nil"/>
              <w:right w:val="nil"/>
            </w:tcBorders>
          </w:tcPr>
          <w:p w14:paraId="4E3D9072" w14:textId="77777777" w:rsidR="00053D93" w:rsidRDefault="00053D93"/>
        </w:tc>
      </w:tr>
      <w:tr w:rsidR="00053D93" w14:paraId="620E209E" w14:textId="77777777">
        <w:trPr>
          <w:trHeight w:val="172"/>
        </w:trPr>
        <w:tc>
          <w:tcPr>
            <w:tcW w:w="2290" w:type="dxa"/>
            <w:tcBorders>
              <w:top w:val="nil"/>
              <w:left w:val="nil"/>
              <w:bottom w:val="nil"/>
              <w:right w:val="nil"/>
            </w:tcBorders>
          </w:tcPr>
          <w:p w14:paraId="363C27A0" w14:textId="77777777" w:rsidR="00053D93" w:rsidRDefault="00260B75">
            <w:pPr>
              <w:ind w:right="144"/>
              <w:jc w:val="center"/>
            </w:pPr>
            <w:r>
              <w:rPr>
                <w:sz w:val="20"/>
              </w:rPr>
              <w:t>Directora</w:t>
            </w:r>
          </w:p>
        </w:tc>
        <w:tc>
          <w:tcPr>
            <w:tcW w:w="374" w:type="dxa"/>
            <w:tcBorders>
              <w:top w:val="nil"/>
              <w:left w:val="nil"/>
              <w:bottom w:val="nil"/>
              <w:right w:val="nil"/>
            </w:tcBorders>
          </w:tcPr>
          <w:p w14:paraId="3CC8F3F3" w14:textId="77777777" w:rsidR="00053D93" w:rsidRDefault="00260B75">
            <w:r>
              <w:rPr>
                <w:sz w:val="14"/>
              </w:rPr>
              <w:t>Uni</w:t>
            </w:r>
          </w:p>
        </w:tc>
        <w:tc>
          <w:tcPr>
            <w:tcW w:w="4565" w:type="dxa"/>
            <w:tcBorders>
              <w:top w:val="nil"/>
              <w:left w:val="nil"/>
              <w:bottom w:val="nil"/>
              <w:right w:val="nil"/>
            </w:tcBorders>
          </w:tcPr>
          <w:p w14:paraId="04438E6B" w14:textId="77777777" w:rsidR="00053D93" w:rsidRDefault="00260B75">
            <w:r>
              <w:rPr>
                <w:sz w:val="14"/>
              </w:rPr>
              <w:t>de .admirriàac Finanaera</w:t>
            </w:r>
          </w:p>
        </w:tc>
        <w:tc>
          <w:tcPr>
            <w:tcW w:w="223" w:type="dxa"/>
            <w:tcBorders>
              <w:top w:val="nil"/>
              <w:left w:val="nil"/>
              <w:bottom w:val="nil"/>
              <w:right w:val="nil"/>
            </w:tcBorders>
          </w:tcPr>
          <w:p w14:paraId="2EBB49E2" w14:textId="77777777" w:rsidR="00053D93" w:rsidRDefault="00053D93"/>
        </w:tc>
      </w:tr>
      <w:tr w:rsidR="00053D93" w14:paraId="4F1A917C" w14:textId="77777777">
        <w:trPr>
          <w:trHeight w:val="272"/>
        </w:trPr>
        <w:tc>
          <w:tcPr>
            <w:tcW w:w="2290" w:type="dxa"/>
            <w:tcBorders>
              <w:top w:val="nil"/>
              <w:left w:val="nil"/>
              <w:bottom w:val="nil"/>
              <w:right w:val="nil"/>
            </w:tcBorders>
          </w:tcPr>
          <w:p w14:paraId="53062C1B" w14:textId="77777777" w:rsidR="00053D93" w:rsidRDefault="00260B75">
            <w:pPr>
              <w:ind w:left="994" w:right="29" w:hanging="994"/>
              <w:jc w:val="both"/>
            </w:pPr>
            <w:r>
              <w:rPr>
                <w:sz w:val="12"/>
              </w:rPr>
              <w:t>Dirección de Fínanciera -DNEde Educación</w:t>
            </w:r>
          </w:p>
        </w:tc>
        <w:tc>
          <w:tcPr>
            <w:tcW w:w="374" w:type="dxa"/>
            <w:tcBorders>
              <w:top w:val="nil"/>
              <w:left w:val="nil"/>
              <w:bottom w:val="nil"/>
              <w:right w:val="nil"/>
            </w:tcBorders>
          </w:tcPr>
          <w:p w14:paraId="2ED6F86D" w14:textId="77777777" w:rsidR="00053D93" w:rsidRDefault="00053D93"/>
        </w:tc>
        <w:tc>
          <w:tcPr>
            <w:tcW w:w="4565" w:type="dxa"/>
            <w:tcBorders>
              <w:top w:val="nil"/>
              <w:left w:val="nil"/>
              <w:bottom w:val="nil"/>
              <w:right w:val="nil"/>
            </w:tcBorders>
          </w:tcPr>
          <w:p w14:paraId="080547AA" w14:textId="77777777" w:rsidR="00053D93" w:rsidRDefault="00053D93"/>
        </w:tc>
        <w:tc>
          <w:tcPr>
            <w:tcW w:w="223" w:type="dxa"/>
            <w:tcBorders>
              <w:top w:val="nil"/>
              <w:left w:val="nil"/>
              <w:bottom w:val="nil"/>
              <w:right w:val="nil"/>
            </w:tcBorders>
          </w:tcPr>
          <w:p w14:paraId="4D9B04F9" w14:textId="77777777" w:rsidR="00053D93" w:rsidRDefault="00260B75">
            <w:pPr>
              <w:ind w:left="130"/>
            </w:pPr>
            <w:r>
              <w:rPr>
                <w:rFonts w:ascii="Times New Roman" w:eastAsia="Times New Roman" w:hAnsi="Times New Roman" w:cs="Times New Roman"/>
              </w:rPr>
              <w:t>o</w:t>
            </w:r>
          </w:p>
        </w:tc>
      </w:tr>
    </w:tbl>
    <w:p w14:paraId="494C1165" w14:textId="77777777" w:rsidR="00053D93" w:rsidRDefault="00260B75">
      <w:pPr>
        <w:spacing w:after="0" w:line="216" w:lineRule="auto"/>
        <w:ind w:left="12668"/>
        <w:jc w:val="center"/>
      </w:pPr>
      <w:r>
        <w:rPr>
          <w:rFonts w:ascii="Times New Roman" w:eastAsia="Times New Roman" w:hAnsi="Times New Roman" w:cs="Times New Roman"/>
        </w:rPr>
        <w:t>z 0</w:t>
      </w:r>
    </w:p>
    <w:p w14:paraId="0644373F" w14:textId="77777777" w:rsidR="00053D93" w:rsidRDefault="00260B75">
      <w:pPr>
        <w:spacing w:after="0" w:line="265" w:lineRule="auto"/>
        <w:ind w:left="10" w:right="-15" w:hanging="10"/>
        <w:jc w:val="right"/>
      </w:pPr>
      <w:r>
        <w:rPr>
          <w:rFonts w:ascii="Times New Roman" w:eastAsia="Times New Roman" w:hAnsi="Times New Roman" w:cs="Times New Roman"/>
        </w:rPr>
        <w:t>z</w:t>
      </w:r>
    </w:p>
    <w:p w14:paraId="0208206A" w14:textId="77777777" w:rsidR="00053D93" w:rsidRDefault="00260B75">
      <w:pPr>
        <w:tabs>
          <w:tab w:val="center" w:pos="2214"/>
          <w:tab w:val="center" w:pos="9353"/>
        </w:tabs>
        <w:spacing w:after="71"/>
      </w:pPr>
      <w:r>
        <w:rPr>
          <w:sz w:val="20"/>
        </w:rPr>
        <w:tab/>
        <w:t>2411-9595</w:t>
      </w:r>
      <w:r>
        <w:rPr>
          <w:sz w:val="20"/>
        </w:rPr>
        <w:tab/>
        <w:t>www.mlneduc.gob.gt</w:t>
      </w:r>
    </w:p>
    <w:p w14:paraId="0CD042A6" w14:textId="77777777" w:rsidR="00053D93" w:rsidRDefault="00053D93">
      <w:pPr>
        <w:sectPr w:rsidR="00053D93">
          <w:headerReference w:type="even" r:id="rId395"/>
          <w:headerReference w:type="default" r:id="rId396"/>
          <w:footerReference w:type="even" r:id="rId397"/>
          <w:footerReference w:type="default" r:id="rId398"/>
          <w:headerReference w:type="first" r:id="rId399"/>
          <w:footerReference w:type="first" r:id="rId400"/>
          <w:pgSz w:w="15926" w:h="12334" w:orient="landscape"/>
          <w:pgMar w:top="2066" w:right="662" w:bottom="2455" w:left="2498" w:header="720" w:footer="2542" w:gutter="0"/>
          <w:cols w:space="720"/>
        </w:sectPr>
      </w:pPr>
    </w:p>
    <w:p w14:paraId="2C99A05E" w14:textId="77777777" w:rsidR="00053D93" w:rsidRDefault="00260B75">
      <w:pPr>
        <w:spacing w:after="0" w:line="265" w:lineRule="auto"/>
        <w:ind w:left="10" w:right="367" w:hanging="10"/>
        <w:jc w:val="right"/>
      </w:pPr>
      <w:r>
        <w:rPr>
          <w:sz w:val="14"/>
        </w:rPr>
        <w:lastRenderedPageBreak/>
        <w:t>DIRECCIÓN DE AUDITORiA AL SECTOR EDUCACIÓN. CIENCIA. CULTURA</w:t>
      </w:r>
    </w:p>
    <w:tbl>
      <w:tblPr>
        <w:tblStyle w:val="TableGrid"/>
        <w:tblpPr w:vertAnchor="page" w:horzAnchor="page" w:tblpX="2863" w:tblpY="14602"/>
        <w:tblOverlap w:val="never"/>
        <w:tblW w:w="7635" w:type="dxa"/>
        <w:tblInd w:w="0" w:type="dxa"/>
        <w:tblCellMar>
          <w:top w:w="33" w:type="dxa"/>
          <w:bottom w:w="144" w:type="dxa"/>
          <w:right w:w="94" w:type="dxa"/>
        </w:tblCellMar>
        <w:tblLook w:val="04A0" w:firstRow="1" w:lastRow="0" w:firstColumn="1" w:lastColumn="0" w:noHBand="0" w:noVBand="1"/>
      </w:tblPr>
      <w:tblGrid>
        <w:gridCol w:w="4741"/>
        <w:gridCol w:w="2894"/>
      </w:tblGrid>
      <w:tr w:rsidR="00053D93" w14:paraId="4A5F7DF9" w14:textId="77777777">
        <w:trPr>
          <w:trHeight w:val="40"/>
        </w:trPr>
        <w:tc>
          <w:tcPr>
            <w:tcW w:w="4740" w:type="dxa"/>
            <w:tcBorders>
              <w:top w:val="nil"/>
              <w:left w:val="single" w:sz="2" w:space="0" w:color="000000"/>
              <w:bottom w:val="single" w:sz="2" w:space="0" w:color="000000"/>
              <w:right w:val="nil"/>
            </w:tcBorders>
          </w:tcPr>
          <w:p w14:paraId="1CA9FA40" w14:textId="77777777" w:rsidR="00053D93" w:rsidRDefault="00053D93"/>
        </w:tc>
        <w:tc>
          <w:tcPr>
            <w:tcW w:w="2894" w:type="dxa"/>
            <w:tcBorders>
              <w:top w:val="nil"/>
              <w:left w:val="nil"/>
              <w:bottom w:val="single" w:sz="2" w:space="0" w:color="000000"/>
              <w:right w:val="nil"/>
            </w:tcBorders>
          </w:tcPr>
          <w:p w14:paraId="3FF2381D" w14:textId="77777777" w:rsidR="00053D93" w:rsidRDefault="00053D93"/>
        </w:tc>
      </w:tr>
      <w:tr w:rsidR="00053D93" w14:paraId="7D40E32D" w14:textId="77777777">
        <w:trPr>
          <w:trHeight w:val="600"/>
        </w:trPr>
        <w:tc>
          <w:tcPr>
            <w:tcW w:w="4740" w:type="dxa"/>
            <w:tcBorders>
              <w:top w:val="single" w:sz="2" w:space="0" w:color="000000"/>
              <w:left w:val="single" w:sz="2" w:space="0" w:color="000000"/>
              <w:bottom w:val="nil"/>
              <w:right w:val="nil"/>
            </w:tcBorders>
          </w:tcPr>
          <w:p w14:paraId="4C709BEA" w14:textId="77777777" w:rsidR="00053D93" w:rsidRDefault="00260B75">
            <w:pPr>
              <w:ind w:left="2580"/>
            </w:pPr>
            <w:r>
              <w:rPr>
                <w:sz w:val="14"/>
              </w:rPr>
              <w:lastRenderedPageBreak/>
              <w:t>MINISTERIO DE EDUCACION</w:t>
            </w:r>
          </w:p>
          <w:p w14:paraId="171A2D69" w14:textId="77777777" w:rsidR="00053D93" w:rsidRDefault="00260B75">
            <w:pPr>
              <w:jc w:val="right"/>
            </w:pPr>
            <w:r>
              <w:rPr>
                <w:sz w:val="14"/>
              </w:rPr>
              <w:t>AUDITORÍA FINANCIERA Y DE CUMPLIMIENTO</w:t>
            </w:r>
          </w:p>
          <w:p w14:paraId="624CE0F8" w14:textId="77777777" w:rsidR="00053D93" w:rsidRDefault="00260B75">
            <w:pPr>
              <w:ind w:right="144"/>
              <w:jc w:val="right"/>
            </w:pPr>
            <w:r>
              <w:rPr>
                <w:sz w:val="14"/>
              </w:rPr>
              <w:t xml:space="preserve">PERIODO DEL 01 DE ENERO AL 31 DE DICIEMBRE </w:t>
            </w:r>
          </w:p>
        </w:tc>
        <w:tc>
          <w:tcPr>
            <w:tcW w:w="2894" w:type="dxa"/>
            <w:tcBorders>
              <w:top w:val="single" w:sz="2" w:space="0" w:color="000000"/>
              <w:left w:val="nil"/>
              <w:bottom w:val="nil"/>
              <w:right w:val="nil"/>
            </w:tcBorders>
            <w:vAlign w:val="bottom"/>
          </w:tcPr>
          <w:p w14:paraId="3A5F8367" w14:textId="77777777" w:rsidR="00053D93" w:rsidRDefault="00260B75">
            <w:r>
              <w:rPr>
                <w:sz w:val="14"/>
              </w:rPr>
              <w:t>2024</w:t>
            </w:r>
          </w:p>
        </w:tc>
      </w:tr>
    </w:tbl>
    <w:p w14:paraId="3D58309B" w14:textId="77777777" w:rsidR="00053D93" w:rsidRDefault="00260B75">
      <w:pPr>
        <w:spacing w:after="3" w:line="265" w:lineRule="auto"/>
        <w:ind w:left="572" w:hanging="10"/>
      </w:pPr>
      <w:r>
        <w:rPr>
          <w:noProof/>
        </w:rPr>
        <w:drawing>
          <wp:anchor distT="0" distB="0" distL="114300" distR="114300" simplePos="0" relativeHeight="251833344" behindDoc="0" locked="0" layoutInCell="1" allowOverlap="0" wp14:anchorId="243DAAE1" wp14:editId="6CD13A66">
            <wp:simplePos x="0" y="0"/>
            <wp:positionH relativeFrom="page">
              <wp:posOffset>201168</wp:posOffset>
            </wp:positionH>
            <wp:positionV relativeFrom="page">
              <wp:posOffset>370332</wp:posOffset>
            </wp:positionV>
            <wp:extent cx="128016" cy="356616"/>
            <wp:effectExtent l="0" t="0" r="0" b="0"/>
            <wp:wrapSquare wrapText="bothSides"/>
            <wp:docPr id="261446" name="Picture 261446"/>
            <wp:cNvGraphicFramePr/>
            <a:graphic xmlns:a="http://schemas.openxmlformats.org/drawingml/2006/main">
              <a:graphicData uri="http://schemas.openxmlformats.org/drawingml/2006/picture">
                <pic:pic xmlns:pic="http://schemas.openxmlformats.org/drawingml/2006/picture">
                  <pic:nvPicPr>
                    <pic:cNvPr id="261446" name="Picture 261446"/>
                    <pic:cNvPicPr/>
                  </pic:nvPicPr>
                  <pic:blipFill>
                    <a:blip r:embed="rId401"/>
                    <a:stretch>
                      <a:fillRect/>
                    </a:stretch>
                  </pic:blipFill>
                  <pic:spPr>
                    <a:xfrm>
                      <a:off x="0" y="0"/>
                      <a:ext cx="128016" cy="356616"/>
                    </a:xfrm>
                    <a:prstGeom prst="rect">
                      <a:avLst/>
                    </a:prstGeom>
                  </pic:spPr>
                </pic:pic>
              </a:graphicData>
            </a:graphic>
          </wp:anchor>
        </w:drawing>
      </w:r>
      <w:r>
        <w:rPr>
          <w:noProof/>
        </w:rPr>
        <w:drawing>
          <wp:anchor distT="0" distB="0" distL="114300" distR="114300" simplePos="0" relativeHeight="251834368" behindDoc="0" locked="0" layoutInCell="1" allowOverlap="0" wp14:anchorId="31BA51E4" wp14:editId="53E474F7">
            <wp:simplePos x="0" y="0"/>
            <wp:positionH relativeFrom="page">
              <wp:posOffset>210312</wp:posOffset>
            </wp:positionH>
            <wp:positionV relativeFrom="page">
              <wp:posOffset>891540</wp:posOffset>
            </wp:positionV>
            <wp:extent cx="123444" cy="352044"/>
            <wp:effectExtent l="0" t="0" r="0" b="0"/>
            <wp:wrapTopAndBottom/>
            <wp:docPr id="261447" name="Picture 261447"/>
            <wp:cNvGraphicFramePr/>
            <a:graphic xmlns:a="http://schemas.openxmlformats.org/drawingml/2006/main">
              <a:graphicData uri="http://schemas.openxmlformats.org/drawingml/2006/picture">
                <pic:pic xmlns:pic="http://schemas.openxmlformats.org/drawingml/2006/picture">
                  <pic:nvPicPr>
                    <pic:cNvPr id="261447" name="Picture 261447"/>
                    <pic:cNvPicPr/>
                  </pic:nvPicPr>
                  <pic:blipFill>
                    <a:blip r:embed="rId402"/>
                    <a:stretch>
                      <a:fillRect/>
                    </a:stretch>
                  </pic:blipFill>
                  <pic:spPr>
                    <a:xfrm>
                      <a:off x="0" y="0"/>
                      <a:ext cx="123444" cy="352044"/>
                    </a:xfrm>
                    <a:prstGeom prst="rect">
                      <a:avLst/>
                    </a:prstGeom>
                  </pic:spPr>
                </pic:pic>
              </a:graphicData>
            </a:graphic>
          </wp:anchor>
        </w:drawing>
      </w:r>
      <w:r>
        <w:rPr>
          <w:noProof/>
        </w:rPr>
        <w:drawing>
          <wp:anchor distT="0" distB="0" distL="114300" distR="114300" simplePos="0" relativeHeight="251835392" behindDoc="0" locked="0" layoutInCell="1" allowOverlap="0" wp14:anchorId="7E67F919" wp14:editId="75CC3E52">
            <wp:simplePos x="0" y="0"/>
            <wp:positionH relativeFrom="page">
              <wp:posOffset>210312</wp:posOffset>
            </wp:positionH>
            <wp:positionV relativeFrom="page">
              <wp:posOffset>1412748</wp:posOffset>
            </wp:positionV>
            <wp:extent cx="128016" cy="342900"/>
            <wp:effectExtent l="0" t="0" r="0" b="0"/>
            <wp:wrapTopAndBottom/>
            <wp:docPr id="261449" name="Picture 261449"/>
            <wp:cNvGraphicFramePr/>
            <a:graphic xmlns:a="http://schemas.openxmlformats.org/drawingml/2006/main">
              <a:graphicData uri="http://schemas.openxmlformats.org/drawingml/2006/picture">
                <pic:pic xmlns:pic="http://schemas.openxmlformats.org/drawingml/2006/picture">
                  <pic:nvPicPr>
                    <pic:cNvPr id="261449" name="Picture 261449"/>
                    <pic:cNvPicPr/>
                  </pic:nvPicPr>
                  <pic:blipFill>
                    <a:blip r:embed="rId403"/>
                    <a:stretch>
                      <a:fillRect/>
                    </a:stretch>
                  </pic:blipFill>
                  <pic:spPr>
                    <a:xfrm>
                      <a:off x="0" y="0"/>
                      <a:ext cx="128016" cy="342900"/>
                    </a:xfrm>
                    <a:prstGeom prst="rect">
                      <a:avLst/>
                    </a:prstGeom>
                  </pic:spPr>
                </pic:pic>
              </a:graphicData>
            </a:graphic>
          </wp:anchor>
        </w:drawing>
      </w:r>
      <w:r>
        <w:rPr>
          <w:noProof/>
        </w:rPr>
        <w:drawing>
          <wp:anchor distT="0" distB="0" distL="114300" distR="114300" simplePos="0" relativeHeight="251836416" behindDoc="0" locked="0" layoutInCell="1" allowOverlap="0" wp14:anchorId="377FD4F0" wp14:editId="3E18CC7C">
            <wp:simplePos x="0" y="0"/>
            <wp:positionH relativeFrom="page">
              <wp:posOffset>210312</wp:posOffset>
            </wp:positionH>
            <wp:positionV relativeFrom="page">
              <wp:posOffset>1933956</wp:posOffset>
            </wp:positionV>
            <wp:extent cx="132588" cy="342900"/>
            <wp:effectExtent l="0" t="0" r="0" b="0"/>
            <wp:wrapTopAndBottom/>
            <wp:docPr id="261451" name="Picture 261451"/>
            <wp:cNvGraphicFramePr/>
            <a:graphic xmlns:a="http://schemas.openxmlformats.org/drawingml/2006/main">
              <a:graphicData uri="http://schemas.openxmlformats.org/drawingml/2006/picture">
                <pic:pic xmlns:pic="http://schemas.openxmlformats.org/drawingml/2006/picture">
                  <pic:nvPicPr>
                    <pic:cNvPr id="261451" name="Picture 261451"/>
                    <pic:cNvPicPr/>
                  </pic:nvPicPr>
                  <pic:blipFill>
                    <a:blip r:embed="rId404"/>
                    <a:stretch>
                      <a:fillRect/>
                    </a:stretch>
                  </pic:blipFill>
                  <pic:spPr>
                    <a:xfrm>
                      <a:off x="0" y="0"/>
                      <a:ext cx="132588" cy="342900"/>
                    </a:xfrm>
                    <a:prstGeom prst="rect">
                      <a:avLst/>
                    </a:prstGeom>
                  </pic:spPr>
                </pic:pic>
              </a:graphicData>
            </a:graphic>
          </wp:anchor>
        </w:drawing>
      </w:r>
      <w:r>
        <w:rPr>
          <w:noProof/>
        </w:rPr>
        <w:drawing>
          <wp:anchor distT="0" distB="0" distL="114300" distR="114300" simplePos="0" relativeHeight="251837440" behindDoc="0" locked="0" layoutInCell="1" allowOverlap="0" wp14:anchorId="58698DF5" wp14:editId="6477D2D5">
            <wp:simplePos x="0" y="0"/>
            <wp:positionH relativeFrom="page">
              <wp:posOffset>214884</wp:posOffset>
            </wp:positionH>
            <wp:positionV relativeFrom="page">
              <wp:posOffset>2450592</wp:posOffset>
            </wp:positionV>
            <wp:extent cx="128016" cy="338328"/>
            <wp:effectExtent l="0" t="0" r="0" b="0"/>
            <wp:wrapTopAndBottom/>
            <wp:docPr id="261452" name="Picture 261452"/>
            <wp:cNvGraphicFramePr/>
            <a:graphic xmlns:a="http://schemas.openxmlformats.org/drawingml/2006/main">
              <a:graphicData uri="http://schemas.openxmlformats.org/drawingml/2006/picture">
                <pic:pic xmlns:pic="http://schemas.openxmlformats.org/drawingml/2006/picture">
                  <pic:nvPicPr>
                    <pic:cNvPr id="261452" name="Picture 261452"/>
                    <pic:cNvPicPr/>
                  </pic:nvPicPr>
                  <pic:blipFill>
                    <a:blip r:embed="rId405"/>
                    <a:stretch>
                      <a:fillRect/>
                    </a:stretch>
                  </pic:blipFill>
                  <pic:spPr>
                    <a:xfrm>
                      <a:off x="0" y="0"/>
                      <a:ext cx="128016" cy="338328"/>
                    </a:xfrm>
                    <a:prstGeom prst="rect">
                      <a:avLst/>
                    </a:prstGeom>
                  </pic:spPr>
                </pic:pic>
              </a:graphicData>
            </a:graphic>
          </wp:anchor>
        </w:drawing>
      </w:r>
      <w:r>
        <w:rPr>
          <w:noProof/>
        </w:rPr>
        <w:drawing>
          <wp:anchor distT="0" distB="0" distL="114300" distR="114300" simplePos="0" relativeHeight="251838464" behindDoc="0" locked="0" layoutInCell="1" allowOverlap="0" wp14:anchorId="63E0259F" wp14:editId="29102259">
            <wp:simplePos x="0" y="0"/>
            <wp:positionH relativeFrom="page">
              <wp:posOffset>205740</wp:posOffset>
            </wp:positionH>
            <wp:positionV relativeFrom="page">
              <wp:posOffset>2967228</wp:posOffset>
            </wp:positionV>
            <wp:extent cx="132588" cy="338328"/>
            <wp:effectExtent l="0" t="0" r="0" b="0"/>
            <wp:wrapTopAndBottom/>
            <wp:docPr id="261453" name="Picture 261453"/>
            <wp:cNvGraphicFramePr/>
            <a:graphic xmlns:a="http://schemas.openxmlformats.org/drawingml/2006/main">
              <a:graphicData uri="http://schemas.openxmlformats.org/drawingml/2006/picture">
                <pic:pic xmlns:pic="http://schemas.openxmlformats.org/drawingml/2006/picture">
                  <pic:nvPicPr>
                    <pic:cNvPr id="261453" name="Picture 261453"/>
                    <pic:cNvPicPr/>
                  </pic:nvPicPr>
                  <pic:blipFill>
                    <a:blip r:embed="rId406"/>
                    <a:stretch>
                      <a:fillRect/>
                    </a:stretch>
                  </pic:blipFill>
                  <pic:spPr>
                    <a:xfrm>
                      <a:off x="0" y="0"/>
                      <a:ext cx="132588" cy="338328"/>
                    </a:xfrm>
                    <a:prstGeom prst="rect">
                      <a:avLst/>
                    </a:prstGeom>
                  </pic:spPr>
                </pic:pic>
              </a:graphicData>
            </a:graphic>
          </wp:anchor>
        </w:drawing>
      </w:r>
      <w:r>
        <w:rPr>
          <w:noProof/>
        </w:rPr>
        <w:drawing>
          <wp:anchor distT="0" distB="0" distL="114300" distR="114300" simplePos="0" relativeHeight="251839488" behindDoc="0" locked="0" layoutInCell="1" allowOverlap="0" wp14:anchorId="6B028526" wp14:editId="5ABAF452">
            <wp:simplePos x="0" y="0"/>
            <wp:positionH relativeFrom="page">
              <wp:posOffset>219456</wp:posOffset>
            </wp:positionH>
            <wp:positionV relativeFrom="page">
              <wp:posOffset>3483864</wp:posOffset>
            </wp:positionV>
            <wp:extent cx="123444" cy="333756"/>
            <wp:effectExtent l="0" t="0" r="0" b="0"/>
            <wp:wrapTopAndBottom/>
            <wp:docPr id="261454" name="Picture 261454"/>
            <wp:cNvGraphicFramePr/>
            <a:graphic xmlns:a="http://schemas.openxmlformats.org/drawingml/2006/main">
              <a:graphicData uri="http://schemas.openxmlformats.org/drawingml/2006/picture">
                <pic:pic xmlns:pic="http://schemas.openxmlformats.org/drawingml/2006/picture">
                  <pic:nvPicPr>
                    <pic:cNvPr id="261454" name="Picture 261454"/>
                    <pic:cNvPicPr/>
                  </pic:nvPicPr>
                  <pic:blipFill>
                    <a:blip r:embed="rId407"/>
                    <a:stretch>
                      <a:fillRect/>
                    </a:stretch>
                  </pic:blipFill>
                  <pic:spPr>
                    <a:xfrm>
                      <a:off x="0" y="0"/>
                      <a:ext cx="123444" cy="333756"/>
                    </a:xfrm>
                    <a:prstGeom prst="rect">
                      <a:avLst/>
                    </a:prstGeom>
                  </pic:spPr>
                </pic:pic>
              </a:graphicData>
            </a:graphic>
          </wp:anchor>
        </w:drawing>
      </w:r>
      <w:r>
        <w:rPr>
          <w:noProof/>
        </w:rPr>
        <w:drawing>
          <wp:anchor distT="0" distB="0" distL="114300" distR="114300" simplePos="0" relativeHeight="251840512" behindDoc="0" locked="0" layoutInCell="1" allowOverlap="0" wp14:anchorId="513BCED2" wp14:editId="7E7A30BE">
            <wp:simplePos x="0" y="0"/>
            <wp:positionH relativeFrom="page">
              <wp:posOffset>224028</wp:posOffset>
            </wp:positionH>
            <wp:positionV relativeFrom="page">
              <wp:posOffset>4000500</wp:posOffset>
            </wp:positionV>
            <wp:extent cx="118872" cy="333756"/>
            <wp:effectExtent l="0" t="0" r="0" b="0"/>
            <wp:wrapTopAndBottom/>
            <wp:docPr id="261455" name="Picture 261455"/>
            <wp:cNvGraphicFramePr/>
            <a:graphic xmlns:a="http://schemas.openxmlformats.org/drawingml/2006/main">
              <a:graphicData uri="http://schemas.openxmlformats.org/drawingml/2006/picture">
                <pic:pic xmlns:pic="http://schemas.openxmlformats.org/drawingml/2006/picture">
                  <pic:nvPicPr>
                    <pic:cNvPr id="261455" name="Picture 261455"/>
                    <pic:cNvPicPr/>
                  </pic:nvPicPr>
                  <pic:blipFill>
                    <a:blip r:embed="rId408"/>
                    <a:stretch>
                      <a:fillRect/>
                    </a:stretch>
                  </pic:blipFill>
                  <pic:spPr>
                    <a:xfrm>
                      <a:off x="0" y="0"/>
                      <a:ext cx="118872" cy="333756"/>
                    </a:xfrm>
                    <a:prstGeom prst="rect">
                      <a:avLst/>
                    </a:prstGeom>
                  </pic:spPr>
                </pic:pic>
              </a:graphicData>
            </a:graphic>
          </wp:anchor>
        </w:drawing>
      </w:r>
      <w:r>
        <w:rPr>
          <w:noProof/>
        </w:rPr>
        <w:drawing>
          <wp:anchor distT="0" distB="0" distL="114300" distR="114300" simplePos="0" relativeHeight="251841536" behindDoc="0" locked="0" layoutInCell="1" allowOverlap="0" wp14:anchorId="30ACDCCA" wp14:editId="729EFD48">
            <wp:simplePos x="0" y="0"/>
            <wp:positionH relativeFrom="page">
              <wp:posOffset>224028</wp:posOffset>
            </wp:positionH>
            <wp:positionV relativeFrom="page">
              <wp:posOffset>4512564</wp:posOffset>
            </wp:positionV>
            <wp:extent cx="114300" cy="333756"/>
            <wp:effectExtent l="0" t="0" r="0" b="0"/>
            <wp:wrapTopAndBottom/>
            <wp:docPr id="261456" name="Picture 261456"/>
            <wp:cNvGraphicFramePr/>
            <a:graphic xmlns:a="http://schemas.openxmlformats.org/drawingml/2006/main">
              <a:graphicData uri="http://schemas.openxmlformats.org/drawingml/2006/picture">
                <pic:pic xmlns:pic="http://schemas.openxmlformats.org/drawingml/2006/picture">
                  <pic:nvPicPr>
                    <pic:cNvPr id="261456" name="Picture 261456"/>
                    <pic:cNvPicPr/>
                  </pic:nvPicPr>
                  <pic:blipFill>
                    <a:blip r:embed="rId409"/>
                    <a:stretch>
                      <a:fillRect/>
                    </a:stretch>
                  </pic:blipFill>
                  <pic:spPr>
                    <a:xfrm>
                      <a:off x="0" y="0"/>
                      <a:ext cx="114300" cy="333756"/>
                    </a:xfrm>
                    <a:prstGeom prst="rect">
                      <a:avLst/>
                    </a:prstGeom>
                  </pic:spPr>
                </pic:pic>
              </a:graphicData>
            </a:graphic>
          </wp:anchor>
        </w:drawing>
      </w:r>
      <w:r>
        <w:rPr>
          <w:noProof/>
        </w:rPr>
        <w:drawing>
          <wp:anchor distT="0" distB="0" distL="114300" distR="114300" simplePos="0" relativeHeight="251842560" behindDoc="0" locked="0" layoutInCell="1" allowOverlap="0" wp14:anchorId="5867B36F" wp14:editId="1D5B81F8">
            <wp:simplePos x="0" y="0"/>
            <wp:positionH relativeFrom="page">
              <wp:posOffset>219456</wp:posOffset>
            </wp:positionH>
            <wp:positionV relativeFrom="page">
              <wp:posOffset>5029200</wp:posOffset>
            </wp:positionV>
            <wp:extent cx="123444" cy="333756"/>
            <wp:effectExtent l="0" t="0" r="0" b="0"/>
            <wp:wrapTopAndBottom/>
            <wp:docPr id="261457" name="Picture 261457"/>
            <wp:cNvGraphicFramePr/>
            <a:graphic xmlns:a="http://schemas.openxmlformats.org/drawingml/2006/main">
              <a:graphicData uri="http://schemas.openxmlformats.org/drawingml/2006/picture">
                <pic:pic xmlns:pic="http://schemas.openxmlformats.org/drawingml/2006/picture">
                  <pic:nvPicPr>
                    <pic:cNvPr id="261457" name="Picture 261457"/>
                    <pic:cNvPicPr/>
                  </pic:nvPicPr>
                  <pic:blipFill>
                    <a:blip r:embed="rId410"/>
                    <a:stretch>
                      <a:fillRect/>
                    </a:stretch>
                  </pic:blipFill>
                  <pic:spPr>
                    <a:xfrm>
                      <a:off x="0" y="0"/>
                      <a:ext cx="123444" cy="333756"/>
                    </a:xfrm>
                    <a:prstGeom prst="rect">
                      <a:avLst/>
                    </a:prstGeom>
                  </pic:spPr>
                </pic:pic>
              </a:graphicData>
            </a:graphic>
          </wp:anchor>
        </w:drawing>
      </w:r>
      <w:r>
        <w:rPr>
          <w:noProof/>
        </w:rPr>
        <w:drawing>
          <wp:anchor distT="0" distB="0" distL="114300" distR="114300" simplePos="0" relativeHeight="251843584" behindDoc="0" locked="0" layoutInCell="1" allowOverlap="0" wp14:anchorId="5A95B5FF" wp14:editId="3C73EC9A">
            <wp:simplePos x="0" y="0"/>
            <wp:positionH relativeFrom="page">
              <wp:posOffset>228600</wp:posOffset>
            </wp:positionH>
            <wp:positionV relativeFrom="page">
              <wp:posOffset>5541264</wp:posOffset>
            </wp:positionV>
            <wp:extent cx="118872" cy="342900"/>
            <wp:effectExtent l="0" t="0" r="0" b="0"/>
            <wp:wrapTopAndBottom/>
            <wp:docPr id="261458" name="Picture 261458"/>
            <wp:cNvGraphicFramePr/>
            <a:graphic xmlns:a="http://schemas.openxmlformats.org/drawingml/2006/main">
              <a:graphicData uri="http://schemas.openxmlformats.org/drawingml/2006/picture">
                <pic:pic xmlns:pic="http://schemas.openxmlformats.org/drawingml/2006/picture">
                  <pic:nvPicPr>
                    <pic:cNvPr id="261458" name="Picture 261458"/>
                    <pic:cNvPicPr/>
                  </pic:nvPicPr>
                  <pic:blipFill>
                    <a:blip r:embed="rId411"/>
                    <a:stretch>
                      <a:fillRect/>
                    </a:stretch>
                  </pic:blipFill>
                  <pic:spPr>
                    <a:xfrm>
                      <a:off x="0" y="0"/>
                      <a:ext cx="118872" cy="342900"/>
                    </a:xfrm>
                    <a:prstGeom prst="rect">
                      <a:avLst/>
                    </a:prstGeom>
                  </pic:spPr>
                </pic:pic>
              </a:graphicData>
            </a:graphic>
          </wp:anchor>
        </w:drawing>
      </w:r>
      <w:r>
        <w:rPr>
          <w:noProof/>
        </w:rPr>
        <w:drawing>
          <wp:anchor distT="0" distB="0" distL="114300" distR="114300" simplePos="0" relativeHeight="251844608" behindDoc="0" locked="0" layoutInCell="1" allowOverlap="0" wp14:anchorId="4648982D" wp14:editId="6A02D415">
            <wp:simplePos x="0" y="0"/>
            <wp:positionH relativeFrom="page">
              <wp:posOffset>224028</wp:posOffset>
            </wp:positionH>
            <wp:positionV relativeFrom="page">
              <wp:posOffset>6057900</wp:posOffset>
            </wp:positionV>
            <wp:extent cx="128016" cy="342900"/>
            <wp:effectExtent l="0" t="0" r="0" b="0"/>
            <wp:wrapTopAndBottom/>
            <wp:docPr id="261459" name="Picture 261459"/>
            <wp:cNvGraphicFramePr/>
            <a:graphic xmlns:a="http://schemas.openxmlformats.org/drawingml/2006/main">
              <a:graphicData uri="http://schemas.openxmlformats.org/drawingml/2006/picture">
                <pic:pic xmlns:pic="http://schemas.openxmlformats.org/drawingml/2006/picture">
                  <pic:nvPicPr>
                    <pic:cNvPr id="261459" name="Picture 261459"/>
                    <pic:cNvPicPr/>
                  </pic:nvPicPr>
                  <pic:blipFill>
                    <a:blip r:embed="rId412"/>
                    <a:stretch>
                      <a:fillRect/>
                    </a:stretch>
                  </pic:blipFill>
                  <pic:spPr>
                    <a:xfrm>
                      <a:off x="0" y="0"/>
                      <a:ext cx="128016" cy="342900"/>
                    </a:xfrm>
                    <a:prstGeom prst="rect">
                      <a:avLst/>
                    </a:prstGeom>
                  </pic:spPr>
                </pic:pic>
              </a:graphicData>
            </a:graphic>
          </wp:anchor>
        </w:drawing>
      </w:r>
      <w:r>
        <w:rPr>
          <w:noProof/>
        </w:rPr>
        <w:drawing>
          <wp:anchor distT="0" distB="0" distL="114300" distR="114300" simplePos="0" relativeHeight="251845632" behindDoc="0" locked="0" layoutInCell="1" allowOverlap="0" wp14:anchorId="098F0C63" wp14:editId="4FDAF4E0">
            <wp:simplePos x="0" y="0"/>
            <wp:positionH relativeFrom="page">
              <wp:posOffset>219456</wp:posOffset>
            </wp:positionH>
            <wp:positionV relativeFrom="page">
              <wp:posOffset>6574535</wp:posOffset>
            </wp:positionV>
            <wp:extent cx="123444" cy="342900"/>
            <wp:effectExtent l="0" t="0" r="0" b="0"/>
            <wp:wrapTopAndBottom/>
            <wp:docPr id="261460" name="Picture 261460"/>
            <wp:cNvGraphicFramePr/>
            <a:graphic xmlns:a="http://schemas.openxmlformats.org/drawingml/2006/main">
              <a:graphicData uri="http://schemas.openxmlformats.org/drawingml/2006/picture">
                <pic:pic xmlns:pic="http://schemas.openxmlformats.org/drawingml/2006/picture">
                  <pic:nvPicPr>
                    <pic:cNvPr id="261460" name="Picture 261460"/>
                    <pic:cNvPicPr/>
                  </pic:nvPicPr>
                  <pic:blipFill>
                    <a:blip r:embed="rId413"/>
                    <a:stretch>
                      <a:fillRect/>
                    </a:stretch>
                  </pic:blipFill>
                  <pic:spPr>
                    <a:xfrm>
                      <a:off x="0" y="0"/>
                      <a:ext cx="123444" cy="342900"/>
                    </a:xfrm>
                    <a:prstGeom prst="rect">
                      <a:avLst/>
                    </a:prstGeom>
                  </pic:spPr>
                </pic:pic>
              </a:graphicData>
            </a:graphic>
          </wp:anchor>
        </w:drawing>
      </w:r>
      <w:r>
        <w:rPr>
          <w:noProof/>
        </w:rPr>
        <w:drawing>
          <wp:anchor distT="0" distB="0" distL="114300" distR="114300" simplePos="0" relativeHeight="251846656" behindDoc="0" locked="0" layoutInCell="1" allowOverlap="0" wp14:anchorId="1DF11715" wp14:editId="450F5513">
            <wp:simplePos x="0" y="0"/>
            <wp:positionH relativeFrom="page">
              <wp:posOffset>233172</wp:posOffset>
            </wp:positionH>
            <wp:positionV relativeFrom="page">
              <wp:posOffset>8129016</wp:posOffset>
            </wp:positionV>
            <wp:extent cx="114300" cy="329184"/>
            <wp:effectExtent l="0" t="0" r="0" b="0"/>
            <wp:wrapTopAndBottom/>
            <wp:docPr id="261463" name="Picture 261463"/>
            <wp:cNvGraphicFramePr/>
            <a:graphic xmlns:a="http://schemas.openxmlformats.org/drawingml/2006/main">
              <a:graphicData uri="http://schemas.openxmlformats.org/drawingml/2006/picture">
                <pic:pic xmlns:pic="http://schemas.openxmlformats.org/drawingml/2006/picture">
                  <pic:nvPicPr>
                    <pic:cNvPr id="261463" name="Picture 261463"/>
                    <pic:cNvPicPr/>
                  </pic:nvPicPr>
                  <pic:blipFill>
                    <a:blip r:embed="rId414"/>
                    <a:stretch>
                      <a:fillRect/>
                    </a:stretch>
                  </pic:blipFill>
                  <pic:spPr>
                    <a:xfrm>
                      <a:off x="0" y="0"/>
                      <a:ext cx="114300" cy="329184"/>
                    </a:xfrm>
                    <a:prstGeom prst="rect">
                      <a:avLst/>
                    </a:prstGeom>
                  </pic:spPr>
                </pic:pic>
              </a:graphicData>
            </a:graphic>
          </wp:anchor>
        </w:drawing>
      </w:r>
      <w:r>
        <w:rPr>
          <w:noProof/>
        </w:rPr>
        <w:drawing>
          <wp:anchor distT="0" distB="0" distL="114300" distR="114300" simplePos="0" relativeHeight="251847680" behindDoc="0" locked="0" layoutInCell="1" allowOverlap="0" wp14:anchorId="783F8893" wp14:editId="386764F7">
            <wp:simplePos x="0" y="0"/>
            <wp:positionH relativeFrom="page">
              <wp:posOffset>233172</wp:posOffset>
            </wp:positionH>
            <wp:positionV relativeFrom="page">
              <wp:posOffset>8645652</wp:posOffset>
            </wp:positionV>
            <wp:extent cx="114300" cy="320040"/>
            <wp:effectExtent l="0" t="0" r="0" b="0"/>
            <wp:wrapTopAndBottom/>
            <wp:docPr id="261464" name="Picture 261464"/>
            <wp:cNvGraphicFramePr/>
            <a:graphic xmlns:a="http://schemas.openxmlformats.org/drawingml/2006/main">
              <a:graphicData uri="http://schemas.openxmlformats.org/drawingml/2006/picture">
                <pic:pic xmlns:pic="http://schemas.openxmlformats.org/drawingml/2006/picture">
                  <pic:nvPicPr>
                    <pic:cNvPr id="261464" name="Picture 261464"/>
                    <pic:cNvPicPr/>
                  </pic:nvPicPr>
                  <pic:blipFill>
                    <a:blip r:embed="rId415"/>
                    <a:stretch>
                      <a:fillRect/>
                    </a:stretch>
                  </pic:blipFill>
                  <pic:spPr>
                    <a:xfrm>
                      <a:off x="0" y="0"/>
                      <a:ext cx="114300" cy="320040"/>
                    </a:xfrm>
                    <a:prstGeom prst="rect">
                      <a:avLst/>
                    </a:prstGeom>
                  </pic:spPr>
                </pic:pic>
              </a:graphicData>
            </a:graphic>
          </wp:anchor>
        </w:drawing>
      </w:r>
      <w:r>
        <w:rPr>
          <w:noProof/>
        </w:rPr>
        <mc:AlternateContent>
          <mc:Choice Requires="wpg">
            <w:drawing>
              <wp:anchor distT="0" distB="0" distL="114300" distR="114300" simplePos="0" relativeHeight="251848704" behindDoc="0" locked="0" layoutInCell="1" allowOverlap="1" wp14:anchorId="7199316B" wp14:editId="1D09BFF9">
                <wp:simplePos x="0" y="0"/>
                <wp:positionH relativeFrom="page">
                  <wp:posOffset>1271016</wp:posOffset>
                </wp:positionH>
                <wp:positionV relativeFrom="page">
                  <wp:posOffset>845820</wp:posOffset>
                </wp:positionV>
                <wp:extent cx="5385816" cy="9144"/>
                <wp:effectExtent l="0" t="0" r="0" b="0"/>
                <wp:wrapTopAndBottom/>
                <wp:docPr id="2458250" name="Group 2458250"/>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249" name="Shape 2458249"/>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250" style="width:424.08pt;height:0.720001pt;position:absolute;mso-position-horizontal-relative:page;mso-position-horizontal:absolute;margin-left:100.08pt;mso-position-vertical-relative:page;margin-top:66.6pt;" coordsize="53858,91">
                <v:shape id="Shape 2458249" style="position:absolute;width:53858;height:91;left:0;top:0;" coordsize="5385816,9144" path="m0,4572l5385816,4572">
                  <v:stroke weight="0.720001pt" endcap="flat" joinstyle="miter" miterlimit="1" on="true" color="#000000"/>
                  <v:fill on="false" color="#000000"/>
                </v:shape>
                <w10:wrap type="topAndBottom"/>
              </v:group>
            </w:pict>
          </mc:Fallback>
        </mc:AlternateContent>
      </w:r>
      <w:r>
        <w:rPr>
          <w:sz w:val="14"/>
        </w:rPr>
        <w:t>CONTRALORIA GENERAL DE CUENTAS</w:t>
      </w:r>
    </w:p>
    <w:p w14:paraId="7B4D7C80" w14:textId="77777777" w:rsidR="00053D93" w:rsidRDefault="00260B75">
      <w:pPr>
        <w:spacing w:after="291" w:line="265" w:lineRule="auto"/>
        <w:ind w:left="10" w:right="374" w:hanging="10"/>
        <w:jc w:val="right"/>
      </w:pPr>
      <w:r>
        <w:rPr>
          <w:sz w:val="16"/>
        </w:rPr>
        <w:t>Y DEPORTES</w:t>
      </w:r>
    </w:p>
    <w:p w14:paraId="66AE44AA" w14:textId="77777777" w:rsidR="00053D93" w:rsidRDefault="00260B75">
      <w:pPr>
        <w:spacing w:before="295" w:after="979"/>
        <w:ind w:left="626"/>
      </w:pPr>
      <w:r>
        <w:rPr>
          <w:noProof/>
        </w:rPr>
        <w:drawing>
          <wp:inline distT="0" distB="0" distL="0" distR="0" wp14:anchorId="1A166EBA" wp14:editId="69A2A30B">
            <wp:extent cx="5239512" cy="7488936"/>
            <wp:effectExtent l="0" t="0" r="0" b="0"/>
            <wp:docPr id="2458245" name="Picture 2458245"/>
            <wp:cNvGraphicFramePr/>
            <a:graphic xmlns:a="http://schemas.openxmlformats.org/drawingml/2006/main">
              <a:graphicData uri="http://schemas.openxmlformats.org/drawingml/2006/picture">
                <pic:pic xmlns:pic="http://schemas.openxmlformats.org/drawingml/2006/picture">
                  <pic:nvPicPr>
                    <pic:cNvPr id="2458245" name="Picture 2458245"/>
                    <pic:cNvPicPr/>
                  </pic:nvPicPr>
                  <pic:blipFill>
                    <a:blip r:embed="rId416"/>
                    <a:stretch>
                      <a:fillRect/>
                    </a:stretch>
                  </pic:blipFill>
                  <pic:spPr>
                    <a:xfrm>
                      <a:off x="0" y="0"/>
                      <a:ext cx="5239512" cy="7488936"/>
                    </a:xfrm>
                    <a:prstGeom prst="rect">
                      <a:avLst/>
                    </a:prstGeom>
                  </pic:spPr>
                </pic:pic>
              </a:graphicData>
            </a:graphic>
          </wp:inline>
        </w:drawing>
      </w:r>
    </w:p>
    <w:p w14:paraId="468D2BDD" w14:textId="77777777" w:rsidR="00053D93" w:rsidRDefault="00260B75">
      <w:pPr>
        <w:spacing w:after="0"/>
        <w:ind w:left="-1109"/>
      </w:pPr>
      <w:r>
        <w:rPr>
          <w:noProof/>
        </w:rPr>
        <w:lastRenderedPageBreak/>
        <w:drawing>
          <wp:inline distT="0" distB="0" distL="0" distR="0" wp14:anchorId="1F55D628" wp14:editId="3B058B5B">
            <wp:extent cx="1581912" cy="832104"/>
            <wp:effectExtent l="0" t="0" r="0" b="0"/>
            <wp:docPr id="2458247" name="Picture 2458247"/>
            <wp:cNvGraphicFramePr/>
            <a:graphic xmlns:a="http://schemas.openxmlformats.org/drawingml/2006/main">
              <a:graphicData uri="http://schemas.openxmlformats.org/drawingml/2006/picture">
                <pic:pic xmlns:pic="http://schemas.openxmlformats.org/drawingml/2006/picture">
                  <pic:nvPicPr>
                    <pic:cNvPr id="2458247" name="Picture 2458247"/>
                    <pic:cNvPicPr/>
                  </pic:nvPicPr>
                  <pic:blipFill>
                    <a:blip r:embed="rId417"/>
                    <a:stretch>
                      <a:fillRect/>
                    </a:stretch>
                  </pic:blipFill>
                  <pic:spPr>
                    <a:xfrm>
                      <a:off x="0" y="0"/>
                      <a:ext cx="1581912" cy="832104"/>
                    </a:xfrm>
                    <a:prstGeom prst="rect">
                      <a:avLst/>
                    </a:prstGeom>
                  </pic:spPr>
                </pic:pic>
              </a:graphicData>
            </a:graphic>
          </wp:inline>
        </w:drawing>
      </w:r>
    </w:p>
    <w:tbl>
      <w:tblPr>
        <w:tblStyle w:val="TableGrid"/>
        <w:tblpPr w:vertAnchor="page" w:horzAnchor="page" w:tblpX="2851" w:tblpY="14551"/>
        <w:tblOverlap w:val="never"/>
        <w:tblW w:w="7632" w:type="dxa"/>
        <w:tblInd w:w="0" w:type="dxa"/>
        <w:tblCellMar>
          <w:top w:w="47" w:type="dxa"/>
          <w:left w:w="1742" w:type="dxa"/>
          <w:right w:w="115" w:type="dxa"/>
        </w:tblCellMar>
        <w:tblLook w:val="04A0" w:firstRow="1" w:lastRow="0" w:firstColumn="1" w:lastColumn="0" w:noHBand="0" w:noVBand="1"/>
      </w:tblPr>
      <w:tblGrid>
        <w:gridCol w:w="7632"/>
      </w:tblGrid>
      <w:tr w:rsidR="00053D93" w14:paraId="7E72AC15" w14:textId="77777777">
        <w:trPr>
          <w:trHeight w:val="43"/>
        </w:trPr>
        <w:tc>
          <w:tcPr>
            <w:tcW w:w="7632" w:type="dxa"/>
            <w:tcBorders>
              <w:top w:val="nil"/>
              <w:left w:val="single" w:sz="2" w:space="0" w:color="000000"/>
              <w:bottom w:val="single" w:sz="2" w:space="0" w:color="000000"/>
              <w:right w:val="nil"/>
            </w:tcBorders>
          </w:tcPr>
          <w:p w14:paraId="30D88BA9" w14:textId="77777777" w:rsidR="00053D93" w:rsidRDefault="00053D93"/>
        </w:tc>
      </w:tr>
      <w:tr w:rsidR="00053D93" w14:paraId="377D60F2" w14:textId="77777777">
        <w:trPr>
          <w:trHeight w:val="583"/>
        </w:trPr>
        <w:tc>
          <w:tcPr>
            <w:tcW w:w="7632" w:type="dxa"/>
            <w:tcBorders>
              <w:top w:val="single" w:sz="2" w:space="0" w:color="000000"/>
              <w:left w:val="single" w:sz="2" w:space="0" w:color="000000"/>
              <w:bottom w:val="nil"/>
              <w:right w:val="nil"/>
            </w:tcBorders>
          </w:tcPr>
          <w:p w14:paraId="10408BBB" w14:textId="77777777" w:rsidR="00053D93" w:rsidRDefault="00260B75">
            <w:pPr>
              <w:ind w:left="835"/>
            </w:pPr>
            <w:r>
              <w:rPr>
                <w:sz w:val="14"/>
              </w:rPr>
              <w:lastRenderedPageBreak/>
              <w:t>MINISTERIO DE EDUCACION</w:t>
            </w:r>
          </w:p>
          <w:p w14:paraId="173D4034" w14:textId="77777777" w:rsidR="00053D93" w:rsidRDefault="00260B75">
            <w:pPr>
              <w:ind w:left="338"/>
            </w:pPr>
            <w:r>
              <w:rPr>
                <w:sz w:val="14"/>
              </w:rPr>
              <w:t>AUDITORIA FINANCIERA Y DE CUMPLIMIENTO</w:t>
            </w:r>
          </w:p>
          <w:p w14:paraId="23D4D85E" w14:textId="77777777" w:rsidR="00053D93" w:rsidRDefault="00260B75">
            <w:r>
              <w:rPr>
                <w:sz w:val="14"/>
              </w:rPr>
              <w:t>PERIODO DEL 01 DE ENERO Al. 31 DE DICIEMERE DE 2024</w:t>
            </w:r>
          </w:p>
        </w:tc>
      </w:tr>
    </w:tbl>
    <w:p w14:paraId="5FFCF2BD" w14:textId="77777777" w:rsidR="00053D93" w:rsidRDefault="00260B75">
      <w:pPr>
        <w:spacing w:after="997"/>
        <w:ind w:left="-1440" w:right="10850"/>
      </w:pPr>
      <w:r>
        <w:rPr>
          <w:noProof/>
        </w:rPr>
        <w:drawing>
          <wp:anchor distT="0" distB="0" distL="114300" distR="114300" simplePos="0" relativeHeight="251849728" behindDoc="0" locked="0" layoutInCell="1" allowOverlap="0" wp14:anchorId="5EBFFF31" wp14:editId="06ADF28A">
            <wp:simplePos x="0" y="0"/>
            <wp:positionH relativeFrom="page">
              <wp:posOffset>219456</wp:posOffset>
            </wp:positionH>
            <wp:positionV relativeFrom="page">
              <wp:posOffset>333756</wp:posOffset>
            </wp:positionV>
            <wp:extent cx="118872" cy="905256"/>
            <wp:effectExtent l="0" t="0" r="0" b="0"/>
            <wp:wrapSquare wrapText="bothSides"/>
            <wp:docPr id="263897" name="Picture 263897"/>
            <wp:cNvGraphicFramePr/>
            <a:graphic xmlns:a="http://schemas.openxmlformats.org/drawingml/2006/main">
              <a:graphicData uri="http://schemas.openxmlformats.org/drawingml/2006/picture">
                <pic:pic xmlns:pic="http://schemas.openxmlformats.org/drawingml/2006/picture">
                  <pic:nvPicPr>
                    <pic:cNvPr id="263897" name="Picture 263897"/>
                    <pic:cNvPicPr/>
                  </pic:nvPicPr>
                  <pic:blipFill>
                    <a:blip r:embed="rId418"/>
                    <a:stretch>
                      <a:fillRect/>
                    </a:stretch>
                  </pic:blipFill>
                  <pic:spPr>
                    <a:xfrm>
                      <a:off x="0" y="0"/>
                      <a:ext cx="118872" cy="905256"/>
                    </a:xfrm>
                    <a:prstGeom prst="rect">
                      <a:avLst/>
                    </a:prstGeom>
                  </pic:spPr>
                </pic:pic>
              </a:graphicData>
            </a:graphic>
          </wp:anchor>
        </w:drawing>
      </w:r>
      <w:r>
        <w:rPr>
          <w:noProof/>
        </w:rPr>
        <w:drawing>
          <wp:anchor distT="0" distB="0" distL="114300" distR="114300" simplePos="0" relativeHeight="251850752" behindDoc="0" locked="0" layoutInCell="1" allowOverlap="0" wp14:anchorId="5A3E55A6" wp14:editId="2468A004">
            <wp:simplePos x="0" y="0"/>
            <wp:positionH relativeFrom="page">
              <wp:posOffset>224028</wp:posOffset>
            </wp:positionH>
            <wp:positionV relativeFrom="page">
              <wp:posOffset>1376172</wp:posOffset>
            </wp:positionV>
            <wp:extent cx="118872" cy="379476"/>
            <wp:effectExtent l="0" t="0" r="0" b="0"/>
            <wp:wrapTopAndBottom/>
            <wp:docPr id="263898" name="Picture 263898"/>
            <wp:cNvGraphicFramePr/>
            <a:graphic xmlns:a="http://schemas.openxmlformats.org/drawingml/2006/main">
              <a:graphicData uri="http://schemas.openxmlformats.org/drawingml/2006/picture">
                <pic:pic xmlns:pic="http://schemas.openxmlformats.org/drawingml/2006/picture">
                  <pic:nvPicPr>
                    <pic:cNvPr id="263898" name="Picture 263898"/>
                    <pic:cNvPicPr/>
                  </pic:nvPicPr>
                  <pic:blipFill>
                    <a:blip r:embed="rId419"/>
                    <a:stretch>
                      <a:fillRect/>
                    </a:stretch>
                  </pic:blipFill>
                  <pic:spPr>
                    <a:xfrm>
                      <a:off x="0" y="0"/>
                      <a:ext cx="118872" cy="379476"/>
                    </a:xfrm>
                    <a:prstGeom prst="rect">
                      <a:avLst/>
                    </a:prstGeom>
                  </pic:spPr>
                </pic:pic>
              </a:graphicData>
            </a:graphic>
          </wp:anchor>
        </w:drawing>
      </w:r>
      <w:r>
        <w:rPr>
          <w:noProof/>
        </w:rPr>
        <w:drawing>
          <wp:anchor distT="0" distB="0" distL="114300" distR="114300" simplePos="0" relativeHeight="251851776" behindDoc="0" locked="0" layoutInCell="1" allowOverlap="0" wp14:anchorId="5CCF83B5" wp14:editId="1FFC90D2">
            <wp:simplePos x="0" y="0"/>
            <wp:positionH relativeFrom="page">
              <wp:posOffset>224028</wp:posOffset>
            </wp:positionH>
            <wp:positionV relativeFrom="page">
              <wp:posOffset>1892808</wp:posOffset>
            </wp:positionV>
            <wp:extent cx="118872" cy="379476"/>
            <wp:effectExtent l="0" t="0" r="0" b="0"/>
            <wp:wrapTopAndBottom/>
            <wp:docPr id="263899" name="Picture 263899"/>
            <wp:cNvGraphicFramePr/>
            <a:graphic xmlns:a="http://schemas.openxmlformats.org/drawingml/2006/main">
              <a:graphicData uri="http://schemas.openxmlformats.org/drawingml/2006/picture">
                <pic:pic xmlns:pic="http://schemas.openxmlformats.org/drawingml/2006/picture">
                  <pic:nvPicPr>
                    <pic:cNvPr id="263899" name="Picture 263899"/>
                    <pic:cNvPicPr/>
                  </pic:nvPicPr>
                  <pic:blipFill>
                    <a:blip r:embed="rId420"/>
                    <a:stretch>
                      <a:fillRect/>
                    </a:stretch>
                  </pic:blipFill>
                  <pic:spPr>
                    <a:xfrm>
                      <a:off x="0" y="0"/>
                      <a:ext cx="118872" cy="379476"/>
                    </a:xfrm>
                    <a:prstGeom prst="rect">
                      <a:avLst/>
                    </a:prstGeom>
                  </pic:spPr>
                </pic:pic>
              </a:graphicData>
            </a:graphic>
          </wp:anchor>
        </w:drawing>
      </w:r>
      <w:r>
        <w:rPr>
          <w:noProof/>
        </w:rPr>
        <w:drawing>
          <wp:anchor distT="0" distB="0" distL="114300" distR="114300" simplePos="0" relativeHeight="251852800" behindDoc="0" locked="0" layoutInCell="1" allowOverlap="0" wp14:anchorId="374C8881" wp14:editId="0E1D89E5">
            <wp:simplePos x="0" y="0"/>
            <wp:positionH relativeFrom="page">
              <wp:posOffset>224028</wp:posOffset>
            </wp:positionH>
            <wp:positionV relativeFrom="page">
              <wp:posOffset>2414016</wp:posOffset>
            </wp:positionV>
            <wp:extent cx="123444" cy="370332"/>
            <wp:effectExtent l="0" t="0" r="0" b="0"/>
            <wp:wrapTopAndBottom/>
            <wp:docPr id="263900" name="Picture 263900"/>
            <wp:cNvGraphicFramePr/>
            <a:graphic xmlns:a="http://schemas.openxmlformats.org/drawingml/2006/main">
              <a:graphicData uri="http://schemas.openxmlformats.org/drawingml/2006/picture">
                <pic:pic xmlns:pic="http://schemas.openxmlformats.org/drawingml/2006/picture">
                  <pic:nvPicPr>
                    <pic:cNvPr id="263900" name="Picture 263900"/>
                    <pic:cNvPicPr/>
                  </pic:nvPicPr>
                  <pic:blipFill>
                    <a:blip r:embed="rId421"/>
                    <a:stretch>
                      <a:fillRect/>
                    </a:stretch>
                  </pic:blipFill>
                  <pic:spPr>
                    <a:xfrm>
                      <a:off x="0" y="0"/>
                      <a:ext cx="123444" cy="370332"/>
                    </a:xfrm>
                    <a:prstGeom prst="rect">
                      <a:avLst/>
                    </a:prstGeom>
                  </pic:spPr>
                </pic:pic>
              </a:graphicData>
            </a:graphic>
          </wp:anchor>
        </w:drawing>
      </w:r>
      <w:r>
        <w:rPr>
          <w:noProof/>
        </w:rPr>
        <w:drawing>
          <wp:anchor distT="0" distB="0" distL="114300" distR="114300" simplePos="0" relativeHeight="251853824" behindDoc="0" locked="0" layoutInCell="1" allowOverlap="0" wp14:anchorId="1E3FBF2E" wp14:editId="0E9608E7">
            <wp:simplePos x="0" y="0"/>
            <wp:positionH relativeFrom="page">
              <wp:posOffset>205740</wp:posOffset>
            </wp:positionH>
            <wp:positionV relativeFrom="page">
              <wp:posOffset>2930652</wp:posOffset>
            </wp:positionV>
            <wp:extent cx="137160" cy="365760"/>
            <wp:effectExtent l="0" t="0" r="0" b="0"/>
            <wp:wrapTopAndBottom/>
            <wp:docPr id="263901" name="Picture 263901"/>
            <wp:cNvGraphicFramePr/>
            <a:graphic xmlns:a="http://schemas.openxmlformats.org/drawingml/2006/main">
              <a:graphicData uri="http://schemas.openxmlformats.org/drawingml/2006/picture">
                <pic:pic xmlns:pic="http://schemas.openxmlformats.org/drawingml/2006/picture">
                  <pic:nvPicPr>
                    <pic:cNvPr id="263901" name="Picture 263901"/>
                    <pic:cNvPicPr/>
                  </pic:nvPicPr>
                  <pic:blipFill>
                    <a:blip r:embed="rId422"/>
                    <a:stretch>
                      <a:fillRect/>
                    </a:stretch>
                  </pic:blipFill>
                  <pic:spPr>
                    <a:xfrm>
                      <a:off x="0" y="0"/>
                      <a:ext cx="137160" cy="365760"/>
                    </a:xfrm>
                    <a:prstGeom prst="rect">
                      <a:avLst/>
                    </a:prstGeom>
                  </pic:spPr>
                </pic:pic>
              </a:graphicData>
            </a:graphic>
          </wp:anchor>
        </w:drawing>
      </w:r>
      <w:r>
        <w:rPr>
          <w:noProof/>
        </w:rPr>
        <w:drawing>
          <wp:anchor distT="0" distB="0" distL="114300" distR="114300" simplePos="0" relativeHeight="251854848" behindDoc="0" locked="0" layoutInCell="1" allowOverlap="0" wp14:anchorId="2CE03A72" wp14:editId="312EE78E">
            <wp:simplePos x="0" y="0"/>
            <wp:positionH relativeFrom="page">
              <wp:posOffset>224028</wp:posOffset>
            </wp:positionH>
            <wp:positionV relativeFrom="page">
              <wp:posOffset>3447288</wp:posOffset>
            </wp:positionV>
            <wp:extent cx="123444" cy="370332"/>
            <wp:effectExtent l="0" t="0" r="0" b="0"/>
            <wp:wrapTopAndBottom/>
            <wp:docPr id="263902" name="Picture 263902"/>
            <wp:cNvGraphicFramePr/>
            <a:graphic xmlns:a="http://schemas.openxmlformats.org/drawingml/2006/main">
              <a:graphicData uri="http://schemas.openxmlformats.org/drawingml/2006/picture">
                <pic:pic xmlns:pic="http://schemas.openxmlformats.org/drawingml/2006/picture">
                  <pic:nvPicPr>
                    <pic:cNvPr id="263902" name="Picture 263902"/>
                    <pic:cNvPicPr/>
                  </pic:nvPicPr>
                  <pic:blipFill>
                    <a:blip r:embed="rId423"/>
                    <a:stretch>
                      <a:fillRect/>
                    </a:stretch>
                  </pic:blipFill>
                  <pic:spPr>
                    <a:xfrm>
                      <a:off x="0" y="0"/>
                      <a:ext cx="123444" cy="370332"/>
                    </a:xfrm>
                    <a:prstGeom prst="rect">
                      <a:avLst/>
                    </a:prstGeom>
                  </pic:spPr>
                </pic:pic>
              </a:graphicData>
            </a:graphic>
          </wp:anchor>
        </w:drawing>
      </w:r>
      <w:r>
        <w:rPr>
          <w:noProof/>
        </w:rPr>
        <w:drawing>
          <wp:anchor distT="0" distB="0" distL="114300" distR="114300" simplePos="0" relativeHeight="251855872" behindDoc="0" locked="0" layoutInCell="1" allowOverlap="0" wp14:anchorId="6F75F8A4" wp14:editId="1BD0A56A">
            <wp:simplePos x="0" y="0"/>
            <wp:positionH relativeFrom="page">
              <wp:posOffset>219456</wp:posOffset>
            </wp:positionH>
            <wp:positionV relativeFrom="page">
              <wp:posOffset>3963924</wp:posOffset>
            </wp:positionV>
            <wp:extent cx="128016" cy="365760"/>
            <wp:effectExtent l="0" t="0" r="0" b="0"/>
            <wp:wrapTopAndBottom/>
            <wp:docPr id="263903" name="Picture 263903"/>
            <wp:cNvGraphicFramePr/>
            <a:graphic xmlns:a="http://schemas.openxmlformats.org/drawingml/2006/main">
              <a:graphicData uri="http://schemas.openxmlformats.org/drawingml/2006/picture">
                <pic:pic xmlns:pic="http://schemas.openxmlformats.org/drawingml/2006/picture">
                  <pic:nvPicPr>
                    <pic:cNvPr id="263903" name="Picture 263903"/>
                    <pic:cNvPicPr/>
                  </pic:nvPicPr>
                  <pic:blipFill>
                    <a:blip r:embed="rId424"/>
                    <a:stretch>
                      <a:fillRect/>
                    </a:stretch>
                  </pic:blipFill>
                  <pic:spPr>
                    <a:xfrm>
                      <a:off x="0" y="0"/>
                      <a:ext cx="128016" cy="365760"/>
                    </a:xfrm>
                    <a:prstGeom prst="rect">
                      <a:avLst/>
                    </a:prstGeom>
                  </pic:spPr>
                </pic:pic>
              </a:graphicData>
            </a:graphic>
          </wp:anchor>
        </w:drawing>
      </w:r>
      <w:r>
        <w:rPr>
          <w:noProof/>
        </w:rPr>
        <w:drawing>
          <wp:anchor distT="0" distB="0" distL="114300" distR="114300" simplePos="0" relativeHeight="251856896" behindDoc="0" locked="0" layoutInCell="1" allowOverlap="0" wp14:anchorId="2E669479" wp14:editId="305AABF1">
            <wp:simplePos x="0" y="0"/>
            <wp:positionH relativeFrom="page">
              <wp:posOffset>214884</wp:posOffset>
            </wp:positionH>
            <wp:positionV relativeFrom="page">
              <wp:posOffset>4475988</wp:posOffset>
            </wp:positionV>
            <wp:extent cx="128016" cy="370332"/>
            <wp:effectExtent l="0" t="0" r="0" b="0"/>
            <wp:wrapTopAndBottom/>
            <wp:docPr id="263904" name="Picture 263904"/>
            <wp:cNvGraphicFramePr/>
            <a:graphic xmlns:a="http://schemas.openxmlformats.org/drawingml/2006/main">
              <a:graphicData uri="http://schemas.openxmlformats.org/drawingml/2006/picture">
                <pic:pic xmlns:pic="http://schemas.openxmlformats.org/drawingml/2006/picture">
                  <pic:nvPicPr>
                    <pic:cNvPr id="263904" name="Picture 263904"/>
                    <pic:cNvPicPr/>
                  </pic:nvPicPr>
                  <pic:blipFill>
                    <a:blip r:embed="rId425"/>
                    <a:stretch>
                      <a:fillRect/>
                    </a:stretch>
                  </pic:blipFill>
                  <pic:spPr>
                    <a:xfrm>
                      <a:off x="0" y="0"/>
                      <a:ext cx="128016" cy="370332"/>
                    </a:xfrm>
                    <a:prstGeom prst="rect">
                      <a:avLst/>
                    </a:prstGeom>
                  </pic:spPr>
                </pic:pic>
              </a:graphicData>
            </a:graphic>
          </wp:anchor>
        </w:drawing>
      </w:r>
      <w:r>
        <w:rPr>
          <w:noProof/>
        </w:rPr>
        <w:drawing>
          <wp:anchor distT="0" distB="0" distL="114300" distR="114300" simplePos="0" relativeHeight="251857920" behindDoc="0" locked="0" layoutInCell="1" allowOverlap="0" wp14:anchorId="2183090E" wp14:editId="3AFF2305">
            <wp:simplePos x="0" y="0"/>
            <wp:positionH relativeFrom="page">
              <wp:posOffset>214884</wp:posOffset>
            </wp:positionH>
            <wp:positionV relativeFrom="page">
              <wp:posOffset>4992625</wp:posOffset>
            </wp:positionV>
            <wp:extent cx="128016" cy="370332"/>
            <wp:effectExtent l="0" t="0" r="0" b="0"/>
            <wp:wrapTopAndBottom/>
            <wp:docPr id="263905" name="Picture 263905"/>
            <wp:cNvGraphicFramePr/>
            <a:graphic xmlns:a="http://schemas.openxmlformats.org/drawingml/2006/main">
              <a:graphicData uri="http://schemas.openxmlformats.org/drawingml/2006/picture">
                <pic:pic xmlns:pic="http://schemas.openxmlformats.org/drawingml/2006/picture">
                  <pic:nvPicPr>
                    <pic:cNvPr id="263905" name="Picture 263905"/>
                    <pic:cNvPicPr/>
                  </pic:nvPicPr>
                  <pic:blipFill>
                    <a:blip r:embed="rId426"/>
                    <a:stretch>
                      <a:fillRect/>
                    </a:stretch>
                  </pic:blipFill>
                  <pic:spPr>
                    <a:xfrm>
                      <a:off x="0" y="0"/>
                      <a:ext cx="128016" cy="370332"/>
                    </a:xfrm>
                    <a:prstGeom prst="rect">
                      <a:avLst/>
                    </a:prstGeom>
                  </pic:spPr>
                </pic:pic>
              </a:graphicData>
            </a:graphic>
          </wp:anchor>
        </w:drawing>
      </w:r>
      <w:r>
        <w:rPr>
          <w:noProof/>
        </w:rPr>
        <w:drawing>
          <wp:anchor distT="0" distB="0" distL="114300" distR="114300" simplePos="0" relativeHeight="251858944" behindDoc="0" locked="0" layoutInCell="1" allowOverlap="0" wp14:anchorId="68EF54D9" wp14:editId="40970776">
            <wp:simplePos x="0" y="0"/>
            <wp:positionH relativeFrom="page">
              <wp:posOffset>214884</wp:posOffset>
            </wp:positionH>
            <wp:positionV relativeFrom="page">
              <wp:posOffset>5504688</wp:posOffset>
            </wp:positionV>
            <wp:extent cx="137160" cy="370332"/>
            <wp:effectExtent l="0" t="0" r="0" b="0"/>
            <wp:wrapTopAndBottom/>
            <wp:docPr id="263906" name="Picture 263906"/>
            <wp:cNvGraphicFramePr/>
            <a:graphic xmlns:a="http://schemas.openxmlformats.org/drawingml/2006/main">
              <a:graphicData uri="http://schemas.openxmlformats.org/drawingml/2006/picture">
                <pic:pic xmlns:pic="http://schemas.openxmlformats.org/drawingml/2006/picture">
                  <pic:nvPicPr>
                    <pic:cNvPr id="263906" name="Picture 263906"/>
                    <pic:cNvPicPr/>
                  </pic:nvPicPr>
                  <pic:blipFill>
                    <a:blip r:embed="rId427"/>
                    <a:stretch>
                      <a:fillRect/>
                    </a:stretch>
                  </pic:blipFill>
                  <pic:spPr>
                    <a:xfrm>
                      <a:off x="0" y="0"/>
                      <a:ext cx="137160" cy="370332"/>
                    </a:xfrm>
                    <a:prstGeom prst="rect">
                      <a:avLst/>
                    </a:prstGeom>
                  </pic:spPr>
                </pic:pic>
              </a:graphicData>
            </a:graphic>
          </wp:anchor>
        </w:drawing>
      </w:r>
      <w:r>
        <w:rPr>
          <w:noProof/>
        </w:rPr>
        <w:drawing>
          <wp:anchor distT="0" distB="0" distL="114300" distR="114300" simplePos="0" relativeHeight="251859968" behindDoc="0" locked="0" layoutInCell="1" allowOverlap="0" wp14:anchorId="7D0612A7" wp14:editId="6D069A3C">
            <wp:simplePos x="0" y="0"/>
            <wp:positionH relativeFrom="page">
              <wp:posOffset>210312</wp:posOffset>
            </wp:positionH>
            <wp:positionV relativeFrom="page">
              <wp:posOffset>6021325</wp:posOffset>
            </wp:positionV>
            <wp:extent cx="146304" cy="374904"/>
            <wp:effectExtent l="0" t="0" r="0" b="0"/>
            <wp:wrapTopAndBottom/>
            <wp:docPr id="263907" name="Picture 263907"/>
            <wp:cNvGraphicFramePr/>
            <a:graphic xmlns:a="http://schemas.openxmlformats.org/drawingml/2006/main">
              <a:graphicData uri="http://schemas.openxmlformats.org/drawingml/2006/picture">
                <pic:pic xmlns:pic="http://schemas.openxmlformats.org/drawingml/2006/picture">
                  <pic:nvPicPr>
                    <pic:cNvPr id="263907" name="Picture 263907"/>
                    <pic:cNvPicPr/>
                  </pic:nvPicPr>
                  <pic:blipFill>
                    <a:blip r:embed="rId428"/>
                    <a:stretch>
                      <a:fillRect/>
                    </a:stretch>
                  </pic:blipFill>
                  <pic:spPr>
                    <a:xfrm>
                      <a:off x="0" y="0"/>
                      <a:ext cx="146304" cy="374904"/>
                    </a:xfrm>
                    <a:prstGeom prst="rect">
                      <a:avLst/>
                    </a:prstGeom>
                  </pic:spPr>
                </pic:pic>
              </a:graphicData>
            </a:graphic>
          </wp:anchor>
        </w:drawing>
      </w:r>
      <w:r>
        <w:rPr>
          <w:noProof/>
        </w:rPr>
        <w:drawing>
          <wp:anchor distT="0" distB="0" distL="114300" distR="114300" simplePos="0" relativeHeight="251860992" behindDoc="0" locked="0" layoutInCell="1" allowOverlap="0" wp14:anchorId="3157DC85" wp14:editId="12B3A360">
            <wp:simplePos x="0" y="0"/>
            <wp:positionH relativeFrom="page">
              <wp:posOffset>205740</wp:posOffset>
            </wp:positionH>
            <wp:positionV relativeFrom="page">
              <wp:posOffset>6537961</wp:posOffset>
            </wp:positionV>
            <wp:extent cx="137160" cy="374903"/>
            <wp:effectExtent l="0" t="0" r="0" b="0"/>
            <wp:wrapTopAndBottom/>
            <wp:docPr id="263908" name="Picture 263908"/>
            <wp:cNvGraphicFramePr/>
            <a:graphic xmlns:a="http://schemas.openxmlformats.org/drawingml/2006/main">
              <a:graphicData uri="http://schemas.openxmlformats.org/drawingml/2006/picture">
                <pic:pic xmlns:pic="http://schemas.openxmlformats.org/drawingml/2006/picture">
                  <pic:nvPicPr>
                    <pic:cNvPr id="263908" name="Picture 263908"/>
                    <pic:cNvPicPr/>
                  </pic:nvPicPr>
                  <pic:blipFill>
                    <a:blip r:embed="rId429"/>
                    <a:stretch>
                      <a:fillRect/>
                    </a:stretch>
                  </pic:blipFill>
                  <pic:spPr>
                    <a:xfrm>
                      <a:off x="0" y="0"/>
                      <a:ext cx="137160" cy="374903"/>
                    </a:xfrm>
                    <a:prstGeom prst="rect">
                      <a:avLst/>
                    </a:prstGeom>
                  </pic:spPr>
                </pic:pic>
              </a:graphicData>
            </a:graphic>
          </wp:anchor>
        </w:drawing>
      </w:r>
      <w:r>
        <w:rPr>
          <w:noProof/>
        </w:rPr>
        <w:drawing>
          <wp:anchor distT="0" distB="0" distL="114300" distR="114300" simplePos="0" relativeHeight="251862016" behindDoc="0" locked="0" layoutInCell="1" allowOverlap="0" wp14:anchorId="108F512D" wp14:editId="6529E0C5">
            <wp:simplePos x="0" y="0"/>
            <wp:positionH relativeFrom="page">
              <wp:posOffset>205740</wp:posOffset>
            </wp:positionH>
            <wp:positionV relativeFrom="page">
              <wp:posOffset>7059169</wp:posOffset>
            </wp:positionV>
            <wp:extent cx="141732" cy="365760"/>
            <wp:effectExtent l="0" t="0" r="0" b="0"/>
            <wp:wrapTopAndBottom/>
            <wp:docPr id="263909" name="Picture 263909"/>
            <wp:cNvGraphicFramePr/>
            <a:graphic xmlns:a="http://schemas.openxmlformats.org/drawingml/2006/main">
              <a:graphicData uri="http://schemas.openxmlformats.org/drawingml/2006/picture">
                <pic:pic xmlns:pic="http://schemas.openxmlformats.org/drawingml/2006/picture">
                  <pic:nvPicPr>
                    <pic:cNvPr id="263909" name="Picture 263909"/>
                    <pic:cNvPicPr/>
                  </pic:nvPicPr>
                  <pic:blipFill>
                    <a:blip r:embed="rId430"/>
                    <a:stretch>
                      <a:fillRect/>
                    </a:stretch>
                  </pic:blipFill>
                  <pic:spPr>
                    <a:xfrm>
                      <a:off x="0" y="0"/>
                      <a:ext cx="141732" cy="365760"/>
                    </a:xfrm>
                    <a:prstGeom prst="rect">
                      <a:avLst/>
                    </a:prstGeom>
                  </pic:spPr>
                </pic:pic>
              </a:graphicData>
            </a:graphic>
          </wp:anchor>
        </w:drawing>
      </w:r>
      <w:r>
        <w:rPr>
          <w:noProof/>
        </w:rPr>
        <w:drawing>
          <wp:anchor distT="0" distB="0" distL="114300" distR="114300" simplePos="0" relativeHeight="251863040" behindDoc="0" locked="0" layoutInCell="1" allowOverlap="0" wp14:anchorId="12A0D2F7" wp14:editId="3ECA08B3">
            <wp:simplePos x="0" y="0"/>
            <wp:positionH relativeFrom="page">
              <wp:posOffset>205740</wp:posOffset>
            </wp:positionH>
            <wp:positionV relativeFrom="page">
              <wp:posOffset>7575804</wp:posOffset>
            </wp:positionV>
            <wp:extent cx="141732" cy="370332"/>
            <wp:effectExtent l="0" t="0" r="0" b="0"/>
            <wp:wrapTopAndBottom/>
            <wp:docPr id="263911" name="Picture 263911"/>
            <wp:cNvGraphicFramePr/>
            <a:graphic xmlns:a="http://schemas.openxmlformats.org/drawingml/2006/main">
              <a:graphicData uri="http://schemas.openxmlformats.org/drawingml/2006/picture">
                <pic:pic xmlns:pic="http://schemas.openxmlformats.org/drawingml/2006/picture">
                  <pic:nvPicPr>
                    <pic:cNvPr id="263911" name="Picture 263911"/>
                    <pic:cNvPicPr/>
                  </pic:nvPicPr>
                  <pic:blipFill>
                    <a:blip r:embed="rId431"/>
                    <a:stretch>
                      <a:fillRect/>
                    </a:stretch>
                  </pic:blipFill>
                  <pic:spPr>
                    <a:xfrm>
                      <a:off x="0" y="0"/>
                      <a:ext cx="141732" cy="370332"/>
                    </a:xfrm>
                    <a:prstGeom prst="rect">
                      <a:avLst/>
                    </a:prstGeom>
                  </pic:spPr>
                </pic:pic>
              </a:graphicData>
            </a:graphic>
          </wp:anchor>
        </w:drawing>
      </w:r>
      <w:r>
        <w:rPr>
          <w:noProof/>
        </w:rPr>
        <w:drawing>
          <wp:anchor distT="0" distB="0" distL="114300" distR="114300" simplePos="0" relativeHeight="251864064" behindDoc="0" locked="0" layoutInCell="1" allowOverlap="0" wp14:anchorId="67BC92FE" wp14:editId="485FFD8E">
            <wp:simplePos x="0" y="0"/>
            <wp:positionH relativeFrom="page">
              <wp:posOffset>196596</wp:posOffset>
            </wp:positionH>
            <wp:positionV relativeFrom="page">
              <wp:posOffset>8087869</wp:posOffset>
            </wp:positionV>
            <wp:extent cx="150876" cy="365760"/>
            <wp:effectExtent l="0" t="0" r="0" b="0"/>
            <wp:wrapTopAndBottom/>
            <wp:docPr id="263912" name="Picture 263912"/>
            <wp:cNvGraphicFramePr/>
            <a:graphic xmlns:a="http://schemas.openxmlformats.org/drawingml/2006/main">
              <a:graphicData uri="http://schemas.openxmlformats.org/drawingml/2006/picture">
                <pic:pic xmlns:pic="http://schemas.openxmlformats.org/drawingml/2006/picture">
                  <pic:nvPicPr>
                    <pic:cNvPr id="263912" name="Picture 263912"/>
                    <pic:cNvPicPr/>
                  </pic:nvPicPr>
                  <pic:blipFill>
                    <a:blip r:embed="rId432"/>
                    <a:stretch>
                      <a:fillRect/>
                    </a:stretch>
                  </pic:blipFill>
                  <pic:spPr>
                    <a:xfrm>
                      <a:off x="0" y="0"/>
                      <a:ext cx="150876" cy="365760"/>
                    </a:xfrm>
                    <a:prstGeom prst="rect">
                      <a:avLst/>
                    </a:prstGeom>
                  </pic:spPr>
                </pic:pic>
              </a:graphicData>
            </a:graphic>
          </wp:anchor>
        </w:drawing>
      </w:r>
      <w:r>
        <w:rPr>
          <w:noProof/>
        </w:rPr>
        <w:drawing>
          <wp:anchor distT="0" distB="0" distL="114300" distR="114300" simplePos="0" relativeHeight="251865088" behindDoc="0" locked="0" layoutInCell="1" allowOverlap="0" wp14:anchorId="258EFDEA" wp14:editId="79AFBEDD">
            <wp:simplePos x="0" y="0"/>
            <wp:positionH relativeFrom="page">
              <wp:posOffset>210312</wp:posOffset>
            </wp:positionH>
            <wp:positionV relativeFrom="page">
              <wp:posOffset>8609076</wp:posOffset>
            </wp:positionV>
            <wp:extent cx="141732" cy="352044"/>
            <wp:effectExtent l="0" t="0" r="0" b="0"/>
            <wp:wrapTopAndBottom/>
            <wp:docPr id="263913" name="Picture 263913"/>
            <wp:cNvGraphicFramePr/>
            <a:graphic xmlns:a="http://schemas.openxmlformats.org/drawingml/2006/main">
              <a:graphicData uri="http://schemas.openxmlformats.org/drawingml/2006/picture">
                <pic:pic xmlns:pic="http://schemas.openxmlformats.org/drawingml/2006/picture">
                  <pic:nvPicPr>
                    <pic:cNvPr id="263913" name="Picture 263913"/>
                    <pic:cNvPicPr/>
                  </pic:nvPicPr>
                  <pic:blipFill>
                    <a:blip r:embed="rId433"/>
                    <a:stretch>
                      <a:fillRect/>
                    </a:stretch>
                  </pic:blipFill>
                  <pic:spPr>
                    <a:xfrm>
                      <a:off x="0" y="0"/>
                      <a:ext cx="141732" cy="352044"/>
                    </a:xfrm>
                    <a:prstGeom prst="rect">
                      <a:avLst/>
                    </a:prstGeom>
                  </pic:spPr>
                </pic:pic>
              </a:graphicData>
            </a:graphic>
          </wp:anchor>
        </w:drawing>
      </w:r>
      <w:r>
        <w:rPr>
          <w:noProof/>
        </w:rPr>
        <mc:AlternateContent>
          <mc:Choice Requires="wpg">
            <w:drawing>
              <wp:anchor distT="0" distB="0" distL="114300" distR="114300" simplePos="0" relativeHeight="251866112" behindDoc="0" locked="0" layoutInCell="1" allowOverlap="1" wp14:anchorId="663A21B7" wp14:editId="5F2C4604">
                <wp:simplePos x="0" y="0"/>
                <wp:positionH relativeFrom="page">
                  <wp:posOffset>1280160</wp:posOffset>
                </wp:positionH>
                <wp:positionV relativeFrom="page">
                  <wp:posOffset>813816</wp:posOffset>
                </wp:positionV>
                <wp:extent cx="5385816" cy="9144"/>
                <wp:effectExtent l="0" t="0" r="0" b="0"/>
                <wp:wrapTopAndBottom/>
                <wp:docPr id="2458256" name="Group 2458256"/>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255" name="Shape 2458255"/>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256" style="width:424.08pt;height:0.720001pt;position:absolute;mso-position-horizontal-relative:page;mso-position-horizontal:absolute;margin-left:100.8pt;mso-position-vertical-relative:page;margin-top:64.08pt;" coordsize="53858,91">
                <v:shape id="Shape 2458255" style="position:absolute;width:53858;height:91;left:0;top:0;" coordsize="5385816,9144" path="m0,4572l5385816,4572">
                  <v:stroke weight="0.720001pt" endcap="flat" joinstyle="miter" miterlimit="1" on="true" color="#000000"/>
                  <v:fill on="false" color="#000000"/>
                </v:shape>
                <w10:wrap type="topAndBottom"/>
              </v:group>
            </w:pict>
          </mc:Fallback>
        </mc:AlternateContent>
      </w:r>
    </w:p>
    <w:p w14:paraId="05F919CD" w14:textId="77777777" w:rsidR="00053D93" w:rsidRDefault="00260B75">
      <w:pPr>
        <w:spacing w:after="950"/>
        <w:ind w:left="850"/>
      </w:pPr>
      <w:r>
        <w:rPr>
          <w:noProof/>
        </w:rPr>
        <w:drawing>
          <wp:inline distT="0" distB="0" distL="0" distR="0" wp14:anchorId="4086EDCE" wp14:editId="135DD653">
            <wp:extent cx="5106925" cy="7237476"/>
            <wp:effectExtent l="0" t="0" r="0" b="0"/>
            <wp:docPr id="2458251" name="Picture 2458251"/>
            <wp:cNvGraphicFramePr/>
            <a:graphic xmlns:a="http://schemas.openxmlformats.org/drawingml/2006/main">
              <a:graphicData uri="http://schemas.openxmlformats.org/drawingml/2006/picture">
                <pic:pic xmlns:pic="http://schemas.openxmlformats.org/drawingml/2006/picture">
                  <pic:nvPicPr>
                    <pic:cNvPr id="2458251" name="Picture 2458251"/>
                    <pic:cNvPicPr/>
                  </pic:nvPicPr>
                  <pic:blipFill>
                    <a:blip r:embed="rId434"/>
                    <a:stretch>
                      <a:fillRect/>
                    </a:stretch>
                  </pic:blipFill>
                  <pic:spPr>
                    <a:xfrm>
                      <a:off x="0" y="0"/>
                      <a:ext cx="5106925" cy="7237476"/>
                    </a:xfrm>
                    <a:prstGeom prst="rect">
                      <a:avLst/>
                    </a:prstGeom>
                  </pic:spPr>
                </pic:pic>
              </a:graphicData>
            </a:graphic>
          </wp:inline>
        </w:drawing>
      </w:r>
    </w:p>
    <w:p w14:paraId="405F787B" w14:textId="77777777" w:rsidR="00053D93" w:rsidRDefault="00260B75">
      <w:pPr>
        <w:spacing w:after="0"/>
        <w:ind w:left="-1130"/>
      </w:pPr>
      <w:r>
        <w:rPr>
          <w:noProof/>
        </w:rPr>
        <w:lastRenderedPageBreak/>
        <w:drawing>
          <wp:inline distT="0" distB="0" distL="0" distR="0" wp14:anchorId="11F3E381" wp14:editId="546B8BED">
            <wp:extent cx="1591056" cy="512063"/>
            <wp:effectExtent l="0" t="0" r="0" b="0"/>
            <wp:docPr id="2458253" name="Picture 2458253"/>
            <wp:cNvGraphicFramePr/>
            <a:graphic xmlns:a="http://schemas.openxmlformats.org/drawingml/2006/main">
              <a:graphicData uri="http://schemas.openxmlformats.org/drawingml/2006/picture">
                <pic:pic xmlns:pic="http://schemas.openxmlformats.org/drawingml/2006/picture">
                  <pic:nvPicPr>
                    <pic:cNvPr id="2458253" name="Picture 2458253"/>
                    <pic:cNvPicPr/>
                  </pic:nvPicPr>
                  <pic:blipFill>
                    <a:blip r:embed="rId435"/>
                    <a:stretch>
                      <a:fillRect/>
                    </a:stretch>
                  </pic:blipFill>
                  <pic:spPr>
                    <a:xfrm>
                      <a:off x="0" y="0"/>
                      <a:ext cx="1591056" cy="512063"/>
                    </a:xfrm>
                    <a:prstGeom prst="rect">
                      <a:avLst/>
                    </a:prstGeom>
                  </pic:spPr>
                </pic:pic>
              </a:graphicData>
            </a:graphic>
          </wp:inline>
        </w:drawing>
      </w:r>
    </w:p>
    <w:p w14:paraId="299DEA91" w14:textId="77777777" w:rsidR="00053D93" w:rsidRDefault="00053D93">
      <w:pPr>
        <w:sectPr w:rsidR="00053D93">
          <w:headerReference w:type="even" r:id="rId436"/>
          <w:headerReference w:type="default" r:id="rId437"/>
          <w:footerReference w:type="even" r:id="rId438"/>
          <w:footerReference w:type="default" r:id="rId439"/>
          <w:headerReference w:type="first" r:id="rId440"/>
          <w:footerReference w:type="first" r:id="rId441"/>
          <w:pgSz w:w="12283" w:h="15998"/>
          <w:pgMar w:top="1440" w:right="1440" w:bottom="259" w:left="1440" w:header="720" w:footer="86" w:gutter="0"/>
          <w:cols w:space="720"/>
        </w:sectPr>
      </w:pPr>
    </w:p>
    <w:p w14:paraId="2A3C7506" w14:textId="77777777" w:rsidR="00053D93" w:rsidRDefault="00260B75">
      <w:pPr>
        <w:tabs>
          <w:tab w:val="right" w:pos="9418"/>
        </w:tabs>
        <w:spacing w:after="0"/>
      </w:pPr>
      <w:r>
        <w:rPr>
          <w:noProof/>
        </w:rPr>
        <w:lastRenderedPageBreak/>
        <w:drawing>
          <wp:anchor distT="0" distB="0" distL="114300" distR="114300" simplePos="0" relativeHeight="251867136" behindDoc="0" locked="0" layoutInCell="1" allowOverlap="0" wp14:anchorId="3CE3E88D" wp14:editId="0E5D40D1">
            <wp:simplePos x="0" y="0"/>
            <wp:positionH relativeFrom="margin">
              <wp:posOffset>5682996</wp:posOffset>
            </wp:positionH>
            <wp:positionV relativeFrom="page">
              <wp:posOffset>3044951</wp:posOffset>
            </wp:positionV>
            <wp:extent cx="32004" cy="5381244"/>
            <wp:effectExtent l="0" t="0" r="0" b="0"/>
            <wp:wrapTopAndBottom/>
            <wp:docPr id="264661" name="Picture 264661"/>
            <wp:cNvGraphicFramePr/>
            <a:graphic xmlns:a="http://schemas.openxmlformats.org/drawingml/2006/main">
              <a:graphicData uri="http://schemas.openxmlformats.org/drawingml/2006/picture">
                <pic:pic xmlns:pic="http://schemas.openxmlformats.org/drawingml/2006/picture">
                  <pic:nvPicPr>
                    <pic:cNvPr id="264661" name="Picture 264661"/>
                    <pic:cNvPicPr/>
                  </pic:nvPicPr>
                  <pic:blipFill>
                    <a:blip r:embed="rId442"/>
                    <a:stretch>
                      <a:fillRect/>
                    </a:stretch>
                  </pic:blipFill>
                  <pic:spPr>
                    <a:xfrm>
                      <a:off x="0" y="0"/>
                      <a:ext cx="32004" cy="5381244"/>
                    </a:xfrm>
                    <a:prstGeom prst="rect">
                      <a:avLst/>
                    </a:prstGeom>
                  </pic:spPr>
                </pic:pic>
              </a:graphicData>
            </a:graphic>
          </wp:anchor>
        </w:drawing>
      </w:r>
      <w:r>
        <w:rPr>
          <w:noProof/>
        </w:rPr>
        <w:drawing>
          <wp:anchor distT="0" distB="0" distL="114300" distR="114300" simplePos="0" relativeHeight="251868160" behindDoc="0" locked="0" layoutInCell="1" allowOverlap="0" wp14:anchorId="2A8C525E" wp14:editId="64409BB7">
            <wp:simplePos x="0" y="0"/>
            <wp:positionH relativeFrom="margin">
              <wp:posOffset>-434339</wp:posOffset>
            </wp:positionH>
            <wp:positionV relativeFrom="page">
              <wp:posOffset>-260603</wp:posOffset>
            </wp:positionV>
            <wp:extent cx="5989320" cy="411481"/>
            <wp:effectExtent l="0" t="0" r="0" b="0"/>
            <wp:wrapTopAndBottom/>
            <wp:docPr id="2458257" name="Picture 2458257"/>
            <wp:cNvGraphicFramePr/>
            <a:graphic xmlns:a="http://schemas.openxmlformats.org/drawingml/2006/main">
              <a:graphicData uri="http://schemas.openxmlformats.org/drawingml/2006/picture">
                <pic:pic xmlns:pic="http://schemas.openxmlformats.org/drawingml/2006/picture">
                  <pic:nvPicPr>
                    <pic:cNvPr id="2458257" name="Picture 2458257"/>
                    <pic:cNvPicPr/>
                  </pic:nvPicPr>
                  <pic:blipFill>
                    <a:blip r:embed="rId443"/>
                    <a:stretch>
                      <a:fillRect/>
                    </a:stretch>
                  </pic:blipFill>
                  <pic:spPr>
                    <a:xfrm rot="5399999">
                      <a:off x="0" y="0"/>
                      <a:ext cx="5989320" cy="411481"/>
                    </a:xfrm>
                    <a:prstGeom prst="rect">
                      <a:avLst/>
                    </a:prstGeom>
                  </pic:spPr>
                </pic:pic>
              </a:graphicData>
            </a:graphic>
          </wp:anchor>
        </w:drawing>
      </w:r>
      <w:r>
        <w:rPr>
          <w:rFonts w:ascii="Microsoft JhengHei" w:eastAsia="Microsoft JhengHei" w:hAnsi="Microsoft JhengHei" w:cs="Microsoft JhengHei"/>
          <w:sz w:val="2"/>
        </w:rPr>
        <w:t>CONTRALORIAGENERALDECUENTAS</w:t>
      </w:r>
      <w:r>
        <w:rPr>
          <w:rFonts w:ascii="Microsoft JhengHei" w:eastAsia="Microsoft JhengHei" w:hAnsi="Microsoft JhengHei" w:cs="Microsoft JhengHei"/>
          <w:sz w:val="2"/>
        </w:rPr>
        <w:tab/>
        <w:t>DIRECCléNDEAUDITORIAALSECTOREDUCACIåN.CIENCIA.CULTURA</w:t>
      </w:r>
    </w:p>
    <w:p w14:paraId="6C62316E" w14:textId="77777777" w:rsidR="00053D93" w:rsidRDefault="00260B75">
      <w:pPr>
        <w:spacing w:after="252"/>
        <w:ind w:right="367"/>
        <w:jc w:val="right"/>
      </w:pPr>
      <w:r>
        <w:rPr>
          <w:rFonts w:ascii="Microsoft JhengHei" w:eastAsia="Microsoft JhengHei" w:hAnsi="Microsoft JhengHei" w:cs="Microsoft JhengHei"/>
          <w:sz w:val="2"/>
        </w:rPr>
        <w:t>YDEPORTES</w:t>
      </w:r>
    </w:p>
    <w:p w14:paraId="0E0F4964" w14:textId="77777777" w:rsidR="00053D93" w:rsidRDefault="00260B75">
      <w:pPr>
        <w:spacing w:before="792" w:after="0"/>
        <w:ind w:left="799"/>
      </w:pPr>
      <w:r>
        <w:rPr>
          <w:noProof/>
        </w:rPr>
        <w:lastRenderedPageBreak/>
        <w:drawing>
          <wp:inline distT="0" distB="0" distL="0" distR="0" wp14:anchorId="1DA2A4D5" wp14:editId="039A41B2">
            <wp:extent cx="5166361" cy="7159752"/>
            <wp:effectExtent l="0" t="0" r="0" b="0"/>
            <wp:docPr id="2458259" name="Picture 2458259"/>
            <wp:cNvGraphicFramePr/>
            <a:graphic xmlns:a="http://schemas.openxmlformats.org/drawingml/2006/main">
              <a:graphicData uri="http://schemas.openxmlformats.org/drawingml/2006/picture">
                <pic:pic xmlns:pic="http://schemas.openxmlformats.org/drawingml/2006/picture">
                  <pic:nvPicPr>
                    <pic:cNvPr id="2458259" name="Picture 2458259"/>
                    <pic:cNvPicPr/>
                  </pic:nvPicPr>
                  <pic:blipFill>
                    <a:blip r:embed="rId444"/>
                    <a:stretch>
                      <a:fillRect/>
                    </a:stretch>
                  </pic:blipFill>
                  <pic:spPr>
                    <a:xfrm rot="5399999">
                      <a:off x="0" y="0"/>
                      <a:ext cx="5166361" cy="7159752"/>
                    </a:xfrm>
                    <a:prstGeom prst="rect">
                      <a:avLst/>
                    </a:prstGeom>
                  </pic:spPr>
                </pic:pic>
              </a:graphicData>
            </a:graphic>
          </wp:inline>
        </w:drawing>
      </w:r>
    </w:p>
    <w:p w14:paraId="7B7F41B0" w14:textId="77777777" w:rsidR="00053D93" w:rsidRDefault="00053D93">
      <w:pPr>
        <w:sectPr w:rsidR="00053D93">
          <w:headerReference w:type="even" r:id="rId445"/>
          <w:headerReference w:type="default" r:id="rId446"/>
          <w:footerReference w:type="even" r:id="rId447"/>
          <w:footerReference w:type="default" r:id="rId448"/>
          <w:headerReference w:type="first" r:id="rId449"/>
          <w:footerReference w:type="first" r:id="rId450"/>
          <w:pgSz w:w="15854" w:h="12298" w:orient="landscape"/>
          <w:pgMar w:top="1440" w:right="1440" w:bottom="1440" w:left="1440" w:header="720" w:footer="720" w:gutter="0"/>
          <w:cols w:space="720"/>
          <w:textDirection w:val="tbRl"/>
        </w:sectPr>
      </w:pPr>
    </w:p>
    <w:tbl>
      <w:tblPr>
        <w:tblStyle w:val="TableGrid"/>
        <w:tblpPr w:vertAnchor="page" w:horzAnchor="page" w:tblpX="2880" w:tblpY="14501"/>
        <w:tblOverlap w:val="never"/>
        <w:tblW w:w="7632" w:type="dxa"/>
        <w:tblInd w:w="0" w:type="dxa"/>
        <w:tblCellMar>
          <w:top w:w="27" w:type="dxa"/>
          <w:left w:w="1742" w:type="dxa"/>
          <w:right w:w="115" w:type="dxa"/>
        </w:tblCellMar>
        <w:tblLook w:val="04A0" w:firstRow="1" w:lastRow="0" w:firstColumn="1" w:lastColumn="0" w:noHBand="0" w:noVBand="1"/>
      </w:tblPr>
      <w:tblGrid>
        <w:gridCol w:w="7632"/>
      </w:tblGrid>
      <w:tr w:rsidR="00053D93" w14:paraId="39B23DF6" w14:textId="77777777">
        <w:trPr>
          <w:trHeight w:val="40"/>
        </w:trPr>
        <w:tc>
          <w:tcPr>
            <w:tcW w:w="7632" w:type="dxa"/>
            <w:tcBorders>
              <w:top w:val="nil"/>
              <w:left w:val="single" w:sz="2" w:space="0" w:color="000000"/>
              <w:bottom w:val="single" w:sz="2" w:space="0" w:color="000000"/>
              <w:right w:val="nil"/>
            </w:tcBorders>
          </w:tcPr>
          <w:p w14:paraId="5C07FE43" w14:textId="77777777" w:rsidR="00053D93" w:rsidRDefault="00053D93"/>
        </w:tc>
      </w:tr>
      <w:tr w:rsidR="00053D93" w14:paraId="6C5F59AA" w14:textId="77777777">
        <w:trPr>
          <w:trHeight w:val="593"/>
        </w:trPr>
        <w:tc>
          <w:tcPr>
            <w:tcW w:w="7632" w:type="dxa"/>
            <w:tcBorders>
              <w:top w:val="single" w:sz="2" w:space="0" w:color="000000"/>
              <w:left w:val="single" w:sz="2" w:space="0" w:color="000000"/>
              <w:bottom w:val="nil"/>
              <w:right w:val="nil"/>
            </w:tcBorders>
          </w:tcPr>
          <w:p w14:paraId="05FFD63F" w14:textId="77777777" w:rsidR="00053D93" w:rsidRDefault="00260B75">
            <w:pPr>
              <w:ind w:left="828"/>
            </w:pPr>
            <w:r>
              <w:rPr>
                <w:sz w:val="14"/>
              </w:rPr>
              <w:lastRenderedPageBreak/>
              <w:t>MINISTERIO DE EDUCACION</w:t>
            </w:r>
          </w:p>
          <w:p w14:paraId="42CAD420" w14:textId="77777777" w:rsidR="00053D93" w:rsidRDefault="00260B75">
            <w:pPr>
              <w:ind w:left="338"/>
            </w:pPr>
            <w:r>
              <w:rPr>
                <w:sz w:val="14"/>
              </w:rPr>
              <w:t>AUDITORIA FINANCIERA Y OE CUMPLIMIENTO</w:t>
            </w:r>
          </w:p>
          <w:p w14:paraId="7A38B407" w14:textId="77777777" w:rsidR="00053D93" w:rsidRDefault="00260B75">
            <w:r>
              <w:rPr>
                <w:sz w:val="14"/>
              </w:rPr>
              <w:t>PERIODO DEL Dl DE ENERO AL 31 DE DICIEMBRE DE 2024</w:t>
            </w:r>
          </w:p>
        </w:tc>
      </w:tr>
    </w:tbl>
    <w:p w14:paraId="20FFC8F8" w14:textId="77777777" w:rsidR="00053D93" w:rsidRDefault="00260B75">
      <w:pPr>
        <w:spacing w:after="565"/>
        <w:ind w:left="-1440" w:right="10850"/>
      </w:pPr>
      <w:r>
        <w:rPr>
          <w:noProof/>
        </w:rPr>
        <mc:AlternateContent>
          <mc:Choice Requires="wpg">
            <w:drawing>
              <wp:anchor distT="0" distB="0" distL="114300" distR="114300" simplePos="0" relativeHeight="251869184" behindDoc="0" locked="0" layoutInCell="1" allowOverlap="1" wp14:anchorId="4FD6F3A0" wp14:editId="044D102E">
                <wp:simplePos x="0" y="0"/>
                <wp:positionH relativeFrom="page">
                  <wp:posOffset>1275588</wp:posOffset>
                </wp:positionH>
                <wp:positionV relativeFrom="page">
                  <wp:posOffset>786384</wp:posOffset>
                </wp:positionV>
                <wp:extent cx="5390388" cy="9144"/>
                <wp:effectExtent l="0" t="0" r="0" b="0"/>
                <wp:wrapTopAndBottom/>
                <wp:docPr id="2458264" name="Group 2458264"/>
                <wp:cNvGraphicFramePr/>
                <a:graphic xmlns:a="http://schemas.openxmlformats.org/drawingml/2006/main">
                  <a:graphicData uri="http://schemas.microsoft.com/office/word/2010/wordprocessingGroup">
                    <wpg:wgp>
                      <wpg:cNvGrpSpPr/>
                      <wpg:grpSpPr>
                        <a:xfrm>
                          <a:off x="0" y="0"/>
                          <a:ext cx="5390388" cy="9144"/>
                          <a:chOff x="0" y="0"/>
                          <a:chExt cx="5390388" cy="9144"/>
                        </a:xfrm>
                      </wpg:grpSpPr>
                      <wps:wsp>
                        <wps:cNvPr id="2458263" name="Shape 2458263"/>
                        <wps:cNvSpPr/>
                        <wps:spPr>
                          <a:xfrm>
                            <a:off x="0" y="0"/>
                            <a:ext cx="5390388" cy="9144"/>
                          </a:xfrm>
                          <a:custGeom>
                            <a:avLst/>
                            <a:gdLst/>
                            <a:ahLst/>
                            <a:cxnLst/>
                            <a:rect l="0" t="0" r="0" b="0"/>
                            <a:pathLst>
                              <a:path w="5390388" h="9144">
                                <a:moveTo>
                                  <a:pt x="0" y="4572"/>
                                </a:moveTo>
                                <a:lnTo>
                                  <a:pt x="539038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264" style="width:424.44pt;height:0.719994pt;position:absolute;mso-position-horizontal-relative:page;mso-position-horizontal:absolute;margin-left:100.44pt;mso-position-vertical-relative:page;margin-top:61.92pt;" coordsize="53903,91">
                <v:shape id="Shape 2458263" style="position:absolute;width:53903;height:91;left:0;top:0;" coordsize="5390388,9144" path="m0,4572l5390388,4572">
                  <v:stroke weight="0.719994pt" endcap="flat" joinstyle="miter" miterlimit="1" on="true" color="#000000"/>
                  <v:fill on="false" color="#000000"/>
                </v:shape>
                <w10:wrap type="topAndBottom"/>
              </v:group>
            </w:pict>
          </mc:Fallback>
        </mc:AlternateContent>
      </w:r>
      <w:r>
        <w:rPr>
          <w:noProof/>
        </w:rPr>
        <w:drawing>
          <wp:anchor distT="0" distB="0" distL="114300" distR="114300" simplePos="0" relativeHeight="251870208" behindDoc="0" locked="0" layoutInCell="1" allowOverlap="0" wp14:anchorId="1B725A07" wp14:editId="0CF4838E">
            <wp:simplePos x="0" y="0"/>
            <wp:positionH relativeFrom="page">
              <wp:posOffset>214884</wp:posOffset>
            </wp:positionH>
            <wp:positionV relativeFrom="page">
              <wp:posOffset>306324</wp:posOffset>
            </wp:positionV>
            <wp:extent cx="128016" cy="356616"/>
            <wp:effectExtent l="0" t="0" r="0" b="0"/>
            <wp:wrapSquare wrapText="bothSides"/>
            <wp:docPr id="267179" name="Picture 267179"/>
            <wp:cNvGraphicFramePr/>
            <a:graphic xmlns:a="http://schemas.openxmlformats.org/drawingml/2006/main">
              <a:graphicData uri="http://schemas.openxmlformats.org/drawingml/2006/picture">
                <pic:pic xmlns:pic="http://schemas.openxmlformats.org/drawingml/2006/picture">
                  <pic:nvPicPr>
                    <pic:cNvPr id="267179" name="Picture 267179"/>
                    <pic:cNvPicPr/>
                  </pic:nvPicPr>
                  <pic:blipFill>
                    <a:blip r:embed="rId451"/>
                    <a:stretch>
                      <a:fillRect/>
                    </a:stretch>
                  </pic:blipFill>
                  <pic:spPr>
                    <a:xfrm>
                      <a:off x="0" y="0"/>
                      <a:ext cx="128016" cy="356616"/>
                    </a:xfrm>
                    <a:prstGeom prst="rect">
                      <a:avLst/>
                    </a:prstGeom>
                  </pic:spPr>
                </pic:pic>
              </a:graphicData>
            </a:graphic>
          </wp:anchor>
        </w:drawing>
      </w:r>
      <w:r>
        <w:rPr>
          <w:noProof/>
        </w:rPr>
        <w:drawing>
          <wp:anchor distT="0" distB="0" distL="114300" distR="114300" simplePos="0" relativeHeight="251871232" behindDoc="0" locked="0" layoutInCell="1" allowOverlap="0" wp14:anchorId="1B679D3B" wp14:editId="71078E36">
            <wp:simplePos x="0" y="0"/>
            <wp:positionH relativeFrom="page">
              <wp:posOffset>214884</wp:posOffset>
            </wp:positionH>
            <wp:positionV relativeFrom="page">
              <wp:posOffset>832104</wp:posOffset>
            </wp:positionV>
            <wp:extent cx="128016" cy="352044"/>
            <wp:effectExtent l="0" t="0" r="0" b="0"/>
            <wp:wrapTopAndBottom/>
            <wp:docPr id="267161" name="Picture 267161"/>
            <wp:cNvGraphicFramePr/>
            <a:graphic xmlns:a="http://schemas.openxmlformats.org/drawingml/2006/main">
              <a:graphicData uri="http://schemas.openxmlformats.org/drawingml/2006/picture">
                <pic:pic xmlns:pic="http://schemas.openxmlformats.org/drawingml/2006/picture">
                  <pic:nvPicPr>
                    <pic:cNvPr id="267161" name="Picture 267161"/>
                    <pic:cNvPicPr/>
                  </pic:nvPicPr>
                  <pic:blipFill>
                    <a:blip r:embed="rId452"/>
                    <a:stretch>
                      <a:fillRect/>
                    </a:stretch>
                  </pic:blipFill>
                  <pic:spPr>
                    <a:xfrm>
                      <a:off x="0" y="0"/>
                      <a:ext cx="128016" cy="352044"/>
                    </a:xfrm>
                    <a:prstGeom prst="rect">
                      <a:avLst/>
                    </a:prstGeom>
                  </pic:spPr>
                </pic:pic>
              </a:graphicData>
            </a:graphic>
          </wp:anchor>
        </w:drawing>
      </w:r>
      <w:r>
        <w:rPr>
          <w:noProof/>
        </w:rPr>
        <w:drawing>
          <wp:anchor distT="0" distB="0" distL="114300" distR="114300" simplePos="0" relativeHeight="251872256" behindDoc="0" locked="0" layoutInCell="1" allowOverlap="0" wp14:anchorId="49E7AD25" wp14:editId="57EA4446">
            <wp:simplePos x="0" y="0"/>
            <wp:positionH relativeFrom="page">
              <wp:posOffset>219456</wp:posOffset>
            </wp:positionH>
            <wp:positionV relativeFrom="page">
              <wp:posOffset>1353312</wp:posOffset>
            </wp:positionV>
            <wp:extent cx="128016" cy="342900"/>
            <wp:effectExtent l="0" t="0" r="0" b="0"/>
            <wp:wrapTopAndBottom/>
            <wp:docPr id="267164" name="Picture 267164"/>
            <wp:cNvGraphicFramePr/>
            <a:graphic xmlns:a="http://schemas.openxmlformats.org/drawingml/2006/main">
              <a:graphicData uri="http://schemas.openxmlformats.org/drawingml/2006/picture">
                <pic:pic xmlns:pic="http://schemas.openxmlformats.org/drawingml/2006/picture">
                  <pic:nvPicPr>
                    <pic:cNvPr id="267164" name="Picture 267164"/>
                    <pic:cNvPicPr/>
                  </pic:nvPicPr>
                  <pic:blipFill>
                    <a:blip r:embed="rId453"/>
                    <a:stretch>
                      <a:fillRect/>
                    </a:stretch>
                  </pic:blipFill>
                  <pic:spPr>
                    <a:xfrm>
                      <a:off x="0" y="0"/>
                      <a:ext cx="128016" cy="342900"/>
                    </a:xfrm>
                    <a:prstGeom prst="rect">
                      <a:avLst/>
                    </a:prstGeom>
                  </pic:spPr>
                </pic:pic>
              </a:graphicData>
            </a:graphic>
          </wp:anchor>
        </w:drawing>
      </w:r>
      <w:r>
        <w:rPr>
          <w:noProof/>
        </w:rPr>
        <w:drawing>
          <wp:anchor distT="0" distB="0" distL="114300" distR="114300" simplePos="0" relativeHeight="251873280" behindDoc="0" locked="0" layoutInCell="1" allowOverlap="0" wp14:anchorId="514A177B" wp14:editId="2273B2A9">
            <wp:simplePos x="0" y="0"/>
            <wp:positionH relativeFrom="page">
              <wp:posOffset>219456</wp:posOffset>
            </wp:positionH>
            <wp:positionV relativeFrom="page">
              <wp:posOffset>1869948</wp:posOffset>
            </wp:positionV>
            <wp:extent cx="128016" cy="338328"/>
            <wp:effectExtent l="0" t="0" r="0" b="0"/>
            <wp:wrapTopAndBottom/>
            <wp:docPr id="267165" name="Picture 267165"/>
            <wp:cNvGraphicFramePr/>
            <a:graphic xmlns:a="http://schemas.openxmlformats.org/drawingml/2006/main">
              <a:graphicData uri="http://schemas.openxmlformats.org/drawingml/2006/picture">
                <pic:pic xmlns:pic="http://schemas.openxmlformats.org/drawingml/2006/picture">
                  <pic:nvPicPr>
                    <pic:cNvPr id="267165" name="Picture 267165"/>
                    <pic:cNvPicPr/>
                  </pic:nvPicPr>
                  <pic:blipFill>
                    <a:blip r:embed="rId454"/>
                    <a:stretch>
                      <a:fillRect/>
                    </a:stretch>
                  </pic:blipFill>
                  <pic:spPr>
                    <a:xfrm>
                      <a:off x="0" y="0"/>
                      <a:ext cx="128016" cy="338328"/>
                    </a:xfrm>
                    <a:prstGeom prst="rect">
                      <a:avLst/>
                    </a:prstGeom>
                  </pic:spPr>
                </pic:pic>
              </a:graphicData>
            </a:graphic>
          </wp:anchor>
        </w:drawing>
      </w:r>
      <w:r>
        <w:rPr>
          <w:noProof/>
        </w:rPr>
        <w:drawing>
          <wp:anchor distT="0" distB="0" distL="114300" distR="114300" simplePos="0" relativeHeight="251874304" behindDoc="0" locked="0" layoutInCell="1" allowOverlap="0" wp14:anchorId="4B99C33A" wp14:editId="64E36CFF">
            <wp:simplePos x="0" y="0"/>
            <wp:positionH relativeFrom="page">
              <wp:posOffset>219456</wp:posOffset>
            </wp:positionH>
            <wp:positionV relativeFrom="page">
              <wp:posOffset>2382012</wp:posOffset>
            </wp:positionV>
            <wp:extent cx="132588" cy="342900"/>
            <wp:effectExtent l="0" t="0" r="0" b="0"/>
            <wp:wrapTopAndBottom/>
            <wp:docPr id="267166" name="Picture 267166"/>
            <wp:cNvGraphicFramePr/>
            <a:graphic xmlns:a="http://schemas.openxmlformats.org/drawingml/2006/main">
              <a:graphicData uri="http://schemas.openxmlformats.org/drawingml/2006/picture">
                <pic:pic xmlns:pic="http://schemas.openxmlformats.org/drawingml/2006/picture">
                  <pic:nvPicPr>
                    <pic:cNvPr id="267166" name="Picture 267166"/>
                    <pic:cNvPicPr/>
                  </pic:nvPicPr>
                  <pic:blipFill>
                    <a:blip r:embed="rId455"/>
                    <a:stretch>
                      <a:fillRect/>
                    </a:stretch>
                  </pic:blipFill>
                  <pic:spPr>
                    <a:xfrm>
                      <a:off x="0" y="0"/>
                      <a:ext cx="132588" cy="342900"/>
                    </a:xfrm>
                    <a:prstGeom prst="rect">
                      <a:avLst/>
                    </a:prstGeom>
                  </pic:spPr>
                </pic:pic>
              </a:graphicData>
            </a:graphic>
          </wp:anchor>
        </w:drawing>
      </w:r>
      <w:r>
        <w:rPr>
          <w:noProof/>
        </w:rPr>
        <w:drawing>
          <wp:anchor distT="0" distB="0" distL="114300" distR="114300" simplePos="0" relativeHeight="251875328" behindDoc="0" locked="0" layoutInCell="1" allowOverlap="0" wp14:anchorId="03D9662E" wp14:editId="4631A9A2">
            <wp:simplePos x="0" y="0"/>
            <wp:positionH relativeFrom="page">
              <wp:posOffset>210312</wp:posOffset>
            </wp:positionH>
            <wp:positionV relativeFrom="page">
              <wp:posOffset>2907792</wp:posOffset>
            </wp:positionV>
            <wp:extent cx="141732" cy="329184"/>
            <wp:effectExtent l="0" t="0" r="0" b="0"/>
            <wp:wrapTopAndBottom/>
            <wp:docPr id="267167" name="Picture 267167"/>
            <wp:cNvGraphicFramePr/>
            <a:graphic xmlns:a="http://schemas.openxmlformats.org/drawingml/2006/main">
              <a:graphicData uri="http://schemas.openxmlformats.org/drawingml/2006/picture">
                <pic:pic xmlns:pic="http://schemas.openxmlformats.org/drawingml/2006/picture">
                  <pic:nvPicPr>
                    <pic:cNvPr id="267167" name="Picture 267167"/>
                    <pic:cNvPicPr/>
                  </pic:nvPicPr>
                  <pic:blipFill>
                    <a:blip r:embed="rId456"/>
                    <a:stretch>
                      <a:fillRect/>
                    </a:stretch>
                  </pic:blipFill>
                  <pic:spPr>
                    <a:xfrm>
                      <a:off x="0" y="0"/>
                      <a:ext cx="141732" cy="329184"/>
                    </a:xfrm>
                    <a:prstGeom prst="rect">
                      <a:avLst/>
                    </a:prstGeom>
                  </pic:spPr>
                </pic:pic>
              </a:graphicData>
            </a:graphic>
          </wp:anchor>
        </w:drawing>
      </w:r>
      <w:r>
        <w:rPr>
          <w:noProof/>
        </w:rPr>
        <w:drawing>
          <wp:anchor distT="0" distB="0" distL="114300" distR="114300" simplePos="0" relativeHeight="251876352" behindDoc="0" locked="0" layoutInCell="1" allowOverlap="0" wp14:anchorId="7A458B28" wp14:editId="58F87F88">
            <wp:simplePos x="0" y="0"/>
            <wp:positionH relativeFrom="page">
              <wp:posOffset>219456</wp:posOffset>
            </wp:positionH>
            <wp:positionV relativeFrom="page">
              <wp:posOffset>3424428</wp:posOffset>
            </wp:positionV>
            <wp:extent cx="128016" cy="338328"/>
            <wp:effectExtent l="0" t="0" r="0" b="0"/>
            <wp:wrapTopAndBottom/>
            <wp:docPr id="267168" name="Picture 267168"/>
            <wp:cNvGraphicFramePr/>
            <a:graphic xmlns:a="http://schemas.openxmlformats.org/drawingml/2006/main">
              <a:graphicData uri="http://schemas.openxmlformats.org/drawingml/2006/picture">
                <pic:pic xmlns:pic="http://schemas.openxmlformats.org/drawingml/2006/picture">
                  <pic:nvPicPr>
                    <pic:cNvPr id="267168" name="Picture 267168"/>
                    <pic:cNvPicPr/>
                  </pic:nvPicPr>
                  <pic:blipFill>
                    <a:blip r:embed="rId457"/>
                    <a:stretch>
                      <a:fillRect/>
                    </a:stretch>
                  </pic:blipFill>
                  <pic:spPr>
                    <a:xfrm>
                      <a:off x="0" y="0"/>
                      <a:ext cx="128016" cy="338328"/>
                    </a:xfrm>
                    <a:prstGeom prst="rect">
                      <a:avLst/>
                    </a:prstGeom>
                  </pic:spPr>
                </pic:pic>
              </a:graphicData>
            </a:graphic>
          </wp:anchor>
        </w:drawing>
      </w:r>
      <w:r>
        <w:rPr>
          <w:noProof/>
        </w:rPr>
        <w:drawing>
          <wp:anchor distT="0" distB="0" distL="114300" distR="114300" simplePos="0" relativeHeight="251877376" behindDoc="0" locked="0" layoutInCell="1" allowOverlap="0" wp14:anchorId="504163F0" wp14:editId="77A3DEBA">
            <wp:simplePos x="0" y="0"/>
            <wp:positionH relativeFrom="page">
              <wp:posOffset>214884</wp:posOffset>
            </wp:positionH>
            <wp:positionV relativeFrom="page">
              <wp:posOffset>3941064</wp:posOffset>
            </wp:positionV>
            <wp:extent cx="137160" cy="338328"/>
            <wp:effectExtent l="0" t="0" r="0" b="0"/>
            <wp:wrapTopAndBottom/>
            <wp:docPr id="267169" name="Picture 267169"/>
            <wp:cNvGraphicFramePr/>
            <a:graphic xmlns:a="http://schemas.openxmlformats.org/drawingml/2006/main">
              <a:graphicData uri="http://schemas.openxmlformats.org/drawingml/2006/picture">
                <pic:pic xmlns:pic="http://schemas.openxmlformats.org/drawingml/2006/picture">
                  <pic:nvPicPr>
                    <pic:cNvPr id="267169" name="Picture 267169"/>
                    <pic:cNvPicPr/>
                  </pic:nvPicPr>
                  <pic:blipFill>
                    <a:blip r:embed="rId458"/>
                    <a:stretch>
                      <a:fillRect/>
                    </a:stretch>
                  </pic:blipFill>
                  <pic:spPr>
                    <a:xfrm>
                      <a:off x="0" y="0"/>
                      <a:ext cx="137160" cy="338328"/>
                    </a:xfrm>
                    <a:prstGeom prst="rect">
                      <a:avLst/>
                    </a:prstGeom>
                  </pic:spPr>
                </pic:pic>
              </a:graphicData>
            </a:graphic>
          </wp:anchor>
        </w:drawing>
      </w:r>
      <w:r>
        <w:rPr>
          <w:noProof/>
        </w:rPr>
        <w:drawing>
          <wp:anchor distT="0" distB="0" distL="114300" distR="114300" simplePos="0" relativeHeight="251878400" behindDoc="0" locked="0" layoutInCell="1" allowOverlap="0" wp14:anchorId="64A47F07" wp14:editId="15AA1A52">
            <wp:simplePos x="0" y="0"/>
            <wp:positionH relativeFrom="page">
              <wp:posOffset>214884</wp:posOffset>
            </wp:positionH>
            <wp:positionV relativeFrom="page">
              <wp:posOffset>4457700</wp:posOffset>
            </wp:positionV>
            <wp:extent cx="132588" cy="342900"/>
            <wp:effectExtent l="0" t="0" r="0" b="0"/>
            <wp:wrapTopAndBottom/>
            <wp:docPr id="267170" name="Picture 267170"/>
            <wp:cNvGraphicFramePr/>
            <a:graphic xmlns:a="http://schemas.openxmlformats.org/drawingml/2006/main">
              <a:graphicData uri="http://schemas.openxmlformats.org/drawingml/2006/picture">
                <pic:pic xmlns:pic="http://schemas.openxmlformats.org/drawingml/2006/picture">
                  <pic:nvPicPr>
                    <pic:cNvPr id="267170" name="Picture 267170"/>
                    <pic:cNvPicPr/>
                  </pic:nvPicPr>
                  <pic:blipFill>
                    <a:blip r:embed="rId459"/>
                    <a:stretch>
                      <a:fillRect/>
                    </a:stretch>
                  </pic:blipFill>
                  <pic:spPr>
                    <a:xfrm>
                      <a:off x="0" y="0"/>
                      <a:ext cx="132588" cy="342900"/>
                    </a:xfrm>
                    <a:prstGeom prst="rect">
                      <a:avLst/>
                    </a:prstGeom>
                  </pic:spPr>
                </pic:pic>
              </a:graphicData>
            </a:graphic>
          </wp:anchor>
        </w:drawing>
      </w:r>
      <w:r>
        <w:rPr>
          <w:noProof/>
        </w:rPr>
        <w:drawing>
          <wp:anchor distT="0" distB="0" distL="114300" distR="114300" simplePos="0" relativeHeight="251879424" behindDoc="0" locked="0" layoutInCell="1" allowOverlap="0" wp14:anchorId="39C0690C" wp14:editId="258AC01C">
            <wp:simplePos x="0" y="0"/>
            <wp:positionH relativeFrom="page">
              <wp:posOffset>214884</wp:posOffset>
            </wp:positionH>
            <wp:positionV relativeFrom="page">
              <wp:posOffset>4969764</wp:posOffset>
            </wp:positionV>
            <wp:extent cx="132588" cy="338328"/>
            <wp:effectExtent l="0" t="0" r="0" b="0"/>
            <wp:wrapTopAndBottom/>
            <wp:docPr id="267171" name="Picture 267171"/>
            <wp:cNvGraphicFramePr/>
            <a:graphic xmlns:a="http://schemas.openxmlformats.org/drawingml/2006/main">
              <a:graphicData uri="http://schemas.openxmlformats.org/drawingml/2006/picture">
                <pic:pic xmlns:pic="http://schemas.openxmlformats.org/drawingml/2006/picture">
                  <pic:nvPicPr>
                    <pic:cNvPr id="267171" name="Picture 267171"/>
                    <pic:cNvPicPr/>
                  </pic:nvPicPr>
                  <pic:blipFill>
                    <a:blip r:embed="rId460"/>
                    <a:stretch>
                      <a:fillRect/>
                    </a:stretch>
                  </pic:blipFill>
                  <pic:spPr>
                    <a:xfrm>
                      <a:off x="0" y="0"/>
                      <a:ext cx="132588" cy="338328"/>
                    </a:xfrm>
                    <a:prstGeom prst="rect">
                      <a:avLst/>
                    </a:prstGeom>
                  </pic:spPr>
                </pic:pic>
              </a:graphicData>
            </a:graphic>
          </wp:anchor>
        </w:drawing>
      </w:r>
      <w:r>
        <w:rPr>
          <w:noProof/>
        </w:rPr>
        <w:drawing>
          <wp:anchor distT="0" distB="0" distL="114300" distR="114300" simplePos="0" relativeHeight="251880448" behindDoc="0" locked="0" layoutInCell="1" allowOverlap="0" wp14:anchorId="56F8C857" wp14:editId="212A871A">
            <wp:simplePos x="0" y="0"/>
            <wp:positionH relativeFrom="page">
              <wp:posOffset>210312</wp:posOffset>
            </wp:positionH>
            <wp:positionV relativeFrom="page">
              <wp:posOffset>5481828</wp:posOffset>
            </wp:positionV>
            <wp:extent cx="146304" cy="338328"/>
            <wp:effectExtent l="0" t="0" r="0" b="0"/>
            <wp:wrapTopAndBottom/>
            <wp:docPr id="267172" name="Picture 267172"/>
            <wp:cNvGraphicFramePr/>
            <a:graphic xmlns:a="http://schemas.openxmlformats.org/drawingml/2006/main">
              <a:graphicData uri="http://schemas.openxmlformats.org/drawingml/2006/picture">
                <pic:pic xmlns:pic="http://schemas.openxmlformats.org/drawingml/2006/picture">
                  <pic:nvPicPr>
                    <pic:cNvPr id="267172" name="Picture 267172"/>
                    <pic:cNvPicPr/>
                  </pic:nvPicPr>
                  <pic:blipFill>
                    <a:blip r:embed="rId461"/>
                    <a:stretch>
                      <a:fillRect/>
                    </a:stretch>
                  </pic:blipFill>
                  <pic:spPr>
                    <a:xfrm>
                      <a:off x="0" y="0"/>
                      <a:ext cx="146304" cy="338328"/>
                    </a:xfrm>
                    <a:prstGeom prst="rect">
                      <a:avLst/>
                    </a:prstGeom>
                  </pic:spPr>
                </pic:pic>
              </a:graphicData>
            </a:graphic>
          </wp:anchor>
        </w:drawing>
      </w:r>
      <w:r>
        <w:rPr>
          <w:noProof/>
        </w:rPr>
        <w:drawing>
          <wp:anchor distT="0" distB="0" distL="114300" distR="114300" simplePos="0" relativeHeight="251881472" behindDoc="0" locked="0" layoutInCell="1" allowOverlap="0" wp14:anchorId="778DAD95" wp14:editId="114935BA">
            <wp:simplePos x="0" y="0"/>
            <wp:positionH relativeFrom="page">
              <wp:posOffset>214884</wp:posOffset>
            </wp:positionH>
            <wp:positionV relativeFrom="page">
              <wp:posOffset>6003036</wp:posOffset>
            </wp:positionV>
            <wp:extent cx="141732" cy="333756"/>
            <wp:effectExtent l="0" t="0" r="0" b="0"/>
            <wp:wrapTopAndBottom/>
            <wp:docPr id="267173" name="Picture 267173"/>
            <wp:cNvGraphicFramePr/>
            <a:graphic xmlns:a="http://schemas.openxmlformats.org/drawingml/2006/main">
              <a:graphicData uri="http://schemas.openxmlformats.org/drawingml/2006/picture">
                <pic:pic xmlns:pic="http://schemas.openxmlformats.org/drawingml/2006/picture">
                  <pic:nvPicPr>
                    <pic:cNvPr id="267173" name="Picture 267173"/>
                    <pic:cNvPicPr/>
                  </pic:nvPicPr>
                  <pic:blipFill>
                    <a:blip r:embed="rId462"/>
                    <a:stretch>
                      <a:fillRect/>
                    </a:stretch>
                  </pic:blipFill>
                  <pic:spPr>
                    <a:xfrm>
                      <a:off x="0" y="0"/>
                      <a:ext cx="141732" cy="333756"/>
                    </a:xfrm>
                    <a:prstGeom prst="rect">
                      <a:avLst/>
                    </a:prstGeom>
                  </pic:spPr>
                </pic:pic>
              </a:graphicData>
            </a:graphic>
          </wp:anchor>
        </w:drawing>
      </w:r>
      <w:r>
        <w:rPr>
          <w:noProof/>
        </w:rPr>
        <w:drawing>
          <wp:anchor distT="0" distB="0" distL="114300" distR="114300" simplePos="0" relativeHeight="251882496" behindDoc="0" locked="0" layoutInCell="1" allowOverlap="0" wp14:anchorId="409ED924" wp14:editId="28FD193D">
            <wp:simplePos x="0" y="0"/>
            <wp:positionH relativeFrom="page">
              <wp:posOffset>214884</wp:posOffset>
            </wp:positionH>
            <wp:positionV relativeFrom="page">
              <wp:posOffset>6519672</wp:posOffset>
            </wp:positionV>
            <wp:extent cx="137160" cy="329184"/>
            <wp:effectExtent l="0" t="0" r="0" b="0"/>
            <wp:wrapTopAndBottom/>
            <wp:docPr id="267174" name="Picture 267174"/>
            <wp:cNvGraphicFramePr/>
            <a:graphic xmlns:a="http://schemas.openxmlformats.org/drawingml/2006/main">
              <a:graphicData uri="http://schemas.openxmlformats.org/drawingml/2006/picture">
                <pic:pic xmlns:pic="http://schemas.openxmlformats.org/drawingml/2006/picture">
                  <pic:nvPicPr>
                    <pic:cNvPr id="267174" name="Picture 267174"/>
                    <pic:cNvPicPr/>
                  </pic:nvPicPr>
                  <pic:blipFill>
                    <a:blip r:embed="rId463"/>
                    <a:stretch>
                      <a:fillRect/>
                    </a:stretch>
                  </pic:blipFill>
                  <pic:spPr>
                    <a:xfrm>
                      <a:off x="0" y="0"/>
                      <a:ext cx="137160" cy="329184"/>
                    </a:xfrm>
                    <a:prstGeom prst="rect">
                      <a:avLst/>
                    </a:prstGeom>
                  </pic:spPr>
                </pic:pic>
              </a:graphicData>
            </a:graphic>
          </wp:anchor>
        </w:drawing>
      </w:r>
      <w:r>
        <w:rPr>
          <w:noProof/>
        </w:rPr>
        <w:drawing>
          <wp:anchor distT="0" distB="0" distL="114300" distR="114300" simplePos="0" relativeHeight="251883520" behindDoc="0" locked="0" layoutInCell="1" allowOverlap="0" wp14:anchorId="10BE06DD" wp14:editId="651A0D9F">
            <wp:simplePos x="0" y="0"/>
            <wp:positionH relativeFrom="page">
              <wp:posOffset>123444</wp:posOffset>
            </wp:positionH>
            <wp:positionV relativeFrom="page">
              <wp:posOffset>7036308</wp:posOffset>
            </wp:positionV>
            <wp:extent cx="228600" cy="850392"/>
            <wp:effectExtent l="0" t="0" r="0" b="0"/>
            <wp:wrapTopAndBottom/>
            <wp:docPr id="267175" name="Picture 267175"/>
            <wp:cNvGraphicFramePr/>
            <a:graphic xmlns:a="http://schemas.openxmlformats.org/drawingml/2006/main">
              <a:graphicData uri="http://schemas.openxmlformats.org/drawingml/2006/picture">
                <pic:pic xmlns:pic="http://schemas.openxmlformats.org/drawingml/2006/picture">
                  <pic:nvPicPr>
                    <pic:cNvPr id="267175" name="Picture 267175"/>
                    <pic:cNvPicPr/>
                  </pic:nvPicPr>
                  <pic:blipFill>
                    <a:blip r:embed="rId464"/>
                    <a:stretch>
                      <a:fillRect/>
                    </a:stretch>
                  </pic:blipFill>
                  <pic:spPr>
                    <a:xfrm>
                      <a:off x="0" y="0"/>
                      <a:ext cx="228600" cy="850392"/>
                    </a:xfrm>
                    <a:prstGeom prst="rect">
                      <a:avLst/>
                    </a:prstGeom>
                  </pic:spPr>
                </pic:pic>
              </a:graphicData>
            </a:graphic>
          </wp:anchor>
        </w:drawing>
      </w:r>
      <w:r>
        <w:rPr>
          <w:noProof/>
        </w:rPr>
        <w:drawing>
          <wp:anchor distT="0" distB="0" distL="114300" distR="114300" simplePos="0" relativeHeight="251884544" behindDoc="0" locked="0" layoutInCell="1" allowOverlap="0" wp14:anchorId="33897596" wp14:editId="3B70D9C1">
            <wp:simplePos x="0" y="0"/>
            <wp:positionH relativeFrom="page">
              <wp:posOffset>205740</wp:posOffset>
            </wp:positionH>
            <wp:positionV relativeFrom="page">
              <wp:posOffset>8074152</wp:posOffset>
            </wp:positionV>
            <wp:extent cx="146304" cy="324613"/>
            <wp:effectExtent l="0" t="0" r="0" b="0"/>
            <wp:wrapTopAndBottom/>
            <wp:docPr id="267177" name="Picture 267177"/>
            <wp:cNvGraphicFramePr/>
            <a:graphic xmlns:a="http://schemas.openxmlformats.org/drawingml/2006/main">
              <a:graphicData uri="http://schemas.openxmlformats.org/drawingml/2006/picture">
                <pic:pic xmlns:pic="http://schemas.openxmlformats.org/drawingml/2006/picture">
                  <pic:nvPicPr>
                    <pic:cNvPr id="267177" name="Picture 267177"/>
                    <pic:cNvPicPr/>
                  </pic:nvPicPr>
                  <pic:blipFill>
                    <a:blip r:embed="rId465"/>
                    <a:stretch>
                      <a:fillRect/>
                    </a:stretch>
                  </pic:blipFill>
                  <pic:spPr>
                    <a:xfrm>
                      <a:off x="0" y="0"/>
                      <a:ext cx="146304" cy="324613"/>
                    </a:xfrm>
                    <a:prstGeom prst="rect">
                      <a:avLst/>
                    </a:prstGeom>
                  </pic:spPr>
                </pic:pic>
              </a:graphicData>
            </a:graphic>
          </wp:anchor>
        </w:drawing>
      </w:r>
      <w:r>
        <w:rPr>
          <w:noProof/>
        </w:rPr>
        <w:drawing>
          <wp:anchor distT="0" distB="0" distL="114300" distR="114300" simplePos="0" relativeHeight="251885568" behindDoc="0" locked="0" layoutInCell="1" allowOverlap="0" wp14:anchorId="735E87EB" wp14:editId="0C91352A">
            <wp:simplePos x="0" y="0"/>
            <wp:positionH relativeFrom="page">
              <wp:posOffset>685800</wp:posOffset>
            </wp:positionH>
            <wp:positionV relativeFrom="page">
              <wp:posOffset>9208008</wp:posOffset>
            </wp:positionV>
            <wp:extent cx="1120140" cy="406908"/>
            <wp:effectExtent l="0" t="0" r="0" b="0"/>
            <wp:wrapTopAndBottom/>
            <wp:docPr id="267178" name="Picture 267178"/>
            <wp:cNvGraphicFramePr/>
            <a:graphic xmlns:a="http://schemas.openxmlformats.org/drawingml/2006/main">
              <a:graphicData uri="http://schemas.openxmlformats.org/drawingml/2006/picture">
                <pic:pic xmlns:pic="http://schemas.openxmlformats.org/drawingml/2006/picture">
                  <pic:nvPicPr>
                    <pic:cNvPr id="267178" name="Picture 267178"/>
                    <pic:cNvPicPr/>
                  </pic:nvPicPr>
                  <pic:blipFill>
                    <a:blip r:embed="rId466"/>
                    <a:stretch>
                      <a:fillRect/>
                    </a:stretch>
                  </pic:blipFill>
                  <pic:spPr>
                    <a:xfrm>
                      <a:off x="0" y="0"/>
                      <a:ext cx="1120140" cy="406908"/>
                    </a:xfrm>
                    <a:prstGeom prst="rect">
                      <a:avLst/>
                    </a:prstGeom>
                  </pic:spPr>
                </pic:pic>
              </a:graphicData>
            </a:graphic>
          </wp:anchor>
        </w:drawing>
      </w:r>
    </w:p>
    <w:p w14:paraId="0FCD8F77" w14:textId="77777777" w:rsidR="00053D93" w:rsidRDefault="00260B75">
      <w:pPr>
        <w:spacing w:after="0"/>
        <w:ind w:left="634"/>
      </w:pPr>
      <w:r>
        <w:rPr>
          <w:noProof/>
        </w:rPr>
        <w:drawing>
          <wp:inline distT="0" distB="0" distL="0" distR="0" wp14:anchorId="39B14A39" wp14:editId="61794EDD">
            <wp:extent cx="5230369" cy="7502652"/>
            <wp:effectExtent l="0" t="0" r="0" b="0"/>
            <wp:docPr id="2458261" name="Picture 2458261"/>
            <wp:cNvGraphicFramePr/>
            <a:graphic xmlns:a="http://schemas.openxmlformats.org/drawingml/2006/main">
              <a:graphicData uri="http://schemas.openxmlformats.org/drawingml/2006/picture">
                <pic:pic xmlns:pic="http://schemas.openxmlformats.org/drawingml/2006/picture">
                  <pic:nvPicPr>
                    <pic:cNvPr id="2458261" name="Picture 2458261"/>
                    <pic:cNvPicPr/>
                  </pic:nvPicPr>
                  <pic:blipFill>
                    <a:blip r:embed="rId467"/>
                    <a:stretch>
                      <a:fillRect/>
                    </a:stretch>
                  </pic:blipFill>
                  <pic:spPr>
                    <a:xfrm>
                      <a:off x="0" y="0"/>
                      <a:ext cx="5230369" cy="7502652"/>
                    </a:xfrm>
                    <a:prstGeom prst="rect">
                      <a:avLst/>
                    </a:prstGeom>
                  </pic:spPr>
                </pic:pic>
              </a:graphicData>
            </a:graphic>
          </wp:inline>
        </w:drawing>
      </w:r>
    </w:p>
    <w:tbl>
      <w:tblPr>
        <w:tblStyle w:val="TableGrid"/>
        <w:tblpPr w:vertAnchor="page" w:horzAnchor="page" w:tblpX="2873" w:tblpY="14515"/>
        <w:tblOverlap w:val="never"/>
        <w:tblW w:w="7625" w:type="dxa"/>
        <w:tblInd w:w="0" w:type="dxa"/>
        <w:tblCellMar>
          <w:top w:w="33" w:type="dxa"/>
          <w:left w:w="1742" w:type="dxa"/>
          <w:right w:w="115" w:type="dxa"/>
        </w:tblCellMar>
        <w:tblLook w:val="04A0" w:firstRow="1" w:lastRow="0" w:firstColumn="1" w:lastColumn="0" w:noHBand="0" w:noVBand="1"/>
      </w:tblPr>
      <w:tblGrid>
        <w:gridCol w:w="7625"/>
      </w:tblGrid>
      <w:tr w:rsidR="00053D93" w14:paraId="580BD013" w14:textId="77777777">
        <w:trPr>
          <w:trHeight w:val="33"/>
        </w:trPr>
        <w:tc>
          <w:tcPr>
            <w:tcW w:w="7625" w:type="dxa"/>
            <w:tcBorders>
              <w:top w:val="nil"/>
              <w:left w:val="single" w:sz="2" w:space="0" w:color="000000"/>
              <w:bottom w:val="single" w:sz="2" w:space="0" w:color="000000"/>
              <w:right w:val="nil"/>
            </w:tcBorders>
          </w:tcPr>
          <w:p w14:paraId="5C0572A3" w14:textId="77777777" w:rsidR="00053D93" w:rsidRDefault="00053D93"/>
        </w:tc>
      </w:tr>
      <w:tr w:rsidR="00053D93" w14:paraId="66F8C7E4" w14:textId="77777777">
        <w:trPr>
          <w:trHeight w:val="600"/>
        </w:trPr>
        <w:tc>
          <w:tcPr>
            <w:tcW w:w="7625" w:type="dxa"/>
            <w:tcBorders>
              <w:top w:val="single" w:sz="2" w:space="0" w:color="000000"/>
              <w:left w:val="single" w:sz="2" w:space="0" w:color="000000"/>
              <w:bottom w:val="nil"/>
              <w:right w:val="nil"/>
            </w:tcBorders>
          </w:tcPr>
          <w:p w14:paraId="583A4237" w14:textId="77777777" w:rsidR="00053D93" w:rsidRDefault="00260B75">
            <w:pPr>
              <w:ind w:left="828"/>
            </w:pPr>
            <w:r>
              <w:rPr>
                <w:sz w:val="14"/>
              </w:rPr>
              <w:lastRenderedPageBreak/>
              <w:t>MINISTERIO DE EDUCACION</w:t>
            </w:r>
          </w:p>
          <w:p w14:paraId="4E0B259A" w14:textId="77777777" w:rsidR="00053D93" w:rsidRDefault="00260B75">
            <w:pPr>
              <w:ind w:left="338"/>
            </w:pPr>
            <w:r>
              <w:rPr>
                <w:sz w:val="14"/>
              </w:rPr>
              <w:t>AUDITORIA FINANCIERA Y DE CUMPLIMIENTO</w:t>
            </w:r>
          </w:p>
          <w:p w14:paraId="1CAE54D2" w14:textId="77777777" w:rsidR="00053D93" w:rsidRDefault="00260B75">
            <w:r>
              <w:rPr>
                <w:sz w:val="14"/>
              </w:rPr>
              <w:t>PERIODO DEL 01 DE ENERO AL 31 DE DICIEMBRE DE 2024</w:t>
            </w:r>
          </w:p>
        </w:tc>
      </w:tr>
    </w:tbl>
    <w:p w14:paraId="71195A3B" w14:textId="77777777" w:rsidR="00053D93" w:rsidRDefault="00260B75">
      <w:pPr>
        <w:spacing w:after="839"/>
        <w:ind w:left="-1440" w:right="10843"/>
      </w:pPr>
      <w:r>
        <w:rPr>
          <w:noProof/>
        </w:rPr>
        <w:drawing>
          <wp:anchor distT="0" distB="0" distL="114300" distR="114300" simplePos="0" relativeHeight="251886592" behindDoc="0" locked="0" layoutInCell="1" allowOverlap="0" wp14:anchorId="05D34C2E" wp14:editId="161E36AA">
            <wp:simplePos x="0" y="0"/>
            <wp:positionH relativeFrom="page">
              <wp:posOffset>196596</wp:posOffset>
            </wp:positionH>
            <wp:positionV relativeFrom="page">
              <wp:posOffset>333756</wp:posOffset>
            </wp:positionV>
            <wp:extent cx="141732" cy="329184"/>
            <wp:effectExtent l="0" t="0" r="0" b="0"/>
            <wp:wrapSquare wrapText="bothSides"/>
            <wp:docPr id="269696" name="Picture 269696"/>
            <wp:cNvGraphicFramePr/>
            <a:graphic xmlns:a="http://schemas.openxmlformats.org/drawingml/2006/main">
              <a:graphicData uri="http://schemas.openxmlformats.org/drawingml/2006/picture">
                <pic:pic xmlns:pic="http://schemas.openxmlformats.org/drawingml/2006/picture">
                  <pic:nvPicPr>
                    <pic:cNvPr id="269696" name="Picture 269696"/>
                    <pic:cNvPicPr/>
                  </pic:nvPicPr>
                  <pic:blipFill>
                    <a:blip r:embed="rId468"/>
                    <a:stretch>
                      <a:fillRect/>
                    </a:stretch>
                  </pic:blipFill>
                  <pic:spPr>
                    <a:xfrm>
                      <a:off x="0" y="0"/>
                      <a:ext cx="141732" cy="329184"/>
                    </a:xfrm>
                    <a:prstGeom prst="rect">
                      <a:avLst/>
                    </a:prstGeom>
                  </pic:spPr>
                </pic:pic>
              </a:graphicData>
            </a:graphic>
          </wp:anchor>
        </w:drawing>
      </w:r>
      <w:r>
        <w:rPr>
          <w:noProof/>
        </w:rPr>
        <w:drawing>
          <wp:anchor distT="0" distB="0" distL="114300" distR="114300" simplePos="0" relativeHeight="251887616" behindDoc="0" locked="0" layoutInCell="1" allowOverlap="0" wp14:anchorId="2023C2D8" wp14:editId="16F69CF5">
            <wp:simplePos x="0" y="0"/>
            <wp:positionH relativeFrom="page">
              <wp:posOffset>205740</wp:posOffset>
            </wp:positionH>
            <wp:positionV relativeFrom="page">
              <wp:posOffset>854964</wp:posOffset>
            </wp:positionV>
            <wp:extent cx="132588" cy="329184"/>
            <wp:effectExtent l="0" t="0" r="0" b="0"/>
            <wp:wrapTopAndBottom/>
            <wp:docPr id="269698" name="Picture 269698"/>
            <wp:cNvGraphicFramePr/>
            <a:graphic xmlns:a="http://schemas.openxmlformats.org/drawingml/2006/main">
              <a:graphicData uri="http://schemas.openxmlformats.org/drawingml/2006/picture">
                <pic:pic xmlns:pic="http://schemas.openxmlformats.org/drawingml/2006/picture">
                  <pic:nvPicPr>
                    <pic:cNvPr id="269698" name="Picture 269698"/>
                    <pic:cNvPicPr/>
                  </pic:nvPicPr>
                  <pic:blipFill>
                    <a:blip r:embed="rId469"/>
                    <a:stretch>
                      <a:fillRect/>
                    </a:stretch>
                  </pic:blipFill>
                  <pic:spPr>
                    <a:xfrm>
                      <a:off x="0" y="0"/>
                      <a:ext cx="132588" cy="329184"/>
                    </a:xfrm>
                    <a:prstGeom prst="rect">
                      <a:avLst/>
                    </a:prstGeom>
                  </pic:spPr>
                </pic:pic>
              </a:graphicData>
            </a:graphic>
          </wp:anchor>
        </w:drawing>
      </w:r>
      <w:r>
        <w:rPr>
          <w:noProof/>
        </w:rPr>
        <w:drawing>
          <wp:anchor distT="0" distB="0" distL="114300" distR="114300" simplePos="0" relativeHeight="251888640" behindDoc="0" locked="0" layoutInCell="1" allowOverlap="0" wp14:anchorId="0DF0173B" wp14:editId="4EB7FD10">
            <wp:simplePos x="0" y="0"/>
            <wp:positionH relativeFrom="page">
              <wp:posOffset>681228</wp:posOffset>
            </wp:positionH>
            <wp:positionV relativeFrom="page">
              <wp:posOffset>9217151</wp:posOffset>
            </wp:positionV>
            <wp:extent cx="1120140" cy="402336"/>
            <wp:effectExtent l="0" t="0" r="0" b="0"/>
            <wp:wrapTopAndBottom/>
            <wp:docPr id="269695" name="Picture 269695"/>
            <wp:cNvGraphicFramePr/>
            <a:graphic xmlns:a="http://schemas.openxmlformats.org/drawingml/2006/main">
              <a:graphicData uri="http://schemas.openxmlformats.org/drawingml/2006/picture">
                <pic:pic xmlns:pic="http://schemas.openxmlformats.org/drawingml/2006/picture">
                  <pic:nvPicPr>
                    <pic:cNvPr id="269695" name="Picture 269695"/>
                    <pic:cNvPicPr/>
                  </pic:nvPicPr>
                  <pic:blipFill>
                    <a:blip r:embed="rId470"/>
                    <a:stretch>
                      <a:fillRect/>
                    </a:stretch>
                  </pic:blipFill>
                  <pic:spPr>
                    <a:xfrm>
                      <a:off x="0" y="0"/>
                      <a:ext cx="1120140" cy="402336"/>
                    </a:xfrm>
                    <a:prstGeom prst="rect">
                      <a:avLst/>
                    </a:prstGeom>
                  </pic:spPr>
                </pic:pic>
              </a:graphicData>
            </a:graphic>
          </wp:anchor>
        </w:drawing>
      </w:r>
      <w:r>
        <w:rPr>
          <w:noProof/>
        </w:rPr>
        <w:drawing>
          <wp:anchor distT="0" distB="0" distL="114300" distR="114300" simplePos="0" relativeHeight="251889664" behindDoc="0" locked="0" layoutInCell="1" allowOverlap="0" wp14:anchorId="0374255C" wp14:editId="19C9E608">
            <wp:simplePos x="0" y="0"/>
            <wp:positionH relativeFrom="page">
              <wp:posOffset>210312</wp:posOffset>
            </wp:positionH>
            <wp:positionV relativeFrom="page">
              <wp:posOffset>2409444</wp:posOffset>
            </wp:positionV>
            <wp:extent cx="137160" cy="315468"/>
            <wp:effectExtent l="0" t="0" r="0" b="0"/>
            <wp:wrapTopAndBottom/>
            <wp:docPr id="269700" name="Picture 269700"/>
            <wp:cNvGraphicFramePr/>
            <a:graphic xmlns:a="http://schemas.openxmlformats.org/drawingml/2006/main">
              <a:graphicData uri="http://schemas.openxmlformats.org/drawingml/2006/picture">
                <pic:pic xmlns:pic="http://schemas.openxmlformats.org/drawingml/2006/picture">
                  <pic:nvPicPr>
                    <pic:cNvPr id="269700" name="Picture 269700"/>
                    <pic:cNvPicPr/>
                  </pic:nvPicPr>
                  <pic:blipFill>
                    <a:blip r:embed="rId471"/>
                    <a:stretch>
                      <a:fillRect/>
                    </a:stretch>
                  </pic:blipFill>
                  <pic:spPr>
                    <a:xfrm>
                      <a:off x="0" y="0"/>
                      <a:ext cx="137160" cy="315468"/>
                    </a:xfrm>
                    <a:prstGeom prst="rect">
                      <a:avLst/>
                    </a:prstGeom>
                  </pic:spPr>
                </pic:pic>
              </a:graphicData>
            </a:graphic>
          </wp:anchor>
        </w:drawing>
      </w:r>
      <w:r>
        <w:rPr>
          <w:noProof/>
        </w:rPr>
        <w:drawing>
          <wp:anchor distT="0" distB="0" distL="114300" distR="114300" simplePos="0" relativeHeight="251890688" behindDoc="0" locked="0" layoutInCell="1" allowOverlap="0" wp14:anchorId="718A8FCE" wp14:editId="6BBBB5F0">
            <wp:simplePos x="0" y="0"/>
            <wp:positionH relativeFrom="page">
              <wp:posOffset>205740</wp:posOffset>
            </wp:positionH>
            <wp:positionV relativeFrom="page">
              <wp:posOffset>7059168</wp:posOffset>
            </wp:positionV>
            <wp:extent cx="132588" cy="315468"/>
            <wp:effectExtent l="0" t="0" r="0" b="0"/>
            <wp:wrapTopAndBottom/>
            <wp:docPr id="269701" name="Picture 269701"/>
            <wp:cNvGraphicFramePr/>
            <a:graphic xmlns:a="http://schemas.openxmlformats.org/drawingml/2006/main">
              <a:graphicData uri="http://schemas.openxmlformats.org/drawingml/2006/picture">
                <pic:pic xmlns:pic="http://schemas.openxmlformats.org/drawingml/2006/picture">
                  <pic:nvPicPr>
                    <pic:cNvPr id="269701" name="Picture 269701"/>
                    <pic:cNvPicPr/>
                  </pic:nvPicPr>
                  <pic:blipFill>
                    <a:blip r:embed="rId472"/>
                    <a:stretch>
                      <a:fillRect/>
                    </a:stretch>
                  </pic:blipFill>
                  <pic:spPr>
                    <a:xfrm>
                      <a:off x="0" y="0"/>
                      <a:ext cx="132588" cy="315468"/>
                    </a:xfrm>
                    <a:prstGeom prst="rect">
                      <a:avLst/>
                    </a:prstGeom>
                  </pic:spPr>
                </pic:pic>
              </a:graphicData>
            </a:graphic>
          </wp:anchor>
        </w:drawing>
      </w:r>
      <w:r>
        <w:rPr>
          <w:noProof/>
        </w:rPr>
        <mc:AlternateContent>
          <mc:Choice Requires="wpg">
            <w:drawing>
              <wp:anchor distT="0" distB="0" distL="114300" distR="114300" simplePos="0" relativeHeight="251891712" behindDoc="0" locked="0" layoutInCell="1" allowOverlap="1" wp14:anchorId="1B3FABCE" wp14:editId="74AEBBCC">
                <wp:simplePos x="0" y="0"/>
                <wp:positionH relativeFrom="page">
                  <wp:posOffset>1261872</wp:posOffset>
                </wp:positionH>
                <wp:positionV relativeFrom="page">
                  <wp:posOffset>781812</wp:posOffset>
                </wp:positionV>
                <wp:extent cx="5385816" cy="9144"/>
                <wp:effectExtent l="0" t="0" r="0" b="0"/>
                <wp:wrapTopAndBottom/>
                <wp:docPr id="2458268" name="Group 2458268"/>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267" name="Shape 2458267"/>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268" style="width:424.08pt;height:0.719997pt;position:absolute;mso-position-horizontal-relative:page;mso-position-horizontal:absolute;margin-left:99.36pt;mso-position-vertical-relative:page;margin-top:61.56pt;" coordsize="53858,91">
                <v:shape id="Shape 2458267" style="position:absolute;width:53858;height:91;left:0;top:0;" coordsize="5385816,9144" path="m0,4572l5385816,4572">
                  <v:stroke weight="0.719997pt" endcap="flat" joinstyle="miter" miterlimit="1" on="true" color="#000000"/>
                  <v:fill on="false" color="#000000"/>
                </v:shape>
                <w10:wrap type="topAndBottom"/>
              </v:group>
            </w:pict>
          </mc:Fallback>
        </mc:AlternateContent>
      </w:r>
    </w:p>
    <w:p w14:paraId="74A7728E" w14:textId="77777777" w:rsidR="00053D93" w:rsidRDefault="00260B75">
      <w:pPr>
        <w:spacing w:after="0"/>
        <w:ind w:left="864"/>
      </w:pPr>
      <w:r>
        <w:rPr>
          <w:noProof/>
        </w:rPr>
        <w:drawing>
          <wp:inline distT="0" distB="0" distL="0" distR="0" wp14:anchorId="6E6789A0" wp14:editId="1517BD88">
            <wp:extent cx="5143500" cy="7301484"/>
            <wp:effectExtent l="0" t="0" r="0" b="0"/>
            <wp:docPr id="2458265" name="Picture 2458265"/>
            <wp:cNvGraphicFramePr/>
            <a:graphic xmlns:a="http://schemas.openxmlformats.org/drawingml/2006/main">
              <a:graphicData uri="http://schemas.openxmlformats.org/drawingml/2006/picture">
                <pic:pic xmlns:pic="http://schemas.openxmlformats.org/drawingml/2006/picture">
                  <pic:nvPicPr>
                    <pic:cNvPr id="2458265" name="Picture 2458265"/>
                    <pic:cNvPicPr/>
                  </pic:nvPicPr>
                  <pic:blipFill>
                    <a:blip r:embed="rId473"/>
                    <a:stretch>
                      <a:fillRect/>
                    </a:stretch>
                  </pic:blipFill>
                  <pic:spPr>
                    <a:xfrm>
                      <a:off x="0" y="0"/>
                      <a:ext cx="5143500" cy="7301484"/>
                    </a:xfrm>
                    <a:prstGeom prst="rect">
                      <a:avLst/>
                    </a:prstGeom>
                  </pic:spPr>
                </pic:pic>
              </a:graphicData>
            </a:graphic>
          </wp:inline>
        </w:drawing>
      </w:r>
    </w:p>
    <w:tbl>
      <w:tblPr>
        <w:tblStyle w:val="TableGrid"/>
        <w:tblpPr w:vertAnchor="page" w:horzAnchor="page" w:tblpX="2833" w:tblpY="14558"/>
        <w:tblOverlap w:val="never"/>
        <w:tblW w:w="7664" w:type="dxa"/>
        <w:tblInd w:w="0" w:type="dxa"/>
        <w:tblCellMar>
          <w:top w:w="42" w:type="dxa"/>
          <w:left w:w="1782" w:type="dxa"/>
          <w:right w:w="115" w:type="dxa"/>
        </w:tblCellMar>
        <w:tblLook w:val="04A0" w:firstRow="1" w:lastRow="0" w:firstColumn="1" w:lastColumn="0" w:noHBand="0" w:noVBand="1"/>
      </w:tblPr>
      <w:tblGrid>
        <w:gridCol w:w="7664"/>
      </w:tblGrid>
      <w:tr w:rsidR="00053D93" w14:paraId="0B6BDE38" w14:textId="77777777">
        <w:trPr>
          <w:trHeight w:val="605"/>
        </w:trPr>
        <w:tc>
          <w:tcPr>
            <w:tcW w:w="7664" w:type="dxa"/>
            <w:tcBorders>
              <w:top w:val="single" w:sz="2" w:space="0" w:color="000000"/>
              <w:left w:val="single" w:sz="2" w:space="0" w:color="000000"/>
              <w:bottom w:val="nil"/>
              <w:right w:val="nil"/>
            </w:tcBorders>
          </w:tcPr>
          <w:p w14:paraId="56E2ABCB" w14:textId="77777777" w:rsidR="00053D93" w:rsidRDefault="00260B75">
            <w:pPr>
              <w:ind w:left="835"/>
            </w:pPr>
            <w:r>
              <w:rPr>
                <w:sz w:val="14"/>
              </w:rPr>
              <w:lastRenderedPageBreak/>
              <w:t>MINISTERIO DE EDUCACION</w:t>
            </w:r>
          </w:p>
          <w:p w14:paraId="50E56E7A" w14:textId="77777777" w:rsidR="00053D93" w:rsidRDefault="00260B75">
            <w:pPr>
              <w:ind w:left="338"/>
            </w:pPr>
            <w:r>
              <w:rPr>
                <w:sz w:val="14"/>
              </w:rPr>
              <w:lastRenderedPageBreak/>
              <w:t>AUDITORIA FINANCIERA Y DE CUMPLIMIENTO</w:t>
            </w:r>
          </w:p>
          <w:p w14:paraId="0CCC0F19" w14:textId="77777777" w:rsidR="00053D93" w:rsidRDefault="00260B75">
            <w:r>
              <w:rPr>
                <w:sz w:val="14"/>
              </w:rPr>
              <w:t>PERIODO DEL 01 DE ENERO AL 31 OE OICIEMBRE DE 2024</w:t>
            </w:r>
          </w:p>
        </w:tc>
      </w:tr>
    </w:tbl>
    <w:p w14:paraId="4438BD4C" w14:textId="77777777" w:rsidR="00053D93" w:rsidRDefault="00260B75">
      <w:pPr>
        <w:spacing w:after="817"/>
        <w:ind w:left="-1440" w:right="10850"/>
      </w:pPr>
      <w:r>
        <w:rPr>
          <w:noProof/>
        </w:rPr>
        <w:lastRenderedPageBreak/>
        <w:drawing>
          <wp:anchor distT="0" distB="0" distL="114300" distR="114300" simplePos="0" relativeHeight="251892736" behindDoc="0" locked="0" layoutInCell="1" allowOverlap="0" wp14:anchorId="4ACECE5E" wp14:editId="7ACFBC52">
            <wp:simplePos x="0" y="0"/>
            <wp:positionH relativeFrom="page">
              <wp:posOffset>201168</wp:posOffset>
            </wp:positionH>
            <wp:positionV relativeFrom="page">
              <wp:posOffset>333756</wp:posOffset>
            </wp:positionV>
            <wp:extent cx="146304" cy="342900"/>
            <wp:effectExtent l="0" t="0" r="0" b="0"/>
            <wp:wrapSquare wrapText="bothSides"/>
            <wp:docPr id="272161" name="Picture 272161"/>
            <wp:cNvGraphicFramePr/>
            <a:graphic xmlns:a="http://schemas.openxmlformats.org/drawingml/2006/main">
              <a:graphicData uri="http://schemas.openxmlformats.org/drawingml/2006/picture">
                <pic:pic xmlns:pic="http://schemas.openxmlformats.org/drawingml/2006/picture">
                  <pic:nvPicPr>
                    <pic:cNvPr id="272161" name="Picture 272161"/>
                    <pic:cNvPicPr/>
                  </pic:nvPicPr>
                  <pic:blipFill>
                    <a:blip r:embed="rId474"/>
                    <a:stretch>
                      <a:fillRect/>
                    </a:stretch>
                  </pic:blipFill>
                  <pic:spPr>
                    <a:xfrm>
                      <a:off x="0" y="0"/>
                      <a:ext cx="146304" cy="342900"/>
                    </a:xfrm>
                    <a:prstGeom prst="rect">
                      <a:avLst/>
                    </a:prstGeom>
                  </pic:spPr>
                </pic:pic>
              </a:graphicData>
            </a:graphic>
          </wp:anchor>
        </w:drawing>
      </w:r>
      <w:r>
        <w:rPr>
          <w:noProof/>
        </w:rPr>
        <w:drawing>
          <wp:anchor distT="0" distB="0" distL="114300" distR="114300" simplePos="0" relativeHeight="251893760" behindDoc="0" locked="0" layoutInCell="1" allowOverlap="0" wp14:anchorId="0E787D45" wp14:editId="3F6A6DB3">
            <wp:simplePos x="0" y="0"/>
            <wp:positionH relativeFrom="page">
              <wp:posOffset>205740</wp:posOffset>
            </wp:positionH>
            <wp:positionV relativeFrom="page">
              <wp:posOffset>854964</wp:posOffset>
            </wp:positionV>
            <wp:extent cx="141732" cy="342900"/>
            <wp:effectExtent l="0" t="0" r="0" b="0"/>
            <wp:wrapTopAndBottom/>
            <wp:docPr id="272163" name="Picture 272163"/>
            <wp:cNvGraphicFramePr/>
            <a:graphic xmlns:a="http://schemas.openxmlformats.org/drawingml/2006/main">
              <a:graphicData uri="http://schemas.openxmlformats.org/drawingml/2006/picture">
                <pic:pic xmlns:pic="http://schemas.openxmlformats.org/drawingml/2006/picture">
                  <pic:nvPicPr>
                    <pic:cNvPr id="272163" name="Picture 272163"/>
                    <pic:cNvPicPr/>
                  </pic:nvPicPr>
                  <pic:blipFill>
                    <a:blip r:embed="rId475"/>
                    <a:stretch>
                      <a:fillRect/>
                    </a:stretch>
                  </pic:blipFill>
                  <pic:spPr>
                    <a:xfrm>
                      <a:off x="0" y="0"/>
                      <a:ext cx="141732" cy="342900"/>
                    </a:xfrm>
                    <a:prstGeom prst="rect">
                      <a:avLst/>
                    </a:prstGeom>
                  </pic:spPr>
                </pic:pic>
              </a:graphicData>
            </a:graphic>
          </wp:anchor>
        </w:drawing>
      </w:r>
      <w:r>
        <w:rPr>
          <w:noProof/>
        </w:rPr>
        <w:drawing>
          <wp:anchor distT="0" distB="0" distL="114300" distR="114300" simplePos="0" relativeHeight="251894784" behindDoc="0" locked="0" layoutInCell="1" allowOverlap="0" wp14:anchorId="70FF3741" wp14:editId="09F7A08B">
            <wp:simplePos x="0" y="0"/>
            <wp:positionH relativeFrom="page">
              <wp:posOffset>205740</wp:posOffset>
            </wp:positionH>
            <wp:positionV relativeFrom="page">
              <wp:posOffset>1376172</wp:posOffset>
            </wp:positionV>
            <wp:extent cx="141732" cy="329184"/>
            <wp:effectExtent l="0" t="0" r="0" b="0"/>
            <wp:wrapTopAndBottom/>
            <wp:docPr id="272148" name="Picture 272148"/>
            <wp:cNvGraphicFramePr/>
            <a:graphic xmlns:a="http://schemas.openxmlformats.org/drawingml/2006/main">
              <a:graphicData uri="http://schemas.openxmlformats.org/drawingml/2006/picture">
                <pic:pic xmlns:pic="http://schemas.openxmlformats.org/drawingml/2006/picture">
                  <pic:nvPicPr>
                    <pic:cNvPr id="272148" name="Picture 272148"/>
                    <pic:cNvPicPr/>
                  </pic:nvPicPr>
                  <pic:blipFill>
                    <a:blip r:embed="rId476"/>
                    <a:stretch>
                      <a:fillRect/>
                    </a:stretch>
                  </pic:blipFill>
                  <pic:spPr>
                    <a:xfrm>
                      <a:off x="0" y="0"/>
                      <a:ext cx="141732" cy="329184"/>
                    </a:xfrm>
                    <a:prstGeom prst="rect">
                      <a:avLst/>
                    </a:prstGeom>
                  </pic:spPr>
                </pic:pic>
              </a:graphicData>
            </a:graphic>
          </wp:anchor>
        </w:drawing>
      </w:r>
      <w:r>
        <w:rPr>
          <w:noProof/>
        </w:rPr>
        <w:drawing>
          <wp:anchor distT="0" distB="0" distL="114300" distR="114300" simplePos="0" relativeHeight="251895808" behindDoc="0" locked="0" layoutInCell="1" allowOverlap="0" wp14:anchorId="7BD6A592" wp14:editId="749AD144">
            <wp:simplePos x="0" y="0"/>
            <wp:positionH relativeFrom="page">
              <wp:posOffset>210312</wp:posOffset>
            </wp:positionH>
            <wp:positionV relativeFrom="page">
              <wp:posOffset>1892808</wp:posOffset>
            </wp:positionV>
            <wp:extent cx="137160" cy="329184"/>
            <wp:effectExtent l="0" t="0" r="0" b="0"/>
            <wp:wrapTopAndBottom/>
            <wp:docPr id="272165" name="Picture 272165"/>
            <wp:cNvGraphicFramePr/>
            <a:graphic xmlns:a="http://schemas.openxmlformats.org/drawingml/2006/main">
              <a:graphicData uri="http://schemas.openxmlformats.org/drawingml/2006/picture">
                <pic:pic xmlns:pic="http://schemas.openxmlformats.org/drawingml/2006/picture">
                  <pic:nvPicPr>
                    <pic:cNvPr id="272165" name="Picture 272165"/>
                    <pic:cNvPicPr/>
                  </pic:nvPicPr>
                  <pic:blipFill>
                    <a:blip r:embed="rId477"/>
                    <a:stretch>
                      <a:fillRect/>
                    </a:stretch>
                  </pic:blipFill>
                  <pic:spPr>
                    <a:xfrm>
                      <a:off x="0" y="0"/>
                      <a:ext cx="137160" cy="329184"/>
                    </a:xfrm>
                    <a:prstGeom prst="rect">
                      <a:avLst/>
                    </a:prstGeom>
                  </pic:spPr>
                </pic:pic>
              </a:graphicData>
            </a:graphic>
          </wp:anchor>
        </w:drawing>
      </w:r>
      <w:r>
        <w:rPr>
          <w:noProof/>
        </w:rPr>
        <w:drawing>
          <wp:anchor distT="0" distB="0" distL="114300" distR="114300" simplePos="0" relativeHeight="251896832" behindDoc="0" locked="0" layoutInCell="1" allowOverlap="0" wp14:anchorId="725B0806" wp14:editId="294FC4CB">
            <wp:simplePos x="0" y="0"/>
            <wp:positionH relativeFrom="page">
              <wp:posOffset>210312</wp:posOffset>
            </wp:positionH>
            <wp:positionV relativeFrom="page">
              <wp:posOffset>2409444</wp:posOffset>
            </wp:positionV>
            <wp:extent cx="141732" cy="329184"/>
            <wp:effectExtent l="0" t="0" r="0" b="0"/>
            <wp:wrapTopAndBottom/>
            <wp:docPr id="272149" name="Picture 272149"/>
            <wp:cNvGraphicFramePr/>
            <a:graphic xmlns:a="http://schemas.openxmlformats.org/drawingml/2006/main">
              <a:graphicData uri="http://schemas.openxmlformats.org/drawingml/2006/picture">
                <pic:pic xmlns:pic="http://schemas.openxmlformats.org/drawingml/2006/picture">
                  <pic:nvPicPr>
                    <pic:cNvPr id="272149" name="Picture 272149"/>
                    <pic:cNvPicPr/>
                  </pic:nvPicPr>
                  <pic:blipFill>
                    <a:blip r:embed="rId478"/>
                    <a:stretch>
                      <a:fillRect/>
                    </a:stretch>
                  </pic:blipFill>
                  <pic:spPr>
                    <a:xfrm>
                      <a:off x="0" y="0"/>
                      <a:ext cx="141732" cy="329184"/>
                    </a:xfrm>
                    <a:prstGeom prst="rect">
                      <a:avLst/>
                    </a:prstGeom>
                  </pic:spPr>
                </pic:pic>
              </a:graphicData>
            </a:graphic>
          </wp:anchor>
        </w:drawing>
      </w:r>
      <w:r>
        <w:rPr>
          <w:noProof/>
        </w:rPr>
        <w:drawing>
          <wp:anchor distT="0" distB="0" distL="114300" distR="114300" simplePos="0" relativeHeight="251897856" behindDoc="0" locked="0" layoutInCell="1" allowOverlap="0" wp14:anchorId="743D67E6" wp14:editId="72C7DFAF">
            <wp:simplePos x="0" y="0"/>
            <wp:positionH relativeFrom="page">
              <wp:posOffset>210312</wp:posOffset>
            </wp:positionH>
            <wp:positionV relativeFrom="page">
              <wp:posOffset>2930652</wp:posOffset>
            </wp:positionV>
            <wp:extent cx="137160" cy="320040"/>
            <wp:effectExtent l="0" t="0" r="0" b="0"/>
            <wp:wrapTopAndBottom/>
            <wp:docPr id="272166" name="Picture 272166"/>
            <wp:cNvGraphicFramePr/>
            <a:graphic xmlns:a="http://schemas.openxmlformats.org/drawingml/2006/main">
              <a:graphicData uri="http://schemas.openxmlformats.org/drawingml/2006/picture">
                <pic:pic xmlns:pic="http://schemas.openxmlformats.org/drawingml/2006/picture">
                  <pic:nvPicPr>
                    <pic:cNvPr id="272166" name="Picture 272166"/>
                    <pic:cNvPicPr/>
                  </pic:nvPicPr>
                  <pic:blipFill>
                    <a:blip r:embed="rId479"/>
                    <a:stretch>
                      <a:fillRect/>
                    </a:stretch>
                  </pic:blipFill>
                  <pic:spPr>
                    <a:xfrm>
                      <a:off x="0" y="0"/>
                      <a:ext cx="137160" cy="320040"/>
                    </a:xfrm>
                    <a:prstGeom prst="rect">
                      <a:avLst/>
                    </a:prstGeom>
                  </pic:spPr>
                </pic:pic>
              </a:graphicData>
            </a:graphic>
          </wp:anchor>
        </w:drawing>
      </w:r>
      <w:r>
        <w:rPr>
          <w:noProof/>
        </w:rPr>
        <w:drawing>
          <wp:anchor distT="0" distB="0" distL="114300" distR="114300" simplePos="0" relativeHeight="251898880" behindDoc="0" locked="0" layoutInCell="1" allowOverlap="0" wp14:anchorId="78DD2399" wp14:editId="56AB9B7E">
            <wp:simplePos x="0" y="0"/>
            <wp:positionH relativeFrom="page">
              <wp:posOffset>210312</wp:posOffset>
            </wp:positionH>
            <wp:positionV relativeFrom="page">
              <wp:posOffset>3442716</wp:posOffset>
            </wp:positionV>
            <wp:extent cx="141732" cy="329184"/>
            <wp:effectExtent l="0" t="0" r="0" b="0"/>
            <wp:wrapTopAndBottom/>
            <wp:docPr id="272150" name="Picture 272150"/>
            <wp:cNvGraphicFramePr/>
            <a:graphic xmlns:a="http://schemas.openxmlformats.org/drawingml/2006/main">
              <a:graphicData uri="http://schemas.openxmlformats.org/drawingml/2006/picture">
                <pic:pic xmlns:pic="http://schemas.openxmlformats.org/drawingml/2006/picture">
                  <pic:nvPicPr>
                    <pic:cNvPr id="272150" name="Picture 272150"/>
                    <pic:cNvPicPr/>
                  </pic:nvPicPr>
                  <pic:blipFill>
                    <a:blip r:embed="rId480"/>
                    <a:stretch>
                      <a:fillRect/>
                    </a:stretch>
                  </pic:blipFill>
                  <pic:spPr>
                    <a:xfrm>
                      <a:off x="0" y="0"/>
                      <a:ext cx="141732" cy="329184"/>
                    </a:xfrm>
                    <a:prstGeom prst="rect">
                      <a:avLst/>
                    </a:prstGeom>
                  </pic:spPr>
                </pic:pic>
              </a:graphicData>
            </a:graphic>
          </wp:anchor>
        </w:drawing>
      </w:r>
      <w:r>
        <w:rPr>
          <w:noProof/>
        </w:rPr>
        <w:drawing>
          <wp:anchor distT="0" distB="0" distL="114300" distR="114300" simplePos="0" relativeHeight="251899904" behindDoc="0" locked="0" layoutInCell="1" allowOverlap="0" wp14:anchorId="107914CE" wp14:editId="101FE91F">
            <wp:simplePos x="0" y="0"/>
            <wp:positionH relativeFrom="page">
              <wp:posOffset>214884</wp:posOffset>
            </wp:positionH>
            <wp:positionV relativeFrom="page">
              <wp:posOffset>3963924</wp:posOffset>
            </wp:positionV>
            <wp:extent cx="132588" cy="324612"/>
            <wp:effectExtent l="0" t="0" r="0" b="0"/>
            <wp:wrapTopAndBottom/>
            <wp:docPr id="272151" name="Picture 272151"/>
            <wp:cNvGraphicFramePr/>
            <a:graphic xmlns:a="http://schemas.openxmlformats.org/drawingml/2006/main">
              <a:graphicData uri="http://schemas.openxmlformats.org/drawingml/2006/picture">
                <pic:pic xmlns:pic="http://schemas.openxmlformats.org/drawingml/2006/picture">
                  <pic:nvPicPr>
                    <pic:cNvPr id="272151" name="Picture 272151"/>
                    <pic:cNvPicPr/>
                  </pic:nvPicPr>
                  <pic:blipFill>
                    <a:blip r:embed="rId481"/>
                    <a:stretch>
                      <a:fillRect/>
                    </a:stretch>
                  </pic:blipFill>
                  <pic:spPr>
                    <a:xfrm>
                      <a:off x="0" y="0"/>
                      <a:ext cx="132588" cy="324612"/>
                    </a:xfrm>
                    <a:prstGeom prst="rect">
                      <a:avLst/>
                    </a:prstGeom>
                  </pic:spPr>
                </pic:pic>
              </a:graphicData>
            </a:graphic>
          </wp:anchor>
        </w:drawing>
      </w:r>
      <w:r>
        <w:rPr>
          <w:noProof/>
        </w:rPr>
        <w:drawing>
          <wp:anchor distT="0" distB="0" distL="114300" distR="114300" simplePos="0" relativeHeight="251900928" behindDoc="0" locked="0" layoutInCell="1" allowOverlap="0" wp14:anchorId="333F0C46" wp14:editId="14C6B43F">
            <wp:simplePos x="0" y="0"/>
            <wp:positionH relativeFrom="page">
              <wp:posOffset>210312</wp:posOffset>
            </wp:positionH>
            <wp:positionV relativeFrom="page">
              <wp:posOffset>4475989</wp:posOffset>
            </wp:positionV>
            <wp:extent cx="137160" cy="324612"/>
            <wp:effectExtent l="0" t="0" r="0" b="0"/>
            <wp:wrapTopAndBottom/>
            <wp:docPr id="272152" name="Picture 272152"/>
            <wp:cNvGraphicFramePr/>
            <a:graphic xmlns:a="http://schemas.openxmlformats.org/drawingml/2006/main">
              <a:graphicData uri="http://schemas.openxmlformats.org/drawingml/2006/picture">
                <pic:pic xmlns:pic="http://schemas.openxmlformats.org/drawingml/2006/picture">
                  <pic:nvPicPr>
                    <pic:cNvPr id="272152" name="Picture 272152"/>
                    <pic:cNvPicPr/>
                  </pic:nvPicPr>
                  <pic:blipFill>
                    <a:blip r:embed="rId482"/>
                    <a:stretch>
                      <a:fillRect/>
                    </a:stretch>
                  </pic:blipFill>
                  <pic:spPr>
                    <a:xfrm>
                      <a:off x="0" y="0"/>
                      <a:ext cx="137160" cy="324612"/>
                    </a:xfrm>
                    <a:prstGeom prst="rect">
                      <a:avLst/>
                    </a:prstGeom>
                  </pic:spPr>
                </pic:pic>
              </a:graphicData>
            </a:graphic>
          </wp:anchor>
        </w:drawing>
      </w:r>
      <w:r>
        <w:rPr>
          <w:noProof/>
        </w:rPr>
        <w:drawing>
          <wp:anchor distT="0" distB="0" distL="114300" distR="114300" simplePos="0" relativeHeight="251901952" behindDoc="0" locked="0" layoutInCell="1" allowOverlap="0" wp14:anchorId="25FD8E0F" wp14:editId="0B3F9FA2">
            <wp:simplePos x="0" y="0"/>
            <wp:positionH relativeFrom="page">
              <wp:posOffset>210312</wp:posOffset>
            </wp:positionH>
            <wp:positionV relativeFrom="page">
              <wp:posOffset>4988052</wp:posOffset>
            </wp:positionV>
            <wp:extent cx="137160" cy="329184"/>
            <wp:effectExtent l="0" t="0" r="0" b="0"/>
            <wp:wrapTopAndBottom/>
            <wp:docPr id="272153" name="Picture 272153"/>
            <wp:cNvGraphicFramePr/>
            <a:graphic xmlns:a="http://schemas.openxmlformats.org/drawingml/2006/main">
              <a:graphicData uri="http://schemas.openxmlformats.org/drawingml/2006/picture">
                <pic:pic xmlns:pic="http://schemas.openxmlformats.org/drawingml/2006/picture">
                  <pic:nvPicPr>
                    <pic:cNvPr id="272153" name="Picture 272153"/>
                    <pic:cNvPicPr/>
                  </pic:nvPicPr>
                  <pic:blipFill>
                    <a:blip r:embed="rId483"/>
                    <a:stretch>
                      <a:fillRect/>
                    </a:stretch>
                  </pic:blipFill>
                  <pic:spPr>
                    <a:xfrm>
                      <a:off x="0" y="0"/>
                      <a:ext cx="137160" cy="329184"/>
                    </a:xfrm>
                    <a:prstGeom prst="rect">
                      <a:avLst/>
                    </a:prstGeom>
                  </pic:spPr>
                </pic:pic>
              </a:graphicData>
            </a:graphic>
          </wp:anchor>
        </w:drawing>
      </w:r>
      <w:r>
        <w:rPr>
          <w:noProof/>
        </w:rPr>
        <w:drawing>
          <wp:anchor distT="0" distB="0" distL="114300" distR="114300" simplePos="0" relativeHeight="251902976" behindDoc="0" locked="0" layoutInCell="1" allowOverlap="0" wp14:anchorId="22DBB696" wp14:editId="61F85CD3">
            <wp:simplePos x="0" y="0"/>
            <wp:positionH relativeFrom="page">
              <wp:posOffset>210312</wp:posOffset>
            </wp:positionH>
            <wp:positionV relativeFrom="page">
              <wp:posOffset>5509260</wp:posOffset>
            </wp:positionV>
            <wp:extent cx="137160" cy="320040"/>
            <wp:effectExtent l="0" t="0" r="0" b="0"/>
            <wp:wrapTopAndBottom/>
            <wp:docPr id="272154" name="Picture 272154"/>
            <wp:cNvGraphicFramePr/>
            <a:graphic xmlns:a="http://schemas.openxmlformats.org/drawingml/2006/main">
              <a:graphicData uri="http://schemas.openxmlformats.org/drawingml/2006/picture">
                <pic:pic xmlns:pic="http://schemas.openxmlformats.org/drawingml/2006/picture">
                  <pic:nvPicPr>
                    <pic:cNvPr id="272154" name="Picture 272154"/>
                    <pic:cNvPicPr/>
                  </pic:nvPicPr>
                  <pic:blipFill>
                    <a:blip r:embed="rId484"/>
                    <a:stretch>
                      <a:fillRect/>
                    </a:stretch>
                  </pic:blipFill>
                  <pic:spPr>
                    <a:xfrm>
                      <a:off x="0" y="0"/>
                      <a:ext cx="137160" cy="320040"/>
                    </a:xfrm>
                    <a:prstGeom prst="rect">
                      <a:avLst/>
                    </a:prstGeom>
                  </pic:spPr>
                </pic:pic>
              </a:graphicData>
            </a:graphic>
          </wp:anchor>
        </w:drawing>
      </w:r>
      <w:r>
        <w:rPr>
          <w:noProof/>
        </w:rPr>
        <w:drawing>
          <wp:anchor distT="0" distB="0" distL="114300" distR="114300" simplePos="0" relativeHeight="251904000" behindDoc="0" locked="0" layoutInCell="1" allowOverlap="0" wp14:anchorId="100DFDAC" wp14:editId="03C95BFF">
            <wp:simplePos x="0" y="0"/>
            <wp:positionH relativeFrom="page">
              <wp:posOffset>210312</wp:posOffset>
            </wp:positionH>
            <wp:positionV relativeFrom="page">
              <wp:posOffset>6021325</wp:posOffset>
            </wp:positionV>
            <wp:extent cx="137160" cy="324612"/>
            <wp:effectExtent l="0" t="0" r="0" b="0"/>
            <wp:wrapTopAndBottom/>
            <wp:docPr id="272155" name="Picture 272155"/>
            <wp:cNvGraphicFramePr/>
            <a:graphic xmlns:a="http://schemas.openxmlformats.org/drawingml/2006/main">
              <a:graphicData uri="http://schemas.openxmlformats.org/drawingml/2006/picture">
                <pic:pic xmlns:pic="http://schemas.openxmlformats.org/drawingml/2006/picture">
                  <pic:nvPicPr>
                    <pic:cNvPr id="272155" name="Picture 272155"/>
                    <pic:cNvPicPr/>
                  </pic:nvPicPr>
                  <pic:blipFill>
                    <a:blip r:embed="rId485"/>
                    <a:stretch>
                      <a:fillRect/>
                    </a:stretch>
                  </pic:blipFill>
                  <pic:spPr>
                    <a:xfrm>
                      <a:off x="0" y="0"/>
                      <a:ext cx="137160" cy="324612"/>
                    </a:xfrm>
                    <a:prstGeom prst="rect">
                      <a:avLst/>
                    </a:prstGeom>
                  </pic:spPr>
                </pic:pic>
              </a:graphicData>
            </a:graphic>
          </wp:anchor>
        </w:drawing>
      </w:r>
      <w:r>
        <w:rPr>
          <w:noProof/>
        </w:rPr>
        <w:drawing>
          <wp:anchor distT="0" distB="0" distL="114300" distR="114300" simplePos="0" relativeHeight="251905024" behindDoc="0" locked="0" layoutInCell="1" allowOverlap="0" wp14:anchorId="5EDAF511" wp14:editId="10F86632">
            <wp:simplePos x="0" y="0"/>
            <wp:positionH relativeFrom="page">
              <wp:posOffset>210312</wp:posOffset>
            </wp:positionH>
            <wp:positionV relativeFrom="page">
              <wp:posOffset>6542532</wp:posOffset>
            </wp:positionV>
            <wp:extent cx="137160" cy="315468"/>
            <wp:effectExtent l="0" t="0" r="0" b="0"/>
            <wp:wrapTopAndBottom/>
            <wp:docPr id="272156" name="Picture 272156"/>
            <wp:cNvGraphicFramePr/>
            <a:graphic xmlns:a="http://schemas.openxmlformats.org/drawingml/2006/main">
              <a:graphicData uri="http://schemas.openxmlformats.org/drawingml/2006/picture">
                <pic:pic xmlns:pic="http://schemas.openxmlformats.org/drawingml/2006/picture">
                  <pic:nvPicPr>
                    <pic:cNvPr id="272156" name="Picture 272156"/>
                    <pic:cNvPicPr/>
                  </pic:nvPicPr>
                  <pic:blipFill>
                    <a:blip r:embed="rId486"/>
                    <a:stretch>
                      <a:fillRect/>
                    </a:stretch>
                  </pic:blipFill>
                  <pic:spPr>
                    <a:xfrm>
                      <a:off x="0" y="0"/>
                      <a:ext cx="137160" cy="315468"/>
                    </a:xfrm>
                    <a:prstGeom prst="rect">
                      <a:avLst/>
                    </a:prstGeom>
                  </pic:spPr>
                </pic:pic>
              </a:graphicData>
            </a:graphic>
          </wp:anchor>
        </w:drawing>
      </w:r>
      <w:r>
        <w:rPr>
          <w:noProof/>
        </w:rPr>
        <w:drawing>
          <wp:anchor distT="0" distB="0" distL="114300" distR="114300" simplePos="0" relativeHeight="251906048" behindDoc="0" locked="0" layoutInCell="1" allowOverlap="0" wp14:anchorId="2475378D" wp14:editId="3FE0D638">
            <wp:simplePos x="0" y="0"/>
            <wp:positionH relativeFrom="page">
              <wp:posOffset>205740</wp:posOffset>
            </wp:positionH>
            <wp:positionV relativeFrom="page">
              <wp:posOffset>7059169</wp:posOffset>
            </wp:positionV>
            <wp:extent cx="137160" cy="324612"/>
            <wp:effectExtent l="0" t="0" r="0" b="0"/>
            <wp:wrapTopAndBottom/>
            <wp:docPr id="272157" name="Picture 272157"/>
            <wp:cNvGraphicFramePr/>
            <a:graphic xmlns:a="http://schemas.openxmlformats.org/drawingml/2006/main">
              <a:graphicData uri="http://schemas.openxmlformats.org/drawingml/2006/picture">
                <pic:pic xmlns:pic="http://schemas.openxmlformats.org/drawingml/2006/picture">
                  <pic:nvPicPr>
                    <pic:cNvPr id="272157" name="Picture 272157"/>
                    <pic:cNvPicPr/>
                  </pic:nvPicPr>
                  <pic:blipFill>
                    <a:blip r:embed="rId487"/>
                    <a:stretch>
                      <a:fillRect/>
                    </a:stretch>
                  </pic:blipFill>
                  <pic:spPr>
                    <a:xfrm>
                      <a:off x="0" y="0"/>
                      <a:ext cx="137160" cy="324612"/>
                    </a:xfrm>
                    <a:prstGeom prst="rect">
                      <a:avLst/>
                    </a:prstGeom>
                  </pic:spPr>
                </pic:pic>
              </a:graphicData>
            </a:graphic>
          </wp:anchor>
        </w:drawing>
      </w:r>
      <w:r>
        <w:rPr>
          <w:noProof/>
        </w:rPr>
        <w:drawing>
          <wp:anchor distT="0" distB="0" distL="114300" distR="114300" simplePos="0" relativeHeight="251907072" behindDoc="0" locked="0" layoutInCell="1" allowOverlap="0" wp14:anchorId="2F86EC73" wp14:editId="6629C3E7">
            <wp:simplePos x="0" y="0"/>
            <wp:positionH relativeFrom="page">
              <wp:posOffset>205740</wp:posOffset>
            </wp:positionH>
            <wp:positionV relativeFrom="page">
              <wp:posOffset>7580377</wp:posOffset>
            </wp:positionV>
            <wp:extent cx="137160" cy="315468"/>
            <wp:effectExtent l="0" t="0" r="0" b="0"/>
            <wp:wrapTopAndBottom/>
            <wp:docPr id="272159" name="Picture 272159"/>
            <wp:cNvGraphicFramePr/>
            <a:graphic xmlns:a="http://schemas.openxmlformats.org/drawingml/2006/main">
              <a:graphicData uri="http://schemas.openxmlformats.org/drawingml/2006/picture">
                <pic:pic xmlns:pic="http://schemas.openxmlformats.org/drawingml/2006/picture">
                  <pic:nvPicPr>
                    <pic:cNvPr id="272159" name="Picture 272159"/>
                    <pic:cNvPicPr/>
                  </pic:nvPicPr>
                  <pic:blipFill>
                    <a:blip r:embed="rId488"/>
                    <a:stretch>
                      <a:fillRect/>
                    </a:stretch>
                  </pic:blipFill>
                  <pic:spPr>
                    <a:xfrm>
                      <a:off x="0" y="0"/>
                      <a:ext cx="137160" cy="315468"/>
                    </a:xfrm>
                    <a:prstGeom prst="rect">
                      <a:avLst/>
                    </a:prstGeom>
                  </pic:spPr>
                </pic:pic>
              </a:graphicData>
            </a:graphic>
          </wp:anchor>
        </w:drawing>
      </w:r>
      <w:r>
        <w:rPr>
          <w:noProof/>
        </w:rPr>
        <w:drawing>
          <wp:anchor distT="0" distB="0" distL="114300" distR="114300" simplePos="0" relativeHeight="251908096" behindDoc="0" locked="0" layoutInCell="1" allowOverlap="0" wp14:anchorId="6B4D63BC" wp14:editId="12F815F1">
            <wp:simplePos x="0" y="0"/>
            <wp:positionH relativeFrom="page">
              <wp:posOffset>205740</wp:posOffset>
            </wp:positionH>
            <wp:positionV relativeFrom="page">
              <wp:posOffset>8092440</wp:posOffset>
            </wp:positionV>
            <wp:extent cx="137160" cy="315468"/>
            <wp:effectExtent l="0" t="0" r="0" b="0"/>
            <wp:wrapTopAndBottom/>
            <wp:docPr id="272167" name="Picture 272167"/>
            <wp:cNvGraphicFramePr/>
            <a:graphic xmlns:a="http://schemas.openxmlformats.org/drawingml/2006/main">
              <a:graphicData uri="http://schemas.openxmlformats.org/drawingml/2006/picture">
                <pic:pic xmlns:pic="http://schemas.openxmlformats.org/drawingml/2006/picture">
                  <pic:nvPicPr>
                    <pic:cNvPr id="272167" name="Picture 272167"/>
                    <pic:cNvPicPr/>
                  </pic:nvPicPr>
                  <pic:blipFill>
                    <a:blip r:embed="rId489"/>
                    <a:stretch>
                      <a:fillRect/>
                    </a:stretch>
                  </pic:blipFill>
                  <pic:spPr>
                    <a:xfrm>
                      <a:off x="0" y="0"/>
                      <a:ext cx="137160" cy="315468"/>
                    </a:xfrm>
                    <a:prstGeom prst="rect">
                      <a:avLst/>
                    </a:prstGeom>
                  </pic:spPr>
                </pic:pic>
              </a:graphicData>
            </a:graphic>
          </wp:anchor>
        </w:drawing>
      </w:r>
      <w:r>
        <w:rPr>
          <w:noProof/>
        </w:rPr>
        <w:drawing>
          <wp:anchor distT="0" distB="0" distL="114300" distR="114300" simplePos="0" relativeHeight="251909120" behindDoc="0" locked="0" layoutInCell="1" allowOverlap="0" wp14:anchorId="526E6EBB" wp14:editId="719ACDE7">
            <wp:simplePos x="0" y="0"/>
            <wp:positionH relativeFrom="page">
              <wp:posOffset>3941064</wp:posOffset>
            </wp:positionH>
            <wp:positionV relativeFrom="page">
              <wp:posOffset>507492</wp:posOffset>
            </wp:positionV>
            <wp:extent cx="36576" cy="13716"/>
            <wp:effectExtent l="0" t="0" r="0" b="0"/>
            <wp:wrapTopAndBottom/>
            <wp:docPr id="272007" name="Picture 272007"/>
            <wp:cNvGraphicFramePr/>
            <a:graphic xmlns:a="http://schemas.openxmlformats.org/drawingml/2006/main">
              <a:graphicData uri="http://schemas.openxmlformats.org/drawingml/2006/picture">
                <pic:pic xmlns:pic="http://schemas.openxmlformats.org/drawingml/2006/picture">
                  <pic:nvPicPr>
                    <pic:cNvPr id="272007" name="Picture 272007"/>
                    <pic:cNvPicPr/>
                  </pic:nvPicPr>
                  <pic:blipFill>
                    <a:blip r:embed="rId490"/>
                    <a:stretch>
                      <a:fillRect/>
                    </a:stretch>
                  </pic:blipFill>
                  <pic:spPr>
                    <a:xfrm>
                      <a:off x="0" y="0"/>
                      <a:ext cx="36576" cy="13716"/>
                    </a:xfrm>
                    <a:prstGeom prst="rect">
                      <a:avLst/>
                    </a:prstGeom>
                  </pic:spPr>
                </pic:pic>
              </a:graphicData>
            </a:graphic>
          </wp:anchor>
        </w:drawing>
      </w:r>
      <w:r>
        <w:rPr>
          <w:noProof/>
        </w:rPr>
        <mc:AlternateContent>
          <mc:Choice Requires="wpg">
            <w:drawing>
              <wp:anchor distT="0" distB="0" distL="114300" distR="114300" simplePos="0" relativeHeight="251910144" behindDoc="0" locked="0" layoutInCell="1" allowOverlap="1" wp14:anchorId="5ADA0C2E" wp14:editId="7A1224E3">
                <wp:simplePos x="0" y="0"/>
                <wp:positionH relativeFrom="page">
                  <wp:posOffset>1261872</wp:posOffset>
                </wp:positionH>
                <wp:positionV relativeFrom="page">
                  <wp:posOffset>790956</wp:posOffset>
                </wp:positionV>
                <wp:extent cx="5381244" cy="9144"/>
                <wp:effectExtent l="0" t="0" r="0" b="0"/>
                <wp:wrapTopAndBottom/>
                <wp:docPr id="2458272" name="Group 2458272"/>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271" name="Shape 2458271"/>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272" style="width:423.72pt;height:0.719994pt;position:absolute;mso-position-horizontal-relative:page;mso-position-horizontal:absolute;margin-left:99.36pt;mso-position-vertical-relative:page;margin-top:62.28pt;" coordsize="53812,91">
                <v:shape id="Shape 2458271" style="position:absolute;width:53812;height:91;left:0;top:0;" coordsize="5381244,9144" path="m0,4572l5381244,4572">
                  <v:stroke weight="0.719994pt" endcap="flat" joinstyle="miter" miterlimit="1" on="true" color="#000000"/>
                  <v:fill on="false" color="#000000"/>
                </v:shape>
                <w10:wrap type="topAndBottom"/>
              </v:group>
            </w:pict>
          </mc:Fallback>
        </mc:AlternateContent>
      </w:r>
      <w:r>
        <w:rPr>
          <w:noProof/>
        </w:rPr>
        <w:drawing>
          <wp:anchor distT="0" distB="0" distL="114300" distR="114300" simplePos="0" relativeHeight="251911168" behindDoc="0" locked="0" layoutInCell="1" allowOverlap="0" wp14:anchorId="251E130D" wp14:editId="0DCD937F">
            <wp:simplePos x="0" y="0"/>
            <wp:positionH relativeFrom="page">
              <wp:posOffset>676656</wp:posOffset>
            </wp:positionH>
            <wp:positionV relativeFrom="page">
              <wp:posOffset>9226296</wp:posOffset>
            </wp:positionV>
            <wp:extent cx="1065276" cy="402336"/>
            <wp:effectExtent l="0" t="0" r="0" b="0"/>
            <wp:wrapTopAndBottom/>
            <wp:docPr id="272160" name="Picture 272160"/>
            <wp:cNvGraphicFramePr/>
            <a:graphic xmlns:a="http://schemas.openxmlformats.org/drawingml/2006/main">
              <a:graphicData uri="http://schemas.openxmlformats.org/drawingml/2006/picture">
                <pic:pic xmlns:pic="http://schemas.openxmlformats.org/drawingml/2006/picture">
                  <pic:nvPicPr>
                    <pic:cNvPr id="272160" name="Picture 272160"/>
                    <pic:cNvPicPr/>
                  </pic:nvPicPr>
                  <pic:blipFill>
                    <a:blip r:embed="rId491"/>
                    <a:stretch>
                      <a:fillRect/>
                    </a:stretch>
                  </pic:blipFill>
                  <pic:spPr>
                    <a:xfrm>
                      <a:off x="0" y="0"/>
                      <a:ext cx="1065276" cy="402336"/>
                    </a:xfrm>
                    <a:prstGeom prst="rect">
                      <a:avLst/>
                    </a:prstGeom>
                  </pic:spPr>
                </pic:pic>
              </a:graphicData>
            </a:graphic>
          </wp:anchor>
        </w:drawing>
      </w:r>
    </w:p>
    <w:p w14:paraId="4FC2D3DE" w14:textId="77777777" w:rsidR="00053D93" w:rsidRDefault="00260B75">
      <w:pPr>
        <w:spacing w:after="0"/>
        <w:ind w:left="864"/>
      </w:pPr>
      <w:r>
        <w:rPr>
          <w:noProof/>
        </w:rPr>
        <w:drawing>
          <wp:inline distT="0" distB="0" distL="0" distR="0" wp14:anchorId="22A02457" wp14:editId="749ECFBB">
            <wp:extent cx="5102352" cy="7333489"/>
            <wp:effectExtent l="0" t="0" r="0" b="0"/>
            <wp:docPr id="2458269" name="Picture 2458269"/>
            <wp:cNvGraphicFramePr/>
            <a:graphic xmlns:a="http://schemas.openxmlformats.org/drawingml/2006/main">
              <a:graphicData uri="http://schemas.openxmlformats.org/drawingml/2006/picture">
                <pic:pic xmlns:pic="http://schemas.openxmlformats.org/drawingml/2006/picture">
                  <pic:nvPicPr>
                    <pic:cNvPr id="2458269" name="Picture 2458269"/>
                    <pic:cNvPicPr/>
                  </pic:nvPicPr>
                  <pic:blipFill>
                    <a:blip r:embed="rId492"/>
                    <a:stretch>
                      <a:fillRect/>
                    </a:stretch>
                  </pic:blipFill>
                  <pic:spPr>
                    <a:xfrm>
                      <a:off x="0" y="0"/>
                      <a:ext cx="5102352" cy="7333489"/>
                    </a:xfrm>
                    <a:prstGeom prst="rect">
                      <a:avLst/>
                    </a:prstGeom>
                  </pic:spPr>
                </pic:pic>
              </a:graphicData>
            </a:graphic>
          </wp:inline>
        </w:drawing>
      </w:r>
    </w:p>
    <w:tbl>
      <w:tblPr>
        <w:tblStyle w:val="TableGrid"/>
        <w:tblpPr w:vertAnchor="page" w:horzAnchor="page" w:tblpX="2851" w:tblpY="14537"/>
        <w:tblOverlap w:val="never"/>
        <w:tblW w:w="7632" w:type="dxa"/>
        <w:tblInd w:w="0" w:type="dxa"/>
        <w:tblCellMar>
          <w:top w:w="31" w:type="dxa"/>
          <w:left w:w="1742" w:type="dxa"/>
          <w:right w:w="115" w:type="dxa"/>
        </w:tblCellMar>
        <w:tblLook w:val="04A0" w:firstRow="1" w:lastRow="0" w:firstColumn="1" w:lastColumn="0" w:noHBand="0" w:noVBand="1"/>
      </w:tblPr>
      <w:tblGrid>
        <w:gridCol w:w="7632"/>
      </w:tblGrid>
      <w:tr w:rsidR="00053D93" w14:paraId="3494CF49" w14:textId="77777777">
        <w:trPr>
          <w:trHeight w:val="36"/>
        </w:trPr>
        <w:tc>
          <w:tcPr>
            <w:tcW w:w="7632" w:type="dxa"/>
            <w:tcBorders>
              <w:top w:val="nil"/>
              <w:left w:val="single" w:sz="2" w:space="0" w:color="000000"/>
              <w:bottom w:val="single" w:sz="2" w:space="0" w:color="000000"/>
              <w:right w:val="nil"/>
            </w:tcBorders>
          </w:tcPr>
          <w:p w14:paraId="0046BB87" w14:textId="77777777" w:rsidR="00053D93" w:rsidRDefault="00053D93"/>
        </w:tc>
      </w:tr>
      <w:tr w:rsidR="00053D93" w14:paraId="278D3E2E" w14:textId="77777777">
        <w:trPr>
          <w:trHeight w:val="590"/>
        </w:trPr>
        <w:tc>
          <w:tcPr>
            <w:tcW w:w="7632" w:type="dxa"/>
            <w:tcBorders>
              <w:top w:val="single" w:sz="2" w:space="0" w:color="000000"/>
              <w:left w:val="single" w:sz="2" w:space="0" w:color="000000"/>
              <w:bottom w:val="nil"/>
              <w:right w:val="nil"/>
            </w:tcBorders>
          </w:tcPr>
          <w:p w14:paraId="4BE0E190" w14:textId="77777777" w:rsidR="00053D93" w:rsidRDefault="00260B75">
            <w:pPr>
              <w:ind w:left="835"/>
            </w:pPr>
            <w:r>
              <w:rPr>
                <w:sz w:val="14"/>
              </w:rPr>
              <w:lastRenderedPageBreak/>
              <w:t>MINISTERIO DE EDUCACION</w:t>
            </w:r>
          </w:p>
          <w:p w14:paraId="0D3A2277" w14:textId="77777777" w:rsidR="00053D93" w:rsidRDefault="00260B75">
            <w:pPr>
              <w:ind w:left="338"/>
            </w:pPr>
            <w:r>
              <w:rPr>
                <w:sz w:val="14"/>
              </w:rPr>
              <w:t>AUDITORiA FINANCIERA Y DE CUMPLIMIENTO</w:t>
            </w:r>
          </w:p>
          <w:p w14:paraId="0A48D7D8" w14:textId="77777777" w:rsidR="00053D93" w:rsidRDefault="00260B75">
            <w:r>
              <w:rPr>
                <w:sz w:val="14"/>
              </w:rPr>
              <w:t>PERIODO DEL 01 DE ENERO AL 31 DE DICIEMBRE DE 2024</w:t>
            </w:r>
          </w:p>
        </w:tc>
      </w:tr>
    </w:tbl>
    <w:p w14:paraId="709733D7" w14:textId="77777777" w:rsidR="00053D93" w:rsidRDefault="00260B75">
      <w:pPr>
        <w:spacing w:after="961"/>
        <w:ind w:left="-1440" w:right="10850"/>
      </w:pPr>
      <w:r>
        <w:rPr>
          <w:noProof/>
        </w:rPr>
        <w:drawing>
          <wp:anchor distT="0" distB="0" distL="114300" distR="114300" simplePos="0" relativeHeight="251912192" behindDoc="0" locked="0" layoutInCell="1" allowOverlap="0" wp14:anchorId="0B9426A2" wp14:editId="4D9AC554">
            <wp:simplePos x="0" y="0"/>
            <wp:positionH relativeFrom="page">
              <wp:posOffset>210312</wp:posOffset>
            </wp:positionH>
            <wp:positionV relativeFrom="page">
              <wp:posOffset>329184</wp:posOffset>
            </wp:positionV>
            <wp:extent cx="137160" cy="342900"/>
            <wp:effectExtent l="0" t="0" r="0" b="0"/>
            <wp:wrapSquare wrapText="bothSides"/>
            <wp:docPr id="274678" name="Picture 274678"/>
            <wp:cNvGraphicFramePr/>
            <a:graphic xmlns:a="http://schemas.openxmlformats.org/drawingml/2006/main">
              <a:graphicData uri="http://schemas.openxmlformats.org/drawingml/2006/picture">
                <pic:pic xmlns:pic="http://schemas.openxmlformats.org/drawingml/2006/picture">
                  <pic:nvPicPr>
                    <pic:cNvPr id="274678" name="Picture 274678"/>
                    <pic:cNvPicPr/>
                  </pic:nvPicPr>
                  <pic:blipFill>
                    <a:blip r:embed="rId493"/>
                    <a:stretch>
                      <a:fillRect/>
                    </a:stretch>
                  </pic:blipFill>
                  <pic:spPr>
                    <a:xfrm>
                      <a:off x="0" y="0"/>
                      <a:ext cx="137160" cy="342900"/>
                    </a:xfrm>
                    <a:prstGeom prst="rect">
                      <a:avLst/>
                    </a:prstGeom>
                  </pic:spPr>
                </pic:pic>
              </a:graphicData>
            </a:graphic>
          </wp:anchor>
        </w:drawing>
      </w:r>
      <w:r>
        <w:rPr>
          <w:noProof/>
        </w:rPr>
        <w:drawing>
          <wp:anchor distT="0" distB="0" distL="114300" distR="114300" simplePos="0" relativeHeight="251913216" behindDoc="0" locked="0" layoutInCell="1" allowOverlap="0" wp14:anchorId="4591155C" wp14:editId="69ED4F33">
            <wp:simplePos x="0" y="0"/>
            <wp:positionH relativeFrom="page">
              <wp:posOffset>210312</wp:posOffset>
            </wp:positionH>
            <wp:positionV relativeFrom="page">
              <wp:posOffset>854964</wp:posOffset>
            </wp:positionV>
            <wp:extent cx="137160" cy="338328"/>
            <wp:effectExtent l="0" t="0" r="0" b="0"/>
            <wp:wrapTopAndBottom/>
            <wp:docPr id="274680" name="Picture 274680"/>
            <wp:cNvGraphicFramePr/>
            <a:graphic xmlns:a="http://schemas.openxmlformats.org/drawingml/2006/main">
              <a:graphicData uri="http://schemas.openxmlformats.org/drawingml/2006/picture">
                <pic:pic xmlns:pic="http://schemas.openxmlformats.org/drawingml/2006/picture">
                  <pic:nvPicPr>
                    <pic:cNvPr id="274680" name="Picture 274680"/>
                    <pic:cNvPicPr/>
                  </pic:nvPicPr>
                  <pic:blipFill>
                    <a:blip r:embed="rId494"/>
                    <a:stretch>
                      <a:fillRect/>
                    </a:stretch>
                  </pic:blipFill>
                  <pic:spPr>
                    <a:xfrm>
                      <a:off x="0" y="0"/>
                      <a:ext cx="137160" cy="338328"/>
                    </a:xfrm>
                    <a:prstGeom prst="rect">
                      <a:avLst/>
                    </a:prstGeom>
                  </pic:spPr>
                </pic:pic>
              </a:graphicData>
            </a:graphic>
          </wp:anchor>
        </w:drawing>
      </w:r>
      <w:r>
        <w:rPr>
          <w:noProof/>
        </w:rPr>
        <w:drawing>
          <wp:anchor distT="0" distB="0" distL="114300" distR="114300" simplePos="0" relativeHeight="251914240" behindDoc="0" locked="0" layoutInCell="1" allowOverlap="0" wp14:anchorId="50043D21" wp14:editId="4DAA0084">
            <wp:simplePos x="0" y="0"/>
            <wp:positionH relativeFrom="page">
              <wp:posOffset>214884</wp:posOffset>
            </wp:positionH>
            <wp:positionV relativeFrom="page">
              <wp:posOffset>1376172</wp:posOffset>
            </wp:positionV>
            <wp:extent cx="132588" cy="324612"/>
            <wp:effectExtent l="0" t="0" r="0" b="0"/>
            <wp:wrapTopAndBottom/>
            <wp:docPr id="274682" name="Picture 274682"/>
            <wp:cNvGraphicFramePr/>
            <a:graphic xmlns:a="http://schemas.openxmlformats.org/drawingml/2006/main">
              <a:graphicData uri="http://schemas.openxmlformats.org/drawingml/2006/picture">
                <pic:pic xmlns:pic="http://schemas.openxmlformats.org/drawingml/2006/picture">
                  <pic:nvPicPr>
                    <pic:cNvPr id="274682" name="Picture 274682"/>
                    <pic:cNvPicPr/>
                  </pic:nvPicPr>
                  <pic:blipFill>
                    <a:blip r:embed="rId495"/>
                    <a:stretch>
                      <a:fillRect/>
                    </a:stretch>
                  </pic:blipFill>
                  <pic:spPr>
                    <a:xfrm>
                      <a:off x="0" y="0"/>
                      <a:ext cx="132588" cy="324612"/>
                    </a:xfrm>
                    <a:prstGeom prst="rect">
                      <a:avLst/>
                    </a:prstGeom>
                  </pic:spPr>
                </pic:pic>
              </a:graphicData>
            </a:graphic>
          </wp:anchor>
        </w:drawing>
      </w:r>
      <w:r>
        <w:rPr>
          <w:noProof/>
        </w:rPr>
        <w:drawing>
          <wp:anchor distT="0" distB="0" distL="114300" distR="114300" simplePos="0" relativeHeight="251915264" behindDoc="0" locked="0" layoutInCell="1" allowOverlap="0" wp14:anchorId="0DE2A684" wp14:editId="4B1AD245">
            <wp:simplePos x="0" y="0"/>
            <wp:positionH relativeFrom="page">
              <wp:posOffset>214884</wp:posOffset>
            </wp:positionH>
            <wp:positionV relativeFrom="page">
              <wp:posOffset>1892808</wp:posOffset>
            </wp:positionV>
            <wp:extent cx="132588" cy="324612"/>
            <wp:effectExtent l="0" t="0" r="0" b="0"/>
            <wp:wrapTopAndBottom/>
            <wp:docPr id="274683" name="Picture 274683"/>
            <wp:cNvGraphicFramePr/>
            <a:graphic xmlns:a="http://schemas.openxmlformats.org/drawingml/2006/main">
              <a:graphicData uri="http://schemas.openxmlformats.org/drawingml/2006/picture">
                <pic:pic xmlns:pic="http://schemas.openxmlformats.org/drawingml/2006/picture">
                  <pic:nvPicPr>
                    <pic:cNvPr id="274683" name="Picture 274683"/>
                    <pic:cNvPicPr/>
                  </pic:nvPicPr>
                  <pic:blipFill>
                    <a:blip r:embed="rId496"/>
                    <a:stretch>
                      <a:fillRect/>
                    </a:stretch>
                  </pic:blipFill>
                  <pic:spPr>
                    <a:xfrm>
                      <a:off x="0" y="0"/>
                      <a:ext cx="132588" cy="324612"/>
                    </a:xfrm>
                    <a:prstGeom prst="rect">
                      <a:avLst/>
                    </a:prstGeom>
                  </pic:spPr>
                </pic:pic>
              </a:graphicData>
            </a:graphic>
          </wp:anchor>
        </w:drawing>
      </w:r>
      <w:r>
        <w:rPr>
          <w:noProof/>
        </w:rPr>
        <w:drawing>
          <wp:anchor distT="0" distB="0" distL="114300" distR="114300" simplePos="0" relativeHeight="251916288" behindDoc="0" locked="0" layoutInCell="1" allowOverlap="0" wp14:anchorId="5F01835F" wp14:editId="5819B957">
            <wp:simplePos x="0" y="0"/>
            <wp:positionH relativeFrom="page">
              <wp:posOffset>214884</wp:posOffset>
            </wp:positionH>
            <wp:positionV relativeFrom="page">
              <wp:posOffset>2409444</wp:posOffset>
            </wp:positionV>
            <wp:extent cx="137160" cy="324612"/>
            <wp:effectExtent l="0" t="0" r="0" b="0"/>
            <wp:wrapTopAndBottom/>
            <wp:docPr id="274684" name="Picture 274684"/>
            <wp:cNvGraphicFramePr/>
            <a:graphic xmlns:a="http://schemas.openxmlformats.org/drawingml/2006/main">
              <a:graphicData uri="http://schemas.openxmlformats.org/drawingml/2006/picture">
                <pic:pic xmlns:pic="http://schemas.openxmlformats.org/drawingml/2006/picture">
                  <pic:nvPicPr>
                    <pic:cNvPr id="274684" name="Picture 274684"/>
                    <pic:cNvPicPr/>
                  </pic:nvPicPr>
                  <pic:blipFill>
                    <a:blip r:embed="rId497"/>
                    <a:stretch>
                      <a:fillRect/>
                    </a:stretch>
                  </pic:blipFill>
                  <pic:spPr>
                    <a:xfrm>
                      <a:off x="0" y="0"/>
                      <a:ext cx="137160" cy="324612"/>
                    </a:xfrm>
                    <a:prstGeom prst="rect">
                      <a:avLst/>
                    </a:prstGeom>
                  </pic:spPr>
                </pic:pic>
              </a:graphicData>
            </a:graphic>
          </wp:anchor>
        </w:drawing>
      </w:r>
      <w:r>
        <w:rPr>
          <w:noProof/>
        </w:rPr>
        <w:drawing>
          <wp:anchor distT="0" distB="0" distL="114300" distR="114300" simplePos="0" relativeHeight="251917312" behindDoc="0" locked="0" layoutInCell="1" allowOverlap="0" wp14:anchorId="6DE812AC" wp14:editId="7B21490A">
            <wp:simplePos x="0" y="0"/>
            <wp:positionH relativeFrom="page">
              <wp:posOffset>210312</wp:posOffset>
            </wp:positionH>
            <wp:positionV relativeFrom="page">
              <wp:posOffset>2930652</wp:posOffset>
            </wp:positionV>
            <wp:extent cx="141732" cy="315468"/>
            <wp:effectExtent l="0" t="0" r="0" b="0"/>
            <wp:wrapTopAndBottom/>
            <wp:docPr id="274685" name="Picture 274685"/>
            <wp:cNvGraphicFramePr/>
            <a:graphic xmlns:a="http://schemas.openxmlformats.org/drawingml/2006/main">
              <a:graphicData uri="http://schemas.openxmlformats.org/drawingml/2006/picture">
                <pic:pic xmlns:pic="http://schemas.openxmlformats.org/drawingml/2006/picture">
                  <pic:nvPicPr>
                    <pic:cNvPr id="274685" name="Picture 274685"/>
                    <pic:cNvPicPr/>
                  </pic:nvPicPr>
                  <pic:blipFill>
                    <a:blip r:embed="rId498"/>
                    <a:stretch>
                      <a:fillRect/>
                    </a:stretch>
                  </pic:blipFill>
                  <pic:spPr>
                    <a:xfrm>
                      <a:off x="0" y="0"/>
                      <a:ext cx="141732" cy="315468"/>
                    </a:xfrm>
                    <a:prstGeom prst="rect">
                      <a:avLst/>
                    </a:prstGeom>
                  </pic:spPr>
                </pic:pic>
              </a:graphicData>
            </a:graphic>
          </wp:anchor>
        </w:drawing>
      </w:r>
      <w:r>
        <w:rPr>
          <w:noProof/>
        </w:rPr>
        <w:drawing>
          <wp:anchor distT="0" distB="0" distL="114300" distR="114300" simplePos="0" relativeHeight="251918336" behindDoc="0" locked="0" layoutInCell="1" allowOverlap="0" wp14:anchorId="46FC0EE0" wp14:editId="4ED38629">
            <wp:simplePos x="0" y="0"/>
            <wp:positionH relativeFrom="page">
              <wp:posOffset>214884</wp:posOffset>
            </wp:positionH>
            <wp:positionV relativeFrom="page">
              <wp:posOffset>3442716</wp:posOffset>
            </wp:positionV>
            <wp:extent cx="137160" cy="324612"/>
            <wp:effectExtent l="0" t="0" r="0" b="0"/>
            <wp:wrapTopAndBottom/>
            <wp:docPr id="274667" name="Picture 274667"/>
            <wp:cNvGraphicFramePr/>
            <a:graphic xmlns:a="http://schemas.openxmlformats.org/drawingml/2006/main">
              <a:graphicData uri="http://schemas.openxmlformats.org/drawingml/2006/picture">
                <pic:pic xmlns:pic="http://schemas.openxmlformats.org/drawingml/2006/picture">
                  <pic:nvPicPr>
                    <pic:cNvPr id="274667" name="Picture 274667"/>
                    <pic:cNvPicPr/>
                  </pic:nvPicPr>
                  <pic:blipFill>
                    <a:blip r:embed="rId499"/>
                    <a:stretch>
                      <a:fillRect/>
                    </a:stretch>
                  </pic:blipFill>
                  <pic:spPr>
                    <a:xfrm>
                      <a:off x="0" y="0"/>
                      <a:ext cx="137160" cy="324612"/>
                    </a:xfrm>
                    <a:prstGeom prst="rect">
                      <a:avLst/>
                    </a:prstGeom>
                  </pic:spPr>
                </pic:pic>
              </a:graphicData>
            </a:graphic>
          </wp:anchor>
        </w:drawing>
      </w:r>
      <w:r>
        <w:rPr>
          <w:noProof/>
        </w:rPr>
        <w:drawing>
          <wp:anchor distT="0" distB="0" distL="114300" distR="114300" simplePos="0" relativeHeight="251919360" behindDoc="0" locked="0" layoutInCell="1" allowOverlap="0" wp14:anchorId="23CEA41E" wp14:editId="497AE8D7">
            <wp:simplePos x="0" y="0"/>
            <wp:positionH relativeFrom="page">
              <wp:posOffset>214884</wp:posOffset>
            </wp:positionH>
            <wp:positionV relativeFrom="page">
              <wp:posOffset>3959352</wp:posOffset>
            </wp:positionV>
            <wp:extent cx="137160" cy="324612"/>
            <wp:effectExtent l="0" t="0" r="0" b="0"/>
            <wp:wrapTopAndBottom/>
            <wp:docPr id="274668" name="Picture 274668"/>
            <wp:cNvGraphicFramePr/>
            <a:graphic xmlns:a="http://schemas.openxmlformats.org/drawingml/2006/main">
              <a:graphicData uri="http://schemas.openxmlformats.org/drawingml/2006/picture">
                <pic:pic xmlns:pic="http://schemas.openxmlformats.org/drawingml/2006/picture">
                  <pic:nvPicPr>
                    <pic:cNvPr id="274668" name="Picture 274668"/>
                    <pic:cNvPicPr/>
                  </pic:nvPicPr>
                  <pic:blipFill>
                    <a:blip r:embed="rId500"/>
                    <a:stretch>
                      <a:fillRect/>
                    </a:stretch>
                  </pic:blipFill>
                  <pic:spPr>
                    <a:xfrm>
                      <a:off x="0" y="0"/>
                      <a:ext cx="137160" cy="324612"/>
                    </a:xfrm>
                    <a:prstGeom prst="rect">
                      <a:avLst/>
                    </a:prstGeom>
                  </pic:spPr>
                </pic:pic>
              </a:graphicData>
            </a:graphic>
          </wp:anchor>
        </w:drawing>
      </w:r>
      <w:r>
        <w:rPr>
          <w:noProof/>
        </w:rPr>
        <w:drawing>
          <wp:anchor distT="0" distB="0" distL="114300" distR="114300" simplePos="0" relativeHeight="251920384" behindDoc="0" locked="0" layoutInCell="1" allowOverlap="0" wp14:anchorId="0B43670F" wp14:editId="33D573F4">
            <wp:simplePos x="0" y="0"/>
            <wp:positionH relativeFrom="page">
              <wp:posOffset>210312</wp:posOffset>
            </wp:positionH>
            <wp:positionV relativeFrom="page">
              <wp:posOffset>4471416</wp:posOffset>
            </wp:positionV>
            <wp:extent cx="137160" cy="324612"/>
            <wp:effectExtent l="0" t="0" r="0" b="0"/>
            <wp:wrapTopAndBottom/>
            <wp:docPr id="274669" name="Picture 274669"/>
            <wp:cNvGraphicFramePr/>
            <a:graphic xmlns:a="http://schemas.openxmlformats.org/drawingml/2006/main">
              <a:graphicData uri="http://schemas.openxmlformats.org/drawingml/2006/picture">
                <pic:pic xmlns:pic="http://schemas.openxmlformats.org/drawingml/2006/picture">
                  <pic:nvPicPr>
                    <pic:cNvPr id="274669" name="Picture 274669"/>
                    <pic:cNvPicPr/>
                  </pic:nvPicPr>
                  <pic:blipFill>
                    <a:blip r:embed="rId501"/>
                    <a:stretch>
                      <a:fillRect/>
                    </a:stretch>
                  </pic:blipFill>
                  <pic:spPr>
                    <a:xfrm>
                      <a:off x="0" y="0"/>
                      <a:ext cx="137160" cy="324612"/>
                    </a:xfrm>
                    <a:prstGeom prst="rect">
                      <a:avLst/>
                    </a:prstGeom>
                  </pic:spPr>
                </pic:pic>
              </a:graphicData>
            </a:graphic>
          </wp:anchor>
        </w:drawing>
      </w:r>
      <w:r>
        <w:rPr>
          <w:noProof/>
        </w:rPr>
        <w:drawing>
          <wp:anchor distT="0" distB="0" distL="114300" distR="114300" simplePos="0" relativeHeight="251921408" behindDoc="0" locked="0" layoutInCell="1" allowOverlap="0" wp14:anchorId="1ECE38C0" wp14:editId="6863E0CF">
            <wp:simplePos x="0" y="0"/>
            <wp:positionH relativeFrom="page">
              <wp:posOffset>210312</wp:posOffset>
            </wp:positionH>
            <wp:positionV relativeFrom="page">
              <wp:posOffset>4988052</wp:posOffset>
            </wp:positionV>
            <wp:extent cx="137160" cy="324612"/>
            <wp:effectExtent l="0" t="0" r="0" b="0"/>
            <wp:wrapTopAndBottom/>
            <wp:docPr id="274670" name="Picture 274670"/>
            <wp:cNvGraphicFramePr/>
            <a:graphic xmlns:a="http://schemas.openxmlformats.org/drawingml/2006/main">
              <a:graphicData uri="http://schemas.openxmlformats.org/drawingml/2006/picture">
                <pic:pic xmlns:pic="http://schemas.openxmlformats.org/drawingml/2006/picture">
                  <pic:nvPicPr>
                    <pic:cNvPr id="274670" name="Picture 274670"/>
                    <pic:cNvPicPr/>
                  </pic:nvPicPr>
                  <pic:blipFill>
                    <a:blip r:embed="rId502"/>
                    <a:stretch>
                      <a:fillRect/>
                    </a:stretch>
                  </pic:blipFill>
                  <pic:spPr>
                    <a:xfrm>
                      <a:off x="0" y="0"/>
                      <a:ext cx="137160" cy="324612"/>
                    </a:xfrm>
                    <a:prstGeom prst="rect">
                      <a:avLst/>
                    </a:prstGeom>
                  </pic:spPr>
                </pic:pic>
              </a:graphicData>
            </a:graphic>
          </wp:anchor>
        </w:drawing>
      </w:r>
      <w:r>
        <w:rPr>
          <w:noProof/>
        </w:rPr>
        <w:drawing>
          <wp:anchor distT="0" distB="0" distL="114300" distR="114300" simplePos="0" relativeHeight="251922432" behindDoc="0" locked="0" layoutInCell="1" allowOverlap="0" wp14:anchorId="5AB454D7" wp14:editId="5327AEAC">
            <wp:simplePos x="0" y="0"/>
            <wp:positionH relativeFrom="page">
              <wp:posOffset>205740</wp:posOffset>
            </wp:positionH>
            <wp:positionV relativeFrom="page">
              <wp:posOffset>5504688</wp:posOffset>
            </wp:positionV>
            <wp:extent cx="141732" cy="320040"/>
            <wp:effectExtent l="0" t="0" r="0" b="0"/>
            <wp:wrapTopAndBottom/>
            <wp:docPr id="274671" name="Picture 274671"/>
            <wp:cNvGraphicFramePr/>
            <a:graphic xmlns:a="http://schemas.openxmlformats.org/drawingml/2006/main">
              <a:graphicData uri="http://schemas.openxmlformats.org/drawingml/2006/picture">
                <pic:pic xmlns:pic="http://schemas.openxmlformats.org/drawingml/2006/picture">
                  <pic:nvPicPr>
                    <pic:cNvPr id="274671" name="Picture 274671"/>
                    <pic:cNvPicPr/>
                  </pic:nvPicPr>
                  <pic:blipFill>
                    <a:blip r:embed="rId503"/>
                    <a:stretch>
                      <a:fillRect/>
                    </a:stretch>
                  </pic:blipFill>
                  <pic:spPr>
                    <a:xfrm>
                      <a:off x="0" y="0"/>
                      <a:ext cx="141732" cy="320040"/>
                    </a:xfrm>
                    <a:prstGeom prst="rect">
                      <a:avLst/>
                    </a:prstGeom>
                  </pic:spPr>
                </pic:pic>
              </a:graphicData>
            </a:graphic>
          </wp:anchor>
        </w:drawing>
      </w:r>
      <w:r>
        <w:rPr>
          <w:noProof/>
        </w:rPr>
        <w:drawing>
          <wp:anchor distT="0" distB="0" distL="114300" distR="114300" simplePos="0" relativeHeight="251923456" behindDoc="0" locked="0" layoutInCell="1" allowOverlap="0" wp14:anchorId="3464CBE9" wp14:editId="19EF71CE">
            <wp:simplePos x="0" y="0"/>
            <wp:positionH relativeFrom="page">
              <wp:posOffset>205740</wp:posOffset>
            </wp:positionH>
            <wp:positionV relativeFrom="page">
              <wp:posOffset>6021324</wp:posOffset>
            </wp:positionV>
            <wp:extent cx="146304" cy="315468"/>
            <wp:effectExtent l="0" t="0" r="0" b="0"/>
            <wp:wrapTopAndBottom/>
            <wp:docPr id="274672" name="Picture 274672"/>
            <wp:cNvGraphicFramePr/>
            <a:graphic xmlns:a="http://schemas.openxmlformats.org/drawingml/2006/main">
              <a:graphicData uri="http://schemas.openxmlformats.org/drawingml/2006/picture">
                <pic:pic xmlns:pic="http://schemas.openxmlformats.org/drawingml/2006/picture">
                  <pic:nvPicPr>
                    <pic:cNvPr id="274672" name="Picture 274672"/>
                    <pic:cNvPicPr/>
                  </pic:nvPicPr>
                  <pic:blipFill>
                    <a:blip r:embed="rId504"/>
                    <a:stretch>
                      <a:fillRect/>
                    </a:stretch>
                  </pic:blipFill>
                  <pic:spPr>
                    <a:xfrm>
                      <a:off x="0" y="0"/>
                      <a:ext cx="146304" cy="315468"/>
                    </a:xfrm>
                    <a:prstGeom prst="rect">
                      <a:avLst/>
                    </a:prstGeom>
                  </pic:spPr>
                </pic:pic>
              </a:graphicData>
            </a:graphic>
          </wp:anchor>
        </w:drawing>
      </w:r>
      <w:r>
        <w:rPr>
          <w:noProof/>
        </w:rPr>
        <w:drawing>
          <wp:anchor distT="0" distB="0" distL="114300" distR="114300" simplePos="0" relativeHeight="251924480" behindDoc="0" locked="0" layoutInCell="1" allowOverlap="0" wp14:anchorId="11ED9C3E" wp14:editId="638FB709">
            <wp:simplePos x="0" y="0"/>
            <wp:positionH relativeFrom="page">
              <wp:posOffset>205740</wp:posOffset>
            </wp:positionH>
            <wp:positionV relativeFrom="page">
              <wp:posOffset>6537960</wp:posOffset>
            </wp:positionV>
            <wp:extent cx="141732" cy="315468"/>
            <wp:effectExtent l="0" t="0" r="0" b="0"/>
            <wp:wrapTopAndBottom/>
            <wp:docPr id="274673" name="Picture 274673"/>
            <wp:cNvGraphicFramePr/>
            <a:graphic xmlns:a="http://schemas.openxmlformats.org/drawingml/2006/main">
              <a:graphicData uri="http://schemas.openxmlformats.org/drawingml/2006/picture">
                <pic:pic xmlns:pic="http://schemas.openxmlformats.org/drawingml/2006/picture">
                  <pic:nvPicPr>
                    <pic:cNvPr id="274673" name="Picture 274673"/>
                    <pic:cNvPicPr/>
                  </pic:nvPicPr>
                  <pic:blipFill>
                    <a:blip r:embed="rId505"/>
                    <a:stretch>
                      <a:fillRect/>
                    </a:stretch>
                  </pic:blipFill>
                  <pic:spPr>
                    <a:xfrm>
                      <a:off x="0" y="0"/>
                      <a:ext cx="141732" cy="315468"/>
                    </a:xfrm>
                    <a:prstGeom prst="rect">
                      <a:avLst/>
                    </a:prstGeom>
                  </pic:spPr>
                </pic:pic>
              </a:graphicData>
            </a:graphic>
          </wp:anchor>
        </w:drawing>
      </w:r>
      <w:r>
        <w:rPr>
          <w:noProof/>
        </w:rPr>
        <w:drawing>
          <wp:anchor distT="0" distB="0" distL="114300" distR="114300" simplePos="0" relativeHeight="251925504" behindDoc="0" locked="0" layoutInCell="1" allowOverlap="0" wp14:anchorId="1B6DBD2C" wp14:editId="5BFEFFD9">
            <wp:simplePos x="0" y="0"/>
            <wp:positionH relativeFrom="page">
              <wp:posOffset>201168</wp:posOffset>
            </wp:positionH>
            <wp:positionV relativeFrom="page">
              <wp:posOffset>7059168</wp:posOffset>
            </wp:positionV>
            <wp:extent cx="141732" cy="320040"/>
            <wp:effectExtent l="0" t="0" r="0" b="0"/>
            <wp:wrapTopAndBottom/>
            <wp:docPr id="274674" name="Picture 274674"/>
            <wp:cNvGraphicFramePr/>
            <a:graphic xmlns:a="http://schemas.openxmlformats.org/drawingml/2006/main">
              <a:graphicData uri="http://schemas.openxmlformats.org/drawingml/2006/picture">
                <pic:pic xmlns:pic="http://schemas.openxmlformats.org/drawingml/2006/picture">
                  <pic:nvPicPr>
                    <pic:cNvPr id="274674" name="Picture 274674"/>
                    <pic:cNvPicPr/>
                  </pic:nvPicPr>
                  <pic:blipFill>
                    <a:blip r:embed="rId506"/>
                    <a:stretch>
                      <a:fillRect/>
                    </a:stretch>
                  </pic:blipFill>
                  <pic:spPr>
                    <a:xfrm>
                      <a:off x="0" y="0"/>
                      <a:ext cx="141732" cy="320040"/>
                    </a:xfrm>
                    <a:prstGeom prst="rect">
                      <a:avLst/>
                    </a:prstGeom>
                  </pic:spPr>
                </pic:pic>
              </a:graphicData>
            </a:graphic>
          </wp:anchor>
        </w:drawing>
      </w:r>
      <w:r>
        <w:rPr>
          <w:noProof/>
        </w:rPr>
        <w:drawing>
          <wp:anchor distT="0" distB="0" distL="114300" distR="114300" simplePos="0" relativeHeight="251926528" behindDoc="0" locked="0" layoutInCell="1" allowOverlap="0" wp14:anchorId="60AA10E1" wp14:editId="77567AE6">
            <wp:simplePos x="0" y="0"/>
            <wp:positionH relativeFrom="page">
              <wp:posOffset>201168</wp:posOffset>
            </wp:positionH>
            <wp:positionV relativeFrom="page">
              <wp:posOffset>7575804</wp:posOffset>
            </wp:positionV>
            <wp:extent cx="141732" cy="310896"/>
            <wp:effectExtent l="0" t="0" r="0" b="0"/>
            <wp:wrapTopAndBottom/>
            <wp:docPr id="274676" name="Picture 274676"/>
            <wp:cNvGraphicFramePr/>
            <a:graphic xmlns:a="http://schemas.openxmlformats.org/drawingml/2006/main">
              <a:graphicData uri="http://schemas.openxmlformats.org/drawingml/2006/picture">
                <pic:pic xmlns:pic="http://schemas.openxmlformats.org/drawingml/2006/picture">
                  <pic:nvPicPr>
                    <pic:cNvPr id="274676" name="Picture 274676"/>
                    <pic:cNvPicPr/>
                  </pic:nvPicPr>
                  <pic:blipFill>
                    <a:blip r:embed="rId507"/>
                    <a:stretch>
                      <a:fillRect/>
                    </a:stretch>
                  </pic:blipFill>
                  <pic:spPr>
                    <a:xfrm>
                      <a:off x="0" y="0"/>
                      <a:ext cx="141732" cy="310896"/>
                    </a:xfrm>
                    <a:prstGeom prst="rect">
                      <a:avLst/>
                    </a:prstGeom>
                  </pic:spPr>
                </pic:pic>
              </a:graphicData>
            </a:graphic>
          </wp:anchor>
        </w:drawing>
      </w:r>
      <w:r>
        <w:rPr>
          <w:noProof/>
        </w:rPr>
        <w:drawing>
          <wp:anchor distT="0" distB="0" distL="114300" distR="114300" simplePos="0" relativeHeight="251927552" behindDoc="0" locked="0" layoutInCell="1" allowOverlap="0" wp14:anchorId="4BB5D0BA" wp14:editId="19153D20">
            <wp:simplePos x="0" y="0"/>
            <wp:positionH relativeFrom="page">
              <wp:posOffset>196596</wp:posOffset>
            </wp:positionH>
            <wp:positionV relativeFrom="page">
              <wp:posOffset>8092440</wp:posOffset>
            </wp:positionV>
            <wp:extent cx="146304" cy="310896"/>
            <wp:effectExtent l="0" t="0" r="0" b="0"/>
            <wp:wrapTopAndBottom/>
            <wp:docPr id="274686" name="Picture 274686"/>
            <wp:cNvGraphicFramePr/>
            <a:graphic xmlns:a="http://schemas.openxmlformats.org/drawingml/2006/main">
              <a:graphicData uri="http://schemas.openxmlformats.org/drawingml/2006/picture">
                <pic:pic xmlns:pic="http://schemas.openxmlformats.org/drawingml/2006/picture">
                  <pic:nvPicPr>
                    <pic:cNvPr id="274686" name="Picture 274686"/>
                    <pic:cNvPicPr/>
                  </pic:nvPicPr>
                  <pic:blipFill>
                    <a:blip r:embed="rId508"/>
                    <a:stretch>
                      <a:fillRect/>
                    </a:stretch>
                  </pic:blipFill>
                  <pic:spPr>
                    <a:xfrm>
                      <a:off x="0" y="0"/>
                      <a:ext cx="146304" cy="310896"/>
                    </a:xfrm>
                    <a:prstGeom prst="rect">
                      <a:avLst/>
                    </a:prstGeom>
                  </pic:spPr>
                </pic:pic>
              </a:graphicData>
            </a:graphic>
          </wp:anchor>
        </w:drawing>
      </w:r>
      <w:r>
        <w:rPr>
          <w:noProof/>
        </w:rPr>
        <w:drawing>
          <wp:anchor distT="0" distB="0" distL="114300" distR="114300" simplePos="0" relativeHeight="251928576" behindDoc="0" locked="0" layoutInCell="1" allowOverlap="0" wp14:anchorId="5ED6A806" wp14:editId="6BF8DF3E">
            <wp:simplePos x="0" y="0"/>
            <wp:positionH relativeFrom="page">
              <wp:posOffset>662940</wp:posOffset>
            </wp:positionH>
            <wp:positionV relativeFrom="page">
              <wp:posOffset>9226296</wp:posOffset>
            </wp:positionV>
            <wp:extent cx="1124712" cy="402336"/>
            <wp:effectExtent l="0" t="0" r="0" b="0"/>
            <wp:wrapTopAndBottom/>
            <wp:docPr id="274677" name="Picture 274677"/>
            <wp:cNvGraphicFramePr/>
            <a:graphic xmlns:a="http://schemas.openxmlformats.org/drawingml/2006/main">
              <a:graphicData uri="http://schemas.openxmlformats.org/drawingml/2006/picture">
                <pic:pic xmlns:pic="http://schemas.openxmlformats.org/drawingml/2006/picture">
                  <pic:nvPicPr>
                    <pic:cNvPr id="274677" name="Picture 274677"/>
                    <pic:cNvPicPr/>
                  </pic:nvPicPr>
                  <pic:blipFill>
                    <a:blip r:embed="rId509"/>
                    <a:stretch>
                      <a:fillRect/>
                    </a:stretch>
                  </pic:blipFill>
                  <pic:spPr>
                    <a:xfrm>
                      <a:off x="0" y="0"/>
                      <a:ext cx="1124712" cy="402336"/>
                    </a:xfrm>
                    <a:prstGeom prst="rect">
                      <a:avLst/>
                    </a:prstGeom>
                  </pic:spPr>
                </pic:pic>
              </a:graphicData>
            </a:graphic>
          </wp:anchor>
        </w:drawing>
      </w:r>
      <w:r>
        <w:rPr>
          <w:noProof/>
        </w:rPr>
        <mc:AlternateContent>
          <mc:Choice Requires="wpg">
            <w:drawing>
              <wp:anchor distT="0" distB="0" distL="114300" distR="114300" simplePos="0" relativeHeight="251929600" behindDoc="0" locked="0" layoutInCell="1" allowOverlap="1" wp14:anchorId="45995166" wp14:editId="25D483E8">
                <wp:simplePos x="0" y="0"/>
                <wp:positionH relativeFrom="page">
                  <wp:posOffset>1275588</wp:posOffset>
                </wp:positionH>
                <wp:positionV relativeFrom="page">
                  <wp:posOffset>809244</wp:posOffset>
                </wp:positionV>
                <wp:extent cx="5381244" cy="9144"/>
                <wp:effectExtent l="0" t="0" r="0" b="0"/>
                <wp:wrapTopAndBottom/>
                <wp:docPr id="2458276" name="Group 2458276"/>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275" name="Shape 2458275"/>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276" style="width:423.72pt;height:0.720009pt;position:absolute;mso-position-horizontal-relative:page;mso-position-horizontal:absolute;margin-left:100.44pt;mso-position-vertical-relative:page;margin-top:63.72pt;" coordsize="53812,91">
                <v:shape id="Shape 2458275" style="position:absolute;width:53812;height:91;left:0;top:0;" coordsize="5381244,9144" path="m0,4572l5381244,4572">
                  <v:stroke weight="0.720009pt" endcap="flat" joinstyle="miter" miterlimit="1" on="true" color="#000000"/>
                  <v:fill on="false" color="#000000"/>
                </v:shape>
                <w10:wrap type="topAndBottom"/>
              </v:group>
            </w:pict>
          </mc:Fallback>
        </mc:AlternateContent>
      </w:r>
    </w:p>
    <w:p w14:paraId="73ACA3BB" w14:textId="77777777" w:rsidR="00053D93" w:rsidRDefault="00260B75">
      <w:pPr>
        <w:spacing w:after="0"/>
        <w:ind w:left="828"/>
      </w:pPr>
      <w:r>
        <w:rPr>
          <w:noProof/>
        </w:rPr>
        <w:drawing>
          <wp:inline distT="0" distB="0" distL="0" distR="0" wp14:anchorId="64D52A8E" wp14:editId="60CE6A2B">
            <wp:extent cx="5097780" cy="7237476"/>
            <wp:effectExtent l="0" t="0" r="0" b="0"/>
            <wp:docPr id="2458273" name="Picture 2458273"/>
            <wp:cNvGraphicFramePr/>
            <a:graphic xmlns:a="http://schemas.openxmlformats.org/drawingml/2006/main">
              <a:graphicData uri="http://schemas.openxmlformats.org/drawingml/2006/picture">
                <pic:pic xmlns:pic="http://schemas.openxmlformats.org/drawingml/2006/picture">
                  <pic:nvPicPr>
                    <pic:cNvPr id="2458273" name="Picture 2458273"/>
                    <pic:cNvPicPr/>
                  </pic:nvPicPr>
                  <pic:blipFill>
                    <a:blip r:embed="rId510"/>
                    <a:stretch>
                      <a:fillRect/>
                    </a:stretch>
                  </pic:blipFill>
                  <pic:spPr>
                    <a:xfrm>
                      <a:off x="0" y="0"/>
                      <a:ext cx="5097780" cy="7237476"/>
                    </a:xfrm>
                    <a:prstGeom prst="rect">
                      <a:avLst/>
                    </a:prstGeom>
                  </pic:spPr>
                </pic:pic>
              </a:graphicData>
            </a:graphic>
          </wp:inline>
        </w:drawing>
      </w:r>
    </w:p>
    <w:p w14:paraId="41123B0A" w14:textId="77777777" w:rsidR="00053D93" w:rsidRDefault="00053D93">
      <w:pPr>
        <w:sectPr w:rsidR="00053D93">
          <w:headerReference w:type="even" r:id="rId511"/>
          <w:headerReference w:type="default" r:id="rId512"/>
          <w:footerReference w:type="even" r:id="rId513"/>
          <w:footerReference w:type="default" r:id="rId514"/>
          <w:headerReference w:type="first" r:id="rId515"/>
          <w:footerReference w:type="first" r:id="rId516"/>
          <w:pgSz w:w="12290" w:h="15883"/>
          <w:pgMar w:top="1440" w:right="1440" w:bottom="713" w:left="1440" w:header="727" w:footer="720" w:gutter="0"/>
          <w:cols w:space="720"/>
        </w:sectPr>
      </w:pPr>
    </w:p>
    <w:p w14:paraId="736FBD14" w14:textId="77777777" w:rsidR="00053D93" w:rsidRDefault="00260B75">
      <w:pPr>
        <w:spacing w:after="248"/>
        <w:ind w:left="-266" w:right="2851"/>
      </w:pPr>
      <w:r>
        <w:rPr>
          <w:noProof/>
        </w:rPr>
        <w:lastRenderedPageBreak/>
        <w:drawing>
          <wp:anchor distT="0" distB="0" distL="114300" distR="114300" simplePos="0" relativeHeight="251930624" behindDoc="0" locked="0" layoutInCell="1" allowOverlap="0" wp14:anchorId="69CBD2A1" wp14:editId="4B5C509D">
            <wp:simplePos x="0" y="0"/>
            <wp:positionH relativeFrom="page">
              <wp:posOffset>210312</wp:posOffset>
            </wp:positionH>
            <wp:positionV relativeFrom="page">
              <wp:posOffset>306324</wp:posOffset>
            </wp:positionV>
            <wp:extent cx="141732" cy="384048"/>
            <wp:effectExtent l="0" t="0" r="0" b="0"/>
            <wp:wrapTopAndBottom/>
            <wp:docPr id="277323" name="Picture 277323"/>
            <wp:cNvGraphicFramePr/>
            <a:graphic xmlns:a="http://schemas.openxmlformats.org/drawingml/2006/main">
              <a:graphicData uri="http://schemas.openxmlformats.org/drawingml/2006/picture">
                <pic:pic xmlns:pic="http://schemas.openxmlformats.org/drawingml/2006/picture">
                  <pic:nvPicPr>
                    <pic:cNvPr id="277323" name="Picture 277323"/>
                    <pic:cNvPicPr/>
                  </pic:nvPicPr>
                  <pic:blipFill>
                    <a:blip r:embed="rId517"/>
                    <a:stretch>
                      <a:fillRect/>
                    </a:stretch>
                  </pic:blipFill>
                  <pic:spPr>
                    <a:xfrm>
                      <a:off x="0" y="0"/>
                      <a:ext cx="141732" cy="384048"/>
                    </a:xfrm>
                    <a:prstGeom prst="rect">
                      <a:avLst/>
                    </a:prstGeom>
                  </pic:spPr>
                </pic:pic>
              </a:graphicData>
            </a:graphic>
          </wp:anchor>
        </w:drawing>
      </w:r>
      <w:r>
        <w:rPr>
          <w:noProof/>
        </w:rPr>
        <w:drawing>
          <wp:anchor distT="0" distB="0" distL="114300" distR="114300" simplePos="0" relativeHeight="251931648" behindDoc="0" locked="0" layoutInCell="1" allowOverlap="0" wp14:anchorId="2F8D86FB" wp14:editId="63800CE5">
            <wp:simplePos x="0" y="0"/>
            <wp:positionH relativeFrom="page">
              <wp:posOffset>4654296</wp:posOffset>
            </wp:positionH>
            <wp:positionV relativeFrom="page">
              <wp:posOffset>429768</wp:posOffset>
            </wp:positionV>
            <wp:extent cx="374904" cy="77724"/>
            <wp:effectExtent l="0" t="0" r="0" b="0"/>
            <wp:wrapSquare wrapText="bothSides"/>
            <wp:docPr id="2458277" name="Picture 2458277"/>
            <wp:cNvGraphicFramePr/>
            <a:graphic xmlns:a="http://schemas.openxmlformats.org/drawingml/2006/main">
              <a:graphicData uri="http://schemas.openxmlformats.org/drawingml/2006/picture">
                <pic:pic xmlns:pic="http://schemas.openxmlformats.org/drawingml/2006/picture">
                  <pic:nvPicPr>
                    <pic:cNvPr id="2458277" name="Picture 2458277"/>
                    <pic:cNvPicPr/>
                  </pic:nvPicPr>
                  <pic:blipFill>
                    <a:blip r:embed="rId518"/>
                    <a:stretch>
                      <a:fillRect/>
                    </a:stretch>
                  </pic:blipFill>
                  <pic:spPr>
                    <a:xfrm>
                      <a:off x="0" y="0"/>
                      <a:ext cx="374904" cy="77724"/>
                    </a:xfrm>
                    <a:prstGeom prst="rect">
                      <a:avLst/>
                    </a:prstGeom>
                  </pic:spPr>
                </pic:pic>
              </a:graphicData>
            </a:graphic>
          </wp:anchor>
        </w:drawing>
      </w:r>
    </w:p>
    <w:p w14:paraId="20B5AF4A" w14:textId="77777777" w:rsidR="00053D93" w:rsidRDefault="00260B75">
      <w:pPr>
        <w:spacing w:after="43"/>
        <w:ind w:left="1735"/>
      </w:pPr>
      <w:r>
        <w:rPr>
          <w:noProof/>
        </w:rPr>
        <mc:AlternateContent>
          <mc:Choice Requires="wpg">
            <w:drawing>
              <wp:inline distT="0" distB="0" distL="0" distR="0" wp14:anchorId="427B927F" wp14:editId="19AFDBCB">
                <wp:extent cx="5376672" cy="9144"/>
                <wp:effectExtent l="0" t="0" r="0" b="0"/>
                <wp:docPr id="2458284" name="Group 2458284"/>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283" name="Shape 2458283"/>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284" style="width:423.36pt;height:0.720001pt;mso-position-horizontal-relative:char;mso-position-vertical-relative:line" coordsize="53766,91">
                <v:shape id="Shape 2458283" style="position:absolute;width:53766;height:91;left:0;top:0;" coordsize="5376672,9144" path="m0,4572l5376672,4572">
                  <v:stroke weight="0.720001pt" endcap="flat" joinstyle="miter" miterlimit="1" on="true" color="#000000"/>
                  <v:fill on="false" color="#000000"/>
                </v:shape>
              </v:group>
            </w:pict>
          </mc:Fallback>
        </mc:AlternateContent>
      </w:r>
    </w:p>
    <w:p w14:paraId="751269A5" w14:textId="77777777" w:rsidR="00053D93" w:rsidRDefault="00260B75">
      <w:pPr>
        <w:spacing w:after="144"/>
        <w:ind w:left="65"/>
      </w:pPr>
      <w:r>
        <w:rPr>
          <w:noProof/>
        </w:rPr>
        <w:drawing>
          <wp:inline distT="0" distB="0" distL="0" distR="0" wp14:anchorId="0A8FC36E" wp14:editId="48490DC8">
            <wp:extent cx="141732" cy="384048"/>
            <wp:effectExtent l="0" t="0" r="0" b="0"/>
            <wp:docPr id="277325" name="Picture 277325"/>
            <wp:cNvGraphicFramePr/>
            <a:graphic xmlns:a="http://schemas.openxmlformats.org/drawingml/2006/main">
              <a:graphicData uri="http://schemas.openxmlformats.org/drawingml/2006/picture">
                <pic:pic xmlns:pic="http://schemas.openxmlformats.org/drawingml/2006/picture">
                  <pic:nvPicPr>
                    <pic:cNvPr id="277325" name="Picture 277325"/>
                    <pic:cNvPicPr/>
                  </pic:nvPicPr>
                  <pic:blipFill>
                    <a:blip r:embed="rId519"/>
                    <a:stretch>
                      <a:fillRect/>
                    </a:stretch>
                  </pic:blipFill>
                  <pic:spPr>
                    <a:xfrm>
                      <a:off x="0" y="0"/>
                      <a:ext cx="141732" cy="384048"/>
                    </a:xfrm>
                    <a:prstGeom prst="rect">
                      <a:avLst/>
                    </a:prstGeom>
                  </pic:spPr>
                </pic:pic>
              </a:graphicData>
            </a:graphic>
          </wp:inline>
        </w:drawing>
      </w:r>
    </w:p>
    <w:p w14:paraId="5E6BCEE2" w14:textId="77777777" w:rsidR="00053D93" w:rsidRDefault="00260B75">
      <w:pPr>
        <w:spacing w:after="158"/>
        <w:ind w:left="50"/>
      </w:pPr>
      <w:r>
        <w:rPr>
          <w:noProof/>
        </w:rPr>
        <w:drawing>
          <wp:inline distT="0" distB="0" distL="0" distR="0" wp14:anchorId="35A27BB0" wp14:editId="356FD419">
            <wp:extent cx="6359652" cy="7182612"/>
            <wp:effectExtent l="0" t="0" r="0" b="0"/>
            <wp:docPr id="2458279" name="Picture 2458279"/>
            <wp:cNvGraphicFramePr/>
            <a:graphic xmlns:a="http://schemas.openxmlformats.org/drawingml/2006/main">
              <a:graphicData uri="http://schemas.openxmlformats.org/drawingml/2006/picture">
                <pic:pic xmlns:pic="http://schemas.openxmlformats.org/drawingml/2006/picture">
                  <pic:nvPicPr>
                    <pic:cNvPr id="2458279" name="Picture 2458279"/>
                    <pic:cNvPicPr/>
                  </pic:nvPicPr>
                  <pic:blipFill>
                    <a:blip r:embed="rId520"/>
                    <a:stretch>
                      <a:fillRect/>
                    </a:stretch>
                  </pic:blipFill>
                  <pic:spPr>
                    <a:xfrm>
                      <a:off x="0" y="0"/>
                      <a:ext cx="6359652" cy="7182612"/>
                    </a:xfrm>
                    <a:prstGeom prst="rect">
                      <a:avLst/>
                    </a:prstGeom>
                  </pic:spPr>
                </pic:pic>
              </a:graphicData>
            </a:graphic>
          </wp:inline>
        </w:drawing>
      </w:r>
    </w:p>
    <w:p w14:paraId="68EC9C53" w14:textId="77777777" w:rsidR="00053D93" w:rsidRDefault="00260B75">
      <w:pPr>
        <w:spacing w:after="266"/>
        <w:ind w:left="43"/>
      </w:pPr>
      <w:r>
        <w:rPr>
          <w:noProof/>
        </w:rPr>
        <w:lastRenderedPageBreak/>
        <w:drawing>
          <wp:inline distT="0" distB="0" distL="0" distR="0" wp14:anchorId="1E288FA9" wp14:editId="151C124D">
            <wp:extent cx="160020" cy="347472"/>
            <wp:effectExtent l="0" t="0" r="0" b="0"/>
            <wp:docPr id="277320" name="Picture 277320"/>
            <wp:cNvGraphicFramePr/>
            <a:graphic xmlns:a="http://schemas.openxmlformats.org/drawingml/2006/main">
              <a:graphicData uri="http://schemas.openxmlformats.org/drawingml/2006/picture">
                <pic:pic xmlns:pic="http://schemas.openxmlformats.org/drawingml/2006/picture">
                  <pic:nvPicPr>
                    <pic:cNvPr id="277320" name="Picture 277320"/>
                    <pic:cNvPicPr/>
                  </pic:nvPicPr>
                  <pic:blipFill>
                    <a:blip r:embed="rId521"/>
                    <a:stretch>
                      <a:fillRect/>
                    </a:stretch>
                  </pic:blipFill>
                  <pic:spPr>
                    <a:xfrm>
                      <a:off x="0" y="0"/>
                      <a:ext cx="160020" cy="347472"/>
                    </a:xfrm>
                    <a:prstGeom prst="rect">
                      <a:avLst/>
                    </a:prstGeom>
                  </pic:spPr>
                </pic:pic>
              </a:graphicData>
            </a:graphic>
          </wp:inline>
        </w:drawing>
      </w:r>
    </w:p>
    <w:tbl>
      <w:tblPr>
        <w:tblStyle w:val="TableGrid"/>
        <w:tblW w:w="10166" w:type="dxa"/>
        <w:tblInd w:w="50" w:type="dxa"/>
        <w:tblLook w:val="04A0" w:firstRow="1" w:lastRow="0" w:firstColumn="1" w:lastColumn="0" w:noHBand="0" w:noVBand="1"/>
      </w:tblPr>
      <w:tblGrid>
        <w:gridCol w:w="1934"/>
        <w:gridCol w:w="8521"/>
      </w:tblGrid>
      <w:tr w:rsidR="00053D93" w14:paraId="2D6649C5" w14:textId="77777777">
        <w:trPr>
          <w:trHeight w:val="792"/>
        </w:trPr>
        <w:tc>
          <w:tcPr>
            <w:tcW w:w="2524" w:type="dxa"/>
            <w:tcBorders>
              <w:top w:val="nil"/>
              <w:left w:val="nil"/>
              <w:bottom w:val="nil"/>
              <w:right w:val="nil"/>
            </w:tcBorders>
          </w:tcPr>
          <w:p w14:paraId="58360F64" w14:textId="77777777" w:rsidR="00053D93" w:rsidRDefault="00260B75">
            <w:r>
              <w:rPr>
                <w:noProof/>
              </w:rPr>
              <w:drawing>
                <wp:inline distT="0" distB="0" distL="0" distR="0" wp14:anchorId="70F6C785" wp14:editId="46513852">
                  <wp:extent cx="1591056" cy="502920"/>
                  <wp:effectExtent l="0" t="0" r="0" b="0"/>
                  <wp:docPr id="2458281" name="Picture 2458281"/>
                  <wp:cNvGraphicFramePr/>
                  <a:graphic xmlns:a="http://schemas.openxmlformats.org/drawingml/2006/main">
                    <a:graphicData uri="http://schemas.openxmlformats.org/drawingml/2006/picture">
                      <pic:pic xmlns:pic="http://schemas.openxmlformats.org/drawingml/2006/picture">
                        <pic:nvPicPr>
                          <pic:cNvPr id="2458281" name="Picture 2458281"/>
                          <pic:cNvPicPr/>
                        </pic:nvPicPr>
                        <pic:blipFill>
                          <a:blip r:embed="rId522"/>
                          <a:stretch>
                            <a:fillRect/>
                          </a:stretch>
                        </pic:blipFill>
                        <pic:spPr>
                          <a:xfrm>
                            <a:off x="0" y="0"/>
                            <a:ext cx="1591056" cy="502920"/>
                          </a:xfrm>
                          <a:prstGeom prst="rect">
                            <a:avLst/>
                          </a:prstGeom>
                        </pic:spPr>
                      </pic:pic>
                    </a:graphicData>
                  </a:graphic>
                </wp:inline>
              </w:drawing>
            </w:r>
          </w:p>
        </w:tc>
        <w:tc>
          <w:tcPr>
            <w:tcW w:w="7643" w:type="dxa"/>
            <w:tcBorders>
              <w:top w:val="nil"/>
              <w:left w:val="nil"/>
              <w:bottom w:val="nil"/>
              <w:right w:val="nil"/>
            </w:tcBorders>
          </w:tcPr>
          <w:p w14:paraId="2CF9571B" w14:textId="77777777" w:rsidR="00053D93" w:rsidRDefault="00053D93">
            <w:pPr>
              <w:ind w:left="-2840" w:right="10483"/>
            </w:pPr>
          </w:p>
          <w:tbl>
            <w:tblPr>
              <w:tblStyle w:val="TableGrid"/>
              <w:tblW w:w="7625" w:type="dxa"/>
              <w:tblInd w:w="18" w:type="dxa"/>
              <w:tblCellMar>
                <w:top w:w="31" w:type="dxa"/>
                <w:left w:w="1735" w:type="dxa"/>
                <w:right w:w="115" w:type="dxa"/>
              </w:tblCellMar>
              <w:tblLook w:val="04A0" w:firstRow="1" w:lastRow="0" w:firstColumn="1" w:lastColumn="0" w:noHBand="0" w:noVBand="1"/>
            </w:tblPr>
            <w:tblGrid>
              <w:gridCol w:w="7625"/>
            </w:tblGrid>
            <w:tr w:rsidR="00053D93" w14:paraId="3DD1AE4D" w14:textId="77777777">
              <w:trPr>
                <w:trHeight w:val="40"/>
              </w:trPr>
              <w:tc>
                <w:tcPr>
                  <w:tcW w:w="7625" w:type="dxa"/>
                  <w:tcBorders>
                    <w:top w:val="nil"/>
                    <w:left w:val="single" w:sz="2" w:space="0" w:color="000000"/>
                    <w:bottom w:val="single" w:sz="2" w:space="0" w:color="000000"/>
                    <w:right w:val="nil"/>
                  </w:tcBorders>
                </w:tcPr>
                <w:p w14:paraId="748F703C" w14:textId="77777777" w:rsidR="00053D93" w:rsidRDefault="00053D93"/>
              </w:tc>
            </w:tr>
            <w:tr w:rsidR="00053D93" w14:paraId="53550A60" w14:textId="77777777">
              <w:trPr>
                <w:trHeight w:val="600"/>
              </w:trPr>
              <w:tc>
                <w:tcPr>
                  <w:tcW w:w="7625" w:type="dxa"/>
                  <w:tcBorders>
                    <w:top w:val="single" w:sz="2" w:space="0" w:color="000000"/>
                    <w:left w:val="single" w:sz="2" w:space="0" w:color="000000"/>
                    <w:bottom w:val="nil"/>
                    <w:right w:val="nil"/>
                  </w:tcBorders>
                </w:tcPr>
                <w:p w14:paraId="3018873B" w14:textId="77777777" w:rsidR="00053D93" w:rsidRDefault="00260B75">
                  <w:pPr>
                    <w:ind w:left="835"/>
                  </w:pPr>
                  <w:r>
                    <w:rPr>
                      <w:sz w:val="14"/>
                    </w:rPr>
                    <w:t>MINISTERIO OE EDUCACION</w:t>
                  </w:r>
                </w:p>
                <w:p w14:paraId="3808B24F" w14:textId="77777777" w:rsidR="00053D93" w:rsidRDefault="00260B75">
                  <w:pPr>
                    <w:ind w:left="338"/>
                  </w:pPr>
                  <w:r>
                    <w:rPr>
                      <w:sz w:val="14"/>
                    </w:rPr>
                    <w:t>AUDITORIA FINANCIERA Y DE CUMPLIMIENTO</w:t>
                  </w:r>
                </w:p>
                <w:p w14:paraId="40AD4C4D" w14:textId="77777777" w:rsidR="00053D93" w:rsidRDefault="00260B75">
                  <w:r>
                    <w:rPr>
                      <w:sz w:val="14"/>
                    </w:rPr>
                    <w:t>PERIODO DEL 01 DE ENERO AL 31 DE DICIEMBRE OE 2024</w:t>
                  </w:r>
                </w:p>
              </w:tc>
            </w:tr>
          </w:tbl>
          <w:p w14:paraId="007BEE01" w14:textId="77777777" w:rsidR="00053D93" w:rsidRDefault="00053D93"/>
        </w:tc>
      </w:tr>
    </w:tbl>
    <w:p w14:paraId="4828E741" w14:textId="77777777" w:rsidR="00053D93" w:rsidRDefault="00260B75">
      <w:pPr>
        <w:spacing w:after="1109"/>
        <w:ind w:left="1591" w:right="-482"/>
      </w:pPr>
      <w:r>
        <w:rPr>
          <w:noProof/>
        </w:rPr>
        <w:drawing>
          <wp:inline distT="0" distB="0" distL="0" distR="0" wp14:anchorId="34EA7722" wp14:editId="21E928EC">
            <wp:extent cx="5966461" cy="516636"/>
            <wp:effectExtent l="0" t="0" r="0" b="0"/>
            <wp:docPr id="2458285" name="Picture 2458285"/>
            <wp:cNvGraphicFramePr/>
            <a:graphic xmlns:a="http://schemas.openxmlformats.org/drawingml/2006/main">
              <a:graphicData uri="http://schemas.openxmlformats.org/drawingml/2006/picture">
                <pic:pic xmlns:pic="http://schemas.openxmlformats.org/drawingml/2006/picture">
                  <pic:nvPicPr>
                    <pic:cNvPr id="2458285" name="Picture 2458285"/>
                    <pic:cNvPicPr/>
                  </pic:nvPicPr>
                  <pic:blipFill>
                    <a:blip r:embed="rId523"/>
                    <a:stretch>
                      <a:fillRect/>
                    </a:stretch>
                  </pic:blipFill>
                  <pic:spPr>
                    <a:xfrm>
                      <a:off x="0" y="0"/>
                      <a:ext cx="5966461" cy="516636"/>
                    </a:xfrm>
                    <a:prstGeom prst="rect">
                      <a:avLst/>
                    </a:prstGeom>
                  </pic:spPr>
                </pic:pic>
              </a:graphicData>
            </a:graphic>
          </wp:inline>
        </w:drawing>
      </w:r>
    </w:p>
    <w:p w14:paraId="643C820A" w14:textId="77777777" w:rsidR="00053D93" w:rsidRDefault="00260B75">
      <w:pPr>
        <w:spacing w:after="1368"/>
        <w:ind w:left="1966"/>
      </w:pPr>
      <w:r>
        <w:rPr>
          <w:noProof/>
        </w:rPr>
        <w:lastRenderedPageBreak/>
        <w:drawing>
          <wp:inline distT="0" distB="0" distL="0" distR="0" wp14:anchorId="08D3A9D9" wp14:editId="3B27A194">
            <wp:extent cx="4946904" cy="6798565"/>
            <wp:effectExtent l="0" t="0" r="0" b="0"/>
            <wp:docPr id="2458287" name="Picture 2458287"/>
            <wp:cNvGraphicFramePr/>
            <a:graphic xmlns:a="http://schemas.openxmlformats.org/drawingml/2006/main">
              <a:graphicData uri="http://schemas.openxmlformats.org/drawingml/2006/picture">
                <pic:pic xmlns:pic="http://schemas.openxmlformats.org/drawingml/2006/picture">
                  <pic:nvPicPr>
                    <pic:cNvPr id="2458287" name="Picture 2458287"/>
                    <pic:cNvPicPr/>
                  </pic:nvPicPr>
                  <pic:blipFill>
                    <a:blip r:embed="rId524"/>
                    <a:stretch>
                      <a:fillRect/>
                    </a:stretch>
                  </pic:blipFill>
                  <pic:spPr>
                    <a:xfrm>
                      <a:off x="0" y="0"/>
                      <a:ext cx="4946904" cy="6798565"/>
                    </a:xfrm>
                    <a:prstGeom prst="rect">
                      <a:avLst/>
                    </a:prstGeom>
                  </pic:spPr>
                </pic:pic>
              </a:graphicData>
            </a:graphic>
          </wp:inline>
        </w:drawing>
      </w:r>
    </w:p>
    <w:p w14:paraId="00559E7E" w14:textId="77777777" w:rsidR="00053D93" w:rsidRDefault="00260B75">
      <w:pPr>
        <w:spacing w:after="259"/>
        <w:ind w:left="1562"/>
      </w:pPr>
      <w:r>
        <w:rPr>
          <w:noProof/>
        </w:rPr>
        <mc:AlternateContent>
          <mc:Choice Requires="wpg">
            <w:drawing>
              <wp:inline distT="0" distB="0" distL="0" distR="0" wp14:anchorId="7A6E89FF" wp14:editId="7DB0F6AA">
                <wp:extent cx="5408676" cy="13716"/>
                <wp:effectExtent l="0" t="0" r="0" b="0"/>
                <wp:docPr id="2458292" name="Group 2458292"/>
                <wp:cNvGraphicFramePr/>
                <a:graphic xmlns:a="http://schemas.openxmlformats.org/drawingml/2006/main">
                  <a:graphicData uri="http://schemas.microsoft.com/office/word/2010/wordprocessingGroup">
                    <wpg:wgp>
                      <wpg:cNvGrpSpPr/>
                      <wpg:grpSpPr>
                        <a:xfrm>
                          <a:off x="0" y="0"/>
                          <a:ext cx="5408676" cy="13716"/>
                          <a:chOff x="0" y="0"/>
                          <a:chExt cx="5408676" cy="13716"/>
                        </a:xfrm>
                      </wpg:grpSpPr>
                      <wps:wsp>
                        <wps:cNvPr id="2458291" name="Shape 2458291"/>
                        <wps:cNvSpPr/>
                        <wps:spPr>
                          <a:xfrm>
                            <a:off x="0" y="0"/>
                            <a:ext cx="5408676" cy="13716"/>
                          </a:xfrm>
                          <a:custGeom>
                            <a:avLst/>
                            <a:gdLst/>
                            <a:ahLst/>
                            <a:cxnLst/>
                            <a:rect l="0" t="0" r="0" b="0"/>
                            <a:pathLst>
                              <a:path w="5408676" h="13716">
                                <a:moveTo>
                                  <a:pt x="0" y="6858"/>
                                </a:moveTo>
                                <a:lnTo>
                                  <a:pt x="540867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292" style="width:425.88pt;height:1.08002pt;mso-position-horizontal-relative:char;mso-position-vertical-relative:line" coordsize="54086,137">
                <v:shape id="Shape 2458291" style="position:absolute;width:54086;height:137;left:0;top:0;" coordsize="5408676,13716" path="m0,6858l5408676,6858">
                  <v:stroke weight="1.08002pt" endcap="flat" joinstyle="miter" miterlimit="1" on="true" color="#000000"/>
                  <v:fill on="false" color="#000000"/>
                </v:shape>
              </v:group>
            </w:pict>
          </mc:Fallback>
        </mc:AlternateContent>
      </w:r>
    </w:p>
    <w:p w14:paraId="6FADE79E" w14:textId="77777777" w:rsidR="00053D93" w:rsidRDefault="00260B75">
      <w:pPr>
        <w:spacing w:after="3" w:line="265" w:lineRule="auto"/>
        <w:ind w:left="1580" w:hanging="10"/>
      </w:pPr>
      <w:r>
        <w:rPr>
          <w:noProof/>
        </w:rPr>
        <w:lastRenderedPageBreak/>
        <w:drawing>
          <wp:anchor distT="0" distB="0" distL="114300" distR="114300" simplePos="0" relativeHeight="251932672" behindDoc="0" locked="0" layoutInCell="1" allowOverlap="0" wp14:anchorId="08F3E1DB" wp14:editId="0F2C390C">
            <wp:simplePos x="0" y="0"/>
            <wp:positionH relativeFrom="page">
              <wp:posOffset>7411212</wp:posOffset>
            </wp:positionH>
            <wp:positionV relativeFrom="page">
              <wp:posOffset>6592824</wp:posOffset>
            </wp:positionV>
            <wp:extent cx="105156" cy="749809"/>
            <wp:effectExtent l="0" t="0" r="0" b="0"/>
            <wp:wrapTopAndBottom/>
            <wp:docPr id="279451" name="Picture 279451"/>
            <wp:cNvGraphicFramePr/>
            <a:graphic xmlns:a="http://schemas.openxmlformats.org/drawingml/2006/main">
              <a:graphicData uri="http://schemas.openxmlformats.org/drawingml/2006/picture">
                <pic:pic xmlns:pic="http://schemas.openxmlformats.org/drawingml/2006/picture">
                  <pic:nvPicPr>
                    <pic:cNvPr id="279451" name="Picture 279451"/>
                    <pic:cNvPicPr/>
                  </pic:nvPicPr>
                  <pic:blipFill>
                    <a:blip r:embed="rId525"/>
                    <a:stretch>
                      <a:fillRect/>
                    </a:stretch>
                  </pic:blipFill>
                  <pic:spPr>
                    <a:xfrm>
                      <a:off x="0" y="0"/>
                      <a:ext cx="105156" cy="749809"/>
                    </a:xfrm>
                    <a:prstGeom prst="rect">
                      <a:avLst/>
                    </a:prstGeom>
                  </pic:spPr>
                </pic:pic>
              </a:graphicData>
            </a:graphic>
          </wp:anchor>
        </w:drawing>
      </w:r>
      <w:r>
        <w:rPr>
          <w:noProof/>
        </w:rPr>
        <w:drawing>
          <wp:anchor distT="0" distB="0" distL="114300" distR="114300" simplePos="0" relativeHeight="251933696" behindDoc="0" locked="0" layoutInCell="1" allowOverlap="0" wp14:anchorId="2E953476" wp14:editId="2D0A6810">
            <wp:simplePos x="0" y="0"/>
            <wp:positionH relativeFrom="page">
              <wp:posOffset>7397496</wp:posOffset>
            </wp:positionH>
            <wp:positionV relativeFrom="page">
              <wp:posOffset>8225028</wp:posOffset>
            </wp:positionV>
            <wp:extent cx="41149" cy="470916"/>
            <wp:effectExtent l="0" t="0" r="0" b="0"/>
            <wp:wrapTopAndBottom/>
            <wp:docPr id="279452" name="Picture 279452"/>
            <wp:cNvGraphicFramePr/>
            <a:graphic xmlns:a="http://schemas.openxmlformats.org/drawingml/2006/main">
              <a:graphicData uri="http://schemas.openxmlformats.org/drawingml/2006/picture">
                <pic:pic xmlns:pic="http://schemas.openxmlformats.org/drawingml/2006/picture">
                  <pic:nvPicPr>
                    <pic:cNvPr id="279452" name="Picture 279452"/>
                    <pic:cNvPicPr/>
                  </pic:nvPicPr>
                  <pic:blipFill>
                    <a:blip r:embed="rId526"/>
                    <a:stretch>
                      <a:fillRect/>
                    </a:stretch>
                  </pic:blipFill>
                  <pic:spPr>
                    <a:xfrm>
                      <a:off x="0" y="0"/>
                      <a:ext cx="41149" cy="470916"/>
                    </a:xfrm>
                    <a:prstGeom prst="rect">
                      <a:avLst/>
                    </a:prstGeom>
                  </pic:spPr>
                </pic:pic>
              </a:graphicData>
            </a:graphic>
          </wp:anchor>
        </w:drawing>
      </w:r>
      <w:r>
        <w:rPr>
          <w:noProof/>
        </w:rPr>
        <w:drawing>
          <wp:inline distT="0" distB="0" distL="0" distR="0" wp14:anchorId="0346F573" wp14:editId="5442E2C4">
            <wp:extent cx="4809744" cy="182880"/>
            <wp:effectExtent l="0" t="0" r="0" b="0"/>
            <wp:docPr id="2458289" name="Picture 2458289"/>
            <wp:cNvGraphicFramePr/>
            <a:graphic xmlns:a="http://schemas.openxmlformats.org/drawingml/2006/main">
              <a:graphicData uri="http://schemas.openxmlformats.org/drawingml/2006/picture">
                <pic:pic xmlns:pic="http://schemas.openxmlformats.org/drawingml/2006/picture">
                  <pic:nvPicPr>
                    <pic:cNvPr id="2458289" name="Picture 2458289"/>
                    <pic:cNvPicPr/>
                  </pic:nvPicPr>
                  <pic:blipFill>
                    <a:blip r:embed="rId527"/>
                    <a:stretch>
                      <a:fillRect/>
                    </a:stretch>
                  </pic:blipFill>
                  <pic:spPr>
                    <a:xfrm>
                      <a:off x="0" y="0"/>
                      <a:ext cx="4809744" cy="182880"/>
                    </a:xfrm>
                    <a:prstGeom prst="rect">
                      <a:avLst/>
                    </a:prstGeom>
                  </pic:spPr>
                </pic:pic>
              </a:graphicData>
            </a:graphic>
          </wp:inline>
        </w:drawing>
      </w:r>
      <w:r>
        <w:rPr>
          <w:sz w:val="14"/>
        </w:rPr>
        <w:t>VIUOWUNOO</w:t>
      </w:r>
    </w:p>
    <w:p w14:paraId="7D9B79CE" w14:textId="77777777" w:rsidR="00053D93" w:rsidRDefault="00260B75">
      <w:pPr>
        <w:tabs>
          <w:tab w:val="center" w:pos="2015"/>
          <w:tab w:val="right" w:pos="10505"/>
        </w:tabs>
        <w:spacing w:after="54"/>
        <w:ind w:right="-15"/>
      </w:pPr>
      <w:r>
        <w:rPr>
          <w:sz w:val="24"/>
        </w:rPr>
        <w:tab/>
      </w:r>
      <w:r>
        <w:rPr>
          <w:noProof/>
        </w:rPr>
        <w:drawing>
          <wp:inline distT="0" distB="0" distL="0" distR="0" wp14:anchorId="25025691" wp14:editId="65BFCF97">
            <wp:extent cx="960120" cy="411480"/>
            <wp:effectExtent l="0" t="0" r="0" b="0"/>
            <wp:docPr id="285205" name="Picture 285205"/>
            <wp:cNvGraphicFramePr/>
            <a:graphic xmlns:a="http://schemas.openxmlformats.org/drawingml/2006/main">
              <a:graphicData uri="http://schemas.openxmlformats.org/drawingml/2006/picture">
                <pic:pic xmlns:pic="http://schemas.openxmlformats.org/drawingml/2006/picture">
                  <pic:nvPicPr>
                    <pic:cNvPr id="285205" name="Picture 285205"/>
                    <pic:cNvPicPr/>
                  </pic:nvPicPr>
                  <pic:blipFill>
                    <a:blip r:embed="rId528"/>
                    <a:stretch>
                      <a:fillRect/>
                    </a:stretch>
                  </pic:blipFill>
                  <pic:spPr>
                    <a:xfrm>
                      <a:off x="0" y="0"/>
                      <a:ext cx="960120" cy="411480"/>
                    </a:xfrm>
                    <a:prstGeom prst="rect">
                      <a:avLst/>
                    </a:prstGeom>
                  </pic:spPr>
                </pic:pic>
              </a:graphicData>
            </a:graphic>
          </wp:inline>
        </w:drawing>
      </w:r>
      <w:r>
        <w:rPr>
          <w:rFonts w:ascii="Times New Roman" w:eastAsia="Times New Roman" w:hAnsi="Times New Roman" w:cs="Times New Roman"/>
          <w:sz w:val="24"/>
        </w:rPr>
        <w:tab/>
        <w:t xml:space="preserve">go construyen ernnnzaConfi </w:t>
      </w:r>
    </w:p>
    <w:p w14:paraId="509CC128" w14:textId="77777777" w:rsidR="00053D93" w:rsidRDefault="00260B75">
      <w:pPr>
        <w:spacing w:after="1439"/>
        <w:ind w:left="1678"/>
      </w:pPr>
      <w:r>
        <w:rPr>
          <w:rFonts w:ascii="Courier New" w:eastAsia="Courier New" w:hAnsi="Courier New" w:cs="Courier New"/>
          <w:sz w:val="8"/>
        </w:rPr>
        <w:t>GUATE..-tA1.A</w:t>
      </w:r>
      <w:r>
        <w:rPr>
          <w:noProof/>
        </w:rPr>
        <w:drawing>
          <wp:inline distT="0" distB="0" distL="0" distR="0" wp14:anchorId="0A8BC8AC" wp14:editId="2F9E28C8">
            <wp:extent cx="109728" cy="54864"/>
            <wp:effectExtent l="0" t="0" r="0" b="0"/>
            <wp:docPr id="285086" name="Picture 285086"/>
            <wp:cNvGraphicFramePr/>
            <a:graphic xmlns:a="http://schemas.openxmlformats.org/drawingml/2006/main">
              <a:graphicData uri="http://schemas.openxmlformats.org/drawingml/2006/picture">
                <pic:pic xmlns:pic="http://schemas.openxmlformats.org/drawingml/2006/picture">
                  <pic:nvPicPr>
                    <pic:cNvPr id="285086" name="Picture 285086"/>
                    <pic:cNvPicPr/>
                  </pic:nvPicPr>
                  <pic:blipFill>
                    <a:blip r:embed="rId529"/>
                    <a:stretch>
                      <a:fillRect/>
                    </a:stretch>
                  </pic:blipFill>
                  <pic:spPr>
                    <a:xfrm>
                      <a:off x="0" y="0"/>
                      <a:ext cx="109728" cy="54864"/>
                    </a:xfrm>
                    <a:prstGeom prst="rect">
                      <a:avLst/>
                    </a:prstGeom>
                  </pic:spPr>
                </pic:pic>
              </a:graphicData>
            </a:graphic>
          </wp:inline>
        </w:drawing>
      </w:r>
    </w:p>
    <w:p w14:paraId="28AAF5F9" w14:textId="77777777" w:rsidR="00053D93" w:rsidRDefault="00260B75">
      <w:pPr>
        <w:pStyle w:val="Ttulo3"/>
        <w:ind w:left="0" w:right="1231" w:firstLine="3053"/>
      </w:pPr>
      <w:r>
        <w:t>INFORME RELACIONADO CON EL CONTROL INTERNO</w:t>
      </w:r>
    </w:p>
    <w:p w14:paraId="41AB0E26" w14:textId="77777777" w:rsidR="00053D93" w:rsidRDefault="00260B75">
      <w:pPr>
        <w:spacing w:after="3" w:line="261" w:lineRule="auto"/>
        <w:ind w:right="1231" w:firstLine="3053"/>
        <w:jc w:val="both"/>
      </w:pPr>
      <w:r>
        <w:rPr>
          <w:rFonts w:ascii="Times New Roman" w:eastAsia="Times New Roman" w:hAnsi="Times New Roman" w:cs="Times New Roman"/>
          <w:sz w:val="72"/>
        </w:rPr>
        <w:t>1</w:t>
      </w:r>
      <w:r>
        <w:rPr>
          <w:noProof/>
        </w:rPr>
        <w:drawing>
          <wp:inline distT="0" distB="0" distL="0" distR="0" wp14:anchorId="618F4045" wp14:editId="4FA17912">
            <wp:extent cx="59436" cy="36576"/>
            <wp:effectExtent l="0" t="0" r="0" b="0"/>
            <wp:docPr id="285087" name="Picture 285087"/>
            <wp:cNvGraphicFramePr/>
            <a:graphic xmlns:a="http://schemas.openxmlformats.org/drawingml/2006/main">
              <a:graphicData uri="http://schemas.openxmlformats.org/drawingml/2006/picture">
                <pic:pic xmlns:pic="http://schemas.openxmlformats.org/drawingml/2006/picture">
                  <pic:nvPicPr>
                    <pic:cNvPr id="285087" name="Picture 285087"/>
                    <pic:cNvPicPr/>
                  </pic:nvPicPr>
                  <pic:blipFill>
                    <a:blip r:embed="rId530"/>
                    <a:stretch>
                      <a:fillRect/>
                    </a:stretch>
                  </pic:blipFill>
                  <pic:spPr>
                    <a:xfrm>
                      <a:off x="0" y="0"/>
                      <a:ext cx="59436" cy="36576"/>
                    </a:xfrm>
                    <a:prstGeom prst="rect">
                      <a:avLst/>
                    </a:prstGeom>
                  </pic:spPr>
                </pic:pic>
              </a:graphicData>
            </a:graphic>
          </wp:inline>
        </w:drawing>
      </w:r>
    </w:p>
    <w:p w14:paraId="5A4AA696" w14:textId="77777777" w:rsidR="00053D93" w:rsidRDefault="00260B75">
      <w:pPr>
        <w:spacing w:after="17" w:line="247" w:lineRule="auto"/>
        <w:ind w:left="1865" w:right="14" w:firstLine="4"/>
        <w:jc w:val="both"/>
      </w:pPr>
      <w:r>
        <w:rPr>
          <w:sz w:val="26"/>
        </w:rPr>
        <w:t>Licenciada</w:t>
      </w:r>
    </w:p>
    <w:p w14:paraId="7CE5C013" w14:textId="77777777" w:rsidR="00053D93" w:rsidRDefault="00260B75">
      <w:pPr>
        <w:spacing w:after="17" w:line="247" w:lineRule="auto"/>
        <w:ind w:left="1850" w:right="14" w:firstLine="4"/>
        <w:jc w:val="both"/>
      </w:pPr>
      <w:r>
        <w:rPr>
          <w:sz w:val="26"/>
        </w:rPr>
        <w:t>Anabella María Giracca Méndez de Castellanos</w:t>
      </w:r>
    </w:p>
    <w:p w14:paraId="15069536" w14:textId="77777777" w:rsidR="00053D93" w:rsidRDefault="00260B75">
      <w:pPr>
        <w:spacing w:after="17" w:line="247" w:lineRule="auto"/>
        <w:ind w:left="1858" w:right="14" w:firstLine="4"/>
        <w:jc w:val="both"/>
      </w:pPr>
      <w:r>
        <w:rPr>
          <w:sz w:val="26"/>
        </w:rPr>
        <w:t>Ministra de Educacion</w:t>
      </w:r>
    </w:p>
    <w:p w14:paraId="3896F948" w14:textId="77777777" w:rsidR="00053D93" w:rsidRDefault="00260B75">
      <w:pPr>
        <w:spacing w:after="18" w:line="248" w:lineRule="auto"/>
        <w:ind w:left="1861" w:hanging="3"/>
        <w:jc w:val="both"/>
      </w:pPr>
      <w:r>
        <w:rPr>
          <w:sz w:val="28"/>
        </w:rPr>
        <w:t>MINISTERIO DE EDUCACION</w:t>
      </w:r>
    </w:p>
    <w:p w14:paraId="12E60FA2" w14:textId="77777777" w:rsidR="00053D93" w:rsidRDefault="00260B75">
      <w:pPr>
        <w:spacing w:after="262" w:line="247" w:lineRule="auto"/>
        <w:ind w:left="1858" w:right="14" w:firstLine="4"/>
        <w:jc w:val="both"/>
      </w:pPr>
      <w:r>
        <w:rPr>
          <w:sz w:val="26"/>
        </w:rPr>
        <w:t>Su Despacho</w:t>
      </w:r>
    </w:p>
    <w:p w14:paraId="1EF2707A" w14:textId="77777777" w:rsidR="00053D93" w:rsidRDefault="00260B75">
      <w:pPr>
        <w:spacing w:after="14" w:line="223" w:lineRule="auto"/>
        <w:ind w:left="137" w:firstLine="1728"/>
      </w:pPr>
      <w:r>
        <w:rPr>
          <w:noProof/>
        </w:rPr>
        <w:drawing>
          <wp:anchor distT="0" distB="0" distL="114300" distR="114300" simplePos="0" relativeHeight="251934720" behindDoc="0" locked="0" layoutInCell="1" allowOverlap="0" wp14:anchorId="00AE97DC" wp14:editId="4504911D">
            <wp:simplePos x="0" y="0"/>
            <wp:positionH relativeFrom="page">
              <wp:posOffset>265176</wp:posOffset>
            </wp:positionH>
            <wp:positionV relativeFrom="page">
              <wp:posOffset>9217152</wp:posOffset>
            </wp:positionV>
            <wp:extent cx="7525512" cy="786384"/>
            <wp:effectExtent l="0" t="0" r="0" b="0"/>
            <wp:wrapSquare wrapText="bothSides"/>
            <wp:docPr id="2458293" name="Picture 2458293"/>
            <wp:cNvGraphicFramePr/>
            <a:graphic xmlns:a="http://schemas.openxmlformats.org/drawingml/2006/main">
              <a:graphicData uri="http://schemas.openxmlformats.org/drawingml/2006/picture">
                <pic:pic xmlns:pic="http://schemas.openxmlformats.org/drawingml/2006/picture">
                  <pic:nvPicPr>
                    <pic:cNvPr id="2458293" name="Picture 2458293"/>
                    <pic:cNvPicPr/>
                  </pic:nvPicPr>
                  <pic:blipFill>
                    <a:blip r:embed="rId531"/>
                    <a:stretch>
                      <a:fillRect/>
                    </a:stretch>
                  </pic:blipFill>
                  <pic:spPr>
                    <a:xfrm>
                      <a:off x="0" y="0"/>
                      <a:ext cx="7525512" cy="786384"/>
                    </a:xfrm>
                    <a:prstGeom prst="rect">
                      <a:avLst/>
                    </a:prstGeom>
                  </pic:spPr>
                </pic:pic>
              </a:graphicData>
            </a:graphic>
          </wp:anchor>
        </w:drawing>
      </w:r>
      <w:r>
        <w:rPr>
          <w:sz w:val="26"/>
        </w:rPr>
        <w:t xml:space="preserve">En relación a la auditoría financiera y de cumplimiento a (el) (la) MINISTERIO DE EDUCACION por el año que finalizó el 31 de diciembre de 2024, con el objetivo de </w:t>
      </w:r>
      <w:r>
        <w:rPr>
          <w:noProof/>
        </w:rPr>
        <w:drawing>
          <wp:inline distT="0" distB="0" distL="0" distR="0" wp14:anchorId="5B3FD63C" wp14:editId="3B0A92CA">
            <wp:extent cx="13716" cy="18288"/>
            <wp:effectExtent l="0" t="0" r="0" b="0"/>
            <wp:docPr id="285206" name="Picture 285206"/>
            <wp:cNvGraphicFramePr/>
            <a:graphic xmlns:a="http://schemas.openxmlformats.org/drawingml/2006/main">
              <a:graphicData uri="http://schemas.openxmlformats.org/drawingml/2006/picture">
                <pic:pic xmlns:pic="http://schemas.openxmlformats.org/drawingml/2006/picture">
                  <pic:nvPicPr>
                    <pic:cNvPr id="285206" name="Picture 285206"/>
                    <pic:cNvPicPr/>
                  </pic:nvPicPr>
                  <pic:blipFill>
                    <a:blip r:embed="rId532"/>
                    <a:stretch>
                      <a:fillRect/>
                    </a:stretch>
                  </pic:blipFill>
                  <pic:spPr>
                    <a:xfrm>
                      <a:off x="0" y="0"/>
                      <a:ext cx="13716" cy="18288"/>
                    </a:xfrm>
                    <a:prstGeom prst="rect">
                      <a:avLst/>
                    </a:prstGeom>
                  </pic:spPr>
                </pic:pic>
              </a:graphicData>
            </a:graphic>
          </wp:inline>
        </w:drawing>
      </w:r>
      <w:r>
        <w:rPr>
          <w:sz w:val="26"/>
        </w:rPr>
        <w:tab/>
        <w:t xml:space="preserve">emitir opinión sobre la razonabilidad de la ejecución del presupuesto de ingresos y egresos, se evaluó la estructura de control interno de la entidad, únicamente hasta el grado que consideramos necesario para tener una base sobre la cual determinar la naturaleza, extensión y oportunidad de los procedimientos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auditoría.</w:t>
      </w:r>
    </w:p>
    <w:p w14:paraId="55D1BBC1" w14:textId="77777777" w:rsidR="00053D93" w:rsidRDefault="00260B75">
      <w:pPr>
        <w:spacing w:after="652" w:line="247" w:lineRule="auto"/>
        <w:ind w:left="158" w:right="223" w:firstLine="1706"/>
        <w:jc w:val="both"/>
      </w:pPr>
      <w:r>
        <w:rPr>
          <w:sz w:val="26"/>
        </w:rPr>
        <w:t xml:space="preserve">Nuestro examen no necesariamente revela todas las deficiencias de la estructura </w:t>
      </w:r>
      <w:r>
        <w:rPr>
          <w:rFonts w:ascii="Times New Roman" w:eastAsia="Times New Roman" w:hAnsi="Times New Roman" w:cs="Times New Roman"/>
          <w:sz w:val="26"/>
        </w:rPr>
        <w:t xml:space="preserve">1 </w:t>
      </w:r>
      <w:r>
        <w:rPr>
          <w:sz w:val="26"/>
        </w:rPr>
        <w:t>del control interno, debido a que está basado en pruebas selectivas de los registros contables y de la información de importancia relativa. Sin embargo, de existir asuntos relacionados a su funcionamiento, pueden ser incluidos en este informe de conformidad con las Normas Internacionales de las Entidades Fiscalizadoras Superiores adaptadas a Guatemala -ISSAI.GT-</w:t>
      </w:r>
    </w:p>
    <w:p w14:paraId="6A1CC73C" w14:textId="77777777" w:rsidR="00053D93" w:rsidRDefault="00260B75">
      <w:pPr>
        <w:spacing w:after="119" w:line="247" w:lineRule="auto"/>
        <w:ind w:left="209" w:right="223" w:firstLine="4"/>
        <w:jc w:val="both"/>
      </w:pPr>
      <w:r>
        <w:rPr>
          <w:rFonts w:ascii="Times New Roman" w:eastAsia="Times New Roman" w:hAnsi="Times New Roman" w:cs="Times New Roman"/>
          <w:sz w:val="26"/>
        </w:rPr>
        <w:t xml:space="preserve">1 </w:t>
      </w:r>
      <w:r>
        <w:rPr>
          <w:sz w:val="26"/>
        </w:rPr>
        <w:t xml:space="preserve">La responsabilidad de los registros presupuestarios y controles internos adecuados, recae en los encargados de la entidad de conformidad con la </w:t>
      </w:r>
      <w:r>
        <w:rPr>
          <w:noProof/>
        </w:rPr>
        <mc:AlternateContent>
          <mc:Choice Requires="wpg">
            <w:drawing>
              <wp:inline distT="0" distB="0" distL="0" distR="0" wp14:anchorId="1FAE24CE" wp14:editId="76C6A902">
                <wp:extent cx="118872" cy="292608"/>
                <wp:effectExtent l="0" t="0" r="0" b="0"/>
                <wp:docPr id="2455340" name="Group 2455340"/>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279570" name="Rectangle 279570"/>
                        <wps:cNvSpPr/>
                        <wps:spPr>
                          <a:xfrm>
                            <a:off x="0" y="0"/>
                            <a:ext cx="158100" cy="389168"/>
                          </a:xfrm>
                          <a:prstGeom prst="rect">
                            <a:avLst/>
                          </a:prstGeom>
                          <a:ln>
                            <a:noFill/>
                          </a:ln>
                        </wps:spPr>
                        <wps:txbx>
                          <w:txbxContent>
                            <w:p w14:paraId="0CED3A2C"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inline>
            </w:drawing>
          </mc:Choice>
          <mc:Fallback>
            <w:pict>
              <v:group w14:anchorId="1FAE24CE" id="Group 2455340" o:spid="_x0000_s1237"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">
                <v:rect id="Rectangle 279570" o:spid="_x0000_s1238" style="position:absolute;width:158100;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" filled="f" stroked="f">
                  <v:textbox inset="0,0,0,0">
                    <w:txbxContent>
                      <w:p w14:paraId="0CED3A2C" w14:textId="77777777" w:rsidR="00053D93" w:rsidRDefault="00260B75">
                        <w:r>
                          <w:rPr>
                            <w:rFonts w:ascii="Times New Roman" w:eastAsia="Times New Roman" w:hAnsi="Times New Roman" w:cs="Times New Roman"/>
                            <w:sz w:val="72"/>
                          </w:rPr>
                          <w:t>1</w:t>
                        </w:r>
                      </w:p>
                    </w:txbxContent>
                  </v:textbox>
                </v:rect>
                <w10:anchorlock/>
              </v:group>
            </w:pict>
          </mc:Fallback>
        </mc:AlternateContent>
      </w:r>
      <w:r>
        <w:rPr>
          <w:sz w:val="26"/>
        </w:rPr>
        <w:t xml:space="preserve"> naturaleza de la misma.</w:t>
      </w:r>
    </w:p>
    <w:p w14:paraId="6D1426C1" w14:textId="77777777" w:rsidR="00053D93" w:rsidRDefault="00260B75">
      <w:pPr>
        <w:spacing w:after="735" w:line="247" w:lineRule="auto"/>
        <w:ind w:left="259" w:right="209" w:firstLine="4"/>
        <w:jc w:val="both"/>
      </w:pPr>
      <w:r>
        <w:rPr>
          <w:noProof/>
        </w:rPr>
        <mc:AlternateContent>
          <mc:Choice Requires="wpg">
            <w:drawing>
              <wp:anchor distT="0" distB="0" distL="114300" distR="114300" simplePos="0" relativeHeight="251935744" behindDoc="0" locked="0" layoutInCell="1" allowOverlap="1" wp14:anchorId="3E4E9814" wp14:editId="682D15E6">
                <wp:simplePos x="0" y="0"/>
                <wp:positionH relativeFrom="column">
                  <wp:posOffset>164592</wp:posOffset>
                </wp:positionH>
                <wp:positionV relativeFrom="paragraph">
                  <wp:posOffset>68580</wp:posOffset>
                </wp:positionV>
                <wp:extent cx="118872" cy="297180"/>
                <wp:effectExtent l="0" t="0" r="0" b="0"/>
                <wp:wrapSquare wrapText="bothSides"/>
                <wp:docPr id="2455341" name="Group 2455341"/>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279571" name="Rectangle 279571"/>
                        <wps:cNvSpPr/>
                        <wps:spPr>
                          <a:xfrm>
                            <a:off x="0" y="0"/>
                            <a:ext cx="158100" cy="395250"/>
                          </a:xfrm>
                          <a:prstGeom prst="rect">
                            <a:avLst/>
                          </a:prstGeom>
                          <a:ln>
                            <a:noFill/>
                          </a:ln>
                        </wps:spPr>
                        <wps:txbx>
                          <w:txbxContent>
                            <w:p w14:paraId="5C3AE1DA"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3E4E9814" id="Group 2455341" o:spid="_x0000_s1239" style="position:absolute;left:0;text-align:left;margin-left:12.95pt;margin-top:5.4pt;width:9.35pt;height:23.4pt;z-index:251935744;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">
                <v:rect id="Rectangle 279571" o:spid="_x0000_s1240"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" filled="f" stroked="f">
                  <v:textbox inset="0,0,0,0">
                    <w:txbxContent>
                      <w:p w14:paraId="5C3AE1DA"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sz w:val="26"/>
        </w:rPr>
        <w:t>No observamos ningún asunto importante relacionado con el funcionamiento de la estructura del control interno y su operación, que consideramos deba ser comunicado con este informe.</w:t>
      </w:r>
    </w:p>
    <w:p w14:paraId="391FB1C6" w14:textId="77777777" w:rsidR="00053D93" w:rsidRDefault="00260B75">
      <w:pPr>
        <w:tabs>
          <w:tab w:val="center" w:pos="367"/>
          <w:tab w:val="center" w:pos="3510"/>
        </w:tabs>
        <w:spacing w:after="17" w:line="247" w:lineRule="auto"/>
      </w:pPr>
      <w:r>
        <w:rPr>
          <w:sz w:val="26"/>
        </w:rPr>
        <w:lastRenderedPageBreak/>
        <w:tab/>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Guatemala, 08 de mayo de 2025</w:t>
      </w:r>
    </w:p>
    <w:p w14:paraId="0FF3D5EB" w14:textId="77777777" w:rsidR="00053D93" w:rsidRDefault="00260B75">
      <w:pPr>
        <w:spacing w:after="3"/>
        <w:ind w:left="284" w:hanging="10"/>
      </w:pPr>
      <w:r>
        <w:rPr>
          <w:noProof/>
        </w:rPr>
        <w:drawing>
          <wp:inline distT="0" distB="0" distL="0" distR="0" wp14:anchorId="24AE0235" wp14:editId="42976313">
            <wp:extent cx="9144" cy="18288"/>
            <wp:effectExtent l="0" t="0" r="0" b="0"/>
            <wp:docPr id="285089" name="Picture 285089"/>
            <wp:cNvGraphicFramePr/>
            <a:graphic xmlns:a="http://schemas.openxmlformats.org/drawingml/2006/main">
              <a:graphicData uri="http://schemas.openxmlformats.org/drawingml/2006/picture">
                <pic:pic xmlns:pic="http://schemas.openxmlformats.org/drawingml/2006/picture">
                  <pic:nvPicPr>
                    <pic:cNvPr id="285089" name="Picture 285089"/>
                    <pic:cNvPicPr/>
                  </pic:nvPicPr>
                  <pic:blipFill>
                    <a:blip r:embed="rId533"/>
                    <a:stretch>
                      <a:fillRect/>
                    </a:stretch>
                  </pic:blipFill>
                  <pic:spPr>
                    <a:xfrm>
                      <a:off x="0" y="0"/>
                      <a:ext cx="9144" cy="18288"/>
                    </a:xfrm>
                    <a:prstGeom prst="rect">
                      <a:avLst/>
                    </a:prstGeom>
                  </pic:spPr>
                </pic:pic>
              </a:graphicData>
            </a:graphic>
          </wp:inline>
        </w:drawing>
      </w:r>
      <w:r>
        <w:rPr>
          <w:rFonts w:ascii="Times New Roman" w:eastAsia="Times New Roman" w:hAnsi="Times New Roman" w:cs="Times New Roman"/>
          <w:sz w:val="72"/>
        </w:rPr>
        <w:t>1</w:t>
      </w:r>
    </w:p>
    <w:p w14:paraId="18625BCF" w14:textId="77777777" w:rsidR="00053D93" w:rsidRDefault="00260B75">
      <w:pPr>
        <w:spacing w:after="362" w:line="252" w:lineRule="auto"/>
        <w:ind w:left="1853" w:hanging="10"/>
        <w:jc w:val="both"/>
      </w:pPr>
      <w:r>
        <w:rPr>
          <w:sz w:val="24"/>
        </w:rPr>
        <w:t>Atentamente,</w:t>
      </w:r>
    </w:p>
    <w:p w14:paraId="1068D9F6" w14:textId="77777777" w:rsidR="00053D93" w:rsidRDefault="00260B75">
      <w:pPr>
        <w:spacing w:after="3"/>
        <w:ind w:left="341" w:hanging="10"/>
      </w:pPr>
      <w:r>
        <w:rPr>
          <w:rFonts w:ascii="Times New Roman" w:eastAsia="Times New Roman" w:hAnsi="Times New Roman" w:cs="Times New Roman"/>
          <w:sz w:val="72"/>
        </w:rPr>
        <w:t>1</w:t>
      </w:r>
    </w:p>
    <w:p w14:paraId="217E69F7" w14:textId="77777777" w:rsidR="00053D93" w:rsidRDefault="00053D93">
      <w:pPr>
        <w:sectPr w:rsidR="00053D93">
          <w:headerReference w:type="even" r:id="rId534"/>
          <w:headerReference w:type="default" r:id="rId535"/>
          <w:footerReference w:type="even" r:id="rId536"/>
          <w:footerReference w:type="default" r:id="rId537"/>
          <w:headerReference w:type="first" r:id="rId538"/>
          <w:footerReference w:type="first" r:id="rId539"/>
          <w:pgSz w:w="12290" w:h="15883"/>
          <w:pgMar w:top="641" w:right="1519" w:bottom="576" w:left="266" w:header="720" w:footer="720" w:gutter="0"/>
          <w:cols w:space="720"/>
          <w:titlePg/>
        </w:sectPr>
      </w:pPr>
    </w:p>
    <w:p w14:paraId="09B3FA08" w14:textId="77777777" w:rsidR="00053D93" w:rsidRDefault="00260B75">
      <w:pPr>
        <w:tabs>
          <w:tab w:val="center" w:pos="1868"/>
          <w:tab w:val="center" w:pos="8946"/>
          <w:tab w:val="right" w:pos="11218"/>
        </w:tabs>
        <w:spacing w:after="0"/>
      </w:pPr>
      <w:r>
        <w:rPr>
          <w:noProof/>
        </w:rPr>
        <w:lastRenderedPageBreak/>
        <w:drawing>
          <wp:anchor distT="0" distB="0" distL="114300" distR="114300" simplePos="0" relativeHeight="251936768" behindDoc="0" locked="0" layoutInCell="1" allowOverlap="0" wp14:anchorId="44C0B61B" wp14:editId="3016FA5C">
            <wp:simplePos x="0" y="0"/>
            <wp:positionH relativeFrom="page">
              <wp:posOffset>260604</wp:posOffset>
            </wp:positionH>
            <wp:positionV relativeFrom="page">
              <wp:posOffset>9098280</wp:posOffset>
            </wp:positionV>
            <wp:extent cx="7543800" cy="891539"/>
            <wp:effectExtent l="0" t="0" r="0" b="0"/>
            <wp:wrapTopAndBottom/>
            <wp:docPr id="2458295" name="Picture 2458295"/>
            <wp:cNvGraphicFramePr/>
            <a:graphic xmlns:a="http://schemas.openxmlformats.org/drawingml/2006/main">
              <a:graphicData uri="http://schemas.openxmlformats.org/drawingml/2006/picture">
                <pic:pic xmlns:pic="http://schemas.openxmlformats.org/drawingml/2006/picture">
                  <pic:nvPicPr>
                    <pic:cNvPr id="2458295" name="Picture 2458295"/>
                    <pic:cNvPicPr/>
                  </pic:nvPicPr>
                  <pic:blipFill>
                    <a:blip r:embed="rId540"/>
                    <a:stretch>
                      <a:fillRect/>
                    </a:stretch>
                  </pic:blipFill>
                  <pic:spPr>
                    <a:xfrm>
                      <a:off x="0" y="0"/>
                      <a:ext cx="7543800" cy="891539"/>
                    </a:xfrm>
                    <a:prstGeom prst="rect">
                      <a:avLst/>
                    </a:prstGeom>
                  </pic:spPr>
                </pic:pic>
              </a:graphicData>
            </a:graphic>
          </wp:anchor>
        </w:drawing>
      </w:r>
      <w:r>
        <w:rPr>
          <w:sz w:val="24"/>
        </w:rPr>
        <w:tab/>
        <w:t>czc</w:t>
      </w:r>
      <w:r>
        <w:rPr>
          <w:sz w:val="24"/>
        </w:rPr>
        <w:tab/>
        <w:t xml:space="preserve">construyen </w:t>
      </w:r>
      <w:r>
        <w:rPr>
          <w:sz w:val="24"/>
        </w:rPr>
        <w:tab/>
        <w:t>fi anza</w:t>
      </w:r>
    </w:p>
    <w:p w14:paraId="588BBB74" w14:textId="77777777" w:rsidR="00053D93" w:rsidRDefault="00260B75">
      <w:pPr>
        <w:spacing w:after="0"/>
        <w:ind w:left="1663"/>
      </w:pPr>
      <w:r>
        <w:rPr>
          <w:sz w:val="20"/>
        </w:rPr>
        <w:t xml:space="preserve">General de </w:t>
      </w:r>
    </w:p>
    <w:p w14:paraId="03A333FA" w14:textId="77777777" w:rsidR="00053D93" w:rsidRDefault="00260B75">
      <w:pPr>
        <w:spacing w:after="804" w:line="265" w:lineRule="auto"/>
        <w:ind w:left="1594" w:hanging="10"/>
      </w:pPr>
      <w:r>
        <w:rPr>
          <w:sz w:val="12"/>
        </w:rPr>
        <w:t>GUATEMALA.</w:t>
      </w:r>
      <w:r>
        <w:rPr>
          <w:noProof/>
        </w:rPr>
        <w:drawing>
          <wp:inline distT="0" distB="0" distL="0" distR="0" wp14:anchorId="7C8F5902" wp14:editId="2256ADC5">
            <wp:extent cx="114300" cy="54864"/>
            <wp:effectExtent l="0" t="0" r="0" b="0"/>
            <wp:docPr id="293090" name="Picture 293090"/>
            <wp:cNvGraphicFramePr/>
            <a:graphic xmlns:a="http://schemas.openxmlformats.org/drawingml/2006/main">
              <a:graphicData uri="http://schemas.openxmlformats.org/drawingml/2006/picture">
                <pic:pic xmlns:pic="http://schemas.openxmlformats.org/drawingml/2006/picture">
                  <pic:nvPicPr>
                    <pic:cNvPr id="293090" name="Picture 293090"/>
                    <pic:cNvPicPr/>
                  </pic:nvPicPr>
                  <pic:blipFill>
                    <a:blip r:embed="rId541"/>
                    <a:stretch>
                      <a:fillRect/>
                    </a:stretch>
                  </pic:blipFill>
                  <pic:spPr>
                    <a:xfrm>
                      <a:off x="0" y="0"/>
                      <a:ext cx="114300" cy="54864"/>
                    </a:xfrm>
                    <a:prstGeom prst="rect">
                      <a:avLst/>
                    </a:prstGeom>
                  </pic:spPr>
                </pic:pic>
              </a:graphicData>
            </a:graphic>
          </wp:inline>
        </w:drawing>
      </w:r>
    </w:p>
    <w:p w14:paraId="270DA157" w14:textId="77777777" w:rsidR="00053D93" w:rsidRDefault="00260B75">
      <w:pPr>
        <w:spacing w:after="0"/>
        <w:ind w:left="1217"/>
      </w:pPr>
      <w:r>
        <w:rPr>
          <w:noProof/>
        </w:rPr>
        <w:lastRenderedPageBreak/>
        <mc:AlternateContent>
          <mc:Choice Requires="wpg">
            <w:drawing>
              <wp:inline distT="0" distB="0" distL="0" distR="0" wp14:anchorId="725524C5" wp14:editId="4770A156">
                <wp:extent cx="5545837" cy="6766561"/>
                <wp:effectExtent l="0" t="0" r="0" b="0"/>
                <wp:docPr id="2305522" name="Group 2305522"/>
                <wp:cNvGraphicFramePr/>
                <a:graphic xmlns:a="http://schemas.openxmlformats.org/drawingml/2006/main">
                  <a:graphicData uri="http://schemas.microsoft.com/office/word/2010/wordprocessingGroup">
                    <wpg:wgp>
                      <wpg:cNvGrpSpPr/>
                      <wpg:grpSpPr>
                        <a:xfrm>
                          <a:off x="0" y="0"/>
                          <a:ext cx="5545837" cy="6766561"/>
                          <a:chOff x="0" y="0"/>
                          <a:chExt cx="5545837" cy="6766561"/>
                        </a:xfrm>
                      </wpg:grpSpPr>
                      <pic:pic xmlns:pic="http://schemas.openxmlformats.org/drawingml/2006/picture">
                        <pic:nvPicPr>
                          <pic:cNvPr id="2458297" name="Picture 2458297"/>
                          <pic:cNvPicPr/>
                        </pic:nvPicPr>
                        <pic:blipFill>
                          <a:blip r:embed="rId542"/>
                          <a:stretch>
                            <a:fillRect/>
                          </a:stretch>
                        </pic:blipFill>
                        <pic:spPr>
                          <a:xfrm>
                            <a:off x="0" y="265176"/>
                            <a:ext cx="5545837" cy="6501384"/>
                          </a:xfrm>
                          <a:prstGeom prst="rect">
                            <a:avLst/>
                          </a:prstGeom>
                        </pic:spPr>
                      </pic:pic>
                      <wps:wsp>
                        <wps:cNvPr id="285606" name="Rectangle 285606"/>
                        <wps:cNvSpPr/>
                        <wps:spPr>
                          <a:xfrm>
                            <a:off x="393192" y="233172"/>
                            <a:ext cx="474299" cy="209786"/>
                          </a:xfrm>
                          <a:prstGeom prst="rect">
                            <a:avLst/>
                          </a:prstGeom>
                          <a:ln>
                            <a:noFill/>
                          </a:ln>
                        </wps:spPr>
                        <wps:txbx>
                          <w:txbxContent>
                            <w:p w14:paraId="7EBB58C8" w14:textId="77777777" w:rsidR="00053D93" w:rsidRDefault="00260B75">
                              <w:r>
                                <w:rPr>
                                  <w:sz w:val="28"/>
                                </w:rPr>
                                <w:t xml:space="preserve">Área </w:t>
                              </w:r>
                            </w:p>
                          </w:txbxContent>
                        </wps:txbx>
                        <wps:bodyPr horzOverflow="overflow" vert="horz" lIns="0" tIns="0" rIns="0" bIns="0" rtlCol="0">
                          <a:noAutofit/>
                        </wps:bodyPr>
                      </wps:wsp>
                      <wps:wsp>
                        <wps:cNvPr id="285603" name="Rectangle 285603"/>
                        <wps:cNvSpPr/>
                        <wps:spPr>
                          <a:xfrm>
                            <a:off x="352044" y="13716"/>
                            <a:ext cx="802660" cy="170261"/>
                          </a:xfrm>
                          <a:prstGeom prst="rect">
                            <a:avLst/>
                          </a:prstGeom>
                          <a:ln>
                            <a:noFill/>
                          </a:ln>
                        </wps:spPr>
                        <wps:txbx>
                          <w:txbxContent>
                            <w:p w14:paraId="530900E9" w14:textId="77777777" w:rsidR="00053D93" w:rsidRDefault="00260B75">
                              <w:r>
                                <w:rPr>
                                  <w:sz w:val="28"/>
                                </w:rPr>
                                <w:t xml:space="preserve">EQUIPO </w:t>
                              </w:r>
                            </w:p>
                          </w:txbxContent>
                        </wps:txbx>
                        <wps:bodyPr horzOverflow="overflow" vert="horz" lIns="0" tIns="0" rIns="0" bIns="0" rtlCol="0">
                          <a:noAutofit/>
                        </wps:bodyPr>
                      </wps:wsp>
                      <wps:wsp>
                        <wps:cNvPr id="285604" name="Rectangle 285604"/>
                        <wps:cNvSpPr/>
                        <wps:spPr>
                          <a:xfrm>
                            <a:off x="955548" y="0"/>
                            <a:ext cx="310119" cy="188504"/>
                          </a:xfrm>
                          <a:prstGeom prst="rect">
                            <a:avLst/>
                          </a:prstGeom>
                          <a:ln>
                            <a:noFill/>
                          </a:ln>
                        </wps:spPr>
                        <wps:txbx>
                          <w:txbxContent>
                            <w:p w14:paraId="6AB68E4D" w14:textId="77777777" w:rsidR="00053D93" w:rsidRDefault="00260B75">
                              <w:r>
                                <w:rPr>
                                  <w:sz w:val="32"/>
                                </w:rPr>
                                <w:t xml:space="preserve">DE </w:t>
                              </w:r>
                            </w:p>
                          </w:txbxContent>
                        </wps:txbx>
                        <wps:bodyPr horzOverflow="overflow" vert="horz" lIns="0" tIns="0" rIns="0" bIns="0" rtlCol="0">
                          <a:noAutofit/>
                        </wps:bodyPr>
                      </wps:wsp>
                      <wps:wsp>
                        <wps:cNvPr id="285605" name="Rectangle 285605"/>
                        <wps:cNvSpPr/>
                        <wps:spPr>
                          <a:xfrm>
                            <a:off x="1188720" y="0"/>
                            <a:ext cx="1070214" cy="197625"/>
                          </a:xfrm>
                          <a:prstGeom prst="rect">
                            <a:avLst/>
                          </a:prstGeom>
                          <a:ln>
                            <a:noFill/>
                          </a:ln>
                        </wps:spPr>
                        <wps:txbx>
                          <w:txbxContent>
                            <w:p w14:paraId="17C8057E" w14:textId="77777777" w:rsidR="00053D93" w:rsidRDefault="00260B75">
                              <w:r>
                                <w:rPr>
                                  <w:sz w:val="28"/>
                                </w:rPr>
                                <w:t>AUDITORÍA</w:t>
                              </w:r>
                            </w:p>
                          </w:txbxContent>
                        </wps:txbx>
                        <wps:bodyPr horzOverflow="overflow" vert="horz" lIns="0" tIns="0" rIns="0" bIns="0" rtlCol="0">
                          <a:noAutofit/>
                        </wps:bodyPr>
                      </wps:wsp>
                    </wpg:wgp>
                  </a:graphicData>
                </a:graphic>
              </wp:inline>
            </w:drawing>
          </mc:Choice>
          <mc:Fallback>
            <w:pict>
              <v:group w14:anchorId="725524C5" id="Group 2305522" o:spid="_x0000_s1241" style="width:436.7pt;height:532.8pt;mso-position-horizontal-relative:char;mso-position-vertical-relative:line" coordsize="55458,676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">
                <v:shape id="Picture 2458297" o:spid="_x0000_s1242" type="#_x0000_t75" style="position:absolute;top:2651;width:55458;height:65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">
                  <v:imagedata r:id="rId543" o:title=""/>
                </v:shape>
                <v:rect id="Rectangle 285606" o:spid="_x0000_s1243" style="position:absolute;left:3931;top:2331;width:4743;height: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" filled="f" stroked="f">
                  <v:textbox inset="0,0,0,0">
                    <w:txbxContent>
                      <w:p w14:paraId="7EBB58C8" w14:textId="77777777" w:rsidR="00053D93" w:rsidRDefault="00260B75">
                        <w:r>
                          <w:rPr>
                            <w:sz w:val="28"/>
                          </w:rPr>
                          <w:t xml:space="preserve">Área </w:t>
                        </w:r>
                      </w:p>
                    </w:txbxContent>
                  </v:textbox>
                </v:rect>
                <v:rect id="Rectangle 285603" o:spid="_x0000_s1244" style="position:absolute;left:3520;top:137;width:8027;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" filled="f" stroked="f">
                  <v:textbox inset="0,0,0,0">
                    <w:txbxContent>
                      <w:p w14:paraId="530900E9" w14:textId="77777777" w:rsidR="00053D93" w:rsidRDefault="00260B75">
                        <w:r>
                          <w:rPr>
                            <w:sz w:val="28"/>
                          </w:rPr>
                          <w:t xml:space="preserve">EQUIPO </w:t>
                        </w:r>
                      </w:p>
                    </w:txbxContent>
                  </v:textbox>
                </v:rect>
                <v:rect id="Rectangle 285604" o:spid="_x0000_s1245" style="position:absolute;left:9555;width:310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" filled="f" stroked="f">
                  <v:textbox inset="0,0,0,0">
                    <w:txbxContent>
                      <w:p w14:paraId="6AB68E4D" w14:textId="77777777" w:rsidR="00053D93" w:rsidRDefault="00260B75">
                        <w:r>
                          <w:rPr>
                            <w:sz w:val="32"/>
                          </w:rPr>
                          <w:t xml:space="preserve">DE </w:t>
                        </w:r>
                      </w:p>
                    </w:txbxContent>
                  </v:textbox>
                </v:rect>
                <v:rect id="Rectangle 285605" o:spid="_x0000_s1246" style="position:absolute;left:11887;width:10702;height: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" filled="f" stroked="f">
                  <v:textbox inset="0,0,0,0">
                    <w:txbxContent>
                      <w:p w14:paraId="17C8057E" w14:textId="77777777" w:rsidR="00053D93" w:rsidRDefault="00260B75">
                        <w:r>
                          <w:rPr>
                            <w:sz w:val="28"/>
                          </w:rPr>
                          <w:t>AUDITORÍA</w:t>
                        </w:r>
                      </w:p>
                    </w:txbxContent>
                  </v:textbox>
                </v:rect>
                <w10:anchorlock/>
              </v:group>
            </w:pict>
          </mc:Fallback>
        </mc:AlternateContent>
      </w:r>
    </w:p>
    <w:p w14:paraId="50F33DD4" w14:textId="77777777" w:rsidR="00053D93" w:rsidRDefault="00260B75">
      <w:pPr>
        <w:spacing w:after="7546"/>
        <w:ind w:left="1188"/>
      </w:pPr>
      <w:r>
        <w:rPr>
          <w:noProof/>
        </w:rPr>
        <w:lastRenderedPageBreak/>
        <mc:AlternateContent>
          <mc:Choice Requires="wpg">
            <w:drawing>
              <wp:inline distT="0" distB="0" distL="0" distR="0" wp14:anchorId="46EA3F2D" wp14:editId="23868082">
                <wp:extent cx="6318504" cy="3726180"/>
                <wp:effectExtent l="0" t="0" r="0" b="0"/>
                <wp:docPr id="2305285" name="Group 2305285"/>
                <wp:cNvGraphicFramePr/>
                <a:graphic xmlns:a="http://schemas.openxmlformats.org/drawingml/2006/main">
                  <a:graphicData uri="http://schemas.microsoft.com/office/word/2010/wordprocessingGroup">
                    <wpg:wgp>
                      <wpg:cNvGrpSpPr/>
                      <wpg:grpSpPr>
                        <a:xfrm>
                          <a:off x="0" y="0"/>
                          <a:ext cx="6318504" cy="3726180"/>
                          <a:chOff x="0" y="0"/>
                          <a:chExt cx="6318504" cy="3726180"/>
                        </a:xfrm>
                      </wpg:grpSpPr>
                      <pic:pic xmlns:pic="http://schemas.openxmlformats.org/drawingml/2006/picture">
                        <pic:nvPicPr>
                          <pic:cNvPr id="2458298" name="Picture 2458298"/>
                          <pic:cNvPicPr/>
                        </pic:nvPicPr>
                        <pic:blipFill>
                          <a:blip r:embed="rId544"/>
                          <a:stretch>
                            <a:fillRect/>
                          </a:stretch>
                        </pic:blipFill>
                        <pic:spPr>
                          <a:xfrm>
                            <a:off x="0" y="0"/>
                            <a:ext cx="6318504" cy="3575304"/>
                          </a:xfrm>
                          <a:prstGeom prst="rect">
                            <a:avLst/>
                          </a:prstGeom>
                        </pic:spPr>
                      </pic:pic>
                      <wps:wsp>
                        <wps:cNvPr id="293724" name="Rectangle 293724"/>
                        <wps:cNvSpPr/>
                        <wps:spPr>
                          <a:xfrm>
                            <a:off x="3982212" y="3479292"/>
                            <a:ext cx="529026" cy="145937"/>
                          </a:xfrm>
                          <a:prstGeom prst="rect">
                            <a:avLst/>
                          </a:prstGeom>
                          <a:ln>
                            <a:noFill/>
                          </a:ln>
                        </wps:spPr>
                        <wps:txbx>
                          <w:txbxContent>
                            <w:p w14:paraId="376202D2" w14:textId="77777777" w:rsidR="00053D93" w:rsidRDefault="00260B75">
                              <w:r>
                                <w:rPr>
                                  <w:sz w:val="16"/>
                                </w:rPr>
                                <w:t xml:space="preserve">AZURDIA </w:t>
                              </w:r>
                            </w:p>
                          </w:txbxContent>
                        </wps:txbx>
                        <wps:bodyPr horzOverflow="overflow" vert="horz" lIns="0" tIns="0" rIns="0" bIns="0" rtlCol="0">
                          <a:noAutofit/>
                        </wps:bodyPr>
                      </wps:wsp>
                      <wps:wsp>
                        <wps:cNvPr id="293725" name="Rectangle 293725"/>
                        <wps:cNvSpPr/>
                        <wps:spPr>
                          <a:xfrm>
                            <a:off x="4379976" y="3488436"/>
                            <a:ext cx="614156" cy="145937"/>
                          </a:xfrm>
                          <a:prstGeom prst="rect">
                            <a:avLst/>
                          </a:prstGeom>
                          <a:ln>
                            <a:noFill/>
                          </a:ln>
                        </wps:spPr>
                        <wps:txbx>
                          <w:txbxContent>
                            <w:p w14:paraId="630D27EF" w14:textId="77777777" w:rsidR="00053D93" w:rsidRDefault="00260B75">
                              <w:r>
                                <w:rPr>
                                  <w:sz w:val="16"/>
                                </w:rPr>
                                <w:t xml:space="preserve">AGUILERA </w:t>
                              </w:r>
                            </w:p>
                          </w:txbxContent>
                        </wps:txbx>
                        <wps:bodyPr horzOverflow="overflow" vert="horz" lIns="0" tIns="0" rIns="0" bIns="0" rtlCol="0">
                          <a:noAutofit/>
                        </wps:bodyPr>
                      </wps:wsp>
                      <wps:wsp>
                        <wps:cNvPr id="293726" name="Rectangle 293726"/>
                        <wps:cNvSpPr/>
                        <wps:spPr>
                          <a:xfrm>
                            <a:off x="4841748" y="3497580"/>
                            <a:ext cx="188504" cy="139857"/>
                          </a:xfrm>
                          <a:prstGeom prst="rect">
                            <a:avLst/>
                          </a:prstGeom>
                          <a:ln>
                            <a:noFill/>
                          </a:ln>
                        </wps:spPr>
                        <wps:txbx>
                          <w:txbxContent>
                            <w:p w14:paraId="4E253344" w14:textId="77777777" w:rsidR="00053D93" w:rsidRDefault="00260B75">
                              <w:r>
                                <w:rPr>
                                  <w:sz w:val="18"/>
                                </w:rPr>
                                <w:t xml:space="preserve">DE </w:t>
                              </w:r>
                            </w:p>
                          </w:txbxContent>
                        </wps:txbx>
                        <wps:bodyPr horzOverflow="overflow" vert="horz" lIns="0" tIns="0" rIns="0" bIns="0" rtlCol="0">
                          <a:noAutofit/>
                        </wps:bodyPr>
                      </wps:wsp>
                      <wps:wsp>
                        <wps:cNvPr id="293727" name="Rectangle 293727"/>
                        <wps:cNvSpPr/>
                        <wps:spPr>
                          <a:xfrm>
                            <a:off x="4983480" y="3493009"/>
                            <a:ext cx="687125" cy="145937"/>
                          </a:xfrm>
                          <a:prstGeom prst="rect">
                            <a:avLst/>
                          </a:prstGeom>
                          <a:ln>
                            <a:noFill/>
                          </a:ln>
                        </wps:spPr>
                        <wps:txbx>
                          <w:txbxContent>
                            <w:p w14:paraId="3FC3B18B" w14:textId="77777777" w:rsidR="00053D93" w:rsidRDefault="00260B75">
                              <w:r>
                                <w:rPr>
                                  <w:sz w:val="16"/>
                                </w:rPr>
                                <w:t>HERNANDEZ</w:t>
                              </w:r>
                            </w:p>
                          </w:txbxContent>
                        </wps:txbx>
                        <wps:bodyPr horzOverflow="overflow" vert="horz" lIns="0" tIns="0" rIns="0" bIns="0" rtlCol="0">
                          <a:noAutofit/>
                        </wps:bodyPr>
                      </wps:wsp>
                      <wps:wsp>
                        <wps:cNvPr id="293711" name="Rectangle 293711"/>
                        <wps:cNvSpPr/>
                        <wps:spPr>
                          <a:xfrm>
                            <a:off x="438912" y="3607308"/>
                            <a:ext cx="650641" cy="109454"/>
                          </a:xfrm>
                          <a:prstGeom prst="rect">
                            <a:avLst/>
                          </a:prstGeom>
                          <a:ln>
                            <a:noFill/>
                          </a:ln>
                        </wps:spPr>
                        <wps:txbx>
                          <w:txbxContent>
                            <w:p w14:paraId="0FD3200A" w14:textId="77777777" w:rsidR="00053D93" w:rsidRDefault="00260B75">
                              <w:r>
                                <w:rPr>
                                  <w:sz w:val="14"/>
                                </w:rPr>
                                <w:t xml:space="preserve">Coordinador </w:t>
                              </w:r>
                            </w:p>
                          </w:txbxContent>
                        </wps:txbx>
                        <wps:bodyPr horzOverflow="overflow" vert="horz" lIns="0" tIns="0" rIns="0" bIns="0" rtlCol="0">
                          <a:noAutofit/>
                        </wps:bodyPr>
                      </wps:wsp>
                      <wps:wsp>
                        <wps:cNvPr id="293712" name="Rectangle 293712"/>
                        <wps:cNvSpPr/>
                        <wps:spPr>
                          <a:xfrm>
                            <a:off x="928116" y="3616452"/>
                            <a:ext cx="766176" cy="97292"/>
                          </a:xfrm>
                          <a:prstGeom prst="rect">
                            <a:avLst/>
                          </a:prstGeom>
                          <a:ln>
                            <a:noFill/>
                          </a:ln>
                        </wps:spPr>
                        <wps:txbx>
                          <w:txbxContent>
                            <w:p w14:paraId="34D6BA5D" w14:textId="77777777" w:rsidR="00053D93" w:rsidRDefault="00260B75">
                              <w:r>
                                <w:rPr>
                                  <w:sz w:val="14"/>
                                </w:rPr>
                                <w:t>Gubemamental</w:t>
                              </w:r>
                            </w:p>
                          </w:txbxContent>
                        </wps:txbx>
                        <wps:bodyPr horzOverflow="overflow" vert="horz" lIns="0" tIns="0" rIns="0" bIns="0" rtlCol="0">
                          <a:noAutofit/>
                        </wps:bodyPr>
                      </wps:wsp>
                      <wps:wsp>
                        <wps:cNvPr id="293728" name="Rectangle 293728"/>
                        <wps:cNvSpPr/>
                        <wps:spPr>
                          <a:xfrm>
                            <a:off x="2953512" y="3616452"/>
                            <a:ext cx="571591" cy="145938"/>
                          </a:xfrm>
                          <a:prstGeom prst="rect">
                            <a:avLst/>
                          </a:prstGeom>
                          <a:ln>
                            <a:noFill/>
                          </a:ln>
                        </wps:spPr>
                        <wps:txbx>
                          <w:txbxContent>
                            <w:p w14:paraId="36EDA2D1" w14:textId="77777777" w:rsidR="00053D93" w:rsidRDefault="00260B75">
                              <w:r>
                                <w:rPr>
                                  <w:sz w:val="16"/>
                                </w:rPr>
                                <w:t xml:space="preserve">Supervisor </w:t>
                              </w:r>
                            </w:p>
                          </w:txbxContent>
                        </wps:txbx>
                        <wps:bodyPr horzOverflow="overflow" vert="horz" lIns="0" tIns="0" rIns="0" bIns="0" rtlCol="0">
                          <a:noAutofit/>
                        </wps:bodyPr>
                      </wps:wsp>
                      <wps:wsp>
                        <wps:cNvPr id="293729" name="Rectangle 293729"/>
                        <wps:cNvSpPr/>
                        <wps:spPr>
                          <a:xfrm>
                            <a:off x="3383280" y="3648456"/>
                            <a:ext cx="778337" cy="103372"/>
                          </a:xfrm>
                          <a:prstGeom prst="rect">
                            <a:avLst/>
                          </a:prstGeom>
                          <a:ln>
                            <a:noFill/>
                          </a:ln>
                        </wps:spPr>
                        <wps:txbx>
                          <w:txbxContent>
                            <w:p w14:paraId="75C09927" w14:textId="77777777" w:rsidR="00053D93" w:rsidRDefault="00260B75">
                              <w:r>
                                <w:rPr>
                                  <w:sz w:val="14"/>
                                </w:rPr>
                                <w:t>Gubemamental</w:t>
                              </w:r>
                            </w:p>
                          </w:txbxContent>
                        </wps:txbx>
                        <wps:bodyPr horzOverflow="overflow" vert="horz" lIns="0" tIns="0" rIns="0" bIns="0" rtlCol="0">
                          <a:noAutofit/>
                        </wps:bodyPr>
                      </wps:wsp>
                    </wpg:wgp>
                  </a:graphicData>
                </a:graphic>
              </wp:inline>
            </w:drawing>
          </mc:Choice>
          <mc:Fallback>
            <w:pict>
              <v:group w14:anchorId="46EA3F2D" id="Group 2305285" o:spid="_x0000_s1247" style="width:497.5pt;height:293.4pt;mso-position-horizontal-relative:char;mso-position-vertical-relative:line" coordsize="63185,372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">
                <v:shape id="Picture 2458298" o:spid="_x0000_s1248" type="#_x0000_t75" style="position:absolute;width:63185;height:35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">
                  <v:imagedata r:id="rId545" o:title=""/>
                </v:shape>
                <v:rect id="Rectangle 293724" o:spid="_x0000_s1249" style="position:absolute;left:39822;top:34792;width:529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" filled="f" stroked="f">
                  <v:textbox inset="0,0,0,0">
                    <w:txbxContent>
                      <w:p w14:paraId="376202D2" w14:textId="77777777" w:rsidR="00053D93" w:rsidRDefault="00260B75">
                        <w:r>
                          <w:rPr>
                            <w:sz w:val="16"/>
                          </w:rPr>
                          <w:t xml:space="preserve">AZURDIA </w:t>
                        </w:r>
                      </w:p>
                    </w:txbxContent>
                  </v:textbox>
                </v:rect>
                <v:rect id="Rectangle 293725" o:spid="_x0000_s1250" style="position:absolute;left:43799;top:34884;width:6142;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" filled="f" stroked="f">
                  <v:textbox inset="0,0,0,0">
                    <w:txbxContent>
                      <w:p w14:paraId="630D27EF" w14:textId="77777777" w:rsidR="00053D93" w:rsidRDefault="00260B75">
                        <w:r>
                          <w:rPr>
                            <w:sz w:val="16"/>
                          </w:rPr>
                          <w:t xml:space="preserve">AGUILERA </w:t>
                        </w:r>
                      </w:p>
                    </w:txbxContent>
                  </v:textbox>
                </v:rect>
                <v:rect id="Rectangle 293726" o:spid="_x0000_s1251" style="position:absolute;left:48417;top:34975;width:1885;height:1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" filled="f" stroked="f">
                  <v:textbox inset="0,0,0,0">
                    <w:txbxContent>
                      <w:p w14:paraId="4E253344" w14:textId="77777777" w:rsidR="00053D93" w:rsidRDefault="00260B75">
                        <w:r>
                          <w:rPr>
                            <w:sz w:val="18"/>
                          </w:rPr>
                          <w:t xml:space="preserve">DE </w:t>
                        </w:r>
                      </w:p>
                    </w:txbxContent>
                  </v:textbox>
                </v:rect>
                <v:rect id="Rectangle 293727" o:spid="_x0000_s1252" style="position:absolute;left:49834;top:34930;width:6872;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" filled="f" stroked="f">
                  <v:textbox inset="0,0,0,0">
                    <w:txbxContent>
                      <w:p w14:paraId="3FC3B18B" w14:textId="77777777" w:rsidR="00053D93" w:rsidRDefault="00260B75">
                        <w:r>
                          <w:rPr>
                            <w:sz w:val="16"/>
                          </w:rPr>
                          <w:t>HERNANDEZ</w:t>
                        </w:r>
                      </w:p>
                    </w:txbxContent>
                  </v:textbox>
                </v:rect>
                <v:rect id="Rectangle 293711" o:spid="_x0000_s1253" style="position:absolute;left:4389;top:36073;width:6506;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" filled="f" stroked="f">
                  <v:textbox inset="0,0,0,0">
                    <w:txbxContent>
                      <w:p w14:paraId="0FD3200A" w14:textId="77777777" w:rsidR="00053D93" w:rsidRDefault="00260B75">
                        <w:r>
                          <w:rPr>
                            <w:sz w:val="14"/>
                          </w:rPr>
                          <w:t xml:space="preserve">Coordinador </w:t>
                        </w:r>
                      </w:p>
                    </w:txbxContent>
                  </v:textbox>
                </v:rect>
                <v:rect id="Rectangle 293712" o:spid="_x0000_s1254" style="position:absolute;left:9281;top:36164;width:7661;height: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" filled="f" stroked="f">
                  <v:textbox inset="0,0,0,0">
                    <w:txbxContent>
                      <w:p w14:paraId="34D6BA5D" w14:textId="77777777" w:rsidR="00053D93" w:rsidRDefault="00260B75">
                        <w:r>
                          <w:rPr>
                            <w:sz w:val="14"/>
                          </w:rPr>
                          <w:t>Gubemamental</w:t>
                        </w:r>
                      </w:p>
                    </w:txbxContent>
                  </v:textbox>
                </v:rect>
                <v:rect id="Rectangle 293728" o:spid="_x0000_s1255" style="position:absolute;left:29535;top:36164;width:5716;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" filled="f" stroked="f">
                  <v:textbox inset="0,0,0,0">
                    <w:txbxContent>
                      <w:p w14:paraId="36EDA2D1" w14:textId="77777777" w:rsidR="00053D93" w:rsidRDefault="00260B75">
                        <w:r>
                          <w:rPr>
                            <w:sz w:val="16"/>
                          </w:rPr>
                          <w:t xml:space="preserve">Supervisor </w:t>
                        </w:r>
                      </w:p>
                    </w:txbxContent>
                  </v:textbox>
                </v:rect>
                <v:rect id="Rectangle 293729" o:spid="_x0000_s1256" style="position:absolute;left:33832;top:36484;width:7784;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" filled="f" stroked="f">
                  <v:textbox inset="0,0,0,0">
                    <w:txbxContent>
                      <w:p w14:paraId="75C09927" w14:textId="77777777" w:rsidR="00053D93" w:rsidRDefault="00260B75">
                        <w:r>
                          <w:rPr>
                            <w:sz w:val="14"/>
                          </w:rPr>
                          <w:t>Gubemamental</w:t>
                        </w:r>
                      </w:p>
                    </w:txbxContent>
                  </v:textbox>
                </v:rect>
                <w10:anchorlock/>
              </v:group>
            </w:pict>
          </mc:Fallback>
        </mc:AlternateContent>
      </w:r>
    </w:p>
    <w:p w14:paraId="1E97C2D6" w14:textId="77777777" w:rsidR="00053D93" w:rsidRDefault="00260B75">
      <w:pPr>
        <w:spacing w:after="0"/>
        <w:ind w:left="-7" w:right="-569"/>
      </w:pPr>
      <w:r>
        <w:rPr>
          <w:noProof/>
        </w:rPr>
        <w:lastRenderedPageBreak/>
        <w:drawing>
          <wp:inline distT="0" distB="0" distL="0" distR="0" wp14:anchorId="79FCC8ED" wp14:editId="71B513CC">
            <wp:extent cx="7516368" cy="900685"/>
            <wp:effectExtent l="0" t="0" r="0" b="0"/>
            <wp:docPr id="2458299" name="Picture 2458299"/>
            <wp:cNvGraphicFramePr/>
            <a:graphic xmlns:a="http://schemas.openxmlformats.org/drawingml/2006/main">
              <a:graphicData uri="http://schemas.openxmlformats.org/drawingml/2006/picture">
                <pic:pic xmlns:pic="http://schemas.openxmlformats.org/drawingml/2006/picture">
                  <pic:nvPicPr>
                    <pic:cNvPr id="2458299" name="Picture 2458299"/>
                    <pic:cNvPicPr/>
                  </pic:nvPicPr>
                  <pic:blipFill>
                    <a:blip r:embed="rId546"/>
                    <a:stretch>
                      <a:fillRect/>
                    </a:stretch>
                  </pic:blipFill>
                  <pic:spPr>
                    <a:xfrm>
                      <a:off x="0" y="0"/>
                      <a:ext cx="7516368" cy="900685"/>
                    </a:xfrm>
                    <a:prstGeom prst="rect">
                      <a:avLst/>
                    </a:prstGeom>
                  </pic:spPr>
                </pic:pic>
              </a:graphicData>
            </a:graphic>
          </wp:inline>
        </w:drawing>
      </w:r>
    </w:p>
    <w:p w14:paraId="3F1A56E5" w14:textId="77777777" w:rsidR="00053D93" w:rsidRDefault="00260B75">
      <w:pPr>
        <w:pStyle w:val="Ttulo4"/>
        <w:tabs>
          <w:tab w:val="center" w:pos="1995"/>
          <w:tab w:val="right" w:pos="11218"/>
        </w:tabs>
        <w:spacing w:after="0" w:line="259" w:lineRule="auto"/>
        <w:ind w:left="0" w:firstLine="0"/>
        <w:jc w:val="left"/>
      </w:pPr>
      <w:r>
        <w:rPr>
          <w:sz w:val="44"/>
        </w:rPr>
        <w:tab/>
      </w:r>
      <w:r>
        <w:rPr>
          <w:noProof/>
        </w:rPr>
        <w:drawing>
          <wp:inline distT="0" distB="0" distL="0" distR="0" wp14:anchorId="4AC561EF" wp14:editId="114AEC2A">
            <wp:extent cx="955548" cy="416052"/>
            <wp:effectExtent l="0" t="0" r="0" b="0"/>
            <wp:docPr id="305599" name="Picture 305599"/>
            <wp:cNvGraphicFramePr/>
            <a:graphic xmlns:a="http://schemas.openxmlformats.org/drawingml/2006/main">
              <a:graphicData uri="http://schemas.openxmlformats.org/drawingml/2006/picture">
                <pic:pic xmlns:pic="http://schemas.openxmlformats.org/drawingml/2006/picture">
                  <pic:nvPicPr>
                    <pic:cNvPr id="305599" name="Picture 305599"/>
                    <pic:cNvPicPr/>
                  </pic:nvPicPr>
                  <pic:blipFill>
                    <a:blip r:embed="rId547"/>
                    <a:stretch>
                      <a:fillRect/>
                    </a:stretch>
                  </pic:blipFill>
                  <pic:spPr>
                    <a:xfrm>
                      <a:off x="0" y="0"/>
                      <a:ext cx="955548" cy="416052"/>
                    </a:xfrm>
                    <a:prstGeom prst="rect">
                      <a:avLst/>
                    </a:prstGeom>
                  </pic:spPr>
                </pic:pic>
              </a:graphicData>
            </a:graphic>
          </wp:inline>
        </w:drawing>
      </w:r>
      <w:r>
        <w:rPr>
          <w:rFonts w:ascii="Times New Roman" w:eastAsia="Times New Roman" w:hAnsi="Times New Roman" w:cs="Times New Roman"/>
          <w:sz w:val="44"/>
        </w:rPr>
        <w:tab/>
        <w:t>fianza</w:t>
      </w:r>
    </w:p>
    <w:p w14:paraId="70847025" w14:textId="77777777" w:rsidR="00053D93" w:rsidRDefault="00260B75">
      <w:pPr>
        <w:spacing w:after="1574"/>
        <w:ind w:left="1195"/>
      </w:pPr>
      <w:r>
        <w:rPr>
          <w:noProof/>
        </w:rPr>
        <w:drawing>
          <wp:inline distT="0" distB="0" distL="0" distR="0" wp14:anchorId="0252AEAD" wp14:editId="3903C4CA">
            <wp:extent cx="685800" cy="100584"/>
            <wp:effectExtent l="0" t="0" r="0" b="0"/>
            <wp:docPr id="305597" name="Picture 305597"/>
            <wp:cNvGraphicFramePr/>
            <a:graphic xmlns:a="http://schemas.openxmlformats.org/drawingml/2006/main">
              <a:graphicData uri="http://schemas.openxmlformats.org/drawingml/2006/picture">
                <pic:pic xmlns:pic="http://schemas.openxmlformats.org/drawingml/2006/picture">
                  <pic:nvPicPr>
                    <pic:cNvPr id="305597" name="Picture 305597"/>
                    <pic:cNvPicPr/>
                  </pic:nvPicPr>
                  <pic:blipFill>
                    <a:blip r:embed="rId548"/>
                    <a:stretch>
                      <a:fillRect/>
                    </a:stretch>
                  </pic:blipFill>
                  <pic:spPr>
                    <a:xfrm>
                      <a:off x="0" y="0"/>
                      <a:ext cx="685800" cy="100584"/>
                    </a:xfrm>
                    <a:prstGeom prst="rect">
                      <a:avLst/>
                    </a:prstGeom>
                  </pic:spPr>
                </pic:pic>
              </a:graphicData>
            </a:graphic>
          </wp:inline>
        </w:drawing>
      </w:r>
    </w:p>
    <w:p w14:paraId="23CF3D4B" w14:textId="77777777" w:rsidR="00053D93" w:rsidRDefault="00260B75">
      <w:pPr>
        <w:spacing w:after="606" w:line="216" w:lineRule="auto"/>
        <w:ind w:left="1444" w:right="990"/>
        <w:jc w:val="center"/>
      </w:pPr>
      <w:r>
        <w:rPr>
          <w:sz w:val="30"/>
        </w:rPr>
        <w:t>INFORME RELACIONADO CON EL CUMPLIMIENTO DE LEYES Y REGULACIONES APLICABLES</w:t>
      </w:r>
    </w:p>
    <w:p w14:paraId="606F37D7" w14:textId="77777777" w:rsidR="00053D93" w:rsidRDefault="00260B75">
      <w:pPr>
        <w:spacing w:after="17" w:line="247" w:lineRule="auto"/>
        <w:ind w:left="1670" w:right="14" w:firstLine="4"/>
        <w:jc w:val="both"/>
      </w:pPr>
      <w:r>
        <w:rPr>
          <w:sz w:val="26"/>
        </w:rPr>
        <w:t>Licenciada</w:t>
      </w:r>
    </w:p>
    <w:p w14:paraId="25BE2BE4" w14:textId="77777777" w:rsidR="00053D93" w:rsidRDefault="00260B75">
      <w:pPr>
        <w:spacing w:after="17" w:line="247" w:lineRule="auto"/>
        <w:ind w:left="1649" w:right="14" w:firstLine="4"/>
        <w:jc w:val="both"/>
      </w:pPr>
      <w:r>
        <w:rPr>
          <w:sz w:val="26"/>
        </w:rPr>
        <w:t>Anabella Maria Giracca Méndez de Castellanos</w:t>
      </w:r>
    </w:p>
    <w:p w14:paraId="0BA69C2E" w14:textId="77777777" w:rsidR="00053D93" w:rsidRDefault="00260B75">
      <w:pPr>
        <w:spacing w:after="17" w:line="247" w:lineRule="auto"/>
        <w:ind w:left="1670" w:right="14" w:firstLine="4"/>
        <w:jc w:val="both"/>
      </w:pPr>
      <w:r>
        <w:rPr>
          <w:sz w:val="26"/>
        </w:rPr>
        <w:t>Ministra de Educacion</w:t>
      </w:r>
    </w:p>
    <w:p w14:paraId="11C235BB" w14:textId="77777777" w:rsidR="00053D93" w:rsidRDefault="00260B75">
      <w:pPr>
        <w:spacing w:after="18" w:line="248" w:lineRule="auto"/>
        <w:ind w:left="1709" w:hanging="3"/>
        <w:jc w:val="both"/>
      </w:pPr>
      <w:r>
        <w:rPr>
          <w:sz w:val="28"/>
        </w:rPr>
        <w:t>MINISTERIO DE EDUCACION</w:t>
      </w:r>
    </w:p>
    <w:p w14:paraId="6293F011" w14:textId="77777777" w:rsidR="00053D93" w:rsidRDefault="00260B75">
      <w:pPr>
        <w:spacing w:after="251" w:line="247" w:lineRule="auto"/>
        <w:ind w:left="1656" w:right="14" w:firstLine="4"/>
        <w:jc w:val="both"/>
      </w:pPr>
      <w:r>
        <w:rPr>
          <w:sz w:val="26"/>
        </w:rPr>
        <w:t>Su Despacho</w:t>
      </w:r>
    </w:p>
    <w:p w14:paraId="606DB1A9" w14:textId="77777777" w:rsidR="00053D93" w:rsidRDefault="00260B75">
      <w:pPr>
        <w:spacing w:after="279" w:line="247" w:lineRule="auto"/>
        <w:ind w:left="14" w:right="1130" w:firstLine="1663"/>
        <w:jc w:val="both"/>
      </w:pPr>
      <w:r>
        <w:rPr>
          <w:noProof/>
        </w:rPr>
        <w:drawing>
          <wp:anchor distT="0" distB="0" distL="114300" distR="114300" simplePos="0" relativeHeight="251937792" behindDoc="0" locked="0" layoutInCell="1" allowOverlap="0" wp14:anchorId="60A15E16" wp14:editId="29A367A2">
            <wp:simplePos x="0" y="0"/>
            <wp:positionH relativeFrom="page">
              <wp:posOffset>187452</wp:posOffset>
            </wp:positionH>
            <wp:positionV relativeFrom="page">
              <wp:posOffset>9212580</wp:posOffset>
            </wp:positionV>
            <wp:extent cx="7520940" cy="685800"/>
            <wp:effectExtent l="0" t="0" r="0" b="0"/>
            <wp:wrapTopAndBottom/>
            <wp:docPr id="305598" name="Picture 305598"/>
            <wp:cNvGraphicFramePr/>
            <a:graphic xmlns:a="http://schemas.openxmlformats.org/drawingml/2006/main">
              <a:graphicData uri="http://schemas.openxmlformats.org/drawingml/2006/picture">
                <pic:pic xmlns:pic="http://schemas.openxmlformats.org/drawingml/2006/picture">
                  <pic:nvPicPr>
                    <pic:cNvPr id="305598" name="Picture 305598"/>
                    <pic:cNvPicPr/>
                  </pic:nvPicPr>
                  <pic:blipFill>
                    <a:blip r:embed="rId549"/>
                    <a:stretch>
                      <a:fillRect/>
                    </a:stretch>
                  </pic:blipFill>
                  <pic:spPr>
                    <a:xfrm>
                      <a:off x="0" y="0"/>
                      <a:ext cx="7520940" cy="685800"/>
                    </a:xfrm>
                    <a:prstGeom prst="rect">
                      <a:avLst/>
                    </a:prstGeom>
                  </pic:spPr>
                </pic:pic>
              </a:graphicData>
            </a:graphic>
          </wp:anchor>
        </w:drawing>
      </w:r>
      <w:r>
        <w:rPr>
          <w:sz w:val="26"/>
        </w:rPr>
        <w:t xml:space="preserve">Como parte de la aplicación de nuestros procedimientos de auditoría, para obtener seguridad razonable hemos realizado pruebas de cumplimiento de leyes y regulaciones aplicables, para establecer si la información acerca de la materia </w:t>
      </w:r>
      <w:r>
        <w:rPr>
          <w:rFonts w:ascii="Times New Roman" w:eastAsia="Times New Roman" w:hAnsi="Times New Roman" w:cs="Times New Roman"/>
          <w:sz w:val="26"/>
        </w:rPr>
        <w:t xml:space="preserve">1 </w:t>
      </w:r>
      <w:r>
        <w:rPr>
          <w:sz w:val="26"/>
        </w:rPr>
        <w:t xml:space="preserve">controlada de (la) (del) MINISTERIO DE EDUCACION correspondiente al ejercicio </w:t>
      </w:r>
      <w:r>
        <w:rPr>
          <w:noProof/>
        </w:rPr>
        <w:drawing>
          <wp:inline distT="0" distB="0" distL="0" distR="0" wp14:anchorId="7CCB6C11" wp14:editId="22FDCD8D">
            <wp:extent cx="18288" cy="18288"/>
            <wp:effectExtent l="0" t="0" r="0" b="0"/>
            <wp:docPr id="305505" name="Picture 305505"/>
            <wp:cNvGraphicFramePr/>
            <a:graphic xmlns:a="http://schemas.openxmlformats.org/drawingml/2006/main">
              <a:graphicData uri="http://schemas.openxmlformats.org/drawingml/2006/picture">
                <pic:pic xmlns:pic="http://schemas.openxmlformats.org/drawingml/2006/picture">
                  <pic:nvPicPr>
                    <pic:cNvPr id="305505" name="Picture 305505"/>
                    <pic:cNvPicPr/>
                  </pic:nvPicPr>
                  <pic:blipFill>
                    <a:blip r:embed="rId550"/>
                    <a:stretch>
                      <a:fillRect/>
                    </a:stretch>
                  </pic:blipFill>
                  <pic:spPr>
                    <a:xfrm>
                      <a:off x="0" y="0"/>
                      <a:ext cx="18288" cy="18288"/>
                    </a:xfrm>
                    <a:prstGeom prst="rect">
                      <a:avLst/>
                    </a:prstGeom>
                  </pic:spPr>
                </pic:pic>
              </a:graphicData>
            </a:graphic>
          </wp:inline>
        </w:drawing>
      </w:r>
      <w:r>
        <w:rPr>
          <w:sz w:val="26"/>
        </w:rPr>
        <w:t xml:space="preserve"> fiscal del 01 de enero al 31 de diciembre de 2024, resulta o no conforme, en todos sus aspectos significativos, con los criterios aplicados.</w:t>
      </w:r>
    </w:p>
    <w:p w14:paraId="6B459967" w14:textId="77777777" w:rsidR="00053D93" w:rsidRDefault="00260B75">
      <w:pPr>
        <w:spacing w:after="732" w:line="247" w:lineRule="auto"/>
        <w:ind w:left="14" w:right="1145" w:firstLine="1440"/>
        <w:jc w:val="both"/>
      </w:pPr>
      <w:r>
        <w:rPr>
          <w:sz w:val="26"/>
        </w:rPr>
        <w:t xml:space="preserve">El cumplimiento con los términos de las leyes y regulaciones aplicables, es </w:t>
      </w:r>
      <w:r>
        <w:rPr>
          <w:noProof/>
        </w:rPr>
        <mc:AlternateContent>
          <mc:Choice Requires="wpg">
            <w:drawing>
              <wp:inline distT="0" distB="0" distL="0" distR="0" wp14:anchorId="7DC359FC" wp14:editId="4A60087D">
                <wp:extent cx="137160" cy="297180"/>
                <wp:effectExtent l="0" t="0" r="0" b="0"/>
                <wp:docPr id="2455350" name="Group 2455350"/>
                <wp:cNvGraphicFramePr/>
                <a:graphic xmlns:a="http://schemas.openxmlformats.org/drawingml/2006/main">
                  <a:graphicData uri="http://schemas.microsoft.com/office/word/2010/wordprocessingGroup">
                    <wpg:wgp>
                      <wpg:cNvGrpSpPr/>
                      <wpg:grpSpPr>
                        <a:xfrm>
                          <a:off x="0" y="0"/>
                          <a:ext cx="137160" cy="297180"/>
                          <a:chOff x="0" y="0"/>
                          <a:chExt cx="137160" cy="297180"/>
                        </a:xfrm>
                      </wpg:grpSpPr>
                      <wps:wsp>
                        <wps:cNvPr id="299988" name="Rectangle 299988"/>
                        <wps:cNvSpPr/>
                        <wps:spPr>
                          <a:xfrm>
                            <a:off x="0" y="0"/>
                            <a:ext cx="182423" cy="395250"/>
                          </a:xfrm>
                          <a:prstGeom prst="rect">
                            <a:avLst/>
                          </a:prstGeom>
                          <a:ln>
                            <a:noFill/>
                          </a:ln>
                        </wps:spPr>
                        <wps:txbx>
                          <w:txbxContent>
                            <w:p w14:paraId="054E1402"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inline>
            </w:drawing>
          </mc:Choice>
          <mc:Fallback>
            <w:pict>
              <v:group w14:anchorId="7DC359FC" id="Group 2455350" o:spid="_x0000_s1257" style="width:10.8pt;height:23.4pt;mso-position-horizontal-relative:char;mso-position-vertical-relative:line" coordsize="13716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">
                <v:rect id="Rectangle 299988" o:spid="_x0000_s1258" style="position:absolute;width:182423;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" filled="f" stroked="f">
                  <v:textbox inset="0,0,0,0">
                    <w:txbxContent>
                      <w:p w14:paraId="054E1402" w14:textId="77777777" w:rsidR="00053D93" w:rsidRDefault="00260B75">
                        <w:r>
                          <w:rPr>
                            <w:rFonts w:ascii="Times New Roman" w:eastAsia="Times New Roman" w:hAnsi="Times New Roman" w:cs="Times New Roman"/>
                            <w:sz w:val="80"/>
                          </w:rPr>
                          <w:t>1</w:t>
                        </w:r>
                      </w:p>
                    </w:txbxContent>
                  </v:textbox>
                </v:rect>
                <w10:anchorlock/>
              </v:group>
            </w:pict>
          </mc:Fallback>
        </mc:AlternateContent>
      </w:r>
      <w:r>
        <w:rPr>
          <w:sz w:val="26"/>
        </w:rPr>
        <w:t xml:space="preserve"> responsabilidad de la administración, nuestro objetivo es expresar una conclusión sobre el cumplimiento general con tales leyes y regulaciones.</w:t>
      </w:r>
    </w:p>
    <w:p w14:paraId="681AEBAB" w14:textId="77777777" w:rsidR="00053D93" w:rsidRDefault="00260B75">
      <w:pPr>
        <w:tabs>
          <w:tab w:val="center" w:pos="2268"/>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Conclusión</w:t>
      </w:r>
    </w:p>
    <w:p w14:paraId="6BCFE4A6" w14:textId="77777777" w:rsidR="00053D93" w:rsidRDefault="00260B75">
      <w:pPr>
        <w:spacing w:after="17" w:line="247" w:lineRule="auto"/>
        <w:ind w:left="14" w:right="1145" w:firstLine="4"/>
        <w:jc w:val="both"/>
      </w:pPr>
      <w:r>
        <w:rPr>
          <w:rFonts w:ascii="Times New Roman" w:eastAsia="Times New Roman" w:hAnsi="Times New Roman" w:cs="Times New Roman"/>
          <w:sz w:val="26"/>
        </w:rPr>
        <w:lastRenderedPageBreak/>
        <w:t xml:space="preserve">1 </w:t>
      </w:r>
      <w:r>
        <w:rPr>
          <w:sz w:val="26"/>
        </w:rPr>
        <w:t xml:space="preserve">Consideramos que la información acerca de la materia controlada de la entidad auditada resulta conforme, en los aspectos significativos, con los criterios aplicados, salvo el (los) hallazgo (s) que se describen a detalle en el apartado </w:t>
      </w:r>
      <w:r>
        <w:rPr>
          <w:rFonts w:ascii="Times New Roman" w:eastAsia="Times New Roman" w:hAnsi="Times New Roman" w:cs="Times New Roman"/>
          <w:sz w:val="26"/>
        </w:rPr>
        <w:t xml:space="preserve">1 </w:t>
      </w:r>
      <w:r>
        <w:rPr>
          <w:sz w:val="26"/>
        </w:rPr>
        <w:t>correspondiente de conformidad al (a los) tftulo (s) siguiente (s):</w:t>
      </w:r>
    </w:p>
    <w:p w14:paraId="218392DE" w14:textId="77777777" w:rsidR="00053D93" w:rsidRDefault="00260B75">
      <w:pPr>
        <w:spacing w:after="55" w:line="248" w:lineRule="auto"/>
        <w:ind w:left="1709" w:right="72" w:hanging="3"/>
        <w:jc w:val="both"/>
      </w:pPr>
      <w:r>
        <w:rPr>
          <w:noProof/>
        </w:rPr>
        <mc:AlternateContent>
          <mc:Choice Requires="wpg">
            <w:drawing>
              <wp:anchor distT="0" distB="0" distL="114300" distR="114300" simplePos="0" relativeHeight="251938816" behindDoc="0" locked="0" layoutInCell="1" allowOverlap="1" wp14:anchorId="61328BA2" wp14:editId="6B23B917">
                <wp:simplePos x="0" y="0"/>
                <wp:positionH relativeFrom="column">
                  <wp:posOffset>36576</wp:posOffset>
                </wp:positionH>
                <wp:positionV relativeFrom="paragraph">
                  <wp:posOffset>43587</wp:posOffset>
                </wp:positionV>
                <wp:extent cx="114300" cy="297180"/>
                <wp:effectExtent l="0" t="0" r="0" b="0"/>
                <wp:wrapSquare wrapText="bothSides"/>
                <wp:docPr id="2455351" name="Group 2455351"/>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99992" name="Rectangle 299992"/>
                        <wps:cNvSpPr/>
                        <wps:spPr>
                          <a:xfrm>
                            <a:off x="0" y="0"/>
                            <a:ext cx="152019" cy="395249"/>
                          </a:xfrm>
                          <a:prstGeom prst="rect">
                            <a:avLst/>
                          </a:prstGeom>
                          <a:ln>
                            <a:noFill/>
                          </a:ln>
                        </wps:spPr>
                        <wps:txbx>
                          <w:txbxContent>
                            <w:p w14:paraId="19D37A10"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anchor>
            </w:drawing>
          </mc:Choice>
          <mc:Fallback>
            <w:pict>
              <v:group w14:anchorId="61328BA2" id="Group 2455351" o:spid="_x0000_s1259" style="position:absolute;left:0;text-align:left;margin-left:2.9pt;margin-top:3.45pt;width:9pt;height:23.4pt;z-index:251938816;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">
                <v:rect id="Rectangle 299992" o:spid="_x0000_s1260"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" filled="f" stroked="f">
                  <v:textbox inset="0,0,0,0">
                    <w:txbxContent>
                      <w:p w14:paraId="19D37A10" w14:textId="77777777" w:rsidR="00053D93" w:rsidRDefault="00260B75">
                        <w:r>
                          <w:rPr>
                            <w:rFonts w:ascii="Times New Roman" w:eastAsia="Times New Roman" w:hAnsi="Times New Roman" w:cs="Times New Roman"/>
                            <w:sz w:val="66"/>
                          </w:rPr>
                          <w:t>1</w:t>
                        </w:r>
                      </w:p>
                    </w:txbxContent>
                  </v:textbox>
                </v:rect>
                <w10:wrap type="square"/>
              </v:group>
            </w:pict>
          </mc:Fallback>
        </mc:AlternateContent>
      </w:r>
      <w:r>
        <w:rPr>
          <w:sz w:val="28"/>
        </w:rPr>
        <w:t>Hallazgos relacionados con el cumplimiento de leyes y regulaciones aplicables</w:t>
      </w:r>
    </w:p>
    <w:p w14:paraId="4FA60B1D" w14:textId="77777777" w:rsidR="00053D93" w:rsidRDefault="00260B75">
      <w:pPr>
        <w:spacing w:after="295" w:line="248" w:lineRule="auto"/>
        <w:ind w:left="1709" w:hanging="3"/>
        <w:jc w:val="both"/>
      </w:pPr>
      <w:r>
        <w:rPr>
          <w:sz w:val="28"/>
        </w:rPr>
        <w:t>Área financiera y cumplimiento</w:t>
      </w:r>
    </w:p>
    <w:p w14:paraId="300547C7" w14:textId="77777777" w:rsidR="00053D93" w:rsidRDefault="00260B75">
      <w:pPr>
        <w:tabs>
          <w:tab w:val="center" w:pos="4705"/>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DIRECCION GENERAL DE EDUCACION FISICA -DIGEF-</w:t>
      </w:r>
    </w:p>
    <w:p w14:paraId="559F7AE1" w14:textId="77777777" w:rsidR="00053D93" w:rsidRDefault="00260B75">
      <w:pPr>
        <w:spacing w:after="269" w:line="247" w:lineRule="auto"/>
        <w:ind w:left="1706" w:right="14" w:firstLine="4"/>
        <w:jc w:val="both"/>
      </w:pPr>
      <w:r>
        <w:rPr>
          <w:sz w:val="26"/>
        </w:rPr>
        <w:t>1. Falta de reposición de activos fijos (Hallazgo No. 1)</w:t>
      </w:r>
    </w:p>
    <w:p w14:paraId="6239DE8E" w14:textId="77777777" w:rsidR="00053D93" w:rsidRDefault="00260B75">
      <w:pPr>
        <w:tabs>
          <w:tab w:val="center" w:pos="4928"/>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2. Incumplimientos a la Ley de Servicio Civil (Hallazgo No. 2) </w:t>
      </w:r>
      <w:r>
        <w:rPr>
          <w:noProof/>
        </w:rPr>
        <w:drawing>
          <wp:inline distT="0" distB="0" distL="0" distR="0" wp14:anchorId="54808F21" wp14:editId="62FFD4DB">
            <wp:extent cx="13716" cy="18288"/>
            <wp:effectExtent l="0" t="0" r="0" b="0"/>
            <wp:docPr id="305506" name="Picture 305506"/>
            <wp:cNvGraphicFramePr/>
            <a:graphic xmlns:a="http://schemas.openxmlformats.org/drawingml/2006/main">
              <a:graphicData uri="http://schemas.openxmlformats.org/drawingml/2006/picture">
                <pic:pic xmlns:pic="http://schemas.openxmlformats.org/drawingml/2006/picture">
                  <pic:nvPicPr>
                    <pic:cNvPr id="305506" name="Picture 305506"/>
                    <pic:cNvPicPr/>
                  </pic:nvPicPr>
                  <pic:blipFill>
                    <a:blip r:embed="rId551"/>
                    <a:stretch>
                      <a:fillRect/>
                    </a:stretch>
                  </pic:blipFill>
                  <pic:spPr>
                    <a:xfrm>
                      <a:off x="0" y="0"/>
                      <a:ext cx="13716" cy="18288"/>
                    </a:xfrm>
                    <a:prstGeom prst="rect">
                      <a:avLst/>
                    </a:prstGeom>
                  </pic:spPr>
                </pic:pic>
              </a:graphicData>
            </a:graphic>
          </wp:inline>
        </w:drawing>
      </w:r>
    </w:p>
    <w:p w14:paraId="611BDF1A" w14:textId="77777777" w:rsidR="00053D93" w:rsidRDefault="00260B75">
      <w:pPr>
        <w:spacing w:after="219" w:line="247" w:lineRule="auto"/>
        <w:ind w:left="1699" w:right="14" w:firstLine="4"/>
        <w:jc w:val="both"/>
      </w:pPr>
      <w:r>
        <w:rPr>
          <w:sz w:val="26"/>
        </w:rPr>
        <w:t>3. Falta de calidad del gasto por la utilización inoportuna de equipo, materiales y</w:t>
      </w:r>
    </w:p>
    <w:p w14:paraId="054AC968" w14:textId="77777777" w:rsidR="00053D93" w:rsidRDefault="00260B75">
      <w:pPr>
        <w:tabs>
          <w:tab w:val="center" w:pos="4054"/>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suministros adquiridos (Hallazgo No. 3)</w:t>
      </w:r>
    </w:p>
    <w:p w14:paraId="211D4FE8" w14:textId="77777777" w:rsidR="00053D93" w:rsidRDefault="00053D93">
      <w:pPr>
        <w:sectPr w:rsidR="00053D93">
          <w:headerReference w:type="even" r:id="rId552"/>
          <w:headerReference w:type="default" r:id="rId553"/>
          <w:footerReference w:type="even" r:id="rId554"/>
          <w:footerReference w:type="default" r:id="rId555"/>
          <w:headerReference w:type="first" r:id="rId556"/>
          <w:footerReference w:type="first" r:id="rId557"/>
          <w:pgSz w:w="12290" w:h="15883"/>
          <w:pgMar w:top="842" w:right="677" w:bottom="194" w:left="396" w:header="814" w:footer="24" w:gutter="0"/>
          <w:cols w:space="720"/>
          <w:titlePg/>
        </w:sectPr>
      </w:pPr>
    </w:p>
    <w:p w14:paraId="7C8F48CD" w14:textId="77777777" w:rsidR="00053D93" w:rsidRDefault="00260B75">
      <w:pPr>
        <w:spacing w:after="1064" w:line="265" w:lineRule="auto"/>
        <w:ind w:left="1666" w:hanging="10"/>
      </w:pPr>
      <w:r>
        <w:rPr>
          <w:sz w:val="12"/>
        </w:rPr>
        <w:lastRenderedPageBreak/>
        <w:t>GJATEMALA. CA</w:t>
      </w:r>
    </w:p>
    <w:p w14:paraId="1FE8D24B" w14:textId="77777777" w:rsidR="00053D93" w:rsidRDefault="00260B75">
      <w:pPr>
        <w:numPr>
          <w:ilvl w:val="0"/>
          <w:numId w:val="5"/>
        </w:numPr>
        <w:spacing w:after="55" w:line="247" w:lineRule="auto"/>
        <w:ind w:right="14" w:hanging="389"/>
        <w:jc w:val="both"/>
      </w:pPr>
      <w:r>
        <w:rPr>
          <w:sz w:val="26"/>
        </w:rPr>
        <w:t>Faltante de activos fijos (Hallazgo No. 4)</w:t>
      </w:r>
    </w:p>
    <w:p w14:paraId="41D8376D" w14:textId="77777777" w:rsidR="00053D93" w:rsidRDefault="00260B75">
      <w:pPr>
        <w:numPr>
          <w:ilvl w:val="0"/>
          <w:numId w:val="5"/>
        </w:numPr>
        <w:spacing w:after="72" w:line="247" w:lineRule="auto"/>
        <w:ind w:right="14" w:hanging="389"/>
        <w:jc w:val="both"/>
      </w:pPr>
      <w:r>
        <w:rPr>
          <w:sz w:val="26"/>
        </w:rPr>
        <w:t>Incumplimiento en el plazo de entrega de documentación (Hallazgo No. 5)</w:t>
      </w:r>
    </w:p>
    <w:p w14:paraId="1ED32292" w14:textId="77777777" w:rsidR="00053D93" w:rsidRDefault="00260B75">
      <w:pPr>
        <w:numPr>
          <w:ilvl w:val="0"/>
          <w:numId w:val="5"/>
        </w:numPr>
        <w:spacing w:after="92" w:line="247" w:lineRule="auto"/>
        <w:ind w:right="14" w:hanging="389"/>
        <w:jc w:val="both"/>
      </w:pPr>
      <w:r>
        <w:rPr>
          <w:sz w:val="26"/>
        </w:rPr>
        <w:t>Falta de ejecución presupuestaria y gestión oportuna en la readecuación de recursos (Hallazgo No. 6)</w:t>
      </w:r>
    </w:p>
    <w:p w14:paraId="24E209F1" w14:textId="77777777" w:rsidR="00053D93" w:rsidRDefault="00260B75">
      <w:pPr>
        <w:numPr>
          <w:ilvl w:val="0"/>
          <w:numId w:val="5"/>
        </w:numPr>
        <w:spacing w:after="421" w:line="247" w:lineRule="auto"/>
        <w:ind w:right="14" w:hanging="389"/>
        <w:jc w:val="both"/>
      </w:pPr>
      <w:r>
        <w:rPr>
          <w:sz w:val="26"/>
        </w:rPr>
        <w:t>Falta de actualización de registros en tarjetas de responsabilidad (Hallazgo</w:t>
      </w:r>
    </w:p>
    <w:p w14:paraId="0EA4204C" w14:textId="77777777" w:rsidR="00053D93" w:rsidRDefault="00260B75">
      <w:pPr>
        <w:numPr>
          <w:ilvl w:val="0"/>
          <w:numId w:val="5"/>
        </w:numPr>
        <w:spacing w:after="17" w:line="247" w:lineRule="auto"/>
        <w:ind w:right="14" w:hanging="389"/>
        <w:jc w:val="both"/>
      </w:pPr>
      <w:r>
        <w:rPr>
          <w:sz w:val="26"/>
        </w:rPr>
        <w:t>Falta de seguimiento a recomendaciones de auditoría anterior (Hallazgo No.</w:t>
      </w:r>
    </w:p>
    <w:p w14:paraId="4977AA7F" w14:textId="77777777" w:rsidR="00053D93" w:rsidRDefault="00260B75">
      <w:pPr>
        <w:spacing w:after="101"/>
        <w:ind w:left="2091" w:hanging="10"/>
      </w:pPr>
      <w:r>
        <w:rPr>
          <w:rFonts w:ascii="Times New Roman" w:eastAsia="Times New Roman" w:hAnsi="Times New Roman" w:cs="Times New Roman"/>
          <w:sz w:val="24"/>
        </w:rPr>
        <w:t>8)</w:t>
      </w:r>
    </w:p>
    <w:p w14:paraId="0ED4AE65" w14:textId="77777777" w:rsidR="00053D93" w:rsidRDefault="00260B75">
      <w:pPr>
        <w:numPr>
          <w:ilvl w:val="0"/>
          <w:numId w:val="5"/>
        </w:numPr>
        <w:spacing w:after="73" w:line="247" w:lineRule="auto"/>
        <w:ind w:right="14" w:hanging="389"/>
        <w:jc w:val="both"/>
      </w:pPr>
      <w:r>
        <w:rPr>
          <w:sz w:val="26"/>
        </w:rPr>
        <w:t>Irregularidades en la adquisición de boletos aéreos en los procesos de cotización y compra directa por ausencia de ofertas en perjuicio del patrimonio del Ministerio de Educación (Hallazgo No. 9)</w:t>
      </w:r>
    </w:p>
    <w:p w14:paraId="10330D85" w14:textId="77777777" w:rsidR="00053D93" w:rsidRDefault="00260B75">
      <w:pPr>
        <w:pStyle w:val="Ttulo3"/>
        <w:spacing w:after="388"/>
        <w:ind w:left="1687" w:right="7"/>
      </w:pPr>
      <w:r>
        <w:t>DIRECCION GENERAL DE PARTICIPACION COMUNITARIA Y SERVICIOS DE APOYO -DIGEPSA-</w:t>
      </w:r>
    </w:p>
    <w:p w14:paraId="119A5CF8" w14:textId="77777777" w:rsidR="00053D93" w:rsidRDefault="00260B75">
      <w:pPr>
        <w:tabs>
          <w:tab w:val="center" w:pos="4914"/>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10. Falta de respaldo de sistemas informáticos (Hallazgo No. 1)</w:t>
      </w:r>
    </w:p>
    <w:p w14:paraId="69ED4BAA" w14:textId="77777777" w:rsidR="00053D93" w:rsidRDefault="00260B75">
      <w:pPr>
        <w:spacing w:after="208" w:line="247" w:lineRule="auto"/>
        <w:ind w:left="1714" w:right="14" w:firstLine="4"/>
        <w:jc w:val="both"/>
      </w:pPr>
      <w:r>
        <w:rPr>
          <w:sz w:val="26"/>
        </w:rPr>
        <w:t>11. Deficiente supervisión y seguimiento a las regularizaciones de los programas</w:t>
      </w:r>
    </w:p>
    <w:p w14:paraId="4F7CB417" w14:textId="77777777" w:rsidR="00053D93" w:rsidRDefault="00260B75">
      <w:pPr>
        <w:tabs>
          <w:tab w:val="right" w:pos="10109"/>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 apoyo en la base de datos del Sistema de Asignación y Dotación de</w:t>
      </w:r>
    </w:p>
    <w:p w14:paraId="7E15AF71" w14:textId="77777777" w:rsidR="00053D93" w:rsidRDefault="00260B75">
      <w:pPr>
        <w:spacing w:after="176" w:line="247" w:lineRule="auto"/>
        <w:ind w:left="2081" w:right="14" w:firstLine="4"/>
        <w:jc w:val="both"/>
      </w:pPr>
      <w:r>
        <w:rPr>
          <w:noProof/>
        </w:rPr>
        <w:drawing>
          <wp:anchor distT="0" distB="0" distL="114300" distR="114300" simplePos="0" relativeHeight="251939840" behindDoc="0" locked="0" layoutInCell="1" allowOverlap="0" wp14:anchorId="0B95B6AB" wp14:editId="098D8130">
            <wp:simplePos x="0" y="0"/>
            <wp:positionH relativeFrom="page">
              <wp:posOffset>1005840</wp:posOffset>
            </wp:positionH>
            <wp:positionV relativeFrom="page">
              <wp:posOffset>516636</wp:posOffset>
            </wp:positionV>
            <wp:extent cx="960120" cy="406908"/>
            <wp:effectExtent l="0" t="0" r="0" b="0"/>
            <wp:wrapTopAndBottom/>
            <wp:docPr id="311958" name="Picture 311958"/>
            <wp:cNvGraphicFramePr/>
            <a:graphic xmlns:a="http://schemas.openxmlformats.org/drawingml/2006/main">
              <a:graphicData uri="http://schemas.openxmlformats.org/drawingml/2006/picture">
                <pic:pic xmlns:pic="http://schemas.openxmlformats.org/drawingml/2006/picture">
                  <pic:nvPicPr>
                    <pic:cNvPr id="311958" name="Picture 311958"/>
                    <pic:cNvPicPr/>
                  </pic:nvPicPr>
                  <pic:blipFill>
                    <a:blip r:embed="rId558"/>
                    <a:stretch>
                      <a:fillRect/>
                    </a:stretch>
                  </pic:blipFill>
                  <pic:spPr>
                    <a:xfrm>
                      <a:off x="0" y="0"/>
                      <a:ext cx="960120" cy="406908"/>
                    </a:xfrm>
                    <a:prstGeom prst="rect">
                      <a:avLst/>
                    </a:prstGeom>
                  </pic:spPr>
                </pic:pic>
              </a:graphicData>
            </a:graphic>
          </wp:anchor>
        </w:drawing>
      </w:r>
      <w:r>
        <w:rPr>
          <w:noProof/>
        </w:rPr>
        <w:drawing>
          <wp:anchor distT="0" distB="0" distL="114300" distR="114300" simplePos="0" relativeHeight="251940864" behindDoc="0" locked="0" layoutInCell="1" allowOverlap="0" wp14:anchorId="14A1B15B" wp14:editId="1A1DBC43">
            <wp:simplePos x="0" y="0"/>
            <wp:positionH relativeFrom="page">
              <wp:posOffset>4517136</wp:posOffset>
            </wp:positionH>
            <wp:positionV relativeFrom="page">
              <wp:posOffset>877824</wp:posOffset>
            </wp:positionV>
            <wp:extent cx="13716" cy="18288"/>
            <wp:effectExtent l="0" t="0" r="0" b="0"/>
            <wp:wrapTopAndBottom/>
            <wp:docPr id="311830" name="Picture 311830"/>
            <wp:cNvGraphicFramePr/>
            <a:graphic xmlns:a="http://schemas.openxmlformats.org/drawingml/2006/main">
              <a:graphicData uri="http://schemas.openxmlformats.org/drawingml/2006/picture">
                <pic:pic xmlns:pic="http://schemas.openxmlformats.org/drawingml/2006/picture">
                  <pic:nvPicPr>
                    <pic:cNvPr id="311830" name="Picture 311830"/>
                    <pic:cNvPicPr/>
                  </pic:nvPicPr>
                  <pic:blipFill>
                    <a:blip r:embed="rId559"/>
                    <a:stretch>
                      <a:fillRect/>
                    </a:stretch>
                  </pic:blipFill>
                  <pic:spPr>
                    <a:xfrm>
                      <a:off x="0" y="0"/>
                      <a:ext cx="13716" cy="18288"/>
                    </a:xfrm>
                    <a:prstGeom prst="rect">
                      <a:avLst/>
                    </a:prstGeom>
                  </pic:spPr>
                </pic:pic>
              </a:graphicData>
            </a:graphic>
          </wp:anchor>
        </w:drawing>
      </w:r>
      <w:r>
        <w:rPr>
          <w:sz w:val="26"/>
        </w:rPr>
        <w:t>Recursos -SDR- (Hallazgo No. 2)</w:t>
      </w:r>
    </w:p>
    <w:p w14:paraId="20F88122" w14:textId="77777777" w:rsidR="00053D93" w:rsidRDefault="00260B75">
      <w:pPr>
        <w:pStyle w:val="Ttulo2"/>
        <w:tabs>
          <w:tab w:val="center" w:pos="5101"/>
        </w:tabs>
        <w:spacing w:after="3" w:line="261" w:lineRule="auto"/>
        <w:ind w:left="0" w:right="0" w:firstLine="0"/>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DIRECCION GENERAL DE GESTION DE CALIDAD EDUCATIVA</w:t>
      </w:r>
    </w:p>
    <w:p w14:paraId="787EAB39" w14:textId="77777777" w:rsidR="00053D93" w:rsidRDefault="00260B75">
      <w:pPr>
        <w:spacing w:after="457" w:line="247" w:lineRule="auto"/>
        <w:ind w:left="2081" w:right="14" w:hanging="367"/>
        <w:jc w:val="both"/>
      </w:pPr>
      <w:r>
        <w:rPr>
          <w:sz w:val="26"/>
        </w:rPr>
        <w:t>12. Falta de conciliación del Libro de Inventarios con el Sistema de Contabilidad Integrada -SICOIN- (Hallazgo No. 1)</w:t>
      </w:r>
    </w:p>
    <w:p w14:paraId="2E7B9A8D" w14:textId="77777777" w:rsidR="00053D93" w:rsidRDefault="00260B75">
      <w:pPr>
        <w:tabs>
          <w:tab w:val="center" w:pos="5267"/>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13. Falta de realización de inventarios físicos anuales (Hallazgo No. 2)</w:t>
      </w:r>
    </w:p>
    <w:p w14:paraId="56E4DBFA" w14:textId="77777777" w:rsidR="00053D93" w:rsidRDefault="00260B75">
      <w:pPr>
        <w:numPr>
          <w:ilvl w:val="0"/>
          <w:numId w:val="6"/>
        </w:numPr>
        <w:spacing w:after="17" w:line="247" w:lineRule="auto"/>
        <w:ind w:right="14" w:firstLine="1678"/>
        <w:jc w:val="both"/>
      </w:pPr>
      <w:r>
        <w:rPr>
          <w:sz w:val="26"/>
        </w:rPr>
        <w:t xml:space="preserve">Incumplimiento en las Metas Físicas y Financieras sobre la Provisión de </w:t>
      </w:r>
      <w:r>
        <w:rPr>
          <w:rFonts w:ascii="Times New Roman" w:eastAsia="Times New Roman" w:hAnsi="Times New Roman" w:cs="Times New Roman"/>
          <w:sz w:val="26"/>
        </w:rPr>
        <w:t xml:space="preserve">1 </w:t>
      </w:r>
      <w:r>
        <w:rPr>
          <w:sz w:val="26"/>
        </w:rPr>
        <w:t>Textos Escolares en los Niveles Educativos de Primaria y Preprimaria.</w:t>
      </w:r>
    </w:p>
    <w:p w14:paraId="24D7EDF9" w14:textId="77777777" w:rsidR="00053D93" w:rsidRDefault="00260B75">
      <w:pPr>
        <w:spacing w:after="61" w:line="247" w:lineRule="auto"/>
        <w:ind w:left="2081" w:right="14" w:firstLine="4"/>
        <w:jc w:val="both"/>
      </w:pPr>
      <w:r>
        <w:rPr>
          <w:sz w:val="26"/>
        </w:rPr>
        <w:t>(Hallazgo No. 3)</w:t>
      </w:r>
    </w:p>
    <w:p w14:paraId="0AD12F5E" w14:textId="77777777" w:rsidR="00053D93" w:rsidRDefault="00260B75">
      <w:pPr>
        <w:numPr>
          <w:ilvl w:val="0"/>
          <w:numId w:val="6"/>
        </w:numPr>
        <w:spacing w:after="459" w:line="247" w:lineRule="auto"/>
        <w:ind w:right="14" w:firstLine="1678"/>
        <w:jc w:val="both"/>
      </w:pPr>
      <w:r>
        <w:rPr>
          <w:sz w:val="26"/>
        </w:rPr>
        <w:t>Falta de publicación de Facturas en Guatecompras (Hallazgo No. 4)</w:t>
      </w:r>
    </w:p>
    <w:p w14:paraId="1612EEAF" w14:textId="77777777" w:rsidR="00053D93" w:rsidRDefault="00260B75">
      <w:pPr>
        <w:tabs>
          <w:tab w:val="right" w:pos="10109"/>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16. Publicación extemporánea del Acta de Negociación en Guatecompras.</w:t>
      </w:r>
    </w:p>
    <w:p w14:paraId="6F5B78A0" w14:textId="77777777" w:rsidR="00053D93" w:rsidRDefault="00260B75">
      <w:pPr>
        <w:spacing w:after="332" w:line="247" w:lineRule="auto"/>
        <w:ind w:left="2081" w:right="14" w:firstLine="4"/>
        <w:jc w:val="both"/>
      </w:pPr>
      <w:r>
        <w:rPr>
          <w:sz w:val="26"/>
        </w:rPr>
        <w:t>(Hallazgo No. 5)</w:t>
      </w:r>
    </w:p>
    <w:p w14:paraId="232F9627" w14:textId="77777777" w:rsidR="00053D93" w:rsidRDefault="00260B75">
      <w:pPr>
        <w:spacing w:after="17" w:line="408" w:lineRule="auto"/>
        <w:ind w:left="2030" w:right="14" w:hanging="2016"/>
        <w:jc w:val="both"/>
      </w:pPr>
      <w:r>
        <w:rPr>
          <w:rFonts w:ascii="Times New Roman" w:eastAsia="Times New Roman" w:hAnsi="Times New Roman" w:cs="Times New Roman"/>
          <w:sz w:val="26"/>
        </w:rPr>
        <w:lastRenderedPageBreak/>
        <w:t xml:space="preserve">1 </w:t>
      </w:r>
      <w:r>
        <w:rPr>
          <w:sz w:val="26"/>
        </w:rPr>
        <w:t>17. Falta de Registro de Bienes en Donaciones en el Libro de Inventarios y en el Módulo SICOIN. (Hallazgo No. 6)</w:t>
      </w:r>
    </w:p>
    <w:p w14:paraId="73A00BBD" w14:textId="77777777" w:rsidR="00053D93" w:rsidRDefault="00260B75">
      <w:pPr>
        <w:tabs>
          <w:tab w:val="center" w:pos="5188"/>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DIRECCIÓN DEPARTAMENTAL DE EDUCACION DE ESCUINTLA</w:t>
      </w:r>
    </w:p>
    <w:p w14:paraId="5DEF4CFE" w14:textId="77777777" w:rsidR="00053D93" w:rsidRDefault="00260B75">
      <w:pPr>
        <w:spacing w:after="369" w:line="247" w:lineRule="auto"/>
        <w:ind w:left="2066" w:right="14" w:hanging="360"/>
        <w:jc w:val="both"/>
      </w:pPr>
      <w:r>
        <w:rPr>
          <w:sz w:val="26"/>
        </w:rPr>
        <w:t>18. Irregularidad en el manejo de los recursos financieros de los programas de apoyo a la Educación (Hallazgo No. 1)</w:t>
      </w:r>
      <w:r>
        <w:rPr>
          <w:noProof/>
        </w:rPr>
        <w:drawing>
          <wp:inline distT="0" distB="0" distL="0" distR="0" wp14:anchorId="01CC25C5" wp14:editId="0FD1985D">
            <wp:extent cx="265176" cy="50292"/>
            <wp:effectExtent l="0" t="0" r="0" b="0"/>
            <wp:docPr id="2458302" name="Picture 2458302"/>
            <wp:cNvGraphicFramePr/>
            <a:graphic xmlns:a="http://schemas.openxmlformats.org/drawingml/2006/main">
              <a:graphicData uri="http://schemas.openxmlformats.org/drawingml/2006/picture">
                <pic:pic xmlns:pic="http://schemas.openxmlformats.org/drawingml/2006/picture">
                  <pic:nvPicPr>
                    <pic:cNvPr id="2458302" name="Picture 2458302"/>
                    <pic:cNvPicPr/>
                  </pic:nvPicPr>
                  <pic:blipFill>
                    <a:blip r:embed="rId560"/>
                    <a:stretch>
                      <a:fillRect/>
                    </a:stretch>
                  </pic:blipFill>
                  <pic:spPr>
                    <a:xfrm>
                      <a:off x="0" y="0"/>
                      <a:ext cx="265176" cy="50292"/>
                    </a:xfrm>
                    <a:prstGeom prst="rect">
                      <a:avLst/>
                    </a:prstGeom>
                  </pic:spPr>
                </pic:pic>
              </a:graphicData>
            </a:graphic>
          </wp:inline>
        </w:drawing>
      </w:r>
    </w:p>
    <w:p w14:paraId="40698583" w14:textId="77777777" w:rsidR="00053D93" w:rsidRDefault="00260B75">
      <w:pPr>
        <w:tabs>
          <w:tab w:val="center" w:pos="5285"/>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DIRECCION DEPARTAMENTAL DE EDUCACION DE SANTA ROSA</w:t>
      </w:r>
    </w:p>
    <w:p w14:paraId="2B33D93E" w14:textId="77777777" w:rsidR="00053D93" w:rsidRDefault="00260B75">
      <w:pPr>
        <w:numPr>
          <w:ilvl w:val="0"/>
          <w:numId w:val="7"/>
        </w:numPr>
        <w:spacing w:after="93" w:line="247" w:lineRule="auto"/>
        <w:ind w:right="14" w:hanging="389"/>
        <w:jc w:val="both"/>
      </w:pPr>
      <w:r>
        <w:rPr>
          <w:sz w:val="26"/>
        </w:rPr>
        <w:t>Envío extemporáneo de movimientos de personal a la Dirección de Probidad</w:t>
      </w:r>
    </w:p>
    <w:p w14:paraId="7F21F384" w14:textId="77777777" w:rsidR="00053D93" w:rsidRDefault="00260B75">
      <w:pPr>
        <w:spacing w:after="3"/>
        <w:ind w:left="-69" w:hanging="10"/>
      </w:pPr>
      <w:r>
        <w:rPr>
          <w:noProof/>
        </w:rPr>
        <w:drawing>
          <wp:inline distT="0" distB="0" distL="0" distR="0" wp14:anchorId="76CED830" wp14:editId="7848A750">
            <wp:extent cx="7520940" cy="777240"/>
            <wp:effectExtent l="0" t="0" r="0" b="0"/>
            <wp:docPr id="2458304" name="Picture 2458304"/>
            <wp:cNvGraphicFramePr/>
            <a:graphic xmlns:a="http://schemas.openxmlformats.org/drawingml/2006/main">
              <a:graphicData uri="http://schemas.openxmlformats.org/drawingml/2006/picture">
                <pic:pic xmlns:pic="http://schemas.openxmlformats.org/drawingml/2006/picture">
                  <pic:nvPicPr>
                    <pic:cNvPr id="2458304" name="Picture 2458304"/>
                    <pic:cNvPicPr/>
                  </pic:nvPicPr>
                  <pic:blipFill>
                    <a:blip r:embed="rId561"/>
                    <a:stretch>
                      <a:fillRect/>
                    </a:stretch>
                  </pic:blipFill>
                  <pic:spPr>
                    <a:xfrm>
                      <a:off x="0" y="0"/>
                      <a:ext cx="7520940" cy="777240"/>
                    </a:xfrm>
                    <a:prstGeom prst="rect">
                      <a:avLst/>
                    </a:prstGeom>
                  </pic:spPr>
                </pic:pic>
              </a:graphicData>
            </a:graphic>
          </wp:inline>
        </w:drawing>
      </w:r>
      <w:r>
        <w:rPr>
          <w:rFonts w:ascii="Times New Roman" w:eastAsia="Times New Roman" w:hAnsi="Times New Roman" w:cs="Times New Roman"/>
          <w:sz w:val="72"/>
        </w:rPr>
        <w:t>1</w:t>
      </w:r>
    </w:p>
    <w:p w14:paraId="5488008B" w14:textId="77777777" w:rsidR="00053D93" w:rsidRDefault="00260B75">
      <w:pPr>
        <w:spacing w:after="72" w:line="247" w:lineRule="auto"/>
        <w:ind w:left="2131" w:right="14" w:firstLine="4"/>
        <w:jc w:val="both"/>
      </w:pPr>
      <w:r>
        <w:rPr>
          <w:sz w:val="26"/>
        </w:rPr>
        <w:t>(Hallazgo No. 1)</w:t>
      </w:r>
    </w:p>
    <w:p w14:paraId="0089BC6D" w14:textId="77777777" w:rsidR="00053D93" w:rsidRDefault="00260B75">
      <w:pPr>
        <w:numPr>
          <w:ilvl w:val="0"/>
          <w:numId w:val="7"/>
        </w:numPr>
        <w:spacing w:after="54" w:line="247" w:lineRule="auto"/>
        <w:ind w:right="14" w:hanging="389"/>
        <w:jc w:val="both"/>
      </w:pPr>
      <w:r>
        <w:rPr>
          <w:sz w:val="26"/>
        </w:rPr>
        <w:t>Falta de publicación de Facturas en Guatecompras (Hallazgo No. 2)</w:t>
      </w:r>
    </w:p>
    <w:p w14:paraId="3F0E529A" w14:textId="77777777" w:rsidR="00053D93" w:rsidRDefault="00260B75">
      <w:pPr>
        <w:numPr>
          <w:ilvl w:val="0"/>
          <w:numId w:val="7"/>
        </w:numPr>
        <w:spacing w:after="63" w:line="247" w:lineRule="auto"/>
        <w:ind w:right="14" w:hanging="389"/>
        <w:jc w:val="both"/>
      </w:pPr>
      <w:r>
        <w:rPr>
          <w:sz w:val="26"/>
        </w:rPr>
        <w:t>Falta de Publicación de Actas de Negociación y Solicitud o Requerimiento del Bien en Guatecompras. (Hallazgo No. 3)</w:t>
      </w:r>
    </w:p>
    <w:p w14:paraId="2383AFD8" w14:textId="77777777" w:rsidR="00053D93" w:rsidRDefault="00260B75">
      <w:pPr>
        <w:pStyle w:val="Ttulo3"/>
        <w:ind w:left="1760" w:right="7"/>
      </w:pPr>
      <w:r>
        <w:t>DIRECCION DEPARTAMENTAL DE EDUCACION DE SUCHITEPEQUEZ</w:t>
      </w:r>
    </w:p>
    <w:p w14:paraId="0DFDC4DE" w14:textId="77777777" w:rsidR="00053D93" w:rsidRDefault="00260B75">
      <w:pPr>
        <w:numPr>
          <w:ilvl w:val="0"/>
          <w:numId w:val="8"/>
        </w:numPr>
        <w:spacing w:after="52" w:line="247" w:lineRule="auto"/>
        <w:ind w:right="14" w:hanging="382"/>
        <w:jc w:val="both"/>
      </w:pPr>
      <w:r>
        <w:rPr>
          <w:sz w:val="26"/>
        </w:rPr>
        <w:t>Incumplimiento en la presentación oportuna de información y documentación solicitada por la comisión de auditoría (Hallazgo No. 1)</w:t>
      </w:r>
    </w:p>
    <w:p w14:paraId="5B76327E" w14:textId="77777777" w:rsidR="00053D93" w:rsidRDefault="00260B75">
      <w:pPr>
        <w:numPr>
          <w:ilvl w:val="0"/>
          <w:numId w:val="8"/>
        </w:numPr>
        <w:spacing w:after="17" w:line="247" w:lineRule="auto"/>
        <w:ind w:right="14" w:hanging="382"/>
        <w:jc w:val="both"/>
      </w:pPr>
      <w:r>
        <w:rPr>
          <w:sz w:val="26"/>
        </w:rPr>
        <w:t>Irregularidad en el manejo de los recursos financieros de los programas de apoyo a la Educación (Hallazgo No. 2)</w:t>
      </w:r>
    </w:p>
    <w:p w14:paraId="607BEE4D" w14:textId="77777777" w:rsidR="00053D93" w:rsidRDefault="00260B75">
      <w:pPr>
        <w:pStyle w:val="Ttulo3"/>
        <w:ind w:left="1760" w:right="7"/>
      </w:pPr>
      <w:r>
        <w:t>DIRECCION DEPARTAMENTAL DE EDUCACION DE ALTA VERAPAZ</w:t>
      </w:r>
    </w:p>
    <w:p w14:paraId="0D71FAB5" w14:textId="77777777" w:rsidR="00053D93" w:rsidRDefault="00260B75">
      <w:pPr>
        <w:numPr>
          <w:ilvl w:val="0"/>
          <w:numId w:val="9"/>
        </w:numPr>
        <w:spacing w:after="366" w:line="247" w:lineRule="auto"/>
        <w:ind w:left="2121" w:right="14" w:hanging="382"/>
        <w:jc w:val="both"/>
      </w:pPr>
      <w:r>
        <w:rPr>
          <w:sz w:val="26"/>
        </w:rPr>
        <w:t>Falta de celeridad y eficiencia en el pago del aporte económico por gastos funerarios en el Programa de Salud Escolar durante su ejecución (Hallazgo</w:t>
      </w:r>
    </w:p>
    <w:p w14:paraId="68ABB975" w14:textId="77777777" w:rsidR="00053D93" w:rsidRDefault="00260B75">
      <w:pPr>
        <w:spacing w:after="18" w:line="248" w:lineRule="auto"/>
        <w:ind w:left="1709" w:hanging="3"/>
        <w:jc w:val="both"/>
      </w:pPr>
      <w:r>
        <w:rPr>
          <w:sz w:val="28"/>
        </w:rPr>
        <w:t>DIRECCIÓN DEPARTAMENTAL -DE EDUCACION DE IZABAL</w:t>
      </w:r>
    </w:p>
    <w:p w14:paraId="1EF6B731" w14:textId="77777777" w:rsidR="00053D93" w:rsidRDefault="00260B75">
      <w:pPr>
        <w:numPr>
          <w:ilvl w:val="0"/>
          <w:numId w:val="9"/>
        </w:numPr>
        <w:spacing w:after="356" w:line="247" w:lineRule="auto"/>
        <w:ind w:left="2121" w:right="14" w:hanging="382"/>
        <w:jc w:val="both"/>
      </w:pPr>
      <w:r>
        <w:rPr>
          <w:sz w:val="26"/>
        </w:rPr>
        <w:t>Falta de rendición de cuentas (Hallazgo No. 1)</w:t>
      </w:r>
    </w:p>
    <w:p w14:paraId="79DE85AD" w14:textId="77777777" w:rsidR="00053D93" w:rsidRDefault="00260B75">
      <w:pPr>
        <w:tabs>
          <w:tab w:val="center" w:pos="5044"/>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DIRECCION DEPARTAMENTAL DE EDUCACION DE JALAPA</w:t>
      </w:r>
    </w:p>
    <w:p w14:paraId="68BB247F" w14:textId="77777777" w:rsidR="00053D93" w:rsidRDefault="00260B75">
      <w:pPr>
        <w:spacing w:after="204" w:line="247" w:lineRule="auto"/>
        <w:ind w:left="1742" w:right="14" w:firstLine="4"/>
        <w:jc w:val="both"/>
      </w:pPr>
      <w:r>
        <w:rPr>
          <w:noProof/>
        </w:rPr>
        <w:drawing>
          <wp:anchor distT="0" distB="0" distL="114300" distR="114300" simplePos="0" relativeHeight="251941888" behindDoc="0" locked="0" layoutInCell="1" allowOverlap="0" wp14:anchorId="1647AE43" wp14:editId="56F5001A">
            <wp:simplePos x="0" y="0"/>
            <wp:positionH relativeFrom="page">
              <wp:posOffset>987552</wp:posOffset>
            </wp:positionH>
            <wp:positionV relativeFrom="page">
              <wp:posOffset>521208</wp:posOffset>
            </wp:positionV>
            <wp:extent cx="960120" cy="416052"/>
            <wp:effectExtent l="0" t="0" r="0" b="0"/>
            <wp:wrapTopAndBottom/>
            <wp:docPr id="318214" name="Picture 318214"/>
            <wp:cNvGraphicFramePr/>
            <a:graphic xmlns:a="http://schemas.openxmlformats.org/drawingml/2006/main">
              <a:graphicData uri="http://schemas.openxmlformats.org/drawingml/2006/picture">
                <pic:pic xmlns:pic="http://schemas.openxmlformats.org/drawingml/2006/picture">
                  <pic:nvPicPr>
                    <pic:cNvPr id="318214" name="Picture 318214"/>
                    <pic:cNvPicPr/>
                  </pic:nvPicPr>
                  <pic:blipFill>
                    <a:blip r:embed="rId562"/>
                    <a:stretch>
                      <a:fillRect/>
                    </a:stretch>
                  </pic:blipFill>
                  <pic:spPr>
                    <a:xfrm>
                      <a:off x="0" y="0"/>
                      <a:ext cx="960120" cy="416052"/>
                    </a:xfrm>
                    <a:prstGeom prst="rect">
                      <a:avLst/>
                    </a:prstGeom>
                  </pic:spPr>
                </pic:pic>
              </a:graphicData>
            </a:graphic>
          </wp:anchor>
        </w:drawing>
      </w:r>
      <w:r>
        <w:rPr>
          <w:sz w:val="26"/>
        </w:rPr>
        <w:t>26. Incumplimiento en la presentación oportuna de información y documentación</w:t>
      </w:r>
    </w:p>
    <w:p w14:paraId="6E7416A4" w14:textId="77777777" w:rsidR="00053D93" w:rsidRDefault="00260B75">
      <w:pPr>
        <w:tabs>
          <w:tab w:val="center" w:pos="4882"/>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solicitada por la comisión de auditoría (Hallazgo No. 1)</w:t>
      </w:r>
    </w:p>
    <w:p w14:paraId="7695911A" w14:textId="77777777" w:rsidR="00053D93" w:rsidRDefault="00260B75">
      <w:pPr>
        <w:spacing w:after="188" w:line="248" w:lineRule="auto"/>
        <w:ind w:left="1709" w:hanging="3"/>
        <w:jc w:val="both"/>
      </w:pPr>
      <w:r>
        <w:rPr>
          <w:sz w:val="28"/>
        </w:rPr>
        <w:t>DIRECCION DEPARTAMENTAL DE EDUCACION GUATEMALA NORTE</w:t>
      </w:r>
    </w:p>
    <w:p w14:paraId="62EC98A4" w14:textId="77777777" w:rsidR="00053D93" w:rsidRDefault="00260B75">
      <w:pPr>
        <w:spacing w:after="17" w:line="489" w:lineRule="auto"/>
        <w:ind w:left="2088" w:right="14" w:hanging="2074"/>
        <w:jc w:val="both"/>
      </w:pPr>
      <w:r>
        <w:rPr>
          <w:rFonts w:ascii="Times New Roman" w:eastAsia="Times New Roman" w:hAnsi="Times New Roman" w:cs="Times New Roman"/>
          <w:sz w:val="26"/>
        </w:rPr>
        <w:lastRenderedPageBreak/>
        <w:t xml:space="preserve">1 </w:t>
      </w:r>
      <w:r>
        <w:rPr>
          <w:sz w:val="26"/>
        </w:rPr>
        <w:t>27. Saldo de caja de ejercicios anteriores no trasladados al Fondo Común oportunamente (Hallazgo No. 1.)</w:t>
      </w:r>
    </w:p>
    <w:p w14:paraId="29A8B1B5" w14:textId="77777777" w:rsidR="00053D93" w:rsidRDefault="00260B75">
      <w:pPr>
        <w:spacing w:after="496" w:line="247" w:lineRule="auto"/>
        <w:ind w:left="1742" w:right="14" w:firstLine="4"/>
        <w:jc w:val="both"/>
      </w:pPr>
      <w:r>
        <w:rPr>
          <w:sz w:val="26"/>
        </w:rPr>
        <w:t>28. Falta de supervisión en centro educativo (Hallazgo No. 2)</w:t>
      </w:r>
    </w:p>
    <w:p w14:paraId="47B63655" w14:textId="77777777" w:rsidR="00053D93" w:rsidRDefault="00260B75">
      <w:pPr>
        <w:tabs>
          <w:tab w:val="center" w:pos="5666"/>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DIRECCION DEPARTAMENTAL DE EDUCACION GUATEMALA ORIENTE</w:t>
      </w:r>
    </w:p>
    <w:p w14:paraId="344F42F5" w14:textId="77777777" w:rsidR="00053D93" w:rsidRDefault="00260B75">
      <w:pPr>
        <w:spacing w:after="461" w:line="247" w:lineRule="auto"/>
        <w:ind w:left="1735" w:right="14" w:firstLine="4"/>
        <w:jc w:val="both"/>
      </w:pPr>
      <w:r>
        <w:rPr>
          <w:sz w:val="26"/>
        </w:rPr>
        <w:t>29. Falta de contratación de seguro para Vehículos (Hallazgo No. 1)</w:t>
      </w:r>
    </w:p>
    <w:p w14:paraId="5FC86FF1" w14:textId="77777777" w:rsidR="00053D93" w:rsidRDefault="00260B75">
      <w:pPr>
        <w:tabs>
          <w:tab w:val="center" w:pos="4954"/>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30. Falta de supervisión en centros educativos (Hallazgo No. 2)</w:t>
      </w:r>
    </w:p>
    <w:p w14:paraId="277B6092" w14:textId="77777777" w:rsidR="00053D93" w:rsidRDefault="00260B75">
      <w:pPr>
        <w:spacing w:after="357" w:line="247" w:lineRule="auto"/>
        <w:ind w:left="1742" w:right="14" w:firstLine="4"/>
        <w:jc w:val="both"/>
      </w:pPr>
      <w:r>
        <w:rPr>
          <w:sz w:val="26"/>
        </w:rPr>
        <w:t>31. Falta de registro actualizado del libro de inventarios (Hallazgo No. 3)</w:t>
      </w:r>
    </w:p>
    <w:p w14:paraId="433489B8" w14:textId="77777777" w:rsidR="00053D93" w:rsidRDefault="00260B75">
      <w:pPr>
        <w:tabs>
          <w:tab w:val="right" w:pos="10109"/>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DIRECCION DEPARTAMENTAL DE EDUCACION GUATEMALA OCCIDENTE</w:t>
      </w:r>
    </w:p>
    <w:p w14:paraId="51943906" w14:textId="77777777" w:rsidR="00053D93" w:rsidRDefault="00260B75">
      <w:pPr>
        <w:spacing w:after="259" w:line="247" w:lineRule="auto"/>
        <w:ind w:left="1742" w:right="14" w:firstLine="4"/>
        <w:jc w:val="both"/>
      </w:pPr>
      <w:r>
        <w:rPr>
          <w:sz w:val="26"/>
        </w:rPr>
        <w:t>32. Incorrecta aplicación de normativa legal (Hallazgo No. 1)</w:t>
      </w:r>
    </w:p>
    <w:p w14:paraId="3E5C8B93" w14:textId="77777777" w:rsidR="00053D93" w:rsidRDefault="00260B75">
      <w:pPr>
        <w:tabs>
          <w:tab w:val="right" w:pos="10109"/>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33. Asignaciones improcedentes de combustible a Técnicos de Servicios de</w:t>
      </w:r>
    </w:p>
    <w:p w14:paraId="7F634B8F" w14:textId="77777777" w:rsidR="00053D93" w:rsidRDefault="00260B75">
      <w:pPr>
        <w:spacing w:after="663" w:line="247" w:lineRule="auto"/>
        <w:ind w:left="2110" w:right="14" w:firstLine="4"/>
        <w:jc w:val="both"/>
      </w:pPr>
      <w:r>
        <w:rPr>
          <w:sz w:val="26"/>
        </w:rPr>
        <w:t>Apoyo (Hallazgo No. 2)</w:t>
      </w:r>
    </w:p>
    <w:p w14:paraId="1F569FE4" w14:textId="77777777" w:rsidR="00053D93" w:rsidRDefault="00260B75">
      <w:pPr>
        <w:spacing w:after="17" w:line="322" w:lineRule="auto"/>
        <w:ind w:left="115" w:right="4817" w:firstLine="4"/>
        <w:jc w:val="both"/>
      </w:pPr>
      <w:r>
        <w:rPr>
          <w:noProof/>
        </w:rPr>
        <w:drawing>
          <wp:anchor distT="0" distB="0" distL="114300" distR="114300" simplePos="0" relativeHeight="251942912" behindDoc="0" locked="0" layoutInCell="1" allowOverlap="0" wp14:anchorId="1011D564" wp14:editId="17341F0B">
            <wp:simplePos x="0" y="0"/>
            <wp:positionH relativeFrom="column">
              <wp:posOffset>-13715</wp:posOffset>
            </wp:positionH>
            <wp:positionV relativeFrom="paragraph">
              <wp:posOffset>552959</wp:posOffset>
            </wp:positionV>
            <wp:extent cx="7534657" cy="713232"/>
            <wp:effectExtent l="0" t="0" r="0" b="0"/>
            <wp:wrapSquare wrapText="bothSides"/>
            <wp:docPr id="2458306" name="Picture 2458306"/>
            <wp:cNvGraphicFramePr/>
            <a:graphic xmlns:a="http://schemas.openxmlformats.org/drawingml/2006/main">
              <a:graphicData uri="http://schemas.openxmlformats.org/drawingml/2006/picture">
                <pic:pic xmlns:pic="http://schemas.openxmlformats.org/drawingml/2006/picture">
                  <pic:nvPicPr>
                    <pic:cNvPr id="2458306" name="Picture 2458306"/>
                    <pic:cNvPicPr/>
                  </pic:nvPicPr>
                  <pic:blipFill>
                    <a:blip r:embed="rId563"/>
                    <a:stretch>
                      <a:fillRect/>
                    </a:stretch>
                  </pic:blipFill>
                  <pic:spPr>
                    <a:xfrm>
                      <a:off x="0" y="0"/>
                      <a:ext cx="7534657" cy="713232"/>
                    </a:xfrm>
                    <a:prstGeom prst="rect">
                      <a:avLst/>
                    </a:prstGeom>
                  </pic:spPr>
                </pic:pic>
              </a:graphicData>
            </a:graphic>
          </wp:anchor>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Guatemala, 08 de mayo de 2025 </w:t>
      </w:r>
      <w:r>
        <w:rPr>
          <w:noProof/>
        </w:rPr>
        <w:drawing>
          <wp:inline distT="0" distB="0" distL="0" distR="0" wp14:anchorId="4597A7F0" wp14:editId="66126BD7">
            <wp:extent cx="13716" cy="9144"/>
            <wp:effectExtent l="0" t="0" r="0" b="0"/>
            <wp:docPr id="318073" name="Picture 318073"/>
            <wp:cNvGraphicFramePr/>
            <a:graphic xmlns:a="http://schemas.openxmlformats.org/drawingml/2006/main">
              <a:graphicData uri="http://schemas.openxmlformats.org/drawingml/2006/picture">
                <pic:pic xmlns:pic="http://schemas.openxmlformats.org/drawingml/2006/picture">
                  <pic:nvPicPr>
                    <pic:cNvPr id="318073" name="Picture 318073"/>
                    <pic:cNvPicPr/>
                  </pic:nvPicPr>
                  <pic:blipFill>
                    <a:blip r:embed="rId564"/>
                    <a:stretch>
                      <a:fillRect/>
                    </a:stretch>
                  </pic:blipFill>
                  <pic:spPr>
                    <a:xfrm>
                      <a:off x="0" y="0"/>
                      <a:ext cx="13716" cy="9144"/>
                    </a:xfrm>
                    <a:prstGeom prst="rect">
                      <a:avLst/>
                    </a:prstGeom>
                  </pic:spPr>
                </pic:pic>
              </a:graphicData>
            </a:graphic>
          </wp:inline>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Atentamente.</w:t>
      </w:r>
    </w:p>
    <w:p w14:paraId="5940B9E1" w14:textId="77777777" w:rsidR="00053D93" w:rsidRDefault="00260B75">
      <w:pPr>
        <w:spacing w:after="1164"/>
        <w:ind w:left="1663"/>
      </w:pPr>
      <w:r>
        <w:rPr>
          <w:noProof/>
        </w:rPr>
        <w:drawing>
          <wp:anchor distT="0" distB="0" distL="114300" distR="114300" simplePos="0" relativeHeight="251943936" behindDoc="0" locked="0" layoutInCell="1" allowOverlap="0" wp14:anchorId="6BC00626" wp14:editId="40B8C0FD">
            <wp:simplePos x="0" y="0"/>
            <wp:positionH relativeFrom="page">
              <wp:posOffset>1005840</wp:posOffset>
            </wp:positionH>
            <wp:positionV relativeFrom="page">
              <wp:posOffset>525780</wp:posOffset>
            </wp:positionV>
            <wp:extent cx="960120" cy="416052"/>
            <wp:effectExtent l="0" t="0" r="0" b="0"/>
            <wp:wrapTopAndBottom/>
            <wp:docPr id="326653" name="Picture 326653"/>
            <wp:cNvGraphicFramePr/>
            <a:graphic xmlns:a="http://schemas.openxmlformats.org/drawingml/2006/main">
              <a:graphicData uri="http://schemas.openxmlformats.org/drawingml/2006/picture">
                <pic:pic xmlns:pic="http://schemas.openxmlformats.org/drawingml/2006/picture">
                  <pic:nvPicPr>
                    <pic:cNvPr id="326653" name="Picture 326653"/>
                    <pic:cNvPicPr/>
                  </pic:nvPicPr>
                  <pic:blipFill>
                    <a:blip r:embed="rId565"/>
                    <a:stretch>
                      <a:fillRect/>
                    </a:stretch>
                  </pic:blipFill>
                  <pic:spPr>
                    <a:xfrm>
                      <a:off x="0" y="0"/>
                      <a:ext cx="960120" cy="416052"/>
                    </a:xfrm>
                    <a:prstGeom prst="rect">
                      <a:avLst/>
                    </a:prstGeom>
                  </pic:spPr>
                </pic:pic>
              </a:graphicData>
            </a:graphic>
          </wp:anchor>
        </w:drawing>
      </w:r>
      <w:r>
        <w:rPr>
          <w:sz w:val="10"/>
        </w:rPr>
        <w:t>GUATEMAI.A</w:t>
      </w:r>
      <w:r>
        <w:rPr>
          <w:noProof/>
        </w:rPr>
        <w:drawing>
          <wp:inline distT="0" distB="0" distL="0" distR="0" wp14:anchorId="0AD07405" wp14:editId="79FF8994">
            <wp:extent cx="109728" cy="50292"/>
            <wp:effectExtent l="0" t="0" r="0" b="0"/>
            <wp:docPr id="326526" name="Picture 326526"/>
            <wp:cNvGraphicFramePr/>
            <a:graphic xmlns:a="http://schemas.openxmlformats.org/drawingml/2006/main">
              <a:graphicData uri="http://schemas.openxmlformats.org/drawingml/2006/picture">
                <pic:pic xmlns:pic="http://schemas.openxmlformats.org/drawingml/2006/picture">
                  <pic:nvPicPr>
                    <pic:cNvPr id="326526" name="Picture 326526"/>
                    <pic:cNvPicPr/>
                  </pic:nvPicPr>
                  <pic:blipFill>
                    <a:blip r:embed="rId566"/>
                    <a:stretch>
                      <a:fillRect/>
                    </a:stretch>
                  </pic:blipFill>
                  <pic:spPr>
                    <a:xfrm>
                      <a:off x="0" y="0"/>
                      <a:ext cx="109728" cy="50292"/>
                    </a:xfrm>
                    <a:prstGeom prst="rect">
                      <a:avLst/>
                    </a:prstGeom>
                  </pic:spPr>
                </pic:pic>
              </a:graphicData>
            </a:graphic>
          </wp:inline>
        </w:drawing>
      </w:r>
    </w:p>
    <w:p w14:paraId="2327D497" w14:textId="77777777" w:rsidR="00053D93" w:rsidRDefault="00260B75">
      <w:pPr>
        <w:spacing w:after="526"/>
        <w:ind w:left="1382"/>
      </w:pPr>
      <w:r>
        <w:rPr>
          <w:noProof/>
        </w:rPr>
        <w:lastRenderedPageBreak/>
        <mc:AlternateContent>
          <mc:Choice Requires="wpg">
            <w:drawing>
              <wp:inline distT="0" distB="0" distL="0" distR="0" wp14:anchorId="5B4DE195" wp14:editId="55D403D8">
                <wp:extent cx="5426964" cy="6761988"/>
                <wp:effectExtent l="0" t="0" r="0" b="0"/>
                <wp:docPr id="2307423" name="Group 2307423"/>
                <wp:cNvGraphicFramePr/>
                <a:graphic xmlns:a="http://schemas.openxmlformats.org/drawingml/2006/main">
                  <a:graphicData uri="http://schemas.microsoft.com/office/word/2010/wordprocessingGroup">
                    <wpg:wgp>
                      <wpg:cNvGrpSpPr/>
                      <wpg:grpSpPr>
                        <a:xfrm>
                          <a:off x="0" y="0"/>
                          <a:ext cx="5426964" cy="6761988"/>
                          <a:chOff x="0" y="0"/>
                          <a:chExt cx="5426964" cy="6761988"/>
                        </a:xfrm>
                      </wpg:grpSpPr>
                      <pic:pic xmlns:pic="http://schemas.openxmlformats.org/drawingml/2006/picture">
                        <pic:nvPicPr>
                          <pic:cNvPr id="2458308" name="Picture 2458308"/>
                          <pic:cNvPicPr/>
                        </pic:nvPicPr>
                        <pic:blipFill>
                          <a:blip r:embed="rId567"/>
                          <a:stretch>
                            <a:fillRect/>
                          </a:stretch>
                        </pic:blipFill>
                        <pic:spPr>
                          <a:xfrm>
                            <a:off x="0" y="160020"/>
                            <a:ext cx="5426964" cy="6601968"/>
                          </a:xfrm>
                          <a:prstGeom prst="rect">
                            <a:avLst/>
                          </a:prstGeom>
                        </pic:spPr>
                      </pic:pic>
                      <wps:wsp>
                        <wps:cNvPr id="318615" name="Rectangle 318615"/>
                        <wps:cNvSpPr/>
                        <wps:spPr>
                          <a:xfrm>
                            <a:off x="224028" y="27432"/>
                            <a:ext cx="800666" cy="158100"/>
                          </a:xfrm>
                          <a:prstGeom prst="rect">
                            <a:avLst/>
                          </a:prstGeom>
                          <a:ln>
                            <a:noFill/>
                          </a:ln>
                        </wps:spPr>
                        <wps:txbx>
                          <w:txbxContent>
                            <w:p w14:paraId="1D1BB3E6" w14:textId="77777777" w:rsidR="00053D93" w:rsidRDefault="00260B75">
                              <w:r>
                                <w:rPr>
                                  <w:sz w:val="28"/>
                                </w:rPr>
                                <w:t xml:space="preserve">EQUIPO </w:t>
                              </w:r>
                            </w:p>
                          </w:txbxContent>
                        </wps:txbx>
                        <wps:bodyPr horzOverflow="overflow" vert="horz" lIns="0" tIns="0" rIns="0" bIns="0" rtlCol="0">
                          <a:noAutofit/>
                        </wps:bodyPr>
                      </wps:wsp>
                      <wps:wsp>
                        <wps:cNvPr id="318616" name="Rectangle 318616"/>
                        <wps:cNvSpPr/>
                        <wps:spPr>
                          <a:xfrm>
                            <a:off x="827532" y="0"/>
                            <a:ext cx="310119" cy="194584"/>
                          </a:xfrm>
                          <a:prstGeom prst="rect">
                            <a:avLst/>
                          </a:prstGeom>
                          <a:ln>
                            <a:noFill/>
                          </a:ln>
                        </wps:spPr>
                        <wps:txbx>
                          <w:txbxContent>
                            <w:p w14:paraId="5A44C2DD" w14:textId="77777777" w:rsidR="00053D93" w:rsidRDefault="00260B75">
                              <w:r>
                                <w:rPr>
                                  <w:sz w:val="30"/>
                                </w:rPr>
                                <w:t xml:space="preserve">DE </w:t>
                              </w:r>
                            </w:p>
                          </w:txbxContent>
                        </wps:txbx>
                        <wps:bodyPr horzOverflow="overflow" vert="horz" lIns="0" tIns="0" rIns="0" bIns="0" rtlCol="0">
                          <a:noAutofit/>
                        </wps:bodyPr>
                      </wps:wsp>
                      <wps:wsp>
                        <wps:cNvPr id="318617" name="Rectangle 318617"/>
                        <wps:cNvSpPr/>
                        <wps:spPr>
                          <a:xfrm>
                            <a:off x="1060704" y="0"/>
                            <a:ext cx="1070214" cy="194584"/>
                          </a:xfrm>
                          <a:prstGeom prst="rect">
                            <a:avLst/>
                          </a:prstGeom>
                          <a:ln>
                            <a:noFill/>
                          </a:ln>
                        </wps:spPr>
                        <wps:txbx>
                          <w:txbxContent>
                            <w:p w14:paraId="32B35A4B" w14:textId="77777777" w:rsidR="00053D93" w:rsidRDefault="00260B75">
                              <w:r>
                                <w:rPr>
                                  <w:sz w:val="28"/>
                                </w:rPr>
                                <w:t>AUDITORÍA</w:t>
                              </w:r>
                            </w:p>
                          </w:txbxContent>
                        </wps:txbx>
                        <wps:bodyPr horzOverflow="overflow" vert="horz" lIns="0" tIns="0" rIns="0" bIns="0" rtlCol="0">
                          <a:noAutofit/>
                        </wps:bodyPr>
                      </wps:wsp>
                    </wpg:wgp>
                  </a:graphicData>
                </a:graphic>
              </wp:inline>
            </w:drawing>
          </mc:Choice>
          <mc:Fallback>
            <w:pict>
              <v:group w14:anchorId="5B4DE195" id="Group 2307423" o:spid="_x0000_s1261" style="width:427.3pt;height:532.45pt;mso-position-horizontal-relative:char;mso-position-vertical-relative:line" coordsize="54269,6761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">
                <v:shape id="Picture 2458308" o:spid="_x0000_s1262" type="#_x0000_t75" style="position:absolute;top:1600;width:54269;height:66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">
                  <v:imagedata r:id="rId568" o:title=""/>
                </v:shape>
                <v:rect id="Rectangle 318615" o:spid="_x0000_s1263" style="position:absolute;left:2240;top:274;width:8006;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" filled="f" stroked="f">
                  <v:textbox inset="0,0,0,0">
                    <w:txbxContent>
                      <w:p w14:paraId="1D1BB3E6" w14:textId="77777777" w:rsidR="00053D93" w:rsidRDefault="00260B75">
                        <w:r>
                          <w:rPr>
                            <w:sz w:val="28"/>
                          </w:rPr>
                          <w:t xml:space="preserve">EQUIPO </w:t>
                        </w:r>
                      </w:p>
                    </w:txbxContent>
                  </v:textbox>
                </v:rect>
                <v:rect id="Rectangle 318616" o:spid="_x0000_s1264" style="position:absolute;left:8275;width:310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" filled="f" stroked="f">
                  <v:textbox inset="0,0,0,0">
                    <w:txbxContent>
                      <w:p w14:paraId="5A44C2DD" w14:textId="77777777" w:rsidR="00053D93" w:rsidRDefault="00260B75">
                        <w:r>
                          <w:rPr>
                            <w:sz w:val="30"/>
                          </w:rPr>
                          <w:t xml:space="preserve">DE </w:t>
                        </w:r>
                      </w:p>
                    </w:txbxContent>
                  </v:textbox>
                </v:rect>
                <v:rect id="Rectangle 318617" o:spid="_x0000_s1265" style="position:absolute;left:10607;width:1070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" filled="f" stroked="f">
                  <v:textbox inset="0,0,0,0">
                    <w:txbxContent>
                      <w:p w14:paraId="32B35A4B" w14:textId="77777777" w:rsidR="00053D93" w:rsidRDefault="00260B75">
                        <w:r>
                          <w:rPr>
                            <w:sz w:val="28"/>
                          </w:rPr>
                          <w:t>AUDITORÍA</w:t>
                        </w:r>
                      </w:p>
                    </w:txbxContent>
                  </v:textbox>
                </v:rect>
                <w10:anchorlock/>
              </v:group>
            </w:pict>
          </mc:Fallback>
        </mc:AlternateContent>
      </w:r>
    </w:p>
    <w:p w14:paraId="4A137541" w14:textId="77777777" w:rsidR="00053D93" w:rsidRDefault="00260B75">
      <w:pPr>
        <w:spacing w:after="0"/>
        <w:ind w:left="-36" w:right="-1735"/>
      </w:pPr>
      <w:r>
        <w:rPr>
          <w:noProof/>
        </w:rPr>
        <w:drawing>
          <wp:inline distT="0" distB="0" distL="0" distR="0" wp14:anchorId="41A452D4" wp14:editId="580A754B">
            <wp:extent cx="7543800" cy="854963"/>
            <wp:effectExtent l="0" t="0" r="0" b="0"/>
            <wp:docPr id="2458309" name="Picture 2458309"/>
            <wp:cNvGraphicFramePr/>
            <a:graphic xmlns:a="http://schemas.openxmlformats.org/drawingml/2006/main">
              <a:graphicData uri="http://schemas.openxmlformats.org/drawingml/2006/picture">
                <pic:pic xmlns:pic="http://schemas.openxmlformats.org/drawingml/2006/picture">
                  <pic:nvPicPr>
                    <pic:cNvPr id="2458309" name="Picture 2458309"/>
                    <pic:cNvPicPr/>
                  </pic:nvPicPr>
                  <pic:blipFill>
                    <a:blip r:embed="rId569"/>
                    <a:stretch>
                      <a:fillRect/>
                    </a:stretch>
                  </pic:blipFill>
                  <pic:spPr>
                    <a:xfrm>
                      <a:off x="0" y="0"/>
                      <a:ext cx="7543800" cy="854963"/>
                    </a:xfrm>
                    <a:prstGeom prst="rect">
                      <a:avLst/>
                    </a:prstGeom>
                  </pic:spPr>
                </pic:pic>
              </a:graphicData>
            </a:graphic>
          </wp:inline>
        </w:drawing>
      </w:r>
    </w:p>
    <w:p w14:paraId="678614A1" w14:textId="77777777" w:rsidR="00053D93" w:rsidRDefault="00053D93">
      <w:pPr>
        <w:sectPr w:rsidR="00053D93">
          <w:headerReference w:type="even" r:id="rId570"/>
          <w:headerReference w:type="default" r:id="rId571"/>
          <w:footerReference w:type="even" r:id="rId572"/>
          <w:footerReference w:type="default" r:id="rId573"/>
          <w:headerReference w:type="first" r:id="rId574"/>
          <w:footerReference w:type="first" r:id="rId575"/>
          <w:pgSz w:w="12290" w:h="15883"/>
          <w:pgMar w:top="1706" w:right="1800" w:bottom="281" w:left="382" w:header="814" w:footer="24" w:gutter="0"/>
          <w:cols w:space="720"/>
        </w:sectPr>
      </w:pPr>
    </w:p>
    <w:p w14:paraId="1DD25269" w14:textId="77777777" w:rsidR="00053D93" w:rsidRDefault="00260B75">
      <w:pPr>
        <w:spacing w:after="7567"/>
        <w:ind w:left="1008" w:right="-1159"/>
      </w:pPr>
      <w:r>
        <w:rPr>
          <w:noProof/>
        </w:rPr>
        <w:lastRenderedPageBreak/>
        <mc:AlternateContent>
          <mc:Choice Requires="wpg">
            <w:drawing>
              <wp:inline distT="0" distB="0" distL="0" distR="0" wp14:anchorId="244295C4" wp14:editId="297839AD">
                <wp:extent cx="6387086" cy="3721608"/>
                <wp:effectExtent l="0" t="0" r="0" b="0"/>
                <wp:docPr id="2306702" name="Group 2306702"/>
                <wp:cNvGraphicFramePr/>
                <a:graphic xmlns:a="http://schemas.openxmlformats.org/drawingml/2006/main">
                  <a:graphicData uri="http://schemas.microsoft.com/office/word/2010/wordprocessingGroup">
                    <wpg:wgp>
                      <wpg:cNvGrpSpPr/>
                      <wpg:grpSpPr>
                        <a:xfrm>
                          <a:off x="0" y="0"/>
                          <a:ext cx="6387086" cy="3721608"/>
                          <a:chOff x="0" y="0"/>
                          <a:chExt cx="6387086" cy="3721608"/>
                        </a:xfrm>
                      </wpg:grpSpPr>
                      <pic:pic xmlns:pic="http://schemas.openxmlformats.org/drawingml/2006/picture">
                        <pic:nvPicPr>
                          <pic:cNvPr id="2458311" name="Picture 2458311"/>
                          <pic:cNvPicPr/>
                        </pic:nvPicPr>
                        <pic:blipFill>
                          <a:blip r:embed="rId576"/>
                          <a:stretch>
                            <a:fillRect/>
                          </a:stretch>
                        </pic:blipFill>
                        <pic:spPr>
                          <a:xfrm>
                            <a:off x="0" y="0"/>
                            <a:ext cx="6053328" cy="3598163"/>
                          </a:xfrm>
                          <a:prstGeom prst="rect">
                            <a:avLst/>
                          </a:prstGeom>
                        </pic:spPr>
                      </pic:pic>
                      <wps:wsp>
                        <wps:cNvPr id="327082" name="Rectangle 327082"/>
                        <wps:cNvSpPr/>
                        <wps:spPr>
                          <a:xfrm>
                            <a:off x="5376673" y="301752"/>
                            <a:ext cx="1343849" cy="212827"/>
                          </a:xfrm>
                          <a:prstGeom prst="rect">
                            <a:avLst/>
                          </a:prstGeom>
                          <a:ln>
                            <a:noFill/>
                          </a:ln>
                        </wps:spPr>
                        <wps:txbx>
                          <w:txbxContent>
                            <w:p w14:paraId="62397CC9" w14:textId="77777777" w:rsidR="00053D93" w:rsidRDefault="00260B75">
                              <w:r>
                                <w:rPr>
                                  <w:rFonts w:ascii="Times New Roman" w:eastAsia="Times New Roman" w:hAnsi="Times New Roman" w:cs="Times New Roman"/>
                                  <w:sz w:val="40"/>
                                </w:rPr>
                                <w:t>Confianza</w:t>
                              </w:r>
                            </w:p>
                          </w:txbxContent>
                        </wps:txbx>
                        <wps:bodyPr horzOverflow="overflow" vert="horz" lIns="0" tIns="0" rIns="0" bIns="0" rtlCol="0">
                          <a:noAutofit/>
                        </wps:bodyPr>
                      </wps:wsp>
                      <wps:wsp>
                        <wps:cNvPr id="327099" name="Rectangle 327099"/>
                        <wps:cNvSpPr/>
                        <wps:spPr>
                          <a:xfrm>
                            <a:off x="356616" y="3607308"/>
                            <a:ext cx="650642" cy="130737"/>
                          </a:xfrm>
                          <a:prstGeom prst="rect">
                            <a:avLst/>
                          </a:prstGeom>
                          <a:ln>
                            <a:noFill/>
                          </a:ln>
                        </wps:spPr>
                        <wps:txbx>
                          <w:txbxContent>
                            <w:p w14:paraId="723C1011" w14:textId="77777777" w:rsidR="00053D93" w:rsidRDefault="00260B75">
                              <w:r>
                                <w:rPr>
                                  <w:sz w:val="14"/>
                                </w:rPr>
                                <w:t xml:space="preserve">Coordinador </w:t>
                              </w:r>
                            </w:p>
                          </w:txbxContent>
                        </wps:txbx>
                        <wps:bodyPr horzOverflow="overflow" vert="horz" lIns="0" tIns="0" rIns="0" bIns="0" rtlCol="0">
                          <a:noAutofit/>
                        </wps:bodyPr>
                      </wps:wsp>
                      <wps:wsp>
                        <wps:cNvPr id="327100" name="Rectangle 327100"/>
                        <wps:cNvSpPr/>
                        <wps:spPr>
                          <a:xfrm>
                            <a:off x="845820" y="3607308"/>
                            <a:ext cx="766176" cy="130737"/>
                          </a:xfrm>
                          <a:prstGeom prst="rect">
                            <a:avLst/>
                          </a:prstGeom>
                          <a:ln>
                            <a:noFill/>
                          </a:ln>
                        </wps:spPr>
                        <wps:txbx>
                          <w:txbxContent>
                            <w:p w14:paraId="38847B59" w14:textId="77777777" w:rsidR="00053D93" w:rsidRDefault="00260B75">
                              <w:r>
                                <w:rPr>
                                  <w:sz w:val="14"/>
                                </w:rPr>
                                <w:t>Gubemamental</w:t>
                              </w:r>
                            </w:p>
                          </w:txbxContent>
                        </wps:txbx>
                        <wps:bodyPr horzOverflow="overflow" vert="horz" lIns="0" tIns="0" rIns="0" bIns="0" rtlCol="0">
                          <a:noAutofit/>
                        </wps:bodyPr>
                      </wps:wsp>
                      <wps:wsp>
                        <wps:cNvPr id="327107" name="Rectangle 327107"/>
                        <wps:cNvSpPr/>
                        <wps:spPr>
                          <a:xfrm>
                            <a:off x="2884933" y="3639312"/>
                            <a:ext cx="577672" cy="109454"/>
                          </a:xfrm>
                          <a:prstGeom prst="rect">
                            <a:avLst/>
                          </a:prstGeom>
                          <a:ln>
                            <a:noFill/>
                          </a:ln>
                        </wps:spPr>
                        <wps:txbx>
                          <w:txbxContent>
                            <w:p w14:paraId="47AD6DA2" w14:textId="77777777" w:rsidR="00053D93" w:rsidRDefault="00260B75">
                              <w:r>
                                <w:rPr>
                                  <w:sz w:val="16"/>
                                </w:rPr>
                                <w:t xml:space="preserve">Supervisor </w:t>
                              </w:r>
                            </w:p>
                          </w:txbxContent>
                        </wps:txbx>
                        <wps:bodyPr horzOverflow="overflow" vert="horz" lIns="0" tIns="0" rIns="0" bIns="0" rtlCol="0">
                          <a:noAutofit/>
                        </wps:bodyPr>
                      </wps:wsp>
                      <wps:wsp>
                        <wps:cNvPr id="327108" name="Rectangle 327108"/>
                        <wps:cNvSpPr/>
                        <wps:spPr>
                          <a:xfrm>
                            <a:off x="3319272" y="3621024"/>
                            <a:ext cx="772257" cy="130737"/>
                          </a:xfrm>
                          <a:prstGeom prst="rect">
                            <a:avLst/>
                          </a:prstGeom>
                          <a:ln>
                            <a:noFill/>
                          </a:ln>
                        </wps:spPr>
                        <wps:txbx>
                          <w:txbxContent>
                            <w:p w14:paraId="203813C2" w14:textId="77777777" w:rsidR="00053D93" w:rsidRDefault="00260B75">
                              <w:r>
                                <w:rPr>
                                  <w:sz w:val="14"/>
                                </w:rPr>
                                <w:t>Gubemamental</w:t>
                              </w:r>
                            </w:p>
                          </w:txbxContent>
                        </wps:txbx>
                        <wps:bodyPr horzOverflow="overflow" vert="horz" lIns="0" tIns="0" rIns="0" bIns="0" rtlCol="0">
                          <a:noAutofit/>
                        </wps:bodyPr>
                      </wps:wsp>
                    </wpg:wgp>
                  </a:graphicData>
                </a:graphic>
              </wp:inline>
            </w:drawing>
          </mc:Choice>
          <mc:Fallback>
            <w:pict>
              <v:group w14:anchorId="244295C4" id="Group 2306702" o:spid="_x0000_s1266" style="width:502.9pt;height:293.05pt;mso-position-horizontal-relative:char;mso-position-vertical-relative:line" coordsize="63870,372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">
                <v:shape id="Picture 2458311" o:spid="_x0000_s1267" type="#_x0000_t75" style="position:absolute;width:60533;height:35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">
                  <v:imagedata r:id="rId577" o:title=""/>
                </v:shape>
                <v:rect id="Rectangle 327082" o:spid="_x0000_s1268" style="position:absolute;left:53766;top:3017;width:13439;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" filled="f" stroked="f">
                  <v:textbox inset="0,0,0,0">
                    <w:txbxContent>
                      <w:p w14:paraId="62397CC9" w14:textId="77777777" w:rsidR="00053D93" w:rsidRDefault="00260B75">
                        <w:r>
                          <w:rPr>
                            <w:rFonts w:ascii="Times New Roman" w:eastAsia="Times New Roman" w:hAnsi="Times New Roman" w:cs="Times New Roman"/>
                            <w:sz w:val="40"/>
                          </w:rPr>
                          <w:t>Confianza</w:t>
                        </w:r>
                      </w:p>
                    </w:txbxContent>
                  </v:textbox>
                </v:rect>
                <v:rect id="Rectangle 327099" o:spid="_x0000_s1269" style="position:absolute;left:3566;top:36073;width:6506;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" filled="f" stroked="f">
                  <v:textbox inset="0,0,0,0">
                    <w:txbxContent>
                      <w:p w14:paraId="723C1011" w14:textId="77777777" w:rsidR="00053D93" w:rsidRDefault="00260B75">
                        <w:r>
                          <w:rPr>
                            <w:sz w:val="14"/>
                          </w:rPr>
                          <w:t xml:space="preserve">Coordinador </w:t>
                        </w:r>
                      </w:p>
                    </w:txbxContent>
                  </v:textbox>
                </v:rect>
                <v:rect id="Rectangle 327100" o:spid="_x0000_s1270" style="position:absolute;left:8458;top:36073;width:7661;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" filled="f" stroked="f">
                  <v:textbox inset="0,0,0,0">
                    <w:txbxContent>
                      <w:p w14:paraId="38847B59" w14:textId="77777777" w:rsidR="00053D93" w:rsidRDefault="00260B75">
                        <w:r>
                          <w:rPr>
                            <w:sz w:val="14"/>
                          </w:rPr>
                          <w:t>Gubemamental</w:t>
                        </w:r>
                      </w:p>
                    </w:txbxContent>
                  </v:textbox>
                </v:rect>
                <v:rect id="Rectangle 327107" o:spid="_x0000_s1271" style="position:absolute;left:28849;top:36393;width:5777;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" filled="f" stroked="f">
                  <v:textbox inset="0,0,0,0">
                    <w:txbxContent>
                      <w:p w14:paraId="47AD6DA2" w14:textId="77777777" w:rsidR="00053D93" w:rsidRDefault="00260B75">
                        <w:r>
                          <w:rPr>
                            <w:sz w:val="16"/>
                          </w:rPr>
                          <w:t xml:space="preserve">Supervisor </w:t>
                        </w:r>
                      </w:p>
                    </w:txbxContent>
                  </v:textbox>
                </v:rect>
                <v:rect id="Rectangle 327108" o:spid="_x0000_s1272" style="position:absolute;left:33192;top:36210;width:7723;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" filled="f" stroked="f">
                  <v:textbox inset="0,0,0,0">
                    <w:txbxContent>
                      <w:p w14:paraId="203813C2" w14:textId="77777777" w:rsidR="00053D93" w:rsidRDefault="00260B75">
                        <w:r>
                          <w:rPr>
                            <w:sz w:val="14"/>
                          </w:rPr>
                          <w:t>Gubemamental</w:t>
                        </w:r>
                      </w:p>
                    </w:txbxContent>
                  </v:textbox>
                </v:rect>
                <w10:anchorlock/>
              </v:group>
            </w:pict>
          </mc:Fallback>
        </mc:AlternateContent>
      </w:r>
    </w:p>
    <w:p w14:paraId="28B04B88" w14:textId="77777777" w:rsidR="00053D93" w:rsidRDefault="00260B75">
      <w:pPr>
        <w:spacing w:after="7"/>
        <w:ind w:left="-338" w:right="-1642"/>
      </w:pPr>
      <w:r>
        <w:rPr>
          <w:noProof/>
        </w:rPr>
        <w:lastRenderedPageBreak/>
        <w:drawing>
          <wp:inline distT="0" distB="0" distL="0" distR="0" wp14:anchorId="0449618A" wp14:editId="0E2FADBF">
            <wp:extent cx="7548374" cy="800100"/>
            <wp:effectExtent l="0" t="0" r="0" b="0"/>
            <wp:docPr id="333134" name="Picture 333134"/>
            <wp:cNvGraphicFramePr/>
            <a:graphic xmlns:a="http://schemas.openxmlformats.org/drawingml/2006/main">
              <a:graphicData uri="http://schemas.openxmlformats.org/drawingml/2006/picture">
                <pic:pic xmlns:pic="http://schemas.openxmlformats.org/drawingml/2006/picture">
                  <pic:nvPicPr>
                    <pic:cNvPr id="333134" name="Picture 333134"/>
                    <pic:cNvPicPr/>
                  </pic:nvPicPr>
                  <pic:blipFill>
                    <a:blip r:embed="rId578"/>
                    <a:stretch>
                      <a:fillRect/>
                    </a:stretch>
                  </pic:blipFill>
                  <pic:spPr>
                    <a:xfrm>
                      <a:off x="0" y="0"/>
                      <a:ext cx="7548374" cy="800100"/>
                    </a:xfrm>
                    <a:prstGeom prst="rect">
                      <a:avLst/>
                    </a:prstGeom>
                  </pic:spPr>
                </pic:pic>
              </a:graphicData>
            </a:graphic>
          </wp:inline>
        </w:drawing>
      </w:r>
    </w:p>
    <w:p w14:paraId="0E4E5B87" w14:textId="77777777" w:rsidR="00053D93" w:rsidRDefault="00260B75">
      <w:pPr>
        <w:spacing w:after="0"/>
      </w:pPr>
      <w:r>
        <w:rPr>
          <w:rFonts w:ascii="Courier New" w:eastAsia="Courier New" w:hAnsi="Courier New" w:cs="Courier New"/>
          <w:sz w:val="6"/>
          <w:vertAlign w:val="superscript"/>
        </w:rPr>
        <w:t xml:space="preserve">I </w:t>
      </w:r>
    </w:p>
    <w:p w14:paraId="6F1A0994" w14:textId="77777777" w:rsidR="00053D93" w:rsidRDefault="00260B75">
      <w:pPr>
        <w:spacing w:after="225" w:line="265" w:lineRule="auto"/>
        <w:ind w:left="10" w:right="1115" w:hanging="10"/>
        <w:jc w:val="right"/>
      </w:pPr>
      <w:r>
        <w:rPr>
          <w:sz w:val="14"/>
        </w:rPr>
        <w:t>EDUCACIÓN,</w:t>
      </w:r>
    </w:p>
    <w:p w14:paraId="54EE742A" w14:textId="77777777" w:rsidR="00053D93" w:rsidRDefault="00260B75">
      <w:pPr>
        <w:spacing w:after="35"/>
        <w:ind w:left="1411" w:right="-14"/>
      </w:pPr>
      <w:r>
        <w:rPr>
          <w:noProof/>
        </w:rPr>
        <mc:AlternateContent>
          <mc:Choice Requires="wpg">
            <w:drawing>
              <wp:inline distT="0" distB="0" distL="0" distR="0" wp14:anchorId="56293E38" wp14:editId="0744CF47">
                <wp:extent cx="5385817" cy="9144"/>
                <wp:effectExtent l="0" t="0" r="0" b="0"/>
                <wp:docPr id="2458313" name="Group 2458313"/>
                <wp:cNvGraphicFramePr/>
                <a:graphic xmlns:a="http://schemas.openxmlformats.org/drawingml/2006/main">
                  <a:graphicData uri="http://schemas.microsoft.com/office/word/2010/wordprocessingGroup">
                    <wpg:wgp>
                      <wpg:cNvGrpSpPr/>
                      <wpg:grpSpPr>
                        <a:xfrm>
                          <a:off x="0" y="0"/>
                          <a:ext cx="5385817" cy="9144"/>
                          <a:chOff x="0" y="0"/>
                          <a:chExt cx="5385817" cy="9144"/>
                        </a:xfrm>
                      </wpg:grpSpPr>
                      <wps:wsp>
                        <wps:cNvPr id="2458312" name="Shape 2458312"/>
                        <wps:cNvSpPr/>
                        <wps:spPr>
                          <a:xfrm>
                            <a:off x="0" y="0"/>
                            <a:ext cx="5385817" cy="9144"/>
                          </a:xfrm>
                          <a:custGeom>
                            <a:avLst/>
                            <a:gdLst/>
                            <a:ahLst/>
                            <a:cxnLst/>
                            <a:rect l="0" t="0" r="0" b="0"/>
                            <a:pathLst>
                              <a:path w="5385817" h="9144">
                                <a:moveTo>
                                  <a:pt x="0" y="4572"/>
                                </a:moveTo>
                                <a:lnTo>
                                  <a:pt x="5385817"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13" style="width:424.08pt;height:0.720001pt;mso-position-horizontal-relative:char;mso-position-vertical-relative:line" coordsize="53858,91">
                <v:shape id="Shape 2458312" style="position:absolute;width:53858;height:91;left:0;top:0;" coordsize="5385817,9144" path="m0,4572l5385817,4572">
                  <v:stroke weight="0.720001pt" endcap="flat" joinstyle="miter" miterlimit="1" on="true" color="#000000"/>
                  <v:fill on="false" color="#000000"/>
                </v:shape>
              </v:group>
            </w:pict>
          </mc:Fallback>
        </mc:AlternateContent>
      </w:r>
    </w:p>
    <w:p w14:paraId="5AEB63C5" w14:textId="77777777" w:rsidR="00053D93" w:rsidRDefault="00260B75">
      <w:pPr>
        <w:spacing w:after="333" w:line="248" w:lineRule="auto"/>
        <w:ind w:left="1429" w:hanging="3"/>
        <w:jc w:val="both"/>
      </w:pPr>
      <w:r>
        <w:rPr>
          <w:sz w:val="28"/>
        </w:rPr>
        <w:t>Hallazgos relacionados con el cumplimiento a leyes y regulaciones aplicables</w:t>
      </w:r>
    </w:p>
    <w:p w14:paraId="135F67B8" w14:textId="77777777" w:rsidR="00053D93" w:rsidRDefault="00260B75">
      <w:pPr>
        <w:spacing w:after="332" w:line="248" w:lineRule="auto"/>
        <w:ind w:left="1421" w:hanging="3"/>
        <w:jc w:val="both"/>
      </w:pPr>
      <w:r>
        <w:rPr>
          <w:sz w:val="28"/>
        </w:rPr>
        <w:t>Área financiera y cumplimiento</w:t>
      </w:r>
    </w:p>
    <w:p w14:paraId="4E1AA794" w14:textId="77777777" w:rsidR="00053D93" w:rsidRDefault="00260B75">
      <w:pPr>
        <w:spacing w:after="18" w:line="478" w:lineRule="auto"/>
        <w:ind w:left="1429" w:right="1519" w:hanging="3"/>
        <w:jc w:val="both"/>
      </w:pPr>
      <w:r>
        <w:rPr>
          <w:sz w:val="28"/>
        </w:rPr>
        <w:t>DIRECCION GENERAL DE EDUCACION FISICA -DIGEFHallazgo No. 1</w:t>
      </w:r>
    </w:p>
    <w:p w14:paraId="6F9BB945" w14:textId="77777777" w:rsidR="00053D93" w:rsidRDefault="00260B75">
      <w:pPr>
        <w:spacing w:after="306" w:line="248" w:lineRule="auto"/>
        <w:ind w:left="1263" w:hanging="3"/>
        <w:jc w:val="both"/>
      </w:pPr>
      <w:r>
        <w:rPr>
          <w:noProof/>
        </w:rPr>
        <w:drawing>
          <wp:inline distT="0" distB="0" distL="0" distR="0" wp14:anchorId="75D07D9A" wp14:editId="5A6F8098">
            <wp:extent cx="13716" cy="9144"/>
            <wp:effectExtent l="0" t="0" r="0" b="0"/>
            <wp:docPr id="336736" name="Picture 336736"/>
            <wp:cNvGraphicFramePr/>
            <a:graphic xmlns:a="http://schemas.openxmlformats.org/drawingml/2006/main">
              <a:graphicData uri="http://schemas.openxmlformats.org/drawingml/2006/picture">
                <pic:pic xmlns:pic="http://schemas.openxmlformats.org/drawingml/2006/picture">
                  <pic:nvPicPr>
                    <pic:cNvPr id="336736" name="Picture 336736"/>
                    <pic:cNvPicPr/>
                  </pic:nvPicPr>
                  <pic:blipFill>
                    <a:blip r:embed="rId579"/>
                    <a:stretch>
                      <a:fillRect/>
                    </a:stretch>
                  </pic:blipFill>
                  <pic:spPr>
                    <a:xfrm>
                      <a:off x="0" y="0"/>
                      <a:ext cx="13716" cy="9144"/>
                    </a:xfrm>
                    <a:prstGeom prst="rect">
                      <a:avLst/>
                    </a:prstGeom>
                  </pic:spPr>
                </pic:pic>
              </a:graphicData>
            </a:graphic>
          </wp:inline>
        </w:drawing>
      </w:r>
      <w:r>
        <w:rPr>
          <w:sz w:val="28"/>
        </w:rPr>
        <w:t xml:space="preserve"> Falta de reposición de activos fijos</w:t>
      </w:r>
    </w:p>
    <w:p w14:paraId="441F8A78" w14:textId="77777777" w:rsidR="00053D93" w:rsidRDefault="00260B75">
      <w:pPr>
        <w:spacing w:after="18" w:line="248" w:lineRule="auto"/>
        <w:ind w:left="1421" w:hanging="3"/>
        <w:jc w:val="both"/>
      </w:pPr>
      <w:r>
        <w:rPr>
          <w:sz w:val="28"/>
        </w:rPr>
        <w:t>Condición</w:t>
      </w:r>
    </w:p>
    <w:p w14:paraId="091007EC" w14:textId="77777777" w:rsidR="00053D93" w:rsidRDefault="00260B75">
      <w:pPr>
        <w:spacing w:after="341" w:line="247" w:lineRule="auto"/>
        <w:ind w:left="1404" w:right="14" w:firstLine="4"/>
        <w:jc w:val="both"/>
      </w:pPr>
      <w:r>
        <w:rPr>
          <w:sz w:val="26"/>
        </w:rPr>
        <w:t xml:space="preserve">En el Ministerio de Educación, Unidad Ejecutora 109 Dirección General de Educación Física -DIGEF-, cuenta contable 1232 Maquinaria y Equipo, renglones presupuestarios: 324 Equipo Educacional, Cultural y Recreativo y 328 Equipo de Cómputo, a través de la verificación física de los activos fijos realizada el 27 de enero de 2025, en la Escuela Normal Central de Educación Física, ubicada en la 30 avenida, 6-74, Colonia El Naranjo, zona 4 de Mixco y con base en las tarjetas de responsabilidad de bienes inventariados de esta Unidad Ejecutora, se determinó un faltante de Q124,440.85, correspondiente a bienes registrados en las tarjetas de responsabilidad números: 002865, 002866, 002867, 002868, 002869 y </w:t>
      </w:r>
      <w:r>
        <w:rPr>
          <w:rFonts w:ascii="Times New Roman" w:eastAsia="Times New Roman" w:hAnsi="Times New Roman" w:cs="Times New Roman"/>
          <w:sz w:val="26"/>
        </w:rPr>
        <w:t>002887.</w:t>
      </w:r>
    </w:p>
    <w:p w14:paraId="470C928B" w14:textId="77777777" w:rsidR="00053D93" w:rsidRDefault="00260B75">
      <w:pPr>
        <w:spacing w:after="359" w:line="247" w:lineRule="auto"/>
        <w:ind w:left="1397" w:right="14" w:firstLine="4"/>
        <w:jc w:val="both"/>
      </w:pPr>
      <w:r>
        <w:rPr>
          <w:sz w:val="26"/>
        </w:rPr>
        <w:t>Este faltante corresponde a bienes que, al 31 de diciembre de 2024, aún se encontraban asignados al Director a.i. de la mencionada escuela, por el período comprendido del 02 de enero de 2013 al 01 de junio de 2019; como se detalla a continuación:</w:t>
      </w:r>
    </w:p>
    <w:p w14:paraId="485EC5F9" w14:textId="77777777" w:rsidR="00053D93" w:rsidRDefault="00260B75">
      <w:pPr>
        <w:spacing w:after="4" w:line="253" w:lineRule="auto"/>
        <w:ind w:left="1730" w:right="367" w:hanging="10"/>
        <w:jc w:val="center"/>
      </w:pPr>
      <w:r>
        <w:rPr>
          <w:sz w:val="26"/>
        </w:rPr>
        <w:t>Faltante de activos fijos en la Escuela Normal Central de Educación Física,</w:t>
      </w:r>
    </w:p>
    <w:p w14:paraId="76DDB560" w14:textId="77777777" w:rsidR="00053D93" w:rsidRDefault="00260B75">
      <w:pPr>
        <w:spacing w:after="4" w:line="253" w:lineRule="auto"/>
        <w:ind w:left="1730" w:right="367" w:hanging="10"/>
        <w:jc w:val="center"/>
      </w:pPr>
      <w:r>
        <w:rPr>
          <w:sz w:val="26"/>
        </w:rPr>
        <w:t>(Cifras Expresadas en Quetzales)</w:t>
      </w:r>
    </w:p>
    <w:tbl>
      <w:tblPr>
        <w:tblStyle w:val="TableGrid"/>
        <w:tblW w:w="9422" w:type="dxa"/>
        <w:tblInd w:w="432" w:type="dxa"/>
        <w:tblLook w:val="04A0" w:firstRow="1" w:lastRow="0" w:firstColumn="1" w:lastColumn="0" w:noHBand="0" w:noVBand="1"/>
      </w:tblPr>
      <w:tblGrid>
        <w:gridCol w:w="1008"/>
        <w:gridCol w:w="10503"/>
      </w:tblGrid>
      <w:tr w:rsidR="00053D93" w14:paraId="6AE24C4A" w14:textId="77777777">
        <w:trPr>
          <w:trHeight w:val="4522"/>
        </w:trPr>
        <w:tc>
          <w:tcPr>
            <w:tcW w:w="1015" w:type="dxa"/>
            <w:tcBorders>
              <w:top w:val="nil"/>
              <w:left w:val="nil"/>
              <w:bottom w:val="nil"/>
              <w:right w:val="nil"/>
            </w:tcBorders>
            <w:vAlign w:val="bottom"/>
          </w:tcPr>
          <w:p w14:paraId="32840E80" w14:textId="77777777" w:rsidR="00053D93" w:rsidRDefault="00260B75">
            <w:r>
              <w:rPr>
                <w:noProof/>
              </w:rPr>
              <w:lastRenderedPageBreak/>
              <w:drawing>
                <wp:inline distT="0" distB="0" distL="0" distR="0" wp14:anchorId="02A5269B" wp14:editId="14C6C48E">
                  <wp:extent cx="640080" cy="406908"/>
                  <wp:effectExtent l="0" t="0" r="0" b="0"/>
                  <wp:docPr id="336830" name="Picture 336830"/>
                  <wp:cNvGraphicFramePr/>
                  <a:graphic xmlns:a="http://schemas.openxmlformats.org/drawingml/2006/main">
                    <a:graphicData uri="http://schemas.openxmlformats.org/drawingml/2006/picture">
                      <pic:pic xmlns:pic="http://schemas.openxmlformats.org/drawingml/2006/picture">
                        <pic:nvPicPr>
                          <pic:cNvPr id="336830" name="Picture 336830"/>
                          <pic:cNvPicPr/>
                        </pic:nvPicPr>
                        <pic:blipFill>
                          <a:blip r:embed="rId580"/>
                          <a:stretch>
                            <a:fillRect/>
                          </a:stretch>
                        </pic:blipFill>
                        <pic:spPr>
                          <a:xfrm>
                            <a:off x="0" y="0"/>
                            <a:ext cx="640080" cy="406908"/>
                          </a:xfrm>
                          <a:prstGeom prst="rect">
                            <a:avLst/>
                          </a:prstGeom>
                        </pic:spPr>
                      </pic:pic>
                    </a:graphicData>
                  </a:graphic>
                </wp:inline>
              </w:drawing>
            </w:r>
          </w:p>
        </w:tc>
        <w:tc>
          <w:tcPr>
            <w:tcW w:w="8407" w:type="dxa"/>
            <w:tcBorders>
              <w:top w:val="nil"/>
              <w:left w:val="nil"/>
              <w:bottom w:val="nil"/>
              <w:right w:val="nil"/>
            </w:tcBorders>
          </w:tcPr>
          <w:p w14:paraId="0F2D0A43" w14:textId="77777777" w:rsidR="00053D93" w:rsidRDefault="00053D93">
            <w:pPr>
              <w:ind w:left="-2095" w:right="10502"/>
            </w:pPr>
          </w:p>
          <w:tbl>
            <w:tblPr>
              <w:tblStyle w:val="TableGrid"/>
              <w:tblW w:w="8400" w:type="dxa"/>
              <w:tblInd w:w="7" w:type="dxa"/>
              <w:tblCellMar>
                <w:left w:w="7" w:type="dxa"/>
              </w:tblCellMar>
              <w:tblLook w:val="04A0" w:firstRow="1" w:lastRow="0" w:firstColumn="1" w:lastColumn="0" w:noHBand="0" w:noVBand="1"/>
            </w:tblPr>
            <w:tblGrid>
              <w:gridCol w:w="361"/>
              <w:gridCol w:w="284"/>
              <w:gridCol w:w="1026"/>
              <w:gridCol w:w="972"/>
              <w:gridCol w:w="436"/>
              <w:gridCol w:w="363"/>
              <w:gridCol w:w="1022"/>
              <w:gridCol w:w="2964"/>
              <w:gridCol w:w="972"/>
            </w:tblGrid>
            <w:tr w:rsidR="00053D93" w14:paraId="595D9DD5" w14:textId="77777777">
              <w:trPr>
                <w:trHeight w:val="288"/>
              </w:trPr>
              <w:tc>
                <w:tcPr>
                  <w:tcW w:w="3079" w:type="dxa"/>
                  <w:gridSpan w:val="5"/>
                  <w:tcBorders>
                    <w:top w:val="single" w:sz="2" w:space="0" w:color="000000"/>
                    <w:left w:val="single" w:sz="2" w:space="0" w:color="000000"/>
                    <w:bottom w:val="single" w:sz="2" w:space="0" w:color="000000"/>
                    <w:right w:val="single" w:sz="2" w:space="0" w:color="000000"/>
                  </w:tcBorders>
                </w:tcPr>
                <w:p w14:paraId="4DEF63F0" w14:textId="77777777" w:rsidR="00053D93" w:rsidRDefault="00260B75">
                  <w:pPr>
                    <w:ind w:left="7"/>
                  </w:pPr>
                  <w:r>
                    <w:rPr>
                      <w:sz w:val="20"/>
                    </w:rPr>
                    <w:t>Código de Empleado:</w:t>
                  </w:r>
                </w:p>
              </w:tc>
              <w:tc>
                <w:tcPr>
                  <w:tcW w:w="4349" w:type="dxa"/>
                  <w:gridSpan w:val="3"/>
                  <w:tcBorders>
                    <w:top w:val="single" w:sz="2" w:space="0" w:color="000000"/>
                    <w:left w:val="single" w:sz="2" w:space="0" w:color="000000"/>
                    <w:bottom w:val="single" w:sz="2" w:space="0" w:color="000000"/>
                    <w:right w:val="nil"/>
                  </w:tcBorders>
                </w:tcPr>
                <w:p w14:paraId="73D9BF7B" w14:textId="77777777" w:rsidR="00053D93" w:rsidRDefault="00260B75">
                  <w:pPr>
                    <w:ind w:left="75"/>
                  </w:pPr>
                  <w:r>
                    <w:rPr>
                      <w:rFonts w:ascii="Times New Roman" w:eastAsia="Times New Roman" w:hAnsi="Times New Roman" w:cs="Times New Roman"/>
                      <w:sz w:val="20"/>
                    </w:rPr>
                    <w:t>990039793</w:t>
                  </w:r>
                </w:p>
              </w:tc>
              <w:tc>
                <w:tcPr>
                  <w:tcW w:w="972" w:type="dxa"/>
                  <w:tcBorders>
                    <w:top w:val="single" w:sz="2" w:space="0" w:color="000000"/>
                    <w:left w:val="nil"/>
                    <w:bottom w:val="single" w:sz="2" w:space="0" w:color="000000"/>
                    <w:right w:val="single" w:sz="2" w:space="0" w:color="000000"/>
                  </w:tcBorders>
                </w:tcPr>
                <w:p w14:paraId="0393D4F6" w14:textId="77777777" w:rsidR="00053D93" w:rsidRDefault="00053D93"/>
              </w:tc>
            </w:tr>
            <w:tr w:rsidR="00053D93" w14:paraId="1F058F32" w14:textId="77777777">
              <w:trPr>
                <w:trHeight w:val="288"/>
              </w:trPr>
              <w:tc>
                <w:tcPr>
                  <w:tcW w:w="3079" w:type="dxa"/>
                  <w:gridSpan w:val="5"/>
                  <w:tcBorders>
                    <w:top w:val="single" w:sz="2" w:space="0" w:color="000000"/>
                    <w:left w:val="single" w:sz="2" w:space="0" w:color="000000"/>
                    <w:bottom w:val="single" w:sz="2" w:space="0" w:color="000000"/>
                    <w:right w:val="single" w:sz="2" w:space="0" w:color="000000"/>
                  </w:tcBorders>
                </w:tcPr>
                <w:p w14:paraId="777CE49E" w14:textId="77777777" w:rsidR="00053D93" w:rsidRDefault="00260B75">
                  <w:pPr>
                    <w:ind w:left="7"/>
                  </w:pPr>
                  <w:r>
                    <w:rPr>
                      <w:sz w:val="20"/>
                    </w:rPr>
                    <w:t>Puesto Funcional:</w:t>
                  </w:r>
                </w:p>
              </w:tc>
              <w:tc>
                <w:tcPr>
                  <w:tcW w:w="4349" w:type="dxa"/>
                  <w:gridSpan w:val="3"/>
                  <w:tcBorders>
                    <w:top w:val="single" w:sz="2" w:space="0" w:color="000000"/>
                    <w:left w:val="single" w:sz="2" w:space="0" w:color="000000"/>
                    <w:bottom w:val="single" w:sz="2" w:space="0" w:color="000000"/>
                    <w:right w:val="nil"/>
                  </w:tcBorders>
                </w:tcPr>
                <w:p w14:paraId="0D5B855A" w14:textId="77777777" w:rsidR="00053D93" w:rsidRDefault="00260B75">
                  <w:pPr>
                    <w:ind w:left="82"/>
                  </w:pPr>
                  <w:r>
                    <w:rPr>
                      <w:sz w:val="18"/>
                    </w:rPr>
                    <w:t>Director a. i.</w:t>
                  </w:r>
                </w:p>
              </w:tc>
              <w:tc>
                <w:tcPr>
                  <w:tcW w:w="972" w:type="dxa"/>
                  <w:tcBorders>
                    <w:top w:val="single" w:sz="2" w:space="0" w:color="000000"/>
                    <w:left w:val="nil"/>
                    <w:bottom w:val="single" w:sz="2" w:space="0" w:color="000000"/>
                    <w:right w:val="single" w:sz="2" w:space="0" w:color="000000"/>
                  </w:tcBorders>
                </w:tcPr>
                <w:p w14:paraId="0B177C3B" w14:textId="77777777" w:rsidR="00053D93" w:rsidRDefault="00053D93"/>
              </w:tc>
            </w:tr>
            <w:tr w:rsidR="00053D93" w14:paraId="32859AEA" w14:textId="77777777">
              <w:trPr>
                <w:trHeight w:val="288"/>
              </w:trPr>
              <w:tc>
                <w:tcPr>
                  <w:tcW w:w="3079" w:type="dxa"/>
                  <w:gridSpan w:val="5"/>
                  <w:tcBorders>
                    <w:top w:val="single" w:sz="2" w:space="0" w:color="000000"/>
                    <w:left w:val="single" w:sz="2" w:space="0" w:color="000000"/>
                    <w:bottom w:val="single" w:sz="2" w:space="0" w:color="000000"/>
                    <w:right w:val="single" w:sz="2" w:space="0" w:color="000000"/>
                  </w:tcBorders>
                </w:tcPr>
                <w:p w14:paraId="335327A3" w14:textId="77777777" w:rsidR="00053D93" w:rsidRDefault="00260B75">
                  <w:pPr>
                    <w:ind w:left="7"/>
                  </w:pPr>
                  <w:r>
                    <w:rPr>
                      <w:sz w:val="20"/>
                    </w:rPr>
                    <w:t>Ubicación Física de Labores:</w:t>
                  </w:r>
                </w:p>
              </w:tc>
              <w:tc>
                <w:tcPr>
                  <w:tcW w:w="4349" w:type="dxa"/>
                  <w:gridSpan w:val="3"/>
                  <w:tcBorders>
                    <w:top w:val="single" w:sz="2" w:space="0" w:color="000000"/>
                    <w:left w:val="single" w:sz="2" w:space="0" w:color="000000"/>
                    <w:bottom w:val="single" w:sz="2" w:space="0" w:color="000000"/>
                    <w:right w:val="nil"/>
                  </w:tcBorders>
                </w:tcPr>
                <w:p w14:paraId="18247414" w14:textId="77777777" w:rsidR="00053D93" w:rsidRDefault="00260B75">
                  <w:pPr>
                    <w:ind w:left="82"/>
                  </w:pPr>
                  <w:r>
                    <w:rPr>
                      <w:sz w:val="20"/>
                    </w:rPr>
                    <w:t>Escuela Normal Central de Educación Física</w:t>
                  </w:r>
                </w:p>
              </w:tc>
              <w:tc>
                <w:tcPr>
                  <w:tcW w:w="972" w:type="dxa"/>
                  <w:tcBorders>
                    <w:top w:val="single" w:sz="2" w:space="0" w:color="000000"/>
                    <w:left w:val="nil"/>
                    <w:bottom w:val="single" w:sz="2" w:space="0" w:color="000000"/>
                    <w:right w:val="single" w:sz="2" w:space="0" w:color="000000"/>
                  </w:tcBorders>
                </w:tcPr>
                <w:p w14:paraId="4985F144" w14:textId="77777777" w:rsidR="00053D93" w:rsidRDefault="00053D93"/>
              </w:tc>
            </w:tr>
            <w:tr w:rsidR="00053D93" w14:paraId="0883CFC9" w14:textId="77777777">
              <w:trPr>
                <w:trHeight w:val="285"/>
              </w:trPr>
              <w:tc>
                <w:tcPr>
                  <w:tcW w:w="3079" w:type="dxa"/>
                  <w:gridSpan w:val="5"/>
                  <w:tcBorders>
                    <w:top w:val="single" w:sz="2" w:space="0" w:color="000000"/>
                    <w:left w:val="single" w:sz="2" w:space="0" w:color="000000"/>
                    <w:bottom w:val="single" w:sz="2" w:space="0" w:color="000000"/>
                    <w:right w:val="single" w:sz="2" w:space="0" w:color="000000"/>
                  </w:tcBorders>
                </w:tcPr>
                <w:p w14:paraId="4A94DB59" w14:textId="77777777" w:rsidR="00053D93" w:rsidRDefault="00260B75">
                  <w:pPr>
                    <w:ind w:left="7"/>
                  </w:pPr>
                  <w:r>
                    <w:rPr>
                      <w:sz w:val="18"/>
                    </w:rPr>
                    <w:t>Perlodo laborado:</w:t>
                  </w:r>
                </w:p>
              </w:tc>
              <w:tc>
                <w:tcPr>
                  <w:tcW w:w="4349" w:type="dxa"/>
                  <w:gridSpan w:val="3"/>
                  <w:tcBorders>
                    <w:top w:val="single" w:sz="2" w:space="0" w:color="000000"/>
                    <w:left w:val="single" w:sz="2" w:space="0" w:color="000000"/>
                    <w:bottom w:val="single" w:sz="2" w:space="0" w:color="000000"/>
                    <w:right w:val="nil"/>
                  </w:tcBorders>
                </w:tcPr>
                <w:p w14:paraId="4BAFC517" w14:textId="77777777" w:rsidR="00053D93" w:rsidRDefault="00260B75">
                  <w:pPr>
                    <w:ind w:left="75"/>
                  </w:pPr>
                  <w:r>
                    <w:rPr>
                      <w:sz w:val="18"/>
                    </w:rPr>
                    <w:t>Del 02/01/2013 al 01/06/2019</w:t>
                  </w:r>
                </w:p>
              </w:tc>
              <w:tc>
                <w:tcPr>
                  <w:tcW w:w="972" w:type="dxa"/>
                  <w:tcBorders>
                    <w:top w:val="single" w:sz="2" w:space="0" w:color="000000"/>
                    <w:left w:val="nil"/>
                    <w:bottom w:val="single" w:sz="2" w:space="0" w:color="000000"/>
                    <w:right w:val="single" w:sz="2" w:space="0" w:color="000000"/>
                  </w:tcBorders>
                </w:tcPr>
                <w:p w14:paraId="3128E271" w14:textId="77777777" w:rsidR="00053D93" w:rsidRDefault="00053D93"/>
              </w:tc>
            </w:tr>
            <w:tr w:rsidR="00053D93" w14:paraId="1C16D0C7" w14:textId="77777777">
              <w:trPr>
                <w:trHeight w:val="662"/>
              </w:trPr>
              <w:tc>
                <w:tcPr>
                  <w:tcW w:w="361" w:type="dxa"/>
                  <w:tcBorders>
                    <w:top w:val="single" w:sz="2" w:space="0" w:color="000000"/>
                    <w:left w:val="single" w:sz="2" w:space="0" w:color="000000"/>
                    <w:bottom w:val="single" w:sz="2" w:space="0" w:color="000000"/>
                    <w:right w:val="single" w:sz="2" w:space="0" w:color="000000"/>
                  </w:tcBorders>
                </w:tcPr>
                <w:p w14:paraId="43C7177A" w14:textId="77777777" w:rsidR="00053D93" w:rsidRDefault="00260B75">
                  <w:r>
                    <w:rPr>
                      <w:sz w:val="18"/>
                    </w:rPr>
                    <w:t>No.</w:t>
                  </w:r>
                </w:p>
              </w:tc>
              <w:tc>
                <w:tcPr>
                  <w:tcW w:w="1310" w:type="dxa"/>
                  <w:gridSpan w:val="2"/>
                  <w:tcBorders>
                    <w:top w:val="single" w:sz="2" w:space="0" w:color="000000"/>
                    <w:left w:val="single" w:sz="2" w:space="0" w:color="000000"/>
                    <w:bottom w:val="single" w:sz="2" w:space="0" w:color="000000"/>
                    <w:right w:val="single" w:sz="2" w:space="0" w:color="000000"/>
                  </w:tcBorders>
                </w:tcPr>
                <w:p w14:paraId="47DC8BC5" w14:textId="77777777" w:rsidR="00053D93" w:rsidRDefault="00260B75">
                  <w:pPr>
                    <w:spacing w:line="234" w:lineRule="auto"/>
                    <w:ind w:left="547" w:hanging="418"/>
                  </w:pPr>
                  <w:r>
                    <w:rPr>
                      <w:sz w:val="18"/>
                    </w:rPr>
                    <w:t>No. de Tarjeta de</w:t>
                  </w:r>
                </w:p>
                <w:p w14:paraId="72EAE658" w14:textId="77777777" w:rsidR="00053D93" w:rsidRDefault="00260B75">
                  <w:pPr>
                    <w:ind w:left="42"/>
                  </w:pPr>
                  <w:r>
                    <w:rPr>
                      <w:sz w:val="18"/>
                    </w:rPr>
                    <w:t>Responsabilidad</w:t>
                  </w:r>
                </w:p>
              </w:tc>
              <w:tc>
                <w:tcPr>
                  <w:tcW w:w="972" w:type="dxa"/>
                  <w:tcBorders>
                    <w:top w:val="single" w:sz="2" w:space="0" w:color="000000"/>
                    <w:left w:val="single" w:sz="2" w:space="0" w:color="000000"/>
                    <w:bottom w:val="single" w:sz="2" w:space="0" w:color="000000"/>
                    <w:right w:val="single" w:sz="2" w:space="0" w:color="000000"/>
                  </w:tcBorders>
                </w:tcPr>
                <w:p w14:paraId="3893BFBF" w14:textId="77777777" w:rsidR="00053D93" w:rsidRDefault="00260B75">
                  <w:pPr>
                    <w:ind w:left="14"/>
                    <w:jc w:val="center"/>
                  </w:pPr>
                  <w:r>
                    <w:rPr>
                      <w:sz w:val="20"/>
                    </w:rPr>
                    <w:t>Fecha</w:t>
                  </w:r>
                </w:p>
              </w:tc>
              <w:tc>
                <w:tcPr>
                  <w:tcW w:w="799" w:type="dxa"/>
                  <w:gridSpan w:val="2"/>
                  <w:tcBorders>
                    <w:top w:val="single" w:sz="2" w:space="0" w:color="000000"/>
                    <w:left w:val="single" w:sz="2" w:space="0" w:color="000000"/>
                    <w:bottom w:val="single" w:sz="2" w:space="0" w:color="000000"/>
                    <w:right w:val="single" w:sz="2" w:space="0" w:color="000000"/>
                  </w:tcBorders>
                </w:tcPr>
                <w:p w14:paraId="172FCCF1" w14:textId="77777777" w:rsidR="00053D93" w:rsidRDefault="00260B75">
                  <w:pPr>
                    <w:ind w:left="79"/>
                  </w:pPr>
                  <w:r>
                    <w:rPr>
                      <w:sz w:val="18"/>
                    </w:rPr>
                    <w:t xml:space="preserve">Cantidad </w:t>
                  </w:r>
                </w:p>
              </w:tc>
              <w:tc>
                <w:tcPr>
                  <w:tcW w:w="1022" w:type="dxa"/>
                  <w:tcBorders>
                    <w:top w:val="single" w:sz="2" w:space="0" w:color="000000"/>
                    <w:left w:val="single" w:sz="2" w:space="0" w:color="000000"/>
                    <w:bottom w:val="single" w:sz="2" w:space="0" w:color="000000"/>
                    <w:right w:val="single" w:sz="2" w:space="0" w:color="000000"/>
                  </w:tcBorders>
                </w:tcPr>
                <w:p w14:paraId="1FD60920" w14:textId="77777777" w:rsidR="00053D93" w:rsidRDefault="00260B75">
                  <w:pPr>
                    <w:ind w:left="7"/>
                    <w:jc w:val="center"/>
                  </w:pPr>
                  <w:r>
                    <w:rPr>
                      <w:sz w:val="18"/>
                    </w:rPr>
                    <w:t>No. Bien</w:t>
                  </w:r>
                </w:p>
              </w:tc>
              <w:tc>
                <w:tcPr>
                  <w:tcW w:w="2964" w:type="dxa"/>
                  <w:tcBorders>
                    <w:top w:val="single" w:sz="2" w:space="0" w:color="000000"/>
                    <w:left w:val="single" w:sz="2" w:space="0" w:color="000000"/>
                    <w:bottom w:val="single" w:sz="2" w:space="0" w:color="000000"/>
                    <w:right w:val="single" w:sz="2" w:space="0" w:color="000000"/>
                  </w:tcBorders>
                </w:tcPr>
                <w:p w14:paraId="7128E6B7" w14:textId="77777777" w:rsidR="00053D93" w:rsidRDefault="00260B75">
                  <w:pPr>
                    <w:ind w:left="3"/>
                    <w:jc w:val="center"/>
                  </w:pPr>
                  <w:r>
                    <w:rPr>
                      <w:sz w:val="18"/>
                    </w:rPr>
                    <w:t>Descripción</w:t>
                  </w:r>
                </w:p>
              </w:tc>
              <w:tc>
                <w:tcPr>
                  <w:tcW w:w="972" w:type="dxa"/>
                  <w:tcBorders>
                    <w:top w:val="single" w:sz="2" w:space="0" w:color="000000"/>
                    <w:left w:val="single" w:sz="2" w:space="0" w:color="000000"/>
                    <w:bottom w:val="single" w:sz="2" w:space="0" w:color="000000"/>
                    <w:right w:val="single" w:sz="2" w:space="0" w:color="000000"/>
                  </w:tcBorders>
                </w:tcPr>
                <w:p w14:paraId="4927EF5E" w14:textId="77777777" w:rsidR="00053D93" w:rsidRDefault="00260B75">
                  <w:pPr>
                    <w:ind w:left="56"/>
                    <w:jc w:val="center"/>
                  </w:pPr>
                  <w:r>
                    <w:rPr>
                      <w:sz w:val="20"/>
                    </w:rPr>
                    <w:t>Saldo</w:t>
                  </w:r>
                </w:p>
              </w:tc>
            </w:tr>
            <w:tr w:rsidR="00053D93" w14:paraId="4B2F64BC" w14:textId="77777777">
              <w:trPr>
                <w:trHeight w:val="2124"/>
              </w:trPr>
              <w:tc>
                <w:tcPr>
                  <w:tcW w:w="361" w:type="dxa"/>
                  <w:vMerge w:val="restart"/>
                  <w:tcBorders>
                    <w:top w:val="single" w:sz="2" w:space="0" w:color="000000"/>
                    <w:left w:val="single" w:sz="2" w:space="0" w:color="000000"/>
                    <w:bottom w:val="nil"/>
                    <w:right w:val="single" w:sz="2" w:space="0" w:color="000000"/>
                  </w:tcBorders>
                </w:tcPr>
                <w:p w14:paraId="32541DCA" w14:textId="77777777" w:rsidR="00053D93" w:rsidRDefault="00260B75">
                  <w:pPr>
                    <w:ind w:left="79"/>
                  </w:pPr>
                  <w:r>
                    <w:rPr>
                      <w:rFonts w:ascii="Times New Roman" w:eastAsia="Times New Roman" w:hAnsi="Times New Roman" w:cs="Times New Roman"/>
                      <w:sz w:val="20"/>
                    </w:rPr>
                    <w:t>1</w:t>
                  </w:r>
                </w:p>
              </w:tc>
              <w:tc>
                <w:tcPr>
                  <w:tcW w:w="1310" w:type="dxa"/>
                  <w:gridSpan w:val="2"/>
                  <w:tcBorders>
                    <w:top w:val="single" w:sz="2" w:space="0" w:color="000000"/>
                    <w:left w:val="single" w:sz="2" w:space="0" w:color="000000"/>
                    <w:bottom w:val="nil"/>
                    <w:right w:val="single" w:sz="2" w:space="0" w:color="000000"/>
                  </w:tcBorders>
                </w:tcPr>
                <w:p w14:paraId="60078A66" w14:textId="77777777" w:rsidR="00053D93" w:rsidRDefault="00260B75">
                  <w:pPr>
                    <w:ind w:right="44"/>
                    <w:jc w:val="center"/>
                  </w:pPr>
                  <w:r>
                    <w:rPr>
                      <w:rFonts w:ascii="Times New Roman" w:eastAsia="Times New Roman" w:hAnsi="Times New Roman" w:cs="Times New Roman"/>
                      <w:sz w:val="18"/>
                    </w:rPr>
                    <w:t>002865</w:t>
                  </w:r>
                </w:p>
              </w:tc>
              <w:tc>
                <w:tcPr>
                  <w:tcW w:w="972" w:type="dxa"/>
                  <w:tcBorders>
                    <w:top w:val="single" w:sz="2" w:space="0" w:color="000000"/>
                    <w:left w:val="single" w:sz="2" w:space="0" w:color="000000"/>
                    <w:bottom w:val="single" w:sz="2" w:space="0" w:color="000000"/>
                    <w:right w:val="single" w:sz="2" w:space="0" w:color="000000"/>
                  </w:tcBorders>
                </w:tcPr>
                <w:p w14:paraId="1C5557DA" w14:textId="77777777" w:rsidR="00053D93" w:rsidRDefault="00260B75">
                  <w:pPr>
                    <w:ind w:left="79"/>
                  </w:pPr>
                  <w:r>
                    <w:rPr>
                      <w:rFonts w:ascii="Times New Roman" w:eastAsia="Times New Roman" w:hAnsi="Times New Roman" w:cs="Times New Roman"/>
                      <w:sz w:val="18"/>
                    </w:rPr>
                    <w:t>03/12/2012</w:t>
                  </w:r>
                </w:p>
              </w:tc>
              <w:tc>
                <w:tcPr>
                  <w:tcW w:w="799" w:type="dxa"/>
                  <w:gridSpan w:val="2"/>
                  <w:tcBorders>
                    <w:top w:val="single" w:sz="2" w:space="0" w:color="000000"/>
                    <w:left w:val="single" w:sz="2" w:space="0" w:color="000000"/>
                    <w:bottom w:val="single" w:sz="2" w:space="0" w:color="000000"/>
                    <w:right w:val="single" w:sz="2" w:space="0" w:color="000000"/>
                  </w:tcBorders>
                </w:tcPr>
                <w:p w14:paraId="11181626" w14:textId="77777777" w:rsidR="00053D93" w:rsidRDefault="00053D93"/>
              </w:tc>
              <w:tc>
                <w:tcPr>
                  <w:tcW w:w="1022" w:type="dxa"/>
                  <w:tcBorders>
                    <w:top w:val="single" w:sz="2" w:space="0" w:color="000000"/>
                    <w:left w:val="single" w:sz="2" w:space="0" w:color="000000"/>
                    <w:bottom w:val="single" w:sz="2" w:space="0" w:color="000000"/>
                    <w:right w:val="single" w:sz="2" w:space="0" w:color="000000"/>
                  </w:tcBorders>
                </w:tcPr>
                <w:p w14:paraId="64165C03" w14:textId="77777777" w:rsidR="00053D93" w:rsidRDefault="00260B75">
                  <w:pPr>
                    <w:ind w:left="122"/>
                  </w:pPr>
                  <w:r>
                    <w:rPr>
                      <w:sz w:val="18"/>
                    </w:rPr>
                    <w:t>00115FDD</w:t>
                  </w:r>
                </w:p>
              </w:tc>
              <w:tc>
                <w:tcPr>
                  <w:tcW w:w="2964" w:type="dxa"/>
                  <w:tcBorders>
                    <w:top w:val="single" w:sz="2" w:space="0" w:color="000000"/>
                    <w:left w:val="single" w:sz="2" w:space="0" w:color="000000"/>
                    <w:bottom w:val="single" w:sz="2" w:space="0" w:color="000000"/>
                    <w:right w:val="single" w:sz="2" w:space="0" w:color="000000"/>
                  </w:tcBorders>
                </w:tcPr>
                <w:p w14:paraId="48D4BF5F" w14:textId="77777777" w:rsidR="00053D93" w:rsidRDefault="00260B75">
                  <w:pPr>
                    <w:spacing w:line="252" w:lineRule="auto"/>
                    <w:ind w:left="79" w:right="69" w:firstLine="7"/>
                    <w:jc w:val="both"/>
                  </w:pPr>
                  <w:r>
                    <w:rPr>
                      <w:sz w:val="18"/>
                    </w:rPr>
                    <w:t>Computadora de escritorio marca Dell modelo Optiplex 7551D procesador Intel 2.2. ghz Front side bus 800 mhz caché 2x2mb Memoria RAM instalada 2.0 gb DDR2 NON-ECC SDRAM 533mhz (1 dimm) expandible hasta 2 gb una ranura libre para futuras expansiones, chasis desktop,</w:t>
                  </w:r>
                </w:p>
                <w:p w14:paraId="24BE8903" w14:textId="77777777" w:rsidR="00053D93" w:rsidRDefault="00260B75">
                  <w:pPr>
                    <w:spacing w:after="34"/>
                    <w:ind w:left="1512"/>
                  </w:pPr>
                  <w:r>
                    <w:rPr>
                      <w:noProof/>
                    </w:rPr>
                    <w:drawing>
                      <wp:inline distT="0" distB="0" distL="0" distR="0" wp14:anchorId="286F3090" wp14:editId="4CA6DEE6">
                        <wp:extent cx="4572" cy="9144"/>
                        <wp:effectExtent l="0" t="0" r="0" b="0"/>
                        <wp:docPr id="336734" name="Picture 336734"/>
                        <wp:cNvGraphicFramePr/>
                        <a:graphic xmlns:a="http://schemas.openxmlformats.org/drawingml/2006/main">
                          <a:graphicData uri="http://schemas.openxmlformats.org/drawingml/2006/picture">
                            <pic:pic xmlns:pic="http://schemas.openxmlformats.org/drawingml/2006/picture">
                              <pic:nvPicPr>
                                <pic:cNvPr id="336734" name="Picture 336734"/>
                                <pic:cNvPicPr/>
                              </pic:nvPicPr>
                              <pic:blipFill>
                                <a:blip r:embed="rId24"/>
                                <a:stretch>
                                  <a:fillRect/>
                                </a:stretch>
                              </pic:blipFill>
                              <pic:spPr>
                                <a:xfrm>
                                  <a:off x="0" y="0"/>
                                  <a:ext cx="4572" cy="9144"/>
                                </a:xfrm>
                                <a:prstGeom prst="rect">
                                  <a:avLst/>
                                </a:prstGeom>
                              </pic:spPr>
                            </pic:pic>
                          </a:graphicData>
                        </a:graphic>
                      </wp:inline>
                    </w:drawing>
                  </w:r>
                </w:p>
                <w:p w14:paraId="3C9B0857" w14:textId="77777777" w:rsidR="00053D93" w:rsidRDefault="00260B75">
                  <w:pPr>
                    <w:ind w:left="79"/>
                  </w:pPr>
                  <w:r>
                    <w:rPr>
                      <w:sz w:val="20"/>
                    </w:rPr>
                    <w:t>memoria de video 256 mb</w:t>
                  </w:r>
                </w:p>
              </w:tc>
              <w:tc>
                <w:tcPr>
                  <w:tcW w:w="972" w:type="dxa"/>
                  <w:tcBorders>
                    <w:top w:val="single" w:sz="2" w:space="0" w:color="000000"/>
                    <w:left w:val="single" w:sz="2" w:space="0" w:color="000000"/>
                    <w:bottom w:val="single" w:sz="2" w:space="0" w:color="000000"/>
                    <w:right w:val="single" w:sz="2" w:space="0" w:color="000000"/>
                  </w:tcBorders>
                </w:tcPr>
                <w:p w14:paraId="229BB9B0" w14:textId="77777777" w:rsidR="00053D93" w:rsidRDefault="00053D93"/>
              </w:tc>
            </w:tr>
            <w:tr w:rsidR="00053D93" w14:paraId="26F00068" w14:textId="77777777">
              <w:trPr>
                <w:trHeight w:val="586"/>
              </w:trPr>
              <w:tc>
                <w:tcPr>
                  <w:tcW w:w="0" w:type="auto"/>
                  <w:vMerge/>
                  <w:tcBorders>
                    <w:top w:val="nil"/>
                    <w:left w:val="single" w:sz="2" w:space="0" w:color="000000"/>
                    <w:bottom w:val="nil"/>
                    <w:right w:val="single" w:sz="2" w:space="0" w:color="000000"/>
                  </w:tcBorders>
                </w:tcPr>
                <w:p w14:paraId="74386B4B" w14:textId="77777777" w:rsidR="00053D93" w:rsidRDefault="00053D93"/>
              </w:tc>
              <w:tc>
                <w:tcPr>
                  <w:tcW w:w="284" w:type="dxa"/>
                  <w:tcBorders>
                    <w:top w:val="nil"/>
                    <w:left w:val="single" w:sz="2" w:space="0" w:color="000000"/>
                    <w:bottom w:val="nil"/>
                    <w:right w:val="single" w:sz="2" w:space="0" w:color="000000"/>
                  </w:tcBorders>
                </w:tcPr>
                <w:p w14:paraId="337904C6" w14:textId="77777777" w:rsidR="00053D93" w:rsidRDefault="00053D93"/>
              </w:tc>
              <w:tc>
                <w:tcPr>
                  <w:tcW w:w="6782" w:type="dxa"/>
                  <w:gridSpan w:val="6"/>
                  <w:tcBorders>
                    <w:top w:val="single" w:sz="2" w:space="0" w:color="000000"/>
                    <w:left w:val="single" w:sz="2" w:space="0" w:color="000000"/>
                    <w:bottom w:val="nil"/>
                    <w:right w:val="nil"/>
                  </w:tcBorders>
                </w:tcPr>
                <w:p w14:paraId="44B8E264" w14:textId="77777777" w:rsidR="00053D93" w:rsidRDefault="00260B75">
                  <w:pPr>
                    <w:ind w:left="200"/>
                    <w:jc w:val="center"/>
                  </w:pPr>
                  <w:r>
                    <w:rPr>
                      <w:sz w:val="14"/>
                    </w:rPr>
                    <w:t>MINISTERIO DE EDUCACION</w:t>
                  </w:r>
                </w:p>
                <w:p w14:paraId="03D1F498" w14:textId="77777777" w:rsidR="00053D93" w:rsidRDefault="00260B75">
                  <w:pPr>
                    <w:ind w:left="200"/>
                    <w:jc w:val="center"/>
                  </w:pPr>
                  <w:r>
                    <w:rPr>
                      <w:sz w:val="14"/>
                    </w:rPr>
                    <w:t>AUDITORIA FINANCIERA Y DE CUMPLIMIENTO</w:t>
                  </w:r>
                </w:p>
                <w:p w14:paraId="28A10BAA" w14:textId="77777777" w:rsidR="00053D93" w:rsidRDefault="00260B75">
                  <w:pPr>
                    <w:ind w:left="207"/>
                    <w:jc w:val="center"/>
                  </w:pPr>
                  <w:r>
                    <w:rPr>
                      <w:sz w:val="14"/>
                    </w:rPr>
                    <w:t>PERIODO DEL 01 DE ENERO AL 31 OE DICIEMBRE OE 2024</w:t>
                  </w:r>
                </w:p>
              </w:tc>
              <w:tc>
                <w:tcPr>
                  <w:tcW w:w="972" w:type="dxa"/>
                  <w:tcBorders>
                    <w:top w:val="single" w:sz="2" w:space="0" w:color="000000"/>
                    <w:left w:val="nil"/>
                    <w:bottom w:val="nil"/>
                    <w:right w:val="nil"/>
                  </w:tcBorders>
                </w:tcPr>
                <w:p w14:paraId="4549452F" w14:textId="77777777" w:rsidR="00053D93" w:rsidRDefault="00053D93"/>
              </w:tc>
            </w:tr>
          </w:tbl>
          <w:p w14:paraId="604C5193" w14:textId="77777777" w:rsidR="00053D93" w:rsidRDefault="00053D93"/>
        </w:tc>
      </w:tr>
    </w:tbl>
    <w:p w14:paraId="0695B590" w14:textId="77777777" w:rsidR="00053D93" w:rsidRDefault="00053D93">
      <w:pPr>
        <w:spacing w:after="0"/>
        <w:ind w:left="-648" w:right="10490"/>
      </w:pPr>
    </w:p>
    <w:tbl>
      <w:tblPr>
        <w:tblStyle w:val="TableGrid"/>
        <w:tblW w:w="9410" w:type="dxa"/>
        <w:tblInd w:w="439" w:type="dxa"/>
        <w:tblLook w:val="04A0" w:firstRow="1" w:lastRow="0" w:firstColumn="1" w:lastColumn="0" w:noHBand="0" w:noVBand="1"/>
      </w:tblPr>
      <w:tblGrid>
        <w:gridCol w:w="1015"/>
        <w:gridCol w:w="10498"/>
      </w:tblGrid>
      <w:tr w:rsidR="00053D93" w14:paraId="2E2444E6" w14:textId="77777777">
        <w:trPr>
          <w:trHeight w:val="13874"/>
        </w:trPr>
        <w:tc>
          <w:tcPr>
            <w:tcW w:w="1025" w:type="dxa"/>
            <w:tcBorders>
              <w:top w:val="nil"/>
              <w:left w:val="nil"/>
              <w:bottom w:val="nil"/>
              <w:right w:val="nil"/>
            </w:tcBorders>
            <w:vAlign w:val="bottom"/>
          </w:tcPr>
          <w:p w14:paraId="38630066" w14:textId="77777777" w:rsidR="00053D93" w:rsidRDefault="00260B75">
            <w:r>
              <w:rPr>
                <w:noProof/>
              </w:rPr>
              <w:lastRenderedPageBreak/>
              <w:drawing>
                <wp:inline distT="0" distB="0" distL="0" distR="0" wp14:anchorId="38C20E8C" wp14:editId="07B4E768">
                  <wp:extent cx="644652" cy="402336"/>
                  <wp:effectExtent l="0" t="0" r="0" b="0"/>
                  <wp:docPr id="342815" name="Picture 342815"/>
                  <wp:cNvGraphicFramePr/>
                  <a:graphic xmlns:a="http://schemas.openxmlformats.org/drawingml/2006/main">
                    <a:graphicData uri="http://schemas.openxmlformats.org/drawingml/2006/picture">
                      <pic:pic xmlns:pic="http://schemas.openxmlformats.org/drawingml/2006/picture">
                        <pic:nvPicPr>
                          <pic:cNvPr id="342815" name="Picture 342815"/>
                          <pic:cNvPicPr/>
                        </pic:nvPicPr>
                        <pic:blipFill>
                          <a:blip r:embed="rId581"/>
                          <a:stretch>
                            <a:fillRect/>
                          </a:stretch>
                        </pic:blipFill>
                        <pic:spPr>
                          <a:xfrm>
                            <a:off x="0" y="0"/>
                            <a:ext cx="644652" cy="402336"/>
                          </a:xfrm>
                          <a:prstGeom prst="rect">
                            <a:avLst/>
                          </a:prstGeom>
                        </pic:spPr>
                      </pic:pic>
                    </a:graphicData>
                  </a:graphic>
                </wp:inline>
              </w:drawing>
            </w:r>
          </w:p>
        </w:tc>
        <w:tc>
          <w:tcPr>
            <w:tcW w:w="8386" w:type="dxa"/>
            <w:tcBorders>
              <w:top w:val="nil"/>
              <w:left w:val="nil"/>
              <w:bottom w:val="nil"/>
              <w:right w:val="nil"/>
            </w:tcBorders>
          </w:tcPr>
          <w:p w14:paraId="49130D8A" w14:textId="77777777" w:rsidR="00053D93" w:rsidRDefault="00053D93">
            <w:pPr>
              <w:ind w:left="-2112" w:right="10498"/>
            </w:pPr>
          </w:p>
          <w:tbl>
            <w:tblPr>
              <w:tblStyle w:val="TableGrid"/>
              <w:tblW w:w="8376" w:type="dxa"/>
              <w:tblInd w:w="9" w:type="dxa"/>
              <w:tblCellMar>
                <w:left w:w="31" w:type="dxa"/>
                <w:bottom w:w="3" w:type="dxa"/>
                <w:right w:w="72" w:type="dxa"/>
              </w:tblCellMar>
              <w:tblLook w:val="04A0" w:firstRow="1" w:lastRow="0" w:firstColumn="1" w:lastColumn="0" w:noHBand="0" w:noVBand="1"/>
            </w:tblPr>
            <w:tblGrid>
              <w:gridCol w:w="351"/>
              <w:gridCol w:w="291"/>
              <w:gridCol w:w="992"/>
              <w:gridCol w:w="1014"/>
              <w:gridCol w:w="787"/>
              <w:gridCol w:w="1039"/>
              <w:gridCol w:w="2915"/>
              <w:gridCol w:w="987"/>
            </w:tblGrid>
            <w:tr w:rsidR="00053D93" w14:paraId="45B61A23" w14:textId="77777777">
              <w:trPr>
                <w:trHeight w:val="461"/>
              </w:trPr>
              <w:tc>
                <w:tcPr>
                  <w:tcW w:w="353" w:type="dxa"/>
                  <w:tcBorders>
                    <w:top w:val="single" w:sz="2" w:space="0" w:color="000000"/>
                    <w:left w:val="single" w:sz="2" w:space="0" w:color="000000"/>
                    <w:bottom w:val="single" w:sz="2" w:space="0" w:color="000000"/>
                    <w:right w:val="single" w:sz="2" w:space="0" w:color="000000"/>
                  </w:tcBorders>
                </w:tcPr>
                <w:p w14:paraId="7AFB41B8" w14:textId="77777777" w:rsidR="00053D93" w:rsidRDefault="00053D93"/>
              </w:tc>
              <w:tc>
                <w:tcPr>
                  <w:tcW w:w="1303" w:type="dxa"/>
                  <w:gridSpan w:val="2"/>
                  <w:vMerge w:val="restart"/>
                  <w:tcBorders>
                    <w:top w:val="single" w:sz="2" w:space="0" w:color="000000"/>
                    <w:left w:val="single" w:sz="2" w:space="0" w:color="000000"/>
                    <w:bottom w:val="single" w:sz="2" w:space="0" w:color="000000"/>
                    <w:right w:val="single" w:sz="2" w:space="0" w:color="000000"/>
                  </w:tcBorders>
                </w:tcPr>
                <w:p w14:paraId="141520D7"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0999884A" w14:textId="77777777" w:rsidR="00053D93" w:rsidRDefault="00053D93"/>
              </w:tc>
              <w:tc>
                <w:tcPr>
                  <w:tcW w:w="802" w:type="dxa"/>
                  <w:tcBorders>
                    <w:top w:val="single" w:sz="2" w:space="0" w:color="000000"/>
                    <w:left w:val="single" w:sz="2" w:space="0" w:color="000000"/>
                    <w:bottom w:val="single" w:sz="2" w:space="0" w:color="000000"/>
                    <w:right w:val="single" w:sz="2" w:space="0" w:color="000000"/>
                  </w:tcBorders>
                </w:tcPr>
                <w:p w14:paraId="620E2A7D" w14:textId="77777777" w:rsidR="00053D93" w:rsidRDefault="00053D93"/>
              </w:tc>
              <w:tc>
                <w:tcPr>
                  <w:tcW w:w="1015" w:type="dxa"/>
                  <w:tcBorders>
                    <w:top w:val="single" w:sz="2" w:space="0" w:color="000000"/>
                    <w:left w:val="single" w:sz="2" w:space="0" w:color="000000"/>
                    <w:bottom w:val="single" w:sz="2" w:space="0" w:color="000000"/>
                    <w:right w:val="single" w:sz="2" w:space="0" w:color="000000"/>
                  </w:tcBorders>
                </w:tcPr>
                <w:p w14:paraId="5480F2AC" w14:textId="77777777" w:rsidR="00053D93" w:rsidRDefault="00053D93"/>
              </w:tc>
              <w:tc>
                <w:tcPr>
                  <w:tcW w:w="2964" w:type="dxa"/>
                  <w:tcBorders>
                    <w:top w:val="single" w:sz="2" w:space="0" w:color="000000"/>
                    <w:left w:val="single" w:sz="2" w:space="0" w:color="000000"/>
                    <w:bottom w:val="single" w:sz="2" w:space="0" w:color="000000"/>
                    <w:right w:val="single" w:sz="2" w:space="0" w:color="000000"/>
                  </w:tcBorders>
                </w:tcPr>
                <w:p w14:paraId="71EA9496" w14:textId="77777777" w:rsidR="00053D93" w:rsidRDefault="00260B75">
                  <w:pPr>
                    <w:ind w:left="55"/>
                    <w:jc w:val="both"/>
                  </w:pPr>
                  <w:r>
                    <w:rPr>
                      <w:sz w:val="18"/>
                    </w:rPr>
                    <w:t>compartidos disco duro de 250 GB serie FL7K5H1.</w:t>
                  </w:r>
                </w:p>
              </w:tc>
              <w:tc>
                <w:tcPr>
                  <w:tcW w:w="968" w:type="dxa"/>
                  <w:tcBorders>
                    <w:top w:val="single" w:sz="2" w:space="0" w:color="000000"/>
                    <w:left w:val="single" w:sz="2" w:space="0" w:color="000000"/>
                    <w:bottom w:val="single" w:sz="2" w:space="0" w:color="000000"/>
                    <w:right w:val="single" w:sz="2" w:space="0" w:color="000000"/>
                  </w:tcBorders>
                  <w:vAlign w:val="bottom"/>
                </w:tcPr>
                <w:p w14:paraId="4F53321B" w14:textId="77777777" w:rsidR="00053D93" w:rsidRDefault="00260B75">
                  <w:pPr>
                    <w:ind w:left="216"/>
                  </w:pPr>
                  <w:r>
                    <w:rPr>
                      <w:sz w:val="18"/>
                    </w:rPr>
                    <w:t>4,214.oo</w:t>
                  </w:r>
                </w:p>
              </w:tc>
            </w:tr>
            <w:tr w:rsidR="00053D93" w14:paraId="08A89A6E" w14:textId="77777777">
              <w:trPr>
                <w:trHeight w:val="454"/>
              </w:trPr>
              <w:tc>
                <w:tcPr>
                  <w:tcW w:w="353" w:type="dxa"/>
                  <w:tcBorders>
                    <w:top w:val="single" w:sz="2" w:space="0" w:color="000000"/>
                    <w:left w:val="single" w:sz="2" w:space="0" w:color="000000"/>
                    <w:bottom w:val="single" w:sz="2" w:space="0" w:color="000000"/>
                    <w:right w:val="single" w:sz="2" w:space="0" w:color="000000"/>
                  </w:tcBorders>
                </w:tcPr>
                <w:p w14:paraId="761592DE" w14:textId="77777777" w:rsidR="00053D93" w:rsidRDefault="00260B75">
                  <w:pPr>
                    <w:ind w:left="36"/>
                  </w:pPr>
                  <w:r>
                    <w:rPr>
                      <w:rFonts w:ascii="Times New Roman" w:eastAsia="Times New Roman" w:hAnsi="Times New Roman" w:cs="Times New Roman"/>
                      <w:sz w:val="18"/>
                    </w:rPr>
                    <w:t>2</w:t>
                  </w:r>
                </w:p>
              </w:tc>
              <w:tc>
                <w:tcPr>
                  <w:tcW w:w="0" w:type="auto"/>
                  <w:gridSpan w:val="2"/>
                  <w:vMerge/>
                  <w:tcBorders>
                    <w:top w:val="nil"/>
                    <w:left w:val="single" w:sz="2" w:space="0" w:color="000000"/>
                    <w:bottom w:val="nil"/>
                    <w:right w:val="single" w:sz="2" w:space="0" w:color="000000"/>
                  </w:tcBorders>
                </w:tcPr>
                <w:p w14:paraId="34B04CE7"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6A83164D" w14:textId="77777777" w:rsidR="00053D93" w:rsidRDefault="00260B75">
                  <w:pPr>
                    <w:ind w:left="50"/>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41FB86C0" w14:textId="77777777" w:rsidR="00053D93" w:rsidRDefault="00053D93"/>
              </w:tc>
              <w:tc>
                <w:tcPr>
                  <w:tcW w:w="1015" w:type="dxa"/>
                  <w:tcBorders>
                    <w:top w:val="single" w:sz="2" w:space="0" w:color="000000"/>
                    <w:left w:val="single" w:sz="2" w:space="0" w:color="000000"/>
                    <w:bottom w:val="single" w:sz="2" w:space="0" w:color="000000"/>
                    <w:right w:val="single" w:sz="2" w:space="0" w:color="000000"/>
                  </w:tcBorders>
                </w:tcPr>
                <w:p w14:paraId="696D5A79" w14:textId="77777777" w:rsidR="00053D93" w:rsidRDefault="00260B75">
                  <w:pPr>
                    <w:ind w:left="105"/>
                  </w:pPr>
                  <w:r>
                    <w:rPr>
                      <w:sz w:val="20"/>
                    </w:rPr>
                    <w:t>00115FE5</w:t>
                  </w:r>
                </w:p>
              </w:tc>
              <w:tc>
                <w:tcPr>
                  <w:tcW w:w="2964" w:type="dxa"/>
                  <w:tcBorders>
                    <w:top w:val="single" w:sz="2" w:space="0" w:color="000000"/>
                    <w:left w:val="single" w:sz="2" w:space="0" w:color="000000"/>
                    <w:bottom w:val="single" w:sz="2" w:space="0" w:color="000000"/>
                    <w:right w:val="single" w:sz="2" w:space="0" w:color="000000"/>
                  </w:tcBorders>
                </w:tcPr>
                <w:p w14:paraId="2334D549" w14:textId="77777777" w:rsidR="00053D93" w:rsidRDefault="00260B75">
                  <w:pPr>
                    <w:ind w:left="55"/>
                    <w:jc w:val="both"/>
                  </w:pPr>
                  <w:r>
                    <w:rPr>
                      <w:sz w:val="18"/>
                    </w:rPr>
                    <w:t>Mouse Marca Dell Modelo MOC5UO óptico serie No 56745V.</w:t>
                  </w:r>
                </w:p>
              </w:tc>
              <w:tc>
                <w:tcPr>
                  <w:tcW w:w="968" w:type="dxa"/>
                  <w:tcBorders>
                    <w:top w:val="single" w:sz="2" w:space="0" w:color="000000"/>
                    <w:left w:val="single" w:sz="2" w:space="0" w:color="000000"/>
                    <w:bottom w:val="single" w:sz="2" w:space="0" w:color="000000"/>
                    <w:right w:val="single" w:sz="2" w:space="0" w:color="000000"/>
                  </w:tcBorders>
                  <w:vAlign w:val="bottom"/>
                </w:tcPr>
                <w:p w14:paraId="3CE718A1" w14:textId="77777777" w:rsidR="00053D93" w:rsidRDefault="00260B75">
                  <w:pPr>
                    <w:ind w:left="367"/>
                  </w:pPr>
                  <w:r>
                    <w:rPr>
                      <w:rFonts w:ascii="Times New Roman" w:eastAsia="Times New Roman" w:hAnsi="Times New Roman" w:cs="Times New Roman"/>
                      <w:sz w:val="18"/>
                    </w:rPr>
                    <w:t>100.00</w:t>
                  </w:r>
                </w:p>
              </w:tc>
            </w:tr>
            <w:tr w:rsidR="00053D93" w14:paraId="43532E35" w14:textId="77777777">
              <w:trPr>
                <w:trHeight w:val="1322"/>
              </w:trPr>
              <w:tc>
                <w:tcPr>
                  <w:tcW w:w="353" w:type="dxa"/>
                  <w:tcBorders>
                    <w:top w:val="single" w:sz="2" w:space="0" w:color="000000"/>
                    <w:left w:val="single" w:sz="2" w:space="0" w:color="000000"/>
                    <w:bottom w:val="single" w:sz="2" w:space="0" w:color="000000"/>
                    <w:right w:val="single" w:sz="2" w:space="0" w:color="000000"/>
                  </w:tcBorders>
                </w:tcPr>
                <w:p w14:paraId="47391B71" w14:textId="77777777" w:rsidR="00053D93" w:rsidRDefault="00260B75">
                  <w:pPr>
                    <w:ind w:left="36"/>
                  </w:pPr>
                  <w:r>
                    <w:rPr>
                      <w:rFonts w:ascii="Times New Roman" w:eastAsia="Times New Roman" w:hAnsi="Times New Roman" w:cs="Times New Roman"/>
                    </w:rPr>
                    <w:t>3</w:t>
                  </w:r>
                </w:p>
              </w:tc>
              <w:tc>
                <w:tcPr>
                  <w:tcW w:w="0" w:type="auto"/>
                  <w:gridSpan w:val="2"/>
                  <w:vMerge/>
                  <w:tcBorders>
                    <w:top w:val="nil"/>
                    <w:left w:val="single" w:sz="2" w:space="0" w:color="000000"/>
                    <w:bottom w:val="nil"/>
                    <w:right w:val="single" w:sz="2" w:space="0" w:color="000000"/>
                  </w:tcBorders>
                </w:tcPr>
                <w:p w14:paraId="74DEA1B4"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1BEE6690" w14:textId="77777777" w:rsidR="00053D93" w:rsidRDefault="00260B75">
                  <w:pPr>
                    <w:ind w:left="50"/>
                  </w:pPr>
                  <w:r>
                    <w:rPr>
                      <w:rFonts w:ascii="Times New Roman" w:eastAsia="Times New Roman" w:hAnsi="Times New Roman" w:cs="Times New Roman"/>
                      <w:sz w:val="18"/>
                    </w:rPr>
                    <w:t>03112/2012</w:t>
                  </w:r>
                </w:p>
              </w:tc>
              <w:tc>
                <w:tcPr>
                  <w:tcW w:w="802" w:type="dxa"/>
                  <w:tcBorders>
                    <w:top w:val="single" w:sz="2" w:space="0" w:color="000000"/>
                    <w:left w:val="single" w:sz="2" w:space="0" w:color="000000"/>
                    <w:bottom w:val="single" w:sz="2" w:space="0" w:color="000000"/>
                    <w:right w:val="single" w:sz="2" w:space="0" w:color="000000"/>
                  </w:tcBorders>
                </w:tcPr>
                <w:p w14:paraId="23E152A5" w14:textId="77777777" w:rsidR="00053D93" w:rsidRDefault="00260B75">
                  <w:pPr>
                    <w:ind w:left="29"/>
                    <w:jc w:val="center"/>
                  </w:pPr>
                  <w:r>
                    <w:rPr>
                      <w:rFonts w:ascii="Times New Roman" w:eastAsia="Times New Roman" w:hAnsi="Times New Roman" w:cs="Times New Roman"/>
                      <w:sz w:val="18"/>
                    </w:rPr>
                    <w:t>4</w:t>
                  </w:r>
                </w:p>
              </w:tc>
              <w:tc>
                <w:tcPr>
                  <w:tcW w:w="1015" w:type="dxa"/>
                  <w:tcBorders>
                    <w:top w:val="single" w:sz="2" w:space="0" w:color="000000"/>
                    <w:left w:val="single" w:sz="2" w:space="0" w:color="000000"/>
                    <w:bottom w:val="single" w:sz="2" w:space="0" w:color="000000"/>
                    <w:right w:val="single" w:sz="2" w:space="0" w:color="000000"/>
                  </w:tcBorders>
                </w:tcPr>
                <w:p w14:paraId="162C3D7D" w14:textId="77777777" w:rsidR="00053D93" w:rsidRDefault="00260B75">
                  <w:pPr>
                    <w:spacing w:after="1"/>
                    <w:ind w:left="84"/>
                  </w:pPr>
                  <w:r>
                    <w:rPr>
                      <w:sz w:val="18"/>
                    </w:rPr>
                    <w:t>001051E7;</w:t>
                  </w:r>
                </w:p>
                <w:p w14:paraId="3A3FAB11" w14:textId="77777777" w:rsidR="00053D93" w:rsidRDefault="00260B75">
                  <w:pPr>
                    <w:ind w:left="91"/>
                  </w:pPr>
                  <w:r>
                    <w:rPr>
                      <w:sz w:val="18"/>
                    </w:rPr>
                    <w:t>001 OF284;</w:t>
                  </w:r>
                </w:p>
                <w:p w14:paraId="37929008" w14:textId="77777777" w:rsidR="00053D93" w:rsidRDefault="00260B75">
                  <w:pPr>
                    <w:ind w:left="98"/>
                  </w:pPr>
                  <w:r>
                    <w:rPr>
                      <w:rFonts w:ascii="Times New Roman" w:eastAsia="Times New Roman" w:hAnsi="Times New Roman" w:cs="Times New Roman"/>
                      <w:sz w:val="18"/>
                    </w:rPr>
                    <w:t>00119565;</w:t>
                  </w:r>
                </w:p>
                <w:p w14:paraId="0CAC491E" w14:textId="77777777" w:rsidR="00053D93" w:rsidRDefault="00260B75">
                  <w:pPr>
                    <w:ind w:left="105"/>
                  </w:pPr>
                  <w:r>
                    <w:rPr>
                      <w:sz w:val="18"/>
                    </w:rPr>
                    <w:t>0010F85E</w:t>
                  </w:r>
                </w:p>
              </w:tc>
              <w:tc>
                <w:tcPr>
                  <w:tcW w:w="2964" w:type="dxa"/>
                  <w:tcBorders>
                    <w:top w:val="single" w:sz="2" w:space="0" w:color="000000"/>
                    <w:left w:val="single" w:sz="2" w:space="0" w:color="000000"/>
                    <w:bottom w:val="single" w:sz="2" w:space="0" w:color="000000"/>
                    <w:right w:val="single" w:sz="2" w:space="0" w:color="000000"/>
                  </w:tcBorders>
                </w:tcPr>
                <w:p w14:paraId="487DBEF1" w14:textId="77777777" w:rsidR="00053D93" w:rsidRDefault="00260B75">
                  <w:pPr>
                    <w:ind w:left="48" w:right="19" w:firstLine="7"/>
                    <w:jc w:val="both"/>
                  </w:pPr>
                  <w:r>
                    <w:rPr>
                      <w:sz w:val="20"/>
                    </w:rPr>
                    <w:t>Computadoras personales de escritorio (CPU) marca IBM Thinkcenter Lenovo, modelo 8215A88, color negro. con serie No. LKZ0752, LKZ1312, LKZI 250, LKZ0739. cada uno Q.8,255.70.</w:t>
                  </w:r>
                </w:p>
              </w:tc>
              <w:tc>
                <w:tcPr>
                  <w:tcW w:w="968" w:type="dxa"/>
                  <w:tcBorders>
                    <w:top w:val="single" w:sz="2" w:space="0" w:color="000000"/>
                    <w:left w:val="single" w:sz="2" w:space="0" w:color="000000"/>
                    <w:bottom w:val="single" w:sz="2" w:space="0" w:color="000000"/>
                    <w:right w:val="single" w:sz="2" w:space="0" w:color="000000"/>
                  </w:tcBorders>
                  <w:vAlign w:val="bottom"/>
                </w:tcPr>
                <w:p w14:paraId="1B13027D" w14:textId="77777777" w:rsidR="00053D93" w:rsidRDefault="00260B75">
                  <w:pPr>
                    <w:ind w:left="115"/>
                    <w:jc w:val="center"/>
                  </w:pPr>
                  <w:r>
                    <w:rPr>
                      <w:rFonts w:ascii="Times New Roman" w:eastAsia="Times New Roman" w:hAnsi="Times New Roman" w:cs="Times New Roman"/>
                      <w:sz w:val="20"/>
                    </w:rPr>
                    <w:t>33,02280</w:t>
                  </w:r>
                </w:p>
              </w:tc>
            </w:tr>
            <w:tr w:rsidR="00053D93" w14:paraId="54943861" w14:textId="77777777">
              <w:trPr>
                <w:trHeight w:val="2832"/>
              </w:trPr>
              <w:tc>
                <w:tcPr>
                  <w:tcW w:w="353" w:type="dxa"/>
                  <w:tcBorders>
                    <w:top w:val="single" w:sz="2" w:space="0" w:color="000000"/>
                    <w:left w:val="single" w:sz="2" w:space="0" w:color="000000"/>
                    <w:bottom w:val="single" w:sz="2" w:space="0" w:color="000000"/>
                    <w:right w:val="single" w:sz="2" w:space="0" w:color="000000"/>
                  </w:tcBorders>
                </w:tcPr>
                <w:p w14:paraId="692074F4" w14:textId="77777777" w:rsidR="00053D93" w:rsidRDefault="00260B75">
                  <w:pPr>
                    <w:ind w:left="29"/>
                  </w:pPr>
                  <w:r>
                    <w:rPr>
                      <w:rFonts w:ascii="Times New Roman" w:eastAsia="Times New Roman" w:hAnsi="Times New Roman" w:cs="Times New Roman"/>
                      <w:sz w:val="20"/>
                    </w:rPr>
                    <w:t>4</w:t>
                  </w:r>
                </w:p>
              </w:tc>
              <w:tc>
                <w:tcPr>
                  <w:tcW w:w="0" w:type="auto"/>
                  <w:gridSpan w:val="2"/>
                  <w:vMerge/>
                  <w:tcBorders>
                    <w:top w:val="nil"/>
                    <w:left w:val="single" w:sz="2" w:space="0" w:color="000000"/>
                    <w:bottom w:val="nil"/>
                    <w:right w:val="single" w:sz="2" w:space="0" w:color="000000"/>
                  </w:tcBorders>
                </w:tcPr>
                <w:p w14:paraId="1D339C58"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60019E6E" w14:textId="77777777" w:rsidR="00053D93" w:rsidRDefault="00260B75">
                  <w:pPr>
                    <w:ind w:left="50"/>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3927C039" w14:textId="77777777" w:rsidR="00053D93" w:rsidRDefault="00260B75">
                  <w:pPr>
                    <w:ind w:left="36"/>
                    <w:jc w:val="center"/>
                  </w:pPr>
                  <w:r>
                    <w:rPr>
                      <w:rFonts w:ascii="Times New Roman" w:eastAsia="Times New Roman" w:hAnsi="Times New Roman" w:cs="Times New Roman"/>
                      <w:sz w:val="16"/>
                    </w:rPr>
                    <w:t>2</w:t>
                  </w:r>
                </w:p>
              </w:tc>
              <w:tc>
                <w:tcPr>
                  <w:tcW w:w="1015" w:type="dxa"/>
                  <w:tcBorders>
                    <w:top w:val="single" w:sz="2" w:space="0" w:color="000000"/>
                    <w:left w:val="single" w:sz="2" w:space="0" w:color="000000"/>
                    <w:bottom w:val="single" w:sz="2" w:space="0" w:color="000000"/>
                    <w:right w:val="single" w:sz="2" w:space="0" w:color="000000"/>
                  </w:tcBorders>
                </w:tcPr>
                <w:p w14:paraId="45061184" w14:textId="77777777" w:rsidR="00053D93" w:rsidRDefault="00260B75">
                  <w:pPr>
                    <w:ind w:left="91"/>
                  </w:pPr>
                  <w:r>
                    <w:rPr>
                      <w:sz w:val="18"/>
                    </w:rPr>
                    <w:t>001068B9,</w:t>
                  </w:r>
                </w:p>
                <w:p w14:paraId="14DAC162" w14:textId="77777777" w:rsidR="00053D93" w:rsidRDefault="00260B75">
                  <w:pPr>
                    <w:ind w:left="113"/>
                  </w:pPr>
                  <w:r>
                    <w:rPr>
                      <w:sz w:val="18"/>
                    </w:rPr>
                    <w:t>00105A47</w:t>
                  </w:r>
                </w:p>
              </w:tc>
              <w:tc>
                <w:tcPr>
                  <w:tcW w:w="2964" w:type="dxa"/>
                  <w:tcBorders>
                    <w:top w:val="single" w:sz="2" w:space="0" w:color="000000"/>
                    <w:left w:val="single" w:sz="2" w:space="0" w:color="000000"/>
                    <w:bottom w:val="single" w:sz="2" w:space="0" w:color="000000"/>
                    <w:right w:val="single" w:sz="2" w:space="0" w:color="000000"/>
                  </w:tcBorders>
                </w:tcPr>
                <w:p w14:paraId="27398A92" w14:textId="77777777" w:rsidR="00053D93" w:rsidRDefault="00260B75">
                  <w:pPr>
                    <w:spacing w:line="264" w:lineRule="auto"/>
                    <w:ind w:left="48" w:right="12" w:firstLine="7"/>
                    <w:jc w:val="both"/>
                  </w:pPr>
                  <w:r>
                    <w:rPr>
                      <w:sz w:val="20"/>
                    </w:rPr>
                    <w:t>Computadoras personales de escritorio color negro marca IBM Think Centre, con procesador</w:t>
                  </w:r>
                </w:p>
                <w:p w14:paraId="6585BED4" w14:textId="77777777" w:rsidR="00053D93" w:rsidRDefault="00260B75">
                  <w:pPr>
                    <w:ind w:left="48" w:right="19" w:firstLine="7"/>
                    <w:jc w:val="both"/>
                  </w:pPr>
                  <w:r>
                    <w:rPr>
                      <w:sz w:val="18"/>
                    </w:rPr>
                    <w:t>Pentium IV 3.6ghz, 1 gb de memoria RAM, floppy de 1.44 mb, 3.5", disco de 160gb interno, puerto RJ-45, 1 0/1 00/1 000, un paralelo, ocho puertos usb v.2.O. 1 serial combo quemador de DVD CD, licencia Windows XP Professional en español con servicepack, 3 años de garantía, serie LKMGW39, LKMGW78. cada una Q.8,249.70.</w:t>
                  </w:r>
                </w:p>
              </w:tc>
              <w:tc>
                <w:tcPr>
                  <w:tcW w:w="968" w:type="dxa"/>
                  <w:tcBorders>
                    <w:top w:val="single" w:sz="2" w:space="0" w:color="000000"/>
                    <w:left w:val="single" w:sz="2" w:space="0" w:color="000000"/>
                    <w:bottom w:val="single" w:sz="2" w:space="0" w:color="000000"/>
                    <w:right w:val="single" w:sz="2" w:space="0" w:color="000000"/>
                  </w:tcBorders>
                  <w:vAlign w:val="bottom"/>
                </w:tcPr>
                <w:p w14:paraId="56F6C945" w14:textId="77777777" w:rsidR="00053D93" w:rsidRDefault="00260B75">
                  <w:pPr>
                    <w:ind w:left="130"/>
                    <w:jc w:val="center"/>
                  </w:pPr>
                  <w:r>
                    <w:rPr>
                      <w:rFonts w:ascii="Times New Roman" w:eastAsia="Times New Roman" w:hAnsi="Times New Roman" w:cs="Times New Roman"/>
                      <w:sz w:val="18"/>
                    </w:rPr>
                    <w:t>16,499.40</w:t>
                  </w:r>
                </w:p>
              </w:tc>
            </w:tr>
            <w:tr w:rsidR="00053D93" w14:paraId="754FF0E4" w14:textId="77777777">
              <w:trPr>
                <w:trHeight w:val="890"/>
              </w:trPr>
              <w:tc>
                <w:tcPr>
                  <w:tcW w:w="353" w:type="dxa"/>
                  <w:tcBorders>
                    <w:top w:val="single" w:sz="2" w:space="0" w:color="000000"/>
                    <w:left w:val="single" w:sz="2" w:space="0" w:color="000000"/>
                    <w:bottom w:val="single" w:sz="2" w:space="0" w:color="000000"/>
                    <w:right w:val="single" w:sz="2" w:space="0" w:color="000000"/>
                  </w:tcBorders>
                </w:tcPr>
                <w:p w14:paraId="5543B2AF" w14:textId="77777777" w:rsidR="00053D93" w:rsidRDefault="00260B75">
                  <w:pPr>
                    <w:ind w:left="36"/>
                  </w:pPr>
                  <w:r>
                    <w:rPr>
                      <w:rFonts w:ascii="Times New Roman" w:eastAsia="Times New Roman" w:hAnsi="Times New Roman" w:cs="Times New Roman"/>
                      <w:sz w:val="20"/>
                    </w:rPr>
                    <w:t>5</w:t>
                  </w:r>
                </w:p>
              </w:tc>
              <w:tc>
                <w:tcPr>
                  <w:tcW w:w="0" w:type="auto"/>
                  <w:gridSpan w:val="2"/>
                  <w:vMerge/>
                  <w:tcBorders>
                    <w:top w:val="nil"/>
                    <w:left w:val="single" w:sz="2" w:space="0" w:color="000000"/>
                    <w:bottom w:val="single" w:sz="2" w:space="0" w:color="000000"/>
                    <w:right w:val="single" w:sz="2" w:space="0" w:color="000000"/>
                  </w:tcBorders>
                </w:tcPr>
                <w:p w14:paraId="212ACE6D"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023DDFD4" w14:textId="77777777" w:rsidR="00053D93" w:rsidRDefault="00260B75">
                  <w:pPr>
                    <w:ind w:left="50"/>
                  </w:pPr>
                  <w:r>
                    <w:rPr>
                      <w:rFonts w:ascii="Times New Roman" w:eastAsia="Times New Roman" w:hAnsi="Times New Roman" w:cs="Times New Roman"/>
                      <w:sz w:val="18"/>
                    </w:rPr>
                    <w:t>03112/2012</w:t>
                  </w:r>
                </w:p>
              </w:tc>
              <w:tc>
                <w:tcPr>
                  <w:tcW w:w="802" w:type="dxa"/>
                  <w:tcBorders>
                    <w:top w:val="single" w:sz="2" w:space="0" w:color="000000"/>
                    <w:left w:val="single" w:sz="2" w:space="0" w:color="000000"/>
                    <w:bottom w:val="single" w:sz="2" w:space="0" w:color="000000"/>
                    <w:right w:val="single" w:sz="2" w:space="0" w:color="000000"/>
                  </w:tcBorders>
                </w:tcPr>
                <w:p w14:paraId="1AC06C49" w14:textId="77777777" w:rsidR="00053D93" w:rsidRDefault="00260B75">
                  <w:pPr>
                    <w:ind w:left="36"/>
                    <w:jc w:val="center"/>
                  </w:pPr>
                  <w:r>
                    <w:rPr>
                      <w:rFonts w:ascii="Times New Roman" w:eastAsia="Times New Roman" w:hAnsi="Times New Roman" w:cs="Times New Roman"/>
                      <w:sz w:val="16"/>
                    </w:rPr>
                    <w:t>2</w:t>
                  </w:r>
                </w:p>
              </w:tc>
              <w:tc>
                <w:tcPr>
                  <w:tcW w:w="1015" w:type="dxa"/>
                  <w:tcBorders>
                    <w:top w:val="single" w:sz="2" w:space="0" w:color="000000"/>
                    <w:left w:val="single" w:sz="2" w:space="0" w:color="000000"/>
                    <w:bottom w:val="single" w:sz="2" w:space="0" w:color="000000"/>
                    <w:right w:val="single" w:sz="2" w:space="0" w:color="000000"/>
                  </w:tcBorders>
                </w:tcPr>
                <w:p w14:paraId="6306DCB3" w14:textId="77777777" w:rsidR="00053D93" w:rsidRDefault="00260B75">
                  <w:pPr>
                    <w:ind w:left="62"/>
                  </w:pPr>
                  <w:r>
                    <w:rPr>
                      <w:sz w:val="20"/>
                    </w:rPr>
                    <w:t>00103BCE;</w:t>
                  </w:r>
                </w:p>
                <w:p w14:paraId="194DA801" w14:textId="77777777" w:rsidR="00053D93" w:rsidRDefault="00260B75">
                  <w:pPr>
                    <w:ind w:left="98"/>
                  </w:pPr>
                  <w:r>
                    <w:rPr>
                      <w:sz w:val="20"/>
                    </w:rPr>
                    <w:t>0010F6FA</w:t>
                  </w:r>
                </w:p>
              </w:tc>
              <w:tc>
                <w:tcPr>
                  <w:tcW w:w="2964" w:type="dxa"/>
                  <w:tcBorders>
                    <w:top w:val="single" w:sz="2" w:space="0" w:color="000000"/>
                    <w:left w:val="single" w:sz="2" w:space="0" w:color="000000"/>
                    <w:bottom w:val="single" w:sz="2" w:space="0" w:color="000000"/>
                    <w:right w:val="single" w:sz="2" w:space="0" w:color="000000"/>
                  </w:tcBorders>
                </w:tcPr>
                <w:p w14:paraId="5332F432" w14:textId="77777777" w:rsidR="00053D93" w:rsidRDefault="00260B75">
                  <w:pPr>
                    <w:ind w:left="40" w:right="19" w:firstLine="14"/>
                    <w:jc w:val="both"/>
                  </w:pPr>
                  <w:r>
                    <w:rPr>
                      <w:sz w:val="20"/>
                    </w:rPr>
                    <w:t>Monitores tipo fial panel de 17 pulgadas color negro, Marca IBM Thinkvision serie No. V2KPC34, V2KNX98 cada una Q.l ,990.OO.</w:t>
                  </w:r>
                </w:p>
              </w:tc>
              <w:tc>
                <w:tcPr>
                  <w:tcW w:w="968" w:type="dxa"/>
                  <w:tcBorders>
                    <w:top w:val="single" w:sz="2" w:space="0" w:color="000000"/>
                    <w:left w:val="single" w:sz="2" w:space="0" w:color="000000"/>
                    <w:bottom w:val="single" w:sz="2" w:space="0" w:color="000000"/>
                    <w:right w:val="single" w:sz="2" w:space="0" w:color="000000"/>
                  </w:tcBorders>
                  <w:vAlign w:val="bottom"/>
                </w:tcPr>
                <w:p w14:paraId="64CF0717" w14:textId="77777777" w:rsidR="00053D93" w:rsidRDefault="00260B75">
                  <w:pPr>
                    <w:ind w:left="230"/>
                  </w:pPr>
                  <w:r>
                    <w:rPr>
                      <w:rFonts w:ascii="Times New Roman" w:eastAsia="Times New Roman" w:hAnsi="Times New Roman" w:cs="Times New Roman"/>
                      <w:sz w:val="18"/>
                    </w:rPr>
                    <w:t>3.980.00</w:t>
                  </w:r>
                </w:p>
              </w:tc>
            </w:tr>
            <w:tr w:rsidR="00053D93" w14:paraId="10C1EFAF" w14:textId="77777777">
              <w:trPr>
                <w:trHeight w:val="454"/>
              </w:trPr>
              <w:tc>
                <w:tcPr>
                  <w:tcW w:w="353" w:type="dxa"/>
                  <w:tcBorders>
                    <w:top w:val="single" w:sz="2" w:space="0" w:color="000000"/>
                    <w:left w:val="single" w:sz="2" w:space="0" w:color="000000"/>
                    <w:bottom w:val="single" w:sz="2" w:space="0" w:color="000000"/>
                    <w:right w:val="single" w:sz="2" w:space="0" w:color="000000"/>
                  </w:tcBorders>
                </w:tcPr>
                <w:p w14:paraId="16D95E7B" w14:textId="77777777" w:rsidR="00053D93" w:rsidRDefault="00260B75">
                  <w:pPr>
                    <w:ind w:left="36"/>
                  </w:pPr>
                  <w:r>
                    <w:rPr>
                      <w:rFonts w:ascii="Times New Roman" w:eastAsia="Times New Roman" w:hAnsi="Times New Roman" w:cs="Times New Roman"/>
                      <w:sz w:val="18"/>
                    </w:rPr>
                    <w:t>6</w:t>
                  </w:r>
                </w:p>
              </w:tc>
              <w:tc>
                <w:tcPr>
                  <w:tcW w:w="1303" w:type="dxa"/>
                  <w:gridSpan w:val="2"/>
                  <w:vMerge w:val="restart"/>
                  <w:tcBorders>
                    <w:top w:val="single" w:sz="2" w:space="0" w:color="000000"/>
                    <w:left w:val="single" w:sz="2" w:space="0" w:color="000000"/>
                    <w:bottom w:val="single" w:sz="2" w:space="0" w:color="000000"/>
                    <w:right w:val="single" w:sz="2" w:space="0" w:color="000000"/>
                  </w:tcBorders>
                </w:tcPr>
                <w:p w14:paraId="2C0A4DB5" w14:textId="77777777" w:rsidR="00053D93" w:rsidRDefault="00260B75">
                  <w:pPr>
                    <w:ind w:left="3"/>
                    <w:jc w:val="center"/>
                  </w:pPr>
                  <w:r>
                    <w:rPr>
                      <w:rFonts w:ascii="Times New Roman" w:eastAsia="Times New Roman" w:hAnsi="Times New Roman" w:cs="Times New Roman"/>
                      <w:sz w:val="18"/>
                    </w:rPr>
                    <w:t>002866</w:t>
                  </w:r>
                </w:p>
              </w:tc>
              <w:tc>
                <w:tcPr>
                  <w:tcW w:w="972" w:type="dxa"/>
                  <w:tcBorders>
                    <w:top w:val="single" w:sz="2" w:space="0" w:color="000000"/>
                    <w:left w:val="single" w:sz="2" w:space="0" w:color="000000"/>
                    <w:bottom w:val="single" w:sz="2" w:space="0" w:color="000000"/>
                    <w:right w:val="single" w:sz="2" w:space="0" w:color="000000"/>
                  </w:tcBorders>
                </w:tcPr>
                <w:p w14:paraId="2253D500" w14:textId="77777777" w:rsidR="00053D93" w:rsidRDefault="00260B75">
                  <w:pPr>
                    <w:ind w:left="58"/>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051F15FA" w14:textId="77777777" w:rsidR="00053D93" w:rsidRDefault="00053D93"/>
              </w:tc>
              <w:tc>
                <w:tcPr>
                  <w:tcW w:w="1015" w:type="dxa"/>
                  <w:tcBorders>
                    <w:top w:val="single" w:sz="2" w:space="0" w:color="000000"/>
                    <w:left w:val="single" w:sz="2" w:space="0" w:color="000000"/>
                    <w:bottom w:val="single" w:sz="2" w:space="0" w:color="000000"/>
                    <w:right w:val="single" w:sz="2" w:space="0" w:color="000000"/>
                  </w:tcBorders>
                </w:tcPr>
                <w:p w14:paraId="149ADB69" w14:textId="77777777" w:rsidR="00053D93" w:rsidRDefault="00260B75">
                  <w:pPr>
                    <w:ind w:left="98"/>
                  </w:pPr>
                  <w:r>
                    <w:rPr>
                      <w:sz w:val="18"/>
                    </w:rPr>
                    <w:t>001051 EE</w:t>
                  </w:r>
                </w:p>
              </w:tc>
              <w:tc>
                <w:tcPr>
                  <w:tcW w:w="2964" w:type="dxa"/>
                  <w:tcBorders>
                    <w:top w:val="single" w:sz="2" w:space="0" w:color="000000"/>
                    <w:left w:val="single" w:sz="2" w:space="0" w:color="000000"/>
                    <w:bottom w:val="single" w:sz="2" w:space="0" w:color="000000"/>
                    <w:right w:val="single" w:sz="2" w:space="0" w:color="000000"/>
                  </w:tcBorders>
                </w:tcPr>
                <w:p w14:paraId="13DFF87B" w14:textId="77777777" w:rsidR="00053D93" w:rsidRDefault="00260B75">
                  <w:pPr>
                    <w:ind w:left="55" w:hanging="7"/>
                    <w:jc w:val="both"/>
                  </w:pPr>
                  <w:r>
                    <w:rPr>
                      <w:sz w:val="18"/>
                    </w:rPr>
                    <w:t>Teclado marca IBM, modelo KB-0225, color negro, serie No. 729340.</w:t>
                  </w:r>
                </w:p>
              </w:tc>
              <w:tc>
                <w:tcPr>
                  <w:tcW w:w="968" w:type="dxa"/>
                  <w:tcBorders>
                    <w:top w:val="single" w:sz="2" w:space="0" w:color="000000"/>
                    <w:left w:val="single" w:sz="2" w:space="0" w:color="000000"/>
                    <w:bottom w:val="single" w:sz="2" w:space="0" w:color="000000"/>
                    <w:right w:val="single" w:sz="2" w:space="0" w:color="000000"/>
                  </w:tcBorders>
                </w:tcPr>
                <w:p w14:paraId="124C360B" w14:textId="77777777" w:rsidR="00053D93" w:rsidRDefault="00053D93"/>
              </w:tc>
            </w:tr>
            <w:tr w:rsidR="00053D93" w14:paraId="229F93A7" w14:textId="77777777">
              <w:trPr>
                <w:trHeight w:val="665"/>
              </w:trPr>
              <w:tc>
                <w:tcPr>
                  <w:tcW w:w="353" w:type="dxa"/>
                  <w:tcBorders>
                    <w:top w:val="single" w:sz="2" w:space="0" w:color="000000"/>
                    <w:left w:val="single" w:sz="2" w:space="0" w:color="000000"/>
                    <w:bottom w:val="single" w:sz="2" w:space="0" w:color="000000"/>
                    <w:right w:val="single" w:sz="2" w:space="0" w:color="000000"/>
                  </w:tcBorders>
                </w:tcPr>
                <w:p w14:paraId="7B14BC13" w14:textId="77777777" w:rsidR="00053D93" w:rsidRDefault="00260B75">
                  <w:pPr>
                    <w:ind w:left="36"/>
                  </w:pPr>
                  <w:r>
                    <w:rPr>
                      <w:rFonts w:ascii="Times New Roman" w:eastAsia="Times New Roman" w:hAnsi="Times New Roman" w:cs="Times New Roman"/>
                      <w:sz w:val="18"/>
                    </w:rPr>
                    <w:t>7</w:t>
                  </w:r>
                </w:p>
              </w:tc>
              <w:tc>
                <w:tcPr>
                  <w:tcW w:w="0" w:type="auto"/>
                  <w:gridSpan w:val="2"/>
                  <w:vMerge/>
                  <w:tcBorders>
                    <w:top w:val="nil"/>
                    <w:left w:val="single" w:sz="2" w:space="0" w:color="000000"/>
                    <w:bottom w:val="nil"/>
                    <w:right w:val="single" w:sz="2" w:space="0" w:color="000000"/>
                  </w:tcBorders>
                </w:tcPr>
                <w:p w14:paraId="65802B3F"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010803F4" w14:textId="77777777" w:rsidR="00053D93" w:rsidRDefault="00260B75">
                  <w:pPr>
                    <w:ind w:left="50"/>
                  </w:pPr>
                  <w:r>
                    <w:rPr>
                      <w:rFonts w:ascii="Times New Roman" w:eastAsia="Times New Roman" w:hAnsi="Times New Roman" w:cs="Times New Roman"/>
                      <w:sz w:val="18"/>
                    </w:rPr>
                    <w:t>03/1212012</w:t>
                  </w:r>
                </w:p>
              </w:tc>
              <w:tc>
                <w:tcPr>
                  <w:tcW w:w="802" w:type="dxa"/>
                  <w:tcBorders>
                    <w:top w:val="single" w:sz="2" w:space="0" w:color="000000"/>
                    <w:left w:val="single" w:sz="2" w:space="0" w:color="000000"/>
                    <w:bottom w:val="single" w:sz="2" w:space="0" w:color="000000"/>
                    <w:right w:val="single" w:sz="2" w:space="0" w:color="000000"/>
                  </w:tcBorders>
                </w:tcPr>
                <w:p w14:paraId="2B8C68FB" w14:textId="77777777" w:rsidR="00053D93" w:rsidRDefault="00260B75">
                  <w:pPr>
                    <w:ind w:left="36"/>
                    <w:jc w:val="center"/>
                  </w:pPr>
                  <w:r>
                    <w:rPr>
                      <w:rFonts w:ascii="Times New Roman" w:eastAsia="Times New Roman" w:hAnsi="Times New Roman" w:cs="Times New Roman"/>
                      <w:sz w:val="16"/>
                    </w:rPr>
                    <w:t>2</w:t>
                  </w:r>
                </w:p>
              </w:tc>
              <w:tc>
                <w:tcPr>
                  <w:tcW w:w="1015" w:type="dxa"/>
                  <w:tcBorders>
                    <w:top w:val="single" w:sz="2" w:space="0" w:color="000000"/>
                    <w:left w:val="single" w:sz="2" w:space="0" w:color="000000"/>
                    <w:bottom w:val="single" w:sz="2" w:space="0" w:color="000000"/>
                    <w:right w:val="single" w:sz="2" w:space="0" w:color="000000"/>
                  </w:tcBorders>
                </w:tcPr>
                <w:p w14:paraId="44A427A5" w14:textId="77777777" w:rsidR="00053D93" w:rsidRDefault="00260B75">
                  <w:pPr>
                    <w:ind w:left="84"/>
                  </w:pPr>
                  <w:r>
                    <w:rPr>
                      <w:rFonts w:ascii="Times New Roman" w:eastAsia="Times New Roman" w:hAnsi="Times New Roman" w:cs="Times New Roman"/>
                      <w:sz w:val="18"/>
                    </w:rPr>
                    <w:t>00106808;</w:t>
                  </w:r>
                </w:p>
                <w:p w14:paraId="6891CEB3" w14:textId="77777777" w:rsidR="00053D93" w:rsidRDefault="00260B75">
                  <w:pPr>
                    <w:ind w:left="98"/>
                  </w:pPr>
                  <w:r>
                    <w:rPr>
                      <w:sz w:val="18"/>
                    </w:rPr>
                    <w:t>001082AB</w:t>
                  </w:r>
                </w:p>
              </w:tc>
              <w:tc>
                <w:tcPr>
                  <w:tcW w:w="2964" w:type="dxa"/>
                  <w:tcBorders>
                    <w:top w:val="single" w:sz="2" w:space="0" w:color="000000"/>
                    <w:left w:val="single" w:sz="2" w:space="0" w:color="000000"/>
                    <w:bottom w:val="single" w:sz="2" w:space="0" w:color="000000"/>
                    <w:right w:val="single" w:sz="2" w:space="0" w:color="000000"/>
                  </w:tcBorders>
                </w:tcPr>
                <w:p w14:paraId="3CB3A4CF" w14:textId="77777777" w:rsidR="00053D93" w:rsidRDefault="00260B75">
                  <w:pPr>
                    <w:ind w:left="55" w:right="26" w:hanging="7"/>
                    <w:jc w:val="both"/>
                  </w:pPr>
                  <w:r>
                    <w:rPr>
                      <w:sz w:val="18"/>
                    </w:rPr>
                    <w:t>Teclados en español. Color Negro, Marca IBM, conexión usb, Series: 815560, 813985. Cada Uno Q. 150.00.</w:t>
                  </w:r>
                </w:p>
              </w:tc>
              <w:tc>
                <w:tcPr>
                  <w:tcW w:w="968" w:type="dxa"/>
                  <w:tcBorders>
                    <w:top w:val="single" w:sz="2" w:space="0" w:color="000000"/>
                    <w:left w:val="single" w:sz="2" w:space="0" w:color="000000"/>
                    <w:bottom w:val="single" w:sz="2" w:space="0" w:color="000000"/>
                    <w:right w:val="single" w:sz="2" w:space="0" w:color="000000"/>
                  </w:tcBorders>
                  <w:vAlign w:val="bottom"/>
                </w:tcPr>
                <w:p w14:paraId="52C675BC" w14:textId="77777777" w:rsidR="00053D93" w:rsidRDefault="00260B75">
                  <w:pPr>
                    <w:ind w:left="360"/>
                  </w:pPr>
                  <w:r>
                    <w:rPr>
                      <w:rFonts w:ascii="Times New Roman" w:eastAsia="Times New Roman" w:hAnsi="Times New Roman" w:cs="Times New Roman"/>
                      <w:sz w:val="18"/>
                    </w:rPr>
                    <w:t>300.00</w:t>
                  </w:r>
                </w:p>
              </w:tc>
            </w:tr>
            <w:tr w:rsidR="00053D93" w14:paraId="519F014B" w14:textId="77777777">
              <w:trPr>
                <w:trHeight w:val="881"/>
              </w:trPr>
              <w:tc>
                <w:tcPr>
                  <w:tcW w:w="353" w:type="dxa"/>
                  <w:tcBorders>
                    <w:top w:val="single" w:sz="2" w:space="0" w:color="000000"/>
                    <w:left w:val="single" w:sz="2" w:space="0" w:color="000000"/>
                    <w:bottom w:val="single" w:sz="2" w:space="0" w:color="000000"/>
                    <w:right w:val="single" w:sz="2" w:space="0" w:color="000000"/>
                  </w:tcBorders>
                </w:tcPr>
                <w:p w14:paraId="5EF025CA" w14:textId="77777777" w:rsidR="00053D93" w:rsidRDefault="00260B75">
                  <w:pPr>
                    <w:ind w:left="36"/>
                  </w:pPr>
                  <w:r>
                    <w:rPr>
                      <w:rFonts w:ascii="Times New Roman" w:eastAsia="Times New Roman" w:hAnsi="Times New Roman" w:cs="Times New Roman"/>
                      <w:sz w:val="20"/>
                    </w:rPr>
                    <w:t>8</w:t>
                  </w:r>
                </w:p>
              </w:tc>
              <w:tc>
                <w:tcPr>
                  <w:tcW w:w="0" w:type="auto"/>
                  <w:gridSpan w:val="2"/>
                  <w:vMerge/>
                  <w:tcBorders>
                    <w:top w:val="nil"/>
                    <w:left w:val="single" w:sz="2" w:space="0" w:color="000000"/>
                    <w:bottom w:val="nil"/>
                    <w:right w:val="single" w:sz="2" w:space="0" w:color="000000"/>
                  </w:tcBorders>
                </w:tcPr>
                <w:p w14:paraId="3DE69218"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517F8925" w14:textId="77777777" w:rsidR="00053D93" w:rsidRDefault="00260B75">
                  <w:pPr>
                    <w:ind w:left="58"/>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24BD35E5" w14:textId="77777777" w:rsidR="00053D93" w:rsidRDefault="00260B75">
                  <w:pPr>
                    <w:ind w:left="43"/>
                    <w:jc w:val="center"/>
                  </w:pPr>
                  <w:r>
                    <w:rPr>
                      <w:rFonts w:ascii="Times New Roman" w:eastAsia="Times New Roman" w:hAnsi="Times New Roman" w:cs="Times New Roman"/>
                      <w:sz w:val="18"/>
                    </w:rPr>
                    <w:t>2</w:t>
                  </w:r>
                </w:p>
              </w:tc>
              <w:tc>
                <w:tcPr>
                  <w:tcW w:w="1015" w:type="dxa"/>
                  <w:tcBorders>
                    <w:top w:val="single" w:sz="2" w:space="0" w:color="000000"/>
                    <w:left w:val="single" w:sz="2" w:space="0" w:color="000000"/>
                    <w:bottom w:val="single" w:sz="2" w:space="0" w:color="000000"/>
                    <w:right w:val="single" w:sz="2" w:space="0" w:color="000000"/>
                  </w:tcBorders>
                </w:tcPr>
                <w:p w14:paraId="09C969C9" w14:textId="77777777" w:rsidR="00053D93" w:rsidRDefault="00260B75">
                  <w:pPr>
                    <w:spacing w:after="16"/>
                    <w:ind w:left="77"/>
                  </w:pPr>
                  <w:r>
                    <w:rPr>
                      <w:rFonts w:ascii="Times New Roman" w:eastAsia="Times New Roman" w:hAnsi="Times New Roman" w:cs="Times New Roman"/>
                      <w:sz w:val="16"/>
                    </w:rPr>
                    <w:t>0010B8C1;</w:t>
                  </w:r>
                </w:p>
                <w:p w14:paraId="0EEC0476" w14:textId="77777777" w:rsidR="00053D93" w:rsidRDefault="00260B75">
                  <w:pPr>
                    <w:ind w:left="105"/>
                  </w:pPr>
                  <w:r>
                    <w:rPr>
                      <w:rFonts w:ascii="Times New Roman" w:eastAsia="Times New Roman" w:hAnsi="Times New Roman" w:cs="Times New Roman"/>
                      <w:sz w:val="16"/>
                    </w:rPr>
                    <w:t>0010529C</w:t>
                  </w:r>
                </w:p>
              </w:tc>
              <w:tc>
                <w:tcPr>
                  <w:tcW w:w="2964" w:type="dxa"/>
                  <w:tcBorders>
                    <w:top w:val="single" w:sz="2" w:space="0" w:color="000000"/>
                    <w:left w:val="single" w:sz="2" w:space="0" w:color="000000"/>
                    <w:bottom w:val="single" w:sz="2" w:space="0" w:color="000000"/>
                    <w:right w:val="single" w:sz="2" w:space="0" w:color="000000"/>
                  </w:tcBorders>
                </w:tcPr>
                <w:p w14:paraId="0F73DE70" w14:textId="77777777" w:rsidR="00053D93" w:rsidRDefault="00260B75">
                  <w:pPr>
                    <w:spacing w:line="254" w:lineRule="auto"/>
                    <w:ind w:left="55" w:right="19"/>
                    <w:jc w:val="both"/>
                  </w:pPr>
                  <w:r>
                    <w:rPr>
                      <w:sz w:val="20"/>
                    </w:rPr>
                    <w:t>Mouse marca IBM, modelo M026UOL, color negro, series No. 23-184503, 23-046876, cada uno</w:t>
                  </w:r>
                </w:p>
                <w:p w14:paraId="6B2931AC" w14:textId="77777777" w:rsidR="00053D93" w:rsidRDefault="00260B75">
                  <w:pPr>
                    <w:ind w:left="55"/>
                  </w:pPr>
                  <w:r>
                    <w:rPr>
                      <w:rFonts w:ascii="Times New Roman" w:eastAsia="Times New Roman" w:hAnsi="Times New Roman" w:cs="Times New Roman"/>
                      <w:sz w:val="12"/>
                    </w:rPr>
                    <w:t>Q. 191 .OO.</w:t>
                  </w:r>
                </w:p>
              </w:tc>
              <w:tc>
                <w:tcPr>
                  <w:tcW w:w="968" w:type="dxa"/>
                  <w:tcBorders>
                    <w:top w:val="single" w:sz="2" w:space="0" w:color="000000"/>
                    <w:left w:val="single" w:sz="2" w:space="0" w:color="000000"/>
                    <w:bottom w:val="single" w:sz="2" w:space="0" w:color="000000"/>
                    <w:right w:val="single" w:sz="2" w:space="0" w:color="000000"/>
                  </w:tcBorders>
                  <w:vAlign w:val="bottom"/>
                </w:tcPr>
                <w:p w14:paraId="26637C29" w14:textId="77777777" w:rsidR="00053D93" w:rsidRDefault="00260B75">
                  <w:pPr>
                    <w:ind w:right="7"/>
                    <w:jc w:val="right"/>
                  </w:pPr>
                  <w:r>
                    <w:rPr>
                      <w:rFonts w:ascii="Times New Roman" w:eastAsia="Times New Roman" w:hAnsi="Times New Roman" w:cs="Times New Roman"/>
                      <w:sz w:val="18"/>
                    </w:rPr>
                    <w:t>382.00</w:t>
                  </w:r>
                </w:p>
              </w:tc>
            </w:tr>
            <w:tr w:rsidR="00053D93" w14:paraId="75C20A21" w14:textId="77777777">
              <w:trPr>
                <w:trHeight w:val="671"/>
              </w:trPr>
              <w:tc>
                <w:tcPr>
                  <w:tcW w:w="353" w:type="dxa"/>
                  <w:tcBorders>
                    <w:top w:val="single" w:sz="2" w:space="0" w:color="000000"/>
                    <w:left w:val="single" w:sz="2" w:space="0" w:color="000000"/>
                    <w:bottom w:val="single" w:sz="2" w:space="0" w:color="000000"/>
                    <w:right w:val="single" w:sz="2" w:space="0" w:color="000000"/>
                  </w:tcBorders>
                </w:tcPr>
                <w:p w14:paraId="5C017043" w14:textId="77777777" w:rsidR="00053D93" w:rsidRDefault="00053D93"/>
              </w:tc>
              <w:tc>
                <w:tcPr>
                  <w:tcW w:w="0" w:type="auto"/>
                  <w:gridSpan w:val="2"/>
                  <w:vMerge/>
                  <w:tcBorders>
                    <w:top w:val="nil"/>
                    <w:left w:val="single" w:sz="2" w:space="0" w:color="000000"/>
                    <w:bottom w:val="nil"/>
                    <w:right w:val="single" w:sz="2" w:space="0" w:color="000000"/>
                  </w:tcBorders>
                </w:tcPr>
                <w:p w14:paraId="3E3CA843"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380FD7B9" w14:textId="77777777" w:rsidR="00053D93" w:rsidRDefault="00260B75">
                  <w:pPr>
                    <w:ind w:left="50"/>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52D3B5B0" w14:textId="77777777" w:rsidR="00053D93" w:rsidRDefault="00053D93"/>
              </w:tc>
              <w:tc>
                <w:tcPr>
                  <w:tcW w:w="1015" w:type="dxa"/>
                  <w:tcBorders>
                    <w:top w:val="single" w:sz="2" w:space="0" w:color="000000"/>
                    <w:left w:val="single" w:sz="2" w:space="0" w:color="000000"/>
                    <w:bottom w:val="single" w:sz="2" w:space="0" w:color="000000"/>
                    <w:right w:val="single" w:sz="2" w:space="0" w:color="000000"/>
                  </w:tcBorders>
                </w:tcPr>
                <w:p w14:paraId="1EEE06D8" w14:textId="77777777" w:rsidR="00053D93" w:rsidRDefault="00260B75">
                  <w:pPr>
                    <w:ind w:left="91"/>
                  </w:pPr>
                  <w:r>
                    <w:rPr>
                      <w:sz w:val="18"/>
                    </w:rPr>
                    <w:t>001068DD</w:t>
                  </w:r>
                </w:p>
              </w:tc>
              <w:tc>
                <w:tcPr>
                  <w:tcW w:w="2964" w:type="dxa"/>
                  <w:tcBorders>
                    <w:top w:val="single" w:sz="2" w:space="0" w:color="000000"/>
                    <w:left w:val="single" w:sz="2" w:space="0" w:color="000000"/>
                    <w:bottom w:val="single" w:sz="2" w:space="0" w:color="000000"/>
                    <w:right w:val="single" w:sz="2" w:space="0" w:color="000000"/>
                  </w:tcBorders>
                </w:tcPr>
                <w:p w14:paraId="2C894125" w14:textId="77777777" w:rsidR="00053D93" w:rsidRDefault="00260B75">
                  <w:pPr>
                    <w:ind w:left="55" w:right="5"/>
                    <w:jc w:val="both"/>
                  </w:pPr>
                  <w:r>
                    <w:rPr>
                      <w:sz w:val="18"/>
                    </w:rPr>
                    <w:t xml:space="preserve">Mouse de 2 botones con scrolt color negro con rojo Marca IBM, serie. </w:t>
                  </w:r>
                  <w:r>
                    <w:rPr>
                      <w:rFonts w:ascii="Times New Roman" w:eastAsia="Times New Roman" w:hAnsi="Times New Roman" w:cs="Times New Roman"/>
                      <w:sz w:val="18"/>
                    </w:rPr>
                    <w:t>23-048368.</w:t>
                  </w:r>
                </w:p>
              </w:tc>
              <w:tc>
                <w:tcPr>
                  <w:tcW w:w="968" w:type="dxa"/>
                  <w:tcBorders>
                    <w:top w:val="single" w:sz="2" w:space="0" w:color="000000"/>
                    <w:left w:val="single" w:sz="2" w:space="0" w:color="000000"/>
                    <w:bottom w:val="single" w:sz="2" w:space="0" w:color="000000"/>
                    <w:right w:val="single" w:sz="2" w:space="0" w:color="000000"/>
                  </w:tcBorders>
                  <w:vAlign w:val="bottom"/>
                </w:tcPr>
                <w:p w14:paraId="2894F685" w14:textId="77777777" w:rsidR="00053D93" w:rsidRDefault="00260B75">
                  <w:pPr>
                    <w:ind w:right="7"/>
                    <w:jc w:val="right"/>
                  </w:pPr>
                  <w:r>
                    <w:rPr>
                      <w:rFonts w:ascii="Times New Roman" w:eastAsia="Times New Roman" w:hAnsi="Times New Roman" w:cs="Times New Roman"/>
                      <w:sz w:val="18"/>
                    </w:rPr>
                    <w:t>150.00</w:t>
                  </w:r>
                </w:p>
              </w:tc>
            </w:tr>
            <w:tr w:rsidR="00053D93" w14:paraId="5186CB31" w14:textId="77777777">
              <w:trPr>
                <w:trHeight w:val="454"/>
              </w:trPr>
              <w:tc>
                <w:tcPr>
                  <w:tcW w:w="353" w:type="dxa"/>
                  <w:tcBorders>
                    <w:top w:val="single" w:sz="2" w:space="0" w:color="000000"/>
                    <w:left w:val="single" w:sz="2" w:space="0" w:color="000000"/>
                    <w:bottom w:val="single" w:sz="2" w:space="0" w:color="000000"/>
                    <w:right w:val="single" w:sz="2" w:space="0" w:color="000000"/>
                  </w:tcBorders>
                </w:tcPr>
                <w:p w14:paraId="300B8E92" w14:textId="77777777" w:rsidR="00053D93" w:rsidRDefault="00260B75">
                  <w:r>
                    <w:rPr>
                      <w:rFonts w:ascii="Times New Roman" w:eastAsia="Times New Roman" w:hAnsi="Times New Roman" w:cs="Times New Roman"/>
                      <w:sz w:val="20"/>
                    </w:rPr>
                    <w:t>10</w:t>
                  </w:r>
                </w:p>
              </w:tc>
              <w:tc>
                <w:tcPr>
                  <w:tcW w:w="0" w:type="auto"/>
                  <w:gridSpan w:val="2"/>
                  <w:vMerge/>
                  <w:tcBorders>
                    <w:top w:val="nil"/>
                    <w:left w:val="single" w:sz="2" w:space="0" w:color="000000"/>
                    <w:bottom w:val="nil"/>
                    <w:right w:val="single" w:sz="2" w:space="0" w:color="000000"/>
                  </w:tcBorders>
                </w:tcPr>
                <w:p w14:paraId="4669572C"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52420E8C" w14:textId="77777777" w:rsidR="00053D93" w:rsidRDefault="00260B75">
                  <w:pPr>
                    <w:ind w:left="50"/>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4B34E959" w14:textId="77777777" w:rsidR="00053D93" w:rsidRDefault="00053D93"/>
              </w:tc>
              <w:tc>
                <w:tcPr>
                  <w:tcW w:w="1015" w:type="dxa"/>
                  <w:tcBorders>
                    <w:top w:val="single" w:sz="2" w:space="0" w:color="000000"/>
                    <w:left w:val="single" w:sz="2" w:space="0" w:color="000000"/>
                    <w:bottom w:val="single" w:sz="2" w:space="0" w:color="000000"/>
                    <w:right w:val="single" w:sz="2" w:space="0" w:color="000000"/>
                  </w:tcBorders>
                </w:tcPr>
                <w:p w14:paraId="47E8E907" w14:textId="77777777" w:rsidR="00053D93" w:rsidRDefault="00260B75">
                  <w:pPr>
                    <w:ind w:left="105"/>
                  </w:pPr>
                  <w:r>
                    <w:rPr>
                      <w:sz w:val="18"/>
                    </w:rPr>
                    <w:t>001914D4</w:t>
                  </w:r>
                </w:p>
              </w:tc>
              <w:tc>
                <w:tcPr>
                  <w:tcW w:w="2964" w:type="dxa"/>
                  <w:tcBorders>
                    <w:top w:val="single" w:sz="2" w:space="0" w:color="000000"/>
                    <w:left w:val="single" w:sz="2" w:space="0" w:color="000000"/>
                    <w:bottom w:val="single" w:sz="2" w:space="0" w:color="000000"/>
                    <w:right w:val="single" w:sz="2" w:space="0" w:color="000000"/>
                  </w:tcBorders>
                </w:tcPr>
                <w:p w14:paraId="4D408862" w14:textId="77777777" w:rsidR="00053D93" w:rsidRDefault="00260B75">
                  <w:pPr>
                    <w:ind w:left="55"/>
                    <w:jc w:val="both"/>
                  </w:pPr>
                  <w:r>
                    <w:rPr>
                      <w:sz w:val="18"/>
                    </w:rPr>
                    <w:t>Marimba compuesta de dos piezas una marimba grande y una tenor.</w:t>
                  </w:r>
                </w:p>
              </w:tc>
              <w:tc>
                <w:tcPr>
                  <w:tcW w:w="968" w:type="dxa"/>
                  <w:tcBorders>
                    <w:top w:val="single" w:sz="2" w:space="0" w:color="000000"/>
                    <w:left w:val="single" w:sz="2" w:space="0" w:color="000000"/>
                    <w:bottom w:val="single" w:sz="2" w:space="0" w:color="000000"/>
                    <w:right w:val="single" w:sz="2" w:space="0" w:color="000000"/>
                  </w:tcBorders>
                  <w:vAlign w:val="bottom"/>
                </w:tcPr>
                <w:p w14:paraId="3FBD0572" w14:textId="77777777" w:rsidR="00053D93" w:rsidRDefault="00260B75">
                  <w:pPr>
                    <w:ind w:left="137"/>
                    <w:jc w:val="center"/>
                  </w:pPr>
                  <w:r>
                    <w:rPr>
                      <w:sz w:val="18"/>
                    </w:rPr>
                    <w:t>28,000.oo</w:t>
                  </w:r>
                </w:p>
              </w:tc>
            </w:tr>
            <w:tr w:rsidR="00053D93" w14:paraId="765B901D" w14:textId="77777777">
              <w:trPr>
                <w:trHeight w:val="886"/>
              </w:trPr>
              <w:tc>
                <w:tcPr>
                  <w:tcW w:w="353" w:type="dxa"/>
                  <w:tcBorders>
                    <w:top w:val="single" w:sz="2" w:space="0" w:color="000000"/>
                    <w:left w:val="single" w:sz="2" w:space="0" w:color="000000"/>
                    <w:bottom w:val="single" w:sz="2" w:space="0" w:color="000000"/>
                    <w:right w:val="single" w:sz="2" w:space="0" w:color="000000"/>
                  </w:tcBorders>
                </w:tcPr>
                <w:p w14:paraId="3B2DFC67" w14:textId="77777777" w:rsidR="00053D93" w:rsidRDefault="00260B75">
                  <w:r>
                    <w:rPr>
                      <w:rFonts w:ascii="Times New Roman" w:eastAsia="Times New Roman" w:hAnsi="Times New Roman" w:cs="Times New Roman"/>
                      <w:sz w:val="18"/>
                    </w:rPr>
                    <w:t>1 1</w:t>
                  </w:r>
                </w:p>
              </w:tc>
              <w:tc>
                <w:tcPr>
                  <w:tcW w:w="0" w:type="auto"/>
                  <w:gridSpan w:val="2"/>
                  <w:vMerge/>
                  <w:tcBorders>
                    <w:top w:val="nil"/>
                    <w:left w:val="single" w:sz="2" w:space="0" w:color="000000"/>
                    <w:bottom w:val="single" w:sz="2" w:space="0" w:color="000000"/>
                    <w:right w:val="single" w:sz="2" w:space="0" w:color="000000"/>
                  </w:tcBorders>
                </w:tcPr>
                <w:p w14:paraId="6E38E0F1"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171A827A" w14:textId="77777777" w:rsidR="00053D93" w:rsidRDefault="00260B75">
                  <w:pPr>
                    <w:ind w:left="50"/>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6F0C3EC9" w14:textId="77777777" w:rsidR="00053D93" w:rsidRDefault="00053D93"/>
              </w:tc>
              <w:tc>
                <w:tcPr>
                  <w:tcW w:w="1015" w:type="dxa"/>
                  <w:tcBorders>
                    <w:top w:val="single" w:sz="2" w:space="0" w:color="000000"/>
                    <w:left w:val="single" w:sz="2" w:space="0" w:color="000000"/>
                    <w:bottom w:val="single" w:sz="2" w:space="0" w:color="000000"/>
                    <w:right w:val="single" w:sz="2" w:space="0" w:color="000000"/>
                  </w:tcBorders>
                </w:tcPr>
                <w:p w14:paraId="43D19543" w14:textId="77777777" w:rsidR="00053D93" w:rsidRDefault="00260B75">
                  <w:pPr>
                    <w:ind w:left="98"/>
                  </w:pPr>
                  <w:r>
                    <w:rPr>
                      <w:rFonts w:ascii="Times New Roman" w:eastAsia="Times New Roman" w:hAnsi="Times New Roman" w:cs="Times New Roman"/>
                      <w:sz w:val="16"/>
                    </w:rPr>
                    <w:t>00105A3C</w:t>
                  </w:r>
                </w:p>
              </w:tc>
              <w:tc>
                <w:tcPr>
                  <w:tcW w:w="2964" w:type="dxa"/>
                  <w:tcBorders>
                    <w:top w:val="single" w:sz="2" w:space="0" w:color="000000"/>
                    <w:left w:val="single" w:sz="2" w:space="0" w:color="000000"/>
                    <w:bottom w:val="single" w:sz="2" w:space="0" w:color="000000"/>
                    <w:right w:val="single" w:sz="2" w:space="0" w:color="000000"/>
                  </w:tcBorders>
                </w:tcPr>
                <w:p w14:paraId="5A580913" w14:textId="77777777" w:rsidR="00053D93" w:rsidRDefault="00260B75">
                  <w:pPr>
                    <w:ind w:left="55"/>
                  </w:pPr>
                  <w:r>
                    <w:rPr>
                      <w:sz w:val="18"/>
                    </w:rPr>
                    <w:t>Unidad de poder ininterrumpido (UPS)</w:t>
                  </w:r>
                </w:p>
                <w:p w14:paraId="7E6100A8" w14:textId="77777777" w:rsidR="00053D93" w:rsidRDefault="00260B75">
                  <w:pPr>
                    <w:ind w:left="55" w:right="5"/>
                    <w:jc w:val="both"/>
                  </w:pPr>
                  <w:r>
                    <w:rPr>
                      <w:sz w:val="20"/>
                    </w:rPr>
                    <w:t>Marca CDP (CHICAGO DIGITAL POWER), Modelo BUPR700, Color Negro, Serie No. 1290856.</w:t>
                  </w:r>
                </w:p>
              </w:tc>
              <w:tc>
                <w:tcPr>
                  <w:tcW w:w="968" w:type="dxa"/>
                  <w:tcBorders>
                    <w:top w:val="single" w:sz="2" w:space="0" w:color="000000"/>
                    <w:left w:val="single" w:sz="2" w:space="0" w:color="000000"/>
                    <w:bottom w:val="single" w:sz="2" w:space="0" w:color="000000"/>
                    <w:right w:val="single" w:sz="2" w:space="0" w:color="000000"/>
                  </w:tcBorders>
                  <w:vAlign w:val="bottom"/>
                </w:tcPr>
                <w:p w14:paraId="6A63164E" w14:textId="77777777" w:rsidR="00053D93" w:rsidRDefault="00260B75">
                  <w:pPr>
                    <w:ind w:left="367"/>
                  </w:pPr>
                  <w:r>
                    <w:rPr>
                      <w:rFonts w:ascii="Times New Roman" w:eastAsia="Times New Roman" w:hAnsi="Times New Roman" w:cs="Times New Roman"/>
                      <w:sz w:val="18"/>
                    </w:rPr>
                    <w:t>390.41</w:t>
                  </w:r>
                </w:p>
              </w:tc>
            </w:tr>
            <w:tr w:rsidR="00053D93" w14:paraId="06DF3609" w14:textId="77777777">
              <w:trPr>
                <w:trHeight w:val="454"/>
              </w:trPr>
              <w:tc>
                <w:tcPr>
                  <w:tcW w:w="353" w:type="dxa"/>
                  <w:tcBorders>
                    <w:top w:val="single" w:sz="2" w:space="0" w:color="000000"/>
                    <w:left w:val="single" w:sz="2" w:space="0" w:color="000000"/>
                    <w:bottom w:val="single" w:sz="2" w:space="0" w:color="000000"/>
                    <w:right w:val="single" w:sz="2" w:space="0" w:color="000000"/>
                  </w:tcBorders>
                </w:tcPr>
                <w:p w14:paraId="31B4AA50" w14:textId="77777777" w:rsidR="00053D93" w:rsidRDefault="00260B75">
                  <w:r>
                    <w:rPr>
                      <w:rFonts w:ascii="Times New Roman" w:eastAsia="Times New Roman" w:hAnsi="Times New Roman" w:cs="Times New Roman"/>
                      <w:sz w:val="18"/>
                    </w:rPr>
                    <w:t>12</w:t>
                  </w:r>
                </w:p>
              </w:tc>
              <w:tc>
                <w:tcPr>
                  <w:tcW w:w="1303" w:type="dxa"/>
                  <w:gridSpan w:val="2"/>
                  <w:tcBorders>
                    <w:top w:val="single" w:sz="2" w:space="0" w:color="000000"/>
                    <w:left w:val="single" w:sz="2" w:space="0" w:color="000000"/>
                    <w:bottom w:val="single" w:sz="2" w:space="0" w:color="000000"/>
                    <w:right w:val="single" w:sz="2" w:space="0" w:color="000000"/>
                  </w:tcBorders>
                </w:tcPr>
                <w:p w14:paraId="7AF6899D" w14:textId="77777777" w:rsidR="00053D93" w:rsidRDefault="00260B75">
                  <w:pPr>
                    <w:ind w:right="5"/>
                    <w:jc w:val="center"/>
                  </w:pPr>
                  <w:r>
                    <w:rPr>
                      <w:rFonts w:ascii="Times New Roman" w:eastAsia="Times New Roman" w:hAnsi="Times New Roman" w:cs="Times New Roman"/>
                      <w:sz w:val="18"/>
                    </w:rPr>
                    <w:t>002867</w:t>
                  </w:r>
                </w:p>
              </w:tc>
              <w:tc>
                <w:tcPr>
                  <w:tcW w:w="972" w:type="dxa"/>
                  <w:tcBorders>
                    <w:top w:val="single" w:sz="2" w:space="0" w:color="000000"/>
                    <w:left w:val="single" w:sz="2" w:space="0" w:color="000000"/>
                    <w:bottom w:val="single" w:sz="2" w:space="0" w:color="000000"/>
                    <w:right w:val="single" w:sz="2" w:space="0" w:color="000000"/>
                  </w:tcBorders>
                </w:tcPr>
                <w:p w14:paraId="5F0A41F9" w14:textId="77777777" w:rsidR="00053D93" w:rsidRDefault="00260B75">
                  <w:pPr>
                    <w:ind w:left="50"/>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2791C3B4" w14:textId="77777777" w:rsidR="00053D93" w:rsidRDefault="00053D93"/>
              </w:tc>
              <w:tc>
                <w:tcPr>
                  <w:tcW w:w="1015" w:type="dxa"/>
                  <w:tcBorders>
                    <w:top w:val="single" w:sz="2" w:space="0" w:color="000000"/>
                    <w:left w:val="single" w:sz="2" w:space="0" w:color="000000"/>
                    <w:bottom w:val="single" w:sz="2" w:space="0" w:color="000000"/>
                    <w:right w:val="single" w:sz="2" w:space="0" w:color="000000"/>
                  </w:tcBorders>
                </w:tcPr>
                <w:p w14:paraId="1E0D867E" w14:textId="77777777" w:rsidR="00053D93" w:rsidRDefault="00260B75">
                  <w:pPr>
                    <w:ind w:left="77"/>
                  </w:pPr>
                  <w:r>
                    <w:rPr>
                      <w:sz w:val="18"/>
                    </w:rPr>
                    <w:t>OOOC4ADB</w:t>
                  </w:r>
                </w:p>
              </w:tc>
              <w:tc>
                <w:tcPr>
                  <w:tcW w:w="2964" w:type="dxa"/>
                  <w:tcBorders>
                    <w:top w:val="single" w:sz="2" w:space="0" w:color="000000"/>
                    <w:left w:val="single" w:sz="2" w:space="0" w:color="000000"/>
                    <w:bottom w:val="single" w:sz="2" w:space="0" w:color="000000"/>
                    <w:right w:val="single" w:sz="2" w:space="0" w:color="000000"/>
                  </w:tcBorders>
                </w:tcPr>
                <w:p w14:paraId="07ED48CC" w14:textId="77777777" w:rsidR="00053D93" w:rsidRDefault="00260B75">
                  <w:pPr>
                    <w:ind w:left="55"/>
                    <w:jc w:val="both"/>
                  </w:pPr>
                  <w:r>
                    <w:rPr>
                      <w:sz w:val="20"/>
                    </w:rPr>
                    <w:t>Mouse marca Dell, modelo M-UKDEL3, serie HCD51910492.</w:t>
                  </w:r>
                </w:p>
              </w:tc>
              <w:tc>
                <w:tcPr>
                  <w:tcW w:w="968" w:type="dxa"/>
                  <w:tcBorders>
                    <w:top w:val="single" w:sz="2" w:space="0" w:color="000000"/>
                    <w:left w:val="single" w:sz="2" w:space="0" w:color="000000"/>
                    <w:bottom w:val="single" w:sz="2" w:space="0" w:color="000000"/>
                    <w:right w:val="single" w:sz="2" w:space="0" w:color="000000"/>
                  </w:tcBorders>
                  <w:vAlign w:val="bottom"/>
                </w:tcPr>
                <w:p w14:paraId="350E765A" w14:textId="77777777" w:rsidR="00053D93" w:rsidRDefault="00260B75">
                  <w:pPr>
                    <w:ind w:right="7"/>
                    <w:jc w:val="right"/>
                  </w:pPr>
                  <w:r>
                    <w:rPr>
                      <w:rFonts w:ascii="Times New Roman" w:eastAsia="Times New Roman" w:hAnsi="Times New Roman" w:cs="Times New Roman"/>
                      <w:sz w:val="18"/>
                    </w:rPr>
                    <w:t>100.00</w:t>
                  </w:r>
                </w:p>
              </w:tc>
            </w:tr>
            <w:tr w:rsidR="00053D93" w14:paraId="042880F8" w14:textId="77777777">
              <w:trPr>
                <w:trHeight w:val="2181"/>
              </w:trPr>
              <w:tc>
                <w:tcPr>
                  <w:tcW w:w="353" w:type="dxa"/>
                  <w:tcBorders>
                    <w:top w:val="single" w:sz="2" w:space="0" w:color="000000"/>
                    <w:left w:val="single" w:sz="2" w:space="0" w:color="000000"/>
                    <w:bottom w:val="single" w:sz="2" w:space="0" w:color="000000"/>
                    <w:right w:val="single" w:sz="2" w:space="0" w:color="000000"/>
                  </w:tcBorders>
                </w:tcPr>
                <w:p w14:paraId="3C28BADB" w14:textId="77777777" w:rsidR="00053D93" w:rsidRDefault="00260B75">
                  <w:r>
                    <w:rPr>
                      <w:rFonts w:ascii="Times New Roman" w:eastAsia="Times New Roman" w:hAnsi="Times New Roman" w:cs="Times New Roman"/>
                      <w:sz w:val="20"/>
                    </w:rPr>
                    <w:lastRenderedPageBreak/>
                    <w:t>13</w:t>
                  </w:r>
                </w:p>
              </w:tc>
              <w:tc>
                <w:tcPr>
                  <w:tcW w:w="1303" w:type="dxa"/>
                  <w:gridSpan w:val="2"/>
                  <w:vMerge w:val="restart"/>
                  <w:tcBorders>
                    <w:top w:val="single" w:sz="2" w:space="0" w:color="000000"/>
                    <w:left w:val="single" w:sz="2" w:space="0" w:color="000000"/>
                    <w:bottom w:val="nil"/>
                    <w:right w:val="single" w:sz="2" w:space="0" w:color="000000"/>
                  </w:tcBorders>
                </w:tcPr>
                <w:p w14:paraId="01953742" w14:textId="77777777" w:rsidR="00053D93" w:rsidRDefault="00260B75">
                  <w:pPr>
                    <w:ind w:left="3"/>
                    <w:jc w:val="center"/>
                  </w:pPr>
                  <w:r>
                    <w:rPr>
                      <w:rFonts w:ascii="Times New Roman" w:eastAsia="Times New Roman" w:hAnsi="Times New Roman" w:cs="Times New Roman"/>
                      <w:sz w:val="18"/>
                    </w:rPr>
                    <w:t>002868</w:t>
                  </w:r>
                </w:p>
              </w:tc>
              <w:tc>
                <w:tcPr>
                  <w:tcW w:w="972" w:type="dxa"/>
                  <w:tcBorders>
                    <w:top w:val="single" w:sz="2" w:space="0" w:color="000000"/>
                    <w:left w:val="single" w:sz="2" w:space="0" w:color="000000"/>
                    <w:bottom w:val="single" w:sz="2" w:space="0" w:color="000000"/>
                    <w:right w:val="single" w:sz="2" w:space="0" w:color="000000"/>
                  </w:tcBorders>
                </w:tcPr>
                <w:p w14:paraId="54758E55" w14:textId="77777777" w:rsidR="00053D93" w:rsidRDefault="00260B75">
                  <w:pPr>
                    <w:ind w:left="50"/>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3CE224ED" w14:textId="77777777" w:rsidR="00053D93" w:rsidRDefault="00260B75">
                  <w:pPr>
                    <w:ind w:left="50"/>
                    <w:jc w:val="center"/>
                  </w:pPr>
                  <w:r>
                    <w:rPr>
                      <w:rFonts w:ascii="Times New Roman" w:eastAsia="Times New Roman" w:hAnsi="Times New Roman" w:cs="Times New Roman"/>
                      <w:sz w:val="18"/>
                    </w:rPr>
                    <w:t>10</w:t>
                  </w:r>
                </w:p>
              </w:tc>
              <w:tc>
                <w:tcPr>
                  <w:tcW w:w="1015" w:type="dxa"/>
                  <w:tcBorders>
                    <w:top w:val="single" w:sz="2" w:space="0" w:color="000000"/>
                    <w:left w:val="single" w:sz="2" w:space="0" w:color="000000"/>
                    <w:bottom w:val="single" w:sz="2" w:space="0" w:color="000000"/>
                    <w:right w:val="single" w:sz="2" w:space="0" w:color="000000"/>
                  </w:tcBorders>
                </w:tcPr>
                <w:p w14:paraId="4AAF796E" w14:textId="77777777" w:rsidR="00053D93" w:rsidRDefault="00260B75">
                  <w:pPr>
                    <w:spacing w:after="1"/>
                    <w:ind w:left="69"/>
                  </w:pPr>
                  <w:r>
                    <w:rPr>
                      <w:sz w:val="18"/>
                    </w:rPr>
                    <w:t>001 EDOEO;</w:t>
                  </w:r>
                </w:p>
                <w:p w14:paraId="48D248ED" w14:textId="77777777" w:rsidR="00053D93" w:rsidRDefault="00260B75">
                  <w:pPr>
                    <w:spacing w:line="226" w:lineRule="auto"/>
                    <w:jc w:val="center"/>
                  </w:pPr>
                  <w:r>
                    <w:rPr>
                      <w:sz w:val="16"/>
                    </w:rPr>
                    <w:t>001 EDOF8; 001 EDOFD;</w:t>
                  </w:r>
                </w:p>
                <w:p w14:paraId="46448F61" w14:textId="77777777" w:rsidR="00053D93" w:rsidRDefault="00260B75">
                  <w:pPr>
                    <w:spacing w:after="7" w:line="249" w:lineRule="auto"/>
                    <w:jc w:val="center"/>
                  </w:pPr>
                  <w:r>
                    <w:rPr>
                      <w:sz w:val="18"/>
                    </w:rPr>
                    <w:t>OOIEDOFF; 001ED115;</w:t>
                  </w:r>
                </w:p>
                <w:p w14:paraId="4F3D4990" w14:textId="77777777" w:rsidR="00053D93" w:rsidRDefault="00260B75">
                  <w:pPr>
                    <w:ind w:left="77"/>
                  </w:pPr>
                  <w:r>
                    <w:rPr>
                      <w:sz w:val="18"/>
                    </w:rPr>
                    <w:t>001ED109;</w:t>
                  </w:r>
                </w:p>
                <w:p w14:paraId="7D3C0488" w14:textId="77777777" w:rsidR="00053D93" w:rsidRDefault="00260B75">
                  <w:pPr>
                    <w:ind w:left="55"/>
                  </w:pPr>
                  <w:r>
                    <w:rPr>
                      <w:sz w:val="20"/>
                    </w:rPr>
                    <w:t>001 EDOEB;</w:t>
                  </w:r>
                </w:p>
                <w:p w14:paraId="0286D2D7" w14:textId="77777777" w:rsidR="00053D93" w:rsidRDefault="00260B75">
                  <w:pPr>
                    <w:ind w:left="77"/>
                  </w:pPr>
                  <w:r>
                    <w:rPr>
                      <w:sz w:val="20"/>
                    </w:rPr>
                    <w:t>001 ED107;</w:t>
                  </w:r>
                </w:p>
                <w:p w14:paraId="09533848" w14:textId="77777777" w:rsidR="00053D93" w:rsidRDefault="00260B75">
                  <w:pPr>
                    <w:ind w:left="77"/>
                  </w:pPr>
                  <w:r>
                    <w:rPr>
                      <w:sz w:val="18"/>
                    </w:rPr>
                    <w:t>001 EDIOO;</w:t>
                  </w:r>
                </w:p>
                <w:p w14:paraId="58A2E225" w14:textId="77777777" w:rsidR="00053D93" w:rsidRDefault="00260B75">
                  <w:pPr>
                    <w:ind w:left="84"/>
                  </w:pPr>
                  <w:r>
                    <w:rPr>
                      <w:sz w:val="20"/>
                    </w:rPr>
                    <w:t>001 EDOEE</w:t>
                  </w:r>
                </w:p>
              </w:tc>
              <w:tc>
                <w:tcPr>
                  <w:tcW w:w="2964" w:type="dxa"/>
                  <w:tcBorders>
                    <w:top w:val="single" w:sz="2" w:space="0" w:color="000000"/>
                    <w:left w:val="single" w:sz="2" w:space="0" w:color="000000"/>
                    <w:bottom w:val="single" w:sz="2" w:space="0" w:color="000000"/>
                    <w:right w:val="single" w:sz="2" w:space="0" w:color="000000"/>
                  </w:tcBorders>
                </w:tcPr>
                <w:p w14:paraId="7BCA9AEB" w14:textId="77777777" w:rsidR="00053D93" w:rsidRDefault="00260B75">
                  <w:pPr>
                    <w:spacing w:line="262" w:lineRule="auto"/>
                    <w:ind w:left="55" w:right="12"/>
                    <w:jc w:val="both"/>
                  </w:pPr>
                  <w:r>
                    <w:rPr>
                      <w:sz w:val="18"/>
                    </w:rPr>
                    <w:t xml:space="preserve">Punteros mouse ópticos de dos botones con rueda </w:t>
                  </w:r>
                  <w:r>
                    <w:rPr>
                      <w:rFonts w:ascii="Times New Roman" w:eastAsia="Times New Roman" w:hAnsi="Times New Roman" w:cs="Times New Roman"/>
                      <w:sz w:val="18"/>
                    </w:rPr>
                    <w:t xml:space="preserve">de </w:t>
                  </w:r>
                  <w:r>
                    <w:rPr>
                      <w:sz w:val="18"/>
                    </w:rPr>
                    <w:t xml:space="preserve">Desplazamiento, series 23480482; </w:t>
                  </w:r>
                  <w:r>
                    <w:rPr>
                      <w:rFonts w:ascii="Times New Roman" w:eastAsia="Times New Roman" w:hAnsi="Times New Roman" w:cs="Times New Roman"/>
                      <w:sz w:val="18"/>
                    </w:rPr>
                    <w:t>23115898; 23479762; 23479877;</w:t>
                  </w:r>
                </w:p>
                <w:p w14:paraId="26A61319" w14:textId="77777777" w:rsidR="00053D93" w:rsidRDefault="00260B75">
                  <w:pPr>
                    <w:ind w:left="40" w:right="12" w:firstLine="14"/>
                    <w:jc w:val="both"/>
                  </w:pPr>
                  <w:r>
                    <w:rPr>
                      <w:rFonts w:ascii="Times New Roman" w:eastAsia="Times New Roman" w:hAnsi="Times New Roman" w:cs="Times New Roman"/>
                      <w:sz w:val="18"/>
                    </w:rPr>
                    <w:t xml:space="preserve">23116536; 23481233; 23153681; </w:t>
                  </w:r>
                  <w:r>
                    <w:rPr>
                      <w:sz w:val="18"/>
                    </w:rPr>
                    <w:t>23153659; 23116064; 23115924. Con Valor de Q250.00 c/u.</w:t>
                  </w:r>
                </w:p>
              </w:tc>
              <w:tc>
                <w:tcPr>
                  <w:tcW w:w="968" w:type="dxa"/>
                  <w:tcBorders>
                    <w:top w:val="single" w:sz="2" w:space="0" w:color="000000"/>
                    <w:left w:val="single" w:sz="2" w:space="0" w:color="000000"/>
                    <w:bottom w:val="single" w:sz="2" w:space="0" w:color="000000"/>
                    <w:right w:val="single" w:sz="2" w:space="0" w:color="000000"/>
                  </w:tcBorders>
                  <w:vAlign w:val="bottom"/>
                </w:tcPr>
                <w:p w14:paraId="4C3764F2" w14:textId="77777777" w:rsidR="00053D93" w:rsidRDefault="00260B75">
                  <w:pPr>
                    <w:ind w:left="238"/>
                  </w:pPr>
                  <w:r>
                    <w:rPr>
                      <w:sz w:val="18"/>
                    </w:rPr>
                    <w:t>2,500.oo</w:t>
                  </w:r>
                </w:p>
              </w:tc>
            </w:tr>
            <w:tr w:rsidR="00053D93" w14:paraId="2E02932A" w14:textId="77777777">
              <w:trPr>
                <w:trHeight w:val="670"/>
              </w:trPr>
              <w:tc>
                <w:tcPr>
                  <w:tcW w:w="353" w:type="dxa"/>
                  <w:vMerge w:val="restart"/>
                  <w:tcBorders>
                    <w:top w:val="single" w:sz="2" w:space="0" w:color="000000"/>
                    <w:left w:val="single" w:sz="2" w:space="0" w:color="000000"/>
                    <w:bottom w:val="nil"/>
                    <w:right w:val="single" w:sz="2" w:space="0" w:color="000000"/>
                  </w:tcBorders>
                </w:tcPr>
                <w:p w14:paraId="20E85089" w14:textId="77777777" w:rsidR="00053D93" w:rsidRDefault="00260B75">
                  <w:pPr>
                    <w:spacing w:after="319"/>
                  </w:pPr>
                  <w:r>
                    <w:rPr>
                      <w:rFonts w:ascii="Times New Roman" w:eastAsia="Times New Roman" w:hAnsi="Times New Roman" w:cs="Times New Roman"/>
                      <w:sz w:val="20"/>
                    </w:rPr>
                    <w:t>14</w:t>
                  </w:r>
                </w:p>
                <w:p w14:paraId="0B665238" w14:textId="77777777" w:rsidR="00053D93" w:rsidRDefault="00260B75">
                  <w:pPr>
                    <w:ind w:left="130"/>
                  </w:pPr>
                  <w:r>
                    <w:rPr>
                      <w:noProof/>
                    </w:rPr>
                    <w:drawing>
                      <wp:inline distT="0" distB="0" distL="0" distR="0" wp14:anchorId="421E2C64" wp14:editId="1A99C73B">
                        <wp:extent cx="9144" cy="128016"/>
                        <wp:effectExtent l="0" t="0" r="0" b="0"/>
                        <wp:docPr id="2458314" name="Picture 2458314"/>
                        <wp:cNvGraphicFramePr/>
                        <a:graphic xmlns:a="http://schemas.openxmlformats.org/drawingml/2006/main">
                          <a:graphicData uri="http://schemas.openxmlformats.org/drawingml/2006/picture">
                            <pic:pic xmlns:pic="http://schemas.openxmlformats.org/drawingml/2006/picture">
                              <pic:nvPicPr>
                                <pic:cNvPr id="2458314" name="Picture 2458314"/>
                                <pic:cNvPicPr/>
                              </pic:nvPicPr>
                              <pic:blipFill>
                                <a:blip r:embed="rId582"/>
                                <a:stretch>
                                  <a:fillRect/>
                                </a:stretch>
                              </pic:blipFill>
                              <pic:spPr>
                                <a:xfrm>
                                  <a:off x="0" y="0"/>
                                  <a:ext cx="9144" cy="128016"/>
                                </a:xfrm>
                                <a:prstGeom prst="rect">
                                  <a:avLst/>
                                </a:prstGeom>
                              </pic:spPr>
                            </pic:pic>
                          </a:graphicData>
                        </a:graphic>
                      </wp:inline>
                    </w:drawing>
                  </w:r>
                </w:p>
              </w:tc>
              <w:tc>
                <w:tcPr>
                  <w:tcW w:w="0" w:type="auto"/>
                  <w:gridSpan w:val="2"/>
                  <w:vMerge/>
                  <w:tcBorders>
                    <w:top w:val="nil"/>
                    <w:left w:val="single" w:sz="2" w:space="0" w:color="000000"/>
                    <w:bottom w:val="nil"/>
                    <w:right w:val="single" w:sz="2" w:space="0" w:color="000000"/>
                  </w:tcBorders>
                </w:tcPr>
                <w:p w14:paraId="6F6CD587"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3D489C2C" w14:textId="77777777" w:rsidR="00053D93" w:rsidRDefault="00260B75">
                  <w:pPr>
                    <w:ind w:left="50"/>
                  </w:pPr>
                  <w:r>
                    <w:rPr>
                      <w:rFonts w:ascii="Times New Roman" w:eastAsia="Times New Roman" w:hAnsi="Times New Roman" w:cs="Times New Roman"/>
                      <w:sz w:val="18"/>
                    </w:rPr>
                    <w:t>03/12/2012</w:t>
                  </w:r>
                </w:p>
              </w:tc>
              <w:tc>
                <w:tcPr>
                  <w:tcW w:w="802" w:type="dxa"/>
                  <w:tcBorders>
                    <w:top w:val="single" w:sz="2" w:space="0" w:color="000000"/>
                    <w:left w:val="single" w:sz="2" w:space="0" w:color="000000"/>
                    <w:bottom w:val="single" w:sz="2" w:space="0" w:color="000000"/>
                    <w:right w:val="single" w:sz="2" w:space="0" w:color="000000"/>
                  </w:tcBorders>
                </w:tcPr>
                <w:p w14:paraId="259C0ED7" w14:textId="77777777" w:rsidR="00053D93" w:rsidRDefault="00260B75">
                  <w:pPr>
                    <w:ind w:left="43"/>
                    <w:jc w:val="center"/>
                  </w:pPr>
                  <w:r>
                    <w:rPr>
                      <w:rFonts w:ascii="Times New Roman" w:eastAsia="Times New Roman" w:hAnsi="Times New Roman" w:cs="Times New Roman"/>
                    </w:rPr>
                    <w:t>3</w:t>
                  </w:r>
                </w:p>
              </w:tc>
              <w:tc>
                <w:tcPr>
                  <w:tcW w:w="1015" w:type="dxa"/>
                  <w:tcBorders>
                    <w:top w:val="single" w:sz="2" w:space="0" w:color="000000"/>
                    <w:left w:val="single" w:sz="2" w:space="0" w:color="000000"/>
                    <w:bottom w:val="single" w:sz="2" w:space="0" w:color="000000"/>
                    <w:right w:val="single" w:sz="2" w:space="0" w:color="000000"/>
                  </w:tcBorders>
                </w:tcPr>
                <w:p w14:paraId="6EF21330" w14:textId="77777777" w:rsidR="00053D93" w:rsidRDefault="00260B75">
                  <w:pPr>
                    <w:ind w:left="62"/>
                  </w:pPr>
                  <w:r>
                    <w:t>001 EBFCF;</w:t>
                  </w:r>
                </w:p>
                <w:p w14:paraId="57D70468" w14:textId="77777777" w:rsidR="00053D93" w:rsidRDefault="00260B75">
                  <w:pPr>
                    <w:ind w:left="77"/>
                  </w:pPr>
                  <w:r>
                    <w:rPr>
                      <w:sz w:val="20"/>
                    </w:rPr>
                    <w:t>001 EC025;</w:t>
                  </w:r>
                </w:p>
                <w:p w14:paraId="6ED1003E" w14:textId="77777777" w:rsidR="00053D93" w:rsidRDefault="00260B75">
                  <w:pPr>
                    <w:ind w:left="91"/>
                  </w:pPr>
                  <w:r>
                    <w:rPr>
                      <w:sz w:val="18"/>
                    </w:rPr>
                    <w:t>001ECOB5</w:t>
                  </w:r>
                </w:p>
              </w:tc>
              <w:tc>
                <w:tcPr>
                  <w:tcW w:w="2964" w:type="dxa"/>
                  <w:tcBorders>
                    <w:top w:val="single" w:sz="2" w:space="0" w:color="000000"/>
                    <w:left w:val="single" w:sz="2" w:space="0" w:color="000000"/>
                    <w:bottom w:val="single" w:sz="2" w:space="0" w:color="000000"/>
                    <w:right w:val="single" w:sz="2" w:space="0" w:color="000000"/>
                  </w:tcBorders>
                </w:tcPr>
                <w:p w14:paraId="63032B07" w14:textId="77777777" w:rsidR="00053D93" w:rsidRDefault="00260B75">
                  <w:pPr>
                    <w:ind w:left="55" w:right="5" w:hanging="7"/>
                    <w:jc w:val="both"/>
                  </w:pPr>
                  <w:r>
                    <w:rPr>
                      <w:sz w:val="18"/>
                    </w:rPr>
                    <w:t xml:space="preserve">Teclados Enhanced español series </w:t>
                  </w:r>
                  <w:r>
                    <w:rPr>
                      <w:rFonts w:ascii="Times New Roman" w:eastAsia="Times New Roman" w:hAnsi="Times New Roman" w:cs="Times New Roman"/>
                      <w:sz w:val="18"/>
                    </w:rPr>
                    <w:t xml:space="preserve">Nos. 2638185, 2637961, 2637609, </w:t>
                  </w:r>
                  <w:r>
                    <w:rPr>
                      <w:sz w:val="18"/>
                    </w:rPr>
                    <w:t>con valor de Q250.00 c/u.</w:t>
                  </w:r>
                </w:p>
              </w:tc>
              <w:tc>
                <w:tcPr>
                  <w:tcW w:w="968" w:type="dxa"/>
                  <w:tcBorders>
                    <w:top w:val="single" w:sz="2" w:space="0" w:color="000000"/>
                    <w:left w:val="single" w:sz="2" w:space="0" w:color="000000"/>
                    <w:bottom w:val="single" w:sz="2" w:space="0" w:color="000000"/>
                    <w:right w:val="single" w:sz="2" w:space="0" w:color="000000"/>
                  </w:tcBorders>
                  <w:vAlign w:val="bottom"/>
                </w:tcPr>
                <w:p w14:paraId="0B96A9F3" w14:textId="77777777" w:rsidR="00053D93" w:rsidRDefault="00260B75">
                  <w:pPr>
                    <w:jc w:val="right"/>
                  </w:pPr>
                  <w:r>
                    <w:rPr>
                      <w:rFonts w:ascii="Times New Roman" w:eastAsia="Times New Roman" w:hAnsi="Times New Roman" w:cs="Times New Roman"/>
                      <w:sz w:val="18"/>
                    </w:rPr>
                    <w:t>750.00</w:t>
                  </w:r>
                </w:p>
              </w:tc>
            </w:tr>
            <w:tr w:rsidR="00053D93" w14:paraId="279A68D0" w14:textId="77777777">
              <w:trPr>
                <w:trHeight w:val="600"/>
              </w:trPr>
              <w:tc>
                <w:tcPr>
                  <w:tcW w:w="0" w:type="auto"/>
                  <w:vMerge/>
                  <w:tcBorders>
                    <w:top w:val="nil"/>
                    <w:left w:val="single" w:sz="2" w:space="0" w:color="000000"/>
                    <w:bottom w:val="nil"/>
                    <w:right w:val="single" w:sz="2" w:space="0" w:color="000000"/>
                  </w:tcBorders>
                </w:tcPr>
                <w:p w14:paraId="33D47B77" w14:textId="77777777" w:rsidR="00053D93" w:rsidRDefault="00053D93"/>
              </w:tc>
              <w:tc>
                <w:tcPr>
                  <w:tcW w:w="291" w:type="dxa"/>
                  <w:tcBorders>
                    <w:top w:val="nil"/>
                    <w:left w:val="single" w:sz="2" w:space="0" w:color="000000"/>
                    <w:bottom w:val="nil"/>
                    <w:right w:val="single" w:sz="2" w:space="0" w:color="000000"/>
                  </w:tcBorders>
                </w:tcPr>
                <w:p w14:paraId="79914976" w14:textId="77777777" w:rsidR="00053D93" w:rsidRDefault="00053D93"/>
              </w:tc>
              <w:tc>
                <w:tcPr>
                  <w:tcW w:w="7733" w:type="dxa"/>
                  <w:gridSpan w:val="6"/>
                  <w:tcBorders>
                    <w:top w:val="single" w:sz="2" w:space="0" w:color="000000"/>
                    <w:left w:val="single" w:sz="2" w:space="0" w:color="000000"/>
                    <w:bottom w:val="nil"/>
                    <w:right w:val="nil"/>
                  </w:tcBorders>
                </w:tcPr>
                <w:p w14:paraId="55BC2DC6" w14:textId="77777777" w:rsidR="00053D93" w:rsidRDefault="00260B75">
                  <w:pPr>
                    <w:ind w:right="723"/>
                    <w:jc w:val="center"/>
                  </w:pPr>
                  <w:r>
                    <w:rPr>
                      <w:sz w:val="14"/>
                    </w:rPr>
                    <w:t>MINISTERIO DE EDUCACION</w:t>
                  </w:r>
                </w:p>
                <w:p w14:paraId="2F34F327" w14:textId="77777777" w:rsidR="00053D93" w:rsidRDefault="00260B75">
                  <w:pPr>
                    <w:ind w:left="2172"/>
                  </w:pPr>
                  <w:r>
                    <w:rPr>
                      <w:sz w:val="14"/>
                    </w:rPr>
                    <w:t>AUDITORIA FINANCIERA Y DE CUMPLIMIENTO</w:t>
                  </w:r>
                </w:p>
                <w:p w14:paraId="1D60DA10" w14:textId="77777777" w:rsidR="00053D93" w:rsidRDefault="00260B75">
                  <w:pPr>
                    <w:ind w:left="1833"/>
                  </w:pPr>
                  <w:r>
                    <w:rPr>
                      <w:sz w:val="14"/>
                    </w:rPr>
                    <w:t>PERIODO DEL 01 DE ENERO AL 31 DE DICIEMBRE DE 2024</w:t>
                  </w:r>
                </w:p>
              </w:tc>
            </w:tr>
          </w:tbl>
          <w:p w14:paraId="69B3B499" w14:textId="77777777" w:rsidR="00053D93" w:rsidRDefault="00053D93"/>
        </w:tc>
      </w:tr>
    </w:tbl>
    <w:p w14:paraId="4073F3F0" w14:textId="77777777" w:rsidR="00053D93" w:rsidRDefault="00053D93">
      <w:pPr>
        <w:sectPr w:rsidR="00053D93">
          <w:headerReference w:type="even" r:id="rId583"/>
          <w:headerReference w:type="default" r:id="rId584"/>
          <w:footerReference w:type="even" r:id="rId585"/>
          <w:footerReference w:type="default" r:id="rId586"/>
          <w:headerReference w:type="first" r:id="rId587"/>
          <w:footerReference w:type="first" r:id="rId588"/>
          <w:pgSz w:w="12290" w:h="15883"/>
          <w:pgMar w:top="742" w:right="1800" w:bottom="144" w:left="648" w:header="734" w:footer="720" w:gutter="0"/>
          <w:cols w:space="720"/>
          <w:titlePg/>
        </w:sectPr>
      </w:pPr>
    </w:p>
    <w:tbl>
      <w:tblPr>
        <w:tblStyle w:val="TableGrid"/>
        <w:tblpPr w:vertAnchor="text" w:tblpX="1728" w:tblpY="965"/>
        <w:tblOverlap w:val="never"/>
        <w:tblW w:w="8460" w:type="dxa"/>
        <w:tblInd w:w="0" w:type="dxa"/>
        <w:tblCellMar>
          <w:left w:w="58" w:type="dxa"/>
          <w:bottom w:w="14" w:type="dxa"/>
          <w:right w:w="69" w:type="dxa"/>
        </w:tblCellMar>
        <w:tblLook w:val="04A0" w:firstRow="1" w:lastRow="0" w:firstColumn="1" w:lastColumn="0" w:noHBand="0" w:noVBand="1"/>
      </w:tblPr>
      <w:tblGrid>
        <w:gridCol w:w="395"/>
        <w:gridCol w:w="1346"/>
        <w:gridCol w:w="979"/>
        <w:gridCol w:w="802"/>
        <w:gridCol w:w="1015"/>
        <w:gridCol w:w="2944"/>
        <w:gridCol w:w="979"/>
      </w:tblGrid>
      <w:tr w:rsidR="00053D93" w14:paraId="1673411F" w14:textId="77777777">
        <w:trPr>
          <w:trHeight w:val="1764"/>
        </w:trPr>
        <w:tc>
          <w:tcPr>
            <w:tcW w:w="396" w:type="dxa"/>
            <w:tcBorders>
              <w:top w:val="single" w:sz="2" w:space="0" w:color="000000"/>
              <w:left w:val="single" w:sz="2" w:space="0" w:color="000000"/>
              <w:bottom w:val="single" w:sz="2" w:space="0" w:color="000000"/>
              <w:right w:val="single" w:sz="2" w:space="0" w:color="000000"/>
            </w:tcBorders>
          </w:tcPr>
          <w:p w14:paraId="3B62037F" w14:textId="77777777" w:rsidR="00053D93" w:rsidRDefault="00053D93"/>
        </w:tc>
        <w:tc>
          <w:tcPr>
            <w:tcW w:w="1351" w:type="dxa"/>
            <w:tcBorders>
              <w:top w:val="single" w:sz="2" w:space="0" w:color="000000"/>
              <w:left w:val="single" w:sz="2" w:space="0" w:color="000000"/>
              <w:bottom w:val="single" w:sz="2" w:space="0" w:color="000000"/>
              <w:right w:val="single" w:sz="2" w:space="0" w:color="000000"/>
            </w:tcBorders>
          </w:tcPr>
          <w:p w14:paraId="3A2CF9A7" w14:textId="77777777" w:rsidR="00053D93" w:rsidRDefault="00053D93"/>
        </w:tc>
        <w:tc>
          <w:tcPr>
            <w:tcW w:w="965" w:type="dxa"/>
            <w:tcBorders>
              <w:top w:val="single" w:sz="2" w:space="0" w:color="000000"/>
              <w:left w:val="single" w:sz="2" w:space="0" w:color="000000"/>
              <w:bottom w:val="single" w:sz="2" w:space="0" w:color="000000"/>
              <w:right w:val="single" w:sz="2" w:space="0" w:color="000000"/>
            </w:tcBorders>
          </w:tcPr>
          <w:p w14:paraId="6A723F53" w14:textId="77777777" w:rsidR="00053D93" w:rsidRDefault="00260B75">
            <w:pPr>
              <w:ind w:left="31"/>
            </w:pPr>
            <w:r>
              <w:rPr>
                <w:rFonts w:ascii="Times New Roman" w:eastAsia="Times New Roman" w:hAnsi="Times New Roman" w:cs="Times New Roman"/>
                <w:sz w:val="18"/>
              </w:rPr>
              <w:t>03/12/2012</w:t>
            </w:r>
          </w:p>
        </w:tc>
        <w:tc>
          <w:tcPr>
            <w:tcW w:w="806" w:type="dxa"/>
            <w:tcBorders>
              <w:top w:val="single" w:sz="2" w:space="0" w:color="000000"/>
              <w:left w:val="single" w:sz="2" w:space="0" w:color="000000"/>
              <w:bottom w:val="single" w:sz="2" w:space="0" w:color="000000"/>
              <w:right w:val="single" w:sz="2" w:space="0" w:color="000000"/>
            </w:tcBorders>
          </w:tcPr>
          <w:p w14:paraId="3BF4542E" w14:textId="77777777" w:rsidR="00053D93" w:rsidRDefault="00260B75">
            <w:pPr>
              <w:ind w:left="24"/>
              <w:jc w:val="center"/>
            </w:pPr>
            <w:r>
              <w:rPr>
                <w:rFonts w:ascii="Times New Roman" w:eastAsia="Times New Roman" w:hAnsi="Times New Roman" w:cs="Times New Roman"/>
                <w:sz w:val="18"/>
              </w:rPr>
              <w:t>7</w:t>
            </w:r>
          </w:p>
        </w:tc>
        <w:tc>
          <w:tcPr>
            <w:tcW w:w="1015" w:type="dxa"/>
            <w:tcBorders>
              <w:top w:val="single" w:sz="2" w:space="0" w:color="000000"/>
              <w:left w:val="single" w:sz="2" w:space="0" w:color="000000"/>
              <w:bottom w:val="single" w:sz="2" w:space="0" w:color="000000"/>
              <w:right w:val="single" w:sz="2" w:space="0" w:color="000000"/>
            </w:tcBorders>
          </w:tcPr>
          <w:p w14:paraId="274E3A4F" w14:textId="77777777" w:rsidR="00053D93" w:rsidRDefault="00260B75">
            <w:pPr>
              <w:ind w:left="46"/>
            </w:pPr>
            <w:r>
              <w:rPr>
                <w:sz w:val="18"/>
              </w:rPr>
              <w:t>001ED14B;</w:t>
            </w:r>
          </w:p>
          <w:p w14:paraId="7F1FBB1E" w14:textId="77777777" w:rsidR="00053D93" w:rsidRDefault="00260B75">
            <w:pPr>
              <w:ind w:left="46"/>
            </w:pPr>
            <w:r>
              <w:rPr>
                <w:rFonts w:ascii="Times New Roman" w:eastAsia="Times New Roman" w:hAnsi="Times New Roman" w:cs="Times New Roman"/>
                <w:sz w:val="18"/>
              </w:rPr>
              <w:t>001</w:t>
            </w:r>
          </w:p>
          <w:p w14:paraId="7F5A669B" w14:textId="77777777" w:rsidR="00053D93" w:rsidRDefault="00260B75">
            <w:pPr>
              <w:spacing w:line="249" w:lineRule="auto"/>
              <w:ind w:right="29"/>
              <w:jc w:val="right"/>
            </w:pPr>
            <w:r>
              <w:rPr>
                <w:sz w:val="18"/>
              </w:rPr>
              <w:t>ED15F; 001ED17B;</w:t>
            </w:r>
          </w:p>
          <w:p w14:paraId="4A1F3A20" w14:textId="77777777" w:rsidR="00053D93" w:rsidRDefault="00260B75">
            <w:pPr>
              <w:jc w:val="center"/>
            </w:pPr>
            <w:r>
              <w:rPr>
                <w:sz w:val="18"/>
              </w:rPr>
              <w:t>001ED181; OOIEDIAC</w:t>
            </w:r>
          </w:p>
        </w:tc>
        <w:tc>
          <w:tcPr>
            <w:tcW w:w="2959" w:type="dxa"/>
            <w:tcBorders>
              <w:top w:val="single" w:sz="2" w:space="0" w:color="000000"/>
              <w:left w:val="single" w:sz="2" w:space="0" w:color="000000"/>
              <w:bottom w:val="single" w:sz="2" w:space="0" w:color="000000"/>
              <w:right w:val="single" w:sz="2" w:space="0" w:color="000000"/>
            </w:tcBorders>
          </w:tcPr>
          <w:p w14:paraId="2B05B42B" w14:textId="77777777" w:rsidR="00053D93" w:rsidRDefault="00260B75">
            <w:pPr>
              <w:ind w:left="17" w:firstLine="14"/>
              <w:jc w:val="both"/>
            </w:pPr>
            <w:r>
              <w:rPr>
                <w:sz w:val="20"/>
              </w:rPr>
              <w:t>Monitores de Color, área Visible Medida en diagonal 17 pulgadas, pantalla plana, tecnología LCD (Flat Screen, Flat Panel) tipo 8414 Modelo ACI series No. V2FZR91; V2FZT22; V2FZT21 ; V2FZT09; V2FZT05; V2GAF88; V2FZR99 Con Valor de Q. 1962.00 Cada Uno.</w:t>
            </w:r>
          </w:p>
        </w:tc>
        <w:tc>
          <w:tcPr>
            <w:tcW w:w="968" w:type="dxa"/>
            <w:tcBorders>
              <w:top w:val="single" w:sz="2" w:space="0" w:color="000000"/>
              <w:left w:val="single" w:sz="2" w:space="0" w:color="000000"/>
              <w:bottom w:val="single" w:sz="2" w:space="0" w:color="000000"/>
              <w:right w:val="single" w:sz="2" w:space="0" w:color="000000"/>
            </w:tcBorders>
            <w:vAlign w:val="bottom"/>
          </w:tcPr>
          <w:p w14:paraId="14DDA798" w14:textId="77777777" w:rsidR="00053D93" w:rsidRDefault="00260B75">
            <w:pPr>
              <w:ind w:left="115"/>
              <w:jc w:val="center"/>
            </w:pPr>
            <w:r>
              <w:rPr>
                <w:sz w:val="18"/>
              </w:rPr>
              <w:t>13,734.oo</w:t>
            </w:r>
          </w:p>
        </w:tc>
      </w:tr>
      <w:tr w:rsidR="00053D93" w14:paraId="35684FA9" w14:textId="77777777">
        <w:trPr>
          <w:trHeight w:val="1113"/>
        </w:trPr>
        <w:tc>
          <w:tcPr>
            <w:tcW w:w="396" w:type="dxa"/>
            <w:tcBorders>
              <w:top w:val="single" w:sz="2" w:space="0" w:color="000000"/>
              <w:left w:val="single" w:sz="2" w:space="0" w:color="000000"/>
              <w:bottom w:val="single" w:sz="2" w:space="0" w:color="000000"/>
              <w:right w:val="single" w:sz="2" w:space="0" w:color="000000"/>
            </w:tcBorders>
          </w:tcPr>
          <w:p w14:paraId="5E960000" w14:textId="77777777" w:rsidR="00053D93" w:rsidRDefault="00053D93"/>
        </w:tc>
        <w:tc>
          <w:tcPr>
            <w:tcW w:w="1351" w:type="dxa"/>
            <w:tcBorders>
              <w:top w:val="single" w:sz="2" w:space="0" w:color="000000"/>
              <w:left w:val="single" w:sz="2" w:space="0" w:color="000000"/>
              <w:bottom w:val="single" w:sz="2" w:space="0" w:color="000000"/>
              <w:right w:val="single" w:sz="2" w:space="0" w:color="000000"/>
            </w:tcBorders>
          </w:tcPr>
          <w:p w14:paraId="3B8AF39D" w14:textId="77777777" w:rsidR="00053D93" w:rsidRDefault="00260B75">
            <w:pPr>
              <w:ind w:left="22"/>
              <w:jc w:val="center"/>
            </w:pPr>
            <w:r>
              <w:rPr>
                <w:rFonts w:ascii="Times New Roman" w:eastAsia="Times New Roman" w:hAnsi="Times New Roman" w:cs="Times New Roman"/>
                <w:sz w:val="18"/>
              </w:rPr>
              <w:t>002869</w:t>
            </w:r>
          </w:p>
        </w:tc>
        <w:tc>
          <w:tcPr>
            <w:tcW w:w="965" w:type="dxa"/>
            <w:tcBorders>
              <w:top w:val="single" w:sz="2" w:space="0" w:color="000000"/>
              <w:left w:val="single" w:sz="2" w:space="0" w:color="000000"/>
              <w:bottom w:val="single" w:sz="2" w:space="0" w:color="000000"/>
              <w:right w:val="single" w:sz="2" w:space="0" w:color="000000"/>
            </w:tcBorders>
          </w:tcPr>
          <w:p w14:paraId="5CB0B24A" w14:textId="77777777" w:rsidR="00053D93" w:rsidRDefault="00260B75">
            <w:pPr>
              <w:ind w:left="31"/>
            </w:pPr>
            <w:r>
              <w:rPr>
                <w:rFonts w:ascii="Times New Roman" w:eastAsia="Times New Roman" w:hAnsi="Times New Roman" w:cs="Times New Roman"/>
                <w:sz w:val="18"/>
              </w:rPr>
              <w:t>03/12/2012</w:t>
            </w:r>
          </w:p>
        </w:tc>
        <w:tc>
          <w:tcPr>
            <w:tcW w:w="806" w:type="dxa"/>
            <w:tcBorders>
              <w:top w:val="single" w:sz="2" w:space="0" w:color="000000"/>
              <w:left w:val="single" w:sz="2" w:space="0" w:color="000000"/>
              <w:bottom w:val="single" w:sz="2" w:space="0" w:color="000000"/>
              <w:right w:val="single" w:sz="2" w:space="0" w:color="000000"/>
            </w:tcBorders>
          </w:tcPr>
          <w:p w14:paraId="01B49C13" w14:textId="77777777" w:rsidR="00053D93" w:rsidRDefault="00260B75">
            <w:pPr>
              <w:ind w:left="10"/>
              <w:jc w:val="center"/>
            </w:pPr>
            <w:r>
              <w:rPr>
                <w:rFonts w:ascii="Times New Roman" w:eastAsia="Times New Roman" w:hAnsi="Times New Roman" w:cs="Times New Roman"/>
                <w:sz w:val="20"/>
              </w:rPr>
              <w:t>1</w:t>
            </w:r>
          </w:p>
        </w:tc>
        <w:tc>
          <w:tcPr>
            <w:tcW w:w="1015" w:type="dxa"/>
            <w:tcBorders>
              <w:top w:val="single" w:sz="2" w:space="0" w:color="000000"/>
              <w:left w:val="single" w:sz="2" w:space="0" w:color="000000"/>
              <w:bottom w:val="single" w:sz="2" w:space="0" w:color="000000"/>
              <w:right w:val="single" w:sz="2" w:space="0" w:color="000000"/>
            </w:tcBorders>
          </w:tcPr>
          <w:p w14:paraId="08D43A8E" w14:textId="77777777" w:rsidR="00053D93" w:rsidRDefault="00260B75">
            <w:pPr>
              <w:ind w:left="60"/>
            </w:pPr>
            <w:r>
              <w:rPr>
                <w:sz w:val="18"/>
              </w:rPr>
              <w:t>001 EDOD5</w:t>
            </w:r>
          </w:p>
        </w:tc>
        <w:tc>
          <w:tcPr>
            <w:tcW w:w="2959" w:type="dxa"/>
            <w:tcBorders>
              <w:top w:val="single" w:sz="2" w:space="0" w:color="000000"/>
              <w:left w:val="single" w:sz="2" w:space="0" w:color="000000"/>
              <w:bottom w:val="single" w:sz="2" w:space="0" w:color="000000"/>
              <w:right w:val="single" w:sz="2" w:space="0" w:color="000000"/>
            </w:tcBorders>
          </w:tcPr>
          <w:p w14:paraId="50D70F29" w14:textId="77777777" w:rsidR="00053D93" w:rsidRDefault="00260B75">
            <w:pPr>
              <w:ind w:left="24" w:right="14" w:firstLine="7"/>
              <w:jc w:val="both"/>
            </w:pPr>
            <w:r>
              <w:rPr>
                <w:sz w:val="18"/>
              </w:rPr>
              <w:t>Computadora Personal Marca IBM Think Centre M52 tipo 8215 Modelo E28 Serie No. ogia LCD (Flat Screen, Flat Panel) tipo 8414 Modelo ACI Serie No. LKVWC84.</w:t>
            </w:r>
          </w:p>
        </w:tc>
        <w:tc>
          <w:tcPr>
            <w:tcW w:w="968" w:type="dxa"/>
            <w:tcBorders>
              <w:top w:val="single" w:sz="2" w:space="0" w:color="000000"/>
              <w:left w:val="single" w:sz="2" w:space="0" w:color="000000"/>
              <w:bottom w:val="single" w:sz="2" w:space="0" w:color="000000"/>
              <w:right w:val="single" w:sz="2" w:space="0" w:color="000000"/>
            </w:tcBorders>
            <w:vAlign w:val="bottom"/>
          </w:tcPr>
          <w:p w14:paraId="656D83DB" w14:textId="77777777" w:rsidR="00053D93" w:rsidRDefault="00260B75">
            <w:pPr>
              <w:ind w:left="204"/>
            </w:pPr>
            <w:r>
              <w:rPr>
                <w:rFonts w:ascii="Times New Roman" w:eastAsia="Times New Roman" w:hAnsi="Times New Roman" w:cs="Times New Roman"/>
                <w:sz w:val="18"/>
              </w:rPr>
              <w:t>7.887.24</w:t>
            </w:r>
          </w:p>
        </w:tc>
      </w:tr>
      <w:tr w:rsidR="00053D93" w14:paraId="551FFEAD" w14:textId="77777777">
        <w:trPr>
          <w:trHeight w:val="883"/>
        </w:trPr>
        <w:tc>
          <w:tcPr>
            <w:tcW w:w="396" w:type="dxa"/>
            <w:tcBorders>
              <w:top w:val="single" w:sz="2" w:space="0" w:color="000000"/>
              <w:left w:val="single" w:sz="2" w:space="0" w:color="000000"/>
              <w:bottom w:val="single" w:sz="2" w:space="0" w:color="000000"/>
              <w:right w:val="single" w:sz="2" w:space="0" w:color="000000"/>
            </w:tcBorders>
          </w:tcPr>
          <w:p w14:paraId="7DC4DDD5" w14:textId="77777777" w:rsidR="00053D93" w:rsidRDefault="00260B75">
            <w:pPr>
              <w:ind w:left="19"/>
              <w:jc w:val="center"/>
            </w:pPr>
            <w:r>
              <w:rPr>
                <w:rFonts w:ascii="Times New Roman" w:eastAsia="Times New Roman" w:hAnsi="Times New Roman" w:cs="Times New Roman"/>
                <w:sz w:val="18"/>
              </w:rPr>
              <w:t>17</w:t>
            </w:r>
          </w:p>
        </w:tc>
        <w:tc>
          <w:tcPr>
            <w:tcW w:w="1351" w:type="dxa"/>
            <w:vMerge w:val="restart"/>
            <w:tcBorders>
              <w:top w:val="single" w:sz="2" w:space="0" w:color="000000"/>
              <w:left w:val="single" w:sz="2" w:space="0" w:color="000000"/>
              <w:bottom w:val="single" w:sz="2" w:space="0" w:color="000000"/>
              <w:right w:val="single" w:sz="2" w:space="0" w:color="000000"/>
            </w:tcBorders>
          </w:tcPr>
          <w:p w14:paraId="047F339C" w14:textId="77777777" w:rsidR="00053D93" w:rsidRDefault="00260B75">
            <w:pPr>
              <w:ind w:left="14"/>
              <w:jc w:val="center"/>
            </w:pPr>
            <w:r>
              <w:rPr>
                <w:rFonts w:ascii="Times New Roman" w:eastAsia="Times New Roman" w:hAnsi="Times New Roman" w:cs="Times New Roman"/>
                <w:sz w:val="18"/>
              </w:rPr>
              <w:t>002887</w:t>
            </w:r>
          </w:p>
        </w:tc>
        <w:tc>
          <w:tcPr>
            <w:tcW w:w="965" w:type="dxa"/>
            <w:tcBorders>
              <w:top w:val="single" w:sz="2" w:space="0" w:color="000000"/>
              <w:left w:val="single" w:sz="2" w:space="0" w:color="000000"/>
              <w:bottom w:val="single" w:sz="2" w:space="0" w:color="000000"/>
              <w:right w:val="single" w:sz="2" w:space="0" w:color="000000"/>
            </w:tcBorders>
          </w:tcPr>
          <w:p w14:paraId="1EEBABA2" w14:textId="77777777" w:rsidR="00053D93" w:rsidRDefault="00260B75">
            <w:pPr>
              <w:ind w:left="24"/>
            </w:pPr>
            <w:r>
              <w:rPr>
                <w:rFonts w:ascii="Times New Roman" w:eastAsia="Times New Roman" w:hAnsi="Times New Roman" w:cs="Times New Roman"/>
                <w:sz w:val="18"/>
              </w:rPr>
              <w:t>05/02/2014</w:t>
            </w:r>
          </w:p>
        </w:tc>
        <w:tc>
          <w:tcPr>
            <w:tcW w:w="806" w:type="dxa"/>
            <w:tcBorders>
              <w:top w:val="single" w:sz="2" w:space="0" w:color="000000"/>
              <w:left w:val="single" w:sz="2" w:space="0" w:color="000000"/>
              <w:bottom w:val="single" w:sz="2" w:space="0" w:color="000000"/>
              <w:right w:val="single" w:sz="2" w:space="0" w:color="000000"/>
            </w:tcBorders>
          </w:tcPr>
          <w:p w14:paraId="52243606" w14:textId="77777777" w:rsidR="00053D93" w:rsidRDefault="00053D93"/>
        </w:tc>
        <w:tc>
          <w:tcPr>
            <w:tcW w:w="1015" w:type="dxa"/>
            <w:tcBorders>
              <w:top w:val="single" w:sz="2" w:space="0" w:color="000000"/>
              <w:left w:val="single" w:sz="2" w:space="0" w:color="000000"/>
              <w:bottom w:val="single" w:sz="2" w:space="0" w:color="000000"/>
              <w:right w:val="single" w:sz="2" w:space="0" w:color="000000"/>
            </w:tcBorders>
          </w:tcPr>
          <w:p w14:paraId="52396BA8" w14:textId="77777777" w:rsidR="00053D93" w:rsidRDefault="00260B75">
            <w:pPr>
              <w:ind w:left="118"/>
            </w:pPr>
            <w:r>
              <w:rPr>
                <w:rFonts w:ascii="Times New Roman" w:eastAsia="Times New Roman" w:hAnsi="Times New Roman" w:cs="Times New Roman"/>
                <w:sz w:val="18"/>
              </w:rPr>
              <w:t>001</w:t>
            </w:r>
          </w:p>
        </w:tc>
        <w:tc>
          <w:tcPr>
            <w:tcW w:w="2959" w:type="dxa"/>
            <w:tcBorders>
              <w:top w:val="single" w:sz="2" w:space="0" w:color="000000"/>
              <w:left w:val="single" w:sz="2" w:space="0" w:color="000000"/>
              <w:bottom w:val="single" w:sz="2" w:space="0" w:color="000000"/>
              <w:right w:val="single" w:sz="2" w:space="0" w:color="000000"/>
            </w:tcBorders>
          </w:tcPr>
          <w:p w14:paraId="7FE3DFF3" w14:textId="77777777" w:rsidR="00053D93" w:rsidRDefault="00260B75">
            <w:pPr>
              <w:ind w:left="24" w:right="14"/>
              <w:jc w:val="both"/>
            </w:pPr>
            <w:r>
              <w:rPr>
                <w:sz w:val="20"/>
              </w:rPr>
              <w:t>Cámara HP Photosmart M447 resolución 5MP con zoom óptico dé 3x y Digital de 5x Pantalla de 2.4 pulgadas Serie No. CN79SA31 Y4.</w:t>
            </w:r>
          </w:p>
        </w:tc>
        <w:tc>
          <w:tcPr>
            <w:tcW w:w="968" w:type="dxa"/>
            <w:tcBorders>
              <w:top w:val="single" w:sz="2" w:space="0" w:color="000000"/>
              <w:left w:val="single" w:sz="2" w:space="0" w:color="000000"/>
              <w:bottom w:val="single" w:sz="2" w:space="0" w:color="000000"/>
              <w:right w:val="single" w:sz="2" w:space="0" w:color="000000"/>
            </w:tcBorders>
            <w:vAlign w:val="bottom"/>
          </w:tcPr>
          <w:p w14:paraId="641357E6" w14:textId="77777777" w:rsidR="00053D93" w:rsidRDefault="00260B75">
            <w:pPr>
              <w:ind w:left="204"/>
            </w:pPr>
            <w:r>
              <w:rPr>
                <w:sz w:val="18"/>
              </w:rPr>
              <w:t>3,250.oo</w:t>
            </w:r>
          </w:p>
        </w:tc>
      </w:tr>
      <w:tr w:rsidR="00053D93" w14:paraId="1095F3B4" w14:textId="77777777">
        <w:trPr>
          <w:trHeight w:val="2396"/>
        </w:trPr>
        <w:tc>
          <w:tcPr>
            <w:tcW w:w="396" w:type="dxa"/>
            <w:tcBorders>
              <w:top w:val="single" w:sz="2" w:space="0" w:color="000000"/>
              <w:left w:val="single" w:sz="2" w:space="0" w:color="000000"/>
              <w:bottom w:val="single" w:sz="2" w:space="0" w:color="000000"/>
              <w:right w:val="single" w:sz="2" w:space="0" w:color="000000"/>
            </w:tcBorders>
          </w:tcPr>
          <w:p w14:paraId="477A10CF" w14:textId="77777777" w:rsidR="00053D93" w:rsidRDefault="00260B75">
            <w:pPr>
              <w:ind w:left="19"/>
              <w:jc w:val="center"/>
            </w:pPr>
            <w:r>
              <w:rPr>
                <w:rFonts w:ascii="Times New Roman" w:eastAsia="Times New Roman" w:hAnsi="Times New Roman" w:cs="Times New Roman"/>
                <w:sz w:val="20"/>
              </w:rPr>
              <w:t>18</w:t>
            </w:r>
          </w:p>
        </w:tc>
        <w:tc>
          <w:tcPr>
            <w:tcW w:w="0" w:type="auto"/>
            <w:vMerge/>
            <w:tcBorders>
              <w:top w:val="nil"/>
              <w:left w:val="single" w:sz="2" w:space="0" w:color="000000"/>
              <w:bottom w:val="single" w:sz="2" w:space="0" w:color="000000"/>
              <w:right w:val="single" w:sz="2" w:space="0" w:color="000000"/>
            </w:tcBorders>
          </w:tcPr>
          <w:p w14:paraId="30E3A67F" w14:textId="77777777" w:rsidR="00053D93" w:rsidRDefault="00053D93"/>
        </w:tc>
        <w:tc>
          <w:tcPr>
            <w:tcW w:w="965" w:type="dxa"/>
            <w:tcBorders>
              <w:top w:val="single" w:sz="2" w:space="0" w:color="000000"/>
              <w:left w:val="single" w:sz="2" w:space="0" w:color="000000"/>
              <w:bottom w:val="single" w:sz="2" w:space="0" w:color="000000"/>
              <w:right w:val="single" w:sz="2" w:space="0" w:color="000000"/>
            </w:tcBorders>
          </w:tcPr>
          <w:p w14:paraId="2877330D" w14:textId="77777777" w:rsidR="00053D93" w:rsidRDefault="00260B75">
            <w:pPr>
              <w:ind w:left="24"/>
            </w:pPr>
            <w:r>
              <w:rPr>
                <w:rFonts w:ascii="Times New Roman" w:eastAsia="Times New Roman" w:hAnsi="Times New Roman" w:cs="Times New Roman"/>
                <w:sz w:val="18"/>
              </w:rPr>
              <w:t>29/11/2018</w:t>
            </w:r>
          </w:p>
        </w:tc>
        <w:tc>
          <w:tcPr>
            <w:tcW w:w="806" w:type="dxa"/>
            <w:tcBorders>
              <w:top w:val="single" w:sz="2" w:space="0" w:color="000000"/>
              <w:left w:val="single" w:sz="2" w:space="0" w:color="000000"/>
              <w:bottom w:val="single" w:sz="2" w:space="0" w:color="000000"/>
              <w:right w:val="single" w:sz="2" w:space="0" w:color="000000"/>
            </w:tcBorders>
          </w:tcPr>
          <w:p w14:paraId="7FEE3630" w14:textId="77777777" w:rsidR="00053D93" w:rsidRDefault="00053D93"/>
        </w:tc>
        <w:tc>
          <w:tcPr>
            <w:tcW w:w="1015" w:type="dxa"/>
            <w:tcBorders>
              <w:top w:val="single" w:sz="2" w:space="0" w:color="000000"/>
              <w:left w:val="single" w:sz="2" w:space="0" w:color="000000"/>
              <w:bottom w:val="single" w:sz="2" w:space="0" w:color="000000"/>
              <w:right w:val="single" w:sz="2" w:space="0" w:color="000000"/>
            </w:tcBorders>
          </w:tcPr>
          <w:p w14:paraId="70A1BFAD" w14:textId="77777777" w:rsidR="00053D93" w:rsidRDefault="00260B75">
            <w:pPr>
              <w:ind w:left="68"/>
            </w:pPr>
            <w:r>
              <w:rPr>
                <w:sz w:val="18"/>
              </w:rPr>
              <w:t>003E34C1</w:t>
            </w:r>
          </w:p>
        </w:tc>
        <w:tc>
          <w:tcPr>
            <w:tcW w:w="2959" w:type="dxa"/>
            <w:tcBorders>
              <w:top w:val="single" w:sz="2" w:space="0" w:color="000000"/>
              <w:left w:val="single" w:sz="2" w:space="0" w:color="000000"/>
              <w:bottom w:val="single" w:sz="2" w:space="0" w:color="000000"/>
              <w:right w:val="single" w:sz="2" w:space="0" w:color="000000"/>
            </w:tcBorders>
          </w:tcPr>
          <w:p w14:paraId="084353F3" w14:textId="77777777" w:rsidR="00053D93" w:rsidRDefault="00260B75">
            <w:pPr>
              <w:spacing w:after="218" w:line="233" w:lineRule="auto"/>
              <w:ind w:left="24" w:right="22"/>
              <w:jc w:val="both"/>
            </w:pPr>
            <w:r>
              <w:rPr>
                <w:sz w:val="18"/>
              </w:rPr>
              <w:t>CPU Serie No. 8DJ58M2 con valor de Q.6,750.OO, Monitor Serie No. CN-OFVGTY-TVI 00-892-0741405 con valor de Q. 1990.00, Teclado</w:t>
            </w:r>
          </w:p>
          <w:p w14:paraId="19F84DBF" w14:textId="77777777" w:rsidR="00053D93" w:rsidRDefault="00260B75">
            <w:pPr>
              <w:spacing w:after="214" w:line="236" w:lineRule="auto"/>
              <w:ind w:left="17" w:firstLine="7"/>
            </w:pPr>
            <w:r>
              <w:rPr>
                <w:sz w:val="18"/>
              </w:rPr>
              <w:t>CN-OG4D2W-M6Doo-79E-051U-AOO con valor de Q. 150.001 Mouse Serie</w:t>
            </w:r>
          </w:p>
          <w:p w14:paraId="65CB6244" w14:textId="77777777" w:rsidR="00053D93" w:rsidRDefault="00260B75">
            <w:pPr>
              <w:ind w:left="17" w:right="29"/>
              <w:jc w:val="both"/>
            </w:pPr>
            <w:r>
              <w:rPr>
                <w:sz w:val="20"/>
              </w:rPr>
              <w:t>CN-ODVORH-L0300-7AC-OHGB.con valor . de Q.IOO.OO (DELL, OPTIPLEX 3050 SFF. 8DJ58M2).</w:t>
            </w:r>
          </w:p>
        </w:tc>
        <w:tc>
          <w:tcPr>
            <w:tcW w:w="968" w:type="dxa"/>
            <w:tcBorders>
              <w:top w:val="single" w:sz="2" w:space="0" w:color="000000"/>
              <w:left w:val="single" w:sz="2" w:space="0" w:color="000000"/>
              <w:bottom w:val="single" w:sz="2" w:space="0" w:color="000000"/>
              <w:right w:val="single" w:sz="2" w:space="0" w:color="000000"/>
            </w:tcBorders>
            <w:vAlign w:val="bottom"/>
          </w:tcPr>
          <w:p w14:paraId="4685A84A" w14:textId="77777777" w:rsidR="00053D93" w:rsidRDefault="00260B75">
            <w:pPr>
              <w:ind w:left="204"/>
            </w:pPr>
            <w:r>
              <w:rPr>
                <w:sz w:val="18"/>
              </w:rPr>
              <w:t>8,990.oo</w:t>
            </w:r>
          </w:p>
        </w:tc>
      </w:tr>
      <w:tr w:rsidR="00053D93" w14:paraId="566469E2" w14:textId="77777777">
        <w:trPr>
          <w:trHeight w:val="288"/>
        </w:trPr>
        <w:tc>
          <w:tcPr>
            <w:tcW w:w="1747" w:type="dxa"/>
            <w:gridSpan w:val="2"/>
            <w:tcBorders>
              <w:top w:val="single" w:sz="2" w:space="0" w:color="000000"/>
              <w:left w:val="single" w:sz="2" w:space="0" w:color="000000"/>
              <w:bottom w:val="single" w:sz="2" w:space="0" w:color="000000"/>
              <w:right w:val="nil"/>
            </w:tcBorders>
          </w:tcPr>
          <w:p w14:paraId="63B30B8B" w14:textId="77777777" w:rsidR="00053D93" w:rsidRDefault="00260B75">
            <w:r>
              <w:rPr>
                <w:sz w:val="18"/>
              </w:rPr>
              <w:t>Total</w:t>
            </w:r>
          </w:p>
        </w:tc>
        <w:tc>
          <w:tcPr>
            <w:tcW w:w="965" w:type="dxa"/>
            <w:tcBorders>
              <w:top w:val="single" w:sz="2" w:space="0" w:color="000000"/>
              <w:left w:val="nil"/>
              <w:bottom w:val="single" w:sz="2" w:space="0" w:color="000000"/>
              <w:right w:val="single" w:sz="2" w:space="0" w:color="000000"/>
            </w:tcBorders>
          </w:tcPr>
          <w:p w14:paraId="66CEB474" w14:textId="77777777" w:rsidR="00053D93" w:rsidRDefault="00053D93"/>
        </w:tc>
        <w:tc>
          <w:tcPr>
            <w:tcW w:w="806" w:type="dxa"/>
            <w:tcBorders>
              <w:top w:val="single" w:sz="2" w:space="0" w:color="000000"/>
              <w:left w:val="single" w:sz="2" w:space="0" w:color="000000"/>
              <w:bottom w:val="single" w:sz="2" w:space="0" w:color="000000"/>
              <w:right w:val="single" w:sz="2" w:space="0" w:color="000000"/>
            </w:tcBorders>
          </w:tcPr>
          <w:p w14:paraId="22EDA1A1" w14:textId="77777777" w:rsidR="00053D93" w:rsidRDefault="00260B75">
            <w:pPr>
              <w:ind w:right="12"/>
              <w:jc w:val="center"/>
            </w:pPr>
            <w:r>
              <w:rPr>
                <w:rFonts w:ascii="Times New Roman" w:eastAsia="Times New Roman" w:hAnsi="Times New Roman" w:cs="Times New Roman"/>
                <w:sz w:val="18"/>
              </w:rPr>
              <w:t>42</w:t>
            </w:r>
          </w:p>
        </w:tc>
        <w:tc>
          <w:tcPr>
            <w:tcW w:w="1015" w:type="dxa"/>
            <w:tcBorders>
              <w:top w:val="single" w:sz="2" w:space="0" w:color="000000"/>
              <w:left w:val="single" w:sz="2" w:space="0" w:color="000000"/>
              <w:bottom w:val="single" w:sz="2" w:space="0" w:color="000000"/>
              <w:right w:val="single" w:sz="2" w:space="0" w:color="000000"/>
            </w:tcBorders>
          </w:tcPr>
          <w:p w14:paraId="115E6F03" w14:textId="77777777" w:rsidR="00053D93" w:rsidRDefault="00053D93"/>
        </w:tc>
        <w:tc>
          <w:tcPr>
            <w:tcW w:w="2959" w:type="dxa"/>
            <w:tcBorders>
              <w:top w:val="single" w:sz="2" w:space="0" w:color="000000"/>
              <w:left w:val="single" w:sz="2" w:space="0" w:color="000000"/>
              <w:bottom w:val="single" w:sz="2" w:space="0" w:color="000000"/>
              <w:right w:val="single" w:sz="2" w:space="0" w:color="000000"/>
            </w:tcBorders>
          </w:tcPr>
          <w:p w14:paraId="6ED5918A" w14:textId="77777777" w:rsidR="00053D93" w:rsidRDefault="00053D93"/>
        </w:tc>
        <w:tc>
          <w:tcPr>
            <w:tcW w:w="968" w:type="dxa"/>
            <w:tcBorders>
              <w:top w:val="single" w:sz="2" w:space="0" w:color="000000"/>
              <w:left w:val="single" w:sz="2" w:space="0" w:color="000000"/>
              <w:bottom w:val="single" w:sz="2" w:space="0" w:color="000000"/>
              <w:right w:val="single" w:sz="2" w:space="0" w:color="000000"/>
            </w:tcBorders>
          </w:tcPr>
          <w:p w14:paraId="123D57F7" w14:textId="77777777" w:rsidR="00053D93" w:rsidRDefault="00260B75">
            <w:pPr>
              <w:ind w:left="24"/>
            </w:pPr>
            <w:r>
              <w:rPr>
                <w:rFonts w:ascii="Times New Roman" w:eastAsia="Times New Roman" w:hAnsi="Times New Roman" w:cs="Times New Roman"/>
                <w:sz w:val="18"/>
              </w:rPr>
              <w:t>124.440.85</w:t>
            </w:r>
          </w:p>
        </w:tc>
      </w:tr>
    </w:tbl>
    <w:p w14:paraId="653EE40F" w14:textId="77777777" w:rsidR="00053D93" w:rsidRDefault="00260B75">
      <w:pPr>
        <w:tabs>
          <w:tab w:val="center" w:pos="8726"/>
        </w:tabs>
        <w:spacing w:after="6210" w:line="265" w:lineRule="auto"/>
      </w:pPr>
      <w:r>
        <w:rPr>
          <w:noProof/>
        </w:rPr>
        <w:drawing>
          <wp:inline distT="0" distB="0" distL="0" distR="0" wp14:anchorId="187CE02D" wp14:editId="09B0EB9A">
            <wp:extent cx="150876" cy="818388"/>
            <wp:effectExtent l="0" t="0" r="0" b="0"/>
            <wp:docPr id="347669" name="Picture 347669"/>
            <wp:cNvGraphicFramePr/>
            <a:graphic xmlns:a="http://schemas.openxmlformats.org/drawingml/2006/main">
              <a:graphicData uri="http://schemas.openxmlformats.org/drawingml/2006/picture">
                <pic:pic xmlns:pic="http://schemas.openxmlformats.org/drawingml/2006/picture">
                  <pic:nvPicPr>
                    <pic:cNvPr id="347669" name="Picture 347669"/>
                    <pic:cNvPicPr/>
                  </pic:nvPicPr>
                  <pic:blipFill>
                    <a:blip r:embed="rId589"/>
                    <a:stretch>
                      <a:fillRect/>
                    </a:stretch>
                  </pic:blipFill>
                  <pic:spPr>
                    <a:xfrm>
                      <a:off x="0" y="0"/>
                      <a:ext cx="150876" cy="818388"/>
                    </a:xfrm>
                    <a:prstGeom prst="rect">
                      <a:avLst/>
                    </a:prstGeom>
                  </pic:spPr>
                </pic:pic>
              </a:graphicData>
            </a:graphic>
          </wp:inline>
        </w:drawing>
      </w:r>
      <w:r>
        <w:rPr>
          <w:sz w:val="14"/>
        </w:rPr>
        <w:tab/>
        <w:t xml:space="preserve">EDUCAC[ÓN. </w:t>
      </w:r>
    </w:p>
    <w:p w14:paraId="38BFEEF0" w14:textId="77777777" w:rsidR="00053D93" w:rsidRDefault="00260B75">
      <w:pPr>
        <w:spacing w:after="122" w:line="265" w:lineRule="auto"/>
        <w:ind w:left="10" w:right="35" w:hanging="10"/>
        <w:jc w:val="right"/>
      </w:pPr>
      <w:r>
        <w:rPr>
          <w:sz w:val="16"/>
        </w:rPr>
        <w:t>Fuente: Oficio No. 006-2025 Ref. HMMF-wcrb del 29 de enero de 2025, emitido por el Director Técnico Administrativo en Funciones</w:t>
      </w:r>
    </w:p>
    <w:p w14:paraId="363E3EB6" w14:textId="77777777" w:rsidR="00053D93" w:rsidRDefault="00260B75">
      <w:pPr>
        <w:spacing w:after="437" w:line="265" w:lineRule="auto"/>
        <w:ind w:left="1723" w:hanging="10"/>
      </w:pPr>
      <w:r>
        <w:rPr>
          <w:sz w:val="16"/>
        </w:rPr>
        <w:t>de la Escuela Normal Central de Educación Fisica y Tarjetas de responsabilidad de bienes inventariados.</w:t>
      </w:r>
    </w:p>
    <w:p w14:paraId="0CF89793" w14:textId="77777777" w:rsidR="00053D93" w:rsidRDefault="00260B75">
      <w:pPr>
        <w:spacing w:after="305" w:line="247" w:lineRule="auto"/>
        <w:ind w:left="1714" w:right="14" w:firstLine="4"/>
        <w:jc w:val="both"/>
      </w:pPr>
      <w:r>
        <w:rPr>
          <w:sz w:val="26"/>
        </w:rPr>
        <w:t>Cabe mencionar que, el Director a.i. presentó su renuncia laboral a la supervisora educativa, designada por la Dirección Departamental de Educación de Guatemala Occidente, quien aceptó su renuncia mediante Acta Número 021-2019, correspondiente al libro de Actas Número 049461 del Ministerio de Educación, del 03 de junio de 2019, renuncia que fue aprobada mediante Acuerdo Ministerial No. D[REH-2346-2019 del 14 de junio de 2019; sin embargo, es relevante destacar que no se efectuó la reposición correspondiente de los activos fijos registrados en las tarjetas de responsabilidad del Director a.i. los cuales pertenecen a la Dirección General de Educación Física -DIGEF-.</w:t>
      </w:r>
    </w:p>
    <w:p w14:paraId="37DB9282" w14:textId="77777777" w:rsidR="00053D93" w:rsidRDefault="00260B75">
      <w:pPr>
        <w:spacing w:after="1040" w:line="247" w:lineRule="auto"/>
        <w:ind w:left="1699" w:right="14" w:firstLine="4"/>
        <w:jc w:val="both"/>
      </w:pPr>
      <w:r>
        <w:rPr>
          <w:sz w:val="26"/>
        </w:rPr>
        <w:t xml:space="preserve">Además, mediante el oficio No. 006-2025 Ref. HMMF-wcrb del 29 de enero de 2025, emitido por el Director Técnico Administrativo en Funciones de la Escuela Normal Central de Educación Física, se trasladó fotocopia del expediente que </w:t>
      </w:r>
      <w:r>
        <w:rPr>
          <w:sz w:val="26"/>
        </w:rPr>
        <w:lastRenderedPageBreak/>
        <w:t>contiene las acciones administrativas realizadas por la escuela para contactar al Director a.i.; entre estos documentos figura el Acta Número 037-2019, del 31 de octubre de 2019, del libro de Actas Número 054431 dei Ministerio de Educación; que en el punto Segundo, indica que se suscribieron las Actas Número 022-2019</w:t>
      </w:r>
    </w:p>
    <w:tbl>
      <w:tblPr>
        <w:tblStyle w:val="TableGrid"/>
        <w:tblpPr w:vertAnchor="text" w:tblpX="2549" w:tblpY="7"/>
        <w:tblOverlap w:val="never"/>
        <w:tblW w:w="7625" w:type="dxa"/>
        <w:tblInd w:w="0" w:type="dxa"/>
        <w:tblCellMar>
          <w:top w:w="53" w:type="dxa"/>
          <w:left w:w="1735" w:type="dxa"/>
          <w:right w:w="115" w:type="dxa"/>
        </w:tblCellMar>
        <w:tblLook w:val="04A0" w:firstRow="1" w:lastRow="0" w:firstColumn="1" w:lastColumn="0" w:noHBand="0" w:noVBand="1"/>
      </w:tblPr>
      <w:tblGrid>
        <w:gridCol w:w="7625"/>
      </w:tblGrid>
      <w:tr w:rsidR="00053D93" w14:paraId="2462BA75" w14:textId="77777777">
        <w:trPr>
          <w:trHeight w:val="48"/>
        </w:trPr>
        <w:tc>
          <w:tcPr>
            <w:tcW w:w="7625" w:type="dxa"/>
            <w:tcBorders>
              <w:top w:val="nil"/>
              <w:left w:val="single" w:sz="2" w:space="0" w:color="000000"/>
              <w:bottom w:val="single" w:sz="2" w:space="0" w:color="000000"/>
              <w:right w:val="nil"/>
            </w:tcBorders>
          </w:tcPr>
          <w:p w14:paraId="7D90503A" w14:textId="77777777" w:rsidR="00053D93" w:rsidRDefault="00053D93"/>
        </w:tc>
      </w:tr>
      <w:tr w:rsidR="00053D93" w14:paraId="11507403" w14:textId="77777777">
        <w:trPr>
          <w:trHeight w:val="586"/>
        </w:trPr>
        <w:tc>
          <w:tcPr>
            <w:tcW w:w="7625" w:type="dxa"/>
            <w:tcBorders>
              <w:top w:val="single" w:sz="2" w:space="0" w:color="000000"/>
              <w:left w:val="single" w:sz="2" w:space="0" w:color="000000"/>
              <w:bottom w:val="nil"/>
              <w:right w:val="nil"/>
            </w:tcBorders>
          </w:tcPr>
          <w:p w14:paraId="7A97D7DE" w14:textId="77777777" w:rsidR="00053D93" w:rsidRDefault="00260B75">
            <w:pPr>
              <w:ind w:left="842"/>
            </w:pPr>
            <w:r>
              <w:rPr>
                <w:sz w:val="14"/>
              </w:rPr>
              <w:t>MINISTERIO EDUCACION</w:t>
            </w:r>
          </w:p>
          <w:p w14:paraId="2E4156C9" w14:textId="77777777" w:rsidR="00053D93" w:rsidRDefault="00260B75">
            <w:pPr>
              <w:ind w:left="346"/>
            </w:pPr>
            <w:r>
              <w:rPr>
                <w:sz w:val="14"/>
              </w:rPr>
              <w:t>AUDITORIA FINANCIERA Y DE CUMPLIMIENTO</w:t>
            </w:r>
          </w:p>
          <w:p w14:paraId="1BAB2FAB" w14:textId="77777777" w:rsidR="00053D93" w:rsidRDefault="00260B75">
            <w:r>
              <w:rPr>
                <w:sz w:val="14"/>
              </w:rPr>
              <w:t>PERIODO DEL 01 DE ENERO AL 31 DE DICIEMBRE OE 2024</w:t>
            </w:r>
          </w:p>
        </w:tc>
      </w:tr>
    </w:tbl>
    <w:p w14:paraId="567F561A" w14:textId="77777777" w:rsidR="00053D93" w:rsidRDefault="00260B75">
      <w:pPr>
        <w:pStyle w:val="Ttulo1"/>
        <w:spacing w:after="80" w:line="259" w:lineRule="auto"/>
        <w:ind w:left="759" w:right="-7603"/>
        <w:jc w:val="left"/>
      </w:pPr>
      <w:r>
        <w:rPr>
          <w:sz w:val="32"/>
        </w:rPr>
        <w:t xml:space="preserve">III </w:t>
      </w:r>
      <w:r>
        <w:rPr>
          <w:noProof/>
        </w:rPr>
        <w:drawing>
          <wp:inline distT="0" distB="0" distL="0" distR="0" wp14:anchorId="634B30D6" wp14:editId="569D5CEE">
            <wp:extent cx="882396" cy="406908"/>
            <wp:effectExtent l="0" t="0" r="0" b="0"/>
            <wp:docPr id="347670" name="Picture 347670"/>
            <wp:cNvGraphicFramePr/>
            <a:graphic xmlns:a="http://schemas.openxmlformats.org/drawingml/2006/main">
              <a:graphicData uri="http://schemas.openxmlformats.org/drawingml/2006/picture">
                <pic:pic xmlns:pic="http://schemas.openxmlformats.org/drawingml/2006/picture">
                  <pic:nvPicPr>
                    <pic:cNvPr id="347670" name="Picture 347670"/>
                    <pic:cNvPicPr/>
                  </pic:nvPicPr>
                  <pic:blipFill>
                    <a:blip r:embed="rId590"/>
                    <a:stretch>
                      <a:fillRect/>
                    </a:stretch>
                  </pic:blipFill>
                  <pic:spPr>
                    <a:xfrm>
                      <a:off x="0" y="0"/>
                      <a:ext cx="882396" cy="406908"/>
                    </a:xfrm>
                    <a:prstGeom prst="rect">
                      <a:avLst/>
                    </a:prstGeom>
                  </pic:spPr>
                </pic:pic>
              </a:graphicData>
            </a:graphic>
          </wp:inline>
        </w:drawing>
      </w:r>
      <w:r>
        <w:rPr>
          <w:sz w:val="32"/>
        </w:rPr>
        <w:t>II</w:t>
      </w:r>
    </w:p>
    <w:p w14:paraId="6E171A6E" w14:textId="77777777" w:rsidR="00053D93" w:rsidRDefault="00260B75">
      <w:pPr>
        <w:spacing w:after="26"/>
        <w:ind w:left="1728" w:right="-14"/>
      </w:pPr>
      <w:r>
        <w:rPr>
          <w:noProof/>
        </w:rPr>
        <mc:AlternateContent>
          <mc:Choice Requires="wpg">
            <w:drawing>
              <wp:inline distT="0" distB="0" distL="0" distR="0" wp14:anchorId="6E02F278" wp14:editId="021CE7E6">
                <wp:extent cx="5385816" cy="9144"/>
                <wp:effectExtent l="0" t="0" r="0" b="0"/>
                <wp:docPr id="2458320" name="Group 2458320"/>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319" name="Shape 2458319"/>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20" style="width:424.08pt;height:0.720001pt;mso-position-horizontal-relative:char;mso-position-vertical-relative:line" coordsize="53858,91">
                <v:shape id="Shape 2458319" style="position:absolute;width:53858;height:91;left:0;top:0;" coordsize="5385816,9144" path="m0,4572l5385816,4572">
                  <v:stroke weight="0.720001pt" endcap="flat" joinstyle="miter" miterlimit="1" on="true" color="#000000"/>
                  <v:fill on="false" color="#000000"/>
                </v:shape>
              </v:group>
            </w:pict>
          </mc:Fallback>
        </mc:AlternateContent>
      </w:r>
    </w:p>
    <w:p w14:paraId="075DD8E3" w14:textId="77777777" w:rsidR="00053D93" w:rsidRDefault="00260B75">
      <w:pPr>
        <w:tabs>
          <w:tab w:val="right" w:pos="10210"/>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del 03 de junio de 2019 y Número 025-2019 del 07 de junio de 2019, en las cuales</w:t>
      </w:r>
    </w:p>
    <w:p w14:paraId="365637BC" w14:textId="77777777" w:rsidR="00053D93" w:rsidRDefault="00260B75">
      <w:pPr>
        <w:spacing w:after="321" w:line="247" w:lineRule="auto"/>
        <w:ind w:left="1742" w:right="14" w:firstLine="4"/>
        <w:jc w:val="both"/>
      </w:pPr>
      <w:r>
        <w:rPr>
          <w:sz w:val="26"/>
        </w:rPr>
        <w:t>se menciona la ausencia del Director a.i.; a las citas convocadas por la Exdirectora, a.i. y Supervisora Educativa de la escuela.</w:t>
      </w:r>
    </w:p>
    <w:p w14:paraId="24A4F4C6" w14:textId="77777777" w:rsidR="00053D93" w:rsidRDefault="00260B75">
      <w:pPr>
        <w:spacing w:after="17" w:line="247" w:lineRule="auto"/>
        <w:ind w:left="14" w:right="14" w:firstLine="1685"/>
        <w:jc w:val="both"/>
      </w:pPr>
      <w:r>
        <w:rPr>
          <w:sz w:val="26"/>
        </w:rPr>
        <w:t xml:space="preserve">Asimismo, en el punto Segundo del Acta Número 0037-2019, antes mencionada, se hace mención del traslado de los oficios números: 042-201 9 Ref. SCCD/wcrb del 13 de junio de 2019, 047-2019 Ref. SCCD/wcrb del 21 de junio de 2019 y 062-2019 Ref. SCCD/wcrb del 22 de julio de 2019; emitidos por la Exdirectora, a.i. de la Escuela Normal Central de Educación Física y dirigidos al Director a.i.; dichos oficios fueron entregados mediante cédulas de notificación; en los cuales, se le solicitó que se presentara a solventar la entrega de los bienes bajo su responsabilidad, que le habían sido asignados por la Dirección General de Educación Física; no obstante, en el punto Cuarto de dicha acta, se indica que los </w:t>
      </w:r>
      <w:r>
        <w:rPr>
          <w:rFonts w:ascii="Times New Roman" w:eastAsia="Times New Roman" w:hAnsi="Times New Roman" w:cs="Times New Roman"/>
          <w:sz w:val="26"/>
        </w:rPr>
        <w:t xml:space="preserve">1 </w:t>
      </w:r>
      <w:r>
        <w:rPr>
          <w:sz w:val="26"/>
        </w:rPr>
        <w:t>bienes de la DIGEF no han sido finiquitados.</w:t>
      </w:r>
    </w:p>
    <w:p w14:paraId="674F22B9" w14:textId="77777777" w:rsidR="00053D93" w:rsidRDefault="00260B75">
      <w:pPr>
        <w:spacing w:after="4" w:line="267" w:lineRule="auto"/>
        <w:ind w:left="18" w:right="21" w:hanging="4"/>
        <w:jc w:val="right"/>
      </w:pPr>
      <w:r>
        <w:rPr>
          <w:sz w:val="26"/>
        </w:rPr>
        <w:t>Derivado de lo anterior, se solicitó al Director General en Funciones de la</w:t>
      </w:r>
    </w:p>
    <w:p w14:paraId="61F40865" w14:textId="77777777" w:rsidR="00053D93" w:rsidRDefault="00260B75">
      <w:pPr>
        <w:spacing w:after="62" w:line="295" w:lineRule="auto"/>
        <w:ind w:left="14" w:right="14" w:firstLine="1706"/>
        <w:jc w:val="both"/>
      </w:pPr>
      <w:r>
        <w:rPr>
          <w:sz w:val="26"/>
        </w:rPr>
        <w:t xml:space="preserve">Dirección General de Educación Física -DIGEF-, mediante el oficio CGC-AFC-MlNEDUC-DlGEF-OF-038-2024 del 30 de enero de 2025, información sobre las acciones legales y/o administrativas que la DIGEF ha realizado en relación con el faltante de los activos fijos registrados en las tarjetas de responsabilidad antes mencionadas. El Director General en Funciones de [a </w:t>
      </w:r>
      <w:r>
        <w:rPr>
          <w:rFonts w:ascii="Times New Roman" w:eastAsia="Times New Roman" w:hAnsi="Times New Roman" w:cs="Times New Roman"/>
          <w:sz w:val="26"/>
        </w:rPr>
        <w:t xml:space="preserve">-1 </w:t>
      </w:r>
      <w:r>
        <w:rPr>
          <w:sz w:val="26"/>
        </w:rPr>
        <w:t xml:space="preserve">DIGEF, mediante el oficio DG-141-2025, del 07 de febrero de 2025; trasladó los siguientes oficios: DG-1397-2021, del 25 de octubre de 2021 ; DG-1436-2021, del </w:t>
      </w:r>
      <w:r>
        <w:rPr>
          <w:rFonts w:ascii="Times New Roman" w:eastAsia="Times New Roman" w:hAnsi="Times New Roman" w:cs="Times New Roman"/>
          <w:sz w:val="26"/>
        </w:rPr>
        <w:t xml:space="preserve">-1 </w:t>
      </w:r>
      <w:r>
        <w:rPr>
          <w:sz w:val="26"/>
        </w:rPr>
        <w:t xml:space="preserve">4 de noviembre de 2021 ; y DG-1477-2021, del 12 de noviembre de 2021, todos ellos emitidos por el exdirector general de la DIGEF; en donde se le notificó en tres ocasiones al Director a.i., mediante cédula de notificación, solicitándole que se </w:t>
      </w:r>
      <w:r>
        <w:rPr>
          <w:rFonts w:ascii="Times New Roman" w:eastAsia="Times New Roman" w:hAnsi="Times New Roman" w:cs="Times New Roman"/>
          <w:sz w:val="26"/>
        </w:rPr>
        <w:t xml:space="preserve">-1 </w:t>
      </w:r>
      <w:r>
        <w:rPr>
          <w:sz w:val="26"/>
        </w:rPr>
        <w:t>presentara al Departamento de Inventarios para proceder con la reposición o e' pago de los bienes faltantes; sin embargo, al 31 de diciembre de 2024, dicha situación no ha sido solventada; por ende, los bienes no han sido recuperados.</w:t>
      </w:r>
    </w:p>
    <w:p w14:paraId="69F2E7D3" w14:textId="77777777" w:rsidR="00053D93" w:rsidRDefault="00260B75">
      <w:pPr>
        <w:pStyle w:val="Ttulo2"/>
        <w:spacing w:after="0"/>
        <w:ind w:left="17"/>
      </w:pPr>
      <w:r>
        <w:rPr>
          <w:rFonts w:ascii="Times New Roman" w:eastAsia="Times New Roman" w:hAnsi="Times New Roman" w:cs="Times New Roman"/>
          <w:sz w:val="38"/>
        </w:rPr>
        <w:t>-1</w:t>
      </w:r>
    </w:p>
    <w:p w14:paraId="26B48164" w14:textId="77777777" w:rsidR="00053D93" w:rsidRDefault="00260B75">
      <w:pPr>
        <w:spacing w:after="74" w:line="248" w:lineRule="auto"/>
        <w:ind w:left="1709" w:hanging="3"/>
        <w:jc w:val="both"/>
      </w:pPr>
      <w:r>
        <w:rPr>
          <w:sz w:val="28"/>
        </w:rPr>
        <w:t>Criterio</w:t>
      </w:r>
    </w:p>
    <w:p w14:paraId="75D496D7" w14:textId="77777777" w:rsidR="00053D93" w:rsidRDefault="00260B75">
      <w:pPr>
        <w:spacing w:after="17" w:line="320" w:lineRule="auto"/>
        <w:ind w:left="14" w:right="14" w:firstLine="4"/>
        <w:jc w:val="both"/>
      </w:pPr>
      <w:r>
        <w:rPr>
          <w:rFonts w:ascii="Times New Roman" w:eastAsia="Times New Roman" w:hAnsi="Times New Roman" w:cs="Times New Roman"/>
          <w:sz w:val="26"/>
        </w:rPr>
        <w:lastRenderedPageBreak/>
        <w:t xml:space="preserve">-1 </w:t>
      </w:r>
      <w:r>
        <w:rPr>
          <w:sz w:val="26"/>
        </w:rPr>
        <w:t xml:space="preserve">El Decreto Número 89-2002, del Congreso de la República de Guatemala, Ley de Probidad y Responsabilidades de Funcionarios y Empleados Públicos, artículo 6. Principios de probidad, establece: "Son principios de probidad los siguientes: a) El </w:t>
      </w:r>
      <w:r>
        <w:rPr>
          <w:rFonts w:ascii="Times New Roman" w:eastAsia="Times New Roman" w:hAnsi="Times New Roman" w:cs="Times New Roman"/>
          <w:sz w:val="26"/>
        </w:rPr>
        <w:t xml:space="preserve">-1 </w:t>
      </w:r>
      <w:r>
        <w:rPr>
          <w:sz w:val="26"/>
        </w:rPr>
        <w:t>cumplimiento estricto de los preceptos constitucionales y legales;... d</w:t>
      </w:r>
      <w:r>
        <w:rPr>
          <w:noProof/>
        </w:rPr>
        <w:drawing>
          <wp:inline distT="0" distB="0" distL="0" distR="0" wp14:anchorId="29F9113D" wp14:editId="53170ADB">
            <wp:extent cx="301751" cy="137161"/>
            <wp:effectExtent l="0" t="0" r="0" b="0"/>
            <wp:docPr id="2458317" name="Picture 2458317"/>
            <wp:cNvGraphicFramePr/>
            <a:graphic xmlns:a="http://schemas.openxmlformats.org/drawingml/2006/main">
              <a:graphicData uri="http://schemas.openxmlformats.org/drawingml/2006/picture">
                <pic:pic xmlns:pic="http://schemas.openxmlformats.org/drawingml/2006/picture">
                  <pic:nvPicPr>
                    <pic:cNvPr id="2458317" name="Picture 2458317"/>
                    <pic:cNvPicPr/>
                  </pic:nvPicPr>
                  <pic:blipFill>
                    <a:blip r:embed="rId591"/>
                    <a:stretch>
                      <a:fillRect/>
                    </a:stretch>
                  </pic:blipFill>
                  <pic:spPr>
                    <a:xfrm>
                      <a:off x="0" y="0"/>
                      <a:ext cx="301751" cy="137161"/>
                    </a:xfrm>
                    <a:prstGeom prst="rect">
                      <a:avLst/>
                    </a:prstGeom>
                  </pic:spPr>
                </pic:pic>
              </a:graphicData>
            </a:graphic>
          </wp:inline>
        </w:drawing>
      </w:r>
    </w:p>
    <w:p w14:paraId="77ABBB2D" w14:textId="77777777" w:rsidR="00053D93" w:rsidRDefault="00260B75">
      <w:pPr>
        <w:spacing w:after="236" w:line="307" w:lineRule="auto"/>
        <w:ind w:left="1685" w:right="14" w:firstLine="4"/>
        <w:jc w:val="both"/>
      </w:pPr>
      <w:r>
        <w:rPr>
          <w:sz w:val="26"/>
        </w:rPr>
        <w:t>prudencia en la administración de los recursos de las entidades del Estado, y demás entidades descentralizadas y autónomas del mismo..." Artículo 7.</w:t>
      </w:r>
    </w:p>
    <w:p w14:paraId="12389DF8" w14:textId="77777777" w:rsidR="00053D93" w:rsidRDefault="00260B75">
      <w:pPr>
        <w:spacing w:after="46" w:line="247" w:lineRule="auto"/>
        <w:ind w:left="50" w:right="14" w:hanging="36"/>
        <w:jc w:val="both"/>
      </w:pPr>
      <w:r>
        <w:rPr>
          <w:noProof/>
        </w:rPr>
        <w:drawing>
          <wp:inline distT="0" distB="0" distL="0" distR="0" wp14:anchorId="36085F28" wp14:editId="7A375513">
            <wp:extent cx="54864" cy="13717"/>
            <wp:effectExtent l="0" t="0" r="0" b="0"/>
            <wp:docPr id="351464" name="Picture 351464"/>
            <wp:cNvGraphicFramePr/>
            <a:graphic xmlns:a="http://schemas.openxmlformats.org/drawingml/2006/main">
              <a:graphicData uri="http://schemas.openxmlformats.org/drawingml/2006/picture">
                <pic:pic xmlns:pic="http://schemas.openxmlformats.org/drawingml/2006/picture">
                  <pic:nvPicPr>
                    <pic:cNvPr id="351464" name="Picture 351464"/>
                    <pic:cNvPicPr/>
                  </pic:nvPicPr>
                  <pic:blipFill>
                    <a:blip r:embed="rId592"/>
                    <a:stretch>
                      <a:fillRect/>
                    </a:stretch>
                  </pic:blipFill>
                  <pic:spPr>
                    <a:xfrm>
                      <a:off x="0" y="0"/>
                      <a:ext cx="54864" cy="13717"/>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Funcionarios públicos, establece: "Los funcionarios públicos conforme los denomina el artículo 4 de esta Ley, están obligados a desempeñar sus deberes, </w:t>
      </w:r>
      <w:r>
        <w:rPr>
          <w:rFonts w:ascii="Times New Roman" w:eastAsia="Times New Roman" w:hAnsi="Times New Roman" w:cs="Times New Roman"/>
          <w:sz w:val="26"/>
        </w:rPr>
        <w:t xml:space="preserve">-1 </w:t>
      </w:r>
      <w:r>
        <w:rPr>
          <w:sz w:val="26"/>
        </w:rPr>
        <w:t>atribuciones, facultades y funciones con estricto apego a la Constitución Política</w:t>
      </w:r>
    </w:p>
    <w:p w14:paraId="2110E6DF" w14:textId="77777777" w:rsidR="00053D93" w:rsidRDefault="00260B75">
      <w:pPr>
        <w:spacing w:after="47"/>
        <w:ind w:left="-7"/>
      </w:pPr>
      <w:r>
        <w:rPr>
          <w:noProof/>
        </w:rPr>
        <w:drawing>
          <wp:inline distT="0" distB="0" distL="0" distR="0" wp14:anchorId="37C7A80C" wp14:editId="0186AECD">
            <wp:extent cx="13716" cy="18288"/>
            <wp:effectExtent l="0" t="0" r="0" b="0"/>
            <wp:docPr id="351465" name="Picture 351465"/>
            <wp:cNvGraphicFramePr/>
            <a:graphic xmlns:a="http://schemas.openxmlformats.org/drawingml/2006/main">
              <a:graphicData uri="http://schemas.openxmlformats.org/drawingml/2006/picture">
                <pic:pic xmlns:pic="http://schemas.openxmlformats.org/drawingml/2006/picture">
                  <pic:nvPicPr>
                    <pic:cNvPr id="351465" name="Picture 351465"/>
                    <pic:cNvPicPr/>
                  </pic:nvPicPr>
                  <pic:blipFill>
                    <a:blip r:embed="rId593"/>
                    <a:stretch>
                      <a:fillRect/>
                    </a:stretch>
                  </pic:blipFill>
                  <pic:spPr>
                    <a:xfrm>
                      <a:off x="0" y="0"/>
                      <a:ext cx="13716" cy="18288"/>
                    </a:xfrm>
                    <a:prstGeom prst="rect">
                      <a:avLst/>
                    </a:prstGeom>
                  </pic:spPr>
                </pic:pic>
              </a:graphicData>
            </a:graphic>
          </wp:inline>
        </w:drawing>
      </w:r>
    </w:p>
    <w:p w14:paraId="2075C032" w14:textId="77777777" w:rsidR="00053D93" w:rsidRDefault="00260B75">
      <w:pPr>
        <w:spacing w:after="17" w:line="247" w:lineRule="auto"/>
        <w:ind w:left="1678" w:right="14" w:firstLine="4"/>
        <w:jc w:val="both"/>
      </w:pPr>
      <w:r>
        <w:rPr>
          <w:sz w:val="26"/>
        </w:rPr>
        <w:t>de la República y, las leyes. En consecuencia, están sujetos a responsabilidades de carácter admihistrativo, civil y penal por las infracciones, omisiones, acciones, decisiones y resoluciones en que incurrieren en el ejercicio de su cargo." Artículo</w:t>
      </w:r>
    </w:p>
    <w:p w14:paraId="605B0711" w14:textId="77777777" w:rsidR="00053D93" w:rsidRDefault="00053D93">
      <w:pPr>
        <w:sectPr w:rsidR="00053D93">
          <w:headerReference w:type="even" r:id="rId594"/>
          <w:headerReference w:type="default" r:id="rId595"/>
          <w:footerReference w:type="even" r:id="rId596"/>
          <w:footerReference w:type="default" r:id="rId597"/>
          <w:headerReference w:type="first" r:id="rId598"/>
          <w:footerReference w:type="first" r:id="rId599"/>
          <w:pgSz w:w="12290" w:h="15883"/>
          <w:pgMar w:top="302" w:right="1778" w:bottom="677" w:left="302" w:header="360" w:footer="720" w:gutter="0"/>
          <w:cols w:space="720"/>
          <w:titlePg/>
        </w:sectPr>
      </w:pPr>
    </w:p>
    <w:tbl>
      <w:tblPr>
        <w:tblStyle w:val="TableGrid"/>
        <w:tblpPr w:vertAnchor="text" w:tblpX="2506" w:tblpY="7"/>
        <w:tblOverlap w:val="never"/>
        <w:tblW w:w="7632" w:type="dxa"/>
        <w:tblInd w:w="0" w:type="dxa"/>
        <w:tblCellMar>
          <w:top w:w="54" w:type="dxa"/>
          <w:left w:w="1735" w:type="dxa"/>
          <w:right w:w="115" w:type="dxa"/>
        </w:tblCellMar>
        <w:tblLook w:val="04A0" w:firstRow="1" w:lastRow="0" w:firstColumn="1" w:lastColumn="0" w:noHBand="0" w:noVBand="1"/>
      </w:tblPr>
      <w:tblGrid>
        <w:gridCol w:w="7632"/>
      </w:tblGrid>
      <w:tr w:rsidR="00053D93" w14:paraId="51A8A75E" w14:textId="77777777">
        <w:trPr>
          <w:trHeight w:val="58"/>
        </w:trPr>
        <w:tc>
          <w:tcPr>
            <w:tcW w:w="7632" w:type="dxa"/>
            <w:tcBorders>
              <w:top w:val="nil"/>
              <w:left w:val="single" w:sz="2" w:space="0" w:color="000000"/>
              <w:bottom w:val="single" w:sz="2" w:space="0" w:color="000000"/>
              <w:right w:val="nil"/>
            </w:tcBorders>
          </w:tcPr>
          <w:p w14:paraId="1F2B0D44" w14:textId="77777777" w:rsidR="00053D93" w:rsidRDefault="00053D93"/>
        </w:tc>
      </w:tr>
      <w:tr w:rsidR="00053D93" w14:paraId="346C8D70" w14:textId="77777777">
        <w:trPr>
          <w:trHeight w:val="583"/>
        </w:trPr>
        <w:tc>
          <w:tcPr>
            <w:tcW w:w="7632" w:type="dxa"/>
            <w:tcBorders>
              <w:top w:val="single" w:sz="2" w:space="0" w:color="000000"/>
              <w:left w:val="single" w:sz="2" w:space="0" w:color="000000"/>
              <w:bottom w:val="nil"/>
              <w:right w:val="nil"/>
            </w:tcBorders>
          </w:tcPr>
          <w:p w14:paraId="4E29ADCB" w14:textId="77777777" w:rsidR="00053D93" w:rsidRDefault="00260B75">
            <w:pPr>
              <w:ind w:left="835"/>
            </w:pPr>
            <w:r>
              <w:rPr>
                <w:sz w:val="14"/>
              </w:rPr>
              <w:t>MINISTERIO OE EDUCACION</w:t>
            </w:r>
          </w:p>
          <w:p w14:paraId="2FFD2D1F" w14:textId="77777777" w:rsidR="00053D93" w:rsidRDefault="00260B75">
            <w:pPr>
              <w:ind w:left="338"/>
            </w:pPr>
            <w:r>
              <w:rPr>
                <w:sz w:val="14"/>
              </w:rPr>
              <w:t>AUDITORIA FINANCIERA Y DE CUMPLIMIENTO</w:t>
            </w:r>
          </w:p>
          <w:p w14:paraId="1EB8D914" w14:textId="77777777" w:rsidR="00053D93" w:rsidRDefault="00260B75">
            <w:r>
              <w:rPr>
                <w:sz w:val="14"/>
              </w:rPr>
              <w:t>PERIODO DEL 01 DE ENERO AL 31 OE DICIEMBRE DE 2024</w:t>
            </w:r>
          </w:p>
        </w:tc>
      </w:tr>
    </w:tbl>
    <w:p w14:paraId="437ACBDE" w14:textId="77777777" w:rsidR="00053D93" w:rsidRDefault="00260B75">
      <w:pPr>
        <w:pStyle w:val="Ttulo2"/>
        <w:spacing w:after="97"/>
        <w:ind w:left="708" w:right="6955"/>
      </w:pPr>
      <w:r>
        <w:t xml:space="preserve">III </w:t>
      </w:r>
      <w:r>
        <w:rPr>
          <w:noProof/>
        </w:rPr>
        <w:drawing>
          <wp:inline distT="0" distB="0" distL="0" distR="0" wp14:anchorId="26ECAB2B" wp14:editId="606F490B">
            <wp:extent cx="777240" cy="411480"/>
            <wp:effectExtent l="0" t="0" r="0" b="0"/>
            <wp:docPr id="351519" name="Picture 351519"/>
            <wp:cNvGraphicFramePr/>
            <a:graphic xmlns:a="http://schemas.openxmlformats.org/drawingml/2006/main">
              <a:graphicData uri="http://schemas.openxmlformats.org/drawingml/2006/picture">
                <pic:pic xmlns:pic="http://schemas.openxmlformats.org/drawingml/2006/picture">
                  <pic:nvPicPr>
                    <pic:cNvPr id="351519" name="Picture 351519"/>
                    <pic:cNvPicPr/>
                  </pic:nvPicPr>
                  <pic:blipFill>
                    <a:blip r:embed="rId600"/>
                    <a:stretch>
                      <a:fillRect/>
                    </a:stretch>
                  </pic:blipFill>
                  <pic:spPr>
                    <a:xfrm>
                      <a:off x="0" y="0"/>
                      <a:ext cx="777240" cy="411480"/>
                    </a:xfrm>
                    <a:prstGeom prst="rect">
                      <a:avLst/>
                    </a:prstGeom>
                  </pic:spPr>
                </pic:pic>
              </a:graphicData>
            </a:graphic>
          </wp:inline>
        </w:drawing>
      </w:r>
      <w:r>
        <w:t>I II</w:t>
      </w:r>
    </w:p>
    <w:p w14:paraId="58EBD6BE" w14:textId="77777777" w:rsidR="00053D93" w:rsidRDefault="00260B75">
      <w:pPr>
        <w:spacing w:after="117" w:line="247" w:lineRule="auto"/>
        <w:ind w:left="14" w:right="14" w:firstLine="4"/>
        <w:jc w:val="both"/>
      </w:pPr>
      <w:r>
        <w:rPr>
          <w:rFonts w:ascii="Times New Roman" w:eastAsia="Times New Roman" w:hAnsi="Times New Roman" w:cs="Times New Roman"/>
          <w:sz w:val="26"/>
        </w:rPr>
        <w:t xml:space="preserve">1 </w:t>
      </w:r>
      <w:r>
        <w:rPr>
          <w:sz w:val="26"/>
        </w:rPr>
        <w:t xml:space="preserve">8. Responsabilidad administrativa, establece: "La responsabilidad es administrativa cuando la acción u omisión contraviene el ordenamiento jurídico administrativo y las normas que regulan la conducta del funcionario público, asimismo, cuando se incurriere en negligencia, imprudencia o impericia o bien incumpliendo leyes, reglamentos, contratos y demás disposiciones legales a la institución estatal ante la cual están obligados o prestan sus servicios; además, cuando no se cumplan, con la debida diligencia las obligaciones contraídas o funciones inherentes al cargo, así como cuando por acción u omisión se cause perjuicio a los intereses públicos que tuviere encomendados y no ocasionen daños o perjuicios patrimoniales, o bien se incurra en falta o delito." Artículo 9. Responsabilidad civil, establece: "Genera responsabilidad civil la acción u omisión que con intención o por negligencia, imprudencia, impericia o abuso de poder, se cometa en perjuicio o daño del patrimonio público, independiente a la responsabilidad penal que se genere. Los daños y perjuicios provenientes de la responsabilidad civil se harán efectivos con arreglo al Código Civil y demás disposiciones legales vigentes sobre la materia, salvo que la acción civil se decida </w:t>
      </w:r>
      <w:r>
        <w:rPr>
          <w:rFonts w:ascii="Times New Roman" w:eastAsia="Times New Roman" w:hAnsi="Times New Roman" w:cs="Times New Roman"/>
          <w:sz w:val="26"/>
        </w:rPr>
        <w:t xml:space="preserve">-1 </w:t>
      </w:r>
      <w:r>
        <w:rPr>
          <w:sz w:val="26"/>
        </w:rPr>
        <w:t xml:space="preserve">dentro de la acción penal en forma conjunta."... Artículo 17. Casos que generan responsabilidad administrativa, establece: "Sin perjuicio de los casos regulados en </w:t>
      </w:r>
      <w:r>
        <w:rPr>
          <w:rFonts w:ascii="Times New Roman" w:eastAsia="Times New Roman" w:hAnsi="Times New Roman" w:cs="Times New Roman"/>
          <w:sz w:val="26"/>
        </w:rPr>
        <w:t xml:space="preserve">-1 </w:t>
      </w:r>
      <w:r>
        <w:rPr>
          <w:sz w:val="26"/>
        </w:rPr>
        <w:t>leyes específicas, también son casos que generan responsabilidad administrativa:</w:t>
      </w:r>
    </w:p>
    <w:p w14:paraId="6A9A21B8" w14:textId="77777777" w:rsidR="00053D93" w:rsidRDefault="00260B75">
      <w:pPr>
        <w:spacing w:after="359" w:line="247" w:lineRule="auto"/>
        <w:ind w:left="14" w:right="14" w:firstLine="1685"/>
        <w:jc w:val="both"/>
      </w:pPr>
      <w:r>
        <w:rPr>
          <w:noProof/>
        </w:rPr>
        <mc:AlternateContent>
          <mc:Choice Requires="wpg">
            <w:drawing>
              <wp:anchor distT="0" distB="0" distL="114300" distR="114300" simplePos="0" relativeHeight="251944960" behindDoc="0" locked="0" layoutInCell="1" allowOverlap="1" wp14:anchorId="285207B9" wp14:editId="6DFF0265">
                <wp:simplePos x="0" y="0"/>
                <wp:positionH relativeFrom="page">
                  <wp:posOffset>1298448</wp:posOffset>
                </wp:positionH>
                <wp:positionV relativeFrom="page">
                  <wp:posOffset>822960</wp:posOffset>
                </wp:positionV>
                <wp:extent cx="5394961" cy="9144"/>
                <wp:effectExtent l="0" t="0" r="0" b="0"/>
                <wp:wrapTopAndBottom/>
                <wp:docPr id="2458322" name="Group 2458322"/>
                <wp:cNvGraphicFramePr/>
                <a:graphic xmlns:a="http://schemas.openxmlformats.org/drawingml/2006/main">
                  <a:graphicData uri="http://schemas.microsoft.com/office/word/2010/wordprocessingGroup">
                    <wpg:wgp>
                      <wpg:cNvGrpSpPr/>
                      <wpg:grpSpPr>
                        <a:xfrm>
                          <a:off x="0" y="0"/>
                          <a:ext cx="5394961" cy="9144"/>
                          <a:chOff x="0" y="0"/>
                          <a:chExt cx="5394961" cy="9144"/>
                        </a:xfrm>
                      </wpg:grpSpPr>
                      <wps:wsp>
                        <wps:cNvPr id="2458321" name="Shape 2458321"/>
                        <wps:cNvSpPr/>
                        <wps:spPr>
                          <a:xfrm>
                            <a:off x="0" y="0"/>
                            <a:ext cx="5394961" cy="9144"/>
                          </a:xfrm>
                          <a:custGeom>
                            <a:avLst/>
                            <a:gdLst/>
                            <a:ahLst/>
                            <a:cxnLst/>
                            <a:rect l="0" t="0" r="0" b="0"/>
                            <a:pathLst>
                              <a:path w="5394961" h="9144">
                                <a:moveTo>
                                  <a:pt x="0" y="4572"/>
                                </a:moveTo>
                                <a:lnTo>
                                  <a:pt x="5394961"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322" style="width:424.8pt;height:0.720009pt;position:absolute;mso-position-horizontal-relative:page;mso-position-horizontal:absolute;margin-left:102.24pt;mso-position-vertical-relative:page;margin-top:64.8pt;" coordsize="53949,91">
                <v:shape id="Shape 2458321" style="position:absolute;width:53949;height:91;left:0;top:0;" coordsize="5394961,9144" path="m0,4572l5394961,4572">
                  <v:stroke weight="0.720009pt" endcap="flat" joinstyle="miter" miterlimit="1" on="true" color="#000000"/>
                  <v:fill on="false" color="#000000"/>
                </v:shape>
                <w10:wrap type="topAndBottom"/>
              </v:group>
            </w:pict>
          </mc:Fallback>
        </mc:AlternateContent>
      </w:r>
      <w:r>
        <w:rPr>
          <w:sz w:val="26"/>
        </w:rPr>
        <w:t xml:space="preserve">a) La inobservancia e incumplimiento de funciones, atribuciones y deberes que las disposiciones legales o reglamentarias impongan;...f) La negligencia o descuido </w:t>
      </w:r>
      <w:r>
        <w:rPr>
          <w:rFonts w:ascii="Times New Roman" w:eastAsia="Times New Roman" w:hAnsi="Times New Roman" w:cs="Times New Roman"/>
          <w:sz w:val="26"/>
        </w:rPr>
        <w:t xml:space="preserve">-1 </w:t>
      </w:r>
      <w:r>
        <w:rPr>
          <w:sz w:val="26"/>
        </w:rPr>
        <w:t>en la custodia, uso o destino de bienes integrantes del patrimonio público... "</w:t>
      </w:r>
    </w:p>
    <w:p w14:paraId="360C82DC" w14:textId="77777777" w:rsidR="00053D93" w:rsidRDefault="00260B75">
      <w:pPr>
        <w:spacing w:after="39" w:line="303" w:lineRule="auto"/>
        <w:ind w:left="14" w:right="14" w:firstLine="1692"/>
        <w:jc w:val="both"/>
      </w:pPr>
      <w:r>
        <w:rPr>
          <w:sz w:val="26"/>
        </w:rPr>
        <w:lastRenderedPageBreak/>
        <w:t xml:space="preserve">El Acuerdo Gubernativo Número 217-94, del Presidente de la República, </w:t>
      </w:r>
      <w:r>
        <w:rPr>
          <w:rFonts w:ascii="Times New Roman" w:eastAsia="Times New Roman" w:hAnsi="Times New Roman" w:cs="Times New Roman"/>
          <w:sz w:val="26"/>
        </w:rPr>
        <w:t xml:space="preserve">-1 </w:t>
      </w:r>
      <w:r>
        <w:rPr>
          <w:sz w:val="26"/>
        </w:rPr>
        <w:t xml:space="preserve">Reglamento de Inventarios de [os Bienes Muebles de la Administración Pública, artículo 7, establece: "En los casos de pérdida, faltante o extravío, el Jefe de la </w:t>
      </w:r>
      <w:r>
        <w:rPr>
          <w:rFonts w:ascii="Times New Roman" w:eastAsia="Times New Roman" w:hAnsi="Times New Roman" w:cs="Times New Roman"/>
          <w:sz w:val="26"/>
        </w:rPr>
        <w:t xml:space="preserve">-1 </w:t>
      </w:r>
      <w:r>
        <w:rPr>
          <w:sz w:val="26"/>
        </w:rPr>
        <w:t>dependencia deberá proceder a suscribir acta, haciendo constar, con intervención del servidor que tenga cargados el bien o bienes, lo siguiente: 1) Lo relativo al caso; 2) el requerimiento de pago o reposición del bien, según corresponda. En</w:t>
      </w:r>
    </w:p>
    <w:p w14:paraId="190504CC" w14:textId="77777777" w:rsidR="00053D93" w:rsidRDefault="00260B75">
      <w:pPr>
        <w:spacing w:after="443" w:line="355" w:lineRule="auto"/>
        <w:ind w:left="1692" w:right="14" w:hanging="1678"/>
        <w:jc w:val="both"/>
      </w:pPr>
      <w:r>
        <w:rPr>
          <w:rFonts w:ascii="Times New Roman" w:eastAsia="Times New Roman" w:hAnsi="Times New Roman" w:cs="Times New Roman"/>
          <w:sz w:val="26"/>
        </w:rPr>
        <w:t xml:space="preserve">-1 </w:t>
      </w:r>
      <w:r>
        <w:rPr>
          <w:sz w:val="26"/>
        </w:rPr>
        <w:t>esta última situación el bien restituido deberá ser de idénticas características y calidad del original."</w:t>
      </w:r>
    </w:p>
    <w:p w14:paraId="7095B589" w14:textId="77777777" w:rsidR="00053D93" w:rsidRDefault="00260B75">
      <w:pPr>
        <w:spacing w:after="17" w:line="247" w:lineRule="auto"/>
        <w:ind w:left="14" w:right="79" w:firstLine="4"/>
        <w:jc w:val="both"/>
      </w:pPr>
      <w:r>
        <w:rPr>
          <w:rFonts w:ascii="Times New Roman" w:eastAsia="Times New Roman" w:hAnsi="Times New Roman" w:cs="Times New Roman"/>
          <w:sz w:val="26"/>
        </w:rPr>
        <w:t xml:space="preserve">-1 </w:t>
      </w:r>
      <w:r>
        <w:rPr>
          <w:sz w:val="26"/>
        </w:rPr>
        <w:t xml:space="preserve">La Circular 3-57, de la Dirección de Contabilidad del Estado del Departamento de Contabilidad. Sección. Toma de Posesión de Cargos Públicos, establece: "Al </w:t>
      </w:r>
      <w:r>
        <w:rPr>
          <w:rFonts w:ascii="Times New Roman" w:eastAsia="Times New Roman" w:hAnsi="Times New Roman" w:cs="Times New Roman"/>
          <w:sz w:val="26"/>
        </w:rPr>
        <w:t xml:space="preserve">-1 </w:t>
      </w:r>
      <w:r>
        <w:rPr>
          <w:sz w:val="26"/>
        </w:rPr>
        <w:t xml:space="preserve">tomar posesión de un cargo, deberán entregarse y recibirse los bienes de acuerdo con el inventario actualizado, haciéndose constar en acta si hasta aquí el resultado es satisfactorio o puntualizando cualquier faltante para que el jefe de la oficina </w:t>
      </w:r>
      <w:r>
        <w:rPr>
          <w:noProof/>
        </w:rPr>
        <w:drawing>
          <wp:inline distT="0" distB="0" distL="0" distR="0" wp14:anchorId="6B0BD3C0" wp14:editId="3FC75EB7">
            <wp:extent cx="45720" cy="13716"/>
            <wp:effectExtent l="0" t="0" r="0" b="0"/>
            <wp:docPr id="355337" name="Picture 355337"/>
            <wp:cNvGraphicFramePr/>
            <a:graphic xmlns:a="http://schemas.openxmlformats.org/drawingml/2006/main">
              <a:graphicData uri="http://schemas.openxmlformats.org/drawingml/2006/picture">
                <pic:pic xmlns:pic="http://schemas.openxmlformats.org/drawingml/2006/picture">
                  <pic:nvPicPr>
                    <pic:cNvPr id="355337" name="Picture 355337"/>
                    <pic:cNvPicPr/>
                  </pic:nvPicPr>
                  <pic:blipFill>
                    <a:blip r:embed="rId601"/>
                    <a:stretch>
                      <a:fillRect/>
                    </a:stretch>
                  </pic:blipFill>
                  <pic:spPr>
                    <a:xfrm>
                      <a:off x="0" y="0"/>
                      <a:ext cx="45720"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exija el reintegro correspondiente, pida la intervención de la Contraloría de Cuentas para la formulación del reparo que proceda, o dé parte a las autoridades judiciales si el caso lo amerita... "</w:t>
      </w:r>
    </w:p>
    <w:p w14:paraId="3A624826" w14:textId="77777777" w:rsidR="00053D93" w:rsidRDefault="00260B75">
      <w:pPr>
        <w:spacing w:after="0"/>
      </w:pPr>
      <w:r>
        <w:rPr>
          <w:rFonts w:ascii="Times New Roman" w:eastAsia="Times New Roman" w:hAnsi="Times New Roman" w:cs="Times New Roman"/>
          <w:sz w:val="40"/>
        </w:rPr>
        <w:t>-1</w:t>
      </w:r>
    </w:p>
    <w:p w14:paraId="6776AB8D" w14:textId="77777777" w:rsidR="00053D93" w:rsidRDefault="00260B75">
      <w:pPr>
        <w:pStyle w:val="Ttulo3"/>
        <w:spacing w:after="354"/>
        <w:ind w:left="1687" w:right="7"/>
      </w:pPr>
      <w:r>
        <w:t>Causa</w:t>
      </w:r>
    </w:p>
    <w:p w14:paraId="4EA02094" w14:textId="77777777" w:rsidR="00053D93" w:rsidRDefault="00260B75">
      <w:pPr>
        <w:tabs>
          <w:tab w:val="right" w:pos="10181"/>
        </w:tabs>
        <w:spacing w:after="17" w:line="247" w:lineRule="auto"/>
      </w:pPr>
      <w:r>
        <w:rPr>
          <w:noProof/>
        </w:rPr>
        <w:drawing>
          <wp:inline distT="0" distB="0" distL="0" distR="0" wp14:anchorId="5E8976F5" wp14:editId="5AA58518">
            <wp:extent cx="18288" cy="13715"/>
            <wp:effectExtent l="0" t="0" r="0" b="0"/>
            <wp:docPr id="355338" name="Picture 355338"/>
            <wp:cNvGraphicFramePr/>
            <a:graphic xmlns:a="http://schemas.openxmlformats.org/drawingml/2006/main">
              <a:graphicData uri="http://schemas.openxmlformats.org/drawingml/2006/picture">
                <pic:pic xmlns:pic="http://schemas.openxmlformats.org/drawingml/2006/picture">
                  <pic:nvPicPr>
                    <pic:cNvPr id="355338" name="Picture 355338"/>
                    <pic:cNvPicPr/>
                  </pic:nvPicPr>
                  <pic:blipFill>
                    <a:blip r:embed="rId602"/>
                    <a:stretch>
                      <a:fillRect/>
                    </a:stretch>
                  </pic:blipFill>
                  <pic:spPr>
                    <a:xfrm>
                      <a:off x="0" y="0"/>
                      <a:ext cx="18288" cy="13715"/>
                    </a:xfrm>
                    <a:prstGeom prst="rect">
                      <a:avLst/>
                    </a:prstGeom>
                  </pic:spPr>
                </pic:pic>
              </a:graphicData>
            </a:graphic>
          </wp:inline>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El Director a.i., de la Escuela Normal Central de Educación Física, no realizó la</w:t>
      </w:r>
    </w:p>
    <w:tbl>
      <w:tblPr>
        <w:tblStyle w:val="TableGrid"/>
        <w:tblW w:w="9446" w:type="dxa"/>
        <w:tblInd w:w="727" w:type="dxa"/>
        <w:tblLook w:val="04A0" w:firstRow="1" w:lastRow="0" w:firstColumn="1" w:lastColumn="0" w:noHBand="0" w:noVBand="1"/>
      </w:tblPr>
      <w:tblGrid>
        <w:gridCol w:w="1291"/>
        <w:gridCol w:w="8162"/>
      </w:tblGrid>
      <w:tr w:rsidR="00053D93" w14:paraId="161C679F" w14:textId="77777777">
        <w:trPr>
          <w:trHeight w:val="641"/>
        </w:trPr>
        <w:tc>
          <w:tcPr>
            <w:tcW w:w="1789" w:type="dxa"/>
            <w:tcBorders>
              <w:top w:val="nil"/>
              <w:left w:val="nil"/>
              <w:bottom w:val="nil"/>
              <w:right w:val="nil"/>
            </w:tcBorders>
          </w:tcPr>
          <w:p w14:paraId="700EBE3B" w14:textId="77777777" w:rsidR="00053D93" w:rsidRDefault="00260B75">
            <w:r>
              <w:rPr>
                <w:noProof/>
              </w:rPr>
              <w:drawing>
                <wp:inline distT="0" distB="0" distL="0" distR="0" wp14:anchorId="1AEFDFBC" wp14:editId="7F66E5FE">
                  <wp:extent cx="1124712" cy="406908"/>
                  <wp:effectExtent l="0" t="0" r="0" b="0"/>
                  <wp:docPr id="355406" name="Picture 355406"/>
                  <wp:cNvGraphicFramePr/>
                  <a:graphic xmlns:a="http://schemas.openxmlformats.org/drawingml/2006/main">
                    <a:graphicData uri="http://schemas.openxmlformats.org/drawingml/2006/picture">
                      <pic:pic xmlns:pic="http://schemas.openxmlformats.org/drawingml/2006/picture">
                        <pic:nvPicPr>
                          <pic:cNvPr id="355406" name="Picture 355406"/>
                          <pic:cNvPicPr/>
                        </pic:nvPicPr>
                        <pic:blipFill>
                          <a:blip r:embed="rId603"/>
                          <a:stretch>
                            <a:fillRect/>
                          </a:stretch>
                        </pic:blipFill>
                        <pic:spPr>
                          <a:xfrm>
                            <a:off x="0" y="0"/>
                            <a:ext cx="1124712" cy="406908"/>
                          </a:xfrm>
                          <a:prstGeom prst="rect">
                            <a:avLst/>
                          </a:prstGeom>
                        </pic:spPr>
                      </pic:pic>
                    </a:graphicData>
                  </a:graphic>
                </wp:inline>
              </w:drawing>
            </w:r>
          </w:p>
        </w:tc>
        <w:tc>
          <w:tcPr>
            <w:tcW w:w="7657" w:type="dxa"/>
            <w:tcBorders>
              <w:top w:val="nil"/>
              <w:left w:val="nil"/>
              <w:bottom w:val="nil"/>
              <w:right w:val="nil"/>
            </w:tcBorders>
          </w:tcPr>
          <w:p w14:paraId="00A4CFEE" w14:textId="77777777" w:rsidR="00053D93" w:rsidRDefault="00053D93">
            <w:pPr>
              <w:ind w:left="-2840" w:right="10498"/>
            </w:pPr>
          </w:p>
          <w:tbl>
            <w:tblPr>
              <w:tblStyle w:val="TableGrid"/>
              <w:tblW w:w="7639" w:type="dxa"/>
              <w:tblInd w:w="18" w:type="dxa"/>
              <w:tblCellMar>
                <w:top w:w="38" w:type="dxa"/>
                <w:left w:w="1742" w:type="dxa"/>
                <w:right w:w="115" w:type="dxa"/>
              </w:tblCellMar>
              <w:tblLook w:val="04A0" w:firstRow="1" w:lastRow="0" w:firstColumn="1" w:lastColumn="0" w:noHBand="0" w:noVBand="1"/>
            </w:tblPr>
            <w:tblGrid>
              <w:gridCol w:w="7639"/>
            </w:tblGrid>
            <w:tr w:rsidR="00053D93" w14:paraId="462F36DD" w14:textId="77777777">
              <w:trPr>
                <w:trHeight w:val="58"/>
              </w:trPr>
              <w:tc>
                <w:tcPr>
                  <w:tcW w:w="7639" w:type="dxa"/>
                  <w:tcBorders>
                    <w:top w:val="nil"/>
                    <w:left w:val="single" w:sz="2" w:space="0" w:color="000000"/>
                    <w:bottom w:val="single" w:sz="2" w:space="0" w:color="000000"/>
                    <w:right w:val="nil"/>
                  </w:tcBorders>
                </w:tcPr>
                <w:p w14:paraId="4DC97F8E" w14:textId="77777777" w:rsidR="00053D93" w:rsidRDefault="00053D93"/>
              </w:tc>
            </w:tr>
            <w:tr w:rsidR="00053D93" w14:paraId="3676AFEC" w14:textId="77777777">
              <w:trPr>
                <w:trHeight w:val="583"/>
              </w:trPr>
              <w:tc>
                <w:tcPr>
                  <w:tcW w:w="7639" w:type="dxa"/>
                  <w:tcBorders>
                    <w:top w:val="single" w:sz="2" w:space="0" w:color="000000"/>
                    <w:left w:val="single" w:sz="2" w:space="0" w:color="000000"/>
                    <w:bottom w:val="nil"/>
                    <w:right w:val="nil"/>
                  </w:tcBorders>
                </w:tcPr>
                <w:p w14:paraId="1C589E25" w14:textId="77777777" w:rsidR="00053D93" w:rsidRDefault="00260B75">
                  <w:pPr>
                    <w:ind w:left="828"/>
                  </w:pPr>
                  <w:r>
                    <w:rPr>
                      <w:sz w:val="14"/>
                    </w:rPr>
                    <w:t>MINISTERIO DE EDUCACION</w:t>
                  </w:r>
                </w:p>
                <w:p w14:paraId="0EB7AD76" w14:textId="77777777" w:rsidR="00053D93" w:rsidRDefault="00260B75">
                  <w:pPr>
                    <w:ind w:left="338"/>
                  </w:pPr>
                  <w:r>
                    <w:rPr>
                      <w:sz w:val="14"/>
                    </w:rPr>
                    <w:t>AUDITORIA FINANCIERA Y OE CUMPLIMIENTO</w:t>
                  </w:r>
                </w:p>
                <w:p w14:paraId="37864E4D" w14:textId="77777777" w:rsidR="00053D93" w:rsidRDefault="00260B75">
                  <w:r>
                    <w:rPr>
                      <w:sz w:val="14"/>
                    </w:rPr>
                    <w:t>PERIODO DEL 01 DE ENERO AL 31 DE DICIEMBRE DE 2024</w:t>
                  </w:r>
                </w:p>
              </w:tc>
            </w:tr>
          </w:tbl>
          <w:p w14:paraId="0247C34F" w14:textId="77777777" w:rsidR="00053D93" w:rsidRDefault="00053D93"/>
        </w:tc>
      </w:tr>
    </w:tbl>
    <w:p w14:paraId="5AC001E6" w14:textId="77777777" w:rsidR="00053D93" w:rsidRDefault="00260B75">
      <w:pPr>
        <w:tabs>
          <w:tab w:val="right" w:pos="10181"/>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reposición de los bienes faltantes, registrados en sus tarjetas de responsabilidad</w:t>
      </w:r>
    </w:p>
    <w:p w14:paraId="1315BBCF" w14:textId="77777777" w:rsidR="00053D93" w:rsidRDefault="00260B75">
      <w:pPr>
        <w:spacing w:line="247" w:lineRule="auto"/>
        <w:ind w:left="14" w:right="14" w:firstLine="1692"/>
        <w:jc w:val="both"/>
      </w:pPr>
      <w:r>
        <w:rPr>
          <w:sz w:val="26"/>
        </w:rPr>
        <w:t xml:space="preserve">Número: 002865, 002866, 002867, 002868, 002869 y 00288, los cuales </w:t>
      </w:r>
      <w:r>
        <w:rPr>
          <w:rFonts w:ascii="Times New Roman" w:eastAsia="Times New Roman" w:hAnsi="Times New Roman" w:cs="Times New Roman"/>
          <w:sz w:val="26"/>
        </w:rPr>
        <w:t xml:space="preserve">1 </w:t>
      </w:r>
      <w:r>
        <w:rPr>
          <w:sz w:val="26"/>
        </w:rPr>
        <w:t>pertenecen a la Dirección General de Educación Física -DIGEF-.</w:t>
      </w:r>
    </w:p>
    <w:p w14:paraId="43D2B337" w14:textId="77777777" w:rsidR="00053D93" w:rsidRDefault="00260B75">
      <w:pPr>
        <w:spacing w:after="252" w:line="248" w:lineRule="auto"/>
        <w:ind w:left="1709" w:hanging="3"/>
        <w:jc w:val="both"/>
      </w:pPr>
      <w:r>
        <w:rPr>
          <w:sz w:val="28"/>
        </w:rPr>
        <w:t>Efecto</w:t>
      </w:r>
    </w:p>
    <w:p w14:paraId="0532159B" w14:textId="77777777" w:rsidR="00053D93" w:rsidRDefault="00260B75">
      <w:pPr>
        <w:spacing w:after="519" w:line="378" w:lineRule="auto"/>
        <w:ind w:left="1684" w:right="14" w:hanging="1670"/>
        <w:jc w:val="both"/>
      </w:pPr>
      <w:r>
        <w:rPr>
          <w:rFonts w:ascii="Times New Roman" w:eastAsia="Times New Roman" w:hAnsi="Times New Roman" w:cs="Times New Roman"/>
          <w:sz w:val="26"/>
        </w:rPr>
        <w:t xml:space="preserve">1 </w:t>
      </w:r>
      <w:r>
        <w:rPr>
          <w:sz w:val="26"/>
        </w:rPr>
        <w:t>Menoscabo en los bienes inventariados de la Dirección General de Educación Física -DIGEF-, por la falta de reposición de los activos fijos.</w:t>
      </w:r>
    </w:p>
    <w:p w14:paraId="6D739FDE" w14:textId="77777777" w:rsidR="00053D93" w:rsidRDefault="00260B75">
      <w:pPr>
        <w:tabs>
          <w:tab w:val="center" w:pos="2596"/>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Recomendación</w:t>
      </w:r>
    </w:p>
    <w:p w14:paraId="07C8E935" w14:textId="77777777" w:rsidR="00053D93" w:rsidRDefault="00260B75">
      <w:pPr>
        <w:spacing w:after="626" w:line="247" w:lineRule="auto"/>
        <w:ind w:left="1714" w:right="14" w:firstLine="4"/>
        <w:jc w:val="both"/>
      </w:pPr>
      <w:r>
        <w:rPr>
          <w:sz w:val="26"/>
        </w:rPr>
        <w:t xml:space="preserve">El Director General de [a Dirección General de Educación Física -DIGEF-, debe girar instrucciones at Coordinador de Recursos Humanos a efecto que, antes de </w:t>
      </w:r>
      <w:r>
        <w:rPr>
          <w:sz w:val="26"/>
        </w:rPr>
        <w:lastRenderedPageBreak/>
        <w:t>emitir el oficio de cese de funciones de cualquier empleado, se solicite la solvencia de Inventarios, esto garantizará que los bienes sean entregados y registrados adecuadamente, antes de que el empleado finalice su relación laboral.</w:t>
      </w:r>
    </w:p>
    <w:p w14:paraId="41A75CE9" w14:textId="77777777" w:rsidR="00053D93" w:rsidRDefault="00260B75">
      <w:pPr>
        <w:tabs>
          <w:tab w:val="center" w:pos="3470"/>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Comentarío de los responsables</w:t>
      </w:r>
    </w:p>
    <w:p w14:paraId="4CA43B7F" w14:textId="77777777" w:rsidR="00053D93" w:rsidRDefault="00260B75">
      <w:pPr>
        <w:spacing w:after="17" w:line="247" w:lineRule="auto"/>
        <w:ind w:left="14" w:right="14" w:firstLine="1721"/>
        <w:jc w:val="both"/>
      </w:pPr>
      <w:r>
        <w:rPr>
          <w:noProof/>
        </w:rPr>
        <mc:AlternateContent>
          <mc:Choice Requires="wpg">
            <w:drawing>
              <wp:anchor distT="0" distB="0" distL="114300" distR="114300" simplePos="0" relativeHeight="251945984" behindDoc="0" locked="0" layoutInCell="1" allowOverlap="1" wp14:anchorId="2992320B" wp14:editId="689691B5">
                <wp:simplePos x="0" y="0"/>
                <wp:positionH relativeFrom="page">
                  <wp:posOffset>1289304</wp:posOffset>
                </wp:positionH>
                <wp:positionV relativeFrom="page">
                  <wp:posOffset>850392</wp:posOffset>
                </wp:positionV>
                <wp:extent cx="5390389" cy="9144"/>
                <wp:effectExtent l="0" t="0" r="0" b="0"/>
                <wp:wrapTopAndBottom/>
                <wp:docPr id="2458324" name="Group 2458324"/>
                <wp:cNvGraphicFramePr/>
                <a:graphic xmlns:a="http://schemas.openxmlformats.org/drawingml/2006/main">
                  <a:graphicData uri="http://schemas.microsoft.com/office/word/2010/wordprocessingGroup">
                    <wpg:wgp>
                      <wpg:cNvGrpSpPr/>
                      <wpg:grpSpPr>
                        <a:xfrm>
                          <a:off x="0" y="0"/>
                          <a:ext cx="5390389" cy="9144"/>
                          <a:chOff x="0" y="0"/>
                          <a:chExt cx="5390389" cy="9144"/>
                        </a:xfrm>
                      </wpg:grpSpPr>
                      <wps:wsp>
                        <wps:cNvPr id="2458323" name="Shape 2458323"/>
                        <wps:cNvSpPr/>
                        <wps:spPr>
                          <a:xfrm>
                            <a:off x="0" y="0"/>
                            <a:ext cx="5390389" cy="9144"/>
                          </a:xfrm>
                          <a:custGeom>
                            <a:avLst/>
                            <a:gdLst/>
                            <a:ahLst/>
                            <a:cxnLst/>
                            <a:rect l="0" t="0" r="0" b="0"/>
                            <a:pathLst>
                              <a:path w="5390389" h="9144">
                                <a:moveTo>
                                  <a:pt x="0" y="4572"/>
                                </a:moveTo>
                                <a:lnTo>
                                  <a:pt x="5390389"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324" style="width:424.44pt;height:0.719994pt;position:absolute;mso-position-horizontal-relative:page;mso-position-horizontal:absolute;margin-left:101.52pt;mso-position-vertical-relative:page;margin-top:66.96pt;" coordsize="53903,91">
                <v:shape id="Shape 2458323" style="position:absolute;width:53903;height:91;left:0;top:0;" coordsize="5390389,9144" path="m0,4572l5390389,4572">
                  <v:stroke weight="0.719994pt" endcap="flat" joinstyle="miter" miterlimit="1" on="true" color="#000000"/>
                  <v:fill on="false" color="#000000"/>
                </v:shape>
                <w10:wrap type="topAndBottom"/>
              </v:group>
            </w:pict>
          </mc:Fallback>
        </mc:AlternateContent>
      </w:r>
      <w:r>
        <w:rPr>
          <w:sz w:val="26"/>
        </w:rPr>
        <w:t xml:space="preserve">En nota s/n del 27 de marzo de 2025, el licenciado Miguel Angel Vielman Martinez, quien fungió como Director a.i., por el período comprendido del 02 de enero de </w:t>
      </w:r>
      <w:r>
        <w:rPr>
          <w:rFonts w:ascii="Times New Roman" w:eastAsia="Times New Roman" w:hAnsi="Times New Roman" w:cs="Times New Roman"/>
          <w:sz w:val="26"/>
        </w:rPr>
        <w:t xml:space="preserve">1 </w:t>
      </w:r>
      <w:r>
        <w:rPr>
          <w:sz w:val="26"/>
        </w:rPr>
        <w:t xml:space="preserve">2013 al 01 de junio de 2019, manifiesta: Tomando en cuenta la información descrita anteriormente, procedí apersonarme a la Escuela Normal Central de educación fisica, para solicitar información correspondiente de los bienes faltantes </w:t>
      </w:r>
      <w:r>
        <w:rPr>
          <w:rFonts w:ascii="Times New Roman" w:eastAsia="Times New Roman" w:hAnsi="Times New Roman" w:cs="Times New Roman"/>
          <w:sz w:val="26"/>
        </w:rPr>
        <w:t xml:space="preserve">1 </w:t>
      </w:r>
      <w:r>
        <w:rPr>
          <w:sz w:val="26"/>
        </w:rPr>
        <w:t xml:space="preserve">físicamente que se mencionan en el hallazgo y me informaron que los bienes descritos no figuraban en el informe ya que cuando practicaron el inventario, no </w:t>
      </w:r>
      <w:r>
        <w:rPr>
          <w:rFonts w:ascii="Times New Roman" w:eastAsia="Times New Roman" w:hAnsi="Times New Roman" w:cs="Times New Roman"/>
          <w:sz w:val="26"/>
        </w:rPr>
        <w:t xml:space="preserve">-1 </w:t>
      </w:r>
      <w:r>
        <w:rPr>
          <w:sz w:val="26"/>
        </w:rPr>
        <w:t xml:space="preserve">tomaron en cuenta una bodega en la cual se encontraban los bienes mencionados. Me informaron que un grupo de trabajadores de la sección de Inventarios de la Coordinación Financiera de la Dirección General de Educación </w:t>
      </w:r>
      <w:r>
        <w:rPr>
          <w:rFonts w:ascii="Times New Roman" w:eastAsia="Times New Roman" w:hAnsi="Times New Roman" w:cs="Times New Roman"/>
          <w:sz w:val="26"/>
        </w:rPr>
        <w:t xml:space="preserve">1 </w:t>
      </w:r>
      <w:r>
        <w:rPr>
          <w:sz w:val="26"/>
        </w:rPr>
        <w:t xml:space="preserve">Física DIGEF, practicaron un inventario minusioso en las fechas del 30/01/2025 al </w:t>
      </w:r>
      <w:r>
        <w:rPr>
          <w:noProof/>
        </w:rPr>
        <w:drawing>
          <wp:inline distT="0" distB="0" distL="0" distR="0" wp14:anchorId="7360B20E" wp14:editId="5F9BB31A">
            <wp:extent cx="4572" cy="9143"/>
            <wp:effectExtent l="0" t="0" r="0" b="0"/>
            <wp:docPr id="359100" name="Picture 359100"/>
            <wp:cNvGraphicFramePr/>
            <a:graphic xmlns:a="http://schemas.openxmlformats.org/drawingml/2006/main">
              <a:graphicData uri="http://schemas.openxmlformats.org/drawingml/2006/picture">
                <pic:pic xmlns:pic="http://schemas.openxmlformats.org/drawingml/2006/picture">
                  <pic:nvPicPr>
                    <pic:cNvPr id="359100" name="Picture 359100"/>
                    <pic:cNvPicPr/>
                  </pic:nvPicPr>
                  <pic:blipFill>
                    <a:blip r:embed="rId24"/>
                    <a:stretch>
                      <a:fillRect/>
                    </a:stretch>
                  </pic:blipFill>
                  <pic:spPr>
                    <a:xfrm>
                      <a:off x="0" y="0"/>
                      <a:ext cx="4572" cy="9143"/>
                    </a:xfrm>
                    <a:prstGeom prst="rect">
                      <a:avLst/>
                    </a:prstGeom>
                  </pic:spPr>
                </pic:pic>
              </a:graphicData>
            </a:graphic>
          </wp:inline>
        </w:drawing>
      </w:r>
      <w:r>
        <w:rPr>
          <w:sz w:val="26"/>
        </w:rPr>
        <w:t xml:space="preserve"> 28/02/2025 donde si se incluyó la bodega antes mencionada y se procedió a contabilizar dichos bienes faltantes en el informe anterior. Estuve a espera que la </w:t>
      </w:r>
      <w:r>
        <w:rPr>
          <w:rFonts w:ascii="Times New Roman" w:eastAsia="Times New Roman" w:hAnsi="Times New Roman" w:cs="Times New Roman"/>
          <w:sz w:val="26"/>
        </w:rPr>
        <w:t xml:space="preserve">1 </w:t>
      </w:r>
      <w:r>
        <w:rPr>
          <w:sz w:val="26"/>
        </w:rPr>
        <w:t xml:space="preserve">Dirección General de Educación Física enviara el expediente del último informe del inventario físico de bienes practicado en la Escuela Normal Central de </w:t>
      </w:r>
      <w:r>
        <w:rPr>
          <w:rFonts w:ascii="Times New Roman" w:eastAsia="Times New Roman" w:hAnsi="Times New Roman" w:cs="Times New Roman"/>
          <w:sz w:val="26"/>
        </w:rPr>
        <w:t xml:space="preserve">-1 </w:t>
      </w:r>
      <w:r>
        <w:rPr>
          <w:sz w:val="26"/>
        </w:rPr>
        <w:t xml:space="preserve">Educación Física y es hasta [a fecha de hoy que ese informe no se entrega en la mencionada institución. A raíz de lo anterior, procedí a solicitar de forma escrita, al Director en funciones de la Escuela Normal Central de Educación Física, Profesor </w:t>
      </w:r>
      <w:r>
        <w:rPr>
          <w:rFonts w:ascii="Times New Roman" w:eastAsia="Times New Roman" w:hAnsi="Times New Roman" w:cs="Times New Roman"/>
          <w:sz w:val="26"/>
        </w:rPr>
        <w:t xml:space="preserve">1 </w:t>
      </w:r>
      <w:r>
        <w:rPr>
          <w:sz w:val="26"/>
        </w:rPr>
        <w:t xml:space="preserve">Hector Manolo Manrique Flores, me facilitaran una copia del resultado de la última toma de inventario realizado por parte de DIGEF... a lo que tuvo a bien </w:t>
      </w:r>
      <w:r>
        <w:rPr>
          <w:rFonts w:ascii="Times New Roman" w:eastAsia="Times New Roman" w:hAnsi="Times New Roman" w:cs="Times New Roman"/>
          <w:sz w:val="26"/>
        </w:rPr>
        <w:t xml:space="preserve">-1 </w:t>
      </w:r>
      <w:r>
        <w:rPr>
          <w:sz w:val="26"/>
        </w:rPr>
        <w:t xml:space="preserve">responderme por medio del Oficio No. 023-2025 Ref. HMMF-wcrb de fecha 27 de marzo de 2025, que aun estan a la espera que les entreguen el informe por parte de la unidad ejecutora del inventario solicitado... Cabe mencionar que, al </w:t>
      </w:r>
      <w:r>
        <w:rPr>
          <w:rFonts w:ascii="Times New Roman" w:eastAsia="Times New Roman" w:hAnsi="Times New Roman" w:cs="Times New Roman"/>
          <w:sz w:val="26"/>
        </w:rPr>
        <w:t xml:space="preserve">1 </w:t>
      </w:r>
      <w:r>
        <w:rPr>
          <w:sz w:val="26"/>
        </w:rPr>
        <w:t xml:space="preserve">momento de presentar mi renuncia, se procedió a solicitar a la Unidad de Inventarios de la DIGEF, levantara un inventario general de [os bienes asignados a mis tarjetas de responsabilidad, al cual durante su práctica no hacía falta ningún </w:t>
      </w:r>
      <w:r>
        <w:rPr>
          <w:rFonts w:ascii="Times New Roman" w:eastAsia="Times New Roman" w:hAnsi="Times New Roman" w:cs="Times New Roman"/>
          <w:sz w:val="26"/>
        </w:rPr>
        <w:t xml:space="preserve">1 </w:t>
      </w:r>
      <w:r>
        <w:rPr>
          <w:sz w:val="26"/>
        </w:rPr>
        <w:t>bien de los que se menciona en el Informe de Cargos Provisional No.</w:t>
      </w:r>
    </w:p>
    <w:tbl>
      <w:tblPr>
        <w:tblStyle w:val="TableGrid"/>
        <w:tblW w:w="9439" w:type="dxa"/>
        <w:tblInd w:w="749" w:type="dxa"/>
        <w:tblLook w:val="04A0" w:firstRow="1" w:lastRow="0" w:firstColumn="1" w:lastColumn="0" w:noHBand="0" w:noVBand="1"/>
      </w:tblPr>
      <w:tblGrid>
        <w:gridCol w:w="1771"/>
        <w:gridCol w:w="10513"/>
      </w:tblGrid>
      <w:tr w:rsidR="00053D93" w14:paraId="1CBDEC0C" w14:textId="77777777">
        <w:trPr>
          <w:trHeight w:val="641"/>
        </w:trPr>
        <w:tc>
          <w:tcPr>
            <w:tcW w:w="1788" w:type="dxa"/>
            <w:tcBorders>
              <w:top w:val="nil"/>
              <w:left w:val="nil"/>
              <w:bottom w:val="nil"/>
              <w:right w:val="nil"/>
            </w:tcBorders>
          </w:tcPr>
          <w:p w14:paraId="538B63B5" w14:textId="77777777" w:rsidR="00053D93" w:rsidRDefault="00260B75">
            <w:r>
              <w:rPr>
                <w:noProof/>
              </w:rPr>
              <w:drawing>
                <wp:inline distT="0" distB="0" distL="0" distR="0" wp14:anchorId="7332DB90" wp14:editId="011E0B78">
                  <wp:extent cx="1124712" cy="406908"/>
                  <wp:effectExtent l="0" t="0" r="0" b="0"/>
                  <wp:docPr id="359175" name="Picture 359175"/>
                  <wp:cNvGraphicFramePr/>
                  <a:graphic xmlns:a="http://schemas.openxmlformats.org/drawingml/2006/main">
                    <a:graphicData uri="http://schemas.openxmlformats.org/drawingml/2006/picture">
                      <pic:pic xmlns:pic="http://schemas.openxmlformats.org/drawingml/2006/picture">
                        <pic:nvPicPr>
                          <pic:cNvPr id="359175" name="Picture 359175"/>
                          <pic:cNvPicPr/>
                        </pic:nvPicPr>
                        <pic:blipFill>
                          <a:blip r:embed="rId604"/>
                          <a:stretch>
                            <a:fillRect/>
                          </a:stretch>
                        </pic:blipFill>
                        <pic:spPr>
                          <a:xfrm>
                            <a:off x="0" y="0"/>
                            <a:ext cx="1124712" cy="406908"/>
                          </a:xfrm>
                          <a:prstGeom prst="rect">
                            <a:avLst/>
                          </a:prstGeom>
                        </pic:spPr>
                      </pic:pic>
                    </a:graphicData>
                  </a:graphic>
                </wp:inline>
              </w:drawing>
            </w:r>
          </w:p>
        </w:tc>
        <w:tc>
          <w:tcPr>
            <w:tcW w:w="7651" w:type="dxa"/>
            <w:tcBorders>
              <w:top w:val="nil"/>
              <w:left w:val="nil"/>
              <w:bottom w:val="nil"/>
              <w:right w:val="nil"/>
            </w:tcBorders>
          </w:tcPr>
          <w:p w14:paraId="257CF82A" w14:textId="77777777" w:rsidR="00053D93" w:rsidRDefault="00053D93">
            <w:pPr>
              <w:ind w:left="-2861" w:right="10512"/>
            </w:pPr>
          </w:p>
          <w:tbl>
            <w:tblPr>
              <w:tblStyle w:val="TableGrid"/>
              <w:tblW w:w="7635" w:type="dxa"/>
              <w:tblInd w:w="17" w:type="dxa"/>
              <w:tblCellMar>
                <w:top w:w="35" w:type="dxa"/>
                <w:left w:w="1745" w:type="dxa"/>
                <w:right w:w="115" w:type="dxa"/>
              </w:tblCellMar>
              <w:tblLook w:val="04A0" w:firstRow="1" w:lastRow="0" w:firstColumn="1" w:lastColumn="0" w:noHBand="0" w:noVBand="1"/>
            </w:tblPr>
            <w:tblGrid>
              <w:gridCol w:w="7635"/>
            </w:tblGrid>
            <w:tr w:rsidR="00053D93" w14:paraId="7DBD732C" w14:textId="77777777">
              <w:trPr>
                <w:trHeight w:val="36"/>
              </w:trPr>
              <w:tc>
                <w:tcPr>
                  <w:tcW w:w="7635" w:type="dxa"/>
                  <w:tcBorders>
                    <w:top w:val="nil"/>
                    <w:left w:val="single" w:sz="2" w:space="0" w:color="000000"/>
                    <w:bottom w:val="single" w:sz="2" w:space="0" w:color="000000"/>
                    <w:right w:val="nil"/>
                  </w:tcBorders>
                </w:tcPr>
                <w:p w14:paraId="46491BD4" w14:textId="77777777" w:rsidR="00053D93" w:rsidRDefault="00053D93"/>
              </w:tc>
            </w:tr>
            <w:tr w:rsidR="00053D93" w14:paraId="74F04094" w14:textId="77777777">
              <w:trPr>
                <w:trHeight w:val="598"/>
              </w:trPr>
              <w:tc>
                <w:tcPr>
                  <w:tcW w:w="7635" w:type="dxa"/>
                  <w:tcBorders>
                    <w:top w:val="single" w:sz="2" w:space="0" w:color="000000"/>
                    <w:left w:val="single" w:sz="2" w:space="0" w:color="000000"/>
                    <w:bottom w:val="nil"/>
                    <w:right w:val="nil"/>
                  </w:tcBorders>
                </w:tcPr>
                <w:p w14:paraId="67F8530C" w14:textId="77777777" w:rsidR="00053D93" w:rsidRDefault="00260B75">
                  <w:pPr>
                    <w:ind w:left="835"/>
                  </w:pPr>
                  <w:r>
                    <w:rPr>
                      <w:sz w:val="14"/>
                    </w:rPr>
                    <w:t>MINISTERIO DE EDUCACION</w:t>
                  </w:r>
                </w:p>
                <w:p w14:paraId="3C96DB23" w14:textId="77777777" w:rsidR="00053D93" w:rsidRDefault="00260B75">
                  <w:pPr>
                    <w:ind w:left="338"/>
                  </w:pPr>
                  <w:r>
                    <w:rPr>
                      <w:sz w:val="14"/>
                    </w:rPr>
                    <w:t>AUDITORIA FINANCIERA Y DE CUMPLIMIENTO</w:t>
                  </w:r>
                </w:p>
                <w:p w14:paraId="02619726" w14:textId="77777777" w:rsidR="00053D93" w:rsidRDefault="00260B75">
                  <w:r>
                    <w:rPr>
                      <w:sz w:val="14"/>
                    </w:rPr>
                    <w:t>PERÍODO DEL 01 OE ENERO AL 31 DE DICIEMBRE DE 2024</w:t>
                  </w:r>
                </w:p>
              </w:tc>
            </w:tr>
          </w:tbl>
          <w:p w14:paraId="3FEA5B50" w14:textId="77777777" w:rsidR="00053D93" w:rsidRDefault="00053D93"/>
        </w:tc>
      </w:tr>
    </w:tbl>
    <w:p w14:paraId="3D1555FC" w14:textId="77777777" w:rsidR="00053D93" w:rsidRDefault="00053D93">
      <w:pPr>
        <w:sectPr w:rsidR="00053D93">
          <w:type w:val="continuous"/>
          <w:pgSz w:w="12290" w:h="15883"/>
          <w:pgMar w:top="1382" w:right="1786" w:bottom="677" w:left="324" w:header="720" w:footer="720" w:gutter="0"/>
          <w:cols w:space="720"/>
        </w:sectPr>
      </w:pPr>
    </w:p>
    <w:p w14:paraId="76908547" w14:textId="77777777" w:rsidR="00053D93" w:rsidRDefault="00260B75">
      <w:pPr>
        <w:spacing w:after="47"/>
        <w:ind w:left="1699"/>
      </w:pPr>
      <w:r>
        <w:rPr>
          <w:noProof/>
        </w:rPr>
        <w:lastRenderedPageBreak/>
        <mc:AlternateContent>
          <mc:Choice Requires="wpg">
            <w:drawing>
              <wp:inline distT="0" distB="0" distL="0" distR="0" wp14:anchorId="78AA9A49" wp14:editId="43EDDC5B">
                <wp:extent cx="5381245" cy="9144"/>
                <wp:effectExtent l="0" t="0" r="0" b="0"/>
                <wp:docPr id="2458326" name="Group 2458326"/>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325" name="Shape 2458325"/>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26" style="width:423.72pt;height:0.720001pt;mso-position-horizontal-relative:char;mso-position-vertical-relative:line" coordsize="53812,91">
                <v:shape id="Shape 2458325" style="position:absolute;width:53812;height:91;left:0;top:0;" coordsize="5381245,9144" path="m0,4572l5381245,4572">
                  <v:stroke weight="0.720001pt" endcap="flat" joinstyle="miter" miterlimit="1" on="true" color="#000000"/>
                  <v:fill on="false" color="#000000"/>
                </v:shape>
              </v:group>
            </w:pict>
          </mc:Fallback>
        </mc:AlternateContent>
      </w:r>
    </w:p>
    <w:tbl>
      <w:tblPr>
        <w:tblStyle w:val="TableGrid"/>
        <w:tblpPr w:vertAnchor="page" w:horzAnchor="page" w:tblpX="2866" w:tblpY="14544"/>
        <w:tblOverlap w:val="never"/>
        <w:tblW w:w="7632" w:type="dxa"/>
        <w:tblInd w:w="0" w:type="dxa"/>
        <w:tblCellMar>
          <w:top w:w="53" w:type="dxa"/>
          <w:left w:w="1750" w:type="dxa"/>
          <w:right w:w="115" w:type="dxa"/>
        </w:tblCellMar>
        <w:tblLook w:val="04A0" w:firstRow="1" w:lastRow="0" w:firstColumn="1" w:lastColumn="0" w:noHBand="0" w:noVBand="1"/>
      </w:tblPr>
      <w:tblGrid>
        <w:gridCol w:w="7632"/>
      </w:tblGrid>
      <w:tr w:rsidR="00053D93" w14:paraId="76C1EDB1" w14:textId="77777777">
        <w:trPr>
          <w:trHeight w:val="33"/>
        </w:trPr>
        <w:tc>
          <w:tcPr>
            <w:tcW w:w="7632" w:type="dxa"/>
            <w:tcBorders>
              <w:top w:val="nil"/>
              <w:left w:val="single" w:sz="2" w:space="0" w:color="000000"/>
              <w:bottom w:val="single" w:sz="2" w:space="0" w:color="000000"/>
              <w:right w:val="nil"/>
            </w:tcBorders>
          </w:tcPr>
          <w:p w14:paraId="2155E1BE" w14:textId="77777777" w:rsidR="00053D93" w:rsidRDefault="00053D93"/>
        </w:tc>
      </w:tr>
      <w:tr w:rsidR="00053D93" w14:paraId="595260A4" w14:textId="77777777">
        <w:trPr>
          <w:trHeight w:val="600"/>
        </w:trPr>
        <w:tc>
          <w:tcPr>
            <w:tcW w:w="7632" w:type="dxa"/>
            <w:tcBorders>
              <w:top w:val="single" w:sz="2" w:space="0" w:color="000000"/>
              <w:left w:val="single" w:sz="2" w:space="0" w:color="000000"/>
              <w:bottom w:val="nil"/>
              <w:right w:val="nil"/>
            </w:tcBorders>
          </w:tcPr>
          <w:p w14:paraId="08C89DEF" w14:textId="77777777" w:rsidR="00053D93" w:rsidRDefault="00260B75">
            <w:pPr>
              <w:ind w:left="828"/>
            </w:pPr>
            <w:r>
              <w:rPr>
                <w:sz w:val="14"/>
              </w:rPr>
              <w:lastRenderedPageBreak/>
              <w:t>MINISTERIO DE EDUCACION</w:t>
            </w:r>
          </w:p>
          <w:p w14:paraId="135F8C67" w14:textId="77777777" w:rsidR="00053D93" w:rsidRDefault="00260B75">
            <w:pPr>
              <w:ind w:left="338"/>
            </w:pPr>
            <w:r>
              <w:rPr>
                <w:sz w:val="14"/>
              </w:rPr>
              <w:t>AUDITORIA FINANCIERA Y DE CUMPLIMIENTO</w:t>
            </w:r>
          </w:p>
          <w:p w14:paraId="539A1632" w14:textId="77777777" w:rsidR="00053D93" w:rsidRDefault="00260B75">
            <w:r>
              <w:rPr>
                <w:sz w:val="14"/>
              </w:rPr>
              <w:t>PERIODO DEL 01 DE ENERO AL 31 DICIEMBRE OE 2024</w:t>
            </w:r>
          </w:p>
        </w:tc>
      </w:tr>
    </w:tbl>
    <w:p w14:paraId="485263AC" w14:textId="77777777" w:rsidR="00053D93" w:rsidRDefault="00260B75">
      <w:pPr>
        <w:spacing w:after="218" w:line="247" w:lineRule="auto"/>
        <w:ind w:left="14" w:right="14" w:firstLine="4"/>
        <w:jc w:val="both"/>
      </w:pPr>
      <w:r>
        <w:rPr>
          <w:noProof/>
        </w:rPr>
        <w:drawing>
          <wp:anchor distT="0" distB="0" distL="114300" distR="114300" simplePos="0" relativeHeight="251947008" behindDoc="0" locked="0" layoutInCell="1" allowOverlap="0" wp14:anchorId="172B5B6A" wp14:editId="755EA881">
            <wp:simplePos x="0" y="0"/>
            <wp:positionH relativeFrom="page">
              <wp:posOffset>681228</wp:posOffset>
            </wp:positionH>
            <wp:positionV relativeFrom="page">
              <wp:posOffset>9235440</wp:posOffset>
            </wp:positionV>
            <wp:extent cx="1115568" cy="406908"/>
            <wp:effectExtent l="0" t="0" r="0" b="0"/>
            <wp:wrapTopAndBottom/>
            <wp:docPr id="363296" name="Picture 363296"/>
            <wp:cNvGraphicFramePr/>
            <a:graphic xmlns:a="http://schemas.openxmlformats.org/drawingml/2006/main">
              <a:graphicData uri="http://schemas.openxmlformats.org/drawingml/2006/picture">
                <pic:pic xmlns:pic="http://schemas.openxmlformats.org/drawingml/2006/picture">
                  <pic:nvPicPr>
                    <pic:cNvPr id="363296" name="Picture 363296"/>
                    <pic:cNvPicPr/>
                  </pic:nvPicPr>
                  <pic:blipFill>
                    <a:blip r:embed="rId605"/>
                    <a:stretch>
                      <a:fillRect/>
                    </a:stretch>
                  </pic:blipFill>
                  <pic:spPr>
                    <a:xfrm>
                      <a:off x="0" y="0"/>
                      <a:ext cx="1115568" cy="406908"/>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DAS-03-003-2025, puesto que el equipo de cómputo era utilizado dentro del laboratorio de computación para impartir clases a los estudiantes, como también equipo que se estaba utilizando para el área administrativa. En ese periodo no gestione mi finiquito, ya que si existía un faltante de 3 Mouse y la Marimba, ya que esta última fue entregada en calidad de préstamo al Licenciado Carlos Aguilar, </w:t>
      </w:r>
      <w:r>
        <w:rPr>
          <w:rFonts w:ascii="Times New Roman" w:eastAsia="Times New Roman" w:hAnsi="Times New Roman" w:cs="Times New Roman"/>
          <w:sz w:val="26"/>
        </w:rPr>
        <w:t xml:space="preserve">1 </w:t>
      </w:r>
      <w:r>
        <w:rPr>
          <w:sz w:val="26"/>
        </w:rPr>
        <w:t xml:space="preserve">que en ese entonces era Subdirector de DIGEF, la cual se utilizaría en un evento llamado Ensamble de Marimbas, actividad organizada por el MINEDUC. De antemano afirmo que fue error de mi parte, no darle seguimiento al retorno de dicha marimba a las instalaciones de la Escuela Normal Central de Educación Física ENCEF, quedandose resguardada en las instalaciones de DIGEF, por tal </w:t>
      </w:r>
      <w:r>
        <w:rPr>
          <w:rFonts w:ascii="Times New Roman" w:eastAsia="Times New Roman" w:hAnsi="Times New Roman" w:cs="Times New Roman"/>
          <w:sz w:val="26"/>
        </w:rPr>
        <w:t xml:space="preserve">1 </w:t>
      </w:r>
      <w:r>
        <w:rPr>
          <w:sz w:val="26"/>
        </w:rPr>
        <w:t xml:space="preserve">razón, la Marimba no se encuentra en instalaciones de la ENCEF, pero si esta en DIGEF. Sin embargo, observo que el informe de Cargos Provisional menciona que no se efectuó la reposición correspondiente de los activos fijos registrados, a lo </w:t>
      </w:r>
      <w:r>
        <w:rPr>
          <w:rFonts w:ascii="Times New Roman" w:eastAsia="Times New Roman" w:hAnsi="Times New Roman" w:cs="Times New Roman"/>
          <w:sz w:val="26"/>
        </w:rPr>
        <w:t xml:space="preserve">1 </w:t>
      </w:r>
      <w:r>
        <w:rPr>
          <w:sz w:val="26"/>
        </w:rPr>
        <w:t xml:space="preserve">que considero fuera de lugar ya que el afirmar eso, es como decir que los estudiantes y el área administrativa se quedó sin equipo de cómputo para trabajar y para recibir clases a Io que nunca existió tal afirmación ya que el estudiantado </w:t>
      </w:r>
      <w:r>
        <w:rPr>
          <w:rFonts w:ascii="Times New Roman" w:eastAsia="Times New Roman" w:hAnsi="Times New Roman" w:cs="Times New Roman"/>
          <w:sz w:val="26"/>
        </w:rPr>
        <w:t xml:space="preserve">-1 </w:t>
      </w:r>
      <w:r>
        <w:rPr>
          <w:sz w:val="26"/>
        </w:rPr>
        <w:t xml:space="preserve">recibió clases normales y el área administrativa siguió trabajando como cotidianamente se hacia. Puedo observar que se menciona que [a Directora trato de comunicarse con mi persona por medio de cedulas, pero las veces que recibí algún oficio, era cuando mi persona llegaba a la Escuela, ya que las relaciones con el personal docente, administrativo y estudiantado, quedo en buenos términos </w:t>
      </w:r>
      <w:r>
        <w:rPr>
          <w:noProof/>
        </w:rPr>
        <mc:AlternateContent>
          <mc:Choice Requires="wpg">
            <w:drawing>
              <wp:inline distT="0" distB="0" distL="0" distR="0" wp14:anchorId="4B734324" wp14:editId="1FE393AC">
                <wp:extent cx="146304" cy="292608"/>
                <wp:effectExtent l="0" t="0" r="0" b="0"/>
                <wp:docPr id="2455435" name="Group 2455435"/>
                <wp:cNvGraphicFramePr/>
                <a:graphic xmlns:a="http://schemas.openxmlformats.org/drawingml/2006/main">
                  <a:graphicData uri="http://schemas.microsoft.com/office/word/2010/wordprocessingGroup">
                    <wpg:wgp>
                      <wpg:cNvGrpSpPr/>
                      <wpg:grpSpPr>
                        <a:xfrm>
                          <a:off x="0" y="0"/>
                          <a:ext cx="146304" cy="292608"/>
                          <a:chOff x="0" y="0"/>
                          <a:chExt cx="146304" cy="292608"/>
                        </a:xfrm>
                      </wpg:grpSpPr>
                      <wps:wsp>
                        <wps:cNvPr id="359817" name="Rectangle 359817"/>
                        <wps:cNvSpPr/>
                        <wps:spPr>
                          <a:xfrm>
                            <a:off x="0" y="0"/>
                            <a:ext cx="194584" cy="389169"/>
                          </a:xfrm>
                          <a:prstGeom prst="rect">
                            <a:avLst/>
                          </a:prstGeom>
                          <a:ln>
                            <a:noFill/>
                          </a:ln>
                        </wps:spPr>
                        <wps:txbx>
                          <w:txbxContent>
                            <w:p w14:paraId="0BE63B9A" w14:textId="77777777" w:rsidR="00053D93" w:rsidRDefault="00260B75">
                              <w:r>
                                <w:rPr>
                                  <w:rFonts w:ascii="Times New Roman" w:eastAsia="Times New Roman" w:hAnsi="Times New Roman" w:cs="Times New Roman"/>
                                  <w:sz w:val="88"/>
                                </w:rPr>
                                <w:t>1</w:t>
                              </w:r>
                            </w:p>
                          </w:txbxContent>
                        </wps:txbx>
                        <wps:bodyPr horzOverflow="overflow" vert="horz" lIns="0" tIns="0" rIns="0" bIns="0" rtlCol="0">
                          <a:noAutofit/>
                        </wps:bodyPr>
                      </wps:wsp>
                    </wpg:wgp>
                  </a:graphicData>
                </a:graphic>
              </wp:inline>
            </w:drawing>
          </mc:Choice>
          <mc:Fallback>
            <w:pict>
              <v:group w14:anchorId="4B734324" id="Group 2455435" o:spid="_x0000_s1273" style="width:11.5pt;height:23.05pt;mso-position-horizontal-relative:char;mso-position-vertical-relative:line" coordsize="14630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">
                <v:rect id="Rectangle 359817" o:spid="_x0000_s1274" style="position:absolute;width:194584;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" filled="f" stroked="f">
                  <v:textbox inset="0,0,0,0">
                    <w:txbxContent>
                      <w:p w14:paraId="0BE63B9A" w14:textId="77777777" w:rsidR="00053D93" w:rsidRDefault="00260B75">
                        <w:r>
                          <w:rPr>
                            <w:rFonts w:ascii="Times New Roman" w:eastAsia="Times New Roman" w:hAnsi="Times New Roman" w:cs="Times New Roman"/>
                            <w:sz w:val="88"/>
                          </w:rPr>
                          <w:t>1</w:t>
                        </w:r>
                      </w:p>
                    </w:txbxContent>
                  </v:textbox>
                </v:rect>
                <w10:anchorlock/>
              </v:group>
            </w:pict>
          </mc:Fallback>
        </mc:AlternateContent>
      </w:r>
      <w:r>
        <w:rPr>
          <w:sz w:val="26"/>
        </w:rPr>
        <w:t xml:space="preserve"> y siempre he visitado dicha institución y es ahora que me sorprende el enterarme que existen varios oficios o en su defecto actas donde indican que no llegaba a las citaciones de las cuales yo desconocía en su totalidad. Tomando como </w:t>
      </w:r>
      <w:r>
        <w:rPr>
          <w:rFonts w:ascii="Times New Roman" w:eastAsia="Times New Roman" w:hAnsi="Times New Roman" w:cs="Times New Roman"/>
          <w:sz w:val="26"/>
        </w:rPr>
        <w:t xml:space="preserve">-1 </w:t>
      </w:r>
      <w:r>
        <w:rPr>
          <w:sz w:val="26"/>
        </w:rPr>
        <w:t xml:space="preserve">antecedente lo descrito anteriormente, puedo agregar que sigo a la espera del informe del inventario físico por parte de la Sección de Inventarios de DIGEF, ya </w:t>
      </w:r>
      <w:r>
        <w:rPr>
          <w:rFonts w:ascii="Times New Roman" w:eastAsia="Times New Roman" w:hAnsi="Times New Roman" w:cs="Times New Roman"/>
          <w:sz w:val="26"/>
        </w:rPr>
        <w:t xml:space="preserve">-1 </w:t>
      </w:r>
      <w:r>
        <w:rPr>
          <w:sz w:val="26"/>
        </w:rPr>
        <w:t>que son los que en este momento pueden validar que dichos bienes si se encuentran en la Escuela Normal Central de Educación Física y asi proceder a desvanecer dicho hallazgo... "</w:t>
      </w:r>
    </w:p>
    <w:p w14:paraId="1BC68D23" w14:textId="77777777" w:rsidR="00053D93" w:rsidRDefault="00260B75">
      <w:pPr>
        <w:pStyle w:val="Ttulo3"/>
        <w:spacing w:after="0" w:line="259" w:lineRule="auto"/>
        <w:ind w:left="24" w:right="0"/>
        <w:jc w:val="left"/>
      </w:pPr>
      <w:r>
        <w:rPr>
          <w:rFonts w:ascii="Times New Roman" w:eastAsia="Times New Roman" w:hAnsi="Times New Roman" w:cs="Times New Roman"/>
          <w:sz w:val="36"/>
        </w:rPr>
        <w:t>-1</w:t>
      </w:r>
    </w:p>
    <w:p w14:paraId="2B212E6A" w14:textId="77777777" w:rsidR="00053D93" w:rsidRDefault="00260B75">
      <w:pPr>
        <w:spacing w:after="18" w:line="248" w:lineRule="auto"/>
        <w:ind w:left="1709" w:hanging="3"/>
        <w:jc w:val="both"/>
      </w:pPr>
      <w:r>
        <w:rPr>
          <w:sz w:val="28"/>
        </w:rPr>
        <w:t>Comentario de auditoría</w:t>
      </w:r>
    </w:p>
    <w:p w14:paraId="32FE62EA" w14:textId="77777777" w:rsidR="00053D93" w:rsidRDefault="00260B75">
      <w:pPr>
        <w:spacing w:after="17" w:line="247" w:lineRule="auto"/>
        <w:ind w:left="14" w:right="14" w:firstLine="4"/>
        <w:jc w:val="both"/>
      </w:pPr>
      <w:r>
        <w:rPr>
          <w:sz w:val="26"/>
        </w:rPr>
        <w:t xml:space="preserve">Se confirma el hallazgo, para el licenciado Miguel Angel Vielman Martinez, quien </w:t>
      </w:r>
      <w:r>
        <w:rPr>
          <w:rFonts w:ascii="Times New Roman" w:eastAsia="Times New Roman" w:hAnsi="Times New Roman" w:cs="Times New Roman"/>
          <w:sz w:val="26"/>
        </w:rPr>
        <w:t xml:space="preserve">-1 </w:t>
      </w:r>
      <w:r>
        <w:rPr>
          <w:sz w:val="26"/>
        </w:rPr>
        <w:t xml:space="preserve">fungió como Director a.i., durante el período comprendido del 02 de enero de 2013 al 01 de junio de 2019, en virtud que las pruebas presentadas no son suficientes, a pesar que, el responsable manifiesta que los bienes descritos en el presente hallazgo, se encuentran en una bodega de la Escuela Normal Central de Educación Física, la cual no había sido tomada en cuenta en inventarios </w:t>
      </w:r>
      <w:r>
        <w:rPr>
          <w:rFonts w:ascii="Times New Roman" w:eastAsia="Times New Roman" w:hAnsi="Times New Roman" w:cs="Times New Roman"/>
          <w:sz w:val="26"/>
        </w:rPr>
        <w:t xml:space="preserve">-1 </w:t>
      </w:r>
      <w:r>
        <w:rPr>
          <w:sz w:val="26"/>
        </w:rPr>
        <w:t xml:space="preserve">realizados anteriormente y que la Sección de Inventarios de 'a Dirección General de Educación Física -DIGEF-, realizó un inventario minucioso del 30 de enero al </w:t>
      </w:r>
      <w:r>
        <w:rPr>
          <w:rFonts w:ascii="Times New Roman" w:eastAsia="Times New Roman" w:hAnsi="Times New Roman" w:cs="Times New Roman"/>
          <w:sz w:val="26"/>
        </w:rPr>
        <w:t xml:space="preserve">-1 </w:t>
      </w:r>
      <w:r>
        <w:rPr>
          <w:sz w:val="26"/>
        </w:rPr>
        <w:t xml:space="preserve">28 de febrero de 2025, en la cual incluyó dicha bodega en donde el responsable afirma que se encuentran los bienes faltantes; sin </w:t>
      </w:r>
      <w:r>
        <w:rPr>
          <w:sz w:val="26"/>
        </w:rPr>
        <w:lastRenderedPageBreak/>
        <w:t xml:space="preserve">embargo, no se proporcionó evidencia que demostrara la afirmación sobre la existencia de dicha bodega que </w:t>
      </w:r>
      <w:r>
        <w:rPr>
          <w:rFonts w:ascii="Times New Roman" w:eastAsia="Times New Roman" w:hAnsi="Times New Roman" w:cs="Times New Roman"/>
          <w:sz w:val="26"/>
        </w:rPr>
        <w:t xml:space="preserve">-1 </w:t>
      </w:r>
      <w:r>
        <w:rPr>
          <w:sz w:val="26"/>
        </w:rPr>
        <w:t>no había sido incluida para la verificación física de los activos fijos, así como</w:t>
      </w:r>
    </w:p>
    <w:p w14:paraId="64256CA5" w14:textId="77777777" w:rsidR="00053D93" w:rsidRDefault="00260B75">
      <w:pPr>
        <w:spacing w:after="178" w:line="265" w:lineRule="auto"/>
        <w:ind w:left="1846" w:right="158" w:hanging="10"/>
        <w:jc w:val="center"/>
      </w:pPr>
      <w:r>
        <w:rPr>
          <w:rFonts w:ascii="Times New Roman" w:eastAsia="Times New Roman" w:hAnsi="Times New Roman" w:cs="Times New Roman"/>
          <w:sz w:val="14"/>
        </w:rPr>
        <w:t>75</w:t>
      </w:r>
    </w:p>
    <w:p w14:paraId="0AC5D448" w14:textId="77777777" w:rsidR="00053D93" w:rsidRDefault="00260B75">
      <w:pPr>
        <w:spacing w:after="47"/>
        <w:ind w:left="1699" w:right="-7"/>
      </w:pPr>
      <w:r>
        <w:rPr>
          <w:noProof/>
        </w:rPr>
        <mc:AlternateContent>
          <mc:Choice Requires="wpg">
            <w:drawing>
              <wp:inline distT="0" distB="0" distL="0" distR="0" wp14:anchorId="78A4EDEB" wp14:editId="6A4858AA">
                <wp:extent cx="5385816" cy="9144"/>
                <wp:effectExtent l="0" t="0" r="0" b="0"/>
                <wp:docPr id="2458330" name="Group 2458330"/>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329" name="Shape 2458329"/>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30" style="width:424.08pt;height:0.719994pt;mso-position-horizontal-relative:char;mso-position-vertical-relative:line" coordsize="53858,91">
                <v:shape id="Shape 2458329" style="position:absolute;width:53858;height:91;left:0;top:0;" coordsize="5385816,9144" path="m0,4572l5385816,4572">
                  <v:stroke weight="0.719994pt" endcap="flat" joinstyle="miter" miterlimit="1" on="true" color="#000000"/>
                  <v:fill on="false" color="#000000"/>
                </v:shape>
              </v:group>
            </w:pict>
          </mc:Fallback>
        </mc:AlternateContent>
      </w:r>
    </w:p>
    <w:p w14:paraId="626D7591" w14:textId="77777777" w:rsidR="00053D93" w:rsidRDefault="00260B75">
      <w:pPr>
        <w:spacing w:after="307" w:line="247" w:lineRule="auto"/>
        <w:ind w:left="1505" w:right="14" w:firstLine="202"/>
        <w:jc w:val="both"/>
      </w:pPr>
      <w:r>
        <w:rPr>
          <w:sz w:val="26"/>
        </w:rPr>
        <w:t xml:space="preserve">tampoco documentación que demostrara que la Sección de Inventarios de la </w:t>
      </w:r>
      <w:r>
        <w:rPr>
          <w:noProof/>
        </w:rPr>
        <w:drawing>
          <wp:inline distT="0" distB="0" distL="0" distR="0" wp14:anchorId="747E5B2E" wp14:editId="2E7CE35B">
            <wp:extent cx="4572" cy="9144"/>
            <wp:effectExtent l="0" t="0" r="0" b="0"/>
            <wp:docPr id="367185" name="Picture 367185"/>
            <wp:cNvGraphicFramePr/>
            <a:graphic xmlns:a="http://schemas.openxmlformats.org/drawingml/2006/main">
              <a:graphicData uri="http://schemas.openxmlformats.org/drawingml/2006/picture">
                <pic:pic xmlns:pic="http://schemas.openxmlformats.org/drawingml/2006/picture">
                  <pic:nvPicPr>
                    <pic:cNvPr id="367185" name="Picture 367185"/>
                    <pic:cNvPicPr/>
                  </pic:nvPicPr>
                  <pic:blipFill>
                    <a:blip r:embed="rId24"/>
                    <a:stretch>
                      <a:fillRect/>
                    </a:stretch>
                  </pic:blipFill>
                  <pic:spPr>
                    <a:xfrm>
                      <a:off x="0" y="0"/>
                      <a:ext cx="4572" cy="9144"/>
                    </a:xfrm>
                    <a:prstGeom prst="rect">
                      <a:avLst/>
                    </a:prstGeom>
                  </pic:spPr>
                </pic:pic>
              </a:graphicData>
            </a:graphic>
          </wp:inline>
        </w:drawing>
      </w:r>
      <w:r>
        <w:rPr>
          <w:sz w:val="26"/>
        </w:rPr>
        <w:t xml:space="preserve"> Dirección General de Educación Física -DIGEF- haya identificado tos bienes faltantes descritos en el presente hallazgo; además, el responsable afirma que mediante oficio No. 023-2025 Ref. HMMF-wcrb del 27 de marzo de 2025, emitido por el Director Técnico Administrativo en Funciones de la Escuela Normal Central de Educación Física, se le informó que aún no se tiene el informe de dicha verificación física por parte de la Sección de Inventarios de la DIGEF; por lo que, no es posible corroborar la afirmación del responsable sobre la existencia de los bienes faltantes detallados en el presente hallazgo.</w:t>
      </w:r>
    </w:p>
    <w:tbl>
      <w:tblPr>
        <w:tblStyle w:val="TableGrid"/>
        <w:tblpPr w:vertAnchor="page" w:horzAnchor="page" w:tblpX="2866" w:tblpY="14573"/>
        <w:tblOverlap w:val="never"/>
        <w:tblW w:w="7625" w:type="dxa"/>
        <w:tblInd w:w="0" w:type="dxa"/>
        <w:tblCellMar>
          <w:top w:w="22" w:type="dxa"/>
          <w:left w:w="1750" w:type="dxa"/>
          <w:right w:w="115" w:type="dxa"/>
        </w:tblCellMar>
        <w:tblLook w:val="04A0" w:firstRow="1" w:lastRow="0" w:firstColumn="1" w:lastColumn="0" w:noHBand="0" w:noVBand="1"/>
      </w:tblPr>
      <w:tblGrid>
        <w:gridCol w:w="7625"/>
      </w:tblGrid>
      <w:tr w:rsidR="00053D93" w14:paraId="7E1956AB" w14:textId="77777777">
        <w:trPr>
          <w:trHeight w:val="43"/>
        </w:trPr>
        <w:tc>
          <w:tcPr>
            <w:tcW w:w="7625" w:type="dxa"/>
            <w:tcBorders>
              <w:top w:val="nil"/>
              <w:left w:val="single" w:sz="2" w:space="0" w:color="000000"/>
              <w:bottom w:val="single" w:sz="2" w:space="0" w:color="000000"/>
              <w:right w:val="nil"/>
            </w:tcBorders>
          </w:tcPr>
          <w:p w14:paraId="1C442A59" w14:textId="77777777" w:rsidR="00053D93" w:rsidRDefault="00053D93"/>
        </w:tc>
      </w:tr>
      <w:tr w:rsidR="00053D93" w14:paraId="393BE217" w14:textId="77777777">
        <w:trPr>
          <w:trHeight w:val="590"/>
        </w:trPr>
        <w:tc>
          <w:tcPr>
            <w:tcW w:w="7625" w:type="dxa"/>
            <w:tcBorders>
              <w:top w:val="single" w:sz="2" w:space="0" w:color="000000"/>
              <w:left w:val="single" w:sz="2" w:space="0" w:color="000000"/>
              <w:bottom w:val="nil"/>
              <w:right w:val="nil"/>
            </w:tcBorders>
          </w:tcPr>
          <w:p w14:paraId="2D1EE31F" w14:textId="77777777" w:rsidR="00053D93" w:rsidRDefault="00260B75">
            <w:pPr>
              <w:ind w:left="828"/>
            </w:pPr>
            <w:r>
              <w:rPr>
                <w:sz w:val="14"/>
              </w:rPr>
              <w:lastRenderedPageBreak/>
              <w:t>MINISTERIO DE EDUCACION</w:t>
            </w:r>
          </w:p>
          <w:p w14:paraId="14FBDFA0" w14:textId="77777777" w:rsidR="00053D93" w:rsidRDefault="00260B75">
            <w:pPr>
              <w:ind w:left="338"/>
            </w:pPr>
            <w:r>
              <w:rPr>
                <w:sz w:val="14"/>
              </w:rPr>
              <w:t>AUDITORIA FINANCIERA Y DE CUMPLIMIENTO</w:t>
            </w:r>
          </w:p>
          <w:p w14:paraId="1DBEBBEB" w14:textId="77777777" w:rsidR="00053D93" w:rsidRDefault="00260B75">
            <w:r>
              <w:rPr>
                <w:sz w:val="14"/>
              </w:rPr>
              <w:t>PERFODO DEL 01 DE ENERO AL 31 DE DICIEMBRE OE 2024</w:t>
            </w:r>
          </w:p>
        </w:tc>
      </w:tr>
    </w:tbl>
    <w:p w14:paraId="495D5D47" w14:textId="77777777" w:rsidR="00053D93" w:rsidRDefault="00260B75">
      <w:pPr>
        <w:spacing w:after="342" w:line="247" w:lineRule="auto"/>
        <w:ind w:left="1699" w:right="14" w:firstLine="4"/>
        <w:jc w:val="both"/>
      </w:pPr>
      <w:r>
        <w:rPr>
          <w:sz w:val="26"/>
        </w:rPr>
        <w:t>Así mismo, el licenciado Vielman, manifestó que cuando presentó su renuncia, solicitó a la Sección de Inventarios de la DIGEF, levantar un inventario general de [os bienes asignados a sus tarjetas de responsabilidad y que durante su práctica no hacía falta ningún bien de los mencionados en el Informe de Cargos Provisional No. DAS-03-003-2025; sin embargo, no presentó documentación que confirmara sus comentarios. Cabe mencionar que, el responsable, manifestó que no solicitó finiquito laboral, derivado del faltante una marimba, la cual fue entregada en calidad de préstamo al Subdirector de la DIGEF para el evento "Ensamble de Marimbas" organizado por el MINEDUC, pero no dio ei seguimiento correspondiente para asegurar el retorno de dicha marimba a [as instalaciones de la escuela y que se encuentra dentro de las instalaciones de la DIGEF; sin embargo, no presentó documentación que evidenciara lo manifestado anteriormente.</w:t>
      </w:r>
    </w:p>
    <w:p w14:paraId="1DD04D3A" w14:textId="77777777" w:rsidR="00053D93" w:rsidRDefault="00260B75">
      <w:pPr>
        <w:spacing w:after="18" w:line="248" w:lineRule="auto"/>
        <w:ind w:left="1709" w:hanging="3"/>
        <w:jc w:val="both"/>
      </w:pPr>
      <w:r>
        <w:rPr>
          <w:sz w:val="28"/>
        </w:rPr>
        <w:t>Acciones legales</w:t>
      </w:r>
    </w:p>
    <w:p w14:paraId="5B2F7B24" w14:textId="77777777" w:rsidR="00053D93" w:rsidRDefault="00260B75">
      <w:pPr>
        <w:spacing w:after="265" w:line="247" w:lineRule="auto"/>
        <w:ind w:left="1706" w:right="14" w:firstLine="4"/>
        <w:jc w:val="both"/>
      </w:pPr>
      <w:r>
        <w:rPr>
          <w:sz w:val="26"/>
        </w:rPr>
        <w:t>Informe de Cargos Confirmados, de conformidad con el Decreto Número 31-2002, del Congreso de la República, Ley Orgánica de la Contraloría General de Cuentas, reformada por el Decreto 13-2013; artículo 4 inciso f) y Acuerdo Gubernativo Número 96-2019, de la Presidencia de la República, Reglamento de la Ley Orgánica de la Contraloría General de Cuentas, artículo 69, para:</w:t>
      </w:r>
    </w:p>
    <w:p w14:paraId="47940273" w14:textId="77777777" w:rsidR="00053D93" w:rsidRDefault="00260B75">
      <w:pPr>
        <w:tabs>
          <w:tab w:val="center" w:pos="1904"/>
          <w:tab w:val="center" w:pos="3740"/>
          <w:tab w:val="right" w:pos="10174"/>
        </w:tabs>
        <w:spacing w:after="86" w:line="265" w:lineRule="auto"/>
      </w:pPr>
      <w:r>
        <w:rPr>
          <w:sz w:val="16"/>
        </w:rPr>
        <w:tab/>
        <w:t>Cargo</w:t>
      </w:r>
      <w:r>
        <w:rPr>
          <w:sz w:val="16"/>
        </w:rPr>
        <w:tab/>
        <w:t>Nombre</w:t>
      </w:r>
      <w:r>
        <w:rPr>
          <w:sz w:val="16"/>
        </w:rPr>
        <w:tab/>
        <w:t>Valor en Quetzales</w:t>
      </w:r>
    </w:p>
    <w:p w14:paraId="142EBE9C" w14:textId="77777777" w:rsidR="00053D93" w:rsidRDefault="00260B75">
      <w:pPr>
        <w:tabs>
          <w:tab w:val="center" w:pos="2174"/>
          <w:tab w:val="center" w:pos="4666"/>
          <w:tab w:val="right" w:pos="10174"/>
        </w:tabs>
        <w:spacing w:after="3" w:line="265" w:lineRule="auto"/>
      </w:pPr>
      <w:r>
        <w:rPr>
          <w:sz w:val="16"/>
        </w:rPr>
        <w:tab/>
        <w:t>DIRECTOR Al.</w:t>
      </w:r>
      <w:r>
        <w:rPr>
          <w:sz w:val="16"/>
        </w:rPr>
        <w:tab/>
        <w:t>MIGUEL ANGEL VIELMAN MARTINEZ</w:t>
      </w:r>
      <w:r>
        <w:rPr>
          <w:sz w:val="16"/>
        </w:rPr>
        <w:tab/>
      </w:r>
      <w:r>
        <w:rPr>
          <w:rFonts w:ascii="Times New Roman" w:eastAsia="Times New Roman" w:hAnsi="Times New Roman" w:cs="Times New Roman"/>
          <w:sz w:val="16"/>
        </w:rPr>
        <w:t>124.440.85</w:t>
      </w:r>
    </w:p>
    <w:p w14:paraId="60532F6D" w14:textId="77777777" w:rsidR="00053D93" w:rsidRDefault="00260B75">
      <w:pPr>
        <w:tabs>
          <w:tab w:val="center" w:pos="1868"/>
          <w:tab w:val="right" w:pos="10174"/>
        </w:tabs>
        <w:spacing w:after="421" w:line="265" w:lineRule="auto"/>
      </w:pPr>
      <w:r>
        <w:rPr>
          <w:sz w:val="14"/>
        </w:rPr>
        <w:tab/>
        <w:t>Total</w:t>
      </w:r>
      <w:r>
        <w:rPr>
          <w:sz w:val="14"/>
        </w:rPr>
        <w:tab/>
        <w:t>Q. 124.440.85</w:t>
      </w:r>
    </w:p>
    <w:p w14:paraId="724F50BF" w14:textId="77777777" w:rsidR="00053D93" w:rsidRDefault="00260B75">
      <w:pPr>
        <w:spacing w:after="294" w:line="248" w:lineRule="auto"/>
        <w:ind w:left="1709" w:hanging="3"/>
        <w:jc w:val="both"/>
      </w:pPr>
      <w:r>
        <w:rPr>
          <w:sz w:val="28"/>
        </w:rPr>
        <w:t>Hallazgo No. 2</w:t>
      </w:r>
    </w:p>
    <w:p w14:paraId="67D99BA8" w14:textId="77777777" w:rsidR="00053D93" w:rsidRDefault="00260B75">
      <w:pPr>
        <w:spacing w:after="259" w:line="248" w:lineRule="auto"/>
        <w:ind w:left="1709" w:hanging="3"/>
        <w:jc w:val="both"/>
      </w:pPr>
      <w:r>
        <w:rPr>
          <w:sz w:val="28"/>
        </w:rPr>
        <w:t>Incumplimientos a la Ley de Servicio Civil</w:t>
      </w:r>
    </w:p>
    <w:p w14:paraId="22356801" w14:textId="77777777" w:rsidR="00053D93" w:rsidRDefault="00260B75">
      <w:pPr>
        <w:spacing w:after="18" w:line="248" w:lineRule="auto"/>
        <w:ind w:left="1709" w:hanging="3"/>
        <w:jc w:val="both"/>
      </w:pPr>
      <w:r>
        <w:rPr>
          <w:sz w:val="28"/>
        </w:rPr>
        <w:t>Condición</w:t>
      </w:r>
    </w:p>
    <w:p w14:paraId="75E3BE62" w14:textId="77777777" w:rsidR="00053D93" w:rsidRDefault="00260B75">
      <w:pPr>
        <w:spacing w:after="17" w:line="247" w:lineRule="auto"/>
        <w:ind w:left="1699" w:right="14" w:firstLine="4"/>
        <w:jc w:val="both"/>
      </w:pPr>
      <w:r>
        <w:rPr>
          <w:sz w:val="26"/>
        </w:rPr>
        <w:t>En el Ministerio de Educación, Unidad Ejecutora 109 Dirección General de Educación Física -DIGEF-, Programa 04 Actividades Comunes a los Programas de Primaria, Básico y Diversificado (PRG. 12, 13 y 14), renglón presupuestario 01 1</w:t>
      </w:r>
    </w:p>
    <w:p w14:paraId="3D0BB581" w14:textId="77777777" w:rsidR="00053D93" w:rsidRDefault="00260B75">
      <w:pPr>
        <w:spacing w:after="0"/>
        <w:ind w:left="-7"/>
      </w:pPr>
      <w:r>
        <w:rPr>
          <w:noProof/>
        </w:rPr>
        <w:drawing>
          <wp:inline distT="0" distB="0" distL="0" distR="0" wp14:anchorId="082AE66A" wp14:editId="70D62781">
            <wp:extent cx="1600200" cy="923544"/>
            <wp:effectExtent l="0" t="0" r="0" b="0"/>
            <wp:docPr id="2458327" name="Picture 2458327"/>
            <wp:cNvGraphicFramePr/>
            <a:graphic xmlns:a="http://schemas.openxmlformats.org/drawingml/2006/main">
              <a:graphicData uri="http://schemas.openxmlformats.org/drawingml/2006/picture">
                <pic:pic xmlns:pic="http://schemas.openxmlformats.org/drawingml/2006/picture">
                  <pic:nvPicPr>
                    <pic:cNvPr id="2458327" name="Picture 2458327"/>
                    <pic:cNvPicPr/>
                  </pic:nvPicPr>
                  <pic:blipFill>
                    <a:blip r:embed="rId606"/>
                    <a:stretch>
                      <a:fillRect/>
                    </a:stretch>
                  </pic:blipFill>
                  <pic:spPr>
                    <a:xfrm>
                      <a:off x="0" y="0"/>
                      <a:ext cx="1600200" cy="923544"/>
                    </a:xfrm>
                    <a:prstGeom prst="rect">
                      <a:avLst/>
                    </a:prstGeom>
                  </pic:spPr>
                </pic:pic>
              </a:graphicData>
            </a:graphic>
          </wp:inline>
        </w:drawing>
      </w:r>
    </w:p>
    <w:p w14:paraId="053EF21B" w14:textId="77777777" w:rsidR="00053D93" w:rsidRDefault="00260B75">
      <w:pPr>
        <w:spacing w:after="243" w:line="265" w:lineRule="auto"/>
        <w:ind w:left="3624" w:right="14" w:hanging="10"/>
        <w:jc w:val="center"/>
      </w:pPr>
      <w:r>
        <w:rPr>
          <w:sz w:val="14"/>
        </w:rPr>
        <w:t xml:space="preserve">OE </w:t>
      </w:r>
    </w:p>
    <w:p w14:paraId="5ADA99EC" w14:textId="77777777" w:rsidR="00053D93" w:rsidRDefault="00260B75">
      <w:pPr>
        <w:spacing w:after="39"/>
        <w:ind w:left="1699" w:right="-14"/>
      </w:pPr>
      <w:r>
        <w:rPr>
          <w:noProof/>
        </w:rPr>
        <mc:AlternateContent>
          <mc:Choice Requires="wpg">
            <w:drawing>
              <wp:inline distT="0" distB="0" distL="0" distR="0" wp14:anchorId="62B66623" wp14:editId="0A794AAC">
                <wp:extent cx="5381244" cy="9144"/>
                <wp:effectExtent l="0" t="0" r="0" b="0"/>
                <wp:docPr id="2458332" name="Group 2458332"/>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331" name="Shape 2458331"/>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32" style="width:423.72pt;height:0.720001pt;mso-position-horizontal-relative:char;mso-position-vertical-relative:line" coordsize="53812,91">
                <v:shape id="Shape 2458331" style="position:absolute;width:53812;height:91;left:0;top:0;" coordsize="5381244,9144" path="m0,4572l5381244,4572">
                  <v:stroke weight="0.720001pt" endcap="flat" joinstyle="miter" miterlimit="1" on="true" color="#000000"/>
                  <v:fill on="false" color="#000000"/>
                </v:shape>
              </v:group>
            </w:pict>
          </mc:Fallback>
        </mc:AlternateContent>
      </w:r>
    </w:p>
    <w:p w14:paraId="0F4FE1B5" w14:textId="77777777" w:rsidR="00053D93" w:rsidRDefault="00260B75">
      <w:pPr>
        <w:spacing w:after="279" w:line="247" w:lineRule="auto"/>
        <w:ind w:left="1706" w:right="14" w:firstLine="4"/>
        <w:jc w:val="both"/>
      </w:pPr>
      <w:r>
        <w:rPr>
          <w:noProof/>
        </w:rPr>
        <w:lastRenderedPageBreak/>
        <w:drawing>
          <wp:anchor distT="0" distB="0" distL="114300" distR="114300" simplePos="0" relativeHeight="251948032" behindDoc="0" locked="0" layoutInCell="1" allowOverlap="0" wp14:anchorId="6A3268EC" wp14:editId="2AF007AB">
            <wp:simplePos x="0" y="0"/>
            <wp:positionH relativeFrom="page">
              <wp:posOffset>667512</wp:posOffset>
            </wp:positionH>
            <wp:positionV relativeFrom="page">
              <wp:posOffset>9226296</wp:posOffset>
            </wp:positionV>
            <wp:extent cx="644652" cy="406909"/>
            <wp:effectExtent l="0" t="0" r="0" b="0"/>
            <wp:wrapTopAndBottom/>
            <wp:docPr id="373578" name="Picture 373578"/>
            <wp:cNvGraphicFramePr/>
            <a:graphic xmlns:a="http://schemas.openxmlformats.org/drawingml/2006/main">
              <a:graphicData uri="http://schemas.openxmlformats.org/drawingml/2006/picture">
                <pic:pic xmlns:pic="http://schemas.openxmlformats.org/drawingml/2006/picture">
                  <pic:nvPicPr>
                    <pic:cNvPr id="373578" name="Picture 373578"/>
                    <pic:cNvPicPr/>
                  </pic:nvPicPr>
                  <pic:blipFill>
                    <a:blip r:embed="rId607"/>
                    <a:stretch>
                      <a:fillRect/>
                    </a:stretch>
                  </pic:blipFill>
                  <pic:spPr>
                    <a:xfrm>
                      <a:off x="0" y="0"/>
                      <a:ext cx="644652" cy="406909"/>
                    </a:xfrm>
                    <a:prstGeom prst="rect">
                      <a:avLst/>
                    </a:prstGeom>
                  </pic:spPr>
                </pic:pic>
              </a:graphicData>
            </a:graphic>
          </wp:anchor>
        </w:drawing>
      </w:r>
      <w:r>
        <w:rPr>
          <w:sz w:val="26"/>
        </w:rPr>
        <w:t>Personal permanente, como procedimiento de auditoría, al evaluar los expedientes de personal y los puestos interinos cubiertos durante el período comprendido del 01 de enero al 31 de diciembre de 2024; se determinó que, 14 servidores públicos se excedieron del plazo de 6 meses que permite la Ley de Servicio Civil, para ocupar los puestos provisionales y 7 servidores públicos no cumplieron con el perfil del puesto que cubrieron, tal como se detalla a continuación:</w:t>
      </w:r>
    </w:p>
    <w:p w14:paraId="0692909C" w14:textId="77777777" w:rsidR="00053D93" w:rsidRDefault="00260B75">
      <w:pPr>
        <w:spacing w:after="4" w:line="253" w:lineRule="auto"/>
        <w:ind w:left="1730" w:right="21" w:hanging="10"/>
        <w:jc w:val="center"/>
      </w:pPr>
      <w:r>
        <w:rPr>
          <w:sz w:val="26"/>
        </w:rPr>
        <w:t>Puestos interinos cubiertos por más de seis meses en la Dirección General de</w:t>
      </w:r>
    </w:p>
    <w:p w14:paraId="3FC25876" w14:textId="77777777" w:rsidR="00053D93" w:rsidRDefault="00260B75">
      <w:pPr>
        <w:spacing w:after="0"/>
        <w:ind w:left="1695" w:hanging="10"/>
        <w:jc w:val="center"/>
      </w:pPr>
      <w:r>
        <w:rPr>
          <w:sz w:val="28"/>
        </w:rPr>
        <w:t>Educación Física -DIGEF-</w:t>
      </w:r>
    </w:p>
    <w:p w14:paraId="1DC86BA7" w14:textId="77777777" w:rsidR="00053D93" w:rsidRDefault="00260B75">
      <w:pPr>
        <w:spacing w:after="0"/>
        <w:ind w:left="1760" w:right="86" w:hanging="10"/>
        <w:jc w:val="center"/>
      </w:pPr>
      <w:r>
        <w:rPr>
          <w:sz w:val="24"/>
        </w:rPr>
        <w:t>Al 31 de diciembre de 2024</w:t>
      </w:r>
    </w:p>
    <w:tbl>
      <w:tblPr>
        <w:tblStyle w:val="TableGrid"/>
        <w:tblW w:w="8389" w:type="dxa"/>
        <w:tblInd w:w="1768" w:type="dxa"/>
        <w:tblCellMar>
          <w:left w:w="18" w:type="dxa"/>
          <w:bottom w:w="19" w:type="dxa"/>
          <w:right w:w="8" w:type="dxa"/>
        </w:tblCellMar>
        <w:tblLook w:val="04A0" w:firstRow="1" w:lastRow="0" w:firstColumn="1" w:lastColumn="0" w:noHBand="0" w:noVBand="1"/>
      </w:tblPr>
      <w:tblGrid>
        <w:gridCol w:w="284"/>
        <w:gridCol w:w="273"/>
        <w:gridCol w:w="210"/>
        <w:gridCol w:w="561"/>
        <w:gridCol w:w="1094"/>
        <w:gridCol w:w="1226"/>
        <w:gridCol w:w="1062"/>
        <w:gridCol w:w="986"/>
        <w:gridCol w:w="921"/>
        <w:gridCol w:w="921"/>
        <w:gridCol w:w="851"/>
      </w:tblGrid>
      <w:tr w:rsidR="00053D93" w14:paraId="4490EC78" w14:textId="77777777">
        <w:trPr>
          <w:trHeight w:val="295"/>
        </w:trPr>
        <w:tc>
          <w:tcPr>
            <w:tcW w:w="249" w:type="dxa"/>
            <w:vMerge w:val="restart"/>
            <w:tcBorders>
              <w:top w:val="single" w:sz="2" w:space="0" w:color="000000"/>
              <w:left w:val="single" w:sz="2" w:space="0" w:color="000000"/>
              <w:bottom w:val="single" w:sz="2" w:space="0" w:color="000000"/>
              <w:right w:val="single" w:sz="2" w:space="0" w:color="000000"/>
            </w:tcBorders>
          </w:tcPr>
          <w:p w14:paraId="2CD6B5C5" w14:textId="77777777" w:rsidR="00053D93" w:rsidRDefault="00260B75">
            <w:pPr>
              <w:jc w:val="both"/>
            </w:pPr>
            <w:r>
              <w:rPr>
                <w:sz w:val="18"/>
              </w:rPr>
              <w:t>No.</w:t>
            </w:r>
          </w:p>
        </w:tc>
        <w:tc>
          <w:tcPr>
            <w:tcW w:w="1062" w:type="dxa"/>
            <w:gridSpan w:val="3"/>
            <w:vMerge w:val="restart"/>
            <w:tcBorders>
              <w:top w:val="single" w:sz="2" w:space="0" w:color="000000"/>
              <w:left w:val="single" w:sz="2" w:space="0" w:color="000000"/>
              <w:bottom w:val="single" w:sz="2" w:space="0" w:color="000000"/>
              <w:right w:val="single" w:sz="2" w:space="0" w:color="000000"/>
            </w:tcBorders>
          </w:tcPr>
          <w:p w14:paraId="440800B6" w14:textId="77777777" w:rsidR="00053D93" w:rsidRDefault="00260B75">
            <w:pPr>
              <w:jc w:val="center"/>
            </w:pPr>
            <w:r>
              <w:rPr>
                <w:sz w:val="18"/>
              </w:rPr>
              <w:t>Código de Empleado</w:t>
            </w:r>
          </w:p>
        </w:tc>
        <w:tc>
          <w:tcPr>
            <w:tcW w:w="1097" w:type="dxa"/>
            <w:vMerge w:val="restart"/>
            <w:tcBorders>
              <w:top w:val="single" w:sz="2" w:space="0" w:color="000000"/>
              <w:left w:val="single" w:sz="2" w:space="0" w:color="000000"/>
              <w:bottom w:val="single" w:sz="2" w:space="0" w:color="000000"/>
              <w:right w:val="single" w:sz="2" w:space="0" w:color="000000"/>
            </w:tcBorders>
          </w:tcPr>
          <w:p w14:paraId="02101E29" w14:textId="77777777" w:rsidR="00053D93" w:rsidRDefault="00260B75">
            <w:pPr>
              <w:ind w:left="22"/>
              <w:jc w:val="center"/>
            </w:pPr>
            <w:r>
              <w:rPr>
                <w:sz w:val="18"/>
              </w:rPr>
              <w:t>Puesto</w:t>
            </w:r>
          </w:p>
          <w:p w14:paraId="3F61CEC8" w14:textId="77777777" w:rsidR="00053D93" w:rsidRDefault="00260B75">
            <w:pPr>
              <w:ind w:left="14"/>
              <w:jc w:val="center"/>
            </w:pPr>
            <w:r>
              <w:rPr>
                <w:sz w:val="18"/>
              </w:rPr>
              <w:t>Nominal</w:t>
            </w:r>
          </w:p>
        </w:tc>
        <w:tc>
          <w:tcPr>
            <w:tcW w:w="1221" w:type="dxa"/>
            <w:vMerge w:val="restart"/>
            <w:tcBorders>
              <w:top w:val="single" w:sz="2" w:space="0" w:color="000000"/>
              <w:left w:val="single" w:sz="2" w:space="0" w:color="000000"/>
              <w:bottom w:val="single" w:sz="2" w:space="0" w:color="000000"/>
              <w:right w:val="single" w:sz="2" w:space="0" w:color="000000"/>
            </w:tcBorders>
          </w:tcPr>
          <w:p w14:paraId="264697DE" w14:textId="77777777" w:rsidR="00053D93" w:rsidRDefault="00260B75">
            <w:pPr>
              <w:ind w:left="14"/>
              <w:jc w:val="center"/>
            </w:pPr>
            <w:r>
              <w:rPr>
                <w:sz w:val="18"/>
              </w:rPr>
              <w:t>Puesto</w:t>
            </w:r>
          </w:p>
          <w:p w14:paraId="7D3CD585" w14:textId="77777777" w:rsidR="00053D93" w:rsidRDefault="00260B75">
            <w:pPr>
              <w:jc w:val="center"/>
            </w:pPr>
            <w:r>
              <w:rPr>
                <w:sz w:val="18"/>
              </w:rPr>
              <w:t>Funcional (Interino)</w:t>
            </w:r>
          </w:p>
        </w:tc>
        <w:tc>
          <w:tcPr>
            <w:tcW w:w="1083" w:type="dxa"/>
            <w:vMerge w:val="restart"/>
            <w:tcBorders>
              <w:top w:val="single" w:sz="2" w:space="0" w:color="000000"/>
              <w:left w:val="single" w:sz="2" w:space="0" w:color="000000"/>
              <w:bottom w:val="single" w:sz="2" w:space="0" w:color="000000"/>
              <w:right w:val="single" w:sz="2" w:space="0" w:color="000000"/>
            </w:tcBorders>
          </w:tcPr>
          <w:p w14:paraId="21D84029" w14:textId="77777777" w:rsidR="00053D93" w:rsidRDefault="00260B75">
            <w:pPr>
              <w:jc w:val="center"/>
            </w:pPr>
            <w:r>
              <w:rPr>
                <w:sz w:val="20"/>
              </w:rPr>
              <w:t>Resoluclón DIGEF No.</w:t>
            </w:r>
          </w:p>
        </w:tc>
        <w:tc>
          <w:tcPr>
            <w:tcW w:w="979" w:type="dxa"/>
            <w:vMerge w:val="restart"/>
            <w:tcBorders>
              <w:top w:val="single" w:sz="2" w:space="0" w:color="000000"/>
              <w:left w:val="single" w:sz="2" w:space="0" w:color="000000"/>
              <w:bottom w:val="single" w:sz="2" w:space="0" w:color="000000"/>
              <w:right w:val="single" w:sz="2" w:space="0" w:color="000000"/>
            </w:tcBorders>
          </w:tcPr>
          <w:p w14:paraId="00222DA7" w14:textId="77777777" w:rsidR="00053D93" w:rsidRDefault="00260B75">
            <w:pPr>
              <w:ind w:right="3"/>
              <w:jc w:val="center"/>
            </w:pPr>
            <w:r>
              <w:rPr>
                <w:sz w:val="20"/>
              </w:rPr>
              <w:t>Fecha de</w:t>
            </w:r>
          </w:p>
          <w:p w14:paraId="3A3E2175" w14:textId="77777777" w:rsidR="00053D93" w:rsidRDefault="00260B75">
            <w:pPr>
              <w:ind w:left="76"/>
            </w:pPr>
            <w:r>
              <w:rPr>
                <w:sz w:val="20"/>
              </w:rPr>
              <w:t>Resolución</w:t>
            </w:r>
          </w:p>
        </w:tc>
        <w:tc>
          <w:tcPr>
            <w:tcW w:w="1843" w:type="dxa"/>
            <w:gridSpan w:val="2"/>
            <w:tcBorders>
              <w:top w:val="single" w:sz="2" w:space="0" w:color="000000"/>
              <w:left w:val="single" w:sz="2" w:space="0" w:color="000000"/>
              <w:bottom w:val="single" w:sz="2" w:space="0" w:color="000000"/>
              <w:right w:val="single" w:sz="2" w:space="0" w:color="000000"/>
            </w:tcBorders>
          </w:tcPr>
          <w:p w14:paraId="7C964B69" w14:textId="77777777" w:rsidR="00053D93" w:rsidRDefault="00260B75">
            <w:pPr>
              <w:ind w:right="3"/>
              <w:jc w:val="center"/>
            </w:pPr>
            <w:r>
              <w:rPr>
                <w:sz w:val="18"/>
              </w:rPr>
              <w:t>Periodo de Interinato</w:t>
            </w:r>
          </w:p>
        </w:tc>
        <w:tc>
          <w:tcPr>
            <w:tcW w:w="854" w:type="dxa"/>
            <w:vMerge w:val="restart"/>
            <w:tcBorders>
              <w:top w:val="single" w:sz="2" w:space="0" w:color="000000"/>
              <w:left w:val="single" w:sz="2" w:space="0" w:color="000000"/>
              <w:bottom w:val="single" w:sz="2" w:space="0" w:color="000000"/>
              <w:right w:val="single" w:sz="2" w:space="0" w:color="000000"/>
            </w:tcBorders>
          </w:tcPr>
          <w:p w14:paraId="2CD7F56E" w14:textId="77777777" w:rsidR="00053D93" w:rsidRDefault="00260B75">
            <w:pPr>
              <w:jc w:val="center"/>
            </w:pPr>
            <w:r>
              <w:rPr>
                <w:sz w:val="18"/>
              </w:rPr>
              <w:t>Total</w:t>
            </w:r>
          </w:p>
          <w:p w14:paraId="73EF4138" w14:textId="77777777" w:rsidR="00053D93" w:rsidRDefault="00260B75">
            <w:pPr>
              <w:spacing w:after="7"/>
              <w:ind w:left="58" w:right="50"/>
              <w:jc w:val="center"/>
            </w:pPr>
            <w:r>
              <w:rPr>
                <w:sz w:val="18"/>
              </w:rPr>
              <w:t>Período de</w:t>
            </w:r>
          </w:p>
          <w:p w14:paraId="3CA5ED64" w14:textId="77777777" w:rsidR="00053D93" w:rsidRDefault="00260B75">
            <w:pPr>
              <w:ind w:left="76"/>
            </w:pPr>
            <w:r>
              <w:rPr>
                <w:sz w:val="18"/>
              </w:rPr>
              <w:t>Interinato</w:t>
            </w:r>
          </w:p>
        </w:tc>
      </w:tr>
      <w:tr w:rsidR="00053D93" w14:paraId="57AC5EFD" w14:textId="77777777">
        <w:trPr>
          <w:trHeight w:val="581"/>
        </w:trPr>
        <w:tc>
          <w:tcPr>
            <w:tcW w:w="0" w:type="auto"/>
            <w:vMerge/>
            <w:tcBorders>
              <w:top w:val="nil"/>
              <w:left w:val="single" w:sz="2" w:space="0" w:color="000000"/>
              <w:bottom w:val="single" w:sz="2" w:space="0" w:color="000000"/>
              <w:right w:val="single" w:sz="2" w:space="0" w:color="000000"/>
            </w:tcBorders>
          </w:tcPr>
          <w:p w14:paraId="06CC9AF4" w14:textId="77777777" w:rsidR="00053D93" w:rsidRDefault="00053D93"/>
        </w:tc>
        <w:tc>
          <w:tcPr>
            <w:tcW w:w="0" w:type="auto"/>
            <w:gridSpan w:val="3"/>
            <w:vMerge/>
            <w:tcBorders>
              <w:top w:val="nil"/>
              <w:left w:val="single" w:sz="2" w:space="0" w:color="000000"/>
              <w:bottom w:val="single" w:sz="2" w:space="0" w:color="000000"/>
              <w:right w:val="single" w:sz="2" w:space="0" w:color="000000"/>
            </w:tcBorders>
          </w:tcPr>
          <w:p w14:paraId="72613092" w14:textId="77777777" w:rsidR="00053D93" w:rsidRDefault="00053D93"/>
        </w:tc>
        <w:tc>
          <w:tcPr>
            <w:tcW w:w="0" w:type="auto"/>
            <w:vMerge/>
            <w:tcBorders>
              <w:top w:val="nil"/>
              <w:left w:val="single" w:sz="2" w:space="0" w:color="000000"/>
              <w:bottom w:val="single" w:sz="2" w:space="0" w:color="000000"/>
              <w:right w:val="single" w:sz="2" w:space="0" w:color="000000"/>
            </w:tcBorders>
          </w:tcPr>
          <w:p w14:paraId="15913825" w14:textId="77777777" w:rsidR="00053D93" w:rsidRDefault="00053D93"/>
        </w:tc>
        <w:tc>
          <w:tcPr>
            <w:tcW w:w="0" w:type="auto"/>
            <w:vMerge/>
            <w:tcBorders>
              <w:top w:val="nil"/>
              <w:left w:val="single" w:sz="2" w:space="0" w:color="000000"/>
              <w:bottom w:val="single" w:sz="2" w:space="0" w:color="000000"/>
              <w:right w:val="single" w:sz="2" w:space="0" w:color="000000"/>
            </w:tcBorders>
          </w:tcPr>
          <w:p w14:paraId="7F239484" w14:textId="77777777" w:rsidR="00053D93" w:rsidRDefault="00053D93"/>
        </w:tc>
        <w:tc>
          <w:tcPr>
            <w:tcW w:w="0" w:type="auto"/>
            <w:vMerge/>
            <w:tcBorders>
              <w:top w:val="nil"/>
              <w:left w:val="single" w:sz="2" w:space="0" w:color="000000"/>
              <w:bottom w:val="single" w:sz="2" w:space="0" w:color="000000"/>
              <w:right w:val="single" w:sz="2" w:space="0" w:color="000000"/>
            </w:tcBorders>
          </w:tcPr>
          <w:p w14:paraId="13058B2F" w14:textId="77777777" w:rsidR="00053D93" w:rsidRDefault="00053D93"/>
        </w:tc>
        <w:tc>
          <w:tcPr>
            <w:tcW w:w="0" w:type="auto"/>
            <w:vMerge/>
            <w:tcBorders>
              <w:top w:val="nil"/>
              <w:left w:val="single" w:sz="2" w:space="0" w:color="000000"/>
              <w:bottom w:val="single" w:sz="2" w:space="0" w:color="000000"/>
              <w:right w:val="single" w:sz="2" w:space="0" w:color="000000"/>
            </w:tcBorders>
          </w:tcPr>
          <w:p w14:paraId="56B94E08" w14:textId="77777777" w:rsidR="00053D93" w:rsidRDefault="00053D93"/>
        </w:tc>
        <w:tc>
          <w:tcPr>
            <w:tcW w:w="922" w:type="dxa"/>
            <w:tcBorders>
              <w:top w:val="single" w:sz="2" w:space="0" w:color="000000"/>
              <w:left w:val="single" w:sz="2" w:space="0" w:color="000000"/>
              <w:bottom w:val="single" w:sz="2" w:space="0" w:color="000000"/>
              <w:right w:val="single" w:sz="2" w:space="0" w:color="000000"/>
            </w:tcBorders>
          </w:tcPr>
          <w:p w14:paraId="1DF37F72" w14:textId="77777777" w:rsidR="00053D93" w:rsidRDefault="00260B75">
            <w:pPr>
              <w:ind w:right="3"/>
              <w:jc w:val="center"/>
            </w:pPr>
            <w:r>
              <w:rPr>
                <w:sz w:val="20"/>
              </w:rPr>
              <w:t>DEL</w:t>
            </w:r>
          </w:p>
        </w:tc>
        <w:tc>
          <w:tcPr>
            <w:tcW w:w="922" w:type="dxa"/>
            <w:tcBorders>
              <w:top w:val="single" w:sz="2" w:space="0" w:color="000000"/>
              <w:left w:val="single" w:sz="2" w:space="0" w:color="000000"/>
              <w:bottom w:val="single" w:sz="2" w:space="0" w:color="000000"/>
              <w:right w:val="single" w:sz="2" w:space="0" w:color="000000"/>
            </w:tcBorders>
          </w:tcPr>
          <w:p w14:paraId="216CF987" w14:textId="77777777" w:rsidR="00053D93" w:rsidRDefault="00260B75">
            <w:pPr>
              <w:ind w:right="3"/>
              <w:jc w:val="center"/>
            </w:pPr>
            <w:r>
              <w:rPr>
                <w:sz w:val="20"/>
              </w:rPr>
              <w:t>AL</w:t>
            </w:r>
          </w:p>
        </w:tc>
        <w:tc>
          <w:tcPr>
            <w:tcW w:w="0" w:type="auto"/>
            <w:vMerge/>
            <w:tcBorders>
              <w:top w:val="nil"/>
              <w:left w:val="single" w:sz="2" w:space="0" w:color="000000"/>
              <w:bottom w:val="single" w:sz="2" w:space="0" w:color="000000"/>
              <w:right w:val="single" w:sz="2" w:space="0" w:color="000000"/>
            </w:tcBorders>
          </w:tcPr>
          <w:p w14:paraId="6CAD83F6" w14:textId="77777777" w:rsidR="00053D93" w:rsidRDefault="00053D93"/>
        </w:tc>
      </w:tr>
      <w:tr w:rsidR="00053D93" w14:paraId="18394016" w14:textId="77777777">
        <w:trPr>
          <w:trHeight w:val="838"/>
        </w:trPr>
        <w:tc>
          <w:tcPr>
            <w:tcW w:w="249" w:type="dxa"/>
            <w:tcBorders>
              <w:top w:val="single" w:sz="2" w:space="0" w:color="000000"/>
              <w:left w:val="single" w:sz="2" w:space="0" w:color="000000"/>
              <w:bottom w:val="single" w:sz="2" w:space="0" w:color="000000"/>
              <w:right w:val="single" w:sz="2" w:space="0" w:color="000000"/>
            </w:tcBorders>
          </w:tcPr>
          <w:p w14:paraId="0AC4FC09" w14:textId="77777777" w:rsidR="00053D93" w:rsidRDefault="00053D93"/>
        </w:tc>
        <w:tc>
          <w:tcPr>
            <w:tcW w:w="1062" w:type="dxa"/>
            <w:gridSpan w:val="3"/>
            <w:tcBorders>
              <w:top w:val="single" w:sz="2" w:space="0" w:color="000000"/>
              <w:left w:val="single" w:sz="2" w:space="0" w:color="000000"/>
              <w:bottom w:val="single" w:sz="2" w:space="0" w:color="000000"/>
              <w:right w:val="single" w:sz="2" w:space="0" w:color="000000"/>
            </w:tcBorders>
          </w:tcPr>
          <w:p w14:paraId="42059CDE" w14:textId="77777777" w:rsidR="00053D93" w:rsidRDefault="00260B75">
            <w:pPr>
              <w:ind w:left="78"/>
              <w:jc w:val="center"/>
            </w:pPr>
            <w:r>
              <w:rPr>
                <w:rFonts w:ascii="Times New Roman" w:eastAsia="Times New Roman" w:hAnsi="Times New Roman" w:cs="Times New Roman"/>
                <w:sz w:val="18"/>
              </w:rPr>
              <w:t>990076755</w:t>
            </w:r>
          </w:p>
        </w:tc>
        <w:tc>
          <w:tcPr>
            <w:tcW w:w="1097" w:type="dxa"/>
            <w:tcBorders>
              <w:top w:val="single" w:sz="2" w:space="0" w:color="000000"/>
              <w:left w:val="single" w:sz="2" w:space="0" w:color="000000"/>
              <w:bottom w:val="single" w:sz="2" w:space="0" w:color="000000"/>
              <w:right w:val="single" w:sz="2" w:space="0" w:color="000000"/>
            </w:tcBorders>
          </w:tcPr>
          <w:p w14:paraId="6C5FC1F1" w14:textId="77777777" w:rsidR="00053D93" w:rsidRDefault="00260B75">
            <w:pPr>
              <w:jc w:val="center"/>
            </w:pPr>
            <w:r>
              <w:rPr>
                <w:sz w:val="18"/>
              </w:rPr>
              <w:t>Secretario Oficinista</w:t>
            </w:r>
          </w:p>
        </w:tc>
        <w:tc>
          <w:tcPr>
            <w:tcW w:w="1221" w:type="dxa"/>
            <w:tcBorders>
              <w:top w:val="single" w:sz="2" w:space="0" w:color="000000"/>
              <w:left w:val="single" w:sz="2" w:space="0" w:color="000000"/>
              <w:bottom w:val="single" w:sz="2" w:space="0" w:color="000000"/>
              <w:right w:val="single" w:sz="2" w:space="0" w:color="000000"/>
            </w:tcBorders>
          </w:tcPr>
          <w:p w14:paraId="30A03DD4" w14:textId="77777777" w:rsidR="00053D93" w:rsidRDefault="00260B75">
            <w:pPr>
              <w:ind w:left="7"/>
              <w:jc w:val="center"/>
            </w:pPr>
            <w:r>
              <w:rPr>
                <w:sz w:val="18"/>
              </w:rPr>
              <w:t>Jefe de</w:t>
            </w:r>
          </w:p>
          <w:p w14:paraId="0E70AA7C" w14:textId="77777777" w:rsidR="00053D93" w:rsidRDefault="00260B75">
            <w:pPr>
              <w:ind w:left="47" w:right="40"/>
              <w:jc w:val="center"/>
            </w:pPr>
            <w:r>
              <w:rPr>
                <w:sz w:val="16"/>
              </w:rPr>
              <w:t>Departamento de Almacén,</w:t>
            </w:r>
          </w:p>
        </w:tc>
        <w:tc>
          <w:tcPr>
            <w:tcW w:w="1083" w:type="dxa"/>
            <w:tcBorders>
              <w:top w:val="single" w:sz="2" w:space="0" w:color="000000"/>
              <w:left w:val="single" w:sz="2" w:space="0" w:color="000000"/>
              <w:bottom w:val="single" w:sz="2" w:space="0" w:color="000000"/>
              <w:right w:val="single" w:sz="2" w:space="0" w:color="000000"/>
            </w:tcBorders>
          </w:tcPr>
          <w:p w14:paraId="134920EE" w14:textId="77777777" w:rsidR="00053D93" w:rsidRDefault="00260B75">
            <w:pPr>
              <w:ind w:left="7"/>
              <w:jc w:val="center"/>
            </w:pPr>
            <w:r>
              <w:rPr>
                <w:rFonts w:ascii="Times New Roman" w:eastAsia="Times New Roman" w:hAnsi="Times New Roman" w:cs="Times New Roman"/>
                <w:sz w:val="18"/>
              </w:rPr>
              <w:t>10-2020</w:t>
            </w:r>
          </w:p>
        </w:tc>
        <w:tc>
          <w:tcPr>
            <w:tcW w:w="979" w:type="dxa"/>
            <w:tcBorders>
              <w:top w:val="single" w:sz="2" w:space="0" w:color="000000"/>
              <w:left w:val="single" w:sz="2" w:space="0" w:color="000000"/>
              <w:bottom w:val="single" w:sz="2" w:space="0" w:color="000000"/>
              <w:right w:val="single" w:sz="2" w:space="0" w:color="000000"/>
            </w:tcBorders>
          </w:tcPr>
          <w:p w14:paraId="778101AE" w14:textId="77777777" w:rsidR="00053D93" w:rsidRDefault="00260B75">
            <w:pPr>
              <w:ind w:right="3"/>
              <w:jc w:val="center"/>
            </w:pPr>
            <w:r>
              <w:rPr>
                <w:sz w:val="16"/>
              </w:rPr>
              <w:t>IO/01/2020</w:t>
            </w:r>
          </w:p>
        </w:tc>
        <w:tc>
          <w:tcPr>
            <w:tcW w:w="922" w:type="dxa"/>
            <w:tcBorders>
              <w:top w:val="single" w:sz="2" w:space="0" w:color="000000"/>
              <w:left w:val="single" w:sz="2" w:space="0" w:color="000000"/>
              <w:bottom w:val="single" w:sz="2" w:space="0" w:color="000000"/>
              <w:right w:val="single" w:sz="2" w:space="0" w:color="000000"/>
            </w:tcBorders>
          </w:tcPr>
          <w:p w14:paraId="2B2A6B65" w14:textId="77777777" w:rsidR="00053D93" w:rsidRDefault="00260B75">
            <w:pPr>
              <w:ind w:left="68"/>
            </w:pPr>
            <w:r>
              <w:rPr>
                <w:rFonts w:ascii="Times New Roman" w:eastAsia="Times New Roman" w:hAnsi="Times New Roman" w:cs="Times New Roman"/>
                <w:sz w:val="18"/>
              </w:rPr>
              <w:t>10/01/2020</w:t>
            </w:r>
          </w:p>
        </w:tc>
        <w:tc>
          <w:tcPr>
            <w:tcW w:w="922" w:type="dxa"/>
            <w:tcBorders>
              <w:top w:val="single" w:sz="2" w:space="0" w:color="000000"/>
              <w:left w:val="single" w:sz="2" w:space="0" w:color="000000"/>
              <w:bottom w:val="single" w:sz="2" w:space="0" w:color="000000"/>
              <w:right w:val="single" w:sz="2" w:space="0" w:color="000000"/>
            </w:tcBorders>
          </w:tcPr>
          <w:p w14:paraId="1566CCD9" w14:textId="77777777" w:rsidR="00053D93" w:rsidRDefault="00260B75">
            <w:pPr>
              <w:ind w:left="68"/>
            </w:pPr>
            <w:r>
              <w:rPr>
                <w:rFonts w:ascii="Times New Roman" w:eastAsia="Times New Roman" w:hAnsi="Times New Roman" w:cs="Times New Roman"/>
                <w:sz w:val="18"/>
              </w:rPr>
              <w:t>19/11/2024</w:t>
            </w:r>
          </w:p>
        </w:tc>
        <w:tc>
          <w:tcPr>
            <w:tcW w:w="854" w:type="dxa"/>
            <w:tcBorders>
              <w:top w:val="single" w:sz="2" w:space="0" w:color="000000"/>
              <w:left w:val="single" w:sz="2" w:space="0" w:color="000000"/>
              <w:bottom w:val="single" w:sz="2" w:space="0" w:color="000000"/>
              <w:right w:val="single" w:sz="2" w:space="0" w:color="000000"/>
            </w:tcBorders>
          </w:tcPr>
          <w:p w14:paraId="23CD5B6E" w14:textId="77777777" w:rsidR="00053D93" w:rsidRDefault="00260B75">
            <w:pPr>
              <w:ind w:left="97" w:right="90" w:firstLine="72"/>
              <w:jc w:val="both"/>
            </w:pPr>
            <w:r>
              <w:rPr>
                <w:sz w:val="18"/>
              </w:rPr>
              <w:t>4 años, 10 meses y g días</w:t>
            </w:r>
          </w:p>
        </w:tc>
      </w:tr>
      <w:tr w:rsidR="00053D93" w14:paraId="6FC466ED" w14:textId="77777777">
        <w:trPr>
          <w:trHeight w:val="828"/>
        </w:trPr>
        <w:tc>
          <w:tcPr>
            <w:tcW w:w="249" w:type="dxa"/>
            <w:tcBorders>
              <w:top w:val="single" w:sz="2" w:space="0" w:color="000000"/>
              <w:left w:val="single" w:sz="2" w:space="0" w:color="000000"/>
              <w:bottom w:val="single" w:sz="2" w:space="0" w:color="000000"/>
              <w:right w:val="single" w:sz="2" w:space="0" w:color="000000"/>
            </w:tcBorders>
          </w:tcPr>
          <w:p w14:paraId="675C5D83" w14:textId="77777777" w:rsidR="00053D93" w:rsidRDefault="00260B75">
            <w:pPr>
              <w:ind w:left="65"/>
            </w:pPr>
            <w:r>
              <w:rPr>
                <w:rFonts w:ascii="Times New Roman" w:eastAsia="Times New Roman" w:hAnsi="Times New Roman" w:cs="Times New Roman"/>
                <w:sz w:val="16"/>
              </w:rPr>
              <w:t>2</w:t>
            </w:r>
          </w:p>
        </w:tc>
        <w:tc>
          <w:tcPr>
            <w:tcW w:w="1062" w:type="dxa"/>
            <w:gridSpan w:val="3"/>
            <w:tcBorders>
              <w:top w:val="single" w:sz="2" w:space="0" w:color="000000"/>
              <w:left w:val="single" w:sz="2" w:space="0" w:color="000000"/>
              <w:bottom w:val="single" w:sz="2" w:space="0" w:color="000000"/>
              <w:right w:val="single" w:sz="2" w:space="0" w:color="000000"/>
            </w:tcBorders>
          </w:tcPr>
          <w:p w14:paraId="5D7C5C68" w14:textId="77777777" w:rsidR="00053D93" w:rsidRDefault="00260B75">
            <w:pPr>
              <w:ind w:left="71"/>
              <w:jc w:val="center"/>
            </w:pPr>
            <w:r>
              <w:rPr>
                <w:rFonts w:ascii="Times New Roman" w:eastAsia="Times New Roman" w:hAnsi="Times New Roman" w:cs="Times New Roman"/>
                <w:sz w:val="16"/>
              </w:rPr>
              <w:t>9901212293</w:t>
            </w:r>
          </w:p>
        </w:tc>
        <w:tc>
          <w:tcPr>
            <w:tcW w:w="1097" w:type="dxa"/>
            <w:tcBorders>
              <w:top w:val="single" w:sz="2" w:space="0" w:color="000000"/>
              <w:left w:val="single" w:sz="2" w:space="0" w:color="000000"/>
              <w:bottom w:val="single" w:sz="2" w:space="0" w:color="000000"/>
              <w:right w:val="single" w:sz="2" w:space="0" w:color="000000"/>
            </w:tcBorders>
          </w:tcPr>
          <w:p w14:paraId="06F1D841" w14:textId="77777777" w:rsidR="00053D93" w:rsidRDefault="00260B75">
            <w:pPr>
              <w:spacing w:after="44"/>
              <w:ind w:left="7"/>
              <w:jc w:val="center"/>
            </w:pPr>
            <w:r>
              <w:rPr>
                <w:sz w:val="16"/>
              </w:rPr>
              <w:t>Asistente</w:t>
            </w:r>
          </w:p>
          <w:p w14:paraId="0701DA42" w14:textId="77777777" w:rsidR="00053D93" w:rsidRDefault="00260B75">
            <w:pPr>
              <w:ind w:left="7"/>
              <w:jc w:val="center"/>
            </w:pPr>
            <w:r>
              <w:rPr>
                <w:sz w:val="18"/>
              </w:rPr>
              <w:t>Profesional I</w:t>
            </w:r>
          </w:p>
        </w:tc>
        <w:tc>
          <w:tcPr>
            <w:tcW w:w="1221" w:type="dxa"/>
            <w:tcBorders>
              <w:top w:val="single" w:sz="2" w:space="0" w:color="000000"/>
              <w:left w:val="single" w:sz="2" w:space="0" w:color="000000"/>
              <w:bottom w:val="single" w:sz="2" w:space="0" w:color="000000"/>
              <w:right w:val="single" w:sz="2" w:space="0" w:color="000000"/>
            </w:tcBorders>
          </w:tcPr>
          <w:p w14:paraId="6D1EC2A2" w14:textId="77777777" w:rsidR="00053D93" w:rsidRDefault="00260B75">
            <w:pPr>
              <w:spacing w:line="232" w:lineRule="auto"/>
              <w:ind w:left="522" w:right="11" w:hanging="360"/>
            </w:pPr>
            <w:r>
              <w:rPr>
                <w:sz w:val="18"/>
              </w:rPr>
              <w:t>Jefe Sección de</w:t>
            </w:r>
          </w:p>
          <w:p w14:paraId="501DA495" w14:textId="77777777" w:rsidR="00053D93" w:rsidRDefault="00260B75">
            <w:pPr>
              <w:ind w:right="7"/>
              <w:jc w:val="center"/>
            </w:pPr>
            <w:r>
              <w:rPr>
                <w:sz w:val="18"/>
              </w:rPr>
              <w:t>Transportes.</w:t>
            </w:r>
          </w:p>
        </w:tc>
        <w:tc>
          <w:tcPr>
            <w:tcW w:w="1083" w:type="dxa"/>
            <w:tcBorders>
              <w:top w:val="single" w:sz="2" w:space="0" w:color="000000"/>
              <w:left w:val="single" w:sz="2" w:space="0" w:color="000000"/>
              <w:bottom w:val="single" w:sz="2" w:space="0" w:color="000000"/>
              <w:right w:val="single" w:sz="2" w:space="0" w:color="000000"/>
            </w:tcBorders>
          </w:tcPr>
          <w:p w14:paraId="1C3FB8FB" w14:textId="77777777" w:rsidR="00053D93" w:rsidRDefault="00260B75">
            <w:pPr>
              <w:ind w:right="7"/>
              <w:jc w:val="center"/>
            </w:pPr>
            <w:r>
              <w:rPr>
                <w:rFonts w:ascii="Times New Roman" w:eastAsia="Times New Roman" w:hAnsi="Times New Roman" w:cs="Times New Roman"/>
                <w:sz w:val="18"/>
              </w:rPr>
              <w:t>02-2023</w:t>
            </w:r>
          </w:p>
        </w:tc>
        <w:tc>
          <w:tcPr>
            <w:tcW w:w="979" w:type="dxa"/>
            <w:tcBorders>
              <w:top w:val="single" w:sz="2" w:space="0" w:color="000000"/>
              <w:left w:val="single" w:sz="2" w:space="0" w:color="000000"/>
              <w:bottom w:val="single" w:sz="2" w:space="0" w:color="000000"/>
              <w:right w:val="single" w:sz="2" w:space="0" w:color="000000"/>
            </w:tcBorders>
          </w:tcPr>
          <w:p w14:paraId="53A82849" w14:textId="77777777" w:rsidR="00053D93" w:rsidRDefault="00260B75">
            <w:pPr>
              <w:ind w:right="17"/>
              <w:jc w:val="center"/>
            </w:pPr>
            <w:r>
              <w:rPr>
                <w:rFonts w:ascii="Times New Roman" w:eastAsia="Times New Roman" w:hAnsi="Times New Roman" w:cs="Times New Roman"/>
                <w:sz w:val="16"/>
              </w:rPr>
              <w:t>4/01/2023</w:t>
            </w:r>
          </w:p>
        </w:tc>
        <w:tc>
          <w:tcPr>
            <w:tcW w:w="922" w:type="dxa"/>
            <w:tcBorders>
              <w:top w:val="single" w:sz="2" w:space="0" w:color="000000"/>
              <w:left w:val="single" w:sz="2" w:space="0" w:color="000000"/>
              <w:bottom w:val="single" w:sz="2" w:space="0" w:color="000000"/>
              <w:right w:val="single" w:sz="2" w:space="0" w:color="000000"/>
            </w:tcBorders>
          </w:tcPr>
          <w:p w14:paraId="751E4DB6" w14:textId="77777777" w:rsidR="00053D93" w:rsidRDefault="00260B75">
            <w:pPr>
              <w:ind w:left="97"/>
            </w:pPr>
            <w:r>
              <w:rPr>
                <w:rFonts w:ascii="Times New Roman" w:eastAsia="Times New Roman" w:hAnsi="Times New Roman" w:cs="Times New Roman"/>
                <w:sz w:val="16"/>
              </w:rPr>
              <w:t>4/0112023</w:t>
            </w:r>
          </w:p>
        </w:tc>
        <w:tc>
          <w:tcPr>
            <w:tcW w:w="922" w:type="dxa"/>
            <w:tcBorders>
              <w:top w:val="single" w:sz="2" w:space="0" w:color="000000"/>
              <w:left w:val="single" w:sz="2" w:space="0" w:color="000000"/>
              <w:bottom w:val="single" w:sz="2" w:space="0" w:color="000000"/>
              <w:right w:val="single" w:sz="2" w:space="0" w:color="000000"/>
            </w:tcBorders>
          </w:tcPr>
          <w:p w14:paraId="26982D1D" w14:textId="77777777" w:rsidR="00053D93" w:rsidRDefault="00260B75">
            <w:pPr>
              <w:ind w:left="68"/>
            </w:pPr>
            <w:r>
              <w:rPr>
                <w:rFonts w:ascii="Times New Roman" w:eastAsia="Times New Roman" w:hAnsi="Times New Roman" w:cs="Times New Roman"/>
                <w:sz w:val="16"/>
              </w:rPr>
              <w:t>1 6112/2024</w:t>
            </w:r>
          </w:p>
        </w:tc>
        <w:tc>
          <w:tcPr>
            <w:tcW w:w="854" w:type="dxa"/>
            <w:tcBorders>
              <w:top w:val="single" w:sz="2" w:space="0" w:color="000000"/>
              <w:left w:val="single" w:sz="2" w:space="0" w:color="000000"/>
              <w:bottom w:val="single" w:sz="2" w:space="0" w:color="000000"/>
              <w:right w:val="single" w:sz="2" w:space="0" w:color="000000"/>
            </w:tcBorders>
          </w:tcPr>
          <w:p w14:paraId="37077DE3" w14:textId="77777777" w:rsidR="00053D93" w:rsidRDefault="00260B75">
            <w:pPr>
              <w:spacing w:line="255" w:lineRule="auto"/>
              <w:ind w:left="133" w:hanging="29"/>
              <w:jc w:val="both"/>
            </w:pPr>
            <w:r>
              <w:rPr>
                <w:sz w:val="18"/>
              </w:rPr>
              <w:t>1 año. II meses y</w:t>
            </w:r>
          </w:p>
          <w:p w14:paraId="35754AD4" w14:textId="77777777" w:rsidR="00053D93" w:rsidRDefault="00260B75">
            <w:pPr>
              <w:ind w:left="7"/>
              <w:jc w:val="center"/>
            </w:pPr>
            <w:r>
              <w:rPr>
                <w:sz w:val="18"/>
              </w:rPr>
              <w:t>12 días</w:t>
            </w:r>
          </w:p>
        </w:tc>
      </w:tr>
      <w:tr w:rsidR="00053D93" w14:paraId="51D47399" w14:textId="77777777">
        <w:trPr>
          <w:trHeight w:val="692"/>
        </w:trPr>
        <w:tc>
          <w:tcPr>
            <w:tcW w:w="249" w:type="dxa"/>
            <w:tcBorders>
              <w:top w:val="single" w:sz="2" w:space="0" w:color="000000"/>
              <w:left w:val="single" w:sz="2" w:space="0" w:color="000000"/>
              <w:bottom w:val="single" w:sz="2" w:space="0" w:color="000000"/>
              <w:right w:val="single" w:sz="2" w:space="0" w:color="000000"/>
            </w:tcBorders>
          </w:tcPr>
          <w:p w14:paraId="5CAD8FFA" w14:textId="77777777" w:rsidR="00053D93" w:rsidRDefault="00260B75">
            <w:pPr>
              <w:ind w:left="65"/>
            </w:pPr>
            <w:r>
              <w:rPr>
                <w:rFonts w:ascii="Times New Roman" w:eastAsia="Times New Roman" w:hAnsi="Times New Roman" w:cs="Times New Roman"/>
                <w:sz w:val="20"/>
              </w:rPr>
              <w:t>3</w:t>
            </w:r>
          </w:p>
        </w:tc>
        <w:tc>
          <w:tcPr>
            <w:tcW w:w="1062" w:type="dxa"/>
            <w:gridSpan w:val="3"/>
            <w:tcBorders>
              <w:top w:val="single" w:sz="2" w:space="0" w:color="000000"/>
              <w:left w:val="single" w:sz="2" w:space="0" w:color="000000"/>
              <w:bottom w:val="single" w:sz="2" w:space="0" w:color="000000"/>
              <w:right w:val="single" w:sz="2" w:space="0" w:color="000000"/>
            </w:tcBorders>
          </w:tcPr>
          <w:p w14:paraId="097949A8" w14:textId="77777777" w:rsidR="00053D93" w:rsidRDefault="00260B75">
            <w:pPr>
              <w:ind w:left="64"/>
              <w:jc w:val="center"/>
            </w:pPr>
            <w:r>
              <w:rPr>
                <w:rFonts w:ascii="Times New Roman" w:eastAsia="Times New Roman" w:hAnsi="Times New Roman" w:cs="Times New Roman"/>
                <w:sz w:val="16"/>
              </w:rPr>
              <w:t>9901212306</w:t>
            </w:r>
          </w:p>
        </w:tc>
        <w:tc>
          <w:tcPr>
            <w:tcW w:w="1097" w:type="dxa"/>
            <w:tcBorders>
              <w:top w:val="single" w:sz="2" w:space="0" w:color="000000"/>
              <w:left w:val="single" w:sz="2" w:space="0" w:color="000000"/>
              <w:bottom w:val="single" w:sz="2" w:space="0" w:color="000000"/>
              <w:right w:val="single" w:sz="2" w:space="0" w:color="000000"/>
            </w:tcBorders>
          </w:tcPr>
          <w:p w14:paraId="0D0B71B9" w14:textId="77777777" w:rsidR="00053D93" w:rsidRDefault="00260B75">
            <w:pPr>
              <w:jc w:val="center"/>
            </w:pPr>
            <w:r>
              <w:rPr>
                <w:sz w:val="18"/>
              </w:rPr>
              <w:t>Profesional I</w:t>
            </w:r>
          </w:p>
        </w:tc>
        <w:tc>
          <w:tcPr>
            <w:tcW w:w="1221" w:type="dxa"/>
            <w:tcBorders>
              <w:top w:val="single" w:sz="2" w:space="0" w:color="000000"/>
              <w:left w:val="single" w:sz="2" w:space="0" w:color="000000"/>
              <w:bottom w:val="single" w:sz="2" w:space="0" w:color="000000"/>
              <w:right w:val="single" w:sz="2" w:space="0" w:color="000000"/>
            </w:tcBorders>
          </w:tcPr>
          <w:p w14:paraId="0B1688D2" w14:textId="77777777" w:rsidR="00053D93" w:rsidRDefault="00260B75">
            <w:pPr>
              <w:spacing w:after="1"/>
              <w:ind w:left="7"/>
              <w:jc w:val="center"/>
            </w:pPr>
            <w:r>
              <w:rPr>
                <w:sz w:val="16"/>
              </w:rPr>
              <w:t>Coordinador</w:t>
            </w:r>
          </w:p>
          <w:p w14:paraId="7A8BA61E" w14:textId="77777777" w:rsidR="00053D93" w:rsidRDefault="00260B75">
            <w:pPr>
              <w:ind w:right="7"/>
              <w:jc w:val="center"/>
            </w:pPr>
            <w:r>
              <w:rPr>
                <w:sz w:val="16"/>
              </w:rPr>
              <w:t>Administrativo,</w:t>
            </w:r>
          </w:p>
        </w:tc>
        <w:tc>
          <w:tcPr>
            <w:tcW w:w="1083" w:type="dxa"/>
            <w:tcBorders>
              <w:top w:val="single" w:sz="2" w:space="0" w:color="000000"/>
              <w:left w:val="single" w:sz="2" w:space="0" w:color="000000"/>
              <w:bottom w:val="single" w:sz="2" w:space="0" w:color="000000"/>
              <w:right w:val="single" w:sz="2" w:space="0" w:color="000000"/>
            </w:tcBorders>
          </w:tcPr>
          <w:p w14:paraId="5A70D830" w14:textId="77777777" w:rsidR="00053D93" w:rsidRDefault="00260B75">
            <w:pPr>
              <w:ind w:right="7"/>
              <w:jc w:val="center"/>
            </w:pPr>
            <w:r>
              <w:rPr>
                <w:rFonts w:ascii="Times New Roman" w:eastAsia="Times New Roman" w:hAnsi="Times New Roman" w:cs="Times New Roman"/>
                <w:sz w:val="16"/>
              </w:rPr>
              <w:t>016-2024</w:t>
            </w:r>
          </w:p>
        </w:tc>
        <w:tc>
          <w:tcPr>
            <w:tcW w:w="979" w:type="dxa"/>
            <w:tcBorders>
              <w:top w:val="single" w:sz="2" w:space="0" w:color="000000"/>
              <w:left w:val="single" w:sz="2" w:space="0" w:color="000000"/>
              <w:bottom w:val="single" w:sz="2" w:space="0" w:color="000000"/>
              <w:right w:val="single" w:sz="2" w:space="0" w:color="000000"/>
            </w:tcBorders>
          </w:tcPr>
          <w:p w14:paraId="36229D0E" w14:textId="77777777" w:rsidR="00053D93" w:rsidRDefault="00260B75">
            <w:pPr>
              <w:ind w:left="97"/>
            </w:pPr>
            <w:r>
              <w:rPr>
                <w:rFonts w:ascii="Times New Roman" w:eastAsia="Times New Roman" w:hAnsi="Times New Roman" w:cs="Times New Roman"/>
                <w:sz w:val="16"/>
              </w:rPr>
              <w:t>23/01/2024</w:t>
            </w:r>
          </w:p>
        </w:tc>
        <w:tc>
          <w:tcPr>
            <w:tcW w:w="922" w:type="dxa"/>
            <w:tcBorders>
              <w:top w:val="single" w:sz="2" w:space="0" w:color="000000"/>
              <w:left w:val="single" w:sz="2" w:space="0" w:color="000000"/>
              <w:bottom w:val="single" w:sz="2" w:space="0" w:color="000000"/>
              <w:right w:val="single" w:sz="2" w:space="0" w:color="000000"/>
            </w:tcBorders>
          </w:tcPr>
          <w:p w14:paraId="68EFDFF9" w14:textId="77777777" w:rsidR="00053D93" w:rsidRDefault="00260B75">
            <w:pPr>
              <w:ind w:left="61"/>
            </w:pPr>
            <w:r>
              <w:rPr>
                <w:rFonts w:ascii="Times New Roman" w:eastAsia="Times New Roman" w:hAnsi="Times New Roman" w:cs="Times New Roman"/>
                <w:sz w:val="16"/>
              </w:rPr>
              <w:t>24/01/2024</w:t>
            </w:r>
          </w:p>
        </w:tc>
        <w:tc>
          <w:tcPr>
            <w:tcW w:w="922" w:type="dxa"/>
            <w:tcBorders>
              <w:top w:val="single" w:sz="2" w:space="0" w:color="000000"/>
              <w:left w:val="single" w:sz="2" w:space="0" w:color="000000"/>
              <w:bottom w:val="single" w:sz="2" w:space="0" w:color="000000"/>
              <w:right w:val="single" w:sz="2" w:space="0" w:color="000000"/>
            </w:tcBorders>
          </w:tcPr>
          <w:p w14:paraId="55705502" w14:textId="77777777" w:rsidR="00053D93" w:rsidRDefault="00260B75">
            <w:pPr>
              <w:ind w:left="68"/>
            </w:pPr>
            <w:r>
              <w:rPr>
                <w:rFonts w:ascii="Times New Roman" w:eastAsia="Times New Roman" w:hAnsi="Times New Roman" w:cs="Times New Roman"/>
                <w:sz w:val="16"/>
              </w:rPr>
              <w:t>1 411 0/2024</w:t>
            </w:r>
          </w:p>
        </w:tc>
        <w:tc>
          <w:tcPr>
            <w:tcW w:w="854" w:type="dxa"/>
            <w:tcBorders>
              <w:top w:val="single" w:sz="2" w:space="0" w:color="000000"/>
              <w:left w:val="single" w:sz="2" w:space="0" w:color="000000"/>
              <w:bottom w:val="single" w:sz="2" w:space="0" w:color="000000"/>
              <w:right w:val="single" w:sz="2" w:space="0" w:color="000000"/>
            </w:tcBorders>
          </w:tcPr>
          <w:p w14:paraId="517A09BD" w14:textId="77777777" w:rsidR="00053D93" w:rsidRDefault="00260B75">
            <w:pPr>
              <w:ind w:left="104" w:right="54" w:firstLine="29"/>
              <w:jc w:val="both"/>
            </w:pPr>
            <w:r>
              <w:rPr>
                <w:sz w:val="18"/>
              </w:rPr>
              <w:t>8 meses y 20 días</w:t>
            </w:r>
          </w:p>
        </w:tc>
      </w:tr>
      <w:tr w:rsidR="00053D93" w14:paraId="7A6F187D" w14:textId="77777777">
        <w:trPr>
          <w:trHeight w:val="971"/>
        </w:trPr>
        <w:tc>
          <w:tcPr>
            <w:tcW w:w="249" w:type="dxa"/>
            <w:tcBorders>
              <w:top w:val="single" w:sz="2" w:space="0" w:color="000000"/>
              <w:left w:val="single" w:sz="2" w:space="0" w:color="000000"/>
              <w:bottom w:val="single" w:sz="2" w:space="0" w:color="000000"/>
              <w:right w:val="single" w:sz="2" w:space="0" w:color="000000"/>
            </w:tcBorders>
          </w:tcPr>
          <w:p w14:paraId="5E63898D" w14:textId="77777777" w:rsidR="00053D93" w:rsidRDefault="00053D93"/>
        </w:tc>
        <w:tc>
          <w:tcPr>
            <w:tcW w:w="1062" w:type="dxa"/>
            <w:gridSpan w:val="3"/>
            <w:tcBorders>
              <w:top w:val="single" w:sz="2" w:space="0" w:color="000000"/>
              <w:left w:val="single" w:sz="2" w:space="0" w:color="000000"/>
              <w:bottom w:val="single" w:sz="2" w:space="0" w:color="000000"/>
              <w:right w:val="single" w:sz="2" w:space="0" w:color="000000"/>
            </w:tcBorders>
          </w:tcPr>
          <w:p w14:paraId="2BA0BF50" w14:textId="77777777" w:rsidR="00053D93" w:rsidRDefault="00053D93"/>
        </w:tc>
        <w:tc>
          <w:tcPr>
            <w:tcW w:w="1097" w:type="dxa"/>
            <w:tcBorders>
              <w:top w:val="single" w:sz="2" w:space="0" w:color="000000"/>
              <w:left w:val="single" w:sz="2" w:space="0" w:color="000000"/>
              <w:bottom w:val="single" w:sz="2" w:space="0" w:color="000000"/>
              <w:right w:val="single" w:sz="2" w:space="0" w:color="000000"/>
            </w:tcBorders>
            <w:vAlign w:val="center"/>
          </w:tcPr>
          <w:p w14:paraId="50D838C7" w14:textId="77777777" w:rsidR="00053D93" w:rsidRDefault="00260B75">
            <w:pPr>
              <w:spacing w:after="79"/>
              <w:ind w:left="165"/>
            </w:pPr>
            <w:r>
              <w:rPr>
                <w:noProof/>
              </w:rPr>
              <w:drawing>
                <wp:inline distT="0" distB="0" distL="0" distR="0" wp14:anchorId="5562EE1B" wp14:editId="4F556A7C">
                  <wp:extent cx="470916" cy="205740"/>
                  <wp:effectExtent l="0" t="0" r="0" b="0"/>
                  <wp:docPr id="373454" name="Picture 373454"/>
                  <wp:cNvGraphicFramePr/>
                  <a:graphic xmlns:a="http://schemas.openxmlformats.org/drawingml/2006/main">
                    <a:graphicData uri="http://schemas.openxmlformats.org/drawingml/2006/picture">
                      <pic:pic xmlns:pic="http://schemas.openxmlformats.org/drawingml/2006/picture">
                        <pic:nvPicPr>
                          <pic:cNvPr id="373454" name="Picture 373454"/>
                          <pic:cNvPicPr/>
                        </pic:nvPicPr>
                        <pic:blipFill>
                          <a:blip r:embed="rId608"/>
                          <a:stretch>
                            <a:fillRect/>
                          </a:stretch>
                        </pic:blipFill>
                        <pic:spPr>
                          <a:xfrm>
                            <a:off x="0" y="0"/>
                            <a:ext cx="470916" cy="205740"/>
                          </a:xfrm>
                          <a:prstGeom prst="rect">
                            <a:avLst/>
                          </a:prstGeom>
                        </pic:spPr>
                      </pic:pic>
                    </a:graphicData>
                  </a:graphic>
                </wp:inline>
              </w:drawing>
            </w:r>
          </w:p>
          <w:p w14:paraId="12070688" w14:textId="77777777" w:rsidR="00053D93" w:rsidRDefault="00260B75">
            <w:pPr>
              <w:ind w:left="71"/>
            </w:pPr>
            <w:r>
              <w:rPr>
                <w:sz w:val="18"/>
              </w:rPr>
              <w:t>Especializado</w:t>
            </w:r>
          </w:p>
        </w:tc>
        <w:tc>
          <w:tcPr>
            <w:tcW w:w="1221" w:type="dxa"/>
            <w:tcBorders>
              <w:top w:val="single" w:sz="2" w:space="0" w:color="000000"/>
              <w:left w:val="single" w:sz="2" w:space="0" w:color="000000"/>
              <w:bottom w:val="single" w:sz="2" w:space="0" w:color="000000"/>
              <w:right w:val="single" w:sz="2" w:space="0" w:color="000000"/>
            </w:tcBorders>
            <w:vAlign w:val="bottom"/>
          </w:tcPr>
          <w:p w14:paraId="329259E3" w14:textId="77777777" w:rsidR="00053D93" w:rsidRDefault="00260B75">
            <w:pPr>
              <w:spacing w:after="58"/>
              <w:ind w:left="119"/>
            </w:pPr>
            <w:r>
              <w:rPr>
                <w:noProof/>
              </w:rPr>
              <w:drawing>
                <wp:inline distT="0" distB="0" distL="0" distR="0" wp14:anchorId="1AE2E75F" wp14:editId="0DD2F691">
                  <wp:extent cx="608076" cy="224029"/>
                  <wp:effectExtent l="0" t="0" r="0" b="0"/>
                  <wp:docPr id="373479" name="Picture 373479"/>
                  <wp:cNvGraphicFramePr/>
                  <a:graphic xmlns:a="http://schemas.openxmlformats.org/drawingml/2006/main">
                    <a:graphicData uri="http://schemas.openxmlformats.org/drawingml/2006/picture">
                      <pic:pic xmlns:pic="http://schemas.openxmlformats.org/drawingml/2006/picture">
                        <pic:nvPicPr>
                          <pic:cNvPr id="373479" name="Picture 373479"/>
                          <pic:cNvPicPr/>
                        </pic:nvPicPr>
                        <pic:blipFill>
                          <a:blip r:embed="rId609"/>
                          <a:stretch>
                            <a:fillRect/>
                          </a:stretch>
                        </pic:blipFill>
                        <pic:spPr>
                          <a:xfrm>
                            <a:off x="0" y="0"/>
                            <a:ext cx="608076" cy="224029"/>
                          </a:xfrm>
                          <a:prstGeom prst="rect">
                            <a:avLst/>
                          </a:prstGeom>
                        </pic:spPr>
                      </pic:pic>
                    </a:graphicData>
                  </a:graphic>
                </wp:inline>
              </w:drawing>
            </w:r>
          </w:p>
          <w:p w14:paraId="338F2212" w14:textId="77777777" w:rsidR="00053D93" w:rsidRDefault="00260B75">
            <w:pPr>
              <w:spacing w:line="302" w:lineRule="auto"/>
              <w:jc w:val="center"/>
            </w:pPr>
            <w:r>
              <w:rPr>
                <w:sz w:val="16"/>
              </w:rPr>
              <w:t>de Desarrollo Deportivo</w:t>
            </w:r>
          </w:p>
          <w:p w14:paraId="151AE6C1" w14:textId="77777777" w:rsidR="00053D93" w:rsidRDefault="00260B75">
            <w:pPr>
              <w:ind w:right="7"/>
              <w:jc w:val="center"/>
            </w:pPr>
            <w:r>
              <w:rPr>
                <w:sz w:val="18"/>
              </w:rPr>
              <w:t>Escolar, A.l.</w:t>
            </w:r>
          </w:p>
        </w:tc>
        <w:tc>
          <w:tcPr>
            <w:tcW w:w="1083" w:type="dxa"/>
            <w:tcBorders>
              <w:top w:val="single" w:sz="2" w:space="0" w:color="000000"/>
              <w:left w:val="single" w:sz="2" w:space="0" w:color="000000"/>
              <w:bottom w:val="single" w:sz="2" w:space="0" w:color="000000"/>
              <w:right w:val="single" w:sz="2" w:space="0" w:color="000000"/>
            </w:tcBorders>
          </w:tcPr>
          <w:p w14:paraId="44134843" w14:textId="77777777" w:rsidR="00053D93" w:rsidRDefault="00053D93"/>
        </w:tc>
        <w:tc>
          <w:tcPr>
            <w:tcW w:w="979" w:type="dxa"/>
            <w:tcBorders>
              <w:top w:val="single" w:sz="2" w:space="0" w:color="000000"/>
              <w:left w:val="single" w:sz="2" w:space="0" w:color="000000"/>
              <w:bottom w:val="single" w:sz="2" w:space="0" w:color="000000"/>
              <w:right w:val="single" w:sz="2" w:space="0" w:color="000000"/>
            </w:tcBorders>
          </w:tcPr>
          <w:p w14:paraId="32C81D7D" w14:textId="77777777" w:rsidR="00053D93" w:rsidRDefault="00053D93"/>
        </w:tc>
        <w:tc>
          <w:tcPr>
            <w:tcW w:w="922" w:type="dxa"/>
            <w:tcBorders>
              <w:top w:val="single" w:sz="2" w:space="0" w:color="000000"/>
              <w:left w:val="single" w:sz="2" w:space="0" w:color="000000"/>
              <w:bottom w:val="single" w:sz="2" w:space="0" w:color="000000"/>
              <w:right w:val="single" w:sz="2" w:space="0" w:color="000000"/>
            </w:tcBorders>
          </w:tcPr>
          <w:p w14:paraId="42201482" w14:textId="77777777" w:rsidR="00053D93" w:rsidRDefault="00053D93"/>
        </w:tc>
        <w:tc>
          <w:tcPr>
            <w:tcW w:w="922" w:type="dxa"/>
            <w:tcBorders>
              <w:top w:val="single" w:sz="2" w:space="0" w:color="000000"/>
              <w:left w:val="single" w:sz="2" w:space="0" w:color="000000"/>
              <w:bottom w:val="single" w:sz="2" w:space="0" w:color="000000"/>
              <w:right w:val="single" w:sz="2" w:space="0" w:color="000000"/>
            </w:tcBorders>
          </w:tcPr>
          <w:p w14:paraId="63BF9FBB" w14:textId="77777777" w:rsidR="00053D93" w:rsidRDefault="00053D93"/>
        </w:tc>
        <w:tc>
          <w:tcPr>
            <w:tcW w:w="854" w:type="dxa"/>
            <w:tcBorders>
              <w:top w:val="single" w:sz="2" w:space="0" w:color="000000"/>
              <w:left w:val="single" w:sz="2" w:space="0" w:color="000000"/>
              <w:bottom w:val="single" w:sz="2" w:space="0" w:color="000000"/>
              <w:right w:val="single" w:sz="2" w:space="0" w:color="000000"/>
            </w:tcBorders>
          </w:tcPr>
          <w:p w14:paraId="495FC756" w14:textId="77777777" w:rsidR="00053D93" w:rsidRDefault="00053D93"/>
        </w:tc>
      </w:tr>
      <w:tr w:rsidR="00053D93" w14:paraId="0BB51AA7" w14:textId="77777777">
        <w:trPr>
          <w:trHeight w:val="1030"/>
        </w:trPr>
        <w:tc>
          <w:tcPr>
            <w:tcW w:w="249" w:type="dxa"/>
            <w:tcBorders>
              <w:top w:val="single" w:sz="2" w:space="0" w:color="000000"/>
              <w:left w:val="single" w:sz="2" w:space="0" w:color="000000"/>
              <w:bottom w:val="single" w:sz="2" w:space="0" w:color="000000"/>
              <w:right w:val="single" w:sz="2" w:space="0" w:color="000000"/>
            </w:tcBorders>
          </w:tcPr>
          <w:p w14:paraId="130B62FB" w14:textId="77777777" w:rsidR="00053D93" w:rsidRDefault="00260B75">
            <w:pPr>
              <w:ind w:left="65"/>
            </w:pPr>
            <w:r>
              <w:rPr>
                <w:rFonts w:ascii="Times New Roman" w:eastAsia="Times New Roman" w:hAnsi="Times New Roman" w:cs="Times New Roman"/>
                <w:sz w:val="16"/>
              </w:rPr>
              <w:t>5</w:t>
            </w:r>
          </w:p>
        </w:tc>
        <w:tc>
          <w:tcPr>
            <w:tcW w:w="1062" w:type="dxa"/>
            <w:gridSpan w:val="3"/>
            <w:tcBorders>
              <w:top w:val="single" w:sz="2" w:space="0" w:color="000000"/>
              <w:left w:val="single" w:sz="2" w:space="0" w:color="000000"/>
              <w:bottom w:val="single" w:sz="2" w:space="0" w:color="000000"/>
              <w:right w:val="single" w:sz="2" w:space="0" w:color="000000"/>
            </w:tcBorders>
          </w:tcPr>
          <w:p w14:paraId="36E0FC7E" w14:textId="77777777" w:rsidR="00053D93" w:rsidRDefault="00260B75">
            <w:pPr>
              <w:ind w:left="50"/>
              <w:jc w:val="center"/>
            </w:pPr>
            <w:r>
              <w:rPr>
                <w:rFonts w:ascii="Times New Roman" w:eastAsia="Times New Roman" w:hAnsi="Times New Roman" w:cs="Times New Roman"/>
                <w:sz w:val="16"/>
              </w:rPr>
              <w:t>990102032</w:t>
            </w:r>
          </w:p>
        </w:tc>
        <w:tc>
          <w:tcPr>
            <w:tcW w:w="1097" w:type="dxa"/>
            <w:tcBorders>
              <w:top w:val="single" w:sz="2" w:space="0" w:color="000000"/>
              <w:left w:val="single" w:sz="2" w:space="0" w:color="000000"/>
              <w:bottom w:val="single" w:sz="2" w:space="0" w:color="000000"/>
              <w:right w:val="single" w:sz="2" w:space="0" w:color="000000"/>
            </w:tcBorders>
          </w:tcPr>
          <w:p w14:paraId="70434849" w14:textId="77777777" w:rsidR="00053D93" w:rsidRDefault="00260B75">
            <w:pPr>
              <w:ind w:left="78"/>
            </w:pPr>
            <w:r>
              <w:rPr>
                <w:sz w:val="18"/>
              </w:rPr>
              <w:t>Profesional III</w:t>
            </w:r>
          </w:p>
        </w:tc>
        <w:tc>
          <w:tcPr>
            <w:tcW w:w="1221" w:type="dxa"/>
            <w:tcBorders>
              <w:top w:val="single" w:sz="2" w:space="0" w:color="000000"/>
              <w:left w:val="single" w:sz="2" w:space="0" w:color="000000"/>
              <w:bottom w:val="single" w:sz="2" w:space="0" w:color="000000"/>
              <w:right w:val="single" w:sz="2" w:space="0" w:color="000000"/>
            </w:tcBorders>
          </w:tcPr>
          <w:p w14:paraId="6039028B" w14:textId="77777777" w:rsidR="00053D93" w:rsidRDefault="00260B75">
            <w:pPr>
              <w:spacing w:line="262" w:lineRule="auto"/>
              <w:ind w:left="119" w:right="126" w:firstLine="209"/>
              <w:jc w:val="both"/>
            </w:pPr>
            <w:r>
              <w:rPr>
                <w:sz w:val="16"/>
              </w:rPr>
              <w:t>Jefe del Departamento de Desarrollo Deportivo</w:t>
            </w:r>
          </w:p>
          <w:p w14:paraId="0623693D" w14:textId="77777777" w:rsidR="00053D93" w:rsidRDefault="00260B75">
            <w:pPr>
              <w:ind w:right="7"/>
              <w:jc w:val="center"/>
            </w:pPr>
            <w:r>
              <w:rPr>
                <w:sz w:val="18"/>
              </w:rPr>
              <w:t>Escolar, A.l.</w:t>
            </w:r>
          </w:p>
        </w:tc>
        <w:tc>
          <w:tcPr>
            <w:tcW w:w="1083" w:type="dxa"/>
            <w:tcBorders>
              <w:top w:val="single" w:sz="2" w:space="0" w:color="000000"/>
              <w:left w:val="single" w:sz="2" w:space="0" w:color="000000"/>
              <w:bottom w:val="single" w:sz="2" w:space="0" w:color="000000"/>
              <w:right w:val="single" w:sz="2" w:space="0" w:color="000000"/>
            </w:tcBorders>
          </w:tcPr>
          <w:p w14:paraId="1788FB5D" w14:textId="77777777" w:rsidR="00053D93" w:rsidRDefault="00260B75">
            <w:pPr>
              <w:ind w:left="71"/>
            </w:pPr>
            <w:r>
              <w:rPr>
                <w:sz w:val="18"/>
              </w:rPr>
              <w:t>DG-064-2024</w:t>
            </w:r>
          </w:p>
        </w:tc>
        <w:tc>
          <w:tcPr>
            <w:tcW w:w="979" w:type="dxa"/>
            <w:tcBorders>
              <w:top w:val="single" w:sz="2" w:space="0" w:color="000000"/>
              <w:left w:val="single" w:sz="2" w:space="0" w:color="000000"/>
              <w:bottom w:val="single" w:sz="2" w:space="0" w:color="000000"/>
              <w:right w:val="single" w:sz="2" w:space="0" w:color="000000"/>
            </w:tcBorders>
          </w:tcPr>
          <w:p w14:paraId="7D1FED15" w14:textId="77777777" w:rsidR="00053D93" w:rsidRDefault="00260B75">
            <w:pPr>
              <w:ind w:left="97"/>
            </w:pPr>
            <w:r>
              <w:rPr>
                <w:rFonts w:ascii="Times New Roman" w:eastAsia="Times New Roman" w:hAnsi="Times New Roman" w:cs="Times New Roman"/>
                <w:sz w:val="16"/>
              </w:rPr>
              <w:t>13/03/2024</w:t>
            </w:r>
          </w:p>
        </w:tc>
        <w:tc>
          <w:tcPr>
            <w:tcW w:w="922" w:type="dxa"/>
            <w:tcBorders>
              <w:top w:val="single" w:sz="2" w:space="0" w:color="000000"/>
              <w:left w:val="single" w:sz="2" w:space="0" w:color="000000"/>
              <w:bottom w:val="single" w:sz="2" w:space="0" w:color="000000"/>
              <w:right w:val="single" w:sz="2" w:space="0" w:color="000000"/>
            </w:tcBorders>
          </w:tcPr>
          <w:p w14:paraId="4CD737B6" w14:textId="77777777" w:rsidR="00053D93" w:rsidRDefault="00260B75">
            <w:pPr>
              <w:ind w:left="61"/>
            </w:pPr>
            <w:r>
              <w:rPr>
                <w:rFonts w:ascii="Times New Roman" w:eastAsia="Times New Roman" w:hAnsi="Times New Roman" w:cs="Times New Roman"/>
                <w:sz w:val="16"/>
              </w:rPr>
              <w:t>15103/2024</w:t>
            </w:r>
          </w:p>
        </w:tc>
        <w:tc>
          <w:tcPr>
            <w:tcW w:w="922" w:type="dxa"/>
            <w:tcBorders>
              <w:top w:val="single" w:sz="2" w:space="0" w:color="000000"/>
              <w:left w:val="single" w:sz="2" w:space="0" w:color="000000"/>
              <w:bottom w:val="single" w:sz="2" w:space="0" w:color="000000"/>
              <w:right w:val="single" w:sz="2" w:space="0" w:color="000000"/>
            </w:tcBorders>
          </w:tcPr>
          <w:p w14:paraId="77812F55" w14:textId="77777777" w:rsidR="00053D93" w:rsidRDefault="00260B75">
            <w:pPr>
              <w:ind w:left="68"/>
            </w:pPr>
            <w:r>
              <w:rPr>
                <w:rFonts w:ascii="Times New Roman" w:eastAsia="Times New Roman" w:hAnsi="Times New Roman" w:cs="Times New Roman"/>
                <w:sz w:val="16"/>
              </w:rPr>
              <w:t>1 3110/2024</w:t>
            </w:r>
          </w:p>
        </w:tc>
        <w:tc>
          <w:tcPr>
            <w:tcW w:w="854" w:type="dxa"/>
            <w:tcBorders>
              <w:top w:val="single" w:sz="2" w:space="0" w:color="000000"/>
              <w:left w:val="single" w:sz="2" w:space="0" w:color="000000"/>
              <w:bottom w:val="single" w:sz="2" w:space="0" w:color="000000"/>
              <w:right w:val="single" w:sz="2" w:space="0" w:color="000000"/>
            </w:tcBorders>
          </w:tcPr>
          <w:p w14:paraId="3201D780" w14:textId="77777777" w:rsidR="00053D93" w:rsidRDefault="00260B75">
            <w:pPr>
              <w:ind w:left="90" w:right="97"/>
              <w:jc w:val="center"/>
            </w:pPr>
            <w:r>
              <w:rPr>
                <w:sz w:val="18"/>
              </w:rPr>
              <w:t>6 meses y 28 días</w:t>
            </w:r>
          </w:p>
        </w:tc>
      </w:tr>
      <w:tr w:rsidR="00053D93" w14:paraId="06F4578A" w14:textId="77777777">
        <w:trPr>
          <w:trHeight w:val="842"/>
        </w:trPr>
        <w:tc>
          <w:tcPr>
            <w:tcW w:w="249" w:type="dxa"/>
            <w:tcBorders>
              <w:top w:val="single" w:sz="2" w:space="0" w:color="000000"/>
              <w:left w:val="single" w:sz="2" w:space="0" w:color="000000"/>
              <w:bottom w:val="single" w:sz="2" w:space="0" w:color="000000"/>
              <w:right w:val="single" w:sz="2" w:space="0" w:color="000000"/>
            </w:tcBorders>
          </w:tcPr>
          <w:p w14:paraId="3DCC2148" w14:textId="77777777" w:rsidR="00053D93" w:rsidRDefault="00053D93"/>
        </w:tc>
        <w:tc>
          <w:tcPr>
            <w:tcW w:w="1062" w:type="dxa"/>
            <w:gridSpan w:val="3"/>
            <w:tcBorders>
              <w:top w:val="single" w:sz="2" w:space="0" w:color="000000"/>
              <w:left w:val="single" w:sz="2" w:space="0" w:color="000000"/>
              <w:bottom w:val="single" w:sz="2" w:space="0" w:color="000000"/>
              <w:right w:val="single" w:sz="2" w:space="0" w:color="000000"/>
            </w:tcBorders>
          </w:tcPr>
          <w:p w14:paraId="5B258BDD" w14:textId="77777777" w:rsidR="00053D93" w:rsidRDefault="00260B75">
            <w:pPr>
              <w:ind w:left="50"/>
              <w:jc w:val="center"/>
            </w:pPr>
            <w:r>
              <w:rPr>
                <w:rFonts w:ascii="Times New Roman" w:eastAsia="Times New Roman" w:hAnsi="Times New Roman" w:cs="Times New Roman"/>
                <w:sz w:val="18"/>
              </w:rPr>
              <w:t>990036015</w:t>
            </w:r>
          </w:p>
        </w:tc>
        <w:tc>
          <w:tcPr>
            <w:tcW w:w="1097" w:type="dxa"/>
            <w:tcBorders>
              <w:top w:val="single" w:sz="2" w:space="0" w:color="000000"/>
              <w:left w:val="single" w:sz="2" w:space="0" w:color="000000"/>
              <w:bottom w:val="single" w:sz="2" w:space="0" w:color="000000"/>
              <w:right w:val="single" w:sz="2" w:space="0" w:color="000000"/>
            </w:tcBorders>
          </w:tcPr>
          <w:p w14:paraId="4A738CC7" w14:textId="77777777" w:rsidR="00053D93" w:rsidRDefault="00260B75">
            <w:pPr>
              <w:ind w:right="7"/>
              <w:jc w:val="center"/>
            </w:pPr>
            <w:r>
              <w:rPr>
                <w:sz w:val="18"/>
              </w:rPr>
              <w:t>Asesor</w:t>
            </w:r>
          </w:p>
          <w:p w14:paraId="4DEC92EC" w14:textId="77777777" w:rsidR="00053D93" w:rsidRDefault="00260B75">
            <w:pPr>
              <w:ind w:right="7"/>
              <w:jc w:val="center"/>
            </w:pPr>
            <w:r>
              <w:rPr>
                <w:sz w:val="18"/>
              </w:rPr>
              <w:t>Profesional</w:t>
            </w:r>
          </w:p>
          <w:p w14:paraId="07CD3F67" w14:textId="77777777" w:rsidR="00053D93" w:rsidRDefault="00260B75">
            <w:pPr>
              <w:ind w:left="64"/>
            </w:pPr>
            <w:r>
              <w:rPr>
                <w:sz w:val="18"/>
              </w:rPr>
              <w:t>Especializado</w:t>
            </w:r>
          </w:p>
        </w:tc>
        <w:tc>
          <w:tcPr>
            <w:tcW w:w="1221" w:type="dxa"/>
            <w:tcBorders>
              <w:top w:val="single" w:sz="2" w:space="0" w:color="000000"/>
              <w:left w:val="single" w:sz="2" w:space="0" w:color="000000"/>
              <w:bottom w:val="single" w:sz="2" w:space="0" w:color="000000"/>
              <w:right w:val="single" w:sz="2" w:space="0" w:color="000000"/>
            </w:tcBorders>
          </w:tcPr>
          <w:p w14:paraId="680619D3" w14:textId="77777777" w:rsidR="00053D93" w:rsidRDefault="00260B75">
            <w:pPr>
              <w:ind w:right="14"/>
              <w:jc w:val="center"/>
            </w:pPr>
            <w:r>
              <w:rPr>
                <w:sz w:val="18"/>
              </w:rPr>
              <w:t>Jefe de</w:t>
            </w:r>
          </w:p>
          <w:p w14:paraId="4D199176" w14:textId="77777777" w:rsidR="00053D93" w:rsidRDefault="00260B75">
            <w:pPr>
              <w:ind w:left="68"/>
            </w:pPr>
            <w:r>
              <w:rPr>
                <w:sz w:val="18"/>
              </w:rPr>
              <w:t>Inventarios, A.I.</w:t>
            </w:r>
          </w:p>
        </w:tc>
        <w:tc>
          <w:tcPr>
            <w:tcW w:w="1083" w:type="dxa"/>
            <w:tcBorders>
              <w:top w:val="single" w:sz="2" w:space="0" w:color="000000"/>
              <w:left w:val="single" w:sz="2" w:space="0" w:color="000000"/>
              <w:bottom w:val="single" w:sz="2" w:space="0" w:color="000000"/>
              <w:right w:val="single" w:sz="2" w:space="0" w:color="000000"/>
            </w:tcBorders>
          </w:tcPr>
          <w:p w14:paraId="68EE4597" w14:textId="77777777" w:rsidR="00053D93" w:rsidRDefault="00260B75">
            <w:pPr>
              <w:ind w:right="14"/>
              <w:jc w:val="center"/>
            </w:pPr>
            <w:r>
              <w:rPr>
                <w:rFonts w:ascii="Times New Roman" w:eastAsia="Times New Roman" w:hAnsi="Times New Roman" w:cs="Times New Roman"/>
                <w:sz w:val="16"/>
              </w:rPr>
              <w:t>8812022</w:t>
            </w:r>
          </w:p>
        </w:tc>
        <w:tc>
          <w:tcPr>
            <w:tcW w:w="979" w:type="dxa"/>
            <w:tcBorders>
              <w:top w:val="single" w:sz="2" w:space="0" w:color="000000"/>
              <w:left w:val="single" w:sz="2" w:space="0" w:color="000000"/>
              <w:bottom w:val="single" w:sz="2" w:space="0" w:color="000000"/>
              <w:right w:val="single" w:sz="2" w:space="0" w:color="000000"/>
            </w:tcBorders>
          </w:tcPr>
          <w:p w14:paraId="17F09703" w14:textId="77777777" w:rsidR="00053D93" w:rsidRDefault="00260B75">
            <w:pPr>
              <w:ind w:left="90"/>
            </w:pPr>
            <w:r>
              <w:rPr>
                <w:rFonts w:ascii="Times New Roman" w:eastAsia="Times New Roman" w:hAnsi="Times New Roman" w:cs="Times New Roman"/>
                <w:sz w:val="16"/>
              </w:rPr>
              <w:t>31/03/2022</w:t>
            </w:r>
          </w:p>
        </w:tc>
        <w:tc>
          <w:tcPr>
            <w:tcW w:w="922" w:type="dxa"/>
            <w:tcBorders>
              <w:top w:val="single" w:sz="2" w:space="0" w:color="000000"/>
              <w:left w:val="single" w:sz="2" w:space="0" w:color="000000"/>
              <w:bottom w:val="single" w:sz="2" w:space="0" w:color="000000"/>
              <w:right w:val="single" w:sz="2" w:space="0" w:color="000000"/>
            </w:tcBorders>
          </w:tcPr>
          <w:p w14:paraId="03DE09D0" w14:textId="77777777" w:rsidR="00053D93" w:rsidRDefault="00260B75">
            <w:pPr>
              <w:ind w:left="104"/>
            </w:pPr>
            <w:r>
              <w:rPr>
                <w:rFonts w:ascii="Times New Roman" w:eastAsia="Times New Roman" w:hAnsi="Times New Roman" w:cs="Times New Roman"/>
                <w:sz w:val="16"/>
              </w:rPr>
              <w:t>1/04/2022</w:t>
            </w:r>
          </w:p>
        </w:tc>
        <w:tc>
          <w:tcPr>
            <w:tcW w:w="922" w:type="dxa"/>
            <w:tcBorders>
              <w:top w:val="single" w:sz="2" w:space="0" w:color="000000"/>
              <w:left w:val="single" w:sz="2" w:space="0" w:color="000000"/>
              <w:bottom w:val="single" w:sz="2" w:space="0" w:color="000000"/>
              <w:right w:val="single" w:sz="2" w:space="0" w:color="000000"/>
            </w:tcBorders>
          </w:tcPr>
          <w:p w14:paraId="782B1B1E" w14:textId="77777777" w:rsidR="00053D93" w:rsidRDefault="00260B75">
            <w:pPr>
              <w:ind w:left="61"/>
            </w:pPr>
            <w:r>
              <w:rPr>
                <w:rFonts w:ascii="Times New Roman" w:eastAsia="Times New Roman" w:hAnsi="Times New Roman" w:cs="Times New Roman"/>
                <w:sz w:val="16"/>
              </w:rPr>
              <w:t>22/09/2024</w:t>
            </w:r>
          </w:p>
        </w:tc>
        <w:tc>
          <w:tcPr>
            <w:tcW w:w="854" w:type="dxa"/>
            <w:tcBorders>
              <w:top w:val="single" w:sz="2" w:space="0" w:color="000000"/>
              <w:left w:val="single" w:sz="2" w:space="0" w:color="000000"/>
              <w:bottom w:val="single" w:sz="2" w:space="0" w:color="000000"/>
              <w:right w:val="single" w:sz="2" w:space="0" w:color="000000"/>
            </w:tcBorders>
          </w:tcPr>
          <w:p w14:paraId="28BC54B2" w14:textId="77777777" w:rsidR="00053D93" w:rsidRDefault="00260B75">
            <w:pPr>
              <w:spacing w:line="246" w:lineRule="auto"/>
              <w:ind w:left="133" w:hanging="29"/>
              <w:jc w:val="both"/>
            </w:pPr>
            <w:r>
              <w:rPr>
                <w:sz w:val="18"/>
              </w:rPr>
              <w:t>2 años, 5 meses y</w:t>
            </w:r>
          </w:p>
          <w:p w14:paraId="5C0A01CF" w14:textId="77777777" w:rsidR="00053D93" w:rsidRDefault="00260B75">
            <w:pPr>
              <w:ind w:right="7"/>
              <w:jc w:val="center"/>
            </w:pPr>
            <w:r>
              <w:rPr>
                <w:sz w:val="18"/>
              </w:rPr>
              <w:t>21 días</w:t>
            </w:r>
          </w:p>
        </w:tc>
      </w:tr>
      <w:tr w:rsidR="00053D93" w14:paraId="303C728B" w14:textId="77777777">
        <w:trPr>
          <w:trHeight w:val="634"/>
        </w:trPr>
        <w:tc>
          <w:tcPr>
            <w:tcW w:w="249" w:type="dxa"/>
            <w:tcBorders>
              <w:top w:val="single" w:sz="2" w:space="0" w:color="000000"/>
              <w:left w:val="single" w:sz="2" w:space="0" w:color="000000"/>
              <w:bottom w:val="single" w:sz="2" w:space="0" w:color="000000"/>
              <w:right w:val="single" w:sz="2" w:space="0" w:color="000000"/>
            </w:tcBorders>
          </w:tcPr>
          <w:p w14:paraId="66CF0DD7" w14:textId="77777777" w:rsidR="00053D93" w:rsidRDefault="00260B75">
            <w:pPr>
              <w:ind w:left="58"/>
            </w:pPr>
            <w:r>
              <w:rPr>
                <w:rFonts w:ascii="Times New Roman" w:eastAsia="Times New Roman" w:hAnsi="Times New Roman" w:cs="Times New Roman"/>
                <w:sz w:val="18"/>
              </w:rPr>
              <w:t>7</w:t>
            </w:r>
          </w:p>
        </w:tc>
        <w:tc>
          <w:tcPr>
            <w:tcW w:w="1062" w:type="dxa"/>
            <w:gridSpan w:val="3"/>
            <w:tcBorders>
              <w:top w:val="single" w:sz="2" w:space="0" w:color="000000"/>
              <w:left w:val="single" w:sz="2" w:space="0" w:color="000000"/>
              <w:bottom w:val="single" w:sz="2" w:space="0" w:color="000000"/>
              <w:right w:val="single" w:sz="2" w:space="0" w:color="000000"/>
            </w:tcBorders>
          </w:tcPr>
          <w:p w14:paraId="3052E09A" w14:textId="77777777" w:rsidR="00053D93" w:rsidRDefault="00260B75">
            <w:pPr>
              <w:ind w:left="50"/>
              <w:jc w:val="center"/>
            </w:pPr>
            <w:r>
              <w:rPr>
                <w:rFonts w:ascii="Times New Roman" w:eastAsia="Times New Roman" w:hAnsi="Times New Roman" w:cs="Times New Roman"/>
                <w:sz w:val="16"/>
              </w:rPr>
              <w:t>990069529</w:t>
            </w:r>
          </w:p>
        </w:tc>
        <w:tc>
          <w:tcPr>
            <w:tcW w:w="1097" w:type="dxa"/>
            <w:tcBorders>
              <w:top w:val="single" w:sz="2" w:space="0" w:color="000000"/>
              <w:left w:val="single" w:sz="2" w:space="0" w:color="000000"/>
              <w:bottom w:val="single" w:sz="2" w:space="0" w:color="000000"/>
              <w:right w:val="single" w:sz="2" w:space="0" w:color="000000"/>
            </w:tcBorders>
          </w:tcPr>
          <w:p w14:paraId="767F3235" w14:textId="77777777" w:rsidR="00053D93" w:rsidRDefault="00260B75">
            <w:pPr>
              <w:spacing w:after="9"/>
              <w:ind w:right="14"/>
              <w:jc w:val="center"/>
            </w:pPr>
            <w:r>
              <w:rPr>
                <w:sz w:val="16"/>
              </w:rPr>
              <w:t>Asistente</w:t>
            </w:r>
          </w:p>
          <w:p w14:paraId="08B61949" w14:textId="77777777" w:rsidR="00053D93" w:rsidRDefault="00260B75">
            <w:pPr>
              <w:ind w:left="89" w:right="96"/>
              <w:jc w:val="center"/>
            </w:pPr>
            <w:r>
              <w:rPr>
                <w:sz w:val="18"/>
              </w:rPr>
              <w:t>Profesional IV</w:t>
            </w:r>
          </w:p>
        </w:tc>
        <w:tc>
          <w:tcPr>
            <w:tcW w:w="1221" w:type="dxa"/>
            <w:tcBorders>
              <w:top w:val="single" w:sz="2" w:space="0" w:color="000000"/>
              <w:left w:val="single" w:sz="2" w:space="0" w:color="000000"/>
              <w:bottom w:val="single" w:sz="2" w:space="0" w:color="000000"/>
              <w:right w:val="single" w:sz="2" w:space="0" w:color="000000"/>
            </w:tcBorders>
          </w:tcPr>
          <w:p w14:paraId="4CF4CD13" w14:textId="77777777" w:rsidR="00053D93" w:rsidRDefault="00260B75">
            <w:pPr>
              <w:ind w:left="169" w:hanging="43"/>
              <w:jc w:val="both"/>
            </w:pPr>
            <w:r>
              <w:rPr>
                <w:sz w:val="18"/>
              </w:rPr>
              <w:t>Encargada de Viáticos, A. l.</w:t>
            </w:r>
          </w:p>
        </w:tc>
        <w:tc>
          <w:tcPr>
            <w:tcW w:w="1083" w:type="dxa"/>
            <w:tcBorders>
              <w:top w:val="single" w:sz="2" w:space="0" w:color="000000"/>
              <w:left w:val="single" w:sz="2" w:space="0" w:color="000000"/>
              <w:bottom w:val="single" w:sz="2" w:space="0" w:color="000000"/>
              <w:right w:val="single" w:sz="2" w:space="0" w:color="000000"/>
            </w:tcBorders>
          </w:tcPr>
          <w:p w14:paraId="666C3DA6" w14:textId="77777777" w:rsidR="00053D93" w:rsidRDefault="00260B75">
            <w:pPr>
              <w:ind w:left="64"/>
            </w:pPr>
            <w:r>
              <w:rPr>
                <w:sz w:val="18"/>
              </w:rPr>
              <w:t>DG-071-2024</w:t>
            </w:r>
          </w:p>
        </w:tc>
        <w:tc>
          <w:tcPr>
            <w:tcW w:w="979" w:type="dxa"/>
            <w:tcBorders>
              <w:top w:val="single" w:sz="2" w:space="0" w:color="000000"/>
              <w:left w:val="single" w:sz="2" w:space="0" w:color="000000"/>
              <w:bottom w:val="single" w:sz="2" w:space="0" w:color="000000"/>
              <w:right w:val="single" w:sz="2" w:space="0" w:color="000000"/>
            </w:tcBorders>
          </w:tcPr>
          <w:p w14:paraId="6185EAC9" w14:textId="77777777" w:rsidR="00053D93" w:rsidRDefault="00260B75">
            <w:pPr>
              <w:ind w:left="97"/>
            </w:pPr>
            <w:r>
              <w:rPr>
                <w:rFonts w:ascii="Times New Roman" w:eastAsia="Times New Roman" w:hAnsi="Times New Roman" w:cs="Times New Roman"/>
                <w:sz w:val="16"/>
              </w:rPr>
              <w:t>14/03/2024</w:t>
            </w:r>
          </w:p>
        </w:tc>
        <w:tc>
          <w:tcPr>
            <w:tcW w:w="922" w:type="dxa"/>
            <w:tcBorders>
              <w:top w:val="single" w:sz="2" w:space="0" w:color="000000"/>
              <w:left w:val="single" w:sz="2" w:space="0" w:color="000000"/>
              <w:bottom w:val="single" w:sz="2" w:space="0" w:color="000000"/>
              <w:right w:val="single" w:sz="2" w:space="0" w:color="000000"/>
            </w:tcBorders>
          </w:tcPr>
          <w:p w14:paraId="698D06EB" w14:textId="77777777" w:rsidR="00053D93" w:rsidRDefault="00260B75">
            <w:pPr>
              <w:ind w:left="61"/>
            </w:pPr>
            <w:r>
              <w:rPr>
                <w:rFonts w:ascii="Times New Roman" w:eastAsia="Times New Roman" w:hAnsi="Times New Roman" w:cs="Times New Roman"/>
                <w:sz w:val="16"/>
              </w:rPr>
              <w:t>1 5/03/2024</w:t>
            </w:r>
          </w:p>
        </w:tc>
        <w:tc>
          <w:tcPr>
            <w:tcW w:w="922" w:type="dxa"/>
            <w:tcBorders>
              <w:top w:val="single" w:sz="2" w:space="0" w:color="000000"/>
              <w:left w:val="single" w:sz="2" w:space="0" w:color="000000"/>
              <w:bottom w:val="single" w:sz="2" w:space="0" w:color="000000"/>
              <w:right w:val="single" w:sz="2" w:space="0" w:color="000000"/>
            </w:tcBorders>
          </w:tcPr>
          <w:p w14:paraId="624F66C5" w14:textId="77777777" w:rsidR="00053D93" w:rsidRDefault="00260B75">
            <w:pPr>
              <w:ind w:left="68"/>
            </w:pPr>
            <w:r>
              <w:rPr>
                <w:rFonts w:ascii="Times New Roman" w:eastAsia="Times New Roman" w:hAnsi="Times New Roman" w:cs="Times New Roman"/>
                <w:sz w:val="18"/>
              </w:rPr>
              <w:t>19/09/2024</w:t>
            </w:r>
          </w:p>
        </w:tc>
        <w:tc>
          <w:tcPr>
            <w:tcW w:w="854" w:type="dxa"/>
            <w:tcBorders>
              <w:top w:val="single" w:sz="2" w:space="0" w:color="000000"/>
              <w:left w:val="single" w:sz="2" w:space="0" w:color="000000"/>
              <w:bottom w:val="single" w:sz="2" w:space="0" w:color="000000"/>
              <w:right w:val="single" w:sz="2" w:space="0" w:color="000000"/>
            </w:tcBorders>
          </w:tcPr>
          <w:p w14:paraId="1B268802" w14:textId="77777777" w:rsidR="00053D93" w:rsidRDefault="00260B75">
            <w:pPr>
              <w:ind w:left="90" w:right="90"/>
              <w:jc w:val="center"/>
            </w:pPr>
            <w:r>
              <w:rPr>
                <w:sz w:val="18"/>
              </w:rPr>
              <w:t>6 meses y 4 días</w:t>
            </w:r>
          </w:p>
        </w:tc>
      </w:tr>
      <w:tr w:rsidR="00053D93" w14:paraId="102AF2CF" w14:textId="77777777">
        <w:trPr>
          <w:trHeight w:val="835"/>
        </w:trPr>
        <w:tc>
          <w:tcPr>
            <w:tcW w:w="249" w:type="dxa"/>
            <w:tcBorders>
              <w:top w:val="single" w:sz="2" w:space="0" w:color="000000"/>
              <w:left w:val="single" w:sz="2" w:space="0" w:color="000000"/>
              <w:bottom w:val="single" w:sz="2" w:space="0" w:color="000000"/>
              <w:right w:val="single" w:sz="2" w:space="0" w:color="000000"/>
            </w:tcBorders>
          </w:tcPr>
          <w:p w14:paraId="1A0312B8" w14:textId="77777777" w:rsidR="00053D93" w:rsidRDefault="00260B75">
            <w:pPr>
              <w:ind w:left="58"/>
            </w:pPr>
            <w:r>
              <w:rPr>
                <w:rFonts w:ascii="Times New Roman" w:eastAsia="Times New Roman" w:hAnsi="Times New Roman" w:cs="Times New Roman"/>
                <w:sz w:val="18"/>
              </w:rPr>
              <w:t>8</w:t>
            </w:r>
          </w:p>
        </w:tc>
        <w:tc>
          <w:tcPr>
            <w:tcW w:w="1062" w:type="dxa"/>
            <w:gridSpan w:val="3"/>
            <w:tcBorders>
              <w:top w:val="single" w:sz="2" w:space="0" w:color="000000"/>
              <w:left w:val="single" w:sz="2" w:space="0" w:color="000000"/>
              <w:bottom w:val="single" w:sz="2" w:space="0" w:color="000000"/>
              <w:right w:val="single" w:sz="2" w:space="0" w:color="000000"/>
            </w:tcBorders>
          </w:tcPr>
          <w:p w14:paraId="02F1D69E" w14:textId="77777777" w:rsidR="00053D93" w:rsidRDefault="00260B75">
            <w:pPr>
              <w:ind w:left="50"/>
              <w:jc w:val="center"/>
            </w:pPr>
            <w:r>
              <w:rPr>
                <w:rFonts w:ascii="Times New Roman" w:eastAsia="Times New Roman" w:hAnsi="Times New Roman" w:cs="Times New Roman"/>
                <w:sz w:val="18"/>
              </w:rPr>
              <w:t>990100115</w:t>
            </w:r>
          </w:p>
        </w:tc>
        <w:tc>
          <w:tcPr>
            <w:tcW w:w="1097" w:type="dxa"/>
            <w:tcBorders>
              <w:top w:val="single" w:sz="2" w:space="0" w:color="000000"/>
              <w:left w:val="single" w:sz="2" w:space="0" w:color="000000"/>
              <w:bottom w:val="single" w:sz="2" w:space="0" w:color="000000"/>
              <w:right w:val="single" w:sz="2" w:space="0" w:color="000000"/>
            </w:tcBorders>
          </w:tcPr>
          <w:p w14:paraId="12C3209A" w14:textId="77777777" w:rsidR="00053D93" w:rsidRDefault="00260B75">
            <w:pPr>
              <w:ind w:right="7"/>
              <w:jc w:val="center"/>
            </w:pPr>
            <w:r>
              <w:rPr>
                <w:sz w:val="16"/>
              </w:rPr>
              <w:t>Oficinista IV</w:t>
            </w:r>
          </w:p>
        </w:tc>
        <w:tc>
          <w:tcPr>
            <w:tcW w:w="1221" w:type="dxa"/>
            <w:tcBorders>
              <w:top w:val="single" w:sz="2" w:space="0" w:color="000000"/>
              <w:left w:val="single" w:sz="2" w:space="0" w:color="000000"/>
              <w:bottom w:val="single" w:sz="2" w:space="0" w:color="000000"/>
              <w:right w:val="single" w:sz="2" w:space="0" w:color="000000"/>
            </w:tcBorders>
          </w:tcPr>
          <w:p w14:paraId="62C66613" w14:textId="77777777" w:rsidR="00053D93" w:rsidRDefault="00260B75">
            <w:pPr>
              <w:ind w:right="14"/>
              <w:jc w:val="center"/>
            </w:pPr>
            <w:r>
              <w:rPr>
                <w:rFonts w:ascii="Times New Roman" w:eastAsia="Times New Roman" w:hAnsi="Times New Roman" w:cs="Times New Roman"/>
                <w:sz w:val="18"/>
              </w:rPr>
              <w:t>Jefe del</w:t>
            </w:r>
          </w:p>
          <w:p w14:paraId="7046C53C" w14:textId="77777777" w:rsidR="00053D93" w:rsidRDefault="00260B75">
            <w:pPr>
              <w:ind w:left="141" w:hanging="29"/>
            </w:pPr>
            <w:r>
              <w:rPr>
                <w:sz w:val="18"/>
              </w:rPr>
              <w:t>Departamento de Tesorería, A].</w:t>
            </w:r>
          </w:p>
        </w:tc>
        <w:tc>
          <w:tcPr>
            <w:tcW w:w="1083" w:type="dxa"/>
            <w:tcBorders>
              <w:top w:val="single" w:sz="2" w:space="0" w:color="000000"/>
              <w:left w:val="single" w:sz="2" w:space="0" w:color="000000"/>
              <w:bottom w:val="single" w:sz="2" w:space="0" w:color="000000"/>
              <w:right w:val="single" w:sz="2" w:space="0" w:color="000000"/>
            </w:tcBorders>
          </w:tcPr>
          <w:p w14:paraId="660982EF" w14:textId="77777777" w:rsidR="00053D93" w:rsidRDefault="00260B75">
            <w:pPr>
              <w:ind w:left="64"/>
            </w:pPr>
            <w:r>
              <w:rPr>
                <w:sz w:val="18"/>
              </w:rPr>
              <w:t>DG-073-2024</w:t>
            </w:r>
          </w:p>
        </w:tc>
        <w:tc>
          <w:tcPr>
            <w:tcW w:w="979" w:type="dxa"/>
            <w:tcBorders>
              <w:top w:val="single" w:sz="2" w:space="0" w:color="000000"/>
              <w:left w:val="single" w:sz="2" w:space="0" w:color="000000"/>
              <w:bottom w:val="single" w:sz="2" w:space="0" w:color="000000"/>
              <w:right w:val="single" w:sz="2" w:space="0" w:color="000000"/>
            </w:tcBorders>
          </w:tcPr>
          <w:p w14:paraId="15F0F9A5" w14:textId="77777777" w:rsidR="00053D93" w:rsidRDefault="00260B75">
            <w:pPr>
              <w:ind w:right="17"/>
              <w:jc w:val="center"/>
            </w:pPr>
            <w:r>
              <w:rPr>
                <w:rFonts w:ascii="Times New Roman" w:eastAsia="Times New Roman" w:hAnsi="Times New Roman" w:cs="Times New Roman"/>
                <w:sz w:val="16"/>
              </w:rPr>
              <w:t>14/03/204</w:t>
            </w:r>
          </w:p>
        </w:tc>
        <w:tc>
          <w:tcPr>
            <w:tcW w:w="922" w:type="dxa"/>
            <w:tcBorders>
              <w:top w:val="single" w:sz="2" w:space="0" w:color="000000"/>
              <w:left w:val="single" w:sz="2" w:space="0" w:color="000000"/>
              <w:bottom w:val="single" w:sz="2" w:space="0" w:color="000000"/>
              <w:right w:val="single" w:sz="2" w:space="0" w:color="000000"/>
            </w:tcBorders>
          </w:tcPr>
          <w:p w14:paraId="58A5FB38" w14:textId="77777777" w:rsidR="00053D93" w:rsidRDefault="00260B75">
            <w:pPr>
              <w:ind w:left="61"/>
            </w:pPr>
            <w:r>
              <w:rPr>
                <w:rFonts w:ascii="Times New Roman" w:eastAsia="Times New Roman" w:hAnsi="Times New Roman" w:cs="Times New Roman"/>
                <w:sz w:val="18"/>
              </w:rPr>
              <w:t>15/03/2024</w:t>
            </w:r>
          </w:p>
        </w:tc>
        <w:tc>
          <w:tcPr>
            <w:tcW w:w="922" w:type="dxa"/>
            <w:tcBorders>
              <w:top w:val="single" w:sz="2" w:space="0" w:color="000000"/>
              <w:left w:val="single" w:sz="2" w:space="0" w:color="000000"/>
              <w:bottom w:val="single" w:sz="2" w:space="0" w:color="000000"/>
              <w:right w:val="single" w:sz="2" w:space="0" w:color="000000"/>
            </w:tcBorders>
          </w:tcPr>
          <w:p w14:paraId="72A369BC" w14:textId="77777777" w:rsidR="00053D93" w:rsidRDefault="00260B75">
            <w:pPr>
              <w:ind w:left="61"/>
            </w:pPr>
            <w:r>
              <w:rPr>
                <w:rFonts w:ascii="Times New Roman" w:eastAsia="Times New Roman" w:hAnsi="Times New Roman" w:cs="Times New Roman"/>
                <w:sz w:val="16"/>
              </w:rPr>
              <w:t>31/12/2024</w:t>
            </w:r>
          </w:p>
        </w:tc>
        <w:tc>
          <w:tcPr>
            <w:tcW w:w="854" w:type="dxa"/>
            <w:tcBorders>
              <w:top w:val="single" w:sz="2" w:space="0" w:color="000000"/>
              <w:left w:val="single" w:sz="2" w:space="0" w:color="000000"/>
              <w:bottom w:val="single" w:sz="2" w:space="0" w:color="000000"/>
              <w:right w:val="single" w:sz="2" w:space="0" w:color="000000"/>
            </w:tcBorders>
          </w:tcPr>
          <w:p w14:paraId="021C3BB3" w14:textId="77777777" w:rsidR="00053D93" w:rsidRDefault="00260B75">
            <w:pPr>
              <w:ind w:right="7"/>
              <w:jc w:val="center"/>
            </w:pPr>
            <w:r>
              <w:rPr>
                <w:rFonts w:ascii="Times New Roman" w:eastAsia="Times New Roman" w:hAnsi="Times New Roman" w:cs="Times New Roman"/>
                <w:sz w:val="16"/>
              </w:rPr>
              <w:t>9 meses</w:t>
            </w:r>
          </w:p>
        </w:tc>
      </w:tr>
      <w:tr w:rsidR="00053D93" w14:paraId="5D5E97CA" w14:textId="77777777">
        <w:trPr>
          <w:trHeight w:val="1034"/>
        </w:trPr>
        <w:tc>
          <w:tcPr>
            <w:tcW w:w="249" w:type="dxa"/>
            <w:tcBorders>
              <w:top w:val="single" w:sz="2" w:space="0" w:color="000000"/>
              <w:left w:val="single" w:sz="2" w:space="0" w:color="000000"/>
              <w:bottom w:val="single" w:sz="2" w:space="0" w:color="000000"/>
              <w:right w:val="single" w:sz="2" w:space="0" w:color="000000"/>
            </w:tcBorders>
          </w:tcPr>
          <w:p w14:paraId="5AB1AC31" w14:textId="77777777" w:rsidR="00053D93" w:rsidRDefault="00053D93"/>
        </w:tc>
        <w:tc>
          <w:tcPr>
            <w:tcW w:w="1062" w:type="dxa"/>
            <w:gridSpan w:val="3"/>
            <w:tcBorders>
              <w:top w:val="single" w:sz="2" w:space="0" w:color="000000"/>
              <w:left w:val="single" w:sz="2" w:space="0" w:color="000000"/>
              <w:bottom w:val="single" w:sz="2" w:space="0" w:color="000000"/>
              <w:right w:val="single" w:sz="2" w:space="0" w:color="000000"/>
            </w:tcBorders>
          </w:tcPr>
          <w:p w14:paraId="6D27BF18" w14:textId="77777777" w:rsidR="00053D93" w:rsidRDefault="00260B75">
            <w:pPr>
              <w:ind w:left="42"/>
              <w:jc w:val="center"/>
            </w:pPr>
            <w:r>
              <w:rPr>
                <w:rFonts w:ascii="Times New Roman" w:eastAsia="Times New Roman" w:hAnsi="Times New Roman" w:cs="Times New Roman"/>
                <w:sz w:val="16"/>
              </w:rPr>
              <w:t>9901290584</w:t>
            </w:r>
          </w:p>
        </w:tc>
        <w:tc>
          <w:tcPr>
            <w:tcW w:w="1097" w:type="dxa"/>
            <w:tcBorders>
              <w:top w:val="single" w:sz="2" w:space="0" w:color="000000"/>
              <w:left w:val="single" w:sz="2" w:space="0" w:color="000000"/>
              <w:bottom w:val="single" w:sz="2" w:space="0" w:color="000000"/>
              <w:right w:val="single" w:sz="2" w:space="0" w:color="000000"/>
            </w:tcBorders>
          </w:tcPr>
          <w:p w14:paraId="28DB001E" w14:textId="77777777" w:rsidR="00053D93" w:rsidRDefault="00260B75">
            <w:pPr>
              <w:spacing w:after="1"/>
              <w:ind w:right="22"/>
              <w:jc w:val="center"/>
            </w:pPr>
            <w:r>
              <w:rPr>
                <w:sz w:val="16"/>
              </w:rPr>
              <w:t>Asistente</w:t>
            </w:r>
          </w:p>
          <w:p w14:paraId="74A0573C" w14:textId="77777777" w:rsidR="00053D93" w:rsidRDefault="00260B75">
            <w:pPr>
              <w:ind w:right="22"/>
              <w:jc w:val="center"/>
            </w:pPr>
            <w:r>
              <w:rPr>
                <w:sz w:val="18"/>
              </w:rPr>
              <w:t>Profesional</w:t>
            </w:r>
          </w:p>
        </w:tc>
        <w:tc>
          <w:tcPr>
            <w:tcW w:w="1221" w:type="dxa"/>
            <w:tcBorders>
              <w:top w:val="single" w:sz="2" w:space="0" w:color="000000"/>
              <w:left w:val="single" w:sz="2" w:space="0" w:color="000000"/>
              <w:bottom w:val="single" w:sz="2" w:space="0" w:color="000000"/>
              <w:right w:val="single" w:sz="2" w:space="0" w:color="000000"/>
            </w:tcBorders>
          </w:tcPr>
          <w:p w14:paraId="463F9EEB" w14:textId="77777777" w:rsidR="00053D93" w:rsidRDefault="00260B75">
            <w:pPr>
              <w:spacing w:line="287" w:lineRule="auto"/>
              <w:ind w:left="97" w:right="119" w:firstLine="230"/>
              <w:jc w:val="both"/>
            </w:pPr>
            <w:r>
              <w:rPr>
                <w:sz w:val="16"/>
              </w:rPr>
              <w:t>Jefe d Departamento de Orientación</w:t>
            </w:r>
          </w:p>
          <w:p w14:paraId="11C07C9C" w14:textId="77777777" w:rsidR="00053D93" w:rsidRDefault="00260B75">
            <w:pPr>
              <w:ind w:left="140"/>
            </w:pPr>
            <w:r>
              <w:rPr>
                <w:sz w:val="18"/>
              </w:rPr>
              <w:t>Metodológica Nacional, A.l.</w:t>
            </w:r>
          </w:p>
        </w:tc>
        <w:tc>
          <w:tcPr>
            <w:tcW w:w="1083" w:type="dxa"/>
            <w:tcBorders>
              <w:top w:val="single" w:sz="2" w:space="0" w:color="000000"/>
              <w:left w:val="single" w:sz="2" w:space="0" w:color="000000"/>
              <w:bottom w:val="single" w:sz="2" w:space="0" w:color="000000"/>
              <w:right w:val="single" w:sz="2" w:space="0" w:color="000000"/>
            </w:tcBorders>
          </w:tcPr>
          <w:p w14:paraId="20791AFB" w14:textId="77777777" w:rsidR="00053D93" w:rsidRDefault="00260B75">
            <w:pPr>
              <w:ind w:right="22"/>
              <w:jc w:val="center"/>
            </w:pPr>
            <w:r>
              <w:rPr>
                <w:rFonts w:ascii="Times New Roman" w:eastAsia="Times New Roman" w:hAnsi="Times New Roman" w:cs="Times New Roman"/>
                <w:sz w:val="16"/>
              </w:rPr>
              <w:t>412-2022</w:t>
            </w:r>
          </w:p>
        </w:tc>
        <w:tc>
          <w:tcPr>
            <w:tcW w:w="979" w:type="dxa"/>
            <w:tcBorders>
              <w:top w:val="single" w:sz="2" w:space="0" w:color="000000"/>
              <w:left w:val="single" w:sz="2" w:space="0" w:color="000000"/>
              <w:bottom w:val="single" w:sz="2" w:space="0" w:color="000000"/>
              <w:right w:val="single" w:sz="2" w:space="0" w:color="000000"/>
            </w:tcBorders>
          </w:tcPr>
          <w:p w14:paraId="610CCC66" w14:textId="77777777" w:rsidR="00053D93" w:rsidRDefault="00260B75">
            <w:pPr>
              <w:ind w:left="90"/>
            </w:pPr>
            <w:r>
              <w:rPr>
                <w:rFonts w:ascii="Times New Roman" w:eastAsia="Times New Roman" w:hAnsi="Times New Roman" w:cs="Times New Roman"/>
                <w:sz w:val="16"/>
              </w:rPr>
              <w:t>28111/2022</w:t>
            </w:r>
          </w:p>
        </w:tc>
        <w:tc>
          <w:tcPr>
            <w:tcW w:w="922" w:type="dxa"/>
            <w:tcBorders>
              <w:top w:val="single" w:sz="2" w:space="0" w:color="000000"/>
              <w:left w:val="single" w:sz="2" w:space="0" w:color="000000"/>
              <w:bottom w:val="single" w:sz="2" w:space="0" w:color="000000"/>
              <w:right w:val="single" w:sz="2" w:space="0" w:color="000000"/>
            </w:tcBorders>
          </w:tcPr>
          <w:p w14:paraId="430A4E41" w14:textId="77777777" w:rsidR="00053D93" w:rsidRDefault="00260B75">
            <w:pPr>
              <w:ind w:left="54"/>
            </w:pPr>
            <w:r>
              <w:rPr>
                <w:rFonts w:ascii="Times New Roman" w:eastAsia="Times New Roman" w:hAnsi="Times New Roman" w:cs="Times New Roman"/>
                <w:sz w:val="16"/>
              </w:rPr>
              <w:t>28111/2022</w:t>
            </w:r>
          </w:p>
        </w:tc>
        <w:tc>
          <w:tcPr>
            <w:tcW w:w="922" w:type="dxa"/>
            <w:tcBorders>
              <w:top w:val="single" w:sz="2" w:space="0" w:color="000000"/>
              <w:left w:val="single" w:sz="2" w:space="0" w:color="000000"/>
              <w:bottom w:val="single" w:sz="2" w:space="0" w:color="000000"/>
              <w:right w:val="single" w:sz="2" w:space="0" w:color="000000"/>
            </w:tcBorders>
          </w:tcPr>
          <w:p w14:paraId="7D68EE59" w14:textId="77777777" w:rsidR="00053D93" w:rsidRDefault="00260B75">
            <w:pPr>
              <w:ind w:left="61"/>
            </w:pPr>
            <w:r>
              <w:rPr>
                <w:rFonts w:ascii="Times New Roman" w:eastAsia="Times New Roman" w:hAnsi="Times New Roman" w:cs="Times New Roman"/>
                <w:sz w:val="18"/>
              </w:rPr>
              <w:t>31/12/2024</w:t>
            </w:r>
          </w:p>
        </w:tc>
        <w:tc>
          <w:tcPr>
            <w:tcW w:w="854" w:type="dxa"/>
            <w:tcBorders>
              <w:top w:val="single" w:sz="2" w:space="0" w:color="000000"/>
              <w:left w:val="single" w:sz="2" w:space="0" w:color="000000"/>
              <w:bottom w:val="single" w:sz="2" w:space="0" w:color="000000"/>
              <w:right w:val="single" w:sz="2" w:space="0" w:color="000000"/>
            </w:tcBorders>
          </w:tcPr>
          <w:p w14:paraId="3D8CCB43" w14:textId="77777777" w:rsidR="00053D93" w:rsidRDefault="00260B75">
            <w:pPr>
              <w:ind w:right="22"/>
              <w:jc w:val="center"/>
            </w:pPr>
            <w:r>
              <w:rPr>
                <w:sz w:val="18"/>
              </w:rPr>
              <w:t>2 años, 1</w:t>
            </w:r>
          </w:p>
        </w:tc>
      </w:tr>
      <w:tr w:rsidR="00053D93" w14:paraId="0566933E" w14:textId="77777777">
        <w:trPr>
          <w:trHeight w:val="835"/>
        </w:trPr>
        <w:tc>
          <w:tcPr>
            <w:tcW w:w="249" w:type="dxa"/>
            <w:tcBorders>
              <w:top w:val="single" w:sz="2" w:space="0" w:color="000000"/>
              <w:left w:val="single" w:sz="2" w:space="0" w:color="000000"/>
              <w:bottom w:val="single" w:sz="2" w:space="0" w:color="000000"/>
              <w:right w:val="single" w:sz="2" w:space="0" w:color="000000"/>
            </w:tcBorders>
          </w:tcPr>
          <w:p w14:paraId="10F2010B" w14:textId="77777777" w:rsidR="00053D93" w:rsidRDefault="00260B75">
            <w:pPr>
              <w:ind w:left="14"/>
            </w:pPr>
            <w:r>
              <w:rPr>
                <w:rFonts w:ascii="Times New Roman" w:eastAsia="Times New Roman" w:hAnsi="Times New Roman" w:cs="Times New Roman"/>
                <w:sz w:val="18"/>
              </w:rPr>
              <w:lastRenderedPageBreak/>
              <w:t>10</w:t>
            </w:r>
          </w:p>
        </w:tc>
        <w:tc>
          <w:tcPr>
            <w:tcW w:w="1062" w:type="dxa"/>
            <w:gridSpan w:val="3"/>
            <w:tcBorders>
              <w:top w:val="single" w:sz="2" w:space="0" w:color="000000"/>
              <w:left w:val="single" w:sz="2" w:space="0" w:color="000000"/>
              <w:bottom w:val="single" w:sz="2" w:space="0" w:color="000000"/>
              <w:right w:val="single" w:sz="2" w:space="0" w:color="000000"/>
            </w:tcBorders>
          </w:tcPr>
          <w:p w14:paraId="2F1EC29D" w14:textId="77777777" w:rsidR="00053D93" w:rsidRDefault="00260B75">
            <w:pPr>
              <w:ind w:left="14"/>
              <w:jc w:val="center"/>
            </w:pPr>
            <w:r>
              <w:rPr>
                <w:rFonts w:ascii="Times New Roman" w:eastAsia="Times New Roman" w:hAnsi="Times New Roman" w:cs="Times New Roman"/>
                <w:sz w:val="16"/>
              </w:rPr>
              <w:t>990087791</w:t>
            </w:r>
          </w:p>
        </w:tc>
        <w:tc>
          <w:tcPr>
            <w:tcW w:w="1097" w:type="dxa"/>
            <w:tcBorders>
              <w:top w:val="single" w:sz="2" w:space="0" w:color="000000"/>
              <w:left w:val="single" w:sz="2" w:space="0" w:color="000000"/>
              <w:bottom w:val="single" w:sz="2" w:space="0" w:color="000000"/>
              <w:right w:val="single" w:sz="2" w:space="0" w:color="000000"/>
            </w:tcBorders>
          </w:tcPr>
          <w:p w14:paraId="4A1CBCAE" w14:textId="77777777" w:rsidR="00053D93" w:rsidRDefault="00260B75">
            <w:pPr>
              <w:ind w:left="64"/>
            </w:pPr>
            <w:r>
              <w:rPr>
                <w:sz w:val="18"/>
              </w:rPr>
              <w:t>Profesional III</w:t>
            </w:r>
          </w:p>
        </w:tc>
        <w:tc>
          <w:tcPr>
            <w:tcW w:w="1221" w:type="dxa"/>
            <w:tcBorders>
              <w:top w:val="single" w:sz="2" w:space="0" w:color="000000"/>
              <w:left w:val="single" w:sz="2" w:space="0" w:color="000000"/>
              <w:bottom w:val="single" w:sz="2" w:space="0" w:color="000000"/>
              <w:right w:val="single" w:sz="2" w:space="0" w:color="000000"/>
            </w:tcBorders>
          </w:tcPr>
          <w:p w14:paraId="4B7F292A" w14:textId="77777777" w:rsidR="00053D93" w:rsidRDefault="00260B75">
            <w:pPr>
              <w:ind w:right="29"/>
              <w:jc w:val="center"/>
            </w:pPr>
            <w:r>
              <w:rPr>
                <w:sz w:val="18"/>
              </w:rPr>
              <w:t>Jefe del</w:t>
            </w:r>
          </w:p>
          <w:p w14:paraId="685B14CF" w14:textId="77777777" w:rsidR="00053D93" w:rsidRDefault="00260B75">
            <w:pPr>
              <w:spacing w:line="232" w:lineRule="auto"/>
              <w:ind w:left="321" w:hanging="209"/>
            </w:pPr>
            <w:r>
              <w:rPr>
                <w:sz w:val="16"/>
              </w:rPr>
              <w:t>Departamento Técnico</w:t>
            </w:r>
          </w:p>
          <w:p w14:paraId="093A4044" w14:textId="77777777" w:rsidR="00053D93" w:rsidRDefault="00260B75">
            <w:pPr>
              <w:ind w:right="22"/>
              <w:jc w:val="center"/>
            </w:pPr>
            <w:r>
              <w:rPr>
                <w:sz w:val="18"/>
              </w:rPr>
              <w:t>Nacional, A,I.</w:t>
            </w:r>
          </w:p>
        </w:tc>
        <w:tc>
          <w:tcPr>
            <w:tcW w:w="1083" w:type="dxa"/>
            <w:tcBorders>
              <w:top w:val="single" w:sz="2" w:space="0" w:color="000000"/>
              <w:left w:val="single" w:sz="2" w:space="0" w:color="000000"/>
              <w:bottom w:val="single" w:sz="2" w:space="0" w:color="000000"/>
              <w:right w:val="single" w:sz="2" w:space="0" w:color="000000"/>
            </w:tcBorders>
          </w:tcPr>
          <w:p w14:paraId="1AC015DF" w14:textId="77777777" w:rsidR="00053D93" w:rsidRDefault="00260B75">
            <w:pPr>
              <w:ind w:right="14"/>
              <w:jc w:val="center"/>
            </w:pPr>
            <w:r>
              <w:rPr>
                <w:rFonts w:ascii="Times New Roman" w:eastAsia="Times New Roman" w:hAnsi="Times New Roman" w:cs="Times New Roman"/>
                <w:sz w:val="18"/>
              </w:rPr>
              <w:t>119-2023</w:t>
            </w:r>
          </w:p>
        </w:tc>
        <w:tc>
          <w:tcPr>
            <w:tcW w:w="979" w:type="dxa"/>
            <w:tcBorders>
              <w:top w:val="single" w:sz="2" w:space="0" w:color="000000"/>
              <w:left w:val="single" w:sz="2" w:space="0" w:color="000000"/>
              <w:bottom w:val="single" w:sz="2" w:space="0" w:color="000000"/>
              <w:right w:val="single" w:sz="2" w:space="0" w:color="000000"/>
            </w:tcBorders>
          </w:tcPr>
          <w:p w14:paraId="5613C315" w14:textId="77777777" w:rsidR="00053D93" w:rsidRDefault="00260B75">
            <w:pPr>
              <w:ind w:left="90"/>
            </w:pPr>
            <w:r>
              <w:rPr>
                <w:rFonts w:ascii="Times New Roman" w:eastAsia="Times New Roman" w:hAnsi="Times New Roman" w:cs="Times New Roman"/>
                <w:sz w:val="18"/>
              </w:rPr>
              <w:t>19/04/2023</w:t>
            </w:r>
          </w:p>
        </w:tc>
        <w:tc>
          <w:tcPr>
            <w:tcW w:w="922" w:type="dxa"/>
            <w:tcBorders>
              <w:top w:val="single" w:sz="2" w:space="0" w:color="000000"/>
              <w:left w:val="single" w:sz="2" w:space="0" w:color="000000"/>
              <w:bottom w:val="single" w:sz="2" w:space="0" w:color="000000"/>
              <w:right w:val="single" w:sz="2" w:space="0" w:color="000000"/>
            </w:tcBorders>
          </w:tcPr>
          <w:p w14:paraId="4F2FE9E0" w14:textId="77777777" w:rsidR="00053D93" w:rsidRDefault="00260B75">
            <w:pPr>
              <w:ind w:left="61"/>
            </w:pPr>
            <w:r>
              <w:rPr>
                <w:rFonts w:ascii="Times New Roman" w:eastAsia="Times New Roman" w:hAnsi="Times New Roman" w:cs="Times New Roman"/>
                <w:sz w:val="18"/>
              </w:rPr>
              <w:t>19/04/2023</w:t>
            </w:r>
          </w:p>
        </w:tc>
        <w:tc>
          <w:tcPr>
            <w:tcW w:w="922" w:type="dxa"/>
            <w:tcBorders>
              <w:top w:val="single" w:sz="2" w:space="0" w:color="000000"/>
              <w:left w:val="single" w:sz="2" w:space="0" w:color="000000"/>
              <w:bottom w:val="single" w:sz="2" w:space="0" w:color="000000"/>
              <w:right w:val="single" w:sz="2" w:space="0" w:color="000000"/>
            </w:tcBorders>
          </w:tcPr>
          <w:p w14:paraId="7C2C09C4" w14:textId="77777777" w:rsidR="00053D93" w:rsidRDefault="00260B75">
            <w:pPr>
              <w:ind w:right="3"/>
              <w:jc w:val="center"/>
            </w:pPr>
            <w:r>
              <w:rPr>
                <w:rFonts w:ascii="Times New Roman" w:eastAsia="Times New Roman" w:hAnsi="Times New Roman" w:cs="Times New Roman"/>
                <w:sz w:val="16"/>
              </w:rPr>
              <w:t>1112/2024</w:t>
            </w:r>
          </w:p>
        </w:tc>
        <w:tc>
          <w:tcPr>
            <w:tcW w:w="854" w:type="dxa"/>
            <w:tcBorders>
              <w:top w:val="single" w:sz="2" w:space="0" w:color="000000"/>
              <w:left w:val="single" w:sz="2" w:space="0" w:color="000000"/>
              <w:bottom w:val="single" w:sz="2" w:space="0" w:color="000000"/>
              <w:right w:val="single" w:sz="2" w:space="0" w:color="000000"/>
            </w:tcBorders>
            <w:vAlign w:val="center"/>
          </w:tcPr>
          <w:p w14:paraId="407FAAC6" w14:textId="77777777" w:rsidR="00053D93" w:rsidRDefault="00260B75">
            <w:pPr>
              <w:ind w:left="7"/>
              <w:jc w:val="center"/>
            </w:pPr>
            <w:r>
              <w:rPr>
                <w:sz w:val="18"/>
              </w:rPr>
              <w:t>meses y</w:t>
            </w:r>
          </w:p>
          <w:p w14:paraId="7CC75075" w14:textId="77777777" w:rsidR="00053D93" w:rsidRDefault="00260B75">
            <w:pPr>
              <w:ind w:left="7"/>
              <w:jc w:val="center"/>
            </w:pPr>
            <w:r>
              <w:rPr>
                <w:sz w:val="18"/>
              </w:rPr>
              <w:t>12 días</w:t>
            </w:r>
          </w:p>
        </w:tc>
      </w:tr>
      <w:tr w:rsidR="00053D93" w14:paraId="1A2B465D" w14:textId="77777777">
        <w:trPr>
          <w:trHeight w:val="706"/>
        </w:trPr>
        <w:tc>
          <w:tcPr>
            <w:tcW w:w="249" w:type="dxa"/>
            <w:tcBorders>
              <w:top w:val="single" w:sz="2" w:space="0" w:color="000000"/>
              <w:left w:val="single" w:sz="2" w:space="0" w:color="000000"/>
              <w:bottom w:val="single" w:sz="2" w:space="0" w:color="000000"/>
              <w:right w:val="single" w:sz="2" w:space="0" w:color="000000"/>
            </w:tcBorders>
          </w:tcPr>
          <w:p w14:paraId="4B2B5304" w14:textId="77777777" w:rsidR="00053D93" w:rsidRDefault="00260B75">
            <w:pPr>
              <w:ind w:left="22"/>
            </w:pPr>
            <w:r>
              <w:rPr>
                <w:rFonts w:ascii="Times New Roman" w:eastAsia="Times New Roman" w:hAnsi="Times New Roman" w:cs="Times New Roman"/>
                <w:sz w:val="16"/>
              </w:rPr>
              <w:t>11</w:t>
            </w:r>
          </w:p>
        </w:tc>
        <w:tc>
          <w:tcPr>
            <w:tcW w:w="1062" w:type="dxa"/>
            <w:gridSpan w:val="3"/>
            <w:tcBorders>
              <w:top w:val="single" w:sz="2" w:space="0" w:color="000000"/>
              <w:left w:val="single" w:sz="2" w:space="0" w:color="000000"/>
              <w:bottom w:val="single" w:sz="2" w:space="0" w:color="000000"/>
              <w:right w:val="single" w:sz="2" w:space="0" w:color="000000"/>
            </w:tcBorders>
          </w:tcPr>
          <w:p w14:paraId="581CA1B5" w14:textId="77777777" w:rsidR="00053D93" w:rsidRDefault="00260B75">
            <w:pPr>
              <w:ind w:left="35"/>
              <w:jc w:val="center"/>
            </w:pPr>
            <w:r>
              <w:rPr>
                <w:rFonts w:ascii="Times New Roman" w:eastAsia="Times New Roman" w:hAnsi="Times New Roman" w:cs="Times New Roman"/>
                <w:sz w:val="18"/>
              </w:rPr>
              <w:t>990028098</w:t>
            </w:r>
          </w:p>
        </w:tc>
        <w:tc>
          <w:tcPr>
            <w:tcW w:w="1097" w:type="dxa"/>
            <w:tcBorders>
              <w:top w:val="single" w:sz="2" w:space="0" w:color="000000"/>
              <w:left w:val="single" w:sz="2" w:space="0" w:color="000000"/>
              <w:bottom w:val="single" w:sz="2" w:space="0" w:color="000000"/>
              <w:right w:val="single" w:sz="2" w:space="0" w:color="000000"/>
            </w:tcBorders>
          </w:tcPr>
          <w:p w14:paraId="5D74941D" w14:textId="77777777" w:rsidR="00053D93" w:rsidRDefault="00260B75">
            <w:pPr>
              <w:ind w:right="29"/>
              <w:jc w:val="center"/>
            </w:pPr>
            <w:r>
              <w:rPr>
                <w:sz w:val="18"/>
              </w:rPr>
              <w:t>Profesional I</w:t>
            </w:r>
          </w:p>
        </w:tc>
        <w:tc>
          <w:tcPr>
            <w:tcW w:w="1221" w:type="dxa"/>
            <w:tcBorders>
              <w:top w:val="single" w:sz="2" w:space="0" w:color="000000"/>
              <w:left w:val="single" w:sz="2" w:space="0" w:color="000000"/>
              <w:bottom w:val="single" w:sz="2" w:space="0" w:color="000000"/>
              <w:right w:val="single" w:sz="2" w:space="0" w:color="000000"/>
            </w:tcBorders>
          </w:tcPr>
          <w:p w14:paraId="5C6303EF" w14:textId="77777777" w:rsidR="00053D93" w:rsidRDefault="00260B75">
            <w:pPr>
              <w:ind w:right="29"/>
              <w:jc w:val="center"/>
            </w:pPr>
            <w:r>
              <w:rPr>
                <w:sz w:val="18"/>
              </w:rPr>
              <w:t>Jefe de</w:t>
            </w:r>
          </w:p>
          <w:p w14:paraId="5D9ADB23" w14:textId="77777777" w:rsidR="00053D93" w:rsidRDefault="00260B75">
            <w:pPr>
              <w:ind w:right="29"/>
              <w:jc w:val="center"/>
            </w:pPr>
            <w:r>
              <w:rPr>
                <w:sz w:val="18"/>
              </w:rPr>
              <w:t>Presupuesto,</w:t>
            </w:r>
          </w:p>
        </w:tc>
        <w:tc>
          <w:tcPr>
            <w:tcW w:w="1083" w:type="dxa"/>
            <w:tcBorders>
              <w:top w:val="single" w:sz="2" w:space="0" w:color="000000"/>
              <w:left w:val="single" w:sz="2" w:space="0" w:color="000000"/>
              <w:bottom w:val="single" w:sz="2" w:space="0" w:color="000000"/>
              <w:right w:val="single" w:sz="2" w:space="0" w:color="000000"/>
            </w:tcBorders>
          </w:tcPr>
          <w:p w14:paraId="18D5BC76" w14:textId="77777777" w:rsidR="00053D93" w:rsidRDefault="00260B75">
            <w:pPr>
              <w:ind w:right="22"/>
              <w:jc w:val="center"/>
            </w:pPr>
            <w:r>
              <w:rPr>
                <w:rFonts w:ascii="Times New Roman" w:eastAsia="Times New Roman" w:hAnsi="Times New Roman" w:cs="Times New Roman"/>
                <w:sz w:val="18"/>
              </w:rPr>
              <w:t>304-2023</w:t>
            </w:r>
          </w:p>
        </w:tc>
        <w:tc>
          <w:tcPr>
            <w:tcW w:w="979" w:type="dxa"/>
            <w:tcBorders>
              <w:top w:val="single" w:sz="2" w:space="0" w:color="000000"/>
              <w:left w:val="single" w:sz="2" w:space="0" w:color="000000"/>
              <w:bottom w:val="single" w:sz="2" w:space="0" w:color="000000"/>
              <w:right w:val="single" w:sz="2" w:space="0" w:color="000000"/>
            </w:tcBorders>
          </w:tcPr>
          <w:p w14:paraId="5AABC02D" w14:textId="77777777" w:rsidR="00053D93" w:rsidRDefault="00260B75">
            <w:pPr>
              <w:ind w:left="90"/>
            </w:pPr>
            <w:r>
              <w:rPr>
                <w:rFonts w:ascii="Times New Roman" w:eastAsia="Times New Roman" w:hAnsi="Times New Roman" w:cs="Times New Roman"/>
                <w:sz w:val="16"/>
              </w:rPr>
              <w:t>1 3/11/2023</w:t>
            </w:r>
          </w:p>
        </w:tc>
        <w:tc>
          <w:tcPr>
            <w:tcW w:w="922" w:type="dxa"/>
            <w:tcBorders>
              <w:top w:val="single" w:sz="2" w:space="0" w:color="000000"/>
              <w:left w:val="single" w:sz="2" w:space="0" w:color="000000"/>
              <w:bottom w:val="single" w:sz="2" w:space="0" w:color="000000"/>
              <w:right w:val="single" w:sz="2" w:space="0" w:color="000000"/>
            </w:tcBorders>
          </w:tcPr>
          <w:p w14:paraId="09F858DD" w14:textId="77777777" w:rsidR="00053D93" w:rsidRDefault="00260B75">
            <w:pPr>
              <w:ind w:left="68"/>
            </w:pPr>
            <w:r>
              <w:rPr>
                <w:rFonts w:ascii="Times New Roman" w:eastAsia="Times New Roman" w:hAnsi="Times New Roman" w:cs="Times New Roman"/>
                <w:sz w:val="18"/>
              </w:rPr>
              <w:t>16/11/2023</w:t>
            </w:r>
          </w:p>
        </w:tc>
        <w:tc>
          <w:tcPr>
            <w:tcW w:w="922" w:type="dxa"/>
            <w:tcBorders>
              <w:top w:val="single" w:sz="2" w:space="0" w:color="000000"/>
              <w:left w:val="single" w:sz="2" w:space="0" w:color="000000"/>
              <w:bottom w:val="single" w:sz="2" w:space="0" w:color="000000"/>
              <w:right w:val="single" w:sz="2" w:space="0" w:color="000000"/>
            </w:tcBorders>
          </w:tcPr>
          <w:p w14:paraId="1775D9F3" w14:textId="77777777" w:rsidR="00053D93" w:rsidRDefault="00260B75">
            <w:pPr>
              <w:ind w:left="61"/>
            </w:pPr>
            <w:r>
              <w:rPr>
                <w:rFonts w:ascii="Times New Roman" w:eastAsia="Times New Roman" w:hAnsi="Times New Roman" w:cs="Times New Roman"/>
                <w:sz w:val="16"/>
              </w:rPr>
              <w:t>31 2/2024</w:t>
            </w:r>
          </w:p>
        </w:tc>
        <w:tc>
          <w:tcPr>
            <w:tcW w:w="854" w:type="dxa"/>
            <w:tcBorders>
              <w:top w:val="single" w:sz="2" w:space="0" w:color="000000"/>
              <w:left w:val="single" w:sz="2" w:space="0" w:color="000000"/>
              <w:bottom w:val="single" w:sz="2" w:space="0" w:color="000000"/>
              <w:right w:val="single" w:sz="2" w:space="0" w:color="000000"/>
            </w:tcBorders>
          </w:tcPr>
          <w:p w14:paraId="1F36F394" w14:textId="77777777" w:rsidR="00053D93" w:rsidRDefault="00260B75">
            <w:pPr>
              <w:ind w:left="104" w:firstLine="43"/>
              <w:jc w:val="both"/>
            </w:pPr>
            <w:r>
              <w:rPr>
                <w:sz w:val="18"/>
              </w:rPr>
              <w:t>1 año, 1 mes y 15</w:t>
            </w:r>
          </w:p>
        </w:tc>
      </w:tr>
      <w:tr w:rsidR="00053D93" w14:paraId="0E923E26" w14:textId="77777777">
        <w:trPr>
          <w:trHeight w:val="672"/>
        </w:trPr>
        <w:tc>
          <w:tcPr>
            <w:tcW w:w="249" w:type="dxa"/>
            <w:tcBorders>
              <w:top w:val="single" w:sz="2" w:space="0" w:color="000000"/>
              <w:left w:val="single" w:sz="2" w:space="0" w:color="000000"/>
              <w:bottom w:val="nil"/>
              <w:right w:val="single" w:sz="2" w:space="0" w:color="000000"/>
            </w:tcBorders>
          </w:tcPr>
          <w:p w14:paraId="09373036" w14:textId="77777777" w:rsidR="00053D93" w:rsidRDefault="00053D93"/>
        </w:tc>
        <w:tc>
          <w:tcPr>
            <w:tcW w:w="273" w:type="dxa"/>
            <w:tcBorders>
              <w:top w:val="single" w:sz="2" w:space="0" w:color="000000"/>
              <w:left w:val="single" w:sz="2" w:space="0" w:color="000000"/>
              <w:bottom w:val="nil"/>
              <w:right w:val="nil"/>
            </w:tcBorders>
          </w:tcPr>
          <w:p w14:paraId="2541339A" w14:textId="77777777" w:rsidR="00053D93" w:rsidRDefault="00053D93"/>
        </w:tc>
        <w:tc>
          <w:tcPr>
            <w:tcW w:w="210" w:type="dxa"/>
            <w:tcBorders>
              <w:top w:val="single" w:sz="2" w:space="0" w:color="000000"/>
              <w:left w:val="nil"/>
              <w:bottom w:val="nil"/>
              <w:right w:val="nil"/>
            </w:tcBorders>
          </w:tcPr>
          <w:p w14:paraId="51656653" w14:textId="77777777" w:rsidR="00053D93" w:rsidRDefault="00053D93"/>
        </w:tc>
        <w:tc>
          <w:tcPr>
            <w:tcW w:w="6803" w:type="dxa"/>
            <w:gridSpan w:val="7"/>
            <w:tcBorders>
              <w:top w:val="single" w:sz="2" w:space="0" w:color="000000"/>
              <w:left w:val="single" w:sz="2" w:space="0" w:color="000000"/>
              <w:bottom w:val="nil"/>
              <w:right w:val="nil"/>
            </w:tcBorders>
            <w:vAlign w:val="center"/>
          </w:tcPr>
          <w:p w14:paraId="3A134DA7" w14:textId="77777777" w:rsidR="00053D93" w:rsidRDefault="00260B75">
            <w:pPr>
              <w:ind w:right="4"/>
              <w:jc w:val="center"/>
            </w:pPr>
            <w:r>
              <w:rPr>
                <w:sz w:val="14"/>
              </w:rPr>
              <w:t>MINISTERIO OE EDUCACION</w:t>
            </w:r>
          </w:p>
          <w:p w14:paraId="1196CECC" w14:textId="77777777" w:rsidR="00053D93" w:rsidRDefault="00260B75">
            <w:pPr>
              <w:ind w:right="11"/>
              <w:jc w:val="center"/>
            </w:pPr>
            <w:r>
              <w:rPr>
                <w:sz w:val="14"/>
              </w:rPr>
              <w:t>AUDITORIA FINANCIERA Y DE CUMPLIMIENTO</w:t>
            </w:r>
          </w:p>
          <w:p w14:paraId="61881464" w14:textId="77777777" w:rsidR="00053D93" w:rsidRDefault="00260B75">
            <w:pPr>
              <w:ind w:right="11"/>
              <w:jc w:val="center"/>
            </w:pPr>
            <w:r>
              <w:rPr>
                <w:sz w:val="14"/>
              </w:rPr>
              <w:t>PERIODO DEL 01 DE ENERO AL 31 DE DICIEMBRE DE 2024</w:t>
            </w:r>
          </w:p>
        </w:tc>
        <w:tc>
          <w:tcPr>
            <w:tcW w:w="854" w:type="dxa"/>
            <w:tcBorders>
              <w:top w:val="single" w:sz="2" w:space="0" w:color="000000"/>
              <w:left w:val="nil"/>
              <w:bottom w:val="nil"/>
              <w:right w:val="nil"/>
            </w:tcBorders>
          </w:tcPr>
          <w:p w14:paraId="3C832794" w14:textId="77777777" w:rsidR="00053D93" w:rsidRDefault="00053D93"/>
        </w:tc>
      </w:tr>
    </w:tbl>
    <w:p w14:paraId="1B66E211" w14:textId="77777777" w:rsidR="00053D93" w:rsidRDefault="00053D93">
      <w:pPr>
        <w:sectPr w:rsidR="00053D93">
          <w:headerReference w:type="even" r:id="rId610"/>
          <w:headerReference w:type="default" r:id="rId611"/>
          <w:footerReference w:type="even" r:id="rId612"/>
          <w:footerReference w:type="default" r:id="rId613"/>
          <w:headerReference w:type="first" r:id="rId614"/>
          <w:footerReference w:type="first" r:id="rId615"/>
          <w:pgSz w:w="12290" w:h="15883"/>
          <w:pgMar w:top="727" w:right="1800" w:bottom="274" w:left="317" w:header="655" w:footer="720" w:gutter="0"/>
          <w:cols w:space="720"/>
          <w:titlePg/>
        </w:sectPr>
      </w:pPr>
    </w:p>
    <w:p w14:paraId="54FB6ABC" w14:textId="77777777" w:rsidR="00053D93" w:rsidRDefault="00260B75">
      <w:pPr>
        <w:tabs>
          <w:tab w:val="center" w:pos="5940"/>
          <w:tab w:val="center" w:pos="6894"/>
        </w:tabs>
        <w:spacing w:after="297" w:line="265" w:lineRule="auto"/>
      </w:pPr>
      <w:r>
        <w:rPr>
          <w:sz w:val="12"/>
        </w:rPr>
        <w:lastRenderedPageBreak/>
        <w:tab/>
      </w:r>
      <w:r>
        <w:rPr>
          <w:rFonts w:ascii="Times New Roman" w:eastAsia="Times New Roman" w:hAnsi="Times New Roman" w:cs="Times New Roman"/>
          <w:sz w:val="12"/>
        </w:rPr>
        <w:t>78</w:t>
      </w:r>
      <w:r>
        <w:rPr>
          <w:rFonts w:ascii="Times New Roman" w:eastAsia="Times New Roman" w:hAnsi="Times New Roman" w:cs="Times New Roman"/>
          <w:sz w:val="12"/>
        </w:rPr>
        <w:tab/>
      </w:r>
      <w:r>
        <w:rPr>
          <w:sz w:val="12"/>
        </w:rPr>
        <w:t xml:space="preserve">OE </w:t>
      </w:r>
    </w:p>
    <w:tbl>
      <w:tblPr>
        <w:tblStyle w:val="TableGrid"/>
        <w:tblW w:w="8474" w:type="dxa"/>
        <w:tblInd w:w="1718" w:type="dxa"/>
        <w:tblCellMar>
          <w:left w:w="82" w:type="dxa"/>
          <w:right w:w="82" w:type="dxa"/>
        </w:tblCellMar>
        <w:tblLook w:val="04A0" w:firstRow="1" w:lastRow="0" w:firstColumn="1" w:lastColumn="0" w:noHBand="0" w:noVBand="1"/>
      </w:tblPr>
      <w:tblGrid>
        <w:gridCol w:w="385"/>
        <w:gridCol w:w="1019"/>
        <w:gridCol w:w="1148"/>
        <w:gridCol w:w="1217"/>
        <w:gridCol w:w="947"/>
        <w:gridCol w:w="997"/>
        <w:gridCol w:w="994"/>
        <w:gridCol w:w="919"/>
        <w:gridCol w:w="848"/>
      </w:tblGrid>
      <w:tr w:rsidR="00053D93" w14:paraId="2588794D" w14:textId="77777777">
        <w:trPr>
          <w:trHeight w:val="781"/>
        </w:trPr>
        <w:tc>
          <w:tcPr>
            <w:tcW w:w="387" w:type="dxa"/>
            <w:tcBorders>
              <w:top w:val="single" w:sz="2" w:space="0" w:color="000000"/>
              <w:left w:val="single" w:sz="2" w:space="0" w:color="000000"/>
              <w:bottom w:val="single" w:sz="2" w:space="0" w:color="000000"/>
              <w:right w:val="single" w:sz="2" w:space="0" w:color="000000"/>
            </w:tcBorders>
          </w:tcPr>
          <w:p w14:paraId="4C3A8FDA" w14:textId="77777777" w:rsidR="00053D93" w:rsidRDefault="00260B75">
            <w:pPr>
              <w:ind w:left="7"/>
              <w:jc w:val="center"/>
            </w:pPr>
            <w:r>
              <w:rPr>
                <w:rFonts w:ascii="Times New Roman" w:eastAsia="Times New Roman" w:hAnsi="Times New Roman" w:cs="Times New Roman"/>
                <w:sz w:val="18"/>
              </w:rPr>
              <w:t>12</w:t>
            </w:r>
          </w:p>
        </w:tc>
        <w:tc>
          <w:tcPr>
            <w:tcW w:w="1002" w:type="dxa"/>
            <w:tcBorders>
              <w:top w:val="single" w:sz="2" w:space="0" w:color="000000"/>
              <w:left w:val="single" w:sz="2" w:space="0" w:color="000000"/>
              <w:bottom w:val="single" w:sz="2" w:space="0" w:color="000000"/>
              <w:right w:val="single" w:sz="2" w:space="0" w:color="000000"/>
            </w:tcBorders>
          </w:tcPr>
          <w:p w14:paraId="7DAD8B10" w14:textId="77777777" w:rsidR="00053D93" w:rsidRDefault="00260B75">
            <w:pPr>
              <w:ind w:left="45"/>
            </w:pPr>
            <w:r>
              <w:rPr>
                <w:rFonts w:ascii="Times New Roman" w:eastAsia="Times New Roman" w:hAnsi="Times New Roman" w:cs="Times New Roman"/>
                <w:sz w:val="18"/>
              </w:rPr>
              <w:t>990997318</w:t>
            </w:r>
          </w:p>
        </w:tc>
        <w:tc>
          <w:tcPr>
            <w:tcW w:w="1094" w:type="dxa"/>
            <w:tcBorders>
              <w:top w:val="single" w:sz="2" w:space="0" w:color="000000"/>
              <w:left w:val="single" w:sz="2" w:space="0" w:color="000000"/>
              <w:bottom w:val="single" w:sz="2" w:space="0" w:color="000000"/>
              <w:right w:val="single" w:sz="2" w:space="0" w:color="000000"/>
            </w:tcBorders>
          </w:tcPr>
          <w:p w14:paraId="05BCE219" w14:textId="77777777" w:rsidR="00053D93" w:rsidRDefault="00260B75">
            <w:pPr>
              <w:ind w:left="8"/>
              <w:jc w:val="center"/>
            </w:pPr>
            <w:r>
              <w:rPr>
                <w:sz w:val="18"/>
              </w:rPr>
              <w:t>Asesor</w:t>
            </w:r>
          </w:p>
          <w:p w14:paraId="3A3A812B" w14:textId="77777777" w:rsidR="00053D93" w:rsidRDefault="00260B75">
            <w:pPr>
              <w:ind w:left="8"/>
              <w:jc w:val="center"/>
            </w:pPr>
            <w:r>
              <w:rPr>
                <w:sz w:val="18"/>
              </w:rPr>
              <w:t>Profesional</w:t>
            </w:r>
          </w:p>
          <w:p w14:paraId="717A2F47" w14:textId="77777777" w:rsidR="00053D93" w:rsidRDefault="00260B75">
            <w:pPr>
              <w:ind w:left="8"/>
            </w:pPr>
            <w:r>
              <w:rPr>
                <w:sz w:val="18"/>
              </w:rPr>
              <w:t>Especializado</w:t>
            </w:r>
          </w:p>
        </w:tc>
        <w:tc>
          <w:tcPr>
            <w:tcW w:w="1226" w:type="dxa"/>
            <w:tcBorders>
              <w:top w:val="single" w:sz="2" w:space="0" w:color="000000"/>
              <w:left w:val="single" w:sz="2" w:space="0" w:color="000000"/>
              <w:bottom w:val="single" w:sz="2" w:space="0" w:color="000000"/>
              <w:right w:val="single" w:sz="2" w:space="0" w:color="000000"/>
            </w:tcBorders>
          </w:tcPr>
          <w:p w14:paraId="77749CC4" w14:textId="77777777" w:rsidR="00053D93" w:rsidRDefault="00260B75">
            <w:pPr>
              <w:ind w:right="7"/>
              <w:jc w:val="center"/>
            </w:pPr>
            <w:r>
              <w:rPr>
                <w:sz w:val="18"/>
              </w:rPr>
              <w:t>Jefe de</w:t>
            </w:r>
          </w:p>
          <w:p w14:paraId="4FAF13A6" w14:textId="77777777" w:rsidR="00053D93" w:rsidRDefault="00260B75">
            <w:pPr>
              <w:ind w:right="7"/>
              <w:jc w:val="center"/>
            </w:pPr>
            <w:r>
              <w:rPr>
                <w:sz w:val="16"/>
              </w:rPr>
              <w:t>Contabilidad,</w:t>
            </w:r>
          </w:p>
        </w:tc>
        <w:tc>
          <w:tcPr>
            <w:tcW w:w="1083" w:type="dxa"/>
            <w:tcBorders>
              <w:top w:val="single" w:sz="2" w:space="0" w:color="000000"/>
              <w:left w:val="single" w:sz="2" w:space="0" w:color="000000"/>
              <w:bottom w:val="single" w:sz="2" w:space="0" w:color="000000"/>
              <w:right w:val="single" w:sz="2" w:space="0" w:color="000000"/>
            </w:tcBorders>
          </w:tcPr>
          <w:p w14:paraId="0A91984E" w14:textId="77777777" w:rsidR="00053D93" w:rsidRDefault="00260B75">
            <w:pPr>
              <w:ind w:left="3"/>
              <w:jc w:val="center"/>
            </w:pPr>
            <w:r>
              <w:rPr>
                <w:rFonts w:ascii="Times New Roman" w:eastAsia="Times New Roman" w:hAnsi="Times New Roman" w:cs="Times New Roman"/>
                <w:sz w:val="18"/>
              </w:rPr>
              <w:t>310-2023</w:t>
            </w:r>
          </w:p>
        </w:tc>
        <w:tc>
          <w:tcPr>
            <w:tcW w:w="975" w:type="dxa"/>
            <w:tcBorders>
              <w:top w:val="single" w:sz="2" w:space="0" w:color="000000"/>
              <w:left w:val="single" w:sz="2" w:space="0" w:color="000000"/>
              <w:bottom w:val="single" w:sz="2" w:space="0" w:color="000000"/>
              <w:right w:val="single" w:sz="2" w:space="0" w:color="000000"/>
            </w:tcBorders>
          </w:tcPr>
          <w:p w14:paraId="0E8CA961" w14:textId="77777777" w:rsidR="00053D93" w:rsidRDefault="00260B75">
            <w:pPr>
              <w:ind w:left="12"/>
              <w:jc w:val="center"/>
            </w:pPr>
            <w:r>
              <w:rPr>
                <w:rFonts w:ascii="Times New Roman" w:eastAsia="Times New Roman" w:hAnsi="Times New Roman" w:cs="Times New Roman"/>
                <w:sz w:val="18"/>
              </w:rPr>
              <w:t>14/11/2023</w:t>
            </w:r>
          </w:p>
        </w:tc>
        <w:tc>
          <w:tcPr>
            <w:tcW w:w="926" w:type="dxa"/>
            <w:tcBorders>
              <w:top w:val="single" w:sz="2" w:space="0" w:color="000000"/>
              <w:left w:val="single" w:sz="2" w:space="0" w:color="000000"/>
              <w:bottom w:val="single" w:sz="2" w:space="0" w:color="000000"/>
              <w:right w:val="single" w:sz="2" w:space="0" w:color="000000"/>
            </w:tcBorders>
          </w:tcPr>
          <w:p w14:paraId="454A94D4" w14:textId="77777777" w:rsidR="00053D93" w:rsidRDefault="00053D93"/>
        </w:tc>
        <w:tc>
          <w:tcPr>
            <w:tcW w:w="926" w:type="dxa"/>
            <w:tcBorders>
              <w:top w:val="single" w:sz="2" w:space="0" w:color="000000"/>
              <w:left w:val="single" w:sz="2" w:space="0" w:color="000000"/>
              <w:bottom w:val="single" w:sz="2" w:space="0" w:color="000000"/>
              <w:right w:val="single" w:sz="2" w:space="0" w:color="000000"/>
            </w:tcBorders>
          </w:tcPr>
          <w:p w14:paraId="593C5165" w14:textId="77777777" w:rsidR="00053D93" w:rsidRDefault="00260B75">
            <w:pPr>
              <w:ind w:left="5"/>
            </w:pPr>
            <w:r>
              <w:rPr>
                <w:rFonts w:ascii="Times New Roman" w:eastAsia="Times New Roman" w:hAnsi="Times New Roman" w:cs="Times New Roman"/>
                <w:sz w:val="16"/>
              </w:rPr>
              <w:t>31/12/2024</w:t>
            </w:r>
          </w:p>
        </w:tc>
        <w:tc>
          <w:tcPr>
            <w:tcW w:w="857" w:type="dxa"/>
            <w:tcBorders>
              <w:top w:val="single" w:sz="2" w:space="0" w:color="000000"/>
              <w:left w:val="single" w:sz="2" w:space="0" w:color="000000"/>
              <w:bottom w:val="single" w:sz="2" w:space="0" w:color="000000"/>
              <w:right w:val="single" w:sz="2" w:space="0" w:color="000000"/>
            </w:tcBorders>
          </w:tcPr>
          <w:p w14:paraId="7A0B7B5C" w14:textId="77777777" w:rsidR="00053D93" w:rsidRDefault="00260B75">
            <w:pPr>
              <w:ind w:left="43" w:firstLine="43"/>
              <w:jc w:val="both"/>
            </w:pPr>
            <w:r>
              <w:rPr>
                <w:sz w:val="18"/>
              </w:rPr>
              <w:t>1 año, 1 mes y 15</w:t>
            </w:r>
          </w:p>
        </w:tc>
      </w:tr>
      <w:tr w:rsidR="00053D93" w14:paraId="6019336D" w14:textId="77777777">
        <w:trPr>
          <w:trHeight w:val="835"/>
        </w:trPr>
        <w:tc>
          <w:tcPr>
            <w:tcW w:w="387" w:type="dxa"/>
            <w:tcBorders>
              <w:top w:val="single" w:sz="2" w:space="0" w:color="000000"/>
              <w:left w:val="single" w:sz="2" w:space="0" w:color="000000"/>
              <w:bottom w:val="single" w:sz="2" w:space="0" w:color="000000"/>
              <w:right w:val="single" w:sz="2" w:space="0" w:color="000000"/>
            </w:tcBorders>
          </w:tcPr>
          <w:p w14:paraId="7FA242A1" w14:textId="77777777" w:rsidR="00053D93" w:rsidRDefault="00260B75">
            <w:pPr>
              <w:ind w:left="7"/>
              <w:jc w:val="center"/>
            </w:pPr>
            <w:r>
              <w:rPr>
                <w:rFonts w:ascii="Times New Roman" w:eastAsia="Times New Roman" w:hAnsi="Times New Roman" w:cs="Times New Roman"/>
                <w:sz w:val="18"/>
              </w:rPr>
              <w:t>13</w:t>
            </w:r>
          </w:p>
        </w:tc>
        <w:tc>
          <w:tcPr>
            <w:tcW w:w="1002" w:type="dxa"/>
            <w:tcBorders>
              <w:top w:val="single" w:sz="2" w:space="0" w:color="000000"/>
              <w:left w:val="single" w:sz="2" w:space="0" w:color="000000"/>
              <w:bottom w:val="single" w:sz="2" w:space="0" w:color="000000"/>
              <w:right w:val="single" w:sz="2" w:space="0" w:color="000000"/>
            </w:tcBorders>
          </w:tcPr>
          <w:p w14:paraId="0EE31B85" w14:textId="77777777" w:rsidR="00053D93" w:rsidRDefault="00260B75">
            <w:pPr>
              <w:ind w:left="45"/>
            </w:pPr>
            <w:r>
              <w:rPr>
                <w:rFonts w:ascii="Times New Roman" w:eastAsia="Times New Roman" w:hAnsi="Times New Roman" w:cs="Times New Roman"/>
                <w:sz w:val="16"/>
              </w:rPr>
              <w:t>990039951</w:t>
            </w:r>
          </w:p>
        </w:tc>
        <w:tc>
          <w:tcPr>
            <w:tcW w:w="1094" w:type="dxa"/>
            <w:tcBorders>
              <w:top w:val="single" w:sz="2" w:space="0" w:color="000000"/>
              <w:left w:val="single" w:sz="2" w:space="0" w:color="000000"/>
              <w:bottom w:val="single" w:sz="2" w:space="0" w:color="000000"/>
              <w:right w:val="single" w:sz="2" w:space="0" w:color="000000"/>
            </w:tcBorders>
          </w:tcPr>
          <w:p w14:paraId="39A368B3" w14:textId="77777777" w:rsidR="00053D93" w:rsidRDefault="00260B75">
            <w:pPr>
              <w:ind w:left="8"/>
              <w:jc w:val="center"/>
            </w:pPr>
            <w:r>
              <w:rPr>
                <w:sz w:val="18"/>
              </w:rPr>
              <w:t>Asesor</w:t>
            </w:r>
          </w:p>
          <w:p w14:paraId="4CF47B62" w14:textId="77777777" w:rsidR="00053D93" w:rsidRDefault="00260B75">
            <w:pPr>
              <w:ind w:left="8"/>
              <w:jc w:val="center"/>
            </w:pPr>
            <w:r>
              <w:rPr>
                <w:sz w:val="18"/>
              </w:rPr>
              <w:t>Profesional</w:t>
            </w:r>
          </w:p>
          <w:p w14:paraId="5A2E4F11" w14:textId="77777777" w:rsidR="00053D93" w:rsidRDefault="00260B75">
            <w:pPr>
              <w:ind w:left="8"/>
            </w:pPr>
            <w:r>
              <w:rPr>
                <w:sz w:val="18"/>
              </w:rPr>
              <w:t>Especializado</w:t>
            </w:r>
          </w:p>
        </w:tc>
        <w:tc>
          <w:tcPr>
            <w:tcW w:w="1226" w:type="dxa"/>
            <w:tcBorders>
              <w:top w:val="single" w:sz="2" w:space="0" w:color="000000"/>
              <w:left w:val="single" w:sz="2" w:space="0" w:color="000000"/>
              <w:bottom w:val="single" w:sz="2" w:space="0" w:color="000000"/>
              <w:right w:val="single" w:sz="2" w:space="0" w:color="000000"/>
            </w:tcBorders>
          </w:tcPr>
          <w:p w14:paraId="3D9C31AB" w14:textId="77777777" w:rsidR="00053D93" w:rsidRDefault="00260B75">
            <w:pPr>
              <w:spacing w:after="1"/>
              <w:ind w:left="7"/>
              <w:jc w:val="center"/>
            </w:pPr>
            <w:r>
              <w:rPr>
                <w:sz w:val="16"/>
              </w:rPr>
              <w:t>Coordinador</w:t>
            </w:r>
          </w:p>
          <w:p w14:paraId="2C2A3594" w14:textId="77777777" w:rsidR="00053D93" w:rsidRDefault="00260B75">
            <w:pPr>
              <w:ind w:left="413" w:hanging="382"/>
            </w:pPr>
            <w:r>
              <w:rPr>
                <w:sz w:val="16"/>
              </w:rPr>
              <w:t>Extracurricular, A.t.</w:t>
            </w:r>
          </w:p>
        </w:tc>
        <w:tc>
          <w:tcPr>
            <w:tcW w:w="1083" w:type="dxa"/>
            <w:tcBorders>
              <w:top w:val="single" w:sz="2" w:space="0" w:color="000000"/>
              <w:left w:val="single" w:sz="2" w:space="0" w:color="000000"/>
              <w:bottom w:val="single" w:sz="2" w:space="0" w:color="000000"/>
              <w:right w:val="single" w:sz="2" w:space="0" w:color="000000"/>
            </w:tcBorders>
          </w:tcPr>
          <w:p w14:paraId="6A563B0A" w14:textId="77777777" w:rsidR="00053D93" w:rsidRDefault="00260B75">
            <w:r>
              <w:rPr>
                <w:rFonts w:ascii="Times New Roman" w:eastAsia="Times New Roman" w:hAnsi="Times New Roman" w:cs="Times New Roman"/>
                <w:sz w:val="14"/>
              </w:rPr>
              <w:t>DG-065-2024</w:t>
            </w:r>
          </w:p>
        </w:tc>
        <w:tc>
          <w:tcPr>
            <w:tcW w:w="975" w:type="dxa"/>
            <w:tcBorders>
              <w:top w:val="single" w:sz="2" w:space="0" w:color="000000"/>
              <w:left w:val="single" w:sz="2" w:space="0" w:color="000000"/>
              <w:bottom w:val="single" w:sz="2" w:space="0" w:color="000000"/>
              <w:right w:val="single" w:sz="2" w:space="0" w:color="000000"/>
            </w:tcBorders>
          </w:tcPr>
          <w:p w14:paraId="0923EB64" w14:textId="77777777" w:rsidR="00053D93" w:rsidRDefault="00260B75">
            <w:pPr>
              <w:ind w:left="12"/>
              <w:jc w:val="center"/>
            </w:pPr>
            <w:r>
              <w:rPr>
                <w:rFonts w:ascii="Times New Roman" w:eastAsia="Times New Roman" w:hAnsi="Times New Roman" w:cs="Times New Roman"/>
                <w:sz w:val="16"/>
              </w:rPr>
              <w:t>1 3/03/2024</w:t>
            </w:r>
          </w:p>
        </w:tc>
        <w:tc>
          <w:tcPr>
            <w:tcW w:w="926" w:type="dxa"/>
            <w:tcBorders>
              <w:top w:val="single" w:sz="2" w:space="0" w:color="000000"/>
              <w:left w:val="single" w:sz="2" w:space="0" w:color="000000"/>
              <w:bottom w:val="single" w:sz="2" w:space="0" w:color="000000"/>
              <w:right w:val="single" w:sz="2" w:space="0" w:color="000000"/>
            </w:tcBorders>
          </w:tcPr>
          <w:p w14:paraId="420A1F5D" w14:textId="77777777" w:rsidR="00053D93" w:rsidRDefault="00260B75">
            <w:pPr>
              <w:ind w:left="9"/>
            </w:pPr>
            <w:r>
              <w:rPr>
                <w:rFonts w:ascii="Times New Roman" w:eastAsia="Times New Roman" w:hAnsi="Times New Roman" w:cs="Times New Roman"/>
                <w:sz w:val="18"/>
              </w:rPr>
              <w:t>13/03/2024</w:t>
            </w:r>
          </w:p>
        </w:tc>
        <w:tc>
          <w:tcPr>
            <w:tcW w:w="926" w:type="dxa"/>
            <w:tcBorders>
              <w:top w:val="single" w:sz="2" w:space="0" w:color="000000"/>
              <w:left w:val="single" w:sz="2" w:space="0" w:color="000000"/>
              <w:bottom w:val="single" w:sz="2" w:space="0" w:color="000000"/>
              <w:right w:val="single" w:sz="2" w:space="0" w:color="000000"/>
            </w:tcBorders>
          </w:tcPr>
          <w:p w14:paraId="196209EE" w14:textId="77777777" w:rsidR="00053D93" w:rsidRDefault="00260B75">
            <w:pPr>
              <w:ind w:right="5"/>
              <w:jc w:val="center"/>
            </w:pPr>
            <w:r>
              <w:rPr>
                <w:rFonts w:ascii="Times New Roman" w:eastAsia="Times New Roman" w:hAnsi="Times New Roman" w:cs="Times New Roman"/>
                <w:sz w:val="16"/>
              </w:rPr>
              <w:t>211 0/2024</w:t>
            </w:r>
          </w:p>
        </w:tc>
        <w:tc>
          <w:tcPr>
            <w:tcW w:w="857" w:type="dxa"/>
            <w:tcBorders>
              <w:top w:val="single" w:sz="2" w:space="0" w:color="000000"/>
              <w:left w:val="single" w:sz="2" w:space="0" w:color="000000"/>
              <w:bottom w:val="single" w:sz="2" w:space="0" w:color="000000"/>
              <w:right w:val="single" w:sz="2" w:space="0" w:color="000000"/>
            </w:tcBorders>
          </w:tcPr>
          <w:p w14:paraId="6123AC73" w14:textId="77777777" w:rsidR="00053D93" w:rsidRDefault="00260B75">
            <w:pPr>
              <w:ind w:left="5"/>
              <w:jc w:val="center"/>
            </w:pPr>
            <w:r>
              <w:rPr>
                <w:rFonts w:ascii="Times New Roman" w:eastAsia="Times New Roman" w:hAnsi="Times New Roman" w:cs="Times New Roman"/>
                <w:sz w:val="16"/>
              </w:rPr>
              <w:t>6 meses</w:t>
            </w:r>
          </w:p>
          <w:p w14:paraId="309BB270" w14:textId="77777777" w:rsidR="00053D93" w:rsidRDefault="00260B75">
            <w:pPr>
              <w:ind w:left="36"/>
            </w:pPr>
            <w:r>
              <w:rPr>
                <w:sz w:val="18"/>
              </w:rPr>
              <w:t>Y 19 días</w:t>
            </w:r>
          </w:p>
        </w:tc>
      </w:tr>
      <w:tr w:rsidR="00053D93" w14:paraId="76A0DD45" w14:textId="77777777">
        <w:trPr>
          <w:trHeight w:val="634"/>
        </w:trPr>
        <w:tc>
          <w:tcPr>
            <w:tcW w:w="387" w:type="dxa"/>
            <w:tcBorders>
              <w:top w:val="single" w:sz="2" w:space="0" w:color="000000"/>
              <w:left w:val="single" w:sz="2" w:space="0" w:color="000000"/>
              <w:bottom w:val="single" w:sz="2" w:space="0" w:color="000000"/>
              <w:right w:val="single" w:sz="2" w:space="0" w:color="000000"/>
            </w:tcBorders>
          </w:tcPr>
          <w:p w14:paraId="41D6B40A" w14:textId="77777777" w:rsidR="00053D93" w:rsidRDefault="00260B75">
            <w:pPr>
              <w:ind w:left="36"/>
            </w:pPr>
            <w:r>
              <w:rPr>
                <w:rFonts w:ascii="Times New Roman" w:eastAsia="Times New Roman" w:hAnsi="Times New Roman" w:cs="Times New Roman"/>
                <w:sz w:val="18"/>
              </w:rPr>
              <w:t>14</w:t>
            </w:r>
          </w:p>
        </w:tc>
        <w:tc>
          <w:tcPr>
            <w:tcW w:w="1002" w:type="dxa"/>
            <w:tcBorders>
              <w:top w:val="single" w:sz="2" w:space="0" w:color="000000"/>
              <w:left w:val="single" w:sz="2" w:space="0" w:color="000000"/>
              <w:bottom w:val="single" w:sz="2" w:space="0" w:color="000000"/>
              <w:right w:val="single" w:sz="2" w:space="0" w:color="000000"/>
            </w:tcBorders>
          </w:tcPr>
          <w:p w14:paraId="64C5BC7F" w14:textId="77777777" w:rsidR="00053D93" w:rsidRDefault="00260B75">
            <w:pPr>
              <w:ind w:left="9"/>
            </w:pPr>
            <w:r>
              <w:rPr>
                <w:rFonts w:ascii="Times New Roman" w:eastAsia="Times New Roman" w:hAnsi="Times New Roman" w:cs="Times New Roman"/>
                <w:sz w:val="16"/>
              </w:rPr>
              <w:t>9901271844</w:t>
            </w:r>
          </w:p>
        </w:tc>
        <w:tc>
          <w:tcPr>
            <w:tcW w:w="1094" w:type="dxa"/>
            <w:tcBorders>
              <w:top w:val="single" w:sz="2" w:space="0" w:color="000000"/>
              <w:left w:val="single" w:sz="2" w:space="0" w:color="000000"/>
              <w:bottom w:val="single" w:sz="2" w:space="0" w:color="000000"/>
              <w:right w:val="single" w:sz="2" w:space="0" w:color="000000"/>
            </w:tcBorders>
          </w:tcPr>
          <w:p w14:paraId="10DD3E50" w14:textId="77777777" w:rsidR="00053D93" w:rsidRDefault="00260B75">
            <w:pPr>
              <w:spacing w:after="9"/>
              <w:ind w:right="6"/>
              <w:jc w:val="center"/>
            </w:pPr>
            <w:r>
              <w:rPr>
                <w:sz w:val="16"/>
              </w:rPr>
              <w:t>Asistente</w:t>
            </w:r>
          </w:p>
          <w:p w14:paraId="12AC454D" w14:textId="77777777" w:rsidR="00053D93" w:rsidRDefault="00260B75">
            <w:pPr>
              <w:ind w:left="8"/>
              <w:jc w:val="center"/>
            </w:pPr>
            <w:r>
              <w:rPr>
                <w:sz w:val="18"/>
              </w:rPr>
              <w:t>Profesional</w:t>
            </w:r>
          </w:p>
        </w:tc>
        <w:tc>
          <w:tcPr>
            <w:tcW w:w="1226" w:type="dxa"/>
            <w:tcBorders>
              <w:top w:val="single" w:sz="2" w:space="0" w:color="000000"/>
              <w:left w:val="single" w:sz="2" w:space="0" w:color="000000"/>
              <w:bottom w:val="single" w:sz="2" w:space="0" w:color="000000"/>
              <w:right w:val="single" w:sz="2" w:space="0" w:color="000000"/>
            </w:tcBorders>
          </w:tcPr>
          <w:p w14:paraId="75EB6453" w14:textId="77777777" w:rsidR="00053D93" w:rsidRDefault="00260B75">
            <w:pPr>
              <w:ind w:left="132" w:hanging="65"/>
            </w:pPr>
            <w:r>
              <w:rPr>
                <w:sz w:val="18"/>
              </w:rPr>
              <w:t>Encargada de Recreación, A.l.</w:t>
            </w:r>
          </w:p>
        </w:tc>
        <w:tc>
          <w:tcPr>
            <w:tcW w:w="1083" w:type="dxa"/>
            <w:tcBorders>
              <w:top w:val="single" w:sz="2" w:space="0" w:color="000000"/>
              <w:left w:val="single" w:sz="2" w:space="0" w:color="000000"/>
              <w:bottom w:val="single" w:sz="2" w:space="0" w:color="000000"/>
              <w:right w:val="single" w:sz="2" w:space="0" w:color="000000"/>
            </w:tcBorders>
          </w:tcPr>
          <w:p w14:paraId="6274BDAF" w14:textId="77777777" w:rsidR="00053D93" w:rsidRDefault="00260B75">
            <w:r>
              <w:rPr>
                <w:sz w:val="18"/>
              </w:rPr>
              <w:t>DG-070-2024</w:t>
            </w:r>
          </w:p>
        </w:tc>
        <w:tc>
          <w:tcPr>
            <w:tcW w:w="975" w:type="dxa"/>
            <w:tcBorders>
              <w:top w:val="single" w:sz="2" w:space="0" w:color="000000"/>
              <w:left w:val="single" w:sz="2" w:space="0" w:color="000000"/>
              <w:bottom w:val="single" w:sz="2" w:space="0" w:color="000000"/>
              <w:right w:val="single" w:sz="2" w:space="0" w:color="000000"/>
            </w:tcBorders>
          </w:tcPr>
          <w:p w14:paraId="339DD464" w14:textId="77777777" w:rsidR="00053D93" w:rsidRDefault="00260B75">
            <w:pPr>
              <w:ind w:left="33"/>
            </w:pPr>
            <w:r>
              <w:rPr>
                <w:rFonts w:ascii="Times New Roman" w:eastAsia="Times New Roman" w:hAnsi="Times New Roman" w:cs="Times New Roman"/>
                <w:sz w:val="16"/>
              </w:rPr>
              <w:t>14/03/2024</w:t>
            </w:r>
          </w:p>
        </w:tc>
        <w:tc>
          <w:tcPr>
            <w:tcW w:w="926" w:type="dxa"/>
            <w:tcBorders>
              <w:top w:val="single" w:sz="2" w:space="0" w:color="000000"/>
              <w:left w:val="single" w:sz="2" w:space="0" w:color="000000"/>
              <w:bottom w:val="single" w:sz="2" w:space="0" w:color="000000"/>
              <w:right w:val="single" w:sz="2" w:space="0" w:color="000000"/>
            </w:tcBorders>
          </w:tcPr>
          <w:p w14:paraId="48E9D6CC" w14:textId="77777777" w:rsidR="00053D93" w:rsidRDefault="00260B75">
            <w:pPr>
              <w:ind w:left="2"/>
            </w:pPr>
            <w:r>
              <w:rPr>
                <w:rFonts w:ascii="Times New Roman" w:eastAsia="Times New Roman" w:hAnsi="Times New Roman" w:cs="Times New Roman"/>
                <w:sz w:val="18"/>
              </w:rPr>
              <w:t>15/03/2024</w:t>
            </w:r>
          </w:p>
        </w:tc>
        <w:tc>
          <w:tcPr>
            <w:tcW w:w="926" w:type="dxa"/>
            <w:tcBorders>
              <w:top w:val="single" w:sz="2" w:space="0" w:color="000000"/>
              <w:left w:val="single" w:sz="2" w:space="0" w:color="000000"/>
              <w:bottom w:val="single" w:sz="2" w:space="0" w:color="000000"/>
              <w:right w:val="single" w:sz="2" w:space="0" w:color="000000"/>
            </w:tcBorders>
          </w:tcPr>
          <w:p w14:paraId="4DE21B1D" w14:textId="77777777" w:rsidR="00053D93" w:rsidRDefault="00260B75">
            <w:pPr>
              <w:ind w:left="40"/>
            </w:pPr>
            <w:r>
              <w:rPr>
                <w:rFonts w:ascii="Times New Roman" w:eastAsia="Times New Roman" w:hAnsi="Times New Roman" w:cs="Times New Roman"/>
                <w:sz w:val="16"/>
              </w:rPr>
              <w:t>2110/2024</w:t>
            </w:r>
          </w:p>
        </w:tc>
        <w:tc>
          <w:tcPr>
            <w:tcW w:w="857" w:type="dxa"/>
            <w:tcBorders>
              <w:top w:val="single" w:sz="2" w:space="0" w:color="000000"/>
              <w:left w:val="single" w:sz="2" w:space="0" w:color="000000"/>
              <w:bottom w:val="single" w:sz="2" w:space="0" w:color="000000"/>
              <w:right w:val="single" w:sz="2" w:space="0" w:color="000000"/>
            </w:tcBorders>
          </w:tcPr>
          <w:p w14:paraId="7636FA8D" w14:textId="77777777" w:rsidR="00053D93" w:rsidRDefault="00260B75">
            <w:pPr>
              <w:ind w:left="58"/>
            </w:pPr>
            <w:r>
              <w:rPr>
                <w:sz w:val="18"/>
              </w:rPr>
              <w:t>6 meses</w:t>
            </w:r>
          </w:p>
          <w:p w14:paraId="3636FD51" w14:textId="77777777" w:rsidR="00053D93" w:rsidRDefault="00260B75">
            <w:pPr>
              <w:ind w:left="36"/>
            </w:pPr>
            <w:r>
              <w:rPr>
                <w:noProof/>
              </w:rPr>
              <w:drawing>
                <wp:inline distT="0" distB="0" distL="0" distR="0" wp14:anchorId="7149BDFD" wp14:editId="350A7E49">
                  <wp:extent cx="393192" cy="96012"/>
                  <wp:effectExtent l="0" t="0" r="0" b="0"/>
                  <wp:docPr id="379761" name="Picture 379761"/>
                  <wp:cNvGraphicFramePr/>
                  <a:graphic xmlns:a="http://schemas.openxmlformats.org/drawingml/2006/main">
                    <a:graphicData uri="http://schemas.openxmlformats.org/drawingml/2006/picture">
                      <pic:pic xmlns:pic="http://schemas.openxmlformats.org/drawingml/2006/picture">
                        <pic:nvPicPr>
                          <pic:cNvPr id="379761" name="Picture 379761"/>
                          <pic:cNvPicPr/>
                        </pic:nvPicPr>
                        <pic:blipFill>
                          <a:blip r:embed="rId616"/>
                          <a:stretch>
                            <a:fillRect/>
                          </a:stretch>
                        </pic:blipFill>
                        <pic:spPr>
                          <a:xfrm>
                            <a:off x="0" y="0"/>
                            <a:ext cx="393192" cy="96012"/>
                          </a:xfrm>
                          <a:prstGeom prst="rect">
                            <a:avLst/>
                          </a:prstGeom>
                        </pic:spPr>
                      </pic:pic>
                    </a:graphicData>
                  </a:graphic>
                </wp:inline>
              </w:drawing>
            </w:r>
          </w:p>
        </w:tc>
      </w:tr>
    </w:tbl>
    <w:p w14:paraId="14559FE6" w14:textId="77777777" w:rsidR="00053D93" w:rsidRDefault="00260B75">
      <w:pPr>
        <w:spacing w:after="108" w:line="265" w:lineRule="auto"/>
        <w:ind w:left="1737" w:hanging="10"/>
      </w:pPr>
      <w:r>
        <w:rPr>
          <w:sz w:val="14"/>
        </w:rPr>
        <w:t xml:space="preserve">Fuente: Elaboración propia con base en Oficio No. </w:t>
      </w:r>
      <w:r>
        <w:rPr>
          <w:noProof/>
        </w:rPr>
        <w:drawing>
          <wp:inline distT="0" distB="0" distL="0" distR="0" wp14:anchorId="6E9B753B" wp14:editId="5CED59E9">
            <wp:extent cx="589788" cy="68580"/>
            <wp:effectExtent l="0" t="0" r="0" b="0"/>
            <wp:docPr id="380038" name="Picture 380038"/>
            <wp:cNvGraphicFramePr/>
            <a:graphic xmlns:a="http://schemas.openxmlformats.org/drawingml/2006/main">
              <a:graphicData uri="http://schemas.openxmlformats.org/drawingml/2006/picture">
                <pic:pic xmlns:pic="http://schemas.openxmlformats.org/drawingml/2006/picture">
                  <pic:nvPicPr>
                    <pic:cNvPr id="380038" name="Picture 380038"/>
                    <pic:cNvPicPr/>
                  </pic:nvPicPr>
                  <pic:blipFill>
                    <a:blip r:embed="rId617"/>
                    <a:stretch>
                      <a:fillRect/>
                    </a:stretch>
                  </pic:blipFill>
                  <pic:spPr>
                    <a:xfrm>
                      <a:off x="0" y="0"/>
                      <a:ext cx="589788" cy="68580"/>
                    </a:xfrm>
                    <a:prstGeom prst="rect">
                      <a:avLst/>
                    </a:prstGeom>
                  </pic:spPr>
                </pic:pic>
              </a:graphicData>
            </a:graphic>
          </wp:inline>
        </w:drawing>
      </w:r>
      <w:r>
        <w:rPr>
          <w:sz w:val="14"/>
        </w:rPr>
        <w:t xml:space="preserve"> del 14 de enero de 2025, emitido por el Coordinador de Recursos Humanos</w:t>
      </w:r>
    </w:p>
    <w:p w14:paraId="33E3E989" w14:textId="77777777" w:rsidR="00053D93" w:rsidRDefault="00260B75">
      <w:pPr>
        <w:spacing w:after="488" w:line="265" w:lineRule="auto"/>
        <w:ind w:left="1723" w:hanging="10"/>
      </w:pPr>
      <w:r>
        <w:rPr>
          <w:sz w:val="16"/>
        </w:rPr>
        <w:t>de la DIGEF.</w:t>
      </w:r>
    </w:p>
    <w:p w14:paraId="49830256" w14:textId="77777777" w:rsidR="00053D93" w:rsidRDefault="00260B75">
      <w:pPr>
        <w:spacing w:after="4" w:line="253" w:lineRule="auto"/>
        <w:ind w:left="1730" w:right="50" w:hanging="10"/>
        <w:jc w:val="center"/>
      </w:pPr>
      <w:r>
        <w:rPr>
          <w:sz w:val="26"/>
        </w:rPr>
        <w:t>Puestos internos cubiertos en la Dirección General de Educación Física -DIGEFque no cumplen con el perfil del puesto</w:t>
      </w:r>
    </w:p>
    <w:p w14:paraId="41FD87B7" w14:textId="77777777" w:rsidR="00053D93" w:rsidRDefault="00260B75">
      <w:pPr>
        <w:spacing w:after="0"/>
        <w:ind w:left="1760" w:right="101" w:hanging="10"/>
        <w:jc w:val="center"/>
      </w:pPr>
      <w:r>
        <w:rPr>
          <w:sz w:val="24"/>
        </w:rPr>
        <w:t>Al 31 de diciembre de 2024</w:t>
      </w:r>
    </w:p>
    <w:tbl>
      <w:tblPr>
        <w:tblStyle w:val="TableGrid"/>
        <w:tblW w:w="10171" w:type="dxa"/>
        <w:tblInd w:w="7" w:type="dxa"/>
        <w:tblLook w:val="04A0" w:firstRow="1" w:lastRow="0" w:firstColumn="1" w:lastColumn="0" w:noHBand="0" w:noVBand="1"/>
      </w:tblPr>
      <w:tblGrid>
        <w:gridCol w:w="1455"/>
        <w:gridCol w:w="8740"/>
      </w:tblGrid>
      <w:tr w:rsidR="00053D93" w14:paraId="3310962E" w14:textId="77777777">
        <w:trPr>
          <w:trHeight w:val="10176"/>
        </w:trPr>
        <w:tc>
          <w:tcPr>
            <w:tcW w:w="1764" w:type="dxa"/>
            <w:tcBorders>
              <w:top w:val="nil"/>
              <w:left w:val="nil"/>
              <w:bottom w:val="nil"/>
              <w:right w:val="nil"/>
            </w:tcBorders>
            <w:vAlign w:val="bottom"/>
          </w:tcPr>
          <w:p w14:paraId="364C5597" w14:textId="77777777" w:rsidR="00053D93" w:rsidRDefault="00260B75">
            <w:r>
              <w:rPr>
                <w:noProof/>
              </w:rPr>
              <w:lastRenderedPageBreak/>
              <w:drawing>
                <wp:inline distT="0" distB="0" distL="0" distR="0" wp14:anchorId="189F14B1" wp14:editId="29E983FF">
                  <wp:extent cx="1110996" cy="699515"/>
                  <wp:effectExtent l="0" t="0" r="0" b="0"/>
                  <wp:docPr id="2458333" name="Picture 2458333"/>
                  <wp:cNvGraphicFramePr/>
                  <a:graphic xmlns:a="http://schemas.openxmlformats.org/drawingml/2006/main">
                    <a:graphicData uri="http://schemas.openxmlformats.org/drawingml/2006/picture">
                      <pic:pic xmlns:pic="http://schemas.openxmlformats.org/drawingml/2006/picture">
                        <pic:nvPicPr>
                          <pic:cNvPr id="2458333" name="Picture 2458333"/>
                          <pic:cNvPicPr/>
                        </pic:nvPicPr>
                        <pic:blipFill>
                          <a:blip r:embed="rId618"/>
                          <a:stretch>
                            <a:fillRect/>
                          </a:stretch>
                        </pic:blipFill>
                        <pic:spPr>
                          <a:xfrm>
                            <a:off x="0" y="0"/>
                            <a:ext cx="1110996" cy="699515"/>
                          </a:xfrm>
                          <a:prstGeom prst="rect">
                            <a:avLst/>
                          </a:prstGeom>
                        </pic:spPr>
                      </pic:pic>
                    </a:graphicData>
                  </a:graphic>
                </wp:inline>
              </w:drawing>
            </w:r>
          </w:p>
        </w:tc>
        <w:tc>
          <w:tcPr>
            <w:tcW w:w="8406" w:type="dxa"/>
            <w:tcBorders>
              <w:top w:val="nil"/>
              <w:left w:val="nil"/>
              <w:bottom w:val="nil"/>
              <w:right w:val="nil"/>
            </w:tcBorders>
          </w:tcPr>
          <w:p w14:paraId="297C6117" w14:textId="77777777" w:rsidR="00053D93" w:rsidRDefault="00053D93">
            <w:pPr>
              <w:ind w:left="-2081" w:right="10488"/>
            </w:pPr>
          </w:p>
          <w:tbl>
            <w:tblPr>
              <w:tblStyle w:val="TableGrid"/>
              <w:tblW w:w="8392" w:type="dxa"/>
              <w:tblInd w:w="15" w:type="dxa"/>
              <w:tblCellMar>
                <w:left w:w="6" w:type="dxa"/>
              </w:tblCellMar>
              <w:tblLook w:val="04A0" w:firstRow="1" w:lastRow="0" w:firstColumn="1" w:lastColumn="0" w:noHBand="0" w:noVBand="1"/>
            </w:tblPr>
            <w:tblGrid>
              <w:gridCol w:w="280"/>
              <w:gridCol w:w="272"/>
              <w:gridCol w:w="210"/>
              <w:gridCol w:w="567"/>
              <w:gridCol w:w="928"/>
              <w:gridCol w:w="1148"/>
              <w:gridCol w:w="1072"/>
              <w:gridCol w:w="979"/>
              <w:gridCol w:w="1624"/>
              <w:gridCol w:w="1312"/>
            </w:tblGrid>
            <w:tr w:rsidR="00053D93" w14:paraId="28755598" w14:textId="77777777">
              <w:trPr>
                <w:trHeight w:val="571"/>
              </w:trPr>
              <w:tc>
                <w:tcPr>
                  <w:tcW w:w="248" w:type="dxa"/>
                  <w:tcBorders>
                    <w:top w:val="single" w:sz="2" w:space="0" w:color="000000"/>
                    <w:left w:val="single" w:sz="2" w:space="0" w:color="000000"/>
                    <w:bottom w:val="single" w:sz="2" w:space="0" w:color="000000"/>
                    <w:right w:val="single" w:sz="2" w:space="0" w:color="000000"/>
                  </w:tcBorders>
                </w:tcPr>
                <w:p w14:paraId="23A58407" w14:textId="77777777" w:rsidR="00053D93" w:rsidRDefault="00260B75">
                  <w:pPr>
                    <w:jc w:val="both"/>
                  </w:pPr>
                  <w:r>
                    <w:rPr>
                      <w:sz w:val="18"/>
                    </w:rPr>
                    <w:t>No.</w:t>
                  </w:r>
                </w:p>
              </w:tc>
              <w:tc>
                <w:tcPr>
                  <w:tcW w:w="1058" w:type="dxa"/>
                  <w:gridSpan w:val="3"/>
                  <w:tcBorders>
                    <w:top w:val="single" w:sz="2" w:space="0" w:color="000000"/>
                    <w:left w:val="single" w:sz="2" w:space="0" w:color="000000"/>
                    <w:bottom w:val="single" w:sz="2" w:space="0" w:color="000000"/>
                    <w:right w:val="single" w:sz="2" w:space="0" w:color="000000"/>
                  </w:tcBorders>
                </w:tcPr>
                <w:p w14:paraId="1FC6BDC3" w14:textId="77777777" w:rsidR="00053D93" w:rsidRDefault="00260B75">
                  <w:pPr>
                    <w:jc w:val="center"/>
                  </w:pPr>
                  <w:r>
                    <w:rPr>
                      <w:sz w:val="18"/>
                    </w:rPr>
                    <w:t>Código de Empleado</w:t>
                  </w:r>
                </w:p>
              </w:tc>
              <w:tc>
                <w:tcPr>
                  <w:tcW w:w="929" w:type="dxa"/>
                  <w:tcBorders>
                    <w:top w:val="single" w:sz="2" w:space="0" w:color="000000"/>
                    <w:left w:val="single" w:sz="2" w:space="0" w:color="000000"/>
                    <w:bottom w:val="single" w:sz="2" w:space="0" w:color="000000"/>
                    <w:right w:val="single" w:sz="2" w:space="0" w:color="000000"/>
                  </w:tcBorders>
                </w:tcPr>
                <w:p w14:paraId="266AA4AE" w14:textId="77777777" w:rsidR="00053D93" w:rsidRDefault="00260B75">
                  <w:pPr>
                    <w:ind w:left="21"/>
                    <w:jc w:val="center"/>
                  </w:pPr>
                  <w:r>
                    <w:rPr>
                      <w:sz w:val="18"/>
                    </w:rPr>
                    <w:t>Puesto</w:t>
                  </w:r>
                </w:p>
                <w:p w14:paraId="643C5B95" w14:textId="77777777" w:rsidR="00053D93" w:rsidRDefault="00260B75">
                  <w:pPr>
                    <w:ind w:left="14"/>
                    <w:jc w:val="center"/>
                  </w:pPr>
                  <w:r>
                    <w:rPr>
                      <w:sz w:val="18"/>
                    </w:rPr>
                    <w:t>Nominal</w:t>
                  </w:r>
                </w:p>
              </w:tc>
              <w:tc>
                <w:tcPr>
                  <w:tcW w:w="1123" w:type="dxa"/>
                  <w:tcBorders>
                    <w:top w:val="single" w:sz="2" w:space="0" w:color="000000"/>
                    <w:left w:val="single" w:sz="2" w:space="0" w:color="000000"/>
                    <w:bottom w:val="single" w:sz="2" w:space="0" w:color="000000"/>
                    <w:right w:val="single" w:sz="2" w:space="0" w:color="000000"/>
                  </w:tcBorders>
                </w:tcPr>
                <w:p w14:paraId="7A92620E" w14:textId="77777777" w:rsidR="00053D93" w:rsidRDefault="00260B75">
                  <w:pPr>
                    <w:ind w:left="14"/>
                    <w:jc w:val="center"/>
                  </w:pPr>
                  <w:r>
                    <w:rPr>
                      <w:sz w:val="18"/>
                    </w:rPr>
                    <w:t>Puesto</w:t>
                  </w:r>
                </w:p>
                <w:p w14:paraId="5CC8A7BF" w14:textId="77777777" w:rsidR="00053D93" w:rsidRDefault="00260B75">
                  <w:pPr>
                    <w:ind w:left="6"/>
                    <w:jc w:val="center"/>
                  </w:pPr>
                  <w:r>
                    <w:rPr>
                      <w:sz w:val="18"/>
                    </w:rPr>
                    <w:t>Funcional</w:t>
                  </w:r>
                </w:p>
              </w:tc>
              <w:tc>
                <w:tcPr>
                  <w:tcW w:w="1083" w:type="dxa"/>
                  <w:tcBorders>
                    <w:top w:val="single" w:sz="2" w:space="0" w:color="000000"/>
                    <w:left w:val="single" w:sz="2" w:space="0" w:color="000000"/>
                    <w:bottom w:val="single" w:sz="2" w:space="0" w:color="000000"/>
                    <w:right w:val="single" w:sz="2" w:space="0" w:color="000000"/>
                  </w:tcBorders>
                </w:tcPr>
                <w:p w14:paraId="18D8438C" w14:textId="77777777" w:rsidR="00053D93" w:rsidRDefault="00260B75">
                  <w:pPr>
                    <w:jc w:val="center"/>
                  </w:pPr>
                  <w:r>
                    <w:rPr>
                      <w:sz w:val="20"/>
                    </w:rPr>
                    <w:t>Resolución DIGEF No.</w:t>
                  </w:r>
                </w:p>
              </w:tc>
              <w:tc>
                <w:tcPr>
                  <w:tcW w:w="979" w:type="dxa"/>
                  <w:tcBorders>
                    <w:top w:val="single" w:sz="2" w:space="0" w:color="000000"/>
                    <w:left w:val="single" w:sz="2" w:space="0" w:color="000000"/>
                    <w:bottom w:val="single" w:sz="2" w:space="0" w:color="000000"/>
                    <w:right w:val="single" w:sz="2" w:space="0" w:color="000000"/>
                  </w:tcBorders>
                </w:tcPr>
                <w:p w14:paraId="3BA420AF" w14:textId="77777777" w:rsidR="00053D93" w:rsidRDefault="00260B75">
                  <w:pPr>
                    <w:ind w:left="8"/>
                    <w:jc w:val="center"/>
                  </w:pPr>
                  <w:r>
                    <w:rPr>
                      <w:sz w:val="20"/>
                    </w:rPr>
                    <w:t>Fecha de</w:t>
                  </w:r>
                </w:p>
                <w:p w14:paraId="2286B6B6" w14:textId="77777777" w:rsidR="00053D93" w:rsidRDefault="00260B75">
                  <w:pPr>
                    <w:ind w:left="87"/>
                  </w:pPr>
                  <w:r>
                    <w:rPr>
                      <w:sz w:val="20"/>
                    </w:rPr>
                    <w:t>Resolución</w:t>
                  </w:r>
                </w:p>
              </w:tc>
              <w:tc>
                <w:tcPr>
                  <w:tcW w:w="1656" w:type="dxa"/>
                  <w:tcBorders>
                    <w:top w:val="single" w:sz="2" w:space="0" w:color="000000"/>
                    <w:left w:val="single" w:sz="2" w:space="0" w:color="000000"/>
                    <w:bottom w:val="single" w:sz="2" w:space="0" w:color="000000"/>
                    <w:right w:val="single" w:sz="2" w:space="0" w:color="000000"/>
                  </w:tcBorders>
                </w:tcPr>
                <w:p w14:paraId="251C357E" w14:textId="77777777" w:rsidR="00053D93" w:rsidRDefault="00260B75">
                  <w:pPr>
                    <w:ind w:left="130" w:hanging="43"/>
                    <w:jc w:val="both"/>
                  </w:pPr>
                  <w:r>
                    <w:rPr>
                      <w:sz w:val="18"/>
                    </w:rPr>
                    <w:t>Perfil requerido para el puesto funcional</w:t>
                  </w:r>
                </w:p>
              </w:tc>
              <w:tc>
                <w:tcPr>
                  <w:tcW w:w="1315" w:type="dxa"/>
                  <w:tcBorders>
                    <w:top w:val="single" w:sz="2" w:space="0" w:color="000000"/>
                    <w:left w:val="single" w:sz="2" w:space="0" w:color="000000"/>
                    <w:bottom w:val="single" w:sz="2" w:space="0" w:color="000000"/>
                    <w:right w:val="single" w:sz="2" w:space="0" w:color="000000"/>
                  </w:tcBorders>
                </w:tcPr>
                <w:p w14:paraId="463CE04A" w14:textId="77777777" w:rsidR="00053D93" w:rsidRDefault="00260B75">
                  <w:pPr>
                    <w:ind w:left="33" w:right="30"/>
                    <w:jc w:val="center"/>
                  </w:pPr>
                  <w:r>
                    <w:rPr>
                      <w:sz w:val="18"/>
                    </w:rPr>
                    <w:t>Competencias del empleado</w:t>
                  </w:r>
                </w:p>
              </w:tc>
            </w:tr>
            <w:tr w:rsidR="00053D93" w14:paraId="354FB4D1" w14:textId="77777777">
              <w:trPr>
                <w:trHeight w:val="1646"/>
              </w:trPr>
              <w:tc>
                <w:tcPr>
                  <w:tcW w:w="248" w:type="dxa"/>
                  <w:tcBorders>
                    <w:top w:val="single" w:sz="2" w:space="0" w:color="000000"/>
                    <w:left w:val="single" w:sz="2" w:space="0" w:color="000000"/>
                    <w:bottom w:val="single" w:sz="2" w:space="0" w:color="000000"/>
                    <w:right w:val="single" w:sz="2" w:space="0" w:color="000000"/>
                  </w:tcBorders>
                </w:tcPr>
                <w:p w14:paraId="38617279" w14:textId="77777777" w:rsidR="00053D93" w:rsidRDefault="00053D93"/>
              </w:tc>
              <w:tc>
                <w:tcPr>
                  <w:tcW w:w="1058" w:type="dxa"/>
                  <w:gridSpan w:val="3"/>
                  <w:tcBorders>
                    <w:top w:val="single" w:sz="2" w:space="0" w:color="000000"/>
                    <w:left w:val="single" w:sz="2" w:space="0" w:color="000000"/>
                    <w:bottom w:val="single" w:sz="2" w:space="0" w:color="000000"/>
                    <w:right w:val="single" w:sz="2" w:space="0" w:color="000000"/>
                  </w:tcBorders>
                </w:tcPr>
                <w:p w14:paraId="0D716606" w14:textId="77777777" w:rsidR="00053D93" w:rsidRDefault="00260B75">
                  <w:pPr>
                    <w:ind w:left="71"/>
                    <w:jc w:val="center"/>
                  </w:pPr>
                  <w:r>
                    <w:rPr>
                      <w:rFonts w:ascii="Times New Roman" w:eastAsia="Times New Roman" w:hAnsi="Times New Roman" w:cs="Times New Roman"/>
                      <w:sz w:val="16"/>
                    </w:rPr>
                    <w:t>990076755</w:t>
                  </w:r>
                </w:p>
              </w:tc>
              <w:tc>
                <w:tcPr>
                  <w:tcW w:w="929" w:type="dxa"/>
                  <w:tcBorders>
                    <w:top w:val="single" w:sz="2" w:space="0" w:color="000000"/>
                    <w:left w:val="single" w:sz="2" w:space="0" w:color="000000"/>
                    <w:bottom w:val="single" w:sz="2" w:space="0" w:color="000000"/>
                    <w:right w:val="single" w:sz="2" w:space="0" w:color="000000"/>
                  </w:tcBorders>
                </w:tcPr>
                <w:p w14:paraId="5263B464" w14:textId="77777777" w:rsidR="00053D93" w:rsidRDefault="00260B75">
                  <w:pPr>
                    <w:jc w:val="center"/>
                  </w:pPr>
                  <w:r>
                    <w:rPr>
                      <w:sz w:val="18"/>
                    </w:rPr>
                    <w:t>Secretario Oficinista</w:t>
                  </w:r>
                </w:p>
              </w:tc>
              <w:tc>
                <w:tcPr>
                  <w:tcW w:w="1123" w:type="dxa"/>
                  <w:tcBorders>
                    <w:top w:val="single" w:sz="2" w:space="0" w:color="000000"/>
                    <w:left w:val="single" w:sz="2" w:space="0" w:color="000000"/>
                    <w:bottom w:val="single" w:sz="2" w:space="0" w:color="000000"/>
                    <w:right w:val="single" w:sz="2" w:space="0" w:color="000000"/>
                  </w:tcBorders>
                </w:tcPr>
                <w:p w14:paraId="560C53B7" w14:textId="77777777" w:rsidR="00053D93" w:rsidRDefault="00260B75">
                  <w:pPr>
                    <w:ind w:right="1"/>
                    <w:jc w:val="center"/>
                  </w:pPr>
                  <w:r>
                    <w:rPr>
                      <w:sz w:val="18"/>
                    </w:rPr>
                    <w:t>Jefe de</w:t>
                  </w:r>
                </w:p>
                <w:p w14:paraId="31F48932" w14:textId="77777777" w:rsidR="00053D93" w:rsidRDefault="00260B75">
                  <w:pPr>
                    <w:spacing w:after="1"/>
                    <w:ind w:left="83"/>
                  </w:pPr>
                  <w:r>
                    <w:rPr>
                      <w:sz w:val="16"/>
                    </w:rPr>
                    <w:t>Departamento</w:t>
                  </w:r>
                </w:p>
                <w:p w14:paraId="0D40045B" w14:textId="77777777" w:rsidR="00053D93" w:rsidRDefault="00260B75">
                  <w:pPr>
                    <w:ind w:right="1"/>
                    <w:jc w:val="center"/>
                  </w:pPr>
                  <w:r>
                    <w:rPr>
                      <w:sz w:val="18"/>
                    </w:rPr>
                    <w:t>De Almacén,</w:t>
                  </w:r>
                </w:p>
              </w:tc>
              <w:tc>
                <w:tcPr>
                  <w:tcW w:w="1083" w:type="dxa"/>
                  <w:tcBorders>
                    <w:top w:val="single" w:sz="2" w:space="0" w:color="000000"/>
                    <w:left w:val="single" w:sz="2" w:space="0" w:color="000000"/>
                    <w:bottom w:val="single" w:sz="2" w:space="0" w:color="000000"/>
                    <w:right w:val="single" w:sz="2" w:space="0" w:color="000000"/>
                  </w:tcBorders>
                </w:tcPr>
                <w:p w14:paraId="6BF3CB95" w14:textId="77777777" w:rsidR="00053D93" w:rsidRDefault="00260B75">
                  <w:pPr>
                    <w:ind w:left="11"/>
                    <w:jc w:val="center"/>
                  </w:pPr>
                  <w:r>
                    <w:rPr>
                      <w:rFonts w:ascii="Times New Roman" w:eastAsia="Times New Roman" w:hAnsi="Times New Roman" w:cs="Times New Roman"/>
                      <w:sz w:val="18"/>
                    </w:rPr>
                    <w:t>10-2020</w:t>
                  </w:r>
                </w:p>
              </w:tc>
              <w:tc>
                <w:tcPr>
                  <w:tcW w:w="979" w:type="dxa"/>
                  <w:tcBorders>
                    <w:top w:val="single" w:sz="2" w:space="0" w:color="000000"/>
                    <w:left w:val="single" w:sz="2" w:space="0" w:color="000000"/>
                    <w:bottom w:val="single" w:sz="2" w:space="0" w:color="000000"/>
                    <w:right w:val="single" w:sz="2" w:space="0" w:color="000000"/>
                  </w:tcBorders>
                </w:tcPr>
                <w:p w14:paraId="02D5F9A3" w14:textId="77777777" w:rsidR="00053D93" w:rsidRDefault="00260B75">
                  <w:pPr>
                    <w:ind w:left="116"/>
                  </w:pPr>
                  <w:r>
                    <w:rPr>
                      <w:rFonts w:ascii="Times New Roman" w:eastAsia="Times New Roman" w:hAnsi="Times New Roman" w:cs="Times New Roman"/>
                      <w:sz w:val="18"/>
                    </w:rPr>
                    <w:t>10/01/2020</w:t>
                  </w:r>
                </w:p>
              </w:tc>
              <w:tc>
                <w:tcPr>
                  <w:tcW w:w="1656" w:type="dxa"/>
                  <w:tcBorders>
                    <w:top w:val="single" w:sz="2" w:space="0" w:color="000000"/>
                    <w:left w:val="single" w:sz="2" w:space="0" w:color="000000"/>
                    <w:bottom w:val="single" w:sz="2" w:space="0" w:color="000000"/>
                    <w:right w:val="single" w:sz="2" w:space="0" w:color="000000"/>
                  </w:tcBorders>
                </w:tcPr>
                <w:p w14:paraId="65D681E8" w14:textId="77777777" w:rsidR="00053D93" w:rsidRDefault="00260B75">
                  <w:pPr>
                    <w:ind w:left="73" w:right="79" w:firstLine="7"/>
                    <w:jc w:val="both"/>
                  </w:pPr>
                  <w:r>
                    <w:rPr>
                      <w:sz w:val="18"/>
                    </w:rPr>
                    <w:t>Perfil. Educación: Título universitario a nivel de licenciatura en una carrera afín al puesto de trabajo. Colegiado activo.</w:t>
                  </w:r>
                </w:p>
              </w:tc>
              <w:tc>
                <w:tcPr>
                  <w:tcW w:w="1315" w:type="dxa"/>
                  <w:tcBorders>
                    <w:top w:val="single" w:sz="2" w:space="0" w:color="000000"/>
                    <w:left w:val="single" w:sz="2" w:space="0" w:color="000000"/>
                    <w:bottom w:val="single" w:sz="2" w:space="0" w:color="000000"/>
                    <w:right w:val="single" w:sz="2" w:space="0" w:color="000000"/>
                  </w:tcBorders>
                </w:tcPr>
                <w:p w14:paraId="71429B1D" w14:textId="77777777" w:rsidR="00053D93" w:rsidRDefault="00260B75">
                  <w:pPr>
                    <w:ind w:left="80"/>
                  </w:pPr>
                  <w:r>
                    <w:rPr>
                      <w:sz w:val="26"/>
                    </w:rPr>
                    <w:t>Nivel</w:t>
                  </w:r>
                </w:p>
                <w:p w14:paraId="2345A5B7" w14:textId="77777777" w:rsidR="00053D93" w:rsidRDefault="00260B75">
                  <w:pPr>
                    <w:spacing w:after="4"/>
                    <w:ind w:left="80"/>
                  </w:pPr>
                  <w:r>
                    <w:rPr>
                      <w:sz w:val="20"/>
                    </w:rPr>
                    <w:t>académico:</w:t>
                  </w:r>
                </w:p>
                <w:p w14:paraId="41F332D3" w14:textId="77777777" w:rsidR="00053D93" w:rsidRDefault="00260B75">
                  <w:pPr>
                    <w:spacing w:after="4" w:line="227" w:lineRule="auto"/>
                    <w:ind w:left="80" w:right="77"/>
                    <w:jc w:val="both"/>
                  </w:pPr>
                  <w:r>
                    <w:rPr>
                      <w:sz w:val="18"/>
                    </w:rPr>
                    <w:t>Cierre de pensum de la Licenciatura en</w:t>
                  </w:r>
                </w:p>
                <w:p w14:paraId="29F19E39" w14:textId="77777777" w:rsidR="00053D93" w:rsidRDefault="00260B75">
                  <w:pPr>
                    <w:ind w:left="73" w:firstLine="7"/>
                  </w:pPr>
                  <w:r>
                    <w:rPr>
                      <w:sz w:val="18"/>
                    </w:rPr>
                    <w:t>Pedagogía Administración Educativa.</w:t>
                  </w:r>
                </w:p>
              </w:tc>
            </w:tr>
            <w:tr w:rsidR="00053D93" w14:paraId="62857788" w14:textId="77777777">
              <w:trPr>
                <w:trHeight w:val="2254"/>
              </w:trPr>
              <w:tc>
                <w:tcPr>
                  <w:tcW w:w="248" w:type="dxa"/>
                  <w:tcBorders>
                    <w:top w:val="single" w:sz="2" w:space="0" w:color="000000"/>
                    <w:left w:val="single" w:sz="2" w:space="0" w:color="000000"/>
                    <w:bottom w:val="single" w:sz="2" w:space="0" w:color="000000"/>
                    <w:right w:val="single" w:sz="2" w:space="0" w:color="000000"/>
                  </w:tcBorders>
                </w:tcPr>
                <w:p w14:paraId="4DD89409" w14:textId="77777777" w:rsidR="00053D93" w:rsidRDefault="00260B75">
                  <w:pPr>
                    <w:ind w:left="72"/>
                  </w:pPr>
                  <w:r>
                    <w:rPr>
                      <w:rFonts w:ascii="Times New Roman" w:eastAsia="Times New Roman" w:hAnsi="Times New Roman" w:cs="Times New Roman"/>
                      <w:sz w:val="16"/>
                    </w:rPr>
                    <w:t>2</w:t>
                  </w:r>
                </w:p>
              </w:tc>
              <w:tc>
                <w:tcPr>
                  <w:tcW w:w="1058" w:type="dxa"/>
                  <w:gridSpan w:val="3"/>
                  <w:tcBorders>
                    <w:top w:val="single" w:sz="2" w:space="0" w:color="000000"/>
                    <w:left w:val="single" w:sz="2" w:space="0" w:color="000000"/>
                    <w:bottom w:val="single" w:sz="2" w:space="0" w:color="000000"/>
                    <w:right w:val="single" w:sz="2" w:space="0" w:color="000000"/>
                  </w:tcBorders>
                </w:tcPr>
                <w:p w14:paraId="08B3FC82" w14:textId="77777777" w:rsidR="00053D93" w:rsidRDefault="00260B75">
                  <w:pPr>
                    <w:ind w:left="71"/>
                    <w:jc w:val="center"/>
                  </w:pPr>
                  <w:r>
                    <w:rPr>
                      <w:rFonts w:ascii="Times New Roman" w:eastAsia="Times New Roman" w:hAnsi="Times New Roman" w:cs="Times New Roman"/>
                      <w:sz w:val="16"/>
                    </w:rPr>
                    <w:t>9901212293</w:t>
                  </w:r>
                </w:p>
              </w:tc>
              <w:tc>
                <w:tcPr>
                  <w:tcW w:w="929" w:type="dxa"/>
                  <w:tcBorders>
                    <w:top w:val="single" w:sz="2" w:space="0" w:color="000000"/>
                    <w:left w:val="single" w:sz="2" w:space="0" w:color="000000"/>
                    <w:bottom w:val="single" w:sz="2" w:space="0" w:color="000000"/>
                    <w:right w:val="single" w:sz="2" w:space="0" w:color="000000"/>
                  </w:tcBorders>
                </w:tcPr>
                <w:p w14:paraId="7BEAB587" w14:textId="77777777" w:rsidR="00053D93" w:rsidRDefault="00260B75">
                  <w:pPr>
                    <w:spacing w:after="1"/>
                    <w:ind w:right="8"/>
                    <w:jc w:val="center"/>
                  </w:pPr>
                  <w:r>
                    <w:rPr>
                      <w:sz w:val="16"/>
                    </w:rPr>
                    <w:t>Asistente</w:t>
                  </w:r>
                </w:p>
                <w:p w14:paraId="764305FC" w14:textId="77777777" w:rsidR="00053D93" w:rsidRDefault="00260B75">
                  <w:pPr>
                    <w:ind w:left="90"/>
                  </w:pPr>
                  <w:r>
                    <w:rPr>
                      <w:sz w:val="18"/>
                    </w:rPr>
                    <w:t>Profesional</w:t>
                  </w:r>
                </w:p>
              </w:tc>
              <w:tc>
                <w:tcPr>
                  <w:tcW w:w="1123" w:type="dxa"/>
                  <w:tcBorders>
                    <w:top w:val="single" w:sz="2" w:space="0" w:color="000000"/>
                    <w:left w:val="single" w:sz="2" w:space="0" w:color="000000"/>
                    <w:bottom w:val="single" w:sz="2" w:space="0" w:color="000000"/>
                    <w:right w:val="single" w:sz="2" w:space="0" w:color="000000"/>
                  </w:tcBorders>
                </w:tcPr>
                <w:p w14:paraId="04497DD3" w14:textId="77777777" w:rsidR="00053D93" w:rsidRDefault="00260B75">
                  <w:pPr>
                    <w:spacing w:line="261" w:lineRule="auto"/>
                    <w:ind w:left="50" w:right="58"/>
                    <w:jc w:val="center"/>
                  </w:pPr>
                  <w:r>
                    <w:rPr>
                      <w:sz w:val="18"/>
                    </w:rPr>
                    <w:t>Jefe Sección de</w:t>
                  </w:r>
                </w:p>
                <w:p w14:paraId="126CC313" w14:textId="77777777" w:rsidR="00053D93" w:rsidRDefault="00260B75">
                  <w:pPr>
                    <w:ind w:right="15"/>
                    <w:jc w:val="center"/>
                  </w:pPr>
                  <w:r>
                    <w:rPr>
                      <w:sz w:val="18"/>
                    </w:rPr>
                    <w:t>Transportes,</w:t>
                  </w:r>
                </w:p>
              </w:tc>
              <w:tc>
                <w:tcPr>
                  <w:tcW w:w="1083" w:type="dxa"/>
                  <w:tcBorders>
                    <w:top w:val="single" w:sz="2" w:space="0" w:color="000000"/>
                    <w:left w:val="single" w:sz="2" w:space="0" w:color="000000"/>
                    <w:bottom w:val="single" w:sz="2" w:space="0" w:color="000000"/>
                    <w:right w:val="single" w:sz="2" w:space="0" w:color="000000"/>
                  </w:tcBorders>
                </w:tcPr>
                <w:p w14:paraId="718464F3" w14:textId="77777777" w:rsidR="00053D93" w:rsidRDefault="00260B75">
                  <w:pPr>
                    <w:ind w:right="4"/>
                    <w:jc w:val="center"/>
                  </w:pPr>
                  <w:r>
                    <w:rPr>
                      <w:rFonts w:ascii="Times New Roman" w:eastAsia="Times New Roman" w:hAnsi="Times New Roman" w:cs="Times New Roman"/>
                      <w:sz w:val="18"/>
                    </w:rPr>
                    <w:t>02-2023</w:t>
                  </w:r>
                </w:p>
              </w:tc>
              <w:tc>
                <w:tcPr>
                  <w:tcW w:w="979" w:type="dxa"/>
                  <w:tcBorders>
                    <w:top w:val="single" w:sz="2" w:space="0" w:color="000000"/>
                    <w:left w:val="single" w:sz="2" w:space="0" w:color="000000"/>
                    <w:bottom w:val="single" w:sz="2" w:space="0" w:color="000000"/>
                    <w:right w:val="single" w:sz="2" w:space="0" w:color="000000"/>
                  </w:tcBorders>
                </w:tcPr>
                <w:p w14:paraId="7F21AF31" w14:textId="77777777" w:rsidR="00053D93" w:rsidRDefault="00260B75">
                  <w:pPr>
                    <w:ind w:right="13"/>
                    <w:jc w:val="center"/>
                  </w:pPr>
                  <w:r>
                    <w:rPr>
                      <w:rFonts w:ascii="Times New Roman" w:eastAsia="Times New Roman" w:hAnsi="Times New Roman" w:cs="Times New Roman"/>
                      <w:sz w:val="16"/>
                    </w:rPr>
                    <w:t>4/01/2023</w:t>
                  </w:r>
                </w:p>
              </w:tc>
              <w:tc>
                <w:tcPr>
                  <w:tcW w:w="1656" w:type="dxa"/>
                  <w:tcBorders>
                    <w:top w:val="single" w:sz="2" w:space="0" w:color="000000"/>
                    <w:left w:val="single" w:sz="2" w:space="0" w:color="000000"/>
                    <w:bottom w:val="single" w:sz="2" w:space="0" w:color="000000"/>
                    <w:right w:val="single" w:sz="2" w:space="0" w:color="000000"/>
                  </w:tcBorders>
                </w:tcPr>
                <w:p w14:paraId="4A4AE0D0" w14:textId="77777777" w:rsidR="00053D93" w:rsidRDefault="00260B75">
                  <w:pPr>
                    <w:ind w:left="73" w:right="86" w:firstLine="7"/>
                    <w:jc w:val="both"/>
                  </w:pPr>
                  <w:r>
                    <w:rPr>
                      <w:sz w:val="18"/>
                    </w:rPr>
                    <w:t>Perfil. Educación: Título universitario a nivel de licenciatura en una carrera afín al puesto de trabajo. Colegiado activo.</w:t>
                  </w:r>
                </w:p>
              </w:tc>
              <w:tc>
                <w:tcPr>
                  <w:tcW w:w="1315" w:type="dxa"/>
                  <w:tcBorders>
                    <w:top w:val="single" w:sz="2" w:space="0" w:color="000000"/>
                    <w:left w:val="single" w:sz="2" w:space="0" w:color="000000"/>
                    <w:bottom w:val="single" w:sz="2" w:space="0" w:color="000000"/>
                    <w:right w:val="single" w:sz="2" w:space="0" w:color="000000"/>
                  </w:tcBorders>
                </w:tcPr>
                <w:p w14:paraId="359F68B3" w14:textId="77777777" w:rsidR="00053D93" w:rsidRDefault="00260B75">
                  <w:pPr>
                    <w:ind w:left="80"/>
                  </w:pPr>
                  <w:r>
                    <w:rPr>
                      <w:sz w:val="26"/>
                    </w:rPr>
                    <w:t>Nivel</w:t>
                  </w:r>
                </w:p>
                <w:p w14:paraId="3F806C66" w14:textId="77777777" w:rsidR="00053D93" w:rsidRDefault="00260B75">
                  <w:pPr>
                    <w:spacing w:line="222" w:lineRule="auto"/>
                    <w:ind w:left="66" w:right="77" w:firstLine="14"/>
                    <w:jc w:val="both"/>
                  </w:pPr>
                  <w:r>
                    <w:rPr>
                      <w:sz w:val="18"/>
                    </w:rPr>
                    <w:t>académico: 22 cursos aprobado del Profesorado en Pedagogía Técnico</w:t>
                  </w:r>
                </w:p>
                <w:p w14:paraId="3CCB68EF" w14:textId="77777777" w:rsidR="00053D93" w:rsidRDefault="00260B75">
                  <w:pPr>
                    <w:ind w:left="73" w:right="77"/>
                    <w:jc w:val="both"/>
                  </w:pPr>
                  <w:r>
                    <w:rPr>
                      <w:sz w:val="18"/>
                    </w:rPr>
                    <w:t>Administración l a Universidad de San Carlos de Guatemala.</w:t>
                  </w:r>
                </w:p>
              </w:tc>
            </w:tr>
            <w:tr w:rsidR="00053D93" w14:paraId="0472D102" w14:textId="77777777">
              <w:trPr>
                <w:trHeight w:val="1454"/>
              </w:trPr>
              <w:tc>
                <w:tcPr>
                  <w:tcW w:w="248" w:type="dxa"/>
                  <w:tcBorders>
                    <w:top w:val="single" w:sz="2" w:space="0" w:color="000000"/>
                    <w:left w:val="single" w:sz="2" w:space="0" w:color="000000"/>
                    <w:bottom w:val="single" w:sz="2" w:space="0" w:color="000000"/>
                    <w:right w:val="single" w:sz="2" w:space="0" w:color="000000"/>
                  </w:tcBorders>
                </w:tcPr>
                <w:p w14:paraId="35478D06" w14:textId="77777777" w:rsidR="00053D93" w:rsidRDefault="00053D93"/>
              </w:tc>
              <w:tc>
                <w:tcPr>
                  <w:tcW w:w="1058" w:type="dxa"/>
                  <w:gridSpan w:val="3"/>
                  <w:tcBorders>
                    <w:top w:val="single" w:sz="2" w:space="0" w:color="000000"/>
                    <w:left w:val="single" w:sz="2" w:space="0" w:color="000000"/>
                    <w:bottom w:val="single" w:sz="2" w:space="0" w:color="000000"/>
                    <w:right w:val="single" w:sz="2" w:space="0" w:color="000000"/>
                  </w:tcBorders>
                </w:tcPr>
                <w:p w14:paraId="14F9F93F" w14:textId="77777777" w:rsidR="00053D93" w:rsidRDefault="00260B75">
                  <w:pPr>
                    <w:ind w:left="57"/>
                    <w:jc w:val="center"/>
                  </w:pPr>
                  <w:r>
                    <w:rPr>
                      <w:rFonts w:ascii="Times New Roman" w:eastAsia="Times New Roman" w:hAnsi="Times New Roman" w:cs="Times New Roman"/>
                      <w:sz w:val="16"/>
                    </w:rPr>
                    <w:t>990039682</w:t>
                  </w:r>
                </w:p>
              </w:tc>
              <w:tc>
                <w:tcPr>
                  <w:tcW w:w="929" w:type="dxa"/>
                  <w:tcBorders>
                    <w:top w:val="single" w:sz="2" w:space="0" w:color="000000"/>
                    <w:left w:val="single" w:sz="2" w:space="0" w:color="000000"/>
                    <w:bottom w:val="single" w:sz="2" w:space="0" w:color="000000"/>
                    <w:right w:val="single" w:sz="2" w:space="0" w:color="000000"/>
                  </w:tcBorders>
                </w:tcPr>
                <w:p w14:paraId="54DBA619" w14:textId="77777777" w:rsidR="00053D93" w:rsidRDefault="00260B75">
                  <w:pPr>
                    <w:spacing w:after="9"/>
                    <w:ind w:right="8"/>
                    <w:jc w:val="center"/>
                  </w:pPr>
                  <w:r>
                    <w:rPr>
                      <w:sz w:val="16"/>
                    </w:rPr>
                    <w:t>Asistente</w:t>
                  </w:r>
                </w:p>
                <w:p w14:paraId="0980007A" w14:textId="77777777" w:rsidR="00053D93" w:rsidRDefault="00260B75">
                  <w:pPr>
                    <w:ind w:left="83"/>
                  </w:pPr>
                  <w:r>
                    <w:rPr>
                      <w:sz w:val="18"/>
                    </w:rPr>
                    <w:t>Profesional</w:t>
                  </w:r>
                </w:p>
                <w:p w14:paraId="0E9EF14F" w14:textId="77777777" w:rsidR="00053D93" w:rsidRDefault="00260B75">
                  <w:pPr>
                    <w:ind w:left="14"/>
                    <w:jc w:val="center"/>
                  </w:pPr>
                  <w:r>
                    <w:rPr>
                      <w:sz w:val="20"/>
                    </w:rPr>
                    <w:t>IV</w:t>
                  </w:r>
                </w:p>
              </w:tc>
              <w:tc>
                <w:tcPr>
                  <w:tcW w:w="1123" w:type="dxa"/>
                  <w:tcBorders>
                    <w:top w:val="single" w:sz="2" w:space="0" w:color="000000"/>
                    <w:left w:val="single" w:sz="2" w:space="0" w:color="000000"/>
                    <w:bottom w:val="single" w:sz="2" w:space="0" w:color="000000"/>
                    <w:right w:val="single" w:sz="2" w:space="0" w:color="000000"/>
                  </w:tcBorders>
                </w:tcPr>
                <w:p w14:paraId="029C24E4" w14:textId="77777777" w:rsidR="00053D93" w:rsidRDefault="00260B75">
                  <w:pPr>
                    <w:ind w:left="133" w:hanging="43"/>
                    <w:jc w:val="both"/>
                  </w:pPr>
                  <w:r>
                    <w:rPr>
                      <w:sz w:val="18"/>
                    </w:rPr>
                    <w:t>Encargada de Viáticos, A.I.</w:t>
                  </w:r>
                </w:p>
              </w:tc>
              <w:tc>
                <w:tcPr>
                  <w:tcW w:w="1083" w:type="dxa"/>
                  <w:tcBorders>
                    <w:top w:val="single" w:sz="2" w:space="0" w:color="000000"/>
                    <w:left w:val="single" w:sz="2" w:space="0" w:color="000000"/>
                    <w:bottom w:val="single" w:sz="2" w:space="0" w:color="000000"/>
                    <w:right w:val="single" w:sz="2" w:space="0" w:color="000000"/>
                  </w:tcBorders>
                </w:tcPr>
                <w:p w14:paraId="3B3FF35A" w14:textId="77777777" w:rsidR="00053D93" w:rsidRDefault="00260B75">
                  <w:pPr>
                    <w:ind w:right="4"/>
                    <w:jc w:val="center"/>
                  </w:pPr>
                  <w:r>
                    <w:rPr>
                      <w:sz w:val="16"/>
                    </w:rPr>
                    <w:t>058-2024 y</w:t>
                  </w:r>
                </w:p>
                <w:p w14:paraId="1F67AA34" w14:textId="77777777" w:rsidR="00053D93" w:rsidRDefault="00260B75">
                  <w:pPr>
                    <w:ind w:right="11"/>
                    <w:jc w:val="center"/>
                  </w:pPr>
                  <w:r>
                    <w:rPr>
                      <w:rFonts w:ascii="Times New Roman" w:eastAsia="Times New Roman" w:hAnsi="Times New Roman" w:cs="Times New Roman"/>
                      <w:sz w:val="16"/>
                    </w:rPr>
                    <w:t>277-2024</w:t>
                  </w:r>
                </w:p>
              </w:tc>
              <w:tc>
                <w:tcPr>
                  <w:tcW w:w="979" w:type="dxa"/>
                  <w:tcBorders>
                    <w:top w:val="single" w:sz="2" w:space="0" w:color="000000"/>
                    <w:left w:val="single" w:sz="2" w:space="0" w:color="000000"/>
                    <w:bottom w:val="single" w:sz="2" w:space="0" w:color="000000"/>
                    <w:right w:val="single" w:sz="2" w:space="0" w:color="000000"/>
                  </w:tcBorders>
                </w:tcPr>
                <w:p w14:paraId="66F94396" w14:textId="77777777" w:rsidR="00053D93" w:rsidRDefault="00260B75">
                  <w:pPr>
                    <w:spacing w:after="1"/>
                    <w:ind w:left="95"/>
                  </w:pPr>
                  <w:r>
                    <w:rPr>
                      <w:rFonts w:ascii="Times New Roman" w:eastAsia="Times New Roman" w:hAnsi="Times New Roman" w:cs="Times New Roman"/>
                      <w:sz w:val="16"/>
                    </w:rPr>
                    <w:t>810312024 y</w:t>
                  </w:r>
                </w:p>
                <w:p w14:paraId="03A2C243" w14:textId="77777777" w:rsidR="00053D93" w:rsidRDefault="00260B75">
                  <w:pPr>
                    <w:ind w:left="109"/>
                  </w:pPr>
                  <w:r>
                    <w:rPr>
                      <w:rFonts w:ascii="Times New Roman" w:eastAsia="Times New Roman" w:hAnsi="Times New Roman" w:cs="Times New Roman"/>
                      <w:sz w:val="16"/>
                    </w:rPr>
                    <w:t>20/09/2024</w:t>
                  </w:r>
                </w:p>
              </w:tc>
              <w:tc>
                <w:tcPr>
                  <w:tcW w:w="1656" w:type="dxa"/>
                  <w:tcBorders>
                    <w:top w:val="single" w:sz="2" w:space="0" w:color="000000"/>
                    <w:left w:val="single" w:sz="2" w:space="0" w:color="000000"/>
                    <w:bottom w:val="single" w:sz="2" w:space="0" w:color="000000"/>
                    <w:right w:val="single" w:sz="2" w:space="0" w:color="000000"/>
                  </w:tcBorders>
                </w:tcPr>
                <w:p w14:paraId="160345FB" w14:textId="77777777" w:rsidR="00053D93" w:rsidRDefault="00260B75">
                  <w:pPr>
                    <w:ind w:left="73" w:right="72" w:firstLine="7"/>
                    <w:jc w:val="both"/>
                  </w:pPr>
                  <w:r>
                    <w:rPr>
                      <w:sz w:val="18"/>
                    </w:rPr>
                    <w:t xml:space="preserve">Perfil. Educación: Acreditar haber aprobado los cursos equivalentes </w:t>
                  </w:r>
                  <w:r>
                    <w:rPr>
                      <w:rFonts w:ascii="Times New Roman" w:eastAsia="Times New Roman" w:hAnsi="Times New Roman" w:cs="Times New Roman"/>
                      <w:sz w:val="18"/>
                    </w:rPr>
                    <w:t xml:space="preserve">al </w:t>
                  </w:r>
                  <w:r>
                    <w:rPr>
                      <w:sz w:val="18"/>
                    </w:rPr>
                    <w:t>séptimo semestre de una carrera afín al puesto de trabajo.</w:t>
                  </w:r>
                </w:p>
              </w:tc>
              <w:tc>
                <w:tcPr>
                  <w:tcW w:w="1315" w:type="dxa"/>
                  <w:tcBorders>
                    <w:top w:val="single" w:sz="2" w:space="0" w:color="000000"/>
                    <w:left w:val="single" w:sz="2" w:space="0" w:color="000000"/>
                    <w:bottom w:val="single" w:sz="2" w:space="0" w:color="000000"/>
                    <w:right w:val="single" w:sz="2" w:space="0" w:color="000000"/>
                  </w:tcBorders>
                </w:tcPr>
                <w:p w14:paraId="16A06628" w14:textId="77777777" w:rsidR="00053D93" w:rsidRDefault="00260B75">
                  <w:pPr>
                    <w:ind w:left="80"/>
                  </w:pPr>
                  <w:r>
                    <w:rPr>
                      <w:sz w:val="26"/>
                    </w:rPr>
                    <w:t>Nivel</w:t>
                  </w:r>
                </w:p>
                <w:p w14:paraId="227BDA4F" w14:textId="77777777" w:rsidR="00053D93" w:rsidRDefault="00260B75">
                  <w:pPr>
                    <w:ind w:left="73"/>
                  </w:pPr>
                  <w:r>
                    <w:rPr>
                      <w:sz w:val="18"/>
                    </w:rPr>
                    <w:t>Académico: secretaria oficinista</w:t>
                  </w:r>
                </w:p>
              </w:tc>
            </w:tr>
            <w:tr w:rsidR="00053D93" w14:paraId="307BEF30" w14:textId="77777777">
              <w:trPr>
                <w:trHeight w:val="2256"/>
              </w:trPr>
              <w:tc>
                <w:tcPr>
                  <w:tcW w:w="248" w:type="dxa"/>
                  <w:tcBorders>
                    <w:top w:val="single" w:sz="2" w:space="0" w:color="000000"/>
                    <w:left w:val="single" w:sz="2" w:space="0" w:color="000000"/>
                    <w:bottom w:val="single" w:sz="2" w:space="0" w:color="000000"/>
                    <w:right w:val="single" w:sz="2" w:space="0" w:color="000000"/>
                  </w:tcBorders>
                </w:tcPr>
                <w:p w14:paraId="43C8F811" w14:textId="77777777" w:rsidR="00053D93" w:rsidRDefault="00260B75">
                  <w:pPr>
                    <w:ind w:left="65"/>
                  </w:pPr>
                  <w:r>
                    <w:rPr>
                      <w:rFonts w:ascii="Times New Roman" w:eastAsia="Times New Roman" w:hAnsi="Times New Roman" w:cs="Times New Roman"/>
                      <w:sz w:val="16"/>
                    </w:rPr>
                    <w:t>4</w:t>
                  </w:r>
                </w:p>
              </w:tc>
              <w:tc>
                <w:tcPr>
                  <w:tcW w:w="1058" w:type="dxa"/>
                  <w:gridSpan w:val="3"/>
                  <w:tcBorders>
                    <w:top w:val="single" w:sz="2" w:space="0" w:color="000000"/>
                    <w:left w:val="single" w:sz="2" w:space="0" w:color="000000"/>
                    <w:bottom w:val="single" w:sz="2" w:space="0" w:color="000000"/>
                    <w:right w:val="single" w:sz="2" w:space="0" w:color="000000"/>
                  </w:tcBorders>
                </w:tcPr>
                <w:p w14:paraId="0FE182D0" w14:textId="77777777" w:rsidR="00053D93" w:rsidRDefault="00260B75">
                  <w:pPr>
                    <w:ind w:left="49"/>
                    <w:jc w:val="center"/>
                  </w:pPr>
                  <w:r>
                    <w:rPr>
                      <w:rFonts w:ascii="Times New Roman" w:eastAsia="Times New Roman" w:hAnsi="Times New Roman" w:cs="Times New Roman"/>
                      <w:sz w:val="16"/>
                    </w:rPr>
                    <w:t>990069529</w:t>
                  </w:r>
                </w:p>
              </w:tc>
              <w:tc>
                <w:tcPr>
                  <w:tcW w:w="929" w:type="dxa"/>
                  <w:tcBorders>
                    <w:top w:val="single" w:sz="2" w:space="0" w:color="000000"/>
                    <w:left w:val="single" w:sz="2" w:space="0" w:color="000000"/>
                    <w:bottom w:val="single" w:sz="2" w:space="0" w:color="000000"/>
                    <w:right w:val="single" w:sz="2" w:space="0" w:color="000000"/>
                  </w:tcBorders>
                </w:tcPr>
                <w:p w14:paraId="596428D9" w14:textId="77777777" w:rsidR="00053D93" w:rsidRDefault="00260B75">
                  <w:pPr>
                    <w:spacing w:after="9"/>
                    <w:ind w:right="22"/>
                    <w:jc w:val="center"/>
                  </w:pPr>
                  <w:r>
                    <w:rPr>
                      <w:sz w:val="16"/>
                    </w:rPr>
                    <w:t>Asistente</w:t>
                  </w:r>
                </w:p>
                <w:p w14:paraId="727FEB04" w14:textId="77777777" w:rsidR="00053D93" w:rsidRDefault="00260B75">
                  <w:pPr>
                    <w:ind w:left="83"/>
                  </w:pPr>
                  <w:r>
                    <w:rPr>
                      <w:sz w:val="18"/>
                    </w:rPr>
                    <w:t>Profesional</w:t>
                  </w:r>
                </w:p>
                <w:p w14:paraId="3067DEA8" w14:textId="77777777" w:rsidR="00053D93" w:rsidRDefault="00260B75">
                  <w:pPr>
                    <w:ind w:right="1"/>
                    <w:jc w:val="center"/>
                  </w:pPr>
                  <w:r>
                    <w:rPr>
                      <w:sz w:val="20"/>
                    </w:rPr>
                    <w:t>IV</w:t>
                  </w:r>
                </w:p>
              </w:tc>
              <w:tc>
                <w:tcPr>
                  <w:tcW w:w="1123" w:type="dxa"/>
                  <w:tcBorders>
                    <w:top w:val="single" w:sz="2" w:space="0" w:color="000000"/>
                    <w:left w:val="single" w:sz="2" w:space="0" w:color="000000"/>
                    <w:bottom w:val="single" w:sz="2" w:space="0" w:color="000000"/>
                    <w:right w:val="single" w:sz="2" w:space="0" w:color="000000"/>
                  </w:tcBorders>
                </w:tcPr>
                <w:p w14:paraId="1BD5A395" w14:textId="77777777" w:rsidR="00053D93" w:rsidRDefault="00260B75">
                  <w:pPr>
                    <w:ind w:left="126" w:hanging="43"/>
                    <w:jc w:val="both"/>
                  </w:pPr>
                  <w:r>
                    <w:rPr>
                      <w:sz w:val="18"/>
                    </w:rPr>
                    <w:t>Encargada de Viáticos. A.l.</w:t>
                  </w:r>
                </w:p>
              </w:tc>
              <w:tc>
                <w:tcPr>
                  <w:tcW w:w="1083" w:type="dxa"/>
                  <w:tcBorders>
                    <w:top w:val="single" w:sz="2" w:space="0" w:color="000000"/>
                    <w:left w:val="single" w:sz="2" w:space="0" w:color="000000"/>
                    <w:bottom w:val="single" w:sz="2" w:space="0" w:color="000000"/>
                    <w:right w:val="single" w:sz="2" w:space="0" w:color="000000"/>
                  </w:tcBorders>
                </w:tcPr>
                <w:p w14:paraId="6DF148B8" w14:textId="77777777" w:rsidR="00053D93" w:rsidRDefault="00260B75">
                  <w:pPr>
                    <w:ind w:left="76"/>
                  </w:pPr>
                  <w:r>
                    <w:rPr>
                      <w:rFonts w:ascii="Times New Roman" w:eastAsia="Times New Roman" w:hAnsi="Times New Roman" w:cs="Times New Roman"/>
                      <w:sz w:val="14"/>
                    </w:rPr>
                    <w:t>DG-071-2024</w:t>
                  </w:r>
                </w:p>
              </w:tc>
              <w:tc>
                <w:tcPr>
                  <w:tcW w:w="979" w:type="dxa"/>
                  <w:tcBorders>
                    <w:top w:val="single" w:sz="2" w:space="0" w:color="000000"/>
                    <w:left w:val="single" w:sz="2" w:space="0" w:color="000000"/>
                    <w:bottom w:val="single" w:sz="2" w:space="0" w:color="000000"/>
                    <w:right w:val="single" w:sz="2" w:space="0" w:color="000000"/>
                  </w:tcBorders>
                </w:tcPr>
                <w:p w14:paraId="5C7FA085" w14:textId="77777777" w:rsidR="00053D93" w:rsidRDefault="00260B75">
                  <w:pPr>
                    <w:ind w:left="116"/>
                  </w:pPr>
                  <w:r>
                    <w:rPr>
                      <w:rFonts w:ascii="Times New Roman" w:eastAsia="Times New Roman" w:hAnsi="Times New Roman" w:cs="Times New Roman"/>
                      <w:sz w:val="16"/>
                    </w:rPr>
                    <w:t>14/03/2024</w:t>
                  </w:r>
                </w:p>
              </w:tc>
              <w:tc>
                <w:tcPr>
                  <w:tcW w:w="1656" w:type="dxa"/>
                  <w:tcBorders>
                    <w:top w:val="single" w:sz="2" w:space="0" w:color="000000"/>
                    <w:left w:val="single" w:sz="2" w:space="0" w:color="000000"/>
                    <w:bottom w:val="single" w:sz="2" w:space="0" w:color="000000"/>
                    <w:right w:val="single" w:sz="2" w:space="0" w:color="000000"/>
                  </w:tcBorders>
                </w:tcPr>
                <w:p w14:paraId="273DFAE4" w14:textId="77777777" w:rsidR="00053D93" w:rsidRDefault="00260B75">
                  <w:pPr>
                    <w:ind w:left="73" w:right="72" w:firstLine="7"/>
                    <w:jc w:val="both"/>
                  </w:pPr>
                  <w:r>
                    <w:rPr>
                      <w:sz w:val="18"/>
                    </w:rPr>
                    <w:t>Perfil. Educación: Acreditar haber aprobado los cursos equivalentes séptimo semestre de una carrera afín al puesto de trabajo.</w:t>
                  </w:r>
                </w:p>
              </w:tc>
              <w:tc>
                <w:tcPr>
                  <w:tcW w:w="1315" w:type="dxa"/>
                  <w:tcBorders>
                    <w:top w:val="single" w:sz="2" w:space="0" w:color="000000"/>
                    <w:left w:val="single" w:sz="2" w:space="0" w:color="000000"/>
                    <w:bottom w:val="single" w:sz="2" w:space="0" w:color="000000"/>
                    <w:right w:val="single" w:sz="2" w:space="0" w:color="000000"/>
                  </w:tcBorders>
                </w:tcPr>
                <w:p w14:paraId="0FCEB7E0" w14:textId="77777777" w:rsidR="00053D93" w:rsidRDefault="00260B75">
                  <w:pPr>
                    <w:ind w:left="80"/>
                  </w:pPr>
                  <w:r>
                    <w:rPr>
                      <w:sz w:val="26"/>
                    </w:rPr>
                    <w:t>Nivel</w:t>
                  </w:r>
                </w:p>
                <w:p w14:paraId="0870C4F3" w14:textId="77777777" w:rsidR="00053D93" w:rsidRDefault="00260B75">
                  <w:pPr>
                    <w:ind w:left="73"/>
                  </w:pPr>
                  <w:r>
                    <w:rPr>
                      <w:sz w:val="18"/>
                    </w:rPr>
                    <w:t>Académico:</w:t>
                  </w:r>
                </w:p>
                <w:p w14:paraId="69405712" w14:textId="77777777" w:rsidR="00053D93" w:rsidRDefault="00260B75">
                  <w:pPr>
                    <w:spacing w:line="216" w:lineRule="auto"/>
                    <w:ind w:right="77"/>
                    <w:jc w:val="right"/>
                  </w:pPr>
                  <w:r>
                    <w:rPr>
                      <w:sz w:val="18"/>
                    </w:rPr>
                    <w:t>Tercer semestre l a</w:t>
                  </w:r>
                </w:p>
                <w:p w14:paraId="6459419A" w14:textId="77777777" w:rsidR="00053D93" w:rsidRDefault="00260B75">
                  <w:pPr>
                    <w:ind w:left="80"/>
                  </w:pPr>
                  <w:r>
                    <w:rPr>
                      <w:sz w:val="18"/>
                    </w:rPr>
                    <w:t>Licenciatura en</w:t>
                  </w:r>
                </w:p>
                <w:p w14:paraId="4F3698A5" w14:textId="77777777" w:rsidR="00053D93" w:rsidRDefault="00260B75">
                  <w:pPr>
                    <w:ind w:left="80"/>
                  </w:pPr>
                  <w:r>
                    <w:t>Ciencias</w:t>
                  </w:r>
                </w:p>
                <w:p w14:paraId="7C8ADAC3" w14:textId="77777777" w:rsidR="00053D93" w:rsidRDefault="00260B75">
                  <w:pPr>
                    <w:ind w:left="73"/>
                  </w:pPr>
                  <w:r>
                    <w:rPr>
                      <w:sz w:val="20"/>
                    </w:rPr>
                    <w:t>Jurídicas</w:t>
                  </w:r>
                </w:p>
                <w:p w14:paraId="75F76F76" w14:textId="77777777" w:rsidR="00053D93" w:rsidRDefault="00260B75">
                  <w:pPr>
                    <w:ind w:left="80" w:right="77"/>
                    <w:jc w:val="both"/>
                  </w:pPr>
                  <w:r>
                    <w:rPr>
                      <w:sz w:val="18"/>
                    </w:rPr>
                    <w:t>Sociales de la Universidad de San Carlos de Guatemala.</w:t>
                  </w:r>
                </w:p>
              </w:tc>
            </w:tr>
            <w:tr w:rsidR="00053D93" w14:paraId="3FC512E4" w14:textId="77777777">
              <w:trPr>
                <w:trHeight w:val="943"/>
              </w:trPr>
              <w:tc>
                <w:tcPr>
                  <w:tcW w:w="248" w:type="dxa"/>
                  <w:vMerge w:val="restart"/>
                  <w:tcBorders>
                    <w:top w:val="single" w:sz="2" w:space="0" w:color="000000"/>
                    <w:left w:val="single" w:sz="2" w:space="0" w:color="000000"/>
                    <w:bottom w:val="nil"/>
                    <w:right w:val="single" w:sz="2" w:space="0" w:color="000000"/>
                  </w:tcBorders>
                </w:tcPr>
                <w:p w14:paraId="1D93DEE1" w14:textId="77777777" w:rsidR="00053D93" w:rsidRDefault="00260B75">
                  <w:pPr>
                    <w:spacing w:after="513"/>
                    <w:ind w:left="65"/>
                  </w:pPr>
                  <w:r>
                    <w:rPr>
                      <w:rFonts w:ascii="Times New Roman" w:eastAsia="Times New Roman" w:hAnsi="Times New Roman" w:cs="Times New Roman"/>
                      <w:sz w:val="16"/>
                    </w:rPr>
                    <w:t>5</w:t>
                  </w:r>
                </w:p>
                <w:p w14:paraId="4CDA1A6E" w14:textId="77777777" w:rsidR="00053D93" w:rsidRDefault="00260B75">
                  <w:pPr>
                    <w:ind w:left="7" w:right="-31"/>
                  </w:pPr>
                  <w:r>
                    <w:rPr>
                      <w:noProof/>
                    </w:rPr>
                    <w:drawing>
                      <wp:inline distT="0" distB="0" distL="0" distR="0" wp14:anchorId="7E79A23A" wp14:editId="1B518E0C">
                        <wp:extent cx="169164" cy="402336"/>
                        <wp:effectExtent l="0" t="0" r="0" b="0"/>
                        <wp:docPr id="379743" name="Picture 379743"/>
                        <wp:cNvGraphicFramePr/>
                        <a:graphic xmlns:a="http://schemas.openxmlformats.org/drawingml/2006/main">
                          <a:graphicData uri="http://schemas.openxmlformats.org/drawingml/2006/picture">
                            <pic:pic xmlns:pic="http://schemas.openxmlformats.org/drawingml/2006/picture">
                              <pic:nvPicPr>
                                <pic:cNvPr id="379743" name="Picture 379743"/>
                                <pic:cNvPicPr/>
                              </pic:nvPicPr>
                              <pic:blipFill>
                                <a:blip r:embed="rId619"/>
                                <a:stretch>
                                  <a:fillRect/>
                                </a:stretch>
                              </pic:blipFill>
                              <pic:spPr>
                                <a:xfrm>
                                  <a:off x="0" y="0"/>
                                  <a:ext cx="169164" cy="402336"/>
                                </a:xfrm>
                                <a:prstGeom prst="rect">
                                  <a:avLst/>
                                </a:prstGeom>
                              </pic:spPr>
                            </pic:pic>
                          </a:graphicData>
                        </a:graphic>
                      </wp:inline>
                    </w:drawing>
                  </w:r>
                </w:p>
              </w:tc>
              <w:tc>
                <w:tcPr>
                  <w:tcW w:w="1058" w:type="dxa"/>
                  <w:gridSpan w:val="3"/>
                  <w:tcBorders>
                    <w:top w:val="single" w:sz="2" w:space="0" w:color="000000"/>
                    <w:left w:val="single" w:sz="2" w:space="0" w:color="000000"/>
                    <w:bottom w:val="nil"/>
                    <w:right w:val="single" w:sz="2" w:space="0" w:color="000000"/>
                  </w:tcBorders>
                </w:tcPr>
                <w:p w14:paraId="6634CCBE" w14:textId="77777777" w:rsidR="00053D93" w:rsidRDefault="00260B75">
                  <w:pPr>
                    <w:ind w:left="35"/>
                    <w:jc w:val="center"/>
                  </w:pPr>
                  <w:r>
                    <w:rPr>
                      <w:rFonts w:ascii="Times New Roman" w:eastAsia="Times New Roman" w:hAnsi="Times New Roman" w:cs="Times New Roman"/>
                      <w:sz w:val="18"/>
                    </w:rPr>
                    <w:t>990100115</w:t>
                  </w:r>
                </w:p>
              </w:tc>
              <w:tc>
                <w:tcPr>
                  <w:tcW w:w="929" w:type="dxa"/>
                  <w:tcBorders>
                    <w:top w:val="single" w:sz="2" w:space="0" w:color="000000"/>
                    <w:left w:val="single" w:sz="2" w:space="0" w:color="000000"/>
                    <w:bottom w:val="single" w:sz="2" w:space="0" w:color="000000"/>
                    <w:right w:val="single" w:sz="2" w:space="0" w:color="000000"/>
                  </w:tcBorders>
                </w:tcPr>
                <w:p w14:paraId="129F8C9D" w14:textId="77777777" w:rsidR="00053D93" w:rsidRDefault="00260B75">
                  <w:pPr>
                    <w:ind w:left="83" w:right="105"/>
                    <w:jc w:val="center"/>
                  </w:pPr>
                  <w:r>
                    <w:rPr>
                      <w:sz w:val="16"/>
                    </w:rPr>
                    <w:t>Oficinista tv</w:t>
                  </w:r>
                </w:p>
              </w:tc>
              <w:tc>
                <w:tcPr>
                  <w:tcW w:w="1123" w:type="dxa"/>
                  <w:tcBorders>
                    <w:top w:val="single" w:sz="2" w:space="0" w:color="000000"/>
                    <w:left w:val="single" w:sz="2" w:space="0" w:color="000000"/>
                    <w:bottom w:val="single" w:sz="2" w:space="0" w:color="000000"/>
                    <w:right w:val="single" w:sz="2" w:space="0" w:color="000000"/>
                  </w:tcBorders>
                </w:tcPr>
                <w:p w14:paraId="0DE2129E" w14:textId="77777777" w:rsidR="00053D93" w:rsidRDefault="00260B75">
                  <w:pPr>
                    <w:ind w:right="23"/>
                    <w:jc w:val="center"/>
                  </w:pPr>
                  <w:r>
                    <w:rPr>
                      <w:sz w:val="18"/>
                    </w:rPr>
                    <w:t>Jefe del</w:t>
                  </w:r>
                </w:p>
                <w:p w14:paraId="34F0F7FD" w14:textId="77777777" w:rsidR="00053D93" w:rsidRDefault="00260B75">
                  <w:pPr>
                    <w:ind w:left="90" w:hanging="22"/>
                  </w:pPr>
                  <w:r>
                    <w:rPr>
                      <w:sz w:val="18"/>
                    </w:rPr>
                    <w:t>Departamento De Tesorería,</w:t>
                  </w:r>
                </w:p>
              </w:tc>
              <w:tc>
                <w:tcPr>
                  <w:tcW w:w="1083" w:type="dxa"/>
                  <w:tcBorders>
                    <w:top w:val="single" w:sz="2" w:space="0" w:color="000000"/>
                    <w:left w:val="single" w:sz="2" w:space="0" w:color="000000"/>
                    <w:bottom w:val="single" w:sz="2" w:space="0" w:color="000000"/>
                    <w:right w:val="single" w:sz="2" w:space="0" w:color="000000"/>
                  </w:tcBorders>
                </w:tcPr>
                <w:p w14:paraId="1B666E6B" w14:textId="77777777" w:rsidR="00053D93" w:rsidRDefault="00260B75">
                  <w:pPr>
                    <w:ind w:left="76"/>
                  </w:pPr>
                  <w:r>
                    <w:rPr>
                      <w:sz w:val="18"/>
                    </w:rPr>
                    <w:t>DG-073-2024</w:t>
                  </w:r>
                </w:p>
              </w:tc>
              <w:tc>
                <w:tcPr>
                  <w:tcW w:w="979" w:type="dxa"/>
                  <w:tcBorders>
                    <w:top w:val="single" w:sz="2" w:space="0" w:color="000000"/>
                    <w:left w:val="single" w:sz="2" w:space="0" w:color="000000"/>
                    <w:bottom w:val="single" w:sz="2" w:space="0" w:color="000000"/>
                    <w:right w:val="single" w:sz="2" w:space="0" w:color="000000"/>
                  </w:tcBorders>
                </w:tcPr>
                <w:p w14:paraId="43A6B99D" w14:textId="77777777" w:rsidR="00053D93" w:rsidRDefault="00260B75">
                  <w:pPr>
                    <w:ind w:right="6"/>
                    <w:jc w:val="center"/>
                  </w:pPr>
                  <w:r>
                    <w:rPr>
                      <w:rFonts w:ascii="Times New Roman" w:eastAsia="Times New Roman" w:hAnsi="Times New Roman" w:cs="Times New Roman"/>
                      <w:sz w:val="16"/>
                    </w:rPr>
                    <w:t>14/03/204</w:t>
                  </w:r>
                </w:p>
              </w:tc>
              <w:tc>
                <w:tcPr>
                  <w:tcW w:w="1656" w:type="dxa"/>
                  <w:tcBorders>
                    <w:top w:val="single" w:sz="2" w:space="0" w:color="000000"/>
                    <w:left w:val="single" w:sz="2" w:space="0" w:color="000000"/>
                    <w:bottom w:val="single" w:sz="2" w:space="0" w:color="000000"/>
                    <w:right w:val="single" w:sz="2" w:space="0" w:color="000000"/>
                  </w:tcBorders>
                </w:tcPr>
                <w:p w14:paraId="6E2BA575" w14:textId="77777777" w:rsidR="00053D93" w:rsidRDefault="00260B75">
                  <w:pPr>
                    <w:ind w:left="66" w:right="72" w:firstLine="14"/>
                    <w:jc w:val="both"/>
                  </w:pPr>
                  <w:r>
                    <w:rPr>
                      <w:sz w:val="18"/>
                    </w:rPr>
                    <w:t>Perfil. Educación: Título universitario a nivel de licenciatura de Auditor y Contador</w:t>
                  </w:r>
                </w:p>
              </w:tc>
              <w:tc>
                <w:tcPr>
                  <w:tcW w:w="1315" w:type="dxa"/>
                  <w:tcBorders>
                    <w:top w:val="single" w:sz="2" w:space="0" w:color="000000"/>
                    <w:left w:val="single" w:sz="2" w:space="0" w:color="000000"/>
                    <w:bottom w:val="single" w:sz="2" w:space="0" w:color="000000"/>
                    <w:right w:val="single" w:sz="2" w:space="0" w:color="000000"/>
                  </w:tcBorders>
                </w:tcPr>
                <w:p w14:paraId="1B776926" w14:textId="77777777" w:rsidR="00053D93" w:rsidRDefault="00260B75">
                  <w:pPr>
                    <w:ind w:left="80"/>
                  </w:pPr>
                  <w:r>
                    <w:rPr>
                      <w:sz w:val="26"/>
                    </w:rPr>
                    <w:t>Nivel</w:t>
                  </w:r>
                </w:p>
                <w:p w14:paraId="4F09A328" w14:textId="77777777" w:rsidR="00053D93" w:rsidRDefault="00260B75">
                  <w:pPr>
                    <w:ind w:left="80" w:hanging="7"/>
                  </w:pPr>
                  <w:r>
                    <w:rPr>
                      <w:sz w:val="18"/>
                    </w:rPr>
                    <w:t>Académico: Perito Contador con Orientación</w:t>
                  </w:r>
                </w:p>
              </w:tc>
            </w:tr>
            <w:tr w:rsidR="00053D93" w14:paraId="4C442D72" w14:textId="77777777">
              <w:trPr>
                <w:trHeight w:val="590"/>
              </w:trPr>
              <w:tc>
                <w:tcPr>
                  <w:tcW w:w="0" w:type="auto"/>
                  <w:vMerge/>
                  <w:tcBorders>
                    <w:top w:val="nil"/>
                    <w:left w:val="single" w:sz="2" w:space="0" w:color="000000"/>
                    <w:bottom w:val="nil"/>
                    <w:right w:val="single" w:sz="2" w:space="0" w:color="000000"/>
                  </w:tcBorders>
                </w:tcPr>
                <w:p w14:paraId="06729B1C" w14:textId="77777777" w:rsidR="00053D93" w:rsidRDefault="00053D93"/>
              </w:tc>
              <w:tc>
                <w:tcPr>
                  <w:tcW w:w="272" w:type="dxa"/>
                  <w:tcBorders>
                    <w:top w:val="nil"/>
                    <w:left w:val="single" w:sz="2" w:space="0" w:color="000000"/>
                    <w:bottom w:val="nil"/>
                    <w:right w:val="single" w:sz="2" w:space="0" w:color="000000"/>
                  </w:tcBorders>
                </w:tcPr>
                <w:p w14:paraId="75B53252" w14:textId="77777777" w:rsidR="00053D93" w:rsidRDefault="00053D93"/>
              </w:tc>
              <w:tc>
                <w:tcPr>
                  <w:tcW w:w="210" w:type="dxa"/>
                  <w:tcBorders>
                    <w:top w:val="nil"/>
                    <w:left w:val="single" w:sz="2" w:space="0" w:color="000000"/>
                    <w:bottom w:val="nil"/>
                    <w:right w:val="single" w:sz="2" w:space="0" w:color="000000"/>
                  </w:tcBorders>
                </w:tcPr>
                <w:p w14:paraId="435879FC" w14:textId="77777777" w:rsidR="00053D93" w:rsidRDefault="00053D93"/>
              </w:tc>
              <w:tc>
                <w:tcPr>
                  <w:tcW w:w="577" w:type="dxa"/>
                  <w:tcBorders>
                    <w:top w:val="single" w:sz="2" w:space="0" w:color="000000"/>
                    <w:left w:val="single" w:sz="2" w:space="0" w:color="000000"/>
                    <w:bottom w:val="nil"/>
                    <w:right w:val="nil"/>
                  </w:tcBorders>
                </w:tcPr>
                <w:p w14:paraId="344C9EAD" w14:textId="77777777" w:rsidR="00053D93" w:rsidRDefault="00053D93"/>
              </w:tc>
              <w:tc>
                <w:tcPr>
                  <w:tcW w:w="929" w:type="dxa"/>
                  <w:tcBorders>
                    <w:top w:val="single" w:sz="2" w:space="0" w:color="000000"/>
                    <w:left w:val="nil"/>
                    <w:bottom w:val="nil"/>
                    <w:right w:val="nil"/>
                  </w:tcBorders>
                </w:tcPr>
                <w:p w14:paraId="7A701C6D" w14:textId="77777777" w:rsidR="00053D93" w:rsidRDefault="00053D93"/>
              </w:tc>
              <w:tc>
                <w:tcPr>
                  <w:tcW w:w="4841" w:type="dxa"/>
                  <w:gridSpan w:val="4"/>
                  <w:tcBorders>
                    <w:top w:val="single" w:sz="2" w:space="0" w:color="000000"/>
                    <w:left w:val="nil"/>
                    <w:bottom w:val="nil"/>
                    <w:right w:val="nil"/>
                  </w:tcBorders>
                </w:tcPr>
                <w:p w14:paraId="39FF69AC" w14:textId="77777777" w:rsidR="00053D93" w:rsidRDefault="00260B75">
                  <w:pPr>
                    <w:ind w:left="1105"/>
                  </w:pPr>
                  <w:r>
                    <w:rPr>
                      <w:sz w:val="14"/>
                    </w:rPr>
                    <w:t>MINISTERIO DE EDUCACION</w:t>
                  </w:r>
                </w:p>
                <w:p w14:paraId="1685D0DD" w14:textId="77777777" w:rsidR="00053D93" w:rsidRDefault="00260B75">
                  <w:pPr>
                    <w:ind w:left="601"/>
                  </w:pPr>
                  <w:r>
                    <w:rPr>
                      <w:sz w:val="14"/>
                    </w:rPr>
                    <w:t>AUDITORIA FINANCIERA Y DE CUMPLIMIENTO</w:t>
                  </w:r>
                </w:p>
                <w:p w14:paraId="26AA7EE9" w14:textId="77777777" w:rsidR="00053D93" w:rsidRDefault="00260B75">
                  <w:pPr>
                    <w:ind w:left="263"/>
                  </w:pPr>
                  <w:r>
                    <w:rPr>
                      <w:sz w:val="14"/>
                    </w:rPr>
                    <w:t>PERIODO DEL 01 DE ENERO AL 31 DE DICIEMBRE DE 2024</w:t>
                  </w:r>
                </w:p>
              </w:tc>
              <w:tc>
                <w:tcPr>
                  <w:tcW w:w="1315" w:type="dxa"/>
                  <w:tcBorders>
                    <w:top w:val="single" w:sz="2" w:space="0" w:color="000000"/>
                    <w:left w:val="nil"/>
                    <w:bottom w:val="nil"/>
                    <w:right w:val="nil"/>
                  </w:tcBorders>
                </w:tcPr>
                <w:p w14:paraId="75D37533" w14:textId="77777777" w:rsidR="00053D93" w:rsidRDefault="00053D93"/>
              </w:tc>
            </w:tr>
          </w:tbl>
          <w:p w14:paraId="6E905B6F" w14:textId="77777777" w:rsidR="00053D93" w:rsidRDefault="00053D93"/>
        </w:tc>
      </w:tr>
    </w:tbl>
    <w:p w14:paraId="1E5E2912" w14:textId="77777777" w:rsidR="00053D93" w:rsidRDefault="00260B75">
      <w:pPr>
        <w:spacing w:after="200" w:line="265" w:lineRule="auto"/>
        <w:ind w:left="1846" w:right="202" w:hanging="10"/>
        <w:jc w:val="center"/>
      </w:pPr>
      <w:r>
        <w:rPr>
          <w:rFonts w:ascii="Times New Roman" w:eastAsia="Times New Roman" w:hAnsi="Times New Roman" w:cs="Times New Roman"/>
          <w:sz w:val="14"/>
        </w:rPr>
        <w:t>79</w:t>
      </w:r>
    </w:p>
    <w:tbl>
      <w:tblPr>
        <w:tblStyle w:val="TableGrid"/>
        <w:tblW w:w="8470" w:type="dxa"/>
        <w:tblInd w:w="1704" w:type="dxa"/>
        <w:tblCellMar>
          <w:left w:w="75" w:type="dxa"/>
          <w:right w:w="5" w:type="dxa"/>
        </w:tblCellMar>
        <w:tblLook w:val="04A0" w:firstRow="1" w:lastRow="0" w:firstColumn="1" w:lastColumn="0" w:noHBand="0" w:noVBand="1"/>
      </w:tblPr>
      <w:tblGrid>
        <w:gridCol w:w="397"/>
        <w:gridCol w:w="996"/>
        <w:gridCol w:w="933"/>
        <w:gridCol w:w="1116"/>
        <w:gridCol w:w="1087"/>
        <w:gridCol w:w="977"/>
        <w:gridCol w:w="1656"/>
        <w:gridCol w:w="1308"/>
      </w:tblGrid>
      <w:tr w:rsidR="00053D93" w14:paraId="74D7640E" w14:textId="77777777">
        <w:trPr>
          <w:trHeight w:val="626"/>
        </w:trPr>
        <w:tc>
          <w:tcPr>
            <w:tcW w:w="396" w:type="dxa"/>
            <w:tcBorders>
              <w:top w:val="single" w:sz="2" w:space="0" w:color="000000"/>
              <w:left w:val="single" w:sz="2" w:space="0" w:color="000000"/>
              <w:bottom w:val="single" w:sz="2" w:space="0" w:color="000000"/>
              <w:right w:val="single" w:sz="2" w:space="0" w:color="000000"/>
            </w:tcBorders>
          </w:tcPr>
          <w:p w14:paraId="1D5A6086" w14:textId="77777777" w:rsidR="00053D93" w:rsidRDefault="00053D93"/>
        </w:tc>
        <w:tc>
          <w:tcPr>
            <w:tcW w:w="996" w:type="dxa"/>
            <w:tcBorders>
              <w:top w:val="single" w:sz="2" w:space="0" w:color="000000"/>
              <w:left w:val="single" w:sz="2" w:space="0" w:color="000000"/>
              <w:bottom w:val="single" w:sz="2" w:space="0" w:color="000000"/>
              <w:right w:val="single" w:sz="2" w:space="0" w:color="000000"/>
            </w:tcBorders>
          </w:tcPr>
          <w:p w14:paraId="2F35A503" w14:textId="77777777" w:rsidR="00053D93" w:rsidRDefault="00053D93"/>
        </w:tc>
        <w:tc>
          <w:tcPr>
            <w:tcW w:w="933" w:type="dxa"/>
            <w:tcBorders>
              <w:top w:val="single" w:sz="2" w:space="0" w:color="000000"/>
              <w:left w:val="single" w:sz="2" w:space="0" w:color="000000"/>
              <w:bottom w:val="single" w:sz="2" w:space="0" w:color="000000"/>
              <w:right w:val="single" w:sz="2" w:space="0" w:color="000000"/>
            </w:tcBorders>
          </w:tcPr>
          <w:p w14:paraId="38081DA3" w14:textId="77777777" w:rsidR="00053D93" w:rsidRDefault="00053D93"/>
        </w:tc>
        <w:tc>
          <w:tcPr>
            <w:tcW w:w="1116" w:type="dxa"/>
            <w:tcBorders>
              <w:top w:val="single" w:sz="2" w:space="0" w:color="000000"/>
              <w:left w:val="single" w:sz="2" w:space="0" w:color="000000"/>
              <w:bottom w:val="single" w:sz="2" w:space="0" w:color="000000"/>
              <w:right w:val="single" w:sz="2" w:space="0" w:color="000000"/>
            </w:tcBorders>
          </w:tcPr>
          <w:p w14:paraId="2A65BCE0" w14:textId="77777777" w:rsidR="00053D93" w:rsidRDefault="00053D93"/>
        </w:tc>
        <w:tc>
          <w:tcPr>
            <w:tcW w:w="1087" w:type="dxa"/>
            <w:tcBorders>
              <w:top w:val="single" w:sz="2" w:space="0" w:color="000000"/>
              <w:left w:val="single" w:sz="2" w:space="0" w:color="000000"/>
              <w:bottom w:val="single" w:sz="2" w:space="0" w:color="000000"/>
              <w:right w:val="single" w:sz="2" w:space="0" w:color="000000"/>
            </w:tcBorders>
          </w:tcPr>
          <w:p w14:paraId="1C0B9BDE" w14:textId="77777777" w:rsidR="00053D93" w:rsidRDefault="00053D93"/>
        </w:tc>
        <w:tc>
          <w:tcPr>
            <w:tcW w:w="977" w:type="dxa"/>
            <w:tcBorders>
              <w:top w:val="single" w:sz="2" w:space="0" w:color="000000"/>
              <w:left w:val="single" w:sz="2" w:space="0" w:color="000000"/>
              <w:bottom w:val="single" w:sz="2" w:space="0" w:color="000000"/>
              <w:right w:val="single" w:sz="2" w:space="0" w:color="000000"/>
            </w:tcBorders>
          </w:tcPr>
          <w:p w14:paraId="046759DC" w14:textId="77777777" w:rsidR="00053D93" w:rsidRDefault="00053D93"/>
        </w:tc>
        <w:tc>
          <w:tcPr>
            <w:tcW w:w="1656" w:type="dxa"/>
            <w:tcBorders>
              <w:top w:val="single" w:sz="2" w:space="0" w:color="000000"/>
              <w:left w:val="single" w:sz="2" w:space="0" w:color="000000"/>
              <w:bottom w:val="single" w:sz="2" w:space="0" w:color="000000"/>
              <w:right w:val="single" w:sz="2" w:space="0" w:color="000000"/>
            </w:tcBorders>
          </w:tcPr>
          <w:p w14:paraId="0BEF07F8" w14:textId="77777777" w:rsidR="00053D93" w:rsidRDefault="00260B75">
            <w:pPr>
              <w:ind w:left="9"/>
            </w:pPr>
            <w:r>
              <w:rPr>
                <w:sz w:val="18"/>
              </w:rPr>
              <w:t>Público o carrera</w:t>
            </w:r>
          </w:p>
          <w:p w14:paraId="6C116DAA" w14:textId="77777777" w:rsidR="00053D93" w:rsidRDefault="00260B75">
            <w:pPr>
              <w:ind w:right="77"/>
              <w:jc w:val="right"/>
            </w:pPr>
            <w:r>
              <w:rPr>
                <w:sz w:val="20"/>
              </w:rPr>
              <w:t>Colegiado</w:t>
            </w:r>
          </w:p>
          <w:p w14:paraId="73A8F1EA" w14:textId="77777777" w:rsidR="00053D93" w:rsidRDefault="00260B75">
            <w:pPr>
              <w:ind w:left="2"/>
            </w:pPr>
            <w:r>
              <w:rPr>
                <w:sz w:val="16"/>
              </w:rPr>
              <w:t>Activo.</w:t>
            </w:r>
          </w:p>
        </w:tc>
        <w:tc>
          <w:tcPr>
            <w:tcW w:w="1308" w:type="dxa"/>
            <w:tcBorders>
              <w:top w:val="single" w:sz="2" w:space="0" w:color="000000"/>
              <w:left w:val="single" w:sz="2" w:space="0" w:color="000000"/>
              <w:bottom w:val="single" w:sz="2" w:space="0" w:color="000000"/>
              <w:right w:val="single" w:sz="2" w:space="0" w:color="000000"/>
            </w:tcBorders>
            <w:vAlign w:val="center"/>
          </w:tcPr>
          <w:p w14:paraId="33559239" w14:textId="77777777" w:rsidR="00053D93" w:rsidRDefault="00260B75">
            <w:pPr>
              <w:ind w:left="9"/>
            </w:pPr>
            <w:r>
              <w:rPr>
                <w:sz w:val="16"/>
              </w:rPr>
              <w:t>Computación.</w:t>
            </w:r>
          </w:p>
        </w:tc>
      </w:tr>
      <w:tr w:rsidR="00053D93" w14:paraId="7FFB0CC6" w14:textId="77777777">
        <w:trPr>
          <w:trHeight w:val="1872"/>
        </w:trPr>
        <w:tc>
          <w:tcPr>
            <w:tcW w:w="396" w:type="dxa"/>
            <w:tcBorders>
              <w:top w:val="single" w:sz="2" w:space="0" w:color="000000"/>
              <w:left w:val="single" w:sz="2" w:space="0" w:color="000000"/>
              <w:bottom w:val="single" w:sz="2" w:space="0" w:color="000000"/>
              <w:right w:val="single" w:sz="2" w:space="0" w:color="000000"/>
            </w:tcBorders>
          </w:tcPr>
          <w:p w14:paraId="062654A4" w14:textId="77777777" w:rsidR="00053D93" w:rsidRDefault="00260B75">
            <w:pPr>
              <w:ind w:right="86"/>
              <w:jc w:val="center"/>
            </w:pPr>
            <w:r>
              <w:rPr>
                <w:rFonts w:ascii="Times New Roman" w:eastAsia="Times New Roman" w:hAnsi="Times New Roman" w:cs="Times New Roman"/>
                <w:sz w:val="18"/>
              </w:rPr>
              <w:lastRenderedPageBreak/>
              <w:t>6</w:t>
            </w:r>
          </w:p>
        </w:tc>
        <w:tc>
          <w:tcPr>
            <w:tcW w:w="996" w:type="dxa"/>
            <w:tcBorders>
              <w:top w:val="single" w:sz="2" w:space="0" w:color="000000"/>
              <w:left w:val="single" w:sz="2" w:space="0" w:color="000000"/>
              <w:bottom w:val="single" w:sz="2" w:space="0" w:color="000000"/>
              <w:right w:val="single" w:sz="2" w:space="0" w:color="000000"/>
            </w:tcBorders>
          </w:tcPr>
          <w:p w14:paraId="0789CC42" w14:textId="77777777" w:rsidR="00053D93" w:rsidRDefault="00260B75">
            <w:pPr>
              <w:ind w:left="7"/>
            </w:pPr>
            <w:r>
              <w:rPr>
                <w:rFonts w:ascii="Times New Roman" w:eastAsia="Times New Roman" w:hAnsi="Times New Roman" w:cs="Times New Roman"/>
                <w:sz w:val="16"/>
              </w:rPr>
              <w:t>9901290584</w:t>
            </w:r>
          </w:p>
        </w:tc>
        <w:tc>
          <w:tcPr>
            <w:tcW w:w="933" w:type="dxa"/>
            <w:tcBorders>
              <w:top w:val="single" w:sz="2" w:space="0" w:color="000000"/>
              <w:left w:val="single" w:sz="2" w:space="0" w:color="000000"/>
              <w:bottom w:val="single" w:sz="2" w:space="0" w:color="000000"/>
              <w:right w:val="single" w:sz="2" w:space="0" w:color="000000"/>
            </w:tcBorders>
          </w:tcPr>
          <w:p w14:paraId="4C6DA7B0" w14:textId="77777777" w:rsidR="00053D93" w:rsidRDefault="00260B75">
            <w:pPr>
              <w:spacing w:after="9"/>
              <w:ind w:right="81"/>
              <w:jc w:val="center"/>
            </w:pPr>
            <w:r>
              <w:rPr>
                <w:sz w:val="16"/>
              </w:rPr>
              <w:t>Asistente</w:t>
            </w:r>
          </w:p>
          <w:p w14:paraId="25C6EF1E" w14:textId="77777777" w:rsidR="00053D93" w:rsidRDefault="00260B75">
            <w:pPr>
              <w:ind w:left="12"/>
            </w:pPr>
            <w:r>
              <w:rPr>
                <w:sz w:val="18"/>
              </w:rPr>
              <w:t xml:space="preserve">Profesional </w:t>
            </w:r>
          </w:p>
        </w:tc>
        <w:tc>
          <w:tcPr>
            <w:tcW w:w="1116" w:type="dxa"/>
            <w:tcBorders>
              <w:top w:val="single" w:sz="2" w:space="0" w:color="000000"/>
              <w:left w:val="single" w:sz="2" w:space="0" w:color="000000"/>
              <w:bottom w:val="single" w:sz="2" w:space="0" w:color="000000"/>
              <w:right w:val="single" w:sz="2" w:space="0" w:color="000000"/>
            </w:tcBorders>
          </w:tcPr>
          <w:p w14:paraId="5BD0261E" w14:textId="77777777" w:rsidR="00053D93" w:rsidRDefault="00260B75">
            <w:pPr>
              <w:ind w:right="79"/>
              <w:jc w:val="center"/>
            </w:pPr>
            <w:r>
              <w:rPr>
                <w:sz w:val="18"/>
              </w:rPr>
              <w:t>Jefe del</w:t>
            </w:r>
          </w:p>
          <w:p w14:paraId="5B532D08" w14:textId="77777777" w:rsidR="00053D93" w:rsidRDefault="00260B75">
            <w:pPr>
              <w:spacing w:after="1"/>
            </w:pPr>
            <w:r>
              <w:rPr>
                <w:sz w:val="16"/>
              </w:rPr>
              <w:t>Departamento</w:t>
            </w:r>
          </w:p>
          <w:p w14:paraId="20F36779" w14:textId="77777777" w:rsidR="00053D93" w:rsidRDefault="00260B75">
            <w:pPr>
              <w:ind w:right="79"/>
              <w:jc w:val="center"/>
            </w:pPr>
            <w:r>
              <w:rPr>
                <w:sz w:val="18"/>
              </w:rPr>
              <w:t>De</w:t>
            </w:r>
          </w:p>
          <w:p w14:paraId="34D53F16" w14:textId="77777777" w:rsidR="00053D93" w:rsidRDefault="00260B75">
            <w:pPr>
              <w:spacing w:after="1"/>
              <w:ind w:right="86"/>
              <w:jc w:val="center"/>
            </w:pPr>
            <w:r>
              <w:rPr>
                <w:sz w:val="16"/>
              </w:rPr>
              <w:t>Orientación</w:t>
            </w:r>
          </w:p>
          <w:p w14:paraId="73E1F652" w14:textId="77777777" w:rsidR="00053D93" w:rsidRDefault="00260B75">
            <w:pPr>
              <w:jc w:val="center"/>
            </w:pPr>
            <w:r>
              <w:rPr>
                <w:sz w:val="18"/>
              </w:rPr>
              <w:t>Metodológica Nacional, A.l.</w:t>
            </w:r>
          </w:p>
        </w:tc>
        <w:tc>
          <w:tcPr>
            <w:tcW w:w="1087" w:type="dxa"/>
            <w:tcBorders>
              <w:top w:val="single" w:sz="2" w:space="0" w:color="000000"/>
              <w:left w:val="single" w:sz="2" w:space="0" w:color="000000"/>
              <w:bottom w:val="single" w:sz="2" w:space="0" w:color="000000"/>
              <w:right w:val="single" w:sz="2" w:space="0" w:color="000000"/>
            </w:tcBorders>
          </w:tcPr>
          <w:p w14:paraId="3EB3A4FF" w14:textId="77777777" w:rsidR="00053D93" w:rsidRDefault="00260B75">
            <w:pPr>
              <w:ind w:right="79"/>
              <w:jc w:val="center"/>
            </w:pPr>
            <w:r>
              <w:rPr>
                <w:rFonts w:ascii="Times New Roman" w:eastAsia="Times New Roman" w:hAnsi="Times New Roman" w:cs="Times New Roman"/>
                <w:sz w:val="16"/>
              </w:rPr>
              <w:t>412-2022</w:t>
            </w:r>
          </w:p>
        </w:tc>
        <w:tc>
          <w:tcPr>
            <w:tcW w:w="977" w:type="dxa"/>
            <w:tcBorders>
              <w:top w:val="single" w:sz="2" w:space="0" w:color="000000"/>
              <w:left w:val="single" w:sz="2" w:space="0" w:color="000000"/>
              <w:bottom w:val="single" w:sz="2" w:space="0" w:color="000000"/>
              <w:right w:val="single" w:sz="2" w:space="0" w:color="000000"/>
            </w:tcBorders>
          </w:tcPr>
          <w:p w14:paraId="0CCD9232" w14:textId="77777777" w:rsidR="00053D93" w:rsidRDefault="00053D93"/>
        </w:tc>
        <w:tc>
          <w:tcPr>
            <w:tcW w:w="1656" w:type="dxa"/>
            <w:tcBorders>
              <w:top w:val="single" w:sz="2" w:space="0" w:color="000000"/>
              <w:left w:val="single" w:sz="2" w:space="0" w:color="000000"/>
              <w:bottom w:val="single" w:sz="2" w:space="0" w:color="000000"/>
              <w:right w:val="single" w:sz="2" w:space="0" w:color="000000"/>
            </w:tcBorders>
          </w:tcPr>
          <w:p w14:paraId="456E4D8C" w14:textId="77777777" w:rsidR="00053D93" w:rsidRDefault="00260B75">
            <w:pPr>
              <w:ind w:left="2" w:right="84" w:firstLine="7"/>
              <w:jc w:val="both"/>
            </w:pPr>
            <w:r>
              <w:rPr>
                <w:sz w:val="18"/>
              </w:rPr>
              <w:t>Perfil. Educación: Titulo universitario a nivel licenciatura en una carrera afín al puesto de trabajo. Colegiado activo.</w:t>
            </w:r>
          </w:p>
        </w:tc>
        <w:tc>
          <w:tcPr>
            <w:tcW w:w="1308" w:type="dxa"/>
            <w:tcBorders>
              <w:top w:val="single" w:sz="2" w:space="0" w:color="000000"/>
              <w:left w:val="single" w:sz="2" w:space="0" w:color="000000"/>
              <w:bottom w:val="single" w:sz="2" w:space="0" w:color="000000"/>
              <w:right w:val="single" w:sz="2" w:space="0" w:color="000000"/>
            </w:tcBorders>
          </w:tcPr>
          <w:p w14:paraId="33A1D558" w14:textId="77777777" w:rsidR="00053D93" w:rsidRDefault="00260B75">
            <w:pPr>
              <w:ind w:left="9"/>
            </w:pPr>
            <w:r>
              <w:rPr>
                <w:sz w:val="26"/>
              </w:rPr>
              <w:t>Nivel</w:t>
            </w:r>
          </w:p>
          <w:p w14:paraId="62825082" w14:textId="77777777" w:rsidR="00053D93" w:rsidRDefault="00260B75">
            <w:pPr>
              <w:spacing w:after="32"/>
              <w:ind w:left="2"/>
            </w:pPr>
            <w:r>
              <w:rPr>
                <w:sz w:val="18"/>
              </w:rPr>
              <w:t>Académico:</w:t>
            </w:r>
          </w:p>
          <w:p w14:paraId="3C576644" w14:textId="77777777" w:rsidR="00053D93" w:rsidRDefault="00260B75">
            <w:pPr>
              <w:ind w:left="2" w:right="74"/>
              <w:jc w:val="both"/>
            </w:pPr>
            <w:r>
              <w:rPr>
                <w:sz w:val="18"/>
              </w:rPr>
              <w:t>Cierre de curriculum de la carrera Técnico en Deporte de la Universidad de San Carlos de Guatemala.</w:t>
            </w:r>
          </w:p>
        </w:tc>
      </w:tr>
      <w:tr w:rsidR="00053D93" w14:paraId="7EEFBA08" w14:textId="77777777">
        <w:trPr>
          <w:trHeight w:val="2268"/>
        </w:trPr>
        <w:tc>
          <w:tcPr>
            <w:tcW w:w="396" w:type="dxa"/>
            <w:tcBorders>
              <w:top w:val="single" w:sz="2" w:space="0" w:color="000000"/>
              <w:left w:val="single" w:sz="2" w:space="0" w:color="000000"/>
              <w:bottom w:val="single" w:sz="2" w:space="0" w:color="000000"/>
              <w:right w:val="single" w:sz="2" w:space="0" w:color="000000"/>
            </w:tcBorders>
          </w:tcPr>
          <w:p w14:paraId="5D261278" w14:textId="77777777" w:rsidR="00053D93" w:rsidRDefault="00260B75">
            <w:pPr>
              <w:ind w:right="86"/>
              <w:jc w:val="center"/>
            </w:pPr>
            <w:r>
              <w:rPr>
                <w:rFonts w:ascii="Times New Roman" w:eastAsia="Times New Roman" w:hAnsi="Times New Roman" w:cs="Times New Roman"/>
                <w:sz w:val="18"/>
              </w:rPr>
              <w:t>7</w:t>
            </w:r>
          </w:p>
        </w:tc>
        <w:tc>
          <w:tcPr>
            <w:tcW w:w="996" w:type="dxa"/>
            <w:tcBorders>
              <w:top w:val="single" w:sz="2" w:space="0" w:color="000000"/>
              <w:left w:val="single" w:sz="2" w:space="0" w:color="000000"/>
              <w:bottom w:val="single" w:sz="2" w:space="0" w:color="000000"/>
              <w:right w:val="single" w:sz="2" w:space="0" w:color="000000"/>
            </w:tcBorders>
          </w:tcPr>
          <w:p w14:paraId="189F8041" w14:textId="77777777" w:rsidR="00053D93" w:rsidRDefault="00260B75">
            <w:pPr>
              <w:ind w:left="50"/>
            </w:pPr>
            <w:r>
              <w:rPr>
                <w:rFonts w:ascii="Times New Roman" w:eastAsia="Times New Roman" w:hAnsi="Times New Roman" w:cs="Times New Roman"/>
                <w:sz w:val="18"/>
              </w:rPr>
              <w:t>990028098</w:t>
            </w:r>
          </w:p>
        </w:tc>
        <w:tc>
          <w:tcPr>
            <w:tcW w:w="933" w:type="dxa"/>
            <w:tcBorders>
              <w:top w:val="single" w:sz="2" w:space="0" w:color="000000"/>
              <w:left w:val="single" w:sz="2" w:space="0" w:color="000000"/>
              <w:bottom w:val="single" w:sz="2" w:space="0" w:color="000000"/>
              <w:right w:val="single" w:sz="2" w:space="0" w:color="000000"/>
            </w:tcBorders>
          </w:tcPr>
          <w:p w14:paraId="3A07FE5A" w14:textId="77777777" w:rsidR="00053D93" w:rsidRDefault="00260B75">
            <w:pPr>
              <w:ind w:left="19"/>
            </w:pPr>
            <w:r>
              <w:rPr>
                <w:sz w:val="18"/>
              </w:rPr>
              <w:t>Profesional</w:t>
            </w:r>
          </w:p>
        </w:tc>
        <w:tc>
          <w:tcPr>
            <w:tcW w:w="1116" w:type="dxa"/>
            <w:tcBorders>
              <w:top w:val="single" w:sz="2" w:space="0" w:color="000000"/>
              <w:left w:val="single" w:sz="2" w:space="0" w:color="000000"/>
              <w:bottom w:val="single" w:sz="2" w:space="0" w:color="000000"/>
              <w:right w:val="single" w:sz="2" w:space="0" w:color="000000"/>
            </w:tcBorders>
          </w:tcPr>
          <w:p w14:paraId="5FB59A23" w14:textId="77777777" w:rsidR="00053D93" w:rsidRDefault="00260B75">
            <w:pPr>
              <w:ind w:right="71"/>
              <w:jc w:val="center"/>
            </w:pPr>
            <w:r>
              <w:rPr>
                <w:sz w:val="18"/>
              </w:rPr>
              <w:t>Jefe de</w:t>
            </w:r>
          </w:p>
          <w:p w14:paraId="54E70994" w14:textId="77777777" w:rsidR="00053D93" w:rsidRDefault="00260B75">
            <w:pPr>
              <w:ind w:left="43"/>
            </w:pPr>
            <w:r>
              <w:rPr>
                <w:sz w:val="18"/>
              </w:rPr>
              <w:t>Presupuesto,</w:t>
            </w:r>
          </w:p>
        </w:tc>
        <w:tc>
          <w:tcPr>
            <w:tcW w:w="1087" w:type="dxa"/>
            <w:tcBorders>
              <w:top w:val="single" w:sz="2" w:space="0" w:color="000000"/>
              <w:left w:val="single" w:sz="2" w:space="0" w:color="000000"/>
              <w:bottom w:val="single" w:sz="2" w:space="0" w:color="000000"/>
              <w:right w:val="single" w:sz="2" w:space="0" w:color="000000"/>
            </w:tcBorders>
          </w:tcPr>
          <w:p w14:paraId="3E675CF0" w14:textId="77777777" w:rsidR="00053D93" w:rsidRDefault="00260B75">
            <w:pPr>
              <w:ind w:right="71"/>
              <w:jc w:val="center"/>
            </w:pPr>
            <w:r>
              <w:rPr>
                <w:rFonts w:ascii="Times New Roman" w:eastAsia="Times New Roman" w:hAnsi="Times New Roman" w:cs="Times New Roman"/>
                <w:sz w:val="18"/>
              </w:rPr>
              <w:t>304-2023</w:t>
            </w:r>
          </w:p>
        </w:tc>
        <w:tc>
          <w:tcPr>
            <w:tcW w:w="977" w:type="dxa"/>
            <w:tcBorders>
              <w:top w:val="single" w:sz="2" w:space="0" w:color="000000"/>
              <w:left w:val="single" w:sz="2" w:space="0" w:color="000000"/>
              <w:bottom w:val="single" w:sz="2" w:space="0" w:color="000000"/>
              <w:right w:val="single" w:sz="2" w:space="0" w:color="000000"/>
            </w:tcBorders>
          </w:tcPr>
          <w:p w14:paraId="1E654BCA" w14:textId="77777777" w:rsidR="00053D93" w:rsidRDefault="00260B75">
            <w:pPr>
              <w:ind w:right="62"/>
              <w:jc w:val="center"/>
            </w:pPr>
            <w:r>
              <w:rPr>
                <w:rFonts w:ascii="Times New Roman" w:eastAsia="Times New Roman" w:hAnsi="Times New Roman" w:cs="Times New Roman"/>
                <w:sz w:val="16"/>
              </w:rPr>
              <w:t>1311 1/2023</w:t>
            </w:r>
          </w:p>
        </w:tc>
        <w:tc>
          <w:tcPr>
            <w:tcW w:w="1656" w:type="dxa"/>
            <w:tcBorders>
              <w:top w:val="single" w:sz="2" w:space="0" w:color="000000"/>
              <w:left w:val="single" w:sz="2" w:space="0" w:color="000000"/>
              <w:bottom w:val="single" w:sz="2" w:space="0" w:color="000000"/>
              <w:right w:val="single" w:sz="2" w:space="0" w:color="000000"/>
            </w:tcBorders>
          </w:tcPr>
          <w:p w14:paraId="2F194DBD" w14:textId="77777777" w:rsidR="00053D93" w:rsidRDefault="00260B75">
            <w:pPr>
              <w:ind w:left="2" w:right="77" w:firstLine="7"/>
              <w:jc w:val="both"/>
            </w:pPr>
            <w:r>
              <w:rPr>
                <w:sz w:val="18"/>
              </w:rPr>
              <w:t>Perfil. Educación: Título universitario a nivel licenciatura en una carrera afín al puesto de trabajo. Colegiado activo.</w:t>
            </w:r>
          </w:p>
        </w:tc>
        <w:tc>
          <w:tcPr>
            <w:tcW w:w="1308" w:type="dxa"/>
            <w:tcBorders>
              <w:top w:val="single" w:sz="2" w:space="0" w:color="000000"/>
              <w:left w:val="single" w:sz="2" w:space="0" w:color="000000"/>
              <w:bottom w:val="single" w:sz="2" w:space="0" w:color="000000"/>
              <w:right w:val="single" w:sz="2" w:space="0" w:color="000000"/>
            </w:tcBorders>
          </w:tcPr>
          <w:p w14:paraId="78C81ED4" w14:textId="77777777" w:rsidR="00053D93" w:rsidRDefault="00260B75">
            <w:pPr>
              <w:ind w:left="9"/>
            </w:pPr>
            <w:r>
              <w:rPr>
                <w:sz w:val="26"/>
              </w:rPr>
              <w:t>Nivel</w:t>
            </w:r>
          </w:p>
          <w:p w14:paraId="30539CAF" w14:textId="77777777" w:rsidR="00053D93" w:rsidRDefault="00260B75">
            <w:pPr>
              <w:spacing w:after="36" w:line="229" w:lineRule="auto"/>
              <w:ind w:left="2" w:right="74"/>
              <w:jc w:val="both"/>
            </w:pPr>
            <w:r>
              <w:rPr>
                <w:sz w:val="18"/>
              </w:rPr>
              <w:t>Académico: Noveno semestre de la Licenciatura en</w:t>
            </w:r>
          </w:p>
          <w:p w14:paraId="12AEAE2F" w14:textId="77777777" w:rsidR="00053D93" w:rsidRDefault="00260B75">
            <w:pPr>
              <w:ind w:left="2"/>
            </w:pPr>
            <w:r>
              <w:rPr>
                <w:sz w:val="20"/>
              </w:rPr>
              <w:t>Contaduría</w:t>
            </w:r>
          </w:p>
          <w:p w14:paraId="525CF4EC" w14:textId="77777777" w:rsidR="00053D93" w:rsidRDefault="00260B75">
            <w:pPr>
              <w:ind w:left="9"/>
            </w:pPr>
            <w:r>
              <w:t>Pública</w:t>
            </w:r>
          </w:p>
          <w:p w14:paraId="532CF63F" w14:textId="77777777" w:rsidR="00053D93" w:rsidRDefault="00260B75">
            <w:pPr>
              <w:ind w:left="2" w:right="74"/>
              <w:jc w:val="both"/>
            </w:pPr>
            <w:r>
              <w:rPr>
                <w:sz w:val="18"/>
              </w:rPr>
              <w:t>Auditoría en la Universidad de San Carlos de Guatemala.</w:t>
            </w:r>
          </w:p>
        </w:tc>
      </w:tr>
    </w:tbl>
    <w:p w14:paraId="4DC0BB5E" w14:textId="77777777" w:rsidR="00053D93" w:rsidRDefault="00260B75">
      <w:pPr>
        <w:spacing w:after="291" w:line="397" w:lineRule="auto"/>
        <w:ind w:left="1737" w:hanging="10"/>
      </w:pPr>
      <w:r>
        <w:rPr>
          <w:sz w:val="14"/>
        </w:rPr>
        <w:t>Fuente: Elaboración propia con base en Oficio No. RRHH-006-2025 del 14 de enero de 2025, emitido por el Coordinador de Recursos Humanos de la DtGEF. Manual de Funciones, organización y puestos de la DtGEF y expedientes de personal.</w:t>
      </w:r>
    </w:p>
    <w:p w14:paraId="75E0E5BA" w14:textId="77777777" w:rsidR="00053D93" w:rsidRDefault="00260B75">
      <w:pPr>
        <w:spacing w:after="18" w:line="248" w:lineRule="auto"/>
        <w:ind w:left="1709" w:hanging="3"/>
        <w:jc w:val="both"/>
      </w:pPr>
      <w:r>
        <w:rPr>
          <w:sz w:val="28"/>
        </w:rPr>
        <w:t>Criterio</w:t>
      </w:r>
    </w:p>
    <w:tbl>
      <w:tblPr>
        <w:tblStyle w:val="TableGrid"/>
        <w:tblpPr w:vertAnchor="page" w:horzAnchor="page" w:tblpX="2859" w:tblpY="14630"/>
        <w:tblOverlap w:val="never"/>
        <w:tblW w:w="7660" w:type="dxa"/>
        <w:tblInd w:w="0" w:type="dxa"/>
        <w:tblCellMar>
          <w:top w:w="35" w:type="dxa"/>
          <w:left w:w="1777" w:type="dxa"/>
          <w:right w:w="115" w:type="dxa"/>
        </w:tblCellMar>
        <w:tblLook w:val="04A0" w:firstRow="1" w:lastRow="0" w:firstColumn="1" w:lastColumn="0" w:noHBand="0" w:noVBand="1"/>
      </w:tblPr>
      <w:tblGrid>
        <w:gridCol w:w="7660"/>
      </w:tblGrid>
      <w:tr w:rsidR="00053D93" w14:paraId="414DDD9C" w14:textId="77777777">
        <w:trPr>
          <w:trHeight w:val="612"/>
        </w:trPr>
        <w:tc>
          <w:tcPr>
            <w:tcW w:w="7660" w:type="dxa"/>
            <w:tcBorders>
              <w:top w:val="single" w:sz="2" w:space="0" w:color="000000"/>
              <w:left w:val="single" w:sz="2" w:space="0" w:color="000000"/>
              <w:bottom w:val="nil"/>
              <w:right w:val="nil"/>
            </w:tcBorders>
          </w:tcPr>
          <w:p w14:paraId="4FDA15F1" w14:textId="77777777" w:rsidR="00053D93" w:rsidRDefault="00260B75">
            <w:pPr>
              <w:ind w:left="828"/>
            </w:pPr>
            <w:r>
              <w:rPr>
                <w:sz w:val="16"/>
              </w:rPr>
              <w:lastRenderedPageBreak/>
              <w:t>MINSTERIO DE EDUCACION</w:t>
            </w:r>
          </w:p>
          <w:p w14:paraId="7C88A4AD" w14:textId="77777777" w:rsidR="00053D93" w:rsidRDefault="00260B75">
            <w:pPr>
              <w:ind w:left="338"/>
            </w:pPr>
            <w:r>
              <w:rPr>
                <w:sz w:val="14"/>
              </w:rPr>
              <w:lastRenderedPageBreak/>
              <w:t>AUDITORIA FINANCIERA Y DE CUMPLIMIENTO</w:t>
            </w:r>
          </w:p>
          <w:p w14:paraId="212270CB" w14:textId="77777777" w:rsidR="00053D93" w:rsidRDefault="00260B75">
            <w:r>
              <w:rPr>
                <w:sz w:val="14"/>
              </w:rPr>
              <w:t>PERIODO DEL 01 DE ENERO AL 31 DE DICIEMBRE OE 2024</w:t>
            </w:r>
          </w:p>
        </w:tc>
      </w:tr>
    </w:tbl>
    <w:p w14:paraId="633B768C" w14:textId="77777777" w:rsidR="00053D93" w:rsidRDefault="00260B75">
      <w:pPr>
        <w:spacing w:after="17" w:line="247" w:lineRule="auto"/>
        <w:ind w:left="1714" w:right="14" w:firstLine="4"/>
        <w:jc w:val="both"/>
      </w:pPr>
      <w:r>
        <w:rPr>
          <w:noProof/>
        </w:rPr>
        <w:lastRenderedPageBreak/>
        <w:drawing>
          <wp:anchor distT="0" distB="0" distL="114300" distR="114300" simplePos="0" relativeHeight="251949056" behindDoc="0" locked="0" layoutInCell="1" allowOverlap="0" wp14:anchorId="22C32952" wp14:editId="3414E2CA">
            <wp:simplePos x="0" y="0"/>
            <wp:positionH relativeFrom="page">
              <wp:posOffset>690372</wp:posOffset>
            </wp:positionH>
            <wp:positionV relativeFrom="page">
              <wp:posOffset>9272015</wp:posOffset>
            </wp:positionV>
            <wp:extent cx="1069848" cy="406909"/>
            <wp:effectExtent l="0" t="0" r="0" b="0"/>
            <wp:wrapTopAndBottom/>
            <wp:docPr id="385333" name="Picture 385333"/>
            <wp:cNvGraphicFramePr/>
            <a:graphic xmlns:a="http://schemas.openxmlformats.org/drawingml/2006/main">
              <a:graphicData uri="http://schemas.openxmlformats.org/drawingml/2006/picture">
                <pic:pic xmlns:pic="http://schemas.openxmlformats.org/drawingml/2006/picture">
                  <pic:nvPicPr>
                    <pic:cNvPr id="385333" name="Picture 385333"/>
                    <pic:cNvPicPr/>
                  </pic:nvPicPr>
                  <pic:blipFill>
                    <a:blip r:embed="rId620"/>
                    <a:stretch>
                      <a:fillRect/>
                    </a:stretch>
                  </pic:blipFill>
                  <pic:spPr>
                    <a:xfrm>
                      <a:off x="0" y="0"/>
                      <a:ext cx="1069848" cy="406909"/>
                    </a:xfrm>
                    <a:prstGeom prst="rect">
                      <a:avLst/>
                    </a:prstGeom>
                  </pic:spPr>
                </pic:pic>
              </a:graphicData>
            </a:graphic>
          </wp:anchor>
        </w:drawing>
      </w:r>
      <w:r>
        <w:rPr>
          <w:sz w:val="26"/>
        </w:rPr>
        <w:t>El Decreto No. 1748, del Congreso de la República de Guatemala, Ley de Servicio Civil, Artículo IO. Responsabilidad de los Funcionarios, establece: "Es responsabilidad de los Ministros de Estado y de [os funcionarios que dirigen las dependencias incorporadas al régimen de Servicio Civil, cumplir y hacer que se cumpla esta ley, en sus respectivas dependencias." Artículo 51. Inexistencia o Insuficiencia de Candidatos Elegibles, establece: "Siempre que la autoridad nominadora deba llenar una vacante y la Oficina Nacional de Servicio Civil no pueda certificar una nómina de elegibles por inexistencia o insuficiencia de candidatos en el registro, dicha autoridad puede cubrir la vacante en forma provisional, previa autorización de la Oficina Nacional de Servicio Civil, siempre que la persona designada llene los requisitos mínimos establecidos para el puesto. Este tipo de nombramientos tiene vigencia por un término no mayor de seis meses improrrogables..." Artículo 52. Nombramientos provisionales y de emergencia, establece: "Cuando por las razones previstas en el artículo anterior o por motivo de emergencia debidamente comprobada, fuese imposible llenar las vacantes conforme lo prescribe esta ley, la autoridad nominadora podrá nombrar a cualquier persona que reúna los requisitos correspondientes a la clase de puesto de que se trate. Los nombramientos asf hechos deben ser comunicados inmediatamente a la Oficina Nacional de Servicio Civil y durarán hasta seis meses, a partir de la fecha de toma de posesión, sin que puedan prorrogarse ni renovarse." Y artículo 53. Nulidad del nombramiento y responsabilidad, establece: "Es nulo cualquier nombramiento que se haga en contravención a esta ley y sus reglamentos, pero si el funcionario o empleado hubiere desempeñado el cargo, sus actuaciones que se</w:t>
      </w:r>
    </w:p>
    <w:p w14:paraId="7B3FC0A2" w14:textId="77777777" w:rsidR="00053D93" w:rsidRDefault="00260B75">
      <w:pPr>
        <w:spacing w:after="38"/>
        <w:ind w:left="1735" w:right="-7"/>
      </w:pPr>
      <w:r>
        <w:rPr>
          <w:noProof/>
        </w:rPr>
        <mc:AlternateContent>
          <mc:Choice Requires="wpg">
            <w:drawing>
              <wp:inline distT="0" distB="0" distL="0" distR="0" wp14:anchorId="204D3B79" wp14:editId="4DEF4D80">
                <wp:extent cx="5381245" cy="9144"/>
                <wp:effectExtent l="0" t="0" r="0" b="0"/>
                <wp:docPr id="2458336" name="Group 2458336"/>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335" name="Shape 2458335"/>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36" style="width:423.72pt;height:0.719997pt;mso-position-horizontal-relative:char;mso-position-vertical-relative:line" coordsize="53812,91">
                <v:shape id="Shape 2458335" style="position:absolute;width:53812;height:91;left:0;top:0;" coordsize="5381245,9144" path="m0,4572l5381245,4572">
                  <v:stroke weight="0.719997pt" endcap="flat" joinstyle="miter" miterlimit="1" on="true" color="#000000"/>
                  <v:fill on="false" color="#000000"/>
                </v:shape>
              </v:group>
            </w:pict>
          </mc:Fallback>
        </mc:AlternateContent>
      </w:r>
    </w:p>
    <w:p w14:paraId="57CDF6A5" w14:textId="77777777" w:rsidR="00053D93" w:rsidRDefault="00260B75">
      <w:pPr>
        <w:spacing w:after="43" w:line="247" w:lineRule="auto"/>
        <w:ind w:left="14" w:right="14" w:firstLine="4"/>
        <w:jc w:val="both"/>
      </w:pPr>
      <w:r>
        <w:rPr>
          <w:rFonts w:ascii="Times New Roman" w:eastAsia="Times New Roman" w:hAnsi="Times New Roman" w:cs="Times New Roman"/>
          <w:sz w:val="26"/>
        </w:rPr>
        <w:t xml:space="preserve">1 </w:t>
      </w:r>
      <w:r>
        <w:rPr>
          <w:sz w:val="26"/>
        </w:rPr>
        <w:t xml:space="preserve">ajusten a la ley son validas. La persona afectada por la nulidad puede deducir las acciones civiles correspondientes contra los responsables, sin perjuicio de las </w:t>
      </w:r>
      <w:r>
        <w:rPr>
          <w:rFonts w:ascii="Times New Roman" w:eastAsia="Times New Roman" w:hAnsi="Times New Roman" w:cs="Times New Roman"/>
          <w:sz w:val="26"/>
        </w:rPr>
        <w:t xml:space="preserve">1 </w:t>
      </w:r>
      <w:r>
        <w:rPr>
          <w:sz w:val="26"/>
        </w:rPr>
        <w:t>responsabilidades penales que resultaren..."</w:t>
      </w:r>
    </w:p>
    <w:p w14:paraId="137BF215" w14:textId="77777777" w:rsidR="00053D93" w:rsidRDefault="00260B75">
      <w:pPr>
        <w:spacing w:after="180" w:line="267" w:lineRule="auto"/>
        <w:ind w:left="18" w:right="21" w:hanging="4"/>
        <w:jc w:val="right"/>
      </w:pPr>
      <w:r>
        <w:rPr>
          <w:sz w:val="26"/>
        </w:rPr>
        <w:t>El Acuerdo Ministerial No. 2833-2010, del Ministro de Educación, Artículo 1 ,</w:t>
      </w:r>
    </w:p>
    <w:p w14:paraId="1502D6D0" w14:textId="77777777" w:rsidR="00053D93" w:rsidRDefault="00260B75">
      <w:pPr>
        <w:tabs>
          <w:tab w:val="right" w:pos="10202"/>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establece: "Aprobar el Manual de Funciones de Dirección General de Educación</w:t>
      </w:r>
    </w:p>
    <w:p w14:paraId="28F7B278" w14:textId="77777777" w:rsidR="00053D93" w:rsidRDefault="00260B75">
      <w:pPr>
        <w:spacing w:after="655" w:line="247" w:lineRule="auto"/>
        <w:ind w:left="1750" w:right="14" w:firstLine="4"/>
        <w:jc w:val="both"/>
      </w:pPr>
      <w:r>
        <w:rPr>
          <w:sz w:val="26"/>
        </w:rPr>
        <w:t>Física -DIGEF- del Ministerio de Educación."</w:t>
      </w:r>
    </w:p>
    <w:p w14:paraId="41867551" w14:textId="77777777" w:rsidR="00053D93" w:rsidRDefault="00260B75">
      <w:pPr>
        <w:spacing w:after="245" w:line="308" w:lineRule="auto"/>
        <w:ind w:left="14" w:right="14" w:firstLine="4"/>
        <w:jc w:val="both"/>
      </w:pPr>
      <w:r>
        <w:rPr>
          <w:rFonts w:ascii="Times New Roman" w:eastAsia="Times New Roman" w:hAnsi="Times New Roman" w:cs="Times New Roman"/>
          <w:sz w:val="26"/>
        </w:rPr>
        <w:t xml:space="preserve">1 </w:t>
      </w:r>
      <w:r>
        <w:rPr>
          <w:sz w:val="26"/>
        </w:rPr>
        <w:t xml:space="preserve">El Manual de Funciones, Organización y Puestos de la Dirección General de Educación Fisica (DIGEF), Código: MAN-TEC-3, Versión 01, numeral 1. Nombre </w:t>
      </w:r>
      <w:r>
        <w:rPr>
          <w:rFonts w:ascii="Times New Roman" w:eastAsia="Times New Roman" w:hAnsi="Times New Roman" w:cs="Times New Roman"/>
          <w:sz w:val="26"/>
        </w:rPr>
        <w:t xml:space="preserve">1 </w:t>
      </w:r>
      <w:r>
        <w:rPr>
          <w:sz w:val="26"/>
        </w:rPr>
        <w:t xml:space="preserve">del puesto de Director General, b. Funciones, establece, "Planificar, organizar, dirigir, coordinar y evaluar las actividades técnicas y administrativas que se realizan en cada una de las unidades que integran la DIGEF... Estructurar </w:t>
      </w:r>
      <w:r>
        <w:rPr>
          <w:sz w:val="26"/>
        </w:rPr>
        <w:lastRenderedPageBreak/>
        <w:t xml:space="preserve">y </w:t>
      </w:r>
      <w:r>
        <w:rPr>
          <w:rFonts w:ascii="Times New Roman" w:eastAsia="Times New Roman" w:hAnsi="Times New Roman" w:cs="Times New Roman"/>
          <w:sz w:val="26"/>
        </w:rPr>
        <w:t xml:space="preserve">1 </w:t>
      </w:r>
      <w:r>
        <w:rPr>
          <w:sz w:val="26"/>
        </w:rPr>
        <w:t>garantizar el funcionamiento orgánico de la DIGEF... 36. Nombre del puesto: Jefe Departamento de Almacén, c. Perfil, establece: "Educación: Título universitario a nivel de licenciatura en una carrera afín al puesto de trabajo.</w:t>
      </w:r>
    </w:p>
    <w:p w14:paraId="5E4F8874" w14:textId="77777777" w:rsidR="00053D93" w:rsidRDefault="00260B75">
      <w:pPr>
        <w:spacing w:after="43" w:line="247" w:lineRule="auto"/>
        <w:ind w:left="14" w:right="14" w:firstLine="4"/>
        <w:jc w:val="both"/>
      </w:pPr>
      <w:r>
        <w:rPr>
          <w:rFonts w:ascii="Times New Roman" w:eastAsia="Times New Roman" w:hAnsi="Times New Roman" w:cs="Times New Roman"/>
          <w:sz w:val="26"/>
        </w:rPr>
        <w:t xml:space="preserve">1 </w:t>
      </w:r>
      <w:r>
        <w:rPr>
          <w:sz w:val="26"/>
        </w:rPr>
        <w:t xml:space="preserve">Colegiado Activo..." 52. Nombre del puesto: Jefe Sección de Transportes, c. Perfil, establece: "Educación: Título universitario a nivel de licenciatura en una carrera afín al puesto de trabajo. Colegiado activo... " 104. Nombre del puesto: Coordinador de Recursos Humanos, a. Naturaleza del puesto (función principal), establece: "Su función principal está relacionada con la administración de </w:t>
      </w:r>
      <w:r>
        <w:rPr>
          <w:rFonts w:ascii="Times New Roman" w:eastAsia="Times New Roman" w:hAnsi="Times New Roman" w:cs="Times New Roman"/>
          <w:sz w:val="26"/>
        </w:rPr>
        <w:t xml:space="preserve">-1 </w:t>
      </w:r>
      <w:r>
        <w:rPr>
          <w:sz w:val="26"/>
        </w:rPr>
        <w:t>personal, reclutamiento y selección, manejo de pruebas psicométricas, evaluación del desempeño, de DIGEF, control y supervisión de nómina de los colaboradores de la institución." b. Funciones, establece: "Planificar, dirigir, coordinar y evaluar</w:t>
      </w:r>
    </w:p>
    <w:p w14:paraId="2C32B6CA" w14:textId="77777777" w:rsidR="00053D93" w:rsidRDefault="00260B75">
      <w:pPr>
        <w:spacing w:after="15"/>
        <w:ind w:left="29"/>
      </w:pPr>
      <w:r>
        <w:rPr>
          <w:noProof/>
        </w:rPr>
        <w:drawing>
          <wp:inline distT="0" distB="0" distL="0" distR="0" wp14:anchorId="707CF858" wp14:editId="055047CD">
            <wp:extent cx="18288" cy="13716"/>
            <wp:effectExtent l="0" t="0" r="0" b="0"/>
            <wp:docPr id="389097" name="Picture 389097"/>
            <wp:cNvGraphicFramePr/>
            <a:graphic xmlns:a="http://schemas.openxmlformats.org/drawingml/2006/main">
              <a:graphicData uri="http://schemas.openxmlformats.org/drawingml/2006/picture">
                <pic:pic xmlns:pic="http://schemas.openxmlformats.org/drawingml/2006/picture">
                  <pic:nvPicPr>
                    <pic:cNvPr id="389097" name="Picture 389097"/>
                    <pic:cNvPicPr/>
                  </pic:nvPicPr>
                  <pic:blipFill>
                    <a:blip r:embed="rId621"/>
                    <a:stretch>
                      <a:fillRect/>
                    </a:stretch>
                  </pic:blipFill>
                  <pic:spPr>
                    <a:xfrm>
                      <a:off x="0" y="0"/>
                      <a:ext cx="18288" cy="13716"/>
                    </a:xfrm>
                    <a:prstGeom prst="rect">
                      <a:avLst/>
                    </a:prstGeom>
                  </pic:spPr>
                </pic:pic>
              </a:graphicData>
            </a:graphic>
          </wp:inline>
        </w:drawing>
      </w:r>
    </w:p>
    <w:p w14:paraId="309B2565" w14:textId="77777777" w:rsidR="00053D93" w:rsidRDefault="00260B75">
      <w:pPr>
        <w:spacing w:after="17" w:line="247" w:lineRule="auto"/>
        <w:ind w:left="14" w:right="14" w:firstLine="72"/>
        <w:jc w:val="both"/>
      </w:pPr>
      <w:r>
        <w:rPr>
          <w:rFonts w:ascii="Times New Roman" w:eastAsia="Times New Roman" w:hAnsi="Times New Roman" w:cs="Times New Roman"/>
          <w:sz w:val="26"/>
        </w:rPr>
        <w:t xml:space="preserve">1 </w:t>
      </w:r>
      <w:r>
        <w:rPr>
          <w:sz w:val="26"/>
        </w:rPr>
        <w:t xml:space="preserve">las actividades técnicas y administrativas que se realizan en la Coordinación a su cargo... Desarrollar y supervisar la adecuada ejecución de las funciones </w:t>
      </w:r>
      <w:r>
        <w:rPr>
          <w:rFonts w:ascii="Times New Roman" w:eastAsia="Times New Roman" w:hAnsi="Times New Roman" w:cs="Times New Roman"/>
          <w:sz w:val="26"/>
        </w:rPr>
        <w:t xml:space="preserve">1 </w:t>
      </w:r>
      <w:r>
        <w:rPr>
          <w:sz w:val="26"/>
        </w:rPr>
        <w:t xml:space="preserve">asignadas a la Coordinación que dirige... Revisar y autorizar los cuadros de movimientos de personal... Velar por el buen desempeño del recurso humano dentro de la DIGEF... " 106. Nombre del puesto: Jefe de Acciones de Personal, a. Naturaleza del puesto (función principal), establece: "Realizar las acciones pertinentes conforme lo establecen las funciones para el proceso que conlleva el reclutamiento y selección de personal, partiendo en su orden de la convocatoria, luego la evaluación, propuesta y lo que significa el registro y control de los cuadros de movimiento de personal en cuanto a toma de posesión o entrega de puesto; así </w:t>
      </w:r>
      <w:r>
        <w:rPr>
          <w:rFonts w:ascii="Times New Roman" w:eastAsia="Times New Roman" w:hAnsi="Times New Roman" w:cs="Times New Roman"/>
          <w:sz w:val="26"/>
        </w:rPr>
        <w:t xml:space="preserve">-1 </w:t>
      </w:r>
      <w:r>
        <w:rPr>
          <w:sz w:val="26"/>
        </w:rPr>
        <w:t xml:space="preserve">como también el registro y control de cortes de salarios y rescisión" b. Funciones, establece: "Planificar, organizar y dirigir las diferentes actividades de acciones y registros de personal del Departamento de Acciones de Personal. Asesorar al Coordinador de Recursos Humanos en actividades relacionadas con acciones de personal de las cuales se derivan actividades con cobertura a nivel nacional. Brindar asesoría a los jefes de unidades sobre las acciones de personal que se realiza en la DIGEF ante otras instancias como la Dirección de Personal, la Oficina Nacional de Servicio Civil... Llevar control y registro de las acciones de personal </w:t>
      </w:r>
      <w:r>
        <w:rPr>
          <w:rFonts w:ascii="Times New Roman" w:eastAsia="Times New Roman" w:hAnsi="Times New Roman" w:cs="Times New Roman"/>
          <w:sz w:val="26"/>
        </w:rPr>
        <w:t xml:space="preserve">-1 </w:t>
      </w:r>
      <w:r>
        <w:rPr>
          <w:sz w:val="26"/>
        </w:rPr>
        <w:t>por medio de archivo individual por trabajador... Revisar, actualizar e implementar</w:t>
      </w:r>
    </w:p>
    <w:tbl>
      <w:tblPr>
        <w:tblStyle w:val="TableGrid"/>
        <w:tblW w:w="9410" w:type="dxa"/>
        <w:tblInd w:w="770" w:type="dxa"/>
        <w:tblLook w:val="04A0" w:firstRow="1" w:lastRow="0" w:firstColumn="1" w:lastColumn="0" w:noHBand="0" w:noVBand="1"/>
      </w:tblPr>
      <w:tblGrid>
        <w:gridCol w:w="1279"/>
        <w:gridCol w:w="8153"/>
      </w:tblGrid>
      <w:tr w:rsidR="00053D93" w14:paraId="04A572BA" w14:textId="77777777">
        <w:trPr>
          <w:trHeight w:val="648"/>
        </w:trPr>
        <w:tc>
          <w:tcPr>
            <w:tcW w:w="1777" w:type="dxa"/>
            <w:tcBorders>
              <w:top w:val="nil"/>
              <w:left w:val="nil"/>
              <w:bottom w:val="nil"/>
              <w:right w:val="nil"/>
            </w:tcBorders>
          </w:tcPr>
          <w:p w14:paraId="4AF66E81" w14:textId="77777777" w:rsidR="00053D93" w:rsidRDefault="00260B75">
            <w:r>
              <w:rPr>
                <w:noProof/>
              </w:rPr>
              <w:drawing>
                <wp:inline distT="0" distB="0" distL="0" distR="0" wp14:anchorId="73DF3273" wp14:editId="549F61B5">
                  <wp:extent cx="1115568" cy="411480"/>
                  <wp:effectExtent l="0" t="0" r="0" b="0"/>
                  <wp:docPr id="389161" name="Picture 389161"/>
                  <wp:cNvGraphicFramePr/>
                  <a:graphic xmlns:a="http://schemas.openxmlformats.org/drawingml/2006/main">
                    <a:graphicData uri="http://schemas.openxmlformats.org/drawingml/2006/picture">
                      <pic:pic xmlns:pic="http://schemas.openxmlformats.org/drawingml/2006/picture">
                        <pic:nvPicPr>
                          <pic:cNvPr id="389161" name="Picture 389161"/>
                          <pic:cNvPicPr/>
                        </pic:nvPicPr>
                        <pic:blipFill>
                          <a:blip r:embed="rId622"/>
                          <a:stretch>
                            <a:fillRect/>
                          </a:stretch>
                        </pic:blipFill>
                        <pic:spPr>
                          <a:xfrm>
                            <a:off x="0" y="0"/>
                            <a:ext cx="1115568" cy="411480"/>
                          </a:xfrm>
                          <a:prstGeom prst="rect">
                            <a:avLst/>
                          </a:prstGeom>
                        </pic:spPr>
                      </pic:pic>
                    </a:graphicData>
                  </a:graphic>
                </wp:inline>
              </w:drawing>
            </w:r>
          </w:p>
        </w:tc>
        <w:tc>
          <w:tcPr>
            <w:tcW w:w="7633" w:type="dxa"/>
            <w:tcBorders>
              <w:top w:val="nil"/>
              <w:left w:val="nil"/>
              <w:bottom w:val="nil"/>
              <w:right w:val="nil"/>
            </w:tcBorders>
          </w:tcPr>
          <w:p w14:paraId="6AFA2A65" w14:textId="77777777" w:rsidR="00053D93" w:rsidRDefault="00053D93">
            <w:pPr>
              <w:ind w:left="-2857" w:right="10490"/>
            </w:pPr>
          </w:p>
          <w:tbl>
            <w:tblPr>
              <w:tblStyle w:val="TableGrid"/>
              <w:tblW w:w="7613" w:type="dxa"/>
              <w:tblInd w:w="20" w:type="dxa"/>
              <w:tblCellMar>
                <w:top w:w="50" w:type="dxa"/>
                <w:left w:w="1738" w:type="dxa"/>
                <w:right w:w="115" w:type="dxa"/>
              </w:tblCellMar>
              <w:tblLook w:val="04A0" w:firstRow="1" w:lastRow="0" w:firstColumn="1" w:lastColumn="0" w:noHBand="0" w:noVBand="1"/>
            </w:tblPr>
            <w:tblGrid>
              <w:gridCol w:w="7613"/>
            </w:tblGrid>
            <w:tr w:rsidR="00053D93" w14:paraId="2487B20B" w14:textId="77777777">
              <w:trPr>
                <w:trHeight w:val="50"/>
              </w:trPr>
              <w:tc>
                <w:tcPr>
                  <w:tcW w:w="7613" w:type="dxa"/>
                  <w:tcBorders>
                    <w:top w:val="nil"/>
                    <w:left w:val="single" w:sz="2" w:space="0" w:color="000000"/>
                    <w:bottom w:val="single" w:sz="2" w:space="0" w:color="000000"/>
                    <w:right w:val="nil"/>
                  </w:tcBorders>
                </w:tcPr>
                <w:p w14:paraId="1A39553D" w14:textId="77777777" w:rsidR="00053D93" w:rsidRDefault="00053D93"/>
              </w:tc>
            </w:tr>
            <w:tr w:rsidR="00053D93" w14:paraId="7501984C" w14:textId="77777777">
              <w:trPr>
                <w:trHeight w:val="590"/>
              </w:trPr>
              <w:tc>
                <w:tcPr>
                  <w:tcW w:w="7613" w:type="dxa"/>
                  <w:tcBorders>
                    <w:top w:val="single" w:sz="2" w:space="0" w:color="000000"/>
                    <w:left w:val="single" w:sz="2" w:space="0" w:color="000000"/>
                    <w:bottom w:val="nil"/>
                    <w:right w:val="nil"/>
                  </w:tcBorders>
                </w:tcPr>
                <w:p w14:paraId="04C62245" w14:textId="77777777" w:rsidR="00053D93" w:rsidRDefault="00260B75">
                  <w:pPr>
                    <w:ind w:left="835"/>
                  </w:pPr>
                  <w:r>
                    <w:rPr>
                      <w:sz w:val="14"/>
                    </w:rPr>
                    <w:t>MINISTERIO DE EDUCACION</w:t>
                  </w:r>
                </w:p>
                <w:p w14:paraId="401D757A" w14:textId="77777777" w:rsidR="00053D93" w:rsidRDefault="00260B75">
                  <w:pPr>
                    <w:ind w:left="338"/>
                  </w:pPr>
                  <w:r>
                    <w:rPr>
                      <w:sz w:val="14"/>
                    </w:rPr>
                    <w:t>AUDITORIA FINANCIERA Y DE cuMPLlM(ENT0</w:t>
                  </w:r>
                </w:p>
                <w:p w14:paraId="45309CF1" w14:textId="77777777" w:rsidR="00053D93" w:rsidRDefault="00260B75">
                  <w:r>
                    <w:rPr>
                      <w:sz w:val="14"/>
                    </w:rPr>
                    <w:t>PERIODO DEk. 01 DE ENERO AL 31 DE DICIEMBRE OE 2024</w:t>
                  </w:r>
                </w:p>
              </w:tc>
            </w:tr>
          </w:tbl>
          <w:p w14:paraId="593C9824" w14:textId="77777777" w:rsidR="00053D93" w:rsidRDefault="00053D93"/>
        </w:tc>
      </w:tr>
    </w:tbl>
    <w:p w14:paraId="5A2EEE49" w14:textId="77777777" w:rsidR="00053D93" w:rsidRDefault="00260B75">
      <w:pPr>
        <w:spacing w:after="178" w:line="265" w:lineRule="auto"/>
        <w:ind w:left="1846" w:right="137" w:hanging="10"/>
        <w:jc w:val="center"/>
      </w:pPr>
      <w:r>
        <w:rPr>
          <w:rFonts w:ascii="Times New Roman" w:eastAsia="Times New Roman" w:hAnsi="Times New Roman" w:cs="Times New Roman"/>
          <w:sz w:val="14"/>
        </w:rPr>
        <w:t>81</w:t>
      </w:r>
    </w:p>
    <w:p w14:paraId="55784082" w14:textId="77777777" w:rsidR="00053D93" w:rsidRDefault="00260B75">
      <w:pPr>
        <w:spacing w:after="48"/>
        <w:ind w:left="1735" w:right="-7"/>
      </w:pPr>
      <w:r>
        <w:rPr>
          <w:noProof/>
        </w:rPr>
        <mc:AlternateContent>
          <mc:Choice Requires="wpg">
            <w:drawing>
              <wp:inline distT="0" distB="0" distL="0" distR="0" wp14:anchorId="01744762" wp14:editId="64E319EB">
                <wp:extent cx="5381245" cy="9144"/>
                <wp:effectExtent l="0" t="0" r="0" b="0"/>
                <wp:docPr id="2458338" name="Group 2458338"/>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337" name="Shape 2458337"/>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38" style="width:423.72pt;height:0.720001pt;mso-position-horizontal-relative:char;mso-position-vertical-relative:line" coordsize="53812,91">
                <v:shape id="Shape 2458337" style="position:absolute;width:53812;height:91;left:0;top:0;" coordsize="5381245,9144" path="m0,4572l5381245,4572">
                  <v:stroke weight="0.720001pt" endcap="flat" joinstyle="miter" miterlimit="1" on="true" color="#000000"/>
                  <v:fill on="false" color="#000000"/>
                </v:shape>
              </v:group>
            </w:pict>
          </mc:Fallback>
        </mc:AlternateContent>
      </w:r>
    </w:p>
    <w:p w14:paraId="014F9AD7" w14:textId="77777777" w:rsidR="00053D93" w:rsidRDefault="00260B75">
      <w:pPr>
        <w:spacing w:after="234" w:line="247" w:lineRule="auto"/>
        <w:ind w:left="14" w:right="14" w:firstLine="4"/>
        <w:jc w:val="both"/>
      </w:pPr>
      <w:r>
        <w:rPr>
          <w:rFonts w:ascii="Times New Roman" w:eastAsia="Times New Roman" w:hAnsi="Times New Roman" w:cs="Times New Roman"/>
          <w:sz w:val="26"/>
        </w:rPr>
        <w:t xml:space="preserve">1 </w:t>
      </w:r>
      <w:r>
        <w:rPr>
          <w:sz w:val="26"/>
        </w:rPr>
        <w:t xml:space="preserve">sistemas de control de recursos humanos al servicio de [a DIGEF. Atender lo referente a licencias, traslados, permutas y otros movimientos de personal que se presenten, de acuerdo con la legislación guatemalteca vigente... Elaborar y reproducir formularios de movimiento de personal.. ' 126. Nombre del puesto: Jefe Departamento de Presupuesto, c. Perfil, establece: "Educación: Título universitario </w:t>
      </w:r>
      <w:r>
        <w:rPr>
          <w:rFonts w:ascii="Times New Roman" w:eastAsia="Times New Roman" w:hAnsi="Times New Roman" w:cs="Times New Roman"/>
          <w:sz w:val="26"/>
        </w:rPr>
        <w:t xml:space="preserve">1 </w:t>
      </w:r>
      <w:r>
        <w:rPr>
          <w:sz w:val="26"/>
        </w:rPr>
        <w:t xml:space="preserve">a nivel de licenciatura en una carrera afín al puesto de trabajo. Colegiado activo... " 128. Nombre del puesto: Jefe Departamento de Tesorería, c. Perfil, establece: </w:t>
      </w:r>
      <w:r>
        <w:rPr>
          <w:sz w:val="26"/>
        </w:rPr>
        <w:lastRenderedPageBreak/>
        <w:t xml:space="preserve">"Educación: Título universitario a nivel de licenciatura en de Auditor y Contador Público o carrera afín. Colegiado activo... " 130. Nombre del puesto: Encargado de viáticos, c. Perfil, establece: "Educación: Acreditar haber aprobado los cursos </w:t>
      </w:r>
      <w:r>
        <w:rPr>
          <w:rFonts w:ascii="Times New Roman" w:eastAsia="Times New Roman" w:hAnsi="Times New Roman" w:cs="Times New Roman"/>
          <w:sz w:val="26"/>
        </w:rPr>
        <w:t xml:space="preserve">1 </w:t>
      </w:r>
      <w:r>
        <w:rPr>
          <w:sz w:val="26"/>
        </w:rPr>
        <w:t xml:space="preserve">equivalentes al Séptimo semestre de una carrera afín al puesto de trabajo... </w:t>
      </w:r>
      <w:r>
        <w:rPr>
          <w:rFonts w:ascii="Times New Roman" w:eastAsia="Times New Roman" w:hAnsi="Times New Roman" w:cs="Times New Roman"/>
          <w:sz w:val="26"/>
        </w:rPr>
        <w:t xml:space="preserve">1 53. </w:t>
      </w:r>
      <w:r>
        <w:rPr>
          <w:sz w:val="26"/>
        </w:rPr>
        <w:t>Nombre del puesto: Orientador Metodológico Nacional, c. Perfil, establece: "Educación: Título universitario a nivel de licenciatura en una carrera afín al puesto</w:t>
      </w:r>
    </w:p>
    <w:p w14:paraId="65F3D4E3" w14:textId="77777777" w:rsidR="00053D93" w:rsidRDefault="00260B75">
      <w:pPr>
        <w:tabs>
          <w:tab w:val="center" w:pos="3301"/>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 trabajo. Colegiado activo... "</w:t>
      </w:r>
    </w:p>
    <w:p w14:paraId="563AFDCD" w14:textId="77777777" w:rsidR="00053D93" w:rsidRDefault="00260B75">
      <w:pPr>
        <w:pStyle w:val="Ttulo4"/>
        <w:spacing w:after="377" w:line="261" w:lineRule="auto"/>
        <w:ind w:left="1687" w:right="7" w:hanging="10"/>
      </w:pPr>
      <w:r>
        <w:lastRenderedPageBreak/>
        <w:t>Causa</w:t>
      </w:r>
    </w:p>
    <w:tbl>
      <w:tblPr>
        <w:tblStyle w:val="TableGrid"/>
        <w:tblpPr w:vertAnchor="page" w:horzAnchor="page" w:tblpX="2873" w:tblpY="14558"/>
        <w:tblOverlap w:val="never"/>
        <w:tblW w:w="7625" w:type="dxa"/>
        <w:tblInd w:w="0" w:type="dxa"/>
        <w:tblCellMar>
          <w:top w:w="32" w:type="dxa"/>
          <w:left w:w="1750" w:type="dxa"/>
          <w:right w:w="115" w:type="dxa"/>
        </w:tblCellMar>
        <w:tblLook w:val="04A0" w:firstRow="1" w:lastRow="0" w:firstColumn="1" w:lastColumn="0" w:noHBand="0" w:noVBand="1"/>
      </w:tblPr>
      <w:tblGrid>
        <w:gridCol w:w="7625"/>
      </w:tblGrid>
      <w:tr w:rsidR="00053D93" w14:paraId="79FF6C33" w14:textId="77777777">
        <w:trPr>
          <w:trHeight w:val="48"/>
        </w:trPr>
        <w:tc>
          <w:tcPr>
            <w:tcW w:w="7625" w:type="dxa"/>
            <w:tcBorders>
              <w:top w:val="nil"/>
              <w:left w:val="single" w:sz="2" w:space="0" w:color="000000"/>
              <w:bottom w:val="single" w:sz="2" w:space="0" w:color="000000"/>
              <w:right w:val="nil"/>
            </w:tcBorders>
          </w:tcPr>
          <w:p w14:paraId="30279803" w14:textId="77777777" w:rsidR="00053D93" w:rsidRDefault="00053D93"/>
        </w:tc>
      </w:tr>
      <w:tr w:rsidR="00053D93" w14:paraId="61D5F762" w14:textId="77777777">
        <w:trPr>
          <w:trHeight w:val="586"/>
        </w:trPr>
        <w:tc>
          <w:tcPr>
            <w:tcW w:w="7625" w:type="dxa"/>
            <w:tcBorders>
              <w:top w:val="single" w:sz="2" w:space="0" w:color="000000"/>
              <w:left w:val="single" w:sz="2" w:space="0" w:color="000000"/>
              <w:bottom w:val="nil"/>
              <w:right w:val="nil"/>
            </w:tcBorders>
          </w:tcPr>
          <w:p w14:paraId="56E6DACF" w14:textId="77777777" w:rsidR="00053D93" w:rsidRDefault="00260B75">
            <w:pPr>
              <w:ind w:left="828"/>
            </w:pPr>
            <w:r>
              <w:rPr>
                <w:sz w:val="14"/>
              </w:rPr>
              <w:lastRenderedPageBreak/>
              <w:t>MINISTERIO DE EDUCACION</w:t>
            </w:r>
          </w:p>
          <w:p w14:paraId="716521D2" w14:textId="77777777" w:rsidR="00053D93" w:rsidRDefault="00260B75">
            <w:pPr>
              <w:ind w:left="338"/>
            </w:pPr>
            <w:r>
              <w:rPr>
                <w:sz w:val="14"/>
              </w:rPr>
              <w:t>AUDITORIA FINANCIERA Y DE CUMPLIMIENTO</w:t>
            </w:r>
          </w:p>
          <w:p w14:paraId="4FCF6156" w14:textId="77777777" w:rsidR="00053D93" w:rsidRDefault="00260B75">
            <w:r>
              <w:rPr>
                <w:sz w:val="14"/>
              </w:rPr>
              <w:t>PERIODO DEL 01 DE ENERO At. 31 DE DICIEMBRE DE 2024</w:t>
            </w:r>
          </w:p>
        </w:tc>
      </w:tr>
    </w:tbl>
    <w:p w14:paraId="68804DF4" w14:textId="77777777" w:rsidR="00053D93" w:rsidRDefault="00260B75">
      <w:pPr>
        <w:spacing w:after="17" w:line="247" w:lineRule="auto"/>
        <w:ind w:left="14" w:right="14" w:firstLine="4"/>
        <w:jc w:val="both"/>
      </w:pPr>
      <w:r>
        <w:rPr>
          <w:noProof/>
        </w:rPr>
        <w:drawing>
          <wp:anchor distT="0" distB="0" distL="114300" distR="114300" simplePos="0" relativeHeight="251950080" behindDoc="0" locked="0" layoutInCell="1" allowOverlap="0" wp14:anchorId="776649B9" wp14:editId="2A274574">
            <wp:simplePos x="0" y="0"/>
            <wp:positionH relativeFrom="page">
              <wp:posOffset>681228</wp:posOffset>
            </wp:positionH>
            <wp:positionV relativeFrom="page">
              <wp:posOffset>9244584</wp:posOffset>
            </wp:positionV>
            <wp:extent cx="1120140" cy="402336"/>
            <wp:effectExtent l="0" t="0" r="0" b="0"/>
            <wp:wrapTopAndBottom/>
            <wp:docPr id="392792" name="Picture 392792"/>
            <wp:cNvGraphicFramePr/>
            <a:graphic xmlns:a="http://schemas.openxmlformats.org/drawingml/2006/main">
              <a:graphicData uri="http://schemas.openxmlformats.org/drawingml/2006/picture">
                <pic:pic xmlns:pic="http://schemas.openxmlformats.org/drawingml/2006/picture">
                  <pic:nvPicPr>
                    <pic:cNvPr id="392792" name="Picture 392792"/>
                    <pic:cNvPicPr/>
                  </pic:nvPicPr>
                  <pic:blipFill>
                    <a:blip r:embed="rId623"/>
                    <a:stretch>
                      <a:fillRect/>
                    </a:stretch>
                  </pic:blipFill>
                  <pic:spPr>
                    <a:xfrm>
                      <a:off x="0" y="0"/>
                      <a:ext cx="1120140" cy="402336"/>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Los Directores Generales y el Director General en Funciones, no realizaron las gestiones necesarias para que se cumpliera en la Dirección General de Educación </w:t>
      </w:r>
      <w:r>
        <w:rPr>
          <w:noProof/>
        </w:rPr>
        <w:drawing>
          <wp:inline distT="0" distB="0" distL="0" distR="0" wp14:anchorId="3FA047BC" wp14:editId="02ECD3EA">
            <wp:extent cx="13716" cy="18288"/>
            <wp:effectExtent l="0" t="0" r="0" b="0"/>
            <wp:docPr id="392705" name="Picture 392705"/>
            <wp:cNvGraphicFramePr/>
            <a:graphic xmlns:a="http://schemas.openxmlformats.org/drawingml/2006/main">
              <a:graphicData uri="http://schemas.openxmlformats.org/drawingml/2006/picture">
                <pic:pic xmlns:pic="http://schemas.openxmlformats.org/drawingml/2006/picture">
                  <pic:nvPicPr>
                    <pic:cNvPr id="392705" name="Picture 392705"/>
                    <pic:cNvPicPr/>
                  </pic:nvPicPr>
                  <pic:blipFill>
                    <a:blip r:embed="rId624"/>
                    <a:stretch>
                      <a:fillRect/>
                    </a:stretch>
                  </pic:blipFill>
                  <pic:spPr>
                    <a:xfrm>
                      <a:off x="0" y="0"/>
                      <a:ext cx="13716" cy="18288"/>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Física -DIGEF-, lo establecido en la Ley de Servicio Civil, con respecto al plazo máximo de seis meses, para ocupar puestos provisionales; asimismo, firmaron resoluciones para designar la ocupación de puestos interinos, con servidores </w:t>
      </w:r>
      <w:r>
        <w:rPr>
          <w:rFonts w:ascii="Times New Roman" w:eastAsia="Times New Roman" w:hAnsi="Times New Roman" w:cs="Times New Roman"/>
          <w:sz w:val="26"/>
        </w:rPr>
        <w:t xml:space="preserve">1 </w:t>
      </w:r>
      <w:r>
        <w:rPr>
          <w:sz w:val="26"/>
        </w:rPr>
        <w:t>públicos que no cumplen con el perfil del puesto.</w:t>
      </w:r>
    </w:p>
    <w:p w14:paraId="1D3B844D" w14:textId="77777777" w:rsidR="00053D93" w:rsidRDefault="00260B75">
      <w:pPr>
        <w:spacing w:after="549" w:line="247" w:lineRule="auto"/>
        <w:ind w:left="14" w:right="14" w:firstLine="1670"/>
        <w:jc w:val="both"/>
      </w:pPr>
      <w:r>
        <w:rPr>
          <w:sz w:val="26"/>
        </w:rPr>
        <w:t xml:space="preserve">El Coordinador de Recursos Humanos, las Coordinadoras de Recursos Humanos </w:t>
      </w:r>
      <w:r>
        <w:rPr>
          <w:rFonts w:ascii="Times New Roman" w:eastAsia="Times New Roman" w:hAnsi="Times New Roman" w:cs="Times New Roman"/>
          <w:sz w:val="26"/>
        </w:rPr>
        <w:t xml:space="preserve">1 </w:t>
      </w:r>
      <w:r>
        <w:rPr>
          <w:sz w:val="26"/>
        </w:rPr>
        <w:t xml:space="preserve">y la Coordinadora de Recursos Humanos, A.l., no supervisaron que el Jefe de Acciones de Personal dieran cumplimiento del plazo máximo establecido para </w:t>
      </w:r>
      <w:r>
        <w:rPr>
          <w:rFonts w:ascii="Times New Roman" w:eastAsia="Times New Roman" w:hAnsi="Times New Roman" w:cs="Times New Roman"/>
          <w:sz w:val="26"/>
        </w:rPr>
        <w:t xml:space="preserve">1 </w:t>
      </w:r>
      <w:r>
        <w:rPr>
          <w:sz w:val="26"/>
        </w:rPr>
        <w:t>ocupar puesto interinos, ni verificaron que los funcionarios públicos designados para puestos interinos cumplieran con los requisitos del puesto a ocupar.</w:t>
      </w:r>
    </w:p>
    <w:p w14:paraId="0F4F3EB7" w14:textId="77777777" w:rsidR="00053D93" w:rsidRDefault="00260B75">
      <w:pPr>
        <w:tabs>
          <w:tab w:val="center" w:pos="2066"/>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Efecto</w:t>
      </w:r>
    </w:p>
    <w:p w14:paraId="6E25A38E" w14:textId="77777777" w:rsidR="00053D93" w:rsidRDefault="00260B75">
      <w:pPr>
        <w:spacing w:after="320" w:line="247" w:lineRule="auto"/>
        <w:ind w:left="1728" w:right="14" w:firstLine="4"/>
        <w:jc w:val="both"/>
      </w:pPr>
      <w:r>
        <w:rPr>
          <w:sz w:val="26"/>
        </w:rPr>
        <w:t>Nulidad de los nombramientos, por no cumplir la vigencia máxima de seis meses improrrogables, establecida en la ley aplicable y riesgo de no desempeñar adecuadamente las funciones de [os puestos interinos, por estar ocupados con personal no idóneo.</w:t>
      </w:r>
    </w:p>
    <w:p w14:paraId="35007DD1" w14:textId="77777777" w:rsidR="00053D93" w:rsidRDefault="00260B75">
      <w:pPr>
        <w:spacing w:after="18" w:line="248" w:lineRule="auto"/>
        <w:ind w:left="1709" w:hanging="3"/>
        <w:jc w:val="both"/>
      </w:pPr>
      <w:r>
        <w:rPr>
          <w:sz w:val="28"/>
        </w:rPr>
        <w:t>Recomendación</w:t>
      </w:r>
    </w:p>
    <w:p w14:paraId="6EE77EE2" w14:textId="77777777" w:rsidR="00053D93" w:rsidRDefault="00260B75">
      <w:pPr>
        <w:spacing w:after="383" w:line="247" w:lineRule="auto"/>
        <w:ind w:left="1714" w:right="14" w:firstLine="4"/>
        <w:jc w:val="both"/>
      </w:pPr>
      <w:r>
        <w:rPr>
          <w:sz w:val="26"/>
        </w:rPr>
        <w:t>La Ministra de Educación, debe instruir al Director General, para que garantice que los puestos interinos cumplan con el plazo máximo de seis meses y la idoneidad del personal asignado de conformidad con lo establecido en la normativa legal vigente.</w:t>
      </w:r>
    </w:p>
    <w:p w14:paraId="41FB9AA3" w14:textId="77777777" w:rsidR="00053D93" w:rsidRDefault="00260B75">
      <w:pPr>
        <w:spacing w:after="17" w:line="247" w:lineRule="auto"/>
        <w:ind w:left="1721" w:right="14" w:firstLine="4"/>
        <w:jc w:val="both"/>
      </w:pPr>
      <w:r>
        <w:rPr>
          <w:sz w:val="26"/>
        </w:rPr>
        <w:t>El Director General, debe girar instrucciones al Coordinador de Recursos Humanos y este a su vez, al Jefe de Acciones de Personal, a efecto que, se</w:t>
      </w:r>
    </w:p>
    <w:p w14:paraId="6C6846D7" w14:textId="77777777" w:rsidR="00053D93" w:rsidRDefault="00260B75">
      <w:pPr>
        <w:spacing w:after="274"/>
        <w:ind w:left="5954" w:right="-389"/>
      </w:pPr>
      <w:r>
        <w:rPr>
          <w:noProof/>
        </w:rPr>
        <w:drawing>
          <wp:inline distT="0" distB="0" distL="0" distR="0" wp14:anchorId="528A589A" wp14:editId="2075E650">
            <wp:extent cx="2935225" cy="105156"/>
            <wp:effectExtent l="0" t="0" r="0" b="0"/>
            <wp:docPr id="2458339" name="Picture 2458339"/>
            <wp:cNvGraphicFramePr/>
            <a:graphic xmlns:a="http://schemas.openxmlformats.org/drawingml/2006/main">
              <a:graphicData uri="http://schemas.openxmlformats.org/drawingml/2006/picture">
                <pic:pic xmlns:pic="http://schemas.openxmlformats.org/drawingml/2006/picture">
                  <pic:nvPicPr>
                    <pic:cNvPr id="2458339" name="Picture 2458339"/>
                    <pic:cNvPicPr/>
                  </pic:nvPicPr>
                  <pic:blipFill>
                    <a:blip r:embed="rId625"/>
                    <a:stretch>
                      <a:fillRect/>
                    </a:stretch>
                  </pic:blipFill>
                  <pic:spPr>
                    <a:xfrm>
                      <a:off x="0" y="0"/>
                      <a:ext cx="2935225" cy="105156"/>
                    </a:xfrm>
                    <a:prstGeom prst="rect">
                      <a:avLst/>
                    </a:prstGeom>
                  </pic:spPr>
                </pic:pic>
              </a:graphicData>
            </a:graphic>
          </wp:inline>
        </w:drawing>
      </w:r>
    </w:p>
    <w:p w14:paraId="777287F5" w14:textId="77777777" w:rsidR="00053D93" w:rsidRDefault="00260B75">
      <w:pPr>
        <w:spacing w:after="36"/>
        <w:ind w:left="1728" w:right="-14"/>
      </w:pPr>
      <w:r>
        <w:rPr>
          <w:noProof/>
        </w:rPr>
        <mc:AlternateContent>
          <mc:Choice Requires="wpg">
            <w:drawing>
              <wp:inline distT="0" distB="0" distL="0" distR="0" wp14:anchorId="661157C9" wp14:editId="4261BA39">
                <wp:extent cx="5381244" cy="9144"/>
                <wp:effectExtent l="0" t="0" r="0" b="0"/>
                <wp:docPr id="2458342" name="Group 2458342"/>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341" name="Shape 2458341"/>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42" style="width:423.72pt;height:0.720001pt;mso-position-horizontal-relative:char;mso-position-vertical-relative:line" coordsize="53812,91">
                <v:shape id="Shape 2458341" style="position:absolute;width:53812;height:91;left:0;top:0;" coordsize="5381244,9144" path="m0,4572l5381244,4572">
                  <v:stroke weight="0.720001pt" endcap="flat" joinstyle="miter" miterlimit="1" on="true" color="#000000"/>
                  <v:fill on="false" color="#000000"/>
                </v:shape>
              </v:group>
            </w:pict>
          </mc:Fallback>
        </mc:AlternateContent>
      </w:r>
    </w:p>
    <w:p w14:paraId="7FD6CAE5" w14:textId="77777777" w:rsidR="00053D93" w:rsidRDefault="00260B75">
      <w:pPr>
        <w:spacing w:after="17" w:line="247" w:lineRule="auto"/>
        <w:ind w:left="14" w:right="14" w:firstLine="1706"/>
        <w:jc w:val="both"/>
      </w:pPr>
      <w:r>
        <w:rPr>
          <w:sz w:val="26"/>
        </w:rPr>
        <w:t xml:space="preserve">implementen controles para cumplir con el- plazo máximo de seis meses, establecido para la ocupación de puestos provisiones y se garantice la idoneidad </w:t>
      </w:r>
      <w:r>
        <w:rPr>
          <w:rFonts w:ascii="Times New Roman" w:eastAsia="Times New Roman" w:hAnsi="Times New Roman" w:cs="Times New Roman"/>
          <w:sz w:val="26"/>
        </w:rPr>
        <w:t xml:space="preserve">1 </w:t>
      </w:r>
      <w:r>
        <w:rPr>
          <w:sz w:val="26"/>
        </w:rPr>
        <w:t>del personal designado.</w:t>
      </w:r>
    </w:p>
    <w:p w14:paraId="6E32ADFF" w14:textId="77777777" w:rsidR="00053D93" w:rsidRDefault="00260B75">
      <w:pPr>
        <w:spacing w:after="338" w:line="247" w:lineRule="auto"/>
        <w:ind w:left="1735" w:right="14" w:firstLine="4"/>
        <w:jc w:val="both"/>
      </w:pPr>
      <w:r>
        <w:rPr>
          <w:sz w:val="26"/>
        </w:rPr>
        <w:t>Comentario de los responsables</w:t>
      </w:r>
    </w:p>
    <w:p w14:paraId="294A04C0" w14:textId="77777777" w:rsidR="00053D93" w:rsidRDefault="00260B75">
      <w:pPr>
        <w:spacing w:after="106" w:line="247" w:lineRule="auto"/>
        <w:ind w:left="14" w:right="14" w:firstLine="4"/>
        <w:jc w:val="both"/>
      </w:pPr>
      <w:r>
        <w:rPr>
          <w:rFonts w:ascii="Times New Roman" w:eastAsia="Times New Roman" w:hAnsi="Times New Roman" w:cs="Times New Roman"/>
          <w:sz w:val="26"/>
        </w:rPr>
        <w:t xml:space="preserve">1 </w:t>
      </w:r>
      <w:r>
        <w:rPr>
          <w:sz w:val="26"/>
        </w:rPr>
        <w:t xml:space="preserve">En nota s/n del 21 de abril de 2025, la licenciada Marxia Ivana Yuvixa Rodríguez Figueroa, quien fungió como Director General, por el período comprendido del 25 de agosto de 2022 al 31 de diciembre de 2022, manifiesta: "...Referente al presente hallazgo me permito indicar lo siguiente: 1 Con Acuerdo Ministerial No. DIREH-4428-2022 de fecha 23 de agosto de 2022 fui nombrada Director General de la Dirección General de Educación Física —DIGEF-, hasta el 31 de diciembre </w:t>
      </w:r>
      <w:r>
        <w:rPr>
          <w:sz w:val="26"/>
        </w:rPr>
        <w:lastRenderedPageBreak/>
        <w:t xml:space="preserve">de 2022 derivado que el nombramiento no fue renovado para el siguiente ejercicio fiscal... 2. De conformidad con el artículo 39 de Ley Nacional para el Desarrollo de la Cultura Física y del Deporte, Decreto número 76-97 del Congreso de la República de Guatemala, que establece: "Autoridad Jerárquica. El Director General de la Dirección General de Educación Física —DIGEF-, es el responsable </w:t>
      </w:r>
      <w:r>
        <w:rPr>
          <w:rFonts w:ascii="Times New Roman" w:eastAsia="Times New Roman" w:hAnsi="Times New Roman" w:cs="Times New Roman"/>
          <w:sz w:val="26"/>
        </w:rPr>
        <w:t xml:space="preserve">-1 </w:t>
      </w:r>
      <w:r>
        <w:rPr>
          <w:sz w:val="26"/>
        </w:rPr>
        <w:t xml:space="preserve">jerárquico de la dependencia siendo nombrado por el Ministerio de Educación y teniendo a su cargo la organización, administración, planeamiento y </w:t>
      </w:r>
      <w:r>
        <w:rPr>
          <w:rFonts w:ascii="Times New Roman" w:eastAsia="Times New Roman" w:hAnsi="Times New Roman" w:cs="Times New Roman"/>
          <w:sz w:val="26"/>
        </w:rPr>
        <w:t xml:space="preserve">-1 </w:t>
      </w:r>
      <w:r>
        <w:rPr>
          <w:sz w:val="26"/>
        </w:rPr>
        <w:t>funcionamiento programático de dicha entidad...". El artículo 40, establece que dentro de las funciones del Director General, están entre otras las siguientes: "...Dictar las disposiciones administrativas y reglamentarias necesarias para el</w:t>
      </w:r>
    </w:p>
    <w:p w14:paraId="17A50FFF" w14:textId="77777777" w:rsidR="00053D93" w:rsidRDefault="00260B75">
      <w:pPr>
        <w:spacing w:after="17" w:line="247" w:lineRule="auto"/>
        <w:ind w:left="14" w:right="14" w:firstLine="4"/>
        <w:jc w:val="both"/>
      </w:pPr>
      <w:r>
        <w:rPr>
          <w:rFonts w:ascii="Times New Roman" w:eastAsia="Times New Roman" w:hAnsi="Times New Roman" w:cs="Times New Roman"/>
          <w:sz w:val="26"/>
        </w:rPr>
        <w:t xml:space="preserve">-1 </w:t>
      </w:r>
      <w:r>
        <w:rPr>
          <w:sz w:val="26"/>
        </w:rPr>
        <w:t xml:space="preserve">cumplimiento de los fines de la educación física nacional"; así mismo, "...estructurar y garantizar el funcionamiento orgánico de la entidad...". 3. Con Oficio No. DIDEFl-490-2022, de fecha 16 de noviembre de 2022, firmado por la </w:t>
      </w:r>
      <w:r>
        <w:rPr>
          <w:rFonts w:ascii="Times New Roman" w:eastAsia="Times New Roman" w:hAnsi="Times New Roman" w:cs="Times New Roman"/>
          <w:sz w:val="26"/>
        </w:rPr>
        <w:t xml:space="preserve">-1 </w:t>
      </w:r>
      <w:r>
        <w:rPr>
          <w:sz w:val="26"/>
        </w:rPr>
        <w:t xml:space="preserve">Directora y Subdirectora de Desarrollo Fortalecimiento Institucional -DIDEFI- con visto bueno de la Viceministra Técnica de Educación y Viceministra Administrativa de Educación, referente a la Actualización del Manual de Funciones, Organización y Puestos -MFOP- de las Direcciones Departamentales de Educación -DIDEDUC-, año 2023. Donde se solicita nombrar un enlace para dicho proceso, </w:t>
      </w:r>
      <w:r>
        <w:rPr>
          <w:noProof/>
        </w:rPr>
        <w:drawing>
          <wp:inline distT="0" distB="0" distL="0" distR="0" wp14:anchorId="3A31EE61" wp14:editId="2892D8A1">
            <wp:extent cx="41148" cy="13716"/>
            <wp:effectExtent l="0" t="0" r="0" b="0"/>
            <wp:docPr id="396864" name="Picture 396864"/>
            <wp:cNvGraphicFramePr/>
            <a:graphic xmlns:a="http://schemas.openxmlformats.org/drawingml/2006/main">
              <a:graphicData uri="http://schemas.openxmlformats.org/drawingml/2006/picture">
                <pic:pic xmlns:pic="http://schemas.openxmlformats.org/drawingml/2006/picture">
                  <pic:nvPicPr>
                    <pic:cNvPr id="396864" name="Picture 396864"/>
                    <pic:cNvPicPr/>
                  </pic:nvPicPr>
                  <pic:blipFill>
                    <a:blip r:embed="rId626"/>
                    <a:stretch>
                      <a:fillRect/>
                    </a:stretch>
                  </pic:blipFill>
                  <pic:spPr>
                    <a:xfrm>
                      <a:off x="0" y="0"/>
                      <a:ext cx="41148"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para lo cual con oficio No. DG-1721-2022, de fecha 22 de noviembre de 2022, se nombró al profesional solicitado. 4. Con oficio DG No. 1693-2022, de fecha 18 de noviembre de 2022, se solicitó a la Directora de la Oficina Nacional de Servicio Civil (Onsec)/ designar a un personero para sostener una reunión con los miembros de la junta encargada de realizar la actualización del manual de funciones. 5. Para poder realizar la convocatoria a puestos vacantes de personal permanente era necesario contar con el Manual de Funciones actualizado, por eso diligencie las acciones a fin de agilizar el proceso. 6. Cabe mencionar que desde el año 2020 como se muestra en el cuadro en referencia, no se han realizado </w:t>
      </w:r>
      <w:r>
        <w:rPr>
          <w:noProof/>
        </w:rPr>
        <w:drawing>
          <wp:inline distT="0" distB="0" distL="0" distR="0" wp14:anchorId="248D66B7" wp14:editId="5FAA463B">
            <wp:extent cx="9144" cy="13715"/>
            <wp:effectExtent l="0" t="0" r="0" b="0"/>
            <wp:docPr id="396865" name="Picture 396865"/>
            <wp:cNvGraphicFramePr/>
            <a:graphic xmlns:a="http://schemas.openxmlformats.org/drawingml/2006/main">
              <a:graphicData uri="http://schemas.openxmlformats.org/drawingml/2006/picture">
                <pic:pic xmlns:pic="http://schemas.openxmlformats.org/drawingml/2006/picture">
                  <pic:nvPicPr>
                    <pic:cNvPr id="396865" name="Picture 396865"/>
                    <pic:cNvPicPr/>
                  </pic:nvPicPr>
                  <pic:blipFill>
                    <a:blip r:embed="rId627"/>
                    <a:stretch>
                      <a:fillRect/>
                    </a:stretch>
                  </pic:blipFill>
                  <pic:spPr>
                    <a:xfrm>
                      <a:off x="0" y="0"/>
                      <a:ext cx="9144" cy="13715"/>
                    </a:xfrm>
                    <a:prstGeom prst="rect">
                      <a:avLst/>
                    </a:prstGeom>
                  </pic:spPr>
                </pic:pic>
              </a:graphicData>
            </a:graphic>
          </wp:inline>
        </w:drawing>
      </w:r>
      <w:r>
        <w:rPr>
          <w:sz w:val="26"/>
        </w:rPr>
        <w:t xml:space="preserve"> convocatorias para cubrir los puestos vacantes, de personal permanente a la espera de la Actualización del Manual de Funciones de esta institución ha imposibilitado el proceso respectivo. 7. El perfil del personal designado se considetó con base a la experiencia por lo cual procedía a firmar el movimiento a través de resolución para puestos interinos. 8. En cuanto al plazo para ocupar</w:t>
      </w:r>
    </w:p>
    <w:tbl>
      <w:tblPr>
        <w:tblStyle w:val="TableGrid"/>
        <w:tblW w:w="9425" w:type="dxa"/>
        <w:tblInd w:w="742" w:type="dxa"/>
        <w:tblLook w:val="04A0" w:firstRow="1" w:lastRow="0" w:firstColumn="1" w:lastColumn="0" w:noHBand="0" w:noVBand="1"/>
      </w:tblPr>
      <w:tblGrid>
        <w:gridCol w:w="1295"/>
        <w:gridCol w:w="8165"/>
      </w:tblGrid>
      <w:tr w:rsidR="00053D93" w14:paraId="343A0F9A" w14:textId="77777777">
        <w:trPr>
          <w:trHeight w:val="634"/>
        </w:trPr>
        <w:tc>
          <w:tcPr>
            <w:tcW w:w="1789" w:type="dxa"/>
            <w:tcBorders>
              <w:top w:val="nil"/>
              <w:left w:val="nil"/>
              <w:bottom w:val="nil"/>
              <w:right w:val="nil"/>
            </w:tcBorders>
          </w:tcPr>
          <w:p w14:paraId="32635FBC" w14:textId="77777777" w:rsidR="00053D93" w:rsidRDefault="00260B75">
            <w:r>
              <w:rPr>
                <w:noProof/>
              </w:rPr>
              <w:drawing>
                <wp:inline distT="0" distB="0" distL="0" distR="0" wp14:anchorId="225537C7" wp14:editId="3A4987D0">
                  <wp:extent cx="1124712" cy="402336"/>
                  <wp:effectExtent l="0" t="0" r="0" b="0"/>
                  <wp:docPr id="396941" name="Picture 396941"/>
                  <wp:cNvGraphicFramePr/>
                  <a:graphic xmlns:a="http://schemas.openxmlformats.org/drawingml/2006/main">
                    <a:graphicData uri="http://schemas.openxmlformats.org/drawingml/2006/picture">
                      <pic:pic xmlns:pic="http://schemas.openxmlformats.org/drawingml/2006/picture">
                        <pic:nvPicPr>
                          <pic:cNvPr id="396941" name="Picture 396941"/>
                          <pic:cNvPicPr/>
                        </pic:nvPicPr>
                        <pic:blipFill>
                          <a:blip r:embed="rId628"/>
                          <a:stretch>
                            <a:fillRect/>
                          </a:stretch>
                        </pic:blipFill>
                        <pic:spPr>
                          <a:xfrm>
                            <a:off x="0" y="0"/>
                            <a:ext cx="1124712" cy="402336"/>
                          </a:xfrm>
                          <a:prstGeom prst="rect">
                            <a:avLst/>
                          </a:prstGeom>
                        </pic:spPr>
                      </pic:pic>
                    </a:graphicData>
                  </a:graphic>
                </wp:inline>
              </w:drawing>
            </w:r>
          </w:p>
        </w:tc>
        <w:tc>
          <w:tcPr>
            <w:tcW w:w="7636" w:type="dxa"/>
            <w:tcBorders>
              <w:top w:val="nil"/>
              <w:left w:val="nil"/>
              <w:bottom w:val="nil"/>
              <w:right w:val="nil"/>
            </w:tcBorders>
          </w:tcPr>
          <w:p w14:paraId="295C8EAF" w14:textId="77777777" w:rsidR="00053D93" w:rsidRDefault="00053D93">
            <w:pPr>
              <w:ind w:left="-2840" w:right="10476"/>
            </w:pPr>
          </w:p>
          <w:tbl>
            <w:tblPr>
              <w:tblStyle w:val="TableGrid"/>
              <w:tblW w:w="7618" w:type="dxa"/>
              <w:tblInd w:w="18" w:type="dxa"/>
              <w:tblCellMar>
                <w:top w:w="29" w:type="dxa"/>
                <w:left w:w="1735" w:type="dxa"/>
                <w:right w:w="115" w:type="dxa"/>
              </w:tblCellMar>
              <w:tblLook w:val="04A0" w:firstRow="1" w:lastRow="0" w:firstColumn="1" w:lastColumn="0" w:noHBand="0" w:noVBand="1"/>
            </w:tblPr>
            <w:tblGrid>
              <w:gridCol w:w="7618"/>
            </w:tblGrid>
            <w:tr w:rsidR="00053D93" w14:paraId="0132AC44" w14:textId="77777777">
              <w:trPr>
                <w:trHeight w:val="50"/>
              </w:trPr>
              <w:tc>
                <w:tcPr>
                  <w:tcW w:w="7618" w:type="dxa"/>
                  <w:tcBorders>
                    <w:top w:val="nil"/>
                    <w:left w:val="single" w:sz="2" w:space="0" w:color="000000"/>
                    <w:bottom w:val="single" w:sz="2" w:space="0" w:color="000000"/>
                    <w:right w:val="nil"/>
                  </w:tcBorders>
                </w:tcPr>
                <w:p w14:paraId="5EDA8BD1" w14:textId="77777777" w:rsidR="00053D93" w:rsidRDefault="00053D93"/>
              </w:tc>
            </w:tr>
            <w:tr w:rsidR="00053D93" w14:paraId="1E30A43F" w14:textId="77777777">
              <w:trPr>
                <w:trHeight w:val="583"/>
              </w:trPr>
              <w:tc>
                <w:tcPr>
                  <w:tcW w:w="7618" w:type="dxa"/>
                  <w:tcBorders>
                    <w:top w:val="single" w:sz="2" w:space="0" w:color="000000"/>
                    <w:left w:val="single" w:sz="2" w:space="0" w:color="000000"/>
                    <w:bottom w:val="nil"/>
                    <w:right w:val="nil"/>
                  </w:tcBorders>
                </w:tcPr>
                <w:p w14:paraId="1007704B" w14:textId="77777777" w:rsidR="00053D93" w:rsidRDefault="00260B75">
                  <w:pPr>
                    <w:ind w:left="835"/>
                  </w:pPr>
                  <w:r>
                    <w:rPr>
                      <w:sz w:val="14"/>
                    </w:rPr>
                    <w:t>MINISTERIO EDUCACION</w:t>
                  </w:r>
                </w:p>
                <w:p w14:paraId="086B9A95" w14:textId="77777777" w:rsidR="00053D93" w:rsidRDefault="00260B75">
                  <w:pPr>
                    <w:ind w:left="338"/>
                  </w:pPr>
                  <w:r>
                    <w:rPr>
                      <w:sz w:val="14"/>
                    </w:rPr>
                    <w:t>AUDITORIA FINANCIERA Y DE CUMPLIMIENTO</w:t>
                  </w:r>
                </w:p>
                <w:p w14:paraId="231600FD" w14:textId="77777777" w:rsidR="00053D93" w:rsidRDefault="00260B75">
                  <w:r>
                    <w:rPr>
                      <w:sz w:val="14"/>
                    </w:rPr>
                    <w:t>PERIODO DEL Dl DE ENERO AL 31 DE DICIEMBRE OE 2024</w:t>
                  </w:r>
                </w:p>
              </w:tc>
            </w:tr>
          </w:tbl>
          <w:p w14:paraId="4B19B4CE" w14:textId="77777777" w:rsidR="00053D93" w:rsidRDefault="00053D93"/>
        </w:tc>
      </w:tr>
    </w:tbl>
    <w:p w14:paraId="32755120" w14:textId="77777777" w:rsidR="00053D93" w:rsidRDefault="00053D93">
      <w:pPr>
        <w:sectPr w:rsidR="00053D93">
          <w:headerReference w:type="even" r:id="rId629"/>
          <w:headerReference w:type="default" r:id="rId630"/>
          <w:footerReference w:type="even" r:id="rId631"/>
          <w:footerReference w:type="default" r:id="rId632"/>
          <w:headerReference w:type="first" r:id="rId633"/>
          <w:footerReference w:type="first" r:id="rId634"/>
          <w:pgSz w:w="12290" w:h="15883"/>
          <w:pgMar w:top="794" w:right="1778" w:bottom="295" w:left="310" w:header="353" w:footer="720" w:gutter="0"/>
          <w:cols w:space="720"/>
          <w:titlePg/>
        </w:sectPr>
      </w:pPr>
    </w:p>
    <w:p w14:paraId="59B60BB8" w14:textId="77777777" w:rsidR="00053D93" w:rsidRDefault="00260B75">
      <w:pPr>
        <w:spacing w:after="52"/>
        <w:ind w:left="1721" w:right="-7"/>
      </w:pPr>
      <w:r>
        <w:rPr>
          <w:noProof/>
        </w:rPr>
        <w:lastRenderedPageBreak/>
        <mc:AlternateContent>
          <mc:Choice Requires="wpg">
            <w:drawing>
              <wp:inline distT="0" distB="0" distL="0" distR="0" wp14:anchorId="31EC0B15" wp14:editId="4771FA46">
                <wp:extent cx="5390389" cy="9144"/>
                <wp:effectExtent l="0" t="0" r="0" b="0"/>
                <wp:docPr id="2458344" name="Group 2458344"/>
                <wp:cNvGraphicFramePr/>
                <a:graphic xmlns:a="http://schemas.openxmlformats.org/drawingml/2006/main">
                  <a:graphicData uri="http://schemas.microsoft.com/office/word/2010/wordprocessingGroup">
                    <wpg:wgp>
                      <wpg:cNvGrpSpPr/>
                      <wpg:grpSpPr>
                        <a:xfrm>
                          <a:off x="0" y="0"/>
                          <a:ext cx="5390389" cy="9144"/>
                          <a:chOff x="0" y="0"/>
                          <a:chExt cx="5390389" cy="9144"/>
                        </a:xfrm>
                      </wpg:grpSpPr>
                      <wps:wsp>
                        <wps:cNvPr id="2458343" name="Shape 2458343"/>
                        <wps:cNvSpPr/>
                        <wps:spPr>
                          <a:xfrm>
                            <a:off x="0" y="0"/>
                            <a:ext cx="5390389" cy="9144"/>
                          </a:xfrm>
                          <a:custGeom>
                            <a:avLst/>
                            <a:gdLst/>
                            <a:ahLst/>
                            <a:cxnLst/>
                            <a:rect l="0" t="0" r="0" b="0"/>
                            <a:pathLst>
                              <a:path w="5390389" h="9144">
                                <a:moveTo>
                                  <a:pt x="0" y="4572"/>
                                </a:moveTo>
                                <a:lnTo>
                                  <a:pt x="5390389"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44" style="width:424.44pt;height:0.719994pt;mso-position-horizontal-relative:char;mso-position-vertical-relative:line" coordsize="53903,91">
                <v:shape id="Shape 2458343" style="position:absolute;width:53903;height:91;left:0;top:0;" coordsize="5390389,9144" path="m0,4572l5390389,4572">
                  <v:stroke weight="0.719994pt" endcap="flat" joinstyle="miter" miterlimit="1" on="true" color="#000000"/>
                  <v:fill on="false" color="#000000"/>
                </v:shape>
              </v:group>
            </w:pict>
          </mc:Fallback>
        </mc:AlternateContent>
      </w:r>
    </w:p>
    <w:p w14:paraId="37EC7C8B" w14:textId="77777777" w:rsidR="00053D93" w:rsidRDefault="00260B75">
      <w:pPr>
        <w:spacing w:after="310" w:line="247" w:lineRule="auto"/>
        <w:ind w:left="1735" w:right="14" w:firstLine="4"/>
        <w:jc w:val="both"/>
      </w:pPr>
      <w:r>
        <w:rPr>
          <w:sz w:val="26"/>
        </w:rPr>
        <w:t>puestos provisionales, la Ley de Servicio Civil, se refiere a los casos con previa autorización de la Oficina Nacional de Servicio Civil en el casos que designé a la persona para que de forma interina, temporal y funcional desempeñara funciones el puesto por la falta de personal permanente nombrado en dicho puesto, como un movimiento interno con el fin de garantizar el funcionamiento orgánico de la DIGEF, lo cual forma parte de mis funciones..."</w:t>
      </w:r>
    </w:p>
    <w:p w14:paraId="0672AD27" w14:textId="77777777" w:rsidR="00053D93" w:rsidRDefault="00260B75">
      <w:pPr>
        <w:spacing w:after="17" w:line="247" w:lineRule="auto"/>
        <w:ind w:left="1735" w:right="14" w:firstLine="4"/>
        <w:jc w:val="both"/>
      </w:pPr>
      <w:r>
        <w:rPr>
          <w:sz w:val="26"/>
        </w:rPr>
        <w:t>En nota s/n, del 21 de abril de 2025, el licenciado Carlos Federico Ortíz Ortíz, quien fungió como Director General, por el período comprendido del 4 de enero de 2023 al 22 de octubre de 2023, manifiesta: Durante mi gestión como Director</w:t>
      </w:r>
    </w:p>
    <w:p w14:paraId="78695DAC" w14:textId="77777777" w:rsidR="00053D93" w:rsidRDefault="00260B75">
      <w:pPr>
        <w:spacing w:after="4" w:line="267" w:lineRule="auto"/>
        <w:ind w:left="18" w:right="21" w:hanging="4"/>
        <w:jc w:val="right"/>
      </w:pPr>
      <w:r>
        <w:rPr>
          <w:sz w:val="26"/>
        </w:rPr>
        <w:t>General Sí realicé todas las gestiones necesarias para que se cumpliera en la</w:t>
      </w:r>
    </w:p>
    <w:p w14:paraId="7D3B8BA3" w14:textId="77777777" w:rsidR="00053D93" w:rsidRDefault="00260B75">
      <w:pPr>
        <w:spacing w:after="4" w:line="267" w:lineRule="auto"/>
        <w:ind w:left="18" w:right="21" w:hanging="4"/>
        <w:jc w:val="right"/>
      </w:pPr>
      <w:r>
        <w:rPr>
          <w:sz w:val="26"/>
        </w:rPr>
        <w:t>Dirección General de Educación Física -DIGEF- lo establecido en la Ley de</w:t>
      </w:r>
    </w:p>
    <w:p w14:paraId="7068EBAA" w14:textId="77777777" w:rsidR="00053D93" w:rsidRDefault="00260B75">
      <w:pPr>
        <w:spacing w:after="41" w:line="247" w:lineRule="auto"/>
        <w:ind w:left="14" w:right="14" w:firstLine="1296"/>
        <w:jc w:val="both"/>
      </w:pPr>
      <w:r>
        <w:rPr>
          <w:noProof/>
        </w:rPr>
        <w:drawing>
          <wp:inline distT="0" distB="0" distL="0" distR="0" wp14:anchorId="7A9B1A81" wp14:editId="2B54C738">
            <wp:extent cx="13716" cy="22860"/>
            <wp:effectExtent l="0" t="0" r="0" b="0"/>
            <wp:docPr id="401399" name="Picture 401399"/>
            <wp:cNvGraphicFramePr/>
            <a:graphic xmlns:a="http://schemas.openxmlformats.org/drawingml/2006/main">
              <a:graphicData uri="http://schemas.openxmlformats.org/drawingml/2006/picture">
                <pic:pic xmlns:pic="http://schemas.openxmlformats.org/drawingml/2006/picture">
                  <pic:nvPicPr>
                    <pic:cNvPr id="401399" name="Picture 401399"/>
                    <pic:cNvPicPr/>
                  </pic:nvPicPr>
                  <pic:blipFill>
                    <a:blip r:embed="rId635"/>
                    <a:stretch>
                      <a:fillRect/>
                    </a:stretch>
                  </pic:blipFill>
                  <pic:spPr>
                    <a:xfrm>
                      <a:off x="0" y="0"/>
                      <a:ext cx="13716" cy="22860"/>
                    </a:xfrm>
                    <a:prstGeom prst="rect">
                      <a:avLst/>
                    </a:prstGeom>
                  </pic:spPr>
                </pic:pic>
              </a:graphicData>
            </a:graphic>
          </wp:inline>
        </w:drawing>
      </w:r>
      <w:r>
        <w:rPr>
          <w:sz w:val="26"/>
        </w:rPr>
        <w:t xml:space="preserve"> Servicio Civil, con respecto al plazo máximo de seis meses para ocupar puestos </w:t>
      </w:r>
      <w:r>
        <w:rPr>
          <w:rFonts w:ascii="Times New Roman" w:eastAsia="Times New Roman" w:hAnsi="Times New Roman" w:cs="Times New Roman"/>
          <w:sz w:val="26"/>
        </w:rPr>
        <w:t xml:space="preserve">1 </w:t>
      </w:r>
      <w:r>
        <w:rPr>
          <w:sz w:val="26"/>
        </w:rPr>
        <w:t xml:space="preserve">provisionales. Además, NO FIRMÉ ninguna resolución para designar la ocupación de puestos interinos con servidores públicos que no cumplen con el perfil del puesto. 1. Cumplimiento en la Dirección General de Educación Física -DIGEF- lo </w:t>
      </w:r>
      <w:r>
        <w:rPr>
          <w:rFonts w:ascii="Times New Roman" w:eastAsia="Times New Roman" w:hAnsi="Times New Roman" w:cs="Times New Roman"/>
          <w:sz w:val="26"/>
        </w:rPr>
        <w:t xml:space="preserve">-1 </w:t>
      </w:r>
      <w:r>
        <w:rPr>
          <w:sz w:val="26"/>
        </w:rPr>
        <w:t>establecido en la Ley de Servicio Civil, con respecto al plazo máximo de seis meses para ocupar puestos provisionales. Es importante, en primer lugar,</w:t>
      </w:r>
    </w:p>
    <w:p w14:paraId="0425D7EA" w14:textId="77777777" w:rsidR="00053D93" w:rsidRDefault="00260B75">
      <w:pPr>
        <w:spacing w:after="17" w:line="247" w:lineRule="auto"/>
        <w:ind w:left="14" w:right="14" w:firstLine="4"/>
        <w:jc w:val="both"/>
      </w:pPr>
      <w:r>
        <w:rPr>
          <w:noProof/>
        </w:rPr>
        <w:drawing>
          <wp:anchor distT="0" distB="0" distL="114300" distR="114300" simplePos="0" relativeHeight="251951104" behindDoc="0" locked="0" layoutInCell="1" allowOverlap="0" wp14:anchorId="6E6B68A9" wp14:editId="299B19E0">
            <wp:simplePos x="0" y="0"/>
            <wp:positionH relativeFrom="column">
              <wp:posOffset>18288</wp:posOffset>
            </wp:positionH>
            <wp:positionV relativeFrom="paragraph">
              <wp:posOffset>1142489</wp:posOffset>
            </wp:positionV>
            <wp:extent cx="32004" cy="13716"/>
            <wp:effectExtent l="0" t="0" r="0" b="0"/>
            <wp:wrapSquare wrapText="bothSides"/>
            <wp:docPr id="401400" name="Picture 401400"/>
            <wp:cNvGraphicFramePr/>
            <a:graphic xmlns:a="http://schemas.openxmlformats.org/drawingml/2006/main">
              <a:graphicData uri="http://schemas.openxmlformats.org/drawingml/2006/picture">
                <pic:pic xmlns:pic="http://schemas.openxmlformats.org/drawingml/2006/picture">
                  <pic:nvPicPr>
                    <pic:cNvPr id="401400" name="Picture 401400"/>
                    <pic:cNvPicPr/>
                  </pic:nvPicPr>
                  <pic:blipFill>
                    <a:blip r:embed="rId636"/>
                    <a:stretch>
                      <a:fillRect/>
                    </a:stretch>
                  </pic:blipFill>
                  <pic:spPr>
                    <a:xfrm>
                      <a:off x="0" y="0"/>
                      <a:ext cx="32004" cy="13716"/>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considerar el periodo de tiempo durante el cual yo estuve nombrado como Director General de la Dirección de Educación Física. Como se puede apreciar en el contrato individual de trabajo 022-DlGEF-1-2023... la fecha de mi toma de </w:t>
      </w:r>
      <w:r>
        <w:rPr>
          <w:rFonts w:ascii="Times New Roman" w:eastAsia="Times New Roman" w:hAnsi="Times New Roman" w:cs="Times New Roman"/>
          <w:sz w:val="26"/>
        </w:rPr>
        <w:t xml:space="preserve">-1 </w:t>
      </w:r>
      <w:r>
        <w:rPr>
          <w:sz w:val="26"/>
        </w:rPr>
        <w:t xml:space="preserve">posesión del puesto es el 4 de enero de 2023. En segundo lugar, se debe notar que la fecha en la que me separé del cargo fue el 23 de octubre de 2023, como se puede apreciar en la certificación del Acta 99-2023... Es oportuno aclarar que el 4 </w:t>
      </w:r>
      <w:r>
        <w:rPr>
          <w:rFonts w:ascii="Times New Roman" w:eastAsia="Times New Roman" w:hAnsi="Times New Roman" w:cs="Times New Roman"/>
          <w:sz w:val="26"/>
        </w:rPr>
        <w:t xml:space="preserve">1 </w:t>
      </w:r>
      <w:r>
        <w:rPr>
          <w:sz w:val="26"/>
        </w:rPr>
        <w:t xml:space="preserve">de enero de 2023, que es la fecha de mi toma de posesión, hice todo el procedimiento para incorporarme a mis funciones como Director General de la </w:t>
      </w:r>
      <w:r>
        <w:rPr>
          <w:noProof/>
        </w:rPr>
        <w:drawing>
          <wp:inline distT="0" distB="0" distL="0" distR="0" wp14:anchorId="3E3C713B" wp14:editId="2FD0A985">
            <wp:extent cx="36576" cy="13716"/>
            <wp:effectExtent l="0" t="0" r="0" b="0"/>
            <wp:docPr id="401401" name="Picture 401401"/>
            <wp:cNvGraphicFramePr/>
            <a:graphic xmlns:a="http://schemas.openxmlformats.org/drawingml/2006/main">
              <a:graphicData uri="http://schemas.openxmlformats.org/drawingml/2006/picture">
                <pic:pic xmlns:pic="http://schemas.openxmlformats.org/drawingml/2006/picture">
                  <pic:nvPicPr>
                    <pic:cNvPr id="401401" name="Picture 401401"/>
                    <pic:cNvPicPr/>
                  </pic:nvPicPr>
                  <pic:blipFill>
                    <a:blip r:embed="rId637"/>
                    <a:stretch>
                      <a:fillRect/>
                    </a:stretch>
                  </pic:blipFill>
                  <pic:spPr>
                    <a:xfrm>
                      <a:off x="0" y="0"/>
                      <a:ext cx="36576"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DIGEF y que durante ese día no pude atender asuntos propios de la Dirección por estar realizando los trámites necesarios para poder ocupar el cargo. Y lo mismo sucedió durante el 23 de octubre, día en que me separé de mis funciones como </w:t>
      </w:r>
      <w:r>
        <w:rPr>
          <w:rFonts w:ascii="Times New Roman" w:eastAsia="Times New Roman" w:hAnsi="Times New Roman" w:cs="Times New Roman"/>
          <w:sz w:val="26"/>
        </w:rPr>
        <w:t xml:space="preserve">-1 </w:t>
      </w:r>
      <w:r>
        <w:rPr>
          <w:sz w:val="26"/>
        </w:rPr>
        <w:t xml:space="preserve">Director General de DIGEF ya que durante esa fecha solo me dediqué a la entrega del puesto y no pude atender nada relacionado con el oficio administrativo de la DIGEF. Con esa información en mente... en el que transcribe el cuadro que ha resultado del procedimiento de auditoría al evaluar los expedientes de personal y los puestos interinos cubiertos durante el período comprendido del 01 de enero al 31 de diciembre de 2024 del renglón presupuestario 01 1 Personal permanente en el que se determinó que 14 servidores públicos se excedieron dei plazo de 6 meses que permite la Ley de Servicio Civil, para ocupar los puestos provisionales... De tal forma, es fácil darse cuenta de que de los 14 casos detallados, en 13 de ellos no tengo responsabilidad porque no fui yo quien hizo los nombramientos. Además, es oportuno enfatizar que solo 5 de los 13 casos son nombramientos realizados en períodos previos a que yo tomara cargo del puesto y que en ningún momento se hizo de mi conocimiento que esos nombramientos </w:t>
      </w:r>
      <w:r>
        <w:rPr>
          <w:rFonts w:ascii="Times New Roman" w:eastAsia="Times New Roman" w:hAnsi="Times New Roman" w:cs="Times New Roman"/>
          <w:sz w:val="26"/>
        </w:rPr>
        <w:t xml:space="preserve">-1 </w:t>
      </w:r>
      <w:r>
        <w:rPr>
          <w:sz w:val="26"/>
        </w:rPr>
        <w:t>hubieran excedido el plazo de 6 meses que permite la Ley de Servicio Civil. En</w:t>
      </w:r>
    </w:p>
    <w:tbl>
      <w:tblPr>
        <w:tblStyle w:val="TableGrid"/>
        <w:tblW w:w="9439" w:type="dxa"/>
        <w:tblInd w:w="742" w:type="dxa"/>
        <w:tblLook w:val="04A0" w:firstRow="1" w:lastRow="0" w:firstColumn="1" w:lastColumn="0" w:noHBand="0" w:noVBand="1"/>
      </w:tblPr>
      <w:tblGrid>
        <w:gridCol w:w="1299"/>
        <w:gridCol w:w="8161"/>
      </w:tblGrid>
      <w:tr w:rsidR="00053D93" w14:paraId="2837B820" w14:textId="77777777">
        <w:trPr>
          <w:trHeight w:val="648"/>
        </w:trPr>
        <w:tc>
          <w:tcPr>
            <w:tcW w:w="1795" w:type="dxa"/>
            <w:tcBorders>
              <w:top w:val="nil"/>
              <w:left w:val="nil"/>
              <w:bottom w:val="nil"/>
              <w:right w:val="nil"/>
            </w:tcBorders>
          </w:tcPr>
          <w:p w14:paraId="3AD8E8ED" w14:textId="77777777" w:rsidR="00053D93" w:rsidRDefault="00260B75">
            <w:r>
              <w:rPr>
                <w:noProof/>
              </w:rPr>
              <w:lastRenderedPageBreak/>
              <w:drawing>
                <wp:inline distT="0" distB="0" distL="0" distR="0" wp14:anchorId="730418EC" wp14:editId="7F3D0C1E">
                  <wp:extent cx="1129284" cy="406909"/>
                  <wp:effectExtent l="0" t="0" r="0" b="0"/>
                  <wp:docPr id="401479" name="Picture 401479"/>
                  <wp:cNvGraphicFramePr/>
                  <a:graphic xmlns:a="http://schemas.openxmlformats.org/drawingml/2006/main">
                    <a:graphicData uri="http://schemas.openxmlformats.org/drawingml/2006/picture">
                      <pic:pic xmlns:pic="http://schemas.openxmlformats.org/drawingml/2006/picture">
                        <pic:nvPicPr>
                          <pic:cNvPr id="401479" name="Picture 401479"/>
                          <pic:cNvPicPr/>
                        </pic:nvPicPr>
                        <pic:blipFill>
                          <a:blip r:embed="rId638"/>
                          <a:stretch>
                            <a:fillRect/>
                          </a:stretch>
                        </pic:blipFill>
                        <pic:spPr>
                          <a:xfrm>
                            <a:off x="0" y="0"/>
                            <a:ext cx="1129284" cy="406909"/>
                          </a:xfrm>
                          <a:prstGeom prst="rect">
                            <a:avLst/>
                          </a:prstGeom>
                        </pic:spPr>
                      </pic:pic>
                    </a:graphicData>
                  </a:graphic>
                </wp:inline>
              </w:drawing>
            </w:r>
          </w:p>
        </w:tc>
        <w:tc>
          <w:tcPr>
            <w:tcW w:w="7644" w:type="dxa"/>
            <w:tcBorders>
              <w:top w:val="nil"/>
              <w:left w:val="nil"/>
              <w:bottom w:val="nil"/>
              <w:right w:val="nil"/>
            </w:tcBorders>
          </w:tcPr>
          <w:p w14:paraId="2E6C996D" w14:textId="77777777" w:rsidR="00053D93" w:rsidRDefault="00053D93">
            <w:pPr>
              <w:ind w:left="-2839" w:right="10483"/>
            </w:pPr>
          </w:p>
          <w:tbl>
            <w:tblPr>
              <w:tblStyle w:val="TableGrid"/>
              <w:tblW w:w="7627" w:type="dxa"/>
              <w:tblInd w:w="17" w:type="dxa"/>
              <w:tblCellMar>
                <w:top w:w="50" w:type="dxa"/>
                <w:left w:w="1738" w:type="dxa"/>
                <w:right w:w="115" w:type="dxa"/>
              </w:tblCellMar>
              <w:tblLook w:val="04A0" w:firstRow="1" w:lastRow="0" w:firstColumn="1" w:lastColumn="0" w:noHBand="0" w:noVBand="1"/>
            </w:tblPr>
            <w:tblGrid>
              <w:gridCol w:w="7627"/>
            </w:tblGrid>
            <w:tr w:rsidR="00053D93" w14:paraId="0DC5F293" w14:textId="77777777">
              <w:trPr>
                <w:trHeight w:val="50"/>
              </w:trPr>
              <w:tc>
                <w:tcPr>
                  <w:tcW w:w="7627" w:type="dxa"/>
                  <w:tcBorders>
                    <w:top w:val="nil"/>
                    <w:left w:val="single" w:sz="2" w:space="0" w:color="000000"/>
                    <w:bottom w:val="single" w:sz="2" w:space="0" w:color="000000"/>
                    <w:right w:val="nil"/>
                  </w:tcBorders>
                </w:tcPr>
                <w:p w14:paraId="1746AF76" w14:textId="77777777" w:rsidR="00053D93" w:rsidRDefault="00053D93"/>
              </w:tc>
            </w:tr>
            <w:tr w:rsidR="00053D93" w14:paraId="2668E2E4" w14:textId="77777777">
              <w:trPr>
                <w:trHeight w:val="590"/>
              </w:trPr>
              <w:tc>
                <w:tcPr>
                  <w:tcW w:w="7627" w:type="dxa"/>
                  <w:tcBorders>
                    <w:top w:val="single" w:sz="2" w:space="0" w:color="000000"/>
                    <w:left w:val="single" w:sz="2" w:space="0" w:color="000000"/>
                    <w:bottom w:val="nil"/>
                    <w:right w:val="nil"/>
                  </w:tcBorders>
                </w:tcPr>
                <w:p w14:paraId="7DF7A76C" w14:textId="77777777" w:rsidR="00053D93" w:rsidRDefault="00260B75">
                  <w:pPr>
                    <w:ind w:left="835"/>
                  </w:pPr>
                  <w:r>
                    <w:rPr>
                      <w:sz w:val="14"/>
                    </w:rPr>
                    <w:t>MINISTERIO DE EDUCACION</w:t>
                  </w:r>
                </w:p>
                <w:p w14:paraId="20DED904" w14:textId="77777777" w:rsidR="00053D93" w:rsidRDefault="00260B75">
                  <w:pPr>
                    <w:ind w:left="338"/>
                  </w:pPr>
                  <w:r>
                    <w:rPr>
                      <w:sz w:val="14"/>
                    </w:rPr>
                    <w:t>AUDITORIA FINANCIERA Y DE CUMPLIMIENTO</w:t>
                  </w:r>
                </w:p>
                <w:p w14:paraId="20382ED2" w14:textId="77777777" w:rsidR="00053D93" w:rsidRDefault="00260B75">
                  <w:r>
                    <w:rPr>
                      <w:sz w:val="14"/>
                    </w:rPr>
                    <w:t>PERiOOO DEL 01 DE ENERO AL 31 DE DICIEMaRE DE 2024</w:t>
                  </w:r>
                </w:p>
              </w:tc>
            </w:tr>
          </w:tbl>
          <w:p w14:paraId="20D50BF0" w14:textId="77777777" w:rsidR="00053D93" w:rsidRDefault="00053D93"/>
        </w:tc>
      </w:tr>
    </w:tbl>
    <w:p w14:paraId="7C9F7777" w14:textId="77777777" w:rsidR="00053D93" w:rsidRDefault="00260B75">
      <w:pPr>
        <w:spacing w:after="54"/>
        <w:ind w:left="1721"/>
      </w:pPr>
      <w:r>
        <w:rPr>
          <w:noProof/>
        </w:rPr>
        <mc:AlternateContent>
          <mc:Choice Requires="wpg">
            <w:drawing>
              <wp:inline distT="0" distB="0" distL="0" distR="0" wp14:anchorId="6406DACD" wp14:editId="7604C6B5">
                <wp:extent cx="5385816" cy="9144"/>
                <wp:effectExtent l="0" t="0" r="0" b="0"/>
                <wp:docPr id="2458348" name="Group 2458348"/>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347" name="Shape 2458347"/>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48" style="width:424.08pt;height:0.719994pt;mso-position-horizontal-relative:char;mso-position-vertical-relative:line" coordsize="53858,91">
                <v:shape id="Shape 2458347" style="position:absolute;width:53858;height:91;left:0;top:0;" coordsize="5385816,9144" path="m0,4572l5385816,4572">
                  <v:stroke weight="0.719994pt" endcap="flat" joinstyle="miter" miterlimit="1" on="true" color="#000000"/>
                  <v:fill on="false" color="#000000"/>
                </v:shape>
              </v:group>
            </w:pict>
          </mc:Fallback>
        </mc:AlternateContent>
      </w:r>
    </w:p>
    <w:p w14:paraId="0CB71A40" w14:textId="77777777" w:rsidR="00053D93" w:rsidRDefault="00260B75">
      <w:pPr>
        <w:spacing w:after="17" w:line="247" w:lineRule="auto"/>
        <w:ind w:left="14" w:right="14" w:firstLine="1685"/>
        <w:jc w:val="both"/>
      </w:pPr>
      <w:r>
        <w:rPr>
          <w:sz w:val="26"/>
        </w:rPr>
        <w:t xml:space="preserve">todo caso, hacerme saber eso era responsabilidad de la Coordinación de Recursos Humanos y de la Subdirección General Administrativa, tal y como está descrito en sus funciones en el Manual de Funciones, Organización y Puestos de la Dirección General de Educación Física (DIGEF), Código: MAN-TEC-3, Versión 01 . Los otros 8 casos del total de 13 nombramientos que fueron hechos en </w:t>
      </w:r>
      <w:r>
        <w:rPr>
          <w:rFonts w:ascii="Times New Roman" w:eastAsia="Times New Roman" w:hAnsi="Times New Roman" w:cs="Times New Roman"/>
          <w:sz w:val="26"/>
        </w:rPr>
        <w:t xml:space="preserve">1 </w:t>
      </w:r>
      <w:r>
        <w:rPr>
          <w:sz w:val="26"/>
        </w:rPr>
        <w:t>momentos en que yo no estaba en funciones como Director General de la DIGEF son de fechas posteriores a que yo dejé de ocupar el puesto y, por tanto, no tengo ninguna responsabilidad tampoco por esas acciones... En el manual MAN-TEC Versión 01 se describe la naturaleza del puesto y la función principal de la</w:t>
      </w:r>
    </w:p>
    <w:p w14:paraId="6776D334" w14:textId="77777777" w:rsidR="00053D93" w:rsidRDefault="00260B75">
      <w:pPr>
        <w:spacing w:after="46" w:line="247" w:lineRule="auto"/>
        <w:ind w:left="14" w:right="14" w:firstLine="1699"/>
        <w:jc w:val="both"/>
      </w:pPr>
      <w:r>
        <w:rPr>
          <w:sz w:val="26"/>
        </w:rPr>
        <w:t xml:space="preserve">Subdirección General Administrativa como "Planificar, organizar, dirigir, coordinar </w:t>
      </w:r>
      <w:r>
        <w:rPr>
          <w:rFonts w:ascii="Times New Roman" w:eastAsia="Times New Roman" w:hAnsi="Times New Roman" w:cs="Times New Roman"/>
          <w:sz w:val="26"/>
        </w:rPr>
        <w:t xml:space="preserve">-1 </w:t>
      </w:r>
      <w:r>
        <w:rPr>
          <w:sz w:val="26"/>
        </w:rPr>
        <w:t xml:space="preserve">y supervisar las actividades de las Coordinaciones Administrativas, Financiera y de Recursos Humanos"... En ese mismo manual... figuran las funciones generales de la Coordinación de Recursos Humanos, entre las que se encuentran las </w:t>
      </w:r>
      <w:r>
        <w:rPr>
          <w:rFonts w:ascii="Times New Roman" w:eastAsia="Times New Roman" w:hAnsi="Times New Roman" w:cs="Times New Roman"/>
          <w:sz w:val="26"/>
        </w:rPr>
        <w:t xml:space="preserve">1 </w:t>
      </w:r>
      <w:r>
        <w:rPr>
          <w:sz w:val="26"/>
        </w:rPr>
        <w:t xml:space="preserve">siguientes: Planificar, dirigir, coordinar y evaluar las actividades técnicas y administrativas que se realizan en la Coordinación de Recursos Humanos. Asesorar al Director General y Subdirectores Generales de [a DIGEF, en asuntos relacionados con Administración de Personal. Desarrollar y supervisar la adecuada ejecución de las funciones asignadas a la Coordinación de Recursos </w:t>
      </w:r>
      <w:r>
        <w:rPr>
          <w:rFonts w:ascii="Times New Roman" w:eastAsia="Times New Roman" w:hAnsi="Times New Roman" w:cs="Times New Roman"/>
          <w:sz w:val="26"/>
        </w:rPr>
        <w:t xml:space="preserve">-1 </w:t>
      </w:r>
      <w:r>
        <w:rPr>
          <w:sz w:val="26"/>
        </w:rPr>
        <w:t>Humanos. Dirigir, evaluar, analizar y dar solución a problemas relacionados a la Administración de Personal. Asesorar y orientar a jefes de otras unidades de la</w:t>
      </w:r>
    </w:p>
    <w:p w14:paraId="54915672" w14:textId="77777777" w:rsidR="00053D93" w:rsidRDefault="00260B75">
      <w:pPr>
        <w:spacing w:after="140" w:line="247" w:lineRule="auto"/>
        <w:ind w:left="14" w:right="14" w:firstLine="1706"/>
        <w:jc w:val="both"/>
      </w:pPr>
      <w:r>
        <w:rPr>
          <w:noProof/>
        </w:rPr>
        <w:drawing>
          <wp:anchor distT="0" distB="0" distL="114300" distR="114300" simplePos="0" relativeHeight="251952128" behindDoc="0" locked="0" layoutInCell="1" allowOverlap="0" wp14:anchorId="3047FE99" wp14:editId="54FEFC56">
            <wp:simplePos x="0" y="0"/>
            <wp:positionH relativeFrom="column">
              <wp:posOffset>13716</wp:posOffset>
            </wp:positionH>
            <wp:positionV relativeFrom="paragraph">
              <wp:posOffset>764299</wp:posOffset>
            </wp:positionV>
            <wp:extent cx="36576" cy="13716"/>
            <wp:effectExtent l="0" t="0" r="0" b="0"/>
            <wp:wrapSquare wrapText="bothSides"/>
            <wp:docPr id="405601" name="Picture 405601"/>
            <wp:cNvGraphicFramePr/>
            <a:graphic xmlns:a="http://schemas.openxmlformats.org/drawingml/2006/main">
              <a:graphicData uri="http://schemas.openxmlformats.org/drawingml/2006/picture">
                <pic:pic xmlns:pic="http://schemas.openxmlformats.org/drawingml/2006/picture">
                  <pic:nvPicPr>
                    <pic:cNvPr id="405601" name="Picture 405601"/>
                    <pic:cNvPicPr/>
                  </pic:nvPicPr>
                  <pic:blipFill>
                    <a:blip r:embed="rId639"/>
                    <a:stretch>
                      <a:fillRect/>
                    </a:stretch>
                  </pic:blipFill>
                  <pic:spPr>
                    <a:xfrm>
                      <a:off x="0" y="0"/>
                      <a:ext cx="36576" cy="13716"/>
                    </a:xfrm>
                    <a:prstGeom prst="rect">
                      <a:avLst/>
                    </a:prstGeom>
                  </pic:spPr>
                </pic:pic>
              </a:graphicData>
            </a:graphic>
          </wp:anchor>
        </w:drawing>
      </w:r>
      <w:r>
        <w:rPr>
          <w:sz w:val="26"/>
        </w:rPr>
        <w:t xml:space="preserve">DIGEF sobre rescisiones y movimientos de personal. Además... se detalla que la </w:t>
      </w:r>
      <w:r>
        <w:rPr>
          <w:rFonts w:ascii="Times New Roman" w:eastAsia="Times New Roman" w:hAnsi="Times New Roman" w:cs="Times New Roman"/>
          <w:sz w:val="26"/>
        </w:rPr>
        <w:t xml:space="preserve">-1 </w:t>
      </w:r>
      <w:r>
        <w:rPr>
          <w:sz w:val="26"/>
        </w:rPr>
        <w:t xml:space="preserve">naturaleza del puesto y Ea función principal del puesto de Coordinador de Recursos humanos "está relacionada con la administración de personal, reclutamiento y selección" del personal de la DIGEF. Además, se listan las </w:t>
      </w:r>
      <w:r>
        <w:rPr>
          <w:rFonts w:ascii="Times New Roman" w:eastAsia="Times New Roman" w:hAnsi="Times New Roman" w:cs="Times New Roman"/>
          <w:sz w:val="26"/>
        </w:rPr>
        <w:t xml:space="preserve">1 </w:t>
      </w:r>
      <w:r>
        <w:rPr>
          <w:sz w:val="26"/>
        </w:rPr>
        <w:t xml:space="preserve">funciones del puesto, entre las que cabe mencionar las que siguen: Revisar y autorizar los cuadros de movimientos de personal. Monitorear el proceso de </w:t>
      </w:r>
      <w:r>
        <w:rPr>
          <w:rFonts w:ascii="Times New Roman" w:eastAsia="Times New Roman" w:hAnsi="Times New Roman" w:cs="Times New Roman"/>
          <w:sz w:val="26"/>
        </w:rPr>
        <w:t xml:space="preserve">-1 </w:t>
      </w:r>
      <w:r>
        <w:rPr>
          <w:sz w:val="26"/>
        </w:rPr>
        <w:t>selección. Velar por el buen desempeño del recurso humano dentro de la DIGEF.</w:t>
      </w:r>
    </w:p>
    <w:p w14:paraId="66AE241C" w14:textId="77777777" w:rsidR="00053D93" w:rsidRDefault="00260B75">
      <w:pPr>
        <w:spacing w:after="17" w:line="247" w:lineRule="auto"/>
        <w:ind w:left="14" w:right="14" w:firstLine="1706"/>
        <w:jc w:val="both"/>
      </w:pPr>
      <w:r>
        <w:rPr>
          <w:sz w:val="26"/>
        </w:rPr>
        <w:t xml:space="preserve">Para aclarar de mejor manera la responsabilidad de la Coordinación de Recursos Humanos en garantizar que se cumple con toda la normativa en materia de </w:t>
      </w:r>
      <w:r>
        <w:rPr>
          <w:rFonts w:ascii="Times New Roman" w:eastAsia="Times New Roman" w:hAnsi="Times New Roman" w:cs="Times New Roman"/>
          <w:sz w:val="26"/>
        </w:rPr>
        <w:t xml:space="preserve">-1 </w:t>
      </w:r>
      <w:r>
        <w:rPr>
          <w:sz w:val="26"/>
        </w:rPr>
        <w:t xml:space="preserve">gestión de personal en la DIGEF, es oportuno también hacer notar que... se puede observar que dentro de las funciones del Departamento de Acciones de Personal (que es un departamento que jerárquicamente depende de la </w:t>
      </w:r>
      <w:r>
        <w:rPr>
          <w:rFonts w:ascii="Times New Roman" w:eastAsia="Times New Roman" w:hAnsi="Times New Roman" w:cs="Times New Roman"/>
          <w:sz w:val="26"/>
        </w:rPr>
        <w:t xml:space="preserve">-1 </w:t>
      </w:r>
      <w:r>
        <w:rPr>
          <w:sz w:val="26"/>
        </w:rPr>
        <w:t xml:space="preserve">Coordinación de Recursos Humanos de la DIGEF) está "Planificar, dirigir, coordinar y evaluar las actividades técnicas y administrativas que se realizan en el </w:t>
      </w:r>
      <w:r>
        <w:rPr>
          <w:rFonts w:ascii="Times New Roman" w:eastAsia="Times New Roman" w:hAnsi="Times New Roman" w:cs="Times New Roman"/>
          <w:sz w:val="26"/>
        </w:rPr>
        <w:t xml:space="preserve">-1 </w:t>
      </w:r>
      <w:r>
        <w:rPr>
          <w:sz w:val="26"/>
        </w:rPr>
        <w:t xml:space="preserve">Departamento de Acciones de Personal." Y en la página 154 del manual... se detallan las funciones del puesto de Jefe de Acciones de Personal, entre las cuales se pueden resaltar las que aparecen a continuación: Asesorar al </w:t>
      </w:r>
      <w:r>
        <w:rPr>
          <w:rFonts w:ascii="Times New Roman" w:eastAsia="Times New Roman" w:hAnsi="Times New Roman" w:cs="Times New Roman"/>
          <w:sz w:val="26"/>
        </w:rPr>
        <w:t xml:space="preserve">-1 </w:t>
      </w:r>
      <w:r>
        <w:rPr>
          <w:sz w:val="26"/>
        </w:rPr>
        <w:t xml:space="preserve">Coordinador de Recursos Humanos en actividades relacionadas con acciones de personal de las cuales se derivan actividades con cobertura a nivel nacional. Brindar asesorra a los jefes de unidades sobre las acciones de personal que se realiza </w:t>
      </w:r>
      <w:r>
        <w:rPr>
          <w:sz w:val="26"/>
        </w:rPr>
        <w:lastRenderedPageBreak/>
        <w:t>en la DIGEF ante otras instancias como la Dirección de Personal, la Oficina Nacional de Servicio Civil, Instituto Guatemalteco de Seguridad Social y otros.</w:t>
      </w:r>
    </w:p>
    <w:p w14:paraId="41AC3810" w14:textId="77777777" w:rsidR="00053D93" w:rsidRDefault="00260B75">
      <w:pPr>
        <w:spacing w:after="405" w:line="267" w:lineRule="auto"/>
        <w:ind w:left="18" w:right="21" w:hanging="4"/>
        <w:jc w:val="right"/>
      </w:pPr>
      <w:r>
        <w:rPr>
          <w:sz w:val="26"/>
        </w:rPr>
        <w:t>Atender lo referente a licencias, traslados, permutas y otros movimientos de</w:t>
      </w:r>
    </w:p>
    <w:tbl>
      <w:tblPr>
        <w:tblStyle w:val="TableGrid"/>
        <w:tblpPr w:vertAnchor="text" w:tblpX="2534"/>
        <w:tblOverlap w:val="never"/>
        <w:tblW w:w="7632" w:type="dxa"/>
        <w:tblInd w:w="0" w:type="dxa"/>
        <w:tblCellMar>
          <w:top w:w="49" w:type="dxa"/>
          <w:left w:w="1735" w:type="dxa"/>
          <w:right w:w="115" w:type="dxa"/>
        </w:tblCellMar>
        <w:tblLook w:val="04A0" w:firstRow="1" w:lastRow="0" w:firstColumn="1" w:lastColumn="0" w:noHBand="0" w:noVBand="1"/>
      </w:tblPr>
      <w:tblGrid>
        <w:gridCol w:w="7632"/>
      </w:tblGrid>
      <w:tr w:rsidR="00053D93" w14:paraId="3123AD22" w14:textId="77777777">
        <w:trPr>
          <w:trHeight w:val="55"/>
        </w:trPr>
        <w:tc>
          <w:tcPr>
            <w:tcW w:w="7632" w:type="dxa"/>
            <w:tcBorders>
              <w:top w:val="nil"/>
              <w:left w:val="single" w:sz="2" w:space="0" w:color="000000"/>
              <w:bottom w:val="single" w:sz="2" w:space="0" w:color="000000"/>
              <w:right w:val="nil"/>
            </w:tcBorders>
          </w:tcPr>
          <w:p w14:paraId="06EF9B40" w14:textId="77777777" w:rsidR="00053D93" w:rsidRDefault="00053D93"/>
        </w:tc>
      </w:tr>
      <w:tr w:rsidR="00053D93" w14:paraId="4A388A1E" w14:textId="77777777">
        <w:trPr>
          <w:trHeight w:val="586"/>
        </w:trPr>
        <w:tc>
          <w:tcPr>
            <w:tcW w:w="7632" w:type="dxa"/>
            <w:tcBorders>
              <w:top w:val="single" w:sz="2" w:space="0" w:color="000000"/>
              <w:left w:val="single" w:sz="2" w:space="0" w:color="000000"/>
              <w:bottom w:val="nil"/>
              <w:right w:val="nil"/>
            </w:tcBorders>
          </w:tcPr>
          <w:p w14:paraId="40B5C4BF" w14:textId="77777777" w:rsidR="00053D93" w:rsidRDefault="00260B75">
            <w:pPr>
              <w:ind w:left="842"/>
            </w:pPr>
            <w:r>
              <w:rPr>
                <w:sz w:val="14"/>
              </w:rPr>
              <w:t>MINISTERIO DE EDUCACION</w:t>
            </w:r>
          </w:p>
          <w:p w14:paraId="1849B399" w14:textId="77777777" w:rsidR="00053D93" w:rsidRDefault="00260B75">
            <w:pPr>
              <w:ind w:left="338"/>
            </w:pPr>
            <w:r>
              <w:rPr>
                <w:sz w:val="14"/>
              </w:rPr>
              <w:t>AUDFTORIA FINANCIERA Y DE CUMPLIMIENTO</w:t>
            </w:r>
          </w:p>
          <w:p w14:paraId="5E7BB0BF" w14:textId="77777777" w:rsidR="00053D93" w:rsidRDefault="00260B75">
            <w:r>
              <w:rPr>
                <w:sz w:val="14"/>
              </w:rPr>
              <w:t>PERIODO DEL 01 DE ENERO AL 31 DE DICIEMBRE OE 2024</w:t>
            </w:r>
          </w:p>
        </w:tc>
      </w:tr>
    </w:tbl>
    <w:p w14:paraId="76178EF7" w14:textId="77777777" w:rsidR="00053D93" w:rsidRDefault="00260B75">
      <w:pPr>
        <w:pStyle w:val="Ttulo2"/>
        <w:spacing w:after="97"/>
        <w:ind w:left="89" w:right="6955"/>
      </w:pPr>
      <w:r>
        <w:t xml:space="preserve">I III </w:t>
      </w:r>
      <w:r>
        <w:rPr>
          <w:noProof/>
        </w:rPr>
        <w:drawing>
          <wp:inline distT="0" distB="0" distL="0" distR="0" wp14:anchorId="55235764" wp14:editId="47DC8399">
            <wp:extent cx="937260" cy="402337"/>
            <wp:effectExtent l="0" t="0" r="0" b="0"/>
            <wp:docPr id="2458345" name="Picture 2458345"/>
            <wp:cNvGraphicFramePr/>
            <a:graphic xmlns:a="http://schemas.openxmlformats.org/drawingml/2006/main">
              <a:graphicData uri="http://schemas.openxmlformats.org/drawingml/2006/picture">
                <pic:pic xmlns:pic="http://schemas.openxmlformats.org/drawingml/2006/picture">
                  <pic:nvPicPr>
                    <pic:cNvPr id="2458345" name="Picture 2458345"/>
                    <pic:cNvPicPr/>
                  </pic:nvPicPr>
                  <pic:blipFill>
                    <a:blip r:embed="rId640"/>
                    <a:stretch>
                      <a:fillRect/>
                    </a:stretch>
                  </pic:blipFill>
                  <pic:spPr>
                    <a:xfrm>
                      <a:off x="0" y="0"/>
                      <a:ext cx="937260" cy="402337"/>
                    </a:xfrm>
                    <a:prstGeom prst="rect">
                      <a:avLst/>
                    </a:prstGeom>
                  </pic:spPr>
                </pic:pic>
              </a:graphicData>
            </a:graphic>
          </wp:inline>
        </w:drawing>
      </w:r>
    </w:p>
    <w:p w14:paraId="00D4936B" w14:textId="77777777" w:rsidR="00053D93" w:rsidRDefault="00260B75">
      <w:pPr>
        <w:spacing w:after="213"/>
        <w:ind w:left="1663"/>
        <w:jc w:val="center"/>
      </w:pPr>
      <w:r>
        <w:rPr>
          <w:rFonts w:ascii="Courier New" w:eastAsia="Courier New" w:hAnsi="Courier New" w:cs="Courier New"/>
          <w:sz w:val="12"/>
        </w:rPr>
        <w:t>es</w:t>
      </w:r>
    </w:p>
    <w:p w14:paraId="762822BF" w14:textId="77777777" w:rsidR="00053D93" w:rsidRDefault="00260B75">
      <w:pPr>
        <w:spacing w:after="58"/>
        <w:ind w:left="1706"/>
      </w:pPr>
      <w:r>
        <w:rPr>
          <w:noProof/>
        </w:rPr>
        <mc:AlternateContent>
          <mc:Choice Requires="wpg">
            <w:drawing>
              <wp:inline distT="0" distB="0" distL="0" distR="0" wp14:anchorId="71B1707A" wp14:editId="3F34E7BD">
                <wp:extent cx="5390388" cy="9144"/>
                <wp:effectExtent l="0" t="0" r="0" b="0"/>
                <wp:docPr id="2458350" name="Group 2458350"/>
                <wp:cNvGraphicFramePr/>
                <a:graphic xmlns:a="http://schemas.openxmlformats.org/drawingml/2006/main">
                  <a:graphicData uri="http://schemas.microsoft.com/office/word/2010/wordprocessingGroup">
                    <wpg:wgp>
                      <wpg:cNvGrpSpPr/>
                      <wpg:grpSpPr>
                        <a:xfrm>
                          <a:off x="0" y="0"/>
                          <a:ext cx="5390388" cy="9144"/>
                          <a:chOff x="0" y="0"/>
                          <a:chExt cx="5390388" cy="9144"/>
                        </a:xfrm>
                      </wpg:grpSpPr>
                      <wps:wsp>
                        <wps:cNvPr id="2458349" name="Shape 2458349"/>
                        <wps:cNvSpPr/>
                        <wps:spPr>
                          <a:xfrm>
                            <a:off x="0" y="0"/>
                            <a:ext cx="5390388" cy="9144"/>
                          </a:xfrm>
                          <a:custGeom>
                            <a:avLst/>
                            <a:gdLst/>
                            <a:ahLst/>
                            <a:cxnLst/>
                            <a:rect l="0" t="0" r="0" b="0"/>
                            <a:pathLst>
                              <a:path w="5390388" h="9144">
                                <a:moveTo>
                                  <a:pt x="0" y="4572"/>
                                </a:moveTo>
                                <a:lnTo>
                                  <a:pt x="539038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50" style="width:424.44pt;height:0.720001pt;mso-position-horizontal-relative:char;mso-position-vertical-relative:line" coordsize="53903,91">
                <v:shape id="Shape 2458349" style="position:absolute;width:53903;height:91;left:0;top:0;" coordsize="5390388,9144" path="m0,4572l5390388,4572">
                  <v:stroke weight="0.720001pt" endcap="flat" joinstyle="miter" miterlimit="1" on="true" color="#000000"/>
                  <v:fill on="false" color="#000000"/>
                </v:shape>
              </v:group>
            </w:pict>
          </mc:Fallback>
        </mc:AlternateContent>
      </w:r>
    </w:p>
    <w:p w14:paraId="7CC9E009" w14:textId="77777777" w:rsidR="00053D93" w:rsidRDefault="00260B75">
      <w:pPr>
        <w:spacing w:after="17" w:line="247" w:lineRule="auto"/>
        <w:ind w:left="14" w:right="14" w:firstLine="1706"/>
        <w:jc w:val="both"/>
      </w:pPr>
      <w:r>
        <w:rPr>
          <w:sz w:val="26"/>
        </w:rPr>
        <w:t xml:space="preserve">personal que se presenten, de acuerdo a la legislación guatemalteca vigente. Además de todo lo mencionado en relación a las funciones específicas de cada puesto en la DIGEF, es muy importante tener presente ACUERDO NÚMERO </w:t>
      </w:r>
      <w:r>
        <w:rPr>
          <w:rFonts w:ascii="Times New Roman" w:eastAsia="Times New Roman" w:hAnsi="Times New Roman" w:cs="Times New Roman"/>
          <w:sz w:val="26"/>
        </w:rPr>
        <w:t xml:space="preserve">1 </w:t>
      </w:r>
      <w:r>
        <w:rPr>
          <w:sz w:val="26"/>
        </w:rPr>
        <w:t xml:space="preserve">A-039-2023 emitido por el CONTRALOR GENERAL DE CUENTAS en el que se aprueban las NORMAS GENERALES Y TÉCNICAS DE CONTROL INTERNO </w:t>
      </w:r>
      <w:r>
        <w:rPr>
          <w:rFonts w:ascii="Times New Roman" w:eastAsia="Times New Roman" w:hAnsi="Times New Roman" w:cs="Times New Roman"/>
          <w:sz w:val="26"/>
        </w:rPr>
        <w:t xml:space="preserve">1 </w:t>
      </w:r>
      <w:r>
        <w:rPr>
          <w:sz w:val="26"/>
        </w:rPr>
        <w:t xml:space="preserve">GUBERNAMENTAL... Como se puede apreciar en el artículo 1 de citado Acuerdo, las Normas Generales y Técnicas de Control Interno Gubernamental, tienen como objeto crear procedimientos, componentes y establecer responsabilidades relacionadas con el control interno gubernamental. Además, se establece que las mismas son de naturaleza eminentemente técnicas, de observancia general y </w:t>
      </w:r>
      <w:r>
        <w:rPr>
          <w:rFonts w:ascii="Times New Roman" w:eastAsia="Times New Roman" w:hAnsi="Times New Roman" w:cs="Times New Roman"/>
          <w:sz w:val="26"/>
        </w:rPr>
        <w:t xml:space="preserve">-1 </w:t>
      </w:r>
      <w:r>
        <w:rPr>
          <w:sz w:val="26"/>
        </w:rPr>
        <w:t xml:space="preserve">cumplimiento para [as personas a las que se refiere el artículo 2 de la Ley Orgánica de la Contraloría General de Cuentas. Es oportuno traer a colación que en el Marco Conceptual de las Normas Generales y Técnicas de Control Interno </w:t>
      </w:r>
      <w:r>
        <w:rPr>
          <w:rFonts w:ascii="Times New Roman" w:eastAsia="Times New Roman" w:hAnsi="Times New Roman" w:cs="Times New Roman"/>
          <w:sz w:val="26"/>
        </w:rPr>
        <w:t xml:space="preserve">-1 </w:t>
      </w:r>
      <w:r>
        <w:rPr>
          <w:sz w:val="26"/>
        </w:rPr>
        <w:t xml:space="preserve">Gubernamental se establecen las responsabilidades en el control interno que tiene los servidores públicos (en la página 9 de ese documento): los servidores públicos, además de lo establecido en leyes, normativas, Normas Generales y Técnicas de </w:t>
      </w:r>
      <w:r>
        <w:rPr>
          <w:rFonts w:ascii="Times New Roman" w:eastAsia="Times New Roman" w:hAnsi="Times New Roman" w:cs="Times New Roman"/>
          <w:sz w:val="26"/>
        </w:rPr>
        <w:t xml:space="preserve">-1 </w:t>
      </w:r>
      <w:r>
        <w:rPr>
          <w:sz w:val="26"/>
        </w:rPr>
        <w:t xml:space="preserve">Control Interno Gubernamental y la aplicación de [as disposiciones emanadas por los entes rectores, son responsables por la ejecución de las operaciones y </w:t>
      </w:r>
      <w:r>
        <w:rPr>
          <w:rFonts w:ascii="Times New Roman" w:eastAsia="Times New Roman" w:hAnsi="Times New Roman" w:cs="Times New Roman"/>
          <w:sz w:val="26"/>
        </w:rPr>
        <w:t xml:space="preserve">-1 </w:t>
      </w:r>
      <w:r>
        <w:rPr>
          <w:sz w:val="26"/>
        </w:rPr>
        <w:t xml:space="preserve">funciones del puesto o cargo inherentes a su puesto. También se establece con toda claridad que las responsabilidades del servidor público en control interno incluirán, entre otras, reportar las faltas al control interno o irregularidades </w:t>
      </w:r>
      <w:r>
        <w:rPr>
          <w:rFonts w:ascii="Times New Roman" w:eastAsia="Times New Roman" w:hAnsi="Times New Roman" w:cs="Times New Roman"/>
          <w:sz w:val="26"/>
        </w:rPr>
        <w:t xml:space="preserve">-1 </w:t>
      </w:r>
      <w:r>
        <w:rPr>
          <w:sz w:val="26"/>
        </w:rPr>
        <w:t>observadas en el ejercicio de sus funciones, a la autoridad jerárquica inmediata competente. De todo lo escrito en los párrafos que anteceden se puede concluir que en esos 13 casos de nombramientos que no hice yo, en los 5 casos que se</w:t>
      </w:r>
    </w:p>
    <w:p w14:paraId="67A4BF2A" w14:textId="77777777" w:rsidR="00053D93" w:rsidRDefault="00260B75">
      <w:pPr>
        <w:spacing w:after="19"/>
        <w:ind w:left="14"/>
      </w:pPr>
      <w:r>
        <w:rPr>
          <w:noProof/>
        </w:rPr>
        <w:drawing>
          <wp:inline distT="0" distB="0" distL="0" distR="0" wp14:anchorId="6BAB1B65" wp14:editId="1E46D473">
            <wp:extent cx="41148" cy="13716"/>
            <wp:effectExtent l="0" t="0" r="0" b="0"/>
            <wp:docPr id="409851" name="Picture 409851"/>
            <wp:cNvGraphicFramePr/>
            <a:graphic xmlns:a="http://schemas.openxmlformats.org/drawingml/2006/main">
              <a:graphicData uri="http://schemas.openxmlformats.org/drawingml/2006/picture">
                <pic:pic xmlns:pic="http://schemas.openxmlformats.org/drawingml/2006/picture">
                  <pic:nvPicPr>
                    <pic:cNvPr id="409851" name="Picture 409851"/>
                    <pic:cNvPicPr/>
                  </pic:nvPicPr>
                  <pic:blipFill>
                    <a:blip r:embed="rId641"/>
                    <a:stretch>
                      <a:fillRect/>
                    </a:stretch>
                  </pic:blipFill>
                  <pic:spPr>
                    <a:xfrm>
                      <a:off x="0" y="0"/>
                      <a:ext cx="41148" cy="13716"/>
                    </a:xfrm>
                    <a:prstGeom prst="rect">
                      <a:avLst/>
                    </a:prstGeom>
                  </pic:spPr>
                </pic:pic>
              </a:graphicData>
            </a:graphic>
          </wp:inline>
        </w:drawing>
      </w:r>
    </w:p>
    <w:p w14:paraId="36469EE0" w14:textId="77777777" w:rsidR="00053D93" w:rsidRDefault="00260B75">
      <w:pPr>
        <w:spacing w:after="134" w:line="312" w:lineRule="auto"/>
        <w:ind w:left="14" w:right="14" w:firstLine="79"/>
        <w:jc w:val="both"/>
      </w:pPr>
      <w:r>
        <w:rPr>
          <w:rFonts w:ascii="Times New Roman" w:eastAsia="Times New Roman" w:hAnsi="Times New Roman" w:cs="Times New Roman"/>
          <w:sz w:val="26"/>
        </w:rPr>
        <w:t xml:space="preserve">1 </w:t>
      </w:r>
      <w:r>
        <w:rPr>
          <w:sz w:val="26"/>
        </w:rPr>
        <w:t xml:space="preserve">hicieron en fechas previas a que yo ocupara el puesto de Director General, la responsabilidad de informar del incumplimiento que podía darse es de las </w:t>
      </w:r>
      <w:r>
        <w:rPr>
          <w:noProof/>
        </w:rPr>
        <w:drawing>
          <wp:inline distT="0" distB="0" distL="0" distR="0" wp14:anchorId="1E5102D7" wp14:editId="24E6BB63">
            <wp:extent cx="41148" cy="9144"/>
            <wp:effectExtent l="0" t="0" r="0" b="0"/>
            <wp:docPr id="409852" name="Picture 409852"/>
            <wp:cNvGraphicFramePr/>
            <a:graphic xmlns:a="http://schemas.openxmlformats.org/drawingml/2006/main">
              <a:graphicData uri="http://schemas.openxmlformats.org/drawingml/2006/picture">
                <pic:pic xmlns:pic="http://schemas.openxmlformats.org/drawingml/2006/picture">
                  <pic:nvPicPr>
                    <pic:cNvPr id="409852" name="Picture 409852"/>
                    <pic:cNvPicPr/>
                  </pic:nvPicPr>
                  <pic:blipFill>
                    <a:blip r:embed="rId642"/>
                    <a:stretch>
                      <a:fillRect/>
                    </a:stretch>
                  </pic:blipFill>
                  <pic:spPr>
                    <a:xfrm>
                      <a:off x="0" y="0"/>
                      <a:ext cx="41148"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personas que ocupaban los puestos que tenían directamente bajo su cargo la responsabilidad de asegurar el cumplimiento de la Ley de Servicio Civil en cuanto </w:t>
      </w:r>
      <w:r>
        <w:rPr>
          <w:noProof/>
        </w:rPr>
        <w:drawing>
          <wp:inline distT="0" distB="0" distL="0" distR="0" wp14:anchorId="42AF912B" wp14:editId="6460EE0B">
            <wp:extent cx="13716" cy="9143"/>
            <wp:effectExtent l="0" t="0" r="0" b="0"/>
            <wp:docPr id="409853" name="Picture 409853"/>
            <wp:cNvGraphicFramePr/>
            <a:graphic xmlns:a="http://schemas.openxmlformats.org/drawingml/2006/main">
              <a:graphicData uri="http://schemas.openxmlformats.org/drawingml/2006/picture">
                <pic:pic xmlns:pic="http://schemas.openxmlformats.org/drawingml/2006/picture">
                  <pic:nvPicPr>
                    <pic:cNvPr id="409853" name="Picture 409853"/>
                    <pic:cNvPicPr/>
                  </pic:nvPicPr>
                  <pic:blipFill>
                    <a:blip r:embed="rId49"/>
                    <a:stretch>
                      <a:fillRect/>
                    </a:stretch>
                  </pic:blipFill>
                  <pic:spPr>
                    <a:xfrm>
                      <a:off x="0" y="0"/>
                      <a:ext cx="13716" cy="9143"/>
                    </a:xfrm>
                    <a:prstGeom prst="rect">
                      <a:avLst/>
                    </a:prstGeom>
                  </pic:spPr>
                </pic:pic>
              </a:graphicData>
            </a:graphic>
          </wp:inline>
        </w:drawing>
      </w:r>
      <w:r>
        <w:rPr>
          <w:sz w:val="26"/>
        </w:rPr>
        <w:t xml:space="preserve"> al plazo máximo de 6 meses que podían tener esos nombramientos interinos.</w:t>
      </w:r>
    </w:p>
    <w:p w14:paraId="4E49D170" w14:textId="77777777" w:rsidR="00053D93" w:rsidRDefault="00260B75">
      <w:pPr>
        <w:spacing w:after="17" w:line="325" w:lineRule="auto"/>
        <w:ind w:left="1706" w:right="14" w:hanging="1692"/>
        <w:jc w:val="both"/>
      </w:pPr>
      <w:r>
        <w:rPr>
          <w:noProof/>
        </w:rPr>
        <w:drawing>
          <wp:inline distT="0" distB="0" distL="0" distR="0" wp14:anchorId="75990A83" wp14:editId="0B3540B9">
            <wp:extent cx="45720" cy="13716"/>
            <wp:effectExtent l="0" t="0" r="0" b="0"/>
            <wp:docPr id="409854" name="Picture 409854"/>
            <wp:cNvGraphicFramePr/>
            <a:graphic xmlns:a="http://schemas.openxmlformats.org/drawingml/2006/main">
              <a:graphicData uri="http://schemas.openxmlformats.org/drawingml/2006/picture">
                <pic:pic xmlns:pic="http://schemas.openxmlformats.org/drawingml/2006/picture">
                  <pic:nvPicPr>
                    <pic:cNvPr id="409854" name="Picture 409854"/>
                    <pic:cNvPicPr/>
                  </pic:nvPicPr>
                  <pic:blipFill>
                    <a:blip r:embed="rId643"/>
                    <a:stretch>
                      <a:fillRect/>
                    </a:stretch>
                  </pic:blipFill>
                  <pic:spPr>
                    <a:xfrm>
                      <a:off x="0" y="0"/>
                      <a:ext cx="45720"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Además, queda también demostrado que hay 8 nombramientos que se hicieron en fechas posteriores a la fecha en la que yo dejé de ocupar el puesto. Y, de esa suerte, en mi función como Director General, no tuve ninguna responsabilidad en</w:t>
      </w:r>
    </w:p>
    <w:p w14:paraId="00F49C45" w14:textId="77777777" w:rsidR="00053D93" w:rsidRDefault="00260B75">
      <w:pPr>
        <w:spacing w:after="22"/>
      </w:pPr>
      <w:r>
        <w:rPr>
          <w:noProof/>
        </w:rPr>
        <w:lastRenderedPageBreak/>
        <w:drawing>
          <wp:inline distT="0" distB="0" distL="0" distR="0" wp14:anchorId="1500B9E0" wp14:editId="57E7707C">
            <wp:extent cx="50292" cy="13715"/>
            <wp:effectExtent l="0" t="0" r="0" b="0"/>
            <wp:docPr id="409855" name="Picture 409855"/>
            <wp:cNvGraphicFramePr/>
            <a:graphic xmlns:a="http://schemas.openxmlformats.org/drawingml/2006/main">
              <a:graphicData uri="http://schemas.openxmlformats.org/drawingml/2006/picture">
                <pic:pic xmlns:pic="http://schemas.openxmlformats.org/drawingml/2006/picture">
                  <pic:nvPicPr>
                    <pic:cNvPr id="409855" name="Picture 409855"/>
                    <pic:cNvPicPr/>
                  </pic:nvPicPr>
                  <pic:blipFill>
                    <a:blip r:embed="rId644"/>
                    <a:stretch>
                      <a:fillRect/>
                    </a:stretch>
                  </pic:blipFill>
                  <pic:spPr>
                    <a:xfrm>
                      <a:off x="0" y="0"/>
                      <a:ext cx="50292" cy="13715"/>
                    </a:xfrm>
                    <a:prstGeom prst="rect">
                      <a:avLst/>
                    </a:prstGeom>
                  </pic:spPr>
                </pic:pic>
              </a:graphicData>
            </a:graphic>
          </wp:inline>
        </w:drawing>
      </w:r>
    </w:p>
    <w:p w14:paraId="431BA9BB" w14:textId="77777777" w:rsidR="00053D93" w:rsidRDefault="00260B75">
      <w:pPr>
        <w:spacing w:after="17" w:line="247" w:lineRule="auto"/>
        <w:ind w:left="14" w:right="14" w:firstLine="94"/>
        <w:jc w:val="both"/>
      </w:pPr>
      <w:r>
        <w:rPr>
          <w:rFonts w:ascii="Times New Roman" w:eastAsia="Times New Roman" w:hAnsi="Times New Roman" w:cs="Times New Roman"/>
          <w:sz w:val="26"/>
        </w:rPr>
        <w:t xml:space="preserve">1 </w:t>
      </w:r>
      <w:r>
        <w:rPr>
          <w:sz w:val="26"/>
        </w:rPr>
        <w:t xml:space="preserve">tomar acciones para hacer cumplir con la normativa porque nunca se me hizo saber de esa situación, lo que era obligación de los tres puestos jerárquicos </w:t>
      </w:r>
      <w:r>
        <w:rPr>
          <w:noProof/>
        </w:rPr>
        <w:drawing>
          <wp:inline distT="0" distB="0" distL="0" distR="0" wp14:anchorId="64D32208" wp14:editId="12CD76B5">
            <wp:extent cx="50292" cy="13716"/>
            <wp:effectExtent l="0" t="0" r="0" b="0"/>
            <wp:docPr id="409856" name="Picture 409856"/>
            <wp:cNvGraphicFramePr/>
            <a:graphic xmlns:a="http://schemas.openxmlformats.org/drawingml/2006/main">
              <a:graphicData uri="http://schemas.openxmlformats.org/drawingml/2006/picture">
                <pic:pic xmlns:pic="http://schemas.openxmlformats.org/drawingml/2006/picture">
                  <pic:nvPicPr>
                    <pic:cNvPr id="409856" name="Picture 409856"/>
                    <pic:cNvPicPr/>
                  </pic:nvPicPr>
                  <pic:blipFill>
                    <a:blip r:embed="rId645"/>
                    <a:stretch>
                      <a:fillRect/>
                    </a:stretch>
                  </pic:blipFill>
                  <pic:spPr>
                    <a:xfrm>
                      <a:off x="0" y="0"/>
                      <a:ext cx="50292"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siguientes (en ese orden): el Jefe de Acciones de Personal debía de informar al Coordinador de Recursos Humanos, este al Subdirector General Administrativo y este último a mi como Director General de la DIGEF. Por otra parte, en el caso del </w:t>
      </w:r>
      <w:r>
        <w:rPr>
          <w:rFonts w:ascii="Times New Roman" w:eastAsia="Times New Roman" w:hAnsi="Times New Roman" w:cs="Times New Roman"/>
          <w:sz w:val="26"/>
        </w:rPr>
        <w:t xml:space="preserve">1 </w:t>
      </w:r>
      <w:r>
        <w:rPr>
          <w:noProof/>
        </w:rPr>
        <w:drawing>
          <wp:inline distT="0" distB="0" distL="0" distR="0" wp14:anchorId="6F4FC382" wp14:editId="620C568C">
            <wp:extent cx="9144" cy="9144"/>
            <wp:effectExtent l="0" t="0" r="0" b="0"/>
            <wp:docPr id="409857" name="Picture 409857"/>
            <wp:cNvGraphicFramePr/>
            <a:graphic xmlns:a="http://schemas.openxmlformats.org/drawingml/2006/main">
              <a:graphicData uri="http://schemas.openxmlformats.org/drawingml/2006/picture">
                <pic:pic xmlns:pic="http://schemas.openxmlformats.org/drawingml/2006/picture">
                  <pic:nvPicPr>
                    <pic:cNvPr id="409857" name="Picture 409857"/>
                    <pic:cNvPicPr/>
                  </pic:nvPicPr>
                  <pic:blipFill>
                    <a:blip r:embed="rId93"/>
                    <a:stretch>
                      <a:fillRect/>
                    </a:stretch>
                  </pic:blipFill>
                  <pic:spPr>
                    <a:xfrm>
                      <a:off x="0" y="0"/>
                      <a:ext cx="9144" cy="9144"/>
                    </a:xfrm>
                    <a:prstGeom prst="rect">
                      <a:avLst/>
                    </a:prstGeom>
                  </pic:spPr>
                </pic:pic>
              </a:graphicData>
            </a:graphic>
          </wp:inline>
        </w:drawing>
      </w:r>
      <w:r>
        <w:rPr>
          <w:sz w:val="26"/>
        </w:rPr>
        <w:t xml:space="preserve">único de los 14 nombramientos que hice yo mientras fui Director General de la DIGEF... cabe notar que la fecha de esa resolución es del 19 de abril de 2023. Los 6 meses de plazo máximo para que ese nombramiento interino cumpliera con </w:t>
      </w:r>
      <w:r>
        <w:rPr>
          <w:rFonts w:ascii="Times New Roman" w:eastAsia="Times New Roman" w:hAnsi="Times New Roman" w:cs="Times New Roman"/>
          <w:sz w:val="26"/>
        </w:rPr>
        <w:t xml:space="preserve">1 </w:t>
      </w:r>
      <w:r>
        <w:rPr>
          <w:sz w:val="26"/>
        </w:rPr>
        <w:t>lo normado en la Ley de Servicio Civil se vencieron el 19 de octubre de 2023. Eso me obligaba, como Director General de DIGEF, a emitir una nueva resolución para nombrar a otra persona en ese puesto para poder cumplir con la normativa porque</w:t>
      </w:r>
    </w:p>
    <w:tbl>
      <w:tblPr>
        <w:tblStyle w:val="TableGrid"/>
        <w:tblW w:w="9439" w:type="dxa"/>
        <w:tblInd w:w="749" w:type="dxa"/>
        <w:tblLook w:val="04A0" w:firstRow="1" w:lastRow="0" w:firstColumn="1" w:lastColumn="0" w:noHBand="0" w:noVBand="1"/>
      </w:tblPr>
      <w:tblGrid>
        <w:gridCol w:w="1292"/>
        <w:gridCol w:w="8161"/>
      </w:tblGrid>
      <w:tr w:rsidR="00053D93" w14:paraId="5107FDDD" w14:textId="77777777">
        <w:trPr>
          <w:trHeight w:val="641"/>
        </w:trPr>
        <w:tc>
          <w:tcPr>
            <w:tcW w:w="1789" w:type="dxa"/>
            <w:tcBorders>
              <w:top w:val="nil"/>
              <w:left w:val="nil"/>
              <w:bottom w:val="nil"/>
              <w:right w:val="nil"/>
            </w:tcBorders>
          </w:tcPr>
          <w:p w14:paraId="174B3A49" w14:textId="77777777" w:rsidR="00053D93" w:rsidRDefault="00260B75">
            <w:r>
              <w:rPr>
                <w:noProof/>
              </w:rPr>
              <w:drawing>
                <wp:inline distT="0" distB="0" distL="0" distR="0" wp14:anchorId="0E6130AC" wp14:editId="4194FAF8">
                  <wp:extent cx="1124712" cy="406908"/>
                  <wp:effectExtent l="0" t="0" r="0" b="0"/>
                  <wp:docPr id="409899" name="Picture 409899"/>
                  <wp:cNvGraphicFramePr/>
                  <a:graphic xmlns:a="http://schemas.openxmlformats.org/drawingml/2006/main">
                    <a:graphicData uri="http://schemas.openxmlformats.org/drawingml/2006/picture">
                      <pic:pic xmlns:pic="http://schemas.openxmlformats.org/drawingml/2006/picture">
                        <pic:nvPicPr>
                          <pic:cNvPr id="409899" name="Picture 409899"/>
                          <pic:cNvPicPr/>
                        </pic:nvPicPr>
                        <pic:blipFill>
                          <a:blip r:embed="rId646"/>
                          <a:stretch>
                            <a:fillRect/>
                          </a:stretch>
                        </pic:blipFill>
                        <pic:spPr>
                          <a:xfrm>
                            <a:off x="0" y="0"/>
                            <a:ext cx="1124712" cy="406908"/>
                          </a:xfrm>
                          <a:prstGeom prst="rect">
                            <a:avLst/>
                          </a:prstGeom>
                        </pic:spPr>
                      </pic:pic>
                    </a:graphicData>
                  </a:graphic>
                </wp:inline>
              </w:drawing>
            </w:r>
          </w:p>
        </w:tc>
        <w:tc>
          <w:tcPr>
            <w:tcW w:w="7650" w:type="dxa"/>
            <w:tcBorders>
              <w:top w:val="nil"/>
              <w:left w:val="nil"/>
              <w:bottom w:val="nil"/>
              <w:right w:val="nil"/>
            </w:tcBorders>
          </w:tcPr>
          <w:p w14:paraId="3C07CF2C" w14:textId="77777777" w:rsidR="00053D93" w:rsidRDefault="00053D93">
            <w:pPr>
              <w:ind w:left="-2840" w:right="10490"/>
            </w:pPr>
          </w:p>
          <w:tbl>
            <w:tblPr>
              <w:tblStyle w:val="TableGrid"/>
              <w:tblW w:w="7632" w:type="dxa"/>
              <w:tblInd w:w="18" w:type="dxa"/>
              <w:tblCellMar>
                <w:top w:w="34" w:type="dxa"/>
                <w:left w:w="1742" w:type="dxa"/>
                <w:right w:w="115" w:type="dxa"/>
              </w:tblCellMar>
              <w:tblLook w:val="04A0" w:firstRow="1" w:lastRow="0" w:firstColumn="1" w:lastColumn="0" w:noHBand="0" w:noVBand="1"/>
            </w:tblPr>
            <w:tblGrid>
              <w:gridCol w:w="7632"/>
            </w:tblGrid>
            <w:tr w:rsidR="00053D93" w14:paraId="29EBB05A" w14:textId="77777777">
              <w:trPr>
                <w:trHeight w:val="48"/>
              </w:trPr>
              <w:tc>
                <w:tcPr>
                  <w:tcW w:w="7632" w:type="dxa"/>
                  <w:tcBorders>
                    <w:top w:val="nil"/>
                    <w:left w:val="single" w:sz="2" w:space="0" w:color="000000"/>
                    <w:bottom w:val="single" w:sz="2" w:space="0" w:color="000000"/>
                    <w:right w:val="nil"/>
                  </w:tcBorders>
                </w:tcPr>
                <w:p w14:paraId="12A39DDC" w14:textId="77777777" w:rsidR="00053D93" w:rsidRDefault="00053D93"/>
              </w:tc>
            </w:tr>
            <w:tr w:rsidR="00053D93" w14:paraId="192A320C" w14:textId="77777777">
              <w:trPr>
                <w:trHeight w:val="593"/>
              </w:trPr>
              <w:tc>
                <w:tcPr>
                  <w:tcW w:w="7632" w:type="dxa"/>
                  <w:tcBorders>
                    <w:top w:val="single" w:sz="2" w:space="0" w:color="000000"/>
                    <w:left w:val="single" w:sz="2" w:space="0" w:color="000000"/>
                    <w:bottom w:val="nil"/>
                    <w:right w:val="nil"/>
                  </w:tcBorders>
                </w:tcPr>
                <w:p w14:paraId="51D945B6" w14:textId="77777777" w:rsidR="00053D93" w:rsidRDefault="00260B75">
                  <w:pPr>
                    <w:ind w:left="828"/>
                  </w:pPr>
                  <w:r>
                    <w:rPr>
                      <w:sz w:val="14"/>
                    </w:rPr>
                    <w:t>MINISTERIO DE EDUCACION</w:t>
                  </w:r>
                </w:p>
                <w:p w14:paraId="175428DE" w14:textId="77777777" w:rsidR="00053D93" w:rsidRDefault="00260B75">
                  <w:pPr>
                    <w:ind w:left="338"/>
                  </w:pPr>
                  <w:r>
                    <w:rPr>
                      <w:sz w:val="14"/>
                    </w:rPr>
                    <w:t>AUDITORIA FINANCIERA Y DE CUMPLIMIENTO</w:t>
                  </w:r>
                </w:p>
                <w:p w14:paraId="12B086A5" w14:textId="77777777" w:rsidR="00053D93" w:rsidRDefault="00260B75">
                  <w:r>
                    <w:rPr>
                      <w:sz w:val="14"/>
                    </w:rPr>
                    <w:t>PERIODO DEI. 01 DE ENERO AL 31 DE DICIEMBRE DE 2024</w:t>
                  </w:r>
                </w:p>
              </w:tc>
            </w:tr>
          </w:tbl>
          <w:p w14:paraId="02CEC27E" w14:textId="77777777" w:rsidR="00053D93" w:rsidRDefault="00053D93"/>
        </w:tc>
      </w:tr>
    </w:tbl>
    <w:p w14:paraId="3AA2F9EE" w14:textId="77777777" w:rsidR="00053D93" w:rsidRDefault="00053D93">
      <w:pPr>
        <w:sectPr w:rsidR="00053D93">
          <w:headerReference w:type="even" r:id="rId647"/>
          <w:headerReference w:type="default" r:id="rId648"/>
          <w:footerReference w:type="even" r:id="rId649"/>
          <w:footerReference w:type="default" r:id="rId650"/>
          <w:headerReference w:type="first" r:id="rId651"/>
          <w:footerReference w:type="first" r:id="rId652"/>
          <w:pgSz w:w="12290" w:h="15883"/>
          <w:pgMar w:top="850" w:right="1786" w:bottom="619" w:left="302" w:header="353" w:footer="720" w:gutter="0"/>
          <w:cols w:space="720"/>
        </w:sectPr>
      </w:pPr>
    </w:p>
    <w:p w14:paraId="195AE67F" w14:textId="77777777" w:rsidR="00053D93" w:rsidRDefault="00260B75">
      <w:pPr>
        <w:spacing w:after="213"/>
        <w:ind w:left="1656"/>
        <w:jc w:val="center"/>
      </w:pPr>
      <w:r>
        <w:rPr>
          <w:rFonts w:ascii="Courier New" w:eastAsia="Courier New" w:hAnsi="Courier New" w:cs="Courier New"/>
          <w:sz w:val="12"/>
        </w:rPr>
        <w:lastRenderedPageBreak/>
        <w:t>es</w:t>
      </w:r>
    </w:p>
    <w:p w14:paraId="4F49511B" w14:textId="77777777" w:rsidR="00053D93" w:rsidRDefault="00260B75">
      <w:pPr>
        <w:spacing w:after="48"/>
        <w:ind w:left="1699"/>
      </w:pPr>
      <w:r>
        <w:rPr>
          <w:noProof/>
        </w:rPr>
        <mc:AlternateContent>
          <mc:Choice Requires="wpg">
            <w:drawing>
              <wp:inline distT="0" distB="0" distL="0" distR="0" wp14:anchorId="0B6CD6B0" wp14:editId="6974C233">
                <wp:extent cx="5385816" cy="9144"/>
                <wp:effectExtent l="0" t="0" r="0" b="0"/>
                <wp:docPr id="2458352" name="Group 2458352"/>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351" name="Shape 2458351"/>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52" style="width:424.08pt;height:0.720001pt;mso-position-horizontal-relative:char;mso-position-vertical-relative:line" coordsize="53858,91">
                <v:shape id="Shape 2458351" style="position:absolute;width:53858;height:91;left:0;top:0;" coordsize="5385816,9144" path="m0,4572l5385816,4572">
                  <v:stroke weight="0.720001pt" endcap="flat" joinstyle="miter" miterlimit="1" on="true" color="#000000"/>
                  <v:fill on="false" color="#000000"/>
                </v:shape>
              </v:group>
            </w:pict>
          </mc:Fallback>
        </mc:AlternateContent>
      </w:r>
    </w:p>
    <w:tbl>
      <w:tblPr>
        <w:tblStyle w:val="TableGrid"/>
        <w:tblpPr w:vertAnchor="page" w:horzAnchor="page" w:tblpX="2877" w:tblpY="14587"/>
        <w:tblOverlap w:val="never"/>
        <w:tblW w:w="7628" w:type="dxa"/>
        <w:tblInd w:w="0" w:type="dxa"/>
        <w:tblCellMar>
          <w:top w:w="21" w:type="dxa"/>
          <w:left w:w="1738" w:type="dxa"/>
          <w:right w:w="115" w:type="dxa"/>
        </w:tblCellMar>
        <w:tblLook w:val="04A0" w:firstRow="1" w:lastRow="0" w:firstColumn="1" w:lastColumn="0" w:noHBand="0" w:noVBand="1"/>
      </w:tblPr>
      <w:tblGrid>
        <w:gridCol w:w="7628"/>
      </w:tblGrid>
      <w:tr w:rsidR="00053D93" w14:paraId="425C9F36" w14:textId="77777777">
        <w:trPr>
          <w:trHeight w:val="40"/>
        </w:trPr>
        <w:tc>
          <w:tcPr>
            <w:tcW w:w="7628" w:type="dxa"/>
            <w:tcBorders>
              <w:top w:val="nil"/>
              <w:left w:val="single" w:sz="2" w:space="0" w:color="000000"/>
              <w:bottom w:val="single" w:sz="2" w:space="0" w:color="000000"/>
              <w:right w:val="nil"/>
            </w:tcBorders>
          </w:tcPr>
          <w:p w14:paraId="4AB950C6" w14:textId="77777777" w:rsidR="00053D93" w:rsidRDefault="00053D93"/>
        </w:tc>
      </w:tr>
      <w:tr w:rsidR="00053D93" w14:paraId="6479B7E4" w14:textId="77777777">
        <w:trPr>
          <w:trHeight w:val="593"/>
        </w:trPr>
        <w:tc>
          <w:tcPr>
            <w:tcW w:w="7628" w:type="dxa"/>
            <w:tcBorders>
              <w:top w:val="single" w:sz="2" w:space="0" w:color="000000"/>
              <w:left w:val="single" w:sz="2" w:space="0" w:color="000000"/>
              <w:bottom w:val="nil"/>
              <w:right w:val="nil"/>
            </w:tcBorders>
          </w:tcPr>
          <w:p w14:paraId="7654A7F1" w14:textId="77777777" w:rsidR="00053D93" w:rsidRDefault="00260B75">
            <w:pPr>
              <w:ind w:left="835"/>
            </w:pPr>
            <w:r>
              <w:rPr>
                <w:sz w:val="14"/>
              </w:rPr>
              <w:lastRenderedPageBreak/>
              <w:t>MINISTERIO DE EDUCACION</w:t>
            </w:r>
          </w:p>
          <w:p w14:paraId="28BBB3C6" w14:textId="77777777" w:rsidR="00053D93" w:rsidRDefault="00260B75">
            <w:pPr>
              <w:ind w:left="346"/>
            </w:pPr>
            <w:r>
              <w:rPr>
                <w:sz w:val="14"/>
              </w:rPr>
              <w:t>AUDITORÍA FINANCIERA Y DE CUMPLIMIENTO</w:t>
            </w:r>
          </w:p>
          <w:p w14:paraId="43EC8A12" w14:textId="77777777" w:rsidR="00053D93" w:rsidRDefault="00260B75">
            <w:pPr>
              <w:tabs>
                <w:tab w:val="center" w:pos="2034"/>
              </w:tabs>
            </w:pPr>
            <w:r>
              <w:rPr>
                <w:sz w:val="14"/>
              </w:rPr>
              <w:t xml:space="preserve">PERfODO </w:t>
            </w:r>
            <w:r>
              <w:rPr>
                <w:sz w:val="14"/>
              </w:rPr>
              <w:tab/>
              <w:t>01 DE ENERO AL 31 OE DICIEMBRE 2024</w:t>
            </w:r>
          </w:p>
        </w:tc>
      </w:tr>
    </w:tbl>
    <w:p w14:paraId="2C90A07D" w14:textId="77777777" w:rsidR="00053D93" w:rsidRDefault="00260B75">
      <w:pPr>
        <w:spacing w:after="17" w:line="247" w:lineRule="auto"/>
        <w:ind w:left="14" w:right="14" w:firstLine="1699"/>
        <w:jc w:val="both"/>
      </w:pPr>
      <w:r>
        <w:rPr>
          <w:noProof/>
        </w:rPr>
        <w:drawing>
          <wp:anchor distT="0" distB="0" distL="114300" distR="114300" simplePos="0" relativeHeight="251953152" behindDoc="0" locked="0" layoutInCell="1" allowOverlap="0" wp14:anchorId="3F4B1B6F" wp14:editId="3F68434C">
            <wp:simplePos x="0" y="0"/>
            <wp:positionH relativeFrom="page">
              <wp:posOffset>685800</wp:posOffset>
            </wp:positionH>
            <wp:positionV relativeFrom="page">
              <wp:posOffset>9262873</wp:posOffset>
            </wp:positionV>
            <wp:extent cx="1115568" cy="406908"/>
            <wp:effectExtent l="0" t="0" r="0" b="0"/>
            <wp:wrapTopAndBottom/>
            <wp:docPr id="414531" name="Picture 414531"/>
            <wp:cNvGraphicFramePr/>
            <a:graphic xmlns:a="http://schemas.openxmlformats.org/drawingml/2006/main">
              <a:graphicData uri="http://schemas.openxmlformats.org/drawingml/2006/picture">
                <pic:pic xmlns:pic="http://schemas.openxmlformats.org/drawingml/2006/picture">
                  <pic:nvPicPr>
                    <pic:cNvPr id="414531" name="Picture 414531"/>
                    <pic:cNvPicPr/>
                  </pic:nvPicPr>
                  <pic:blipFill>
                    <a:blip r:embed="rId653"/>
                    <a:stretch>
                      <a:fillRect/>
                    </a:stretch>
                  </pic:blipFill>
                  <pic:spPr>
                    <a:xfrm>
                      <a:off x="0" y="0"/>
                      <a:ext cx="1115568" cy="406908"/>
                    </a:xfrm>
                    <a:prstGeom prst="rect">
                      <a:avLst/>
                    </a:prstGeom>
                  </pic:spPr>
                </pic:pic>
              </a:graphicData>
            </a:graphic>
          </wp:anchor>
        </w:drawing>
      </w:r>
      <w:r>
        <w:rPr>
          <w:noProof/>
        </w:rPr>
        <mc:AlternateContent>
          <mc:Choice Requires="wpg">
            <w:drawing>
              <wp:anchor distT="0" distB="0" distL="114300" distR="114300" simplePos="0" relativeHeight="251954176" behindDoc="0" locked="0" layoutInCell="1" allowOverlap="1" wp14:anchorId="1DEA8983" wp14:editId="49AA2455">
                <wp:simplePos x="0" y="0"/>
                <wp:positionH relativeFrom="column">
                  <wp:posOffset>18288</wp:posOffset>
                </wp:positionH>
                <wp:positionV relativeFrom="paragraph">
                  <wp:posOffset>1967443</wp:posOffset>
                </wp:positionV>
                <wp:extent cx="146304" cy="292608"/>
                <wp:effectExtent l="0" t="0" r="0" b="0"/>
                <wp:wrapSquare wrapText="bothSides"/>
                <wp:docPr id="2455539" name="Group 2455539"/>
                <wp:cNvGraphicFramePr/>
                <a:graphic xmlns:a="http://schemas.openxmlformats.org/drawingml/2006/main">
                  <a:graphicData uri="http://schemas.microsoft.com/office/word/2010/wordprocessingGroup">
                    <wpg:wgp>
                      <wpg:cNvGrpSpPr/>
                      <wpg:grpSpPr>
                        <a:xfrm>
                          <a:off x="0" y="0"/>
                          <a:ext cx="146304" cy="292608"/>
                          <a:chOff x="0" y="0"/>
                          <a:chExt cx="146304" cy="292608"/>
                        </a:xfrm>
                      </wpg:grpSpPr>
                      <wps:wsp>
                        <wps:cNvPr id="410670" name="Rectangle 410670"/>
                        <wps:cNvSpPr/>
                        <wps:spPr>
                          <a:xfrm>
                            <a:off x="0" y="0"/>
                            <a:ext cx="194584" cy="389169"/>
                          </a:xfrm>
                          <a:prstGeom prst="rect">
                            <a:avLst/>
                          </a:prstGeom>
                          <a:ln>
                            <a:noFill/>
                          </a:ln>
                        </wps:spPr>
                        <wps:txbx>
                          <w:txbxContent>
                            <w:p w14:paraId="1B6FD0A0" w14:textId="77777777" w:rsidR="00053D93" w:rsidRDefault="00260B75">
                              <w:r>
                                <w:rPr>
                                  <w:rFonts w:ascii="Times New Roman" w:eastAsia="Times New Roman" w:hAnsi="Times New Roman" w:cs="Times New Roman"/>
                                  <w:sz w:val="88"/>
                                </w:rPr>
                                <w:t>1</w:t>
                              </w:r>
                            </w:p>
                          </w:txbxContent>
                        </wps:txbx>
                        <wps:bodyPr horzOverflow="overflow" vert="horz" lIns="0" tIns="0" rIns="0" bIns="0" rtlCol="0">
                          <a:noAutofit/>
                        </wps:bodyPr>
                      </wps:wsp>
                    </wpg:wgp>
                  </a:graphicData>
                </a:graphic>
              </wp:anchor>
            </w:drawing>
          </mc:Choice>
          <mc:Fallback>
            <w:pict>
              <v:group w14:anchorId="1DEA8983" id="Group 2455539" o:spid="_x0000_s1275" style="position:absolute;left:0;text-align:left;margin-left:1.45pt;margin-top:154.9pt;width:11.5pt;height:23.05pt;z-index:251954176;mso-position-horizontal-relative:text;mso-position-vertical-relative:text" coordsize="14630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">
                <v:rect id="Rectangle 410670" o:spid="_x0000_s1276" style="position:absolute;width:194584;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" filled="f" stroked="f">
                  <v:textbox inset="0,0,0,0">
                    <w:txbxContent>
                      <w:p w14:paraId="1B6FD0A0" w14:textId="77777777" w:rsidR="00053D93" w:rsidRDefault="00260B75">
                        <w:r>
                          <w:rPr>
                            <w:rFonts w:ascii="Times New Roman" w:eastAsia="Times New Roman" w:hAnsi="Times New Roman" w:cs="Times New Roman"/>
                            <w:sz w:val="88"/>
                          </w:rPr>
                          <w:t>1</w:t>
                        </w:r>
                      </w:p>
                    </w:txbxContent>
                  </v:textbox>
                </v:rect>
                <w10:wrap type="square"/>
              </v:group>
            </w:pict>
          </mc:Fallback>
        </mc:AlternateContent>
      </w:r>
      <w:r>
        <w:rPr>
          <w:noProof/>
        </w:rPr>
        <mc:AlternateContent>
          <mc:Choice Requires="wpg">
            <w:drawing>
              <wp:anchor distT="0" distB="0" distL="114300" distR="114300" simplePos="0" relativeHeight="251955200" behindDoc="0" locked="0" layoutInCell="1" allowOverlap="1" wp14:anchorId="1F409E22" wp14:editId="0CFF3C3F">
                <wp:simplePos x="0" y="0"/>
                <wp:positionH relativeFrom="column">
                  <wp:posOffset>54864</wp:posOffset>
                </wp:positionH>
                <wp:positionV relativeFrom="paragraph">
                  <wp:posOffset>6608024</wp:posOffset>
                </wp:positionV>
                <wp:extent cx="114300" cy="292607"/>
                <wp:effectExtent l="0" t="0" r="0" b="0"/>
                <wp:wrapSquare wrapText="bothSides"/>
                <wp:docPr id="2455541" name="Group 2455541"/>
                <wp:cNvGraphicFramePr/>
                <a:graphic xmlns:a="http://schemas.openxmlformats.org/drawingml/2006/main">
                  <a:graphicData uri="http://schemas.microsoft.com/office/word/2010/wordprocessingGroup">
                    <wpg:wgp>
                      <wpg:cNvGrpSpPr/>
                      <wpg:grpSpPr>
                        <a:xfrm>
                          <a:off x="0" y="0"/>
                          <a:ext cx="114300" cy="292607"/>
                          <a:chOff x="0" y="0"/>
                          <a:chExt cx="114300" cy="292607"/>
                        </a:xfrm>
                      </wpg:grpSpPr>
                      <wps:wsp>
                        <wps:cNvPr id="410678" name="Rectangle 410678"/>
                        <wps:cNvSpPr/>
                        <wps:spPr>
                          <a:xfrm>
                            <a:off x="0" y="0"/>
                            <a:ext cx="152019" cy="389167"/>
                          </a:xfrm>
                          <a:prstGeom prst="rect">
                            <a:avLst/>
                          </a:prstGeom>
                          <a:ln>
                            <a:noFill/>
                          </a:ln>
                        </wps:spPr>
                        <wps:txbx>
                          <w:txbxContent>
                            <w:p w14:paraId="348CBFEE"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1F409E22" id="Group 2455541" o:spid="_x0000_s1277" style="position:absolute;left:0;text-align:left;margin-left:4.3pt;margin-top:520.3pt;width:9pt;height:23.05pt;z-index:251955200;mso-position-horizontal-relative:text;mso-position-vertical-relative:text" coordsize="114300,292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">
                <v:rect id="Rectangle 410678" o:spid="_x0000_s1278" style="position:absolute;width:152019;height:389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" filled="f" stroked="f">
                  <v:textbox inset="0,0,0,0">
                    <w:txbxContent>
                      <w:p w14:paraId="348CBFEE"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sz w:val="26"/>
        </w:rPr>
        <w:t xml:space="preserve">todavía en ese momento no había ninguna persona nombrada como titular de la plaza. Esa resolución la debía yo de emitir, como máximo plazo, a partir del día hábil siguiente a la fecha en que se vencían los 6 meses del plazo para el nombramiento hecho el 19 de abril de 2023. Y, para poder tener claro el panorama, el importante llamar la atención a que e' 19 de octubre de 2023 cayó jueves y que el viernes 20 de octubre fue asueto nacional. De esa suerte, el siguiente día hábil era el [unes 23 de octubre, momento en el que debía yo emitir la resolución para un nuevo nombramiento para ocupar ese puesto. Sin embargo, como ya se ha establecido, yo dejé de ocupar el cargo de Director General de la DIGEF en la primera hora del 23 de octubre de 2023... así que me fue imposible poder emitir la resolución para un nuevo nombramiento. En conclusión, luego de presentar toda la información relevante, puedo afirmar que no tuve ninguna responsabilidad en los nombramientos de los 14 servidores públicos que se </w:t>
      </w:r>
      <w:r>
        <w:rPr>
          <w:noProof/>
        </w:rPr>
        <mc:AlternateContent>
          <mc:Choice Requires="wpg">
            <w:drawing>
              <wp:inline distT="0" distB="0" distL="0" distR="0" wp14:anchorId="36B6F1B6" wp14:editId="2363AF22">
                <wp:extent cx="141732" cy="292608"/>
                <wp:effectExtent l="0" t="0" r="0" b="0"/>
                <wp:docPr id="2455540" name="Group 2455540"/>
                <wp:cNvGraphicFramePr/>
                <a:graphic xmlns:a="http://schemas.openxmlformats.org/drawingml/2006/main">
                  <a:graphicData uri="http://schemas.microsoft.com/office/word/2010/wordprocessingGroup">
                    <wpg:wgp>
                      <wpg:cNvGrpSpPr/>
                      <wpg:grpSpPr>
                        <a:xfrm>
                          <a:off x="0" y="0"/>
                          <a:ext cx="141732" cy="292608"/>
                          <a:chOff x="0" y="0"/>
                          <a:chExt cx="141732" cy="292608"/>
                        </a:xfrm>
                      </wpg:grpSpPr>
                      <wps:wsp>
                        <wps:cNvPr id="410671" name="Rectangle 410671"/>
                        <wps:cNvSpPr/>
                        <wps:spPr>
                          <a:xfrm>
                            <a:off x="0" y="0"/>
                            <a:ext cx="188504" cy="389169"/>
                          </a:xfrm>
                          <a:prstGeom prst="rect">
                            <a:avLst/>
                          </a:prstGeom>
                          <a:ln>
                            <a:noFill/>
                          </a:ln>
                        </wps:spPr>
                        <wps:txbx>
                          <w:txbxContent>
                            <w:p w14:paraId="5D08D8CE"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inline>
            </w:drawing>
          </mc:Choice>
          <mc:Fallback>
            <w:pict>
              <v:group w14:anchorId="36B6F1B6" id="Group 2455540" o:spid="_x0000_s1279" style="width:11.15pt;height:23.05pt;mso-position-horizontal-relative:char;mso-position-vertical-relative:line" coordsize="14173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">
                <v:rect id="Rectangle 410671" o:spid="_x0000_s1280" style="position:absolute;width:188504;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" filled="f" stroked="f">
                  <v:textbox inset="0,0,0,0">
                    <w:txbxContent>
                      <w:p w14:paraId="5D08D8CE" w14:textId="77777777" w:rsidR="00053D93" w:rsidRDefault="00260B75">
                        <w:r>
                          <w:rPr>
                            <w:rFonts w:ascii="Times New Roman" w:eastAsia="Times New Roman" w:hAnsi="Times New Roman" w:cs="Times New Roman"/>
                            <w:sz w:val="86"/>
                          </w:rPr>
                          <w:t>1</w:t>
                        </w:r>
                      </w:p>
                    </w:txbxContent>
                  </v:textbox>
                </v:rect>
                <w10:anchorlock/>
              </v:group>
            </w:pict>
          </mc:Fallback>
        </mc:AlternateContent>
      </w:r>
      <w:r>
        <w:rPr>
          <w:sz w:val="26"/>
        </w:rPr>
        <w:t xml:space="preserve"> excedieron del plazo de 6 meses que permite la Ley de Servicio Civil para ocupar los puestos provisionales, en 5 de ellos porque los servidores públicos responsables de asegurar el cumplimiento de esa normativa no lo hicieron de mi conocimiento, como es su obligación y responsabilidad, en 8 casos porque fueron hechos en fechas en las que yo ya no era el Director General de la DIGEF, y en el </w:t>
      </w:r>
      <w:r>
        <w:rPr>
          <w:rFonts w:ascii="Times New Roman" w:eastAsia="Times New Roman" w:hAnsi="Times New Roman" w:cs="Times New Roman"/>
          <w:sz w:val="26"/>
        </w:rPr>
        <w:t xml:space="preserve">1 </w:t>
      </w:r>
      <w:r>
        <w:rPr>
          <w:sz w:val="26"/>
        </w:rPr>
        <w:t xml:space="preserve">otro caso porque el día en que se debía de emitir un nuevo nombramiento ya no tenía yo la competencia para hacerlo. 2. Resoluciones para designar la ocupación de puestos interinos, con servidores públicos que no cumplen con el perfil del </w:t>
      </w:r>
      <w:r>
        <w:rPr>
          <w:rFonts w:ascii="Times New Roman" w:eastAsia="Times New Roman" w:hAnsi="Times New Roman" w:cs="Times New Roman"/>
          <w:sz w:val="26"/>
        </w:rPr>
        <w:t xml:space="preserve">1 </w:t>
      </w:r>
      <w:r>
        <w:rPr>
          <w:sz w:val="26"/>
        </w:rPr>
        <w:t xml:space="preserve">puesto Con relación a las resoluciones para designar a los 7 servidores públicos que no cumplieron con el perfil del puesto que cubrieron... transcribe el resultado del procedimiento de auditoría al evaluar los expedientes de personal y los </w:t>
      </w:r>
      <w:r>
        <w:rPr>
          <w:rFonts w:ascii="Times New Roman" w:eastAsia="Times New Roman" w:hAnsi="Times New Roman" w:cs="Times New Roman"/>
          <w:sz w:val="26"/>
        </w:rPr>
        <w:t xml:space="preserve">-1 </w:t>
      </w:r>
      <w:r>
        <w:rPr>
          <w:sz w:val="26"/>
        </w:rPr>
        <w:t xml:space="preserve">puestos interinos cubiertos durante el período comprendido del 01 de enero al 31 de diciembre de 2024 del renglón presupuestario 01 1 Personal permanente... se </w:t>
      </w:r>
      <w:r>
        <w:rPr>
          <w:rFonts w:ascii="Times New Roman" w:eastAsia="Times New Roman" w:hAnsi="Times New Roman" w:cs="Times New Roman"/>
          <w:sz w:val="26"/>
        </w:rPr>
        <w:t xml:space="preserve">-1 </w:t>
      </w:r>
      <w:r>
        <w:rPr>
          <w:sz w:val="26"/>
        </w:rPr>
        <w:t xml:space="preserve">puede notar con facilidad que 4 de los 7 nombramientos... que aparecen allí fueron hechos en fechas posteriores al 23 de octubre de 2023, fecha en la que yo dejé el puesto de Director General de la DIGEF... y, por tanto, no tengo </w:t>
      </w:r>
      <w:r>
        <w:rPr>
          <w:rFonts w:ascii="Times New Roman" w:eastAsia="Times New Roman" w:hAnsi="Times New Roman" w:cs="Times New Roman"/>
          <w:sz w:val="26"/>
        </w:rPr>
        <w:t xml:space="preserve">1 </w:t>
      </w:r>
      <w:r>
        <w:rPr>
          <w:sz w:val="26"/>
        </w:rPr>
        <w:t xml:space="preserve">responsabilidad en ellos. Por otra parte, hay 3 nombramientos... que fueron hechos en fechas anteriores al momento en que yo empecé a gestionar en el puesto como Director General de la DIGEF. En estos 3 casos es necesario hacer </w:t>
      </w:r>
      <w:r>
        <w:rPr>
          <w:rFonts w:ascii="Times New Roman" w:eastAsia="Times New Roman" w:hAnsi="Times New Roman" w:cs="Times New Roman"/>
          <w:sz w:val="26"/>
        </w:rPr>
        <w:t xml:space="preserve">-1 </w:t>
      </w:r>
      <w:r>
        <w:rPr>
          <w:sz w:val="26"/>
        </w:rPr>
        <w:t xml:space="preserve">énfasis de que en ningún momento fue hecho de mi conocimiento que esos las personas nombradas no cumplieran con el perfil del puesto que cubrían para que yo pudiera tomar las acciones que correspondían. Haberme informado, como ya se estableció en páginas anteriores, es responsabilidad del Jefe de Acciones de Personal que debía de informar al Coordinador de Recursos Humanos, este al Subdirector General Administrativo y este último a mi como Director General de la DIGEF. Con esta información presente, se puede concluir que no tuve ninguna responsabilidad por ninguno de esos los nombramientos de ninguno de los 7 </w:t>
      </w:r>
      <w:r>
        <w:rPr>
          <w:rFonts w:ascii="Times New Roman" w:eastAsia="Times New Roman" w:hAnsi="Times New Roman" w:cs="Times New Roman"/>
          <w:sz w:val="26"/>
        </w:rPr>
        <w:t xml:space="preserve">-1 </w:t>
      </w:r>
      <w:r>
        <w:rPr>
          <w:sz w:val="26"/>
        </w:rPr>
        <w:t xml:space="preserve">servidores públicos que no cumplieron con el perfil del puesto que cubrieron. En conclusión, puedo afirmar de la manera más enfática que yo, en mi función de </w:t>
      </w:r>
      <w:r>
        <w:rPr>
          <w:rFonts w:ascii="Times New Roman" w:eastAsia="Times New Roman" w:hAnsi="Times New Roman" w:cs="Times New Roman"/>
          <w:sz w:val="26"/>
        </w:rPr>
        <w:t xml:space="preserve">1 </w:t>
      </w:r>
      <w:r>
        <w:rPr>
          <w:sz w:val="26"/>
        </w:rPr>
        <w:t>Director General de DIGEF NO tuve ninguna responsabilidad en los 14</w:t>
      </w:r>
    </w:p>
    <w:p w14:paraId="43699C26" w14:textId="77777777" w:rsidR="00053D93" w:rsidRDefault="00260B75">
      <w:pPr>
        <w:tabs>
          <w:tab w:val="center" w:pos="6011"/>
          <w:tab w:val="center" w:pos="6887"/>
        </w:tabs>
        <w:spacing w:after="243" w:line="265" w:lineRule="auto"/>
      </w:pPr>
      <w:r>
        <w:rPr>
          <w:sz w:val="14"/>
        </w:rPr>
        <w:tab/>
      </w:r>
      <w:r>
        <w:rPr>
          <w:noProof/>
        </w:rPr>
        <w:drawing>
          <wp:inline distT="0" distB="0" distL="0" distR="0" wp14:anchorId="424260ED" wp14:editId="078D3912">
            <wp:extent cx="32004" cy="9144"/>
            <wp:effectExtent l="0" t="0" r="0" b="0"/>
            <wp:docPr id="418498" name="Picture 418498"/>
            <wp:cNvGraphicFramePr/>
            <a:graphic xmlns:a="http://schemas.openxmlformats.org/drawingml/2006/main">
              <a:graphicData uri="http://schemas.openxmlformats.org/drawingml/2006/picture">
                <pic:pic xmlns:pic="http://schemas.openxmlformats.org/drawingml/2006/picture">
                  <pic:nvPicPr>
                    <pic:cNvPr id="418498" name="Picture 418498"/>
                    <pic:cNvPicPr/>
                  </pic:nvPicPr>
                  <pic:blipFill>
                    <a:blip r:embed="rId654"/>
                    <a:stretch>
                      <a:fillRect/>
                    </a:stretch>
                  </pic:blipFill>
                  <pic:spPr>
                    <a:xfrm>
                      <a:off x="0" y="0"/>
                      <a:ext cx="32004" cy="9144"/>
                    </a:xfrm>
                    <a:prstGeom prst="rect">
                      <a:avLst/>
                    </a:prstGeom>
                  </pic:spPr>
                </pic:pic>
              </a:graphicData>
            </a:graphic>
          </wp:inline>
        </w:drawing>
      </w:r>
      <w:r>
        <w:rPr>
          <w:sz w:val="14"/>
        </w:rPr>
        <w:tab/>
        <w:t xml:space="preserve">OE </w:t>
      </w:r>
    </w:p>
    <w:p w14:paraId="4598353F" w14:textId="77777777" w:rsidR="00053D93" w:rsidRDefault="00260B75">
      <w:pPr>
        <w:spacing w:after="46"/>
        <w:ind w:left="1714" w:right="-14"/>
      </w:pPr>
      <w:r>
        <w:rPr>
          <w:noProof/>
        </w:rPr>
        <mc:AlternateContent>
          <mc:Choice Requires="wpg">
            <w:drawing>
              <wp:inline distT="0" distB="0" distL="0" distR="0" wp14:anchorId="4FD31A44" wp14:editId="70A37B6A">
                <wp:extent cx="5381244" cy="9144"/>
                <wp:effectExtent l="0" t="0" r="0" b="0"/>
                <wp:docPr id="2458354" name="Group 2458354"/>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353" name="Shape 2458353"/>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54" style="width:423.72pt;height:0.720001pt;mso-position-horizontal-relative:char;mso-position-vertical-relative:line" coordsize="53812,91">
                <v:shape id="Shape 2458353" style="position:absolute;width:53812;height:91;left:0;top:0;" coordsize="5381244,9144" path="m0,4572l5381244,4572">
                  <v:stroke weight="0.720001pt" endcap="flat" joinstyle="miter" miterlimit="1" on="true" color="#000000"/>
                  <v:fill on="false" color="#000000"/>
                </v:shape>
              </v:group>
            </w:pict>
          </mc:Fallback>
        </mc:AlternateContent>
      </w:r>
    </w:p>
    <w:p w14:paraId="7B3F8AC0" w14:textId="77777777" w:rsidR="00053D93" w:rsidRDefault="00260B75">
      <w:pPr>
        <w:spacing w:after="594" w:line="247" w:lineRule="auto"/>
        <w:ind w:left="14" w:right="14" w:firstLine="4"/>
        <w:jc w:val="both"/>
      </w:pPr>
      <w:r>
        <w:rPr>
          <w:noProof/>
        </w:rPr>
        <w:lastRenderedPageBreak/>
        <mc:AlternateContent>
          <mc:Choice Requires="wpg">
            <w:drawing>
              <wp:anchor distT="0" distB="0" distL="114300" distR="114300" simplePos="0" relativeHeight="251956224" behindDoc="0" locked="0" layoutInCell="1" allowOverlap="1" wp14:anchorId="4AC2941C" wp14:editId="25B8C0BA">
                <wp:simplePos x="0" y="0"/>
                <wp:positionH relativeFrom="column">
                  <wp:posOffset>27432</wp:posOffset>
                </wp:positionH>
                <wp:positionV relativeFrom="paragraph">
                  <wp:posOffset>437018</wp:posOffset>
                </wp:positionV>
                <wp:extent cx="123444" cy="297180"/>
                <wp:effectExtent l="0" t="0" r="0" b="0"/>
                <wp:wrapSquare wrapText="bothSides"/>
                <wp:docPr id="2455545" name="Group 2455545"/>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415254" name="Rectangle 415254"/>
                        <wps:cNvSpPr/>
                        <wps:spPr>
                          <a:xfrm>
                            <a:off x="0" y="0"/>
                            <a:ext cx="164181" cy="395249"/>
                          </a:xfrm>
                          <a:prstGeom prst="rect">
                            <a:avLst/>
                          </a:prstGeom>
                          <a:ln>
                            <a:noFill/>
                          </a:ln>
                        </wps:spPr>
                        <wps:txbx>
                          <w:txbxContent>
                            <w:p w14:paraId="35996DCD" w14:textId="77777777" w:rsidR="00053D93" w:rsidRDefault="00260B75">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anchor>
            </w:drawing>
          </mc:Choice>
          <mc:Fallback>
            <w:pict>
              <v:group w14:anchorId="4AC2941C" id="Group 2455545" o:spid="_x0000_s1281" style="position:absolute;left:0;text-align:left;margin-left:2.15pt;margin-top:34.4pt;width:9.7pt;height:23.4pt;z-index:251956224;mso-position-horizontal-relative:text;mso-position-vertical-relative:text"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">
                <v:rect id="Rectangle 415254" o:spid="_x0000_s1282"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" filled="f" stroked="f">
                  <v:textbox inset="0,0,0,0">
                    <w:txbxContent>
                      <w:p w14:paraId="35996DCD" w14:textId="77777777" w:rsidR="00053D93" w:rsidRDefault="00260B75">
                        <w:r>
                          <w:rPr>
                            <w:rFonts w:ascii="Times New Roman" w:eastAsia="Times New Roman" w:hAnsi="Times New Roman" w:cs="Times New Roman"/>
                            <w:sz w:val="74"/>
                          </w:rPr>
                          <w:t>1</w:t>
                        </w:r>
                      </w:p>
                    </w:txbxContent>
                  </v:textbox>
                </v:rect>
                <w10:wrap type="square"/>
              </v:group>
            </w:pict>
          </mc:Fallback>
        </mc:AlternateContent>
      </w:r>
      <w:r>
        <w:rPr>
          <w:noProof/>
        </w:rPr>
        <w:drawing>
          <wp:anchor distT="0" distB="0" distL="114300" distR="114300" simplePos="0" relativeHeight="251957248" behindDoc="0" locked="0" layoutInCell="1" allowOverlap="0" wp14:anchorId="3BC66F25" wp14:editId="46A2B489">
            <wp:simplePos x="0" y="0"/>
            <wp:positionH relativeFrom="column">
              <wp:posOffset>22860</wp:posOffset>
            </wp:positionH>
            <wp:positionV relativeFrom="paragraph">
              <wp:posOffset>1552586</wp:posOffset>
            </wp:positionV>
            <wp:extent cx="9144" cy="18288"/>
            <wp:effectExtent l="0" t="0" r="0" b="0"/>
            <wp:wrapSquare wrapText="bothSides"/>
            <wp:docPr id="418500" name="Picture 418500"/>
            <wp:cNvGraphicFramePr/>
            <a:graphic xmlns:a="http://schemas.openxmlformats.org/drawingml/2006/main">
              <a:graphicData uri="http://schemas.openxmlformats.org/drawingml/2006/picture">
                <pic:pic xmlns:pic="http://schemas.openxmlformats.org/drawingml/2006/picture">
                  <pic:nvPicPr>
                    <pic:cNvPr id="418500" name="Picture 418500"/>
                    <pic:cNvPicPr/>
                  </pic:nvPicPr>
                  <pic:blipFill>
                    <a:blip r:embed="rId655"/>
                    <a:stretch>
                      <a:fillRect/>
                    </a:stretch>
                  </pic:blipFill>
                  <pic:spPr>
                    <a:xfrm>
                      <a:off x="0" y="0"/>
                      <a:ext cx="9144" cy="18288"/>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nombramientos que se excedieron del plazo de los 6 meses establecidos en la Ley de Servicio Civil porque, ni estuve en funciones en el momento en que se hicieron o no estuve en el momento en que se debían de revocar y, en la varios casos, porque se hicieron antes de mi gestión y los seNidores púbicos responsables de esos procesos en ningún momento lo hicieron de mi conocimiento para que </w:t>
      </w:r>
      <w:r>
        <w:rPr>
          <w:rFonts w:ascii="Times New Roman" w:eastAsia="Times New Roman" w:hAnsi="Times New Roman" w:cs="Times New Roman"/>
          <w:sz w:val="26"/>
        </w:rPr>
        <w:t xml:space="preserve">1 </w:t>
      </w:r>
      <w:r>
        <w:rPr>
          <w:sz w:val="26"/>
        </w:rPr>
        <w:t xml:space="preserve">pudiera yo tomar las acciones correspondientes. Además, NO tuve responsabilidad en los 7 nombramientos servidores públicos que no cumplieron con el perfil del puesto que cubrieron porque, en algunos casos, no estuve en </w:t>
      </w:r>
      <w:r>
        <w:rPr>
          <w:rFonts w:ascii="Times New Roman" w:eastAsia="Times New Roman" w:hAnsi="Times New Roman" w:cs="Times New Roman"/>
          <w:sz w:val="26"/>
        </w:rPr>
        <w:t xml:space="preserve">1 </w:t>
      </w:r>
      <w:r>
        <w:rPr>
          <w:sz w:val="26"/>
        </w:rPr>
        <w:t xml:space="preserve">funciones en el momento en que se hicieron y, en los otros casos, porque se hicieron antes de mi gestión y los servidores púbicos responsables de esos </w:t>
      </w:r>
      <w:r>
        <w:rPr>
          <w:rFonts w:ascii="Times New Roman" w:eastAsia="Times New Roman" w:hAnsi="Times New Roman" w:cs="Times New Roman"/>
          <w:sz w:val="26"/>
        </w:rPr>
        <w:t xml:space="preserve">1 </w:t>
      </w:r>
      <w:r>
        <w:rPr>
          <w:sz w:val="26"/>
        </w:rPr>
        <w:t>procesos en ningún momento lo hicieron de mi conocimiento para que pudiera yo tomar las acciones correspondientes... "</w:t>
      </w:r>
    </w:p>
    <w:p w14:paraId="4FBAD1EC" w14:textId="77777777" w:rsidR="00053D93" w:rsidRDefault="00260B75">
      <w:pPr>
        <w:spacing w:after="17" w:line="346" w:lineRule="auto"/>
        <w:ind w:left="1684" w:right="14" w:hanging="1670"/>
        <w:jc w:val="both"/>
      </w:pPr>
      <w:r>
        <w:rPr>
          <w:rFonts w:ascii="Times New Roman" w:eastAsia="Times New Roman" w:hAnsi="Times New Roman" w:cs="Times New Roman"/>
          <w:sz w:val="26"/>
        </w:rPr>
        <w:t xml:space="preserve">1 </w:t>
      </w:r>
      <w:r>
        <w:rPr>
          <w:sz w:val="26"/>
        </w:rPr>
        <w:t>En nota s/n del 20 de abril de 2025, el licenciado Willy René Gil Quiñonez, quien fungió como Director General, por el período comprendido del 25 de enero de 2024 al 30 de septiembre de 2024, manifiesta: 1. El estar fuera del cargo puede</w:t>
      </w:r>
    </w:p>
    <w:p w14:paraId="4D143369" w14:textId="77777777" w:rsidR="00053D93" w:rsidRDefault="00260B75">
      <w:pPr>
        <w:spacing w:after="4"/>
        <w:ind w:left="36"/>
      </w:pPr>
      <w:r>
        <w:rPr>
          <w:noProof/>
        </w:rPr>
        <w:drawing>
          <wp:inline distT="0" distB="0" distL="0" distR="0" wp14:anchorId="6AF4BA4B" wp14:editId="499BB6DF">
            <wp:extent cx="13716" cy="18288"/>
            <wp:effectExtent l="0" t="0" r="0" b="0"/>
            <wp:docPr id="418501" name="Picture 418501"/>
            <wp:cNvGraphicFramePr/>
            <a:graphic xmlns:a="http://schemas.openxmlformats.org/drawingml/2006/main">
              <a:graphicData uri="http://schemas.openxmlformats.org/drawingml/2006/picture">
                <pic:pic xmlns:pic="http://schemas.openxmlformats.org/drawingml/2006/picture">
                  <pic:nvPicPr>
                    <pic:cNvPr id="418501" name="Picture 418501"/>
                    <pic:cNvPicPr/>
                  </pic:nvPicPr>
                  <pic:blipFill>
                    <a:blip r:embed="rId656"/>
                    <a:stretch>
                      <a:fillRect/>
                    </a:stretch>
                  </pic:blipFill>
                  <pic:spPr>
                    <a:xfrm>
                      <a:off x="0" y="0"/>
                      <a:ext cx="13716" cy="18288"/>
                    </a:xfrm>
                    <a:prstGeom prst="rect">
                      <a:avLst/>
                    </a:prstGeom>
                  </pic:spPr>
                </pic:pic>
              </a:graphicData>
            </a:graphic>
          </wp:inline>
        </w:drawing>
      </w:r>
    </w:p>
    <w:tbl>
      <w:tblPr>
        <w:tblStyle w:val="TableGrid"/>
        <w:tblpPr w:vertAnchor="page" w:horzAnchor="page" w:tblpX="2844" w:tblpY="14551"/>
        <w:tblOverlap w:val="never"/>
        <w:tblW w:w="7632" w:type="dxa"/>
        <w:tblInd w:w="0" w:type="dxa"/>
        <w:tblCellMar>
          <w:top w:w="29" w:type="dxa"/>
          <w:left w:w="1750" w:type="dxa"/>
          <w:right w:w="115" w:type="dxa"/>
        </w:tblCellMar>
        <w:tblLook w:val="04A0" w:firstRow="1" w:lastRow="0" w:firstColumn="1" w:lastColumn="0" w:noHBand="0" w:noVBand="1"/>
      </w:tblPr>
      <w:tblGrid>
        <w:gridCol w:w="7632"/>
      </w:tblGrid>
      <w:tr w:rsidR="00053D93" w14:paraId="2CC8B1A5" w14:textId="77777777">
        <w:trPr>
          <w:trHeight w:val="50"/>
        </w:trPr>
        <w:tc>
          <w:tcPr>
            <w:tcW w:w="7632" w:type="dxa"/>
            <w:tcBorders>
              <w:top w:val="nil"/>
              <w:left w:val="single" w:sz="2" w:space="0" w:color="000000"/>
              <w:bottom w:val="single" w:sz="2" w:space="0" w:color="000000"/>
              <w:right w:val="nil"/>
            </w:tcBorders>
          </w:tcPr>
          <w:p w14:paraId="1B051378" w14:textId="77777777" w:rsidR="00053D93" w:rsidRDefault="00053D93"/>
        </w:tc>
      </w:tr>
      <w:tr w:rsidR="00053D93" w14:paraId="66EDA92E" w14:textId="77777777">
        <w:trPr>
          <w:trHeight w:val="583"/>
        </w:trPr>
        <w:tc>
          <w:tcPr>
            <w:tcW w:w="7632" w:type="dxa"/>
            <w:tcBorders>
              <w:top w:val="single" w:sz="2" w:space="0" w:color="000000"/>
              <w:left w:val="single" w:sz="2" w:space="0" w:color="000000"/>
              <w:bottom w:val="nil"/>
              <w:right w:val="nil"/>
            </w:tcBorders>
          </w:tcPr>
          <w:p w14:paraId="2A53D29F" w14:textId="77777777" w:rsidR="00053D93" w:rsidRDefault="00260B75">
            <w:pPr>
              <w:ind w:left="828"/>
            </w:pPr>
            <w:r>
              <w:rPr>
                <w:sz w:val="14"/>
              </w:rPr>
              <w:lastRenderedPageBreak/>
              <w:t>MINISTERIO DE EDUCACtON</w:t>
            </w:r>
          </w:p>
          <w:p w14:paraId="6CC3E2C5" w14:textId="77777777" w:rsidR="00053D93" w:rsidRDefault="00260B75">
            <w:pPr>
              <w:ind w:left="331"/>
            </w:pPr>
            <w:r>
              <w:rPr>
                <w:sz w:val="14"/>
              </w:rPr>
              <w:t>AUDITORIA FINANCIERA Y DE CUMPLIMIENTO</w:t>
            </w:r>
          </w:p>
          <w:p w14:paraId="31DF8492" w14:textId="77777777" w:rsidR="00053D93" w:rsidRDefault="00260B75">
            <w:r>
              <w:rPr>
                <w:sz w:val="14"/>
              </w:rPr>
              <w:t>PERIODO DEL 01 DE ENERO AL 31 DE DICIEMBRE DE 2024</w:t>
            </w:r>
          </w:p>
        </w:tc>
      </w:tr>
    </w:tbl>
    <w:p w14:paraId="4680493D" w14:textId="77777777" w:rsidR="00053D93" w:rsidRDefault="00260B75">
      <w:pPr>
        <w:spacing w:after="17" w:line="300" w:lineRule="auto"/>
        <w:ind w:left="14" w:right="14" w:firstLine="50"/>
        <w:jc w:val="both"/>
      </w:pPr>
      <w:r>
        <w:rPr>
          <w:noProof/>
        </w:rPr>
        <w:drawing>
          <wp:anchor distT="0" distB="0" distL="114300" distR="114300" simplePos="0" relativeHeight="251958272" behindDoc="0" locked="0" layoutInCell="1" allowOverlap="0" wp14:anchorId="75C36AF1" wp14:editId="64EA88E6">
            <wp:simplePos x="0" y="0"/>
            <wp:positionH relativeFrom="page">
              <wp:posOffset>662940</wp:posOffset>
            </wp:positionH>
            <wp:positionV relativeFrom="page">
              <wp:posOffset>9235440</wp:posOffset>
            </wp:positionV>
            <wp:extent cx="1120140" cy="406908"/>
            <wp:effectExtent l="0" t="0" r="0" b="0"/>
            <wp:wrapTopAndBottom/>
            <wp:docPr id="418573" name="Picture 418573"/>
            <wp:cNvGraphicFramePr/>
            <a:graphic xmlns:a="http://schemas.openxmlformats.org/drawingml/2006/main">
              <a:graphicData uri="http://schemas.openxmlformats.org/drawingml/2006/picture">
                <pic:pic xmlns:pic="http://schemas.openxmlformats.org/drawingml/2006/picture">
                  <pic:nvPicPr>
                    <pic:cNvPr id="418573" name="Picture 418573"/>
                    <pic:cNvPicPr/>
                  </pic:nvPicPr>
                  <pic:blipFill>
                    <a:blip r:embed="rId657"/>
                    <a:stretch>
                      <a:fillRect/>
                    </a:stretch>
                  </pic:blipFill>
                  <pic:spPr>
                    <a:xfrm>
                      <a:off x="0" y="0"/>
                      <a:ext cx="1120140" cy="406908"/>
                    </a:xfrm>
                    <a:prstGeom prst="rect">
                      <a:avLst/>
                    </a:prstGeom>
                  </pic:spPr>
                </pic:pic>
              </a:graphicData>
            </a:graphic>
          </wp:anchor>
        </w:drawing>
      </w:r>
      <w:r>
        <w:rPr>
          <w:noProof/>
        </w:rPr>
        <w:drawing>
          <wp:anchor distT="0" distB="0" distL="114300" distR="114300" simplePos="0" relativeHeight="251959296" behindDoc="0" locked="0" layoutInCell="1" allowOverlap="0" wp14:anchorId="1492C862" wp14:editId="5E1E0F7F">
            <wp:simplePos x="0" y="0"/>
            <wp:positionH relativeFrom="page">
              <wp:posOffset>7077455</wp:posOffset>
            </wp:positionH>
            <wp:positionV relativeFrom="page">
              <wp:posOffset>950976</wp:posOffset>
            </wp:positionV>
            <wp:extent cx="9145" cy="13716"/>
            <wp:effectExtent l="0" t="0" r="0" b="0"/>
            <wp:wrapSquare wrapText="bothSides"/>
            <wp:docPr id="418499" name="Picture 418499"/>
            <wp:cNvGraphicFramePr/>
            <a:graphic xmlns:a="http://schemas.openxmlformats.org/drawingml/2006/main">
              <a:graphicData uri="http://schemas.openxmlformats.org/drawingml/2006/picture">
                <pic:pic xmlns:pic="http://schemas.openxmlformats.org/drawingml/2006/picture">
                  <pic:nvPicPr>
                    <pic:cNvPr id="418499" name="Picture 418499"/>
                    <pic:cNvPicPr/>
                  </pic:nvPicPr>
                  <pic:blipFill>
                    <a:blip r:embed="rId658"/>
                    <a:stretch>
                      <a:fillRect/>
                    </a:stretch>
                  </pic:blipFill>
                  <pic:spPr>
                    <a:xfrm>
                      <a:off x="0" y="0"/>
                      <a:ext cx="9145" cy="13716"/>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representar un proceso de aclaración con algunas limitaciones pero atendiendo a los canales respectivos de información pública y de otras instancias que se harán </w:t>
      </w:r>
      <w:r>
        <w:rPr>
          <w:noProof/>
        </w:rPr>
        <w:drawing>
          <wp:inline distT="0" distB="0" distL="0" distR="0" wp14:anchorId="4245684F" wp14:editId="7BBF6B1F">
            <wp:extent cx="18288" cy="13716"/>
            <wp:effectExtent l="0" t="0" r="0" b="0"/>
            <wp:docPr id="418502" name="Picture 418502"/>
            <wp:cNvGraphicFramePr/>
            <a:graphic xmlns:a="http://schemas.openxmlformats.org/drawingml/2006/main">
              <a:graphicData uri="http://schemas.openxmlformats.org/drawingml/2006/picture">
                <pic:pic xmlns:pic="http://schemas.openxmlformats.org/drawingml/2006/picture">
                  <pic:nvPicPr>
                    <pic:cNvPr id="418502" name="Picture 418502"/>
                    <pic:cNvPicPr/>
                  </pic:nvPicPr>
                  <pic:blipFill>
                    <a:blip r:embed="rId602"/>
                    <a:stretch>
                      <a:fillRect/>
                    </a:stretch>
                  </pic:blipFill>
                  <pic:spPr>
                    <a:xfrm>
                      <a:off x="0" y="0"/>
                      <a:ext cx="18288"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necesarias utilizar agradezco los tiempos de prorroga que la ley me permite. 2.Cuando se disponga de la documentación solicitada se podra establecer las aclaraciones en función del manual de funciones y organización de la Dirección </w:t>
      </w:r>
      <w:r>
        <w:rPr>
          <w:noProof/>
        </w:rPr>
        <w:drawing>
          <wp:inline distT="0" distB="0" distL="0" distR="0" wp14:anchorId="797D8EF3" wp14:editId="60E208DF">
            <wp:extent cx="18288" cy="13716"/>
            <wp:effectExtent l="0" t="0" r="0" b="0"/>
            <wp:docPr id="418503" name="Picture 418503"/>
            <wp:cNvGraphicFramePr/>
            <a:graphic xmlns:a="http://schemas.openxmlformats.org/drawingml/2006/main">
              <a:graphicData uri="http://schemas.openxmlformats.org/drawingml/2006/picture">
                <pic:pic xmlns:pic="http://schemas.openxmlformats.org/drawingml/2006/picture">
                  <pic:nvPicPr>
                    <pic:cNvPr id="418503" name="Picture 418503"/>
                    <pic:cNvPicPr/>
                  </pic:nvPicPr>
                  <pic:blipFill>
                    <a:blip r:embed="rId621"/>
                    <a:stretch>
                      <a:fillRect/>
                    </a:stretch>
                  </pic:blipFill>
                  <pic:spPr>
                    <a:xfrm>
                      <a:off x="0" y="0"/>
                      <a:ext cx="18288"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General de Educación Física el cual en este momento puedo manifestar se encontraba en proceso de aprobación, informare de las acciones al respecto. 3.-De acuerdo a la fecha de la resolución algunos nombramientos y su </w:t>
      </w:r>
      <w:r>
        <w:rPr>
          <w:rFonts w:ascii="Times New Roman" w:eastAsia="Times New Roman" w:hAnsi="Times New Roman" w:cs="Times New Roman"/>
          <w:sz w:val="26"/>
        </w:rPr>
        <w:t xml:space="preserve">-1 </w:t>
      </w:r>
      <w:r>
        <w:rPr>
          <w:sz w:val="26"/>
        </w:rPr>
        <w:t xml:space="preserve">cumplimiento no corresponden en su totalidad al periodo de mi gestión, toma de pocesión Acuerdo Ministerial No. DIREH-0758 de fecha 23 de enero de 2024 y </w:t>
      </w:r>
      <w:r>
        <w:rPr>
          <w:rFonts w:ascii="Times New Roman" w:eastAsia="Times New Roman" w:hAnsi="Times New Roman" w:cs="Times New Roman"/>
          <w:sz w:val="26"/>
        </w:rPr>
        <w:t xml:space="preserve">-1 </w:t>
      </w:r>
      <w:r>
        <w:rPr>
          <w:sz w:val="26"/>
        </w:rPr>
        <w:t xml:space="preserve">entrega del cargo Acuerdo Ministerial No. DIREH-5733- 2024 de fecha 30 de septiembre de 2024. 4.-De igual forma se harán las solicitudes respectivas para disponer de la documentación especifica de lo actuado en la legislación que </w:t>
      </w:r>
      <w:r>
        <w:rPr>
          <w:rFonts w:ascii="Times New Roman" w:eastAsia="Times New Roman" w:hAnsi="Times New Roman" w:cs="Times New Roman"/>
          <w:sz w:val="26"/>
        </w:rPr>
        <w:t xml:space="preserve">-1 </w:t>
      </w:r>
      <w:r>
        <w:rPr>
          <w:sz w:val="26"/>
        </w:rPr>
        <w:t>corresponde en el presente hallazgo, tanto en lo relacionado al tiempo legalmente establecido como a los perfiles exigidos por la legislación correspondiente 5. Desde el inicio de mi gestión preste especial atención a este aspecto en relación a</w:t>
      </w:r>
    </w:p>
    <w:p w14:paraId="428688D8" w14:textId="77777777" w:rsidR="00053D93" w:rsidRDefault="00260B75">
      <w:pPr>
        <w:spacing w:after="19"/>
        <w:ind w:left="7"/>
      </w:pPr>
      <w:r>
        <w:rPr>
          <w:noProof/>
        </w:rPr>
        <w:drawing>
          <wp:inline distT="0" distB="0" distL="0" distR="0" wp14:anchorId="5A7B31F2" wp14:editId="4337F013">
            <wp:extent cx="32004" cy="13716"/>
            <wp:effectExtent l="0" t="0" r="0" b="0"/>
            <wp:docPr id="418504" name="Picture 418504"/>
            <wp:cNvGraphicFramePr/>
            <a:graphic xmlns:a="http://schemas.openxmlformats.org/drawingml/2006/main">
              <a:graphicData uri="http://schemas.openxmlformats.org/drawingml/2006/picture">
                <pic:pic xmlns:pic="http://schemas.openxmlformats.org/drawingml/2006/picture">
                  <pic:nvPicPr>
                    <pic:cNvPr id="418504" name="Picture 418504"/>
                    <pic:cNvPicPr/>
                  </pic:nvPicPr>
                  <pic:blipFill>
                    <a:blip r:embed="rId659"/>
                    <a:stretch>
                      <a:fillRect/>
                    </a:stretch>
                  </pic:blipFill>
                  <pic:spPr>
                    <a:xfrm>
                      <a:off x="0" y="0"/>
                      <a:ext cx="32004" cy="13716"/>
                    </a:xfrm>
                    <a:prstGeom prst="rect">
                      <a:avLst/>
                    </a:prstGeom>
                  </pic:spPr>
                </pic:pic>
              </a:graphicData>
            </a:graphic>
          </wp:inline>
        </w:drawing>
      </w:r>
    </w:p>
    <w:p w14:paraId="3E3C9E96" w14:textId="77777777" w:rsidR="00053D93" w:rsidRDefault="00260B75">
      <w:pPr>
        <w:spacing w:after="278" w:line="247" w:lineRule="auto"/>
        <w:ind w:left="14" w:right="14" w:firstLine="72"/>
        <w:jc w:val="both"/>
      </w:pPr>
      <w:r>
        <w:rPr>
          <w:rFonts w:ascii="Times New Roman" w:eastAsia="Times New Roman" w:hAnsi="Times New Roman" w:cs="Times New Roman"/>
          <w:sz w:val="26"/>
        </w:rPr>
        <w:t xml:space="preserve">1 </w:t>
      </w:r>
      <w:r>
        <w:rPr>
          <w:sz w:val="26"/>
        </w:rPr>
        <w:t xml:space="preserve">la estructura y funcionalidad de acuerdo manual de funciones, organización de puestos de la Dirección General de Educación Física, 6. Algunos de los cambios generados con el respaldo de las resoluciones correspondiente cumplieron con la normativa específica en la legislación correspondiente hasta el 30 de septiembre fecha en que me fue requerida la entrega del cargo. 7. La documentación especifica que se solicitar de las instrucciones giradas a la unidad correspondiente brindara los puntos de aclaración tanto de los tiempos de ocupación de los cargos de forma interina, como de los perfiles que corresponden en ley para cada uno de </w:t>
      </w:r>
      <w:r>
        <w:rPr>
          <w:rFonts w:ascii="Times New Roman" w:eastAsia="Times New Roman" w:hAnsi="Times New Roman" w:cs="Times New Roman"/>
          <w:sz w:val="26"/>
        </w:rPr>
        <w:t xml:space="preserve">-1 </w:t>
      </w:r>
      <w:r>
        <w:rPr>
          <w:sz w:val="26"/>
        </w:rPr>
        <w:t>los puestos 01 1 en la Dirección General de Educación Física...'</w:t>
      </w:r>
      <w:r>
        <w:rPr>
          <w:noProof/>
        </w:rPr>
        <w:drawing>
          <wp:inline distT="0" distB="0" distL="0" distR="0" wp14:anchorId="5401D69A" wp14:editId="6592B9A5">
            <wp:extent cx="13716" cy="36576"/>
            <wp:effectExtent l="0" t="0" r="0" b="0"/>
            <wp:docPr id="418505" name="Picture 418505"/>
            <wp:cNvGraphicFramePr/>
            <a:graphic xmlns:a="http://schemas.openxmlformats.org/drawingml/2006/main">
              <a:graphicData uri="http://schemas.openxmlformats.org/drawingml/2006/picture">
                <pic:pic xmlns:pic="http://schemas.openxmlformats.org/drawingml/2006/picture">
                  <pic:nvPicPr>
                    <pic:cNvPr id="418505" name="Picture 418505"/>
                    <pic:cNvPicPr/>
                  </pic:nvPicPr>
                  <pic:blipFill>
                    <a:blip r:embed="rId660"/>
                    <a:stretch>
                      <a:fillRect/>
                    </a:stretch>
                  </pic:blipFill>
                  <pic:spPr>
                    <a:xfrm>
                      <a:off x="0" y="0"/>
                      <a:ext cx="13716" cy="36576"/>
                    </a:xfrm>
                    <a:prstGeom prst="rect">
                      <a:avLst/>
                    </a:prstGeom>
                  </pic:spPr>
                </pic:pic>
              </a:graphicData>
            </a:graphic>
          </wp:inline>
        </w:drawing>
      </w:r>
    </w:p>
    <w:p w14:paraId="369CAB59" w14:textId="77777777" w:rsidR="00053D93" w:rsidRDefault="00260B75">
      <w:pPr>
        <w:spacing w:after="4" w:line="267" w:lineRule="auto"/>
        <w:ind w:left="18" w:right="21" w:hanging="4"/>
        <w:jc w:val="right"/>
      </w:pPr>
      <w:r>
        <w:rPr>
          <w:sz w:val="26"/>
        </w:rPr>
        <w:t>El licenciado David Freolino Aguilar, quien fungió como Director General en</w:t>
      </w:r>
    </w:p>
    <w:p w14:paraId="33663A6B" w14:textId="77777777" w:rsidR="00053D93" w:rsidRDefault="00260B75">
      <w:pPr>
        <w:spacing w:after="243" w:line="265" w:lineRule="auto"/>
        <w:ind w:left="3624" w:right="50" w:hanging="10"/>
        <w:jc w:val="center"/>
      </w:pPr>
      <w:r>
        <w:rPr>
          <w:sz w:val="14"/>
        </w:rPr>
        <w:t xml:space="preserve">OE </w:t>
      </w:r>
    </w:p>
    <w:p w14:paraId="73DBE07A" w14:textId="77777777" w:rsidR="00053D93" w:rsidRDefault="00260B75">
      <w:pPr>
        <w:spacing w:after="43"/>
        <w:ind w:left="1692"/>
      </w:pPr>
      <w:r>
        <w:rPr>
          <w:noProof/>
        </w:rPr>
        <mc:AlternateContent>
          <mc:Choice Requires="wpg">
            <w:drawing>
              <wp:inline distT="0" distB="0" distL="0" distR="0" wp14:anchorId="48E8D7C4" wp14:editId="27AA5877">
                <wp:extent cx="5394960" cy="9144"/>
                <wp:effectExtent l="0" t="0" r="0" b="0"/>
                <wp:docPr id="2458358" name="Group 2458358"/>
                <wp:cNvGraphicFramePr/>
                <a:graphic xmlns:a="http://schemas.openxmlformats.org/drawingml/2006/main">
                  <a:graphicData uri="http://schemas.microsoft.com/office/word/2010/wordprocessingGroup">
                    <wpg:wgp>
                      <wpg:cNvGrpSpPr/>
                      <wpg:grpSpPr>
                        <a:xfrm>
                          <a:off x="0" y="0"/>
                          <a:ext cx="5394960" cy="9144"/>
                          <a:chOff x="0" y="0"/>
                          <a:chExt cx="5394960" cy="9144"/>
                        </a:xfrm>
                      </wpg:grpSpPr>
                      <wps:wsp>
                        <wps:cNvPr id="2458357" name="Shape 2458357"/>
                        <wps:cNvSpPr/>
                        <wps:spPr>
                          <a:xfrm>
                            <a:off x="0" y="0"/>
                            <a:ext cx="5394960" cy="9144"/>
                          </a:xfrm>
                          <a:custGeom>
                            <a:avLst/>
                            <a:gdLst/>
                            <a:ahLst/>
                            <a:cxnLst/>
                            <a:rect l="0" t="0" r="0" b="0"/>
                            <a:pathLst>
                              <a:path w="5394960" h="9144">
                                <a:moveTo>
                                  <a:pt x="0" y="4572"/>
                                </a:moveTo>
                                <a:lnTo>
                                  <a:pt x="539496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58" style="width:424.8pt;height:0.719994pt;mso-position-horizontal-relative:char;mso-position-vertical-relative:line" coordsize="53949,91">
                <v:shape id="Shape 2458357" style="position:absolute;width:53949;height:91;left:0;top:0;" coordsize="5394960,9144" path="m0,4572l5394960,4572">
                  <v:stroke weight="0.719994pt" endcap="flat" joinstyle="miter" miterlimit="1" on="true" color="#000000"/>
                  <v:fill on="false" color="#000000"/>
                </v:shape>
              </v:group>
            </w:pict>
          </mc:Fallback>
        </mc:AlternateContent>
      </w:r>
    </w:p>
    <w:p w14:paraId="553F9EB5" w14:textId="77777777" w:rsidR="00053D93" w:rsidRDefault="00260B75">
      <w:pPr>
        <w:spacing w:after="224" w:line="290" w:lineRule="auto"/>
        <w:ind w:left="1706" w:hanging="1685"/>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Funciones, por el periodo comprendido del 02 de enero de 2020 al 28 de enero de </w:t>
      </w:r>
      <w:r>
        <w:rPr>
          <w:rFonts w:ascii="Times New Roman" w:eastAsia="Times New Roman" w:hAnsi="Times New Roman" w:cs="Times New Roman"/>
          <w:sz w:val="26"/>
        </w:rPr>
        <w:t>2020,</w:t>
      </w:r>
      <w:r>
        <w:rPr>
          <w:rFonts w:ascii="Times New Roman" w:eastAsia="Times New Roman" w:hAnsi="Times New Roman" w:cs="Times New Roman"/>
          <w:sz w:val="26"/>
        </w:rPr>
        <w:tab/>
      </w:r>
      <w:r>
        <w:rPr>
          <w:sz w:val="26"/>
        </w:rPr>
        <w:t>a quien</w:t>
      </w:r>
      <w:r>
        <w:rPr>
          <w:sz w:val="26"/>
        </w:rPr>
        <w:tab/>
        <w:t>se le notificó electrónicamente el oficio No. CGC-DAS-03-2024-NOTlF.MINEDUC.DlGEF.08 del 2 de abril de 2025, no se presentó a la discusión virtual de hallazgos y no envió pruebas de descargo, lo cual consta en el casillero electrónico del sistema de comunicaciones electrónicas de la Contraloría General de Cuentas.</w:t>
      </w:r>
    </w:p>
    <w:p w14:paraId="04B85F4C" w14:textId="77777777" w:rsidR="00053D93" w:rsidRDefault="00260B75">
      <w:pPr>
        <w:spacing w:after="17" w:line="247" w:lineRule="auto"/>
        <w:ind w:left="14" w:right="14" w:firstLine="1469"/>
        <w:jc w:val="both"/>
      </w:pPr>
      <w:r>
        <w:rPr>
          <w:noProof/>
        </w:rPr>
        <w:lastRenderedPageBreak/>
        <mc:AlternateContent>
          <mc:Choice Requires="wpg">
            <w:drawing>
              <wp:anchor distT="0" distB="0" distL="114300" distR="114300" simplePos="0" relativeHeight="251960320" behindDoc="0" locked="0" layoutInCell="1" allowOverlap="1" wp14:anchorId="4D10940A" wp14:editId="100C1010">
                <wp:simplePos x="0" y="0"/>
                <wp:positionH relativeFrom="column">
                  <wp:posOffset>18288</wp:posOffset>
                </wp:positionH>
                <wp:positionV relativeFrom="paragraph">
                  <wp:posOffset>620022</wp:posOffset>
                </wp:positionV>
                <wp:extent cx="141732" cy="292608"/>
                <wp:effectExtent l="0" t="0" r="0" b="0"/>
                <wp:wrapSquare wrapText="bothSides"/>
                <wp:docPr id="2455554" name="Group 2455554"/>
                <wp:cNvGraphicFramePr/>
                <a:graphic xmlns:a="http://schemas.openxmlformats.org/drawingml/2006/main">
                  <a:graphicData uri="http://schemas.microsoft.com/office/word/2010/wordprocessingGroup">
                    <wpg:wgp>
                      <wpg:cNvGrpSpPr/>
                      <wpg:grpSpPr>
                        <a:xfrm>
                          <a:off x="0" y="0"/>
                          <a:ext cx="141732" cy="292608"/>
                          <a:chOff x="0" y="0"/>
                          <a:chExt cx="141732" cy="292608"/>
                        </a:xfrm>
                      </wpg:grpSpPr>
                      <wps:wsp>
                        <wps:cNvPr id="419335" name="Rectangle 419335"/>
                        <wps:cNvSpPr/>
                        <wps:spPr>
                          <a:xfrm>
                            <a:off x="0" y="0"/>
                            <a:ext cx="188504" cy="389169"/>
                          </a:xfrm>
                          <a:prstGeom prst="rect">
                            <a:avLst/>
                          </a:prstGeom>
                          <a:ln>
                            <a:noFill/>
                          </a:ln>
                        </wps:spPr>
                        <wps:txbx>
                          <w:txbxContent>
                            <w:p w14:paraId="1E719A48"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4D10940A" id="Group 2455554" o:spid="_x0000_s1283" style="position:absolute;left:0;text-align:left;margin-left:1.45pt;margin-top:48.8pt;width:11.15pt;height:23.05pt;z-index:251960320;mso-position-horizontal-relative:text;mso-position-vertical-relative:text" coordsize="14173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">
                <v:rect id="Rectangle 419335" o:spid="_x0000_s1284" style="position:absolute;width:188504;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" filled="f" stroked="f">
                  <v:textbox inset="0,0,0,0">
                    <w:txbxContent>
                      <w:p w14:paraId="1E719A48" w14:textId="77777777" w:rsidR="00053D93" w:rsidRDefault="00260B75">
                        <w:r>
                          <w:rPr>
                            <w:rFonts w:ascii="Times New Roman" w:eastAsia="Times New Roman" w:hAnsi="Times New Roman" w:cs="Times New Roman"/>
                            <w:sz w:val="86"/>
                          </w:rPr>
                          <w:t>1</w:t>
                        </w:r>
                      </w:p>
                    </w:txbxContent>
                  </v:textbox>
                </v:rect>
                <w10:wrap type="square"/>
              </v:group>
            </w:pict>
          </mc:Fallback>
        </mc:AlternateContent>
      </w:r>
      <w:r>
        <w:rPr>
          <w:noProof/>
        </w:rPr>
        <mc:AlternateContent>
          <mc:Choice Requires="wpg">
            <w:drawing>
              <wp:anchor distT="0" distB="0" distL="114300" distR="114300" simplePos="0" relativeHeight="251961344" behindDoc="0" locked="0" layoutInCell="1" allowOverlap="1" wp14:anchorId="39D0F3C7" wp14:editId="2024FB74">
                <wp:simplePos x="0" y="0"/>
                <wp:positionH relativeFrom="column">
                  <wp:posOffset>18288</wp:posOffset>
                </wp:positionH>
                <wp:positionV relativeFrom="paragraph">
                  <wp:posOffset>2156214</wp:posOffset>
                </wp:positionV>
                <wp:extent cx="146304" cy="297180"/>
                <wp:effectExtent l="0" t="0" r="0" b="0"/>
                <wp:wrapSquare wrapText="bothSides"/>
                <wp:docPr id="2455557" name="Group 2455557"/>
                <wp:cNvGraphicFramePr/>
                <a:graphic xmlns:a="http://schemas.openxmlformats.org/drawingml/2006/main">
                  <a:graphicData uri="http://schemas.microsoft.com/office/word/2010/wordprocessingGroup">
                    <wpg:wgp>
                      <wpg:cNvGrpSpPr/>
                      <wpg:grpSpPr>
                        <a:xfrm>
                          <a:off x="0" y="0"/>
                          <a:ext cx="146304" cy="297180"/>
                          <a:chOff x="0" y="0"/>
                          <a:chExt cx="146304" cy="297180"/>
                        </a:xfrm>
                      </wpg:grpSpPr>
                      <wps:wsp>
                        <wps:cNvPr id="419338" name="Rectangle 419338"/>
                        <wps:cNvSpPr/>
                        <wps:spPr>
                          <a:xfrm>
                            <a:off x="0" y="0"/>
                            <a:ext cx="194584" cy="395249"/>
                          </a:xfrm>
                          <a:prstGeom prst="rect">
                            <a:avLst/>
                          </a:prstGeom>
                          <a:ln>
                            <a:noFill/>
                          </a:ln>
                        </wps:spPr>
                        <wps:txbx>
                          <w:txbxContent>
                            <w:p w14:paraId="1D78307F" w14:textId="77777777" w:rsidR="00053D93" w:rsidRDefault="00260B75">
                              <w:r>
                                <w:rPr>
                                  <w:rFonts w:ascii="Times New Roman" w:eastAsia="Times New Roman" w:hAnsi="Times New Roman" w:cs="Times New Roman"/>
                                  <w:sz w:val="88"/>
                                </w:rPr>
                                <w:t>1</w:t>
                              </w:r>
                            </w:p>
                          </w:txbxContent>
                        </wps:txbx>
                        <wps:bodyPr horzOverflow="overflow" vert="horz" lIns="0" tIns="0" rIns="0" bIns="0" rtlCol="0">
                          <a:noAutofit/>
                        </wps:bodyPr>
                      </wps:wsp>
                    </wpg:wgp>
                  </a:graphicData>
                </a:graphic>
              </wp:anchor>
            </w:drawing>
          </mc:Choice>
          <mc:Fallback>
            <w:pict>
              <v:group w14:anchorId="39D0F3C7" id="Group 2455557" o:spid="_x0000_s1285" style="position:absolute;left:0;text-align:left;margin-left:1.45pt;margin-top:169.8pt;width:11.5pt;height:23.4pt;z-index:251961344;mso-position-horizontal-relative:text;mso-position-vertical-relative:text" coordsize="14630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">
                <v:rect id="Rectangle 419338" o:spid="_x0000_s1286" style="position:absolute;width:194584;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" filled="f" stroked="f">
                  <v:textbox inset="0,0,0,0">
                    <w:txbxContent>
                      <w:p w14:paraId="1D78307F" w14:textId="77777777" w:rsidR="00053D93" w:rsidRDefault="00260B75">
                        <w:r>
                          <w:rPr>
                            <w:rFonts w:ascii="Times New Roman" w:eastAsia="Times New Roman" w:hAnsi="Times New Roman" w:cs="Times New Roman"/>
                            <w:sz w:val="88"/>
                          </w:rPr>
                          <w:t>1</w:t>
                        </w:r>
                      </w:p>
                    </w:txbxContent>
                  </v:textbox>
                </v:rect>
                <w10:wrap type="square"/>
              </v:group>
            </w:pict>
          </mc:Fallback>
        </mc:AlternateContent>
      </w:r>
      <w:r>
        <w:rPr>
          <w:noProof/>
        </w:rPr>
        <mc:AlternateContent>
          <mc:Choice Requires="wpg">
            <w:drawing>
              <wp:anchor distT="0" distB="0" distL="114300" distR="114300" simplePos="0" relativeHeight="251962368" behindDoc="0" locked="0" layoutInCell="1" allowOverlap="1" wp14:anchorId="45CF42AB" wp14:editId="3B3D766F">
                <wp:simplePos x="0" y="0"/>
                <wp:positionH relativeFrom="column">
                  <wp:posOffset>13716</wp:posOffset>
                </wp:positionH>
                <wp:positionV relativeFrom="paragraph">
                  <wp:posOffset>3710694</wp:posOffset>
                </wp:positionV>
                <wp:extent cx="155448" cy="292608"/>
                <wp:effectExtent l="0" t="0" r="0" b="0"/>
                <wp:wrapSquare wrapText="bothSides"/>
                <wp:docPr id="2455558" name="Group 2455558"/>
                <wp:cNvGraphicFramePr/>
                <a:graphic xmlns:a="http://schemas.openxmlformats.org/drawingml/2006/main">
                  <a:graphicData uri="http://schemas.microsoft.com/office/word/2010/wordprocessingGroup">
                    <wpg:wgp>
                      <wpg:cNvGrpSpPr/>
                      <wpg:grpSpPr>
                        <a:xfrm>
                          <a:off x="0" y="0"/>
                          <a:ext cx="155448" cy="292608"/>
                          <a:chOff x="0" y="0"/>
                          <a:chExt cx="155448" cy="292608"/>
                        </a:xfrm>
                      </wpg:grpSpPr>
                      <wps:wsp>
                        <wps:cNvPr id="419341" name="Rectangle 419341"/>
                        <wps:cNvSpPr/>
                        <wps:spPr>
                          <a:xfrm>
                            <a:off x="0" y="0"/>
                            <a:ext cx="206746" cy="389169"/>
                          </a:xfrm>
                          <a:prstGeom prst="rect">
                            <a:avLst/>
                          </a:prstGeom>
                          <a:ln>
                            <a:noFill/>
                          </a:ln>
                        </wps:spPr>
                        <wps:txbx>
                          <w:txbxContent>
                            <w:p w14:paraId="5D517424" w14:textId="77777777" w:rsidR="00053D93" w:rsidRDefault="00260B75">
                              <w:r>
                                <w:rPr>
                                  <w:rFonts w:ascii="Times New Roman" w:eastAsia="Times New Roman" w:hAnsi="Times New Roman" w:cs="Times New Roman"/>
                                  <w:sz w:val="94"/>
                                </w:rPr>
                                <w:t>1</w:t>
                              </w:r>
                            </w:p>
                          </w:txbxContent>
                        </wps:txbx>
                        <wps:bodyPr horzOverflow="overflow" vert="horz" lIns="0" tIns="0" rIns="0" bIns="0" rtlCol="0">
                          <a:noAutofit/>
                        </wps:bodyPr>
                      </wps:wsp>
                    </wpg:wgp>
                  </a:graphicData>
                </a:graphic>
              </wp:anchor>
            </w:drawing>
          </mc:Choice>
          <mc:Fallback>
            <w:pict>
              <v:group w14:anchorId="45CF42AB" id="Group 2455558" o:spid="_x0000_s1287" style="position:absolute;left:0;text-align:left;margin-left:1.1pt;margin-top:292.2pt;width:12.25pt;height:23.05pt;z-index:251962368;mso-position-horizontal-relative:text;mso-position-vertical-relative:text" coordsize="155448,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">
                <v:rect id="Rectangle 419341" o:spid="_x0000_s1288" style="position:absolute;width:206746;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" filled="f" stroked="f">
                  <v:textbox inset="0,0,0,0">
                    <w:txbxContent>
                      <w:p w14:paraId="5D517424" w14:textId="77777777" w:rsidR="00053D93" w:rsidRDefault="00260B75">
                        <w:r>
                          <w:rPr>
                            <w:rFonts w:ascii="Times New Roman" w:eastAsia="Times New Roman" w:hAnsi="Times New Roman" w:cs="Times New Roman"/>
                            <w:sz w:val="94"/>
                          </w:rPr>
                          <w:t>1</w:t>
                        </w:r>
                      </w:p>
                    </w:txbxContent>
                  </v:textbox>
                </v:rect>
                <w10:wrap type="square"/>
              </v:group>
            </w:pict>
          </mc:Fallback>
        </mc:AlternateContent>
      </w:r>
      <w:r>
        <w:rPr>
          <w:sz w:val="26"/>
        </w:rPr>
        <w:t xml:space="preserve">En nota s/n del 21 de abril de 2025, la licenciada Anabí Cinthia Veralíz García </w:t>
      </w:r>
      <w:r>
        <w:rPr>
          <w:noProof/>
        </w:rPr>
        <mc:AlternateContent>
          <mc:Choice Requires="wpg">
            <w:drawing>
              <wp:inline distT="0" distB="0" distL="0" distR="0" wp14:anchorId="3FF551C6" wp14:editId="414EDD6A">
                <wp:extent cx="146304" cy="292608"/>
                <wp:effectExtent l="0" t="0" r="0" b="0"/>
                <wp:docPr id="2455553" name="Group 2455553"/>
                <wp:cNvGraphicFramePr/>
                <a:graphic xmlns:a="http://schemas.openxmlformats.org/drawingml/2006/main">
                  <a:graphicData uri="http://schemas.microsoft.com/office/word/2010/wordprocessingGroup">
                    <wpg:wgp>
                      <wpg:cNvGrpSpPr/>
                      <wpg:grpSpPr>
                        <a:xfrm>
                          <a:off x="0" y="0"/>
                          <a:ext cx="146304" cy="292608"/>
                          <a:chOff x="0" y="0"/>
                          <a:chExt cx="146304" cy="292608"/>
                        </a:xfrm>
                      </wpg:grpSpPr>
                      <wps:wsp>
                        <wps:cNvPr id="419334" name="Rectangle 419334"/>
                        <wps:cNvSpPr/>
                        <wps:spPr>
                          <a:xfrm>
                            <a:off x="0" y="0"/>
                            <a:ext cx="194584" cy="389169"/>
                          </a:xfrm>
                          <a:prstGeom prst="rect">
                            <a:avLst/>
                          </a:prstGeom>
                          <a:ln>
                            <a:noFill/>
                          </a:ln>
                        </wps:spPr>
                        <wps:txbx>
                          <w:txbxContent>
                            <w:p w14:paraId="1C2EE56E" w14:textId="77777777" w:rsidR="00053D93" w:rsidRDefault="00260B75">
                              <w:r>
                                <w:rPr>
                                  <w:rFonts w:ascii="Times New Roman" w:eastAsia="Times New Roman" w:hAnsi="Times New Roman" w:cs="Times New Roman"/>
                                  <w:sz w:val="88"/>
                                </w:rPr>
                                <w:t>1</w:t>
                              </w:r>
                            </w:p>
                          </w:txbxContent>
                        </wps:txbx>
                        <wps:bodyPr horzOverflow="overflow" vert="horz" lIns="0" tIns="0" rIns="0" bIns="0" rtlCol="0">
                          <a:noAutofit/>
                        </wps:bodyPr>
                      </wps:wsp>
                    </wpg:wgp>
                  </a:graphicData>
                </a:graphic>
              </wp:inline>
            </w:drawing>
          </mc:Choice>
          <mc:Fallback>
            <w:pict>
              <v:group w14:anchorId="3FF551C6" id="Group 2455553" o:spid="_x0000_s1289" style="width:11.5pt;height:23.05pt;mso-position-horizontal-relative:char;mso-position-vertical-relative:line" coordsize="14630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">
                <v:rect id="Rectangle 419334" o:spid="_x0000_s1290" style="position:absolute;width:194584;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" filled="f" stroked="f">
                  <v:textbox inset="0,0,0,0">
                    <w:txbxContent>
                      <w:p w14:paraId="1C2EE56E" w14:textId="77777777" w:rsidR="00053D93" w:rsidRDefault="00260B75">
                        <w:r>
                          <w:rPr>
                            <w:rFonts w:ascii="Times New Roman" w:eastAsia="Times New Roman" w:hAnsi="Times New Roman" w:cs="Times New Roman"/>
                            <w:sz w:val="88"/>
                          </w:rPr>
                          <w:t>1</w:t>
                        </w:r>
                      </w:p>
                    </w:txbxContent>
                  </v:textbox>
                </v:rect>
                <w10:anchorlock/>
              </v:group>
            </w:pict>
          </mc:Fallback>
        </mc:AlternateContent>
      </w:r>
      <w:r>
        <w:rPr>
          <w:sz w:val="26"/>
        </w:rPr>
        <w:t xml:space="preserve"> Corado de Mora, quien fungió como Director General en Funciones, por el período comprendido del 23 de octubre de 2023 al 06 de diciembre de 2023, manifiesta: "...En cumplimiento a io establecido en la Constitución Política de la República de Guatemala, articulo 12 Derecho de Defensa, Decreto 31-2002 del Congreso de la República de Guatemala, expongo lo siguiente: 1 ...Acuerdo Ministerial No. </w:t>
      </w:r>
      <w:r>
        <w:rPr>
          <w:noProof/>
        </w:rPr>
        <mc:AlternateContent>
          <mc:Choice Requires="wpg">
            <w:drawing>
              <wp:inline distT="0" distB="0" distL="0" distR="0" wp14:anchorId="0991061A" wp14:editId="1BA3B7B7">
                <wp:extent cx="146304" cy="292608"/>
                <wp:effectExtent l="0" t="0" r="0" b="0"/>
                <wp:docPr id="2455555" name="Group 2455555"/>
                <wp:cNvGraphicFramePr/>
                <a:graphic xmlns:a="http://schemas.openxmlformats.org/drawingml/2006/main">
                  <a:graphicData uri="http://schemas.microsoft.com/office/word/2010/wordprocessingGroup">
                    <wpg:wgp>
                      <wpg:cNvGrpSpPr/>
                      <wpg:grpSpPr>
                        <a:xfrm>
                          <a:off x="0" y="0"/>
                          <a:ext cx="146304" cy="292608"/>
                          <a:chOff x="0" y="0"/>
                          <a:chExt cx="146304" cy="292608"/>
                        </a:xfrm>
                      </wpg:grpSpPr>
                      <wps:wsp>
                        <wps:cNvPr id="419336" name="Rectangle 419336"/>
                        <wps:cNvSpPr/>
                        <wps:spPr>
                          <a:xfrm>
                            <a:off x="0" y="0"/>
                            <a:ext cx="194584" cy="389169"/>
                          </a:xfrm>
                          <a:prstGeom prst="rect">
                            <a:avLst/>
                          </a:prstGeom>
                          <a:ln>
                            <a:noFill/>
                          </a:ln>
                        </wps:spPr>
                        <wps:txbx>
                          <w:txbxContent>
                            <w:p w14:paraId="66D0809F" w14:textId="77777777" w:rsidR="00053D93" w:rsidRDefault="00260B75">
                              <w:r>
                                <w:rPr>
                                  <w:rFonts w:ascii="Times New Roman" w:eastAsia="Times New Roman" w:hAnsi="Times New Roman" w:cs="Times New Roman"/>
                                  <w:sz w:val="88"/>
                                </w:rPr>
                                <w:t>1</w:t>
                              </w:r>
                            </w:p>
                          </w:txbxContent>
                        </wps:txbx>
                        <wps:bodyPr horzOverflow="overflow" vert="horz" lIns="0" tIns="0" rIns="0" bIns="0" rtlCol="0">
                          <a:noAutofit/>
                        </wps:bodyPr>
                      </wps:wsp>
                    </wpg:wgp>
                  </a:graphicData>
                </a:graphic>
              </wp:inline>
            </w:drawing>
          </mc:Choice>
          <mc:Fallback>
            <w:pict>
              <v:group w14:anchorId="0991061A" id="Group 2455555" o:spid="_x0000_s1291" style="width:11.5pt;height:23.05pt;mso-position-horizontal-relative:char;mso-position-vertical-relative:line" coordsize="14630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">
                <v:rect id="Rectangle 419336" o:spid="_x0000_s1292" style="position:absolute;width:194584;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" filled="f" stroked="f">
                  <v:textbox inset="0,0,0,0">
                    <w:txbxContent>
                      <w:p w14:paraId="66D0809F" w14:textId="77777777" w:rsidR="00053D93" w:rsidRDefault="00260B75">
                        <w:r>
                          <w:rPr>
                            <w:rFonts w:ascii="Times New Roman" w:eastAsia="Times New Roman" w:hAnsi="Times New Roman" w:cs="Times New Roman"/>
                            <w:sz w:val="88"/>
                          </w:rPr>
                          <w:t>1</w:t>
                        </w:r>
                      </w:p>
                    </w:txbxContent>
                  </v:textbox>
                </v:rect>
                <w10:anchorlock/>
              </v:group>
            </w:pict>
          </mc:Fallback>
        </mc:AlternateContent>
      </w:r>
      <w:r>
        <w:rPr>
          <w:sz w:val="26"/>
        </w:rPr>
        <w:t xml:space="preserve"> DIREH-4944-2023 de fecha 19 de octubre de 2023, emitido por la Ministra de Educación en el cual fui designada temporalmente como Directora General de Educación Física y cedula de notificación de fecha 23 de octubre de 2023, así </w:t>
      </w:r>
      <w:r>
        <w:rPr>
          <w:noProof/>
        </w:rPr>
        <mc:AlternateContent>
          <mc:Choice Requires="wpg">
            <w:drawing>
              <wp:inline distT="0" distB="0" distL="0" distR="0" wp14:anchorId="72CB97A8" wp14:editId="0786005F">
                <wp:extent cx="146304" cy="292608"/>
                <wp:effectExtent l="0" t="0" r="0" b="0"/>
                <wp:docPr id="2455556" name="Group 2455556"/>
                <wp:cNvGraphicFramePr/>
                <a:graphic xmlns:a="http://schemas.openxmlformats.org/drawingml/2006/main">
                  <a:graphicData uri="http://schemas.microsoft.com/office/word/2010/wordprocessingGroup">
                    <wpg:wgp>
                      <wpg:cNvGrpSpPr/>
                      <wpg:grpSpPr>
                        <a:xfrm>
                          <a:off x="0" y="0"/>
                          <a:ext cx="146304" cy="292608"/>
                          <a:chOff x="0" y="0"/>
                          <a:chExt cx="146304" cy="292608"/>
                        </a:xfrm>
                      </wpg:grpSpPr>
                      <wps:wsp>
                        <wps:cNvPr id="419337" name="Rectangle 419337"/>
                        <wps:cNvSpPr/>
                        <wps:spPr>
                          <a:xfrm>
                            <a:off x="0" y="0"/>
                            <a:ext cx="194584" cy="389169"/>
                          </a:xfrm>
                          <a:prstGeom prst="rect">
                            <a:avLst/>
                          </a:prstGeom>
                          <a:ln>
                            <a:noFill/>
                          </a:ln>
                        </wps:spPr>
                        <wps:txbx>
                          <w:txbxContent>
                            <w:p w14:paraId="14DCF624" w14:textId="77777777" w:rsidR="00053D93" w:rsidRDefault="00260B75">
                              <w:r>
                                <w:rPr>
                                  <w:rFonts w:ascii="Times New Roman" w:eastAsia="Times New Roman" w:hAnsi="Times New Roman" w:cs="Times New Roman"/>
                                  <w:sz w:val="88"/>
                                </w:rPr>
                                <w:t>1</w:t>
                              </w:r>
                            </w:p>
                          </w:txbxContent>
                        </wps:txbx>
                        <wps:bodyPr horzOverflow="overflow" vert="horz" lIns="0" tIns="0" rIns="0" bIns="0" rtlCol="0">
                          <a:noAutofit/>
                        </wps:bodyPr>
                      </wps:wsp>
                    </wpg:wgp>
                  </a:graphicData>
                </a:graphic>
              </wp:inline>
            </w:drawing>
          </mc:Choice>
          <mc:Fallback>
            <w:pict>
              <v:group w14:anchorId="72CB97A8" id="Group 2455556" o:spid="_x0000_s1293" style="width:11.5pt;height:23.05pt;mso-position-horizontal-relative:char;mso-position-vertical-relative:line" coordsize="14630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">
                <v:rect id="Rectangle 419337" o:spid="_x0000_s1294" style="position:absolute;width:194584;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" filled="f" stroked="f">
                  <v:textbox inset="0,0,0,0">
                    <w:txbxContent>
                      <w:p w14:paraId="14DCF624" w14:textId="77777777" w:rsidR="00053D93" w:rsidRDefault="00260B75">
                        <w:r>
                          <w:rPr>
                            <w:rFonts w:ascii="Times New Roman" w:eastAsia="Times New Roman" w:hAnsi="Times New Roman" w:cs="Times New Roman"/>
                            <w:sz w:val="88"/>
                          </w:rPr>
                          <w:t>1</w:t>
                        </w:r>
                      </w:p>
                    </w:txbxContent>
                  </v:textbox>
                </v:rect>
                <w10:anchorlock/>
              </v:group>
            </w:pict>
          </mc:Fallback>
        </mc:AlternateContent>
      </w:r>
      <w:r>
        <w:rPr>
          <w:sz w:val="26"/>
        </w:rPr>
        <w:t xml:space="preserve"> como... Acuerdo Ministerial No. DIREH-5455-2023 de fecha 06 de diciembre de 2023 en el que fui nombrada como Directora General, así como... Acuerdo Ministerial No. DIREH-0654-2024 de fecha 22 de enero de 2024 en el que fui removida del cargo... 2. En relación al posible hallazgo puedo informar que muchas de esas personas ya venían cubriendo esos puestos y por la necesidad </w:t>
      </w:r>
      <w:r>
        <w:rPr>
          <w:rFonts w:ascii="Times New Roman" w:eastAsia="Times New Roman" w:hAnsi="Times New Roman" w:cs="Times New Roman"/>
          <w:sz w:val="26"/>
        </w:rPr>
        <w:t xml:space="preserve">-1 </w:t>
      </w:r>
      <w:r>
        <w:rPr>
          <w:sz w:val="26"/>
        </w:rPr>
        <w:t xml:space="preserve">de falta de personal idóneo para los puestos no se podían hacer los cambios inmediatamente; además de esto fui nombrada casi a fin de año por lo que ya los procesos para poder cubrir las plazas era muy complicado de lograrlo en los 3 </w:t>
      </w:r>
      <w:r>
        <w:rPr>
          <w:rFonts w:ascii="Times New Roman" w:eastAsia="Times New Roman" w:hAnsi="Times New Roman" w:cs="Times New Roman"/>
          <w:sz w:val="26"/>
        </w:rPr>
        <w:t xml:space="preserve">1 </w:t>
      </w:r>
      <w:r>
        <w:rPr>
          <w:sz w:val="26"/>
        </w:rPr>
        <w:t xml:space="preserve">meses que ocupe el cargo, pues estas deben pasar por varios procesos, los cuales se llevan varios meses para poder ser ocupadas y tampoco se podían colocar personas que no tuvieran el conocimiento en esos puestos, ya que estábamos en el cierre del ejercicio fiscal y se hubieran visto afectados todos los procesos de la institución, afectando el cumplimiento de mis funciones para el logro de [os objetivos de la Dirección General de Educación Física -DIGEF-. Sin embargo, durante mi gestión tuve reuniones de trabajo con la coordinadora de recursos humanos Licenciada Celia Aroche Navarijo en el que se trató el tema del </w:t>
      </w:r>
      <w:r>
        <w:rPr>
          <w:rFonts w:ascii="Times New Roman" w:eastAsia="Times New Roman" w:hAnsi="Times New Roman" w:cs="Times New Roman"/>
          <w:sz w:val="26"/>
        </w:rPr>
        <w:t xml:space="preserve">-1 </w:t>
      </w:r>
      <w:r>
        <w:rPr>
          <w:sz w:val="26"/>
        </w:rPr>
        <w:t xml:space="preserve">personal Interino, pero por el poco tiempo que ocupé el cargo no fue posible realizar los procesos, para ocupar todas las plazas vacantes que habían dentro de </w:t>
      </w:r>
      <w:r>
        <w:rPr>
          <w:rFonts w:ascii="Times New Roman" w:eastAsia="Times New Roman" w:hAnsi="Times New Roman" w:cs="Times New Roman"/>
          <w:sz w:val="26"/>
        </w:rPr>
        <w:t xml:space="preserve">-1 </w:t>
      </w:r>
      <w:r>
        <w:rPr>
          <w:sz w:val="26"/>
        </w:rPr>
        <w:t>la institución... En base a lo anterior SOLICITO muy respetuosamente se me desligue del posible hallazgo considerando que mi periodo como Directora Interina y Directora General fue por un plazo muy corto, puedo decir que en ese tiempo busque la manera de cumplir con las necesidades y responsabilidades de la Institución de la mejor manera, también que el personal al que mencionan venían de varios periodos anteriores cubriendo esas funciones y otros fueron reubicados en esos puestos después de mi destitución, se puede comprobar que esas personas ya venían cubriendo esas funciones de periodos anteriores o posteriores</w:t>
      </w:r>
    </w:p>
    <w:p w14:paraId="302C9C69" w14:textId="77777777" w:rsidR="00053D93" w:rsidRDefault="00260B75">
      <w:pPr>
        <w:spacing w:after="0"/>
        <w:ind w:left="749"/>
      </w:pPr>
      <w:r>
        <w:rPr>
          <w:noProof/>
        </w:rPr>
        <w:drawing>
          <wp:inline distT="0" distB="0" distL="0" distR="0" wp14:anchorId="3AC8E533" wp14:editId="480DA134">
            <wp:extent cx="5998464" cy="612647"/>
            <wp:effectExtent l="0" t="0" r="0" b="0"/>
            <wp:docPr id="2458355" name="Picture 2458355"/>
            <wp:cNvGraphicFramePr/>
            <a:graphic xmlns:a="http://schemas.openxmlformats.org/drawingml/2006/main">
              <a:graphicData uri="http://schemas.openxmlformats.org/drawingml/2006/picture">
                <pic:pic xmlns:pic="http://schemas.openxmlformats.org/drawingml/2006/picture">
                  <pic:nvPicPr>
                    <pic:cNvPr id="2458355" name="Picture 2458355"/>
                    <pic:cNvPicPr/>
                  </pic:nvPicPr>
                  <pic:blipFill>
                    <a:blip r:embed="rId661"/>
                    <a:stretch>
                      <a:fillRect/>
                    </a:stretch>
                  </pic:blipFill>
                  <pic:spPr>
                    <a:xfrm>
                      <a:off x="0" y="0"/>
                      <a:ext cx="5998464" cy="612647"/>
                    </a:xfrm>
                    <a:prstGeom prst="rect">
                      <a:avLst/>
                    </a:prstGeom>
                  </pic:spPr>
                </pic:pic>
              </a:graphicData>
            </a:graphic>
          </wp:inline>
        </w:drawing>
      </w:r>
    </w:p>
    <w:p w14:paraId="3A792BA8" w14:textId="77777777" w:rsidR="00053D93" w:rsidRDefault="00053D93">
      <w:pPr>
        <w:sectPr w:rsidR="00053D93">
          <w:headerReference w:type="even" r:id="rId662"/>
          <w:headerReference w:type="default" r:id="rId663"/>
          <w:footerReference w:type="even" r:id="rId664"/>
          <w:footerReference w:type="default" r:id="rId665"/>
          <w:headerReference w:type="first" r:id="rId666"/>
          <w:footerReference w:type="first" r:id="rId667"/>
          <w:pgSz w:w="12290" w:h="15883"/>
          <w:pgMar w:top="756" w:right="1793" w:bottom="727" w:left="310" w:header="446" w:footer="720" w:gutter="0"/>
          <w:cols w:space="720"/>
          <w:titlePg/>
        </w:sectPr>
      </w:pPr>
    </w:p>
    <w:p w14:paraId="558C98C2" w14:textId="77777777" w:rsidR="00053D93" w:rsidRDefault="00260B75">
      <w:pPr>
        <w:spacing w:after="9" w:line="265" w:lineRule="auto"/>
        <w:ind w:left="1846" w:right="209" w:hanging="10"/>
        <w:jc w:val="center"/>
      </w:pPr>
      <w:r>
        <w:rPr>
          <w:rFonts w:ascii="Times New Roman" w:eastAsia="Times New Roman" w:hAnsi="Times New Roman" w:cs="Times New Roman"/>
          <w:sz w:val="14"/>
        </w:rPr>
        <w:lastRenderedPageBreak/>
        <w:t>89</w:t>
      </w:r>
    </w:p>
    <w:p w14:paraId="0DCD2452" w14:textId="77777777" w:rsidR="00053D93" w:rsidRDefault="00260B75">
      <w:pPr>
        <w:spacing w:after="350"/>
        <w:ind w:left="1678"/>
      </w:pPr>
      <w:r>
        <w:rPr>
          <w:noProof/>
        </w:rPr>
        <mc:AlternateContent>
          <mc:Choice Requires="wpg">
            <w:drawing>
              <wp:inline distT="0" distB="0" distL="0" distR="0" wp14:anchorId="4DEE3343" wp14:editId="46317658">
                <wp:extent cx="5390388" cy="9144"/>
                <wp:effectExtent l="0" t="0" r="0" b="0"/>
                <wp:docPr id="2458360" name="Group 2458360"/>
                <wp:cNvGraphicFramePr/>
                <a:graphic xmlns:a="http://schemas.openxmlformats.org/drawingml/2006/main">
                  <a:graphicData uri="http://schemas.microsoft.com/office/word/2010/wordprocessingGroup">
                    <wpg:wgp>
                      <wpg:cNvGrpSpPr/>
                      <wpg:grpSpPr>
                        <a:xfrm>
                          <a:off x="0" y="0"/>
                          <a:ext cx="5390388" cy="9144"/>
                          <a:chOff x="0" y="0"/>
                          <a:chExt cx="5390388" cy="9144"/>
                        </a:xfrm>
                      </wpg:grpSpPr>
                      <wps:wsp>
                        <wps:cNvPr id="2458359" name="Shape 2458359"/>
                        <wps:cNvSpPr/>
                        <wps:spPr>
                          <a:xfrm>
                            <a:off x="0" y="0"/>
                            <a:ext cx="5390388" cy="9144"/>
                          </a:xfrm>
                          <a:custGeom>
                            <a:avLst/>
                            <a:gdLst/>
                            <a:ahLst/>
                            <a:cxnLst/>
                            <a:rect l="0" t="0" r="0" b="0"/>
                            <a:pathLst>
                              <a:path w="5390388" h="9144">
                                <a:moveTo>
                                  <a:pt x="0" y="4572"/>
                                </a:moveTo>
                                <a:lnTo>
                                  <a:pt x="539038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60" style="width:424.44pt;height:0.719997pt;mso-position-horizontal-relative:char;mso-position-vertical-relative:line" coordsize="53903,91">
                <v:shape id="Shape 2458359" style="position:absolute;width:53903;height:91;left:0;top:0;" coordsize="5390388,9144" path="m0,4572l5390388,4572">
                  <v:stroke weight="0.719997pt" endcap="flat" joinstyle="miter" miterlimit="1" on="true" color="#000000"/>
                  <v:fill on="false" color="#000000"/>
                </v:shape>
              </v:group>
            </w:pict>
          </mc:Fallback>
        </mc:AlternateContent>
      </w:r>
    </w:p>
    <w:p w14:paraId="11F7091A" w14:textId="77777777" w:rsidR="00053D93" w:rsidRDefault="00260B75">
      <w:pPr>
        <w:spacing w:after="17" w:line="247" w:lineRule="auto"/>
        <w:ind w:left="14" w:right="14" w:firstLine="1692"/>
        <w:jc w:val="both"/>
      </w:pPr>
      <w:r>
        <w:rPr>
          <w:noProof/>
        </w:rPr>
        <mc:AlternateContent>
          <mc:Choice Requires="wpg">
            <w:drawing>
              <wp:anchor distT="0" distB="0" distL="114300" distR="114300" simplePos="0" relativeHeight="251963392" behindDoc="0" locked="0" layoutInCell="1" allowOverlap="1" wp14:anchorId="7295E21C" wp14:editId="7B104BB2">
                <wp:simplePos x="0" y="0"/>
                <wp:positionH relativeFrom="column">
                  <wp:posOffset>9144</wp:posOffset>
                </wp:positionH>
                <wp:positionV relativeFrom="paragraph">
                  <wp:posOffset>1789738</wp:posOffset>
                </wp:positionV>
                <wp:extent cx="141732" cy="292608"/>
                <wp:effectExtent l="0" t="0" r="0" b="0"/>
                <wp:wrapSquare wrapText="bothSides"/>
                <wp:docPr id="2455566" name="Group 2455566"/>
                <wp:cNvGraphicFramePr/>
                <a:graphic xmlns:a="http://schemas.openxmlformats.org/drawingml/2006/main">
                  <a:graphicData uri="http://schemas.microsoft.com/office/word/2010/wordprocessingGroup">
                    <wpg:wgp>
                      <wpg:cNvGrpSpPr/>
                      <wpg:grpSpPr>
                        <a:xfrm>
                          <a:off x="0" y="0"/>
                          <a:ext cx="141732" cy="292608"/>
                          <a:chOff x="0" y="0"/>
                          <a:chExt cx="141732" cy="292608"/>
                        </a:xfrm>
                      </wpg:grpSpPr>
                      <wps:wsp>
                        <wps:cNvPr id="423529" name="Rectangle 423529"/>
                        <wps:cNvSpPr/>
                        <wps:spPr>
                          <a:xfrm>
                            <a:off x="0" y="0"/>
                            <a:ext cx="188504" cy="389169"/>
                          </a:xfrm>
                          <a:prstGeom prst="rect">
                            <a:avLst/>
                          </a:prstGeom>
                          <a:ln>
                            <a:noFill/>
                          </a:ln>
                        </wps:spPr>
                        <wps:txbx>
                          <w:txbxContent>
                            <w:p w14:paraId="2F797F13"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7295E21C" id="Group 2455566" o:spid="_x0000_s1295" style="position:absolute;left:0;text-align:left;margin-left:.7pt;margin-top:140.9pt;width:11.15pt;height:23.05pt;z-index:251963392;mso-position-horizontal-relative:text;mso-position-vertical-relative:text" coordsize="14173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">
                <v:rect id="Rectangle 423529" o:spid="_x0000_s1296" style="position:absolute;width:188504;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" filled="f" stroked="f">
                  <v:textbox inset="0,0,0,0">
                    <w:txbxContent>
                      <w:p w14:paraId="2F797F13" w14:textId="77777777" w:rsidR="00053D93" w:rsidRDefault="00260B75">
                        <w:r>
                          <w:rPr>
                            <w:rFonts w:ascii="Times New Roman" w:eastAsia="Times New Roman" w:hAnsi="Times New Roman" w:cs="Times New Roman"/>
                            <w:sz w:val="86"/>
                          </w:rPr>
                          <w:t>1</w:t>
                        </w:r>
                      </w:p>
                    </w:txbxContent>
                  </v:textbox>
                </v:rect>
                <w10:wrap type="square"/>
              </v:group>
            </w:pict>
          </mc:Fallback>
        </mc:AlternateContent>
      </w:r>
      <w:r>
        <w:rPr>
          <w:sz w:val="26"/>
        </w:rPr>
        <w:t xml:space="preserve">En oficio No. RRHH-123-2025, del 21 de abril de 2025, el Ingeniero Mario Alfredo Cerna Yanes, quien fungió como Coordinador de Recursos Humanos, por el </w:t>
      </w:r>
      <w:r>
        <w:rPr>
          <w:rFonts w:ascii="Times New Roman" w:eastAsia="Times New Roman" w:hAnsi="Times New Roman" w:cs="Times New Roman"/>
          <w:sz w:val="26"/>
        </w:rPr>
        <w:t xml:space="preserve">1 </w:t>
      </w:r>
      <w:r>
        <w:rPr>
          <w:sz w:val="26"/>
        </w:rPr>
        <w:t xml:space="preserve">periodo comprendido del 05 de agosto de 2024 al 01 de octubre de 2024, manifiesta. "...En esta oportunidad me dirijo a usted para dar respuesta al OFICIO </w:t>
      </w:r>
      <w:r>
        <w:rPr>
          <w:rFonts w:ascii="Times New Roman" w:eastAsia="Times New Roman" w:hAnsi="Times New Roman" w:cs="Times New Roman"/>
          <w:sz w:val="26"/>
        </w:rPr>
        <w:t xml:space="preserve">1 </w:t>
      </w:r>
      <w:r>
        <w:rPr>
          <w:sz w:val="26"/>
        </w:rPr>
        <w:t xml:space="preserve">DE NOTIFICACIÓN No.: CGC-DAS-03-2024-NOTlF.MlNEDUC.DlGEF.07 de fecha 02 de Abril de 2025, a través del cual la comisión de la Contraloría General de cuentas a su cargo, solicitan cumplir con un (01) hallazgo relacionado a los 14 </w:t>
      </w:r>
      <w:r>
        <w:rPr>
          <w:rFonts w:ascii="Times New Roman" w:eastAsia="Times New Roman" w:hAnsi="Times New Roman" w:cs="Times New Roman"/>
          <w:sz w:val="26"/>
        </w:rPr>
        <w:t xml:space="preserve">1 </w:t>
      </w:r>
      <w:r>
        <w:rPr>
          <w:sz w:val="26"/>
        </w:rPr>
        <w:t xml:space="preserve">servidores públicos del renglón presupuestario 01 1 personal permanente, que durante el período comprendido del 01 de enero al 31 de diciembre de 2024, donde se excedieron del plazo de 6 meses que permite la Ley de Servicio Civil para ocupar los puestos provisionales y 7 servidores públicos no cumplieron con el perfil del puesto que cubrieron., en dicho período no me encontraba laborando en </w:t>
      </w:r>
      <w:r>
        <w:rPr>
          <w:rFonts w:ascii="Times New Roman" w:eastAsia="Times New Roman" w:hAnsi="Times New Roman" w:cs="Times New Roman"/>
          <w:sz w:val="26"/>
        </w:rPr>
        <w:t xml:space="preserve">1 </w:t>
      </w:r>
      <w:r>
        <w:rPr>
          <w:sz w:val="26"/>
        </w:rPr>
        <w:t>la Dirección General de Educación Física -DIGEF. De acuerdo al ACTA No.</w:t>
      </w:r>
    </w:p>
    <w:p w14:paraId="4D24DD79" w14:textId="77777777" w:rsidR="00053D93" w:rsidRDefault="00260B75">
      <w:pPr>
        <w:spacing w:after="17" w:line="247" w:lineRule="auto"/>
        <w:ind w:left="14" w:right="14" w:firstLine="4"/>
        <w:jc w:val="both"/>
      </w:pPr>
      <w:r>
        <w:rPr>
          <w:sz w:val="26"/>
        </w:rPr>
        <w:t>009-2024 de fecha 05 de agosto de 2024... fui reinstalado por orden del Juez Competente, al cargo de Director Técnico ll, especialidad Administración de</w:t>
      </w:r>
    </w:p>
    <w:p w14:paraId="1A51392F" w14:textId="77777777" w:rsidR="00053D93" w:rsidRDefault="00260B75">
      <w:pPr>
        <w:spacing w:after="40" w:line="247" w:lineRule="auto"/>
        <w:ind w:left="1656" w:right="14" w:hanging="1642"/>
        <w:jc w:val="both"/>
      </w:pPr>
      <w:r>
        <w:rPr>
          <w:noProof/>
        </w:rPr>
        <mc:AlternateContent>
          <mc:Choice Requires="wpg">
            <w:drawing>
              <wp:inline distT="0" distB="0" distL="0" distR="0" wp14:anchorId="3B34F1DC" wp14:editId="792F6B0C">
                <wp:extent cx="114300" cy="301752"/>
                <wp:effectExtent l="0" t="0" r="0" b="0"/>
                <wp:docPr id="2455567" name="Group 2455567"/>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423531" name="Rectangle 423531"/>
                        <wps:cNvSpPr/>
                        <wps:spPr>
                          <a:xfrm>
                            <a:off x="0" y="0"/>
                            <a:ext cx="152019" cy="401330"/>
                          </a:xfrm>
                          <a:prstGeom prst="rect">
                            <a:avLst/>
                          </a:prstGeom>
                          <a:ln>
                            <a:noFill/>
                          </a:ln>
                        </wps:spPr>
                        <wps:txbx>
                          <w:txbxContent>
                            <w:p w14:paraId="7DE0F228"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3B34F1DC" id="Group 2455567" o:spid="_x0000_s1297"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">
                <v:rect id="Rectangle 423531" o:spid="_x0000_s1298"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" filled="f" stroked="f">
                  <v:textbox inset="0,0,0,0">
                    <w:txbxContent>
                      <w:p w14:paraId="7DE0F228"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Recursos Humanos en la Dirección General de Educación Física -DIGEF- el día 05 de agosto de 2024, por Io que desconozco el movimiento de los puestos</w:t>
      </w:r>
    </w:p>
    <w:p w14:paraId="390B8BD4" w14:textId="77777777" w:rsidR="00053D93" w:rsidRDefault="00260B75">
      <w:pPr>
        <w:tabs>
          <w:tab w:val="right" w:pos="10181"/>
        </w:tabs>
        <w:spacing w:after="186" w:line="252" w:lineRule="auto"/>
      </w:pPr>
      <w:r>
        <w:rPr>
          <w:rFonts w:ascii="Times New Roman" w:eastAsia="Times New Roman" w:hAnsi="Times New Roman" w:cs="Times New Roman"/>
          <w:sz w:val="24"/>
        </w:rPr>
        <w:t>-1</w:t>
      </w:r>
      <w:r>
        <w:rPr>
          <w:rFonts w:ascii="Times New Roman" w:eastAsia="Times New Roman" w:hAnsi="Times New Roman" w:cs="Times New Roman"/>
          <w:sz w:val="24"/>
        </w:rPr>
        <w:tab/>
      </w:r>
      <w:r>
        <w:rPr>
          <w:sz w:val="24"/>
        </w:rPr>
        <w:t>interinos del personal permanente 011 que fueron cubiertos durante el periodo del</w:t>
      </w:r>
    </w:p>
    <w:p w14:paraId="0B000FFF" w14:textId="77777777" w:rsidR="00053D93" w:rsidRDefault="00260B75">
      <w:pPr>
        <w:spacing w:after="17" w:line="247" w:lineRule="auto"/>
        <w:ind w:left="14" w:right="14" w:firstLine="4"/>
        <w:jc w:val="both"/>
      </w:pPr>
      <w:r>
        <w:rPr>
          <w:sz w:val="26"/>
        </w:rPr>
        <w:t>01 de enero al 04 de agosto de 2024, dichos puestos fueron nombrados por la</w:t>
      </w:r>
    </w:p>
    <w:tbl>
      <w:tblPr>
        <w:tblStyle w:val="TableGrid"/>
        <w:tblpPr w:vertAnchor="page" w:horzAnchor="page" w:tblpX="2868" w:tblpY="14573"/>
        <w:tblOverlap w:val="never"/>
        <w:tblW w:w="7629" w:type="dxa"/>
        <w:tblInd w:w="0" w:type="dxa"/>
        <w:tblCellMar>
          <w:top w:w="35" w:type="dxa"/>
          <w:left w:w="1740" w:type="dxa"/>
          <w:right w:w="115" w:type="dxa"/>
        </w:tblCellMar>
        <w:tblLook w:val="04A0" w:firstRow="1" w:lastRow="0" w:firstColumn="1" w:lastColumn="0" w:noHBand="0" w:noVBand="1"/>
      </w:tblPr>
      <w:tblGrid>
        <w:gridCol w:w="7629"/>
      </w:tblGrid>
      <w:tr w:rsidR="00053D93" w14:paraId="6B79270C" w14:textId="77777777">
        <w:trPr>
          <w:trHeight w:val="41"/>
        </w:trPr>
        <w:tc>
          <w:tcPr>
            <w:tcW w:w="7629" w:type="dxa"/>
            <w:tcBorders>
              <w:top w:val="nil"/>
              <w:left w:val="single" w:sz="2" w:space="0" w:color="000000"/>
              <w:bottom w:val="single" w:sz="2" w:space="0" w:color="000000"/>
              <w:right w:val="nil"/>
            </w:tcBorders>
          </w:tcPr>
          <w:p w14:paraId="1C726429" w14:textId="77777777" w:rsidR="00053D93" w:rsidRDefault="00053D93"/>
        </w:tc>
      </w:tr>
      <w:tr w:rsidR="00053D93" w14:paraId="5A266FF2" w14:textId="77777777">
        <w:trPr>
          <w:trHeight w:val="600"/>
        </w:trPr>
        <w:tc>
          <w:tcPr>
            <w:tcW w:w="7629" w:type="dxa"/>
            <w:tcBorders>
              <w:top w:val="single" w:sz="2" w:space="0" w:color="000000"/>
              <w:left w:val="single" w:sz="2" w:space="0" w:color="000000"/>
              <w:bottom w:val="nil"/>
              <w:right w:val="nil"/>
            </w:tcBorders>
          </w:tcPr>
          <w:p w14:paraId="21DBF35E" w14:textId="77777777" w:rsidR="00053D93" w:rsidRDefault="00260B75">
            <w:pPr>
              <w:ind w:left="842"/>
            </w:pPr>
            <w:r>
              <w:rPr>
                <w:sz w:val="14"/>
              </w:rPr>
              <w:lastRenderedPageBreak/>
              <w:t>MINISTERIO OE EDUCACION</w:t>
            </w:r>
          </w:p>
          <w:p w14:paraId="0E14284E" w14:textId="77777777" w:rsidR="00053D93" w:rsidRDefault="00260B75">
            <w:pPr>
              <w:ind w:left="338"/>
            </w:pPr>
            <w:r>
              <w:rPr>
                <w:sz w:val="14"/>
              </w:rPr>
              <w:t>AUDITORIA FINANCTERA Y DE CUMPLIMIENTO</w:t>
            </w:r>
          </w:p>
          <w:p w14:paraId="365AF2EE" w14:textId="77777777" w:rsidR="00053D93" w:rsidRDefault="00260B75">
            <w:r>
              <w:rPr>
                <w:sz w:val="14"/>
              </w:rPr>
              <w:t>PERIODO DEL 01 DE ENERO AL 31 DE DICIEMBRE OE 2024</w:t>
            </w:r>
          </w:p>
        </w:tc>
      </w:tr>
    </w:tbl>
    <w:p w14:paraId="0FA18ECD" w14:textId="77777777" w:rsidR="00053D93" w:rsidRDefault="00260B75">
      <w:pPr>
        <w:spacing w:after="17" w:line="331" w:lineRule="auto"/>
        <w:ind w:left="14" w:right="4500" w:firstLine="1692"/>
        <w:jc w:val="both"/>
      </w:pPr>
      <w:r>
        <w:rPr>
          <w:noProof/>
        </w:rPr>
        <w:drawing>
          <wp:anchor distT="0" distB="0" distL="114300" distR="114300" simplePos="0" relativeHeight="251964416" behindDoc="0" locked="0" layoutInCell="1" allowOverlap="0" wp14:anchorId="2B2A9B4E" wp14:editId="1C94C133">
            <wp:simplePos x="0" y="0"/>
            <wp:positionH relativeFrom="page">
              <wp:posOffset>676656</wp:posOffset>
            </wp:positionH>
            <wp:positionV relativeFrom="page">
              <wp:posOffset>9253727</wp:posOffset>
            </wp:positionV>
            <wp:extent cx="1124712" cy="406909"/>
            <wp:effectExtent l="0" t="0" r="0" b="0"/>
            <wp:wrapTopAndBottom/>
            <wp:docPr id="426917" name="Picture 426917"/>
            <wp:cNvGraphicFramePr/>
            <a:graphic xmlns:a="http://schemas.openxmlformats.org/drawingml/2006/main">
              <a:graphicData uri="http://schemas.openxmlformats.org/drawingml/2006/picture">
                <pic:pic xmlns:pic="http://schemas.openxmlformats.org/drawingml/2006/picture">
                  <pic:nvPicPr>
                    <pic:cNvPr id="426917" name="Picture 426917"/>
                    <pic:cNvPicPr/>
                  </pic:nvPicPr>
                  <pic:blipFill>
                    <a:blip r:embed="rId668"/>
                    <a:stretch>
                      <a:fillRect/>
                    </a:stretch>
                  </pic:blipFill>
                  <pic:spPr>
                    <a:xfrm>
                      <a:off x="0" y="0"/>
                      <a:ext cx="1124712" cy="406909"/>
                    </a:xfrm>
                    <a:prstGeom prst="rect">
                      <a:avLst/>
                    </a:prstGeom>
                  </pic:spPr>
                </pic:pic>
              </a:graphicData>
            </a:graphic>
          </wp:anchor>
        </w:drawing>
      </w:r>
      <w:r>
        <w:rPr>
          <w:sz w:val="26"/>
        </w:rPr>
        <w:t xml:space="preserve">Dirección General en su momento... " </w:t>
      </w:r>
      <w:r>
        <w:rPr>
          <w:rFonts w:ascii="Times New Roman" w:eastAsia="Times New Roman" w:hAnsi="Times New Roman" w:cs="Times New Roman"/>
          <w:sz w:val="26"/>
        </w:rPr>
        <w:t>-1</w:t>
      </w:r>
    </w:p>
    <w:p w14:paraId="43F019ED" w14:textId="77777777" w:rsidR="00053D93" w:rsidRDefault="00260B75">
      <w:pPr>
        <w:spacing w:after="51" w:line="247" w:lineRule="auto"/>
        <w:ind w:left="14" w:right="14" w:firstLine="1692"/>
        <w:jc w:val="both"/>
      </w:pPr>
      <w:r>
        <w:rPr>
          <w:sz w:val="26"/>
        </w:rPr>
        <w:t xml:space="preserve">En nota s/n del 20 de abril de 2025, la licenciada Gladys Maite Rojas Álvarez, quien fungió como Coordinadora de Recursos Humanos, por el período </w:t>
      </w:r>
      <w:r>
        <w:rPr>
          <w:noProof/>
        </w:rPr>
        <mc:AlternateContent>
          <mc:Choice Requires="wpg">
            <w:drawing>
              <wp:inline distT="0" distB="0" distL="0" distR="0" wp14:anchorId="11C48E68" wp14:editId="3C97ED32">
                <wp:extent cx="114300" cy="297180"/>
                <wp:effectExtent l="0" t="0" r="0" b="0"/>
                <wp:docPr id="2455568" name="Group 2455568"/>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423534" name="Rectangle 423534"/>
                        <wps:cNvSpPr/>
                        <wps:spPr>
                          <a:xfrm>
                            <a:off x="0" y="0"/>
                            <a:ext cx="152019" cy="395249"/>
                          </a:xfrm>
                          <a:prstGeom prst="rect">
                            <a:avLst/>
                          </a:prstGeom>
                          <a:ln>
                            <a:noFill/>
                          </a:ln>
                        </wps:spPr>
                        <wps:txbx>
                          <w:txbxContent>
                            <w:p w14:paraId="3B1C2E40"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11C48E68" id="Group 2455568" o:spid="_x0000_s1299"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CqSFr2DgIAAJYE&#10;AAAOAAAAAAAAAAAAAAAAAC4CAABkcnMvZTJvRG9jLnhtbFBLAQItABQABgAIAAAAIQDLw3M32gAA&#10;AAMBAAAPAAAAAAAAAAAAAAAAAGgEAABkcnMvZG93bnJldi54bWxQSwUGAAAAAAQABADzAAAAbwUA&#10;AAAA&#10;">
                <v:rect id="Rectangle 423534" o:spid="_x0000_s1300"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" filled="f" stroked="f">
                  <v:textbox inset="0,0,0,0">
                    <w:txbxContent>
                      <w:p w14:paraId="3B1C2E40"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comprendido 01 de enero de 2020 al 31 de diciembre de 2020 manifiesta•. "...En relación con ello, me permito informar, que durante el tiempo que ocupe el cargo </w:t>
      </w:r>
      <w:r>
        <w:rPr>
          <w:rFonts w:ascii="Times New Roman" w:eastAsia="Times New Roman" w:hAnsi="Times New Roman" w:cs="Times New Roman"/>
          <w:sz w:val="26"/>
        </w:rPr>
        <w:t xml:space="preserve">1 </w:t>
      </w:r>
      <w:r>
        <w:rPr>
          <w:sz w:val="26"/>
        </w:rPr>
        <w:t xml:space="preserve">de Coordinadora de Recursos Humanos, como parte de las funciones inherentes a mi puesto, ante la Dirección y la Subdirección General Administrativa se gestionó el financiamiento para la contratación de personal para plazas vacantes y proceder </w:t>
      </w:r>
      <w:r>
        <w:rPr>
          <w:noProof/>
        </w:rPr>
        <mc:AlternateContent>
          <mc:Choice Requires="wpg">
            <w:drawing>
              <wp:inline distT="0" distB="0" distL="0" distR="0" wp14:anchorId="2B736098" wp14:editId="044D815D">
                <wp:extent cx="146304" cy="292608"/>
                <wp:effectExtent l="0" t="0" r="0" b="0"/>
                <wp:docPr id="2455569" name="Group 2455569"/>
                <wp:cNvGraphicFramePr/>
                <a:graphic xmlns:a="http://schemas.openxmlformats.org/drawingml/2006/main">
                  <a:graphicData uri="http://schemas.microsoft.com/office/word/2010/wordprocessingGroup">
                    <wpg:wgp>
                      <wpg:cNvGrpSpPr/>
                      <wpg:grpSpPr>
                        <a:xfrm>
                          <a:off x="0" y="0"/>
                          <a:ext cx="146304" cy="292608"/>
                          <a:chOff x="0" y="0"/>
                          <a:chExt cx="146304" cy="292608"/>
                        </a:xfrm>
                      </wpg:grpSpPr>
                      <wps:wsp>
                        <wps:cNvPr id="423536" name="Rectangle 423536"/>
                        <wps:cNvSpPr/>
                        <wps:spPr>
                          <a:xfrm>
                            <a:off x="0" y="0"/>
                            <a:ext cx="194584" cy="389168"/>
                          </a:xfrm>
                          <a:prstGeom prst="rect">
                            <a:avLst/>
                          </a:prstGeom>
                          <a:ln>
                            <a:noFill/>
                          </a:ln>
                        </wps:spPr>
                        <wps:txbx>
                          <w:txbxContent>
                            <w:p w14:paraId="4CA6B679" w14:textId="77777777" w:rsidR="00053D93" w:rsidRDefault="00260B75">
                              <w:r>
                                <w:rPr>
                                  <w:rFonts w:ascii="Times New Roman" w:eastAsia="Times New Roman" w:hAnsi="Times New Roman" w:cs="Times New Roman"/>
                                  <w:sz w:val="88"/>
                                </w:rPr>
                                <w:t>1</w:t>
                              </w:r>
                            </w:p>
                          </w:txbxContent>
                        </wps:txbx>
                        <wps:bodyPr horzOverflow="overflow" vert="horz" lIns="0" tIns="0" rIns="0" bIns="0" rtlCol="0">
                          <a:noAutofit/>
                        </wps:bodyPr>
                      </wps:wsp>
                    </wpg:wgp>
                  </a:graphicData>
                </a:graphic>
              </wp:inline>
            </w:drawing>
          </mc:Choice>
          <mc:Fallback>
            <w:pict>
              <v:group w14:anchorId="2B736098" id="Group 2455569" o:spid="_x0000_s1301" style="width:11.5pt;height:23.05pt;mso-position-horizontal-relative:char;mso-position-vertical-relative:line" coordsize="14630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">
                <v:rect id="Rectangle 423536" o:spid="_x0000_s1302" style="position:absolute;width:194584;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" filled="f" stroked="f">
                  <v:textbox inset="0,0,0,0">
                    <w:txbxContent>
                      <w:p w14:paraId="4CA6B679" w14:textId="77777777" w:rsidR="00053D93" w:rsidRDefault="00260B75">
                        <w:r>
                          <w:rPr>
                            <w:rFonts w:ascii="Times New Roman" w:eastAsia="Times New Roman" w:hAnsi="Times New Roman" w:cs="Times New Roman"/>
                            <w:sz w:val="88"/>
                          </w:rPr>
                          <w:t>1</w:t>
                        </w:r>
                      </w:p>
                    </w:txbxContent>
                  </v:textbox>
                </v:rect>
                <w10:anchorlock/>
              </v:group>
            </w:pict>
          </mc:Fallback>
        </mc:AlternateContent>
      </w:r>
      <w:r>
        <w:rPr>
          <w:sz w:val="26"/>
        </w:rPr>
        <w:t xml:space="preserve"> a realizar el proceso de convocatoria correspondiente con el objetivo de cubrir las plazas administrativas y jefaturas que se encontraban en ese tiempo ocupadas de forma interina, por tal situación se indicó que muchas de ellas no cumplían con las </w:t>
      </w:r>
      <w:r>
        <w:rPr>
          <w:noProof/>
        </w:rPr>
        <mc:AlternateContent>
          <mc:Choice Requires="wpg">
            <w:drawing>
              <wp:inline distT="0" distB="0" distL="0" distR="0" wp14:anchorId="2C686D9B" wp14:editId="3D419C37">
                <wp:extent cx="150876" cy="297180"/>
                <wp:effectExtent l="0" t="0" r="0" b="0"/>
                <wp:docPr id="2455570" name="Group 2455570"/>
                <wp:cNvGraphicFramePr/>
                <a:graphic xmlns:a="http://schemas.openxmlformats.org/drawingml/2006/main">
                  <a:graphicData uri="http://schemas.microsoft.com/office/word/2010/wordprocessingGroup">
                    <wpg:wgp>
                      <wpg:cNvGrpSpPr/>
                      <wpg:grpSpPr>
                        <a:xfrm>
                          <a:off x="0" y="0"/>
                          <a:ext cx="150876" cy="297180"/>
                          <a:chOff x="0" y="0"/>
                          <a:chExt cx="150876" cy="297180"/>
                        </a:xfrm>
                      </wpg:grpSpPr>
                      <wps:wsp>
                        <wps:cNvPr id="423537" name="Rectangle 423537"/>
                        <wps:cNvSpPr/>
                        <wps:spPr>
                          <a:xfrm>
                            <a:off x="0" y="0"/>
                            <a:ext cx="200665" cy="395249"/>
                          </a:xfrm>
                          <a:prstGeom prst="rect">
                            <a:avLst/>
                          </a:prstGeom>
                          <a:ln>
                            <a:noFill/>
                          </a:ln>
                        </wps:spPr>
                        <wps:txbx>
                          <w:txbxContent>
                            <w:p w14:paraId="1A846935" w14:textId="77777777" w:rsidR="00053D93" w:rsidRDefault="00260B75">
                              <w:r>
                                <w:rPr>
                                  <w:rFonts w:ascii="Times New Roman" w:eastAsia="Times New Roman" w:hAnsi="Times New Roman" w:cs="Times New Roman"/>
                                  <w:sz w:val="92"/>
                                </w:rPr>
                                <w:t>1</w:t>
                              </w:r>
                            </w:p>
                          </w:txbxContent>
                        </wps:txbx>
                        <wps:bodyPr horzOverflow="overflow" vert="horz" lIns="0" tIns="0" rIns="0" bIns="0" rtlCol="0">
                          <a:noAutofit/>
                        </wps:bodyPr>
                      </wps:wsp>
                    </wpg:wgp>
                  </a:graphicData>
                </a:graphic>
              </wp:inline>
            </w:drawing>
          </mc:Choice>
          <mc:Fallback>
            <w:pict>
              <v:group w14:anchorId="2C686D9B" id="Group 2455570" o:spid="_x0000_s1303" style="width:11.9pt;height:23.4pt;mso-position-horizontal-relative:char;mso-position-vertical-relative:line" coordsize="150876,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">
                <v:rect id="Rectangle 423537" o:spid="_x0000_s1304" style="position:absolute;width:200665;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" filled="f" stroked="f">
                  <v:textbox inset="0,0,0,0">
                    <w:txbxContent>
                      <w:p w14:paraId="1A846935" w14:textId="77777777" w:rsidR="00053D93" w:rsidRDefault="00260B75">
                        <w:r>
                          <w:rPr>
                            <w:rFonts w:ascii="Times New Roman" w:eastAsia="Times New Roman" w:hAnsi="Times New Roman" w:cs="Times New Roman"/>
                            <w:sz w:val="92"/>
                          </w:rPr>
                          <w:t>1</w:t>
                        </w:r>
                      </w:p>
                    </w:txbxContent>
                  </v:textbox>
                </v:rect>
                <w10:anchorlock/>
              </v:group>
            </w:pict>
          </mc:Fallback>
        </mc:AlternateContent>
      </w:r>
      <w:r>
        <w:rPr>
          <w:sz w:val="26"/>
        </w:rPr>
        <w:t xml:space="preserve"> calidades necesarias para desempeñarse en los puestos, además que ya se tenía más del tiempo que era permitido por la Ley de la Materia, advirtiendo y se podría </w:t>
      </w:r>
      <w:r>
        <w:rPr>
          <w:rFonts w:ascii="Times New Roman" w:eastAsia="Times New Roman" w:hAnsi="Times New Roman" w:cs="Times New Roman"/>
          <w:sz w:val="26"/>
        </w:rPr>
        <w:t xml:space="preserve">-1 </w:t>
      </w:r>
      <w:r>
        <w:rPr>
          <w:sz w:val="26"/>
        </w:rPr>
        <w:t>incurrir en un hallazgo por el ente fiscalizador. (Oficio NO. RRHH-137-2019 de fecha 07 de marzo de 2019, Oficio RRHH-539-2018, Oficio No RRHH-134-2019).</w:t>
      </w:r>
    </w:p>
    <w:p w14:paraId="6D1F6F90" w14:textId="77777777" w:rsidR="00053D93" w:rsidRDefault="00260B75">
      <w:pPr>
        <w:spacing w:after="17" w:line="247" w:lineRule="auto"/>
        <w:ind w:left="14" w:right="14" w:firstLine="1692"/>
        <w:jc w:val="both"/>
      </w:pPr>
      <w:r>
        <w:rPr>
          <w:sz w:val="26"/>
        </w:rPr>
        <w:t xml:space="preserve">Es importante resaltar que la responsabilidad del Jefe de Acciones de Personal es </w:t>
      </w:r>
      <w:r>
        <w:rPr>
          <w:rFonts w:ascii="Times New Roman" w:eastAsia="Times New Roman" w:hAnsi="Times New Roman" w:cs="Times New Roman"/>
          <w:sz w:val="26"/>
        </w:rPr>
        <w:t xml:space="preserve">1 </w:t>
      </w:r>
      <w:r>
        <w:rPr>
          <w:sz w:val="26"/>
        </w:rPr>
        <w:t xml:space="preserve">el de asegurar que el proceso para ocupar las plazas interinas se haya realizado de a acuerdo a la ley de la materia como lo es cumplir con los requisitos del perfil del puesto y algo muy importante el cumplimiento de los plazos legales, evitando con ello que estas plazas se prolonguen más allá del tiempo permitido sin justificación o sin los debidos procesos de nombramiento ya que se encontraban </w:t>
      </w:r>
      <w:r>
        <w:rPr>
          <w:rFonts w:ascii="Times New Roman" w:eastAsia="Times New Roman" w:hAnsi="Times New Roman" w:cs="Times New Roman"/>
          <w:sz w:val="26"/>
        </w:rPr>
        <w:t xml:space="preserve">1 </w:t>
      </w:r>
      <w:r>
        <w:rPr>
          <w:sz w:val="26"/>
        </w:rPr>
        <w:t>interinas. Y en mi calidad de Coordinadora de Recursos Humanos es la de dar un</w:t>
      </w:r>
    </w:p>
    <w:p w14:paraId="6A07D8AD" w14:textId="77777777" w:rsidR="00053D93" w:rsidRDefault="00260B75">
      <w:pPr>
        <w:spacing w:after="81" w:line="265" w:lineRule="auto"/>
        <w:ind w:left="3624" w:right="101" w:hanging="10"/>
        <w:jc w:val="center"/>
      </w:pPr>
      <w:r>
        <w:rPr>
          <w:sz w:val="14"/>
        </w:rPr>
        <w:t xml:space="preserve">OE </w:t>
      </w:r>
    </w:p>
    <w:p w14:paraId="4A105E4E" w14:textId="77777777" w:rsidR="00053D93" w:rsidRDefault="00260B75">
      <w:pPr>
        <w:spacing w:after="11"/>
        <w:ind w:left="1138"/>
      </w:pPr>
      <w:r>
        <w:rPr>
          <w:noProof/>
        </w:rPr>
        <mc:AlternateContent>
          <mc:Choice Requires="wpg">
            <w:drawing>
              <wp:inline distT="0" distB="0" distL="0" distR="0" wp14:anchorId="1912B9B5" wp14:editId="7E6B126B">
                <wp:extent cx="5715000" cy="13716"/>
                <wp:effectExtent l="0" t="0" r="0" b="0"/>
                <wp:docPr id="2458365" name="Group 2458365"/>
                <wp:cNvGraphicFramePr/>
                <a:graphic xmlns:a="http://schemas.openxmlformats.org/drawingml/2006/main">
                  <a:graphicData uri="http://schemas.microsoft.com/office/word/2010/wordprocessingGroup">
                    <wpg:wgp>
                      <wpg:cNvGrpSpPr/>
                      <wpg:grpSpPr>
                        <a:xfrm>
                          <a:off x="0" y="0"/>
                          <a:ext cx="5715000" cy="13716"/>
                          <a:chOff x="0" y="0"/>
                          <a:chExt cx="5715000" cy="13716"/>
                        </a:xfrm>
                      </wpg:grpSpPr>
                      <wps:wsp>
                        <wps:cNvPr id="2458364" name="Shape 2458364"/>
                        <wps:cNvSpPr/>
                        <wps:spPr>
                          <a:xfrm>
                            <a:off x="0" y="0"/>
                            <a:ext cx="5715000" cy="13716"/>
                          </a:xfrm>
                          <a:custGeom>
                            <a:avLst/>
                            <a:gdLst/>
                            <a:ahLst/>
                            <a:cxnLst/>
                            <a:rect l="0" t="0" r="0" b="0"/>
                            <a:pathLst>
                              <a:path w="5715000" h="13716">
                                <a:moveTo>
                                  <a:pt x="0" y="6858"/>
                                </a:moveTo>
                                <a:lnTo>
                                  <a:pt x="571500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65" style="width:450pt;height:1.08pt;mso-position-horizontal-relative:char;mso-position-vertical-relative:line" coordsize="57150,137">
                <v:shape id="Shape 2458364" style="position:absolute;width:57150;height:137;left:0;top:0;" coordsize="5715000,13716" path="m0,6858l5715000,6858">
                  <v:stroke weight="1.08pt" endcap="flat" joinstyle="miter" miterlimit="1" on="true" color="#000000"/>
                  <v:fill on="false" color="#000000"/>
                </v:shape>
              </v:group>
            </w:pict>
          </mc:Fallback>
        </mc:AlternateContent>
      </w:r>
    </w:p>
    <w:p w14:paraId="70FEC108" w14:textId="77777777" w:rsidR="00053D93" w:rsidRDefault="00260B75">
      <w:pPr>
        <w:spacing w:after="295" w:line="247" w:lineRule="auto"/>
        <w:ind w:left="1706" w:right="14" w:firstLine="4"/>
        <w:jc w:val="both"/>
      </w:pPr>
      <w:r>
        <w:rPr>
          <w:sz w:val="26"/>
        </w:rPr>
        <w:t>seguimiento al trabajo desarrollado por el Jefe de acciones de Personal y es por ello que se hizo del conocimiento a la Dirección y la Subdirección General Administrativa mediante los oficios en mención anteriormente indicados. Por lo anteriormente expuesto, señores Auditores, respetuosamente solicito sea desvanecido el posible hallazgo hacia mi persona, toda vez que dentro de mi gestión si se solicitó que fueran gestionadas las plazas vacantes para realizar el proceso administrativo de contratación como le correspondía a la Coordinación a mi Cargo..."</w:t>
      </w:r>
    </w:p>
    <w:tbl>
      <w:tblPr>
        <w:tblStyle w:val="TableGrid"/>
        <w:tblpPr w:vertAnchor="page" w:horzAnchor="page" w:tblpX="2873" w:tblpY="14664"/>
        <w:tblOverlap w:val="never"/>
        <w:tblW w:w="7632" w:type="dxa"/>
        <w:tblInd w:w="0" w:type="dxa"/>
        <w:tblCellMar>
          <w:top w:w="28" w:type="dxa"/>
          <w:left w:w="1764" w:type="dxa"/>
          <w:right w:w="115" w:type="dxa"/>
        </w:tblCellMar>
        <w:tblLook w:val="04A0" w:firstRow="1" w:lastRow="0" w:firstColumn="1" w:lastColumn="0" w:noHBand="0" w:noVBand="1"/>
      </w:tblPr>
      <w:tblGrid>
        <w:gridCol w:w="7632"/>
      </w:tblGrid>
      <w:tr w:rsidR="00053D93" w14:paraId="6EEAD238" w14:textId="77777777">
        <w:trPr>
          <w:trHeight w:val="608"/>
        </w:trPr>
        <w:tc>
          <w:tcPr>
            <w:tcW w:w="7632" w:type="dxa"/>
            <w:tcBorders>
              <w:top w:val="single" w:sz="2" w:space="0" w:color="000000"/>
              <w:left w:val="single" w:sz="2" w:space="0" w:color="000000"/>
              <w:bottom w:val="nil"/>
              <w:right w:val="nil"/>
            </w:tcBorders>
          </w:tcPr>
          <w:p w14:paraId="784042EB" w14:textId="77777777" w:rsidR="00053D93" w:rsidRDefault="00260B75">
            <w:pPr>
              <w:ind w:left="835"/>
            </w:pPr>
            <w:r>
              <w:rPr>
                <w:sz w:val="14"/>
              </w:rPr>
              <w:lastRenderedPageBreak/>
              <w:t>MINISTERIO DE EDUCACION</w:t>
            </w:r>
          </w:p>
          <w:p w14:paraId="54542AAE" w14:textId="77777777" w:rsidR="00053D93" w:rsidRDefault="00260B75">
            <w:pPr>
              <w:ind w:left="338"/>
            </w:pPr>
            <w:r>
              <w:rPr>
                <w:sz w:val="14"/>
              </w:rPr>
              <w:lastRenderedPageBreak/>
              <w:t>AUDITORIA FINANCIERA Y DE CUMPLIMIENTO</w:t>
            </w:r>
          </w:p>
          <w:p w14:paraId="3BF6320C" w14:textId="77777777" w:rsidR="00053D93" w:rsidRDefault="00260B75">
            <w:r>
              <w:rPr>
                <w:sz w:val="14"/>
              </w:rPr>
              <w:t>PERIODO DEL 01 DE ENERO AL 31 DE DICIEMBRE DE 2024</w:t>
            </w:r>
          </w:p>
        </w:tc>
      </w:tr>
    </w:tbl>
    <w:p w14:paraId="418FA2B5" w14:textId="77777777" w:rsidR="00053D93" w:rsidRDefault="00260B75">
      <w:pPr>
        <w:spacing w:after="91" w:line="247" w:lineRule="auto"/>
        <w:ind w:left="14" w:right="14" w:firstLine="1706"/>
        <w:jc w:val="both"/>
      </w:pPr>
      <w:r>
        <w:rPr>
          <w:noProof/>
        </w:rPr>
        <w:lastRenderedPageBreak/>
        <w:drawing>
          <wp:anchor distT="0" distB="0" distL="114300" distR="114300" simplePos="0" relativeHeight="251965440" behindDoc="0" locked="0" layoutInCell="1" allowOverlap="0" wp14:anchorId="6CAE7F84" wp14:editId="7D5ED37A">
            <wp:simplePos x="0" y="0"/>
            <wp:positionH relativeFrom="page">
              <wp:posOffset>713232</wp:posOffset>
            </wp:positionH>
            <wp:positionV relativeFrom="page">
              <wp:posOffset>9290303</wp:posOffset>
            </wp:positionV>
            <wp:extent cx="1056132" cy="411480"/>
            <wp:effectExtent l="0" t="0" r="0" b="0"/>
            <wp:wrapTopAndBottom/>
            <wp:docPr id="431222" name="Picture 431222"/>
            <wp:cNvGraphicFramePr/>
            <a:graphic xmlns:a="http://schemas.openxmlformats.org/drawingml/2006/main">
              <a:graphicData uri="http://schemas.openxmlformats.org/drawingml/2006/picture">
                <pic:pic xmlns:pic="http://schemas.openxmlformats.org/drawingml/2006/picture">
                  <pic:nvPicPr>
                    <pic:cNvPr id="431222" name="Picture 431222"/>
                    <pic:cNvPicPr/>
                  </pic:nvPicPr>
                  <pic:blipFill>
                    <a:blip r:embed="rId669"/>
                    <a:stretch>
                      <a:fillRect/>
                    </a:stretch>
                  </pic:blipFill>
                  <pic:spPr>
                    <a:xfrm>
                      <a:off x="0" y="0"/>
                      <a:ext cx="1056132" cy="411480"/>
                    </a:xfrm>
                    <a:prstGeom prst="rect">
                      <a:avLst/>
                    </a:prstGeom>
                  </pic:spPr>
                </pic:pic>
              </a:graphicData>
            </a:graphic>
          </wp:anchor>
        </w:drawing>
      </w:r>
      <w:r>
        <w:rPr>
          <w:noProof/>
        </w:rPr>
        <w:drawing>
          <wp:anchor distT="0" distB="0" distL="114300" distR="114300" simplePos="0" relativeHeight="251966464" behindDoc="0" locked="0" layoutInCell="1" allowOverlap="0" wp14:anchorId="39E3D825" wp14:editId="74E7E1C6">
            <wp:simplePos x="0" y="0"/>
            <wp:positionH relativeFrom="page">
              <wp:posOffset>7095745</wp:posOffset>
            </wp:positionH>
            <wp:positionV relativeFrom="page">
              <wp:posOffset>2907792</wp:posOffset>
            </wp:positionV>
            <wp:extent cx="13715" cy="13716"/>
            <wp:effectExtent l="0" t="0" r="0" b="0"/>
            <wp:wrapSquare wrapText="bothSides"/>
            <wp:docPr id="431223" name="Picture 431223"/>
            <wp:cNvGraphicFramePr/>
            <a:graphic xmlns:a="http://schemas.openxmlformats.org/drawingml/2006/main">
              <a:graphicData uri="http://schemas.openxmlformats.org/drawingml/2006/picture">
                <pic:pic xmlns:pic="http://schemas.openxmlformats.org/drawingml/2006/picture">
                  <pic:nvPicPr>
                    <pic:cNvPr id="431223" name="Picture 431223"/>
                    <pic:cNvPicPr/>
                  </pic:nvPicPr>
                  <pic:blipFill>
                    <a:blip r:embed="rId670"/>
                    <a:stretch>
                      <a:fillRect/>
                    </a:stretch>
                  </pic:blipFill>
                  <pic:spPr>
                    <a:xfrm>
                      <a:off x="0" y="0"/>
                      <a:ext cx="13715" cy="13716"/>
                    </a:xfrm>
                    <a:prstGeom prst="rect">
                      <a:avLst/>
                    </a:prstGeom>
                  </pic:spPr>
                </pic:pic>
              </a:graphicData>
            </a:graphic>
          </wp:anchor>
        </w:drawing>
      </w:r>
      <w:r>
        <w:rPr>
          <w:sz w:val="26"/>
        </w:rPr>
        <w:t xml:space="preserve">En nota s/n del 21 de abril de 2025, la licenciada Celia Aroche Navarijo, quien fungió como Coordinadora de Recursos Humanos, por el período comprendido del 01 de enero de 2022 al 07 de febrero de 2024, manifiesta: Por este medio, me permito hacer constar que, en mi calidad de Coordinadora de Recursos Humanos en mi gestión en el año 2023, en coordinación con el Jefe de Acciones de Personal, se realizaron las observaciones correspondiente, fueron trasladadas por medio de oficio en su momento al Director General Licenciado Carlos Federico </w:t>
      </w:r>
      <w:r>
        <w:rPr>
          <w:noProof/>
        </w:rPr>
        <mc:AlternateContent>
          <mc:Choice Requires="wpg">
            <w:drawing>
              <wp:inline distT="0" distB="0" distL="0" distR="0" wp14:anchorId="7ECD5D11" wp14:editId="277843FF">
                <wp:extent cx="137160" cy="297180"/>
                <wp:effectExtent l="0" t="0" r="0" b="0"/>
                <wp:docPr id="2455577" name="Group 2455577"/>
                <wp:cNvGraphicFramePr/>
                <a:graphic xmlns:a="http://schemas.openxmlformats.org/drawingml/2006/main">
                  <a:graphicData uri="http://schemas.microsoft.com/office/word/2010/wordprocessingGroup">
                    <wpg:wgp>
                      <wpg:cNvGrpSpPr/>
                      <wpg:grpSpPr>
                        <a:xfrm>
                          <a:off x="0" y="0"/>
                          <a:ext cx="137160" cy="297180"/>
                          <a:chOff x="0" y="0"/>
                          <a:chExt cx="137160" cy="297180"/>
                        </a:xfrm>
                      </wpg:grpSpPr>
                      <wps:wsp>
                        <wps:cNvPr id="427606" name="Rectangle 427606"/>
                        <wps:cNvSpPr/>
                        <wps:spPr>
                          <a:xfrm>
                            <a:off x="0" y="0"/>
                            <a:ext cx="182423" cy="395250"/>
                          </a:xfrm>
                          <a:prstGeom prst="rect">
                            <a:avLst/>
                          </a:prstGeom>
                          <a:ln>
                            <a:noFill/>
                          </a:ln>
                        </wps:spPr>
                        <wps:txbx>
                          <w:txbxContent>
                            <w:p w14:paraId="701C52D5" w14:textId="77777777" w:rsidR="00053D93" w:rsidRDefault="00260B75">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inline>
            </w:drawing>
          </mc:Choice>
          <mc:Fallback>
            <w:pict>
              <v:group w14:anchorId="7ECD5D11" id="Group 2455577" o:spid="_x0000_s1305" style="width:10.8pt;height:23.4pt;mso-position-horizontal-relative:char;mso-position-vertical-relative:line" coordsize="13716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">
                <v:rect id="Rectangle 427606" o:spid="_x0000_s1306" style="position:absolute;width:182423;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" filled="f" stroked="f">
                  <v:textbox inset="0,0,0,0">
                    <w:txbxContent>
                      <w:p w14:paraId="701C52D5" w14:textId="77777777" w:rsidR="00053D93" w:rsidRDefault="00260B75">
                        <w:r>
                          <w:rPr>
                            <w:rFonts w:ascii="Times New Roman" w:eastAsia="Times New Roman" w:hAnsi="Times New Roman" w:cs="Times New Roman"/>
                            <w:sz w:val="80"/>
                          </w:rPr>
                          <w:t>1</w:t>
                        </w:r>
                      </w:p>
                    </w:txbxContent>
                  </v:textbox>
                </v:rect>
                <w10:anchorlock/>
              </v:group>
            </w:pict>
          </mc:Fallback>
        </mc:AlternateContent>
      </w:r>
      <w:r>
        <w:rPr>
          <w:sz w:val="26"/>
        </w:rPr>
        <w:t xml:space="preserve"> Ortiz Ortiz para su conocimiento y consideración, relacionadas con los nombramientos Interinos efectuados para cubrir plazas vacantes, específicamente </w:t>
      </w:r>
      <w:r>
        <w:rPr>
          <w:rFonts w:ascii="Times New Roman" w:eastAsia="Times New Roman" w:hAnsi="Times New Roman" w:cs="Times New Roman"/>
          <w:sz w:val="26"/>
        </w:rPr>
        <w:t xml:space="preserve">1 </w:t>
      </w:r>
      <w:r>
        <w:rPr>
          <w:sz w:val="26"/>
        </w:rPr>
        <w:t xml:space="preserve">en lo que respecta al cumplimiento del perfil requerido para el puesto y el plazo legal estipulado en la ley. Luego removieron del cargo al Licenciado Ortiz... Durante la gestión interina de la Licenciada Anabi Veraliz Cinthia García </w:t>
      </w:r>
      <w:r>
        <w:rPr>
          <w:noProof/>
        </w:rPr>
        <mc:AlternateContent>
          <mc:Choice Requires="wpg">
            <w:drawing>
              <wp:inline distT="0" distB="0" distL="0" distR="0" wp14:anchorId="4BD559FD" wp14:editId="52EA1C45">
                <wp:extent cx="118872" cy="297180"/>
                <wp:effectExtent l="0" t="0" r="0" b="0"/>
                <wp:docPr id="2455578" name="Group 2455578"/>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427608" name="Rectangle 427608"/>
                        <wps:cNvSpPr/>
                        <wps:spPr>
                          <a:xfrm>
                            <a:off x="0" y="0"/>
                            <a:ext cx="158100" cy="395250"/>
                          </a:xfrm>
                          <a:prstGeom prst="rect">
                            <a:avLst/>
                          </a:prstGeom>
                          <a:ln>
                            <a:noFill/>
                          </a:ln>
                        </wps:spPr>
                        <wps:txbx>
                          <w:txbxContent>
                            <w:p w14:paraId="3E0975BF"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inline>
            </w:drawing>
          </mc:Choice>
          <mc:Fallback>
            <w:pict>
              <v:group w14:anchorId="4BD559FD" id="Group 2455578" o:spid="_x0000_s1307"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">
                <v:rect id="Rectangle 427608" o:spid="_x0000_s1308"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" filled="f" stroked="f">
                  <v:textbox inset="0,0,0,0">
                    <w:txbxContent>
                      <w:p w14:paraId="3E0975BF" w14:textId="77777777" w:rsidR="00053D93" w:rsidRDefault="00260B75">
                        <w:r>
                          <w:rPr>
                            <w:rFonts w:ascii="Times New Roman" w:eastAsia="Times New Roman" w:hAnsi="Times New Roman" w:cs="Times New Roman"/>
                            <w:sz w:val="72"/>
                          </w:rPr>
                          <w:t>1</w:t>
                        </w:r>
                      </w:p>
                    </w:txbxContent>
                  </v:textbox>
                </v:rect>
                <w10:anchorlock/>
              </v:group>
            </w:pict>
          </mc:Fallback>
        </mc:AlternateContent>
      </w:r>
      <w:r>
        <w:rPr>
          <w:sz w:val="26"/>
        </w:rPr>
        <w:t xml:space="preserve"> Corado, a partir de octubre año 2023, como Directora General Interina, se tuvieron reuniones en las que se abordó el tema sin embargo, debido al corto plazo en que la Licda. García estuvo al frente de la Institución (DIGEF), no fue posible avanzar </w:t>
      </w:r>
      <w:r>
        <w:rPr>
          <w:rFonts w:ascii="Times New Roman" w:eastAsia="Times New Roman" w:hAnsi="Times New Roman" w:cs="Times New Roman"/>
          <w:sz w:val="26"/>
        </w:rPr>
        <w:t xml:space="preserve">1 </w:t>
      </w:r>
      <w:r>
        <w:rPr>
          <w:sz w:val="26"/>
        </w:rPr>
        <w:t xml:space="preserve">en una solución definitiva ni formalizar instrucciones administrativas al respecto. Posteriormente en el mes de enero año 2024, con la toma de posesión del </w:t>
      </w:r>
      <w:r>
        <w:rPr>
          <w:rFonts w:ascii="Times New Roman" w:eastAsia="Times New Roman" w:hAnsi="Times New Roman" w:cs="Times New Roman"/>
          <w:sz w:val="26"/>
        </w:rPr>
        <w:t xml:space="preserve">1 </w:t>
      </w:r>
      <w:r>
        <w:rPr>
          <w:sz w:val="26"/>
        </w:rPr>
        <w:t xml:space="preserve">Director General, Willy René Gil Quiñonez, no se logró concretar reuniones o establecer canales efectivos de diálogo respecto a esta problemática, debido a un ambiente institucional en el que no se facilitó la comunicación, lo cual limitó las </w:t>
      </w:r>
      <w:r>
        <w:rPr>
          <w:rFonts w:ascii="Times New Roman" w:eastAsia="Times New Roman" w:hAnsi="Times New Roman" w:cs="Times New Roman"/>
          <w:sz w:val="26"/>
        </w:rPr>
        <w:t xml:space="preserve">1 </w:t>
      </w:r>
      <w:r>
        <w:rPr>
          <w:sz w:val="26"/>
        </w:rPr>
        <w:t>posibilidades de continuar con el seguimiento administrativo debido a la actitud autoritaria del Director. Cabe hacer constar que en febrero de 2024 me notificaron la remoción del cargo..."</w:t>
      </w:r>
    </w:p>
    <w:p w14:paraId="3E61D70A" w14:textId="77777777" w:rsidR="00053D93" w:rsidRDefault="00260B75">
      <w:pPr>
        <w:pStyle w:val="Ttulo3"/>
        <w:spacing w:after="0" w:line="259" w:lineRule="auto"/>
        <w:ind w:left="24" w:right="0"/>
        <w:jc w:val="left"/>
      </w:pPr>
      <w:r>
        <w:rPr>
          <w:rFonts w:ascii="Times New Roman" w:eastAsia="Times New Roman" w:hAnsi="Times New Roman" w:cs="Times New Roman"/>
          <w:sz w:val="36"/>
        </w:rPr>
        <w:t>-1</w:t>
      </w:r>
    </w:p>
    <w:p w14:paraId="4A8379F1" w14:textId="77777777" w:rsidR="00053D93" w:rsidRDefault="00260B75">
      <w:pPr>
        <w:spacing w:after="478" w:line="247" w:lineRule="auto"/>
        <w:ind w:left="14" w:right="14" w:firstLine="1714"/>
        <w:jc w:val="both"/>
      </w:pPr>
      <w:r>
        <w:rPr>
          <w:sz w:val="26"/>
        </w:rPr>
        <w:t xml:space="preserve">En oficio s/n del 1 1 de abril de 2025, la licenciada Yesenia Maribel Galicia Hernández, quien fungió como Coordinadora de Recursos Humanos A.l., por el período comprendido del 15 de marzo de 2024 al 23 de julio de 2024, manifiesta: </w:t>
      </w:r>
      <w:r>
        <w:rPr>
          <w:noProof/>
        </w:rPr>
        <w:drawing>
          <wp:inline distT="0" distB="0" distL="0" distR="0" wp14:anchorId="7A4B6957" wp14:editId="3A152C7C">
            <wp:extent cx="164592" cy="109728"/>
            <wp:effectExtent l="0" t="0" r="0" b="0"/>
            <wp:docPr id="2458362" name="Picture 2458362"/>
            <wp:cNvGraphicFramePr/>
            <a:graphic xmlns:a="http://schemas.openxmlformats.org/drawingml/2006/main">
              <a:graphicData uri="http://schemas.openxmlformats.org/drawingml/2006/picture">
                <pic:pic xmlns:pic="http://schemas.openxmlformats.org/drawingml/2006/picture">
                  <pic:nvPicPr>
                    <pic:cNvPr id="2458362" name="Picture 2458362"/>
                    <pic:cNvPicPr/>
                  </pic:nvPicPr>
                  <pic:blipFill>
                    <a:blip r:embed="rId671"/>
                    <a:stretch>
                      <a:fillRect/>
                    </a:stretch>
                  </pic:blipFill>
                  <pic:spPr>
                    <a:xfrm>
                      <a:off x="0" y="0"/>
                      <a:ext cx="164592" cy="109728"/>
                    </a:xfrm>
                    <a:prstGeom prst="rect">
                      <a:avLst/>
                    </a:prstGeom>
                  </pic:spPr>
                </pic:pic>
              </a:graphicData>
            </a:graphic>
          </wp:inline>
        </w:drawing>
      </w:r>
      <w:r>
        <w:rPr>
          <w:sz w:val="26"/>
        </w:rPr>
        <w:t xml:space="preserve">Luego de dar lectura y analizar los aspectos en que se fundamenta el posible </w:t>
      </w:r>
      <w:r>
        <w:rPr>
          <w:rFonts w:ascii="Times New Roman" w:eastAsia="Times New Roman" w:hAnsi="Times New Roman" w:cs="Times New Roman"/>
          <w:sz w:val="26"/>
        </w:rPr>
        <w:t xml:space="preserve">-1 </w:t>
      </w:r>
      <w:r>
        <w:rPr>
          <w:sz w:val="26"/>
        </w:rPr>
        <w:t>hallazgo de cumplimiento a leyes y regulaciones aplicables y con base a lo preceptuado en el artículo 12 "Derecho de Defensa", en la Constitución Política de la República de Guatemala, me permito presentar los siguientes argumentos: 1.</w:t>
      </w:r>
    </w:p>
    <w:p w14:paraId="30E9EE30" w14:textId="77777777" w:rsidR="00053D93" w:rsidRDefault="00260B75">
      <w:pPr>
        <w:spacing w:after="17" w:line="247" w:lineRule="auto"/>
        <w:ind w:left="86" w:right="14" w:hanging="72"/>
        <w:jc w:val="both"/>
      </w:pPr>
      <w:r>
        <w:rPr>
          <w:rFonts w:ascii="Times New Roman" w:eastAsia="Times New Roman" w:hAnsi="Times New Roman" w:cs="Times New Roman"/>
          <w:sz w:val="26"/>
        </w:rPr>
        <w:t xml:space="preserve">1 </w:t>
      </w:r>
      <w:r>
        <w:rPr>
          <w:sz w:val="26"/>
        </w:rPr>
        <w:t xml:space="preserve">Con fecha 15 de marzo de 2024, mediante la Resolución DIGEF-No. DG-074-2024 fui designada como Coordinadora de Recursos Humanos a.i, tiempo durante el </w:t>
      </w:r>
      <w:r>
        <w:rPr>
          <w:rFonts w:ascii="Times New Roman" w:eastAsia="Times New Roman" w:hAnsi="Times New Roman" w:cs="Times New Roman"/>
          <w:sz w:val="26"/>
        </w:rPr>
        <w:t xml:space="preserve">1 </w:t>
      </w:r>
      <w:r>
        <w:rPr>
          <w:sz w:val="26"/>
        </w:rPr>
        <w:t>cual desarrollé a cabalidad las funciones y atribuciones contenidas en el Manual</w:t>
      </w:r>
    </w:p>
    <w:p w14:paraId="196386E6" w14:textId="77777777" w:rsidR="00053D93" w:rsidRDefault="00260B75">
      <w:pPr>
        <w:spacing w:after="84" w:line="265" w:lineRule="auto"/>
        <w:ind w:left="1767" w:hanging="10"/>
        <w:jc w:val="center"/>
      </w:pPr>
      <w:r>
        <w:rPr>
          <w:rFonts w:ascii="Times New Roman" w:eastAsia="Times New Roman" w:hAnsi="Times New Roman" w:cs="Times New Roman"/>
          <w:sz w:val="12"/>
        </w:rPr>
        <w:t>91</w:t>
      </w:r>
    </w:p>
    <w:p w14:paraId="1A3AE8C5" w14:textId="77777777" w:rsidR="00053D93" w:rsidRDefault="00260B75">
      <w:pPr>
        <w:spacing w:after="36"/>
        <w:ind w:left="1246" w:right="-202"/>
      </w:pPr>
      <w:r>
        <w:rPr>
          <w:noProof/>
        </w:rPr>
        <w:drawing>
          <wp:inline distT="0" distB="0" distL="0" distR="0" wp14:anchorId="595870E1" wp14:editId="30EF4DCB">
            <wp:extent cx="5797296" cy="109728"/>
            <wp:effectExtent l="0" t="0" r="0" b="0"/>
            <wp:docPr id="2458366" name="Picture 2458366"/>
            <wp:cNvGraphicFramePr/>
            <a:graphic xmlns:a="http://schemas.openxmlformats.org/drawingml/2006/main">
              <a:graphicData uri="http://schemas.openxmlformats.org/drawingml/2006/picture">
                <pic:pic xmlns:pic="http://schemas.openxmlformats.org/drawingml/2006/picture">
                  <pic:nvPicPr>
                    <pic:cNvPr id="2458366" name="Picture 2458366"/>
                    <pic:cNvPicPr/>
                  </pic:nvPicPr>
                  <pic:blipFill>
                    <a:blip r:embed="rId672"/>
                    <a:stretch>
                      <a:fillRect/>
                    </a:stretch>
                  </pic:blipFill>
                  <pic:spPr>
                    <a:xfrm>
                      <a:off x="0" y="0"/>
                      <a:ext cx="5797296" cy="109728"/>
                    </a:xfrm>
                    <a:prstGeom prst="rect">
                      <a:avLst/>
                    </a:prstGeom>
                  </pic:spPr>
                </pic:pic>
              </a:graphicData>
            </a:graphic>
          </wp:inline>
        </w:drawing>
      </w:r>
    </w:p>
    <w:p w14:paraId="61007E6B" w14:textId="77777777" w:rsidR="00053D93" w:rsidRDefault="00260B75">
      <w:pPr>
        <w:tabs>
          <w:tab w:val="right" w:pos="10181"/>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 Puestos y Funciones de la Dirección General de Educación Física -DIGEF-,</w:t>
      </w:r>
    </w:p>
    <w:p w14:paraId="6AFEB931" w14:textId="77777777" w:rsidR="00053D93" w:rsidRDefault="00260B75">
      <w:pPr>
        <w:spacing w:after="17" w:line="247" w:lineRule="auto"/>
        <w:ind w:left="14" w:right="14" w:firstLine="1750"/>
        <w:jc w:val="both"/>
      </w:pPr>
      <w:r>
        <w:rPr>
          <w:noProof/>
        </w:rPr>
        <w:lastRenderedPageBreak/>
        <w:drawing>
          <wp:anchor distT="0" distB="0" distL="114300" distR="114300" simplePos="0" relativeHeight="251967488" behindDoc="0" locked="0" layoutInCell="1" allowOverlap="0" wp14:anchorId="6788275B" wp14:editId="6D5ABA41">
            <wp:simplePos x="0" y="0"/>
            <wp:positionH relativeFrom="column">
              <wp:posOffset>22860</wp:posOffset>
            </wp:positionH>
            <wp:positionV relativeFrom="paragraph">
              <wp:posOffset>541792</wp:posOffset>
            </wp:positionV>
            <wp:extent cx="173736" cy="1069848"/>
            <wp:effectExtent l="0" t="0" r="0" b="0"/>
            <wp:wrapSquare wrapText="bothSides"/>
            <wp:docPr id="435507" name="Picture 435507"/>
            <wp:cNvGraphicFramePr/>
            <a:graphic xmlns:a="http://schemas.openxmlformats.org/drawingml/2006/main">
              <a:graphicData uri="http://schemas.openxmlformats.org/drawingml/2006/picture">
                <pic:pic xmlns:pic="http://schemas.openxmlformats.org/drawingml/2006/picture">
                  <pic:nvPicPr>
                    <pic:cNvPr id="435507" name="Picture 435507"/>
                    <pic:cNvPicPr/>
                  </pic:nvPicPr>
                  <pic:blipFill>
                    <a:blip r:embed="rId673"/>
                    <a:stretch>
                      <a:fillRect/>
                    </a:stretch>
                  </pic:blipFill>
                  <pic:spPr>
                    <a:xfrm>
                      <a:off x="0" y="0"/>
                      <a:ext cx="173736" cy="1069848"/>
                    </a:xfrm>
                    <a:prstGeom prst="rect">
                      <a:avLst/>
                    </a:prstGeom>
                  </pic:spPr>
                </pic:pic>
              </a:graphicData>
            </a:graphic>
          </wp:anchor>
        </w:drawing>
      </w:r>
      <w:r>
        <w:rPr>
          <w:sz w:val="26"/>
        </w:rPr>
        <w:t xml:space="preserve">relacionadas con el puesto de Coordinador de Recursos Humanos para el cual fui </w:t>
      </w:r>
      <w:r>
        <w:rPr>
          <w:rFonts w:ascii="Times New Roman" w:eastAsia="Times New Roman" w:hAnsi="Times New Roman" w:cs="Times New Roman"/>
          <w:sz w:val="26"/>
        </w:rPr>
        <w:t xml:space="preserve">1 </w:t>
      </w:r>
      <w:r>
        <w:rPr>
          <w:sz w:val="26"/>
        </w:rPr>
        <w:t xml:space="preserve">designada con carácter ad interinum. 2. Con base a lo establecido en las funciones del puesto de Coordinador de Recursos Humanos, durante el interinato realizado, se dio cumplimiento a la supervisión permanente de lo tocante a los interinatos vigentes otrora en las diferentes áreas administrativas y técnicas de la DIGEF, juntamente con el Jefe de Acciones de Personal; tomando en consideración que dichas designaciones han sido un asunto persistente en la historia administrativa de la institución, en virtud de no contar con el financiamiento de las plazas vacantes, para proceder al reclutamiento, selección y contratación de personal idóneo para cubrir dichas plazas. Por lo anterior, aunque no consta comunicación vía correo electrónico o mediante oficios de manera física, sobre dicho seguimiento entre mi persona como Coordinadora interina y el Jefe de </w:t>
      </w:r>
      <w:r>
        <w:rPr>
          <w:rFonts w:ascii="Times New Roman" w:eastAsia="Times New Roman" w:hAnsi="Times New Roman" w:cs="Times New Roman"/>
          <w:sz w:val="26"/>
        </w:rPr>
        <w:t xml:space="preserve">1 </w:t>
      </w:r>
      <w:r>
        <w:rPr>
          <w:sz w:val="26"/>
        </w:rPr>
        <w:t xml:space="preserve">Acciones de Personal, se le dio el seguimiento correspondiente ante la autoridad competente en diferentes oportunidades, como consta en los oficios RRHH-103-2024 del 30 de abril, RRHH-1 17-2024 del 08 mayo de 2024, </w:t>
      </w:r>
      <w:r>
        <w:rPr>
          <w:rFonts w:ascii="Times New Roman" w:eastAsia="Times New Roman" w:hAnsi="Times New Roman" w:cs="Times New Roman"/>
          <w:sz w:val="26"/>
        </w:rPr>
        <w:t xml:space="preserve">1 </w:t>
      </w:r>
      <w:r>
        <w:rPr>
          <w:sz w:val="26"/>
        </w:rPr>
        <w:t>RRHH-178-2024 del 22 de julio, RRHH-179-2024 del 22 de julio; todos del año</w:t>
      </w:r>
    </w:p>
    <w:p w14:paraId="49138356" w14:textId="77777777" w:rsidR="00053D93" w:rsidRDefault="00260B75">
      <w:pPr>
        <w:spacing w:after="90" w:line="267" w:lineRule="auto"/>
        <w:ind w:left="18" w:right="21" w:hanging="4"/>
        <w:jc w:val="right"/>
      </w:pPr>
      <w:r>
        <w:rPr>
          <w:sz w:val="26"/>
        </w:rPr>
        <w:t>2024, correspondientes al periodo en que tuve a bien cubrir de forma interina la</w:t>
      </w:r>
    </w:p>
    <w:tbl>
      <w:tblPr>
        <w:tblStyle w:val="TableGrid"/>
        <w:tblpPr w:vertAnchor="page" w:horzAnchor="page" w:tblpX="2813" w:tblpY="14609"/>
        <w:tblOverlap w:val="never"/>
        <w:tblW w:w="7620" w:type="dxa"/>
        <w:tblInd w:w="0" w:type="dxa"/>
        <w:tblCellMar>
          <w:top w:w="40" w:type="dxa"/>
          <w:left w:w="1759" w:type="dxa"/>
          <w:right w:w="115" w:type="dxa"/>
        </w:tblCellMar>
        <w:tblLook w:val="04A0" w:firstRow="1" w:lastRow="0" w:firstColumn="1" w:lastColumn="0" w:noHBand="0" w:noVBand="1"/>
      </w:tblPr>
      <w:tblGrid>
        <w:gridCol w:w="7620"/>
      </w:tblGrid>
      <w:tr w:rsidR="00053D93" w14:paraId="4C916381" w14:textId="77777777">
        <w:trPr>
          <w:trHeight w:val="72"/>
        </w:trPr>
        <w:tc>
          <w:tcPr>
            <w:tcW w:w="7620" w:type="dxa"/>
            <w:tcBorders>
              <w:top w:val="nil"/>
              <w:left w:val="single" w:sz="2" w:space="0" w:color="000000"/>
              <w:bottom w:val="single" w:sz="2" w:space="0" w:color="000000"/>
              <w:right w:val="nil"/>
            </w:tcBorders>
          </w:tcPr>
          <w:p w14:paraId="0CA261DF" w14:textId="77777777" w:rsidR="00053D93" w:rsidRDefault="00053D93"/>
        </w:tc>
      </w:tr>
      <w:tr w:rsidR="00053D93" w14:paraId="4A295ABB" w14:textId="77777777">
        <w:trPr>
          <w:trHeight w:val="569"/>
        </w:trPr>
        <w:tc>
          <w:tcPr>
            <w:tcW w:w="7620" w:type="dxa"/>
            <w:tcBorders>
              <w:top w:val="single" w:sz="2" w:space="0" w:color="000000"/>
              <w:left w:val="single" w:sz="2" w:space="0" w:color="000000"/>
              <w:bottom w:val="nil"/>
              <w:right w:val="nil"/>
            </w:tcBorders>
          </w:tcPr>
          <w:p w14:paraId="00A32E40" w14:textId="77777777" w:rsidR="00053D93" w:rsidRDefault="00260B75">
            <w:pPr>
              <w:ind w:left="835"/>
            </w:pPr>
            <w:r>
              <w:rPr>
                <w:sz w:val="14"/>
              </w:rPr>
              <w:lastRenderedPageBreak/>
              <w:t>MINISTERIO DE EDUCACION</w:t>
            </w:r>
          </w:p>
          <w:p w14:paraId="0F31ED53" w14:textId="77777777" w:rsidR="00053D93" w:rsidRDefault="00260B75">
            <w:pPr>
              <w:ind w:left="338"/>
            </w:pPr>
            <w:r>
              <w:rPr>
                <w:sz w:val="14"/>
              </w:rPr>
              <w:t>AUDITORIA FINANCIERA Y DE CUMPLIMIENTO</w:t>
            </w:r>
          </w:p>
          <w:p w14:paraId="096A32BE" w14:textId="77777777" w:rsidR="00053D93" w:rsidRDefault="00260B75">
            <w:r>
              <w:rPr>
                <w:sz w:val="14"/>
              </w:rPr>
              <w:t>PERÍODO DEL 01 DE ENERO AL 31 OE DICIEMBRE DE 2024</w:t>
            </w:r>
          </w:p>
        </w:tc>
      </w:tr>
    </w:tbl>
    <w:p w14:paraId="2F8AA6DE" w14:textId="77777777" w:rsidR="00053D93" w:rsidRDefault="00260B75">
      <w:pPr>
        <w:spacing w:after="17" w:line="298" w:lineRule="auto"/>
        <w:ind w:left="14" w:right="14" w:firstLine="4"/>
        <w:jc w:val="both"/>
      </w:pPr>
      <w:r>
        <w:rPr>
          <w:noProof/>
        </w:rPr>
        <w:drawing>
          <wp:anchor distT="0" distB="0" distL="114300" distR="114300" simplePos="0" relativeHeight="251968512" behindDoc="0" locked="0" layoutInCell="1" allowOverlap="0" wp14:anchorId="4CA8348B" wp14:editId="6BF485BF">
            <wp:simplePos x="0" y="0"/>
            <wp:positionH relativeFrom="page">
              <wp:posOffset>374904</wp:posOffset>
            </wp:positionH>
            <wp:positionV relativeFrom="page">
              <wp:posOffset>324612</wp:posOffset>
            </wp:positionV>
            <wp:extent cx="32004" cy="91440"/>
            <wp:effectExtent l="0" t="0" r="0" b="0"/>
            <wp:wrapTopAndBottom/>
            <wp:docPr id="2458368" name="Picture 2458368"/>
            <wp:cNvGraphicFramePr/>
            <a:graphic xmlns:a="http://schemas.openxmlformats.org/drawingml/2006/main">
              <a:graphicData uri="http://schemas.openxmlformats.org/drawingml/2006/picture">
                <pic:pic xmlns:pic="http://schemas.openxmlformats.org/drawingml/2006/picture">
                  <pic:nvPicPr>
                    <pic:cNvPr id="2458368" name="Picture 2458368"/>
                    <pic:cNvPicPr/>
                  </pic:nvPicPr>
                  <pic:blipFill>
                    <a:blip r:embed="rId674"/>
                    <a:stretch>
                      <a:fillRect/>
                    </a:stretch>
                  </pic:blipFill>
                  <pic:spPr>
                    <a:xfrm>
                      <a:off x="0" y="0"/>
                      <a:ext cx="32004" cy="91440"/>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Coordinación de Recursos Humanos por Resolución de la Dirección General . 3. A propósito de los oficios anteriormente descritos, es importante resaltar que en todo momento la Coordinación de Recursos Humanos a mi cargo de forma interina, </w:t>
      </w:r>
      <w:r>
        <w:rPr>
          <w:rFonts w:ascii="Times New Roman" w:eastAsia="Times New Roman" w:hAnsi="Times New Roman" w:cs="Times New Roman"/>
          <w:sz w:val="26"/>
        </w:rPr>
        <w:t xml:space="preserve">1 </w:t>
      </w:r>
      <w:r>
        <w:rPr>
          <w:sz w:val="26"/>
        </w:rPr>
        <w:t xml:space="preserve">manifestó de manera oportuna que los servidores públicos que ocupaban interinamente las vacantes NO CUMPLEN con el perfil requerido. 4. En el mes de abril de 2024, mediante el oficio RRHH-103-2024, se elevó a la Dirección General </w:t>
      </w:r>
      <w:r>
        <w:rPr>
          <w:rFonts w:ascii="Times New Roman" w:eastAsia="Times New Roman" w:hAnsi="Times New Roman" w:cs="Times New Roman"/>
          <w:sz w:val="26"/>
        </w:rPr>
        <w:t xml:space="preserve">1 </w:t>
      </w:r>
      <w:r>
        <w:rPr>
          <w:sz w:val="26"/>
        </w:rPr>
        <w:t xml:space="preserve">un listado de puestos vacantes y puestos prioritarios, para realizar las acciones correspondientes para el financiamiento y autorización del proceso de </w:t>
      </w:r>
      <w:r>
        <w:rPr>
          <w:rFonts w:ascii="Times New Roman" w:eastAsia="Times New Roman" w:hAnsi="Times New Roman" w:cs="Times New Roman"/>
          <w:sz w:val="26"/>
        </w:rPr>
        <w:t xml:space="preserve">1 </w:t>
      </w:r>
      <w:r>
        <w:rPr>
          <w:sz w:val="26"/>
        </w:rPr>
        <w:t xml:space="preserve">convocatoria y contratación para cubrir las vacantes. 5. Así mismo, la necesidad de realizar las modificaciones del Manual de Puestos y Funciones para aquellos puestos en que no encuadraban los perfiles de las personas designadas para </w:t>
      </w:r>
      <w:r>
        <w:rPr>
          <w:rFonts w:ascii="Times New Roman" w:eastAsia="Times New Roman" w:hAnsi="Times New Roman" w:cs="Times New Roman"/>
          <w:sz w:val="26"/>
        </w:rPr>
        <w:t xml:space="preserve">1 </w:t>
      </w:r>
      <w:r>
        <w:rPr>
          <w:sz w:val="26"/>
        </w:rPr>
        <w:t xml:space="preserve">ocupar las vacantes. 6. Se debe considerar que la nulidad de los nombramientos no es competencia de la Coordinación de Recursos Humanos, toda vez que dichas acciones de personal son facultad únicamente de la autoridad nominadora </w:t>
      </w:r>
      <w:r>
        <w:rPr>
          <w:rFonts w:ascii="Times New Roman" w:eastAsia="Times New Roman" w:hAnsi="Times New Roman" w:cs="Times New Roman"/>
          <w:sz w:val="26"/>
        </w:rPr>
        <w:t xml:space="preserve">1 </w:t>
      </w:r>
      <w:r>
        <w:rPr>
          <w:sz w:val="26"/>
        </w:rPr>
        <w:t>o el Director General, bajo apercibimiento o recomendación de la Coordinación de</w:t>
      </w:r>
    </w:p>
    <w:p w14:paraId="7530563B" w14:textId="77777777" w:rsidR="00053D93" w:rsidRDefault="00260B75">
      <w:pPr>
        <w:spacing w:after="17" w:line="247" w:lineRule="auto"/>
        <w:ind w:left="14" w:right="14" w:firstLine="1692"/>
        <w:jc w:val="both"/>
      </w:pPr>
      <w:r>
        <w:rPr>
          <w:noProof/>
        </w:rPr>
        <w:drawing>
          <wp:anchor distT="0" distB="0" distL="114300" distR="114300" simplePos="0" relativeHeight="251969536" behindDoc="0" locked="0" layoutInCell="1" allowOverlap="0" wp14:anchorId="1EBBD4A5" wp14:editId="26D972EB">
            <wp:simplePos x="0" y="0"/>
            <wp:positionH relativeFrom="column">
              <wp:posOffset>-9143</wp:posOffset>
            </wp:positionH>
            <wp:positionV relativeFrom="paragraph">
              <wp:posOffset>508401</wp:posOffset>
            </wp:positionV>
            <wp:extent cx="1531620" cy="1842516"/>
            <wp:effectExtent l="0" t="0" r="0" b="0"/>
            <wp:wrapSquare wrapText="bothSides"/>
            <wp:docPr id="2458370" name="Picture 2458370"/>
            <wp:cNvGraphicFramePr/>
            <a:graphic xmlns:a="http://schemas.openxmlformats.org/drawingml/2006/main">
              <a:graphicData uri="http://schemas.openxmlformats.org/drawingml/2006/picture">
                <pic:pic xmlns:pic="http://schemas.openxmlformats.org/drawingml/2006/picture">
                  <pic:nvPicPr>
                    <pic:cNvPr id="2458370" name="Picture 2458370"/>
                    <pic:cNvPicPr/>
                  </pic:nvPicPr>
                  <pic:blipFill>
                    <a:blip r:embed="rId675"/>
                    <a:stretch>
                      <a:fillRect/>
                    </a:stretch>
                  </pic:blipFill>
                  <pic:spPr>
                    <a:xfrm>
                      <a:off x="0" y="0"/>
                      <a:ext cx="1531620" cy="1842516"/>
                    </a:xfrm>
                    <a:prstGeom prst="rect">
                      <a:avLst/>
                    </a:prstGeom>
                  </pic:spPr>
                </pic:pic>
              </a:graphicData>
            </a:graphic>
          </wp:anchor>
        </w:drawing>
      </w:r>
      <w:r>
        <w:rPr>
          <w:sz w:val="26"/>
        </w:rPr>
        <w:t xml:space="preserve">Recursos Humanos, como se realizó oportunamente, para lo cual me permito </w:t>
      </w:r>
      <w:r>
        <w:rPr>
          <w:noProof/>
        </w:rPr>
        <w:drawing>
          <wp:inline distT="0" distB="0" distL="0" distR="0" wp14:anchorId="7F1A64F4" wp14:editId="329FDEB3">
            <wp:extent cx="18288" cy="13715"/>
            <wp:effectExtent l="0" t="0" r="0" b="0"/>
            <wp:docPr id="435337" name="Picture 435337"/>
            <wp:cNvGraphicFramePr/>
            <a:graphic xmlns:a="http://schemas.openxmlformats.org/drawingml/2006/main">
              <a:graphicData uri="http://schemas.openxmlformats.org/drawingml/2006/picture">
                <pic:pic xmlns:pic="http://schemas.openxmlformats.org/drawingml/2006/picture">
                  <pic:nvPicPr>
                    <pic:cNvPr id="435337" name="Picture 435337"/>
                    <pic:cNvPicPr/>
                  </pic:nvPicPr>
                  <pic:blipFill>
                    <a:blip r:embed="rId676"/>
                    <a:stretch>
                      <a:fillRect/>
                    </a:stretch>
                  </pic:blipFill>
                  <pic:spPr>
                    <a:xfrm>
                      <a:off x="0" y="0"/>
                      <a:ext cx="18288" cy="13715"/>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copiar literalmente la opinión vertida en el Oficio RRHH-179-2024 que respalda y motiva la defensa presentada en la presente discusión e hallazgo: De realizarse un traslado de esta naturaleza, deberá apegarse a lo que enmarca el Artículo 43 del Reglamento de la Ley de Servicio Civil, así como Artículo 52 para NOMBRAMIENTOS PROVISIONALES Y DE EMERGENCIA y Articulo 39 del Reglamento de la Ley de Servicio Civil "ASCENSO TEMPORAL"." </w:t>
      </w:r>
      <w:r>
        <w:rPr>
          <w:rFonts w:ascii="Times New Roman" w:eastAsia="Times New Roman" w:hAnsi="Times New Roman" w:cs="Times New Roman"/>
          <w:sz w:val="26"/>
        </w:rPr>
        <w:t xml:space="preserve">"Se </w:t>
      </w:r>
      <w:r>
        <w:rPr>
          <w:sz w:val="26"/>
        </w:rPr>
        <w:t>recomienda, que se dé estricto cumplimiento a los preceptos legales en materia de traslados y acciones de personal, toda vez que se ha informado sobre los puestos interinos que no cumplen con los perfiles y que cuentan con más de seis meses en</w:t>
      </w:r>
    </w:p>
    <w:p w14:paraId="5A690F7E" w14:textId="77777777" w:rsidR="00053D93" w:rsidRDefault="00053D93">
      <w:pPr>
        <w:sectPr w:rsidR="00053D93">
          <w:headerReference w:type="even" r:id="rId677"/>
          <w:headerReference w:type="default" r:id="rId678"/>
          <w:footerReference w:type="even" r:id="rId679"/>
          <w:footerReference w:type="default" r:id="rId680"/>
          <w:headerReference w:type="first" r:id="rId681"/>
          <w:footerReference w:type="first" r:id="rId682"/>
          <w:pgSz w:w="12290" w:h="15883"/>
          <w:pgMar w:top="806" w:right="1778" w:bottom="634" w:left="331" w:header="353" w:footer="720" w:gutter="0"/>
          <w:cols w:space="720"/>
        </w:sectPr>
      </w:pPr>
    </w:p>
    <w:p w14:paraId="0B842A92" w14:textId="77777777" w:rsidR="00053D93" w:rsidRDefault="00260B75">
      <w:pPr>
        <w:spacing w:after="4" w:line="267" w:lineRule="auto"/>
        <w:ind w:left="18" w:right="21" w:hanging="4"/>
        <w:jc w:val="right"/>
      </w:pPr>
      <w:r>
        <w:rPr>
          <w:rFonts w:ascii="Times New Roman" w:eastAsia="Times New Roman" w:hAnsi="Times New Roman" w:cs="Times New Roman"/>
          <w:sz w:val="26"/>
        </w:rPr>
        <w:lastRenderedPageBreak/>
        <w:t>1</w:t>
      </w:r>
      <w:r>
        <w:rPr>
          <w:rFonts w:ascii="Times New Roman" w:eastAsia="Times New Roman" w:hAnsi="Times New Roman" w:cs="Times New Roman"/>
          <w:sz w:val="26"/>
        </w:rPr>
        <w:tab/>
      </w:r>
      <w:r>
        <w:rPr>
          <w:sz w:val="26"/>
        </w:rPr>
        <w:t xml:space="preserve">el puesto incumpliéndose la normativa antes relacionada, debido a que en dichas acciones de personal de la manera en que se están realizando pueden incurrir en responsabilidad ante el ente fiscalizador." Finalmente, si bien es cierto que no se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cuenta con evidencia escrita de la supervisión por mi parte al Jefe de Acciones de</w:t>
      </w:r>
    </w:p>
    <w:p w14:paraId="6861D5B0" w14:textId="77777777" w:rsidR="00053D93" w:rsidRDefault="00260B75">
      <w:pPr>
        <w:spacing w:after="619" w:line="267" w:lineRule="auto"/>
        <w:ind w:left="18" w:right="21" w:hanging="4"/>
        <w:jc w:val="right"/>
      </w:pPr>
      <w:r>
        <w:rPr>
          <w:noProof/>
        </w:rPr>
        <w:drawing>
          <wp:anchor distT="0" distB="0" distL="114300" distR="114300" simplePos="0" relativeHeight="251970560" behindDoc="0" locked="0" layoutInCell="1" allowOverlap="0" wp14:anchorId="3A2F4ED2" wp14:editId="43EFA74E">
            <wp:simplePos x="0" y="0"/>
            <wp:positionH relativeFrom="column">
              <wp:posOffset>6099048</wp:posOffset>
            </wp:positionH>
            <wp:positionV relativeFrom="paragraph">
              <wp:posOffset>970865</wp:posOffset>
            </wp:positionV>
            <wp:extent cx="36576" cy="41148"/>
            <wp:effectExtent l="0" t="0" r="0" b="0"/>
            <wp:wrapSquare wrapText="bothSides"/>
            <wp:docPr id="439923" name="Picture 439923"/>
            <wp:cNvGraphicFramePr/>
            <a:graphic xmlns:a="http://schemas.openxmlformats.org/drawingml/2006/main">
              <a:graphicData uri="http://schemas.openxmlformats.org/drawingml/2006/picture">
                <pic:pic xmlns:pic="http://schemas.openxmlformats.org/drawingml/2006/picture">
                  <pic:nvPicPr>
                    <pic:cNvPr id="439923" name="Picture 439923"/>
                    <pic:cNvPicPr/>
                  </pic:nvPicPr>
                  <pic:blipFill>
                    <a:blip r:embed="rId683"/>
                    <a:stretch>
                      <a:fillRect/>
                    </a:stretch>
                  </pic:blipFill>
                  <pic:spPr>
                    <a:xfrm>
                      <a:off x="0" y="0"/>
                      <a:ext cx="36576" cy="41148"/>
                    </a:xfrm>
                    <a:prstGeom prst="rect">
                      <a:avLst/>
                    </a:prstGeom>
                  </pic:spPr>
                </pic:pic>
              </a:graphicData>
            </a:graphic>
          </wp:anchor>
        </w:drawing>
      </w:r>
      <w:r>
        <w:rPr>
          <w:sz w:val="26"/>
        </w:rPr>
        <w:t xml:space="preserve">Personal, esta función fue realizada en todo momento, pues constituye un eje toral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del puesto de Coordinador y se considera una condición sine-qua-non para llevar a cabo una gestión ordenada de personal; situación por la cual se considera que la causa presentada ut supra carece de fundamento, puesto que como un efecto de dicha supervisión es que se elevaron tos oficios antes descritos a la autoridad competente, verbigracia la Dirección General y Subdirección Administrativa...</w:t>
      </w:r>
    </w:p>
    <w:tbl>
      <w:tblPr>
        <w:tblStyle w:val="TableGrid"/>
        <w:tblpPr w:vertAnchor="page" w:horzAnchor="page" w:tblpX="2858" w:tblpY="14649"/>
        <w:tblOverlap w:val="never"/>
        <w:tblW w:w="7625" w:type="dxa"/>
        <w:tblInd w:w="0" w:type="dxa"/>
        <w:tblCellMar>
          <w:top w:w="34" w:type="dxa"/>
          <w:left w:w="1764" w:type="dxa"/>
          <w:right w:w="115" w:type="dxa"/>
        </w:tblCellMar>
        <w:tblLook w:val="04A0" w:firstRow="1" w:lastRow="0" w:firstColumn="1" w:lastColumn="0" w:noHBand="0" w:noVBand="1"/>
      </w:tblPr>
      <w:tblGrid>
        <w:gridCol w:w="7625"/>
      </w:tblGrid>
      <w:tr w:rsidR="00053D93" w14:paraId="5F1A4B67" w14:textId="77777777">
        <w:trPr>
          <w:trHeight w:val="608"/>
        </w:trPr>
        <w:tc>
          <w:tcPr>
            <w:tcW w:w="7625" w:type="dxa"/>
            <w:tcBorders>
              <w:top w:val="single" w:sz="2" w:space="0" w:color="000000"/>
              <w:left w:val="single" w:sz="2" w:space="0" w:color="000000"/>
              <w:bottom w:val="nil"/>
              <w:right w:val="nil"/>
            </w:tcBorders>
          </w:tcPr>
          <w:p w14:paraId="0C4FB90D" w14:textId="77777777" w:rsidR="00053D93" w:rsidRDefault="00260B75">
            <w:pPr>
              <w:ind w:left="835"/>
            </w:pPr>
            <w:r>
              <w:rPr>
                <w:sz w:val="14"/>
              </w:rPr>
              <w:lastRenderedPageBreak/>
              <w:t>MINISTERIO DE EDUCACION</w:t>
            </w:r>
          </w:p>
          <w:p w14:paraId="697AE1B7" w14:textId="77777777" w:rsidR="00053D93" w:rsidRDefault="00260B75">
            <w:pPr>
              <w:ind w:left="338"/>
            </w:pPr>
            <w:r>
              <w:rPr>
                <w:sz w:val="14"/>
              </w:rPr>
              <w:lastRenderedPageBreak/>
              <w:t>AUDITORIA FINANCIERA Y DE CUMPLIMIENTO</w:t>
            </w:r>
          </w:p>
          <w:p w14:paraId="2A3219F3" w14:textId="77777777" w:rsidR="00053D93" w:rsidRDefault="00260B75">
            <w:r>
              <w:rPr>
                <w:sz w:val="14"/>
              </w:rPr>
              <w:t>PERIODO DEL 01 DE ENERO AL 31 OE DICIEMBRE DE 2024</w:t>
            </w:r>
          </w:p>
        </w:tc>
      </w:tr>
    </w:tbl>
    <w:p w14:paraId="0ECB9D3E" w14:textId="77777777" w:rsidR="00053D93" w:rsidRDefault="00260B75">
      <w:pPr>
        <w:spacing w:after="4" w:line="267" w:lineRule="auto"/>
        <w:ind w:left="407" w:right="21" w:hanging="393"/>
        <w:jc w:val="right"/>
      </w:pPr>
      <w:r>
        <w:rPr>
          <w:noProof/>
        </w:rPr>
        <w:lastRenderedPageBreak/>
        <mc:AlternateContent>
          <mc:Choice Requires="wpg">
            <w:drawing>
              <wp:anchor distT="0" distB="0" distL="114300" distR="114300" simplePos="0" relativeHeight="251971584" behindDoc="0" locked="0" layoutInCell="1" allowOverlap="1" wp14:anchorId="5BF22D15" wp14:editId="74B85EFC">
                <wp:simplePos x="0" y="0"/>
                <wp:positionH relativeFrom="page">
                  <wp:posOffset>1074420</wp:posOffset>
                </wp:positionH>
                <wp:positionV relativeFrom="page">
                  <wp:posOffset>781812</wp:posOffset>
                </wp:positionV>
                <wp:extent cx="5687568" cy="18288"/>
                <wp:effectExtent l="0" t="0" r="0" b="0"/>
                <wp:wrapTopAndBottom/>
                <wp:docPr id="2458375" name="Group 2458375"/>
                <wp:cNvGraphicFramePr/>
                <a:graphic xmlns:a="http://schemas.openxmlformats.org/drawingml/2006/main">
                  <a:graphicData uri="http://schemas.microsoft.com/office/word/2010/wordprocessingGroup">
                    <wpg:wgp>
                      <wpg:cNvGrpSpPr/>
                      <wpg:grpSpPr>
                        <a:xfrm>
                          <a:off x="0" y="0"/>
                          <a:ext cx="5687568" cy="18288"/>
                          <a:chOff x="0" y="0"/>
                          <a:chExt cx="5687568" cy="18288"/>
                        </a:xfrm>
                      </wpg:grpSpPr>
                      <wps:wsp>
                        <wps:cNvPr id="2458374" name="Shape 2458374"/>
                        <wps:cNvSpPr/>
                        <wps:spPr>
                          <a:xfrm>
                            <a:off x="0" y="0"/>
                            <a:ext cx="5687568" cy="18288"/>
                          </a:xfrm>
                          <a:custGeom>
                            <a:avLst/>
                            <a:gdLst/>
                            <a:ahLst/>
                            <a:cxnLst/>
                            <a:rect l="0" t="0" r="0" b="0"/>
                            <a:pathLst>
                              <a:path w="5687568" h="18288">
                                <a:moveTo>
                                  <a:pt x="0" y="9144"/>
                                </a:moveTo>
                                <a:lnTo>
                                  <a:pt x="5687568"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375" style="width:447.84pt;height:1.44pt;position:absolute;mso-position-horizontal-relative:page;mso-position-horizontal:absolute;margin-left:84.6pt;mso-position-vertical-relative:page;margin-top:61.56pt;" coordsize="56875,182">
                <v:shape id="Shape 2458374" style="position:absolute;width:56875;height:182;left:0;top:0;" coordsize="5687568,18288" path="m0,9144l5687568,9144">
                  <v:stroke weight="1.44pt" endcap="flat" joinstyle="miter" miterlimit="1" on="true" color="#000000"/>
                  <v:fill on="false" color="#000000"/>
                </v:shape>
                <w10:wrap type="topAndBottom"/>
              </v:group>
            </w:pict>
          </mc:Fallback>
        </mc:AlternateContent>
      </w:r>
      <w:r>
        <w:rPr>
          <w:noProof/>
        </w:rPr>
        <w:drawing>
          <wp:anchor distT="0" distB="0" distL="114300" distR="114300" simplePos="0" relativeHeight="251972608" behindDoc="0" locked="0" layoutInCell="1" allowOverlap="0" wp14:anchorId="6020DA03" wp14:editId="675897A7">
            <wp:simplePos x="0" y="0"/>
            <wp:positionH relativeFrom="page">
              <wp:posOffset>6697981</wp:posOffset>
            </wp:positionH>
            <wp:positionV relativeFrom="page">
              <wp:posOffset>3881628</wp:posOffset>
            </wp:positionV>
            <wp:extent cx="13715" cy="13716"/>
            <wp:effectExtent l="0" t="0" r="0" b="0"/>
            <wp:wrapSquare wrapText="bothSides"/>
            <wp:docPr id="439924" name="Picture 439924"/>
            <wp:cNvGraphicFramePr/>
            <a:graphic xmlns:a="http://schemas.openxmlformats.org/drawingml/2006/main">
              <a:graphicData uri="http://schemas.openxmlformats.org/drawingml/2006/picture">
                <pic:pic xmlns:pic="http://schemas.openxmlformats.org/drawingml/2006/picture">
                  <pic:nvPicPr>
                    <pic:cNvPr id="439924" name="Picture 439924"/>
                    <pic:cNvPicPr/>
                  </pic:nvPicPr>
                  <pic:blipFill>
                    <a:blip r:embed="rId684"/>
                    <a:stretch>
                      <a:fillRect/>
                    </a:stretch>
                  </pic:blipFill>
                  <pic:spPr>
                    <a:xfrm>
                      <a:off x="0" y="0"/>
                      <a:ext cx="13715" cy="13716"/>
                    </a:xfrm>
                    <a:prstGeom prst="rect">
                      <a:avLst/>
                    </a:prstGeom>
                  </pic:spPr>
                </pic:pic>
              </a:graphicData>
            </a:graphic>
          </wp:anchor>
        </w:drawing>
      </w:r>
      <w:r>
        <w:rPr>
          <w:noProof/>
        </w:rPr>
        <w:drawing>
          <wp:anchor distT="0" distB="0" distL="114300" distR="114300" simplePos="0" relativeHeight="251973632" behindDoc="0" locked="0" layoutInCell="1" allowOverlap="0" wp14:anchorId="4CBED774" wp14:editId="505C6BA9">
            <wp:simplePos x="0" y="0"/>
            <wp:positionH relativeFrom="column">
              <wp:posOffset>54864</wp:posOffset>
            </wp:positionH>
            <wp:positionV relativeFrom="paragraph">
              <wp:posOffset>5331242</wp:posOffset>
            </wp:positionV>
            <wp:extent cx="1531620" cy="1499616"/>
            <wp:effectExtent l="0" t="0" r="0" b="0"/>
            <wp:wrapSquare wrapText="bothSides"/>
            <wp:docPr id="2458372" name="Picture 2458372"/>
            <wp:cNvGraphicFramePr/>
            <a:graphic xmlns:a="http://schemas.openxmlformats.org/drawingml/2006/main">
              <a:graphicData uri="http://schemas.openxmlformats.org/drawingml/2006/picture">
                <pic:pic xmlns:pic="http://schemas.openxmlformats.org/drawingml/2006/picture">
                  <pic:nvPicPr>
                    <pic:cNvPr id="2458372" name="Picture 2458372"/>
                    <pic:cNvPicPr/>
                  </pic:nvPicPr>
                  <pic:blipFill>
                    <a:blip r:embed="rId685"/>
                    <a:stretch>
                      <a:fillRect/>
                    </a:stretch>
                  </pic:blipFill>
                  <pic:spPr>
                    <a:xfrm>
                      <a:off x="0" y="0"/>
                      <a:ext cx="1531620" cy="1499616"/>
                    </a:xfrm>
                    <a:prstGeom prst="rect">
                      <a:avLst/>
                    </a:prstGeom>
                  </pic:spPr>
                </pic:pic>
              </a:graphicData>
            </a:graphic>
          </wp:anchor>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En nota s/n del 21 de abril de 2025, el licenciado William Leonel Barrios Leiva, quien fungió como Jefe de Acciones de Personal, por el período comprendido del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01 de enero de 2020 al 01 de octubre de 2024, manifiesta: "...Al respecto me permito indicar que dentro de la Naturaleza del Puesto del Jefe de Acciones de Personal (función principa') establece: Realizar las acciones pertinentes conforme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lo establecen las funciones para el proceso que conlleva el reclutamiento y selección de personal, partiendo en su orden de la convocatoria luego la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evaluación, propuesta y Io que significa el registro y control de los cuadros de movimiento de personal en cuanto a toma de posesión o entrega de puesto; así como también el registro y control de cortes de salarios y rescisión. b. Funciones establece: "Planificar, organizar y dirigir las diferentes actividades de acciones y registros de personal del Departamento de Acciones de Personal. Asesorar al Coordinador de Recursos Humanos en actividades relacionadas con acciones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personal de las cuales se derivan actividades con cobertura a nivel nacional. Brindar asesoría a los jefes de unidades sobre las acciones de personal que se realiza en la DIGEF ante otras instancias como la Dirección de Personal, la Oficina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Nacional de Servicio Civil. Llevar control y registro de las acciones de personal por medio de archivo individual por trabajador. Revisar, actualizar e implementar sistemas de control de recursos humanos al servicio de la DIGEF. Atender lo referente a licencias, traslados, permuta y otros movimientos de personal que se presente, de acuerdo con la legislación guatemalteca vigente. Elaborar y </w:t>
      </w:r>
      <w:r>
        <w:rPr>
          <w:noProof/>
        </w:rPr>
        <w:drawing>
          <wp:inline distT="0" distB="0" distL="0" distR="0" wp14:anchorId="049B092A" wp14:editId="4ABB50C5">
            <wp:extent cx="18288" cy="13717"/>
            <wp:effectExtent l="0" t="0" r="0" b="0"/>
            <wp:docPr id="439925" name="Picture 439925"/>
            <wp:cNvGraphicFramePr/>
            <a:graphic xmlns:a="http://schemas.openxmlformats.org/drawingml/2006/main">
              <a:graphicData uri="http://schemas.openxmlformats.org/drawingml/2006/picture">
                <pic:pic xmlns:pic="http://schemas.openxmlformats.org/drawingml/2006/picture">
                  <pic:nvPicPr>
                    <pic:cNvPr id="439925" name="Picture 439925"/>
                    <pic:cNvPicPr/>
                  </pic:nvPicPr>
                  <pic:blipFill>
                    <a:blip r:embed="rId686"/>
                    <a:stretch>
                      <a:fillRect/>
                    </a:stretch>
                  </pic:blipFill>
                  <pic:spPr>
                    <a:xfrm>
                      <a:off x="0" y="0"/>
                      <a:ext cx="18288" cy="13717"/>
                    </a:xfrm>
                    <a:prstGeom prst="rect">
                      <a:avLst/>
                    </a:prstGeom>
                  </pic:spPr>
                </pic:pic>
              </a:graphicData>
            </a:graphic>
          </wp:inline>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reproducir formularios de movimiento de Personal. Derivado de lo anterior en cumplimiento a una de las funciones que le confieren al Jefe de Acciones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Personal, respecto a Asesorar al Coordinador de Recursos Humanos en actividades relacionadas con acciones de personal, procedí a trasladar a ta Coordinadora de Recursos Humanos Oficio DAP-003-2023 de fecha 31 de enero </w:t>
      </w:r>
      <w:r>
        <w:rPr>
          <w:noProof/>
        </w:rPr>
        <w:drawing>
          <wp:inline distT="0" distB="0" distL="0" distR="0" wp14:anchorId="0F167E78" wp14:editId="6CFE8075">
            <wp:extent cx="9144" cy="18287"/>
            <wp:effectExtent l="0" t="0" r="0" b="0"/>
            <wp:docPr id="439926" name="Picture 439926"/>
            <wp:cNvGraphicFramePr/>
            <a:graphic xmlns:a="http://schemas.openxmlformats.org/drawingml/2006/main">
              <a:graphicData uri="http://schemas.openxmlformats.org/drawingml/2006/picture">
                <pic:pic xmlns:pic="http://schemas.openxmlformats.org/drawingml/2006/picture">
                  <pic:nvPicPr>
                    <pic:cNvPr id="439926" name="Picture 439926"/>
                    <pic:cNvPicPr/>
                  </pic:nvPicPr>
                  <pic:blipFill>
                    <a:blip r:embed="rId687"/>
                    <a:stretch>
                      <a:fillRect/>
                    </a:stretch>
                  </pic:blipFill>
                  <pic:spPr>
                    <a:xfrm>
                      <a:off x="0" y="0"/>
                      <a:ext cx="9144" cy="18287"/>
                    </a:xfrm>
                    <a:prstGeom prst="rect">
                      <a:avLst/>
                    </a:prstGeom>
                  </pic:spPr>
                </pic:pic>
              </a:graphicData>
            </a:graphic>
          </wp:inline>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 2023 por medio del cual le indiqué que en la Dirección General de Educación Física exisffa personal que se encontraba ocupando puestos interinos por más de seis meses y que no cumplían con el perfil requerido sugiriéndole que se le informara al Director(a) General para que se cumpliera con los plazos y con los requisitos del cargo...Asimismo, con fecha 10 de mayo de 2023, el ex Director General de -DIGEF- giró el Oficio DG-655-2023, por medio del cual le notificó a la</w:t>
      </w:r>
    </w:p>
    <w:p w14:paraId="345BF970" w14:textId="77777777" w:rsidR="00053D93" w:rsidRDefault="00260B75">
      <w:pPr>
        <w:spacing w:after="28"/>
        <w:ind w:left="1332" w:right="-43"/>
      </w:pPr>
      <w:r>
        <w:rPr>
          <w:noProof/>
        </w:rPr>
        <mc:AlternateContent>
          <mc:Choice Requires="wpg">
            <w:drawing>
              <wp:inline distT="0" distB="0" distL="0" distR="0" wp14:anchorId="7A92F18D" wp14:editId="7249A189">
                <wp:extent cx="5660136" cy="13716"/>
                <wp:effectExtent l="0" t="0" r="0" b="0"/>
                <wp:docPr id="2458379" name="Group 2458379"/>
                <wp:cNvGraphicFramePr/>
                <a:graphic xmlns:a="http://schemas.openxmlformats.org/drawingml/2006/main">
                  <a:graphicData uri="http://schemas.microsoft.com/office/word/2010/wordprocessingGroup">
                    <wpg:wgp>
                      <wpg:cNvGrpSpPr/>
                      <wpg:grpSpPr>
                        <a:xfrm>
                          <a:off x="0" y="0"/>
                          <a:ext cx="5660136" cy="13716"/>
                          <a:chOff x="0" y="0"/>
                          <a:chExt cx="5660136" cy="13716"/>
                        </a:xfrm>
                      </wpg:grpSpPr>
                      <wps:wsp>
                        <wps:cNvPr id="2458378" name="Shape 2458378"/>
                        <wps:cNvSpPr/>
                        <wps:spPr>
                          <a:xfrm>
                            <a:off x="0" y="0"/>
                            <a:ext cx="5660136" cy="13716"/>
                          </a:xfrm>
                          <a:custGeom>
                            <a:avLst/>
                            <a:gdLst/>
                            <a:ahLst/>
                            <a:cxnLst/>
                            <a:rect l="0" t="0" r="0" b="0"/>
                            <a:pathLst>
                              <a:path w="5660136" h="13716">
                                <a:moveTo>
                                  <a:pt x="0" y="6858"/>
                                </a:moveTo>
                                <a:lnTo>
                                  <a:pt x="566013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79" style="width:445.68pt;height:1.08pt;mso-position-horizontal-relative:char;mso-position-vertical-relative:line" coordsize="56601,137">
                <v:shape id="Shape 2458378" style="position:absolute;width:56601;height:137;left:0;top:0;" coordsize="5660136,13716" path="m0,6858l5660136,6858">
                  <v:stroke weight="1.08pt" endcap="flat" joinstyle="miter" miterlimit="1" on="true" color="#000000"/>
                  <v:fill on="false" color="#000000"/>
                </v:shape>
              </v:group>
            </w:pict>
          </mc:Fallback>
        </mc:AlternateContent>
      </w:r>
    </w:p>
    <w:tbl>
      <w:tblPr>
        <w:tblStyle w:val="TableGrid"/>
        <w:tblpPr w:vertAnchor="page" w:horzAnchor="page" w:tblpX="2848" w:tblpY="14645"/>
        <w:tblOverlap w:val="never"/>
        <w:tblW w:w="7635" w:type="dxa"/>
        <w:tblInd w:w="0" w:type="dxa"/>
        <w:tblCellMar>
          <w:top w:w="29" w:type="dxa"/>
          <w:left w:w="1767" w:type="dxa"/>
          <w:right w:w="115" w:type="dxa"/>
        </w:tblCellMar>
        <w:tblLook w:val="04A0" w:firstRow="1" w:lastRow="0" w:firstColumn="1" w:lastColumn="0" w:noHBand="0" w:noVBand="1"/>
      </w:tblPr>
      <w:tblGrid>
        <w:gridCol w:w="7635"/>
      </w:tblGrid>
      <w:tr w:rsidR="00053D93" w14:paraId="24782DAA" w14:textId="77777777">
        <w:trPr>
          <w:trHeight w:val="43"/>
        </w:trPr>
        <w:tc>
          <w:tcPr>
            <w:tcW w:w="7635" w:type="dxa"/>
            <w:tcBorders>
              <w:top w:val="nil"/>
              <w:left w:val="single" w:sz="2" w:space="0" w:color="000000"/>
              <w:bottom w:val="single" w:sz="2" w:space="0" w:color="000000"/>
              <w:right w:val="nil"/>
            </w:tcBorders>
          </w:tcPr>
          <w:p w14:paraId="477D1414" w14:textId="77777777" w:rsidR="00053D93" w:rsidRDefault="00053D93"/>
        </w:tc>
      </w:tr>
      <w:tr w:rsidR="00053D93" w14:paraId="2BD3DB4A" w14:textId="77777777">
        <w:trPr>
          <w:trHeight w:val="605"/>
        </w:trPr>
        <w:tc>
          <w:tcPr>
            <w:tcW w:w="7635" w:type="dxa"/>
            <w:tcBorders>
              <w:top w:val="single" w:sz="2" w:space="0" w:color="000000"/>
              <w:left w:val="single" w:sz="2" w:space="0" w:color="000000"/>
              <w:bottom w:val="nil"/>
              <w:right w:val="nil"/>
            </w:tcBorders>
          </w:tcPr>
          <w:p w14:paraId="317CA9E7" w14:textId="77777777" w:rsidR="00053D93" w:rsidRDefault="00260B75">
            <w:pPr>
              <w:ind w:left="835"/>
            </w:pPr>
            <w:r>
              <w:rPr>
                <w:sz w:val="14"/>
              </w:rPr>
              <w:lastRenderedPageBreak/>
              <w:t>MINISTERIO DE EDUCACION</w:t>
            </w:r>
          </w:p>
          <w:p w14:paraId="168EBFEA" w14:textId="77777777" w:rsidR="00053D93" w:rsidRDefault="00260B75">
            <w:pPr>
              <w:ind w:left="346"/>
            </w:pPr>
            <w:r>
              <w:rPr>
                <w:sz w:val="14"/>
              </w:rPr>
              <w:t>AUDITORIA FINANCIERA Y DE CUMPLIMIENTO</w:t>
            </w:r>
          </w:p>
          <w:p w14:paraId="7D6521EF" w14:textId="77777777" w:rsidR="00053D93" w:rsidRDefault="00260B75">
            <w:r>
              <w:rPr>
                <w:sz w:val="14"/>
              </w:rPr>
              <w:t>PERIODO DEL 01 DE ENERO AL 31 DE DICIEMBRE DE 2024</w:t>
            </w:r>
          </w:p>
        </w:tc>
      </w:tr>
    </w:tbl>
    <w:p w14:paraId="79907D52" w14:textId="77777777" w:rsidR="00053D93" w:rsidRDefault="00260B75">
      <w:pPr>
        <w:spacing w:after="4" w:line="267" w:lineRule="auto"/>
        <w:ind w:left="700" w:right="21" w:hanging="686"/>
        <w:jc w:val="right"/>
      </w:pPr>
      <w:r>
        <w:rPr>
          <w:noProof/>
        </w:rPr>
        <w:drawing>
          <wp:anchor distT="0" distB="0" distL="114300" distR="114300" simplePos="0" relativeHeight="251974656" behindDoc="0" locked="0" layoutInCell="1" allowOverlap="0" wp14:anchorId="0DC6F398" wp14:editId="247BB436">
            <wp:simplePos x="0" y="0"/>
            <wp:positionH relativeFrom="page">
              <wp:posOffset>699516</wp:posOffset>
            </wp:positionH>
            <wp:positionV relativeFrom="page">
              <wp:posOffset>9299448</wp:posOffset>
            </wp:positionV>
            <wp:extent cx="1056132" cy="411480"/>
            <wp:effectExtent l="0" t="0" r="0" b="0"/>
            <wp:wrapTopAndBottom/>
            <wp:docPr id="444379" name="Picture 444379"/>
            <wp:cNvGraphicFramePr/>
            <a:graphic xmlns:a="http://schemas.openxmlformats.org/drawingml/2006/main">
              <a:graphicData uri="http://schemas.openxmlformats.org/drawingml/2006/picture">
                <pic:pic xmlns:pic="http://schemas.openxmlformats.org/drawingml/2006/picture">
                  <pic:nvPicPr>
                    <pic:cNvPr id="444379" name="Picture 444379"/>
                    <pic:cNvPicPr/>
                  </pic:nvPicPr>
                  <pic:blipFill>
                    <a:blip r:embed="rId688"/>
                    <a:stretch>
                      <a:fillRect/>
                    </a:stretch>
                  </pic:blipFill>
                  <pic:spPr>
                    <a:xfrm>
                      <a:off x="0" y="0"/>
                      <a:ext cx="1056132" cy="411480"/>
                    </a:xfrm>
                    <a:prstGeom prst="rect">
                      <a:avLst/>
                    </a:prstGeom>
                  </pic:spPr>
                </pic:pic>
              </a:graphicData>
            </a:graphic>
          </wp:anchor>
        </w:drawing>
      </w:r>
      <w:r>
        <w:rPr>
          <w:noProof/>
        </w:rPr>
        <w:drawing>
          <wp:anchor distT="0" distB="0" distL="114300" distR="114300" simplePos="0" relativeHeight="251975680" behindDoc="0" locked="0" layoutInCell="1" allowOverlap="0" wp14:anchorId="38BD329E" wp14:editId="4D4B9750">
            <wp:simplePos x="0" y="0"/>
            <wp:positionH relativeFrom="page">
              <wp:posOffset>7155181</wp:posOffset>
            </wp:positionH>
            <wp:positionV relativeFrom="page">
              <wp:posOffset>6871716</wp:posOffset>
            </wp:positionV>
            <wp:extent cx="22861" cy="13715"/>
            <wp:effectExtent l="0" t="0" r="0" b="0"/>
            <wp:wrapSquare wrapText="bothSides"/>
            <wp:docPr id="444247" name="Picture 444247"/>
            <wp:cNvGraphicFramePr/>
            <a:graphic xmlns:a="http://schemas.openxmlformats.org/drawingml/2006/main">
              <a:graphicData uri="http://schemas.openxmlformats.org/drawingml/2006/picture">
                <pic:pic xmlns:pic="http://schemas.openxmlformats.org/drawingml/2006/picture">
                  <pic:nvPicPr>
                    <pic:cNvPr id="444247" name="Picture 444247"/>
                    <pic:cNvPicPr/>
                  </pic:nvPicPr>
                  <pic:blipFill>
                    <a:blip r:embed="rId689"/>
                    <a:stretch>
                      <a:fillRect/>
                    </a:stretch>
                  </pic:blipFill>
                  <pic:spPr>
                    <a:xfrm>
                      <a:off x="0" y="0"/>
                      <a:ext cx="22861" cy="13715"/>
                    </a:xfrm>
                    <a:prstGeom prst="rect">
                      <a:avLst/>
                    </a:prstGeom>
                  </pic:spPr>
                </pic:pic>
              </a:graphicData>
            </a:graphic>
          </wp:anchor>
        </w:drawing>
      </w:r>
      <w:r>
        <w:rPr>
          <w:noProof/>
        </w:rPr>
        <w:drawing>
          <wp:anchor distT="0" distB="0" distL="114300" distR="114300" simplePos="0" relativeHeight="251976704" behindDoc="0" locked="0" layoutInCell="1" allowOverlap="0" wp14:anchorId="67F8AF94" wp14:editId="4A74A099">
            <wp:simplePos x="0" y="0"/>
            <wp:positionH relativeFrom="page">
              <wp:posOffset>333756</wp:posOffset>
            </wp:positionH>
            <wp:positionV relativeFrom="page">
              <wp:posOffset>356616</wp:posOffset>
            </wp:positionV>
            <wp:extent cx="18288" cy="96012"/>
            <wp:effectExtent l="0" t="0" r="0" b="0"/>
            <wp:wrapTopAndBottom/>
            <wp:docPr id="2458376" name="Picture 2458376"/>
            <wp:cNvGraphicFramePr/>
            <a:graphic xmlns:a="http://schemas.openxmlformats.org/drawingml/2006/main">
              <a:graphicData uri="http://schemas.openxmlformats.org/drawingml/2006/picture">
                <pic:pic xmlns:pic="http://schemas.openxmlformats.org/drawingml/2006/picture">
                  <pic:nvPicPr>
                    <pic:cNvPr id="2458376" name="Picture 2458376"/>
                    <pic:cNvPicPr/>
                  </pic:nvPicPr>
                  <pic:blipFill>
                    <a:blip r:embed="rId690"/>
                    <a:stretch>
                      <a:fillRect/>
                    </a:stretch>
                  </pic:blipFill>
                  <pic:spPr>
                    <a:xfrm>
                      <a:off x="0" y="0"/>
                      <a:ext cx="18288" cy="96012"/>
                    </a:xfrm>
                    <a:prstGeom prst="rect">
                      <a:avLst/>
                    </a:prstGeom>
                  </pic:spPr>
                </pic:pic>
              </a:graphicData>
            </a:graphic>
          </wp:anchor>
        </w:drawing>
      </w:r>
      <w:r>
        <w:rPr>
          <w:noProof/>
        </w:rPr>
        <w:drawing>
          <wp:anchor distT="0" distB="0" distL="114300" distR="114300" simplePos="0" relativeHeight="251977728" behindDoc="0" locked="0" layoutInCell="1" allowOverlap="0" wp14:anchorId="7741F3A2" wp14:editId="382C76D4">
            <wp:simplePos x="0" y="0"/>
            <wp:positionH relativeFrom="column">
              <wp:posOffset>45720</wp:posOffset>
            </wp:positionH>
            <wp:positionV relativeFrom="paragraph">
              <wp:posOffset>2318697</wp:posOffset>
            </wp:positionV>
            <wp:extent cx="160020" cy="1056132"/>
            <wp:effectExtent l="0" t="0" r="0" b="0"/>
            <wp:wrapSquare wrapText="bothSides"/>
            <wp:docPr id="444378" name="Picture 444378"/>
            <wp:cNvGraphicFramePr/>
            <a:graphic xmlns:a="http://schemas.openxmlformats.org/drawingml/2006/main">
              <a:graphicData uri="http://schemas.openxmlformats.org/drawingml/2006/picture">
                <pic:pic xmlns:pic="http://schemas.openxmlformats.org/drawingml/2006/picture">
                  <pic:nvPicPr>
                    <pic:cNvPr id="444378" name="Picture 444378"/>
                    <pic:cNvPicPr/>
                  </pic:nvPicPr>
                  <pic:blipFill>
                    <a:blip r:embed="rId691"/>
                    <a:stretch>
                      <a:fillRect/>
                    </a:stretch>
                  </pic:blipFill>
                  <pic:spPr>
                    <a:xfrm>
                      <a:off x="0" y="0"/>
                      <a:ext cx="160020" cy="1056132"/>
                    </a:xfrm>
                    <a:prstGeom prst="rect">
                      <a:avLst/>
                    </a:prstGeom>
                  </pic:spPr>
                </pic:pic>
              </a:graphicData>
            </a:graphic>
          </wp:anchor>
        </w:drawing>
      </w:r>
      <w:r>
        <w:rPr>
          <w:noProof/>
        </w:rPr>
        <mc:AlternateContent>
          <mc:Choice Requires="wpg">
            <w:drawing>
              <wp:anchor distT="0" distB="0" distL="114300" distR="114300" simplePos="0" relativeHeight="251978752" behindDoc="0" locked="0" layoutInCell="1" allowOverlap="1" wp14:anchorId="1CD768ED" wp14:editId="0EE111A2">
                <wp:simplePos x="0" y="0"/>
                <wp:positionH relativeFrom="column">
                  <wp:posOffset>73152</wp:posOffset>
                </wp:positionH>
                <wp:positionV relativeFrom="paragraph">
                  <wp:posOffset>5066470</wp:posOffset>
                </wp:positionV>
                <wp:extent cx="123444" cy="297180"/>
                <wp:effectExtent l="0" t="0" r="0" b="0"/>
                <wp:wrapSquare wrapText="bothSides"/>
                <wp:docPr id="2455586" name="Group 2455586"/>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440792" name="Rectangle 440792"/>
                        <wps:cNvSpPr/>
                        <wps:spPr>
                          <a:xfrm>
                            <a:off x="0" y="0"/>
                            <a:ext cx="164181" cy="395249"/>
                          </a:xfrm>
                          <a:prstGeom prst="rect">
                            <a:avLst/>
                          </a:prstGeom>
                          <a:ln>
                            <a:noFill/>
                          </a:ln>
                        </wps:spPr>
                        <wps:txbx>
                          <w:txbxContent>
                            <w:p w14:paraId="1CD075E9"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1CD768ED" id="Group 2455586" o:spid="_x0000_s1309" style="position:absolute;left:0;text-align:left;margin-left:5.75pt;margin-top:398.95pt;width:9.7pt;height:23.4pt;z-index:251978752;mso-position-horizontal-relative:text;mso-position-vertical-relative:text"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">
                <v:rect id="Rectangle 440792" o:spid="_x0000_s1310"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" filled="f" stroked="f">
                  <v:textbox inset="0,0,0,0">
                    <w:txbxContent>
                      <w:p w14:paraId="1CD075E9"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ex Coordinadora de Recursos Humanos el formulario que contenía la "Comunicación de Recomendaciones" emitidas por la Contraloría General de Cuentas en el cual se dio a conocer el posible hallazgo "Incumplimiento a normativa legal para ocupar puestos interinos por más de seis meses y sin cumplir con el perfil del puesto", en tal sentido en el Hallazgo No. 4 claramente se indica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que los Directores Ejecutivos IV, quienes fungieron como Directores Generales y el Subdirector Ejecutivo IV, quien fungió como Subdirectora General Administrativa no velaron porque el personal nombrado en cargos provisionales, cumplieran con los plazos establecidos en la normativa legal para permanecer como cargos provisionales y que cumplieran con los requisitos establecidos para dicho puesto;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derivado de lo anterior la ex Coordinadora de Recursos Humanos procedió a enviar Oficio No. RRHH-157-2023 de fecha 15 de mayo de 2023, indicándole que se había procedido a realizar la verificación mediante la cual se constató que existían cuatro servidores cubriendo puestos de jefaturas de forma interna, temporal y funcional que no cumplían con el perfil académico, el 23 de mayo de 2023 la ex Coordinadora de Recursos Humanos envió el Oficio No. RRHH-184-2023 indicándole al ex Director General de DIGEF el nombre de los servidores que de conformidad con el perfil y con la experiencia podían cubrir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forma interna, temporal y funcional los puestos; sin embargo, el ex Director no consideró lo sugerido por la Coordinación de Recursos Humanos y los servidores continuaron cubriendo los puestos... Es importante recalcar que el artículo 39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la Ley Nacional para el Desarrollo de la Cultura Fisica y del Deporte, Decreto número 76-97 del Congreso de Ja República de Guatemala, que establece: "AUTORIDAD JERARQUICA. El Director General de la Dirección General de </w:t>
      </w:r>
      <w:r>
        <w:rPr>
          <w:noProof/>
        </w:rPr>
        <mc:AlternateContent>
          <mc:Choice Requires="wpg">
            <w:drawing>
              <wp:inline distT="0" distB="0" distL="0" distR="0" wp14:anchorId="6B6E3CE8" wp14:editId="7F236DF0">
                <wp:extent cx="123444" cy="292608"/>
                <wp:effectExtent l="0" t="0" r="0" b="0"/>
                <wp:docPr id="2455585" name="Group 2455585"/>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440791" name="Rectangle 440791"/>
                        <wps:cNvSpPr/>
                        <wps:spPr>
                          <a:xfrm>
                            <a:off x="0" y="0"/>
                            <a:ext cx="164181" cy="389169"/>
                          </a:xfrm>
                          <a:prstGeom prst="rect">
                            <a:avLst/>
                          </a:prstGeom>
                          <a:ln>
                            <a:noFill/>
                          </a:ln>
                        </wps:spPr>
                        <wps:txbx>
                          <w:txbxContent>
                            <w:p w14:paraId="5D9C9CE8"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inline>
            </w:drawing>
          </mc:Choice>
          <mc:Fallback>
            <w:pict>
              <v:group w14:anchorId="6B6E3CE8" id="Group 2455585" o:spid="_x0000_s1311" style="width:9.7pt;height:23.05pt;mso-position-horizontal-relative:char;mso-position-vertical-relative:line"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">
                <v:rect id="Rectangle 440791" o:spid="_x0000_s1312" style="position:absolute;width:16418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" filled="f" stroked="f">
                  <v:textbox inset="0,0,0,0">
                    <w:txbxContent>
                      <w:p w14:paraId="5D9C9CE8" w14:textId="77777777" w:rsidR="00053D93" w:rsidRDefault="00260B75">
                        <w:r>
                          <w:rPr>
                            <w:rFonts w:ascii="Times New Roman" w:eastAsia="Times New Roman" w:hAnsi="Times New Roman" w:cs="Times New Roman"/>
                            <w:sz w:val="72"/>
                          </w:rPr>
                          <w:t>1</w:t>
                        </w:r>
                      </w:p>
                    </w:txbxContent>
                  </v:textbox>
                </v:rect>
                <w10:anchorlock/>
              </v:group>
            </w:pict>
          </mc:Fallback>
        </mc:AlternateContent>
      </w:r>
      <w:r>
        <w:rPr>
          <w:sz w:val="26"/>
        </w:rPr>
        <w:tab/>
        <w:t xml:space="preserve">Educación Física -DIGEF-, es el responsable jerárquico de la dependencia siendo nombrado por el Ministro de Educación y teniendo a su cargo la organización, administración planeamiento y funcionamiento programático de dicha entidad. El artículo 40, establece que dentro de las funciones del Director General, están entre otras las siguientes: Dictar las disposiciones administrativas y reglamentarias necesarias para el cumplimiento de los fines de la educación física nacional, así mismo estructurar y garantizar el funcionamiento orgánico de (a entidad, se evidencia que es competencia de la autoridad superior dictar las disposiciones administrativas dentro de la institución, el hallazgo recomienda que el Director General y el Subdirector General deben velar porque el personal asignado a los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diferentes cargos provisionales cumplan con los requisitos del puesto y que no sobrepasen en el puesto los 6 meses que establece el Decreto No- 1748, Ley de Servicio Civil y el Acuerdo Ministerial No. 2833-2010, que aprueba el Manual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Funciones, Organización y Puestos, por que deben girarle instrucciones a la Coordinadora de Recursos Humanos, para que se </w:t>
      </w:r>
      <w:r>
        <w:rPr>
          <w:sz w:val="26"/>
        </w:rPr>
        <w:lastRenderedPageBreak/>
        <w:t xml:space="preserve">coordinen las gestiones necesarias, a efecto que el personal nombrado en cargos provisionales cumplan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con los plazos y con los requisitos del cargo, en tal virtud el ex Director General de</w:t>
      </w:r>
    </w:p>
    <w:p w14:paraId="3724B205" w14:textId="77777777" w:rsidR="00053D93" w:rsidRDefault="00260B75">
      <w:pPr>
        <w:spacing w:after="90" w:line="267" w:lineRule="auto"/>
        <w:ind w:left="18" w:right="21" w:hanging="4"/>
        <w:jc w:val="right"/>
      </w:pPr>
      <w:r>
        <w:rPr>
          <w:sz w:val="26"/>
        </w:rPr>
        <w:t>-DIGEF- procedió a girarle instrucciones a la ex Coordinadora de Recursos</w:t>
      </w:r>
    </w:p>
    <w:p w14:paraId="15CE2DC7" w14:textId="77777777" w:rsidR="00053D93" w:rsidRDefault="00260B75">
      <w:pPr>
        <w:spacing w:after="281" w:line="267" w:lineRule="auto"/>
        <w:ind w:left="18" w:right="21" w:hanging="4"/>
        <w:jc w:val="right"/>
      </w:pPr>
      <w:r>
        <w:rPr>
          <w:noProof/>
        </w:rPr>
        <w:drawing>
          <wp:anchor distT="0" distB="0" distL="114300" distR="114300" simplePos="0" relativeHeight="251979776" behindDoc="0" locked="0" layoutInCell="1" allowOverlap="0" wp14:anchorId="0D3D927E" wp14:editId="0E299A75">
            <wp:simplePos x="0" y="0"/>
            <wp:positionH relativeFrom="column">
              <wp:posOffset>0</wp:posOffset>
            </wp:positionH>
            <wp:positionV relativeFrom="paragraph">
              <wp:posOffset>0</wp:posOffset>
            </wp:positionV>
            <wp:extent cx="187452" cy="1028700"/>
            <wp:effectExtent l="0" t="0" r="0" b="0"/>
            <wp:wrapSquare wrapText="bothSides"/>
            <wp:docPr id="448625" name="Picture 448625"/>
            <wp:cNvGraphicFramePr/>
            <a:graphic xmlns:a="http://schemas.openxmlformats.org/drawingml/2006/main">
              <a:graphicData uri="http://schemas.openxmlformats.org/drawingml/2006/picture">
                <pic:pic xmlns:pic="http://schemas.openxmlformats.org/drawingml/2006/picture">
                  <pic:nvPicPr>
                    <pic:cNvPr id="448625" name="Picture 448625"/>
                    <pic:cNvPicPr/>
                  </pic:nvPicPr>
                  <pic:blipFill>
                    <a:blip r:embed="rId692"/>
                    <a:stretch>
                      <a:fillRect/>
                    </a:stretch>
                  </pic:blipFill>
                  <pic:spPr>
                    <a:xfrm>
                      <a:off x="0" y="0"/>
                      <a:ext cx="187452" cy="1028700"/>
                    </a:xfrm>
                    <a:prstGeom prst="rect">
                      <a:avLst/>
                    </a:prstGeom>
                  </pic:spPr>
                </pic:pic>
              </a:graphicData>
            </a:graphic>
          </wp:anchor>
        </w:drawing>
      </w:r>
      <w:r>
        <w:rPr>
          <w:noProof/>
        </w:rPr>
        <mc:AlternateContent>
          <mc:Choice Requires="wpg">
            <w:drawing>
              <wp:anchor distT="0" distB="0" distL="114300" distR="114300" simplePos="0" relativeHeight="251980800" behindDoc="0" locked="0" layoutInCell="1" allowOverlap="1" wp14:anchorId="6D173432" wp14:editId="2E3A5D1F">
                <wp:simplePos x="0" y="0"/>
                <wp:positionH relativeFrom="column">
                  <wp:posOffset>1024128</wp:posOffset>
                </wp:positionH>
                <wp:positionV relativeFrom="paragraph">
                  <wp:posOffset>0</wp:posOffset>
                </wp:positionV>
                <wp:extent cx="5431536" cy="18288"/>
                <wp:effectExtent l="0" t="0" r="0" b="0"/>
                <wp:wrapSquare wrapText="bothSides"/>
                <wp:docPr id="2458384" name="Group 2458384"/>
                <wp:cNvGraphicFramePr/>
                <a:graphic xmlns:a="http://schemas.openxmlformats.org/drawingml/2006/main">
                  <a:graphicData uri="http://schemas.microsoft.com/office/word/2010/wordprocessingGroup">
                    <wpg:wgp>
                      <wpg:cNvGrpSpPr/>
                      <wpg:grpSpPr>
                        <a:xfrm>
                          <a:off x="0" y="0"/>
                          <a:ext cx="5431536" cy="18288"/>
                          <a:chOff x="0" y="0"/>
                          <a:chExt cx="5431536" cy="18288"/>
                        </a:xfrm>
                      </wpg:grpSpPr>
                      <wps:wsp>
                        <wps:cNvPr id="2458383" name="Shape 2458383"/>
                        <wps:cNvSpPr/>
                        <wps:spPr>
                          <a:xfrm>
                            <a:off x="0" y="0"/>
                            <a:ext cx="5431536" cy="18288"/>
                          </a:xfrm>
                          <a:custGeom>
                            <a:avLst/>
                            <a:gdLst/>
                            <a:ahLst/>
                            <a:cxnLst/>
                            <a:rect l="0" t="0" r="0" b="0"/>
                            <a:pathLst>
                              <a:path w="5431536" h="18288">
                                <a:moveTo>
                                  <a:pt x="0" y="9144"/>
                                </a:moveTo>
                                <a:lnTo>
                                  <a:pt x="543153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384" style="width:427.68pt;height:1.44pt;position:absolute;mso-position-horizontal-relative:text;mso-position-horizontal:absolute;margin-left:80.64pt;mso-position-vertical-relative:text;margin-top:0pt;" coordsize="54315,182">
                <v:shape id="Shape 2458383" style="position:absolute;width:54315;height:182;left:0;top:0;" coordsize="5431536,18288" path="m0,9144l5431536,9144">
                  <v:stroke weight="1.44pt" endcap="flat" joinstyle="miter" miterlimit="1" on="true" color="#000000"/>
                  <v:fill on="false" color="#000000"/>
                </v:shape>
                <w10:wrap type="square"/>
              </v:group>
            </w:pict>
          </mc:Fallback>
        </mc:AlternateContent>
      </w:r>
      <w:r>
        <w:rPr>
          <w:noProof/>
        </w:rPr>
        <w:drawing>
          <wp:anchor distT="0" distB="0" distL="114300" distR="114300" simplePos="0" relativeHeight="251981824" behindDoc="0" locked="0" layoutInCell="1" allowOverlap="0" wp14:anchorId="10134AF4" wp14:editId="4F2F1A34">
            <wp:simplePos x="0" y="0"/>
            <wp:positionH relativeFrom="column">
              <wp:posOffset>22860</wp:posOffset>
            </wp:positionH>
            <wp:positionV relativeFrom="paragraph">
              <wp:posOffset>768313</wp:posOffset>
            </wp:positionV>
            <wp:extent cx="169164" cy="1627632"/>
            <wp:effectExtent l="0" t="0" r="0" b="0"/>
            <wp:wrapSquare wrapText="bothSides"/>
            <wp:docPr id="448627" name="Picture 448627"/>
            <wp:cNvGraphicFramePr/>
            <a:graphic xmlns:a="http://schemas.openxmlformats.org/drawingml/2006/main">
              <a:graphicData uri="http://schemas.openxmlformats.org/drawingml/2006/picture">
                <pic:pic xmlns:pic="http://schemas.openxmlformats.org/drawingml/2006/picture">
                  <pic:nvPicPr>
                    <pic:cNvPr id="448627" name="Picture 448627"/>
                    <pic:cNvPicPr/>
                  </pic:nvPicPr>
                  <pic:blipFill>
                    <a:blip r:embed="rId693"/>
                    <a:stretch>
                      <a:fillRect/>
                    </a:stretch>
                  </pic:blipFill>
                  <pic:spPr>
                    <a:xfrm>
                      <a:off x="0" y="0"/>
                      <a:ext cx="169164" cy="1627632"/>
                    </a:xfrm>
                    <a:prstGeom prst="rect">
                      <a:avLst/>
                    </a:prstGeom>
                  </pic:spPr>
                </pic:pic>
              </a:graphicData>
            </a:graphic>
          </wp:anchor>
        </w:drawing>
      </w:r>
      <w:r>
        <w:rPr>
          <w:noProof/>
        </w:rPr>
        <w:drawing>
          <wp:anchor distT="0" distB="0" distL="114300" distR="114300" simplePos="0" relativeHeight="251982848" behindDoc="0" locked="0" layoutInCell="1" allowOverlap="0" wp14:anchorId="5D0D1322" wp14:editId="59A3DBD0">
            <wp:simplePos x="0" y="0"/>
            <wp:positionH relativeFrom="column">
              <wp:posOffset>54864</wp:posOffset>
            </wp:positionH>
            <wp:positionV relativeFrom="paragraph">
              <wp:posOffset>2825713</wp:posOffset>
            </wp:positionV>
            <wp:extent cx="169164" cy="1060704"/>
            <wp:effectExtent l="0" t="0" r="0" b="0"/>
            <wp:wrapSquare wrapText="bothSides"/>
            <wp:docPr id="448628" name="Picture 448628"/>
            <wp:cNvGraphicFramePr/>
            <a:graphic xmlns:a="http://schemas.openxmlformats.org/drawingml/2006/main">
              <a:graphicData uri="http://schemas.openxmlformats.org/drawingml/2006/picture">
                <pic:pic xmlns:pic="http://schemas.openxmlformats.org/drawingml/2006/picture">
                  <pic:nvPicPr>
                    <pic:cNvPr id="448628" name="Picture 448628"/>
                    <pic:cNvPicPr/>
                  </pic:nvPicPr>
                  <pic:blipFill>
                    <a:blip r:embed="rId694"/>
                    <a:stretch>
                      <a:fillRect/>
                    </a:stretch>
                  </pic:blipFill>
                  <pic:spPr>
                    <a:xfrm>
                      <a:off x="0" y="0"/>
                      <a:ext cx="169164" cy="1060704"/>
                    </a:xfrm>
                    <a:prstGeom prst="rect">
                      <a:avLst/>
                    </a:prstGeom>
                  </pic:spPr>
                </pic:pic>
              </a:graphicData>
            </a:graphic>
          </wp:anchor>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Humanos, indicándole que debía coordinar las acciones correspondientes, a efecto de que el personal nombrado en cargos provisionales cumpla con los plazos y con los requisitos del cargo... En tal sentido el Jefe de Acciones de </w:t>
      </w:r>
      <w:r>
        <w:rPr>
          <w:rFonts w:ascii="Times New Roman" w:eastAsia="Times New Roman" w:hAnsi="Times New Roman" w:cs="Times New Roman"/>
          <w:sz w:val="26"/>
        </w:rPr>
        <w:t xml:space="preserve">1 </w:t>
      </w:r>
      <w:r>
        <w:rPr>
          <w:sz w:val="26"/>
        </w:rPr>
        <w:t xml:space="preserve">Personal no figura dentro de estas disposiciones; sin embargo con el fin de garantizar que cada uno de los procesos que están relacionados con el personal se realicen de la forma correcta, procedí a enviar nuevamente el Oficio DAP-001-2024 de fecha 29 de enero de 2024, indicándole a la ex Coordinadora de Recursos Humanos que en la Dirección General de Educación Física existía personal que se encontraba ocupando puestos interinos por más de seis meses y que no cumplían con el perfil requerido sugiriéndole que se le informara al Director(a) General para que se cumpliera con los plazos y con los requisitos del cargo... Es importante mencionar que en el presente ejercicio fiscal nuevamente procedí a enviar el Oficio DAP-006-2025 de fecha 24 de febrero de 2025, indicándole al Coordinador de Recursos Humanos que derivado de la Toma de </w:t>
      </w:r>
      <w:r>
        <w:rPr>
          <w:rFonts w:ascii="Times New Roman" w:eastAsia="Times New Roman" w:hAnsi="Times New Roman" w:cs="Times New Roman"/>
          <w:sz w:val="26"/>
        </w:rPr>
        <w:t xml:space="preserve">1 </w:t>
      </w:r>
      <w:r>
        <w:rPr>
          <w:sz w:val="26"/>
        </w:rPr>
        <w:t>Posesión de la Directora General el 20 de febrero de 2025, era importante informarle que en la Dirección General de Educación Física existía personal que se encontraba ocupando puestos interinos por más de seis meses y que no cumplían con el perfil requerido... "</w:t>
      </w:r>
    </w:p>
    <w:p w14:paraId="21BEFB78" w14:textId="77777777" w:rsidR="00053D93" w:rsidRDefault="00260B75">
      <w:pPr>
        <w:spacing w:after="18" w:line="248" w:lineRule="auto"/>
        <w:ind w:left="1709" w:hanging="3"/>
        <w:jc w:val="both"/>
      </w:pPr>
      <w:r>
        <w:rPr>
          <w:sz w:val="28"/>
        </w:rPr>
        <w:t>Comentario de auditoría</w:t>
      </w:r>
    </w:p>
    <w:tbl>
      <w:tblPr>
        <w:tblStyle w:val="TableGrid"/>
        <w:tblpPr w:vertAnchor="page" w:horzAnchor="page" w:tblpX="2840" w:tblpY="14674"/>
        <w:tblOverlap w:val="never"/>
        <w:tblW w:w="7621" w:type="dxa"/>
        <w:tblInd w:w="0" w:type="dxa"/>
        <w:tblCellMar>
          <w:top w:w="32" w:type="dxa"/>
          <w:left w:w="1760" w:type="dxa"/>
          <w:right w:w="115" w:type="dxa"/>
        </w:tblCellMar>
        <w:tblLook w:val="04A0" w:firstRow="1" w:lastRow="0" w:firstColumn="1" w:lastColumn="0" w:noHBand="0" w:noVBand="1"/>
      </w:tblPr>
      <w:tblGrid>
        <w:gridCol w:w="7621"/>
      </w:tblGrid>
      <w:tr w:rsidR="00053D93" w14:paraId="487C52AC" w14:textId="77777777">
        <w:trPr>
          <w:trHeight w:val="43"/>
        </w:trPr>
        <w:tc>
          <w:tcPr>
            <w:tcW w:w="7621" w:type="dxa"/>
            <w:tcBorders>
              <w:top w:val="nil"/>
              <w:left w:val="single" w:sz="2" w:space="0" w:color="000000"/>
              <w:bottom w:val="single" w:sz="2" w:space="0" w:color="000000"/>
              <w:right w:val="nil"/>
            </w:tcBorders>
          </w:tcPr>
          <w:p w14:paraId="36C1EBB5" w14:textId="77777777" w:rsidR="00053D93" w:rsidRDefault="00053D93"/>
        </w:tc>
      </w:tr>
      <w:tr w:rsidR="00053D93" w14:paraId="68DB54A4" w14:textId="77777777">
        <w:trPr>
          <w:trHeight w:val="605"/>
        </w:trPr>
        <w:tc>
          <w:tcPr>
            <w:tcW w:w="7621" w:type="dxa"/>
            <w:tcBorders>
              <w:top w:val="single" w:sz="2" w:space="0" w:color="000000"/>
              <w:left w:val="single" w:sz="2" w:space="0" w:color="000000"/>
              <w:bottom w:val="nil"/>
              <w:right w:val="nil"/>
            </w:tcBorders>
          </w:tcPr>
          <w:p w14:paraId="647C7B1B" w14:textId="77777777" w:rsidR="00053D93" w:rsidRDefault="00260B75">
            <w:pPr>
              <w:ind w:left="835"/>
            </w:pPr>
            <w:r>
              <w:rPr>
                <w:sz w:val="14"/>
              </w:rPr>
              <w:lastRenderedPageBreak/>
              <w:t>MIMSTERIO DE EDUCACION</w:t>
            </w:r>
          </w:p>
          <w:p w14:paraId="168BA6DC" w14:textId="77777777" w:rsidR="00053D93" w:rsidRDefault="00260B75">
            <w:pPr>
              <w:ind w:left="346"/>
            </w:pPr>
            <w:r>
              <w:rPr>
                <w:sz w:val="14"/>
              </w:rPr>
              <w:t>AUDITORIA FINANCIERA Y OE CUMPLIMIENTO</w:t>
            </w:r>
          </w:p>
          <w:p w14:paraId="068CF68E" w14:textId="77777777" w:rsidR="00053D93" w:rsidRDefault="00260B75">
            <w:r>
              <w:rPr>
                <w:sz w:val="14"/>
              </w:rPr>
              <w:t>PERIODO DEL 01 DE ENERO AL 31 DE DICIEMBRE DE 2024</w:t>
            </w:r>
          </w:p>
        </w:tc>
      </w:tr>
    </w:tbl>
    <w:p w14:paraId="414AF41D" w14:textId="77777777" w:rsidR="00053D93" w:rsidRDefault="00260B75">
      <w:pPr>
        <w:spacing w:after="17" w:line="247" w:lineRule="auto"/>
        <w:ind w:left="101" w:right="14" w:firstLine="1418"/>
        <w:jc w:val="both"/>
      </w:pPr>
      <w:r>
        <w:rPr>
          <w:noProof/>
        </w:rPr>
        <w:drawing>
          <wp:anchor distT="0" distB="0" distL="114300" distR="114300" simplePos="0" relativeHeight="251983872" behindDoc="0" locked="0" layoutInCell="1" allowOverlap="0" wp14:anchorId="7E3499F1" wp14:editId="4302BB85">
            <wp:simplePos x="0" y="0"/>
            <wp:positionH relativeFrom="page">
              <wp:posOffset>699516</wp:posOffset>
            </wp:positionH>
            <wp:positionV relativeFrom="page">
              <wp:posOffset>9317736</wp:posOffset>
            </wp:positionV>
            <wp:extent cx="1051560" cy="411480"/>
            <wp:effectExtent l="0" t="0" r="0" b="0"/>
            <wp:wrapTopAndBottom/>
            <wp:docPr id="448629" name="Picture 448629"/>
            <wp:cNvGraphicFramePr/>
            <a:graphic xmlns:a="http://schemas.openxmlformats.org/drawingml/2006/main">
              <a:graphicData uri="http://schemas.openxmlformats.org/drawingml/2006/picture">
                <pic:pic xmlns:pic="http://schemas.openxmlformats.org/drawingml/2006/picture">
                  <pic:nvPicPr>
                    <pic:cNvPr id="448629" name="Picture 448629"/>
                    <pic:cNvPicPr/>
                  </pic:nvPicPr>
                  <pic:blipFill>
                    <a:blip r:embed="rId695"/>
                    <a:stretch>
                      <a:fillRect/>
                    </a:stretch>
                  </pic:blipFill>
                  <pic:spPr>
                    <a:xfrm>
                      <a:off x="0" y="0"/>
                      <a:ext cx="1051560" cy="411480"/>
                    </a:xfrm>
                    <a:prstGeom prst="rect">
                      <a:avLst/>
                    </a:prstGeom>
                  </pic:spPr>
                </pic:pic>
              </a:graphicData>
            </a:graphic>
          </wp:anchor>
        </w:drawing>
      </w:r>
      <w:r>
        <w:rPr>
          <w:noProof/>
        </w:rPr>
        <w:drawing>
          <wp:anchor distT="0" distB="0" distL="114300" distR="114300" simplePos="0" relativeHeight="251984896" behindDoc="0" locked="0" layoutInCell="1" allowOverlap="0" wp14:anchorId="5AE0B8A7" wp14:editId="7A18C89D">
            <wp:simplePos x="0" y="0"/>
            <wp:positionH relativeFrom="page">
              <wp:posOffset>7040881</wp:posOffset>
            </wp:positionH>
            <wp:positionV relativeFrom="page">
              <wp:posOffset>1613916</wp:posOffset>
            </wp:positionV>
            <wp:extent cx="13715" cy="22860"/>
            <wp:effectExtent l="0" t="0" r="0" b="0"/>
            <wp:wrapSquare wrapText="bothSides"/>
            <wp:docPr id="448492" name="Picture 448492"/>
            <wp:cNvGraphicFramePr/>
            <a:graphic xmlns:a="http://schemas.openxmlformats.org/drawingml/2006/main">
              <a:graphicData uri="http://schemas.openxmlformats.org/drawingml/2006/picture">
                <pic:pic xmlns:pic="http://schemas.openxmlformats.org/drawingml/2006/picture">
                  <pic:nvPicPr>
                    <pic:cNvPr id="448492" name="Picture 448492"/>
                    <pic:cNvPicPr/>
                  </pic:nvPicPr>
                  <pic:blipFill>
                    <a:blip r:embed="rId696"/>
                    <a:stretch>
                      <a:fillRect/>
                    </a:stretch>
                  </pic:blipFill>
                  <pic:spPr>
                    <a:xfrm>
                      <a:off x="0" y="0"/>
                      <a:ext cx="13715" cy="22860"/>
                    </a:xfrm>
                    <a:prstGeom prst="rect">
                      <a:avLst/>
                    </a:prstGeom>
                  </pic:spPr>
                </pic:pic>
              </a:graphicData>
            </a:graphic>
          </wp:anchor>
        </w:drawing>
      </w:r>
      <w:r>
        <w:rPr>
          <w:noProof/>
        </w:rPr>
        <w:drawing>
          <wp:anchor distT="0" distB="0" distL="114300" distR="114300" simplePos="0" relativeHeight="251985920" behindDoc="0" locked="0" layoutInCell="1" allowOverlap="0" wp14:anchorId="23D52918" wp14:editId="43965383">
            <wp:simplePos x="0" y="0"/>
            <wp:positionH relativeFrom="page">
              <wp:posOffset>6899148</wp:posOffset>
            </wp:positionH>
            <wp:positionV relativeFrom="page">
              <wp:posOffset>2907792</wp:posOffset>
            </wp:positionV>
            <wp:extent cx="13715" cy="9144"/>
            <wp:effectExtent l="0" t="0" r="0" b="0"/>
            <wp:wrapSquare wrapText="bothSides"/>
            <wp:docPr id="448493" name="Picture 448493"/>
            <wp:cNvGraphicFramePr/>
            <a:graphic xmlns:a="http://schemas.openxmlformats.org/drawingml/2006/main">
              <a:graphicData uri="http://schemas.openxmlformats.org/drawingml/2006/picture">
                <pic:pic xmlns:pic="http://schemas.openxmlformats.org/drawingml/2006/picture">
                  <pic:nvPicPr>
                    <pic:cNvPr id="448493" name="Picture 448493"/>
                    <pic:cNvPicPr/>
                  </pic:nvPicPr>
                  <pic:blipFill>
                    <a:blip r:embed="rId697"/>
                    <a:stretch>
                      <a:fillRect/>
                    </a:stretch>
                  </pic:blipFill>
                  <pic:spPr>
                    <a:xfrm>
                      <a:off x="0" y="0"/>
                      <a:ext cx="13715" cy="9144"/>
                    </a:xfrm>
                    <a:prstGeom prst="rect">
                      <a:avLst/>
                    </a:prstGeom>
                  </pic:spPr>
                </pic:pic>
              </a:graphicData>
            </a:graphic>
          </wp:anchor>
        </w:drawing>
      </w:r>
      <w:r>
        <w:rPr>
          <w:sz w:val="26"/>
        </w:rPr>
        <w:t xml:space="preserve">Se confirma el hallazgo para la licenciada Marxia Ivana Yuvixa Rodríguez Figueroa, quien fungió como Director General, por el período comprendido del 25 </w:t>
      </w:r>
      <w:r>
        <w:rPr>
          <w:rFonts w:ascii="Times New Roman" w:eastAsia="Times New Roman" w:hAnsi="Times New Roman" w:cs="Times New Roman"/>
          <w:sz w:val="26"/>
        </w:rPr>
        <w:t xml:space="preserve">1 </w:t>
      </w:r>
      <w:r>
        <w:rPr>
          <w:sz w:val="26"/>
        </w:rPr>
        <w:t xml:space="preserve">de agosto de 2022 al 31 de diciembre de 2022; en virtud que, las pruebas presentadas no son suficientes, a pesar de las acciones emprendidas por la </w:t>
      </w:r>
      <w:r>
        <w:rPr>
          <w:rFonts w:ascii="Times New Roman" w:eastAsia="Times New Roman" w:hAnsi="Times New Roman" w:cs="Times New Roman"/>
          <w:sz w:val="26"/>
        </w:rPr>
        <w:t xml:space="preserve">1 </w:t>
      </w:r>
      <w:r>
        <w:rPr>
          <w:sz w:val="26"/>
        </w:rPr>
        <w:t xml:space="preserve">responsable para actualizar el Manual de Funciones de la DIGEF; sin embargo, la Ley de Servicio Civil, en sus artículos 51 y 52, establece que el nombramiento provisional tiene un plazo máximo improrrogable de seis meses, para la ocupación de puestos provisionales, condición que no se cumplió, prolongando indebidamente nombramientos interinos, sin garantizar el cumplimiento del perfil profesional, Io cual constituye la omisión de su responsabilidad jerárquica para </w:t>
      </w:r>
      <w:r>
        <w:rPr>
          <w:noProof/>
        </w:rPr>
        <w:drawing>
          <wp:inline distT="0" distB="0" distL="0" distR="0" wp14:anchorId="790EA19A" wp14:editId="415A890E">
            <wp:extent cx="13716" cy="9144"/>
            <wp:effectExtent l="0" t="0" r="0" b="0"/>
            <wp:docPr id="448494" name="Picture 448494"/>
            <wp:cNvGraphicFramePr/>
            <a:graphic xmlns:a="http://schemas.openxmlformats.org/drawingml/2006/main">
              <a:graphicData uri="http://schemas.openxmlformats.org/drawingml/2006/picture">
                <pic:pic xmlns:pic="http://schemas.openxmlformats.org/drawingml/2006/picture">
                  <pic:nvPicPr>
                    <pic:cNvPr id="448494" name="Picture 448494"/>
                    <pic:cNvPicPr/>
                  </pic:nvPicPr>
                  <pic:blipFill>
                    <a:blip r:embed="rId698"/>
                    <a:stretch>
                      <a:fillRect/>
                    </a:stretch>
                  </pic:blipFill>
                  <pic:spPr>
                    <a:xfrm>
                      <a:off x="0" y="0"/>
                      <a:ext cx="13716"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garantizar la organización y funcionamiento de la DIGEF, según el Manual de</w:t>
      </w:r>
    </w:p>
    <w:p w14:paraId="7383E2E2" w14:textId="77777777" w:rsidR="00053D93" w:rsidRDefault="00260B75">
      <w:pPr>
        <w:spacing w:after="4" w:line="267" w:lineRule="auto"/>
        <w:ind w:left="18" w:right="21" w:hanging="4"/>
        <w:jc w:val="right"/>
      </w:pPr>
      <w:r>
        <w:rPr>
          <w:sz w:val="26"/>
        </w:rPr>
        <w:t>Funciones, Organización y Puestos, es responsable de planificar, organizar, dirigir,</w:t>
      </w:r>
    </w:p>
    <w:p w14:paraId="25A3FCF4" w14:textId="77777777" w:rsidR="00053D93" w:rsidRDefault="00260B75">
      <w:pPr>
        <w:spacing w:after="193" w:line="457" w:lineRule="auto"/>
        <w:ind w:left="1764" w:right="14" w:hanging="1670"/>
        <w:jc w:val="both"/>
      </w:pPr>
      <w:r>
        <w:rPr>
          <w:rFonts w:ascii="Times New Roman" w:eastAsia="Times New Roman" w:hAnsi="Times New Roman" w:cs="Times New Roman"/>
          <w:sz w:val="26"/>
        </w:rPr>
        <w:t xml:space="preserve">-1 </w:t>
      </w:r>
      <w:r>
        <w:rPr>
          <w:sz w:val="26"/>
        </w:rPr>
        <w:t>coordinar y evaluar las actividades técnicas y administrativas de todas las unidades de la DIGEF, garantizando su funcionamiento orgánico.</w:t>
      </w:r>
    </w:p>
    <w:p w14:paraId="1F2BD211" w14:textId="77777777" w:rsidR="00053D93" w:rsidRDefault="00260B75">
      <w:pPr>
        <w:spacing w:after="48" w:line="333" w:lineRule="auto"/>
        <w:ind w:left="1756" w:right="14" w:hanging="1670"/>
        <w:jc w:val="both"/>
      </w:pPr>
      <w:r>
        <w:rPr>
          <w:noProof/>
        </w:rPr>
        <w:drawing>
          <wp:inline distT="0" distB="0" distL="0" distR="0" wp14:anchorId="4948BE85" wp14:editId="06C1C565">
            <wp:extent cx="45720" cy="13717"/>
            <wp:effectExtent l="0" t="0" r="0" b="0"/>
            <wp:docPr id="448495" name="Picture 448495"/>
            <wp:cNvGraphicFramePr/>
            <a:graphic xmlns:a="http://schemas.openxmlformats.org/drawingml/2006/main">
              <a:graphicData uri="http://schemas.openxmlformats.org/drawingml/2006/picture">
                <pic:pic xmlns:pic="http://schemas.openxmlformats.org/drawingml/2006/picture">
                  <pic:nvPicPr>
                    <pic:cNvPr id="448495" name="Picture 448495"/>
                    <pic:cNvPicPr/>
                  </pic:nvPicPr>
                  <pic:blipFill>
                    <a:blip r:embed="rId699"/>
                    <a:stretch>
                      <a:fillRect/>
                    </a:stretch>
                  </pic:blipFill>
                  <pic:spPr>
                    <a:xfrm>
                      <a:off x="0" y="0"/>
                      <a:ext cx="45720" cy="13717"/>
                    </a:xfrm>
                    <a:prstGeom prst="rect">
                      <a:avLst/>
                    </a:prstGeom>
                  </pic:spPr>
                </pic:pic>
              </a:graphicData>
            </a:graphic>
          </wp:inline>
        </w:drawing>
      </w:r>
      <w:r>
        <w:rPr>
          <w:rFonts w:ascii="Times New Roman" w:eastAsia="Times New Roman" w:hAnsi="Times New Roman" w:cs="Times New Roman"/>
          <w:sz w:val="26"/>
        </w:rPr>
        <w:t xml:space="preserve">1 </w:t>
      </w:r>
      <w:r>
        <w:rPr>
          <w:sz w:val="26"/>
        </w:rPr>
        <w:t>Se confirma el hallazgo para ia licenciado Carlos Federico Ortíz Ortíz, quien fungió como Director General, por el período comprendido del 04 de enero de 2023 al 22 de octubre de 2023; en virtud que, las pruebas presentadas no son suficientes, ya</w:t>
      </w:r>
    </w:p>
    <w:p w14:paraId="6F269D35" w14:textId="77777777" w:rsidR="00053D93" w:rsidRDefault="00260B75">
      <w:pPr>
        <w:spacing w:after="17" w:line="247" w:lineRule="auto"/>
        <w:ind w:left="129" w:right="14" w:hanging="50"/>
        <w:jc w:val="both"/>
      </w:pPr>
      <w:r>
        <w:rPr>
          <w:noProof/>
        </w:rPr>
        <w:drawing>
          <wp:inline distT="0" distB="0" distL="0" distR="0" wp14:anchorId="52BE5555" wp14:editId="6ADC8D12">
            <wp:extent cx="18288" cy="13715"/>
            <wp:effectExtent l="0" t="0" r="0" b="0"/>
            <wp:docPr id="448496" name="Picture 448496"/>
            <wp:cNvGraphicFramePr/>
            <a:graphic xmlns:a="http://schemas.openxmlformats.org/drawingml/2006/main">
              <a:graphicData uri="http://schemas.openxmlformats.org/drawingml/2006/picture">
                <pic:pic xmlns:pic="http://schemas.openxmlformats.org/drawingml/2006/picture">
                  <pic:nvPicPr>
                    <pic:cNvPr id="448496" name="Picture 448496"/>
                    <pic:cNvPicPr/>
                  </pic:nvPicPr>
                  <pic:blipFill>
                    <a:blip r:embed="rId700"/>
                    <a:stretch>
                      <a:fillRect/>
                    </a:stretch>
                  </pic:blipFill>
                  <pic:spPr>
                    <a:xfrm>
                      <a:off x="0" y="0"/>
                      <a:ext cx="18288" cy="13715"/>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que el responsable manifiesta no haber firmado ninguna resolución para designar la ocupación de puestos interinos con servidores públicos que no cumplen con el </w:t>
      </w:r>
      <w:r>
        <w:rPr>
          <w:rFonts w:ascii="Times New Roman" w:eastAsia="Times New Roman" w:hAnsi="Times New Roman" w:cs="Times New Roman"/>
          <w:sz w:val="26"/>
        </w:rPr>
        <w:t xml:space="preserve">-1 </w:t>
      </w:r>
      <w:r>
        <w:rPr>
          <w:sz w:val="26"/>
        </w:rPr>
        <w:t>perfil del puesto; sin embargo, si consignó firma y sello en la Resolución Número</w:t>
      </w:r>
    </w:p>
    <w:p w14:paraId="3769DB96" w14:textId="77777777" w:rsidR="00053D93" w:rsidRDefault="00260B75">
      <w:pPr>
        <w:spacing w:after="17"/>
        <w:ind w:left="72"/>
      </w:pPr>
      <w:r>
        <w:rPr>
          <w:noProof/>
        </w:rPr>
        <w:drawing>
          <wp:inline distT="0" distB="0" distL="0" distR="0" wp14:anchorId="2A1CDAA9" wp14:editId="2FFD4742">
            <wp:extent cx="22860" cy="18288"/>
            <wp:effectExtent l="0" t="0" r="0" b="0"/>
            <wp:docPr id="448497" name="Picture 448497"/>
            <wp:cNvGraphicFramePr/>
            <a:graphic xmlns:a="http://schemas.openxmlformats.org/drawingml/2006/main">
              <a:graphicData uri="http://schemas.openxmlformats.org/drawingml/2006/picture">
                <pic:pic xmlns:pic="http://schemas.openxmlformats.org/drawingml/2006/picture">
                  <pic:nvPicPr>
                    <pic:cNvPr id="448497" name="Picture 448497"/>
                    <pic:cNvPicPr/>
                  </pic:nvPicPr>
                  <pic:blipFill>
                    <a:blip r:embed="rId701"/>
                    <a:stretch>
                      <a:fillRect/>
                    </a:stretch>
                  </pic:blipFill>
                  <pic:spPr>
                    <a:xfrm>
                      <a:off x="0" y="0"/>
                      <a:ext cx="22860" cy="18288"/>
                    </a:xfrm>
                    <a:prstGeom prst="rect">
                      <a:avLst/>
                    </a:prstGeom>
                  </pic:spPr>
                </pic:pic>
              </a:graphicData>
            </a:graphic>
          </wp:inline>
        </w:drawing>
      </w:r>
    </w:p>
    <w:p w14:paraId="7319E188" w14:textId="77777777" w:rsidR="00053D93" w:rsidRDefault="00260B75">
      <w:pPr>
        <w:spacing w:after="17" w:line="247" w:lineRule="auto"/>
        <w:ind w:left="79" w:right="14" w:firstLine="1678"/>
        <w:jc w:val="both"/>
      </w:pPr>
      <w:r>
        <w:rPr>
          <w:sz w:val="26"/>
        </w:rPr>
        <w:t xml:space="preserve">02-2023, del 04 de enero de 2023 en donde se designó al empleado con código No. 9901212293 para ocupar de forma interina el puesto de Jefe de la Sección de </w:t>
      </w:r>
      <w:r>
        <w:rPr>
          <w:noProof/>
        </w:rPr>
        <w:drawing>
          <wp:inline distT="0" distB="0" distL="0" distR="0" wp14:anchorId="22A37BDB" wp14:editId="74D341F8">
            <wp:extent cx="32004" cy="13715"/>
            <wp:effectExtent l="0" t="0" r="0" b="0"/>
            <wp:docPr id="2458381" name="Picture 2458381"/>
            <wp:cNvGraphicFramePr/>
            <a:graphic xmlns:a="http://schemas.openxmlformats.org/drawingml/2006/main">
              <a:graphicData uri="http://schemas.openxmlformats.org/drawingml/2006/picture">
                <pic:pic xmlns:pic="http://schemas.openxmlformats.org/drawingml/2006/picture">
                  <pic:nvPicPr>
                    <pic:cNvPr id="2458381" name="Picture 2458381"/>
                    <pic:cNvPicPr/>
                  </pic:nvPicPr>
                  <pic:blipFill>
                    <a:blip r:embed="rId702"/>
                    <a:stretch>
                      <a:fillRect/>
                    </a:stretch>
                  </pic:blipFill>
                  <pic:spPr>
                    <a:xfrm>
                      <a:off x="0" y="0"/>
                      <a:ext cx="32004" cy="13715"/>
                    </a:xfrm>
                    <a:prstGeom prst="rect">
                      <a:avLst/>
                    </a:prstGeom>
                  </pic:spPr>
                </pic:pic>
              </a:graphicData>
            </a:graphic>
          </wp:inline>
        </w:drawing>
      </w:r>
      <w:r>
        <w:rPr>
          <w:rFonts w:ascii="Times New Roman" w:eastAsia="Times New Roman" w:hAnsi="Times New Roman" w:cs="Times New Roman"/>
          <w:sz w:val="26"/>
        </w:rPr>
        <w:t xml:space="preserve">-1 </w:t>
      </w:r>
      <w:r>
        <w:rPr>
          <w:sz w:val="26"/>
        </w:rPr>
        <w:t>Transportes a.i., cuyo perfil del puesto requiere un Título universitario a nivel</w:t>
      </w:r>
    </w:p>
    <w:p w14:paraId="42EE08A8" w14:textId="77777777" w:rsidR="00053D93" w:rsidRDefault="00053D93">
      <w:pPr>
        <w:sectPr w:rsidR="00053D93">
          <w:headerReference w:type="even" r:id="rId703"/>
          <w:headerReference w:type="default" r:id="rId704"/>
          <w:footerReference w:type="even" r:id="rId705"/>
          <w:footerReference w:type="default" r:id="rId706"/>
          <w:headerReference w:type="first" r:id="rId707"/>
          <w:footerReference w:type="first" r:id="rId708"/>
          <w:pgSz w:w="12290" w:h="15883"/>
          <w:pgMar w:top="1231" w:right="1807" w:bottom="590" w:left="281" w:header="353" w:footer="720" w:gutter="0"/>
          <w:cols w:space="720"/>
          <w:titlePg/>
        </w:sectPr>
      </w:pPr>
    </w:p>
    <w:p w14:paraId="40CEDE63" w14:textId="77777777" w:rsidR="00053D93" w:rsidRDefault="00260B75">
      <w:pPr>
        <w:tabs>
          <w:tab w:val="center" w:pos="5958"/>
        </w:tabs>
        <w:spacing w:after="178" w:line="265" w:lineRule="auto"/>
      </w:pPr>
      <w:r>
        <w:rPr>
          <w:noProof/>
        </w:rPr>
        <w:lastRenderedPageBreak/>
        <mc:AlternateContent>
          <mc:Choice Requires="wpg">
            <w:drawing>
              <wp:anchor distT="0" distB="0" distL="114300" distR="114300" simplePos="0" relativeHeight="251986944" behindDoc="0" locked="0" layoutInCell="1" allowOverlap="1" wp14:anchorId="6796B6E2" wp14:editId="1BF2FC9B">
                <wp:simplePos x="0" y="0"/>
                <wp:positionH relativeFrom="column">
                  <wp:posOffset>873252</wp:posOffset>
                </wp:positionH>
                <wp:positionV relativeFrom="paragraph">
                  <wp:posOffset>608076</wp:posOffset>
                </wp:positionV>
                <wp:extent cx="5600700" cy="13716"/>
                <wp:effectExtent l="0" t="0" r="0" b="0"/>
                <wp:wrapSquare wrapText="bothSides"/>
                <wp:docPr id="2458388" name="Group 2458388"/>
                <wp:cNvGraphicFramePr/>
                <a:graphic xmlns:a="http://schemas.openxmlformats.org/drawingml/2006/main">
                  <a:graphicData uri="http://schemas.microsoft.com/office/word/2010/wordprocessingGroup">
                    <wpg:wgp>
                      <wpg:cNvGrpSpPr/>
                      <wpg:grpSpPr>
                        <a:xfrm>
                          <a:off x="0" y="0"/>
                          <a:ext cx="5600700" cy="13716"/>
                          <a:chOff x="0" y="0"/>
                          <a:chExt cx="5600700" cy="13716"/>
                        </a:xfrm>
                      </wpg:grpSpPr>
                      <wps:wsp>
                        <wps:cNvPr id="2458387" name="Shape 2458387"/>
                        <wps:cNvSpPr/>
                        <wps:spPr>
                          <a:xfrm>
                            <a:off x="0" y="0"/>
                            <a:ext cx="5600700" cy="13716"/>
                          </a:xfrm>
                          <a:custGeom>
                            <a:avLst/>
                            <a:gdLst/>
                            <a:ahLst/>
                            <a:cxnLst/>
                            <a:rect l="0" t="0" r="0" b="0"/>
                            <a:pathLst>
                              <a:path w="5600700" h="13716">
                                <a:moveTo>
                                  <a:pt x="0" y="6858"/>
                                </a:moveTo>
                                <a:lnTo>
                                  <a:pt x="560070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388" style="width:441pt;height:1.07999pt;position:absolute;mso-position-horizontal-relative:text;mso-position-horizontal:absolute;margin-left:68.76pt;mso-position-vertical-relative:text;margin-top:47.88pt;" coordsize="56007,137">
                <v:shape id="Shape 2458387" style="position:absolute;width:56007;height:137;left:0;top:0;" coordsize="5600700,13716" path="m0,6858l5600700,6858">
                  <v:stroke weight="1.07999pt" endcap="flat" joinstyle="miter" miterlimit="1" on="true" color="#000000"/>
                  <v:fill on="false" color="#000000"/>
                </v:shape>
                <w10:wrap type="square"/>
              </v:group>
            </w:pict>
          </mc:Fallback>
        </mc:AlternateContent>
      </w:r>
      <w:r>
        <w:rPr>
          <w:noProof/>
        </w:rPr>
        <w:drawing>
          <wp:inline distT="0" distB="0" distL="0" distR="0" wp14:anchorId="53D18D7D" wp14:editId="292DE3AE">
            <wp:extent cx="374904" cy="726948"/>
            <wp:effectExtent l="0" t="0" r="0" b="0"/>
            <wp:docPr id="452679" name="Picture 452679"/>
            <wp:cNvGraphicFramePr/>
            <a:graphic xmlns:a="http://schemas.openxmlformats.org/drawingml/2006/main">
              <a:graphicData uri="http://schemas.openxmlformats.org/drawingml/2006/picture">
                <pic:pic xmlns:pic="http://schemas.openxmlformats.org/drawingml/2006/picture">
                  <pic:nvPicPr>
                    <pic:cNvPr id="452679" name="Picture 452679"/>
                    <pic:cNvPicPr/>
                  </pic:nvPicPr>
                  <pic:blipFill>
                    <a:blip r:embed="rId709"/>
                    <a:stretch>
                      <a:fillRect/>
                    </a:stretch>
                  </pic:blipFill>
                  <pic:spPr>
                    <a:xfrm>
                      <a:off x="0" y="0"/>
                      <a:ext cx="374904" cy="726948"/>
                    </a:xfrm>
                    <a:prstGeom prst="rect">
                      <a:avLst/>
                    </a:prstGeom>
                  </pic:spPr>
                </pic:pic>
              </a:graphicData>
            </a:graphic>
          </wp:inline>
        </w:drawing>
      </w:r>
      <w:r>
        <w:rPr>
          <w:rFonts w:ascii="Times New Roman" w:eastAsia="Times New Roman" w:hAnsi="Times New Roman" w:cs="Times New Roman"/>
          <w:sz w:val="14"/>
        </w:rPr>
        <w:tab/>
        <w:t>95</w:t>
      </w:r>
    </w:p>
    <w:p w14:paraId="5B364F22" w14:textId="77777777" w:rsidR="00053D93" w:rsidRDefault="00260B75">
      <w:pPr>
        <w:spacing w:after="44" w:line="247" w:lineRule="auto"/>
        <w:ind w:left="14" w:right="14" w:firstLine="4"/>
        <w:jc w:val="both"/>
      </w:pPr>
      <w:r>
        <w:rPr>
          <w:rFonts w:ascii="Times New Roman" w:eastAsia="Times New Roman" w:hAnsi="Times New Roman" w:cs="Times New Roman"/>
          <w:sz w:val="26"/>
        </w:rPr>
        <w:t xml:space="preserve">1 </w:t>
      </w:r>
      <w:r>
        <w:rPr>
          <w:sz w:val="26"/>
        </w:rPr>
        <w:t xml:space="preserve">-liEñciatura en una carrera afín al puesto de trabajo y ser colegiado activo; sin embargo, dicho empleado no cuenta con dicho nivel académico, tal como se </w:t>
      </w:r>
      <w:r>
        <w:rPr>
          <w:rFonts w:ascii="Times New Roman" w:eastAsia="Times New Roman" w:hAnsi="Times New Roman" w:cs="Times New Roman"/>
          <w:sz w:val="26"/>
        </w:rPr>
        <w:t xml:space="preserve">1 </w:t>
      </w:r>
      <w:r>
        <w:rPr>
          <w:sz w:val="26"/>
        </w:rPr>
        <w:t xml:space="preserve">detalla en la condición del presente hallazgo; así mismo, el licenciado Ortíz manifiesta que en ningún momento se hizo de su conocimiento por parte de ta Coordinación de Recursos Humanos; no obstante, la Coordinadora de Recursos </w:t>
      </w:r>
      <w:r>
        <w:rPr>
          <w:rFonts w:ascii="Times New Roman" w:eastAsia="Times New Roman" w:hAnsi="Times New Roman" w:cs="Times New Roman"/>
          <w:sz w:val="26"/>
        </w:rPr>
        <w:t xml:space="preserve">1 </w:t>
      </w:r>
      <w:r>
        <w:rPr>
          <w:sz w:val="26"/>
        </w:rPr>
        <w:t xml:space="preserve">Humanos le giró los oficios número: RRHH-157-2023 del 15 de mayo de 2023; RRHH-184-2023, del 23 de mayo de 2023; RRHH-233-2023, del 30 de junio de 2023 y RRHH-252-2023, del 12 de julio de 2023; en donde le dieron a conocer </w:t>
      </w:r>
      <w:r>
        <w:rPr>
          <w:rFonts w:ascii="Times New Roman" w:eastAsia="Times New Roman" w:hAnsi="Times New Roman" w:cs="Times New Roman"/>
          <w:sz w:val="26"/>
        </w:rPr>
        <w:t xml:space="preserve">1 </w:t>
      </w:r>
      <w:r>
        <w:rPr>
          <w:sz w:val="26"/>
        </w:rPr>
        <w:t xml:space="preserve">al responsable las propuestas de personal para ocupar plazas con personal permanente que sí cumplía con el perfil del puesto, así como conocimiento del </w:t>
      </w:r>
      <w:r>
        <w:rPr>
          <w:rFonts w:ascii="Times New Roman" w:eastAsia="Times New Roman" w:hAnsi="Times New Roman" w:cs="Times New Roman"/>
          <w:sz w:val="26"/>
        </w:rPr>
        <w:t xml:space="preserve">1 </w:t>
      </w:r>
      <w:r>
        <w:rPr>
          <w:sz w:val="26"/>
        </w:rPr>
        <w:t xml:space="preserve">personal que llevaba ocupando puestos interinos por más de seis meses y que no cumplían con el perfil del puesto; por lo que, el licenciado Ortíz debió realizar las gestiones necesarias de conformidad a su competencia, para que se cumpliera </w:t>
      </w:r>
      <w:r>
        <w:rPr>
          <w:rFonts w:ascii="Times New Roman" w:eastAsia="Times New Roman" w:hAnsi="Times New Roman" w:cs="Times New Roman"/>
          <w:sz w:val="26"/>
        </w:rPr>
        <w:t xml:space="preserve">1 </w:t>
      </w:r>
      <w:r>
        <w:rPr>
          <w:sz w:val="26"/>
        </w:rPr>
        <w:t>con lo establecido en el Decreto No. 1748 Ley de Servicio Civil.</w:t>
      </w:r>
    </w:p>
    <w:p w14:paraId="4D86BD04" w14:textId="77777777" w:rsidR="00053D93" w:rsidRDefault="00260B75">
      <w:pPr>
        <w:spacing w:after="308" w:line="247" w:lineRule="auto"/>
        <w:ind w:left="94" w:right="14" w:firstLine="1699"/>
        <w:jc w:val="both"/>
      </w:pPr>
      <w:r>
        <w:rPr>
          <w:noProof/>
        </w:rPr>
        <w:drawing>
          <wp:anchor distT="0" distB="0" distL="114300" distR="114300" simplePos="0" relativeHeight="251987968" behindDoc="0" locked="0" layoutInCell="1" allowOverlap="0" wp14:anchorId="608459EF" wp14:editId="507B09DA">
            <wp:simplePos x="0" y="0"/>
            <wp:positionH relativeFrom="column">
              <wp:posOffset>82296</wp:posOffset>
            </wp:positionH>
            <wp:positionV relativeFrom="paragraph">
              <wp:posOffset>3272178</wp:posOffset>
            </wp:positionV>
            <wp:extent cx="9144" cy="9144"/>
            <wp:effectExtent l="0" t="0" r="0" b="0"/>
            <wp:wrapSquare wrapText="bothSides"/>
            <wp:docPr id="452528" name="Picture 452528"/>
            <wp:cNvGraphicFramePr/>
            <a:graphic xmlns:a="http://schemas.openxmlformats.org/drawingml/2006/main">
              <a:graphicData uri="http://schemas.openxmlformats.org/drawingml/2006/picture">
                <pic:pic xmlns:pic="http://schemas.openxmlformats.org/drawingml/2006/picture">
                  <pic:nvPicPr>
                    <pic:cNvPr id="452528" name="Picture 452528"/>
                    <pic:cNvPicPr/>
                  </pic:nvPicPr>
                  <pic:blipFill>
                    <a:blip r:embed="rId710"/>
                    <a:stretch>
                      <a:fillRect/>
                    </a:stretch>
                  </pic:blipFill>
                  <pic:spPr>
                    <a:xfrm>
                      <a:off x="0" y="0"/>
                      <a:ext cx="9144" cy="9144"/>
                    </a:xfrm>
                    <a:prstGeom prst="rect">
                      <a:avLst/>
                    </a:prstGeom>
                  </pic:spPr>
                </pic:pic>
              </a:graphicData>
            </a:graphic>
          </wp:anchor>
        </w:drawing>
      </w:r>
      <w:r>
        <w:rPr>
          <w:sz w:val="26"/>
        </w:rPr>
        <w:t xml:space="preserve">Se confirma el hallazgo para el licenciado Willy René Gil Quiñónez, quien fungió </w:t>
      </w:r>
      <w:r>
        <w:rPr>
          <w:rFonts w:ascii="Times New Roman" w:eastAsia="Times New Roman" w:hAnsi="Times New Roman" w:cs="Times New Roman"/>
          <w:sz w:val="26"/>
        </w:rPr>
        <w:t xml:space="preserve">1 </w:t>
      </w:r>
      <w:r>
        <w:rPr>
          <w:sz w:val="26"/>
        </w:rPr>
        <w:t xml:space="preserve">como Director General, por el período comprendido del 25 de enero de 2024 al 30 de septiembre de 2024; en virtud que, las pruebas presentadas no son suficientes, </w:t>
      </w:r>
      <w:r>
        <w:rPr>
          <w:rFonts w:ascii="Times New Roman" w:eastAsia="Times New Roman" w:hAnsi="Times New Roman" w:cs="Times New Roman"/>
          <w:sz w:val="26"/>
        </w:rPr>
        <w:t xml:space="preserve">1 </w:t>
      </w:r>
      <w:r>
        <w:rPr>
          <w:sz w:val="26"/>
        </w:rPr>
        <w:t xml:space="preserve">a pesar de manifestar que algunos nombramientos no corresponden al período de su gestión, si firmó las Resoluciones Número: 058-2024, del 08 de marzo de 2024, 277-2024 del 20 de septiembre de 2024, DG-07f-2024 del 14 de marzo de 2024 y </w:t>
      </w:r>
      <w:r>
        <w:rPr>
          <w:rFonts w:ascii="Times New Roman" w:eastAsia="Times New Roman" w:hAnsi="Times New Roman" w:cs="Times New Roman"/>
          <w:sz w:val="26"/>
        </w:rPr>
        <w:t xml:space="preserve">1 </w:t>
      </w:r>
      <w:r>
        <w:rPr>
          <w:sz w:val="26"/>
        </w:rPr>
        <w:t xml:space="preserve">DG-073-2024 del 14 de marzo de 2024, en donde se nombró a personal permanente, para ocupar puestos de forma interina en la Dirección General de Educación Física -DIGEF-, sin que cumplieran con el perfil del puesto a ocupar, </w:t>
      </w:r>
      <w:r>
        <w:rPr>
          <w:rFonts w:ascii="Times New Roman" w:eastAsia="Times New Roman" w:hAnsi="Times New Roman" w:cs="Times New Roman"/>
          <w:sz w:val="26"/>
        </w:rPr>
        <w:t xml:space="preserve">1 </w:t>
      </w:r>
      <w:r>
        <w:rPr>
          <w:sz w:val="26"/>
        </w:rPr>
        <w:t xml:space="preserve">así mismo, el responsable no presentó documentación de seguimiento, ni acciones correctivas realizadas, contraviniendo el artículo 10 de la Ley de Servicio </w:t>
      </w:r>
      <w:r>
        <w:rPr>
          <w:rFonts w:ascii="Times New Roman" w:eastAsia="Times New Roman" w:hAnsi="Times New Roman" w:cs="Times New Roman"/>
          <w:sz w:val="26"/>
        </w:rPr>
        <w:t xml:space="preserve">1 </w:t>
      </w:r>
      <w:r>
        <w:rPr>
          <w:sz w:val="26"/>
        </w:rPr>
        <w:t xml:space="preserve">Civil y sus funciones de dirección, coordinación y supervisión establecidas en el Manual de Funciones, Organización y Puestos de la DIGEF, con respecto al perfil del puesto que las personas nombradas deben cumplir para ocupar puestos </w:t>
      </w:r>
      <w:r>
        <w:rPr>
          <w:rFonts w:ascii="Times New Roman" w:eastAsia="Times New Roman" w:hAnsi="Times New Roman" w:cs="Times New Roman"/>
          <w:sz w:val="26"/>
        </w:rPr>
        <w:t xml:space="preserve">1 </w:t>
      </w:r>
      <w:r>
        <w:rPr>
          <w:sz w:val="26"/>
        </w:rPr>
        <w:t xml:space="preserve">provisionales y el plazo máximo que establece la ley para ocupar dichos puestos. Asimismo, es importante mencionar que las deficiencias detectadas en el presente hallazgo se notificaron al responsable mediante el Casillero Electrónico de la </w:t>
      </w:r>
      <w:r>
        <w:rPr>
          <w:rFonts w:ascii="Times New Roman" w:eastAsia="Times New Roman" w:hAnsi="Times New Roman" w:cs="Times New Roman"/>
          <w:sz w:val="26"/>
        </w:rPr>
        <w:t xml:space="preserve">1 </w:t>
      </w:r>
      <w:r>
        <w:rPr>
          <w:sz w:val="26"/>
        </w:rPr>
        <w:t xml:space="preserve">Contraloría General de Cuentas, por medio del Oficio de Notificación No. CGC-DAS-03-2024-NOTlF.MlNEDUC.DlGEF.10 del 02 de abril de 2025, para que </w:t>
      </w:r>
      <w:r>
        <w:rPr>
          <w:rFonts w:ascii="Times New Roman" w:eastAsia="Times New Roman" w:hAnsi="Times New Roman" w:cs="Times New Roman"/>
          <w:sz w:val="26"/>
        </w:rPr>
        <w:t xml:space="preserve">1 </w:t>
      </w:r>
      <w:r>
        <w:rPr>
          <w:sz w:val="26"/>
        </w:rPr>
        <w:t>pudiera presentar sus pruebas de descargo el 21 de abril de 2025, otorgando el tiempo que establece la ley para presentarlas; por lo que, ha tenido el tiempo prudencial para poder recabarlas.</w:t>
      </w:r>
    </w:p>
    <w:p w14:paraId="450E3159" w14:textId="77777777" w:rsidR="00053D93" w:rsidRDefault="00260B75">
      <w:pPr>
        <w:spacing w:after="17" w:line="247" w:lineRule="auto"/>
        <w:ind w:left="1800" w:right="14" w:firstLine="4"/>
        <w:jc w:val="both"/>
      </w:pPr>
      <w:r>
        <w:rPr>
          <w:sz w:val="26"/>
        </w:rPr>
        <w:t>Se confirma el hallazgo, para el licenciado David Freolino Aguilar, quien fungió como Director General en Funciones, por el período comprendido del 02 de enero</w:t>
      </w:r>
    </w:p>
    <w:p w14:paraId="4C87F694" w14:textId="77777777" w:rsidR="00053D93" w:rsidRDefault="00260B75">
      <w:pPr>
        <w:spacing w:after="0"/>
        <w:ind w:left="101"/>
      </w:pPr>
      <w:r>
        <w:rPr>
          <w:noProof/>
        </w:rPr>
        <w:drawing>
          <wp:inline distT="0" distB="0" distL="0" distR="0" wp14:anchorId="1B35DCD8" wp14:editId="7C660C7A">
            <wp:extent cx="54864" cy="13716"/>
            <wp:effectExtent l="0" t="0" r="0" b="0"/>
            <wp:docPr id="2458385" name="Picture 2458385"/>
            <wp:cNvGraphicFramePr/>
            <a:graphic xmlns:a="http://schemas.openxmlformats.org/drawingml/2006/main">
              <a:graphicData uri="http://schemas.openxmlformats.org/drawingml/2006/picture">
                <pic:pic xmlns:pic="http://schemas.openxmlformats.org/drawingml/2006/picture">
                  <pic:nvPicPr>
                    <pic:cNvPr id="2458385" name="Picture 2458385"/>
                    <pic:cNvPicPr/>
                  </pic:nvPicPr>
                  <pic:blipFill>
                    <a:blip r:embed="rId711"/>
                    <a:stretch>
                      <a:fillRect/>
                    </a:stretch>
                  </pic:blipFill>
                  <pic:spPr>
                    <a:xfrm>
                      <a:off x="0" y="0"/>
                      <a:ext cx="54864" cy="13716"/>
                    </a:xfrm>
                    <a:prstGeom prst="rect">
                      <a:avLst/>
                    </a:prstGeom>
                  </pic:spPr>
                </pic:pic>
              </a:graphicData>
            </a:graphic>
          </wp:inline>
        </w:drawing>
      </w:r>
    </w:p>
    <w:p w14:paraId="170B5E0A" w14:textId="77777777" w:rsidR="00053D93" w:rsidRDefault="00260B75">
      <w:pPr>
        <w:tabs>
          <w:tab w:val="center" w:pos="284"/>
          <w:tab w:val="right" w:pos="10224"/>
        </w:tabs>
        <w:spacing w:after="752" w:line="247" w:lineRule="auto"/>
      </w:pPr>
      <w:r>
        <w:rPr>
          <w:sz w:val="26"/>
        </w:rPr>
        <w:lastRenderedPageBreak/>
        <w:tab/>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 2020 al 28 de enero de 2020; en virtud que, no se presentó a la reunión virtual</w:t>
      </w:r>
    </w:p>
    <w:tbl>
      <w:tblPr>
        <w:tblStyle w:val="TableGrid"/>
        <w:tblpPr w:vertAnchor="text" w:tblpX="2647" w:tblpY="55"/>
        <w:tblOverlap w:val="never"/>
        <w:tblW w:w="7592" w:type="dxa"/>
        <w:tblInd w:w="0" w:type="dxa"/>
        <w:tblCellMar>
          <w:top w:w="49" w:type="dxa"/>
          <w:left w:w="1724" w:type="dxa"/>
          <w:right w:w="115" w:type="dxa"/>
        </w:tblCellMar>
        <w:tblLook w:val="04A0" w:firstRow="1" w:lastRow="0" w:firstColumn="1" w:lastColumn="0" w:noHBand="0" w:noVBand="1"/>
      </w:tblPr>
      <w:tblGrid>
        <w:gridCol w:w="7592"/>
      </w:tblGrid>
      <w:tr w:rsidR="00053D93" w14:paraId="71EEA6F8" w14:textId="77777777">
        <w:trPr>
          <w:trHeight w:val="608"/>
        </w:trPr>
        <w:tc>
          <w:tcPr>
            <w:tcW w:w="7592" w:type="dxa"/>
            <w:tcBorders>
              <w:top w:val="single" w:sz="2" w:space="0" w:color="000000"/>
              <w:left w:val="single" w:sz="2" w:space="0" w:color="000000"/>
              <w:bottom w:val="nil"/>
              <w:right w:val="nil"/>
            </w:tcBorders>
          </w:tcPr>
          <w:p w14:paraId="2A236A0B" w14:textId="77777777" w:rsidR="00053D93" w:rsidRDefault="00260B75">
            <w:pPr>
              <w:ind w:left="835"/>
            </w:pPr>
            <w:r>
              <w:rPr>
                <w:sz w:val="14"/>
              </w:rPr>
              <w:t>MINISTERIO DE EDUCACION</w:t>
            </w:r>
          </w:p>
          <w:p w14:paraId="2BA7FB9E" w14:textId="77777777" w:rsidR="00053D93" w:rsidRDefault="00260B75">
            <w:pPr>
              <w:ind w:left="338"/>
            </w:pPr>
            <w:r>
              <w:rPr>
                <w:sz w:val="14"/>
              </w:rPr>
              <w:t>AUDITORIA FINANCIERA Y DE CUMPLIMIENTO</w:t>
            </w:r>
          </w:p>
          <w:p w14:paraId="666CAB25" w14:textId="77777777" w:rsidR="00053D93" w:rsidRDefault="00260B75">
            <w:r>
              <w:rPr>
                <w:sz w:val="14"/>
              </w:rPr>
              <w:t>PERIODO DEL 01 OE ENERO AL 31 DE DECIEMBRE DE 2024</w:t>
            </w:r>
          </w:p>
        </w:tc>
      </w:tr>
    </w:tbl>
    <w:p w14:paraId="6B8873F3" w14:textId="77777777" w:rsidR="00053D93" w:rsidRDefault="00260B75">
      <w:pPr>
        <w:pStyle w:val="Ttulo3"/>
        <w:tabs>
          <w:tab w:val="center" w:pos="346"/>
          <w:tab w:val="center" w:pos="1735"/>
        </w:tabs>
        <w:spacing w:after="80" w:line="259" w:lineRule="auto"/>
        <w:ind w:left="0" w:right="-7603" w:firstLine="0"/>
        <w:jc w:val="left"/>
      </w:pPr>
      <w:r>
        <w:rPr>
          <w:sz w:val="32"/>
        </w:rPr>
        <w:tab/>
      </w:r>
      <w:r>
        <w:rPr>
          <w:noProof/>
        </w:rPr>
        <w:drawing>
          <wp:inline distT="0" distB="0" distL="0" distR="0" wp14:anchorId="71F9A57E" wp14:editId="114ED8AC">
            <wp:extent cx="105156" cy="64008"/>
            <wp:effectExtent l="0" t="0" r="0" b="0"/>
            <wp:docPr id="452531" name="Picture 452531"/>
            <wp:cNvGraphicFramePr/>
            <a:graphic xmlns:a="http://schemas.openxmlformats.org/drawingml/2006/main">
              <a:graphicData uri="http://schemas.openxmlformats.org/drawingml/2006/picture">
                <pic:pic xmlns:pic="http://schemas.openxmlformats.org/drawingml/2006/picture">
                  <pic:nvPicPr>
                    <pic:cNvPr id="452531" name="Picture 452531"/>
                    <pic:cNvPicPr/>
                  </pic:nvPicPr>
                  <pic:blipFill>
                    <a:blip r:embed="rId712"/>
                    <a:stretch>
                      <a:fillRect/>
                    </a:stretch>
                  </pic:blipFill>
                  <pic:spPr>
                    <a:xfrm>
                      <a:off x="0" y="0"/>
                      <a:ext cx="105156" cy="64008"/>
                    </a:xfrm>
                    <a:prstGeom prst="rect">
                      <a:avLst/>
                    </a:prstGeom>
                  </pic:spPr>
                </pic:pic>
              </a:graphicData>
            </a:graphic>
          </wp:inline>
        </w:drawing>
      </w:r>
      <w:r>
        <w:rPr>
          <w:sz w:val="32"/>
        </w:rPr>
        <w:tab/>
        <w:t>III</w:t>
      </w:r>
      <w:r>
        <w:rPr>
          <w:noProof/>
        </w:rPr>
        <w:drawing>
          <wp:inline distT="0" distB="0" distL="0" distR="0" wp14:anchorId="18DB08BE" wp14:editId="25EB14BA">
            <wp:extent cx="987552" cy="425197"/>
            <wp:effectExtent l="0" t="0" r="0" b="0"/>
            <wp:docPr id="452681" name="Picture 452681"/>
            <wp:cNvGraphicFramePr/>
            <a:graphic xmlns:a="http://schemas.openxmlformats.org/drawingml/2006/main">
              <a:graphicData uri="http://schemas.openxmlformats.org/drawingml/2006/picture">
                <pic:pic xmlns:pic="http://schemas.openxmlformats.org/drawingml/2006/picture">
                  <pic:nvPicPr>
                    <pic:cNvPr id="452681" name="Picture 452681"/>
                    <pic:cNvPicPr/>
                  </pic:nvPicPr>
                  <pic:blipFill>
                    <a:blip r:embed="rId713"/>
                    <a:stretch>
                      <a:fillRect/>
                    </a:stretch>
                  </pic:blipFill>
                  <pic:spPr>
                    <a:xfrm>
                      <a:off x="0" y="0"/>
                      <a:ext cx="987552" cy="425197"/>
                    </a:xfrm>
                    <a:prstGeom prst="rect">
                      <a:avLst/>
                    </a:prstGeom>
                  </pic:spPr>
                </pic:pic>
              </a:graphicData>
            </a:graphic>
          </wp:inline>
        </w:drawing>
      </w:r>
    </w:p>
    <w:p w14:paraId="6CD514DB" w14:textId="77777777" w:rsidR="00053D93" w:rsidRDefault="00260B75">
      <w:pPr>
        <w:spacing w:after="3"/>
        <w:ind w:left="10" w:hanging="10"/>
      </w:pPr>
      <w:r>
        <w:rPr>
          <w:rFonts w:ascii="Times New Roman" w:eastAsia="Times New Roman" w:hAnsi="Times New Roman" w:cs="Times New Roman"/>
          <w:sz w:val="64"/>
        </w:rPr>
        <w:t>1</w:t>
      </w:r>
      <w:r>
        <w:rPr>
          <w:noProof/>
        </w:rPr>
        <w:drawing>
          <wp:inline distT="0" distB="0" distL="0" distR="0" wp14:anchorId="4686E3C9" wp14:editId="3FDD630C">
            <wp:extent cx="68580" cy="114300"/>
            <wp:effectExtent l="0" t="0" r="0" b="0"/>
            <wp:docPr id="2458390" name="Picture 2458390"/>
            <wp:cNvGraphicFramePr/>
            <a:graphic xmlns:a="http://schemas.openxmlformats.org/drawingml/2006/main">
              <a:graphicData uri="http://schemas.openxmlformats.org/drawingml/2006/picture">
                <pic:pic xmlns:pic="http://schemas.openxmlformats.org/drawingml/2006/picture">
                  <pic:nvPicPr>
                    <pic:cNvPr id="2458390" name="Picture 2458390"/>
                    <pic:cNvPicPr/>
                  </pic:nvPicPr>
                  <pic:blipFill>
                    <a:blip r:embed="rId714"/>
                    <a:stretch>
                      <a:fillRect/>
                    </a:stretch>
                  </pic:blipFill>
                  <pic:spPr>
                    <a:xfrm>
                      <a:off x="0" y="0"/>
                      <a:ext cx="68580" cy="114300"/>
                    </a:xfrm>
                    <a:prstGeom prst="rect">
                      <a:avLst/>
                    </a:prstGeom>
                  </pic:spPr>
                </pic:pic>
              </a:graphicData>
            </a:graphic>
          </wp:inline>
        </w:drawing>
      </w:r>
    </w:p>
    <w:p w14:paraId="458DFED5" w14:textId="77777777" w:rsidR="00053D93" w:rsidRDefault="00260B75">
      <w:pPr>
        <w:spacing w:after="40"/>
        <w:ind w:left="1771" w:right="-101"/>
      </w:pPr>
      <w:r>
        <w:rPr>
          <w:noProof/>
        </w:rPr>
        <mc:AlternateContent>
          <mc:Choice Requires="wpg">
            <w:drawing>
              <wp:inline distT="0" distB="0" distL="0" distR="0" wp14:anchorId="2B2D92B6" wp14:editId="0E62114F">
                <wp:extent cx="5422393" cy="18288"/>
                <wp:effectExtent l="0" t="0" r="0" b="0"/>
                <wp:docPr id="2458393" name="Group 2458393"/>
                <wp:cNvGraphicFramePr/>
                <a:graphic xmlns:a="http://schemas.openxmlformats.org/drawingml/2006/main">
                  <a:graphicData uri="http://schemas.microsoft.com/office/word/2010/wordprocessingGroup">
                    <wpg:wgp>
                      <wpg:cNvGrpSpPr/>
                      <wpg:grpSpPr>
                        <a:xfrm>
                          <a:off x="0" y="0"/>
                          <a:ext cx="5422393" cy="18288"/>
                          <a:chOff x="0" y="0"/>
                          <a:chExt cx="5422393" cy="18288"/>
                        </a:xfrm>
                      </wpg:grpSpPr>
                      <wps:wsp>
                        <wps:cNvPr id="2458392" name="Shape 2458392"/>
                        <wps:cNvSpPr/>
                        <wps:spPr>
                          <a:xfrm>
                            <a:off x="0" y="0"/>
                            <a:ext cx="5422393" cy="18288"/>
                          </a:xfrm>
                          <a:custGeom>
                            <a:avLst/>
                            <a:gdLst/>
                            <a:ahLst/>
                            <a:cxnLst/>
                            <a:rect l="0" t="0" r="0" b="0"/>
                            <a:pathLst>
                              <a:path w="5422393" h="18288">
                                <a:moveTo>
                                  <a:pt x="0" y="9144"/>
                                </a:moveTo>
                                <a:lnTo>
                                  <a:pt x="5422393"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393" style="width:426.96pt;height:1.44001pt;mso-position-horizontal-relative:char;mso-position-vertical-relative:line" coordsize="54223,182">
                <v:shape id="Shape 2458392" style="position:absolute;width:54223;height:182;left:0;top:0;" coordsize="5422393,18288" path="m0,9144l5422393,9144">
                  <v:stroke weight="1.44001pt" endcap="flat" joinstyle="miter" miterlimit="1" on="true" color="#000000"/>
                  <v:fill on="false" color="#000000"/>
                </v:shape>
              </v:group>
            </w:pict>
          </mc:Fallback>
        </mc:AlternateContent>
      </w:r>
    </w:p>
    <w:p w14:paraId="73761328" w14:textId="77777777" w:rsidR="00053D93" w:rsidRDefault="00260B75">
      <w:pPr>
        <w:spacing w:after="206" w:line="247" w:lineRule="auto"/>
        <w:ind w:left="14" w:right="14" w:firstLine="1778"/>
        <w:jc w:val="both"/>
      </w:pPr>
      <w:r>
        <w:rPr>
          <w:sz w:val="26"/>
        </w:rPr>
        <w:t xml:space="preserve">para discusión de hallazgos, ni presentó pruebas de descargo por medio de comunicación electrónica, ni otro medio electrónico, lo cual consta en la </w:t>
      </w:r>
      <w:r>
        <w:rPr>
          <w:rFonts w:ascii="Times New Roman" w:eastAsia="Times New Roman" w:hAnsi="Times New Roman" w:cs="Times New Roman"/>
          <w:sz w:val="26"/>
        </w:rPr>
        <w:t xml:space="preserve">1 </w:t>
      </w:r>
      <w:r>
        <w:rPr>
          <w:sz w:val="26"/>
        </w:rPr>
        <w:t>Videoconferencia del 21 de abril de 2025.</w:t>
      </w:r>
    </w:p>
    <w:p w14:paraId="13C9E74F" w14:textId="77777777" w:rsidR="00053D93" w:rsidRDefault="00260B75">
      <w:pPr>
        <w:spacing w:after="605" w:line="247" w:lineRule="auto"/>
        <w:ind w:left="14" w:right="14" w:firstLine="1764"/>
        <w:jc w:val="both"/>
      </w:pPr>
      <w:r>
        <w:rPr>
          <w:noProof/>
        </w:rPr>
        <w:drawing>
          <wp:anchor distT="0" distB="0" distL="114300" distR="114300" simplePos="0" relativeHeight="251988992" behindDoc="0" locked="0" layoutInCell="1" allowOverlap="0" wp14:anchorId="633EB839" wp14:editId="782E4935">
            <wp:simplePos x="0" y="0"/>
            <wp:positionH relativeFrom="page">
              <wp:posOffset>6711696</wp:posOffset>
            </wp:positionH>
            <wp:positionV relativeFrom="page">
              <wp:posOffset>6986016</wp:posOffset>
            </wp:positionV>
            <wp:extent cx="9144" cy="13717"/>
            <wp:effectExtent l="0" t="0" r="0" b="0"/>
            <wp:wrapSquare wrapText="bothSides"/>
            <wp:docPr id="456562" name="Picture 456562"/>
            <wp:cNvGraphicFramePr/>
            <a:graphic xmlns:a="http://schemas.openxmlformats.org/drawingml/2006/main">
              <a:graphicData uri="http://schemas.openxmlformats.org/drawingml/2006/picture">
                <pic:pic xmlns:pic="http://schemas.openxmlformats.org/drawingml/2006/picture">
                  <pic:nvPicPr>
                    <pic:cNvPr id="456562" name="Picture 456562"/>
                    <pic:cNvPicPr/>
                  </pic:nvPicPr>
                  <pic:blipFill>
                    <a:blip r:embed="rId715"/>
                    <a:stretch>
                      <a:fillRect/>
                    </a:stretch>
                  </pic:blipFill>
                  <pic:spPr>
                    <a:xfrm>
                      <a:off x="0" y="0"/>
                      <a:ext cx="9144" cy="13717"/>
                    </a:xfrm>
                    <a:prstGeom prst="rect">
                      <a:avLst/>
                    </a:prstGeom>
                  </pic:spPr>
                </pic:pic>
              </a:graphicData>
            </a:graphic>
          </wp:anchor>
        </w:drawing>
      </w:r>
      <w:r>
        <w:rPr>
          <w:sz w:val="26"/>
        </w:rPr>
        <w:t xml:space="preserve">Se confirma el hallazgo para la licenciada Anabí Cinthia Veralíz García Corado de </w:t>
      </w:r>
      <w:r>
        <w:rPr>
          <w:rFonts w:ascii="Times New Roman" w:eastAsia="Times New Roman" w:hAnsi="Times New Roman" w:cs="Times New Roman"/>
          <w:sz w:val="26"/>
        </w:rPr>
        <w:t xml:space="preserve">1 </w:t>
      </w:r>
      <w:r>
        <w:rPr>
          <w:sz w:val="26"/>
        </w:rPr>
        <w:t xml:space="preserve">Mora, quien fungió como Director General en Funciones, por el período comprendido del 23 de octubre de 2023 al 06 de diciembre de 2023; en virtud que, las pruebas presentadas no son suficientes, a pesar de manifestar haber </w:t>
      </w:r>
      <w:r>
        <w:rPr>
          <w:rFonts w:ascii="Times New Roman" w:eastAsia="Times New Roman" w:hAnsi="Times New Roman" w:cs="Times New Roman"/>
          <w:sz w:val="26"/>
        </w:rPr>
        <w:t xml:space="preserve">1 </w:t>
      </w:r>
      <w:r>
        <w:rPr>
          <w:sz w:val="26"/>
        </w:rPr>
        <w:t xml:space="preserve">desempeñado el puesto de Director General en funciones de octubre de diciembre y posteriormente nombrada hasta el 22 de enero de 2024 por un plazo aproximado </w:t>
      </w:r>
      <w:r>
        <w:rPr>
          <w:rFonts w:ascii="Times New Roman" w:eastAsia="Times New Roman" w:hAnsi="Times New Roman" w:cs="Times New Roman"/>
          <w:sz w:val="26"/>
        </w:rPr>
        <w:t xml:space="preserve">1 </w:t>
      </w:r>
      <w:r>
        <w:rPr>
          <w:sz w:val="26"/>
        </w:rPr>
        <w:t xml:space="preserve">de 3 meses; sin embargo, dicha situación no la exime de responsabilidad; además, aunque efectivamente no todo el personal nombrado para puestos provisionales que no cumplían con el perfil del puesto le corresponden, si firmó la </w:t>
      </w:r>
      <w:r>
        <w:rPr>
          <w:rFonts w:ascii="Times New Roman" w:eastAsia="Times New Roman" w:hAnsi="Times New Roman" w:cs="Times New Roman"/>
          <w:sz w:val="26"/>
        </w:rPr>
        <w:t xml:space="preserve">1 </w:t>
      </w:r>
      <w:r>
        <w:rPr>
          <w:sz w:val="26"/>
        </w:rPr>
        <w:t xml:space="preserve">Resolución No. 304-2023 del 13 de noviembre de 2023, en donde se nombró a personal permanente para ocupar puestos de forma interina sin contar con el perfil del puesto a ocupar, la cual forma parte de las deficiencias detalladas en el </w:t>
      </w:r>
      <w:r>
        <w:rPr>
          <w:rFonts w:ascii="Times New Roman" w:eastAsia="Times New Roman" w:hAnsi="Times New Roman" w:cs="Times New Roman"/>
          <w:sz w:val="26"/>
        </w:rPr>
        <w:t xml:space="preserve">1 </w:t>
      </w:r>
      <w:r>
        <w:rPr>
          <w:sz w:val="26"/>
        </w:rPr>
        <w:t xml:space="preserve">presente hallazgo; además, no se observó documentación que comprobara el seguimiento que la responsable indica haber realizado, que como Director General </w:t>
      </w:r>
      <w:r>
        <w:rPr>
          <w:rFonts w:ascii="Times New Roman" w:eastAsia="Times New Roman" w:hAnsi="Times New Roman" w:cs="Times New Roman"/>
          <w:sz w:val="26"/>
        </w:rPr>
        <w:t xml:space="preserve">1 </w:t>
      </w:r>
      <w:r>
        <w:rPr>
          <w:sz w:val="26"/>
        </w:rPr>
        <w:t>en Funciones de la Dirección General de Educación Física -DIGEF- debía gestionar para para cumplir con lo establecido en el Decreto No. 1748 Ley de Servicio Civil, con respecto al perfil del puesto que las personas nombradas deben cumplir para ocupar puestos provisionales y el plazo máximo que establece la ley para ocupar dichos puestos.</w:t>
      </w:r>
    </w:p>
    <w:p w14:paraId="43BB8C41" w14:textId="77777777" w:rsidR="00053D93" w:rsidRDefault="00260B75">
      <w:pPr>
        <w:spacing w:after="127" w:line="247" w:lineRule="auto"/>
        <w:ind w:left="122" w:right="14" w:firstLine="4"/>
        <w:jc w:val="both"/>
      </w:pPr>
      <w:r>
        <w:rPr>
          <w:rFonts w:ascii="Times New Roman" w:eastAsia="Times New Roman" w:hAnsi="Times New Roman" w:cs="Times New Roman"/>
          <w:sz w:val="26"/>
        </w:rPr>
        <w:t xml:space="preserve">1 </w:t>
      </w:r>
      <w:r>
        <w:rPr>
          <w:sz w:val="26"/>
        </w:rPr>
        <w:t xml:space="preserve">Se confirma el hallazgo para el Ingeniero Mario Alfredo Cerna Yanes, quien fungió como Coordinador de Recursos Humanos; por el período comprendido del 05 de </w:t>
      </w:r>
      <w:r>
        <w:rPr>
          <w:rFonts w:ascii="Times New Roman" w:eastAsia="Times New Roman" w:hAnsi="Times New Roman" w:cs="Times New Roman"/>
          <w:sz w:val="26"/>
        </w:rPr>
        <w:t xml:space="preserve">1 </w:t>
      </w:r>
      <w:r>
        <w:rPr>
          <w:sz w:val="26"/>
        </w:rPr>
        <w:t xml:space="preserve">agosto de 2024 al 01 de octubre de 2024; en virtud que, las pruebas presentadas no son suficientes, a pesar de manifestar que no se encontraba laborando por el período del 01 de enero al 04 de agosto de 2024, cuando los servidores públicos </w:t>
      </w:r>
      <w:r>
        <w:rPr>
          <w:rFonts w:ascii="Times New Roman" w:eastAsia="Times New Roman" w:hAnsi="Times New Roman" w:cs="Times New Roman"/>
          <w:sz w:val="26"/>
        </w:rPr>
        <w:t xml:space="preserve">1 </w:t>
      </w:r>
      <w:r>
        <w:rPr>
          <w:sz w:val="26"/>
        </w:rPr>
        <w:t xml:space="preserve">excedieron del plazo de seis meses que permite la Ley de Servicio Civil; sin embargo, como lo indicó el responsable, fue reinstalado en la Dirección General de Educación Física -DIGEF- a partir del 05 de agosto de 2024, en el puesto de </w:t>
      </w:r>
      <w:r>
        <w:rPr>
          <w:rFonts w:ascii="Times New Roman" w:eastAsia="Times New Roman" w:hAnsi="Times New Roman" w:cs="Times New Roman"/>
          <w:sz w:val="26"/>
        </w:rPr>
        <w:t xml:space="preserve">1 </w:t>
      </w:r>
      <w:r>
        <w:rPr>
          <w:sz w:val="26"/>
        </w:rPr>
        <w:t>Coordinador de Recursos Humanos y durante su gestión, se culminó el plazo máximo de los seis meses que permite el Decreto No. 1748 Ley de Servicio Civil,</w:t>
      </w:r>
    </w:p>
    <w:p w14:paraId="0D006931" w14:textId="77777777" w:rsidR="00053D93" w:rsidRDefault="00260B75">
      <w:pPr>
        <w:spacing w:after="17" w:line="301" w:lineRule="auto"/>
        <w:ind w:left="173" w:right="14" w:firstLine="4"/>
        <w:jc w:val="both"/>
      </w:pPr>
      <w:r>
        <w:rPr>
          <w:rFonts w:ascii="Times New Roman" w:eastAsia="Times New Roman" w:hAnsi="Times New Roman" w:cs="Times New Roman"/>
          <w:sz w:val="26"/>
        </w:rPr>
        <w:lastRenderedPageBreak/>
        <w:t xml:space="preserve">1 </w:t>
      </w:r>
      <w:r>
        <w:rPr>
          <w:sz w:val="26"/>
        </w:rPr>
        <w:t xml:space="preserve">para ocupar puestos provisionales de los empleados nombrados mediante las Resoluciones número: DG-064-2024, DG-071-2024, DG-073-2024, DG-065-2024 y 304-2023, los cuales forman parte de las deficiencias detalladas en el presente </w:t>
      </w:r>
      <w:r>
        <w:rPr>
          <w:rFonts w:ascii="Times New Roman" w:eastAsia="Times New Roman" w:hAnsi="Times New Roman" w:cs="Times New Roman"/>
          <w:sz w:val="26"/>
        </w:rPr>
        <w:t xml:space="preserve">1 </w:t>
      </w:r>
      <w:r>
        <w:rPr>
          <w:sz w:val="26"/>
        </w:rPr>
        <w:t>hallazgo; además, de conformidad con las funciones establecidas en el Manual de</w:t>
      </w:r>
    </w:p>
    <w:p w14:paraId="63D02C87" w14:textId="77777777" w:rsidR="00053D93" w:rsidRDefault="00260B75">
      <w:pPr>
        <w:spacing w:after="157" w:line="302" w:lineRule="auto"/>
        <w:ind w:left="194" w:right="14" w:firstLine="1591"/>
        <w:jc w:val="both"/>
      </w:pPr>
      <w:r>
        <w:rPr>
          <w:sz w:val="26"/>
        </w:rPr>
        <w:t xml:space="preserve">Funciones de ia Dirección General de Educación Física -DIGEF-, el Coordinador </w:t>
      </w:r>
      <w:r>
        <w:rPr>
          <w:rFonts w:ascii="Times New Roman" w:eastAsia="Times New Roman" w:hAnsi="Times New Roman" w:cs="Times New Roman"/>
          <w:sz w:val="26"/>
        </w:rPr>
        <w:t xml:space="preserve">1 </w:t>
      </w:r>
      <w:r>
        <w:rPr>
          <w:sz w:val="26"/>
        </w:rPr>
        <w:t>de Recursos Humanos, es el encargado de administrar el personal de la DIGEF, incluyendo reclutamiento, selección, evaluaciones, control de nómina y desempeño, asf como planificar y supervisar las actividades de su área y autorizar</w:t>
      </w:r>
    </w:p>
    <w:p w14:paraId="44492BEE" w14:textId="77777777" w:rsidR="00053D93" w:rsidRDefault="00260B75">
      <w:pPr>
        <w:tabs>
          <w:tab w:val="right" w:pos="10224"/>
        </w:tabs>
        <w:spacing w:after="173" w:line="267" w:lineRule="auto"/>
      </w:pPr>
      <w:r>
        <w:rPr>
          <w:noProof/>
        </w:rPr>
        <w:drawing>
          <wp:inline distT="0" distB="0" distL="0" distR="0" wp14:anchorId="22BB62AD" wp14:editId="09C55A65">
            <wp:extent cx="22860" cy="13715"/>
            <wp:effectExtent l="0" t="0" r="0" b="0"/>
            <wp:docPr id="456563" name="Picture 456563"/>
            <wp:cNvGraphicFramePr/>
            <a:graphic xmlns:a="http://schemas.openxmlformats.org/drawingml/2006/main">
              <a:graphicData uri="http://schemas.openxmlformats.org/drawingml/2006/picture">
                <pic:pic xmlns:pic="http://schemas.openxmlformats.org/drawingml/2006/picture">
                  <pic:nvPicPr>
                    <pic:cNvPr id="456563" name="Picture 456563"/>
                    <pic:cNvPicPr/>
                  </pic:nvPicPr>
                  <pic:blipFill>
                    <a:blip r:embed="rId716"/>
                    <a:stretch>
                      <a:fillRect/>
                    </a:stretch>
                  </pic:blipFill>
                  <pic:spPr>
                    <a:xfrm>
                      <a:off x="0" y="0"/>
                      <a:ext cx="22860" cy="13715"/>
                    </a:xfrm>
                    <a:prstGeom prst="rect">
                      <a:avLst/>
                    </a:prstGeom>
                  </pic:spPr>
                </pic:pic>
              </a:graphicData>
            </a:graphic>
          </wp:inline>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los movimientos de personal; por lo que, el responsable debió realizar las</w:t>
      </w:r>
    </w:p>
    <w:tbl>
      <w:tblPr>
        <w:tblStyle w:val="TableGrid"/>
        <w:tblpPr w:vertAnchor="text" w:tblpX="2635"/>
        <w:tblOverlap w:val="never"/>
        <w:tblW w:w="7582" w:type="dxa"/>
        <w:tblInd w:w="0" w:type="dxa"/>
        <w:tblCellMar>
          <w:top w:w="50" w:type="dxa"/>
          <w:left w:w="1721" w:type="dxa"/>
          <w:right w:w="115" w:type="dxa"/>
        </w:tblCellMar>
        <w:tblLook w:val="04A0" w:firstRow="1" w:lastRow="0" w:firstColumn="1" w:lastColumn="0" w:noHBand="0" w:noVBand="1"/>
      </w:tblPr>
      <w:tblGrid>
        <w:gridCol w:w="7582"/>
      </w:tblGrid>
      <w:tr w:rsidR="00053D93" w14:paraId="6892FAD9" w14:textId="77777777">
        <w:trPr>
          <w:trHeight w:val="36"/>
        </w:trPr>
        <w:tc>
          <w:tcPr>
            <w:tcW w:w="7582" w:type="dxa"/>
            <w:tcBorders>
              <w:top w:val="nil"/>
              <w:left w:val="single" w:sz="2" w:space="0" w:color="000000"/>
              <w:bottom w:val="single" w:sz="2" w:space="0" w:color="000000"/>
              <w:right w:val="nil"/>
            </w:tcBorders>
          </w:tcPr>
          <w:p w14:paraId="46273116" w14:textId="77777777" w:rsidR="00053D93" w:rsidRDefault="00053D93"/>
        </w:tc>
      </w:tr>
      <w:tr w:rsidR="00053D93" w14:paraId="225A4614" w14:textId="77777777">
        <w:trPr>
          <w:trHeight w:val="612"/>
        </w:trPr>
        <w:tc>
          <w:tcPr>
            <w:tcW w:w="7582" w:type="dxa"/>
            <w:tcBorders>
              <w:top w:val="single" w:sz="2" w:space="0" w:color="000000"/>
              <w:left w:val="single" w:sz="2" w:space="0" w:color="000000"/>
              <w:bottom w:val="nil"/>
              <w:right w:val="nil"/>
            </w:tcBorders>
          </w:tcPr>
          <w:p w14:paraId="69AE3936" w14:textId="77777777" w:rsidR="00053D93" w:rsidRDefault="00260B75">
            <w:pPr>
              <w:ind w:left="835"/>
            </w:pPr>
            <w:r>
              <w:rPr>
                <w:sz w:val="14"/>
              </w:rPr>
              <w:t>MINISTERIO DE EDUCACION</w:t>
            </w:r>
          </w:p>
          <w:p w14:paraId="5BD5B969" w14:textId="77777777" w:rsidR="00053D93" w:rsidRDefault="00260B75">
            <w:pPr>
              <w:ind w:left="331"/>
            </w:pPr>
            <w:r>
              <w:rPr>
                <w:sz w:val="14"/>
              </w:rPr>
              <w:t>AUDITORIA FINANCIERA Y DE CUMPLIMIENTO</w:t>
            </w:r>
          </w:p>
          <w:p w14:paraId="3136E775" w14:textId="77777777" w:rsidR="00053D93" w:rsidRDefault="00260B75">
            <w:r>
              <w:rPr>
                <w:sz w:val="14"/>
              </w:rPr>
              <w:t>PERIODO DEL 01 DE ENERO AL 31 DE DICIEMBRE OE 2024</w:t>
            </w:r>
          </w:p>
        </w:tc>
      </w:tr>
    </w:tbl>
    <w:p w14:paraId="7C3F272F" w14:textId="77777777" w:rsidR="00053D93" w:rsidRDefault="00260B75">
      <w:pPr>
        <w:pStyle w:val="Ttulo1"/>
        <w:spacing w:after="80" w:line="259" w:lineRule="auto"/>
        <w:ind w:left="218" w:right="-7603"/>
        <w:jc w:val="left"/>
      </w:pPr>
      <w:r>
        <w:rPr>
          <w:sz w:val="32"/>
        </w:rPr>
        <w:t xml:space="preserve">I III </w:t>
      </w:r>
      <w:r>
        <w:rPr>
          <w:noProof/>
        </w:rPr>
        <w:drawing>
          <wp:inline distT="0" distB="0" distL="0" distR="0" wp14:anchorId="73299C78" wp14:editId="1E64A83F">
            <wp:extent cx="864108" cy="411480"/>
            <wp:effectExtent l="0" t="0" r="0" b="0"/>
            <wp:docPr id="456712" name="Picture 456712"/>
            <wp:cNvGraphicFramePr/>
            <a:graphic xmlns:a="http://schemas.openxmlformats.org/drawingml/2006/main">
              <a:graphicData uri="http://schemas.openxmlformats.org/drawingml/2006/picture">
                <pic:pic xmlns:pic="http://schemas.openxmlformats.org/drawingml/2006/picture">
                  <pic:nvPicPr>
                    <pic:cNvPr id="456712" name="Picture 456712"/>
                    <pic:cNvPicPr/>
                  </pic:nvPicPr>
                  <pic:blipFill>
                    <a:blip r:embed="rId717"/>
                    <a:stretch>
                      <a:fillRect/>
                    </a:stretch>
                  </pic:blipFill>
                  <pic:spPr>
                    <a:xfrm>
                      <a:off x="0" y="0"/>
                      <a:ext cx="864108" cy="411480"/>
                    </a:xfrm>
                    <a:prstGeom prst="rect">
                      <a:avLst/>
                    </a:prstGeom>
                  </pic:spPr>
                </pic:pic>
              </a:graphicData>
            </a:graphic>
          </wp:inline>
        </w:drawing>
      </w:r>
      <w:r>
        <w:rPr>
          <w:sz w:val="32"/>
        </w:rPr>
        <w:t>fI</w:t>
      </w:r>
    </w:p>
    <w:p w14:paraId="1DCF1F93" w14:textId="77777777" w:rsidR="00053D93" w:rsidRDefault="00260B75">
      <w:pPr>
        <w:spacing w:after="332" w:line="265" w:lineRule="auto"/>
        <w:ind w:left="1767" w:right="1750" w:hanging="10"/>
        <w:jc w:val="center"/>
      </w:pPr>
      <w:r>
        <w:rPr>
          <w:noProof/>
        </w:rPr>
        <w:drawing>
          <wp:anchor distT="0" distB="0" distL="114300" distR="114300" simplePos="0" relativeHeight="251990016" behindDoc="0" locked="0" layoutInCell="1" allowOverlap="0" wp14:anchorId="16974E15" wp14:editId="459B4343">
            <wp:simplePos x="0" y="0"/>
            <wp:positionH relativeFrom="column">
              <wp:posOffset>4572</wp:posOffset>
            </wp:positionH>
            <wp:positionV relativeFrom="paragraph">
              <wp:posOffset>-379475</wp:posOffset>
            </wp:positionV>
            <wp:extent cx="310896" cy="1997964"/>
            <wp:effectExtent l="0" t="0" r="0" b="0"/>
            <wp:wrapSquare wrapText="bothSides"/>
            <wp:docPr id="460695" name="Picture 460695"/>
            <wp:cNvGraphicFramePr/>
            <a:graphic xmlns:a="http://schemas.openxmlformats.org/drawingml/2006/main">
              <a:graphicData uri="http://schemas.openxmlformats.org/drawingml/2006/picture">
                <pic:pic xmlns:pic="http://schemas.openxmlformats.org/drawingml/2006/picture">
                  <pic:nvPicPr>
                    <pic:cNvPr id="460695" name="Picture 460695"/>
                    <pic:cNvPicPr/>
                  </pic:nvPicPr>
                  <pic:blipFill>
                    <a:blip r:embed="rId718"/>
                    <a:stretch>
                      <a:fillRect/>
                    </a:stretch>
                  </pic:blipFill>
                  <pic:spPr>
                    <a:xfrm>
                      <a:off x="0" y="0"/>
                      <a:ext cx="310896" cy="1997964"/>
                    </a:xfrm>
                    <a:prstGeom prst="rect">
                      <a:avLst/>
                    </a:prstGeom>
                  </pic:spPr>
                </pic:pic>
              </a:graphicData>
            </a:graphic>
          </wp:anchor>
        </w:drawing>
      </w:r>
      <w:r>
        <w:rPr>
          <w:noProof/>
        </w:rPr>
        <mc:AlternateContent>
          <mc:Choice Requires="wpg">
            <w:drawing>
              <wp:anchor distT="0" distB="0" distL="114300" distR="114300" simplePos="0" relativeHeight="251991040" behindDoc="0" locked="0" layoutInCell="1" allowOverlap="1" wp14:anchorId="70702DB0" wp14:editId="1A95BCAA">
                <wp:simplePos x="0" y="0"/>
                <wp:positionH relativeFrom="column">
                  <wp:posOffset>1097280</wp:posOffset>
                </wp:positionH>
                <wp:positionV relativeFrom="paragraph">
                  <wp:posOffset>251460</wp:posOffset>
                </wp:positionV>
                <wp:extent cx="5495544" cy="18288"/>
                <wp:effectExtent l="0" t="0" r="0" b="0"/>
                <wp:wrapSquare wrapText="bothSides"/>
                <wp:docPr id="2458397" name="Group 2458397"/>
                <wp:cNvGraphicFramePr/>
                <a:graphic xmlns:a="http://schemas.openxmlformats.org/drawingml/2006/main">
                  <a:graphicData uri="http://schemas.microsoft.com/office/word/2010/wordprocessingGroup">
                    <wpg:wgp>
                      <wpg:cNvGrpSpPr/>
                      <wpg:grpSpPr>
                        <a:xfrm>
                          <a:off x="0" y="0"/>
                          <a:ext cx="5495544" cy="18288"/>
                          <a:chOff x="0" y="0"/>
                          <a:chExt cx="5495544" cy="18288"/>
                        </a:xfrm>
                      </wpg:grpSpPr>
                      <wps:wsp>
                        <wps:cNvPr id="2458396" name="Shape 2458396"/>
                        <wps:cNvSpPr/>
                        <wps:spPr>
                          <a:xfrm>
                            <a:off x="0" y="0"/>
                            <a:ext cx="5495544" cy="18288"/>
                          </a:xfrm>
                          <a:custGeom>
                            <a:avLst/>
                            <a:gdLst/>
                            <a:ahLst/>
                            <a:cxnLst/>
                            <a:rect l="0" t="0" r="0" b="0"/>
                            <a:pathLst>
                              <a:path w="5495544" h="18288">
                                <a:moveTo>
                                  <a:pt x="0" y="9144"/>
                                </a:moveTo>
                                <a:lnTo>
                                  <a:pt x="549554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397" style="width:432.72pt;height:1.43999pt;position:absolute;mso-position-horizontal-relative:text;mso-position-horizontal:absolute;margin-left:86.4pt;mso-position-vertical-relative:text;margin-top:19.8pt;" coordsize="54955,182">
                <v:shape id="Shape 2458396" style="position:absolute;width:54955;height:182;left:0;top:0;" coordsize="5495544,18288" path="m0,9144l5495544,9144">
                  <v:stroke weight="1.43999pt" endcap="flat" joinstyle="miter" miterlimit="1" on="true" color="#000000"/>
                  <v:fill on="false" color="#000000"/>
                </v:shape>
                <w10:wrap type="square"/>
              </v:group>
            </w:pict>
          </mc:Fallback>
        </mc:AlternateContent>
      </w:r>
      <w:r>
        <w:rPr>
          <w:rFonts w:ascii="Times New Roman" w:eastAsia="Times New Roman" w:hAnsi="Times New Roman" w:cs="Times New Roman"/>
          <w:sz w:val="12"/>
        </w:rPr>
        <w:t>97</w:t>
      </w:r>
    </w:p>
    <w:p w14:paraId="2DFB1AA7" w14:textId="77777777" w:rsidR="00053D93" w:rsidRDefault="00260B75">
      <w:pPr>
        <w:spacing w:before="74" w:after="299" w:line="247" w:lineRule="auto"/>
        <w:ind w:left="14" w:right="14" w:firstLine="4"/>
        <w:jc w:val="both"/>
      </w:pPr>
      <w:r>
        <w:rPr>
          <w:sz w:val="26"/>
        </w:rPr>
        <w:t>gestiones necesarias para asegurar el control del plazo de los puestos ocupados de forma interina, así como del personal que se encontraba ocupando puestos provisionales sin contar con el perfil requerido, para el debido cumplimiento de lo establecido en el Decreto No. 1748 Ley de Servicio Civil.</w:t>
      </w:r>
    </w:p>
    <w:p w14:paraId="153A40C0" w14:textId="77777777" w:rsidR="00053D93" w:rsidRDefault="00260B75">
      <w:pPr>
        <w:spacing w:after="176" w:line="247" w:lineRule="auto"/>
        <w:ind w:left="14" w:right="14" w:firstLine="1253"/>
        <w:jc w:val="both"/>
      </w:pPr>
      <w:r>
        <w:rPr>
          <w:noProof/>
        </w:rPr>
        <w:drawing>
          <wp:anchor distT="0" distB="0" distL="114300" distR="114300" simplePos="0" relativeHeight="251992064" behindDoc="0" locked="0" layoutInCell="1" allowOverlap="0" wp14:anchorId="7D7385D1" wp14:editId="53E1AEBE">
            <wp:simplePos x="0" y="0"/>
            <wp:positionH relativeFrom="page">
              <wp:posOffset>7091172</wp:posOffset>
            </wp:positionH>
            <wp:positionV relativeFrom="page">
              <wp:posOffset>3662172</wp:posOffset>
            </wp:positionV>
            <wp:extent cx="9144" cy="13716"/>
            <wp:effectExtent l="0" t="0" r="0" b="0"/>
            <wp:wrapSquare wrapText="bothSides"/>
            <wp:docPr id="460594" name="Picture 460594"/>
            <wp:cNvGraphicFramePr/>
            <a:graphic xmlns:a="http://schemas.openxmlformats.org/drawingml/2006/main">
              <a:graphicData uri="http://schemas.openxmlformats.org/drawingml/2006/picture">
                <pic:pic xmlns:pic="http://schemas.openxmlformats.org/drawingml/2006/picture">
                  <pic:nvPicPr>
                    <pic:cNvPr id="460594" name="Picture 460594"/>
                    <pic:cNvPicPr/>
                  </pic:nvPicPr>
                  <pic:blipFill>
                    <a:blip r:embed="rId719"/>
                    <a:stretch>
                      <a:fillRect/>
                    </a:stretch>
                  </pic:blipFill>
                  <pic:spPr>
                    <a:xfrm>
                      <a:off x="0" y="0"/>
                      <a:ext cx="9144" cy="13716"/>
                    </a:xfrm>
                    <a:prstGeom prst="rect">
                      <a:avLst/>
                    </a:prstGeom>
                  </pic:spPr>
                </pic:pic>
              </a:graphicData>
            </a:graphic>
          </wp:anchor>
        </w:drawing>
      </w:r>
      <w:r>
        <w:rPr>
          <w:sz w:val="26"/>
        </w:rPr>
        <w:t xml:space="preserve">Se confirma el hallazgo para el licenciado William Leonel Barrios Leiva, quien fungió como Jefe de Acciones de Personal, por el período comprendido del 01 de enero de 2020 al 01 de octubre de 2024; en virtud que, las pruebas presentadas no son suficientes, a pesar de que el responsable manifestó que notificó a las Coordinadoras de Recursos Humanos, para que informaran sobre la existencia de </w:t>
      </w:r>
      <w:r>
        <w:rPr>
          <w:rFonts w:ascii="Times New Roman" w:eastAsia="Times New Roman" w:hAnsi="Times New Roman" w:cs="Times New Roman"/>
          <w:sz w:val="26"/>
        </w:rPr>
        <w:t xml:space="preserve">1 </w:t>
      </w:r>
      <w:r>
        <w:rPr>
          <w:sz w:val="26"/>
        </w:rPr>
        <w:t xml:space="preserve">personal de la DIGEF que se encuentran ocupando puestos interinos por más de seis meses y que no cumplen con el perfil del puesto; sin embargo, el responsable no presentó documentos que demuestren la notificación oportuna a los </w:t>
      </w:r>
      <w:r>
        <w:rPr>
          <w:rFonts w:ascii="Times New Roman" w:eastAsia="Times New Roman" w:hAnsi="Times New Roman" w:cs="Times New Roman"/>
          <w:sz w:val="26"/>
        </w:rPr>
        <w:t xml:space="preserve">1 </w:t>
      </w:r>
      <w:r>
        <w:rPr>
          <w:sz w:val="26"/>
        </w:rPr>
        <w:t xml:space="preserve">Coordinadores de Recursos Humanos, para dar cumplimiento a lo establecido en los artículos 51 y 52 del Decreto No. 1748 Ley de Servicio Civil, con respecto al </w:t>
      </w:r>
      <w:r>
        <w:rPr>
          <w:rFonts w:ascii="Times New Roman" w:eastAsia="Times New Roman" w:hAnsi="Times New Roman" w:cs="Times New Roman"/>
          <w:sz w:val="26"/>
        </w:rPr>
        <w:t xml:space="preserve">1 </w:t>
      </w:r>
      <w:r>
        <w:rPr>
          <w:sz w:val="26"/>
        </w:rPr>
        <w:t xml:space="preserve">plazo máximo de seis meses para ocupar puestos provisionales y para que dichos empleados nombrados de forma provisional cumplan con el perfil del puesto; ya que, por ser el Jefe de Acciones de Personal, debe aplicar los controles </w:t>
      </w:r>
      <w:r>
        <w:rPr>
          <w:rFonts w:ascii="Times New Roman" w:eastAsia="Times New Roman" w:hAnsi="Times New Roman" w:cs="Times New Roman"/>
          <w:sz w:val="26"/>
        </w:rPr>
        <w:t xml:space="preserve">1 </w:t>
      </w:r>
      <w:r>
        <w:rPr>
          <w:sz w:val="26"/>
        </w:rPr>
        <w:t xml:space="preserve">necesarios con respecto a los movimientos del personal de [a DIGEF, incumpliendo así sus funciones de control y asesoría técnica descritas en el numeral 106 del MAN-TEC-3, dirigir los procesos de reclutamiento, selección, </w:t>
      </w:r>
      <w:r>
        <w:rPr>
          <w:rFonts w:ascii="Times New Roman" w:eastAsia="Times New Roman" w:hAnsi="Times New Roman" w:cs="Times New Roman"/>
          <w:sz w:val="26"/>
        </w:rPr>
        <w:t xml:space="preserve">1 </w:t>
      </w:r>
      <w:r>
        <w:rPr>
          <w:sz w:val="26"/>
        </w:rPr>
        <w:t xml:space="preserve">registros de movimientos de personal, control de licencias, traslados y otros movimientos laborales, en coordinación con la legislación vigente y autoridades </w:t>
      </w:r>
      <w:r>
        <w:rPr>
          <w:rFonts w:ascii="Times New Roman" w:eastAsia="Times New Roman" w:hAnsi="Times New Roman" w:cs="Times New Roman"/>
          <w:sz w:val="26"/>
        </w:rPr>
        <w:t xml:space="preserve">1 </w:t>
      </w:r>
      <w:r>
        <w:rPr>
          <w:sz w:val="26"/>
        </w:rPr>
        <w:t>como la Dirección de Personal y la ONSEC.</w:t>
      </w:r>
    </w:p>
    <w:p w14:paraId="76D2D58C" w14:textId="77777777" w:rsidR="00053D93" w:rsidRDefault="00260B75">
      <w:pPr>
        <w:spacing w:after="204" w:line="247" w:lineRule="auto"/>
        <w:ind w:left="130" w:right="14" w:firstLine="1634"/>
        <w:jc w:val="both"/>
      </w:pPr>
      <w:r>
        <w:rPr>
          <w:sz w:val="26"/>
        </w:rPr>
        <w:t xml:space="preserve">Se desvanece el hallazgo para la licenciada Gladys Maite Rojas Álvarez, quien </w:t>
      </w:r>
      <w:r>
        <w:rPr>
          <w:rFonts w:ascii="Times New Roman" w:eastAsia="Times New Roman" w:hAnsi="Times New Roman" w:cs="Times New Roman"/>
          <w:sz w:val="26"/>
        </w:rPr>
        <w:t xml:space="preserve">1 </w:t>
      </w:r>
      <w:r>
        <w:rPr>
          <w:sz w:val="26"/>
        </w:rPr>
        <w:t xml:space="preserve">fungió como Coordinadora de Recursos Humanos, por el período comprendido del 01 de enero </w:t>
      </w:r>
      <w:r>
        <w:rPr>
          <w:sz w:val="26"/>
        </w:rPr>
        <w:lastRenderedPageBreak/>
        <w:t>de 2020 al 31 de diciembre de 2020; en virtud que, las pruebas presentadas son suficientes, ya que se demostró mediante los oficios número:</w:t>
      </w:r>
    </w:p>
    <w:p w14:paraId="115746DC" w14:textId="77777777" w:rsidR="00053D93" w:rsidRDefault="00260B75">
      <w:pPr>
        <w:spacing w:after="14" w:line="290" w:lineRule="auto"/>
        <w:ind w:left="144" w:hanging="29"/>
      </w:pPr>
      <w:r>
        <w:rPr>
          <w:noProof/>
        </w:rPr>
        <w:drawing>
          <wp:inline distT="0" distB="0" distL="0" distR="0" wp14:anchorId="13F986C4" wp14:editId="66B3DB93">
            <wp:extent cx="4572" cy="4572"/>
            <wp:effectExtent l="0" t="0" r="0" b="0"/>
            <wp:docPr id="460595" name="Picture 460595"/>
            <wp:cNvGraphicFramePr/>
            <a:graphic xmlns:a="http://schemas.openxmlformats.org/drawingml/2006/main">
              <a:graphicData uri="http://schemas.openxmlformats.org/drawingml/2006/picture">
                <pic:pic xmlns:pic="http://schemas.openxmlformats.org/drawingml/2006/picture">
                  <pic:nvPicPr>
                    <pic:cNvPr id="460595" name="Picture 460595"/>
                    <pic:cNvPicPr/>
                  </pic:nvPicPr>
                  <pic:blipFill>
                    <a:blip r:embed="rId720"/>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RRHH-137-2019 y RRHH-134-2019 del 07 de marzo de 2019, que durante el tiempo que desempeñó el puesto, realizó el seguimiento correspondiente,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asesorando y dando a conocer al Director General de la DIGEF, para que se tomaran las acciones necesarias con respecto al personal nombrado de forma interina que no cumple con el perfil del puesto o tenía más de seis meses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desempeñándolo.</w:t>
      </w:r>
    </w:p>
    <w:p w14:paraId="5C462815" w14:textId="77777777" w:rsidR="00053D93" w:rsidRDefault="00260B75">
      <w:pPr>
        <w:spacing w:after="17" w:line="247" w:lineRule="auto"/>
        <w:ind w:left="194" w:right="14" w:firstLine="1411"/>
        <w:jc w:val="both"/>
      </w:pPr>
      <w:r>
        <w:rPr>
          <w:noProof/>
        </w:rPr>
        <w:drawing>
          <wp:anchor distT="0" distB="0" distL="114300" distR="114300" simplePos="0" relativeHeight="251993088" behindDoc="0" locked="0" layoutInCell="1" allowOverlap="0" wp14:anchorId="1CFB9675" wp14:editId="7AC7CA3C">
            <wp:simplePos x="0" y="0"/>
            <wp:positionH relativeFrom="column">
              <wp:posOffset>68580</wp:posOffset>
            </wp:positionH>
            <wp:positionV relativeFrom="paragraph">
              <wp:posOffset>-82092</wp:posOffset>
            </wp:positionV>
            <wp:extent cx="155448" cy="681228"/>
            <wp:effectExtent l="0" t="0" r="0" b="0"/>
            <wp:wrapSquare wrapText="bothSides"/>
            <wp:docPr id="460697" name="Picture 460697"/>
            <wp:cNvGraphicFramePr/>
            <a:graphic xmlns:a="http://schemas.openxmlformats.org/drawingml/2006/main">
              <a:graphicData uri="http://schemas.openxmlformats.org/drawingml/2006/picture">
                <pic:pic xmlns:pic="http://schemas.openxmlformats.org/drawingml/2006/picture">
                  <pic:nvPicPr>
                    <pic:cNvPr id="460697" name="Picture 460697"/>
                    <pic:cNvPicPr/>
                  </pic:nvPicPr>
                  <pic:blipFill>
                    <a:blip r:embed="rId721"/>
                    <a:stretch>
                      <a:fillRect/>
                    </a:stretch>
                  </pic:blipFill>
                  <pic:spPr>
                    <a:xfrm>
                      <a:off x="0" y="0"/>
                      <a:ext cx="155448" cy="681228"/>
                    </a:xfrm>
                    <a:prstGeom prst="rect">
                      <a:avLst/>
                    </a:prstGeom>
                  </pic:spPr>
                </pic:pic>
              </a:graphicData>
            </a:graphic>
          </wp:anchor>
        </w:drawing>
      </w:r>
      <w:r>
        <w:rPr>
          <w:sz w:val="26"/>
        </w:rPr>
        <w:t xml:space="preserve">Se desvanece el hallazgo para la licenciada Celia Aroche Navarijo, quien fungió como Coordinadora de Recursos Humanos, por el período comprendido del 01 de enero de 2022 al 07 de febrero de 2024; en virtud que, las pruebas presentadas </w:t>
      </w:r>
      <w:r>
        <w:rPr>
          <w:rFonts w:ascii="Times New Roman" w:eastAsia="Times New Roman" w:hAnsi="Times New Roman" w:cs="Times New Roman"/>
          <w:sz w:val="26"/>
        </w:rPr>
        <w:t xml:space="preserve">1 </w:t>
      </w:r>
      <w:r>
        <w:rPr>
          <w:sz w:val="26"/>
        </w:rPr>
        <w:t>son suficientes, ya que se demostró que durante el tiempo que desempeñó ei</w:t>
      </w:r>
    </w:p>
    <w:p w14:paraId="0A7C9662" w14:textId="77777777" w:rsidR="00053D93" w:rsidRDefault="00260B75">
      <w:pPr>
        <w:spacing w:after="3"/>
        <w:ind w:left="122"/>
      </w:pPr>
      <w:r>
        <w:rPr>
          <w:noProof/>
        </w:rPr>
        <w:drawing>
          <wp:inline distT="0" distB="0" distL="0" distR="0" wp14:anchorId="5DA667CA" wp14:editId="53E8A44C">
            <wp:extent cx="18288" cy="13715"/>
            <wp:effectExtent l="0" t="0" r="0" b="0"/>
            <wp:docPr id="2458394" name="Picture 2458394"/>
            <wp:cNvGraphicFramePr/>
            <a:graphic xmlns:a="http://schemas.openxmlformats.org/drawingml/2006/main">
              <a:graphicData uri="http://schemas.openxmlformats.org/drawingml/2006/picture">
                <pic:pic xmlns:pic="http://schemas.openxmlformats.org/drawingml/2006/picture">
                  <pic:nvPicPr>
                    <pic:cNvPr id="2458394" name="Picture 2458394"/>
                    <pic:cNvPicPr/>
                  </pic:nvPicPr>
                  <pic:blipFill>
                    <a:blip r:embed="rId722"/>
                    <a:stretch>
                      <a:fillRect/>
                    </a:stretch>
                  </pic:blipFill>
                  <pic:spPr>
                    <a:xfrm>
                      <a:off x="0" y="0"/>
                      <a:ext cx="18288" cy="13715"/>
                    </a:xfrm>
                    <a:prstGeom prst="rect">
                      <a:avLst/>
                    </a:prstGeom>
                  </pic:spPr>
                </pic:pic>
              </a:graphicData>
            </a:graphic>
          </wp:inline>
        </w:drawing>
      </w:r>
    </w:p>
    <w:p w14:paraId="68A1DE87" w14:textId="77777777" w:rsidR="00053D93" w:rsidRDefault="00260B75">
      <w:pPr>
        <w:spacing w:after="411" w:line="267" w:lineRule="auto"/>
        <w:ind w:left="18" w:right="21" w:hanging="4"/>
        <w:jc w:val="right"/>
      </w:pPr>
      <w:r>
        <w:rPr>
          <w:sz w:val="26"/>
        </w:rPr>
        <w:t>puesto, realizó el seguimiento correspondiente, asesorando y dando a conocer al</w:t>
      </w:r>
    </w:p>
    <w:p w14:paraId="24E2D256" w14:textId="77777777" w:rsidR="00053D93" w:rsidRDefault="00260B75">
      <w:pPr>
        <w:spacing w:after="3"/>
        <w:ind w:left="204" w:hanging="10"/>
      </w:pPr>
      <w:r>
        <w:rPr>
          <w:rFonts w:ascii="Times New Roman" w:eastAsia="Times New Roman" w:hAnsi="Times New Roman" w:cs="Times New Roman"/>
          <w:sz w:val="72"/>
        </w:rPr>
        <w:t>1</w:t>
      </w:r>
    </w:p>
    <w:tbl>
      <w:tblPr>
        <w:tblStyle w:val="TableGrid"/>
        <w:tblW w:w="9374" w:type="dxa"/>
        <w:tblInd w:w="828" w:type="dxa"/>
        <w:tblLook w:val="04A0" w:firstRow="1" w:lastRow="0" w:firstColumn="1" w:lastColumn="0" w:noHBand="0" w:noVBand="1"/>
      </w:tblPr>
      <w:tblGrid>
        <w:gridCol w:w="1280"/>
        <w:gridCol w:w="8115"/>
      </w:tblGrid>
      <w:tr w:rsidR="00053D93" w14:paraId="0E7DB306" w14:textId="77777777">
        <w:trPr>
          <w:trHeight w:val="641"/>
        </w:trPr>
        <w:tc>
          <w:tcPr>
            <w:tcW w:w="1781" w:type="dxa"/>
            <w:tcBorders>
              <w:top w:val="nil"/>
              <w:left w:val="nil"/>
              <w:bottom w:val="nil"/>
              <w:right w:val="nil"/>
            </w:tcBorders>
          </w:tcPr>
          <w:p w14:paraId="2CABF94C" w14:textId="77777777" w:rsidR="00053D93" w:rsidRDefault="00260B75">
            <w:r>
              <w:rPr>
                <w:noProof/>
              </w:rPr>
              <w:drawing>
                <wp:inline distT="0" distB="0" distL="0" distR="0" wp14:anchorId="1EF3D160" wp14:editId="0AB41A95">
                  <wp:extent cx="1120140" cy="406909"/>
                  <wp:effectExtent l="0" t="0" r="0" b="0"/>
                  <wp:docPr id="460698" name="Picture 460698"/>
                  <wp:cNvGraphicFramePr/>
                  <a:graphic xmlns:a="http://schemas.openxmlformats.org/drawingml/2006/main">
                    <a:graphicData uri="http://schemas.openxmlformats.org/drawingml/2006/picture">
                      <pic:pic xmlns:pic="http://schemas.openxmlformats.org/drawingml/2006/picture">
                        <pic:nvPicPr>
                          <pic:cNvPr id="460698" name="Picture 460698"/>
                          <pic:cNvPicPr/>
                        </pic:nvPicPr>
                        <pic:blipFill>
                          <a:blip r:embed="rId723"/>
                          <a:stretch>
                            <a:fillRect/>
                          </a:stretch>
                        </pic:blipFill>
                        <pic:spPr>
                          <a:xfrm>
                            <a:off x="0" y="0"/>
                            <a:ext cx="1120140" cy="406909"/>
                          </a:xfrm>
                          <a:prstGeom prst="rect">
                            <a:avLst/>
                          </a:prstGeom>
                        </pic:spPr>
                      </pic:pic>
                    </a:graphicData>
                  </a:graphic>
                </wp:inline>
              </w:drawing>
            </w:r>
          </w:p>
        </w:tc>
        <w:tc>
          <w:tcPr>
            <w:tcW w:w="7594" w:type="dxa"/>
            <w:tcBorders>
              <w:top w:val="nil"/>
              <w:left w:val="nil"/>
              <w:bottom w:val="nil"/>
              <w:right w:val="nil"/>
            </w:tcBorders>
          </w:tcPr>
          <w:p w14:paraId="5C879A18" w14:textId="77777777" w:rsidR="00053D93" w:rsidRDefault="00053D93">
            <w:pPr>
              <w:ind w:left="-2882" w:right="10476"/>
            </w:pPr>
          </w:p>
          <w:tbl>
            <w:tblPr>
              <w:tblStyle w:val="TableGrid"/>
              <w:tblW w:w="7577" w:type="dxa"/>
              <w:tblInd w:w="17" w:type="dxa"/>
              <w:tblCellMar>
                <w:top w:w="36" w:type="dxa"/>
                <w:left w:w="1723" w:type="dxa"/>
                <w:right w:w="115" w:type="dxa"/>
              </w:tblCellMar>
              <w:tblLook w:val="04A0" w:firstRow="1" w:lastRow="0" w:firstColumn="1" w:lastColumn="0" w:noHBand="0" w:noVBand="1"/>
            </w:tblPr>
            <w:tblGrid>
              <w:gridCol w:w="7577"/>
            </w:tblGrid>
            <w:tr w:rsidR="00053D93" w14:paraId="2997D8AA" w14:textId="77777777">
              <w:trPr>
                <w:trHeight w:val="608"/>
              </w:trPr>
              <w:tc>
                <w:tcPr>
                  <w:tcW w:w="7577" w:type="dxa"/>
                  <w:tcBorders>
                    <w:top w:val="single" w:sz="2" w:space="0" w:color="000000"/>
                    <w:left w:val="single" w:sz="2" w:space="0" w:color="000000"/>
                    <w:bottom w:val="nil"/>
                    <w:right w:val="nil"/>
                  </w:tcBorders>
                </w:tcPr>
                <w:p w14:paraId="592F817B" w14:textId="77777777" w:rsidR="00053D93" w:rsidRDefault="00260B75">
                  <w:pPr>
                    <w:ind w:left="828"/>
                  </w:pPr>
                  <w:r>
                    <w:rPr>
                      <w:sz w:val="14"/>
                    </w:rPr>
                    <w:t>MINISTERIO DE EDUCACION</w:t>
                  </w:r>
                </w:p>
                <w:p w14:paraId="0E8721B4" w14:textId="77777777" w:rsidR="00053D93" w:rsidRDefault="00260B75">
                  <w:pPr>
                    <w:ind w:left="338"/>
                  </w:pPr>
                  <w:r>
                    <w:rPr>
                      <w:sz w:val="14"/>
                    </w:rPr>
                    <w:t>AUDITORIA FINANCIERA Y DE CUMPLIMIENTO</w:t>
                  </w:r>
                </w:p>
                <w:p w14:paraId="7124BDF2" w14:textId="77777777" w:rsidR="00053D93" w:rsidRDefault="00260B75">
                  <w:r>
                    <w:rPr>
                      <w:sz w:val="14"/>
                    </w:rPr>
                    <w:t>PERÍODO DEL 01 DE ENE•RO AL 31 DE DICIEMBRE DE 2024</w:t>
                  </w:r>
                </w:p>
              </w:tc>
            </w:tr>
          </w:tbl>
          <w:p w14:paraId="415FAD07" w14:textId="77777777" w:rsidR="00053D93" w:rsidRDefault="00053D93"/>
        </w:tc>
      </w:tr>
    </w:tbl>
    <w:p w14:paraId="0749999E" w14:textId="77777777" w:rsidR="00053D93" w:rsidRDefault="00053D93">
      <w:pPr>
        <w:sectPr w:rsidR="00053D93">
          <w:headerReference w:type="even" r:id="rId724"/>
          <w:headerReference w:type="default" r:id="rId725"/>
          <w:footerReference w:type="even" r:id="rId726"/>
          <w:footerReference w:type="default" r:id="rId727"/>
          <w:headerReference w:type="first" r:id="rId728"/>
          <w:footerReference w:type="first" r:id="rId729"/>
          <w:pgSz w:w="12290" w:h="15883"/>
          <w:pgMar w:top="360" w:right="1793" w:bottom="517" w:left="274" w:header="662" w:footer="720" w:gutter="0"/>
          <w:cols w:space="720"/>
        </w:sectPr>
      </w:pPr>
    </w:p>
    <w:p w14:paraId="2D96EADC" w14:textId="77777777" w:rsidR="00053D93" w:rsidRDefault="00260B75">
      <w:pPr>
        <w:spacing w:after="385" w:line="265" w:lineRule="auto"/>
        <w:ind w:left="3560" w:hanging="10"/>
        <w:jc w:val="center"/>
      </w:pPr>
      <w:r>
        <w:rPr>
          <w:noProof/>
        </w:rPr>
        <w:lastRenderedPageBreak/>
        <w:drawing>
          <wp:anchor distT="0" distB="0" distL="114300" distR="114300" simplePos="0" relativeHeight="251994112" behindDoc="0" locked="0" layoutInCell="1" allowOverlap="0" wp14:anchorId="3A6C7D47" wp14:editId="6F0EDAA4">
            <wp:simplePos x="0" y="0"/>
            <wp:positionH relativeFrom="column">
              <wp:posOffset>-36575</wp:posOffset>
            </wp:positionH>
            <wp:positionV relativeFrom="paragraph">
              <wp:posOffset>-288035</wp:posOffset>
            </wp:positionV>
            <wp:extent cx="210312" cy="3543300"/>
            <wp:effectExtent l="0" t="0" r="0" b="0"/>
            <wp:wrapSquare wrapText="bothSides"/>
            <wp:docPr id="464858" name="Picture 464858"/>
            <wp:cNvGraphicFramePr/>
            <a:graphic xmlns:a="http://schemas.openxmlformats.org/drawingml/2006/main">
              <a:graphicData uri="http://schemas.openxmlformats.org/drawingml/2006/picture">
                <pic:pic xmlns:pic="http://schemas.openxmlformats.org/drawingml/2006/picture">
                  <pic:nvPicPr>
                    <pic:cNvPr id="464858" name="Picture 464858"/>
                    <pic:cNvPicPr/>
                  </pic:nvPicPr>
                  <pic:blipFill>
                    <a:blip r:embed="rId730"/>
                    <a:stretch>
                      <a:fillRect/>
                    </a:stretch>
                  </pic:blipFill>
                  <pic:spPr>
                    <a:xfrm>
                      <a:off x="0" y="0"/>
                      <a:ext cx="210312" cy="3543300"/>
                    </a:xfrm>
                    <a:prstGeom prst="rect">
                      <a:avLst/>
                    </a:prstGeom>
                  </pic:spPr>
                </pic:pic>
              </a:graphicData>
            </a:graphic>
          </wp:anchor>
        </w:drawing>
      </w:r>
      <w:r>
        <w:rPr>
          <w:noProof/>
        </w:rPr>
        <mc:AlternateContent>
          <mc:Choice Requires="wpg">
            <w:drawing>
              <wp:anchor distT="0" distB="0" distL="114300" distR="114300" simplePos="0" relativeHeight="251995136" behindDoc="0" locked="0" layoutInCell="1" allowOverlap="1" wp14:anchorId="27E6BB38" wp14:editId="59A90DB6">
                <wp:simplePos x="0" y="0"/>
                <wp:positionH relativeFrom="column">
                  <wp:posOffset>1051560</wp:posOffset>
                </wp:positionH>
                <wp:positionV relativeFrom="paragraph">
                  <wp:posOffset>306324</wp:posOffset>
                </wp:positionV>
                <wp:extent cx="5564124" cy="18288"/>
                <wp:effectExtent l="0" t="0" r="0" b="0"/>
                <wp:wrapSquare wrapText="bothSides"/>
                <wp:docPr id="2458401" name="Group 2458401"/>
                <wp:cNvGraphicFramePr/>
                <a:graphic xmlns:a="http://schemas.openxmlformats.org/drawingml/2006/main">
                  <a:graphicData uri="http://schemas.microsoft.com/office/word/2010/wordprocessingGroup">
                    <wpg:wgp>
                      <wpg:cNvGrpSpPr/>
                      <wpg:grpSpPr>
                        <a:xfrm>
                          <a:off x="0" y="0"/>
                          <a:ext cx="5564124" cy="18288"/>
                          <a:chOff x="0" y="0"/>
                          <a:chExt cx="5564124" cy="18288"/>
                        </a:xfrm>
                      </wpg:grpSpPr>
                      <wps:wsp>
                        <wps:cNvPr id="2458400" name="Shape 2458400"/>
                        <wps:cNvSpPr/>
                        <wps:spPr>
                          <a:xfrm>
                            <a:off x="0" y="0"/>
                            <a:ext cx="5564124" cy="18288"/>
                          </a:xfrm>
                          <a:custGeom>
                            <a:avLst/>
                            <a:gdLst/>
                            <a:ahLst/>
                            <a:cxnLst/>
                            <a:rect l="0" t="0" r="0" b="0"/>
                            <a:pathLst>
                              <a:path w="5564124" h="18288">
                                <a:moveTo>
                                  <a:pt x="0" y="9144"/>
                                </a:moveTo>
                                <a:lnTo>
                                  <a:pt x="556412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401" style="width:438.12pt;height:1.44pt;position:absolute;mso-position-horizontal-relative:text;mso-position-horizontal:absolute;margin-left:82.8pt;mso-position-vertical-relative:text;margin-top:24.12pt;" coordsize="55641,182">
                <v:shape id="Shape 2458400" style="position:absolute;width:55641;height:182;left:0;top:0;" coordsize="5564124,18288" path="m0,9144l5564124,9144">
                  <v:stroke weight="1.44pt" endcap="flat" joinstyle="miter" miterlimit="1" on="true" color="#000000"/>
                  <v:fill on="false" color="#000000"/>
                </v:shape>
                <w10:wrap type="square"/>
              </v:group>
            </w:pict>
          </mc:Fallback>
        </mc:AlternateContent>
      </w:r>
      <w:r>
        <w:rPr>
          <w:sz w:val="14"/>
        </w:rPr>
        <w:t xml:space="preserve">OE </w:t>
      </w:r>
    </w:p>
    <w:p w14:paraId="11BCD710" w14:textId="77777777" w:rsidR="00053D93" w:rsidRDefault="00260B75">
      <w:pPr>
        <w:spacing w:before="81" w:after="314" w:line="247" w:lineRule="auto"/>
        <w:ind w:left="14" w:right="14" w:firstLine="4"/>
        <w:jc w:val="both"/>
      </w:pPr>
      <w:r>
        <w:rPr>
          <w:sz w:val="26"/>
        </w:rPr>
        <w:t>Director General de la DIGEF, para que se tomaran las acciones necesarias con respecto al personal nombrado de forma interina que no cumple con el perfil del puesto o tenía más de seis meses desempeñándolo.</w:t>
      </w:r>
    </w:p>
    <w:p w14:paraId="14932BD3" w14:textId="77777777" w:rsidR="00053D93" w:rsidRDefault="00260B75">
      <w:pPr>
        <w:spacing w:after="311" w:line="247" w:lineRule="auto"/>
        <w:ind w:left="14" w:right="14" w:firstLine="4"/>
        <w:jc w:val="both"/>
      </w:pPr>
      <w:r>
        <w:rPr>
          <w:sz w:val="26"/>
        </w:rPr>
        <w:t>Se desvanece el hallazgo para la licenciada Yesenia Maribel Galicia Hernández, quien fungió como Coordinadora de Recursos Humanos, A.l., por el período comprendido del 15 de marzo de 2024 al 23 de julio de 2024; en virtud que, las pruebas presentadas son suficientes, ya que se demostró mediante los oficios RRHH-103-2024 del 30 de abril de 2024; RRHH-1 17-2024, del 08 de mayo de 2024; RRHH-178-2024, del 22 de julio de 2024 y RRHH-179-2024, del 22 de julio de 2024, que durante el tiempo que desempeñó el puesto, realizó el seguimiento correspondiente, asesorando y dando a conocer al Director General de la DIGEF, para que se tomaran las acciones necesarias con respecto al personal nombrado de forma interina que no cumple con el perfil del puesto o tenía más de seis meses desempeñándolo.</w:t>
      </w:r>
    </w:p>
    <w:p w14:paraId="6D04FB2B" w14:textId="77777777" w:rsidR="00053D93" w:rsidRDefault="00260B75">
      <w:pPr>
        <w:spacing w:after="18" w:line="248" w:lineRule="auto"/>
        <w:ind w:left="1709" w:hanging="3"/>
        <w:jc w:val="both"/>
      </w:pPr>
      <w:r>
        <w:rPr>
          <w:sz w:val="28"/>
        </w:rPr>
        <w:t>Acciones legales</w:t>
      </w:r>
    </w:p>
    <w:p w14:paraId="73247F54" w14:textId="77777777" w:rsidR="00053D93" w:rsidRDefault="00260B75">
      <w:pPr>
        <w:spacing w:after="57" w:line="247" w:lineRule="auto"/>
        <w:ind w:left="1721" w:right="14" w:firstLine="4"/>
        <w:jc w:val="both"/>
      </w:pPr>
      <w:r>
        <w:rPr>
          <w:sz w:val="26"/>
        </w:rPr>
        <w:t>Sanción económica de conformidad con el Decreto 31-2002, del Congreso de la República, Ley Orgánica de la Contraloría General de Cuentas, reformada por el Decreto 13-2013; artículo 39, Numeral 4, para:</w:t>
      </w:r>
    </w:p>
    <w:tbl>
      <w:tblPr>
        <w:tblStyle w:val="TableGrid"/>
        <w:tblW w:w="8395" w:type="dxa"/>
        <w:tblInd w:w="1728" w:type="dxa"/>
        <w:tblLook w:val="04A0" w:firstRow="1" w:lastRow="0" w:firstColumn="1" w:lastColumn="0" w:noHBand="0" w:noVBand="1"/>
      </w:tblPr>
      <w:tblGrid>
        <w:gridCol w:w="3132"/>
        <w:gridCol w:w="3557"/>
        <w:gridCol w:w="1706"/>
      </w:tblGrid>
      <w:tr w:rsidR="00053D93" w14:paraId="053EDBEA" w14:textId="77777777">
        <w:trPr>
          <w:trHeight w:val="166"/>
        </w:trPr>
        <w:tc>
          <w:tcPr>
            <w:tcW w:w="3132" w:type="dxa"/>
            <w:tcBorders>
              <w:top w:val="nil"/>
              <w:left w:val="nil"/>
              <w:bottom w:val="nil"/>
              <w:right w:val="nil"/>
            </w:tcBorders>
          </w:tcPr>
          <w:p w14:paraId="5A35AA22" w14:textId="77777777" w:rsidR="00053D93" w:rsidRDefault="00260B75">
            <w:r>
              <w:rPr>
                <w:sz w:val="16"/>
              </w:rPr>
              <w:t>Cargo</w:t>
            </w:r>
          </w:p>
        </w:tc>
        <w:tc>
          <w:tcPr>
            <w:tcW w:w="3557" w:type="dxa"/>
            <w:tcBorders>
              <w:top w:val="nil"/>
              <w:left w:val="nil"/>
              <w:bottom w:val="nil"/>
              <w:right w:val="nil"/>
            </w:tcBorders>
          </w:tcPr>
          <w:p w14:paraId="57CCB47D" w14:textId="77777777" w:rsidR="00053D93" w:rsidRDefault="00260B75">
            <w:pPr>
              <w:ind w:left="7"/>
            </w:pPr>
            <w:r>
              <w:rPr>
                <w:sz w:val="16"/>
              </w:rPr>
              <w:t>Nombre</w:t>
            </w:r>
          </w:p>
        </w:tc>
        <w:tc>
          <w:tcPr>
            <w:tcW w:w="1706" w:type="dxa"/>
            <w:tcBorders>
              <w:top w:val="nil"/>
              <w:left w:val="nil"/>
              <w:bottom w:val="nil"/>
              <w:right w:val="nil"/>
            </w:tcBorders>
          </w:tcPr>
          <w:p w14:paraId="63350CF4" w14:textId="77777777" w:rsidR="00053D93" w:rsidRDefault="00260B75">
            <w:pPr>
              <w:ind w:right="14"/>
              <w:jc w:val="right"/>
            </w:pPr>
            <w:r>
              <w:rPr>
                <w:sz w:val="16"/>
              </w:rPr>
              <w:t>Valor en Quebates</w:t>
            </w:r>
          </w:p>
        </w:tc>
      </w:tr>
      <w:tr w:rsidR="00053D93" w14:paraId="270071CD" w14:textId="77777777">
        <w:trPr>
          <w:trHeight w:val="208"/>
        </w:trPr>
        <w:tc>
          <w:tcPr>
            <w:tcW w:w="3132" w:type="dxa"/>
            <w:tcBorders>
              <w:top w:val="nil"/>
              <w:left w:val="nil"/>
              <w:bottom w:val="nil"/>
              <w:right w:val="nil"/>
            </w:tcBorders>
          </w:tcPr>
          <w:p w14:paraId="5787495E" w14:textId="77777777" w:rsidR="00053D93" w:rsidRDefault="00260B75">
            <w:r>
              <w:rPr>
                <w:sz w:val="18"/>
              </w:rPr>
              <w:t>JEFE DE ACCIONES DE PERSONAL</w:t>
            </w:r>
          </w:p>
        </w:tc>
        <w:tc>
          <w:tcPr>
            <w:tcW w:w="3557" w:type="dxa"/>
            <w:tcBorders>
              <w:top w:val="nil"/>
              <w:left w:val="nil"/>
              <w:bottom w:val="nil"/>
              <w:right w:val="nil"/>
            </w:tcBorders>
          </w:tcPr>
          <w:p w14:paraId="7C167F2D" w14:textId="77777777" w:rsidR="00053D93" w:rsidRDefault="00260B75">
            <w:r>
              <w:rPr>
                <w:sz w:val="18"/>
              </w:rPr>
              <w:t>WILLIAM LEONEL BARRIOS LEIVA</w:t>
            </w:r>
          </w:p>
        </w:tc>
        <w:tc>
          <w:tcPr>
            <w:tcW w:w="1706" w:type="dxa"/>
            <w:tcBorders>
              <w:top w:val="nil"/>
              <w:left w:val="nil"/>
              <w:bottom w:val="nil"/>
              <w:right w:val="nil"/>
            </w:tcBorders>
          </w:tcPr>
          <w:p w14:paraId="0619CDFF" w14:textId="77777777" w:rsidR="00053D93" w:rsidRDefault="00260B75">
            <w:pPr>
              <w:ind w:right="14"/>
              <w:jc w:val="right"/>
            </w:pPr>
            <w:r>
              <w:rPr>
                <w:rFonts w:ascii="Times New Roman" w:eastAsia="Times New Roman" w:hAnsi="Times New Roman" w:cs="Times New Roman"/>
                <w:sz w:val="14"/>
              </w:rPr>
              <w:t>1.458.75</w:t>
            </w:r>
          </w:p>
        </w:tc>
      </w:tr>
      <w:tr w:rsidR="00053D93" w14:paraId="5CCAC8B2" w14:textId="77777777">
        <w:trPr>
          <w:trHeight w:val="204"/>
        </w:trPr>
        <w:tc>
          <w:tcPr>
            <w:tcW w:w="3132" w:type="dxa"/>
            <w:tcBorders>
              <w:top w:val="nil"/>
              <w:left w:val="nil"/>
              <w:bottom w:val="nil"/>
              <w:right w:val="nil"/>
            </w:tcBorders>
          </w:tcPr>
          <w:p w14:paraId="571A87DC" w14:textId="77777777" w:rsidR="00053D93" w:rsidRDefault="00260B75">
            <w:pPr>
              <w:ind w:left="7"/>
            </w:pPr>
            <w:r>
              <w:rPr>
                <w:sz w:val="16"/>
              </w:rPr>
              <w:t>DIRECTOR GENERAL EN FUNCIONES</w:t>
            </w:r>
          </w:p>
        </w:tc>
        <w:tc>
          <w:tcPr>
            <w:tcW w:w="3557" w:type="dxa"/>
            <w:tcBorders>
              <w:top w:val="nil"/>
              <w:left w:val="nil"/>
              <w:bottom w:val="nil"/>
              <w:right w:val="nil"/>
            </w:tcBorders>
          </w:tcPr>
          <w:p w14:paraId="2FDADA37" w14:textId="77777777" w:rsidR="00053D93" w:rsidRDefault="00260B75">
            <w:pPr>
              <w:ind w:left="7"/>
            </w:pPr>
            <w:r>
              <w:rPr>
                <w:sz w:val="16"/>
              </w:rPr>
              <w:t>ANABI CINTHIA VERALIZ GARCIA CORADO DE MORA</w:t>
            </w:r>
          </w:p>
        </w:tc>
        <w:tc>
          <w:tcPr>
            <w:tcW w:w="1706" w:type="dxa"/>
            <w:tcBorders>
              <w:top w:val="nil"/>
              <w:left w:val="nil"/>
              <w:bottom w:val="nil"/>
              <w:right w:val="nil"/>
            </w:tcBorders>
          </w:tcPr>
          <w:p w14:paraId="79F23AE8" w14:textId="77777777" w:rsidR="00053D93" w:rsidRDefault="00260B75">
            <w:pPr>
              <w:ind w:right="7"/>
              <w:jc w:val="right"/>
            </w:pPr>
            <w:r>
              <w:rPr>
                <w:rFonts w:ascii="Times New Roman" w:eastAsia="Times New Roman" w:hAnsi="Times New Roman" w:cs="Times New Roman"/>
                <w:sz w:val="14"/>
              </w:rPr>
              <w:t>2,565.25</w:t>
            </w:r>
          </w:p>
        </w:tc>
      </w:tr>
      <w:tr w:rsidR="00053D93" w14:paraId="6B6AD23D" w14:textId="77777777">
        <w:trPr>
          <w:trHeight w:val="208"/>
        </w:trPr>
        <w:tc>
          <w:tcPr>
            <w:tcW w:w="3132" w:type="dxa"/>
            <w:tcBorders>
              <w:top w:val="nil"/>
              <w:left w:val="nil"/>
              <w:bottom w:val="nil"/>
              <w:right w:val="nil"/>
            </w:tcBorders>
          </w:tcPr>
          <w:p w14:paraId="6A823C96" w14:textId="77777777" w:rsidR="00053D93" w:rsidRDefault="00260B75">
            <w:r>
              <w:rPr>
                <w:sz w:val="16"/>
              </w:rPr>
              <w:t>COORDINADOR DE RECURSOS HUMANOS</w:t>
            </w:r>
          </w:p>
        </w:tc>
        <w:tc>
          <w:tcPr>
            <w:tcW w:w="3557" w:type="dxa"/>
            <w:tcBorders>
              <w:top w:val="nil"/>
              <w:left w:val="nil"/>
              <w:bottom w:val="nil"/>
              <w:right w:val="nil"/>
            </w:tcBorders>
          </w:tcPr>
          <w:p w14:paraId="215B4439" w14:textId="77777777" w:rsidR="00053D93" w:rsidRDefault="00260B75">
            <w:pPr>
              <w:ind w:left="7"/>
            </w:pPr>
            <w:r>
              <w:rPr>
                <w:sz w:val="18"/>
              </w:rPr>
              <w:t>MARIO ALFREDO CERNA YANES</w:t>
            </w:r>
          </w:p>
        </w:tc>
        <w:tc>
          <w:tcPr>
            <w:tcW w:w="1706" w:type="dxa"/>
            <w:tcBorders>
              <w:top w:val="nil"/>
              <w:left w:val="nil"/>
              <w:bottom w:val="nil"/>
              <w:right w:val="nil"/>
            </w:tcBorders>
          </w:tcPr>
          <w:p w14:paraId="4555109B" w14:textId="77777777" w:rsidR="00053D93" w:rsidRDefault="00260B75">
            <w:pPr>
              <w:ind w:right="7"/>
              <w:jc w:val="right"/>
            </w:pPr>
            <w:r>
              <w:rPr>
                <w:rFonts w:ascii="Times New Roman" w:eastAsia="Times New Roman" w:hAnsi="Times New Roman" w:cs="Times New Roman"/>
                <w:sz w:val="14"/>
              </w:rPr>
              <w:t>2.565.25</w:t>
            </w:r>
          </w:p>
        </w:tc>
      </w:tr>
      <w:tr w:rsidR="00053D93" w14:paraId="3A44144B" w14:textId="77777777">
        <w:trPr>
          <w:trHeight w:val="199"/>
        </w:trPr>
        <w:tc>
          <w:tcPr>
            <w:tcW w:w="3132" w:type="dxa"/>
            <w:tcBorders>
              <w:top w:val="nil"/>
              <w:left w:val="nil"/>
              <w:bottom w:val="nil"/>
              <w:right w:val="nil"/>
            </w:tcBorders>
          </w:tcPr>
          <w:p w14:paraId="7C105662" w14:textId="77777777" w:rsidR="00053D93" w:rsidRDefault="00260B75">
            <w:r>
              <w:rPr>
                <w:sz w:val="16"/>
              </w:rPr>
              <w:t>DIRECTOR GENERAL EN FUNCIONES</w:t>
            </w:r>
          </w:p>
        </w:tc>
        <w:tc>
          <w:tcPr>
            <w:tcW w:w="3557" w:type="dxa"/>
            <w:tcBorders>
              <w:top w:val="nil"/>
              <w:left w:val="nil"/>
              <w:bottom w:val="nil"/>
              <w:right w:val="nil"/>
            </w:tcBorders>
          </w:tcPr>
          <w:p w14:paraId="19CEE0EB" w14:textId="77777777" w:rsidR="00053D93" w:rsidRDefault="00260B75">
            <w:pPr>
              <w:ind w:left="7"/>
            </w:pPr>
            <w:r>
              <w:rPr>
                <w:sz w:val="16"/>
              </w:rPr>
              <w:t>DAVID FREOLINO AGUILAR</w:t>
            </w:r>
          </w:p>
        </w:tc>
        <w:tc>
          <w:tcPr>
            <w:tcW w:w="1706" w:type="dxa"/>
            <w:tcBorders>
              <w:top w:val="nil"/>
              <w:left w:val="nil"/>
              <w:bottom w:val="nil"/>
              <w:right w:val="nil"/>
            </w:tcBorders>
          </w:tcPr>
          <w:p w14:paraId="30975FD4" w14:textId="77777777" w:rsidR="00053D93" w:rsidRDefault="00260B75">
            <w:pPr>
              <w:ind w:right="7"/>
              <w:jc w:val="right"/>
            </w:pPr>
            <w:r>
              <w:rPr>
                <w:rFonts w:ascii="Times New Roman" w:eastAsia="Times New Roman" w:hAnsi="Times New Roman" w:cs="Times New Roman"/>
                <w:sz w:val="16"/>
              </w:rPr>
              <w:t>4.000.00</w:t>
            </w:r>
          </w:p>
        </w:tc>
      </w:tr>
      <w:tr w:rsidR="00053D93" w14:paraId="1CBAC9C8" w14:textId="77777777">
        <w:trPr>
          <w:trHeight w:val="206"/>
        </w:trPr>
        <w:tc>
          <w:tcPr>
            <w:tcW w:w="3132" w:type="dxa"/>
            <w:tcBorders>
              <w:top w:val="nil"/>
              <w:left w:val="nil"/>
              <w:bottom w:val="nil"/>
              <w:right w:val="nil"/>
            </w:tcBorders>
          </w:tcPr>
          <w:p w14:paraId="60CB57A3" w14:textId="77777777" w:rsidR="00053D93" w:rsidRDefault="00260B75">
            <w:r>
              <w:rPr>
                <w:sz w:val="18"/>
              </w:rPr>
              <w:t>DIRECTOR GENERAL</w:t>
            </w:r>
          </w:p>
        </w:tc>
        <w:tc>
          <w:tcPr>
            <w:tcW w:w="3557" w:type="dxa"/>
            <w:tcBorders>
              <w:top w:val="nil"/>
              <w:left w:val="nil"/>
              <w:bottom w:val="nil"/>
              <w:right w:val="nil"/>
            </w:tcBorders>
          </w:tcPr>
          <w:p w14:paraId="73EDF29C" w14:textId="77777777" w:rsidR="00053D93" w:rsidRDefault="00260B75">
            <w:pPr>
              <w:ind w:left="7"/>
            </w:pPr>
            <w:r>
              <w:rPr>
                <w:sz w:val="18"/>
              </w:rPr>
              <w:t>CARLOS FEDERICO ORTIZ ORTIZ</w:t>
            </w:r>
          </w:p>
        </w:tc>
        <w:tc>
          <w:tcPr>
            <w:tcW w:w="1706" w:type="dxa"/>
            <w:tcBorders>
              <w:top w:val="nil"/>
              <w:left w:val="nil"/>
              <w:bottom w:val="nil"/>
              <w:right w:val="nil"/>
            </w:tcBorders>
          </w:tcPr>
          <w:p w14:paraId="0A81482E" w14:textId="77777777" w:rsidR="00053D93" w:rsidRDefault="00260B75">
            <w:pPr>
              <w:jc w:val="right"/>
            </w:pPr>
            <w:r>
              <w:rPr>
                <w:rFonts w:ascii="Times New Roman" w:eastAsia="Times New Roman" w:hAnsi="Times New Roman" w:cs="Times New Roman"/>
                <w:sz w:val="14"/>
              </w:rPr>
              <w:t>5.000.00</w:t>
            </w:r>
          </w:p>
        </w:tc>
      </w:tr>
      <w:tr w:rsidR="00053D93" w14:paraId="268A351E" w14:textId="77777777">
        <w:trPr>
          <w:trHeight w:val="208"/>
        </w:trPr>
        <w:tc>
          <w:tcPr>
            <w:tcW w:w="3132" w:type="dxa"/>
            <w:tcBorders>
              <w:top w:val="nil"/>
              <w:left w:val="nil"/>
              <w:bottom w:val="nil"/>
              <w:right w:val="nil"/>
            </w:tcBorders>
          </w:tcPr>
          <w:p w14:paraId="44DBB28E" w14:textId="77777777" w:rsidR="00053D93" w:rsidRDefault="00260B75">
            <w:pPr>
              <w:ind w:left="7"/>
            </w:pPr>
            <w:r>
              <w:rPr>
                <w:sz w:val="18"/>
              </w:rPr>
              <w:t>DIRECTOR GENERAL</w:t>
            </w:r>
          </w:p>
        </w:tc>
        <w:tc>
          <w:tcPr>
            <w:tcW w:w="3557" w:type="dxa"/>
            <w:tcBorders>
              <w:top w:val="nil"/>
              <w:left w:val="nil"/>
              <w:bottom w:val="nil"/>
              <w:right w:val="nil"/>
            </w:tcBorders>
          </w:tcPr>
          <w:p w14:paraId="3B5DD491" w14:textId="77777777" w:rsidR="00053D93" w:rsidRDefault="00260B75">
            <w:pPr>
              <w:ind w:left="7"/>
            </w:pPr>
            <w:r>
              <w:rPr>
                <w:sz w:val="16"/>
              </w:rPr>
              <w:t>MARXIA IVANA YUVIXA RODRIGUEZ FIGUEROA</w:t>
            </w:r>
          </w:p>
        </w:tc>
        <w:tc>
          <w:tcPr>
            <w:tcW w:w="1706" w:type="dxa"/>
            <w:tcBorders>
              <w:top w:val="nil"/>
              <w:left w:val="nil"/>
              <w:bottom w:val="nil"/>
              <w:right w:val="nil"/>
            </w:tcBorders>
          </w:tcPr>
          <w:p w14:paraId="19B0967F" w14:textId="77777777" w:rsidR="00053D93" w:rsidRDefault="00260B75">
            <w:pPr>
              <w:ind w:right="7"/>
              <w:jc w:val="right"/>
            </w:pPr>
            <w:r>
              <w:rPr>
                <w:rFonts w:ascii="Times New Roman" w:eastAsia="Times New Roman" w:hAnsi="Times New Roman" w:cs="Times New Roman"/>
                <w:sz w:val="14"/>
              </w:rPr>
              <w:t>5.000.00</w:t>
            </w:r>
          </w:p>
        </w:tc>
      </w:tr>
      <w:tr w:rsidR="00053D93" w14:paraId="60C908BB" w14:textId="77777777">
        <w:trPr>
          <w:trHeight w:val="216"/>
        </w:trPr>
        <w:tc>
          <w:tcPr>
            <w:tcW w:w="3132" w:type="dxa"/>
            <w:tcBorders>
              <w:top w:val="nil"/>
              <w:left w:val="nil"/>
              <w:bottom w:val="nil"/>
              <w:right w:val="nil"/>
            </w:tcBorders>
          </w:tcPr>
          <w:p w14:paraId="1F249578" w14:textId="77777777" w:rsidR="00053D93" w:rsidRDefault="00260B75">
            <w:r>
              <w:rPr>
                <w:sz w:val="18"/>
              </w:rPr>
              <w:t>DIRECTOR GENERAL</w:t>
            </w:r>
          </w:p>
        </w:tc>
        <w:tc>
          <w:tcPr>
            <w:tcW w:w="3557" w:type="dxa"/>
            <w:tcBorders>
              <w:top w:val="nil"/>
              <w:left w:val="nil"/>
              <w:bottom w:val="nil"/>
              <w:right w:val="nil"/>
            </w:tcBorders>
          </w:tcPr>
          <w:p w14:paraId="5986E0B4" w14:textId="77777777" w:rsidR="00053D93" w:rsidRDefault="00260B75">
            <w:r>
              <w:rPr>
                <w:sz w:val="16"/>
              </w:rPr>
              <w:t>WILLY RENE GIL QUIÑONEZ</w:t>
            </w:r>
          </w:p>
        </w:tc>
        <w:tc>
          <w:tcPr>
            <w:tcW w:w="1706" w:type="dxa"/>
            <w:tcBorders>
              <w:top w:val="nil"/>
              <w:left w:val="nil"/>
              <w:bottom w:val="nil"/>
              <w:right w:val="nil"/>
            </w:tcBorders>
          </w:tcPr>
          <w:p w14:paraId="26673781" w14:textId="77777777" w:rsidR="00053D93" w:rsidRDefault="00260B75">
            <w:pPr>
              <w:ind w:right="7"/>
              <w:jc w:val="right"/>
            </w:pPr>
            <w:r>
              <w:rPr>
                <w:rFonts w:ascii="Times New Roman" w:eastAsia="Times New Roman" w:hAnsi="Times New Roman" w:cs="Times New Roman"/>
                <w:sz w:val="14"/>
              </w:rPr>
              <w:t>5.000.00</w:t>
            </w:r>
          </w:p>
        </w:tc>
      </w:tr>
      <w:tr w:rsidR="00053D93" w14:paraId="20649C4C" w14:textId="77777777">
        <w:trPr>
          <w:trHeight w:val="177"/>
        </w:trPr>
        <w:tc>
          <w:tcPr>
            <w:tcW w:w="3132" w:type="dxa"/>
            <w:tcBorders>
              <w:top w:val="nil"/>
              <w:left w:val="nil"/>
              <w:bottom w:val="nil"/>
              <w:right w:val="nil"/>
            </w:tcBorders>
          </w:tcPr>
          <w:p w14:paraId="1B60E8F8" w14:textId="77777777" w:rsidR="00053D93" w:rsidRDefault="00260B75">
            <w:r>
              <w:rPr>
                <w:sz w:val="16"/>
              </w:rPr>
              <w:t>Total</w:t>
            </w:r>
          </w:p>
        </w:tc>
        <w:tc>
          <w:tcPr>
            <w:tcW w:w="3557" w:type="dxa"/>
            <w:tcBorders>
              <w:top w:val="nil"/>
              <w:left w:val="nil"/>
              <w:bottom w:val="nil"/>
              <w:right w:val="nil"/>
            </w:tcBorders>
          </w:tcPr>
          <w:p w14:paraId="6FD62F4F" w14:textId="77777777" w:rsidR="00053D93" w:rsidRDefault="00053D93"/>
        </w:tc>
        <w:tc>
          <w:tcPr>
            <w:tcW w:w="1706" w:type="dxa"/>
            <w:tcBorders>
              <w:top w:val="nil"/>
              <w:left w:val="nil"/>
              <w:bottom w:val="nil"/>
              <w:right w:val="nil"/>
            </w:tcBorders>
          </w:tcPr>
          <w:p w14:paraId="06E1D2E7" w14:textId="77777777" w:rsidR="00053D93" w:rsidRDefault="00260B75">
            <w:pPr>
              <w:jc w:val="right"/>
            </w:pPr>
            <w:r>
              <w:rPr>
                <w:sz w:val="16"/>
              </w:rPr>
              <w:t>Q. 26,589.25</w:t>
            </w:r>
          </w:p>
        </w:tc>
      </w:tr>
    </w:tbl>
    <w:p w14:paraId="4ECCC1D0" w14:textId="77777777" w:rsidR="00053D93" w:rsidRDefault="00260B75">
      <w:pPr>
        <w:spacing w:after="309" w:line="248" w:lineRule="auto"/>
        <w:ind w:left="1709" w:hanging="3"/>
        <w:jc w:val="both"/>
      </w:pPr>
      <w:r>
        <w:rPr>
          <w:sz w:val="28"/>
        </w:rPr>
        <w:t>Hallazgo No. 3</w:t>
      </w:r>
    </w:p>
    <w:p w14:paraId="203416DD" w14:textId="77777777" w:rsidR="00053D93" w:rsidRDefault="00260B75">
      <w:pPr>
        <w:spacing w:after="325" w:line="248" w:lineRule="auto"/>
        <w:ind w:left="1709" w:hanging="3"/>
        <w:jc w:val="both"/>
      </w:pPr>
      <w:r>
        <w:rPr>
          <w:sz w:val="28"/>
        </w:rPr>
        <w:t>Falta de calidad del gasto por la utilización inoportuna de equipo, materiales y suministros adquiridos</w:t>
      </w:r>
    </w:p>
    <w:p w14:paraId="095DEF02" w14:textId="77777777" w:rsidR="00053D93" w:rsidRDefault="00260B75">
      <w:pPr>
        <w:spacing w:after="18" w:line="248" w:lineRule="auto"/>
        <w:ind w:left="1709" w:hanging="3"/>
        <w:jc w:val="both"/>
      </w:pPr>
      <w:r>
        <w:rPr>
          <w:sz w:val="28"/>
        </w:rPr>
        <w:t>Condición</w:t>
      </w:r>
    </w:p>
    <w:p w14:paraId="73A6E794" w14:textId="77777777" w:rsidR="00053D93" w:rsidRDefault="00260B75">
      <w:pPr>
        <w:spacing w:after="17" w:line="247" w:lineRule="auto"/>
        <w:ind w:left="1721" w:right="14" w:firstLine="4"/>
        <w:jc w:val="both"/>
      </w:pPr>
      <w:r>
        <w:rPr>
          <w:sz w:val="26"/>
        </w:rPr>
        <w:t>En el Ministerio de Educación, Unidad Ejecutora 109 Dirección General de Educación Física -DIGEF-, Programa 04 Actividades Comunes a los Programas Primaria, Básico y Diversificado (PRG. 12, 13 y 14), al evaluar las compras realizadas por la DIGEF para el desarrollo de las actividades planificadas, durante el ejercicio fiscal 2024, mediante verificaciones físicas realizadas en el Departamento de Almacén, los días 12 de noviembre de 2024 y 24 de enero de 2025, se determinó la existencia de equipo, materiales y suministros con un valor que no fueron entregados ni utilizados oportunamente por</w:t>
      </w:r>
    </w:p>
    <w:p w14:paraId="650F2062" w14:textId="77777777" w:rsidR="00053D93" w:rsidRDefault="00260B75">
      <w:pPr>
        <w:spacing w:after="243" w:line="252" w:lineRule="auto"/>
        <w:ind w:left="10" w:hanging="10"/>
        <w:jc w:val="both"/>
      </w:pPr>
      <w:r>
        <w:rPr>
          <w:noProof/>
        </w:rPr>
        <w:lastRenderedPageBreak/>
        <w:drawing>
          <wp:anchor distT="0" distB="0" distL="114300" distR="114300" simplePos="0" relativeHeight="251996160" behindDoc="0" locked="0" layoutInCell="1" allowOverlap="0" wp14:anchorId="457FEC10" wp14:editId="578FFFB2">
            <wp:simplePos x="0" y="0"/>
            <wp:positionH relativeFrom="page">
              <wp:posOffset>7301483</wp:posOffset>
            </wp:positionH>
            <wp:positionV relativeFrom="page">
              <wp:posOffset>822960</wp:posOffset>
            </wp:positionV>
            <wp:extent cx="310897" cy="13716"/>
            <wp:effectExtent l="0" t="0" r="0" b="0"/>
            <wp:wrapTopAndBottom/>
            <wp:docPr id="473027" name="Picture 473027"/>
            <wp:cNvGraphicFramePr/>
            <a:graphic xmlns:a="http://schemas.openxmlformats.org/drawingml/2006/main">
              <a:graphicData uri="http://schemas.openxmlformats.org/drawingml/2006/picture">
                <pic:pic xmlns:pic="http://schemas.openxmlformats.org/drawingml/2006/picture">
                  <pic:nvPicPr>
                    <pic:cNvPr id="473027" name="Picture 473027"/>
                    <pic:cNvPicPr/>
                  </pic:nvPicPr>
                  <pic:blipFill>
                    <a:blip r:embed="rId731"/>
                    <a:stretch>
                      <a:fillRect/>
                    </a:stretch>
                  </pic:blipFill>
                  <pic:spPr>
                    <a:xfrm>
                      <a:off x="0" y="0"/>
                      <a:ext cx="310897" cy="13716"/>
                    </a:xfrm>
                    <a:prstGeom prst="rect">
                      <a:avLst/>
                    </a:prstGeom>
                  </pic:spPr>
                </pic:pic>
              </a:graphicData>
            </a:graphic>
          </wp:anchor>
        </w:drawing>
      </w:r>
      <w:r>
        <w:rPr>
          <w:noProof/>
        </w:rPr>
        <w:drawing>
          <wp:anchor distT="0" distB="0" distL="114300" distR="114300" simplePos="0" relativeHeight="251997184" behindDoc="0" locked="0" layoutInCell="1" allowOverlap="0" wp14:anchorId="4A51405B" wp14:editId="2A1EC418">
            <wp:simplePos x="0" y="0"/>
            <wp:positionH relativeFrom="page">
              <wp:posOffset>6697981</wp:posOffset>
            </wp:positionH>
            <wp:positionV relativeFrom="page">
              <wp:posOffset>8586215</wp:posOffset>
            </wp:positionV>
            <wp:extent cx="9144" cy="13717"/>
            <wp:effectExtent l="0" t="0" r="0" b="0"/>
            <wp:wrapTopAndBottom/>
            <wp:docPr id="472917" name="Picture 472917"/>
            <wp:cNvGraphicFramePr/>
            <a:graphic xmlns:a="http://schemas.openxmlformats.org/drawingml/2006/main">
              <a:graphicData uri="http://schemas.openxmlformats.org/drawingml/2006/picture">
                <pic:pic xmlns:pic="http://schemas.openxmlformats.org/drawingml/2006/picture">
                  <pic:nvPicPr>
                    <pic:cNvPr id="472917" name="Picture 472917"/>
                    <pic:cNvPicPr/>
                  </pic:nvPicPr>
                  <pic:blipFill>
                    <a:blip r:embed="rId732"/>
                    <a:stretch>
                      <a:fillRect/>
                    </a:stretch>
                  </pic:blipFill>
                  <pic:spPr>
                    <a:xfrm>
                      <a:off x="0" y="0"/>
                      <a:ext cx="9144" cy="13717"/>
                    </a:xfrm>
                    <a:prstGeom prst="rect">
                      <a:avLst/>
                    </a:prstGeom>
                  </pic:spPr>
                </pic:pic>
              </a:graphicData>
            </a:graphic>
          </wp:anchor>
        </w:drawing>
      </w:r>
      <w:r>
        <w:rPr>
          <w:noProof/>
        </w:rPr>
        <w:drawing>
          <wp:anchor distT="0" distB="0" distL="114300" distR="114300" simplePos="0" relativeHeight="251998208" behindDoc="0" locked="0" layoutInCell="1" allowOverlap="0" wp14:anchorId="795588CF" wp14:editId="616E60F6">
            <wp:simplePos x="0" y="0"/>
            <wp:positionH relativeFrom="column">
              <wp:posOffset>-18287</wp:posOffset>
            </wp:positionH>
            <wp:positionV relativeFrom="paragraph">
              <wp:posOffset>-638793</wp:posOffset>
            </wp:positionV>
            <wp:extent cx="470916" cy="937260"/>
            <wp:effectExtent l="0" t="0" r="0" b="0"/>
            <wp:wrapSquare wrapText="bothSides"/>
            <wp:docPr id="473026" name="Picture 473026"/>
            <wp:cNvGraphicFramePr/>
            <a:graphic xmlns:a="http://schemas.openxmlformats.org/drawingml/2006/main">
              <a:graphicData uri="http://schemas.openxmlformats.org/drawingml/2006/picture">
                <pic:pic xmlns:pic="http://schemas.openxmlformats.org/drawingml/2006/picture">
                  <pic:nvPicPr>
                    <pic:cNvPr id="473026" name="Picture 473026"/>
                    <pic:cNvPicPr/>
                  </pic:nvPicPr>
                  <pic:blipFill>
                    <a:blip r:embed="rId733"/>
                    <a:stretch>
                      <a:fillRect/>
                    </a:stretch>
                  </pic:blipFill>
                  <pic:spPr>
                    <a:xfrm>
                      <a:off x="0" y="0"/>
                      <a:ext cx="470916" cy="937260"/>
                    </a:xfrm>
                    <a:prstGeom prst="rect">
                      <a:avLst/>
                    </a:prstGeom>
                  </pic:spPr>
                </pic:pic>
              </a:graphicData>
            </a:graphic>
          </wp:anchor>
        </w:drawing>
      </w:r>
      <w:r>
        <w:rPr>
          <w:noProof/>
        </w:rPr>
        <mc:AlternateContent>
          <mc:Choice Requires="wpg">
            <w:drawing>
              <wp:anchor distT="0" distB="0" distL="114300" distR="114300" simplePos="0" relativeHeight="251999232" behindDoc="0" locked="0" layoutInCell="1" allowOverlap="1" wp14:anchorId="628AAFA2" wp14:editId="7D80B3C3">
                <wp:simplePos x="0" y="0"/>
                <wp:positionH relativeFrom="column">
                  <wp:posOffset>964692</wp:posOffset>
                </wp:positionH>
                <wp:positionV relativeFrom="paragraph">
                  <wp:posOffset>-85581</wp:posOffset>
                </wp:positionV>
                <wp:extent cx="5463540" cy="13716"/>
                <wp:effectExtent l="0" t="0" r="0" b="0"/>
                <wp:wrapSquare wrapText="bothSides"/>
                <wp:docPr id="2458405" name="Group 2458405"/>
                <wp:cNvGraphicFramePr/>
                <a:graphic xmlns:a="http://schemas.openxmlformats.org/drawingml/2006/main">
                  <a:graphicData uri="http://schemas.microsoft.com/office/word/2010/wordprocessingGroup">
                    <wpg:wgp>
                      <wpg:cNvGrpSpPr/>
                      <wpg:grpSpPr>
                        <a:xfrm>
                          <a:off x="0" y="0"/>
                          <a:ext cx="5463540" cy="13716"/>
                          <a:chOff x="0" y="0"/>
                          <a:chExt cx="5463540" cy="13716"/>
                        </a:xfrm>
                      </wpg:grpSpPr>
                      <wps:wsp>
                        <wps:cNvPr id="2458404" name="Shape 2458404"/>
                        <wps:cNvSpPr/>
                        <wps:spPr>
                          <a:xfrm>
                            <a:off x="0" y="0"/>
                            <a:ext cx="5463540" cy="13716"/>
                          </a:xfrm>
                          <a:custGeom>
                            <a:avLst/>
                            <a:gdLst/>
                            <a:ahLst/>
                            <a:cxnLst/>
                            <a:rect l="0" t="0" r="0" b="0"/>
                            <a:pathLst>
                              <a:path w="5463540" h="13716">
                                <a:moveTo>
                                  <a:pt x="0" y="6858"/>
                                </a:moveTo>
                                <a:lnTo>
                                  <a:pt x="54635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405" style="width:430.2pt;height:1.08001pt;position:absolute;mso-position-horizontal-relative:text;mso-position-horizontal:absolute;margin-left:75.96pt;mso-position-vertical-relative:text;margin-top:-6.73873pt;" coordsize="54635,137">
                <v:shape id="Shape 2458404" style="position:absolute;width:54635;height:137;left:0;top:0;" coordsize="5463540,13716" path="m0,6858l5463540,6858">
                  <v:stroke weight="1.08001pt" endcap="flat" joinstyle="miter" miterlimit="1" on="true" color="#000000"/>
                  <v:fill on="false" color="#000000"/>
                </v:shape>
                <w10:wrap type="square"/>
              </v:group>
            </w:pict>
          </mc:Fallback>
        </mc:AlternateContent>
      </w:r>
      <w:r>
        <w:rPr>
          <w:sz w:val="24"/>
        </w:rPr>
        <w:t>los beneficiaros, derivado que algunas Unidades Administrativas de la DIGEF no los retiraron oportunamente del Departamento de Almacén para su distribución y utilización, como se detalla a continuación:</w:t>
      </w:r>
    </w:p>
    <w:p w14:paraId="105A471E" w14:textId="77777777" w:rsidR="00053D93" w:rsidRDefault="00260B75">
      <w:pPr>
        <w:spacing w:after="4" w:line="253" w:lineRule="auto"/>
        <w:ind w:left="1730" w:right="43" w:hanging="10"/>
        <w:jc w:val="center"/>
      </w:pPr>
      <w:r>
        <w:rPr>
          <w:sz w:val="26"/>
        </w:rPr>
        <w:t>Equipo, materiales y suministros en existencia en el Departamento de Almacén, no utilizados oportunamente por los beneficiarios, durante las actividades programadas para el Ejercicio fiscal 2024</w:t>
      </w:r>
    </w:p>
    <w:p w14:paraId="7266F282" w14:textId="77777777" w:rsidR="00053D93" w:rsidRDefault="00260B75">
      <w:pPr>
        <w:spacing w:after="4" w:line="253" w:lineRule="auto"/>
        <w:ind w:left="1730" w:right="1706" w:hanging="10"/>
        <w:jc w:val="center"/>
      </w:pPr>
      <w:r>
        <w:rPr>
          <w:sz w:val="26"/>
        </w:rPr>
        <w:t>(Cifras expresadas en quetzales)</w:t>
      </w:r>
    </w:p>
    <w:tbl>
      <w:tblPr>
        <w:tblStyle w:val="TableGrid"/>
        <w:tblW w:w="10130" w:type="dxa"/>
        <w:tblInd w:w="14" w:type="dxa"/>
        <w:tblLook w:val="04A0" w:firstRow="1" w:lastRow="0" w:firstColumn="1" w:lastColumn="0" w:noHBand="0" w:noVBand="1"/>
      </w:tblPr>
      <w:tblGrid>
        <w:gridCol w:w="1479"/>
        <w:gridCol w:w="8673"/>
      </w:tblGrid>
      <w:tr w:rsidR="00053D93" w14:paraId="69BB81D5" w14:textId="77777777">
        <w:trPr>
          <w:trHeight w:val="5965"/>
        </w:trPr>
        <w:tc>
          <w:tcPr>
            <w:tcW w:w="1796" w:type="dxa"/>
            <w:tcBorders>
              <w:top w:val="nil"/>
              <w:left w:val="nil"/>
              <w:bottom w:val="nil"/>
              <w:right w:val="nil"/>
            </w:tcBorders>
          </w:tcPr>
          <w:p w14:paraId="7272504C" w14:textId="77777777" w:rsidR="00053D93" w:rsidRDefault="00260B75">
            <w:r>
              <w:rPr>
                <w:noProof/>
              </w:rPr>
              <w:drawing>
                <wp:inline distT="0" distB="0" distL="0" distR="0" wp14:anchorId="4D7D3ED8" wp14:editId="58E0B9D0">
                  <wp:extent cx="164592" cy="1399032"/>
                  <wp:effectExtent l="0" t="0" r="0" b="0"/>
                  <wp:docPr id="473029" name="Picture 473029"/>
                  <wp:cNvGraphicFramePr/>
                  <a:graphic xmlns:a="http://schemas.openxmlformats.org/drawingml/2006/main">
                    <a:graphicData uri="http://schemas.openxmlformats.org/drawingml/2006/picture">
                      <pic:pic xmlns:pic="http://schemas.openxmlformats.org/drawingml/2006/picture">
                        <pic:nvPicPr>
                          <pic:cNvPr id="473029" name="Picture 473029"/>
                          <pic:cNvPicPr/>
                        </pic:nvPicPr>
                        <pic:blipFill>
                          <a:blip r:embed="rId734"/>
                          <a:stretch>
                            <a:fillRect/>
                          </a:stretch>
                        </pic:blipFill>
                        <pic:spPr>
                          <a:xfrm>
                            <a:off x="0" y="0"/>
                            <a:ext cx="164592" cy="1399032"/>
                          </a:xfrm>
                          <a:prstGeom prst="rect">
                            <a:avLst/>
                          </a:prstGeom>
                        </pic:spPr>
                      </pic:pic>
                    </a:graphicData>
                  </a:graphic>
                </wp:inline>
              </w:drawing>
            </w:r>
          </w:p>
        </w:tc>
        <w:tc>
          <w:tcPr>
            <w:tcW w:w="8334" w:type="dxa"/>
            <w:vMerge w:val="restart"/>
            <w:tcBorders>
              <w:top w:val="nil"/>
              <w:left w:val="nil"/>
              <w:bottom w:val="nil"/>
              <w:right w:val="nil"/>
            </w:tcBorders>
          </w:tcPr>
          <w:p w14:paraId="267F632E" w14:textId="77777777" w:rsidR="00053D93" w:rsidRDefault="00053D93">
            <w:pPr>
              <w:ind w:left="-2120" w:right="10454"/>
            </w:pPr>
          </w:p>
          <w:tbl>
            <w:tblPr>
              <w:tblStyle w:val="TableGrid"/>
              <w:tblW w:w="8323" w:type="dxa"/>
              <w:tblInd w:w="11" w:type="dxa"/>
              <w:tblLook w:val="04A0" w:firstRow="1" w:lastRow="0" w:firstColumn="1" w:lastColumn="0" w:noHBand="0" w:noVBand="1"/>
            </w:tblPr>
            <w:tblGrid>
              <w:gridCol w:w="287"/>
              <w:gridCol w:w="281"/>
              <w:gridCol w:w="180"/>
              <w:gridCol w:w="428"/>
              <w:gridCol w:w="1280"/>
              <w:gridCol w:w="1321"/>
              <w:gridCol w:w="1410"/>
              <w:gridCol w:w="1093"/>
              <w:gridCol w:w="1089"/>
              <w:gridCol w:w="954"/>
            </w:tblGrid>
            <w:tr w:rsidR="00053D93" w14:paraId="2B45C2D8" w14:textId="77777777">
              <w:trPr>
                <w:trHeight w:val="580"/>
              </w:trPr>
              <w:tc>
                <w:tcPr>
                  <w:tcW w:w="285" w:type="dxa"/>
                  <w:tcBorders>
                    <w:top w:val="single" w:sz="2" w:space="0" w:color="000000"/>
                    <w:left w:val="single" w:sz="2" w:space="0" w:color="000000"/>
                    <w:bottom w:val="single" w:sz="2" w:space="0" w:color="000000"/>
                    <w:right w:val="single" w:sz="2" w:space="0" w:color="000000"/>
                  </w:tcBorders>
                </w:tcPr>
                <w:p w14:paraId="000CA106" w14:textId="77777777" w:rsidR="00053D93" w:rsidRDefault="00260B75">
                  <w:pPr>
                    <w:ind w:left="-22"/>
                  </w:pPr>
                  <w:r>
                    <w:rPr>
                      <w:sz w:val="16"/>
                    </w:rPr>
                    <w:t>No.</w:t>
                  </w:r>
                </w:p>
              </w:tc>
              <w:tc>
                <w:tcPr>
                  <w:tcW w:w="892" w:type="dxa"/>
                  <w:gridSpan w:val="3"/>
                  <w:tcBorders>
                    <w:top w:val="single" w:sz="2" w:space="0" w:color="000000"/>
                    <w:left w:val="single" w:sz="2" w:space="0" w:color="000000"/>
                    <w:bottom w:val="single" w:sz="2" w:space="0" w:color="000000"/>
                    <w:right w:val="single" w:sz="2" w:space="0" w:color="000000"/>
                  </w:tcBorders>
                </w:tcPr>
                <w:p w14:paraId="7F8A1754" w14:textId="77777777" w:rsidR="00053D93" w:rsidRDefault="00260B75">
                  <w:pPr>
                    <w:ind w:left="161"/>
                  </w:pPr>
                  <w:r>
                    <w:rPr>
                      <w:sz w:val="16"/>
                    </w:rPr>
                    <w:t>CODIGO</w:t>
                  </w:r>
                </w:p>
                <w:p w14:paraId="6FADDB8A" w14:textId="77777777" w:rsidR="00053D93" w:rsidRDefault="00260B75">
                  <w:pPr>
                    <w:ind w:right="22"/>
                    <w:jc w:val="center"/>
                  </w:pPr>
                  <w:r>
                    <w:rPr>
                      <w:sz w:val="18"/>
                    </w:rPr>
                    <w:t>DEL</w:t>
                  </w:r>
                </w:p>
                <w:p w14:paraId="7BCC2581" w14:textId="77777777" w:rsidR="00053D93" w:rsidRDefault="00260B75">
                  <w:pPr>
                    <w:ind w:left="60"/>
                    <w:jc w:val="both"/>
                  </w:pPr>
                  <w:r>
                    <w:rPr>
                      <w:sz w:val="16"/>
                    </w:rPr>
                    <w:t>PRODUCTO</w:t>
                  </w:r>
                </w:p>
              </w:tc>
              <w:tc>
                <w:tcPr>
                  <w:tcW w:w="1282" w:type="dxa"/>
                  <w:tcBorders>
                    <w:top w:val="single" w:sz="2" w:space="0" w:color="000000"/>
                    <w:left w:val="single" w:sz="2" w:space="0" w:color="000000"/>
                    <w:bottom w:val="single" w:sz="2" w:space="0" w:color="000000"/>
                    <w:right w:val="single" w:sz="2" w:space="0" w:color="000000"/>
                  </w:tcBorders>
                </w:tcPr>
                <w:p w14:paraId="61C7C71D" w14:textId="77777777" w:rsidR="00053D93" w:rsidRDefault="00260B75">
                  <w:pPr>
                    <w:ind w:right="7"/>
                    <w:jc w:val="center"/>
                  </w:pPr>
                  <w:r>
                    <w:rPr>
                      <w:sz w:val="16"/>
                    </w:rPr>
                    <w:t>NUMERO DE</w:t>
                  </w:r>
                </w:p>
                <w:p w14:paraId="482E8A1D" w14:textId="77777777" w:rsidR="00053D93" w:rsidRDefault="00260B75">
                  <w:pPr>
                    <w:ind w:left="83"/>
                  </w:pPr>
                  <w:r>
                    <w:rPr>
                      <w:sz w:val="16"/>
                    </w:rPr>
                    <w:t>REQUERIMIENTO</w:t>
                  </w:r>
                </w:p>
              </w:tc>
              <w:tc>
                <w:tcPr>
                  <w:tcW w:w="1321" w:type="dxa"/>
                  <w:tcBorders>
                    <w:top w:val="single" w:sz="2" w:space="0" w:color="000000"/>
                    <w:left w:val="single" w:sz="2" w:space="0" w:color="000000"/>
                    <w:bottom w:val="single" w:sz="2" w:space="0" w:color="000000"/>
                    <w:right w:val="single" w:sz="2" w:space="0" w:color="000000"/>
                  </w:tcBorders>
                </w:tcPr>
                <w:p w14:paraId="3C754790" w14:textId="77777777" w:rsidR="00053D93" w:rsidRDefault="00260B75">
                  <w:pPr>
                    <w:ind w:right="11"/>
                    <w:jc w:val="center"/>
                  </w:pPr>
                  <w:r>
                    <w:rPr>
                      <w:sz w:val="18"/>
                    </w:rPr>
                    <w:t>DESCRIPCI N</w:t>
                  </w:r>
                </w:p>
              </w:tc>
              <w:tc>
                <w:tcPr>
                  <w:tcW w:w="1400" w:type="dxa"/>
                  <w:tcBorders>
                    <w:top w:val="single" w:sz="2" w:space="0" w:color="000000"/>
                    <w:left w:val="single" w:sz="2" w:space="0" w:color="000000"/>
                    <w:bottom w:val="single" w:sz="2" w:space="0" w:color="000000"/>
                    <w:right w:val="single" w:sz="2" w:space="0" w:color="000000"/>
                  </w:tcBorders>
                </w:tcPr>
                <w:p w14:paraId="7A472EA9" w14:textId="77777777" w:rsidR="00053D93" w:rsidRDefault="00260B75">
                  <w:pPr>
                    <w:ind w:right="18"/>
                    <w:jc w:val="center"/>
                  </w:pPr>
                  <w:r>
                    <w:rPr>
                      <w:sz w:val="18"/>
                    </w:rPr>
                    <w:t>RENGLÓN</w:t>
                  </w:r>
                </w:p>
                <w:p w14:paraId="17D5F0F3" w14:textId="77777777" w:rsidR="00053D93" w:rsidRDefault="00260B75">
                  <w:pPr>
                    <w:ind w:left="79"/>
                  </w:pPr>
                  <w:r>
                    <w:rPr>
                      <w:sz w:val="18"/>
                    </w:rPr>
                    <w:t xml:space="preserve">PRESUPUESTARIO </w:t>
                  </w:r>
                </w:p>
              </w:tc>
              <w:tc>
                <w:tcPr>
                  <w:tcW w:w="1097" w:type="dxa"/>
                  <w:tcBorders>
                    <w:top w:val="single" w:sz="2" w:space="0" w:color="000000"/>
                    <w:left w:val="single" w:sz="2" w:space="0" w:color="000000"/>
                    <w:bottom w:val="single" w:sz="2" w:space="0" w:color="000000"/>
                    <w:right w:val="single" w:sz="2" w:space="0" w:color="000000"/>
                  </w:tcBorders>
                </w:tcPr>
                <w:p w14:paraId="05894EF5" w14:textId="77777777" w:rsidR="00053D93" w:rsidRDefault="00260B75">
                  <w:pPr>
                    <w:ind w:right="24"/>
                    <w:jc w:val="center"/>
                  </w:pPr>
                  <w:r>
                    <w:rPr>
                      <w:sz w:val="18"/>
                    </w:rPr>
                    <w:t>FECHA DE</w:t>
                  </w:r>
                </w:p>
                <w:p w14:paraId="7FA6B4B6" w14:textId="77777777" w:rsidR="00053D93" w:rsidRDefault="00260B75">
                  <w:pPr>
                    <w:ind w:left="126"/>
                  </w:pPr>
                  <w:r>
                    <w:rPr>
                      <w:sz w:val="16"/>
                    </w:rPr>
                    <w:t>UTILIZACIÓN</w:t>
                  </w:r>
                </w:p>
              </w:tc>
              <w:tc>
                <w:tcPr>
                  <w:tcW w:w="1092" w:type="dxa"/>
                  <w:tcBorders>
                    <w:top w:val="single" w:sz="2" w:space="0" w:color="000000"/>
                    <w:left w:val="single" w:sz="2" w:space="0" w:color="000000"/>
                    <w:bottom w:val="single" w:sz="2" w:space="0" w:color="000000"/>
                    <w:right w:val="single" w:sz="2" w:space="0" w:color="000000"/>
                  </w:tcBorders>
                </w:tcPr>
                <w:p w14:paraId="396FB4A9" w14:textId="77777777" w:rsidR="00053D93" w:rsidRDefault="00260B75">
                  <w:pPr>
                    <w:ind w:left="138"/>
                  </w:pPr>
                  <w:r>
                    <w:rPr>
                      <w:sz w:val="18"/>
                    </w:rPr>
                    <w:t>EXISTENCIA</w:t>
                  </w:r>
                </w:p>
                <w:p w14:paraId="0D728BB1" w14:textId="77777777" w:rsidR="00053D93" w:rsidRDefault="00260B75">
                  <w:pPr>
                    <w:ind w:left="95"/>
                  </w:pPr>
                  <w:r>
                    <w:rPr>
                      <w:sz w:val="16"/>
                    </w:rPr>
                    <w:t>DE ALMACÉN</w:t>
                  </w:r>
                </w:p>
              </w:tc>
              <w:tc>
                <w:tcPr>
                  <w:tcW w:w="954" w:type="dxa"/>
                  <w:tcBorders>
                    <w:top w:val="single" w:sz="2" w:space="0" w:color="000000"/>
                    <w:left w:val="single" w:sz="2" w:space="0" w:color="000000"/>
                    <w:bottom w:val="single" w:sz="2" w:space="0" w:color="000000"/>
                    <w:right w:val="single" w:sz="2" w:space="0" w:color="000000"/>
                  </w:tcBorders>
                </w:tcPr>
                <w:p w14:paraId="7E65C609" w14:textId="77777777" w:rsidR="00053D93" w:rsidRDefault="00260B75">
                  <w:pPr>
                    <w:ind w:left="112"/>
                  </w:pPr>
                  <w:r>
                    <w:rPr>
                      <w:sz w:val="16"/>
                    </w:rPr>
                    <w:t>MONTO DE</w:t>
                  </w:r>
                </w:p>
                <w:p w14:paraId="216B4514" w14:textId="77777777" w:rsidR="00053D93" w:rsidRDefault="00260B75">
                  <w:pPr>
                    <w:ind w:left="61"/>
                  </w:pPr>
                  <w:r>
                    <w:rPr>
                      <w:sz w:val="18"/>
                    </w:rPr>
                    <w:t>EXISTENCIA</w:t>
                  </w:r>
                </w:p>
              </w:tc>
            </w:tr>
            <w:tr w:rsidR="00053D93" w14:paraId="696A83F2" w14:textId="77777777">
              <w:trPr>
                <w:trHeight w:val="202"/>
              </w:trPr>
              <w:tc>
                <w:tcPr>
                  <w:tcW w:w="285" w:type="dxa"/>
                  <w:tcBorders>
                    <w:top w:val="single" w:sz="2" w:space="0" w:color="000000"/>
                    <w:left w:val="single" w:sz="2" w:space="0" w:color="000000"/>
                    <w:bottom w:val="single" w:sz="2" w:space="0" w:color="000000"/>
                    <w:right w:val="nil"/>
                  </w:tcBorders>
                </w:tcPr>
                <w:p w14:paraId="2E50A340" w14:textId="77777777" w:rsidR="00053D93" w:rsidRDefault="00053D93"/>
              </w:tc>
              <w:tc>
                <w:tcPr>
                  <w:tcW w:w="892" w:type="dxa"/>
                  <w:gridSpan w:val="3"/>
                  <w:tcBorders>
                    <w:top w:val="single" w:sz="2" w:space="0" w:color="000000"/>
                    <w:left w:val="nil"/>
                    <w:bottom w:val="single" w:sz="2" w:space="0" w:color="000000"/>
                    <w:right w:val="nil"/>
                  </w:tcBorders>
                </w:tcPr>
                <w:p w14:paraId="66938C5D" w14:textId="77777777" w:rsidR="00053D93" w:rsidRDefault="00053D93"/>
              </w:tc>
              <w:tc>
                <w:tcPr>
                  <w:tcW w:w="5100" w:type="dxa"/>
                  <w:gridSpan w:val="4"/>
                  <w:tcBorders>
                    <w:top w:val="single" w:sz="2" w:space="0" w:color="000000"/>
                    <w:left w:val="nil"/>
                    <w:bottom w:val="single" w:sz="2" w:space="0" w:color="000000"/>
                    <w:right w:val="nil"/>
                  </w:tcBorders>
                </w:tcPr>
                <w:p w14:paraId="457CBBE1" w14:textId="77777777" w:rsidR="00053D93" w:rsidRDefault="00260B75">
                  <w:pPr>
                    <w:ind w:left="1595"/>
                  </w:pPr>
                  <w:r>
                    <w:rPr>
                      <w:sz w:val="16"/>
                    </w:rPr>
                    <w:t>VERIFICACION REALIZADA EL 12111/2024</w:t>
                  </w:r>
                </w:p>
              </w:tc>
              <w:tc>
                <w:tcPr>
                  <w:tcW w:w="1092" w:type="dxa"/>
                  <w:tcBorders>
                    <w:top w:val="single" w:sz="2" w:space="0" w:color="000000"/>
                    <w:left w:val="nil"/>
                    <w:bottom w:val="single" w:sz="2" w:space="0" w:color="000000"/>
                    <w:right w:val="nil"/>
                  </w:tcBorders>
                </w:tcPr>
                <w:p w14:paraId="5D407663" w14:textId="77777777" w:rsidR="00053D93" w:rsidRDefault="00053D93"/>
              </w:tc>
              <w:tc>
                <w:tcPr>
                  <w:tcW w:w="954" w:type="dxa"/>
                  <w:tcBorders>
                    <w:top w:val="single" w:sz="2" w:space="0" w:color="000000"/>
                    <w:left w:val="nil"/>
                    <w:bottom w:val="single" w:sz="2" w:space="0" w:color="000000"/>
                    <w:right w:val="single" w:sz="2" w:space="0" w:color="000000"/>
                  </w:tcBorders>
                </w:tcPr>
                <w:p w14:paraId="0D0A9107" w14:textId="77777777" w:rsidR="00053D93" w:rsidRDefault="00053D93"/>
              </w:tc>
            </w:tr>
            <w:tr w:rsidR="00053D93" w14:paraId="0ABF40C8" w14:textId="77777777">
              <w:trPr>
                <w:trHeight w:val="288"/>
              </w:trPr>
              <w:tc>
                <w:tcPr>
                  <w:tcW w:w="285" w:type="dxa"/>
                  <w:tcBorders>
                    <w:top w:val="single" w:sz="2" w:space="0" w:color="000000"/>
                    <w:left w:val="single" w:sz="2" w:space="0" w:color="000000"/>
                    <w:bottom w:val="single" w:sz="2" w:space="0" w:color="000000"/>
                    <w:right w:val="nil"/>
                  </w:tcBorders>
                </w:tcPr>
                <w:p w14:paraId="3654C2EA" w14:textId="77777777" w:rsidR="00053D93" w:rsidRDefault="00053D93"/>
              </w:tc>
              <w:tc>
                <w:tcPr>
                  <w:tcW w:w="892" w:type="dxa"/>
                  <w:gridSpan w:val="3"/>
                  <w:tcBorders>
                    <w:top w:val="single" w:sz="2" w:space="0" w:color="000000"/>
                    <w:left w:val="nil"/>
                    <w:bottom w:val="single" w:sz="2" w:space="0" w:color="000000"/>
                    <w:right w:val="nil"/>
                  </w:tcBorders>
                </w:tcPr>
                <w:p w14:paraId="6CC66957" w14:textId="77777777" w:rsidR="00053D93" w:rsidRDefault="00053D93"/>
              </w:tc>
              <w:tc>
                <w:tcPr>
                  <w:tcW w:w="5100" w:type="dxa"/>
                  <w:gridSpan w:val="4"/>
                  <w:tcBorders>
                    <w:top w:val="single" w:sz="2" w:space="0" w:color="000000"/>
                    <w:left w:val="nil"/>
                    <w:bottom w:val="single" w:sz="2" w:space="0" w:color="000000"/>
                    <w:right w:val="nil"/>
                  </w:tcBorders>
                </w:tcPr>
                <w:p w14:paraId="12C422BF" w14:textId="77777777" w:rsidR="00053D93" w:rsidRDefault="00260B75">
                  <w:pPr>
                    <w:ind w:left="746"/>
                    <w:jc w:val="center"/>
                  </w:pPr>
                  <w:r>
                    <w:rPr>
                      <w:sz w:val="16"/>
                    </w:rPr>
                    <w:t>Desarrollo Deportivo Escolar</w:t>
                  </w:r>
                </w:p>
              </w:tc>
              <w:tc>
                <w:tcPr>
                  <w:tcW w:w="1092" w:type="dxa"/>
                  <w:tcBorders>
                    <w:top w:val="single" w:sz="2" w:space="0" w:color="000000"/>
                    <w:left w:val="nil"/>
                    <w:bottom w:val="single" w:sz="2" w:space="0" w:color="000000"/>
                    <w:right w:val="nil"/>
                  </w:tcBorders>
                </w:tcPr>
                <w:p w14:paraId="0975C1D9" w14:textId="77777777" w:rsidR="00053D93" w:rsidRDefault="00053D93"/>
              </w:tc>
              <w:tc>
                <w:tcPr>
                  <w:tcW w:w="954" w:type="dxa"/>
                  <w:tcBorders>
                    <w:top w:val="single" w:sz="2" w:space="0" w:color="000000"/>
                    <w:left w:val="nil"/>
                    <w:bottom w:val="single" w:sz="2" w:space="0" w:color="000000"/>
                    <w:right w:val="single" w:sz="2" w:space="0" w:color="000000"/>
                  </w:tcBorders>
                </w:tcPr>
                <w:p w14:paraId="059A47C0" w14:textId="77777777" w:rsidR="00053D93" w:rsidRDefault="00053D93"/>
              </w:tc>
            </w:tr>
            <w:tr w:rsidR="00053D93" w14:paraId="10845721" w14:textId="77777777">
              <w:trPr>
                <w:trHeight w:val="374"/>
              </w:trPr>
              <w:tc>
                <w:tcPr>
                  <w:tcW w:w="285" w:type="dxa"/>
                  <w:tcBorders>
                    <w:top w:val="single" w:sz="2" w:space="0" w:color="000000"/>
                    <w:left w:val="single" w:sz="2" w:space="0" w:color="000000"/>
                    <w:bottom w:val="single" w:sz="2" w:space="0" w:color="000000"/>
                    <w:right w:val="single" w:sz="2" w:space="0" w:color="000000"/>
                  </w:tcBorders>
                </w:tcPr>
                <w:p w14:paraId="6624FCB0" w14:textId="77777777" w:rsidR="00053D93" w:rsidRDefault="00053D93"/>
              </w:tc>
              <w:tc>
                <w:tcPr>
                  <w:tcW w:w="892" w:type="dxa"/>
                  <w:gridSpan w:val="3"/>
                  <w:tcBorders>
                    <w:top w:val="single" w:sz="2" w:space="0" w:color="000000"/>
                    <w:left w:val="single" w:sz="2" w:space="0" w:color="000000"/>
                    <w:bottom w:val="single" w:sz="2" w:space="0" w:color="000000"/>
                    <w:right w:val="single" w:sz="2" w:space="0" w:color="000000"/>
                  </w:tcBorders>
                </w:tcPr>
                <w:p w14:paraId="33FEE972" w14:textId="77777777" w:rsidR="00053D93" w:rsidRDefault="00260B75">
                  <w:pPr>
                    <w:ind w:right="30"/>
                    <w:jc w:val="center"/>
                  </w:pPr>
                  <w:r>
                    <w:rPr>
                      <w:rFonts w:ascii="Times New Roman" w:eastAsia="Times New Roman" w:hAnsi="Times New Roman" w:cs="Times New Roman"/>
                      <w:sz w:val="14"/>
                    </w:rPr>
                    <w:t>294037</w:t>
                  </w:r>
                </w:p>
              </w:tc>
              <w:tc>
                <w:tcPr>
                  <w:tcW w:w="1282" w:type="dxa"/>
                  <w:tcBorders>
                    <w:top w:val="single" w:sz="2" w:space="0" w:color="000000"/>
                    <w:left w:val="single" w:sz="2" w:space="0" w:color="000000"/>
                    <w:bottom w:val="single" w:sz="2" w:space="0" w:color="000000"/>
                    <w:right w:val="single" w:sz="2" w:space="0" w:color="000000"/>
                  </w:tcBorders>
                </w:tcPr>
                <w:p w14:paraId="554E7768" w14:textId="77777777" w:rsidR="00053D93" w:rsidRDefault="00260B75">
                  <w:pPr>
                    <w:ind w:right="7"/>
                    <w:jc w:val="center"/>
                  </w:pPr>
                  <w:r>
                    <w:rPr>
                      <w:rFonts w:ascii="Times New Roman" w:eastAsia="Times New Roman" w:hAnsi="Times New Roman" w:cs="Times New Roman"/>
                      <w:sz w:val="14"/>
                    </w:rPr>
                    <w:t>2424-2428</w:t>
                  </w:r>
                </w:p>
              </w:tc>
              <w:tc>
                <w:tcPr>
                  <w:tcW w:w="1321" w:type="dxa"/>
                  <w:tcBorders>
                    <w:top w:val="single" w:sz="2" w:space="0" w:color="000000"/>
                    <w:left w:val="single" w:sz="2" w:space="0" w:color="000000"/>
                    <w:bottom w:val="single" w:sz="2" w:space="0" w:color="000000"/>
                    <w:right w:val="single" w:sz="2" w:space="0" w:color="000000"/>
                  </w:tcBorders>
                </w:tcPr>
                <w:p w14:paraId="3E47A513" w14:textId="77777777" w:rsidR="00053D93" w:rsidRDefault="00260B75">
                  <w:pPr>
                    <w:ind w:left="76"/>
                  </w:pPr>
                  <w:r>
                    <w:rPr>
                      <w:sz w:val="16"/>
                    </w:rPr>
                    <w:t>Pataletas pequeñas</w:t>
                  </w:r>
                </w:p>
              </w:tc>
              <w:tc>
                <w:tcPr>
                  <w:tcW w:w="1400" w:type="dxa"/>
                  <w:tcBorders>
                    <w:top w:val="single" w:sz="2" w:space="0" w:color="000000"/>
                    <w:left w:val="single" w:sz="2" w:space="0" w:color="000000"/>
                    <w:bottom w:val="single" w:sz="2" w:space="0" w:color="000000"/>
                    <w:right w:val="single" w:sz="2" w:space="0" w:color="000000"/>
                  </w:tcBorders>
                </w:tcPr>
                <w:p w14:paraId="5D94B101" w14:textId="77777777" w:rsidR="00053D93" w:rsidRDefault="00260B75">
                  <w:pPr>
                    <w:ind w:right="18"/>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2C574ACE" w14:textId="77777777" w:rsidR="00053D93" w:rsidRDefault="00260B75">
                  <w:pPr>
                    <w:ind w:right="10"/>
                    <w:jc w:val="center"/>
                  </w:pPr>
                  <w:r>
                    <w:rPr>
                      <w:rFonts w:ascii="Times New Roman" w:eastAsia="Times New Roman" w:hAnsi="Times New Roman" w:cs="Times New Roman"/>
                      <w:sz w:val="14"/>
                    </w:rPr>
                    <w:t>12/0812024</w:t>
                  </w:r>
                </w:p>
              </w:tc>
              <w:tc>
                <w:tcPr>
                  <w:tcW w:w="1092" w:type="dxa"/>
                  <w:tcBorders>
                    <w:top w:val="single" w:sz="2" w:space="0" w:color="000000"/>
                    <w:left w:val="single" w:sz="2" w:space="0" w:color="000000"/>
                    <w:bottom w:val="single" w:sz="2" w:space="0" w:color="000000"/>
                    <w:right w:val="single" w:sz="2" w:space="0" w:color="000000"/>
                  </w:tcBorders>
                </w:tcPr>
                <w:p w14:paraId="2BDD99B4" w14:textId="77777777" w:rsidR="00053D93" w:rsidRDefault="00260B75">
                  <w:pPr>
                    <w:ind w:right="32"/>
                    <w:jc w:val="center"/>
                  </w:pPr>
                  <w:r>
                    <w:rPr>
                      <w:rFonts w:ascii="Times New Roman" w:eastAsia="Times New Roman" w:hAnsi="Times New Roman" w:cs="Times New Roman"/>
                      <w:sz w:val="14"/>
                    </w:rPr>
                    <w:t>25</w:t>
                  </w:r>
                </w:p>
              </w:tc>
              <w:tc>
                <w:tcPr>
                  <w:tcW w:w="954" w:type="dxa"/>
                  <w:tcBorders>
                    <w:top w:val="single" w:sz="2" w:space="0" w:color="000000"/>
                    <w:left w:val="single" w:sz="2" w:space="0" w:color="000000"/>
                    <w:bottom w:val="single" w:sz="2" w:space="0" w:color="000000"/>
                    <w:right w:val="single" w:sz="2" w:space="0" w:color="000000"/>
                  </w:tcBorders>
                </w:tcPr>
                <w:p w14:paraId="6F5E5233" w14:textId="77777777" w:rsidR="00053D93" w:rsidRDefault="00260B75">
                  <w:pPr>
                    <w:ind w:left="349"/>
                  </w:pPr>
                  <w:r>
                    <w:rPr>
                      <w:rFonts w:ascii="Times New Roman" w:eastAsia="Times New Roman" w:hAnsi="Times New Roman" w:cs="Times New Roman"/>
                      <w:sz w:val="14"/>
                    </w:rPr>
                    <w:t>6.875.00</w:t>
                  </w:r>
                </w:p>
              </w:tc>
            </w:tr>
            <w:tr w:rsidR="00053D93" w14:paraId="35ADE42D" w14:textId="77777777">
              <w:trPr>
                <w:trHeight w:val="374"/>
              </w:trPr>
              <w:tc>
                <w:tcPr>
                  <w:tcW w:w="285" w:type="dxa"/>
                  <w:tcBorders>
                    <w:top w:val="single" w:sz="2" w:space="0" w:color="000000"/>
                    <w:left w:val="single" w:sz="2" w:space="0" w:color="000000"/>
                    <w:bottom w:val="single" w:sz="2" w:space="0" w:color="000000"/>
                    <w:right w:val="single" w:sz="2" w:space="0" w:color="000000"/>
                  </w:tcBorders>
                </w:tcPr>
                <w:p w14:paraId="400F5658" w14:textId="77777777" w:rsidR="00053D93" w:rsidRDefault="00260B75">
                  <w:pPr>
                    <w:ind w:left="50"/>
                  </w:pPr>
                  <w:r>
                    <w:rPr>
                      <w:rFonts w:ascii="Times New Roman" w:eastAsia="Times New Roman" w:hAnsi="Times New Roman" w:cs="Times New Roman"/>
                      <w:sz w:val="16"/>
                    </w:rPr>
                    <w:t>2</w:t>
                  </w:r>
                </w:p>
              </w:tc>
              <w:tc>
                <w:tcPr>
                  <w:tcW w:w="892" w:type="dxa"/>
                  <w:gridSpan w:val="3"/>
                  <w:tcBorders>
                    <w:top w:val="single" w:sz="2" w:space="0" w:color="000000"/>
                    <w:left w:val="single" w:sz="2" w:space="0" w:color="000000"/>
                    <w:bottom w:val="single" w:sz="2" w:space="0" w:color="000000"/>
                    <w:right w:val="single" w:sz="2" w:space="0" w:color="000000"/>
                  </w:tcBorders>
                </w:tcPr>
                <w:p w14:paraId="27704124" w14:textId="77777777" w:rsidR="00053D93" w:rsidRDefault="00260B75">
                  <w:pPr>
                    <w:ind w:right="22"/>
                    <w:jc w:val="center"/>
                  </w:pPr>
                  <w:r>
                    <w:rPr>
                      <w:rFonts w:ascii="Times New Roman" w:eastAsia="Times New Roman" w:hAnsi="Times New Roman" w:cs="Times New Roman"/>
                      <w:sz w:val="14"/>
                    </w:rPr>
                    <w:t>294038</w:t>
                  </w:r>
                </w:p>
              </w:tc>
              <w:tc>
                <w:tcPr>
                  <w:tcW w:w="1282" w:type="dxa"/>
                  <w:tcBorders>
                    <w:top w:val="single" w:sz="2" w:space="0" w:color="000000"/>
                    <w:left w:val="single" w:sz="2" w:space="0" w:color="000000"/>
                    <w:bottom w:val="single" w:sz="2" w:space="0" w:color="000000"/>
                    <w:right w:val="single" w:sz="2" w:space="0" w:color="000000"/>
                  </w:tcBorders>
                </w:tcPr>
                <w:p w14:paraId="187FCD62" w14:textId="77777777" w:rsidR="00053D93" w:rsidRDefault="00260B75">
                  <w:pPr>
                    <w:jc w:val="center"/>
                  </w:pPr>
                  <w:r>
                    <w:rPr>
                      <w:rFonts w:ascii="Times New Roman" w:eastAsia="Times New Roman" w:hAnsi="Times New Roman" w:cs="Times New Roman"/>
                      <w:sz w:val="14"/>
                    </w:rPr>
                    <w:t>2424-2428</w:t>
                  </w:r>
                </w:p>
              </w:tc>
              <w:tc>
                <w:tcPr>
                  <w:tcW w:w="1321" w:type="dxa"/>
                  <w:tcBorders>
                    <w:top w:val="single" w:sz="2" w:space="0" w:color="000000"/>
                    <w:left w:val="single" w:sz="2" w:space="0" w:color="000000"/>
                    <w:bottom w:val="single" w:sz="2" w:space="0" w:color="000000"/>
                    <w:right w:val="single" w:sz="2" w:space="0" w:color="000000"/>
                  </w:tcBorders>
                </w:tcPr>
                <w:p w14:paraId="79F6F121" w14:textId="77777777" w:rsidR="00053D93" w:rsidRDefault="00260B75">
                  <w:pPr>
                    <w:ind w:left="83"/>
                  </w:pPr>
                  <w:r>
                    <w:rPr>
                      <w:sz w:val="16"/>
                    </w:rPr>
                    <w:t>Pataletas grandes</w:t>
                  </w:r>
                </w:p>
              </w:tc>
              <w:tc>
                <w:tcPr>
                  <w:tcW w:w="1400" w:type="dxa"/>
                  <w:tcBorders>
                    <w:top w:val="single" w:sz="2" w:space="0" w:color="000000"/>
                    <w:left w:val="single" w:sz="2" w:space="0" w:color="000000"/>
                    <w:bottom w:val="single" w:sz="2" w:space="0" w:color="000000"/>
                    <w:right w:val="single" w:sz="2" w:space="0" w:color="000000"/>
                  </w:tcBorders>
                </w:tcPr>
                <w:p w14:paraId="118D789A" w14:textId="77777777" w:rsidR="00053D93" w:rsidRDefault="00260B75">
                  <w:pPr>
                    <w:ind w:right="11"/>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7B5857ED" w14:textId="77777777" w:rsidR="00053D93" w:rsidRDefault="00260B75">
                  <w:pPr>
                    <w:ind w:right="3"/>
                    <w:jc w:val="center"/>
                  </w:pPr>
                  <w:r>
                    <w:rPr>
                      <w:rFonts w:ascii="Times New Roman" w:eastAsia="Times New Roman" w:hAnsi="Times New Roman" w:cs="Times New Roman"/>
                      <w:sz w:val="14"/>
                    </w:rPr>
                    <w:t>12/08/2024</w:t>
                  </w:r>
                </w:p>
              </w:tc>
              <w:tc>
                <w:tcPr>
                  <w:tcW w:w="1092" w:type="dxa"/>
                  <w:tcBorders>
                    <w:top w:val="single" w:sz="2" w:space="0" w:color="000000"/>
                    <w:left w:val="single" w:sz="2" w:space="0" w:color="000000"/>
                    <w:bottom w:val="single" w:sz="2" w:space="0" w:color="000000"/>
                    <w:right w:val="single" w:sz="2" w:space="0" w:color="000000"/>
                  </w:tcBorders>
                </w:tcPr>
                <w:p w14:paraId="073210D8" w14:textId="77777777" w:rsidR="00053D93" w:rsidRDefault="00260B75">
                  <w:pPr>
                    <w:ind w:right="24"/>
                    <w:jc w:val="center"/>
                  </w:pPr>
                  <w:r>
                    <w:rPr>
                      <w:rFonts w:ascii="Times New Roman" w:eastAsia="Times New Roman" w:hAnsi="Times New Roman" w:cs="Times New Roman"/>
                      <w:sz w:val="16"/>
                    </w:rPr>
                    <w:t>25</w:t>
                  </w:r>
                </w:p>
              </w:tc>
              <w:tc>
                <w:tcPr>
                  <w:tcW w:w="954" w:type="dxa"/>
                  <w:tcBorders>
                    <w:top w:val="single" w:sz="2" w:space="0" w:color="000000"/>
                    <w:left w:val="single" w:sz="2" w:space="0" w:color="000000"/>
                    <w:bottom w:val="single" w:sz="2" w:space="0" w:color="000000"/>
                    <w:right w:val="single" w:sz="2" w:space="0" w:color="000000"/>
                  </w:tcBorders>
                </w:tcPr>
                <w:p w14:paraId="26BCD7C2" w14:textId="77777777" w:rsidR="00053D93" w:rsidRDefault="00260B75">
                  <w:pPr>
                    <w:ind w:left="356"/>
                  </w:pPr>
                  <w:r>
                    <w:rPr>
                      <w:rFonts w:ascii="Times New Roman" w:eastAsia="Times New Roman" w:hAnsi="Times New Roman" w:cs="Times New Roman"/>
                      <w:sz w:val="16"/>
                    </w:rPr>
                    <w:t>8.125.00</w:t>
                  </w:r>
                </w:p>
              </w:tc>
            </w:tr>
            <w:tr w:rsidR="00053D93" w14:paraId="2BFC4793" w14:textId="77777777">
              <w:trPr>
                <w:trHeight w:val="374"/>
              </w:trPr>
              <w:tc>
                <w:tcPr>
                  <w:tcW w:w="285" w:type="dxa"/>
                  <w:tcBorders>
                    <w:top w:val="single" w:sz="2" w:space="0" w:color="000000"/>
                    <w:left w:val="single" w:sz="2" w:space="0" w:color="000000"/>
                    <w:bottom w:val="single" w:sz="2" w:space="0" w:color="000000"/>
                    <w:right w:val="single" w:sz="2" w:space="0" w:color="000000"/>
                  </w:tcBorders>
                </w:tcPr>
                <w:p w14:paraId="6B175CC0" w14:textId="77777777" w:rsidR="00053D93" w:rsidRDefault="00260B75">
                  <w:pPr>
                    <w:ind w:left="50"/>
                  </w:pPr>
                  <w:r>
                    <w:rPr>
                      <w:rFonts w:ascii="Times New Roman" w:eastAsia="Times New Roman" w:hAnsi="Times New Roman" w:cs="Times New Roman"/>
                      <w:sz w:val="16"/>
                    </w:rPr>
                    <w:t>3</w:t>
                  </w:r>
                </w:p>
              </w:tc>
              <w:tc>
                <w:tcPr>
                  <w:tcW w:w="892" w:type="dxa"/>
                  <w:gridSpan w:val="3"/>
                  <w:tcBorders>
                    <w:top w:val="single" w:sz="2" w:space="0" w:color="000000"/>
                    <w:left w:val="single" w:sz="2" w:space="0" w:color="000000"/>
                    <w:bottom w:val="single" w:sz="2" w:space="0" w:color="000000"/>
                    <w:right w:val="single" w:sz="2" w:space="0" w:color="000000"/>
                  </w:tcBorders>
                </w:tcPr>
                <w:p w14:paraId="7A4E19BF" w14:textId="77777777" w:rsidR="00053D93" w:rsidRDefault="00260B75">
                  <w:pPr>
                    <w:ind w:right="37"/>
                    <w:jc w:val="center"/>
                  </w:pPr>
                  <w:r>
                    <w:rPr>
                      <w:rFonts w:ascii="Times New Roman" w:eastAsia="Times New Roman" w:hAnsi="Times New Roman" w:cs="Times New Roman"/>
                      <w:sz w:val="14"/>
                    </w:rPr>
                    <w:t>294049</w:t>
                  </w:r>
                </w:p>
              </w:tc>
              <w:tc>
                <w:tcPr>
                  <w:tcW w:w="1282" w:type="dxa"/>
                  <w:tcBorders>
                    <w:top w:val="single" w:sz="2" w:space="0" w:color="000000"/>
                    <w:left w:val="single" w:sz="2" w:space="0" w:color="000000"/>
                    <w:bottom w:val="single" w:sz="2" w:space="0" w:color="000000"/>
                    <w:right w:val="single" w:sz="2" w:space="0" w:color="000000"/>
                  </w:tcBorders>
                </w:tcPr>
                <w:p w14:paraId="213EB916" w14:textId="77777777" w:rsidR="00053D93" w:rsidRDefault="00260B75">
                  <w:pPr>
                    <w:ind w:right="14"/>
                    <w:jc w:val="center"/>
                  </w:pPr>
                  <w:r>
                    <w:rPr>
                      <w:rFonts w:ascii="Times New Roman" w:eastAsia="Times New Roman" w:hAnsi="Times New Roman" w:cs="Times New Roman"/>
                      <w:sz w:val="14"/>
                    </w:rPr>
                    <w:t>2424-2433</w:t>
                  </w:r>
                </w:p>
              </w:tc>
              <w:tc>
                <w:tcPr>
                  <w:tcW w:w="1321" w:type="dxa"/>
                  <w:tcBorders>
                    <w:top w:val="single" w:sz="2" w:space="0" w:color="000000"/>
                    <w:left w:val="single" w:sz="2" w:space="0" w:color="000000"/>
                    <w:bottom w:val="single" w:sz="2" w:space="0" w:color="000000"/>
                    <w:right w:val="single" w:sz="2" w:space="0" w:color="000000"/>
                  </w:tcBorders>
                </w:tcPr>
                <w:p w14:paraId="7E4F4ED7" w14:textId="77777777" w:rsidR="00053D93" w:rsidRDefault="00260B75">
                  <w:pPr>
                    <w:ind w:left="76"/>
                    <w:jc w:val="both"/>
                  </w:pPr>
                  <w:r>
                    <w:rPr>
                      <w:sz w:val="16"/>
                    </w:rPr>
                    <w:t>Flotador de pleme para natación</w:t>
                  </w:r>
                </w:p>
              </w:tc>
              <w:tc>
                <w:tcPr>
                  <w:tcW w:w="1400" w:type="dxa"/>
                  <w:tcBorders>
                    <w:top w:val="single" w:sz="2" w:space="0" w:color="000000"/>
                    <w:left w:val="single" w:sz="2" w:space="0" w:color="000000"/>
                    <w:bottom w:val="single" w:sz="2" w:space="0" w:color="000000"/>
                    <w:right w:val="single" w:sz="2" w:space="0" w:color="000000"/>
                  </w:tcBorders>
                </w:tcPr>
                <w:p w14:paraId="439083BE" w14:textId="77777777" w:rsidR="00053D93" w:rsidRDefault="00260B75">
                  <w:pPr>
                    <w:ind w:right="18"/>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1A1AF0C2" w14:textId="77777777" w:rsidR="00053D93" w:rsidRDefault="00260B75">
                  <w:pPr>
                    <w:ind w:right="10"/>
                    <w:jc w:val="center"/>
                  </w:pPr>
                  <w:r>
                    <w:rPr>
                      <w:rFonts w:ascii="Times New Roman" w:eastAsia="Times New Roman" w:hAnsi="Times New Roman" w:cs="Times New Roman"/>
                      <w:sz w:val="14"/>
                    </w:rPr>
                    <w:t>19109'2024</w:t>
                  </w:r>
                </w:p>
              </w:tc>
              <w:tc>
                <w:tcPr>
                  <w:tcW w:w="1092" w:type="dxa"/>
                  <w:tcBorders>
                    <w:top w:val="single" w:sz="2" w:space="0" w:color="000000"/>
                    <w:left w:val="single" w:sz="2" w:space="0" w:color="000000"/>
                    <w:bottom w:val="single" w:sz="2" w:space="0" w:color="000000"/>
                    <w:right w:val="single" w:sz="2" w:space="0" w:color="000000"/>
                  </w:tcBorders>
                </w:tcPr>
                <w:p w14:paraId="16930910" w14:textId="77777777" w:rsidR="00053D93" w:rsidRDefault="00260B75">
                  <w:pPr>
                    <w:ind w:right="32"/>
                    <w:jc w:val="center"/>
                  </w:pPr>
                  <w:r>
                    <w:rPr>
                      <w:rFonts w:ascii="Times New Roman" w:eastAsia="Times New Roman" w:hAnsi="Times New Roman" w:cs="Times New Roman"/>
                      <w:sz w:val="14"/>
                    </w:rPr>
                    <w:t>300</w:t>
                  </w:r>
                </w:p>
              </w:tc>
              <w:tc>
                <w:tcPr>
                  <w:tcW w:w="954" w:type="dxa"/>
                  <w:tcBorders>
                    <w:top w:val="single" w:sz="2" w:space="0" w:color="000000"/>
                    <w:left w:val="single" w:sz="2" w:space="0" w:color="000000"/>
                    <w:bottom w:val="single" w:sz="2" w:space="0" w:color="000000"/>
                    <w:right w:val="single" w:sz="2" w:space="0" w:color="000000"/>
                  </w:tcBorders>
                </w:tcPr>
                <w:p w14:paraId="21CF6256" w14:textId="77777777" w:rsidR="00053D93" w:rsidRDefault="00260B75">
                  <w:pPr>
                    <w:ind w:left="277"/>
                  </w:pPr>
                  <w:r>
                    <w:rPr>
                      <w:rFonts w:ascii="Times New Roman" w:eastAsia="Times New Roman" w:hAnsi="Times New Roman" w:cs="Times New Roman"/>
                      <w:sz w:val="16"/>
                    </w:rPr>
                    <w:t>34.350.00</w:t>
                  </w:r>
                </w:p>
              </w:tc>
            </w:tr>
            <w:tr w:rsidR="00053D93" w14:paraId="37F8DB64" w14:textId="77777777">
              <w:trPr>
                <w:trHeight w:val="377"/>
              </w:trPr>
              <w:tc>
                <w:tcPr>
                  <w:tcW w:w="285" w:type="dxa"/>
                  <w:tcBorders>
                    <w:top w:val="single" w:sz="2" w:space="0" w:color="000000"/>
                    <w:left w:val="single" w:sz="2" w:space="0" w:color="000000"/>
                    <w:bottom w:val="single" w:sz="2" w:space="0" w:color="000000"/>
                    <w:right w:val="single" w:sz="2" w:space="0" w:color="000000"/>
                  </w:tcBorders>
                </w:tcPr>
                <w:p w14:paraId="08528D13" w14:textId="77777777" w:rsidR="00053D93" w:rsidRDefault="00260B75">
                  <w:pPr>
                    <w:ind w:left="50"/>
                  </w:pPr>
                  <w:r>
                    <w:rPr>
                      <w:rFonts w:ascii="Times New Roman" w:eastAsia="Times New Roman" w:hAnsi="Times New Roman" w:cs="Times New Roman"/>
                      <w:sz w:val="14"/>
                    </w:rPr>
                    <w:t>4</w:t>
                  </w:r>
                </w:p>
              </w:tc>
              <w:tc>
                <w:tcPr>
                  <w:tcW w:w="892" w:type="dxa"/>
                  <w:gridSpan w:val="3"/>
                  <w:tcBorders>
                    <w:top w:val="single" w:sz="2" w:space="0" w:color="000000"/>
                    <w:left w:val="single" w:sz="2" w:space="0" w:color="000000"/>
                    <w:bottom w:val="single" w:sz="2" w:space="0" w:color="000000"/>
                    <w:right w:val="single" w:sz="2" w:space="0" w:color="000000"/>
                  </w:tcBorders>
                </w:tcPr>
                <w:p w14:paraId="61FACDFE" w14:textId="77777777" w:rsidR="00053D93" w:rsidRDefault="00260B75">
                  <w:pPr>
                    <w:ind w:right="22"/>
                    <w:jc w:val="center"/>
                  </w:pPr>
                  <w:r>
                    <w:rPr>
                      <w:rFonts w:ascii="Times New Roman" w:eastAsia="Times New Roman" w:hAnsi="Times New Roman" w:cs="Times New Roman"/>
                      <w:sz w:val="14"/>
                    </w:rPr>
                    <w:t>294025</w:t>
                  </w:r>
                </w:p>
              </w:tc>
              <w:tc>
                <w:tcPr>
                  <w:tcW w:w="1282" w:type="dxa"/>
                  <w:tcBorders>
                    <w:top w:val="single" w:sz="2" w:space="0" w:color="000000"/>
                    <w:left w:val="single" w:sz="2" w:space="0" w:color="000000"/>
                    <w:bottom w:val="single" w:sz="2" w:space="0" w:color="000000"/>
                    <w:right w:val="single" w:sz="2" w:space="0" w:color="000000"/>
                  </w:tcBorders>
                </w:tcPr>
                <w:p w14:paraId="6DBD7D09" w14:textId="77777777" w:rsidR="00053D93" w:rsidRDefault="00260B75">
                  <w:pPr>
                    <w:jc w:val="center"/>
                  </w:pPr>
                  <w:r>
                    <w:rPr>
                      <w:rFonts w:ascii="Times New Roman" w:eastAsia="Times New Roman" w:hAnsi="Times New Roman" w:cs="Times New Roman"/>
                      <w:sz w:val="14"/>
                    </w:rPr>
                    <w:t>2424-,2427</w:t>
                  </w:r>
                </w:p>
              </w:tc>
              <w:tc>
                <w:tcPr>
                  <w:tcW w:w="1321" w:type="dxa"/>
                  <w:tcBorders>
                    <w:top w:val="single" w:sz="2" w:space="0" w:color="000000"/>
                    <w:left w:val="single" w:sz="2" w:space="0" w:color="000000"/>
                    <w:bottom w:val="single" w:sz="2" w:space="0" w:color="000000"/>
                    <w:right w:val="single" w:sz="2" w:space="0" w:color="000000"/>
                  </w:tcBorders>
                </w:tcPr>
                <w:p w14:paraId="1972B477" w14:textId="77777777" w:rsidR="00053D93" w:rsidRDefault="00260B75">
                  <w:pPr>
                    <w:ind w:left="76" w:firstLine="7"/>
                  </w:pPr>
                  <w:r>
                    <w:rPr>
                      <w:sz w:val="16"/>
                    </w:rPr>
                    <w:t>Protector</w:t>
                  </w:r>
                  <w:r>
                    <w:rPr>
                      <w:sz w:val="16"/>
                    </w:rPr>
                    <w:tab/>
                    <w:t>de trampolín</w:t>
                  </w:r>
                </w:p>
              </w:tc>
              <w:tc>
                <w:tcPr>
                  <w:tcW w:w="1400" w:type="dxa"/>
                  <w:tcBorders>
                    <w:top w:val="single" w:sz="2" w:space="0" w:color="000000"/>
                    <w:left w:val="single" w:sz="2" w:space="0" w:color="000000"/>
                    <w:bottom w:val="single" w:sz="2" w:space="0" w:color="000000"/>
                    <w:right w:val="single" w:sz="2" w:space="0" w:color="000000"/>
                  </w:tcBorders>
                </w:tcPr>
                <w:p w14:paraId="6081E5D0" w14:textId="77777777" w:rsidR="00053D93" w:rsidRDefault="00260B75">
                  <w:pPr>
                    <w:ind w:right="4"/>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725A3952" w14:textId="77777777" w:rsidR="00053D93" w:rsidRDefault="00260B75">
                  <w:pPr>
                    <w:ind w:right="3"/>
                    <w:jc w:val="center"/>
                  </w:pPr>
                  <w:r>
                    <w:rPr>
                      <w:rFonts w:ascii="Times New Roman" w:eastAsia="Times New Roman" w:hAnsi="Times New Roman" w:cs="Times New Roman"/>
                      <w:sz w:val="14"/>
                    </w:rPr>
                    <w:t>12/08/2024</w:t>
                  </w:r>
                </w:p>
              </w:tc>
              <w:tc>
                <w:tcPr>
                  <w:tcW w:w="1092" w:type="dxa"/>
                  <w:tcBorders>
                    <w:top w:val="single" w:sz="2" w:space="0" w:color="000000"/>
                    <w:left w:val="single" w:sz="2" w:space="0" w:color="000000"/>
                    <w:bottom w:val="single" w:sz="2" w:space="0" w:color="000000"/>
                    <w:right w:val="single" w:sz="2" w:space="0" w:color="000000"/>
                  </w:tcBorders>
                </w:tcPr>
                <w:p w14:paraId="0A55FA0D" w14:textId="77777777" w:rsidR="00053D93" w:rsidRDefault="00053D93"/>
              </w:tc>
              <w:tc>
                <w:tcPr>
                  <w:tcW w:w="954" w:type="dxa"/>
                  <w:tcBorders>
                    <w:top w:val="single" w:sz="2" w:space="0" w:color="000000"/>
                    <w:left w:val="single" w:sz="2" w:space="0" w:color="000000"/>
                    <w:bottom w:val="single" w:sz="2" w:space="0" w:color="000000"/>
                    <w:right w:val="single" w:sz="2" w:space="0" w:color="000000"/>
                  </w:tcBorders>
                </w:tcPr>
                <w:p w14:paraId="1F66708F" w14:textId="77777777" w:rsidR="00053D93" w:rsidRDefault="00260B75">
                  <w:pPr>
                    <w:ind w:left="364"/>
                  </w:pPr>
                  <w:r>
                    <w:rPr>
                      <w:rFonts w:ascii="Times New Roman" w:eastAsia="Times New Roman" w:hAnsi="Times New Roman" w:cs="Times New Roman"/>
                      <w:sz w:val="14"/>
                    </w:rPr>
                    <w:t>11880,00</w:t>
                  </w:r>
                </w:p>
              </w:tc>
            </w:tr>
            <w:tr w:rsidR="00053D93" w14:paraId="2881BCBB" w14:textId="77777777">
              <w:trPr>
                <w:trHeight w:val="374"/>
              </w:trPr>
              <w:tc>
                <w:tcPr>
                  <w:tcW w:w="285" w:type="dxa"/>
                  <w:tcBorders>
                    <w:top w:val="single" w:sz="2" w:space="0" w:color="000000"/>
                    <w:left w:val="single" w:sz="2" w:space="0" w:color="000000"/>
                    <w:bottom w:val="single" w:sz="2" w:space="0" w:color="000000"/>
                    <w:right w:val="single" w:sz="2" w:space="0" w:color="000000"/>
                  </w:tcBorders>
                </w:tcPr>
                <w:p w14:paraId="61056311" w14:textId="77777777" w:rsidR="00053D93" w:rsidRDefault="00260B75">
                  <w:pPr>
                    <w:ind w:left="50"/>
                  </w:pPr>
                  <w:r>
                    <w:rPr>
                      <w:rFonts w:ascii="Times New Roman" w:eastAsia="Times New Roman" w:hAnsi="Times New Roman" w:cs="Times New Roman"/>
                      <w:sz w:val="16"/>
                    </w:rPr>
                    <w:t>5</w:t>
                  </w:r>
                </w:p>
              </w:tc>
              <w:tc>
                <w:tcPr>
                  <w:tcW w:w="892" w:type="dxa"/>
                  <w:gridSpan w:val="3"/>
                  <w:tcBorders>
                    <w:top w:val="single" w:sz="2" w:space="0" w:color="000000"/>
                    <w:left w:val="single" w:sz="2" w:space="0" w:color="000000"/>
                    <w:bottom w:val="single" w:sz="2" w:space="0" w:color="000000"/>
                    <w:right w:val="single" w:sz="2" w:space="0" w:color="000000"/>
                  </w:tcBorders>
                </w:tcPr>
                <w:p w14:paraId="26B677EA" w14:textId="77777777" w:rsidR="00053D93" w:rsidRDefault="00260B75">
                  <w:pPr>
                    <w:ind w:right="30"/>
                    <w:jc w:val="center"/>
                  </w:pPr>
                  <w:r>
                    <w:rPr>
                      <w:rFonts w:ascii="Times New Roman" w:eastAsia="Times New Roman" w:hAnsi="Times New Roman" w:cs="Times New Roman"/>
                      <w:sz w:val="14"/>
                    </w:rPr>
                    <w:t>211002</w:t>
                  </w:r>
                </w:p>
              </w:tc>
              <w:tc>
                <w:tcPr>
                  <w:tcW w:w="1282" w:type="dxa"/>
                  <w:tcBorders>
                    <w:top w:val="single" w:sz="2" w:space="0" w:color="000000"/>
                    <w:left w:val="single" w:sz="2" w:space="0" w:color="000000"/>
                    <w:bottom w:val="single" w:sz="2" w:space="0" w:color="000000"/>
                    <w:right w:val="single" w:sz="2" w:space="0" w:color="000000"/>
                  </w:tcBorders>
                </w:tcPr>
                <w:p w14:paraId="412325B2" w14:textId="77777777" w:rsidR="00053D93" w:rsidRDefault="00260B75">
                  <w:pPr>
                    <w:ind w:right="7"/>
                    <w:jc w:val="center"/>
                  </w:pPr>
                  <w:r>
                    <w:rPr>
                      <w:rFonts w:ascii="Times New Roman" w:eastAsia="Times New Roman" w:hAnsi="Times New Roman" w:cs="Times New Roman"/>
                      <w:sz w:val="14"/>
                    </w:rPr>
                    <w:t>2424-2333</w:t>
                  </w:r>
                </w:p>
              </w:tc>
              <w:tc>
                <w:tcPr>
                  <w:tcW w:w="1321" w:type="dxa"/>
                  <w:tcBorders>
                    <w:top w:val="single" w:sz="2" w:space="0" w:color="000000"/>
                    <w:left w:val="single" w:sz="2" w:space="0" w:color="000000"/>
                    <w:bottom w:val="single" w:sz="2" w:space="0" w:color="000000"/>
                    <w:right w:val="single" w:sz="2" w:space="0" w:color="000000"/>
                  </w:tcBorders>
                </w:tcPr>
                <w:p w14:paraId="7C6A07C2" w14:textId="77777777" w:rsidR="00053D93" w:rsidRDefault="00260B75">
                  <w:pPr>
                    <w:ind w:left="76"/>
                  </w:pPr>
                  <w:r>
                    <w:rPr>
                      <w:sz w:val="16"/>
                    </w:rPr>
                    <w:t>Jugos tetra pack</w:t>
                  </w:r>
                </w:p>
                <w:p w14:paraId="0AB8A57A" w14:textId="77777777" w:rsidR="00053D93" w:rsidRDefault="00260B75">
                  <w:pPr>
                    <w:ind w:left="83"/>
                  </w:pPr>
                  <w:r>
                    <w:rPr>
                      <w:rFonts w:ascii="Times New Roman" w:eastAsia="Times New Roman" w:hAnsi="Times New Roman" w:cs="Times New Roman"/>
                      <w:sz w:val="14"/>
                    </w:rPr>
                    <w:t>200 ml</w:t>
                  </w:r>
                </w:p>
              </w:tc>
              <w:tc>
                <w:tcPr>
                  <w:tcW w:w="1400" w:type="dxa"/>
                  <w:tcBorders>
                    <w:top w:val="single" w:sz="2" w:space="0" w:color="000000"/>
                    <w:left w:val="single" w:sz="2" w:space="0" w:color="000000"/>
                    <w:bottom w:val="single" w:sz="2" w:space="0" w:color="000000"/>
                    <w:right w:val="single" w:sz="2" w:space="0" w:color="000000"/>
                  </w:tcBorders>
                </w:tcPr>
                <w:p w14:paraId="68B0E081" w14:textId="77777777" w:rsidR="00053D93" w:rsidRDefault="00260B75">
                  <w:pPr>
                    <w:ind w:right="25"/>
                    <w:jc w:val="center"/>
                  </w:pPr>
                  <w:r>
                    <w:rPr>
                      <w:rFonts w:ascii="Times New Roman" w:eastAsia="Times New Roman" w:hAnsi="Times New Roman" w:cs="Times New Roman"/>
                      <w:sz w:val="14"/>
                    </w:rPr>
                    <w:t>211</w:t>
                  </w:r>
                </w:p>
              </w:tc>
              <w:tc>
                <w:tcPr>
                  <w:tcW w:w="1097" w:type="dxa"/>
                  <w:tcBorders>
                    <w:top w:val="single" w:sz="2" w:space="0" w:color="000000"/>
                    <w:left w:val="single" w:sz="2" w:space="0" w:color="000000"/>
                    <w:bottom w:val="single" w:sz="2" w:space="0" w:color="000000"/>
                    <w:right w:val="single" w:sz="2" w:space="0" w:color="000000"/>
                  </w:tcBorders>
                </w:tcPr>
                <w:p w14:paraId="64A1B4FD" w14:textId="77777777" w:rsidR="00053D93" w:rsidRDefault="00260B75">
                  <w:pPr>
                    <w:ind w:right="17"/>
                    <w:jc w:val="center"/>
                  </w:pPr>
                  <w:r>
                    <w:rPr>
                      <w:rFonts w:ascii="Times New Roman" w:eastAsia="Times New Roman" w:hAnsi="Times New Roman" w:cs="Times New Roman"/>
                      <w:sz w:val="14"/>
                    </w:rPr>
                    <w:t>23/06'2024</w:t>
                  </w:r>
                </w:p>
              </w:tc>
              <w:tc>
                <w:tcPr>
                  <w:tcW w:w="1092" w:type="dxa"/>
                  <w:tcBorders>
                    <w:top w:val="single" w:sz="2" w:space="0" w:color="000000"/>
                    <w:left w:val="single" w:sz="2" w:space="0" w:color="000000"/>
                    <w:bottom w:val="single" w:sz="2" w:space="0" w:color="000000"/>
                    <w:right w:val="single" w:sz="2" w:space="0" w:color="000000"/>
                  </w:tcBorders>
                </w:tcPr>
                <w:p w14:paraId="2AA93EFB" w14:textId="77777777" w:rsidR="00053D93" w:rsidRDefault="00053D93"/>
              </w:tc>
              <w:tc>
                <w:tcPr>
                  <w:tcW w:w="954" w:type="dxa"/>
                  <w:tcBorders>
                    <w:top w:val="single" w:sz="2" w:space="0" w:color="000000"/>
                    <w:left w:val="single" w:sz="2" w:space="0" w:color="000000"/>
                    <w:bottom w:val="single" w:sz="2" w:space="0" w:color="000000"/>
                    <w:right w:val="single" w:sz="2" w:space="0" w:color="000000"/>
                  </w:tcBorders>
                </w:tcPr>
                <w:p w14:paraId="39E1DA55" w14:textId="77777777" w:rsidR="00053D93" w:rsidRDefault="00260B75">
                  <w:pPr>
                    <w:ind w:left="284"/>
                  </w:pPr>
                  <w:r>
                    <w:rPr>
                      <w:rFonts w:ascii="Times New Roman" w:eastAsia="Times New Roman" w:hAnsi="Times New Roman" w:cs="Times New Roman"/>
                      <w:sz w:val="16"/>
                    </w:rPr>
                    <w:t>1 1.428.45</w:t>
                  </w:r>
                </w:p>
              </w:tc>
            </w:tr>
            <w:tr w:rsidR="00053D93" w14:paraId="0E3509A8" w14:textId="77777777">
              <w:trPr>
                <w:trHeight w:val="288"/>
              </w:trPr>
              <w:tc>
                <w:tcPr>
                  <w:tcW w:w="285" w:type="dxa"/>
                  <w:tcBorders>
                    <w:top w:val="single" w:sz="2" w:space="0" w:color="000000"/>
                    <w:left w:val="single" w:sz="2" w:space="0" w:color="000000"/>
                    <w:bottom w:val="single" w:sz="2" w:space="0" w:color="000000"/>
                    <w:right w:val="nil"/>
                  </w:tcBorders>
                </w:tcPr>
                <w:p w14:paraId="14322136" w14:textId="77777777" w:rsidR="00053D93" w:rsidRDefault="00053D93"/>
              </w:tc>
              <w:tc>
                <w:tcPr>
                  <w:tcW w:w="892" w:type="dxa"/>
                  <w:gridSpan w:val="3"/>
                  <w:tcBorders>
                    <w:top w:val="single" w:sz="2" w:space="0" w:color="000000"/>
                    <w:left w:val="nil"/>
                    <w:bottom w:val="single" w:sz="2" w:space="0" w:color="000000"/>
                    <w:right w:val="nil"/>
                  </w:tcBorders>
                </w:tcPr>
                <w:p w14:paraId="6230CED6" w14:textId="77777777" w:rsidR="00053D93" w:rsidRDefault="00053D93"/>
              </w:tc>
              <w:tc>
                <w:tcPr>
                  <w:tcW w:w="5100" w:type="dxa"/>
                  <w:gridSpan w:val="4"/>
                  <w:tcBorders>
                    <w:top w:val="single" w:sz="2" w:space="0" w:color="000000"/>
                    <w:left w:val="nil"/>
                    <w:bottom w:val="single" w:sz="2" w:space="0" w:color="000000"/>
                    <w:right w:val="nil"/>
                  </w:tcBorders>
                </w:tcPr>
                <w:p w14:paraId="057BC6C1" w14:textId="77777777" w:rsidR="00053D93" w:rsidRDefault="00260B75">
                  <w:pPr>
                    <w:ind w:left="990"/>
                  </w:pPr>
                  <w:r>
                    <w:rPr>
                      <w:sz w:val="16"/>
                    </w:rPr>
                    <w:t>Coordinación de Programas y Proyectos de educación Física</w:t>
                  </w:r>
                </w:p>
              </w:tc>
              <w:tc>
                <w:tcPr>
                  <w:tcW w:w="1092" w:type="dxa"/>
                  <w:tcBorders>
                    <w:top w:val="single" w:sz="2" w:space="0" w:color="000000"/>
                    <w:left w:val="nil"/>
                    <w:bottom w:val="single" w:sz="2" w:space="0" w:color="000000"/>
                    <w:right w:val="nil"/>
                  </w:tcBorders>
                </w:tcPr>
                <w:p w14:paraId="788499E0" w14:textId="77777777" w:rsidR="00053D93" w:rsidRDefault="00053D93"/>
              </w:tc>
              <w:tc>
                <w:tcPr>
                  <w:tcW w:w="954" w:type="dxa"/>
                  <w:tcBorders>
                    <w:top w:val="single" w:sz="2" w:space="0" w:color="000000"/>
                    <w:left w:val="nil"/>
                    <w:bottom w:val="single" w:sz="2" w:space="0" w:color="000000"/>
                    <w:right w:val="single" w:sz="2" w:space="0" w:color="000000"/>
                  </w:tcBorders>
                </w:tcPr>
                <w:p w14:paraId="12101652" w14:textId="77777777" w:rsidR="00053D93" w:rsidRDefault="00053D93"/>
              </w:tc>
            </w:tr>
            <w:tr w:rsidR="00053D93" w14:paraId="618B6090" w14:textId="77777777">
              <w:trPr>
                <w:trHeight w:val="367"/>
              </w:trPr>
              <w:tc>
                <w:tcPr>
                  <w:tcW w:w="285" w:type="dxa"/>
                  <w:tcBorders>
                    <w:top w:val="single" w:sz="2" w:space="0" w:color="000000"/>
                    <w:left w:val="single" w:sz="2" w:space="0" w:color="000000"/>
                    <w:bottom w:val="single" w:sz="2" w:space="0" w:color="000000"/>
                    <w:right w:val="single" w:sz="2" w:space="0" w:color="000000"/>
                  </w:tcBorders>
                </w:tcPr>
                <w:p w14:paraId="23C0188C" w14:textId="77777777" w:rsidR="00053D93" w:rsidRDefault="00260B75">
                  <w:pPr>
                    <w:ind w:left="50"/>
                  </w:pPr>
                  <w:r>
                    <w:rPr>
                      <w:rFonts w:ascii="Times New Roman" w:eastAsia="Times New Roman" w:hAnsi="Times New Roman" w:cs="Times New Roman"/>
                      <w:sz w:val="16"/>
                    </w:rPr>
                    <w:t>6</w:t>
                  </w:r>
                </w:p>
              </w:tc>
              <w:tc>
                <w:tcPr>
                  <w:tcW w:w="892" w:type="dxa"/>
                  <w:gridSpan w:val="3"/>
                  <w:tcBorders>
                    <w:top w:val="single" w:sz="2" w:space="0" w:color="000000"/>
                    <w:left w:val="single" w:sz="2" w:space="0" w:color="000000"/>
                    <w:bottom w:val="single" w:sz="2" w:space="0" w:color="000000"/>
                    <w:right w:val="single" w:sz="2" w:space="0" w:color="000000"/>
                  </w:tcBorders>
                </w:tcPr>
                <w:p w14:paraId="1B7A7446" w14:textId="77777777" w:rsidR="00053D93" w:rsidRDefault="00260B75">
                  <w:pPr>
                    <w:ind w:right="37"/>
                    <w:jc w:val="center"/>
                  </w:pPr>
                  <w:r>
                    <w:rPr>
                      <w:rFonts w:ascii="Times New Roman" w:eastAsia="Times New Roman" w:hAnsi="Times New Roman" w:cs="Times New Roman"/>
                      <w:sz w:val="14"/>
                    </w:rPr>
                    <w:t>294028</w:t>
                  </w:r>
                </w:p>
              </w:tc>
              <w:tc>
                <w:tcPr>
                  <w:tcW w:w="1282" w:type="dxa"/>
                  <w:tcBorders>
                    <w:top w:val="single" w:sz="2" w:space="0" w:color="000000"/>
                    <w:left w:val="single" w:sz="2" w:space="0" w:color="000000"/>
                    <w:bottom w:val="single" w:sz="2" w:space="0" w:color="000000"/>
                    <w:right w:val="single" w:sz="2" w:space="0" w:color="000000"/>
                  </w:tcBorders>
                </w:tcPr>
                <w:p w14:paraId="43CB6ADC" w14:textId="77777777" w:rsidR="00053D93" w:rsidRDefault="00260B75">
                  <w:pPr>
                    <w:ind w:right="7"/>
                    <w:jc w:val="center"/>
                  </w:pPr>
                  <w:r>
                    <w:rPr>
                      <w:rFonts w:ascii="Times New Roman" w:eastAsia="Times New Roman" w:hAnsi="Times New Roman" w:cs="Times New Roman"/>
                      <w:sz w:val="14"/>
                    </w:rPr>
                    <w:t>2424-5379</w:t>
                  </w:r>
                </w:p>
              </w:tc>
              <w:tc>
                <w:tcPr>
                  <w:tcW w:w="1321" w:type="dxa"/>
                  <w:tcBorders>
                    <w:top w:val="single" w:sz="2" w:space="0" w:color="000000"/>
                    <w:left w:val="single" w:sz="2" w:space="0" w:color="000000"/>
                    <w:bottom w:val="single" w:sz="2" w:space="0" w:color="000000"/>
                    <w:right w:val="single" w:sz="2" w:space="0" w:color="000000"/>
                  </w:tcBorders>
                </w:tcPr>
                <w:p w14:paraId="6DCF540F" w14:textId="77777777" w:rsidR="00053D93" w:rsidRDefault="00260B75">
                  <w:pPr>
                    <w:ind w:left="83"/>
                  </w:pPr>
                  <w:r>
                    <w:rPr>
                      <w:sz w:val="16"/>
                    </w:rPr>
                    <w:t>Pelota de futbol sala</w:t>
                  </w:r>
                </w:p>
              </w:tc>
              <w:tc>
                <w:tcPr>
                  <w:tcW w:w="1400" w:type="dxa"/>
                  <w:tcBorders>
                    <w:top w:val="single" w:sz="2" w:space="0" w:color="000000"/>
                    <w:left w:val="single" w:sz="2" w:space="0" w:color="000000"/>
                    <w:bottom w:val="single" w:sz="2" w:space="0" w:color="000000"/>
                    <w:right w:val="single" w:sz="2" w:space="0" w:color="000000"/>
                  </w:tcBorders>
                </w:tcPr>
                <w:p w14:paraId="45D8B0FF" w14:textId="77777777" w:rsidR="00053D93" w:rsidRDefault="00260B75">
                  <w:pPr>
                    <w:ind w:right="11"/>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250AEFB2" w14:textId="77777777" w:rsidR="00053D93" w:rsidRDefault="00260B75">
                  <w:pPr>
                    <w:ind w:right="3"/>
                    <w:jc w:val="center"/>
                  </w:pPr>
                  <w:r>
                    <w:rPr>
                      <w:rFonts w:ascii="Times New Roman" w:eastAsia="Times New Roman" w:hAnsi="Times New Roman" w:cs="Times New Roman"/>
                      <w:sz w:val="14"/>
                    </w:rPr>
                    <w:t>14'0812024</w:t>
                  </w:r>
                </w:p>
              </w:tc>
              <w:tc>
                <w:tcPr>
                  <w:tcW w:w="1092" w:type="dxa"/>
                  <w:tcBorders>
                    <w:top w:val="single" w:sz="2" w:space="0" w:color="000000"/>
                    <w:left w:val="single" w:sz="2" w:space="0" w:color="000000"/>
                    <w:bottom w:val="single" w:sz="2" w:space="0" w:color="000000"/>
                    <w:right w:val="single" w:sz="2" w:space="0" w:color="000000"/>
                  </w:tcBorders>
                </w:tcPr>
                <w:p w14:paraId="2F9A36F6" w14:textId="77777777" w:rsidR="00053D93" w:rsidRDefault="00260B75">
                  <w:pPr>
                    <w:ind w:right="17"/>
                    <w:jc w:val="center"/>
                  </w:pPr>
                  <w:r>
                    <w:rPr>
                      <w:rFonts w:ascii="Times New Roman" w:eastAsia="Times New Roman" w:hAnsi="Times New Roman" w:cs="Times New Roman"/>
                      <w:sz w:val="14"/>
                    </w:rPr>
                    <w:t>50</w:t>
                  </w:r>
                </w:p>
              </w:tc>
              <w:tc>
                <w:tcPr>
                  <w:tcW w:w="954" w:type="dxa"/>
                  <w:tcBorders>
                    <w:top w:val="single" w:sz="2" w:space="0" w:color="000000"/>
                    <w:left w:val="single" w:sz="2" w:space="0" w:color="000000"/>
                    <w:bottom w:val="single" w:sz="2" w:space="0" w:color="000000"/>
                    <w:right w:val="single" w:sz="2" w:space="0" w:color="000000"/>
                  </w:tcBorders>
                </w:tcPr>
                <w:p w14:paraId="4A3B5727" w14:textId="77777777" w:rsidR="00053D93" w:rsidRDefault="00260B75">
                  <w:pPr>
                    <w:ind w:left="349"/>
                  </w:pPr>
                  <w:r>
                    <w:rPr>
                      <w:sz w:val="14"/>
                    </w:rPr>
                    <w:t>7,250.oo</w:t>
                  </w:r>
                </w:p>
              </w:tc>
            </w:tr>
            <w:tr w:rsidR="00053D93" w14:paraId="773115C0" w14:textId="77777777">
              <w:trPr>
                <w:trHeight w:val="281"/>
              </w:trPr>
              <w:tc>
                <w:tcPr>
                  <w:tcW w:w="285" w:type="dxa"/>
                  <w:tcBorders>
                    <w:top w:val="single" w:sz="2" w:space="0" w:color="000000"/>
                    <w:left w:val="single" w:sz="2" w:space="0" w:color="000000"/>
                    <w:bottom w:val="single" w:sz="2" w:space="0" w:color="000000"/>
                    <w:right w:val="nil"/>
                  </w:tcBorders>
                </w:tcPr>
                <w:p w14:paraId="3B0455A5" w14:textId="77777777" w:rsidR="00053D93" w:rsidRDefault="00053D93"/>
              </w:tc>
              <w:tc>
                <w:tcPr>
                  <w:tcW w:w="892" w:type="dxa"/>
                  <w:gridSpan w:val="3"/>
                  <w:tcBorders>
                    <w:top w:val="single" w:sz="2" w:space="0" w:color="000000"/>
                    <w:left w:val="nil"/>
                    <w:bottom w:val="single" w:sz="2" w:space="0" w:color="000000"/>
                    <w:right w:val="nil"/>
                  </w:tcBorders>
                </w:tcPr>
                <w:p w14:paraId="305672E9" w14:textId="77777777" w:rsidR="00053D93" w:rsidRDefault="00053D93"/>
              </w:tc>
              <w:tc>
                <w:tcPr>
                  <w:tcW w:w="5100" w:type="dxa"/>
                  <w:gridSpan w:val="4"/>
                  <w:tcBorders>
                    <w:top w:val="single" w:sz="2" w:space="0" w:color="000000"/>
                    <w:left w:val="nil"/>
                    <w:bottom w:val="single" w:sz="2" w:space="0" w:color="000000"/>
                    <w:right w:val="nil"/>
                  </w:tcBorders>
                </w:tcPr>
                <w:p w14:paraId="7F83118F" w14:textId="77777777" w:rsidR="00053D93" w:rsidRDefault="00260B75">
                  <w:pPr>
                    <w:ind w:left="1098"/>
                  </w:pPr>
                  <w:r>
                    <w:rPr>
                      <w:sz w:val="16"/>
                    </w:rPr>
                    <w:t>Departamento de Escuelas Normales de Educación Física</w:t>
                  </w:r>
                </w:p>
              </w:tc>
              <w:tc>
                <w:tcPr>
                  <w:tcW w:w="1092" w:type="dxa"/>
                  <w:tcBorders>
                    <w:top w:val="single" w:sz="2" w:space="0" w:color="000000"/>
                    <w:left w:val="nil"/>
                    <w:bottom w:val="single" w:sz="2" w:space="0" w:color="000000"/>
                    <w:right w:val="nil"/>
                  </w:tcBorders>
                </w:tcPr>
                <w:p w14:paraId="62458EA3" w14:textId="77777777" w:rsidR="00053D93" w:rsidRDefault="00053D93"/>
              </w:tc>
              <w:tc>
                <w:tcPr>
                  <w:tcW w:w="954" w:type="dxa"/>
                  <w:tcBorders>
                    <w:top w:val="single" w:sz="2" w:space="0" w:color="000000"/>
                    <w:left w:val="nil"/>
                    <w:bottom w:val="single" w:sz="2" w:space="0" w:color="000000"/>
                    <w:right w:val="single" w:sz="2" w:space="0" w:color="000000"/>
                  </w:tcBorders>
                </w:tcPr>
                <w:p w14:paraId="217DEE70" w14:textId="77777777" w:rsidR="00053D93" w:rsidRDefault="00053D93"/>
              </w:tc>
            </w:tr>
            <w:tr w:rsidR="00053D93" w14:paraId="25FF95EE" w14:textId="77777777">
              <w:trPr>
                <w:trHeight w:val="554"/>
              </w:trPr>
              <w:tc>
                <w:tcPr>
                  <w:tcW w:w="285" w:type="dxa"/>
                  <w:tcBorders>
                    <w:top w:val="single" w:sz="2" w:space="0" w:color="000000"/>
                    <w:left w:val="single" w:sz="2" w:space="0" w:color="000000"/>
                    <w:bottom w:val="single" w:sz="2" w:space="0" w:color="000000"/>
                    <w:right w:val="single" w:sz="2" w:space="0" w:color="000000"/>
                  </w:tcBorders>
                </w:tcPr>
                <w:p w14:paraId="311C6980" w14:textId="77777777" w:rsidR="00053D93" w:rsidRDefault="00260B75">
                  <w:pPr>
                    <w:ind w:left="43"/>
                  </w:pPr>
                  <w:r>
                    <w:rPr>
                      <w:rFonts w:ascii="Times New Roman" w:eastAsia="Times New Roman" w:hAnsi="Times New Roman" w:cs="Times New Roman"/>
                      <w:sz w:val="18"/>
                    </w:rPr>
                    <w:t>7</w:t>
                  </w:r>
                </w:p>
              </w:tc>
              <w:tc>
                <w:tcPr>
                  <w:tcW w:w="892" w:type="dxa"/>
                  <w:gridSpan w:val="3"/>
                  <w:tcBorders>
                    <w:top w:val="single" w:sz="2" w:space="0" w:color="000000"/>
                    <w:left w:val="single" w:sz="2" w:space="0" w:color="000000"/>
                    <w:bottom w:val="single" w:sz="2" w:space="0" w:color="000000"/>
                    <w:right w:val="single" w:sz="2" w:space="0" w:color="000000"/>
                  </w:tcBorders>
                </w:tcPr>
                <w:p w14:paraId="2A082BFE" w14:textId="77777777" w:rsidR="00053D93" w:rsidRDefault="00260B75">
                  <w:pPr>
                    <w:ind w:right="51"/>
                    <w:jc w:val="center"/>
                  </w:pPr>
                  <w:r>
                    <w:rPr>
                      <w:rFonts w:ascii="Times New Roman" w:eastAsia="Times New Roman" w:hAnsi="Times New Roman" w:cs="Times New Roman"/>
                      <w:sz w:val="14"/>
                    </w:rPr>
                    <w:t>223001</w:t>
                  </w:r>
                </w:p>
              </w:tc>
              <w:tc>
                <w:tcPr>
                  <w:tcW w:w="1282" w:type="dxa"/>
                  <w:tcBorders>
                    <w:top w:val="single" w:sz="2" w:space="0" w:color="000000"/>
                    <w:left w:val="single" w:sz="2" w:space="0" w:color="000000"/>
                    <w:bottom w:val="single" w:sz="2" w:space="0" w:color="000000"/>
                    <w:right w:val="single" w:sz="2" w:space="0" w:color="000000"/>
                  </w:tcBorders>
                </w:tcPr>
                <w:p w14:paraId="168C769C" w14:textId="77777777" w:rsidR="00053D93" w:rsidRDefault="00260B75">
                  <w:pPr>
                    <w:ind w:right="7"/>
                    <w:jc w:val="center"/>
                  </w:pPr>
                  <w:r>
                    <w:rPr>
                      <w:rFonts w:ascii="Times New Roman" w:eastAsia="Times New Roman" w:hAnsi="Times New Roman" w:cs="Times New Roman"/>
                      <w:sz w:val="14"/>
                    </w:rPr>
                    <w:t>2024-17205</w:t>
                  </w:r>
                </w:p>
              </w:tc>
              <w:tc>
                <w:tcPr>
                  <w:tcW w:w="1321" w:type="dxa"/>
                  <w:tcBorders>
                    <w:top w:val="single" w:sz="2" w:space="0" w:color="000000"/>
                    <w:left w:val="single" w:sz="2" w:space="0" w:color="000000"/>
                    <w:bottom w:val="single" w:sz="2" w:space="0" w:color="000000"/>
                    <w:right w:val="single" w:sz="2" w:space="0" w:color="000000"/>
                  </w:tcBorders>
                  <w:vAlign w:val="center"/>
                </w:tcPr>
                <w:p w14:paraId="25AEEF27" w14:textId="77777777" w:rsidR="00053D93" w:rsidRDefault="00260B75">
                  <w:pPr>
                    <w:ind w:left="76"/>
                  </w:pPr>
                  <w:r>
                    <w:rPr>
                      <w:sz w:val="14"/>
                    </w:rPr>
                    <w:t>granulometría tipo</w:t>
                  </w:r>
                </w:p>
              </w:tc>
              <w:tc>
                <w:tcPr>
                  <w:tcW w:w="1400" w:type="dxa"/>
                  <w:tcBorders>
                    <w:top w:val="single" w:sz="2" w:space="0" w:color="000000"/>
                    <w:left w:val="single" w:sz="2" w:space="0" w:color="000000"/>
                    <w:bottom w:val="single" w:sz="2" w:space="0" w:color="000000"/>
                    <w:right w:val="single" w:sz="2" w:space="0" w:color="000000"/>
                  </w:tcBorders>
                </w:tcPr>
                <w:p w14:paraId="431972A6" w14:textId="77777777" w:rsidR="00053D93" w:rsidRDefault="00260B75">
                  <w:pPr>
                    <w:ind w:right="11"/>
                    <w:jc w:val="center"/>
                  </w:pPr>
                  <w:r>
                    <w:rPr>
                      <w:rFonts w:ascii="Times New Roman" w:eastAsia="Times New Roman" w:hAnsi="Times New Roman" w:cs="Times New Roman"/>
                      <w:sz w:val="14"/>
                    </w:rPr>
                    <w:t>223</w:t>
                  </w:r>
                </w:p>
              </w:tc>
              <w:tc>
                <w:tcPr>
                  <w:tcW w:w="1097" w:type="dxa"/>
                  <w:tcBorders>
                    <w:top w:val="single" w:sz="2" w:space="0" w:color="000000"/>
                    <w:left w:val="single" w:sz="2" w:space="0" w:color="000000"/>
                    <w:bottom w:val="single" w:sz="2" w:space="0" w:color="000000"/>
                    <w:right w:val="single" w:sz="2" w:space="0" w:color="000000"/>
                  </w:tcBorders>
                </w:tcPr>
                <w:p w14:paraId="42502F15" w14:textId="77777777" w:rsidR="00053D93" w:rsidRDefault="00260B75">
                  <w:pPr>
                    <w:ind w:right="10"/>
                    <w:jc w:val="center"/>
                  </w:pPr>
                  <w:r>
                    <w:rPr>
                      <w:rFonts w:ascii="Times New Roman" w:eastAsia="Times New Roman" w:hAnsi="Times New Roman" w:cs="Times New Roman"/>
                      <w:sz w:val="14"/>
                    </w:rPr>
                    <w:t>31/07/2024</w:t>
                  </w:r>
                </w:p>
              </w:tc>
              <w:tc>
                <w:tcPr>
                  <w:tcW w:w="1092" w:type="dxa"/>
                  <w:tcBorders>
                    <w:top w:val="single" w:sz="2" w:space="0" w:color="000000"/>
                    <w:left w:val="single" w:sz="2" w:space="0" w:color="000000"/>
                    <w:bottom w:val="single" w:sz="2" w:space="0" w:color="000000"/>
                    <w:right w:val="single" w:sz="2" w:space="0" w:color="000000"/>
                  </w:tcBorders>
                </w:tcPr>
                <w:p w14:paraId="192B1E3C" w14:textId="77777777" w:rsidR="00053D93" w:rsidRDefault="00260B75">
                  <w:pPr>
                    <w:ind w:right="17"/>
                    <w:jc w:val="center"/>
                  </w:pPr>
                  <w:r>
                    <w:rPr>
                      <w:rFonts w:ascii="Times New Roman" w:eastAsia="Times New Roman" w:hAnsi="Times New Roman" w:cs="Times New Roman"/>
                      <w:sz w:val="14"/>
                    </w:rPr>
                    <w:t>2</w:t>
                  </w:r>
                </w:p>
              </w:tc>
              <w:tc>
                <w:tcPr>
                  <w:tcW w:w="954" w:type="dxa"/>
                  <w:tcBorders>
                    <w:top w:val="single" w:sz="2" w:space="0" w:color="000000"/>
                    <w:left w:val="single" w:sz="2" w:space="0" w:color="000000"/>
                    <w:bottom w:val="single" w:sz="2" w:space="0" w:color="000000"/>
                    <w:right w:val="single" w:sz="2" w:space="0" w:color="000000"/>
                  </w:tcBorders>
                </w:tcPr>
                <w:p w14:paraId="2633A2F7" w14:textId="77777777" w:rsidR="00053D93" w:rsidRDefault="00260B75">
                  <w:pPr>
                    <w:ind w:left="356"/>
                  </w:pPr>
                  <w:r>
                    <w:rPr>
                      <w:rFonts w:ascii="Times New Roman" w:eastAsia="Times New Roman" w:hAnsi="Times New Roman" w:cs="Times New Roman"/>
                      <w:sz w:val="16"/>
                    </w:rPr>
                    <w:t>8.624.00</w:t>
                  </w:r>
                </w:p>
              </w:tc>
            </w:tr>
            <w:tr w:rsidR="00053D93" w14:paraId="3F40E560" w14:textId="77777777">
              <w:trPr>
                <w:trHeight w:val="374"/>
              </w:trPr>
              <w:tc>
                <w:tcPr>
                  <w:tcW w:w="285" w:type="dxa"/>
                  <w:tcBorders>
                    <w:top w:val="single" w:sz="2" w:space="0" w:color="000000"/>
                    <w:left w:val="single" w:sz="2" w:space="0" w:color="000000"/>
                    <w:bottom w:val="single" w:sz="2" w:space="0" w:color="000000"/>
                    <w:right w:val="single" w:sz="2" w:space="0" w:color="000000"/>
                  </w:tcBorders>
                </w:tcPr>
                <w:p w14:paraId="592787C7" w14:textId="77777777" w:rsidR="00053D93" w:rsidRDefault="00260B75">
                  <w:pPr>
                    <w:ind w:left="58"/>
                  </w:pPr>
                  <w:r>
                    <w:rPr>
                      <w:rFonts w:ascii="Times New Roman" w:eastAsia="Times New Roman" w:hAnsi="Times New Roman" w:cs="Times New Roman"/>
                      <w:sz w:val="16"/>
                    </w:rPr>
                    <w:t>8</w:t>
                  </w:r>
                </w:p>
              </w:tc>
              <w:tc>
                <w:tcPr>
                  <w:tcW w:w="892" w:type="dxa"/>
                  <w:gridSpan w:val="3"/>
                  <w:tcBorders>
                    <w:top w:val="single" w:sz="2" w:space="0" w:color="000000"/>
                    <w:left w:val="single" w:sz="2" w:space="0" w:color="000000"/>
                    <w:bottom w:val="single" w:sz="2" w:space="0" w:color="000000"/>
                    <w:right w:val="single" w:sz="2" w:space="0" w:color="000000"/>
                  </w:tcBorders>
                </w:tcPr>
                <w:p w14:paraId="5C90BF99" w14:textId="77777777" w:rsidR="00053D93" w:rsidRDefault="00260B75">
                  <w:pPr>
                    <w:ind w:right="22"/>
                    <w:jc w:val="center"/>
                  </w:pPr>
                  <w:r>
                    <w:rPr>
                      <w:rFonts w:ascii="Times New Roman" w:eastAsia="Times New Roman" w:hAnsi="Times New Roman" w:cs="Times New Roman"/>
                      <w:sz w:val="14"/>
                    </w:rPr>
                    <w:t>294042</w:t>
                  </w:r>
                </w:p>
              </w:tc>
              <w:tc>
                <w:tcPr>
                  <w:tcW w:w="1282" w:type="dxa"/>
                  <w:tcBorders>
                    <w:top w:val="single" w:sz="2" w:space="0" w:color="000000"/>
                    <w:left w:val="single" w:sz="2" w:space="0" w:color="000000"/>
                    <w:bottom w:val="single" w:sz="2" w:space="0" w:color="000000"/>
                    <w:right w:val="single" w:sz="2" w:space="0" w:color="000000"/>
                  </w:tcBorders>
                </w:tcPr>
                <w:p w14:paraId="38133669" w14:textId="77777777" w:rsidR="00053D93" w:rsidRDefault="00260B75">
                  <w:pPr>
                    <w:ind w:right="14"/>
                    <w:jc w:val="center"/>
                  </w:pPr>
                  <w:r>
                    <w:rPr>
                      <w:rFonts w:ascii="Times New Roman" w:eastAsia="Times New Roman" w:hAnsi="Times New Roman" w:cs="Times New Roman"/>
                      <w:sz w:val="14"/>
                    </w:rPr>
                    <w:t>2024-,2161</w:t>
                  </w:r>
                </w:p>
              </w:tc>
              <w:tc>
                <w:tcPr>
                  <w:tcW w:w="1321" w:type="dxa"/>
                  <w:tcBorders>
                    <w:top w:val="single" w:sz="2" w:space="0" w:color="000000"/>
                    <w:left w:val="single" w:sz="2" w:space="0" w:color="000000"/>
                    <w:bottom w:val="single" w:sz="2" w:space="0" w:color="000000"/>
                    <w:right w:val="single" w:sz="2" w:space="0" w:color="000000"/>
                  </w:tcBorders>
                </w:tcPr>
                <w:p w14:paraId="541B2E37" w14:textId="77777777" w:rsidR="00053D93" w:rsidRDefault="00260B75">
                  <w:pPr>
                    <w:ind w:left="76" w:firstLine="7"/>
                  </w:pPr>
                  <w:r>
                    <w:rPr>
                      <w:sz w:val="18"/>
                    </w:rPr>
                    <w:t>Escalera</w:t>
                  </w:r>
                  <w:r>
                    <w:rPr>
                      <w:sz w:val="18"/>
                    </w:rPr>
                    <w:tab/>
                    <w:t>de agilidad</w:t>
                  </w:r>
                </w:p>
              </w:tc>
              <w:tc>
                <w:tcPr>
                  <w:tcW w:w="1400" w:type="dxa"/>
                  <w:tcBorders>
                    <w:top w:val="single" w:sz="2" w:space="0" w:color="000000"/>
                    <w:left w:val="single" w:sz="2" w:space="0" w:color="000000"/>
                    <w:bottom w:val="single" w:sz="2" w:space="0" w:color="000000"/>
                    <w:right w:val="single" w:sz="2" w:space="0" w:color="000000"/>
                  </w:tcBorders>
                </w:tcPr>
                <w:p w14:paraId="31C8C62E" w14:textId="77777777" w:rsidR="00053D93" w:rsidRDefault="00260B75">
                  <w:pPr>
                    <w:ind w:right="11"/>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7E679026" w14:textId="77777777" w:rsidR="00053D93" w:rsidRDefault="00260B75">
                  <w:pPr>
                    <w:ind w:left="5"/>
                    <w:jc w:val="center"/>
                  </w:pPr>
                  <w:r>
                    <w:rPr>
                      <w:rFonts w:ascii="Times New Roman" w:eastAsia="Times New Roman" w:hAnsi="Times New Roman" w:cs="Times New Roman"/>
                      <w:sz w:val="14"/>
                    </w:rPr>
                    <w:t>16/0812024</w:t>
                  </w:r>
                </w:p>
              </w:tc>
              <w:tc>
                <w:tcPr>
                  <w:tcW w:w="1092" w:type="dxa"/>
                  <w:tcBorders>
                    <w:top w:val="single" w:sz="2" w:space="0" w:color="000000"/>
                    <w:left w:val="single" w:sz="2" w:space="0" w:color="000000"/>
                    <w:bottom w:val="single" w:sz="2" w:space="0" w:color="000000"/>
                    <w:right w:val="single" w:sz="2" w:space="0" w:color="000000"/>
                  </w:tcBorders>
                </w:tcPr>
                <w:p w14:paraId="6611FFE8" w14:textId="77777777" w:rsidR="00053D93" w:rsidRDefault="00260B75">
                  <w:pPr>
                    <w:ind w:right="24"/>
                    <w:jc w:val="center"/>
                  </w:pPr>
                  <w:r>
                    <w:rPr>
                      <w:rFonts w:ascii="Times New Roman" w:eastAsia="Times New Roman" w:hAnsi="Times New Roman" w:cs="Times New Roman"/>
                      <w:sz w:val="14"/>
                    </w:rPr>
                    <w:t>400</w:t>
                  </w:r>
                </w:p>
              </w:tc>
              <w:tc>
                <w:tcPr>
                  <w:tcW w:w="954" w:type="dxa"/>
                  <w:tcBorders>
                    <w:top w:val="single" w:sz="2" w:space="0" w:color="000000"/>
                    <w:left w:val="single" w:sz="2" w:space="0" w:color="000000"/>
                    <w:bottom w:val="single" w:sz="2" w:space="0" w:color="000000"/>
                    <w:right w:val="single" w:sz="2" w:space="0" w:color="000000"/>
                  </w:tcBorders>
                </w:tcPr>
                <w:p w14:paraId="5B935C18" w14:textId="77777777" w:rsidR="00053D93" w:rsidRDefault="00260B75">
                  <w:pPr>
                    <w:ind w:left="284"/>
                  </w:pPr>
                  <w:r>
                    <w:rPr>
                      <w:sz w:val="14"/>
                    </w:rPr>
                    <w:t>33,100.oo</w:t>
                  </w:r>
                </w:p>
              </w:tc>
            </w:tr>
            <w:tr w:rsidR="00053D93" w14:paraId="50EEAC28" w14:textId="77777777">
              <w:trPr>
                <w:trHeight w:val="288"/>
              </w:trPr>
              <w:tc>
                <w:tcPr>
                  <w:tcW w:w="285" w:type="dxa"/>
                  <w:tcBorders>
                    <w:top w:val="single" w:sz="2" w:space="0" w:color="000000"/>
                    <w:left w:val="single" w:sz="2" w:space="0" w:color="000000"/>
                    <w:bottom w:val="single" w:sz="2" w:space="0" w:color="000000"/>
                    <w:right w:val="nil"/>
                  </w:tcBorders>
                </w:tcPr>
                <w:p w14:paraId="37AC79DA" w14:textId="77777777" w:rsidR="00053D93" w:rsidRDefault="00053D93"/>
              </w:tc>
              <w:tc>
                <w:tcPr>
                  <w:tcW w:w="892" w:type="dxa"/>
                  <w:gridSpan w:val="3"/>
                  <w:tcBorders>
                    <w:top w:val="single" w:sz="2" w:space="0" w:color="000000"/>
                    <w:left w:val="nil"/>
                    <w:bottom w:val="single" w:sz="2" w:space="0" w:color="000000"/>
                    <w:right w:val="nil"/>
                  </w:tcBorders>
                </w:tcPr>
                <w:p w14:paraId="6ECB8233" w14:textId="77777777" w:rsidR="00053D93" w:rsidRDefault="00053D93"/>
              </w:tc>
              <w:tc>
                <w:tcPr>
                  <w:tcW w:w="5100" w:type="dxa"/>
                  <w:gridSpan w:val="4"/>
                  <w:tcBorders>
                    <w:top w:val="single" w:sz="2" w:space="0" w:color="000000"/>
                    <w:left w:val="nil"/>
                    <w:bottom w:val="single" w:sz="2" w:space="0" w:color="000000"/>
                    <w:right w:val="nil"/>
                  </w:tcBorders>
                </w:tcPr>
                <w:p w14:paraId="104ECED9" w14:textId="77777777" w:rsidR="00053D93" w:rsidRDefault="00260B75">
                  <w:pPr>
                    <w:ind w:left="1408"/>
                  </w:pPr>
                  <w:r>
                    <w:rPr>
                      <w:sz w:val="16"/>
                    </w:rPr>
                    <w:t>Departamento de Tomeos Deportivos Escotares</w:t>
                  </w:r>
                </w:p>
              </w:tc>
              <w:tc>
                <w:tcPr>
                  <w:tcW w:w="1092" w:type="dxa"/>
                  <w:tcBorders>
                    <w:top w:val="single" w:sz="2" w:space="0" w:color="000000"/>
                    <w:left w:val="nil"/>
                    <w:bottom w:val="single" w:sz="2" w:space="0" w:color="000000"/>
                    <w:right w:val="nil"/>
                  </w:tcBorders>
                </w:tcPr>
                <w:p w14:paraId="3A621919" w14:textId="77777777" w:rsidR="00053D93" w:rsidRDefault="00053D93"/>
              </w:tc>
              <w:tc>
                <w:tcPr>
                  <w:tcW w:w="954" w:type="dxa"/>
                  <w:tcBorders>
                    <w:top w:val="single" w:sz="2" w:space="0" w:color="000000"/>
                    <w:left w:val="nil"/>
                    <w:bottom w:val="single" w:sz="2" w:space="0" w:color="000000"/>
                    <w:right w:val="single" w:sz="2" w:space="0" w:color="000000"/>
                  </w:tcBorders>
                </w:tcPr>
                <w:p w14:paraId="6069ABBF" w14:textId="77777777" w:rsidR="00053D93" w:rsidRDefault="00053D93"/>
              </w:tc>
            </w:tr>
            <w:tr w:rsidR="00053D93" w14:paraId="47B7FE59" w14:textId="77777777">
              <w:trPr>
                <w:trHeight w:val="576"/>
              </w:trPr>
              <w:tc>
                <w:tcPr>
                  <w:tcW w:w="285" w:type="dxa"/>
                  <w:tcBorders>
                    <w:top w:val="single" w:sz="2" w:space="0" w:color="000000"/>
                    <w:left w:val="single" w:sz="2" w:space="0" w:color="000000"/>
                    <w:bottom w:val="single" w:sz="2" w:space="0" w:color="000000"/>
                    <w:right w:val="single" w:sz="2" w:space="0" w:color="000000"/>
                  </w:tcBorders>
                </w:tcPr>
                <w:p w14:paraId="6F4F5857" w14:textId="77777777" w:rsidR="00053D93" w:rsidRDefault="00260B75">
                  <w:pPr>
                    <w:ind w:left="58"/>
                  </w:pPr>
                  <w:r>
                    <w:rPr>
                      <w:rFonts w:ascii="Times New Roman" w:eastAsia="Times New Roman" w:hAnsi="Times New Roman" w:cs="Times New Roman"/>
                      <w:sz w:val="14"/>
                    </w:rPr>
                    <w:lastRenderedPageBreak/>
                    <w:t>9</w:t>
                  </w:r>
                </w:p>
              </w:tc>
              <w:tc>
                <w:tcPr>
                  <w:tcW w:w="892" w:type="dxa"/>
                  <w:gridSpan w:val="3"/>
                  <w:tcBorders>
                    <w:top w:val="single" w:sz="2" w:space="0" w:color="000000"/>
                    <w:left w:val="single" w:sz="2" w:space="0" w:color="000000"/>
                    <w:bottom w:val="single" w:sz="2" w:space="0" w:color="000000"/>
                    <w:right w:val="single" w:sz="2" w:space="0" w:color="000000"/>
                  </w:tcBorders>
                </w:tcPr>
                <w:p w14:paraId="51FCEB54" w14:textId="77777777" w:rsidR="00053D93" w:rsidRDefault="00260B75">
                  <w:pPr>
                    <w:ind w:right="22"/>
                    <w:jc w:val="center"/>
                  </w:pPr>
                  <w:r>
                    <w:rPr>
                      <w:rFonts w:ascii="Times New Roman" w:eastAsia="Times New Roman" w:hAnsi="Times New Roman" w:cs="Times New Roman"/>
                      <w:sz w:val="14"/>
                    </w:rPr>
                    <w:t>294077</w:t>
                  </w:r>
                </w:p>
              </w:tc>
              <w:tc>
                <w:tcPr>
                  <w:tcW w:w="1282" w:type="dxa"/>
                  <w:tcBorders>
                    <w:top w:val="single" w:sz="2" w:space="0" w:color="000000"/>
                    <w:left w:val="single" w:sz="2" w:space="0" w:color="000000"/>
                    <w:bottom w:val="single" w:sz="2" w:space="0" w:color="000000"/>
                    <w:right w:val="single" w:sz="2" w:space="0" w:color="000000"/>
                  </w:tcBorders>
                </w:tcPr>
                <w:p w14:paraId="6EDCDABE" w14:textId="77777777" w:rsidR="00053D93" w:rsidRDefault="00260B75">
                  <w:pPr>
                    <w:ind w:left="7"/>
                    <w:jc w:val="center"/>
                  </w:pPr>
                  <w:r>
                    <w:rPr>
                      <w:rFonts w:ascii="Times New Roman" w:eastAsia="Times New Roman" w:hAnsi="Times New Roman" w:cs="Times New Roman"/>
                      <w:sz w:val="14"/>
                    </w:rPr>
                    <w:t>2024-14242</w:t>
                  </w:r>
                </w:p>
              </w:tc>
              <w:tc>
                <w:tcPr>
                  <w:tcW w:w="1321" w:type="dxa"/>
                  <w:tcBorders>
                    <w:top w:val="single" w:sz="2" w:space="0" w:color="000000"/>
                    <w:left w:val="single" w:sz="2" w:space="0" w:color="000000"/>
                    <w:bottom w:val="single" w:sz="2" w:space="0" w:color="000000"/>
                    <w:right w:val="single" w:sz="2" w:space="0" w:color="000000"/>
                  </w:tcBorders>
                </w:tcPr>
                <w:p w14:paraId="29C09413" w14:textId="77777777" w:rsidR="00053D93" w:rsidRDefault="00260B75">
                  <w:pPr>
                    <w:ind w:left="76" w:right="79" w:firstLine="7"/>
                    <w:jc w:val="both"/>
                  </w:pPr>
                  <w:r>
                    <w:rPr>
                      <w:sz w:val="16"/>
                    </w:rPr>
                    <w:t>Pelota de Goalball circunferencia 75.5 a 78.5 CM</w:t>
                  </w:r>
                </w:p>
              </w:tc>
              <w:tc>
                <w:tcPr>
                  <w:tcW w:w="1400" w:type="dxa"/>
                  <w:tcBorders>
                    <w:top w:val="single" w:sz="2" w:space="0" w:color="000000"/>
                    <w:left w:val="single" w:sz="2" w:space="0" w:color="000000"/>
                    <w:bottom w:val="single" w:sz="2" w:space="0" w:color="000000"/>
                    <w:right w:val="single" w:sz="2" w:space="0" w:color="000000"/>
                  </w:tcBorders>
                </w:tcPr>
                <w:p w14:paraId="5BFD69DA" w14:textId="77777777" w:rsidR="00053D93" w:rsidRDefault="00260B75">
                  <w:pPr>
                    <w:ind w:right="4"/>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23D2BEF1" w14:textId="77777777" w:rsidR="00053D93" w:rsidRDefault="00260B75">
                  <w:pPr>
                    <w:ind w:left="5"/>
                    <w:jc w:val="center"/>
                  </w:pPr>
                  <w:r>
                    <w:rPr>
                      <w:rFonts w:ascii="Times New Roman" w:eastAsia="Times New Roman" w:hAnsi="Times New Roman" w:cs="Times New Roman"/>
                      <w:sz w:val="14"/>
                    </w:rPr>
                    <w:t>18/0912024</w:t>
                  </w:r>
                </w:p>
              </w:tc>
              <w:tc>
                <w:tcPr>
                  <w:tcW w:w="1092" w:type="dxa"/>
                  <w:tcBorders>
                    <w:top w:val="single" w:sz="2" w:space="0" w:color="000000"/>
                    <w:left w:val="single" w:sz="2" w:space="0" w:color="000000"/>
                    <w:bottom w:val="single" w:sz="2" w:space="0" w:color="000000"/>
                    <w:right w:val="single" w:sz="2" w:space="0" w:color="000000"/>
                  </w:tcBorders>
                </w:tcPr>
                <w:p w14:paraId="66F3E8DB" w14:textId="77777777" w:rsidR="00053D93" w:rsidRDefault="00260B75">
                  <w:pPr>
                    <w:ind w:right="10"/>
                    <w:jc w:val="center"/>
                  </w:pPr>
                  <w:r>
                    <w:rPr>
                      <w:rFonts w:ascii="Times New Roman" w:eastAsia="Times New Roman" w:hAnsi="Times New Roman" w:cs="Times New Roman"/>
                      <w:sz w:val="16"/>
                    </w:rPr>
                    <w:t>3</w:t>
                  </w:r>
                </w:p>
              </w:tc>
              <w:tc>
                <w:tcPr>
                  <w:tcW w:w="954" w:type="dxa"/>
                  <w:tcBorders>
                    <w:top w:val="single" w:sz="2" w:space="0" w:color="000000"/>
                    <w:left w:val="single" w:sz="2" w:space="0" w:color="000000"/>
                    <w:bottom w:val="single" w:sz="2" w:space="0" w:color="000000"/>
                    <w:right w:val="single" w:sz="2" w:space="0" w:color="000000"/>
                  </w:tcBorders>
                </w:tcPr>
                <w:p w14:paraId="36391A70" w14:textId="77777777" w:rsidR="00053D93" w:rsidRDefault="00260B75">
                  <w:pPr>
                    <w:ind w:left="356"/>
                  </w:pPr>
                  <w:r>
                    <w:rPr>
                      <w:rFonts w:ascii="Times New Roman" w:eastAsia="Times New Roman" w:hAnsi="Times New Roman" w:cs="Times New Roman"/>
                      <w:sz w:val="16"/>
                    </w:rPr>
                    <w:t>6.000.00</w:t>
                  </w:r>
                </w:p>
              </w:tc>
            </w:tr>
            <w:tr w:rsidR="00053D93" w14:paraId="1D3525AD" w14:textId="77777777">
              <w:trPr>
                <w:trHeight w:val="288"/>
              </w:trPr>
              <w:tc>
                <w:tcPr>
                  <w:tcW w:w="285" w:type="dxa"/>
                  <w:tcBorders>
                    <w:top w:val="single" w:sz="2" w:space="0" w:color="000000"/>
                    <w:left w:val="single" w:sz="2" w:space="0" w:color="000000"/>
                    <w:bottom w:val="single" w:sz="2" w:space="0" w:color="000000"/>
                    <w:right w:val="nil"/>
                  </w:tcBorders>
                </w:tcPr>
                <w:p w14:paraId="78A576FE" w14:textId="77777777" w:rsidR="00053D93" w:rsidRDefault="00053D93"/>
              </w:tc>
              <w:tc>
                <w:tcPr>
                  <w:tcW w:w="892" w:type="dxa"/>
                  <w:gridSpan w:val="3"/>
                  <w:tcBorders>
                    <w:top w:val="single" w:sz="2" w:space="0" w:color="000000"/>
                    <w:left w:val="nil"/>
                    <w:bottom w:val="single" w:sz="2" w:space="0" w:color="000000"/>
                    <w:right w:val="nil"/>
                  </w:tcBorders>
                </w:tcPr>
                <w:p w14:paraId="7ED2E63B" w14:textId="77777777" w:rsidR="00053D93" w:rsidRDefault="00053D93"/>
              </w:tc>
              <w:tc>
                <w:tcPr>
                  <w:tcW w:w="5100" w:type="dxa"/>
                  <w:gridSpan w:val="4"/>
                  <w:tcBorders>
                    <w:top w:val="single" w:sz="2" w:space="0" w:color="000000"/>
                    <w:left w:val="nil"/>
                    <w:bottom w:val="single" w:sz="2" w:space="0" w:color="000000"/>
                    <w:right w:val="nil"/>
                  </w:tcBorders>
                </w:tcPr>
                <w:p w14:paraId="7BD75E4A" w14:textId="77777777" w:rsidR="00053D93" w:rsidRDefault="00260B75">
                  <w:pPr>
                    <w:ind w:left="739"/>
                    <w:jc w:val="center"/>
                  </w:pPr>
                  <w:r>
                    <w:rPr>
                      <w:sz w:val="16"/>
                    </w:rPr>
                    <w:t>RecreacTón</w:t>
                  </w:r>
                </w:p>
              </w:tc>
              <w:tc>
                <w:tcPr>
                  <w:tcW w:w="1092" w:type="dxa"/>
                  <w:tcBorders>
                    <w:top w:val="single" w:sz="2" w:space="0" w:color="000000"/>
                    <w:left w:val="nil"/>
                    <w:bottom w:val="single" w:sz="2" w:space="0" w:color="000000"/>
                    <w:right w:val="nil"/>
                  </w:tcBorders>
                </w:tcPr>
                <w:p w14:paraId="10493CA4" w14:textId="77777777" w:rsidR="00053D93" w:rsidRDefault="00053D93"/>
              </w:tc>
              <w:tc>
                <w:tcPr>
                  <w:tcW w:w="954" w:type="dxa"/>
                  <w:tcBorders>
                    <w:top w:val="single" w:sz="2" w:space="0" w:color="000000"/>
                    <w:left w:val="nil"/>
                    <w:bottom w:val="single" w:sz="2" w:space="0" w:color="000000"/>
                    <w:right w:val="single" w:sz="2" w:space="0" w:color="000000"/>
                  </w:tcBorders>
                </w:tcPr>
                <w:p w14:paraId="64A80783" w14:textId="77777777" w:rsidR="00053D93" w:rsidRDefault="00053D93"/>
              </w:tc>
            </w:tr>
            <w:tr w:rsidR="00053D93" w14:paraId="357C1D8A" w14:textId="77777777">
              <w:trPr>
                <w:trHeight w:val="727"/>
              </w:trPr>
              <w:tc>
                <w:tcPr>
                  <w:tcW w:w="285" w:type="dxa"/>
                  <w:tcBorders>
                    <w:top w:val="single" w:sz="2" w:space="0" w:color="000000"/>
                    <w:left w:val="single" w:sz="2" w:space="0" w:color="000000"/>
                    <w:bottom w:val="single" w:sz="2" w:space="0" w:color="000000"/>
                    <w:right w:val="single" w:sz="2" w:space="0" w:color="000000"/>
                  </w:tcBorders>
                </w:tcPr>
                <w:p w14:paraId="1AF325B5" w14:textId="77777777" w:rsidR="00053D93" w:rsidRDefault="00260B75">
                  <w:pPr>
                    <w:ind w:left="29"/>
                  </w:pPr>
                  <w:r>
                    <w:rPr>
                      <w:rFonts w:ascii="Times New Roman" w:eastAsia="Times New Roman" w:hAnsi="Times New Roman" w:cs="Times New Roman"/>
                      <w:sz w:val="14"/>
                    </w:rPr>
                    <w:t>10</w:t>
                  </w:r>
                </w:p>
              </w:tc>
              <w:tc>
                <w:tcPr>
                  <w:tcW w:w="892" w:type="dxa"/>
                  <w:gridSpan w:val="3"/>
                  <w:tcBorders>
                    <w:top w:val="single" w:sz="2" w:space="0" w:color="000000"/>
                    <w:left w:val="single" w:sz="2" w:space="0" w:color="000000"/>
                    <w:bottom w:val="single" w:sz="2" w:space="0" w:color="000000"/>
                    <w:right w:val="single" w:sz="2" w:space="0" w:color="000000"/>
                  </w:tcBorders>
                </w:tcPr>
                <w:p w14:paraId="7CFA4BA5" w14:textId="77777777" w:rsidR="00053D93" w:rsidRDefault="00260B75">
                  <w:pPr>
                    <w:ind w:right="37"/>
                    <w:jc w:val="center"/>
                  </w:pPr>
                  <w:r>
                    <w:rPr>
                      <w:rFonts w:ascii="Times New Roman" w:eastAsia="Times New Roman" w:hAnsi="Times New Roman" w:cs="Times New Roman"/>
                      <w:sz w:val="14"/>
                    </w:rPr>
                    <w:t>233014</w:t>
                  </w:r>
                </w:p>
              </w:tc>
              <w:tc>
                <w:tcPr>
                  <w:tcW w:w="1282" w:type="dxa"/>
                  <w:tcBorders>
                    <w:top w:val="single" w:sz="2" w:space="0" w:color="000000"/>
                    <w:left w:val="single" w:sz="2" w:space="0" w:color="000000"/>
                    <w:bottom w:val="single" w:sz="2" w:space="0" w:color="000000"/>
                    <w:right w:val="single" w:sz="2" w:space="0" w:color="000000"/>
                  </w:tcBorders>
                </w:tcPr>
                <w:p w14:paraId="2934F04E" w14:textId="77777777" w:rsidR="00053D93" w:rsidRDefault="00260B75">
                  <w:pPr>
                    <w:ind w:right="7"/>
                    <w:jc w:val="center"/>
                  </w:pPr>
                  <w:r>
                    <w:rPr>
                      <w:rFonts w:ascii="Times New Roman" w:eastAsia="Times New Roman" w:hAnsi="Times New Roman" w:cs="Times New Roman"/>
                      <w:sz w:val="14"/>
                    </w:rPr>
                    <w:t>2024-15026</w:t>
                  </w:r>
                </w:p>
              </w:tc>
              <w:tc>
                <w:tcPr>
                  <w:tcW w:w="1321" w:type="dxa"/>
                  <w:tcBorders>
                    <w:top w:val="single" w:sz="2" w:space="0" w:color="000000"/>
                    <w:left w:val="single" w:sz="2" w:space="0" w:color="000000"/>
                    <w:bottom w:val="single" w:sz="2" w:space="0" w:color="000000"/>
                    <w:right w:val="single" w:sz="2" w:space="0" w:color="000000"/>
                  </w:tcBorders>
                </w:tcPr>
                <w:p w14:paraId="6EF3A172" w14:textId="77777777" w:rsidR="00053D93" w:rsidRDefault="00260B75">
                  <w:pPr>
                    <w:ind w:left="76" w:firstLine="598"/>
                  </w:pPr>
                  <w:r>
                    <w:rPr>
                      <w:sz w:val="16"/>
                    </w:rPr>
                    <w:t>deportiva impermeable, logotipo serigrafiado</w:t>
                  </w:r>
                </w:p>
              </w:tc>
              <w:tc>
                <w:tcPr>
                  <w:tcW w:w="1400" w:type="dxa"/>
                  <w:tcBorders>
                    <w:top w:val="single" w:sz="2" w:space="0" w:color="000000"/>
                    <w:left w:val="single" w:sz="2" w:space="0" w:color="000000"/>
                    <w:bottom w:val="single" w:sz="2" w:space="0" w:color="000000"/>
                    <w:right w:val="single" w:sz="2" w:space="0" w:color="000000"/>
                  </w:tcBorders>
                </w:tcPr>
                <w:p w14:paraId="13858CB3" w14:textId="77777777" w:rsidR="00053D93" w:rsidRDefault="00260B75">
                  <w:pPr>
                    <w:ind w:right="11"/>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0573734A" w14:textId="77777777" w:rsidR="00053D93" w:rsidRDefault="00260B75">
                  <w:pPr>
                    <w:ind w:right="3"/>
                    <w:jc w:val="center"/>
                  </w:pPr>
                  <w:r>
                    <w:rPr>
                      <w:rFonts w:ascii="Times New Roman" w:eastAsia="Times New Roman" w:hAnsi="Times New Roman" w:cs="Times New Roman"/>
                      <w:sz w:val="14"/>
                    </w:rPr>
                    <w:t>28/0612024</w:t>
                  </w:r>
                </w:p>
              </w:tc>
              <w:tc>
                <w:tcPr>
                  <w:tcW w:w="1092" w:type="dxa"/>
                  <w:tcBorders>
                    <w:top w:val="single" w:sz="2" w:space="0" w:color="000000"/>
                    <w:left w:val="single" w:sz="2" w:space="0" w:color="000000"/>
                    <w:bottom w:val="single" w:sz="2" w:space="0" w:color="000000"/>
                    <w:right w:val="single" w:sz="2" w:space="0" w:color="000000"/>
                  </w:tcBorders>
                </w:tcPr>
                <w:p w14:paraId="391AA391" w14:textId="77777777" w:rsidR="00053D93" w:rsidRDefault="00260B75">
                  <w:pPr>
                    <w:ind w:right="10"/>
                    <w:jc w:val="center"/>
                  </w:pPr>
                  <w:r>
                    <w:rPr>
                      <w:rFonts w:ascii="Times New Roman" w:eastAsia="Times New Roman" w:hAnsi="Times New Roman" w:cs="Times New Roman"/>
                      <w:sz w:val="14"/>
                    </w:rPr>
                    <w:t>2000</w:t>
                  </w:r>
                </w:p>
              </w:tc>
              <w:tc>
                <w:tcPr>
                  <w:tcW w:w="954" w:type="dxa"/>
                  <w:tcBorders>
                    <w:top w:val="single" w:sz="2" w:space="0" w:color="000000"/>
                    <w:left w:val="single" w:sz="2" w:space="0" w:color="000000"/>
                    <w:bottom w:val="single" w:sz="2" w:space="0" w:color="000000"/>
                    <w:right w:val="single" w:sz="2" w:space="0" w:color="000000"/>
                  </w:tcBorders>
                </w:tcPr>
                <w:p w14:paraId="4E01C8AB" w14:textId="77777777" w:rsidR="00053D93" w:rsidRDefault="00260B75">
                  <w:pPr>
                    <w:ind w:left="284"/>
                  </w:pPr>
                  <w:r>
                    <w:rPr>
                      <w:sz w:val="14"/>
                    </w:rPr>
                    <w:t>42,000.oo</w:t>
                  </w:r>
                </w:p>
              </w:tc>
            </w:tr>
            <w:tr w:rsidR="00053D93" w14:paraId="69C4AA41" w14:textId="77777777">
              <w:trPr>
                <w:trHeight w:val="389"/>
              </w:trPr>
              <w:tc>
                <w:tcPr>
                  <w:tcW w:w="285" w:type="dxa"/>
                  <w:tcBorders>
                    <w:top w:val="single" w:sz="2" w:space="0" w:color="000000"/>
                    <w:left w:val="single" w:sz="2" w:space="0" w:color="000000"/>
                    <w:bottom w:val="single" w:sz="2" w:space="0" w:color="000000"/>
                    <w:right w:val="single" w:sz="2" w:space="0" w:color="000000"/>
                  </w:tcBorders>
                </w:tcPr>
                <w:p w14:paraId="758613AB" w14:textId="77777777" w:rsidR="00053D93" w:rsidRDefault="00260B75">
                  <w:pPr>
                    <w:ind w:left="22"/>
                  </w:pPr>
                  <w:r>
                    <w:rPr>
                      <w:rFonts w:ascii="Times New Roman" w:eastAsia="Times New Roman" w:hAnsi="Times New Roman" w:cs="Times New Roman"/>
                      <w:sz w:val="16"/>
                    </w:rPr>
                    <w:t>11</w:t>
                  </w:r>
                </w:p>
              </w:tc>
              <w:tc>
                <w:tcPr>
                  <w:tcW w:w="892" w:type="dxa"/>
                  <w:gridSpan w:val="3"/>
                  <w:tcBorders>
                    <w:top w:val="single" w:sz="2" w:space="0" w:color="000000"/>
                    <w:left w:val="single" w:sz="2" w:space="0" w:color="000000"/>
                    <w:bottom w:val="single" w:sz="2" w:space="0" w:color="000000"/>
                    <w:right w:val="single" w:sz="2" w:space="0" w:color="000000"/>
                  </w:tcBorders>
                </w:tcPr>
                <w:p w14:paraId="33AD6D79" w14:textId="77777777" w:rsidR="00053D93" w:rsidRDefault="00260B75">
                  <w:pPr>
                    <w:ind w:right="30"/>
                    <w:jc w:val="center"/>
                  </w:pPr>
                  <w:r>
                    <w:rPr>
                      <w:rFonts w:ascii="Times New Roman" w:eastAsia="Times New Roman" w:hAnsi="Times New Roman" w:cs="Times New Roman"/>
                      <w:sz w:val="14"/>
                    </w:rPr>
                    <w:t>211002</w:t>
                  </w:r>
                </w:p>
              </w:tc>
              <w:tc>
                <w:tcPr>
                  <w:tcW w:w="1282" w:type="dxa"/>
                  <w:tcBorders>
                    <w:top w:val="single" w:sz="2" w:space="0" w:color="000000"/>
                    <w:left w:val="single" w:sz="2" w:space="0" w:color="000000"/>
                    <w:bottom w:val="single" w:sz="2" w:space="0" w:color="000000"/>
                    <w:right w:val="single" w:sz="2" w:space="0" w:color="000000"/>
                  </w:tcBorders>
                </w:tcPr>
                <w:p w14:paraId="1F4D9998" w14:textId="77777777" w:rsidR="00053D93" w:rsidRDefault="00260B75">
                  <w:pPr>
                    <w:ind w:right="22"/>
                    <w:jc w:val="center"/>
                  </w:pPr>
                  <w:r>
                    <w:rPr>
                      <w:rFonts w:ascii="Times New Roman" w:eastAsia="Times New Roman" w:hAnsi="Times New Roman" w:cs="Times New Roman"/>
                      <w:sz w:val="14"/>
                    </w:rPr>
                    <w:t>2024-14861</w:t>
                  </w:r>
                </w:p>
              </w:tc>
              <w:tc>
                <w:tcPr>
                  <w:tcW w:w="1321" w:type="dxa"/>
                  <w:tcBorders>
                    <w:top w:val="single" w:sz="2" w:space="0" w:color="000000"/>
                    <w:left w:val="single" w:sz="2" w:space="0" w:color="000000"/>
                    <w:bottom w:val="single" w:sz="2" w:space="0" w:color="000000"/>
                    <w:right w:val="single" w:sz="2" w:space="0" w:color="000000"/>
                  </w:tcBorders>
                </w:tcPr>
                <w:p w14:paraId="7F0A1F80" w14:textId="77777777" w:rsidR="00053D93" w:rsidRDefault="00260B75">
                  <w:pPr>
                    <w:ind w:left="83" w:hanging="7"/>
                    <w:jc w:val="both"/>
                  </w:pPr>
                  <w:r>
                    <w:rPr>
                      <w:sz w:val="16"/>
                    </w:rPr>
                    <w:t>Jugos Tetrapak 200 ml sabor surtido</w:t>
                  </w:r>
                </w:p>
              </w:tc>
              <w:tc>
                <w:tcPr>
                  <w:tcW w:w="1400" w:type="dxa"/>
                  <w:tcBorders>
                    <w:top w:val="single" w:sz="2" w:space="0" w:color="000000"/>
                    <w:left w:val="single" w:sz="2" w:space="0" w:color="000000"/>
                    <w:bottom w:val="single" w:sz="2" w:space="0" w:color="000000"/>
                    <w:right w:val="single" w:sz="2" w:space="0" w:color="000000"/>
                  </w:tcBorders>
                </w:tcPr>
                <w:p w14:paraId="4267760C" w14:textId="77777777" w:rsidR="00053D93" w:rsidRDefault="00260B75">
                  <w:pPr>
                    <w:ind w:right="18"/>
                    <w:jc w:val="center"/>
                  </w:pPr>
                  <w:r>
                    <w:rPr>
                      <w:rFonts w:ascii="Times New Roman" w:eastAsia="Times New Roman" w:hAnsi="Times New Roman" w:cs="Times New Roman"/>
                      <w:sz w:val="14"/>
                    </w:rPr>
                    <w:t>211</w:t>
                  </w:r>
                </w:p>
              </w:tc>
              <w:tc>
                <w:tcPr>
                  <w:tcW w:w="1097" w:type="dxa"/>
                  <w:tcBorders>
                    <w:top w:val="single" w:sz="2" w:space="0" w:color="000000"/>
                    <w:left w:val="single" w:sz="2" w:space="0" w:color="000000"/>
                    <w:bottom w:val="single" w:sz="2" w:space="0" w:color="000000"/>
                    <w:right w:val="single" w:sz="2" w:space="0" w:color="000000"/>
                  </w:tcBorders>
                </w:tcPr>
                <w:p w14:paraId="162890A4" w14:textId="77777777" w:rsidR="00053D93" w:rsidRDefault="00260B75">
                  <w:pPr>
                    <w:ind w:right="3"/>
                    <w:jc w:val="center"/>
                  </w:pPr>
                  <w:r>
                    <w:rPr>
                      <w:rFonts w:ascii="Times New Roman" w:eastAsia="Times New Roman" w:hAnsi="Times New Roman" w:cs="Times New Roman"/>
                      <w:sz w:val="14"/>
                    </w:rPr>
                    <w:t>30'0612024</w:t>
                  </w:r>
                </w:p>
              </w:tc>
              <w:tc>
                <w:tcPr>
                  <w:tcW w:w="1092" w:type="dxa"/>
                  <w:tcBorders>
                    <w:top w:val="single" w:sz="2" w:space="0" w:color="000000"/>
                    <w:left w:val="single" w:sz="2" w:space="0" w:color="000000"/>
                    <w:bottom w:val="single" w:sz="2" w:space="0" w:color="000000"/>
                    <w:right w:val="single" w:sz="2" w:space="0" w:color="000000"/>
                  </w:tcBorders>
                </w:tcPr>
                <w:p w14:paraId="2D4194BC" w14:textId="77777777" w:rsidR="00053D93" w:rsidRDefault="00053D93"/>
              </w:tc>
              <w:tc>
                <w:tcPr>
                  <w:tcW w:w="954" w:type="dxa"/>
                  <w:tcBorders>
                    <w:top w:val="single" w:sz="2" w:space="0" w:color="000000"/>
                    <w:left w:val="single" w:sz="2" w:space="0" w:color="000000"/>
                    <w:bottom w:val="single" w:sz="2" w:space="0" w:color="000000"/>
                    <w:right w:val="single" w:sz="2" w:space="0" w:color="000000"/>
                  </w:tcBorders>
                </w:tcPr>
                <w:p w14:paraId="47F3A9C4" w14:textId="77777777" w:rsidR="00053D93" w:rsidRDefault="00260B75">
                  <w:pPr>
                    <w:ind w:right="65"/>
                    <w:jc w:val="right"/>
                  </w:pPr>
                  <w:r>
                    <w:rPr>
                      <w:rFonts w:ascii="Times New Roman" w:eastAsia="Times New Roman" w:hAnsi="Times New Roman" w:cs="Times New Roman"/>
                      <w:sz w:val="16"/>
                    </w:rPr>
                    <w:t>2.296.63</w:t>
                  </w:r>
                </w:p>
              </w:tc>
            </w:tr>
            <w:tr w:rsidR="00053D93" w14:paraId="2BA51969" w14:textId="77777777">
              <w:trPr>
                <w:trHeight w:val="742"/>
              </w:trPr>
              <w:tc>
                <w:tcPr>
                  <w:tcW w:w="285" w:type="dxa"/>
                  <w:tcBorders>
                    <w:top w:val="single" w:sz="2" w:space="0" w:color="000000"/>
                    <w:left w:val="single" w:sz="2" w:space="0" w:color="000000"/>
                    <w:bottom w:val="single" w:sz="2" w:space="0" w:color="000000"/>
                    <w:right w:val="single" w:sz="2" w:space="0" w:color="000000"/>
                  </w:tcBorders>
                </w:tcPr>
                <w:p w14:paraId="38C46897" w14:textId="77777777" w:rsidR="00053D93" w:rsidRDefault="00260B75">
                  <w:pPr>
                    <w:ind w:left="29"/>
                  </w:pPr>
                  <w:r>
                    <w:rPr>
                      <w:rFonts w:ascii="Times New Roman" w:eastAsia="Times New Roman" w:hAnsi="Times New Roman" w:cs="Times New Roman"/>
                      <w:sz w:val="14"/>
                    </w:rPr>
                    <w:t>12</w:t>
                  </w:r>
                </w:p>
              </w:tc>
              <w:tc>
                <w:tcPr>
                  <w:tcW w:w="892" w:type="dxa"/>
                  <w:gridSpan w:val="3"/>
                  <w:tcBorders>
                    <w:top w:val="single" w:sz="2" w:space="0" w:color="000000"/>
                    <w:left w:val="single" w:sz="2" w:space="0" w:color="000000"/>
                    <w:bottom w:val="single" w:sz="2" w:space="0" w:color="000000"/>
                    <w:right w:val="single" w:sz="2" w:space="0" w:color="000000"/>
                  </w:tcBorders>
                </w:tcPr>
                <w:p w14:paraId="61ED2EB0" w14:textId="77777777" w:rsidR="00053D93" w:rsidRDefault="00260B75">
                  <w:pPr>
                    <w:ind w:right="22"/>
                    <w:jc w:val="center"/>
                  </w:pPr>
                  <w:r>
                    <w:rPr>
                      <w:rFonts w:ascii="Times New Roman" w:eastAsia="Times New Roman" w:hAnsi="Times New Roman" w:cs="Times New Roman"/>
                      <w:sz w:val="14"/>
                    </w:rPr>
                    <w:t>294046</w:t>
                  </w:r>
                </w:p>
              </w:tc>
              <w:tc>
                <w:tcPr>
                  <w:tcW w:w="1282" w:type="dxa"/>
                  <w:tcBorders>
                    <w:top w:val="single" w:sz="2" w:space="0" w:color="000000"/>
                    <w:left w:val="single" w:sz="2" w:space="0" w:color="000000"/>
                    <w:bottom w:val="single" w:sz="2" w:space="0" w:color="000000"/>
                    <w:right w:val="single" w:sz="2" w:space="0" w:color="000000"/>
                  </w:tcBorders>
                </w:tcPr>
                <w:p w14:paraId="6324FADD" w14:textId="77777777" w:rsidR="00053D93" w:rsidRDefault="00260B75">
                  <w:pPr>
                    <w:ind w:left="7"/>
                    <w:jc w:val="center"/>
                  </w:pPr>
                  <w:r>
                    <w:rPr>
                      <w:rFonts w:ascii="Times New Roman" w:eastAsia="Times New Roman" w:hAnsi="Times New Roman" w:cs="Times New Roman"/>
                      <w:sz w:val="14"/>
                    </w:rPr>
                    <w:t>2024-15040</w:t>
                  </w:r>
                </w:p>
              </w:tc>
              <w:tc>
                <w:tcPr>
                  <w:tcW w:w="1321" w:type="dxa"/>
                  <w:tcBorders>
                    <w:top w:val="single" w:sz="2" w:space="0" w:color="000000"/>
                    <w:left w:val="single" w:sz="2" w:space="0" w:color="000000"/>
                    <w:bottom w:val="single" w:sz="2" w:space="0" w:color="000000"/>
                    <w:right w:val="single" w:sz="2" w:space="0" w:color="000000"/>
                  </w:tcBorders>
                </w:tcPr>
                <w:p w14:paraId="1CB8E3D4" w14:textId="77777777" w:rsidR="00053D93" w:rsidRDefault="00260B75">
                  <w:pPr>
                    <w:ind w:left="76" w:right="79"/>
                    <w:jc w:val="both"/>
                  </w:pPr>
                  <w:r>
                    <w:rPr>
                      <w:sz w:val="14"/>
                    </w:rPr>
                    <w:t xml:space="preserve">Juego de Foam mat ancho 61 CM, grosor </w:t>
                  </w:r>
                  <w:r>
                    <w:rPr>
                      <w:rFonts w:ascii="Times New Roman" w:eastAsia="Times New Roman" w:hAnsi="Times New Roman" w:cs="Times New Roman"/>
                      <w:sz w:val="14"/>
                    </w:rPr>
                    <w:t xml:space="preserve">12 CM, </w:t>
                  </w:r>
                  <w:r>
                    <w:rPr>
                      <w:sz w:val="14"/>
                    </w:rPr>
                    <w:t>longitud 61 CM</w:t>
                  </w:r>
                </w:p>
              </w:tc>
              <w:tc>
                <w:tcPr>
                  <w:tcW w:w="1400" w:type="dxa"/>
                  <w:tcBorders>
                    <w:top w:val="single" w:sz="2" w:space="0" w:color="000000"/>
                    <w:left w:val="single" w:sz="2" w:space="0" w:color="000000"/>
                    <w:bottom w:val="single" w:sz="2" w:space="0" w:color="000000"/>
                    <w:right w:val="single" w:sz="2" w:space="0" w:color="000000"/>
                  </w:tcBorders>
                </w:tcPr>
                <w:p w14:paraId="7C08F2EF" w14:textId="77777777" w:rsidR="00053D93" w:rsidRDefault="00260B75">
                  <w:pPr>
                    <w:ind w:left="4"/>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7E5CC07E" w14:textId="77777777" w:rsidR="00053D93" w:rsidRDefault="00260B75">
                  <w:pPr>
                    <w:ind w:left="5"/>
                    <w:jc w:val="center"/>
                  </w:pPr>
                  <w:r>
                    <w:rPr>
                      <w:rFonts w:ascii="Times New Roman" w:eastAsia="Times New Roman" w:hAnsi="Times New Roman" w:cs="Times New Roman"/>
                      <w:sz w:val="14"/>
                    </w:rPr>
                    <w:t>31/05/2024</w:t>
                  </w:r>
                </w:p>
              </w:tc>
              <w:tc>
                <w:tcPr>
                  <w:tcW w:w="1092" w:type="dxa"/>
                  <w:tcBorders>
                    <w:top w:val="single" w:sz="2" w:space="0" w:color="000000"/>
                    <w:left w:val="single" w:sz="2" w:space="0" w:color="000000"/>
                    <w:bottom w:val="single" w:sz="2" w:space="0" w:color="000000"/>
                    <w:right w:val="single" w:sz="2" w:space="0" w:color="000000"/>
                  </w:tcBorders>
                </w:tcPr>
                <w:p w14:paraId="4751A3C6" w14:textId="77777777" w:rsidR="00053D93" w:rsidRDefault="00260B75">
                  <w:pPr>
                    <w:ind w:left="4"/>
                    <w:jc w:val="center"/>
                  </w:pPr>
                  <w:r>
                    <w:rPr>
                      <w:rFonts w:ascii="Times New Roman" w:eastAsia="Times New Roman" w:hAnsi="Times New Roman" w:cs="Times New Roman"/>
                      <w:sz w:val="16"/>
                    </w:rPr>
                    <w:t>25</w:t>
                  </w:r>
                </w:p>
              </w:tc>
              <w:tc>
                <w:tcPr>
                  <w:tcW w:w="954" w:type="dxa"/>
                  <w:tcBorders>
                    <w:top w:val="single" w:sz="2" w:space="0" w:color="000000"/>
                    <w:left w:val="single" w:sz="2" w:space="0" w:color="000000"/>
                    <w:bottom w:val="single" w:sz="2" w:space="0" w:color="000000"/>
                    <w:right w:val="single" w:sz="2" w:space="0" w:color="000000"/>
                  </w:tcBorders>
                </w:tcPr>
                <w:p w14:paraId="2204C277" w14:textId="77777777" w:rsidR="00053D93" w:rsidRDefault="00260B75">
                  <w:pPr>
                    <w:ind w:right="65"/>
                    <w:jc w:val="right"/>
                  </w:pPr>
                  <w:r>
                    <w:rPr>
                      <w:sz w:val="16"/>
                    </w:rPr>
                    <w:t>2,175.oo</w:t>
                  </w:r>
                </w:p>
              </w:tc>
            </w:tr>
            <w:tr w:rsidR="00053D93" w14:paraId="547396EF" w14:textId="77777777">
              <w:trPr>
                <w:trHeight w:val="288"/>
              </w:trPr>
              <w:tc>
                <w:tcPr>
                  <w:tcW w:w="285" w:type="dxa"/>
                  <w:tcBorders>
                    <w:top w:val="single" w:sz="2" w:space="0" w:color="000000"/>
                    <w:left w:val="single" w:sz="2" w:space="0" w:color="000000"/>
                    <w:bottom w:val="single" w:sz="2" w:space="0" w:color="000000"/>
                    <w:right w:val="nil"/>
                  </w:tcBorders>
                </w:tcPr>
                <w:p w14:paraId="77CCA43D" w14:textId="77777777" w:rsidR="00053D93" w:rsidRDefault="00053D93"/>
              </w:tc>
              <w:tc>
                <w:tcPr>
                  <w:tcW w:w="892" w:type="dxa"/>
                  <w:gridSpan w:val="3"/>
                  <w:tcBorders>
                    <w:top w:val="single" w:sz="2" w:space="0" w:color="000000"/>
                    <w:left w:val="nil"/>
                    <w:bottom w:val="single" w:sz="2" w:space="0" w:color="000000"/>
                    <w:right w:val="nil"/>
                  </w:tcBorders>
                </w:tcPr>
                <w:p w14:paraId="00C5A2DD" w14:textId="77777777" w:rsidR="00053D93" w:rsidRDefault="00053D93"/>
              </w:tc>
              <w:tc>
                <w:tcPr>
                  <w:tcW w:w="5100" w:type="dxa"/>
                  <w:gridSpan w:val="4"/>
                  <w:tcBorders>
                    <w:top w:val="single" w:sz="2" w:space="0" w:color="000000"/>
                    <w:left w:val="nil"/>
                    <w:bottom w:val="single" w:sz="2" w:space="0" w:color="000000"/>
                    <w:right w:val="nil"/>
                  </w:tcBorders>
                </w:tcPr>
                <w:p w14:paraId="39059E93" w14:textId="77777777" w:rsidR="00053D93" w:rsidRDefault="00260B75">
                  <w:pPr>
                    <w:ind w:right="204"/>
                    <w:jc w:val="center"/>
                  </w:pPr>
                  <w:r>
                    <w:rPr>
                      <w:sz w:val="18"/>
                    </w:rPr>
                    <w:t>SUBTOTAL</w:t>
                  </w:r>
                </w:p>
              </w:tc>
              <w:tc>
                <w:tcPr>
                  <w:tcW w:w="1092" w:type="dxa"/>
                  <w:tcBorders>
                    <w:top w:val="single" w:sz="2" w:space="0" w:color="000000"/>
                    <w:left w:val="nil"/>
                    <w:bottom w:val="single" w:sz="2" w:space="0" w:color="000000"/>
                    <w:right w:val="single" w:sz="2" w:space="0" w:color="000000"/>
                  </w:tcBorders>
                </w:tcPr>
                <w:p w14:paraId="27A14047" w14:textId="77777777" w:rsidR="00053D93" w:rsidRDefault="00053D93"/>
              </w:tc>
              <w:tc>
                <w:tcPr>
                  <w:tcW w:w="954" w:type="dxa"/>
                  <w:tcBorders>
                    <w:top w:val="single" w:sz="2" w:space="0" w:color="000000"/>
                    <w:left w:val="single" w:sz="2" w:space="0" w:color="000000"/>
                    <w:bottom w:val="single" w:sz="2" w:space="0" w:color="000000"/>
                    <w:right w:val="single" w:sz="2" w:space="0" w:color="000000"/>
                  </w:tcBorders>
                </w:tcPr>
                <w:p w14:paraId="702B9EAF" w14:textId="77777777" w:rsidR="00053D93" w:rsidRDefault="00260B75">
                  <w:pPr>
                    <w:ind w:left="220"/>
                  </w:pPr>
                  <w:r>
                    <w:rPr>
                      <w:sz w:val="14"/>
                    </w:rPr>
                    <w:t>164,104.OB</w:t>
                  </w:r>
                </w:p>
              </w:tc>
            </w:tr>
            <w:tr w:rsidR="00053D93" w14:paraId="721EC68C" w14:textId="77777777">
              <w:trPr>
                <w:trHeight w:val="576"/>
              </w:trPr>
              <w:tc>
                <w:tcPr>
                  <w:tcW w:w="285" w:type="dxa"/>
                  <w:tcBorders>
                    <w:top w:val="single" w:sz="2" w:space="0" w:color="000000"/>
                    <w:left w:val="single" w:sz="2" w:space="0" w:color="000000"/>
                    <w:bottom w:val="single" w:sz="2" w:space="0" w:color="000000"/>
                    <w:right w:val="single" w:sz="2" w:space="0" w:color="000000"/>
                  </w:tcBorders>
                </w:tcPr>
                <w:p w14:paraId="7172364C" w14:textId="77777777" w:rsidR="00053D93" w:rsidRDefault="00260B75">
                  <w:pPr>
                    <w:ind w:left="-14"/>
                  </w:pPr>
                  <w:r>
                    <w:rPr>
                      <w:sz w:val="16"/>
                    </w:rPr>
                    <w:t>No.</w:t>
                  </w:r>
                </w:p>
              </w:tc>
              <w:tc>
                <w:tcPr>
                  <w:tcW w:w="892" w:type="dxa"/>
                  <w:gridSpan w:val="3"/>
                  <w:tcBorders>
                    <w:top w:val="single" w:sz="2" w:space="0" w:color="000000"/>
                    <w:left w:val="single" w:sz="2" w:space="0" w:color="000000"/>
                    <w:bottom w:val="single" w:sz="2" w:space="0" w:color="000000"/>
                    <w:right w:val="single" w:sz="2" w:space="0" w:color="000000"/>
                  </w:tcBorders>
                </w:tcPr>
                <w:p w14:paraId="4599FBE4" w14:textId="77777777" w:rsidR="00053D93" w:rsidRDefault="00260B75">
                  <w:pPr>
                    <w:ind w:left="168"/>
                  </w:pPr>
                  <w:r>
                    <w:rPr>
                      <w:sz w:val="16"/>
                    </w:rPr>
                    <w:t>CÓDIGO</w:t>
                  </w:r>
                </w:p>
                <w:p w14:paraId="3F614474" w14:textId="77777777" w:rsidR="00053D93" w:rsidRDefault="00260B75">
                  <w:pPr>
                    <w:ind w:right="15"/>
                    <w:jc w:val="center"/>
                  </w:pPr>
                  <w:r>
                    <w:rPr>
                      <w:sz w:val="18"/>
                    </w:rPr>
                    <w:t>DEL</w:t>
                  </w:r>
                </w:p>
                <w:p w14:paraId="118BDBD4" w14:textId="77777777" w:rsidR="00053D93" w:rsidRDefault="00260B75">
                  <w:pPr>
                    <w:ind w:left="68"/>
                    <w:jc w:val="both"/>
                  </w:pPr>
                  <w:r>
                    <w:rPr>
                      <w:sz w:val="16"/>
                    </w:rPr>
                    <w:t>PRODUCTO</w:t>
                  </w:r>
                </w:p>
              </w:tc>
              <w:tc>
                <w:tcPr>
                  <w:tcW w:w="1282" w:type="dxa"/>
                  <w:tcBorders>
                    <w:top w:val="single" w:sz="2" w:space="0" w:color="000000"/>
                    <w:left w:val="single" w:sz="2" w:space="0" w:color="000000"/>
                    <w:bottom w:val="single" w:sz="2" w:space="0" w:color="000000"/>
                    <w:right w:val="single" w:sz="2" w:space="0" w:color="000000"/>
                  </w:tcBorders>
                </w:tcPr>
                <w:p w14:paraId="3D7D04A5" w14:textId="77777777" w:rsidR="00053D93" w:rsidRDefault="00260B75">
                  <w:pPr>
                    <w:jc w:val="center"/>
                  </w:pPr>
                  <w:r>
                    <w:rPr>
                      <w:sz w:val="16"/>
                    </w:rPr>
                    <w:t>NÚMERO DE</w:t>
                  </w:r>
                </w:p>
                <w:p w14:paraId="0028035D" w14:textId="77777777" w:rsidR="00053D93" w:rsidRDefault="00260B75">
                  <w:pPr>
                    <w:ind w:left="83"/>
                  </w:pPr>
                  <w:r>
                    <w:rPr>
                      <w:sz w:val="16"/>
                    </w:rPr>
                    <w:t>REQUERIMIENTO</w:t>
                  </w:r>
                </w:p>
              </w:tc>
              <w:tc>
                <w:tcPr>
                  <w:tcW w:w="1321" w:type="dxa"/>
                  <w:tcBorders>
                    <w:top w:val="single" w:sz="2" w:space="0" w:color="000000"/>
                    <w:left w:val="single" w:sz="2" w:space="0" w:color="000000"/>
                    <w:bottom w:val="single" w:sz="2" w:space="0" w:color="000000"/>
                    <w:right w:val="single" w:sz="2" w:space="0" w:color="000000"/>
                  </w:tcBorders>
                </w:tcPr>
                <w:p w14:paraId="1A15BCF6" w14:textId="77777777" w:rsidR="00053D93" w:rsidRDefault="00260B75">
                  <w:pPr>
                    <w:ind w:left="4"/>
                    <w:jc w:val="center"/>
                  </w:pPr>
                  <w:r>
                    <w:rPr>
                      <w:sz w:val="18"/>
                    </w:rPr>
                    <w:t>DESCRIPCtóN</w:t>
                  </w:r>
                </w:p>
              </w:tc>
              <w:tc>
                <w:tcPr>
                  <w:tcW w:w="1400" w:type="dxa"/>
                  <w:tcBorders>
                    <w:top w:val="single" w:sz="2" w:space="0" w:color="000000"/>
                    <w:left w:val="single" w:sz="2" w:space="0" w:color="000000"/>
                    <w:bottom w:val="single" w:sz="2" w:space="0" w:color="000000"/>
                    <w:right w:val="single" w:sz="2" w:space="0" w:color="000000"/>
                  </w:tcBorders>
                </w:tcPr>
                <w:p w14:paraId="4EFEE95B" w14:textId="77777777" w:rsidR="00053D93" w:rsidRDefault="00260B75">
                  <w:pPr>
                    <w:ind w:left="11"/>
                    <w:jc w:val="center"/>
                  </w:pPr>
                  <w:r>
                    <w:rPr>
                      <w:sz w:val="18"/>
                    </w:rPr>
                    <w:t>RENGLÓN</w:t>
                  </w:r>
                </w:p>
                <w:p w14:paraId="244B34EA" w14:textId="77777777" w:rsidR="00053D93" w:rsidRDefault="00260B75">
                  <w:pPr>
                    <w:ind w:left="94"/>
                  </w:pPr>
                  <w:r>
                    <w:rPr>
                      <w:sz w:val="18"/>
                    </w:rPr>
                    <w:t xml:space="preserve">PRESUPUESTARIO </w:t>
                  </w:r>
                </w:p>
              </w:tc>
              <w:tc>
                <w:tcPr>
                  <w:tcW w:w="1097" w:type="dxa"/>
                  <w:tcBorders>
                    <w:top w:val="single" w:sz="2" w:space="0" w:color="000000"/>
                    <w:left w:val="single" w:sz="2" w:space="0" w:color="000000"/>
                    <w:bottom w:val="single" w:sz="2" w:space="0" w:color="000000"/>
                    <w:right w:val="single" w:sz="2" w:space="0" w:color="000000"/>
                  </w:tcBorders>
                </w:tcPr>
                <w:p w14:paraId="7439AD6D" w14:textId="77777777" w:rsidR="00053D93" w:rsidRDefault="00260B75">
                  <w:pPr>
                    <w:ind w:left="19"/>
                    <w:jc w:val="center"/>
                  </w:pPr>
                  <w:r>
                    <w:rPr>
                      <w:sz w:val="18"/>
                    </w:rPr>
                    <w:t>FECHA DE</w:t>
                  </w:r>
                </w:p>
                <w:p w14:paraId="63BF262E" w14:textId="77777777" w:rsidR="00053D93" w:rsidRDefault="00260B75">
                  <w:pPr>
                    <w:ind w:left="19"/>
                    <w:jc w:val="center"/>
                  </w:pPr>
                  <w:r>
                    <w:rPr>
                      <w:sz w:val="16"/>
                    </w:rPr>
                    <w:t>UTILIZACIÓN</w:t>
                  </w:r>
                </w:p>
              </w:tc>
              <w:tc>
                <w:tcPr>
                  <w:tcW w:w="1092" w:type="dxa"/>
                  <w:tcBorders>
                    <w:top w:val="single" w:sz="2" w:space="0" w:color="000000"/>
                    <w:left w:val="single" w:sz="2" w:space="0" w:color="000000"/>
                    <w:bottom w:val="single" w:sz="2" w:space="0" w:color="000000"/>
                    <w:right w:val="single" w:sz="2" w:space="0" w:color="000000"/>
                  </w:tcBorders>
                </w:tcPr>
                <w:p w14:paraId="3728AF05" w14:textId="77777777" w:rsidR="00053D93" w:rsidRDefault="00260B75">
                  <w:pPr>
                    <w:ind w:left="19"/>
                    <w:jc w:val="center"/>
                  </w:pPr>
                  <w:r>
                    <w:rPr>
                      <w:sz w:val="18"/>
                    </w:rPr>
                    <w:t>EXISTENCIA</w:t>
                  </w:r>
                </w:p>
                <w:p w14:paraId="2ECF1368" w14:textId="77777777" w:rsidR="00053D93" w:rsidRDefault="00260B75">
                  <w:pPr>
                    <w:ind w:left="116"/>
                  </w:pPr>
                  <w:r>
                    <w:rPr>
                      <w:sz w:val="16"/>
                    </w:rPr>
                    <w:t>DE ALMACÉN</w:t>
                  </w:r>
                </w:p>
              </w:tc>
              <w:tc>
                <w:tcPr>
                  <w:tcW w:w="954" w:type="dxa"/>
                  <w:tcBorders>
                    <w:top w:val="single" w:sz="2" w:space="0" w:color="000000"/>
                    <w:left w:val="single" w:sz="2" w:space="0" w:color="000000"/>
                    <w:bottom w:val="single" w:sz="2" w:space="0" w:color="000000"/>
                    <w:right w:val="single" w:sz="2" w:space="0" w:color="000000"/>
                  </w:tcBorders>
                </w:tcPr>
                <w:p w14:paraId="59284649" w14:textId="77777777" w:rsidR="00053D93" w:rsidRDefault="00260B75">
                  <w:pPr>
                    <w:ind w:left="140"/>
                  </w:pPr>
                  <w:r>
                    <w:rPr>
                      <w:sz w:val="16"/>
                    </w:rPr>
                    <w:t>MONTO DE</w:t>
                  </w:r>
                </w:p>
                <w:p w14:paraId="791D3FA0" w14:textId="77777777" w:rsidR="00053D93" w:rsidRDefault="00260B75">
                  <w:pPr>
                    <w:ind w:left="90"/>
                  </w:pPr>
                  <w:r>
                    <w:rPr>
                      <w:sz w:val="18"/>
                    </w:rPr>
                    <w:t>EXISTENCIA</w:t>
                  </w:r>
                </w:p>
              </w:tc>
            </w:tr>
            <w:tr w:rsidR="00053D93" w14:paraId="77B1D0C4" w14:textId="77777777">
              <w:trPr>
                <w:trHeight w:val="288"/>
              </w:trPr>
              <w:tc>
                <w:tcPr>
                  <w:tcW w:w="285" w:type="dxa"/>
                  <w:tcBorders>
                    <w:top w:val="single" w:sz="2" w:space="0" w:color="000000"/>
                    <w:left w:val="single" w:sz="2" w:space="0" w:color="000000"/>
                    <w:bottom w:val="single" w:sz="2" w:space="0" w:color="000000"/>
                    <w:right w:val="nil"/>
                  </w:tcBorders>
                </w:tcPr>
                <w:p w14:paraId="21B3D894" w14:textId="77777777" w:rsidR="00053D93" w:rsidRDefault="00053D93"/>
              </w:tc>
              <w:tc>
                <w:tcPr>
                  <w:tcW w:w="892" w:type="dxa"/>
                  <w:gridSpan w:val="3"/>
                  <w:tcBorders>
                    <w:top w:val="single" w:sz="2" w:space="0" w:color="000000"/>
                    <w:left w:val="nil"/>
                    <w:bottom w:val="single" w:sz="2" w:space="0" w:color="000000"/>
                    <w:right w:val="nil"/>
                  </w:tcBorders>
                </w:tcPr>
                <w:p w14:paraId="0B887904" w14:textId="77777777" w:rsidR="00053D93" w:rsidRDefault="00053D93"/>
              </w:tc>
              <w:tc>
                <w:tcPr>
                  <w:tcW w:w="5100" w:type="dxa"/>
                  <w:gridSpan w:val="4"/>
                  <w:tcBorders>
                    <w:top w:val="single" w:sz="2" w:space="0" w:color="000000"/>
                    <w:left w:val="nil"/>
                    <w:bottom w:val="single" w:sz="2" w:space="0" w:color="000000"/>
                    <w:right w:val="nil"/>
                  </w:tcBorders>
                </w:tcPr>
                <w:p w14:paraId="0D973A5D" w14:textId="77777777" w:rsidR="00053D93" w:rsidRDefault="00260B75">
                  <w:pPr>
                    <w:ind w:left="1609"/>
                  </w:pPr>
                  <w:r>
                    <w:rPr>
                      <w:sz w:val="16"/>
                    </w:rPr>
                    <w:t>VERIFICACION REALIZADA EL 24/0112025</w:t>
                  </w:r>
                </w:p>
              </w:tc>
              <w:tc>
                <w:tcPr>
                  <w:tcW w:w="1092" w:type="dxa"/>
                  <w:tcBorders>
                    <w:top w:val="single" w:sz="2" w:space="0" w:color="000000"/>
                    <w:left w:val="nil"/>
                    <w:bottom w:val="single" w:sz="2" w:space="0" w:color="000000"/>
                    <w:right w:val="nil"/>
                  </w:tcBorders>
                </w:tcPr>
                <w:p w14:paraId="7DA6C631" w14:textId="77777777" w:rsidR="00053D93" w:rsidRDefault="00053D93"/>
              </w:tc>
              <w:tc>
                <w:tcPr>
                  <w:tcW w:w="954" w:type="dxa"/>
                  <w:tcBorders>
                    <w:top w:val="single" w:sz="2" w:space="0" w:color="000000"/>
                    <w:left w:val="nil"/>
                    <w:bottom w:val="single" w:sz="2" w:space="0" w:color="000000"/>
                    <w:right w:val="single" w:sz="2" w:space="0" w:color="000000"/>
                  </w:tcBorders>
                </w:tcPr>
                <w:p w14:paraId="020E3FCA" w14:textId="77777777" w:rsidR="00053D93" w:rsidRDefault="00053D93"/>
              </w:tc>
            </w:tr>
            <w:tr w:rsidR="00053D93" w14:paraId="3CF097B9" w14:textId="77777777">
              <w:trPr>
                <w:trHeight w:val="288"/>
              </w:trPr>
              <w:tc>
                <w:tcPr>
                  <w:tcW w:w="285" w:type="dxa"/>
                  <w:tcBorders>
                    <w:top w:val="single" w:sz="2" w:space="0" w:color="000000"/>
                    <w:left w:val="single" w:sz="2" w:space="0" w:color="000000"/>
                    <w:bottom w:val="single" w:sz="2" w:space="0" w:color="000000"/>
                    <w:right w:val="nil"/>
                  </w:tcBorders>
                </w:tcPr>
                <w:p w14:paraId="7BA2EBBC" w14:textId="77777777" w:rsidR="00053D93" w:rsidRDefault="00053D93"/>
              </w:tc>
              <w:tc>
                <w:tcPr>
                  <w:tcW w:w="892" w:type="dxa"/>
                  <w:gridSpan w:val="3"/>
                  <w:tcBorders>
                    <w:top w:val="single" w:sz="2" w:space="0" w:color="000000"/>
                    <w:left w:val="nil"/>
                    <w:bottom w:val="single" w:sz="2" w:space="0" w:color="000000"/>
                    <w:right w:val="nil"/>
                  </w:tcBorders>
                </w:tcPr>
                <w:p w14:paraId="343A77DE" w14:textId="77777777" w:rsidR="00053D93" w:rsidRDefault="00053D93"/>
              </w:tc>
              <w:tc>
                <w:tcPr>
                  <w:tcW w:w="5100" w:type="dxa"/>
                  <w:gridSpan w:val="4"/>
                  <w:tcBorders>
                    <w:top w:val="single" w:sz="2" w:space="0" w:color="000000"/>
                    <w:left w:val="nil"/>
                    <w:bottom w:val="single" w:sz="2" w:space="0" w:color="000000"/>
                    <w:right w:val="nil"/>
                  </w:tcBorders>
                </w:tcPr>
                <w:p w14:paraId="42156121" w14:textId="77777777" w:rsidR="00053D93" w:rsidRDefault="00260B75">
                  <w:pPr>
                    <w:ind w:left="768"/>
                    <w:jc w:val="center"/>
                  </w:pPr>
                  <w:r>
                    <w:rPr>
                      <w:sz w:val="16"/>
                    </w:rPr>
                    <w:t>Deearrollo Deportivo Escolar</w:t>
                  </w:r>
                </w:p>
              </w:tc>
              <w:tc>
                <w:tcPr>
                  <w:tcW w:w="1092" w:type="dxa"/>
                  <w:tcBorders>
                    <w:top w:val="single" w:sz="2" w:space="0" w:color="000000"/>
                    <w:left w:val="nil"/>
                    <w:bottom w:val="single" w:sz="2" w:space="0" w:color="000000"/>
                    <w:right w:val="nil"/>
                  </w:tcBorders>
                </w:tcPr>
                <w:p w14:paraId="493C14E4" w14:textId="77777777" w:rsidR="00053D93" w:rsidRDefault="00053D93"/>
              </w:tc>
              <w:tc>
                <w:tcPr>
                  <w:tcW w:w="954" w:type="dxa"/>
                  <w:tcBorders>
                    <w:top w:val="single" w:sz="2" w:space="0" w:color="000000"/>
                    <w:left w:val="nil"/>
                    <w:bottom w:val="single" w:sz="2" w:space="0" w:color="000000"/>
                    <w:right w:val="single" w:sz="2" w:space="0" w:color="000000"/>
                  </w:tcBorders>
                </w:tcPr>
                <w:p w14:paraId="20FA49DE" w14:textId="77777777" w:rsidR="00053D93" w:rsidRDefault="00053D93"/>
              </w:tc>
            </w:tr>
            <w:tr w:rsidR="00053D93" w14:paraId="4C02FA12" w14:textId="77777777">
              <w:trPr>
                <w:trHeight w:val="379"/>
              </w:trPr>
              <w:tc>
                <w:tcPr>
                  <w:tcW w:w="285" w:type="dxa"/>
                  <w:tcBorders>
                    <w:top w:val="single" w:sz="2" w:space="0" w:color="000000"/>
                    <w:left w:val="single" w:sz="2" w:space="0" w:color="000000"/>
                    <w:bottom w:val="single" w:sz="2" w:space="0" w:color="000000"/>
                    <w:right w:val="single" w:sz="2" w:space="0" w:color="000000"/>
                  </w:tcBorders>
                </w:tcPr>
                <w:p w14:paraId="74F97862" w14:textId="77777777" w:rsidR="00053D93" w:rsidRDefault="00260B75">
                  <w:pPr>
                    <w:ind w:left="29"/>
                  </w:pPr>
                  <w:r>
                    <w:rPr>
                      <w:rFonts w:ascii="Times New Roman" w:eastAsia="Times New Roman" w:hAnsi="Times New Roman" w:cs="Times New Roman"/>
                      <w:sz w:val="16"/>
                    </w:rPr>
                    <w:t>13</w:t>
                  </w:r>
                </w:p>
              </w:tc>
              <w:tc>
                <w:tcPr>
                  <w:tcW w:w="892" w:type="dxa"/>
                  <w:gridSpan w:val="3"/>
                  <w:tcBorders>
                    <w:top w:val="single" w:sz="2" w:space="0" w:color="000000"/>
                    <w:left w:val="single" w:sz="2" w:space="0" w:color="000000"/>
                    <w:bottom w:val="single" w:sz="2" w:space="0" w:color="000000"/>
                    <w:right w:val="single" w:sz="2" w:space="0" w:color="000000"/>
                  </w:tcBorders>
                </w:tcPr>
                <w:p w14:paraId="218C4230" w14:textId="77777777" w:rsidR="00053D93" w:rsidRDefault="00260B75">
                  <w:pPr>
                    <w:ind w:right="22"/>
                    <w:jc w:val="center"/>
                  </w:pPr>
                  <w:r>
                    <w:rPr>
                      <w:rFonts w:ascii="Times New Roman" w:eastAsia="Times New Roman" w:hAnsi="Times New Roman" w:cs="Times New Roman"/>
                      <w:sz w:val="16"/>
                    </w:rPr>
                    <w:t>324013</w:t>
                  </w:r>
                </w:p>
              </w:tc>
              <w:tc>
                <w:tcPr>
                  <w:tcW w:w="1282" w:type="dxa"/>
                  <w:tcBorders>
                    <w:top w:val="single" w:sz="2" w:space="0" w:color="000000"/>
                    <w:left w:val="single" w:sz="2" w:space="0" w:color="000000"/>
                    <w:bottom w:val="single" w:sz="2" w:space="0" w:color="000000"/>
                    <w:right w:val="single" w:sz="2" w:space="0" w:color="000000"/>
                  </w:tcBorders>
                </w:tcPr>
                <w:p w14:paraId="1CD3E536" w14:textId="77777777" w:rsidR="00053D93" w:rsidRDefault="00260B75">
                  <w:pPr>
                    <w:jc w:val="center"/>
                  </w:pPr>
                  <w:r>
                    <w:rPr>
                      <w:rFonts w:ascii="Times New Roman" w:eastAsia="Times New Roman" w:hAnsi="Times New Roman" w:cs="Times New Roman"/>
                      <w:sz w:val="14"/>
                    </w:rPr>
                    <w:t>2024-2458</w:t>
                  </w:r>
                </w:p>
              </w:tc>
              <w:tc>
                <w:tcPr>
                  <w:tcW w:w="1321" w:type="dxa"/>
                  <w:tcBorders>
                    <w:top w:val="single" w:sz="2" w:space="0" w:color="000000"/>
                    <w:left w:val="single" w:sz="2" w:space="0" w:color="000000"/>
                    <w:bottom w:val="single" w:sz="2" w:space="0" w:color="000000"/>
                    <w:right w:val="single" w:sz="2" w:space="0" w:color="000000"/>
                  </w:tcBorders>
                </w:tcPr>
                <w:p w14:paraId="080CFDD2" w14:textId="77777777" w:rsidR="00053D93" w:rsidRDefault="00260B75">
                  <w:pPr>
                    <w:ind w:left="83"/>
                  </w:pPr>
                  <w:r>
                    <w:rPr>
                      <w:sz w:val="16"/>
                    </w:rPr>
                    <w:t>Barre asimétrica para gimnasia</w:t>
                  </w:r>
                </w:p>
              </w:tc>
              <w:tc>
                <w:tcPr>
                  <w:tcW w:w="1400" w:type="dxa"/>
                  <w:tcBorders>
                    <w:top w:val="single" w:sz="2" w:space="0" w:color="000000"/>
                    <w:left w:val="single" w:sz="2" w:space="0" w:color="000000"/>
                    <w:bottom w:val="single" w:sz="2" w:space="0" w:color="000000"/>
                    <w:right w:val="single" w:sz="2" w:space="0" w:color="000000"/>
                  </w:tcBorders>
                </w:tcPr>
                <w:p w14:paraId="7572136A" w14:textId="77777777" w:rsidR="00053D93" w:rsidRDefault="00260B75">
                  <w:pPr>
                    <w:ind w:left="4"/>
                    <w:jc w:val="center"/>
                  </w:pPr>
                  <w:r>
                    <w:rPr>
                      <w:rFonts w:ascii="Times New Roman" w:eastAsia="Times New Roman" w:hAnsi="Times New Roman" w:cs="Times New Roman"/>
                      <w:sz w:val="14"/>
                    </w:rPr>
                    <w:t>324</w:t>
                  </w:r>
                </w:p>
              </w:tc>
              <w:tc>
                <w:tcPr>
                  <w:tcW w:w="1097" w:type="dxa"/>
                  <w:tcBorders>
                    <w:top w:val="single" w:sz="2" w:space="0" w:color="000000"/>
                    <w:left w:val="single" w:sz="2" w:space="0" w:color="000000"/>
                    <w:bottom w:val="single" w:sz="2" w:space="0" w:color="000000"/>
                    <w:right w:val="single" w:sz="2" w:space="0" w:color="000000"/>
                  </w:tcBorders>
                </w:tcPr>
                <w:p w14:paraId="345FB734" w14:textId="77777777" w:rsidR="00053D93" w:rsidRDefault="00260B75">
                  <w:pPr>
                    <w:ind w:left="26"/>
                    <w:jc w:val="center"/>
                  </w:pPr>
                  <w:r>
                    <w:rPr>
                      <w:rFonts w:ascii="Times New Roman" w:eastAsia="Times New Roman" w:hAnsi="Times New Roman" w:cs="Times New Roman"/>
                      <w:sz w:val="14"/>
                    </w:rPr>
                    <w:t>1210812024</w:t>
                  </w:r>
                </w:p>
              </w:tc>
              <w:tc>
                <w:tcPr>
                  <w:tcW w:w="1092" w:type="dxa"/>
                  <w:tcBorders>
                    <w:top w:val="single" w:sz="2" w:space="0" w:color="000000"/>
                    <w:left w:val="single" w:sz="2" w:space="0" w:color="000000"/>
                    <w:bottom w:val="single" w:sz="2" w:space="0" w:color="000000"/>
                    <w:right w:val="single" w:sz="2" w:space="0" w:color="000000"/>
                  </w:tcBorders>
                </w:tcPr>
                <w:p w14:paraId="57041CBB" w14:textId="77777777" w:rsidR="00053D93" w:rsidRDefault="00053D93"/>
              </w:tc>
              <w:tc>
                <w:tcPr>
                  <w:tcW w:w="954" w:type="dxa"/>
                  <w:tcBorders>
                    <w:top w:val="single" w:sz="2" w:space="0" w:color="000000"/>
                    <w:left w:val="single" w:sz="2" w:space="0" w:color="000000"/>
                    <w:bottom w:val="single" w:sz="2" w:space="0" w:color="000000"/>
                    <w:right w:val="single" w:sz="2" w:space="0" w:color="000000"/>
                  </w:tcBorders>
                </w:tcPr>
                <w:p w14:paraId="53CF1FC7" w14:textId="77777777" w:rsidR="00053D93" w:rsidRDefault="00260B75">
                  <w:pPr>
                    <w:ind w:left="299"/>
                  </w:pPr>
                  <w:r>
                    <w:rPr>
                      <w:sz w:val="14"/>
                    </w:rPr>
                    <w:t>42,000.oo</w:t>
                  </w:r>
                </w:p>
              </w:tc>
            </w:tr>
            <w:tr w:rsidR="00053D93" w14:paraId="2ED9F127" w14:textId="77777777">
              <w:trPr>
                <w:trHeight w:val="610"/>
              </w:trPr>
              <w:tc>
                <w:tcPr>
                  <w:tcW w:w="285" w:type="dxa"/>
                  <w:tcBorders>
                    <w:top w:val="single" w:sz="2" w:space="0" w:color="000000"/>
                    <w:left w:val="single" w:sz="2" w:space="0" w:color="000000"/>
                    <w:bottom w:val="single" w:sz="2" w:space="0" w:color="000000"/>
                    <w:right w:val="single" w:sz="2" w:space="0" w:color="000000"/>
                  </w:tcBorders>
                </w:tcPr>
                <w:p w14:paraId="29406A25" w14:textId="77777777" w:rsidR="00053D93" w:rsidRDefault="00260B75">
                  <w:pPr>
                    <w:ind w:left="29"/>
                  </w:pPr>
                  <w:r>
                    <w:rPr>
                      <w:rFonts w:ascii="Times New Roman" w:eastAsia="Times New Roman" w:hAnsi="Times New Roman" w:cs="Times New Roman"/>
                      <w:sz w:val="16"/>
                    </w:rPr>
                    <w:t>14</w:t>
                  </w:r>
                </w:p>
              </w:tc>
              <w:tc>
                <w:tcPr>
                  <w:tcW w:w="892" w:type="dxa"/>
                  <w:gridSpan w:val="3"/>
                  <w:tcBorders>
                    <w:top w:val="single" w:sz="2" w:space="0" w:color="000000"/>
                    <w:left w:val="single" w:sz="2" w:space="0" w:color="000000"/>
                    <w:bottom w:val="single" w:sz="2" w:space="0" w:color="000000"/>
                    <w:right w:val="single" w:sz="2" w:space="0" w:color="000000"/>
                  </w:tcBorders>
                </w:tcPr>
                <w:p w14:paraId="2734CC9C" w14:textId="77777777" w:rsidR="00053D93" w:rsidRDefault="00260B75">
                  <w:pPr>
                    <w:ind w:right="15"/>
                    <w:jc w:val="center"/>
                  </w:pPr>
                  <w:r>
                    <w:rPr>
                      <w:rFonts w:ascii="Times New Roman" w:eastAsia="Times New Roman" w:hAnsi="Times New Roman" w:cs="Times New Roman"/>
                      <w:sz w:val="14"/>
                    </w:rPr>
                    <w:t>324014</w:t>
                  </w:r>
                </w:p>
              </w:tc>
              <w:tc>
                <w:tcPr>
                  <w:tcW w:w="1282" w:type="dxa"/>
                  <w:tcBorders>
                    <w:top w:val="single" w:sz="2" w:space="0" w:color="000000"/>
                    <w:left w:val="single" w:sz="2" w:space="0" w:color="000000"/>
                    <w:bottom w:val="single" w:sz="2" w:space="0" w:color="000000"/>
                    <w:right w:val="single" w:sz="2" w:space="0" w:color="000000"/>
                  </w:tcBorders>
                </w:tcPr>
                <w:p w14:paraId="2F9A34DF" w14:textId="77777777" w:rsidR="00053D93" w:rsidRDefault="00260B75">
                  <w:pPr>
                    <w:ind w:left="7"/>
                    <w:jc w:val="center"/>
                  </w:pPr>
                  <w:r>
                    <w:rPr>
                      <w:rFonts w:ascii="Times New Roman" w:eastAsia="Times New Roman" w:hAnsi="Times New Roman" w:cs="Times New Roman"/>
                      <w:sz w:val="14"/>
                    </w:rPr>
                    <w:t>2024-2453</w:t>
                  </w:r>
                </w:p>
              </w:tc>
              <w:tc>
                <w:tcPr>
                  <w:tcW w:w="1321" w:type="dxa"/>
                  <w:tcBorders>
                    <w:top w:val="single" w:sz="2" w:space="0" w:color="000000"/>
                    <w:left w:val="single" w:sz="2" w:space="0" w:color="000000"/>
                    <w:bottom w:val="single" w:sz="2" w:space="0" w:color="000000"/>
                    <w:right w:val="single" w:sz="2" w:space="0" w:color="000000"/>
                  </w:tcBorders>
                </w:tcPr>
                <w:p w14:paraId="49EB0B54" w14:textId="77777777" w:rsidR="00053D93" w:rsidRDefault="00260B75">
                  <w:pPr>
                    <w:ind w:left="83" w:right="72"/>
                    <w:jc w:val="both"/>
                  </w:pPr>
                  <w:r>
                    <w:rPr>
                      <w:sz w:val="16"/>
                    </w:rPr>
                    <w:t>Trampolín de competición para gimnasia</w:t>
                  </w:r>
                </w:p>
              </w:tc>
              <w:tc>
                <w:tcPr>
                  <w:tcW w:w="1400" w:type="dxa"/>
                  <w:tcBorders>
                    <w:top w:val="single" w:sz="2" w:space="0" w:color="000000"/>
                    <w:left w:val="single" w:sz="2" w:space="0" w:color="000000"/>
                    <w:bottom w:val="single" w:sz="2" w:space="0" w:color="000000"/>
                    <w:right w:val="single" w:sz="2" w:space="0" w:color="000000"/>
                  </w:tcBorders>
                </w:tcPr>
                <w:p w14:paraId="591E77D2" w14:textId="77777777" w:rsidR="00053D93" w:rsidRDefault="00260B75">
                  <w:pPr>
                    <w:ind w:left="18"/>
                    <w:jc w:val="center"/>
                  </w:pPr>
                  <w:r>
                    <w:rPr>
                      <w:rFonts w:ascii="Times New Roman" w:eastAsia="Times New Roman" w:hAnsi="Times New Roman" w:cs="Times New Roman"/>
                      <w:sz w:val="14"/>
                    </w:rPr>
                    <w:t>324</w:t>
                  </w:r>
                </w:p>
              </w:tc>
              <w:tc>
                <w:tcPr>
                  <w:tcW w:w="1097" w:type="dxa"/>
                  <w:tcBorders>
                    <w:top w:val="single" w:sz="2" w:space="0" w:color="000000"/>
                    <w:left w:val="single" w:sz="2" w:space="0" w:color="000000"/>
                    <w:bottom w:val="single" w:sz="2" w:space="0" w:color="000000"/>
                    <w:right w:val="single" w:sz="2" w:space="0" w:color="000000"/>
                  </w:tcBorders>
                </w:tcPr>
                <w:p w14:paraId="00E7991F" w14:textId="77777777" w:rsidR="00053D93" w:rsidRDefault="00260B75">
                  <w:pPr>
                    <w:ind w:left="40"/>
                    <w:jc w:val="center"/>
                  </w:pPr>
                  <w:r>
                    <w:rPr>
                      <w:rFonts w:ascii="Times New Roman" w:eastAsia="Times New Roman" w:hAnsi="Times New Roman" w:cs="Times New Roman"/>
                      <w:sz w:val="14"/>
                    </w:rPr>
                    <w:t>12/0812024</w:t>
                  </w:r>
                </w:p>
              </w:tc>
              <w:tc>
                <w:tcPr>
                  <w:tcW w:w="1092" w:type="dxa"/>
                  <w:tcBorders>
                    <w:top w:val="single" w:sz="2" w:space="0" w:color="000000"/>
                    <w:left w:val="single" w:sz="2" w:space="0" w:color="000000"/>
                    <w:bottom w:val="single" w:sz="2" w:space="0" w:color="000000"/>
                    <w:right w:val="single" w:sz="2" w:space="0" w:color="000000"/>
                  </w:tcBorders>
                </w:tcPr>
                <w:p w14:paraId="4FE9E7F8" w14:textId="77777777" w:rsidR="00053D93" w:rsidRDefault="00053D93"/>
              </w:tc>
              <w:tc>
                <w:tcPr>
                  <w:tcW w:w="954" w:type="dxa"/>
                  <w:tcBorders>
                    <w:top w:val="single" w:sz="2" w:space="0" w:color="000000"/>
                    <w:left w:val="single" w:sz="2" w:space="0" w:color="000000"/>
                    <w:bottom w:val="single" w:sz="2" w:space="0" w:color="000000"/>
                    <w:right w:val="single" w:sz="2" w:space="0" w:color="000000"/>
                  </w:tcBorders>
                </w:tcPr>
                <w:p w14:paraId="5B74E74A" w14:textId="77777777" w:rsidR="00053D93" w:rsidRDefault="00260B75">
                  <w:pPr>
                    <w:ind w:right="58"/>
                    <w:jc w:val="right"/>
                  </w:pPr>
                  <w:r>
                    <w:rPr>
                      <w:rFonts w:ascii="Times New Roman" w:eastAsia="Times New Roman" w:hAnsi="Times New Roman" w:cs="Times New Roman"/>
                      <w:sz w:val="16"/>
                    </w:rPr>
                    <w:t>19.990.00</w:t>
                  </w:r>
                </w:p>
              </w:tc>
            </w:tr>
            <w:tr w:rsidR="00053D93" w14:paraId="2AD42166" w14:textId="77777777">
              <w:trPr>
                <w:trHeight w:val="257"/>
              </w:trPr>
              <w:tc>
                <w:tcPr>
                  <w:tcW w:w="285" w:type="dxa"/>
                  <w:vMerge w:val="restart"/>
                  <w:tcBorders>
                    <w:top w:val="single" w:sz="2" w:space="0" w:color="000000"/>
                    <w:left w:val="single" w:sz="2" w:space="0" w:color="000000"/>
                    <w:bottom w:val="nil"/>
                    <w:right w:val="single" w:sz="2" w:space="0" w:color="000000"/>
                  </w:tcBorders>
                </w:tcPr>
                <w:p w14:paraId="7A0534E3" w14:textId="77777777" w:rsidR="00053D93" w:rsidRDefault="00260B75">
                  <w:pPr>
                    <w:ind w:left="29"/>
                  </w:pPr>
                  <w:r>
                    <w:rPr>
                      <w:rFonts w:ascii="Times New Roman" w:eastAsia="Times New Roman" w:hAnsi="Times New Roman" w:cs="Times New Roman"/>
                      <w:sz w:val="16"/>
                    </w:rPr>
                    <w:t>15</w:t>
                  </w:r>
                </w:p>
                <w:p w14:paraId="34CAF2DC" w14:textId="77777777" w:rsidR="00053D93" w:rsidRDefault="00260B75">
                  <w:pPr>
                    <w:ind w:left="22"/>
                  </w:pPr>
                  <w:r>
                    <w:rPr>
                      <w:noProof/>
                    </w:rPr>
                    <w:drawing>
                      <wp:inline distT="0" distB="0" distL="0" distR="0" wp14:anchorId="40453622" wp14:editId="3A3A7A76">
                        <wp:extent cx="164592" cy="406908"/>
                        <wp:effectExtent l="0" t="0" r="0" b="0"/>
                        <wp:docPr id="472694" name="Picture 472694"/>
                        <wp:cNvGraphicFramePr/>
                        <a:graphic xmlns:a="http://schemas.openxmlformats.org/drawingml/2006/main">
                          <a:graphicData uri="http://schemas.openxmlformats.org/drawingml/2006/picture">
                            <pic:pic xmlns:pic="http://schemas.openxmlformats.org/drawingml/2006/picture">
                              <pic:nvPicPr>
                                <pic:cNvPr id="472694" name="Picture 472694"/>
                                <pic:cNvPicPr/>
                              </pic:nvPicPr>
                              <pic:blipFill>
                                <a:blip r:embed="rId735"/>
                                <a:stretch>
                                  <a:fillRect/>
                                </a:stretch>
                              </pic:blipFill>
                              <pic:spPr>
                                <a:xfrm>
                                  <a:off x="0" y="0"/>
                                  <a:ext cx="164592" cy="406908"/>
                                </a:xfrm>
                                <a:prstGeom prst="rect">
                                  <a:avLst/>
                                </a:prstGeom>
                              </pic:spPr>
                            </pic:pic>
                          </a:graphicData>
                        </a:graphic>
                      </wp:inline>
                    </w:drawing>
                  </w:r>
                </w:p>
              </w:tc>
              <w:tc>
                <w:tcPr>
                  <w:tcW w:w="892" w:type="dxa"/>
                  <w:gridSpan w:val="3"/>
                  <w:tcBorders>
                    <w:top w:val="single" w:sz="2" w:space="0" w:color="000000"/>
                    <w:left w:val="single" w:sz="2" w:space="0" w:color="000000"/>
                    <w:bottom w:val="nil"/>
                    <w:right w:val="single" w:sz="2" w:space="0" w:color="000000"/>
                  </w:tcBorders>
                </w:tcPr>
                <w:p w14:paraId="68D3A847" w14:textId="77777777" w:rsidR="00053D93" w:rsidRDefault="00260B75">
                  <w:pPr>
                    <w:ind w:right="15"/>
                    <w:jc w:val="center"/>
                  </w:pPr>
                  <w:r>
                    <w:rPr>
                      <w:rFonts w:ascii="Times New Roman" w:eastAsia="Times New Roman" w:hAnsi="Times New Roman" w:cs="Times New Roman"/>
                      <w:sz w:val="14"/>
                    </w:rPr>
                    <w:t>294088</w:t>
                  </w:r>
                </w:p>
              </w:tc>
              <w:tc>
                <w:tcPr>
                  <w:tcW w:w="1282" w:type="dxa"/>
                  <w:tcBorders>
                    <w:top w:val="single" w:sz="2" w:space="0" w:color="000000"/>
                    <w:left w:val="single" w:sz="2" w:space="0" w:color="000000"/>
                    <w:bottom w:val="single" w:sz="2" w:space="0" w:color="000000"/>
                    <w:right w:val="single" w:sz="2" w:space="0" w:color="000000"/>
                  </w:tcBorders>
                </w:tcPr>
                <w:p w14:paraId="1AEB9B24" w14:textId="77777777" w:rsidR="00053D93" w:rsidRDefault="00260B75">
                  <w:pPr>
                    <w:ind w:left="7"/>
                    <w:jc w:val="center"/>
                  </w:pPr>
                  <w:r>
                    <w:rPr>
                      <w:rFonts w:ascii="Times New Roman" w:eastAsia="Times New Roman" w:hAnsi="Times New Roman" w:cs="Times New Roman"/>
                      <w:sz w:val="14"/>
                    </w:rPr>
                    <w:t>2024-18628</w:t>
                  </w:r>
                </w:p>
              </w:tc>
              <w:tc>
                <w:tcPr>
                  <w:tcW w:w="1321" w:type="dxa"/>
                  <w:tcBorders>
                    <w:top w:val="single" w:sz="2" w:space="0" w:color="000000"/>
                    <w:left w:val="single" w:sz="2" w:space="0" w:color="000000"/>
                    <w:bottom w:val="single" w:sz="2" w:space="0" w:color="000000"/>
                    <w:right w:val="single" w:sz="2" w:space="0" w:color="000000"/>
                  </w:tcBorders>
                </w:tcPr>
                <w:p w14:paraId="5BAB6468" w14:textId="77777777" w:rsidR="00053D93" w:rsidRDefault="00260B75">
                  <w:pPr>
                    <w:ind w:left="90"/>
                  </w:pPr>
                  <w:r>
                    <w:rPr>
                      <w:sz w:val="16"/>
                    </w:rPr>
                    <w:t>Reto] de ajedrez</w:t>
                  </w:r>
                </w:p>
              </w:tc>
              <w:tc>
                <w:tcPr>
                  <w:tcW w:w="1400" w:type="dxa"/>
                  <w:tcBorders>
                    <w:top w:val="single" w:sz="2" w:space="0" w:color="000000"/>
                    <w:left w:val="single" w:sz="2" w:space="0" w:color="000000"/>
                    <w:bottom w:val="single" w:sz="2" w:space="0" w:color="000000"/>
                    <w:right w:val="single" w:sz="2" w:space="0" w:color="000000"/>
                  </w:tcBorders>
                </w:tcPr>
                <w:p w14:paraId="5937C9B0" w14:textId="77777777" w:rsidR="00053D93" w:rsidRDefault="00260B75">
                  <w:pPr>
                    <w:ind w:left="18"/>
                    <w:jc w:val="center"/>
                  </w:pPr>
                  <w:r>
                    <w:rPr>
                      <w:rFonts w:ascii="Times New Roman" w:eastAsia="Times New Roman" w:hAnsi="Times New Roman" w:cs="Times New Roman"/>
                      <w:sz w:val="14"/>
                    </w:rPr>
                    <w:t>294</w:t>
                  </w:r>
                </w:p>
              </w:tc>
              <w:tc>
                <w:tcPr>
                  <w:tcW w:w="1097" w:type="dxa"/>
                  <w:tcBorders>
                    <w:top w:val="single" w:sz="2" w:space="0" w:color="000000"/>
                    <w:left w:val="single" w:sz="2" w:space="0" w:color="000000"/>
                    <w:bottom w:val="single" w:sz="2" w:space="0" w:color="000000"/>
                    <w:right w:val="single" w:sz="2" w:space="0" w:color="000000"/>
                  </w:tcBorders>
                </w:tcPr>
                <w:p w14:paraId="4C4151F5" w14:textId="77777777" w:rsidR="00053D93" w:rsidRDefault="00053D93"/>
              </w:tc>
              <w:tc>
                <w:tcPr>
                  <w:tcW w:w="1092" w:type="dxa"/>
                  <w:tcBorders>
                    <w:top w:val="single" w:sz="2" w:space="0" w:color="000000"/>
                    <w:left w:val="single" w:sz="2" w:space="0" w:color="000000"/>
                    <w:bottom w:val="single" w:sz="2" w:space="0" w:color="000000"/>
                    <w:right w:val="single" w:sz="2" w:space="0" w:color="000000"/>
                  </w:tcBorders>
                </w:tcPr>
                <w:p w14:paraId="00F208DD" w14:textId="77777777" w:rsidR="00053D93" w:rsidRDefault="00260B75">
                  <w:pPr>
                    <w:ind w:left="40"/>
                    <w:jc w:val="center"/>
                  </w:pPr>
                  <w:r>
                    <w:rPr>
                      <w:rFonts w:ascii="Times New Roman" w:eastAsia="Times New Roman" w:hAnsi="Times New Roman" w:cs="Times New Roman"/>
                      <w:sz w:val="16"/>
                    </w:rPr>
                    <w:t>55</w:t>
                  </w:r>
                </w:p>
              </w:tc>
              <w:tc>
                <w:tcPr>
                  <w:tcW w:w="954" w:type="dxa"/>
                  <w:tcBorders>
                    <w:top w:val="single" w:sz="2" w:space="0" w:color="000000"/>
                    <w:left w:val="single" w:sz="2" w:space="0" w:color="000000"/>
                    <w:bottom w:val="single" w:sz="2" w:space="0" w:color="000000"/>
                    <w:right w:val="single" w:sz="2" w:space="0" w:color="000000"/>
                  </w:tcBorders>
                </w:tcPr>
                <w:p w14:paraId="604AA621" w14:textId="77777777" w:rsidR="00053D93" w:rsidRDefault="00260B75">
                  <w:pPr>
                    <w:ind w:right="50"/>
                    <w:jc w:val="right"/>
                  </w:pPr>
                  <w:r>
                    <w:rPr>
                      <w:rFonts w:ascii="Times New Roman" w:eastAsia="Times New Roman" w:hAnsi="Times New Roman" w:cs="Times New Roman"/>
                      <w:sz w:val="16"/>
                    </w:rPr>
                    <w:t>30.250.00</w:t>
                  </w:r>
                </w:p>
              </w:tc>
            </w:tr>
            <w:tr w:rsidR="00053D93" w14:paraId="7FCEF174" w14:textId="77777777">
              <w:trPr>
                <w:trHeight w:val="612"/>
              </w:trPr>
              <w:tc>
                <w:tcPr>
                  <w:tcW w:w="0" w:type="auto"/>
                  <w:vMerge/>
                  <w:tcBorders>
                    <w:top w:val="nil"/>
                    <w:left w:val="single" w:sz="2" w:space="0" w:color="000000"/>
                    <w:bottom w:val="nil"/>
                    <w:right w:val="single" w:sz="2" w:space="0" w:color="000000"/>
                  </w:tcBorders>
                </w:tcPr>
                <w:p w14:paraId="27120A17" w14:textId="77777777" w:rsidR="00053D93" w:rsidRDefault="00053D93"/>
              </w:tc>
              <w:tc>
                <w:tcPr>
                  <w:tcW w:w="281" w:type="dxa"/>
                  <w:tcBorders>
                    <w:top w:val="nil"/>
                    <w:left w:val="single" w:sz="2" w:space="0" w:color="000000"/>
                    <w:bottom w:val="nil"/>
                    <w:right w:val="single" w:sz="2" w:space="0" w:color="000000"/>
                  </w:tcBorders>
                </w:tcPr>
                <w:p w14:paraId="7A19EB7E" w14:textId="77777777" w:rsidR="00053D93" w:rsidRDefault="00053D93"/>
              </w:tc>
              <w:tc>
                <w:tcPr>
                  <w:tcW w:w="180" w:type="dxa"/>
                  <w:tcBorders>
                    <w:top w:val="nil"/>
                    <w:left w:val="single" w:sz="2" w:space="0" w:color="000000"/>
                    <w:bottom w:val="nil"/>
                    <w:right w:val="single" w:sz="2" w:space="0" w:color="000000"/>
                  </w:tcBorders>
                </w:tcPr>
                <w:p w14:paraId="4F6C4A7E" w14:textId="77777777" w:rsidR="00053D93" w:rsidRDefault="00053D93"/>
              </w:tc>
              <w:tc>
                <w:tcPr>
                  <w:tcW w:w="431" w:type="dxa"/>
                  <w:tcBorders>
                    <w:top w:val="single" w:sz="2" w:space="0" w:color="000000"/>
                    <w:left w:val="single" w:sz="2" w:space="0" w:color="000000"/>
                    <w:bottom w:val="nil"/>
                    <w:right w:val="nil"/>
                  </w:tcBorders>
                </w:tcPr>
                <w:p w14:paraId="08729839" w14:textId="77777777" w:rsidR="00053D93" w:rsidRDefault="00053D93"/>
              </w:tc>
              <w:tc>
                <w:tcPr>
                  <w:tcW w:w="5100" w:type="dxa"/>
                  <w:gridSpan w:val="4"/>
                  <w:tcBorders>
                    <w:top w:val="single" w:sz="2" w:space="0" w:color="000000"/>
                    <w:left w:val="nil"/>
                    <w:bottom w:val="nil"/>
                    <w:right w:val="nil"/>
                  </w:tcBorders>
                </w:tcPr>
                <w:p w14:paraId="2F466B05" w14:textId="77777777" w:rsidR="00053D93" w:rsidRDefault="00260B75">
                  <w:pPr>
                    <w:ind w:left="761"/>
                    <w:jc w:val="center"/>
                  </w:pPr>
                  <w:r>
                    <w:rPr>
                      <w:sz w:val="14"/>
                    </w:rPr>
                    <w:t>MINISTERIO OE EDUCACION</w:t>
                  </w:r>
                </w:p>
                <w:p w14:paraId="3B846E04" w14:textId="77777777" w:rsidR="00053D93" w:rsidRDefault="00260B75">
                  <w:pPr>
                    <w:ind w:left="1652"/>
                  </w:pPr>
                  <w:r>
                    <w:rPr>
                      <w:sz w:val="14"/>
                    </w:rPr>
                    <w:t>AUDITORIA FINANCIERA Y DE CUMPLIMIENTO</w:t>
                  </w:r>
                </w:p>
                <w:p w14:paraId="627D6911" w14:textId="77777777" w:rsidR="00053D93" w:rsidRDefault="00260B75">
                  <w:pPr>
                    <w:ind w:left="1321"/>
                  </w:pPr>
                  <w:r>
                    <w:rPr>
                      <w:sz w:val="14"/>
                    </w:rPr>
                    <w:t>PER(ODO DEL 01 DE ENERO AL 31 OE DICIEMBRE DE 2024</w:t>
                  </w:r>
                </w:p>
              </w:tc>
              <w:tc>
                <w:tcPr>
                  <w:tcW w:w="1092" w:type="dxa"/>
                  <w:tcBorders>
                    <w:top w:val="single" w:sz="2" w:space="0" w:color="000000"/>
                    <w:left w:val="nil"/>
                    <w:bottom w:val="nil"/>
                    <w:right w:val="nil"/>
                  </w:tcBorders>
                </w:tcPr>
                <w:p w14:paraId="0034944F" w14:textId="77777777" w:rsidR="00053D93" w:rsidRDefault="00053D93"/>
              </w:tc>
              <w:tc>
                <w:tcPr>
                  <w:tcW w:w="954" w:type="dxa"/>
                  <w:tcBorders>
                    <w:top w:val="single" w:sz="2" w:space="0" w:color="000000"/>
                    <w:left w:val="nil"/>
                    <w:bottom w:val="nil"/>
                    <w:right w:val="nil"/>
                  </w:tcBorders>
                </w:tcPr>
                <w:p w14:paraId="7C2A5A16" w14:textId="77777777" w:rsidR="00053D93" w:rsidRDefault="00053D93"/>
              </w:tc>
            </w:tr>
          </w:tbl>
          <w:p w14:paraId="4111FA48" w14:textId="77777777" w:rsidR="00053D93" w:rsidRDefault="00053D93"/>
        </w:tc>
      </w:tr>
      <w:tr w:rsidR="00053D93" w14:paraId="194C419F" w14:textId="77777777">
        <w:trPr>
          <w:trHeight w:val="5569"/>
        </w:trPr>
        <w:tc>
          <w:tcPr>
            <w:tcW w:w="1796" w:type="dxa"/>
            <w:tcBorders>
              <w:top w:val="nil"/>
              <w:left w:val="nil"/>
              <w:bottom w:val="nil"/>
              <w:right w:val="nil"/>
            </w:tcBorders>
            <w:vAlign w:val="bottom"/>
          </w:tcPr>
          <w:p w14:paraId="5970B4E0" w14:textId="77777777" w:rsidR="00053D93" w:rsidRDefault="00260B75">
            <w:pPr>
              <w:ind w:left="86"/>
            </w:pPr>
            <w:r>
              <w:rPr>
                <w:noProof/>
              </w:rPr>
              <w:lastRenderedPageBreak/>
              <w:drawing>
                <wp:inline distT="0" distB="0" distL="0" distR="0" wp14:anchorId="7078DEF9" wp14:editId="680EFC0D">
                  <wp:extent cx="1078992" cy="1147571"/>
                  <wp:effectExtent l="0" t="0" r="0" b="0"/>
                  <wp:docPr id="2458402" name="Picture 2458402"/>
                  <wp:cNvGraphicFramePr/>
                  <a:graphic xmlns:a="http://schemas.openxmlformats.org/drawingml/2006/main">
                    <a:graphicData uri="http://schemas.openxmlformats.org/drawingml/2006/picture">
                      <pic:pic xmlns:pic="http://schemas.openxmlformats.org/drawingml/2006/picture">
                        <pic:nvPicPr>
                          <pic:cNvPr id="2458402" name="Picture 2458402"/>
                          <pic:cNvPicPr/>
                        </pic:nvPicPr>
                        <pic:blipFill>
                          <a:blip r:embed="rId736"/>
                          <a:stretch>
                            <a:fillRect/>
                          </a:stretch>
                        </pic:blipFill>
                        <pic:spPr>
                          <a:xfrm>
                            <a:off x="0" y="0"/>
                            <a:ext cx="1078992" cy="1147571"/>
                          </a:xfrm>
                          <a:prstGeom prst="rect">
                            <a:avLst/>
                          </a:prstGeom>
                        </pic:spPr>
                      </pic:pic>
                    </a:graphicData>
                  </a:graphic>
                </wp:inline>
              </w:drawing>
            </w:r>
          </w:p>
        </w:tc>
        <w:tc>
          <w:tcPr>
            <w:tcW w:w="0" w:type="auto"/>
            <w:vMerge/>
            <w:tcBorders>
              <w:top w:val="nil"/>
              <w:left w:val="nil"/>
              <w:bottom w:val="nil"/>
              <w:right w:val="nil"/>
            </w:tcBorders>
          </w:tcPr>
          <w:p w14:paraId="53D7CFD0" w14:textId="77777777" w:rsidR="00053D93" w:rsidRDefault="00053D93"/>
        </w:tc>
      </w:tr>
    </w:tbl>
    <w:tbl>
      <w:tblPr>
        <w:tblStyle w:val="TableGrid"/>
        <w:tblpPr w:vertAnchor="text" w:tblpX="29" w:tblpY="1009"/>
        <w:tblOverlap w:val="never"/>
        <w:tblW w:w="10135" w:type="dxa"/>
        <w:tblInd w:w="0" w:type="dxa"/>
        <w:tblLook w:val="04A0" w:firstRow="1" w:lastRow="0" w:firstColumn="1" w:lastColumn="0" w:noHBand="0" w:noVBand="1"/>
      </w:tblPr>
      <w:tblGrid>
        <w:gridCol w:w="1366"/>
        <w:gridCol w:w="8800"/>
      </w:tblGrid>
      <w:tr w:rsidR="00053D93" w14:paraId="01F9F208" w14:textId="77777777">
        <w:trPr>
          <w:trHeight w:val="7001"/>
        </w:trPr>
        <w:tc>
          <w:tcPr>
            <w:tcW w:w="1629" w:type="dxa"/>
            <w:tcBorders>
              <w:top w:val="nil"/>
              <w:left w:val="nil"/>
              <w:bottom w:val="nil"/>
              <w:right w:val="nil"/>
            </w:tcBorders>
            <w:vAlign w:val="bottom"/>
          </w:tcPr>
          <w:p w14:paraId="1D7E292F" w14:textId="77777777" w:rsidR="00053D93" w:rsidRDefault="00260B75">
            <w:pPr>
              <w:ind w:left="36"/>
            </w:pPr>
            <w:r>
              <w:rPr>
                <w:noProof/>
              </w:rPr>
              <w:lastRenderedPageBreak/>
              <w:drawing>
                <wp:inline distT="0" distB="0" distL="0" distR="0" wp14:anchorId="21E879D5" wp14:editId="6E96A490">
                  <wp:extent cx="128016" cy="882396"/>
                  <wp:effectExtent l="0" t="0" r="0" b="0"/>
                  <wp:docPr id="481930" name="Picture 481930"/>
                  <wp:cNvGraphicFramePr/>
                  <a:graphic xmlns:a="http://schemas.openxmlformats.org/drawingml/2006/main">
                    <a:graphicData uri="http://schemas.openxmlformats.org/drawingml/2006/picture">
                      <pic:pic xmlns:pic="http://schemas.openxmlformats.org/drawingml/2006/picture">
                        <pic:nvPicPr>
                          <pic:cNvPr id="481930" name="Picture 481930"/>
                          <pic:cNvPicPr/>
                        </pic:nvPicPr>
                        <pic:blipFill>
                          <a:blip r:embed="rId737"/>
                          <a:stretch>
                            <a:fillRect/>
                          </a:stretch>
                        </pic:blipFill>
                        <pic:spPr>
                          <a:xfrm>
                            <a:off x="0" y="0"/>
                            <a:ext cx="128016" cy="882396"/>
                          </a:xfrm>
                          <a:prstGeom prst="rect">
                            <a:avLst/>
                          </a:prstGeom>
                        </pic:spPr>
                      </pic:pic>
                    </a:graphicData>
                  </a:graphic>
                </wp:inline>
              </w:drawing>
            </w:r>
          </w:p>
        </w:tc>
        <w:tc>
          <w:tcPr>
            <w:tcW w:w="8505" w:type="dxa"/>
            <w:vMerge w:val="restart"/>
            <w:tcBorders>
              <w:top w:val="nil"/>
              <w:left w:val="nil"/>
              <w:bottom w:val="nil"/>
              <w:right w:val="nil"/>
            </w:tcBorders>
          </w:tcPr>
          <w:p w14:paraId="0BFEC14D" w14:textId="77777777" w:rsidR="00053D93" w:rsidRDefault="00053D93">
            <w:pPr>
              <w:ind w:left="-1968" w:right="10473"/>
            </w:pPr>
          </w:p>
          <w:tbl>
            <w:tblPr>
              <w:tblStyle w:val="TableGrid"/>
              <w:tblW w:w="8503" w:type="dxa"/>
              <w:tblInd w:w="2" w:type="dxa"/>
              <w:tblLook w:val="04A0" w:firstRow="1" w:lastRow="0" w:firstColumn="1" w:lastColumn="0" w:noHBand="0" w:noVBand="1"/>
            </w:tblPr>
            <w:tblGrid>
              <w:gridCol w:w="303"/>
              <w:gridCol w:w="310"/>
              <w:gridCol w:w="232"/>
              <w:gridCol w:w="525"/>
              <w:gridCol w:w="1276"/>
              <w:gridCol w:w="1329"/>
              <w:gridCol w:w="1391"/>
              <w:gridCol w:w="1097"/>
              <w:gridCol w:w="1082"/>
              <w:gridCol w:w="958"/>
            </w:tblGrid>
            <w:tr w:rsidR="00053D93" w14:paraId="6C3DE121" w14:textId="77777777">
              <w:trPr>
                <w:trHeight w:val="205"/>
              </w:trPr>
              <w:tc>
                <w:tcPr>
                  <w:tcW w:w="592" w:type="dxa"/>
                  <w:gridSpan w:val="2"/>
                  <w:tcBorders>
                    <w:top w:val="single" w:sz="2" w:space="0" w:color="000000"/>
                    <w:left w:val="single" w:sz="2" w:space="0" w:color="000000"/>
                    <w:bottom w:val="single" w:sz="2" w:space="0" w:color="000000"/>
                    <w:right w:val="single" w:sz="2" w:space="0" w:color="000000"/>
                  </w:tcBorders>
                </w:tcPr>
                <w:p w14:paraId="474A568D" w14:textId="77777777" w:rsidR="00053D93" w:rsidRDefault="00053D93" w:rsidP="00E41474">
                  <w:pPr>
                    <w:framePr w:wrap="around" w:vAnchor="text" w:hAnchor="text" w:x="29" w:y="1009"/>
                    <w:suppressOverlap/>
                  </w:pPr>
                </w:p>
              </w:tc>
              <w:tc>
                <w:tcPr>
                  <w:tcW w:w="758" w:type="dxa"/>
                  <w:gridSpan w:val="2"/>
                  <w:tcBorders>
                    <w:top w:val="single" w:sz="2" w:space="0" w:color="000000"/>
                    <w:left w:val="single" w:sz="2" w:space="0" w:color="000000"/>
                    <w:bottom w:val="single" w:sz="2" w:space="0" w:color="000000"/>
                    <w:right w:val="single" w:sz="2" w:space="0" w:color="000000"/>
                  </w:tcBorders>
                </w:tcPr>
                <w:p w14:paraId="09E7462E" w14:textId="77777777" w:rsidR="00053D93" w:rsidRDefault="00053D93" w:rsidP="00E41474">
                  <w:pPr>
                    <w:framePr w:wrap="around" w:vAnchor="text" w:hAnchor="text" w:x="29" w:y="1009"/>
                    <w:suppressOverlap/>
                  </w:pPr>
                </w:p>
              </w:tc>
              <w:tc>
                <w:tcPr>
                  <w:tcW w:w="1281" w:type="dxa"/>
                  <w:tcBorders>
                    <w:top w:val="single" w:sz="2" w:space="0" w:color="000000"/>
                    <w:left w:val="single" w:sz="2" w:space="0" w:color="000000"/>
                    <w:bottom w:val="single" w:sz="2" w:space="0" w:color="000000"/>
                    <w:right w:val="single" w:sz="2" w:space="0" w:color="000000"/>
                  </w:tcBorders>
                </w:tcPr>
                <w:p w14:paraId="087BF5DB" w14:textId="77777777" w:rsidR="00053D93" w:rsidRDefault="00053D93" w:rsidP="00E41474">
                  <w:pPr>
                    <w:framePr w:wrap="around" w:vAnchor="text" w:hAnchor="text" w:x="29" w:y="1009"/>
                    <w:suppressOverlap/>
                  </w:pPr>
                </w:p>
              </w:tc>
              <w:tc>
                <w:tcPr>
                  <w:tcW w:w="1331" w:type="dxa"/>
                  <w:tcBorders>
                    <w:top w:val="single" w:sz="2" w:space="0" w:color="000000"/>
                    <w:left w:val="single" w:sz="2" w:space="0" w:color="000000"/>
                    <w:bottom w:val="single" w:sz="2" w:space="0" w:color="000000"/>
                    <w:right w:val="single" w:sz="2" w:space="0" w:color="000000"/>
                  </w:tcBorders>
                </w:tcPr>
                <w:p w14:paraId="16938D4E" w14:textId="77777777" w:rsidR="00053D93" w:rsidRDefault="00260B75" w:rsidP="00E41474">
                  <w:pPr>
                    <w:framePr w:wrap="around" w:vAnchor="text" w:hAnchor="text" w:x="29" w:y="1009"/>
                    <w:ind w:left="122"/>
                    <w:suppressOverlap/>
                  </w:pPr>
                  <w:r>
                    <w:rPr>
                      <w:sz w:val="14"/>
                    </w:rPr>
                    <w:t>upo digital</w:t>
                  </w:r>
                </w:p>
              </w:tc>
              <w:tc>
                <w:tcPr>
                  <w:tcW w:w="1398" w:type="dxa"/>
                  <w:tcBorders>
                    <w:top w:val="single" w:sz="2" w:space="0" w:color="000000"/>
                    <w:left w:val="single" w:sz="2" w:space="0" w:color="000000"/>
                    <w:bottom w:val="single" w:sz="2" w:space="0" w:color="000000"/>
                    <w:right w:val="single" w:sz="2" w:space="0" w:color="000000"/>
                  </w:tcBorders>
                </w:tcPr>
                <w:p w14:paraId="35A0AC66" w14:textId="77777777" w:rsidR="00053D93" w:rsidRDefault="00053D93" w:rsidP="00E41474">
                  <w:pPr>
                    <w:framePr w:wrap="around" w:vAnchor="text" w:hAnchor="text" w:x="29" w:y="1009"/>
                    <w:suppressOverlap/>
                  </w:pPr>
                </w:p>
              </w:tc>
              <w:tc>
                <w:tcPr>
                  <w:tcW w:w="1099" w:type="dxa"/>
                  <w:tcBorders>
                    <w:top w:val="single" w:sz="2" w:space="0" w:color="000000"/>
                    <w:left w:val="single" w:sz="2" w:space="0" w:color="000000"/>
                    <w:bottom w:val="single" w:sz="2" w:space="0" w:color="000000"/>
                    <w:right w:val="single" w:sz="2" w:space="0" w:color="000000"/>
                  </w:tcBorders>
                </w:tcPr>
                <w:p w14:paraId="70028E55" w14:textId="77777777" w:rsidR="00053D93" w:rsidRDefault="00053D93" w:rsidP="00E41474">
                  <w:pPr>
                    <w:framePr w:wrap="around" w:vAnchor="text" w:hAnchor="text" w:x="29" w:y="1009"/>
                    <w:suppressOverlap/>
                  </w:pPr>
                </w:p>
              </w:tc>
              <w:tc>
                <w:tcPr>
                  <w:tcW w:w="1087" w:type="dxa"/>
                  <w:tcBorders>
                    <w:top w:val="single" w:sz="2" w:space="0" w:color="000000"/>
                    <w:left w:val="single" w:sz="2" w:space="0" w:color="000000"/>
                    <w:bottom w:val="single" w:sz="2" w:space="0" w:color="000000"/>
                    <w:right w:val="single" w:sz="2" w:space="0" w:color="000000"/>
                  </w:tcBorders>
                </w:tcPr>
                <w:p w14:paraId="2D1B4572" w14:textId="77777777" w:rsidR="00053D93" w:rsidRDefault="00053D93" w:rsidP="00E41474">
                  <w:pPr>
                    <w:framePr w:wrap="around" w:vAnchor="text" w:hAnchor="text" w:x="29" w:y="1009"/>
                    <w:suppressOverlap/>
                  </w:pPr>
                </w:p>
              </w:tc>
              <w:tc>
                <w:tcPr>
                  <w:tcW w:w="958" w:type="dxa"/>
                  <w:tcBorders>
                    <w:top w:val="single" w:sz="2" w:space="0" w:color="000000"/>
                    <w:left w:val="single" w:sz="2" w:space="0" w:color="000000"/>
                    <w:bottom w:val="single" w:sz="2" w:space="0" w:color="000000"/>
                    <w:right w:val="single" w:sz="2" w:space="0" w:color="000000"/>
                  </w:tcBorders>
                </w:tcPr>
                <w:p w14:paraId="0A43F5EB" w14:textId="77777777" w:rsidR="00053D93" w:rsidRDefault="00053D93" w:rsidP="00E41474">
                  <w:pPr>
                    <w:framePr w:wrap="around" w:vAnchor="text" w:hAnchor="text" w:x="29" w:y="1009"/>
                    <w:suppressOverlap/>
                  </w:pPr>
                </w:p>
              </w:tc>
            </w:tr>
            <w:tr w:rsidR="00053D93" w14:paraId="65BECA92" w14:textId="77777777">
              <w:trPr>
                <w:trHeight w:val="238"/>
              </w:trPr>
              <w:tc>
                <w:tcPr>
                  <w:tcW w:w="592" w:type="dxa"/>
                  <w:gridSpan w:val="2"/>
                  <w:tcBorders>
                    <w:top w:val="single" w:sz="2" w:space="0" w:color="000000"/>
                    <w:left w:val="single" w:sz="2" w:space="0" w:color="000000"/>
                    <w:bottom w:val="single" w:sz="2" w:space="0" w:color="000000"/>
                    <w:right w:val="single" w:sz="2" w:space="0" w:color="000000"/>
                  </w:tcBorders>
                </w:tcPr>
                <w:p w14:paraId="1CF2A800" w14:textId="77777777" w:rsidR="00053D93" w:rsidRDefault="00260B75" w:rsidP="00E41474">
                  <w:pPr>
                    <w:framePr w:wrap="around" w:vAnchor="text" w:hAnchor="text" w:x="29" w:y="1009"/>
                    <w:ind w:right="4"/>
                    <w:suppressOverlap/>
                    <w:jc w:val="center"/>
                  </w:pPr>
                  <w:r>
                    <w:rPr>
                      <w:rFonts w:ascii="Times New Roman" w:eastAsia="Times New Roman" w:hAnsi="Times New Roman" w:cs="Times New Roman"/>
                      <w:sz w:val="16"/>
                    </w:rPr>
                    <w:t>16</w:t>
                  </w:r>
                </w:p>
              </w:tc>
              <w:tc>
                <w:tcPr>
                  <w:tcW w:w="758" w:type="dxa"/>
                  <w:gridSpan w:val="2"/>
                  <w:tcBorders>
                    <w:top w:val="single" w:sz="2" w:space="0" w:color="000000"/>
                    <w:left w:val="single" w:sz="2" w:space="0" w:color="000000"/>
                    <w:bottom w:val="single" w:sz="2" w:space="0" w:color="000000"/>
                    <w:right w:val="single" w:sz="2" w:space="0" w:color="000000"/>
                  </w:tcBorders>
                </w:tcPr>
                <w:p w14:paraId="2423C8F7" w14:textId="77777777" w:rsidR="00053D93" w:rsidRDefault="00260B75" w:rsidP="00E41474">
                  <w:pPr>
                    <w:framePr w:wrap="around" w:vAnchor="text" w:hAnchor="text" w:x="29" w:y="1009"/>
                    <w:ind w:left="123"/>
                    <w:suppressOverlap/>
                  </w:pPr>
                  <w:r>
                    <w:rPr>
                      <w:rFonts w:ascii="Times New Roman" w:eastAsia="Times New Roman" w:hAnsi="Times New Roman" w:cs="Times New Roman"/>
                      <w:sz w:val="14"/>
                    </w:rPr>
                    <w:t>294064</w:t>
                  </w:r>
                </w:p>
              </w:tc>
              <w:tc>
                <w:tcPr>
                  <w:tcW w:w="1281" w:type="dxa"/>
                  <w:tcBorders>
                    <w:top w:val="single" w:sz="2" w:space="0" w:color="000000"/>
                    <w:left w:val="single" w:sz="2" w:space="0" w:color="000000"/>
                    <w:bottom w:val="single" w:sz="2" w:space="0" w:color="000000"/>
                    <w:right w:val="single" w:sz="2" w:space="0" w:color="000000"/>
                  </w:tcBorders>
                </w:tcPr>
                <w:p w14:paraId="0BE171B8" w14:textId="77777777" w:rsidR="00053D93" w:rsidRDefault="00260B75" w:rsidP="00E41474">
                  <w:pPr>
                    <w:framePr w:wrap="around" w:vAnchor="text" w:hAnchor="text" w:x="29" w:y="1009"/>
                    <w:ind w:left="85"/>
                    <w:suppressOverlap/>
                    <w:jc w:val="center"/>
                  </w:pPr>
                  <w:r>
                    <w:rPr>
                      <w:rFonts w:ascii="Times New Roman" w:eastAsia="Times New Roman" w:hAnsi="Times New Roman" w:cs="Times New Roman"/>
                      <w:sz w:val="14"/>
                    </w:rPr>
                    <w:t>2024-2434</w:t>
                  </w:r>
                </w:p>
              </w:tc>
              <w:tc>
                <w:tcPr>
                  <w:tcW w:w="1331" w:type="dxa"/>
                  <w:tcBorders>
                    <w:top w:val="single" w:sz="2" w:space="0" w:color="000000"/>
                    <w:left w:val="single" w:sz="2" w:space="0" w:color="000000"/>
                    <w:bottom w:val="single" w:sz="2" w:space="0" w:color="000000"/>
                    <w:right w:val="single" w:sz="2" w:space="0" w:color="000000"/>
                  </w:tcBorders>
                </w:tcPr>
                <w:p w14:paraId="62D445FB" w14:textId="77777777" w:rsidR="00053D93" w:rsidRDefault="00260B75" w:rsidP="00E41474">
                  <w:pPr>
                    <w:framePr w:wrap="around" w:vAnchor="text" w:hAnchor="text" w:x="29" w:y="1009"/>
                    <w:ind w:right="42"/>
                    <w:suppressOverlap/>
                    <w:jc w:val="right"/>
                  </w:pPr>
                  <w:r>
                    <w:rPr>
                      <w:sz w:val="14"/>
                    </w:rPr>
                    <w:t>Tabla pare natación</w:t>
                  </w:r>
                </w:p>
              </w:tc>
              <w:tc>
                <w:tcPr>
                  <w:tcW w:w="1398" w:type="dxa"/>
                  <w:tcBorders>
                    <w:top w:val="single" w:sz="2" w:space="0" w:color="000000"/>
                    <w:left w:val="single" w:sz="2" w:space="0" w:color="000000"/>
                    <w:bottom w:val="single" w:sz="2" w:space="0" w:color="000000"/>
                    <w:right w:val="single" w:sz="2" w:space="0" w:color="000000"/>
                  </w:tcBorders>
                </w:tcPr>
                <w:p w14:paraId="048D997C" w14:textId="77777777" w:rsidR="00053D93" w:rsidRDefault="00260B75" w:rsidP="00E41474">
                  <w:pPr>
                    <w:framePr w:wrap="around" w:vAnchor="text" w:hAnchor="text" w:x="29" w:y="1009"/>
                    <w:ind w:left="66"/>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4745E1B8" w14:textId="77777777" w:rsidR="00053D93" w:rsidRDefault="00260B75" w:rsidP="00E41474">
                  <w:pPr>
                    <w:framePr w:wrap="around" w:vAnchor="text" w:hAnchor="text" w:x="29" w:y="1009"/>
                    <w:ind w:left="68"/>
                    <w:suppressOverlap/>
                    <w:jc w:val="center"/>
                  </w:pPr>
                  <w:r>
                    <w:rPr>
                      <w:rFonts w:ascii="Times New Roman" w:eastAsia="Times New Roman" w:hAnsi="Times New Roman" w:cs="Times New Roman"/>
                      <w:sz w:val="14"/>
                    </w:rPr>
                    <w:t>19109/2024</w:t>
                  </w:r>
                </w:p>
              </w:tc>
              <w:tc>
                <w:tcPr>
                  <w:tcW w:w="1087" w:type="dxa"/>
                  <w:tcBorders>
                    <w:top w:val="single" w:sz="2" w:space="0" w:color="000000"/>
                    <w:left w:val="single" w:sz="2" w:space="0" w:color="000000"/>
                    <w:bottom w:val="single" w:sz="2" w:space="0" w:color="000000"/>
                    <w:right w:val="single" w:sz="2" w:space="0" w:color="000000"/>
                  </w:tcBorders>
                </w:tcPr>
                <w:p w14:paraId="5EF1281C" w14:textId="77777777" w:rsidR="00053D93" w:rsidRDefault="00260B75" w:rsidP="00E41474">
                  <w:pPr>
                    <w:framePr w:wrap="around" w:vAnchor="text" w:hAnchor="text" w:x="29" w:y="1009"/>
                    <w:ind w:left="63"/>
                    <w:suppressOverlap/>
                    <w:jc w:val="center"/>
                  </w:pPr>
                  <w:r>
                    <w:rPr>
                      <w:rFonts w:ascii="Times New Roman" w:eastAsia="Times New Roman" w:hAnsi="Times New Roman" w:cs="Times New Roman"/>
                      <w:sz w:val="14"/>
                    </w:rPr>
                    <w:t>700</w:t>
                  </w:r>
                </w:p>
              </w:tc>
              <w:tc>
                <w:tcPr>
                  <w:tcW w:w="958" w:type="dxa"/>
                  <w:tcBorders>
                    <w:top w:val="single" w:sz="2" w:space="0" w:color="000000"/>
                    <w:left w:val="single" w:sz="2" w:space="0" w:color="000000"/>
                    <w:bottom w:val="single" w:sz="2" w:space="0" w:color="000000"/>
                    <w:right w:val="single" w:sz="2" w:space="0" w:color="000000"/>
                  </w:tcBorders>
                </w:tcPr>
                <w:p w14:paraId="649C92F6" w14:textId="77777777" w:rsidR="00053D93" w:rsidRDefault="00260B75" w:rsidP="00E41474">
                  <w:pPr>
                    <w:framePr w:wrap="around" w:vAnchor="text" w:hAnchor="text" w:x="29" w:y="1009"/>
                    <w:ind w:right="55"/>
                    <w:suppressOverlap/>
                    <w:jc w:val="right"/>
                  </w:pPr>
                  <w:r>
                    <w:rPr>
                      <w:rFonts w:ascii="Times New Roman" w:eastAsia="Times New Roman" w:hAnsi="Times New Roman" w:cs="Times New Roman"/>
                      <w:sz w:val="14"/>
                    </w:rPr>
                    <w:t>59.500.00</w:t>
                  </w:r>
                </w:p>
              </w:tc>
            </w:tr>
            <w:tr w:rsidR="00053D93" w14:paraId="67D04E57" w14:textId="77777777">
              <w:trPr>
                <w:trHeight w:val="430"/>
              </w:trPr>
              <w:tc>
                <w:tcPr>
                  <w:tcW w:w="592" w:type="dxa"/>
                  <w:gridSpan w:val="2"/>
                  <w:tcBorders>
                    <w:top w:val="single" w:sz="2" w:space="0" w:color="000000"/>
                    <w:left w:val="single" w:sz="2" w:space="0" w:color="000000"/>
                    <w:bottom w:val="single" w:sz="2" w:space="0" w:color="000000"/>
                    <w:right w:val="single" w:sz="2" w:space="0" w:color="000000"/>
                  </w:tcBorders>
                </w:tcPr>
                <w:p w14:paraId="636E2FC2" w14:textId="77777777" w:rsidR="00053D93" w:rsidRDefault="00260B75" w:rsidP="00E41474">
                  <w:pPr>
                    <w:framePr w:wrap="around" w:vAnchor="text" w:hAnchor="text" w:x="29" w:y="1009"/>
                    <w:ind w:right="4"/>
                    <w:suppressOverlap/>
                    <w:jc w:val="center"/>
                  </w:pPr>
                  <w:r>
                    <w:rPr>
                      <w:rFonts w:ascii="Times New Roman" w:eastAsia="Times New Roman" w:hAnsi="Times New Roman" w:cs="Times New Roman"/>
                      <w:sz w:val="16"/>
                    </w:rPr>
                    <w:t>17</w:t>
                  </w:r>
                </w:p>
              </w:tc>
              <w:tc>
                <w:tcPr>
                  <w:tcW w:w="758" w:type="dxa"/>
                  <w:gridSpan w:val="2"/>
                  <w:tcBorders>
                    <w:top w:val="single" w:sz="2" w:space="0" w:color="000000"/>
                    <w:left w:val="single" w:sz="2" w:space="0" w:color="000000"/>
                    <w:bottom w:val="single" w:sz="2" w:space="0" w:color="000000"/>
                    <w:right w:val="single" w:sz="2" w:space="0" w:color="000000"/>
                  </w:tcBorders>
                </w:tcPr>
                <w:p w14:paraId="152B14D3" w14:textId="77777777" w:rsidR="00053D93" w:rsidRDefault="00260B75" w:rsidP="00E41474">
                  <w:pPr>
                    <w:framePr w:wrap="around" w:vAnchor="text" w:hAnchor="text" w:x="29" w:y="1009"/>
                    <w:ind w:left="123"/>
                    <w:suppressOverlap/>
                  </w:pPr>
                  <w:r>
                    <w:rPr>
                      <w:rFonts w:ascii="Times New Roman" w:eastAsia="Times New Roman" w:hAnsi="Times New Roman" w:cs="Times New Roman"/>
                      <w:sz w:val="14"/>
                    </w:rPr>
                    <w:t>294038</w:t>
                  </w:r>
                </w:p>
              </w:tc>
              <w:tc>
                <w:tcPr>
                  <w:tcW w:w="1281" w:type="dxa"/>
                  <w:tcBorders>
                    <w:top w:val="single" w:sz="2" w:space="0" w:color="000000"/>
                    <w:left w:val="single" w:sz="2" w:space="0" w:color="000000"/>
                    <w:bottom w:val="single" w:sz="2" w:space="0" w:color="000000"/>
                    <w:right w:val="single" w:sz="2" w:space="0" w:color="000000"/>
                  </w:tcBorders>
                </w:tcPr>
                <w:p w14:paraId="30CA92FB" w14:textId="77777777" w:rsidR="00053D93" w:rsidRDefault="00260B75" w:rsidP="00E41474">
                  <w:pPr>
                    <w:framePr w:wrap="around" w:vAnchor="text" w:hAnchor="text" w:x="29" w:y="1009"/>
                    <w:ind w:left="78"/>
                    <w:suppressOverlap/>
                    <w:jc w:val="center"/>
                  </w:pPr>
                  <w:r>
                    <w:rPr>
                      <w:rFonts w:ascii="Times New Roman" w:eastAsia="Times New Roman" w:hAnsi="Times New Roman" w:cs="Times New Roman"/>
                      <w:sz w:val="14"/>
                    </w:rPr>
                    <w:t>2024-18594</w:t>
                  </w:r>
                </w:p>
              </w:tc>
              <w:tc>
                <w:tcPr>
                  <w:tcW w:w="1331" w:type="dxa"/>
                  <w:tcBorders>
                    <w:top w:val="single" w:sz="2" w:space="0" w:color="000000"/>
                    <w:left w:val="single" w:sz="2" w:space="0" w:color="000000"/>
                    <w:bottom w:val="single" w:sz="2" w:space="0" w:color="000000"/>
                    <w:right w:val="single" w:sz="2" w:space="0" w:color="000000"/>
                  </w:tcBorders>
                </w:tcPr>
                <w:p w14:paraId="66758717" w14:textId="77777777" w:rsidR="00053D93" w:rsidRDefault="00260B75" w:rsidP="00E41474">
                  <w:pPr>
                    <w:framePr w:wrap="around" w:vAnchor="text" w:hAnchor="text" w:x="29" w:y="1009"/>
                    <w:ind w:right="42"/>
                    <w:suppressOverlap/>
                    <w:jc w:val="right"/>
                  </w:pPr>
                  <w:r>
                    <w:rPr>
                      <w:sz w:val="16"/>
                    </w:rPr>
                    <w:t>Pelota suiza de 75</w:t>
                  </w:r>
                </w:p>
                <w:p w14:paraId="45CC6A60" w14:textId="77777777" w:rsidR="00053D93" w:rsidRDefault="00260B75" w:rsidP="00E41474">
                  <w:pPr>
                    <w:framePr w:wrap="around" w:vAnchor="text" w:hAnchor="text" w:x="29" w:y="1009"/>
                    <w:ind w:left="122"/>
                    <w:suppressOverlap/>
                  </w:pPr>
                  <w:r>
                    <w:rPr>
                      <w:rFonts w:ascii="Times New Roman" w:eastAsia="Times New Roman" w:hAnsi="Times New Roman" w:cs="Times New Roman"/>
                      <w:sz w:val="14"/>
                    </w:rPr>
                    <w:t>CMS,</w:t>
                  </w:r>
                </w:p>
              </w:tc>
              <w:tc>
                <w:tcPr>
                  <w:tcW w:w="1398" w:type="dxa"/>
                  <w:tcBorders>
                    <w:top w:val="single" w:sz="2" w:space="0" w:color="000000"/>
                    <w:left w:val="single" w:sz="2" w:space="0" w:color="000000"/>
                    <w:bottom w:val="single" w:sz="2" w:space="0" w:color="000000"/>
                    <w:right w:val="single" w:sz="2" w:space="0" w:color="000000"/>
                  </w:tcBorders>
                </w:tcPr>
                <w:p w14:paraId="4E19C9BA" w14:textId="77777777" w:rsidR="00053D93" w:rsidRDefault="00260B75" w:rsidP="00E41474">
                  <w:pPr>
                    <w:framePr w:wrap="around" w:vAnchor="text" w:hAnchor="text" w:x="29" w:y="1009"/>
                    <w:ind w:left="66"/>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4E5CD124" w14:textId="77777777" w:rsidR="00053D93" w:rsidRDefault="00260B75" w:rsidP="00E41474">
                  <w:pPr>
                    <w:framePr w:wrap="around" w:vAnchor="text" w:hAnchor="text" w:x="29" w:y="1009"/>
                    <w:ind w:left="53"/>
                    <w:suppressOverlap/>
                    <w:jc w:val="center"/>
                  </w:pPr>
                  <w:r>
                    <w:rPr>
                      <w:rFonts w:ascii="Times New Roman" w:eastAsia="Times New Roman" w:hAnsi="Times New Roman" w:cs="Times New Roman"/>
                      <w:sz w:val="14"/>
                    </w:rPr>
                    <w:t>27111/2024</w:t>
                  </w:r>
                </w:p>
              </w:tc>
              <w:tc>
                <w:tcPr>
                  <w:tcW w:w="1087" w:type="dxa"/>
                  <w:tcBorders>
                    <w:top w:val="single" w:sz="2" w:space="0" w:color="000000"/>
                    <w:left w:val="single" w:sz="2" w:space="0" w:color="000000"/>
                    <w:bottom w:val="single" w:sz="2" w:space="0" w:color="000000"/>
                    <w:right w:val="single" w:sz="2" w:space="0" w:color="000000"/>
                  </w:tcBorders>
                </w:tcPr>
                <w:p w14:paraId="59D0337C" w14:textId="77777777" w:rsidR="00053D93" w:rsidRDefault="00260B75" w:rsidP="00E41474">
                  <w:pPr>
                    <w:framePr w:wrap="around" w:vAnchor="text" w:hAnchor="text" w:x="29" w:y="1009"/>
                    <w:ind w:left="70"/>
                    <w:suppressOverlap/>
                    <w:jc w:val="center"/>
                  </w:pPr>
                  <w:r>
                    <w:rPr>
                      <w:rFonts w:ascii="Times New Roman" w:eastAsia="Times New Roman" w:hAnsi="Times New Roman" w:cs="Times New Roman"/>
                      <w:sz w:val="16"/>
                    </w:rPr>
                    <w:t>175</w:t>
                  </w:r>
                </w:p>
              </w:tc>
              <w:tc>
                <w:tcPr>
                  <w:tcW w:w="958" w:type="dxa"/>
                  <w:tcBorders>
                    <w:top w:val="single" w:sz="2" w:space="0" w:color="000000"/>
                    <w:left w:val="single" w:sz="2" w:space="0" w:color="000000"/>
                    <w:bottom w:val="single" w:sz="2" w:space="0" w:color="000000"/>
                    <w:right w:val="single" w:sz="2" w:space="0" w:color="000000"/>
                  </w:tcBorders>
                </w:tcPr>
                <w:p w14:paraId="2353FAFC" w14:textId="77777777" w:rsidR="00053D93" w:rsidRDefault="00260B75" w:rsidP="00E41474">
                  <w:pPr>
                    <w:framePr w:wrap="around" w:vAnchor="text" w:hAnchor="text" w:x="29" w:y="1009"/>
                    <w:ind w:right="55"/>
                    <w:suppressOverlap/>
                    <w:jc w:val="right"/>
                  </w:pPr>
                  <w:r>
                    <w:rPr>
                      <w:rFonts w:ascii="Times New Roman" w:eastAsia="Times New Roman" w:hAnsi="Times New Roman" w:cs="Times New Roman"/>
                      <w:sz w:val="14"/>
                    </w:rPr>
                    <w:t>24.500.00</w:t>
                  </w:r>
                </w:p>
              </w:tc>
            </w:tr>
            <w:tr w:rsidR="00053D93" w14:paraId="3BFC258C" w14:textId="77777777">
              <w:trPr>
                <w:trHeight w:val="382"/>
              </w:trPr>
              <w:tc>
                <w:tcPr>
                  <w:tcW w:w="592" w:type="dxa"/>
                  <w:gridSpan w:val="2"/>
                  <w:tcBorders>
                    <w:top w:val="single" w:sz="2" w:space="0" w:color="000000"/>
                    <w:left w:val="single" w:sz="2" w:space="0" w:color="000000"/>
                    <w:bottom w:val="single" w:sz="2" w:space="0" w:color="000000"/>
                    <w:right w:val="single" w:sz="2" w:space="0" w:color="000000"/>
                  </w:tcBorders>
                </w:tcPr>
                <w:p w14:paraId="3D5A53AB" w14:textId="77777777" w:rsidR="00053D93" w:rsidRDefault="00260B75" w:rsidP="00E41474">
                  <w:pPr>
                    <w:framePr w:wrap="around" w:vAnchor="text" w:hAnchor="text" w:x="29" w:y="1009"/>
                    <w:ind w:right="11"/>
                    <w:suppressOverlap/>
                    <w:jc w:val="center"/>
                  </w:pPr>
                  <w:r>
                    <w:rPr>
                      <w:rFonts w:ascii="Times New Roman" w:eastAsia="Times New Roman" w:hAnsi="Times New Roman" w:cs="Times New Roman"/>
                      <w:sz w:val="16"/>
                    </w:rPr>
                    <w:t>18</w:t>
                  </w:r>
                </w:p>
              </w:tc>
              <w:tc>
                <w:tcPr>
                  <w:tcW w:w="758" w:type="dxa"/>
                  <w:gridSpan w:val="2"/>
                  <w:tcBorders>
                    <w:top w:val="single" w:sz="2" w:space="0" w:color="000000"/>
                    <w:left w:val="single" w:sz="2" w:space="0" w:color="000000"/>
                    <w:bottom w:val="single" w:sz="2" w:space="0" w:color="000000"/>
                    <w:right w:val="single" w:sz="2" w:space="0" w:color="000000"/>
                  </w:tcBorders>
                </w:tcPr>
                <w:p w14:paraId="4D48AED2" w14:textId="77777777" w:rsidR="00053D93" w:rsidRDefault="00260B75" w:rsidP="00E41474">
                  <w:pPr>
                    <w:framePr w:wrap="around" w:vAnchor="text" w:hAnchor="text" w:x="29" w:y="1009"/>
                    <w:ind w:left="123"/>
                    <w:suppressOverlap/>
                  </w:pPr>
                  <w:r>
                    <w:rPr>
                      <w:rFonts w:ascii="Times New Roman" w:eastAsia="Times New Roman" w:hAnsi="Times New Roman" w:cs="Times New Roman"/>
                      <w:sz w:val="14"/>
                    </w:rPr>
                    <w:t>294069</w:t>
                  </w:r>
                </w:p>
              </w:tc>
              <w:tc>
                <w:tcPr>
                  <w:tcW w:w="1281" w:type="dxa"/>
                  <w:tcBorders>
                    <w:top w:val="single" w:sz="2" w:space="0" w:color="000000"/>
                    <w:left w:val="single" w:sz="2" w:space="0" w:color="000000"/>
                    <w:bottom w:val="single" w:sz="2" w:space="0" w:color="000000"/>
                    <w:right w:val="single" w:sz="2" w:space="0" w:color="000000"/>
                  </w:tcBorders>
                </w:tcPr>
                <w:p w14:paraId="7867971C" w14:textId="77777777" w:rsidR="00053D93" w:rsidRDefault="00260B75" w:rsidP="00E41474">
                  <w:pPr>
                    <w:framePr w:wrap="around" w:vAnchor="text" w:hAnchor="text" w:x="29" w:y="1009"/>
                    <w:ind w:left="78"/>
                    <w:suppressOverlap/>
                    <w:jc w:val="center"/>
                  </w:pPr>
                  <w:r>
                    <w:rPr>
                      <w:rFonts w:ascii="Times New Roman" w:eastAsia="Times New Roman" w:hAnsi="Times New Roman" w:cs="Times New Roman"/>
                      <w:sz w:val="14"/>
                    </w:rPr>
                    <w:t>2024-18593</w:t>
                  </w:r>
                </w:p>
              </w:tc>
              <w:tc>
                <w:tcPr>
                  <w:tcW w:w="1331" w:type="dxa"/>
                  <w:tcBorders>
                    <w:top w:val="single" w:sz="2" w:space="0" w:color="000000"/>
                    <w:left w:val="single" w:sz="2" w:space="0" w:color="000000"/>
                    <w:bottom w:val="single" w:sz="2" w:space="0" w:color="000000"/>
                    <w:right w:val="single" w:sz="2" w:space="0" w:color="000000"/>
                  </w:tcBorders>
                </w:tcPr>
                <w:p w14:paraId="391D11CC" w14:textId="77777777" w:rsidR="00053D93" w:rsidRDefault="00260B75" w:rsidP="00E41474">
                  <w:pPr>
                    <w:framePr w:wrap="around" w:vAnchor="text" w:hAnchor="text" w:x="29" w:y="1009"/>
                    <w:ind w:right="49"/>
                    <w:suppressOverlap/>
                    <w:jc w:val="right"/>
                  </w:pPr>
                  <w:r>
                    <w:rPr>
                      <w:sz w:val="16"/>
                    </w:rPr>
                    <w:t>Pelota Suiza de 65</w:t>
                  </w:r>
                </w:p>
                <w:p w14:paraId="2B408611" w14:textId="77777777" w:rsidR="00053D93" w:rsidRDefault="00260B75" w:rsidP="00E41474">
                  <w:pPr>
                    <w:framePr w:wrap="around" w:vAnchor="text" w:hAnchor="text" w:x="29" w:y="1009"/>
                    <w:ind w:left="122"/>
                    <w:suppressOverlap/>
                  </w:pPr>
                  <w:r>
                    <w:rPr>
                      <w:rFonts w:ascii="Times New Roman" w:eastAsia="Times New Roman" w:hAnsi="Times New Roman" w:cs="Times New Roman"/>
                      <w:sz w:val="14"/>
                    </w:rPr>
                    <w:t>CMS.</w:t>
                  </w:r>
                </w:p>
              </w:tc>
              <w:tc>
                <w:tcPr>
                  <w:tcW w:w="1398" w:type="dxa"/>
                  <w:tcBorders>
                    <w:top w:val="single" w:sz="2" w:space="0" w:color="000000"/>
                    <w:left w:val="single" w:sz="2" w:space="0" w:color="000000"/>
                    <w:bottom w:val="single" w:sz="2" w:space="0" w:color="000000"/>
                    <w:right w:val="single" w:sz="2" w:space="0" w:color="000000"/>
                  </w:tcBorders>
                </w:tcPr>
                <w:p w14:paraId="6564148A" w14:textId="77777777" w:rsidR="00053D93" w:rsidRDefault="00260B75" w:rsidP="00E41474">
                  <w:pPr>
                    <w:framePr w:wrap="around" w:vAnchor="text" w:hAnchor="text" w:x="29" w:y="1009"/>
                    <w:ind w:left="66"/>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4B74CE38" w14:textId="77777777" w:rsidR="00053D93" w:rsidRDefault="00053D93" w:rsidP="00E41474">
                  <w:pPr>
                    <w:framePr w:wrap="around" w:vAnchor="text" w:hAnchor="text" w:x="29" w:y="1009"/>
                    <w:suppressOverlap/>
                  </w:pPr>
                </w:p>
              </w:tc>
              <w:tc>
                <w:tcPr>
                  <w:tcW w:w="1087" w:type="dxa"/>
                  <w:tcBorders>
                    <w:top w:val="single" w:sz="2" w:space="0" w:color="000000"/>
                    <w:left w:val="single" w:sz="2" w:space="0" w:color="000000"/>
                    <w:bottom w:val="single" w:sz="2" w:space="0" w:color="000000"/>
                    <w:right w:val="single" w:sz="2" w:space="0" w:color="000000"/>
                  </w:tcBorders>
                </w:tcPr>
                <w:p w14:paraId="5B181D3F" w14:textId="77777777" w:rsidR="00053D93" w:rsidRDefault="00260B75" w:rsidP="00E41474">
                  <w:pPr>
                    <w:framePr w:wrap="around" w:vAnchor="text" w:hAnchor="text" w:x="29" w:y="1009"/>
                    <w:ind w:left="70"/>
                    <w:suppressOverlap/>
                    <w:jc w:val="center"/>
                  </w:pPr>
                  <w:r>
                    <w:rPr>
                      <w:rFonts w:ascii="Times New Roman" w:eastAsia="Times New Roman" w:hAnsi="Times New Roman" w:cs="Times New Roman"/>
                      <w:sz w:val="16"/>
                    </w:rPr>
                    <w:t>175</w:t>
                  </w:r>
                </w:p>
              </w:tc>
              <w:tc>
                <w:tcPr>
                  <w:tcW w:w="958" w:type="dxa"/>
                  <w:tcBorders>
                    <w:top w:val="single" w:sz="2" w:space="0" w:color="000000"/>
                    <w:left w:val="single" w:sz="2" w:space="0" w:color="000000"/>
                    <w:bottom w:val="single" w:sz="2" w:space="0" w:color="000000"/>
                    <w:right w:val="single" w:sz="2" w:space="0" w:color="000000"/>
                  </w:tcBorders>
                </w:tcPr>
                <w:p w14:paraId="4726F119" w14:textId="77777777" w:rsidR="00053D93" w:rsidRDefault="00260B75" w:rsidP="00E41474">
                  <w:pPr>
                    <w:framePr w:wrap="around" w:vAnchor="text" w:hAnchor="text" w:x="29" w:y="1009"/>
                    <w:ind w:right="55"/>
                    <w:suppressOverlap/>
                    <w:jc w:val="right"/>
                  </w:pPr>
                  <w:r>
                    <w:rPr>
                      <w:rFonts w:ascii="Times New Roman" w:eastAsia="Times New Roman" w:hAnsi="Times New Roman" w:cs="Times New Roman"/>
                      <w:sz w:val="14"/>
                    </w:rPr>
                    <w:t>22.750.00</w:t>
                  </w:r>
                </w:p>
              </w:tc>
            </w:tr>
            <w:tr w:rsidR="00053D93" w14:paraId="1999FA89" w14:textId="77777777">
              <w:trPr>
                <w:trHeight w:val="239"/>
              </w:trPr>
              <w:tc>
                <w:tcPr>
                  <w:tcW w:w="592" w:type="dxa"/>
                  <w:gridSpan w:val="2"/>
                  <w:tcBorders>
                    <w:top w:val="single" w:sz="2" w:space="0" w:color="000000"/>
                    <w:left w:val="single" w:sz="2" w:space="0" w:color="000000"/>
                    <w:bottom w:val="single" w:sz="2" w:space="0" w:color="000000"/>
                    <w:right w:val="single" w:sz="2" w:space="0" w:color="000000"/>
                  </w:tcBorders>
                </w:tcPr>
                <w:p w14:paraId="5339410D" w14:textId="77777777" w:rsidR="00053D93" w:rsidRDefault="00053D93" w:rsidP="00E41474">
                  <w:pPr>
                    <w:framePr w:wrap="around" w:vAnchor="text" w:hAnchor="text" w:x="29" w:y="1009"/>
                    <w:suppressOverlap/>
                  </w:pPr>
                </w:p>
              </w:tc>
              <w:tc>
                <w:tcPr>
                  <w:tcW w:w="758" w:type="dxa"/>
                  <w:gridSpan w:val="2"/>
                  <w:tcBorders>
                    <w:top w:val="single" w:sz="2" w:space="0" w:color="000000"/>
                    <w:left w:val="single" w:sz="2" w:space="0" w:color="000000"/>
                    <w:bottom w:val="single" w:sz="2" w:space="0" w:color="000000"/>
                    <w:right w:val="single" w:sz="2" w:space="0" w:color="000000"/>
                  </w:tcBorders>
                </w:tcPr>
                <w:p w14:paraId="56817DB7" w14:textId="77777777" w:rsidR="00053D93" w:rsidRDefault="00260B75" w:rsidP="00E41474">
                  <w:pPr>
                    <w:framePr w:wrap="around" w:vAnchor="text" w:hAnchor="text" w:x="29" w:y="1009"/>
                    <w:ind w:left="123"/>
                    <w:suppressOverlap/>
                  </w:pPr>
                  <w:r>
                    <w:rPr>
                      <w:rFonts w:ascii="Times New Roman" w:eastAsia="Times New Roman" w:hAnsi="Times New Roman" w:cs="Times New Roman"/>
                      <w:sz w:val="14"/>
                    </w:rPr>
                    <w:t>294078</w:t>
                  </w:r>
                </w:p>
              </w:tc>
              <w:tc>
                <w:tcPr>
                  <w:tcW w:w="1281" w:type="dxa"/>
                  <w:tcBorders>
                    <w:top w:val="single" w:sz="2" w:space="0" w:color="000000"/>
                    <w:left w:val="single" w:sz="2" w:space="0" w:color="000000"/>
                    <w:bottom w:val="single" w:sz="2" w:space="0" w:color="000000"/>
                    <w:right w:val="single" w:sz="2" w:space="0" w:color="000000"/>
                  </w:tcBorders>
                </w:tcPr>
                <w:p w14:paraId="40C0C832" w14:textId="77777777" w:rsidR="00053D93" w:rsidRDefault="00260B75" w:rsidP="00E41474">
                  <w:pPr>
                    <w:framePr w:wrap="around" w:vAnchor="text" w:hAnchor="text" w:x="29" w:y="1009"/>
                    <w:ind w:left="78"/>
                    <w:suppressOverlap/>
                    <w:jc w:val="center"/>
                  </w:pPr>
                  <w:r>
                    <w:rPr>
                      <w:rFonts w:ascii="Times New Roman" w:eastAsia="Times New Roman" w:hAnsi="Times New Roman" w:cs="Times New Roman"/>
                      <w:sz w:val="14"/>
                    </w:rPr>
                    <w:t>2024-18556</w:t>
                  </w:r>
                </w:p>
              </w:tc>
              <w:tc>
                <w:tcPr>
                  <w:tcW w:w="1331" w:type="dxa"/>
                  <w:tcBorders>
                    <w:top w:val="single" w:sz="2" w:space="0" w:color="000000"/>
                    <w:left w:val="single" w:sz="2" w:space="0" w:color="000000"/>
                    <w:bottom w:val="single" w:sz="2" w:space="0" w:color="000000"/>
                    <w:right w:val="single" w:sz="2" w:space="0" w:color="000000"/>
                  </w:tcBorders>
                </w:tcPr>
                <w:p w14:paraId="3ECD0386" w14:textId="77777777" w:rsidR="00053D93" w:rsidRDefault="00260B75" w:rsidP="00E41474">
                  <w:pPr>
                    <w:framePr w:wrap="around" w:vAnchor="text" w:hAnchor="text" w:x="29" w:y="1009"/>
                    <w:ind w:left="122"/>
                    <w:suppressOverlap/>
                  </w:pPr>
                  <w:r>
                    <w:rPr>
                      <w:sz w:val="14"/>
                    </w:rPr>
                    <w:t>Malla de voleibol</w:t>
                  </w:r>
                </w:p>
              </w:tc>
              <w:tc>
                <w:tcPr>
                  <w:tcW w:w="1398" w:type="dxa"/>
                  <w:tcBorders>
                    <w:top w:val="single" w:sz="2" w:space="0" w:color="000000"/>
                    <w:left w:val="single" w:sz="2" w:space="0" w:color="000000"/>
                    <w:bottom w:val="single" w:sz="2" w:space="0" w:color="000000"/>
                    <w:right w:val="single" w:sz="2" w:space="0" w:color="000000"/>
                  </w:tcBorders>
                </w:tcPr>
                <w:p w14:paraId="5A0D11F5" w14:textId="77777777" w:rsidR="00053D93" w:rsidRDefault="00260B75" w:rsidP="00E41474">
                  <w:pPr>
                    <w:framePr w:wrap="around" w:vAnchor="text" w:hAnchor="text" w:x="29" w:y="1009"/>
                    <w:ind w:left="66"/>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4276BB85" w14:textId="77777777" w:rsidR="00053D93" w:rsidRDefault="00053D93" w:rsidP="00E41474">
                  <w:pPr>
                    <w:framePr w:wrap="around" w:vAnchor="text" w:hAnchor="text" w:x="29" w:y="1009"/>
                    <w:suppressOverlap/>
                  </w:pPr>
                </w:p>
              </w:tc>
              <w:tc>
                <w:tcPr>
                  <w:tcW w:w="1087" w:type="dxa"/>
                  <w:tcBorders>
                    <w:top w:val="single" w:sz="2" w:space="0" w:color="000000"/>
                    <w:left w:val="single" w:sz="2" w:space="0" w:color="000000"/>
                    <w:bottom w:val="single" w:sz="2" w:space="0" w:color="000000"/>
                    <w:right w:val="single" w:sz="2" w:space="0" w:color="000000"/>
                  </w:tcBorders>
                </w:tcPr>
                <w:p w14:paraId="6004BD26" w14:textId="77777777" w:rsidR="00053D93" w:rsidRDefault="00260B75" w:rsidP="00E41474">
                  <w:pPr>
                    <w:framePr w:wrap="around" w:vAnchor="text" w:hAnchor="text" w:x="29" w:y="1009"/>
                    <w:ind w:left="63"/>
                    <w:suppressOverlap/>
                    <w:jc w:val="center"/>
                  </w:pPr>
                  <w:r>
                    <w:rPr>
                      <w:rFonts w:ascii="Times New Roman" w:eastAsia="Times New Roman" w:hAnsi="Times New Roman" w:cs="Times New Roman"/>
                      <w:sz w:val="14"/>
                    </w:rPr>
                    <w:t>50</w:t>
                  </w:r>
                </w:p>
              </w:tc>
              <w:tc>
                <w:tcPr>
                  <w:tcW w:w="958" w:type="dxa"/>
                  <w:tcBorders>
                    <w:top w:val="single" w:sz="2" w:space="0" w:color="000000"/>
                    <w:left w:val="single" w:sz="2" w:space="0" w:color="000000"/>
                    <w:bottom w:val="single" w:sz="2" w:space="0" w:color="000000"/>
                    <w:right w:val="single" w:sz="2" w:space="0" w:color="000000"/>
                  </w:tcBorders>
                </w:tcPr>
                <w:p w14:paraId="30D940DC" w14:textId="77777777" w:rsidR="00053D93" w:rsidRDefault="00260B75" w:rsidP="00E41474">
                  <w:pPr>
                    <w:framePr w:wrap="around" w:vAnchor="text" w:hAnchor="text" w:x="29" w:y="1009"/>
                    <w:ind w:right="55"/>
                    <w:suppressOverlap/>
                    <w:jc w:val="right"/>
                  </w:pPr>
                  <w:r>
                    <w:rPr>
                      <w:rFonts w:ascii="Times New Roman" w:eastAsia="Times New Roman" w:hAnsi="Times New Roman" w:cs="Times New Roman"/>
                      <w:sz w:val="16"/>
                    </w:rPr>
                    <w:t>17,857.15</w:t>
                  </w:r>
                </w:p>
              </w:tc>
            </w:tr>
            <w:tr w:rsidR="00053D93" w14:paraId="4AF791B6" w14:textId="77777777">
              <w:trPr>
                <w:trHeight w:val="382"/>
              </w:trPr>
              <w:tc>
                <w:tcPr>
                  <w:tcW w:w="592" w:type="dxa"/>
                  <w:gridSpan w:val="2"/>
                  <w:tcBorders>
                    <w:top w:val="single" w:sz="2" w:space="0" w:color="000000"/>
                    <w:left w:val="single" w:sz="2" w:space="0" w:color="000000"/>
                    <w:bottom w:val="single" w:sz="2" w:space="0" w:color="000000"/>
                    <w:right w:val="single" w:sz="2" w:space="0" w:color="000000"/>
                  </w:tcBorders>
                </w:tcPr>
                <w:p w14:paraId="432D1F9A" w14:textId="77777777" w:rsidR="00053D93" w:rsidRDefault="00260B75" w:rsidP="00E41474">
                  <w:pPr>
                    <w:framePr w:wrap="around" w:vAnchor="text" w:hAnchor="text" w:x="29" w:y="1009"/>
                    <w:ind w:right="18"/>
                    <w:suppressOverlap/>
                    <w:jc w:val="center"/>
                  </w:pPr>
                  <w:r>
                    <w:rPr>
                      <w:rFonts w:ascii="Times New Roman" w:eastAsia="Times New Roman" w:hAnsi="Times New Roman" w:cs="Times New Roman"/>
                      <w:sz w:val="14"/>
                    </w:rPr>
                    <w:t>20</w:t>
                  </w:r>
                </w:p>
              </w:tc>
              <w:tc>
                <w:tcPr>
                  <w:tcW w:w="758" w:type="dxa"/>
                  <w:gridSpan w:val="2"/>
                  <w:tcBorders>
                    <w:top w:val="single" w:sz="2" w:space="0" w:color="000000"/>
                    <w:left w:val="single" w:sz="2" w:space="0" w:color="000000"/>
                    <w:bottom w:val="single" w:sz="2" w:space="0" w:color="000000"/>
                    <w:right w:val="single" w:sz="2" w:space="0" w:color="000000"/>
                  </w:tcBorders>
                </w:tcPr>
                <w:p w14:paraId="35223BE0" w14:textId="77777777" w:rsidR="00053D93" w:rsidRDefault="00260B75" w:rsidP="00E41474">
                  <w:pPr>
                    <w:framePr w:wrap="around" w:vAnchor="text" w:hAnchor="text" w:x="29" w:y="1009"/>
                    <w:ind w:left="123"/>
                    <w:suppressOverlap/>
                  </w:pPr>
                  <w:r>
                    <w:rPr>
                      <w:rFonts w:ascii="Times New Roman" w:eastAsia="Times New Roman" w:hAnsi="Times New Roman" w:cs="Times New Roman"/>
                      <w:sz w:val="14"/>
                    </w:rPr>
                    <w:t>294061</w:t>
                  </w:r>
                </w:p>
              </w:tc>
              <w:tc>
                <w:tcPr>
                  <w:tcW w:w="1281" w:type="dxa"/>
                  <w:tcBorders>
                    <w:top w:val="single" w:sz="2" w:space="0" w:color="000000"/>
                    <w:left w:val="single" w:sz="2" w:space="0" w:color="000000"/>
                    <w:bottom w:val="single" w:sz="2" w:space="0" w:color="000000"/>
                    <w:right w:val="single" w:sz="2" w:space="0" w:color="000000"/>
                  </w:tcBorders>
                </w:tcPr>
                <w:p w14:paraId="7D5FCD8C" w14:textId="77777777" w:rsidR="00053D93" w:rsidRDefault="00260B75" w:rsidP="00E41474">
                  <w:pPr>
                    <w:framePr w:wrap="around" w:vAnchor="text" w:hAnchor="text" w:x="29" w:y="1009"/>
                    <w:ind w:left="78"/>
                    <w:suppressOverlap/>
                    <w:jc w:val="center"/>
                  </w:pPr>
                  <w:r>
                    <w:rPr>
                      <w:rFonts w:ascii="Times New Roman" w:eastAsia="Times New Roman" w:hAnsi="Times New Roman" w:cs="Times New Roman"/>
                      <w:sz w:val="14"/>
                    </w:rPr>
                    <w:t>2024-18390</w:t>
                  </w:r>
                </w:p>
              </w:tc>
              <w:tc>
                <w:tcPr>
                  <w:tcW w:w="1331" w:type="dxa"/>
                  <w:tcBorders>
                    <w:top w:val="single" w:sz="2" w:space="0" w:color="000000"/>
                    <w:left w:val="single" w:sz="2" w:space="0" w:color="000000"/>
                    <w:bottom w:val="single" w:sz="2" w:space="0" w:color="000000"/>
                    <w:right w:val="single" w:sz="2" w:space="0" w:color="000000"/>
                  </w:tcBorders>
                </w:tcPr>
                <w:p w14:paraId="5F5D7782" w14:textId="77777777" w:rsidR="00053D93" w:rsidRDefault="00260B75" w:rsidP="00E41474">
                  <w:pPr>
                    <w:framePr w:wrap="around" w:vAnchor="text" w:hAnchor="text" w:x="29" w:y="1009"/>
                    <w:tabs>
                      <w:tab w:val="center" w:pos="356"/>
                      <w:tab w:val="right" w:pos="1331"/>
                    </w:tabs>
                    <w:suppressOverlap/>
                  </w:pPr>
                  <w:r>
                    <w:rPr>
                      <w:sz w:val="18"/>
                    </w:rPr>
                    <w:tab/>
                    <w:t>Cuerda</w:t>
                  </w:r>
                  <w:r>
                    <w:rPr>
                      <w:sz w:val="18"/>
                    </w:rPr>
                    <w:tab/>
                    <w:t>para</w:t>
                  </w:r>
                </w:p>
                <w:p w14:paraId="1FBE959D" w14:textId="77777777" w:rsidR="00053D93" w:rsidRDefault="00260B75" w:rsidP="00E41474">
                  <w:pPr>
                    <w:framePr w:wrap="around" w:vAnchor="text" w:hAnchor="text" w:x="29" w:y="1009"/>
                    <w:ind w:left="122"/>
                    <w:suppressOverlap/>
                  </w:pPr>
                  <w:r>
                    <w:rPr>
                      <w:sz w:val="16"/>
                    </w:rPr>
                    <w:t>escalar</w:t>
                  </w:r>
                </w:p>
              </w:tc>
              <w:tc>
                <w:tcPr>
                  <w:tcW w:w="1398" w:type="dxa"/>
                  <w:tcBorders>
                    <w:top w:val="single" w:sz="2" w:space="0" w:color="000000"/>
                    <w:left w:val="single" w:sz="2" w:space="0" w:color="000000"/>
                    <w:bottom w:val="single" w:sz="2" w:space="0" w:color="000000"/>
                    <w:right w:val="single" w:sz="2" w:space="0" w:color="000000"/>
                  </w:tcBorders>
                </w:tcPr>
                <w:p w14:paraId="6D7E6446" w14:textId="77777777" w:rsidR="00053D93" w:rsidRDefault="00260B75" w:rsidP="00E41474">
                  <w:pPr>
                    <w:framePr w:wrap="around" w:vAnchor="text" w:hAnchor="text" w:x="29" w:y="1009"/>
                    <w:ind w:left="66"/>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24D9D322" w14:textId="77777777" w:rsidR="00053D93" w:rsidRDefault="00260B75" w:rsidP="00E41474">
                  <w:pPr>
                    <w:framePr w:wrap="around" w:vAnchor="text" w:hAnchor="text" w:x="29" w:y="1009"/>
                    <w:ind w:left="46"/>
                    <w:suppressOverlap/>
                    <w:jc w:val="center"/>
                  </w:pPr>
                  <w:r>
                    <w:rPr>
                      <w:rFonts w:ascii="Times New Roman" w:eastAsia="Times New Roman" w:hAnsi="Times New Roman" w:cs="Times New Roman"/>
                      <w:sz w:val="14"/>
                    </w:rPr>
                    <w:t>2811012024</w:t>
                  </w:r>
                </w:p>
              </w:tc>
              <w:tc>
                <w:tcPr>
                  <w:tcW w:w="1087" w:type="dxa"/>
                  <w:tcBorders>
                    <w:top w:val="single" w:sz="2" w:space="0" w:color="000000"/>
                    <w:left w:val="single" w:sz="2" w:space="0" w:color="000000"/>
                    <w:bottom w:val="single" w:sz="2" w:space="0" w:color="000000"/>
                    <w:right w:val="single" w:sz="2" w:space="0" w:color="000000"/>
                  </w:tcBorders>
                </w:tcPr>
                <w:p w14:paraId="53858303" w14:textId="77777777" w:rsidR="00053D93" w:rsidRDefault="00260B75" w:rsidP="00E41474">
                  <w:pPr>
                    <w:framePr w:wrap="around" w:vAnchor="text" w:hAnchor="text" w:x="29" w:y="1009"/>
                    <w:ind w:left="63"/>
                    <w:suppressOverlap/>
                    <w:jc w:val="center"/>
                  </w:pPr>
                  <w:r>
                    <w:rPr>
                      <w:rFonts w:ascii="Times New Roman" w:eastAsia="Times New Roman" w:hAnsi="Times New Roman" w:cs="Times New Roman"/>
                      <w:sz w:val="14"/>
                    </w:rPr>
                    <w:t>10</w:t>
                  </w:r>
                </w:p>
              </w:tc>
              <w:tc>
                <w:tcPr>
                  <w:tcW w:w="958" w:type="dxa"/>
                  <w:tcBorders>
                    <w:top w:val="single" w:sz="2" w:space="0" w:color="000000"/>
                    <w:left w:val="single" w:sz="2" w:space="0" w:color="000000"/>
                    <w:bottom w:val="single" w:sz="2" w:space="0" w:color="000000"/>
                    <w:right w:val="single" w:sz="2" w:space="0" w:color="000000"/>
                  </w:tcBorders>
                </w:tcPr>
                <w:p w14:paraId="43FFE4C1" w14:textId="77777777" w:rsidR="00053D93" w:rsidRDefault="00260B75" w:rsidP="00E41474">
                  <w:pPr>
                    <w:framePr w:wrap="around" w:vAnchor="text" w:hAnchor="text" w:x="29" w:y="1009"/>
                    <w:ind w:right="55"/>
                    <w:suppressOverlap/>
                    <w:jc w:val="right"/>
                  </w:pPr>
                  <w:r>
                    <w:rPr>
                      <w:sz w:val="14"/>
                    </w:rPr>
                    <w:t>27,000.oo</w:t>
                  </w:r>
                </w:p>
              </w:tc>
            </w:tr>
            <w:tr w:rsidR="00053D93" w14:paraId="4C778485" w14:textId="77777777">
              <w:trPr>
                <w:trHeight w:val="384"/>
              </w:trPr>
              <w:tc>
                <w:tcPr>
                  <w:tcW w:w="592" w:type="dxa"/>
                  <w:gridSpan w:val="2"/>
                  <w:tcBorders>
                    <w:top w:val="single" w:sz="2" w:space="0" w:color="000000"/>
                    <w:left w:val="single" w:sz="2" w:space="0" w:color="000000"/>
                    <w:bottom w:val="single" w:sz="2" w:space="0" w:color="000000"/>
                    <w:right w:val="single" w:sz="2" w:space="0" w:color="000000"/>
                  </w:tcBorders>
                </w:tcPr>
                <w:p w14:paraId="169DC58B" w14:textId="77777777" w:rsidR="00053D93" w:rsidRDefault="00260B75" w:rsidP="00E41474">
                  <w:pPr>
                    <w:framePr w:wrap="around" w:vAnchor="text" w:hAnchor="text" w:x="29" w:y="1009"/>
                    <w:ind w:right="32"/>
                    <w:suppressOverlap/>
                    <w:jc w:val="center"/>
                  </w:pPr>
                  <w:r>
                    <w:rPr>
                      <w:rFonts w:ascii="Times New Roman" w:eastAsia="Times New Roman" w:hAnsi="Times New Roman" w:cs="Times New Roman"/>
                      <w:sz w:val="14"/>
                    </w:rPr>
                    <w:t>21</w:t>
                  </w:r>
                </w:p>
              </w:tc>
              <w:tc>
                <w:tcPr>
                  <w:tcW w:w="758" w:type="dxa"/>
                  <w:gridSpan w:val="2"/>
                  <w:tcBorders>
                    <w:top w:val="single" w:sz="2" w:space="0" w:color="000000"/>
                    <w:left w:val="single" w:sz="2" w:space="0" w:color="000000"/>
                    <w:bottom w:val="single" w:sz="2" w:space="0" w:color="000000"/>
                    <w:right w:val="single" w:sz="2" w:space="0" w:color="000000"/>
                  </w:tcBorders>
                </w:tcPr>
                <w:p w14:paraId="3DB0117B" w14:textId="77777777" w:rsidR="00053D93" w:rsidRDefault="00260B75" w:rsidP="00E41474">
                  <w:pPr>
                    <w:framePr w:wrap="around" w:vAnchor="text" w:hAnchor="text" w:x="29" w:y="1009"/>
                    <w:ind w:left="123"/>
                    <w:suppressOverlap/>
                  </w:pPr>
                  <w:r>
                    <w:rPr>
                      <w:rFonts w:ascii="Times New Roman" w:eastAsia="Times New Roman" w:hAnsi="Times New Roman" w:cs="Times New Roman"/>
                      <w:sz w:val="14"/>
                    </w:rPr>
                    <w:t>299005</w:t>
                  </w:r>
                </w:p>
              </w:tc>
              <w:tc>
                <w:tcPr>
                  <w:tcW w:w="1281" w:type="dxa"/>
                  <w:tcBorders>
                    <w:top w:val="single" w:sz="2" w:space="0" w:color="000000"/>
                    <w:left w:val="single" w:sz="2" w:space="0" w:color="000000"/>
                    <w:bottom w:val="single" w:sz="2" w:space="0" w:color="000000"/>
                    <w:right w:val="single" w:sz="2" w:space="0" w:color="000000"/>
                  </w:tcBorders>
                </w:tcPr>
                <w:p w14:paraId="269B6710" w14:textId="77777777" w:rsidR="00053D93" w:rsidRDefault="00260B75" w:rsidP="00E41474">
                  <w:pPr>
                    <w:framePr w:wrap="around" w:vAnchor="text" w:hAnchor="text" w:x="29" w:y="1009"/>
                    <w:ind w:left="78"/>
                    <w:suppressOverlap/>
                    <w:jc w:val="center"/>
                  </w:pPr>
                  <w:r>
                    <w:rPr>
                      <w:rFonts w:ascii="Times New Roman" w:eastAsia="Times New Roman" w:hAnsi="Times New Roman" w:cs="Times New Roman"/>
                      <w:sz w:val="14"/>
                    </w:rPr>
                    <w:t>2024-18629</w:t>
                  </w:r>
                </w:p>
              </w:tc>
              <w:tc>
                <w:tcPr>
                  <w:tcW w:w="1331" w:type="dxa"/>
                  <w:tcBorders>
                    <w:top w:val="single" w:sz="2" w:space="0" w:color="000000"/>
                    <w:left w:val="single" w:sz="2" w:space="0" w:color="000000"/>
                    <w:bottom w:val="single" w:sz="2" w:space="0" w:color="000000"/>
                    <w:right w:val="single" w:sz="2" w:space="0" w:color="000000"/>
                  </w:tcBorders>
                </w:tcPr>
                <w:p w14:paraId="32CDA050" w14:textId="77777777" w:rsidR="00053D93" w:rsidRDefault="00260B75" w:rsidP="00E41474">
                  <w:pPr>
                    <w:framePr w:wrap="around" w:vAnchor="text" w:hAnchor="text" w:x="29" w:y="1009"/>
                    <w:ind w:left="115" w:firstLine="7"/>
                    <w:suppressOverlap/>
                    <w:jc w:val="both"/>
                  </w:pPr>
                  <w:r>
                    <w:rPr>
                      <w:sz w:val="14"/>
                    </w:rPr>
                    <w:t>Protector para viga de equilibro</w:t>
                  </w:r>
                </w:p>
              </w:tc>
              <w:tc>
                <w:tcPr>
                  <w:tcW w:w="1398" w:type="dxa"/>
                  <w:tcBorders>
                    <w:top w:val="single" w:sz="2" w:space="0" w:color="000000"/>
                    <w:left w:val="single" w:sz="2" w:space="0" w:color="000000"/>
                    <w:bottom w:val="single" w:sz="2" w:space="0" w:color="000000"/>
                    <w:right w:val="single" w:sz="2" w:space="0" w:color="000000"/>
                  </w:tcBorders>
                </w:tcPr>
                <w:p w14:paraId="158BEC31" w14:textId="77777777" w:rsidR="00053D93" w:rsidRDefault="00260B75" w:rsidP="00E41474">
                  <w:pPr>
                    <w:framePr w:wrap="around" w:vAnchor="text" w:hAnchor="text" w:x="29" w:y="1009"/>
                    <w:ind w:left="66"/>
                    <w:suppressOverlap/>
                    <w:jc w:val="center"/>
                  </w:pPr>
                  <w:r>
                    <w:rPr>
                      <w:rFonts w:ascii="Times New Roman" w:eastAsia="Times New Roman" w:hAnsi="Times New Roman" w:cs="Times New Roman"/>
                      <w:sz w:val="14"/>
                    </w:rPr>
                    <w:t>299</w:t>
                  </w:r>
                </w:p>
              </w:tc>
              <w:tc>
                <w:tcPr>
                  <w:tcW w:w="1099" w:type="dxa"/>
                  <w:tcBorders>
                    <w:top w:val="single" w:sz="2" w:space="0" w:color="000000"/>
                    <w:left w:val="single" w:sz="2" w:space="0" w:color="000000"/>
                    <w:bottom w:val="single" w:sz="2" w:space="0" w:color="000000"/>
                    <w:right w:val="single" w:sz="2" w:space="0" w:color="000000"/>
                  </w:tcBorders>
                </w:tcPr>
                <w:p w14:paraId="33F0C016" w14:textId="77777777" w:rsidR="00053D93" w:rsidRDefault="00260B75" w:rsidP="00E41474">
                  <w:pPr>
                    <w:framePr w:wrap="around" w:vAnchor="text" w:hAnchor="text" w:x="29" w:y="1009"/>
                    <w:ind w:left="46"/>
                    <w:suppressOverlap/>
                    <w:jc w:val="center"/>
                  </w:pPr>
                  <w:r>
                    <w:rPr>
                      <w:rFonts w:ascii="Times New Roman" w:eastAsia="Times New Roman" w:hAnsi="Times New Roman" w:cs="Times New Roman"/>
                      <w:sz w:val="14"/>
                    </w:rPr>
                    <w:t>27/11/2024</w:t>
                  </w:r>
                </w:p>
              </w:tc>
              <w:tc>
                <w:tcPr>
                  <w:tcW w:w="1087" w:type="dxa"/>
                  <w:tcBorders>
                    <w:top w:val="single" w:sz="2" w:space="0" w:color="000000"/>
                    <w:left w:val="single" w:sz="2" w:space="0" w:color="000000"/>
                    <w:bottom w:val="single" w:sz="2" w:space="0" w:color="000000"/>
                    <w:right w:val="single" w:sz="2" w:space="0" w:color="000000"/>
                  </w:tcBorders>
                </w:tcPr>
                <w:p w14:paraId="3605CCE2" w14:textId="77777777" w:rsidR="00053D93" w:rsidRDefault="00260B75" w:rsidP="00E41474">
                  <w:pPr>
                    <w:framePr w:wrap="around" w:vAnchor="text" w:hAnchor="text" w:x="29" w:y="1009"/>
                    <w:ind w:left="63"/>
                    <w:suppressOverlap/>
                    <w:jc w:val="center"/>
                  </w:pPr>
                  <w:r>
                    <w:rPr>
                      <w:rFonts w:ascii="Times New Roman" w:eastAsia="Times New Roman" w:hAnsi="Times New Roman" w:cs="Times New Roman"/>
                      <w:sz w:val="14"/>
                    </w:rPr>
                    <w:t>15</w:t>
                  </w:r>
                </w:p>
              </w:tc>
              <w:tc>
                <w:tcPr>
                  <w:tcW w:w="958" w:type="dxa"/>
                  <w:tcBorders>
                    <w:top w:val="single" w:sz="2" w:space="0" w:color="000000"/>
                    <w:left w:val="single" w:sz="2" w:space="0" w:color="000000"/>
                    <w:bottom w:val="single" w:sz="2" w:space="0" w:color="000000"/>
                    <w:right w:val="single" w:sz="2" w:space="0" w:color="000000"/>
                  </w:tcBorders>
                </w:tcPr>
                <w:p w14:paraId="1791B91E" w14:textId="77777777" w:rsidR="00053D93" w:rsidRDefault="00260B75" w:rsidP="00E41474">
                  <w:pPr>
                    <w:framePr w:wrap="around" w:vAnchor="text" w:hAnchor="text" w:x="29" w:y="1009"/>
                    <w:ind w:right="62"/>
                    <w:suppressOverlap/>
                    <w:jc w:val="right"/>
                  </w:pPr>
                  <w:r>
                    <w:rPr>
                      <w:rFonts w:ascii="Times New Roman" w:eastAsia="Times New Roman" w:hAnsi="Times New Roman" w:cs="Times New Roman"/>
                      <w:sz w:val="14"/>
                    </w:rPr>
                    <w:t>27.750.00</w:t>
                  </w:r>
                </w:p>
              </w:tc>
            </w:tr>
            <w:tr w:rsidR="00053D93" w14:paraId="1C775745" w14:textId="77777777">
              <w:trPr>
                <w:trHeight w:val="861"/>
              </w:trPr>
              <w:tc>
                <w:tcPr>
                  <w:tcW w:w="592" w:type="dxa"/>
                  <w:gridSpan w:val="2"/>
                  <w:tcBorders>
                    <w:top w:val="single" w:sz="2" w:space="0" w:color="000000"/>
                    <w:left w:val="single" w:sz="2" w:space="0" w:color="000000"/>
                    <w:bottom w:val="single" w:sz="2" w:space="0" w:color="000000"/>
                    <w:right w:val="single" w:sz="2" w:space="0" w:color="000000"/>
                  </w:tcBorders>
                </w:tcPr>
                <w:p w14:paraId="2023CD3E" w14:textId="77777777" w:rsidR="00053D93" w:rsidRDefault="00260B75" w:rsidP="00E41474">
                  <w:pPr>
                    <w:framePr w:wrap="around" w:vAnchor="text" w:hAnchor="text" w:x="29" w:y="1009"/>
                    <w:ind w:right="18"/>
                    <w:suppressOverlap/>
                    <w:jc w:val="center"/>
                  </w:pPr>
                  <w:r>
                    <w:rPr>
                      <w:rFonts w:ascii="Times New Roman" w:eastAsia="Times New Roman" w:hAnsi="Times New Roman" w:cs="Times New Roman"/>
                      <w:sz w:val="14"/>
                    </w:rPr>
                    <w:t>22</w:t>
                  </w:r>
                </w:p>
              </w:tc>
              <w:tc>
                <w:tcPr>
                  <w:tcW w:w="758" w:type="dxa"/>
                  <w:gridSpan w:val="2"/>
                  <w:tcBorders>
                    <w:top w:val="single" w:sz="2" w:space="0" w:color="000000"/>
                    <w:left w:val="single" w:sz="2" w:space="0" w:color="000000"/>
                    <w:bottom w:val="single" w:sz="2" w:space="0" w:color="000000"/>
                    <w:right w:val="single" w:sz="2" w:space="0" w:color="000000"/>
                  </w:tcBorders>
                </w:tcPr>
                <w:p w14:paraId="18857EB8" w14:textId="77777777" w:rsidR="00053D93" w:rsidRDefault="00260B75" w:rsidP="00E41474">
                  <w:pPr>
                    <w:framePr w:wrap="around" w:vAnchor="text" w:hAnchor="text" w:x="29" w:y="1009"/>
                    <w:ind w:left="116"/>
                    <w:suppressOverlap/>
                  </w:pPr>
                  <w:r>
                    <w:rPr>
                      <w:rFonts w:ascii="Times New Roman" w:eastAsia="Times New Roman" w:hAnsi="Times New Roman" w:cs="Times New Roman"/>
                      <w:sz w:val="14"/>
                    </w:rPr>
                    <w:t>324002</w:t>
                  </w:r>
                </w:p>
              </w:tc>
              <w:tc>
                <w:tcPr>
                  <w:tcW w:w="1281" w:type="dxa"/>
                  <w:tcBorders>
                    <w:top w:val="single" w:sz="2" w:space="0" w:color="000000"/>
                    <w:left w:val="single" w:sz="2" w:space="0" w:color="000000"/>
                    <w:bottom w:val="single" w:sz="2" w:space="0" w:color="000000"/>
                    <w:right w:val="single" w:sz="2" w:space="0" w:color="000000"/>
                  </w:tcBorders>
                </w:tcPr>
                <w:p w14:paraId="545B1F5A" w14:textId="77777777" w:rsidR="00053D93" w:rsidRDefault="00260B75" w:rsidP="00E41474">
                  <w:pPr>
                    <w:framePr w:wrap="around" w:vAnchor="text" w:hAnchor="text" w:x="29" w:y="1009"/>
                    <w:ind w:left="64"/>
                    <w:suppressOverlap/>
                    <w:jc w:val="center"/>
                  </w:pPr>
                  <w:r>
                    <w:rPr>
                      <w:rFonts w:ascii="Times New Roman" w:eastAsia="Times New Roman" w:hAnsi="Times New Roman" w:cs="Times New Roman"/>
                      <w:sz w:val="14"/>
                    </w:rPr>
                    <w:t>2024-19484</w:t>
                  </w:r>
                </w:p>
              </w:tc>
              <w:tc>
                <w:tcPr>
                  <w:tcW w:w="1331" w:type="dxa"/>
                  <w:tcBorders>
                    <w:top w:val="single" w:sz="2" w:space="0" w:color="000000"/>
                    <w:left w:val="single" w:sz="2" w:space="0" w:color="000000"/>
                    <w:bottom w:val="single" w:sz="2" w:space="0" w:color="000000"/>
                    <w:right w:val="single" w:sz="2" w:space="0" w:color="000000"/>
                  </w:tcBorders>
                </w:tcPr>
                <w:p w14:paraId="46CE969D" w14:textId="77777777" w:rsidR="00053D93" w:rsidRDefault="00260B75" w:rsidP="00E41474">
                  <w:pPr>
                    <w:framePr w:wrap="around" w:vAnchor="text" w:hAnchor="text" w:x="29" w:y="1009"/>
                    <w:ind w:left="115" w:right="49"/>
                    <w:suppressOverlap/>
                    <w:jc w:val="both"/>
                  </w:pPr>
                  <w:r>
                    <w:rPr>
                      <w:sz w:val="16"/>
                    </w:rPr>
                    <w:t>Colchoneta de gimnasia 45 CM X 150 CM de Bito 200 CM de largo.</w:t>
                  </w:r>
                </w:p>
              </w:tc>
              <w:tc>
                <w:tcPr>
                  <w:tcW w:w="1398" w:type="dxa"/>
                  <w:tcBorders>
                    <w:top w:val="single" w:sz="2" w:space="0" w:color="000000"/>
                    <w:left w:val="single" w:sz="2" w:space="0" w:color="000000"/>
                    <w:bottom w:val="single" w:sz="2" w:space="0" w:color="000000"/>
                    <w:right w:val="single" w:sz="2" w:space="0" w:color="000000"/>
                  </w:tcBorders>
                </w:tcPr>
                <w:p w14:paraId="7E74D37B" w14:textId="77777777" w:rsidR="00053D93" w:rsidRDefault="00260B75" w:rsidP="00E41474">
                  <w:pPr>
                    <w:framePr w:wrap="around" w:vAnchor="text" w:hAnchor="text" w:x="29" w:y="1009"/>
                    <w:ind w:left="51"/>
                    <w:suppressOverlap/>
                    <w:jc w:val="center"/>
                  </w:pPr>
                  <w:r>
                    <w:rPr>
                      <w:rFonts w:ascii="Times New Roman" w:eastAsia="Times New Roman" w:hAnsi="Times New Roman" w:cs="Times New Roman"/>
                      <w:sz w:val="14"/>
                    </w:rPr>
                    <w:t>239</w:t>
                  </w:r>
                </w:p>
              </w:tc>
              <w:tc>
                <w:tcPr>
                  <w:tcW w:w="1099" w:type="dxa"/>
                  <w:tcBorders>
                    <w:top w:val="single" w:sz="2" w:space="0" w:color="000000"/>
                    <w:left w:val="single" w:sz="2" w:space="0" w:color="000000"/>
                    <w:bottom w:val="single" w:sz="2" w:space="0" w:color="000000"/>
                    <w:right w:val="single" w:sz="2" w:space="0" w:color="000000"/>
                  </w:tcBorders>
                </w:tcPr>
                <w:p w14:paraId="62E21CB4" w14:textId="77777777" w:rsidR="00053D93" w:rsidRDefault="00260B75" w:rsidP="00E41474">
                  <w:pPr>
                    <w:framePr w:wrap="around" w:vAnchor="text" w:hAnchor="text" w:x="29" w:y="1009"/>
                    <w:ind w:left="46"/>
                    <w:suppressOverlap/>
                    <w:jc w:val="center"/>
                  </w:pPr>
                  <w:r>
                    <w:rPr>
                      <w:rFonts w:ascii="Times New Roman" w:eastAsia="Times New Roman" w:hAnsi="Times New Roman" w:cs="Times New Roman"/>
                      <w:sz w:val="14"/>
                    </w:rPr>
                    <w:t>27111/2024</w:t>
                  </w:r>
                </w:p>
              </w:tc>
              <w:tc>
                <w:tcPr>
                  <w:tcW w:w="1087" w:type="dxa"/>
                  <w:tcBorders>
                    <w:top w:val="single" w:sz="2" w:space="0" w:color="000000"/>
                    <w:left w:val="single" w:sz="2" w:space="0" w:color="000000"/>
                    <w:bottom w:val="single" w:sz="2" w:space="0" w:color="000000"/>
                    <w:right w:val="single" w:sz="2" w:space="0" w:color="000000"/>
                  </w:tcBorders>
                </w:tcPr>
                <w:p w14:paraId="17740B85" w14:textId="77777777" w:rsidR="00053D93" w:rsidRDefault="00260B75" w:rsidP="00E41474">
                  <w:pPr>
                    <w:framePr w:wrap="around" w:vAnchor="text" w:hAnchor="text" w:x="29" w:y="1009"/>
                    <w:ind w:left="49"/>
                    <w:suppressOverlap/>
                    <w:jc w:val="center"/>
                  </w:pPr>
                  <w:r>
                    <w:rPr>
                      <w:rFonts w:ascii="Times New Roman" w:eastAsia="Times New Roman" w:hAnsi="Times New Roman" w:cs="Times New Roman"/>
                      <w:sz w:val="16"/>
                    </w:rPr>
                    <w:t>5</w:t>
                  </w:r>
                </w:p>
              </w:tc>
              <w:tc>
                <w:tcPr>
                  <w:tcW w:w="958" w:type="dxa"/>
                  <w:tcBorders>
                    <w:top w:val="single" w:sz="2" w:space="0" w:color="000000"/>
                    <w:left w:val="single" w:sz="2" w:space="0" w:color="000000"/>
                    <w:bottom w:val="single" w:sz="2" w:space="0" w:color="000000"/>
                    <w:right w:val="single" w:sz="2" w:space="0" w:color="000000"/>
                  </w:tcBorders>
                </w:tcPr>
                <w:p w14:paraId="59EAB6E5" w14:textId="77777777" w:rsidR="00053D93" w:rsidRDefault="00260B75" w:rsidP="00E41474">
                  <w:pPr>
                    <w:framePr w:wrap="around" w:vAnchor="text" w:hAnchor="text" w:x="29" w:y="1009"/>
                    <w:ind w:right="62"/>
                    <w:suppressOverlap/>
                    <w:jc w:val="right"/>
                  </w:pPr>
                  <w:r>
                    <w:rPr>
                      <w:rFonts w:ascii="Times New Roman" w:eastAsia="Times New Roman" w:hAnsi="Times New Roman" w:cs="Times New Roman"/>
                      <w:sz w:val="14"/>
                    </w:rPr>
                    <w:t>27.384.30</w:t>
                  </w:r>
                </w:p>
              </w:tc>
            </w:tr>
            <w:tr w:rsidR="00053D93" w14:paraId="36337FEA" w14:textId="77777777">
              <w:trPr>
                <w:trHeight w:val="734"/>
              </w:trPr>
              <w:tc>
                <w:tcPr>
                  <w:tcW w:w="592" w:type="dxa"/>
                  <w:gridSpan w:val="2"/>
                  <w:tcBorders>
                    <w:top w:val="single" w:sz="2" w:space="0" w:color="000000"/>
                    <w:left w:val="single" w:sz="2" w:space="0" w:color="000000"/>
                    <w:bottom w:val="single" w:sz="2" w:space="0" w:color="000000"/>
                    <w:right w:val="single" w:sz="2" w:space="0" w:color="000000"/>
                  </w:tcBorders>
                </w:tcPr>
                <w:p w14:paraId="295BB102" w14:textId="77777777" w:rsidR="00053D93" w:rsidRDefault="00260B75" w:rsidP="00E41474">
                  <w:pPr>
                    <w:framePr w:wrap="around" w:vAnchor="text" w:hAnchor="text" w:x="29" w:y="1009"/>
                    <w:ind w:right="32"/>
                    <w:suppressOverlap/>
                    <w:jc w:val="center"/>
                  </w:pPr>
                  <w:r>
                    <w:rPr>
                      <w:rFonts w:ascii="Times New Roman" w:eastAsia="Times New Roman" w:hAnsi="Times New Roman" w:cs="Times New Roman"/>
                      <w:sz w:val="16"/>
                    </w:rPr>
                    <w:t>23</w:t>
                  </w:r>
                </w:p>
              </w:tc>
              <w:tc>
                <w:tcPr>
                  <w:tcW w:w="758" w:type="dxa"/>
                  <w:gridSpan w:val="2"/>
                  <w:tcBorders>
                    <w:top w:val="single" w:sz="2" w:space="0" w:color="000000"/>
                    <w:left w:val="single" w:sz="2" w:space="0" w:color="000000"/>
                    <w:bottom w:val="single" w:sz="2" w:space="0" w:color="000000"/>
                    <w:right w:val="single" w:sz="2" w:space="0" w:color="000000"/>
                  </w:tcBorders>
                </w:tcPr>
                <w:p w14:paraId="3DA26362" w14:textId="77777777" w:rsidR="00053D93" w:rsidRDefault="00260B75" w:rsidP="00E41474">
                  <w:pPr>
                    <w:framePr w:wrap="around" w:vAnchor="text" w:hAnchor="text" w:x="29" w:y="1009"/>
                    <w:ind w:left="116"/>
                    <w:suppressOverlap/>
                  </w:pPr>
                  <w:r>
                    <w:rPr>
                      <w:rFonts w:ascii="Times New Roman" w:eastAsia="Times New Roman" w:hAnsi="Times New Roman" w:cs="Times New Roman"/>
                      <w:sz w:val="16"/>
                    </w:rPr>
                    <w:t>324003</w:t>
                  </w:r>
                </w:p>
              </w:tc>
              <w:tc>
                <w:tcPr>
                  <w:tcW w:w="1281" w:type="dxa"/>
                  <w:tcBorders>
                    <w:top w:val="single" w:sz="2" w:space="0" w:color="000000"/>
                    <w:left w:val="single" w:sz="2" w:space="0" w:color="000000"/>
                    <w:bottom w:val="single" w:sz="2" w:space="0" w:color="000000"/>
                    <w:right w:val="single" w:sz="2" w:space="0" w:color="000000"/>
                  </w:tcBorders>
                </w:tcPr>
                <w:p w14:paraId="19CB6F49" w14:textId="77777777" w:rsidR="00053D93" w:rsidRDefault="00260B75" w:rsidP="00E41474">
                  <w:pPr>
                    <w:framePr w:wrap="around" w:vAnchor="text" w:hAnchor="text" w:x="29" w:y="1009"/>
                    <w:ind w:left="64"/>
                    <w:suppressOverlap/>
                    <w:jc w:val="center"/>
                  </w:pPr>
                  <w:r>
                    <w:rPr>
                      <w:rFonts w:ascii="Times New Roman" w:eastAsia="Times New Roman" w:hAnsi="Times New Roman" w:cs="Times New Roman"/>
                      <w:sz w:val="14"/>
                    </w:rPr>
                    <w:t>2024-19483</w:t>
                  </w:r>
                </w:p>
              </w:tc>
              <w:tc>
                <w:tcPr>
                  <w:tcW w:w="1331" w:type="dxa"/>
                  <w:tcBorders>
                    <w:top w:val="single" w:sz="2" w:space="0" w:color="000000"/>
                    <w:left w:val="single" w:sz="2" w:space="0" w:color="000000"/>
                    <w:bottom w:val="single" w:sz="2" w:space="0" w:color="000000"/>
                    <w:right w:val="single" w:sz="2" w:space="0" w:color="000000"/>
                  </w:tcBorders>
                </w:tcPr>
                <w:p w14:paraId="2C78FE57" w14:textId="77777777" w:rsidR="00053D93" w:rsidRDefault="00260B75" w:rsidP="00E41474">
                  <w:pPr>
                    <w:framePr w:wrap="around" w:vAnchor="text" w:hAnchor="text" w:x="29" w:y="1009"/>
                    <w:ind w:left="108" w:right="57" w:firstLine="7"/>
                    <w:suppressOverlap/>
                    <w:jc w:val="both"/>
                  </w:pPr>
                  <w:r>
                    <w:rPr>
                      <w:sz w:val="16"/>
                    </w:rPr>
                    <w:t>Colchoneta de gimnasia 45 CM X 180 CM de alto 240 CM de largo.</w:t>
                  </w:r>
                </w:p>
              </w:tc>
              <w:tc>
                <w:tcPr>
                  <w:tcW w:w="1398" w:type="dxa"/>
                  <w:tcBorders>
                    <w:top w:val="single" w:sz="2" w:space="0" w:color="000000"/>
                    <w:left w:val="single" w:sz="2" w:space="0" w:color="000000"/>
                    <w:bottom w:val="single" w:sz="2" w:space="0" w:color="000000"/>
                    <w:right w:val="single" w:sz="2" w:space="0" w:color="000000"/>
                  </w:tcBorders>
                </w:tcPr>
                <w:p w14:paraId="38C219A3" w14:textId="77777777" w:rsidR="00053D93" w:rsidRDefault="00260B75" w:rsidP="00E41474">
                  <w:pPr>
                    <w:framePr w:wrap="around" w:vAnchor="text" w:hAnchor="text" w:x="29" w:y="1009"/>
                    <w:ind w:left="44"/>
                    <w:suppressOverlap/>
                    <w:jc w:val="center"/>
                  </w:pPr>
                  <w:r>
                    <w:rPr>
                      <w:rFonts w:ascii="Times New Roman" w:eastAsia="Times New Roman" w:hAnsi="Times New Roman" w:cs="Times New Roman"/>
                      <w:sz w:val="16"/>
                    </w:rPr>
                    <w:t>239</w:t>
                  </w:r>
                </w:p>
              </w:tc>
              <w:tc>
                <w:tcPr>
                  <w:tcW w:w="1099" w:type="dxa"/>
                  <w:tcBorders>
                    <w:top w:val="single" w:sz="2" w:space="0" w:color="000000"/>
                    <w:left w:val="single" w:sz="2" w:space="0" w:color="000000"/>
                    <w:bottom w:val="single" w:sz="2" w:space="0" w:color="000000"/>
                    <w:right w:val="single" w:sz="2" w:space="0" w:color="000000"/>
                  </w:tcBorders>
                </w:tcPr>
                <w:p w14:paraId="095E4761" w14:textId="77777777" w:rsidR="00053D93" w:rsidRDefault="00260B75" w:rsidP="00E41474">
                  <w:pPr>
                    <w:framePr w:wrap="around" w:vAnchor="text" w:hAnchor="text" w:x="29" w:y="1009"/>
                    <w:ind w:left="32"/>
                    <w:suppressOverlap/>
                    <w:jc w:val="center"/>
                  </w:pPr>
                  <w:r>
                    <w:rPr>
                      <w:rFonts w:ascii="Times New Roman" w:eastAsia="Times New Roman" w:hAnsi="Times New Roman" w:cs="Times New Roman"/>
                      <w:sz w:val="14"/>
                    </w:rPr>
                    <w:t>27'11/2024</w:t>
                  </w:r>
                </w:p>
              </w:tc>
              <w:tc>
                <w:tcPr>
                  <w:tcW w:w="1087" w:type="dxa"/>
                  <w:tcBorders>
                    <w:top w:val="single" w:sz="2" w:space="0" w:color="000000"/>
                    <w:left w:val="single" w:sz="2" w:space="0" w:color="000000"/>
                    <w:bottom w:val="single" w:sz="2" w:space="0" w:color="000000"/>
                    <w:right w:val="single" w:sz="2" w:space="0" w:color="000000"/>
                  </w:tcBorders>
                </w:tcPr>
                <w:p w14:paraId="00E4FA75" w14:textId="77777777" w:rsidR="00053D93" w:rsidRDefault="00260B75" w:rsidP="00E41474">
                  <w:pPr>
                    <w:framePr w:wrap="around" w:vAnchor="text" w:hAnchor="text" w:x="29" w:y="1009"/>
                    <w:ind w:left="41"/>
                    <w:suppressOverlap/>
                    <w:jc w:val="center"/>
                  </w:pPr>
                  <w:r>
                    <w:rPr>
                      <w:rFonts w:ascii="Times New Roman" w:eastAsia="Times New Roman" w:hAnsi="Times New Roman" w:cs="Times New Roman"/>
                      <w:sz w:val="14"/>
                    </w:rPr>
                    <w:t>5</w:t>
                  </w:r>
                </w:p>
              </w:tc>
              <w:tc>
                <w:tcPr>
                  <w:tcW w:w="958" w:type="dxa"/>
                  <w:tcBorders>
                    <w:top w:val="single" w:sz="2" w:space="0" w:color="000000"/>
                    <w:left w:val="single" w:sz="2" w:space="0" w:color="000000"/>
                    <w:bottom w:val="single" w:sz="2" w:space="0" w:color="000000"/>
                    <w:right w:val="single" w:sz="2" w:space="0" w:color="000000"/>
                  </w:tcBorders>
                </w:tcPr>
                <w:p w14:paraId="6B69000A" w14:textId="77777777" w:rsidR="00053D93" w:rsidRDefault="00260B75" w:rsidP="00E41474">
                  <w:pPr>
                    <w:framePr w:wrap="around" w:vAnchor="text" w:hAnchor="text" w:x="29" w:y="1009"/>
                    <w:ind w:right="62"/>
                    <w:suppressOverlap/>
                    <w:jc w:val="right"/>
                  </w:pPr>
                  <w:r>
                    <w:rPr>
                      <w:rFonts w:ascii="Times New Roman" w:eastAsia="Times New Roman" w:hAnsi="Times New Roman" w:cs="Times New Roman"/>
                      <w:sz w:val="14"/>
                    </w:rPr>
                    <w:t>35.500.60</w:t>
                  </w:r>
                </w:p>
              </w:tc>
            </w:tr>
            <w:tr w:rsidR="00053D93" w14:paraId="7371120E" w14:textId="77777777">
              <w:trPr>
                <w:trHeight w:val="554"/>
              </w:trPr>
              <w:tc>
                <w:tcPr>
                  <w:tcW w:w="302" w:type="dxa"/>
                  <w:tcBorders>
                    <w:top w:val="single" w:sz="2" w:space="0" w:color="000000"/>
                    <w:left w:val="single" w:sz="2" w:space="0" w:color="000000"/>
                    <w:bottom w:val="single" w:sz="2" w:space="0" w:color="000000"/>
                    <w:right w:val="single" w:sz="2" w:space="0" w:color="000000"/>
                  </w:tcBorders>
                </w:tcPr>
                <w:p w14:paraId="70BEF1D2" w14:textId="77777777" w:rsidR="00053D93" w:rsidRDefault="00260B75" w:rsidP="00E41474">
                  <w:pPr>
                    <w:framePr w:wrap="around" w:vAnchor="text" w:hAnchor="text" w:x="29" w:y="1009"/>
                    <w:ind w:right="-40"/>
                    <w:suppressOverlap/>
                    <w:jc w:val="right"/>
                  </w:pPr>
                  <w:r>
                    <w:rPr>
                      <w:rFonts w:ascii="Times New Roman" w:eastAsia="Times New Roman" w:hAnsi="Times New Roman" w:cs="Times New Roman"/>
                      <w:sz w:val="14"/>
                    </w:rPr>
                    <w:t>24</w:t>
                  </w:r>
                </w:p>
              </w:tc>
              <w:tc>
                <w:tcPr>
                  <w:tcW w:w="291" w:type="dxa"/>
                  <w:tcBorders>
                    <w:top w:val="single" w:sz="2" w:space="0" w:color="000000"/>
                    <w:left w:val="single" w:sz="2" w:space="0" w:color="000000"/>
                    <w:bottom w:val="single" w:sz="2" w:space="0" w:color="000000"/>
                    <w:right w:val="single" w:sz="2" w:space="0" w:color="000000"/>
                  </w:tcBorders>
                </w:tcPr>
                <w:p w14:paraId="684FFFDF" w14:textId="77777777" w:rsidR="00053D93" w:rsidRDefault="00053D93" w:rsidP="00E41474">
                  <w:pPr>
                    <w:framePr w:wrap="around" w:vAnchor="text" w:hAnchor="text" w:x="29" w:y="1009"/>
                    <w:suppressOverlap/>
                  </w:pPr>
                </w:p>
              </w:tc>
              <w:tc>
                <w:tcPr>
                  <w:tcW w:w="758" w:type="dxa"/>
                  <w:gridSpan w:val="2"/>
                  <w:tcBorders>
                    <w:top w:val="single" w:sz="2" w:space="0" w:color="000000"/>
                    <w:left w:val="single" w:sz="2" w:space="0" w:color="000000"/>
                    <w:bottom w:val="single" w:sz="2" w:space="0" w:color="000000"/>
                    <w:right w:val="single" w:sz="2" w:space="0" w:color="000000"/>
                  </w:tcBorders>
                </w:tcPr>
                <w:p w14:paraId="6017EE25" w14:textId="77777777" w:rsidR="00053D93" w:rsidRDefault="00260B75" w:rsidP="00E41474">
                  <w:pPr>
                    <w:framePr w:wrap="around" w:vAnchor="text" w:hAnchor="text" w:x="29" w:y="1009"/>
                    <w:ind w:left="109"/>
                    <w:suppressOverlap/>
                  </w:pPr>
                  <w:r>
                    <w:rPr>
                      <w:rFonts w:ascii="Times New Roman" w:eastAsia="Times New Roman" w:hAnsi="Times New Roman" w:cs="Times New Roman"/>
                      <w:sz w:val="14"/>
                    </w:rPr>
                    <w:t>324012</w:t>
                  </w:r>
                </w:p>
              </w:tc>
              <w:tc>
                <w:tcPr>
                  <w:tcW w:w="1281" w:type="dxa"/>
                  <w:tcBorders>
                    <w:top w:val="single" w:sz="2" w:space="0" w:color="000000"/>
                    <w:left w:val="single" w:sz="2" w:space="0" w:color="000000"/>
                    <w:bottom w:val="single" w:sz="2" w:space="0" w:color="000000"/>
                    <w:right w:val="single" w:sz="2" w:space="0" w:color="000000"/>
                  </w:tcBorders>
                </w:tcPr>
                <w:p w14:paraId="1117DD02" w14:textId="77777777" w:rsidR="00053D93" w:rsidRDefault="00260B75" w:rsidP="00E41474">
                  <w:pPr>
                    <w:framePr w:wrap="around" w:vAnchor="text" w:hAnchor="text" w:x="29" w:y="1009"/>
                    <w:spacing w:after="5"/>
                    <w:ind w:left="21"/>
                    <w:suppressOverlap/>
                    <w:jc w:val="center"/>
                  </w:pPr>
                  <w:r>
                    <w:rPr>
                      <w:rFonts w:ascii="Times New Roman" w:eastAsia="Times New Roman" w:hAnsi="Times New Roman" w:cs="Times New Roman"/>
                      <w:sz w:val="14"/>
                    </w:rPr>
                    <w:t>2024-2457</w:t>
                  </w:r>
                </w:p>
                <w:p w14:paraId="5B8647DA" w14:textId="77777777" w:rsidR="00053D93" w:rsidRDefault="00260B75" w:rsidP="00E41474">
                  <w:pPr>
                    <w:framePr w:wrap="around" w:vAnchor="text" w:hAnchor="text" w:x="29" w:y="1009"/>
                    <w:spacing w:after="5"/>
                    <w:ind w:right="23"/>
                    <w:suppressOverlap/>
                    <w:jc w:val="center"/>
                  </w:pPr>
                  <w:r>
                    <w:rPr>
                      <w:rFonts w:ascii="Times New Roman" w:eastAsia="Times New Roman" w:hAnsi="Times New Roman" w:cs="Times New Roman"/>
                      <w:sz w:val="14"/>
                    </w:rPr>
                    <w:t>2024-2455</w:t>
                  </w:r>
                </w:p>
                <w:p w14:paraId="497F63E4" w14:textId="77777777" w:rsidR="00053D93" w:rsidRDefault="00260B75" w:rsidP="00E41474">
                  <w:pPr>
                    <w:framePr w:wrap="around" w:vAnchor="text" w:hAnchor="text" w:x="29" w:y="1009"/>
                    <w:ind w:left="50"/>
                    <w:suppressOverlap/>
                    <w:jc w:val="center"/>
                  </w:pPr>
                  <w:r>
                    <w:rPr>
                      <w:rFonts w:ascii="Times New Roman" w:eastAsia="Times New Roman" w:hAnsi="Times New Roman" w:cs="Times New Roman"/>
                      <w:sz w:val="14"/>
                    </w:rPr>
                    <w:t>2024-2456</w:t>
                  </w:r>
                </w:p>
              </w:tc>
              <w:tc>
                <w:tcPr>
                  <w:tcW w:w="1331" w:type="dxa"/>
                  <w:tcBorders>
                    <w:top w:val="single" w:sz="2" w:space="0" w:color="000000"/>
                    <w:left w:val="single" w:sz="2" w:space="0" w:color="000000"/>
                    <w:bottom w:val="single" w:sz="2" w:space="0" w:color="000000"/>
                    <w:right w:val="single" w:sz="2" w:space="0" w:color="000000"/>
                  </w:tcBorders>
                </w:tcPr>
                <w:p w14:paraId="3727F8AC" w14:textId="77777777" w:rsidR="00053D93" w:rsidRDefault="00260B75" w:rsidP="00E41474">
                  <w:pPr>
                    <w:framePr w:wrap="around" w:vAnchor="text" w:hAnchor="text" w:x="29" w:y="1009"/>
                    <w:ind w:left="101"/>
                    <w:suppressOverlap/>
                  </w:pPr>
                  <w:r>
                    <w:rPr>
                      <w:sz w:val="14"/>
                    </w:rPr>
                    <w:t>Viga de equilibrio</w:t>
                  </w:r>
                </w:p>
              </w:tc>
              <w:tc>
                <w:tcPr>
                  <w:tcW w:w="1398" w:type="dxa"/>
                  <w:tcBorders>
                    <w:top w:val="single" w:sz="2" w:space="0" w:color="000000"/>
                    <w:left w:val="single" w:sz="2" w:space="0" w:color="000000"/>
                    <w:bottom w:val="single" w:sz="2" w:space="0" w:color="000000"/>
                    <w:right w:val="single" w:sz="2" w:space="0" w:color="000000"/>
                  </w:tcBorders>
                </w:tcPr>
                <w:p w14:paraId="137BA5F8" w14:textId="77777777" w:rsidR="00053D93" w:rsidRDefault="00260B75" w:rsidP="00E41474">
                  <w:pPr>
                    <w:framePr w:wrap="around" w:vAnchor="text" w:hAnchor="text" w:x="29" w:y="1009"/>
                    <w:ind w:left="37"/>
                    <w:suppressOverlap/>
                    <w:jc w:val="center"/>
                  </w:pPr>
                  <w:r>
                    <w:rPr>
                      <w:rFonts w:ascii="Times New Roman" w:eastAsia="Times New Roman" w:hAnsi="Times New Roman" w:cs="Times New Roman"/>
                      <w:sz w:val="14"/>
                    </w:rPr>
                    <w:t>324</w:t>
                  </w:r>
                </w:p>
              </w:tc>
              <w:tc>
                <w:tcPr>
                  <w:tcW w:w="1099" w:type="dxa"/>
                  <w:tcBorders>
                    <w:top w:val="single" w:sz="2" w:space="0" w:color="000000"/>
                    <w:left w:val="single" w:sz="2" w:space="0" w:color="000000"/>
                    <w:bottom w:val="single" w:sz="2" w:space="0" w:color="000000"/>
                    <w:right w:val="single" w:sz="2" w:space="0" w:color="000000"/>
                  </w:tcBorders>
                </w:tcPr>
                <w:p w14:paraId="099AD983" w14:textId="77777777" w:rsidR="00053D93" w:rsidRDefault="00260B75" w:rsidP="00E41474">
                  <w:pPr>
                    <w:framePr w:wrap="around" w:vAnchor="text" w:hAnchor="text" w:x="29" w:y="1009"/>
                    <w:ind w:left="39"/>
                    <w:suppressOverlap/>
                    <w:jc w:val="center"/>
                  </w:pPr>
                  <w:r>
                    <w:rPr>
                      <w:rFonts w:ascii="Times New Roman" w:eastAsia="Times New Roman" w:hAnsi="Times New Roman" w:cs="Times New Roman"/>
                      <w:sz w:val="14"/>
                    </w:rPr>
                    <w:t>12/08/2024</w:t>
                  </w:r>
                </w:p>
              </w:tc>
              <w:tc>
                <w:tcPr>
                  <w:tcW w:w="1087" w:type="dxa"/>
                  <w:tcBorders>
                    <w:top w:val="single" w:sz="2" w:space="0" w:color="000000"/>
                    <w:left w:val="single" w:sz="2" w:space="0" w:color="000000"/>
                    <w:bottom w:val="single" w:sz="2" w:space="0" w:color="000000"/>
                    <w:right w:val="single" w:sz="2" w:space="0" w:color="000000"/>
                  </w:tcBorders>
                </w:tcPr>
                <w:p w14:paraId="149735D5" w14:textId="77777777" w:rsidR="00053D93" w:rsidRDefault="00260B75" w:rsidP="00E41474">
                  <w:pPr>
                    <w:framePr w:wrap="around" w:vAnchor="text" w:hAnchor="text" w:x="29" w:y="1009"/>
                    <w:ind w:left="34"/>
                    <w:suppressOverlap/>
                    <w:jc w:val="center"/>
                  </w:pPr>
                  <w:r>
                    <w:rPr>
                      <w:rFonts w:ascii="Times New Roman" w:eastAsia="Times New Roman" w:hAnsi="Times New Roman" w:cs="Times New Roman"/>
                      <w:sz w:val="18"/>
                    </w:rPr>
                    <w:t>3</w:t>
                  </w:r>
                </w:p>
              </w:tc>
              <w:tc>
                <w:tcPr>
                  <w:tcW w:w="958" w:type="dxa"/>
                  <w:tcBorders>
                    <w:top w:val="single" w:sz="2" w:space="0" w:color="000000"/>
                    <w:left w:val="single" w:sz="2" w:space="0" w:color="000000"/>
                    <w:bottom w:val="single" w:sz="2" w:space="0" w:color="000000"/>
                    <w:right w:val="single" w:sz="2" w:space="0" w:color="000000"/>
                  </w:tcBorders>
                </w:tcPr>
                <w:p w14:paraId="07F8EB8C" w14:textId="77777777" w:rsidR="00053D93" w:rsidRDefault="00260B75" w:rsidP="00E41474">
                  <w:pPr>
                    <w:framePr w:wrap="around" w:vAnchor="text" w:hAnchor="text" w:x="29" w:y="1009"/>
                    <w:ind w:left="312"/>
                    <w:suppressOverlap/>
                  </w:pPr>
                  <w:r>
                    <w:rPr>
                      <w:rFonts w:ascii="Times New Roman" w:eastAsia="Times New Roman" w:hAnsi="Times New Roman" w:cs="Times New Roman"/>
                      <w:sz w:val="14"/>
                    </w:rPr>
                    <w:t>84.647.20</w:t>
                  </w:r>
                </w:p>
              </w:tc>
            </w:tr>
            <w:tr w:rsidR="00053D93" w14:paraId="10CC0990" w14:textId="77777777">
              <w:trPr>
                <w:trHeight w:val="557"/>
              </w:trPr>
              <w:tc>
                <w:tcPr>
                  <w:tcW w:w="302" w:type="dxa"/>
                  <w:tcBorders>
                    <w:top w:val="single" w:sz="2" w:space="0" w:color="000000"/>
                    <w:left w:val="single" w:sz="2" w:space="0" w:color="000000"/>
                    <w:bottom w:val="single" w:sz="2" w:space="0" w:color="000000"/>
                    <w:right w:val="single" w:sz="2" w:space="0" w:color="000000"/>
                  </w:tcBorders>
                </w:tcPr>
                <w:p w14:paraId="53CE85C4" w14:textId="77777777" w:rsidR="00053D93" w:rsidRDefault="00260B75" w:rsidP="00E41474">
                  <w:pPr>
                    <w:framePr w:wrap="around" w:vAnchor="text" w:hAnchor="text" w:x="29" w:y="1009"/>
                    <w:ind w:right="-40"/>
                    <w:suppressOverlap/>
                    <w:jc w:val="right"/>
                  </w:pPr>
                  <w:r>
                    <w:rPr>
                      <w:rFonts w:ascii="Times New Roman" w:eastAsia="Times New Roman" w:hAnsi="Times New Roman" w:cs="Times New Roman"/>
                      <w:sz w:val="14"/>
                    </w:rPr>
                    <w:t>25</w:t>
                  </w:r>
                </w:p>
              </w:tc>
              <w:tc>
                <w:tcPr>
                  <w:tcW w:w="291" w:type="dxa"/>
                  <w:tcBorders>
                    <w:top w:val="single" w:sz="2" w:space="0" w:color="000000"/>
                    <w:left w:val="single" w:sz="2" w:space="0" w:color="000000"/>
                    <w:bottom w:val="single" w:sz="2" w:space="0" w:color="000000"/>
                    <w:right w:val="single" w:sz="2" w:space="0" w:color="000000"/>
                  </w:tcBorders>
                </w:tcPr>
                <w:p w14:paraId="34EE9296" w14:textId="77777777" w:rsidR="00053D93" w:rsidRDefault="00053D93" w:rsidP="00E41474">
                  <w:pPr>
                    <w:framePr w:wrap="around" w:vAnchor="text" w:hAnchor="text" w:x="29" w:y="1009"/>
                    <w:suppressOverlap/>
                  </w:pPr>
                </w:p>
              </w:tc>
              <w:tc>
                <w:tcPr>
                  <w:tcW w:w="758" w:type="dxa"/>
                  <w:gridSpan w:val="2"/>
                  <w:tcBorders>
                    <w:top w:val="single" w:sz="2" w:space="0" w:color="000000"/>
                    <w:left w:val="single" w:sz="2" w:space="0" w:color="000000"/>
                    <w:bottom w:val="single" w:sz="2" w:space="0" w:color="000000"/>
                    <w:right w:val="single" w:sz="2" w:space="0" w:color="000000"/>
                  </w:tcBorders>
                </w:tcPr>
                <w:p w14:paraId="3F7A4AED" w14:textId="77777777" w:rsidR="00053D93" w:rsidRDefault="00260B75" w:rsidP="00E41474">
                  <w:pPr>
                    <w:framePr w:wrap="around" w:vAnchor="text" w:hAnchor="text" w:x="29" w:y="1009"/>
                    <w:ind w:left="109"/>
                    <w:suppressOverlap/>
                  </w:pPr>
                  <w:r>
                    <w:rPr>
                      <w:rFonts w:ascii="Times New Roman" w:eastAsia="Times New Roman" w:hAnsi="Times New Roman" w:cs="Times New Roman"/>
                      <w:sz w:val="14"/>
                    </w:rPr>
                    <w:t>294026</w:t>
                  </w:r>
                </w:p>
              </w:tc>
              <w:tc>
                <w:tcPr>
                  <w:tcW w:w="1281" w:type="dxa"/>
                  <w:tcBorders>
                    <w:top w:val="single" w:sz="2" w:space="0" w:color="000000"/>
                    <w:left w:val="single" w:sz="2" w:space="0" w:color="000000"/>
                    <w:bottom w:val="single" w:sz="2" w:space="0" w:color="000000"/>
                    <w:right w:val="single" w:sz="2" w:space="0" w:color="000000"/>
                  </w:tcBorders>
                </w:tcPr>
                <w:p w14:paraId="5199360C" w14:textId="77777777" w:rsidR="00053D93" w:rsidRDefault="00260B75" w:rsidP="00E41474">
                  <w:pPr>
                    <w:framePr w:wrap="around" w:vAnchor="text" w:hAnchor="text" w:x="29" w:y="1009"/>
                    <w:ind w:left="42"/>
                    <w:suppressOverlap/>
                    <w:jc w:val="center"/>
                  </w:pPr>
                  <w:r>
                    <w:rPr>
                      <w:rFonts w:ascii="Times New Roman" w:eastAsia="Times New Roman" w:hAnsi="Times New Roman" w:cs="Times New Roman"/>
                      <w:sz w:val="14"/>
                    </w:rPr>
                    <w:t>2024-24822</w:t>
                  </w:r>
                </w:p>
              </w:tc>
              <w:tc>
                <w:tcPr>
                  <w:tcW w:w="1331" w:type="dxa"/>
                  <w:tcBorders>
                    <w:top w:val="single" w:sz="2" w:space="0" w:color="000000"/>
                    <w:left w:val="single" w:sz="2" w:space="0" w:color="000000"/>
                    <w:bottom w:val="single" w:sz="2" w:space="0" w:color="000000"/>
                    <w:right w:val="single" w:sz="2" w:space="0" w:color="000000"/>
                  </w:tcBorders>
                </w:tcPr>
                <w:p w14:paraId="7DBB3CED" w14:textId="77777777" w:rsidR="00053D93" w:rsidRDefault="00260B75" w:rsidP="00E41474">
                  <w:pPr>
                    <w:framePr w:wrap="around" w:vAnchor="text" w:hAnchor="text" w:x="29" w:y="1009"/>
                    <w:spacing w:line="216" w:lineRule="auto"/>
                    <w:ind w:left="101" w:firstLine="7"/>
                    <w:suppressOverlap/>
                    <w:jc w:val="both"/>
                  </w:pPr>
                  <w:r>
                    <w:rPr>
                      <w:sz w:val="14"/>
                    </w:rPr>
                    <w:t>Pelota de futbol circunferencia 68 a</w:t>
                  </w:r>
                </w:p>
                <w:p w14:paraId="131D56BF" w14:textId="77777777" w:rsidR="00053D93" w:rsidRDefault="00260B75" w:rsidP="00E41474">
                  <w:pPr>
                    <w:framePr w:wrap="around" w:vAnchor="text" w:hAnchor="text" w:x="29" w:y="1009"/>
                    <w:ind w:left="101"/>
                    <w:suppressOverlap/>
                  </w:pPr>
                  <w:r>
                    <w:rPr>
                      <w:sz w:val="14"/>
                    </w:rPr>
                    <w:t>71, numero 5.</w:t>
                  </w:r>
                </w:p>
              </w:tc>
              <w:tc>
                <w:tcPr>
                  <w:tcW w:w="1398" w:type="dxa"/>
                  <w:tcBorders>
                    <w:top w:val="single" w:sz="2" w:space="0" w:color="000000"/>
                    <w:left w:val="single" w:sz="2" w:space="0" w:color="000000"/>
                    <w:bottom w:val="single" w:sz="2" w:space="0" w:color="000000"/>
                    <w:right w:val="single" w:sz="2" w:space="0" w:color="000000"/>
                  </w:tcBorders>
                </w:tcPr>
                <w:p w14:paraId="6795A098" w14:textId="77777777" w:rsidR="00053D93" w:rsidRDefault="00260B75" w:rsidP="00E41474">
                  <w:pPr>
                    <w:framePr w:wrap="around" w:vAnchor="text" w:hAnchor="text" w:x="29" w:y="1009"/>
                    <w:ind w:left="37"/>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723EE4CC" w14:textId="77777777" w:rsidR="00053D93" w:rsidRDefault="00260B75" w:rsidP="00E41474">
                  <w:pPr>
                    <w:framePr w:wrap="around" w:vAnchor="text" w:hAnchor="text" w:x="29" w:y="1009"/>
                    <w:ind w:left="17"/>
                    <w:suppressOverlap/>
                    <w:jc w:val="center"/>
                  </w:pPr>
                  <w:r>
                    <w:rPr>
                      <w:rFonts w:ascii="Times New Roman" w:eastAsia="Times New Roman" w:hAnsi="Times New Roman" w:cs="Times New Roman"/>
                      <w:sz w:val="16"/>
                    </w:rPr>
                    <w:t>6'12/2024</w:t>
                  </w:r>
                </w:p>
              </w:tc>
              <w:tc>
                <w:tcPr>
                  <w:tcW w:w="1087" w:type="dxa"/>
                  <w:tcBorders>
                    <w:top w:val="single" w:sz="2" w:space="0" w:color="000000"/>
                    <w:left w:val="single" w:sz="2" w:space="0" w:color="000000"/>
                    <w:bottom w:val="single" w:sz="2" w:space="0" w:color="000000"/>
                    <w:right w:val="single" w:sz="2" w:space="0" w:color="000000"/>
                  </w:tcBorders>
                </w:tcPr>
                <w:p w14:paraId="71DC506E" w14:textId="77777777" w:rsidR="00053D93" w:rsidRDefault="00260B75" w:rsidP="00E41474">
                  <w:pPr>
                    <w:framePr w:wrap="around" w:vAnchor="text" w:hAnchor="text" w:x="29" w:y="1009"/>
                    <w:ind w:left="34"/>
                    <w:suppressOverlap/>
                    <w:jc w:val="center"/>
                  </w:pPr>
                  <w:r>
                    <w:rPr>
                      <w:rFonts w:ascii="Times New Roman" w:eastAsia="Times New Roman" w:hAnsi="Times New Roman" w:cs="Times New Roman"/>
                      <w:sz w:val="14"/>
                    </w:rPr>
                    <w:t>255</w:t>
                  </w:r>
                </w:p>
              </w:tc>
              <w:tc>
                <w:tcPr>
                  <w:tcW w:w="958" w:type="dxa"/>
                  <w:tcBorders>
                    <w:top w:val="single" w:sz="2" w:space="0" w:color="000000"/>
                    <w:left w:val="single" w:sz="2" w:space="0" w:color="000000"/>
                    <w:bottom w:val="single" w:sz="2" w:space="0" w:color="000000"/>
                    <w:right w:val="single" w:sz="2" w:space="0" w:color="000000"/>
                  </w:tcBorders>
                </w:tcPr>
                <w:p w14:paraId="2C068293" w14:textId="77777777" w:rsidR="00053D93" w:rsidRDefault="00260B75" w:rsidP="00E41474">
                  <w:pPr>
                    <w:framePr w:wrap="around" w:vAnchor="text" w:hAnchor="text" w:x="29" w:y="1009"/>
                    <w:ind w:left="305"/>
                    <w:suppressOverlap/>
                  </w:pPr>
                  <w:r>
                    <w:rPr>
                      <w:rFonts w:ascii="Times New Roman" w:eastAsia="Times New Roman" w:hAnsi="Times New Roman" w:cs="Times New Roman"/>
                      <w:sz w:val="14"/>
                    </w:rPr>
                    <w:t>62.346.45</w:t>
                  </w:r>
                </w:p>
              </w:tc>
            </w:tr>
            <w:tr w:rsidR="00053D93" w14:paraId="7283833C" w14:textId="77777777">
              <w:trPr>
                <w:trHeight w:val="547"/>
              </w:trPr>
              <w:tc>
                <w:tcPr>
                  <w:tcW w:w="302" w:type="dxa"/>
                  <w:tcBorders>
                    <w:top w:val="single" w:sz="2" w:space="0" w:color="000000"/>
                    <w:left w:val="single" w:sz="2" w:space="0" w:color="000000"/>
                    <w:bottom w:val="single" w:sz="2" w:space="0" w:color="000000"/>
                    <w:right w:val="single" w:sz="2" w:space="0" w:color="000000"/>
                  </w:tcBorders>
                </w:tcPr>
                <w:p w14:paraId="7E9789B6" w14:textId="77777777" w:rsidR="00053D93" w:rsidRDefault="00260B75" w:rsidP="00E41474">
                  <w:pPr>
                    <w:framePr w:wrap="around" w:vAnchor="text" w:hAnchor="text" w:x="29" w:y="1009"/>
                    <w:ind w:right="-40"/>
                    <w:suppressOverlap/>
                    <w:jc w:val="right"/>
                  </w:pPr>
                  <w:r>
                    <w:rPr>
                      <w:rFonts w:ascii="Times New Roman" w:eastAsia="Times New Roman" w:hAnsi="Times New Roman" w:cs="Times New Roman"/>
                      <w:sz w:val="14"/>
                    </w:rPr>
                    <w:t>26</w:t>
                  </w:r>
                </w:p>
              </w:tc>
              <w:tc>
                <w:tcPr>
                  <w:tcW w:w="291" w:type="dxa"/>
                  <w:tcBorders>
                    <w:top w:val="single" w:sz="2" w:space="0" w:color="000000"/>
                    <w:left w:val="single" w:sz="2" w:space="0" w:color="000000"/>
                    <w:bottom w:val="single" w:sz="2" w:space="0" w:color="000000"/>
                    <w:right w:val="single" w:sz="2" w:space="0" w:color="000000"/>
                  </w:tcBorders>
                </w:tcPr>
                <w:p w14:paraId="168B185C" w14:textId="77777777" w:rsidR="00053D93" w:rsidRDefault="00053D93" w:rsidP="00E41474">
                  <w:pPr>
                    <w:framePr w:wrap="around" w:vAnchor="text" w:hAnchor="text" w:x="29" w:y="1009"/>
                    <w:suppressOverlap/>
                  </w:pPr>
                </w:p>
              </w:tc>
              <w:tc>
                <w:tcPr>
                  <w:tcW w:w="758" w:type="dxa"/>
                  <w:gridSpan w:val="2"/>
                  <w:tcBorders>
                    <w:top w:val="single" w:sz="2" w:space="0" w:color="000000"/>
                    <w:left w:val="single" w:sz="2" w:space="0" w:color="000000"/>
                    <w:bottom w:val="single" w:sz="2" w:space="0" w:color="000000"/>
                    <w:right w:val="single" w:sz="2" w:space="0" w:color="000000"/>
                  </w:tcBorders>
                </w:tcPr>
                <w:p w14:paraId="71324408" w14:textId="77777777" w:rsidR="00053D93" w:rsidRDefault="00260B75" w:rsidP="00E41474">
                  <w:pPr>
                    <w:framePr w:wrap="around" w:vAnchor="text" w:hAnchor="text" w:x="29" w:y="1009"/>
                    <w:ind w:left="102"/>
                    <w:suppressOverlap/>
                  </w:pPr>
                  <w:r>
                    <w:rPr>
                      <w:rFonts w:ascii="Times New Roman" w:eastAsia="Times New Roman" w:hAnsi="Times New Roman" w:cs="Times New Roman"/>
                      <w:sz w:val="14"/>
                    </w:rPr>
                    <w:t>294027</w:t>
                  </w:r>
                </w:p>
              </w:tc>
              <w:tc>
                <w:tcPr>
                  <w:tcW w:w="1281" w:type="dxa"/>
                  <w:tcBorders>
                    <w:top w:val="single" w:sz="2" w:space="0" w:color="000000"/>
                    <w:left w:val="single" w:sz="2" w:space="0" w:color="000000"/>
                    <w:bottom w:val="single" w:sz="2" w:space="0" w:color="000000"/>
                    <w:right w:val="single" w:sz="2" w:space="0" w:color="000000"/>
                  </w:tcBorders>
                </w:tcPr>
                <w:p w14:paraId="3068D31B" w14:textId="77777777" w:rsidR="00053D93" w:rsidRDefault="00260B75" w:rsidP="00E41474">
                  <w:pPr>
                    <w:framePr w:wrap="around" w:vAnchor="text" w:hAnchor="text" w:x="29" w:y="1009"/>
                    <w:ind w:left="35"/>
                    <w:suppressOverlap/>
                    <w:jc w:val="center"/>
                  </w:pPr>
                  <w:r>
                    <w:rPr>
                      <w:rFonts w:ascii="Times New Roman" w:eastAsia="Times New Roman" w:hAnsi="Times New Roman" w:cs="Times New Roman"/>
                      <w:sz w:val="14"/>
                    </w:rPr>
                    <w:t>2024-24609</w:t>
                  </w:r>
                </w:p>
              </w:tc>
              <w:tc>
                <w:tcPr>
                  <w:tcW w:w="1331" w:type="dxa"/>
                  <w:tcBorders>
                    <w:top w:val="single" w:sz="2" w:space="0" w:color="000000"/>
                    <w:left w:val="single" w:sz="2" w:space="0" w:color="000000"/>
                    <w:bottom w:val="single" w:sz="2" w:space="0" w:color="000000"/>
                    <w:right w:val="single" w:sz="2" w:space="0" w:color="000000"/>
                  </w:tcBorders>
                </w:tcPr>
                <w:p w14:paraId="40777160" w14:textId="77777777" w:rsidR="00053D93" w:rsidRDefault="00260B75" w:rsidP="00E41474">
                  <w:pPr>
                    <w:framePr w:wrap="around" w:vAnchor="text" w:hAnchor="text" w:x="29" w:y="1009"/>
                    <w:spacing w:line="216" w:lineRule="auto"/>
                    <w:ind w:left="94" w:firstLine="7"/>
                    <w:suppressOverlap/>
                    <w:jc w:val="both"/>
                  </w:pPr>
                  <w:r>
                    <w:rPr>
                      <w:sz w:val="14"/>
                    </w:rPr>
                    <w:t>Pelota de futbol circunferencia 64 a</w:t>
                  </w:r>
                </w:p>
                <w:p w14:paraId="41453D0D" w14:textId="77777777" w:rsidR="00053D93" w:rsidRDefault="00260B75" w:rsidP="00E41474">
                  <w:pPr>
                    <w:framePr w:wrap="around" w:vAnchor="text" w:hAnchor="text" w:x="29" w:y="1009"/>
                    <w:ind w:left="94"/>
                    <w:suppressOverlap/>
                  </w:pPr>
                  <w:r>
                    <w:rPr>
                      <w:sz w:val="14"/>
                    </w:rPr>
                    <w:t>66, numero 4.</w:t>
                  </w:r>
                </w:p>
              </w:tc>
              <w:tc>
                <w:tcPr>
                  <w:tcW w:w="1398" w:type="dxa"/>
                  <w:tcBorders>
                    <w:top w:val="single" w:sz="2" w:space="0" w:color="000000"/>
                    <w:left w:val="single" w:sz="2" w:space="0" w:color="000000"/>
                    <w:bottom w:val="single" w:sz="2" w:space="0" w:color="000000"/>
                    <w:right w:val="single" w:sz="2" w:space="0" w:color="000000"/>
                  </w:tcBorders>
                </w:tcPr>
                <w:p w14:paraId="1843F903" w14:textId="77777777" w:rsidR="00053D93" w:rsidRDefault="00260B75" w:rsidP="00E41474">
                  <w:pPr>
                    <w:framePr w:wrap="around" w:vAnchor="text" w:hAnchor="text" w:x="29" w:y="1009"/>
                    <w:ind w:left="23"/>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02B4A10A" w14:textId="77777777" w:rsidR="00053D93" w:rsidRDefault="00260B75" w:rsidP="00E41474">
                  <w:pPr>
                    <w:framePr w:wrap="around" w:vAnchor="text" w:hAnchor="text" w:x="29" w:y="1009"/>
                    <w:ind w:left="17"/>
                    <w:suppressOverlap/>
                    <w:jc w:val="center"/>
                  </w:pPr>
                  <w:r>
                    <w:rPr>
                      <w:rFonts w:ascii="Times New Roman" w:eastAsia="Times New Roman" w:hAnsi="Times New Roman" w:cs="Times New Roman"/>
                      <w:sz w:val="14"/>
                    </w:rPr>
                    <w:t>5/12/2024</w:t>
                  </w:r>
                </w:p>
              </w:tc>
              <w:tc>
                <w:tcPr>
                  <w:tcW w:w="1087" w:type="dxa"/>
                  <w:tcBorders>
                    <w:top w:val="single" w:sz="2" w:space="0" w:color="000000"/>
                    <w:left w:val="single" w:sz="2" w:space="0" w:color="000000"/>
                    <w:bottom w:val="single" w:sz="2" w:space="0" w:color="000000"/>
                    <w:right w:val="single" w:sz="2" w:space="0" w:color="000000"/>
                  </w:tcBorders>
                </w:tcPr>
                <w:p w14:paraId="6692B1E8" w14:textId="77777777" w:rsidR="00053D93" w:rsidRDefault="00260B75" w:rsidP="00E41474">
                  <w:pPr>
                    <w:framePr w:wrap="around" w:vAnchor="text" w:hAnchor="text" w:x="29" w:y="1009"/>
                    <w:ind w:left="20"/>
                    <w:suppressOverlap/>
                    <w:jc w:val="center"/>
                  </w:pPr>
                  <w:r>
                    <w:rPr>
                      <w:rFonts w:ascii="Times New Roman" w:eastAsia="Times New Roman" w:hAnsi="Times New Roman" w:cs="Times New Roman"/>
                      <w:sz w:val="14"/>
                    </w:rPr>
                    <w:t>255</w:t>
                  </w:r>
                </w:p>
              </w:tc>
              <w:tc>
                <w:tcPr>
                  <w:tcW w:w="958" w:type="dxa"/>
                  <w:tcBorders>
                    <w:top w:val="single" w:sz="2" w:space="0" w:color="000000"/>
                    <w:left w:val="single" w:sz="2" w:space="0" w:color="000000"/>
                    <w:bottom w:val="single" w:sz="2" w:space="0" w:color="000000"/>
                    <w:right w:val="single" w:sz="2" w:space="0" w:color="000000"/>
                  </w:tcBorders>
                </w:tcPr>
                <w:p w14:paraId="24BFF0BF" w14:textId="77777777" w:rsidR="00053D93" w:rsidRDefault="00260B75" w:rsidP="00E41474">
                  <w:pPr>
                    <w:framePr w:wrap="around" w:vAnchor="text" w:hAnchor="text" w:x="29" w:y="1009"/>
                    <w:ind w:left="305"/>
                    <w:suppressOverlap/>
                  </w:pPr>
                  <w:r>
                    <w:rPr>
                      <w:sz w:val="14"/>
                    </w:rPr>
                    <w:t>89,250.oo</w:t>
                  </w:r>
                </w:p>
              </w:tc>
            </w:tr>
            <w:tr w:rsidR="00053D93" w14:paraId="2DD731D3" w14:textId="77777777">
              <w:trPr>
                <w:trHeight w:val="569"/>
              </w:trPr>
              <w:tc>
                <w:tcPr>
                  <w:tcW w:w="302" w:type="dxa"/>
                  <w:tcBorders>
                    <w:top w:val="single" w:sz="2" w:space="0" w:color="000000"/>
                    <w:left w:val="single" w:sz="2" w:space="0" w:color="000000"/>
                    <w:bottom w:val="single" w:sz="2" w:space="0" w:color="000000"/>
                    <w:right w:val="single" w:sz="2" w:space="0" w:color="000000"/>
                  </w:tcBorders>
                </w:tcPr>
                <w:p w14:paraId="3A4E8950" w14:textId="77777777" w:rsidR="00053D93" w:rsidRDefault="00260B75" w:rsidP="00E41474">
                  <w:pPr>
                    <w:framePr w:wrap="around" w:vAnchor="text" w:hAnchor="text" w:x="29" w:y="1009"/>
                    <w:ind w:right="-40"/>
                    <w:suppressOverlap/>
                    <w:jc w:val="right"/>
                  </w:pPr>
                  <w:r>
                    <w:rPr>
                      <w:rFonts w:ascii="Times New Roman" w:eastAsia="Times New Roman" w:hAnsi="Times New Roman" w:cs="Times New Roman"/>
                      <w:sz w:val="16"/>
                    </w:rPr>
                    <w:t>27</w:t>
                  </w:r>
                </w:p>
              </w:tc>
              <w:tc>
                <w:tcPr>
                  <w:tcW w:w="291" w:type="dxa"/>
                  <w:tcBorders>
                    <w:top w:val="single" w:sz="2" w:space="0" w:color="000000"/>
                    <w:left w:val="single" w:sz="2" w:space="0" w:color="000000"/>
                    <w:bottom w:val="single" w:sz="2" w:space="0" w:color="000000"/>
                    <w:right w:val="nil"/>
                  </w:tcBorders>
                </w:tcPr>
                <w:p w14:paraId="71F686EB" w14:textId="77777777" w:rsidR="00053D93" w:rsidRDefault="00053D93" w:rsidP="00E41474">
                  <w:pPr>
                    <w:framePr w:wrap="around" w:vAnchor="text" w:hAnchor="text" w:x="29" w:y="1009"/>
                    <w:suppressOverlap/>
                  </w:pPr>
                </w:p>
              </w:tc>
              <w:tc>
                <w:tcPr>
                  <w:tcW w:w="758" w:type="dxa"/>
                  <w:gridSpan w:val="2"/>
                  <w:tcBorders>
                    <w:top w:val="single" w:sz="2" w:space="0" w:color="000000"/>
                    <w:left w:val="nil"/>
                    <w:bottom w:val="single" w:sz="2" w:space="0" w:color="000000"/>
                    <w:right w:val="single" w:sz="2" w:space="0" w:color="000000"/>
                  </w:tcBorders>
                </w:tcPr>
                <w:p w14:paraId="19A2E2CE" w14:textId="77777777" w:rsidR="00053D93" w:rsidRDefault="00260B75" w:rsidP="00E41474">
                  <w:pPr>
                    <w:framePr w:wrap="around" w:vAnchor="text" w:hAnchor="text" w:x="29" w:y="1009"/>
                    <w:ind w:left="95"/>
                    <w:suppressOverlap/>
                  </w:pPr>
                  <w:r>
                    <w:rPr>
                      <w:rFonts w:ascii="Times New Roman" w:eastAsia="Times New Roman" w:hAnsi="Times New Roman" w:cs="Times New Roman"/>
                      <w:sz w:val="14"/>
                    </w:rPr>
                    <w:t>294048</w:t>
                  </w:r>
                </w:p>
              </w:tc>
              <w:tc>
                <w:tcPr>
                  <w:tcW w:w="1281" w:type="dxa"/>
                  <w:tcBorders>
                    <w:top w:val="single" w:sz="2" w:space="0" w:color="000000"/>
                    <w:left w:val="single" w:sz="2" w:space="0" w:color="000000"/>
                    <w:bottom w:val="single" w:sz="2" w:space="0" w:color="000000"/>
                    <w:right w:val="single" w:sz="2" w:space="0" w:color="000000"/>
                  </w:tcBorders>
                </w:tcPr>
                <w:p w14:paraId="18E3AF03" w14:textId="77777777" w:rsidR="00053D93" w:rsidRDefault="00260B75" w:rsidP="00E41474">
                  <w:pPr>
                    <w:framePr w:wrap="around" w:vAnchor="text" w:hAnchor="text" w:x="29" w:y="1009"/>
                    <w:ind w:left="28"/>
                    <w:suppressOverlap/>
                    <w:jc w:val="center"/>
                  </w:pPr>
                  <w:r>
                    <w:rPr>
                      <w:rFonts w:ascii="Times New Roman" w:eastAsia="Times New Roman" w:hAnsi="Times New Roman" w:cs="Times New Roman"/>
                      <w:sz w:val="14"/>
                    </w:rPr>
                    <w:t>2024-2424</w:t>
                  </w:r>
                </w:p>
              </w:tc>
              <w:tc>
                <w:tcPr>
                  <w:tcW w:w="1331" w:type="dxa"/>
                  <w:tcBorders>
                    <w:top w:val="single" w:sz="2" w:space="0" w:color="000000"/>
                    <w:left w:val="single" w:sz="2" w:space="0" w:color="000000"/>
                    <w:bottom w:val="single" w:sz="2" w:space="0" w:color="000000"/>
                    <w:right w:val="single" w:sz="2" w:space="0" w:color="000000"/>
                  </w:tcBorders>
                </w:tcPr>
                <w:p w14:paraId="71BDC613" w14:textId="77777777" w:rsidR="00053D93" w:rsidRDefault="00260B75" w:rsidP="00E41474">
                  <w:pPr>
                    <w:framePr w:wrap="around" w:vAnchor="text" w:hAnchor="text" w:x="29" w:y="1009"/>
                    <w:ind w:left="94"/>
                    <w:suppressOverlap/>
                  </w:pPr>
                  <w:r>
                    <w:rPr>
                      <w:sz w:val="16"/>
                    </w:rPr>
                    <w:t>Colchoneta octágono</w:t>
                  </w:r>
                  <w:r>
                    <w:rPr>
                      <w:sz w:val="16"/>
                    </w:rPr>
                    <w:tab/>
                    <w:t>para gTmnasfa</w:t>
                  </w:r>
                </w:p>
              </w:tc>
              <w:tc>
                <w:tcPr>
                  <w:tcW w:w="1398" w:type="dxa"/>
                  <w:tcBorders>
                    <w:top w:val="single" w:sz="2" w:space="0" w:color="000000"/>
                    <w:left w:val="single" w:sz="2" w:space="0" w:color="000000"/>
                    <w:bottom w:val="single" w:sz="2" w:space="0" w:color="000000"/>
                    <w:right w:val="single" w:sz="2" w:space="0" w:color="000000"/>
                  </w:tcBorders>
                </w:tcPr>
                <w:p w14:paraId="1864CBC1" w14:textId="77777777" w:rsidR="00053D93" w:rsidRDefault="00260B75" w:rsidP="00E41474">
                  <w:pPr>
                    <w:framePr w:wrap="around" w:vAnchor="text" w:hAnchor="text" w:x="29" w:y="1009"/>
                    <w:ind w:left="23"/>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6DE96089" w14:textId="77777777" w:rsidR="00053D93" w:rsidRDefault="00260B75" w:rsidP="00E41474">
                  <w:pPr>
                    <w:framePr w:wrap="around" w:vAnchor="text" w:hAnchor="text" w:x="29" w:y="1009"/>
                    <w:ind w:left="10"/>
                    <w:suppressOverlap/>
                    <w:jc w:val="center"/>
                  </w:pPr>
                  <w:r>
                    <w:rPr>
                      <w:rFonts w:ascii="Times New Roman" w:eastAsia="Times New Roman" w:hAnsi="Times New Roman" w:cs="Times New Roman"/>
                      <w:sz w:val="14"/>
                    </w:rPr>
                    <w:t>12/08/2024</w:t>
                  </w:r>
                </w:p>
              </w:tc>
              <w:tc>
                <w:tcPr>
                  <w:tcW w:w="1087" w:type="dxa"/>
                  <w:tcBorders>
                    <w:top w:val="single" w:sz="2" w:space="0" w:color="000000"/>
                    <w:left w:val="single" w:sz="2" w:space="0" w:color="000000"/>
                    <w:bottom w:val="single" w:sz="2" w:space="0" w:color="000000"/>
                    <w:right w:val="single" w:sz="2" w:space="0" w:color="000000"/>
                  </w:tcBorders>
                </w:tcPr>
                <w:p w14:paraId="2D29552B" w14:textId="77777777" w:rsidR="00053D93" w:rsidRDefault="00260B75" w:rsidP="00E41474">
                  <w:pPr>
                    <w:framePr w:wrap="around" w:vAnchor="text" w:hAnchor="text" w:x="29" w:y="1009"/>
                    <w:ind w:left="20"/>
                    <w:suppressOverlap/>
                    <w:jc w:val="center"/>
                  </w:pPr>
                  <w:r>
                    <w:rPr>
                      <w:rFonts w:ascii="Times New Roman" w:eastAsia="Times New Roman" w:hAnsi="Times New Roman" w:cs="Times New Roman"/>
                      <w:sz w:val="14"/>
                    </w:rPr>
                    <w:t>2</w:t>
                  </w:r>
                </w:p>
              </w:tc>
              <w:tc>
                <w:tcPr>
                  <w:tcW w:w="958" w:type="dxa"/>
                  <w:tcBorders>
                    <w:top w:val="single" w:sz="2" w:space="0" w:color="000000"/>
                    <w:left w:val="single" w:sz="2" w:space="0" w:color="000000"/>
                    <w:bottom w:val="single" w:sz="2" w:space="0" w:color="000000"/>
                    <w:right w:val="single" w:sz="2" w:space="0" w:color="000000"/>
                  </w:tcBorders>
                </w:tcPr>
                <w:p w14:paraId="25B50D97" w14:textId="77777777" w:rsidR="00053D93" w:rsidRDefault="00260B75" w:rsidP="00E41474">
                  <w:pPr>
                    <w:framePr w:wrap="around" w:vAnchor="text" w:hAnchor="text" w:x="29" w:y="1009"/>
                    <w:ind w:left="370"/>
                    <w:suppressOverlap/>
                  </w:pPr>
                  <w:r>
                    <w:rPr>
                      <w:rFonts w:ascii="Times New Roman" w:eastAsia="Times New Roman" w:hAnsi="Times New Roman" w:cs="Times New Roman"/>
                      <w:sz w:val="14"/>
                    </w:rPr>
                    <w:t>7.580.00</w:t>
                  </w:r>
                </w:p>
              </w:tc>
            </w:tr>
            <w:tr w:rsidR="00053D93" w14:paraId="48E6B542" w14:textId="77777777">
              <w:trPr>
                <w:trHeight w:val="554"/>
              </w:trPr>
              <w:tc>
                <w:tcPr>
                  <w:tcW w:w="302" w:type="dxa"/>
                  <w:tcBorders>
                    <w:top w:val="single" w:sz="2" w:space="0" w:color="000000"/>
                    <w:left w:val="single" w:sz="2" w:space="0" w:color="000000"/>
                    <w:bottom w:val="single" w:sz="2" w:space="0" w:color="000000"/>
                    <w:right w:val="single" w:sz="2" w:space="0" w:color="000000"/>
                  </w:tcBorders>
                </w:tcPr>
                <w:p w14:paraId="339F2892" w14:textId="77777777" w:rsidR="00053D93" w:rsidRDefault="00260B75" w:rsidP="00E41474">
                  <w:pPr>
                    <w:framePr w:wrap="around" w:vAnchor="text" w:hAnchor="text" w:x="29" w:y="1009"/>
                    <w:ind w:right="-32"/>
                    <w:suppressOverlap/>
                    <w:jc w:val="right"/>
                  </w:pPr>
                  <w:r>
                    <w:rPr>
                      <w:rFonts w:ascii="Times New Roman" w:eastAsia="Times New Roman" w:hAnsi="Times New Roman" w:cs="Times New Roman"/>
                      <w:sz w:val="14"/>
                    </w:rPr>
                    <w:t>28</w:t>
                  </w:r>
                </w:p>
              </w:tc>
              <w:tc>
                <w:tcPr>
                  <w:tcW w:w="1049" w:type="dxa"/>
                  <w:gridSpan w:val="3"/>
                  <w:tcBorders>
                    <w:top w:val="single" w:sz="2" w:space="0" w:color="000000"/>
                    <w:left w:val="single" w:sz="2" w:space="0" w:color="000000"/>
                    <w:bottom w:val="single" w:sz="2" w:space="0" w:color="000000"/>
                    <w:right w:val="single" w:sz="2" w:space="0" w:color="000000"/>
                  </w:tcBorders>
                </w:tcPr>
                <w:p w14:paraId="7BE4365D" w14:textId="77777777" w:rsidR="00053D93" w:rsidRDefault="00260B75" w:rsidP="00E41474">
                  <w:pPr>
                    <w:framePr w:wrap="around" w:vAnchor="text" w:hAnchor="text" w:x="29" w:y="1009"/>
                    <w:ind w:left="140"/>
                    <w:suppressOverlap/>
                    <w:jc w:val="center"/>
                  </w:pPr>
                  <w:r>
                    <w:rPr>
                      <w:rFonts w:ascii="Times New Roman" w:eastAsia="Times New Roman" w:hAnsi="Times New Roman" w:cs="Times New Roman"/>
                      <w:sz w:val="14"/>
                    </w:rPr>
                    <w:t>294051</w:t>
                  </w:r>
                </w:p>
              </w:tc>
              <w:tc>
                <w:tcPr>
                  <w:tcW w:w="1281" w:type="dxa"/>
                  <w:tcBorders>
                    <w:top w:val="single" w:sz="2" w:space="0" w:color="000000"/>
                    <w:left w:val="single" w:sz="2" w:space="0" w:color="000000"/>
                    <w:bottom w:val="single" w:sz="2" w:space="0" w:color="000000"/>
                    <w:right w:val="single" w:sz="2" w:space="0" w:color="000000"/>
                  </w:tcBorders>
                </w:tcPr>
                <w:p w14:paraId="7D067901" w14:textId="77777777" w:rsidR="00053D93" w:rsidRDefault="00260B75" w:rsidP="00E41474">
                  <w:pPr>
                    <w:framePr w:wrap="around" w:vAnchor="text" w:hAnchor="text" w:x="29" w:y="1009"/>
                    <w:ind w:left="21"/>
                    <w:suppressOverlap/>
                    <w:jc w:val="center"/>
                  </w:pPr>
                  <w:r>
                    <w:rPr>
                      <w:rFonts w:ascii="Times New Roman" w:eastAsia="Times New Roman" w:hAnsi="Times New Roman" w:cs="Times New Roman"/>
                      <w:sz w:val="14"/>
                    </w:rPr>
                    <w:t>2024-18554</w:t>
                  </w:r>
                </w:p>
              </w:tc>
              <w:tc>
                <w:tcPr>
                  <w:tcW w:w="1331" w:type="dxa"/>
                  <w:tcBorders>
                    <w:top w:val="single" w:sz="2" w:space="0" w:color="000000"/>
                    <w:left w:val="single" w:sz="2" w:space="0" w:color="000000"/>
                    <w:bottom w:val="single" w:sz="2" w:space="0" w:color="000000"/>
                    <w:right w:val="single" w:sz="2" w:space="0" w:color="000000"/>
                  </w:tcBorders>
                </w:tcPr>
                <w:p w14:paraId="7C5D18DD" w14:textId="77777777" w:rsidR="00053D93" w:rsidRDefault="00260B75" w:rsidP="00E41474">
                  <w:pPr>
                    <w:framePr w:wrap="around" w:vAnchor="text" w:hAnchor="text" w:x="29" w:y="1009"/>
                    <w:ind w:left="86" w:right="71" w:firstLine="7"/>
                    <w:suppressOverlap/>
                    <w:jc w:val="both"/>
                  </w:pPr>
                  <w:r>
                    <w:rPr>
                      <w:sz w:val="14"/>
                    </w:rPr>
                    <w:t>Red de balonmano futbol materia' poliuretano</w:t>
                  </w:r>
                </w:p>
              </w:tc>
              <w:tc>
                <w:tcPr>
                  <w:tcW w:w="1398" w:type="dxa"/>
                  <w:tcBorders>
                    <w:top w:val="single" w:sz="2" w:space="0" w:color="000000"/>
                    <w:left w:val="single" w:sz="2" w:space="0" w:color="000000"/>
                    <w:bottom w:val="single" w:sz="2" w:space="0" w:color="000000"/>
                    <w:right w:val="single" w:sz="2" w:space="0" w:color="000000"/>
                  </w:tcBorders>
                </w:tcPr>
                <w:p w14:paraId="1A8FE015" w14:textId="77777777" w:rsidR="00053D93" w:rsidRDefault="00260B75" w:rsidP="00E41474">
                  <w:pPr>
                    <w:framePr w:wrap="around" w:vAnchor="text" w:hAnchor="text" w:x="29" w:y="1009"/>
                    <w:ind w:left="15"/>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1C943A9B" w14:textId="77777777" w:rsidR="00053D93" w:rsidRDefault="00260B75" w:rsidP="00E41474">
                  <w:pPr>
                    <w:framePr w:wrap="around" w:vAnchor="text" w:hAnchor="text" w:x="29" w:y="1009"/>
                    <w:ind w:right="4"/>
                    <w:suppressOverlap/>
                    <w:jc w:val="center"/>
                  </w:pPr>
                  <w:r>
                    <w:rPr>
                      <w:rFonts w:ascii="Times New Roman" w:eastAsia="Times New Roman" w:hAnsi="Times New Roman" w:cs="Times New Roman"/>
                      <w:sz w:val="14"/>
                    </w:rPr>
                    <w:t>27111/2024</w:t>
                  </w:r>
                </w:p>
              </w:tc>
              <w:tc>
                <w:tcPr>
                  <w:tcW w:w="1087" w:type="dxa"/>
                  <w:tcBorders>
                    <w:top w:val="single" w:sz="2" w:space="0" w:color="000000"/>
                    <w:left w:val="single" w:sz="2" w:space="0" w:color="000000"/>
                    <w:bottom w:val="single" w:sz="2" w:space="0" w:color="000000"/>
                    <w:right w:val="single" w:sz="2" w:space="0" w:color="000000"/>
                  </w:tcBorders>
                </w:tcPr>
                <w:p w14:paraId="7D990FE4" w14:textId="77777777" w:rsidR="00053D93" w:rsidRDefault="00260B75" w:rsidP="00E41474">
                  <w:pPr>
                    <w:framePr w:wrap="around" w:vAnchor="text" w:hAnchor="text" w:x="29" w:y="1009"/>
                    <w:ind w:left="5"/>
                    <w:suppressOverlap/>
                    <w:jc w:val="center"/>
                  </w:pPr>
                  <w:r>
                    <w:rPr>
                      <w:rFonts w:ascii="Times New Roman" w:eastAsia="Times New Roman" w:hAnsi="Times New Roman" w:cs="Times New Roman"/>
                      <w:sz w:val="14"/>
                    </w:rPr>
                    <w:t>40</w:t>
                  </w:r>
                </w:p>
              </w:tc>
              <w:tc>
                <w:tcPr>
                  <w:tcW w:w="958" w:type="dxa"/>
                  <w:tcBorders>
                    <w:top w:val="single" w:sz="2" w:space="0" w:color="000000"/>
                    <w:left w:val="single" w:sz="2" w:space="0" w:color="000000"/>
                    <w:bottom w:val="single" w:sz="2" w:space="0" w:color="000000"/>
                    <w:right w:val="single" w:sz="2" w:space="0" w:color="000000"/>
                  </w:tcBorders>
                </w:tcPr>
                <w:p w14:paraId="740397E2" w14:textId="77777777" w:rsidR="00053D93" w:rsidRDefault="00260B75" w:rsidP="00E41474">
                  <w:pPr>
                    <w:framePr w:wrap="around" w:vAnchor="text" w:hAnchor="text" w:x="29" w:y="1009"/>
                    <w:ind w:left="305"/>
                    <w:suppressOverlap/>
                  </w:pPr>
                  <w:r>
                    <w:rPr>
                      <w:rFonts w:ascii="Times New Roman" w:eastAsia="Times New Roman" w:hAnsi="Times New Roman" w:cs="Times New Roman"/>
                      <w:sz w:val="14"/>
                    </w:rPr>
                    <w:t>10.000.00</w:t>
                  </w:r>
                </w:p>
              </w:tc>
            </w:tr>
            <w:tr w:rsidR="00053D93" w14:paraId="640D26CB" w14:textId="77777777">
              <w:trPr>
                <w:trHeight w:val="552"/>
              </w:trPr>
              <w:tc>
                <w:tcPr>
                  <w:tcW w:w="302" w:type="dxa"/>
                  <w:tcBorders>
                    <w:top w:val="single" w:sz="2" w:space="0" w:color="000000"/>
                    <w:left w:val="single" w:sz="2" w:space="0" w:color="000000"/>
                    <w:bottom w:val="single" w:sz="2" w:space="0" w:color="000000"/>
                    <w:right w:val="single" w:sz="2" w:space="0" w:color="000000"/>
                  </w:tcBorders>
                </w:tcPr>
                <w:p w14:paraId="55C47E11" w14:textId="77777777" w:rsidR="00053D93" w:rsidRDefault="00260B75" w:rsidP="00E41474">
                  <w:pPr>
                    <w:framePr w:wrap="around" w:vAnchor="text" w:hAnchor="text" w:x="29" w:y="1009"/>
                    <w:ind w:right="-25"/>
                    <w:suppressOverlap/>
                    <w:jc w:val="right"/>
                  </w:pPr>
                  <w:r>
                    <w:rPr>
                      <w:rFonts w:ascii="Times New Roman" w:eastAsia="Times New Roman" w:hAnsi="Times New Roman" w:cs="Times New Roman"/>
                      <w:sz w:val="14"/>
                    </w:rPr>
                    <w:t>29</w:t>
                  </w:r>
                </w:p>
              </w:tc>
              <w:tc>
                <w:tcPr>
                  <w:tcW w:w="1049" w:type="dxa"/>
                  <w:gridSpan w:val="3"/>
                  <w:tcBorders>
                    <w:top w:val="single" w:sz="2" w:space="0" w:color="000000"/>
                    <w:left w:val="single" w:sz="2" w:space="0" w:color="000000"/>
                    <w:bottom w:val="single" w:sz="2" w:space="0" w:color="000000"/>
                    <w:right w:val="single" w:sz="2" w:space="0" w:color="000000"/>
                  </w:tcBorders>
                </w:tcPr>
                <w:p w14:paraId="6E252AE3" w14:textId="77777777" w:rsidR="00053D93" w:rsidRDefault="00260B75" w:rsidP="00E41474">
                  <w:pPr>
                    <w:framePr w:wrap="around" w:vAnchor="text" w:hAnchor="text" w:x="29" w:y="1009"/>
                    <w:ind w:left="139"/>
                    <w:suppressOverlap/>
                    <w:jc w:val="center"/>
                  </w:pPr>
                  <w:r>
                    <w:rPr>
                      <w:rFonts w:ascii="Times New Roman" w:eastAsia="Times New Roman" w:hAnsi="Times New Roman" w:cs="Times New Roman"/>
                      <w:sz w:val="14"/>
                    </w:rPr>
                    <w:t>294058</w:t>
                  </w:r>
                </w:p>
              </w:tc>
              <w:tc>
                <w:tcPr>
                  <w:tcW w:w="1281" w:type="dxa"/>
                  <w:tcBorders>
                    <w:top w:val="single" w:sz="2" w:space="0" w:color="000000"/>
                    <w:left w:val="single" w:sz="2" w:space="0" w:color="000000"/>
                    <w:bottom w:val="single" w:sz="2" w:space="0" w:color="000000"/>
                    <w:right w:val="single" w:sz="2" w:space="0" w:color="000000"/>
                  </w:tcBorders>
                </w:tcPr>
                <w:p w14:paraId="22EB4911" w14:textId="77777777" w:rsidR="00053D93" w:rsidRDefault="00260B75" w:rsidP="00E41474">
                  <w:pPr>
                    <w:framePr w:wrap="around" w:vAnchor="text" w:hAnchor="text" w:x="29" w:y="1009"/>
                    <w:ind w:left="21"/>
                    <w:suppressOverlap/>
                    <w:jc w:val="center"/>
                  </w:pPr>
                  <w:r>
                    <w:rPr>
                      <w:rFonts w:ascii="Times New Roman" w:eastAsia="Times New Roman" w:hAnsi="Times New Roman" w:cs="Times New Roman"/>
                      <w:sz w:val="14"/>
                    </w:rPr>
                    <w:t>2024-2443</w:t>
                  </w:r>
                </w:p>
              </w:tc>
              <w:tc>
                <w:tcPr>
                  <w:tcW w:w="1331" w:type="dxa"/>
                  <w:tcBorders>
                    <w:top w:val="single" w:sz="2" w:space="0" w:color="000000"/>
                    <w:left w:val="single" w:sz="2" w:space="0" w:color="000000"/>
                    <w:bottom w:val="single" w:sz="2" w:space="0" w:color="000000"/>
                    <w:right w:val="single" w:sz="2" w:space="0" w:color="000000"/>
                  </w:tcBorders>
                </w:tcPr>
                <w:p w14:paraId="375EDBBB" w14:textId="77777777" w:rsidR="00053D93" w:rsidRDefault="00260B75" w:rsidP="00E41474">
                  <w:pPr>
                    <w:framePr w:wrap="around" w:vAnchor="text" w:hAnchor="text" w:x="29" w:y="1009"/>
                    <w:ind w:left="86" w:firstLine="7"/>
                    <w:suppressOverlap/>
                  </w:pPr>
                  <w:r>
                    <w:rPr>
                      <w:sz w:val="16"/>
                    </w:rPr>
                    <w:t>Bolsón</w:t>
                  </w:r>
                  <w:r>
                    <w:rPr>
                      <w:sz w:val="16"/>
                    </w:rPr>
                    <w:tab/>
                    <w:t>para implementos deportivos</w:t>
                  </w:r>
                </w:p>
              </w:tc>
              <w:tc>
                <w:tcPr>
                  <w:tcW w:w="1398" w:type="dxa"/>
                  <w:tcBorders>
                    <w:top w:val="single" w:sz="2" w:space="0" w:color="000000"/>
                    <w:left w:val="single" w:sz="2" w:space="0" w:color="000000"/>
                    <w:bottom w:val="single" w:sz="2" w:space="0" w:color="000000"/>
                    <w:right w:val="single" w:sz="2" w:space="0" w:color="000000"/>
                  </w:tcBorders>
                </w:tcPr>
                <w:p w14:paraId="4D206482" w14:textId="77777777" w:rsidR="00053D93" w:rsidRDefault="00260B75" w:rsidP="00E41474">
                  <w:pPr>
                    <w:framePr w:wrap="around" w:vAnchor="text" w:hAnchor="text" w:x="29" w:y="1009"/>
                    <w:ind w:left="8"/>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6EBCA551" w14:textId="77777777" w:rsidR="00053D93" w:rsidRDefault="00260B75" w:rsidP="00E41474">
                  <w:pPr>
                    <w:framePr w:wrap="around" w:vAnchor="text" w:hAnchor="text" w:x="29" w:y="1009"/>
                    <w:ind w:left="3"/>
                    <w:suppressOverlap/>
                    <w:jc w:val="center"/>
                  </w:pPr>
                  <w:r>
                    <w:rPr>
                      <w:rFonts w:ascii="Times New Roman" w:eastAsia="Times New Roman" w:hAnsi="Times New Roman" w:cs="Times New Roman"/>
                      <w:sz w:val="14"/>
                    </w:rPr>
                    <w:t>19/0912024</w:t>
                  </w:r>
                </w:p>
              </w:tc>
              <w:tc>
                <w:tcPr>
                  <w:tcW w:w="1087" w:type="dxa"/>
                  <w:tcBorders>
                    <w:top w:val="single" w:sz="2" w:space="0" w:color="000000"/>
                    <w:left w:val="single" w:sz="2" w:space="0" w:color="000000"/>
                    <w:bottom w:val="single" w:sz="2" w:space="0" w:color="000000"/>
                    <w:right w:val="single" w:sz="2" w:space="0" w:color="000000"/>
                  </w:tcBorders>
                </w:tcPr>
                <w:p w14:paraId="561F0950" w14:textId="77777777" w:rsidR="00053D93" w:rsidRDefault="00260B75" w:rsidP="00E41474">
                  <w:pPr>
                    <w:framePr w:wrap="around" w:vAnchor="text" w:hAnchor="text" w:x="29" w:y="1009"/>
                    <w:ind w:left="5"/>
                    <w:suppressOverlap/>
                    <w:jc w:val="center"/>
                  </w:pPr>
                  <w:r>
                    <w:rPr>
                      <w:rFonts w:ascii="Times New Roman" w:eastAsia="Times New Roman" w:hAnsi="Times New Roman" w:cs="Times New Roman"/>
                      <w:sz w:val="14"/>
                    </w:rPr>
                    <w:t>200</w:t>
                  </w:r>
                </w:p>
              </w:tc>
              <w:tc>
                <w:tcPr>
                  <w:tcW w:w="958" w:type="dxa"/>
                  <w:tcBorders>
                    <w:top w:val="single" w:sz="2" w:space="0" w:color="000000"/>
                    <w:left w:val="single" w:sz="2" w:space="0" w:color="000000"/>
                    <w:bottom w:val="single" w:sz="2" w:space="0" w:color="000000"/>
                    <w:right w:val="single" w:sz="2" w:space="0" w:color="000000"/>
                  </w:tcBorders>
                </w:tcPr>
                <w:p w14:paraId="7FB529AF" w14:textId="77777777" w:rsidR="00053D93" w:rsidRDefault="00260B75" w:rsidP="00E41474">
                  <w:pPr>
                    <w:framePr w:wrap="around" w:vAnchor="text" w:hAnchor="text" w:x="29" w:y="1009"/>
                    <w:ind w:left="298"/>
                    <w:suppressOverlap/>
                  </w:pPr>
                  <w:r>
                    <w:rPr>
                      <w:rFonts w:ascii="Times New Roman" w:eastAsia="Times New Roman" w:hAnsi="Times New Roman" w:cs="Times New Roman"/>
                      <w:sz w:val="14"/>
                    </w:rPr>
                    <w:t>56.531.84</w:t>
                  </w:r>
                </w:p>
              </w:tc>
            </w:tr>
            <w:tr w:rsidR="00053D93" w14:paraId="3731C64F" w14:textId="77777777">
              <w:trPr>
                <w:trHeight w:val="730"/>
              </w:trPr>
              <w:tc>
                <w:tcPr>
                  <w:tcW w:w="302" w:type="dxa"/>
                  <w:tcBorders>
                    <w:top w:val="single" w:sz="2" w:space="0" w:color="000000"/>
                    <w:left w:val="single" w:sz="2" w:space="0" w:color="000000"/>
                    <w:bottom w:val="single" w:sz="2" w:space="0" w:color="000000"/>
                    <w:right w:val="single" w:sz="2" w:space="0" w:color="000000"/>
                  </w:tcBorders>
                </w:tcPr>
                <w:p w14:paraId="67961C46" w14:textId="77777777" w:rsidR="00053D93" w:rsidRDefault="00260B75" w:rsidP="00E41474">
                  <w:pPr>
                    <w:framePr w:wrap="around" w:vAnchor="text" w:hAnchor="text" w:x="29" w:y="1009"/>
                    <w:ind w:right="-25"/>
                    <w:suppressOverlap/>
                    <w:jc w:val="right"/>
                  </w:pPr>
                  <w:r>
                    <w:rPr>
                      <w:rFonts w:ascii="Times New Roman" w:eastAsia="Times New Roman" w:hAnsi="Times New Roman" w:cs="Times New Roman"/>
                      <w:sz w:val="14"/>
                    </w:rPr>
                    <w:t>30</w:t>
                  </w:r>
                </w:p>
              </w:tc>
              <w:tc>
                <w:tcPr>
                  <w:tcW w:w="1049" w:type="dxa"/>
                  <w:gridSpan w:val="3"/>
                  <w:tcBorders>
                    <w:top w:val="single" w:sz="2" w:space="0" w:color="000000"/>
                    <w:left w:val="single" w:sz="2" w:space="0" w:color="000000"/>
                    <w:bottom w:val="single" w:sz="2" w:space="0" w:color="000000"/>
                    <w:right w:val="single" w:sz="2" w:space="0" w:color="000000"/>
                  </w:tcBorders>
                </w:tcPr>
                <w:p w14:paraId="04C7A42B" w14:textId="77777777" w:rsidR="00053D93" w:rsidRDefault="00260B75" w:rsidP="00E41474">
                  <w:pPr>
                    <w:framePr w:wrap="around" w:vAnchor="text" w:hAnchor="text" w:x="29" w:y="1009"/>
                    <w:ind w:left="125"/>
                    <w:suppressOverlap/>
                    <w:jc w:val="center"/>
                  </w:pPr>
                  <w:r>
                    <w:rPr>
                      <w:rFonts w:ascii="Times New Roman" w:eastAsia="Times New Roman" w:hAnsi="Times New Roman" w:cs="Times New Roman"/>
                      <w:sz w:val="14"/>
                    </w:rPr>
                    <w:t>239001</w:t>
                  </w:r>
                </w:p>
              </w:tc>
              <w:tc>
                <w:tcPr>
                  <w:tcW w:w="1281" w:type="dxa"/>
                  <w:tcBorders>
                    <w:top w:val="single" w:sz="2" w:space="0" w:color="000000"/>
                    <w:left w:val="single" w:sz="2" w:space="0" w:color="000000"/>
                    <w:bottom w:val="single" w:sz="2" w:space="0" w:color="000000"/>
                    <w:right w:val="single" w:sz="2" w:space="0" w:color="000000"/>
                  </w:tcBorders>
                </w:tcPr>
                <w:p w14:paraId="79F1A6F6" w14:textId="77777777" w:rsidR="00053D93" w:rsidRDefault="00260B75" w:rsidP="00E41474">
                  <w:pPr>
                    <w:framePr w:wrap="around" w:vAnchor="text" w:hAnchor="text" w:x="29" w:y="1009"/>
                    <w:ind w:left="6"/>
                    <w:suppressOverlap/>
                    <w:jc w:val="center"/>
                  </w:pPr>
                  <w:r>
                    <w:rPr>
                      <w:rFonts w:ascii="Times New Roman" w:eastAsia="Times New Roman" w:hAnsi="Times New Roman" w:cs="Times New Roman"/>
                      <w:sz w:val="14"/>
                    </w:rPr>
                    <w:t>2024-19432</w:t>
                  </w:r>
                </w:p>
              </w:tc>
              <w:tc>
                <w:tcPr>
                  <w:tcW w:w="1331" w:type="dxa"/>
                  <w:tcBorders>
                    <w:top w:val="single" w:sz="2" w:space="0" w:color="000000"/>
                    <w:left w:val="single" w:sz="2" w:space="0" w:color="000000"/>
                    <w:bottom w:val="single" w:sz="2" w:space="0" w:color="000000"/>
                    <w:right w:val="single" w:sz="2" w:space="0" w:color="000000"/>
                  </w:tcBorders>
                </w:tcPr>
                <w:p w14:paraId="469F250D" w14:textId="77777777" w:rsidR="00053D93" w:rsidRDefault="00260B75" w:rsidP="00E41474">
                  <w:pPr>
                    <w:framePr w:wrap="around" w:vAnchor="text" w:hAnchor="text" w:x="29" w:y="1009"/>
                    <w:ind w:left="79" w:right="78" w:firstLine="7"/>
                    <w:suppressOverlap/>
                    <w:jc w:val="both"/>
                  </w:pPr>
                  <w:r>
                    <w:rPr>
                      <w:sz w:val="16"/>
                    </w:rPr>
                    <w:t xml:space="preserve">Colchoneta </w:t>
                  </w:r>
                  <w:r>
                    <w:rPr>
                      <w:rFonts w:ascii="Times New Roman" w:eastAsia="Times New Roman" w:hAnsi="Times New Roman" w:cs="Times New Roman"/>
                      <w:sz w:val="16"/>
                    </w:rPr>
                    <w:t xml:space="preserve">de </w:t>
                  </w:r>
                  <w:r>
                    <w:rPr>
                      <w:sz w:val="16"/>
                    </w:rPr>
                    <w:t>gimnasia 45 CM X SO CM de alto 120 CM de largo.</w:t>
                  </w:r>
                </w:p>
              </w:tc>
              <w:tc>
                <w:tcPr>
                  <w:tcW w:w="1398" w:type="dxa"/>
                  <w:tcBorders>
                    <w:top w:val="single" w:sz="2" w:space="0" w:color="000000"/>
                    <w:left w:val="single" w:sz="2" w:space="0" w:color="000000"/>
                    <w:bottom w:val="single" w:sz="2" w:space="0" w:color="000000"/>
                    <w:right w:val="single" w:sz="2" w:space="0" w:color="000000"/>
                  </w:tcBorders>
                </w:tcPr>
                <w:p w14:paraId="625D3CF6" w14:textId="77777777" w:rsidR="00053D93" w:rsidRDefault="00260B75" w:rsidP="00E41474">
                  <w:pPr>
                    <w:framePr w:wrap="around" w:vAnchor="text" w:hAnchor="text" w:x="29" w:y="1009"/>
                    <w:ind w:right="6"/>
                    <w:suppressOverlap/>
                    <w:jc w:val="center"/>
                  </w:pPr>
                  <w:r>
                    <w:rPr>
                      <w:rFonts w:ascii="Times New Roman" w:eastAsia="Times New Roman" w:hAnsi="Times New Roman" w:cs="Times New Roman"/>
                      <w:sz w:val="14"/>
                    </w:rPr>
                    <w:t>239</w:t>
                  </w:r>
                </w:p>
              </w:tc>
              <w:tc>
                <w:tcPr>
                  <w:tcW w:w="1099" w:type="dxa"/>
                  <w:tcBorders>
                    <w:top w:val="single" w:sz="2" w:space="0" w:color="000000"/>
                    <w:left w:val="single" w:sz="2" w:space="0" w:color="000000"/>
                    <w:bottom w:val="single" w:sz="2" w:space="0" w:color="000000"/>
                    <w:right w:val="single" w:sz="2" w:space="0" w:color="000000"/>
                  </w:tcBorders>
                </w:tcPr>
                <w:p w14:paraId="2DF89005" w14:textId="77777777" w:rsidR="00053D93" w:rsidRDefault="00260B75" w:rsidP="00E41474">
                  <w:pPr>
                    <w:framePr w:wrap="around" w:vAnchor="text" w:hAnchor="text" w:x="29" w:y="1009"/>
                    <w:ind w:right="12"/>
                    <w:suppressOverlap/>
                    <w:jc w:val="center"/>
                  </w:pPr>
                  <w:r>
                    <w:rPr>
                      <w:rFonts w:ascii="Times New Roman" w:eastAsia="Times New Roman" w:hAnsi="Times New Roman" w:cs="Times New Roman"/>
                      <w:sz w:val="14"/>
                    </w:rPr>
                    <w:t>27111/2024</w:t>
                  </w:r>
                </w:p>
              </w:tc>
              <w:tc>
                <w:tcPr>
                  <w:tcW w:w="1087" w:type="dxa"/>
                  <w:tcBorders>
                    <w:top w:val="single" w:sz="2" w:space="0" w:color="000000"/>
                    <w:left w:val="single" w:sz="2" w:space="0" w:color="000000"/>
                    <w:bottom w:val="single" w:sz="2" w:space="0" w:color="000000"/>
                    <w:right w:val="single" w:sz="2" w:space="0" w:color="000000"/>
                  </w:tcBorders>
                </w:tcPr>
                <w:p w14:paraId="33B9E3D0" w14:textId="77777777" w:rsidR="00053D93" w:rsidRDefault="00260B75" w:rsidP="00E41474">
                  <w:pPr>
                    <w:framePr w:wrap="around" w:vAnchor="text" w:hAnchor="text" w:x="29" w:y="1009"/>
                    <w:ind w:right="9"/>
                    <w:suppressOverlap/>
                    <w:jc w:val="center"/>
                  </w:pPr>
                  <w:r>
                    <w:rPr>
                      <w:rFonts w:ascii="Times New Roman" w:eastAsia="Times New Roman" w:hAnsi="Times New Roman" w:cs="Times New Roman"/>
                      <w:sz w:val="16"/>
                    </w:rPr>
                    <w:t>5</w:t>
                  </w:r>
                </w:p>
              </w:tc>
              <w:tc>
                <w:tcPr>
                  <w:tcW w:w="958" w:type="dxa"/>
                  <w:tcBorders>
                    <w:top w:val="single" w:sz="2" w:space="0" w:color="000000"/>
                    <w:left w:val="single" w:sz="2" w:space="0" w:color="000000"/>
                    <w:bottom w:val="single" w:sz="2" w:space="0" w:color="000000"/>
                    <w:right w:val="single" w:sz="2" w:space="0" w:color="000000"/>
                  </w:tcBorders>
                </w:tcPr>
                <w:p w14:paraId="7D656DC9" w14:textId="77777777" w:rsidR="00053D93" w:rsidRDefault="00260B75" w:rsidP="00E41474">
                  <w:pPr>
                    <w:framePr w:wrap="around" w:vAnchor="text" w:hAnchor="text" w:x="29" w:y="1009"/>
                    <w:ind w:left="291"/>
                    <w:suppressOverlap/>
                  </w:pPr>
                  <w:r>
                    <w:rPr>
                      <w:sz w:val="14"/>
                    </w:rPr>
                    <w:t>21,790.eo</w:t>
                  </w:r>
                </w:p>
              </w:tc>
            </w:tr>
            <w:tr w:rsidR="00053D93" w14:paraId="3B63DF00" w14:textId="77777777">
              <w:trPr>
                <w:trHeight w:val="727"/>
              </w:trPr>
              <w:tc>
                <w:tcPr>
                  <w:tcW w:w="302" w:type="dxa"/>
                  <w:tcBorders>
                    <w:top w:val="single" w:sz="2" w:space="0" w:color="000000"/>
                    <w:left w:val="single" w:sz="2" w:space="0" w:color="000000"/>
                    <w:bottom w:val="single" w:sz="2" w:space="0" w:color="000000"/>
                    <w:right w:val="single" w:sz="2" w:space="0" w:color="000000"/>
                  </w:tcBorders>
                </w:tcPr>
                <w:p w14:paraId="0B919C25" w14:textId="77777777" w:rsidR="00053D93" w:rsidRDefault="00260B75" w:rsidP="00E41474">
                  <w:pPr>
                    <w:framePr w:wrap="around" w:vAnchor="text" w:hAnchor="text" w:x="29" w:y="1009"/>
                    <w:ind w:right="-4"/>
                    <w:suppressOverlap/>
                    <w:jc w:val="right"/>
                  </w:pPr>
                  <w:r>
                    <w:rPr>
                      <w:rFonts w:ascii="Times New Roman" w:eastAsia="Times New Roman" w:hAnsi="Times New Roman" w:cs="Times New Roman"/>
                      <w:sz w:val="14"/>
                    </w:rPr>
                    <w:t>31</w:t>
                  </w:r>
                </w:p>
              </w:tc>
              <w:tc>
                <w:tcPr>
                  <w:tcW w:w="1049" w:type="dxa"/>
                  <w:gridSpan w:val="3"/>
                  <w:tcBorders>
                    <w:top w:val="single" w:sz="2" w:space="0" w:color="000000"/>
                    <w:left w:val="single" w:sz="2" w:space="0" w:color="000000"/>
                    <w:bottom w:val="single" w:sz="2" w:space="0" w:color="000000"/>
                    <w:right w:val="single" w:sz="2" w:space="0" w:color="000000"/>
                  </w:tcBorders>
                </w:tcPr>
                <w:p w14:paraId="6C1FE9F1" w14:textId="77777777" w:rsidR="00053D93" w:rsidRDefault="00260B75" w:rsidP="00E41474">
                  <w:pPr>
                    <w:framePr w:wrap="around" w:vAnchor="text" w:hAnchor="text" w:x="29" w:y="1009"/>
                    <w:ind w:left="125"/>
                    <w:suppressOverlap/>
                    <w:jc w:val="center"/>
                  </w:pPr>
                  <w:r>
                    <w:rPr>
                      <w:rFonts w:ascii="Times New Roman" w:eastAsia="Times New Roman" w:hAnsi="Times New Roman" w:cs="Times New Roman"/>
                      <w:sz w:val="14"/>
                    </w:rPr>
                    <w:t>239002</w:t>
                  </w:r>
                </w:p>
              </w:tc>
              <w:tc>
                <w:tcPr>
                  <w:tcW w:w="1281" w:type="dxa"/>
                  <w:tcBorders>
                    <w:top w:val="single" w:sz="2" w:space="0" w:color="000000"/>
                    <w:left w:val="single" w:sz="2" w:space="0" w:color="000000"/>
                    <w:bottom w:val="single" w:sz="2" w:space="0" w:color="000000"/>
                    <w:right w:val="single" w:sz="2" w:space="0" w:color="000000"/>
                  </w:tcBorders>
                </w:tcPr>
                <w:p w14:paraId="1F5EACBA" w14:textId="77777777" w:rsidR="00053D93" w:rsidRDefault="00260B75" w:rsidP="00E41474">
                  <w:pPr>
                    <w:framePr w:wrap="around" w:vAnchor="text" w:hAnchor="text" w:x="29" w:y="1009"/>
                    <w:ind w:right="8"/>
                    <w:suppressOverlap/>
                    <w:jc w:val="center"/>
                  </w:pPr>
                  <w:r>
                    <w:rPr>
                      <w:rFonts w:ascii="Times New Roman" w:eastAsia="Times New Roman" w:hAnsi="Times New Roman" w:cs="Times New Roman"/>
                      <w:sz w:val="14"/>
                    </w:rPr>
                    <w:t>2024-2439</w:t>
                  </w:r>
                </w:p>
              </w:tc>
              <w:tc>
                <w:tcPr>
                  <w:tcW w:w="1331" w:type="dxa"/>
                  <w:tcBorders>
                    <w:top w:val="single" w:sz="2" w:space="0" w:color="000000"/>
                    <w:left w:val="single" w:sz="2" w:space="0" w:color="000000"/>
                    <w:bottom w:val="single" w:sz="2" w:space="0" w:color="000000"/>
                    <w:right w:val="single" w:sz="2" w:space="0" w:color="000000"/>
                  </w:tcBorders>
                </w:tcPr>
                <w:p w14:paraId="0E151DE3" w14:textId="77777777" w:rsidR="00053D93" w:rsidRDefault="00260B75" w:rsidP="00E41474">
                  <w:pPr>
                    <w:framePr w:wrap="around" w:vAnchor="text" w:hAnchor="text" w:x="29" w:y="1009"/>
                    <w:spacing w:line="236" w:lineRule="auto"/>
                    <w:ind w:left="72" w:right="85" w:firstLine="7"/>
                    <w:suppressOverlap/>
                    <w:jc w:val="both"/>
                  </w:pPr>
                  <w:r>
                    <w:rPr>
                      <w:sz w:val="16"/>
                    </w:rPr>
                    <w:t>Colchoneta deportiva 2.3 M grosor 12 CM largo</w:t>
                  </w:r>
                </w:p>
                <w:p w14:paraId="5B28376C" w14:textId="77777777" w:rsidR="00053D93" w:rsidRDefault="00260B75" w:rsidP="00E41474">
                  <w:pPr>
                    <w:framePr w:wrap="around" w:vAnchor="text" w:hAnchor="text" w:x="29" w:y="1009"/>
                    <w:ind w:left="72"/>
                    <w:suppressOverlap/>
                  </w:pPr>
                  <w:r>
                    <w:rPr>
                      <w:sz w:val="14"/>
                    </w:rPr>
                    <w:t>4.75 M</w:t>
                  </w:r>
                </w:p>
              </w:tc>
              <w:tc>
                <w:tcPr>
                  <w:tcW w:w="1398" w:type="dxa"/>
                  <w:tcBorders>
                    <w:top w:val="single" w:sz="2" w:space="0" w:color="000000"/>
                    <w:left w:val="single" w:sz="2" w:space="0" w:color="000000"/>
                    <w:bottom w:val="single" w:sz="2" w:space="0" w:color="000000"/>
                    <w:right w:val="single" w:sz="2" w:space="0" w:color="000000"/>
                  </w:tcBorders>
                </w:tcPr>
                <w:p w14:paraId="30E31FA6" w14:textId="77777777" w:rsidR="00053D93" w:rsidRDefault="00260B75" w:rsidP="00E41474">
                  <w:pPr>
                    <w:framePr w:wrap="around" w:vAnchor="text" w:hAnchor="text" w:x="29" w:y="1009"/>
                    <w:ind w:right="13"/>
                    <w:suppressOverlap/>
                    <w:jc w:val="center"/>
                  </w:pPr>
                  <w:r>
                    <w:rPr>
                      <w:rFonts w:ascii="Times New Roman" w:eastAsia="Times New Roman" w:hAnsi="Times New Roman" w:cs="Times New Roman"/>
                      <w:sz w:val="16"/>
                    </w:rPr>
                    <w:t>239</w:t>
                  </w:r>
                </w:p>
              </w:tc>
              <w:tc>
                <w:tcPr>
                  <w:tcW w:w="1099" w:type="dxa"/>
                  <w:tcBorders>
                    <w:top w:val="single" w:sz="2" w:space="0" w:color="000000"/>
                    <w:left w:val="single" w:sz="2" w:space="0" w:color="000000"/>
                    <w:bottom w:val="single" w:sz="2" w:space="0" w:color="000000"/>
                    <w:right w:val="single" w:sz="2" w:space="0" w:color="000000"/>
                  </w:tcBorders>
                </w:tcPr>
                <w:p w14:paraId="1441EEFC" w14:textId="77777777" w:rsidR="00053D93" w:rsidRDefault="00260B75" w:rsidP="00E41474">
                  <w:pPr>
                    <w:framePr w:wrap="around" w:vAnchor="text" w:hAnchor="text" w:x="29" w:y="1009"/>
                    <w:ind w:right="19"/>
                    <w:suppressOverlap/>
                    <w:jc w:val="center"/>
                  </w:pPr>
                  <w:r>
                    <w:rPr>
                      <w:rFonts w:ascii="Times New Roman" w:eastAsia="Times New Roman" w:hAnsi="Times New Roman" w:cs="Times New Roman"/>
                      <w:sz w:val="14"/>
                    </w:rPr>
                    <w:t>12/0812024</w:t>
                  </w:r>
                </w:p>
              </w:tc>
              <w:tc>
                <w:tcPr>
                  <w:tcW w:w="1087" w:type="dxa"/>
                  <w:tcBorders>
                    <w:top w:val="single" w:sz="2" w:space="0" w:color="000000"/>
                    <w:left w:val="single" w:sz="2" w:space="0" w:color="000000"/>
                    <w:bottom w:val="single" w:sz="2" w:space="0" w:color="000000"/>
                    <w:right w:val="single" w:sz="2" w:space="0" w:color="000000"/>
                  </w:tcBorders>
                </w:tcPr>
                <w:p w14:paraId="4079FE8E" w14:textId="77777777" w:rsidR="00053D93" w:rsidRDefault="00053D93" w:rsidP="00E41474">
                  <w:pPr>
                    <w:framePr w:wrap="around" w:vAnchor="text" w:hAnchor="text" w:x="29" w:y="1009"/>
                    <w:suppressOverlap/>
                  </w:pPr>
                </w:p>
              </w:tc>
              <w:tc>
                <w:tcPr>
                  <w:tcW w:w="958" w:type="dxa"/>
                  <w:tcBorders>
                    <w:top w:val="single" w:sz="2" w:space="0" w:color="000000"/>
                    <w:left w:val="single" w:sz="2" w:space="0" w:color="000000"/>
                    <w:bottom w:val="single" w:sz="2" w:space="0" w:color="000000"/>
                    <w:right w:val="single" w:sz="2" w:space="0" w:color="000000"/>
                  </w:tcBorders>
                </w:tcPr>
                <w:p w14:paraId="23277297" w14:textId="77777777" w:rsidR="00053D93" w:rsidRDefault="00260B75" w:rsidP="00E41474">
                  <w:pPr>
                    <w:framePr w:wrap="around" w:vAnchor="text" w:hAnchor="text" w:x="29" w:y="1009"/>
                    <w:ind w:left="283"/>
                    <w:suppressOverlap/>
                  </w:pPr>
                  <w:r>
                    <w:rPr>
                      <w:rFonts w:ascii="Times New Roman" w:eastAsia="Times New Roman" w:hAnsi="Times New Roman" w:cs="Times New Roman"/>
                      <w:sz w:val="16"/>
                    </w:rPr>
                    <w:t>36.980.00</w:t>
                  </w:r>
                </w:p>
              </w:tc>
            </w:tr>
            <w:tr w:rsidR="00053D93" w14:paraId="5B22C517" w14:textId="77777777">
              <w:trPr>
                <w:trHeight w:val="288"/>
              </w:trPr>
              <w:tc>
                <w:tcPr>
                  <w:tcW w:w="1350" w:type="dxa"/>
                  <w:gridSpan w:val="4"/>
                  <w:tcBorders>
                    <w:top w:val="single" w:sz="2" w:space="0" w:color="000000"/>
                    <w:left w:val="single" w:sz="2" w:space="0" w:color="000000"/>
                    <w:bottom w:val="single" w:sz="2" w:space="0" w:color="000000"/>
                    <w:right w:val="nil"/>
                  </w:tcBorders>
                </w:tcPr>
                <w:p w14:paraId="016EDC2B" w14:textId="77777777" w:rsidR="00053D93" w:rsidRDefault="00053D93" w:rsidP="00E41474">
                  <w:pPr>
                    <w:framePr w:wrap="around" w:vAnchor="text" w:hAnchor="text" w:x="29" w:y="1009"/>
                    <w:suppressOverlap/>
                  </w:pPr>
                </w:p>
              </w:tc>
              <w:tc>
                <w:tcPr>
                  <w:tcW w:w="5108" w:type="dxa"/>
                  <w:gridSpan w:val="4"/>
                  <w:tcBorders>
                    <w:top w:val="single" w:sz="2" w:space="0" w:color="000000"/>
                    <w:left w:val="nil"/>
                    <w:bottom w:val="single" w:sz="2" w:space="0" w:color="000000"/>
                    <w:right w:val="nil"/>
                  </w:tcBorders>
                </w:tcPr>
                <w:p w14:paraId="150116F2" w14:textId="77777777" w:rsidR="00053D93" w:rsidRDefault="00260B75" w:rsidP="00E41474">
                  <w:pPr>
                    <w:framePr w:wrap="around" w:vAnchor="text" w:hAnchor="text" w:x="29" w:y="1009"/>
                    <w:ind w:left="1324"/>
                    <w:suppressOverlap/>
                  </w:pPr>
                  <w:r>
                    <w:rPr>
                      <w:sz w:val="16"/>
                    </w:rPr>
                    <w:t>Coordinaclón de Infraest.ructura Deportiva Escolar</w:t>
                  </w:r>
                </w:p>
              </w:tc>
              <w:tc>
                <w:tcPr>
                  <w:tcW w:w="1087" w:type="dxa"/>
                  <w:tcBorders>
                    <w:top w:val="single" w:sz="2" w:space="0" w:color="000000"/>
                    <w:left w:val="nil"/>
                    <w:bottom w:val="single" w:sz="2" w:space="0" w:color="000000"/>
                    <w:right w:val="nil"/>
                  </w:tcBorders>
                </w:tcPr>
                <w:p w14:paraId="65D9F3AA" w14:textId="77777777" w:rsidR="00053D93" w:rsidRDefault="00053D93" w:rsidP="00E41474">
                  <w:pPr>
                    <w:framePr w:wrap="around" w:vAnchor="text" w:hAnchor="text" w:x="29" w:y="1009"/>
                    <w:suppressOverlap/>
                  </w:pPr>
                </w:p>
              </w:tc>
              <w:tc>
                <w:tcPr>
                  <w:tcW w:w="958" w:type="dxa"/>
                  <w:tcBorders>
                    <w:top w:val="single" w:sz="2" w:space="0" w:color="000000"/>
                    <w:left w:val="nil"/>
                    <w:bottom w:val="single" w:sz="2" w:space="0" w:color="000000"/>
                    <w:right w:val="single" w:sz="2" w:space="0" w:color="000000"/>
                  </w:tcBorders>
                </w:tcPr>
                <w:p w14:paraId="7565BD79" w14:textId="77777777" w:rsidR="00053D93" w:rsidRDefault="00053D93" w:rsidP="00E41474">
                  <w:pPr>
                    <w:framePr w:wrap="around" w:vAnchor="text" w:hAnchor="text" w:x="29" w:y="1009"/>
                    <w:suppressOverlap/>
                  </w:pPr>
                </w:p>
              </w:tc>
            </w:tr>
            <w:tr w:rsidR="00053D93" w14:paraId="45F9CCB7" w14:textId="77777777">
              <w:trPr>
                <w:trHeight w:val="562"/>
              </w:trPr>
              <w:tc>
                <w:tcPr>
                  <w:tcW w:w="302" w:type="dxa"/>
                  <w:tcBorders>
                    <w:top w:val="single" w:sz="2" w:space="0" w:color="000000"/>
                    <w:left w:val="single" w:sz="2" w:space="0" w:color="000000"/>
                    <w:bottom w:val="single" w:sz="2" w:space="0" w:color="000000"/>
                    <w:right w:val="single" w:sz="2" w:space="0" w:color="000000"/>
                  </w:tcBorders>
                </w:tcPr>
                <w:p w14:paraId="5FEFE031" w14:textId="77777777" w:rsidR="00053D93" w:rsidRDefault="00260B75" w:rsidP="00E41474">
                  <w:pPr>
                    <w:framePr w:wrap="around" w:vAnchor="text" w:hAnchor="text" w:x="29" w:y="1009"/>
                    <w:ind w:right="-11"/>
                    <w:suppressOverlap/>
                    <w:jc w:val="right"/>
                  </w:pPr>
                  <w:r>
                    <w:rPr>
                      <w:rFonts w:ascii="Times New Roman" w:eastAsia="Times New Roman" w:hAnsi="Times New Roman" w:cs="Times New Roman"/>
                      <w:sz w:val="14"/>
                    </w:rPr>
                    <w:t>32</w:t>
                  </w:r>
                </w:p>
              </w:tc>
              <w:tc>
                <w:tcPr>
                  <w:tcW w:w="1049" w:type="dxa"/>
                  <w:gridSpan w:val="3"/>
                  <w:tcBorders>
                    <w:top w:val="single" w:sz="2" w:space="0" w:color="000000"/>
                    <w:left w:val="single" w:sz="2" w:space="0" w:color="000000"/>
                    <w:bottom w:val="single" w:sz="2" w:space="0" w:color="000000"/>
                    <w:right w:val="single" w:sz="2" w:space="0" w:color="000000"/>
                  </w:tcBorders>
                </w:tcPr>
                <w:p w14:paraId="107893AB" w14:textId="77777777" w:rsidR="00053D93" w:rsidRDefault="00260B75" w:rsidP="00E41474">
                  <w:pPr>
                    <w:framePr w:wrap="around" w:vAnchor="text" w:hAnchor="text" w:x="29" w:y="1009"/>
                    <w:ind w:left="111"/>
                    <w:suppressOverlap/>
                    <w:jc w:val="center"/>
                  </w:pPr>
                  <w:r>
                    <w:rPr>
                      <w:rFonts w:ascii="Times New Roman" w:eastAsia="Times New Roman" w:hAnsi="Times New Roman" w:cs="Times New Roman"/>
                      <w:sz w:val="14"/>
                    </w:rPr>
                    <w:t>267018</w:t>
                  </w:r>
                </w:p>
              </w:tc>
              <w:tc>
                <w:tcPr>
                  <w:tcW w:w="1281" w:type="dxa"/>
                  <w:tcBorders>
                    <w:top w:val="single" w:sz="2" w:space="0" w:color="000000"/>
                    <w:left w:val="single" w:sz="2" w:space="0" w:color="000000"/>
                    <w:bottom w:val="single" w:sz="2" w:space="0" w:color="000000"/>
                    <w:right w:val="single" w:sz="2" w:space="0" w:color="000000"/>
                  </w:tcBorders>
                </w:tcPr>
                <w:p w14:paraId="7CC5AEC1" w14:textId="77777777" w:rsidR="00053D93" w:rsidRDefault="00260B75" w:rsidP="00E41474">
                  <w:pPr>
                    <w:framePr w:wrap="around" w:vAnchor="text" w:hAnchor="text" w:x="29" w:y="1009"/>
                    <w:ind w:right="37"/>
                    <w:suppressOverlap/>
                    <w:jc w:val="center"/>
                  </w:pPr>
                  <w:r>
                    <w:rPr>
                      <w:rFonts w:ascii="Times New Roman" w:eastAsia="Times New Roman" w:hAnsi="Times New Roman" w:cs="Times New Roman"/>
                      <w:sz w:val="14"/>
                    </w:rPr>
                    <w:t>2024-7961</w:t>
                  </w:r>
                </w:p>
              </w:tc>
              <w:tc>
                <w:tcPr>
                  <w:tcW w:w="1331" w:type="dxa"/>
                  <w:tcBorders>
                    <w:top w:val="single" w:sz="2" w:space="0" w:color="000000"/>
                    <w:left w:val="single" w:sz="2" w:space="0" w:color="000000"/>
                    <w:bottom w:val="single" w:sz="2" w:space="0" w:color="000000"/>
                    <w:right w:val="single" w:sz="2" w:space="0" w:color="000000"/>
                  </w:tcBorders>
                </w:tcPr>
                <w:p w14:paraId="46CE25B0" w14:textId="77777777" w:rsidR="00053D93" w:rsidRDefault="00260B75" w:rsidP="00E41474">
                  <w:pPr>
                    <w:framePr w:wrap="around" w:vAnchor="text" w:hAnchor="text" w:x="29" w:y="1009"/>
                    <w:ind w:left="72" w:right="93"/>
                    <w:suppressOverlap/>
                    <w:jc w:val="both"/>
                  </w:pPr>
                  <w:r>
                    <w:rPr>
                      <w:sz w:val="16"/>
                    </w:rPr>
                    <w:t xml:space="preserve">Pintura tipo tráfico lata 1 galón varios </w:t>
                  </w:r>
                  <w:r>
                    <w:rPr>
                      <w:rFonts w:ascii="Times New Roman" w:eastAsia="Times New Roman" w:hAnsi="Times New Roman" w:cs="Times New Roman"/>
                      <w:sz w:val="16"/>
                    </w:rPr>
                    <w:t>colores</w:t>
                  </w:r>
                </w:p>
              </w:tc>
              <w:tc>
                <w:tcPr>
                  <w:tcW w:w="1398" w:type="dxa"/>
                  <w:tcBorders>
                    <w:top w:val="single" w:sz="2" w:space="0" w:color="000000"/>
                    <w:left w:val="single" w:sz="2" w:space="0" w:color="000000"/>
                    <w:bottom w:val="single" w:sz="2" w:space="0" w:color="000000"/>
                    <w:right w:val="single" w:sz="2" w:space="0" w:color="000000"/>
                  </w:tcBorders>
                </w:tcPr>
                <w:p w14:paraId="6D88A947" w14:textId="77777777" w:rsidR="00053D93" w:rsidRDefault="00260B75" w:rsidP="00E41474">
                  <w:pPr>
                    <w:framePr w:wrap="around" w:vAnchor="text" w:hAnchor="text" w:x="29" w:y="1009"/>
                    <w:ind w:right="28"/>
                    <w:suppressOverlap/>
                    <w:jc w:val="center"/>
                  </w:pPr>
                  <w:r>
                    <w:rPr>
                      <w:rFonts w:ascii="Times New Roman" w:eastAsia="Times New Roman" w:hAnsi="Times New Roman" w:cs="Times New Roman"/>
                      <w:sz w:val="16"/>
                    </w:rPr>
                    <w:t>267</w:t>
                  </w:r>
                </w:p>
              </w:tc>
              <w:tc>
                <w:tcPr>
                  <w:tcW w:w="1099" w:type="dxa"/>
                  <w:tcBorders>
                    <w:top w:val="single" w:sz="2" w:space="0" w:color="000000"/>
                    <w:left w:val="single" w:sz="2" w:space="0" w:color="000000"/>
                    <w:bottom w:val="single" w:sz="2" w:space="0" w:color="000000"/>
                    <w:right w:val="single" w:sz="2" w:space="0" w:color="000000"/>
                  </w:tcBorders>
                </w:tcPr>
                <w:p w14:paraId="2ED2E88D" w14:textId="77777777" w:rsidR="00053D93" w:rsidRDefault="00260B75" w:rsidP="00E41474">
                  <w:pPr>
                    <w:framePr w:wrap="around" w:vAnchor="text" w:hAnchor="text" w:x="29" w:y="1009"/>
                    <w:ind w:right="33"/>
                    <w:suppressOverlap/>
                    <w:jc w:val="center"/>
                  </w:pPr>
                  <w:r>
                    <w:rPr>
                      <w:rFonts w:ascii="Times New Roman" w:eastAsia="Times New Roman" w:hAnsi="Times New Roman" w:cs="Times New Roman"/>
                      <w:sz w:val="14"/>
                    </w:rPr>
                    <w:t>20/09/2024</w:t>
                  </w:r>
                </w:p>
              </w:tc>
              <w:tc>
                <w:tcPr>
                  <w:tcW w:w="1087" w:type="dxa"/>
                  <w:tcBorders>
                    <w:top w:val="single" w:sz="2" w:space="0" w:color="000000"/>
                    <w:left w:val="single" w:sz="2" w:space="0" w:color="000000"/>
                    <w:bottom w:val="single" w:sz="2" w:space="0" w:color="000000"/>
                    <w:right w:val="single" w:sz="2" w:space="0" w:color="000000"/>
                  </w:tcBorders>
                </w:tcPr>
                <w:p w14:paraId="6C304874" w14:textId="77777777" w:rsidR="00053D93" w:rsidRDefault="00260B75" w:rsidP="00E41474">
                  <w:pPr>
                    <w:framePr w:wrap="around" w:vAnchor="text" w:hAnchor="text" w:x="29" w:y="1009"/>
                    <w:ind w:right="31"/>
                    <w:suppressOverlap/>
                    <w:jc w:val="center"/>
                  </w:pPr>
                  <w:r>
                    <w:rPr>
                      <w:rFonts w:ascii="Times New Roman" w:eastAsia="Times New Roman" w:hAnsi="Times New Roman" w:cs="Times New Roman"/>
                      <w:sz w:val="14"/>
                    </w:rPr>
                    <w:t>4368</w:t>
                  </w:r>
                </w:p>
              </w:tc>
              <w:tc>
                <w:tcPr>
                  <w:tcW w:w="958" w:type="dxa"/>
                  <w:tcBorders>
                    <w:top w:val="single" w:sz="2" w:space="0" w:color="000000"/>
                    <w:left w:val="single" w:sz="2" w:space="0" w:color="000000"/>
                    <w:bottom w:val="single" w:sz="2" w:space="0" w:color="000000"/>
                    <w:right w:val="single" w:sz="2" w:space="0" w:color="000000"/>
                  </w:tcBorders>
                </w:tcPr>
                <w:p w14:paraId="1358852D" w14:textId="77777777" w:rsidR="00053D93" w:rsidRDefault="00260B75" w:rsidP="00E41474">
                  <w:pPr>
                    <w:framePr w:wrap="around" w:vAnchor="text" w:hAnchor="text" w:x="29" w:y="1009"/>
                    <w:ind w:left="211"/>
                    <w:suppressOverlap/>
                  </w:pPr>
                  <w:r>
                    <w:rPr>
                      <w:rFonts w:ascii="Times New Roman" w:eastAsia="Times New Roman" w:hAnsi="Times New Roman" w:cs="Times New Roman"/>
                      <w:sz w:val="14"/>
                    </w:rPr>
                    <w:t>587.493.00</w:t>
                  </w:r>
                </w:p>
              </w:tc>
            </w:tr>
            <w:tr w:rsidR="00053D93" w14:paraId="0D4872BE" w14:textId="77777777">
              <w:trPr>
                <w:trHeight w:val="382"/>
              </w:trPr>
              <w:tc>
                <w:tcPr>
                  <w:tcW w:w="302" w:type="dxa"/>
                  <w:tcBorders>
                    <w:top w:val="single" w:sz="2" w:space="0" w:color="000000"/>
                    <w:left w:val="single" w:sz="2" w:space="0" w:color="000000"/>
                    <w:bottom w:val="single" w:sz="2" w:space="0" w:color="000000"/>
                    <w:right w:val="single" w:sz="2" w:space="0" w:color="000000"/>
                  </w:tcBorders>
                </w:tcPr>
                <w:p w14:paraId="1B2F5941" w14:textId="77777777" w:rsidR="00053D93" w:rsidRDefault="00260B75" w:rsidP="00E41474">
                  <w:pPr>
                    <w:framePr w:wrap="around" w:vAnchor="text" w:hAnchor="text" w:x="29" w:y="1009"/>
                    <w:ind w:right="-4"/>
                    <w:suppressOverlap/>
                    <w:jc w:val="right"/>
                  </w:pPr>
                  <w:r>
                    <w:rPr>
                      <w:rFonts w:ascii="Times New Roman" w:eastAsia="Times New Roman" w:hAnsi="Times New Roman" w:cs="Times New Roman"/>
                      <w:sz w:val="14"/>
                    </w:rPr>
                    <w:t>33</w:t>
                  </w:r>
                </w:p>
              </w:tc>
              <w:tc>
                <w:tcPr>
                  <w:tcW w:w="1049" w:type="dxa"/>
                  <w:gridSpan w:val="3"/>
                  <w:tcBorders>
                    <w:top w:val="single" w:sz="2" w:space="0" w:color="000000"/>
                    <w:left w:val="single" w:sz="2" w:space="0" w:color="000000"/>
                    <w:bottom w:val="single" w:sz="2" w:space="0" w:color="000000"/>
                    <w:right w:val="single" w:sz="2" w:space="0" w:color="000000"/>
                  </w:tcBorders>
                </w:tcPr>
                <w:p w14:paraId="027FE51D" w14:textId="77777777" w:rsidR="00053D93" w:rsidRDefault="00260B75" w:rsidP="00E41474">
                  <w:pPr>
                    <w:framePr w:wrap="around" w:vAnchor="text" w:hAnchor="text" w:x="29" w:y="1009"/>
                    <w:ind w:left="104"/>
                    <w:suppressOverlap/>
                    <w:jc w:val="center"/>
                  </w:pPr>
                  <w:r>
                    <w:rPr>
                      <w:rFonts w:ascii="Times New Roman" w:eastAsia="Times New Roman" w:hAnsi="Times New Roman" w:cs="Times New Roman"/>
                      <w:sz w:val="14"/>
                    </w:rPr>
                    <w:t>232006</w:t>
                  </w:r>
                </w:p>
              </w:tc>
              <w:tc>
                <w:tcPr>
                  <w:tcW w:w="1281" w:type="dxa"/>
                  <w:tcBorders>
                    <w:top w:val="single" w:sz="2" w:space="0" w:color="000000"/>
                    <w:left w:val="single" w:sz="2" w:space="0" w:color="000000"/>
                    <w:bottom w:val="single" w:sz="2" w:space="0" w:color="000000"/>
                    <w:right w:val="single" w:sz="2" w:space="0" w:color="000000"/>
                  </w:tcBorders>
                </w:tcPr>
                <w:p w14:paraId="7F853C7C" w14:textId="77777777" w:rsidR="00053D93" w:rsidRDefault="00260B75" w:rsidP="00E41474">
                  <w:pPr>
                    <w:framePr w:wrap="around" w:vAnchor="text" w:hAnchor="text" w:x="29" w:y="1009"/>
                    <w:ind w:right="30"/>
                    <w:suppressOverlap/>
                    <w:jc w:val="center"/>
                  </w:pPr>
                  <w:r>
                    <w:rPr>
                      <w:rFonts w:ascii="Times New Roman" w:eastAsia="Times New Roman" w:hAnsi="Times New Roman" w:cs="Times New Roman"/>
                      <w:sz w:val="14"/>
                    </w:rPr>
                    <w:t>2024-8083</w:t>
                  </w:r>
                </w:p>
              </w:tc>
              <w:tc>
                <w:tcPr>
                  <w:tcW w:w="1331" w:type="dxa"/>
                  <w:tcBorders>
                    <w:top w:val="single" w:sz="2" w:space="0" w:color="000000"/>
                    <w:left w:val="single" w:sz="2" w:space="0" w:color="000000"/>
                    <w:bottom w:val="single" w:sz="2" w:space="0" w:color="000000"/>
                    <w:right w:val="single" w:sz="2" w:space="0" w:color="000000"/>
                  </w:tcBorders>
                </w:tcPr>
                <w:p w14:paraId="356E4EAC" w14:textId="77777777" w:rsidR="00053D93" w:rsidRDefault="00260B75" w:rsidP="00E41474">
                  <w:pPr>
                    <w:framePr w:wrap="around" w:vAnchor="text" w:hAnchor="text" w:x="29" w:y="1009"/>
                    <w:ind w:left="65"/>
                    <w:suppressOverlap/>
                    <w:jc w:val="both"/>
                  </w:pPr>
                  <w:r>
                    <w:rPr>
                      <w:sz w:val="16"/>
                    </w:rPr>
                    <w:t>Wpe color blanco tipo bola 1 libra</w:t>
                  </w:r>
                </w:p>
              </w:tc>
              <w:tc>
                <w:tcPr>
                  <w:tcW w:w="1398" w:type="dxa"/>
                  <w:tcBorders>
                    <w:top w:val="single" w:sz="2" w:space="0" w:color="000000"/>
                    <w:left w:val="single" w:sz="2" w:space="0" w:color="000000"/>
                    <w:bottom w:val="single" w:sz="2" w:space="0" w:color="000000"/>
                    <w:right w:val="single" w:sz="2" w:space="0" w:color="000000"/>
                  </w:tcBorders>
                </w:tcPr>
                <w:p w14:paraId="63CCDCFF" w14:textId="77777777" w:rsidR="00053D93" w:rsidRDefault="00260B75" w:rsidP="00E41474">
                  <w:pPr>
                    <w:framePr w:wrap="around" w:vAnchor="text" w:hAnchor="text" w:x="29" w:y="1009"/>
                    <w:ind w:right="35"/>
                    <w:suppressOverlap/>
                    <w:jc w:val="center"/>
                  </w:pPr>
                  <w:r>
                    <w:rPr>
                      <w:rFonts w:ascii="Times New Roman" w:eastAsia="Times New Roman" w:hAnsi="Times New Roman" w:cs="Times New Roman"/>
                      <w:sz w:val="14"/>
                    </w:rPr>
                    <w:t>232</w:t>
                  </w:r>
                </w:p>
              </w:tc>
              <w:tc>
                <w:tcPr>
                  <w:tcW w:w="1099" w:type="dxa"/>
                  <w:tcBorders>
                    <w:top w:val="single" w:sz="2" w:space="0" w:color="000000"/>
                    <w:left w:val="single" w:sz="2" w:space="0" w:color="000000"/>
                    <w:bottom w:val="single" w:sz="2" w:space="0" w:color="000000"/>
                    <w:right w:val="single" w:sz="2" w:space="0" w:color="000000"/>
                  </w:tcBorders>
                </w:tcPr>
                <w:p w14:paraId="45470B89" w14:textId="77777777" w:rsidR="00053D93" w:rsidRDefault="00260B75" w:rsidP="00E41474">
                  <w:pPr>
                    <w:framePr w:wrap="around" w:vAnchor="text" w:hAnchor="text" w:x="29" w:y="1009"/>
                    <w:ind w:right="40"/>
                    <w:suppressOverlap/>
                    <w:jc w:val="center"/>
                  </w:pPr>
                  <w:r>
                    <w:rPr>
                      <w:rFonts w:ascii="Times New Roman" w:eastAsia="Times New Roman" w:hAnsi="Times New Roman" w:cs="Times New Roman"/>
                      <w:sz w:val="14"/>
                    </w:rPr>
                    <w:t>29'1112024</w:t>
                  </w:r>
                </w:p>
              </w:tc>
              <w:tc>
                <w:tcPr>
                  <w:tcW w:w="1087" w:type="dxa"/>
                  <w:tcBorders>
                    <w:top w:val="single" w:sz="2" w:space="0" w:color="000000"/>
                    <w:left w:val="single" w:sz="2" w:space="0" w:color="000000"/>
                    <w:bottom w:val="single" w:sz="2" w:space="0" w:color="000000"/>
                    <w:right w:val="single" w:sz="2" w:space="0" w:color="000000"/>
                  </w:tcBorders>
                </w:tcPr>
                <w:p w14:paraId="51926BFF" w14:textId="77777777" w:rsidR="00053D93" w:rsidRDefault="00260B75" w:rsidP="00E41474">
                  <w:pPr>
                    <w:framePr w:wrap="around" w:vAnchor="text" w:hAnchor="text" w:x="29" w:y="1009"/>
                    <w:ind w:right="23"/>
                    <w:suppressOverlap/>
                    <w:jc w:val="center"/>
                  </w:pPr>
                  <w:r>
                    <w:rPr>
                      <w:rFonts w:ascii="Times New Roman" w:eastAsia="Times New Roman" w:hAnsi="Times New Roman" w:cs="Times New Roman"/>
                      <w:sz w:val="14"/>
                    </w:rPr>
                    <w:t>336</w:t>
                  </w:r>
                </w:p>
              </w:tc>
              <w:tc>
                <w:tcPr>
                  <w:tcW w:w="958" w:type="dxa"/>
                  <w:tcBorders>
                    <w:top w:val="single" w:sz="2" w:space="0" w:color="000000"/>
                    <w:left w:val="single" w:sz="2" w:space="0" w:color="000000"/>
                    <w:bottom w:val="single" w:sz="2" w:space="0" w:color="000000"/>
                    <w:right w:val="single" w:sz="2" w:space="0" w:color="000000"/>
                  </w:tcBorders>
                </w:tcPr>
                <w:p w14:paraId="7945FEAF" w14:textId="77777777" w:rsidR="00053D93" w:rsidRDefault="00260B75" w:rsidP="00E41474">
                  <w:pPr>
                    <w:framePr w:wrap="around" w:vAnchor="text" w:hAnchor="text" w:x="29" w:y="1009"/>
                    <w:ind w:left="355"/>
                    <w:suppressOverlap/>
                  </w:pPr>
                  <w:r>
                    <w:rPr>
                      <w:rFonts w:ascii="Times New Roman" w:eastAsia="Times New Roman" w:hAnsi="Times New Roman" w:cs="Times New Roman"/>
                      <w:sz w:val="14"/>
                    </w:rPr>
                    <w:t>3.225.30</w:t>
                  </w:r>
                </w:p>
              </w:tc>
            </w:tr>
            <w:tr w:rsidR="00053D93" w14:paraId="18B1C1E3" w14:textId="77777777">
              <w:trPr>
                <w:trHeight w:val="288"/>
              </w:trPr>
              <w:tc>
                <w:tcPr>
                  <w:tcW w:w="1350" w:type="dxa"/>
                  <w:gridSpan w:val="4"/>
                  <w:tcBorders>
                    <w:top w:val="single" w:sz="2" w:space="0" w:color="000000"/>
                    <w:left w:val="single" w:sz="2" w:space="0" w:color="000000"/>
                    <w:bottom w:val="single" w:sz="2" w:space="0" w:color="000000"/>
                    <w:right w:val="nil"/>
                  </w:tcBorders>
                </w:tcPr>
                <w:p w14:paraId="2F669D8B" w14:textId="77777777" w:rsidR="00053D93" w:rsidRDefault="00053D93" w:rsidP="00E41474">
                  <w:pPr>
                    <w:framePr w:wrap="around" w:vAnchor="text" w:hAnchor="text" w:x="29" w:y="1009"/>
                    <w:suppressOverlap/>
                  </w:pPr>
                </w:p>
              </w:tc>
              <w:tc>
                <w:tcPr>
                  <w:tcW w:w="5108" w:type="dxa"/>
                  <w:gridSpan w:val="4"/>
                  <w:tcBorders>
                    <w:top w:val="single" w:sz="2" w:space="0" w:color="000000"/>
                    <w:left w:val="nil"/>
                    <w:bottom w:val="single" w:sz="2" w:space="0" w:color="000000"/>
                    <w:right w:val="nil"/>
                  </w:tcBorders>
                </w:tcPr>
                <w:p w14:paraId="0EB6B205" w14:textId="77777777" w:rsidR="00053D93" w:rsidRDefault="00260B75" w:rsidP="00E41474">
                  <w:pPr>
                    <w:framePr w:wrap="around" w:vAnchor="text" w:hAnchor="text" w:x="29" w:y="1009"/>
                    <w:ind w:left="957"/>
                    <w:suppressOverlap/>
                  </w:pPr>
                  <w:r>
                    <w:rPr>
                      <w:sz w:val="16"/>
                    </w:rPr>
                    <w:t>Coordinación de Programas y Proyectos de educación Física.</w:t>
                  </w:r>
                </w:p>
              </w:tc>
              <w:tc>
                <w:tcPr>
                  <w:tcW w:w="1087" w:type="dxa"/>
                  <w:tcBorders>
                    <w:top w:val="single" w:sz="2" w:space="0" w:color="000000"/>
                    <w:left w:val="nil"/>
                    <w:bottom w:val="single" w:sz="2" w:space="0" w:color="000000"/>
                    <w:right w:val="nil"/>
                  </w:tcBorders>
                </w:tcPr>
                <w:p w14:paraId="11D81919" w14:textId="77777777" w:rsidR="00053D93" w:rsidRDefault="00053D93" w:rsidP="00E41474">
                  <w:pPr>
                    <w:framePr w:wrap="around" w:vAnchor="text" w:hAnchor="text" w:x="29" w:y="1009"/>
                    <w:suppressOverlap/>
                  </w:pPr>
                </w:p>
              </w:tc>
              <w:tc>
                <w:tcPr>
                  <w:tcW w:w="958" w:type="dxa"/>
                  <w:tcBorders>
                    <w:top w:val="single" w:sz="2" w:space="0" w:color="000000"/>
                    <w:left w:val="nil"/>
                    <w:bottom w:val="single" w:sz="2" w:space="0" w:color="000000"/>
                    <w:right w:val="single" w:sz="2" w:space="0" w:color="000000"/>
                  </w:tcBorders>
                </w:tcPr>
                <w:p w14:paraId="2A479F29" w14:textId="77777777" w:rsidR="00053D93" w:rsidRDefault="00053D93" w:rsidP="00E41474">
                  <w:pPr>
                    <w:framePr w:wrap="around" w:vAnchor="text" w:hAnchor="text" w:x="29" w:y="1009"/>
                    <w:suppressOverlap/>
                  </w:pPr>
                </w:p>
              </w:tc>
            </w:tr>
            <w:tr w:rsidR="00053D93" w14:paraId="06D4C674" w14:textId="77777777">
              <w:trPr>
                <w:trHeight w:val="288"/>
              </w:trPr>
              <w:tc>
                <w:tcPr>
                  <w:tcW w:w="302" w:type="dxa"/>
                  <w:tcBorders>
                    <w:top w:val="single" w:sz="2" w:space="0" w:color="000000"/>
                    <w:left w:val="single" w:sz="2" w:space="0" w:color="000000"/>
                    <w:bottom w:val="single" w:sz="2" w:space="0" w:color="000000"/>
                    <w:right w:val="single" w:sz="2" w:space="0" w:color="000000"/>
                  </w:tcBorders>
                </w:tcPr>
                <w:p w14:paraId="7667DAB5" w14:textId="77777777" w:rsidR="00053D93" w:rsidRDefault="00260B75" w:rsidP="00E41474">
                  <w:pPr>
                    <w:framePr w:wrap="around" w:vAnchor="text" w:hAnchor="text" w:x="29" w:y="1009"/>
                    <w:ind w:right="-4"/>
                    <w:suppressOverlap/>
                    <w:jc w:val="right"/>
                  </w:pPr>
                  <w:r>
                    <w:rPr>
                      <w:rFonts w:ascii="Times New Roman" w:eastAsia="Times New Roman" w:hAnsi="Times New Roman" w:cs="Times New Roman"/>
                      <w:sz w:val="14"/>
                    </w:rPr>
                    <w:t>34</w:t>
                  </w:r>
                </w:p>
              </w:tc>
              <w:tc>
                <w:tcPr>
                  <w:tcW w:w="1049" w:type="dxa"/>
                  <w:gridSpan w:val="3"/>
                  <w:tcBorders>
                    <w:top w:val="single" w:sz="2" w:space="0" w:color="000000"/>
                    <w:left w:val="single" w:sz="2" w:space="0" w:color="000000"/>
                    <w:bottom w:val="single" w:sz="2" w:space="0" w:color="000000"/>
                    <w:right w:val="single" w:sz="2" w:space="0" w:color="000000"/>
                  </w:tcBorders>
                </w:tcPr>
                <w:p w14:paraId="093E4945" w14:textId="77777777" w:rsidR="00053D93" w:rsidRDefault="00260B75" w:rsidP="00E41474">
                  <w:pPr>
                    <w:framePr w:wrap="around" w:vAnchor="text" w:hAnchor="text" w:x="29" w:y="1009"/>
                    <w:ind w:left="96"/>
                    <w:suppressOverlap/>
                    <w:jc w:val="center"/>
                  </w:pPr>
                  <w:r>
                    <w:rPr>
                      <w:rFonts w:ascii="Times New Roman" w:eastAsia="Times New Roman" w:hAnsi="Times New Roman" w:cs="Times New Roman"/>
                      <w:sz w:val="14"/>
                    </w:rPr>
                    <w:t>294040</w:t>
                  </w:r>
                </w:p>
              </w:tc>
              <w:tc>
                <w:tcPr>
                  <w:tcW w:w="1281" w:type="dxa"/>
                  <w:tcBorders>
                    <w:top w:val="single" w:sz="2" w:space="0" w:color="000000"/>
                    <w:left w:val="single" w:sz="2" w:space="0" w:color="000000"/>
                    <w:bottom w:val="single" w:sz="2" w:space="0" w:color="000000"/>
                    <w:right w:val="single" w:sz="2" w:space="0" w:color="000000"/>
                  </w:tcBorders>
                </w:tcPr>
                <w:p w14:paraId="358D84C1" w14:textId="77777777" w:rsidR="00053D93" w:rsidRDefault="00260B75" w:rsidP="00E41474">
                  <w:pPr>
                    <w:framePr w:wrap="around" w:vAnchor="text" w:hAnchor="text" w:x="29" w:y="1009"/>
                    <w:ind w:right="37"/>
                    <w:suppressOverlap/>
                    <w:jc w:val="center"/>
                  </w:pPr>
                  <w:r>
                    <w:rPr>
                      <w:rFonts w:ascii="Times New Roman" w:eastAsia="Times New Roman" w:hAnsi="Times New Roman" w:cs="Times New Roman"/>
                      <w:sz w:val="14"/>
                    </w:rPr>
                    <w:t>2424-5679</w:t>
                  </w:r>
                </w:p>
              </w:tc>
              <w:tc>
                <w:tcPr>
                  <w:tcW w:w="1331" w:type="dxa"/>
                  <w:tcBorders>
                    <w:top w:val="single" w:sz="2" w:space="0" w:color="000000"/>
                    <w:left w:val="single" w:sz="2" w:space="0" w:color="000000"/>
                    <w:bottom w:val="single" w:sz="2" w:space="0" w:color="000000"/>
                    <w:right w:val="single" w:sz="2" w:space="0" w:color="000000"/>
                  </w:tcBorders>
                </w:tcPr>
                <w:p w14:paraId="112AABCB" w14:textId="77777777" w:rsidR="00053D93" w:rsidRDefault="00260B75" w:rsidP="00E41474">
                  <w:pPr>
                    <w:framePr w:wrap="around" w:vAnchor="text" w:hAnchor="text" w:x="29" w:y="1009"/>
                    <w:ind w:left="65"/>
                    <w:suppressOverlap/>
                  </w:pPr>
                  <w:r>
                    <w:rPr>
                      <w:sz w:val="16"/>
                    </w:rPr>
                    <w:t>Pelota de Voleibol</w:t>
                  </w:r>
                </w:p>
              </w:tc>
              <w:tc>
                <w:tcPr>
                  <w:tcW w:w="1398" w:type="dxa"/>
                  <w:tcBorders>
                    <w:top w:val="single" w:sz="2" w:space="0" w:color="000000"/>
                    <w:left w:val="single" w:sz="2" w:space="0" w:color="000000"/>
                    <w:bottom w:val="single" w:sz="2" w:space="0" w:color="000000"/>
                    <w:right w:val="single" w:sz="2" w:space="0" w:color="000000"/>
                  </w:tcBorders>
                </w:tcPr>
                <w:p w14:paraId="2D0D4FC2" w14:textId="77777777" w:rsidR="00053D93" w:rsidRDefault="00053D93" w:rsidP="00E41474">
                  <w:pPr>
                    <w:framePr w:wrap="around" w:vAnchor="text" w:hAnchor="text" w:x="29" w:y="1009"/>
                    <w:suppressOverlap/>
                  </w:pPr>
                </w:p>
              </w:tc>
              <w:tc>
                <w:tcPr>
                  <w:tcW w:w="1099" w:type="dxa"/>
                  <w:tcBorders>
                    <w:top w:val="single" w:sz="2" w:space="0" w:color="000000"/>
                    <w:left w:val="single" w:sz="2" w:space="0" w:color="000000"/>
                    <w:bottom w:val="single" w:sz="2" w:space="0" w:color="000000"/>
                    <w:right w:val="single" w:sz="2" w:space="0" w:color="000000"/>
                  </w:tcBorders>
                </w:tcPr>
                <w:p w14:paraId="72B9841D" w14:textId="77777777" w:rsidR="00053D93" w:rsidRDefault="00260B75" w:rsidP="00E41474">
                  <w:pPr>
                    <w:framePr w:wrap="around" w:vAnchor="text" w:hAnchor="text" w:x="29" w:y="1009"/>
                    <w:ind w:right="40"/>
                    <w:suppressOverlap/>
                    <w:jc w:val="center"/>
                  </w:pPr>
                  <w:r>
                    <w:rPr>
                      <w:rFonts w:ascii="Times New Roman" w:eastAsia="Times New Roman" w:hAnsi="Times New Roman" w:cs="Times New Roman"/>
                      <w:sz w:val="14"/>
                    </w:rPr>
                    <w:t>14/08/2024</w:t>
                  </w:r>
                </w:p>
              </w:tc>
              <w:tc>
                <w:tcPr>
                  <w:tcW w:w="1087" w:type="dxa"/>
                  <w:tcBorders>
                    <w:top w:val="single" w:sz="2" w:space="0" w:color="000000"/>
                    <w:left w:val="single" w:sz="2" w:space="0" w:color="000000"/>
                    <w:bottom w:val="single" w:sz="2" w:space="0" w:color="000000"/>
                    <w:right w:val="single" w:sz="2" w:space="0" w:color="000000"/>
                  </w:tcBorders>
                </w:tcPr>
                <w:p w14:paraId="520E470B" w14:textId="77777777" w:rsidR="00053D93" w:rsidRDefault="00260B75" w:rsidP="00E41474">
                  <w:pPr>
                    <w:framePr w:wrap="around" w:vAnchor="text" w:hAnchor="text" w:x="29" w:y="1009"/>
                    <w:ind w:right="31"/>
                    <w:suppressOverlap/>
                    <w:jc w:val="center"/>
                  </w:pPr>
                  <w:r>
                    <w:rPr>
                      <w:rFonts w:ascii="Times New Roman" w:eastAsia="Times New Roman" w:hAnsi="Times New Roman" w:cs="Times New Roman"/>
                      <w:sz w:val="14"/>
                    </w:rPr>
                    <w:t>50</w:t>
                  </w:r>
                </w:p>
              </w:tc>
              <w:tc>
                <w:tcPr>
                  <w:tcW w:w="958" w:type="dxa"/>
                  <w:tcBorders>
                    <w:top w:val="single" w:sz="2" w:space="0" w:color="000000"/>
                    <w:left w:val="single" w:sz="2" w:space="0" w:color="000000"/>
                    <w:bottom w:val="single" w:sz="2" w:space="0" w:color="000000"/>
                    <w:right w:val="single" w:sz="2" w:space="0" w:color="000000"/>
                  </w:tcBorders>
                </w:tcPr>
                <w:p w14:paraId="08C84A3D" w14:textId="77777777" w:rsidR="00053D93" w:rsidRDefault="00260B75" w:rsidP="00E41474">
                  <w:pPr>
                    <w:framePr w:wrap="around" w:vAnchor="text" w:hAnchor="text" w:x="29" w:y="1009"/>
                    <w:ind w:left="355"/>
                    <w:suppressOverlap/>
                  </w:pPr>
                  <w:r>
                    <w:rPr>
                      <w:sz w:val="14"/>
                    </w:rPr>
                    <w:t>8.93e.75</w:t>
                  </w:r>
                </w:p>
              </w:tc>
            </w:tr>
            <w:tr w:rsidR="00053D93" w14:paraId="40089313" w14:textId="77777777">
              <w:trPr>
                <w:trHeight w:val="727"/>
              </w:trPr>
              <w:tc>
                <w:tcPr>
                  <w:tcW w:w="302" w:type="dxa"/>
                  <w:tcBorders>
                    <w:top w:val="single" w:sz="2" w:space="0" w:color="000000"/>
                    <w:left w:val="single" w:sz="2" w:space="0" w:color="000000"/>
                    <w:bottom w:val="single" w:sz="2" w:space="0" w:color="000000"/>
                    <w:right w:val="single" w:sz="2" w:space="0" w:color="000000"/>
                  </w:tcBorders>
                </w:tcPr>
                <w:p w14:paraId="2BCDFDC6" w14:textId="77777777" w:rsidR="00053D93" w:rsidRDefault="00260B75" w:rsidP="00E41474">
                  <w:pPr>
                    <w:framePr w:wrap="around" w:vAnchor="text" w:hAnchor="text" w:x="29" w:y="1009"/>
                    <w:ind w:right="-4"/>
                    <w:suppressOverlap/>
                    <w:jc w:val="right"/>
                  </w:pPr>
                  <w:r>
                    <w:rPr>
                      <w:rFonts w:ascii="Times New Roman" w:eastAsia="Times New Roman" w:hAnsi="Times New Roman" w:cs="Times New Roman"/>
                      <w:sz w:val="16"/>
                    </w:rPr>
                    <w:t>35</w:t>
                  </w:r>
                </w:p>
              </w:tc>
              <w:tc>
                <w:tcPr>
                  <w:tcW w:w="1049" w:type="dxa"/>
                  <w:gridSpan w:val="3"/>
                  <w:tcBorders>
                    <w:top w:val="single" w:sz="2" w:space="0" w:color="000000"/>
                    <w:left w:val="single" w:sz="2" w:space="0" w:color="000000"/>
                    <w:bottom w:val="single" w:sz="2" w:space="0" w:color="000000"/>
                    <w:right w:val="single" w:sz="2" w:space="0" w:color="000000"/>
                  </w:tcBorders>
                </w:tcPr>
                <w:p w14:paraId="188D6029" w14:textId="77777777" w:rsidR="00053D93" w:rsidRDefault="00260B75" w:rsidP="00E41474">
                  <w:pPr>
                    <w:framePr w:wrap="around" w:vAnchor="text" w:hAnchor="text" w:x="29" w:y="1009"/>
                    <w:ind w:left="82"/>
                    <w:suppressOverlap/>
                    <w:jc w:val="center"/>
                  </w:pPr>
                  <w:r>
                    <w:rPr>
                      <w:rFonts w:ascii="Times New Roman" w:eastAsia="Times New Roman" w:hAnsi="Times New Roman" w:cs="Times New Roman"/>
                      <w:sz w:val="14"/>
                    </w:rPr>
                    <w:t>294033</w:t>
                  </w:r>
                </w:p>
              </w:tc>
              <w:tc>
                <w:tcPr>
                  <w:tcW w:w="1281" w:type="dxa"/>
                  <w:tcBorders>
                    <w:top w:val="single" w:sz="2" w:space="0" w:color="000000"/>
                    <w:left w:val="single" w:sz="2" w:space="0" w:color="000000"/>
                    <w:bottom w:val="single" w:sz="2" w:space="0" w:color="000000"/>
                    <w:right w:val="single" w:sz="2" w:space="0" w:color="000000"/>
                  </w:tcBorders>
                </w:tcPr>
                <w:p w14:paraId="02AEC676" w14:textId="77777777" w:rsidR="00053D93" w:rsidRDefault="00260B75" w:rsidP="00E41474">
                  <w:pPr>
                    <w:framePr w:wrap="around" w:vAnchor="text" w:hAnchor="text" w:x="29" w:y="1009"/>
                    <w:ind w:right="37"/>
                    <w:suppressOverlap/>
                    <w:jc w:val="center"/>
                  </w:pPr>
                  <w:r>
                    <w:rPr>
                      <w:rFonts w:ascii="Times New Roman" w:eastAsia="Times New Roman" w:hAnsi="Times New Roman" w:cs="Times New Roman"/>
                      <w:sz w:val="14"/>
                    </w:rPr>
                    <w:t>2024-5379</w:t>
                  </w:r>
                </w:p>
              </w:tc>
              <w:tc>
                <w:tcPr>
                  <w:tcW w:w="1331" w:type="dxa"/>
                  <w:tcBorders>
                    <w:top w:val="single" w:sz="2" w:space="0" w:color="000000"/>
                    <w:left w:val="single" w:sz="2" w:space="0" w:color="000000"/>
                    <w:bottom w:val="single" w:sz="2" w:space="0" w:color="000000"/>
                    <w:right w:val="single" w:sz="2" w:space="0" w:color="000000"/>
                  </w:tcBorders>
                </w:tcPr>
                <w:p w14:paraId="06004DE0" w14:textId="77777777" w:rsidR="00053D93" w:rsidRDefault="00260B75" w:rsidP="00E41474">
                  <w:pPr>
                    <w:framePr w:wrap="around" w:vAnchor="text" w:hAnchor="text" w:x="29" w:y="1009"/>
                    <w:ind w:left="50" w:firstLine="14"/>
                    <w:suppressOverlap/>
                  </w:pPr>
                  <w:r>
                    <w:rPr>
                      <w:sz w:val="14"/>
                    </w:rPr>
                    <w:t>Pelota</w:t>
                  </w:r>
                  <w:r>
                    <w:rPr>
                      <w:sz w:val="14"/>
                    </w:rPr>
                    <w:tab/>
                    <w:t>de baloncesto circunferencia 75 a 78 número 7</w:t>
                  </w:r>
                </w:p>
              </w:tc>
              <w:tc>
                <w:tcPr>
                  <w:tcW w:w="1398" w:type="dxa"/>
                  <w:tcBorders>
                    <w:top w:val="single" w:sz="2" w:space="0" w:color="000000"/>
                    <w:left w:val="single" w:sz="2" w:space="0" w:color="000000"/>
                    <w:bottom w:val="single" w:sz="2" w:space="0" w:color="000000"/>
                    <w:right w:val="single" w:sz="2" w:space="0" w:color="000000"/>
                  </w:tcBorders>
                </w:tcPr>
                <w:p w14:paraId="54B835E9" w14:textId="77777777" w:rsidR="00053D93" w:rsidRDefault="00260B75" w:rsidP="00E41474">
                  <w:pPr>
                    <w:framePr w:wrap="around" w:vAnchor="text" w:hAnchor="text" w:x="29" w:y="1009"/>
                    <w:ind w:right="50"/>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39F90A92" w14:textId="77777777" w:rsidR="00053D93" w:rsidRDefault="00260B75" w:rsidP="00E41474">
                  <w:pPr>
                    <w:framePr w:wrap="around" w:vAnchor="text" w:hAnchor="text" w:x="29" w:y="1009"/>
                    <w:ind w:right="40"/>
                    <w:suppressOverlap/>
                    <w:jc w:val="center"/>
                  </w:pPr>
                  <w:r>
                    <w:rPr>
                      <w:rFonts w:ascii="Times New Roman" w:eastAsia="Times New Roman" w:hAnsi="Times New Roman" w:cs="Times New Roman"/>
                      <w:sz w:val="14"/>
                    </w:rPr>
                    <w:t>14108/2024</w:t>
                  </w:r>
                </w:p>
              </w:tc>
              <w:tc>
                <w:tcPr>
                  <w:tcW w:w="1087" w:type="dxa"/>
                  <w:tcBorders>
                    <w:top w:val="single" w:sz="2" w:space="0" w:color="000000"/>
                    <w:left w:val="single" w:sz="2" w:space="0" w:color="000000"/>
                    <w:bottom w:val="single" w:sz="2" w:space="0" w:color="000000"/>
                    <w:right w:val="single" w:sz="2" w:space="0" w:color="000000"/>
                  </w:tcBorders>
                </w:tcPr>
                <w:p w14:paraId="221752EA" w14:textId="77777777" w:rsidR="00053D93" w:rsidRDefault="00260B75" w:rsidP="00E41474">
                  <w:pPr>
                    <w:framePr w:wrap="around" w:vAnchor="text" w:hAnchor="text" w:x="29" w:y="1009"/>
                    <w:ind w:right="31"/>
                    <w:suppressOverlap/>
                    <w:jc w:val="center"/>
                  </w:pPr>
                  <w:r>
                    <w:rPr>
                      <w:rFonts w:ascii="Times New Roman" w:eastAsia="Times New Roman" w:hAnsi="Times New Roman" w:cs="Times New Roman"/>
                      <w:sz w:val="14"/>
                    </w:rPr>
                    <w:t>50</w:t>
                  </w:r>
                </w:p>
              </w:tc>
              <w:tc>
                <w:tcPr>
                  <w:tcW w:w="958" w:type="dxa"/>
                  <w:tcBorders>
                    <w:top w:val="single" w:sz="2" w:space="0" w:color="000000"/>
                    <w:left w:val="single" w:sz="2" w:space="0" w:color="000000"/>
                    <w:bottom w:val="single" w:sz="2" w:space="0" w:color="000000"/>
                    <w:right w:val="single" w:sz="2" w:space="0" w:color="000000"/>
                  </w:tcBorders>
                </w:tcPr>
                <w:p w14:paraId="73D4A69C" w14:textId="77777777" w:rsidR="00053D93" w:rsidRDefault="00260B75" w:rsidP="00E41474">
                  <w:pPr>
                    <w:framePr w:wrap="around" w:vAnchor="text" w:hAnchor="text" w:x="29" w:y="1009"/>
                    <w:ind w:left="348"/>
                    <w:suppressOverlap/>
                  </w:pPr>
                  <w:r>
                    <w:rPr>
                      <w:rFonts w:ascii="Times New Roman" w:eastAsia="Times New Roman" w:hAnsi="Times New Roman" w:cs="Times New Roman"/>
                      <w:sz w:val="14"/>
                    </w:rPr>
                    <w:t>7.812.50</w:t>
                  </w:r>
                </w:p>
              </w:tc>
            </w:tr>
            <w:tr w:rsidR="00053D93" w14:paraId="2E4A438C" w14:textId="77777777">
              <w:trPr>
                <w:trHeight w:val="379"/>
              </w:trPr>
              <w:tc>
                <w:tcPr>
                  <w:tcW w:w="302" w:type="dxa"/>
                  <w:tcBorders>
                    <w:top w:val="single" w:sz="2" w:space="0" w:color="000000"/>
                    <w:left w:val="single" w:sz="2" w:space="0" w:color="000000"/>
                    <w:bottom w:val="single" w:sz="2" w:space="0" w:color="000000"/>
                    <w:right w:val="single" w:sz="2" w:space="0" w:color="000000"/>
                  </w:tcBorders>
                </w:tcPr>
                <w:p w14:paraId="23FF2907" w14:textId="77777777" w:rsidR="00053D93" w:rsidRDefault="00260B75" w:rsidP="00E41474">
                  <w:pPr>
                    <w:framePr w:wrap="around" w:vAnchor="text" w:hAnchor="text" w:x="29" w:y="1009"/>
                    <w:ind w:right="4"/>
                    <w:suppressOverlap/>
                    <w:jc w:val="right"/>
                  </w:pPr>
                  <w:r>
                    <w:rPr>
                      <w:rFonts w:ascii="Times New Roman" w:eastAsia="Times New Roman" w:hAnsi="Times New Roman" w:cs="Times New Roman"/>
                      <w:sz w:val="14"/>
                    </w:rPr>
                    <w:t>36</w:t>
                  </w:r>
                </w:p>
              </w:tc>
              <w:tc>
                <w:tcPr>
                  <w:tcW w:w="1049" w:type="dxa"/>
                  <w:gridSpan w:val="3"/>
                  <w:tcBorders>
                    <w:top w:val="single" w:sz="2" w:space="0" w:color="000000"/>
                    <w:left w:val="single" w:sz="2" w:space="0" w:color="000000"/>
                    <w:bottom w:val="single" w:sz="2" w:space="0" w:color="000000"/>
                    <w:right w:val="single" w:sz="2" w:space="0" w:color="000000"/>
                  </w:tcBorders>
                </w:tcPr>
                <w:p w14:paraId="0ED5C551" w14:textId="77777777" w:rsidR="00053D93" w:rsidRDefault="00260B75" w:rsidP="00E41474">
                  <w:pPr>
                    <w:framePr w:wrap="around" w:vAnchor="text" w:hAnchor="text" w:x="29" w:y="1009"/>
                    <w:ind w:left="68"/>
                    <w:suppressOverlap/>
                    <w:jc w:val="center"/>
                  </w:pPr>
                  <w:r>
                    <w:rPr>
                      <w:rFonts w:ascii="Times New Roman" w:eastAsia="Times New Roman" w:hAnsi="Times New Roman" w:cs="Times New Roman"/>
                      <w:sz w:val="14"/>
                    </w:rPr>
                    <w:t>268011</w:t>
                  </w:r>
                </w:p>
              </w:tc>
              <w:tc>
                <w:tcPr>
                  <w:tcW w:w="1281" w:type="dxa"/>
                  <w:tcBorders>
                    <w:top w:val="single" w:sz="2" w:space="0" w:color="000000"/>
                    <w:left w:val="single" w:sz="2" w:space="0" w:color="000000"/>
                    <w:bottom w:val="single" w:sz="2" w:space="0" w:color="000000"/>
                    <w:right w:val="single" w:sz="2" w:space="0" w:color="000000"/>
                  </w:tcBorders>
                </w:tcPr>
                <w:p w14:paraId="39FF6AC0" w14:textId="77777777" w:rsidR="00053D93" w:rsidRDefault="00260B75" w:rsidP="00E41474">
                  <w:pPr>
                    <w:framePr w:wrap="around" w:vAnchor="text" w:hAnchor="text" w:x="29" w:y="1009"/>
                    <w:ind w:right="51"/>
                    <w:suppressOverlap/>
                    <w:jc w:val="center"/>
                  </w:pPr>
                  <w:r>
                    <w:rPr>
                      <w:rFonts w:ascii="Times New Roman" w:eastAsia="Times New Roman" w:hAnsi="Times New Roman" w:cs="Times New Roman"/>
                      <w:sz w:val="14"/>
                    </w:rPr>
                    <w:t>2024-5645</w:t>
                  </w:r>
                </w:p>
              </w:tc>
              <w:tc>
                <w:tcPr>
                  <w:tcW w:w="1331" w:type="dxa"/>
                  <w:tcBorders>
                    <w:top w:val="single" w:sz="2" w:space="0" w:color="000000"/>
                    <w:left w:val="single" w:sz="2" w:space="0" w:color="000000"/>
                    <w:bottom w:val="single" w:sz="2" w:space="0" w:color="000000"/>
                    <w:right w:val="single" w:sz="2" w:space="0" w:color="000000"/>
                  </w:tcBorders>
                </w:tcPr>
                <w:p w14:paraId="16AF15AE" w14:textId="77777777" w:rsidR="00053D93" w:rsidRDefault="00260B75" w:rsidP="00E41474">
                  <w:pPr>
                    <w:framePr w:wrap="around" w:vAnchor="text" w:hAnchor="text" w:x="29" w:y="1009"/>
                    <w:ind w:left="58"/>
                    <w:suppressOverlap/>
                  </w:pPr>
                  <w:r>
                    <w:rPr>
                      <w:sz w:val="16"/>
                    </w:rPr>
                    <w:t>Pachón material plástico</w:t>
                  </w:r>
                </w:p>
              </w:tc>
              <w:tc>
                <w:tcPr>
                  <w:tcW w:w="1398" w:type="dxa"/>
                  <w:tcBorders>
                    <w:top w:val="single" w:sz="2" w:space="0" w:color="000000"/>
                    <w:left w:val="single" w:sz="2" w:space="0" w:color="000000"/>
                    <w:bottom w:val="single" w:sz="2" w:space="0" w:color="000000"/>
                    <w:right w:val="single" w:sz="2" w:space="0" w:color="000000"/>
                  </w:tcBorders>
                </w:tcPr>
                <w:p w14:paraId="55DF6417" w14:textId="77777777" w:rsidR="00053D93" w:rsidRDefault="00260B75" w:rsidP="00E41474">
                  <w:pPr>
                    <w:framePr w:wrap="around" w:vAnchor="text" w:hAnchor="text" w:x="29" w:y="1009"/>
                    <w:ind w:right="50"/>
                    <w:suppressOverlap/>
                    <w:jc w:val="center"/>
                  </w:pPr>
                  <w:r>
                    <w:rPr>
                      <w:rFonts w:ascii="Times New Roman" w:eastAsia="Times New Roman" w:hAnsi="Times New Roman" w:cs="Times New Roman"/>
                      <w:sz w:val="14"/>
                    </w:rPr>
                    <w:t>268</w:t>
                  </w:r>
                </w:p>
              </w:tc>
              <w:tc>
                <w:tcPr>
                  <w:tcW w:w="1099" w:type="dxa"/>
                  <w:tcBorders>
                    <w:top w:val="single" w:sz="2" w:space="0" w:color="000000"/>
                    <w:left w:val="single" w:sz="2" w:space="0" w:color="000000"/>
                    <w:bottom w:val="single" w:sz="2" w:space="0" w:color="000000"/>
                    <w:right w:val="single" w:sz="2" w:space="0" w:color="000000"/>
                  </w:tcBorders>
                </w:tcPr>
                <w:p w14:paraId="760FA2D0" w14:textId="77777777" w:rsidR="00053D93" w:rsidRDefault="00260B75" w:rsidP="00E41474">
                  <w:pPr>
                    <w:framePr w:wrap="around" w:vAnchor="text" w:hAnchor="text" w:x="29" w:y="1009"/>
                    <w:ind w:right="55"/>
                    <w:suppressOverlap/>
                    <w:jc w:val="center"/>
                  </w:pPr>
                  <w:r>
                    <w:rPr>
                      <w:rFonts w:ascii="Times New Roman" w:eastAsia="Times New Roman" w:hAnsi="Times New Roman" w:cs="Times New Roman"/>
                      <w:sz w:val="14"/>
                    </w:rPr>
                    <w:t>15107/2024</w:t>
                  </w:r>
                </w:p>
              </w:tc>
              <w:tc>
                <w:tcPr>
                  <w:tcW w:w="1087" w:type="dxa"/>
                  <w:tcBorders>
                    <w:top w:val="single" w:sz="2" w:space="0" w:color="000000"/>
                    <w:left w:val="single" w:sz="2" w:space="0" w:color="000000"/>
                    <w:bottom w:val="single" w:sz="2" w:space="0" w:color="000000"/>
                    <w:right w:val="single" w:sz="2" w:space="0" w:color="000000"/>
                  </w:tcBorders>
                </w:tcPr>
                <w:p w14:paraId="50E60B4F" w14:textId="77777777" w:rsidR="00053D93" w:rsidRDefault="00260B75" w:rsidP="00E41474">
                  <w:pPr>
                    <w:framePr w:wrap="around" w:vAnchor="text" w:hAnchor="text" w:x="29" w:y="1009"/>
                    <w:ind w:right="38"/>
                    <w:suppressOverlap/>
                    <w:jc w:val="center"/>
                  </w:pPr>
                  <w:r>
                    <w:rPr>
                      <w:rFonts w:ascii="Times New Roman" w:eastAsia="Times New Roman" w:hAnsi="Times New Roman" w:cs="Times New Roman"/>
                      <w:sz w:val="14"/>
                    </w:rPr>
                    <w:t>650</w:t>
                  </w:r>
                </w:p>
              </w:tc>
              <w:tc>
                <w:tcPr>
                  <w:tcW w:w="958" w:type="dxa"/>
                  <w:tcBorders>
                    <w:top w:val="single" w:sz="2" w:space="0" w:color="000000"/>
                    <w:left w:val="single" w:sz="2" w:space="0" w:color="000000"/>
                    <w:bottom w:val="single" w:sz="2" w:space="0" w:color="000000"/>
                    <w:right w:val="single" w:sz="2" w:space="0" w:color="000000"/>
                  </w:tcBorders>
                </w:tcPr>
                <w:p w14:paraId="244CB862" w14:textId="77777777" w:rsidR="00053D93" w:rsidRDefault="00260B75" w:rsidP="00E41474">
                  <w:pPr>
                    <w:framePr w:wrap="around" w:vAnchor="text" w:hAnchor="text" w:x="29" w:y="1009"/>
                    <w:ind w:left="276"/>
                    <w:suppressOverlap/>
                  </w:pPr>
                  <w:r>
                    <w:rPr>
                      <w:rFonts w:ascii="Times New Roman" w:eastAsia="Times New Roman" w:hAnsi="Times New Roman" w:cs="Times New Roman"/>
                      <w:sz w:val="14"/>
                    </w:rPr>
                    <w:t>31.265.00</w:t>
                  </w:r>
                </w:p>
              </w:tc>
            </w:tr>
            <w:tr w:rsidR="00053D93" w14:paraId="48BFB2BB" w14:textId="77777777">
              <w:trPr>
                <w:trHeight w:val="288"/>
              </w:trPr>
              <w:tc>
                <w:tcPr>
                  <w:tcW w:w="1350" w:type="dxa"/>
                  <w:gridSpan w:val="4"/>
                  <w:tcBorders>
                    <w:top w:val="single" w:sz="2" w:space="0" w:color="000000"/>
                    <w:left w:val="single" w:sz="2" w:space="0" w:color="000000"/>
                    <w:bottom w:val="single" w:sz="2" w:space="0" w:color="000000"/>
                    <w:right w:val="nil"/>
                  </w:tcBorders>
                </w:tcPr>
                <w:p w14:paraId="720E1152" w14:textId="77777777" w:rsidR="00053D93" w:rsidRDefault="00053D93" w:rsidP="00E41474">
                  <w:pPr>
                    <w:framePr w:wrap="around" w:vAnchor="text" w:hAnchor="text" w:x="29" w:y="1009"/>
                    <w:suppressOverlap/>
                  </w:pPr>
                </w:p>
              </w:tc>
              <w:tc>
                <w:tcPr>
                  <w:tcW w:w="5108" w:type="dxa"/>
                  <w:gridSpan w:val="4"/>
                  <w:tcBorders>
                    <w:top w:val="single" w:sz="2" w:space="0" w:color="000000"/>
                    <w:left w:val="nil"/>
                    <w:bottom w:val="single" w:sz="2" w:space="0" w:color="000000"/>
                    <w:right w:val="nil"/>
                  </w:tcBorders>
                </w:tcPr>
                <w:p w14:paraId="20BB7139" w14:textId="77777777" w:rsidR="00053D93" w:rsidRDefault="00260B75" w:rsidP="00E41474">
                  <w:pPr>
                    <w:framePr w:wrap="around" w:vAnchor="text" w:hAnchor="text" w:x="29" w:y="1009"/>
                    <w:ind w:left="1382"/>
                    <w:suppressOverlap/>
                  </w:pPr>
                  <w:r>
                    <w:rPr>
                      <w:sz w:val="16"/>
                    </w:rPr>
                    <w:t>Departamento de Tomeos Deportivos Escolares</w:t>
                  </w:r>
                </w:p>
              </w:tc>
              <w:tc>
                <w:tcPr>
                  <w:tcW w:w="1087" w:type="dxa"/>
                  <w:tcBorders>
                    <w:top w:val="single" w:sz="2" w:space="0" w:color="000000"/>
                    <w:left w:val="nil"/>
                    <w:bottom w:val="single" w:sz="2" w:space="0" w:color="000000"/>
                    <w:right w:val="nil"/>
                  </w:tcBorders>
                </w:tcPr>
                <w:p w14:paraId="51F36A0D" w14:textId="77777777" w:rsidR="00053D93" w:rsidRDefault="00053D93" w:rsidP="00E41474">
                  <w:pPr>
                    <w:framePr w:wrap="around" w:vAnchor="text" w:hAnchor="text" w:x="29" w:y="1009"/>
                    <w:suppressOverlap/>
                  </w:pPr>
                </w:p>
              </w:tc>
              <w:tc>
                <w:tcPr>
                  <w:tcW w:w="958" w:type="dxa"/>
                  <w:tcBorders>
                    <w:top w:val="single" w:sz="2" w:space="0" w:color="000000"/>
                    <w:left w:val="nil"/>
                    <w:bottom w:val="single" w:sz="2" w:space="0" w:color="000000"/>
                    <w:right w:val="single" w:sz="2" w:space="0" w:color="000000"/>
                  </w:tcBorders>
                </w:tcPr>
                <w:p w14:paraId="02386678" w14:textId="77777777" w:rsidR="00053D93" w:rsidRDefault="00053D93" w:rsidP="00E41474">
                  <w:pPr>
                    <w:framePr w:wrap="around" w:vAnchor="text" w:hAnchor="text" w:x="29" w:y="1009"/>
                    <w:suppressOverlap/>
                  </w:pPr>
                </w:p>
              </w:tc>
            </w:tr>
            <w:tr w:rsidR="00053D93" w14:paraId="6FC716D5" w14:textId="77777777">
              <w:trPr>
                <w:trHeight w:val="562"/>
              </w:trPr>
              <w:tc>
                <w:tcPr>
                  <w:tcW w:w="302" w:type="dxa"/>
                  <w:tcBorders>
                    <w:top w:val="single" w:sz="2" w:space="0" w:color="000000"/>
                    <w:left w:val="single" w:sz="2" w:space="0" w:color="000000"/>
                    <w:bottom w:val="single" w:sz="2" w:space="0" w:color="000000"/>
                    <w:right w:val="single" w:sz="2" w:space="0" w:color="000000"/>
                  </w:tcBorders>
                </w:tcPr>
                <w:p w14:paraId="7D387F0F" w14:textId="77777777" w:rsidR="00053D93" w:rsidRDefault="00260B75" w:rsidP="00E41474">
                  <w:pPr>
                    <w:framePr w:wrap="around" w:vAnchor="text" w:hAnchor="text" w:x="29" w:y="1009"/>
                    <w:ind w:right="11"/>
                    <w:suppressOverlap/>
                    <w:jc w:val="right"/>
                  </w:pPr>
                  <w:r>
                    <w:rPr>
                      <w:rFonts w:ascii="Times New Roman" w:eastAsia="Times New Roman" w:hAnsi="Times New Roman" w:cs="Times New Roman"/>
                      <w:sz w:val="14"/>
                    </w:rPr>
                    <w:t>37</w:t>
                  </w:r>
                </w:p>
              </w:tc>
              <w:tc>
                <w:tcPr>
                  <w:tcW w:w="1049" w:type="dxa"/>
                  <w:gridSpan w:val="3"/>
                  <w:tcBorders>
                    <w:top w:val="single" w:sz="2" w:space="0" w:color="000000"/>
                    <w:left w:val="single" w:sz="2" w:space="0" w:color="000000"/>
                    <w:bottom w:val="single" w:sz="2" w:space="0" w:color="000000"/>
                    <w:right w:val="single" w:sz="2" w:space="0" w:color="000000"/>
                  </w:tcBorders>
                </w:tcPr>
                <w:p w14:paraId="7B6F4C18" w14:textId="77777777" w:rsidR="00053D93" w:rsidRDefault="00260B75" w:rsidP="00E41474">
                  <w:pPr>
                    <w:framePr w:wrap="around" w:vAnchor="text" w:hAnchor="text" w:x="29" w:y="1009"/>
                    <w:ind w:left="68"/>
                    <w:suppressOverlap/>
                    <w:jc w:val="center"/>
                  </w:pPr>
                  <w:r>
                    <w:rPr>
                      <w:rFonts w:ascii="Times New Roman" w:eastAsia="Times New Roman" w:hAnsi="Times New Roman" w:cs="Times New Roman"/>
                      <w:sz w:val="14"/>
                    </w:rPr>
                    <w:t>294045</w:t>
                  </w:r>
                </w:p>
              </w:tc>
              <w:tc>
                <w:tcPr>
                  <w:tcW w:w="1281" w:type="dxa"/>
                  <w:tcBorders>
                    <w:top w:val="single" w:sz="2" w:space="0" w:color="000000"/>
                    <w:left w:val="single" w:sz="2" w:space="0" w:color="000000"/>
                    <w:bottom w:val="single" w:sz="2" w:space="0" w:color="000000"/>
                    <w:right w:val="single" w:sz="2" w:space="0" w:color="000000"/>
                  </w:tcBorders>
                </w:tcPr>
                <w:p w14:paraId="77C7396A" w14:textId="77777777" w:rsidR="00053D93" w:rsidRDefault="00260B75" w:rsidP="00E41474">
                  <w:pPr>
                    <w:framePr w:wrap="around" w:vAnchor="text" w:hAnchor="text" w:x="29" w:y="1009"/>
                    <w:ind w:right="66"/>
                    <w:suppressOverlap/>
                    <w:jc w:val="center"/>
                  </w:pPr>
                  <w:r>
                    <w:rPr>
                      <w:rFonts w:ascii="Times New Roman" w:eastAsia="Times New Roman" w:hAnsi="Times New Roman" w:cs="Times New Roman"/>
                      <w:sz w:val="14"/>
                    </w:rPr>
                    <w:t>2024-11583</w:t>
                  </w:r>
                </w:p>
              </w:tc>
              <w:tc>
                <w:tcPr>
                  <w:tcW w:w="1331" w:type="dxa"/>
                  <w:tcBorders>
                    <w:top w:val="single" w:sz="2" w:space="0" w:color="000000"/>
                    <w:left w:val="single" w:sz="2" w:space="0" w:color="000000"/>
                    <w:bottom w:val="single" w:sz="2" w:space="0" w:color="000000"/>
                    <w:right w:val="single" w:sz="2" w:space="0" w:color="000000"/>
                  </w:tcBorders>
                </w:tcPr>
                <w:p w14:paraId="30F28BB9" w14:textId="77777777" w:rsidR="00053D93" w:rsidRDefault="00260B75" w:rsidP="00E41474">
                  <w:pPr>
                    <w:framePr w:wrap="around" w:vAnchor="text" w:hAnchor="text" w:x="29" w:y="1009"/>
                    <w:ind w:left="50" w:right="107" w:hanging="7"/>
                    <w:suppressOverlap/>
                    <w:jc w:val="both"/>
                  </w:pPr>
                  <w:r>
                    <w:rPr>
                      <w:sz w:val="16"/>
                    </w:rPr>
                    <w:t>Antena de voleibol material fibra de vidrio flexible</w:t>
                  </w:r>
                </w:p>
              </w:tc>
              <w:tc>
                <w:tcPr>
                  <w:tcW w:w="1398" w:type="dxa"/>
                  <w:tcBorders>
                    <w:top w:val="single" w:sz="2" w:space="0" w:color="000000"/>
                    <w:left w:val="single" w:sz="2" w:space="0" w:color="000000"/>
                    <w:bottom w:val="single" w:sz="2" w:space="0" w:color="000000"/>
                    <w:right w:val="single" w:sz="2" w:space="0" w:color="000000"/>
                  </w:tcBorders>
                </w:tcPr>
                <w:p w14:paraId="63E7078E" w14:textId="77777777" w:rsidR="00053D93" w:rsidRDefault="00260B75" w:rsidP="00E41474">
                  <w:pPr>
                    <w:framePr w:wrap="around" w:vAnchor="text" w:hAnchor="text" w:x="29" w:y="1009"/>
                    <w:ind w:right="64"/>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3119BA23" w14:textId="77777777" w:rsidR="00053D93" w:rsidRDefault="00260B75" w:rsidP="00E41474">
                  <w:pPr>
                    <w:framePr w:wrap="around" w:vAnchor="text" w:hAnchor="text" w:x="29" w:y="1009"/>
                    <w:ind w:right="55"/>
                    <w:suppressOverlap/>
                    <w:jc w:val="center"/>
                  </w:pPr>
                  <w:r>
                    <w:rPr>
                      <w:rFonts w:ascii="Times New Roman" w:eastAsia="Times New Roman" w:hAnsi="Times New Roman" w:cs="Times New Roman"/>
                      <w:sz w:val="14"/>
                    </w:rPr>
                    <w:t>18/04/2024</w:t>
                  </w:r>
                </w:p>
              </w:tc>
              <w:tc>
                <w:tcPr>
                  <w:tcW w:w="1087" w:type="dxa"/>
                  <w:tcBorders>
                    <w:top w:val="single" w:sz="2" w:space="0" w:color="000000"/>
                    <w:left w:val="single" w:sz="2" w:space="0" w:color="000000"/>
                    <w:bottom w:val="single" w:sz="2" w:space="0" w:color="000000"/>
                    <w:right w:val="single" w:sz="2" w:space="0" w:color="000000"/>
                  </w:tcBorders>
                </w:tcPr>
                <w:p w14:paraId="4306AB9A" w14:textId="77777777" w:rsidR="00053D93" w:rsidRDefault="00260B75" w:rsidP="00E41474">
                  <w:pPr>
                    <w:framePr w:wrap="around" w:vAnchor="text" w:hAnchor="text" w:x="29" w:y="1009"/>
                    <w:ind w:right="45"/>
                    <w:suppressOverlap/>
                    <w:jc w:val="center"/>
                  </w:pPr>
                  <w:r>
                    <w:rPr>
                      <w:rFonts w:ascii="Times New Roman" w:eastAsia="Times New Roman" w:hAnsi="Times New Roman" w:cs="Times New Roman"/>
                      <w:sz w:val="14"/>
                    </w:rPr>
                    <w:t>2</w:t>
                  </w:r>
                </w:p>
              </w:tc>
              <w:tc>
                <w:tcPr>
                  <w:tcW w:w="958" w:type="dxa"/>
                  <w:tcBorders>
                    <w:top w:val="single" w:sz="2" w:space="0" w:color="000000"/>
                    <w:left w:val="single" w:sz="2" w:space="0" w:color="000000"/>
                    <w:bottom w:val="single" w:sz="2" w:space="0" w:color="000000"/>
                    <w:right w:val="single" w:sz="2" w:space="0" w:color="000000"/>
                  </w:tcBorders>
                </w:tcPr>
                <w:p w14:paraId="71F21972" w14:textId="77777777" w:rsidR="00053D93" w:rsidRDefault="00260B75" w:rsidP="00E41474">
                  <w:pPr>
                    <w:framePr w:wrap="around" w:vAnchor="text" w:hAnchor="text" w:x="29" w:y="1009"/>
                    <w:ind w:left="348"/>
                    <w:suppressOverlap/>
                  </w:pPr>
                  <w:r>
                    <w:rPr>
                      <w:rFonts w:ascii="Times New Roman" w:eastAsia="Times New Roman" w:hAnsi="Times New Roman" w:cs="Times New Roman"/>
                      <w:sz w:val="14"/>
                    </w:rPr>
                    <w:t>5.500.00</w:t>
                  </w:r>
                </w:p>
              </w:tc>
            </w:tr>
            <w:tr w:rsidR="00053D93" w14:paraId="65B7A91C" w14:textId="77777777">
              <w:trPr>
                <w:trHeight w:val="562"/>
              </w:trPr>
              <w:tc>
                <w:tcPr>
                  <w:tcW w:w="302" w:type="dxa"/>
                  <w:tcBorders>
                    <w:top w:val="single" w:sz="2" w:space="0" w:color="000000"/>
                    <w:left w:val="single" w:sz="2" w:space="0" w:color="000000"/>
                    <w:bottom w:val="single" w:sz="2" w:space="0" w:color="000000"/>
                    <w:right w:val="single" w:sz="2" w:space="0" w:color="000000"/>
                  </w:tcBorders>
                </w:tcPr>
                <w:p w14:paraId="43C3E34A" w14:textId="77777777" w:rsidR="00053D93" w:rsidRDefault="00260B75" w:rsidP="00E41474">
                  <w:pPr>
                    <w:framePr w:wrap="around" w:vAnchor="text" w:hAnchor="text" w:x="29" w:y="1009"/>
                    <w:ind w:right="11"/>
                    <w:suppressOverlap/>
                    <w:jc w:val="right"/>
                  </w:pPr>
                  <w:r>
                    <w:rPr>
                      <w:rFonts w:ascii="Times New Roman" w:eastAsia="Times New Roman" w:hAnsi="Times New Roman" w:cs="Times New Roman"/>
                      <w:sz w:val="16"/>
                    </w:rPr>
                    <w:t>38</w:t>
                  </w:r>
                </w:p>
              </w:tc>
              <w:tc>
                <w:tcPr>
                  <w:tcW w:w="1049" w:type="dxa"/>
                  <w:gridSpan w:val="3"/>
                  <w:tcBorders>
                    <w:top w:val="single" w:sz="2" w:space="0" w:color="000000"/>
                    <w:left w:val="single" w:sz="2" w:space="0" w:color="000000"/>
                    <w:bottom w:val="single" w:sz="2" w:space="0" w:color="000000"/>
                    <w:right w:val="single" w:sz="2" w:space="0" w:color="000000"/>
                  </w:tcBorders>
                </w:tcPr>
                <w:p w14:paraId="4CF355BD" w14:textId="77777777" w:rsidR="00053D93" w:rsidRDefault="00260B75" w:rsidP="00E41474">
                  <w:pPr>
                    <w:framePr w:wrap="around" w:vAnchor="text" w:hAnchor="text" w:x="29" w:y="1009"/>
                    <w:ind w:left="68"/>
                    <w:suppressOverlap/>
                    <w:jc w:val="center"/>
                  </w:pPr>
                  <w:r>
                    <w:rPr>
                      <w:rFonts w:ascii="Times New Roman" w:eastAsia="Times New Roman" w:hAnsi="Times New Roman" w:cs="Times New Roman"/>
                      <w:sz w:val="14"/>
                    </w:rPr>
                    <w:t>294047</w:t>
                  </w:r>
                </w:p>
              </w:tc>
              <w:tc>
                <w:tcPr>
                  <w:tcW w:w="1281" w:type="dxa"/>
                  <w:tcBorders>
                    <w:top w:val="single" w:sz="2" w:space="0" w:color="000000"/>
                    <w:left w:val="single" w:sz="2" w:space="0" w:color="000000"/>
                    <w:bottom w:val="single" w:sz="2" w:space="0" w:color="000000"/>
                    <w:right w:val="single" w:sz="2" w:space="0" w:color="000000"/>
                  </w:tcBorders>
                </w:tcPr>
                <w:p w14:paraId="2E2D14EB" w14:textId="77777777" w:rsidR="00053D93" w:rsidRDefault="00260B75" w:rsidP="00E41474">
                  <w:pPr>
                    <w:framePr w:wrap="around" w:vAnchor="text" w:hAnchor="text" w:x="29" w:y="1009"/>
                    <w:ind w:left="258"/>
                    <w:suppressOverlap/>
                  </w:pPr>
                  <w:r>
                    <w:rPr>
                      <w:rFonts w:ascii="Times New Roman" w:eastAsia="Times New Roman" w:hAnsi="Times New Roman" w:cs="Times New Roman"/>
                      <w:sz w:val="14"/>
                    </w:rPr>
                    <w:t>2024-14181</w:t>
                  </w:r>
                </w:p>
              </w:tc>
              <w:tc>
                <w:tcPr>
                  <w:tcW w:w="1331" w:type="dxa"/>
                  <w:tcBorders>
                    <w:top w:val="single" w:sz="2" w:space="0" w:color="000000"/>
                    <w:left w:val="single" w:sz="2" w:space="0" w:color="000000"/>
                    <w:bottom w:val="single" w:sz="2" w:space="0" w:color="000000"/>
                    <w:right w:val="single" w:sz="2" w:space="0" w:color="000000"/>
                  </w:tcBorders>
                </w:tcPr>
                <w:p w14:paraId="12884C5F" w14:textId="77777777" w:rsidR="00053D93" w:rsidRDefault="00260B75" w:rsidP="00E41474">
                  <w:pPr>
                    <w:framePr w:wrap="around" w:vAnchor="text" w:hAnchor="text" w:x="29" w:y="1009"/>
                    <w:ind w:left="43" w:firstLine="7"/>
                    <w:suppressOverlap/>
                  </w:pPr>
                  <w:r>
                    <w:rPr>
                      <w:rFonts w:ascii="Times New Roman" w:eastAsia="Times New Roman" w:hAnsi="Times New Roman" w:cs="Times New Roman"/>
                      <w:sz w:val="14"/>
                    </w:rPr>
                    <w:t>Red</w:t>
                  </w:r>
                  <w:r>
                    <w:rPr>
                      <w:rFonts w:ascii="Times New Roman" w:eastAsia="Times New Roman" w:hAnsi="Times New Roman" w:cs="Times New Roman"/>
                      <w:sz w:val="14"/>
                    </w:rPr>
                    <w:tab/>
                  </w:r>
                  <w:r>
                    <w:rPr>
                      <w:sz w:val="14"/>
                    </w:rPr>
                    <w:t xml:space="preserve">material poliuretano futbol </w:t>
                  </w:r>
                  <w:r>
                    <w:rPr>
                      <w:rFonts w:ascii="Times New Roman" w:eastAsia="Times New Roman" w:hAnsi="Times New Roman" w:cs="Times New Roman"/>
                      <w:sz w:val="14"/>
                    </w:rPr>
                    <w:t>11</w:t>
                  </w:r>
                </w:p>
              </w:tc>
              <w:tc>
                <w:tcPr>
                  <w:tcW w:w="1398" w:type="dxa"/>
                  <w:tcBorders>
                    <w:top w:val="single" w:sz="2" w:space="0" w:color="000000"/>
                    <w:left w:val="single" w:sz="2" w:space="0" w:color="000000"/>
                    <w:bottom w:val="single" w:sz="2" w:space="0" w:color="000000"/>
                    <w:right w:val="single" w:sz="2" w:space="0" w:color="000000"/>
                  </w:tcBorders>
                </w:tcPr>
                <w:p w14:paraId="11E6998D" w14:textId="77777777" w:rsidR="00053D93" w:rsidRDefault="00260B75" w:rsidP="00E41474">
                  <w:pPr>
                    <w:framePr w:wrap="around" w:vAnchor="text" w:hAnchor="text" w:x="29" w:y="1009"/>
                    <w:ind w:right="64"/>
                    <w:suppressOverlap/>
                    <w:jc w:val="center"/>
                  </w:pPr>
                  <w:r>
                    <w:rPr>
                      <w:rFonts w:ascii="Times New Roman" w:eastAsia="Times New Roman" w:hAnsi="Times New Roman" w:cs="Times New Roman"/>
                      <w:sz w:val="14"/>
                    </w:rPr>
                    <w:t>294</w:t>
                  </w:r>
                </w:p>
              </w:tc>
              <w:tc>
                <w:tcPr>
                  <w:tcW w:w="1099" w:type="dxa"/>
                  <w:tcBorders>
                    <w:top w:val="single" w:sz="2" w:space="0" w:color="000000"/>
                    <w:left w:val="single" w:sz="2" w:space="0" w:color="000000"/>
                    <w:bottom w:val="single" w:sz="2" w:space="0" w:color="000000"/>
                    <w:right w:val="single" w:sz="2" w:space="0" w:color="000000"/>
                  </w:tcBorders>
                </w:tcPr>
                <w:p w14:paraId="569D832C" w14:textId="77777777" w:rsidR="00053D93" w:rsidRDefault="00260B75" w:rsidP="00E41474">
                  <w:pPr>
                    <w:framePr w:wrap="around" w:vAnchor="text" w:hAnchor="text" w:x="29" w:y="1009"/>
                    <w:ind w:left="187"/>
                    <w:suppressOverlap/>
                  </w:pPr>
                  <w:r>
                    <w:rPr>
                      <w:rFonts w:ascii="Times New Roman" w:eastAsia="Times New Roman" w:hAnsi="Times New Roman" w:cs="Times New Roman"/>
                      <w:sz w:val="14"/>
                    </w:rPr>
                    <w:t>20105/2024</w:t>
                  </w:r>
                </w:p>
              </w:tc>
              <w:tc>
                <w:tcPr>
                  <w:tcW w:w="1087" w:type="dxa"/>
                  <w:tcBorders>
                    <w:top w:val="single" w:sz="2" w:space="0" w:color="000000"/>
                    <w:left w:val="single" w:sz="2" w:space="0" w:color="000000"/>
                    <w:bottom w:val="single" w:sz="2" w:space="0" w:color="000000"/>
                    <w:right w:val="single" w:sz="2" w:space="0" w:color="000000"/>
                  </w:tcBorders>
                </w:tcPr>
                <w:p w14:paraId="73BE1DBA" w14:textId="77777777" w:rsidR="00053D93" w:rsidRDefault="00260B75" w:rsidP="00E41474">
                  <w:pPr>
                    <w:framePr w:wrap="around" w:vAnchor="text" w:hAnchor="text" w:x="29" w:y="1009"/>
                    <w:ind w:right="45"/>
                    <w:suppressOverlap/>
                    <w:jc w:val="center"/>
                  </w:pPr>
                  <w:r>
                    <w:rPr>
                      <w:rFonts w:ascii="Times New Roman" w:eastAsia="Times New Roman" w:hAnsi="Times New Roman" w:cs="Times New Roman"/>
                      <w:sz w:val="16"/>
                    </w:rPr>
                    <w:t>40</w:t>
                  </w:r>
                </w:p>
              </w:tc>
              <w:tc>
                <w:tcPr>
                  <w:tcW w:w="958" w:type="dxa"/>
                  <w:tcBorders>
                    <w:top w:val="single" w:sz="2" w:space="0" w:color="000000"/>
                    <w:left w:val="single" w:sz="2" w:space="0" w:color="000000"/>
                    <w:bottom w:val="single" w:sz="2" w:space="0" w:color="000000"/>
                    <w:right w:val="single" w:sz="2" w:space="0" w:color="000000"/>
                  </w:tcBorders>
                </w:tcPr>
                <w:p w14:paraId="5F87543E" w14:textId="77777777" w:rsidR="00053D93" w:rsidRDefault="00260B75" w:rsidP="00E41474">
                  <w:pPr>
                    <w:framePr w:wrap="around" w:vAnchor="text" w:hAnchor="text" w:x="29" w:y="1009"/>
                    <w:ind w:left="276"/>
                    <w:suppressOverlap/>
                  </w:pPr>
                  <w:r>
                    <w:rPr>
                      <w:sz w:val="14"/>
                    </w:rPr>
                    <w:t>18,000.oo</w:t>
                  </w:r>
                </w:p>
              </w:tc>
            </w:tr>
            <w:tr w:rsidR="00053D93" w14:paraId="64011A0A" w14:textId="77777777">
              <w:trPr>
                <w:trHeight w:val="334"/>
              </w:trPr>
              <w:tc>
                <w:tcPr>
                  <w:tcW w:w="302" w:type="dxa"/>
                  <w:vMerge w:val="restart"/>
                  <w:tcBorders>
                    <w:top w:val="single" w:sz="2" w:space="0" w:color="000000"/>
                    <w:left w:val="single" w:sz="2" w:space="0" w:color="000000"/>
                    <w:bottom w:val="nil"/>
                    <w:right w:val="single" w:sz="2" w:space="0" w:color="000000"/>
                  </w:tcBorders>
                </w:tcPr>
                <w:p w14:paraId="51DF882A" w14:textId="77777777" w:rsidR="00053D93" w:rsidRDefault="00260B75" w:rsidP="00E41474">
                  <w:pPr>
                    <w:framePr w:wrap="around" w:vAnchor="text" w:hAnchor="text" w:x="29" w:y="1009"/>
                    <w:ind w:right="18"/>
                    <w:suppressOverlap/>
                    <w:jc w:val="right"/>
                  </w:pPr>
                  <w:r>
                    <w:rPr>
                      <w:rFonts w:ascii="Times New Roman" w:eastAsia="Times New Roman" w:hAnsi="Times New Roman" w:cs="Times New Roman"/>
                      <w:sz w:val="14"/>
                    </w:rPr>
                    <w:t>39</w:t>
                  </w:r>
                </w:p>
                <w:p w14:paraId="077789CE" w14:textId="77777777" w:rsidR="00053D93" w:rsidRDefault="00260B75" w:rsidP="00E41474">
                  <w:pPr>
                    <w:framePr w:wrap="around" w:vAnchor="text" w:hAnchor="text" w:x="29" w:y="1009"/>
                    <w:ind w:left="-4"/>
                    <w:suppressOverlap/>
                  </w:pPr>
                  <w:r>
                    <w:rPr>
                      <w:noProof/>
                    </w:rPr>
                    <w:drawing>
                      <wp:inline distT="0" distB="0" distL="0" distR="0" wp14:anchorId="24340D65" wp14:editId="7BF29083">
                        <wp:extent cx="192024" cy="406909"/>
                        <wp:effectExtent l="0" t="0" r="0" b="0"/>
                        <wp:docPr id="481537" name="Picture 481537"/>
                        <wp:cNvGraphicFramePr/>
                        <a:graphic xmlns:a="http://schemas.openxmlformats.org/drawingml/2006/main">
                          <a:graphicData uri="http://schemas.openxmlformats.org/drawingml/2006/picture">
                            <pic:pic xmlns:pic="http://schemas.openxmlformats.org/drawingml/2006/picture">
                              <pic:nvPicPr>
                                <pic:cNvPr id="481537" name="Picture 481537"/>
                                <pic:cNvPicPr/>
                              </pic:nvPicPr>
                              <pic:blipFill>
                                <a:blip r:embed="rId738"/>
                                <a:stretch>
                                  <a:fillRect/>
                                </a:stretch>
                              </pic:blipFill>
                              <pic:spPr>
                                <a:xfrm>
                                  <a:off x="0" y="0"/>
                                  <a:ext cx="192024" cy="406909"/>
                                </a:xfrm>
                                <a:prstGeom prst="rect">
                                  <a:avLst/>
                                </a:prstGeom>
                              </pic:spPr>
                            </pic:pic>
                          </a:graphicData>
                        </a:graphic>
                      </wp:inline>
                    </w:drawing>
                  </w:r>
                </w:p>
              </w:tc>
              <w:tc>
                <w:tcPr>
                  <w:tcW w:w="1049" w:type="dxa"/>
                  <w:gridSpan w:val="3"/>
                  <w:tcBorders>
                    <w:top w:val="single" w:sz="2" w:space="0" w:color="000000"/>
                    <w:left w:val="single" w:sz="2" w:space="0" w:color="000000"/>
                    <w:bottom w:val="nil"/>
                    <w:right w:val="single" w:sz="2" w:space="0" w:color="000000"/>
                  </w:tcBorders>
                </w:tcPr>
                <w:p w14:paraId="0FEE4F73" w14:textId="77777777" w:rsidR="00053D93" w:rsidRDefault="00260B75" w:rsidP="00E41474">
                  <w:pPr>
                    <w:framePr w:wrap="around" w:vAnchor="text" w:hAnchor="text" w:x="29" w:y="1009"/>
                    <w:ind w:left="53"/>
                    <w:suppressOverlap/>
                    <w:jc w:val="center"/>
                  </w:pPr>
                  <w:r>
                    <w:rPr>
                      <w:rFonts w:ascii="Times New Roman" w:eastAsia="Times New Roman" w:hAnsi="Times New Roman" w:cs="Times New Roman"/>
                      <w:sz w:val="14"/>
                    </w:rPr>
                    <w:t>324015</w:t>
                  </w:r>
                </w:p>
              </w:tc>
              <w:tc>
                <w:tcPr>
                  <w:tcW w:w="1281" w:type="dxa"/>
                  <w:tcBorders>
                    <w:top w:val="single" w:sz="2" w:space="0" w:color="000000"/>
                    <w:left w:val="single" w:sz="2" w:space="0" w:color="000000"/>
                    <w:bottom w:val="single" w:sz="2" w:space="0" w:color="000000"/>
                    <w:right w:val="single" w:sz="2" w:space="0" w:color="000000"/>
                  </w:tcBorders>
                </w:tcPr>
                <w:p w14:paraId="446A9750" w14:textId="77777777" w:rsidR="00053D93" w:rsidRDefault="00260B75" w:rsidP="00E41474">
                  <w:pPr>
                    <w:framePr w:wrap="around" w:vAnchor="text" w:hAnchor="text" w:x="29" w:y="1009"/>
                    <w:ind w:left="251"/>
                    <w:suppressOverlap/>
                  </w:pPr>
                  <w:r>
                    <w:rPr>
                      <w:rFonts w:ascii="Times New Roman" w:eastAsia="Times New Roman" w:hAnsi="Times New Roman" w:cs="Times New Roman"/>
                      <w:sz w:val="14"/>
                    </w:rPr>
                    <w:t>2024-14576</w:t>
                  </w:r>
                </w:p>
              </w:tc>
              <w:tc>
                <w:tcPr>
                  <w:tcW w:w="1331" w:type="dxa"/>
                  <w:tcBorders>
                    <w:top w:val="single" w:sz="2" w:space="0" w:color="000000"/>
                    <w:left w:val="single" w:sz="2" w:space="0" w:color="000000"/>
                    <w:bottom w:val="single" w:sz="2" w:space="0" w:color="000000"/>
                    <w:right w:val="single" w:sz="2" w:space="0" w:color="000000"/>
                  </w:tcBorders>
                </w:tcPr>
                <w:p w14:paraId="483BBC2B" w14:textId="77777777" w:rsidR="00053D93" w:rsidRDefault="00260B75" w:rsidP="00E41474">
                  <w:pPr>
                    <w:framePr w:wrap="around" w:vAnchor="text" w:hAnchor="text" w:x="29" w:y="1009"/>
                    <w:tabs>
                      <w:tab w:val="center" w:pos="1138"/>
                    </w:tabs>
                    <w:suppressOverlap/>
                  </w:pPr>
                  <w:r>
                    <w:rPr>
                      <w:sz w:val="16"/>
                    </w:rPr>
                    <w:t>Porter(B</w:t>
                  </w:r>
                  <w:r>
                    <w:rPr>
                      <w:sz w:val="16"/>
                    </w:rPr>
                    <w:tab/>
                    <w:t>de</w:t>
                  </w:r>
                </w:p>
              </w:tc>
              <w:tc>
                <w:tcPr>
                  <w:tcW w:w="1398" w:type="dxa"/>
                  <w:tcBorders>
                    <w:top w:val="single" w:sz="2" w:space="0" w:color="000000"/>
                    <w:left w:val="single" w:sz="2" w:space="0" w:color="000000"/>
                    <w:bottom w:val="single" w:sz="2" w:space="0" w:color="000000"/>
                    <w:right w:val="single" w:sz="2" w:space="0" w:color="000000"/>
                  </w:tcBorders>
                </w:tcPr>
                <w:p w14:paraId="36AE8AE0" w14:textId="77777777" w:rsidR="00053D93" w:rsidRDefault="00260B75" w:rsidP="00E41474">
                  <w:pPr>
                    <w:framePr w:wrap="around" w:vAnchor="text" w:hAnchor="text" w:x="29" w:y="1009"/>
                    <w:ind w:right="78"/>
                    <w:suppressOverlap/>
                    <w:jc w:val="center"/>
                  </w:pPr>
                  <w:r>
                    <w:rPr>
                      <w:rFonts w:ascii="Times New Roman" w:eastAsia="Times New Roman" w:hAnsi="Times New Roman" w:cs="Times New Roman"/>
                      <w:sz w:val="14"/>
                    </w:rPr>
                    <w:t>324</w:t>
                  </w:r>
                </w:p>
              </w:tc>
              <w:tc>
                <w:tcPr>
                  <w:tcW w:w="1099" w:type="dxa"/>
                  <w:tcBorders>
                    <w:top w:val="single" w:sz="2" w:space="0" w:color="000000"/>
                    <w:left w:val="single" w:sz="2" w:space="0" w:color="000000"/>
                    <w:bottom w:val="single" w:sz="2" w:space="0" w:color="000000"/>
                    <w:right w:val="single" w:sz="2" w:space="0" w:color="000000"/>
                  </w:tcBorders>
                </w:tcPr>
                <w:p w14:paraId="61127144" w14:textId="77777777" w:rsidR="00053D93" w:rsidRDefault="00260B75" w:rsidP="00E41474">
                  <w:pPr>
                    <w:framePr w:wrap="around" w:vAnchor="text" w:hAnchor="text" w:x="29" w:y="1009"/>
                    <w:ind w:left="187"/>
                    <w:suppressOverlap/>
                  </w:pPr>
                  <w:r>
                    <w:rPr>
                      <w:rFonts w:ascii="Times New Roman" w:eastAsia="Times New Roman" w:hAnsi="Times New Roman" w:cs="Times New Roman"/>
                      <w:sz w:val="14"/>
                    </w:rPr>
                    <w:t>19/0812024</w:t>
                  </w:r>
                </w:p>
              </w:tc>
              <w:tc>
                <w:tcPr>
                  <w:tcW w:w="1087" w:type="dxa"/>
                  <w:tcBorders>
                    <w:top w:val="single" w:sz="2" w:space="0" w:color="000000"/>
                    <w:left w:val="single" w:sz="2" w:space="0" w:color="000000"/>
                    <w:bottom w:val="single" w:sz="2" w:space="0" w:color="000000"/>
                    <w:right w:val="single" w:sz="2" w:space="0" w:color="000000"/>
                  </w:tcBorders>
                </w:tcPr>
                <w:p w14:paraId="1B9018E5" w14:textId="77777777" w:rsidR="00053D93" w:rsidRDefault="00260B75" w:rsidP="00E41474">
                  <w:pPr>
                    <w:framePr w:wrap="around" w:vAnchor="text" w:hAnchor="text" w:x="29" w:y="1009"/>
                    <w:ind w:right="45"/>
                    <w:suppressOverlap/>
                    <w:jc w:val="center"/>
                  </w:pPr>
                  <w:r>
                    <w:rPr>
                      <w:rFonts w:ascii="Times New Roman" w:eastAsia="Times New Roman" w:hAnsi="Times New Roman" w:cs="Times New Roman"/>
                      <w:sz w:val="16"/>
                    </w:rPr>
                    <w:t>10</w:t>
                  </w:r>
                </w:p>
              </w:tc>
              <w:tc>
                <w:tcPr>
                  <w:tcW w:w="958" w:type="dxa"/>
                  <w:tcBorders>
                    <w:top w:val="single" w:sz="2" w:space="0" w:color="000000"/>
                    <w:left w:val="single" w:sz="2" w:space="0" w:color="000000"/>
                    <w:bottom w:val="single" w:sz="2" w:space="0" w:color="000000"/>
                    <w:right w:val="single" w:sz="2" w:space="0" w:color="000000"/>
                  </w:tcBorders>
                </w:tcPr>
                <w:p w14:paraId="0217BED8" w14:textId="77777777" w:rsidR="00053D93" w:rsidRDefault="00260B75" w:rsidP="00E41474">
                  <w:pPr>
                    <w:framePr w:wrap="around" w:vAnchor="text" w:hAnchor="text" w:x="29" w:y="1009"/>
                    <w:ind w:left="269"/>
                    <w:suppressOverlap/>
                  </w:pPr>
                  <w:r>
                    <w:rPr>
                      <w:rFonts w:ascii="Times New Roman" w:eastAsia="Times New Roman" w:hAnsi="Times New Roman" w:cs="Times New Roman"/>
                      <w:sz w:val="14"/>
                    </w:rPr>
                    <w:t>67.000.00</w:t>
                  </w:r>
                </w:p>
              </w:tc>
            </w:tr>
            <w:tr w:rsidR="00053D93" w14:paraId="21862334" w14:textId="77777777">
              <w:trPr>
                <w:trHeight w:val="450"/>
              </w:trPr>
              <w:tc>
                <w:tcPr>
                  <w:tcW w:w="0" w:type="auto"/>
                  <w:vMerge/>
                  <w:tcBorders>
                    <w:top w:val="nil"/>
                    <w:left w:val="single" w:sz="2" w:space="0" w:color="000000"/>
                    <w:bottom w:val="nil"/>
                    <w:right w:val="single" w:sz="2" w:space="0" w:color="000000"/>
                  </w:tcBorders>
                </w:tcPr>
                <w:p w14:paraId="1950ECF8" w14:textId="77777777" w:rsidR="00053D93" w:rsidRDefault="00053D93" w:rsidP="00E41474">
                  <w:pPr>
                    <w:framePr w:wrap="around" w:vAnchor="text" w:hAnchor="text" w:x="29" w:y="1009"/>
                    <w:suppressOverlap/>
                  </w:pPr>
                </w:p>
              </w:tc>
              <w:tc>
                <w:tcPr>
                  <w:tcW w:w="291" w:type="dxa"/>
                  <w:vMerge w:val="restart"/>
                  <w:tcBorders>
                    <w:top w:val="nil"/>
                    <w:left w:val="single" w:sz="2" w:space="0" w:color="000000"/>
                    <w:bottom w:val="nil"/>
                    <w:right w:val="single" w:sz="2" w:space="0" w:color="000000"/>
                  </w:tcBorders>
                </w:tcPr>
                <w:p w14:paraId="509FAFD3" w14:textId="77777777" w:rsidR="00053D93" w:rsidRDefault="00260B75" w:rsidP="00E41474">
                  <w:pPr>
                    <w:framePr w:wrap="around" w:vAnchor="text" w:hAnchor="text" w:x="29" w:y="1009"/>
                    <w:ind w:left="-4" w:right="-15"/>
                    <w:suppressOverlap/>
                  </w:pPr>
                  <w:r>
                    <w:rPr>
                      <w:noProof/>
                    </w:rPr>
                    <w:drawing>
                      <wp:inline distT="0" distB="0" distL="0" distR="0" wp14:anchorId="239EF3F8" wp14:editId="240226AB">
                        <wp:extent cx="196596" cy="402336"/>
                        <wp:effectExtent l="0" t="0" r="0" b="0"/>
                        <wp:docPr id="481560" name="Picture 481560"/>
                        <wp:cNvGraphicFramePr/>
                        <a:graphic xmlns:a="http://schemas.openxmlformats.org/drawingml/2006/main">
                          <a:graphicData uri="http://schemas.openxmlformats.org/drawingml/2006/picture">
                            <pic:pic xmlns:pic="http://schemas.openxmlformats.org/drawingml/2006/picture">
                              <pic:nvPicPr>
                                <pic:cNvPr id="481560" name="Picture 481560"/>
                                <pic:cNvPicPr/>
                              </pic:nvPicPr>
                              <pic:blipFill>
                                <a:blip r:embed="rId739"/>
                                <a:stretch>
                                  <a:fillRect/>
                                </a:stretch>
                              </pic:blipFill>
                              <pic:spPr>
                                <a:xfrm>
                                  <a:off x="0" y="0"/>
                                  <a:ext cx="196596" cy="402336"/>
                                </a:xfrm>
                                <a:prstGeom prst="rect">
                                  <a:avLst/>
                                </a:prstGeom>
                              </pic:spPr>
                            </pic:pic>
                          </a:graphicData>
                        </a:graphic>
                      </wp:inline>
                    </w:drawing>
                  </w:r>
                </w:p>
              </w:tc>
              <w:tc>
                <w:tcPr>
                  <w:tcW w:w="232" w:type="dxa"/>
                  <w:vMerge w:val="restart"/>
                  <w:tcBorders>
                    <w:top w:val="nil"/>
                    <w:left w:val="single" w:sz="2" w:space="0" w:color="000000"/>
                    <w:bottom w:val="nil"/>
                    <w:right w:val="single" w:sz="2" w:space="0" w:color="000000"/>
                  </w:tcBorders>
                </w:tcPr>
                <w:p w14:paraId="1929014E" w14:textId="77777777" w:rsidR="00053D93" w:rsidRDefault="00053D93" w:rsidP="00E41474">
                  <w:pPr>
                    <w:framePr w:wrap="around" w:vAnchor="text" w:hAnchor="text" w:x="29" w:y="1009"/>
                    <w:suppressOverlap/>
                  </w:pPr>
                </w:p>
              </w:tc>
              <w:tc>
                <w:tcPr>
                  <w:tcW w:w="526" w:type="dxa"/>
                  <w:vMerge w:val="restart"/>
                  <w:tcBorders>
                    <w:top w:val="single" w:sz="2" w:space="0" w:color="000000"/>
                    <w:left w:val="single" w:sz="2" w:space="0" w:color="000000"/>
                    <w:bottom w:val="nil"/>
                    <w:right w:val="nil"/>
                  </w:tcBorders>
                </w:tcPr>
                <w:p w14:paraId="5523C408" w14:textId="77777777" w:rsidR="00053D93" w:rsidRDefault="00053D93" w:rsidP="00E41474">
                  <w:pPr>
                    <w:framePr w:wrap="around" w:vAnchor="text" w:hAnchor="text" w:x="29" w:y="1009"/>
                    <w:suppressOverlap/>
                  </w:pPr>
                </w:p>
              </w:tc>
              <w:tc>
                <w:tcPr>
                  <w:tcW w:w="5108" w:type="dxa"/>
                  <w:gridSpan w:val="4"/>
                  <w:vMerge w:val="restart"/>
                  <w:tcBorders>
                    <w:top w:val="single" w:sz="2" w:space="0" w:color="000000"/>
                    <w:left w:val="nil"/>
                    <w:bottom w:val="nil"/>
                    <w:right w:val="nil"/>
                  </w:tcBorders>
                </w:tcPr>
                <w:p w14:paraId="582457AC" w14:textId="77777777" w:rsidR="00053D93" w:rsidRDefault="00260B75" w:rsidP="00E41474">
                  <w:pPr>
                    <w:framePr w:wrap="around" w:vAnchor="text" w:hAnchor="text" w:x="29" w:y="1009"/>
                    <w:ind w:left="664"/>
                    <w:suppressOverlap/>
                    <w:jc w:val="center"/>
                  </w:pPr>
                  <w:r>
                    <w:rPr>
                      <w:sz w:val="14"/>
                    </w:rPr>
                    <w:t>MENISTERIO DE EDUCACION</w:t>
                  </w:r>
                </w:p>
                <w:p w14:paraId="0544497D" w14:textId="77777777" w:rsidR="00053D93" w:rsidRDefault="00260B75" w:rsidP="00E41474">
                  <w:pPr>
                    <w:framePr w:wrap="around" w:vAnchor="text" w:hAnchor="text" w:x="29" w:y="1009"/>
                    <w:ind w:left="1605"/>
                    <w:suppressOverlap/>
                  </w:pPr>
                  <w:r>
                    <w:rPr>
                      <w:sz w:val="14"/>
                    </w:rPr>
                    <w:t>AUDITORIA FINANCIERA Y DE CUMPLIMIENTO</w:t>
                  </w:r>
                </w:p>
                <w:p w14:paraId="27C3F862" w14:textId="77777777" w:rsidR="00053D93" w:rsidRDefault="00260B75" w:rsidP="00E41474">
                  <w:pPr>
                    <w:framePr w:wrap="around" w:vAnchor="text" w:hAnchor="text" w:x="29" w:y="1009"/>
                    <w:tabs>
                      <w:tab w:val="center" w:pos="1529"/>
                      <w:tab w:val="center" w:pos="3293"/>
                    </w:tabs>
                    <w:suppressOverlap/>
                  </w:pPr>
                  <w:r>
                    <w:rPr>
                      <w:sz w:val="14"/>
                    </w:rPr>
                    <w:tab/>
                    <w:t xml:space="preserve">PERIODO </w:t>
                  </w:r>
                  <w:r>
                    <w:rPr>
                      <w:sz w:val="14"/>
                    </w:rPr>
                    <w:tab/>
                    <w:t>dl DE ENERO AL 31 DE DICIEMBRE DE 2024</w:t>
                  </w:r>
                </w:p>
              </w:tc>
              <w:tc>
                <w:tcPr>
                  <w:tcW w:w="1087" w:type="dxa"/>
                  <w:vMerge w:val="restart"/>
                  <w:tcBorders>
                    <w:top w:val="single" w:sz="2" w:space="0" w:color="000000"/>
                    <w:left w:val="nil"/>
                    <w:bottom w:val="nil"/>
                    <w:right w:val="nil"/>
                  </w:tcBorders>
                </w:tcPr>
                <w:p w14:paraId="241C9561" w14:textId="77777777" w:rsidR="00053D93" w:rsidRDefault="00053D93" w:rsidP="00E41474">
                  <w:pPr>
                    <w:framePr w:wrap="around" w:vAnchor="text" w:hAnchor="text" w:x="29" w:y="1009"/>
                    <w:suppressOverlap/>
                  </w:pPr>
                </w:p>
              </w:tc>
              <w:tc>
                <w:tcPr>
                  <w:tcW w:w="958" w:type="dxa"/>
                  <w:vMerge w:val="restart"/>
                  <w:tcBorders>
                    <w:top w:val="single" w:sz="2" w:space="0" w:color="000000"/>
                    <w:left w:val="nil"/>
                    <w:bottom w:val="nil"/>
                    <w:right w:val="nil"/>
                  </w:tcBorders>
                </w:tcPr>
                <w:p w14:paraId="779B728B" w14:textId="77777777" w:rsidR="00053D93" w:rsidRDefault="00053D93" w:rsidP="00E41474">
                  <w:pPr>
                    <w:framePr w:wrap="around" w:vAnchor="text" w:hAnchor="text" w:x="29" w:y="1009"/>
                    <w:suppressOverlap/>
                  </w:pPr>
                </w:p>
              </w:tc>
            </w:tr>
            <w:tr w:rsidR="00053D93" w14:paraId="5B0DA290" w14:textId="77777777">
              <w:trPr>
                <w:trHeight w:val="450"/>
              </w:trPr>
              <w:tc>
                <w:tcPr>
                  <w:tcW w:w="0" w:type="auto"/>
                  <w:vMerge/>
                  <w:tcBorders>
                    <w:top w:val="nil"/>
                    <w:left w:val="single" w:sz="2" w:space="0" w:color="000000"/>
                    <w:bottom w:val="nil"/>
                    <w:right w:val="single" w:sz="2" w:space="0" w:color="000000"/>
                  </w:tcBorders>
                </w:tcPr>
                <w:p w14:paraId="32013A2A" w14:textId="77777777" w:rsidR="00053D93" w:rsidRDefault="00053D93" w:rsidP="00E41474">
                  <w:pPr>
                    <w:framePr w:wrap="around" w:vAnchor="text" w:hAnchor="text" w:x="29" w:y="1009"/>
                    <w:suppressOverlap/>
                  </w:pPr>
                </w:p>
              </w:tc>
              <w:tc>
                <w:tcPr>
                  <w:tcW w:w="0" w:type="auto"/>
                  <w:vMerge/>
                  <w:tcBorders>
                    <w:top w:val="nil"/>
                    <w:left w:val="single" w:sz="2" w:space="0" w:color="000000"/>
                    <w:bottom w:val="nil"/>
                    <w:right w:val="single" w:sz="2" w:space="0" w:color="000000"/>
                  </w:tcBorders>
                </w:tcPr>
                <w:p w14:paraId="7421208A" w14:textId="77777777" w:rsidR="00053D93" w:rsidRDefault="00053D93" w:rsidP="00E41474">
                  <w:pPr>
                    <w:framePr w:wrap="around" w:vAnchor="text" w:hAnchor="text" w:x="29" w:y="1009"/>
                    <w:suppressOverlap/>
                  </w:pPr>
                </w:p>
              </w:tc>
              <w:tc>
                <w:tcPr>
                  <w:tcW w:w="0" w:type="auto"/>
                  <w:vMerge/>
                  <w:tcBorders>
                    <w:top w:val="nil"/>
                    <w:left w:val="single" w:sz="2" w:space="0" w:color="000000"/>
                    <w:bottom w:val="nil"/>
                    <w:right w:val="single" w:sz="2" w:space="0" w:color="000000"/>
                  </w:tcBorders>
                </w:tcPr>
                <w:p w14:paraId="35EA52AF" w14:textId="77777777" w:rsidR="00053D93" w:rsidRDefault="00053D93" w:rsidP="00E41474">
                  <w:pPr>
                    <w:framePr w:wrap="around" w:vAnchor="text" w:hAnchor="text" w:x="29" w:y="1009"/>
                    <w:suppressOverlap/>
                  </w:pPr>
                </w:p>
              </w:tc>
              <w:tc>
                <w:tcPr>
                  <w:tcW w:w="0" w:type="auto"/>
                  <w:vMerge/>
                  <w:tcBorders>
                    <w:top w:val="nil"/>
                    <w:left w:val="single" w:sz="2" w:space="0" w:color="000000"/>
                    <w:bottom w:val="nil"/>
                    <w:right w:val="nil"/>
                  </w:tcBorders>
                </w:tcPr>
                <w:p w14:paraId="7972C37C" w14:textId="77777777" w:rsidR="00053D93" w:rsidRDefault="00053D93" w:rsidP="00E41474">
                  <w:pPr>
                    <w:framePr w:wrap="around" w:vAnchor="text" w:hAnchor="text" w:x="29" w:y="1009"/>
                    <w:suppressOverlap/>
                  </w:pPr>
                </w:p>
              </w:tc>
              <w:tc>
                <w:tcPr>
                  <w:tcW w:w="0" w:type="auto"/>
                  <w:gridSpan w:val="4"/>
                  <w:vMerge/>
                  <w:tcBorders>
                    <w:top w:val="nil"/>
                    <w:left w:val="nil"/>
                    <w:bottom w:val="nil"/>
                    <w:right w:val="nil"/>
                  </w:tcBorders>
                </w:tcPr>
                <w:p w14:paraId="42C269ED" w14:textId="77777777" w:rsidR="00053D93" w:rsidRDefault="00053D93" w:rsidP="00E41474">
                  <w:pPr>
                    <w:framePr w:wrap="around" w:vAnchor="text" w:hAnchor="text" w:x="29" w:y="1009"/>
                    <w:suppressOverlap/>
                  </w:pPr>
                </w:p>
              </w:tc>
              <w:tc>
                <w:tcPr>
                  <w:tcW w:w="0" w:type="auto"/>
                  <w:vMerge/>
                  <w:tcBorders>
                    <w:top w:val="nil"/>
                    <w:left w:val="nil"/>
                    <w:bottom w:val="nil"/>
                    <w:right w:val="nil"/>
                  </w:tcBorders>
                </w:tcPr>
                <w:p w14:paraId="376688EF" w14:textId="77777777" w:rsidR="00053D93" w:rsidRDefault="00053D93" w:rsidP="00E41474">
                  <w:pPr>
                    <w:framePr w:wrap="around" w:vAnchor="text" w:hAnchor="text" w:x="29" w:y="1009"/>
                    <w:suppressOverlap/>
                  </w:pPr>
                </w:p>
              </w:tc>
              <w:tc>
                <w:tcPr>
                  <w:tcW w:w="0" w:type="auto"/>
                  <w:vMerge/>
                  <w:tcBorders>
                    <w:top w:val="nil"/>
                    <w:left w:val="nil"/>
                    <w:bottom w:val="nil"/>
                    <w:right w:val="nil"/>
                  </w:tcBorders>
                </w:tcPr>
                <w:p w14:paraId="739FF883" w14:textId="77777777" w:rsidR="00053D93" w:rsidRDefault="00053D93" w:rsidP="00E41474">
                  <w:pPr>
                    <w:framePr w:wrap="around" w:vAnchor="text" w:hAnchor="text" w:x="29" w:y="1009"/>
                    <w:suppressOverlap/>
                  </w:pPr>
                </w:p>
              </w:tc>
            </w:tr>
          </w:tbl>
          <w:p w14:paraId="35225A96" w14:textId="77777777" w:rsidR="00053D93" w:rsidRDefault="00053D93"/>
        </w:tc>
      </w:tr>
      <w:tr w:rsidR="00053D93" w14:paraId="6B47F363" w14:textId="77777777">
        <w:trPr>
          <w:trHeight w:val="814"/>
        </w:trPr>
        <w:tc>
          <w:tcPr>
            <w:tcW w:w="1629" w:type="dxa"/>
            <w:tcBorders>
              <w:top w:val="nil"/>
              <w:left w:val="nil"/>
              <w:bottom w:val="nil"/>
              <w:right w:val="nil"/>
            </w:tcBorders>
          </w:tcPr>
          <w:p w14:paraId="6CC6BF98" w14:textId="77777777" w:rsidR="00053D93" w:rsidRDefault="00260B75">
            <w:pPr>
              <w:ind w:left="36"/>
            </w:pPr>
            <w:r>
              <w:rPr>
                <w:noProof/>
              </w:rPr>
              <w:drawing>
                <wp:inline distT="0" distB="0" distL="0" distR="0" wp14:anchorId="01924318" wp14:editId="6324A272">
                  <wp:extent cx="123444" cy="370332"/>
                  <wp:effectExtent l="0" t="0" r="0" b="0"/>
                  <wp:docPr id="481931" name="Picture 481931"/>
                  <wp:cNvGraphicFramePr/>
                  <a:graphic xmlns:a="http://schemas.openxmlformats.org/drawingml/2006/main">
                    <a:graphicData uri="http://schemas.openxmlformats.org/drawingml/2006/picture">
                      <pic:pic xmlns:pic="http://schemas.openxmlformats.org/drawingml/2006/picture">
                        <pic:nvPicPr>
                          <pic:cNvPr id="481931" name="Picture 481931"/>
                          <pic:cNvPicPr/>
                        </pic:nvPicPr>
                        <pic:blipFill>
                          <a:blip r:embed="rId740"/>
                          <a:stretch>
                            <a:fillRect/>
                          </a:stretch>
                        </pic:blipFill>
                        <pic:spPr>
                          <a:xfrm>
                            <a:off x="0" y="0"/>
                            <a:ext cx="123444" cy="370332"/>
                          </a:xfrm>
                          <a:prstGeom prst="rect">
                            <a:avLst/>
                          </a:prstGeom>
                        </pic:spPr>
                      </pic:pic>
                    </a:graphicData>
                  </a:graphic>
                </wp:inline>
              </w:drawing>
            </w:r>
          </w:p>
        </w:tc>
        <w:tc>
          <w:tcPr>
            <w:tcW w:w="0" w:type="auto"/>
            <w:vMerge/>
            <w:tcBorders>
              <w:top w:val="nil"/>
              <w:left w:val="nil"/>
              <w:bottom w:val="nil"/>
              <w:right w:val="nil"/>
            </w:tcBorders>
          </w:tcPr>
          <w:p w14:paraId="1FB12E3F" w14:textId="77777777" w:rsidR="00053D93" w:rsidRDefault="00053D93"/>
        </w:tc>
      </w:tr>
      <w:tr w:rsidR="00053D93" w14:paraId="3564CB24" w14:textId="77777777">
        <w:trPr>
          <w:trHeight w:val="821"/>
        </w:trPr>
        <w:tc>
          <w:tcPr>
            <w:tcW w:w="1629" w:type="dxa"/>
            <w:tcBorders>
              <w:top w:val="nil"/>
              <w:left w:val="nil"/>
              <w:bottom w:val="nil"/>
              <w:right w:val="nil"/>
            </w:tcBorders>
          </w:tcPr>
          <w:p w14:paraId="42510843" w14:textId="77777777" w:rsidR="00053D93" w:rsidRDefault="00260B75">
            <w:pPr>
              <w:ind w:left="29"/>
            </w:pPr>
            <w:r>
              <w:rPr>
                <w:noProof/>
              </w:rPr>
              <w:drawing>
                <wp:inline distT="0" distB="0" distL="0" distR="0" wp14:anchorId="0F78C822" wp14:editId="27A281B1">
                  <wp:extent cx="123444" cy="370332"/>
                  <wp:effectExtent l="0" t="0" r="0" b="0"/>
                  <wp:docPr id="481932" name="Picture 481932"/>
                  <wp:cNvGraphicFramePr/>
                  <a:graphic xmlns:a="http://schemas.openxmlformats.org/drawingml/2006/main">
                    <a:graphicData uri="http://schemas.openxmlformats.org/drawingml/2006/picture">
                      <pic:pic xmlns:pic="http://schemas.openxmlformats.org/drawingml/2006/picture">
                        <pic:nvPicPr>
                          <pic:cNvPr id="481932" name="Picture 481932"/>
                          <pic:cNvPicPr/>
                        </pic:nvPicPr>
                        <pic:blipFill>
                          <a:blip r:embed="rId741"/>
                          <a:stretch>
                            <a:fillRect/>
                          </a:stretch>
                        </pic:blipFill>
                        <pic:spPr>
                          <a:xfrm>
                            <a:off x="0" y="0"/>
                            <a:ext cx="123444" cy="370332"/>
                          </a:xfrm>
                          <a:prstGeom prst="rect">
                            <a:avLst/>
                          </a:prstGeom>
                        </pic:spPr>
                      </pic:pic>
                    </a:graphicData>
                  </a:graphic>
                </wp:inline>
              </w:drawing>
            </w:r>
          </w:p>
        </w:tc>
        <w:tc>
          <w:tcPr>
            <w:tcW w:w="0" w:type="auto"/>
            <w:vMerge/>
            <w:tcBorders>
              <w:top w:val="nil"/>
              <w:left w:val="nil"/>
              <w:bottom w:val="nil"/>
              <w:right w:val="nil"/>
            </w:tcBorders>
          </w:tcPr>
          <w:p w14:paraId="39B6D060" w14:textId="77777777" w:rsidR="00053D93" w:rsidRDefault="00053D93"/>
        </w:tc>
      </w:tr>
      <w:tr w:rsidR="00053D93" w14:paraId="2AA69EEB" w14:textId="77777777">
        <w:trPr>
          <w:trHeight w:val="810"/>
        </w:trPr>
        <w:tc>
          <w:tcPr>
            <w:tcW w:w="1629" w:type="dxa"/>
            <w:tcBorders>
              <w:top w:val="nil"/>
              <w:left w:val="nil"/>
              <w:bottom w:val="nil"/>
              <w:right w:val="nil"/>
            </w:tcBorders>
          </w:tcPr>
          <w:p w14:paraId="76D1FCDD" w14:textId="77777777" w:rsidR="00053D93" w:rsidRDefault="00260B75">
            <w:pPr>
              <w:ind w:left="36"/>
            </w:pPr>
            <w:r>
              <w:rPr>
                <w:noProof/>
              </w:rPr>
              <w:drawing>
                <wp:inline distT="0" distB="0" distL="0" distR="0" wp14:anchorId="205625C4" wp14:editId="23F3881A">
                  <wp:extent cx="118872" cy="365760"/>
                  <wp:effectExtent l="0" t="0" r="0" b="0"/>
                  <wp:docPr id="481933" name="Picture 481933"/>
                  <wp:cNvGraphicFramePr/>
                  <a:graphic xmlns:a="http://schemas.openxmlformats.org/drawingml/2006/main">
                    <a:graphicData uri="http://schemas.openxmlformats.org/drawingml/2006/picture">
                      <pic:pic xmlns:pic="http://schemas.openxmlformats.org/drawingml/2006/picture">
                        <pic:nvPicPr>
                          <pic:cNvPr id="481933" name="Picture 481933"/>
                          <pic:cNvPicPr/>
                        </pic:nvPicPr>
                        <pic:blipFill>
                          <a:blip r:embed="rId742"/>
                          <a:stretch>
                            <a:fillRect/>
                          </a:stretch>
                        </pic:blipFill>
                        <pic:spPr>
                          <a:xfrm>
                            <a:off x="0" y="0"/>
                            <a:ext cx="118872" cy="365760"/>
                          </a:xfrm>
                          <a:prstGeom prst="rect">
                            <a:avLst/>
                          </a:prstGeom>
                        </pic:spPr>
                      </pic:pic>
                    </a:graphicData>
                  </a:graphic>
                </wp:inline>
              </w:drawing>
            </w:r>
          </w:p>
        </w:tc>
        <w:tc>
          <w:tcPr>
            <w:tcW w:w="0" w:type="auto"/>
            <w:vMerge/>
            <w:tcBorders>
              <w:top w:val="nil"/>
              <w:left w:val="nil"/>
              <w:bottom w:val="nil"/>
              <w:right w:val="nil"/>
            </w:tcBorders>
          </w:tcPr>
          <w:p w14:paraId="70DEB3DA" w14:textId="77777777" w:rsidR="00053D93" w:rsidRDefault="00053D93"/>
        </w:tc>
      </w:tr>
      <w:tr w:rsidR="00053D93" w14:paraId="4DA55CC3" w14:textId="77777777">
        <w:trPr>
          <w:trHeight w:val="814"/>
        </w:trPr>
        <w:tc>
          <w:tcPr>
            <w:tcW w:w="1629" w:type="dxa"/>
            <w:tcBorders>
              <w:top w:val="nil"/>
              <w:left w:val="nil"/>
              <w:bottom w:val="nil"/>
              <w:right w:val="nil"/>
            </w:tcBorders>
          </w:tcPr>
          <w:p w14:paraId="552B666D" w14:textId="77777777" w:rsidR="00053D93" w:rsidRDefault="00260B75">
            <w:pPr>
              <w:ind w:left="29"/>
            </w:pPr>
            <w:r>
              <w:rPr>
                <w:noProof/>
              </w:rPr>
              <w:drawing>
                <wp:inline distT="0" distB="0" distL="0" distR="0" wp14:anchorId="50B91440" wp14:editId="674ACE0A">
                  <wp:extent cx="118872" cy="370332"/>
                  <wp:effectExtent l="0" t="0" r="0" b="0"/>
                  <wp:docPr id="481934" name="Picture 481934"/>
                  <wp:cNvGraphicFramePr/>
                  <a:graphic xmlns:a="http://schemas.openxmlformats.org/drawingml/2006/main">
                    <a:graphicData uri="http://schemas.openxmlformats.org/drawingml/2006/picture">
                      <pic:pic xmlns:pic="http://schemas.openxmlformats.org/drawingml/2006/picture">
                        <pic:nvPicPr>
                          <pic:cNvPr id="481934" name="Picture 481934"/>
                          <pic:cNvPicPr/>
                        </pic:nvPicPr>
                        <pic:blipFill>
                          <a:blip r:embed="rId743"/>
                          <a:stretch>
                            <a:fillRect/>
                          </a:stretch>
                        </pic:blipFill>
                        <pic:spPr>
                          <a:xfrm>
                            <a:off x="0" y="0"/>
                            <a:ext cx="118872" cy="370332"/>
                          </a:xfrm>
                          <a:prstGeom prst="rect">
                            <a:avLst/>
                          </a:prstGeom>
                        </pic:spPr>
                      </pic:pic>
                    </a:graphicData>
                  </a:graphic>
                </wp:inline>
              </w:drawing>
            </w:r>
          </w:p>
        </w:tc>
        <w:tc>
          <w:tcPr>
            <w:tcW w:w="0" w:type="auto"/>
            <w:vMerge/>
            <w:tcBorders>
              <w:top w:val="nil"/>
              <w:left w:val="nil"/>
              <w:bottom w:val="nil"/>
              <w:right w:val="nil"/>
            </w:tcBorders>
          </w:tcPr>
          <w:p w14:paraId="7D054141" w14:textId="77777777" w:rsidR="00053D93" w:rsidRDefault="00053D93"/>
        </w:tc>
      </w:tr>
      <w:tr w:rsidR="00053D93" w14:paraId="73A4D8D8" w14:textId="77777777">
        <w:trPr>
          <w:trHeight w:val="806"/>
        </w:trPr>
        <w:tc>
          <w:tcPr>
            <w:tcW w:w="1629" w:type="dxa"/>
            <w:tcBorders>
              <w:top w:val="nil"/>
              <w:left w:val="nil"/>
              <w:bottom w:val="nil"/>
              <w:right w:val="nil"/>
            </w:tcBorders>
          </w:tcPr>
          <w:p w14:paraId="5BE4924F" w14:textId="77777777" w:rsidR="00053D93" w:rsidRDefault="00260B75">
            <w:pPr>
              <w:ind w:left="29"/>
            </w:pPr>
            <w:r>
              <w:rPr>
                <w:noProof/>
              </w:rPr>
              <w:drawing>
                <wp:inline distT="0" distB="0" distL="0" distR="0" wp14:anchorId="3BCF39F6" wp14:editId="17EF7487">
                  <wp:extent cx="123444" cy="365760"/>
                  <wp:effectExtent l="0" t="0" r="0" b="0"/>
                  <wp:docPr id="481935" name="Picture 481935"/>
                  <wp:cNvGraphicFramePr/>
                  <a:graphic xmlns:a="http://schemas.openxmlformats.org/drawingml/2006/main">
                    <a:graphicData uri="http://schemas.openxmlformats.org/drawingml/2006/picture">
                      <pic:pic xmlns:pic="http://schemas.openxmlformats.org/drawingml/2006/picture">
                        <pic:nvPicPr>
                          <pic:cNvPr id="481935" name="Picture 481935"/>
                          <pic:cNvPicPr/>
                        </pic:nvPicPr>
                        <pic:blipFill>
                          <a:blip r:embed="rId744"/>
                          <a:stretch>
                            <a:fillRect/>
                          </a:stretch>
                        </pic:blipFill>
                        <pic:spPr>
                          <a:xfrm>
                            <a:off x="0" y="0"/>
                            <a:ext cx="123444" cy="365760"/>
                          </a:xfrm>
                          <a:prstGeom prst="rect">
                            <a:avLst/>
                          </a:prstGeom>
                        </pic:spPr>
                      </pic:pic>
                    </a:graphicData>
                  </a:graphic>
                </wp:inline>
              </w:drawing>
            </w:r>
          </w:p>
        </w:tc>
        <w:tc>
          <w:tcPr>
            <w:tcW w:w="0" w:type="auto"/>
            <w:vMerge/>
            <w:tcBorders>
              <w:top w:val="nil"/>
              <w:left w:val="nil"/>
              <w:bottom w:val="nil"/>
              <w:right w:val="nil"/>
            </w:tcBorders>
          </w:tcPr>
          <w:p w14:paraId="6ACDC8FF" w14:textId="77777777" w:rsidR="00053D93" w:rsidRDefault="00053D93"/>
        </w:tc>
      </w:tr>
      <w:tr w:rsidR="00053D93" w14:paraId="0C22C758" w14:textId="77777777">
        <w:trPr>
          <w:trHeight w:val="2995"/>
        </w:trPr>
        <w:tc>
          <w:tcPr>
            <w:tcW w:w="1629" w:type="dxa"/>
            <w:tcBorders>
              <w:top w:val="nil"/>
              <w:left w:val="nil"/>
              <w:bottom w:val="nil"/>
              <w:right w:val="nil"/>
            </w:tcBorders>
          </w:tcPr>
          <w:p w14:paraId="161FBA34" w14:textId="77777777" w:rsidR="00053D93" w:rsidRDefault="00260B75">
            <w:r>
              <w:rPr>
                <w:noProof/>
              </w:rPr>
              <w:lastRenderedPageBreak/>
              <w:drawing>
                <wp:inline distT="0" distB="0" distL="0" distR="0" wp14:anchorId="58561092" wp14:editId="78C68D59">
                  <wp:extent cx="1033272" cy="1828800"/>
                  <wp:effectExtent l="0" t="0" r="0" b="0"/>
                  <wp:docPr id="2458406" name="Picture 2458406"/>
                  <wp:cNvGraphicFramePr/>
                  <a:graphic xmlns:a="http://schemas.openxmlformats.org/drawingml/2006/main">
                    <a:graphicData uri="http://schemas.openxmlformats.org/drawingml/2006/picture">
                      <pic:pic xmlns:pic="http://schemas.openxmlformats.org/drawingml/2006/picture">
                        <pic:nvPicPr>
                          <pic:cNvPr id="2458406" name="Picture 2458406"/>
                          <pic:cNvPicPr/>
                        </pic:nvPicPr>
                        <pic:blipFill>
                          <a:blip r:embed="rId745"/>
                          <a:stretch>
                            <a:fillRect/>
                          </a:stretch>
                        </pic:blipFill>
                        <pic:spPr>
                          <a:xfrm>
                            <a:off x="0" y="0"/>
                            <a:ext cx="1033272" cy="1828800"/>
                          </a:xfrm>
                          <a:prstGeom prst="rect">
                            <a:avLst/>
                          </a:prstGeom>
                        </pic:spPr>
                      </pic:pic>
                    </a:graphicData>
                  </a:graphic>
                </wp:inline>
              </w:drawing>
            </w:r>
          </w:p>
        </w:tc>
        <w:tc>
          <w:tcPr>
            <w:tcW w:w="0" w:type="auto"/>
            <w:vMerge/>
            <w:tcBorders>
              <w:top w:val="nil"/>
              <w:left w:val="nil"/>
              <w:bottom w:val="nil"/>
              <w:right w:val="nil"/>
            </w:tcBorders>
          </w:tcPr>
          <w:p w14:paraId="5A370760" w14:textId="77777777" w:rsidR="00053D93" w:rsidRDefault="00053D93"/>
        </w:tc>
      </w:tr>
    </w:tbl>
    <w:p w14:paraId="2D4629CD" w14:textId="77777777" w:rsidR="00053D93" w:rsidRDefault="00260B75">
      <w:pPr>
        <w:tabs>
          <w:tab w:val="center" w:pos="5980"/>
        </w:tabs>
        <w:spacing w:after="3" w:line="265" w:lineRule="auto"/>
        <w:ind w:left="-1"/>
      </w:pPr>
      <w:r>
        <w:rPr>
          <w:noProof/>
        </w:rPr>
        <w:drawing>
          <wp:inline distT="0" distB="0" distL="0" distR="0" wp14:anchorId="74298724" wp14:editId="78325AFF">
            <wp:extent cx="178308" cy="3995928"/>
            <wp:effectExtent l="0" t="0" r="0" b="0"/>
            <wp:docPr id="481928" name="Picture 481928"/>
            <wp:cNvGraphicFramePr/>
            <a:graphic xmlns:a="http://schemas.openxmlformats.org/drawingml/2006/main">
              <a:graphicData uri="http://schemas.openxmlformats.org/drawingml/2006/picture">
                <pic:pic xmlns:pic="http://schemas.openxmlformats.org/drawingml/2006/picture">
                  <pic:nvPicPr>
                    <pic:cNvPr id="481928" name="Picture 481928"/>
                    <pic:cNvPicPr/>
                  </pic:nvPicPr>
                  <pic:blipFill>
                    <a:blip r:embed="rId746"/>
                    <a:stretch>
                      <a:fillRect/>
                    </a:stretch>
                  </pic:blipFill>
                  <pic:spPr>
                    <a:xfrm>
                      <a:off x="0" y="0"/>
                      <a:ext cx="178308" cy="3995928"/>
                    </a:xfrm>
                    <a:prstGeom prst="rect">
                      <a:avLst/>
                    </a:prstGeom>
                  </pic:spPr>
                </pic:pic>
              </a:graphicData>
            </a:graphic>
          </wp:inline>
        </w:drawing>
      </w:r>
      <w:r>
        <w:rPr>
          <w:rFonts w:ascii="Times New Roman" w:eastAsia="Times New Roman" w:hAnsi="Times New Roman" w:cs="Times New Roman"/>
          <w:sz w:val="14"/>
        </w:rPr>
        <w:tab/>
        <w:t>100</w:t>
      </w:r>
      <w:r>
        <w:br w:type="page"/>
      </w:r>
    </w:p>
    <w:tbl>
      <w:tblPr>
        <w:tblStyle w:val="TableGrid"/>
        <w:tblpPr w:vertAnchor="text" w:tblpX="1570" w:tblpY="-3564"/>
        <w:tblOverlap w:val="never"/>
        <w:tblW w:w="8597" w:type="dxa"/>
        <w:tblInd w:w="0" w:type="dxa"/>
        <w:tblCellMar>
          <w:top w:w="32" w:type="dxa"/>
          <w:left w:w="83" w:type="dxa"/>
          <w:right w:w="72" w:type="dxa"/>
        </w:tblCellMar>
        <w:tblLook w:val="04A0" w:firstRow="1" w:lastRow="0" w:firstColumn="1" w:lastColumn="0" w:noHBand="0" w:noVBand="1"/>
      </w:tblPr>
      <w:tblGrid>
        <w:gridCol w:w="203"/>
        <w:gridCol w:w="356"/>
        <w:gridCol w:w="914"/>
        <w:gridCol w:w="1267"/>
        <w:gridCol w:w="1336"/>
        <w:gridCol w:w="1390"/>
        <w:gridCol w:w="1094"/>
        <w:gridCol w:w="1094"/>
        <w:gridCol w:w="943"/>
      </w:tblGrid>
      <w:tr w:rsidR="00053D93" w14:paraId="71738381" w14:textId="77777777">
        <w:trPr>
          <w:trHeight w:val="432"/>
        </w:trPr>
        <w:tc>
          <w:tcPr>
            <w:tcW w:w="202" w:type="dxa"/>
            <w:vMerge w:val="restart"/>
            <w:tcBorders>
              <w:top w:val="single" w:sz="2" w:space="0" w:color="000000"/>
              <w:left w:val="nil"/>
              <w:bottom w:val="nil"/>
              <w:right w:val="single" w:sz="2" w:space="0" w:color="000000"/>
            </w:tcBorders>
          </w:tcPr>
          <w:p w14:paraId="77BE651A" w14:textId="77777777" w:rsidR="00053D93" w:rsidRDefault="00053D93"/>
        </w:tc>
        <w:tc>
          <w:tcPr>
            <w:tcW w:w="356" w:type="dxa"/>
            <w:tcBorders>
              <w:top w:val="single" w:sz="2" w:space="0" w:color="000000"/>
              <w:left w:val="single" w:sz="2" w:space="0" w:color="000000"/>
              <w:bottom w:val="single" w:sz="2" w:space="0" w:color="000000"/>
              <w:right w:val="single" w:sz="2" w:space="0" w:color="000000"/>
            </w:tcBorders>
          </w:tcPr>
          <w:p w14:paraId="5E398929" w14:textId="77777777" w:rsidR="00053D93" w:rsidRDefault="00053D93"/>
        </w:tc>
        <w:tc>
          <w:tcPr>
            <w:tcW w:w="914" w:type="dxa"/>
            <w:tcBorders>
              <w:top w:val="single" w:sz="2" w:space="0" w:color="000000"/>
              <w:left w:val="single" w:sz="2" w:space="0" w:color="000000"/>
              <w:bottom w:val="single" w:sz="2" w:space="0" w:color="000000"/>
              <w:right w:val="single" w:sz="2" w:space="0" w:color="000000"/>
            </w:tcBorders>
          </w:tcPr>
          <w:p w14:paraId="604FC754" w14:textId="77777777" w:rsidR="00053D93" w:rsidRDefault="00053D93"/>
        </w:tc>
        <w:tc>
          <w:tcPr>
            <w:tcW w:w="1267" w:type="dxa"/>
            <w:tcBorders>
              <w:top w:val="single" w:sz="2" w:space="0" w:color="000000"/>
              <w:left w:val="single" w:sz="2" w:space="0" w:color="000000"/>
              <w:bottom w:val="single" w:sz="2" w:space="0" w:color="000000"/>
              <w:right w:val="single" w:sz="2" w:space="0" w:color="000000"/>
            </w:tcBorders>
          </w:tcPr>
          <w:p w14:paraId="6F9ECEC2" w14:textId="77777777" w:rsidR="00053D93" w:rsidRDefault="00053D93"/>
        </w:tc>
        <w:tc>
          <w:tcPr>
            <w:tcW w:w="1336" w:type="dxa"/>
            <w:tcBorders>
              <w:top w:val="single" w:sz="2" w:space="0" w:color="000000"/>
              <w:left w:val="single" w:sz="2" w:space="0" w:color="000000"/>
              <w:bottom w:val="single" w:sz="2" w:space="0" w:color="000000"/>
              <w:right w:val="single" w:sz="2" w:space="0" w:color="000000"/>
            </w:tcBorders>
          </w:tcPr>
          <w:p w14:paraId="3A6EE23C" w14:textId="77777777" w:rsidR="00053D93" w:rsidRDefault="00260B75">
            <w:r>
              <w:rPr>
                <w:sz w:val="16"/>
              </w:rPr>
              <w:t>balonmano desarmable</w:t>
            </w:r>
          </w:p>
        </w:tc>
        <w:tc>
          <w:tcPr>
            <w:tcW w:w="1390" w:type="dxa"/>
            <w:tcBorders>
              <w:top w:val="single" w:sz="2" w:space="0" w:color="000000"/>
              <w:left w:val="single" w:sz="2" w:space="0" w:color="000000"/>
              <w:bottom w:val="single" w:sz="2" w:space="0" w:color="000000"/>
              <w:right w:val="single" w:sz="2" w:space="0" w:color="000000"/>
            </w:tcBorders>
          </w:tcPr>
          <w:p w14:paraId="4AE9F814" w14:textId="77777777" w:rsidR="00053D93" w:rsidRDefault="00053D93"/>
        </w:tc>
        <w:tc>
          <w:tcPr>
            <w:tcW w:w="1094" w:type="dxa"/>
            <w:tcBorders>
              <w:top w:val="single" w:sz="2" w:space="0" w:color="000000"/>
              <w:left w:val="single" w:sz="2" w:space="0" w:color="000000"/>
              <w:bottom w:val="single" w:sz="2" w:space="0" w:color="000000"/>
              <w:right w:val="single" w:sz="2" w:space="0" w:color="000000"/>
            </w:tcBorders>
          </w:tcPr>
          <w:p w14:paraId="0CDF00C5" w14:textId="77777777" w:rsidR="00053D93" w:rsidRDefault="00053D93"/>
        </w:tc>
        <w:tc>
          <w:tcPr>
            <w:tcW w:w="1094" w:type="dxa"/>
            <w:tcBorders>
              <w:top w:val="single" w:sz="2" w:space="0" w:color="000000"/>
              <w:left w:val="single" w:sz="2" w:space="0" w:color="000000"/>
              <w:bottom w:val="single" w:sz="2" w:space="0" w:color="000000"/>
              <w:right w:val="single" w:sz="2" w:space="0" w:color="000000"/>
            </w:tcBorders>
          </w:tcPr>
          <w:p w14:paraId="622D2F73" w14:textId="77777777" w:rsidR="00053D93" w:rsidRDefault="00053D93"/>
        </w:tc>
        <w:tc>
          <w:tcPr>
            <w:tcW w:w="943" w:type="dxa"/>
            <w:tcBorders>
              <w:top w:val="single" w:sz="2" w:space="0" w:color="000000"/>
              <w:left w:val="single" w:sz="2" w:space="0" w:color="000000"/>
              <w:bottom w:val="single" w:sz="2" w:space="0" w:color="000000"/>
              <w:right w:val="single" w:sz="2" w:space="0" w:color="000000"/>
            </w:tcBorders>
          </w:tcPr>
          <w:p w14:paraId="7A823D38" w14:textId="77777777" w:rsidR="00053D93" w:rsidRDefault="00053D93"/>
        </w:tc>
      </w:tr>
      <w:tr w:rsidR="00053D93" w14:paraId="3EBB508C" w14:textId="77777777">
        <w:trPr>
          <w:trHeight w:val="293"/>
        </w:trPr>
        <w:tc>
          <w:tcPr>
            <w:tcW w:w="0" w:type="auto"/>
            <w:vMerge/>
            <w:tcBorders>
              <w:top w:val="nil"/>
              <w:left w:val="nil"/>
              <w:bottom w:val="nil"/>
              <w:right w:val="single" w:sz="2" w:space="0" w:color="000000"/>
            </w:tcBorders>
          </w:tcPr>
          <w:p w14:paraId="7788D6EF" w14:textId="77777777" w:rsidR="00053D93" w:rsidRDefault="00053D93"/>
        </w:tc>
        <w:tc>
          <w:tcPr>
            <w:tcW w:w="356" w:type="dxa"/>
            <w:tcBorders>
              <w:top w:val="single" w:sz="2" w:space="0" w:color="000000"/>
              <w:left w:val="single" w:sz="2" w:space="0" w:color="000000"/>
              <w:bottom w:val="single" w:sz="2" w:space="0" w:color="000000"/>
              <w:right w:val="nil"/>
            </w:tcBorders>
          </w:tcPr>
          <w:p w14:paraId="57AA7E64" w14:textId="77777777" w:rsidR="00053D93" w:rsidRDefault="00053D93"/>
        </w:tc>
        <w:tc>
          <w:tcPr>
            <w:tcW w:w="914" w:type="dxa"/>
            <w:tcBorders>
              <w:top w:val="single" w:sz="2" w:space="0" w:color="000000"/>
              <w:left w:val="nil"/>
              <w:bottom w:val="single" w:sz="2" w:space="0" w:color="000000"/>
              <w:right w:val="nil"/>
            </w:tcBorders>
          </w:tcPr>
          <w:p w14:paraId="42BFAE00" w14:textId="77777777" w:rsidR="00053D93" w:rsidRDefault="00053D93"/>
        </w:tc>
        <w:tc>
          <w:tcPr>
            <w:tcW w:w="1267" w:type="dxa"/>
            <w:tcBorders>
              <w:top w:val="single" w:sz="2" w:space="0" w:color="000000"/>
              <w:left w:val="nil"/>
              <w:bottom w:val="single" w:sz="2" w:space="0" w:color="000000"/>
              <w:right w:val="nil"/>
            </w:tcBorders>
          </w:tcPr>
          <w:p w14:paraId="4E831083" w14:textId="77777777" w:rsidR="00053D93" w:rsidRDefault="00053D93"/>
        </w:tc>
        <w:tc>
          <w:tcPr>
            <w:tcW w:w="3820" w:type="dxa"/>
            <w:gridSpan w:val="3"/>
            <w:tcBorders>
              <w:top w:val="single" w:sz="2" w:space="0" w:color="000000"/>
              <w:left w:val="nil"/>
              <w:bottom w:val="single" w:sz="2" w:space="0" w:color="000000"/>
              <w:right w:val="nil"/>
            </w:tcBorders>
          </w:tcPr>
          <w:p w14:paraId="151D5B9E" w14:textId="77777777" w:rsidR="00053D93" w:rsidRDefault="00260B75">
            <w:pPr>
              <w:ind w:left="65"/>
            </w:pPr>
            <w:r>
              <w:rPr>
                <w:sz w:val="16"/>
              </w:rPr>
              <w:t>Departamento Técnico Nacional (Sede Técnica)</w:t>
            </w:r>
          </w:p>
        </w:tc>
        <w:tc>
          <w:tcPr>
            <w:tcW w:w="1094" w:type="dxa"/>
            <w:tcBorders>
              <w:top w:val="single" w:sz="2" w:space="0" w:color="000000"/>
              <w:left w:val="nil"/>
              <w:bottom w:val="single" w:sz="2" w:space="0" w:color="000000"/>
              <w:right w:val="nil"/>
            </w:tcBorders>
          </w:tcPr>
          <w:p w14:paraId="225070B3" w14:textId="77777777" w:rsidR="00053D93" w:rsidRDefault="00053D93"/>
        </w:tc>
        <w:tc>
          <w:tcPr>
            <w:tcW w:w="943" w:type="dxa"/>
            <w:tcBorders>
              <w:top w:val="single" w:sz="2" w:space="0" w:color="000000"/>
              <w:left w:val="nil"/>
              <w:bottom w:val="single" w:sz="2" w:space="0" w:color="000000"/>
              <w:right w:val="single" w:sz="2" w:space="0" w:color="000000"/>
            </w:tcBorders>
          </w:tcPr>
          <w:p w14:paraId="030054A1" w14:textId="77777777" w:rsidR="00053D93" w:rsidRDefault="00053D93"/>
        </w:tc>
      </w:tr>
      <w:tr w:rsidR="00053D93" w14:paraId="497A4CAC" w14:textId="77777777">
        <w:trPr>
          <w:trHeight w:val="562"/>
        </w:trPr>
        <w:tc>
          <w:tcPr>
            <w:tcW w:w="0" w:type="auto"/>
            <w:vMerge/>
            <w:tcBorders>
              <w:top w:val="nil"/>
              <w:left w:val="nil"/>
              <w:bottom w:val="nil"/>
              <w:right w:val="single" w:sz="2" w:space="0" w:color="000000"/>
            </w:tcBorders>
          </w:tcPr>
          <w:p w14:paraId="330DDD36" w14:textId="77777777" w:rsidR="00053D93" w:rsidRDefault="00053D93"/>
        </w:tc>
        <w:tc>
          <w:tcPr>
            <w:tcW w:w="356" w:type="dxa"/>
            <w:tcBorders>
              <w:top w:val="single" w:sz="2" w:space="0" w:color="000000"/>
              <w:left w:val="single" w:sz="2" w:space="0" w:color="000000"/>
              <w:bottom w:val="single" w:sz="2" w:space="0" w:color="000000"/>
              <w:right w:val="single" w:sz="2" w:space="0" w:color="000000"/>
            </w:tcBorders>
          </w:tcPr>
          <w:p w14:paraId="35EC1CA3" w14:textId="77777777" w:rsidR="00053D93" w:rsidRDefault="00260B75">
            <w:pPr>
              <w:ind w:left="18"/>
            </w:pPr>
            <w:r>
              <w:rPr>
                <w:rFonts w:ascii="Times New Roman" w:eastAsia="Times New Roman" w:hAnsi="Times New Roman" w:cs="Times New Roman"/>
                <w:sz w:val="16"/>
              </w:rPr>
              <w:t>40</w:t>
            </w:r>
          </w:p>
        </w:tc>
        <w:tc>
          <w:tcPr>
            <w:tcW w:w="914" w:type="dxa"/>
            <w:tcBorders>
              <w:top w:val="single" w:sz="2" w:space="0" w:color="000000"/>
              <w:left w:val="single" w:sz="2" w:space="0" w:color="000000"/>
              <w:bottom w:val="single" w:sz="2" w:space="0" w:color="000000"/>
              <w:right w:val="single" w:sz="2" w:space="0" w:color="000000"/>
            </w:tcBorders>
          </w:tcPr>
          <w:p w14:paraId="3E135FA6" w14:textId="77777777" w:rsidR="00053D93" w:rsidRDefault="00260B75">
            <w:pPr>
              <w:ind w:right="11"/>
              <w:jc w:val="center"/>
            </w:pPr>
            <w:r>
              <w:rPr>
                <w:rFonts w:ascii="Times New Roman" w:eastAsia="Times New Roman" w:hAnsi="Times New Roman" w:cs="Times New Roman"/>
                <w:sz w:val="14"/>
              </w:rPr>
              <w:t>294026</w:t>
            </w:r>
          </w:p>
        </w:tc>
        <w:tc>
          <w:tcPr>
            <w:tcW w:w="1267" w:type="dxa"/>
            <w:tcBorders>
              <w:top w:val="single" w:sz="2" w:space="0" w:color="000000"/>
              <w:left w:val="single" w:sz="2" w:space="0" w:color="000000"/>
              <w:bottom w:val="single" w:sz="2" w:space="0" w:color="000000"/>
              <w:right w:val="single" w:sz="2" w:space="0" w:color="000000"/>
            </w:tcBorders>
          </w:tcPr>
          <w:p w14:paraId="08493342" w14:textId="77777777" w:rsidR="00053D93" w:rsidRDefault="00260B75">
            <w:pPr>
              <w:ind w:right="11"/>
              <w:jc w:val="center"/>
            </w:pPr>
            <w:r>
              <w:rPr>
                <w:rFonts w:ascii="Times New Roman" w:eastAsia="Times New Roman" w:hAnsi="Times New Roman" w:cs="Times New Roman"/>
                <w:sz w:val="14"/>
              </w:rPr>
              <w:t>2024-5318</w:t>
            </w:r>
          </w:p>
        </w:tc>
        <w:tc>
          <w:tcPr>
            <w:tcW w:w="1336" w:type="dxa"/>
            <w:tcBorders>
              <w:top w:val="single" w:sz="2" w:space="0" w:color="000000"/>
              <w:left w:val="single" w:sz="2" w:space="0" w:color="000000"/>
              <w:bottom w:val="single" w:sz="2" w:space="0" w:color="000000"/>
              <w:right w:val="single" w:sz="2" w:space="0" w:color="000000"/>
            </w:tcBorders>
          </w:tcPr>
          <w:p w14:paraId="7B40172E" w14:textId="77777777" w:rsidR="00053D93" w:rsidRDefault="00260B75">
            <w:pPr>
              <w:ind w:right="7" w:firstLine="7"/>
              <w:jc w:val="both"/>
            </w:pPr>
            <w:r>
              <w:rPr>
                <w:sz w:val="14"/>
              </w:rPr>
              <w:t>Pelota de futbol circunferencia 68 a 71 número S</w:t>
            </w:r>
          </w:p>
        </w:tc>
        <w:tc>
          <w:tcPr>
            <w:tcW w:w="1390" w:type="dxa"/>
            <w:tcBorders>
              <w:top w:val="single" w:sz="2" w:space="0" w:color="000000"/>
              <w:left w:val="single" w:sz="2" w:space="0" w:color="000000"/>
              <w:bottom w:val="single" w:sz="2" w:space="0" w:color="000000"/>
              <w:right w:val="single" w:sz="2" w:space="0" w:color="000000"/>
            </w:tcBorders>
          </w:tcPr>
          <w:p w14:paraId="64C6465B" w14:textId="77777777" w:rsidR="00053D93" w:rsidRDefault="00260B75">
            <w:pPr>
              <w:ind w:left="4"/>
              <w:jc w:val="center"/>
            </w:pPr>
            <w:r>
              <w:rPr>
                <w:rFonts w:ascii="Times New Roman" w:eastAsia="Times New Roman" w:hAnsi="Times New Roman" w:cs="Times New Roman"/>
                <w:sz w:val="14"/>
              </w:rPr>
              <w:t>294</w:t>
            </w:r>
          </w:p>
        </w:tc>
        <w:tc>
          <w:tcPr>
            <w:tcW w:w="1094" w:type="dxa"/>
            <w:tcBorders>
              <w:top w:val="single" w:sz="2" w:space="0" w:color="000000"/>
              <w:left w:val="single" w:sz="2" w:space="0" w:color="000000"/>
              <w:bottom w:val="single" w:sz="2" w:space="0" w:color="000000"/>
              <w:right w:val="single" w:sz="2" w:space="0" w:color="000000"/>
            </w:tcBorders>
          </w:tcPr>
          <w:p w14:paraId="2585FAA2" w14:textId="77777777" w:rsidR="00053D93" w:rsidRDefault="00260B75">
            <w:pPr>
              <w:ind w:right="4"/>
              <w:jc w:val="center"/>
            </w:pPr>
            <w:r>
              <w:rPr>
                <w:rFonts w:ascii="Times New Roman" w:eastAsia="Times New Roman" w:hAnsi="Times New Roman" w:cs="Times New Roman"/>
                <w:sz w:val="14"/>
              </w:rPr>
              <w:t>5/08/2024</w:t>
            </w:r>
          </w:p>
        </w:tc>
        <w:tc>
          <w:tcPr>
            <w:tcW w:w="1094" w:type="dxa"/>
            <w:tcBorders>
              <w:top w:val="single" w:sz="2" w:space="0" w:color="000000"/>
              <w:left w:val="single" w:sz="2" w:space="0" w:color="000000"/>
              <w:bottom w:val="single" w:sz="2" w:space="0" w:color="000000"/>
              <w:right w:val="single" w:sz="2" w:space="0" w:color="000000"/>
            </w:tcBorders>
          </w:tcPr>
          <w:p w14:paraId="1FECF012" w14:textId="77777777" w:rsidR="00053D93" w:rsidRDefault="00260B75">
            <w:pPr>
              <w:ind w:left="4"/>
              <w:jc w:val="center"/>
            </w:pPr>
            <w:r>
              <w:rPr>
                <w:rFonts w:ascii="Times New Roman" w:eastAsia="Times New Roman" w:hAnsi="Times New Roman" w:cs="Times New Roman"/>
                <w:sz w:val="16"/>
              </w:rPr>
              <w:t>15</w:t>
            </w:r>
          </w:p>
        </w:tc>
        <w:tc>
          <w:tcPr>
            <w:tcW w:w="943" w:type="dxa"/>
            <w:tcBorders>
              <w:top w:val="single" w:sz="2" w:space="0" w:color="000000"/>
              <w:left w:val="single" w:sz="2" w:space="0" w:color="000000"/>
              <w:bottom w:val="single" w:sz="2" w:space="0" w:color="000000"/>
              <w:right w:val="single" w:sz="2" w:space="0" w:color="000000"/>
            </w:tcBorders>
          </w:tcPr>
          <w:p w14:paraId="5FC2A67F" w14:textId="77777777" w:rsidR="00053D93" w:rsidRDefault="00260B75">
            <w:pPr>
              <w:ind w:left="284"/>
            </w:pPr>
            <w:r>
              <w:rPr>
                <w:rFonts w:ascii="Times New Roman" w:eastAsia="Times New Roman" w:hAnsi="Times New Roman" w:cs="Times New Roman"/>
                <w:sz w:val="14"/>
              </w:rPr>
              <w:t>3.667.44</w:t>
            </w:r>
          </w:p>
        </w:tc>
      </w:tr>
      <w:tr w:rsidR="00053D93" w14:paraId="29DC4DA0" w14:textId="77777777">
        <w:trPr>
          <w:trHeight w:val="288"/>
        </w:trPr>
        <w:tc>
          <w:tcPr>
            <w:tcW w:w="0" w:type="auto"/>
            <w:vMerge/>
            <w:tcBorders>
              <w:top w:val="nil"/>
              <w:left w:val="nil"/>
              <w:bottom w:val="nil"/>
              <w:right w:val="single" w:sz="2" w:space="0" w:color="000000"/>
            </w:tcBorders>
          </w:tcPr>
          <w:p w14:paraId="73DC49F5" w14:textId="77777777" w:rsidR="00053D93" w:rsidRDefault="00053D93"/>
        </w:tc>
        <w:tc>
          <w:tcPr>
            <w:tcW w:w="356" w:type="dxa"/>
            <w:tcBorders>
              <w:top w:val="single" w:sz="2" w:space="0" w:color="000000"/>
              <w:left w:val="single" w:sz="2" w:space="0" w:color="000000"/>
              <w:bottom w:val="single" w:sz="2" w:space="0" w:color="000000"/>
              <w:right w:val="nil"/>
            </w:tcBorders>
          </w:tcPr>
          <w:p w14:paraId="650E3649" w14:textId="77777777" w:rsidR="00053D93" w:rsidRDefault="00053D93"/>
        </w:tc>
        <w:tc>
          <w:tcPr>
            <w:tcW w:w="914" w:type="dxa"/>
            <w:tcBorders>
              <w:top w:val="single" w:sz="2" w:space="0" w:color="000000"/>
              <w:left w:val="nil"/>
              <w:bottom w:val="single" w:sz="2" w:space="0" w:color="000000"/>
              <w:right w:val="nil"/>
            </w:tcBorders>
          </w:tcPr>
          <w:p w14:paraId="6D457924" w14:textId="77777777" w:rsidR="00053D93" w:rsidRDefault="00053D93"/>
        </w:tc>
        <w:tc>
          <w:tcPr>
            <w:tcW w:w="1267" w:type="dxa"/>
            <w:tcBorders>
              <w:top w:val="single" w:sz="2" w:space="0" w:color="000000"/>
              <w:left w:val="nil"/>
              <w:bottom w:val="single" w:sz="2" w:space="0" w:color="000000"/>
              <w:right w:val="nil"/>
            </w:tcBorders>
          </w:tcPr>
          <w:p w14:paraId="1D454621" w14:textId="77777777" w:rsidR="00053D93" w:rsidRDefault="00053D93"/>
        </w:tc>
        <w:tc>
          <w:tcPr>
            <w:tcW w:w="3820" w:type="dxa"/>
            <w:gridSpan w:val="3"/>
            <w:tcBorders>
              <w:top w:val="single" w:sz="2" w:space="0" w:color="000000"/>
              <w:left w:val="nil"/>
              <w:bottom w:val="single" w:sz="2" w:space="0" w:color="000000"/>
              <w:right w:val="nil"/>
            </w:tcBorders>
          </w:tcPr>
          <w:p w14:paraId="05A010C5" w14:textId="77777777" w:rsidR="00053D93" w:rsidRDefault="00260B75">
            <w:pPr>
              <w:ind w:left="1094"/>
            </w:pPr>
            <w:r>
              <w:rPr>
                <w:sz w:val="16"/>
              </w:rPr>
              <w:t>Sección INJUD</w:t>
            </w:r>
          </w:p>
        </w:tc>
        <w:tc>
          <w:tcPr>
            <w:tcW w:w="1094" w:type="dxa"/>
            <w:tcBorders>
              <w:top w:val="single" w:sz="2" w:space="0" w:color="000000"/>
              <w:left w:val="nil"/>
              <w:bottom w:val="single" w:sz="2" w:space="0" w:color="000000"/>
              <w:right w:val="nil"/>
            </w:tcBorders>
          </w:tcPr>
          <w:p w14:paraId="68B0128E" w14:textId="77777777" w:rsidR="00053D93" w:rsidRDefault="00053D93"/>
        </w:tc>
        <w:tc>
          <w:tcPr>
            <w:tcW w:w="943" w:type="dxa"/>
            <w:tcBorders>
              <w:top w:val="single" w:sz="2" w:space="0" w:color="000000"/>
              <w:left w:val="nil"/>
              <w:bottom w:val="single" w:sz="2" w:space="0" w:color="000000"/>
              <w:right w:val="single" w:sz="2" w:space="0" w:color="000000"/>
            </w:tcBorders>
          </w:tcPr>
          <w:p w14:paraId="45C4CC3E" w14:textId="77777777" w:rsidR="00053D93" w:rsidRDefault="00053D93"/>
        </w:tc>
      </w:tr>
      <w:tr w:rsidR="00053D93" w14:paraId="6C6B5970" w14:textId="77777777">
        <w:trPr>
          <w:trHeight w:val="377"/>
        </w:trPr>
        <w:tc>
          <w:tcPr>
            <w:tcW w:w="0" w:type="auto"/>
            <w:vMerge/>
            <w:tcBorders>
              <w:top w:val="nil"/>
              <w:left w:val="nil"/>
              <w:bottom w:val="nil"/>
              <w:right w:val="single" w:sz="2" w:space="0" w:color="000000"/>
            </w:tcBorders>
          </w:tcPr>
          <w:p w14:paraId="039ACA92" w14:textId="77777777" w:rsidR="00053D93" w:rsidRDefault="00053D93"/>
        </w:tc>
        <w:tc>
          <w:tcPr>
            <w:tcW w:w="356" w:type="dxa"/>
            <w:tcBorders>
              <w:top w:val="single" w:sz="2" w:space="0" w:color="000000"/>
              <w:left w:val="single" w:sz="2" w:space="0" w:color="000000"/>
              <w:bottom w:val="single" w:sz="2" w:space="0" w:color="000000"/>
              <w:right w:val="single" w:sz="2" w:space="0" w:color="000000"/>
            </w:tcBorders>
          </w:tcPr>
          <w:p w14:paraId="6459F58A" w14:textId="77777777" w:rsidR="00053D93" w:rsidRDefault="00260B75">
            <w:pPr>
              <w:ind w:left="18"/>
            </w:pPr>
            <w:r>
              <w:rPr>
                <w:rFonts w:ascii="Times New Roman" w:eastAsia="Times New Roman" w:hAnsi="Times New Roman" w:cs="Times New Roman"/>
                <w:sz w:val="16"/>
              </w:rPr>
              <w:t>41</w:t>
            </w:r>
          </w:p>
        </w:tc>
        <w:tc>
          <w:tcPr>
            <w:tcW w:w="914" w:type="dxa"/>
            <w:tcBorders>
              <w:top w:val="single" w:sz="2" w:space="0" w:color="000000"/>
              <w:left w:val="single" w:sz="2" w:space="0" w:color="000000"/>
              <w:bottom w:val="single" w:sz="2" w:space="0" w:color="000000"/>
              <w:right w:val="single" w:sz="2" w:space="0" w:color="000000"/>
            </w:tcBorders>
          </w:tcPr>
          <w:p w14:paraId="6A2D994E" w14:textId="77777777" w:rsidR="00053D93" w:rsidRDefault="00260B75">
            <w:pPr>
              <w:ind w:right="11"/>
              <w:jc w:val="center"/>
            </w:pPr>
            <w:r>
              <w:rPr>
                <w:rFonts w:ascii="Times New Roman" w:eastAsia="Times New Roman" w:hAnsi="Times New Roman" w:cs="Times New Roman"/>
                <w:sz w:val="14"/>
              </w:rPr>
              <w:t>294094</w:t>
            </w:r>
          </w:p>
        </w:tc>
        <w:tc>
          <w:tcPr>
            <w:tcW w:w="1267" w:type="dxa"/>
            <w:tcBorders>
              <w:top w:val="single" w:sz="2" w:space="0" w:color="000000"/>
              <w:left w:val="single" w:sz="2" w:space="0" w:color="000000"/>
              <w:bottom w:val="single" w:sz="2" w:space="0" w:color="000000"/>
              <w:right w:val="single" w:sz="2" w:space="0" w:color="000000"/>
            </w:tcBorders>
          </w:tcPr>
          <w:p w14:paraId="725F2DEF" w14:textId="77777777" w:rsidR="00053D93" w:rsidRDefault="00260B75">
            <w:pPr>
              <w:ind w:right="18"/>
              <w:jc w:val="center"/>
            </w:pPr>
            <w:r>
              <w:rPr>
                <w:rFonts w:ascii="Times New Roman" w:eastAsia="Times New Roman" w:hAnsi="Times New Roman" w:cs="Times New Roman"/>
                <w:sz w:val="14"/>
              </w:rPr>
              <w:t>2024-23291</w:t>
            </w:r>
          </w:p>
        </w:tc>
        <w:tc>
          <w:tcPr>
            <w:tcW w:w="1336" w:type="dxa"/>
            <w:tcBorders>
              <w:top w:val="single" w:sz="2" w:space="0" w:color="000000"/>
              <w:left w:val="single" w:sz="2" w:space="0" w:color="000000"/>
              <w:bottom w:val="single" w:sz="2" w:space="0" w:color="000000"/>
              <w:right w:val="single" w:sz="2" w:space="0" w:color="000000"/>
            </w:tcBorders>
          </w:tcPr>
          <w:p w14:paraId="4872198B" w14:textId="77777777" w:rsidR="00053D93" w:rsidRDefault="00260B75">
            <w:pPr>
              <w:ind w:left="7"/>
            </w:pPr>
            <w:r>
              <w:rPr>
                <w:sz w:val="16"/>
              </w:rPr>
              <w:t>Palo (stíck) de Hockey</w:t>
            </w:r>
          </w:p>
        </w:tc>
        <w:tc>
          <w:tcPr>
            <w:tcW w:w="1390" w:type="dxa"/>
            <w:tcBorders>
              <w:top w:val="single" w:sz="2" w:space="0" w:color="000000"/>
              <w:left w:val="single" w:sz="2" w:space="0" w:color="000000"/>
              <w:bottom w:val="single" w:sz="2" w:space="0" w:color="000000"/>
              <w:right w:val="single" w:sz="2" w:space="0" w:color="000000"/>
            </w:tcBorders>
          </w:tcPr>
          <w:p w14:paraId="5C4ABCBD" w14:textId="77777777" w:rsidR="00053D93" w:rsidRDefault="00260B75">
            <w:pPr>
              <w:ind w:right="4"/>
              <w:jc w:val="center"/>
            </w:pPr>
            <w:r>
              <w:rPr>
                <w:rFonts w:ascii="Times New Roman" w:eastAsia="Times New Roman" w:hAnsi="Times New Roman" w:cs="Times New Roman"/>
                <w:sz w:val="14"/>
              </w:rPr>
              <w:t>294</w:t>
            </w:r>
          </w:p>
        </w:tc>
        <w:tc>
          <w:tcPr>
            <w:tcW w:w="1094" w:type="dxa"/>
            <w:tcBorders>
              <w:top w:val="single" w:sz="2" w:space="0" w:color="000000"/>
              <w:left w:val="single" w:sz="2" w:space="0" w:color="000000"/>
              <w:bottom w:val="single" w:sz="2" w:space="0" w:color="000000"/>
              <w:right w:val="single" w:sz="2" w:space="0" w:color="000000"/>
            </w:tcBorders>
          </w:tcPr>
          <w:p w14:paraId="3A37974C" w14:textId="77777777" w:rsidR="00053D93" w:rsidRDefault="00260B75">
            <w:pPr>
              <w:ind w:right="4"/>
              <w:jc w:val="center"/>
            </w:pPr>
            <w:r>
              <w:rPr>
                <w:rFonts w:ascii="Times New Roman" w:eastAsia="Times New Roman" w:hAnsi="Times New Roman" w:cs="Times New Roman"/>
                <w:sz w:val="14"/>
              </w:rPr>
              <w:t>8111/2024</w:t>
            </w:r>
          </w:p>
        </w:tc>
        <w:tc>
          <w:tcPr>
            <w:tcW w:w="1094" w:type="dxa"/>
            <w:tcBorders>
              <w:top w:val="single" w:sz="2" w:space="0" w:color="000000"/>
              <w:left w:val="single" w:sz="2" w:space="0" w:color="000000"/>
              <w:bottom w:val="single" w:sz="2" w:space="0" w:color="000000"/>
              <w:right w:val="single" w:sz="2" w:space="0" w:color="000000"/>
            </w:tcBorders>
          </w:tcPr>
          <w:p w14:paraId="01B40306" w14:textId="77777777" w:rsidR="00053D93" w:rsidRDefault="00260B75">
            <w:pPr>
              <w:ind w:right="4"/>
              <w:jc w:val="center"/>
            </w:pPr>
            <w:r>
              <w:rPr>
                <w:rFonts w:ascii="Times New Roman" w:eastAsia="Times New Roman" w:hAnsi="Times New Roman" w:cs="Times New Roman"/>
                <w:sz w:val="14"/>
              </w:rPr>
              <w:t>60</w:t>
            </w:r>
          </w:p>
        </w:tc>
        <w:tc>
          <w:tcPr>
            <w:tcW w:w="943" w:type="dxa"/>
            <w:tcBorders>
              <w:top w:val="single" w:sz="2" w:space="0" w:color="000000"/>
              <w:left w:val="single" w:sz="2" w:space="0" w:color="000000"/>
              <w:bottom w:val="single" w:sz="2" w:space="0" w:color="000000"/>
              <w:right w:val="single" w:sz="2" w:space="0" w:color="000000"/>
            </w:tcBorders>
          </w:tcPr>
          <w:p w14:paraId="71E4AA6F" w14:textId="77777777" w:rsidR="00053D93" w:rsidRDefault="00260B75">
            <w:pPr>
              <w:ind w:left="205"/>
            </w:pPr>
            <w:r>
              <w:rPr>
                <w:rFonts w:ascii="Times New Roman" w:eastAsia="Times New Roman" w:hAnsi="Times New Roman" w:cs="Times New Roman"/>
                <w:sz w:val="14"/>
              </w:rPr>
              <w:t>88.800,00</w:t>
            </w:r>
          </w:p>
        </w:tc>
      </w:tr>
      <w:tr w:rsidR="00053D93" w14:paraId="3096FEF9" w14:textId="77777777">
        <w:trPr>
          <w:trHeight w:val="379"/>
        </w:trPr>
        <w:tc>
          <w:tcPr>
            <w:tcW w:w="0" w:type="auto"/>
            <w:vMerge/>
            <w:tcBorders>
              <w:top w:val="nil"/>
              <w:left w:val="nil"/>
              <w:bottom w:val="nil"/>
              <w:right w:val="single" w:sz="2" w:space="0" w:color="000000"/>
            </w:tcBorders>
          </w:tcPr>
          <w:p w14:paraId="6D530ADB" w14:textId="77777777" w:rsidR="00053D93" w:rsidRDefault="00053D93"/>
        </w:tc>
        <w:tc>
          <w:tcPr>
            <w:tcW w:w="356" w:type="dxa"/>
            <w:tcBorders>
              <w:top w:val="single" w:sz="2" w:space="0" w:color="000000"/>
              <w:left w:val="single" w:sz="2" w:space="0" w:color="000000"/>
              <w:bottom w:val="single" w:sz="2" w:space="0" w:color="000000"/>
              <w:right w:val="single" w:sz="2" w:space="0" w:color="000000"/>
            </w:tcBorders>
          </w:tcPr>
          <w:p w14:paraId="25D4666D" w14:textId="77777777" w:rsidR="00053D93" w:rsidRDefault="00260B75">
            <w:pPr>
              <w:ind w:left="18"/>
            </w:pPr>
            <w:r>
              <w:rPr>
                <w:rFonts w:ascii="Times New Roman" w:eastAsia="Times New Roman" w:hAnsi="Times New Roman" w:cs="Times New Roman"/>
                <w:sz w:val="16"/>
              </w:rPr>
              <w:t>42</w:t>
            </w:r>
          </w:p>
        </w:tc>
        <w:tc>
          <w:tcPr>
            <w:tcW w:w="914" w:type="dxa"/>
            <w:tcBorders>
              <w:top w:val="single" w:sz="2" w:space="0" w:color="000000"/>
              <w:left w:val="single" w:sz="2" w:space="0" w:color="000000"/>
              <w:bottom w:val="single" w:sz="2" w:space="0" w:color="000000"/>
              <w:right w:val="single" w:sz="2" w:space="0" w:color="000000"/>
            </w:tcBorders>
          </w:tcPr>
          <w:p w14:paraId="606A289B" w14:textId="77777777" w:rsidR="00053D93" w:rsidRDefault="00260B75">
            <w:pPr>
              <w:ind w:right="11"/>
              <w:jc w:val="center"/>
            </w:pPr>
            <w:r>
              <w:rPr>
                <w:rFonts w:ascii="Times New Roman" w:eastAsia="Times New Roman" w:hAnsi="Times New Roman" w:cs="Times New Roman"/>
                <w:sz w:val="14"/>
              </w:rPr>
              <w:t>294095</w:t>
            </w:r>
          </w:p>
        </w:tc>
        <w:tc>
          <w:tcPr>
            <w:tcW w:w="1267" w:type="dxa"/>
            <w:tcBorders>
              <w:top w:val="single" w:sz="2" w:space="0" w:color="000000"/>
              <w:left w:val="single" w:sz="2" w:space="0" w:color="000000"/>
              <w:bottom w:val="single" w:sz="2" w:space="0" w:color="000000"/>
              <w:right w:val="single" w:sz="2" w:space="0" w:color="000000"/>
            </w:tcBorders>
          </w:tcPr>
          <w:p w14:paraId="63A4A74F" w14:textId="77777777" w:rsidR="00053D93" w:rsidRDefault="00260B75">
            <w:pPr>
              <w:ind w:right="4"/>
              <w:jc w:val="center"/>
            </w:pPr>
            <w:r>
              <w:rPr>
                <w:rFonts w:ascii="Times New Roman" w:eastAsia="Times New Roman" w:hAnsi="Times New Roman" w:cs="Times New Roman"/>
                <w:sz w:val="14"/>
              </w:rPr>
              <w:t>2024-23146</w:t>
            </w:r>
          </w:p>
        </w:tc>
        <w:tc>
          <w:tcPr>
            <w:tcW w:w="1336" w:type="dxa"/>
            <w:tcBorders>
              <w:top w:val="single" w:sz="2" w:space="0" w:color="000000"/>
              <w:left w:val="single" w:sz="2" w:space="0" w:color="000000"/>
              <w:bottom w:val="single" w:sz="2" w:space="0" w:color="000000"/>
              <w:right w:val="single" w:sz="2" w:space="0" w:color="000000"/>
            </w:tcBorders>
          </w:tcPr>
          <w:p w14:paraId="3EB37C35" w14:textId="77777777" w:rsidR="00053D93" w:rsidRDefault="00260B75">
            <w:r>
              <w:rPr>
                <w:sz w:val="16"/>
              </w:rPr>
              <w:t>Traje de portero para hockey</w:t>
            </w:r>
          </w:p>
        </w:tc>
        <w:tc>
          <w:tcPr>
            <w:tcW w:w="1390" w:type="dxa"/>
            <w:tcBorders>
              <w:top w:val="single" w:sz="2" w:space="0" w:color="000000"/>
              <w:left w:val="single" w:sz="2" w:space="0" w:color="000000"/>
              <w:bottom w:val="single" w:sz="2" w:space="0" w:color="000000"/>
              <w:right w:val="single" w:sz="2" w:space="0" w:color="000000"/>
            </w:tcBorders>
          </w:tcPr>
          <w:p w14:paraId="06B0D66C" w14:textId="77777777" w:rsidR="00053D93" w:rsidRDefault="00260B75">
            <w:pPr>
              <w:ind w:right="11"/>
              <w:jc w:val="center"/>
            </w:pPr>
            <w:r>
              <w:rPr>
                <w:rFonts w:ascii="Times New Roman" w:eastAsia="Times New Roman" w:hAnsi="Times New Roman" w:cs="Times New Roman"/>
                <w:sz w:val="14"/>
              </w:rPr>
              <w:t>294</w:t>
            </w:r>
          </w:p>
        </w:tc>
        <w:tc>
          <w:tcPr>
            <w:tcW w:w="1094" w:type="dxa"/>
            <w:tcBorders>
              <w:top w:val="single" w:sz="2" w:space="0" w:color="000000"/>
              <w:left w:val="single" w:sz="2" w:space="0" w:color="000000"/>
              <w:bottom w:val="single" w:sz="2" w:space="0" w:color="000000"/>
              <w:right w:val="single" w:sz="2" w:space="0" w:color="000000"/>
            </w:tcBorders>
          </w:tcPr>
          <w:p w14:paraId="491EA68E" w14:textId="77777777" w:rsidR="00053D93" w:rsidRDefault="00053D93"/>
        </w:tc>
        <w:tc>
          <w:tcPr>
            <w:tcW w:w="1094" w:type="dxa"/>
            <w:tcBorders>
              <w:top w:val="single" w:sz="2" w:space="0" w:color="000000"/>
              <w:left w:val="single" w:sz="2" w:space="0" w:color="000000"/>
              <w:bottom w:val="single" w:sz="2" w:space="0" w:color="000000"/>
              <w:right w:val="single" w:sz="2" w:space="0" w:color="000000"/>
            </w:tcBorders>
          </w:tcPr>
          <w:p w14:paraId="37E86DB4" w14:textId="77777777" w:rsidR="00053D93" w:rsidRDefault="00260B75">
            <w:pPr>
              <w:ind w:right="18"/>
              <w:jc w:val="center"/>
            </w:pPr>
            <w:r>
              <w:rPr>
                <w:rFonts w:ascii="Times New Roman" w:eastAsia="Times New Roman" w:hAnsi="Times New Roman" w:cs="Times New Roman"/>
                <w:sz w:val="16"/>
              </w:rPr>
              <w:t>6</w:t>
            </w:r>
          </w:p>
        </w:tc>
        <w:tc>
          <w:tcPr>
            <w:tcW w:w="943" w:type="dxa"/>
            <w:tcBorders>
              <w:top w:val="single" w:sz="2" w:space="0" w:color="000000"/>
              <w:left w:val="single" w:sz="2" w:space="0" w:color="000000"/>
              <w:bottom w:val="single" w:sz="2" w:space="0" w:color="000000"/>
              <w:right w:val="single" w:sz="2" w:space="0" w:color="000000"/>
            </w:tcBorders>
          </w:tcPr>
          <w:p w14:paraId="6AC55D3E" w14:textId="77777777" w:rsidR="00053D93" w:rsidRDefault="00260B75">
            <w:pPr>
              <w:ind w:left="198"/>
            </w:pPr>
            <w:r>
              <w:rPr>
                <w:rFonts w:ascii="Times New Roman" w:eastAsia="Times New Roman" w:hAnsi="Times New Roman" w:cs="Times New Roman"/>
                <w:sz w:val="14"/>
              </w:rPr>
              <w:t>75.000.00</w:t>
            </w:r>
          </w:p>
        </w:tc>
      </w:tr>
      <w:tr w:rsidR="00053D93" w14:paraId="3BEC3A60" w14:textId="77777777">
        <w:trPr>
          <w:trHeight w:val="557"/>
        </w:trPr>
        <w:tc>
          <w:tcPr>
            <w:tcW w:w="0" w:type="auto"/>
            <w:vMerge/>
            <w:tcBorders>
              <w:top w:val="nil"/>
              <w:left w:val="nil"/>
              <w:bottom w:val="nil"/>
              <w:right w:val="single" w:sz="2" w:space="0" w:color="000000"/>
            </w:tcBorders>
          </w:tcPr>
          <w:p w14:paraId="2BC05C38" w14:textId="77777777" w:rsidR="00053D93" w:rsidRDefault="00053D93"/>
        </w:tc>
        <w:tc>
          <w:tcPr>
            <w:tcW w:w="356" w:type="dxa"/>
            <w:tcBorders>
              <w:top w:val="single" w:sz="2" w:space="0" w:color="000000"/>
              <w:left w:val="single" w:sz="2" w:space="0" w:color="000000"/>
              <w:bottom w:val="single" w:sz="2" w:space="0" w:color="000000"/>
              <w:right w:val="single" w:sz="2" w:space="0" w:color="000000"/>
            </w:tcBorders>
          </w:tcPr>
          <w:p w14:paraId="0D9E87F2" w14:textId="77777777" w:rsidR="00053D93" w:rsidRDefault="00260B75">
            <w:pPr>
              <w:ind w:left="25"/>
            </w:pPr>
            <w:r>
              <w:rPr>
                <w:rFonts w:ascii="Times New Roman" w:eastAsia="Times New Roman" w:hAnsi="Times New Roman" w:cs="Times New Roman"/>
                <w:sz w:val="16"/>
              </w:rPr>
              <w:t>43</w:t>
            </w:r>
          </w:p>
        </w:tc>
        <w:tc>
          <w:tcPr>
            <w:tcW w:w="914" w:type="dxa"/>
            <w:tcBorders>
              <w:top w:val="single" w:sz="2" w:space="0" w:color="000000"/>
              <w:left w:val="single" w:sz="2" w:space="0" w:color="000000"/>
              <w:bottom w:val="single" w:sz="2" w:space="0" w:color="000000"/>
              <w:right w:val="single" w:sz="2" w:space="0" w:color="000000"/>
            </w:tcBorders>
          </w:tcPr>
          <w:p w14:paraId="15D1F9DA" w14:textId="77777777" w:rsidR="00053D93" w:rsidRDefault="00260B75">
            <w:pPr>
              <w:ind w:right="4"/>
              <w:jc w:val="center"/>
            </w:pPr>
            <w:r>
              <w:rPr>
                <w:rFonts w:ascii="Times New Roman" w:eastAsia="Times New Roman" w:hAnsi="Times New Roman" w:cs="Times New Roman"/>
                <w:sz w:val="16"/>
              </w:rPr>
              <w:t>211023</w:t>
            </w:r>
          </w:p>
        </w:tc>
        <w:tc>
          <w:tcPr>
            <w:tcW w:w="1267" w:type="dxa"/>
            <w:tcBorders>
              <w:top w:val="single" w:sz="2" w:space="0" w:color="000000"/>
              <w:left w:val="single" w:sz="2" w:space="0" w:color="000000"/>
              <w:bottom w:val="single" w:sz="2" w:space="0" w:color="000000"/>
              <w:right w:val="single" w:sz="2" w:space="0" w:color="000000"/>
            </w:tcBorders>
          </w:tcPr>
          <w:p w14:paraId="336AD6BF" w14:textId="77777777" w:rsidR="00053D93" w:rsidRDefault="00260B75">
            <w:pPr>
              <w:ind w:right="4"/>
              <w:jc w:val="center"/>
            </w:pPr>
            <w:r>
              <w:rPr>
                <w:rFonts w:ascii="Times New Roman" w:eastAsia="Times New Roman" w:hAnsi="Times New Roman" w:cs="Times New Roman"/>
                <w:sz w:val="14"/>
              </w:rPr>
              <w:t>2024-21324</w:t>
            </w:r>
          </w:p>
        </w:tc>
        <w:tc>
          <w:tcPr>
            <w:tcW w:w="1336" w:type="dxa"/>
            <w:tcBorders>
              <w:top w:val="single" w:sz="2" w:space="0" w:color="000000"/>
              <w:left w:val="single" w:sz="2" w:space="0" w:color="000000"/>
              <w:bottom w:val="single" w:sz="2" w:space="0" w:color="000000"/>
              <w:right w:val="single" w:sz="2" w:space="0" w:color="000000"/>
            </w:tcBorders>
          </w:tcPr>
          <w:p w14:paraId="24BD19DB" w14:textId="77777777" w:rsidR="00053D93" w:rsidRDefault="00260B75">
            <w:pPr>
              <w:ind w:left="7" w:right="7"/>
              <w:jc w:val="both"/>
            </w:pPr>
            <w:r>
              <w:rPr>
                <w:sz w:val="16"/>
              </w:rPr>
              <w:t>Gelatina clase sin azúcar y alta en proteina</w:t>
            </w:r>
          </w:p>
        </w:tc>
        <w:tc>
          <w:tcPr>
            <w:tcW w:w="1390" w:type="dxa"/>
            <w:tcBorders>
              <w:top w:val="single" w:sz="2" w:space="0" w:color="000000"/>
              <w:left w:val="single" w:sz="2" w:space="0" w:color="000000"/>
              <w:bottom w:val="single" w:sz="2" w:space="0" w:color="000000"/>
              <w:right w:val="single" w:sz="2" w:space="0" w:color="000000"/>
            </w:tcBorders>
          </w:tcPr>
          <w:p w14:paraId="0595B071" w14:textId="77777777" w:rsidR="00053D93" w:rsidRDefault="00260B75">
            <w:pPr>
              <w:ind w:right="11"/>
              <w:jc w:val="center"/>
            </w:pPr>
            <w:r>
              <w:rPr>
                <w:rFonts w:ascii="Times New Roman" w:eastAsia="Times New Roman" w:hAnsi="Times New Roman" w:cs="Times New Roman"/>
                <w:sz w:val="14"/>
              </w:rPr>
              <w:t>211</w:t>
            </w:r>
          </w:p>
        </w:tc>
        <w:tc>
          <w:tcPr>
            <w:tcW w:w="1094" w:type="dxa"/>
            <w:tcBorders>
              <w:top w:val="single" w:sz="2" w:space="0" w:color="000000"/>
              <w:left w:val="single" w:sz="2" w:space="0" w:color="000000"/>
              <w:bottom w:val="single" w:sz="2" w:space="0" w:color="000000"/>
              <w:right w:val="single" w:sz="2" w:space="0" w:color="000000"/>
            </w:tcBorders>
          </w:tcPr>
          <w:p w14:paraId="5A9E9646" w14:textId="77777777" w:rsidR="00053D93" w:rsidRDefault="00260B75">
            <w:pPr>
              <w:ind w:right="4"/>
              <w:jc w:val="center"/>
            </w:pPr>
            <w:r>
              <w:rPr>
                <w:rFonts w:ascii="Times New Roman" w:eastAsia="Times New Roman" w:hAnsi="Times New Roman" w:cs="Times New Roman"/>
                <w:sz w:val="14"/>
              </w:rPr>
              <w:t>8/1112024</w:t>
            </w:r>
          </w:p>
        </w:tc>
        <w:tc>
          <w:tcPr>
            <w:tcW w:w="1094" w:type="dxa"/>
            <w:tcBorders>
              <w:top w:val="single" w:sz="2" w:space="0" w:color="000000"/>
              <w:left w:val="single" w:sz="2" w:space="0" w:color="000000"/>
              <w:bottom w:val="single" w:sz="2" w:space="0" w:color="000000"/>
              <w:right w:val="single" w:sz="2" w:space="0" w:color="000000"/>
            </w:tcBorders>
          </w:tcPr>
          <w:p w14:paraId="10F7D040" w14:textId="77777777" w:rsidR="00053D93" w:rsidRDefault="00260B75">
            <w:pPr>
              <w:ind w:right="4"/>
              <w:jc w:val="center"/>
            </w:pPr>
            <w:r>
              <w:rPr>
                <w:rFonts w:ascii="Times New Roman" w:eastAsia="Times New Roman" w:hAnsi="Times New Roman" w:cs="Times New Roman"/>
                <w:sz w:val="16"/>
              </w:rPr>
              <w:t>1432</w:t>
            </w:r>
          </w:p>
        </w:tc>
        <w:tc>
          <w:tcPr>
            <w:tcW w:w="943" w:type="dxa"/>
            <w:tcBorders>
              <w:top w:val="single" w:sz="2" w:space="0" w:color="000000"/>
              <w:left w:val="single" w:sz="2" w:space="0" w:color="000000"/>
              <w:bottom w:val="single" w:sz="2" w:space="0" w:color="000000"/>
              <w:right w:val="single" w:sz="2" w:space="0" w:color="000000"/>
            </w:tcBorders>
          </w:tcPr>
          <w:p w14:paraId="0DFCF268" w14:textId="77777777" w:rsidR="00053D93" w:rsidRDefault="00260B75">
            <w:pPr>
              <w:ind w:left="205"/>
            </w:pPr>
            <w:r>
              <w:rPr>
                <w:rFonts w:ascii="Times New Roman" w:eastAsia="Times New Roman" w:hAnsi="Times New Roman" w:cs="Times New Roman"/>
                <w:sz w:val="14"/>
              </w:rPr>
              <w:t>64.440.00</w:t>
            </w:r>
          </w:p>
        </w:tc>
      </w:tr>
      <w:tr w:rsidR="00053D93" w14:paraId="4341F7BA" w14:textId="77777777">
        <w:trPr>
          <w:trHeight w:val="293"/>
        </w:trPr>
        <w:tc>
          <w:tcPr>
            <w:tcW w:w="0" w:type="auto"/>
            <w:vMerge/>
            <w:tcBorders>
              <w:top w:val="nil"/>
              <w:left w:val="nil"/>
              <w:bottom w:val="nil"/>
              <w:right w:val="single" w:sz="2" w:space="0" w:color="000000"/>
            </w:tcBorders>
          </w:tcPr>
          <w:p w14:paraId="7088505C" w14:textId="77777777" w:rsidR="00053D93" w:rsidRDefault="00053D93"/>
        </w:tc>
        <w:tc>
          <w:tcPr>
            <w:tcW w:w="356" w:type="dxa"/>
            <w:tcBorders>
              <w:top w:val="single" w:sz="2" w:space="0" w:color="000000"/>
              <w:left w:val="single" w:sz="2" w:space="0" w:color="000000"/>
              <w:bottom w:val="single" w:sz="2" w:space="0" w:color="000000"/>
              <w:right w:val="nil"/>
            </w:tcBorders>
          </w:tcPr>
          <w:p w14:paraId="387FD14F" w14:textId="77777777" w:rsidR="00053D93" w:rsidRDefault="00053D93"/>
        </w:tc>
        <w:tc>
          <w:tcPr>
            <w:tcW w:w="914" w:type="dxa"/>
            <w:tcBorders>
              <w:top w:val="single" w:sz="2" w:space="0" w:color="000000"/>
              <w:left w:val="nil"/>
              <w:bottom w:val="single" w:sz="2" w:space="0" w:color="000000"/>
              <w:right w:val="nil"/>
            </w:tcBorders>
          </w:tcPr>
          <w:p w14:paraId="1A8D8F28" w14:textId="77777777" w:rsidR="00053D93" w:rsidRDefault="00053D93"/>
        </w:tc>
        <w:tc>
          <w:tcPr>
            <w:tcW w:w="1267" w:type="dxa"/>
            <w:tcBorders>
              <w:top w:val="single" w:sz="2" w:space="0" w:color="000000"/>
              <w:left w:val="nil"/>
              <w:bottom w:val="single" w:sz="2" w:space="0" w:color="000000"/>
              <w:right w:val="nil"/>
            </w:tcBorders>
          </w:tcPr>
          <w:p w14:paraId="43B9A1A3" w14:textId="77777777" w:rsidR="00053D93" w:rsidRDefault="00053D93"/>
        </w:tc>
        <w:tc>
          <w:tcPr>
            <w:tcW w:w="3820" w:type="dxa"/>
            <w:gridSpan w:val="3"/>
            <w:tcBorders>
              <w:top w:val="single" w:sz="2" w:space="0" w:color="000000"/>
              <w:left w:val="nil"/>
              <w:bottom w:val="single" w:sz="2" w:space="0" w:color="000000"/>
              <w:right w:val="nil"/>
            </w:tcBorders>
          </w:tcPr>
          <w:p w14:paraId="437AB538" w14:textId="77777777" w:rsidR="00053D93" w:rsidRDefault="00260B75">
            <w:pPr>
              <w:ind w:left="734"/>
            </w:pPr>
            <w:r>
              <w:rPr>
                <w:sz w:val="18"/>
              </w:rPr>
              <w:t>SUBTOTAL</w:t>
            </w:r>
          </w:p>
        </w:tc>
        <w:tc>
          <w:tcPr>
            <w:tcW w:w="1094" w:type="dxa"/>
            <w:tcBorders>
              <w:top w:val="single" w:sz="2" w:space="0" w:color="000000"/>
              <w:left w:val="nil"/>
              <w:bottom w:val="single" w:sz="2" w:space="0" w:color="000000"/>
              <w:right w:val="single" w:sz="2" w:space="0" w:color="000000"/>
            </w:tcBorders>
          </w:tcPr>
          <w:p w14:paraId="5586F85D" w14:textId="77777777" w:rsidR="00053D93" w:rsidRDefault="00053D93"/>
        </w:tc>
        <w:tc>
          <w:tcPr>
            <w:tcW w:w="943" w:type="dxa"/>
            <w:tcBorders>
              <w:top w:val="single" w:sz="2" w:space="0" w:color="000000"/>
              <w:left w:val="single" w:sz="2" w:space="0" w:color="000000"/>
              <w:bottom w:val="single" w:sz="2" w:space="0" w:color="000000"/>
              <w:right w:val="single" w:sz="2" w:space="0" w:color="000000"/>
            </w:tcBorders>
          </w:tcPr>
          <w:p w14:paraId="35F2EB84" w14:textId="77777777" w:rsidR="00053D93" w:rsidRDefault="00053D93"/>
        </w:tc>
      </w:tr>
      <w:tr w:rsidR="00053D93" w14:paraId="312C3851" w14:textId="77777777">
        <w:trPr>
          <w:trHeight w:val="288"/>
        </w:trPr>
        <w:tc>
          <w:tcPr>
            <w:tcW w:w="0" w:type="auto"/>
            <w:vMerge/>
            <w:tcBorders>
              <w:top w:val="nil"/>
              <w:left w:val="nil"/>
              <w:bottom w:val="nil"/>
              <w:right w:val="single" w:sz="2" w:space="0" w:color="000000"/>
            </w:tcBorders>
          </w:tcPr>
          <w:p w14:paraId="54C96D11" w14:textId="77777777" w:rsidR="00053D93" w:rsidRDefault="00053D93"/>
        </w:tc>
        <w:tc>
          <w:tcPr>
            <w:tcW w:w="356" w:type="dxa"/>
            <w:tcBorders>
              <w:top w:val="single" w:sz="2" w:space="0" w:color="000000"/>
              <w:left w:val="single" w:sz="2" w:space="0" w:color="000000"/>
              <w:bottom w:val="single" w:sz="2" w:space="0" w:color="000000"/>
              <w:right w:val="nil"/>
            </w:tcBorders>
          </w:tcPr>
          <w:p w14:paraId="4E69FE7D" w14:textId="77777777" w:rsidR="00053D93" w:rsidRDefault="00053D93"/>
        </w:tc>
        <w:tc>
          <w:tcPr>
            <w:tcW w:w="914" w:type="dxa"/>
            <w:tcBorders>
              <w:top w:val="single" w:sz="2" w:space="0" w:color="000000"/>
              <w:left w:val="nil"/>
              <w:bottom w:val="single" w:sz="2" w:space="0" w:color="000000"/>
              <w:right w:val="nil"/>
            </w:tcBorders>
          </w:tcPr>
          <w:p w14:paraId="5354EF08" w14:textId="77777777" w:rsidR="00053D93" w:rsidRDefault="00053D93"/>
        </w:tc>
        <w:tc>
          <w:tcPr>
            <w:tcW w:w="1267" w:type="dxa"/>
            <w:tcBorders>
              <w:top w:val="single" w:sz="2" w:space="0" w:color="000000"/>
              <w:left w:val="nil"/>
              <w:bottom w:val="single" w:sz="2" w:space="0" w:color="000000"/>
              <w:right w:val="nil"/>
            </w:tcBorders>
          </w:tcPr>
          <w:p w14:paraId="7C62D5C7" w14:textId="77777777" w:rsidR="00053D93" w:rsidRDefault="00053D93"/>
        </w:tc>
        <w:tc>
          <w:tcPr>
            <w:tcW w:w="3820" w:type="dxa"/>
            <w:gridSpan w:val="3"/>
            <w:tcBorders>
              <w:top w:val="single" w:sz="2" w:space="0" w:color="000000"/>
              <w:left w:val="nil"/>
              <w:bottom w:val="single" w:sz="2" w:space="0" w:color="000000"/>
              <w:right w:val="nil"/>
            </w:tcBorders>
          </w:tcPr>
          <w:p w14:paraId="76B02542" w14:textId="77777777" w:rsidR="00053D93" w:rsidRDefault="00260B75">
            <w:pPr>
              <w:ind w:left="878"/>
            </w:pPr>
            <w:r>
              <w:rPr>
                <w:sz w:val="16"/>
              </w:rPr>
              <w:t>TOTAL</w:t>
            </w:r>
          </w:p>
        </w:tc>
        <w:tc>
          <w:tcPr>
            <w:tcW w:w="1094" w:type="dxa"/>
            <w:tcBorders>
              <w:top w:val="single" w:sz="2" w:space="0" w:color="000000"/>
              <w:left w:val="nil"/>
              <w:bottom w:val="single" w:sz="2" w:space="0" w:color="000000"/>
              <w:right w:val="single" w:sz="2" w:space="0" w:color="000000"/>
            </w:tcBorders>
          </w:tcPr>
          <w:p w14:paraId="5E923974" w14:textId="77777777" w:rsidR="00053D93" w:rsidRDefault="00053D93"/>
        </w:tc>
        <w:tc>
          <w:tcPr>
            <w:tcW w:w="943" w:type="dxa"/>
            <w:tcBorders>
              <w:top w:val="single" w:sz="2" w:space="0" w:color="000000"/>
              <w:left w:val="single" w:sz="2" w:space="0" w:color="000000"/>
              <w:bottom w:val="single" w:sz="2" w:space="0" w:color="000000"/>
              <w:right w:val="single" w:sz="2" w:space="0" w:color="000000"/>
            </w:tcBorders>
          </w:tcPr>
          <w:p w14:paraId="2AB3074F" w14:textId="77777777" w:rsidR="00053D93" w:rsidRDefault="00053D93"/>
        </w:tc>
      </w:tr>
    </w:tbl>
    <w:p w14:paraId="0879545F" w14:textId="77777777" w:rsidR="00053D93" w:rsidRDefault="00260B75">
      <w:pPr>
        <w:spacing w:after="71"/>
        <w:ind w:left="298" w:hanging="3"/>
      </w:pPr>
      <w:r>
        <w:rPr>
          <w:noProof/>
        </w:rPr>
        <w:drawing>
          <wp:anchor distT="0" distB="0" distL="114300" distR="114300" simplePos="0" relativeHeight="252000256" behindDoc="0" locked="0" layoutInCell="1" allowOverlap="0" wp14:anchorId="3ED9F0A2" wp14:editId="49F14467">
            <wp:simplePos x="0" y="0"/>
            <wp:positionH relativeFrom="column">
              <wp:posOffset>0</wp:posOffset>
            </wp:positionH>
            <wp:positionV relativeFrom="paragraph">
              <wp:posOffset>-2893896</wp:posOffset>
            </wp:positionV>
            <wp:extent cx="320040" cy="2491740"/>
            <wp:effectExtent l="0" t="0" r="0" b="0"/>
            <wp:wrapSquare wrapText="bothSides"/>
            <wp:docPr id="487829" name="Picture 487829"/>
            <wp:cNvGraphicFramePr/>
            <a:graphic xmlns:a="http://schemas.openxmlformats.org/drawingml/2006/main">
              <a:graphicData uri="http://schemas.openxmlformats.org/drawingml/2006/picture">
                <pic:pic xmlns:pic="http://schemas.openxmlformats.org/drawingml/2006/picture">
                  <pic:nvPicPr>
                    <pic:cNvPr id="487829" name="Picture 487829"/>
                    <pic:cNvPicPr/>
                  </pic:nvPicPr>
                  <pic:blipFill>
                    <a:blip r:embed="rId747"/>
                    <a:stretch>
                      <a:fillRect/>
                    </a:stretch>
                  </pic:blipFill>
                  <pic:spPr>
                    <a:xfrm>
                      <a:off x="0" y="0"/>
                      <a:ext cx="320040" cy="2491740"/>
                    </a:xfrm>
                    <a:prstGeom prst="rect">
                      <a:avLst/>
                    </a:prstGeom>
                  </pic:spPr>
                </pic:pic>
              </a:graphicData>
            </a:graphic>
          </wp:anchor>
        </w:drawing>
      </w:r>
      <w:r>
        <w:rPr>
          <w:noProof/>
        </w:rPr>
        <w:drawing>
          <wp:anchor distT="0" distB="0" distL="114300" distR="114300" simplePos="0" relativeHeight="252001280" behindDoc="0" locked="0" layoutInCell="1" allowOverlap="0" wp14:anchorId="47D9FD2F" wp14:editId="10D2BEC8">
            <wp:simplePos x="0" y="0"/>
            <wp:positionH relativeFrom="column">
              <wp:posOffset>27432</wp:posOffset>
            </wp:positionH>
            <wp:positionV relativeFrom="paragraph">
              <wp:posOffset>-264996</wp:posOffset>
            </wp:positionV>
            <wp:extent cx="155448" cy="886968"/>
            <wp:effectExtent l="0" t="0" r="0" b="0"/>
            <wp:wrapSquare wrapText="bothSides"/>
            <wp:docPr id="487834" name="Picture 487834"/>
            <wp:cNvGraphicFramePr/>
            <a:graphic xmlns:a="http://schemas.openxmlformats.org/drawingml/2006/main">
              <a:graphicData uri="http://schemas.openxmlformats.org/drawingml/2006/picture">
                <pic:pic xmlns:pic="http://schemas.openxmlformats.org/drawingml/2006/picture">
                  <pic:nvPicPr>
                    <pic:cNvPr id="487834" name="Picture 487834"/>
                    <pic:cNvPicPr/>
                  </pic:nvPicPr>
                  <pic:blipFill>
                    <a:blip r:embed="rId748"/>
                    <a:stretch>
                      <a:fillRect/>
                    </a:stretch>
                  </pic:blipFill>
                  <pic:spPr>
                    <a:xfrm>
                      <a:off x="0" y="0"/>
                      <a:ext cx="155448" cy="886968"/>
                    </a:xfrm>
                    <a:prstGeom prst="rect">
                      <a:avLst/>
                    </a:prstGeom>
                  </pic:spPr>
                </pic:pic>
              </a:graphicData>
            </a:graphic>
          </wp:anchor>
        </w:drawing>
      </w:r>
      <w:r>
        <w:rPr>
          <w:sz w:val="20"/>
        </w:rPr>
        <w:t>Fuente: Cédulas Narrativas No: CN-Ol-DlGEF-2024 del 21 de noviembre de 2024 y CN-02-DlGEF-2024 del</w:t>
      </w:r>
    </w:p>
    <w:p w14:paraId="31A664EE" w14:textId="77777777" w:rsidR="00053D93" w:rsidRDefault="00260B75">
      <w:pPr>
        <w:spacing w:after="379" w:line="265" w:lineRule="auto"/>
        <w:ind w:left="290" w:hanging="10"/>
      </w:pPr>
      <w:r>
        <w:rPr>
          <w:sz w:val="18"/>
        </w:rPr>
        <w:t>05 de febrero de 2025, reportes de existencias del Departamento de Almacén y requerimientos de compras.</w:t>
      </w:r>
    </w:p>
    <w:p w14:paraId="577ABC93" w14:textId="77777777" w:rsidR="00053D93" w:rsidRDefault="00260B75">
      <w:pPr>
        <w:spacing w:after="17" w:line="247" w:lineRule="auto"/>
        <w:ind w:left="14" w:right="14" w:firstLine="4"/>
        <w:jc w:val="both"/>
      </w:pPr>
      <w:r>
        <w:rPr>
          <w:sz w:val="26"/>
        </w:rPr>
        <w:t>Criterio</w:t>
      </w:r>
    </w:p>
    <w:tbl>
      <w:tblPr>
        <w:tblStyle w:val="TableGrid"/>
        <w:tblpPr w:vertAnchor="page" w:horzAnchor="page" w:tblpX="2919" w:tblpY="14681"/>
        <w:tblOverlap w:val="never"/>
        <w:tblW w:w="7586" w:type="dxa"/>
        <w:tblInd w:w="0" w:type="dxa"/>
        <w:tblCellMar>
          <w:top w:w="37" w:type="dxa"/>
          <w:left w:w="1725" w:type="dxa"/>
          <w:right w:w="115" w:type="dxa"/>
        </w:tblCellMar>
        <w:tblLook w:val="04A0" w:firstRow="1" w:lastRow="0" w:firstColumn="1" w:lastColumn="0" w:noHBand="0" w:noVBand="1"/>
      </w:tblPr>
      <w:tblGrid>
        <w:gridCol w:w="7586"/>
      </w:tblGrid>
      <w:tr w:rsidR="00053D93" w14:paraId="37A72EC9" w14:textId="77777777">
        <w:trPr>
          <w:trHeight w:val="43"/>
        </w:trPr>
        <w:tc>
          <w:tcPr>
            <w:tcW w:w="7586" w:type="dxa"/>
            <w:tcBorders>
              <w:top w:val="nil"/>
              <w:left w:val="single" w:sz="2" w:space="0" w:color="000000"/>
              <w:bottom w:val="single" w:sz="2" w:space="0" w:color="000000"/>
              <w:right w:val="nil"/>
            </w:tcBorders>
          </w:tcPr>
          <w:p w14:paraId="1AA1437F" w14:textId="77777777" w:rsidR="00053D93" w:rsidRDefault="00053D93"/>
        </w:tc>
      </w:tr>
      <w:tr w:rsidR="00053D93" w14:paraId="5E93FE9D" w14:textId="77777777">
        <w:trPr>
          <w:trHeight w:val="605"/>
        </w:trPr>
        <w:tc>
          <w:tcPr>
            <w:tcW w:w="7586" w:type="dxa"/>
            <w:tcBorders>
              <w:top w:val="single" w:sz="2" w:space="0" w:color="000000"/>
              <w:left w:val="single" w:sz="2" w:space="0" w:color="000000"/>
              <w:bottom w:val="nil"/>
              <w:right w:val="nil"/>
            </w:tcBorders>
          </w:tcPr>
          <w:p w14:paraId="23BAB215" w14:textId="77777777" w:rsidR="00053D93" w:rsidRDefault="00260B75">
            <w:pPr>
              <w:ind w:left="835"/>
            </w:pPr>
            <w:r>
              <w:rPr>
                <w:sz w:val="14"/>
              </w:rPr>
              <w:lastRenderedPageBreak/>
              <w:t>MINISTERIO DE EDUCACION</w:t>
            </w:r>
          </w:p>
          <w:p w14:paraId="4C4E9A08" w14:textId="77777777" w:rsidR="00053D93" w:rsidRDefault="00260B75">
            <w:pPr>
              <w:ind w:left="338"/>
            </w:pPr>
            <w:r>
              <w:rPr>
                <w:sz w:val="14"/>
              </w:rPr>
              <w:t>AUDITORIA FINANCIERA Y DE CUMPLIMIENTO</w:t>
            </w:r>
          </w:p>
          <w:p w14:paraId="7E780CE7" w14:textId="77777777" w:rsidR="00053D93" w:rsidRDefault="00260B75">
            <w:r>
              <w:rPr>
                <w:sz w:val="14"/>
              </w:rPr>
              <w:t>PERÍODO DEL 01 DE ENERO AL 31 DE DICIEMBRE DE 2024</w:t>
            </w:r>
          </w:p>
        </w:tc>
      </w:tr>
    </w:tbl>
    <w:p w14:paraId="6E9BC13F" w14:textId="77777777" w:rsidR="00053D93" w:rsidRDefault="00260B75">
      <w:pPr>
        <w:spacing w:after="313" w:line="247" w:lineRule="auto"/>
        <w:ind w:left="115" w:right="14" w:firstLine="4"/>
        <w:jc w:val="both"/>
      </w:pPr>
      <w:r>
        <w:rPr>
          <w:noProof/>
        </w:rPr>
        <w:drawing>
          <wp:anchor distT="0" distB="0" distL="114300" distR="114300" simplePos="0" relativeHeight="252002304" behindDoc="0" locked="0" layoutInCell="1" allowOverlap="0" wp14:anchorId="7FEDB5CD" wp14:editId="5D646DAF">
            <wp:simplePos x="0" y="0"/>
            <wp:positionH relativeFrom="column">
              <wp:posOffset>50292</wp:posOffset>
            </wp:positionH>
            <wp:positionV relativeFrom="paragraph">
              <wp:posOffset>1028202</wp:posOffset>
            </wp:positionV>
            <wp:extent cx="141732" cy="882396"/>
            <wp:effectExtent l="0" t="0" r="0" b="0"/>
            <wp:wrapSquare wrapText="bothSides"/>
            <wp:docPr id="487835" name="Picture 487835"/>
            <wp:cNvGraphicFramePr/>
            <a:graphic xmlns:a="http://schemas.openxmlformats.org/drawingml/2006/main">
              <a:graphicData uri="http://schemas.openxmlformats.org/drawingml/2006/picture">
                <pic:pic xmlns:pic="http://schemas.openxmlformats.org/drawingml/2006/picture">
                  <pic:nvPicPr>
                    <pic:cNvPr id="487835" name="Picture 487835"/>
                    <pic:cNvPicPr/>
                  </pic:nvPicPr>
                  <pic:blipFill>
                    <a:blip r:embed="rId749"/>
                    <a:stretch>
                      <a:fillRect/>
                    </a:stretch>
                  </pic:blipFill>
                  <pic:spPr>
                    <a:xfrm>
                      <a:off x="0" y="0"/>
                      <a:ext cx="141732" cy="882396"/>
                    </a:xfrm>
                    <a:prstGeom prst="rect">
                      <a:avLst/>
                    </a:prstGeom>
                  </pic:spPr>
                </pic:pic>
              </a:graphicData>
            </a:graphic>
          </wp:anchor>
        </w:drawing>
      </w:r>
      <w:r>
        <w:rPr>
          <w:noProof/>
        </w:rPr>
        <w:drawing>
          <wp:anchor distT="0" distB="0" distL="114300" distR="114300" simplePos="0" relativeHeight="252003328" behindDoc="0" locked="0" layoutInCell="1" allowOverlap="0" wp14:anchorId="70D0C849" wp14:editId="14A08013">
            <wp:simplePos x="0" y="0"/>
            <wp:positionH relativeFrom="column">
              <wp:posOffset>73152</wp:posOffset>
            </wp:positionH>
            <wp:positionV relativeFrom="paragraph">
              <wp:posOffset>4118874</wp:posOffset>
            </wp:positionV>
            <wp:extent cx="128016" cy="891540"/>
            <wp:effectExtent l="0" t="0" r="0" b="0"/>
            <wp:wrapSquare wrapText="bothSides"/>
            <wp:docPr id="487836" name="Picture 487836"/>
            <wp:cNvGraphicFramePr/>
            <a:graphic xmlns:a="http://schemas.openxmlformats.org/drawingml/2006/main">
              <a:graphicData uri="http://schemas.openxmlformats.org/drawingml/2006/picture">
                <pic:pic xmlns:pic="http://schemas.openxmlformats.org/drawingml/2006/picture">
                  <pic:nvPicPr>
                    <pic:cNvPr id="487836" name="Picture 487836"/>
                    <pic:cNvPicPr/>
                  </pic:nvPicPr>
                  <pic:blipFill>
                    <a:blip r:embed="rId750"/>
                    <a:stretch>
                      <a:fillRect/>
                    </a:stretch>
                  </pic:blipFill>
                  <pic:spPr>
                    <a:xfrm>
                      <a:off x="0" y="0"/>
                      <a:ext cx="128016" cy="891540"/>
                    </a:xfrm>
                    <a:prstGeom prst="rect">
                      <a:avLst/>
                    </a:prstGeom>
                  </pic:spPr>
                </pic:pic>
              </a:graphicData>
            </a:graphic>
          </wp:anchor>
        </w:drawing>
      </w:r>
      <w:r>
        <w:rPr>
          <w:sz w:val="26"/>
        </w:rPr>
        <w:t>El Decreto Número 101-97, del Congreso de la República de Guatemala, Ley Orgánica del Presupuesto, artículo 1 . Objeto, establece: "La presente Ley tiene por objeto establecer normas para la constitución de los sistemas presupuestarios, de contabilidad integrada gubernamental, de tesorería y de crédito público, a efecto de: a) Realizar la planificación, programación, organización, coordinación, ejecución, control de la captación y uso de los recursos públicos bajo los principios de legalidad, economía, eficiencia, eficacia, calidad, transparencia, equidad y publicidad en el cumplimiento de los planes, programas y proyectos de conformidad con las políticas establecidas... e) Fortalecer la capacidad administrativa y los sistemas de control y seguimiento para asegurar la calidad del gasto público y el adecuado uso de los recursos del Estado..." Artículo 7 Bis. Proceso Presupuestario, establece: "Se entenderá por proceso presupuestario, el conjunto de etapas lógicamente concatenadas tendientes a establecer principios, normas y procedimientos que regirán las etapas de: planificación, formulación, presentación, aprobación, ejecución, seguimiento, evaluación, liquidación y rendición del presupuesto del sector público, asegurando la calidad del gasto público y la oportuna rendición de cuentas, la transparencia, eficiencia, eficacia y racionalidad económica." Y artículo 8. Vinculación plan-presupuesto, establece: "Los presupuestos públicos son la expresión anual de los planes del Estado, elaborados en el marco de la estrategia de desarrollo económico y social, en aquellos aspectos que exigen por parte del sector público, captar y asignar los recursos conducentes para su normal funcionamiento y para el cumplimiento de los programas y proyectos de inversión, a fin de alcanzar las metas y objetivos sectoriales, regionales e institucionales... "</w:t>
      </w:r>
    </w:p>
    <w:p w14:paraId="68518386" w14:textId="77777777" w:rsidR="00053D93" w:rsidRDefault="00260B75">
      <w:pPr>
        <w:spacing w:after="17" w:line="247" w:lineRule="auto"/>
        <w:ind w:left="137" w:right="14" w:firstLine="1447"/>
        <w:jc w:val="both"/>
      </w:pPr>
      <w:r>
        <w:rPr>
          <w:sz w:val="26"/>
        </w:rPr>
        <w:t xml:space="preserve">El Decreto número 54-2022, del Congreso de la República de Guatemala, Ley del Presupuesto General de Ingresos y Egresos del Estado para el Ejercicio Fiscal </w:t>
      </w:r>
      <w:r>
        <w:rPr>
          <w:noProof/>
        </w:rPr>
        <w:drawing>
          <wp:inline distT="0" distB="0" distL="0" distR="0" wp14:anchorId="6C5E0D93" wp14:editId="6F3BB4D7">
            <wp:extent cx="1549908" cy="800100"/>
            <wp:effectExtent l="0" t="0" r="0" b="0"/>
            <wp:docPr id="2458408" name="Picture 2458408"/>
            <wp:cNvGraphicFramePr/>
            <a:graphic xmlns:a="http://schemas.openxmlformats.org/drawingml/2006/main">
              <a:graphicData uri="http://schemas.openxmlformats.org/drawingml/2006/picture">
                <pic:pic xmlns:pic="http://schemas.openxmlformats.org/drawingml/2006/picture">
                  <pic:nvPicPr>
                    <pic:cNvPr id="2458408" name="Picture 2458408"/>
                    <pic:cNvPicPr/>
                  </pic:nvPicPr>
                  <pic:blipFill>
                    <a:blip r:embed="rId751"/>
                    <a:stretch>
                      <a:fillRect/>
                    </a:stretch>
                  </pic:blipFill>
                  <pic:spPr>
                    <a:xfrm>
                      <a:off x="0" y="0"/>
                      <a:ext cx="1549908" cy="800100"/>
                    </a:xfrm>
                    <a:prstGeom prst="rect">
                      <a:avLst/>
                    </a:prstGeom>
                  </pic:spPr>
                </pic:pic>
              </a:graphicData>
            </a:graphic>
          </wp:inline>
        </w:drawing>
      </w:r>
      <w:r>
        <w:rPr>
          <w:sz w:val="26"/>
        </w:rPr>
        <w:t>dos mil veintitrés, con vigencia para el dos mil veinticuatro, artículo 21 .</w:t>
      </w:r>
    </w:p>
    <w:p w14:paraId="1A2F8C6A" w14:textId="77777777" w:rsidR="00053D93" w:rsidRDefault="00260B75">
      <w:pPr>
        <w:tabs>
          <w:tab w:val="center" w:pos="5936"/>
        </w:tabs>
        <w:spacing w:after="327" w:line="265" w:lineRule="auto"/>
      </w:pPr>
      <w:r>
        <w:rPr>
          <w:noProof/>
        </w:rPr>
        <w:drawing>
          <wp:anchor distT="0" distB="0" distL="114300" distR="114300" simplePos="0" relativeHeight="252004352" behindDoc="0" locked="0" layoutInCell="1" allowOverlap="0" wp14:anchorId="6095806F" wp14:editId="626D048E">
            <wp:simplePos x="0" y="0"/>
            <wp:positionH relativeFrom="column">
              <wp:posOffset>877824</wp:posOffset>
            </wp:positionH>
            <wp:positionV relativeFrom="paragraph">
              <wp:posOffset>598932</wp:posOffset>
            </wp:positionV>
            <wp:extent cx="6039611" cy="27432"/>
            <wp:effectExtent l="0" t="0" r="0" b="0"/>
            <wp:wrapSquare wrapText="bothSides"/>
            <wp:docPr id="2458411" name="Picture 2458411"/>
            <wp:cNvGraphicFramePr/>
            <a:graphic xmlns:a="http://schemas.openxmlformats.org/drawingml/2006/main">
              <a:graphicData uri="http://schemas.openxmlformats.org/drawingml/2006/picture">
                <pic:pic xmlns:pic="http://schemas.openxmlformats.org/drawingml/2006/picture">
                  <pic:nvPicPr>
                    <pic:cNvPr id="2458411" name="Picture 2458411"/>
                    <pic:cNvPicPr/>
                  </pic:nvPicPr>
                  <pic:blipFill>
                    <a:blip r:embed="rId752"/>
                    <a:stretch>
                      <a:fillRect/>
                    </a:stretch>
                  </pic:blipFill>
                  <pic:spPr>
                    <a:xfrm>
                      <a:off x="0" y="0"/>
                      <a:ext cx="6039611" cy="27432"/>
                    </a:xfrm>
                    <a:prstGeom prst="rect">
                      <a:avLst/>
                    </a:prstGeom>
                  </pic:spPr>
                </pic:pic>
              </a:graphicData>
            </a:graphic>
          </wp:anchor>
        </w:drawing>
      </w:r>
      <w:r>
        <w:rPr>
          <w:noProof/>
        </w:rPr>
        <w:drawing>
          <wp:inline distT="0" distB="0" distL="0" distR="0" wp14:anchorId="0B549A73" wp14:editId="47B5DF9B">
            <wp:extent cx="416052" cy="672084"/>
            <wp:effectExtent l="0" t="0" r="0" b="0"/>
            <wp:docPr id="491318" name="Picture 491318"/>
            <wp:cNvGraphicFramePr/>
            <a:graphic xmlns:a="http://schemas.openxmlformats.org/drawingml/2006/main">
              <a:graphicData uri="http://schemas.openxmlformats.org/drawingml/2006/picture">
                <pic:pic xmlns:pic="http://schemas.openxmlformats.org/drawingml/2006/picture">
                  <pic:nvPicPr>
                    <pic:cNvPr id="491318" name="Picture 491318"/>
                    <pic:cNvPicPr/>
                  </pic:nvPicPr>
                  <pic:blipFill>
                    <a:blip r:embed="rId753"/>
                    <a:stretch>
                      <a:fillRect/>
                    </a:stretch>
                  </pic:blipFill>
                  <pic:spPr>
                    <a:xfrm>
                      <a:off x="0" y="0"/>
                      <a:ext cx="416052" cy="672084"/>
                    </a:xfrm>
                    <a:prstGeom prst="rect">
                      <a:avLst/>
                    </a:prstGeom>
                  </pic:spPr>
                </pic:pic>
              </a:graphicData>
            </a:graphic>
          </wp:inline>
        </w:drawing>
      </w:r>
      <w:r>
        <w:rPr>
          <w:rFonts w:ascii="Times New Roman" w:eastAsia="Times New Roman" w:hAnsi="Times New Roman" w:cs="Times New Roman"/>
          <w:sz w:val="14"/>
        </w:rPr>
        <w:tab/>
        <w:t>102</w:t>
      </w:r>
    </w:p>
    <w:p w14:paraId="2D2A8517" w14:textId="77777777" w:rsidR="00053D93" w:rsidRDefault="00260B75">
      <w:pPr>
        <w:spacing w:after="101" w:line="380" w:lineRule="auto"/>
        <w:ind w:left="14" w:right="14" w:firstLine="4"/>
        <w:jc w:val="both"/>
      </w:pPr>
      <w:r>
        <w:rPr>
          <w:rFonts w:ascii="Times New Roman" w:eastAsia="Times New Roman" w:hAnsi="Times New Roman" w:cs="Times New Roman"/>
          <w:sz w:val="26"/>
        </w:rPr>
        <w:t xml:space="preserve">1 </w:t>
      </w:r>
      <w:r>
        <w:rPr>
          <w:sz w:val="26"/>
        </w:rPr>
        <w:t xml:space="preserve">Seguimiento en la estrategia para la mejora de la ejecución y calidad del gasto público, establece: "Todos los funcionarios y empleados públicos, en especial las I autoridades de las instituciones, tienen la obligación de promover y velar que las acciones del Estado sean eficaces, eficientes y equitativas, continuar con el logro de los resultados establecidos, considerando la </w:t>
      </w:r>
      <w:r>
        <w:rPr>
          <w:sz w:val="26"/>
        </w:rPr>
        <w:lastRenderedPageBreak/>
        <w:t xml:space="preserve">razón de ser de los programas </w:t>
      </w:r>
      <w:r>
        <w:rPr>
          <w:rFonts w:ascii="Times New Roman" w:eastAsia="Times New Roman" w:hAnsi="Times New Roman" w:cs="Times New Roman"/>
          <w:sz w:val="26"/>
        </w:rPr>
        <w:t xml:space="preserve">1 </w:t>
      </w:r>
      <w:r>
        <w:rPr>
          <w:sz w:val="26"/>
        </w:rPr>
        <w:t>presupuestarios, y focalizar el gasto en beneficio de la población más necesitada... '</w:t>
      </w:r>
      <w:r>
        <w:rPr>
          <w:noProof/>
        </w:rPr>
        <w:drawing>
          <wp:inline distT="0" distB="0" distL="0" distR="0" wp14:anchorId="27500F22" wp14:editId="45614C50">
            <wp:extent cx="9144" cy="36576"/>
            <wp:effectExtent l="0" t="0" r="0" b="0"/>
            <wp:docPr id="491181" name="Picture 491181"/>
            <wp:cNvGraphicFramePr/>
            <a:graphic xmlns:a="http://schemas.openxmlformats.org/drawingml/2006/main">
              <a:graphicData uri="http://schemas.openxmlformats.org/drawingml/2006/picture">
                <pic:pic xmlns:pic="http://schemas.openxmlformats.org/drawingml/2006/picture">
                  <pic:nvPicPr>
                    <pic:cNvPr id="491181" name="Picture 491181"/>
                    <pic:cNvPicPr/>
                  </pic:nvPicPr>
                  <pic:blipFill>
                    <a:blip r:embed="rId754"/>
                    <a:stretch>
                      <a:fillRect/>
                    </a:stretch>
                  </pic:blipFill>
                  <pic:spPr>
                    <a:xfrm>
                      <a:off x="0" y="0"/>
                      <a:ext cx="9144" cy="36576"/>
                    </a:xfrm>
                    <a:prstGeom prst="rect">
                      <a:avLst/>
                    </a:prstGeom>
                  </pic:spPr>
                </pic:pic>
              </a:graphicData>
            </a:graphic>
          </wp:inline>
        </w:drawing>
      </w:r>
    </w:p>
    <w:p w14:paraId="5340A13D" w14:textId="77777777" w:rsidR="00053D93" w:rsidRDefault="00260B75">
      <w:pPr>
        <w:spacing w:after="159" w:line="247" w:lineRule="auto"/>
        <w:ind w:left="14" w:right="14" w:firstLine="1692"/>
        <w:jc w:val="both"/>
      </w:pPr>
      <w:r>
        <w:rPr>
          <w:sz w:val="26"/>
        </w:rPr>
        <w:t xml:space="preserve">El Decreto Número 89-2002, del Congreso de la República de Guatemala, Ley de Probidad y Responsabilidades de Funcionarios y Empleados Públicos, artículo 6. </w:t>
      </w:r>
      <w:r>
        <w:rPr>
          <w:rFonts w:ascii="Times New Roman" w:eastAsia="Times New Roman" w:hAnsi="Times New Roman" w:cs="Times New Roman"/>
          <w:sz w:val="26"/>
        </w:rPr>
        <w:t xml:space="preserve">1 </w:t>
      </w:r>
      <w:r>
        <w:rPr>
          <w:sz w:val="26"/>
        </w:rPr>
        <w:t>Principios de probidad, establece: "Son principios de probidad los siguientes... d) La prudencia en la administración de los recursos de las entidades del Estado, y demás entidades descentralizadas y autónomas del mismo... "</w:t>
      </w:r>
    </w:p>
    <w:p w14:paraId="717691DA" w14:textId="77777777" w:rsidR="00053D93" w:rsidRDefault="00260B75">
      <w:pPr>
        <w:spacing w:after="3"/>
        <w:ind w:left="74" w:right="3485" w:hanging="10"/>
      </w:pPr>
      <w:r>
        <w:rPr>
          <w:rFonts w:ascii="Times New Roman" w:eastAsia="Times New Roman" w:hAnsi="Times New Roman" w:cs="Times New Roman"/>
          <w:sz w:val="70"/>
        </w:rPr>
        <w:t>1</w:t>
      </w:r>
    </w:p>
    <w:p w14:paraId="6CC6393A" w14:textId="77777777" w:rsidR="00053D93" w:rsidRDefault="00260B75">
      <w:pPr>
        <w:spacing w:after="544" w:line="247" w:lineRule="auto"/>
        <w:ind w:left="14" w:right="14" w:firstLine="1678"/>
        <w:jc w:val="both"/>
      </w:pPr>
      <w:r>
        <w:rPr>
          <w:noProof/>
        </w:rPr>
        <mc:AlternateContent>
          <mc:Choice Requires="wpg">
            <w:drawing>
              <wp:anchor distT="0" distB="0" distL="114300" distR="114300" simplePos="0" relativeHeight="252005376" behindDoc="0" locked="0" layoutInCell="1" allowOverlap="1" wp14:anchorId="40B98569" wp14:editId="283FD9A6">
                <wp:simplePos x="0" y="0"/>
                <wp:positionH relativeFrom="column">
                  <wp:posOffset>36576</wp:posOffset>
                </wp:positionH>
                <wp:positionV relativeFrom="paragraph">
                  <wp:posOffset>220163</wp:posOffset>
                </wp:positionV>
                <wp:extent cx="114300" cy="301752"/>
                <wp:effectExtent l="0" t="0" r="0" b="0"/>
                <wp:wrapSquare wrapText="bothSides"/>
                <wp:docPr id="2455697" name="Group 2455697"/>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488501" name="Rectangle 488501"/>
                        <wps:cNvSpPr/>
                        <wps:spPr>
                          <a:xfrm>
                            <a:off x="0" y="0"/>
                            <a:ext cx="152019" cy="401330"/>
                          </a:xfrm>
                          <a:prstGeom prst="rect">
                            <a:avLst/>
                          </a:prstGeom>
                          <a:ln>
                            <a:noFill/>
                          </a:ln>
                        </wps:spPr>
                        <wps:txbx>
                          <w:txbxContent>
                            <w:p w14:paraId="1297DA8C"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40B98569" id="Group 2455697" o:spid="_x0000_s1313" style="position:absolute;left:0;text-align:left;margin-left:2.9pt;margin-top:17.35pt;width:9pt;height:23.75pt;z-index:252005376;mso-position-horizontal-relative:text;mso-position-vertical-relative:text"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">
                <v:rect id="Rectangle 488501" o:spid="_x0000_s131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" filled="f" stroked="f">
                  <v:textbox inset="0,0,0,0">
                    <w:txbxContent>
                      <w:p w14:paraId="1297DA8C"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sz w:val="26"/>
        </w:rPr>
        <w:t>El Acuerdo Ministerial No. 2833-2010 del Ministro de Educación, Aprobar el Manual de Funciones de Dirección General de Educación Física -DIGEF- del Ministerio de Educación.</w:t>
      </w:r>
    </w:p>
    <w:p w14:paraId="0B8E489B" w14:textId="77777777" w:rsidR="00053D93" w:rsidRDefault="00260B75">
      <w:pPr>
        <w:spacing w:after="175" w:line="342" w:lineRule="auto"/>
        <w:ind w:left="1677" w:right="14" w:hanging="1663"/>
        <w:jc w:val="both"/>
      </w:pPr>
      <w:r>
        <w:rPr>
          <w:noProof/>
        </w:rPr>
        <w:drawing>
          <wp:anchor distT="0" distB="0" distL="114300" distR="114300" simplePos="0" relativeHeight="252006400" behindDoc="0" locked="0" layoutInCell="1" allowOverlap="0" wp14:anchorId="348D7A3D" wp14:editId="32975432">
            <wp:simplePos x="0" y="0"/>
            <wp:positionH relativeFrom="page">
              <wp:posOffset>7091172</wp:posOffset>
            </wp:positionH>
            <wp:positionV relativeFrom="page">
              <wp:posOffset>3172968</wp:posOffset>
            </wp:positionV>
            <wp:extent cx="32004" cy="22860"/>
            <wp:effectExtent l="0" t="0" r="0" b="0"/>
            <wp:wrapSquare wrapText="bothSides"/>
            <wp:docPr id="491182" name="Picture 491182"/>
            <wp:cNvGraphicFramePr/>
            <a:graphic xmlns:a="http://schemas.openxmlformats.org/drawingml/2006/main">
              <a:graphicData uri="http://schemas.openxmlformats.org/drawingml/2006/picture">
                <pic:pic xmlns:pic="http://schemas.openxmlformats.org/drawingml/2006/picture">
                  <pic:nvPicPr>
                    <pic:cNvPr id="491182" name="Picture 491182"/>
                    <pic:cNvPicPr/>
                  </pic:nvPicPr>
                  <pic:blipFill>
                    <a:blip r:embed="rId755"/>
                    <a:stretch>
                      <a:fillRect/>
                    </a:stretch>
                  </pic:blipFill>
                  <pic:spPr>
                    <a:xfrm>
                      <a:off x="0" y="0"/>
                      <a:ext cx="32004" cy="22860"/>
                    </a:xfrm>
                    <a:prstGeom prst="rect">
                      <a:avLst/>
                    </a:prstGeom>
                  </pic:spPr>
                </pic:pic>
              </a:graphicData>
            </a:graphic>
          </wp:anchor>
        </w:drawing>
      </w:r>
      <w:r>
        <w:rPr>
          <w:noProof/>
        </w:rPr>
        <w:drawing>
          <wp:anchor distT="0" distB="0" distL="114300" distR="114300" simplePos="0" relativeHeight="252007424" behindDoc="0" locked="0" layoutInCell="1" allowOverlap="0" wp14:anchorId="7285DA6D" wp14:editId="141986C1">
            <wp:simplePos x="0" y="0"/>
            <wp:positionH relativeFrom="page">
              <wp:posOffset>160020</wp:posOffset>
            </wp:positionH>
            <wp:positionV relativeFrom="page">
              <wp:posOffset>8065009</wp:posOffset>
            </wp:positionV>
            <wp:extent cx="9144" cy="4572"/>
            <wp:effectExtent l="0" t="0" r="0" b="0"/>
            <wp:wrapTopAndBottom/>
            <wp:docPr id="491189" name="Picture 491189"/>
            <wp:cNvGraphicFramePr/>
            <a:graphic xmlns:a="http://schemas.openxmlformats.org/drawingml/2006/main">
              <a:graphicData uri="http://schemas.openxmlformats.org/drawingml/2006/picture">
                <pic:pic xmlns:pic="http://schemas.openxmlformats.org/drawingml/2006/picture">
                  <pic:nvPicPr>
                    <pic:cNvPr id="491189" name="Picture 491189"/>
                    <pic:cNvPicPr/>
                  </pic:nvPicPr>
                  <pic:blipFill>
                    <a:blip r:embed="rId24"/>
                    <a:stretch>
                      <a:fillRect/>
                    </a:stretch>
                  </pic:blipFill>
                  <pic:spPr>
                    <a:xfrm>
                      <a:off x="0" y="0"/>
                      <a:ext cx="9144" cy="4572"/>
                    </a:xfrm>
                    <a:prstGeom prst="rect">
                      <a:avLst/>
                    </a:prstGeom>
                  </pic:spPr>
                </pic:pic>
              </a:graphicData>
            </a:graphic>
          </wp:anchor>
        </w:drawing>
      </w:r>
      <w:r>
        <w:rPr>
          <w:rFonts w:ascii="Times New Roman" w:eastAsia="Times New Roman" w:hAnsi="Times New Roman" w:cs="Times New Roman"/>
          <w:sz w:val="26"/>
        </w:rPr>
        <w:t xml:space="preserve">1 </w:t>
      </w:r>
      <w:r>
        <w:rPr>
          <w:sz w:val="26"/>
        </w:rPr>
        <w:t>El Manual de Funciones, Organización y Puestos de la Dirección General de Educación Física (DIGEF), Código: MAN-TEC-3, Versión 01 , febrero 2010, numeral 169. Nombre del puesto: Jefe Departamento de Extensión Escolar,</w:t>
      </w:r>
      <w:r>
        <w:rPr>
          <w:noProof/>
        </w:rPr>
        <w:drawing>
          <wp:inline distT="0" distB="0" distL="0" distR="0" wp14:anchorId="32535708" wp14:editId="423E9B3C">
            <wp:extent cx="105154" cy="13716"/>
            <wp:effectExtent l="0" t="0" r="0" b="0"/>
            <wp:docPr id="2458413" name="Picture 2458413"/>
            <wp:cNvGraphicFramePr/>
            <a:graphic xmlns:a="http://schemas.openxmlformats.org/drawingml/2006/main">
              <a:graphicData uri="http://schemas.openxmlformats.org/drawingml/2006/picture">
                <pic:pic xmlns:pic="http://schemas.openxmlformats.org/drawingml/2006/picture">
                  <pic:nvPicPr>
                    <pic:cNvPr id="2458413" name="Picture 2458413"/>
                    <pic:cNvPicPr/>
                  </pic:nvPicPr>
                  <pic:blipFill>
                    <a:blip r:embed="rId756"/>
                    <a:stretch>
                      <a:fillRect/>
                    </a:stretch>
                  </pic:blipFill>
                  <pic:spPr>
                    <a:xfrm>
                      <a:off x="0" y="0"/>
                      <a:ext cx="105154" cy="13716"/>
                    </a:xfrm>
                    <a:prstGeom prst="rect">
                      <a:avLst/>
                    </a:prstGeom>
                  </pic:spPr>
                </pic:pic>
              </a:graphicData>
            </a:graphic>
          </wp:inline>
        </w:drawing>
      </w:r>
    </w:p>
    <w:p w14:paraId="6C841063" w14:textId="77777777" w:rsidR="00053D93" w:rsidRDefault="00260B75">
      <w:pPr>
        <w:spacing w:after="17" w:line="359" w:lineRule="auto"/>
        <w:ind w:left="1670" w:right="14" w:hanging="1656"/>
        <w:jc w:val="both"/>
      </w:pPr>
      <w:r>
        <w:rPr>
          <w:rFonts w:ascii="Times New Roman" w:eastAsia="Times New Roman" w:hAnsi="Times New Roman" w:cs="Times New Roman"/>
          <w:sz w:val="26"/>
        </w:rPr>
        <w:t xml:space="preserve">1 </w:t>
      </w:r>
      <w:r>
        <w:rPr>
          <w:sz w:val="26"/>
        </w:rPr>
        <w:t>literal b. Funciones, establece: "Planificar, organizar y dirigir las diferentes actividades del departamento de Extensión Escolar de la Coordinación</w:t>
      </w:r>
    </w:p>
    <w:p w14:paraId="21759B01" w14:textId="77777777" w:rsidR="00053D93" w:rsidRDefault="00260B75">
      <w:pPr>
        <w:spacing w:after="17" w:line="305" w:lineRule="auto"/>
        <w:ind w:left="14" w:right="14" w:firstLine="4"/>
        <w:jc w:val="both"/>
      </w:pPr>
      <w:r>
        <w:rPr>
          <w:rFonts w:ascii="Times New Roman" w:eastAsia="Times New Roman" w:hAnsi="Times New Roman" w:cs="Times New Roman"/>
          <w:sz w:val="26"/>
        </w:rPr>
        <w:t xml:space="preserve">1 </w:t>
      </w:r>
      <w:r>
        <w:rPr>
          <w:sz w:val="26"/>
        </w:rPr>
        <w:t xml:space="preserve">Extracurricular de la DIGEF, a nivel nacional... Programar, ejecutar y evaluar actividades específicas del Departamento de Extensión Escolar... Gestionar la dotación de recursos para los diversos proyectos extraescolares a nivel </w:t>
      </w:r>
      <w:r>
        <w:rPr>
          <w:rFonts w:ascii="Times New Roman" w:eastAsia="Times New Roman" w:hAnsi="Times New Roman" w:cs="Times New Roman"/>
          <w:sz w:val="26"/>
        </w:rPr>
        <w:t xml:space="preserve">1 </w:t>
      </w:r>
      <w:r>
        <w:rPr>
          <w:sz w:val="26"/>
        </w:rPr>
        <w:t xml:space="preserve">nacional... " numeral 193. Nombre del puesto: Jefe Departamento Desarrollo Deportivo Escolar, literal b. Funciones, establece: "Planificar, organizar, dirigir y coordinar las diferentes actividades de iniciación, formación y desarrollo deportivo </w:t>
      </w:r>
      <w:r>
        <w:rPr>
          <w:noProof/>
        </w:rPr>
        <w:drawing>
          <wp:inline distT="0" distB="0" distL="0" distR="0" wp14:anchorId="76D611A7" wp14:editId="0D70311A">
            <wp:extent cx="9144" cy="9145"/>
            <wp:effectExtent l="0" t="0" r="0" b="0"/>
            <wp:docPr id="491186" name="Picture 491186"/>
            <wp:cNvGraphicFramePr/>
            <a:graphic xmlns:a="http://schemas.openxmlformats.org/drawingml/2006/main">
              <a:graphicData uri="http://schemas.openxmlformats.org/drawingml/2006/picture">
                <pic:pic xmlns:pic="http://schemas.openxmlformats.org/drawingml/2006/picture">
                  <pic:nvPicPr>
                    <pic:cNvPr id="491186" name="Picture 491186"/>
                    <pic:cNvPicPr/>
                  </pic:nvPicPr>
                  <pic:blipFill>
                    <a:blip r:embed="rId93"/>
                    <a:stretch>
                      <a:fillRect/>
                    </a:stretch>
                  </pic:blipFill>
                  <pic:spPr>
                    <a:xfrm>
                      <a:off x="0" y="0"/>
                      <a:ext cx="9144" cy="9145"/>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a nivel nacional... Supervisar al personal de menor jerarquía que labora en la unidad a su cargo...' numeral 202. Nombre del puesto: Subdirector General de </w:t>
      </w:r>
      <w:r>
        <w:rPr>
          <w:rFonts w:ascii="Times New Roman" w:eastAsia="Times New Roman" w:hAnsi="Times New Roman" w:cs="Times New Roman"/>
          <w:sz w:val="26"/>
        </w:rPr>
        <w:t xml:space="preserve">1 </w:t>
      </w:r>
      <w:r>
        <w:rPr>
          <w:sz w:val="26"/>
        </w:rPr>
        <w:t>Desarrollo Institucional, funciones del puesto, establece: "Planificar, organizar,</w:t>
      </w:r>
    </w:p>
    <w:p w14:paraId="37C844B7" w14:textId="77777777" w:rsidR="00053D93" w:rsidRDefault="00260B75">
      <w:pPr>
        <w:spacing w:after="40"/>
        <w:ind w:left="29"/>
      </w:pPr>
      <w:r>
        <w:rPr>
          <w:noProof/>
        </w:rPr>
        <w:drawing>
          <wp:inline distT="0" distB="0" distL="0" distR="0" wp14:anchorId="2418689F" wp14:editId="57725BC0">
            <wp:extent cx="9144" cy="9144"/>
            <wp:effectExtent l="0" t="0" r="0" b="0"/>
            <wp:docPr id="491187" name="Picture 491187"/>
            <wp:cNvGraphicFramePr/>
            <a:graphic xmlns:a="http://schemas.openxmlformats.org/drawingml/2006/main">
              <a:graphicData uri="http://schemas.openxmlformats.org/drawingml/2006/picture">
                <pic:pic xmlns:pic="http://schemas.openxmlformats.org/drawingml/2006/picture">
                  <pic:nvPicPr>
                    <pic:cNvPr id="491187" name="Picture 491187"/>
                    <pic:cNvPicPr/>
                  </pic:nvPicPr>
                  <pic:blipFill>
                    <a:blip r:embed="rId93"/>
                    <a:stretch>
                      <a:fillRect/>
                    </a:stretch>
                  </pic:blipFill>
                  <pic:spPr>
                    <a:xfrm>
                      <a:off x="0" y="0"/>
                      <a:ext cx="9144" cy="9144"/>
                    </a:xfrm>
                    <a:prstGeom prst="rect">
                      <a:avLst/>
                    </a:prstGeom>
                  </pic:spPr>
                </pic:pic>
              </a:graphicData>
            </a:graphic>
          </wp:inline>
        </w:drawing>
      </w:r>
    </w:p>
    <w:p w14:paraId="1900E1AC" w14:textId="77777777" w:rsidR="00053D93" w:rsidRDefault="00260B75">
      <w:pPr>
        <w:spacing w:after="260" w:line="247" w:lineRule="auto"/>
        <w:ind w:left="14" w:right="14" w:firstLine="1670"/>
        <w:jc w:val="both"/>
      </w:pPr>
      <w:r>
        <w:rPr>
          <w:sz w:val="26"/>
        </w:rPr>
        <w:t xml:space="preserve">dirigir, coordinar y supervisar las actividades de las Coordinaciones de Programas y Proyectos de Educación Física; de Infraestructura Deportiva Escolar; de </w:t>
      </w:r>
      <w:r>
        <w:rPr>
          <w:noProof/>
        </w:rPr>
        <w:drawing>
          <wp:inline distT="0" distB="0" distL="0" distR="0" wp14:anchorId="5936B33C" wp14:editId="2286E083">
            <wp:extent cx="18288" cy="9144"/>
            <wp:effectExtent l="0" t="0" r="0" b="0"/>
            <wp:docPr id="491188" name="Picture 491188"/>
            <wp:cNvGraphicFramePr/>
            <a:graphic xmlns:a="http://schemas.openxmlformats.org/drawingml/2006/main">
              <a:graphicData uri="http://schemas.openxmlformats.org/drawingml/2006/picture">
                <pic:pic xmlns:pic="http://schemas.openxmlformats.org/drawingml/2006/picture">
                  <pic:nvPicPr>
                    <pic:cNvPr id="491188" name="Picture 491188"/>
                    <pic:cNvPicPr/>
                  </pic:nvPicPr>
                  <pic:blipFill>
                    <a:blip r:embed="rId757"/>
                    <a:stretch>
                      <a:fillRect/>
                    </a:stretch>
                  </pic:blipFill>
                  <pic:spPr>
                    <a:xfrm>
                      <a:off x="0" y="0"/>
                      <a:ext cx="18288"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Seguimiento y Monitoreo... Proponer metodologías, sistemas, formas etc., que permitan la operatividad de la planificación, programación, ejecución y evaluación del Plan Operativo Anual de la DIGEF. Planificar y dar seguimiento con las demás</w:t>
      </w:r>
    </w:p>
    <w:p w14:paraId="51DE3802" w14:textId="77777777" w:rsidR="00053D93" w:rsidRDefault="00260B75">
      <w:pPr>
        <w:spacing w:after="17" w:line="374" w:lineRule="auto"/>
        <w:ind w:left="1684" w:right="14" w:hanging="1670"/>
        <w:jc w:val="both"/>
      </w:pPr>
      <w:r>
        <w:rPr>
          <w:noProof/>
        </w:rPr>
        <w:lastRenderedPageBreak/>
        <w:drawing>
          <wp:inline distT="0" distB="0" distL="0" distR="0" wp14:anchorId="2B5FC1A8" wp14:editId="13950920">
            <wp:extent cx="13716" cy="9144"/>
            <wp:effectExtent l="0" t="0" r="0" b="0"/>
            <wp:docPr id="491190" name="Picture 491190"/>
            <wp:cNvGraphicFramePr/>
            <a:graphic xmlns:a="http://schemas.openxmlformats.org/drawingml/2006/main">
              <a:graphicData uri="http://schemas.openxmlformats.org/drawingml/2006/picture">
                <pic:pic xmlns:pic="http://schemas.openxmlformats.org/drawingml/2006/picture">
                  <pic:nvPicPr>
                    <pic:cNvPr id="491190" name="Picture 491190"/>
                    <pic:cNvPicPr/>
                  </pic:nvPicPr>
                  <pic:blipFill>
                    <a:blip r:embed="rId49"/>
                    <a:stretch>
                      <a:fillRect/>
                    </a:stretch>
                  </pic:blipFill>
                  <pic:spPr>
                    <a:xfrm>
                      <a:off x="0" y="0"/>
                      <a:ext cx="13716"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Subdirecciones a las actividades administrativas, técnicas y deportivas a realizarse en la DIGEF... Coordinar, dirigir y supervisar las actividades relacionadas con</w:t>
      </w:r>
    </w:p>
    <w:p w14:paraId="55178B3A" w14:textId="77777777" w:rsidR="00053D93" w:rsidRDefault="00260B75">
      <w:pPr>
        <w:spacing w:after="430" w:line="536" w:lineRule="auto"/>
        <w:ind w:left="1627" w:right="14" w:hanging="1613"/>
        <w:jc w:val="both"/>
      </w:pPr>
      <w:r>
        <w:rPr>
          <w:rFonts w:ascii="Times New Roman" w:eastAsia="Times New Roman" w:hAnsi="Times New Roman" w:cs="Times New Roman"/>
          <w:sz w:val="26"/>
        </w:rPr>
        <w:t xml:space="preserve">1 </w:t>
      </w:r>
      <w:r>
        <w:rPr>
          <w:sz w:val="26"/>
        </w:rPr>
        <w:t>infraestructura deportiva escolar a nivel nacional, afín de que las instalaciones deportivas, cuenten con infraestructura adecuada... "</w:t>
      </w:r>
    </w:p>
    <w:p w14:paraId="03451C7F" w14:textId="77777777" w:rsidR="00053D93" w:rsidRDefault="00260B75">
      <w:pPr>
        <w:tabs>
          <w:tab w:val="right" w:pos="10166"/>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El Acuerdo Ministerial No. 2647-2007 "A", de la Ministra de Educación,</w:t>
      </w:r>
    </w:p>
    <w:tbl>
      <w:tblPr>
        <w:tblStyle w:val="TableGrid"/>
        <w:tblW w:w="9396" w:type="dxa"/>
        <w:tblInd w:w="727" w:type="dxa"/>
        <w:tblLook w:val="04A0" w:firstRow="1" w:lastRow="0" w:firstColumn="1" w:lastColumn="0" w:noHBand="0" w:noVBand="1"/>
      </w:tblPr>
      <w:tblGrid>
        <w:gridCol w:w="1288"/>
        <w:gridCol w:w="8151"/>
      </w:tblGrid>
      <w:tr w:rsidR="00053D93" w14:paraId="2B3F1F52" w14:textId="77777777">
        <w:trPr>
          <w:trHeight w:val="634"/>
        </w:trPr>
        <w:tc>
          <w:tcPr>
            <w:tcW w:w="1773" w:type="dxa"/>
            <w:tcBorders>
              <w:top w:val="nil"/>
              <w:left w:val="nil"/>
              <w:bottom w:val="nil"/>
              <w:right w:val="nil"/>
            </w:tcBorders>
          </w:tcPr>
          <w:p w14:paraId="0D62E13F" w14:textId="77777777" w:rsidR="00053D93" w:rsidRDefault="00260B75">
            <w:r>
              <w:rPr>
                <w:noProof/>
              </w:rPr>
              <w:drawing>
                <wp:inline distT="0" distB="0" distL="0" distR="0" wp14:anchorId="578BC1DA" wp14:editId="2798AF00">
                  <wp:extent cx="1115568" cy="402337"/>
                  <wp:effectExtent l="0" t="0" r="0" b="0"/>
                  <wp:docPr id="491320" name="Picture 491320"/>
                  <wp:cNvGraphicFramePr/>
                  <a:graphic xmlns:a="http://schemas.openxmlformats.org/drawingml/2006/main">
                    <a:graphicData uri="http://schemas.openxmlformats.org/drawingml/2006/picture">
                      <pic:pic xmlns:pic="http://schemas.openxmlformats.org/drawingml/2006/picture">
                        <pic:nvPicPr>
                          <pic:cNvPr id="491320" name="Picture 491320"/>
                          <pic:cNvPicPr/>
                        </pic:nvPicPr>
                        <pic:blipFill>
                          <a:blip r:embed="rId758"/>
                          <a:stretch>
                            <a:fillRect/>
                          </a:stretch>
                        </pic:blipFill>
                        <pic:spPr>
                          <a:xfrm>
                            <a:off x="0" y="0"/>
                            <a:ext cx="1115568" cy="402337"/>
                          </a:xfrm>
                          <a:prstGeom prst="rect">
                            <a:avLst/>
                          </a:prstGeom>
                        </pic:spPr>
                      </pic:pic>
                    </a:graphicData>
                  </a:graphic>
                </wp:inline>
              </w:drawing>
            </w:r>
          </w:p>
        </w:tc>
        <w:tc>
          <w:tcPr>
            <w:tcW w:w="7623" w:type="dxa"/>
            <w:tcBorders>
              <w:top w:val="nil"/>
              <w:left w:val="nil"/>
              <w:bottom w:val="nil"/>
              <w:right w:val="nil"/>
            </w:tcBorders>
          </w:tcPr>
          <w:p w14:paraId="2567EEB4" w14:textId="77777777" w:rsidR="00053D93" w:rsidRDefault="00053D93">
            <w:pPr>
              <w:ind w:left="-2810" w:right="10433"/>
            </w:pPr>
          </w:p>
          <w:tbl>
            <w:tblPr>
              <w:tblStyle w:val="TableGrid"/>
              <w:tblW w:w="7606" w:type="dxa"/>
              <w:tblInd w:w="17" w:type="dxa"/>
              <w:tblCellMar>
                <w:top w:w="31" w:type="dxa"/>
                <w:left w:w="1731" w:type="dxa"/>
                <w:right w:w="115" w:type="dxa"/>
              </w:tblCellMar>
              <w:tblLook w:val="04A0" w:firstRow="1" w:lastRow="0" w:firstColumn="1" w:lastColumn="0" w:noHBand="0" w:noVBand="1"/>
            </w:tblPr>
            <w:tblGrid>
              <w:gridCol w:w="7606"/>
            </w:tblGrid>
            <w:tr w:rsidR="00053D93" w14:paraId="0B9140BB" w14:textId="77777777">
              <w:trPr>
                <w:trHeight w:val="55"/>
              </w:trPr>
              <w:tc>
                <w:tcPr>
                  <w:tcW w:w="7606" w:type="dxa"/>
                  <w:tcBorders>
                    <w:top w:val="nil"/>
                    <w:left w:val="single" w:sz="2" w:space="0" w:color="000000"/>
                    <w:bottom w:val="single" w:sz="2" w:space="0" w:color="000000"/>
                    <w:right w:val="nil"/>
                  </w:tcBorders>
                </w:tcPr>
                <w:p w14:paraId="1F3D3E71" w14:textId="77777777" w:rsidR="00053D93" w:rsidRDefault="00053D93"/>
              </w:tc>
            </w:tr>
            <w:tr w:rsidR="00053D93" w14:paraId="52747219" w14:textId="77777777">
              <w:trPr>
                <w:trHeight w:val="579"/>
              </w:trPr>
              <w:tc>
                <w:tcPr>
                  <w:tcW w:w="7606" w:type="dxa"/>
                  <w:tcBorders>
                    <w:top w:val="single" w:sz="2" w:space="0" w:color="000000"/>
                    <w:left w:val="single" w:sz="2" w:space="0" w:color="000000"/>
                    <w:bottom w:val="nil"/>
                    <w:right w:val="nil"/>
                  </w:tcBorders>
                </w:tcPr>
                <w:p w14:paraId="5E6D0AF1" w14:textId="77777777" w:rsidR="00053D93" w:rsidRDefault="00260B75">
                  <w:pPr>
                    <w:ind w:left="835"/>
                  </w:pPr>
                  <w:r>
                    <w:rPr>
                      <w:sz w:val="14"/>
                    </w:rPr>
                    <w:t>MINISTERtO DE EDUCACION</w:t>
                  </w:r>
                </w:p>
                <w:p w14:paraId="1849A48F" w14:textId="77777777" w:rsidR="00053D93" w:rsidRDefault="00260B75">
                  <w:pPr>
                    <w:ind w:left="338"/>
                  </w:pPr>
                  <w:r>
                    <w:rPr>
                      <w:sz w:val="14"/>
                    </w:rPr>
                    <w:t>AUDITORIA FINANCIERA Y CUMPLIMIENTO</w:t>
                  </w:r>
                </w:p>
                <w:p w14:paraId="5C3AAFBB" w14:textId="77777777" w:rsidR="00053D93" w:rsidRDefault="00260B75">
                  <w:r>
                    <w:rPr>
                      <w:sz w:val="14"/>
                    </w:rPr>
                    <w:t>PERIODO DEL 01 DE ENERO AL 31 OE DICIEM2RE DE 2024</w:t>
                  </w:r>
                </w:p>
              </w:tc>
            </w:tr>
          </w:tbl>
          <w:p w14:paraId="584A08C4" w14:textId="77777777" w:rsidR="00053D93" w:rsidRDefault="00053D93"/>
        </w:tc>
      </w:tr>
    </w:tbl>
    <w:p w14:paraId="2FA157A5" w14:textId="77777777" w:rsidR="00053D93" w:rsidRDefault="00053D93">
      <w:pPr>
        <w:sectPr w:rsidR="00053D93">
          <w:headerReference w:type="even" r:id="rId759"/>
          <w:headerReference w:type="default" r:id="rId760"/>
          <w:footerReference w:type="even" r:id="rId761"/>
          <w:footerReference w:type="default" r:id="rId762"/>
          <w:headerReference w:type="first" r:id="rId763"/>
          <w:footerReference w:type="first" r:id="rId764"/>
          <w:pgSz w:w="12290" w:h="15883"/>
          <w:pgMar w:top="389" w:right="1814" w:bottom="403" w:left="310" w:header="655" w:footer="720" w:gutter="0"/>
          <w:cols w:space="720"/>
          <w:titlePg/>
        </w:sectPr>
      </w:pPr>
    </w:p>
    <w:p w14:paraId="5BAC1A06" w14:textId="77777777" w:rsidR="00053D93" w:rsidRDefault="00260B75">
      <w:pPr>
        <w:tabs>
          <w:tab w:val="center" w:pos="3222"/>
          <w:tab w:val="center" w:pos="5857"/>
        </w:tabs>
        <w:spacing w:after="3" w:line="265" w:lineRule="auto"/>
      </w:pPr>
      <w:r>
        <w:rPr>
          <w:rFonts w:ascii="Times New Roman" w:eastAsia="Times New Roman" w:hAnsi="Times New Roman" w:cs="Times New Roman"/>
          <w:sz w:val="14"/>
        </w:rPr>
        <w:lastRenderedPageBreak/>
        <w:t>1</w:t>
      </w:r>
      <w:r>
        <w:rPr>
          <w:rFonts w:ascii="Times New Roman" w:eastAsia="Times New Roman" w:hAnsi="Times New Roman" w:cs="Times New Roman"/>
          <w:sz w:val="14"/>
        </w:rPr>
        <w:tab/>
      </w:r>
      <w:r>
        <w:rPr>
          <w:sz w:val="14"/>
        </w:rPr>
        <w:t xml:space="preserve">OE </w:t>
      </w:r>
      <w:r>
        <w:rPr>
          <w:sz w:val="14"/>
        </w:rPr>
        <w:tab/>
      </w:r>
      <w:r>
        <w:rPr>
          <w:noProof/>
        </w:rPr>
        <w:drawing>
          <wp:inline distT="0" distB="0" distL="0" distR="0" wp14:anchorId="277E4E92" wp14:editId="3398FA07">
            <wp:extent cx="22860" cy="27432"/>
            <wp:effectExtent l="0" t="0" r="0" b="0"/>
            <wp:docPr id="494569" name="Picture 494569"/>
            <wp:cNvGraphicFramePr/>
            <a:graphic xmlns:a="http://schemas.openxmlformats.org/drawingml/2006/main">
              <a:graphicData uri="http://schemas.openxmlformats.org/drawingml/2006/picture">
                <pic:pic xmlns:pic="http://schemas.openxmlformats.org/drawingml/2006/picture">
                  <pic:nvPicPr>
                    <pic:cNvPr id="494569" name="Picture 494569"/>
                    <pic:cNvPicPr/>
                  </pic:nvPicPr>
                  <pic:blipFill>
                    <a:blip r:embed="rId765"/>
                    <a:stretch>
                      <a:fillRect/>
                    </a:stretch>
                  </pic:blipFill>
                  <pic:spPr>
                    <a:xfrm>
                      <a:off x="0" y="0"/>
                      <a:ext cx="22860" cy="27432"/>
                    </a:xfrm>
                    <a:prstGeom prst="rect">
                      <a:avLst/>
                    </a:prstGeom>
                  </pic:spPr>
                </pic:pic>
              </a:graphicData>
            </a:graphic>
          </wp:inline>
        </w:drawing>
      </w:r>
    </w:p>
    <w:p w14:paraId="746F4426" w14:textId="77777777" w:rsidR="00053D93" w:rsidRDefault="00260B75">
      <w:pPr>
        <w:spacing w:after="44"/>
        <w:ind w:left="1498" w:right="-122"/>
      </w:pPr>
      <w:r>
        <w:rPr>
          <w:noProof/>
        </w:rPr>
        <mc:AlternateContent>
          <mc:Choice Requires="wpg">
            <w:drawing>
              <wp:inline distT="0" distB="0" distL="0" distR="0" wp14:anchorId="0EBCA0DC" wp14:editId="7573C1E1">
                <wp:extent cx="5564124" cy="13716"/>
                <wp:effectExtent l="0" t="0" r="0" b="0"/>
                <wp:docPr id="2458419" name="Group 2458419"/>
                <wp:cNvGraphicFramePr/>
                <a:graphic xmlns:a="http://schemas.openxmlformats.org/drawingml/2006/main">
                  <a:graphicData uri="http://schemas.microsoft.com/office/word/2010/wordprocessingGroup">
                    <wpg:wgp>
                      <wpg:cNvGrpSpPr/>
                      <wpg:grpSpPr>
                        <a:xfrm>
                          <a:off x="0" y="0"/>
                          <a:ext cx="5564124" cy="13716"/>
                          <a:chOff x="0" y="0"/>
                          <a:chExt cx="5564124" cy="13716"/>
                        </a:xfrm>
                      </wpg:grpSpPr>
                      <wps:wsp>
                        <wps:cNvPr id="2458418" name="Shape 2458418"/>
                        <wps:cNvSpPr/>
                        <wps:spPr>
                          <a:xfrm>
                            <a:off x="0" y="0"/>
                            <a:ext cx="5564124" cy="13716"/>
                          </a:xfrm>
                          <a:custGeom>
                            <a:avLst/>
                            <a:gdLst/>
                            <a:ahLst/>
                            <a:cxnLst/>
                            <a:rect l="0" t="0" r="0" b="0"/>
                            <a:pathLst>
                              <a:path w="5564124" h="13716">
                                <a:moveTo>
                                  <a:pt x="0" y="6858"/>
                                </a:moveTo>
                                <a:lnTo>
                                  <a:pt x="556412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19" style="width:438.12pt;height:1.08pt;mso-position-horizontal-relative:char;mso-position-vertical-relative:line" coordsize="55641,137">
                <v:shape id="Shape 2458418" style="position:absolute;width:55641;height:137;left:0;top:0;" coordsize="5564124,13716" path="m0,6858l5564124,6858">
                  <v:stroke weight="1.08pt" endcap="flat" joinstyle="miter" miterlimit="1" on="true" color="#000000"/>
                  <v:fill on="false" color="#000000"/>
                </v:shape>
              </v:group>
            </w:pict>
          </mc:Fallback>
        </mc:AlternateContent>
      </w:r>
    </w:p>
    <w:p w14:paraId="6B965C30" w14:textId="77777777" w:rsidR="00053D93" w:rsidRDefault="00260B75">
      <w:pPr>
        <w:spacing w:after="163" w:line="297" w:lineRule="auto"/>
        <w:ind w:left="14" w:right="14" w:firstLine="4"/>
        <w:jc w:val="both"/>
      </w:pPr>
      <w:r>
        <w:rPr>
          <w:rFonts w:ascii="Times New Roman" w:eastAsia="Times New Roman" w:hAnsi="Times New Roman" w:cs="Times New Roman"/>
          <w:sz w:val="26"/>
        </w:rPr>
        <w:t xml:space="preserve">1 </w:t>
      </w:r>
      <w:r>
        <w:rPr>
          <w:sz w:val="26"/>
        </w:rPr>
        <w:t xml:space="preserve">Reglamento Interno de la Dirección General de Educación Física -DIGEF-, </w:t>
      </w:r>
      <w:r>
        <w:rPr>
          <w:noProof/>
        </w:rPr>
        <w:drawing>
          <wp:inline distT="0" distB="0" distL="0" distR="0" wp14:anchorId="74E1CA26" wp14:editId="151505EC">
            <wp:extent cx="105155" cy="22860"/>
            <wp:effectExtent l="0" t="0" r="0" b="0"/>
            <wp:docPr id="2458416" name="Picture 2458416"/>
            <wp:cNvGraphicFramePr/>
            <a:graphic xmlns:a="http://schemas.openxmlformats.org/drawingml/2006/main">
              <a:graphicData uri="http://schemas.openxmlformats.org/drawingml/2006/picture">
                <pic:pic xmlns:pic="http://schemas.openxmlformats.org/drawingml/2006/picture">
                  <pic:nvPicPr>
                    <pic:cNvPr id="2458416" name="Picture 2458416"/>
                    <pic:cNvPicPr/>
                  </pic:nvPicPr>
                  <pic:blipFill>
                    <a:blip r:embed="rId766"/>
                    <a:stretch>
                      <a:fillRect/>
                    </a:stretch>
                  </pic:blipFill>
                  <pic:spPr>
                    <a:xfrm>
                      <a:off x="0" y="0"/>
                      <a:ext cx="105155" cy="22860"/>
                    </a:xfrm>
                    <a:prstGeom prst="rect">
                      <a:avLst/>
                    </a:prstGeom>
                  </pic:spPr>
                </pic:pic>
              </a:graphicData>
            </a:graphic>
          </wp:inline>
        </w:drawing>
      </w:r>
      <w:r>
        <w:rPr>
          <w:sz w:val="26"/>
        </w:rPr>
        <w:t xml:space="preserve">artículo 2. Objetivo, establece: "La Dirección General de Educación Física tiene como objetivo esencial promover la práctica sistemática de la educación física, la recreación y el deporte, en todos los niveles del Sistema Educativo Nacional, tanto en el subsistema escolar como en el extraescolar." . . artículo 10. Atribuciones específicas de la Coordinación Curricular, establece: "Las atribuciones específicas </w:t>
      </w:r>
      <w:r>
        <w:rPr>
          <w:rFonts w:ascii="Times New Roman" w:eastAsia="Times New Roman" w:hAnsi="Times New Roman" w:cs="Times New Roman"/>
          <w:sz w:val="26"/>
        </w:rPr>
        <w:t xml:space="preserve">1 </w:t>
      </w:r>
      <w:r>
        <w:rPr>
          <w:sz w:val="26"/>
        </w:rPr>
        <w:t xml:space="preserve">de la Coordinación Curricular, son las siguientes: a) Planificar, organizar, dirigir, supervisar y evaluar, las actividades relacionadas con la Coordinación Curricular, </w:t>
      </w:r>
      <w:r>
        <w:rPr>
          <w:rFonts w:ascii="Times New Roman" w:eastAsia="Times New Roman" w:hAnsi="Times New Roman" w:cs="Times New Roman"/>
          <w:sz w:val="26"/>
        </w:rPr>
        <w:t xml:space="preserve">1 </w:t>
      </w:r>
      <w:r>
        <w:rPr>
          <w:sz w:val="26"/>
        </w:rPr>
        <w:t xml:space="preserve">Formación Técnica Metodológica, Coordinación de Escuelas de Educación Física y Orientación Metodológica Nacional... e) Desarrollar y supervisar la adecuada ejecución de procesos y funciones asignadas... g) Planificar conjuntamente con el </w:t>
      </w:r>
      <w:r>
        <w:rPr>
          <w:rFonts w:ascii="Times New Roman" w:eastAsia="Times New Roman" w:hAnsi="Times New Roman" w:cs="Times New Roman"/>
          <w:sz w:val="26"/>
        </w:rPr>
        <w:t xml:space="preserve">1 </w:t>
      </w:r>
      <w:r>
        <w:rPr>
          <w:sz w:val="26"/>
        </w:rPr>
        <w:t xml:space="preserve">equipo de trabajo de la Dirección y otras Unidades de la DIGEF, las actividades a realizarse a nivel nacional..." Y artículo 1 1. Atribuciones Específicas de la </w:t>
      </w:r>
      <w:r>
        <w:rPr>
          <w:rFonts w:ascii="Times New Roman" w:eastAsia="Times New Roman" w:hAnsi="Times New Roman" w:cs="Times New Roman"/>
          <w:sz w:val="26"/>
        </w:rPr>
        <w:t xml:space="preserve">1 </w:t>
      </w:r>
      <w:r>
        <w:rPr>
          <w:sz w:val="26"/>
        </w:rPr>
        <w:t xml:space="preserve">Coordinación Extracurricular, establece: "Las atribuciones específicas de la Coordinación Extracurricular, son las siguientes: a) Planificar, dirigir, coordinar y evaluar las actividades que se realizan en la Coordinación Extracurricular de la </w:t>
      </w:r>
      <w:r>
        <w:rPr>
          <w:rFonts w:ascii="Times New Roman" w:eastAsia="Times New Roman" w:hAnsi="Times New Roman" w:cs="Times New Roman"/>
          <w:sz w:val="26"/>
        </w:rPr>
        <w:t xml:space="preserve">1 </w:t>
      </w:r>
      <w:r>
        <w:rPr>
          <w:sz w:val="26"/>
        </w:rPr>
        <w:t>DIGEF... c) Desarrollar y supervisar la adecuada ejecución de las funciones asignadas a la Coordinación extracurricular. d) Planificar conjuntamente con el equipo de trabajo de la Dirección y otras Unidades de [a DIGEF, las actividades a</w:t>
      </w:r>
    </w:p>
    <w:p w14:paraId="025B9D58" w14:textId="77777777" w:rsidR="00053D93" w:rsidRDefault="00260B75">
      <w:pPr>
        <w:tabs>
          <w:tab w:val="center" w:pos="3150"/>
        </w:tabs>
        <w:spacing w:after="17" w:line="247" w:lineRule="auto"/>
      </w:pPr>
      <w:r>
        <w:rPr>
          <w:noProof/>
        </w:rPr>
        <w:drawing>
          <wp:anchor distT="0" distB="0" distL="114300" distR="114300" simplePos="0" relativeHeight="252008448" behindDoc="0" locked="0" layoutInCell="1" allowOverlap="0" wp14:anchorId="6290FAC9" wp14:editId="6EF1D8DE">
            <wp:simplePos x="0" y="0"/>
            <wp:positionH relativeFrom="page">
              <wp:posOffset>6707124</wp:posOffset>
            </wp:positionH>
            <wp:positionV relativeFrom="page">
              <wp:posOffset>3607308</wp:posOffset>
            </wp:positionV>
            <wp:extent cx="9144" cy="4573"/>
            <wp:effectExtent l="0" t="0" r="0" b="0"/>
            <wp:wrapSquare wrapText="bothSides"/>
            <wp:docPr id="494573" name="Picture 494573"/>
            <wp:cNvGraphicFramePr/>
            <a:graphic xmlns:a="http://schemas.openxmlformats.org/drawingml/2006/main">
              <a:graphicData uri="http://schemas.openxmlformats.org/drawingml/2006/picture">
                <pic:pic xmlns:pic="http://schemas.openxmlformats.org/drawingml/2006/picture">
                  <pic:nvPicPr>
                    <pic:cNvPr id="494573" name="Picture 494573"/>
                    <pic:cNvPicPr/>
                  </pic:nvPicPr>
                  <pic:blipFill>
                    <a:blip r:embed="rId24"/>
                    <a:stretch>
                      <a:fillRect/>
                    </a:stretch>
                  </pic:blipFill>
                  <pic:spPr>
                    <a:xfrm>
                      <a:off x="0" y="0"/>
                      <a:ext cx="9144" cy="4573"/>
                    </a:xfrm>
                    <a:prstGeom prst="rect">
                      <a:avLst/>
                    </a:prstGeom>
                  </pic:spPr>
                </pic:pic>
              </a:graphicData>
            </a:graphic>
          </wp:anchor>
        </w:drawing>
      </w:r>
      <w:r>
        <w:rPr>
          <w:noProof/>
        </w:rPr>
        <w:drawing>
          <wp:anchor distT="0" distB="0" distL="114300" distR="114300" simplePos="0" relativeHeight="252009472" behindDoc="0" locked="0" layoutInCell="1" allowOverlap="0" wp14:anchorId="4F19B369" wp14:editId="2804993D">
            <wp:simplePos x="0" y="0"/>
            <wp:positionH relativeFrom="page">
              <wp:posOffset>7228333</wp:posOffset>
            </wp:positionH>
            <wp:positionV relativeFrom="page">
              <wp:posOffset>9317736</wp:posOffset>
            </wp:positionV>
            <wp:extent cx="429768" cy="9144"/>
            <wp:effectExtent l="0" t="0" r="0" b="0"/>
            <wp:wrapSquare wrapText="bothSides"/>
            <wp:docPr id="494620" name="Picture 494620"/>
            <wp:cNvGraphicFramePr/>
            <a:graphic xmlns:a="http://schemas.openxmlformats.org/drawingml/2006/main">
              <a:graphicData uri="http://schemas.openxmlformats.org/drawingml/2006/picture">
                <pic:pic xmlns:pic="http://schemas.openxmlformats.org/drawingml/2006/picture">
                  <pic:nvPicPr>
                    <pic:cNvPr id="494620" name="Picture 494620"/>
                    <pic:cNvPicPr/>
                  </pic:nvPicPr>
                  <pic:blipFill>
                    <a:blip r:embed="rId767"/>
                    <a:stretch>
                      <a:fillRect/>
                    </a:stretch>
                  </pic:blipFill>
                  <pic:spPr>
                    <a:xfrm>
                      <a:off x="0" y="0"/>
                      <a:ext cx="429768" cy="9144"/>
                    </a:xfrm>
                    <a:prstGeom prst="rect">
                      <a:avLst/>
                    </a:prstGeom>
                  </pic:spPr>
                </pic:pic>
              </a:graphicData>
            </a:graphic>
          </wp:anchor>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realizarse a nivel nacional... </w:t>
      </w:r>
      <w:r>
        <w:rPr>
          <w:sz w:val="26"/>
          <w:vertAlign w:val="superscript"/>
        </w:rPr>
        <w:t>I</w:t>
      </w:r>
      <w:r>
        <w:rPr>
          <w:sz w:val="26"/>
        </w:rPr>
        <w:t>'</w:t>
      </w:r>
    </w:p>
    <w:p w14:paraId="0FAFEED8" w14:textId="77777777" w:rsidR="00053D93" w:rsidRDefault="00260B75">
      <w:pPr>
        <w:pStyle w:val="Ttulo2"/>
        <w:spacing w:after="3" w:line="261" w:lineRule="auto"/>
        <w:ind w:left="32" w:right="7"/>
        <w:jc w:val="both"/>
      </w:pPr>
      <w:r>
        <w:rPr>
          <w:noProof/>
        </w:rPr>
        <mc:AlternateContent>
          <mc:Choice Requires="wpg">
            <w:drawing>
              <wp:anchor distT="0" distB="0" distL="114300" distR="114300" simplePos="0" relativeHeight="252010496" behindDoc="0" locked="0" layoutInCell="1" allowOverlap="1" wp14:anchorId="537787AF" wp14:editId="2B9D2C34">
                <wp:simplePos x="0" y="0"/>
                <wp:positionH relativeFrom="column">
                  <wp:posOffset>13716</wp:posOffset>
                </wp:positionH>
                <wp:positionV relativeFrom="paragraph">
                  <wp:posOffset>27432</wp:posOffset>
                </wp:positionV>
                <wp:extent cx="114300" cy="297180"/>
                <wp:effectExtent l="0" t="0" r="0" b="0"/>
                <wp:wrapSquare wrapText="bothSides"/>
                <wp:docPr id="2455716" name="Group 2455716"/>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492023" name="Rectangle 492023"/>
                        <wps:cNvSpPr/>
                        <wps:spPr>
                          <a:xfrm>
                            <a:off x="0" y="0"/>
                            <a:ext cx="152019" cy="395250"/>
                          </a:xfrm>
                          <a:prstGeom prst="rect">
                            <a:avLst/>
                          </a:prstGeom>
                          <a:ln>
                            <a:noFill/>
                          </a:ln>
                        </wps:spPr>
                        <wps:txbx>
                          <w:txbxContent>
                            <w:p w14:paraId="4FDD85DB"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37787AF" id="Group 2455716" o:spid="_x0000_s1315" style="position:absolute;left:0;text-align:left;margin-left:1.1pt;margin-top:2.15pt;width:9pt;height:23.4pt;z-index:252010496;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">
                <v:rect id="Rectangle 492023" o:spid="_x0000_s1316"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" filled="f" stroked="f">
                  <v:textbox inset="0,0,0,0">
                    <w:txbxContent>
                      <w:p w14:paraId="4FDD85DB"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sz w:val="30"/>
        </w:rPr>
        <w:t>Causa</w:t>
      </w:r>
    </w:p>
    <w:p w14:paraId="6B6A9EF3" w14:textId="77777777" w:rsidR="00053D93" w:rsidRDefault="00260B75">
      <w:pPr>
        <w:spacing w:after="17" w:line="247" w:lineRule="auto"/>
        <w:ind w:left="14" w:right="14" w:firstLine="4"/>
        <w:jc w:val="both"/>
      </w:pPr>
      <w:r>
        <w:rPr>
          <w:sz w:val="26"/>
        </w:rPr>
        <w:t xml:space="preserve">El Subdirector General de Desarrollo Institucional, no realizó la supervisión adecuada al Coordinador de Infraestructura, a la Coordinadora de Programas y </w:t>
      </w:r>
      <w:r>
        <w:rPr>
          <w:rFonts w:ascii="Times New Roman" w:eastAsia="Times New Roman" w:hAnsi="Times New Roman" w:cs="Times New Roman"/>
          <w:sz w:val="26"/>
        </w:rPr>
        <w:t xml:space="preserve">1 </w:t>
      </w:r>
      <w:r>
        <w:rPr>
          <w:sz w:val="26"/>
        </w:rPr>
        <w:t xml:space="preserve">Proyectos, ni a la Jefe Departamento de Estudios y Programación, con el fin de asegurar que los materiales y </w:t>
      </w:r>
      <w:r>
        <w:rPr>
          <w:sz w:val="26"/>
        </w:rPr>
        <w:lastRenderedPageBreak/>
        <w:t>suministros adquiridos fueran entregados y utilizados conforme a lo programado para el ejercicio fiscal 2024.</w:t>
      </w:r>
    </w:p>
    <w:p w14:paraId="7460AFE2" w14:textId="77777777" w:rsidR="00053D93" w:rsidRDefault="00260B75">
      <w:pPr>
        <w:spacing w:after="0"/>
        <w:ind w:left="17" w:hanging="10"/>
      </w:pPr>
      <w:r>
        <w:rPr>
          <w:rFonts w:ascii="Times New Roman" w:eastAsia="Times New Roman" w:hAnsi="Times New Roman" w:cs="Times New Roman"/>
          <w:sz w:val="80"/>
        </w:rPr>
        <w:t>1</w:t>
      </w:r>
    </w:p>
    <w:p w14:paraId="3C48689D" w14:textId="77777777" w:rsidR="00053D93" w:rsidRDefault="00260B75">
      <w:pPr>
        <w:spacing w:after="450" w:line="360" w:lineRule="auto"/>
        <w:ind w:left="14" w:right="14" w:firstLine="1685"/>
        <w:jc w:val="both"/>
      </w:pPr>
      <w:r>
        <w:rPr>
          <w:sz w:val="26"/>
        </w:rPr>
        <w:t xml:space="preserve">El Coordinador Curricular, no supervisó que la Jefe Departamento ENEF utilizara </w:t>
      </w:r>
      <w:r>
        <w:rPr>
          <w:rFonts w:ascii="Times New Roman" w:eastAsia="Times New Roman" w:hAnsi="Times New Roman" w:cs="Times New Roman"/>
          <w:sz w:val="26"/>
        </w:rPr>
        <w:t xml:space="preserve">1 </w:t>
      </w:r>
      <w:r>
        <w:rPr>
          <w:sz w:val="26"/>
        </w:rPr>
        <w:t>oportunamente los materiales y suministros adquiridos, de acuerdo con las actividades de educación física programadas para el ejercicio fiscal 2024.</w:t>
      </w:r>
    </w:p>
    <w:p w14:paraId="40E21E16" w14:textId="77777777" w:rsidR="00053D93" w:rsidRDefault="00260B75">
      <w:pPr>
        <w:spacing w:after="93" w:line="247" w:lineRule="auto"/>
        <w:ind w:left="14" w:right="14" w:firstLine="4"/>
        <w:jc w:val="both"/>
      </w:pPr>
      <w:r>
        <w:rPr>
          <w:rFonts w:ascii="Times New Roman" w:eastAsia="Times New Roman" w:hAnsi="Times New Roman" w:cs="Times New Roman"/>
          <w:sz w:val="26"/>
        </w:rPr>
        <w:t xml:space="preserve">1 </w:t>
      </w:r>
      <w:r>
        <w:rPr>
          <w:sz w:val="26"/>
        </w:rPr>
        <w:t xml:space="preserve">El Coordinador Extracurricular. a.i. no ejerció la supervisión adecuada para garantizar que el Coordinador Técnico Nacional a.i., el Jefe Departamento Torneos Deportivos Escolares y los Jefes de Departamento de Desarrollo </w:t>
      </w:r>
      <w:r>
        <w:rPr>
          <w:rFonts w:ascii="Times New Roman" w:eastAsia="Times New Roman" w:hAnsi="Times New Roman" w:cs="Times New Roman"/>
          <w:sz w:val="26"/>
        </w:rPr>
        <w:t xml:space="preserve">1 </w:t>
      </w:r>
      <w:r>
        <w:rPr>
          <w:sz w:val="26"/>
        </w:rPr>
        <w:t xml:space="preserve">Deportivo Escolar a.i., utilizaran de manera oportuna el equipo, los materiales y suministros adquiridos, conforme a las actividades de educación física </w:t>
      </w:r>
      <w:r>
        <w:rPr>
          <w:noProof/>
        </w:rPr>
        <w:drawing>
          <wp:inline distT="0" distB="0" distL="0" distR="0" wp14:anchorId="47B58262" wp14:editId="1957CBFC">
            <wp:extent cx="22860" cy="9145"/>
            <wp:effectExtent l="0" t="0" r="0" b="0"/>
            <wp:docPr id="494574" name="Picture 494574"/>
            <wp:cNvGraphicFramePr/>
            <a:graphic xmlns:a="http://schemas.openxmlformats.org/drawingml/2006/main">
              <a:graphicData uri="http://schemas.openxmlformats.org/drawingml/2006/picture">
                <pic:pic xmlns:pic="http://schemas.openxmlformats.org/drawingml/2006/picture">
                  <pic:nvPicPr>
                    <pic:cNvPr id="494574" name="Picture 494574"/>
                    <pic:cNvPicPr/>
                  </pic:nvPicPr>
                  <pic:blipFill>
                    <a:blip r:embed="rId768"/>
                    <a:stretch>
                      <a:fillRect/>
                    </a:stretch>
                  </pic:blipFill>
                  <pic:spPr>
                    <a:xfrm>
                      <a:off x="0" y="0"/>
                      <a:ext cx="22860" cy="9145"/>
                    </a:xfrm>
                    <a:prstGeom prst="rect">
                      <a:avLst/>
                    </a:prstGeom>
                  </pic:spPr>
                </pic:pic>
              </a:graphicData>
            </a:graphic>
          </wp:inline>
        </w:drawing>
      </w:r>
      <w:r>
        <w:rPr>
          <w:rFonts w:ascii="Times New Roman" w:eastAsia="Times New Roman" w:hAnsi="Times New Roman" w:cs="Times New Roman"/>
          <w:sz w:val="26"/>
        </w:rPr>
        <w:t xml:space="preserve">1 </w:t>
      </w:r>
      <w:r>
        <w:rPr>
          <w:sz w:val="26"/>
        </w:rPr>
        <w:t>programadas para el ejercicio fiscal 2024.</w:t>
      </w:r>
    </w:p>
    <w:p w14:paraId="3DA8FDAC" w14:textId="77777777" w:rsidR="00053D93" w:rsidRDefault="00260B75">
      <w:pPr>
        <w:spacing w:after="17" w:line="247" w:lineRule="auto"/>
        <w:ind w:left="14" w:right="14" w:firstLine="1627"/>
        <w:jc w:val="both"/>
      </w:pPr>
      <w:r>
        <w:rPr>
          <w:sz w:val="26"/>
        </w:rPr>
        <w:t xml:space="preserve">El Jefe Departamento de Extensión Escolar, no cumplió con la supervisión </w:t>
      </w:r>
      <w:r>
        <w:rPr>
          <w:rFonts w:ascii="Times New Roman" w:eastAsia="Times New Roman" w:hAnsi="Times New Roman" w:cs="Times New Roman"/>
          <w:sz w:val="26"/>
        </w:rPr>
        <w:t xml:space="preserve">1 </w:t>
      </w:r>
      <w:r>
        <w:rPr>
          <w:sz w:val="26"/>
        </w:rPr>
        <w:t>adecuada para garantizar que la Jefe Sección Recreación a.i. y el Jefe Sección</w:t>
      </w:r>
    </w:p>
    <w:p w14:paraId="1718747F" w14:textId="77777777" w:rsidR="00053D93" w:rsidRDefault="00053D93">
      <w:pPr>
        <w:sectPr w:rsidR="00053D93">
          <w:headerReference w:type="even" r:id="rId769"/>
          <w:headerReference w:type="default" r:id="rId770"/>
          <w:footerReference w:type="even" r:id="rId771"/>
          <w:footerReference w:type="default" r:id="rId772"/>
          <w:headerReference w:type="first" r:id="rId773"/>
          <w:footerReference w:type="first" r:id="rId774"/>
          <w:pgSz w:w="12290" w:h="15883"/>
          <w:pgMar w:top="547" w:right="1793" w:bottom="893" w:left="353" w:header="482" w:footer="202" w:gutter="0"/>
          <w:cols w:space="720"/>
          <w:titlePg/>
        </w:sectPr>
      </w:pPr>
    </w:p>
    <w:tbl>
      <w:tblPr>
        <w:tblStyle w:val="TableGrid"/>
        <w:tblpPr w:vertAnchor="text" w:tblpX="2552" w:tblpY="14"/>
        <w:tblOverlap w:val="never"/>
        <w:tblW w:w="7586" w:type="dxa"/>
        <w:tblInd w:w="0" w:type="dxa"/>
        <w:tblCellMar>
          <w:top w:w="46" w:type="dxa"/>
          <w:left w:w="1725" w:type="dxa"/>
          <w:right w:w="115" w:type="dxa"/>
        </w:tblCellMar>
        <w:tblLook w:val="04A0" w:firstRow="1" w:lastRow="0" w:firstColumn="1" w:lastColumn="0" w:noHBand="0" w:noVBand="1"/>
      </w:tblPr>
      <w:tblGrid>
        <w:gridCol w:w="7586"/>
      </w:tblGrid>
      <w:tr w:rsidR="00053D93" w14:paraId="68F0A86F" w14:textId="77777777">
        <w:trPr>
          <w:trHeight w:val="65"/>
        </w:trPr>
        <w:tc>
          <w:tcPr>
            <w:tcW w:w="7586" w:type="dxa"/>
            <w:tcBorders>
              <w:top w:val="nil"/>
              <w:left w:val="single" w:sz="2" w:space="0" w:color="000000"/>
              <w:bottom w:val="single" w:sz="2" w:space="0" w:color="000000"/>
              <w:right w:val="nil"/>
            </w:tcBorders>
          </w:tcPr>
          <w:p w14:paraId="2039EAC7" w14:textId="77777777" w:rsidR="00053D93" w:rsidRDefault="00053D93"/>
        </w:tc>
      </w:tr>
      <w:tr w:rsidR="00053D93" w14:paraId="30651649" w14:textId="77777777">
        <w:trPr>
          <w:trHeight w:val="576"/>
        </w:trPr>
        <w:tc>
          <w:tcPr>
            <w:tcW w:w="7586" w:type="dxa"/>
            <w:tcBorders>
              <w:top w:val="single" w:sz="2" w:space="0" w:color="000000"/>
              <w:left w:val="single" w:sz="2" w:space="0" w:color="000000"/>
              <w:bottom w:val="nil"/>
              <w:right w:val="nil"/>
            </w:tcBorders>
          </w:tcPr>
          <w:p w14:paraId="737AA9D9" w14:textId="77777777" w:rsidR="00053D93" w:rsidRDefault="00260B75">
            <w:pPr>
              <w:ind w:left="835"/>
            </w:pPr>
            <w:r>
              <w:rPr>
                <w:sz w:val="14"/>
              </w:rPr>
              <w:t>MINISTERIO DE EDUCACION</w:t>
            </w:r>
          </w:p>
          <w:p w14:paraId="43D2EFE1" w14:textId="77777777" w:rsidR="00053D93" w:rsidRDefault="00260B75">
            <w:pPr>
              <w:ind w:left="302"/>
            </w:pPr>
            <w:r>
              <w:rPr>
                <w:sz w:val="14"/>
              </w:rPr>
              <w:t>-AUDITORIA FINANCIERAY DE CUMPLIMIENTO</w:t>
            </w:r>
          </w:p>
          <w:p w14:paraId="0E4962EF" w14:textId="77777777" w:rsidR="00053D93" w:rsidRDefault="00260B75">
            <w:r>
              <w:rPr>
                <w:sz w:val="14"/>
              </w:rPr>
              <w:t>PERIODO DEL 01 DE ENERO AL 31 DE DICIEMBRE OE 2024</w:t>
            </w:r>
          </w:p>
        </w:tc>
      </w:tr>
    </w:tbl>
    <w:p w14:paraId="3114AF7C" w14:textId="77777777" w:rsidR="00053D93" w:rsidRDefault="00260B75">
      <w:pPr>
        <w:pStyle w:val="Ttulo1"/>
        <w:spacing w:after="80" w:line="259" w:lineRule="auto"/>
        <w:ind w:left="759" w:right="-7603"/>
        <w:jc w:val="left"/>
      </w:pPr>
      <w:r>
        <w:rPr>
          <w:sz w:val="32"/>
        </w:rPr>
        <w:t xml:space="preserve">III </w:t>
      </w:r>
      <w:r>
        <w:rPr>
          <w:noProof/>
        </w:rPr>
        <w:drawing>
          <wp:inline distT="0" distB="0" distL="0" distR="0" wp14:anchorId="583948FA" wp14:editId="28B19522">
            <wp:extent cx="882396" cy="416053"/>
            <wp:effectExtent l="0" t="0" r="0" b="0"/>
            <wp:docPr id="494619" name="Picture 494619"/>
            <wp:cNvGraphicFramePr/>
            <a:graphic xmlns:a="http://schemas.openxmlformats.org/drawingml/2006/main">
              <a:graphicData uri="http://schemas.openxmlformats.org/drawingml/2006/picture">
                <pic:pic xmlns:pic="http://schemas.openxmlformats.org/drawingml/2006/picture">
                  <pic:nvPicPr>
                    <pic:cNvPr id="494619" name="Picture 494619"/>
                    <pic:cNvPicPr/>
                  </pic:nvPicPr>
                  <pic:blipFill>
                    <a:blip r:embed="rId775"/>
                    <a:stretch>
                      <a:fillRect/>
                    </a:stretch>
                  </pic:blipFill>
                  <pic:spPr>
                    <a:xfrm>
                      <a:off x="0" y="0"/>
                      <a:ext cx="882396" cy="416053"/>
                    </a:xfrm>
                    <a:prstGeom prst="rect">
                      <a:avLst/>
                    </a:prstGeom>
                  </pic:spPr>
                </pic:pic>
              </a:graphicData>
            </a:graphic>
          </wp:inline>
        </w:drawing>
      </w:r>
      <w:r>
        <w:rPr>
          <w:sz w:val="32"/>
        </w:rPr>
        <w:t>II</w:t>
      </w:r>
    </w:p>
    <w:p w14:paraId="019CEE09" w14:textId="77777777" w:rsidR="00053D93" w:rsidRDefault="00260B75">
      <w:pPr>
        <w:spacing w:after="125" w:line="332" w:lineRule="auto"/>
        <w:ind w:left="5288" w:right="1706" w:hanging="10"/>
        <w:jc w:val="center"/>
      </w:pPr>
      <w:r>
        <w:rPr>
          <w:sz w:val="16"/>
        </w:rPr>
        <w:t xml:space="preserve">D? </w:t>
      </w:r>
    </w:p>
    <w:p w14:paraId="7C647568" w14:textId="77777777" w:rsidR="00053D93" w:rsidRDefault="00260B75">
      <w:pPr>
        <w:spacing w:after="25"/>
        <w:ind w:left="1692"/>
      </w:pPr>
      <w:r>
        <w:rPr>
          <w:noProof/>
        </w:rPr>
        <mc:AlternateContent>
          <mc:Choice Requires="wpg">
            <w:drawing>
              <wp:inline distT="0" distB="0" distL="0" distR="0" wp14:anchorId="3FB30BEC" wp14:editId="52DD3D04">
                <wp:extent cx="5372100" cy="13716"/>
                <wp:effectExtent l="0" t="0" r="0" b="0"/>
                <wp:docPr id="2458424" name="Group 2458424"/>
                <wp:cNvGraphicFramePr/>
                <a:graphic xmlns:a="http://schemas.openxmlformats.org/drawingml/2006/main">
                  <a:graphicData uri="http://schemas.microsoft.com/office/word/2010/wordprocessingGroup">
                    <wpg:wgp>
                      <wpg:cNvGrpSpPr/>
                      <wpg:grpSpPr>
                        <a:xfrm>
                          <a:off x="0" y="0"/>
                          <a:ext cx="5372100" cy="13716"/>
                          <a:chOff x="0" y="0"/>
                          <a:chExt cx="5372100" cy="13716"/>
                        </a:xfrm>
                      </wpg:grpSpPr>
                      <wps:wsp>
                        <wps:cNvPr id="2458423" name="Shape 2458423"/>
                        <wps:cNvSpPr/>
                        <wps:spPr>
                          <a:xfrm>
                            <a:off x="0" y="0"/>
                            <a:ext cx="5372100" cy="13716"/>
                          </a:xfrm>
                          <a:custGeom>
                            <a:avLst/>
                            <a:gdLst/>
                            <a:ahLst/>
                            <a:cxnLst/>
                            <a:rect l="0" t="0" r="0" b="0"/>
                            <a:pathLst>
                              <a:path w="5372100" h="13716">
                                <a:moveTo>
                                  <a:pt x="0" y="6858"/>
                                </a:moveTo>
                                <a:lnTo>
                                  <a:pt x="537210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24" style="width:423pt;height:1.08pt;mso-position-horizontal-relative:char;mso-position-vertical-relative:line" coordsize="53721,137">
                <v:shape id="Shape 2458423" style="position:absolute;width:53721;height:137;left:0;top:0;" coordsize="5372100,13716" path="m0,6858l5372100,6858">
                  <v:stroke weight="1.08pt" endcap="flat" joinstyle="miter" miterlimit="1" on="true" color="#000000"/>
                  <v:fill on="false" color="#000000"/>
                </v:shape>
              </v:group>
            </w:pict>
          </mc:Fallback>
        </mc:AlternateContent>
      </w:r>
    </w:p>
    <w:p w14:paraId="34F90215" w14:textId="77777777" w:rsidR="00053D93" w:rsidRDefault="00260B75">
      <w:pPr>
        <w:spacing w:after="17" w:line="247" w:lineRule="auto"/>
        <w:ind w:left="1721" w:right="14" w:firstLine="4"/>
        <w:jc w:val="both"/>
      </w:pPr>
      <w:r>
        <w:rPr>
          <w:sz w:val="26"/>
        </w:rPr>
        <w:t>INJUDES, utilizaran de manera oportuna los materiales y suministros adquiridos, conforme a las actividades de educación física programadas para el ejercicio fiscal</w:t>
      </w:r>
    </w:p>
    <w:p w14:paraId="4FD1A2D7" w14:textId="77777777" w:rsidR="00053D93" w:rsidRDefault="00260B75">
      <w:pPr>
        <w:spacing w:after="295" w:line="265" w:lineRule="auto"/>
        <w:ind w:left="1724" w:hanging="10"/>
      </w:pPr>
      <w:r>
        <w:rPr>
          <w:rFonts w:ascii="Times New Roman" w:eastAsia="Times New Roman" w:hAnsi="Times New Roman" w:cs="Times New Roman"/>
          <w:sz w:val="26"/>
        </w:rPr>
        <w:t>2024.</w:t>
      </w:r>
    </w:p>
    <w:p w14:paraId="3860E953" w14:textId="77777777" w:rsidR="00053D93" w:rsidRDefault="00260B75">
      <w:pPr>
        <w:spacing w:after="18" w:line="248" w:lineRule="auto"/>
        <w:ind w:left="1709" w:hanging="3"/>
        <w:jc w:val="both"/>
      </w:pPr>
      <w:r>
        <w:rPr>
          <w:sz w:val="28"/>
        </w:rPr>
        <w:lastRenderedPageBreak/>
        <w:t>Efecto</w:t>
      </w:r>
    </w:p>
    <w:p w14:paraId="78E3D91C" w14:textId="77777777" w:rsidR="00053D93" w:rsidRDefault="00260B75">
      <w:pPr>
        <w:spacing w:after="290" w:line="247" w:lineRule="auto"/>
        <w:ind w:left="1728" w:right="14" w:firstLine="4"/>
        <w:jc w:val="both"/>
      </w:pPr>
      <w:r>
        <w:rPr>
          <w:sz w:val="26"/>
        </w:rPr>
        <w:t>Incumplimiento de las metas institucionales, por la falta de distribución y utilización oportuna de los equipos, materiales y suministros adquiridos para el desarrollo de las actividades físicas programadas para el ejercicio fiscal 2024, afectando la prestación de los servicios a la población estudiantil.</w:t>
      </w:r>
    </w:p>
    <w:p w14:paraId="580CFDB5" w14:textId="77777777" w:rsidR="00053D93" w:rsidRDefault="00260B75">
      <w:pPr>
        <w:spacing w:after="18" w:line="248" w:lineRule="auto"/>
        <w:ind w:left="1709" w:hanging="3"/>
        <w:jc w:val="both"/>
      </w:pPr>
      <w:r>
        <w:rPr>
          <w:sz w:val="28"/>
        </w:rPr>
        <w:t>Recomendación</w:t>
      </w:r>
    </w:p>
    <w:p w14:paraId="056DF062" w14:textId="77777777" w:rsidR="00053D93" w:rsidRDefault="00260B75">
      <w:pPr>
        <w:spacing w:after="126" w:line="247" w:lineRule="auto"/>
        <w:ind w:left="14" w:right="14" w:firstLine="1685"/>
        <w:jc w:val="both"/>
      </w:pPr>
      <w:r>
        <w:rPr>
          <w:noProof/>
        </w:rPr>
        <mc:AlternateContent>
          <mc:Choice Requires="wpg">
            <w:drawing>
              <wp:anchor distT="0" distB="0" distL="114300" distR="114300" simplePos="0" relativeHeight="252011520" behindDoc="0" locked="0" layoutInCell="1" allowOverlap="1" wp14:anchorId="0C7AABF5" wp14:editId="59237FE3">
                <wp:simplePos x="0" y="0"/>
                <wp:positionH relativeFrom="column">
                  <wp:posOffset>27432</wp:posOffset>
                </wp:positionH>
                <wp:positionV relativeFrom="paragraph">
                  <wp:posOffset>418703</wp:posOffset>
                </wp:positionV>
                <wp:extent cx="132588" cy="338328"/>
                <wp:effectExtent l="0" t="0" r="0" b="0"/>
                <wp:wrapSquare wrapText="bothSides"/>
                <wp:docPr id="2455721" name="Group 2455721"/>
                <wp:cNvGraphicFramePr/>
                <a:graphic xmlns:a="http://schemas.openxmlformats.org/drawingml/2006/main">
                  <a:graphicData uri="http://schemas.microsoft.com/office/word/2010/wordprocessingGroup">
                    <wpg:wgp>
                      <wpg:cNvGrpSpPr/>
                      <wpg:grpSpPr>
                        <a:xfrm>
                          <a:off x="0" y="0"/>
                          <a:ext cx="132588" cy="338328"/>
                          <a:chOff x="0" y="0"/>
                          <a:chExt cx="132588" cy="338328"/>
                        </a:xfrm>
                      </wpg:grpSpPr>
                      <wps:wsp>
                        <wps:cNvPr id="495336" name="Rectangle 495336"/>
                        <wps:cNvSpPr/>
                        <wps:spPr>
                          <a:xfrm>
                            <a:off x="0" y="0"/>
                            <a:ext cx="176342" cy="449977"/>
                          </a:xfrm>
                          <a:prstGeom prst="rect">
                            <a:avLst/>
                          </a:prstGeom>
                          <a:ln>
                            <a:noFill/>
                          </a:ln>
                        </wps:spPr>
                        <wps:txbx>
                          <w:txbxContent>
                            <w:p w14:paraId="3D8CC2B8" w14:textId="77777777" w:rsidR="00053D93" w:rsidRDefault="00260B75">
                              <w:r>
                                <w:rPr>
                                  <w:sz w:val="264"/>
                                </w:rPr>
                                <w:t>i</w:t>
                              </w:r>
                            </w:p>
                          </w:txbxContent>
                        </wps:txbx>
                        <wps:bodyPr horzOverflow="overflow" vert="horz" lIns="0" tIns="0" rIns="0" bIns="0" rtlCol="0">
                          <a:noAutofit/>
                        </wps:bodyPr>
                      </wps:wsp>
                    </wpg:wgp>
                  </a:graphicData>
                </a:graphic>
              </wp:anchor>
            </w:drawing>
          </mc:Choice>
          <mc:Fallback>
            <w:pict>
              <v:group w14:anchorId="0C7AABF5" id="Group 2455721" o:spid="_x0000_s1317" style="position:absolute;left:0;text-align:left;margin-left:2.15pt;margin-top:32.95pt;width:10.45pt;height:26.65pt;z-index:252011520;mso-position-horizontal-relative:text;mso-position-vertical-relative:text" coordsize="132588,338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">
                <v:rect id="Rectangle 495336" o:spid="_x0000_s1318" style="position:absolute;width:176342;height:449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" filled="f" stroked="f">
                  <v:textbox inset="0,0,0,0">
                    <w:txbxContent>
                      <w:p w14:paraId="3D8CC2B8" w14:textId="77777777" w:rsidR="00053D93" w:rsidRDefault="00260B75">
                        <w:r>
                          <w:rPr>
                            <w:sz w:val="264"/>
                          </w:rPr>
                          <w:t>i</w:t>
                        </w:r>
                      </w:p>
                    </w:txbxContent>
                  </v:textbox>
                </v:rect>
                <w10:wrap type="square"/>
              </v:group>
            </w:pict>
          </mc:Fallback>
        </mc:AlternateContent>
      </w:r>
      <w:r>
        <w:rPr>
          <w:sz w:val="26"/>
        </w:rPr>
        <w:t xml:space="preserve">El Director General, debe girar instrucciones a} Subdirector General de Desarrollo Institucional, para que supervise de manera efectiva al Coordinador de Infraestructura, al Coordinador de Programas y Proyectos y al Jefe Departamento de Estudios y Programación, para que distribuyan y utilicen los equipos, materiales y suministros adquiridos, de conformidad con las actividades programadas para el </w:t>
      </w:r>
      <w:r>
        <w:rPr>
          <w:rFonts w:ascii="Times New Roman" w:eastAsia="Times New Roman" w:hAnsi="Times New Roman" w:cs="Times New Roman"/>
          <w:sz w:val="26"/>
        </w:rPr>
        <w:t xml:space="preserve">1 </w:t>
      </w:r>
      <w:r>
        <w:rPr>
          <w:sz w:val="26"/>
        </w:rPr>
        <w:t>ejercicio fiscal correspondiente.</w:t>
      </w:r>
    </w:p>
    <w:p w14:paraId="65AB9B18" w14:textId="77777777" w:rsidR="00053D93" w:rsidRDefault="00260B75">
      <w:pPr>
        <w:spacing w:after="468" w:line="247" w:lineRule="auto"/>
        <w:ind w:left="14" w:right="14" w:firstLine="1678"/>
        <w:jc w:val="both"/>
      </w:pPr>
      <w:r>
        <w:rPr>
          <w:sz w:val="26"/>
        </w:rPr>
        <w:t xml:space="preserve">El Subdirector Metodológico, debe girar instrucciones a! Coordinador Curricular y </w:t>
      </w:r>
      <w:r>
        <w:rPr>
          <w:rFonts w:ascii="Times New Roman" w:eastAsia="Times New Roman" w:hAnsi="Times New Roman" w:cs="Times New Roman"/>
          <w:sz w:val="26"/>
        </w:rPr>
        <w:t xml:space="preserve">1 </w:t>
      </w:r>
      <w:r>
        <w:rPr>
          <w:sz w:val="26"/>
        </w:rPr>
        <w:t xml:space="preserve">al Coordinador Extracurricular, para que supervisen adecuadamente a los jefes de tas Unidades Administrativas a su cargo, para garantizar que los equipos, materiales y suministros adquiridos sean distribuidos y utilizados de conformidad </w:t>
      </w:r>
      <w:r>
        <w:rPr>
          <w:noProof/>
        </w:rPr>
        <mc:AlternateContent>
          <mc:Choice Requires="wpg">
            <w:drawing>
              <wp:inline distT="0" distB="0" distL="0" distR="0" wp14:anchorId="41EE15E9" wp14:editId="65CB5B71">
                <wp:extent cx="114300" cy="292608"/>
                <wp:effectExtent l="0" t="0" r="0" b="0"/>
                <wp:docPr id="2455722" name="Group 2455722"/>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495339" name="Rectangle 495339"/>
                        <wps:cNvSpPr/>
                        <wps:spPr>
                          <a:xfrm>
                            <a:off x="0" y="0"/>
                            <a:ext cx="152019" cy="389169"/>
                          </a:xfrm>
                          <a:prstGeom prst="rect">
                            <a:avLst/>
                          </a:prstGeom>
                          <a:ln>
                            <a:noFill/>
                          </a:ln>
                        </wps:spPr>
                        <wps:txbx>
                          <w:txbxContent>
                            <w:p w14:paraId="73A59E43"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41EE15E9" id="Group 2455722" o:spid="_x0000_s1319"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">
                <v:rect id="Rectangle 495339" o:spid="_x0000_s1320"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" filled="f" stroked="f">
                  <v:textbox inset="0,0,0,0">
                    <w:txbxContent>
                      <w:p w14:paraId="73A59E43"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con las actividades programadas para el ejercicio fiscal correspondiente.</w:t>
      </w:r>
    </w:p>
    <w:p w14:paraId="0369CA1B" w14:textId="77777777" w:rsidR="00053D93" w:rsidRDefault="00260B75">
      <w:pPr>
        <w:tabs>
          <w:tab w:val="center" w:pos="3496"/>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Comentario de los responsables</w:t>
      </w:r>
    </w:p>
    <w:p w14:paraId="0C7B0DE2" w14:textId="77777777" w:rsidR="00053D93" w:rsidRDefault="00260B75">
      <w:pPr>
        <w:spacing w:after="17" w:line="247" w:lineRule="auto"/>
        <w:ind w:left="94" w:right="14" w:firstLine="1663"/>
        <w:jc w:val="both"/>
      </w:pPr>
      <w:r>
        <w:rPr>
          <w:sz w:val="26"/>
        </w:rPr>
        <w:t xml:space="preserve">En nota s/n, del 21 de abril de 2025, el licenciado Lázaro Martínez Aldana, quien fungió como Subdirector General de Desarrollo Institucional, por el período </w:t>
      </w:r>
      <w:r>
        <w:rPr>
          <w:rFonts w:ascii="Times New Roman" w:eastAsia="Times New Roman" w:hAnsi="Times New Roman" w:cs="Times New Roman"/>
          <w:sz w:val="26"/>
        </w:rPr>
        <w:t xml:space="preserve">1 </w:t>
      </w:r>
      <w:r>
        <w:rPr>
          <w:sz w:val="26"/>
        </w:rPr>
        <w:t>comprendido del 25 de enero de 2024 al 03 de octubre de 2024, manifiesta: .</w:t>
      </w:r>
      <w:r>
        <w:rPr>
          <w:noProof/>
        </w:rPr>
        <w:drawing>
          <wp:inline distT="0" distB="0" distL="0" distR="0" wp14:anchorId="457FE90C" wp14:editId="571C59E2">
            <wp:extent cx="196597" cy="114300"/>
            <wp:effectExtent l="0" t="0" r="0" b="0"/>
            <wp:docPr id="2458421" name="Picture 2458421"/>
            <wp:cNvGraphicFramePr/>
            <a:graphic xmlns:a="http://schemas.openxmlformats.org/drawingml/2006/main">
              <a:graphicData uri="http://schemas.openxmlformats.org/drawingml/2006/picture">
                <pic:pic xmlns:pic="http://schemas.openxmlformats.org/drawingml/2006/picture">
                  <pic:nvPicPr>
                    <pic:cNvPr id="2458421" name="Picture 2458421"/>
                    <pic:cNvPicPr/>
                  </pic:nvPicPr>
                  <pic:blipFill>
                    <a:blip r:embed="rId776"/>
                    <a:stretch>
                      <a:fillRect/>
                    </a:stretch>
                  </pic:blipFill>
                  <pic:spPr>
                    <a:xfrm>
                      <a:off x="0" y="0"/>
                      <a:ext cx="196597" cy="114300"/>
                    </a:xfrm>
                    <a:prstGeom prst="rect">
                      <a:avLst/>
                    </a:prstGeom>
                  </pic:spPr>
                </pic:pic>
              </a:graphicData>
            </a:graphic>
          </wp:inline>
        </w:drawing>
      </w:r>
    </w:p>
    <w:p w14:paraId="67D040AF" w14:textId="77777777" w:rsidR="00053D93" w:rsidRDefault="00260B75">
      <w:pPr>
        <w:spacing w:after="17" w:line="247" w:lineRule="auto"/>
        <w:ind w:left="1750" w:right="14" w:firstLine="4"/>
        <w:jc w:val="both"/>
      </w:pPr>
      <w:r>
        <w:rPr>
          <w:sz w:val="26"/>
        </w:rPr>
        <w:t>Que con fecha 23 de enero de 2024 fui nombrado como Subdirector General de</w:t>
      </w:r>
    </w:p>
    <w:p w14:paraId="3B4E7282" w14:textId="77777777" w:rsidR="00053D93" w:rsidRDefault="00260B75">
      <w:pPr>
        <w:spacing w:after="198" w:line="248" w:lineRule="auto"/>
        <w:ind w:left="1709" w:hanging="3"/>
        <w:jc w:val="both"/>
      </w:pPr>
      <w:r>
        <w:rPr>
          <w:sz w:val="28"/>
        </w:rPr>
        <w:t>Desarrollo Institucional CONTRATO INDIVIDUAL DE TRABAJO A PLAZO FIJO</w:t>
      </w:r>
    </w:p>
    <w:p w14:paraId="4B8BC582" w14:textId="77777777" w:rsidR="00053D93" w:rsidRDefault="00260B75">
      <w:pPr>
        <w:tabs>
          <w:tab w:val="right" w:pos="10174"/>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NÚMERO: CERO VEINTIDÓS GUIÓN CUATRO GUIÓN DOS MIL</w:t>
      </w:r>
    </w:p>
    <w:p w14:paraId="4C24F5BA" w14:textId="77777777" w:rsidR="00053D93" w:rsidRDefault="00260B75">
      <w:pPr>
        <w:spacing w:after="17" w:line="247" w:lineRule="auto"/>
        <w:ind w:left="115" w:right="14" w:firstLine="1224"/>
        <w:jc w:val="both"/>
      </w:pPr>
      <w:r>
        <w:rPr>
          <w:noProof/>
        </w:rPr>
        <w:drawing>
          <wp:inline distT="0" distB="0" distL="0" distR="0" wp14:anchorId="75B11BD9" wp14:editId="2686517D">
            <wp:extent cx="13716" cy="13716"/>
            <wp:effectExtent l="0" t="0" r="0" b="0"/>
            <wp:docPr id="498414" name="Picture 498414"/>
            <wp:cNvGraphicFramePr/>
            <a:graphic xmlns:a="http://schemas.openxmlformats.org/drawingml/2006/main">
              <a:graphicData uri="http://schemas.openxmlformats.org/drawingml/2006/picture">
                <pic:pic xmlns:pic="http://schemas.openxmlformats.org/drawingml/2006/picture">
                  <pic:nvPicPr>
                    <pic:cNvPr id="498414" name="Picture 498414"/>
                    <pic:cNvPicPr/>
                  </pic:nvPicPr>
                  <pic:blipFill>
                    <a:blip r:embed="rId777"/>
                    <a:stretch>
                      <a:fillRect/>
                    </a:stretch>
                  </pic:blipFill>
                  <pic:spPr>
                    <a:xfrm>
                      <a:off x="0" y="0"/>
                      <a:ext cx="13716" cy="13716"/>
                    </a:xfrm>
                    <a:prstGeom prst="rect">
                      <a:avLst/>
                    </a:prstGeom>
                  </pic:spPr>
                </pic:pic>
              </a:graphicData>
            </a:graphic>
          </wp:inline>
        </w:drawing>
      </w:r>
      <w:r>
        <w:rPr>
          <w:sz w:val="26"/>
        </w:rPr>
        <w:t xml:space="preserve"> VEINTICUATRO -022-DlGEF-4-2024... 2. Que con fecha 07 de octubre de 2024, </w:t>
      </w:r>
      <w:r>
        <w:rPr>
          <w:rFonts w:ascii="Times New Roman" w:eastAsia="Times New Roman" w:hAnsi="Times New Roman" w:cs="Times New Roman"/>
          <w:sz w:val="26"/>
        </w:rPr>
        <w:t xml:space="preserve">1 </w:t>
      </w:r>
      <w:r>
        <w:rPr>
          <w:sz w:val="26"/>
        </w:rPr>
        <w:t xml:space="preserve">se me notifica la rescisión de mi contrato con el Acuerdo Ministerial No. DIREH-5818-2024, de fecha 03-10-2024. -ACTA No. 022-2024... 3. con respecto al hallazgo de la Coordinación de Infraestructura Deportiva Escolar, con la </w:t>
      </w:r>
      <w:r>
        <w:rPr>
          <w:rFonts w:ascii="Times New Roman" w:eastAsia="Times New Roman" w:hAnsi="Times New Roman" w:cs="Times New Roman"/>
          <w:sz w:val="26"/>
        </w:rPr>
        <w:t xml:space="preserve">1 </w:t>
      </w:r>
      <w:r>
        <w:rPr>
          <w:sz w:val="26"/>
        </w:rPr>
        <w:t xml:space="preserve">descripción de Pintura Tipo Tráfico lata 1 galón varios colores Requerimiento No. 2024-7961 y requerimiento No. 2024-8083 VMpe de Color Blanco tipo bola 1 libra, Se realizaron las acciones que correspondían para la compra de dichos insumos </w:t>
      </w:r>
      <w:r>
        <w:rPr>
          <w:rFonts w:ascii="Times New Roman" w:eastAsia="Times New Roman" w:hAnsi="Times New Roman" w:cs="Times New Roman"/>
          <w:sz w:val="26"/>
        </w:rPr>
        <w:t xml:space="preserve">1 </w:t>
      </w:r>
      <w:r>
        <w:rPr>
          <w:sz w:val="26"/>
        </w:rPr>
        <w:t xml:space="preserve">ya que se encontraba programado en POA y PAC del año 2024, dando cumplimiento a lo que me correspondía. Según [a fuente por medio de portal de </w:t>
      </w:r>
      <w:r>
        <w:rPr>
          <w:rFonts w:ascii="Times New Roman" w:eastAsia="Times New Roman" w:hAnsi="Times New Roman" w:cs="Times New Roman"/>
          <w:sz w:val="26"/>
        </w:rPr>
        <w:t xml:space="preserve">1 </w:t>
      </w:r>
      <w:r>
        <w:rPr>
          <w:sz w:val="26"/>
        </w:rPr>
        <w:t>GUATECOMPRAS, la compra de pintura fue un evento de licitación identificado 1--027/2024-MINEDUC Adquisición de pintura para el mantenimiento de instalaciones deportivas en establecimientos educativos oficiales a nivel nacional,</w:t>
      </w:r>
    </w:p>
    <w:tbl>
      <w:tblPr>
        <w:tblStyle w:val="TableGrid"/>
        <w:tblW w:w="9367" w:type="dxa"/>
        <w:tblInd w:w="814" w:type="dxa"/>
        <w:tblLook w:val="04A0" w:firstRow="1" w:lastRow="0" w:firstColumn="1" w:lastColumn="0" w:noHBand="0" w:noVBand="1"/>
      </w:tblPr>
      <w:tblGrid>
        <w:gridCol w:w="1677"/>
        <w:gridCol w:w="10477"/>
      </w:tblGrid>
      <w:tr w:rsidR="00053D93" w14:paraId="5064D2C0" w14:textId="77777777">
        <w:trPr>
          <w:trHeight w:val="648"/>
        </w:trPr>
        <w:tc>
          <w:tcPr>
            <w:tcW w:w="1719" w:type="dxa"/>
            <w:tcBorders>
              <w:top w:val="nil"/>
              <w:left w:val="nil"/>
              <w:bottom w:val="nil"/>
              <w:right w:val="nil"/>
            </w:tcBorders>
          </w:tcPr>
          <w:p w14:paraId="40F3B0D2" w14:textId="77777777" w:rsidR="00053D93" w:rsidRDefault="00260B75">
            <w:r>
              <w:rPr>
                <w:noProof/>
              </w:rPr>
              <w:lastRenderedPageBreak/>
              <w:drawing>
                <wp:inline distT="0" distB="0" distL="0" distR="0" wp14:anchorId="09F0F36B" wp14:editId="7BB6FC86">
                  <wp:extent cx="1065276" cy="411480"/>
                  <wp:effectExtent l="0" t="0" r="0" b="0"/>
                  <wp:docPr id="498412" name="Picture 498412"/>
                  <wp:cNvGraphicFramePr/>
                  <a:graphic xmlns:a="http://schemas.openxmlformats.org/drawingml/2006/main">
                    <a:graphicData uri="http://schemas.openxmlformats.org/drawingml/2006/picture">
                      <pic:pic xmlns:pic="http://schemas.openxmlformats.org/drawingml/2006/picture">
                        <pic:nvPicPr>
                          <pic:cNvPr id="498412" name="Picture 498412"/>
                          <pic:cNvPicPr/>
                        </pic:nvPicPr>
                        <pic:blipFill>
                          <a:blip r:embed="rId778"/>
                          <a:stretch>
                            <a:fillRect/>
                          </a:stretch>
                        </pic:blipFill>
                        <pic:spPr>
                          <a:xfrm>
                            <a:off x="0" y="0"/>
                            <a:ext cx="1065276" cy="411480"/>
                          </a:xfrm>
                          <a:prstGeom prst="rect">
                            <a:avLst/>
                          </a:prstGeom>
                        </pic:spPr>
                      </pic:pic>
                    </a:graphicData>
                  </a:graphic>
                </wp:inline>
              </w:drawing>
            </w:r>
          </w:p>
        </w:tc>
        <w:tc>
          <w:tcPr>
            <w:tcW w:w="7648" w:type="dxa"/>
            <w:tcBorders>
              <w:top w:val="nil"/>
              <w:left w:val="nil"/>
              <w:bottom w:val="nil"/>
              <w:right w:val="nil"/>
            </w:tcBorders>
          </w:tcPr>
          <w:p w14:paraId="5FD3305E" w14:textId="77777777" w:rsidR="00053D93" w:rsidRDefault="00053D93">
            <w:pPr>
              <w:ind w:left="-2828" w:right="10476"/>
            </w:pPr>
          </w:p>
          <w:tbl>
            <w:tblPr>
              <w:tblStyle w:val="TableGrid"/>
              <w:tblW w:w="7606" w:type="dxa"/>
              <w:tblInd w:w="42" w:type="dxa"/>
              <w:tblCellMar>
                <w:top w:w="30" w:type="dxa"/>
                <w:left w:w="521" w:type="dxa"/>
                <w:right w:w="115" w:type="dxa"/>
              </w:tblCellMar>
              <w:tblLook w:val="04A0" w:firstRow="1" w:lastRow="0" w:firstColumn="1" w:lastColumn="0" w:noHBand="0" w:noVBand="1"/>
            </w:tblPr>
            <w:tblGrid>
              <w:gridCol w:w="7606"/>
            </w:tblGrid>
            <w:tr w:rsidR="00053D93" w14:paraId="25213044" w14:textId="77777777">
              <w:trPr>
                <w:trHeight w:val="615"/>
              </w:trPr>
              <w:tc>
                <w:tcPr>
                  <w:tcW w:w="7606" w:type="dxa"/>
                  <w:tcBorders>
                    <w:top w:val="single" w:sz="2" w:space="0" w:color="000000"/>
                    <w:left w:val="single" w:sz="2" w:space="0" w:color="000000"/>
                    <w:bottom w:val="nil"/>
                    <w:right w:val="nil"/>
                  </w:tcBorders>
                </w:tcPr>
                <w:p w14:paraId="43F37C4F" w14:textId="77777777" w:rsidR="00053D93" w:rsidRDefault="00260B75">
                  <w:pPr>
                    <w:ind w:left="2066"/>
                  </w:pPr>
                  <w:r>
                    <w:rPr>
                      <w:sz w:val="14"/>
                    </w:rPr>
                    <w:t>MINISTERIO DE EDUCACION</w:t>
                  </w:r>
                </w:p>
                <w:p w14:paraId="6EF4CDB2" w14:textId="77777777" w:rsidR="00053D93" w:rsidRDefault="00260B75">
                  <w:pPr>
                    <w:tabs>
                      <w:tab w:val="center" w:pos="2959"/>
                    </w:tabs>
                  </w:pPr>
                  <w:r>
                    <w:rPr>
                      <w:noProof/>
                    </w:rPr>
                    <w:drawing>
                      <wp:inline distT="0" distB="0" distL="0" distR="0" wp14:anchorId="3602AAC6" wp14:editId="1F5E3EC8">
                        <wp:extent cx="640080" cy="18288"/>
                        <wp:effectExtent l="0" t="0" r="0" b="0"/>
                        <wp:docPr id="498282" name="Picture 498282"/>
                        <wp:cNvGraphicFramePr/>
                        <a:graphic xmlns:a="http://schemas.openxmlformats.org/drawingml/2006/main">
                          <a:graphicData uri="http://schemas.openxmlformats.org/drawingml/2006/picture">
                            <pic:pic xmlns:pic="http://schemas.openxmlformats.org/drawingml/2006/picture">
                              <pic:nvPicPr>
                                <pic:cNvPr id="498282" name="Picture 498282"/>
                                <pic:cNvPicPr/>
                              </pic:nvPicPr>
                              <pic:blipFill>
                                <a:blip r:embed="rId779"/>
                                <a:stretch>
                                  <a:fillRect/>
                                </a:stretch>
                              </pic:blipFill>
                              <pic:spPr>
                                <a:xfrm>
                                  <a:off x="0" y="0"/>
                                  <a:ext cx="640080" cy="18288"/>
                                </a:xfrm>
                                <a:prstGeom prst="rect">
                                  <a:avLst/>
                                </a:prstGeom>
                              </pic:spPr>
                            </pic:pic>
                          </a:graphicData>
                        </a:graphic>
                      </wp:inline>
                    </w:drawing>
                  </w:r>
                  <w:r>
                    <w:rPr>
                      <w:sz w:val="14"/>
                    </w:rPr>
                    <w:tab/>
                    <w:t>AUDITORIA FINANOERA Y DE CUMPLIMIENTO — -</w:t>
                  </w:r>
                </w:p>
                <w:p w14:paraId="40840E30" w14:textId="77777777" w:rsidR="00053D93" w:rsidRDefault="00260B75">
                  <w:pPr>
                    <w:ind w:left="1246"/>
                  </w:pPr>
                  <w:r>
                    <w:rPr>
                      <w:sz w:val="14"/>
                    </w:rPr>
                    <w:t>PERIODO OEL 01 ENERO AL 31 DE DICIEMBRE OE 2024</w:t>
                  </w:r>
                </w:p>
              </w:tc>
            </w:tr>
          </w:tbl>
          <w:p w14:paraId="0545589B" w14:textId="77777777" w:rsidR="00053D93" w:rsidRDefault="00053D93"/>
        </w:tc>
      </w:tr>
    </w:tbl>
    <w:p w14:paraId="46F6028A" w14:textId="77777777" w:rsidR="00053D93" w:rsidRDefault="00260B75">
      <w:pPr>
        <w:spacing w:after="0"/>
      </w:pPr>
      <w:r>
        <w:rPr>
          <w:sz w:val="284"/>
        </w:rPr>
        <w:t>i</w:t>
      </w:r>
    </w:p>
    <w:p w14:paraId="66CC4C76" w14:textId="77777777" w:rsidR="00053D93" w:rsidRDefault="00260B75">
      <w:pPr>
        <w:spacing w:after="4" w:line="267" w:lineRule="auto"/>
        <w:ind w:left="18" w:right="21" w:hanging="4"/>
        <w:jc w:val="right"/>
      </w:pPr>
      <w:r>
        <w:rPr>
          <w:noProof/>
        </w:rPr>
        <mc:AlternateContent>
          <mc:Choice Requires="wpg">
            <w:drawing>
              <wp:anchor distT="0" distB="0" distL="114300" distR="114300" simplePos="0" relativeHeight="252012544" behindDoc="0" locked="0" layoutInCell="1" allowOverlap="1" wp14:anchorId="7D9B31C1" wp14:editId="45D0B4AC">
                <wp:simplePos x="0" y="0"/>
                <wp:positionH relativeFrom="column">
                  <wp:posOffset>0</wp:posOffset>
                </wp:positionH>
                <wp:positionV relativeFrom="paragraph">
                  <wp:posOffset>31266</wp:posOffset>
                </wp:positionV>
                <wp:extent cx="141732" cy="393192"/>
                <wp:effectExtent l="0" t="0" r="0" b="0"/>
                <wp:wrapSquare wrapText="bothSides"/>
                <wp:docPr id="2455741" name="Group 2455741"/>
                <wp:cNvGraphicFramePr/>
                <a:graphic xmlns:a="http://schemas.openxmlformats.org/drawingml/2006/main">
                  <a:graphicData uri="http://schemas.microsoft.com/office/word/2010/wordprocessingGroup">
                    <wpg:wgp>
                      <wpg:cNvGrpSpPr/>
                      <wpg:grpSpPr>
                        <a:xfrm>
                          <a:off x="0" y="0"/>
                          <a:ext cx="141732" cy="393192"/>
                          <a:chOff x="0" y="0"/>
                          <a:chExt cx="141732" cy="393192"/>
                        </a:xfrm>
                      </wpg:grpSpPr>
                      <wps:wsp>
                        <wps:cNvPr id="498988" name="Rectangle 498988"/>
                        <wps:cNvSpPr/>
                        <wps:spPr>
                          <a:xfrm>
                            <a:off x="0" y="0"/>
                            <a:ext cx="188504" cy="522945"/>
                          </a:xfrm>
                          <a:prstGeom prst="rect">
                            <a:avLst/>
                          </a:prstGeom>
                          <a:ln>
                            <a:noFill/>
                          </a:ln>
                        </wps:spPr>
                        <wps:txbx>
                          <w:txbxContent>
                            <w:p w14:paraId="50BA0CB1" w14:textId="77777777" w:rsidR="00053D93" w:rsidRDefault="00260B75">
                              <w:r>
                                <w:rPr>
                                  <w:sz w:val="284"/>
                                </w:rPr>
                                <w:t>i</w:t>
                              </w:r>
                            </w:p>
                          </w:txbxContent>
                        </wps:txbx>
                        <wps:bodyPr horzOverflow="overflow" vert="horz" lIns="0" tIns="0" rIns="0" bIns="0" rtlCol="0">
                          <a:noAutofit/>
                        </wps:bodyPr>
                      </wps:wsp>
                    </wpg:wgp>
                  </a:graphicData>
                </a:graphic>
              </wp:anchor>
            </w:drawing>
          </mc:Choice>
          <mc:Fallback>
            <w:pict>
              <v:group w14:anchorId="7D9B31C1" id="Group 2455741" o:spid="_x0000_s1321" style="position:absolute;left:0;text-align:left;margin-left:0;margin-top:2.45pt;width:11.15pt;height:30.95pt;z-index:252012544;mso-position-horizontal-relative:text;mso-position-vertical-relative:text" coordsize="141732,39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">
                <v:rect id="Rectangle 498988" o:spid="_x0000_s1322" style="position:absolute;width:188504;height:522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" filled="f" stroked="f">
                  <v:textbox inset="0,0,0,0">
                    <w:txbxContent>
                      <w:p w14:paraId="50BA0CB1" w14:textId="77777777" w:rsidR="00053D93" w:rsidRDefault="00260B75">
                        <w:r>
                          <w:rPr>
                            <w:sz w:val="284"/>
                          </w:rPr>
                          <w:t>i</w:t>
                        </w:r>
                      </w:p>
                    </w:txbxContent>
                  </v:textbox>
                </v:rect>
                <w10:wrap type="square"/>
              </v:group>
            </w:pict>
          </mc:Fallback>
        </mc:AlternateContent>
      </w:r>
      <w:r>
        <w:rPr>
          <w:sz w:val="26"/>
        </w:rPr>
        <w:t>¿-Sólicifúd dé lá bifección Geherál de Éducación Física -DIGEF-, con numero de</w:t>
      </w:r>
    </w:p>
    <w:p w14:paraId="469E2D06" w14:textId="77777777" w:rsidR="00053D93" w:rsidRDefault="00260B75">
      <w:pPr>
        <w:spacing w:after="17" w:line="247" w:lineRule="auto"/>
        <w:ind w:left="14" w:right="14" w:firstLine="4"/>
        <w:jc w:val="both"/>
      </w:pPr>
      <w:r>
        <w:rPr>
          <w:sz w:val="26"/>
        </w:rPr>
        <w:t>NOG 233251 19, el cual conlleva una serie de procedimientos y plazos ajenos a la Dirección General de Educación Física ya que esta se encontraba a cargo de la</w:t>
      </w:r>
    </w:p>
    <w:p w14:paraId="3D321712" w14:textId="77777777" w:rsidR="00053D93" w:rsidRDefault="00260B75">
      <w:pPr>
        <w:spacing w:after="238" w:line="247" w:lineRule="auto"/>
        <w:ind w:left="14" w:right="14" w:firstLine="1714"/>
        <w:jc w:val="both"/>
      </w:pPr>
      <w:r>
        <w:rPr>
          <w:noProof/>
        </w:rPr>
        <w:drawing>
          <wp:anchor distT="0" distB="0" distL="114300" distR="114300" simplePos="0" relativeHeight="252013568" behindDoc="0" locked="0" layoutInCell="1" allowOverlap="0" wp14:anchorId="72AFF230" wp14:editId="62EB151F">
            <wp:simplePos x="0" y="0"/>
            <wp:positionH relativeFrom="page">
              <wp:posOffset>6656832</wp:posOffset>
            </wp:positionH>
            <wp:positionV relativeFrom="page">
              <wp:posOffset>4727449</wp:posOffset>
            </wp:positionV>
            <wp:extent cx="13716" cy="13716"/>
            <wp:effectExtent l="0" t="0" r="0" b="0"/>
            <wp:wrapSquare wrapText="bothSides"/>
            <wp:docPr id="502479" name="Picture 502479"/>
            <wp:cNvGraphicFramePr/>
            <a:graphic xmlns:a="http://schemas.openxmlformats.org/drawingml/2006/main">
              <a:graphicData uri="http://schemas.openxmlformats.org/drawingml/2006/picture">
                <pic:pic xmlns:pic="http://schemas.openxmlformats.org/drawingml/2006/picture">
                  <pic:nvPicPr>
                    <pic:cNvPr id="502479" name="Picture 502479"/>
                    <pic:cNvPicPr/>
                  </pic:nvPicPr>
                  <pic:blipFill>
                    <a:blip r:embed="rId780"/>
                    <a:stretch>
                      <a:fillRect/>
                    </a:stretch>
                  </pic:blipFill>
                  <pic:spPr>
                    <a:xfrm>
                      <a:off x="0" y="0"/>
                      <a:ext cx="13716" cy="13716"/>
                    </a:xfrm>
                    <a:prstGeom prst="rect">
                      <a:avLst/>
                    </a:prstGeom>
                  </pic:spPr>
                </pic:pic>
              </a:graphicData>
            </a:graphic>
          </wp:anchor>
        </w:drawing>
      </w:r>
      <w:r>
        <w:rPr>
          <w:noProof/>
        </w:rPr>
        <w:drawing>
          <wp:anchor distT="0" distB="0" distL="114300" distR="114300" simplePos="0" relativeHeight="252014592" behindDoc="0" locked="0" layoutInCell="1" allowOverlap="0" wp14:anchorId="6F961F80" wp14:editId="6D435826">
            <wp:simplePos x="0" y="0"/>
            <wp:positionH relativeFrom="page">
              <wp:posOffset>6711696</wp:posOffset>
            </wp:positionH>
            <wp:positionV relativeFrom="page">
              <wp:posOffset>9294876</wp:posOffset>
            </wp:positionV>
            <wp:extent cx="562355" cy="18289"/>
            <wp:effectExtent l="0" t="0" r="0" b="0"/>
            <wp:wrapSquare wrapText="bothSides"/>
            <wp:docPr id="502478" name="Picture 502478"/>
            <wp:cNvGraphicFramePr/>
            <a:graphic xmlns:a="http://schemas.openxmlformats.org/drawingml/2006/main">
              <a:graphicData uri="http://schemas.openxmlformats.org/drawingml/2006/picture">
                <pic:pic xmlns:pic="http://schemas.openxmlformats.org/drawingml/2006/picture">
                  <pic:nvPicPr>
                    <pic:cNvPr id="502478" name="Picture 502478"/>
                    <pic:cNvPicPr/>
                  </pic:nvPicPr>
                  <pic:blipFill>
                    <a:blip r:embed="rId781"/>
                    <a:stretch>
                      <a:fillRect/>
                    </a:stretch>
                  </pic:blipFill>
                  <pic:spPr>
                    <a:xfrm>
                      <a:off x="0" y="0"/>
                      <a:ext cx="562355" cy="18289"/>
                    </a:xfrm>
                    <a:prstGeom prst="rect">
                      <a:avLst/>
                    </a:prstGeom>
                  </pic:spPr>
                </pic:pic>
              </a:graphicData>
            </a:graphic>
          </wp:anchor>
        </w:drawing>
      </w:r>
      <w:r>
        <w:rPr>
          <w:noProof/>
        </w:rPr>
        <mc:AlternateContent>
          <mc:Choice Requires="wpg">
            <w:drawing>
              <wp:anchor distT="0" distB="0" distL="114300" distR="114300" simplePos="0" relativeHeight="252015616" behindDoc="0" locked="0" layoutInCell="1" allowOverlap="1" wp14:anchorId="4B99A450" wp14:editId="60416A4D">
                <wp:simplePos x="0" y="0"/>
                <wp:positionH relativeFrom="column">
                  <wp:posOffset>32004</wp:posOffset>
                </wp:positionH>
                <wp:positionV relativeFrom="paragraph">
                  <wp:posOffset>1510983</wp:posOffset>
                </wp:positionV>
                <wp:extent cx="114300" cy="365760"/>
                <wp:effectExtent l="0" t="0" r="0" b="0"/>
                <wp:wrapSquare wrapText="bothSides"/>
                <wp:docPr id="2455743" name="Group 2455743"/>
                <wp:cNvGraphicFramePr/>
                <a:graphic xmlns:a="http://schemas.openxmlformats.org/drawingml/2006/main">
                  <a:graphicData uri="http://schemas.microsoft.com/office/word/2010/wordprocessingGroup">
                    <wpg:wgp>
                      <wpg:cNvGrpSpPr/>
                      <wpg:grpSpPr>
                        <a:xfrm>
                          <a:off x="0" y="0"/>
                          <a:ext cx="114300" cy="365760"/>
                          <a:chOff x="0" y="0"/>
                          <a:chExt cx="114300" cy="365760"/>
                        </a:xfrm>
                      </wpg:grpSpPr>
                      <wps:wsp>
                        <wps:cNvPr id="498990" name="Rectangle 498990"/>
                        <wps:cNvSpPr/>
                        <wps:spPr>
                          <a:xfrm>
                            <a:off x="0" y="0"/>
                            <a:ext cx="152019" cy="486461"/>
                          </a:xfrm>
                          <a:prstGeom prst="rect">
                            <a:avLst/>
                          </a:prstGeom>
                          <a:ln>
                            <a:noFill/>
                          </a:ln>
                        </wps:spPr>
                        <wps:txbx>
                          <w:txbxContent>
                            <w:p w14:paraId="0130A706" w14:textId="77777777" w:rsidR="00053D93" w:rsidRDefault="00260B75">
                              <w:r>
                                <w:rPr>
                                  <w:sz w:val="236"/>
                                </w:rPr>
                                <w:t>i</w:t>
                              </w:r>
                            </w:p>
                          </w:txbxContent>
                        </wps:txbx>
                        <wps:bodyPr horzOverflow="overflow" vert="horz" lIns="0" tIns="0" rIns="0" bIns="0" rtlCol="0">
                          <a:noAutofit/>
                        </wps:bodyPr>
                      </wps:wsp>
                    </wpg:wgp>
                  </a:graphicData>
                </a:graphic>
              </wp:anchor>
            </w:drawing>
          </mc:Choice>
          <mc:Fallback>
            <w:pict>
              <v:group w14:anchorId="4B99A450" id="Group 2455743" o:spid="_x0000_s1323" style="position:absolute;left:0;text-align:left;margin-left:2.5pt;margin-top:119pt;width:9pt;height:28.8pt;z-index:252015616;mso-position-horizontal-relative:text;mso-position-vertical-relative:text" coordsize="11430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">
                <v:rect id="Rectangle 498990" o:spid="_x0000_s1324" style="position:absolute;width:152019;height:486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" filled="f" stroked="f">
                  <v:textbox inset="0,0,0,0">
                    <w:txbxContent>
                      <w:p w14:paraId="0130A706" w14:textId="77777777" w:rsidR="00053D93" w:rsidRDefault="00260B75">
                        <w:r>
                          <w:rPr>
                            <w:sz w:val="236"/>
                          </w:rPr>
                          <w:t>i</w:t>
                        </w:r>
                      </w:p>
                    </w:txbxContent>
                  </v:textbox>
                </v:rect>
                <w10:wrap type="square"/>
              </v:group>
            </w:pict>
          </mc:Fallback>
        </mc:AlternateContent>
      </w:r>
      <w:r>
        <w:rPr>
          <w:noProof/>
        </w:rPr>
        <mc:AlternateContent>
          <mc:Choice Requires="wpg">
            <w:drawing>
              <wp:anchor distT="0" distB="0" distL="114300" distR="114300" simplePos="0" relativeHeight="252016640" behindDoc="0" locked="0" layoutInCell="1" allowOverlap="1" wp14:anchorId="4897F2A0" wp14:editId="0843B820">
                <wp:simplePos x="0" y="0"/>
                <wp:positionH relativeFrom="column">
                  <wp:posOffset>36576</wp:posOffset>
                </wp:positionH>
                <wp:positionV relativeFrom="paragraph">
                  <wp:posOffset>2027620</wp:posOffset>
                </wp:positionV>
                <wp:extent cx="114300" cy="365760"/>
                <wp:effectExtent l="0" t="0" r="0" b="0"/>
                <wp:wrapSquare wrapText="bothSides"/>
                <wp:docPr id="2455744" name="Group 2455744"/>
                <wp:cNvGraphicFramePr/>
                <a:graphic xmlns:a="http://schemas.openxmlformats.org/drawingml/2006/main">
                  <a:graphicData uri="http://schemas.microsoft.com/office/word/2010/wordprocessingGroup">
                    <wpg:wgp>
                      <wpg:cNvGrpSpPr/>
                      <wpg:grpSpPr>
                        <a:xfrm>
                          <a:off x="0" y="0"/>
                          <a:ext cx="114300" cy="365760"/>
                          <a:chOff x="0" y="0"/>
                          <a:chExt cx="114300" cy="365760"/>
                        </a:xfrm>
                      </wpg:grpSpPr>
                      <wps:wsp>
                        <wps:cNvPr id="498991" name="Rectangle 498991"/>
                        <wps:cNvSpPr/>
                        <wps:spPr>
                          <a:xfrm>
                            <a:off x="0" y="0"/>
                            <a:ext cx="152019" cy="486461"/>
                          </a:xfrm>
                          <a:prstGeom prst="rect">
                            <a:avLst/>
                          </a:prstGeom>
                          <a:ln>
                            <a:noFill/>
                          </a:ln>
                        </wps:spPr>
                        <wps:txbx>
                          <w:txbxContent>
                            <w:p w14:paraId="649BB19C" w14:textId="77777777" w:rsidR="00053D93" w:rsidRDefault="00260B75">
                              <w:r>
                                <w:rPr>
                                  <w:sz w:val="236"/>
                                </w:rPr>
                                <w:t>i</w:t>
                              </w:r>
                            </w:p>
                          </w:txbxContent>
                        </wps:txbx>
                        <wps:bodyPr horzOverflow="overflow" vert="horz" lIns="0" tIns="0" rIns="0" bIns="0" rtlCol="0">
                          <a:noAutofit/>
                        </wps:bodyPr>
                      </wps:wsp>
                    </wpg:wgp>
                  </a:graphicData>
                </a:graphic>
              </wp:anchor>
            </w:drawing>
          </mc:Choice>
          <mc:Fallback>
            <w:pict>
              <v:group w14:anchorId="4897F2A0" id="Group 2455744" o:spid="_x0000_s1325" style="position:absolute;left:0;text-align:left;margin-left:2.9pt;margin-top:159.65pt;width:9pt;height:28.8pt;z-index:252016640;mso-position-horizontal-relative:text;mso-position-vertical-relative:text" coordsize="11430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">
                <v:rect id="Rectangle 498991" o:spid="_x0000_s1326" style="position:absolute;width:152019;height:486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" filled="f" stroked="f">
                  <v:textbox inset="0,0,0,0">
                    <w:txbxContent>
                      <w:p w14:paraId="649BB19C" w14:textId="77777777" w:rsidR="00053D93" w:rsidRDefault="00260B75">
                        <w:r>
                          <w:rPr>
                            <w:sz w:val="236"/>
                          </w:rPr>
                          <w:t>i</w:t>
                        </w:r>
                      </w:p>
                    </w:txbxContent>
                  </v:textbox>
                </v:rect>
                <w10:wrap type="square"/>
              </v:group>
            </w:pict>
          </mc:Fallback>
        </mc:AlternateContent>
      </w:r>
      <w:r>
        <w:rPr>
          <w:noProof/>
        </w:rPr>
        <mc:AlternateContent>
          <mc:Choice Requires="wpg">
            <w:drawing>
              <wp:anchor distT="0" distB="0" distL="114300" distR="114300" simplePos="0" relativeHeight="252017664" behindDoc="0" locked="0" layoutInCell="1" allowOverlap="1" wp14:anchorId="28FB487E" wp14:editId="4B18CB56">
                <wp:simplePos x="0" y="0"/>
                <wp:positionH relativeFrom="column">
                  <wp:posOffset>36576</wp:posOffset>
                </wp:positionH>
                <wp:positionV relativeFrom="paragraph">
                  <wp:posOffset>2544255</wp:posOffset>
                </wp:positionV>
                <wp:extent cx="118872" cy="356616"/>
                <wp:effectExtent l="0" t="0" r="0" b="0"/>
                <wp:wrapSquare wrapText="bothSides"/>
                <wp:docPr id="2455745" name="Group 2455745"/>
                <wp:cNvGraphicFramePr/>
                <a:graphic xmlns:a="http://schemas.openxmlformats.org/drawingml/2006/main">
                  <a:graphicData uri="http://schemas.microsoft.com/office/word/2010/wordprocessingGroup">
                    <wpg:wgp>
                      <wpg:cNvGrpSpPr/>
                      <wpg:grpSpPr>
                        <a:xfrm>
                          <a:off x="0" y="0"/>
                          <a:ext cx="118872" cy="356616"/>
                          <a:chOff x="0" y="0"/>
                          <a:chExt cx="118872" cy="356616"/>
                        </a:xfrm>
                      </wpg:grpSpPr>
                      <wps:wsp>
                        <wps:cNvPr id="498992" name="Rectangle 498992"/>
                        <wps:cNvSpPr/>
                        <wps:spPr>
                          <a:xfrm>
                            <a:off x="0" y="0"/>
                            <a:ext cx="158100" cy="474299"/>
                          </a:xfrm>
                          <a:prstGeom prst="rect">
                            <a:avLst/>
                          </a:prstGeom>
                          <a:ln>
                            <a:noFill/>
                          </a:ln>
                        </wps:spPr>
                        <wps:txbx>
                          <w:txbxContent>
                            <w:p w14:paraId="5C56BEA2" w14:textId="77777777" w:rsidR="00053D93" w:rsidRDefault="00260B75">
                              <w:r>
                                <w:rPr>
                                  <w:sz w:val="246"/>
                                </w:rPr>
                                <w:t>i</w:t>
                              </w:r>
                            </w:p>
                          </w:txbxContent>
                        </wps:txbx>
                        <wps:bodyPr horzOverflow="overflow" vert="horz" lIns="0" tIns="0" rIns="0" bIns="0" rtlCol="0">
                          <a:noAutofit/>
                        </wps:bodyPr>
                      </wps:wsp>
                    </wpg:wgp>
                  </a:graphicData>
                </a:graphic>
              </wp:anchor>
            </w:drawing>
          </mc:Choice>
          <mc:Fallback>
            <w:pict>
              <v:group w14:anchorId="28FB487E" id="Group 2455745" o:spid="_x0000_s1327" style="position:absolute;left:0;text-align:left;margin-left:2.9pt;margin-top:200.35pt;width:9.35pt;height:28.1pt;z-index:252017664;mso-position-horizontal-relative:text;mso-position-vertical-relative:text" coordsize="118872,35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">
                <v:rect id="Rectangle 498992" o:spid="_x0000_s1328" style="position:absolute;width:158100;height:47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" filled="f" stroked="f">
                  <v:textbox inset="0,0,0,0">
                    <w:txbxContent>
                      <w:p w14:paraId="5C56BEA2" w14:textId="77777777" w:rsidR="00053D93" w:rsidRDefault="00260B75">
                        <w:r>
                          <w:rPr>
                            <w:sz w:val="246"/>
                          </w:rPr>
                          <w:t>i</w:t>
                        </w:r>
                      </w:p>
                    </w:txbxContent>
                  </v:textbox>
                </v:rect>
                <w10:wrap type="square"/>
              </v:group>
            </w:pict>
          </mc:Fallback>
        </mc:AlternateContent>
      </w:r>
      <w:r>
        <w:rPr>
          <w:noProof/>
        </w:rPr>
        <mc:AlternateContent>
          <mc:Choice Requires="wpg">
            <w:drawing>
              <wp:anchor distT="0" distB="0" distL="114300" distR="114300" simplePos="0" relativeHeight="252018688" behindDoc="0" locked="0" layoutInCell="1" allowOverlap="1" wp14:anchorId="113D799D" wp14:editId="7E6F2791">
                <wp:simplePos x="0" y="0"/>
                <wp:positionH relativeFrom="column">
                  <wp:posOffset>41148</wp:posOffset>
                </wp:positionH>
                <wp:positionV relativeFrom="paragraph">
                  <wp:posOffset>3056320</wp:posOffset>
                </wp:positionV>
                <wp:extent cx="118872" cy="361188"/>
                <wp:effectExtent l="0" t="0" r="0" b="0"/>
                <wp:wrapSquare wrapText="bothSides"/>
                <wp:docPr id="2455746" name="Group 2455746"/>
                <wp:cNvGraphicFramePr/>
                <a:graphic xmlns:a="http://schemas.openxmlformats.org/drawingml/2006/main">
                  <a:graphicData uri="http://schemas.microsoft.com/office/word/2010/wordprocessingGroup">
                    <wpg:wgp>
                      <wpg:cNvGrpSpPr/>
                      <wpg:grpSpPr>
                        <a:xfrm>
                          <a:off x="0" y="0"/>
                          <a:ext cx="118872" cy="361188"/>
                          <a:chOff x="0" y="0"/>
                          <a:chExt cx="118872" cy="361188"/>
                        </a:xfrm>
                      </wpg:grpSpPr>
                      <wps:wsp>
                        <wps:cNvPr id="498993" name="Rectangle 498993"/>
                        <wps:cNvSpPr/>
                        <wps:spPr>
                          <a:xfrm>
                            <a:off x="0" y="0"/>
                            <a:ext cx="158100" cy="480380"/>
                          </a:xfrm>
                          <a:prstGeom prst="rect">
                            <a:avLst/>
                          </a:prstGeom>
                          <a:ln>
                            <a:noFill/>
                          </a:ln>
                        </wps:spPr>
                        <wps:txbx>
                          <w:txbxContent>
                            <w:p w14:paraId="478E5CEB" w14:textId="77777777" w:rsidR="00053D93" w:rsidRDefault="00260B75">
                              <w:r>
                                <w:rPr>
                                  <w:rFonts w:ascii="Times New Roman" w:eastAsia="Times New Roman" w:hAnsi="Times New Roman" w:cs="Times New Roman"/>
                                  <w:sz w:val="84"/>
                                </w:rPr>
                                <w:t>i</w:t>
                              </w:r>
                            </w:p>
                          </w:txbxContent>
                        </wps:txbx>
                        <wps:bodyPr horzOverflow="overflow" vert="horz" lIns="0" tIns="0" rIns="0" bIns="0" rtlCol="0">
                          <a:noAutofit/>
                        </wps:bodyPr>
                      </wps:wsp>
                    </wpg:wgp>
                  </a:graphicData>
                </a:graphic>
              </wp:anchor>
            </w:drawing>
          </mc:Choice>
          <mc:Fallback>
            <w:pict>
              <v:group w14:anchorId="113D799D" id="Group 2455746" o:spid="_x0000_s1329" style="position:absolute;left:0;text-align:left;margin-left:3.25pt;margin-top:240.65pt;width:9.35pt;height:28.45pt;z-index:252018688;mso-position-horizontal-relative:text;mso-position-vertical-relative:text" coordsize="118872,36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">
                <v:rect id="Rectangle 498993" o:spid="_x0000_s1330" style="position:absolute;width:158100;height:480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" filled="f" stroked="f">
                  <v:textbox inset="0,0,0,0">
                    <w:txbxContent>
                      <w:p w14:paraId="478E5CEB" w14:textId="77777777" w:rsidR="00053D93" w:rsidRDefault="00260B75">
                        <w:r>
                          <w:rPr>
                            <w:rFonts w:ascii="Times New Roman" w:eastAsia="Times New Roman" w:hAnsi="Times New Roman" w:cs="Times New Roman"/>
                            <w:sz w:val="84"/>
                          </w:rPr>
                          <w:t>i</w:t>
                        </w:r>
                      </w:p>
                    </w:txbxContent>
                  </v:textbox>
                </v:rect>
                <w10:wrap type="square"/>
              </v:group>
            </w:pict>
          </mc:Fallback>
        </mc:AlternateContent>
      </w:r>
      <w:r>
        <w:rPr>
          <w:noProof/>
        </w:rPr>
        <mc:AlternateContent>
          <mc:Choice Requires="wpg">
            <w:drawing>
              <wp:anchor distT="0" distB="0" distL="114300" distR="114300" simplePos="0" relativeHeight="252019712" behindDoc="0" locked="0" layoutInCell="1" allowOverlap="1" wp14:anchorId="094DD3F9" wp14:editId="09C9B953">
                <wp:simplePos x="0" y="0"/>
                <wp:positionH relativeFrom="column">
                  <wp:posOffset>54864</wp:posOffset>
                </wp:positionH>
                <wp:positionV relativeFrom="paragraph">
                  <wp:posOffset>3563811</wp:posOffset>
                </wp:positionV>
                <wp:extent cx="109728" cy="365760"/>
                <wp:effectExtent l="0" t="0" r="0" b="0"/>
                <wp:wrapSquare wrapText="bothSides"/>
                <wp:docPr id="2455747" name="Group 2455747"/>
                <wp:cNvGraphicFramePr/>
                <a:graphic xmlns:a="http://schemas.openxmlformats.org/drawingml/2006/main">
                  <a:graphicData uri="http://schemas.microsoft.com/office/word/2010/wordprocessingGroup">
                    <wpg:wgp>
                      <wpg:cNvGrpSpPr/>
                      <wpg:grpSpPr>
                        <a:xfrm>
                          <a:off x="0" y="0"/>
                          <a:ext cx="109728" cy="365760"/>
                          <a:chOff x="0" y="0"/>
                          <a:chExt cx="109728" cy="365760"/>
                        </a:xfrm>
                      </wpg:grpSpPr>
                      <wps:wsp>
                        <wps:cNvPr id="498994" name="Rectangle 498994"/>
                        <wps:cNvSpPr/>
                        <wps:spPr>
                          <a:xfrm>
                            <a:off x="0" y="0"/>
                            <a:ext cx="145938" cy="486461"/>
                          </a:xfrm>
                          <a:prstGeom prst="rect">
                            <a:avLst/>
                          </a:prstGeom>
                          <a:ln>
                            <a:noFill/>
                          </a:ln>
                        </wps:spPr>
                        <wps:txbx>
                          <w:txbxContent>
                            <w:p w14:paraId="0D753341" w14:textId="77777777" w:rsidR="00053D93" w:rsidRDefault="00260B75">
                              <w:r>
                                <w:rPr>
                                  <w:sz w:val="226"/>
                                </w:rPr>
                                <w:t>i</w:t>
                              </w:r>
                            </w:p>
                          </w:txbxContent>
                        </wps:txbx>
                        <wps:bodyPr horzOverflow="overflow" vert="horz" lIns="0" tIns="0" rIns="0" bIns="0" rtlCol="0">
                          <a:noAutofit/>
                        </wps:bodyPr>
                      </wps:wsp>
                    </wpg:wgp>
                  </a:graphicData>
                </a:graphic>
              </wp:anchor>
            </w:drawing>
          </mc:Choice>
          <mc:Fallback>
            <w:pict>
              <v:group w14:anchorId="094DD3F9" id="Group 2455747" o:spid="_x0000_s1331" style="position:absolute;left:0;text-align:left;margin-left:4.3pt;margin-top:280.6pt;width:8.65pt;height:28.8pt;z-index:252019712;mso-position-horizontal-relative:text;mso-position-vertical-relative:text" coordsize="109728,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">
                <v:rect id="Rectangle 498994" o:spid="_x0000_s1332" style="position:absolute;width:145938;height:486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" filled="f" stroked="f">
                  <v:textbox inset="0,0,0,0">
                    <w:txbxContent>
                      <w:p w14:paraId="0D753341" w14:textId="77777777" w:rsidR="00053D93" w:rsidRDefault="00260B75">
                        <w:r>
                          <w:rPr>
                            <w:sz w:val="226"/>
                          </w:rPr>
                          <w:t>i</w:t>
                        </w:r>
                      </w:p>
                    </w:txbxContent>
                  </v:textbox>
                </v:rect>
                <w10:wrap type="square"/>
              </v:group>
            </w:pict>
          </mc:Fallback>
        </mc:AlternateContent>
      </w:r>
      <w:r>
        <w:rPr>
          <w:sz w:val="26"/>
        </w:rPr>
        <w:t xml:space="preserve">Dirección de Adquisiciones y Contrataciones -DIDECO- Derivado del proceso de Licitación L-027/2024-MlNEDUC Adquisición de pintura para el mantenimiento de instalaciones deportivas en establecimientos educativos oficiales a nivel nacional, </w:t>
      </w:r>
      <w:r>
        <w:rPr>
          <w:noProof/>
        </w:rPr>
        <mc:AlternateContent>
          <mc:Choice Requires="wpg">
            <w:drawing>
              <wp:inline distT="0" distB="0" distL="0" distR="0" wp14:anchorId="1AD74BAB" wp14:editId="507EA088">
                <wp:extent cx="128016" cy="374904"/>
                <wp:effectExtent l="0" t="0" r="0" b="0"/>
                <wp:docPr id="2455742" name="Group 2455742"/>
                <wp:cNvGraphicFramePr/>
                <a:graphic xmlns:a="http://schemas.openxmlformats.org/drawingml/2006/main">
                  <a:graphicData uri="http://schemas.microsoft.com/office/word/2010/wordprocessingGroup">
                    <wpg:wgp>
                      <wpg:cNvGrpSpPr/>
                      <wpg:grpSpPr>
                        <a:xfrm>
                          <a:off x="0" y="0"/>
                          <a:ext cx="128016" cy="374904"/>
                          <a:chOff x="0" y="0"/>
                          <a:chExt cx="128016" cy="374904"/>
                        </a:xfrm>
                      </wpg:grpSpPr>
                      <wps:wsp>
                        <wps:cNvPr id="498989" name="Rectangle 498989"/>
                        <wps:cNvSpPr/>
                        <wps:spPr>
                          <a:xfrm>
                            <a:off x="0" y="0"/>
                            <a:ext cx="170261" cy="498622"/>
                          </a:xfrm>
                          <a:prstGeom prst="rect">
                            <a:avLst/>
                          </a:prstGeom>
                          <a:ln>
                            <a:noFill/>
                          </a:ln>
                        </wps:spPr>
                        <wps:txbx>
                          <w:txbxContent>
                            <w:p w14:paraId="6CDA0E51" w14:textId="77777777" w:rsidR="00053D93" w:rsidRDefault="00260B75">
                              <w:r>
                                <w:rPr>
                                  <w:sz w:val="256"/>
                                </w:rPr>
                                <w:t>i</w:t>
                              </w:r>
                            </w:p>
                          </w:txbxContent>
                        </wps:txbx>
                        <wps:bodyPr horzOverflow="overflow" vert="horz" lIns="0" tIns="0" rIns="0" bIns="0" rtlCol="0">
                          <a:noAutofit/>
                        </wps:bodyPr>
                      </wps:wsp>
                    </wpg:wgp>
                  </a:graphicData>
                </a:graphic>
              </wp:inline>
            </w:drawing>
          </mc:Choice>
          <mc:Fallback>
            <w:pict>
              <v:group w14:anchorId="1AD74BAB" id="Group 2455742" o:spid="_x0000_s1333" style="width:10.1pt;height:29.5pt;mso-position-horizontal-relative:char;mso-position-vertical-relative:line" coordsize="128016,37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">
                <v:rect id="Rectangle 498989" o:spid="_x0000_s1334" style="position:absolute;width:170261;height:498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" filled="f" stroked="f">
                  <v:textbox inset="0,0,0,0">
                    <w:txbxContent>
                      <w:p w14:paraId="6CDA0E51" w14:textId="77777777" w:rsidR="00053D93" w:rsidRDefault="00260B75">
                        <w:r>
                          <w:rPr>
                            <w:sz w:val="256"/>
                          </w:rPr>
                          <w:t>i</w:t>
                        </w:r>
                      </w:p>
                    </w:txbxContent>
                  </v:textbox>
                </v:rect>
                <w10:anchorlock/>
              </v:group>
            </w:pict>
          </mc:Fallback>
        </mc:AlternateContent>
      </w:r>
      <w:r>
        <w:rPr>
          <w:sz w:val="26"/>
        </w:rPr>
        <w:t xml:space="preserve"> a solicitud de la Dirección General de Educación Física -DIGEF-, según el numeral No. 14 de historial de acciones en el portal de GUATECOMPRAS el contrato No.54-2024-DlGEF-L fecha inicio plazo contractual: 13 de noviembre de 2024 y fecha fin plazo contractual el 26 de noviembre de 2024, plazo en el que ya no estaba a cargo de la Subdirección Interinstitucional por lo que únicamente se inició el proceso para cumplir con las metas y programaciones y queda a cargo de las nuevas autoridades, por lo que solicito respetuosamente se me desvincule del presente posible </w:t>
      </w:r>
      <w:r>
        <w:rPr>
          <w:sz w:val="26"/>
        </w:rPr>
        <w:lastRenderedPageBreak/>
        <w:t xml:space="preserve">hallazgo... 4. Según fuente por medio del portal de GUATECOMPRAS el requerimiento No-2024-8083 por la compra de Waipe fue solicitado el día martes 12 de noviembre de 2024, fecha en que ya no laboraba para la Dirección General de Educación Física -DIGEF-, por lo que solicito respetuosamente se me desvincule del presente posible hallazgo... </w:t>
      </w:r>
      <w:r>
        <w:rPr>
          <w:rFonts w:ascii="Times New Roman" w:eastAsia="Times New Roman" w:hAnsi="Times New Roman" w:cs="Times New Roman"/>
          <w:sz w:val="26"/>
        </w:rPr>
        <w:t xml:space="preserve">5. Con </w:t>
      </w:r>
      <w:r>
        <w:rPr>
          <w:sz w:val="26"/>
        </w:rPr>
        <w:t xml:space="preserve">respecto al hallazgo de la Coordinación de Programas y Proyectos, y a la Jefatura Departamentos de Estudios y Programación, se realizaron las acciones que correspondían para la . compra de dichos insumos ya que se encontraba programado en POA y PAC del año 2024, dando cumplimiento a lo que me correspondía. 6. Según fuente por medio de portal de GUATECOMPRAS el requerimiento No.2024-5679 por la compra de 150 pelotas de futbol sala, 150 pelotas de voleibol y 150 pelotas de baloncesto, ingresaron a Almacén por medio </w:t>
      </w:r>
      <w:r>
        <w:rPr>
          <w:rFonts w:ascii="Times New Roman" w:eastAsia="Times New Roman" w:hAnsi="Times New Roman" w:cs="Times New Roman"/>
          <w:sz w:val="26"/>
        </w:rPr>
        <w:t xml:space="preserve">1 </w:t>
      </w:r>
      <w:r>
        <w:rPr>
          <w:sz w:val="26"/>
        </w:rPr>
        <w:t xml:space="preserve">de FORMA IH SERIE "C" No.869199 el 1 1 de septiembre de 2024, según factura serie 5704DCO número de DTE 697716006... Sin embargo, es importante resaltar </w:t>
      </w:r>
      <w:r>
        <w:rPr>
          <w:rFonts w:ascii="Times New Roman" w:eastAsia="Times New Roman" w:hAnsi="Times New Roman" w:cs="Times New Roman"/>
          <w:sz w:val="26"/>
        </w:rPr>
        <w:t xml:space="preserve">1 </w:t>
      </w:r>
      <w:r>
        <w:rPr>
          <w:sz w:val="26"/>
        </w:rPr>
        <w:t xml:space="preserve">que es competencia de la Coordinación de Programas y Proyectos como la Jefatura de Estudios y Programación verificar que todos sus requerimientos de solicitudes de insumos, bienes o suministros, sean atendidos en el tiempo </w:t>
      </w:r>
      <w:r>
        <w:rPr>
          <w:rFonts w:ascii="Times New Roman" w:eastAsia="Times New Roman" w:hAnsi="Times New Roman" w:cs="Times New Roman"/>
          <w:sz w:val="26"/>
        </w:rPr>
        <w:t xml:space="preserve">1 </w:t>
      </w:r>
      <w:r>
        <w:rPr>
          <w:sz w:val="26"/>
        </w:rPr>
        <w:t xml:space="preserve">estipulado, así como el control de la entrega de los mismos, por la cual existe la segregación de funciones, por lo que entre mis atribuciones fue el brindar el apoyo necesario para el cumplimiento del mismo. por io que solicito respetuosamente se </w:t>
      </w:r>
      <w:r>
        <w:rPr>
          <w:rFonts w:ascii="Times New Roman" w:eastAsia="Times New Roman" w:hAnsi="Times New Roman" w:cs="Times New Roman"/>
          <w:sz w:val="26"/>
        </w:rPr>
        <w:t xml:space="preserve">1 </w:t>
      </w:r>
      <w:r>
        <w:rPr>
          <w:sz w:val="26"/>
        </w:rPr>
        <w:t xml:space="preserve">me desvincule del presente posible hallazgo. 7. Según fuente por medio de portal de GUATECOMPRAS el requerimiento No.2024-5645 por la compra de 1000 </w:t>
      </w:r>
      <w:r>
        <w:rPr>
          <w:rFonts w:ascii="Times New Roman" w:eastAsia="Times New Roman" w:hAnsi="Times New Roman" w:cs="Times New Roman"/>
          <w:sz w:val="26"/>
        </w:rPr>
        <w:t xml:space="preserve">1 </w:t>
      </w:r>
      <w:r>
        <w:rPr>
          <w:sz w:val="26"/>
        </w:rPr>
        <w:t>pachones, ingresaron a Almacén por medio de FORMA IH SERIE "C" No.869200 el 1 1 de septiembre de 2024, según factura serie FICD7D26 número de DTE 96161275 por un monto de Q13.50 la unidad por un total de Q13,500.OO...</w:t>
      </w:r>
    </w:p>
    <w:p w14:paraId="45ABE9DA" w14:textId="77777777" w:rsidR="00053D93" w:rsidRDefault="00260B75">
      <w:pPr>
        <w:spacing w:after="459" w:line="247" w:lineRule="auto"/>
        <w:ind w:left="130" w:right="14" w:firstLine="4"/>
        <w:jc w:val="both"/>
      </w:pPr>
      <w:r>
        <w:rPr>
          <w:rFonts w:ascii="Times New Roman" w:eastAsia="Times New Roman" w:hAnsi="Times New Roman" w:cs="Times New Roman"/>
          <w:sz w:val="26"/>
        </w:rPr>
        <w:t xml:space="preserve">1 </w:t>
      </w:r>
      <w:r>
        <w:rPr>
          <w:sz w:val="26"/>
        </w:rPr>
        <w:t xml:space="preserve">Derivado de lo anterior puedo recalcar que según la información descrita en la notificación se consigna en el numeral 36 que se encuentran en existencia la cantidad de 650 pachones por un monto de Q31 ,265.00, desconociendo si dichos </w:t>
      </w:r>
      <w:r>
        <w:rPr>
          <w:rFonts w:ascii="Times New Roman" w:eastAsia="Times New Roman" w:hAnsi="Times New Roman" w:cs="Times New Roman"/>
          <w:sz w:val="26"/>
        </w:rPr>
        <w:t xml:space="preserve">1 </w:t>
      </w:r>
      <w:r>
        <w:rPr>
          <w:sz w:val="26"/>
        </w:rPr>
        <w:t>pachones en existencia son de los solicitados o si existía algún saldo en resguardo en almacén puesto que no corresponden ni la cantidad de insumos ni el valor de</w:t>
      </w:r>
    </w:p>
    <w:tbl>
      <w:tblPr>
        <w:tblStyle w:val="TableGrid"/>
        <w:tblpPr w:vertAnchor="text" w:tblpX="2611" w:tblpY="33"/>
        <w:tblOverlap w:val="never"/>
        <w:tblW w:w="7570" w:type="dxa"/>
        <w:tblInd w:w="0" w:type="dxa"/>
        <w:tblCellMar>
          <w:top w:w="46" w:type="dxa"/>
          <w:left w:w="413" w:type="dxa"/>
          <w:right w:w="115" w:type="dxa"/>
        </w:tblCellMar>
        <w:tblLook w:val="04A0" w:firstRow="1" w:lastRow="0" w:firstColumn="1" w:lastColumn="0" w:noHBand="0" w:noVBand="1"/>
      </w:tblPr>
      <w:tblGrid>
        <w:gridCol w:w="7570"/>
      </w:tblGrid>
      <w:tr w:rsidR="00053D93" w14:paraId="3B25BECF" w14:textId="77777777">
        <w:trPr>
          <w:trHeight w:val="608"/>
        </w:trPr>
        <w:tc>
          <w:tcPr>
            <w:tcW w:w="7570" w:type="dxa"/>
            <w:tcBorders>
              <w:top w:val="single" w:sz="2" w:space="0" w:color="000000"/>
              <w:left w:val="single" w:sz="2" w:space="0" w:color="000000"/>
              <w:bottom w:val="nil"/>
              <w:right w:val="nil"/>
            </w:tcBorders>
          </w:tcPr>
          <w:p w14:paraId="6F3721A4" w14:textId="77777777" w:rsidR="00053D93" w:rsidRDefault="00260B75">
            <w:pPr>
              <w:ind w:left="2153"/>
            </w:pPr>
            <w:r>
              <w:rPr>
                <w:sz w:val="14"/>
              </w:rPr>
              <w:t>MINISTERIO DE EDUCACION</w:t>
            </w:r>
          </w:p>
          <w:p w14:paraId="31127B6D" w14:textId="77777777" w:rsidR="00053D93" w:rsidRDefault="00260B75">
            <w:pPr>
              <w:ind w:left="1656"/>
            </w:pPr>
            <w:r>
              <w:rPr>
                <w:noProof/>
              </w:rPr>
              <w:drawing>
                <wp:anchor distT="0" distB="0" distL="114300" distR="114300" simplePos="0" relativeHeight="252020736" behindDoc="0" locked="0" layoutInCell="1" allowOverlap="0" wp14:anchorId="24E17134" wp14:editId="77C08BAA">
                  <wp:simplePos x="0" y="0"/>
                  <wp:positionH relativeFrom="column">
                    <wp:posOffset>2447734</wp:posOffset>
                  </wp:positionH>
                  <wp:positionV relativeFrom="paragraph">
                    <wp:posOffset>61813</wp:posOffset>
                  </wp:positionV>
                  <wp:extent cx="1760220" cy="100584"/>
                  <wp:effectExtent l="0" t="0" r="0" b="0"/>
                  <wp:wrapSquare wrapText="bothSides"/>
                  <wp:docPr id="502379" name="Picture 502379"/>
                  <wp:cNvGraphicFramePr/>
                  <a:graphic xmlns:a="http://schemas.openxmlformats.org/drawingml/2006/main">
                    <a:graphicData uri="http://schemas.openxmlformats.org/drawingml/2006/picture">
                      <pic:pic xmlns:pic="http://schemas.openxmlformats.org/drawingml/2006/picture">
                        <pic:nvPicPr>
                          <pic:cNvPr id="502379" name="Picture 502379"/>
                          <pic:cNvPicPr/>
                        </pic:nvPicPr>
                        <pic:blipFill>
                          <a:blip r:embed="rId782"/>
                          <a:stretch>
                            <a:fillRect/>
                          </a:stretch>
                        </pic:blipFill>
                        <pic:spPr>
                          <a:xfrm>
                            <a:off x="0" y="0"/>
                            <a:ext cx="1760220" cy="100584"/>
                          </a:xfrm>
                          <a:prstGeom prst="rect">
                            <a:avLst/>
                          </a:prstGeom>
                        </pic:spPr>
                      </pic:pic>
                    </a:graphicData>
                  </a:graphic>
                </wp:anchor>
              </w:drawing>
            </w:r>
            <w:r>
              <w:rPr>
                <w:sz w:val="14"/>
              </w:rPr>
              <w:t>AUDITORIA FINANCIERA Y DE CUMPLIMIENTO</w:t>
            </w:r>
          </w:p>
          <w:p w14:paraId="2D15DF56" w14:textId="77777777" w:rsidR="00053D93" w:rsidRDefault="00260B75">
            <w:pPr>
              <w:tabs>
                <w:tab w:val="center" w:pos="2365"/>
              </w:tabs>
            </w:pPr>
            <w:r>
              <w:rPr>
                <w:noProof/>
              </w:rPr>
              <w:drawing>
                <wp:inline distT="0" distB="0" distL="0" distR="0" wp14:anchorId="30BAE64E" wp14:editId="0D220765">
                  <wp:extent cx="416052" cy="13716"/>
                  <wp:effectExtent l="0" t="0" r="0" b="0"/>
                  <wp:docPr id="502380" name="Picture 502380"/>
                  <wp:cNvGraphicFramePr/>
                  <a:graphic xmlns:a="http://schemas.openxmlformats.org/drawingml/2006/main">
                    <a:graphicData uri="http://schemas.openxmlformats.org/drawingml/2006/picture">
                      <pic:pic xmlns:pic="http://schemas.openxmlformats.org/drawingml/2006/picture">
                        <pic:nvPicPr>
                          <pic:cNvPr id="502380" name="Picture 502380"/>
                          <pic:cNvPicPr/>
                        </pic:nvPicPr>
                        <pic:blipFill>
                          <a:blip r:embed="rId783"/>
                          <a:stretch>
                            <a:fillRect/>
                          </a:stretch>
                        </pic:blipFill>
                        <pic:spPr>
                          <a:xfrm>
                            <a:off x="0" y="0"/>
                            <a:ext cx="416052" cy="13716"/>
                          </a:xfrm>
                          <a:prstGeom prst="rect">
                            <a:avLst/>
                          </a:prstGeom>
                        </pic:spPr>
                      </pic:pic>
                    </a:graphicData>
                  </a:graphic>
                </wp:inline>
              </w:drawing>
            </w:r>
            <w:r>
              <w:rPr>
                <w:sz w:val="18"/>
              </w:rPr>
              <w:tab/>
              <w:t>#ÉãIObo bÉLZíÕ&lt;ENãRO AL DÉ</w:t>
            </w:r>
          </w:p>
        </w:tc>
      </w:tr>
    </w:tbl>
    <w:p w14:paraId="3215D980" w14:textId="77777777" w:rsidR="00053D93" w:rsidRDefault="00260B75">
      <w:pPr>
        <w:spacing w:after="3" w:line="265" w:lineRule="auto"/>
        <w:ind w:left="75" w:right="6487" w:hanging="10"/>
      </w:pPr>
      <w:r>
        <w:rPr>
          <w:noProof/>
        </w:rPr>
        <w:drawing>
          <wp:inline distT="0" distB="0" distL="0" distR="0" wp14:anchorId="6D8264FC" wp14:editId="3E6919B3">
            <wp:extent cx="1545336" cy="406909"/>
            <wp:effectExtent l="0" t="0" r="0" b="0"/>
            <wp:docPr id="2458427" name="Picture 2458427"/>
            <wp:cNvGraphicFramePr/>
            <a:graphic xmlns:a="http://schemas.openxmlformats.org/drawingml/2006/main">
              <a:graphicData uri="http://schemas.openxmlformats.org/drawingml/2006/picture">
                <pic:pic xmlns:pic="http://schemas.openxmlformats.org/drawingml/2006/picture">
                  <pic:nvPicPr>
                    <pic:cNvPr id="2458427" name="Picture 2458427"/>
                    <pic:cNvPicPr/>
                  </pic:nvPicPr>
                  <pic:blipFill>
                    <a:blip r:embed="rId784"/>
                    <a:stretch>
                      <a:fillRect/>
                    </a:stretch>
                  </pic:blipFill>
                  <pic:spPr>
                    <a:xfrm>
                      <a:off x="0" y="0"/>
                      <a:ext cx="1545336" cy="406909"/>
                    </a:xfrm>
                    <a:prstGeom prst="rect">
                      <a:avLst/>
                    </a:prstGeom>
                  </pic:spPr>
                </pic:pic>
              </a:graphicData>
            </a:graphic>
          </wp:inline>
        </w:drawing>
      </w:r>
      <w:r>
        <w:rPr>
          <w:sz w:val="16"/>
        </w:rPr>
        <w:t>II</w:t>
      </w:r>
    </w:p>
    <w:p w14:paraId="0B45D639" w14:textId="77777777" w:rsidR="00053D93" w:rsidRDefault="00053D93">
      <w:pPr>
        <w:sectPr w:rsidR="00053D93">
          <w:type w:val="continuous"/>
          <w:pgSz w:w="12290" w:h="15883"/>
          <w:pgMar w:top="338" w:right="1822" w:bottom="893" w:left="295" w:header="720" w:footer="720" w:gutter="0"/>
          <w:cols w:space="720"/>
        </w:sectPr>
      </w:pPr>
    </w:p>
    <w:p w14:paraId="11381091" w14:textId="77777777" w:rsidR="00053D93" w:rsidRDefault="00260B75">
      <w:pPr>
        <w:spacing w:after="0"/>
        <w:ind w:left="104" w:hanging="10"/>
      </w:pPr>
      <w:r>
        <w:rPr>
          <w:rFonts w:ascii="Times New Roman" w:eastAsia="Times New Roman" w:hAnsi="Times New Roman" w:cs="Times New Roman"/>
          <w:sz w:val="82"/>
        </w:rPr>
        <w:lastRenderedPageBreak/>
        <w:t>1</w:t>
      </w:r>
    </w:p>
    <w:p w14:paraId="2EE04592" w14:textId="77777777" w:rsidR="00053D93" w:rsidRDefault="00260B75">
      <w:pPr>
        <w:spacing w:after="32"/>
        <w:ind w:left="1807" w:right="-454"/>
      </w:pPr>
      <w:r>
        <w:rPr>
          <w:noProof/>
        </w:rPr>
        <w:drawing>
          <wp:inline distT="0" distB="0" distL="0" distR="0" wp14:anchorId="610BAF22" wp14:editId="184A93A8">
            <wp:extent cx="5655563" cy="36576"/>
            <wp:effectExtent l="0" t="0" r="0" b="0"/>
            <wp:docPr id="2458429" name="Picture 2458429"/>
            <wp:cNvGraphicFramePr/>
            <a:graphic xmlns:a="http://schemas.openxmlformats.org/drawingml/2006/main">
              <a:graphicData uri="http://schemas.openxmlformats.org/drawingml/2006/picture">
                <pic:pic xmlns:pic="http://schemas.openxmlformats.org/drawingml/2006/picture">
                  <pic:nvPicPr>
                    <pic:cNvPr id="2458429" name="Picture 2458429"/>
                    <pic:cNvPicPr/>
                  </pic:nvPicPr>
                  <pic:blipFill>
                    <a:blip r:embed="rId785"/>
                    <a:stretch>
                      <a:fillRect/>
                    </a:stretch>
                  </pic:blipFill>
                  <pic:spPr>
                    <a:xfrm>
                      <a:off x="0" y="0"/>
                      <a:ext cx="5655563" cy="36576"/>
                    </a:xfrm>
                    <a:prstGeom prst="rect">
                      <a:avLst/>
                    </a:prstGeom>
                  </pic:spPr>
                </pic:pic>
              </a:graphicData>
            </a:graphic>
          </wp:inline>
        </w:drawing>
      </w:r>
    </w:p>
    <w:p w14:paraId="6CD9C309" w14:textId="77777777" w:rsidR="00053D93" w:rsidRDefault="00260B75">
      <w:pPr>
        <w:spacing w:after="223" w:line="247" w:lineRule="auto"/>
        <w:ind w:left="86" w:right="14" w:firstLine="4"/>
        <w:jc w:val="both"/>
      </w:pPr>
      <w:r>
        <w:rPr>
          <w:rFonts w:ascii="Times New Roman" w:eastAsia="Times New Roman" w:hAnsi="Times New Roman" w:cs="Times New Roman"/>
          <w:sz w:val="26"/>
        </w:rPr>
        <w:t xml:space="preserve">1 </w:t>
      </w:r>
      <w:r>
        <w:rPr>
          <w:sz w:val="26"/>
        </w:rPr>
        <w:t xml:space="preserve">los mismos, sin embargo no puedo tener acceso a la información por lo que se recomienda hacer las consultas al personal encargado del área a la que corresponde. Por Io que solicito respetuosamente se me desvincule del presente posible hallazgo. La función de la Subdirección General de Desarrollo Interinstitucional se limita a coordinar y apoyar las actividades que realizan cada </w:t>
      </w:r>
      <w:r>
        <w:rPr>
          <w:rFonts w:ascii="Times New Roman" w:eastAsia="Times New Roman" w:hAnsi="Times New Roman" w:cs="Times New Roman"/>
          <w:sz w:val="26"/>
        </w:rPr>
        <w:t xml:space="preserve">1 </w:t>
      </w:r>
      <w:r>
        <w:rPr>
          <w:sz w:val="26"/>
        </w:rPr>
        <w:t xml:space="preserve">una de las Coordinaciones que se encuentran bajo mi jerarquía, conforme a lo que establece el Manual de Funciones, Organización y Puestos de [a Dirección General de Educación Física, MAS NO para asumir la responsabilidad en el que </w:t>
      </w:r>
      <w:r>
        <w:rPr>
          <w:rFonts w:ascii="Times New Roman" w:eastAsia="Times New Roman" w:hAnsi="Times New Roman" w:cs="Times New Roman"/>
          <w:sz w:val="26"/>
        </w:rPr>
        <w:t xml:space="preserve">1 </w:t>
      </w:r>
      <w:r>
        <w:rPr>
          <w:sz w:val="26"/>
        </w:rPr>
        <w:t xml:space="preserve">hacer de cada uno de los Jefes de las Coordinaciones que se encontraban a cargo de la Subdirección de Desarrollo Interinstitucional. Sino proporcionarles el apoyo pertinente que sea requerido para el cumplimiento de sus funciones y atribuciones </w:t>
      </w:r>
      <w:r>
        <w:rPr>
          <w:rFonts w:ascii="Times New Roman" w:eastAsia="Times New Roman" w:hAnsi="Times New Roman" w:cs="Times New Roman"/>
          <w:sz w:val="26"/>
        </w:rPr>
        <w:t xml:space="preserve">1 </w:t>
      </w:r>
      <w:r>
        <w:rPr>
          <w:sz w:val="26"/>
        </w:rPr>
        <w:t>que le son inherentes, de acuerdo a la segregación de funciones y responsabilidades que a cada uno le compete... "</w:t>
      </w:r>
    </w:p>
    <w:p w14:paraId="791C17AB" w14:textId="77777777" w:rsidR="00053D93" w:rsidRDefault="00260B75">
      <w:pPr>
        <w:spacing w:after="3"/>
        <w:ind w:left="74" w:right="3485" w:hanging="10"/>
      </w:pPr>
      <w:r>
        <w:rPr>
          <w:rFonts w:ascii="Times New Roman" w:eastAsia="Times New Roman" w:hAnsi="Times New Roman" w:cs="Times New Roman"/>
          <w:sz w:val="70"/>
        </w:rPr>
        <w:t>1</w:t>
      </w:r>
    </w:p>
    <w:tbl>
      <w:tblPr>
        <w:tblStyle w:val="TableGrid"/>
        <w:tblpPr w:vertAnchor="page" w:horzAnchor="page" w:tblpX="2856" w:tblpY="14486"/>
        <w:tblOverlap w:val="never"/>
        <w:tblW w:w="7620" w:type="dxa"/>
        <w:tblInd w:w="0" w:type="dxa"/>
        <w:tblCellMar>
          <w:top w:w="22" w:type="dxa"/>
          <w:left w:w="1738" w:type="dxa"/>
          <w:right w:w="115" w:type="dxa"/>
        </w:tblCellMar>
        <w:tblLook w:val="04A0" w:firstRow="1" w:lastRow="0" w:firstColumn="1" w:lastColumn="0" w:noHBand="0" w:noVBand="1"/>
      </w:tblPr>
      <w:tblGrid>
        <w:gridCol w:w="7620"/>
      </w:tblGrid>
      <w:tr w:rsidR="00053D93" w14:paraId="2EFC0725" w14:textId="77777777">
        <w:trPr>
          <w:trHeight w:val="58"/>
        </w:trPr>
        <w:tc>
          <w:tcPr>
            <w:tcW w:w="7620" w:type="dxa"/>
            <w:tcBorders>
              <w:top w:val="nil"/>
              <w:left w:val="single" w:sz="2" w:space="0" w:color="000000"/>
              <w:bottom w:val="single" w:sz="2" w:space="0" w:color="000000"/>
              <w:right w:val="nil"/>
            </w:tcBorders>
          </w:tcPr>
          <w:p w14:paraId="45C4EE70" w14:textId="77777777" w:rsidR="00053D93" w:rsidRDefault="00053D93"/>
        </w:tc>
      </w:tr>
      <w:tr w:rsidR="00053D93" w14:paraId="649F784E" w14:textId="77777777">
        <w:trPr>
          <w:trHeight w:val="576"/>
        </w:trPr>
        <w:tc>
          <w:tcPr>
            <w:tcW w:w="7620" w:type="dxa"/>
            <w:tcBorders>
              <w:top w:val="single" w:sz="2" w:space="0" w:color="000000"/>
              <w:left w:val="single" w:sz="2" w:space="0" w:color="000000"/>
              <w:bottom w:val="nil"/>
              <w:right w:val="nil"/>
            </w:tcBorders>
          </w:tcPr>
          <w:p w14:paraId="15AAE2B9" w14:textId="77777777" w:rsidR="00053D93" w:rsidRDefault="00260B75">
            <w:pPr>
              <w:ind w:left="835"/>
            </w:pPr>
            <w:r>
              <w:rPr>
                <w:sz w:val="14"/>
              </w:rPr>
              <w:lastRenderedPageBreak/>
              <w:t>MINISTERIO DE EDUCACION</w:t>
            </w:r>
          </w:p>
          <w:p w14:paraId="57C8833C" w14:textId="77777777" w:rsidR="00053D93" w:rsidRDefault="00260B75">
            <w:pPr>
              <w:ind w:left="338"/>
            </w:pPr>
            <w:r>
              <w:rPr>
                <w:sz w:val="14"/>
              </w:rPr>
              <w:t>AUDITORIA FINANCIERA Y DE CUMPLIMIENTO</w:t>
            </w:r>
          </w:p>
          <w:p w14:paraId="425F7F32" w14:textId="77777777" w:rsidR="00053D93" w:rsidRDefault="00260B75">
            <w:r>
              <w:rPr>
                <w:sz w:val="14"/>
              </w:rPr>
              <w:t>PERÍODO DEL 01 DE ENERO AL 31 DE DICIEMBRE DE 2024</w:t>
            </w:r>
          </w:p>
        </w:tc>
      </w:tr>
    </w:tbl>
    <w:p w14:paraId="54D72BB1" w14:textId="77777777" w:rsidR="00053D93" w:rsidRDefault="00260B75">
      <w:pPr>
        <w:spacing w:after="17" w:line="247" w:lineRule="auto"/>
        <w:ind w:left="14" w:right="14" w:firstLine="1764"/>
        <w:jc w:val="both"/>
      </w:pPr>
      <w:r>
        <w:rPr>
          <w:noProof/>
        </w:rPr>
        <w:drawing>
          <wp:anchor distT="0" distB="0" distL="114300" distR="114300" simplePos="0" relativeHeight="252021760" behindDoc="0" locked="0" layoutInCell="1" allowOverlap="0" wp14:anchorId="000F4184" wp14:editId="6451223E">
            <wp:simplePos x="0" y="0"/>
            <wp:positionH relativeFrom="page">
              <wp:posOffset>667512</wp:posOffset>
            </wp:positionH>
            <wp:positionV relativeFrom="page">
              <wp:posOffset>9194292</wp:posOffset>
            </wp:positionV>
            <wp:extent cx="1124712" cy="406909"/>
            <wp:effectExtent l="0" t="0" r="0" b="0"/>
            <wp:wrapTopAndBottom/>
            <wp:docPr id="506663" name="Picture 506663"/>
            <wp:cNvGraphicFramePr/>
            <a:graphic xmlns:a="http://schemas.openxmlformats.org/drawingml/2006/main">
              <a:graphicData uri="http://schemas.openxmlformats.org/drawingml/2006/picture">
                <pic:pic xmlns:pic="http://schemas.openxmlformats.org/drawingml/2006/picture">
                  <pic:nvPicPr>
                    <pic:cNvPr id="506663" name="Picture 506663"/>
                    <pic:cNvPicPr/>
                  </pic:nvPicPr>
                  <pic:blipFill>
                    <a:blip r:embed="rId786"/>
                    <a:stretch>
                      <a:fillRect/>
                    </a:stretch>
                  </pic:blipFill>
                  <pic:spPr>
                    <a:xfrm>
                      <a:off x="0" y="0"/>
                      <a:ext cx="1124712" cy="406909"/>
                    </a:xfrm>
                    <a:prstGeom prst="rect">
                      <a:avLst/>
                    </a:prstGeom>
                  </pic:spPr>
                </pic:pic>
              </a:graphicData>
            </a:graphic>
          </wp:anchor>
        </w:drawing>
      </w:r>
      <w:r>
        <w:rPr>
          <w:sz w:val="26"/>
        </w:rPr>
        <w:t xml:space="preserve">En nota s/n, del 19 de abril de 2025, el arquitecto Julio José Yanes Moreno, quien fungió como Coordinador de Infraestructura, por el período comprendido del 1 de </w:t>
      </w:r>
      <w:r>
        <w:rPr>
          <w:rFonts w:ascii="Times New Roman" w:eastAsia="Times New Roman" w:hAnsi="Times New Roman" w:cs="Times New Roman"/>
          <w:sz w:val="26"/>
        </w:rPr>
        <w:t xml:space="preserve">1 </w:t>
      </w:r>
      <w:r>
        <w:rPr>
          <w:sz w:val="26"/>
        </w:rPr>
        <w:t xml:space="preserve">enero de 2024 al 29 de noviembre de 2024, manifiesta: "...Con relación al requerimiento No. 2024-7961 que es sobre la pintura tipo tráfico lata 1 galón varios colores, la fecha de solicitud fue realizada el 08 de abril de 2024 dejando 5 meses </w:t>
      </w:r>
      <w:r>
        <w:rPr>
          <w:rFonts w:ascii="Times New Roman" w:eastAsia="Times New Roman" w:hAnsi="Times New Roman" w:cs="Times New Roman"/>
          <w:sz w:val="26"/>
        </w:rPr>
        <w:t xml:space="preserve">1 </w:t>
      </w:r>
      <w:r>
        <w:rPr>
          <w:sz w:val="26"/>
        </w:rPr>
        <w:t xml:space="preserve">aproximadamente para realizar las gestiones correspondientes para el evento de licitación que se llevó a cabo, sin embargo, las gestiones administrativas se inician </w:t>
      </w:r>
      <w:r>
        <w:rPr>
          <w:rFonts w:ascii="Times New Roman" w:eastAsia="Times New Roman" w:hAnsi="Times New Roman" w:cs="Times New Roman"/>
          <w:sz w:val="26"/>
        </w:rPr>
        <w:t xml:space="preserve">1 </w:t>
      </w:r>
      <w:r>
        <w:rPr>
          <w:sz w:val="26"/>
        </w:rPr>
        <w:t xml:space="preserve">con mucho más tiempo de anticipación, solicitando firmas correspondientes al Director, como se puede evidenciar en el Oficio Infraestructura-No.66-2024 de fecha 15 de febrero de 2024, La Coordinación de Infraestructura Deportiva Escolar es la encargada de ingresar el expediente pero no tiene injerencia en todo el proceso... Es importante mencionar que, las gestiones administrativas para el evento de licitación no están a cargo de la Coordinación de Infraestructura </w:t>
      </w:r>
      <w:r>
        <w:rPr>
          <w:rFonts w:ascii="Times New Roman" w:eastAsia="Times New Roman" w:hAnsi="Times New Roman" w:cs="Times New Roman"/>
          <w:sz w:val="26"/>
        </w:rPr>
        <w:t xml:space="preserve">1 </w:t>
      </w:r>
      <w:r>
        <w:rPr>
          <w:sz w:val="26"/>
        </w:rPr>
        <w:t xml:space="preserve">Deportiva Escolar, ya que la Coordinación solo es ta encargada de ingresar el expediente, por Io que en ese momento no se tiene injerencia del tiempo que </w:t>
      </w:r>
      <w:r>
        <w:rPr>
          <w:noProof/>
        </w:rPr>
        <w:drawing>
          <wp:inline distT="0" distB="0" distL="0" distR="0" wp14:anchorId="179B94B2" wp14:editId="46A42E8E">
            <wp:extent cx="9144" cy="9144"/>
            <wp:effectExtent l="0" t="0" r="0" b="0"/>
            <wp:docPr id="506616" name="Picture 506616"/>
            <wp:cNvGraphicFramePr/>
            <a:graphic xmlns:a="http://schemas.openxmlformats.org/drawingml/2006/main">
              <a:graphicData uri="http://schemas.openxmlformats.org/drawingml/2006/picture">
                <pic:pic xmlns:pic="http://schemas.openxmlformats.org/drawingml/2006/picture">
                  <pic:nvPicPr>
                    <pic:cNvPr id="506616" name="Picture 506616"/>
                    <pic:cNvPicPr/>
                  </pic:nvPicPr>
                  <pic:blipFill>
                    <a:blip r:embed="rId117"/>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puede durar el evento, ya que, la Dirección de Adquisiciones y Contrataciones -DIDECO- del Ministerio de Educación junto con el departamento de Compras de la DIGEF y las Autoridades son las encargadas de llevar las fases del evento ingresado. Sin embargo, como Coordinador de Infraestructura Deportiva Escolar, sí estuve monitoreando en el portal de GUATECOMPRAS como iba el proceso del </w:t>
      </w:r>
      <w:r>
        <w:rPr>
          <w:noProof/>
        </w:rPr>
        <w:drawing>
          <wp:inline distT="0" distB="0" distL="0" distR="0" wp14:anchorId="239AD8C7" wp14:editId="067AFFF2">
            <wp:extent cx="18288" cy="9144"/>
            <wp:effectExtent l="0" t="0" r="0" b="0"/>
            <wp:docPr id="506617" name="Picture 506617"/>
            <wp:cNvGraphicFramePr/>
            <a:graphic xmlns:a="http://schemas.openxmlformats.org/drawingml/2006/main">
              <a:graphicData uri="http://schemas.openxmlformats.org/drawingml/2006/picture">
                <pic:pic xmlns:pic="http://schemas.openxmlformats.org/drawingml/2006/picture">
                  <pic:nvPicPr>
                    <pic:cNvPr id="506617" name="Picture 506617"/>
                    <pic:cNvPicPr/>
                  </pic:nvPicPr>
                  <pic:blipFill>
                    <a:blip r:embed="rId787"/>
                    <a:stretch>
                      <a:fillRect/>
                    </a:stretch>
                  </pic:blipFill>
                  <pic:spPr>
                    <a:xfrm>
                      <a:off x="0" y="0"/>
                      <a:ext cx="18288" cy="9144"/>
                    </a:xfrm>
                    <a:prstGeom prst="rect">
                      <a:avLst/>
                    </a:prstGeom>
                  </pic:spPr>
                </pic:pic>
              </a:graphicData>
            </a:graphic>
          </wp:inline>
        </w:drawing>
      </w:r>
      <w:r>
        <w:rPr>
          <w:sz w:val="26"/>
        </w:rPr>
        <w:t xml:space="preserve"> evento. El Coordinador de Infraestructura Deportiva Escolar tiene dentro de sus </w:t>
      </w:r>
      <w:r>
        <w:rPr>
          <w:rFonts w:ascii="Times New Roman" w:eastAsia="Times New Roman" w:hAnsi="Times New Roman" w:cs="Times New Roman"/>
          <w:sz w:val="26"/>
        </w:rPr>
        <w:t xml:space="preserve">1 </w:t>
      </w:r>
      <w:r>
        <w:rPr>
          <w:sz w:val="26"/>
        </w:rPr>
        <w:t xml:space="preserve">funciones planificar las acciones en su ámbito de trabajo, por lo que, en su momento, se contaba con toda la planificación y logística para que el proceso de </w:t>
      </w:r>
      <w:r>
        <w:rPr>
          <w:rFonts w:ascii="Times New Roman" w:eastAsia="Times New Roman" w:hAnsi="Times New Roman" w:cs="Times New Roman"/>
          <w:sz w:val="26"/>
        </w:rPr>
        <w:t xml:space="preserve">1 </w:t>
      </w:r>
      <w:r>
        <w:rPr>
          <w:sz w:val="26"/>
        </w:rPr>
        <w:t xml:space="preserve">la entrega de pintura se llevara a cabo de la mejor forma posible, como se detalla a continuación: Mediante el Oficio Infraestructura-No.392-2024 de fecha 28 de octubre de 2024, se informó que la pintura esta próxima a ingresar, y, así mismo, </w:t>
      </w:r>
      <w:r>
        <w:rPr>
          <w:rFonts w:ascii="Times New Roman" w:eastAsia="Times New Roman" w:hAnsi="Times New Roman" w:cs="Times New Roman"/>
          <w:sz w:val="26"/>
        </w:rPr>
        <w:t xml:space="preserve">1 </w:t>
      </w:r>
      <w:r>
        <w:rPr>
          <w:sz w:val="26"/>
        </w:rPr>
        <w:t>se solicitó el apoyo a la Jefa de Servicios Generales, la Licenciada Leslie Ivannia Medina de León, a fin de proporcionar el transporte para la entrega de pintura, dicho oficio contó con el aval del Subdirector General Administrativo a.i. Dr. Mario</w:t>
      </w:r>
    </w:p>
    <w:p w14:paraId="5DB3F998" w14:textId="77777777" w:rsidR="00053D93" w:rsidRDefault="00260B75">
      <w:pPr>
        <w:spacing w:after="122" w:line="265" w:lineRule="auto"/>
        <w:ind w:left="10" w:right="1174" w:hanging="10"/>
        <w:jc w:val="right"/>
      </w:pPr>
      <w:r>
        <w:rPr>
          <w:sz w:val="16"/>
        </w:rPr>
        <w:t xml:space="preserve">aUCAClÓN. </w:t>
      </w:r>
    </w:p>
    <w:p w14:paraId="5C7B2352" w14:textId="77777777" w:rsidR="00053D93" w:rsidRDefault="00260B75">
      <w:pPr>
        <w:spacing w:after="30"/>
        <w:ind w:left="1721"/>
      </w:pPr>
      <w:r>
        <w:rPr>
          <w:noProof/>
        </w:rPr>
        <mc:AlternateContent>
          <mc:Choice Requires="wpg">
            <w:drawing>
              <wp:inline distT="0" distB="0" distL="0" distR="0" wp14:anchorId="37B99C7D" wp14:editId="66B53C60">
                <wp:extent cx="5413248" cy="13716"/>
                <wp:effectExtent l="0" t="0" r="0" b="0"/>
                <wp:docPr id="2458432" name="Group 2458432"/>
                <wp:cNvGraphicFramePr/>
                <a:graphic xmlns:a="http://schemas.openxmlformats.org/drawingml/2006/main">
                  <a:graphicData uri="http://schemas.microsoft.com/office/word/2010/wordprocessingGroup">
                    <wpg:wgp>
                      <wpg:cNvGrpSpPr/>
                      <wpg:grpSpPr>
                        <a:xfrm>
                          <a:off x="0" y="0"/>
                          <a:ext cx="5413248" cy="13716"/>
                          <a:chOff x="0" y="0"/>
                          <a:chExt cx="5413248" cy="13716"/>
                        </a:xfrm>
                      </wpg:grpSpPr>
                      <wps:wsp>
                        <wps:cNvPr id="2458431" name="Shape 2458431"/>
                        <wps:cNvSpPr/>
                        <wps:spPr>
                          <a:xfrm>
                            <a:off x="0" y="0"/>
                            <a:ext cx="5413248" cy="13716"/>
                          </a:xfrm>
                          <a:custGeom>
                            <a:avLst/>
                            <a:gdLst/>
                            <a:ahLst/>
                            <a:cxnLst/>
                            <a:rect l="0" t="0" r="0" b="0"/>
                            <a:pathLst>
                              <a:path w="5413248" h="13716">
                                <a:moveTo>
                                  <a:pt x="0" y="6858"/>
                                </a:moveTo>
                                <a:lnTo>
                                  <a:pt x="541324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32" style="width:426.24pt;height:1.08pt;mso-position-horizontal-relative:char;mso-position-vertical-relative:line" coordsize="54132,137">
                <v:shape id="Shape 2458431" style="position:absolute;width:54132;height:137;left:0;top:0;" coordsize="5413248,13716" path="m0,6858l5413248,6858">
                  <v:stroke weight="1.08pt" endcap="flat" joinstyle="miter" miterlimit="1" on="true" color="#000000"/>
                  <v:fill on="false" color="#000000"/>
                </v:shape>
              </v:group>
            </w:pict>
          </mc:Fallback>
        </mc:AlternateContent>
      </w:r>
    </w:p>
    <w:p w14:paraId="7B06D83A" w14:textId="77777777" w:rsidR="00053D93" w:rsidRDefault="00260B75">
      <w:pPr>
        <w:spacing w:after="4" w:line="267" w:lineRule="auto"/>
        <w:ind w:left="619" w:right="21" w:hanging="605"/>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Alfredo Cerna Yanes quien incluyó la observación de "Analizar disponibilidad de la solicitud y apoyar si es factible"... Mediante el Oficio Infraestructura-No.430-2024 de fecha 20 de noviembre de 2024, se solicitó el apoyo al Coordinador Curricular para que por medio de los Orientadores Metodológicos se convocaran a los directores de los establecimientos y se pudiera realizar la entrega de la pintura y otros insumos... También es importante mencionar que, la Coordinación de Infraestructura Deportiva Escolar debe contar con los permisos correspondientes de las Autoridades de DIGEF, para la entrega de cualquier insumo a los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establecimientos educativos oficiales, por lo que, mediante el Oficio</w:t>
      </w:r>
    </w:p>
    <w:p w14:paraId="50A2284C" w14:textId="77777777" w:rsidR="00053D93" w:rsidRDefault="00260B75">
      <w:pPr>
        <w:spacing w:after="308" w:line="267" w:lineRule="auto"/>
        <w:ind w:left="18" w:right="21" w:hanging="4"/>
        <w:jc w:val="right"/>
      </w:pPr>
      <w:r>
        <w:rPr>
          <w:sz w:val="26"/>
        </w:rPr>
        <w:t xml:space="preserve">Infraestructura-No.423-2024 de fecha 13 de noviembre de 2024, se le informó al Director General en Funciones M.Sc. Edgar Estuardo Rodríguez López, que la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pintura estaba próxima a ingresar y se adjuntó un programa preliminar de entrega, dejando pendientes las </w:t>
      </w:r>
      <w:r>
        <w:rPr>
          <w:sz w:val="26"/>
        </w:rPr>
        <w:lastRenderedPageBreak/>
        <w:t xml:space="preserve">fechas de distribución, ya que en ese momento la pintura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todavía no había ingresado al Almacén... Por lo anteriormente expuesto, manifiesto que la planificación para la entrega del producto de pintura siempre estuvo presente cuando tenía el cargo de Coordinador de Infraestructura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Deportiva Escolar. Con respecto a la recepción del producto, se aclara lo siguiente: Mediante Acta Administrativa No. 106-2024 del día 26 de noviembre de 2024, la Comisión Receptora y Liquidadora del contrato administrativo No.</w:t>
      </w:r>
    </w:p>
    <w:p w14:paraId="77F0D5EE" w14:textId="77777777" w:rsidR="00053D93" w:rsidRDefault="00260B75">
      <w:pPr>
        <w:spacing w:after="190" w:line="267" w:lineRule="auto"/>
        <w:ind w:left="673" w:right="21" w:hanging="594"/>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54-2024-DIGEF-L, dio recepción formal al producto antes descrito... El ingreso de la pintura también fue consignado mediante IH constancia de ingresos a almacén y a inventario con Correlativo CCC No. 0134 de fecha 2711 1/2024, así como su respectiva factura con serie 4526B2E2 número 1792557602 de fecha 26/1 1/2024... También es oportuno la mención de los Oficios CRyL 02-2024 de</w:t>
      </w:r>
    </w:p>
    <w:p w14:paraId="6D4C01FF" w14:textId="77777777" w:rsidR="00053D93" w:rsidRDefault="00260B75">
      <w:pPr>
        <w:spacing w:after="4" w:line="267" w:lineRule="auto"/>
        <w:ind w:left="125" w:right="21" w:hanging="111"/>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fecha 3 de diciembre de 2024 y CRyL 03-2024 de fecha 3 de diciembre, de la Comisión Receptora y Liquidadora del contrato administrativo No. 54-2024-DIGEF-L, trasladó el Acta de Recepción y el Acta de Liquidación de dicho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evento al Director General en Funciones M.Sc. Edgar Estuardo Rodríguez... Cabe resaltar que la pintura ingresó a Almacén el 26 de noviembre de 2024, según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consta en el Acta Administrativa No. 106-2024, la factura con serie 4526B2E2 número 1792557602 y IH constancia de ingresos a almacén y a inventario con Correlativo CGC No. 0134; y, la notificación de la remoción del cargo de mi persona como Coordinador de Infraestructura Deportiva Escolar fue el 29 de noviembre de 2024, mediante Cédula de Notificación que contenía el Acuerdo </w:t>
      </w:r>
      <w:r>
        <w:rPr>
          <w:noProof/>
        </w:rPr>
        <w:drawing>
          <wp:inline distT="0" distB="0" distL="0" distR="0" wp14:anchorId="51DA2E54" wp14:editId="3A30253B">
            <wp:extent cx="18288" cy="18287"/>
            <wp:effectExtent l="0" t="0" r="0" b="0"/>
            <wp:docPr id="510928" name="Picture 510928"/>
            <wp:cNvGraphicFramePr/>
            <a:graphic xmlns:a="http://schemas.openxmlformats.org/drawingml/2006/main">
              <a:graphicData uri="http://schemas.openxmlformats.org/drawingml/2006/picture">
                <pic:pic xmlns:pic="http://schemas.openxmlformats.org/drawingml/2006/picture">
                  <pic:nvPicPr>
                    <pic:cNvPr id="510928" name="Picture 510928"/>
                    <pic:cNvPicPr/>
                  </pic:nvPicPr>
                  <pic:blipFill>
                    <a:blip r:embed="rId788"/>
                    <a:stretch>
                      <a:fillRect/>
                    </a:stretch>
                  </pic:blipFill>
                  <pic:spPr>
                    <a:xfrm>
                      <a:off x="0" y="0"/>
                      <a:ext cx="18288" cy="18287"/>
                    </a:xfrm>
                    <a:prstGeom prst="rect">
                      <a:avLst/>
                    </a:prstGeom>
                  </pic:spPr>
                </pic:pic>
              </a:graphicData>
            </a:graphic>
          </wp:inline>
        </w:drawing>
      </w:r>
      <w:r>
        <w:rPr>
          <w:sz w:val="26"/>
        </w:rPr>
        <w:tab/>
        <w:t xml:space="preserve">Ministerial No. DIREH-6370-2024 de fecha 27 de noviembre de 2024, por lo tanto,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fue imposible entregar la pintura del evento antes mencionado... W[pe Color</w:t>
      </w:r>
    </w:p>
    <w:p w14:paraId="17F57B44" w14:textId="77777777" w:rsidR="00053D93" w:rsidRDefault="00260B75">
      <w:pPr>
        <w:spacing w:after="4" w:line="267" w:lineRule="auto"/>
        <w:ind w:left="170" w:right="21" w:hanging="4"/>
        <w:jc w:val="right"/>
      </w:pPr>
      <w:r>
        <w:rPr>
          <w:sz w:val="26"/>
        </w:rPr>
        <w:t xml:space="preserve">Blanco Tipo Bola 1 Libra Con relación al Wipe color blanco tipo bola 1 libra, el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requerimiento se generó el 12 de noviembre de 2024, con fecha de utilización el 29 de noviembre de 2024, tiempo suficiente para realizar las gestiones administrativas correspondientes que están a cargo del departamento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compras... requerimiento 2024-8083, 2 folios. En este caso se repite lo sucedido, la planificación de la compra se realizó de forma correcta, así como la planificación de su distribución,</w:t>
      </w:r>
      <w:r>
        <w:rPr>
          <w:sz w:val="26"/>
        </w:rPr>
        <w:tab/>
        <w:t>como se puede constatar en el Oficio</w:t>
      </w:r>
    </w:p>
    <w:p w14:paraId="3F869B45" w14:textId="77777777" w:rsidR="00053D93" w:rsidRDefault="00053D93">
      <w:pPr>
        <w:sectPr w:rsidR="00053D93">
          <w:headerReference w:type="even" r:id="rId789"/>
          <w:headerReference w:type="default" r:id="rId790"/>
          <w:footerReference w:type="even" r:id="rId791"/>
          <w:footerReference w:type="default" r:id="rId792"/>
          <w:headerReference w:type="first" r:id="rId793"/>
          <w:footerReference w:type="first" r:id="rId794"/>
          <w:pgSz w:w="12290" w:h="15883"/>
          <w:pgMar w:top="432" w:right="1757" w:bottom="821" w:left="266" w:header="482" w:footer="720" w:gutter="0"/>
          <w:cols w:space="720"/>
          <w:titlePg/>
        </w:sectPr>
      </w:pPr>
    </w:p>
    <w:tbl>
      <w:tblPr>
        <w:tblStyle w:val="TableGrid"/>
        <w:tblpPr w:vertAnchor="text" w:tblpX="2563" w:tblpY="33"/>
        <w:tblOverlap w:val="never"/>
        <w:tblW w:w="7646" w:type="dxa"/>
        <w:tblInd w:w="0" w:type="dxa"/>
        <w:tblCellMar>
          <w:top w:w="46" w:type="dxa"/>
          <w:left w:w="1757" w:type="dxa"/>
          <w:right w:w="115" w:type="dxa"/>
        </w:tblCellMar>
        <w:tblLook w:val="04A0" w:firstRow="1" w:lastRow="0" w:firstColumn="1" w:lastColumn="0" w:noHBand="0" w:noVBand="1"/>
      </w:tblPr>
      <w:tblGrid>
        <w:gridCol w:w="7646"/>
      </w:tblGrid>
      <w:tr w:rsidR="00053D93" w14:paraId="3B04D51B" w14:textId="77777777">
        <w:trPr>
          <w:trHeight w:val="600"/>
        </w:trPr>
        <w:tc>
          <w:tcPr>
            <w:tcW w:w="7646" w:type="dxa"/>
            <w:tcBorders>
              <w:top w:val="single" w:sz="2" w:space="0" w:color="000000"/>
              <w:left w:val="single" w:sz="2" w:space="0" w:color="000000"/>
              <w:bottom w:val="nil"/>
              <w:right w:val="nil"/>
            </w:tcBorders>
          </w:tcPr>
          <w:p w14:paraId="29FF8F6B" w14:textId="77777777" w:rsidR="00053D93" w:rsidRDefault="00260B75">
            <w:pPr>
              <w:spacing w:after="28"/>
              <w:ind w:left="835"/>
            </w:pPr>
            <w:r>
              <w:rPr>
                <w:sz w:val="14"/>
              </w:rPr>
              <w:t>MINISTERIO DE EDUCACION</w:t>
            </w:r>
          </w:p>
          <w:p w14:paraId="4C2DBE2F" w14:textId="77777777" w:rsidR="00053D93" w:rsidRDefault="00260B75">
            <w:pPr>
              <w:ind w:left="338"/>
            </w:pPr>
            <w:r>
              <w:rPr>
                <w:sz w:val="14"/>
              </w:rPr>
              <w:t>AUDITORÍA FINANCIERA Y DE CUMPLIMIENTO</w:t>
            </w:r>
          </w:p>
          <w:p w14:paraId="11E5E167" w14:textId="77777777" w:rsidR="00053D93" w:rsidRDefault="00260B75">
            <w:r>
              <w:rPr>
                <w:sz w:val="14"/>
              </w:rPr>
              <w:t>PERIODO DEL 01 DE ENERO AL 31 OE DICIEMBRE DE 2024</w:t>
            </w:r>
          </w:p>
        </w:tc>
      </w:tr>
    </w:tbl>
    <w:p w14:paraId="4370387C" w14:textId="77777777" w:rsidR="00053D93" w:rsidRDefault="00260B75">
      <w:pPr>
        <w:pStyle w:val="Ttulo2"/>
        <w:spacing w:after="0"/>
        <w:ind w:left="763" w:right="0" w:firstLine="0"/>
      </w:pPr>
      <w:r>
        <w:rPr>
          <w:rFonts w:ascii="Times New Roman" w:eastAsia="Times New Roman" w:hAnsi="Times New Roman" w:cs="Times New Roman"/>
          <w:sz w:val="20"/>
        </w:rPr>
        <w:t xml:space="preserve">III </w:t>
      </w:r>
      <w:r>
        <w:rPr>
          <w:noProof/>
        </w:rPr>
        <w:drawing>
          <wp:inline distT="0" distB="0" distL="0" distR="0" wp14:anchorId="641124AB" wp14:editId="00B8A4F8">
            <wp:extent cx="873252" cy="406908"/>
            <wp:effectExtent l="0" t="0" r="0" b="0"/>
            <wp:docPr id="511009" name="Picture 511009"/>
            <wp:cNvGraphicFramePr/>
            <a:graphic xmlns:a="http://schemas.openxmlformats.org/drawingml/2006/main">
              <a:graphicData uri="http://schemas.openxmlformats.org/drawingml/2006/picture">
                <pic:pic xmlns:pic="http://schemas.openxmlformats.org/drawingml/2006/picture">
                  <pic:nvPicPr>
                    <pic:cNvPr id="511009" name="Picture 511009"/>
                    <pic:cNvPicPr/>
                  </pic:nvPicPr>
                  <pic:blipFill>
                    <a:blip r:embed="rId795"/>
                    <a:stretch>
                      <a:fillRect/>
                    </a:stretch>
                  </pic:blipFill>
                  <pic:spPr>
                    <a:xfrm>
                      <a:off x="0" y="0"/>
                      <a:ext cx="873252" cy="406908"/>
                    </a:xfrm>
                    <a:prstGeom prst="rect">
                      <a:avLst/>
                    </a:prstGeom>
                  </pic:spPr>
                </pic:pic>
              </a:graphicData>
            </a:graphic>
          </wp:inline>
        </w:drawing>
      </w:r>
      <w:r>
        <w:rPr>
          <w:rFonts w:ascii="Times New Roman" w:eastAsia="Times New Roman" w:hAnsi="Times New Roman" w:cs="Times New Roman"/>
          <w:sz w:val="20"/>
        </w:rPr>
        <w:t xml:space="preserve"> I</w:t>
      </w:r>
    </w:p>
    <w:p w14:paraId="4333D86B" w14:textId="77777777" w:rsidR="00053D93" w:rsidRDefault="00260B75">
      <w:pPr>
        <w:tabs>
          <w:tab w:val="right" w:pos="10174"/>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Infraestructura-No.423-2024 de fecha 13 de noviembre de 2024 y Oficio</w:t>
      </w:r>
    </w:p>
    <w:p w14:paraId="370265E0" w14:textId="77777777" w:rsidR="00053D93" w:rsidRDefault="00260B75">
      <w:pPr>
        <w:spacing w:after="17" w:line="247" w:lineRule="auto"/>
        <w:ind w:left="14" w:right="14" w:firstLine="1692"/>
        <w:jc w:val="both"/>
      </w:pPr>
      <w:r>
        <w:rPr>
          <w:sz w:val="26"/>
        </w:rPr>
        <w:t xml:space="preserve">Infraestructura-No.430-2024 de fecha 20 de noviembre de 2024. Sin embargo, el 29 de noviembre de 2024, me fue notificado mediante Cédula de Notificación que contenía el Acuerdo Ministerial No. DIREH-6370-2024 de fecha 27 de noviembre de 2024, la remoción de mi cargo como Coordinador de Infraestructura Deportiva Escolar, fecha en la cual, el producto en mención no había sido ingresado a Almacén. Según IH constancia de ingresos a almacén y a </w:t>
      </w:r>
      <w:r>
        <w:rPr>
          <w:sz w:val="26"/>
        </w:rPr>
        <w:lastRenderedPageBreak/>
        <w:t xml:space="preserve">inventario con Correlativo CGC No. 0162 ei producto ingresó el 09 de diciembre de 2024, fecha en la que yo ya no estaba en el cargo como Coordinador de Infraestructura Deportiva Escolar... (Factura con Serie 69C32616 y número 315806791 1 de fecha 09 de diciembre de 2024 y IH constancia de ingresos a almacén y a inventario con Correlativo CGC No. 0162 de fecha 09 diciembre 2024, 2 folios) Por todo lo anterior, derivado que el producto de Pintura Tipo Tráfico Lata 1 Galón Varios </w:t>
      </w:r>
      <w:r>
        <w:rPr>
          <w:rFonts w:ascii="Times New Roman" w:eastAsia="Times New Roman" w:hAnsi="Times New Roman" w:cs="Times New Roman"/>
          <w:sz w:val="26"/>
        </w:rPr>
        <w:t xml:space="preserve">1 </w:t>
      </w:r>
      <w:r>
        <w:rPr>
          <w:sz w:val="26"/>
        </w:rPr>
        <w:t>Colores ingresó a Almacén días antes que me notificaran de la remoción del cargo, por tal razón, fue imposible continuar con la gestión de la distribución por mi persona. En cuanto al producto Wipe Color Blanco Tipo Bola 1 Libra, ingresó a Almacén días después de mi remoción, por Io tanto, yo ya no me encontraba laborando para la institución..."</w:t>
      </w:r>
    </w:p>
    <w:p w14:paraId="720B1684" w14:textId="77777777" w:rsidR="00053D93" w:rsidRDefault="00260B75">
      <w:pPr>
        <w:spacing w:after="111"/>
        <w:ind w:left="-7"/>
      </w:pPr>
      <w:r>
        <w:rPr>
          <w:noProof/>
        </w:rPr>
        <w:drawing>
          <wp:inline distT="0" distB="0" distL="0" distR="0" wp14:anchorId="469D6056" wp14:editId="1E859D76">
            <wp:extent cx="50292" cy="18288"/>
            <wp:effectExtent l="0" t="0" r="0" b="0"/>
            <wp:docPr id="515112" name="Picture 515112"/>
            <wp:cNvGraphicFramePr/>
            <a:graphic xmlns:a="http://schemas.openxmlformats.org/drawingml/2006/main">
              <a:graphicData uri="http://schemas.openxmlformats.org/drawingml/2006/picture">
                <pic:pic xmlns:pic="http://schemas.openxmlformats.org/drawingml/2006/picture">
                  <pic:nvPicPr>
                    <pic:cNvPr id="515112" name="Picture 515112"/>
                    <pic:cNvPicPr/>
                  </pic:nvPicPr>
                  <pic:blipFill>
                    <a:blip r:embed="rId796"/>
                    <a:stretch>
                      <a:fillRect/>
                    </a:stretch>
                  </pic:blipFill>
                  <pic:spPr>
                    <a:xfrm>
                      <a:off x="0" y="0"/>
                      <a:ext cx="50292" cy="18288"/>
                    </a:xfrm>
                    <a:prstGeom prst="rect">
                      <a:avLst/>
                    </a:prstGeom>
                  </pic:spPr>
                </pic:pic>
              </a:graphicData>
            </a:graphic>
          </wp:inline>
        </w:drawing>
      </w:r>
    </w:p>
    <w:p w14:paraId="2E6BC57C" w14:textId="77777777" w:rsidR="00053D93" w:rsidRDefault="00260B75">
      <w:pPr>
        <w:spacing w:after="52" w:line="247" w:lineRule="auto"/>
        <w:ind w:left="86" w:right="14" w:firstLine="4"/>
        <w:jc w:val="both"/>
      </w:pPr>
      <w:r>
        <w:rPr>
          <w:noProof/>
        </w:rPr>
        <mc:AlternateContent>
          <mc:Choice Requires="wpg">
            <w:drawing>
              <wp:anchor distT="0" distB="0" distL="114300" distR="114300" simplePos="0" relativeHeight="252022784" behindDoc="0" locked="0" layoutInCell="1" allowOverlap="1" wp14:anchorId="06F66B1F" wp14:editId="36784108">
                <wp:simplePos x="0" y="0"/>
                <wp:positionH relativeFrom="page">
                  <wp:posOffset>1252728</wp:posOffset>
                </wp:positionH>
                <wp:positionV relativeFrom="page">
                  <wp:posOffset>749808</wp:posOffset>
                </wp:positionV>
                <wp:extent cx="5385816" cy="13716"/>
                <wp:effectExtent l="0" t="0" r="0" b="0"/>
                <wp:wrapTopAndBottom/>
                <wp:docPr id="2458437" name="Group 2458437"/>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436" name="Shape 2458436"/>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437" style="width:424.08pt;height:1.08pt;position:absolute;mso-position-horizontal-relative:page;mso-position-horizontal:absolute;margin-left:98.64pt;mso-position-vertical-relative:page;margin-top:59.04pt;" coordsize="53858,137">
                <v:shape id="Shape 2458436" style="position:absolute;width:53858;height:137;left:0;top:0;" coordsize="5385816,13716" path="m0,6858l5385816,6858">
                  <v:stroke weight="1.08pt" endcap="flat" joinstyle="miter" miterlimit="1" on="true" color="#000000"/>
                  <v:fill on="false" color="#000000"/>
                </v:shape>
                <w10:wrap type="topAndBottom"/>
              </v:group>
            </w:pict>
          </mc:Fallback>
        </mc:AlternateContent>
      </w:r>
      <w:r>
        <w:rPr>
          <w:rFonts w:ascii="Times New Roman" w:eastAsia="Times New Roman" w:hAnsi="Times New Roman" w:cs="Times New Roman"/>
          <w:sz w:val="26"/>
        </w:rPr>
        <w:t xml:space="preserve">1 </w:t>
      </w:r>
      <w:r>
        <w:rPr>
          <w:sz w:val="26"/>
        </w:rPr>
        <w:t xml:space="preserve">La licenciada Erika Francilia Dedet Figueroa, quien fungió como Coordinadora de Programas y Proyectos, por el período comprendido del 31 de enero de 2024 al 31 </w:t>
      </w:r>
      <w:r>
        <w:rPr>
          <w:rFonts w:ascii="Times New Roman" w:eastAsia="Times New Roman" w:hAnsi="Times New Roman" w:cs="Times New Roman"/>
          <w:sz w:val="26"/>
        </w:rPr>
        <w:t xml:space="preserve">1 </w:t>
      </w:r>
      <w:r>
        <w:rPr>
          <w:sz w:val="26"/>
        </w:rPr>
        <w:t xml:space="preserve">de diciembre de 2024, a quien se le notificó electrónicamente el oficio No. CGC-DAS-03-2024-NOTlF.MlNEDUC.DlGEF.21 del 2 de abril de 2025, no se presentó a la discusión virtual de hallazgos por medio de la plataforma Microsoft </w:t>
      </w:r>
      <w:r>
        <w:rPr>
          <w:rFonts w:ascii="Times New Roman" w:eastAsia="Times New Roman" w:hAnsi="Times New Roman" w:cs="Times New Roman"/>
          <w:sz w:val="26"/>
        </w:rPr>
        <w:t xml:space="preserve">1 </w:t>
      </w:r>
      <w:r>
        <w:rPr>
          <w:sz w:val="26"/>
        </w:rPr>
        <w:t>Teams y no envió pruebas de descargo, lo cual consta en el casillero electrónico del sistema de comunicaciones electrónicas de la Contraloría General de Cuentas.</w:t>
      </w:r>
    </w:p>
    <w:p w14:paraId="7783DF84" w14:textId="77777777" w:rsidR="00053D93" w:rsidRDefault="00260B75">
      <w:pPr>
        <w:spacing w:after="126"/>
        <w:ind w:left="29"/>
      </w:pPr>
      <w:r>
        <w:rPr>
          <w:noProof/>
        </w:rPr>
        <w:drawing>
          <wp:inline distT="0" distB="0" distL="0" distR="0" wp14:anchorId="3E638F4C" wp14:editId="0C7D23B7">
            <wp:extent cx="45720" cy="13716"/>
            <wp:effectExtent l="0" t="0" r="0" b="0"/>
            <wp:docPr id="515113" name="Picture 515113"/>
            <wp:cNvGraphicFramePr/>
            <a:graphic xmlns:a="http://schemas.openxmlformats.org/drawingml/2006/main">
              <a:graphicData uri="http://schemas.openxmlformats.org/drawingml/2006/picture">
                <pic:pic xmlns:pic="http://schemas.openxmlformats.org/drawingml/2006/picture">
                  <pic:nvPicPr>
                    <pic:cNvPr id="515113" name="Picture 515113"/>
                    <pic:cNvPicPr/>
                  </pic:nvPicPr>
                  <pic:blipFill>
                    <a:blip r:embed="rId797"/>
                    <a:stretch>
                      <a:fillRect/>
                    </a:stretch>
                  </pic:blipFill>
                  <pic:spPr>
                    <a:xfrm>
                      <a:off x="0" y="0"/>
                      <a:ext cx="45720" cy="13716"/>
                    </a:xfrm>
                    <a:prstGeom prst="rect">
                      <a:avLst/>
                    </a:prstGeom>
                  </pic:spPr>
                </pic:pic>
              </a:graphicData>
            </a:graphic>
          </wp:inline>
        </w:drawing>
      </w:r>
    </w:p>
    <w:p w14:paraId="1922B102" w14:textId="77777777" w:rsidR="00053D93" w:rsidRDefault="00260B75">
      <w:pPr>
        <w:spacing w:after="17" w:line="247" w:lineRule="auto"/>
        <w:ind w:left="14" w:right="14" w:firstLine="122"/>
        <w:jc w:val="both"/>
      </w:pPr>
      <w:r>
        <w:rPr>
          <w:rFonts w:ascii="Times New Roman" w:eastAsia="Times New Roman" w:hAnsi="Times New Roman" w:cs="Times New Roman"/>
          <w:sz w:val="26"/>
        </w:rPr>
        <w:t xml:space="preserve">1 </w:t>
      </w:r>
      <w:r>
        <w:rPr>
          <w:sz w:val="26"/>
        </w:rPr>
        <w:t xml:space="preserve">En oficio No. CPyP-062-2025, del 21 de abril de 2025, la licenciada Heidi Noemí Pereira Zúñiga, Jefe Departamento de Estudios y Programación, manifiesta: </w:t>
      </w:r>
      <w:r>
        <w:rPr>
          <w:noProof/>
        </w:rPr>
        <w:drawing>
          <wp:inline distT="0" distB="0" distL="0" distR="0" wp14:anchorId="37CFD36F" wp14:editId="3AEF2CC1">
            <wp:extent cx="64008" cy="18287"/>
            <wp:effectExtent l="0" t="0" r="0" b="0"/>
            <wp:docPr id="515114" name="Picture 515114"/>
            <wp:cNvGraphicFramePr/>
            <a:graphic xmlns:a="http://schemas.openxmlformats.org/drawingml/2006/main">
              <a:graphicData uri="http://schemas.openxmlformats.org/drawingml/2006/picture">
                <pic:pic xmlns:pic="http://schemas.openxmlformats.org/drawingml/2006/picture">
                  <pic:nvPicPr>
                    <pic:cNvPr id="515114" name="Picture 515114"/>
                    <pic:cNvPicPr/>
                  </pic:nvPicPr>
                  <pic:blipFill>
                    <a:blip r:embed="rId798"/>
                    <a:stretch>
                      <a:fillRect/>
                    </a:stretch>
                  </pic:blipFill>
                  <pic:spPr>
                    <a:xfrm>
                      <a:off x="0" y="0"/>
                      <a:ext cx="64008" cy="18287"/>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"...Primero: El departamento de Estudios y Programación, dentro del Plan Operativo Anual 2024 tuvo programada la acción 4447, en la que se lee "8 eventos de coordinación interinstitucional, apoyo institucional y gestión de recursos, a </w:t>
      </w:r>
      <w:r>
        <w:rPr>
          <w:rFonts w:ascii="Times New Roman" w:eastAsia="Times New Roman" w:hAnsi="Times New Roman" w:cs="Times New Roman"/>
          <w:sz w:val="26"/>
        </w:rPr>
        <w:t xml:space="preserve">1 </w:t>
      </w:r>
      <w:r>
        <w:rPr>
          <w:sz w:val="26"/>
        </w:rPr>
        <w:t xml:space="preserve">realizarse en la ciudad de Guatemala del 1 de marzo al 16 de diciembre" Es a través de esta acción que se adquieren insumos para ser entregado en diversas </w:t>
      </w:r>
      <w:r>
        <w:rPr>
          <w:noProof/>
        </w:rPr>
        <w:drawing>
          <wp:inline distT="0" distB="0" distL="0" distR="0" wp14:anchorId="0494C361" wp14:editId="5A181CDB">
            <wp:extent cx="86868" cy="13716"/>
            <wp:effectExtent l="0" t="0" r="0" b="0"/>
            <wp:docPr id="2458434" name="Picture 2458434"/>
            <wp:cNvGraphicFramePr/>
            <a:graphic xmlns:a="http://schemas.openxmlformats.org/drawingml/2006/main">
              <a:graphicData uri="http://schemas.openxmlformats.org/drawingml/2006/picture">
                <pic:pic xmlns:pic="http://schemas.openxmlformats.org/drawingml/2006/picture">
                  <pic:nvPicPr>
                    <pic:cNvPr id="2458434" name="Picture 2458434"/>
                    <pic:cNvPicPr/>
                  </pic:nvPicPr>
                  <pic:blipFill>
                    <a:blip r:embed="rId799"/>
                    <a:stretch>
                      <a:fillRect/>
                    </a:stretch>
                  </pic:blipFill>
                  <pic:spPr>
                    <a:xfrm>
                      <a:off x="0" y="0"/>
                      <a:ext cx="86868" cy="13716"/>
                    </a:xfrm>
                    <a:prstGeom prst="rect">
                      <a:avLst/>
                    </a:prstGeom>
                  </pic:spPr>
                </pic:pic>
              </a:graphicData>
            </a:graphic>
          </wp:inline>
        </w:drawing>
      </w:r>
      <w:r>
        <w:rPr>
          <w:sz w:val="26"/>
        </w:rPr>
        <w:t xml:space="preserve">actividades que se realizan a nivel interinstitucional a solicitud y algunas </w:t>
      </w:r>
      <w:r>
        <w:rPr>
          <w:rFonts w:ascii="Times New Roman" w:eastAsia="Times New Roman" w:hAnsi="Times New Roman" w:cs="Times New Roman"/>
          <w:sz w:val="26"/>
        </w:rPr>
        <w:t xml:space="preserve">1 </w:t>
      </w:r>
      <w:r>
        <w:rPr>
          <w:sz w:val="26"/>
        </w:rPr>
        <w:t>programadas como la Antorcha Centroamericana... Segundo: Se elaboraron las</w:t>
      </w:r>
    </w:p>
    <w:p w14:paraId="62ED5C7C" w14:textId="77777777" w:rsidR="00053D93" w:rsidRDefault="00260B75">
      <w:pPr>
        <w:spacing w:after="17" w:line="247" w:lineRule="auto"/>
        <w:ind w:left="86" w:right="14" w:firstLine="1606"/>
        <w:jc w:val="both"/>
      </w:pPr>
      <w:r>
        <w:rPr>
          <w:sz w:val="26"/>
        </w:rPr>
        <w:t xml:space="preserve">Solicitudes de Requerimientos con las fechas de utilización del bien, como bien se </w:t>
      </w:r>
      <w:r>
        <w:rPr>
          <w:noProof/>
        </w:rPr>
        <w:drawing>
          <wp:inline distT="0" distB="0" distL="0" distR="0" wp14:anchorId="6A17D55F" wp14:editId="2F619938">
            <wp:extent cx="32004" cy="13715"/>
            <wp:effectExtent l="0" t="0" r="0" b="0"/>
            <wp:docPr id="515117" name="Picture 515117"/>
            <wp:cNvGraphicFramePr/>
            <a:graphic xmlns:a="http://schemas.openxmlformats.org/drawingml/2006/main">
              <a:graphicData uri="http://schemas.openxmlformats.org/drawingml/2006/picture">
                <pic:pic xmlns:pic="http://schemas.openxmlformats.org/drawingml/2006/picture">
                  <pic:nvPicPr>
                    <pic:cNvPr id="515117" name="Picture 515117"/>
                    <pic:cNvPicPr/>
                  </pic:nvPicPr>
                  <pic:blipFill>
                    <a:blip r:embed="rId800"/>
                    <a:stretch>
                      <a:fillRect/>
                    </a:stretch>
                  </pic:blipFill>
                  <pic:spPr>
                    <a:xfrm>
                      <a:off x="0" y="0"/>
                      <a:ext cx="32004" cy="13715"/>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indica en el cuadro, sin embargo, no se logró la adquisición en dichas fechas, por lo que el Departamento de Compras solicito un oficio, firmado por la Dirección, si se deseaba la continuación de la compra, a través de los oficios SDA-C491-2024 y </w:t>
      </w:r>
      <w:r>
        <w:rPr>
          <w:rFonts w:ascii="Times New Roman" w:eastAsia="Times New Roman" w:hAnsi="Times New Roman" w:cs="Times New Roman"/>
          <w:sz w:val="26"/>
        </w:rPr>
        <w:t xml:space="preserve">1 </w:t>
      </w:r>
      <w:r>
        <w:rPr>
          <w:sz w:val="26"/>
        </w:rPr>
        <w:t>SDA-C531-2024 de fecha 28 de agosto y 2 de septiembre 2024, respectivamente. Los mismos fueron respondidos solicitando la continuación de la compra, a través de los oficios No. DEyP-72-2024 y No. DEyP-72-2024. Los insumos fueron</w:t>
      </w:r>
    </w:p>
    <w:tbl>
      <w:tblPr>
        <w:tblStyle w:val="TableGrid"/>
        <w:tblW w:w="9439" w:type="dxa"/>
        <w:tblInd w:w="734" w:type="dxa"/>
        <w:tblLook w:val="04A0" w:firstRow="1" w:lastRow="0" w:firstColumn="1" w:lastColumn="0" w:noHBand="0" w:noVBand="1"/>
      </w:tblPr>
      <w:tblGrid>
        <w:gridCol w:w="1240"/>
        <w:gridCol w:w="8199"/>
      </w:tblGrid>
      <w:tr w:rsidR="00053D93" w14:paraId="700E1E5C" w14:textId="77777777">
        <w:trPr>
          <w:trHeight w:val="641"/>
        </w:trPr>
        <w:tc>
          <w:tcPr>
            <w:tcW w:w="1734" w:type="dxa"/>
            <w:tcBorders>
              <w:top w:val="nil"/>
              <w:left w:val="nil"/>
              <w:bottom w:val="nil"/>
              <w:right w:val="nil"/>
            </w:tcBorders>
          </w:tcPr>
          <w:p w14:paraId="4701FB2E" w14:textId="77777777" w:rsidR="00053D93" w:rsidRDefault="00260B75">
            <w:r>
              <w:rPr>
                <w:noProof/>
              </w:rPr>
              <w:drawing>
                <wp:inline distT="0" distB="0" distL="0" distR="0" wp14:anchorId="4E3FCEE9" wp14:editId="00F1AB1F">
                  <wp:extent cx="1074420" cy="406908"/>
                  <wp:effectExtent l="0" t="0" r="0" b="0"/>
                  <wp:docPr id="515195" name="Picture 515195"/>
                  <wp:cNvGraphicFramePr/>
                  <a:graphic xmlns:a="http://schemas.openxmlformats.org/drawingml/2006/main">
                    <a:graphicData uri="http://schemas.openxmlformats.org/drawingml/2006/picture">
                      <pic:pic xmlns:pic="http://schemas.openxmlformats.org/drawingml/2006/picture">
                        <pic:nvPicPr>
                          <pic:cNvPr id="515195" name="Picture 515195"/>
                          <pic:cNvPicPr/>
                        </pic:nvPicPr>
                        <pic:blipFill>
                          <a:blip r:embed="rId801"/>
                          <a:stretch>
                            <a:fillRect/>
                          </a:stretch>
                        </pic:blipFill>
                        <pic:spPr>
                          <a:xfrm>
                            <a:off x="0" y="0"/>
                            <a:ext cx="1074420" cy="406908"/>
                          </a:xfrm>
                          <a:prstGeom prst="rect">
                            <a:avLst/>
                          </a:prstGeom>
                        </pic:spPr>
                      </pic:pic>
                    </a:graphicData>
                  </a:graphic>
                </wp:inline>
              </w:drawing>
            </w:r>
          </w:p>
        </w:tc>
        <w:tc>
          <w:tcPr>
            <w:tcW w:w="7705" w:type="dxa"/>
            <w:tcBorders>
              <w:top w:val="nil"/>
              <w:left w:val="nil"/>
              <w:bottom w:val="nil"/>
              <w:right w:val="nil"/>
            </w:tcBorders>
          </w:tcPr>
          <w:p w14:paraId="320DF066" w14:textId="77777777" w:rsidR="00053D93" w:rsidRDefault="00053D93">
            <w:pPr>
              <w:ind w:left="-2778" w:right="10483"/>
            </w:pPr>
          </w:p>
          <w:tbl>
            <w:tblPr>
              <w:tblStyle w:val="TableGrid"/>
              <w:tblW w:w="7664" w:type="dxa"/>
              <w:tblInd w:w="42" w:type="dxa"/>
              <w:tblCellMar>
                <w:top w:w="22" w:type="dxa"/>
                <w:left w:w="1774" w:type="dxa"/>
                <w:right w:w="115" w:type="dxa"/>
              </w:tblCellMar>
              <w:tblLook w:val="04A0" w:firstRow="1" w:lastRow="0" w:firstColumn="1" w:lastColumn="0" w:noHBand="0" w:noVBand="1"/>
            </w:tblPr>
            <w:tblGrid>
              <w:gridCol w:w="7664"/>
            </w:tblGrid>
            <w:tr w:rsidR="00053D93" w14:paraId="46CBE16D" w14:textId="77777777">
              <w:trPr>
                <w:trHeight w:val="36"/>
              </w:trPr>
              <w:tc>
                <w:tcPr>
                  <w:tcW w:w="7664" w:type="dxa"/>
                  <w:tcBorders>
                    <w:top w:val="nil"/>
                    <w:left w:val="single" w:sz="2" w:space="0" w:color="000000"/>
                    <w:bottom w:val="single" w:sz="2" w:space="0" w:color="000000"/>
                    <w:right w:val="nil"/>
                  </w:tcBorders>
                </w:tcPr>
                <w:p w14:paraId="5BCC46FB" w14:textId="77777777" w:rsidR="00053D93" w:rsidRDefault="00053D93"/>
              </w:tc>
            </w:tr>
            <w:tr w:rsidR="00053D93" w14:paraId="6B8750E2" w14:textId="77777777">
              <w:trPr>
                <w:trHeight w:val="598"/>
              </w:trPr>
              <w:tc>
                <w:tcPr>
                  <w:tcW w:w="7664" w:type="dxa"/>
                  <w:tcBorders>
                    <w:top w:val="single" w:sz="2" w:space="0" w:color="000000"/>
                    <w:left w:val="single" w:sz="2" w:space="0" w:color="000000"/>
                    <w:bottom w:val="nil"/>
                    <w:right w:val="nil"/>
                  </w:tcBorders>
                </w:tcPr>
                <w:p w14:paraId="1693EF10" w14:textId="77777777" w:rsidR="00053D93" w:rsidRDefault="00260B75">
                  <w:pPr>
                    <w:ind w:left="842"/>
                  </w:pPr>
                  <w:r>
                    <w:rPr>
                      <w:sz w:val="14"/>
                    </w:rPr>
                    <w:t>MINISTER'O DE EDUCACION</w:t>
                  </w:r>
                </w:p>
                <w:p w14:paraId="4446F1D5" w14:textId="77777777" w:rsidR="00053D93" w:rsidRDefault="00260B75">
                  <w:pPr>
                    <w:ind w:left="338"/>
                  </w:pPr>
                  <w:r>
                    <w:rPr>
                      <w:sz w:val="14"/>
                    </w:rPr>
                    <w:t>AUDITORIA FINANCIERA Y OE CUMPLIMIENTO</w:t>
                  </w:r>
                </w:p>
                <w:p w14:paraId="70B85AFB" w14:textId="77777777" w:rsidR="00053D93" w:rsidRDefault="00260B75">
                  <w:r>
                    <w:rPr>
                      <w:sz w:val="14"/>
                    </w:rPr>
                    <w:t>PEREOOO DEL 01 DE ENERO AL 31 OE DICIEM3RE DE 2024</w:t>
                  </w:r>
                </w:p>
              </w:tc>
            </w:tr>
          </w:tbl>
          <w:p w14:paraId="4136D820" w14:textId="77777777" w:rsidR="00053D93" w:rsidRDefault="00053D93"/>
        </w:tc>
      </w:tr>
    </w:tbl>
    <w:p w14:paraId="68AFAE59" w14:textId="77777777" w:rsidR="00053D93" w:rsidRDefault="00053D93">
      <w:pPr>
        <w:sectPr w:rsidR="00053D93">
          <w:type w:val="continuous"/>
          <w:pgSz w:w="12290" w:h="15883"/>
          <w:pgMar w:top="1311" w:right="1807" w:bottom="720" w:left="310" w:header="720" w:footer="720" w:gutter="0"/>
          <w:cols w:space="720"/>
        </w:sectPr>
      </w:pPr>
    </w:p>
    <w:p w14:paraId="36C08125" w14:textId="77777777" w:rsidR="00053D93" w:rsidRDefault="00260B75">
      <w:pPr>
        <w:tabs>
          <w:tab w:val="center" w:pos="3251"/>
        </w:tabs>
        <w:spacing w:after="3" w:line="265" w:lineRule="auto"/>
      </w:pPr>
      <w:r>
        <w:rPr>
          <w:rFonts w:ascii="Times New Roman" w:eastAsia="Times New Roman" w:hAnsi="Times New Roman" w:cs="Times New Roman"/>
          <w:sz w:val="14"/>
        </w:rPr>
        <w:lastRenderedPageBreak/>
        <w:t>1</w:t>
      </w:r>
      <w:r>
        <w:rPr>
          <w:rFonts w:ascii="Times New Roman" w:eastAsia="Times New Roman" w:hAnsi="Times New Roman" w:cs="Times New Roman"/>
          <w:sz w:val="14"/>
        </w:rPr>
        <w:tab/>
      </w:r>
      <w:r>
        <w:rPr>
          <w:sz w:val="14"/>
        </w:rPr>
        <w:t xml:space="preserve">OE </w:t>
      </w:r>
    </w:p>
    <w:p w14:paraId="1227491A" w14:textId="77777777" w:rsidR="00053D93" w:rsidRDefault="00260B75">
      <w:pPr>
        <w:spacing w:after="21"/>
        <w:ind w:left="1469"/>
      </w:pPr>
      <w:r>
        <w:rPr>
          <w:noProof/>
        </w:rPr>
        <mc:AlternateContent>
          <mc:Choice Requires="wpg">
            <w:drawing>
              <wp:inline distT="0" distB="0" distL="0" distR="0" wp14:anchorId="523E7C02" wp14:editId="422837F6">
                <wp:extent cx="5550408" cy="13716"/>
                <wp:effectExtent l="0" t="0" r="0" b="0"/>
                <wp:docPr id="2458439" name="Group 2458439"/>
                <wp:cNvGraphicFramePr/>
                <a:graphic xmlns:a="http://schemas.openxmlformats.org/drawingml/2006/main">
                  <a:graphicData uri="http://schemas.microsoft.com/office/word/2010/wordprocessingGroup">
                    <wpg:wgp>
                      <wpg:cNvGrpSpPr/>
                      <wpg:grpSpPr>
                        <a:xfrm>
                          <a:off x="0" y="0"/>
                          <a:ext cx="5550408" cy="13716"/>
                          <a:chOff x="0" y="0"/>
                          <a:chExt cx="5550408" cy="13716"/>
                        </a:xfrm>
                      </wpg:grpSpPr>
                      <wps:wsp>
                        <wps:cNvPr id="2458438" name="Shape 2458438"/>
                        <wps:cNvSpPr/>
                        <wps:spPr>
                          <a:xfrm>
                            <a:off x="0" y="0"/>
                            <a:ext cx="5550408" cy="13716"/>
                          </a:xfrm>
                          <a:custGeom>
                            <a:avLst/>
                            <a:gdLst/>
                            <a:ahLst/>
                            <a:cxnLst/>
                            <a:rect l="0" t="0" r="0" b="0"/>
                            <a:pathLst>
                              <a:path w="5550408" h="13716">
                                <a:moveTo>
                                  <a:pt x="0" y="6858"/>
                                </a:moveTo>
                                <a:lnTo>
                                  <a:pt x="555040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39" style="width:437.04pt;height:1.08pt;mso-position-horizontal-relative:char;mso-position-vertical-relative:line" coordsize="55504,137">
                <v:shape id="Shape 2458438" style="position:absolute;width:55504;height:137;left:0;top:0;" coordsize="5550408,13716" path="m0,6858l5550408,6858">
                  <v:stroke weight="1.08pt" endcap="flat" joinstyle="miter" miterlimit="1" on="true" color="#000000"/>
                  <v:fill on="false" color="#000000"/>
                </v:shape>
              </v:group>
            </w:pict>
          </mc:Fallback>
        </mc:AlternateContent>
      </w:r>
    </w:p>
    <w:p w14:paraId="082C2A10" w14:textId="77777777" w:rsidR="00053D93" w:rsidRDefault="00260B75">
      <w:pPr>
        <w:spacing w:after="17" w:line="247" w:lineRule="auto"/>
        <w:ind w:left="14" w:right="14" w:firstLine="4"/>
        <w:jc w:val="both"/>
      </w:pPr>
      <w:r>
        <w:rPr>
          <w:rFonts w:ascii="Times New Roman" w:eastAsia="Times New Roman" w:hAnsi="Times New Roman" w:cs="Times New Roman"/>
          <w:sz w:val="26"/>
        </w:rPr>
        <w:t xml:space="preserve">1 </w:t>
      </w:r>
      <w:r>
        <w:rPr>
          <w:sz w:val="26"/>
        </w:rPr>
        <w:t xml:space="preserve">entregados el 9 de septiembre de 2024 en el Departamento de Almacén... Tercero: con relación a la actividad de la Antorcha Centroamericana, como actividad programada, no fue posible entregar porque la recepción de los balones </w:t>
      </w:r>
      <w:r>
        <w:rPr>
          <w:rFonts w:ascii="Times New Roman" w:eastAsia="Times New Roman" w:hAnsi="Times New Roman" w:cs="Times New Roman"/>
          <w:sz w:val="26"/>
        </w:rPr>
        <w:t xml:space="preserve">1 </w:t>
      </w:r>
      <w:r>
        <w:rPr>
          <w:sz w:val="26"/>
        </w:rPr>
        <w:t xml:space="preserve">estuvo fuera de tiempo, las soliéitudes atendidas fueron: 16 de octubre 2024, según providencia 1665-2024 de la Dirección General de Educación Física, se </w:t>
      </w:r>
      <w:r>
        <w:rPr>
          <w:rFonts w:ascii="Times New Roman" w:eastAsia="Times New Roman" w:hAnsi="Times New Roman" w:cs="Times New Roman"/>
          <w:sz w:val="26"/>
        </w:rPr>
        <w:t xml:space="preserve">1 </w:t>
      </w:r>
      <w:r>
        <w:rPr>
          <w:sz w:val="26"/>
        </w:rPr>
        <w:t xml:space="preserve">solicitó la entrega a los Programas Deportivos en las Escuelas Municipales, 50 pelotas de Baloncesto, 50 pelotas de Futbol y 50 pelotas de Voleibol. 29 de octubre 2024, según providencia 1678-2024 de la Dirección General de Educación </w:t>
      </w:r>
      <w:r>
        <w:rPr>
          <w:rFonts w:ascii="Times New Roman" w:eastAsia="Times New Roman" w:hAnsi="Times New Roman" w:cs="Times New Roman"/>
          <w:sz w:val="26"/>
        </w:rPr>
        <w:t xml:space="preserve">1 </w:t>
      </w:r>
      <w:r>
        <w:rPr>
          <w:sz w:val="26"/>
        </w:rPr>
        <w:t xml:space="preserve">Física, se solicitó la entrega a la Red Educativa de los Centros de Comunidades de la Aldea Chirijox, Nueva Santa Catarina Ixtahuacan, Cerro de Oro, Santiago Atitlan y Panajachel, 50 pelotas de Baloncesto, 50 pelotas de Futbol y 50 pelotas </w:t>
      </w:r>
      <w:r>
        <w:rPr>
          <w:rFonts w:ascii="Times New Roman" w:eastAsia="Times New Roman" w:hAnsi="Times New Roman" w:cs="Times New Roman"/>
          <w:sz w:val="26"/>
        </w:rPr>
        <w:t xml:space="preserve">1 </w:t>
      </w:r>
      <w:r>
        <w:rPr>
          <w:sz w:val="26"/>
        </w:rPr>
        <w:t xml:space="preserve">de Voleibol. 18 de noviembre 2024. Autorizado por la Dirección General, se hizo entrega lo solicitado por Acira Cifuentes, presidenta, Coalición Comunitaria anti </w:t>
      </w:r>
      <w:r>
        <w:rPr>
          <w:noProof/>
        </w:rPr>
        <w:drawing>
          <wp:inline distT="0" distB="0" distL="0" distR="0" wp14:anchorId="1BF7B881" wp14:editId="096DE211">
            <wp:extent cx="4572" cy="9144"/>
            <wp:effectExtent l="0" t="0" r="0" b="0"/>
            <wp:docPr id="519112" name="Picture 519112"/>
            <wp:cNvGraphicFramePr/>
            <a:graphic xmlns:a="http://schemas.openxmlformats.org/drawingml/2006/main">
              <a:graphicData uri="http://schemas.openxmlformats.org/drawingml/2006/picture">
                <pic:pic xmlns:pic="http://schemas.openxmlformats.org/drawingml/2006/picture">
                  <pic:nvPicPr>
                    <pic:cNvPr id="519112" name="Picture 519112"/>
                    <pic:cNvPicPr/>
                  </pic:nvPicPr>
                  <pic:blipFill>
                    <a:blip r:embed="rId802"/>
                    <a:stretch>
                      <a:fillRect/>
                    </a:stretch>
                  </pic:blipFill>
                  <pic:spPr>
                    <a:xfrm>
                      <a:off x="0" y="0"/>
                      <a:ext cx="4572"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Drogas, San Bartolomé Milpas Altas, 50 Pachones. 2 de diciembre 2024, según providencia 1896-2024 de la Dirección General de Educación Física, se solicitó la entrega a Rene Martínez, presidente del Consejo Departamental del Deporte la </w:t>
      </w:r>
      <w:r>
        <w:rPr>
          <w:rFonts w:ascii="Times New Roman" w:eastAsia="Times New Roman" w:hAnsi="Times New Roman" w:cs="Times New Roman"/>
          <w:sz w:val="26"/>
        </w:rPr>
        <w:t xml:space="preserve">1 </w:t>
      </w:r>
      <w:r>
        <w:rPr>
          <w:sz w:val="26"/>
        </w:rPr>
        <w:t xml:space="preserve">Educación Física y la Recreación CONADER., 100 pachones. 14 de marzo 2025, Se entrega al Proyecto de Servicio para promoción y divulgación del Proyecto, en </w:t>
      </w:r>
      <w:r>
        <w:rPr>
          <w:noProof/>
        </w:rPr>
        <w:drawing>
          <wp:inline distT="0" distB="0" distL="0" distR="0" wp14:anchorId="5786584D" wp14:editId="57F66FAB">
            <wp:extent cx="13716" cy="4572"/>
            <wp:effectExtent l="0" t="0" r="0" b="0"/>
            <wp:docPr id="519113" name="Picture 519113"/>
            <wp:cNvGraphicFramePr/>
            <a:graphic xmlns:a="http://schemas.openxmlformats.org/drawingml/2006/main">
              <a:graphicData uri="http://schemas.openxmlformats.org/drawingml/2006/picture">
                <pic:pic xmlns:pic="http://schemas.openxmlformats.org/drawingml/2006/picture">
                  <pic:nvPicPr>
                    <pic:cNvPr id="519113" name="Picture 519113"/>
                    <pic:cNvPicPr/>
                  </pic:nvPicPr>
                  <pic:blipFill>
                    <a:blip r:embed="rId803"/>
                    <a:stretch>
                      <a:fillRect/>
                    </a:stretch>
                  </pic:blipFill>
                  <pic:spPr>
                    <a:xfrm>
                      <a:off x="0" y="0"/>
                      <a:ext cx="13716" cy="4572"/>
                    </a:xfrm>
                    <a:prstGeom prst="rect">
                      <a:avLst/>
                    </a:prstGeom>
                  </pic:spPr>
                </pic:pic>
              </a:graphicData>
            </a:graphic>
          </wp:inline>
        </w:drawing>
      </w:r>
      <w:r>
        <w:rPr>
          <w:sz w:val="26"/>
        </w:rPr>
        <w:t xml:space="preserve"> una actividad realizada en Pasos y Pedales el día domingo 16 de marzo. 200 </w:t>
      </w:r>
      <w:r>
        <w:rPr>
          <w:rFonts w:ascii="Times New Roman" w:eastAsia="Times New Roman" w:hAnsi="Times New Roman" w:cs="Times New Roman"/>
          <w:sz w:val="26"/>
        </w:rPr>
        <w:t xml:space="preserve">1 </w:t>
      </w:r>
      <w:r>
        <w:rPr>
          <w:sz w:val="26"/>
        </w:rPr>
        <w:t>pachones... Cuarto: el 9 de enero de 2025, el Departamento de Estudios y</w:t>
      </w:r>
    </w:p>
    <w:p w14:paraId="21566375" w14:textId="77777777" w:rsidR="00053D93" w:rsidRDefault="00260B75">
      <w:pPr>
        <w:spacing w:after="113" w:line="247" w:lineRule="auto"/>
        <w:ind w:left="14" w:right="14" w:firstLine="1692"/>
        <w:jc w:val="both"/>
      </w:pPr>
      <w:r>
        <w:rPr>
          <w:sz w:val="26"/>
        </w:rPr>
        <w:t xml:space="preserve">Programación fue notificado como representante de la DIGEF ante la secretaria </w:t>
      </w:r>
      <w:r>
        <w:rPr>
          <w:noProof/>
        </w:rPr>
        <w:drawing>
          <wp:inline distT="0" distB="0" distL="0" distR="0" wp14:anchorId="2426C9F7" wp14:editId="7F1ED035">
            <wp:extent cx="13716" cy="13716"/>
            <wp:effectExtent l="0" t="0" r="0" b="0"/>
            <wp:docPr id="519114" name="Picture 519114"/>
            <wp:cNvGraphicFramePr/>
            <a:graphic xmlns:a="http://schemas.openxmlformats.org/drawingml/2006/main">
              <a:graphicData uri="http://schemas.openxmlformats.org/drawingml/2006/picture">
                <pic:pic xmlns:pic="http://schemas.openxmlformats.org/drawingml/2006/picture">
                  <pic:nvPicPr>
                    <pic:cNvPr id="519114" name="Picture 519114"/>
                    <pic:cNvPicPr/>
                  </pic:nvPicPr>
                  <pic:blipFill>
                    <a:blip r:embed="rId804"/>
                    <a:stretch>
                      <a:fillRect/>
                    </a:stretch>
                  </pic:blipFill>
                  <pic:spPr>
                    <a:xfrm>
                      <a:off x="0" y="0"/>
                      <a:ext cx="13716"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ejecutiva de Servicio Cívico, del ministerio de Gobernación, para dar seguimiento a la ejecución. por lo cual la implementación resguardada en el Departamento de Almacén será entregada a este proyecto, el 9 de mayo durante su lanzamiento, el </w:t>
      </w:r>
      <w:r>
        <w:rPr>
          <w:rFonts w:ascii="Times New Roman" w:eastAsia="Times New Roman" w:hAnsi="Times New Roman" w:cs="Times New Roman"/>
          <w:sz w:val="26"/>
        </w:rPr>
        <w:t xml:space="preserve">1 </w:t>
      </w:r>
      <w:r>
        <w:rPr>
          <w:sz w:val="26"/>
        </w:rPr>
        <w:t>cual se realizará en las instalaciones de la DIGEF...</w:t>
      </w:r>
      <w:r>
        <w:rPr>
          <w:noProof/>
        </w:rPr>
        <w:drawing>
          <wp:inline distT="0" distB="0" distL="0" distR="0" wp14:anchorId="5C268C65" wp14:editId="4DE4E45E">
            <wp:extent cx="36576" cy="41148"/>
            <wp:effectExtent l="0" t="0" r="0" b="0"/>
            <wp:docPr id="519115" name="Picture 519115"/>
            <wp:cNvGraphicFramePr/>
            <a:graphic xmlns:a="http://schemas.openxmlformats.org/drawingml/2006/main">
              <a:graphicData uri="http://schemas.openxmlformats.org/drawingml/2006/picture">
                <pic:pic xmlns:pic="http://schemas.openxmlformats.org/drawingml/2006/picture">
                  <pic:nvPicPr>
                    <pic:cNvPr id="519115" name="Picture 519115"/>
                    <pic:cNvPicPr/>
                  </pic:nvPicPr>
                  <pic:blipFill>
                    <a:blip r:embed="rId805"/>
                    <a:stretch>
                      <a:fillRect/>
                    </a:stretch>
                  </pic:blipFill>
                  <pic:spPr>
                    <a:xfrm>
                      <a:off x="0" y="0"/>
                      <a:ext cx="36576" cy="41148"/>
                    </a:xfrm>
                    <a:prstGeom prst="rect">
                      <a:avLst/>
                    </a:prstGeom>
                  </pic:spPr>
                </pic:pic>
              </a:graphicData>
            </a:graphic>
          </wp:inline>
        </w:drawing>
      </w:r>
    </w:p>
    <w:p w14:paraId="0A324976" w14:textId="77777777" w:rsidR="00053D93" w:rsidRDefault="00260B75">
      <w:pPr>
        <w:spacing w:after="235" w:line="247" w:lineRule="auto"/>
        <w:ind w:left="130" w:right="14" w:firstLine="1634"/>
        <w:jc w:val="both"/>
      </w:pPr>
      <w:r>
        <w:rPr>
          <w:sz w:val="26"/>
        </w:rPr>
        <w:t xml:space="preserve">En nota s/n del 21 de abril de 2025, el licenciado Jorge Humberto Vanegas Ramírez, quien fungió como Coordinador Curricular, por el período comprendido del 01 de enero de 2024 al 29 de noviembre de 2024, manifiesta: En respuesta </w:t>
      </w:r>
      <w:r>
        <w:rPr>
          <w:rFonts w:ascii="Times New Roman" w:eastAsia="Times New Roman" w:hAnsi="Times New Roman" w:cs="Times New Roman"/>
          <w:sz w:val="26"/>
        </w:rPr>
        <w:t xml:space="preserve">1 </w:t>
      </w:r>
      <w:r>
        <w:rPr>
          <w:sz w:val="26"/>
        </w:rPr>
        <w:t xml:space="preserve">al posible hallazgo, su causa y efecto, me permito hacer de su conocimiento que mi persona en calidad de Coordinador Curricular que desempeñe hasta el 30 de noviembre de 2024 según Acuerdo Ministerial No. DIREH-6368-2024 de fecha 27 </w:t>
      </w:r>
      <w:r>
        <w:rPr>
          <w:rFonts w:ascii="Times New Roman" w:eastAsia="Times New Roman" w:hAnsi="Times New Roman" w:cs="Times New Roman"/>
          <w:sz w:val="26"/>
        </w:rPr>
        <w:t xml:space="preserve">1 </w:t>
      </w:r>
      <w:r>
        <w:rPr>
          <w:sz w:val="26"/>
        </w:rPr>
        <w:t xml:space="preserve">de noviembre de 2024, tomando en cuenta que tenía 4 departamentos a mí cargo. Con la finalidad de agilizar los procesos de adquisiciones se realizaron las acciones correspondientes y los oficios siguientes: Oficio No. CC-117-2024 de fecha 18 de abril de 2024, dirigido a los jefes de departamento, para que a la brevedad posible trasladaran los gastos requerimientos al departamento de </w:t>
      </w:r>
      <w:r>
        <w:rPr>
          <w:rFonts w:ascii="Times New Roman" w:eastAsia="Times New Roman" w:hAnsi="Times New Roman" w:cs="Times New Roman"/>
          <w:sz w:val="26"/>
        </w:rPr>
        <w:t xml:space="preserve">1 </w:t>
      </w:r>
      <w:r>
        <w:rPr>
          <w:sz w:val="26"/>
        </w:rPr>
        <w:t>compras, de [as adquisiciones o compras programadas para el segundo cuatrimestre. De esta cuenta en el Departamento de Escuelas Normales de Educación Física -ENEF- se elaboraron los gastos requerimientos siguientes:</w:t>
      </w:r>
    </w:p>
    <w:p w14:paraId="4638F20F" w14:textId="77777777" w:rsidR="00053D93" w:rsidRDefault="00260B75">
      <w:pPr>
        <w:spacing w:after="17" w:line="247" w:lineRule="auto"/>
        <w:ind w:left="1750" w:right="14" w:hanging="1570"/>
        <w:jc w:val="both"/>
      </w:pPr>
      <w:r>
        <w:rPr>
          <w:rFonts w:ascii="Times New Roman" w:eastAsia="Times New Roman" w:hAnsi="Times New Roman" w:cs="Times New Roman"/>
          <w:sz w:val="26"/>
        </w:rPr>
        <w:t xml:space="preserve">1 </w:t>
      </w:r>
      <w:r>
        <w:rPr>
          <w:sz w:val="26"/>
        </w:rPr>
        <w:t>Requerimiento No. 2024-17205 de fecha 12 de junio de 2024 para la adquisición de 3 metros cúbicos de Arena Granulometría, con fecha de utilización del bien/servicio 31 de julio de 2024. Requerimiento No. 2024-2161 de fecha 13 de</w:t>
      </w:r>
    </w:p>
    <w:tbl>
      <w:tblPr>
        <w:tblStyle w:val="TableGrid"/>
        <w:tblW w:w="9425" w:type="dxa"/>
        <w:tblInd w:w="814" w:type="dxa"/>
        <w:tblLook w:val="04A0" w:firstRow="1" w:lastRow="0" w:firstColumn="1" w:lastColumn="0" w:noHBand="0" w:noVBand="1"/>
      </w:tblPr>
      <w:tblGrid>
        <w:gridCol w:w="1771"/>
        <w:gridCol w:w="10527"/>
      </w:tblGrid>
      <w:tr w:rsidR="00053D93" w14:paraId="57816DCF" w14:textId="77777777">
        <w:trPr>
          <w:trHeight w:val="655"/>
        </w:trPr>
        <w:tc>
          <w:tcPr>
            <w:tcW w:w="1788" w:type="dxa"/>
            <w:tcBorders>
              <w:top w:val="nil"/>
              <w:left w:val="nil"/>
              <w:bottom w:val="nil"/>
              <w:right w:val="nil"/>
            </w:tcBorders>
          </w:tcPr>
          <w:p w14:paraId="11AAFA26" w14:textId="77777777" w:rsidR="00053D93" w:rsidRDefault="00260B75">
            <w:r>
              <w:rPr>
                <w:noProof/>
              </w:rPr>
              <w:lastRenderedPageBreak/>
              <w:drawing>
                <wp:inline distT="0" distB="0" distL="0" distR="0" wp14:anchorId="6119D6A5" wp14:editId="374C5261">
                  <wp:extent cx="1124712" cy="411480"/>
                  <wp:effectExtent l="0" t="0" r="0" b="0"/>
                  <wp:docPr id="519194" name="Picture 519194"/>
                  <wp:cNvGraphicFramePr/>
                  <a:graphic xmlns:a="http://schemas.openxmlformats.org/drawingml/2006/main">
                    <a:graphicData uri="http://schemas.openxmlformats.org/drawingml/2006/picture">
                      <pic:pic xmlns:pic="http://schemas.openxmlformats.org/drawingml/2006/picture">
                        <pic:nvPicPr>
                          <pic:cNvPr id="519194" name="Picture 519194"/>
                          <pic:cNvPicPr/>
                        </pic:nvPicPr>
                        <pic:blipFill>
                          <a:blip r:embed="rId806"/>
                          <a:stretch>
                            <a:fillRect/>
                          </a:stretch>
                        </pic:blipFill>
                        <pic:spPr>
                          <a:xfrm>
                            <a:off x="0" y="0"/>
                            <a:ext cx="1124712" cy="411480"/>
                          </a:xfrm>
                          <a:prstGeom prst="rect">
                            <a:avLst/>
                          </a:prstGeom>
                        </pic:spPr>
                      </pic:pic>
                    </a:graphicData>
                  </a:graphic>
                </wp:inline>
              </w:drawing>
            </w:r>
          </w:p>
        </w:tc>
        <w:tc>
          <w:tcPr>
            <w:tcW w:w="7637" w:type="dxa"/>
            <w:tcBorders>
              <w:top w:val="nil"/>
              <w:left w:val="nil"/>
              <w:bottom w:val="nil"/>
              <w:right w:val="nil"/>
            </w:tcBorders>
          </w:tcPr>
          <w:p w14:paraId="674B4F55" w14:textId="77777777" w:rsidR="00053D93" w:rsidRDefault="00053D93">
            <w:pPr>
              <w:ind w:left="-2889" w:right="10526"/>
            </w:pPr>
          </w:p>
          <w:tbl>
            <w:tblPr>
              <w:tblStyle w:val="TableGrid"/>
              <w:tblW w:w="7620" w:type="dxa"/>
              <w:tblInd w:w="17" w:type="dxa"/>
              <w:tblCellMar>
                <w:top w:w="16" w:type="dxa"/>
                <w:left w:w="1731" w:type="dxa"/>
                <w:right w:w="115" w:type="dxa"/>
              </w:tblCellMar>
              <w:tblLook w:val="04A0" w:firstRow="1" w:lastRow="0" w:firstColumn="1" w:lastColumn="0" w:noHBand="0" w:noVBand="1"/>
            </w:tblPr>
            <w:tblGrid>
              <w:gridCol w:w="7620"/>
            </w:tblGrid>
            <w:tr w:rsidR="00053D93" w14:paraId="64B5E34E" w14:textId="77777777">
              <w:trPr>
                <w:trHeight w:val="43"/>
              </w:trPr>
              <w:tc>
                <w:tcPr>
                  <w:tcW w:w="7620" w:type="dxa"/>
                  <w:tcBorders>
                    <w:top w:val="nil"/>
                    <w:left w:val="single" w:sz="2" w:space="0" w:color="000000"/>
                    <w:bottom w:val="single" w:sz="2" w:space="0" w:color="000000"/>
                    <w:right w:val="nil"/>
                  </w:tcBorders>
                </w:tcPr>
                <w:p w14:paraId="4F2F4D50" w14:textId="77777777" w:rsidR="00053D93" w:rsidRDefault="00053D93"/>
              </w:tc>
            </w:tr>
            <w:tr w:rsidR="00053D93" w14:paraId="4C82DFDB" w14:textId="77777777">
              <w:trPr>
                <w:trHeight w:val="605"/>
              </w:trPr>
              <w:tc>
                <w:tcPr>
                  <w:tcW w:w="7620" w:type="dxa"/>
                  <w:tcBorders>
                    <w:top w:val="single" w:sz="2" w:space="0" w:color="000000"/>
                    <w:left w:val="single" w:sz="2" w:space="0" w:color="000000"/>
                    <w:bottom w:val="nil"/>
                    <w:right w:val="nil"/>
                  </w:tcBorders>
                </w:tcPr>
                <w:p w14:paraId="30DE2118" w14:textId="77777777" w:rsidR="00053D93" w:rsidRDefault="00260B75">
                  <w:pPr>
                    <w:ind w:left="828"/>
                  </w:pPr>
                  <w:r>
                    <w:rPr>
                      <w:sz w:val="14"/>
                    </w:rPr>
                    <w:t>MINISTERIO DE EDUCACION</w:t>
                  </w:r>
                </w:p>
                <w:p w14:paraId="54A875ED" w14:textId="77777777" w:rsidR="00053D93" w:rsidRDefault="00260B75">
                  <w:pPr>
                    <w:ind w:left="338"/>
                  </w:pPr>
                  <w:r>
                    <w:rPr>
                      <w:sz w:val="14"/>
                    </w:rPr>
                    <w:t>AUDITORIA FINANCIERA Y DE CUMPLIMIENTO</w:t>
                  </w:r>
                </w:p>
                <w:p w14:paraId="5DC0E7A0" w14:textId="77777777" w:rsidR="00053D93" w:rsidRDefault="00260B75">
                  <w:r>
                    <w:rPr>
                      <w:sz w:val="14"/>
                    </w:rPr>
                    <w:t>PERIODO DEL 01 DE ENERO AL 31 OE DICIEMBRE DE 2024</w:t>
                  </w:r>
                </w:p>
              </w:tc>
            </w:tr>
          </w:tbl>
          <w:p w14:paraId="53D2C2A1" w14:textId="77777777" w:rsidR="00053D93" w:rsidRDefault="00053D93"/>
        </w:tc>
      </w:tr>
    </w:tbl>
    <w:p w14:paraId="1B5E7771" w14:textId="77777777" w:rsidR="00053D93" w:rsidRDefault="00260B75">
      <w:pPr>
        <w:spacing w:after="3"/>
        <w:ind w:left="74" w:right="43" w:hanging="10"/>
      </w:pPr>
      <w:r>
        <w:rPr>
          <w:rFonts w:ascii="Times New Roman" w:eastAsia="Times New Roman" w:hAnsi="Times New Roman" w:cs="Times New Roman"/>
          <w:sz w:val="74"/>
        </w:rPr>
        <w:t>1</w:t>
      </w:r>
    </w:p>
    <w:p w14:paraId="1218EA58" w14:textId="77777777" w:rsidR="00053D93" w:rsidRDefault="00260B75">
      <w:pPr>
        <w:spacing w:after="32"/>
        <w:ind w:left="1764" w:right="-14"/>
      </w:pPr>
      <w:r>
        <w:rPr>
          <w:noProof/>
        </w:rPr>
        <mc:AlternateContent>
          <mc:Choice Requires="wpg">
            <w:drawing>
              <wp:inline distT="0" distB="0" distL="0" distR="0" wp14:anchorId="0601364C" wp14:editId="778CBA07">
                <wp:extent cx="5381244" cy="9144"/>
                <wp:effectExtent l="0" t="0" r="0" b="0"/>
                <wp:docPr id="2458441" name="Group 2458441"/>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440" name="Shape 2458440"/>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41" style="width:423.72pt;height:0.720001pt;mso-position-horizontal-relative:char;mso-position-vertical-relative:line" coordsize="53812,91">
                <v:shape id="Shape 2458440" style="position:absolute;width:53812;height:91;left:0;top:0;" coordsize="5381244,9144" path="m0,4572l5381244,4572">
                  <v:stroke weight="0.720001pt" endcap="flat" joinstyle="miter" miterlimit="1" on="true" color="#000000"/>
                  <v:fill on="false" color="#000000"/>
                </v:shape>
              </v:group>
            </w:pict>
          </mc:Fallback>
        </mc:AlternateContent>
      </w:r>
    </w:p>
    <w:p w14:paraId="60E2DF99" w14:textId="77777777" w:rsidR="00053D93" w:rsidRDefault="00260B75">
      <w:pPr>
        <w:tabs>
          <w:tab w:val="right" w:pos="10238"/>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junio de 2024 para la adquisición de Escaleras de agilidad y habilidad, con fecha</w:t>
      </w:r>
    </w:p>
    <w:p w14:paraId="7AA8E22C" w14:textId="77777777" w:rsidR="00053D93" w:rsidRDefault="00260B75">
      <w:pPr>
        <w:spacing w:after="169" w:line="247" w:lineRule="auto"/>
        <w:ind w:left="86" w:right="14" w:firstLine="1685"/>
        <w:jc w:val="both"/>
      </w:pPr>
      <w:r>
        <w:rPr>
          <w:sz w:val="26"/>
        </w:rPr>
        <w:t xml:space="preserve">de utilización del bien/servicio 16 de agosto de 2024. Tomando en cuenta la fecha de utilización de los requerimientos antes descritos y otros elaborados por tos </w:t>
      </w:r>
      <w:r>
        <w:rPr>
          <w:rFonts w:ascii="Times New Roman" w:eastAsia="Times New Roman" w:hAnsi="Times New Roman" w:cs="Times New Roman"/>
          <w:sz w:val="26"/>
        </w:rPr>
        <w:t xml:space="preserve">1 </w:t>
      </w:r>
      <w:r>
        <w:rPr>
          <w:sz w:val="26"/>
        </w:rPr>
        <w:t xml:space="preserve">departamentos a mi cargo y siguiendo instrucciones del señor Director General se trasladó el Oficio No. CC-245-2024 de fecha 16 de Julio de 2024, donde se </w:t>
      </w:r>
      <w:r>
        <w:rPr>
          <w:rFonts w:ascii="Times New Roman" w:eastAsia="Times New Roman" w:hAnsi="Times New Roman" w:cs="Times New Roman"/>
          <w:sz w:val="26"/>
        </w:rPr>
        <w:t xml:space="preserve">1 </w:t>
      </w:r>
      <w:r>
        <w:rPr>
          <w:sz w:val="26"/>
        </w:rPr>
        <w:t>instruye a los jefes de departamento realizar un plan de distribución y que los insumos adquiridos fueran distribuidos oportunamente con el objetivo de ser utilizados conforme a su fin, en las fechas iniciales programadas.</w:t>
      </w:r>
    </w:p>
    <w:p w14:paraId="3BF999E9" w14:textId="77777777" w:rsidR="00053D93" w:rsidRDefault="00260B75">
      <w:pPr>
        <w:spacing w:after="3" w:line="265" w:lineRule="auto"/>
        <w:ind w:left="60" w:right="65" w:hanging="10"/>
      </w:pPr>
      <w:r>
        <w:rPr>
          <w:rFonts w:ascii="Times New Roman" w:eastAsia="Times New Roman" w:hAnsi="Times New Roman" w:cs="Times New Roman"/>
          <w:sz w:val="66"/>
        </w:rPr>
        <w:t>1</w:t>
      </w:r>
    </w:p>
    <w:p w14:paraId="71925715" w14:textId="77777777" w:rsidR="00053D93" w:rsidRDefault="00260B75">
      <w:pPr>
        <w:spacing w:after="17" w:line="247" w:lineRule="auto"/>
        <w:ind w:left="86" w:right="14" w:firstLine="1670"/>
        <w:jc w:val="both"/>
      </w:pPr>
      <w:r>
        <w:rPr>
          <w:sz w:val="26"/>
        </w:rPr>
        <w:t xml:space="preserve">Así mismo, de forma verbal se le instruyo a la jefe del Departamento de Escuelas Normales de Educación Física solicitara oportunamente el transporte para la </w:t>
      </w:r>
      <w:r>
        <w:rPr>
          <w:rFonts w:ascii="Times New Roman" w:eastAsia="Times New Roman" w:hAnsi="Times New Roman" w:cs="Times New Roman"/>
          <w:sz w:val="26"/>
        </w:rPr>
        <w:t xml:space="preserve">1 </w:t>
      </w:r>
      <w:r>
        <w:rPr>
          <w:sz w:val="26"/>
        </w:rPr>
        <w:t>distribución de los insumos descritos en los requerimientos antes mencionados.</w:t>
      </w:r>
    </w:p>
    <w:p w14:paraId="1623BFDC" w14:textId="77777777" w:rsidR="00053D93" w:rsidRDefault="00260B75">
      <w:pPr>
        <w:spacing w:after="51" w:line="247" w:lineRule="auto"/>
        <w:ind w:left="79" w:right="14" w:firstLine="1692"/>
        <w:jc w:val="both"/>
      </w:pPr>
      <w:r>
        <w:rPr>
          <w:sz w:val="26"/>
        </w:rPr>
        <w:t xml:space="preserve">Para lo cual la jefe de ENEF, traslado a Servicios Generales con visto bueno de mi </w:t>
      </w:r>
      <w:r>
        <w:rPr>
          <w:rFonts w:ascii="Times New Roman" w:eastAsia="Times New Roman" w:hAnsi="Times New Roman" w:cs="Times New Roman"/>
          <w:sz w:val="26"/>
        </w:rPr>
        <w:t xml:space="preserve">1 </w:t>
      </w:r>
      <w:r>
        <w:rPr>
          <w:sz w:val="26"/>
        </w:rPr>
        <w:t>persona en calidad de Coordinador Curricular el Oficio No. ENEF-217-2024 de fecha 16 de julio de 2024, donde se solicitó a la jefe de Servicios Generales transporte tipo camión, piloto y dos operativos para traslado del material, así</w:t>
      </w:r>
    </w:p>
    <w:p w14:paraId="74841EE1" w14:textId="77777777" w:rsidR="00053D93" w:rsidRDefault="00260B75">
      <w:pPr>
        <w:spacing w:after="38"/>
        <w:ind w:left="72"/>
      </w:pPr>
      <w:r>
        <w:rPr>
          <w:noProof/>
        </w:rPr>
        <w:drawing>
          <wp:inline distT="0" distB="0" distL="0" distR="0" wp14:anchorId="6CC99620" wp14:editId="0C9145EF">
            <wp:extent cx="9144" cy="9144"/>
            <wp:effectExtent l="0" t="0" r="0" b="0"/>
            <wp:docPr id="523034" name="Picture 523034"/>
            <wp:cNvGraphicFramePr/>
            <a:graphic xmlns:a="http://schemas.openxmlformats.org/drawingml/2006/main">
              <a:graphicData uri="http://schemas.openxmlformats.org/drawingml/2006/picture">
                <pic:pic xmlns:pic="http://schemas.openxmlformats.org/drawingml/2006/picture">
                  <pic:nvPicPr>
                    <pic:cNvPr id="523034" name="Picture 523034"/>
                    <pic:cNvPicPr/>
                  </pic:nvPicPr>
                  <pic:blipFill>
                    <a:blip r:embed="rId807"/>
                    <a:stretch>
                      <a:fillRect/>
                    </a:stretch>
                  </pic:blipFill>
                  <pic:spPr>
                    <a:xfrm>
                      <a:off x="0" y="0"/>
                      <a:ext cx="9144" cy="9144"/>
                    </a:xfrm>
                    <a:prstGeom prst="rect">
                      <a:avLst/>
                    </a:prstGeom>
                  </pic:spPr>
                </pic:pic>
              </a:graphicData>
            </a:graphic>
          </wp:inline>
        </w:drawing>
      </w:r>
    </w:p>
    <w:p w14:paraId="0BA19447" w14:textId="77777777" w:rsidR="00053D93" w:rsidRDefault="00260B75">
      <w:pPr>
        <w:spacing w:after="14" w:line="290" w:lineRule="auto"/>
        <w:ind w:left="21" w:firstLine="19"/>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mismo se le adjunto el cronograma de entrega, del cual no se obtuvo ninguna respuesta. Pero es el caso que los insumos solicitados en los requerimientos no </w:t>
      </w:r>
      <w:r>
        <w:rPr>
          <w:noProof/>
        </w:rPr>
        <w:drawing>
          <wp:inline distT="0" distB="0" distL="0" distR="0" wp14:anchorId="3C34A27D" wp14:editId="4A4A65E2">
            <wp:extent cx="9144" cy="4572"/>
            <wp:effectExtent l="0" t="0" r="0" b="0"/>
            <wp:docPr id="523035" name="Picture 523035"/>
            <wp:cNvGraphicFramePr/>
            <a:graphic xmlns:a="http://schemas.openxmlformats.org/drawingml/2006/main">
              <a:graphicData uri="http://schemas.openxmlformats.org/drawingml/2006/picture">
                <pic:pic xmlns:pic="http://schemas.openxmlformats.org/drawingml/2006/picture">
                  <pic:nvPicPr>
                    <pic:cNvPr id="523035" name="Picture 523035"/>
                    <pic:cNvPicPr/>
                  </pic:nvPicPr>
                  <pic:blipFill>
                    <a:blip r:embed="rId24"/>
                    <a:stretch>
                      <a:fillRect/>
                    </a:stretch>
                  </pic:blipFill>
                  <pic:spPr>
                    <a:xfrm>
                      <a:off x="0" y="0"/>
                      <a:ext cx="9144" cy="4572"/>
                    </a:xfrm>
                    <a:prstGeom prst="rect">
                      <a:avLst/>
                    </a:prstGeom>
                  </pic:spPr>
                </pic:pic>
              </a:graphicData>
            </a:graphic>
          </wp:inline>
        </w:drawing>
      </w:r>
      <w:r>
        <w:rPr>
          <w:sz w:val="26"/>
        </w:rPr>
        <w:tab/>
        <w:t xml:space="preserve">fueron adquiridos oportunamente según nuestra planificación, por el Departamento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 Compras y lo hicieron saber en</w:t>
      </w:r>
      <w:r>
        <w:rPr>
          <w:sz w:val="26"/>
        </w:rPr>
        <w:tab/>
        <w:t>los oficios</w:t>
      </w:r>
      <w:r>
        <w:rPr>
          <w:sz w:val="26"/>
        </w:rPr>
        <w:tab/>
        <w:t>siguientes:</w:t>
      </w:r>
    </w:p>
    <w:p w14:paraId="50C2290E" w14:textId="77777777" w:rsidR="00053D93" w:rsidRDefault="00260B75">
      <w:pPr>
        <w:spacing w:after="17" w:line="247" w:lineRule="auto"/>
        <w:ind w:left="14" w:right="14" w:firstLine="1699"/>
        <w:jc w:val="both"/>
      </w:pPr>
      <w:r>
        <w:rPr>
          <w:sz w:val="26"/>
        </w:rPr>
        <w:t xml:space="preserve">OFICIO-SDA-CD-553-2024 de fecha 4 de septiembre del 2024, donde el técnico y </w:t>
      </w:r>
      <w:r>
        <w:rPr>
          <w:rFonts w:ascii="Times New Roman" w:eastAsia="Times New Roman" w:hAnsi="Times New Roman" w:cs="Times New Roman"/>
          <w:sz w:val="26"/>
        </w:rPr>
        <w:t xml:space="preserve">1 </w:t>
      </w:r>
      <w:r>
        <w:rPr>
          <w:sz w:val="26"/>
        </w:rPr>
        <w:t xml:space="preserve">jefe de compras hicieron saber los motivos por los que no se adquirió oportunamente las escaleras de agilidad y solicitaron se informe si aún era necesaria la compra. Por lo que en Oficio No. ENEF-301-2024 de fecha 4 de </w:t>
      </w:r>
      <w:r>
        <w:rPr>
          <w:rFonts w:ascii="Times New Roman" w:eastAsia="Times New Roman" w:hAnsi="Times New Roman" w:cs="Times New Roman"/>
          <w:sz w:val="26"/>
        </w:rPr>
        <w:t xml:space="preserve">1 </w:t>
      </w:r>
      <w:r>
        <w:rPr>
          <w:sz w:val="26"/>
        </w:rPr>
        <w:t xml:space="preserve">septiembre de 2024, con visto bueno de mi persona en calidad de Coordinador Curricular, se le comunica a la jefe del Departamento de Compras que era </w:t>
      </w:r>
      <w:r>
        <w:rPr>
          <w:noProof/>
        </w:rPr>
        <w:drawing>
          <wp:inline distT="0" distB="0" distL="0" distR="0" wp14:anchorId="23336C17" wp14:editId="06C671CB">
            <wp:extent cx="22860" cy="4572"/>
            <wp:effectExtent l="0" t="0" r="0" b="0"/>
            <wp:docPr id="523036" name="Picture 523036"/>
            <wp:cNvGraphicFramePr/>
            <a:graphic xmlns:a="http://schemas.openxmlformats.org/drawingml/2006/main">
              <a:graphicData uri="http://schemas.openxmlformats.org/drawingml/2006/picture">
                <pic:pic xmlns:pic="http://schemas.openxmlformats.org/drawingml/2006/picture">
                  <pic:nvPicPr>
                    <pic:cNvPr id="523036" name="Picture 523036"/>
                    <pic:cNvPicPr/>
                  </pic:nvPicPr>
                  <pic:blipFill>
                    <a:blip r:embed="rId808"/>
                    <a:stretch>
                      <a:fillRect/>
                    </a:stretch>
                  </pic:blipFill>
                  <pic:spPr>
                    <a:xfrm>
                      <a:off x="0" y="0"/>
                      <a:ext cx="22860" cy="4572"/>
                    </a:xfrm>
                    <a:prstGeom prst="rect">
                      <a:avLst/>
                    </a:prstGeom>
                  </pic:spPr>
                </pic:pic>
              </a:graphicData>
            </a:graphic>
          </wp:inline>
        </w:drawing>
      </w:r>
      <w:r>
        <w:rPr>
          <w:sz w:val="26"/>
        </w:rPr>
        <w:t xml:space="preserve"> sumamente necesario continuar con la compra de las escaleras de agilidad y </w:t>
      </w:r>
      <w:r>
        <w:rPr>
          <w:rFonts w:ascii="Times New Roman" w:eastAsia="Times New Roman" w:hAnsi="Times New Roman" w:cs="Times New Roman"/>
          <w:sz w:val="26"/>
        </w:rPr>
        <w:t xml:space="preserve">1 </w:t>
      </w:r>
      <w:r>
        <w:rPr>
          <w:sz w:val="26"/>
        </w:rPr>
        <w:t>habilidad para beneficio de las Escuelas Normales de Educación Física.</w:t>
      </w:r>
    </w:p>
    <w:p w14:paraId="43ADDFF1" w14:textId="77777777" w:rsidR="00053D93" w:rsidRDefault="00260B75">
      <w:pPr>
        <w:spacing w:after="154" w:line="247" w:lineRule="auto"/>
        <w:ind w:left="14" w:right="14" w:firstLine="1670"/>
        <w:jc w:val="both"/>
      </w:pPr>
      <w:r>
        <w:rPr>
          <w:sz w:val="26"/>
        </w:rPr>
        <w:t xml:space="preserve">OFICIO-SDA-CD-555-2024 de fecha 5 de septiembre del 2024, donde el técnico y </w:t>
      </w:r>
      <w:r>
        <w:rPr>
          <w:noProof/>
        </w:rPr>
        <w:drawing>
          <wp:inline distT="0" distB="0" distL="0" distR="0" wp14:anchorId="06083E82" wp14:editId="0552B8D4">
            <wp:extent cx="13716" cy="9144"/>
            <wp:effectExtent l="0" t="0" r="0" b="0"/>
            <wp:docPr id="523037" name="Picture 523037"/>
            <wp:cNvGraphicFramePr/>
            <a:graphic xmlns:a="http://schemas.openxmlformats.org/drawingml/2006/main">
              <a:graphicData uri="http://schemas.openxmlformats.org/drawingml/2006/picture">
                <pic:pic xmlns:pic="http://schemas.openxmlformats.org/drawingml/2006/picture">
                  <pic:nvPicPr>
                    <pic:cNvPr id="523037" name="Picture 523037"/>
                    <pic:cNvPicPr/>
                  </pic:nvPicPr>
                  <pic:blipFill>
                    <a:blip r:embed="rId49"/>
                    <a:stretch>
                      <a:fillRect/>
                    </a:stretch>
                  </pic:blipFill>
                  <pic:spPr>
                    <a:xfrm>
                      <a:off x="0" y="0"/>
                      <a:ext cx="13716"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jefe de compras hicieron saber los motivos por los que no se adquirió oportunamente los 3 </w:t>
      </w:r>
      <w:r>
        <w:rPr>
          <w:sz w:val="26"/>
        </w:rPr>
        <w:lastRenderedPageBreak/>
        <w:t xml:space="preserve">metros cúbicos de arena y solicitaron se informe si aún era necesaria la compra. Por lo que en Oficio No. ENEF-306-2024 de fecha 5 de </w:t>
      </w:r>
      <w:r>
        <w:rPr>
          <w:rFonts w:ascii="Times New Roman" w:eastAsia="Times New Roman" w:hAnsi="Times New Roman" w:cs="Times New Roman"/>
          <w:sz w:val="26"/>
        </w:rPr>
        <w:t xml:space="preserve">1 </w:t>
      </w:r>
      <w:r>
        <w:rPr>
          <w:sz w:val="26"/>
        </w:rPr>
        <w:t xml:space="preserve">septiembre de 2024, con visto bueno de mi persona en calidad de Coordinador Curricular, se le comunica a la jefe del Departamento de Compras que era sumamente necesario continuar con la compra de Arena Silica para el buen </w:t>
      </w:r>
      <w:r>
        <w:rPr>
          <w:rFonts w:ascii="Times New Roman" w:eastAsia="Times New Roman" w:hAnsi="Times New Roman" w:cs="Times New Roman"/>
          <w:sz w:val="26"/>
        </w:rPr>
        <w:t xml:space="preserve">1 </w:t>
      </w:r>
      <w:r>
        <w:rPr>
          <w:sz w:val="26"/>
        </w:rPr>
        <w:t xml:space="preserve">funcionamiento de las piscinas de las Escuelas Normales de Educación Física. A partir de ello fue hasta el 1 1 de septiembre de 2024 que ingreso a almacén la </w:t>
      </w:r>
      <w:r>
        <w:rPr>
          <w:rFonts w:ascii="Times New Roman" w:eastAsia="Times New Roman" w:hAnsi="Times New Roman" w:cs="Times New Roman"/>
          <w:sz w:val="26"/>
        </w:rPr>
        <w:t xml:space="preserve">1 </w:t>
      </w:r>
      <w:r>
        <w:rPr>
          <w:sz w:val="26"/>
        </w:rPr>
        <w:t>Arena Silica, según consta en Constancia de Ingreso a Almacén y a Inventario FORMA 1-H Serie "C" No. 869204 y Factura Serie: 0143816F Número de DTE: 1342719751 , con 41 días de atraso a la fecha programada para la utilización. Y el</w:t>
      </w:r>
    </w:p>
    <w:p w14:paraId="007502F0" w14:textId="77777777" w:rsidR="00053D93" w:rsidRDefault="00260B75">
      <w:pPr>
        <w:tabs>
          <w:tab w:val="right" w:pos="10238"/>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18 de septiembre de 2024 ingresaron a almacén las Escaleras de agilidad y</w:t>
      </w:r>
    </w:p>
    <w:tbl>
      <w:tblPr>
        <w:tblStyle w:val="TableGrid"/>
        <w:tblW w:w="9425" w:type="dxa"/>
        <w:tblInd w:w="749" w:type="dxa"/>
        <w:tblLook w:val="04A0" w:firstRow="1" w:lastRow="0" w:firstColumn="1" w:lastColumn="0" w:noHBand="0" w:noVBand="1"/>
      </w:tblPr>
      <w:tblGrid>
        <w:gridCol w:w="1302"/>
        <w:gridCol w:w="8187"/>
      </w:tblGrid>
      <w:tr w:rsidR="00053D93" w14:paraId="31F91C54" w14:textId="77777777">
        <w:trPr>
          <w:trHeight w:val="641"/>
        </w:trPr>
        <w:tc>
          <w:tcPr>
            <w:tcW w:w="1787" w:type="dxa"/>
            <w:tcBorders>
              <w:top w:val="nil"/>
              <w:left w:val="nil"/>
              <w:bottom w:val="nil"/>
              <w:right w:val="nil"/>
            </w:tcBorders>
          </w:tcPr>
          <w:p w14:paraId="23FE5142" w14:textId="77777777" w:rsidR="00053D93" w:rsidRDefault="00260B75">
            <w:r>
              <w:rPr>
                <w:noProof/>
              </w:rPr>
              <w:drawing>
                <wp:inline distT="0" distB="0" distL="0" distR="0" wp14:anchorId="518947F3" wp14:editId="1A9A1231">
                  <wp:extent cx="1124712" cy="406909"/>
                  <wp:effectExtent l="0" t="0" r="0" b="0"/>
                  <wp:docPr id="523092" name="Picture 523092"/>
                  <wp:cNvGraphicFramePr/>
                  <a:graphic xmlns:a="http://schemas.openxmlformats.org/drawingml/2006/main">
                    <a:graphicData uri="http://schemas.openxmlformats.org/drawingml/2006/picture">
                      <pic:pic xmlns:pic="http://schemas.openxmlformats.org/drawingml/2006/picture">
                        <pic:nvPicPr>
                          <pic:cNvPr id="523092" name="Picture 523092"/>
                          <pic:cNvPicPr/>
                        </pic:nvPicPr>
                        <pic:blipFill>
                          <a:blip r:embed="rId809"/>
                          <a:stretch>
                            <a:fillRect/>
                          </a:stretch>
                        </pic:blipFill>
                        <pic:spPr>
                          <a:xfrm>
                            <a:off x="0" y="0"/>
                            <a:ext cx="1124712" cy="406909"/>
                          </a:xfrm>
                          <a:prstGeom prst="rect">
                            <a:avLst/>
                          </a:prstGeom>
                        </pic:spPr>
                      </pic:pic>
                    </a:graphicData>
                  </a:graphic>
                </wp:inline>
              </w:drawing>
            </w:r>
          </w:p>
        </w:tc>
        <w:tc>
          <w:tcPr>
            <w:tcW w:w="7638" w:type="dxa"/>
            <w:tcBorders>
              <w:top w:val="nil"/>
              <w:left w:val="nil"/>
              <w:bottom w:val="nil"/>
              <w:right w:val="nil"/>
            </w:tcBorders>
          </w:tcPr>
          <w:p w14:paraId="6E8020EC" w14:textId="77777777" w:rsidR="00053D93" w:rsidRDefault="00053D93">
            <w:pPr>
              <w:ind w:left="-2824" w:right="10462"/>
            </w:pPr>
          </w:p>
          <w:tbl>
            <w:tblPr>
              <w:tblStyle w:val="TableGrid"/>
              <w:tblW w:w="7622" w:type="dxa"/>
              <w:tblInd w:w="16" w:type="dxa"/>
              <w:tblCellMar>
                <w:top w:w="17" w:type="dxa"/>
                <w:left w:w="1740" w:type="dxa"/>
                <w:right w:w="115" w:type="dxa"/>
              </w:tblCellMar>
              <w:tblLook w:val="04A0" w:firstRow="1" w:lastRow="0" w:firstColumn="1" w:lastColumn="0" w:noHBand="0" w:noVBand="1"/>
            </w:tblPr>
            <w:tblGrid>
              <w:gridCol w:w="7622"/>
            </w:tblGrid>
            <w:tr w:rsidR="00053D93" w14:paraId="646C1A97" w14:textId="77777777">
              <w:trPr>
                <w:trHeight w:val="55"/>
              </w:trPr>
              <w:tc>
                <w:tcPr>
                  <w:tcW w:w="7622" w:type="dxa"/>
                  <w:tcBorders>
                    <w:top w:val="nil"/>
                    <w:left w:val="single" w:sz="2" w:space="0" w:color="000000"/>
                    <w:bottom w:val="single" w:sz="2" w:space="0" w:color="000000"/>
                    <w:right w:val="nil"/>
                  </w:tcBorders>
                </w:tcPr>
                <w:p w14:paraId="447C022C" w14:textId="77777777" w:rsidR="00053D93" w:rsidRDefault="00053D93"/>
              </w:tc>
            </w:tr>
            <w:tr w:rsidR="00053D93" w14:paraId="59A47C17" w14:textId="77777777">
              <w:trPr>
                <w:trHeight w:val="572"/>
              </w:trPr>
              <w:tc>
                <w:tcPr>
                  <w:tcW w:w="7622" w:type="dxa"/>
                  <w:tcBorders>
                    <w:top w:val="single" w:sz="2" w:space="0" w:color="000000"/>
                    <w:left w:val="single" w:sz="2" w:space="0" w:color="000000"/>
                    <w:bottom w:val="nil"/>
                    <w:right w:val="nil"/>
                  </w:tcBorders>
                </w:tcPr>
                <w:p w14:paraId="2244ED12" w14:textId="77777777" w:rsidR="00053D93" w:rsidRDefault="00260B75">
                  <w:pPr>
                    <w:ind w:left="835"/>
                  </w:pPr>
                  <w:r>
                    <w:rPr>
                      <w:sz w:val="14"/>
                    </w:rPr>
                    <w:t>MINISTERIO OE EDUCACION</w:t>
                  </w:r>
                </w:p>
                <w:p w14:paraId="494799B0" w14:textId="77777777" w:rsidR="00053D93" w:rsidRDefault="00260B75">
                  <w:pPr>
                    <w:ind w:left="338"/>
                  </w:pPr>
                  <w:r>
                    <w:rPr>
                      <w:sz w:val="14"/>
                    </w:rPr>
                    <w:t>AUDITORIA FINANCIERA Y OE CUMPLIMIENTO</w:t>
                  </w:r>
                </w:p>
                <w:p w14:paraId="5ADFE015" w14:textId="77777777" w:rsidR="00053D93" w:rsidRDefault="00260B75">
                  <w:r>
                    <w:rPr>
                      <w:sz w:val="14"/>
                    </w:rPr>
                    <w:t>PERIODO DEL 01 DE ENERO AL 31 DE DICIEMBRE DE 2024</w:t>
                  </w:r>
                </w:p>
              </w:tc>
            </w:tr>
          </w:tbl>
          <w:p w14:paraId="16395EDE" w14:textId="77777777" w:rsidR="00053D93" w:rsidRDefault="00053D93"/>
        </w:tc>
      </w:tr>
    </w:tbl>
    <w:p w14:paraId="3CC08667" w14:textId="77777777" w:rsidR="00053D93" w:rsidRDefault="00260B75">
      <w:pPr>
        <w:spacing w:after="3" w:line="265" w:lineRule="auto"/>
        <w:ind w:left="132" w:right="65" w:hanging="10"/>
      </w:pPr>
      <w:r>
        <w:rPr>
          <w:rFonts w:ascii="Times New Roman" w:eastAsia="Times New Roman" w:hAnsi="Times New Roman" w:cs="Times New Roman"/>
          <w:sz w:val="66"/>
        </w:rPr>
        <w:t>1</w:t>
      </w:r>
    </w:p>
    <w:p w14:paraId="40F0E6A0" w14:textId="77777777" w:rsidR="00053D93" w:rsidRDefault="00260B75">
      <w:pPr>
        <w:spacing w:after="37"/>
        <w:ind w:left="1793" w:right="-7"/>
      </w:pPr>
      <w:r>
        <w:rPr>
          <w:noProof/>
        </w:rPr>
        <mc:AlternateContent>
          <mc:Choice Requires="wpg">
            <w:drawing>
              <wp:inline distT="0" distB="0" distL="0" distR="0" wp14:anchorId="23B89E45" wp14:editId="7C9C86F1">
                <wp:extent cx="5376672" cy="9144"/>
                <wp:effectExtent l="0" t="0" r="0" b="0"/>
                <wp:docPr id="2458443" name="Group 2458443"/>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442" name="Shape 2458442"/>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43" style="width:423.36pt;height:0.719997pt;mso-position-horizontal-relative:char;mso-position-vertical-relative:line" coordsize="53766,91">
                <v:shape id="Shape 2458442" style="position:absolute;width:53766;height:91;left:0;top:0;" coordsize="5376672,9144" path="m0,4572l5376672,4572">
                  <v:stroke weight="0.719997pt" endcap="flat" joinstyle="miter" miterlimit="1" on="true" color="#000000"/>
                  <v:fill on="false" color="#000000"/>
                </v:shape>
              </v:group>
            </w:pict>
          </mc:Fallback>
        </mc:AlternateContent>
      </w:r>
    </w:p>
    <w:p w14:paraId="74CC4D5B" w14:textId="77777777" w:rsidR="00053D93" w:rsidRDefault="00260B75">
      <w:pPr>
        <w:spacing w:after="283" w:line="247" w:lineRule="auto"/>
        <w:ind w:left="1807" w:right="14" w:firstLine="4"/>
        <w:jc w:val="both"/>
      </w:pPr>
      <w:r>
        <w:rPr>
          <w:sz w:val="26"/>
        </w:rPr>
        <w:t>habilidad, según consta en Constancia de Ingreso a Almacén y a Inventario FORMA 1-H Serie "C" No. 869224 y Factura Serie: OAE86E78 Número: 1533559497, con 32 días de atraso a la fecha programada para la utilización.</w:t>
      </w:r>
    </w:p>
    <w:p w14:paraId="5CC095F7" w14:textId="77777777" w:rsidR="00053D93" w:rsidRDefault="00260B75">
      <w:pPr>
        <w:spacing w:after="305" w:line="247" w:lineRule="auto"/>
        <w:ind w:left="1742" w:right="14" w:firstLine="65"/>
        <w:jc w:val="both"/>
      </w:pPr>
      <w:r>
        <w:rPr>
          <w:sz w:val="26"/>
        </w:rPr>
        <w:t xml:space="preserve">De esta cuenta y teniendo la certeza que los insumos ya habían ingresado a almacén y en virtud que no se tuvo respuesta por parte de Servicios Generales, se le instruyo a la jefe de ENEF que nuevamente solicitara transporte para la entrega de los insumos, quien en reiteradas ocasiones lo solicitó por falta de respuesta de la unidad encargada, según consta en los oficios siguientes: Oficio No. ENEF-338-2024 de fecha 24 de septiembre de 2024, con visto bueno de mi persona en calidad de Coordinador Curricular, donde se solicitó al Licenciado Edgar Estuardo Rodríguez para que en su calidad de Subdirector General Administrativo de la DIGEF, nos coordinará transporte para el traslado de materiales a las Escuelas Normales de Educación Física. Oficio No. ENEF-391-2024 de fecha 30 de octubre de 2024, con visto bueno de mi persona en calidad de Coordinador Curricular, donde se le solicitó a la jefe de Servicios Generales transporte tipo camión para traslado de la Arena Silica. Oficio No. ENEF-421-2024 de fecha 19 de noviembre de 2024, con visto bueno de mi persona en calidad de Coordinador Curricular, donde se le solicitó a la jefe de Servicios Generales transporte para traslado de materiales a diferentes Escuelas Normales de Educación Física del país. Oficio No. ENEF-422-2024 de fecha 19 de noviembre de 2024, con visto bueno de mi persona en calidad de Coordinador Curricular, donde se le solicitó a la jefe de Servicios Generales transporte para traslado de </w:t>
      </w:r>
      <w:r>
        <w:rPr>
          <w:sz w:val="26"/>
        </w:rPr>
        <w:lastRenderedPageBreak/>
        <w:t>materiales a diferentes Escuelas Normales de Educación Física del país. De los oficios antes mencionados, no se obtuvo ninguna respuesta favorable por parte de la unidad encargada del proporcionar el transporte ni del Subdirector General Administrativo. A pesar de los atrasos en las compras y a la falta de apoyo por la unidad encargada del transporte, se gestionó directamente con los Directores de las Escuelas Normales de Educación Física quienes a pesar de no contar con los recursos económicos para tal acción, autogestionaron y se abocaron a la DIGEF, para que se les hiciera entrega de los insumos necesarios para el funcionamientos de las escuelas a su cargo, tal y como se describe en el cuadro siguiente.</w:t>
      </w:r>
    </w:p>
    <w:p w14:paraId="634612F3" w14:textId="77777777" w:rsidR="00053D93" w:rsidRDefault="00260B75">
      <w:pPr>
        <w:spacing w:after="0"/>
        <w:ind w:left="1735"/>
      </w:pPr>
      <w:r>
        <w:rPr>
          <w:rFonts w:ascii="Times New Roman" w:eastAsia="Times New Roman" w:hAnsi="Times New Roman" w:cs="Times New Roman"/>
        </w:rPr>
        <w:t>ARENA SILICA</w:t>
      </w:r>
    </w:p>
    <w:tbl>
      <w:tblPr>
        <w:tblStyle w:val="TableGrid"/>
        <w:tblW w:w="9425" w:type="dxa"/>
        <w:tblInd w:w="763" w:type="dxa"/>
        <w:tblLook w:val="04A0" w:firstRow="1" w:lastRow="0" w:firstColumn="1" w:lastColumn="0" w:noHBand="0" w:noVBand="1"/>
      </w:tblPr>
      <w:tblGrid>
        <w:gridCol w:w="828"/>
        <w:gridCol w:w="8647"/>
      </w:tblGrid>
      <w:tr w:rsidR="00053D93" w14:paraId="77FCC712" w14:textId="77777777">
        <w:trPr>
          <w:trHeight w:val="3139"/>
        </w:trPr>
        <w:tc>
          <w:tcPr>
            <w:tcW w:w="1022" w:type="dxa"/>
            <w:tcBorders>
              <w:top w:val="nil"/>
              <w:left w:val="nil"/>
              <w:bottom w:val="nil"/>
              <w:right w:val="nil"/>
            </w:tcBorders>
            <w:vAlign w:val="bottom"/>
          </w:tcPr>
          <w:p w14:paraId="1251D58A" w14:textId="77777777" w:rsidR="00053D93" w:rsidRDefault="00260B75">
            <w:r>
              <w:rPr>
                <w:noProof/>
              </w:rPr>
              <w:drawing>
                <wp:inline distT="0" distB="0" distL="0" distR="0" wp14:anchorId="1BF1CF81" wp14:editId="26B23665">
                  <wp:extent cx="644652" cy="406908"/>
                  <wp:effectExtent l="0" t="0" r="0" b="0"/>
                  <wp:docPr id="528301" name="Picture 528301"/>
                  <wp:cNvGraphicFramePr/>
                  <a:graphic xmlns:a="http://schemas.openxmlformats.org/drawingml/2006/main">
                    <a:graphicData uri="http://schemas.openxmlformats.org/drawingml/2006/picture">
                      <pic:pic xmlns:pic="http://schemas.openxmlformats.org/drawingml/2006/picture">
                        <pic:nvPicPr>
                          <pic:cNvPr id="528301" name="Picture 528301"/>
                          <pic:cNvPicPr/>
                        </pic:nvPicPr>
                        <pic:blipFill>
                          <a:blip r:embed="rId810"/>
                          <a:stretch>
                            <a:fillRect/>
                          </a:stretch>
                        </pic:blipFill>
                        <pic:spPr>
                          <a:xfrm>
                            <a:off x="0" y="0"/>
                            <a:ext cx="644652" cy="406908"/>
                          </a:xfrm>
                          <a:prstGeom prst="rect">
                            <a:avLst/>
                          </a:prstGeom>
                        </pic:spPr>
                      </pic:pic>
                    </a:graphicData>
                  </a:graphic>
                </wp:inline>
              </w:drawing>
            </w:r>
          </w:p>
        </w:tc>
        <w:tc>
          <w:tcPr>
            <w:tcW w:w="8402" w:type="dxa"/>
            <w:tcBorders>
              <w:top w:val="nil"/>
              <w:left w:val="nil"/>
              <w:bottom w:val="nil"/>
              <w:right w:val="nil"/>
            </w:tcBorders>
          </w:tcPr>
          <w:p w14:paraId="6879B9C4" w14:textId="77777777" w:rsidR="00053D93" w:rsidRDefault="00053D93">
            <w:pPr>
              <w:ind w:left="-2074" w:right="10476"/>
            </w:pPr>
          </w:p>
          <w:tbl>
            <w:tblPr>
              <w:tblStyle w:val="TableGrid"/>
              <w:tblW w:w="8395" w:type="dxa"/>
              <w:tblInd w:w="7" w:type="dxa"/>
              <w:tblCellMar>
                <w:top w:w="4" w:type="dxa"/>
                <w:left w:w="36" w:type="dxa"/>
                <w:right w:w="30" w:type="dxa"/>
              </w:tblCellMar>
              <w:tblLook w:val="04A0" w:firstRow="1" w:lastRow="0" w:firstColumn="1" w:lastColumn="0" w:noHBand="0" w:noVBand="1"/>
            </w:tblPr>
            <w:tblGrid>
              <w:gridCol w:w="401"/>
              <w:gridCol w:w="288"/>
              <w:gridCol w:w="1226"/>
              <w:gridCol w:w="1388"/>
              <w:gridCol w:w="1025"/>
              <w:gridCol w:w="1122"/>
              <w:gridCol w:w="1348"/>
              <w:gridCol w:w="1597"/>
            </w:tblGrid>
            <w:tr w:rsidR="00053D93" w14:paraId="25CFFDE1" w14:textId="77777777">
              <w:trPr>
                <w:trHeight w:val="706"/>
              </w:trPr>
              <w:tc>
                <w:tcPr>
                  <w:tcW w:w="361" w:type="dxa"/>
                  <w:tcBorders>
                    <w:top w:val="single" w:sz="2" w:space="0" w:color="000000"/>
                    <w:left w:val="single" w:sz="2" w:space="0" w:color="000000"/>
                    <w:bottom w:val="single" w:sz="2" w:space="0" w:color="000000"/>
                    <w:right w:val="single" w:sz="2" w:space="0" w:color="000000"/>
                  </w:tcBorders>
                </w:tcPr>
                <w:p w14:paraId="20D87B9B" w14:textId="77777777" w:rsidR="00053D93" w:rsidRDefault="00260B75">
                  <w:pPr>
                    <w:ind w:left="22"/>
                    <w:jc w:val="both"/>
                  </w:pPr>
                  <w:r>
                    <w:rPr>
                      <w:sz w:val="20"/>
                    </w:rPr>
                    <w:t>NO.</w:t>
                  </w:r>
                </w:p>
              </w:tc>
              <w:tc>
                <w:tcPr>
                  <w:tcW w:w="1523" w:type="dxa"/>
                  <w:gridSpan w:val="2"/>
                  <w:tcBorders>
                    <w:top w:val="single" w:sz="2" w:space="0" w:color="000000"/>
                    <w:left w:val="single" w:sz="2" w:space="0" w:color="000000"/>
                    <w:bottom w:val="single" w:sz="2" w:space="0" w:color="000000"/>
                    <w:right w:val="single" w:sz="2" w:space="0" w:color="000000"/>
                  </w:tcBorders>
                </w:tcPr>
                <w:p w14:paraId="2C0AB643" w14:textId="77777777" w:rsidR="00053D93" w:rsidRDefault="00260B75">
                  <w:pPr>
                    <w:ind w:left="104"/>
                    <w:jc w:val="center"/>
                  </w:pPr>
                  <w:r>
                    <w:t>ENEF/DEPTO.</w:t>
                  </w:r>
                </w:p>
              </w:tc>
              <w:tc>
                <w:tcPr>
                  <w:tcW w:w="1390" w:type="dxa"/>
                  <w:tcBorders>
                    <w:top w:val="single" w:sz="2" w:space="0" w:color="000000"/>
                    <w:left w:val="single" w:sz="2" w:space="0" w:color="000000"/>
                    <w:bottom w:val="single" w:sz="2" w:space="0" w:color="000000"/>
                    <w:right w:val="single" w:sz="2" w:space="0" w:color="000000"/>
                  </w:tcBorders>
                </w:tcPr>
                <w:p w14:paraId="31FEF0B9" w14:textId="77777777" w:rsidR="00053D93" w:rsidRDefault="00260B75">
                  <w:pPr>
                    <w:ind w:left="13"/>
                    <w:jc w:val="center"/>
                  </w:pPr>
                  <w:r>
                    <w:rPr>
                      <w:sz w:val="20"/>
                    </w:rPr>
                    <w:t>INSUMO</w:t>
                  </w:r>
                </w:p>
                <w:p w14:paraId="1C65AE85" w14:textId="77777777" w:rsidR="00053D93" w:rsidRDefault="00260B75">
                  <w:pPr>
                    <w:ind w:left="82"/>
                  </w:pPr>
                  <w:r>
                    <w:t>TRASLADADO</w:t>
                  </w:r>
                </w:p>
              </w:tc>
              <w:tc>
                <w:tcPr>
                  <w:tcW w:w="1032" w:type="dxa"/>
                  <w:tcBorders>
                    <w:top w:val="single" w:sz="2" w:space="0" w:color="000000"/>
                    <w:left w:val="single" w:sz="2" w:space="0" w:color="000000"/>
                    <w:bottom w:val="single" w:sz="2" w:space="0" w:color="000000"/>
                    <w:right w:val="single" w:sz="2" w:space="0" w:color="000000"/>
                  </w:tcBorders>
                </w:tcPr>
                <w:p w14:paraId="03E4D878" w14:textId="77777777" w:rsidR="00053D93" w:rsidRDefault="00260B75">
                  <w:pPr>
                    <w:ind w:left="18"/>
                    <w:jc w:val="center"/>
                  </w:pPr>
                  <w:r>
                    <w:t>FECHA</w:t>
                  </w:r>
                </w:p>
              </w:tc>
              <w:tc>
                <w:tcPr>
                  <w:tcW w:w="1113" w:type="dxa"/>
                  <w:tcBorders>
                    <w:top w:val="single" w:sz="2" w:space="0" w:color="000000"/>
                    <w:left w:val="single" w:sz="2" w:space="0" w:color="000000"/>
                    <w:bottom w:val="single" w:sz="2" w:space="0" w:color="000000"/>
                    <w:right w:val="single" w:sz="2" w:space="0" w:color="000000"/>
                  </w:tcBorders>
                </w:tcPr>
                <w:p w14:paraId="7D513740" w14:textId="77777777" w:rsidR="00053D93" w:rsidRDefault="00260B75">
                  <w:pPr>
                    <w:ind w:left="94"/>
                  </w:pPr>
                  <w:r>
                    <w:rPr>
                      <w:sz w:val="20"/>
                    </w:rPr>
                    <w:t>CANTIDAD</w:t>
                  </w:r>
                </w:p>
              </w:tc>
              <w:tc>
                <w:tcPr>
                  <w:tcW w:w="1375" w:type="dxa"/>
                  <w:tcBorders>
                    <w:top w:val="single" w:sz="2" w:space="0" w:color="000000"/>
                    <w:left w:val="single" w:sz="2" w:space="0" w:color="000000"/>
                    <w:bottom w:val="single" w:sz="2" w:space="0" w:color="000000"/>
                    <w:right w:val="single" w:sz="2" w:space="0" w:color="000000"/>
                  </w:tcBorders>
                </w:tcPr>
                <w:p w14:paraId="2FC19347" w14:textId="77777777" w:rsidR="00053D93" w:rsidRDefault="00260B75">
                  <w:pPr>
                    <w:ind w:left="13"/>
                    <w:jc w:val="center"/>
                  </w:pPr>
                  <w:r>
                    <w:t>DESPACHO</w:t>
                  </w:r>
                </w:p>
                <w:p w14:paraId="303BDC8B" w14:textId="77777777" w:rsidR="00053D93" w:rsidRDefault="00260B75">
                  <w:pPr>
                    <w:jc w:val="center"/>
                  </w:pPr>
                  <w:r>
                    <w:t>DE ALMACEN NO.</w:t>
                  </w:r>
                </w:p>
              </w:tc>
              <w:tc>
                <w:tcPr>
                  <w:tcW w:w="1601" w:type="dxa"/>
                  <w:tcBorders>
                    <w:top w:val="single" w:sz="2" w:space="0" w:color="000000"/>
                    <w:left w:val="single" w:sz="2" w:space="0" w:color="000000"/>
                    <w:bottom w:val="single" w:sz="2" w:space="0" w:color="000000"/>
                    <w:right w:val="single" w:sz="2" w:space="0" w:color="000000"/>
                  </w:tcBorders>
                </w:tcPr>
                <w:p w14:paraId="03887A7F" w14:textId="77777777" w:rsidR="00053D93" w:rsidRDefault="00260B75">
                  <w:pPr>
                    <w:ind w:left="85" w:right="68"/>
                    <w:jc w:val="center"/>
                  </w:pPr>
                  <w:r>
                    <w:rPr>
                      <w:sz w:val="20"/>
                    </w:rPr>
                    <w:t>CONOCIMIENTO DE RECIBIDO NO.</w:t>
                  </w:r>
                </w:p>
              </w:tc>
            </w:tr>
            <w:tr w:rsidR="00053D93" w14:paraId="6FE2BA3C" w14:textId="77777777">
              <w:trPr>
                <w:trHeight w:val="936"/>
              </w:trPr>
              <w:tc>
                <w:tcPr>
                  <w:tcW w:w="361" w:type="dxa"/>
                  <w:tcBorders>
                    <w:top w:val="single" w:sz="2" w:space="0" w:color="000000"/>
                    <w:left w:val="single" w:sz="2" w:space="0" w:color="000000"/>
                    <w:bottom w:val="single" w:sz="2" w:space="0" w:color="000000"/>
                    <w:right w:val="single" w:sz="2" w:space="0" w:color="000000"/>
                  </w:tcBorders>
                </w:tcPr>
                <w:p w14:paraId="374B6CDE" w14:textId="77777777" w:rsidR="00053D93" w:rsidRDefault="00053D93"/>
              </w:tc>
              <w:tc>
                <w:tcPr>
                  <w:tcW w:w="1523" w:type="dxa"/>
                  <w:gridSpan w:val="2"/>
                  <w:tcBorders>
                    <w:top w:val="single" w:sz="2" w:space="0" w:color="000000"/>
                    <w:left w:val="single" w:sz="2" w:space="0" w:color="000000"/>
                    <w:bottom w:val="single" w:sz="2" w:space="0" w:color="000000"/>
                    <w:right w:val="single" w:sz="2" w:space="0" w:color="000000"/>
                  </w:tcBorders>
                </w:tcPr>
                <w:p w14:paraId="639C491A" w14:textId="77777777" w:rsidR="00053D93" w:rsidRDefault="00260B75">
                  <w:pPr>
                    <w:ind w:left="179"/>
                  </w:pPr>
                  <w:r>
                    <w:rPr>
                      <w:sz w:val="20"/>
                    </w:rPr>
                    <w:t>Mixco, Guatemala</w:t>
                  </w:r>
                </w:p>
              </w:tc>
              <w:tc>
                <w:tcPr>
                  <w:tcW w:w="1390" w:type="dxa"/>
                  <w:tcBorders>
                    <w:top w:val="single" w:sz="2" w:space="0" w:color="000000"/>
                    <w:left w:val="single" w:sz="2" w:space="0" w:color="000000"/>
                    <w:bottom w:val="single" w:sz="2" w:space="0" w:color="000000"/>
                    <w:right w:val="single" w:sz="2" w:space="0" w:color="000000"/>
                  </w:tcBorders>
                </w:tcPr>
                <w:p w14:paraId="7DAD5D15" w14:textId="77777777" w:rsidR="00053D93" w:rsidRDefault="00260B75">
                  <w:pPr>
                    <w:ind w:left="82" w:hanging="7"/>
                  </w:pPr>
                  <w:r>
                    <w:rPr>
                      <w:sz w:val="20"/>
                    </w:rPr>
                    <w:t>Arena Silica para filtro de las bombas de la piscina</w:t>
                  </w:r>
                </w:p>
              </w:tc>
              <w:tc>
                <w:tcPr>
                  <w:tcW w:w="1032" w:type="dxa"/>
                  <w:tcBorders>
                    <w:top w:val="single" w:sz="2" w:space="0" w:color="000000"/>
                    <w:left w:val="single" w:sz="2" w:space="0" w:color="000000"/>
                    <w:bottom w:val="single" w:sz="2" w:space="0" w:color="000000"/>
                    <w:right w:val="single" w:sz="2" w:space="0" w:color="000000"/>
                  </w:tcBorders>
                </w:tcPr>
                <w:p w14:paraId="7ED8EB62" w14:textId="77777777" w:rsidR="00053D93" w:rsidRDefault="00260B75">
                  <w:pPr>
                    <w:tabs>
                      <w:tab w:val="right" w:pos="967"/>
                    </w:tabs>
                  </w:pPr>
                  <w:r>
                    <w:rPr>
                      <w:rFonts w:ascii="Times New Roman" w:eastAsia="Times New Roman" w:hAnsi="Times New Roman" w:cs="Times New Roman"/>
                      <w:sz w:val="24"/>
                    </w:rPr>
                    <w:t>1 9</w:t>
                  </w:r>
                  <w:r>
                    <w:rPr>
                      <w:rFonts w:ascii="Times New Roman" w:eastAsia="Times New Roman" w:hAnsi="Times New Roman" w:cs="Times New Roman"/>
                      <w:sz w:val="24"/>
                    </w:rPr>
                    <w:tab/>
                  </w:r>
                  <w:r>
                    <w:rPr>
                      <w:sz w:val="24"/>
                    </w:rPr>
                    <w:t>de</w:t>
                  </w:r>
                </w:p>
                <w:p w14:paraId="62CAF913" w14:textId="77777777" w:rsidR="00053D93" w:rsidRDefault="00260B75">
                  <w:pPr>
                    <w:spacing w:after="5"/>
                    <w:ind w:left="89"/>
                  </w:pPr>
                  <w:r>
                    <w:rPr>
                      <w:sz w:val="18"/>
                    </w:rPr>
                    <w:t>noviembre</w:t>
                  </w:r>
                </w:p>
                <w:p w14:paraId="1FC22C17" w14:textId="77777777" w:rsidR="00053D93" w:rsidRDefault="00260B75">
                  <w:pPr>
                    <w:ind w:left="82"/>
                  </w:pPr>
                  <w:r>
                    <w:rPr>
                      <w:rFonts w:ascii="Times New Roman" w:eastAsia="Times New Roman" w:hAnsi="Times New Roman" w:cs="Times New Roman"/>
                      <w:sz w:val="18"/>
                    </w:rPr>
                    <w:t>2024</w:t>
                  </w:r>
                </w:p>
              </w:tc>
              <w:tc>
                <w:tcPr>
                  <w:tcW w:w="1113" w:type="dxa"/>
                  <w:tcBorders>
                    <w:top w:val="single" w:sz="2" w:space="0" w:color="000000"/>
                    <w:left w:val="single" w:sz="2" w:space="0" w:color="000000"/>
                    <w:bottom w:val="single" w:sz="2" w:space="0" w:color="000000"/>
                    <w:right w:val="single" w:sz="2" w:space="0" w:color="000000"/>
                  </w:tcBorders>
                </w:tcPr>
                <w:p w14:paraId="77222E31" w14:textId="77777777" w:rsidR="00053D93" w:rsidRDefault="00260B75">
                  <w:pPr>
                    <w:tabs>
                      <w:tab w:val="right" w:pos="1048"/>
                    </w:tabs>
                  </w:pPr>
                  <w:r>
                    <w:rPr>
                      <w:sz w:val="20"/>
                    </w:rPr>
                    <w:t xml:space="preserve">1 </w:t>
                  </w:r>
                  <w:r>
                    <w:rPr>
                      <w:sz w:val="20"/>
                    </w:rPr>
                    <w:tab/>
                    <w:t>metro</w:t>
                  </w:r>
                </w:p>
                <w:p w14:paraId="755304B6" w14:textId="77777777" w:rsidR="00053D93" w:rsidRDefault="00260B75">
                  <w:pPr>
                    <w:ind w:left="86"/>
                  </w:pPr>
                  <w:r>
                    <w:rPr>
                      <w:rFonts w:ascii="Times New Roman" w:eastAsia="Times New Roman" w:hAnsi="Times New Roman" w:cs="Times New Roman"/>
                      <w:sz w:val="14"/>
                    </w:rPr>
                    <w:t>cúbico</w:t>
                  </w:r>
                </w:p>
              </w:tc>
              <w:tc>
                <w:tcPr>
                  <w:tcW w:w="1375" w:type="dxa"/>
                  <w:tcBorders>
                    <w:top w:val="single" w:sz="2" w:space="0" w:color="000000"/>
                    <w:left w:val="single" w:sz="2" w:space="0" w:color="000000"/>
                    <w:bottom w:val="single" w:sz="2" w:space="0" w:color="000000"/>
                    <w:right w:val="single" w:sz="2" w:space="0" w:color="000000"/>
                  </w:tcBorders>
                </w:tcPr>
                <w:p w14:paraId="0CE89E26" w14:textId="77777777" w:rsidR="00053D93" w:rsidRDefault="00260B75">
                  <w:pPr>
                    <w:ind w:left="96"/>
                  </w:pPr>
                  <w:r>
                    <w:rPr>
                      <w:rFonts w:ascii="Times New Roman" w:eastAsia="Times New Roman" w:hAnsi="Times New Roman" w:cs="Times New Roman"/>
                      <w:sz w:val="20"/>
                    </w:rPr>
                    <w:t>38571 ...</w:t>
                  </w:r>
                </w:p>
              </w:tc>
              <w:tc>
                <w:tcPr>
                  <w:tcW w:w="1601" w:type="dxa"/>
                  <w:tcBorders>
                    <w:top w:val="single" w:sz="2" w:space="0" w:color="000000"/>
                    <w:left w:val="single" w:sz="2" w:space="0" w:color="000000"/>
                    <w:bottom w:val="single" w:sz="2" w:space="0" w:color="000000"/>
                    <w:right w:val="single" w:sz="2" w:space="0" w:color="000000"/>
                  </w:tcBorders>
                </w:tcPr>
                <w:p w14:paraId="5307DE29" w14:textId="77777777" w:rsidR="00053D93" w:rsidRDefault="00260B75">
                  <w:pPr>
                    <w:ind w:left="89"/>
                  </w:pPr>
                  <w:r>
                    <w:rPr>
                      <w:rFonts w:ascii="Times New Roman" w:eastAsia="Times New Roman" w:hAnsi="Times New Roman" w:cs="Times New Roman"/>
                      <w:sz w:val="20"/>
                    </w:rPr>
                    <w:t>084-2024...</w:t>
                  </w:r>
                </w:p>
              </w:tc>
            </w:tr>
            <w:tr w:rsidR="00053D93" w14:paraId="2184FE82" w14:textId="77777777">
              <w:trPr>
                <w:trHeight w:val="922"/>
              </w:trPr>
              <w:tc>
                <w:tcPr>
                  <w:tcW w:w="361" w:type="dxa"/>
                  <w:vMerge w:val="restart"/>
                  <w:tcBorders>
                    <w:top w:val="single" w:sz="2" w:space="0" w:color="000000"/>
                    <w:left w:val="single" w:sz="2" w:space="0" w:color="000000"/>
                    <w:bottom w:val="nil"/>
                    <w:right w:val="single" w:sz="2" w:space="0" w:color="000000"/>
                  </w:tcBorders>
                </w:tcPr>
                <w:p w14:paraId="680F8CDA" w14:textId="77777777" w:rsidR="00053D93" w:rsidRDefault="00260B75">
                  <w:r>
                    <w:rPr>
                      <w:rFonts w:ascii="Times New Roman" w:eastAsia="Times New Roman" w:hAnsi="Times New Roman" w:cs="Times New Roman"/>
                      <w:sz w:val="18"/>
                    </w:rPr>
                    <w:t>2</w:t>
                  </w:r>
                </w:p>
              </w:tc>
              <w:tc>
                <w:tcPr>
                  <w:tcW w:w="1523" w:type="dxa"/>
                  <w:gridSpan w:val="2"/>
                  <w:tcBorders>
                    <w:top w:val="single" w:sz="2" w:space="0" w:color="000000"/>
                    <w:left w:val="single" w:sz="2" w:space="0" w:color="000000"/>
                    <w:bottom w:val="nil"/>
                    <w:right w:val="single" w:sz="2" w:space="0" w:color="000000"/>
                  </w:tcBorders>
                </w:tcPr>
                <w:p w14:paraId="379B672E" w14:textId="77777777" w:rsidR="00053D93" w:rsidRDefault="00260B75">
                  <w:pPr>
                    <w:ind w:left="68"/>
                    <w:jc w:val="center"/>
                  </w:pPr>
                  <w:r>
                    <w:rPr>
                      <w:sz w:val="20"/>
                    </w:rPr>
                    <w:t>Chimaltenango,</w:t>
                  </w:r>
                </w:p>
                <w:p w14:paraId="5FD21D56" w14:textId="77777777" w:rsidR="00053D93" w:rsidRDefault="00260B75">
                  <w:pPr>
                    <w:ind w:left="24"/>
                    <w:jc w:val="center"/>
                  </w:pPr>
                  <w:r>
                    <w:rPr>
                      <w:sz w:val="20"/>
                    </w:rPr>
                    <w:t>Chimaltenango</w:t>
                  </w:r>
                </w:p>
              </w:tc>
              <w:tc>
                <w:tcPr>
                  <w:tcW w:w="1390" w:type="dxa"/>
                  <w:tcBorders>
                    <w:top w:val="single" w:sz="2" w:space="0" w:color="000000"/>
                    <w:left w:val="single" w:sz="2" w:space="0" w:color="000000"/>
                    <w:bottom w:val="single" w:sz="2" w:space="0" w:color="000000"/>
                    <w:right w:val="single" w:sz="2" w:space="0" w:color="000000"/>
                  </w:tcBorders>
                </w:tcPr>
                <w:p w14:paraId="1ABC4CFA" w14:textId="77777777" w:rsidR="00053D93" w:rsidRDefault="00260B75">
                  <w:pPr>
                    <w:ind w:left="75" w:right="97"/>
                    <w:jc w:val="both"/>
                  </w:pPr>
                  <w:r>
                    <w:rPr>
                      <w:sz w:val="20"/>
                    </w:rPr>
                    <w:t>Arena Silica para filtro de las bombas de</w:t>
                  </w:r>
                </w:p>
              </w:tc>
              <w:tc>
                <w:tcPr>
                  <w:tcW w:w="1032" w:type="dxa"/>
                  <w:tcBorders>
                    <w:top w:val="single" w:sz="2" w:space="0" w:color="000000"/>
                    <w:left w:val="single" w:sz="2" w:space="0" w:color="000000"/>
                    <w:bottom w:val="single" w:sz="2" w:space="0" w:color="000000"/>
                    <w:right w:val="single" w:sz="2" w:space="0" w:color="000000"/>
                  </w:tcBorders>
                </w:tcPr>
                <w:p w14:paraId="44E1D967" w14:textId="77777777" w:rsidR="00053D93" w:rsidRDefault="00260B75">
                  <w:pPr>
                    <w:tabs>
                      <w:tab w:val="right" w:pos="967"/>
                    </w:tabs>
                  </w:pPr>
                  <w:r>
                    <w:rPr>
                      <w:rFonts w:ascii="Times New Roman" w:eastAsia="Times New Roman" w:hAnsi="Times New Roman" w:cs="Times New Roman"/>
                      <w:sz w:val="24"/>
                    </w:rPr>
                    <w:t>1 9</w:t>
                  </w:r>
                  <w:r>
                    <w:rPr>
                      <w:rFonts w:ascii="Times New Roman" w:eastAsia="Times New Roman" w:hAnsi="Times New Roman" w:cs="Times New Roman"/>
                      <w:sz w:val="24"/>
                    </w:rPr>
                    <w:tab/>
                  </w:r>
                  <w:r>
                    <w:rPr>
                      <w:sz w:val="24"/>
                    </w:rPr>
                    <w:t>de</w:t>
                  </w:r>
                </w:p>
                <w:p w14:paraId="275E224E" w14:textId="77777777" w:rsidR="00053D93" w:rsidRDefault="00260B75">
                  <w:pPr>
                    <w:ind w:left="75" w:firstLine="7"/>
                  </w:pPr>
                  <w:r>
                    <w:rPr>
                      <w:sz w:val="18"/>
                    </w:rPr>
                    <w:t xml:space="preserve">noviembre </w:t>
                  </w:r>
                  <w:r>
                    <w:rPr>
                      <w:rFonts w:ascii="Times New Roman" w:eastAsia="Times New Roman" w:hAnsi="Times New Roman" w:cs="Times New Roman"/>
                      <w:sz w:val="18"/>
                    </w:rPr>
                    <w:t>2024</w:t>
                  </w:r>
                </w:p>
              </w:tc>
              <w:tc>
                <w:tcPr>
                  <w:tcW w:w="1113" w:type="dxa"/>
                  <w:tcBorders>
                    <w:top w:val="single" w:sz="2" w:space="0" w:color="000000"/>
                    <w:left w:val="single" w:sz="2" w:space="0" w:color="000000"/>
                    <w:bottom w:val="single" w:sz="2" w:space="0" w:color="000000"/>
                    <w:right w:val="single" w:sz="2" w:space="0" w:color="000000"/>
                  </w:tcBorders>
                </w:tcPr>
                <w:p w14:paraId="6156D4AA" w14:textId="77777777" w:rsidR="00053D93" w:rsidRDefault="00260B75">
                  <w:pPr>
                    <w:ind w:left="79" w:firstLine="7"/>
                  </w:pPr>
                  <w:r>
                    <w:rPr>
                      <w:sz w:val="20"/>
                    </w:rPr>
                    <w:t xml:space="preserve">1 </w:t>
                  </w:r>
                  <w:r>
                    <w:rPr>
                      <w:sz w:val="20"/>
                    </w:rPr>
                    <w:tab/>
                    <w:t>metro cúbico</w:t>
                  </w:r>
                </w:p>
              </w:tc>
              <w:tc>
                <w:tcPr>
                  <w:tcW w:w="1375" w:type="dxa"/>
                  <w:tcBorders>
                    <w:top w:val="single" w:sz="2" w:space="0" w:color="000000"/>
                    <w:left w:val="single" w:sz="2" w:space="0" w:color="000000"/>
                    <w:bottom w:val="single" w:sz="2" w:space="0" w:color="000000"/>
                    <w:right w:val="single" w:sz="2" w:space="0" w:color="000000"/>
                  </w:tcBorders>
                </w:tcPr>
                <w:p w14:paraId="5B295ECA" w14:textId="77777777" w:rsidR="00053D93" w:rsidRDefault="00260B75">
                  <w:pPr>
                    <w:ind w:left="89"/>
                  </w:pPr>
                  <w:r>
                    <w:rPr>
                      <w:rFonts w:ascii="Times New Roman" w:eastAsia="Times New Roman" w:hAnsi="Times New Roman" w:cs="Times New Roman"/>
                      <w:sz w:val="20"/>
                    </w:rPr>
                    <w:t>38572...</w:t>
                  </w:r>
                </w:p>
              </w:tc>
              <w:tc>
                <w:tcPr>
                  <w:tcW w:w="1601" w:type="dxa"/>
                  <w:tcBorders>
                    <w:top w:val="single" w:sz="2" w:space="0" w:color="000000"/>
                    <w:left w:val="single" w:sz="2" w:space="0" w:color="000000"/>
                    <w:bottom w:val="single" w:sz="2" w:space="0" w:color="000000"/>
                    <w:right w:val="single" w:sz="2" w:space="0" w:color="000000"/>
                  </w:tcBorders>
                </w:tcPr>
                <w:p w14:paraId="5D264DD6" w14:textId="77777777" w:rsidR="00053D93" w:rsidRDefault="00260B75">
                  <w:pPr>
                    <w:ind w:left="82"/>
                  </w:pPr>
                  <w:r>
                    <w:rPr>
                      <w:rFonts w:ascii="Times New Roman" w:eastAsia="Times New Roman" w:hAnsi="Times New Roman" w:cs="Times New Roman"/>
                      <w:sz w:val="20"/>
                    </w:rPr>
                    <w:t>085-2024...</w:t>
                  </w:r>
                </w:p>
              </w:tc>
            </w:tr>
            <w:tr w:rsidR="00053D93" w14:paraId="13D7D42F" w14:textId="77777777">
              <w:trPr>
                <w:trHeight w:val="576"/>
              </w:trPr>
              <w:tc>
                <w:tcPr>
                  <w:tcW w:w="0" w:type="auto"/>
                  <w:vMerge/>
                  <w:tcBorders>
                    <w:top w:val="nil"/>
                    <w:left w:val="single" w:sz="2" w:space="0" w:color="000000"/>
                    <w:bottom w:val="nil"/>
                    <w:right w:val="single" w:sz="2" w:space="0" w:color="000000"/>
                  </w:tcBorders>
                </w:tcPr>
                <w:p w14:paraId="06248D0F" w14:textId="77777777" w:rsidR="00053D93" w:rsidRDefault="00053D93"/>
              </w:tc>
              <w:tc>
                <w:tcPr>
                  <w:tcW w:w="288" w:type="dxa"/>
                  <w:tcBorders>
                    <w:top w:val="nil"/>
                    <w:left w:val="single" w:sz="2" w:space="0" w:color="000000"/>
                    <w:bottom w:val="nil"/>
                    <w:right w:val="single" w:sz="2" w:space="0" w:color="000000"/>
                  </w:tcBorders>
                </w:tcPr>
                <w:p w14:paraId="43442508" w14:textId="77777777" w:rsidR="00053D93" w:rsidRDefault="00053D93"/>
              </w:tc>
              <w:tc>
                <w:tcPr>
                  <w:tcW w:w="1235" w:type="dxa"/>
                  <w:tcBorders>
                    <w:top w:val="single" w:sz="2" w:space="0" w:color="000000"/>
                    <w:left w:val="single" w:sz="2" w:space="0" w:color="000000"/>
                    <w:bottom w:val="nil"/>
                    <w:right w:val="nil"/>
                  </w:tcBorders>
                </w:tcPr>
                <w:p w14:paraId="284D80AB" w14:textId="77777777" w:rsidR="00053D93" w:rsidRDefault="00053D93"/>
              </w:tc>
              <w:tc>
                <w:tcPr>
                  <w:tcW w:w="4910" w:type="dxa"/>
                  <w:gridSpan w:val="4"/>
                  <w:tcBorders>
                    <w:top w:val="single" w:sz="2" w:space="0" w:color="000000"/>
                    <w:left w:val="nil"/>
                    <w:bottom w:val="nil"/>
                    <w:right w:val="nil"/>
                  </w:tcBorders>
                </w:tcPr>
                <w:p w14:paraId="404DF504" w14:textId="77777777" w:rsidR="00053D93" w:rsidRDefault="00260B75">
                  <w:pPr>
                    <w:ind w:right="411"/>
                    <w:jc w:val="center"/>
                  </w:pPr>
                  <w:r>
                    <w:rPr>
                      <w:sz w:val="14"/>
                    </w:rPr>
                    <w:t>MINISTER'O DE EDUCACION</w:t>
                  </w:r>
                </w:p>
                <w:p w14:paraId="09BD6C94" w14:textId="77777777" w:rsidR="00053D93" w:rsidRDefault="00260B75">
                  <w:pPr>
                    <w:ind w:left="932"/>
                  </w:pPr>
                  <w:r>
                    <w:rPr>
                      <w:sz w:val="14"/>
                    </w:rPr>
                    <w:t>AUDITORÍA FINANCIERA Y DE CUMPLIMIENTO</w:t>
                  </w:r>
                </w:p>
                <w:p w14:paraId="42FB203D" w14:textId="77777777" w:rsidR="00053D93" w:rsidRDefault="00260B75">
                  <w:pPr>
                    <w:ind w:left="593"/>
                  </w:pPr>
                  <w:r>
                    <w:rPr>
                      <w:sz w:val="14"/>
                    </w:rPr>
                    <w:t>PERIODO DEL 01 DE ENERO AL 31 DE OICIEMBRE OE 2024</w:t>
                  </w:r>
                </w:p>
              </w:tc>
              <w:tc>
                <w:tcPr>
                  <w:tcW w:w="1601" w:type="dxa"/>
                  <w:tcBorders>
                    <w:top w:val="single" w:sz="2" w:space="0" w:color="000000"/>
                    <w:left w:val="nil"/>
                    <w:bottom w:val="nil"/>
                    <w:right w:val="nil"/>
                  </w:tcBorders>
                </w:tcPr>
                <w:p w14:paraId="3710A006" w14:textId="77777777" w:rsidR="00053D93" w:rsidRDefault="00053D93"/>
              </w:tc>
            </w:tr>
          </w:tbl>
          <w:p w14:paraId="59F3C5EC" w14:textId="77777777" w:rsidR="00053D93" w:rsidRDefault="00053D93"/>
        </w:tc>
      </w:tr>
    </w:tbl>
    <w:p w14:paraId="376E03A9" w14:textId="77777777" w:rsidR="00053D93" w:rsidRDefault="00053D93">
      <w:pPr>
        <w:sectPr w:rsidR="00053D93">
          <w:headerReference w:type="even" r:id="rId811"/>
          <w:headerReference w:type="default" r:id="rId812"/>
          <w:footerReference w:type="even" r:id="rId813"/>
          <w:footerReference w:type="default" r:id="rId814"/>
          <w:headerReference w:type="first" r:id="rId815"/>
          <w:footerReference w:type="first" r:id="rId816"/>
          <w:pgSz w:w="12290" w:h="15883"/>
          <w:pgMar w:top="389" w:right="1764" w:bottom="461" w:left="288" w:header="641" w:footer="720" w:gutter="0"/>
          <w:cols w:space="720"/>
          <w:titlePg/>
        </w:sectPr>
      </w:pPr>
    </w:p>
    <w:p w14:paraId="128F49A2" w14:textId="77777777" w:rsidR="00053D93" w:rsidRDefault="00260B75">
      <w:pPr>
        <w:spacing w:after="203" w:line="265" w:lineRule="auto"/>
        <w:ind w:left="3099" w:hanging="10"/>
      </w:pPr>
      <w:r>
        <w:rPr>
          <w:sz w:val="14"/>
        </w:rPr>
        <w:lastRenderedPageBreak/>
        <w:t xml:space="preserve">OE </w:t>
      </w:r>
    </w:p>
    <w:tbl>
      <w:tblPr>
        <w:tblStyle w:val="TableGrid"/>
        <w:tblW w:w="8467" w:type="dxa"/>
        <w:tblInd w:w="1656" w:type="dxa"/>
        <w:tblCellMar>
          <w:top w:w="22" w:type="dxa"/>
          <w:left w:w="118" w:type="dxa"/>
          <w:right w:w="115" w:type="dxa"/>
        </w:tblCellMar>
        <w:tblLook w:val="04A0" w:firstRow="1" w:lastRow="0" w:firstColumn="1" w:lastColumn="0" w:noHBand="0" w:noVBand="1"/>
      </w:tblPr>
      <w:tblGrid>
        <w:gridCol w:w="529"/>
        <w:gridCol w:w="1426"/>
        <w:gridCol w:w="1392"/>
        <w:gridCol w:w="1033"/>
        <w:gridCol w:w="1109"/>
        <w:gridCol w:w="1372"/>
        <w:gridCol w:w="1606"/>
      </w:tblGrid>
      <w:tr w:rsidR="00053D93" w14:paraId="52B3EF9A" w14:textId="77777777">
        <w:trPr>
          <w:trHeight w:val="252"/>
        </w:trPr>
        <w:tc>
          <w:tcPr>
            <w:tcW w:w="529" w:type="dxa"/>
            <w:tcBorders>
              <w:top w:val="single" w:sz="2" w:space="0" w:color="000000"/>
              <w:left w:val="single" w:sz="2" w:space="0" w:color="000000"/>
              <w:bottom w:val="single" w:sz="2" w:space="0" w:color="000000"/>
              <w:right w:val="single" w:sz="2" w:space="0" w:color="000000"/>
            </w:tcBorders>
          </w:tcPr>
          <w:p w14:paraId="1E087A29" w14:textId="77777777" w:rsidR="00053D93" w:rsidRDefault="00053D93"/>
        </w:tc>
        <w:tc>
          <w:tcPr>
            <w:tcW w:w="1426" w:type="dxa"/>
            <w:tcBorders>
              <w:top w:val="single" w:sz="2" w:space="0" w:color="000000"/>
              <w:left w:val="single" w:sz="2" w:space="0" w:color="000000"/>
              <w:bottom w:val="single" w:sz="2" w:space="0" w:color="000000"/>
              <w:right w:val="single" w:sz="2" w:space="0" w:color="000000"/>
            </w:tcBorders>
          </w:tcPr>
          <w:p w14:paraId="4643341C" w14:textId="77777777" w:rsidR="00053D93" w:rsidRDefault="00053D93"/>
        </w:tc>
        <w:tc>
          <w:tcPr>
            <w:tcW w:w="1392" w:type="dxa"/>
            <w:tcBorders>
              <w:top w:val="single" w:sz="2" w:space="0" w:color="000000"/>
              <w:left w:val="single" w:sz="2" w:space="0" w:color="000000"/>
              <w:bottom w:val="single" w:sz="2" w:space="0" w:color="000000"/>
              <w:right w:val="single" w:sz="2" w:space="0" w:color="000000"/>
            </w:tcBorders>
          </w:tcPr>
          <w:p w14:paraId="1B32FF60" w14:textId="77777777" w:rsidR="00053D93" w:rsidRDefault="00260B75">
            <w:r>
              <w:rPr>
                <w:sz w:val="18"/>
              </w:rPr>
              <w:t>la -pisêiñá</w:t>
            </w:r>
          </w:p>
        </w:tc>
        <w:tc>
          <w:tcPr>
            <w:tcW w:w="1033" w:type="dxa"/>
            <w:tcBorders>
              <w:top w:val="single" w:sz="2" w:space="0" w:color="000000"/>
              <w:left w:val="single" w:sz="2" w:space="0" w:color="000000"/>
              <w:bottom w:val="single" w:sz="2" w:space="0" w:color="000000"/>
              <w:right w:val="single" w:sz="2" w:space="0" w:color="000000"/>
            </w:tcBorders>
          </w:tcPr>
          <w:p w14:paraId="0E7BBA41" w14:textId="77777777" w:rsidR="00053D93" w:rsidRDefault="00053D93"/>
        </w:tc>
        <w:tc>
          <w:tcPr>
            <w:tcW w:w="1109" w:type="dxa"/>
            <w:tcBorders>
              <w:top w:val="single" w:sz="2" w:space="0" w:color="000000"/>
              <w:left w:val="single" w:sz="2" w:space="0" w:color="000000"/>
              <w:bottom w:val="single" w:sz="2" w:space="0" w:color="000000"/>
              <w:right w:val="single" w:sz="2" w:space="0" w:color="000000"/>
            </w:tcBorders>
          </w:tcPr>
          <w:p w14:paraId="3BA501D1" w14:textId="77777777" w:rsidR="00053D93" w:rsidRDefault="00053D93"/>
        </w:tc>
        <w:tc>
          <w:tcPr>
            <w:tcW w:w="1372" w:type="dxa"/>
            <w:tcBorders>
              <w:top w:val="single" w:sz="2" w:space="0" w:color="000000"/>
              <w:left w:val="single" w:sz="2" w:space="0" w:color="000000"/>
              <w:bottom w:val="single" w:sz="2" w:space="0" w:color="000000"/>
              <w:right w:val="single" w:sz="2" w:space="0" w:color="000000"/>
            </w:tcBorders>
          </w:tcPr>
          <w:p w14:paraId="44437D3A" w14:textId="77777777" w:rsidR="00053D93" w:rsidRDefault="00053D93"/>
        </w:tc>
        <w:tc>
          <w:tcPr>
            <w:tcW w:w="1606" w:type="dxa"/>
            <w:tcBorders>
              <w:top w:val="single" w:sz="2" w:space="0" w:color="000000"/>
              <w:left w:val="single" w:sz="2" w:space="0" w:color="000000"/>
              <w:bottom w:val="single" w:sz="2" w:space="0" w:color="000000"/>
              <w:right w:val="single" w:sz="2" w:space="0" w:color="000000"/>
            </w:tcBorders>
          </w:tcPr>
          <w:p w14:paraId="6C27ECCA" w14:textId="77777777" w:rsidR="00053D93" w:rsidRDefault="00053D93"/>
        </w:tc>
      </w:tr>
    </w:tbl>
    <w:p w14:paraId="5BFBC847" w14:textId="77777777" w:rsidR="00053D93" w:rsidRDefault="00260B75">
      <w:pPr>
        <w:spacing w:after="18" w:line="248" w:lineRule="auto"/>
        <w:ind w:left="1709" w:hanging="3"/>
        <w:jc w:val="both"/>
      </w:pPr>
      <w:r>
        <w:rPr>
          <w:sz w:val="28"/>
        </w:rPr>
        <w:t>ESCALERAS DE AGILIDAD Y HABILIDAD</w:t>
      </w:r>
    </w:p>
    <w:tbl>
      <w:tblPr>
        <w:tblStyle w:val="TableGrid"/>
        <w:tblW w:w="8472" w:type="dxa"/>
        <w:tblInd w:w="1634" w:type="dxa"/>
        <w:tblCellMar>
          <w:bottom w:w="22" w:type="dxa"/>
          <w:right w:w="105" w:type="dxa"/>
        </w:tblCellMar>
        <w:tblLook w:val="04A0" w:firstRow="1" w:lastRow="0" w:firstColumn="1" w:lastColumn="0" w:noHBand="0" w:noVBand="1"/>
      </w:tblPr>
      <w:tblGrid>
        <w:gridCol w:w="555"/>
        <w:gridCol w:w="1457"/>
        <w:gridCol w:w="1101"/>
        <w:gridCol w:w="355"/>
        <w:gridCol w:w="1179"/>
        <w:gridCol w:w="1111"/>
        <w:gridCol w:w="1258"/>
        <w:gridCol w:w="1477"/>
      </w:tblGrid>
      <w:tr w:rsidR="00053D93" w14:paraId="4D7DB61D" w14:textId="77777777">
        <w:trPr>
          <w:trHeight w:val="936"/>
        </w:trPr>
        <w:tc>
          <w:tcPr>
            <w:tcW w:w="526" w:type="dxa"/>
            <w:tcBorders>
              <w:top w:val="single" w:sz="2" w:space="0" w:color="000000"/>
              <w:left w:val="single" w:sz="2" w:space="0" w:color="000000"/>
              <w:bottom w:val="single" w:sz="2" w:space="0" w:color="000000"/>
              <w:right w:val="single" w:sz="2" w:space="0" w:color="000000"/>
            </w:tcBorders>
          </w:tcPr>
          <w:p w14:paraId="653F23C2" w14:textId="77777777" w:rsidR="00053D93" w:rsidRDefault="00260B75">
            <w:pPr>
              <w:ind w:left="137"/>
            </w:pPr>
            <w:r>
              <w:rPr>
                <w:sz w:val="20"/>
              </w:rPr>
              <w:t>NO.</w:t>
            </w:r>
          </w:p>
        </w:tc>
        <w:tc>
          <w:tcPr>
            <w:tcW w:w="1365" w:type="dxa"/>
            <w:tcBorders>
              <w:top w:val="single" w:sz="2" w:space="0" w:color="000000"/>
              <w:left w:val="single" w:sz="2" w:space="0" w:color="000000"/>
              <w:bottom w:val="single" w:sz="2" w:space="0" w:color="000000"/>
              <w:right w:val="single" w:sz="2" w:space="0" w:color="000000"/>
            </w:tcBorders>
          </w:tcPr>
          <w:p w14:paraId="424BACC2" w14:textId="77777777" w:rsidR="00053D93" w:rsidRDefault="00260B75">
            <w:pPr>
              <w:ind w:left="144"/>
            </w:pPr>
            <w:r>
              <w:t>ENEF/DEPTO.</w:t>
            </w:r>
          </w:p>
        </w:tc>
        <w:tc>
          <w:tcPr>
            <w:tcW w:w="1397" w:type="dxa"/>
            <w:gridSpan w:val="2"/>
            <w:tcBorders>
              <w:top w:val="single" w:sz="2" w:space="0" w:color="000000"/>
              <w:left w:val="single" w:sz="2" w:space="0" w:color="000000"/>
              <w:bottom w:val="single" w:sz="2" w:space="0" w:color="000000"/>
              <w:right w:val="single" w:sz="2" w:space="0" w:color="000000"/>
            </w:tcBorders>
          </w:tcPr>
          <w:p w14:paraId="6C2F5BCD" w14:textId="77777777" w:rsidR="00053D93" w:rsidRDefault="00260B75">
            <w:pPr>
              <w:ind w:left="147"/>
              <w:jc w:val="center"/>
            </w:pPr>
            <w:r>
              <w:rPr>
                <w:sz w:val="20"/>
              </w:rPr>
              <w:t>INSUMO</w:t>
            </w:r>
          </w:p>
          <w:p w14:paraId="6FE1B2B1" w14:textId="77777777" w:rsidR="00053D93" w:rsidRDefault="00260B75">
            <w:pPr>
              <w:ind w:left="132"/>
            </w:pPr>
            <w:r>
              <w:t>TRASLADADO</w:t>
            </w:r>
          </w:p>
        </w:tc>
        <w:tc>
          <w:tcPr>
            <w:tcW w:w="1227" w:type="dxa"/>
            <w:tcBorders>
              <w:top w:val="single" w:sz="2" w:space="0" w:color="000000"/>
              <w:left w:val="single" w:sz="2" w:space="0" w:color="000000"/>
              <w:bottom w:val="single" w:sz="2" w:space="0" w:color="000000"/>
              <w:right w:val="single" w:sz="2" w:space="0" w:color="000000"/>
            </w:tcBorders>
          </w:tcPr>
          <w:p w14:paraId="40912DCE" w14:textId="77777777" w:rsidR="00053D93" w:rsidRDefault="00260B75">
            <w:pPr>
              <w:ind w:left="151"/>
              <w:jc w:val="center"/>
            </w:pPr>
            <w:r>
              <w:t>FECHA</w:t>
            </w:r>
          </w:p>
        </w:tc>
        <w:tc>
          <w:tcPr>
            <w:tcW w:w="1113" w:type="dxa"/>
            <w:tcBorders>
              <w:top w:val="single" w:sz="2" w:space="0" w:color="000000"/>
              <w:left w:val="single" w:sz="2" w:space="0" w:color="000000"/>
              <w:bottom w:val="single" w:sz="2" w:space="0" w:color="000000"/>
              <w:right w:val="single" w:sz="2" w:space="0" w:color="000000"/>
            </w:tcBorders>
          </w:tcPr>
          <w:p w14:paraId="1C971B45" w14:textId="77777777" w:rsidR="00053D93" w:rsidRDefault="00260B75">
            <w:pPr>
              <w:ind w:left="144"/>
            </w:pPr>
            <w:r>
              <w:rPr>
                <w:sz w:val="20"/>
              </w:rPr>
              <w:t>CANTIDAD</w:t>
            </w:r>
          </w:p>
        </w:tc>
        <w:tc>
          <w:tcPr>
            <w:tcW w:w="1255" w:type="dxa"/>
            <w:tcBorders>
              <w:top w:val="single" w:sz="2" w:space="0" w:color="000000"/>
              <w:left w:val="single" w:sz="2" w:space="0" w:color="000000"/>
              <w:bottom w:val="single" w:sz="2" w:space="0" w:color="000000"/>
              <w:right w:val="single" w:sz="2" w:space="0" w:color="000000"/>
            </w:tcBorders>
          </w:tcPr>
          <w:p w14:paraId="6BFDDAF7" w14:textId="77777777" w:rsidR="00053D93" w:rsidRDefault="00260B75">
            <w:pPr>
              <w:ind w:left="168"/>
            </w:pPr>
            <w:r>
              <w:t>DESPACHO</w:t>
            </w:r>
          </w:p>
          <w:p w14:paraId="04C618B7" w14:textId="77777777" w:rsidR="00053D93" w:rsidRDefault="00260B75">
            <w:pPr>
              <w:ind w:left="151"/>
              <w:jc w:val="center"/>
            </w:pPr>
            <w:r>
              <w:t>DE</w:t>
            </w:r>
          </w:p>
          <w:p w14:paraId="3EAED602" w14:textId="77777777" w:rsidR="00053D93" w:rsidRDefault="00260B75">
            <w:pPr>
              <w:ind w:left="78"/>
              <w:jc w:val="center"/>
            </w:pPr>
            <w:r>
              <w:t>ALMACEN NO.</w:t>
            </w:r>
          </w:p>
        </w:tc>
        <w:tc>
          <w:tcPr>
            <w:tcW w:w="1589" w:type="dxa"/>
            <w:tcBorders>
              <w:top w:val="single" w:sz="2" w:space="0" w:color="000000"/>
              <w:left w:val="single" w:sz="2" w:space="0" w:color="000000"/>
              <w:bottom w:val="single" w:sz="2" w:space="0" w:color="000000"/>
              <w:right w:val="single" w:sz="2" w:space="0" w:color="000000"/>
            </w:tcBorders>
          </w:tcPr>
          <w:p w14:paraId="5454E70A" w14:textId="77777777" w:rsidR="00053D93" w:rsidRDefault="00260B75">
            <w:pPr>
              <w:spacing w:after="4" w:line="219" w:lineRule="auto"/>
              <w:ind w:left="36"/>
              <w:jc w:val="center"/>
            </w:pPr>
            <w:r>
              <w:rPr>
                <w:sz w:val="20"/>
              </w:rPr>
              <w:t>CONOCIMIENTO DE RECIBIDO</w:t>
            </w:r>
          </w:p>
          <w:p w14:paraId="58303C14" w14:textId="77777777" w:rsidR="00053D93" w:rsidRDefault="00260B75">
            <w:pPr>
              <w:ind w:left="137"/>
              <w:jc w:val="center"/>
            </w:pPr>
            <w:r>
              <w:rPr>
                <w:sz w:val="20"/>
              </w:rPr>
              <w:t>NO.</w:t>
            </w:r>
          </w:p>
        </w:tc>
      </w:tr>
      <w:tr w:rsidR="00053D93" w14:paraId="4C29D2F5" w14:textId="77777777">
        <w:trPr>
          <w:trHeight w:val="713"/>
        </w:trPr>
        <w:tc>
          <w:tcPr>
            <w:tcW w:w="526" w:type="dxa"/>
            <w:tcBorders>
              <w:top w:val="single" w:sz="2" w:space="0" w:color="000000"/>
              <w:left w:val="single" w:sz="2" w:space="0" w:color="000000"/>
              <w:bottom w:val="single" w:sz="2" w:space="0" w:color="000000"/>
              <w:right w:val="single" w:sz="2" w:space="0" w:color="000000"/>
            </w:tcBorders>
          </w:tcPr>
          <w:p w14:paraId="6AC0511F" w14:textId="77777777" w:rsidR="00053D93" w:rsidRDefault="00260B75">
            <w:pPr>
              <w:ind w:left="137"/>
            </w:pPr>
            <w:r>
              <w:rPr>
                <w:rFonts w:ascii="Times New Roman" w:eastAsia="Times New Roman" w:hAnsi="Times New Roman" w:cs="Times New Roman"/>
                <w:sz w:val="20"/>
              </w:rPr>
              <w:t>1</w:t>
            </w:r>
          </w:p>
        </w:tc>
        <w:tc>
          <w:tcPr>
            <w:tcW w:w="1365" w:type="dxa"/>
            <w:tcBorders>
              <w:top w:val="single" w:sz="2" w:space="0" w:color="000000"/>
              <w:left w:val="single" w:sz="2" w:space="0" w:color="000000"/>
              <w:bottom w:val="single" w:sz="2" w:space="0" w:color="000000"/>
              <w:right w:val="single" w:sz="2" w:space="0" w:color="000000"/>
            </w:tcBorders>
          </w:tcPr>
          <w:p w14:paraId="6EF50340" w14:textId="77777777" w:rsidR="00053D93" w:rsidRDefault="00260B75">
            <w:pPr>
              <w:ind w:left="130"/>
            </w:pPr>
            <w:r>
              <w:rPr>
                <w:sz w:val="24"/>
              </w:rPr>
              <w:t>Zacapa, Zacapa</w:t>
            </w:r>
          </w:p>
        </w:tc>
        <w:tc>
          <w:tcPr>
            <w:tcW w:w="1076" w:type="dxa"/>
            <w:tcBorders>
              <w:top w:val="single" w:sz="2" w:space="0" w:color="000000"/>
              <w:left w:val="single" w:sz="2" w:space="0" w:color="000000"/>
              <w:bottom w:val="single" w:sz="2" w:space="0" w:color="000000"/>
              <w:right w:val="nil"/>
            </w:tcBorders>
          </w:tcPr>
          <w:p w14:paraId="488AAB28" w14:textId="77777777" w:rsidR="00053D93" w:rsidRDefault="00260B75">
            <w:pPr>
              <w:ind w:left="140" w:firstLine="7"/>
            </w:pPr>
            <w:r>
              <w:t>Escaleras agilidad</w:t>
            </w:r>
          </w:p>
        </w:tc>
        <w:tc>
          <w:tcPr>
            <w:tcW w:w="321" w:type="dxa"/>
            <w:tcBorders>
              <w:top w:val="single" w:sz="2" w:space="0" w:color="000000"/>
              <w:left w:val="nil"/>
              <w:bottom w:val="single" w:sz="2" w:space="0" w:color="000000"/>
              <w:right w:val="single" w:sz="2" w:space="0" w:color="000000"/>
            </w:tcBorders>
          </w:tcPr>
          <w:p w14:paraId="0AD4EF95" w14:textId="77777777" w:rsidR="00053D93" w:rsidRDefault="00260B75">
            <w:pPr>
              <w:ind w:left="36"/>
            </w:pPr>
            <w:r>
              <w:rPr>
                <w:sz w:val="20"/>
              </w:rPr>
              <w:t>de</w:t>
            </w:r>
          </w:p>
        </w:tc>
        <w:tc>
          <w:tcPr>
            <w:tcW w:w="1227" w:type="dxa"/>
            <w:tcBorders>
              <w:top w:val="single" w:sz="2" w:space="0" w:color="000000"/>
              <w:left w:val="single" w:sz="2" w:space="0" w:color="000000"/>
              <w:bottom w:val="single" w:sz="2" w:space="0" w:color="000000"/>
              <w:right w:val="single" w:sz="2" w:space="0" w:color="000000"/>
            </w:tcBorders>
          </w:tcPr>
          <w:p w14:paraId="25F7D6A3" w14:textId="77777777" w:rsidR="00053D93" w:rsidRDefault="00260B75">
            <w:pPr>
              <w:tabs>
                <w:tab w:val="right" w:pos="1121"/>
              </w:tabs>
            </w:pPr>
            <w:r>
              <w:rPr>
                <w:rFonts w:ascii="Times New Roman" w:eastAsia="Times New Roman" w:hAnsi="Times New Roman" w:cs="Times New Roman"/>
                <w:sz w:val="26"/>
              </w:rPr>
              <w:t>1 3</w:t>
            </w:r>
            <w:r>
              <w:rPr>
                <w:rFonts w:ascii="Times New Roman" w:eastAsia="Times New Roman" w:hAnsi="Times New Roman" w:cs="Times New Roman"/>
                <w:sz w:val="26"/>
              </w:rPr>
              <w:tab/>
            </w:r>
            <w:r>
              <w:rPr>
                <w:sz w:val="26"/>
              </w:rPr>
              <w:t>de</w:t>
            </w:r>
          </w:p>
          <w:p w14:paraId="2FF1E4D6" w14:textId="77777777" w:rsidR="00053D93" w:rsidRDefault="00260B75">
            <w:pPr>
              <w:ind w:left="140"/>
            </w:pPr>
            <w:r>
              <w:rPr>
                <w:sz w:val="20"/>
              </w:rPr>
              <w:t>noviembre</w:t>
            </w:r>
          </w:p>
          <w:p w14:paraId="6DE4B35E" w14:textId="77777777" w:rsidR="00053D93" w:rsidRDefault="00260B75">
            <w:pPr>
              <w:ind w:left="132"/>
            </w:pPr>
            <w:r>
              <w:rPr>
                <w:rFonts w:ascii="Times New Roman" w:eastAsia="Times New Roman" w:hAnsi="Times New Roman" w:cs="Times New Roman"/>
                <w:sz w:val="18"/>
              </w:rPr>
              <w:t>2024</w:t>
            </w:r>
          </w:p>
        </w:tc>
        <w:tc>
          <w:tcPr>
            <w:tcW w:w="1113" w:type="dxa"/>
            <w:tcBorders>
              <w:top w:val="single" w:sz="2" w:space="0" w:color="000000"/>
              <w:left w:val="single" w:sz="2" w:space="0" w:color="000000"/>
              <w:bottom w:val="single" w:sz="2" w:space="0" w:color="000000"/>
              <w:right w:val="single" w:sz="2" w:space="0" w:color="000000"/>
            </w:tcBorders>
          </w:tcPr>
          <w:p w14:paraId="79C1FDE1" w14:textId="77777777" w:rsidR="00053D93" w:rsidRDefault="00260B75">
            <w:pPr>
              <w:ind w:left="130"/>
              <w:jc w:val="center"/>
            </w:pPr>
            <w:r>
              <w:rPr>
                <w:rFonts w:ascii="Times New Roman" w:eastAsia="Times New Roman" w:hAnsi="Times New Roman" w:cs="Times New Roman"/>
                <w:sz w:val="18"/>
              </w:rPr>
              <w:t>50</w:t>
            </w:r>
          </w:p>
        </w:tc>
        <w:tc>
          <w:tcPr>
            <w:tcW w:w="1255" w:type="dxa"/>
            <w:tcBorders>
              <w:top w:val="single" w:sz="2" w:space="0" w:color="000000"/>
              <w:left w:val="single" w:sz="2" w:space="0" w:color="000000"/>
              <w:bottom w:val="single" w:sz="2" w:space="0" w:color="000000"/>
              <w:right w:val="single" w:sz="2" w:space="0" w:color="000000"/>
            </w:tcBorders>
          </w:tcPr>
          <w:p w14:paraId="22358DC3" w14:textId="77777777" w:rsidR="00053D93" w:rsidRDefault="00260B75">
            <w:pPr>
              <w:ind w:left="130"/>
              <w:jc w:val="center"/>
            </w:pPr>
            <w:r>
              <w:rPr>
                <w:rFonts w:ascii="Times New Roman" w:eastAsia="Times New Roman" w:hAnsi="Times New Roman" w:cs="Times New Roman"/>
                <w:sz w:val="20"/>
              </w:rPr>
              <w:t>38565</w:t>
            </w:r>
          </w:p>
        </w:tc>
        <w:tc>
          <w:tcPr>
            <w:tcW w:w="1589" w:type="dxa"/>
            <w:tcBorders>
              <w:top w:val="single" w:sz="2" w:space="0" w:color="000000"/>
              <w:left w:val="single" w:sz="2" w:space="0" w:color="000000"/>
              <w:bottom w:val="single" w:sz="2" w:space="0" w:color="000000"/>
              <w:right w:val="single" w:sz="2" w:space="0" w:color="000000"/>
            </w:tcBorders>
          </w:tcPr>
          <w:p w14:paraId="7B8C3067" w14:textId="77777777" w:rsidR="00053D93" w:rsidRDefault="00260B75">
            <w:pPr>
              <w:ind w:left="130"/>
              <w:jc w:val="center"/>
            </w:pPr>
            <w:r>
              <w:rPr>
                <w:rFonts w:ascii="Times New Roman" w:eastAsia="Times New Roman" w:hAnsi="Times New Roman" w:cs="Times New Roman"/>
                <w:sz w:val="18"/>
              </w:rPr>
              <w:t>082-2024</w:t>
            </w:r>
          </w:p>
        </w:tc>
      </w:tr>
      <w:tr w:rsidR="00053D93" w14:paraId="4520548A" w14:textId="77777777">
        <w:trPr>
          <w:trHeight w:val="710"/>
        </w:trPr>
        <w:tc>
          <w:tcPr>
            <w:tcW w:w="526" w:type="dxa"/>
            <w:tcBorders>
              <w:top w:val="single" w:sz="2" w:space="0" w:color="000000"/>
              <w:left w:val="single" w:sz="2" w:space="0" w:color="000000"/>
              <w:bottom w:val="single" w:sz="2" w:space="0" w:color="000000"/>
              <w:right w:val="single" w:sz="2" w:space="0" w:color="000000"/>
            </w:tcBorders>
          </w:tcPr>
          <w:p w14:paraId="7B8EDE70" w14:textId="77777777" w:rsidR="00053D93" w:rsidRDefault="00260B75">
            <w:pPr>
              <w:ind w:left="130"/>
            </w:pPr>
            <w:r>
              <w:rPr>
                <w:rFonts w:ascii="Times New Roman" w:eastAsia="Times New Roman" w:hAnsi="Times New Roman" w:cs="Times New Roman"/>
                <w:sz w:val="18"/>
              </w:rPr>
              <w:t>2</w:t>
            </w:r>
          </w:p>
        </w:tc>
        <w:tc>
          <w:tcPr>
            <w:tcW w:w="1365" w:type="dxa"/>
            <w:tcBorders>
              <w:top w:val="single" w:sz="2" w:space="0" w:color="000000"/>
              <w:left w:val="single" w:sz="2" w:space="0" w:color="000000"/>
              <w:bottom w:val="single" w:sz="2" w:space="0" w:color="000000"/>
              <w:right w:val="single" w:sz="2" w:space="0" w:color="000000"/>
            </w:tcBorders>
          </w:tcPr>
          <w:p w14:paraId="32F85BEF" w14:textId="77777777" w:rsidR="00053D93" w:rsidRDefault="00260B75">
            <w:pPr>
              <w:ind w:left="137"/>
            </w:pPr>
            <w:r>
              <w:rPr>
                <w:sz w:val="20"/>
              </w:rPr>
              <w:t>Puerto Barrios Izabal</w:t>
            </w:r>
          </w:p>
        </w:tc>
        <w:tc>
          <w:tcPr>
            <w:tcW w:w="1076" w:type="dxa"/>
            <w:tcBorders>
              <w:top w:val="single" w:sz="2" w:space="0" w:color="000000"/>
              <w:left w:val="single" w:sz="2" w:space="0" w:color="000000"/>
              <w:bottom w:val="single" w:sz="2" w:space="0" w:color="000000"/>
              <w:right w:val="nil"/>
            </w:tcBorders>
          </w:tcPr>
          <w:p w14:paraId="7CEBB35E" w14:textId="77777777" w:rsidR="00053D93" w:rsidRDefault="00260B75">
            <w:pPr>
              <w:ind w:left="140"/>
            </w:pPr>
            <w:r>
              <w:t>Escaleras agilidad</w:t>
            </w:r>
          </w:p>
        </w:tc>
        <w:tc>
          <w:tcPr>
            <w:tcW w:w="321" w:type="dxa"/>
            <w:tcBorders>
              <w:top w:val="single" w:sz="2" w:space="0" w:color="000000"/>
              <w:left w:val="nil"/>
              <w:bottom w:val="single" w:sz="2" w:space="0" w:color="000000"/>
              <w:right w:val="single" w:sz="2" w:space="0" w:color="000000"/>
            </w:tcBorders>
          </w:tcPr>
          <w:p w14:paraId="794D0B4A" w14:textId="77777777" w:rsidR="00053D93" w:rsidRDefault="00260B75">
            <w:pPr>
              <w:ind w:left="29"/>
            </w:pPr>
            <w:r>
              <w:rPr>
                <w:sz w:val="20"/>
              </w:rPr>
              <w:t>de</w:t>
            </w:r>
          </w:p>
        </w:tc>
        <w:tc>
          <w:tcPr>
            <w:tcW w:w="1227" w:type="dxa"/>
            <w:tcBorders>
              <w:top w:val="single" w:sz="2" w:space="0" w:color="000000"/>
              <w:left w:val="single" w:sz="2" w:space="0" w:color="000000"/>
              <w:bottom w:val="single" w:sz="2" w:space="0" w:color="000000"/>
              <w:right w:val="single" w:sz="2" w:space="0" w:color="000000"/>
            </w:tcBorders>
          </w:tcPr>
          <w:p w14:paraId="1BB716B0" w14:textId="77777777" w:rsidR="00053D93" w:rsidRDefault="00260B75">
            <w:pPr>
              <w:tabs>
                <w:tab w:val="right" w:pos="1121"/>
              </w:tabs>
            </w:pPr>
            <w:r>
              <w:rPr>
                <w:rFonts w:ascii="Times New Roman" w:eastAsia="Times New Roman" w:hAnsi="Times New Roman" w:cs="Times New Roman"/>
              </w:rPr>
              <w:t>26</w:t>
            </w:r>
            <w:r>
              <w:rPr>
                <w:rFonts w:ascii="Times New Roman" w:eastAsia="Times New Roman" w:hAnsi="Times New Roman" w:cs="Times New Roman"/>
              </w:rPr>
              <w:tab/>
            </w:r>
            <w:r>
              <w:t>de</w:t>
            </w:r>
          </w:p>
          <w:p w14:paraId="59EE1AB4" w14:textId="77777777" w:rsidR="00053D93" w:rsidRDefault="00260B75">
            <w:pPr>
              <w:ind w:left="132"/>
            </w:pPr>
            <w:r>
              <w:rPr>
                <w:sz w:val="20"/>
              </w:rPr>
              <w:t>noviembre</w:t>
            </w:r>
          </w:p>
          <w:p w14:paraId="1E835125" w14:textId="77777777" w:rsidR="00053D93" w:rsidRDefault="00260B75">
            <w:pPr>
              <w:ind w:left="132"/>
            </w:pPr>
            <w:r>
              <w:rPr>
                <w:rFonts w:ascii="Times New Roman" w:eastAsia="Times New Roman" w:hAnsi="Times New Roman" w:cs="Times New Roman"/>
                <w:sz w:val="18"/>
              </w:rPr>
              <w:t>2024</w:t>
            </w:r>
          </w:p>
        </w:tc>
        <w:tc>
          <w:tcPr>
            <w:tcW w:w="1113" w:type="dxa"/>
            <w:tcBorders>
              <w:top w:val="single" w:sz="2" w:space="0" w:color="000000"/>
              <w:left w:val="single" w:sz="2" w:space="0" w:color="000000"/>
              <w:bottom w:val="single" w:sz="2" w:space="0" w:color="000000"/>
              <w:right w:val="single" w:sz="2" w:space="0" w:color="000000"/>
            </w:tcBorders>
          </w:tcPr>
          <w:p w14:paraId="2ECCC58B" w14:textId="77777777" w:rsidR="00053D93" w:rsidRDefault="00260B75">
            <w:pPr>
              <w:ind w:left="130"/>
              <w:jc w:val="center"/>
            </w:pPr>
            <w:r>
              <w:rPr>
                <w:rFonts w:ascii="Times New Roman" w:eastAsia="Times New Roman" w:hAnsi="Times New Roman" w:cs="Times New Roman"/>
                <w:sz w:val="18"/>
              </w:rPr>
              <w:t>25</w:t>
            </w:r>
          </w:p>
        </w:tc>
        <w:tc>
          <w:tcPr>
            <w:tcW w:w="1255" w:type="dxa"/>
            <w:tcBorders>
              <w:top w:val="single" w:sz="2" w:space="0" w:color="000000"/>
              <w:left w:val="single" w:sz="2" w:space="0" w:color="000000"/>
              <w:bottom w:val="single" w:sz="2" w:space="0" w:color="000000"/>
              <w:right w:val="single" w:sz="2" w:space="0" w:color="000000"/>
            </w:tcBorders>
          </w:tcPr>
          <w:p w14:paraId="00C33BD1" w14:textId="77777777" w:rsidR="00053D93" w:rsidRDefault="00260B75">
            <w:pPr>
              <w:ind w:left="130"/>
              <w:jc w:val="center"/>
            </w:pPr>
            <w:r>
              <w:rPr>
                <w:rFonts w:ascii="Times New Roman" w:eastAsia="Times New Roman" w:hAnsi="Times New Roman" w:cs="Times New Roman"/>
                <w:sz w:val="20"/>
              </w:rPr>
              <w:t>38584</w:t>
            </w:r>
          </w:p>
        </w:tc>
        <w:tc>
          <w:tcPr>
            <w:tcW w:w="1589" w:type="dxa"/>
            <w:tcBorders>
              <w:top w:val="single" w:sz="2" w:space="0" w:color="000000"/>
              <w:left w:val="single" w:sz="2" w:space="0" w:color="000000"/>
              <w:bottom w:val="single" w:sz="2" w:space="0" w:color="000000"/>
              <w:right w:val="single" w:sz="2" w:space="0" w:color="000000"/>
            </w:tcBorders>
          </w:tcPr>
          <w:p w14:paraId="5CDA7DFE" w14:textId="77777777" w:rsidR="00053D93" w:rsidRDefault="00260B75">
            <w:pPr>
              <w:ind w:left="130"/>
              <w:jc w:val="center"/>
            </w:pPr>
            <w:r>
              <w:rPr>
                <w:rFonts w:ascii="Times New Roman" w:eastAsia="Times New Roman" w:hAnsi="Times New Roman" w:cs="Times New Roman"/>
                <w:sz w:val="20"/>
              </w:rPr>
              <w:t>86-2024</w:t>
            </w:r>
          </w:p>
        </w:tc>
      </w:tr>
      <w:tr w:rsidR="00053D93" w14:paraId="1994FB7F" w14:textId="77777777">
        <w:trPr>
          <w:trHeight w:val="706"/>
        </w:trPr>
        <w:tc>
          <w:tcPr>
            <w:tcW w:w="526" w:type="dxa"/>
            <w:tcBorders>
              <w:top w:val="single" w:sz="2" w:space="0" w:color="000000"/>
              <w:left w:val="single" w:sz="2" w:space="0" w:color="000000"/>
              <w:bottom w:val="single" w:sz="2" w:space="0" w:color="000000"/>
              <w:right w:val="single" w:sz="2" w:space="0" w:color="000000"/>
            </w:tcBorders>
          </w:tcPr>
          <w:p w14:paraId="0457FA38" w14:textId="77777777" w:rsidR="00053D93" w:rsidRDefault="00260B75">
            <w:pPr>
              <w:ind w:left="122"/>
            </w:pPr>
            <w:r>
              <w:rPr>
                <w:rFonts w:ascii="Times New Roman" w:eastAsia="Times New Roman" w:hAnsi="Times New Roman" w:cs="Times New Roman"/>
              </w:rPr>
              <w:t>3</w:t>
            </w:r>
          </w:p>
        </w:tc>
        <w:tc>
          <w:tcPr>
            <w:tcW w:w="1365" w:type="dxa"/>
            <w:tcBorders>
              <w:top w:val="single" w:sz="2" w:space="0" w:color="000000"/>
              <w:left w:val="single" w:sz="2" w:space="0" w:color="000000"/>
              <w:bottom w:val="single" w:sz="2" w:space="0" w:color="000000"/>
              <w:right w:val="single" w:sz="2" w:space="0" w:color="000000"/>
            </w:tcBorders>
          </w:tcPr>
          <w:p w14:paraId="3E26DFC8" w14:textId="77777777" w:rsidR="00053D93" w:rsidRDefault="00260B75">
            <w:pPr>
              <w:ind w:left="130"/>
            </w:pPr>
            <w:r>
              <w:rPr>
                <w:sz w:val="20"/>
              </w:rPr>
              <w:t>San Marcos, San Marcos</w:t>
            </w:r>
          </w:p>
        </w:tc>
        <w:tc>
          <w:tcPr>
            <w:tcW w:w="1076" w:type="dxa"/>
            <w:tcBorders>
              <w:top w:val="single" w:sz="2" w:space="0" w:color="000000"/>
              <w:left w:val="single" w:sz="2" w:space="0" w:color="000000"/>
              <w:bottom w:val="single" w:sz="2" w:space="0" w:color="000000"/>
              <w:right w:val="nil"/>
            </w:tcBorders>
          </w:tcPr>
          <w:p w14:paraId="7463C04A" w14:textId="77777777" w:rsidR="00053D93" w:rsidRDefault="00260B75">
            <w:pPr>
              <w:ind w:left="132" w:firstLine="7"/>
            </w:pPr>
            <w:r>
              <w:t>Escaleras agilidad</w:t>
            </w:r>
          </w:p>
        </w:tc>
        <w:tc>
          <w:tcPr>
            <w:tcW w:w="321" w:type="dxa"/>
            <w:tcBorders>
              <w:top w:val="single" w:sz="2" w:space="0" w:color="000000"/>
              <w:left w:val="nil"/>
              <w:bottom w:val="single" w:sz="2" w:space="0" w:color="000000"/>
              <w:right w:val="single" w:sz="2" w:space="0" w:color="000000"/>
            </w:tcBorders>
          </w:tcPr>
          <w:p w14:paraId="31D4BF69" w14:textId="77777777" w:rsidR="00053D93" w:rsidRDefault="00260B75">
            <w:pPr>
              <w:ind w:left="29"/>
            </w:pPr>
            <w:r>
              <w:rPr>
                <w:sz w:val="20"/>
              </w:rPr>
              <w:t>de</w:t>
            </w:r>
          </w:p>
        </w:tc>
        <w:tc>
          <w:tcPr>
            <w:tcW w:w="1227" w:type="dxa"/>
            <w:tcBorders>
              <w:top w:val="single" w:sz="2" w:space="0" w:color="000000"/>
              <w:left w:val="single" w:sz="2" w:space="0" w:color="000000"/>
              <w:bottom w:val="single" w:sz="2" w:space="0" w:color="000000"/>
              <w:right w:val="single" w:sz="2" w:space="0" w:color="000000"/>
            </w:tcBorders>
          </w:tcPr>
          <w:p w14:paraId="49BFE19B" w14:textId="77777777" w:rsidR="00053D93" w:rsidRDefault="00260B75">
            <w:pPr>
              <w:spacing w:line="239" w:lineRule="auto"/>
              <w:ind w:left="125" w:right="132" w:firstLine="7"/>
            </w:pPr>
            <w:r>
              <w:rPr>
                <w:rFonts w:ascii="Times New Roman" w:eastAsia="Times New Roman" w:hAnsi="Times New Roman" w:cs="Times New Roman"/>
                <w:sz w:val="20"/>
              </w:rPr>
              <w:t xml:space="preserve">3 </w:t>
            </w:r>
            <w:r>
              <w:rPr>
                <w:sz w:val="20"/>
              </w:rPr>
              <w:t>diciembre</w:t>
            </w:r>
          </w:p>
          <w:p w14:paraId="613ED591" w14:textId="77777777" w:rsidR="00053D93" w:rsidRDefault="00260B75">
            <w:pPr>
              <w:ind w:left="125"/>
            </w:pPr>
            <w:r>
              <w:rPr>
                <w:rFonts w:ascii="Times New Roman" w:eastAsia="Times New Roman" w:hAnsi="Times New Roman" w:cs="Times New Roman"/>
                <w:sz w:val="18"/>
              </w:rPr>
              <w:t>2024</w:t>
            </w:r>
          </w:p>
        </w:tc>
        <w:tc>
          <w:tcPr>
            <w:tcW w:w="1113" w:type="dxa"/>
            <w:tcBorders>
              <w:top w:val="single" w:sz="2" w:space="0" w:color="000000"/>
              <w:left w:val="single" w:sz="2" w:space="0" w:color="000000"/>
              <w:bottom w:val="single" w:sz="2" w:space="0" w:color="000000"/>
              <w:right w:val="single" w:sz="2" w:space="0" w:color="000000"/>
            </w:tcBorders>
          </w:tcPr>
          <w:p w14:paraId="429408D9" w14:textId="77777777" w:rsidR="00053D93" w:rsidRDefault="00260B75">
            <w:pPr>
              <w:ind w:left="122"/>
              <w:jc w:val="center"/>
            </w:pPr>
            <w:r>
              <w:rPr>
                <w:rFonts w:ascii="Times New Roman" w:eastAsia="Times New Roman" w:hAnsi="Times New Roman" w:cs="Times New Roman"/>
                <w:sz w:val="20"/>
              </w:rPr>
              <w:t>50</w:t>
            </w:r>
          </w:p>
        </w:tc>
        <w:tc>
          <w:tcPr>
            <w:tcW w:w="1255" w:type="dxa"/>
            <w:tcBorders>
              <w:top w:val="single" w:sz="2" w:space="0" w:color="000000"/>
              <w:left w:val="single" w:sz="2" w:space="0" w:color="000000"/>
              <w:bottom w:val="single" w:sz="2" w:space="0" w:color="000000"/>
              <w:right w:val="single" w:sz="2" w:space="0" w:color="000000"/>
            </w:tcBorders>
          </w:tcPr>
          <w:p w14:paraId="44243942" w14:textId="77777777" w:rsidR="00053D93" w:rsidRDefault="00260B75">
            <w:pPr>
              <w:ind w:left="115"/>
              <w:jc w:val="center"/>
            </w:pPr>
            <w:r>
              <w:rPr>
                <w:rFonts w:ascii="Times New Roman" w:eastAsia="Times New Roman" w:hAnsi="Times New Roman" w:cs="Times New Roman"/>
                <w:sz w:val="20"/>
              </w:rPr>
              <w:t>38589</w:t>
            </w:r>
          </w:p>
        </w:tc>
        <w:tc>
          <w:tcPr>
            <w:tcW w:w="1589" w:type="dxa"/>
            <w:tcBorders>
              <w:top w:val="single" w:sz="2" w:space="0" w:color="000000"/>
              <w:left w:val="single" w:sz="2" w:space="0" w:color="000000"/>
              <w:bottom w:val="single" w:sz="2" w:space="0" w:color="000000"/>
              <w:right w:val="single" w:sz="2" w:space="0" w:color="000000"/>
            </w:tcBorders>
          </w:tcPr>
          <w:p w14:paraId="3CB57D4E" w14:textId="77777777" w:rsidR="00053D93" w:rsidRDefault="00260B75">
            <w:pPr>
              <w:ind w:left="122"/>
              <w:jc w:val="center"/>
            </w:pPr>
            <w:r>
              <w:rPr>
                <w:rFonts w:ascii="Times New Roman" w:eastAsia="Times New Roman" w:hAnsi="Times New Roman" w:cs="Times New Roman"/>
                <w:sz w:val="18"/>
              </w:rPr>
              <w:t>89-2024</w:t>
            </w:r>
          </w:p>
        </w:tc>
      </w:tr>
      <w:tr w:rsidR="00053D93" w14:paraId="0238726C" w14:textId="77777777">
        <w:trPr>
          <w:trHeight w:val="706"/>
        </w:trPr>
        <w:tc>
          <w:tcPr>
            <w:tcW w:w="526" w:type="dxa"/>
            <w:tcBorders>
              <w:top w:val="single" w:sz="2" w:space="0" w:color="000000"/>
              <w:left w:val="single" w:sz="2" w:space="0" w:color="000000"/>
              <w:bottom w:val="single" w:sz="2" w:space="0" w:color="000000"/>
              <w:right w:val="single" w:sz="2" w:space="0" w:color="000000"/>
            </w:tcBorders>
          </w:tcPr>
          <w:p w14:paraId="0380E8AB" w14:textId="77777777" w:rsidR="00053D93" w:rsidRDefault="00260B75">
            <w:pPr>
              <w:ind w:left="115"/>
            </w:pPr>
            <w:r>
              <w:rPr>
                <w:rFonts w:ascii="Times New Roman" w:eastAsia="Times New Roman" w:hAnsi="Times New Roman" w:cs="Times New Roman"/>
                <w:sz w:val="20"/>
              </w:rPr>
              <w:t>4</w:t>
            </w:r>
          </w:p>
        </w:tc>
        <w:tc>
          <w:tcPr>
            <w:tcW w:w="1365" w:type="dxa"/>
            <w:tcBorders>
              <w:top w:val="single" w:sz="2" w:space="0" w:color="000000"/>
              <w:left w:val="single" w:sz="2" w:space="0" w:color="000000"/>
              <w:bottom w:val="single" w:sz="2" w:space="0" w:color="000000"/>
              <w:right w:val="single" w:sz="2" w:space="0" w:color="000000"/>
            </w:tcBorders>
          </w:tcPr>
          <w:p w14:paraId="036A9E13" w14:textId="77777777" w:rsidR="00053D93" w:rsidRDefault="00260B75">
            <w:pPr>
              <w:ind w:left="130"/>
            </w:pPr>
            <w:r>
              <w:rPr>
                <w:sz w:val="20"/>
              </w:rPr>
              <w:t>Sololá, Sololá</w:t>
            </w:r>
          </w:p>
        </w:tc>
        <w:tc>
          <w:tcPr>
            <w:tcW w:w="1076" w:type="dxa"/>
            <w:tcBorders>
              <w:top w:val="single" w:sz="2" w:space="0" w:color="000000"/>
              <w:left w:val="single" w:sz="2" w:space="0" w:color="000000"/>
              <w:bottom w:val="single" w:sz="2" w:space="0" w:color="000000"/>
              <w:right w:val="nil"/>
            </w:tcBorders>
          </w:tcPr>
          <w:p w14:paraId="2C3EE9FD" w14:textId="77777777" w:rsidR="00053D93" w:rsidRDefault="00260B75">
            <w:pPr>
              <w:ind w:left="132" w:firstLine="7"/>
            </w:pPr>
            <w:r>
              <w:t>Escaleras agilidad</w:t>
            </w:r>
          </w:p>
        </w:tc>
        <w:tc>
          <w:tcPr>
            <w:tcW w:w="321" w:type="dxa"/>
            <w:tcBorders>
              <w:top w:val="single" w:sz="2" w:space="0" w:color="000000"/>
              <w:left w:val="nil"/>
              <w:bottom w:val="single" w:sz="2" w:space="0" w:color="000000"/>
              <w:right w:val="single" w:sz="2" w:space="0" w:color="000000"/>
            </w:tcBorders>
          </w:tcPr>
          <w:p w14:paraId="04A35366" w14:textId="77777777" w:rsidR="00053D93" w:rsidRDefault="00053D93"/>
        </w:tc>
        <w:tc>
          <w:tcPr>
            <w:tcW w:w="1227" w:type="dxa"/>
            <w:tcBorders>
              <w:top w:val="single" w:sz="2" w:space="0" w:color="000000"/>
              <w:left w:val="single" w:sz="2" w:space="0" w:color="000000"/>
              <w:bottom w:val="single" w:sz="2" w:space="0" w:color="000000"/>
              <w:right w:val="single" w:sz="2" w:space="0" w:color="000000"/>
            </w:tcBorders>
          </w:tcPr>
          <w:p w14:paraId="08C32449" w14:textId="77777777" w:rsidR="00053D93" w:rsidRDefault="00260B75">
            <w:pPr>
              <w:ind w:left="125" w:right="132"/>
            </w:pPr>
            <w:r>
              <w:rPr>
                <w:rFonts w:ascii="Times New Roman" w:eastAsia="Times New Roman" w:hAnsi="Times New Roman" w:cs="Times New Roman"/>
                <w:sz w:val="20"/>
              </w:rPr>
              <w:t xml:space="preserve">9 </w:t>
            </w:r>
            <w:r>
              <w:rPr>
                <w:sz w:val="20"/>
              </w:rPr>
              <w:t xml:space="preserve">diciembre </w:t>
            </w:r>
            <w:r>
              <w:rPr>
                <w:rFonts w:ascii="Times New Roman" w:eastAsia="Times New Roman" w:hAnsi="Times New Roman" w:cs="Times New Roman"/>
                <w:sz w:val="20"/>
              </w:rPr>
              <w:t>2024</w:t>
            </w:r>
          </w:p>
        </w:tc>
        <w:tc>
          <w:tcPr>
            <w:tcW w:w="1113" w:type="dxa"/>
            <w:tcBorders>
              <w:top w:val="single" w:sz="2" w:space="0" w:color="000000"/>
              <w:left w:val="single" w:sz="2" w:space="0" w:color="000000"/>
              <w:bottom w:val="single" w:sz="2" w:space="0" w:color="000000"/>
              <w:right w:val="single" w:sz="2" w:space="0" w:color="000000"/>
            </w:tcBorders>
          </w:tcPr>
          <w:p w14:paraId="4153A8C9" w14:textId="77777777" w:rsidR="00053D93" w:rsidRDefault="00260B75">
            <w:pPr>
              <w:ind w:left="115"/>
              <w:jc w:val="center"/>
            </w:pPr>
            <w:r>
              <w:rPr>
                <w:rFonts w:ascii="Times New Roman" w:eastAsia="Times New Roman" w:hAnsi="Times New Roman" w:cs="Times New Roman"/>
                <w:sz w:val="18"/>
              </w:rPr>
              <w:t>50</w:t>
            </w:r>
          </w:p>
        </w:tc>
        <w:tc>
          <w:tcPr>
            <w:tcW w:w="1255" w:type="dxa"/>
            <w:tcBorders>
              <w:top w:val="single" w:sz="2" w:space="0" w:color="000000"/>
              <w:left w:val="single" w:sz="2" w:space="0" w:color="000000"/>
              <w:bottom w:val="single" w:sz="2" w:space="0" w:color="000000"/>
              <w:right w:val="single" w:sz="2" w:space="0" w:color="000000"/>
            </w:tcBorders>
          </w:tcPr>
          <w:p w14:paraId="417EFD90" w14:textId="77777777" w:rsidR="00053D93" w:rsidRDefault="00260B75">
            <w:pPr>
              <w:ind w:left="115"/>
              <w:jc w:val="center"/>
            </w:pPr>
            <w:r>
              <w:rPr>
                <w:rFonts w:ascii="Times New Roman" w:eastAsia="Times New Roman" w:hAnsi="Times New Roman" w:cs="Times New Roman"/>
                <w:sz w:val="20"/>
              </w:rPr>
              <w:t>38607</w:t>
            </w:r>
          </w:p>
        </w:tc>
        <w:tc>
          <w:tcPr>
            <w:tcW w:w="1589" w:type="dxa"/>
            <w:tcBorders>
              <w:top w:val="single" w:sz="2" w:space="0" w:color="000000"/>
              <w:left w:val="single" w:sz="2" w:space="0" w:color="000000"/>
              <w:bottom w:val="single" w:sz="2" w:space="0" w:color="000000"/>
              <w:right w:val="single" w:sz="2" w:space="0" w:color="000000"/>
            </w:tcBorders>
          </w:tcPr>
          <w:p w14:paraId="3FD24F49" w14:textId="77777777" w:rsidR="00053D93" w:rsidRDefault="00260B75">
            <w:pPr>
              <w:ind w:left="115"/>
              <w:jc w:val="center"/>
            </w:pPr>
            <w:r>
              <w:rPr>
                <w:rFonts w:ascii="Times New Roman" w:eastAsia="Times New Roman" w:hAnsi="Times New Roman" w:cs="Times New Roman"/>
                <w:sz w:val="20"/>
              </w:rPr>
              <w:t>97-2024</w:t>
            </w:r>
          </w:p>
        </w:tc>
      </w:tr>
      <w:tr w:rsidR="00053D93" w14:paraId="352DB042" w14:textId="77777777">
        <w:trPr>
          <w:trHeight w:val="713"/>
        </w:trPr>
        <w:tc>
          <w:tcPr>
            <w:tcW w:w="526" w:type="dxa"/>
            <w:tcBorders>
              <w:top w:val="single" w:sz="2" w:space="0" w:color="000000"/>
              <w:left w:val="single" w:sz="2" w:space="0" w:color="000000"/>
              <w:bottom w:val="single" w:sz="2" w:space="0" w:color="000000"/>
              <w:right w:val="single" w:sz="2" w:space="0" w:color="000000"/>
            </w:tcBorders>
          </w:tcPr>
          <w:p w14:paraId="4A8A56FA" w14:textId="77777777" w:rsidR="00053D93" w:rsidRDefault="00260B75">
            <w:pPr>
              <w:ind w:left="122"/>
            </w:pPr>
            <w:r>
              <w:rPr>
                <w:rFonts w:ascii="Times New Roman" w:eastAsia="Times New Roman" w:hAnsi="Times New Roman" w:cs="Times New Roman"/>
                <w:sz w:val="20"/>
              </w:rPr>
              <w:t>5</w:t>
            </w:r>
          </w:p>
        </w:tc>
        <w:tc>
          <w:tcPr>
            <w:tcW w:w="1365" w:type="dxa"/>
            <w:tcBorders>
              <w:top w:val="single" w:sz="2" w:space="0" w:color="000000"/>
              <w:left w:val="single" w:sz="2" w:space="0" w:color="000000"/>
              <w:bottom w:val="single" w:sz="2" w:space="0" w:color="000000"/>
              <w:right w:val="single" w:sz="2" w:space="0" w:color="000000"/>
            </w:tcBorders>
          </w:tcPr>
          <w:p w14:paraId="38378213" w14:textId="77777777" w:rsidR="00053D93" w:rsidRDefault="00260B75">
            <w:pPr>
              <w:ind w:left="122"/>
            </w:pPr>
            <w:r>
              <w:rPr>
                <w:sz w:val="20"/>
              </w:rPr>
              <w:t>Guastatoya El Progreso</w:t>
            </w:r>
          </w:p>
        </w:tc>
        <w:tc>
          <w:tcPr>
            <w:tcW w:w="1076" w:type="dxa"/>
            <w:tcBorders>
              <w:top w:val="single" w:sz="2" w:space="0" w:color="000000"/>
              <w:left w:val="single" w:sz="2" w:space="0" w:color="000000"/>
              <w:bottom w:val="single" w:sz="2" w:space="0" w:color="000000"/>
              <w:right w:val="nil"/>
            </w:tcBorders>
          </w:tcPr>
          <w:p w14:paraId="4485E7CC" w14:textId="77777777" w:rsidR="00053D93" w:rsidRDefault="00260B75">
            <w:pPr>
              <w:ind w:left="125" w:firstLine="7"/>
            </w:pPr>
            <w:r>
              <w:t>Escaleras agilidad</w:t>
            </w:r>
          </w:p>
        </w:tc>
        <w:tc>
          <w:tcPr>
            <w:tcW w:w="321" w:type="dxa"/>
            <w:tcBorders>
              <w:top w:val="single" w:sz="2" w:space="0" w:color="000000"/>
              <w:left w:val="nil"/>
              <w:bottom w:val="single" w:sz="2" w:space="0" w:color="000000"/>
              <w:right w:val="single" w:sz="2" w:space="0" w:color="000000"/>
            </w:tcBorders>
          </w:tcPr>
          <w:p w14:paraId="601A4F3B" w14:textId="77777777" w:rsidR="00053D93" w:rsidRDefault="00260B75">
            <w:pPr>
              <w:ind w:left="22"/>
            </w:pPr>
            <w:r>
              <w:rPr>
                <w:rFonts w:ascii="Times New Roman" w:eastAsia="Times New Roman" w:hAnsi="Times New Roman" w:cs="Times New Roman"/>
                <w:sz w:val="20"/>
              </w:rPr>
              <w:t>de</w:t>
            </w:r>
          </w:p>
        </w:tc>
        <w:tc>
          <w:tcPr>
            <w:tcW w:w="1227" w:type="dxa"/>
            <w:tcBorders>
              <w:top w:val="single" w:sz="2" w:space="0" w:color="000000"/>
              <w:left w:val="single" w:sz="2" w:space="0" w:color="000000"/>
              <w:bottom w:val="single" w:sz="2" w:space="0" w:color="000000"/>
              <w:right w:val="single" w:sz="2" w:space="0" w:color="000000"/>
            </w:tcBorders>
          </w:tcPr>
          <w:p w14:paraId="6C5E6744" w14:textId="77777777" w:rsidR="00053D93" w:rsidRDefault="00260B75">
            <w:pPr>
              <w:ind w:left="118" w:right="140" w:firstLine="7"/>
            </w:pPr>
            <w:r>
              <w:rPr>
                <w:rFonts w:ascii="Times New Roman" w:eastAsia="Times New Roman" w:hAnsi="Times New Roman" w:cs="Times New Roman"/>
                <w:sz w:val="20"/>
              </w:rPr>
              <w:t xml:space="preserve">g </w:t>
            </w:r>
            <w:r>
              <w:rPr>
                <w:sz w:val="20"/>
              </w:rPr>
              <w:t xml:space="preserve">diciembre </w:t>
            </w:r>
            <w:r>
              <w:rPr>
                <w:rFonts w:ascii="Times New Roman" w:eastAsia="Times New Roman" w:hAnsi="Times New Roman" w:cs="Times New Roman"/>
                <w:sz w:val="20"/>
              </w:rPr>
              <w:t>2024</w:t>
            </w:r>
          </w:p>
        </w:tc>
        <w:tc>
          <w:tcPr>
            <w:tcW w:w="1113" w:type="dxa"/>
            <w:tcBorders>
              <w:top w:val="single" w:sz="2" w:space="0" w:color="000000"/>
              <w:left w:val="single" w:sz="2" w:space="0" w:color="000000"/>
              <w:bottom w:val="single" w:sz="2" w:space="0" w:color="000000"/>
              <w:right w:val="single" w:sz="2" w:space="0" w:color="000000"/>
            </w:tcBorders>
          </w:tcPr>
          <w:p w14:paraId="7CAC9DED" w14:textId="77777777" w:rsidR="00053D93" w:rsidRDefault="00260B75">
            <w:pPr>
              <w:ind w:left="108"/>
              <w:jc w:val="center"/>
            </w:pPr>
            <w:r>
              <w:rPr>
                <w:rFonts w:ascii="Times New Roman" w:eastAsia="Times New Roman" w:hAnsi="Times New Roman" w:cs="Times New Roman"/>
                <w:sz w:val="20"/>
              </w:rPr>
              <w:t>25</w:t>
            </w:r>
          </w:p>
        </w:tc>
        <w:tc>
          <w:tcPr>
            <w:tcW w:w="1255" w:type="dxa"/>
            <w:tcBorders>
              <w:top w:val="single" w:sz="2" w:space="0" w:color="000000"/>
              <w:left w:val="single" w:sz="2" w:space="0" w:color="000000"/>
              <w:bottom w:val="single" w:sz="2" w:space="0" w:color="000000"/>
              <w:right w:val="single" w:sz="2" w:space="0" w:color="000000"/>
            </w:tcBorders>
          </w:tcPr>
          <w:p w14:paraId="0533819D" w14:textId="77777777" w:rsidR="00053D93" w:rsidRDefault="00260B75">
            <w:pPr>
              <w:ind w:left="101"/>
              <w:jc w:val="center"/>
            </w:pPr>
            <w:r>
              <w:rPr>
                <w:rFonts w:ascii="Times New Roman" w:eastAsia="Times New Roman" w:hAnsi="Times New Roman" w:cs="Times New Roman"/>
                <w:sz w:val="20"/>
              </w:rPr>
              <w:t>38602</w:t>
            </w:r>
          </w:p>
        </w:tc>
        <w:tc>
          <w:tcPr>
            <w:tcW w:w="1589" w:type="dxa"/>
            <w:tcBorders>
              <w:top w:val="single" w:sz="2" w:space="0" w:color="000000"/>
              <w:left w:val="single" w:sz="2" w:space="0" w:color="000000"/>
              <w:bottom w:val="single" w:sz="2" w:space="0" w:color="000000"/>
              <w:right w:val="single" w:sz="2" w:space="0" w:color="000000"/>
            </w:tcBorders>
          </w:tcPr>
          <w:p w14:paraId="240028E5" w14:textId="77777777" w:rsidR="00053D93" w:rsidRDefault="00260B75">
            <w:pPr>
              <w:ind w:left="108"/>
              <w:jc w:val="center"/>
            </w:pPr>
            <w:r>
              <w:rPr>
                <w:rFonts w:ascii="Times New Roman" w:eastAsia="Times New Roman" w:hAnsi="Times New Roman" w:cs="Times New Roman"/>
                <w:sz w:val="18"/>
              </w:rPr>
              <w:t>95-2024</w:t>
            </w:r>
          </w:p>
        </w:tc>
      </w:tr>
      <w:tr w:rsidR="00053D93" w14:paraId="67A673E3" w14:textId="77777777">
        <w:trPr>
          <w:trHeight w:val="706"/>
        </w:trPr>
        <w:tc>
          <w:tcPr>
            <w:tcW w:w="526" w:type="dxa"/>
            <w:tcBorders>
              <w:top w:val="single" w:sz="2" w:space="0" w:color="000000"/>
              <w:left w:val="single" w:sz="2" w:space="0" w:color="000000"/>
              <w:bottom w:val="single" w:sz="2" w:space="0" w:color="000000"/>
              <w:right w:val="single" w:sz="2" w:space="0" w:color="000000"/>
            </w:tcBorders>
          </w:tcPr>
          <w:p w14:paraId="34CFB05D" w14:textId="77777777" w:rsidR="00053D93" w:rsidRDefault="00260B75">
            <w:pPr>
              <w:ind w:left="115"/>
            </w:pPr>
            <w:r>
              <w:rPr>
                <w:rFonts w:ascii="Times New Roman" w:eastAsia="Times New Roman" w:hAnsi="Times New Roman" w:cs="Times New Roman"/>
                <w:sz w:val="18"/>
              </w:rPr>
              <w:t>6</w:t>
            </w:r>
          </w:p>
        </w:tc>
        <w:tc>
          <w:tcPr>
            <w:tcW w:w="1365" w:type="dxa"/>
            <w:tcBorders>
              <w:top w:val="single" w:sz="2" w:space="0" w:color="000000"/>
              <w:left w:val="single" w:sz="2" w:space="0" w:color="000000"/>
              <w:bottom w:val="single" w:sz="2" w:space="0" w:color="000000"/>
              <w:right w:val="single" w:sz="2" w:space="0" w:color="000000"/>
            </w:tcBorders>
          </w:tcPr>
          <w:p w14:paraId="1EADB834" w14:textId="77777777" w:rsidR="00053D93" w:rsidRDefault="00260B75">
            <w:pPr>
              <w:ind w:left="115" w:firstLine="7"/>
            </w:pPr>
            <w:r>
              <w:rPr>
                <w:sz w:val="20"/>
              </w:rPr>
              <w:t>Cobán, Alta Verapaz</w:t>
            </w:r>
          </w:p>
        </w:tc>
        <w:tc>
          <w:tcPr>
            <w:tcW w:w="1076" w:type="dxa"/>
            <w:tcBorders>
              <w:top w:val="single" w:sz="2" w:space="0" w:color="000000"/>
              <w:left w:val="single" w:sz="2" w:space="0" w:color="000000"/>
              <w:bottom w:val="single" w:sz="2" w:space="0" w:color="000000"/>
              <w:right w:val="nil"/>
            </w:tcBorders>
          </w:tcPr>
          <w:p w14:paraId="09806342" w14:textId="77777777" w:rsidR="00053D93" w:rsidRDefault="00260B75">
            <w:pPr>
              <w:ind w:left="125"/>
            </w:pPr>
            <w:r>
              <w:t>Escaleras agilidad</w:t>
            </w:r>
          </w:p>
        </w:tc>
        <w:tc>
          <w:tcPr>
            <w:tcW w:w="321" w:type="dxa"/>
            <w:tcBorders>
              <w:top w:val="single" w:sz="2" w:space="0" w:color="000000"/>
              <w:left w:val="nil"/>
              <w:bottom w:val="single" w:sz="2" w:space="0" w:color="000000"/>
              <w:right w:val="single" w:sz="2" w:space="0" w:color="000000"/>
            </w:tcBorders>
          </w:tcPr>
          <w:p w14:paraId="1D6C8F94" w14:textId="77777777" w:rsidR="00053D93" w:rsidRDefault="00053D93"/>
        </w:tc>
        <w:tc>
          <w:tcPr>
            <w:tcW w:w="1227" w:type="dxa"/>
            <w:tcBorders>
              <w:top w:val="single" w:sz="2" w:space="0" w:color="000000"/>
              <w:left w:val="single" w:sz="2" w:space="0" w:color="000000"/>
              <w:bottom w:val="single" w:sz="2" w:space="0" w:color="000000"/>
              <w:right w:val="single" w:sz="2" w:space="0" w:color="000000"/>
            </w:tcBorders>
          </w:tcPr>
          <w:p w14:paraId="68CCE7DF" w14:textId="77777777" w:rsidR="00053D93" w:rsidRDefault="00260B75">
            <w:pPr>
              <w:tabs>
                <w:tab w:val="right" w:pos="1121"/>
              </w:tabs>
            </w:pPr>
            <w:r>
              <w:rPr>
                <w:rFonts w:ascii="Times New Roman" w:eastAsia="Times New Roman" w:hAnsi="Times New Roman" w:cs="Times New Roman"/>
                <w:sz w:val="24"/>
              </w:rPr>
              <w:t>1 2</w:t>
            </w:r>
            <w:r>
              <w:rPr>
                <w:rFonts w:ascii="Times New Roman" w:eastAsia="Times New Roman" w:hAnsi="Times New Roman" w:cs="Times New Roman"/>
                <w:sz w:val="24"/>
              </w:rPr>
              <w:tab/>
            </w:r>
            <w:r>
              <w:rPr>
                <w:sz w:val="24"/>
              </w:rPr>
              <w:t>de</w:t>
            </w:r>
          </w:p>
          <w:p w14:paraId="17E83E51" w14:textId="77777777" w:rsidR="00053D93" w:rsidRDefault="00260B75">
            <w:pPr>
              <w:ind w:left="118" w:hanging="7"/>
            </w:pPr>
            <w:r>
              <w:rPr>
                <w:sz w:val="20"/>
              </w:rPr>
              <w:t xml:space="preserve">diciembre </w:t>
            </w:r>
            <w:r>
              <w:rPr>
                <w:rFonts w:ascii="Times New Roman" w:eastAsia="Times New Roman" w:hAnsi="Times New Roman" w:cs="Times New Roman"/>
                <w:sz w:val="20"/>
              </w:rPr>
              <w:t>2024</w:t>
            </w:r>
          </w:p>
        </w:tc>
        <w:tc>
          <w:tcPr>
            <w:tcW w:w="1113" w:type="dxa"/>
            <w:tcBorders>
              <w:top w:val="single" w:sz="2" w:space="0" w:color="000000"/>
              <w:left w:val="single" w:sz="2" w:space="0" w:color="000000"/>
              <w:bottom w:val="single" w:sz="2" w:space="0" w:color="000000"/>
              <w:right w:val="single" w:sz="2" w:space="0" w:color="000000"/>
            </w:tcBorders>
          </w:tcPr>
          <w:p w14:paraId="43AB56E8" w14:textId="77777777" w:rsidR="00053D93" w:rsidRDefault="00260B75">
            <w:pPr>
              <w:ind w:left="101"/>
              <w:jc w:val="center"/>
            </w:pPr>
            <w:r>
              <w:rPr>
                <w:rFonts w:ascii="Times New Roman" w:eastAsia="Times New Roman" w:hAnsi="Times New Roman" w:cs="Times New Roman"/>
                <w:sz w:val="18"/>
              </w:rPr>
              <w:t>50</w:t>
            </w:r>
          </w:p>
        </w:tc>
        <w:tc>
          <w:tcPr>
            <w:tcW w:w="1255" w:type="dxa"/>
            <w:tcBorders>
              <w:top w:val="single" w:sz="2" w:space="0" w:color="000000"/>
              <w:left w:val="single" w:sz="2" w:space="0" w:color="000000"/>
              <w:bottom w:val="single" w:sz="2" w:space="0" w:color="000000"/>
              <w:right w:val="single" w:sz="2" w:space="0" w:color="000000"/>
            </w:tcBorders>
          </w:tcPr>
          <w:p w14:paraId="1F31E5F0" w14:textId="77777777" w:rsidR="00053D93" w:rsidRDefault="00260B75">
            <w:pPr>
              <w:ind w:left="101"/>
              <w:jc w:val="center"/>
            </w:pPr>
            <w:r>
              <w:rPr>
                <w:rFonts w:ascii="Times New Roman" w:eastAsia="Times New Roman" w:hAnsi="Times New Roman" w:cs="Times New Roman"/>
                <w:sz w:val="20"/>
              </w:rPr>
              <w:t>38615</w:t>
            </w:r>
          </w:p>
        </w:tc>
        <w:tc>
          <w:tcPr>
            <w:tcW w:w="1589" w:type="dxa"/>
            <w:tcBorders>
              <w:top w:val="single" w:sz="2" w:space="0" w:color="000000"/>
              <w:left w:val="single" w:sz="2" w:space="0" w:color="000000"/>
              <w:bottom w:val="single" w:sz="2" w:space="0" w:color="000000"/>
              <w:right w:val="single" w:sz="2" w:space="0" w:color="000000"/>
            </w:tcBorders>
          </w:tcPr>
          <w:p w14:paraId="584EF1FE" w14:textId="77777777" w:rsidR="00053D93" w:rsidRDefault="00260B75">
            <w:pPr>
              <w:ind w:left="108"/>
              <w:jc w:val="center"/>
            </w:pPr>
            <w:r>
              <w:rPr>
                <w:rFonts w:ascii="Times New Roman" w:eastAsia="Times New Roman" w:hAnsi="Times New Roman" w:cs="Times New Roman"/>
                <w:sz w:val="18"/>
              </w:rPr>
              <w:t>102-2024</w:t>
            </w:r>
          </w:p>
        </w:tc>
      </w:tr>
      <w:tr w:rsidR="00053D93" w14:paraId="57B21363" w14:textId="77777777">
        <w:trPr>
          <w:trHeight w:val="701"/>
        </w:trPr>
        <w:tc>
          <w:tcPr>
            <w:tcW w:w="526" w:type="dxa"/>
            <w:tcBorders>
              <w:top w:val="single" w:sz="2" w:space="0" w:color="000000"/>
              <w:left w:val="single" w:sz="2" w:space="0" w:color="000000"/>
              <w:bottom w:val="single" w:sz="2" w:space="0" w:color="000000"/>
              <w:right w:val="single" w:sz="2" w:space="0" w:color="000000"/>
            </w:tcBorders>
          </w:tcPr>
          <w:p w14:paraId="77B8CAC4" w14:textId="77777777" w:rsidR="00053D93" w:rsidRDefault="00260B75">
            <w:pPr>
              <w:ind w:left="108"/>
            </w:pPr>
            <w:r>
              <w:rPr>
                <w:rFonts w:ascii="Times New Roman" w:eastAsia="Times New Roman" w:hAnsi="Times New Roman" w:cs="Times New Roman"/>
                <w:sz w:val="18"/>
              </w:rPr>
              <w:t>7</w:t>
            </w:r>
          </w:p>
        </w:tc>
        <w:tc>
          <w:tcPr>
            <w:tcW w:w="1365" w:type="dxa"/>
            <w:tcBorders>
              <w:top w:val="single" w:sz="2" w:space="0" w:color="000000"/>
              <w:left w:val="single" w:sz="2" w:space="0" w:color="000000"/>
              <w:bottom w:val="single" w:sz="2" w:space="0" w:color="000000"/>
              <w:right w:val="single" w:sz="2" w:space="0" w:color="000000"/>
            </w:tcBorders>
          </w:tcPr>
          <w:p w14:paraId="0747B259" w14:textId="77777777" w:rsidR="00053D93" w:rsidRDefault="00260B75">
            <w:pPr>
              <w:ind w:left="122"/>
            </w:pPr>
            <w:r>
              <w:rPr>
                <w:sz w:val="20"/>
              </w:rPr>
              <w:t>Flores, Petén</w:t>
            </w:r>
          </w:p>
        </w:tc>
        <w:tc>
          <w:tcPr>
            <w:tcW w:w="1076" w:type="dxa"/>
            <w:tcBorders>
              <w:top w:val="single" w:sz="2" w:space="0" w:color="000000"/>
              <w:left w:val="single" w:sz="2" w:space="0" w:color="000000"/>
              <w:bottom w:val="single" w:sz="2" w:space="0" w:color="000000"/>
              <w:right w:val="nil"/>
            </w:tcBorders>
          </w:tcPr>
          <w:p w14:paraId="6491BE98" w14:textId="77777777" w:rsidR="00053D93" w:rsidRDefault="00260B75">
            <w:pPr>
              <w:ind w:left="118" w:firstLine="7"/>
            </w:pPr>
            <w:r>
              <w:t>Escaleras agilidad</w:t>
            </w:r>
          </w:p>
        </w:tc>
        <w:tc>
          <w:tcPr>
            <w:tcW w:w="321" w:type="dxa"/>
            <w:tcBorders>
              <w:top w:val="single" w:sz="2" w:space="0" w:color="000000"/>
              <w:left w:val="nil"/>
              <w:bottom w:val="single" w:sz="2" w:space="0" w:color="000000"/>
              <w:right w:val="single" w:sz="2" w:space="0" w:color="000000"/>
            </w:tcBorders>
          </w:tcPr>
          <w:p w14:paraId="4649CB40" w14:textId="77777777" w:rsidR="00053D93" w:rsidRDefault="00260B75">
            <w:pPr>
              <w:ind w:left="14"/>
            </w:pPr>
            <w:r>
              <w:rPr>
                <w:sz w:val="20"/>
              </w:rPr>
              <w:t>de</w:t>
            </w:r>
          </w:p>
        </w:tc>
        <w:tc>
          <w:tcPr>
            <w:tcW w:w="1227" w:type="dxa"/>
            <w:tcBorders>
              <w:top w:val="single" w:sz="2" w:space="0" w:color="000000"/>
              <w:left w:val="single" w:sz="2" w:space="0" w:color="000000"/>
              <w:bottom w:val="single" w:sz="2" w:space="0" w:color="000000"/>
              <w:right w:val="single" w:sz="2" w:space="0" w:color="000000"/>
            </w:tcBorders>
          </w:tcPr>
          <w:p w14:paraId="18071DA9" w14:textId="77777777" w:rsidR="00053D93" w:rsidRDefault="00260B75">
            <w:pPr>
              <w:tabs>
                <w:tab w:val="right" w:pos="1121"/>
              </w:tabs>
            </w:pPr>
            <w:r>
              <w:rPr>
                <w:rFonts w:ascii="Times New Roman" w:eastAsia="Times New Roman" w:hAnsi="Times New Roman" w:cs="Times New Roman"/>
                <w:sz w:val="24"/>
              </w:rPr>
              <w:t>1 7</w:t>
            </w:r>
            <w:r>
              <w:rPr>
                <w:rFonts w:ascii="Times New Roman" w:eastAsia="Times New Roman" w:hAnsi="Times New Roman" w:cs="Times New Roman"/>
                <w:sz w:val="24"/>
              </w:rPr>
              <w:tab/>
            </w:r>
            <w:r>
              <w:rPr>
                <w:sz w:val="24"/>
              </w:rPr>
              <w:t>de</w:t>
            </w:r>
          </w:p>
          <w:p w14:paraId="640993D7" w14:textId="77777777" w:rsidR="00053D93" w:rsidRDefault="00260B75">
            <w:pPr>
              <w:ind w:left="111"/>
            </w:pPr>
            <w:r>
              <w:rPr>
                <w:sz w:val="20"/>
              </w:rPr>
              <w:t xml:space="preserve">diciembre </w:t>
            </w:r>
            <w:r>
              <w:rPr>
                <w:rFonts w:ascii="Times New Roman" w:eastAsia="Times New Roman" w:hAnsi="Times New Roman" w:cs="Times New Roman"/>
                <w:sz w:val="20"/>
              </w:rPr>
              <w:t>2024</w:t>
            </w:r>
          </w:p>
        </w:tc>
        <w:tc>
          <w:tcPr>
            <w:tcW w:w="1113" w:type="dxa"/>
            <w:tcBorders>
              <w:top w:val="single" w:sz="2" w:space="0" w:color="000000"/>
              <w:left w:val="single" w:sz="2" w:space="0" w:color="000000"/>
              <w:bottom w:val="single" w:sz="2" w:space="0" w:color="000000"/>
              <w:right w:val="single" w:sz="2" w:space="0" w:color="000000"/>
            </w:tcBorders>
          </w:tcPr>
          <w:p w14:paraId="5E7988D4" w14:textId="77777777" w:rsidR="00053D93" w:rsidRDefault="00260B75">
            <w:pPr>
              <w:ind w:left="94"/>
              <w:jc w:val="center"/>
            </w:pPr>
            <w:r>
              <w:rPr>
                <w:rFonts w:ascii="Times New Roman" w:eastAsia="Times New Roman" w:hAnsi="Times New Roman" w:cs="Times New Roman"/>
                <w:sz w:val="20"/>
              </w:rPr>
              <w:t>50</w:t>
            </w:r>
          </w:p>
        </w:tc>
        <w:tc>
          <w:tcPr>
            <w:tcW w:w="1255" w:type="dxa"/>
            <w:tcBorders>
              <w:top w:val="single" w:sz="2" w:space="0" w:color="000000"/>
              <w:left w:val="single" w:sz="2" w:space="0" w:color="000000"/>
              <w:bottom w:val="single" w:sz="2" w:space="0" w:color="000000"/>
              <w:right w:val="single" w:sz="2" w:space="0" w:color="000000"/>
            </w:tcBorders>
          </w:tcPr>
          <w:p w14:paraId="7783122A" w14:textId="77777777" w:rsidR="00053D93" w:rsidRDefault="00260B75">
            <w:pPr>
              <w:ind w:left="86"/>
              <w:jc w:val="center"/>
            </w:pPr>
            <w:r>
              <w:rPr>
                <w:rFonts w:ascii="Times New Roman" w:eastAsia="Times New Roman" w:hAnsi="Times New Roman" w:cs="Times New Roman"/>
                <w:sz w:val="20"/>
              </w:rPr>
              <w:t>38619</w:t>
            </w:r>
          </w:p>
        </w:tc>
        <w:tc>
          <w:tcPr>
            <w:tcW w:w="1589" w:type="dxa"/>
            <w:tcBorders>
              <w:top w:val="single" w:sz="2" w:space="0" w:color="000000"/>
              <w:left w:val="single" w:sz="2" w:space="0" w:color="000000"/>
              <w:bottom w:val="single" w:sz="2" w:space="0" w:color="000000"/>
              <w:right w:val="single" w:sz="2" w:space="0" w:color="000000"/>
            </w:tcBorders>
          </w:tcPr>
          <w:p w14:paraId="7A5CDDB3" w14:textId="77777777" w:rsidR="00053D93" w:rsidRDefault="00260B75">
            <w:pPr>
              <w:ind w:left="101"/>
              <w:jc w:val="center"/>
            </w:pPr>
            <w:r>
              <w:rPr>
                <w:rFonts w:ascii="Times New Roman" w:eastAsia="Times New Roman" w:hAnsi="Times New Roman" w:cs="Times New Roman"/>
                <w:sz w:val="20"/>
              </w:rPr>
              <w:t>104-2024</w:t>
            </w:r>
          </w:p>
        </w:tc>
      </w:tr>
      <w:tr w:rsidR="00053D93" w14:paraId="67BB6587" w14:textId="77777777">
        <w:trPr>
          <w:trHeight w:val="475"/>
        </w:trPr>
        <w:tc>
          <w:tcPr>
            <w:tcW w:w="526" w:type="dxa"/>
            <w:tcBorders>
              <w:top w:val="single" w:sz="2" w:space="0" w:color="000000"/>
              <w:left w:val="single" w:sz="2" w:space="0" w:color="000000"/>
              <w:bottom w:val="single" w:sz="2" w:space="0" w:color="000000"/>
              <w:right w:val="single" w:sz="2" w:space="0" w:color="000000"/>
            </w:tcBorders>
          </w:tcPr>
          <w:p w14:paraId="659EA470" w14:textId="77777777" w:rsidR="00053D93" w:rsidRDefault="00260B75">
            <w:pPr>
              <w:ind w:left="108"/>
            </w:pPr>
            <w:r>
              <w:rPr>
                <w:rFonts w:ascii="Times New Roman" w:eastAsia="Times New Roman" w:hAnsi="Times New Roman" w:cs="Times New Roman"/>
                <w:sz w:val="20"/>
              </w:rPr>
              <w:t>8</w:t>
            </w:r>
          </w:p>
        </w:tc>
        <w:tc>
          <w:tcPr>
            <w:tcW w:w="1365" w:type="dxa"/>
            <w:tcBorders>
              <w:top w:val="single" w:sz="2" w:space="0" w:color="000000"/>
              <w:left w:val="single" w:sz="2" w:space="0" w:color="000000"/>
              <w:bottom w:val="single" w:sz="2" w:space="0" w:color="000000"/>
              <w:right w:val="single" w:sz="2" w:space="0" w:color="000000"/>
            </w:tcBorders>
          </w:tcPr>
          <w:p w14:paraId="121756F9" w14:textId="77777777" w:rsidR="00053D93" w:rsidRDefault="00260B75">
            <w:pPr>
              <w:ind w:left="108"/>
            </w:pPr>
            <w:r>
              <w:rPr>
                <w:sz w:val="20"/>
              </w:rPr>
              <w:t>Guazacapan, Santa Rosa</w:t>
            </w:r>
          </w:p>
        </w:tc>
        <w:tc>
          <w:tcPr>
            <w:tcW w:w="1076" w:type="dxa"/>
            <w:tcBorders>
              <w:top w:val="single" w:sz="2" w:space="0" w:color="000000"/>
              <w:left w:val="single" w:sz="2" w:space="0" w:color="000000"/>
              <w:bottom w:val="single" w:sz="2" w:space="0" w:color="000000"/>
              <w:right w:val="nil"/>
            </w:tcBorders>
          </w:tcPr>
          <w:p w14:paraId="247052B8" w14:textId="77777777" w:rsidR="00053D93" w:rsidRDefault="00260B75">
            <w:pPr>
              <w:ind w:left="111" w:firstLine="7"/>
            </w:pPr>
            <w:r>
              <w:t>Escaleras agilidad</w:t>
            </w:r>
          </w:p>
        </w:tc>
        <w:tc>
          <w:tcPr>
            <w:tcW w:w="321" w:type="dxa"/>
            <w:tcBorders>
              <w:top w:val="single" w:sz="2" w:space="0" w:color="000000"/>
              <w:left w:val="nil"/>
              <w:bottom w:val="single" w:sz="2" w:space="0" w:color="000000"/>
              <w:right w:val="single" w:sz="2" w:space="0" w:color="000000"/>
            </w:tcBorders>
          </w:tcPr>
          <w:p w14:paraId="04222288" w14:textId="77777777" w:rsidR="00053D93" w:rsidRDefault="00260B75">
            <w:pPr>
              <w:ind w:left="7"/>
            </w:pPr>
            <w:r>
              <w:rPr>
                <w:sz w:val="20"/>
              </w:rPr>
              <w:t>de</w:t>
            </w:r>
          </w:p>
        </w:tc>
        <w:tc>
          <w:tcPr>
            <w:tcW w:w="1227" w:type="dxa"/>
            <w:tcBorders>
              <w:top w:val="single" w:sz="2" w:space="0" w:color="000000"/>
              <w:left w:val="single" w:sz="2" w:space="0" w:color="000000"/>
              <w:bottom w:val="single" w:sz="2" w:space="0" w:color="000000"/>
              <w:right w:val="single" w:sz="2" w:space="0" w:color="000000"/>
            </w:tcBorders>
          </w:tcPr>
          <w:p w14:paraId="2C936C09" w14:textId="77777777" w:rsidR="00053D93" w:rsidRDefault="00260B75">
            <w:pPr>
              <w:ind w:left="111"/>
            </w:pPr>
            <w:r>
              <w:rPr>
                <w:sz w:val="20"/>
              </w:rPr>
              <w:t>29 de enero</w:t>
            </w:r>
          </w:p>
          <w:p w14:paraId="2EA46AB0" w14:textId="77777777" w:rsidR="00053D93" w:rsidRDefault="00260B75">
            <w:pPr>
              <w:ind w:left="111"/>
            </w:pPr>
            <w:r>
              <w:rPr>
                <w:rFonts w:ascii="Times New Roman" w:eastAsia="Times New Roman" w:hAnsi="Times New Roman" w:cs="Times New Roman"/>
                <w:sz w:val="20"/>
              </w:rPr>
              <w:t>2025</w:t>
            </w:r>
          </w:p>
        </w:tc>
        <w:tc>
          <w:tcPr>
            <w:tcW w:w="1113" w:type="dxa"/>
            <w:tcBorders>
              <w:top w:val="single" w:sz="2" w:space="0" w:color="000000"/>
              <w:left w:val="single" w:sz="2" w:space="0" w:color="000000"/>
              <w:bottom w:val="single" w:sz="2" w:space="0" w:color="000000"/>
              <w:right w:val="single" w:sz="2" w:space="0" w:color="000000"/>
            </w:tcBorders>
          </w:tcPr>
          <w:p w14:paraId="749DBE79" w14:textId="77777777" w:rsidR="00053D93" w:rsidRDefault="00260B75">
            <w:pPr>
              <w:ind w:left="79"/>
              <w:jc w:val="center"/>
            </w:pPr>
            <w:r>
              <w:rPr>
                <w:rFonts w:ascii="Times New Roman" w:eastAsia="Times New Roman" w:hAnsi="Times New Roman" w:cs="Times New Roman"/>
                <w:sz w:val="20"/>
              </w:rPr>
              <w:t>25</w:t>
            </w:r>
          </w:p>
        </w:tc>
        <w:tc>
          <w:tcPr>
            <w:tcW w:w="1255" w:type="dxa"/>
            <w:tcBorders>
              <w:top w:val="single" w:sz="2" w:space="0" w:color="000000"/>
              <w:left w:val="single" w:sz="2" w:space="0" w:color="000000"/>
              <w:bottom w:val="single" w:sz="2" w:space="0" w:color="000000"/>
              <w:right w:val="single" w:sz="2" w:space="0" w:color="000000"/>
            </w:tcBorders>
          </w:tcPr>
          <w:p w14:paraId="62A10E4F" w14:textId="77777777" w:rsidR="00053D93" w:rsidRDefault="00260B75">
            <w:pPr>
              <w:ind w:left="79"/>
              <w:jc w:val="center"/>
            </w:pPr>
            <w:r>
              <w:rPr>
                <w:rFonts w:ascii="Times New Roman" w:eastAsia="Times New Roman" w:hAnsi="Times New Roman" w:cs="Times New Roman"/>
                <w:sz w:val="20"/>
              </w:rPr>
              <w:t>38639</w:t>
            </w:r>
          </w:p>
        </w:tc>
        <w:tc>
          <w:tcPr>
            <w:tcW w:w="1589" w:type="dxa"/>
            <w:tcBorders>
              <w:top w:val="single" w:sz="2" w:space="0" w:color="000000"/>
              <w:left w:val="single" w:sz="2" w:space="0" w:color="000000"/>
              <w:bottom w:val="single" w:sz="2" w:space="0" w:color="000000"/>
              <w:right w:val="single" w:sz="2" w:space="0" w:color="000000"/>
            </w:tcBorders>
          </w:tcPr>
          <w:p w14:paraId="57AECB55" w14:textId="77777777" w:rsidR="00053D93" w:rsidRDefault="00260B75">
            <w:pPr>
              <w:ind w:left="79"/>
              <w:jc w:val="center"/>
            </w:pPr>
            <w:r>
              <w:rPr>
                <w:rFonts w:ascii="Times New Roman" w:eastAsia="Times New Roman" w:hAnsi="Times New Roman" w:cs="Times New Roman"/>
                <w:sz w:val="20"/>
              </w:rPr>
              <w:t>089-2025</w:t>
            </w:r>
          </w:p>
        </w:tc>
      </w:tr>
      <w:tr w:rsidR="00053D93" w14:paraId="6C8467CB" w14:textId="77777777">
        <w:trPr>
          <w:trHeight w:val="706"/>
        </w:trPr>
        <w:tc>
          <w:tcPr>
            <w:tcW w:w="526" w:type="dxa"/>
            <w:tcBorders>
              <w:top w:val="single" w:sz="2" w:space="0" w:color="000000"/>
              <w:left w:val="single" w:sz="2" w:space="0" w:color="000000"/>
              <w:bottom w:val="single" w:sz="2" w:space="0" w:color="000000"/>
              <w:right w:val="single" w:sz="2" w:space="0" w:color="000000"/>
            </w:tcBorders>
          </w:tcPr>
          <w:p w14:paraId="1B32CA3B" w14:textId="77777777" w:rsidR="00053D93" w:rsidRDefault="00260B75">
            <w:pPr>
              <w:ind w:left="101"/>
            </w:pPr>
            <w:r>
              <w:rPr>
                <w:rFonts w:ascii="Times New Roman" w:eastAsia="Times New Roman" w:hAnsi="Times New Roman" w:cs="Times New Roman"/>
                <w:sz w:val="18"/>
              </w:rPr>
              <w:t>9</w:t>
            </w:r>
          </w:p>
        </w:tc>
        <w:tc>
          <w:tcPr>
            <w:tcW w:w="1365" w:type="dxa"/>
            <w:tcBorders>
              <w:top w:val="single" w:sz="2" w:space="0" w:color="000000"/>
              <w:left w:val="single" w:sz="2" w:space="0" w:color="000000"/>
              <w:bottom w:val="single" w:sz="2" w:space="0" w:color="000000"/>
              <w:right w:val="single" w:sz="2" w:space="0" w:color="000000"/>
            </w:tcBorders>
            <w:vAlign w:val="bottom"/>
          </w:tcPr>
          <w:p w14:paraId="0684F947" w14:textId="77777777" w:rsidR="00053D93" w:rsidRDefault="00260B75">
            <w:pPr>
              <w:ind w:left="108"/>
            </w:pPr>
            <w:r>
              <w:rPr>
                <w:sz w:val="20"/>
              </w:rPr>
              <w:t>Guatemala</w:t>
            </w:r>
          </w:p>
          <w:p w14:paraId="365BC2FB" w14:textId="77777777" w:rsidR="00053D93" w:rsidRDefault="00260B75">
            <w:pPr>
              <w:ind w:left="108"/>
            </w:pPr>
            <w:r>
              <w:rPr>
                <w:sz w:val="20"/>
              </w:rPr>
              <w:t>Sacatepéquez</w:t>
            </w:r>
          </w:p>
        </w:tc>
        <w:tc>
          <w:tcPr>
            <w:tcW w:w="1076" w:type="dxa"/>
            <w:tcBorders>
              <w:top w:val="single" w:sz="2" w:space="0" w:color="000000"/>
              <w:left w:val="single" w:sz="2" w:space="0" w:color="000000"/>
              <w:bottom w:val="single" w:sz="2" w:space="0" w:color="000000"/>
              <w:right w:val="nil"/>
            </w:tcBorders>
          </w:tcPr>
          <w:p w14:paraId="7953D4C5" w14:textId="77777777" w:rsidR="00053D93" w:rsidRDefault="00260B75">
            <w:pPr>
              <w:ind w:left="111" w:firstLine="7"/>
            </w:pPr>
            <w:r>
              <w:t>Escaleras agilidad</w:t>
            </w:r>
          </w:p>
        </w:tc>
        <w:tc>
          <w:tcPr>
            <w:tcW w:w="321" w:type="dxa"/>
            <w:tcBorders>
              <w:top w:val="single" w:sz="2" w:space="0" w:color="000000"/>
              <w:left w:val="nil"/>
              <w:bottom w:val="single" w:sz="2" w:space="0" w:color="000000"/>
              <w:right w:val="single" w:sz="2" w:space="0" w:color="000000"/>
            </w:tcBorders>
          </w:tcPr>
          <w:p w14:paraId="2016959C" w14:textId="77777777" w:rsidR="00053D93" w:rsidRDefault="00260B75">
            <w:pPr>
              <w:ind w:left="7"/>
            </w:pPr>
            <w:r>
              <w:rPr>
                <w:sz w:val="20"/>
              </w:rPr>
              <w:t>de</w:t>
            </w:r>
          </w:p>
        </w:tc>
        <w:tc>
          <w:tcPr>
            <w:tcW w:w="1227" w:type="dxa"/>
            <w:tcBorders>
              <w:top w:val="single" w:sz="2" w:space="0" w:color="000000"/>
              <w:left w:val="single" w:sz="2" w:space="0" w:color="000000"/>
              <w:bottom w:val="single" w:sz="2" w:space="0" w:color="000000"/>
              <w:right w:val="single" w:sz="2" w:space="0" w:color="000000"/>
            </w:tcBorders>
          </w:tcPr>
          <w:p w14:paraId="1D7647E2" w14:textId="77777777" w:rsidR="00053D93" w:rsidRDefault="00260B75">
            <w:pPr>
              <w:ind w:left="104"/>
            </w:pPr>
            <w:r>
              <w:rPr>
                <w:sz w:val="18"/>
              </w:rPr>
              <w:t>5 de febrero</w:t>
            </w:r>
          </w:p>
          <w:p w14:paraId="5DB06425" w14:textId="77777777" w:rsidR="00053D93" w:rsidRDefault="00260B75">
            <w:pPr>
              <w:ind w:left="104"/>
            </w:pPr>
            <w:r>
              <w:rPr>
                <w:rFonts w:ascii="Times New Roman" w:eastAsia="Times New Roman" w:hAnsi="Times New Roman" w:cs="Times New Roman"/>
                <w:sz w:val="20"/>
              </w:rPr>
              <w:t>2025</w:t>
            </w:r>
          </w:p>
        </w:tc>
        <w:tc>
          <w:tcPr>
            <w:tcW w:w="1113" w:type="dxa"/>
            <w:tcBorders>
              <w:top w:val="single" w:sz="2" w:space="0" w:color="000000"/>
              <w:left w:val="single" w:sz="2" w:space="0" w:color="000000"/>
              <w:bottom w:val="single" w:sz="2" w:space="0" w:color="000000"/>
              <w:right w:val="single" w:sz="2" w:space="0" w:color="000000"/>
            </w:tcBorders>
          </w:tcPr>
          <w:p w14:paraId="52FEBE60" w14:textId="77777777" w:rsidR="00053D93" w:rsidRDefault="00260B75">
            <w:pPr>
              <w:ind w:left="79"/>
              <w:jc w:val="center"/>
            </w:pPr>
            <w:r>
              <w:rPr>
                <w:rFonts w:ascii="Times New Roman" w:eastAsia="Times New Roman" w:hAnsi="Times New Roman" w:cs="Times New Roman"/>
                <w:sz w:val="20"/>
              </w:rPr>
              <w:t>25</w:t>
            </w:r>
          </w:p>
        </w:tc>
        <w:tc>
          <w:tcPr>
            <w:tcW w:w="1255" w:type="dxa"/>
            <w:tcBorders>
              <w:top w:val="single" w:sz="2" w:space="0" w:color="000000"/>
              <w:left w:val="single" w:sz="2" w:space="0" w:color="000000"/>
              <w:bottom w:val="single" w:sz="2" w:space="0" w:color="000000"/>
              <w:right w:val="single" w:sz="2" w:space="0" w:color="000000"/>
            </w:tcBorders>
          </w:tcPr>
          <w:p w14:paraId="11DA4809" w14:textId="77777777" w:rsidR="00053D93" w:rsidRDefault="00260B75">
            <w:pPr>
              <w:ind w:left="72"/>
              <w:jc w:val="center"/>
            </w:pPr>
            <w:r>
              <w:rPr>
                <w:rFonts w:ascii="Times New Roman" w:eastAsia="Times New Roman" w:hAnsi="Times New Roman" w:cs="Times New Roman"/>
                <w:sz w:val="20"/>
              </w:rPr>
              <w:t>38642</w:t>
            </w:r>
          </w:p>
        </w:tc>
        <w:tc>
          <w:tcPr>
            <w:tcW w:w="1589" w:type="dxa"/>
            <w:tcBorders>
              <w:top w:val="single" w:sz="2" w:space="0" w:color="000000"/>
              <w:left w:val="single" w:sz="2" w:space="0" w:color="000000"/>
              <w:bottom w:val="single" w:sz="2" w:space="0" w:color="000000"/>
              <w:right w:val="single" w:sz="2" w:space="0" w:color="000000"/>
            </w:tcBorders>
          </w:tcPr>
          <w:p w14:paraId="7E0A4EF7" w14:textId="77777777" w:rsidR="00053D93" w:rsidRDefault="00260B75">
            <w:pPr>
              <w:ind w:left="79"/>
              <w:jc w:val="center"/>
            </w:pPr>
            <w:r>
              <w:rPr>
                <w:rFonts w:ascii="Times New Roman" w:eastAsia="Times New Roman" w:hAnsi="Times New Roman" w:cs="Times New Roman"/>
                <w:sz w:val="20"/>
              </w:rPr>
              <w:t>012-2025</w:t>
            </w:r>
          </w:p>
        </w:tc>
      </w:tr>
      <w:tr w:rsidR="00053D93" w14:paraId="446A108B" w14:textId="77777777">
        <w:trPr>
          <w:trHeight w:val="475"/>
        </w:trPr>
        <w:tc>
          <w:tcPr>
            <w:tcW w:w="526" w:type="dxa"/>
            <w:tcBorders>
              <w:top w:val="single" w:sz="2" w:space="0" w:color="000000"/>
              <w:left w:val="single" w:sz="2" w:space="0" w:color="000000"/>
              <w:bottom w:val="single" w:sz="2" w:space="0" w:color="000000"/>
              <w:right w:val="single" w:sz="2" w:space="0" w:color="000000"/>
            </w:tcBorders>
          </w:tcPr>
          <w:p w14:paraId="2E8EBF92" w14:textId="77777777" w:rsidR="00053D93" w:rsidRDefault="00260B75">
            <w:pPr>
              <w:ind w:left="108"/>
            </w:pPr>
            <w:r>
              <w:rPr>
                <w:rFonts w:ascii="Times New Roman" w:eastAsia="Times New Roman" w:hAnsi="Times New Roman" w:cs="Times New Roman"/>
                <w:sz w:val="20"/>
              </w:rPr>
              <w:t>10</w:t>
            </w:r>
          </w:p>
        </w:tc>
        <w:tc>
          <w:tcPr>
            <w:tcW w:w="1365" w:type="dxa"/>
            <w:tcBorders>
              <w:top w:val="single" w:sz="2" w:space="0" w:color="000000"/>
              <w:left w:val="single" w:sz="2" w:space="0" w:color="000000"/>
              <w:bottom w:val="single" w:sz="2" w:space="0" w:color="000000"/>
              <w:right w:val="single" w:sz="2" w:space="0" w:color="000000"/>
            </w:tcBorders>
          </w:tcPr>
          <w:p w14:paraId="35582260" w14:textId="77777777" w:rsidR="00053D93" w:rsidRDefault="00260B75">
            <w:pPr>
              <w:ind w:left="101"/>
            </w:pPr>
            <w:r>
              <w:rPr>
                <w:sz w:val="20"/>
              </w:rPr>
              <w:t>Totonicapán,</w:t>
            </w:r>
          </w:p>
          <w:p w14:paraId="112B8AA7" w14:textId="77777777" w:rsidR="00053D93" w:rsidRDefault="00260B75">
            <w:pPr>
              <w:ind w:left="94"/>
            </w:pPr>
            <w:r>
              <w:rPr>
                <w:sz w:val="20"/>
              </w:rPr>
              <w:t>Totonicapan</w:t>
            </w:r>
          </w:p>
        </w:tc>
        <w:tc>
          <w:tcPr>
            <w:tcW w:w="1076" w:type="dxa"/>
            <w:tcBorders>
              <w:top w:val="single" w:sz="2" w:space="0" w:color="000000"/>
              <w:left w:val="single" w:sz="2" w:space="0" w:color="000000"/>
              <w:bottom w:val="single" w:sz="2" w:space="0" w:color="000000"/>
              <w:right w:val="nil"/>
            </w:tcBorders>
          </w:tcPr>
          <w:p w14:paraId="4E72F0F9" w14:textId="77777777" w:rsidR="00053D93" w:rsidRDefault="00260B75">
            <w:pPr>
              <w:ind w:left="104" w:firstLine="7"/>
            </w:pPr>
            <w:r>
              <w:t>Escaleras agilidad</w:t>
            </w:r>
          </w:p>
        </w:tc>
        <w:tc>
          <w:tcPr>
            <w:tcW w:w="321" w:type="dxa"/>
            <w:tcBorders>
              <w:top w:val="single" w:sz="2" w:space="0" w:color="000000"/>
              <w:left w:val="nil"/>
              <w:bottom w:val="single" w:sz="2" w:space="0" w:color="000000"/>
              <w:right w:val="single" w:sz="2" w:space="0" w:color="000000"/>
            </w:tcBorders>
          </w:tcPr>
          <w:p w14:paraId="2A93652A" w14:textId="77777777" w:rsidR="00053D93" w:rsidRDefault="00260B75">
            <w:r>
              <w:rPr>
                <w:sz w:val="20"/>
              </w:rPr>
              <w:t>de</w:t>
            </w:r>
          </w:p>
        </w:tc>
        <w:tc>
          <w:tcPr>
            <w:tcW w:w="1227" w:type="dxa"/>
            <w:tcBorders>
              <w:top w:val="single" w:sz="2" w:space="0" w:color="000000"/>
              <w:left w:val="single" w:sz="2" w:space="0" w:color="000000"/>
              <w:bottom w:val="single" w:sz="2" w:space="0" w:color="000000"/>
              <w:right w:val="single" w:sz="2" w:space="0" w:color="000000"/>
            </w:tcBorders>
          </w:tcPr>
          <w:p w14:paraId="739CB487" w14:textId="77777777" w:rsidR="00053D93" w:rsidRDefault="00260B75">
            <w:pPr>
              <w:ind w:left="104"/>
            </w:pPr>
            <w:r>
              <w:rPr>
                <w:sz w:val="18"/>
              </w:rPr>
              <w:t>6 de febrero</w:t>
            </w:r>
          </w:p>
          <w:p w14:paraId="5DC688B1" w14:textId="77777777" w:rsidR="00053D93" w:rsidRDefault="00260B75">
            <w:pPr>
              <w:ind w:left="104"/>
            </w:pPr>
            <w:r>
              <w:rPr>
                <w:rFonts w:ascii="Times New Roman" w:eastAsia="Times New Roman" w:hAnsi="Times New Roman" w:cs="Times New Roman"/>
                <w:sz w:val="20"/>
              </w:rPr>
              <w:t>2025</w:t>
            </w:r>
          </w:p>
        </w:tc>
        <w:tc>
          <w:tcPr>
            <w:tcW w:w="1113" w:type="dxa"/>
            <w:tcBorders>
              <w:top w:val="single" w:sz="2" w:space="0" w:color="000000"/>
              <w:left w:val="single" w:sz="2" w:space="0" w:color="000000"/>
              <w:bottom w:val="single" w:sz="2" w:space="0" w:color="000000"/>
              <w:right w:val="single" w:sz="2" w:space="0" w:color="000000"/>
            </w:tcBorders>
          </w:tcPr>
          <w:p w14:paraId="2476CCA3" w14:textId="77777777" w:rsidR="00053D93" w:rsidRDefault="00260B75">
            <w:pPr>
              <w:ind w:left="65"/>
              <w:jc w:val="center"/>
            </w:pPr>
            <w:r>
              <w:rPr>
                <w:rFonts w:ascii="Times New Roman" w:eastAsia="Times New Roman" w:hAnsi="Times New Roman" w:cs="Times New Roman"/>
                <w:sz w:val="20"/>
              </w:rPr>
              <w:t>25</w:t>
            </w:r>
          </w:p>
        </w:tc>
        <w:tc>
          <w:tcPr>
            <w:tcW w:w="1255" w:type="dxa"/>
            <w:tcBorders>
              <w:top w:val="single" w:sz="2" w:space="0" w:color="000000"/>
              <w:left w:val="single" w:sz="2" w:space="0" w:color="000000"/>
              <w:bottom w:val="single" w:sz="2" w:space="0" w:color="000000"/>
              <w:right w:val="single" w:sz="2" w:space="0" w:color="000000"/>
            </w:tcBorders>
          </w:tcPr>
          <w:p w14:paraId="7C9556FD" w14:textId="77777777" w:rsidR="00053D93" w:rsidRDefault="00260B75">
            <w:pPr>
              <w:ind w:left="72"/>
              <w:jc w:val="center"/>
            </w:pPr>
            <w:r>
              <w:rPr>
                <w:rFonts w:ascii="Times New Roman" w:eastAsia="Times New Roman" w:hAnsi="Times New Roman" w:cs="Times New Roman"/>
                <w:sz w:val="20"/>
              </w:rPr>
              <w:t>38643</w:t>
            </w:r>
          </w:p>
        </w:tc>
        <w:tc>
          <w:tcPr>
            <w:tcW w:w="1589" w:type="dxa"/>
            <w:tcBorders>
              <w:top w:val="single" w:sz="2" w:space="0" w:color="000000"/>
              <w:left w:val="single" w:sz="2" w:space="0" w:color="000000"/>
              <w:bottom w:val="single" w:sz="2" w:space="0" w:color="000000"/>
              <w:right w:val="single" w:sz="2" w:space="0" w:color="000000"/>
            </w:tcBorders>
          </w:tcPr>
          <w:p w14:paraId="08371695" w14:textId="77777777" w:rsidR="00053D93" w:rsidRDefault="00260B75">
            <w:pPr>
              <w:ind w:left="79"/>
              <w:jc w:val="center"/>
            </w:pPr>
            <w:r>
              <w:rPr>
                <w:rFonts w:ascii="Times New Roman" w:eastAsia="Times New Roman" w:hAnsi="Times New Roman" w:cs="Times New Roman"/>
                <w:sz w:val="20"/>
              </w:rPr>
              <w:t>015-2025</w:t>
            </w:r>
          </w:p>
        </w:tc>
      </w:tr>
      <w:tr w:rsidR="00053D93" w14:paraId="6BBA7E48" w14:textId="77777777">
        <w:trPr>
          <w:trHeight w:val="475"/>
        </w:trPr>
        <w:tc>
          <w:tcPr>
            <w:tcW w:w="526" w:type="dxa"/>
            <w:tcBorders>
              <w:top w:val="single" w:sz="2" w:space="0" w:color="000000"/>
              <w:left w:val="single" w:sz="2" w:space="0" w:color="000000"/>
              <w:bottom w:val="single" w:sz="2" w:space="0" w:color="000000"/>
              <w:right w:val="single" w:sz="2" w:space="0" w:color="000000"/>
            </w:tcBorders>
          </w:tcPr>
          <w:p w14:paraId="34098A1A" w14:textId="77777777" w:rsidR="00053D93" w:rsidRDefault="00260B75">
            <w:pPr>
              <w:ind w:left="108"/>
            </w:pPr>
            <w:r>
              <w:rPr>
                <w:rFonts w:ascii="Times New Roman" w:eastAsia="Times New Roman" w:hAnsi="Times New Roman" w:cs="Times New Roman"/>
                <w:sz w:val="18"/>
              </w:rPr>
              <w:t>11</w:t>
            </w:r>
          </w:p>
        </w:tc>
        <w:tc>
          <w:tcPr>
            <w:tcW w:w="1365" w:type="dxa"/>
            <w:tcBorders>
              <w:top w:val="single" w:sz="2" w:space="0" w:color="000000"/>
              <w:left w:val="single" w:sz="2" w:space="0" w:color="000000"/>
              <w:bottom w:val="single" w:sz="2" w:space="0" w:color="000000"/>
              <w:right w:val="single" w:sz="2" w:space="0" w:color="000000"/>
            </w:tcBorders>
            <w:vAlign w:val="bottom"/>
          </w:tcPr>
          <w:p w14:paraId="6D03C69C" w14:textId="77777777" w:rsidR="00053D93" w:rsidRDefault="00260B75">
            <w:pPr>
              <w:ind w:left="94"/>
            </w:pPr>
            <w:r>
              <w:rPr>
                <w:sz w:val="20"/>
              </w:rPr>
              <w:t>Jutiapa</w:t>
            </w:r>
          </w:p>
        </w:tc>
        <w:tc>
          <w:tcPr>
            <w:tcW w:w="1076" w:type="dxa"/>
            <w:tcBorders>
              <w:top w:val="single" w:sz="2" w:space="0" w:color="000000"/>
              <w:left w:val="single" w:sz="2" w:space="0" w:color="000000"/>
              <w:bottom w:val="single" w:sz="2" w:space="0" w:color="000000"/>
              <w:right w:val="nil"/>
            </w:tcBorders>
          </w:tcPr>
          <w:p w14:paraId="44E72D3B" w14:textId="77777777" w:rsidR="00053D93" w:rsidRDefault="00260B75">
            <w:pPr>
              <w:ind w:left="104" w:firstLine="7"/>
            </w:pPr>
            <w:r>
              <w:t>Escaleras agilidad</w:t>
            </w:r>
          </w:p>
        </w:tc>
        <w:tc>
          <w:tcPr>
            <w:tcW w:w="321" w:type="dxa"/>
            <w:tcBorders>
              <w:top w:val="single" w:sz="2" w:space="0" w:color="000000"/>
              <w:left w:val="nil"/>
              <w:bottom w:val="single" w:sz="2" w:space="0" w:color="000000"/>
              <w:right w:val="single" w:sz="2" w:space="0" w:color="000000"/>
            </w:tcBorders>
          </w:tcPr>
          <w:p w14:paraId="73BF1343" w14:textId="77777777" w:rsidR="00053D93" w:rsidRDefault="00260B75">
            <w:r>
              <w:rPr>
                <w:sz w:val="20"/>
              </w:rPr>
              <w:t>de</w:t>
            </w:r>
          </w:p>
        </w:tc>
        <w:tc>
          <w:tcPr>
            <w:tcW w:w="1227" w:type="dxa"/>
            <w:tcBorders>
              <w:top w:val="single" w:sz="2" w:space="0" w:color="000000"/>
              <w:left w:val="single" w:sz="2" w:space="0" w:color="000000"/>
              <w:bottom w:val="single" w:sz="2" w:space="0" w:color="000000"/>
              <w:right w:val="single" w:sz="2" w:space="0" w:color="000000"/>
            </w:tcBorders>
          </w:tcPr>
          <w:p w14:paraId="0452E196" w14:textId="77777777" w:rsidR="00053D93" w:rsidRDefault="00260B75">
            <w:pPr>
              <w:tabs>
                <w:tab w:val="right" w:pos="1121"/>
              </w:tabs>
            </w:pPr>
            <w:r>
              <w:rPr>
                <w:sz w:val="26"/>
              </w:rPr>
              <w:t>I O</w:t>
            </w:r>
            <w:r>
              <w:rPr>
                <w:sz w:val="26"/>
              </w:rPr>
              <w:tab/>
              <w:t>de</w:t>
            </w:r>
          </w:p>
          <w:p w14:paraId="7AA4EEDC" w14:textId="77777777" w:rsidR="00053D93" w:rsidRDefault="00260B75">
            <w:pPr>
              <w:ind w:left="96"/>
            </w:pPr>
            <w:r>
              <w:rPr>
                <w:sz w:val="18"/>
              </w:rPr>
              <w:t>febrero 2025</w:t>
            </w:r>
          </w:p>
        </w:tc>
        <w:tc>
          <w:tcPr>
            <w:tcW w:w="1113" w:type="dxa"/>
            <w:tcBorders>
              <w:top w:val="single" w:sz="2" w:space="0" w:color="000000"/>
              <w:left w:val="single" w:sz="2" w:space="0" w:color="000000"/>
              <w:bottom w:val="single" w:sz="2" w:space="0" w:color="000000"/>
              <w:right w:val="single" w:sz="2" w:space="0" w:color="000000"/>
            </w:tcBorders>
          </w:tcPr>
          <w:p w14:paraId="246C770B" w14:textId="77777777" w:rsidR="00053D93" w:rsidRDefault="00260B75">
            <w:pPr>
              <w:ind w:left="58"/>
              <w:jc w:val="center"/>
            </w:pPr>
            <w:r>
              <w:rPr>
                <w:rFonts w:ascii="Times New Roman" w:eastAsia="Times New Roman" w:hAnsi="Times New Roman" w:cs="Times New Roman"/>
                <w:sz w:val="18"/>
              </w:rPr>
              <w:t>25</w:t>
            </w:r>
          </w:p>
        </w:tc>
        <w:tc>
          <w:tcPr>
            <w:tcW w:w="1255" w:type="dxa"/>
            <w:tcBorders>
              <w:top w:val="single" w:sz="2" w:space="0" w:color="000000"/>
              <w:left w:val="single" w:sz="2" w:space="0" w:color="000000"/>
              <w:bottom w:val="single" w:sz="2" w:space="0" w:color="000000"/>
              <w:right w:val="single" w:sz="2" w:space="0" w:color="000000"/>
            </w:tcBorders>
          </w:tcPr>
          <w:p w14:paraId="701FA40E" w14:textId="77777777" w:rsidR="00053D93" w:rsidRDefault="00260B75">
            <w:pPr>
              <w:ind w:left="43"/>
              <w:jc w:val="center"/>
            </w:pPr>
            <w:r>
              <w:rPr>
                <w:rFonts w:ascii="Times New Roman" w:eastAsia="Times New Roman" w:hAnsi="Times New Roman" w:cs="Times New Roman"/>
                <w:sz w:val="20"/>
              </w:rPr>
              <w:t>38651</w:t>
            </w:r>
          </w:p>
        </w:tc>
        <w:tc>
          <w:tcPr>
            <w:tcW w:w="1589" w:type="dxa"/>
            <w:tcBorders>
              <w:top w:val="single" w:sz="2" w:space="0" w:color="000000"/>
              <w:left w:val="single" w:sz="2" w:space="0" w:color="000000"/>
              <w:bottom w:val="single" w:sz="2" w:space="0" w:color="000000"/>
              <w:right w:val="single" w:sz="2" w:space="0" w:color="000000"/>
            </w:tcBorders>
          </w:tcPr>
          <w:p w14:paraId="08E59CBC" w14:textId="77777777" w:rsidR="00053D93" w:rsidRDefault="00260B75">
            <w:pPr>
              <w:ind w:left="65"/>
              <w:jc w:val="center"/>
            </w:pPr>
            <w:r>
              <w:rPr>
                <w:rFonts w:ascii="Times New Roman" w:eastAsia="Times New Roman" w:hAnsi="Times New Roman" w:cs="Times New Roman"/>
                <w:sz w:val="20"/>
              </w:rPr>
              <w:t>016-2025</w:t>
            </w:r>
          </w:p>
        </w:tc>
      </w:tr>
    </w:tbl>
    <w:p w14:paraId="6C8B93E1" w14:textId="77777777" w:rsidR="00053D93" w:rsidRDefault="00260B75">
      <w:pPr>
        <w:spacing w:after="581" w:line="247" w:lineRule="auto"/>
        <w:ind w:left="1591" w:right="14" w:firstLine="4"/>
        <w:jc w:val="both"/>
      </w:pPr>
      <w:r>
        <w:rPr>
          <w:sz w:val="26"/>
        </w:rPr>
        <w:t xml:space="preserve">Con base en lo expuesto en este documento y a la documentación de soporte... se puede concluir Io siguiente: 1. En mi calidad de Coordinador Curricular, si supervise a la jefe del Departamento Escuelas Normales de Educación Física, para que se utilizaran oportunamente los materiales y suministros adquiridos, de acuerdo con las actividades de educación física programadas para el ejercicio fiscal 2024. 2. Se le giraron instrucciones precisas por medio de oficios, a la jefe del Departamento de Escuelas Normales de Educación Física, para que realizará un plan de distribución y que los insumos adquiridos fueran distribuidos oportunamente con el objetivo de ser utilizados conforme a su fin, en las fechas iniciales programadas 3. La jefe del Departamento de Escuelas Normales de </w:t>
      </w:r>
      <w:r>
        <w:rPr>
          <w:sz w:val="26"/>
        </w:rPr>
        <w:lastRenderedPageBreak/>
        <w:t>Educación Física, gestiono oportunamente requerimientos y transporte bajo mi supervisión... 4. Todos los documentos emanados del Departamento de Escuelas Normales de Educación Fisica, cuentan con mi visto bueno, esto evidencia mi</w:t>
      </w:r>
    </w:p>
    <w:tbl>
      <w:tblPr>
        <w:tblStyle w:val="TableGrid"/>
        <w:tblpPr w:vertAnchor="text" w:tblpX="2445" w:tblpY="117"/>
        <w:tblOverlap w:val="never"/>
        <w:tblW w:w="7627" w:type="dxa"/>
        <w:tblInd w:w="0" w:type="dxa"/>
        <w:tblCellMar>
          <w:top w:w="54" w:type="dxa"/>
          <w:left w:w="1738" w:type="dxa"/>
          <w:right w:w="115" w:type="dxa"/>
        </w:tblCellMar>
        <w:tblLook w:val="04A0" w:firstRow="1" w:lastRow="0" w:firstColumn="1" w:lastColumn="0" w:noHBand="0" w:noVBand="1"/>
      </w:tblPr>
      <w:tblGrid>
        <w:gridCol w:w="7627"/>
      </w:tblGrid>
      <w:tr w:rsidR="00053D93" w14:paraId="589401C9" w14:textId="77777777">
        <w:trPr>
          <w:trHeight w:val="58"/>
        </w:trPr>
        <w:tc>
          <w:tcPr>
            <w:tcW w:w="7627" w:type="dxa"/>
            <w:tcBorders>
              <w:top w:val="nil"/>
              <w:left w:val="single" w:sz="2" w:space="0" w:color="000000"/>
              <w:bottom w:val="single" w:sz="2" w:space="0" w:color="000000"/>
              <w:right w:val="nil"/>
            </w:tcBorders>
          </w:tcPr>
          <w:p w14:paraId="41B5052A" w14:textId="77777777" w:rsidR="00053D93" w:rsidRDefault="00053D93"/>
        </w:tc>
      </w:tr>
      <w:tr w:rsidR="00053D93" w14:paraId="2AC785AC" w14:textId="77777777">
        <w:trPr>
          <w:trHeight w:val="576"/>
        </w:trPr>
        <w:tc>
          <w:tcPr>
            <w:tcW w:w="7627" w:type="dxa"/>
            <w:tcBorders>
              <w:top w:val="single" w:sz="2" w:space="0" w:color="000000"/>
              <w:left w:val="single" w:sz="2" w:space="0" w:color="000000"/>
              <w:bottom w:val="nil"/>
              <w:right w:val="nil"/>
            </w:tcBorders>
          </w:tcPr>
          <w:p w14:paraId="41155A94" w14:textId="77777777" w:rsidR="00053D93" w:rsidRDefault="00260B75">
            <w:pPr>
              <w:ind w:left="835"/>
            </w:pPr>
            <w:r>
              <w:rPr>
                <w:sz w:val="14"/>
              </w:rPr>
              <w:t>MINISTERIO DE EDUCACION</w:t>
            </w:r>
          </w:p>
          <w:p w14:paraId="6B40C272" w14:textId="77777777" w:rsidR="00053D93" w:rsidRDefault="00260B75">
            <w:pPr>
              <w:ind w:left="338"/>
            </w:pPr>
            <w:r>
              <w:rPr>
                <w:sz w:val="14"/>
              </w:rPr>
              <w:t>AUDITORIA FINANCIERA Y DE CUMPLIMIENTO</w:t>
            </w:r>
          </w:p>
          <w:p w14:paraId="2E7071B9" w14:textId="77777777" w:rsidR="00053D93" w:rsidRDefault="00260B75">
            <w:r>
              <w:rPr>
                <w:sz w:val="14"/>
              </w:rPr>
              <w:t>PEREOOO DEL 01 DE ENERO AL 31 OE DICIEMBRE OE 2024</w:t>
            </w:r>
          </w:p>
        </w:tc>
      </w:tr>
    </w:tbl>
    <w:p w14:paraId="435FEB8E" w14:textId="77777777" w:rsidR="00053D93" w:rsidRDefault="00260B75">
      <w:pPr>
        <w:pStyle w:val="Ttulo1"/>
        <w:spacing w:after="80" w:line="259" w:lineRule="auto"/>
        <w:ind w:right="-7603"/>
        <w:jc w:val="left"/>
      </w:pPr>
      <w:r>
        <w:rPr>
          <w:sz w:val="32"/>
          <w:vertAlign w:val="superscript"/>
        </w:rPr>
        <w:t xml:space="preserve">I </w:t>
      </w:r>
      <w:r>
        <w:rPr>
          <w:sz w:val="32"/>
        </w:rPr>
        <w:t xml:space="preserve">III </w:t>
      </w:r>
      <w:r>
        <w:rPr>
          <w:noProof/>
        </w:rPr>
        <w:drawing>
          <wp:inline distT="0" distB="0" distL="0" distR="0" wp14:anchorId="1DDD92D1" wp14:editId="58561266">
            <wp:extent cx="886968" cy="406908"/>
            <wp:effectExtent l="0" t="0" r="0" b="0"/>
            <wp:docPr id="2458445" name="Picture 2458445"/>
            <wp:cNvGraphicFramePr/>
            <a:graphic xmlns:a="http://schemas.openxmlformats.org/drawingml/2006/main">
              <a:graphicData uri="http://schemas.openxmlformats.org/drawingml/2006/picture">
                <pic:pic xmlns:pic="http://schemas.openxmlformats.org/drawingml/2006/picture">
                  <pic:nvPicPr>
                    <pic:cNvPr id="2458445" name="Picture 2458445"/>
                    <pic:cNvPicPr/>
                  </pic:nvPicPr>
                  <pic:blipFill>
                    <a:blip r:embed="rId817"/>
                    <a:stretch>
                      <a:fillRect/>
                    </a:stretch>
                  </pic:blipFill>
                  <pic:spPr>
                    <a:xfrm>
                      <a:off x="0" y="0"/>
                      <a:ext cx="886968" cy="406908"/>
                    </a:xfrm>
                    <a:prstGeom prst="rect">
                      <a:avLst/>
                    </a:prstGeom>
                  </pic:spPr>
                </pic:pic>
              </a:graphicData>
            </a:graphic>
          </wp:inline>
        </w:drawing>
      </w:r>
      <w:r>
        <w:rPr>
          <w:sz w:val="32"/>
        </w:rPr>
        <w:t>II</w:t>
      </w:r>
    </w:p>
    <w:p w14:paraId="51DC78C8" w14:textId="77777777" w:rsidR="00053D93" w:rsidRDefault="00260B75">
      <w:pPr>
        <w:spacing w:after="0"/>
        <w:ind w:left="835"/>
      </w:pPr>
      <w:r>
        <w:rPr>
          <w:noProof/>
        </w:rPr>
        <w:drawing>
          <wp:inline distT="0" distB="0" distL="0" distR="0" wp14:anchorId="790CAEEA" wp14:editId="769F3B5E">
            <wp:extent cx="5861304" cy="86868"/>
            <wp:effectExtent l="0" t="0" r="0" b="0"/>
            <wp:docPr id="2458447" name="Picture 2458447"/>
            <wp:cNvGraphicFramePr/>
            <a:graphic xmlns:a="http://schemas.openxmlformats.org/drawingml/2006/main">
              <a:graphicData uri="http://schemas.openxmlformats.org/drawingml/2006/picture">
                <pic:pic xmlns:pic="http://schemas.openxmlformats.org/drawingml/2006/picture">
                  <pic:nvPicPr>
                    <pic:cNvPr id="2458447" name="Picture 2458447"/>
                    <pic:cNvPicPr/>
                  </pic:nvPicPr>
                  <pic:blipFill>
                    <a:blip r:embed="rId818"/>
                    <a:stretch>
                      <a:fillRect/>
                    </a:stretch>
                  </pic:blipFill>
                  <pic:spPr>
                    <a:xfrm>
                      <a:off x="0" y="0"/>
                      <a:ext cx="5861304" cy="86868"/>
                    </a:xfrm>
                    <a:prstGeom prst="rect">
                      <a:avLst/>
                    </a:prstGeom>
                  </pic:spPr>
                </pic:pic>
              </a:graphicData>
            </a:graphic>
          </wp:inline>
        </w:drawing>
      </w:r>
    </w:p>
    <w:p w14:paraId="12127477" w14:textId="77777777" w:rsidR="00053D93" w:rsidRDefault="00260B75">
      <w:pPr>
        <w:spacing w:after="329" w:line="247" w:lineRule="auto"/>
        <w:ind w:left="1591" w:right="14" w:firstLine="4"/>
        <w:jc w:val="both"/>
      </w:pPr>
      <w:r>
        <w:rPr>
          <w:sz w:val="26"/>
        </w:rPr>
        <w:t>conocimiento, seguimiento y supervisión de las actividades propias del departamento, especialmente a los procesos de adquisición a que se refiere el posible hallazgo. 5. El atraso en el proceso de adquisición de la Arena Silica y Escaleras de agilidad y habilidad, no fue responsabilidad de la Coordinación Curricular ni del Departamento de Escuelas Normales de Educación Física. 6. La falta de transporte y el poco apoyo brindado por Servicios Generales, estaba fuera de mis responsabilidades como Coordinador Curricular, ya que el transporte se estuvo gestionando en tiempo y lugar... "</w:t>
      </w:r>
    </w:p>
    <w:p w14:paraId="690AAA9B" w14:textId="77777777" w:rsidR="00053D93" w:rsidRDefault="00260B75">
      <w:pPr>
        <w:spacing w:after="17" w:line="247" w:lineRule="auto"/>
        <w:ind w:left="900" w:right="14" w:firstLine="713"/>
        <w:jc w:val="both"/>
      </w:pPr>
      <w:r>
        <w:rPr>
          <w:sz w:val="26"/>
        </w:rPr>
        <w:t xml:space="preserve">En oficio No. 157-2025, del 8 de abril de 2025, la licenciada Ada Alcira Gómez </w:t>
      </w:r>
      <w:r>
        <w:rPr>
          <w:noProof/>
        </w:rPr>
        <w:drawing>
          <wp:inline distT="0" distB="0" distL="0" distR="0" wp14:anchorId="55B588CC" wp14:editId="304DD97F">
            <wp:extent cx="18288" cy="18288"/>
            <wp:effectExtent l="0" t="0" r="0" b="0"/>
            <wp:docPr id="539497" name="Picture 539497"/>
            <wp:cNvGraphicFramePr/>
            <a:graphic xmlns:a="http://schemas.openxmlformats.org/drawingml/2006/main">
              <a:graphicData uri="http://schemas.openxmlformats.org/drawingml/2006/picture">
                <pic:pic xmlns:pic="http://schemas.openxmlformats.org/drawingml/2006/picture">
                  <pic:nvPicPr>
                    <pic:cNvPr id="539497" name="Picture 539497"/>
                    <pic:cNvPicPr/>
                  </pic:nvPicPr>
                  <pic:blipFill>
                    <a:blip r:embed="rId819"/>
                    <a:stretch>
                      <a:fillRect/>
                    </a:stretch>
                  </pic:blipFill>
                  <pic:spPr>
                    <a:xfrm>
                      <a:off x="0" y="0"/>
                      <a:ext cx="18288" cy="18288"/>
                    </a:xfrm>
                    <a:prstGeom prst="rect">
                      <a:avLst/>
                    </a:prstGeom>
                  </pic:spPr>
                </pic:pic>
              </a:graphicData>
            </a:graphic>
          </wp:inline>
        </w:drawing>
      </w:r>
      <w:r>
        <w:rPr>
          <w:sz w:val="26"/>
        </w:rPr>
        <w:t xml:space="preserve"> Castellanos de Juárez, Jefe Departamento ENEF, manifiesta: Oportunamente el Departamento de Escuelas Normales realizó la gestión de compra de arena sílica para mantenimiento de los filtros de las piscinas propias de las Escuelas </w:t>
      </w:r>
      <w:r>
        <w:rPr>
          <w:noProof/>
        </w:rPr>
        <w:drawing>
          <wp:inline distT="0" distB="0" distL="0" distR="0" wp14:anchorId="359D9961" wp14:editId="7A11F993">
            <wp:extent cx="9144" cy="13716"/>
            <wp:effectExtent l="0" t="0" r="0" b="0"/>
            <wp:docPr id="539498" name="Picture 539498"/>
            <wp:cNvGraphicFramePr/>
            <a:graphic xmlns:a="http://schemas.openxmlformats.org/drawingml/2006/main">
              <a:graphicData uri="http://schemas.openxmlformats.org/drawingml/2006/picture">
                <pic:pic xmlns:pic="http://schemas.openxmlformats.org/drawingml/2006/picture">
                  <pic:nvPicPr>
                    <pic:cNvPr id="539498" name="Picture 539498"/>
                    <pic:cNvPicPr/>
                  </pic:nvPicPr>
                  <pic:blipFill>
                    <a:blip r:embed="rId820"/>
                    <a:stretch>
                      <a:fillRect/>
                    </a:stretch>
                  </pic:blipFill>
                  <pic:spPr>
                    <a:xfrm>
                      <a:off x="0" y="0"/>
                      <a:ext cx="9144" cy="13716"/>
                    </a:xfrm>
                    <a:prstGeom prst="rect">
                      <a:avLst/>
                    </a:prstGeom>
                  </pic:spPr>
                </pic:pic>
              </a:graphicData>
            </a:graphic>
          </wp:inline>
        </w:drawing>
      </w:r>
      <w:r>
        <w:rPr>
          <w:sz w:val="26"/>
        </w:rPr>
        <w:t xml:space="preserve"> Normales de Educación Física y Escaleras de agilidad para el desarrollo del área de atletismo que comprende el Currículo Nacional Base -CNB- de la Carrera de Bachillerato en Ciencias y Letras con Orientación en Educación Física, lo cual se describe de la siguiente manera:</w:t>
      </w:r>
    </w:p>
    <w:tbl>
      <w:tblPr>
        <w:tblStyle w:val="TableGrid"/>
        <w:tblW w:w="8467" w:type="dxa"/>
        <w:tblInd w:w="1613" w:type="dxa"/>
        <w:tblCellMar>
          <w:top w:w="6" w:type="dxa"/>
          <w:left w:w="103" w:type="dxa"/>
          <w:right w:w="23" w:type="dxa"/>
        </w:tblCellMar>
        <w:tblLook w:val="04A0" w:firstRow="1" w:lastRow="0" w:firstColumn="1" w:lastColumn="0" w:noHBand="0" w:noVBand="1"/>
      </w:tblPr>
      <w:tblGrid>
        <w:gridCol w:w="639"/>
        <w:gridCol w:w="1167"/>
        <w:gridCol w:w="1886"/>
        <w:gridCol w:w="1634"/>
        <w:gridCol w:w="1526"/>
        <w:gridCol w:w="1615"/>
      </w:tblGrid>
      <w:tr w:rsidR="00053D93" w14:paraId="6A5A01BD" w14:textId="77777777">
        <w:trPr>
          <w:trHeight w:val="932"/>
        </w:trPr>
        <w:tc>
          <w:tcPr>
            <w:tcW w:w="638" w:type="dxa"/>
            <w:tcBorders>
              <w:top w:val="single" w:sz="2" w:space="0" w:color="000000"/>
              <w:left w:val="single" w:sz="2" w:space="0" w:color="000000"/>
              <w:bottom w:val="single" w:sz="2" w:space="0" w:color="000000"/>
              <w:right w:val="single" w:sz="2" w:space="0" w:color="000000"/>
            </w:tcBorders>
          </w:tcPr>
          <w:p w14:paraId="593FF10C" w14:textId="77777777" w:rsidR="00053D93" w:rsidRDefault="00053D93"/>
        </w:tc>
        <w:tc>
          <w:tcPr>
            <w:tcW w:w="1166" w:type="dxa"/>
            <w:tcBorders>
              <w:top w:val="single" w:sz="2" w:space="0" w:color="000000"/>
              <w:left w:val="single" w:sz="2" w:space="0" w:color="000000"/>
              <w:bottom w:val="single" w:sz="2" w:space="0" w:color="000000"/>
              <w:right w:val="single" w:sz="2" w:space="0" w:color="000000"/>
            </w:tcBorders>
          </w:tcPr>
          <w:p w14:paraId="050F330D" w14:textId="77777777" w:rsidR="00053D93" w:rsidRDefault="00260B75">
            <w:pPr>
              <w:ind w:left="22"/>
            </w:pPr>
            <w:r>
              <w:rPr>
                <w:sz w:val="20"/>
              </w:rPr>
              <w:t>INSUMO</w:t>
            </w:r>
          </w:p>
        </w:tc>
        <w:tc>
          <w:tcPr>
            <w:tcW w:w="1886" w:type="dxa"/>
            <w:tcBorders>
              <w:top w:val="single" w:sz="2" w:space="0" w:color="000000"/>
              <w:left w:val="single" w:sz="2" w:space="0" w:color="000000"/>
              <w:bottom w:val="single" w:sz="2" w:space="0" w:color="000000"/>
              <w:right w:val="single" w:sz="2" w:space="0" w:color="000000"/>
            </w:tcBorders>
          </w:tcPr>
          <w:p w14:paraId="33263D75" w14:textId="77777777" w:rsidR="00053D93" w:rsidRDefault="00260B75">
            <w:pPr>
              <w:ind w:left="14"/>
            </w:pPr>
            <w:r>
              <w:t>REQUERIMIENTO</w:t>
            </w:r>
          </w:p>
          <w:p w14:paraId="5D109322" w14:textId="77777777" w:rsidR="00053D93" w:rsidRDefault="00260B75">
            <w:pPr>
              <w:ind w:left="14"/>
            </w:pPr>
            <w:r>
              <w:rPr>
                <w:sz w:val="20"/>
              </w:rPr>
              <w:t>No.</w:t>
            </w:r>
          </w:p>
        </w:tc>
        <w:tc>
          <w:tcPr>
            <w:tcW w:w="1634" w:type="dxa"/>
            <w:tcBorders>
              <w:top w:val="single" w:sz="2" w:space="0" w:color="000000"/>
              <w:left w:val="single" w:sz="2" w:space="0" w:color="000000"/>
              <w:bottom w:val="single" w:sz="2" w:space="0" w:color="000000"/>
              <w:right w:val="single" w:sz="2" w:space="0" w:color="000000"/>
            </w:tcBorders>
          </w:tcPr>
          <w:p w14:paraId="5FE97330" w14:textId="77777777" w:rsidR="00053D93" w:rsidRDefault="00260B75">
            <w:pPr>
              <w:tabs>
                <w:tab w:val="right" w:pos="1508"/>
              </w:tabs>
            </w:pPr>
            <w:r>
              <w:rPr>
                <w:sz w:val="24"/>
              </w:rPr>
              <w:t>FECHA</w:t>
            </w:r>
            <w:r>
              <w:rPr>
                <w:sz w:val="24"/>
              </w:rPr>
              <w:tab/>
              <w:t xml:space="preserve">DE </w:t>
            </w:r>
          </w:p>
          <w:p w14:paraId="19F4F199" w14:textId="77777777" w:rsidR="00053D93" w:rsidRDefault="00260B75">
            <w:pPr>
              <w:ind w:left="14"/>
            </w:pPr>
            <w:r>
              <w:t>UTILIZACIÓN</w:t>
            </w:r>
          </w:p>
        </w:tc>
        <w:tc>
          <w:tcPr>
            <w:tcW w:w="1526" w:type="dxa"/>
            <w:tcBorders>
              <w:top w:val="single" w:sz="2" w:space="0" w:color="000000"/>
              <w:left w:val="single" w:sz="2" w:space="0" w:color="000000"/>
              <w:bottom w:val="single" w:sz="2" w:space="0" w:color="000000"/>
              <w:right w:val="single" w:sz="2" w:space="0" w:color="000000"/>
            </w:tcBorders>
          </w:tcPr>
          <w:p w14:paraId="64E54968" w14:textId="77777777" w:rsidR="00053D93" w:rsidRDefault="00260B75">
            <w:pPr>
              <w:spacing w:line="239" w:lineRule="auto"/>
              <w:ind w:right="50"/>
              <w:jc w:val="center"/>
            </w:pPr>
            <w:r>
              <w:rPr>
                <w:sz w:val="24"/>
              </w:rPr>
              <w:t>FECHA</w:t>
            </w:r>
            <w:r>
              <w:rPr>
                <w:sz w:val="24"/>
              </w:rPr>
              <w:tab/>
              <w:t>DE INGRESO</w:t>
            </w:r>
            <w:r>
              <w:rPr>
                <w:sz w:val="24"/>
              </w:rPr>
              <w:tab/>
            </w:r>
            <w:r>
              <w:rPr>
                <w:rFonts w:ascii="Times New Roman" w:eastAsia="Times New Roman" w:hAnsi="Times New Roman" w:cs="Times New Roman"/>
                <w:sz w:val="24"/>
              </w:rPr>
              <w:t>A</w:t>
            </w:r>
          </w:p>
          <w:p w14:paraId="4B3DF7EB" w14:textId="77777777" w:rsidR="00053D93" w:rsidRDefault="00260B75">
            <w:pPr>
              <w:ind w:left="7"/>
            </w:pPr>
            <w:r>
              <w:rPr>
                <w:sz w:val="20"/>
              </w:rPr>
              <w:t>ALMACEN</w:t>
            </w:r>
          </w:p>
        </w:tc>
        <w:tc>
          <w:tcPr>
            <w:tcW w:w="1615" w:type="dxa"/>
            <w:tcBorders>
              <w:top w:val="single" w:sz="2" w:space="0" w:color="000000"/>
              <w:left w:val="single" w:sz="2" w:space="0" w:color="000000"/>
              <w:bottom w:val="single" w:sz="2" w:space="0" w:color="000000"/>
              <w:right w:val="single" w:sz="2" w:space="0" w:color="000000"/>
            </w:tcBorders>
          </w:tcPr>
          <w:p w14:paraId="235CC3BF" w14:textId="77777777" w:rsidR="00053D93" w:rsidRDefault="00260B75">
            <w:pPr>
              <w:spacing w:line="226" w:lineRule="auto"/>
              <w:ind w:firstLine="22"/>
              <w:jc w:val="both"/>
            </w:pPr>
            <w:r>
              <w:rPr>
                <w:sz w:val="24"/>
              </w:rPr>
              <w:t>DIAS DE ATRASO A LA</w:t>
            </w:r>
          </w:p>
          <w:p w14:paraId="38CE33E7" w14:textId="77777777" w:rsidR="00053D93" w:rsidRDefault="00260B75">
            <w:pPr>
              <w:ind w:left="22"/>
            </w:pPr>
            <w:r>
              <w:rPr>
                <w:sz w:val="28"/>
              </w:rPr>
              <w:t>FE C HA</w:t>
            </w:r>
          </w:p>
          <w:p w14:paraId="59AA03A0" w14:textId="77777777" w:rsidR="00053D93" w:rsidRDefault="00260B75">
            <w:pPr>
              <w:ind w:left="14"/>
            </w:pPr>
            <w:r>
              <w:t>SOLICITADA</w:t>
            </w:r>
          </w:p>
        </w:tc>
      </w:tr>
      <w:tr w:rsidR="00053D93" w14:paraId="7FF01C4A" w14:textId="77777777">
        <w:trPr>
          <w:trHeight w:val="710"/>
        </w:trPr>
        <w:tc>
          <w:tcPr>
            <w:tcW w:w="638" w:type="dxa"/>
            <w:tcBorders>
              <w:top w:val="single" w:sz="2" w:space="0" w:color="000000"/>
              <w:left w:val="single" w:sz="2" w:space="0" w:color="000000"/>
              <w:bottom w:val="single" w:sz="2" w:space="0" w:color="000000"/>
              <w:right w:val="single" w:sz="2" w:space="0" w:color="000000"/>
            </w:tcBorders>
          </w:tcPr>
          <w:p w14:paraId="1A01B017" w14:textId="77777777" w:rsidR="00053D93" w:rsidRDefault="00053D93"/>
        </w:tc>
        <w:tc>
          <w:tcPr>
            <w:tcW w:w="1166" w:type="dxa"/>
            <w:tcBorders>
              <w:top w:val="single" w:sz="2" w:space="0" w:color="000000"/>
              <w:left w:val="single" w:sz="2" w:space="0" w:color="000000"/>
              <w:bottom w:val="single" w:sz="2" w:space="0" w:color="000000"/>
              <w:right w:val="single" w:sz="2" w:space="0" w:color="000000"/>
            </w:tcBorders>
          </w:tcPr>
          <w:p w14:paraId="4DCD2292" w14:textId="77777777" w:rsidR="00053D93" w:rsidRDefault="00260B75">
            <w:pPr>
              <w:ind w:left="14"/>
            </w:pPr>
            <w:r>
              <w:rPr>
                <w:sz w:val="20"/>
              </w:rPr>
              <w:t>Arena Silica</w:t>
            </w:r>
          </w:p>
        </w:tc>
        <w:tc>
          <w:tcPr>
            <w:tcW w:w="1886" w:type="dxa"/>
            <w:tcBorders>
              <w:top w:val="single" w:sz="2" w:space="0" w:color="000000"/>
              <w:left w:val="single" w:sz="2" w:space="0" w:color="000000"/>
              <w:bottom w:val="single" w:sz="2" w:space="0" w:color="000000"/>
              <w:right w:val="single" w:sz="2" w:space="0" w:color="000000"/>
            </w:tcBorders>
          </w:tcPr>
          <w:p w14:paraId="51B40811" w14:textId="77777777" w:rsidR="00053D93" w:rsidRDefault="00260B75">
            <w:pPr>
              <w:ind w:left="22"/>
            </w:pPr>
            <w:r>
              <w:rPr>
                <w:rFonts w:ascii="Times New Roman" w:eastAsia="Times New Roman" w:hAnsi="Times New Roman" w:cs="Times New Roman"/>
                <w:sz w:val="18"/>
              </w:rPr>
              <w:t>2024-17205</w:t>
            </w:r>
          </w:p>
        </w:tc>
        <w:tc>
          <w:tcPr>
            <w:tcW w:w="1634" w:type="dxa"/>
            <w:tcBorders>
              <w:top w:val="single" w:sz="2" w:space="0" w:color="000000"/>
              <w:left w:val="single" w:sz="2" w:space="0" w:color="000000"/>
              <w:bottom w:val="single" w:sz="2" w:space="0" w:color="000000"/>
              <w:right w:val="single" w:sz="2" w:space="0" w:color="000000"/>
            </w:tcBorders>
          </w:tcPr>
          <w:p w14:paraId="02A64387" w14:textId="77777777" w:rsidR="00053D93" w:rsidRDefault="00260B75">
            <w:pPr>
              <w:ind w:left="22"/>
            </w:pPr>
            <w:r>
              <w:rPr>
                <w:sz w:val="20"/>
              </w:rPr>
              <w:t>31 de julio 2024</w:t>
            </w:r>
          </w:p>
        </w:tc>
        <w:tc>
          <w:tcPr>
            <w:tcW w:w="1526" w:type="dxa"/>
            <w:tcBorders>
              <w:top w:val="single" w:sz="2" w:space="0" w:color="000000"/>
              <w:left w:val="single" w:sz="2" w:space="0" w:color="000000"/>
              <w:bottom w:val="single" w:sz="2" w:space="0" w:color="000000"/>
              <w:right w:val="single" w:sz="2" w:space="0" w:color="000000"/>
            </w:tcBorders>
          </w:tcPr>
          <w:p w14:paraId="3F79533B" w14:textId="77777777" w:rsidR="00053D93" w:rsidRDefault="00260B75">
            <w:pPr>
              <w:ind w:left="14" w:right="111" w:firstLine="14"/>
            </w:pPr>
            <w:r>
              <w:rPr>
                <w:rFonts w:ascii="Times New Roman" w:eastAsia="Times New Roman" w:hAnsi="Times New Roman" w:cs="Times New Roman"/>
                <w:sz w:val="18"/>
              </w:rPr>
              <w:t xml:space="preserve">1 8 </w:t>
            </w:r>
            <w:r>
              <w:rPr>
                <w:sz w:val="18"/>
              </w:rPr>
              <w:t>septiembre 2024</w:t>
            </w:r>
          </w:p>
        </w:tc>
        <w:tc>
          <w:tcPr>
            <w:tcW w:w="1615" w:type="dxa"/>
            <w:tcBorders>
              <w:top w:val="single" w:sz="2" w:space="0" w:color="000000"/>
              <w:left w:val="single" w:sz="2" w:space="0" w:color="000000"/>
              <w:bottom w:val="single" w:sz="2" w:space="0" w:color="000000"/>
              <w:right w:val="single" w:sz="2" w:space="0" w:color="000000"/>
            </w:tcBorders>
          </w:tcPr>
          <w:p w14:paraId="2C7AD953" w14:textId="77777777" w:rsidR="00053D93" w:rsidRDefault="00260B75">
            <w:pPr>
              <w:ind w:left="14" w:right="92"/>
              <w:jc w:val="both"/>
            </w:pPr>
            <w:r>
              <w:rPr>
                <w:sz w:val="20"/>
              </w:rPr>
              <w:t xml:space="preserve">41 d[as de atraso según 1-H Serie </w:t>
            </w:r>
            <w:r>
              <w:rPr>
                <w:rFonts w:ascii="Times New Roman" w:eastAsia="Times New Roman" w:hAnsi="Times New Roman" w:cs="Times New Roman"/>
                <w:sz w:val="20"/>
              </w:rPr>
              <w:t>"C" 869224</w:t>
            </w:r>
          </w:p>
        </w:tc>
      </w:tr>
      <w:tr w:rsidR="00053D93" w14:paraId="6564DF6E" w14:textId="77777777">
        <w:trPr>
          <w:trHeight w:val="701"/>
        </w:trPr>
        <w:tc>
          <w:tcPr>
            <w:tcW w:w="638" w:type="dxa"/>
            <w:tcBorders>
              <w:top w:val="single" w:sz="2" w:space="0" w:color="000000"/>
              <w:left w:val="single" w:sz="2" w:space="0" w:color="000000"/>
              <w:bottom w:val="single" w:sz="2" w:space="0" w:color="000000"/>
              <w:right w:val="single" w:sz="2" w:space="0" w:color="000000"/>
            </w:tcBorders>
          </w:tcPr>
          <w:p w14:paraId="397A4C9A" w14:textId="77777777" w:rsidR="00053D93" w:rsidRDefault="00260B75">
            <w:pPr>
              <w:ind w:left="12"/>
            </w:pPr>
            <w:r>
              <w:rPr>
                <w:rFonts w:ascii="Times New Roman" w:eastAsia="Times New Roman" w:hAnsi="Times New Roman" w:cs="Times New Roman"/>
                <w:sz w:val="16"/>
              </w:rPr>
              <w:t>2</w:t>
            </w:r>
          </w:p>
        </w:tc>
        <w:tc>
          <w:tcPr>
            <w:tcW w:w="1166" w:type="dxa"/>
            <w:tcBorders>
              <w:top w:val="single" w:sz="2" w:space="0" w:color="000000"/>
              <w:left w:val="single" w:sz="2" w:space="0" w:color="000000"/>
              <w:bottom w:val="single" w:sz="2" w:space="0" w:color="000000"/>
              <w:right w:val="single" w:sz="2" w:space="0" w:color="000000"/>
            </w:tcBorders>
          </w:tcPr>
          <w:p w14:paraId="23D98464" w14:textId="77777777" w:rsidR="00053D93" w:rsidRDefault="00260B75">
            <w:pPr>
              <w:ind w:left="14" w:right="68" w:firstLine="7"/>
            </w:pPr>
            <w:r>
              <w:rPr>
                <w:sz w:val="20"/>
              </w:rPr>
              <w:t>Escaleras de agilidad</w:t>
            </w:r>
          </w:p>
        </w:tc>
        <w:tc>
          <w:tcPr>
            <w:tcW w:w="1886" w:type="dxa"/>
            <w:tcBorders>
              <w:top w:val="single" w:sz="2" w:space="0" w:color="000000"/>
              <w:left w:val="single" w:sz="2" w:space="0" w:color="000000"/>
              <w:bottom w:val="single" w:sz="2" w:space="0" w:color="000000"/>
              <w:right w:val="single" w:sz="2" w:space="0" w:color="000000"/>
            </w:tcBorders>
          </w:tcPr>
          <w:p w14:paraId="6AB8BF00" w14:textId="77777777" w:rsidR="00053D93" w:rsidRDefault="00260B75">
            <w:pPr>
              <w:ind w:left="14"/>
            </w:pPr>
            <w:r>
              <w:rPr>
                <w:rFonts w:ascii="Times New Roman" w:eastAsia="Times New Roman" w:hAnsi="Times New Roman" w:cs="Times New Roman"/>
                <w:sz w:val="18"/>
              </w:rPr>
              <w:t>2024-2161</w:t>
            </w:r>
          </w:p>
        </w:tc>
        <w:tc>
          <w:tcPr>
            <w:tcW w:w="1634" w:type="dxa"/>
            <w:tcBorders>
              <w:top w:val="single" w:sz="2" w:space="0" w:color="000000"/>
              <w:left w:val="single" w:sz="2" w:space="0" w:color="000000"/>
              <w:bottom w:val="single" w:sz="2" w:space="0" w:color="000000"/>
              <w:right w:val="single" w:sz="2" w:space="0" w:color="000000"/>
            </w:tcBorders>
          </w:tcPr>
          <w:p w14:paraId="4C845890" w14:textId="77777777" w:rsidR="00053D93" w:rsidRDefault="00260B75">
            <w:pPr>
              <w:ind w:left="29"/>
            </w:pPr>
            <w:r>
              <w:t>16 de agosto</w:t>
            </w:r>
          </w:p>
          <w:p w14:paraId="0C4665EE" w14:textId="77777777" w:rsidR="00053D93" w:rsidRDefault="00260B75">
            <w:pPr>
              <w:ind w:left="14"/>
            </w:pPr>
            <w:r>
              <w:rPr>
                <w:rFonts w:ascii="Times New Roman" w:eastAsia="Times New Roman" w:hAnsi="Times New Roman" w:cs="Times New Roman"/>
                <w:sz w:val="18"/>
              </w:rPr>
              <w:t>2024</w:t>
            </w:r>
          </w:p>
        </w:tc>
        <w:tc>
          <w:tcPr>
            <w:tcW w:w="1526" w:type="dxa"/>
            <w:tcBorders>
              <w:top w:val="single" w:sz="2" w:space="0" w:color="000000"/>
              <w:left w:val="single" w:sz="2" w:space="0" w:color="000000"/>
              <w:bottom w:val="single" w:sz="2" w:space="0" w:color="000000"/>
              <w:right w:val="single" w:sz="2" w:space="0" w:color="000000"/>
            </w:tcBorders>
          </w:tcPr>
          <w:p w14:paraId="03C1183B" w14:textId="77777777" w:rsidR="00053D93" w:rsidRDefault="00260B75">
            <w:pPr>
              <w:ind w:left="14" w:firstLine="14"/>
              <w:jc w:val="both"/>
            </w:pPr>
            <w:r>
              <w:rPr>
                <w:rFonts w:ascii="Times New Roman" w:eastAsia="Times New Roman" w:hAnsi="Times New Roman" w:cs="Times New Roman"/>
                <w:sz w:val="18"/>
              </w:rPr>
              <w:t xml:space="preserve">1 8 </w:t>
            </w:r>
            <w:r>
              <w:rPr>
                <w:sz w:val="18"/>
              </w:rPr>
              <w:t>de a septiembre 2024</w:t>
            </w:r>
          </w:p>
        </w:tc>
        <w:tc>
          <w:tcPr>
            <w:tcW w:w="1615" w:type="dxa"/>
            <w:tcBorders>
              <w:top w:val="single" w:sz="2" w:space="0" w:color="000000"/>
              <w:left w:val="single" w:sz="2" w:space="0" w:color="000000"/>
              <w:bottom w:val="single" w:sz="2" w:space="0" w:color="000000"/>
              <w:right w:val="single" w:sz="2" w:space="0" w:color="000000"/>
            </w:tcBorders>
          </w:tcPr>
          <w:p w14:paraId="21CB4ED3" w14:textId="77777777" w:rsidR="00053D93" w:rsidRDefault="00260B75">
            <w:pPr>
              <w:spacing w:line="235" w:lineRule="auto"/>
              <w:ind w:left="14" w:firstLine="7"/>
              <w:jc w:val="both"/>
            </w:pPr>
            <w:r>
              <w:rPr>
                <w:sz w:val="20"/>
              </w:rPr>
              <w:t>32 días de atraso según 1-H Serie</w:t>
            </w:r>
          </w:p>
          <w:p w14:paraId="0F9BC1C2" w14:textId="77777777" w:rsidR="00053D93" w:rsidRDefault="00260B75">
            <w:pPr>
              <w:ind w:left="14"/>
            </w:pPr>
            <w:r>
              <w:rPr>
                <w:sz w:val="20"/>
              </w:rPr>
              <w:t>"C" No. 869224</w:t>
            </w:r>
          </w:p>
        </w:tc>
      </w:tr>
    </w:tbl>
    <w:p w14:paraId="69DC6263" w14:textId="77777777" w:rsidR="00053D93" w:rsidRDefault="00260B75">
      <w:pPr>
        <w:spacing w:after="668" w:line="247" w:lineRule="auto"/>
        <w:ind w:left="1620" w:right="14" w:firstLine="4"/>
        <w:jc w:val="both"/>
      </w:pPr>
      <w:r>
        <w:rPr>
          <w:sz w:val="26"/>
        </w:rPr>
        <w:t xml:space="preserve">Cabe mencionar que este Departamento elaboró el cronograma de entrega de los implementos en mención y otro tipo de material, solicitando transporte al Departamento de Servicios General de esta Institución con base a Oficio No. ENEF-217-2024 de fecha 16 de julio 2024, adjuntando copia del cronograma de entrega a las comunidades educativas, pero surgió el inconveniente que el material al que se alude el posible hallazgo no ingresaría en la fecha solicitada </w:t>
      </w:r>
      <w:r>
        <w:rPr>
          <w:rFonts w:ascii="Times New Roman" w:eastAsia="Times New Roman" w:hAnsi="Times New Roman" w:cs="Times New Roman"/>
          <w:sz w:val="26"/>
        </w:rPr>
        <w:t xml:space="preserve">según oficios Nos. SDA-CD-555-20247 SDA-CD-553-2024 de fechas 4 y 5 de </w:t>
      </w:r>
      <w:r>
        <w:rPr>
          <w:sz w:val="26"/>
        </w:rPr>
        <w:t xml:space="preserve">septiembre 2024, donde la jefe del Departamento de Compras indica que por </w:t>
      </w:r>
      <w:r>
        <w:rPr>
          <w:sz w:val="26"/>
        </w:rPr>
        <w:lastRenderedPageBreak/>
        <w:t>falta de cuota financiera los insumos no se podían adquirir en las fechas solicitadas... Para ese momento aún no se tenía respuesta de la Unidad de Servicios Generales en relación con el transporte solicitado, por Io que se reprogramó la entrega, presentando nuevamente el cronograma a la Unidad correspondiente, con fecha 02 de agosto, pero en esta ocasión no se describió fechas porque me indicaron en la Unidad antes mencionada, que lo dejara libre, y que el apoyo se realizaría según existiera la disponibilidad del transporte. No obstante, nuevamente se elabora el oficio No. ENEF-338-2024 solicitando apoyo para el mes de septiembre,</w:t>
      </w:r>
    </w:p>
    <w:tbl>
      <w:tblPr>
        <w:tblStyle w:val="TableGrid"/>
        <w:tblpPr w:vertAnchor="text" w:tblpX="2449" w:tblpY="177"/>
        <w:tblOverlap w:val="never"/>
        <w:tblW w:w="7667" w:type="dxa"/>
        <w:tblInd w:w="0" w:type="dxa"/>
        <w:tblCellMar>
          <w:top w:w="46" w:type="dxa"/>
          <w:left w:w="1770" w:type="dxa"/>
          <w:right w:w="115" w:type="dxa"/>
        </w:tblCellMar>
        <w:tblLook w:val="04A0" w:firstRow="1" w:lastRow="0" w:firstColumn="1" w:lastColumn="0" w:noHBand="0" w:noVBand="1"/>
      </w:tblPr>
      <w:tblGrid>
        <w:gridCol w:w="7667"/>
      </w:tblGrid>
      <w:tr w:rsidR="00053D93" w14:paraId="3D7EF84B" w14:textId="77777777">
        <w:trPr>
          <w:trHeight w:val="608"/>
        </w:trPr>
        <w:tc>
          <w:tcPr>
            <w:tcW w:w="7667" w:type="dxa"/>
            <w:tcBorders>
              <w:top w:val="single" w:sz="2" w:space="0" w:color="000000"/>
              <w:left w:val="single" w:sz="2" w:space="0" w:color="000000"/>
              <w:bottom w:val="nil"/>
              <w:right w:val="nil"/>
            </w:tcBorders>
          </w:tcPr>
          <w:p w14:paraId="46B77197" w14:textId="77777777" w:rsidR="00053D93" w:rsidRDefault="00260B75">
            <w:pPr>
              <w:ind w:left="835"/>
            </w:pPr>
            <w:r>
              <w:rPr>
                <w:sz w:val="14"/>
              </w:rPr>
              <w:t>MINISTERIO DE EDUCACION</w:t>
            </w:r>
          </w:p>
          <w:p w14:paraId="068D90D7" w14:textId="77777777" w:rsidR="00053D93" w:rsidRDefault="00260B75">
            <w:pPr>
              <w:ind w:left="346"/>
            </w:pPr>
            <w:r>
              <w:rPr>
                <w:sz w:val="14"/>
              </w:rPr>
              <w:t>AUDITORIA FINANCIERA Y DE CUMPLIMIENTO</w:t>
            </w:r>
          </w:p>
          <w:p w14:paraId="7FFA398E" w14:textId="77777777" w:rsidR="00053D93" w:rsidRDefault="00260B75">
            <w:r>
              <w:rPr>
                <w:sz w:val="14"/>
              </w:rPr>
              <w:t>PERÍODO DEL 01 DE ENERO AL 31 DE DICIEMBRE DE 2024</w:t>
            </w:r>
          </w:p>
        </w:tc>
      </w:tr>
    </w:tbl>
    <w:p w14:paraId="4B082AE4" w14:textId="77777777" w:rsidR="00053D93" w:rsidRDefault="00260B75">
      <w:pPr>
        <w:pStyle w:val="Ttulo2"/>
        <w:spacing w:after="97"/>
        <w:ind w:left="89" w:right="0"/>
      </w:pPr>
      <w:r>
        <w:t>: III</w:t>
      </w:r>
      <w:r>
        <w:rPr>
          <w:noProof/>
        </w:rPr>
        <w:drawing>
          <wp:inline distT="0" distB="0" distL="0" distR="0" wp14:anchorId="1EA0665A" wp14:editId="0A835E8B">
            <wp:extent cx="941832" cy="406908"/>
            <wp:effectExtent l="0" t="0" r="0" b="0"/>
            <wp:docPr id="539602" name="Picture 539602"/>
            <wp:cNvGraphicFramePr/>
            <a:graphic xmlns:a="http://schemas.openxmlformats.org/drawingml/2006/main">
              <a:graphicData uri="http://schemas.openxmlformats.org/drawingml/2006/picture">
                <pic:pic xmlns:pic="http://schemas.openxmlformats.org/drawingml/2006/picture">
                  <pic:nvPicPr>
                    <pic:cNvPr id="539602" name="Picture 539602"/>
                    <pic:cNvPicPr/>
                  </pic:nvPicPr>
                  <pic:blipFill>
                    <a:blip r:embed="rId821"/>
                    <a:stretch>
                      <a:fillRect/>
                    </a:stretch>
                  </pic:blipFill>
                  <pic:spPr>
                    <a:xfrm>
                      <a:off x="0" y="0"/>
                      <a:ext cx="941832" cy="406908"/>
                    </a:xfrm>
                    <a:prstGeom prst="rect">
                      <a:avLst/>
                    </a:prstGeom>
                  </pic:spPr>
                </pic:pic>
              </a:graphicData>
            </a:graphic>
          </wp:inline>
        </w:drawing>
      </w:r>
    </w:p>
    <w:p w14:paraId="136237E9" w14:textId="77777777" w:rsidR="00053D93" w:rsidRDefault="00260B75">
      <w:pPr>
        <w:spacing w:after="534" w:line="265" w:lineRule="auto"/>
        <w:ind w:left="10" w:right="1115" w:hanging="10"/>
        <w:jc w:val="right"/>
      </w:pPr>
      <w:r>
        <w:rPr>
          <w:sz w:val="14"/>
        </w:rPr>
        <w:t xml:space="preserve">EDUCACtÓN. </w:t>
      </w:r>
    </w:p>
    <w:p w14:paraId="3A079945" w14:textId="77777777" w:rsidR="00053D93" w:rsidRDefault="00260B75">
      <w:pPr>
        <w:spacing w:after="309" w:line="247" w:lineRule="auto"/>
        <w:ind w:left="1606" w:right="14" w:firstLine="4"/>
        <w:jc w:val="both"/>
      </w:pPr>
      <w:r>
        <w:rPr>
          <w:sz w:val="26"/>
        </w:rPr>
        <w:t>el cúal lo brindaron paFa el traslado de materiales y escaleras de agilidad únicamente para las ENEF Quiche, Escuintla, Suchitepéquez y Retalhuleu, incluyendo la arena silica para Quiché (1 metro cúbico). Las Escuelas Normales de Educación Física, son centros educativos que no cuentan con presupuesto propio para el pago de transporte y venir a recoger los materiales por su propia cuenta, sin embargo, algunas de ellas realizaron autogestiones a nivel local para presentarse a la DIGEF a retirar el material asignado incluyendo las escaleras de agilidad, pero quedando pendiente 11 de ellas que no contaban con los recursos y apoyo inmediato para realizarlo. Con fecha 30 de octubre 2024, se envía oficio No. ENEF-391-2024 a la Unidad de Servicios Generales, solicitando nuevamente transporte tipo camión para trasladar la arena silica a la Escuela Normal Central de Educación Física Mixco Guatemala y Chimaltenango, Chimaltenango. Se hace la observación que el material en mención no pudo ser entregado oportunamente, por falta de disponibilidad de transporte en la Unidad de Servicios Generales y porque las comunidades no cuentan con presupuesto para trasladarlos por su cuenta. Al contar con el transporte se traslada a las ENEF el material de 2 metros cúbicos de arena silica, según la verificación realizada el 12 de noviembre 2024 por Auditoría.</w:t>
      </w:r>
    </w:p>
    <w:p w14:paraId="508FCBAD" w14:textId="77777777" w:rsidR="00053D93" w:rsidRDefault="00260B75">
      <w:pPr>
        <w:spacing w:after="17" w:line="247" w:lineRule="auto"/>
        <w:ind w:left="1634" w:right="14" w:firstLine="4"/>
        <w:jc w:val="both"/>
      </w:pPr>
      <w:r>
        <w:rPr>
          <w:sz w:val="26"/>
        </w:rPr>
        <w:t>Descri ción de entre a: Arena Sílica</w:t>
      </w:r>
    </w:p>
    <w:tbl>
      <w:tblPr>
        <w:tblStyle w:val="TableGrid"/>
        <w:tblW w:w="8467" w:type="dxa"/>
        <w:tblInd w:w="1620" w:type="dxa"/>
        <w:tblCellMar>
          <w:left w:w="111" w:type="dxa"/>
          <w:bottom w:w="33" w:type="dxa"/>
          <w:right w:w="16" w:type="dxa"/>
        </w:tblCellMar>
        <w:tblLook w:val="04A0" w:firstRow="1" w:lastRow="0" w:firstColumn="1" w:lastColumn="0" w:noHBand="0" w:noVBand="1"/>
      </w:tblPr>
      <w:tblGrid>
        <w:gridCol w:w="525"/>
        <w:gridCol w:w="1433"/>
        <w:gridCol w:w="1466"/>
        <w:gridCol w:w="1037"/>
        <w:gridCol w:w="1109"/>
        <w:gridCol w:w="1303"/>
        <w:gridCol w:w="1594"/>
      </w:tblGrid>
      <w:tr w:rsidR="00053D93" w14:paraId="16525CFD" w14:textId="77777777">
        <w:trPr>
          <w:trHeight w:val="929"/>
        </w:trPr>
        <w:tc>
          <w:tcPr>
            <w:tcW w:w="526" w:type="dxa"/>
            <w:tcBorders>
              <w:top w:val="single" w:sz="2" w:space="0" w:color="000000"/>
              <w:left w:val="single" w:sz="2" w:space="0" w:color="000000"/>
              <w:bottom w:val="single" w:sz="2" w:space="0" w:color="000000"/>
              <w:right w:val="single" w:sz="2" w:space="0" w:color="000000"/>
            </w:tcBorders>
          </w:tcPr>
          <w:p w14:paraId="37857CFF" w14:textId="77777777" w:rsidR="00053D93" w:rsidRDefault="00260B75">
            <w:pPr>
              <w:ind w:left="4"/>
            </w:pPr>
            <w:r>
              <w:rPr>
                <w:sz w:val="20"/>
              </w:rPr>
              <w:t xml:space="preserve">NO. </w:t>
            </w:r>
          </w:p>
        </w:tc>
        <w:tc>
          <w:tcPr>
            <w:tcW w:w="1433" w:type="dxa"/>
            <w:tcBorders>
              <w:top w:val="single" w:sz="2" w:space="0" w:color="000000"/>
              <w:left w:val="single" w:sz="2" w:space="0" w:color="000000"/>
              <w:bottom w:val="single" w:sz="2" w:space="0" w:color="000000"/>
              <w:right w:val="single" w:sz="2" w:space="0" w:color="000000"/>
            </w:tcBorders>
          </w:tcPr>
          <w:p w14:paraId="1719119D" w14:textId="77777777" w:rsidR="00053D93" w:rsidRDefault="00260B75">
            <w:pPr>
              <w:ind w:left="41"/>
            </w:pPr>
            <w:r>
              <w:t>ENEF/DEPTO.</w:t>
            </w:r>
          </w:p>
        </w:tc>
        <w:tc>
          <w:tcPr>
            <w:tcW w:w="1466" w:type="dxa"/>
            <w:tcBorders>
              <w:top w:val="single" w:sz="2" w:space="0" w:color="000000"/>
              <w:left w:val="single" w:sz="2" w:space="0" w:color="000000"/>
              <w:bottom w:val="single" w:sz="2" w:space="0" w:color="000000"/>
              <w:right w:val="single" w:sz="2" w:space="0" w:color="000000"/>
            </w:tcBorders>
          </w:tcPr>
          <w:p w14:paraId="37C578BF" w14:textId="77777777" w:rsidR="00053D93" w:rsidRDefault="00260B75">
            <w:pPr>
              <w:ind w:right="106"/>
              <w:jc w:val="center"/>
            </w:pPr>
            <w:r>
              <w:rPr>
                <w:sz w:val="20"/>
              </w:rPr>
              <w:t>INSUMO</w:t>
            </w:r>
          </w:p>
          <w:p w14:paraId="2DB60085" w14:textId="77777777" w:rsidR="00053D93" w:rsidRDefault="00260B75">
            <w:pPr>
              <w:ind w:left="48"/>
            </w:pPr>
            <w:r>
              <w:t>TRASLADADO</w:t>
            </w:r>
          </w:p>
        </w:tc>
        <w:tc>
          <w:tcPr>
            <w:tcW w:w="1037" w:type="dxa"/>
            <w:tcBorders>
              <w:top w:val="single" w:sz="2" w:space="0" w:color="000000"/>
              <w:left w:val="single" w:sz="2" w:space="0" w:color="000000"/>
              <w:bottom w:val="single" w:sz="2" w:space="0" w:color="000000"/>
              <w:right w:val="single" w:sz="2" w:space="0" w:color="000000"/>
            </w:tcBorders>
          </w:tcPr>
          <w:p w14:paraId="3A3EAC95" w14:textId="77777777" w:rsidR="00053D93" w:rsidRDefault="00260B75">
            <w:pPr>
              <w:ind w:right="96"/>
              <w:jc w:val="center"/>
            </w:pPr>
            <w:r>
              <w:t>FECHA</w:t>
            </w:r>
          </w:p>
        </w:tc>
        <w:tc>
          <w:tcPr>
            <w:tcW w:w="1109" w:type="dxa"/>
            <w:tcBorders>
              <w:top w:val="single" w:sz="2" w:space="0" w:color="000000"/>
              <w:left w:val="single" w:sz="2" w:space="0" w:color="000000"/>
              <w:bottom w:val="single" w:sz="2" w:space="0" w:color="000000"/>
              <w:right w:val="single" w:sz="2" w:space="0" w:color="000000"/>
            </w:tcBorders>
          </w:tcPr>
          <w:p w14:paraId="116FA7CC" w14:textId="77777777" w:rsidR="00053D93" w:rsidRDefault="00260B75">
            <w:pPr>
              <w:ind w:left="7"/>
            </w:pPr>
            <w:r>
              <w:rPr>
                <w:sz w:val="20"/>
              </w:rPr>
              <w:t>CANTIDAD</w:t>
            </w:r>
          </w:p>
        </w:tc>
        <w:tc>
          <w:tcPr>
            <w:tcW w:w="1303" w:type="dxa"/>
            <w:tcBorders>
              <w:top w:val="single" w:sz="2" w:space="0" w:color="000000"/>
              <w:left w:val="single" w:sz="2" w:space="0" w:color="000000"/>
              <w:bottom w:val="single" w:sz="2" w:space="0" w:color="000000"/>
              <w:right w:val="single" w:sz="2" w:space="0" w:color="000000"/>
            </w:tcBorders>
          </w:tcPr>
          <w:p w14:paraId="03850485" w14:textId="77777777" w:rsidR="00053D93" w:rsidRDefault="00260B75">
            <w:pPr>
              <w:ind w:left="65"/>
            </w:pPr>
            <w:r>
              <w:t>DESPACHO</w:t>
            </w:r>
          </w:p>
          <w:p w14:paraId="210B19C4" w14:textId="77777777" w:rsidR="00053D93" w:rsidRDefault="00260B75">
            <w:pPr>
              <w:ind w:right="96"/>
              <w:jc w:val="center"/>
            </w:pPr>
            <w:r>
              <w:t>DE</w:t>
            </w:r>
          </w:p>
          <w:p w14:paraId="41E83790" w14:textId="77777777" w:rsidR="00053D93" w:rsidRDefault="00260B75">
            <w:pPr>
              <w:ind w:left="396" w:hanging="281"/>
            </w:pPr>
            <w:r>
              <w:rPr>
                <w:sz w:val="20"/>
              </w:rPr>
              <w:t>ALMACEN NO.</w:t>
            </w:r>
          </w:p>
        </w:tc>
        <w:tc>
          <w:tcPr>
            <w:tcW w:w="1594" w:type="dxa"/>
            <w:tcBorders>
              <w:top w:val="single" w:sz="2" w:space="0" w:color="000000"/>
              <w:left w:val="single" w:sz="2" w:space="0" w:color="000000"/>
              <w:bottom w:val="single" w:sz="2" w:space="0" w:color="000000"/>
              <w:right w:val="single" w:sz="2" w:space="0" w:color="000000"/>
            </w:tcBorders>
          </w:tcPr>
          <w:p w14:paraId="04A87478" w14:textId="77777777" w:rsidR="00053D93" w:rsidRDefault="00260B75">
            <w:pPr>
              <w:spacing w:after="8" w:line="216" w:lineRule="auto"/>
              <w:jc w:val="center"/>
            </w:pPr>
            <w:r>
              <w:rPr>
                <w:sz w:val="20"/>
              </w:rPr>
              <w:t>CONOCIMIENTO DE RECIBIDO</w:t>
            </w:r>
          </w:p>
          <w:p w14:paraId="4D88DB50" w14:textId="77777777" w:rsidR="00053D93" w:rsidRDefault="00260B75">
            <w:pPr>
              <w:ind w:right="92"/>
              <w:jc w:val="center"/>
            </w:pPr>
            <w:r>
              <w:rPr>
                <w:sz w:val="20"/>
              </w:rPr>
              <w:t>NO.</w:t>
            </w:r>
          </w:p>
        </w:tc>
      </w:tr>
      <w:tr w:rsidR="00053D93" w14:paraId="580CCC7A" w14:textId="77777777">
        <w:trPr>
          <w:trHeight w:val="1233"/>
        </w:trPr>
        <w:tc>
          <w:tcPr>
            <w:tcW w:w="526" w:type="dxa"/>
            <w:tcBorders>
              <w:top w:val="single" w:sz="2" w:space="0" w:color="000000"/>
              <w:left w:val="single" w:sz="2" w:space="0" w:color="000000"/>
              <w:bottom w:val="single" w:sz="2" w:space="0" w:color="000000"/>
              <w:right w:val="single" w:sz="2" w:space="0" w:color="000000"/>
            </w:tcBorders>
          </w:tcPr>
          <w:p w14:paraId="70C60FFA" w14:textId="77777777" w:rsidR="00053D93" w:rsidRDefault="00053D93"/>
        </w:tc>
        <w:tc>
          <w:tcPr>
            <w:tcW w:w="1433" w:type="dxa"/>
            <w:tcBorders>
              <w:top w:val="single" w:sz="2" w:space="0" w:color="000000"/>
              <w:left w:val="single" w:sz="2" w:space="0" w:color="000000"/>
              <w:bottom w:val="single" w:sz="2" w:space="0" w:color="000000"/>
              <w:right w:val="single" w:sz="2" w:space="0" w:color="000000"/>
            </w:tcBorders>
            <w:vAlign w:val="bottom"/>
          </w:tcPr>
          <w:p w14:paraId="795FE141" w14:textId="77777777" w:rsidR="00053D93" w:rsidRDefault="00260B75">
            <w:pPr>
              <w:spacing w:line="232" w:lineRule="auto"/>
              <w:ind w:left="5" w:right="106" w:firstLine="7"/>
              <w:jc w:val="both"/>
            </w:pPr>
            <w:r>
              <w:rPr>
                <w:sz w:val="20"/>
              </w:rPr>
              <w:t xml:space="preserve">Normal Central de Educación Física, Mixco, </w:t>
            </w:r>
          </w:p>
          <w:p w14:paraId="6E516921" w14:textId="77777777" w:rsidR="00053D93" w:rsidRDefault="00260B75">
            <w:pPr>
              <w:ind w:left="12"/>
            </w:pPr>
            <w:r>
              <w:rPr>
                <w:sz w:val="20"/>
              </w:rPr>
              <w:t>Guatemala</w:t>
            </w:r>
          </w:p>
        </w:tc>
        <w:tc>
          <w:tcPr>
            <w:tcW w:w="1466" w:type="dxa"/>
            <w:tcBorders>
              <w:top w:val="single" w:sz="2" w:space="0" w:color="000000"/>
              <w:left w:val="single" w:sz="2" w:space="0" w:color="000000"/>
              <w:bottom w:val="single" w:sz="2" w:space="0" w:color="000000"/>
              <w:right w:val="single" w:sz="2" w:space="0" w:color="000000"/>
            </w:tcBorders>
            <w:vAlign w:val="center"/>
          </w:tcPr>
          <w:p w14:paraId="443B1432" w14:textId="77777777" w:rsidR="00053D93" w:rsidRDefault="00260B75">
            <w:pPr>
              <w:ind w:left="5" w:right="103" w:firstLine="7"/>
              <w:jc w:val="both"/>
            </w:pPr>
            <w:r>
              <w:rPr>
                <w:sz w:val="20"/>
              </w:rPr>
              <w:t>para filtro de las bombas de la piscina</w:t>
            </w:r>
          </w:p>
        </w:tc>
        <w:tc>
          <w:tcPr>
            <w:tcW w:w="1037" w:type="dxa"/>
            <w:tcBorders>
              <w:top w:val="single" w:sz="2" w:space="0" w:color="000000"/>
              <w:left w:val="single" w:sz="2" w:space="0" w:color="000000"/>
              <w:bottom w:val="single" w:sz="2" w:space="0" w:color="000000"/>
              <w:right w:val="single" w:sz="2" w:space="0" w:color="000000"/>
            </w:tcBorders>
          </w:tcPr>
          <w:p w14:paraId="298289B9" w14:textId="77777777" w:rsidR="00053D93" w:rsidRDefault="00260B75">
            <w:pPr>
              <w:ind w:left="7" w:firstLine="7"/>
            </w:pPr>
            <w:r>
              <w:rPr>
                <w:sz w:val="18"/>
              </w:rPr>
              <w:t>noviembre 2024</w:t>
            </w:r>
          </w:p>
        </w:tc>
        <w:tc>
          <w:tcPr>
            <w:tcW w:w="1109" w:type="dxa"/>
            <w:tcBorders>
              <w:top w:val="single" w:sz="2" w:space="0" w:color="000000"/>
              <w:left w:val="single" w:sz="2" w:space="0" w:color="000000"/>
              <w:bottom w:val="single" w:sz="2" w:space="0" w:color="000000"/>
              <w:right w:val="single" w:sz="2" w:space="0" w:color="000000"/>
            </w:tcBorders>
          </w:tcPr>
          <w:p w14:paraId="0FEA4398" w14:textId="77777777" w:rsidR="00053D93" w:rsidRDefault="00260B75">
            <w:pPr>
              <w:ind w:left="14"/>
            </w:pPr>
            <w:r>
              <w:rPr>
                <w:sz w:val="18"/>
              </w:rPr>
              <w:t>cúbico</w:t>
            </w:r>
          </w:p>
        </w:tc>
        <w:tc>
          <w:tcPr>
            <w:tcW w:w="1303" w:type="dxa"/>
            <w:tcBorders>
              <w:top w:val="single" w:sz="2" w:space="0" w:color="000000"/>
              <w:left w:val="single" w:sz="2" w:space="0" w:color="000000"/>
              <w:bottom w:val="single" w:sz="2" w:space="0" w:color="000000"/>
              <w:right w:val="single" w:sz="2" w:space="0" w:color="000000"/>
            </w:tcBorders>
          </w:tcPr>
          <w:p w14:paraId="292FD957" w14:textId="77777777" w:rsidR="00053D93" w:rsidRDefault="00053D93"/>
        </w:tc>
        <w:tc>
          <w:tcPr>
            <w:tcW w:w="1594" w:type="dxa"/>
            <w:tcBorders>
              <w:top w:val="single" w:sz="2" w:space="0" w:color="000000"/>
              <w:left w:val="single" w:sz="2" w:space="0" w:color="000000"/>
              <w:bottom w:val="single" w:sz="2" w:space="0" w:color="000000"/>
              <w:right w:val="single" w:sz="2" w:space="0" w:color="000000"/>
            </w:tcBorders>
          </w:tcPr>
          <w:p w14:paraId="2BB19E25" w14:textId="77777777" w:rsidR="00053D93" w:rsidRDefault="00260B75">
            <w:r>
              <w:rPr>
                <w:rFonts w:ascii="Times New Roman" w:eastAsia="Times New Roman" w:hAnsi="Times New Roman" w:cs="Times New Roman"/>
                <w:sz w:val="20"/>
              </w:rPr>
              <w:t>084-2024 .</w:t>
            </w:r>
          </w:p>
        </w:tc>
      </w:tr>
      <w:tr w:rsidR="00053D93" w14:paraId="4BD7FC60" w14:textId="77777777">
        <w:trPr>
          <w:trHeight w:val="1330"/>
        </w:trPr>
        <w:tc>
          <w:tcPr>
            <w:tcW w:w="526" w:type="dxa"/>
            <w:tcBorders>
              <w:top w:val="single" w:sz="2" w:space="0" w:color="000000"/>
              <w:left w:val="single" w:sz="2" w:space="0" w:color="000000"/>
              <w:bottom w:val="single" w:sz="2" w:space="0" w:color="000000"/>
              <w:right w:val="single" w:sz="2" w:space="0" w:color="000000"/>
            </w:tcBorders>
          </w:tcPr>
          <w:p w14:paraId="7E0D58C1" w14:textId="77777777" w:rsidR="00053D93" w:rsidRDefault="00053D93"/>
        </w:tc>
        <w:tc>
          <w:tcPr>
            <w:tcW w:w="1433" w:type="dxa"/>
            <w:tcBorders>
              <w:top w:val="single" w:sz="2" w:space="0" w:color="000000"/>
              <w:left w:val="single" w:sz="2" w:space="0" w:color="000000"/>
              <w:bottom w:val="single" w:sz="2" w:space="0" w:color="000000"/>
              <w:right w:val="single" w:sz="2" w:space="0" w:color="000000"/>
            </w:tcBorders>
          </w:tcPr>
          <w:p w14:paraId="6112EEA7" w14:textId="77777777" w:rsidR="00053D93" w:rsidRDefault="00260B75">
            <w:pPr>
              <w:ind w:left="5"/>
            </w:pPr>
            <w:r>
              <w:rPr>
                <w:noProof/>
              </w:rPr>
              <w:drawing>
                <wp:inline distT="0" distB="0" distL="0" distR="0" wp14:anchorId="6CCEB7C9" wp14:editId="516D8A30">
                  <wp:extent cx="763524" cy="832104"/>
                  <wp:effectExtent l="0" t="0" r="0" b="0"/>
                  <wp:docPr id="544268" name="Picture 544268"/>
                  <wp:cNvGraphicFramePr/>
                  <a:graphic xmlns:a="http://schemas.openxmlformats.org/drawingml/2006/main">
                    <a:graphicData uri="http://schemas.openxmlformats.org/drawingml/2006/picture">
                      <pic:pic xmlns:pic="http://schemas.openxmlformats.org/drawingml/2006/picture">
                        <pic:nvPicPr>
                          <pic:cNvPr id="544268" name="Picture 544268"/>
                          <pic:cNvPicPr/>
                        </pic:nvPicPr>
                        <pic:blipFill>
                          <a:blip r:embed="rId822"/>
                          <a:stretch>
                            <a:fillRect/>
                          </a:stretch>
                        </pic:blipFill>
                        <pic:spPr>
                          <a:xfrm>
                            <a:off x="0" y="0"/>
                            <a:ext cx="763524" cy="832104"/>
                          </a:xfrm>
                          <a:prstGeom prst="rect">
                            <a:avLst/>
                          </a:prstGeom>
                        </pic:spPr>
                      </pic:pic>
                    </a:graphicData>
                  </a:graphic>
                </wp:inline>
              </w:drawing>
            </w:r>
          </w:p>
        </w:tc>
        <w:tc>
          <w:tcPr>
            <w:tcW w:w="1466" w:type="dxa"/>
            <w:tcBorders>
              <w:top w:val="single" w:sz="2" w:space="0" w:color="000000"/>
              <w:left w:val="single" w:sz="2" w:space="0" w:color="000000"/>
              <w:bottom w:val="single" w:sz="2" w:space="0" w:color="000000"/>
              <w:right w:val="single" w:sz="2" w:space="0" w:color="000000"/>
            </w:tcBorders>
          </w:tcPr>
          <w:p w14:paraId="2E5A7754" w14:textId="77777777" w:rsidR="00053D93" w:rsidRDefault="00260B75">
            <w:pPr>
              <w:ind w:left="5"/>
            </w:pPr>
            <w:r>
              <w:rPr>
                <w:noProof/>
              </w:rPr>
              <w:drawing>
                <wp:inline distT="0" distB="0" distL="0" distR="0" wp14:anchorId="725B2A20" wp14:editId="2E6C13E6">
                  <wp:extent cx="786384" cy="548640"/>
                  <wp:effectExtent l="0" t="0" r="0" b="0"/>
                  <wp:docPr id="544314" name="Picture 544314"/>
                  <wp:cNvGraphicFramePr/>
                  <a:graphic xmlns:a="http://schemas.openxmlformats.org/drawingml/2006/main">
                    <a:graphicData uri="http://schemas.openxmlformats.org/drawingml/2006/picture">
                      <pic:pic xmlns:pic="http://schemas.openxmlformats.org/drawingml/2006/picture">
                        <pic:nvPicPr>
                          <pic:cNvPr id="544314" name="Picture 544314"/>
                          <pic:cNvPicPr/>
                        </pic:nvPicPr>
                        <pic:blipFill>
                          <a:blip r:embed="rId823"/>
                          <a:stretch>
                            <a:fillRect/>
                          </a:stretch>
                        </pic:blipFill>
                        <pic:spPr>
                          <a:xfrm>
                            <a:off x="0" y="0"/>
                            <a:ext cx="786384" cy="548640"/>
                          </a:xfrm>
                          <a:prstGeom prst="rect">
                            <a:avLst/>
                          </a:prstGeom>
                        </pic:spPr>
                      </pic:pic>
                    </a:graphicData>
                  </a:graphic>
                </wp:inline>
              </w:drawing>
            </w:r>
          </w:p>
        </w:tc>
        <w:tc>
          <w:tcPr>
            <w:tcW w:w="1037" w:type="dxa"/>
            <w:tcBorders>
              <w:top w:val="single" w:sz="2" w:space="0" w:color="000000"/>
              <w:left w:val="single" w:sz="2" w:space="0" w:color="000000"/>
              <w:bottom w:val="single" w:sz="2" w:space="0" w:color="000000"/>
              <w:right w:val="single" w:sz="2" w:space="0" w:color="000000"/>
            </w:tcBorders>
          </w:tcPr>
          <w:p w14:paraId="5FA09241" w14:textId="77777777" w:rsidR="00053D93" w:rsidRDefault="00053D93"/>
        </w:tc>
        <w:tc>
          <w:tcPr>
            <w:tcW w:w="1109" w:type="dxa"/>
            <w:tcBorders>
              <w:top w:val="single" w:sz="2" w:space="0" w:color="000000"/>
              <w:left w:val="single" w:sz="2" w:space="0" w:color="000000"/>
              <w:bottom w:val="single" w:sz="2" w:space="0" w:color="000000"/>
              <w:right w:val="single" w:sz="2" w:space="0" w:color="000000"/>
            </w:tcBorders>
          </w:tcPr>
          <w:p w14:paraId="2E179F0E" w14:textId="77777777" w:rsidR="00053D93" w:rsidRDefault="00260B75">
            <w:pPr>
              <w:ind w:left="14"/>
            </w:pPr>
            <w:r>
              <w:rPr>
                <w:noProof/>
              </w:rPr>
              <w:drawing>
                <wp:inline distT="0" distB="0" distL="0" distR="0" wp14:anchorId="03442537" wp14:editId="68546D78">
                  <wp:extent cx="548640" cy="233172"/>
                  <wp:effectExtent l="0" t="0" r="0" b="0"/>
                  <wp:docPr id="544169" name="Picture 544169"/>
                  <wp:cNvGraphicFramePr/>
                  <a:graphic xmlns:a="http://schemas.openxmlformats.org/drawingml/2006/main">
                    <a:graphicData uri="http://schemas.openxmlformats.org/drawingml/2006/picture">
                      <pic:pic xmlns:pic="http://schemas.openxmlformats.org/drawingml/2006/picture">
                        <pic:nvPicPr>
                          <pic:cNvPr id="544169" name="Picture 544169"/>
                          <pic:cNvPicPr/>
                        </pic:nvPicPr>
                        <pic:blipFill>
                          <a:blip r:embed="rId824"/>
                          <a:stretch>
                            <a:fillRect/>
                          </a:stretch>
                        </pic:blipFill>
                        <pic:spPr>
                          <a:xfrm>
                            <a:off x="0" y="0"/>
                            <a:ext cx="548640" cy="233172"/>
                          </a:xfrm>
                          <a:prstGeom prst="rect">
                            <a:avLst/>
                          </a:prstGeom>
                        </pic:spPr>
                      </pic:pic>
                    </a:graphicData>
                  </a:graphic>
                </wp:inline>
              </w:drawing>
            </w:r>
          </w:p>
        </w:tc>
        <w:tc>
          <w:tcPr>
            <w:tcW w:w="1303" w:type="dxa"/>
            <w:tcBorders>
              <w:top w:val="single" w:sz="2" w:space="0" w:color="000000"/>
              <w:left w:val="single" w:sz="2" w:space="0" w:color="000000"/>
              <w:bottom w:val="single" w:sz="2" w:space="0" w:color="000000"/>
              <w:right w:val="single" w:sz="2" w:space="0" w:color="000000"/>
            </w:tcBorders>
          </w:tcPr>
          <w:p w14:paraId="5B3DB4F3" w14:textId="77777777" w:rsidR="00053D93" w:rsidRDefault="00053D93"/>
        </w:tc>
        <w:tc>
          <w:tcPr>
            <w:tcW w:w="1594" w:type="dxa"/>
            <w:tcBorders>
              <w:top w:val="single" w:sz="2" w:space="0" w:color="000000"/>
              <w:left w:val="single" w:sz="2" w:space="0" w:color="000000"/>
              <w:bottom w:val="single" w:sz="2" w:space="0" w:color="000000"/>
              <w:right w:val="single" w:sz="2" w:space="0" w:color="000000"/>
            </w:tcBorders>
          </w:tcPr>
          <w:p w14:paraId="6953B873" w14:textId="77777777" w:rsidR="00053D93" w:rsidRDefault="00053D93"/>
        </w:tc>
      </w:tr>
    </w:tbl>
    <w:p w14:paraId="37F9DE98" w14:textId="77777777" w:rsidR="00053D93" w:rsidRDefault="00260B75">
      <w:pPr>
        <w:spacing w:after="17" w:line="247" w:lineRule="auto"/>
        <w:ind w:left="1627" w:right="14" w:firstLine="4"/>
        <w:jc w:val="both"/>
      </w:pPr>
      <w:r>
        <w:rPr>
          <w:sz w:val="26"/>
        </w:rPr>
        <w:t>El Departamento de Escuelas continúa solicitando transporte para el traslado de materiales según consta en los oficios Nos. ENEF.421-2024 y 422-2024 pero no se obtiene respuesta alguna de parte de Servicios Generales. Por lo que se toma la decisión de enviarles convocatoria mediante correo electrónico de fecha 19 de noviembre 2024 y 20 de enero 2025 a las Escuelas pendientes, indicándoles que es necesario realizar autogestiones a nivel local para poder venir a traer los materiales incluyendo las escaleras agilidad. Atendiendo al correo electrónico enviado por este Departamento, los directores de las Escuelas Normales pendientes, realizaron autogestiones de transporte a nivel local y se presentaron a ta DIGEF, cada uno de acuerdo con las fechas disponibles, y de esa manera se</w:t>
      </w:r>
    </w:p>
    <w:tbl>
      <w:tblPr>
        <w:tblStyle w:val="TableGrid"/>
        <w:tblW w:w="9432" w:type="dxa"/>
        <w:tblInd w:w="684" w:type="dxa"/>
        <w:tblLook w:val="04A0" w:firstRow="1" w:lastRow="0" w:firstColumn="1" w:lastColumn="0" w:noHBand="0" w:noVBand="1"/>
      </w:tblPr>
      <w:tblGrid>
        <w:gridCol w:w="1677"/>
        <w:gridCol w:w="10505"/>
      </w:tblGrid>
      <w:tr w:rsidR="00053D93" w14:paraId="2D17876E" w14:textId="77777777">
        <w:trPr>
          <w:trHeight w:val="655"/>
        </w:trPr>
        <w:tc>
          <w:tcPr>
            <w:tcW w:w="1721" w:type="dxa"/>
            <w:tcBorders>
              <w:top w:val="nil"/>
              <w:left w:val="nil"/>
              <w:bottom w:val="nil"/>
              <w:right w:val="nil"/>
            </w:tcBorders>
          </w:tcPr>
          <w:p w14:paraId="07DD4065" w14:textId="77777777" w:rsidR="00053D93" w:rsidRDefault="00260B75">
            <w:r>
              <w:rPr>
                <w:noProof/>
              </w:rPr>
              <w:drawing>
                <wp:inline distT="0" distB="0" distL="0" distR="0" wp14:anchorId="09F8812C" wp14:editId="1D8020AC">
                  <wp:extent cx="1065276" cy="411480"/>
                  <wp:effectExtent l="0" t="0" r="0" b="0"/>
                  <wp:docPr id="544427" name="Picture 544427"/>
                  <wp:cNvGraphicFramePr/>
                  <a:graphic xmlns:a="http://schemas.openxmlformats.org/drawingml/2006/main">
                    <a:graphicData uri="http://schemas.openxmlformats.org/drawingml/2006/picture">
                      <pic:pic xmlns:pic="http://schemas.openxmlformats.org/drawingml/2006/picture">
                        <pic:nvPicPr>
                          <pic:cNvPr id="544427" name="Picture 544427"/>
                          <pic:cNvPicPr/>
                        </pic:nvPicPr>
                        <pic:blipFill>
                          <a:blip r:embed="rId825"/>
                          <a:stretch>
                            <a:fillRect/>
                          </a:stretch>
                        </pic:blipFill>
                        <pic:spPr>
                          <a:xfrm>
                            <a:off x="0" y="0"/>
                            <a:ext cx="1065276" cy="411480"/>
                          </a:xfrm>
                          <a:prstGeom prst="rect">
                            <a:avLst/>
                          </a:prstGeom>
                        </pic:spPr>
                      </pic:pic>
                    </a:graphicData>
                  </a:graphic>
                </wp:inline>
              </w:drawing>
            </w:r>
          </w:p>
        </w:tc>
        <w:tc>
          <w:tcPr>
            <w:tcW w:w="7711" w:type="dxa"/>
            <w:tcBorders>
              <w:top w:val="nil"/>
              <w:left w:val="nil"/>
              <w:bottom w:val="nil"/>
              <w:right w:val="nil"/>
            </w:tcBorders>
          </w:tcPr>
          <w:p w14:paraId="4DFC07A1" w14:textId="77777777" w:rsidR="00053D93" w:rsidRDefault="00053D93">
            <w:pPr>
              <w:ind w:left="-2794" w:right="10505"/>
            </w:pPr>
          </w:p>
          <w:tbl>
            <w:tblPr>
              <w:tblStyle w:val="TableGrid"/>
              <w:tblW w:w="7667" w:type="dxa"/>
              <w:tblInd w:w="44" w:type="dxa"/>
              <w:tblCellMar>
                <w:top w:w="21" w:type="dxa"/>
                <w:left w:w="1777" w:type="dxa"/>
                <w:right w:w="115" w:type="dxa"/>
              </w:tblCellMar>
              <w:tblLook w:val="04A0" w:firstRow="1" w:lastRow="0" w:firstColumn="1" w:lastColumn="0" w:noHBand="0" w:noVBand="1"/>
            </w:tblPr>
            <w:tblGrid>
              <w:gridCol w:w="7667"/>
            </w:tblGrid>
            <w:tr w:rsidR="00053D93" w14:paraId="7CD874D8" w14:textId="77777777">
              <w:trPr>
                <w:trHeight w:val="41"/>
              </w:trPr>
              <w:tc>
                <w:tcPr>
                  <w:tcW w:w="7667" w:type="dxa"/>
                  <w:tcBorders>
                    <w:top w:val="nil"/>
                    <w:left w:val="single" w:sz="2" w:space="0" w:color="000000"/>
                    <w:bottom w:val="single" w:sz="2" w:space="0" w:color="000000"/>
                    <w:right w:val="nil"/>
                  </w:tcBorders>
                </w:tcPr>
                <w:p w14:paraId="58BD9A62" w14:textId="77777777" w:rsidR="00053D93" w:rsidRDefault="00053D93"/>
              </w:tc>
            </w:tr>
            <w:tr w:rsidR="00053D93" w14:paraId="7A9E5842" w14:textId="77777777">
              <w:trPr>
                <w:trHeight w:val="607"/>
              </w:trPr>
              <w:tc>
                <w:tcPr>
                  <w:tcW w:w="7667" w:type="dxa"/>
                  <w:tcBorders>
                    <w:top w:val="single" w:sz="2" w:space="0" w:color="000000"/>
                    <w:left w:val="single" w:sz="2" w:space="0" w:color="000000"/>
                    <w:bottom w:val="nil"/>
                    <w:right w:val="nil"/>
                  </w:tcBorders>
                </w:tcPr>
                <w:p w14:paraId="17077B1B" w14:textId="77777777" w:rsidR="00053D93" w:rsidRDefault="00260B75">
                  <w:pPr>
                    <w:ind w:left="828"/>
                  </w:pPr>
                  <w:r>
                    <w:rPr>
                      <w:sz w:val="14"/>
                    </w:rPr>
                    <w:t>MINISTERIO DE EDUCACION</w:t>
                  </w:r>
                </w:p>
                <w:p w14:paraId="150A7F5F" w14:textId="77777777" w:rsidR="00053D93" w:rsidRDefault="00260B75">
                  <w:pPr>
                    <w:ind w:left="331"/>
                  </w:pPr>
                  <w:r>
                    <w:rPr>
                      <w:sz w:val="14"/>
                    </w:rPr>
                    <w:t>AUDITORIA FINANCIERA Y DE CUMPLIMIENTO</w:t>
                  </w:r>
                </w:p>
                <w:p w14:paraId="4EC51AB4" w14:textId="77777777" w:rsidR="00053D93" w:rsidRDefault="00260B75">
                  <w:r>
                    <w:rPr>
                      <w:sz w:val="14"/>
                    </w:rPr>
                    <w:t>PERIODO DEL 01 DE ENERO AL 31 DE DICIEMBRE OE 2024</w:t>
                  </w:r>
                </w:p>
              </w:tc>
            </w:tr>
          </w:tbl>
          <w:p w14:paraId="27ACD942" w14:textId="77777777" w:rsidR="00053D93" w:rsidRDefault="00053D93"/>
        </w:tc>
      </w:tr>
    </w:tbl>
    <w:p w14:paraId="7AB34140" w14:textId="77777777" w:rsidR="00053D93" w:rsidRDefault="00260B75">
      <w:pPr>
        <w:spacing w:after="18"/>
        <w:ind w:left="1591"/>
      </w:pPr>
      <w:r>
        <w:rPr>
          <w:noProof/>
        </w:rPr>
        <mc:AlternateContent>
          <mc:Choice Requires="wpg">
            <w:drawing>
              <wp:inline distT="0" distB="0" distL="0" distR="0" wp14:anchorId="577215FD" wp14:editId="4EC26AE5">
                <wp:extent cx="5390388" cy="13716"/>
                <wp:effectExtent l="0" t="0" r="0" b="0"/>
                <wp:docPr id="2458454" name="Group 2458454"/>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8453" name="Shape 2458453"/>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54" style="width:424.44pt;height:1.08pt;mso-position-horizontal-relative:char;mso-position-vertical-relative:line" coordsize="53903,137">
                <v:shape id="Shape 2458453" style="position:absolute;width:53903;height:137;left:0;top:0;" coordsize="5390388,13716" path="m0,6858l5390388,6858">
                  <v:stroke weight="1.08pt" endcap="flat" joinstyle="miter" miterlimit="1" on="true" color="#000000"/>
                  <v:fill on="false" color="#000000"/>
                </v:shape>
              </v:group>
            </w:pict>
          </mc:Fallback>
        </mc:AlternateContent>
      </w:r>
    </w:p>
    <w:p w14:paraId="49DB4097" w14:textId="77777777" w:rsidR="00053D93" w:rsidRDefault="00260B75">
      <w:pPr>
        <w:spacing w:after="304" w:line="247" w:lineRule="auto"/>
        <w:ind w:left="1606" w:right="14" w:firstLine="4"/>
        <w:jc w:val="both"/>
      </w:pPr>
      <w:r>
        <w:rPr>
          <w:sz w:val="26"/>
        </w:rPr>
        <w:t>fue entregando las 400 escaleras que aún se encontraban en resguardo de almacén a la fecha de la verificación por Auditoria el 12/1 1/2024.</w:t>
      </w:r>
    </w:p>
    <w:p w14:paraId="7B49C2EF" w14:textId="77777777" w:rsidR="00053D93" w:rsidRDefault="00260B75">
      <w:pPr>
        <w:spacing w:after="17" w:line="247" w:lineRule="auto"/>
        <w:ind w:left="1620" w:right="14" w:firstLine="4"/>
        <w:jc w:val="both"/>
      </w:pPr>
      <w:r>
        <w:rPr>
          <w:sz w:val="26"/>
        </w:rPr>
        <w:t>Descripción de entrega: De 400 Escaleras de agilidad</w:t>
      </w:r>
    </w:p>
    <w:tbl>
      <w:tblPr>
        <w:tblStyle w:val="TableGrid"/>
        <w:tblW w:w="9403" w:type="dxa"/>
        <w:tblInd w:w="698" w:type="dxa"/>
        <w:tblLook w:val="04A0" w:firstRow="1" w:lastRow="0" w:firstColumn="1" w:lastColumn="0" w:noHBand="0" w:noVBand="1"/>
      </w:tblPr>
      <w:tblGrid>
        <w:gridCol w:w="817"/>
        <w:gridCol w:w="8586"/>
      </w:tblGrid>
      <w:tr w:rsidR="00053D93" w14:paraId="6AFD24C2" w14:textId="77777777">
        <w:trPr>
          <w:trHeight w:val="12351"/>
        </w:trPr>
        <w:tc>
          <w:tcPr>
            <w:tcW w:w="1004" w:type="dxa"/>
            <w:tcBorders>
              <w:top w:val="nil"/>
              <w:left w:val="nil"/>
              <w:bottom w:val="nil"/>
              <w:right w:val="nil"/>
            </w:tcBorders>
            <w:vAlign w:val="bottom"/>
          </w:tcPr>
          <w:p w14:paraId="57C8421C" w14:textId="77777777" w:rsidR="00053D93" w:rsidRDefault="00260B75">
            <w:r>
              <w:rPr>
                <w:noProof/>
              </w:rPr>
              <w:lastRenderedPageBreak/>
              <w:drawing>
                <wp:inline distT="0" distB="0" distL="0" distR="0" wp14:anchorId="138BA0D2" wp14:editId="6EA552A8">
                  <wp:extent cx="635508" cy="406909"/>
                  <wp:effectExtent l="0" t="0" r="0" b="0"/>
                  <wp:docPr id="550126" name="Picture 550126"/>
                  <wp:cNvGraphicFramePr/>
                  <a:graphic xmlns:a="http://schemas.openxmlformats.org/drawingml/2006/main">
                    <a:graphicData uri="http://schemas.openxmlformats.org/drawingml/2006/picture">
                      <pic:pic xmlns:pic="http://schemas.openxmlformats.org/drawingml/2006/picture">
                        <pic:nvPicPr>
                          <pic:cNvPr id="550126" name="Picture 550126"/>
                          <pic:cNvPicPr/>
                        </pic:nvPicPr>
                        <pic:blipFill>
                          <a:blip r:embed="rId826"/>
                          <a:stretch>
                            <a:fillRect/>
                          </a:stretch>
                        </pic:blipFill>
                        <pic:spPr>
                          <a:xfrm>
                            <a:off x="0" y="0"/>
                            <a:ext cx="635508" cy="406909"/>
                          </a:xfrm>
                          <a:prstGeom prst="rect">
                            <a:avLst/>
                          </a:prstGeom>
                        </pic:spPr>
                      </pic:pic>
                    </a:graphicData>
                  </a:graphic>
                </wp:inline>
              </w:drawing>
            </w:r>
          </w:p>
        </w:tc>
        <w:tc>
          <w:tcPr>
            <w:tcW w:w="8399" w:type="dxa"/>
            <w:tcBorders>
              <w:top w:val="nil"/>
              <w:left w:val="nil"/>
              <w:bottom w:val="nil"/>
              <w:right w:val="nil"/>
            </w:tcBorders>
          </w:tcPr>
          <w:p w14:paraId="389D0C9B" w14:textId="77777777" w:rsidR="00053D93" w:rsidRDefault="00053D93">
            <w:pPr>
              <w:ind w:left="-2092" w:right="10490"/>
            </w:pPr>
          </w:p>
          <w:tbl>
            <w:tblPr>
              <w:tblStyle w:val="TableGrid"/>
              <w:tblW w:w="8395" w:type="dxa"/>
              <w:tblInd w:w="4" w:type="dxa"/>
              <w:tblCellMar>
                <w:bottom w:w="12" w:type="dxa"/>
                <w:right w:w="7" w:type="dxa"/>
              </w:tblCellMar>
              <w:tblLook w:val="04A0" w:firstRow="1" w:lastRow="0" w:firstColumn="1" w:lastColumn="0" w:noHBand="0" w:noVBand="1"/>
            </w:tblPr>
            <w:tblGrid>
              <w:gridCol w:w="412"/>
              <w:gridCol w:w="297"/>
              <w:gridCol w:w="1205"/>
              <w:gridCol w:w="1109"/>
              <w:gridCol w:w="310"/>
              <w:gridCol w:w="1066"/>
              <w:gridCol w:w="1135"/>
              <w:gridCol w:w="1238"/>
              <w:gridCol w:w="1623"/>
            </w:tblGrid>
            <w:tr w:rsidR="00053D93" w14:paraId="69DB9480" w14:textId="77777777">
              <w:trPr>
                <w:trHeight w:val="1020"/>
              </w:trPr>
              <w:tc>
                <w:tcPr>
                  <w:tcW w:w="413" w:type="dxa"/>
                  <w:tcBorders>
                    <w:top w:val="single" w:sz="2" w:space="0" w:color="000000"/>
                    <w:left w:val="single" w:sz="2" w:space="0" w:color="000000"/>
                    <w:bottom w:val="single" w:sz="2" w:space="0" w:color="000000"/>
                    <w:right w:val="single" w:sz="2" w:space="0" w:color="000000"/>
                  </w:tcBorders>
                </w:tcPr>
                <w:p w14:paraId="7BF96761" w14:textId="77777777" w:rsidR="00053D93" w:rsidRDefault="00260B75">
                  <w:pPr>
                    <w:ind w:left="43"/>
                    <w:jc w:val="both"/>
                  </w:pPr>
                  <w:r>
                    <w:rPr>
                      <w:sz w:val="20"/>
                    </w:rPr>
                    <w:t xml:space="preserve">NO. </w:t>
                  </w:r>
                </w:p>
              </w:tc>
              <w:tc>
                <w:tcPr>
                  <w:tcW w:w="1502" w:type="dxa"/>
                  <w:gridSpan w:val="2"/>
                  <w:tcBorders>
                    <w:top w:val="single" w:sz="2" w:space="0" w:color="000000"/>
                    <w:left w:val="single" w:sz="2" w:space="0" w:color="000000"/>
                    <w:bottom w:val="single" w:sz="2" w:space="0" w:color="000000"/>
                    <w:right w:val="single" w:sz="2" w:space="0" w:color="000000"/>
                  </w:tcBorders>
                </w:tcPr>
                <w:p w14:paraId="29FFE29C" w14:textId="77777777" w:rsidR="00053D93" w:rsidRDefault="00260B75">
                  <w:pPr>
                    <w:ind w:left="33"/>
                    <w:jc w:val="center"/>
                  </w:pPr>
                  <w:r>
                    <w:t>ENEF/DEPTO.</w:t>
                  </w:r>
                </w:p>
              </w:tc>
              <w:tc>
                <w:tcPr>
                  <w:tcW w:w="1418" w:type="dxa"/>
                  <w:gridSpan w:val="2"/>
                  <w:tcBorders>
                    <w:top w:val="single" w:sz="2" w:space="0" w:color="000000"/>
                    <w:left w:val="single" w:sz="2" w:space="0" w:color="000000"/>
                    <w:bottom w:val="single" w:sz="2" w:space="0" w:color="000000"/>
                    <w:right w:val="single" w:sz="2" w:space="0" w:color="000000"/>
                  </w:tcBorders>
                </w:tcPr>
                <w:p w14:paraId="58A54393" w14:textId="77777777" w:rsidR="00053D93" w:rsidRDefault="00260B75">
                  <w:pPr>
                    <w:ind w:left="108" w:firstLine="252"/>
                  </w:pPr>
                  <w:r>
                    <w:t>INSUMO TRASLADADO</w:t>
                  </w:r>
                </w:p>
              </w:tc>
              <w:tc>
                <w:tcPr>
                  <w:tcW w:w="1066" w:type="dxa"/>
                  <w:tcBorders>
                    <w:top w:val="single" w:sz="2" w:space="0" w:color="000000"/>
                    <w:left w:val="single" w:sz="2" w:space="0" w:color="000000"/>
                    <w:bottom w:val="single" w:sz="2" w:space="0" w:color="000000"/>
                    <w:right w:val="single" w:sz="2" w:space="0" w:color="000000"/>
                  </w:tcBorders>
                </w:tcPr>
                <w:p w14:paraId="571E547D" w14:textId="77777777" w:rsidR="00053D93" w:rsidRDefault="00260B75">
                  <w:pPr>
                    <w:ind w:right="22"/>
                    <w:jc w:val="center"/>
                  </w:pPr>
                  <w:r>
                    <w:t xml:space="preserve">FECHA </w:t>
                  </w:r>
                </w:p>
              </w:tc>
              <w:tc>
                <w:tcPr>
                  <w:tcW w:w="1135" w:type="dxa"/>
                  <w:tcBorders>
                    <w:top w:val="single" w:sz="2" w:space="0" w:color="000000"/>
                    <w:left w:val="single" w:sz="2" w:space="0" w:color="000000"/>
                    <w:bottom w:val="single" w:sz="2" w:space="0" w:color="000000"/>
                    <w:right w:val="single" w:sz="2" w:space="0" w:color="000000"/>
                  </w:tcBorders>
                </w:tcPr>
                <w:p w14:paraId="419C2371" w14:textId="77777777" w:rsidR="00053D93" w:rsidRDefault="00260B75">
                  <w:pPr>
                    <w:ind w:left="115"/>
                  </w:pPr>
                  <w:r>
                    <w:rPr>
                      <w:sz w:val="20"/>
                    </w:rPr>
                    <w:t>CANTIDAD</w:t>
                  </w:r>
                </w:p>
              </w:tc>
              <w:tc>
                <w:tcPr>
                  <w:tcW w:w="1238" w:type="dxa"/>
                  <w:tcBorders>
                    <w:top w:val="single" w:sz="2" w:space="0" w:color="000000"/>
                    <w:left w:val="single" w:sz="2" w:space="0" w:color="000000"/>
                    <w:bottom w:val="single" w:sz="2" w:space="0" w:color="000000"/>
                    <w:right w:val="single" w:sz="2" w:space="0" w:color="000000"/>
                  </w:tcBorders>
                </w:tcPr>
                <w:p w14:paraId="1E086C56" w14:textId="77777777" w:rsidR="00053D93" w:rsidRDefault="00260B75">
                  <w:pPr>
                    <w:ind w:left="118"/>
                  </w:pPr>
                  <w:r>
                    <w:t>DESPACHO</w:t>
                  </w:r>
                </w:p>
                <w:p w14:paraId="4430E141" w14:textId="77777777" w:rsidR="00053D93" w:rsidRDefault="00260B75">
                  <w:pPr>
                    <w:ind w:right="31"/>
                    <w:jc w:val="center"/>
                  </w:pPr>
                  <w:r>
                    <w:rPr>
                      <w:sz w:val="24"/>
                    </w:rPr>
                    <w:t>DE</w:t>
                  </w:r>
                </w:p>
                <w:p w14:paraId="223E556E" w14:textId="77777777" w:rsidR="00053D93" w:rsidRDefault="00260B75">
                  <w:pPr>
                    <w:ind w:left="457" w:hanging="274"/>
                  </w:pPr>
                  <w:r>
                    <w:rPr>
                      <w:sz w:val="20"/>
                    </w:rPr>
                    <w:t>ALMACEN NO.</w:t>
                  </w:r>
                </w:p>
              </w:tc>
              <w:tc>
                <w:tcPr>
                  <w:tcW w:w="1623" w:type="dxa"/>
                  <w:tcBorders>
                    <w:top w:val="single" w:sz="2" w:space="0" w:color="000000"/>
                    <w:left w:val="single" w:sz="2" w:space="0" w:color="000000"/>
                    <w:bottom w:val="single" w:sz="2" w:space="0" w:color="000000"/>
                    <w:right w:val="single" w:sz="2" w:space="0" w:color="000000"/>
                  </w:tcBorders>
                </w:tcPr>
                <w:p w14:paraId="4C601621" w14:textId="77777777" w:rsidR="00053D93" w:rsidRDefault="00260B75">
                  <w:pPr>
                    <w:ind w:left="111"/>
                  </w:pPr>
                  <w:r>
                    <w:rPr>
                      <w:sz w:val="20"/>
                    </w:rPr>
                    <w:t>CONOCIMIENTO</w:t>
                  </w:r>
                </w:p>
                <w:p w14:paraId="1D3DE088" w14:textId="77777777" w:rsidR="00053D93" w:rsidRDefault="00260B75">
                  <w:pPr>
                    <w:ind w:left="651" w:hanging="418"/>
                  </w:pPr>
                  <w:r>
                    <w:t>DE RECIBIDO NO.</w:t>
                  </w:r>
                </w:p>
              </w:tc>
            </w:tr>
            <w:tr w:rsidR="00053D93" w14:paraId="702E4583" w14:textId="77777777">
              <w:trPr>
                <w:trHeight w:val="1160"/>
              </w:trPr>
              <w:tc>
                <w:tcPr>
                  <w:tcW w:w="413" w:type="dxa"/>
                  <w:tcBorders>
                    <w:top w:val="single" w:sz="2" w:space="0" w:color="000000"/>
                    <w:left w:val="single" w:sz="2" w:space="0" w:color="000000"/>
                    <w:bottom w:val="single" w:sz="2" w:space="0" w:color="000000"/>
                    <w:right w:val="single" w:sz="2" w:space="0" w:color="000000"/>
                  </w:tcBorders>
                </w:tcPr>
                <w:p w14:paraId="27DCDD33" w14:textId="77777777" w:rsidR="00053D93" w:rsidRDefault="00053D93"/>
              </w:tc>
              <w:tc>
                <w:tcPr>
                  <w:tcW w:w="1502" w:type="dxa"/>
                  <w:gridSpan w:val="2"/>
                  <w:tcBorders>
                    <w:top w:val="single" w:sz="2" w:space="0" w:color="000000"/>
                    <w:left w:val="single" w:sz="2" w:space="0" w:color="000000"/>
                    <w:bottom w:val="single" w:sz="2" w:space="0" w:color="000000"/>
                    <w:right w:val="single" w:sz="2" w:space="0" w:color="000000"/>
                  </w:tcBorders>
                  <w:vAlign w:val="bottom"/>
                </w:tcPr>
                <w:p w14:paraId="5F1EBA2D" w14:textId="77777777" w:rsidR="00053D93" w:rsidRDefault="00260B75">
                  <w:pPr>
                    <w:tabs>
                      <w:tab w:val="center" w:pos="480"/>
                      <w:tab w:val="right" w:pos="1495"/>
                    </w:tabs>
                  </w:pPr>
                  <w:r>
                    <w:rPr>
                      <w:sz w:val="20"/>
                    </w:rPr>
                    <w:tab/>
                    <w:t>Normal</w:t>
                  </w:r>
                  <w:r>
                    <w:rPr>
                      <w:sz w:val="20"/>
                    </w:rPr>
                    <w:tab/>
                  </w:r>
                  <w:r>
                    <w:rPr>
                      <w:rFonts w:ascii="Times New Roman" w:eastAsia="Times New Roman" w:hAnsi="Times New Roman" w:cs="Times New Roman"/>
                      <w:sz w:val="20"/>
                    </w:rPr>
                    <w:t>de</w:t>
                  </w:r>
                </w:p>
                <w:p w14:paraId="38D94995" w14:textId="77777777" w:rsidR="00053D93" w:rsidRDefault="00260B75">
                  <w:pPr>
                    <w:ind w:left="185"/>
                  </w:pPr>
                  <w:r>
                    <w:t>Educación</w:t>
                  </w:r>
                </w:p>
                <w:p w14:paraId="02E8AEED" w14:textId="77777777" w:rsidR="00053D93" w:rsidRDefault="00260B75">
                  <w:pPr>
                    <w:ind w:left="40"/>
                    <w:jc w:val="center"/>
                  </w:pPr>
                  <w:r>
                    <w:t>Fisica, Zacapa,</w:t>
                  </w:r>
                </w:p>
                <w:p w14:paraId="338B6CC0" w14:textId="77777777" w:rsidR="00053D93" w:rsidRDefault="00260B75">
                  <w:pPr>
                    <w:ind w:left="177"/>
                  </w:pPr>
                  <w:r>
                    <w:rPr>
                      <w:sz w:val="20"/>
                    </w:rPr>
                    <w:t>Zacapa</w:t>
                  </w:r>
                </w:p>
              </w:tc>
              <w:tc>
                <w:tcPr>
                  <w:tcW w:w="1109" w:type="dxa"/>
                  <w:tcBorders>
                    <w:top w:val="single" w:sz="2" w:space="0" w:color="000000"/>
                    <w:left w:val="single" w:sz="2" w:space="0" w:color="000000"/>
                    <w:bottom w:val="single" w:sz="2" w:space="0" w:color="000000"/>
                    <w:right w:val="nil"/>
                  </w:tcBorders>
                </w:tcPr>
                <w:p w14:paraId="06D7D381" w14:textId="77777777" w:rsidR="00053D93" w:rsidRDefault="00260B75">
                  <w:pPr>
                    <w:ind w:left="115" w:hanging="7"/>
                  </w:pPr>
                  <w:r>
                    <w:t>Escaleras agilidad</w:t>
                  </w:r>
                </w:p>
              </w:tc>
              <w:tc>
                <w:tcPr>
                  <w:tcW w:w="310" w:type="dxa"/>
                  <w:tcBorders>
                    <w:top w:val="single" w:sz="2" w:space="0" w:color="000000"/>
                    <w:left w:val="nil"/>
                    <w:bottom w:val="single" w:sz="2" w:space="0" w:color="000000"/>
                    <w:right w:val="single" w:sz="2" w:space="0" w:color="000000"/>
                  </w:tcBorders>
                </w:tcPr>
                <w:p w14:paraId="20D9A680" w14:textId="77777777" w:rsidR="00053D93" w:rsidRDefault="00053D93"/>
              </w:tc>
              <w:tc>
                <w:tcPr>
                  <w:tcW w:w="1066" w:type="dxa"/>
                  <w:tcBorders>
                    <w:top w:val="single" w:sz="2" w:space="0" w:color="000000"/>
                    <w:left w:val="single" w:sz="2" w:space="0" w:color="000000"/>
                    <w:bottom w:val="single" w:sz="2" w:space="0" w:color="000000"/>
                    <w:right w:val="single" w:sz="2" w:space="0" w:color="000000"/>
                  </w:tcBorders>
                </w:tcPr>
                <w:p w14:paraId="58D53D89" w14:textId="77777777" w:rsidR="00053D93" w:rsidRDefault="00260B75">
                  <w:pPr>
                    <w:spacing w:line="314" w:lineRule="auto"/>
                    <w:ind w:left="108" w:firstLine="7"/>
                  </w:pPr>
                  <w:r>
                    <w:rPr>
                      <w:rFonts w:ascii="Times New Roman" w:eastAsia="Times New Roman" w:hAnsi="Times New Roman" w:cs="Times New Roman"/>
                      <w:sz w:val="18"/>
                    </w:rPr>
                    <w:t>1 3</w:t>
                  </w:r>
                  <w:r>
                    <w:rPr>
                      <w:rFonts w:ascii="Times New Roman" w:eastAsia="Times New Roman" w:hAnsi="Times New Roman" w:cs="Times New Roman"/>
                      <w:sz w:val="18"/>
                    </w:rPr>
                    <w:tab/>
                  </w:r>
                  <w:r>
                    <w:rPr>
                      <w:sz w:val="18"/>
                    </w:rPr>
                    <w:t>de noviembre</w:t>
                  </w:r>
                </w:p>
                <w:p w14:paraId="07A6A417" w14:textId="77777777" w:rsidR="00053D93" w:rsidRDefault="00260B75">
                  <w:pPr>
                    <w:ind w:left="108"/>
                  </w:pPr>
                  <w:r>
                    <w:rPr>
                      <w:rFonts w:ascii="Times New Roman" w:eastAsia="Times New Roman" w:hAnsi="Times New Roman" w:cs="Times New Roman"/>
                      <w:sz w:val="18"/>
                    </w:rPr>
                    <w:t>2024</w:t>
                  </w:r>
                </w:p>
              </w:tc>
              <w:tc>
                <w:tcPr>
                  <w:tcW w:w="1135" w:type="dxa"/>
                  <w:tcBorders>
                    <w:top w:val="single" w:sz="2" w:space="0" w:color="000000"/>
                    <w:left w:val="single" w:sz="2" w:space="0" w:color="000000"/>
                    <w:bottom w:val="single" w:sz="2" w:space="0" w:color="000000"/>
                    <w:right w:val="single" w:sz="2" w:space="0" w:color="000000"/>
                  </w:tcBorders>
                </w:tcPr>
                <w:p w14:paraId="1EF1A860" w14:textId="77777777" w:rsidR="00053D93" w:rsidRDefault="00260B75">
                  <w:pPr>
                    <w:ind w:right="26"/>
                    <w:jc w:val="center"/>
                  </w:pPr>
                  <w:r>
                    <w:rPr>
                      <w:rFonts w:ascii="Times New Roman" w:eastAsia="Times New Roman" w:hAnsi="Times New Roman" w:cs="Times New Roman"/>
                      <w:sz w:val="18"/>
                    </w:rPr>
                    <w:t>50</w:t>
                  </w:r>
                </w:p>
              </w:tc>
              <w:tc>
                <w:tcPr>
                  <w:tcW w:w="1238" w:type="dxa"/>
                  <w:tcBorders>
                    <w:top w:val="single" w:sz="2" w:space="0" w:color="000000"/>
                    <w:left w:val="single" w:sz="2" w:space="0" w:color="000000"/>
                    <w:bottom w:val="single" w:sz="2" w:space="0" w:color="000000"/>
                    <w:right w:val="single" w:sz="2" w:space="0" w:color="000000"/>
                  </w:tcBorders>
                </w:tcPr>
                <w:p w14:paraId="37D5302F" w14:textId="77777777" w:rsidR="00053D93" w:rsidRDefault="00260B75">
                  <w:pPr>
                    <w:ind w:right="31"/>
                    <w:jc w:val="center"/>
                  </w:pPr>
                  <w:r>
                    <w:rPr>
                      <w:rFonts w:ascii="Times New Roman" w:eastAsia="Times New Roman" w:hAnsi="Times New Roman" w:cs="Times New Roman"/>
                      <w:sz w:val="20"/>
                    </w:rPr>
                    <w:t>38565</w:t>
                  </w:r>
                </w:p>
              </w:tc>
              <w:tc>
                <w:tcPr>
                  <w:tcW w:w="1623" w:type="dxa"/>
                  <w:tcBorders>
                    <w:top w:val="single" w:sz="2" w:space="0" w:color="000000"/>
                    <w:left w:val="single" w:sz="2" w:space="0" w:color="000000"/>
                    <w:bottom w:val="single" w:sz="2" w:space="0" w:color="000000"/>
                    <w:right w:val="single" w:sz="2" w:space="0" w:color="000000"/>
                  </w:tcBorders>
                </w:tcPr>
                <w:p w14:paraId="08A65597" w14:textId="77777777" w:rsidR="00053D93" w:rsidRDefault="00260B75">
                  <w:pPr>
                    <w:ind w:right="34"/>
                    <w:jc w:val="center"/>
                  </w:pPr>
                  <w:r>
                    <w:rPr>
                      <w:rFonts w:ascii="Times New Roman" w:eastAsia="Times New Roman" w:hAnsi="Times New Roman" w:cs="Times New Roman"/>
                      <w:sz w:val="20"/>
                    </w:rPr>
                    <w:t>082-2024</w:t>
                  </w:r>
                </w:p>
              </w:tc>
            </w:tr>
            <w:tr w:rsidR="00053D93" w14:paraId="685E8224" w14:textId="77777777">
              <w:trPr>
                <w:trHeight w:val="1096"/>
              </w:trPr>
              <w:tc>
                <w:tcPr>
                  <w:tcW w:w="413" w:type="dxa"/>
                  <w:tcBorders>
                    <w:top w:val="single" w:sz="2" w:space="0" w:color="000000"/>
                    <w:left w:val="single" w:sz="2" w:space="0" w:color="000000"/>
                    <w:bottom w:val="single" w:sz="2" w:space="0" w:color="000000"/>
                    <w:right w:val="single" w:sz="2" w:space="0" w:color="000000"/>
                  </w:tcBorders>
                </w:tcPr>
                <w:p w14:paraId="3A2DB39E" w14:textId="77777777" w:rsidR="00053D93" w:rsidRDefault="00053D93"/>
              </w:tc>
              <w:tc>
                <w:tcPr>
                  <w:tcW w:w="1502" w:type="dxa"/>
                  <w:gridSpan w:val="2"/>
                  <w:tcBorders>
                    <w:top w:val="single" w:sz="2" w:space="0" w:color="000000"/>
                    <w:left w:val="single" w:sz="2" w:space="0" w:color="000000"/>
                    <w:bottom w:val="single" w:sz="2" w:space="0" w:color="000000"/>
                    <w:right w:val="single" w:sz="2" w:space="0" w:color="000000"/>
                  </w:tcBorders>
                  <w:vAlign w:val="bottom"/>
                </w:tcPr>
                <w:p w14:paraId="06508626" w14:textId="77777777" w:rsidR="00053D93" w:rsidRDefault="00260B75">
                  <w:pPr>
                    <w:tabs>
                      <w:tab w:val="center" w:pos="480"/>
                      <w:tab w:val="right" w:pos="1495"/>
                    </w:tabs>
                  </w:pPr>
                  <w:r>
                    <w:rPr>
                      <w:sz w:val="20"/>
                    </w:rPr>
                    <w:tab/>
                    <w:t>Normal</w:t>
                  </w:r>
                  <w:r>
                    <w:rPr>
                      <w:sz w:val="20"/>
                    </w:rPr>
                    <w:tab/>
                    <w:t>de</w:t>
                  </w:r>
                </w:p>
                <w:p w14:paraId="5A3719CC" w14:textId="77777777" w:rsidR="00053D93" w:rsidRDefault="00260B75">
                  <w:pPr>
                    <w:ind w:left="192"/>
                  </w:pPr>
                  <w:r>
                    <w:t>Educación</w:t>
                  </w:r>
                </w:p>
                <w:p w14:paraId="0EE59794" w14:textId="77777777" w:rsidR="00053D93" w:rsidRDefault="00260B75">
                  <w:pPr>
                    <w:ind w:left="62"/>
                    <w:jc w:val="center"/>
                  </w:pPr>
                  <w:r>
                    <w:t>Física Puerto</w:t>
                  </w:r>
                </w:p>
                <w:p w14:paraId="18F4D4E5" w14:textId="77777777" w:rsidR="00053D93" w:rsidRDefault="00260B75">
                  <w:pPr>
                    <w:ind w:left="185"/>
                  </w:pPr>
                  <w:r>
                    <w:rPr>
                      <w:sz w:val="20"/>
                    </w:rPr>
                    <w:t>Barrios Izabal</w:t>
                  </w:r>
                </w:p>
              </w:tc>
              <w:tc>
                <w:tcPr>
                  <w:tcW w:w="1109" w:type="dxa"/>
                  <w:tcBorders>
                    <w:top w:val="single" w:sz="2" w:space="0" w:color="000000"/>
                    <w:left w:val="single" w:sz="2" w:space="0" w:color="000000"/>
                    <w:bottom w:val="single" w:sz="2" w:space="0" w:color="000000"/>
                    <w:right w:val="nil"/>
                  </w:tcBorders>
                </w:tcPr>
                <w:p w14:paraId="03981DA7" w14:textId="77777777" w:rsidR="00053D93" w:rsidRDefault="00260B75">
                  <w:pPr>
                    <w:ind w:left="115"/>
                  </w:pPr>
                  <w:r>
                    <w:t>Escaleras agilidad</w:t>
                  </w:r>
                </w:p>
              </w:tc>
              <w:tc>
                <w:tcPr>
                  <w:tcW w:w="310" w:type="dxa"/>
                  <w:tcBorders>
                    <w:top w:val="single" w:sz="2" w:space="0" w:color="000000"/>
                    <w:left w:val="nil"/>
                    <w:bottom w:val="single" w:sz="2" w:space="0" w:color="000000"/>
                    <w:right w:val="single" w:sz="2" w:space="0" w:color="000000"/>
                  </w:tcBorders>
                </w:tcPr>
                <w:p w14:paraId="7DB63594" w14:textId="77777777" w:rsidR="00053D93" w:rsidRDefault="00260B75">
                  <w:r>
                    <w:rPr>
                      <w:sz w:val="20"/>
                    </w:rPr>
                    <w:t>de</w:t>
                  </w:r>
                </w:p>
              </w:tc>
              <w:tc>
                <w:tcPr>
                  <w:tcW w:w="1066" w:type="dxa"/>
                  <w:tcBorders>
                    <w:top w:val="single" w:sz="2" w:space="0" w:color="000000"/>
                    <w:left w:val="single" w:sz="2" w:space="0" w:color="000000"/>
                    <w:bottom w:val="single" w:sz="2" w:space="0" w:color="000000"/>
                    <w:right w:val="single" w:sz="2" w:space="0" w:color="000000"/>
                  </w:tcBorders>
                </w:tcPr>
                <w:p w14:paraId="52326B85" w14:textId="77777777" w:rsidR="00053D93" w:rsidRDefault="00260B75">
                  <w:pPr>
                    <w:spacing w:line="314" w:lineRule="auto"/>
                    <w:ind w:left="108"/>
                  </w:pPr>
                  <w:r>
                    <w:rPr>
                      <w:rFonts w:ascii="Times New Roman" w:eastAsia="Times New Roman" w:hAnsi="Times New Roman" w:cs="Times New Roman"/>
                      <w:sz w:val="18"/>
                    </w:rPr>
                    <w:t>26</w:t>
                  </w:r>
                  <w:r>
                    <w:rPr>
                      <w:rFonts w:ascii="Times New Roman" w:eastAsia="Times New Roman" w:hAnsi="Times New Roman" w:cs="Times New Roman"/>
                      <w:sz w:val="18"/>
                    </w:rPr>
                    <w:tab/>
                  </w:r>
                  <w:r>
                    <w:rPr>
                      <w:sz w:val="18"/>
                    </w:rPr>
                    <w:t>de noviembre</w:t>
                  </w:r>
                </w:p>
                <w:p w14:paraId="7353B7C9" w14:textId="77777777" w:rsidR="00053D93" w:rsidRDefault="00260B75">
                  <w:pPr>
                    <w:ind w:left="115"/>
                  </w:pPr>
                  <w:r>
                    <w:rPr>
                      <w:rFonts w:ascii="Times New Roman" w:eastAsia="Times New Roman" w:hAnsi="Times New Roman" w:cs="Times New Roman"/>
                      <w:sz w:val="18"/>
                    </w:rPr>
                    <w:t>2024</w:t>
                  </w:r>
                </w:p>
              </w:tc>
              <w:tc>
                <w:tcPr>
                  <w:tcW w:w="1135" w:type="dxa"/>
                  <w:tcBorders>
                    <w:top w:val="single" w:sz="2" w:space="0" w:color="000000"/>
                    <w:left w:val="single" w:sz="2" w:space="0" w:color="000000"/>
                    <w:bottom w:val="single" w:sz="2" w:space="0" w:color="000000"/>
                    <w:right w:val="single" w:sz="2" w:space="0" w:color="000000"/>
                  </w:tcBorders>
                </w:tcPr>
                <w:p w14:paraId="6DBE9E7E" w14:textId="77777777" w:rsidR="00053D93" w:rsidRDefault="00260B75">
                  <w:pPr>
                    <w:ind w:right="19"/>
                    <w:jc w:val="center"/>
                  </w:pPr>
                  <w:r>
                    <w:rPr>
                      <w:rFonts w:ascii="Times New Roman" w:eastAsia="Times New Roman" w:hAnsi="Times New Roman" w:cs="Times New Roman"/>
                      <w:sz w:val="18"/>
                    </w:rPr>
                    <w:t>25</w:t>
                  </w:r>
                </w:p>
              </w:tc>
              <w:tc>
                <w:tcPr>
                  <w:tcW w:w="1238" w:type="dxa"/>
                  <w:tcBorders>
                    <w:top w:val="single" w:sz="2" w:space="0" w:color="000000"/>
                    <w:left w:val="single" w:sz="2" w:space="0" w:color="000000"/>
                    <w:bottom w:val="single" w:sz="2" w:space="0" w:color="000000"/>
                    <w:right w:val="single" w:sz="2" w:space="0" w:color="000000"/>
                  </w:tcBorders>
                </w:tcPr>
                <w:p w14:paraId="44D32702" w14:textId="77777777" w:rsidR="00053D93" w:rsidRDefault="00260B75">
                  <w:pPr>
                    <w:ind w:right="24"/>
                    <w:jc w:val="center"/>
                  </w:pPr>
                  <w:r>
                    <w:rPr>
                      <w:rFonts w:ascii="Times New Roman" w:eastAsia="Times New Roman" w:hAnsi="Times New Roman" w:cs="Times New Roman"/>
                      <w:sz w:val="20"/>
                    </w:rPr>
                    <w:t>38584</w:t>
                  </w:r>
                </w:p>
              </w:tc>
              <w:tc>
                <w:tcPr>
                  <w:tcW w:w="1623" w:type="dxa"/>
                  <w:tcBorders>
                    <w:top w:val="single" w:sz="2" w:space="0" w:color="000000"/>
                    <w:left w:val="single" w:sz="2" w:space="0" w:color="000000"/>
                    <w:bottom w:val="single" w:sz="2" w:space="0" w:color="000000"/>
                    <w:right w:val="single" w:sz="2" w:space="0" w:color="000000"/>
                  </w:tcBorders>
                </w:tcPr>
                <w:p w14:paraId="738C4C78" w14:textId="77777777" w:rsidR="00053D93" w:rsidRDefault="00260B75">
                  <w:pPr>
                    <w:ind w:right="26"/>
                    <w:jc w:val="center"/>
                  </w:pPr>
                  <w:r>
                    <w:rPr>
                      <w:rFonts w:ascii="Times New Roman" w:eastAsia="Times New Roman" w:hAnsi="Times New Roman" w:cs="Times New Roman"/>
                      <w:sz w:val="20"/>
                    </w:rPr>
                    <w:t>86-2024</w:t>
                  </w:r>
                </w:p>
              </w:tc>
            </w:tr>
            <w:tr w:rsidR="00053D93" w14:paraId="5217D9B0" w14:textId="77777777">
              <w:trPr>
                <w:trHeight w:val="1456"/>
              </w:trPr>
              <w:tc>
                <w:tcPr>
                  <w:tcW w:w="413" w:type="dxa"/>
                  <w:tcBorders>
                    <w:top w:val="single" w:sz="2" w:space="0" w:color="000000"/>
                    <w:left w:val="single" w:sz="2" w:space="0" w:color="000000"/>
                    <w:bottom w:val="single" w:sz="2" w:space="0" w:color="000000"/>
                    <w:right w:val="single" w:sz="2" w:space="0" w:color="000000"/>
                  </w:tcBorders>
                </w:tcPr>
                <w:p w14:paraId="0CB3844F" w14:textId="77777777" w:rsidR="00053D93" w:rsidRDefault="00053D93"/>
              </w:tc>
              <w:tc>
                <w:tcPr>
                  <w:tcW w:w="1502" w:type="dxa"/>
                  <w:gridSpan w:val="2"/>
                  <w:tcBorders>
                    <w:top w:val="single" w:sz="2" w:space="0" w:color="000000"/>
                    <w:left w:val="single" w:sz="2" w:space="0" w:color="000000"/>
                    <w:bottom w:val="single" w:sz="2" w:space="0" w:color="000000"/>
                    <w:right w:val="single" w:sz="2" w:space="0" w:color="000000"/>
                  </w:tcBorders>
                </w:tcPr>
                <w:p w14:paraId="5DE78D62" w14:textId="77777777" w:rsidR="00053D93" w:rsidRDefault="00260B75">
                  <w:pPr>
                    <w:ind w:left="185"/>
                  </w:pPr>
                  <w:r>
                    <w:rPr>
                      <w:noProof/>
                    </w:rPr>
                    <w:drawing>
                      <wp:inline distT="0" distB="0" distL="0" distR="0" wp14:anchorId="5760E3FA" wp14:editId="3B16CBDB">
                        <wp:extent cx="758952" cy="809244"/>
                        <wp:effectExtent l="0" t="0" r="0" b="0"/>
                        <wp:docPr id="549963" name="Picture 549963"/>
                        <wp:cNvGraphicFramePr/>
                        <a:graphic xmlns:a="http://schemas.openxmlformats.org/drawingml/2006/main">
                          <a:graphicData uri="http://schemas.openxmlformats.org/drawingml/2006/picture">
                            <pic:pic xmlns:pic="http://schemas.openxmlformats.org/drawingml/2006/picture">
                              <pic:nvPicPr>
                                <pic:cNvPr id="549963" name="Picture 549963"/>
                                <pic:cNvPicPr/>
                              </pic:nvPicPr>
                              <pic:blipFill>
                                <a:blip r:embed="rId827"/>
                                <a:stretch>
                                  <a:fillRect/>
                                </a:stretch>
                              </pic:blipFill>
                              <pic:spPr>
                                <a:xfrm>
                                  <a:off x="0" y="0"/>
                                  <a:ext cx="758952" cy="809244"/>
                                </a:xfrm>
                                <a:prstGeom prst="rect">
                                  <a:avLst/>
                                </a:prstGeom>
                              </pic:spPr>
                            </pic:pic>
                          </a:graphicData>
                        </a:graphic>
                      </wp:inline>
                    </w:drawing>
                  </w:r>
                </w:p>
              </w:tc>
              <w:tc>
                <w:tcPr>
                  <w:tcW w:w="1109" w:type="dxa"/>
                  <w:tcBorders>
                    <w:top w:val="single" w:sz="2" w:space="0" w:color="000000"/>
                    <w:left w:val="single" w:sz="2" w:space="0" w:color="000000"/>
                    <w:bottom w:val="single" w:sz="2" w:space="0" w:color="000000"/>
                    <w:right w:val="nil"/>
                  </w:tcBorders>
                </w:tcPr>
                <w:p w14:paraId="1727DBC5" w14:textId="77777777" w:rsidR="00053D93" w:rsidRDefault="00260B75">
                  <w:pPr>
                    <w:ind w:left="115"/>
                  </w:pPr>
                  <w:r>
                    <w:rPr>
                      <w:noProof/>
                    </w:rPr>
                    <w:drawing>
                      <wp:inline distT="0" distB="0" distL="0" distR="0" wp14:anchorId="749768D2" wp14:editId="6F9D3F71">
                        <wp:extent cx="489204" cy="251460"/>
                        <wp:effectExtent l="0" t="0" r="0" b="0"/>
                        <wp:docPr id="549828" name="Picture 549828"/>
                        <wp:cNvGraphicFramePr/>
                        <a:graphic xmlns:a="http://schemas.openxmlformats.org/drawingml/2006/main">
                          <a:graphicData uri="http://schemas.openxmlformats.org/drawingml/2006/picture">
                            <pic:pic xmlns:pic="http://schemas.openxmlformats.org/drawingml/2006/picture">
                              <pic:nvPicPr>
                                <pic:cNvPr id="549828" name="Picture 549828"/>
                                <pic:cNvPicPr/>
                              </pic:nvPicPr>
                              <pic:blipFill>
                                <a:blip r:embed="rId828"/>
                                <a:stretch>
                                  <a:fillRect/>
                                </a:stretch>
                              </pic:blipFill>
                              <pic:spPr>
                                <a:xfrm>
                                  <a:off x="0" y="0"/>
                                  <a:ext cx="489204" cy="251460"/>
                                </a:xfrm>
                                <a:prstGeom prst="rect">
                                  <a:avLst/>
                                </a:prstGeom>
                              </pic:spPr>
                            </pic:pic>
                          </a:graphicData>
                        </a:graphic>
                      </wp:inline>
                    </w:drawing>
                  </w:r>
                </w:p>
              </w:tc>
              <w:tc>
                <w:tcPr>
                  <w:tcW w:w="310" w:type="dxa"/>
                  <w:tcBorders>
                    <w:top w:val="single" w:sz="2" w:space="0" w:color="000000"/>
                    <w:left w:val="nil"/>
                    <w:bottom w:val="single" w:sz="2" w:space="0" w:color="000000"/>
                    <w:right w:val="single" w:sz="2" w:space="0" w:color="000000"/>
                  </w:tcBorders>
                </w:tcPr>
                <w:p w14:paraId="6F26CF02" w14:textId="77777777" w:rsidR="00053D93" w:rsidRDefault="00053D93"/>
              </w:tc>
              <w:tc>
                <w:tcPr>
                  <w:tcW w:w="1066" w:type="dxa"/>
                  <w:tcBorders>
                    <w:top w:val="single" w:sz="2" w:space="0" w:color="000000"/>
                    <w:left w:val="single" w:sz="2" w:space="0" w:color="000000"/>
                    <w:bottom w:val="single" w:sz="2" w:space="0" w:color="000000"/>
                    <w:right w:val="single" w:sz="2" w:space="0" w:color="000000"/>
                  </w:tcBorders>
                </w:tcPr>
                <w:p w14:paraId="3EE073A4" w14:textId="77777777" w:rsidR="00053D93" w:rsidRDefault="00260B75">
                  <w:pPr>
                    <w:ind w:left="108"/>
                  </w:pPr>
                  <w:r>
                    <w:rPr>
                      <w:noProof/>
                    </w:rPr>
                    <w:drawing>
                      <wp:inline distT="0" distB="0" distL="0" distR="0" wp14:anchorId="7E97B554" wp14:editId="1D144B48">
                        <wp:extent cx="525780" cy="374904"/>
                        <wp:effectExtent l="0" t="0" r="0" b="0"/>
                        <wp:docPr id="549804" name="Picture 549804"/>
                        <wp:cNvGraphicFramePr/>
                        <a:graphic xmlns:a="http://schemas.openxmlformats.org/drawingml/2006/main">
                          <a:graphicData uri="http://schemas.openxmlformats.org/drawingml/2006/picture">
                            <pic:pic xmlns:pic="http://schemas.openxmlformats.org/drawingml/2006/picture">
                              <pic:nvPicPr>
                                <pic:cNvPr id="549804" name="Picture 549804"/>
                                <pic:cNvPicPr/>
                              </pic:nvPicPr>
                              <pic:blipFill>
                                <a:blip r:embed="rId829"/>
                                <a:stretch>
                                  <a:fillRect/>
                                </a:stretch>
                              </pic:blipFill>
                              <pic:spPr>
                                <a:xfrm>
                                  <a:off x="0" y="0"/>
                                  <a:ext cx="525780" cy="374904"/>
                                </a:xfrm>
                                <a:prstGeom prst="rect">
                                  <a:avLst/>
                                </a:prstGeom>
                              </pic:spPr>
                            </pic:pic>
                          </a:graphicData>
                        </a:graphic>
                      </wp:inline>
                    </w:drawing>
                  </w:r>
                </w:p>
              </w:tc>
              <w:tc>
                <w:tcPr>
                  <w:tcW w:w="1135" w:type="dxa"/>
                  <w:tcBorders>
                    <w:top w:val="single" w:sz="2" w:space="0" w:color="000000"/>
                    <w:left w:val="single" w:sz="2" w:space="0" w:color="000000"/>
                    <w:bottom w:val="single" w:sz="2" w:space="0" w:color="000000"/>
                    <w:right w:val="single" w:sz="2" w:space="0" w:color="000000"/>
                  </w:tcBorders>
                </w:tcPr>
                <w:p w14:paraId="43C1346B" w14:textId="77777777" w:rsidR="00053D93" w:rsidRDefault="00053D93"/>
              </w:tc>
              <w:tc>
                <w:tcPr>
                  <w:tcW w:w="1238" w:type="dxa"/>
                  <w:tcBorders>
                    <w:top w:val="single" w:sz="2" w:space="0" w:color="000000"/>
                    <w:left w:val="single" w:sz="2" w:space="0" w:color="000000"/>
                    <w:bottom w:val="single" w:sz="2" w:space="0" w:color="000000"/>
                    <w:right w:val="single" w:sz="2" w:space="0" w:color="000000"/>
                  </w:tcBorders>
                </w:tcPr>
                <w:p w14:paraId="6604BE8A" w14:textId="77777777" w:rsidR="00053D93" w:rsidRDefault="00053D93"/>
              </w:tc>
              <w:tc>
                <w:tcPr>
                  <w:tcW w:w="1623" w:type="dxa"/>
                  <w:tcBorders>
                    <w:top w:val="single" w:sz="2" w:space="0" w:color="000000"/>
                    <w:left w:val="single" w:sz="2" w:space="0" w:color="000000"/>
                    <w:bottom w:val="single" w:sz="2" w:space="0" w:color="000000"/>
                    <w:right w:val="single" w:sz="2" w:space="0" w:color="000000"/>
                  </w:tcBorders>
                </w:tcPr>
                <w:p w14:paraId="5F0EB3E2" w14:textId="77777777" w:rsidR="00053D93" w:rsidRDefault="00053D93"/>
              </w:tc>
            </w:tr>
            <w:tr w:rsidR="00053D93" w14:paraId="4E687BCB" w14:textId="77777777">
              <w:trPr>
                <w:trHeight w:val="1165"/>
              </w:trPr>
              <w:tc>
                <w:tcPr>
                  <w:tcW w:w="413" w:type="dxa"/>
                  <w:tcBorders>
                    <w:top w:val="single" w:sz="2" w:space="0" w:color="000000"/>
                    <w:left w:val="single" w:sz="2" w:space="0" w:color="000000"/>
                    <w:bottom w:val="single" w:sz="2" w:space="0" w:color="000000"/>
                    <w:right w:val="single" w:sz="2" w:space="0" w:color="000000"/>
                  </w:tcBorders>
                </w:tcPr>
                <w:p w14:paraId="7807270D" w14:textId="77777777" w:rsidR="00053D93" w:rsidRDefault="00053D93"/>
              </w:tc>
              <w:tc>
                <w:tcPr>
                  <w:tcW w:w="1502" w:type="dxa"/>
                  <w:gridSpan w:val="2"/>
                  <w:tcBorders>
                    <w:top w:val="single" w:sz="2" w:space="0" w:color="000000"/>
                    <w:left w:val="single" w:sz="2" w:space="0" w:color="000000"/>
                    <w:bottom w:val="single" w:sz="2" w:space="0" w:color="000000"/>
                    <w:right w:val="single" w:sz="2" w:space="0" w:color="000000"/>
                  </w:tcBorders>
                  <w:vAlign w:val="bottom"/>
                </w:tcPr>
                <w:p w14:paraId="45721010" w14:textId="77777777" w:rsidR="00053D93" w:rsidRDefault="00260B75">
                  <w:pPr>
                    <w:tabs>
                      <w:tab w:val="center" w:pos="491"/>
                      <w:tab w:val="right" w:pos="1495"/>
                    </w:tabs>
                  </w:pPr>
                  <w:r>
                    <w:tab/>
                    <w:t>Normal</w:t>
                  </w:r>
                  <w:r>
                    <w:tab/>
                    <w:t>de</w:t>
                  </w:r>
                </w:p>
                <w:p w14:paraId="43DF16D8" w14:textId="77777777" w:rsidR="00053D93" w:rsidRDefault="00260B75">
                  <w:pPr>
                    <w:ind w:left="192"/>
                  </w:pPr>
                  <w:r>
                    <w:t>Educación</w:t>
                  </w:r>
                </w:p>
                <w:p w14:paraId="607C3EEC" w14:textId="77777777" w:rsidR="00053D93" w:rsidRDefault="00260B75">
                  <w:pPr>
                    <w:ind w:left="69"/>
                    <w:jc w:val="center"/>
                  </w:pPr>
                  <w:r>
                    <w:rPr>
                      <w:sz w:val="20"/>
                    </w:rPr>
                    <w:t>Asica, Sololá,</w:t>
                  </w:r>
                </w:p>
                <w:p w14:paraId="1986D780" w14:textId="77777777" w:rsidR="00053D93" w:rsidRDefault="00260B75">
                  <w:pPr>
                    <w:ind w:left="192"/>
                  </w:pPr>
                  <w:r>
                    <w:rPr>
                      <w:sz w:val="20"/>
                    </w:rPr>
                    <w:t>Sololá</w:t>
                  </w:r>
                </w:p>
              </w:tc>
              <w:tc>
                <w:tcPr>
                  <w:tcW w:w="1109" w:type="dxa"/>
                  <w:tcBorders>
                    <w:top w:val="single" w:sz="2" w:space="0" w:color="000000"/>
                    <w:left w:val="single" w:sz="2" w:space="0" w:color="000000"/>
                    <w:bottom w:val="single" w:sz="2" w:space="0" w:color="000000"/>
                    <w:right w:val="nil"/>
                  </w:tcBorders>
                </w:tcPr>
                <w:p w14:paraId="65061553" w14:textId="77777777" w:rsidR="00053D93" w:rsidRDefault="00260B75">
                  <w:pPr>
                    <w:ind w:left="122"/>
                  </w:pPr>
                  <w:r>
                    <w:t>Escaleras agilidad</w:t>
                  </w:r>
                </w:p>
              </w:tc>
              <w:tc>
                <w:tcPr>
                  <w:tcW w:w="310" w:type="dxa"/>
                  <w:tcBorders>
                    <w:top w:val="single" w:sz="2" w:space="0" w:color="000000"/>
                    <w:left w:val="nil"/>
                    <w:bottom w:val="single" w:sz="2" w:space="0" w:color="000000"/>
                    <w:right w:val="single" w:sz="2" w:space="0" w:color="000000"/>
                  </w:tcBorders>
                </w:tcPr>
                <w:p w14:paraId="356D0A76" w14:textId="77777777" w:rsidR="00053D93" w:rsidRDefault="00260B75">
                  <w:r>
                    <w:rPr>
                      <w:sz w:val="20"/>
                    </w:rPr>
                    <w:t>de</w:t>
                  </w:r>
                </w:p>
              </w:tc>
              <w:tc>
                <w:tcPr>
                  <w:tcW w:w="1066" w:type="dxa"/>
                  <w:tcBorders>
                    <w:top w:val="single" w:sz="2" w:space="0" w:color="000000"/>
                    <w:left w:val="single" w:sz="2" w:space="0" w:color="000000"/>
                    <w:bottom w:val="single" w:sz="2" w:space="0" w:color="000000"/>
                    <w:right w:val="single" w:sz="2" w:space="0" w:color="000000"/>
                  </w:tcBorders>
                </w:tcPr>
                <w:p w14:paraId="33372DA1" w14:textId="77777777" w:rsidR="00053D93" w:rsidRDefault="00260B75">
                  <w:pPr>
                    <w:spacing w:line="283" w:lineRule="auto"/>
                    <w:ind w:left="115" w:right="101"/>
                  </w:pPr>
                  <w:r>
                    <w:rPr>
                      <w:rFonts w:ascii="Times New Roman" w:eastAsia="Times New Roman" w:hAnsi="Times New Roman" w:cs="Times New Roman"/>
                      <w:sz w:val="20"/>
                    </w:rPr>
                    <w:t xml:space="preserve">9 </w:t>
                  </w:r>
                  <w:r>
                    <w:rPr>
                      <w:sz w:val="20"/>
                    </w:rPr>
                    <w:t>diciembre</w:t>
                  </w:r>
                </w:p>
                <w:p w14:paraId="66DE4E61" w14:textId="77777777" w:rsidR="00053D93" w:rsidRDefault="00260B75">
                  <w:pPr>
                    <w:ind w:left="115"/>
                  </w:pPr>
                  <w:r>
                    <w:rPr>
                      <w:rFonts w:ascii="Times New Roman" w:eastAsia="Times New Roman" w:hAnsi="Times New Roman" w:cs="Times New Roman"/>
                      <w:sz w:val="18"/>
                    </w:rPr>
                    <w:t>2024</w:t>
                  </w:r>
                </w:p>
              </w:tc>
              <w:tc>
                <w:tcPr>
                  <w:tcW w:w="1135" w:type="dxa"/>
                  <w:tcBorders>
                    <w:top w:val="single" w:sz="2" w:space="0" w:color="000000"/>
                    <w:left w:val="single" w:sz="2" w:space="0" w:color="000000"/>
                    <w:bottom w:val="single" w:sz="2" w:space="0" w:color="000000"/>
                    <w:right w:val="single" w:sz="2" w:space="0" w:color="000000"/>
                  </w:tcBorders>
                </w:tcPr>
                <w:p w14:paraId="7971D7B8" w14:textId="77777777" w:rsidR="00053D93" w:rsidRDefault="00260B75">
                  <w:pPr>
                    <w:ind w:left="2"/>
                    <w:jc w:val="center"/>
                  </w:pPr>
                  <w:r>
                    <w:rPr>
                      <w:rFonts w:ascii="Times New Roman" w:eastAsia="Times New Roman" w:hAnsi="Times New Roman" w:cs="Times New Roman"/>
                      <w:sz w:val="18"/>
                    </w:rPr>
                    <w:t>50</w:t>
                  </w:r>
                </w:p>
              </w:tc>
              <w:tc>
                <w:tcPr>
                  <w:tcW w:w="1238" w:type="dxa"/>
                  <w:tcBorders>
                    <w:top w:val="single" w:sz="2" w:space="0" w:color="000000"/>
                    <w:left w:val="single" w:sz="2" w:space="0" w:color="000000"/>
                    <w:bottom w:val="single" w:sz="2" w:space="0" w:color="000000"/>
                    <w:right w:val="single" w:sz="2" w:space="0" w:color="000000"/>
                  </w:tcBorders>
                </w:tcPr>
                <w:p w14:paraId="1F6DB10C" w14:textId="77777777" w:rsidR="00053D93" w:rsidRDefault="00260B75">
                  <w:pPr>
                    <w:ind w:right="2"/>
                    <w:jc w:val="center"/>
                  </w:pPr>
                  <w:r>
                    <w:rPr>
                      <w:rFonts w:ascii="Times New Roman" w:eastAsia="Times New Roman" w:hAnsi="Times New Roman" w:cs="Times New Roman"/>
                      <w:sz w:val="20"/>
                    </w:rPr>
                    <w:t>38607</w:t>
                  </w:r>
                </w:p>
              </w:tc>
              <w:tc>
                <w:tcPr>
                  <w:tcW w:w="1623" w:type="dxa"/>
                  <w:tcBorders>
                    <w:top w:val="single" w:sz="2" w:space="0" w:color="000000"/>
                    <w:left w:val="single" w:sz="2" w:space="0" w:color="000000"/>
                    <w:bottom w:val="single" w:sz="2" w:space="0" w:color="000000"/>
                    <w:right w:val="single" w:sz="2" w:space="0" w:color="000000"/>
                  </w:tcBorders>
                </w:tcPr>
                <w:p w14:paraId="4E2DCEEF" w14:textId="77777777" w:rsidR="00053D93" w:rsidRDefault="00260B75">
                  <w:pPr>
                    <w:ind w:right="5"/>
                    <w:jc w:val="center"/>
                  </w:pPr>
                  <w:r>
                    <w:rPr>
                      <w:rFonts w:ascii="Times New Roman" w:eastAsia="Times New Roman" w:hAnsi="Times New Roman" w:cs="Times New Roman"/>
                      <w:sz w:val="20"/>
                    </w:rPr>
                    <w:t>97-2024</w:t>
                  </w:r>
                </w:p>
              </w:tc>
            </w:tr>
            <w:tr w:rsidR="00053D93" w14:paraId="245C5E21" w14:textId="77777777">
              <w:trPr>
                <w:trHeight w:val="1390"/>
              </w:trPr>
              <w:tc>
                <w:tcPr>
                  <w:tcW w:w="413" w:type="dxa"/>
                  <w:tcBorders>
                    <w:top w:val="single" w:sz="2" w:space="0" w:color="000000"/>
                    <w:left w:val="single" w:sz="2" w:space="0" w:color="000000"/>
                    <w:bottom w:val="single" w:sz="2" w:space="0" w:color="000000"/>
                    <w:right w:val="single" w:sz="2" w:space="0" w:color="000000"/>
                  </w:tcBorders>
                </w:tcPr>
                <w:p w14:paraId="1961F3D7" w14:textId="77777777" w:rsidR="00053D93" w:rsidRDefault="00053D93"/>
              </w:tc>
              <w:tc>
                <w:tcPr>
                  <w:tcW w:w="1502" w:type="dxa"/>
                  <w:gridSpan w:val="2"/>
                  <w:tcBorders>
                    <w:top w:val="single" w:sz="2" w:space="0" w:color="000000"/>
                    <w:left w:val="single" w:sz="2" w:space="0" w:color="000000"/>
                    <w:bottom w:val="single" w:sz="2" w:space="0" w:color="000000"/>
                    <w:right w:val="single" w:sz="2" w:space="0" w:color="000000"/>
                  </w:tcBorders>
                  <w:vAlign w:val="bottom"/>
                </w:tcPr>
                <w:p w14:paraId="5DD43175" w14:textId="77777777" w:rsidR="00053D93" w:rsidRDefault="00260B75">
                  <w:pPr>
                    <w:tabs>
                      <w:tab w:val="center" w:pos="487"/>
                      <w:tab w:val="right" w:pos="1495"/>
                    </w:tabs>
                  </w:pPr>
                  <w:r>
                    <w:rPr>
                      <w:sz w:val="20"/>
                    </w:rPr>
                    <w:tab/>
                    <w:t>Normal</w:t>
                  </w:r>
                  <w:r>
                    <w:rPr>
                      <w:sz w:val="20"/>
                    </w:rPr>
                    <w:tab/>
                    <w:t>de</w:t>
                  </w:r>
                </w:p>
                <w:p w14:paraId="307A31BE" w14:textId="77777777" w:rsidR="00053D93" w:rsidRDefault="00260B75">
                  <w:pPr>
                    <w:spacing w:after="221"/>
                    <w:ind w:left="199"/>
                  </w:pPr>
                  <w:r>
                    <w:t>Educación</w:t>
                  </w:r>
                </w:p>
                <w:p w14:paraId="5AD31080" w14:textId="77777777" w:rsidR="00053D93" w:rsidRDefault="00260B75">
                  <w:pPr>
                    <w:ind w:left="76"/>
                    <w:jc w:val="center"/>
                  </w:pPr>
                  <w:r>
                    <w:rPr>
                      <w:sz w:val="20"/>
                    </w:rPr>
                    <w:t>Guastatoya El</w:t>
                  </w:r>
                </w:p>
                <w:p w14:paraId="6E2CED77" w14:textId="77777777" w:rsidR="00053D93" w:rsidRDefault="00260B75">
                  <w:pPr>
                    <w:ind w:left="192"/>
                  </w:pPr>
                  <w:r>
                    <w:rPr>
                      <w:sz w:val="20"/>
                    </w:rPr>
                    <w:t>Progreso</w:t>
                  </w:r>
                </w:p>
              </w:tc>
              <w:tc>
                <w:tcPr>
                  <w:tcW w:w="1109" w:type="dxa"/>
                  <w:tcBorders>
                    <w:top w:val="single" w:sz="2" w:space="0" w:color="000000"/>
                    <w:left w:val="single" w:sz="2" w:space="0" w:color="000000"/>
                    <w:bottom w:val="single" w:sz="2" w:space="0" w:color="000000"/>
                    <w:right w:val="nil"/>
                  </w:tcBorders>
                </w:tcPr>
                <w:p w14:paraId="4C9EEECF" w14:textId="77777777" w:rsidR="00053D93" w:rsidRDefault="00260B75">
                  <w:pPr>
                    <w:ind w:left="122" w:firstLine="7"/>
                  </w:pPr>
                  <w:r>
                    <w:t>Escaleras agilidad</w:t>
                  </w:r>
                </w:p>
              </w:tc>
              <w:tc>
                <w:tcPr>
                  <w:tcW w:w="310" w:type="dxa"/>
                  <w:tcBorders>
                    <w:top w:val="single" w:sz="2" w:space="0" w:color="000000"/>
                    <w:left w:val="nil"/>
                    <w:bottom w:val="single" w:sz="2" w:space="0" w:color="000000"/>
                    <w:right w:val="single" w:sz="2" w:space="0" w:color="000000"/>
                  </w:tcBorders>
                </w:tcPr>
                <w:p w14:paraId="083C495A" w14:textId="77777777" w:rsidR="00053D93" w:rsidRDefault="00260B75">
                  <w:pPr>
                    <w:ind w:left="7"/>
                  </w:pPr>
                  <w:r>
                    <w:rPr>
                      <w:sz w:val="20"/>
                    </w:rPr>
                    <w:t>de</w:t>
                  </w:r>
                </w:p>
              </w:tc>
              <w:tc>
                <w:tcPr>
                  <w:tcW w:w="1066" w:type="dxa"/>
                  <w:tcBorders>
                    <w:top w:val="single" w:sz="2" w:space="0" w:color="000000"/>
                    <w:left w:val="single" w:sz="2" w:space="0" w:color="000000"/>
                    <w:bottom w:val="single" w:sz="2" w:space="0" w:color="000000"/>
                    <w:right w:val="single" w:sz="2" w:space="0" w:color="000000"/>
                  </w:tcBorders>
                </w:tcPr>
                <w:p w14:paraId="0BD6C67C" w14:textId="77777777" w:rsidR="00053D93" w:rsidRDefault="00260B75">
                  <w:pPr>
                    <w:spacing w:line="283" w:lineRule="auto"/>
                    <w:ind w:left="115" w:right="101" w:firstLine="7"/>
                  </w:pPr>
                  <w:r>
                    <w:rPr>
                      <w:rFonts w:ascii="Times New Roman" w:eastAsia="Times New Roman" w:hAnsi="Times New Roman" w:cs="Times New Roman"/>
                      <w:sz w:val="20"/>
                    </w:rPr>
                    <w:t xml:space="preserve">9 </w:t>
                  </w:r>
                  <w:r>
                    <w:rPr>
                      <w:sz w:val="20"/>
                    </w:rPr>
                    <w:t>diciembre</w:t>
                  </w:r>
                </w:p>
                <w:p w14:paraId="49892CC8" w14:textId="77777777" w:rsidR="00053D93" w:rsidRDefault="00260B75">
                  <w:pPr>
                    <w:ind w:left="122"/>
                  </w:pPr>
                  <w:r>
                    <w:rPr>
                      <w:rFonts w:ascii="Times New Roman" w:eastAsia="Times New Roman" w:hAnsi="Times New Roman" w:cs="Times New Roman"/>
                      <w:sz w:val="18"/>
                    </w:rPr>
                    <w:t>2024</w:t>
                  </w:r>
                </w:p>
              </w:tc>
              <w:tc>
                <w:tcPr>
                  <w:tcW w:w="1135" w:type="dxa"/>
                  <w:tcBorders>
                    <w:top w:val="single" w:sz="2" w:space="0" w:color="000000"/>
                    <w:left w:val="single" w:sz="2" w:space="0" w:color="000000"/>
                    <w:bottom w:val="single" w:sz="2" w:space="0" w:color="000000"/>
                    <w:right w:val="single" w:sz="2" w:space="0" w:color="000000"/>
                  </w:tcBorders>
                </w:tcPr>
                <w:p w14:paraId="2E87D52A" w14:textId="77777777" w:rsidR="00053D93" w:rsidRDefault="00260B75">
                  <w:pPr>
                    <w:ind w:right="5"/>
                    <w:jc w:val="center"/>
                  </w:pPr>
                  <w:r>
                    <w:rPr>
                      <w:rFonts w:ascii="Times New Roman" w:eastAsia="Times New Roman" w:hAnsi="Times New Roman" w:cs="Times New Roman"/>
                      <w:sz w:val="18"/>
                    </w:rPr>
                    <w:t>25</w:t>
                  </w:r>
                </w:p>
              </w:tc>
              <w:tc>
                <w:tcPr>
                  <w:tcW w:w="1238" w:type="dxa"/>
                  <w:tcBorders>
                    <w:top w:val="single" w:sz="2" w:space="0" w:color="000000"/>
                    <w:left w:val="single" w:sz="2" w:space="0" w:color="000000"/>
                    <w:bottom w:val="single" w:sz="2" w:space="0" w:color="000000"/>
                    <w:right w:val="single" w:sz="2" w:space="0" w:color="000000"/>
                  </w:tcBorders>
                </w:tcPr>
                <w:p w14:paraId="2C09844D" w14:textId="77777777" w:rsidR="00053D93" w:rsidRDefault="00260B75">
                  <w:pPr>
                    <w:ind w:left="5"/>
                    <w:jc w:val="center"/>
                  </w:pPr>
                  <w:r>
                    <w:rPr>
                      <w:rFonts w:ascii="Times New Roman" w:eastAsia="Times New Roman" w:hAnsi="Times New Roman" w:cs="Times New Roman"/>
                      <w:sz w:val="20"/>
                    </w:rPr>
                    <w:t>38602</w:t>
                  </w:r>
                </w:p>
              </w:tc>
              <w:tc>
                <w:tcPr>
                  <w:tcW w:w="1623" w:type="dxa"/>
                  <w:tcBorders>
                    <w:top w:val="single" w:sz="2" w:space="0" w:color="000000"/>
                    <w:left w:val="single" w:sz="2" w:space="0" w:color="000000"/>
                    <w:bottom w:val="single" w:sz="2" w:space="0" w:color="000000"/>
                    <w:right w:val="single" w:sz="2" w:space="0" w:color="000000"/>
                  </w:tcBorders>
                </w:tcPr>
                <w:p w14:paraId="042541DD" w14:textId="77777777" w:rsidR="00053D93" w:rsidRDefault="00260B75">
                  <w:pPr>
                    <w:ind w:left="2"/>
                    <w:jc w:val="center"/>
                  </w:pPr>
                  <w:r>
                    <w:rPr>
                      <w:rFonts w:ascii="Times New Roman" w:eastAsia="Times New Roman" w:hAnsi="Times New Roman" w:cs="Times New Roman"/>
                      <w:sz w:val="20"/>
                    </w:rPr>
                    <w:t>95-2024</w:t>
                  </w:r>
                </w:p>
              </w:tc>
            </w:tr>
            <w:tr w:rsidR="00053D93" w14:paraId="54DC0AD2" w14:textId="77777777">
              <w:trPr>
                <w:trHeight w:val="1166"/>
              </w:trPr>
              <w:tc>
                <w:tcPr>
                  <w:tcW w:w="413" w:type="dxa"/>
                  <w:tcBorders>
                    <w:top w:val="single" w:sz="2" w:space="0" w:color="000000"/>
                    <w:left w:val="single" w:sz="2" w:space="0" w:color="000000"/>
                    <w:bottom w:val="single" w:sz="2" w:space="0" w:color="000000"/>
                    <w:right w:val="single" w:sz="2" w:space="0" w:color="000000"/>
                  </w:tcBorders>
                </w:tcPr>
                <w:p w14:paraId="0693DD3A" w14:textId="77777777" w:rsidR="00053D93" w:rsidRDefault="00053D93"/>
              </w:tc>
              <w:tc>
                <w:tcPr>
                  <w:tcW w:w="1502" w:type="dxa"/>
                  <w:gridSpan w:val="2"/>
                  <w:tcBorders>
                    <w:top w:val="single" w:sz="2" w:space="0" w:color="000000"/>
                    <w:left w:val="single" w:sz="2" w:space="0" w:color="000000"/>
                    <w:bottom w:val="single" w:sz="2" w:space="0" w:color="000000"/>
                    <w:right w:val="single" w:sz="2" w:space="0" w:color="000000"/>
                  </w:tcBorders>
                  <w:vAlign w:val="bottom"/>
                </w:tcPr>
                <w:p w14:paraId="719AA740" w14:textId="77777777" w:rsidR="00053D93" w:rsidRDefault="00260B75">
                  <w:pPr>
                    <w:tabs>
                      <w:tab w:val="center" w:pos="491"/>
                      <w:tab w:val="right" w:pos="1495"/>
                    </w:tabs>
                    <w:spacing w:after="4"/>
                  </w:pPr>
                  <w:r>
                    <w:tab/>
                    <w:t>Normal</w:t>
                  </w:r>
                  <w:r>
                    <w:tab/>
                    <w:t>de</w:t>
                  </w:r>
                </w:p>
                <w:p w14:paraId="550F3065" w14:textId="77777777" w:rsidR="00053D93" w:rsidRDefault="00260B75">
                  <w:pPr>
                    <w:ind w:left="192"/>
                  </w:pPr>
                  <w:r>
                    <w:t>Educación</w:t>
                  </w:r>
                </w:p>
                <w:p w14:paraId="42C06D21" w14:textId="77777777" w:rsidR="00053D93" w:rsidRDefault="00260B75">
                  <w:pPr>
                    <w:ind w:left="83"/>
                    <w:jc w:val="center"/>
                  </w:pPr>
                  <w:r>
                    <w:t>Fisica, Cobán,</w:t>
                  </w:r>
                </w:p>
                <w:p w14:paraId="6B276E0B" w14:textId="77777777" w:rsidR="00053D93" w:rsidRDefault="00260B75">
                  <w:pPr>
                    <w:ind w:left="177"/>
                  </w:pPr>
                  <w:r>
                    <w:rPr>
                      <w:sz w:val="20"/>
                    </w:rPr>
                    <w:t>Alta Verapaz</w:t>
                  </w:r>
                </w:p>
              </w:tc>
              <w:tc>
                <w:tcPr>
                  <w:tcW w:w="1109" w:type="dxa"/>
                  <w:tcBorders>
                    <w:top w:val="single" w:sz="2" w:space="0" w:color="000000"/>
                    <w:left w:val="single" w:sz="2" w:space="0" w:color="000000"/>
                    <w:bottom w:val="single" w:sz="2" w:space="0" w:color="000000"/>
                    <w:right w:val="nil"/>
                  </w:tcBorders>
                </w:tcPr>
                <w:p w14:paraId="62B57AC7" w14:textId="77777777" w:rsidR="00053D93" w:rsidRDefault="00260B75">
                  <w:pPr>
                    <w:ind w:left="122" w:firstLine="7"/>
                  </w:pPr>
                  <w:r>
                    <w:t>Escaleras agilidad</w:t>
                  </w:r>
                </w:p>
              </w:tc>
              <w:tc>
                <w:tcPr>
                  <w:tcW w:w="310" w:type="dxa"/>
                  <w:tcBorders>
                    <w:top w:val="single" w:sz="2" w:space="0" w:color="000000"/>
                    <w:left w:val="nil"/>
                    <w:bottom w:val="single" w:sz="2" w:space="0" w:color="000000"/>
                    <w:right w:val="single" w:sz="2" w:space="0" w:color="000000"/>
                  </w:tcBorders>
                </w:tcPr>
                <w:p w14:paraId="67341BF4" w14:textId="77777777" w:rsidR="00053D93" w:rsidRDefault="00260B75">
                  <w:pPr>
                    <w:ind w:left="7"/>
                  </w:pPr>
                  <w:r>
                    <w:rPr>
                      <w:sz w:val="20"/>
                    </w:rPr>
                    <w:t>de</w:t>
                  </w:r>
                </w:p>
              </w:tc>
              <w:tc>
                <w:tcPr>
                  <w:tcW w:w="1066" w:type="dxa"/>
                  <w:tcBorders>
                    <w:top w:val="single" w:sz="2" w:space="0" w:color="000000"/>
                    <w:left w:val="single" w:sz="2" w:space="0" w:color="000000"/>
                    <w:bottom w:val="single" w:sz="2" w:space="0" w:color="000000"/>
                    <w:right w:val="single" w:sz="2" w:space="0" w:color="000000"/>
                  </w:tcBorders>
                </w:tcPr>
                <w:p w14:paraId="55213C8D" w14:textId="77777777" w:rsidR="00053D93" w:rsidRDefault="00260B75">
                  <w:pPr>
                    <w:spacing w:line="288" w:lineRule="auto"/>
                    <w:ind w:left="115" w:firstLine="14"/>
                  </w:pPr>
                  <w:r>
                    <w:rPr>
                      <w:rFonts w:ascii="Times New Roman" w:eastAsia="Times New Roman" w:hAnsi="Times New Roman" w:cs="Times New Roman"/>
                      <w:sz w:val="20"/>
                    </w:rPr>
                    <w:t>1 2</w:t>
                  </w:r>
                  <w:r>
                    <w:rPr>
                      <w:rFonts w:ascii="Times New Roman" w:eastAsia="Times New Roman" w:hAnsi="Times New Roman" w:cs="Times New Roman"/>
                      <w:sz w:val="20"/>
                    </w:rPr>
                    <w:tab/>
                  </w:r>
                  <w:r>
                    <w:rPr>
                      <w:sz w:val="20"/>
                    </w:rPr>
                    <w:t>de diciembre</w:t>
                  </w:r>
                </w:p>
                <w:p w14:paraId="771CD00D" w14:textId="77777777" w:rsidR="00053D93" w:rsidRDefault="00260B75">
                  <w:pPr>
                    <w:ind w:left="115"/>
                  </w:pPr>
                  <w:r>
                    <w:rPr>
                      <w:rFonts w:ascii="Times New Roman" w:eastAsia="Times New Roman" w:hAnsi="Times New Roman" w:cs="Times New Roman"/>
                      <w:sz w:val="20"/>
                    </w:rPr>
                    <w:t>2024</w:t>
                  </w:r>
                </w:p>
              </w:tc>
              <w:tc>
                <w:tcPr>
                  <w:tcW w:w="1135" w:type="dxa"/>
                  <w:tcBorders>
                    <w:top w:val="single" w:sz="2" w:space="0" w:color="000000"/>
                    <w:left w:val="single" w:sz="2" w:space="0" w:color="000000"/>
                    <w:bottom w:val="single" w:sz="2" w:space="0" w:color="000000"/>
                    <w:right w:val="single" w:sz="2" w:space="0" w:color="000000"/>
                  </w:tcBorders>
                </w:tcPr>
                <w:p w14:paraId="276672F8" w14:textId="77777777" w:rsidR="00053D93" w:rsidRDefault="00260B75">
                  <w:pPr>
                    <w:ind w:left="10"/>
                    <w:jc w:val="center"/>
                  </w:pPr>
                  <w:r>
                    <w:rPr>
                      <w:rFonts w:ascii="Times New Roman" w:eastAsia="Times New Roman" w:hAnsi="Times New Roman" w:cs="Times New Roman"/>
                      <w:sz w:val="18"/>
                    </w:rPr>
                    <w:t>50</w:t>
                  </w:r>
                </w:p>
              </w:tc>
              <w:tc>
                <w:tcPr>
                  <w:tcW w:w="1238" w:type="dxa"/>
                  <w:tcBorders>
                    <w:top w:val="single" w:sz="2" w:space="0" w:color="000000"/>
                    <w:left w:val="single" w:sz="2" w:space="0" w:color="000000"/>
                    <w:bottom w:val="single" w:sz="2" w:space="0" w:color="000000"/>
                    <w:right w:val="single" w:sz="2" w:space="0" w:color="000000"/>
                  </w:tcBorders>
                </w:tcPr>
                <w:p w14:paraId="20554B78" w14:textId="77777777" w:rsidR="00053D93" w:rsidRDefault="00260B75">
                  <w:pPr>
                    <w:ind w:left="12"/>
                    <w:jc w:val="center"/>
                  </w:pPr>
                  <w:r>
                    <w:rPr>
                      <w:rFonts w:ascii="Times New Roman" w:eastAsia="Times New Roman" w:hAnsi="Times New Roman" w:cs="Times New Roman"/>
                      <w:sz w:val="20"/>
                    </w:rPr>
                    <w:t>38615</w:t>
                  </w:r>
                </w:p>
              </w:tc>
              <w:tc>
                <w:tcPr>
                  <w:tcW w:w="1623" w:type="dxa"/>
                  <w:tcBorders>
                    <w:top w:val="single" w:sz="2" w:space="0" w:color="000000"/>
                    <w:left w:val="single" w:sz="2" w:space="0" w:color="000000"/>
                    <w:bottom w:val="single" w:sz="2" w:space="0" w:color="000000"/>
                    <w:right w:val="single" w:sz="2" w:space="0" w:color="000000"/>
                  </w:tcBorders>
                </w:tcPr>
                <w:p w14:paraId="033CF6FD" w14:textId="77777777" w:rsidR="00053D93" w:rsidRDefault="00260B75">
                  <w:pPr>
                    <w:ind w:left="17"/>
                    <w:jc w:val="center"/>
                  </w:pPr>
                  <w:r>
                    <w:rPr>
                      <w:rFonts w:ascii="Times New Roman" w:eastAsia="Times New Roman" w:hAnsi="Times New Roman" w:cs="Times New Roman"/>
                      <w:sz w:val="20"/>
                    </w:rPr>
                    <w:t>102-2024</w:t>
                  </w:r>
                </w:p>
              </w:tc>
            </w:tr>
            <w:tr w:rsidR="00053D93" w14:paraId="41FD2015" w14:textId="77777777">
              <w:trPr>
                <w:trHeight w:val="1160"/>
              </w:trPr>
              <w:tc>
                <w:tcPr>
                  <w:tcW w:w="413" w:type="dxa"/>
                  <w:tcBorders>
                    <w:top w:val="single" w:sz="2" w:space="0" w:color="000000"/>
                    <w:left w:val="single" w:sz="2" w:space="0" w:color="000000"/>
                    <w:bottom w:val="single" w:sz="2" w:space="0" w:color="000000"/>
                    <w:right w:val="single" w:sz="2" w:space="0" w:color="000000"/>
                  </w:tcBorders>
                </w:tcPr>
                <w:p w14:paraId="1897FC00" w14:textId="77777777" w:rsidR="00053D93" w:rsidRDefault="00053D93"/>
              </w:tc>
              <w:tc>
                <w:tcPr>
                  <w:tcW w:w="1502" w:type="dxa"/>
                  <w:gridSpan w:val="2"/>
                  <w:tcBorders>
                    <w:top w:val="single" w:sz="2" w:space="0" w:color="000000"/>
                    <w:left w:val="single" w:sz="2" w:space="0" w:color="000000"/>
                    <w:bottom w:val="single" w:sz="2" w:space="0" w:color="000000"/>
                    <w:right w:val="single" w:sz="2" w:space="0" w:color="000000"/>
                  </w:tcBorders>
                </w:tcPr>
                <w:p w14:paraId="19AB5116" w14:textId="77777777" w:rsidR="00053D93" w:rsidRDefault="00260B75">
                  <w:pPr>
                    <w:tabs>
                      <w:tab w:val="center" w:pos="494"/>
                      <w:tab w:val="right" w:pos="1495"/>
                    </w:tabs>
                  </w:pPr>
                  <w:r>
                    <w:rPr>
                      <w:sz w:val="20"/>
                    </w:rPr>
                    <w:tab/>
                    <w:t>Normal</w:t>
                  </w:r>
                  <w:r>
                    <w:rPr>
                      <w:sz w:val="20"/>
                    </w:rPr>
                    <w:tab/>
                    <w:t>de</w:t>
                  </w:r>
                </w:p>
                <w:p w14:paraId="5C527E99" w14:textId="77777777" w:rsidR="00053D93" w:rsidRDefault="00260B75">
                  <w:pPr>
                    <w:ind w:left="199"/>
                  </w:pPr>
                  <w:r>
                    <w:t>Educación</w:t>
                  </w:r>
                </w:p>
                <w:p w14:paraId="63CFA9F8" w14:textId="77777777" w:rsidR="00053D93" w:rsidRDefault="00260B75">
                  <w:pPr>
                    <w:ind w:left="76"/>
                    <w:jc w:val="center"/>
                  </w:pPr>
                  <w:r>
                    <w:rPr>
                      <w:sz w:val="20"/>
                    </w:rPr>
                    <w:t>Física Flores,</w:t>
                  </w:r>
                </w:p>
              </w:tc>
              <w:tc>
                <w:tcPr>
                  <w:tcW w:w="1109" w:type="dxa"/>
                  <w:tcBorders>
                    <w:top w:val="single" w:sz="2" w:space="0" w:color="000000"/>
                    <w:left w:val="single" w:sz="2" w:space="0" w:color="000000"/>
                    <w:bottom w:val="single" w:sz="2" w:space="0" w:color="000000"/>
                    <w:right w:val="nil"/>
                  </w:tcBorders>
                </w:tcPr>
                <w:p w14:paraId="30B868A2" w14:textId="77777777" w:rsidR="00053D93" w:rsidRDefault="00260B75">
                  <w:pPr>
                    <w:ind w:left="130"/>
                  </w:pPr>
                  <w:r>
                    <w:t>Escaleras agilidad</w:t>
                  </w:r>
                </w:p>
              </w:tc>
              <w:tc>
                <w:tcPr>
                  <w:tcW w:w="310" w:type="dxa"/>
                  <w:tcBorders>
                    <w:top w:val="single" w:sz="2" w:space="0" w:color="000000"/>
                    <w:left w:val="nil"/>
                    <w:bottom w:val="single" w:sz="2" w:space="0" w:color="000000"/>
                    <w:right w:val="single" w:sz="2" w:space="0" w:color="000000"/>
                  </w:tcBorders>
                </w:tcPr>
                <w:p w14:paraId="2D92EB04" w14:textId="77777777" w:rsidR="00053D93" w:rsidRDefault="00260B75">
                  <w:pPr>
                    <w:ind w:left="7"/>
                  </w:pPr>
                  <w:r>
                    <w:rPr>
                      <w:sz w:val="20"/>
                    </w:rPr>
                    <w:t>de</w:t>
                  </w:r>
                </w:p>
              </w:tc>
              <w:tc>
                <w:tcPr>
                  <w:tcW w:w="1066" w:type="dxa"/>
                  <w:tcBorders>
                    <w:top w:val="single" w:sz="2" w:space="0" w:color="000000"/>
                    <w:left w:val="single" w:sz="2" w:space="0" w:color="000000"/>
                    <w:bottom w:val="single" w:sz="2" w:space="0" w:color="000000"/>
                    <w:right w:val="single" w:sz="2" w:space="0" w:color="000000"/>
                  </w:tcBorders>
                </w:tcPr>
                <w:p w14:paraId="784EBBF6" w14:textId="77777777" w:rsidR="00053D93" w:rsidRDefault="00260B75">
                  <w:pPr>
                    <w:spacing w:line="282" w:lineRule="auto"/>
                    <w:ind w:left="122" w:firstLine="7"/>
                  </w:pPr>
                  <w:r>
                    <w:rPr>
                      <w:rFonts w:ascii="Times New Roman" w:eastAsia="Times New Roman" w:hAnsi="Times New Roman" w:cs="Times New Roman"/>
                      <w:sz w:val="20"/>
                    </w:rPr>
                    <w:t>1 7</w:t>
                  </w:r>
                  <w:r>
                    <w:rPr>
                      <w:rFonts w:ascii="Times New Roman" w:eastAsia="Times New Roman" w:hAnsi="Times New Roman" w:cs="Times New Roman"/>
                      <w:sz w:val="20"/>
                    </w:rPr>
                    <w:tab/>
                  </w:r>
                  <w:r>
                    <w:rPr>
                      <w:sz w:val="20"/>
                    </w:rPr>
                    <w:t>de diciembre</w:t>
                  </w:r>
                </w:p>
                <w:p w14:paraId="7F8DBF74" w14:textId="77777777" w:rsidR="00053D93" w:rsidRDefault="00260B75">
                  <w:pPr>
                    <w:ind w:left="122"/>
                  </w:pPr>
                  <w:r>
                    <w:rPr>
                      <w:rFonts w:ascii="Times New Roman" w:eastAsia="Times New Roman" w:hAnsi="Times New Roman" w:cs="Times New Roman"/>
                      <w:sz w:val="18"/>
                    </w:rPr>
                    <w:t>2024</w:t>
                  </w:r>
                </w:p>
              </w:tc>
              <w:tc>
                <w:tcPr>
                  <w:tcW w:w="1135" w:type="dxa"/>
                  <w:tcBorders>
                    <w:top w:val="single" w:sz="2" w:space="0" w:color="000000"/>
                    <w:left w:val="single" w:sz="2" w:space="0" w:color="000000"/>
                    <w:bottom w:val="single" w:sz="2" w:space="0" w:color="000000"/>
                    <w:right w:val="single" w:sz="2" w:space="0" w:color="000000"/>
                  </w:tcBorders>
                </w:tcPr>
                <w:p w14:paraId="7BF6C557" w14:textId="77777777" w:rsidR="00053D93" w:rsidRDefault="00260B75">
                  <w:pPr>
                    <w:ind w:left="17"/>
                    <w:jc w:val="center"/>
                  </w:pPr>
                  <w:r>
                    <w:rPr>
                      <w:rFonts w:ascii="Times New Roman" w:eastAsia="Times New Roman" w:hAnsi="Times New Roman" w:cs="Times New Roman"/>
                      <w:sz w:val="18"/>
                    </w:rPr>
                    <w:t>50</w:t>
                  </w:r>
                </w:p>
              </w:tc>
              <w:tc>
                <w:tcPr>
                  <w:tcW w:w="1238" w:type="dxa"/>
                  <w:tcBorders>
                    <w:top w:val="single" w:sz="2" w:space="0" w:color="000000"/>
                    <w:left w:val="single" w:sz="2" w:space="0" w:color="000000"/>
                    <w:bottom w:val="single" w:sz="2" w:space="0" w:color="000000"/>
                    <w:right w:val="single" w:sz="2" w:space="0" w:color="000000"/>
                  </w:tcBorders>
                </w:tcPr>
                <w:p w14:paraId="44FD92B7" w14:textId="77777777" w:rsidR="00053D93" w:rsidRDefault="00260B75">
                  <w:pPr>
                    <w:ind w:left="19"/>
                    <w:jc w:val="center"/>
                  </w:pPr>
                  <w:r>
                    <w:rPr>
                      <w:rFonts w:ascii="Times New Roman" w:eastAsia="Times New Roman" w:hAnsi="Times New Roman" w:cs="Times New Roman"/>
                      <w:sz w:val="20"/>
                    </w:rPr>
                    <w:t>38619</w:t>
                  </w:r>
                </w:p>
              </w:tc>
              <w:tc>
                <w:tcPr>
                  <w:tcW w:w="1623" w:type="dxa"/>
                  <w:tcBorders>
                    <w:top w:val="single" w:sz="2" w:space="0" w:color="000000"/>
                    <w:left w:val="single" w:sz="2" w:space="0" w:color="000000"/>
                    <w:bottom w:val="single" w:sz="2" w:space="0" w:color="000000"/>
                    <w:right w:val="single" w:sz="2" w:space="0" w:color="000000"/>
                  </w:tcBorders>
                </w:tcPr>
                <w:p w14:paraId="4EF256EA" w14:textId="77777777" w:rsidR="00053D93" w:rsidRDefault="00260B75">
                  <w:pPr>
                    <w:ind w:left="24"/>
                    <w:jc w:val="center"/>
                  </w:pPr>
                  <w:r>
                    <w:rPr>
                      <w:rFonts w:ascii="Times New Roman" w:eastAsia="Times New Roman" w:hAnsi="Times New Roman" w:cs="Times New Roman"/>
                      <w:sz w:val="20"/>
                    </w:rPr>
                    <w:t>104-2024</w:t>
                  </w:r>
                </w:p>
              </w:tc>
            </w:tr>
            <w:tr w:rsidR="00053D93" w14:paraId="36F3A481" w14:textId="77777777">
              <w:trPr>
                <w:trHeight w:val="1318"/>
              </w:trPr>
              <w:tc>
                <w:tcPr>
                  <w:tcW w:w="413" w:type="dxa"/>
                  <w:tcBorders>
                    <w:top w:val="single" w:sz="2" w:space="0" w:color="000000"/>
                    <w:left w:val="single" w:sz="2" w:space="0" w:color="000000"/>
                    <w:bottom w:val="single" w:sz="2" w:space="0" w:color="000000"/>
                    <w:right w:val="single" w:sz="2" w:space="0" w:color="000000"/>
                  </w:tcBorders>
                </w:tcPr>
                <w:p w14:paraId="26C48DA3" w14:textId="77777777" w:rsidR="00053D93" w:rsidRDefault="00053D93"/>
              </w:tc>
              <w:tc>
                <w:tcPr>
                  <w:tcW w:w="1502" w:type="dxa"/>
                  <w:gridSpan w:val="2"/>
                  <w:tcBorders>
                    <w:top w:val="single" w:sz="2" w:space="0" w:color="000000"/>
                    <w:left w:val="single" w:sz="2" w:space="0" w:color="000000"/>
                    <w:bottom w:val="single" w:sz="2" w:space="0" w:color="000000"/>
                    <w:right w:val="single" w:sz="2" w:space="0" w:color="000000"/>
                  </w:tcBorders>
                  <w:vAlign w:val="bottom"/>
                </w:tcPr>
                <w:p w14:paraId="5D7A6F0B" w14:textId="77777777" w:rsidR="00053D93" w:rsidRDefault="00260B75">
                  <w:pPr>
                    <w:tabs>
                      <w:tab w:val="center" w:pos="494"/>
                      <w:tab w:val="right" w:pos="1495"/>
                    </w:tabs>
                  </w:pPr>
                  <w:r>
                    <w:rPr>
                      <w:sz w:val="20"/>
                    </w:rPr>
                    <w:tab/>
                    <w:t>Normal</w:t>
                  </w:r>
                  <w:r>
                    <w:rPr>
                      <w:sz w:val="20"/>
                    </w:rPr>
                    <w:tab/>
                    <w:t>de</w:t>
                  </w:r>
                </w:p>
                <w:p w14:paraId="3D02E81E" w14:textId="77777777" w:rsidR="00053D93" w:rsidRDefault="00260B75">
                  <w:pPr>
                    <w:spacing w:after="178"/>
                    <w:ind w:left="192"/>
                  </w:pPr>
                  <w:r>
                    <w:t>Educación</w:t>
                  </w:r>
                </w:p>
                <w:p w14:paraId="338F88B0" w14:textId="77777777" w:rsidR="00053D93" w:rsidRDefault="00260B75">
                  <w:pPr>
                    <w:ind w:left="192"/>
                  </w:pPr>
                  <w:r>
                    <w:rPr>
                      <w:sz w:val="20"/>
                    </w:rPr>
                    <w:t>Guazacapan,</w:t>
                  </w:r>
                </w:p>
                <w:p w14:paraId="247B8DD9" w14:textId="77777777" w:rsidR="00053D93" w:rsidRDefault="00260B75">
                  <w:pPr>
                    <w:ind w:left="192"/>
                  </w:pPr>
                  <w:r>
                    <w:rPr>
                      <w:sz w:val="20"/>
                    </w:rPr>
                    <w:t>Santa Rosa</w:t>
                  </w:r>
                </w:p>
              </w:tc>
              <w:tc>
                <w:tcPr>
                  <w:tcW w:w="1109" w:type="dxa"/>
                  <w:tcBorders>
                    <w:top w:val="single" w:sz="2" w:space="0" w:color="000000"/>
                    <w:left w:val="single" w:sz="2" w:space="0" w:color="000000"/>
                    <w:bottom w:val="single" w:sz="2" w:space="0" w:color="000000"/>
                    <w:right w:val="nil"/>
                  </w:tcBorders>
                </w:tcPr>
                <w:p w14:paraId="32FD835E" w14:textId="77777777" w:rsidR="00053D93" w:rsidRDefault="00260B75">
                  <w:pPr>
                    <w:ind w:left="130" w:firstLine="7"/>
                  </w:pPr>
                  <w:r>
                    <w:t>Escaleras agilidad</w:t>
                  </w:r>
                </w:p>
              </w:tc>
              <w:tc>
                <w:tcPr>
                  <w:tcW w:w="310" w:type="dxa"/>
                  <w:tcBorders>
                    <w:top w:val="single" w:sz="2" w:space="0" w:color="000000"/>
                    <w:left w:val="nil"/>
                    <w:bottom w:val="single" w:sz="2" w:space="0" w:color="000000"/>
                    <w:right w:val="single" w:sz="2" w:space="0" w:color="000000"/>
                  </w:tcBorders>
                </w:tcPr>
                <w:p w14:paraId="42A57634" w14:textId="77777777" w:rsidR="00053D93" w:rsidRDefault="00260B75">
                  <w:pPr>
                    <w:ind w:left="14"/>
                  </w:pPr>
                  <w:r>
                    <w:rPr>
                      <w:sz w:val="20"/>
                    </w:rPr>
                    <w:t>de</w:t>
                  </w:r>
                </w:p>
              </w:tc>
              <w:tc>
                <w:tcPr>
                  <w:tcW w:w="1066" w:type="dxa"/>
                  <w:tcBorders>
                    <w:top w:val="single" w:sz="2" w:space="0" w:color="000000"/>
                    <w:left w:val="single" w:sz="2" w:space="0" w:color="000000"/>
                    <w:bottom w:val="single" w:sz="2" w:space="0" w:color="000000"/>
                    <w:right w:val="single" w:sz="2" w:space="0" w:color="000000"/>
                  </w:tcBorders>
                </w:tcPr>
                <w:p w14:paraId="60B4868D" w14:textId="77777777" w:rsidR="00053D93" w:rsidRDefault="00260B75">
                  <w:pPr>
                    <w:spacing w:line="253" w:lineRule="auto"/>
                    <w:ind w:left="122"/>
                  </w:pPr>
                  <w:r>
                    <w:rPr>
                      <w:rFonts w:ascii="Times New Roman" w:eastAsia="Times New Roman" w:hAnsi="Times New Roman" w:cs="Times New Roman"/>
                    </w:rPr>
                    <w:t>29</w:t>
                  </w:r>
                  <w:r>
                    <w:rPr>
                      <w:rFonts w:ascii="Times New Roman" w:eastAsia="Times New Roman" w:hAnsi="Times New Roman" w:cs="Times New Roman"/>
                    </w:rPr>
                    <w:tab/>
                  </w:r>
                  <w:r>
                    <w:t>de enero</w:t>
                  </w:r>
                </w:p>
                <w:p w14:paraId="089AAB03" w14:textId="77777777" w:rsidR="00053D93" w:rsidRDefault="00260B75">
                  <w:pPr>
                    <w:ind w:left="130"/>
                  </w:pPr>
                  <w:r>
                    <w:rPr>
                      <w:rFonts w:ascii="Times New Roman" w:eastAsia="Times New Roman" w:hAnsi="Times New Roman" w:cs="Times New Roman"/>
                      <w:sz w:val="20"/>
                    </w:rPr>
                    <w:t>2025</w:t>
                  </w:r>
                </w:p>
              </w:tc>
              <w:tc>
                <w:tcPr>
                  <w:tcW w:w="1135" w:type="dxa"/>
                  <w:tcBorders>
                    <w:top w:val="single" w:sz="2" w:space="0" w:color="000000"/>
                    <w:left w:val="single" w:sz="2" w:space="0" w:color="000000"/>
                    <w:bottom w:val="single" w:sz="2" w:space="0" w:color="000000"/>
                    <w:right w:val="single" w:sz="2" w:space="0" w:color="000000"/>
                  </w:tcBorders>
                </w:tcPr>
                <w:p w14:paraId="309F5920" w14:textId="77777777" w:rsidR="00053D93" w:rsidRDefault="00260B75">
                  <w:pPr>
                    <w:ind w:left="24"/>
                    <w:jc w:val="center"/>
                  </w:pPr>
                  <w:r>
                    <w:rPr>
                      <w:rFonts w:ascii="Times New Roman" w:eastAsia="Times New Roman" w:hAnsi="Times New Roman" w:cs="Times New Roman"/>
                      <w:sz w:val="18"/>
                    </w:rPr>
                    <w:t>25</w:t>
                  </w:r>
                </w:p>
              </w:tc>
              <w:tc>
                <w:tcPr>
                  <w:tcW w:w="1238" w:type="dxa"/>
                  <w:tcBorders>
                    <w:top w:val="single" w:sz="2" w:space="0" w:color="000000"/>
                    <w:left w:val="single" w:sz="2" w:space="0" w:color="000000"/>
                    <w:bottom w:val="single" w:sz="2" w:space="0" w:color="000000"/>
                    <w:right w:val="single" w:sz="2" w:space="0" w:color="000000"/>
                  </w:tcBorders>
                </w:tcPr>
                <w:p w14:paraId="6C2ADB97" w14:textId="77777777" w:rsidR="00053D93" w:rsidRDefault="00260B75">
                  <w:pPr>
                    <w:ind w:left="27"/>
                    <w:jc w:val="center"/>
                  </w:pPr>
                  <w:r>
                    <w:rPr>
                      <w:rFonts w:ascii="Times New Roman" w:eastAsia="Times New Roman" w:hAnsi="Times New Roman" w:cs="Times New Roman"/>
                      <w:sz w:val="20"/>
                    </w:rPr>
                    <w:t>38639</w:t>
                  </w:r>
                </w:p>
              </w:tc>
              <w:tc>
                <w:tcPr>
                  <w:tcW w:w="1623" w:type="dxa"/>
                  <w:tcBorders>
                    <w:top w:val="single" w:sz="2" w:space="0" w:color="000000"/>
                    <w:left w:val="single" w:sz="2" w:space="0" w:color="000000"/>
                    <w:bottom w:val="single" w:sz="2" w:space="0" w:color="000000"/>
                    <w:right w:val="single" w:sz="2" w:space="0" w:color="000000"/>
                  </w:tcBorders>
                </w:tcPr>
                <w:p w14:paraId="43372E2F" w14:textId="77777777" w:rsidR="00053D93" w:rsidRDefault="00260B75">
                  <w:pPr>
                    <w:ind w:left="24"/>
                    <w:jc w:val="center"/>
                  </w:pPr>
                  <w:r>
                    <w:rPr>
                      <w:rFonts w:ascii="Times New Roman" w:eastAsia="Times New Roman" w:hAnsi="Times New Roman" w:cs="Times New Roman"/>
                      <w:sz w:val="20"/>
                    </w:rPr>
                    <w:t>089-2025</w:t>
                  </w:r>
                </w:p>
              </w:tc>
            </w:tr>
            <w:tr w:rsidR="00053D93" w14:paraId="1BE72CAD" w14:textId="77777777">
              <w:trPr>
                <w:trHeight w:val="804"/>
              </w:trPr>
              <w:tc>
                <w:tcPr>
                  <w:tcW w:w="413" w:type="dxa"/>
                  <w:vMerge w:val="restart"/>
                  <w:tcBorders>
                    <w:top w:val="single" w:sz="2" w:space="0" w:color="000000"/>
                    <w:left w:val="single" w:sz="2" w:space="0" w:color="000000"/>
                    <w:bottom w:val="nil"/>
                    <w:right w:val="single" w:sz="2" w:space="0" w:color="000000"/>
                  </w:tcBorders>
                </w:tcPr>
                <w:p w14:paraId="3BFAC420" w14:textId="77777777" w:rsidR="00053D93" w:rsidRDefault="00260B75">
                  <w:pPr>
                    <w:spacing w:after="502"/>
                    <w:ind w:left="50"/>
                  </w:pPr>
                  <w:r>
                    <w:rPr>
                      <w:rFonts w:ascii="Times New Roman" w:eastAsia="Times New Roman" w:hAnsi="Times New Roman" w:cs="Times New Roman"/>
                      <w:sz w:val="18"/>
                    </w:rPr>
                    <w:t>9</w:t>
                  </w:r>
                </w:p>
                <w:p w14:paraId="1E42E29C" w14:textId="77777777" w:rsidR="00053D93" w:rsidRDefault="00260B75">
                  <w:pPr>
                    <w:ind w:left="180"/>
                  </w:pPr>
                  <w:r>
                    <w:rPr>
                      <w:noProof/>
                    </w:rPr>
                    <w:drawing>
                      <wp:inline distT="0" distB="0" distL="0" distR="0" wp14:anchorId="2E98D50F" wp14:editId="38327A5D">
                        <wp:extent cx="9144" cy="128015"/>
                        <wp:effectExtent l="0" t="0" r="0" b="0"/>
                        <wp:docPr id="2458451" name="Picture 2458451"/>
                        <wp:cNvGraphicFramePr/>
                        <a:graphic xmlns:a="http://schemas.openxmlformats.org/drawingml/2006/main">
                          <a:graphicData uri="http://schemas.openxmlformats.org/drawingml/2006/picture">
                            <pic:pic xmlns:pic="http://schemas.openxmlformats.org/drawingml/2006/picture">
                              <pic:nvPicPr>
                                <pic:cNvPr id="2458451" name="Picture 2458451"/>
                                <pic:cNvPicPr/>
                              </pic:nvPicPr>
                              <pic:blipFill>
                                <a:blip r:embed="rId830"/>
                                <a:stretch>
                                  <a:fillRect/>
                                </a:stretch>
                              </pic:blipFill>
                              <pic:spPr>
                                <a:xfrm>
                                  <a:off x="0" y="0"/>
                                  <a:ext cx="9144" cy="128015"/>
                                </a:xfrm>
                                <a:prstGeom prst="rect">
                                  <a:avLst/>
                                </a:prstGeom>
                              </pic:spPr>
                            </pic:pic>
                          </a:graphicData>
                        </a:graphic>
                      </wp:inline>
                    </w:drawing>
                  </w:r>
                </w:p>
              </w:tc>
              <w:tc>
                <w:tcPr>
                  <w:tcW w:w="1502" w:type="dxa"/>
                  <w:gridSpan w:val="2"/>
                  <w:tcBorders>
                    <w:top w:val="single" w:sz="2" w:space="0" w:color="000000"/>
                    <w:left w:val="single" w:sz="2" w:space="0" w:color="000000"/>
                    <w:bottom w:val="nil"/>
                    <w:right w:val="single" w:sz="2" w:space="0" w:color="000000"/>
                  </w:tcBorders>
                </w:tcPr>
                <w:p w14:paraId="06FC2C21" w14:textId="77777777" w:rsidR="00053D93" w:rsidRDefault="00260B75">
                  <w:pPr>
                    <w:spacing w:line="266" w:lineRule="auto"/>
                    <w:ind w:left="199" w:firstLine="7"/>
                  </w:pPr>
                  <w:r>
                    <w:rPr>
                      <w:sz w:val="20"/>
                    </w:rPr>
                    <w:t>Escuela Normal</w:t>
                  </w:r>
                  <w:r>
                    <w:rPr>
                      <w:sz w:val="20"/>
                    </w:rPr>
                    <w:tab/>
                    <w:t>de</w:t>
                  </w:r>
                </w:p>
                <w:p w14:paraId="13359CF9" w14:textId="77777777" w:rsidR="00053D93" w:rsidRDefault="00260B75">
                  <w:pPr>
                    <w:ind w:left="199"/>
                  </w:pPr>
                  <w:r>
                    <w:t>Educación</w:t>
                  </w:r>
                </w:p>
              </w:tc>
              <w:tc>
                <w:tcPr>
                  <w:tcW w:w="1109" w:type="dxa"/>
                  <w:tcBorders>
                    <w:top w:val="single" w:sz="2" w:space="0" w:color="000000"/>
                    <w:left w:val="single" w:sz="2" w:space="0" w:color="000000"/>
                    <w:bottom w:val="single" w:sz="2" w:space="0" w:color="000000"/>
                    <w:right w:val="nil"/>
                  </w:tcBorders>
                </w:tcPr>
                <w:p w14:paraId="0AD3ABAA" w14:textId="77777777" w:rsidR="00053D93" w:rsidRDefault="00260B75">
                  <w:pPr>
                    <w:ind w:left="130" w:firstLine="7"/>
                  </w:pPr>
                  <w:r>
                    <w:t>Escaleras agilidad</w:t>
                  </w:r>
                </w:p>
              </w:tc>
              <w:tc>
                <w:tcPr>
                  <w:tcW w:w="310" w:type="dxa"/>
                  <w:tcBorders>
                    <w:top w:val="single" w:sz="2" w:space="0" w:color="000000"/>
                    <w:left w:val="nil"/>
                    <w:bottom w:val="single" w:sz="2" w:space="0" w:color="000000"/>
                    <w:right w:val="single" w:sz="2" w:space="0" w:color="000000"/>
                  </w:tcBorders>
                </w:tcPr>
                <w:p w14:paraId="756D5CDD" w14:textId="77777777" w:rsidR="00053D93" w:rsidRDefault="00053D93"/>
              </w:tc>
              <w:tc>
                <w:tcPr>
                  <w:tcW w:w="1066" w:type="dxa"/>
                  <w:tcBorders>
                    <w:top w:val="single" w:sz="2" w:space="0" w:color="000000"/>
                    <w:left w:val="single" w:sz="2" w:space="0" w:color="000000"/>
                    <w:bottom w:val="single" w:sz="2" w:space="0" w:color="000000"/>
                    <w:right w:val="single" w:sz="2" w:space="0" w:color="000000"/>
                  </w:tcBorders>
                </w:tcPr>
                <w:p w14:paraId="7F908EC1" w14:textId="77777777" w:rsidR="00053D93" w:rsidRDefault="00260B75">
                  <w:pPr>
                    <w:spacing w:after="7" w:line="231" w:lineRule="auto"/>
                    <w:ind w:left="130" w:right="260"/>
                  </w:pPr>
                  <w:r>
                    <w:rPr>
                      <w:rFonts w:ascii="Times New Roman" w:eastAsia="Times New Roman" w:hAnsi="Times New Roman" w:cs="Times New Roman"/>
                      <w:sz w:val="20"/>
                    </w:rPr>
                    <w:t xml:space="preserve">5 </w:t>
                  </w:r>
                  <w:r>
                    <w:rPr>
                      <w:sz w:val="20"/>
                    </w:rPr>
                    <w:t>febrero</w:t>
                  </w:r>
                </w:p>
                <w:p w14:paraId="67C187B5" w14:textId="77777777" w:rsidR="00053D93" w:rsidRDefault="00260B75">
                  <w:pPr>
                    <w:ind w:left="130"/>
                  </w:pPr>
                  <w:r>
                    <w:rPr>
                      <w:rFonts w:ascii="Times New Roman" w:eastAsia="Times New Roman" w:hAnsi="Times New Roman" w:cs="Times New Roman"/>
                      <w:sz w:val="20"/>
                    </w:rPr>
                    <w:t>2025</w:t>
                  </w:r>
                </w:p>
              </w:tc>
              <w:tc>
                <w:tcPr>
                  <w:tcW w:w="1135" w:type="dxa"/>
                  <w:tcBorders>
                    <w:top w:val="single" w:sz="2" w:space="0" w:color="000000"/>
                    <w:left w:val="single" w:sz="2" w:space="0" w:color="000000"/>
                    <w:bottom w:val="single" w:sz="2" w:space="0" w:color="000000"/>
                    <w:right w:val="single" w:sz="2" w:space="0" w:color="000000"/>
                  </w:tcBorders>
                </w:tcPr>
                <w:p w14:paraId="068025DD" w14:textId="77777777" w:rsidR="00053D93" w:rsidRDefault="00260B75">
                  <w:pPr>
                    <w:ind w:left="38"/>
                    <w:jc w:val="center"/>
                  </w:pPr>
                  <w:r>
                    <w:rPr>
                      <w:rFonts w:ascii="Times New Roman" w:eastAsia="Times New Roman" w:hAnsi="Times New Roman" w:cs="Times New Roman"/>
                      <w:sz w:val="18"/>
                    </w:rPr>
                    <w:t>25</w:t>
                  </w:r>
                </w:p>
              </w:tc>
              <w:tc>
                <w:tcPr>
                  <w:tcW w:w="1238" w:type="dxa"/>
                  <w:tcBorders>
                    <w:top w:val="single" w:sz="2" w:space="0" w:color="000000"/>
                    <w:left w:val="single" w:sz="2" w:space="0" w:color="000000"/>
                    <w:bottom w:val="single" w:sz="2" w:space="0" w:color="000000"/>
                    <w:right w:val="single" w:sz="2" w:space="0" w:color="000000"/>
                  </w:tcBorders>
                </w:tcPr>
                <w:p w14:paraId="7D395377" w14:textId="77777777" w:rsidR="00053D93" w:rsidRDefault="00260B75">
                  <w:pPr>
                    <w:ind w:left="34"/>
                    <w:jc w:val="center"/>
                  </w:pPr>
                  <w:r>
                    <w:rPr>
                      <w:rFonts w:ascii="Times New Roman" w:eastAsia="Times New Roman" w:hAnsi="Times New Roman" w:cs="Times New Roman"/>
                      <w:sz w:val="20"/>
                    </w:rPr>
                    <w:t>38642</w:t>
                  </w:r>
                </w:p>
              </w:tc>
              <w:tc>
                <w:tcPr>
                  <w:tcW w:w="1623" w:type="dxa"/>
                  <w:tcBorders>
                    <w:top w:val="single" w:sz="2" w:space="0" w:color="000000"/>
                    <w:left w:val="single" w:sz="2" w:space="0" w:color="000000"/>
                    <w:bottom w:val="single" w:sz="2" w:space="0" w:color="000000"/>
                    <w:right w:val="single" w:sz="2" w:space="0" w:color="000000"/>
                  </w:tcBorders>
                </w:tcPr>
                <w:p w14:paraId="1B4407AD" w14:textId="77777777" w:rsidR="00053D93" w:rsidRDefault="00260B75">
                  <w:pPr>
                    <w:ind w:left="31"/>
                    <w:jc w:val="center"/>
                  </w:pPr>
                  <w:r>
                    <w:rPr>
                      <w:rFonts w:ascii="Times New Roman" w:eastAsia="Times New Roman" w:hAnsi="Times New Roman" w:cs="Times New Roman"/>
                      <w:sz w:val="20"/>
                    </w:rPr>
                    <w:t>012-2025</w:t>
                  </w:r>
                </w:p>
              </w:tc>
            </w:tr>
            <w:tr w:rsidR="00053D93" w14:paraId="35DF80D5" w14:textId="77777777">
              <w:trPr>
                <w:trHeight w:val="615"/>
              </w:trPr>
              <w:tc>
                <w:tcPr>
                  <w:tcW w:w="0" w:type="auto"/>
                  <w:vMerge/>
                  <w:tcBorders>
                    <w:top w:val="nil"/>
                    <w:left w:val="single" w:sz="2" w:space="0" w:color="000000"/>
                    <w:bottom w:val="nil"/>
                    <w:right w:val="single" w:sz="2" w:space="0" w:color="000000"/>
                  </w:tcBorders>
                </w:tcPr>
                <w:p w14:paraId="0EA99E80" w14:textId="77777777" w:rsidR="00053D93" w:rsidRDefault="00053D93"/>
              </w:tc>
              <w:tc>
                <w:tcPr>
                  <w:tcW w:w="297" w:type="dxa"/>
                  <w:tcBorders>
                    <w:top w:val="nil"/>
                    <w:left w:val="single" w:sz="2" w:space="0" w:color="000000"/>
                    <w:bottom w:val="nil"/>
                    <w:right w:val="single" w:sz="2" w:space="0" w:color="000000"/>
                  </w:tcBorders>
                </w:tcPr>
                <w:p w14:paraId="1C324A14" w14:textId="77777777" w:rsidR="00053D93" w:rsidRDefault="00053D93"/>
              </w:tc>
              <w:tc>
                <w:tcPr>
                  <w:tcW w:w="6062" w:type="dxa"/>
                  <w:gridSpan w:val="6"/>
                  <w:tcBorders>
                    <w:top w:val="single" w:sz="2" w:space="0" w:color="000000"/>
                    <w:left w:val="single" w:sz="2" w:space="0" w:color="000000"/>
                    <w:bottom w:val="nil"/>
                    <w:right w:val="nil"/>
                  </w:tcBorders>
                </w:tcPr>
                <w:p w14:paraId="50508FDF" w14:textId="77777777" w:rsidR="00053D93" w:rsidRDefault="00260B75">
                  <w:pPr>
                    <w:ind w:left="840"/>
                    <w:jc w:val="center"/>
                  </w:pPr>
                  <w:r>
                    <w:rPr>
                      <w:sz w:val="14"/>
                    </w:rPr>
                    <w:t>MINISTERIO DE EDUCACION</w:t>
                  </w:r>
                </w:p>
                <w:p w14:paraId="3DAC371A" w14:textId="77777777" w:rsidR="00053D93" w:rsidRDefault="00260B75">
                  <w:pPr>
                    <w:ind w:left="833"/>
                    <w:jc w:val="center"/>
                  </w:pPr>
                  <w:r>
                    <w:rPr>
                      <w:sz w:val="14"/>
                    </w:rPr>
                    <w:t>AUDITORIA FINANCIERA Y DE CUMPLIMIENTO</w:t>
                  </w:r>
                </w:p>
                <w:p w14:paraId="12CAB92A" w14:textId="77777777" w:rsidR="00053D93" w:rsidRDefault="00260B75">
                  <w:pPr>
                    <w:ind w:left="1824"/>
                  </w:pPr>
                  <w:r>
                    <w:rPr>
                      <w:sz w:val="14"/>
                    </w:rPr>
                    <w:t>PERIODO DEL 01 OE ENERO AL 31 DE DICIEMBRE OE 2024</w:t>
                  </w:r>
                </w:p>
              </w:tc>
              <w:tc>
                <w:tcPr>
                  <w:tcW w:w="1623" w:type="dxa"/>
                  <w:tcBorders>
                    <w:top w:val="single" w:sz="2" w:space="0" w:color="000000"/>
                    <w:left w:val="nil"/>
                    <w:bottom w:val="nil"/>
                    <w:right w:val="nil"/>
                  </w:tcBorders>
                </w:tcPr>
                <w:p w14:paraId="062E3623" w14:textId="77777777" w:rsidR="00053D93" w:rsidRDefault="00053D93"/>
              </w:tc>
            </w:tr>
          </w:tbl>
          <w:p w14:paraId="5A5E33FC" w14:textId="77777777" w:rsidR="00053D93" w:rsidRDefault="00053D93"/>
        </w:tc>
      </w:tr>
    </w:tbl>
    <w:p w14:paraId="0C781AFE" w14:textId="77777777" w:rsidR="00053D93" w:rsidRDefault="00053D93">
      <w:pPr>
        <w:sectPr w:rsidR="00053D93">
          <w:headerReference w:type="even" r:id="rId831"/>
          <w:headerReference w:type="default" r:id="rId832"/>
          <w:footerReference w:type="even" r:id="rId833"/>
          <w:footerReference w:type="default" r:id="rId834"/>
          <w:headerReference w:type="first" r:id="rId835"/>
          <w:footerReference w:type="first" r:id="rId836"/>
          <w:pgSz w:w="12290" w:h="15883"/>
          <w:pgMar w:top="612" w:right="1800" w:bottom="539" w:left="389" w:header="648" w:footer="720" w:gutter="0"/>
          <w:cols w:space="720"/>
          <w:titlePg/>
        </w:sectPr>
      </w:pPr>
    </w:p>
    <w:p w14:paraId="76B04721" w14:textId="77777777" w:rsidR="00053D93" w:rsidRDefault="00260B75">
      <w:pPr>
        <w:tabs>
          <w:tab w:val="center" w:pos="5971"/>
          <w:tab w:val="center" w:pos="8705"/>
        </w:tabs>
        <w:spacing w:after="239" w:line="265" w:lineRule="auto"/>
      </w:pPr>
      <w:r>
        <w:rPr>
          <w:sz w:val="14"/>
        </w:rPr>
        <w:lastRenderedPageBreak/>
        <w:tab/>
      </w:r>
      <w:r>
        <w:rPr>
          <w:noProof/>
        </w:rPr>
        <w:drawing>
          <wp:inline distT="0" distB="0" distL="0" distR="0" wp14:anchorId="038D1A6E" wp14:editId="573B9CDD">
            <wp:extent cx="18288" cy="18288"/>
            <wp:effectExtent l="0" t="0" r="0" b="0"/>
            <wp:docPr id="554579" name="Picture 554579"/>
            <wp:cNvGraphicFramePr/>
            <a:graphic xmlns:a="http://schemas.openxmlformats.org/drawingml/2006/main">
              <a:graphicData uri="http://schemas.openxmlformats.org/drawingml/2006/picture">
                <pic:pic xmlns:pic="http://schemas.openxmlformats.org/drawingml/2006/picture">
                  <pic:nvPicPr>
                    <pic:cNvPr id="554579" name="Picture 554579"/>
                    <pic:cNvPicPr/>
                  </pic:nvPicPr>
                  <pic:blipFill>
                    <a:blip r:embed="rId837"/>
                    <a:stretch>
                      <a:fillRect/>
                    </a:stretch>
                  </pic:blipFill>
                  <pic:spPr>
                    <a:xfrm>
                      <a:off x="0" y="0"/>
                      <a:ext cx="18288" cy="18288"/>
                    </a:xfrm>
                    <a:prstGeom prst="rect">
                      <a:avLst/>
                    </a:prstGeom>
                  </pic:spPr>
                </pic:pic>
              </a:graphicData>
            </a:graphic>
          </wp:inline>
        </w:drawing>
      </w:r>
      <w:r>
        <w:rPr>
          <w:sz w:val="14"/>
        </w:rPr>
        <w:tab/>
        <w:t xml:space="preserve">EDUCACÓN. </w:t>
      </w:r>
    </w:p>
    <w:tbl>
      <w:tblPr>
        <w:tblStyle w:val="TableGrid"/>
        <w:tblW w:w="8460" w:type="dxa"/>
        <w:tblInd w:w="1706" w:type="dxa"/>
        <w:tblCellMar>
          <w:top w:w="32" w:type="dxa"/>
          <w:left w:w="108" w:type="dxa"/>
          <w:bottom w:w="33" w:type="dxa"/>
          <w:right w:w="115" w:type="dxa"/>
        </w:tblCellMar>
        <w:tblLook w:val="04A0" w:firstRow="1" w:lastRow="0" w:firstColumn="1" w:lastColumn="0" w:noHBand="0" w:noVBand="1"/>
      </w:tblPr>
      <w:tblGrid>
        <w:gridCol w:w="554"/>
        <w:gridCol w:w="1433"/>
        <w:gridCol w:w="1423"/>
        <w:gridCol w:w="1058"/>
        <w:gridCol w:w="1138"/>
        <w:gridCol w:w="1238"/>
        <w:gridCol w:w="1616"/>
      </w:tblGrid>
      <w:tr w:rsidR="00053D93" w14:paraId="0BBDDF64" w14:textId="77777777">
        <w:trPr>
          <w:trHeight w:val="717"/>
        </w:trPr>
        <w:tc>
          <w:tcPr>
            <w:tcW w:w="554" w:type="dxa"/>
            <w:tcBorders>
              <w:top w:val="single" w:sz="2" w:space="0" w:color="000000"/>
              <w:left w:val="single" w:sz="2" w:space="0" w:color="000000"/>
              <w:bottom w:val="single" w:sz="2" w:space="0" w:color="000000"/>
              <w:right w:val="single" w:sz="2" w:space="0" w:color="000000"/>
            </w:tcBorders>
          </w:tcPr>
          <w:p w14:paraId="63A5BA6B" w14:textId="77777777" w:rsidR="00053D93" w:rsidRDefault="00053D93"/>
        </w:tc>
        <w:tc>
          <w:tcPr>
            <w:tcW w:w="1433" w:type="dxa"/>
            <w:tcBorders>
              <w:top w:val="single" w:sz="2" w:space="0" w:color="000000"/>
              <w:left w:val="single" w:sz="2" w:space="0" w:color="000000"/>
              <w:bottom w:val="single" w:sz="2" w:space="0" w:color="000000"/>
              <w:right w:val="single" w:sz="2" w:space="0" w:color="000000"/>
            </w:tcBorders>
          </w:tcPr>
          <w:p w14:paraId="67ED7768" w14:textId="77777777" w:rsidR="00053D93" w:rsidRDefault="00260B75">
            <w:pPr>
              <w:ind w:left="22"/>
            </w:pPr>
            <w:r>
              <w:t>Asicá - Ahtlgüa</w:t>
            </w:r>
          </w:p>
          <w:p w14:paraId="1C0AB723" w14:textId="77777777" w:rsidR="00053D93" w:rsidRDefault="00260B75">
            <w:pPr>
              <w:ind w:left="14"/>
            </w:pPr>
            <w:r>
              <w:t>Guatemala</w:t>
            </w:r>
          </w:p>
          <w:p w14:paraId="622071D6" w14:textId="77777777" w:rsidR="00053D93" w:rsidRDefault="00260B75">
            <w:pPr>
              <w:ind w:left="14"/>
            </w:pPr>
            <w:r>
              <w:rPr>
                <w:sz w:val="20"/>
              </w:rPr>
              <w:t>Sacatepéquez</w:t>
            </w:r>
          </w:p>
        </w:tc>
        <w:tc>
          <w:tcPr>
            <w:tcW w:w="1423" w:type="dxa"/>
            <w:tcBorders>
              <w:top w:val="single" w:sz="2" w:space="0" w:color="000000"/>
              <w:left w:val="single" w:sz="2" w:space="0" w:color="000000"/>
              <w:bottom w:val="single" w:sz="2" w:space="0" w:color="000000"/>
              <w:right w:val="single" w:sz="2" w:space="0" w:color="000000"/>
            </w:tcBorders>
          </w:tcPr>
          <w:p w14:paraId="11BBFA75" w14:textId="77777777" w:rsidR="00053D93" w:rsidRDefault="00053D93"/>
        </w:tc>
        <w:tc>
          <w:tcPr>
            <w:tcW w:w="1058" w:type="dxa"/>
            <w:tcBorders>
              <w:top w:val="single" w:sz="2" w:space="0" w:color="000000"/>
              <w:left w:val="single" w:sz="2" w:space="0" w:color="000000"/>
              <w:bottom w:val="single" w:sz="2" w:space="0" w:color="000000"/>
              <w:right w:val="single" w:sz="2" w:space="0" w:color="000000"/>
            </w:tcBorders>
          </w:tcPr>
          <w:p w14:paraId="73841A91" w14:textId="77777777" w:rsidR="00053D93" w:rsidRDefault="00053D93"/>
        </w:tc>
        <w:tc>
          <w:tcPr>
            <w:tcW w:w="1138" w:type="dxa"/>
            <w:tcBorders>
              <w:top w:val="single" w:sz="2" w:space="0" w:color="000000"/>
              <w:left w:val="single" w:sz="2" w:space="0" w:color="000000"/>
              <w:bottom w:val="single" w:sz="2" w:space="0" w:color="000000"/>
              <w:right w:val="single" w:sz="2" w:space="0" w:color="000000"/>
            </w:tcBorders>
          </w:tcPr>
          <w:p w14:paraId="2DFC1221" w14:textId="77777777" w:rsidR="00053D93" w:rsidRDefault="00053D93"/>
        </w:tc>
        <w:tc>
          <w:tcPr>
            <w:tcW w:w="1238" w:type="dxa"/>
            <w:tcBorders>
              <w:top w:val="single" w:sz="2" w:space="0" w:color="000000"/>
              <w:left w:val="single" w:sz="2" w:space="0" w:color="000000"/>
              <w:bottom w:val="single" w:sz="2" w:space="0" w:color="000000"/>
              <w:right w:val="single" w:sz="2" w:space="0" w:color="000000"/>
            </w:tcBorders>
          </w:tcPr>
          <w:p w14:paraId="3A5053BB" w14:textId="77777777" w:rsidR="00053D93" w:rsidRDefault="00053D93"/>
        </w:tc>
        <w:tc>
          <w:tcPr>
            <w:tcW w:w="1615" w:type="dxa"/>
            <w:tcBorders>
              <w:top w:val="single" w:sz="2" w:space="0" w:color="000000"/>
              <w:left w:val="single" w:sz="2" w:space="0" w:color="000000"/>
              <w:bottom w:val="single" w:sz="2" w:space="0" w:color="000000"/>
              <w:right w:val="single" w:sz="2" w:space="0" w:color="000000"/>
            </w:tcBorders>
          </w:tcPr>
          <w:p w14:paraId="36A8FB4F" w14:textId="77777777" w:rsidR="00053D93" w:rsidRDefault="00053D93"/>
        </w:tc>
      </w:tr>
      <w:tr w:rsidR="00053D93" w14:paraId="1BC39DAA" w14:textId="77777777">
        <w:trPr>
          <w:trHeight w:val="1400"/>
        </w:trPr>
        <w:tc>
          <w:tcPr>
            <w:tcW w:w="554" w:type="dxa"/>
            <w:tcBorders>
              <w:top w:val="single" w:sz="2" w:space="0" w:color="000000"/>
              <w:left w:val="single" w:sz="2" w:space="0" w:color="000000"/>
              <w:bottom w:val="single" w:sz="2" w:space="0" w:color="000000"/>
              <w:right w:val="single" w:sz="2" w:space="0" w:color="000000"/>
            </w:tcBorders>
          </w:tcPr>
          <w:p w14:paraId="0E2FC311" w14:textId="77777777" w:rsidR="00053D93" w:rsidRDefault="00053D93"/>
        </w:tc>
        <w:tc>
          <w:tcPr>
            <w:tcW w:w="1433" w:type="dxa"/>
            <w:tcBorders>
              <w:top w:val="single" w:sz="2" w:space="0" w:color="000000"/>
              <w:left w:val="single" w:sz="2" w:space="0" w:color="000000"/>
              <w:bottom w:val="single" w:sz="2" w:space="0" w:color="000000"/>
              <w:right w:val="single" w:sz="2" w:space="0" w:color="000000"/>
            </w:tcBorders>
            <w:vAlign w:val="bottom"/>
          </w:tcPr>
          <w:p w14:paraId="595B1E71" w14:textId="77777777" w:rsidR="00053D93" w:rsidRDefault="00260B75">
            <w:pPr>
              <w:tabs>
                <w:tab w:val="right" w:pos="1210"/>
              </w:tabs>
              <w:spacing w:after="14"/>
            </w:pPr>
            <w:r>
              <w:rPr>
                <w:sz w:val="20"/>
              </w:rPr>
              <w:t>Normal</w:t>
            </w:r>
            <w:r>
              <w:rPr>
                <w:sz w:val="20"/>
              </w:rPr>
              <w:tab/>
              <w:t>de</w:t>
            </w:r>
          </w:p>
          <w:p w14:paraId="17ABC8E5" w14:textId="77777777" w:rsidR="00053D93" w:rsidRDefault="00260B75">
            <w:pPr>
              <w:spacing w:after="178"/>
              <w:ind w:left="22"/>
            </w:pPr>
            <w:r>
              <w:t>Educación</w:t>
            </w:r>
          </w:p>
          <w:p w14:paraId="3446A5A0" w14:textId="77777777" w:rsidR="00053D93" w:rsidRDefault="00260B75">
            <w:pPr>
              <w:ind w:left="7"/>
            </w:pPr>
            <w:r>
              <w:rPr>
                <w:sz w:val="20"/>
              </w:rPr>
              <w:t>Totonicapán,</w:t>
            </w:r>
          </w:p>
          <w:p w14:paraId="154CB9F4" w14:textId="77777777" w:rsidR="00053D93" w:rsidRDefault="00260B75">
            <w:pPr>
              <w:ind w:left="7"/>
            </w:pPr>
            <w:r>
              <w:rPr>
                <w:sz w:val="18"/>
              </w:rPr>
              <w:t>Totonicapán</w:t>
            </w:r>
          </w:p>
        </w:tc>
        <w:tc>
          <w:tcPr>
            <w:tcW w:w="1423" w:type="dxa"/>
            <w:tcBorders>
              <w:top w:val="single" w:sz="2" w:space="0" w:color="000000"/>
              <w:left w:val="single" w:sz="2" w:space="0" w:color="000000"/>
              <w:bottom w:val="single" w:sz="2" w:space="0" w:color="000000"/>
              <w:right w:val="single" w:sz="2" w:space="0" w:color="000000"/>
            </w:tcBorders>
          </w:tcPr>
          <w:p w14:paraId="3B867C6A" w14:textId="77777777" w:rsidR="00053D93" w:rsidRDefault="00260B75">
            <w:pPr>
              <w:ind w:left="14" w:firstLine="7"/>
            </w:pPr>
            <w:r>
              <w:t>Escaleras agilidad</w:t>
            </w:r>
          </w:p>
        </w:tc>
        <w:tc>
          <w:tcPr>
            <w:tcW w:w="1058" w:type="dxa"/>
            <w:tcBorders>
              <w:top w:val="single" w:sz="2" w:space="0" w:color="000000"/>
              <w:left w:val="single" w:sz="2" w:space="0" w:color="000000"/>
              <w:bottom w:val="single" w:sz="2" w:space="0" w:color="000000"/>
              <w:right w:val="single" w:sz="2" w:space="0" w:color="000000"/>
            </w:tcBorders>
          </w:tcPr>
          <w:p w14:paraId="315FBFE2" w14:textId="77777777" w:rsidR="00053D93" w:rsidRDefault="00260B75">
            <w:pPr>
              <w:ind w:left="10" w:right="148" w:firstLine="7"/>
            </w:pPr>
            <w:r>
              <w:rPr>
                <w:rFonts w:ascii="Times New Roman" w:eastAsia="Times New Roman" w:hAnsi="Times New Roman" w:cs="Times New Roman"/>
                <w:sz w:val="20"/>
              </w:rPr>
              <w:t xml:space="preserve">6 </w:t>
            </w:r>
            <w:r>
              <w:rPr>
                <w:sz w:val="20"/>
              </w:rPr>
              <w:t xml:space="preserve">febrero </w:t>
            </w:r>
            <w:r>
              <w:rPr>
                <w:rFonts w:ascii="Times New Roman" w:eastAsia="Times New Roman" w:hAnsi="Times New Roman" w:cs="Times New Roman"/>
                <w:sz w:val="20"/>
              </w:rPr>
              <w:t>2025</w:t>
            </w:r>
          </w:p>
        </w:tc>
        <w:tc>
          <w:tcPr>
            <w:tcW w:w="1138" w:type="dxa"/>
            <w:tcBorders>
              <w:top w:val="single" w:sz="2" w:space="0" w:color="000000"/>
              <w:left w:val="single" w:sz="2" w:space="0" w:color="000000"/>
              <w:bottom w:val="single" w:sz="2" w:space="0" w:color="000000"/>
              <w:right w:val="single" w:sz="2" w:space="0" w:color="000000"/>
            </w:tcBorders>
          </w:tcPr>
          <w:p w14:paraId="4150FE9E" w14:textId="77777777" w:rsidR="00053D93" w:rsidRDefault="00260B75">
            <w:pPr>
              <w:ind w:left="20"/>
              <w:jc w:val="center"/>
            </w:pPr>
            <w:r>
              <w:rPr>
                <w:rFonts w:ascii="Times New Roman" w:eastAsia="Times New Roman" w:hAnsi="Times New Roman" w:cs="Times New Roman"/>
                <w:sz w:val="20"/>
              </w:rPr>
              <w:t>25</w:t>
            </w:r>
          </w:p>
        </w:tc>
        <w:tc>
          <w:tcPr>
            <w:tcW w:w="1238" w:type="dxa"/>
            <w:tcBorders>
              <w:top w:val="single" w:sz="2" w:space="0" w:color="000000"/>
              <w:left w:val="single" w:sz="2" w:space="0" w:color="000000"/>
              <w:bottom w:val="single" w:sz="2" w:space="0" w:color="000000"/>
              <w:right w:val="single" w:sz="2" w:space="0" w:color="000000"/>
            </w:tcBorders>
          </w:tcPr>
          <w:p w14:paraId="5B44D21B" w14:textId="77777777" w:rsidR="00053D93" w:rsidRDefault="00260B75">
            <w:pPr>
              <w:ind w:left="13"/>
              <w:jc w:val="center"/>
            </w:pPr>
            <w:r>
              <w:rPr>
                <w:rFonts w:ascii="Times New Roman" w:eastAsia="Times New Roman" w:hAnsi="Times New Roman" w:cs="Times New Roman"/>
                <w:sz w:val="20"/>
              </w:rPr>
              <w:t>38643</w:t>
            </w:r>
          </w:p>
        </w:tc>
        <w:tc>
          <w:tcPr>
            <w:tcW w:w="1615" w:type="dxa"/>
            <w:tcBorders>
              <w:top w:val="single" w:sz="2" w:space="0" w:color="000000"/>
              <w:left w:val="single" w:sz="2" w:space="0" w:color="000000"/>
              <w:bottom w:val="single" w:sz="2" w:space="0" w:color="000000"/>
              <w:right w:val="single" w:sz="2" w:space="0" w:color="000000"/>
            </w:tcBorders>
          </w:tcPr>
          <w:p w14:paraId="7A3D466C" w14:textId="77777777" w:rsidR="00053D93" w:rsidRDefault="00260B75">
            <w:pPr>
              <w:ind w:left="17"/>
              <w:jc w:val="center"/>
            </w:pPr>
            <w:r>
              <w:rPr>
                <w:rFonts w:ascii="Times New Roman" w:eastAsia="Times New Roman" w:hAnsi="Times New Roman" w:cs="Times New Roman"/>
                <w:sz w:val="20"/>
              </w:rPr>
              <w:t>015-2025</w:t>
            </w:r>
          </w:p>
        </w:tc>
      </w:tr>
      <w:tr w:rsidR="00053D93" w14:paraId="3B64649C" w14:textId="77777777">
        <w:trPr>
          <w:trHeight w:val="1164"/>
        </w:trPr>
        <w:tc>
          <w:tcPr>
            <w:tcW w:w="554" w:type="dxa"/>
            <w:tcBorders>
              <w:top w:val="single" w:sz="2" w:space="0" w:color="000000"/>
              <w:left w:val="single" w:sz="2" w:space="0" w:color="000000"/>
              <w:bottom w:val="single" w:sz="2" w:space="0" w:color="000000"/>
              <w:right w:val="single" w:sz="2" w:space="0" w:color="000000"/>
            </w:tcBorders>
          </w:tcPr>
          <w:p w14:paraId="3A84431F" w14:textId="77777777" w:rsidR="00053D93" w:rsidRDefault="00053D93"/>
        </w:tc>
        <w:tc>
          <w:tcPr>
            <w:tcW w:w="1433" w:type="dxa"/>
            <w:tcBorders>
              <w:top w:val="single" w:sz="2" w:space="0" w:color="000000"/>
              <w:left w:val="single" w:sz="2" w:space="0" w:color="000000"/>
              <w:bottom w:val="single" w:sz="2" w:space="0" w:color="000000"/>
              <w:right w:val="single" w:sz="2" w:space="0" w:color="000000"/>
            </w:tcBorders>
            <w:vAlign w:val="bottom"/>
          </w:tcPr>
          <w:p w14:paraId="7F0FD739" w14:textId="77777777" w:rsidR="00053D93" w:rsidRDefault="00260B75">
            <w:pPr>
              <w:tabs>
                <w:tab w:val="right" w:pos="1210"/>
              </w:tabs>
            </w:pPr>
            <w:r>
              <w:rPr>
                <w:sz w:val="20"/>
              </w:rPr>
              <w:t>Normal</w:t>
            </w:r>
            <w:r>
              <w:rPr>
                <w:sz w:val="20"/>
              </w:rPr>
              <w:tab/>
              <w:t>de</w:t>
            </w:r>
          </w:p>
          <w:p w14:paraId="1DC0932E" w14:textId="77777777" w:rsidR="00053D93" w:rsidRDefault="00260B75">
            <w:pPr>
              <w:ind w:left="14"/>
            </w:pPr>
            <w:r>
              <w:t>Educación</w:t>
            </w:r>
          </w:p>
          <w:p w14:paraId="7FDB0DB8" w14:textId="77777777" w:rsidR="00053D93" w:rsidRDefault="00260B75">
            <w:pPr>
              <w:ind w:left="7"/>
            </w:pPr>
            <w:r>
              <w:rPr>
                <w:sz w:val="20"/>
              </w:rPr>
              <w:t>Física Jutiapa,</w:t>
            </w:r>
          </w:p>
          <w:p w14:paraId="11AA4D06" w14:textId="77777777" w:rsidR="00053D93" w:rsidRDefault="00260B75">
            <w:r>
              <w:rPr>
                <w:sz w:val="20"/>
              </w:rPr>
              <w:t>Jutiapa</w:t>
            </w:r>
          </w:p>
        </w:tc>
        <w:tc>
          <w:tcPr>
            <w:tcW w:w="1423" w:type="dxa"/>
            <w:tcBorders>
              <w:top w:val="single" w:sz="2" w:space="0" w:color="000000"/>
              <w:left w:val="single" w:sz="2" w:space="0" w:color="000000"/>
              <w:bottom w:val="single" w:sz="2" w:space="0" w:color="000000"/>
              <w:right w:val="single" w:sz="2" w:space="0" w:color="000000"/>
            </w:tcBorders>
          </w:tcPr>
          <w:p w14:paraId="4D599859" w14:textId="77777777" w:rsidR="00053D93" w:rsidRDefault="00260B75">
            <w:pPr>
              <w:ind w:left="7"/>
            </w:pPr>
            <w:r>
              <w:rPr>
                <w:sz w:val="20"/>
              </w:rPr>
              <w:t>agilidad</w:t>
            </w:r>
          </w:p>
        </w:tc>
        <w:tc>
          <w:tcPr>
            <w:tcW w:w="1058" w:type="dxa"/>
            <w:tcBorders>
              <w:top w:val="single" w:sz="2" w:space="0" w:color="000000"/>
              <w:left w:val="single" w:sz="2" w:space="0" w:color="000000"/>
              <w:bottom w:val="single" w:sz="2" w:space="0" w:color="000000"/>
              <w:right w:val="single" w:sz="2" w:space="0" w:color="000000"/>
            </w:tcBorders>
          </w:tcPr>
          <w:p w14:paraId="01367EE1" w14:textId="77777777" w:rsidR="00053D93" w:rsidRDefault="00260B75">
            <w:pPr>
              <w:ind w:left="10"/>
            </w:pPr>
            <w:r>
              <w:rPr>
                <w:sz w:val="20"/>
              </w:rPr>
              <w:t>febrero</w:t>
            </w:r>
          </w:p>
          <w:p w14:paraId="22AE2A79" w14:textId="77777777" w:rsidR="00053D93" w:rsidRDefault="00260B75">
            <w:pPr>
              <w:ind w:left="3"/>
            </w:pPr>
            <w:r>
              <w:rPr>
                <w:rFonts w:ascii="Times New Roman" w:eastAsia="Times New Roman" w:hAnsi="Times New Roman" w:cs="Times New Roman"/>
                <w:sz w:val="20"/>
              </w:rPr>
              <w:t>2025</w:t>
            </w:r>
          </w:p>
        </w:tc>
        <w:tc>
          <w:tcPr>
            <w:tcW w:w="1138" w:type="dxa"/>
            <w:tcBorders>
              <w:top w:val="single" w:sz="2" w:space="0" w:color="000000"/>
              <w:left w:val="single" w:sz="2" w:space="0" w:color="000000"/>
              <w:bottom w:val="single" w:sz="2" w:space="0" w:color="000000"/>
              <w:right w:val="single" w:sz="2" w:space="0" w:color="000000"/>
            </w:tcBorders>
          </w:tcPr>
          <w:p w14:paraId="0EA0284C" w14:textId="77777777" w:rsidR="00053D93" w:rsidRDefault="00053D93"/>
        </w:tc>
        <w:tc>
          <w:tcPr>
            <w:tcW w:w="1238" w:type="dxa"/>
            <w:tcBorders>
              <w:top w:val="single" w:sz="2" w:space="0" w:color="000000"/>
              <w:left w:val="single" w:sz="2" w:space="0" w:color="000000"/>
              <w:bottom w:val="single" w:sz="2" w:space="0" w:color="000000"/>
              <w:right w:val="single" w:sz="2" w:space="0" w:color="000000"/>
            </w:tcBorders>
          </w:tcPr>
          <w:p w14:paraId="31369D67" w14:textId="77777777" w:rsidR="00053D93" w:rsidRDefault="00053D93"/>
        </w:tc>
        <w:tc>
          <w:tcPr>
            <w:tcW w:w="1615" w:type="dxa"/>
            <w:tcBorders>
              <w:top w:val="single" w:sz="2" w:space="0" w:color="000000"/>
              <w:left w:val="single" w:sz="2" w:space="0" w:color="000000"/>
              <w:bottom w:val="single" w:sz="2" w:space="0" w:color="000000"/>
              <w:right w:val="single" w:sz="2" w:space="0" w:color="000000"/>
            </w:tcBorders>
          </w:tcPr>
          <w:p w14:paraId="17413394" w14:textId="77777777" w:rsidR="00053D93" w:rsidRDefault="00260B75">
            <w:pPr>
              <w:ind w:right="4"/>
              <w:jc w:val="center"/>
            </w:pPr>
            <w:r>
              <w:rPr>
                <w:rFonts w:ascii="Times New Roman" w:eastAsia="Times New Roman" w:hAnsi="Times New Roman" w:cs="Times New Roman"/>
                <w:sz w:val="18"/>
              </w:rPr>
              <w:t>016-2025</w:t>
            </w:r>
          </w:p>
        </w:tc>
      </w:tr>
      <w:tr w:rsidR="00053D93" w14:paraId="34FC2957" w14:textId="77777777">
        <w:trPr>
          <w:trHeight w:val="252"/>
        </w:trPr>
        <w:tc>
          <w:tcPr>
            <w:tcW w:w="3410" w:type="dxa"/>
            <w:gridSpan w:val="3"/>
            <w:tcBorders>
              <w:top w:val="single" w:sz="2" w:space="0" w:color="000000"/>
              <w:left w:val="single" w:sz="2" w:space="0" w:color="000000"/>
              <w:bottom w:val="single" w:sz="2" w:space="0" w:color="000000"/>
              <w:right w:val="nil"/>
            </w:tcBorders>
          </w:tcPr>
          <w:p w14:paraId="15747A78" w14:textId="77777777" w:rsidR="00053D93" w:rsidRDefault="00260B75">
            <w:pPr>
              <w:ind w:left="1490"/>
            </w:pPr>
            <w:r>
              <w:rPr>
                <w:sz w:val="18"/>
              </w:rPr>
              <w:t>Total, entregado</w:t>
            </w:r>
          </w:p>
        </w:tc>
        <w:tc>
          <w:tcPr>
            <w:tcW w:w="1058" w:type="dxa"/>
            <w:tcBorders>
              <w:top w:val="single" w:sz="2" w:space="0" w:color="000000"/>
              <w:left w:val="nil"/>
              <w:bottom w:val="single" w:sz="2" w:space="0" w:color="000000"/>
              <w:right w:val="single" w:sz="2" w:space="0" w:color="000000"/>
            </w:tcBorders>
          </w:tcPr>
          <w:p w14:paraId="308B1BD2" w14:textId="77777777" w:rsidR="00053D93" w:rsidRDefault="00053D93"/>
        </w:tc>
        <w:tc>
          <w:tcPr>
            <w:tcW w:w="1138" w:type="dxa"/>
            <w:tcBorders>
              <w:top w:val="single" w:sz="2" w:space="0" w:color="000000"/>
              <w:left w:val="single" w:sz="2" w:space="0" w:color="000000"/>
              <w:bottom w:val="single" w:sz="2" w:space="0" w:color="000000"/>
              <w:right w:val="single" w:sz="2" w:space="0" w:color="000000"/>
            </w:tcBorders>
          </w:tcPr>
          <w:p w14:paraId="63B7130A" w14:textId="77777777" w:rsidR="00053D93" w:rsidRDefault="00260B75">
            <w:pPr>
              <w:ind w:right="16"/>
              <w:jc w:val="center"/>
            </w:pPr>
            <w:r>
              <w:rPr>
                <w:rFonts w:ascii="Times New Roman" w:eastAsia="Times New Roman" w:hAnsi="Times New Roman" w:cs="Times New Roman"/>
                <w:sz w:val="18"/>
              </w:rPr>
              <w:t>400</w:t>
            </w:r>
          </w:p>
        </w:tc>
        <w:tc>
          <w:tcPr>
            <w:tcW w:w="2854" w:type="dxa"/>
            <w:gridSpan w:val="2"/>
            <w:tcBorders>
              <w:top w:val="single" w:sz="2" w:space="0" w:color="000000"/>
              <w:left w:val="single" w:sz="2" w:space="0" w:color="000000"/>
              <w:bottom w:val="single" w:sz="2" w:space="0" w:color="000000"/>
              <w:right w:val="single" w:sz="2" w:space="0" w:color="000000"/>
            </w:tcBorders>
          </w:tcPr>
          <w:p w14:paraId="016258FA" w14:textId="77777777" w:rsidR="00053D93" w:rsidRDefault="00260B75">
            <w:pPr>
              <w:ind w:left="10"/>
            </w:pPr>
            <w:r>
              <w:rPr>
                <w:sz w:val="20"/>
              </w:rPr>
              <w:t>Escaleras de agilidad</w:t>
            </w:r>
          </w:p>
        </w:tc>
      </w:tr>
    </w:tbl>
    <w:tbl>
      <w:tblPr>
        <w:tblStyle w:val="TableGrid"/>
        <w:tblpPr w:vertAnchor="page" w:horzAnchor="page" w:tblpX="2805" w:tblpY="14414"/>
        <w:tblOverlap w:val="never"/>
        <w:tblW w:w="7656" w:type="dxa"/>
        <w:tblInd w:w="0" w:type="dxa"/>
        <w:tblCellMar>
          <w:top w:w="28" w:type="dxa"/>
          <w:left w:w="1781" w:type="dxa"/>
          <w:right w:w="115" w:type="dxa"/>
        </w:tblCellMar>
        <w:tblLook w:val="04A0" w:firstRow="1" w:lastRow="0" w:firstColumn="1" w:lastColumn="0" w:noHBand="0" w:noVBand="1"/>
      </w:tblPr>
      <w:tblGrid>
        <w:gridCol w:w="7656"/>
      </w:tblGrid>
      <w:tr w:rsidR="00053D93" w14:paraId="25AC83C5" w14:textId="77777777">
        <w:trPr>
          <w:trHeight w:val="58"/>
        </w:trPr>
        <w:tc>
          <w:tcPr>
            <w:tcW w:w="7656" w:type="dxa"/>
            <w:tcBorders>
              <w:top w:val="nil"/>
              <w:left w:val="single" w:sz="2" w:space="0" w:color="000000"/>
              <w:bottom w:val="single" w:sz="2" w:space="0" w:color="000000"/>
              <w:right w:val="nil"/>
            </w:tcBorders>
          </w:tcPr>
          <w:p w14:paraId="48CAC320" w14:textId="77777777" w:rsidR="00053D93" w:rsidRDefault="00053D93"/>
        </w:tc>
      </w:tr>
      <w:tr w:rsidR="00053D93" w14:paraId="0281FB6F" w14:textId="77777777">
        <w:trPr>
          <w:trHeight w:val="583"/>
        </w:trPr>
        <w:tc>
          <w:tcPr>
            <w:tcW w:w="7656" w:type="dxa"/>
            <w:tcBorders>
              <w:top w:val="single" w:sz="2" w:space="0" w:color="000000"/>
              <w:left w:val="single" w:sz="2" w:space="0" w:color="000000"/>
              <w:bottom w:val="nil"/>
              <w:right w:val="nil"/>
            </w:tcBorders>
          </w:tcPr>
          <w:p w14:paraId="6647F654" w14:textId="77777777" w:rsidR="00053D93" w:rsidRDefault="00260B75">
            <w:pPr>
              <w:ind w:left="835"/>
            </w:pPr>
            <w:r>
              <w:rPr>
                <w:sz w:val="14"/>
              </w:rPr>
              <w:lastRenderedPageBreak/>
              <w:t>MINISTERIO DE EDUCACION</w:t>
            </w:r>
          </w:p>
          <w:p w14:paraId="71C1E594" w14:textId="77777777" w:rsidR="00053D93" w:rsidRDefault="00260B75">
            <w:pPr>
              <w:ind w:left="338"/>
            </w:pPr>
            <w:r>
              <w:rPr>
                <w:sz w:val="14"/>
              </w:rPr>
              <w:t>AUDITORÍA FINANCIERA Y DE CUMPLIMIENTO</w:t>
            </w:r>
          </w:p>
          <w:p w14:paraId="369162A4" w14:textId="77777777" w:rsidR="00053D93" w:rsidRDefault="00260B75">
            <w:r>
              <w:rPr>
                <w:sz w:val="14"/>
              </w:rPr>
              <w:t>PERIODO DEL 01 DE ENERO AL 31 DE DICIEMBRE DE 2024</w:t>
            </w:r>
          </w:p>
        </w:tc>
      </w:tr>
    </w:tbl>
    <w:p w14:paraId="4F977A3C" w14:textId="77777777" w:rsidR="00053D93" w:rsidRDefault="00260B75">
      <w:pPr>
        <w:spacing w:after="319" w:line="247" w:lineRule="auto"/>
        <w:ind w:left="1670" w:right="14" w:firstLine="4"/>
        <w:jc w:val="both"/>
      </w:pPr>
      <w:r>
        <w:rPr>
          <w:noProof/>
        </w:rPr>
        <w:drawing>
          <wp:anchor distT="0" distB="0" distL="114300" distR="114300" simplePos="0" relativeHeight="252023808" behindDoc="0" locked="0" layoutInCell="1" allowOverlap="0" wp14:anchorId="24FDBF40" wp14:editId="359EC27B">
            <wp:simplePos x="0" y="0"/>
            <wp:positionH relativeFrom="page">
              <wp:posOffset>662940</wp:posOffset>
            </wp:positionH>
            <wp:positionV relativeFrom="page">
              <wp:posOffset>9148572</wp:posOffset>
            </wp:positionV>
            <wp:extent cx="1065276" cy="411480"/>
            <wp:effectExtent l="0" t="0" r="0" b="0"/>
            <wp:wrapTopAndBottom/>
            <wp:docPr id="554578" name="Picture 554578"/>
            <wp:cNvGraphicFramePr/>
            <a:graphic xmlns:a="http://schemas.openxmlformats.org/drawingml/2006/main">
              <a:graphicData uri="http://schemas.openxmlformats.org/drawingml/2006/picture">
                <pic:pic xmlns:pic="http://schemas.openxmlformats.org/drawingml/2006/picture">
                  <pic:nvPicPr>
                    <pic:cNvPr id="554578" name="Picture 554578"/>
                    <pic:cNvPicPr/>
                  </pic:nvPicPr>
                  <pic:blipFill>
                    <a:blip r:embed="rId838"/>
                    <a:stretch>
                      <a:fillRect/>
                    </a:stretch>
                  </pic:blipFill>
                  <pic:spPr>
                    <a:xfrm>
                      <a:off x="0" y="0"/>
                      <a:ext cx="1065276" cy="411480"/>
                    </a:xfrm>
                    <a:prstGeom prst="rect">
                      <a:avLst/>
                    </a:prstGeom>
                  </pic:spPr>
                </pic:pic>
              </a:graphicData>
            </a:graphic>
          </wp:anchor>
        </w:drawing>
      </w:r>
      <w:r>
        <w:rPr>
          <w:sz w:val="26"/>
        </w:rPr>
        <w:t>Por lo anteriormente expuesto se puede concluir lo siguiente: El Departamento de Escuelas Normales de Educación Física, no recibió el material de arena silica y escaleras de agilidad en la fecha solicitada. Se programó la entrega de materiales en varias ocasiones solicitando el transporte, pero no se contó con el apoyo necesario para la entrega a las 22 Escuelas Normales de Educación Física. Este departamento siempre estuvo pendiente y atento para la entrega de lo solicitado a las Comunidades educativas, gestionando el apoyo de transporte. El material fue entregado en su totalidad a las comunidades educativas según distribución realizada. Los centros educativos no cuentan con los recursos financieros para venir a traer inmediatamente los materiales, tienen que realizar autogestiones a nivel local y no precisamente en las fechas programadas por este departamento. El material solicitado es exclusivamente para apoyo en los cursos prácticos que comprende el Currículo Nacional Base de la Carrera de Bachillerato en Ciencias y Letras con Orientación en Educación Física de forma consecutiva (natación y atletismo) Las Escuela Normales de Educación Física culminan el ciclo escolar el 30 de noviembre y el 15 de diciembre el área administrativa. Iniciando nuevamente el ciclo escolar el 15 de febrero de cada año...</w:t>
      </w:r>
      <w:r>
        <w:rPr>
          <w:noProof/>
        </w:rPr>
        <w:drawing>
          <wp:inline distT="0" distB="0" distL="0" distR="0" wp14:anchorId="2697C66C" wp14:editId="27A3D9A1">
            <wp:extent cx="36576" cy="41148"/>
            <wp:effectExtent l="0" t="0" r="0" b="0"/>
            <wp:docPr id="2458456" name="Picture 2458456"/>
            <wp:cNvGraphicFramePr/>
            <a:graphic xmlns:a="http://schemas.openxmlformats.org/drawingml/2006/main">
              <a:graphicData uri="http://schemas.openxmlformats.org/drawingml/2006/picture">
                <pic:pic xmlns:pic="http://schemas.openxmlformats.org/drawingml/2006/picture">
                  <pic:nvPicPr>
                    <pic:cNvPr id="2458456" name="Picture 2458456"/>
                    <pic:cNvPicPr/>
                  </pic:nvPicPr>
                  <pic:blipFill>
                    <a:blip r:embed="rId839"/>
                    <a:stretch>
                      <a:fillRect/>
                    </a:stretch>
                  </pic:blipFill>
                  <pic:spPr>
                    <a:xfrm>
                      <a:off x="0" y="0"/>
                      <a:ext cx="36576" cy="41148"/>
                    </a:xfrm>
                    <a:prstGeom prst="rect">
                      <a:avLst/>
                    </a:prstGeom>
                  </pic:spPr>
                </pic:pic>
              </a:graphicData>
            </a:graphic>
          </wp:inline>
        </w:drawing>
      </w:r>
    </w:p>
    <w:p w14:paraId="01393063" w14:textId="77777777" w:rsidR="00053D93" w:rsidRDefault="00260B75">
      <w:pPr>
        <w:spacing w:after="17" w:line="247" w:lineRule="auto"/>
        <w:ind w:left="1649" w:right="14" w:firstLine="4"/>
        <w:jc w:val="both"/>
      </w:pPr>
      <w:r>
        <w:rPr>
          <w:sz w:val="26"/>
        </w:rPr>
        <w:t>En oficio No. REC/DlGEF/076/2025 del 10 de abril de 2025, el licenciado Juan Carlos Abac, quien fungió como Coordinador Extracurricular A.C, por el período comprendido del 13 de marzo de 2024 al 02 de octubre de 2024, manifiesta: "...PRIMERO: Informarles que mi persona fue asignada temporalmente como coordinador a.i. del Área Extra Curricular, según Resolución-DlGEF- No. DG-065-2024 de fecha 13 de marzo de 2024. Asunto: Designar al servidor público Juan Carlos Abac Asesor Profesional Especializado l, para desempeñar como Coordinador Extracurricular a.i. en la Dirección General de Educación Física. En este tiempo mi persona programo reuniones, supervisiones, visitas técnicas a los diferentes eventos deportivos, se convocó a reuniones a las jefaturas de los siguientes departamentos: Departamento de Desarrollo Deportivo Escolar, Departamento de Torneos Deportivos Escolares y Departamento Técnico</w:t>
      </w:r>
    </w:p>
    <w:p w14:paraId="0A01EF41" w14:textId="77777777" w:rsidR="00053D93" w:rsidRDefault="00260B75">
      <w:pPr>
        <w:spacing w:after="178" w:line="265" w:lineRule="auto"/>
        <w:ind w:left="1846" w:hanging="10"/>
        <w:jc w:val="center"/>
      </w:pPr>
      <w:r>
        <w:rPr>
          <w:rFonts w:ascii="Times New Roman" w:eastAsia="Times New Roman" w:hAnsi="Times New Roman" w:cs="Times New Roman"/>
          <w:sz w:val="14"/>
        </w:rPr>
        <w:t>1 17</w:t>
      </w:r>
    </w:p>
    <w:p w14:paraId="07444751" w14:textId="77777777" w:rsidR="00053D93" w:rsidRDefault="00260B75">
      <w:pPr>
        <w:spacing w:after="0"/>
        <w:ind w:left="1850" w:right="-14"/>
      </w:pPr>
      <w:r>
        <w:rPr>
          <w:noProof/>
        </w:rPr>
        <mc:AlternateContent>
          <mc:Choice Requires="wpg">
            <w:drawing>
              <wp:inline distT="0" distB="0" distL="0" distR="0" wp14:anchorId="53E0B866" wp14:editId="6F0F02C2">
                <wp:extent cx="5381245" cy="13716"/>
                <wp:effectExtent l="0" t="0" r="0" b="0"/>
                <wp:docPr id="2458459" name="Group 2458459"/>
                <wp:cNvGraphicFramePr/>
                <a:graphic xmlns:a="http://schemas.openxmlformats.org/drawingml/2006/main">
                  <a:graphicData uri="http://schemas.microsoft.com/office/word/2010/wordprocessingGroup">
                    <wpg:wgp>
                      <wpg:cNvGrpSpPr/>
                      <wpg:grpSpPr>
                        <a:xfrm>
                          <a:off x="0" y="0"/>
                          <a:ext cx="5381245" cy="13716"/>
                          <a:chOff x="0" y="0"/>
                          <a:chExt cx="5381245" cy="13716"/>
                        </a:xfrm>
                      </wpg:grpSpPr>
                      <wps:wsp>
                        <wps:cNvPr id="2458458" name="Shape 2458458"/>
                        <wps:cNvSpPr/>
                        <wps:spPr>
                          <a:xfrm>
                            <a:off x="0" y="0"/>
                            <a:ext cx="5381245" cy="13716"/>
                          </a:xfrm>
                          <a:custGeom>
                            <a:avLst/>
                            <a:gdLst/>
                            <a:ahLst/>
                            <a:cxnLst/>
                            <a:rect l="0" t="0" r="0" b="0"/>
                            <a:pathLst>
                              <a:path w="5381245" h="13716">
                                <a:moveTo>
                                  <a:pt x="0" y="6858"/>
                                </a:moveTo>
                                <a:lnTo>
                                  <a:pt x="5381245"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59" style="width:423.72pt;height:1.08pt;mso-position-horizontal-relative:char;mso-position-vertical-relative:line" coordsize="53812,137">
                <v:shape id="Shape 2458458" style="position:absolute;width:53812;height:137;left:0;top:0;" coordsize="5381245,13716" path="m0,6858l5381245,6858">
                  <v:stroke weight="1.08pt" endcap="flat" joinstyle="miter" miterlimit="1" on="true" color="#000000"/>
                  <v:fill on="false" color="#000000"/>
                </v:shape>
              </v:group>
            </w:pict>
          </mc:Fallback>
        </mc:AlternateContent>
      </w:r>
    </w:p>
    <w:tbl>
      <w:tblPr>
        <w:tblStyle w:val="TableGrid"/>
        <w:tblpPr w:vertAnchor="page" w:horzAnchor="page" w:tblpX="3006" w:tblpY="14479"/>
        <w:tblOverlap w:val="never"/>
        <w:tblW w:w="7664" w:type="dxa"/>
        <w:tblInd w:w="0" w:type="dxa"/>
        <w:tblCellMar>
          <w:top w:w="25" w:type="dxa"/>
          <w:left w:w="1789" w:type="dxa"/>
          <w:right w:w="115" w:type="dxa"/>
        </w:tblCellMar>
        <w:tblLook w:val="04A0" w:firstRow="1" w:lastRow="0" w:firstColumn="1" w:lastColumn="0" w:noHBand="0" w:noVBand="1"/>
      </w:tblPr>
      <w:tblGrid>
        <w:gridCol w:w="7664"/>
      </w:tblGrid>
      <w:tr w:rsidR="00053D93" w14:paraId="1419FA89" w14:textId="77777777">
        <w:trPr>
          <w:trHeight w:val="605"/>
        </w:trPr>
        <w:tc>
          <w:tcPr>
            <w:tcW w:w="7664" w:type="dxa"/>
            <w:tcBorders>
              <w:top w:val="single" w:sz="2" w:space="0" w:color="000000"/>
              <w:left w:val="single" w:sz="2" w:space="0" w:color="000000"/>
              <w:bottom w:val="nil"/>
              <w:right w:val="nil"/>
            </w:tcBorders>
          </w:tcPr>
          <w:p w14:paraId="61709DF7" w14:textId="77777777" w:rsidR="00053D93" w:rsidRDefault="00260B75">
            <w:pPr>
              <w:ind w:left="828"/>
            </w:pPr>
            <w:r>
              <w:rPr>
                <w:sz w:val="14"/>
              </w:rPr>
              <w:lastRenderedPageBreak/>
              <w:t>MINISTERIO DE EDUCACION</w:t>
            </w:r>
          </w:p>
          <w:p w14:paraId="38690361" w14:textId="77777777" w:rsidR="00053D93" w:rsidRDefault="00260B75">
            <w:pPr>
              <w:ind w:left="331"/>
            </w:pPr>
            <w:r>
              <w:rPr>
                <w:sz w:val="14"/>
              </w:rPr>
              <w:lastRenderedPageBreak/>
              <w:t>AUDTORIA FINANCIERA Y DE CUMPLIMIENTO</w:t>
            </w:r>
          </w:p>
          <w:p w14:paraId="2FB37EF3" w14:textId="77777777" w:rsidR="00053D93" w:rsidRDefault="00260B75">
            <w:r>
              <w:rPr>
                <w:sz w:val="14"/>
              </w:rPr>
              <w:t>PER'ODO DEL 01 DE ENERO AL 31 DE DICIEMBRE DE 2024</w:t>
            </w:r>
          </w:p>
        </w:tc>
      </w:tr>
    </w:tbl>
    <w:p w14:paraId="43AD0D78" w14:textId="77777777" w:rsidR="00053D93" w:rsidRDefault="00260B75">
      <w:pPr>
        <w:spacing w:after="17" w:line="247" w:lineRule="auto"/>
        <w:ind w:left="180" w:right="14" w:firstLine="4"/>
        <w:jc w:val="both"/>
      </w:pPr>
      <w:r>
        <w:rPr>
          <w:noProof/>
        </w:rPr>
        <w:lastRenderedPageBreak/>
        <w:drawing>
          <wp:anchor distT="0" distB="0" distL="114300" distR="114300" simplePos="0" relativeHeight="252024832" behindDoc="0" locked="0" layoutInCell="1" allowOverlap="0" wp14:anchorId="2DE9C749" wp14:editId="7C8F0A44">
            <wp:simplePos x="0" y="0"/>
            <wp:positionH relativeFrom="page">
              <wp:posOffset>786384</wp:posOffset>
            </wp:positionH>
            <wp:positionV relativeFrom="page">
              <wp:posOffset>9171432</wp:posOffset>
            </wp:positionV>
            <wp:extent cx="1069848" cy="411480"/>
            <wp:effectExtent l="0" t="0" r="0" b="0"/>
            <wp:wrapTopAndBottom/>
            <wp:docPr id="558378" name="Picture 558378"/>
            <wp:cNvGraphicFramePr/>
            <a:graphic xmlns:a="http://schemas.openxmlformats.org/drawingml/2006/main">
              <a:graphicData uri="http://schemas.openxmlformats.org/drawingml/2006/picture">
                <pic:pic xmlns:pic="http://schemas.openxmlformats.org/drawingml/2006/picture">
                  <pic:nvPicPr>
                    <pic:cNvPr id="558378" name="Picture 558378"/>
                    <pic:cNvPicPr/>
                  </pic:nvPicPr>
                  <pic:blipFill>
                    <a:blip r:embed="rId840"/>
                    <a:stretch>
                      <a:fillRect/>
                    </a:stretch>
                  </pic:blipFill>
                  <pic:spPr>
                    <a:xfrm>
                      <a:off x="0" y="0"/>
                      <a:ext cx="1069848" cy="411480"/>
                    </a:xfrm>
                    <a:prstGeom prst="rect">
                      <a:avLst/>
                    </a:prstGeom>
                  </pic:spPr>
                </pic:pic>
              </a:graphicData>
            </a:graphic>
          </wp:anchor>
        </w:drawing>
      </w:r>
      <w:r>
        <w:rPr>
          <w:noProof/>
        </w:rPr>
        <w:drawing>
          <wp:anchor distT="0" distB="0" distL="114300" distR="114300" simplePos="0" relativeHeight="252025856" behindDoc="0" locked="0" layoutInCell="1" allowOverlap="0" wp14:anchorId="1689CF3D" wp14:editId="3FE00671">
            <wp:simplePos x="0" y="0"/>
            <wp:positionH relativeFrom="page">
              <wp:posOffset>6976873</wp:posOffset>
            </wp:positionH>
            <wp:positionV relativeFrom="page">
              <wp:posOffset>5340096</wp:posOffset>
            </wp:positionV>
            <wp:extent cx="13715" cy="13715"/>
            <wp:effectExtent l="0" t="0" r="0" b="0"/>
            <wp:wrapSquare wrapText="bothSides"/>
            <wp:docPr id="558313" name="Picture 558313"/>
            <wp:cNvGraphicFramePr/>
            <a:graphic xmlns:a="http://schemas.openxmlformats.org/drawingml/2006/main">
              <a:graphicData uri="http://schemas.openxmlformats.org/drawingml/2006/picture">
                <pic:pic xmlns:pic="http://schemas.openxmlformats.org/drawingml/2006/picture">
                  <pic:nvPicPr>
                    <pic:cNvPr id="558313" name="Picture 558313"/>
                    <pic:cNvPicPr/>
                  </pic:nvPicPr>
                  <pic:blipFill>
                    <a:blip r:embed="rId841"/>
                    <a:stretch>
                      <a:fillRect/>
                    </a:stretch>
                  </pic:blipFill>
                  <pic:spPr>
                    <a:xfrm>
                      <a:off x="0" y="0"/>
                      <a:ext cx="13715" cy="13715"/>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Nacional, donde a través de oficios se le solicito su programación para la implementación de materiales y suministros adquiridos para sus diferentes programas y proyectos deportivos para el año 2024... SEGUNDO: Durante los </w:t>
      </w:r>
      <w:r>
        <w:rPr>
          <w:rFonts w:ascii="Times New Roman" w:eastAsia="Times New Roman" w:hAnsi="Times New Roman" w:cs="Times New Roman"/>
          <w:sz w:val="26"/>
        </w:rPr>
        <w:t xml:space="preserve">1 </w:t>
      </w:r>
      <w:r>
        <w:rPr>
          <w:sz w:val="26"/>
        </w:rPr>
        <w:t xml:space="preserve">meses de marzo a septiembre del 2024, se estuvo coordinando la compra de material e insumos deportivos para implementar los diferentes proyectos </w:t>
      </w:r>
      <w:r>
        <w:rPr>
          <w:rFonts w:ascii="Times New Roman" w:eastAsia="Times New Roman" w:hAnsi="Times New Roman" w:cs="Times New Roman"/>
          <w:sz w:val="26"/>
        </w:rPr>
        <w:t xml:space="preserve">1 </w:t>
      </w:r>
      <w:r>
        <w:rPr>
          <w:sz w:val="26"/>
        </w:rPr>
        <w:t xml:space="preserve">deportivos de los departamentos del área extracurricular, se sucintaron inconvenientes administrativos donde se ha trazaron las compras de material e insumos deportivos en las fechas solicitadas, como se reprogramaron diferentes </w:t>
      </w:r>
      <w:r>
        <w:rPr>
          <w:rFonts w:ascii="Times New Roman" w:eastAsia="Times New Roman" w:hAnsi="Times New Roman" w:cs="Times New Roman"/>
          <w:sz w:val="26"/>
        </w:rPr>
        <w:t xml:space="preserve">1 </w:t>
      </w:r>
      <w:r>
        <w:rPr>
          <w:sz w:val="26"/>
        </w:rPr>
        <w:t xml:space="preserve">actividades deportivas por falta de firmas y burocracia administrativa por las autoridades superiores, cambio y falta de personal administrativo internamente de Ja DIGEF, todo esto afecto el atraso de las compras de material, Pero durante </w:t>
      </w:r>
      <w:r>
        <w:rPr>
          <w:rFonts w:ascii="Times New Roman" w:eastAsia="Times New Roman" w:hAnsi="Times New Roman" w:cs="Times New Roman"/>
          <w:sz w:val="26"/>
        </w:rPr>
        <w:t xml:space="preserve">1 </w:t>
      </w:r>
      <w:r>
        <w:rPr>
          <w:sz w:val="26"/>
        </w:rPr>
        <w:t xml:space="preserve">esos meses se logró implementar con material deportivo a los niños y escuelas participantes en los diferentes eventos del área extracurricular. Y los insumos y </w:t>
      </w:r>
      <w:r>
        <w:rPr>
          <w:rFonts w:ascii="Times New Roman" w:eastAsia="Times New Roman" w:hAnsi="Times New Roman" w:cs="Times New Roman"/>
          <w:sz w:val="26"/>
        </w:rPr>
        <w:t xml:space="preserve">1 </w:t>
      </w:r>
      <w:r>
        <w:rPr>
          <w:sz w:val="26"/>
        </w:rPr>
        <w:t xml:space="preserve">material que se encontró en el almacén considero que son algunos saldos que tendrían que entregarse a finales del ciclo fiscal 2024... TERCERO: Se realizaron oficios del Área Extracurricular, donde se daban instrucciones y se les ordenaba a </w:t>
      </w:r>
      <w:r>
        <w:rPr>
          <w:rFonts w:ascii="Times New Roman" w:eastAsia="Times New Roman" w:hAnsi="Times New Roman" w:cs="Times New Roman"/>
          <w:sz w:val="26"/>
        </w:rPr>
        <w:t xml:space="preserve">1 </w:t>
      </w:r>
      <w:r>
        <w:rPr>
          <w:sz w:val="26"/>
        </w:rPr>
        <w:t xml:space="preserve">los jefes de los departamentos de: Desarrollo Deportivo Escolar, Departamento de Torneos Deportivos Escolares y Departamento Técnico Nacional que soliciten compras de implementos deportivos, deberían de llenar listados correspondientes, </w:t>
      </w:r>
      <w:r>
        <w:rPr>
          <w:rFonts w:ascii="Times New Roman" w:eastAsia="Times New Roman" w:hAnsi="Times New Roman" w:cs="Times New Roman"/>
          <w:sz w:val="26"/>
        </w:rPr>
        <w:t xml:space="preserve">1 </w:t>
      </w:r>
      <w:r>
        <w:rPr>
          <w:sz w:val="26"/>
        </w:rPr>
        <w:t xml:space="preserve">conocimientos y planificación de entrega de los mismos ya que no pueden permanecer almacenados en bodegas o instalaciones de almacén de la DIGEF, </w:t>
      </w:r>
      <w:r>
        <w:rPr>
          <w:rFonts w:ascii="Times New Roman" w:eastAsia="Times New Roman" w:hAnsi="Times New Roman" w:cs="Times New Roman"/>
          <w:sz w:val="26"/>
        </w:rPr>
        <w:t xml:space="preserve">1 </w:t>
      </w:r>
      <w:r>
        <w:rPr>
          <w:sz w:val="26"/>
        </w:rPr>
        <w:t xml:space="preserve">según las recomendaciones emitidas por la Contraloría General de Cuentas, Oficios CAE-385-2024 y CAE-408-2024 de fecha 17 y 25 de septiembre del 2024... CUARTO: Que el día 2 de octubre, mi persona dejo el puesto de </w:t>
      </w:r>
      <w:r>
        <w:rPr>
          <w:rFonts w:ascii="Times New Roman" w:eastAsia="Times New Roman" w:hAnsi="Times New Roman" w:cs="Times New Roman"/>
          <w:sz w:val="26"/>
        </w:rPr>
        <w:t xml:space="preserve">1 </w:t>
      </w:r>
      <w:r>
        <w:rPr>
          <w:sz w:val="26"/>
        </w:rPr>
        <w:t>Coordinador Extracurricular ai, según formulario de Recursos Humanos,</w:t>
      </w:r>
    </w:p>
    <w:p w14:paraId="60EA9B2B" w14:textId="77777777" w:rsidR="00053D93" w:rsidRDefault="00260B75">
      <w:pPr>
        <w:spacing w:after="4" w:line="267" w:lineRule="auto"/>
        <w:ind w:left="18" w:right="21" w:hanging="4"/>
        <w:jc w:val="right"/>
      </w:pPr>
      <w:r>
        <w:rPr>
          <w:sz w:val="26"/>
        </w:rPr>
        <w:t>Resolución Administrativa -DIGEF No. 292-2024, Guatemala 2 de octubre de</w:t>
      </w:r>
    </w:p>
    <w:p w14:paraId="234FB403" w14:textId="77777777" w:rsidR="00053D93" w:rsidRDefault="00260B75">
      <w:pPr>
        <w:spacing w:after="39" w:line="247" w:lineRule="auto"/>
        <w:ind w:left="252" w:right="14" w:firstLine="1613"/>
        <w:jc w:val="both"/>
      </w:pPr>
      <w:r>
        <w:rPr>
          <w:sz w:val="26"/>
        </w:rPr>
        <w:t xml:space="preserve">2024, Asunto: Retornar al puesto nominal al servidor público JUAN CARLOS </w:t>
      </w:r>
      <w:r>
        <w:rPr>
          <w:rFonts w:ascii="Times New Roman" w:eastAsia="Times New Roman" w:hAnsi="Times New Roman" w:cs="Times New Roman"/>
          <w:sz w:val="26"/>
        </w:rPr>
        <w:t xml:space="preserve">1 </w:t>
      </w:r>
      <w:r>
        <w:rPr>
          <w:sz w:val="26"/>
        </w:rPr>
        <w:t xml:space="preserve">ABAC, Asesor profesional Especializado l, a la Sección de Recreación de la Dirección General de Educación Física, para que preste los servicios de </w:t>
      </w:r>
      <w:r>
        <w:rPr>
          <w:rFonts w:ascii="Times New Roman" w:eastAsia="Times New Roman" w:hAnsi="Times New Roman" w:cs="Times New Roman"/>
          <w:sz w:val="26"/>
        </w:rPr>
        <w:t xml:space="preserve">1 </w:t>
      </w:r>
      <w:r>
        <w:rPr>
          <w:sz w:val="26"/>
        </w:rPr>
        <w:t xml:space="preserve">conformidad al cargo aludido, revocando la resolución DIGEF. No. 065-2024 de fecha 13 de marzo de 2024. Considerando que por la fecha que se realizó la auditoria, (12 de noviembre de 2024 y 24 de enero de 2025), ya no tenía relación </w:t>
      </w:r>
      <w:r>
        <w:rPr>
          <w:rFonts w:ascii="Times New Roman" w:eastAsia="Times New Roman" w:hAnsi="Times New Roman" w:cs="Times New Roman"/>
          <w:sz w:val="26"/>
        </w:rPr>
        <w:t xml:space="preserve">1 </w:t>
      </w:r>
      <w:r>
        <w:rPr>
          <w:sz w:val="26"/>
        </w:rPr>
        <w:t>con el puesto de Coordinador Extracurricular a.i... '</w:t>
      </w:r>
    </w:p>
    <w:p w14:paraId="43B9A670" w14:textId="77777777" w:rsidR="00053D93" w:rsidRDefault="00260B75">
      <w:pPr>
        <w:spacing w:after="17" w:line="247" w:lineRule="auto"/>
        <w:ind w:left="266" w:right="14" w:firstLine="1598"/>
        <w:jc w:val="both"/>
      </w:pPr>
      <w:r>
        <w:rPr>
          <w:sz w:val="26"/>
        </w:rPr>
        <w:t xml:space="preserve">En oficio No. DTC-40-2025-JCLV, del 7 de abril de 2025, el licenciado Juan Carlos </w:t>
      </w:r>
      <w:r>
        <w:rPr>
          <w:rFonts w:ascii="Times New Roman" w:eastAsia="Times New Roman" w:hAnsi="Times New Roman" w:cs="Times New Roman"/>
          <w:sz w:val="26"/>
        </w:rPr>
        <w:t xml:space="preserve">1 </w:t>
      </w:r>
      <w:r>
        <w:rPr>
          <w:sz w:val="26"/>
        </w:rPr>
        <w:t>López Vargas, Coordinador Técnico Nacional A.l., manifiesta: . 1. Para el</w:t>
      </w:r>
    </w:p>
    <w:p w14:paraId="4432FE3D" w14:textId="77777777" w:rsidR="00053D93" w:rsidRDefault="00260B75">
      <w:pPr>
        <w:spacing w:after="17" w:line="247" w:lineRule="auto"/>
        <w:ind w:left="266" w:right="14" w:firstLine="1591"/>
        <w:jc w:val="both"/>
      </w:pPr>
      <w:r>
        <w:rPr>
          <w:sz w:val="26"/>
        </w:rPr>
        <w:t xml:space="preserve">Ejercicio Fiscal 2024, el Departamento Técnico Nacional, elaboró y solicitó sus </w:t>
      </w:r>
      <w:r>
        <w:rPr>
          <w:rFonts w:ascii="Times New Roman" w:eastAsia="Times New Roman" w:hAnsi="Times New Roman" w:cs="Times New Roman"/>
          <w:sz w:val="26"/>
        </w:rPr>
        <w:t xml:space="preserve">1 </w:t>
      </w:r>
      <w:r>
        <w:rPr>
          <w:sz w:val="26"/>
        </w:rPr>
        <w:t xml:space="preserve">respectivos gastos requerimientos para apoyar a las Comisiones Escolares de la Actividad Física a través de los Coordinadores Técnicos Departamentales de las 22 Cabeceras </w:t>
      </w:r>
      <w:r>
        <w:rPr>
          <w:sz w:val="26"/>
        </w:rPr>
        <w:lastRenderedPageBreak/>
        <w:t>Departamentales del país. Sin embargo, hubo muchos atrasos administrativos por el cambio constante de las Altas Autoridades de la DIGEF y su retardo en firmar los documentos. Lamentablemente no fuimos prioridad para las Altas Autoridades y sólo nos recibieron la documentación en Compras de DIGEF</w:t>
      </w:r>
    </w:p>
    <w:p w14:paraId="7350450C" w14:textId="77777777" w:rsidR="00053D93" w:rsidRDefault="00260B75">
      <w:pPr>
        <w:spacing w:after="20"/>
        <w:ind w:left="1706"/>
      </w:pPr>
      <w:r>
        <w:rPr>
          <w:noProof/>
        </w:rPr>
        <mc:AlternateContent>
          <mc:Choice Requires="wpg">
            <w:drawing>
              <wp:inline distT="0" distB="0" distL="0" distR="0" wp14:anchorId="1063E822" wp14:editId="63CD13FA">
                <wp:extent cx="5376672" cy="9144"/>
                <wp:effectExtent l="0" t="0" r="0" b="0"/>
                <wp:docPr id="2458463" name="Group 2458463"/>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462" name="Shape 2458462"/>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63" style="width:423.36pt;height:0.720001pt;mso-position-horizontal-relative:char;mso-position-vertical-relative:line" coordsize="53766,91">
                <v:shape id="Shape 2458462" style="position:absolute;width:53766;height:91;left:0;top:0;" coordsize="5376672,9144" path="m0,4572l5376672,4572">
                  <v:stroke weight="0.720001pt" endcap="flat" joinstyle="miter" miterlimit="1" on="true" color="#000000"/>
                  <v:fill on="false" color="#000000"/>
                </v:shape>
              </v:group>
            </w:pict>
          </mc:Fallback>
        </mc:AlternateContent>
      </w:r>
    </w:p>
    <w:p w14:paraId="6975C3DC" w14:textId="77777777" w:rsidR="00053D93" w:rsidRDefault="00260B75">
      <w:pPr>
        <w:spacing w:after="17" w:line="326" w:lineRule="auto"/>
        <w:ind w:left="14" w:right="14" w:firstLine="4"/>
        <w:jc w:val="both"/>
      </w:pPr>
      <w:r>
        <w:rPr>
          <w:rFonts w:ascii="Times New Roman" w:eastAsia="Times New Roman" w:hAnsi="Times New Roman" w:cs="Times New Roman"/>
          <w:sz w:val="26"/>
        </w:rPr>
        <w:t xml:space="preserve">1 </w:t>
      </w:r>
      <w:r>
        <w:rPr>
          <w:sz w:val="26"/>
        </w:rPr>
        <w:t xml:space="preserve">pero no le dieron trámite a todo si no sólo a lo que se les ordenaba, prueba de ello es que únicamente recibí la compra de las pelotas de fútbol circunferencia 68 a 71 centímetros, número 5, hasta la fecha 09 de septiembre de 2024... requerimiento </w:t>
      </w:r>
      <w:r>
        <w:rPr>
          <w:rFonts w:ascii="Times New Roman" w:eastAsia="Times New Roman" w:hAnsi="Times New Roman" w:cs="Times New Roman"/>
          <w:sz w:val="26"/>
        </w:rPr>
        <w:t xml:space="preserve">1 </w:t>
      </w:r>
      <w:r>
        <w:rPr>
          <w:sz w:val="26"/>
        </w:rPr>
        <w:t xml:space="preserve">de compra de fecha 26 de junio, disponibilidad presupuestaria de fecha 05 de julio y aprueba Compras el 09 de julio con especificaciones técnicas y cuadro de </w:t>
      </w:r>
      <w:r>
        <w:rPr>
          <w:rFonts w:ascii="Times New Roman" w:eastAsia="Times New Roman" w:hAnsi="Times New Roman" w:cs="Times New Roman"/>
          <w:sz w:val="26"/>
        </w:rPr>
        <w:t xml:space="preserve">1 </w:t>
      </w:r>
      <w:r>
        <w:rPr>
          <w:sz w:val="26"/>
        </w:rPr>
        <w:t>distribución; también... la respectiva factura con fecha de recibido el producto en el Departamento de Almacén el 09 de septiembre de 2024) 2. Recalco, con la única compra de las pelotas de fútbol #5, que nos hicieron al Departamento</w:t>
      </w:r>
    </w:p>
    <w:p w14:paraId="65E7BB57" w14:textId="77777777" w:rsidR="00053D93" w:rsidRDefault="00260B75">
      <w:pPr>
        <w:spacing w:after="27"/>
        <w:ind w:left="7"/>
      </w:pPr>
      <w:r>
        <w:rPr>
          <w:noProof/>
        </w:rPr>
        <w:drawing>
          <wp:inline distT="0" distB="0" distL="0" distR="0" wp14:anchorId="4D843D6E" wp14:editId="6535761B">
            <wp:extent cx="9144" cy="9144"/>
            <wp:effectExtent l="0" t="0" r="0" b="0"/>
            <wp:docPr id="562277" name="Picture 562277"/>
            <wp:cNvGraphicFramePr/>
            <a:graphic xmlns:a="http://schemas.openxmlformats.org/drawingml/2006/main">
              <a:graphicData uri="http://schemas.openxmlformats.org/drawingml/2006/picture">
                <pic:pic xmlns:pic="http://schemas.openxmlformats.org/drawingml/2006/picture">
                  <pic:nvPicPr>
                    <pic:cNvPr id="562277" name="Picture 562277"/>
                    <pic:cNvPicPr/>
                  </pic:nvPicPr>
                  <pic:blipFill>
                    <a:blip r:embed="rId117"/>
                    <a:stretch>
                      <a:fillRect/>
                    </a:stretch>
                  </pic:blipFill>
                  <pic:spPr>
                    <a:xfrm>
                      <a:off x="0" y="0"/>
                      <a:ext cx="9144" cy="9144"/>
                    </a:xfrm>
                    <a:prstGeom prst="rect">
                      <a:avLst/>
                    </a:prstGeom>
                  </pic:spPr>
                </pic:pic>
              </a:graphicData>
            </a:graphic>
          </wp:inline>
        </w:drawing>
      </w:r>
    </w:p>
    <w:p w14:paraId="060AF271" w14:textId="77777777" w:rsidR="00053D93" w:rsidRDefault="00260B75">
      <w:pPr>
        <w:spacing w:after="17" w:line="300" w:lineRule="auto"/>
        <w:ind w:left="14" w:right="14" w:firstLine="4"/>
        <w:jc w:val="both"/>
      </w:pPr>
      <w:r>
        <w:rPr>
          <w:rFonts w:ascii="Times New Roman" w:eastAsia="Times New Roman" w:hAnsi="Times New Roman" w:cs="Times New Roman"/>
          <w:sz w:val="26"/>
        </w:rPr>
        <w:t xml:space="preserve">1 </w:t>
      </w:r>
      <w:r>
        <w:rPr>
          <w:sz w:val="26"/>
        </w:rPr>
        <w:t xml:space="preserve">Técnico Nacional, durante mi gestión como Jefe a.i. se procedió a entregar las pelotas de fútbol número 5 a los Coordinadores Técnicos Departamentales, pero no se entregó todo ya que nos vimos afectados por los cambios de personal a lo </w:t>
      </w:r>
      <w:r>
        <w:rPr>
          <w:rFonts w:ascii="Times New Roman" w:eastAsia="Times New Roman" w:hAnsi="Times New Roman" w:cs="Times New Roman"/>
          <w:sz w:val="26"/>
        </w:rPr>
        <w:t xml:space="preserve">1 </w:t>
      </w:r>
      <w:r>
        <w:rPr>
          <w:sz w:val="26"/>
        </w:rPr>
        <w:t xml:space="preserve">interno de la DIGEF, por la falta de transporte, por la falta de pilotos 01 1 y la tardanza de las otras compras para el Departamento Técnico Nacional y así poder </w:t>
      </w:r>
      <w:r>
        <w:rPr>
          <w:noProof/>
        </w:rPr>
        <w:drawing>
          <wp:inline distT="0" distB="0" distL="0" distR="0" wp14:anchorId="4F00DF25" wp14:editId="6F7D7983">
            <wp:extent cx="9144" cy="9144"/>
            <wp:effectExtent l="0" t="0" r="0" b="0"/>
            <wp:docPr id="562278" name="Picture 562278"/>
            <wp:cNvGraphicFramePr/>
            <a:graphic xmlns:a="http://schemas.openxmlformats.org/drawingml/2006/main">
              <a:graphicData uri="http://schemas.openxmlformats.org/drawingml/2006/picture">
                <pic:pic xmlns:pic="http://schemas.openxmlformats.org/drawingml/2006/picture">
                  <pic:nvPicPr>
                    <pic:cNvPr id="562278" name="Picture 562278"/>
                    <pic:cNvPicPr/>
                  </pic:nvPicPr>
                  <pic:blipFill>
                    <a:blip r:embed="rId93"/>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entregar más implementos deportivos. En este caso fui uno de los afectados, me encontraba gozando de una semana de vacaciones (Número de Solicitud 10910724) cuando tomó posesión del Departamento Técnico Nacional el Servidor </w:t>
      </w:r>
      <w:r>
        <w:rPr>
          <w:rFonts w:ascii="Times New Roman" w:eastAsia="Times New Roman" w:hAnsi="Times New Roman" w:cs="Times New Roman"/>
          <w:sz w:val="26"/>
        </w:rPr>
        <w:t xml:space="preserve">1 </w:t>
      </w:r>
      <w:r>
        <w:rPr>
          <w:sz w:val="26"/>
        </w:rPr>
        <w:t xml:space="preserve">Hari Samuell Tejeda Noriega, a través de Resolución No. 367-2024 y a mí, se me notificó hasta el 9 de diciembre de 2024 cuando regresé a laborar a DIGEF y me enviaron al Departamento Técnico Curricular según Resolución No. 368-2024 y </w:t>
      </w:r>
      <w:r>
        <w:rPr>
          <w:rFonts w:ascii="Times New Roman" w:eastAsia="Times New Roman" w:hAnsi="Times New Roman" w:cs="Times New Roman"/>
          <w:sz w:val="26"/>
        </w:rPr>
        <w:t xml:space="preserve">1 </w:t>
      </w:r>
      <w:r>
        <w:rPr>
          <w:sz w:val="26"/>
        </w:rPr>
        <w:t>Cédula de Notificación... 3. La Licenciada Perla María José Abzún Vásquez, quien</w:t>
      </w:r>
    </w:p>
    <w:p w14:paraId="6D0399DD" w14:textId="77777777" w:rsidR="00053D93" w:rsidRDefault="00260B75">
      <w:pPr>
        <w:spacing w:after="166" w:line="247" w:lineRule="auto"/>
        <w:ind w:left="1685" w:right="14" w:firstLine="4"/>
        <w:jc w:val="both"/>
      </w:pPr>
      <w:r>
        <w:rPr>
          <w:sz w:val="26"/>
        </w:rPr>
        <w:t>es la actual Coordinadora Técnica Nacional de la Dirección General de Educación</w:t>
      </w:r>
    </w:p>
    <w:tbl>
      <w:tblPr>
        <w:tblStyle w:val="TableGrid"/>
        <w:tblpPr w:vertAnchor="page" w:horzAnchor="page" w:tblpX="2834" w:tblpY="14436"/>
        <w:tblOverlap w:val="never"/>
        <w:tblW w:w="7627" w:type="dxa"/>
        <w:tblInd w:w="0" w:type="dxa"/>
        <w:tblCellMar>
          <w:top w:w="21" w:type="dxa"/>
          <w:left w:w="1738" w:type="dxa"/>
          <w:right w:w="115" w:type="dxa"/>
        </w:tblCellMar>
        <w:tblLook w:val="04A0" w:firstRow="1" w:lastRow="0" w:firstColumn="1" w:lastColumn="0" w:noHBand="0" w:noVBand="1"/>
      </w:tblPr>
      <w:tblGrid>
        <w:gridCol w:w="7627"/>
      </w:tblGrid>
      <w:tr w:rsidR="00053D93" w14:paraId="350C2E69" w14:textId="77777777">
        <w:trPr>
          <w:trHeight w:val="58"/>
        </w:trPr>
        <w:tc>
          <w:tcPr>
            <w:tcW w:w="7627" w:type="dxa"/>
            <w:tcBorders>
              <w:top w:val="nil"/>
              <w:left w:val="single" w:sz="2" w:space="0" w:color="000000"/>
              <w:bottom w:val="single" w:sz="2" w:space="0" w:color="000000"/>
              <w:right w:val="nil"/>
            </w:tcBorders>
          </w:tcPr>
          <w:p w14:paraId="3E3291B2" w14:textId="77777777" w:rsidR="00053D93" w:rsidRDefault="00053D93"/>
        </w:tc>
      </w:tr>
      <w:tr w:rsidR="00053D93" w14:paraId="5DEA0CEC" w14:textId="77777777">
        <w:trPr>
          <w:trHeight w:val="576"/>
        </w:trPr>
        <w:tc>
          <w:tcPr>
            <w:tcW w:w="7627" w:type="dxa"/>
            <w:tcBorders>
              <w:top w:val="single" w:sz="2" w:space="0" w:color="000000"/>
              <w:left w:val="single" w:sz="2" w:space="0" w:color="000000"/>
              <w:bottom w:val="nil"/>
              <w:right w:val="nil"/>
            </w:tcBorders>
          </w:tcPr>
          <w:p w14:paraId="2F5D3655" w14:textId="77777777" w:rsidR="00053D93" w:rsidRDefault="00260B75">
            <w:pPr>
              <w:ind w:left="842"/>
            </w:pPr>
            <w:r>
              <w:rPr>
                <w:sz w:val="14"/>
              </w:rPr>
              <w:lastRenderedPageBreak/>
              <w:t>MINISTERIO DE EDUCACION</w:t>
            </w:r>
          </w:p>
          <w:p w14:paraId="25FA1999" w14:textId="77777777" w:rsidR="00053D93" w:rsidRDefault="00260B75">
            <w:pPr>
              <w:ind w:left="338"/>
            </w:pPr>
            <w:r>
              <w:rPr>
                <w:sz w:val="14"/>
              </w:rPr>
              <w:t>AUDITORIA FINANCIERA Y DE CUMPLIMIENTO</w:t>
            </w:r>
          </w:p>
          <w:p w14:paraId="06B4B756" w14:textId="77777777" w:rsidR="00053D93" w:rsidRDefault="00260B75">
            <w:r>
              <w:rPr>
                <w:sz w:val="14"/>
              </w:rPr>
              <w:t>PERIODO DEL 01 OE ENERO AL 31 DE DICIEMBRE OE 2024</w:t>
            </w:r>
          </w:p>
        </w:tc>
      </w:tr>
    </w:tbl>
    <w:p w14:paraId="76FE99CA" w14:textId="77777777" w:rsidR="00053D93" w:rsidRDefault="00260B75">
      <w:pPr>
        <w:spacing w:after="98" w:line="413" w:lineRule="auto"/>
        <w:ind w:left="1648" w:right="14" w:hanging="1634"/>
        <w:jc w:val="both"/>
      </w:pPr>
      <w:r>
        <w:rPr>
          <w:noProof/>
        </w:rPr>
        <w:drawing>
          <wp:anchor distT="0" distB="0" distL="114300" distR="114300" simplePos="0" relativeHeight="252026880" behindDoc="0" locked="0" layoutInCell="1" allowOverlap="0" wp14:anchorId="3BAB8615" wp14:editId="3E43B842">
            <wp:simplePos x="0" y="0"/>
            <wp:positionH relativeFrom="page">
              <wp:posOffset>653796</wp:posOffset>
            </wp:positionH>
            <wp:positionV relativeFrom="page">
              <wp:posOffset>9162288</wp:posOffset>
            </wp:positionV>
            <wp:extent cx="1124712" cy="406908"/>
            <wp:effectExtent l="0" t="0" r="0" b="0"/>
            <wp:wrapTopAndBottom/>
            <wp:docPr id="562316" name="Picture 562316"/>
            <wp:cNvGraphicFramePr/>
            <a:graphic xmlns:a="http://schemas.openxmlformats.org/drawingml/2006/main">
              <a:graphicData uri="http://schemas.openxmlformats.org/drawingml/2006/picture">
                <pic:pic xmlns:pic="http://schemas.openxmlformats.org/drawingml/2006/picture">
                  <pic:nvPicPr>
                    <pic:cNvPr id="562316" name="Picture 562316"/>
                    <pic:cNvPicPr/>
                  </pic:nvPicPr>
                  <pic:blipFill>
                    <a:blip r:embed="rId842"/>
                    <a:stretch>
                      <a:fillRect/>
                    </a:stretch>
                  </pic:blipFill>
                  <pic:spPr>
                    <a:xfrm>
                      <a:off x="0" y="0"/>
                      <a:ext cx="1124712" cy="406908"/>
                    </a:xfrm>
                    <a:prstGeom prst="rect">
                      <a:avLst/>
                    </a:prstGeom>
                  </pic:spPr>
                </pic:pic>
              </a:graphicData>
            </a:graphic>
          </wp:anchor>
        </w:drawing>
      </w:r>
      <w:r>
        <w:rPr>
          <w:noProof/>
        </w:rPr>
        <w:drawing>
          <wp:anchor distT="0" distB="0" distL="114300" distR="114300" simplePos="0" relativeHeight="252027904" behindDoc="0" locked="0" layoutInCell="1" allowOverlap="0" wp14:anchorId="470093A4" wp14:editId="7C2CE858">
            <wp:simplePos x="0" y="0"/>
            <wp:positionH relativeFrom="page">
              <wp:posOffset>6890004</wp:posOffset>
            </wp:positionH>
            <wp:positionV relativeFrom="page">
              <wp:posOffset>2203704</wp:posOffset>
            </wp:positionV>
            <wp:extent cx="9144" cy="13716"/>
            <wp:effectExtent l="0" t="0" r="0" b="0"/>
            <wp:wrapSquare wrapText="bothSides"/>
            <wp:docPr id="562276" name="Picture 562276"/>
            <wp:cNvGraphicFramePr/>
            <a:graphic xmlns:a="http://schemas.openxmlformats.org/drawingml/2006/main">
              <a:graphicData uri="http://schemas.openxmlformats.org/drawingml/2006/picture">
                <pic:pic xmlns:pic="http://schemas.openxmlformats.org/drawingml/2006/picture">
                  <pic:nvPicPr>
                    <pic:cNvPr id="562276" name="Picture 562276"/>
                    <pic:cNvPicPr/>
                  </pic:nvPicPr>
                  <pic:blipFill>
                    <a:blip r:embed="rId49"/>
                    <a:stretch>
                      <a:fillRect/>
                    </a:stretch>
                  </pic:blipFill>
                  <pic:spPr>
                    <a:xfrm>
                      <a:off x="0" y="0"/>
                      <a:ext cx="9144" cy="13716"/>
                    </a:xfrm>
                    <a:prstGeom prst="rect">
                      <a:avLst/>
                    </a:prstGeom>
                  </pic:spPr>
                </pic:pic>
              </a:graphicData>
            </a:graphic>
          </wp:anchor>
        </w:drawing>
      </w:r>
      <w:r>
        <w:rPr>
          <w:rFonts w:ascii="Times New Roman" w:eastAsia="Times New Roman" w:hAnsi="Times New Roman" w:cs="Times New Roman"/>
          <w:sz w:val="26"/>
        </w:rPr>
        <w:t xml:space="preserve">1 </w:t>
      </w:r>
      <w:r>
        <w:rPr>
          <w:sz w:val="26"/>
        </w:rPr>
        <w:t>Física a.i., según la Resolución No. 109-2025 de fecha 28 de febrero de 2024. Fue quien realizó la salida de las pelotas de fútbol número 5 según el Formulario para despacho de Almacén No.38686 de fecha 14 de marzo de 2025 y entregó en</w:t>
      </w:r>
    </w:p>
    <w:p w14:paraId="205ED558" w14:textId="77777777" w:rsidR="00053D93" w:rsidRDefault="00260B75">
      <w:pPr>
        <w:tabs>
          <w:tab w:val="right" w:pos="10159"/>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fecha 25 de marzo de 2025 al Coordinador Técnico Departamental de Guatemala</w:t>
      </w:r>
    </w:p>
    <w:p w14:paraId="712B474A" w14:textId="77777777" w:rsidR="00053D93" w:rsidRDefault="00260B75">
      <w:pPr>
        <w:spacing w:after="106" w:line="247" w:lineRule="auto"/>
        <w:ind w:left="14" w:right="14" w:firstLine="4"/>
        <w:jc w:val="both"/>
      </w:pPr>
      <w:r>
        <w:rPr>
          <w:noProof/>
        </w:rPr>
        <w:drawing>
          <wp:anchor distT="0" distB="0" distL="114300" distR="114300" simplePos="0" relativeHeight="252028928" behindDoc="0" locked="0" layoutInCell="1" allowOverlap="0" wp14:anchorId="61DA7C24" wp14:editId="15D95ACE">
            <wp:simplePos x="0" y="0"/>
            <wp:positionH relativeFrom="column">
              <wp:posOffset>1723644</wp:posOffset>
            </wp:positionH>
            <wp:positionV relativeFrom="paragraph">
              <wp:posOffset>178021</wp:posOffset>
            </wp:positionV>
            <wp:extent cx="36576" cy="41147"/>
            <wp:effectExtent l="0" t="0" r="0" b="0"/>
            <wp:wrapSquare wrapText="bothSides"/>
            <wp:docPr id="2458460" name="Picture 2458460"/>
            <wp:cNvGraphicFramePr/>
            <a:graphic xmlns:a="http://schemas.openxmlformats.org/drawingml/2006/main">
              <a:graphicData uri="http://schemas.openxmlformats.org/drawingml/2006/picture">
                <pic:pic xmlns:pic="http://schemas.openxmlformats.org/drawingml/2006/picture">
                  <pic:nvPicPr>
                    <pic:cNvPr id="2458460" name="Picture 2458460"/>
                    <pic:cNvPicPr/>
                  </pic:nvPicPr>
                  <pic:blipFill>
                    <a:blip r:embed="rId843"/>
                    <a:stretch>
                      <a:fillRect/>
                    </a:stretch>
                  </pic:blipFill>
                  <pic:spPr>
                    <a:xfrm>
                      <a:off x="0" y="0"/>
                      <a:ext cx="36576" cy="41147"/>
                    </a:xfrm>
                    <a:prstGeom prst="rect">
                      <a:avLst/>
                    </a:prstGeom>
                  </pic:spPr>
                </pic:pic>
              </a:graphicData>
            </a:graphic>
          </wp:anchor>
        </w:drawing>
      </w:r>
      <w:r>
        <w:rPr>
          <w:sz w:val="26"/>
        </w:rPr>
        <w:t>Región Norte según Conocimiento DIGEF-DTN-No.16-2025 de fecha 18 de marzo de 2025...</w:t>
      </w:r>
    </w:p>
    <w:p w14:paraId="245AD62C" w14:textId="77777777" w:rsidR="00053D93" w:rsidRDefault="00260B75">
      <w:pPr>
        <w:spacing w:after="3"/>
        <w:ind w:left="10" w:right="3485" w:hanging="10"/>
      </w:pPr>
      <w:r>
        <w:rPr>
          <w:noProof/>
        </w:rPr>
        <w:drawing>
          <wp:inline distT="0" distB="0" distL="0" distR="0" wp14:anchorId="4E7D4FA0" wp14:editId="38648F35">
            <wp:extent cx="18288" cy="9144"/>
            <wp:effectExtent l="0" t="0" r="0" b="0"/>
            <wp:docPr id="562281" name="Picture 562281"/>
            <wp:cNvGraphicFramePr/>
            <a:graphic xmlns:a="http://schemas.openxmlformats.org/drawingml/2006/main">
              <a:graphicData uri="http://schemas.openxmlformats.org/drawingml/2006/picture">
                <pic:pic xmlns:pic="http://schemas.openxmlformats.org/drawingml/2006/picture">
                  <pic:nvPicPr>
                    <pic:cNvPr id="562281" name="Picture 562281"/>
                    <pic:cNvPicPr/>
                  </pic:nvPicPr>
                  <pic:blipFill>
                    <a:blip r:embed="rId844"/>
                    <a:stretch>
                      <a:fillRect/>
                    </a:stretch>
                  </pic:blipFill>
                  <pic:spPr>
                    <a:xfrm>
                      <a:off x="0" y="0"/>
                      <a:ext cx="18288" cy="9144"/>
                    </a:xfrm>
                    <a:prstGeom prst="rect">
                      <a:avLst/>
                    </a:prstGeom>
                  </pic:spPr>
                </pic:pic>
              </a:graphicData>
            </a:graphic>
          </wp:inline>
        </w:drawing>
      </w:r>
      <w:r>
        <w:rPr>
          <w:rFonts w:ascii="Times New Roman" w:eastAsia="Times New Roman" w:hAnsi="Times New Roman" w:cs="Times New Roman"/>
          <w:sz w:val="70"/>
        </w:rPr>
        <w:t>1</w:t>
      </w:r>
    </w:p>
    <w:p w14:paraId="4BD72C3A" w14:textId="77777777" w:rsidR="00053D93" w:rsidRDefault="00260B75">
      <w:pPr>
        <w:spacing w:after="4" w:line="216" w:lineRule="auto"/>
        <w:ind w:left="18" w:right="21" w:hanging="4"/>
        <w:jc w:val="right"/>
      </w:pPr>
      <w:r>
        <w:rPr>
          <w:sz w:val="26"/>
        </w:rPr>
        <w:t xml:space="preserve">En oficio No. DIGEF-DTDE-151-2025, del 21 de abril de 2025, el licenciado Edgar </w:t>
      </w:r>
      <w:r>
        <w:rPr>
          <w:noProof/>
        </w:rPr>
        <w:drawing>
          <wp:inline distT="0" distB="0" distL="0" distR="0" wp14:anchorId="04D6B52E" wp14:editId="3BF15FC8">
            <wp:extent cx="4572" cy="4572"/>
            <wp:effectExtent l="0" t="0" r="0" b="0"/>
            <wp:docPr id="562282" name="Picture 562282"/>
            <wp:cNvGraphicFramePr/>
            <a:graphic xmlns:a="http://schemas.openxmlformats.org/drawingml/2006/main">
              <a:graphicData uri="http://schemas.openxmlformats.org/drawingml/2006/picture">
                <pic:pic xmlns:pic="http://schemas.openxmlformats.org/drawingml/2006/picture">
                  <pic:nvPicPr>
                    <pic:cNvPr id="562282" name="Picture 562282"/>
                    <pic:cNvPicPr/>
                  </pic:nvPicPr>
                  <pic:blipFill>
                    <a:blip r:embed="rId845"/>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Arturo López Talva, Jefe Departamento Torneos Deportivos Escolares, manifiesta:</w:t>
      </w:r>
    </w:p>
    <w:p w14:paraId="18C88989" w14:textId="77777777" w:rsidR="00053D93" w:rsidRDefault="00260B75">
      <w:pPr>
        <w:spacing w:after="17" w:line="247" w:lineRule="auto"/>
        <w:ind w:left="1663" w:right="14" w:firstLine="4"/>
        <w:jc w:val="both"/>
      </w:pPr>
      <w:r>
        <w:rPr>
          <w:sz w:val="26"/>
        </w:rPr>
        <w:t>"...Al respecto deseo indicar lo siguiente: 1 . El Departamento de Torneos</w:t>
      </w:r>
    </w:p>
    <w:p w14:paraId="605105CA" w14:textId="77777777" w:rsidR="00053D93" w:rsidRDefault="00260B75">
      <w:pPr>
        <w:spacing w:after="17" w:line="247" w:lineRule="auto"/>
        <w:ind w:left="1670" w:right="14" w:firstLine="4"/>
        <w:jc w:val="both"/>
      </w:pPr>
      <w:r>
        <w:rPr>
          <w:sz w:val="26"/>
        </w:rPr>
        <w:t>Deportivos Escolares, adquiere insumos para la realización de los eventos de</w:t>
      </w:r>
    </w:p>
    <w:p w14:paraId="1F57F8FE" w14:textId="77777777" w:rsidR="00053D93" w:rsidRDefault="00260B75">
      <w:pPr>
        <w:spacing w:after="52"/>
        <w:ind w:left="14"/>
      </w:pPr>
      <w:r>
        <w:rPr>
          <w:noProof/>
        </w:rPr>
        <w:drawing>
          <wp:inline distT="0" distB="0" distL="0" distR="0" wp14:anchorId="35F44CBB" wp14:editId="783069F0">
            <wp:extent cx="9144" cy="4572"/>
            <wp:effectExtent l="0" t="0" r="0" b="0"/>
            <wp:docPr id="562283" name="Picture 562283"/>
            <wp:cNvGraphicFramePr/>
            <a:graphic xmlns:a="http://schemas.openxmlformats.org/drawingml/2006/main">
              <a:graphicData uri="http://schemas.openxmlformats.org/drawingml/2006/picture">
                <pic:pic xmlns:pic="http://schemas.openxmlformats.org/drawingml/2006/picture">
                  <pic:nvPicPr>
                    <pic:cNvPr id="562283" name="Picture 562283"/>
                    <pic:cNvPicPr/>
                  </pic:nvPicPr>
                  <pic:blipFill>
                    <a:blip r:embed="rId24"/>
                    <a:stretch>
                      <a:fillRect/>
                    </a:stretch>
                  </pic:blipFill>
                  <pic:spPr>
                    <a:xfrm>
                      <a:off x="0" y="0"/>
                      <a:ext cx="9144" cy="4572"/>
                    </a:xfrm>
                    <a:prstGeom prst="rect">
                      <a:avLst/>
                    </a:prstGeom>
                  </pic:spPr>
                </pic:pic>
              </a:graphicData>
            </a:graphic>
          </wp:inline>
        </w:drawing>
      </w:r>
    </w:p>
    <w:p w14:paraId="0CF7DD40" w14:textId="77777777" w:rsidR="00053D93" w:rsidRDefault="00260B75">
      <w:pPr>
        <w:spacing w:after="38" w:line="247" w:lineRule="auto"/>
        <w:ind w:left="14" w:right="14" w:firstLine="86"/>
        <w:jc w:val="both"/>
      </w:pPr>
      <w:r>
        <w:rPr>
          <w:rFonts w:ascii="Times New Roman" w:eastAsia="Times New Roman" w:hAnsi="Times New Roman" w:cs="Times New Roman"/>
          <w:sz w:val="26"/>
        </w:rPr>
        <w:t xml:space="preserve">1 </w:t>
      </w:r>
      <w:r>
        <w:rPr>
          <w:sz w:val="26"/>
        </w:rPr>
        <w:t xml:space="preserve">juegos deportivos escolares regionales y nacionales, la mayoría de estos insumos no son entregados a personas o instituciones educativas del país, sino que </w:t>
      </w:r>
      <w:r>
        <w:rPr>
          <w:noProof/>
        </w:rPr>
        <w:drawing>
          <wp:inline distT="0" distB="0" distL="0" distR="0" wp14:anchorId="745D0B61" wp14:editId="308A775C">
            <wp:extent cx="13716" cy="9144"/>
            <wp:effectExtent l="0" t="0" r="0" b="0"/>
            <wp:docPr id="562284" name="Picture 562284"/>
            <wp:cNvGraphicFramePr/>
            <a:graphic xmlns:a="http://schemas.openxmlformats.org/drawingml/2006/main">
              <a:graphicData uri="http://schemas.openxmlformats.org/drawingml/2006/picture">
                <pic:pic xmlns:pic="http://schemas.openxmlformats.org/drawingml/2006/picture">
                  <pic:nvPicPr>
                    <pic:cNvPr id="562284" name="Picture 562284"/>
                    <pic:cNvPicPr/>
                  </pic:nvPicPr>
                  <pic:blipFill>
                    <a:blip r:embed="rId49"/>
                    <a:stretch>
                      <a:fillRect/>
                    </a:stretch>
                  </pic:blipFill>
                  <pic:spPr>
                    <a:xfrm>
                      <a:off x="0" y="0"/>
                      <a:ext cx="13716" cy="9144"/>
                    </a:xfrm>
                    <a:prstGeom prst="rect">
                      <a:avLst/>
                    </a:prstGeom>
                  </pic:spPr>
                </pic:pic>
              </a:graphicData>
            </a:graphic>
          </wp:inline>
        </w:drawing>
      </w:r>
      <w:r>
        <w:rPr>
          <w:sz w:val="26"/>
        </w:rPr>
        <w:t xml:space="preserve"> quedan en resguardo de este Departamento, para ser utilizados y reutilizados en </w:t>
      </w:r>
      <w:r>
        <w:rPr>
          <w:rFonts w:ascii="Times New Roman" w:eastAsia="Times New Roman" w:hAnsi="Times New Roman" w:cs="Times New Roman"/>
          <w:sz w:val="26"/>
        </w:rPr>
        <w:t xml:space="preserve">1 </w:t>
      </w:r>
      <w:r>
        <w:rPr>
          <w:sz w:val="26"/>
        </w:rPr>
        <w:t xml:space="preserve">las diferentes actividades deportivas programadas por este departamento y que aún tengan vida útil. En este caso los cuatro insumos que se mencionan en los </w:t>
      </w:r>
      <w:r>
        <w:rPr>
          <w:noProof/>
        </w:rPr>
        <w:drawing>
          <wp:inline distT="0" distB="0" distL="0" distR="0" wp14:anchorId="4B11C649" wp14:editId="03F0AB66">
            <wp:extent cx="41148" cy="9144"/>
            <wp:effectExtent l="0" t="0" r="0" b="0"/>
            <wp:docPr id="562285" name="Picture 562285"/>
            <wp:cNvGraphicFramePr/>
            <a:graphic xmlns:a="http://schemas.openxmlformats.org/drawingml/2006/main">
              <a:graphicData uri="http://schemas.openxmlformats.org/drawingml/2006/picture">
                <pic:pic xmlns:pic="http://schemas.openxmlformats.org/drawingml/2006/picture">
                  <pic:nvPicPr>
                    <pic:cNvPr id="562285" name="Picture 562285"/>
                    <pic:cNvPicPr/>
                  </pic:nvPicPr>
                  <pic:blipFill>
                    <a:blip r:embed="rId846"/>
                    <a:stretch>
                      <a:fillRect/>
                    </a:stretch>
                  </pic:blipFill>
                  <pic:spPr>
                    <a:xfrm>
                      <a:off x="0" y="0"/>
                      <a:ext cx="41148"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siguientes numerales, no se contemplaba su entrega, sino únicamente para uso</w:t>
      </w:r>
    </w:p>
    <w:p w14:paraId="1BEFA3D6" w14:textId="77777777" w:rsidR="00053D93" w:rsidRDefault="00260B75">
      <w:pPr>
        <w:spacing w:after="259" w:line="253" w:lineRule="auto"/>
        <w:ind w:left="1540" w:hanging="10"/>
        <w:jc w:val="center"/>
      </w:pPr>
      <w:r>
        <w:rPr>
          <w:sz w:val="26"/>
        </w:rPr>
        <w:t>de este Departamento en los eventos programados, to cual no limitó la realización de los eventos y tampoco afectó la actividad de los participantes de los juegos. 2.</w:t>
      </w:r>
    </w:p>
    <w:p w14:paraId="536D1C70" w14:textId="77777777" w:rsidR="00053D93" w:rsidRDefault="00260B75">
      <w:pPr>
        <w:spacing w:after="17" w:line="348" w:lineRule="auto"/>
        <w:ind w:left="1598" w:right="79" w:hanging="1584"/>
        <w:jc w:val="both"/>
      </w:pPr>
      <w:r>
        <w:rPr>
          <w:rFonts w:ascii="Times New Roman" w:eastAsia="Times New Roman" w:hAnsi="Times New Roman" w:cs="Times New Roman"/>
          <w:sz w:val="26"/>
        </w:rPr>
        <w:t xml:space="preserve">1 </w:t>
      </w:r>
      <w:r>
        <w:rPr>
          <w:sz w:val="26"/>
        </w:rPr>
        <w:t>Verificación física realizada el 12/1 1/2024, según código de insumo 294077, requerimiento número 2024-14242, renglón 294, pelota de goalball circunferencia 75.5 a 78.5 CM. según factura número 1678919407 serie A516436E, este insumo</w:t>
      </w:r>
    </w:p>
    <w:p w14:paraId="1BE8CA68" w14:textId="77777777" w:rsidR="00053D93" w:rsidRDefault="00053D93">
      <w:pPr>
        <w:sectPr w:rsidR="00053D93">
          <w:headerReference w:type="even" r:id="rId847"/>
          <w:headerReference w:type="default" r:id="rId848"/>
          <w:footerReference w:type="even" r:id="rId849"/>
          <w:footerReference w:type="default" r:id="rId850"/>
          <w:headerReference w:type="first" r:id="rId851"/>
          <w:footerReference w:type="first" r:id="rId852"/>
          <w:pgSz w:w="12290" w:h="15883"/>
          <w:pgMar w:top="626" w:right="1786" w:bottom="799" w:left="346" w:header="374" w:footer="720" w:gutter="0"/>
          <w:cols w:space="720"/>
          <w:titlePg/>
        </w:sectPr>
      </w:pPr>
    </w:p>
    <w:p w14:paraId="4CA9C9D4" w14:textId="77777777" w:rsidR="00053D93" w:rsidRDefault="00260B75">
      <w:pPr>
        <w:tabs>
          <w:tab w:val="center" w:pos="3258"/>
          <w:tab w:val="center" w:pos="5965"/>
        </w:tabs>
        <w:spacing w:after="66" w:line="265" w:lineRule="auto"/>
      </w:pPr>
      <w:r>
        <w:rPr>
          <w:sz w:val="14"/>
        </w:rPr>
        <w:lastRenderedPageBreak/>
        <w:tab/>
        <w:t xml:space="preserve">OE </w:t>
      </w:r>
      <w:r>
        <w:rPr>
          <w:sz w:val="14"/>
        </w:rPr>
        <w:tab/>
        <w:t>lle</w:t>
      </w:r>
    </w:p>
    <w:p w14:paraId="28B09FE3" w14:textId="77777777" w:rsidR="00053D93" w:rsidRDefault="00260B75">
      <w:pPr>
        <w:spacing w:after="40"/>
        <w:ind w:left="1742"/>
      </w:pPr>
      <w:r>
        <w:rPr>
          <w:noProof/>
        </w:rPr>
        <mc:AlternateContent>
          <mc:Choice Requires="wpg">
            <w:drawing>
              <wp:inline distT="0" distB="0" distL="0" distR="0" wp14:anchorId="42EC2978" wp14:editId="78FFAA05">
                <wp:extent cx="5376672" cy="9144"/>
                <wp:effectExtent l="0" t="0" r="0" b="0"/>
                <wp:docPr id="2458468" name="Group 2458468"/>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467" name="Shape 2458467"/>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68" style="width:423.36pt;height:0.719997pt;mso-position-horizontal-relative:char;mso-position-vertical-relative:line" coordsize="53766,91">
                <v:shape id="Shape 2458467" style="position:absolute;width:53766;height:91;left:0;top:0;" coordsize="5376672,9144" path="m0,4572l5376672,4572">
                  <v:stroke weight="0.719997pt" endcap="flat" joinstyle="miter" miterlimit="1" on="true" color="#000000"/>
                  <v:fill on="false" color="#000000"/>
                </v:shape>
              </v:group>
            </w:pict>
          </mc:Fallback>
        </mc:AlternateContent>
      </w:r>
    </w:p>
    <w:tbl>
      <w:tblPr>
        <w:tblStyle w:val="TableGrid"/>
        <w:tblpPr w:vertAnchor="page" w:horzAnchor="page" w:tblpX="2880" w:tblpY="14486"/>
        <w:tblOverlap w:val="never"/>
        <w:tblW w:w="7610" w:type="dxa"/>
        <w:tblInd w:w="0" w:type="dxa"/>
        <w:tblCellMar>
          <w:top w:w="34" w:type="dxa"/>
          <w:left w:w="1728" w:type="dxa"/>
          <w:right w:w="115" w:type="dxa"/>
        </w:tblCellMar>
        <w:tblLook w:val="04A0" w:firstRow="1" w:lastRow="0" w:firstColumn="1" w:lastColumn="0" w:noHBand="0" w:noVBand="1"/>
      </w:tblPr>
      <w:tblGrid>
        <w:gridCol w:w="7610"/>
      </w:tblGrid>
      <w:tr w:rsidR="00053D93" w14:paraId="644EF69E" w14:textId="77777777">
        <w:trPr>
          <w:trHeight w:val="43"/>
        </w:trPr>
        <w:tc>
          <w:tcPr>
            <w:tcW w:w="7610" w:type="dxa"/>
            <w:tcBorders>
              <w:top w:val="nil"/>
              <w:left w:val="single" w:sz="2" w:space="0" w:color="000000"/>
              <w:bottom w:val="single" w:sz="2" w:space="0" w:color="000000"/>
              <w:right w:val="nil"/>
            </w:tcBorders>
          </w:tcPr>
          <w:p w14:paraId="1AF28116" w14:textId="77777777" w:rsidR="00053D93" w:rsidRDefault="00053D93"/>
        </w:tc>
      </w:tr>
      <w:tr w:rsidR="00053D93" w14:paraId="53B03085" w14:textId="77777777">
        <w:trPr>
          <w:trHeight w:val="598"/>
        </w:trPr>
        <w:tc>
          <w:tcPr>
            <w:tcW w:w="7610" w:type="dxa"/>
            <w:tcBorders>
              <w:top w:val="single" w:sz="2" w:space="0" w:color="000000"/>
              <w:left w:val="single" w:sz="2" w:space="0" w:color="000000"/>
              <w:bottom w:val="nil"/>
              <w:right w:val="nil"/>
            </w:tcBorders>
          </w:tcPr>
          <w:p w14:paraId="4457EC22" w14:textId="77777777" w:rsidR="00053D93" w:rsidRDefault="00260B75">
            <w:pPr>
              <w:ind w:left="842"/>
            </w:pPr>
            <w:r>
              <w:rPr>
                <w:sz w:val="14"/>
              </w:rPr>
              <w:lastRenderedPageBreak/>
              <w:t>MINISTERIO DE EDUCACION</w:t>
            </w:r>
          </w:p>
          <w:p w14:paraId="7C0A9AEE" w14:textId="77777777" w:rsidR="00053D93" w:rsidRDefault="00260B75">
            <w:pPr>
              <w:ind w:left="338"/>
            </w:pPr>
            <w:r>
              <w:rPr>
                <w:sz w:val="14"/>
              </w:rPr>
              <w:t>AUDITORIA FINANCIERA Y DE CUMPLIMIENTO</w:t>
            </w:r>
          </w:p>
          <w:p w14:paraId="3DE6A0B6" w14:textId="77777777" w:rsidR="00053D93" w:rsidRDefault="00260B75">
            <w:r>
              <w:rPr>
                <w:sz w:val="16"/>
              </w:rPr>
              <w:t>PERIODO DEL 01 DE ENERO AL 31 DE DICEMBRE DE 2024</w:t>
            </w:r>
          </w:p>
        </w:tc>
      </w:tr>
    </w:tbl>
    <w:p w14:paraId="29424652" w14:textId="77777777" w:rsidR="00053D93" w:rsidRDefault="00260B75">
      <w:pPr>
        <w:spacing w:after="276" w:line="247" w:lineRule="auto"/>
        <w:ind w:left="86" w:right="14" w:firstLine="4"/>
        <w:jc w:val="both"/>
      </w:pPr>
      <w:r>
        <w:rPr>
          <w:noProof/>
        </w:rPr>
        <w:drawing>
          <wp:anchor distT="0" distB="0" distL="114300" distR="114300" simplePos="0" relativeHeight="252029952" behindDoc="0" locked="0" layoutInCell="1" allowOverlap="0" wp14:anchorId="032A8253" wp14:editId="10D64B0D">
            <wp:simplePos x="0" y="0"/>
            <wp:positionH relativeFrom="page">
              <wp:posOffset>681228</wp:posOffset>
            </wp:positionH>
            <wp:positionV relativeFrom="page">
              <wp:posOffset>9198863</wp:posOffset>
            </wp:positionV>
            <wp:extent cx="1124712" cy="402337"/>
            <wp:effectExtent l="0" t="0" r="0" b="0"/>
            <wp:wrapTopAndBottom/>
            <wp:docPr id="566518" name="Picture 566518"/>
            <wp:cNvGraphicFramePr/>
            <a:graphic xmlns:a="http://schemas.openxmlformats.org/drawingml/2006/main">
              <a:graphicData uri="http://schemas.openxmlformats.org/drawingml/2006/picture">
                <pic:pic xmlns:pic="http://schemas.openxmlformats.org/drawingml/2006/picture">
                  <pic:nvPicPr>
                    <pic:cNvPr id="566518" name="Picture 566518"/>
                    <pic:cNvPicPr/>
                  </pic:nvPicPr>
                  <pic:blipFill>
                    <a:blip r:embed="rId853"/>
                    <a:stretch>
                      <a:fillRect/>
                    </a:stretch>
                  </pic:blipFill>
                  <pic:spPr>
                    <a:xfrm>
                      <a:off x="0" y="0"/>
                      <a:ext cx="1124712" cy="402337"/>
                    </a:xfrm>
                    <a:prstGeom prst="rect">
                      <a:avLst/>
                    </a:prstGeom>
                  </pic:spPr>
                </pic:pic>
              </a:graphicData>
            </a:graphic>
          </wp:anchor>
        </w:drawing>
      </w:r>
      <w:r>
        <w:rPr>
          <w:noProof/>
        </w:rPr>
        <mc:AlternateContent>
          <mc:Choice Requires="wpg">
            <w:drawing>
              <wp:anchor distT="0" distB="0" distL="114300" distR="114300" simplePos="0" relativeHeight="252030976" behindDoc="0" locked="0" layoutInCell="1" allowOverlap="1" wp14:anchorId="0809DB3D" wp14:editId="7D2C6F66">
                <wp:simplePos x="0" y="0"/>
                <wp:positionH relativeFrom="column">
                  <wp:posOffset>64008</wp:posOffset>
                </wp:positionH>
                <wp:positionV relativeFrom="paragraph">
                  <wp:posOffset>2557881</wp:posOffset>
                </wp:positionV>
                <wp:extent cx="114300" cy="292608"/>
                <wp:effectExtent l="0" t="0" r="0" b="0"/>
                <wp:wrapSquare wrapText="bothSides"/>
                <wp:docPr id="2455873" name="Group 2455873"/>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563199" name="Rectangle 563199"/>
                        <wps:cNvSpPr/>
                        <wps:spPr>
                          <a:xfrm>
                            <a:off x="0" y="0"/>
                            <a:ext cx="152019" cy="389168"/>
                          </a:xfrm>
                          <a:prstGeom prst="rect">
                            <a:avLst/>
                          </a:prstGeom>
                          <a:ln>
                            <a:noFill/>
                          </a:ln>
                        </wps:spPr>
                        <wps:txbx>
                          <w:txbxContent>
                            <w:p w14:paraId="11B9419F"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0809DB3D" id="Group 2455873" o:spid="_x0000_s1335" style="position:absolute;left:0;text-align:left;margin-left:5.05pt;margin-top:201.4pt;width:9pt;height:23.05pt;z-index:252030976;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">
                <v:rect id="Rectangle 563199" o:spid="_x0000_s1336" style="position:absolute;width:152019;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" filled="f" stroked="f">
                  <v:textbox inset="0,0,0,0">
                    <w:txbxContent>
                      <w:p w14:paraId="11B9419F"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noProof/>
        </w:rPr>
        <mc:AlternateContent>
          <mc:Choice Requires="wpg">
            <w:drawing>
              <wp:anchor distT="0" distB="0" distL="114300" distR="114300" simplePos="0" relativeHeight="252032000" behindDoc="0" locked="0" layoutInCell="1" allowOverlap="1" wp14:anchorId="2CBA9DC2" wp14:editId="0E42DF24">
                <wp:simplePos x="0" y="0"/>
                <wp:positionH relativeFrom="column">
                  <wp:posOffset>64008</wp:posOffset>
                </wp:positionH>
                <wp:positionV relativeFrom="paragraph">
                  <wp:posOffset>4098645</wp:posOffset>
                </wp:positionV>
                <wp:extent cx="114300" cy="297180"/>
                <wp:effectExtent l="0" t="0" r="0" b="0"/>
                <wp:wrapSquare wrapText="bothSides"/>
                <wp:docPr id="2455874" name="Group 2455874"/>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563202" name="Rectangle 563202"/>
                        <wps:cNvSpPr/>
                        <wps:spPr>
                          <a:xfrm>
                            <a:off x="0" y="0"/>
                            <a:ext cx="152019" cy="395249"/>
                          </a:xfrm>
                          <a:prstGeom prst="rect">
                            <a:avLst/>
                          </a:prstGeom>
                          <a:ln>
                            <a:noFill/>
                          </a:ln>
                        </wps:spPr>
                        <wps:txbx>
                          <w:txbxContent>
                            <w:p w14:paraId="1251A446"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2CBA9DC2" id="Group 2455874" o:spid="_x0000_s1337" style="position:absolute;left:0;text-align:left;margin-left:5.05pt;margin-top:322.75pt;width:9pt;height:23.4pt;z-index:252032000;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">
                <v:rect id="Rectangle 563202" o:spid="_x0000_s1338"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" filled="f" stroked="f">
                  <v:textbox inset="0,0,0,0">
                    <w:txbxContent>
                      <w:p w14:paraId="1251A446"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rFonts w:ascii="Times New Roman" w:eastAsia="Times New Roman" w:hAnsi="Times New Roman" w:cs="Times New Roman"/>
          <w:sz w:val="26"/>
        </w:rPr>
        <w:t xml:space="preserve">1 </w:t>
      </w:r>
      <w:r>
        <w:rPr>
          <w:sz w:val="26"/>
        </w:rPr>
        <w:t xml:space="preserve">ingresó al departamento de almacén de la institución el 28 de octubre de 2024 y según Formulario para Despacho de Almacén No. 38585, e' 29 de noviembre de 2024 la pelota de goalball fue retirada de la bodega de almacén, fecha posterior al </w:t>
      </w:r>
      <w:r>
        <w:rPr>
          <w:rFonts w:ascii="Times New Roman" w:eastAsia="Times New Roman" w:hAnsi="Times New Roman" w:cs="Times New Roman"/>
          <w:sz w:val="26"/>
        </w:rPr>
        <w:t xml:space="preserve">1 </w:t>
      </w:r>
      <w:r>
        <w:rPr>
          <w:sz w:val="26"/>
        </w:rPr>
        <w:t xml:space="preserve">evento programado del 20 al 24 de septiembre de 2024. No está de más indicar que el evento programado no se realizó por no contar con la participación mínima </w:t>
      </w:r>
      <w:r>
        <w:rPr>
          <w:rFonts w:ascii="Times New Roman" w:eastAsia="Times New Roman" w:hAnsi="Times New Roman" w:cs="Times New Roman"/>
          <w:sz w:val="26"/>
        </w:rPr>
        <w:t xml:space="preserve">1 </w:t>
      </w:r>
      <w:r>
        <w:rPr>
          <w:sz w:val="26"/>
        </w:rPr>
        <w:t xml:space="preserve">de equipos, sin embargo, los balones son útiles para eventos de este deporte, los cuales son programados anualmente. La fecha de utilización del bien se tenía para el 18 de septiembre de 2024, precisamente para uso en el evento programado del </w:t>
      </w:r>
      <w:r>
        <w:rPr>
          <w:rFonts w:ascii="Times New Roman" w:eastAsia="Times New Roman" w:hAnsi="Times New Roman" w:cs="Times New Roman"/>
          <w:sz w:val="26"/>
        </w:rPr>
        <w:t xml:space="preserve">1 </w:t>
      </w:r>
      <w:r>
        <w:rPr>
          <w:sz w:val="26"/>
        </w:rPr>
        <w:t xml:space="preserve">20 al 24 de septiembre de 2024, sin embargo, se recibió en fecha posterior porque este se puede usar en eventos del siguiente ejercicio fiscal. A la fecha en que se recibió el insumo y se retiró de almacén, ya no se tenían eventos de dicho deporte </w:t>
      </w:r>
      <w:r>
        <w:rPr>
          <w:noProof/>
        </w:rPr>
        <mc:AlternateContent>
          <mc:Choice Requires="wpg">
            <w:drawing>
              <wp:inline distT="0" distB="0" distL="0" distR="0" wp14:anchorId="36771C61" wp14:editId="128886D7">
                <wp:extent cx="109728" cy="292608"/>
                <wp:effectExtent l="0" t="0" r="0" b="0"/>
                <wp:docPr id="2455872" name="Group 2455872"/>
                <wp:cNvGraphicFramePr/>
                <a:graphic xmlns:a="http://schemas.openxmlformats.org/drawingml/2006/main">
                  <a:graphicData uri="http://schemas.microsoft.com/office/word/2010/wordprocessingGroup">
                    <wpg:wgp>
                      <wpg:cNvGrpSpPr/>
                      <wpg:grpSpPr>
                        <a:xfrm>
                          <a:off x="0" y="0"/>
                          <a:ext cx="109728" cy="292608"/>
                          <a:chOff x="0" y="0"/>
                          <a:chExt cx="109728" cy="292608"/>
                        </a:xfrm>
                      </wpg:grpSpPr>
                      <wps:wsp>
                        <wps:cNvPr id="563198" name="Rectangle 563198"/>
                        <wps:cNvSpPr/>
                        <wps:spPr>
                          <a:xfrm>
                            <a:off x="0" y="0"/>
                            <a:ext cx="145938" cy="389169"/>
                          </a:xfrm>
                          <a:prstGeom prst="rect">
                            <a:avLst/>
                          </a:prstGeom>
                          <a:ln>
                            <a:noFill/>
                          </a:ln>
                        </wps:spPr>
                        <wps:txbx>
                          <w:txbxContent>
                            <w:p w14:paraId="6A091182"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inline>
            </w:drawing>
          </mc:Choice>
          <mc:Fallback>
            <w:pict>
              <v:group w14:anchorId="36771C61" id="Group 2455872" o:spid="_x0000_s1339" style="width:8.65pt;height:23.05pt;mso-position-horizontal-relative:char;mso-position-vertical-relative:line" coordsize="109728,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">
                <v:rect id="Rectangle 563198" o:spid="_x0000_s1340" style="position:absolute;width:145938;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" filled="f" stroked="f">
                  <v:textbox inset="0,0,0,0">
                    <w:txbxContent>
                      <w:p w14:paraId="6A091182" w14:textId="77777777" w:rsidR="00053D93" w:rsidRDefault="00260B75">
                        <w:r>
                          <w:rPr>
                            <w:rFonts w:ascii="Times New Roman" w:eastAsia="Times New Roman" w:hAnsi="Times New Roman" w:cs="Times New Roman"/>
                            <w:sz w:val="66"/>
                          </w:rPr>
                          <w:t>1</w:t>
                        </w:r>
                      </w:p>
                    </w:txbxContent>
                  </v:textbox>
                </v:rect>
                <w10:anchorlock/>
              </v:group>
            </w:pict>
          </mc:Fallback>
        </mc:AlternateContent>
      </w:r>
      <w:r>
        <w:rPr>
          <w:sz w:val="26"/>
        </w:rPr>
        <w:t xml:space="preserve"> (goalball), no siendo afectado ningún participante de este deporte... factura número 1678919407 serie A516436E,... Despacho de Almacén No. 38585 y... requerimiento No. 2024-14181. 3. Verificación física realizada el 24/01/2025, según código de insumo 294045, requerimiento número 2024-1 1583, renglón 294, antena de voleibol material fibra de vidrio flexible. En cuanto a este insumo, según </w:t>
      </w:r>
      <w:r>
        <w:rPr>
          <w:rFonts w:ascii="Times New Roman" w:eastAsia="Times New Roman" w:hAnsi="Times New Roman" w:cs="Times New Roman"/>
          <w:sz w:val="26"/>
        </w:rPr>
        <w:t xml:space="preserve">1 </w:t>
      </w:r>
      <w:r>
        <w:rPr>
          <w:sz w:val="26"/>
        </w:rPr>
        <w:t xml:space="preserve">factura DTE 361384210 serie EEEFFBCI, ingresó al departamento de almacén el 18 de julio de 2024, cuya fecha de utilización del bien se tenía para el 18 de abril de 2024, previo al inicio de todos los eventos de juegos deportivos escolares </w:t>
      </w:r>
      <w:r>
        <w:rPr>
          <w:rFonts w:ascii="Times New Roman" w:eastAsia="Times New Roman" w:hAnsi="Times New Roman" w:cs="Times New Roman"/>
          <w:sz w:val="26"/>
        </w:rPr>
        <w:t xml:space="preserve">1 </w:t>
      </w:r>
      <w:r>
        <w:rPr>
          <w:sz w:val="26"/>
        </w:rPr>
        <w:t xml:space="preserve">regionales y nacionales, sin embargo, al realizar la consulta, se me indicó verbalmente por el Departamento de Almacén, que al momento que fue recibido en almacén le fue asignado al Departamento de Desarrollo Deportivo Escolar, por lo cual, no aparecía como parte del inventario del Departamento de Torneos Deportivos Escolares, por lo tanto, no se pudo sacar de almacén y se encontraba </w:t>
      </w:r>
      <w:r>
        <w:rPr>
          <w:rFonts w:ascii="Times New Roman" w:eastAsia="Times New Roman" w:hAnsi="Times New Roman" w:cs="Times New Roman"/>
          <w:sz w:val="26"/>
        </w:rPr>
        <w:t xml:space="preserve">1 </w:t>
      </w:r>
      <w:r>
        <w:rPr>
          <w:sz w:val="26"/>
        </w:rPr>
        <w:t>físicamente en resguardo del departamento de almacén al momento de la verificación por parte de su persona. Para corroborar lo mencionado anteriormente se solicitó al Departamento de Almacén, por medio de oficio No.</w:t>
      </w:r>
    </w:p>
    <w:p w14:paraId="6E906FC2" w14:textId="77777777" w:rsidR="00053D93" w:rsidRDefault="00260B75">
      <w:pPr>
        <w:spacing w:after="17" w:line="326" w:lineRule="auto"/>
        <w:ind w:left="1764" w:right="14" w:hanging="1656"/>
        <w:jc w:val="both"/>
      </w:pPr>
      <w:r>
        <w:rPr>
          <w:rFonts w:ascii="Times New Roman" w:eastAsia="Times New Roman" w:hAnsi="Times New Roman" w:cs="Times New Roman"/>
          <w:sz w:val="26"/>
        </w:rPr>
        <w:t xml:space="preserve">1 </w:t>
      </w:r>
      <w:r>
        <w:rPr>
          <w:sz w:val="26"/>
        </w:rPr>
        <w:t>DIGEF-DTDE-140-2025, de fecha 09 de abril de 2025, la documentación de respaldo, sin embargo a la fecha no se ha recibido [a respuesta al mismo.</w:t>
      </w:r>
    </w:p>
    <w:p w14:paraId="361C599E" w14:textId="77777777" w:rsidR="00053D93" w:rsidRDefault="00260B75">
      <w:pPr>
        <w:spacing w:after="17" w:line="247" w:lineRule="auto"/>
        <w:ind w:left="108" w:right="14" w:firstLine="4"/>
        <w:jc w:val="both"/>
      </w:pPr>
      <w:r>
        <w:rPr>
          <w:noProof/>
        </w:rPr>
        <mc:AlternateContent>
          <mc:Choice Requires="wpg">
            <w:drawing>
              <wp:anchor distT="0" distB="0" distL="114300" distR="114300" simplePos="0" relativeHeight="252033024" behindDoc="0" locked="0" layoutInCell="1" allowOverlap="1" wp14:anchorId="1AA9922A" wp14:editId="7659279A">
                <wp:simplePos x="0" y="0"/>
                <wp:positionH relativeFrom="column">
                  <wp:posOffset>68580</wp:posOffset>
                </wp:positionH>
                <wp:positionV relativeFrom="paragraph">
                  <wp:posOffset>1541753</wp:posOffset>
                </wp:positionV>
                <wp:extent cx="114300" cy="297180"/>
                <wp:effectExtent l="0" t="0" r="0" b="0"/>
                <wp:wrapSquare wrapText="bothSides"/>
                <wp:docPr id="2455875" name="Group 2455875"/>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563208" name="Rectangle 563208"/>
                        <wps:cNvSpPr/>
                        <wps:spPr>
                          <a:xfrm>
                            <a:off x="0" y="0"/>
                            <a:ext cx="152019" cy="395249"/>
                          </a:xfrm>
                          <a:prstGeom prst="rect">
                            <a:avLst/>
                          </a:prstGeom>
                          <a:ln>
                            <a:noFill/>
                          </a:ln>
                        </wps:spPr>
                        <wps:txbx>
                          <w:txbxContent>
                            <w:p w14:paraId="68088A74"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1AA9922A" id="Group 2455875" o:spid="_x0000_s1341" style="position:absolute;left:0;text-align:left;margin-left:5.4pt;margin-top:121.4pt;width:9pt;height:23.4pt;z-index:252033024;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">
                <v:rect id="Rectangle 563208" o:spid="_x0000_s1342"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" filled="f" stroked="f">
                  <v:textbox inset="0,0,0,0">
                    <w:txbxContent>
                      <w:p w14:paraId="68088A74"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rFonts w:ascii="Times New Roman" w:eastAsia="Times New Roman" w:hAnsi="Times New Roman" w:cs="Times New Roman"/>
          <w:sz w:val="26"/>
        </w:rPr>
        <w:t xml:space="preserve">1 </w:t>
      </w:r>
      <w:r>
        <w:rPr>
          <w:sz w:val="26"/>
        </w:rPr>
        <w:t xml:space="preserve">También se me ha indicado verbalmente que no se puede retirar dicho insumo de almacén por parte de mi persona, ya que no está asignado a mi departamento... factura OTE 361384210 serie EEEFFBCI,.. requerimiento número 2024-1 1583 </w:t>
      </w:r>
      <w:r>
        <w:rPr>
          <w:rFonts w:ascii="Times New Roman" w:eastAsia="Times New Roman" w:hAnsi="Times New Roman" w:cs="Times New Roman"/>
          <w:sz w:val="26"/>
        </w:rPr>
        <w:t>1</w:t>
      </w:r>
      <w:r>
        <w:rPr>
          <w:noProof/>
        </w:rPr>
        <w:drawing>
          <wp:inline distT="0" distB="0" distL="0" distR="0" wp14:anchorId="555130AF" wp14:editId="26C59F97">
            <wp:extent cx="105156" cy="18288"/>
            <wp:effectExtent l="0" t="0" r="0" b="0"/>
            <wp:docPr id="2458465" name="Picture 2458465"/>
            <wp:cNvGraphicFramePr/>
            <a:graphic xmlns:a="http://schemas.openxmlformats.org/drawingml/2006/main">
              <a:graphicData uri="http://schemas.openxmlformats.org/drawingml/2006/picture">
                <pic:pic xmlns:pic="http://schemas.openxmlformats.org/drawingml/2006/picture">
                  <pic:nvPicPr>
                    <pic:cNvPr id="2458465" name="Picture 2458465"/>
                    <pic:cNvPicPr/>
                  </pic:nvPicPr>
                  <pic:blipFill>
                    <a:blip r:embed="rId854"/>
                    <a:stretch>
                      <a:fillRect/>
                    </a:stretch>
                  </pic:blipFill>
                  <pic:spPr>
                    <a:xfrm>
                      <a:off x="0" y="0"/>
                      <a:ext cx="105156" cy="18288"/>
                    </a:xfrm>
                    <a:prstGeom prst="rect">
                      <a:avLst/>
                    </a:prstGeom>
                  </pic:spPr>
                </pic:pic>
              </a:graphicData>
            </a:graphic>
          </wp:inline>
        </w:drawing>
      </w:r>
      <w:r>
        <w:rPr>
          <w:sz w:val="26"/>
        </w:rPr>
        <w:t xml:space="preserve">oficio No. DIGEF-DTDE-140-2025. 4. Verificación física realizada el 24/01/2025, según código de insumo 294047, requerimiento número 2024-14181 , renglón 294, red material poliuretano fútbol 11 . Según Formulario para Despacho </w:t>
      </w:r>
      <w:r>
        <w:rPr>
          <w:rFonts w:ascii="Times New Roman" w:eastAsia="Times New Roman" w:hAnsi="Times New Roman" w:cs="Times New Roman"/>
          <w:sz w:val="26"/>
        </w:rPr>
        <w:t xml:space="preserve">1 </w:t>
      </w:r>
      <w:r>
        <w:rPr>
          <w:sz w:val="26"/>
        </w:rPr>
        <w:t xml:space="preserve">de Almacén No. 38414, el 12 de septiembre de 2024, dicho insumo fue retirado de la bodega de almacén... factura DTE 71 1082014 serie 9EDDFC86,... requerimiento número </w:t>
      </w:r>
      <w:r>
        <w:rPr>
          <w:sz w:val="26"/>
        </w:rPr>
        <w:lastRenderedPageBreak/>
        <w:t>2024-14181 y... despacho de almacén No. 38414. 5. Verificación física realizada el 24/01/2025, según código de insumo 324015, requerimiento número 2024-14576, renglón 324, portería de balonmano desarmable. Por ser un insumo inventariable, previo a salir de almacén debía asignarse en mi Tarjeta de Responsabilidad de bienes muebles, razón por ia cual no se pudo sacar en su momento de almacén. Cuando son bienes inventariables,</w:t>
      </w:r>
    </w:p>
    <w:p w14:paraId="78A6CADA" w14:textId="77777777" w:rsidR="00053D93" w:rsidRDefault="00260B75">
      <w:pPr>
        <w:spacing w:after="48"/>
        <w:ind w:left="1778" w:right="-14"/>
      </w:pPr>
      <w:r>
        <w:rPr>
          <w:noProof/>
        </w:rPr>
        <mc:AlternateContent>
          <mc:Choice Requires="wpg">
            <w:drawing>
              <wp:inline distT="0" distB="0" distL="0" distR="0" wp14:anchorId="06881A8F" wp14:editId="2E6F83FE">
                <wp:extent cx="5372100" cy="9144"/>
                <wp:effectExtent l="0" t="0" r="0" b="0"/>
                <wp:docPr id="2458473" name="Group 2458473"/>
                <wp:cNvGraphicFramePr/>
                <a:graphic xmlns:a="http://schemas.openxmlformats.org/drawingml/2006/main">
                  <a:graphicData uri="http://schemas.microsoft.com/office/word/2010/wordprocessingGroup">
                    <wpg:wgp>
                      <wpg:cNvGrpSpPr/>
                      <wpg:grpSpPr>
                        <a:xfrm>
                          <a:off x="0" y="0"/>
                          <a:ext cx="5372100" cy="9144"/>
                          <a:chOff x="0" y="0"/>
                          <a:chExt cx="5372100" cy="9144"/>
                        </a:xfrm>
                      </wpg:grpSpPr>
                      <wps:wsp>
                        <wps:cNvPr id="2458472" name="Shape 2458472"/>
                        <wps:cNvSpPr/>
                        <wps:spPr>
                          <a:xfrm>
                            <a:off x="0" y="0"/>
                            <a:ext cx="5372100" cy="9144"/>
                          </a:xfrm>
                          <a:custGeom>
                            <a:avLst/>
                            <a:gdLst/>
                            <a:ahLst/>
                            <a:cxnLst/>
                            <a:rect l="0" t="0" r="0" b="0"/>
                            <a:pathLst>
                              <a:path w="5372100" h="9144">
                                <a:moveTo>
                                  <a:pt x="0" y="4572"/>
                                </a:moveTo>
                                <a:lnTo>
                                  <a:pt x="537210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73" style="width:423pt;height:0.720001pt;mso-position-horizontal-relative:char;mso-position-vertical-relative:line" coordsize="53721,91">
                <v:shape id="Shape 2458472" style="position:absolute;width:53721;height:91;left:0;top:0;" coordsize="5372100,9144" path="m0,4572l5372100,4572">
                  <v:stroke weight="0.720001pt" endcap="flat" joinstyle="miter" miterlimit="1" on="true" color="#000000"/>
                  <v:fill on="false" color="#000000"/>
                </v:shape>
              </v:group>
            </w:pict>
          </mc:Fallback>
        </mc:AlternateContent>
      </w:r>
    </w:p>
    <w:p w14:paraId="31C0FFD6" w14:textId="77777777" w:rsidR="00053D93" w:rsidRDefault="00260B75">
      <w:pPr>
        <w:spacing w:after="214" w:line="265" w:lineRule="auto"/>
        <w:ind w:left="154" w:right="7" w:hanging="154"/>
        <w:jc w:val="right"/>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se debe presentar primeramente el FORMULARIO DE CONTROL DE DESCARGO Y CARGO DEL RESGUARDO DE BIENES MUEBLES, para posteriormente presentar el FORMULARIO PARA DESPACHO DE ALMACÉN.</w:t>
      </w:r>
    </w:p>
    <w:p w14:paraId="54238B49" w14:textId="77777777" w:rsidR="00053D93" w:rsidRDefault="00260B75">
      <w:pPr>
        <w:spacing w:after="31" w:line="267" w:lineRule="auto"/>
        <w:ind w:left="267" w:right="21" w:hanging="188"/>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Con fecha 21 de marzo de 2025, se me trasladó la constancia de bienes en inventario de estas porterías, para proceder a la elaboración de los formularios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control de descargo y cargo del resguardo de bienes muebles; con fecha 08 de abril de 2024, se elaboraron estos últimos formularios para asignármelos a mi tarjeta de responsabilidad... constancia de bienes en inventario de fecha 21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marzo de 2024, ... formulario de descargo y cargo del resguardo de bienes muebles de fecha 08 de abril de 2025 y... despacho de almacén No. 38717, que va en trámite. Por lo expuesto anteriormente, solicito sean analizados los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argumentos y documentos presentados para el desvanecimiento del posible hallazgo hacia mi persona, considerando que en ningún momento los participantes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fueron afectados en la realización de los eventos, sin embargo, es importante contar con los propios para la realización de los eventos de juegos deportivos escolares regionales y nacionales, de ahí la necesidad de adquirirlos. Los</w:t>
      </w:r>
    </w:p>
    <w:p w14:paraId="72A3417D" w14:textId="77777777" w:rsidR="00053D93" w:rsidRDefault="00260B75">
      <w:pPr>
        <w:spacing w:after="24"/>
        <w:ind w:left="72"/>
      </w:pPr>
      <w:r>
        <w:rPr>
          <w:noProof/>
        </w:rPr>
        <w:drawing>
          <wp:inline distT="0" distB="0" distL="0" distR="0" wp14:anchorId="072768EA" wp14:editId="0DF090FC">
            <wp:extent cx="4572" cy="9144"/>
            <wp:effectExtent l="0" t="0" r="0" b="0"/>
            <wp:docPr id="570368" name="Picture 570368"/>
            <wp:cNvGraphicFramePr/>
            <a:graphic xmlns:a="http://schemas.openxmlformats.org/drawingml/2006/main">
              <a:graphicData uri="http://schemas.openxmlformats.org/drawingml/2006/picture">
                <pic:pic xmlns:pic="http://schemas.openxmlformats.org/drawingml/2006/picture">
                  <pic:nvPicPr>
                    <pic:cNvPr id="570368" name="Picture 570368"/>
                    <pic:cNvPicPr/>
                  </pic:nvPicPr>
                  <pic:blipFill>
                    <a:blip r:embed="rId24"/>
                    <a:stretch>
                      <a:fillRect/>
                    </a:stretch>
                  </pic:blipFill>
                  <pic:spPr>
                    <a:xfrm>
                      <a:off x="0" y="0"/>
                      <a:ext cx="4572" cy="9144"/>
                    </a:xfrm>
                    <a:prstGeom prst="rect">
                      <a:avLst/>
                    </a:prstGeom>
                  </pic:spPr>
                </pic:pic>
              </a:graphicData>
            </a:graphic>
          </wp:inline>
        </w:drawing>
      </w:r>
    </w:p>
    <w:p w14:paraId="7C144DAB" w14:textId="77777777" w:rsidR="00053D93" w:rsidRDefault="00260B75">
      <w:pPr>
        <w:spacing w:after="412" w:line="369" w:lineRule="auto"/>
        <w:ind w:left="18" w:right="21" w:hanging="4"/>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implementos en mención serán utilizados en el presente ejercicio fiscal para los eventos programados en las diferentes disciplinas deportivas... '</w:t>
      </w:r>
    </w:p>
    <w:p w14:paraId="31F4A3AA" w14:textId="77777777" w:rsidR="00053D93" w:rsidRDefault="00260B75">
      <w:pPr>
        <w:tabs>
          <w:tab w:val="right" w:pos="10238"/>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En nota s/n del 1 1 de abril de 2025, el licenciado Francisco Antonio Quiñonez</w:t>
      </w:r>
    </w:p>
    <w:tbl>
      <w:tblPr>
        <w:tblStyle w:val="TableGrid"/>
        <w:tblpPr w:vertAnchor="page" w:horzAnchor="page" w:tblpX="2847" w:tblpY="14494"/>
        <w:tblOverlap w:val="never"/>
        <w:tblW w:w="7615" w:type="dxa"/>
        <w:tblInd w:w="0" w:type="dxa"/>
        <w:tblCellMar>
          <w:top w:w="28" w:type="dxa"/>
          <w:left w:w="1733" w:type="dxa"/>
          <w:right w:w="115" w:type="dxa"/>
        </w:tblCellMar>
        <w:tblLook w:val="04A0" w:firstRow="1" w:lastRow="0" w:firstColumn="1" w:lastColumn="0" w:noHBand="0" w:noVBand="1"/>
      </w:tblPr>
      <w:tblGrid>
        <w:gridCol w:w="7615"/>
      </w:tblGrid>
      <w:tr w:rsidR="00053D93" w14:paraId="19F82AD4" w14:textId="77777777">
        <w:trPr>
          <w:trHeight w:val="58"/>
        </w:trPr>
        <w:tc>
          <w:tcPr>
            <w:tcW w:w="7615" w:type="dxa"/>
            <w:tcBorders>
              <w:top w:val="nil"/>
              <w:left w:val="single" w:sz="2" w:space="0" w:color="000000"/>
              <w:bottom w:val="single" w:sz="2" w:space="0" w:color="000000"/>
              <w:right w:val="nil"/>
            </w:tcBorders>
          </w:tcPr>
          <w:p w14:paraId="1137850E" w14:textId="77777777" w:rsidR="00053D93" w:rsidRDefault="00053D93"/>
        </w:tc>
      </w:tr>
      <w:tr w:rsidR="00053D93" w14:paraId="36FE4993" w14:textId="77777777">
        <w:trPr>
          <w:trHeight w:val="576"/>
        </w:trPr>
        <w:tc>
          <w:tcPr>
            <w:tcW w:w="7615" w:type="dxa"/>
            <w:tcBorders>
              <w:top w:val="single" w:sz="2" w:space="0" w:color="000000"/>
              <w:left w:val="single" w:sz="2" w:space="0" w:color="000000"/>
              <w:bottom w:val="nil"/>
              <w:right w:val="nil"/>
            </w:tcBorders>
          </w:tcPr>
          <w:p w14:paraId="608FB818" w14:textId="77777777" w:rsidR="00053D93" w:rsidRDefault="00260B75">
            <w:pPr>
              <w:ind w:left="835"/>
            </w:pPr>
            <w:r>
              <w:rPr>
                <w:sz w:val="14"/>
              </w:rPr>
              <w:lastRenderedPageBreak/>
              <w:t>MINISTERIO DE EDUCACION</w:t>
            </w:r>
          </w:p>
          <w:p w14:paraId="04964996" w14:textId="77777777" w:rsidR="00053D93" w:rsidRDefault="00260B75">
            <w:pPr>
              <w:ind w:left="346"/>
            </w:pPr>
            <w:r>
              <w:rPr>
                <w:sz w:val="14"/>
              </w:rPr>
              <w:t>AUDITORIA FINANCIERA Y DE CUMPLIMIENTO</w:t>
            </w:r>
          </w:p>
          <w:p w14:paraId="1491C34E" w14:textId="77777777" w:rsidR="00053D93" w:rsidRDefault="00260B75">
            <w:r>
              <w:rPr>
                <w:sz w:val="14"/>
              </w:rPr>
              <w:t>FERiOD0 DEL 01 DE ENERO AL 31 DE DICIEMBRE DE 2024</w:t>
            </w:r>
          </w:p>
        </w:tc>
      </w:tr>
    </w:tbl>
    <w:p w14:paraId="545955C2" w14:textId="77777777" w:rsidR="00053D93" w:rsidRDefault="00260B75">
      <w:pPr>
        <w:spacing w:after="42" w:line="267" w:lineRule="auto"/>
        <w:ind w:left="105" w:right="21" w:hanging="4"/>
        <w:jc w:val="right"/>
      </w:pPr>
      <w:r>
        <w:rPr>
          <w:noProof/>
        </w:rPr>
        <w:drawing>
          <wp:anchor distT="0" distB="0" distL="114300" distR="114300" simplePos="0" relativeHeight="252034048" behindDoc="0" locked="0" layoutInCell="1" allowOverlap="0" wp14:anchorId="60F6BAF5" wp14:editId="746F37AC">
            <wp:simplePos x="0" y="0"/>
            <wp:positionH relativeFrom="page">
              <wp:posOffset>662940</wp:posOffset>
            </wp:positionH>
            <wp:positionV relativeFrom="page">
              <wp:posOffset>9198864</wp:posOffset>
            </wp:positionV>
            <wp:extent cx="1124712" cy="406909"/>
            <wp:effectExtent l="0" t="0" r="0" b="0"/>
            <wp:wrapTopAndBottom/>
            <wp:docPr id="570425" name="Picture 570425"/>
            <wp:cNvGraphicFramePr/>
            <a:graphic xmlns:a="http://schemas.openxmlformats.org/drawingml/2006/main">
              <a:graphicData uri="http://schemas.openxmlformats.org/drawingml/2006/picture">
                <pic:pic xmlns:pic="http://schemas.openxmlformats.org/drawingml/2006/picture">
                  <pic:nvPicPr>
                    <pic:cNvPr id="570425" name="Picture 570425"/>
                    <pic:cNvPicPr/>
                  </pic:nvPicPr>
                  <pic:blipFill>
                    <a:blip r:embed="rId855"/>
                    <a:stretch>
                      <a:fillRect/>
                    </a:stretch>
                  </pic:blipFill>
                  <pic:spPr>
                    <a:xfrm>
                      <a:off x="0" y="0"/>
                      <a:ext cx="1124712" cy="406909"/>
                    </a:xfrm>
                    <a:prstGeom prst="rect">
                      <a:avLst/>
                    </a:prstGeom>
                  </pic:spPr>
                </pic:pic>
              </a:graphicData>
            </a:graphic>
          </wp:anchor>
        </w:drawing>
      </w:r>
      <w:r>
        <w:rPr>
          <w:sz w:val="26"/>
        </w:rPr>
        <w:t xml:space="preserve">Santizo, quien fungió como Jefe de Departamento de Desarrollo Deportivo Escolar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A.l., por el período comprendido del 14 de marzo de 2024 al 14 de octubre de 2024, manifiesta: "...Me permito informarle que efectivamente las compras de la implementación deportiva fueron realizadas por mi persona en el período que</w:t>
      </w:r>
    </w:p>
    <w:p w14:paraId="023BC6A7" w14:textId="77777777" w:rsidR="00053D93" w:rsidRDefault="00260B75">
      <w:pPr>
        <w:spacing w:after="44"/>
        <w:ind w:left="65"/>
      </w:pPr>
      <w:r>
        <w:rPr>
          <w:noProof/>
        </w:rPr>
        <w:drawing>
          <wp:inline distT="0" distB="0" distL="0" distR="0" wp14:anchorId="69B7A630" wp14:editId="456F5E12">
            <wp:extent cx="9144" cy="4572"/>
            <wp:effectExtent l="0" t="0" r="0" b="0"/>
            <wp:docPr id="570369" name="Picture 570369"/>
            <wp:cNvGraphicFramePr/>
            <a:graphic xmlns:a="http://schemas.openxmlformats.org/drawingml/2006/main">
              <a:graphicData uri="http://schemas.openxmlformats.org/drawingml/2006/picture">
                <pic:pic xmlns:pic="http://schemas.openxmlformats.org/drawingml/2006/picture">
                  <pic:nvPicPr>
                    <pic:cNvPr id="570369" name="Picture 570369"/>
                    <pic:cNvPicPr/>
                  </pic:nvPicPr>
                  <pic:blipFill>
                    <a:blip r:embed="rId24"/>
                    <a:stretch>
                      <a:fillRect/>
                    </a:stretch>
                  </pic:blipFill>
                  <pic:spPr>
                    <a:xfrm>
                      <a:off x="0" y="0"/>
                      <a:ext cx="9144" cy="4572"/>
                    </a:xfrm>
                    <a:prstGeom prst="rect">
                      <a:avLst/>
                    </a:prstGeom>
                  </pic:spPr>
                </pic:pic>
              </a:graphicData>
            </a:graphic>
          </wp:inline>
        </w:drawing>
      </w:r>
    </w:p>
    <w:p w14:paraId="4A40999B" w14:textId="77777777" w:rsidR="00053D93" w:rsidRDefault="00260B75">
      <w:pPr>
        <w:spacing w:after="39" w:line="267" w:lineRule="auto"/>
        <w:ind w:left="18" w:right="21" w:hanging="4"/>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fungí como Jefe del Departamento de Desarrollo Deportivos Escolar según RESOLUCION -DIGEF-N0.DG-064-2024 de fecha 13 de marzo del 2024, dándole </w:t>
      </w:r>
      <w:r>
        <w:rPr>
          <w:noProof/>
        </w:rPr>
        <w:drawing>
          <wp:inline distT="0" distB="0" distL="0" distR="0" wp14:anchorId="5C78C230" wp14:editId="1FBE89A0">
            <wp:extent cx="18288" cy="9144"/>
            <wp:effectExtent l="0" t="0" r="0" b="0"/>
            <wp:docPr id="570370" name="Picture 570370"/>
            <wp:cNvGraphicFramePr/>
            <a:graphic xmlns:a="http://schemas.openxmlformats.org/drawingml/2006/main">
              <a:graphicData uri="http://schemas.openxmlformats.org/drawingml/2006/picture">
                <pic:pic xmlns:pic="http://schemas.openxmlformats.org/drawingml/2006/picture">
                  <pic:nvPicPr>
                    <pic:cNvPr id="570370" name="Picture 570370"/>
                    <pic:cNvPicPr/>
                  </pic:nvPicPr>
                  <pic:blipFill>
                    <a:blip r:embed="rId856"/>
                    <a:stretch>
                      <a:fillRect/>
                    </a:stretch>
                  </pic:blipFill>
                  <pic:spPr>
                    <a:xfrm>
                      <a:off x="0" y="0"/>
                      <a:ext cx="18288" cy="9144"/>
                    </a:xfrm>
                    <a:prstGeom prst="rect">
                      <a:avLst/>
                    </a:prstGeom>
                  </pic:spPr>
                </pic:pic>
              </a:graphicData>
            </a:graphic>
          </wp:inline>
        </w:drawing>
      </w:r>
      <w:r>
        <w:rPr>
          <w:sz w:val="26"/>
        </w:rPr>
        <w:tab/>
        <w:t xml:space="preserve">seguimiento a los procesos que el anterior Jefe de departamento dejo en trámite,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en consecuencia mi primer acción fue poner al día dichos procesos y ordenar... La implementación deportiva que se refiere a (pataletas pequeñas, pataletas grandes, </w:t>
      </w:r>
      <w:r>
        <w:rPr>
          <w:noProof/>
        </w:rPr>
        <w:drawing>
          <wp:inline distT="0" distB="0" distL="0" distR="0" wp14:anchorId="6BB27EF6" wp14:editId="39BD9A47">
            <wp:extent cx="22860" cy="9144"/>
            <wp:effectExtent l="0" t="0" r="0" b="0"/>
            <wp:docPr id="570371" name="Picture 570371"/>
            <wp:cNvGraphicFramePr/>
            <a:graphic xmlns:a="http://schemas.openxmlformats.org/drawingml/2006/main">
              <a:graphicData uri="http://schemas.openxmlformats.org/drawingml/2006/picture">
                <pic:pic xmlns:pic="http://schemas.openxmlformats.org/drawingml/2006/picture">
                  <pic:nvPicPr>
                    <pic:cNvPr id="570371" name="Picture 570371"/>
                    <pic:cNvPicPr/>
                  </pic:nvPicPr>
                  <pic:blipFill>
                    <a:blip r:embed="rId768"/>
                    <a:stretch>
                      <a:fillRect/>
                    </a:stretch>
                  </pic:blipFill>
                  <pic:spPr>
                    <a:xfrm>
                      <a:off x="0" y="0"/>
                      <a:ext cx="22860" cy="9144"/>
                    </a:xfrm>
                    <a:prstGeom prst="rect">
                      <a:avLst/>
                    </a:prstGeom>
                  </pic:spPr>
                </pic:pic>
              </a:graphicData>
            </a:graphic>
          </wp:inline>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flotador de piernas, protector de trampolín y jugos Tetrapak, barra asimétrica de gimnasia trampolín para gimnasia, viga de equilibrio colchoneta tipo octágono para gimnasia, bolsón para implementos y colchoneta deportivas), son implementos</w:t>
      </w:r>
    </w:p>
    <w:p w14:paraId="2B51BE35" w14:textId="77777777" w:rsidR="00053D93" w:rsidRDefault="00260B75">
      <w:pPr>
        <w:spacing w:after="46"/>
        <w:ind w:left="58"/>
      </w:pPr>
      <w:r>
        <w:rPr>
          <w:noProof/>
        </w:rPr>
        <w:drawing>
          <wp:inline distT="0" distB="0" distL="0" distR="0" wp14:anchorId="39D479D3" wp14:editId="275259F0">
            <wp:extent cx="18288" cy="9144"/>
            <wp:effectExtent l="0" t="0" r="0" b="0"/>
            <wp:docPr id="570372" name="Picture 570372"/>
            <wp:cNvGraphicFramePr/>
            <a:graphic xmlns:a="http://schemas.openxmlformats.org/drawingml/2006/main">
              <a:graphicData uri="http://schemas.openxmlformats.org/drawingml/2006/picture">
                <pic:pic xmlns:pic="http://schemas.openxmlformats.org/drawingml/2006/picture">
                  <pic:nvPicPr>
                    <pic:cNvPr id="570372" name="Picture 570372"/>
                    <pic:cNvPicPr/>
                  </pic:nvPicPr>
                  <pic:blipFill>
                    <a:blip r:embed="rId151"/>
                    <a:stretch>
                      <a:fillRect/>
                    </a:stretch>
                  </pic:blipFill>
                  <pic:spPr>
                    <a:xfrm>
                      <a:off x="0" y="0"/>
                      <a:ext cx="18288" cy="9144"/>
                    </a:xfrm>
                    <a:prstGeom prst="rect">
                      <a:avLst/>
                    </a:prstGeom>
                  </pic:spPr>
                </pic:pic>
              </a:graphicData>
            </a:graphic>
          </wp:inline>
        </w:drawing>
      </w:r>
    </w:p>
    <w:p w14:paraId="79FABB23" w14:textId="77777777" w:rsidR="00053D93" w:rsidRDefault="00260B75">
      <w:pPr>
        <w:spacing w:after="31" w:line="267" w:lineRule="auto"/>
        <w:ind w:left="18" w:right="21" w:hanging="4"/>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deportivos para ser utilizados en las instalaciones de la DIRECCION GENERAL DE EDUCACION FISICA -DIGEF-, con los niños y niñas de nuevo ingreso que se </w:t>
      </w:r>
      <w:r>
        <w:rPr>
          <w:noProof/>
        </w:rPr>
        <w:drawing>
          <wp:inline distT="0" distB="0" distL="0" distR="0" wp14:anchorId="1D510E34" wp14:editId="499A9557">
            <wp:extent cx="22860" cy="13716"/>
            <wp:effectExtent l="0" t="0" r="0" b="0"/>
            <wp:docPr id="570373" name="Picture 570373"/>
            <wp:cNvGraphicFramePr/>
            <a:graphic xmlns:a="http://schemas.openxmlformats.org/drawingml/2006/main">
              <a:graphicData uri="http://schemas.openxmlformats.org/drawingml/2006/picture">
                <pic:pic xmlns:pic="http://schemas.openxmlformats.org/drawingml/2006/picture">
                  <pic:nvPicPr>
                    <pic:cNvPr id="570373" name="Picture 570373"/>
                    <pic:cNvPicPr/>
                  </pic:nvPicPr>
                  <pic:blipFill>
                    <a:blip r:embed="rId857"/>
                    <a:stretch>
                      <a:fillRect/>
                    </a:stretch>
                  </pic:blipFill>
                  <pic:spPr>
                    <a:xfrm>
                      <a:off x="0" y="0"/>
                      <a:ext cx="22860" cy="13716"/>
                    </a:xfrm>
                    <a:prstGeom prst="rect">
                      <a:avLst/>
                    </a:prstGeom>
                  </pic:spPr>
                </pic:pic>
              </a:graphicData>
            </a:graphic>
          </wp:inline>
        </w:drawing>
      </w:r>
      <w:r>
        <w:rPr>
          <w:sz w:val="26"/>
        </w:rPr>
        <w:tab/>
        <w:t xml:space="preserve">incorporan a las Escuelas de Iniciación Deportiva de la DIGEF. En sus jornada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vespertina y vespertina, esta implementación que debía de cargarse a los maestros bajo el renglón 01 1 por medio de tarjetas de responsabilidad para su </w:t>
      </w:r>
      <w:r>
        <w:rPr>
          <w:noProof/>
        </w:rPr>
        <w:drawing>
          <wp:inline distT="0" distB="0" distL="0" distR="0" wp14:anchorId="4A600A24" wp14:editId="6171D141">
            <wp:extent cx="41148" cy="13717"/>
            <wp:effectExtent l="0" t="0" r="0" b="0"/>
            <wp:docPr id="2458470" name="Picture 2458470"/>
            <wp:cNvGraphicFramePr/>
            <a:graphic xmlns:a="http://schemas.openxmlformats.org/drawingml/2006/main">
              <a:graphicData uri="http://schemas.openxmlformats.org/drawingml/2006/picture">
                <pic:pic xmlns:pic="http://schemas.openxmlformats.org/drawingml/2006/picture">
                  <pic:nvPicPr>
                    <pic:cNvPr id="2458470" name="Picture 2458470"/>
                    <pic:cNvPicPr/>
                  </pic:nvPicPr>
                  <pic:blipFill>
                    <a:blip r:embed="rId858"/>
                    <a:stretch>
                      <a:fillRect/>
                    </a:stretch>
                  </pic:blipFill>
                  <pic:spPr>
                    <a:xfrm>
                      <a:off x="0" y="0"/>
                      <a:ext cx="41148" cy="13717"/>
                    </a:xfrm>
                    <a:prstGeom prst="rect">
                      <a:avLst/>
                    </a:prstGeom>
                  </pic:spPr>
                </pic:pic>
              </a:graphicData>
            </a:graphic>
          </wp:inline>
        </w:drawing>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cuidado, resguardo y buen uso. Pero es importante hacer de su conocimiento que dichos profesores fueron nombrados a sus escuelas, por tal razón no fue prudente sacar de almacén los implementos deportivos ya que quedarían sin uso y además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a la intemperie y se perdieran o deterioraran. Por lo que se optó por dejarlos en el resguardo de almacén para darles salida posteriormente cuando las nuevas autoridades realizaran la contratación de maestros para la disciplina de gimnasia,</w:t>
      </w:r>
    </w:p>
    <w:p w14:paraId="22EA1D49" w14:textId="77777777" w:rsidR="00053D93" w:rsidRDefault="00260B75">
      <w:pPr>
        <w:spacing w:after="0"/>
        <w:ind w:left="17" w:hanging="10"/>
      </w:pPr>
      <w:r>
        <w:rPr>
          <w:rFonts w:ascii="Times New Roman" w:eastAsia="Times New Roman" w:hAnsi="Times New Roman" w:cs="Times New Roman"/>
          <w:sz w:val="82"/>
        </w:rPr>
        <w:t>1</w:t>
      </w:r>
    </w:p>
    <w:p w14:paraId="0A723ED5" w14:textId="77777777" w:rsidR="00053D93" w:rsidRDefault="00260B75">
      <w:pPr>
        <w:spacing w:after="24"/>
        <w:ind w:left="1728"/>
      </w:pPr>
      <w:r>
        <w:rPr>
          <w:noProof/>
        </w:rPr>
        <mc:AlternateContent>
          <mc:Choice Requires="wpg">
            <w:drawing>
              <wp:inline distT="0" distB="0" distL="0" distR="0" wp14:anchorId="6675A412" wp14:editId="4A24313D">
                <wp:extent cx="5381244" cy="13716"/>
                <wp:effectExtent l="0" t="0" r="0" b="0"/>
                <wp:docPr id="2458475" name="Group 2458475"/>
                <wp:cNvGraphicFramePr/>
                <a:graphic xmlns:a="http://schemas.openxmlformats.org/drawingml/2006/main">
                  <a:graphicData uri="http://schemas.microsoft.com/office/word/2010/wordprocessingGroup">
                    <wpg:wgp>
                      <wpg:cNvGrpSpPr/>
                      <wpg:grpSpPr>
                        <a:xfrm>
                          <a:off x="0" y="0"/>
                          <a:ext cx="5381244" cy="13716"/>
                          <a:chOff x="0" y="0"/>
                          <a:chExt cx="5381244" cy="13716"/>
                        </a:xfrm>
                      </wpg:grpSpPr>
                      <wps:wsp>
                        <wps:cNvPr id="2458474" name="Shape 2458474"/>
                        <wps:cNvSpPr/>
                        <wps:spPr>
                          <a:xfrm>
                            <a:off x="0" y="0"/>
                            <a:ext cx="5381244" cy="13716"/>
                          </a:xfrm>
                          <a:custGeom>
                            <a:avLst/>
                            <a:gdLst/>
                            <a:ahLst/>
                            <a:cxnLst/>
                            <a:rect l="0" t="0" r="0" b="0"/>
                            <a:pathLst>
                              <a:path w="5381244" h="13716">
                                <a:moveTo>
                                  <a:pt x="0" y="6858"/>
                                </a:moveTo>
                                <a:lnTo>
                                  <a:pt x="53812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75" style="width:423.72pt;height:1.08pt;mso-position-horizontal-relative:char;mso-position-vertical-relative:line" coordsize="53812,137">
                <v:shape id="Shape 2458474" style="position:absolute;width:53812;height:137;left:0;top:0;" coordsize="5381244,13716" path="m0,6858l5381244,6858">
                  <v:stroke weight="1.08pt" endcap="flat" joinstyle="miter" miterlimit="1" on="true" color="#000000"/>
                  <v:fill on="false" color="#000000"/>
                </v:shape>
              </v:group>
            </w:pict>
          </mc:Fallback>
        </mc:AlternateContent>
      </w:r>
    </w:p>
    <w:p w14:paraId="5BE12587" w14:textId="77777777" w:rsidR="00053D93" w:rsidRDefault="00260B75">
      <w:pPr>
        <w:spacing w:after="42" w:line="247" w:lineRule="auto"/>
        <w:ind w:left="14" w:right="14" w:firstLine="4"/>
        <w:jc w:val="both"/>
      </w:pPr>
      <w:r>
        <w:rPr>
          <w:noProof/>
        </w:rPr>
        <w:drawing>
          <wp:anchor distT="0" distB="0" distL="114300" distR="114300" simplePos="0" relativeHeight="252035072" behindDoc="0" locked="0" layoutInCell="1" allowOverlap="0" wp14:anchorId="6981BDCF" wp14:editId="315BA76F">
            <wp:simplePos x="0" y="0"/>
            <wp:positionH relativeFrom="column">
              <wp:posOffset>4265676</wp:posOffset>
            </wp:positionH>
            <wp:positionV relativeFrom="paragraph">
              <wp:posOffset>2540444</wp:posOffset>
            </wp:positionV>
            <wp:extent cx="18288" cy="45720"/>
            <wp:effectExtent l="0" t="0" r="0" b="0"/>
            <wp:wrapSquare wrapText="bothSides"/>
            <wp:docPr id="574739" name="Picture 574739"/>
            <wp:cNvGraphicFramePr/>
            <a:graphic xmlns:a="http://schemas.openxmlformats.org/drawingml/2006/main">
              <a:graphicData uri="http://schemas.openxmlformats.org/drawingml/2006/picture">
                <pic:pic xmlns:pic="http://schemas.openxmlformats.org/drawingml/2006/picture">
                  <pic:nvPicPr>
                    <pic:cNvPr id="574739" name="Picture 574739"/>
                    <pic:cNvPicPr/>
                  </pic:nvPicPr>
                  <pic:blipFill>
                    <a:blip r:embed="rId859"/>
                    <a:stretch>
                      <a:fillRect/>
                    </a:stretch>
                  </pic:blipFill>
                  <pic:spPr>
                    <a:xfrm>
                      <a:off x="0" y="0"/>
                      <a:ext cx="18288" cy="45720"/>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en el caso de la implementación de natación se acordó con los maestros encargados que se les daría salida en el momento que se completara los grupos de nuevo ingreso al equipo de natación, como responsable del departamento </w:t>
      </w:r>
      <w:r>
        <w:rPr>
          <w:rFonts w:ascii="Times New Roman" w:eastAsia="Times New Roman" w:hAnsi="Times New Roman" w:cs="Times New Roman"/>
          <w:sz w:val="26"/>
        </w:rPr>
        <w:t xml:space="preserve">1 </w:t>
      </w:r>
      <w:r>
        <w:rPr>
          <w:sz w:val="26"/>
        </w:rPr>
        <w:t xml:space="preserve">considere apropiado que los implementos quedasen resguardados a permitir su robo o deterioro. Quedando asi de común acuerdo, no obstante, se </w:t>
      </w:r>
      <w:r>
        <w:rPr>
          <w:sz w:val="26"/>
        </w:rPr>
        <w:lastRenderedPageBreak/>
        <w:t xml:space="preserve">presentaron cambios de autoridades en repetidas oportunidades, dejando en un impase al final </w:t>
      </w:r>
      <w:r>
        <w:rPr>
          <w:rFonts w:ascii="Times New Roman" w:eastAsia="Times New Roman" w:hAnsi="Times New Roman" w:cs="Times New Roman"/>
          <w:sz w:val="26"/>
        </w:rPr>
        <w:t xml:space="preserve">1 </w:t>
      </w:r>
      <w:r>
        <w:rPr>
          <w:sz w:val="26"/>
        </w:rPr>
        <w:t xml:space="preserve">mi persona fui removida del cargo sin previo aviso. Bajo RESOLUCION DIGEF-No. 308-2024 de fecha 14 de octubre del 2024... Por lo que mi persona considera que esto no es Hallazgo puesto que mi acción fue preventiva para evitar robos, pérdidas o deterioros, es importante tomar en cuenta que desde mi cambio ya transcurrió cierto tiempo para realizar las acciones administrativas que habían </w:t>
      </w:r>
      <w:r>
        <w:rPr>
          <w:rFonts w:ascii="Times New Roman" w:eastAsia="Times New Roman" w:hAnsi="Times New Roman" w:cs="Times New Roman"/>
          <w:sz w:val="26"/>
        </w:rPr>
        <w:t xml:space="preserve">1 </w:t>
      </w:r>
      <w:r>
        <w:rPr>
          <w:sz w:val="26"/>
        </w:rPr>
        <w:t>quedado pendientes de ejecutar, sin embargo, mi persona ofreció dar asesoría y seguimientos de los procesos que se estaban realizando, pero ya no fue posible dadas las nuevas disposiciones administrativa... '</w:t>
      </w:r>
    </w:p>
    <w:p w14:paraId="67699610" w14:textId="77777777" w:rsidR="00053D93" w:rsidRDefault="00260B75">
      <w:pPr>
        <w:spacing w:after="3"/>
        <w:ind w:left="74" w:right="3485" w:hanging="10"/>
      </w:pPr>
      <w:r>
        <w:rPr>
          <w:rFonts w:ascii="Times New Roman" w:eastAsia="Times New Roman" w:hAnsi="Times New Roman" w:cs="Times New Roman"/>
          <w:sz w:val="70"/>
        </w:rPr>
        <w:t>1</w:t>
      </w:r>
    </w:p>
    <w:tbl>
      <w:tblPr>
        <w:tblStyle w:val="TableGrid"/>
        <w:tblpPr w:vertAnchor="page" w:horzAnchor="page" w:tblpX="2849" w:tblpY="14530"/>
        <w:tblOverlap w:val="never"/>
        <w:tblW w:w="7656" w:type="dxa"/>
        <w:tblInd w:w="0" w:type="dxa"/>
        <w:tblCellMar>
          <w:top w:w="25" w:type="dxa"/>
          <w:left w:w="1781" w:type="dxa"/>
          <w:right w:w="115" w:type="dxa"/>
        </w:tblCellMar>
        <w:tblLook w:val="04A0" w:firstRow="1" w:lastRow="0" w:firstColumn="1" w:lastColumn="0" w:noHBand="0" w:noVBand="1"/>
      </w:tblPr>
      <w:tblGrid>
        <w:gridCol w:w="7656"/>
      </w:tblGrid>
      <w:tr w:rsidR="00053D93" w14:paraId="488DDDB4" w14:textId="77777777">
        <w:trPr>
          <w:trHeight w:val="36"/>
        </w:trPr>
        <w:tc>
          <w:tcPr>
            <w:tcW w:w="7656" w:type="dxa"/>
            <w:tcBorders>
              <w:top w:val="nil"/>
              <w:left w:val="single" w:sz="2" w:space="0" w:color="000000"/>
              <w:bottom w:val="single" w:sz="2" w:space="0" w:color="000000"/>
              <w:right w:val="nil"/>
            </w:tcBorders>
          </w:tcPr>
          <w:p w14:paraId="58AEE4D6" w14:textId="77777777" w:rsidR="00053D93" w:rsidRDefault="00053D93"/>
        </w:tc>
      </w:tr>
      <w:tr w:rsidR="00053D93" w14:paraId="01D4DCD5" w14:textId="77777777">
        <w:trPr>
          <w:trHeight w:val="612"/>
        </w:trPr>
        <w:tc>
          <w:tcPr>
            <w:tcW w:w="7656" w:type="dxa"/>
            <w:tcBorders>
              <w:top w:val="single" w:sz="2" w:space="0" w:color="000000"/>
              <w:left w:val="single" w:sz="2" w:space="0" w:color="000000"/>
              <w:bottom w:val="nil"/>
              <w:right w:val="nil"/>
            </w:tcBorders>
          </w:tcPr>
          <w:p w14:paraId="057F14D1" w14:textId="77777777" w:rsidR="00053D93" w:rsidRDefault="00260B75">
            <w:pPr>
              <w:ind w:left="828"/>
            </w:pPr>
            <w:r>
              <w:rPr>
                <w:sz w:val="14"/>
              </w:rPr>
              <w:lastRenderedPageBreak/>
              <w:t>MINISTERIO DE EDUCACION</w:t>
            </w:r>
          </w:p>
          <w:p w14:paraId="774E41E8" w14:textId="77777777" w:rsidR="00053D93" w:rsidRDefault="00260B75">
            <w:pPr>
              <w:ind w:left="331"/>
            </w:pPr>
            <w:r>
              <w:rPr>
                <w:sz w:val="14"/>
              </w:rPr>
              <w:t>AUDITORIA FINANCIERA Y DE CUMPLIMIENTO</w:t>
            </w:r>
          </w:p>
          <w:p w14:paraId="10435307" w14:textId="77777777" w:rsidR="00053D93" w:rsidRDefault="00260B75">
            <w:r>
              <w:rPr>
                <w:sz w:val="14"/>
              </w:rPr>
              <w:t>PERIODO DEL 01 DE ENERO AL 31 DE DECIEMBRE DE 2024</w:t>
            </w:r>
          </w:p>
        </w:tc>
      </w:tr>
    </w:tbl>
    <w:p w14:paraId="5E288E13" w14:textId="77777777" w:rsidR="00053D93" w:rsidRDefault="00260B75">
      <w:pPr>
        <w:spacing w:after="17" w:line="247" w:lineRule="auto"/>
        <w:ind w:left="79" w:right="14" w:firstLine="1685"/>
        <w:jc w:val="both"/>
      </w:pPr>
      <w:r>
        <w:rPr>
          <w:noProof/>
        </w:rPr>
        <w:drawing>
          <wp:anchor distT="0" distB="0" distL="114300" distR="114300" simplePos="0" relativeHeight="252036096" behindDoc="0" locked="0" layoutInCell="1" allowOverlap="0" wp14:anchorId="2433231E" wp14:editId="58D70EE9">
            <wp:simplePos x="0" y="0"/>
            <wp:positionH relativeFrom="page">
              <wp:posOffset>681228</wp:posOffset>
            </wp:positionH>
            <wp:positionV relativeFrom="page">
              <wp:posOffset>9226297</wp:posOffset>
            </wp:positionV>
            <wp:extent cx="1074420" cy="411480"/>
            <wp:effectExtent l="0" t="0" r="0" b="0"/>
            <wp:wrapTopAndBottom/>
            <wp:docPr id="574816" name="Picture 574816"/>
            <wp:cNvGraphicFramePr/>
            <a:graphic xmlns:a="http://schemas.openxmlformats.org/drawingml/2006/main">
              <a:graphicData uri="http://schemas.openxmlformats.org/drawingml/2006/picture">
                <pic:pic xmlns:pic="http://schemas.openxmlformats.org/drawingml/2006/picture">
                  <pic:nvPicPr>
                    <pic:cNvPr id="574816" name="Picture 574816"/>
                    <pic:cNvPicPr/>
                  </pic:nvPicPr>
                  <pic:blipFill>
                    <a:blip r:embed="rId860"/>
                    <a:stretch>
                      <a:fillRect/>
                    </a:stretch>
                  </pic:blipFill>
                  <pic:spPr>
                    <a:xfrm>
                      <a:off x="0" y="0"/>
                      <a:ext cx="1074420" cy="411480"/>
                    </a:xfrm>
                    <a:prstGeom prst="rect">
                      <a:avLst/>
                    </a:prstGeom>
                  </pic:spPr>
                </pic:pic>
              </a:graphicData>
            </a:graphic>
          </wp:anchor>
        </w:drawing>
      </w:r>
      <w:r>
        <w:rPr>
          <w:noProof/>
        </w:rPr>
        <mc:AlternateContent>
          <mc:Choice Requires="wpg">
            <w:drawing>
              <wp:anchor distT="0" distB="0" distL="114300" distR="114300" simplePos="0" relativeHeight="252037120" behindDoc="0" locked="0" layoutInCell="1" allowOverlap="1" wp14:anchorId="4D63F8C1" wp14:editId="0F4AE479">
                <wp:simplePos x="0" y="0"/>
                <wp:positionH relativeFrom="column">
                  <wp:posOffset>77724</wp:posOffset>
                </wp:positionH>
                <wp:positionV relativeFrom="paragraph">
                  <wp:posOffset>2729629</wp:posOffset>
                </wp:positionV>
                <wp:extent cx="118872" cy="301751"/>
                <wp:effectExtent l="0" t="0" r="0" b="0"/>
                <wp:wrapSquare wrapText="bothSides"/>
                <wp:docPr id="2455892" name="Group 2455892"/>
                <wp:cNvGraphicFramePr/>
                <a:graphic xmlns:a="http://schemas.openxmlformats.org/drawingml/2006/main">
                  <a:graphicData uri="http://schemas.microsoft.com/office/word/2010/wordprocessingGroup">
                    <wpg:wgp>
                      <wpg:cNvGrpSpPr/>
                      <wpg:grpSpPr>
                        <a:xfrm>
                          <a:off x="0" y="0"/>
                          <a:ext cx="118872" cy="301751"/>
                          <a:chOff x="0" y="0"/>
                          <a:chExt cx="118872" cy="301751"/>
                        </a:xfrm>
                      </wpg:grpSpPr>
                      <wps:wsp>
                        <wps:cNvPr id="571248" name="Rectangle 571248"/>
                        <wps:cNvSpPr/>
                        <wps:spPr>
                          <a:xfrm>
                            <a:off x="0" y="0"/>
                            <a:ext cx="158100" cy="401329"/>
                          </a:xfrm>
                          <a:prstGeom prst="rect">
                            <a:avLst/>
                          </a:prstGeom>
                          <a:ln>
                            <a:noFill/>
                          </a:ln>
                        </wps:spPr>
                        <wps:txbx>
                          <w:txbxContent>
                            <w:p w14:paraId="6629E4F9"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4D63F8C1" id="Group 2455892" o:spid="_x0000_s1343" style="position:absolute;left:0;text-align:left;margin-left:6.1pt;margin-top:214.95pt;width:9.35pt;height:23.75pt;z-index:252037120;mso-position-horizontal-relative:text;mso-position-vertical-relative:text" coordsize="118872,30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">
                <v:rect id="Rectangle 571248" o:spid="_x0000_s1344" style="position:absolute;width:158100;height:40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" filled="f" stroked="f">
                  <v:textbox inset="0,0,0,0">
                    <w:txbxContent>
                      <w:p w14:paraId="6629E4F9"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sz w:val="26"/>
        </w:rPr>
        <w:t xml:space="preserve">En nota s/n del 15 de abril de 2025, el licenciado Edward José Godínez González, </w:t>
      </w:r>
      <w:r>
        <w:rPr>
          <w:rFonts w:ascii="Times New Roman" w:eastAsia="Times New Roman" w:hAnsi="Times New Roman" w:cs="Times New Roman"/>
          <w:sz w:val="26"/>
        </w:rPr>
        <w:t xml:space="preserve">1 </w:t>
      </w:r>
      <w:r>
        <w:rPr>
          <w:sz w:val="26"/>
        </w:rPr>
        <w:t xml:space="preserve">quien fungió como Jefe de Departamento de Desarrollo Deportivo Escolar A.l., por el período comprendido del 15 de octubre de 2024 al 31 de diciembre de 2024, manifiesta: "... Referente a la condición descrita en el presente posible hallazgo, el </w:t>
      </w:r>
      <w:r>
        <w:rPr>
          <w:rFonts w:ascii="Times New Roman" w:eastAsia="Times New Roman" w:hAnsi="Times New Roman" w:cs="Times New Roman"/>
          <w:sz w:val="26"/>
        </w:rPr>
        <w:t xml:space="preserve">1 </w:t>
      </w:r>
      <w:r>
        <w:rPr>
          <w:sz w:val="26"/>
        </w:rPr>
        <w:t xml:space="preserve">cual se refiere a la falta de calidad del gasto por la utilización inoportuna de equipo, materiales y suministros adquiridos, los cuales no fueron entregados ni utilizados oportunamente por los beneficiarios, los cuales no fueron retirados oportunamente del Almacén, al respecto me permito manifestar lo siguiente: 1. En el mes de octubre del ejercicio fiscal 2024, tome posesión como Jefe del </w:t>
      </w:r>
      <w:r>
        <w:rPr>
          <w:rFonts w:ascii="Times New Roman" w:eastAsia="Times New Roman" w:hAnsi="Times New Roman" w:cs="Times New Roman"/>
          <w:sz w:val="26"/>
        </w:rPr>
        <w:t xml:space="preserve">1 </w:t>
      </w:r>
      <w:r>
        <w:rPr>
          <w:sz w:val="26"/>
        </w:rPr>
        <w:t xml:space="preserve">Departamento de Desarrollo Deportivo Escolar de manera interina, por lo que de acuerdo al detalle presentado por la auditoría practicada en el almacén de DIGEF, específicamente de los numerales 1, 2, 3 y 4 con fecha de utilización 12/08/2024 y </w:t>
      </w:r>
      <w:r>
        <w:rPr>
          <w:noProof/>
        </w:rPr>
        <mc:AlternateContent>
          <mc:Choice Requires="wpg">
            <w:drawing>
              <wp:inline distT="0" distB="0" distL="0" distR="0" wp14:anchorId="472BC010" wp14:editId="7473F1F0">
                <wp:extent cx="137160" cy="301752"/>
                <wp:effectExtent l="0" t="0" r="0" b="0"/>
                <wp:docPr id="2455891" name="Group 2455891"/>
                <wp:cNvGraphicFramePr/>
                <a:graphic xmlns:a="http://schemas.openxmlformats.org/drawingml/2006/main">
                  <a:graphicData uri="http://schemas.microsoft.com/office/word/2010/wordprocessingGroup">
                    <wpg:wgp>
                      <wpg:cNvGrpSpPr/>
                      <wpg:grpSpPr>
                        <a:xfrm>
                          <a:off x="0" y="0"/>
                          <a:ext cx="137160" cy="301752"/>
                          <a:chOff x="0" y="0"/>
                          <a:chExt cx="137160" cy="301752"/>
                        </a:xfrm>
                      </wpg:grpSpPr>
                      <wps:wsp>
                        <wps:cNvPr id="571247" name="Rectangle 571247"/>
                        <wps:cNvSpPr/>
                        <wps:spPr>
                          <a:xfrm>
                            <a:off x="0" y="0"/>
                            <a:ext cx="182423" cy="401330"/>
                          </a:xfrm>
                          <a:prstGeom prst="rect">
                            <a:avLst/>
                          </a:prstGeom>
                          <a:ln>
                            <a:noFill/>
                          </a:ln>
                        </wps:spPr>
                        <wps:txbx>
                          <w:txbxContent>
                            <w:p w14:paraId="3085E71C"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inline>
            </w:drawing>
          </mc:Choice>
          <mc:Fallback>
            <w:pict>
              <v:group w14:anchorId="472BC010" id="Group 2455891" o:spid="_x0000_s1345" style="width:10.8pt;height:23.75pt;mso-position-horizontal-relative:char;mso-position-vertical-relative:line" coordsize="13716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">
                <v:rect id="Rectangle 571247" o:spid="_x0000_s1346" style="position:absolute;width:182423;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" filled="f" stroked="f">
                  <v:textbox inset="0,0,0,0">
                    <w:txbxContent>
                      <w:p w14:paraId="3085E71C" w14:textId="77777777" w:rsidR="00053D93" w:rsidRDefault="00260B75">
                        <w:r>
                          <w:rPr>
                            <w:rFonts w:ascii="Times New Roman" w:eastAsia="Times New Roman" w:hAnsi="Times New Roman" w:cs="Times New Roman"/>
                            <w:sz w:val="82"/>
                          </w:rPr>
                          <w:t>1</w:t>
                        </w:r>
                      </w:p>
                    </w:txbxContent>
                  </v:textbox>
                </v:rect>
                <w10:anchorlock/>
              </v:group>
            </w:pict>
          </mc:Fallback>
        </mc:AlternateContent>
      </w:r>
      <w:r>
        <w:rPr>
          <w:sz w:val="26"/>
        </w:rPr>
        <w:t xml:space="preserve"> 19/09/2024 respectivamente desconozco el motivo por el cual no fueron entregados a donde correspondía, sin embargo para las actividades del equipo de natación y la Escuela de Iniciación Deportiva que inició actividades normales en el mes de marzo del presente año ya se tomaron acciones para la entrega de los implementos deportivos que es para quienes fueron solicitados de acuerdo a la </w:t>
      </w:r>
      <w:r>
        <w:rPr>
          <w:noProof/>
        </w:rPr>
        <mc:AlternateContent>
          <mc:Choice Requires="wpg">
            <w:drawing>
              <wp:inline distT="0" distB="0" distL="0" distR="0" wp14:anchorId="1F157302" wp14:editId="14E9E015">
                <wp:extent cx="123444" cy="297180"/>
                <wp:effectExtent l="0" t="0" r="0" b="0"/>
                <wp:docPr id="2455893" name="Group 2455893"/>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571249" name="Rectangle 571249"/>
                        <wps:cNvSpPr/>
                        <wps:spPr>
                          <a:xfrm>
                            <a:off x="0" y="0"/>
                            <a:ext cx="164181" cy="395249"/>
                          </a:xfrm>
                          <a:prstGeom prst="rect">
                            <a:avLst/>
                          </a:prstGeom>
                          <a:ln>
                            <a:noFill/>
                          </a:ln>
                        </wps:spPr>
                        <wps:txbx>
                          <w:txbxContent>
                            <w:p w14:paraId="414D3275"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inline>
            </w:drawing>
          </mc:Choice>
          <mc:Fallback>
            <w:pict>
              <v:group w14:anchorId="1F157302" id="Group 2455893" o:spid="_x0000_s1347" style="width:9.7pt;height:23.4pt;mso-position-horizontal-relative:char;mso-position-vertical-relative:line"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">
                <v:rect id="Rectangle 571249" o:spid="_x0000_s1348"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" filled="f" stroked="f">
                  <v:textbox inset="0,0,0,0">
                    <w:txbxContent>
                      <w:p w14:paraId="414D3275" w14:textId="77777777" w:rsidR="00053D93" w:rsidRDefault="00260B75">
                        <w:r>
                          <w:rPr>
                            <w:rFonts w:ascii="Times New Roman" w:eastAsia="Times New Roman" w:hAnsi="Times New Roman" w:cs="Times New Roman"/>
                            <w:sz w:val="72"/>
                          </w:rPr>
                          <w:t>1</w:t>
                        </w:r>
                      </w:p>
                    </w:txbxContent>
                  </v:textbox>
                </v:rect>
                <w10:anchorlock/>
              </v:group>
            </w:pict>
          </mc:Fallback>
        </mc:AlternateContent>
      </w:r>
      <w:r>
        <w:rPr>
          <w:sz w:val="26"/>
        </w:rPr>
        <w:t xml:space="preserve"> planificación realizada para el año 2024. 2. El numeral 5, los insumos que tienen fecha de entrega 23/06/2024, se tienen conocimiento de haberse entregado una cantidad en las actividades programadas posterior a la fecha de ingreso a almacén, la cantidad que aún se encontraba en el almacén ya fue entregados a los niños que participaron en el splash day, organizado por Escuelas de Iniciación y formación de talentos en la semana del 07 al 1 1 de abril del presente año y en las inauguraciones de las Escuelas de Iniciación Deportiva en zona 1 1 y zona 5 para la disciplina deportiva de voleibol. 3. Los numerales 13, 14, 24 son insumo inventariables por lo que es necesario coordinar con el departamento de inventarios para las tarjetas de responsabilidad por el renglón presupuestario en el que fueron adquiridas, por lo que para la presente fecha se está coordinando con</w:t>
      </w:r>
    </w:p>
    <w:p w14:paraId="54DF5FAC" w14:textId="77777777" w:rsidR="00053D93" w:rsidRDefault="00053D93">
      <w:pPr>
        <w:sectPr w:rsidR="00053D93">
          <w:headerReference w:type="even" r:id="rId861"/>
          <w:headerReference w:type="default" r:id="rId862"/>
          <w:footerReference w:type="even" r:id="rId863"/>
          <w:footerReference w:type="default" r:id="rId864"/>
          <w:headerReference w:type="first" r:id="rId865"/>
          <w:footerReference w:type="first" r:id="rId866"/>
          <w:pgSz w:w="12290" w:h="15883"/>
          <w:pgMar w:top="511" w:right="1778" w:bottom="778" w:left="274" w:header="446" w:footer="202" w:gutter="0"/>
          <w:cols w:space="720"/>
          <w:titlePg/>
        </w:sectPr>
      </w:pPr>
    </w:p>
    <w:p w14:paraId="18662221" w14:textId="77777777" w:rsidR="00053D93" w:rsidRDefault="00260B75">
      <w:pPr>
        <w:spacing w:after="11"/>
        <w:ind w:left="1469"/>
      </w:pPr>
      <w:r>
        <w:rPr>
          <w:noProof/>
        </w:rPr>
        <w:lastRenderedPageBreak/>
        <mc:AlternateContent>
          <mc:Choice Requires="wpg">
            <w:drawing>
              <wp:inline distT="0" distB="0" distL="0" distR="0" wp14:anchorId="6B463CA0" wp14:editId="0090AC68">
                <wp:extent cx="5536692" cy="13716"/>
                <wp:effectExtent l="0" t="0" r="0" b="0"/>
                <wp:docPr id="2458477" name="Group 2458477"/>
                <wp:cNvGraphicFramePr/>
                <a:graphic xmlns:a="http://schemas.openxmlformats.org/drawingml/2006/main">
                  <a:graphicData uri="http://schemas.microsoft.com/office/word/2010/wordprocessingGroup">
                    <wpg:wgp>
                      <wpg:cNvGrpSpPr/>
                      <wpg:grpSpPr>
                        <a:xfrm>
                          <a:off x="0" y="0"/>
                          <a:ext cx="5536692" cy="13716"/>
                          <a:chOff x="0" y="0"/>
                          <a:chExt cx="5536692" cy="13716"/>
                        </a:xfrm>
                      </wpg:grpSpPr>
                      <wps:wsp>
                        <wps:cNvPr id="2458476" name="Shape 2458476"/>
                        <wps:cNvSpPr/>
                        <wps:spPr>
                          <a:xfrm>
                            <a:off x="0" y="0"/>
                            <a:ext cx="5536692" cy="13716"/>
                          </a:xfrm>
                          <a:custGeom>
                            <a:avLst/>
                            <a:gdLst/>
                            <a:ahLst/>
                            <a:cxnLst/>
                            <a:rect l="0" t="0" r="0" b="0"/>
                            <a:pathLst>
                              <a:path w="5536692" h="13716">
                                <a:moveTo>
                                  <a:pt x="0" y="6858"/>
                                </a:moveTo>
                                <a:lnTo>
                                  <a:pt x="553669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77" style="width:435.96pt;height:1.08pt;mso-position-horizontal-relative:char;mso-position-vertical-relative:line" coordsize="55366,137">
                <v:shape id="Shape 2458476" style="position:absolute;width:55366;height:137;left:0;top:0;" coordsize="5536692,13716" path="m0,6858l5536692,6858">
                  <v:stroke weight="1.08pt" endcap="flat" joinstyle="miter" miterlimit="1" on="true" color="#000000"/>
                  <v:fill on="false" color="#000000"/>
                </v:shape>
              </v:group>
            </w:pict>
          </mc:Fallback>
        </mc:AlternateContent>
      </w:r>
    </w:p>
    <w:p w14:paraId="2137FAE5" w14:textId="77777777" w:rsidR="00053D93" w:rsidRDefault="00260B75">
      <w:pPr>
        <w:spacing w:after="4" w:line="267" w:lineRule="auto"/>
        <w:ind w:left="18" w:right="21" w:hanging="4"/>
        <w:jc w:val="right"/>
      </w:pPr>
      <w:r>
        <w:rPr>
          <w:noProof/>
        </w:rPr>
        <mc:AlternateContent>
          <mc:Choice Requires="wpg">
            <w:drawing>
              <wp:anchor distT="0" distB="0" distL="114300" distR="114300" simplePos="0" relativeHeight="252038144" behindDoc="0" locked="0" layoutInCell="1" allowOverlap="1" wp14:anchorId="4932C302" wp14:editId="3B700A88">
                <wp:simplePos x="0" y="0"/>
                <wp:positionH relativeFrom="column">
                  <wp:posOffset>32004</wp:posOffset>
                </wp:positionH>
                <wp:positionV relativeFrom="paragraph">
                  <wp:posOffset>2576430</wp:posOffset>
                </wp:positionV>
                <wp:extent cx="123444" cy="292608"/>
                <wp:effectExtent l="0" t="0" r="0" b="0"/>
                <wp:wrapSquare wrapText="bothSides"/>
                <wp:docPr id="2455898" name="Group 2455898"/>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575567" name="Rectangle 575567"/>
                        <wps:cNvSpPr/>
                        <wps:spPr>
                          <a:xfrm>
                            <a:off x="0" y="0"/>
                            <a:ext cx="164181" cy="389169"/>
                          </a:xfrm>
                          <a:prstGeom prst="rect">
                            <a:avLst/>
                          </a:prstGeom>
                          <a:ln>
                            <a:noFill/>
                          </a:ln>
                        </wps:spPr>
                        <wps:txbx>
                          <w:txbxContent>
                            <w:p w14:paraId="09C5972E"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4932C302" id="Group 2455898" o:spid="_x0000_s1349" style="position:absolute;left:0;text-align:left;margin-left:2.5pt;margin-top:202.85pt;width:9.7pt;height:23.05pt;z-index:252038144;mso-position-horizontal-relative:text;mso-position-vertical-relative:text"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">
                <v:rect id="Rectangle 575567" o:spid="_x0000_s1350" style="position:absolute;width:16418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" filled="f" stroked="f">
                  <v:textbox inset="0,0,0,0">
                    <w:txbxContent>
                      <w:p w14:paraId="09C5972E"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sz w:val="26"/>
        </w:rPr>
        <w:t xml:space="preserve">el departamento de inventarios el procedimiento adecuado y los numerales 16, 17,18, 20 y 29 con fecha de solicitud 6 de agosto, 15 de abril, 16 de mayo y 22 de julio respectivamente, fueron recibidos en almacén en las fechas 25/09/2024, 17/09/2024, 23/09/2024 y 01/10/2024 respectivamente por lo cual se desconoce la razón por la cual no fueron retirados para el uso de los niños con anterioridad y de acuerdo a lo planificado en la sección, por el Jefe del Departamento anterior. 4. El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numeral 15 referente a los relojes de ajedrez con fecha de solicitud 6/08/2024 y fecha de utilización 27/11/2024 fueron recibidos en almacén el 28/11/2024, ya no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teniendo la posibilidad de realizar la entrega para ser utilizados por el proceso de solicitud de transporte para traslado, pero al mismo tiempo estaban•finalizando [as actividades programadas por Escuelas de Iniciación y formación de talentos, por lo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que cuando inicien nuevamente las actividades se trasladaran a donde corresponde, por lo que se tramitará la salida para entregarlos a los Coordinadores Técnicos para su distribución. 5. El numeral 19 referente a mallas de voleibol, tiene fecha de solicitud 6/08/2024 para ser utilizados el 27/1 1/2024, sin embargo fueron entregados a almacén el 30/10/2024, y el numeral 21 protector de </w:t>
      </w:r>
      <w:r>
        <w:rPr>
          <w:noProof/>
        </w:rPr>
        <mc:AlternateContent>
          <mc:Choice Requires="wpg">
            <w:drawing>
              <wp:inline distT="0" distB="0" distL="0" distR="0" wp14:anchorId="5450CA70" wp14:editId="3A730C05">
                <wp:extent cx="132588" cy="292608"/>
                <wp:effectExtent l="0" t="0" r="0" b="0"/>
                <wp:docPr id="2455899" name="Group 2455899"/>
                <wp:cNvGraphicFramePr/>
                <a:graphic xmlns:a="http://schemas.openxmlformats.org/drawingml/2006/main">
                  <a:graphicData uri="http://schemas.microsoft.com/office/word/2010/wordprocessingGroup">
                    <wpg:wgp>
                      <wpg:cNvGrpSpPr/>
                      <wpg:grpSpPr>
                        <a:xfrm>
                          <a:off x="0" y="0"/>
                          <a:ext cx="132588" cy="292608"/>
                          <a:chOff x="0" y="0"/>
                          <a:chExt cx="132588" cy="292608"/>
                        </a:xfrm>
                      </wpg:grpSpPr>
                      <wps:wsp>
                        <wps:cNvPr id="575568" name="Rectangle 575568"/>
                        <wps:cNvSpPr/>
                        <wps:spPr>
                          <a:xfrm>
                            <a:off x="0" y="0"/>
                            <a:ext cx="176342" cy="389169"/>
                          </a:xfrm>
                          <a:prstGeom prst="rect">
                            <a:avLst/>
                          </a:prstGeom>
                          <a:ln>
                            <a:noFill/>
                          </a:ln>
                        </wps:spPr>
                        <wps:txbx>
                          <w:txbxContent>
                            <w:p w14:paraId="0D2D6376"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inline>
            </w:drawing>
          </mc:Choice>
          <mc:Fallback>
            <w:pict>
              <v:group w14:anchorId="5450CA70" id="Group 2455899" o:spid="_x0000_s1351" style="width:10.45pt;height:23.05pt;mso-position-horizontal-relative:char;mso-position-vertical-relative:line" coordsize="132588,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">
                <v:rect id="Rectangle 575568" o:spid="_x0000_s1352" style="position:absolute;width:176342;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" filled="f" stroked="f">
                  <v:textbox inset="0,0,0,0">
                    <w:txbxContent>
                      <w:p w14:paraId="0D2D6376" w14:textId="77777777" w:rsidR="00053D93" w:rsidRDefault="00260B75">
                        <w:r>
                          <w:rPr>
                            <w:rFonts w:ascii="Times New Roman" w:eastAsia="Times New Roman" w:hAnsi="Times New Roman" w:cs="Times New Roman"/>
                            <w:sz w:val="78"/>
                          </w:rPr>
                          <w:t>1</w:t>
                        </w:r>
                      </w:p>
                    </w:txbxContent>
                  </v:textbox>
                </v:rect>
                <w10:anchorlock/>
              </v:group>
            </w:pict>
          </mc:Fallback>
        </mc:AlternateContent>
      </w:r>
      <w:r>
        <w:rPr>
          <w:sz w:val="26"/>
        </w:rPr>
        <w:tab/>
        <w:t xml:space="preserve">viga de equilibrio y bolsones para implementos deportivos con fechas de solicitud 7/08/2024 y fecha de utilización 27/1 1/204 y 19/09/2024 fueron entregados a almacén el 20/1 1/2024 y teniendo poco tiempo antes de la finalización de las </w:t>
      </w:r>
      <w:r>
        <w:rPr>
          <w:noProof/>
        </w:rPr>
        <mc:AlternateContent>
          <mc:Choice Requires="wpg">
            <w:drawing>
              <wp:inline distT="0" distB="0" distL="0" distR="0" wp14:anchorId="6AA0F3C8" wp14:editId="3BB522F0">
                <wp:extent cx="123444" cy="297180"/>
                <wp:effectExtent l="0" t="0" r="0" b="0"/>
                <wp:docPr id="2455900" name="Group 2455900"/>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575569" name="Rectangle 575569"/>
                        <wps:cNvSpPr/>
                        <wps:spPr>
                          <a:xfrm>
                            <a:off x="0" y="0"/>
                            <a:ext cx="164181" cy="395250"/>
                          </a:xfrm>
                          <a:prstGeom prst="rect">
                            <a:avLst/>
                          </a:prstGeom>
                          <a:ln>
                            <a:noFill/>
                          </a:ln>
                        </wps:spPr>
                        <wps:txbx>
                          <w:txbxContent>
                            <w:p w14:paraId="2FAE538A"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inline>
            </w:drawing>
          </mc:Choice>
          <mc:Fallback>
            <w:pict>
              <v:group w14:anchorId="6AA0F3C8" id="Group 2455900" o:spid="_x0000_s1353" style="width:9.7pt;height:23.4pt;mso-position-horizontal-relative:char;mso-position-vertical-relative:line"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">
                <v:rect id="Rectangle 575569" o:spid="_x0000_s1354" style="position:absolute;width:164181;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" filled="f" stroked="f">
                  <v:textbox inset="0,0,0,0">
                    <w:txbxContent>
                      <w:p w14:paraId="2FAE538A" w14:textId="77777777" w:rsidR="00053D93" w:rsidRDefault="00260B75">
                        <w:r>
                          <w:rPr>
                            <w:rFonts w:ascii="Times New Roman" w:eastAsia="Times New Roman" w:hAnsi="Times New Roman" w:cs="Times New Roman"/>
                            <w:sz w:val="72"/>
                          </w:rPr>
                          <w:t>1</w:t>
                        </w:r>
                      </w:p>
                    </w:txbxContent>
                  </v:textbox>
                </v:rect>
                <w10:anchorlock/>
              </v:group>
            </w:pict>
          </mc:Fallback>
        </mc:AlternateContent>
      </w:r>
      <w:r>
        <w:rPr>
          <w:sz w:val="26"/>
        </w:rPr>
        <w:tab/>
        <w:t xml:space="preserve">actividades de Escuelas de Iniciación y Formación de talentos para poder ser utilizados y distribuidos a los departamentos en donde se imparte esta disciplina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deportiva. 6. Los numerales 22, 23, 27 y 31 referentes a colchonetas para gimnasia con fecha de solicitud 24/07/2024, 10/04/2024, y fecha de utilización </w:t>
      </w:r>
      <w:r>
        <w:rPr>
          <w:noProof/>
        </w:rPr>
        <w:drawing>
          <wp:inline distT="0" distB="0" distL="0" distR="0" wp14:anchorId="2F0A1E84" wp14:editId="324172D0">
            <wp:extent cx="4572" cy="13716"/>
            <wp:effectExtent l="0" t="0" r="0" b="0"/>
            <wp:docPr id="579157" name="Picture 579157"/>
            <wp:cNvGraphicFramePr/>
            <a:graphic xmlns:a="http://schemas.openxmlformats.org/drawingml/2006/main">
              <a:graphicData uri="http://schemas.openxmlformats.org/drawingml/2006/picture">
                <pic:pic xmlns:pic="http://schemas.openxmlformats.org/drawingml/2006/picture">
                  <pic:nvPicPr>
                    <pic:cNvPr id="579157" name="Picture 579157"/>
                    <pic:cNvPicPr/>
                  </pic:nvPicPr>
                  <pic:blipFill>
                    <a:blip r:embed="rId867"/>
                    <a:stretch>
                      <a:fillRect/>
                    </a:stretch>
                  </pic:blipFill>
                  <pic:spPr>
                    <a:xfrm>
                      <a:off x="0" y="0"/>
                      <a:ext cx="4572" cy="13716"/>
                    </a:xfrm>
                    <a:prstGeom prst="rect">
                      <a:avLst/>
                    </a:prstGeom>
                  </pic:spPr>
                </pic:pic>
              </a:graphicData>
            </a:graphic>
          </wp:inline>
        </w:drawing>
      </w:r>
      <w:r>
        <w:rPr>
          <w:sz w:val="26"/>
        </w:rPr>
        <w:tab/>
        <w:t xml:space="preserve">27/1 1/2024, 12/08/2024 fueron entregados a almacén en fecha 25/10/2024 y </w:t>
      </w:r>
      <w:r>
        <w:rPr>
          <w:noProof/>
        </w:rPr>
        <mc:AlternateContent>
          <mc:Choice Requires="wpg">
            <w:drawing>
              <wp:inline distT="0" distB="0" distL="0" distR="0" wp14:anchorId="13DE6CA2" wp14:editId="56FA38E0">
                <wp:extent cx="118872" cy="292608"/>
                <wp:effectExtent l="0" t="0" r="0" b="0"/>
                <wp:docPr id="2455901" name="Group 2455901"/>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575571" name="Rectangle 575571"/>
                        <wps:cNvSpPr/>
                        <wps:spPr>
                          <a:xfrm>
                            <a:off x="0" y="0"/>
                            <a:ext cx="158100" cy="389169"/>
                          </a:xfrm>
                          <a:prstGeom prst="rect">
                            <a:avLst/>
                          </a:prstGeom>
                          <a:ln>
                            <a:noFill/>
                          </a:ln>
                        </wps:spPr>
                        <wps:txbx>
                          <w:txbxContent>
                            <w:p w14:paraId="7D2C3F2F"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13DE6CA2" id="Group 2455901" o:spid="_x0000_s1355"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">
                <v:rect id="Rectangle 575571" o:spid="_x0000_s1356"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" filled="f" stroked="f">
                  <v:textbox inset="0,0,0,0">
                    <w:txbxContent>
                      <w:p w14:paraId="7D2C3F2F"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ab/>
        <w:t xml:space="preserve">22/08/2024 pero por la temporalidad y de acuerdo a la necesidad de implementación no se procedió a realizar las salidas respectivas, pero a la fecha ya se encuentran en el lugar designado para su utilización en las clases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gimnasia. Y el numeral 30 con fecha de solicitud 24/07/2024 y fecha de utilización</w:t>
      </w:r>
    </w:p>
    <w:p w14:paraId="7BA0F1CA" w14:textId="77777777" w:rsidR="00053D93" w:rsidRDefault="00260B75">
      <w:pPr>
        <w:spacing w:after="65" w:line="267" w:lineRule="auto"/>
        <w:ind w:left="18" w:right="21" w:hanging="4"/>
        <w:jc w:val="right"/>
      </w:pPr>
      <w:r>
        <w:rPr>
          <w:sz w:val="26"/>
        </w:rPr>
        <w:t xml:space="preserve">27/11/2024, fueron entregados a almacén el 22/10/2024, situación que derivó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un análisis previo a realizar las salidas de almacén por el poco tiempo en el puesto, pero a la fecha ya se encuentran en el lugar designado para su utilización en las clases de gimnasia. El numeral 28 que se refiere a redes de fútbol y balonmano con fecha de requerimiento 6/08/2024 y fecha de utilización 27/1 1/2024, fueron entregados a almacén el 20/1 1/2024, por falta de tiempo de </w:t>
      </w:r>
      <w:r>
        <w:rPr>
          <w:noProof/>
        </w:rPr>
        <w:drawing>
          <wp:inline distT="0" distB="0" distL="0" distR="0" wp14:anchorId="5864C1CA" wp14:editId="2C6B491C">
            <wp:extent cx="64008" cy="13716"/>
            <wp:effectExtent l="0" t="0" r="0" b="0"/>
            <wp:docPr id="579158" name="Picture 579158"/>
            <wp:cNvGraphicFramePr/>
            <a:graphic xmlns:a="http://schemas.openxmlformats.org/drawingml/2006/main">
              <a:graphicData uri="http://schemas.openxmlformats.org/drawingml/2006/picture">
                <pic:pic xmlns:pic="http://schemas.openxmlformats.org/drawingml/2006/picture">
                  <pic:nvPicPr>
                    <pic:cNvPr id="579158" name="Picture 579158"/>
                    <pic:cNvPicPr/>
                  </pic:nvPicPr>
                  <pic:blipFill>
                    <a:blip r:embed="rId868"/>
                    <a:stretch>
                      <a:fillRect/>
                    </a:stretch>
                  </pic:blipFill>
                  <pic:spPr>
                    <a:xfrm>
                      <a:off x="0" y="0"/>
                      <a:ext cx="64008" cy="13716"/>
                    </a:xfrm>
                    <a:prstGeom prst="rect">
                      <a:avLst/>
                    </a:prstGeom>
                  </pic:spPr>
                </pic:pic>
              </a:graphicData>
            </a:graphic>
          </wp:inline>
        </w:drawing>
      </w:r>
      <w:r>
        <w:rPr>
          <w:sz w:val="26"/>
        </w:rPr>
        <w:tab/>
        <w:t xml:space="preserve">acuerdo a las actividades de Escuelas de Iniciación y Formación de Talentos no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se pudieron distribuir a los departamento de acuerdo a la municipalización, por lo que corresponde para este período escolar realizar la entrega de las mismas. 7.</w:t>
      </w:r>
    </w:p>
    <w:p w14:paraId="6868C0FA" w14:textId="77777777" w:rsidR="00053D93" w:rsidRDefault="00260B75">
      <w:pPr>
        <w:spacing w:after="4" w:line="267" w:lineRule="auto"/>
        <w:ind w:left="404" w:right="21" w:hanging="246"/>
        <w:jc w:val="right"/>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En cuanto a las compras de los numerales 25 y 26 referente a pelotas de fútbol fecha de utilización del 5/12/2024, se solicitó la compra para que fueran utilizadas en esa fecha </w:t>
      </w:r>
      <w:r>
        <w:rPr>
          <w:sz w:val="26"/>
        </w:rPr>
        <w:lastRenderedPageBreak/>
        <w:t xml:space="preserve">debido a que los mismos se debían solicitar para que a inicio de año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se pudieran utilizar, sin embargo, las contrataciones del personal tuvieron atrasos, por los cambios constantes de director, por lo que no es posible ejecutar y entregar en el tiempo requerido o programado. Se procederá a realizar las</w:t>
      </w:r>
    </w:p>
    <w:tbl>
      <w:tblPr>
        <w:tblStyle w:val="TableGrid"/>
        <w:tblW w:w="9432" w:type="dxa"/>
        <w:tblInd w:w="778" w:type="dxa"/>
        <w:tblLook w:val="04A0" w:firstRow="1" w:lastRow="0" w:firstColumn="1" w:lastColumn="0" w:noHBand="0" w:noVBand="1"/>
      </w:tblPr>
      <w:tblGrid>
        <w:gridCol w:w="1241"/>
        <w:gridCol w:w="8204"/>
      </w:tblGrid>
      <w:tr w:rsidR="00053D93" w14:paraId="64B9C1CE" w14:textId="77777777">
        <w:trPr>
          <w:trHeight w:val="648"/>
        </w:trPr>
        <w:tc>
          <w:tcPr>
            <w:tcW w:w="1732" w:type="dxa"/>
            <w:tcBorders>
              <w:top w:val="nil"/>
              <w:left w:val="nil"/>
              <w:bottom w:val="nil"/>
              <w:right w:val="nil"/>
            </w:tcBorders>
          </w:tcPr>
          <w:p w14:paraId="15C0148F" w14:textId="77777777" w:rsidR="00053D93" w:rsidRDefault="00260B75">
            <w:r>
              <w:rPr>
                <w:noProof/>
              </w:rPr>
              <w:drawing>
                <wp:inline distT="0" distB="0" distL="0" distR="0" wp14:anchorId="2AE09223" wp14:editId="04530FD3">
                  <wp:extent cx="1074420" cy="411480"/>
                  <wp:effectExtent l="0" t="0" r="0" b="0"/>
                  <wp:docPr id="579233" name="Picture 579233"/>
                  <wp:cNvGraphicFramePr/>
                  <a:graphic xmlns:a="http://schemas.openxmlformats.org/drawingml/2006/main">
                    <a:graphicData uri="http://schemas.openxmlformats.org/drawingml/2006/picture">
                      <pic:pic xmlns:pic="http://schemas.openxmlformats.org/drawingml/2006/picture">
                        <pic:nvPicPr>
                          <pic:cNvPr id="579233" name="Picture 579233"/>
                          <pic:cNvPicPr/>
                        </pic:nvPicPr>
                        <pic:blipFill>
                          <a:blip r:embed="rId869"/>
                          <a:stretch>
                            <a:fillRect/>
                          </a:stretch>
                        </pic:blipFill>
                        <pic:spPr>
                          <a:xfrm>
                            <a:off x="0" y="0"/>
                            <a:ext cx="1074420" cy="411480"/>
                          </a:xfrm>
                          <a:prstGeom prst="rect">
                            <a:avLst/>
                          </a:prstGeom>
                        </pic:spPr>
                      </pic:pic>
                    </a:graphicData>
                  </a:graphic>
                </wp:inline>
              </w:drawing>
            </w:r>
          </w:p>
        </w:tc>
        <w:tc>
          <w:tcPr>
            <w:tcW w:w="7700" w:type="dxa"/>
            <w:tcBorders>
              <w:top w:val="nil"/>
              <w:left w:val="nil"/>
              <w:bottom w:val="nil"/>
              <w:right w:val="nil"/>
            </w:tcBorders>
          </w:tcPr>
          <w:p w14:paraId="04E16E58" w14:textId="77777777" w:rsidR="00053D93" w:rsidRDefault="00053D93">
            <w:pPr>
              <w:ind w:left="-2783" w:right="10483"/>
            </w:pPr>
          </w:p>
          <w:tbl>
            <w:tblPr>
              <w:tblStyle w:val="TableGrid"/>
              <w:tblW w:w="7661" w:type="dxa"/>
              <w:tblInd w:w="40" w:type="dxa"/>
              <w:tblCellMar>
                <w:top w:w="21" w:type="dxa"/>
                <w:left w:w="1778" w:type="dxa"/>
                <w:right w:w="115" w:type="dxa"/>
              </w:tblCellMar>
              <w:tblLook w:val="04A0" w:firstRow="1" w:lastRow="0" w:firstColumn="1" w:lastColumn="0" w:noHBand="0" w:noVBand="1"/>
            </w:tblPr>
            <w:tblGrid>
              <w:gridCol w:w="7661"/>
            </w:tblGrid>
            <w:tr w:rsidR="00053D93" w14:paraId="22BCE172" w14:textId="77777777">
              <w:trPr>
                <w:trHeight w:val="43"/>
              </w:trPr>
              <w:tc>
                <w:tcPr>
                  <w:tcW w:w="7661" w:type="dxa"/>
                  <w:tcBorders>
                    <w:top w:val="nil"/>
                    <w:left w:val="single" w:sz="2" w:space="0" w:color="000000"/>
                    <w:bottom w:val="single" w:sz="2" w:space="0" w:color="000000"/>
                    <w:right w:val="nil"/>
                  </w:tcBorders>
                </w:tcPr>
                <w:p w14:paraId="5752E8E1" w14:textId="77777777" w:rsidR="00053D93" w:rsidRDefault="00053D93"/>
              </w:tc>
            </w:tr>
            <w:tr w:rsidR="00053D93" w14:paraId="0C84D259" w14:textId="77777777">
              <w:trPr>
                <w:trHeight w:val="598"/>
              </w:trPr>
              <w:tc>
                <w:tcPr>
                  <w:tcW w:w="7661" w:type="dxa"/>
                  <w:tcBorders>
                    <w:top w:val="single" w:sz="2" w:space="0" w:color="000000"/>
                    <w:left w:val="single" w:sz="2" w:space="0" w:color="000000"/>
                    <w:bottom w:val="nil"/>
                    <w:right w:val="nil"/>
                  </w:tcBorders>
                </w:tcPr>
                <w:p w14:paraId="4321A6DC" w14:textId="77777777" w:rsidR="00053D93" w:rsidRDefault="00260B75">
                  <w:pPr>
                    <w:ind w:left="842"/>
                  </w:pPr>
                  <w:r>
                    <w:rPr>
                      <w:sz w:val="14"/>
                    </w:rPr>
                    <w:t>MINISTERIO DE EDUCACION</w:t>
                  </w:r>
                </w:p>
                <w:p w14:paraId="7D0B1498" w14:textId="77777777" w:rsidR="00053D93" w:rsidRDefault="00260B75">
                  <w:pPr>
                    <w:ind w:left="346"/>
                  </w:pPr>
                  <w:r>
                    <w:rPr>
                      <w:sz w:val="14"/>
                    </w:rPr>
                    <w:t>AUDITORIA FINANCIERA Y DE CUMPLIMIENTO</w:t>
                  </w:r>
                </w:p>
                <w:p w14:paraId="2D2200C8" w14:textId="77777777" w:rsidR="00053D93" w:rsidRDefault="00260B75">
                  <w:r>
                    <w:rPr>
                      <w:sz w:val="14"/>
                    </w:rPr>
                    <w:t>PERIODO DEI 01 DE ENERO AL 31 OE DICIEMBRE DE 2024</w:t>
                  </w:r>
                </w:p>
              </w:tc>
            </w:tr>
          </w:tbl>
          <w:p w14:paraId="5E866411" w14:textId="77777777" w:rsidR="00053D93" w:rsidRDefault="00053D93"/>
        </w:tc>
      </w:tr>
    </w:tbl>
    <w:p w14:paraId="454CEFAD" w14:textId="77777777" w:rsidR="00053D93" w:rsidRDefault="00260B75">
      <w:pPr>
        <w:spacing w:after="342" w:line="265" w:lineRule="auto"/>
        <w:ind w:left="1846" w:right="86" w:hanging="10"/>
        <w:jc w:val="center"/>
      </w:pPr>
      <w:r>
        <w:rPr>
          <w:rFonts w:ascii="Times New Roman" w:eastAsia="Times New Roman" w:hAnsi="Times New Roman" w:cs="Times New Roman"/>
          <w:sz w:val="14"/>
        </w:rPr>
        <w:t>122</w:t>
      </w:r>
    </w:p>
    <w:p w14:paraId="339392A5" w14:textId="77777777" w:rsidR="00053D93" w:rsidRDefault="00260B75">
      <w:pPr>
        <w:spacing w:before="86" w:after="158" w:line="299" w:lineRule="auto"/>
        <w:ind w:left="1749" w:right="14" w:hanging="1663"/>
        <w:jc w:val="both"/>
      </w:pPr>
      <w:r>
        <w:rPr>
          <w:noProof/>
        </w:rPr>
        <mc:AlternateContent>
          <mc:Choice Requires="wpg">
            <w:drawing>
              <wp:anchor distT="0" distB="0" distL="114300" distR="114300" simplePos="0" relativeHeight="252039168" behindDoc="0" locked="0" layoutInCell="1" allowOverlap="1" wp14:anchorId="0192D398" wp14:editId="78CC1BB2">
                <wp:simplePos x="0" y="0"/>
                <wp:positionH relativeFrom="column">
                  <wp:posOffset>1120140</wp:posOffset>
                </wp:positionH>
                <wp:positionV relativeFrom="paragraph">
                  <wp:posOffset>-91145</wp:posOffset>
                </wp:positionV>
                <wp:extent cx="5376672" cy="9144"/>
                <wp:effectExtent l="0" t="0" r="0" b="0"/>
                <wp:wrapSquare wrapText="bothSides"/>
                <wp:docPr id="2458479" name="Group 2458479"/>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478" name="Shape 2458478"/>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479" style="width:423.36pt;height:0.719994pt;position:absolute;mso-position-horizontal-relative:text;mso-position-horizontal:absolute;margin-left:88.2pt;mso-position-vertical-relative:text;margin-top:-7.17683pt;" coordsize="53766,91">
                <v:shape id="Shape 2458478" style="position:absolute;width:53766;height:91;left:0;top:0;" coordsize="5376672,9144" path="m0,4572l5376672,4572">
                  <v:stroke weight="0.719994pt" endcap="flat" joinstyle="miter" miterlimit="1" on="true" color="#000000"/>
                  <v:fill on="false" color="#000000"/>
                </v:shape>
                <w10:wrap type="square"/>
              </v:group>
            </w:pict>
          </mc:Fallback>
        </mc:AlternateContent>
      </w:r>
      <w:r>
        <w:rPr>
          <w:noProof/>
        </w:rPr>
        <w:drawing>
          <wp:anchor distT="0" distB="0" distL="114300" distR="114300" simplePos="0" relativeHeight="252040192" behindDoc="0" locked="0" layoutInCell="1" allowOverlap="0" wp14:anchorId="494F85AF" wp14:editId="0AC85FEC">
            <wp:simplePos x="0" y="0"/>
            <wp:positionH relativeFrom="column">
              <wp:posOffset>54864</wp:posOffset>
            </wp:positionH>
            <wp:positionV relativeFrom="paragraph">
              <wp:posOffset>-27137</wp:posOffset>
            </wp:positionV>
            <wp:extent cx="9144" cy="41148"/>
            <wp:effectExtent l="0" t="0" r="0" b="0"/>
            <wp:wrapSquare wrapText="bothSides"/>
            <wp:docPr id="583163" name="Picture 583163"/>
            <wp:cNvGraphicFramePr/>
            <a:graphic xmlns:a="http://schemas.openxmlformats.org/drawingml/2006/main">
              <a:graphicData uri="http://schemas.openxmlformats.org/drawingml/2006/picture">
                <pic:pic xmlns:pic="http://schemas.openxmlformats.org/drawingml/2006/picture">
                  <pic:nvPicPr>
                    <pic:cNvPr id="583163" name="Picture 583163"/>
                    <pic:cNvPicPr/>
                  </pic:nvPicPr>
                  <pic:blipFill>
                    <a:blip r:embed="rId870"/>
                    <a:stretch>
                      <a:fillRect/>
                    </a:stretch>
                  </pic:blipFill>
                  <pic:spPr>
                    <a:xfrm>
                      <a:off x="0" y="0"/>
                      <a:ext cx="9144" cy="41148"/>
                    </a:xfrm>
                    <a:prstGeom prst="rect">
                      <a:avLst/>
                    </a:prstGeom>
                  </pic:spPr>
                </pic:pic>
              </a:graphicData>
            </a:graphic>
          </wp:anchor>
        </w:drawing>
      </w:r>
      <w:r>
        <w:rPr>
          <w:rFonts w:ascii="Times New Roman" w:eastAsia="Times New Roman" w:hAnsi="Times New Roman" w:cs="Times New Roman"/>
          <w:sz w:val="26"/>
        </w:rPr>
        <w:t xml:space="preserve">1 </w:t>
      </w:r>
      <w:r>
        <w:rPr>
          <w:sz w:val="26"/>
        </w:rPr>
        <w:t>entregas pertinentes de acuerdo a las necesidades y contratos ya confirmados para cumplir con los objetivos propuestos No esta demás informar que todas las acciones del Departamento de Desarrollo Deportivo Escolar específicamente la Sección de Escuelas de Iniciación y Formación de talentos obedece al cronograma de actividades escolares del Ministerio de Educación... '</w:t>
      </w:r>
    </w:p>
    <w:p w14:paraId="3F6D92C4" w14:textId="77777777" w:rsidR="00053D93" w:rsidRDefault="00260B75">
      <w:pPr>
        <w:spacing w:after="0"/>
        <w:ind w:left="89" w:hanging="10"/>
      </w:pPr>
      <w:r>
        <w:rPr>
          <w:rFonts w:ascii="Times New Roman" w:eastAsia="Times New Roman" w:hAnsi="Times New Roman" w:cs="Times New Roman"/>
          <w:sz w:val="80"/>
        </w:rPr>
        <w:t>1</w:t>
      </w:r>
    </w:p>
    <w:p w14:paraId="69A44656" w14:textId="77777777" w:rsidR="00053D93" w:rsidRDefault="00260B75">
      <w:pPr>
        <w:spacing w:after="17" w:line="247" w:lineRule="auto"/>
        <w:ind w:left="1786" w:right="14" w:firstLine="4"/>
        <w:jc w:val="both"/>
      </w:pPr>
      <w:r>
        <w:rPr>
          <w:sz w:val="26"/>
        </w:rPr>
        <w:t>En nota s/n, del 10 de abril de 2025, la ingeniera Zaida Samara Santizo Barrios,</w:t>
      </w:r>
    </w:p>
    <w:p w14:paraId="5E2B48FA" w14:textId="77777777" w:rsidR="00053D93" w:rsidRDefault="00260B75">
      <w:pPr>
        <w:spacing w:after="17" w:line="247" w:lineRule="auto"/>
        <w:ind w:left="1771" w:right="14" w:firstLine="4"/>
        <w:jc w:val="both"/>
      </w:pPr>
      <w:r>
        <w:rPr>
          <w:sz w:val="26"/>
        </w:rPr>
        <w:t>Jefe Departamento de Extensión Escolar, manifiesta: "...La Sección de Recreación no informó las compras realizadas de Marzo a Septiembre del 2024, ya que al parecer fue independizada del departamento de Extensión Escolar...</w:t>
      </w:r>
    </w:p>
    <w:p w14:paraId="3D9B82B3" w14:textId="77777777" w:rsidR="00053D93" w:rsidRDefault="00260B75">
      <w:pPr>
        <w:spacing w:after="392" w:line="247" w:lineRule="auto"/>
        <w:ind w:left="1764" w:right="14" w:firstLine="4"/>
        <w:jc w:val="both"/>
      </w:pPr>
      <w:r>
        <w:rPr>
          <w:sz w:val="26"/>
        </w:rPr>
        <w:t>oficios donde la Sección de Recreación a cargo de la Profesora Rosmery Analí Mejía González aparece como Jefe de departamento... Oficio CAE-01-2024 de fecha 14/03/2024 Oficio CAE-35-2024 de fecha 08/04/2024 Oficio CAE-106-2024</w:t>
      </w:r>
    </w:p>
    <w:p w14:paraId="11F1EBBD" w14:textId="77777777" w:rsidR="00053D93" w:rsidRDefault="00260B75">
      <w:pPr>
        <w:spacing w:after="17" w:line="581" w:lineRule="auto"/>
        <w:ind w:left="1720" w:right="14" w:hanging="1706"/>
        <w:jc w:val="both"/>
      </w:pPr>
      <w:r>
        <w:rPr>
          <w:rFonts w:ascii="Times New Roman" w:eastAsia="Times New Roman" w:hAnsi="Times New Roman" w:cs="Times New Roman"/>
          <w:sz w:val="26"/>
        </w:rPr>
        <w:t xml:space="preserve">1 </w:t>
      </w:r>
      <w:r>
        <w:rPr>
          <w:sz w:val="26"/>
        </w:rPr>
        <w:t>de fecha 09/05/2024 Oficio CAE-218-2024 de fecha 26/06/2024 Oficio CAE-278-2024 de fecha 30/07/2024 Oficio CAE-307-2024 de fecha 06/08/2024</w:t>
      </w:r>
    </w:p>
    <w:p w14:paraId="08ED7BEB" w14:textId="77777777" w:rsidR="00053D93" w:rsidRDefault="00260B75">
      <w:pPr>
        <w:spacing w:after="158" w:line="247" w:lineRule="auto"/>
        <w:ind w:left="1764" w:right="14" w:firstLine="4"/>
        <w:jc w:val="both"/>
      </w:pPr>
      <w:r>
        <w:rPr>
          <w:sz w:val="26"/>
        </w:rPr>
        <w:t>Oficio CAE-366-2024 de fecha 03/09/2024 Oficio CAE-385-2024 de fecha</w:t>
      </w:r>
    </w:p>
    <w:p w14:paraId="19B79A13" w14:textId="77777777" w:rsidR="00053D93" w:rsidRDefault="00260B75">
      <w:pPr>
        <w:tabs>
          <w:tab w:val="right" w:pos="10224"/>
        </w:tabs>
        <w:spacing w:after="75"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17/09/2024 Oficio CAE-409-2024 de fecha 25/09/2024 Derivado de lo anterior</w:t>
      </w:r>
    </w:p>
    <w:p w14:paraId="339E8B1E" w14:textId="77777777" w:rsidR="00053D93" w:rsidRDefault="00260B75">
      <w:pPr>
        <w:spacing w:after="51" w:line="247" w:lineRule="auto"/>
        <w:ind w:left="14" w:right="14" w:firstLine="1699"/>
        <w:jc w:val="both"/>
      </w:pPr>
      <w:r>
        <w:rPr>
          <w:sz w:val="26"/>
        </w:rPr>
        <w:t xml:space="preserve">traslade el OFICIO EXE. A. E. No. 203-2024 de fecha 28 de agosto del 2024 donde solicité al Licenciado Juan Carlos Abac Coordinador del Área </w:t>
      </w:r>
      <w:r>
        <w:rPr>
          <w:rFonts w:ascii="Times New Roman" w:eastAsia="Times New Roman" w:hAnsi="Times New Roman" w:cs="Times New Roman"/>
          <w:sz w:val="26"/>
        </w:rPr>
        <w:t xml:space="preserve">-1 </w:t>
      </w:r>
      <w:r>
        <w:rPr>
          <w:sz w:val="26"/>
        </w:rPr>
        <w:t>Extracurricular a.i. copia de la resolución, en donde independizaban a la Sección</w:t>
      </w:r>
    </w:p>
    <w:p w14:paraId="644BCAEC" w14:textId="77777777" w:rsidR="00053D93" w:rsidRDefault="00260B75">
      <w:pPr>
        <w:spacing w:after="67" w:line="247" w:lineRule="auto"/>
        <w:ind w:left="1750" w:right="14" w:firstLine="4"/>
        <w:jc w:val="both"/>
      </w:pPr>
      <w:r>
        <w:rPr>
          <w:sz w:val="26"/>
        </w:rPr>
        <w:t>de Recreación del Departamento de Extensión Escolar, solicitud realizada con</w:t>
      </w:r>
    </w:p>
    <w:p w14:paraId="4AB4B572" w14:textId="77777777" w:rsidR="00053D93" w:rsidRDefault="00260B75">
      <w:pPr>
        <w:spacing w:after="17" w:line="315" w:lineRule="auto"/>
        <w:ind w:left="1713" w:right="14" w:hanging="1699"/>
        <w:jc w:val="both"/>
      </w:pPr>
      <w:r>
        <w:rPr>
          <w:rFonts w:ascii="Times New Roman" w:eastAsia="Times New Roman" w:hAnsi="Times New Roman" w:cs="Times New Roman"/>
          <w:sz w:val="26"/>
        </w:rPr>
        <w:lastRenderedPageBreak/>
        <w:t xml:space="preserve">-1 </w:t>
      </w:r>
      <w:r>
        <w:rPr>
          <w:sz w:val="26"/>
        </w:rPr>
        <w:t>anterioridad de manera verbal y no recibí respuesta... Con fecha 04 de abril del 2025, mediante OFICIO EXE-A.E. No. 072-204 solicité a la Sección de Recreación informar el motivo por el cual el material e insumos no fue entregado en el período</w:t>
      </w:r>
    </w:p>
    <w:p w14:paraId="11A1BDF8" w14:textId="77777777" w:rsidR="00053D93" w:rsidRDefault="00260B75">
      <w:pPr>
        <w:spacing w:after="55"/>
        <w:ind w:left="43"/>
      </w:pPr>
      <w:r>
        <w:rPr>
          <w:noProof/>
        </w:rPr>
        <w:drawing>
          <wp:inline distT="0" distB="0" distL="0" distR="0" wp14:anchorId="44148FF0" wp14:editId="63E2D4A9">
            <wp:extent cx="50292" cy="18288"/>
            <wp:effectExtent l="0" t="0" r="0" b="0"/>
            <wp:docPr id="583164" name="Picture 583164"/>
            <wp:cNvGraphicFramePr/>
            <a:graphic xmlns:a="http://schemas.openxmlformats.org/drawingml/2006/main">
              <a:graphicData uri="http://schemas.openxmlformats.org/drawingml/2006/picture">
                <pic:pic xmlns:pic="http://schemas.openxmlformats.org/drawingml/2006/picture">
                  <pic:nvPicPr>
                    <pic:cNvPr id="583164" name="Picture 583164"/>
                    <pic:cNvPicPr/>
                  </pic:nvPicPr>
                  <pic:blipFill>
                    <a:blip r:embed="rId871"/>
                    <a:stretch>
                      <a:fillRect/>
                    </a:stretch>
                  </pic:blipFill>
                  <pic:spPr>
                    <a:xfrm>
                      <a:off x="0" y="0"/>
                      <a:ext cx="50292" cy="18288"/>
                    </a:xfrm>
                    <a:prstGeom prst="rect">
                      <a:avLst/>
                    </a:prstGeom>
                  </pic:spPr>
                </pic:pic>
              </a:graphicData>
            </a:graphic>
          </wp:inline>
        </w:drawing>
      </w:r>
    </w:p>
    <w:p w14:paraId="0501879F" w14:textId="77777777" w:rsidR="00053D93" w:rsidRDefault="00260B75">
      <w:pPr>
        <w:tabs>
          <w:tab w:val="right" w:pos="10224"/>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fiscal 2024... Oficio de respuesta con su respectivo respaldo de la Sección de</w:t>
      </w:r>
    </w:p>
    <w:p w14:paraId="26BC9EE7" w14:textId="77777777" w:rsidR="00053D93" w:rsidRDefault="00260B75">
      <w:pPr>
        <w:spacing w:after="83" w:line="247" w:lineRule="auto"/>
        <w:ind w:left="1750" w:right="14" w:firstLine="4"/>
        <w:jc w:val="both"/>
      </w:pPr>
      <w:r>
        <w:rPr>
          <w:sz w:val="26"/>
        </w:rPr>
        <w:t>Recreación REC-DlGEF-076-2024... Así mismo el 03 de abril del 2025 mediante</w:t>
      </w:r>
    </w:p>
    <w:p w14:paraId="2D28C9FA" w14:textId="77777777" w:rsidR="00053D93" w:rsidRDefault="00260B75">
      <w:pPr>
        <w:spacing w:after="336" w:line="247" w:lineRule="auto"/>
        <w:ind w:left="14" w:right="14" w:firstLine="4"/>
        <w:jc w:val="both"/>
      </w:pPr>
      <w:r>
        <w:rPr>
          <w:noProof/>
        </w:rPr>
        <w:drawing>
          <wp:inline distT="0" distB="0" distL="0" distR="0" wp14:anchorId="10053582" wp14:editId="32E27519">
            <wp:extent cx="54864" cy="22860"/>
            <wp:effectExtent l="0" t="0" r="0" b="0"/>
            <wp:docPr id="583165" name="Picture 583165"/>
            <wp:cNvGraphicFramePr/>
            <a:graphic xmlns:a="http://schemas.openxmlformats.org/drawingml/2006/main">
              <a:graphicData uri="http://schemas.openxmlformats.org/drawingml/2006/picture">
                <pic:pic xmlns:pic="http://schemas.openxmlformats.org/drawingml/2006/picture">
                  <pic:nvPicPr>
                    <pic:cNvPr id="583165" name="Picture 583165"/>
                    <pic:cNvPicPr/>
                  </pic:nvPicPr>
                  <pic:blipFill>
                    <a:blip r:embed="rId872"/>
                    <a:stretch>
                      <a:fillRect/>
                    </a:stretch>
                  </pic:blipFill>
                  <pic:spPr>
                    <a:xfrm>
                      <a:off x="0" y="0"/>
                      <a:ext cx="54864" cy="22860"/>
                    </a:xfrm>
                    <a:prstGeom prst="rect">
                      <a:avLst/>
                    </a:prstGeom>
                  </pic:spPr>
                </pic:pic>
              </a:graphicData>
            </a:graphic>
          </wp:inline>
        </w:drawing>
      </w:r>
      <w:r>
        <w:rPr>
          <w:sz w:val="26"/>
        </w:rPr>
        <w:t xml:space="preserve"> OFICIO EXE-A.E. No. 071-204 solicité a la Sección de INJUD informar el motivo </w:t>
      </w:r>
      <w:r>
        <w:rPr>
          <w:rFonts w:ascii="Times New Roman" w:eastAsia="Times New Roman" w:hAnsi="Times New Roman" w:cs="Times New Roman"/>
          <w:sz w:val="26"/>
        </w:rPr>
        <w:t xml:space="preserve">1 </w:t>
      </w:r>
      <w:r>
        <w:rPr>
          <w:sz w:val="26"/>
        </w:rPr>
        <w:t xml:space="preserve">por el cual el material e insumos no fue entregado en el perfodo fiscal 2024... Oficio de respuesta con su respectivo respaldo de la Sección de INJUD, OFICIO </w:t>
      </w:r>
      <w:r>
        <w:rPr>
          <w:rFonts w:ascii="Times New Roman" w:eastAsia="Times New Roman" w:hAnsi="Times New Roman" w:cs="Times New Roman"/>
          <w:sz w:val="26"/>
        </w:rPr>
        <w:t xml:space="preserve">-1 </w:t>
      </w:r>
      <w:r>
        <w:rPr>
          <w:sz w:val="26"/>
        </w:rPr>
        <w:t>INJUD -101-2024... Cuando ingresan insumos al Departamento de Almacén, ellos informan a la unidad solicitante no al Departamento.</w:t>
      </w:r>
    </w:p>
    <w:p w14:paraId="10D94F4B" w14:textId="77777777" w:rsidR="00053D93" w:rsidRDefault="00260B75">
      <w:pPr>
        <w:spacing w:after="74" w:line="247" w:lineRule="auto"/>
        <w:ind w:left="1728" w:right="14" w:hanging="439"/>
        <w:jc w:val="both"/>
      </w:pPr>
      <w:r>
        <w:rPr>
          <w:noProof/>
        </w:rPr>
        <w:drawing>
          <wp:inline distT="0" distB="0" distL="0" distR="0" wp14:anchorId="34B314C1" wp14:editId="552FED54">
            <wp:extent cx="4572" cy="9144"/>
            <wp:effectExtent l="0" t="0" r="0" b="0"/>
            <wp:docPr id="583166" name="Picture 583166"/>
            <wp:cNvGraphicFramePr/>
            <a:graphic xmlns:a="http://schemas.openxmlformats.org/drawingml/2006/main">
              <a:graphicData uri="http://schemas.openxmlformats.org/drawingml/2006/picture">
                <pic:pic xmlns:pic="http://schemas.openxmlformats.org/drawingml/2006/picture">
                  <pic:nvPicPr>
                    <pic:cNvPr id="583166" name="Picture 583166"/>
                    <pic:cNvPicPr/>
                  </pic:nvPicPr>
                  <pic:blipFill>
                    <a:blip r:embed="rId24"/>
                    <a:stretch>
                      <a:fillRect/>
                    </a:stretch>
                  </pic:blipFill>
                  <pic:spPr>
                    <a:xfrm>
                      <a:off x="0" y="0"/>
                      <a:ext cx="4572" cy="9144"/>
                    </a:xfrm>
                    <a:prstGeom prst="rect">
                      <a:avLst/>
                    </a:prstGeom>
                  </pic:spPr>
                </pic:pic>
              </a:graphicData>
            </a:graphic>
          </wp:inline>
        </w:drawing>
      </w:r>
      <w:r>
        <w:rPr>
          <w:sz w:val="26"/>
        </w:rPr>
        <w:t xml:space="preserve"> Con Oficio EXE. A.E. No. 0213-2024 de fecha 18 de septiembre del 2024 enviado a el Licenciado William Salguero Jefe de INJUD y T.S Zuly Barragán Jefa de</w:t>
      </w:r>
    </w:p>
    <w:p w14:paraId="7BC3B10E" w14:textId="77777777" w:rsidR="00053D93" w:rsidRDefault="00260B75">
      <w:pPr>
        <w:spacing w:after="17" w:line="353" w:lineRule="auto"/>
        <w:ind w:left="1720" w:right="14" w:hanging="1706"/>
        <w:jc w:val="both"/>
      </w:pPr>
      <w:r>
        <w:rPr>
          <w:noProof/>
        </w:rPr>
        <w:drawing>
          <wp:inline distT="0" distB="0" distL="0" distR="0" wp14:anchorId="2AB098B7" wp14:editId="53DF7F38">
            <wp:extent cx="73152" cy="13716"/>
            <wp:effectExtent l="0" t="0" r="0" b="0"/>
            <wp:docPr id="583167" name="Picture 583167"/>
            <wp:cNvGraphicFramePr/>
            <a:graphic xmlns:a="http://schemas.openxmlformats.org/drawingml/2006/main">
              <a:graphicData uri="http://schemas.openxmlformats.org/drawingml/2006/picture">
                <pic:pic xmlns:pic="http://schemas.openxmlformats.org/drawingml/2006/picture">
                  <pic:nvPicPr>
                    <pic:cNvPr id="583167" name="Picture 583167"/>
                    <pic:cNvPicPr/>
                  </pic:nvPicPr>
                  <pic:blipFill>
                    <a:blip r:embed="rId873"/>
                    <a:stretch>
                      <a:fillRect/>
                    </a:stretch>
                  </pic:blipFill>
                  <pic:spPr>
                    <a:xfrm>
                      <a:off x="0" y="0"/>
                      <a:ext cx="73152"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Extraescuela, donde se trasladó oficio CAE-385-2024 recibido el 17 de septiembre del 2024 en relación a Oficio DG-1647-2024, donde se solicita dar cumplimiento a la instrucción emanada de la providencia 239-2024. El Oficio EXE.A.E.</w:t>
      </w:r>
    </w:p>
    <w:p w14:paraId="1D6C6ADC" w14:textId="77777777" w:rsidR="00053D93" w:rsidRDefault="00260B75">
      <w:pPr>
        <w:spacing w:after="17" w:line="475" w:lineRule="auto"/>
        <w:ind w:left="1720" w:right="14" w:hanging="1706"/>
        <w:jc w:val="both"/>
      </w:pPr>
      <w:r>
        <w:rPr>
          <w:noProof/>
        </w:rPr>
        <w:drawing>
          <wp:inline distT="0" distB="0" distL="0" distR="0" wp14:anchorId="40205FE9" wp14:editId="350C3BF2">
            <wp:extent cx="77724" cy="13716"/>
            <wp:effectExtent l="0" t="0" r="0" b="0"/>
            <wp:docPr id="583168" name="Picture 583168"/>
            <wp:cNvGraphicFramePr/>
            <a:graphic xmlns:a="http://schemas.openxmlformats.org/drawingml/2006/main">
              <a:graphicData uri="http://schemas.openxmlformats.org/drawingml/2006/picture">
                <pic:pic xmlns:pic="http://schemas.openxmlformats.org/drawingml/2006/picture">
                  <pic:nvPicPr>
                    <pic:cNvPr id="583168" name="Picture 583168"/>
                    <pic:cNvPicPr/>
                  </pic:nvPicPr>
                  <pic:blipFill>
                    <a:blip r:embed="rId874"/>
                    <a:stretch>
                      <a:fillRect/>
                    </a:stretch>
                  </pic:blipFill>
                  <pic:spPr>
                    <a:xfrm>
                      <a:off x="0" y="0"/>
                      <a:ext cx="77724"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No-0213-2024 de fecha 18 de septiembre del 2024, no fue entregado a la Sección de Recreación ya que para esa fecha aún se encontraba independiente del</w:t>
      </w:r>
    </w:p>
    <w:p w14:paraId="634C4EAA" w14:textId="77777777" w:rsidR="00053D93" w:rsidRDefault="00260B75">
      <w:pPr>
        <w:spacing w:after="17" w:line="247" w:lineRule="auto"/>
        <w:ind w:left="14" w:right="14" w:firstLine="1721"/>
        <w:jc w:val="both"/>
      </w:pPr>
      <w:r>
        <w:rPr>
          <w:sz w:val="26"/>
        </w:rPr>
        <w:t xml:space="preserve">Departamento de Extensión Escolar, como se evidencia en el Oficio </w:t>
      </w:r>
      <w:r>
        <w:rPr>
          <w:rFonts w:ascii="Times New Roman" w:eastAsia="Times New Roman" w:hAnsi="Times New Roman" w:cs="Times New Roman"/>
          <w:sz w:val="26"/>
        </w:rPr>
        <w:t xml:space="preserve">-1 </w:t>
      </w:r>
      <w:r>
        <w:rPr>
          <w:sz w:val="26"/>
        </w:rPr>
        <w:t>CAE-385-2024 de fecha 17 de septiembre del 2024... con Oficio EXE.A.E.</w:t>
      </w:r>
    </w:p>
    <w:p w14:paraId="0172BA4F" w14:textId="77777777" w:rsidR="00053D93" w:rsidRDefault="00260B75">
      <w:pPr>
        <w:spacing w:after="17" w:line="247" w:lineRule="auto"/>
        <w:ind w:left="1714" w:right="14" w:firstLine="4"/>
        <w:jc w:val="both"/>
      </w:pPr>
      <w:r>
        <w:rPr>
          <w:sz w:val="26"/>
        </w:rPr>
        <w:t>No-0224-2024 de fecha 25 de septiembre del 2024 enviado a el Licenciado</w:t>
      </w:r>
    </w:p>
    <w:p w14:paraId="2962276A" w14:textId="77777777" w:rsidR="00053D93" w:rsidRDefault="00260B75">
      <w:pPr>
        <w:spacing w:after="306" w:line="267" w:lineRule="auto"/>
        <w:ind w:left="18" w:right="21" w:hanging="4"/>
        <w:jc w:val="right"/>
      </w:pPr>
      <w:r>
        <w:rPr>
          <w:sz w:val="26"/>
        </w:rPr>
        <w:t>William Salguero Jefe de INJUD y T.S Zuly Barragán Jefa de Extraescuela, donde</w:t>
      </w:r>
    </w:p>
    <w:tbl>
      <w:tblPr>
        <w:tblStyle w:val="TableGrid"/>
        <w:tblpPr w:vertAnchor="text" w:tblpX="2517" w:tblpY="14"/>
        <w:tblOverlap w:val="never"/>
        <w:tblW w:w="7656" w:type="dxa"/>
        <w:tblInd w:w="0" w:type="dxa"/>
        <w:tblCellMar>
          <w:top w:w="21" w:type="dxa"/>
          <w:left w:w="1781" w:type="dxa"/>
          <w:right w:w="115" w:type="dxa"/>
        </w:tblCellMar>
        <w:tblLook w:val="04A0" w:firstRow="1" w:lastRow="0" w:firstColumn="1" w:lastColumn="0" w:noHBand="0" w:noVBand="1"/>
      </w:tblPr>
      <w:tblGrid>
        <w:gridCol w:w="7656"/>
      </w:tblGrid>
      <w:tr w:rsidR="00053D93" w14:paraId="467EFC4F" w14:textId="77777777">
        <w:trPr>
          <w:trHeight w:val="62"/>
        </w:trPr>
        <w:tc>
          <w:tcPr>
            <w:tcW w:w="7656" w:type="dxa"/>
            <w:tcBorders>
              <w:top w:val="nil"/>
              <w:left w:val="single" w:sz="2" w:space="0" w:color="000000"/>
              <w:bottom w:val="single" w:sz="2" w:space="0" w:color="000000"/>
              <w:right w:val="nil"/>
            </w:tcBorders>
          </w:tcPr>
          <w:p w14:paraId="358EE89F" w14:textId="77777777" w:rsidR="00053D93" w:rsidRDefault="00053D93"/>
        </w:tc>
      </w:tr>
      <w:tr w:rsidR="00053D93" w14:paraId="45ED3B0D" w14:textId="77777777">
        <w:trPr>
          <w:trHeight w:val="564"/>
        </w:trPr>
        <w:tc>
          <w:tcPr>
            <w:tcW w:w="7656" w:type="dxa"/>
            <w:tcBorders>
              <w:top w:val="single" w:sz="2" w:space="0" w:color="000000"/>
              <w:left w:val="single" w:sz="2" w:space="0" w:color="000000"/>
              <w:bottom w:val="nil"/>
              <w:right w:val="nil"/>
            </w:tcBorders>
          </w:tcPr>
          <w:p w14:paraId="10A22B15" w14:textId="77777777" w:rsidR="00053D93" w:rsidRDefault="00260B75">
            <w:pPr>
              <w:ind w:left="835"/>
            </w:pPr>
            <w:r>
              <w:rPr>
                <w:sz w:val="14"/>
              </w:rPr>
              <w:t>MINISTERIO OE EDUCAC'ON</w:t>
            </w:r>
          </w:p>
          <w:p w14:paraId="385B89F0" w14:textId="77777777" w:rsidR="00053D93" w:rsidRDefault="00260B75">
            <w:pPr>
              <w:ind w:left="338"/>
            </w:pPr>
            <w:r>
              <w:rPr>
                <w:sz w:val="14"/>
              </w:rPr>
              <w:t>AUDITORIA FINANCIERA Y DE CUMPLIMIENTO</w:t>
            </w:r>
          </w:p>
          <w:p w14:paraId="2AC796B4" w14:textId="77777777" w:rsidR="00053D93" w:rsidRDefault="00260B75">
            <w:r>
              <w:rPr>
                <w:sz w:val="14"/>
              </w:rPr>
              <w:t>PERIODO DEL 01 DE ENERO AL 31 OE DICIEMBRE DE 2024</w:t>
            </w:r>
          </w:p>
        </w:tc>
      </w:tr>
    </w:tbl>
    <w:p w14:paraId="38FF3C63" w14:textId="77777777" w:rsidR="00053D93" w:rsidRDefault="00260B75">
      <w:pPr>
        <w:spacing w:after="3" w:line="265" w:lineRule="auto"/>
        <w:ind w:left="60" w:right="65" w:hanging="10"/>
      </w:pPr>
      <w:r>
        <w:rPr>
          <w:noProof/>
        </w:rPr>
        <w:drawing>
          <wp:inline distT="0" distB="0" distL="0" distR="0" wp14:anchorId="316485A3" wp14:editId="78678611">
            <wp:extent cx="22860" cy="9144"/>
            <wp:effectExtent l="0" t="0" r="0" b="0"/>
            <wp:docPr id="583169" name="Picture 583169"/>
            <wp:cNvGraphicFramePr/>
            <a:graphic xmlns:a="http://schemas.openxmlformats.org/drawingml/2006/main">
              <a:graphicData uri="http://schemas.openxmlformats.org/drawingml/2006/picture">
                <pic:pic xmlns:pic="http://schemas.openxmlformats.org/drawingml/2006/picture">
                  <pic:nvPicPr>
                    <pic:cNvPr id="583169" name="Picture 583169"/>
                    <pic:cNvPicPr/>
                  </pic:nvPicPr>
                  <pic:blipFill>
                    <a:blip r:embed="rId875"/>
                    <a:stretch>
                      <a:fillRect/>
                    </a:stretch>
                  </pic:blipFill>
                  <pic:spPr>
                    <a:xfrm>
                      <a:off x="0" y="0"/>
                      <a:ext cx="22860" cy="9144"/>
                    </a:xfrm>
                    <a:prstGeom prst="rect">
                      <a:avLst/>
                    </a:prstGeom>
                  </pic:spPr>
                </pic:pic>
              </a:graphicData>
            </a:graphic>
          </wp:inline>
        </w:drawing>
      </w:r>
      <w:r>
        <w:rPr>
          <w:rFonts w:ascii="Times New Roman" w:eastAsia="Times New Roman" w:hAnsi="Times New Roman" w:cs="Times New Roman"/>
          <w:sz w:val="66"/>
        </w:rPr>
        <w:t xml:space="preserve">1 </w:t>
      </w:r>
      <w:r>
        <w:rPr>
          <w:noProof/>
        </w:rPr>
        <w:drawing>
          <wp:inline distT="0" distB="0" distL="0" distR="0" wp14:anchorId="368F41CC" wp14:editId="30DC0042">
            <wp:extent cx="1065276" cy="406908"/>
            <wp:effectExtent l="0" t="0" r="0" b="0"/>
            <wp:docPr id="583211" name="Picture 583211"/>
            <wp:cNvGraphicFramePr/>
            <a:graphic xmlns:a="http://schemas.openxmlformats.org/drawingml/2006/main">
              <a:graphicData uri="http://schemas.openxmlformats.org/drawingml/2006/picture">
                <pic:pic xmlns:pic="http://schemas.openxmlformats.org/drawingml/2006/picture">
                  <pic:nvPicPr>
                    <pic:cNvPr id="583211" name="Picture 583211"/>
                    <pic:cNvPicPr/>
                  </pic:nvPicPr>
                  <pic:blipFill>
                    <a:blip r:embed="rId876"/>
                    <a:stretch>
                      <a:fillRect/>
                    </a:stretch>
                  </pic:blipFill>
                  <pic:spPr>
                    <a:xfrm>
                      <a:off x="0" y="0"/>
                      <a:ext cx="1065276" cy="406908"/>
                    </a:xfrm>
                    <a:prstGeom prst="rect">
                      <a:avLst/>
                    </a:prstGeom>
                  </pic:spPr>
                </pic:pic>
              </a:graphicData>
            </a:graphic>
          </wp:inline>
        </w:drawing>
      </w:r>
    </w:p>
    <w:p w14:paraId="32BC7390" w14:textId="77777777" w:rsidR="00053D93" w:rsidRDefault="00260B75">
      <w:pPr>
        <w:tabs>
          <w:tab w:val="center" w:pos="3341"/>
          <w:tab w:val="center" w:pos="6048"/>
        </w:tabs>
        <w:spacing w:after="0" w:line="265" w:lineRule="auto"/>
      </w:pPr>
      <w:r>
        <w:rPr>
          <w:rFonts w:ascii="Times New Roman" w:eastAsia="Times New Roman" w:hAnsi="Times New Roman" w:cs="Times New Roman"/>
          <w:sz w:val="16"/>
        </w:rPr>
        <w:t>1</w:t>
      </w:r>
      <w:r>
        <w:rPr>
          <w:rFonts w:ascii="Times New Roman" w:eastAsia="Times New Roman" w:hAnsi="Times New Roman" w:cs="Times New Roman"/>
          <w:sz w:val="16"/>
        </w:rPr>
        <w:tab/>
      </w:r>
      <w:r>
        <w:rPr>
          <w:sz w:val="16"/>
        </w:rPr>
        <w:t xml:space="preserve">OE </w:t>
      </w:r>
      <w:r>
        <w:rPr>
          <w:sz w:val="16"/>
        </w:rPr>
        <w:tab/>
        <w:t>12d</w:t>
      </w:r>
    </w:p>
    <w:p w14:paraId="02AA2DBD" w14:textId="77777777" w:rsidR="00053D93" w:rsidRDefault="00260B75">
      <w:pPr>
        <w:spacing w:after="44"/>
        <w:ind w:left="1822" w:right="-22"/>
      </w:pPr>
      <w:r>
        <w:rPr>
          <w:noProof/>
        </w:rPr>
        <mc:AlternateContent>
          <mc:Choice Requires="wpg">
            <w:drawing>
              <wp:inline distT="0" distB="0" distL="0" distR="0" wp14:anchorId="0302B2F4" wp14:editId="1997FF5A">
                <wp:extent cx="5381244" cy="9144"/>
                <wp:effectExtent l="0" t="0" r="0" b="0"/>
                <wp:docPr id="2458481" name="Group 2458481"/>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480" name="Shape 2458480"/>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81" style="width:423.72pt;height:0.719997pt;mso-position-horizontal-relative:char;mso-position-vertical-relative:line" coordsize="53812,91">
                <v:shape id="Shape 2458480" style="position:absolute;width:53812;height:91;left:0;top:0;" coordsize="5381244,9144" path="m0,4572l5381244,4572">
                  <v:stroke weight="0.719997pt" endcap="flat" joinstyle="miter" miterlimit="1" on="true" color="#000000"/>
                  <v:fill on="false" color="#000000"/>
                </v:shape>
              </v:group>
            </w:pict>
          </mc:Fallback>
        </mc:AlternateContent>
      </w:r>
    </w:p>
    <w:p w14:paraId="55A957A4" w14:textId="77777777" w:rsidR="00053D93" w:rsidRDefault="00260B75">
      <w:pPr>
        <w:spacing w:after="17" w:line="247" w:lineRule="auto"/>
        <w:ind w:left="1829" w:right="14" w:firstLine="4"/>
        <w:jc w:val="both"/>
      </w:pPr>
      <w:r>
        <w:rPr>
          <w:sz w:val="26"/>
        </w:rPr>
        <w:t xml:space="preserve">se traslada oficio CAE-408-2024 de Coordinación Extracurricular firmado por el Licenciado Juan Carlos Abac, Coordinador Área Extracurricular a.i en referencia a oficio 385-2024, donde recomienda dar cumplimiento a las recomendaciones emitidas por la Contraloría General de Cuentas y evitar sanciones por el ente fiscalizador. Derivado de lo anterior solicita que los departamentos y/o unidades que conforman el Área Extracurricular que soliciten implementos deportivos, llenen los listados correspondientes, conocimientos y planificación de entrega de los mismos ya que no pueden permanecer almacenados en bodegas o </w:t>
      </w:r>
      <w:r>
        <w:rPr>
          <w:sz w:val="26"/>
        </w:rPr>
        <w:lastRenderedPageBreak/>
        <w:t>instalaciones de almacén. El Oficio EXE.A.E. No-0224-2024 de fecha 25 de septiembre del 2024 no fue entregado a la Sección de Recreación ya que para esa fecha aún se encontraba independiente del Departamento de Extensión Escolar, como se evidencia en el Oficio CAE-408-2024 de fecha 25/09/2024. Con Oficio EXE.A.E. No.225-2024 de fecha 25 de septiembre del 2024 se traslada respuesta a la Coordinación Extracurricular de lo solicitado en Oficio CAE-408-2024... Con Oficio EXE. A.E. No. 0251-2024 de fecha 23 de octubre del 2024 enviado a el Licenciado</w:t>
      </w:r>
    </w:p>
    <w:p w14:paraId="5C942052" w14:textId="77777777" w:rsidR="00053D93" w:rsidRDefault="00260B75">
      <w:pPr>
        <w:spacing w:after="17" w:line="247" w:lineRule="auto"/>
        <w:ind w:left="94" w:right="14" w:firstLine="1721"/>
        <w:jc w:val="both"/>
      </w:pPr>
      <w:r>
        <w:rPr>
          <w:sz w:val="26"/>
        </w:rPr>
        <w:t xml:space="preserve">William Salguero Jefe de INJUD, T.S Zuly Barragán Jefa de Extraescuela y al </w:t>
      </w:r>
      <w:r>
        <w:rPr>
          <w:rFonts w:ascii="Times New Roman" w:eastAsia="Times New Roman" w:hAnsi="Times New Roman" w:cs="Times New Roman"/>
          <w:sz w:val="26"/>
        </w:rPr>
        <w:t xml:space="preserve">1 </w:t>
      </w:r>
      <w:r>
        <w:rPr>
          <w:sz w:val="26"/>
        </w:rPr>
        <w:t>Licenciado Juan Carlos Abac, Jefe de Recreación, donde se traslada Oficio</w:t>
      </w:r>
    </w:p>
    <w:p w14:paraId="39A8D04B" w14:textId="77777777" w:rsidR="00053D93" w:rsidRDefault="00260B75">
      <w:pPr>
        <w:spacing w:after="329" w:line="247" w:lineRule="auto"/>
        <w:ind w:left="79" w:right="14" w:firstLine="1742"/>
        <w:jc w:val="both"/>
      </w:pPr>
      <w:r>
        <w:rPr>
          <w:sz w:val="26"/>
        </w:rPr>
        <w:t xml:space="preserve">CAE-442-2024 de Coordinación Extracurricular firmado por el M.A Julio Waldemar </w:t>
      </w:r>
      <w:r>
        <w:rPr>
          <w:noProof/>
        </w:rPr>
        <w:drawing>
          <wp:inline distT="0" distB="0" distL="0" distR="0" wp14:anchorId="772BE8D3" wp14:editId="6A8FE248">
            <wp:extent cx="36576" cy="13716"/>
            <wp:effectExtent l="0" t="0" r="0" b="0"/>
            <wp:docPr id="587474" name="Picture 587474"/>
            <wp:cNvGraphicFramePr/>
            <a:graphic xmlns:a="http://schemas.openxmlformats.org/drawingml/2006/main">
              <a:graphicData uri="http://schemas.openxmlformats.org/drawingml/2006/picture">
                <pic:pic xmlns:pic="http://schemas.openxmlformats.org/drawingml/2006/picture">
                  <pic:nvPicPr>
                    <pic:cNvPr id="587474" name="Picture 587474"/>
                    <pic:cNvPicPr/>
                  </pic:nvPicPr>
                  <pic:blipFill>
                    <a:blip r:embed="rId877"/>
                    <a:stretch>
                      <a:fillRect/>
                    </a:stretch>
                  </pic:blipFill>
                  <pic:spPr>
                    <a:xfrm>
                      <a:off x="0" y="0"/>
                      <a:ext cx="36576" cy="13716"/>
                    </a:xfrm>
                    <a:prstGeom prst="rect">
                      <a:avLst/>
                    </a:prstGeom>
                  </pic:spPr>
                </pic:pic>
              </a:graphicData>
            </a:graphic>
          </wp:inline>
        </w:drawing>
      </w:r>
      <w:r>
        <w:rPr>
          <w:sz w:val="26"/>
        </w:rPr>
        <w:t xml:space="preserve"> Jiménez Back Coordinador Área Extracurricular a.i. donde solicita presentar la </w:t>
      </w:r>
      <w:r>
        <w:rPr>
          <w:rFonts w:ascii="Times New Roman" w:eastAsia="Times New Roman" w:hAnsi="Times New Roman" w:cs="Times New Roman"/>
          <w:sz w:val="26"/>
        </w:rPr>
        <w:t xml:space="preserve">1 </w:t>
      </w:r>
      <w:r>
        <w:rPr>
          <w:sz w:val="26"/>
        </w:rPr>
        <w:t xml:space="preserve">programación de entrega de insumos adquiridos durante el año 2024, para el cumplimiento de la Auditoría Interna según Oficio 0-DIDAI-173-2024, SIAD 655163 de fecha 29 de julio del 2024. Con Oficio EXE. A.E. No. 257-2024 de fecha 29 de octubre del 2024 se traslada respuesta a la Coordinadora de Área Extracurricular la Licenciada Gladys Maite Rojas Álvarez, de la información </w:t>
      </w:r>
      <w:r>
        <w:rPr>
          <w:rFonts w:ascii="Times New Roman" w:eastAsia="Times New Roman" w:hAnsi="Times New Roman" w:cs="Times New Roman"/>
          <w:sz w:val="26"/>
        </w:rPr>
        <w:t xml:space="preserve">-1 </w:t>
      </w:r>
      <w:r>
        <w:rPr>
          <w:sz w:val="26"/>
        </w:rPr>
        <w:t>solicitada en Oficio CAE-442-2024..."</w:t>
      </w:r>
    </w:p>
    <w:p w14:paraId="1C4B934E" w14:textId="77777777" w:rsidR="00053D93" w:rsidRDefault="00260B75">
      <w:pPr>
        <w:spacing w:after="63" w:line="247" w:lineRule="auto"/>
        <w:ind w:left="14" w:right="14" w:firstLine="1750"/>
        <w:jc w:val="both"/>
      </w:pPr>
      <w:r>
        <w:rPr>
          <w:sz w:val="26"/>
        </w:rPr>
        <w:t xml:space="preserve">En oficio No. OFICIO-MlNEDUC-DlGEF-REC-RM-01-2025, del 21 de abril de 2025, la señora Rosmery Analí Mejía González, quien fungió como Jefe Sección Recreación A.l., por el período comprendido del 13 de marzo de 2024 al 2 de octubre de 2024, manifiesta: "Solicito con todo respeto que valoren, razonen y analicen los argumentos y pruebas presentadas de forma JUSTA, OBJETIVA Y ECUÁNIME, de conformidad a Normas Internacionales de Entidades Fiscalizadoras Superiores, adaptadas a Guatemala -ISSAI.GT- Toda vez que las supuestas deficiencias señaladas en el Hallazgo de área financiera y de </w:t>
      </w:r>
      <w:r>
        <w:rPr>
          <w:noProof/>
        </w:rPr>
        <w:drawing>
          <wp:inline distT="0" distB="0" distL="0" distR="0" wp14:anchorId="2CE8D945" wp14:editId="7BE4023B">
            <wp:extent cx="54864" cy="18288"/>
            <wp:effectExtent l="0" t="0" r="0" b="0"/>
            <wp:docPr id="587475" name="Picture 587475"/>
            <wp:cNvGraphicFramePr/>
            <a:graphic xmlns:a="http://schemas.openxmlformats.org/drawingml/2006/main">
              <a:graphicData uri="http://schemas.openxmlformats.org/drawingml/2006/picture">
                <pic:pic xmlns:pic="http://schemas.openxmlformats.org/drawingml/2006/picture">
                  <pic:nvPicPr>
                    <pic:cNvPr id="587475" name="Picture 587475"/>
                    <pic:cNvPicPr/>
                  </pic:nvPicPr>
                  <pic:blipFill>
                    <a:blip r:embed="rId878"/>
                    <a:stretch>
                      <a:fillRect/>
                    </a:stretch>
                  </pic:blipFill>
                  <pic:spPr>
                    <a:xfrm>
                      <a:off x="0" y="0"/>
                      <a:ext cx="54864" cy="18288"/>
                    </a:xfrm>
                    <a:prstGeom prst="rect">
                      <a:avLst/>
                    </a:prstGeom>
                  </pic:spPr>
                </pic:pic>
              </a:graphicData>
            </a:graphic>
          </wp:inline>
        </w:drawing>
      </w:r>
      <w:r>
        <w:rPr>
          <w:rFonts w:ascii="Times New Roman" w:eastAsia="Times New Roman" w:hAnsi="Times New Roman" w:cs="Times New Roman"/>
          <w:sz w:val="26"/>
        </w:rPr>
        <w:t xml:space="preserve">1 </w:t>
      </w:r>
      <w:r>
        <w:rPr>
          <w:sz w:val="26"/>
        </w:rPr>
        <w:t>cumplimiento No. 3 Falta de calidad del gasto por la utilización inoportuna de Equipo, materiales y suministros adquiridos, en la condición del cuadro de los numerales 10, 1 1 y 12 de la sección de Recreación, en ningún momento ocasionaron menoscabo a los intereses del Estado y tampoco interfirieron con el cumplimiento de los objetivos y metas institucionales de DIGEF, en la entrega de materiales y suministros del departamento de almacén a beneficiarios.</w:t>
      </w:r>
    </w:p>
    <w:p w14:paraId="1A5EEACF" w14:textId="77777777" w:rsidR="00053D93" w:rsidRDefault="00260B75">
      <w:pPr>
        <w:spacing w:after="3" w:line="265" w:lineRule="auto"/>
        <w:ind w:left="60" w:right="65" w:hanging="10"/>
      </w:pPr>
      <w:r>
        <w:rPr>
          <w:noProof/>
        </w:rPr>
        <w:drawing>
          <wp:inline distT="0" distB="0" distL="0" distR="0" wp14:anchorId="75368D4A" wp14:editId="48D73376">
            <wp:extent cx="50292" cy="32004"/>
            <wp:effectExtent l="0" t="0" r="0" b="0"/>
            <wp:docPr id="587476" name="Picture 587476"/>
            <wp:cNvGraphicFramePr/>
            <a:graphic xmlns:a="http://schemas.openxmlformats.org/drawingml/2006/main">
              <a:graphicData uri="http://schemas.openxmlformats.org/drawingml/2006/picture">
                <pic:pic xmlns:pic="http://schemas.openxmlformats.org/drawingml/2006/picture">
                  <pic:nvPicPr>
                    <pic:cNvPr id="587476" name="Picture 587476"/>
                    <pic:cNvPicPr/>
                  </pic:nvPicPr>
                  <pic:blipFill>
                    <a:blip r:embed="rId879"/>
                    <a:stretch>
                      <a:fillRect/>
                    </a:stretch>
                  </pic:blipFill>
                  <pic:spPr>
                    <a:xfrm>
                      <a:off x="0" y="0"/>
                      <a:ext cx="50292" cy="32004"/>
                    </a:xfrm>
                    <a:prstGeom prst="rect">
                      <a:avLst/>
                    </a:prstGeom>
                  </pic:spPr>
                </pic:pic>
              </a:graphicData>
            </a:graphic>
          </wp:inline>
        </w:drawing>
      </w:r>
      <w:r>
        <w:rPr>
          <w:rFonts w:ascii="Times New Roman" w:eastAsia="Times New Roman" w:hAnsi="Times New Roman" w:cs="Times New Roman"/>
          <w:sz w:val="66"/>
        </w:rPr>
        <w:t>1</w:t>
      </w:r>
    </w:p>
    <w:p w14:paraId="4662C803" w14:textId="77777777" w:rsidR="00053D93" w:rsidRDefault="00260B75">
      <w:pPr>
        <w:spacing w:after="17" w:line="247" w:lineRule="auto"/>
        <w:ind w:left="1778" w:right="14" w:firstLine="4"/>
        <w:jc w:val="both"/>
      </w:pPr>
      <w:r>
        <w:rPr>
          <w:sz w:val="26"/>
        </w:rPr>
        <w:t>El Equipo de Auditoria de la Contraloría General de Cuentas, en el posible hallazgo de área financiera y de cumplimiento No. 3 Falta de calidad del gasto por</w:t>
      </w:r>
    </w:p>
    <w:tbl>
      <w:tblPr>
        <w:tblStyle w:val="TableGrid"/>
        <w:tblW w:w="9432" w:type="dxa"/>
        <w:tblInd w:w="814" w:type="dxa"/>
        <w:tblLook w:val="04A0" w:firstRow="1" w:lastRow="0" w:firstColumn="1" w:lastColumn="0" w:noHBand="0" w:noVBand="1"/>
      </w:tblPr>
      <w:tblGrid>
        <w:gridCol w:w="1684"/>
        <w:gridCol w:w="10519"/>
      </w:tblGrid>
      <w:tr w:rsidR="00053D93" w14:paraId="35BFF5E3" w14:textId="77777777">
        <w:trPr>
          <w:trHeight w:val="648"/>
        </w:trPr>
        <w:tc>
          <w:tcPr>
            <w:tcW w:w="1730" w:type="dxa"/>
            <w:tcBorders>
              <w:top w:val="nil"/>
              <w:left w:val="nil"/>
              <w:bottom w:val="nil"/>
              <w:right w:val="nil"/>
            </w:tcBorders>
          </w:tcPr>
          <w:p w14:paraId="569FF980" w14:textId="77777777" w:rsidR="00053D93" w:rsidRDefault="00260B75">
            <w:r>
              <w:rPr>
                <w:noProof/>
              </w:rPr>
              <w:drawing>
                <wp:inline distT="0" distB="0" distL="0" distR="0" wp14:anchorId="02DE1F25" wp14:editId="1E5D89C9">
                  <wp:extent cx="1069848" cy="406909"/>
                  <wp:effectExtent l="0" t="0" r="0" b="0"/>
                  <wp:docPr id="587534" name="Picture 587534"/>
                  <wp:cNvGraphicFramePr/>
                  <a:graphic xmlns:a="http://schemas.openxmlformats.org/drawingml/2006/main">
                    <a:graphicData uri="http://schemas.openxmlformats.org/drawingml/2006/picture">
                      <pic:pic xmlns:pic="http://schemas.openxmlformats.org/drawingml/2006/picture">
                        <pic:nvPicPr>
                          <pic:cNvPr id="587534" name="Picture 587534"/>
                          <pic:cNvPicPr/>
                        </pic:nvPicPr>
                        <pic:blipFill>
                          <a:blip r:embed="rId880"/>
                          <a:stretch>
                            <a:fillRect/>
                          </a:stretch>
                        </pic:blipFill>
                        <pic:spPr>
                          <a:xfrm>
                            <a:off x="0" y="0"/>
                            <a:ext cx="1069848" cy="406909"/>
                          </a:xfrm>
                          <a:prstGeom prst="rect">
                            <a:avLst/>
                          </a:prstGeom>
                        </pic:spPr>
                      </pic:pic>
                    </a:graphicData>
                  </a:graphic>
                </wp:inline>
              </w:drawing>
            </w:r>
          </w:p>
        </w:tc>
        <w:tc>
          <w:tcPr>
            <w:tcW w:w="7702" w:type="dxa"/>
            <w:tcBorders>
              <w:top w:val="nil"/>
              <w:left w:val="nil"/>
              <w:bottom w:val="nil"/>
              <w:right w:val="nil"/>
            </w:tcBorders>
          </w:tcPr>
          <w:p w14:paraId="5233783E" w14:textId="77777777" w:rsidR="00053D93" w:rsidRDefault="00053D93">
            <w:pPr>
              <w:ind w:left="-2817" w:right="10519"/>
            </w:pPr>
          </w:p>
          <w:tbl>
            <w:tblPr>
              <w:tblStyle w:val="TableGrid"/>
              <w:tblW w:w="7657" w:type="dxa"/>
              <w:tblInd w:w="45" w:type="dxa"/>
              <w:tblCellMar>
                <w:top w:w="36" w:type="dxa"/>
                <w:left w:w="1775" w:type="dxa"/>
                <w:right w:w="115" w:type="dxa"/>
              </w:tblCellMar>
              <w:tblLook w:val="04A0" w:firstRow="1" w:lastRow="0" w:firstColumn="1" w:lastColumn="0" w:noHBand="0" w:noVBand="1"/>
            </w:tblPr>
            <w:tblGrid>
              <w:gridCol w:w="7657"/>
            </w:tblGrid>
            <w:tr w:rsidR="00053D93" w14:paraId="5000109E" w14:textId="77777777">
              <w:trPr>
                <w:trHeight w:val="55"/>
              </w:trPr>
              <w:tc>
                <w:tcPr>
                  <w:tcW w:w="7657" w:type="dxa"/>
                  <w:tcBorders>
                    <w:top w:val="nil"/>
                    <w:left w:val="single" w:sz="2" w:space="0" w:color="000000"/>
                    <w:bottom w:val="single" w:sz="2" w:space="0" w:color="000000"/>
                    <w:right w:val="nil"/>
                  </w:tcBorders>
                </w:tcPr>
                <w:p w14:paraId="1B98CD13" w14:textId="77777777" w:rsidR="00053D93" w:rsidRDefault="00053D93"/>
              </w:tc>
            </w:tr>
            <w:tr w:rsidR="00053D93" w14:paraId="4960EB3D" w14:textId="77777777">
              <w:trPr>
                <w:trHeight w:val="586"/>
              </w:trPr>
              <w:tc>
                <w:tcPr>
                  <w:tcW w:w="7657" w:type="dxa"/>
                  <w:tcBorders>
                    <w:top w:val="single" w:sz="2" w:space="0" w:color="000000"/>
                    <w:left w:val="single" w:sz="2" w:space="0" w:color="000000"/>
                    <w:bottom w:val="nil"/>
                    <w:right w:val="nil"/>
                  </w:tcBorders>
                </w:tcPr>
                <w:p w14:paraId="2D8A5883" w14:textId="77777777" w:rsidR="00053D93" w:rsidRDefault="00260B75">
                  <w:pPr>
                    <w:ind w:left="835"/>
                  </w:pPr>
                  <w:r>
                    <w:rPr>
                      <w:sz w:val="14"/>
                    </w:rPr>
                    <w:t>MINISTERIO DE EDUCACION</w:t>
                  </w:r>
                </w:p>
                <w:p w14:paraId="2F726EA3" w14:textId="77777777" w:rsidR="00053D93" w:rsidRDefault="00260B75">
                  <w:pPr>
                    <w:ind w:left="338"/>
                  </w:pPr>
                  <w:r>
                    <w:rPr>
                      <w:sz w:val="14"/>
                    </w:rPr>
                    <w:t>AUDITORIA FINANCIERA Y DE CUMPLIMIENTO</w:t>
                  </w:r>
                </w:p>
                <w:p w14:paraId="540B1CE9" w14:textId="77777777" w:rsidR="00053D93" w:rsidRDefault="00260B75">
                  <w:r>
                    <w:rPr>
                      <w:sz w:val="14"/>
                    </w:rPr>
                    <w:t>PERIODO DEL 01 DE ENERO AL 31 OE D[CEMBRE DE 2024</w:t>
                  </w:r>
                </w:p>
              </w:tc>
            </w:tr>
          </w:tbl>
          <w:p w14:paraId="262D5FC6" w14:textId="77777777" w:rsidR="00053D93" w:rsidRDefault="00053D93"/>
        </w:tc>
      </w:tr>
    </w:tbl>
    <w:p w14:paraId="2048DFD5" w14:textId="77777777" w:rsidR="00053D93" w:rsidRDefault="00053D93">
      <w:pPr>
        <w:sectPr w:rsidR="00053D93">
          <w:headerReference w:type="even" r:id="rId881"/>
          <w:headerReference w:type="default" r:id="rId882"/>
          <w:footerReference w:type="even" r:id="rId883"/>
          <w:footerReference w:type="default" r:id="rId884"/>
          <w:headerReference w:type="first" r:id="rId885"/>
          <w:footerReference w:type="first" r:id="rId886"/>
          <w:pgSz w:w="12290" w:h="15883"/>
          <w:pgMar w:top="616" w:right="1793" w:bottom="454" w:left="274" w:header="641" w:footer="720" w:gutter="0"/>
          <w:cols w:space="720"/>
          <w:titlePg/>
        </w:sectPr>
      </w:pPr>
    </w:p>
    <w:p w14:paraId="26BFA41B" w14:textId="77777777" w:rsidR="00053D93" w:rsidRDefault="00260B75">
      <w:pPr>
        <w:spacing w:after="16"/>
        <w:ind w:left="1721" w:right="-14"/>
      </w:pPr>
      <w:r>
        <w:rPr>
          <w:noProof/>
        </w:rPr>
        <w:lastRenderedPageBreak/>
        <mc:AlternateContent>
          <mc:Choice Requires="wpg">
            <w:drawing>
              <wp:inline distT="0" distB="0" distL="0" distR="0" wp14:anchorId="057BB878" wp14:editId="766092E8">
                <wp:extent cx="5381244" cy="9144"/>
                <wp:effectExtent l="0" t="0" r="0" b="0"/>
                <wp:docPr id="2458483" name="Group 2458483"/>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482" name="Shape 2458482"/>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83" style="width:423.72pt;height:0.720001pt;mso-position-horizontal-relative:char;mso-position-vertical-relative:line" coordsize="53812,91">
                <v:shape id="Shape 2458482" style="position:absolute;width:53812;height:91;left:0;top:0;" coordsize="5381244,9144" path="m0,4572l5381244,4572">
                  <v:stroke weight="0.720001pt" endcap="flat" joinstyle="miter" miterlimit="1" on="true" color="#000000"/>
                  <v:fill on="false" color="#000000"/>
                </v:shape>
              </v:group>
            </w:pict>
          </mc:Fallback>
        </mc:AlternateContent>
      </w:r>
    </w:p>
    <w:p w14:paraId="21075C5A" w14:textId="77777777" w:rsidR="00053D93" w:rsidRDefault="00260B75">
      <w:pPr>
        <w:spacing w:after="17" w:line="247" w:lineRule="auto"/>
        <w:ind w:left="1728" w:right="14" w:firstLine="4"/>
        <w:jc w:val="both"/>
      </w:pPr>
      <w:r>
        <w:rPr>
          <w:sz w:val="26"/>
        </w:rPr>
        <w:t>lá ufilización inoportuná -de Équipo, materiales y suministros adquiridos, en el párrafo de la Condición describe en el cuadro equipo materiales en existencia en el departamento de almacén, no utilizados oportunamente por los beneficiarios, durante las actividades programadas para el ejercicio fiscal 2024, de las cuáles me compete las indicadas en el apartado de RECREACIÓN, numerales 10, 1 1 y 12, las cuáles describo a continuación:</w:t>
      </w:r>
    </w:p>
    <w:tbl>
      <w:tblPr>
        <w:tblStyle w:val="TableGrid"/>
        <w:tblW w:w="8455" w:type="dxa"/>
        <w:tblInd w:w="1718" w:type="dxa"/>
        <w:tblCellMar>
          <w:top w:w="14" w:type="dxa"/>
          <w:left w:w="75" w:type="dxa"/>
          <w:bottom w:w="29" w:type="dxa"/>
          <w:right w:w="72" w:type="dxa"/>
        </w:tblCellMar>
        <w:tblLook w:val="04A0" w:firstRow="1" w:lastRow="0" w:firstColumn="1" w:lastColumn="0" w:noHBand="0" w:noVBand="1"/>
      </w:tblPr>
      <w:tblGrid>
        <w:gridCol w:w="398"/>
        <w:gridCol w:w="1063"/>
        <w:gridCol w:w="1420"/>
        <w:gridCol w:w="1083"/>
        <w:gridCol w:w="1255"/>
        <w:gridCol w:w="1077"/>
        <w:gridCol w:w="1077"/>
        <w:gridCol w:w="1082"/>
      </w:tblGrid>
      <w:tr w:rsidR="00053D93" w14:paraId="2F414B44" w14:textId="77777777">
        <w:trPr>
          <w:trHeight w:val="295"/>
        </w:trPr>
        <w:tc>
          <w:tcPr>
            <w:tcW w:w="384" w:type="dxa"/>
            <w:tcBorders>
              <w:top w:val="single" w:sz="2" w:space="0" w:color="000000"/>
              <w:left w:val="single" w:sz="2" w:space="0" w:color="000000"/>
              <w:bottom w:val="single" w:sz="2" w:space="0" w:color="000000"/>
              <w:right w:val="nil"/>
            </w:tcBorders>
          </w:tcPr>
          <w:p w14:paraId="326EB98B" w14:textId="77777777" w:rsidR="00053D93" w:rsidRDefault="00053D93"/>
        </w:tc>
        <w:tc>
          <w:tcPr>
            <w:tcW w:w="5916" w:type="dxa"/>
            <w:gridSpan w:val="5"/>
            <w:tcBorders>
              <w:top w:val="single" w:sz="2" w:space="0" w:color="000000"/>
              <w:left w:val="nil"/>
              <w:bottom w:val="single" w:sz="2" w:space="0" w:color="000000"/>
              <w:right w:val="nil"/>
            </w:tcBorders>
          </w:tcPr>
          <w:p w14:paraId="5CD0E2F6" w14:textId="77777777" w:rsidR="00053D93" w:rsidRDefault="00260B75">
            <w:pPr>
              <w:ind w:left="2150"/>
            </w:pPr>
            <w:r>
              <w:rPr>
                <w:sz w:val="16"/>
              </w:rPr>
              <w:t>Verificación realizada 12 de noviembre de 2024</w:t>
            </w:r>
          </w:p>
        </w:tc>
        <w:tc>
          <w:tcPr>
            <w:tcW w:w="1080" w:type="dxa"/>
            <w:tcBorders>
              <w:top w:val="single" w:sz="2" w:space="0" w:color="000000"/>
              <w:left w:val="nil"/>
              <w:bottom w:val="single" w:sz="2" w:space="0" w:color="000000"/>
              <w:right w:val="nil"/>
            </w:tcBorders>
          </w:tcPr>
          <w:p w14:paraId="549FCC8F" w14:textId="77777777" w:rsidR="00053D93" w:rsidRDefault="00053D93"/>
        </w:tc>
        <w:tc>
          <w:tcPr>
            <w:tcW w:w="1075" w:type="dxa"/>
            <w:tcBorders>
              <w:top w:val="single" w:sz="2" w:space="0" w:color="000000"/>
              <w:left w:val="nil"/>
              <w:bottom w:val="single" w:sz="2" w:space="0" w:color="000000"/>
              <w:right w:val="single" w:sz="2" w:space="0" w:color="000000"/>
            </w:tcBorders>
          </w:tcPr>
          <w:p w14:paraId="117777F2" w14:textId="77777777" w:rsidR="00053D93" w:rsidRDefault="00053D93"/>
        </w:tc>
      </w:tr>
      <w:tr w:rsidR="00053D93" w14:paraId="3213BB35" w14:textId="77777777">
        <w:trPr>
          <w:trHeight w:val="403"/>
        </w:trPr>
        <w:tc>
          <w:tcPr>
            <w:tcW w:w="384" w:type="dxa"/>
            <w:tcBorders>
              <w:top w:val="single" w:sz="2" w:space="0" w:color="000000"/>
              <w:left w:val="single" w:sz="2" w:space="0" w:color="000000"/>
              <w:bottom w:val="single" w:sz="2" w:space="0" w:color="000000"/>
              <w:right w:val="single" w:sz="2" w:space="0" w:color="000000"/>
            </w:tcBorders>
          </w:tcPr>
          <w:p w14:paraId="76F14D10" w14:textId="77777777" w:rsidR="00053D93" w:rsidRDefault="00260B75">
            <w:pPr>
              <w:ind w:left="22"/>
            </w:pPr>
            <w:r>
              <w:rPr>
                <w:sz w:val="16"/>
              </w:rPr>
              <w:t>No.</w:t>
            </w:r>
          </w:p>
        </w:tc>
        <w:tc>
          <w:tcPr>
            <w:tcW w:w="1070" w:type="dxa"/>
            <w:tcBorders>
              <w:top w:val="single" w:sz="2" w:space="0" w:color="000000"/>
              <w:left w:val="single" w:sz="2" w:space="0" w:color="000000"/>
              <w:bottom w:val="single" w:sz="2" w:space="0" w:color="000000"/>
              <w:right w:val="single" w:sz="2" w:space="0" w:color="000000"/>
            </w:tcBorders>
          </w:tcPr>
          <w:p w14:paraId="22264517" w14:textId="77777777" w:rsidR="00053D93" w:rsidRDefault="00260B75">
            <w:pPr>
              <w:jc w:val="center"/>
            </w:pPr>
            <w:r>
              <w:rPr>
                <w:sz w:val="16"/>
              </w:rPr>
              <w:t>Código del Producto</w:t>
            </w:r>
          </w:p>
        </w:tc>
        <w:tc>
          <w:tcPr>
            <w:tcW w:w="1426" w:type="dxa"/>
            <w:tcBorders>
              <w:top w:val="single" w:sz="2" w:space="0" w:color="000000"/>
              <w:left w:val="single" w:sz="2" w:space="0" w:color="000000"/>
              <w:bottom w:val="single" w:sz="2" w:space="0" w:color="000000"/>
              <w:right w:val="single" w:sz="2" w:space="0" w:color="000000"/>
            </w:tcBorders>
          </w:tcPr>
          <w:p w14:paraId="31355AF3" w14:textId="77777777" w:rsidR="00053D93" w:rsidRDefault="00260B75">
            <w:pPr>
              <w:ind w:left="17"/>
              <w:jc w:val="center"/>
            </w:pPr>
            <w:r>
              <w:rPr>
                <w:sz w:val="16"/>
              </w:rPr>
              <w:t>Número de</w:t>
            </w:r>
          </w:p>
          <w:p w14:paraId="66EEDCB7" w14:textId="77777777" w:rsidR="00053D93" w:rsidRDefault="00260B75">
            <w:pPr>
              <w:ind w:left="24"/>
              <w:jc w:val="center"/>
            </w:pPr>
            <w:r>
              <w:rPr>
                <w:sz w:val="16"/>
              </w:rPr>
              <w:t>Requerimiento</w:t>
            </w:r>
          </w:p>
        </w:tc>
        <w:tc>
          <w:tcPr>
            <w:tcW w:w="1083" w:type="dxa"/>
            <w:tcBorders>
              <w:top w:val="single" w:sz="2" w:space="0" w:color="000000"/>
              <w:left w:val="single" w:sz="2" w:space="0" w:color="000000"/>
              <w:bottom w:val="single" w:sz="2" w:space="0" w:color="000000"/>
              <w:right w:val="single" w:sz="2" w:space="0" w:color="000000"/>
            </w:tcBorders>
          </w:tcPr>
          <w:p w14:paraId="74963A69" w14:textId="77777777" w:rsidR="00053D93" w:rsidRDefault="00260B75">
            <w:pPr>
              <w:ind w:left="14"/>
              <w:jc w:val="center"/>
            </w:pPr>
            <w:r>
              <w:rPr>
                <w:sz w:val="16"/>
              </w:rPr>
              <w:t>Descripción</w:t>
            </w:r>
          </w:p>
        </w:tc>
        <w:tc>
          <w:tcPr>
            <w:tcW w:w="1257" w:type="dxa"/>
            <w:tcBorders>
              <w:top w:val="single" w:sz="2" w:space="0" w:color="000000"/>
              <w:left w:val="single" w:sz="2" w:space="0" w:color="000000"/>
              <w:bottom w:val="single" w:sz="2" w:space="0" w:color="000000"/>
              <w:right w:val="single" w:sz="2" w:space="0" w:color="000000"/>
            </w:tcBorders>
          </w:tcPr>
          <w:p w14:paraId="424BB77E" w14:textId="77777777" w:rsidR="00053D93" w:rsidRDefault="00260B75">
            <w:pPr>
              <w:ind w:left="22"/>
              <w:jc w:val="center"/>
            </w:pPr>
            <w:r>
              <w:rPr>
                <w:sz w:val="16"/>
              </w:rPr>
              <w:t>Renglón</w:t>
            </w:r>
          </w:p>
          <w:p w14:paraId="6DCB4598" w14:textId="77777777" w:rsidR="00053D93" w:rsidRDefault="00260B75">
            <w:pPr>
              <w:ind w:left="22"/>
              <w:jc w:val="center"/>
            </w:pPr>
            <w:r>
              <w:rPr>
                <w:sz w:val="16"/>
              </w:rPr>
              <w:t>Presupuestario</w:t>
            </w:r>
          </w:p>
        </w:tc>
        <w:tc>
          <w:tcPr>
            <w:tcW w:w="1080" w:type="dxa"/>
            <w:tcBorders>
              <w:top w:val="single" w:sz="2" w:space="0" w:color="000000"/>
              <w:left w:val="single" w:sz="2" w:space="0" w:color="000000"/>
              <w:bottom w:val="single" w:sz="2" w:space="0" w:color="000000"/>
              <w:right w:val="single" w:sz="2" w:space="0" w:color="000000"/>
            </w:tcBorders>
          </w:tcPr>
          <w:p w14:paraId="2A39DCD8" w14:textId="77777777" w:rsidR="00053D93" w:rsidRDefault="00260B75">
            <w:pPr>
              <w:ind w:left="17"/>
              <w:jc w:val="center"/>
            </w:pPr>
            <w:r>
              <w:rPr>
                <w:sz w:val="18"/>
              </w:rPr>
              <w:t>Fecha de</w:t>
            </w:r>
          </w:p>
          <w:p w14:paraId="08DA116E" w14:textId="77777777" w:rsidR="00053D93" w:rsidRDefault="00260B75">
            <w:pPr>
              <w:ind w:left="10"/>
              <w:jc w:val="center"/>
            </w:pPr>
            <w:r>
              <w:rPr>
                <w:sz w:val="16"/>
              </w:rPr>
              <w:t>Utilización</w:t>
            </w:r>
          </w:p>
        </w:tc>
        <w:tc>
          <w:tcPr>
            <w:tcW w:w="1080" w:type="dxa"/>
            <w:tcBorders>
              <w:top w:val="single" w:sz="2" w:space="0" w:color="000000"/>
              <w:left w:val="single" w:sz="2" w:space="0" w:color="000000"/>
              <w:bottom w:val="single" w:sz="2" w:space="0" w:color="000000"/>
              <w:right w:val="single" w:sz="2" w:space="0" w:color="000000"/>
            </w:tcBorders>
          </w:tcPr>
          <w:p w14:paraId="30DB5CF6" w14:textId="77777777" w:rsidR="00053D93" w:rsidRDefault="00260B75">
            <w:pPr>
              <w:ind w:left="195" w:hanging="137"/>
            </w:pPr>
            <w:r>
              <w:rPr>
                <w:sz w:val="16"/>
              </w:rPr>
              <w:t>Existencia de Almacén</w:t>
            </w:r>
          </w:p>
        </w:tc>
        <w:tc>
          <w:tcPr>
            <w:tcW w:w="1075" w:type="dxa"/>
            <w:tcBorders>
              <w:top w:val="single" w:sz="2" w:space="0" w:color="000000"/>
              <w:left w:val="single" w:sz="2" w:space="0" w:color="000000"/>
              <w:bottom w:val="single" w:sz="2" w:space="0" w:color="000000"/>
              <w:right w:val="single" w:sz="2" w:space="0" w:color="000000"/>
            </w:tcBorders>
          </w:tcPr>
          <w:p w14:paraId="6A8A2574" w14:textId="77777777" w:rsidR="00053D93" w:rsidRDefault="00260B75">
            <w:pPr>
              <w:ind w:left="50"/>
              <w:jc w:val="center"/>
            </w:pPr>
            <w:r>
              <w:rPr>
                <w:sz w:val="14"/>
              </w:rPr>
              <w:t>Monto de</w:t>
            </w:r>
          </w:p>
          <w:p w14:paraId="50CBB60C" w14:textId="77777777" w:rsidR="00053D93" w:rsidRDefault="00260B75">
            <w:pPr>
              <w:ind w:left="14"/>
              <w:jc w:val="center"/>
            </w:pPr>
            <w:r>
              <w:rPr>
                <w:sz w:val="16"/>
              </w:rPr>
              <w:t>Existencia</w:t>
            </w:r>
          </w:p>
        </w:tc>
      </w:tr>
      <w:tr w:rsidR="00053D93" w14:paraId="7EAC9087" w14:textId="77777777">
        <w:trPr>
          <w:trHeight w:val="972"/>
        </w:trPr>
        <w:tc>
          <w:tcPr>
            <w:tcW w:w="384" w:type="dxa"/>
            <w:tcBorders>
              <w:top w:val="single" w:sz="2" w:space="0" w:color="000000"/>
              <w:left w:val="single" w:sz="2" w:space="0" w:color="000000"/>
              <w:bottom w:val="single" w:sz="2" w:space="0" w:color="000000"/>
              <w:right w:val="single" w:sz="2" w:space="0" w:color="000000"/>
            </w:tcBorders>
          </w:tcPr>
          <w:p w14:paraId="3A01B9B8" w14:textId="77777777" w:rsidR="00053D93" w:rsidRDefault="00260B75">
            <w:pPr>
              <w:ind w:left="14"/>
              <w:jc w:val="center"/>
            </w:pPr>
            <w:r>
              <w:rPr>
                <w:rFonts w:ascii="Times New Roman" w:eastAsia="Times New Roman" w:hAnsi="Times New Roman" w:cs="Times New Roman"/>
                <w:sz w:val="16"/>
              </w:rPr>
              <w:t>10</w:t>
            </w:r>
          </w:p>
        </w:tc>
        <w:tc>
          <w:tcPr>
            <w:tcW w:w="1070" w:type="dxa"/>
            <w:tcBorders>
              <w:top w:val="single" w:sz="2" w:space="0" w:color="000000"/>
              <w:left w:val="single" w:sz="2" w:space="0" w:color="000000"/>
              <w:bottom w:val="single" w:sz="2" w:space="0" w:color="000000"/>
              <w:right w:val="single" w:sz="2" w:space="0" w:color="000000"/>
            </w:tcBorders>
          </w:tcPr>
          <w:p w14:paraId="6F3E9D09" w14:textId="77777777" w:rsidR="00053D93" w:rsidRDefault="00260B75">
            <w:pPr>
              <w:ind w:left="14"/>
              <w:jc w:val="center"/>
            </w:pPr>
            <w:r>
              <w:rPr>
                <w:rFonts w:ascii="Times New Roman" w:eastAsia="Times New Roman" w:hAnsi="Times New Roman" w:cs="Times New Roman"/>
                <w:sz w:val="16"/>
              </w:rPr>
              <w:t>233014</w:t>
            </w:r>
          </w:p>
        </w:tc>
        <w:tc>
          <w:tcPr>
            <w:tcW w:w="1426" w:type="dxa"/>
            <w:tcBorders>
              <w:top w:val="single" w:sz="2" w:space="0" w:color="000000"/>
              <w:left w:val="single" w:sz="2" w:space="0" w:color="000000"/>
              <w:bottom w:val="single" w:sz="2" w:space="0" w:color="000000"/>
              <w:right w:val="single" w:sz="2" w:space="0" w:color="000000"/>
            </w:tcBorders>
          </w:tcPr>
          <w:p w14:paraId="501B5043" w14:textId="77777777" w:rsidR="00053D93" w:rsidRDefault="00260B75">
            <w:pPr>
              <w:ind w:left="17"/>
              <w:jc w:val="center"/>
            </w:pPr>
            <w:r>
              <w:rPr>
                <w:rFonts w:ascii="Times New Roman" w:eastAsia="Times New Roman" w:hAnsi="Times New Roman" w:cs="Times New Roman"/>
                <w:sz w:val="16"/>
              </w:rPr>
              <w:t>2024-15026</w:t>
            </w:r>
          </w:p>
        </w:tc>
        <w:tc>
          <w:tcPr>
            <w:tcW w:w="1083" w:type="dxa"/>
            <w:tcBorders>
              <w:top w:val="single" w:sz="2" w:space="0" w:color="000000"/>
              <w:left w:val="single" w:sz="2" w:space="0" w:color="000000"/>
              <w:bottom w:val="single" w:sz="2" w:space="0" w:color="000000"/>
              <w:right w:val="single" w:sz="2" w:space="0" w:color="000000"/>
            </w:tcBorders>
            <w:vAlign w:val="bottom"/>
          </w:tcPr>
          <w:p w14:paraId="42E30D0E" w14:textId="77777777" w:rsidR="00053D93" w:rsidRDefault="00260B75">
            <w:pPr>
              <w:ind w:left="14"/>
            </w:pPr>
            <w:r>
              <w:rPr>
                <w:sz w:val="16"/>
              </w:rPr>
              <w:t>deportiva impermeable, logotipo serigrafiado</w:t>
            </w:r>
          </w:p>
        </w:tc>
        <w:tc>
          <w:tcPr>
            <w:tcW w:w="1257" w:type="dxa"/>
            <w:tcBorders>
              <w:top w:val="single" w:sz="2" w:space="0" w:color="000000"/>
              <w:left w:val="single" w:sz="2" w:space="0" w:color="000000"/>
              <w:bottom w:val="single" w:sz="2" w:space="0" w:color="000000"/>
              <w:right w:val="single" w:sz="2" w:space="0" w:color="000000"/>
            </w:tcBorders>
          </w:tcPr>
          <w:p w14:paraId="1B78AF73" w14:textId="77777777" w:rsidR="00053D93" w:rsidRDefault="00260B75">
            <w:pPr>
              <w:ind w:left="14"/>
              <w:jc w:val="center"/>
            </w:pPr>
            <w:r>
              <w:rPr>
                <w:rFonts w:ascii="Times New Roman" w:eastAsia="Times New Roman" w:hAnsi="Times New Roman" w:cs="Times New Roman"/>
                <w:sz w:val="16"/>
              </w:rPr>
              <w:t>294</w:t>
            </w:r>
          </w:p>
        </w:tc>
        <w:tc>
          <w:tcPr>
            <w:tcW w:w="1080" w:type="dxa"/>
            <w:tcBorders>
              <w:top w:val="single" w:sz="2" w:space="0" w:color="000000"/>
              <w:left w:val="single" w:sz="2" w:space="0" w:color="000000"/>
              <w:bottom w:val="single" w:sz="2" w:space="0" w:color="000000"/>
              <w:right w:val="single" w:sz="2" w:space="0" w:color="000000"/>
            </w:tcBorders>
          </w:tcPr>
          <w:p w14:paraId="7FEF8EB0" w14:textId="77777777" w:rsidR="00053D93" w:rsidRDefault="00260B75">
            <w:pPr>
              <w:ind w:left="3"/>
              <w:jc w:val="center"/>
            </w:pPr>
            <w:r>
              <w:rPr>
                <w:rFonts w:ascii="Times New Roman" w:eastAsia="Times New Roman" w:hAnsi="Times New Roman" w:cs="Times New Roman"/>
                <w:sz w:val="14"/>
              </w:rPr>
              <w:t>28106/2024</w:t>
            </w:r>
          </w:p>
        </w:tc>
        <w:tc>
          <w:tcPr>
            <w:tcW w:w="1080" w:type="dxa"/>
            <w:tcBorders>
              <w:top w:val="single" w:sz="2" w:space="0" w:color="000000"/>
              <w:left w:val="single" w:sz="2" w:space="0" w:color="000000"/>
              <w:bottom w:val="single" w:sz="2" w:space="0" w:color="000000"/>
              <w:right w:val="single" w:sz="2" w:space="0" w:color="000000"/>
            </w:tcBorders>
          </w:tcPr>
          <w:p w14:paraId="2441F3D2" w14:textId="77777777" w:rsidR="00053D93" w:rsidRDefault="00260B75">
            <w:pPr>
              <w:ind w:left="10"/>
              <w:jc w:val="center"/>
            </w:pPr>
            <w:r>
              <w:rPr>
                <w:rFonts w:ascii="Times New Roman" w:eastAsia="Times New Roman" w:hAnsi="Times New Roman" w:cs="Times New Roman"/>
                <w:sz w:val="16"/>
              </w:rPr>
              <w:t>2000</w:t>
            </w:r>
          </w:p>
        </w:tc>
        <w:tc>
          <w:tcPr>
            <w:tcW w:w="1075" w:type="dxa"/>
            <w:tcBorders>
              <w:top w:val="single" w:sz="2" w:space="0" w:color="000000"/>
              <w:left w:val="single" w:sz="2" w:space="0" w:color="000000"/>
              <w:bottom w:val="single" w:sz="2" w:space="0" w:color="000000"/>
              <w:right w:val="single" w:sz="2" w:space="0" w:color="000000"/>
            </w:tcBorders>
          </w:tcPr>
          <w:p w14:paraId="113378C3" w14:textId="77777777" w:rsidR="00053D93" w:rsidRDefault="00260B75">
            <w:pPr>
              <w:ind w:left="295"/>
            </w:pPr>
            <w:r>
              <w:rPr>
                <w:rFonts w:ascii="Times New Roman" w:eastAsia="Times New Roman" w:hAnsi="Times New Roman" w:cs="Times New Roman"/>
                <w:sz w:val="16"/>
              </w:rPr>
              <w:t>42.000.00</w:t>
            </w:r>
          </w:p>
        </w:tc>
      </w:tr>
      <w:tr w:rsidR="00053D93" w14:paraId="1B715523" w14:textId="77777777">
        <w:trPr>
          <w:trHeight w:val="785"/>
        </w:trPr>
        <w:tc>
          <w:tcPr>
            <w:tcW w:w="384" w:type="dxa"/>
            <w:tcBorders>
              <w:top w:val="single" w:sz="2" w:space="0" w:color="000000"/>
              <w:left w:val="single" w:sz="2" w:space="0" w:color="000000"/>
              <w:bottom w:val="single" w:sz="2" w:space="0" w:color="000000"/>
              <w:right w:val="single" w:sz="2" w:space="0" w:color="000000"/>
            </w:tcBorders>
          </w:tcPr>
          <w:p w14:paraId="3D317405" w14:textId="77777777" w:rsidR="00053D93" w:rsidRDefault="00260B75">
            <w:pPr>
              <w:ind w:right="14"/>
              <w:jc w:val="center"/>
            </w:pPr>
            <w:r>
              <w:rPr>
                <w:rFonts w:ascii="Times New Roman" w:eastAsia="Times New Roman" w:hAnsi="Times New Roman" w:cs="Times New Roman"/>
                <w:sz w:val="16"/>
              </w:rPr>
              <w:t>11</w:t>
            </w:r>
          </w:p>
        </w:tc>
        <w:tc>
          <w:tcPr>
            <w:tcW w:w="1070" w:type="dxa"/>
            <w:tcBorders>
              <w:top w:val="single" w:sz="2" w:space="0" w:color="000000"/>
              <w:left w:val="single" w:sz="2" w:space="0" w:color="000000"/>
              <w:bottom w:val="single" w:sz="2" w:space="0" w:color="000000"/>
              <w:right w:val="single" w:sz="2" w:space="0" w:color="000000"/>
            </w:tcBorders>
          </w:tcPr>
          <w:p w14:paraId="2D3CA9BA" w14:textId="77777777" w:rsidR="00053D93" w:rsidRDefault="00260B75">
            <w:pPr>
              <w:jc w:val="center"/>
            </w:pPr>
            <w:r>
              <w:rPr>
                <w:rFonts w:ascii="Times New Roman" w:eastAsia="Times New Roman" w:hAnsi="Times New Roman" w:cs="Times New Roman"/>
                <w:sz w:val="16"/>
              </w:rPr>
              <w:t>21 1002</w:t>
            </w:r>
          </w:p>
        </w:tc>
        <w:tc>
          <w:tcPr>
            <w:tcW w:w="1426" w:type="dxa"/>
            <w:tcBorders>
              <w:top w:val="single" w:sz="2" w:space="0" w:color="000000"/>
              <w:left w:val="single" w:sz="2" w:space="0" w:color="000000"/>
              <w:bottom w:val="single" w:sz="2" w:space="0" w:color="000000"/>
              <w:right w:val="single" w:sz="2" w:space="0" w:color="000000"/>
            </w:tcBorders>
          </w:tcPr>
          <w:p w14:paraId="0B480A1B" w14:textId="77777777" w:rsidR="00053D93" w:rsidRDefault="00260B75">
            <w:pPr>
              <w:ind w:right="19"/>
              <w:jc w:val="center"/>
            </w:pPr>
            <w:r>
              <w:rPr>
                <w:rFonts w:ascii="Times New Roman" w:eastAsia="Times New Roman" w:hAnsi="Times New Roman" w:cs="Times New Roman"/>
                <w:sz w:val="16"/>
              </w:rPr>
              <w:t>2024-14861</w:t>
            </w:r>
          </w:p>
        </w:tc>
        <w:tc>
          <w:tcPr>
            <w:tcW w:w="1083" w:type="dxa"/>
            <w:tcBorders>
              <w:top w:val="single" w:sz="2" w:space="0" w:color="000000"/>
              <w:left w:val="single" w:sz="2" w:space="0" w:color="000000"/>
              <w:bottom w:val="single" w:sz="2" w:space="0" w:color="000000"/>
              <w:right w:val="single" w:sz="2" w:space="0" w:color="000000"/>
            </w:tcBorders>
            <w:vAlign w:val="bottom"/>
          </w:tcPr>
          <w:p w14:paraId="65B876DD" w14:textId="77777777" w:rsidR="00053D93" w:rsidRDefault="00260B75">
            <w:pPr>
              <w:spacing w:line="274" w:lineRule="auto"/>
              <w:ind w:left="7"/>
              <w:jc w:val="both"/>
            </w:pPr>
            <w:r>
              <w:rPr>
                <w:sz w:val="16"/>
              </w:rPr>
              <w:t>Tetrapak 200 ml sabor</w:t>
            </w:r>
          </w:p>
          <w:p w14:paraId="70B4D9F1" w14:textId="77777777" w:rsidR="00053D93" w:rsidRDefault="00260B75">
            <w:pPr>
              <w:ind w:left="7"/>
            </w:pPr>
            <w:r>
              <w:rPr>
                <w:sz w:val="16"/>
              </w:rPr>
              <w:t>surtido</w:t>
            </w:r>
          </w:p>
        </w:tc>
        <w:tc>
          <w:tcPr>
            <w:tcW w:w="1257" w:type="dxa"/>
            <w:tcBorders>
              <w:top w:val="single" w:sz="2" w:space="0" w:color="000000"/>
              <w:left w:val="single" w:sz="2" w:space="0" w:color="000000"/>
              <w:bottom w:val="single" w:sz="2" w:space="0" w:color="000000"/>
              <w:right w:val="single" w:sz="2" w:space="0" w:color="000000"/>
            </w:tcBorders>
          </w:tcPr>
          <w:p w14:paraId="6519F4B3" w14:textId="77777777" w:rsidR="00053D93" w:rsidRDefault="00260B75">
            <w:pPr>
              <w:ind w:right="14"/>
              <w:jc w:val="center"/>
            </w:pPr>
            <w:r>
              <w:rPr>
                <w:rFonts w:ascii="Times New Roman" w:eastAsia="Times New Roman" w:hAnsi="Times New Roman" w:cs="Times New Roman"/>
                <w:sz w:val="16"/>
              </w:rPr>
              <w:t>21 1</w:t>
            </w:r>
          </w:p>
        </w:tc>
        <w:tc>
          <w:tcPr>
            <w:tcW w:w="1080" w:type="dxa"/>
            <w:tcBorders>
              <w:top w:val="single" w:sz="2" w:space="0" w:color="000000"/>
              <w:left w:val="single" w:sz="2" w:space="0" w:color="000000"/>
              <w:bottom w:val="single" w:sz="2" w:space="0" w:color="000000"/>
              <w:right w:val="single" w:sz="2" w:space="0" w:color="000000"/>
            </w:tcBorders>
          </w:tcPr>
          <w:p w14:paraId="2FCD6480" w14:textId="77777777" w:rsidR="00053D93" w:rsidRDefault="00260B75">
            <w:pPr>
              <w:ind w:right="12"/>
              <w:jc w:val="center"/>
            </w:pPr>
            <w:r>
              <w:rPr>
                <w:rFonts w:ascii="Times New Roman" w:eastAsia="Times New Roman" w:hAnsi="Times New Roman" w:cs="Times New Roman"/>
                <w:sz w:val="16"/>
              </w:rPr>
              <w:t>30/06/2024</w:t>
            </w:r>
          </w:p>
        </w:tc>
        <w:tc>
          <w:tcPr>
            <w:tcW w:w="1080" w:type="dxa"/>
            <w:tcBorders>
              <w:top w:val="single" w:sz="2" w:space="0" w:color="000000"/>
              <w:left w:val="single" w:sz="2" w:space="0" w:color="000000"/>
              <w:bottom w:val="single" w:sz="2" w:space="0" w:color="000000"/>
              <w:right w:val="single" w:sz="2" w:space="0" w:color="000000"/>
            </w:tcBorders>
          </w:tcPr>
          <w:p w14:paraId="7595446F" w14:textId="77777777" w:rsidR="00053D93" w:rsidRDefault="00260B75">
            <w:pPr>
              <w:ind w:left="10"/>
              <w:jc w:val="center"/>
            </w:pPr>
            <w:r>
              <w:rPr>
                <w:rFonts w:ascii="Times New Roman" w:eastAsia="Times New Roman" w:hAnsi="Times New Roman" w:cs="Times New Roman"/>
                <w:sz w:val="16"/>
              </w:rPr>
              <w:t>1008</w:t>
            </w:r>
          </w:p>
        </w:tc>
        <w:tc>
          <w:tcPr>
            <w:tcW w:w="1075" w:type="dxa"/>
            <w:tcBorders>
              <w:top w:val="single" w:sz="2" w:space="0" w:color="000000"/>
              <w:left w:val="single" w:sz="2" w:space="0" w:color="000000"/>
              <w:bottom w:val="single" w:sz="2" w:space="0" w:color="000000"/>
              <w:right w:val="single" w:sz="2" w:space="0" w:color="000000"/>
            </w:tcBorders>
          </w:tcPr>
          <w:p w14:paraId="7A6F5087" w14:textId="77777777" w:rsidR="00053D93" w:rsidRDefault="00260B75">
            <w:pPr>
              <w:ind w:right="7"/>
              <w:jc w:val="right"/>
            </w:pPr>
            <w:r>
              <w:rPr>
                <w:rFonts w:ascii="Times New Roman" w:eastAsia="Times New Roman" w:hAnsi="Times New Roman" w:cs="Times New Roman"/>
                <w:sz w:val="16"/>
              </w:rPr>
              <w:t>2.296.63</w:t>
            </w:r>
          </w:p>
        </w:tc>
      </w:tr>
      <w:tr w:rsidR="00053D93" w14:paraId="317C174C" w14:textId="77777777">
        <w:trPr>
          <w:trHeight w:val="1166"/>
        </w:trPr>
        <w:tc>
          <w:tcPr>
            <w:tcW w:w="384" w:type="dxa"/>
            <w:tcBorders>
              <w:top w:val="single" w:sz="2" w:space="0" w:color="000000"/>
              <w:left w:val="single" w:sz="2" w:space="0" w:color="000000"/>
              <w:bottom w:val="single" w:sz="2" w:space="0" w:color="000000"/>
              <w:right w:val="single" w:sz="2" w:space="0" w:color="000000"/>
            </w:tcBorders>
          </w:tcPr>
          <w:p w14:paraId="65DBF08F" w14:textId="77777777" w:rsidR="00053D93" w:rsidRDefault="00053D93"/>
        </w:tc>
        <w:tc>
          <w:tcPr>
            <w:tcW w:w="1070" w:type="dxa"/>
            <w:tcBorders>
              <w:top w:val="single" w:sz="2" w:space="0" w:color="000000"/>
              <w:left w:val="single" w:sz="2" w:space="0" w:color="000000"/>
              <w:bottom w:val="single" w:sz="2" w:space="0" w:color="000000"/>
              <w:right w:val="single" w:sz="2" w:space="0" w:color="000000"/>
            </w:tcBorders>
          </w:tcPr>
          <w:p w14:paraId="41A89DC7" w14:textId="77777777" w:rsidR="00053D93" w:rsidRDefault="00260B75">
            <w:pPr>
              <w:ind w:right="7"/>
              <w:jc w:val="center"/>
            </w:pPr>
            <w:r>
              <w:rPr>
                <w:rFonts w:ascii="Times New Roman" w:eastAsia="Times New Roman" w:hAnsi="Times New Roman" w:cs="Times New Roman"/>
                <w:sz w:val="16"/>
              </w:rPr>
              <w:t>294046</w:t>
            </w:r>
          </w:p>
        </w:tc>
        <w:tc>
          <w:tcPr>
            <w:tcW w:w="1426" w:type="dxa"/>
            <w:tcBorders>
              <w:top w:val="single" w:sz="2" w:space="0" w:color="000000"/>
              <w:left w:val="single" w:sz="2" w:space="0" w:color="000000"/>
              <w:bottom w:val="single" w:sz="2" w:space="0" w:color="000000"/>
              <w:right w:val="single" w:sz="2" w:space="0" w:color="000000"/>
            </w:tcBorders>
          </w:tcPr>
          <w:p w14:paraId="7CB9B07C" w14:textId="77777777" w:rsidR="00053D93" w:rsidRDefault="00260B75">
            <w:pPr>
              <w:ind w:right="12"/>
              <w:jc w:val="center"/>
            </w:pPr>
            <w:r>
              <w:rPr>
                <w:rFonts w:ascii="Times New Roman" w:eastAsia="Times New Roman" w:hAnsi="Times New Roman" w:cs="Times New Roman"/>
                <w:sz w:val="16"/>
              </w:rPr>
              <w:t>2024-15040</w:t>
            </w:r>
          </w:p>
        </w:tc>
        <w:tc>
          <w:tcPr>
            <w:tcW w:w="1083" w:type="dxa"/>
            <w:tcBorders>
              <w:top w:val="single" w:sz="2" w:space="0" w:color="000000"/>
              <w:left w:val="single" w:sz="2" w:space="0" w:color="000000"/>
              <w:bottom w:val="single" w:sz="2" w:space="0" w:color="000000"/>
              <w:right w:val="single" w:sz="2" w:space="0" w:color="000000"/>
            </w:tcBorders>
          </w:tcPr>
          <w:p w14:paraId="7AB4730A" w14:textId="77777777" w:rsidR="00053D93" w:rsidRDefault="00260B75">
            <w:pPr>
              <w:spacing w:line="252" w:lineRule="auto"/>
              <w:ind w:right="7" w:firstLine="7"/>
              <w:jc w:val="both"/>
            </w:pPr>
            <w:r>
              <w:rPr>
                <w:sz w:val="16"/>
              </w:rPr>
              <w:t xml:space="preserve">Juego de Foam mat ancho 61 CM, </w:t>
            </w:r>
            <w:r>
              <w:rPr>
                <w:rFonts w:ascii="Times New Roman" w:eastAsia="Times New Roman" w:hAnsi="Times New Roman" w:cs="Times New Roman"/>
                <w:sz w:val="16"/>
              </w:rPr>
              <w:t xml:space="preserve">grosor 12 CM, </w:t>
            </w:r>
            <w:r>
              <w:rPr>
                <w:sz w:val="16"/>
              </w:rPr>
              <w:t>longitud 61</w:t>
            </w:r>
          </w:p>
          <w:p w14:paraId="77AE3958" w14:textId="77777777" w:rsidR="00053D93" w:rsidRDefault="00260B75">
            <w:r>
              <w:rPr>
                <w:rFonts w:ascii="Times New Roman" w:eastAsia="Times New Roman" w:hAnsi="Times New Roman" w:cs="Times New Roman"/>
                <w:sz w:val="14"/>
              </w:rPr>
              <w:t>CM</w:t>
            </w:r>
          </w:p>
        </w:tc>
        <w:tc>
          <w:tcPr>
            <w:tcW w:w="1257" w:type="dxa"/>
            <w:tcBorders>
              <w:top w:val="single" w:sz="2" w:space="0" w:color="000000"/>
              <w:left w:val="single" w:sz="2" w:space="0" w:color="000000"/>
              <w:bottom w:val="single" w:sz="2" w:space="0" w:color="000000"/>
              <w:right w:val="single" w:sz="2" w:space="0" w:color="000000"/>
            </w:tcBorders>
          </w:tcPr>
          <w:p w14:paraId="71DAE8C4" w14:textId="77777777" w:rsidR="00053D93" w:rsidRDefault="00260B75">
            <w:pPr>
              <w:ind w:right="7"/>
              <w:jc w:val="center"/>
            </w:pPr>
            <w:r>
              <w:rPr>
                <w:rFonts w:ascii="Times New Roman" w:eastAsia="Times New Roman" w:hAnsi="Times New Roman" w:cs="Times New Roman"/>
                <w:sz w:val="16"/>
              </w:rPr>
              <w:t>294</w:t>
            </w:r>
          </w:p>
        </w:tc>
        <w:tc>
          <w:tcPr>
            <w:tcW w:w="1080" w:type="dxa"/>
            <w:tcBorders>
              <w:top w:val="single" w:sz="2" w:space="0" w:color="000000"/>
              <w:left w:val="single" w:sz="2" w:space="0" w:color="000000"/>
              <w:bottom w:val="single" w:sz="2" w:space="0" w:color="000000"/>
              <w:right w:val="single" w:sz="2" w:space="0" w:color="000000"/>
            </w:tcBorders>
          </w:tcPr>
          <w:p w14:paraId="76209485" w14:textId="77777777" w:rsidR="00053D93" w:rsidRDefault="00260B75">
            <w:pPr>
              <w:ind w:right="19"/>
              <w:jc w:val="center"/>
            </w:pPr>
            <w:r>
              <w:rPr>
                <w:rFonts w:ascii="Times New Roman" w:eastAsia="Times New Roman" w:hAnsi="Times New Roman" w:cs="Times New Roman"/>
                <w:sz w:val="16"/>
              </w:rPr>
              <w:t>31/0512024</w:t>
            </w:r>
          </w:p>
        </w:tc>
        <w:tc>
          <w:tcPr>
            <w:tcW w:w="1080" w:type="dxa"/>
            <w:tcBorders>
              <w:top w:val="single" w:sz="2" w:space="0" w:color="000000"/>
              <w:left w:val="single" w:sz="2" w:space="0" w:color="000000"/>
              <w:bottom w:val="single" w:sz="2" w:space="0" w:color="000000"/>
              <w:right w:val="single" w:sz="2" w:space="0" w:color="000000"/>
            </w:tcBorders>
          </w:tcPr>
          <w:p w14:paraId="5AEEB31E" w14:textId="77777777" w:rsidR="00053D93" w:rsidRDefault="00260B75">
            <w:pPr>
              <w:ind w:right="12"/>
              <w:jc w:val="center"/>
            </w:pPr>
            <w:r>
              <w:rPr>
                <w:rFonts w:ascii="Times New Roman" w:eastAsia="Times New Roman" w:hAnsi="Times New Roman" w:cs="Times New Roman"/>
                <w:sz w:val="16"/>
              </w:rPr>
              <w:t>25</w:t>
            </w:r>
          </w:p>
        </w:tc>
        <w:tc>
          <w:tcPr>
            <w:tcW w:w="1075" w:type="dxa"/>
            <w:tcBorders>
              <w:top w:val="single" w:sz="2" w:space="0" w:color="000000"/>
              <w:left w:val="single" w:sz="2" w:space="0" w:color="000000"/>
              <w:bottom w:val="single" w:sz="2" w:space="0" w:color="000000"/>
              <w:right w:val="single" w:sz="2" w:space="0" w:color="000000"/>
            </w:tcBorders>
          </w:tcPr>
          <w:p w14:paraId="125A6908" w14:textId="77777777" w:rsidR="00053D93" w:rsidRDefault="00260B75">
            <w:pPr>
              <w:ind w:right="14"/>
              <w:jc w:val="right"/>
            </w:pPr>
            <w:r>
              <w:rPr>
                <w:rFonts w:ascii="Times New Roman" w:eastAsia="Times New Roman" w:hAnsi="Times New Roman" w:cs="Times New Roman"/>
                <w:sz w:val="16"/>
              </w:rPr>
              <w:t>2.175.00</w:t>
            </w:r>
          </w:p>
        </w:tc>
      </w:tr>
    </w:tbl>
    <w:tbl>
      <w:tblPr>
        <w:tblStyle w:val="TableGrid"/>
        <w:tblpPr w:vertAnchor="page" w:horzAnchor="page" w:tblpX="2827" w:tblpY="14436"/>
        <w:tblOverlap w:val="never"/>
        <w:tblW w:w="7664" w:type="dxa"/>
        <w:tblInd w:w="0" w:type="dxa"/>
        <w:tblCellMar>
          <w:top w:w="25" w:type="dxa"/>
          <w:left w:w="1774" w:type="dxa"/>
          <w:right w:w="115" w:type="dxa"/>
        </w:tblCellMar>
        <w:tblLook w:val="04A0" w:firstRow="1" w:lastRow="0" w:firstColumn="1" w:lastColumn="0" w:noHBand="0" w:noVBand="1"/>
      </w:tblPr>
      <w:tblGrid>
        <w:gridCol w:w="7664"/>
      </w:tblGrid>
      <w:tr w:rsidR="00053D93" w14:paraId="2A7A9B70" w14:textId="77777777">
        <w:trPr>
          <w:trHeight w:val="72"/>
        </w:trPr>
        <w:tc>
          <w:tcPr>
            <w:tcW w:w="7664" w:type="dxa"/>
            <w:tcBorders>
              <w:top w:val="nil"/>
              <w:left w:val="single" w:sz="2" w:space="0" w:color="000000"/>
              <w:bottom w:val="single" w:sz="2" w:space="0" w:color="000000"/>
              <w:right w:val="nil"/>
            </w:tcBorders>
          </w:tcPr>
          <w:p w14:paraId="00968BB7" w14:textId="77777777" w:rsidR="00053D93" w:rsidRDefault="00053D93"/>
        </w:tc>
      </w:tr>
      <w:tr w:rsidR="00053D93" w14:paraId="5D342BA8" w14:textId="77777777">
        <w:trPr>
          <w:trHeight w:val="569"/>
        </w:trPr>
        <w:tc>
          <w:tcPr>
            <w:tcW w:w="7664" w:type="dxa"/>
            <w:tcBorders>
              <w:top w:val="single" w:sz="2" w:space="0" w:color="000000"/>
              <w:left w:val="single" w:sz="2" w:space="0" w:color="000000"/>
              <w:bottom w:val="nil"/>
              <w:right w:val="nil"/>
            </w:tcBorders>
          </w:tcPr>
          <w:p w14:paraId="3CA9D4C1" w14:textId="77777777" w:rsidR="00053D93" w:rsidRDefault="00260B75">
            <w:pPr>
              <w:ind w:left="835"/>
            </w:pPr>
            <w:r>
              <w:rPr>
                <w:sz w:val="14"/>
              </w:rPr>
              <w:lastRenderedPageBreak/>
              <w:t>MINISTERIO EOIJCACION</w:t>
            </w:r>
          </w:p>
          <w:p w14:paraId="5A53D6E0" w14:textId="77777777" w:rsidR="00053D93" w:rsidRDefault="00260B75">
            <w:pPr>
              <w:ind w:left="338"/>
            </w:pPr>
            <w:r>
              <w:rPr>
                <w:sz w:val="14"/>
              </w:rPr>
              <w:t>AUDITORiA FINANCIERA Y DE CUMPLIMIENTO</w:t>
            </w:r>
          </w:p>
          <w:p w14:paraId="5D6740F7" w14:textId="77777777" w:rsidR="00053D93" w:rsidRDefault="00260B75">
            <w:r>
              <w:rPr>
                <w:sz w:val="16"/>
              </w:rPr>
              <w:t>PERiaDO DEL 01 OE ENERO AL 31 DE DICIEMBRE DE 2024</w:t>
            </w:r>
          </w:p>
        </w:tc>
      </w:tr>
    </w:tbl>
    <w:p w14:paraId="357BA366" w14:textId="77777777" w:rsidR="00053D93" w:rsidRDefault="00260B75">
      <w:pPr>
        <w:spacing w:after="17" w:line="247" w:lineRule="auto"/>
        <w:ind w:left="1634" w:right="14" w:firstLine="72"/>
        <w:jc w:val="both"/>
      </w:pPr>
      <w:r>
        <w:rPr>
          <w:noProof/>
        </w:rPr>
        <w:drawing>
          <wp:anchor distT="0" distB="0" distL="114300" distR="114300" simplePos="0" relativeHeight="252041216" behindDoc="0" locked="0" layoutInCell="1" allowOverlap="0" wp14:anchorId="71F0BAC6" wp14:editId="3B3A3EBB">
            <wp:simplePos x="0" y="0"/>
            <wp:positionH relativeFrom="page">
              <wp:posOffset>667512</wp:posOffset>
            </wp:positionH>
            <wp:positionV relativeFrom="page">
              <wp:posOffset>9162288</wp:posOffset>
            </wp:positionV>
            <wp:extent cx="1074420" cy="411480"/>
            <wp:effectExtent l="0" t="0" r="0" b="0"/>
            <wp:wrapTopAndBottom/>
            <wp:docPr id="592635" name="Picture 592635"/>
            <wp:cNvGraphicFramePr/>
            <a:graphic xmlns:a="http://schemas.openxmlformats.org/drawingml/2006/main">
              <a:graphicData uri="http://schemas.openxmlformats.org/drawingml/2006/picture">
                <pic:pic xmlns:pic="http://schemas.openxmlformats.org/drawingml/2006/picture">
                  <pic:nvPicPr>
                    <pic:cNvPr id="592635" name="Picture 592635"/>
                    <pic:cNvPicPr/>
                  </pic:nvPicPr>
                  <pic:blipFill>
                    <a:blip r:embed="rId887"/>
                    <a:stretch>
                      <a:fillRect/>
                    </a:stretch>
                  </pic:blipFill>
                  <pic:spPr>
                    <a:xfrm>
                      <a:off x="0" y="0"/>
                      <a:ext cx="1074420" cy="411480"/>
                    </a:xfrm>
                    <a:prstGeom prst="rect">
                      <a:avLst/>
                    </a:prstGeom>
                  </pic:spPr>
                </pic:pic>
              </a:graphicData>
            </a:graphic>
          </wp:anchor>
        </w:drawing>
      </w:r>
      <w:r>
        <w:rPr>
          <w:noProof/>
        </w:rPr>
        <w:drawing>
          <wp:anchor distT="0" distB="0" distL="114300" distR="114300" simplePos="0" relativeHeight="252042240" behindDoc="0" locked="0" layoutInCell="1" allowOverlap="0" wp14:anchorId="44856F10" wp14:editId="4E029E91">
            <wp:simplePos x="0" y="0"/>
            <wp:positionH relativeFrom="page">
              <wp:posOffset>6748272</wp:posOffset>
            </wp:positionH>
            <wp:positionV relativeFrom="page">
              <wp:posOffset>6812281</wp:posOffset>
            </wp:positionV>
            <wp:extent cx="9144" cy="18287"/>
            <wp:effectExtent l="0" t="0" r="0" b="0"/>
            <wp:wrapSquare wrapText="bothSides"/>
            <wp:docPr id="592536" name="Picture 592536"/>
            <wp:cNvGraphicFramePr/>
            <a:graphic xmlns:a="http://schemas.openxmlformats.org/drawingml/2006/main">
              <a:graphicData uri="http://schemas.openxmlformats.org/drawingml/2006/picture">
                <pic:pic xmlns:pic="http://schemas.openxmlformats.org/drawingml/2006/picture">
                  <pic:nvPicPr>
                    <pic:cNvPr id="592536" name="Picture 592536"/>
                    <pic:cNvPicPr/>
                  </pic:nvPicPr>
                  <pic:blipFill>
                    <a:blip r:embed="rId888"/>
                    <a:stretch>
                      <a:fillRect/>
                    </a:stretch>
                  </pic:blipFill>
                  <pic:spPr>
                    <a:xfrm>
                      <a:off x="0" y="0"/>
                      <a:ext cx="9144" cy="18287"/>
                    </a:xfrm>
                    <a:prstGeom prst="rect">
                      <a:avLst/>
                    </a:prstGeom>
                  </pic:spPr>
                </pic:pic>
              </a:graphicData>
            </a:graphic>
          </wp:anchor>
        </w:drawing>
      </w:r>
      <w:r>
        <w:rPr>
          <w:sz w:val="26"/>
        </w:rPr>
        <w:t>No. 10. Con relación a la existencia de almacén de 2000 Bolsas deportivas impermeables logotipo serigrafiado, fueron solicitadas el 17/05/2024 según requisición No. 2024-15026 la cantidad total de 2500 bolsas, habiendo ingresado al departamento de almacén el 07110/2024, fecha en la cual ya no fungía como Jefa de Sección de Recreación a.i., habiendo finalizado el cargo el 01/10/2024 según resolución -DIGEF- No. 292-2024 de fecha 02110/2024, debido a ello el seguimiento al proceso de entrega de las bolsas le corresponde al actual Jefe de Recreación Escolar. No. 1 1. Se solicitaron según requerimiento No. 2024-14861 de fecha 29/04/2024, la cantidad total de 10,000 jugos Tetrapak 200 ml sabor surtido, ingresando el 25/06/2024 al departamento de almacén, existiendo 1008 Jugos al 12/1 1/2024 según verificación física realizada por Contraloría General de Cuentas, de los cuáles ya egresaron de almacén el 22/1 1/2024 según formulario de despacho de almacén No. 38578 y entregados a los establecimientos educativos en las siguientes fechas No. 12. Se solicitaron según requerimiento No. 2024-15040 de fecha 08/05/2024 la cantidad de 800 Juegos de Foam mat ancho 61 cm, grosor 12 cm, longitud 61 cm, ingresaron el 26/07/2024 al departamento de almacén, existiendo 25 juegos de Foam 12/1 1/2024 según verificación física realizada por Contraloría General de Cuentas, de los cuáles ya egresaron de almacén el 22/11/2024 según formulario de despacho de almacén No. 38578 y entregados a los establecimientos educativos oficiales en las siguientes fechas. Es importante mencionar que los materiales y suministros se solicitaron por medio de requerimientos No. 2024-14861 de fecha 29/04/2024, ta cantidad total de 10,000 jugos Tetrapak 200 mi sabor surtido, ingresando el 25/06/2024 al departamento de</w:t>
      </w:r>
    </w:p>
    <w:p w14:paraId="633851F3" w14:textId="77777777" w:rsidR="00053D93" w:rsidRDefault="00260B75">
      <w:pPr>
        <w:tabs>
          <w:tab w:val="center" w:pos="3211"/>
          <w:tab w:val="center" w:pos="5915"/>
        </w:tabs>
        <w:spacing w:after="3" w:line="265" w:lineRule="auto"/>
        <w:ind w:left="-1"/>
      </w:pPr>
      <w:r>
        <w:rPr>
          <w:rFonts w:ascii="Times New Roman" w:eastAsia="Times New Roman" w:hAnsi="Times New Roman" w:cs="Times New Roman"/>
          <w:sz w:val="16"/>
        </w:rPr>
        <w:t>1</w:t>
      </w:r>
      <w:r>
        <w:rPr>
          <w:rFonts w:ascii="Times New Roman" w:eastAsia="Times New Roman" w:hAnsi="Times New Roman" w:cs="Times New Roman"/>
          <w:sz w:val="16"/>
        </w:rPr>
        <w:tab/>
      </w:r>
      <w:r>
        <w:rPr>
          <w:sz w:val="16"/>
        </w:rPr>
        <w:t xml:space="preserve">DE </w:t>
      </w:r>
      <w:r>
        <w:rPr>
          <w:sz w:val="16"/>
        </w:rPr>
        <w:tab/>
      </w:r>
      <w:r>
        <w:rPr>
          <w:rFonts w:ascii="Times New Roman" w:eastAsia="Times New Roman" w:hAnsi="Times New Roman" w:cs="Times New Roman"/>
          <w:sz w:val="16"/>
        </w:rPr>
        <w:t>126</w:t>
      </w:r>
    </w:p>
    <w:p w14:paraId="02ACC593" w14:textId="77777777" w:rsidR="00053D93" w:rsidRDefault="00260B75">
      <w:pPr>
        <w:spacing w:after="17" w:line="247" w:lineRule="auto"/>
        <w:ind w:left="14" w:right="14" w:firstLine="4"/>
        <w:jc w:val="both"/>
      </w:pPr>
      <w:r>
        <w:rPr>
          <w:noProof/>
        </w:rPr>
        <mc:AlternateContent>
          <mc:Choice Requires="wpg">
            <w:drawing>
              <wp:inline distT="0" distB="0" distL="0" distR="0" wp14:anchorId="5589EDC7" wp14:editId="2773C19D">
                <wp:extent cx="114300" cy="292608"/>
                <wp:effectExtent l="0" t="0" r="0" b="0"/>
                <wp:docPr id="2455947" name="Group 2455947"/>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593385" name="Rectangle 593385"/>
                        <wps:cNvSpPr/>
                        <wps:spPr>
                          <a:xfrm>
                            <a:off x="0" y="0"/>
                            <a:ext cx="152019" cy="389169"/>
                          </a:xfrm>
                          <a:prstGeom prst="rect">
                            <a:avLst/>
                          </a:prstGeom>
                          <a:ln>
                            <a:noFill/>
                          </a:ln>
                        </wps:spPr>
                        <wps:txbx>
                          <w:txbxContent>
                            <w:p w14:paraId="5AFA914D"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5589EDC7" id="Group 2455947" o:spid="_x0000_s1357"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">
                <v:rect id="Rectangle 593385" o:spid="_x0000_s1358"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" filled="f" stroked="f">
                  <v:textbox inset="0,0,0,0">
                    <w:txbxContent>
                      <w:p w14:paraId="5AFA914D"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almacén requerimiento No. 2024-15040 de fecha 08/05/2024 la cantidad total de 800 Juegos de Foam mat ancho 61 cm, grosor 12 cm, longitud 61 cm, ingresando el 26/07/2024, de los cuales se han entregado a los diferentes establecimientos </w:t>
      </w:r>
      <w:r>
        <w:rPr>
          <w:noProof/>
        </w:rPr>
        <mc:AlternateContent>
          <mc:Choice Requires="wpg">
            <w:drawing>
              <wp:inline distT="0" distB="0" distL="0" distR="0" wp14:anchorId="1ED7611B" wp14:editId="47B4FDB5">
                <wp:extent cx="114300" cy="288036"/>
                <wp:effectExtent l="0" t="0" r="0" b="0"/>
                <wp:docPr id="2455948" name="Group 2455948"/>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593386" name="Rectangle 593386"/>
                        <wps:cNvSpPr/>
                        <wps:spPr>
                          <a:xfrm>
                            <a:off x="0" y="0"/>
                            <a:ext cx="152019" cy="383088"/>
                          </a:xfrm>
                          <a:prstGeom prst="rect">
                            <a:avLst/>
                          </a:prstGeom>
                          <a:ln>
                            <a:noFill/>
                          </a:ln>
                        </wps:spPr>
                        <wps:txbx>
                          <w:txbxContent>
                            <w:p w14:paraId="2F9949AC"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1ED7611B" id="Group 2455948" o:spid="_x0000_s1359" style="width:9pt;height:22.7pt;mso-position-horizontal-relative:char;mso-position-vertical-relative:line"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">
                <v:rect id="Rectangle 593386" o:spid="_x0000_s1360"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" filled="f" stroked="f">
                  <v:textbox inset="0,0,0,0">
                    <w:txbxContent>
                      <w:p w14:paraId="2F9949AC"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educativos. Adicionalmente, durante el ciclo escolar 2024 finalizado en diciembre de 2024 según acuerdo ministerial aprobado, se cumplió con efectuar la entrega </w:t>
      </w:r>
      <w:r>
        <w:rPr>
          <w:rFonts w:ascii="Times New Roman" w:eastAsia="Times New Roman" w:hAnsi="Times New Roman" w:cs="Times New Roman"/>
          <w:sz w:val="26"/>
        </w:rPr>
        <w:t xml:space="preserve">1 </w:t>
      </w:r>
      <w:r>
        <w:rPr>
          <w:sz w:val="26"/>
        </w:rPr>
        <w:t xml:space="preserve">de los 1008 jugos Tetrapak 200 ml sabor surtido y 25 juegos de Foam, saldos determinados según verificación física realizada por Contraloría General de Cuentas el 12/1 1/2024. Luego de valorar, razonar y analizar los argumentos </w:t>
      </w:r>
      <w:r>
        <w:rPr>
          <w:rFonts w:ascii="Times New Roman" w:eastAsia="Times New Roman" w:hAnsi="Times New Roman" w:cs="Times New Roman"/>
          <w:sz w:val="26"/>
        </w:rPr>
        <w:t xml:space="preserve">1 </w:t>
      </w:r>
      <w:r>
        <w:rPr>
          <w:sz w:val="26"/>
        </w:rPr>
        <w:t>presentados, de forma JUSTA, OBJETIVA Y ECUÁNIME, de conformidad a</w:t>
      </w:r>
    </w:p>
    <w:p w14:paraId="39245A44" w14:textId="77777777" w:rsidR="00053D93" w:rsidRDefault="00260B75">
      <w:pPr>
        <w:spacing w:after="4" w:line="267" w:lineRule="auto"/>
        <w:ind w:left="18" w:right="21" w:hanging="4"/>
        <w:jc w:val="right"/>
      </w:pPr>
      <w:r>
        <w:rPr>
          <w:sz w:val="26"/>
        </w:rPr>
        <w:t>Normas Internacionales de Entidades Fiscalizadoras Superiores, adaptadas a</w:t>
      </w:r>
    </w:p>
    <w:p w14:paraId="42A7AF95" w14:textId="77777777" w:rsidR="00053D93" w:rsidRDefault="00260B75">
      <w:pPr>
        <w:spacing w:after="360" w:line="267" w:lineRule="auto"/>
        <w:ind w:left="18" w:right="21" w:hanging="4"/>
        <w:jc w:val="right"/>
      </w:pPr>
      <w:r>
        <w:rPr>
          <w:sz w:val="26"/>
        </w:rPr>
        <w:t>Guatemala -ISSAI.GT-, solicito respetuosamente al Equipo de Auditoria que se</w:t>
      </w:r>
    </w:p>
    <w:p w14:paraId="3607BF8C" w14:textId="77777777" w:rsidR="00053D93" w:rsidRDefault="00260B75">
      <w:pPr>
        <w:spacing w:after="17" w:line="371" w:lineRule="auto"/>
        <w:ind w:left="1706" w:right="14" w:hanging="1692"/>
        <w:jc w:val="both"/>
      </w:pPr>
      <w:r>
        <w:rPr>
          <w:rFonts w:ascii="Times New Roman" w:eastAsia="Times New Roman" w:hAnsi="Times New Roman" w:cs="Times New Roman"/>
          <w:sz w:val="26"/>
        </w:rPr>
        <w:lastRenderedPageBreak/>
        <w:t xml:space="preserve">1 </w:t>
      </w:r>
      <w:r>
        <w:rPr>
          <w:sz w:val="26"/>
        </w:rPr>
        <w:t>declare DESVANECIDO posible HALLAZGO No. 3 Falta de calidad del gasto por la utilización inoportuna de Equipo, materiales y suministros adquiridos",</w:t>
      </w:r>
    </w:p>
    <w:p w14:paraId="624C1E39" w14:textId="77777777" w:rsidR="00053D93" w:rsidRDefault="00260B75">
      <w:pPr>
        <w:spacing w:after="63" w:line="357" w:lineRule="auto"/>
        <w:ind w:left="1713" w:right="14" w:hanging="1699"/>
        <w:jc w:val="both"/>
      </w:pPr>
      <w:r>
        <w:rPr>
          <w:noProof/>
        </w:rPr>
        <w:drawing>
          <wp:inline distT="0" distB="0" distL="0" distR="0" wp14:anchorId="0575EBBD" wp14:editId="17E1631E">
            <wp:extent cx="13716" cy="13716"/>
            <wp:effectExtent l="0" t="0" r="0" b="0"/>
            <wp:docPr id="596502" name="Picture 596502"/>
            <wp:cNvGraphicFramePr/>
            <a:graphic xmlns:a="http://schemas.openxmlformats.org/drawingml/2006/main">
              <a:graphicData uri="http://schemas.openxmlformats.org/drawingml/2006/picture">
                <pic:pic xmlns:pic="http://schemas.openxmlformats.org/drawingml/2006/picture">
                  <pic:nvPicPr>
                    <pic:cNvPr id="596502" name="Picture 596502"/>
                    <pic:cNvPicPr/>
                  </pic:nvPicPr>
                  <pic:blipFill>
                    <a:blip r:embed="rId889"/>
                    <a:stretch>
                      <a:fillRect/>
                    </a:stretch>
                  </pic:blipFill>
                  <pic:spPr>
                    <a:xfrm>
                      <a:off x="0" y="0"/>
                      <a:ext cx="13716"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formulado en mi contra. Toda vez que en ningún momento se ocasionó menoscabo a los intereses del Estado y tampoco existió incumplimiento de los objetivos y metas institucionales, además por los argumentos, razones y</w:t>
      </w:r>
    </w:p>
    <w:p w14:paraId="1D304BAC" w14:textId="77777777" w:rsidR="00053D93" w:rsidRDefault="00260B75">
      <w:pPr>
        <w:spacing w:after="0" w:line="383" w:lineRule="auto"/>
        <w:ind w:left="10" w:right="7" w:hanging="10"/>
        <w:jc w:val="right"/>
      </w:pPr>
      <w:r>
        <w:rPr>
          <w:rFonts w:ascii="Times New Roman" w:eastAsia="Times New Roman" w:hAnsi="Times New Roman" w:cs="Times New Roman"/>
          <w:sz w:val="30"/>
        </w:rPr>
        <w:t>1</w:t>
      </w:r>
      <w:r>
        <w:rPr>
          <w:rFonts w:ascii="Times New Roman" w:eastAsia="Times New Roman" w:hAnsi="Times New Roman" w:cs="Times New Roman"/>
          <w:sz w:val="30"/>
        </w:rPr>
        <w:tab/>
      </w:r>
      <w:r>
        <w:rPr>
          <w:sz w:val="30"/>
        </w:rPr>
        <w:t>pruebas... SI SE DIO CUMPLIMIENTO A ENTREGA DE MATERIALES Y SUMINISTROS A LOS CENTROS EDUCATIVOS CORRESPONDIENTE AL</w:t>
      </w:r>
    </w:p>
    <w:p w14:paraId="60D3CC97" w14:textId="77777777" w:rsidR="00053D93" w:rsidRDefault="00260B75">
      <w:pPr>
        <w:pStyle w:val="Ttulo3"/>
        <w:spacing w:after="35"/>
        <w:ind w:left="1687" w:right="7"/>
      </w:pPr>
      <w:r>
        <w:rPr>
          <w:noProof/>
        </w:rPr>
        <w:drawing>
          <wp:anchor distT="0" distB="0" distL="114300" distR="114300" simplePos="0" relativeHeight="252043264" behindDoc="0" locked="0" layoutInCell="1" allowOverlap="0" wp14:anchorId="3CA424E1" wp14:editId="0027A150">
            <wp:simplePos x="0" y="0"/>
            <wp:positionH relativeFrom="column">
              <wp:posOffset>4572</wp:posOffset>
            </wp:positionH>
            <wp:positionV relativeFrom="paragraph">
              <wp:posOffset>105132</wp:posOffset>
            </wp:positionV>
            <wp:extent cx="9144" cy="4572"/>
            <wp:effectExtent l="0" t="0" r="0" b="0"/>
            <wp:wrapSquare wrapText="bothSides"/>
            <wp:docPr id="596503" name="Picture 596503"/>
            <wp:cNvGraphicFramePr/>
            <a:graphic xmlns:a="http://schemas.openxmlformats.org/drawingml/2006/main">
              <a:graphicData uri="http://schemas.openxmlformats.org/drawingml/2006/picture">
                <pic:pic xmlns:pic="http://schemas.openxmlformats.org/drawingml/2006/picture">
                  <pic:nvPicPr>
                    <pic:cNvPr id="596503" name="Picture 596503"/>
                    <pic:cNvPicPr/>
                  </pic:nvPicPr>
                  <pic:blipFill>
                    <a:blip r:embed="rId24"/>
                    <a:stretch>
                      <a:fillRect/>
                    </a:stretch>
                  </pic:blipFill>
                  <pic:spPr>
                    <a:xfrm>
                      <a:off x="0" y="0"/>
                      <a:ext cx="9144" cy="4572"/>
                    </a:xfrm>
                    <a:prstGeom prst="rect">
                      <a:avLst/>
                    </a:prstGeom>
                  </pic:spPr>
                </pic:pic>
              </a:graphicData>
            </a:graphic>
          </wp:anchor>
        </w:drawing>
      </w:r>
      <w:r>
        <w:t>CICLO ESCOLAR 2024... 'l</w:t>
      </w:r>
    </w:p>
    <w:p w14:paraId="385CA528" w14:textId="77777777" w:rsidR="00053D93" w:rsidRDefault="00260B75">
      <w:pPr>
        <w:spacing w:after="3" w:line="265" w:lineRule="auto"/>
        <w:ind w:left="60" w:right="65" w:hanging="10"/>
      </w:pPr>
      <w:r>
        <w:rPr>
          <w:rFonts w:ascii="Times New Roman" w:eastAsia="Times New Roman" w:hAnsi="Times New Roman" w:cs="Times New Roman"/>
          <w:sz w:val="66"/>
        </w:rPr>
        <w:t>1</w:t>
      </w:r>
    </w:p>
    <w:tbl>
      <w:tblPr>
        <w:tblStyle w:val="TableGrid"/>
        <w:tblpPr w:vertAnchor="page" w:horzAnchor="page" w:tblpX="2820" w:tblpY="14472"/>
        <w:tblOverlap w:val="never"/>
        <w:tblW w:w="7664" w:type="dxa"/>
        <w:tblInd w:w="0" w:type="dxa"/>
        <w:tblCellMar>
          <w:top w:w="31" w:type="dxa"/>
          <w:left w:w="1774" w:type="dxa"/>
          <w:right w:w="115" w:type="dxa"/>
        </w:tblCellMar>
        <w:tblLook w:val="04A0" w:firstRow="1" w:lastRow="0" w:firstColumn="1" w:lastColumn="0" w:noHBand="0" w:noVBand="1"/>
      </w:tblPr>
      <w:tblGrid>
        <w:gridCol w:w="7664"/>
      </w:tblGrid>
      <w:tr w:rsidR="00053D93" w14:paraId="7DAC1D87" w14:textId="77777777">
        <w:trPr>
          <w:trHeight w:val="55"/>
        </w:trPr>
        <w:tc>
          <w:tcPr>
            <w:tcW w:w="7664" w:type="dxa"/>
            <w:tcBorders>
              <w:top w:val="nil"/>
              <w:left w:val="single" w:sz="2" w:space="0" w:color="000000"/>
              <w:bottom w:val="single" w:sz="2" w:space="0" w:color="000000"/>
              <w:right w:val="nil"/>
            </w:tcBorders>
          </w:tcPr>
          <w:p w14:paraId="5538C360" w14:textId="77777777" w:rsidR="00053D93" w:rsidRDefault="00053D93"/>
        </w:tc>
      </w:tr>
      <w:tr w:rsidR="00053D93" w14:paraId="42B3A754" w14:textId="77777777">
        <w:trPr>
          <w:trHeight w:val="579"/>
        </w:trPr>
        <w:tc>
          <w:tcPr>
            <w:tcW w:w="7664" w:type="dxa"/>
            <w:tcBorders>
              <w:top w:val="single" w:sz="2" w:space="0" w:color="000000"/>
              <w:left w:val="single" w:sz="2" w:space="0" w:color="000000"/>
              <w:bottom w:val="nil"/>
              <w:right w:val="nil"/>
            </w:tcBorders>
          </w:tcPr>
          <w:p w14:paraId="4EF5B436" w14:textId="77777777" w:rsidR="00053D93" w:rsidRDefault="00260B75">
            <w:pPr>
              <w:ind w:left="842"/>
            </w:pPr>
            <w:r>
              <w:rPr>
                <w:sz w:val="14"/>
              </w:rPr>
              <w:lastRenderedPageBreak/>
              <w:t>MINISTERIO DE EDUCACION</w:t>
            </w:r>
          </w:p>
          <w:p w14:paraId="430F524F" w14:textId="77777777" w:rsidR="00053D93" w:rsidRDefault="00260B75">
            <w:pPr>
              <w:ind w:left="346"/>
            </w:pPr>
            <w:r>
              <w:rPr>
                <w:sz w:val="14"/>
              </w:rPr>
              <w:t>AUDITORIA FINANCIERA Y DE CUMPLIMIENTO</w:t>
            </w:r>
          </w:p>
          <w:p w14:paraId="3DD5809C" w14:textId="77777777" w:rsidR="00053D93" w:rsidRDefault="00260B75">
            <w:r>
              <w:rPr>
                <w:sz w:val="14"/>
              </w:rPr>
              <w:t>FERIOOO DEL Dl DE ENERO AL 31 DE DICIEMBRE DE 2024</w:t>
            </w:r>
          </w:p>
        </w:tc>
      </w:tr>
    </w:tbl>
    <w:p w14:paraId="01272660" w14:textId="77777777" w:rsidR="00053D93" w:rsidRDefault="00260B75">
      <w:pPr>
        <w:spacing w:after="17" w:line="304" w:lineRule="auto"/>
        <w:ind w:left="14" w:right="14" w:firstLine="1649"/>
        <w:jc w:val="both"/>
      </w:pPr>
      <w:r>
        <w:rPr>
          <w:noProof/>
        </w:rPr>
        <w:drawing>
          <wp:anchor distT="0" distB="0" distL="114300" distR="114300" simplePos="0" relativeHeight="252044288" behindDoc="0" locked="0" layoutInCell="1" allowOverlap="0" wp14:anchorId="0B6417D0" wp14:editId="19F23E50">
            <wp:simplePos x="0" y="0"/>
            <wp:positionH relativeFrom="page">
              <wp:posOffset>667512</wp:posOffset>
            </wp:positionH>
            <wp:positionV relativeFrom="page">
              <wp:posOffset>9185148</wp:posOffset>
            </wp:positionV>
            <wp:extent cx="1065276" cy="402337"/>
            <wp:effectExtent l="0" t="0" r="0" b="0"/>
            <wp:wrapTopAndBottom/>
            <wp:docPr id="596551" name="Picture 596551"/>
            <wp:cNvGraphicFramePr/>
            <a:graphic xmlns:a="http://schemas.openxmlformats.org/drawingml/2006/main">
              <a:graphicData uri="http://schemas.openxmlformats.org/drawingml/2006/picture">
                <pic:pic xmlns:pic="http://schemas.openxmlformats.org/drawingml/2006/picture">
                  <pic:nvPicPr>
                    <pic:cNvPr id="596551" name="Picture 596551"/>
                    <pic:cNvPicPr/>
                  </pic:nvPicPr>
                  <pic:blipFill>
                    <a:blip r:embed="rId890"/>
                    <a:stretch>
                      <a:fillRect/>
                    </a:stretch>
                  </pic:blipFill>
                  <pic:spPr>
                    <a:xfrm>
                      <a:off x="0" y="0"/>
                      <a:ext cx="1065276" cy="402337"/>
                    </a:xfrm>
                    <a:prstGeom prst="rect">
                      <a:avLst/>
                    </a:prstGeom>
                  </pic:spPr>
                </pic:pic>
              </a:graphicData>
            </a:graphic>
          </wp:anchor>
        </w:drawing>
      </w:r>
      <w:r>
        <w:rPr>
          <w:noProof/>
        </w:rPr>
        <w:drawing>
          <wp:anchor distT="0" distB="0" distL="114300" distR="114300" simplePos="0" relativeHeight="252045312" behindDoc="0" locked="0" layoutInCell="1" allowOverlap="0" wp14:anchorId="7D4D4A4E" wp14:editId="19289FB1">
            <wp:simplePos x="0" y="0"/>
            <wp:positionH relativeFrom="page">
              <wp:posOffset>201168</wp:posOffset>
            </wp:positionH>
            <wp:positionV relativeFrom="page">
              <wp:posOffset>8046720</wp:posOffset>
            </wp:positionV>
            <wp:extent cx="4572" cy="4573"/>
            <wp:effectExtent l="0" t="0" r="0" b="0"/>
            <wp:wrapSquare wrapText="bothSides"/>
            <wp:docPr id="596510" name="Picture 596510"/>
            <wp:cNvGraphicFramePr/>
            <a:graphic xmlns:a="http://schemas.openxmlformats.org/drawingml/2006/main">
              <a:graphicData uri="http://schemas.openxmlformats.org/drawingml/2006/picture">
                <pic:pic xmlns:pic="http://schemas.openxmlformats.org/drawingml/2006/picture">
                  <pic:nvPicPr>
                    <pic:cNvPr id="596510" name="Picture 596510"/>
                    <pic:cNvPicPr/>
                  </pic:nvPicPr>
                  <pic:blipFill>
                    <a:blip r:embed="rId845"/>
                    <a:stretch>
                      <a:fillRect/>
                    </a:stretch>
                  </pic:blipFill>
                  <pic:spPr>
                    <a:xfrm>
                      <a:off x="0" y="0"/>
                      <a:ext cx="4572" cy="4573"/>
                    </a:xfrm>
                    <a:prstGeom prst="rect">
                      <a:avLst/>
                    </a:prstGeom>
                  </pic:spPr>
                </pic:pic>
              </a:graphicData>
            </a:graphic>
          </wp:anchor>
        </w:drawing>
      </w:r>
      <w:r>
        <w:rPr>
          <w:sz w:val="26"/>
        </w:rPr>
        <w:t xml:space="preserve">En oficio No. INJUD-1 1 1-2025, del 10 de abril de 2025, el licenciado William </w:t>
      </w:r>
      <w:r>
        <w:rPr>
          <w:rFonts w:ascii="Times New Roman" w:eastAsia="Times New Roman" w:hAnsi="Times New Roman" w:cs="Times New Roman"/>
          <w:sz w:val="26"/>
        </w:rPr>
        <w:t xml:space="preserve">1 </w:t>
      </w:r>
      <w:r>
        <w:rPr>
          <w:sz w:val="26"/>
        </w:rPr>
        <w:t xml:space="preserve">Fernando Salguero Hernández, Jefe Sección INJUDES, manifiesta: En </w:t>
      </w:r>
      <w:r>
        <w:rPr>
          <w:noProof/>
        </w:rPr>
        <w:drawing>
          <wp:inline distT="0" distB="0" distL="0" distR="0" wp14:anchorId="46830338" wp14:editId="2B1F64D8">
            <wp:extent cx="13716" cy="9144"/>
            <wp:effectExtent l="0" t="0" r="0" b="0"/>
            <wp:docPr id="596504" name="Picture 596504"/>
            <wp:cNvGraphicFramePr/>
            <a:graphic xmlns:a="http://schemas.openxmlformats.org/drawingml/2006/main">
              <a:graphicData uri="http://schemas.openxmlformats.org/drawingml/2006/picture">
                <pic:pic xmlns:pic="http://schemas.openxmlformats.org/drawingml/2006/picture">
                  <pic:nvPicPr>
                    <pic:cNvPr id="596504" name="Picture 596504"/>
                    <pic:cNvPicPr/>
                  </pic:nvPicPr>
                  <pic:blipFill>
                    <a:blip r:embed="rId891"/>
                    <a:stretch>
                      <a:fillRect/>
                    </a:stretch>
                  </pic:blipFill>
                  <pic:spPr>
                    <a:xfrm>
                      <a:off x="0" y="0"/>
                      <a:ext cx="13716" cy="9144"/>
                    </a:xfrm>
                    <a:prstGeom prst="rect">
                      <a:avLst/>
                    </a:prstGeom>
                  </pic:spPr>
                </pic:pic>
              </a:graphicData>
            </a:graphic>
          </wp:inline>
        </w:drawing>
      </w:r>
      <w:r>
        <w:rPr>
          <w:sz w:val="26"/>
        </w:rPr>
        <w:t xml:space="preserve"> respuesta a la nueva solicitud de información de la auditoria 86293 de Ref. Gest.</w:t>
      </w:r>
    </w:p>
    <w:p w14:paraId="55F7D0B8" w14:textId="77777777" w:rsidR="00053D93" w:rsidRDefault="00260B75">
      <w:pPr>
        <w:spacing w:after="17" w:line="247" w:lineRule="auto"/>
        <w:ind w:left="1678" w:right="14" w:firstLine="4"/>
        <w:jc w:val="both"/>
      </w:pPr>
      <w:r>
        <w:rPr>
          <w:sz w:val="26"/>
        </w:rPr>
        <w:t>36092 con fecha 2 de Abril 2025, donde solicita un informe circunstanciado sobre</w:t>
      </w:r>
    </w:p>
    <w:p w14:paraId="1F0F0441" w14:textId="77777777" w:rsidR="00053D93" w:rsidRDefault="00260B75">
      <w:pPr>
        <w:spacing w:after="52"/>
      </w:pPr>
      <w:r>
        <w:rPr>
          <w:noProof/>
        </w:rPr>
        <w:drawing>
          <wp:inline distT="0" distB="0" distL="0" distR="0" wp14:anchorId="6E6C82B7" wp14:editId="53DF94ED">
            <wp:extent cx="9144" cy="4572"/>
            <wp:effectExtent l="0" t="0" r="0" b="0"/>
            <wp:docPr id="596505" name="Picture 596505"/>
            <wp:cNvGraphicFramePr/>
            <a:graphic xmlns:a="http://schemas.openxmlformats.org/drawingml/2006/main">
              <a:graphicData uri="http://schemas.openxmlformats.org/drawingml/2006/picture">
                <pic:pic xmlns:pic="http://schemas.openxmlformats.org/drawingml/2006/picture">
                  <pic:nvPicPr>
                    <pic:cNvPr id="596505" name="Picture 596505"/>
                    <pic:cNvPicPr/>
                  </pic:nvPicPr>
                  <pic:blipFill>
                    <a:blip r:embed="rId24"/>
                    <a:stretch>
                      <a:fillRect/>
                    </a:stretch>
                  </pic:blipFill>
                  <pic:spPr>
                    <a:xfrm>
                      <a:off x="0" y="0"/>
                      <a:ext cx="9144" cy="4572"/>
                    </a:xfrm>
                    <a:prstGeom prst="rect">
                      <a:avLst/>
                    </a:prstGeom>
                  </pic:spPr>
                </pic:pic>
              </a:graphicData>
            </a:graphic>
          </wp:inline>
        </w:drawing>
      </w:r>
    </w:p>
    <w:p w14:paraId="1E22F5A7" w14:textId="77777777" w:rsidR="00053D93" w:rsidRDefault="00260B75">
      <w:pPr>
        <w:spacing w:after="17" w:line="295" w:lineRule="auto"/>
        <w:ind w:left="14" w:right="14" w:firstLine="50"/>
        <w:jc w:val="both"/>
      </w:pPr>
      <w:r>
        <w:rPr>
          <w:rFonts w:ascii="Times New Roman" w:eastAsia="Times New Roman" w:hAnsi="Times New Roman" w:cs="Times New Roman"/>
          <w:sz w:val="26"/>
        </w:rPr>
        <w:t xml:space="preserve">1 </w:t>
      </w:r>
      <w:r>
        <w:rPr>
          <w:sz w:val="26"/>
        </w:rPr>
        <w:t xml:space="preserve">las compras de implementos deportivos para el proyecto del deporte de Hockey Sobre Césped, que son los siguientes insumos: 2024-23291 Palo de Stick de 35.5 </w:t>
      </w:r>
      <w:r>
        <w:rPr>
          <w:noProof/>
        </w:rPr>
        <w:drawing>
          <wp:inline distT="0" distB="0" distL="0" distR="0" wp14:anchorId="4361180C" wp14:editId="7EE456ED">
            <wp:extent cx="18288" cy="9144"/>
            <wp:effectExtent l="0" t="0" r="0" b="0"/>
            <wp:docPr id="596506" name="Picture 596506"/>
            <wp:cNvGraphicFramePr/>
            <a:graphic xmlns:a="http://schemas.openxmlformats.org/drawingml/2006/main">
              <a:graphicData uri="http://schemas.openxmlformats.org/drawingml/2006/picture">
                <pic:pic xmlns:pic="http://schemas.openxmlformats.org/drawingml/2006/picture">
                  <pic:nvPicPr>
                    <pic:cNvPr id="596506" name="Picture 596506"/>
                    <pic:cNvPicPr/>
                  </pic:nvPicPr>
                  <pic:blipFill>
                    <a:blip r:embed="rId844"/>
                    <a:stretch>
                      <a:fillRect/>
                    </a:stretch>
                  </pic:blipFill>
                  <pic:spPr>
                    <a:xfrm>
                      <a:off x="0" y="0"/>
                      <a:ext cx="18288" cy="9144"/>
                    </a:xfrm>
                    <a:prstGeom prst="rect">
                      <a:avLst/>
                    </a:prstGeom>
                  </pic:spPr>
                </pic:pic>
              </a:graphicData>
            </a:graphic>
          </wp:inline>
        </w:drawing>
      </w:r>
      <w:r>
        <w:rPr>
          <w:sz w:val="26"/>
        </w:rPr>
        <w:t xml:space="preserve"> pulgadas y 2024-23146 trajes de portero de hockey talla S y 2024-21324 Gelatina </w:t>
      </w:r>
      <w:r>
        <w:rPr>
          <w:rFonts w:ascii="Times New Roman" w:eastAsia="Times New Roman" w:hAnsi="Times New Roman" w:cs="Times New Roman"/>
          <w:sz w:val="26"/>
        </w:rPr>
        <w:t xml:space="preserve">1 </w:t>
      </w:r>
      <w:r>
        <w:rPr>
          <w:sz w:val="26"/>
        </w:rPr>
        <w:t xml:space="preserve">clase sin azúcar y alta en proteína. Respecto a las gelatinas clase sin azúcar y alta en proteína se tenía programado en el POA 2024 para el mes de agosto, debido a </w:t>
      </w:r>
      <w:r>
        <w:rPr>
          <w:noProof/>
        </w:rPr>
        <w:drawing>
          <wp:inline distT="0" distB="0" distL="0" distR="0" wp14:anchorId="18E7C8BF" wp14:editId="0F0D0A9A">
            <wp:extent cx="13716" cy="9144"/>
            <wp:effectExtent l="0" t="0" r="0" b="0"/>
            <wp:docPr id="596507" name="Picture 596507"/>
            <wp:cNvGraphicFramePr/>
            <a:graphic xmlns:a="http://schemas.openxmlformats.org/drawingml/2006/main">
              <a:graphicData uri="http://schemas.openxmlformats.org/drawingml/2006/picture">
                <pic:pic xmlns:pic="http://schemas.openxmlformats.org/drawingml/2006/picture">
                  <pic:nvPicPr>
                    <pic:cNvPr id="596507" name="Picture 596507"/>
                    <pic:cNvPicPr/>
                  </pic:nvPicPr>
                  <pic:blipFill>
                    <a:blip r:embed="rId49"/>
                    <a:stretch>
                      <a:fillRect/>
                    </a:stretch>
                  </pic:blipFill>
                  <pic:spPr>
                    <a:xfrm>
                      <a:off x="0" y="0"/>
                      <a:ext cx="13716"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que se le iba a proporcionar a los jóvenes y señoritas participantes en la conmemoración del día de la juventud (12 de agosto) y 50 años del -INJUD- y se habían ofrecido una degustación a los participantes de las diferentes actividades</w:t>
      </w:r>
    </w:p>
    <w:p w14:paraId="3E36B872" w14:textId="77777777" w:rsidR="00053D93" w:rsidRDefault="00260B75">
      <w:pPr>
        <w:spacing w:after="51"/>
        <w:ind w:left="-29"/>
      </w:pPr>
      <w:r>
        <w:rPr>
          <w:noProof/>
        </w:rPr>
        <w:drawing>
          <wp:inline distT="0" distB="0" distL="0" distR="0" wp14:anchorId="025C66CD" wp14:editId="2DE08A6F">
            <wp:extent cx="36576" cy="9144"/>
            <wp:effectExtent l="0" t="0" r="0" b="0"/>
            <wp:docPr id="596508" name="Picture 596508"/>
            <wp:cNvGraphicFramePr/>
            <a:graphic xmlns:a="http://schemas.openxmlformats.org/drawingml/2006/main">
              <a:graphicData uri="http://schemas.openxmlformats.org/drawingml/2006/picture">
                <pic:pic xmlns:pic="http://schemas.openxmlformats.org/drawingml/2006/picture">
                  <pic:nvPicPr>
                    <pic:cNvPr id="596508" name="Picture 596508"/>
                    <pic:cNvPicPr/>
                  </pic:nvPicPr>
                  <pic:blipFill>
                    <a:blip r:embed="rId892"/>
                    <a:stretch>
                      <a:fillRect/>
                    </a:stretch>
                  </pic:blipFill>
                  <pic:spPr>
                    <a:xfrm>
                      <a:off x="0" y="0"/>
                      <a:ext cx="36576" cy="9144"/>
                    </a:xfrm>
                    <a:prstGeom prst="rect">
                      <a:avLst/>
                    </a:prstGeom>
                  </pic:spPr>
                </pic:pic>
              </a:graphicData>
            </a:graphic>
          </wp:inline>
        </w:drawing>
      </w:r>
    </w:p>
    <w:p w14:paraId="544ED0C5" w14:textId="77777777" w:rsidR="00053D93" w:rsidRDefault="00260B75">
      <w:pPr>
        <w:spacing w:after="17" w:line="407" w:lineRule="auto"/>
        <w:ind w:left="1627" w:right="14" w:hanging="1613"/>
        <w:jc w:val="both"/>
      </w:pPr>
      <w:r>
        <w:rPr>
          <w:rFonts w:ascii="Times New Roman" w:eastAsia="Times New Roman" w:hAnsi="Times New Roman" w:cs="Times New Roman"/>
          <w:sz w:val="26"/>
        </w:rPr>
        <w:t xml:space="preserve">1 </w:t>
      </w:r>
      <w:r>
        <w:rPr>
          <w:sz w:val="26"/>
        </w:rPr>
        <w:t>dentro del Instituto de la Juventud y el deporte por ello se dio a la tarea de solicitar de nuevo las degustaciones, pero debido a que las autoridades: Licenciado Willy</w:t>
      </w:r>
    </w:p>
    <w:p w14:paraId="6EABE9DC" w14:textId="77777777" w:rsidR="00053D93" w:rsidRDefault="00260B75">
      <w:pPr>
        <w:spacing w:after="17" w:line="247" w:lineRule="auto"/>
        <w:ind w:left="14" w:right="14" w:firstLine="1685"/>
        <w:jc w:val="both"/>
      </w:pPr>
      <w:r>
        <w:rPr>
          <w:sz w:val="26"/>
        </w:rPr>
        <w:t xml:space="preserve">Rene Gil Quiñonez Director General, Licenciada Irma Elizabet Woltke San José </w:t>
      </w:r>
      <w:r>
        <w:rPr>
          <w:rFonts w:ascii="Times New Roman" w:eastAsia="Times New Roman" w:hAnsi="Times New Roman" w:cs="Times New Roman"/>
          <w:sz w:val="26"/>
        </w:rPr>
        <w:t xml:space="preserve">1 </w:t>
      </w:r>
      <w:r>
        <w:rPr>
          <w:sz w:val="26"/>
        </w:rPr>
        <w:t xml:space="preserve">Subdirectora Metodológica y el Coordinador del área extracurricular a.i. Juan Carlos Abac, no estaban de acuerdo con dichas actividades y compras para el </w:t>
      </w:r>
      <w:r>
        <w:rPr>
          <w:noProof/>
        </w:rPr>
        <w:drawing>
          <wp:inline distT="0" distB="0" distL="0" distR="0" wp14:anchorId="1A2B9481" wp14:editId="14ECCA9E">
            <wp:extent cx="27432" cy="9144"/>
            <wp:effectExtent l="0" t="0" r="0" b="0"/>
            <wp:docPr id="596509" name="Picture 596509"/>
            <wp:cNvGraphicFramePr/>
            <a:graphic xmlns:a="http://schemas.openxmlformats.org/drawingml/2006/main">
              <a:graphicData uri="http://schemas.openxmlformats.org/drawingml/2006/picture">
                <pic:pic xmlns:pic="http://schemas.openxmlformats.org/drawingml/2006/picture">
                  <pic:nvPicPr>
                    <pic:cNvPr id="596509" name="Picture 596509"/>
                    <pic:cNvPicPr/>
                  </pic:nvPicPr>
                  <pic:blipFill>
                    <a:blip r:embed="rId893"/>
                    <a:stretch>
                      <a:fillRect/>
                    </a:stretch>
                  </pic:blipFill>
                  <pic:spPr>
                    <a:xfrm>
                      <a:off x="0" y="0"/>
                      <a:ext cx="27432"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Instituto de la Juventud y el Deporte -INJUD-, es por ello que se solicitó a la Licda. Carolina Rivas jefa de compras el 23/08/2024 Oficio INJUD No. 247-2024 ampliación de fecha para adquirir dichos insumos durante el tercer cuatrimestre, </w:t>
      </w:r>
      <w:r>
        <w:rPr>
          <w:rFonts w:ascii="Times New Roman" w:eastAsia="Times New Roman" w:hAnsi="Times New Roman" w:cs="Times New Roman"/>
          <w:sz w:val="26"/>
        </w:rPr>
        <w:t xml:space="preserve">1 </w:t>
      </w:r>
      <w:r>
        <w:rPr>
          <w:sz w:val="26"/>
        </w:rPr>
        <w:t>donde no hubo respuesta positiva y no recibieron dicho oficio, se hace un segundo</w:t>
      </w:r>
    </w:p>
    <w:p w14:paraId="54378406" w14:textId="77777777" w:rsidR="00053D93" w:rsidRDefault="00260B75">
      <w:pPr>
        <w:spacing w:after="17" w:line="247" w:lineRule="auto"/>
        <w:ind w:left="1642" w:right="14" w:firstLine="4"/>
        <w:jc w:val="both"/>
      </w:pPr>
      <w:r>
        <w:rPr>
          <w:sz w:val="26"/>
        </w:rPr>
        <w:t>intento el 17/09/2024 con Oficio INJUD No. 323-2024 y quedo en firmas con el coordinador extracurricular a.i. Juan Carlos Abac atrasando de nuevo el proceso</w:t>
      </w:r>
    </w:p>
    <w:p w14:paraId="70D0B19E" w14:textId="77777777" w:rsidR="00053D93" w:rsidRDefault="00260B75">
      <w:pPr>
        <w:spacing w:after="3"/>
        <w:ind w:left="10" w:right="3485" w:hanging="10"/>
      </w:pPr>
      <w:r>
        <w:rPr>
          <w:rFonts w:ascii="Times New Roman" w:eastAsia="Times New Roman" w:hAnsi="Times New Roman" w:cs="Times New Roman"/>
          <w:sz w:val="70"/>
        </w:rPr>
        <w:t>1</w:t>
      </w:r>
    </w:p>
    <w:p w14:paraId="113AF9A1" w14:textId="77777777" w:rsidR="00053D93" w:rsidRDefault="00260B75">
      <w:pPr>
        <w:spacing w:after="21"/>
        <w:ind w:left="1678"/>
      </w:pPr>
      <w:r>
        <w:rPr>
          <w:noProof/>
        </w:rPr>
        <mc:AlternateContent>
          <mc:Choice Requires="wpg">
            <w:drawing>
              <wp:inline distT="0" distB="0" distL="0" distR="0" wp14:anchorId="5B25DA40" wp14:editId="5632B4B2">
                <wp:extent cx="5385816" cy="9144"/>
                <wp:effectExtent l="0" t="0" r="0" b="0"/>
                <wp:docPr id="2458487" name="Group 2458487"/>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486" name="Shape 2458486"/>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87" style="width:424.08pt;height:0.720005pt;mso-position-horizontal-relative:char;mso-position-vertical-relative:line" coordsize="53858,91">
                <v:shape id="Shape 2458486" style="position:absolute;width:53858;height:91;left:0;top:0;" coordsize="5385816,9144" path="m0,4572l5385816,4572">
                  <v:stroke weight="0.720005pt" endcap="flat" joinstyle="miter" miterlimit="1" on="true" color="#000000"/>
                  <v:fill on="false" color="#000000"/>
                </v:shape>
              </v:group>
            </w:pict>
          </mc:Fallback>
        </mc:AlternateContent>
      </w:r>
    </w:p>
    <w:p w14:paraId="1E875973" w14:textId="77777777" w:rsidR="00053D93" w:rsidRDefault="00260B75">
      <w:pPr>
        <w:spacing w:after="17" w:line="302" w:lineRule="auto"/>
        <w:ind w:left="14" w:right="14" w:firstLine="4"/>
        <w:jc w:val="both"/>
      </w:pPr>
      <w:r>
        <w:rPr>
          <w:rFonts w:ascii="Times New Roman" w:eastAsia="Times New Roman" w:hAnsi="Times New Roman" w:cs="Times New Roman"/>
          <w:sz w:val="26"/>
        </w:rPr>
        <w:t xml:space="preserve">1 </w:t>
      </w:r>
      <w:r>
        <w:rPr>
          <w:sz w:val="26"/>
        </w:rPr>
        <w:t xml:space="preserve">por lo que ya no Se logró la ampliaci6n. Por tal razón a lo antes mencionado se realizó los cambios de PAC según correlativo No. INJUD-5-2024 de fecha 411 0/2025 con No. de Resolución 316-2024 donde refleja que se tenía programado </w:t>
      </w:r>
      <w:r>
        <w:rPr>
          <w:rFonts w:ascii="Times New Roman" w:eastAsia="Times New Roman" w:hAnsi="Times New Roman" w:cs="Times New Roman"/>
          <w:sz w:val="26"/>
        </w:rPr>
        <w:t xml:space="preserve">1 </w:t>
      </w:r>
      <w:r>
        <w:rPr>
          <w:sz w:val="26"/>
        </w:rPr>
        <w:t>las gelatinas en el mes de agosto, pero observando que las autoridades desde</w:t>
      </w:r>
    </w:p>
    <w:p w14:paraId="497F60F3" w14:textId="77777777" w:rsidR="00053D93" w:rsidRDefault="00260B75">
      <w:pPr>
        <w:spacing w:after="17" w:line="314" w:lineRule="auto"/>
        <w:ind w:left="14" w:right="14" w:firstLine="1685"/>
        <w:jc w:val="both"/>
      </w:pPr>
      <w:r>
        <w:rPr>
          <w:sz w:val="26"/>
        </w:rPr>
        <w:lastRenderedPageBreak/>
        <w:t xml:space="preserve">Dirección hasta Compras no apoyaron a las solicitudes antes mencionadas, por tal </w:t>
      </w:r>
      <w:r>
        <w:rPr>
          <w:rFonts w:ascii="Times New Roman" w:eastAsia="Times New Roman" w:hAnsi="Times New Roman" w:cs="Times New Roman"/>
          <w:sz w:val="26"/>
        </w:rPr>
        <w:t xml:space="preserve">1 </w:t>
      </w:r>
      <w:r>
        <w:rPr>
          <w:sz w:val="26"/>
        </w:rPr>
        <w:t>razón se re-programó para el mes de Noviembre. Con el cambio de autoridades el M.Sc. Edgar Estuardo Rodríguez López Director General en Funciones, M.Sc. Gladys Maite Rojas Coordinadora Extracurricular y Licda. Claudia Acevedo jefa de</w:t>
      </w:r>
    </w:p>
    <w:p w14:paraId="36B731C1" w14:textId="77777777" w:rsidR="00053D93" w:rsidRDefault="00260B75">
      <w:pPr>
        <w:spacing w:after="6"/>
        <w:ind w:left="-7"/>
      </w:pPr>
      <w:r>
        <w:rPr>
          <w:noProof/>
        </w:rPr>
        <w:drawing>
          <wp:inline distT="0" distB="0" distL="0" distR="0" wp14:anchorId="724AFCA2" wp14:editId="41CAC93D">
            <wp:extent cx="4572" cy="9144"/>
            <wp:effectExtent l="0" t="0" r="0" b="0"/>
            <wp:docPr id="600707" name="Picture 600707"/>
            <wp:cNvGraphicFramePr/>
            <a:graphic xmlns:a="http://schemas.openxmlformats.org/drawingml/2006/main">
              <a:graphicData uri="http://schemas.openxmlformats.org/drawingml/2006/picture">
                <pic:pic xmlns:pic="http://schemas.openxmlformats.org/drawingml/2006/picture">
                  <pic:nvPicPr>
                    <pic:cNvPr id="600707" name="Picture 600707"/>
                    <pic:cNvPicPr/>
                  </pic:nvPicPr>
                  <pic:blipFill>
                    <a:blip r:embed="rId24"/>
                    <a:stretch>
                      <a:fillRect/>
                    </a:stretch>
                  </pic:blipFill>
                  <pic:spPr>
                    <a:xfrm>
                      <a:off x="0" y="0"/>
                      <a:ext cx="4572" cy="9144"/>
                    </a:xfrm>
                    <a:prstGeom prst="rect">
                      <a:avLst/>
                    </a:prstGeom>
                  </pic:spPr>
                </pic:pic>
              </a:graphicData>
            </a:graphic>
          </wp:inline>
        </w:drawing>
      </w:r>
    </w:p>
    <w:p w14:paraId="2CFC8D09" w14:textId="77777777" w:rsidR="00053D93" w:rsidRDefault="00260B75">
      <w:pPr>
        <w:spacing w:after="40" w:line="247" w:lineRule="auto"/>
        <w:ind w:left="14" w:right="14" w:firstLine="4"/>
        <w:jc w:val="both"/>
      </w:pPr>
      <w:r>
        <w:rPr>
          <w:noProof/>
        </w:rPr>
        <w:drawing>
          <wp:anchor distT="0" distB="0" distL="114300" distR="114300" simplePos="0" relativeHeight="252046336" behindDoc="0" locked="0" layoutInCell="1" allowOverlap="0" wp14:anchorId="1B9702B4" wp14:editId="0B4F6931">
            <wp:simplePos x="0" y="0"/>
            <wp:positionH relativeFrom="column">
              <wp:posOffset>-9143</wp:posOffset>
            </wp:positionH>
            <wp:positionV relativeFrom="paragraph">
              <wp:posOffset>494338</wp:posOffset>
            </wp:positionV>
            <wp:extent cx="9144" cy="22860"/>
            <wp:effectExtent l="0" t="0" r="0" b="0"/>
            <wp:wrapSquare wrapText="bothSides"/>
            <wp:docPr id="600708" name="Picture 600708"/>
            <wp:cNvGraphicFramePr/>
            <a:graphic xmlns:a="http://schemas.openxmlformats.org/drawingml/2006/main">
              <a:graphicData uri="http://schemas.openxmlformats.org/drawingml/2006/picture">
                <pic:pic xmlns:pic="http://schemas.openxmlformats.org/drawingml/2006/picture">
                  <pic:nvPicPr>
                    <pic:cNvPr id="600708" name="Picture 600708"/>
                    <pic:cNvPicPr/>
                  </pic:nvPicPr>
                  <pic:blipFill>
                    <a:blip r:embed="rId894"/>
                    <a:stretch>
                      <a:fillRect/>
                    </a:stretch>
                  </pic:blipFill>
                  <pic:spPr>
                    <a:xfrm>
                      <a:off x="0" y="0"/>
                      <a:ext cx="9144" cy="22860"/>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compras a.i., se procede hacer el último intento para la compra de gelatinas, donde se ven anuentes dichas autoridades para agilizar todo el proceso por lo que el 27/10/2024 con Oficio INJIJD No. 387-2024 se solicita la ampliación de fecha </w:t>
      </w:r>
      <w:r>
        <w:rPr>
          <w:rFonts w:ascii="Times New Roman" w:eastAsia="Times New Roman" w:hAnsi="Times New Roman" w:cs="Times New Roman"/>
          <w:sz w:val="26"/>
        </w:rPr>
        <w:t xml:space="preserve">1 </w:t>
      </w:r>
      <w:r>
        <w:rPr>
          <w:sz w:val="26"/>
        </w:rPr>
        <w:t>para adquirir insumos ya realizado los cambios pertinentes en el PAC, fue recibido por compras el 1 1/1 1/2024. El requerimiento 2024-21324 ingreso a compras el 14 de noviembre por lo que se lo trasladan a [a técnico Marlen Eunice Orantes, por lo que sube la adjudicación a Guatecompras el 2011 1/2024 y finaliza el proceso el 2711 1/2024, ingresando a almacén el 09 de diciembre del 2024, por la</w:t>
      </w:r>
    </w:p>
    <w:p w14:paraId="6FBB5687" w14:textId="77777777" w:rsidR="00053D93" w:rsidRDefault="00260B75">
      <w:pPr>
        <w:spacing w:after="32"/>
        <w:ind w:left="-14"/>
      </w:pPr>
      <w:r>
        <w:rPr>
          <w:noProof/>
        </w:rPr>
        <w:drawing>
          <wp:inline distT="0" distB="0" distL="0" distR="0" wp14:anchorId="00834051" wp14:editId="464709CA">
            <wp:extent cx="13716" cy="13716"/>
            <wp:effectExtent l="0" t="0" r="0" b="0"/>
            <wp:docPr id="600709" name="Picture 600709"/>
            <wp:cNvGraphicFramePr/>
            <a:graphic xmlns:a="http://schemas.openxmlformats.org/drawingml/2006/main">
              <a:graphicData uri="http://schemas.openxmlformats.org/drawingml/2006/picture">
                <pic:pic xmlns:pic="http://schemas.openxmlformats.org/drawingml/2006/picture">
                  <pic:nvPicPr>
                    <pic:cNvPr id="600709" name="Picture 600709"/>
                    <pic:cNvPicPr/>
                  </pic:nvPicPr>
                  <pic:blipFill>
                    <a:blip r:embed="rId895"/>
                    <a:stretch>
                      <a:fillRect/>
                    </a:stretch>
                  </pic:blipFill>
                  <pic:spPr>
                    <a:xfrm>
                      <a:off x="0" y="0"/>
                      <a:ext cx="13716" cy="13716"/>
                    </a:xfrm>
                    <a:prstGeom prst="rect">
                      <a:avLst/>
                    </a:prstGeom>
                  </pic:spPr>
                </pic:pic>
              </a:graphicData>
            </a:graphic>
          </wp:inline>
        </w:drawing>
      </w:r>
    </w:p>
    <w:tbl>
      <w:tblPr>
        <w:tblStyle w:val="TableGrid"/>
        <w:tblpPr w:vertAnchor="page" w:horzAnchor="page" w:tblpX="2805" w:tblpY="14450"/>
        <w:tblOverlap w:val="never"/>
        <w:tblW w:w="7635" w:type="dxa"/>
        <w:tblInd w:w="0" w:type="dxa"/>
        <w:tblCellMar>
          <w:top w:w="25" w:type="dxa"/>
          <w:left w:w="1745" w:type="dxa"/>
          <w:right w:w="115" w:type="dxa"/>
        </w:tblCellMar>
        <w:tblLook w:val="04A0" w:firstRow="1" w:lastRow="0" w:firstColumn="1" w:lastColumn="0" w:noHBand="0" w:noVBand="1"/>
      </w:tblPr>
      <w:tblGrid>
        <w:gridCol w:w="7635"/>
      </w:tblGrid>
      <w:tr w:rsidR="00053D93" w14:paraId="1479FA80" w14:textId="77777777">
        <w:trPr>
          <w:trHeight w:val="65"/>
        </w:trPr>
        <w:tc>
          <w:tcPr>
            <w:tcW w:w="7635" w:type="dxa"/>
            <w:tcBorders>
              <w:top w:val="nil"/>
              <w:left w:val="single" w:sz="2" w:space="0" w:color="000000"/>
              <w:bottom w:val="single" w:sz="2" w:space="0" w:color="000000"/>
              <w:right w:val="nil"/>
            </w:tcBorders>
          </w:tcPr>
          <w:p w14:paraId="00F36518" w14:textId="77777777" w:rsidR="00053D93" w:rsidRDefault="00053D93"/>
        </w:tc>
      </w:tr>
      <w:tr w:rsidR="00053D93" w14:paraId="0CA5576B" w14:textId="77777777">
        <w:trPr>
          <w:trHeight w:val="569"/>
        </w:trPr>
        <w:tc>
          <w:tcPr>
            <w:tcW w:w="7635" w:type="dxa"/>
            <w:tcBorders>
              <w:top w:val="single" w:sz="2" w:space="0" w:color="000000"/>
              <w:left w:val="single" w:sz="2" w:space="0" w:color="000000"/>
              <w:bottom w:val="nil"/>
              <w:right w:val="nil"/>
            </w:tcBorders>
          </w:tcPr>
          <w:p w14:paraId="268BBD7F" w14:textId="77777777" w:rsidR="00053D93" w:rsidRDefault="00260B75">
            <w:pPr>
              <w:ind w:left="835"/>
            </w:pPr>
            <w:r>
              <w:rPr>
                <w:sz w:val="14"/>
              </w:rPr>
              <w:lastRenderedPageBreak/>
              <w:t>MINISTERIO OE EDUCACION</w:t>
            </w:r>
          </w:p>
          <w:p w14:paraId="59F16A91" w14:textId="77777777" w:rsidR="00053D93" w:rsidRDefault="00260B75">
            <w:pPr>
              <w:ind w:left="338"/>
            </w:pPr>
            <w:r>
              <w:rPr>
                <w:sz w:val="14"/>
              </w:rPr>
              <w:t>AUDITORIA FINANCIERA Y DE CUMPLIMIENTO</w:t>
            </w:r>
          </w:p>
          <w:p w14:paraId="1D92326E" w14:textId="77777777" w:rsidR="00053D93" w:rsidRDefault="00260B75">
            <w:r>
              <w:rPr>
                <w:sz w:val="14"/>
              </w:rPr>
              <w:t>PERIODO DEI. 01 DE ENERO AL 31 DE DICIEMBRE DE 2024</w:t>
            </w:r>
          </w:p>
        </w:tc>
      </w:tr>
    </w:tbl>
    <w:p w14:paraId="3E1752DA" w14:textId="77777777" w:rsidR="00053D93" w:rsidRDefault="00260B75">
      <w:pPr>
        <w:spacing w:after="46" w:line="247" w:lineRule="auto"/>
        <w:ind w:left="14" w:right="14" w:firstLine="50"/>
        <w:jc w:val="both"/>
      </w:pPr>
      <w:r>
        <w:rPr>
          <w:noProof/>
        </w:rPr>
        <w:drawing>
          <wp:anchor distT="0" distB="0" distL="114300" distR="114300" simplePos="0" relativeHeight="252047360" behindDoc="0" locked="0" layoutInCell="1" allowOverlap="0" wp14:anchorId="2E4F6439" wp14:editId="36C4BBD8">
            <wp:simplePos x="0" y="0"/>
            <wp:positionH relativeFrom="page">
              <wp:posOffset>635508</wp:posOffset>
            </wp:positionH>
            <wp:positionV relativeFrom="page">
              <wp:posOffset>9166860</wp:posOffset>
            </wp:positionV>
            <wp:extent cx="1124712" cy="411480"/>
            <wp:effectExtent l="0" t="0" r="0" b="0"/>
            <wp:wrapTopAndBottom/>
            <wp:docPr id="600754" name="Picture 600754"/>
            <wp:cNvGraphicFramePr/>
            <a:graphic xmlns:a="http://schemas.openxmlformats.org/drawingml/2006/main">
              <a:graphicData uri="http://schemas.openxmlformats.org/drawingml/2006/picture">
                <pic:pic xmlns:pic="http://schemas.openxmlformats.org/drawingml/2006/picture">
                  <pic:nvPicPr>
                    <pic:cNvPr id="600754" name="Picture 600754"/>
                    <pic:cNvPicPr/>
                  </pic:nvPicPr>
                  <pic:blipFill>
                    <a:blip r:embed="rId896"/>
                    <a:stretch>
                      <a:fillRect/>
                    </a:stretch>
                  </pic:blipFill>
                  <pic:spPr>
                    <a:xfrm>
                      <a:off x="0" y="0"/>
                      <a:ext cx="1124712" cy="411480"/>
                    </a:xfrm>
                    <a:prstGeom prst="rect">
                      <a:avLst/>
                    </a:prstGeom>
                  </pic:spPr>
                </pic:pic>
              </a:graphicData>
            </a:graphic>
          </wp:anchor>
        </w:drawing>
      </w:r>
      <w:r>
        <w:rPr>
          <w:noProof/>
        </w:rPr>
        <w:drawing>
          <wp:anchor distT="0" distB="0" distL="114300" distR="114300" simplePos="0" relativeHeight="252048384" behindDoc="0" locked="0" layoutInCell="1" allowOverlap="0" wp14:anchorId="34671ED8" wp14:editId="731701FB">
            <wp:simplePos x="0" y="0"/>
            <wp:positionH relativeFrom="page">
              <wp:posOffset>178308</wp:posOffset>
            </wp:positionH>
            <wp:positionV relativeFrom="page">
              <wp:posOffset>8033004</wp:posOffset>
            </wp:positionV>
            <wp:extent cx="22860" cy="9144"/>
            <wp:effectExtent l="0" t="0" r="0" b="0"/>
            <wp:wrapSquare wrapText="bothSides"/>
            <wp:docPr id="600717" name="Picture 600717"/>
            <wp:cNvGraphicFramePr/>
            <a:graphic xmlns:a="http://schemas.openxmlformats.org/drawingml/2006/main">
              <a:graphicData uri="http://schemas.openxmlformats.org/drawingml/2006/picture">
                <pic:pic xmlns:pic="http://schemas.openxmlformats.org/drawingml/2006/picture">
                  <pic:nvPicPr>
                    <pic:cNvPr id="600717" name="Picture 600717"/>
                    <pic:cNvPicPr/>
                  </pic:nvPicPr>
                  <pic:blipFill>
                    <a:blip r:embed="rId897"/>
                    <a:stretch>
                      <a:fillRect/>
                    </a:stretch>
                  </pic:blipFill>
                  <pic:spPr>
                    <a:xfrm>
                      <a:off x="0" y="0"/>
                      <a:ext cx="22860" cy="9144"/>
                    </a:xfrm>
                    <a:prstGeom prst="rect">
                      <a:avLst/>
                    </a:prstGeom>
                  </pic:spPr>
                </pic:pic>
              </a:graphicData>
            </a:graphic>
          </wp:anchor>
        </w:drawing>
      </w:r>
      <w:r>
        <w:rPr>
          <w:noProof/>
        </w:rPr>
        <w:drawing>
          <wp:anchor distT="0" distB="0" distL="114300" distR="114300" simplePos="0" relativeHeight="252049408" behindDoc="0" locked="0" layoutInCell="1" allowOverlap="0" wp14:anchorId="54B3FF41" wp14:editId="1854513C">
            <wp:simplePos x="0" y="0"/>
            <wp:positionH relativeFrom="page">
              <wp:posOffset>182880</wp:posOffset>
            </wp:positionH>
            <wp:positionV relativeFrom="page">
              <wp:posOffset>8549640</wp:posOffset>
            </wp:positionV>
            <wp:extent cx="13716" cy="9144"/>
            <wp:effectExtent l="0" t="0" r="0" b="0"/>
            <wp:wrapTopAndBottom/>
            <wp:docPr id="600719" name="Picture 600719"/>
            <wp:cNvGraphicFramePr/>
            <a:graphic xmlns:a="http://schemas.openxmlformats.org/drawingml/2006/main">
              <a:graphicData uri="http://schemas.openxmlformats.org/drawingml/2006/picture">
                <pic:pic xmlns:pic="http://schemas.openxmlformats.org/drawingml/2006/picture">
                  <pic:nvPicPr>
                    <pic:cNvPr id="600719" name="Picture 600719"/>
                    <pic:cNvPicPr/>
                  </pic:nvPicPr>
                  <pic:blipFill>
                    <a:blip r:embed="rId898"/>
                    <a:stretch>
                      <a:fillRect/>
                    </a:stretch>
                  </pic:blipFill>
                  <pic:spPr>
                    <a:xfrm>
                      <a:off x="0" y="0"/>
                      <a:ext cx="13716" cy="9144"/>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temporalidad en que ingreso ya no había actividades con los delegados departamentales a nivel nacional, por tal razón se procede a resguardar dicho </w:t>
      </w:r>
      <w:r>
        <w:rPr>
          <w:noProof/>
        </w:rPr>
        <w:drawing>
          <wp:inline distT="0" distB="0" distL="0" distR="0" wp14:anchorId="75BD1E7F" wp14:editId="7347D4B6">
            <wp:extent cx="22860" cy="22860"/>
            <wp:effectExtent l="0" t="0" r="0" b="0"/>
            <wp:docPr id="600710" name="Picture 600710"/>
            <wp:cNvGraphicFramePr/>
            <a:graphic xmlns:a="http://schemas.openxmlformats.org/drawingml/2006/main">
              <a:graphicData uri="http://schemas.openxmlformats.org/drawingml/2006/picture">
                <pic:pic xmlns:pic="http://schemas.openxmlformats.org/drawingml/2006/picture">
                  <pic:nvPicPr>
                    <pic:cNvPr id="600710" name="Picture 600710"/>
                    <pic:cNvPicPr/>
                  </pic:nvPicPr>
                  <pic:blipFill>
                    <a:blip r:embed="rId899"/>
                    <a:stretch>
                      <a:fillRect/>
                    </a:stretch>
                  </pic:blipFill>
                  <pic:spPr>
                    <a:xfrm>
                      <a:off x="0" y="0"/>
                      <a:ext cx="22860" cy="22860"/>
                    </a:xfrm>
                    <a:prstGeom prst="rect">
                      <a:avLst/>
                    </a:prstGeom>
                  </pic:spPr>
                </pic:pic>
              </a:graphicData>
            </a:graphic>
          </wp:inline>
        </w:drawing>
      </w:r>
      <w:r>
        <w:rPr>
          <w:sz w:val="26"/>
        </w:rPr>
        <w:t xml:space="preserve"> insumo en almacén. Para Hockey sobre césped, se realizaron los requerimientos </w:t>
      </w:r>
      <w:r>
        <w:rPr>
          <w:rFonts w:ascii="Times New Roman" w:eastAsia="Times New Roman" w:hAnsi="Times New Roman" w:cs="Times New Roman"/>
          <w:sz w:val="26"/>
        </w:rPr>
        <w:t xml:space="preserve">1 </w:t>
      </w:r>
      <w:r>
        <w:rPr>
          <w:sz w:val="26"/>
        </w:rPr>
        <w:t xml:space="preserve">para la compra cuando estaban las (autoridades anteriormente expuestas) siendo el Licenciado Willy Rene Gil Hernández Director General, la Licenciada Irma </w:t>
      </w:r>
      <w:r>
        <w:rPr>
          <w:noProof/>
        </w:rPr>
        <w:drawing>
          <wp:inline distT="0" distB="0" distL="0" distR="0" wp14:anchorId="25B83D95" wp14:editId="281F5386">
            <wp:extent cx="22860" cy="13716"/>
            <wp:effectExtent l="0" t="0" r="0" b="0"/>
            <wp:docPr id="600711" name="Picture 600711"/>
            <wp:cNvGraphicFramePr/>
            <a:graphic xmlns:a="http://schemas.openxmlformats.org/drawingml/2006/main">
              <a:graphicData uri="http://schemas.openxmlformats.org/drawingml/2006/picture">
                <pic:pic xmlns:pic="http://schemas.openxmlformats.org/drawingml/2006/picture">
                  <pic:nvPicPr>
                    <pic:cNvPr id="600711" name="Picture 600711"/>
                    <pic:cNvPicPr/>
                  </pic:nvPicPr>
                  <pic:blipFill>
                    <a:blip r:embed="rId857"/>
                    <a:stretch>
                      <a:fillRect/>
                    </a:stretch>
                  </pic:blipFill>
                  <pic:spPr>
                    <a:xfrm>
                      <a:off x="0" y="0"/>
                      <a:ext cx="22860"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Elizabet Woltke San José Subdirectora Metodológica, el Coordinador del área</w:t>
      </w:r>
    </w:p>
    <w:p w14:paraId="1FD24AC4" w14:textId="77777777" w:rsidR="00053D93" w:rsidRDefault="00260B75">
      <w:pPr>
        <w:spacing w:after="17" w:line="247" w:lineRule="auto"/>
        <w:ind w:left="1649" w:right="14" w:firstLine="4"/>
        <w:jc w:val="both"/>
      </w:pPr>
      <w:r>
        <w:rPr>
          <w:sz w:val="26"/>
        </w:rPr>
        <w:t>extracurricular a.i. Juan Carlos Abac a quienes se estuvo solicitando la compra desde el 1 1 de julio, siendo un proceso largo de 2 a 3 meses donde compras</w:t>
      </w:r>
    </w:p>
    <w:p w14:paraId="618B0550" w14:textId="77777777" w:rsidR="00053D93" w:rsidRDefault="00260B75">
      <w:pPr>
        <w:spacing w:after="48"/>
        <w:ind w:left="-36"/>
      </w:pPr>
      <w:r>
        <w:rPr>
          <w:noProof/>
        </w:rPr>
        <w:drawing>
          <wp:inline distT="0" distB="0" distL="0" distR="0" wp14:anchorId="54D3FFB7" wp14:editId="6405E69F">
            <wp:extent cx="27432" cy="13716"/>
            <wp:effectExtent l="0" t="0" r="0" b="0"/>
            <wp:docPr id="600712" name="Picture 600712"/>
            <wp:cNvGraphicFramePr/>
            <a:graphic xmlns:a="http://schemas.openxmlformats.org/drawingml/2006/main">
              <a:graphicData uri="http://schemas.openxmlformats.org/drawingml/2006/picture">
                <pic:pic xmlns:pic="http://schemas.openxmlformats.org/drawingml/2006/picture">
                  <pic:nvPicPr>
                    <pic:cNvPr id="600712" name="Picture 600712"/>
                    <pic:cNvPicPr/>
                  </pic:nvPicPr>
                  <pic:blipFill>
                    <a:blip r:embed="rId900"/>
                    <a:stretch>
                      <a:fillRect/>
                    </a:stretch>
                  </pic:blipFill>
                  <pic:spPr>
                    <a:xfrm>
                      <a:off x="0" y="0"/>
                      <a:ext cx="27432" cy="13716"/>
                    </a:xfrm>
                    <a:prstGeom prst="rect">
                      <a:avLst/>
                    </a:prstGeom>
                  </pic:spPr>
                </pic:pic>
              </a:graphicData>
            </a:graphic>
          </wp:inline>
        </w:drawing>
      </w:r>
    </w:p>
    <w:p w14:paraId="2D57AC2D" w14:textId="77777777" w:rsidR="00053D93" w:rsidRDefault="00260B75">
      <w:pPr>
        <w:spacing w:after="17" w:line="324" w:lineRule="auto"/>
        <w:ind w:left="-50" w:right="14" w:firstLine="72"/>
        <w:jc w:val="both"/>
      </w:pPr>
      <w:r>
        <w:rPr>
          <w:rFonts w:ascii="Times New Roman" w:eastAsia="Times New Roman" w:hAnsi="Times New Roman" w:cs="Times New Roman"/>
          <w:sz w:val="26"/>
        </w:rPr>
        <w:t xml:space="preserve">1 </w:t>
      </w:r>
      <w:r>
        <w:rPr>
          <w:sz w:val="26"/>
        </w:rPr>
        <w:t xml:space="preserve">solicito una extensión de tiempo para realizar dichas compras, el día 4 de octubre de 2024 nos informan que será anulada [a compra porque no hubo oferentes, por </w:t>
      </w:r>
      <w:r>
        <w:rPr>
          <w:noProof/>
        </w:rPr>
        <w:drawing>
          <wp:inline distT="0" distB="0" distL="0" distR="0" wp14:anchorId="516D451E" wp14:editId="68016431">
            <wp:extent cx="32004" cy="13716"/>
            <wp:effectExtent l="0" t="0" r="0" b="0"/>
            <wp:docPr id="600713" name="Picture 600713"/>
            <wp:cNvGraphicFramePr/>
            <a:graphic xmlns:a="http://schemas.openxmlformats.org/drawingml/2006/main">
              <a:graphicData uri="http://schemas.openxmlformats.org/drawingml/2006/picture">
                <pic:pic xmlns:pic="http://schemas.openxmlformats.org/drawingml/2006/picture">
                  <pic:nvPicPr>
                    <pic:cNvPr id="600713" name="Picture 600713"/>
                    <pic:cNvPicPr/>
                  </pic:nvPicPr>
                  <pic:blipFill>
                    <a:blip r:embed="rId901"/>
                    <a:stretch>
                      <a:fillRect/>
                    </a:stretch>
                  </pic:blipFill>
                  <pic:spPr>
                    <a:xfrm>
                      <a:off x="0" y="0"/>
                      <a:ext cx="32004" cy="13716"/>
                    </a:xfrm>
                    <a:prstGeom prst="rect">
                      <a:avLst/>
                    </a:prstGeom>
                  </pic:spPr>
                </pic:pic>
              </a:graphicData>
            </a:graphic>
          </wp:inline>
        </w:drawing>
      </w:r>
      <w:r>
        <w:rPr>
          <w:sz w:val="26"/>
        </w:rPr>
        <w:t xml:space="preserve"> la analista Licenciada Norma Ramírez, por tal motivo se volvió a solicitar la </w:t>
      </w:r>
      <w:r>
        <w:rPr>
          <w:rFonts w:ascii="Times New Roman" w:eastAsia="Times New Roman" w:hAnsi="Times New Roman" w:cs="Times New Roman"/>
          <w:sz w:val="26"/>
        </w:rPr>
        <w:t xml:space="preserve">1 </w:t>
      </w:r>
      <w:r>
        <w:rPr>
          <w:sz w:val="26"/>
        </w:rPr>
        <w:t xml:space="preserve">compra, con fecha de anulación antes mencionada. Por cambio de autoridades administrativas, tomando posesión el subdirector administrativo como director el </w:t>
      </w:r>
      <w:r>
        <w:rPr>
          <w:noProof/>
        </w:rPr>
        <w:drawing>
          <wp:inline distT="0" distB="0" distL="0" distR="0" wp14:anchorId="186D92E8" wp14:editId="3EA97F5C">
            <wp:extent cx="36576" cy="18288"/>
            <wp:effectExtent l="0" t="0" r="0" b="0"/>
            <wp:docPr id="600714" name="Picture 600714"/>
            <wp:cNvGraphicFramePr/>
            <a:graphic xmlns:a="http://schemas.openxmlformats.org/drawingml/2006/main">
              <a:graphicData uri="http://schemas.openxmlformats.org/drawingml/2006/picture">
                <pic:pic xmlns:pic="http://schemas.openxmlformats.org/drawingml/2006/picture">
                  <pic:nvPicPr>
                    <pic:cNvPr id="600714" name="Picture 600714"/>
                    <pic:cNvPicPr/>
                  </pic:nvPicPr>
                  <pic:blipFill>
                    <a:blip r:embed="rId902"/>
                    <a:stretch>
                      <a:fillRect/>
                    </a:stretch>
                  </pic:blipFill>
                  <pic:spPr>
                    <a:xfrm>
                      <a:off x="0" y="0"/>
                      <a:ext cx="36576" cy="18288"/>
                    </a:xfrm>
                    <a:prstGeom prst="rect">
                      <a:avLst/>
                    </a:prstGeom>
                  </pic:spPr>
                </pic:pic>
              </a:graphicData>
            </a:graphic>
          </wp:inline>
        </w:drawing>
      </w:r>
      <w:r>
        <w:rPr>
          <w:rFonts w:ascii="Times New Roman" w:eastAsia="Times New Roman" w:hAnsi="Times New Roman" w:cs="Times New Roman"/>
          <w:sz w:val="26"/>
        </w:rPr>
        <w:t xml:space="preserve">1 </w:t>
      </w:r>
      <w:r>
        <w:rPr>
          <w:sz w:val="26"/>
        </w:rPr>
        <w:t>Lic. Edgar Estuardo Rodríguez López y se logró la compra de dicho material, para poder recibirlo el 8 de noviembre de 2024, aunque las actividades estaban a punto de terminar, ya que el ciclo escolar terminaba el 15 de noviembre, aun así se logró</w:t>
      </w:r>
    </w:p>
    <w:p w14:paraId="1774F339" w14:textId="77777777" w:rsidR="00053D93" w:rsidRDefault="00260B75">
      <w:pPr>
        <w:spacing w:after="44"/>
        <w:ind w:left="-65"/>
      </w:pPr>
      <w:r>
        <w:rPr>
          <w:noProof/>
        </w:rPr>
        <w:drawing>
          <wp:inline distT="0" distB="0" distL="0" distR="0" wp14:anchorId="0787C54A" wp14:editId="7EA86BB0">
            <wp:extent cx="50292" cy="18288"/>
            <wp:effectExtent l="0" t="0" r="0" b="0"/>
            <wp:docPr id="600715" name="Picture 600715"/>
            <wp:cNvGraphicFramePr/>
            <a:graphic xmlns:a="http://schemas.openxmlformats.org/drawingml/2006/main">
              <a:graphicData uri="http://schemas.openxmlformats.org/drawingml/2006/picture">
                <pic:pic xmlns:pic="http://schemas.openxmlformats.org/drawingml/2006/picture">
                  <pic:nvPicPr>
                    <pic:cNvPr id="600715" name="Picture 600715"/>
                    <pic:cNvPicPr/>
                  </pic:nvPicPr>
                  <pic:blipFill>
                    <a:blip r:embed="rId903"/>
                    <a:stretch>
                      <a:fillRect/>
                    </a:stretch>
                  </pic:blipFill>
                  <pic:spPr>
                    <a:xfrm>
                      <a:off x="0" y="0"/>
                      <a:ext cx="50292" cy="18288"/>
                    </a:xfrm>
                    <a:prstGeom prst="rect">
                      <a:avLst/>
                    </a:prstGeom>
                  </pic:spPr>
                </pic:pic>
              </a:graphicData>
            </a:graphic>
          </wp:inline>
        </w:drawing>
      </w:r>
    </w:p>
    <w:p w14:paraId="7CA38002" w14:textId="77777777" w:rsidR="00053D93" w:rsidRDefault="00260B75">
      <w:pPr>
        <w:spacing w:after="250" w:line="344" w:lineRule="auto"/>
        <w:ind w:left="-65" w:right="79" w:firstLine="94"/>
        <w:jc w:val="both"/>
      </w:pPr>
      <w:r>
        <w:rPr>
          <w:rFonts w:ascii="Times New Roman" w:eastAsia="Times New Roman" w:hAnsi="Times New Roman" w:cs="Times New Roman"/>
          <w:sz w:val="26"/>
        </w:rPr>
        <w:t xml:space="preserve">1 </w:t>
      </w:r>
      <w:r>
        <w:rPr>
          <w:sz w:val="26"/>
        </w:rPr>
        <w:t xml:space="preserve">la compra y se recibió el insumo en fecha 16 de diciembre, para esa fecha ya nos encontrábamos de vacaciones para poder implementar a los delegados y equipos </w:t>
      </w:r>
      <w:r>
        <w:rPr>
          <w:noProof/>
        </w:rPr>
        <w:drawing>
          <wp:inline distT="0" distB="0" distL="0" distR="0" wp14:anchorId="1E384DE7" wp14:editId="71116045">
            <wp:extent cx="45720" cy="13716"/>
            <wp:effectExtent l="0" t="0" r="0" b="0"/>
            <wp:docPr id="600716" name="Picture 600716"/>
            <wp:cNvGraphicFramePr/>
            <a:graphic xmlns:a="http://schemas.openxmlformats.org/drawingml/2006/main">
              <a:graphicData uri="http://schemas.openxmlformats.org/drawingml/2006/picture">
                <pic:pic xmlns:pic="http://schemas.openxmlformats.org/drawingml/2006/picture">
                  <pic:nvPicPr>
                    <pic:cNvPr id="600716" name="Picture 600716"/>
                    <pic:cNvPicPr/>
                  </pic:nvPicPr>
                  <pic:blipFill>
                    <a:blip r:embed="rId904"/>
                    <a:stretch>
                      <a:fillRect/>
                    </a:stretch>
                  </pic:blipFill>
                  <pic:spPr>
                    <a:xfrm>
                      <a:off x="0" y="0"/>
                      <a:ext cx="45720" cy="13716"/>
                    </a:xfrm>
                    <a:prstGeom prst="rect">
                      <a:avLst/>
                    </a:prstGeom>
                  </pic:spPr>
                </pic:pic>
              </a:graphicData>
            </a:graphic>
          </wp:inline>
        </w:drawing>
      </w:r>
      <w:r>
        <w:rPr>
          <w:sz w:val="26"/>
        </w:rPr>
        <w:t xml:space="preserve"> conformados en el proceso de Campamentos Pedagógicos Deportivos de Hockey</w:t>
      </w:r>
    </w:p>
    <w:p w14:paraId="2772D6AC" w14:textId="77777777" w:rsidR="00053D93" w:rsidRDefault="00260B75">
      <w:pPr>
        <w:spacing w:after="17" w:line="304" w:lineRule="auto"/>
        <w:ind w:left="14" w:right="79" w:firstLine="65"/>
        <w:jc w:val="both"/>
      </w:pPr>
      <w:r>
        <w:rPr>
          <w:rFonts w:ascii="Times New Roman" w:eastAsia="Times New Roman" w:hAnsi="Times New Roman" w:cs="Times New Roman"/>
          <w:sz w:val="26"/>
        </w:rPr>
        <w:t xml:space="preserve">1 </w:t>
      </w:r>
      <w:r>
        <w:rPr>
          <w:sz w:val="26"/>
        </w:rPr>
        <w:t xml:space="preserve">realizados desde el mes de febrero a octubre de 2024, dichas actividades se realizaron con material prestado por la Asociación Deportiva de Hockey. Se tenía </w:t>
      </w:r>
      <w:r>
        <w:rPr>
          <w:noProof/>
        </w:rPr>
        <w:drawing>
          <wp:inline distT="0" distB="0" distL="0" distR="0" wp14:anchorId="42A7309A" wp14:editId="23004F66">
            <wp:extent cx="32004" cy="4572"/>
            <wp:effectExtent l="0" t="0" r="0" b="0"/>
            <wp:docPr id="600718" name="Picture 600718"/>
            <wp:cNvGraphicFramePr/>
            <a:graphic xmlns:a="http://schemas.openxmlformats.org/drawingml/2006/main">
              <a:graphicData uri="http://schemas.openxmlformats.org/drawingml/2006/picture">
                <pic:pic xmlns:pic="http://schemas.openxmlformats.org/drawingml/2006/picture">
                  <pic:nvPicPr>
                    <pic:cNvPr id="600718" name="Picture 600718"/>
                    <pic:cNvPicPr/>
                  </pic:nvPicPr>
                  <pic:blipFill>
                    <a:blip r:embed="rId905"/>
                    <a:stretch>
                      <a:fillRect/>
                    </a:stretch>
                  </pic:blipFill>
                  <pic:spPr>
                    <a:xfrm>
                      <a:off x="0" y="0"/>
                      <a:ext cx="32004" cy="4572"/>
                    </a:xfrm>
                    <a:prstGeom prst="rect">
                      <a:avLst/>
                    </a:prstGeom>
                  </pic:spPr>
                </pic:pic>
              </a:graphicData>
            </a:graphic>
          </wp:inline>
        </w:drawing>
      </w:r>
      <w:r>
        <w:rPr>
          <w:rFonts w:ascii="Times New Roman" w:eastAsia="Times New Roman" w:hAnsi="Times New Roman" w:cs="Times New Roman"/>
          <w:sz w:val="26"/>
        </w:rPr>
        <w:t xml:space="preserve">1 </w:t>
      </w:r>
      <w:r>
        <w:rPr>
          <w:sz w:val="26"/>
        </w:rPr>
        <w:t>previsto en el año 2025 realizando una convocatoria general 01-2025 firmada por el viceministro y director en su momento y una especifica 02-2025, esperando poder entregar la implementación en la I capacitación de actualización para</w:t>
      </w:r>
    </w:p>
    <w:p w14:paraId="7BA24764" w14:textId="77777777" w:rsidR="00053D93" w:rsidRDefault="00260B75">
      <w:pPr>
        <w:spacing w:after="67"/>
        <w:ind w:left="-14"/>
      </w:pPr>
      <w:r>
        <w:rPr>
          <w:noProof/>
        </w:rPr>
        <w:drawing>
          <wp:inline distT="0" distB="0" distL="0" distR="0" wp14:anchorId="5DF2D285" wp14:editId="478329AF">
            <wp:extent cx="18288" cy="4573"/>
            <wp:effectExtent l="0" t="0" r="0" b="0"/>
            <wp:docPr id="2458484" name="Picture 2458484"/>
            <wp:cNvGraphicFramePr/>
            <a:graphic xmlns:a="http://schemas.openxmlformats.org/drawingml/2006/main">
              <a:graphicData uri="http://schemas.openxmlformats.org/drawingml/2006/picture">
                <pic:pic xmlns:pic="http://schemas.openxmlformats.org/drawingml/2006/picture">
                  <pic:nvPicPr>
                    <pic:cNvPr id="2458484" name="Picture 2458484"/>
                    <pic:cNvPicPr/>
                  </pic:nvPicPr>
                  <pic:blipFill>
                    <a:blip r:embed="rId906"/>
                    <a:stretch>
                      <a:fillRect/>
                    </a:stretch>
                  </pic:blipFill>
                  <pic:spPr>
                    <a:xfrm>
                      <a:off x="0" y="0"/>
                      <a:ext cx="18288" cy="4573"/>
                    </a:xfrm>
                    <a:prstGeom prst="rect">
                      <a:avLst/>
                    </a:prstGeom>
                  </pic:spPr>
                </pic:pic>
              </a:graphicData>
            </a:graphic>
          </wp:inline>
        </w:drawing>
      </w:r>
    </w:p>
    <w:p w14:paraId="1B99CF67" w14:textId="77777777" w:rsidR="00053D93" w:rsidRDefault="00260B75">
      <w:pPr>
        <w:spacing w:after="17" w:line="344" w:lineRule="auto"/>
        <w:ind w:left="1576" w:right="86" w:hanging="1562"/>
        <w:jc w:val="both"/>
      </w:pPr>
      <w:r>
        <w:rPr>
          <w:rFonts w:ascii="Times New Roman" w:eastAsia="Times New Roman" w:hAnsi="Times New Roman" w:cs="Times New Roman"/>
          <w:sz w:val="26"/>
        </w:rPr>
        <w:t xml:space="preserve">1 </w:t>
      </w:r>
      <w:r>
        <w:rPr>
          <w:sz w:val="26"/>
        </w:rPr>
        <w:t>entrenadores que se realizaría del 26 al 28 de marzo del año en curso, motivo que no se pudo entregar el material en dicha fecha por que se reprogramo motivo por cambios administrativos, por tal razón se va a entregar en la nueva programación</w:t>
      </w:r>
    </w:p>
    <w:p w14:paraId="76B6507F" w14:textId="77777777" w:rsidR="00053D93" w:rsidRDefault="00053D93">
      <w:pPr>
        <w:sectPr w:rsidR="00053D93">
          <w:headerReference w:type="even" r:id="rId907"/>
          <w:headerReference w:type="default" r:id="rId908"/>
          <w:footerReference w:type="even" r:id="rId909"/>
          <w:footerReference w:type="default" r:id="rId910"/>
          <w:headerReference w:type="first" r:id="rId911"/>
          <w:footerReference w:type="first" r:id="rId912"/>
          <w:pgSz w:w="12290" w:h="15883"/>
          <w:pgMar w:top="425" w:right="1764" w:bottom="835" w:left="360" w:header="641" w:footer="720" w:gutter="0"/>
          <w:cols w:space="720"/>
          <w:titlePg/>
        </w:sectPr>
      </w:pPr>
    </w:p>
    <w:p w14:paraId="4B3B0D2D" w14:textId="77777777" w:rsidR="00053D93" w:rsidRDefault="00260B75">
      <w:pPr>
        <w:spacing w:after="498" w:line="265" w:lineRule="auto"/>
        <w:ind w:left="3120" w:hanging="10"/>
      </w:pPr>
      <w:r>
        <w:rPr>
          <w:sz w:val="16"/>
        </w:rPr>
        <w:lastRenderedPageBreak/>
        <w:t xml:space="preserve">OE </w:t>
      </w:r>
    </w:p>
    <w:p w14:paraId="337546B3" w14:textId="77777777" w:rsidR="00053D93" w:rsidRDefault="00260B75">
      <w:pPr>
        <w:spacing w:after="409" w:line="247" w:lineRule="auto"/>
        <w:ind w:left="14" w:right="14" w:firstLine="4"/>
        <w:jc w:val="both"/>
      </w:pPr>
      <w:r>
        <w:rPr>
          <w:rFonts w:ascii="Times New Roman" w:eastAsia="Times New Roman" w:hAnsi="Times New Roman" w:cs="Times New Roman"/>
          <w:sz w:val="26"/>
        </w:rPr>
        <w:t xml:space="preserve">1 </w:t>
      </w:r>
      <w:r>
        <w:rPr>
          <w:sz w:val="26"/>
        </w:rPr>
        <w:t xml:space="preserve">dél 22 al 24 dé ábril del año en curso dicho material. Conclusiones No se cuenta con personal 01 1 administrativo (asistentes) ya que es de suma importancia en el apoyo. Hacer las responsabilidades correspondientes (autoridades) Director </w:t>
      </w:r>
      <w:r>
        <w:rPr>
          <w:noProof/>
        </w:rPr>
        <mc:AlternateContent>
          <mc:Choice Requires="wpg">
            <w:drawing>
              <wp:inline distT="0" distB="0" distL="0" distR="0" wp14:anchorId="0DE2F199" wp14:editId="565B37F3">
                <wp:extent cx="128016" cy="320040"/>
                <wp:effectExtent l="0" t="0" r="0" b="0"/>
                <wp:docPr id="2455973" name="Group 2455973"/>
                <wp:cNvGraphicFramePr/>
                <a:graphic xmlns:a="http://schemas.openxmlformats.org/drawingml/2006/main">
                  <a:graphicData uri="http://schemas.microsoft.com/office/word/2010/wordprocessingGroup">
                    <wpg:wgp>
                      <wpg:cNvGrpSpPr/>
                      <wpg:grpSpPr>
                        <a:xfrm>
                          <a:off x="0" y="0"/>
                          <a:ext cx="128016" cy="320040"/>
                          <a:chOff x="0" y="0"/>
                          <a:chExt cx="128016" cy="320040"/>
                        </a:xfrm>
                      </wpg:grpSpPr>
                      <wps:wsp>
                        <wps:cNvPr id="601713" name="Rectangle 601713"/>
                        <wps:cNvSpPr/>
                        <wps:spPr>
                          <a:xfrm>
                            <a:off x="0" y="0"/>
                            <a:ext cx="170261" cy="425653"/>
                          </a:xfrm>
                          <a:prstGeom prst="rect">
                            <a:avLst/>
                          </a:prstGeom>
                          <a:ln>
                            <a:noFill/>
                          </a:ln>
                        </wps:spPr>
                        <wps:txbx>
                          <w:txbxContent>
                            <w:p w14:paraId="31F3376D" w14:textId="77777777" w:rsidR="00053D93" w:rsidRDefault="00260B75">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inline>
            </w:drawing>
          </mc:Choice>
          <mc:Fallback>
            <w:pict>
              <v:group w14:anchorId="0DE2F199" id="Group 2455973" o:spid="_x0000_s1361" style="width:10.1pt;height:25.2pt;mso-position-horizontal-relative:char;mso-position-vertical-relative:line" coordsize="128016,320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">
                <v:rect id="Rectangle 601713" o:spid="_x0000_s1362" style="position:absolute;width:170261;height:42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" filled="f" stroked="f">
                  <v:textbox inset="0,0,0,0">
                    <w:txbxContent>
                      <w:p w14:paraId="31F3376D" w14:textId="77777777" w:rsidR="00053D93" w:rsidRDefault="00260B75">
                        <w:r>
                          <w:rPr>
                            <w:rFonts w:ascii="Times New Roman" w:eastAsia="Times New Roman" w:hAnsi="Times New Roman" w:cs="Times New Roman"/>
                            <w:sz w:val="74"/>
                          </w:rPr>
                          <w:t>1</w:t>
                        </w:r>
                      </w:p>
                    </w:txbxContent>
                  </v:textbox>
                </v:rect>
                <w10:anchorlock/>
              </v:group>
            </w:pict>
          </mc:Fallback>
        </mc:AlternateContent>
      </w:r>
      <w:r>
        <w:rPr>
          <w:sz w:val="26"/>
        </w:rPr>
        <w:t xml:space="preserve"> General, Subdirectora Técnica Metodológica, y Coordinador de Extracurricular a.i, la Jefa de compras por la incapacidad de ejecución y la falta de firmas en los procesos administrativos para la compra de los insumos anteriormente descritos, y </w:t>
      </w:r>
      <w:r>
        <w:rPr>
          <w:rFonts w:ascii="Times New Roman" w:eastAsia="Times New Roman" w:hAnsi="Times New Roman" w:cs="Times New Roman"/>
          <w:sz w:val="26"/>
        </w:rPr>
        <w:t xml:space="preserve">1 </w:t>
      </w:r>
      <w:r>
        <w:rPr>
          <w:sz w:val="26"/>
        </w:rPr>
        <w:t xml:space="preserve">atrasar las compras, y volver a empezar el proceso de solicitud de ampliación por el Instituto de la Juventud y el Deporte. Que el Instituto de la Juventud y el Deporte </w:t>
      </w:r>
      <w:r>
        <w:rPr>
          <w:rFonts w:ascii="Times New Roman" w:eastAsia="Times New Roman" w:hAnsi="Times New Roman" w:cs="Times New Roman"/>
          <w:sz w:val="26"/>
        </w:rPr>
        <w:t xml:space="preserve">1 </w:t>
      </w:r>
      <w:r>
        <w:rPr>
          <w:sz w:val="26"/>
        </w:rPr>
        <w:t xml:space="preserve">solicito la ampliación, sin embargo, la que autoriza o da el visto bueno de la ampliación es la jefa de compras, si ella dice que no procede porque está fuera de tiempo, es ella la que decide, y no se compra el insumo. Las autoridades y </w:t>
      </w:r>
      <w:r>
        <w:rPr>
          <w:rFonts w:ascii="Times New Roman" w:eastAsia="Times New Roman" w:hAnsi="Times New Roman" w:cs="Times New Roman"/>
          <w:sz w:val="26"/>
        </w:rPr>
        <w:t xml:space="preserve">1 </w:t>
      </w:r>
      <w:r>
        <w:rPr>
          <w:sz w:val="26"/>
        </w:rPr>
        <w:t>Compras son los responsables por su temporalidad, que ellos saben el manejo de los expedientes para comprar y que en base a la ampliación se tomó en consideración de la adquisición de los insumos anteriormente expuestos.</w:t>
      </w:r>
    </w:p>
    <w:p w14:paraId="35260237" w14:textId="77777777" w:rsidR="00053D93" w:rsidRDefault="00260B75">
      <w:pPr>
        <w:spacing w:after="168" w:line="311" w:lineRule="auto"/>
        <w:ind w:left="64" w:right="14" w:hanging="50"/>
        <w:jc w:val="both"/>
      </w:pPr>
      <w:r>
        <w:rPr>
          <w:rFonts w:ascii="Times New Roman" w:eastAsia="Times New Roman" w:hAnsi="Times New Roman" w:cs="Times New Roman"/>
          <w:sz w:val="26"/>
        </w:rPr>
        <w:t xml:space="preserve">1 </w:t>
      </w:r>
      <w:r>
        <w:rPr>
          <w:sz w:val="26"/>
        </w:rPr>
        <w:t xml:space="preserve">(gelatinas clase sin azúcar y alta en proteína Palo de Stick de 35.5 pulgadas y trajes de portero de hockey talla S), las autoridades son responsables de no </w:t>
      </w:r>
      <w:r>
        <w:rPr>
          <w:rFonts w:ascii="Times New Roman" w:eastAsia="Times New Roman" w:hAnsi="Times New Roman" w:cs="Times New Roman"/>
          <w:sz w:val="26"/>
        </w:rPr>
        <w:t xml:space="preserve">1 </w:t>
      </w:r>
      <w:r>
        <w:rPr>
          <w:sz w:val="26"/>
        </w:rPr>
        <w:t>autorizar las compras desde la fecha estipulada. Ante la situación del material recibido se procede en dejar en resguardado el insumo en almacén (ya fue retirado de almacén) ya que se utilizará para las actividades que tiene programado</w:t>
      </w:r>
    </w:p>
    <w:p w14:paraId="0E2FD2DF" w14:textId="77777777" w:rsidR="00053D93" w:rsidRDefault="00260B75">
      <w:pPr>
        <w:tabs>
          <w:tab w:val="center" w:pos="2891"/>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el -INJUD- en el año...'</w:t>
      </w:r>
      <w:r>
        <w:rPr>
          <w:noProof/>
        </w:rPr>
        <w:drawing>
          <wp:inline distT="0" distB="0" distL="0" distR="0" wp14:anchorId="047E360E" wp14:editId="78EC6337">
            <wp:extent cx="13716" cy="41148"/>
            <wp:effectExtent l="0" t="0" r="0" b="0"/>
            <wp:docPr id="604940" name="Picture 604940"/>
            <wp:cNvGraphicFramePr/>
            <a:graphic xmlns:a="http://schemas.openxmlformats.org/drawingml/2006/main">
              <a:graphicData uri="http://schemas.openxmlformats.org/drawingml/2006/picture">
                <pic:pic xmlns:pic="http://schemas.openxmlformats.org/drawingml/2006/picture">
                  <pic:nvPicPr>
                    <pic:cNvPr id="604940" name="Picture 604940"/>
                    <pic:cNvPicPr/>
                  </pic:nvPicPr>
                  <pic:blipFill>
                    <a:blip r:embed="rId913"/>
                    <a:stretch>
                      <a:fillRect/>
                    </a:stretch>
                  </pic:blipFill>
                  <pic:spPr>
                    <a:xfrm>
                      <a:off x="0" y="0"/>
                      <a:ext cx="13716" cy="41148"/>
                    </a:xfrm>
                    <a:prstGeom prst="rect">
                      <a:avLst/>
                    </a:prstGeom>
                  </pic:spPr>
                </pic:pic>
              </a:graphicData>
            </a:graphic>
          </wp:inline>
        </w:drawing>
      </w:r>
    </w:p>
    <w:p w14:paraId="5BB97526" w14:textId="77777777" w:rsidR="00053D93" w:rsidRDefault="00260B75">
      <w:pPr>
        <w:spacing w:after="298" w:line="248" w:lineRule="auto"/>
        <w:ind w:left="1709" w:hanging="3"/>
        <w:jc w:val="both"/>
      </w:pPr>
      <w:r>
        <w:rPr>
          <w:sz w:val="28"/>
        </w:rPr>
        <w:t>Comentario de auditoría</w:t>
      </w:r>
    </w:p>
    <w:p w14:paraId="74D01F39" w14:textId="77777777" w:rsidR="00053D93" w:rsidRDefault="00260B75">
      <w:pPr>
        <w:spacing w:after="39" w:line="247" w:lineRule="auto"/>
        <w:ind w:left="14" w:right="14" w:firstLine="72"/>
        <w:jc w:val="both"/>
      </w:pPr>
      <w:r>
        <w:rPr>
          <w:rFonts w:ascii="Times New Roman" w:eastAsia="Times New Roman" w:hAnsi="Times New Roman" w:cs="Times New Roman"/>
          <w:sz w:val="26"/>
        </w:rPr>
        <w:t xml:space="preserve">1 </w:t>
      </w:r>
      <w:r>
        <w:rPr>
          <w:sz w:val="26"/>
        </w:rPr>
        <w:t xml:space="preserve">Se confirma el hallazgo para el licenciado Lázaro Martínez Aldana, quien fungió como Subdirector General de Desarrollo Institucional, por el período comprendido </w:t>
      </w:r>
      <w:r>
        <w:rPr>
          <w:rFonts w:ascii="Times New Roman" w:eastAsia="Times New Roman" w:hAnsi="Times New Roman" w:cs="Times New Roman"/>
          <w:sz w:val="26"/>
        </w:rPr>
        <w:t xml:space="preserve">1 </w:t>
      </w:r>
      <w:r>
        <w:rPr>
          <w:sz w:val="26"/>
        </w:rPr>
        <w:t xml:space="preserve">del 25 de enero de 2024 al 03 de octubre de 2024; en virtud que, las pruebas presentadas no son suficientes, a pesar de que efectivamente no le correspondía dar el seguimiento y monitoreo a la adquisición de la pintura y el wipe de la </w:t>
      </w:r>
      <w:r>
        <w:rPr>
          <w:rFonts w:ascii="Times New Roman" w:eastAsia="Times New Roman" w:hAnsi="Times New Roman" w:cs="Times New Roman"/>
          <w:sz w:val="26"/>
        </w:rPr>
        <w:t xml:space="preserve">1 </w:t>
      </w:r>
      <w:r>
        <w:rPr>
          <w:sz w:val="26"/>
        </w:rPr>
        <w:t xml:space="preserve">Coordinación de Infraestructura, debido a que, su contrato fue rescindido el 03 de octubre de 2024; ya que, el Contrato Administrativo Número 54-2024-DIGEF-L de la adquisición de pintura se aprobó el 07 de noviembre de 2024, mediante el </w:t>
      </w:r>
      <w:r>
        <w:rPr>
          <w:rFonts w:ascii="Times New Roman" w:eastAsia="Times New Roman" w:hAnsi="Times New Roman" w:cs="Times New Roman"/>
          <w:sz w:val="26"/>
        </w:rPr>
        <w:t xml:space="preserve">1 </w:t>
      </w:r>
      <w:r>
        <w:rPr>
          <w:sz w:val="26"/>
        </w:rPr>
        <w:t xml:space="preserve">Acuerdo Ministerial Número 3353-2024 y el Wipe fue solicitado el 12 de noviembre de 2024; sí le correspondía realizar la supervisión y monitoreo a las actividades </w:t>
      </w:r>
      <w:r>
        <w:rPr>
          <w:rFonts w:ascii="Times New Roman" w:eastAsia="Times New Roman" w:hAnsi="Times New Roman" w:cs="Times New Roman"/>
          <w:sz w:val="26"/>
        </w:rPr>
        <w:t xml:space="preserve">1 </w:t>
      </w:r>
      <w:r>
        <w:rPr>
          <w:sz w:val="26"/>
        </w:rPr>
        <w:t xml:space="preserve">planificadas de la Coordinación de Programas y Proyectos, de conformidad con lo establecido en el MAN-TEC-3, que indica que su función principal es planificar y coordinar las actividades de planificación, seguimiento y monitoreo de la </w:t>
      </w:r>
      <w:r>
        <w:rPr>
          <w:rFonts w:ascii="Times New Roman" w:eastAsia="Times New Roman" w:hAnsi="Times New Roman" w:cs="Times New Roman"/>
          <w:sz w:val="26"/>
        </w:rPr>
        <w:t xml:space="preserve">1 </w:t>
      </w:r>
      <w:r>
        <w:rPr>
          <w:sz w:val="26"/>
        </w:rPr>
        <w:t xml:space="preserve">Institución, lo cual incluye a la Coordinación de Programas y Proyectos; sin embargo, el licenciado Martínez no presentó documentación que evidenciara el fiel </w:t>
      </w:r>
      <w:r>
        <w:rPr>
          <w:noProof/>
        </w:rPr>
        <w:drawing>
          <wp:inline distT="0" distB="0" distL="0" distR="0" wp14:anchorId="1FA734A9" wp14:editId="6C9BFEA6">
            <wp:extent cx="64008" cy="13715"/>
            <wp:effectExtent l="0" t="0" r="0" b="0"/>
            <wp:docPr id="604941" name="Picture 604941"/>
            <wp:cNvGraphicFramePr/>
            <a:graphic xmlns:a="http://schemas.openxmlformats.org/drawingml/2006/main">
              <a:graphicData uri="http://schemas.openxmlformats.org/drawingml/2006/picture">
                <pic:pic xmlns:pic="http://schemas.openxmlformats.org/drawingml/2006/picture">
                  <pic:nvPicPr>
                    <pic:cNvPr id="604941" name="Picture 604941"/>
                    <pic:cNvPicPr/>
                  </pic:nvPicPr>
                  <pic:blipFill>
                    <a:blip r:embed="rId914"/>
                    <a:stretch>
                      <a:fillRect/>
                    </a:stretch>
                  </pic:blipFill>
                  <pic:spPr>
                    <a:xfrm>
                      <a:off x="0" y="0"/>
                      <a:ext cx="64008" cy="13715"/>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cumplimiento a dichas funciones inherentes a su cargo, para garantizar el logro de las metas planificadas en la Coordinación de Programas y Proyectos para el </w:t>
      </w:r>
      <w:r>
        <w:rPr>
          <w:noProof/>
        </w:rPr>
        <w:drawing>
          <wp:inline distT="0" distB="0" distL="0" distR="0" wp14:anchorId="37851C8B" wp14:editId="08A4CC41">
            <wp:extent cx="9144" cy="13715"/>
            <wp:effectExtent l="0" t="0" r="0" b="0"/>
            <wp:docPr id="604942" name="Picture 604942"/>
            <wp:cNvGraphicFramePr/>
            <a:graphic xmlns:a="http://schemas.openxmlformats.org/drawingml/2006/main">
              <a:graphicData uri="http://schemas.openxmlformats.org/drawingml/2006/picture">
                <pic:pic xmlns:pic="http://schemas.openxmlformats.org/drawingml/2006/picture">
                  <pic:nvPicPr>
                    <pic:cNvPr id="604942" name="Picture 604942"/>
                    <pic:cNvPicPr/>
                  </pic:nvPicPr>
                  <pic:blipFill>
                    <a:blip r:embed="rId915"/>
                    <a:stretch>
                      <a:fillRect/>
                    </a:stretch>
                  </pic:blipFill>
                  <pic:spPr>
                    <a:xfrm>
                      <a:off x="0" y="0"/>
                      <a:ext cx="9144" cy="13715"/>
                    </a:xfrm>
                    <a:prstGeom prst="rect">
                      <a:avLst/>
                    </a:prstGeom>
                  </pic:spPr>
                </pic:pic>
              </a:graphicData>
            </a:graphic>
          </wp:inline>
        </w:drawing>
      </w:r>
      <w:r>
        <w:rPr>
          <w:sz w:val="26"/>
        </w:rPr>
        <w:t xml:space="preserve"> ejercicio fiscal 2024. Cabe mencionar que, el monto de existencia detallado en el</w:t>
      </w:r>
    </w:p>
    <w:p w14:paraId="6F4AC78A" w14:textId="77777777" w:rsidR="00053D93" w:rsidRDefault="00260B75">
      <w:pPr>
        <w:spacing w:after="23"/>
        <w:ind w:left="29"/>
      </w:pPr>
      <w:r>
        <w:rPr>
          <w:noProof/>
        </w:rPr>
        <w:lastRenderedPageBreak/>
        <w:drawing>
          <wp:inline distT="0" distB="0" distL="0" distR="0" wp14:anchorId="353C7F3A" wp14:editId="6CE9B4F3">
            <wp:extent cx="64008" cy="18287"/>
            <wp:effectExtent l="0" t="0" r="0" b="0"/>
            <wp:docPr id="2458490" name="Picture 2458490"/>
            <wp:cNvGraphicFramePr/>
            <a:graphic xmlns:a="http://schemas.openxmlformats.org/drawingml/2006/main">
              <a:graphicData uri="http://schemas.openxmlformats.org/drawingml/2006/picture">
                <pic:pic xmlns:pic="http://schemas.openxmlformats.org/drawingml/2006/picture">
                  <pic:nvPicPr>
                    <pic:cNvPr id="2458490" name="Picture 2458490"/>
                    <pic:cNvPicPr/>
                  </pic:nvPicPr>
                  <pic:blipFill>
                    <a:blip r:embed="rId916"/>
                    <a:stretch>
                      <a:fillRect/>
                    </a:stretch>
                  </pic:blipFill>
                  <pic:spPr>
                    <a:xfrm>
                      <a:off x="0" y="0"/>
                      <a:ext cx="64008" cy="18287"/>
                    </a:xfrm>
                    <a:prstGeom prst="rect">
                      <a:avLst/>
                    </a:prstGeom>
                  </pic:spPr>
                </pic:pic>
              </a:graphicData>
            </a:graphic>
          </wp:inline>
        </w:drawing>
      </w:r>
    </w:p>
    <w:p w14:paraId="22D5E076" w14:textId="77777777" w:rsidR="00053D93" w:rsidRDefault="00260B75">
      <w:pPr>
        <w:spacing w:after="398" w:line="330" w:lineRule="auto"/>
        <w:ind w:left="1721" w:right="14" w:hanging="1577"/>
        <w:jc w:val="both"/>
      </w:pPr>
      <w:r>
        <w:rPr>
          <w:rFonts w:ascii="Times New Roman" w:eastAsia="Times New Roman" w:hAnsi="Times New Roman" w:cs="Times New Roman"/>
          <w:sz w:val="26"/>
        </w:rPr>
        <w:t xml:space="preserve">1 </w:t>
      </w:r>
      <w:r>
        <w:rPr>
          <w:sz w:val="26"/>
        </w:rPr>
        <w:t>cuadro del presente hallazgo, corresponde al monto reportado por el Departamento de Almacén de la DIGEF, de los bienes en existencia al momento en que el Equipo de Auditoría realizó la verificación física.</w:t>
      </w:r>
    </w:p>
    <w:tbl>
      <w:tblPr>
        <w:tblStyle w:val="TableGrid"/>
        <w:tblpPr w:vertAnchor="text" w:tblpX="2575" w:tblpY="134"/>
        <w:tblOverlap w:val="never"/>
        <w:tblW w:w="7635" w:type="dxa"/>
        <w:tblInd w:w="0" w:type="dxa"/>
        <w:tblCellMar>
          <w:top w:w="46" w:type="dxa"/>
          <w:left w:w="1745" w:type="dxa"/>
          <w:right w:w="115" w:type="dxa"/>
        </w:tblCellMar>
        <w:tblLook w:val="04A0" w:firstRow="1" w:lastRow="0" w:firstColumn="1" w:lastColumn="0" w:noHBand="0" w:noVBand="1"/>
      </w:tblPr>
      <w:tblGrid>
        <w:gridCol w:w="7635"/>
      </w:tblGrid>
      <w:tr w:rsidR="00053D93" w14:paraId="78CB909B" w14:textId="77777777">
        <w:trPr>
          <w:trHeight w:val="608"/>
        </w:trPr>
        <w:tc>
          <w:tcPr>
            <w:tcW w:w="7635" w:type="dxa"/>
            <w:tcBorders>
              <w:top w:val="single" w:sz="2" w:space="0" w:color="000000"/>
              <w:left w:val="single" w:sz="2" w:space="0" w:color="000000"/>
              <w:bottom w:val="nil"/>
              <w:right w:val="nil"/>
            </w:tcBorders>
          </w:tcPr>
          <w:p w14:paraId="0210D4EE" w14:textId="77777777" w:rsidR="00053D93" w:rsidRDefault="00260B75">
            <w:pPr>
              <w:ind w:left="835"/>
            </w:pPr>
            <w:r>
              <w:rPr>
                <w:sz w:val="14"/>
              </w:rPr>
              <w:t>MINISTERIO DE EDUCACION</w:t>
            </w:r>
          </w:p>
          <w:p w14:paraId="5AC55B91" w14:textId="77777777" w:rsidR="00053D93" w:rsidRDefault="00260B75">
            <w:pPr>
              <w:ind w:left="338"/>
            </w:pPr>
            <w:r>
              <w:rPr>
                <w:sz w:val="14"/>
              </w:rPr>
              <w:t>AUDITORÍA FINANCIERA Y DE CUMPLIMIENTO</w:t>
            </w:r>
          </w:p>
          <w:p w14:paraId="6056B0DA" w14:textId="77777777" w:rsidR="00053D93" w:rsidRDefault="00260B75">
            <w:r>
              <w:rPr>
                <w:sz w:val="14"/>
              </w:rPr>
              <w:t>PERIODO DEL 01 DE ENERO AL 31 OE DICIEMBRE OE 2024</w:t>
            </w:r>
          </w:p>
        </w:tc>
      </w:tr>
    </w:tbl>
    <w:p w14:paraId="34777C5A" w14:textId="77777777" w:rsidR="00053D93" w:rsidRDefault="00260B75">
      <w:pPr>
        <w:pStyle w:val="Ttulo2"/>
        <w:spacing w:after="97"/>
        <w:ind w:left="89" w:right="6955"/>
      </w:pPr>
      <w:r>
        <w:rPr>
          <w:vertAlign w:val="superscript"/>
        </w:rPr>
        <w:t xml:space="preserve">I </w:t>
      </w:r>
      <w:r>
        <w:t>III</w:t>
      </w:r>
      <w:r>
        <w:rPr>
          <w:noProof/>
        </w:rPr>
        <w:drawing>
          <wp:inline distT="0" distB="0" distL="0" distR="0" wp14:anchorId="5CCFC929" wp14:editId="2A64FF8A">
            <wp:extent cx="992124" cy="411481"/>
            <wp:effectExtent l="0" t="0" r="0" b="0"/>
            <wp:docPr id="605012" name="Picture 605012"/>
            <wp:cNvGraphicFramePr/>
            <a:graphic xmlns:a="http://schemas.openxmlformats.org/drawingml/2006/main">
              <a:graphicData uri="http://schemas.openxmlformats.org/drawingml/2006/picture">
                <pic:pic xmlns:pic="http://schemas.openxmlformats.org/drawingml/2006/picture">
                  <pic:nvPicPr>
                    <pic:cNvPr id="605012" name="Picture 605012"/>
                    <pic:cNvPicPr/>
                  </pic:nvPicPr>
                  <pic:blipFill>
                    <a:blip r:embed="rId917"/>
                    <a:stretch>
                      <a:fillRect/>
                    </a:stretch>
                  </pic:blipFill>
                  <pic:spPr>
                    <a:xfrm>
                      <a:off x="0" y="0"/>
                      <a:ext cx="992124" cy="411481"/>
                    </a:xfrm>
                    <a:prstGeom prst="rect">
                      <a:avLst/>
                    </a:prstGeom>
                  </pic:spPr>
                </pic:pic>
              </a:graphicData>
            </a:graphic>
          </wp:inline>
        </w:drawing>
      </w:r>
    </w:p>
    <w:p w14:paraId="66EA4DDA" w14:textId="77777777" w:rsidR="00053D93" w:rsidRDefault="00260B75">
      <w:pPr>
        <w:spacing w:after="0"/>
        <w:ind w:left="1714"/>
      </w:pPr>
      <w:r>
        <w:rPr>
          <w:noProof/>
        </w:rPr>
        <mc:AlternateContent>
          <mc:Choice Requires="wpg">
            <w:drawing>
              <wp:inline distT="0" distB="0" distL="0" distR="0" wp14:anchorId="7FAC1C35" wp14:editId="08C31D9C">
                <wp:extent cx="5381245" cy="13716"/>
                <wp:effectExtent l="0" t="0" r="0" b="0"/>
                <wp:docPr id="2458493" name="Group 2458493"/>
                <wp:cNvGraphicFramePr/>
                <a:graphic xmlns:a="http://schemas.openxmlformats.org/drawingml/2006/main">
                  <a:graphicData uri="http://schemas.microsoft.com/office/word/2010/wordprocessingGroup">
                    <wpg:wgp>
                      <wpg:cNvGrpSpPr/>
                      <wpg:grpSpPr>
                        <a:xfrm>
                          <a:off x="0" y="0"/>
                          <a:ext cx="5381245" cy="13716"/>
                          <a:chOff x="0" y="0"/>
                          <a:chExt cx="5381245" cy="13716"/>
                        </a:xfrm>
                      </wpg:grpSpPr>
                      <wps:wsp>
                        <wps:cNvPr id="2458492" name="Shape 2458492"/>
                        <wps:cNvSpPr/>
                        <wps:spPr>
                          <a:xfrm>
                            <a:off x="0" y="0"/>
                            <a:ext cx="5381245" cy="13716"/>
                          </a:xfrm>
                          <a:custGeom>
                            <a:avLst/>
                            <a:gdLst/>
                            <a:ahLst/>
                            <a:cxnLst/>
                            <a:rect l="0" t="0" r="0" b="0"/>
                            <a:pathLst>
                              <a:path w="5381245" h="13716">
                                <a:moveTo>
                                  <a:pt x="0" y="6858"/>
                                </a:moveTo>
                                <a:lnTo>
                                  <a:pt x="5381245"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493" style="width:423.72pt;height:1.08pt;mso-position-horizontal-relative:char;mso-position-vertical-relative:line" coordsize="53812,137">
                <v:shape id="Shape 2458492" style="position:absolute;width:53812;height:137;left:0;top:0;" coordsize="5381245,13716" path="m0,6858l5381245,6858">
                  <v:stroke weight="1.08pt" endcap="flat" joinstyle="miter" miterlimit="1" on="true" color="#000000"/>
                  <v:fill on="false" color="#000000"/>
                </v:shape>
              </v:group>
            </w:pict>
          </mc:Fallback>
        </mc:AlternateContent>
      </w:r>
    </w:p>
    <w:p w14:paraId="45B99723" w14:textId="77777777" w:rsidR="00053D93" w:rsidRDefault="00260B75">
      <w:pPr>
        <w:spacing w:after="3"/>
        <w:ind w:left="24" w:hanging="10"/>
      </w:pPr>
      <w:r>
        <w:rPr>
          <w:rFonts w:ascii="Times New Roman" w:eastAsia="Times New Roman" w:hAnsi="Times New Roman" w:cs="Times New Roman"/>
          <w:sz w:val="72"/>
        </w:rPr>
        <w:t>1</w:t>
      </w:r>
      <w:r>
        <w:rPr>
          <w:noProof/>
        </w:rPr>
        <w:drawing>
          <wp:inline distT="0" distB="0" distL="0" distR="0" wp14:anchorId="4053A2FE" wp14:editId="63A0C263">
            <wp:extent cx="4572" cy="18288"/>
            <wp:effectExtent l="0" t="0" r="0" b="0"/>
            <wp:docPr id="608970" name="Picture 608970"/>
            <wp:cNvGraphicFramePr/>
            <a:graphic xmlns:a="http://schemas.openxmlformats.org/drawingml/2006/main">
              <a:graphicData uri="http://schemas.openxmlformats.org/drawingml/2006/picture">
                <pic:pic xmlns:pic="http://schemas.openxmlformats.org/drawingml/2006/picture">
                  <pic:nvPicPr>
                    <pic:cNvPr id="608970" name="Picture 608970"/>
                    <pic:cNvPicPr/>
                  </pic:nvPicPr>
                  <pic:blipFill>
                    <a:blip r:embed="rId918"/>
                    <a:stretch>
                      <a:fillRect/>
                    </a:stretch>
                  </pic:blipFill>
                  <pic:spPr>
                    <a:xfrm>
                      <a:off x="0" y="0"/>
                      <a:ext cx="4572" cy="18288"/>
                    </a:xfrm>
                    <a:prstGeom prst="rect">
                      <a:avLst/>
                    </a:prstGeom>
                  </pic:spPr>
                </pic:pic>
              </a:graphicData>
            </a:graphic>
          </wp:inline>
        </w:drawing>
      </w:r>
    </w:p>
    <w:p w14:paraId="7BE7E59D" w14:textId="77777777" w:rsidR="00053D93" w:rsidRDefault="00260B75">
      <w:pPr>
        <w:spacing w:after="198" w:line="247" w:lineRule="auto"/>
        <w:ind w:left="14" w:right="14" w:firstLine="1706"/>
        <w:jc w:val="both"/>
      </w:pPr>
      <w:r>
        <w:rPr>
          <w:sz w:val="26"/>
        </w:rPr>
        <w:t xml:space="preserve">Se confirma el hallazgo para la licenciada Erika Francilia Dedet Figueroa, quien fungió como Coordinadora de Programas y Proyectos, por el período comprendido del 31 de enero de 2024 al 31 de diciembre de 2024; en virtud que, no se presentó a la reunión virtual mediante la plataforma Microsoft Teams, para la discusión de </w:t>
      </w:r>
      <w:r>
        <w:rPr>
          <w:rFonts w:ascii="Times New Roman" w:eastAsia="Times New Roman" w:hAnsi="Times New Roman" w:cs="Times New Roman"/>
          <w:sz w:val="26"/>
        </w:rPr>
        <w:t xml:space="preserve">1 </w:t>
      </w:r>
      <w:r>
        <w:rPr>
          <w:sz w:val="26"/>
        </w:rPr>
        <w:t>hallazgos y no presentó pruebas de descargo.</w:t>
      </w:r>
    </w:p>
    <w:p w14:paraId="0A60B851" w14:textId="77777777" w:rsidR="00053D93" w:rsidRDefault="00260B75">
      <w:pPr>
        <w:spacing w:after="67" w:line="247" w:lineRule="auto"/>
        <w:ind w:left="14" w:right="14" w:firstLine="1699"/>
        <w:jc w:val="both"/>
      </w:pPr>
      <w:r>
        <w:rPr>
          <w:sz w:val="26"/>
        </w:rPr>
        <w:t xml:space="preserve">Se confirma el hallazgo para la licenciada Heidi Noemí Pereira Zúñiga, Jefe </w:t>
      </w:r>
      <w:r>
        <w:rPr>
          <w:rFonts w:ascii="Times New Roman" w:eastAsia="Times New Roman" w:hAnsi="Times New Roman" w:cs="Times New Roman"/>
          <w:sz w:val="26"/>
        </w:rPr>
        <w:t xml:space="preserve">1 </w:t>
      </w:r>
      <w:r>
        <w:rPr>
          <w:sz w:val="26"/>
        </w:rPr>
        <w:t xml:space="preserve">Departamento de Estudios y Programación; en virtud que, las pruebas presentadas no son suficientes; a pesar de que la responsable manifiesta que los insumos ingresaron al Departamento de Almacén con fecha posterior a la que se </w:t>
      </w:r>
      <w:r>
        <w:rPr>
          <w:rFonts w:ascii="Times New Roman" w:eastAsia="Times New Roman" w:hAnsi="Times New Roman" w:cs="Times New Roman"/>
          <w:sz w:val="26"/>
        </w:rPr>
        <w:t xml:space="preserve">1 </w:t>
      </w:r>
      <w:r>
        <w:rPr>
          <w:sz w:val="26"/>
        </w:rPr>
        <w:t xml:space="preserve">tenía contemplada su utilización, la responsable giró [os oficios No. DEYP-72-2024 del 28 de agosto de 2024 y No. DEYP-77-2024 del 2 de septiembre de 2024, </w:t>
      </w:r>
      <w:r>
        <w:rPr>
          <w:rFonts w:ascii="Times New Roman" w:eastAsia="Times New Roman" w:hAnsi="Times New Roman" w:cs="Times New Roman"/>
          <w:sz w:val="26"/>
        </w:rPr>
        <w:t xml:space="preserve">1 </w:t>
      </w:r>
      <w:r>
        <w:rPr>
          <w:sz w:val="26"/>
        </w:rPr>
        <w:t xml:space="preserve">dirigidos a la Jefe de Compras, en donde solicitó una ampliación de fecha para la utilización de los insumos solicitados mediante los requerimientos Nos. 2024-5645 y 2024-5679; en virtud que, serían necesarios para los eventos de Fiestas Patrias </w:t>
      </w:r>
      <w:r>
        <w:rPr>
          <w:rFonts w:ascii="Times New Roman" w:eastAsia="Times New Roman" w:hAnsi="Times New Roman" w:cs="Times New Roman"/>
          <w:sz w:val="26"/>
        </w:rPr>
        <w:t xml:space="preserve">1 </w:t>
      </w:r>
      <w:r>
        <w:rPr>
          <w:sz w:val="26"/>
        </w:rPr>
        <w:t xml:space="preserve">y actividades administrativas; por lo que, según [o manifestado por la responsable, serían utilizados en el tercer cuatrimestre; sin embargo, tos insumos adquiridos no fueron retirados en su totalidad de la bodega del Departamento de Almacén, </w:t>
      </w:r>
      <w:r>
        <w:rPr>
          <w:rFonts w:ascii="Times New Roman" w:eastAsia="Times New Roman" w:hAnsi="Times New Roman" w:cs="Times New Roman"/>
          <w:sz w:val="26"/>
        </w:rPr>
        <w:t xml:space="preserve">1 </w:t>
      </w:r>
      <w:r>
        <w:rPr>
          <w:sz w:val="26"/>
        </w:rPr>
        <w:t xml:space="preserve">durante el ejercicio fiscal 2024, lo cual fue constatado por el equipo de auditoría durante la verificación física realizada en dicho Departamento de Almacén el 24 de </w:t>
      </w:r>
      <w:r>
        <w:rPr>
          <w:rFonts w:ascii="Times New Roman" w:eastAsia="Times New Roman" w:hAnsi="Times New Roman" w:cs="Times New Roman"/>
          <w:sz w:val="26"/>
        </w:rPr>
        <w:t xml:space="preserve">1 </w:t>
      </w:r>
      <w:r>
        <w:rPr>
          <w:sz w:val="26"/>
        </w:rPr>
        <w:t xml:space="preserve">enero de 2025, donde se pudo establecer que los insumos pelota de voleibol, pelota de baloncesto circunferencia 75 a 78 número 7 y pachón material plástico, adquiridos por la Coordinación de Programas y Proyectos de Educación Física, </w:t>
      </w:r>
      <w:r>
        <w:rPr>
          <w:rFonts w:ascii="Times New Roman" w:eastAsia="Times New Roman" w:hAnsi="Times New Roman" w:cs="Times New Roman"/>
          <w:sz w:val="26"/>
        </w:rPr>
        <w:t xml:space="preserve">1 </w:t>
      </w:r>
      <w:r>
        <w:rPr>
          <w:sz w:val="26"/>
        </w:rPr>
        <w:t>aún permanecían resguardados en el almacén de la DIGEF; por lo que, dichos insumos no fueron utilizados oportunamente durante el 2024, para las actividades que se tenían programadas.</w:t>
      </w:r>
    </w:p>
    <w:p w14:paraId="3B8BADB4" w14:textId="77777777" w:rsidR="00053D93" w:rsidRDefault="00260B75">
      <w:pPr>
        <w:spacing w:after="3"/>
        <w:ind w:left="104" w:hanging="10"/>
      </w:pPr>
      <w:r>
        <w:rPr>
          <w:rFonts w:ascii="Times New Roman" w:eastAsia="Times New Roman" w:hAnsi="Times New Roman" w:cs="Times New Roman"/>
          <w:sz w:val="72"/>
        </w:rPr>
        <w:t>1</w:t>
      </w:r>
    </w:p>
    <w:p w14:paraId="7893A7A8" w14:textId="77777777" w:rsidR="00053D93" w:rsidRDefault="00260B75">
      <w:pPr>
        <w:spacing w:after="17" w:line="247" w:lineRule="auto"/>
        <w:ind w:left="101" w:right="14" w:firstLine="1634"/>
        <w:jc w:val="both"/>
      </w:pPr>
      <w:r>
        <w:rPr>
          <w:sz w:val="26"/>
        </w:rPr>
        <w:t xml:space="preserve">Se confirma el hallazgo, para el licenciado Juan Carlos Abac, quien fungió como </w:t>
      </w:r>
      <w:r>
        <w:rPr>
          <w:rFonts w:ascii="Times New Roman" w:eastAsia="Times New Roman" w:hAnsi="Times New Roman" w:cs="Times New Roman"/>
          <w:sz w:val="26"/>
        </w:rPr>
        <w:t xml:space="preserve">1 </w:t>
      </w:r>
      <w:r>
        <w:rPr>
          <w:sz w:val="26"/>
        </w:rPr>
        <w:t xml:space="preserve">Coordinador Extracurricular A.l., por el período comprendido del 13 de marzo de 2024 al 02 de octubre de 2024; en virtud que, las pruebas presentadas no son suficientes, a pesar de que el responsable manifiesta que logró implementar con </w:t>
      </w:r>
      <w:r>
        <w:rPr>
          <w:rFonts w:ascii="Times New Roman" w:eastAsia="Times New Roman" w:hAnsi="Times New Roman" w:cs="Times New Roman"/>
          <w:sz w:val="26"/>
        </w:rPr>
        <w:t xml:space="preserve">1 </w:t>
      </w:r>
      <w:r>
        <w:rPr>
          <w:sz w:val="26"/>
        </w:rPr>
        <w:t xml:space="preserve">material deportivo a los niños y escuelas participantes en los diferentes eventos del área extracurricular y los materiales e insumos que </w:t>
      </w:r>
      <w:r>
        <w:rPr>
          <w:sz w:val="26"/>
        </w:rPr>
        <w:lastRenderedPageBreak/>
        <w:t xml:space="preserve">se encontraron en el almacén son algunos saldos que tendrían que entregarse a finales del 2024; sin </w:t>
      </w:r>
      <w:r>
        <w:rPr>
          <w:rFonts w:ascii="Times New Roman" w:eastAsia="Times New Roman" w:hAnsi="Times New Roman" w:cs="Times New Roman"/>
          <w:sz w:val="26"/>
        </w:rPr>
        <w:t xml:space="preserve">1 </w:t>
      </w:r>
      <w:r>
        <w:rPr>
          <w:sz w:val="26"/>
        </w:rPr>
        <w:t xml:space="preserve">embargo, la mayoría de equipos, materiales y suministros adquiridos en el área Extracurricular de la DIGEF, aún se encontraban en el Departamento de Almacén </w:t>
      </w:r>
      <w:r>
        <w:rPr>
          <w:rFonts w:ascii="Times New Roman" w:eastAsia="Times New Roman" w:hAnsi="Times New Roman" w:cs="Times New Roman"/>
          <w:sz w:val="26"/>
        </w:rPr>
        <w:t xml:space="preserve">1 </w:t>
      </w:r>
      <w:r>
        <w:rPr>
          <w:sz w:val="26"/>
        </w:rPr>
        <w:t xml:space="preserve">al 24 de enero de 2025; Además, el licenciado Abac, no presentó evidencia que demostrara el cumplimiento a lo establecido en el MAN-TEC-03, que indica que debe realizar una adecuada supervisión a los Jefes de los Departamentos del área </w:t>
      </w:r>
      <w:r>
        <w:rPr>
          <w:rFonts w:ascii="Times New Roman" w:eastAsia="Times New Roman" w:hAnsi="Times New Roman" w:cs="Times New Roman"/>
          <w:sz w:val="26"/>
        </w:rPr>
        <w:t xml:space="preserve">1 </w:t>
      </w:r>
      <w:r>
        <w:rPr>
          <w:sz w:val="26"/>
        </w:rPr>
        <w:t>a su cargo, para garantizar que el Coordinador Técnico Nacional A.l., el Jefe de Torneos Deportivos Escolares y los Jefe de Departamento Deportivo Escolar A.l., retiraran de manera oportuna del Departamento de Almacén el equipo, materiales</w:t>
      </w:r>
    </w:p>
    <w:tbl>
      <w:tblPr>
        <w:tblStyle w:val="TableGrid"/>
        <w:tblW w:w="9425" w:type="dxa"/>
        <w:tblInd w:w="792" w:type="dxa"/>
        <w:tblLook w:val="04A0" w:firstRow="1" w:lastRow="0" w:firstColumn="1" w:lastColumn="0" w:noHBand="0" w:noVBand="1"/>
      </w:tblPr>
      <w:tblGrid>
        <w:gridCol w:w="1221"/>
        <w:gridCol w:w="8211"/>
      </w:tblGrid>
      <w:tr w:rsidR="00053D93" w14:paraId="6BC4119D" w14:textId="77777777">
        <w:trPr>
          <w:trHeight w:val="641"/>
        </w:trPr>
        <w:tc>
          <w:tcPr>
            <w:tcW w:w="1714" w:type="dxa"/>
            <w:tcBorders>
              <w:top w:val="nil"/>
              <w:left w:val="nil"/>
              <w:bottom w:val="nil"/>
              <w:right w:val="nil"/>
            </w:tcBorders>
          </w:tcPr>
          <w:p w14:paraId="5393CCFE" w14:textId="77777777" w:rsidR="00053D93" w:rsidRDefault="00260B75">
            <w:r>
              <w:rPr>
                <w:noProof/>
              </w:rPr>
              <w:drawing>
                <wp:inline distT="0" distB="0" distL="0" distR="0" wp14:anchorId="294E412F" wp14:editId="3A276D29">
                  <wp:extent cx="1060704" cy="406909"/>
                  <wp:effectExtent l="0" t="0" r="0" b="0"/>
                  <wp:docPr id="609031" name="Picture 609031"/>
                  <wp:cNvGraphicFramePr/>
                  <a:graphic xmlns:a="http://schemas.openxmlformats.org/drawingml/2006/main">
                    <a:graphicData uri="http://schemas.openxmlformats.org/drawingml/2006/picture">
                      <pic:pic xmlns:pic="http://schemas.openxmlformats.org/drawingml/2006/picture">
                        <pic:nvPicPr>
                          <pic:cNvPr id="609031" name="Picture 609031"/>
                          <pic:cNvPicPr/>
                        </pic:nvPicPr>
                        <pic:blipFill>
                          <a:blip r:embed="rId919"/>
                          <a:stretch>
                            <a:fillRect/>
                          </a:stretch>
                        </pic:blipFill>
                        <pic:spPr>
                          <a:xfrm>
                            <a:off x="0" y="0"/>
                            <a:ext cx="1060704" cy="406909"/>
                          </a:xfrm>
                          <a:prstGeom prst="rect">
                            <a:avLst/>
                          </a:prstGeom>
                        </pic:spPr>
                      </pic:pic>
                    </a:graphicData>
                  </a:graphic>
                </wp:inline>
              </w:drawing>
            </w:r>
          </w:p>
        </w:tc>
        <w:tc>
          <w:tcPr>
            <w:tcW w:w="7711" w:type="dxa"/>
            <w:tcBorders>
              <w:top w:val="nil"/>
              <w:left w:val="nil"/>
              <w:bottom w:val="nil"/>
              <w:right w:val="nil"/>
            </w:tcBorders>
          </w:tcPr>
          <w:p w14:paraId="682C1AF1" w14:textId="77777777" w:rsidR="00053D93" w:rsidRDefault="00053D93">
            <w:pPr>
              <w:ind w:left="-2808" w:right="10519"/>
            </w:pPr>
          </w:p>
          <w:tbl>
            <w:tblPr>
              <w:tblStyle w:val="TableGrid"/>
              <w:tblW w:w="7668" w:type="dxa"/>
              <w:tblInd w:w="43" w:type="dxa"/>
              <w:tblCellMar>
                <w:top w:w="31" w:type="dxa"/>
                <w:left w:w="1778" w:type="dxa"/>
                <w:right w:w="115" w:type="dxa"/>
              </w:tblCellMar>
              <w:tblLook w:val="04A0" w:firstRow="1" w:lastRow="0" w:firstColumn="1" w:lastColumn="0" w:noHBand="0" w:noVBand="1"/>
            </w:tblPr>
            <w:tblGrid>
              <w:gridCol w:w="7668"/>
            </w:tblGrid>
            <w:tr w:rsidR="00053D93" w14:paraId="0202C040" w14:textId="77777777">
              <w:trPr>
                <w:trHeight w:val="36"/>
              </w:trPr>
              <w:tc>
                <w:tcPr>
                  <w:tcW w:w="7668" w:type="dxa"/>
                  <w:tcBorders>
                    <w:top w:val="nil"/>
                    <w:left w:val="single" w:sz="2" w:space="0" w:color="000000"/>
                    <w:bottom w:val="single" w:sz="2" w:space="0" w:color="000000"/>
                    <w:right w:val="nil"/>
                  </w:tcBorders>
                </w:tcPr>
                <w:p w14:paraId="7F127440" w14:textId="77777777" w:rsidR="00053D93" w:rsidRDefault="00053D93"/>
              </w:tc>
            </w:tr>
            <w:tr w:rsidR="00053D93" w14:paraId="156FA485" w14:textId="77777777">
              <w:trPr>
                <w:trHeight w:val="598"/>
              </w:trPr>
              <w:tc>
                <w:tcPr>
                  <w:tcW w:w="7668" w:type="dxa"/>
                  <w:tcBorders>
                    <w:top w:val="single" w:sz="2" w:space="0" w:color="000000"/>
                    <w:left w:val="single" w:sz="2" w:space="0" w:color="000000"/>
                    <w:bottom w:val="nil"/>
                    <w:right w:val="nil"/>
                  </w:tcBorders>
                </w:tcPr>
                <w:p w14:paraId="3E961A9C" w14:textId="77777777" w:rsidR="00053D93" w:rsidRDefault="00260B75">
                  <w:pPr>
                    <w:ind w:left="835"/>
                  </w:pPr>
                  <w:r>
                    <w:rPr>
                      <w:sz w:val="14"/>
                    </w:rPr>
                    <w:t>MINISTERIO DE EDUCACION</w:t>
                  </w:r>
                </w:p>
                <w:p w14:paraId="1F87B7D4" w14:textId="77777777" w:rsidR="00053D93" w:rsidRDefault="00260B75">
                  <w:pPr>
                    <w:ind w:left="331"/>
                  </w:pPr>
                  <w:r>
                    <w:rPr>
                      <w:sz w:val="14"/>
                    </w:rPr>
                    <w:t>AUDITORIA FINANCIERA Y DE CUMPLIMIENTO</w:t>
                  </w:r>
                </w:p>
                <w:p w14:paraId="34A412BD" w14:textId="77777777" w:rsidR="00053D93" w:rsidRDefault="00260B75">
                  <w:r>
                    <w:rPr>
                      <w:sz w:val="14"/>
                    </w:rPr>
                    <w:t>PERIODO DEL 01 DE ENERO AL 31 DE DICIEMBRE DE 2024</w:t>
                  </w:r>
                </w:p>
              </w:tc>
            </w:tr>
          </w:tbl>
          <w:p w14:paraId="77073D35" w14:textId="77777777" w:rsidR="00053D93" w:rsidRDefault="00053D93"/>
        </w:tc>
      </w:tr>
    </w:tbl>
    <w:p w14:paraId="5BE49B82" w14:textId="77777777" w:rsidR="00053D93" w:rsidRDefault="00260B75">
      <w:pPr>
        <w:spacing w:after="26"/>
        <w:ind w:left="1750" w:right="-22"/>
      </w:pPr>
      <w:r>
        <w:rPr>
          <w:noProof/>
        </w:rPr>
        <mc:AlternateContent>
          <mc:Choice Requires="wpg">
            <w:drawing>
              <wp:inline distT="0" distB="0" distL="0" distR="0" wp14:anchorId="15938381" wp14:editId="5728BBE3">
                <wp:extent cx="5381244" cy="9144"/>
                <wp:effectExtent l="0" t="0" r="0" b="0"/>
                <wp:docPr id="2458500" name="Group 2458500"/>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499" name="Shape 2458499"/>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00" style="width:423.72pt;height:0.719997pt;mso-position-horizontal-relative:char;mso-position-vertical-relative:line" coordsize="53812,91">
                <v:shape id="Shape 2458499" style="position:absolute;width:53812;height:91;left:0;top:0;" coordsize="5381244,9144" path="m0,4572l5381244,4572">
                  <v:stroke weight="0.719997pt" endcap="flat" joinstyle="miter" miterlimit="1" on="true" color="#000000"/>
                  <v:fill on="false" color="#000000"/>
                </v:shape>
              </v:group>
            </w:pict>
          </mc:Fallback>
        </mc:AlternateContent>
      </w:r>
    </w:p>
    <w:p w14:paraId="6C2EC495" w14:textId="77777777" w:rsidR="00053D93" w:rsidRDefault="00260B75">
      <w:pPr>
        <w:spacing w:after="221" w:line="503" w:lineRule="auto"/>
        <w:ind w:left="1728" w:right="14" w:hanging="1714"/>
        <w:jc w:val="both"/>
      </w:pPr>
      <w:r>
        <w:rPr>
          <w:rFonts w:ascii="Times New Roman" w:eastAsia="Times New Roman" w:hAnsi="Times New Roman" w:cs="Times New Roman"/>
          <w:sz w:val="26"/>
        </w:rPr>
        <w:t xml:space="preserve">1 </w:t>
      </w:r>
      <w:r>
        <w:rPr>
          <w:sz w:val="26"/>
        </w:rPr>
        <w:t>y suministros- adquiridos, para ser utilizados por los beneficiarios de conformidad a las actividades de educación física programadas para el ejercicio fiscal 2024.</w:t>
      </w:r>
    </w:p>
    <w:p w14:paraId="593879B8" w14:textId="77777777" w:rsidR="00053D93" w:rsidRDefault="00260B75">
      <w:pPr>
        <w:spacing w:after="17" w:line="299" w:lineRule="auto"/>
        <w:ind w:left="14" w:right="14" w:firstLine="65"/>
        <w:jc w:val="both"/>
      </w:pPr>
      <w:r>
        <w:rPr>
          <w:rFonts w:ascii="Times New Roman" w:eastAsia="Times New Roman" w:hAnsi="Times New Roman" w:cs="Times New Roman"/>
          <w:sz w:val="26"/>
        </w:rPr>
        <w:t xml:space="preserve">1 </w:t>
      </w:r>
      <w:r>
        <w:rPr>
          <w:sz w:val="26"/>
        </w:rPr>
        <w:t xml:space="preserve">Se confirma el hallazgo para el licenciado Edgar Arturo López Talva, Jefe Departamento Torneos Deportivos Escolares; en virtud que, las pruebas presentadas no son suficientes, a pesar que el responsable manifiesta que el </w:t>
      </w:r>
      <w:r>
        <w:rPr>
          <w:rFonts w:ascii="Times New Roman" w:eastAsia="Times New Roman" w:hAnsi="Times New Roman" w:cs="Times New Roman"/>
          <w:sz w:val="26"/>
        </w:rPr>
        <w:t xml:space="preserve">1 </w:t>
      </w:r>
      <w:r>
        <w:rPr>
          <w:sz w:val="26"/>
        </w:rPr>
        <w:t xml:space="preserve">insumo antena de voleibol material fibra de vidrio flexible ingresó al almacén el 18 de julio de 2024, siendo su fecha de utilización el 18 de abril de 2024 y que se le </w:t>
      </w:r>
      <w:r>
        <w:rPr>
          <w:noProof/>
        </w:rPr>
        <w:drawing>
          <wp:inline distT="0" distB="0" distL="0" distR="0" wp14:anchorId="50BCCD01" wp14:editId="76117B86">
            <wp:extent cx="9144" cy="13716"/>
            <wp:effectExtent l="0" t="0" r="0" b="0"/>
            <wp:docPr id="612765" name="Picture 612765"/>
            <wp:cNvGraphicFramePr/>
            <a:graphic xmlns:a="http://schemas.openxmlformats.org/drawingml/2006/main">
              <a:graphicData uri="http://schemas.openxmlformats.org/drawingml/2006/picture">
                <pic:pic xmlns:pic="http://schemas.openxmlformats.org/drawingml/2006/picture">
                  <pic:nvPicPr>
                    <pic:cNvPr id="612765" name="Picture 612765"/>
                    <pic:cNvPicPr/>
                  </pic:nvPicPr>
                  <pic:blipFill>
                    <a:blip r:embed="rId920"/>
                    <a:stretch>
                      <a:fillRect/>
                    </a:stretch>
                  </pic:blipFill>
                  <pic:spPr>
                    <a:xfrm>
                      <a:off x="0" y="0"/>
                      <a:ext cx="9144"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indicó verbalmente por parte del Departamento de Almacén que al momento en que el insumo fue recibido en dicho almacén le fue asignado al Departamento de </w:t>
      </w:r>
      <w:r>
        <w:rPr>
          <w:noProof/>
        </w:rPr>
        <w:drawing>
          <wp:inline distT="0" distB="0" distL="0" distR="0" wp14:anchorId="17BCAD8E" wp14:editId="3C5AED63">
            <wp:extent cx="4572" cy="9144"/>
            <wp:effectExtent l="0" t="0" r="0" b="0"/>
            <wp:docPr id="612766" name="Picture 612766"/>
            <wp:cNvGraphicFramePr/>
            <a:graphic xmlns:a="http://schemas.openxmlformats.org/drawingml/2006/main">
              <a:graphicData uri="http://schemas.openxmlformats.org/drawingml/2006/picture">
                <pic:pic xmlns:pic="http://schemas.openxmlformats.org/drawingml/2006/picture">
                  <pic:nvPicPr>
                    <pic:cNvPr id="612766" name="Picture 612766"/>
                    <pic:cNvPicPr/>
                  </pic:nvPicPr>
                  <pic:blipFill>
                    <a:blip r:embed="rId24"/>
                    <a:stretch>
                      <a:fillRect/>
                    </a:stretch>
                  </pic:blipFill>
                  <pic:spPr>
                    <a:xfrm>
                      <a:off x="0" y="0"/>
                      <a:ext cx="4572" cy="9144"/>
                    </a:xfrm>
                    <a:prstGeom prst="rect">
                      <a:avLst/>
                    </a:prstGeom>
                  </pic:spPr>
                </pic:pic>
              </a:graphicData>
            </a:graphic>
          </wp:inline>
        </w:drawing>
      </w:r>
      <w:r>
        <w:rPr>
          <w:sz w:val="26"/>
        </w:rPr>
        <w:t xml:space="preserve"> Desarrollo Deportivo Escolar, por lo tanto no aparecía como parte del inventario </w:t>
      </w:r>
      <w:r>
        <w:rPr>
          <w:rFonts w:ascii="Times New Roman" w:eastAsia="Times New Roman" w:hAnsi="Times New Roman" w:cs="Times New Roman"/>
          <w:sz w:val="26"/>
        </w:rPr>
        <w:t xml:space="preserve">1 </w:t>
      </w:r>
      <w:r>
        <w:rPr>
          <w:sz w:val="26"/>
        </w:rPr>
        <w:t xml:space="preserve">del Departamento de Torneos Deportivos Escolares y en consecuencia, no pudo sacar los materiales y suministros de la bodega de almacén; sin embargo, el </w:t>
      </w:r>
      <w:r>
        <w:rPr>
          <w:noProof/>
        </w:rPr>
        <w:drawing>
          <wp:inline distT="0" distB="0" distL="0" distR="0" wp14:anchorId="0751CFC7" wp14:editId="689CAC7A">
            <wp:extent cx="13716" cy="13716"/>
            <wp:effectExtent l="0" t="0" r="0" b="0"/>
            <wp:docPr id="612767" name="Picture 612767"/>
            <wp:cNvGraphicFramePr/>
            <a:graphic xmlns:a="http://schemas.openxmlformats.org/drawingml/2006/main">
              <a:graphicData uri="http://schemas.openxmlformats.org/drawingml/2006/picture">
                <pic:pic xmlns:pic="http://schemas.openxmlformats.org/drawingml/2006/picture">
                  <pic:nvPicPr>
                    <pic:cNvPr id="612767" name="Picture 612767"/>
                    <pic:cNvPicPr/>
                  </pic:nvPicPr>
                  <pic:blipFill>
                    <a:blip r:embed="rId921"/>
                    <a:stretch>
                      <a:fillRect/>
                    </a:stretch>
                  </pic:blipFill>
                  <pic:spPr>
                    <a:xfrm>
                      <a:off x="0" y="0"/>
                      <a:ext cx="13716" cy="13716"/>
                    </a:xfrm>
                    <a:prstGeom prst="rect">
                      <a:avLst/>
                    </a:prstGeom>
                  </pic:spPr>
                </pic:pic>
              </a:graphicData>
            </a:graphic>
          </wp:inline>
        </w:drawing>
      </w:r>
      <w:r>
        <w:rPr>
          <w:sz w:val="26"/>
        </w:rPr>
        <w:t xml:space="preserve"> responsable no presentó documentación que demostrara dicha afirmación; </w:t>
      </w:r>
      <w:r>
        <w:rPr>
          <w:rFonts w:ascii="Times New Roman" w:eastAsia="Times New Roman" w:hAnsi="Times New Roman" w:cs="Times New Roman"/>
          <w:sz w:val="26"/>
        </w:rPr>
        <w:t xml:space="preserve">1 </w:t>
      </w:r>
      <w:r>
        <w:rPr>
          <w:sz w:val="26"/>
        </w:rPr>
        <w:t>Además, en cuanto al insumo red material poliuretano futbol 1 1 , el licenciado López, manifiesta que según formulario de despacho No. 38414 del 12 de</w:t>
      </w:r>
    </w:p>
    <w:p w14:paraId="66A26FC4" w14:textId="77777777" w:rsidR="00053D93" w:rsidRDefault="00260B75">
      <w:pPr>
        <w:spacing w:after="28"/>
        <w:ind w:left="43"/>
      </w:pPr>
      <w:r>
        <w:rPr>
          <w:noProof/>
        </w:rPr>
        <w:drawing>
          <wp:inline distT="0" distB="0" distL="0" distR="0" wp14:anchorId="5D91C472" wp14:editId="3C2A3A7B">
            <wp:extent cx="9144" cy="9144"/>
            <wp:effectExtent l="0" t="0" r="0" b="0"/>
            <wp:docPr id="612768" name="Picture 612768"/>
            <wp:cNvGraphicFramePr/>
            <a:graphic xmlns:a="http://schemas.openxmlformats.org/drawingml/2006/main">
              <a:graphicData uri="http://schemas.openxmlformats.org/drawingml/2006/picture">
                <pic:pic xmlns:pic="http://schemas.openxmlformats.org/drawingml/2006/picture">
                  <pic:nvPicPr>
                    <pic:cNvPr id="612768" name="Picture 612768"/>
                    <pic:cNvPicPr/>
                  </pic:nvPicPr>
                  <pic:blipFill>
                    <a:blip r:embed="rId93"/>
                    <a:stretch>
                      <a:fillRect/>
                    </a:stretch>
                  </pic:blipFill>
                  <pic:spPr>
                    <a:xfrm>
                      <a:off x="0" y="0"/>
                      <a:ext cx="9144" cy="9144"/>
                    </a:xfrm>
                    <a:prstGeom prst="rect">
                      <a:avLst/>
                    </a:prstGeom>
                  </pic:spPr>
                </pic:pic>
              </a:graphicData>
            </a:graphic>
          </wp:inline>
        </w:drawing>
      </w:r>
    </w:p>
    <w:p w14:paraId="00A6AFF0" w14:textId="77777777" w:rsidR="00053D93" w:rsidRDefault="00260B75">
      <w:pPr>
        <w:spacing w:after="46" w:line="380" w:lineRule="auto"/>
        <w:ind w:left="14" w:right="14" w:firstLine="4"/>
        <w:jc w:val="both"/>
      </w:pPr>
      <w:r>
        <w:rPr>
          <w:rFonts w:ascii="Times New Roman" w:eastAsia="Times New Roman" w:hAnsi="Times New Roman" w:cs="Times New Roman"/>
          <w:sz w:val="26"/>
        </w:rPr>
        <w:t xml:space="preserve">1 </w:t>
      </w:r>
      <w:r>
        <w:rPr>
          <w:sz w:val="26"/>
        </w:rPr>
        <w:t xml:space="preserve">septiembre de 2024, el insumo fue retirado de la bodega de almacén; en relación al insumo portería de balonmano desarmable, el responsable manifiesta que, por </w:t>
      </w:r>
      <w:r>
        <w:rPr>
          <w:noProof/>
        </w:rPr>
        <w:drawing>
          <wp:inline distT="0" distB="0" distL="0" distR="0" wp14:anchorId="3B125E32" wp14:editId="4AB47204">
            <wp:extent cx="4572" cy="9144"/>
            <wp:effectExtent l="0" t="0" r="0" b="0"/>
            <wp:docPr id="612769" name="Picture 612769"/>
            <wp:cNvGraphicFramePr/>
            <a:graphic xmlns:a="http://schemas.openxmlformats.org/drawingml/2006/main">
              <a:graphicData uri="http://schemas.openxmlformats.org/drawingml/2006/picture">
                <pic:pic xmlns:pic="http://schemas.openxmlformats.org/drawingml/2006/picture">
                  <pic:nvPicPr>
                    <pic:cNvPr id="612769" name="Picture 612769"/>
                    <pic:cNvPicPr/>
                  </pic:nvPicPr>
                  <pic:blipFill>
                    <a:blip r:embed="rId24"/>
                    <a:stretch>
                      <a:fillRect/>
                    </a:stretch>
                  </pic:blipFill>
                  <pic:spPr>
                    <a:xfrm>
                      <a:off x="0" y="0"/>
                      <a:ext cx="4572" cy="9144"/>
                    </a:xfrm>
                    <a:prstGeom prst="rect">
                      <a:avLst/>
                    </a:prstGeom>
                  </pic:spPr>
                </pic:pic>
              </a:graphicData>
            </a:graphic>
          </wp:inline>
        </w:drawing>
      </w:r>
      <w:r>
        <w:rPr>
          <w:sz w:val="26"/>
        </w:rPr>
        <w:t xml:space="preserve"> ser un insumo inventariable, previo a salir del almacén debía asignarse en su</w:t>
      </w:r>
    </w:p>
    <w:p w14:paraId="15B835B9" w14:textId="77777777" w:rsidR="00053D93" w:rsidRDefault="00260B75">
      <w:pPr>
        <w:spacing w:after="17" w:line="325" w:lineRule="auto"/>
        <w:ind w:left="14" w:right="14" w:firstLine="4"/>
        <w:jc w:val="both"/>
      </w:pPr>
      <w:r>
        <w:rPr>
          <w:rFonts w:ascii="Times New Roman" w:eastAsia="Times New Roman" w:hAnsi="Times New Roman" w:cs="Times New Roman"/>
          <w:sz w:val="26"/>
        </w:rPr>
        <w:t xml:space="preserve">1 </w:t>
      </w:r>
      <w:r>
        <w:rPr>
          <w:sz w:val="26"/>
        </w:rPr>
        <w:t xml:space="preserve">tarjeta de responsabilidad de bienes muebles, razón por la cual no pudo sacar dichas porterías del almacén; argumento que no se considera valido, toda vez que </w:t>
      </w:r>
      <w:r>
        <w:rPr>
          <w:noProof/>
        </w:rPr>
        <w:drawing>
          <wp:inline distT="0" distB="0" distL="0" distR="0" wp14:anchorId="0786D2BB" wp14:editId="5A4F0A27">
            <wp:extent cx="22860" cy="9144"/>
            <wp:effectExtent l="0" t="0" r="0" b="0"/>
            <wp:docPr id="2458495" name="Picture 2458495"/>
            <wp:cNvGraphicFramePr/>
            <a:graphic xmlns:a="http://schemas.openxmlformats.org/drawingml/2006/main">
              <a:graphicData uri="http://schemas.openxmlformats.org/drawingml/2006/picture">
                <pic:pic xmlns:pic="http://schemas.openxmlformats.org/drawingml/2006/picture">
                  <pic:nvPicPr>
                    <pic:cNvPr id="2458495" name="Picture 2458495"/>
                    <pic:cNvPicPr/>
                  </pic:nvPicPr>
                  <pic:blipFill>
                    <a:blip r:embed="rId922"/>
                    <a:stretch>
                      <a:fillRect/>
                    </a:stretch>
                  </pic:blipFill>
                  <pic:spPr>
                    <a:xfrm>
                      <a:off x="0" y="0"/>
                      <a:ext cx="22860" cy="9144"/>
                    </a:xfrm>
                    <a:prstGeom prst="rect">
                      <a:avLst/>
                    </a:prstGeom>
                  </pic:spPr>
                </pic:pic>
              </a:graphicData>
            </a:graphic>
          </wp:inline>
        </w:drawing>
      </w:r>
      <w:r>
        <w:rPr>
          <w:sz w:val="26"/>
        </w:rPr>
        <w:t xml:space="preserve"> dichas gestiones para asignar el bien en sus tarjetas de responsabilidad debieron </w:t>
      </w:r>
      <w:r>
        <w:rPr>
          <w:rFonts w:ascii="Times New Roman" w:eastAsia="Times New Roman" w:hAnsi="Times New Roman" w:cs="Times New Roman"/>
          <w:sz w:val="26"/>
        </w:rPr>
        <w:t xml:space="preserve">1 </w:t>
      </w:r>
      <w:r>
        <w:rPr>
          <w:sz w:val="26"/>
        </w:rPr>
        <w:t xml:space="preserve">realizarse de manera oportuna durante el </w:t>
      </w:r>
      <w:r>
        <w:rPr>
          <w:sz w:val="26"/>
        </w:rPr>
        <w:lastRenderedPageBreak/>
        <w:t>ejercicio fiscal 2024, además, los 3 bienes, materiales y suministros mencionados anteriormente, no fueron retirados</w:t>
      </w:r>
    </w:p>
    <w:p w14:paraId="56F1C223" w14:textId="77777777" w:rsidR="00053D93" w:rsidRDefault="00260B75">
      <w:pPr>
        <w:spacing w:after="48"/>
        <w:ind w:left="29"/>
      </w:pPr>
      <w:r>
        <w:rPr>
          <w:noProof/>
        </w:rPr>
        <w:drawing>
          <wp:inline distT="0" distB="0" distL="0" distR="0" wp14:anchorId="2545592E" wp14:editId="707AF979">
            <wp:extent cx="18288" cy="4572"/>
            <wp:effectExtent l="0" t="0" r="0" b="0"/>
            <wp:docPr id="612772" name="Picture 612772"/>
            <wp:cNvGraphicFramePr/>
            <a:graphic xmlns:a="http://schemas.openxmlformats.org/drawingml/2006/main">
              <a:graphicData uri="http://schemas.openxmlformats.org/drawingml/2006/picture">
                <pic:pic xmlns:pic="http://schemas.openxmlformats.org/drawingml/2006/picture">
                  <pic:nvPicPr>
                    <pic:cNvPr id="612772" name="Picture 612772"/>
                    <pic:cNvPicPr/>
                  </pic:nvPicPr>
                  <pic:blipFill>
                    <a:blip r:embed="rId93"/>
                    <a:stretch>
                      <a:fillRect/>
                    </a:stretch>
                  </pic:blipFill>
                  <pic:spPr>
                    <a:xfrm>
                      <a:off x="0" y="0"/>
                      <a:ext cx="18288" cy="4572"/>
                    </a:xfrm>
                    <a:prstGeom prst="rect">
                      <a:avLst/>
                    </a:prstGeom>
                  </pic:spPr>
                </pic:pic>
              </a:graphicData>
            </a:graphic>
          </wp:inline>
        </w:drawing>
      </w:r>
    </w:p>
    <w:p w14:paraId="13B1AC72" w14:textId="77777777" w:rsidR="00053D93" w:rsidRDefault="00260B75">
      <w:pPr>
        <w:spacing w:after="17" w:line="325" w:lineRule="auto"/>
        <w:ind w:left="14" w:right="14" w:firstLine="58"/>
        <w:jc w:val="both"/>
      </w:pPr>
      <w:r>
        <w:rPr>
          <w:rFonts w:ascii="Times New Roman" w:eastAsia="Times New Roman" w:hAnsi="Times New Roman" w:cs="Times New Roman"/>
          <w:sz w:val="26"/>
        </w:rPr>
        <w:t xml:space="preserve">1 </w:t>
      </w:r>
      <w:r>
        <w:rPr>
          <w:sz w:val="26"/>
        </w:rPr>
        <w:t xml:space="preserve">de la bodega del Departamento de Almacén para su utilización oportuna durante el año 2024, lo cual se pudo constatar por el equipo de auditoría durante la verificación física realizada en la bodega de dicho departamento el 24 de enero de </w:t>
      </w:r>
      <w:r>
        <w:rPr>
          <w:rFonts w:ascii="Times New Roman" w:eastAsia="Times New Roman" w:hAnsi="Times New Roman" w:cs="Times New Roman"/>
          <w:sz w:val="26"/>
        </w:rPr>
        <w:t xml:space="preserve">1 </w:t>
      </w:r>
      <w:r>
        <w:rPr>
          <w:sz w:val="26"/>
        </w:rPr>
        <w:t xml:space="preserve">2025, fecha en fa cual aún permanecían dicho equipo, materiales y suministros en la bodega del Departamento de Almacén de la DIGEF; por lo que, dichos bienes, </w:t>
      </w:r>
      <w:r>
        <w:rPr>
          <w:noProof/>
        </w:rPr>
        <w:drawing>
          <wp:inline distT="0" distB="0" distL="0" distR="0" wp14:anchorId="38C186E7" wp14:editId="73610DC7">
            <wp:extent cx="32004" cy="9144"/>
            <wp:effectExtent l="0" t="0" r="0" b="0"/>
            <wp:docPr id="2458497" name="Picture 2458497"/>
            <wp:cNvGraphicFramePr/>
            <a:graphic xmlns:a="http://schemas.openxmlformats.org/drawingml/2006/main">
              <a:graphicData uri="http://schemas.openxmlformats.org/drawingml/2006/picture">
                <pic:pic xmlns:pic="http://schemas.openxmlformats.org/drawingml/2006/picture">
                  <pic:nvPicPr>
                    <pic:cNvPr id="2458497" name="Picture 2458497"/>
                    <pic:cNvPicPr/>
                  </pic:nvPicPr>
                  <pic:blipFill>
                    <a:blip r:embed="rId923"/>
                    <a:stretch>
                      <a:fillRect/>
                    </a:stretch>
                  </pic:blipFill>
                  <pic:spPr>
                    <a:xfrm>
                      <a:off x="0" y="0"/>
                      <a:ext cx="32004"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materiales y suministros, no fueron utilizados oportunamente por los beneficiarios conforme a las actividades de educación física programadas para el ejercicio fiscal</w:t>
      </w:r>
    </w:p>
    <w:p w14:paraId="2231469E" w14:textId="77777777" w:rsidR="00053D93" w:rsidRDefault="00260B75">
      <w:pPr>
        <w:spacing w:after="261"/>
        <w:ind w:left="1724" w:hanging="10"/>
      </w:pPr>
      <w:r>
        <w:rPr>
          <w:rFonts w:ascii="Times New Roman" w:eastAsia="Times New Roman" w:hAnsi="Times New Roman" w:cs="Times New Roman"/>
          <w:sz w:val="24"/>
        </w:rPr>
        <w:t>2024.</w:t>
      </w:r>
    </w:p>
    <w:p w14:paraId="576ECD86" w14:textId="77777777" w:rsidR="00053D93" w:rsidRDefault="00260B75">
      <w:pPr>
        <w:spacing w:after="3"/>
        <w:ind w:left="89" w:hanging="10"/>
      </w:pPr>
      <w:r>
        <w:rPr>
          <w:rFonts w:ascii="Times New Roman" w:eastAsia="Times New Roman" w:hAnsi="Times New Roman" w:cs="Times New Roman"/>
          <w:sz w:val="72"/>
        </w:rPr>
        <w:t>1</w:t>
      </w:r>
    </w:p>
    <w:p w14:paraId="50CF7B60" w14:textId="77777777" w:rsidR="00053D93" w:rsidRDefault="00260B75">
      <w:pPr>
        <w:spacing w:after="17" w:line="247" w:lineRule="auto"/>
        <w:ind w:left="14" w:right="14" w:firstLine="1699"/>
        <w:jc w:val="both"/>
      </w:pPr>
      <w:r>
        <w:rPr>
          <w:sz w:val="26"/>
        </w:rPr>
        <w:t xml:space="preserve">Se confirma el hallazgo, para el licenciado Francisco Antonio Quiñónez Santizo, </w:t>
      </w:r>
      <w:r>
        <w:rPr>
          <w:noProof/>
        </w:rPr>
        <w:drawing>
          <wp:inline distT="0" distB="0" distL="0" distR="0" wp14:anchorId="6D5A7E88" wp14:editId="43B50F55">
            <wp:extent cx="13716" cy="9144"/>
            <wp:effectExtent l="0" t="0" r="0" b="0"/>
            <wp:docPr id="612775" name="Picture 612775"/>
            <wp:cNvGraphicFramePr/>
            <a:graphic xmlns:a="http://schemas.openxmlformats.org/drawingml/2006/main">
              <a:graphicData uri="http://schemas.openxmlformats.org/drawingml/2006/picture">
                <pic:pic xmlns:pic="http://schemas.openxmlformats.org/drawingml/2006/picture">
                  <pic:nvPicPr>
                    <pic:cNvPr id="612775" name="Picture 612775"/>
                    <pic:cNvPicPr/>
                  </pic:nvPicPr>
                  <pic:blipFill>
                    <a:blip r:embed="rId49"/>
                    <a:stretch>
                      <a:fillRect/>
                    </a:stretch>
                  </pic:blipFill>
                  <pic:spPr>
                    <a:xfrm>
                      <a:off x="0" y="0"/>
                      <a:ext cx="13716" cy="9144"/>
                    </a:xfrm>
                    <a:prstGeom prst="rect">
                      <a:avLst/>
                    </a:prstGeom>
                  </pic:spPr>
                </pic:pic>
              </a:graphicData>
            </a:graphic>
          </wp:inline>
        </w:drawing>
      </w:r>
      <w:r>
        <w:rPr>
          <w:sz w:val="26"/>
        </w:rPr>
        <w:t xml:space="preserve"> quien fungió como Jefe de Departamento de Desarrollo Deportivo Escolar A.l., por </w:t>
      </w:r>
      <w:r>
        <w:rPr>
          <w:rFonts w:ascii="Times New Roman" w:eastAsia="Times New Roman" w:hAnsi="Times New Roman" w:cs="Times New Roman"/>
          <w:sz w:val="26"/>
        </w:rPr>
        <w:t xml:space="preserve">1 </w:t>
      </w:r>
      <w:r>
        <w:rPr>
          <w:sz w:val="26"/>
        </w:rPr>
        <w:t xml:space="preserve">el período comprendido del 14 de marzo de 2024 al 14 de octubre de 2024; en virtud que, las pruebas presentadas no son suficientes, a pesar de manifestar que </w:t>
      </w:r>
      <w:r>
        <w:rPr>
          <w:noProof/>
        </w:rPr>
        <w:drawing>
          <wp:inline distT="0" distB="0" distL="0" distR="0" wp14:anchorId="141A0753" wp14:editId="4597ADA7">
            <wp:extent cx="36576" cy="4572"/>
            <wp:effectExtent l="0" t="0" r="0" b="0"/>
            <wp:docPr id="612776" name="Picture 612776"/>
            <wp:cNvGraphicFramePr/>
            <a:graphic xmlns:a="http://schemas.openxmlformats.org/drawingml/2006/main">
              <a:graphicData uri="http://schemas.openxmlformats.org/drawingml/2006/picture">
                <pic:pic xmlns:pic="http://schemas.openxmlformats.org/drawingml/2006/picture">
                  <pic:nvPicPr>
                    <pic:cNvPr id="612776" name="Picture 612776"/>
                    <pic:cNvPicPr/>
                  </pic:nvPicPr>
                  <pic:blipFill>
                    <a:blip r:embed="rId844"/>
                    <a:stretch>
                      <a:fillRect/>
                    </a:stretch>
                  </pic:blipFill>
                  <pic:spPr>
                    <a:xfrm>
                      <a:off x="0" y="0"/>
                      <a:ext cx="36576" cy="4572"/>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la implementación deportiva indicada, estaba destinada a ser utilizada en las instalaciones de la DIGEF, con los niños y niñas de nuevo ingreso que se incorporan a las Escuelas de Iniciación Deportiva; por lo que, dicha </w:t>
      </w:r>
      <w:r>
        <w:rPr>
          <w:rFonts w:ascii="Times New Roman" w:eastAsia="Times New Roman" w:hAnsi="Times New Roman" w:cs="Times New Roman"/>
          <w:sz w:val="26"/>
        </w:rPr>
        <w:t xml:space="preserve">1 </w:t>
      </w:r>
      <w:r>
        <w:rPr>
          <w:sz w:val="26"/>
        </w:rPr>
        <w:t>implementación debía cargarse a los maestros con renglón presupuestario 01 1 personal permanente, por medio de tarjetas de responsabilidad para su cuidado, resguardo y buen uso; sin embargo, debido a que dichos maestros fueron</w:t>
      </w:r>
    </w:p>
    <w:tbl>
      <w:tblPr>
        <w:tblStyle w:val="TableGrid"/>
        <w:tblW w:w="9425" w:type="dxa"/>
        <w:tblInd w:w="742" w:type="dxa"/>
        <w:tblLook w:val="04A0" w:firstRow="1" w:lastRow="0" w:firstColumn="1" w:lastColumn="0" w:noHBand="0" w:noVBand="1"/>
      </w:tblPr>
      <w:tblGrid>
        <w:gridCol w:w="1296"/>
        <w:gridCol w:w="8186"/>
      </w:tblGrid>
      <w:tr w:rsidR="00053D93" w14:paraId="7F172203" w14:textId="77777777">
        <w:trPr>
          <w:trHeight w:val="648"/>
        </w:trPr>
        <w:tc>
          <w:tcPr>
            <w:tcW w:w="1782" w:type="dxa"/>
            <w:tcBorders>
              <w:top w:val="nil"/>
              <w:left w:val="nil"/>
              <w:bottom w:val="nil"/>
              <w:right w:val="nil"/>
            </w:tcBorders>
          </w:tcPr>
          <w:p w14:paraId="42BCE8B8" w14:textId="77777777" w:rsidR="00053D93" w:rsidRDefault="00260B75">
            <w:r>
              <w:rPr>
                <w:noProof/>
              </w:rPr>
              <w:drawing>
                <wp:inline distT="0" distB="0" distL="0" distR="0" wp14:anchorId="66EDC9D7" wp14:editId="4B6525B4">
                  <wp:extent cx="1120140" cy="411480"/>
                  <wp:effectExtent l="0" t="0" r="0" b="0"/>
                  <wp:docPr id="612820" name="Picture 612820"/>
                  <wp:cNvGraphicFramePr/>
                  <a:graphic xmlns:a="http://schemas.openxmlformats.org/drawingml/2006/main">
                    <a:graphicData uri="http://schemas.openxmlformats.org/drawingml/2006/picture">
                      <pic:pic xmlns:pic="http://schemas.openxmlformats.org/drawingml/2006/picture">
                        <pic:nvPicPr>
                          <pic:cNvPr id="612820" name="Picture 612820"/>
                          <pic:cNvPicPr/>
                        </pic:nvPicPr>
                        <pic:blipFill>
                          <a:blip r:embed="rId924"/>
                          <a:stretch>
                            <a:fillRect/>
                          </a:stretch>
                        </pic:blipFill>
                        <pic:spPr>
                          <a:xfrm>
                            <a:off x="0" y="0"/>
                            <a:ext cx="1120140" cy="411480"/>
                          </a:xfrm>
                          <a:prstGeom prst="rect">
                            <a:avLst/>
                          </a:prstGeom>
                        </pic:spPr>
                      </pic:pic>
                    </a:graphicData>
                  </a:graphic>
                </wp:inline>
              </w:drawing>
            </w:r>
          </w:p>
        </w:tc>
        <w:tc>
          <w:tcPr>
            <w:tcW w:w="7643" w:type="dxa"/>
            <w:tcBorders>
              <w:top w:val="nil"/>
              <w:left w:val="nil"/>
              <w:bottom w:val="nil"/>
              <w:right w:val="nil"/>
            </w:tcBorders>
          </w:tcPr>
          <w:p w14:paraId="6438A253" w14:textId="77777777" w:rsidR="00053D93" w:rsidRDefault="00053D93">
            <w:pPr>
              <w:ind w:left="-2826" w:right="10469"/>
            </w:pPr>
          </w:p>
          <w:tbl>
            <w:tblPr>
              <w:tblStyle w:val="TableGrid"/>
              <w:tblW w:w="7625" w:type="dxa"/>
              <w:tblInd w:w="18" w:type="dxa"/>
              <w:tblCellMar>
                <w:top w:w="26" w:type="dxa"/>
                <w:left w:w="1735" w:type="dxa"/>
                <w:right w:w="115" w:type="dxa"/>
              </w:tblCellMar>
              <w:tblLook w:val="04A0" w:firstRow="1" w:lastRow="0" w:firstColumn="1" w:lastColumn="0" w:noHBand="0" w:noVBand="1"/>
            </w:tblPr>
            <w:tblGrid>
              <w:gridCol w:w="7625"/>
            </w:tblGrid>
            <w:tr w:rsidR="00053D93" w14:paraId="13ED4611" w14:textId="77777777">
              <w:trPr>
                <w:trHeight w:val="58"/>
              </w:trPr>
              <w:tc>
                <w:tcPr>
                  <w:tcW w:w="7625" w:type="dxa"/>
                  <w:tcBorders>
                    <w:top w:val="nil"/>
                    <w:left w:val="single" w:sz="2" w:space="0" w:color="000000"/>
                    <w:bottom w:val="single" w:sz="2" w:space="0" w:color="000000"/>
                    <w:right w:val="nil"/>
                  </w:tcBorders>
                </w:tcPr>
                <w:p w14:paraId="6BB82EEE" w14:textId="77777777" w:rsidR="00053D93" w:rsidRDefault="00053D93"/>
              </w:tc>
            </w:tr>
            <w:tr w:rsidR="00053D93" w14:paraId="1039F77F" w14:textId="77777777">
              <w:trPr>
                <w:trHeight w:val="583"/>
              </w:trPr>
              <w:tc>
                <w:tcPr>
                  <w:tcW w:w="7625" w:type="dxa"/>
                  <w:tcBorders>
                    <w:top w:val="single" w:sz="2" w:space="0" w:color="000000"/>
                    <w:left w:val="single" w:sz="2" w:space="0" w:color="000000"/>
                    <w:bottom w:val="nil"/>
                    <w:right w:val="nil"/>
                  </w:tcBorders>
                </w:tcPr>
                <w:p w14:paraId="10A5B958" w14:textId="77777777" w:rsidR="00053D93" w:rsidRDefault="00260B75">
                  <w:pPr>
                    <w:ind w:left="835"/>
                  </w:pPr>
                  <w:r>
                    <w:rPr>
                      <w:sz w:val="14"/>
                    </w:rPr>
                    <w:t>MINISTERIO DE EDUCACION</w:t>
                  </w:r>
                </w:p>
                <w:p w14:paraId="40C41D2A" w14:textId="77777777" w:rsidR="00053D93" w:rsidRDefault="00260B75">
                  <w:pPr>
                    <w:ind w:left="338"/>
                  </w:pPr>
                  <w:r>
                    <w:rPr>
                      <w:sz w:val="14"/>
                    </w:rPr>
                    <w:t>AUDITORIA FINANCIERA Y DE CUMPLIMIENTO</w:t>
                  </w:r>
                </w:p>
                <w:p w14:paraId="3E9FB6F0" w14:textId="77777777" w:rsidR="00053D93" w:rsidRDefault="00260B75">
                  <w:r>
                    <w:rPr>
                      <w:sz w:val="14"/>
                    </w:rPr>
                    <w:t>PERIODO DEt. 01 DE ENERO AL 31 OE DICIEMBRE OE 2024</w:t>
                  </w:r>
                </w:p>
              </w:tc>
            </w:tr>
          </w:tbl>
          <w:p w14:paraId="1AD8829B" w14:textId="77777777" w:rsidR="00053D93" w:rsidRDefault="00053D93"/>
        </w:tc>
      </w:tr>
    </w:tbl>
    <w:p w14:paraId="3580C5A7" w14:textId="77777777" w:rsidR="00053D93" w:rsidRDefault="00053D93">
      <w:pPr>
        <w:sectPr w:rsidR="00053D93">
          <w:headerReference w:type="even" r:id="rId925"/>
          <w:headerReference w:type="default" r:id="rId926"/>
          <w:footerReference w:type="even" r:id="rId927"/>
          <w:footerReference w:type="default" r:id="rId928"/>
          <w:headerReference w:type="first" r:id="rId929"/>
          <w:footerReference w:type="first" r:id="rId930"/>
          <w:pgSz w:w="12290" w:h="15883"/>
          <w:pgMar w:top="734" w:right="1764" w:bottom="792" w:left="302" w:header="374" w:footer="202" w:gutter="0"/>
          <w:cols w:space="720"/>
          <w:titlePg/>
        </w:sectPr>
      </w:pPr>
    </w:p>
    <w:p w14:paraId="282B5530" w14:textId="77777777" w:rsidR="00053D93" w:rsidRDefault="00260B75">
      <w:pPr>
        <w:spacing w:after="10"/>
        <w:ind w:left="1519" w:right="-216"/>
      </w:pPr>
      <w:r>
        <w:rPr>
          <w:noProof/>
        </w:rPr>
        <w:lastRenderedPageBreak/>
        <mc:AlternateContent>
          <mc:Choice Requires="wpg">
            <w:drawing>
              <wp:inline distT="0" distB="0" distL="0" distR="0" wp14:anchorId="02645A1D" wp14:editId="5EE1B757">
                <wp:extent cx="5655564" cy="9144"/>
                <wp:effectExtent l="0" t="0" r="0" b="0"/>
                <wp:docPr id="2458504" name="Group 2458504"/>
                <wp:cNvGraphicFramePr/>
                <a:graphic xmlns:a="http://schemas.openxmlformats.org/drawingml/2006/main">
                  <a:graphicData uri="http://schemas.microsoft.com/office/word/2010/wordprocessingGroup">
                    <wpg:wgp>
                      <wpg:cNvGrpSpPr/>
                      <wpg:grpSpPr>
                        <a:xfrm>
                          <a:off x="0" y="0"/>
                          <a:ext cx="5655564" cy="9144"/>
                          <a:chOff x="0" y="0"/>
                          <a:chExt cx="5655564" cy="9144"/>
                        </a:xfrm>
                      </wpg:grpSpPr>
                      <wps:wsp>
                        <wps:cNvPr id="2458503" name="Shape 2458503"/>
                        <wps:cNvSpPr/>
                        <wps:spPr>
                          <a:xfrm>
                            <a:off x="0" y="0"/>
                            <a:ext cx="5655564" cy="9144"/>
                          </a:xfrm>
                          <a:custGeom>
                            <a:avLst/>
                            <a:gdLst/>
                            <a:ahLst/>
                            <a:cxnLst/>
                            <a:rect l="0" t="0" r="0" b="0"/>
                            <a:pathLst>
                              <a:path w="5655564" h="9144">
                                <a:moveTo>
                                  <a:pt x="0" y="4572"/>
                                </a:moveTo>
                                <a:lnTo>
                                  <a:pt x="565556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04" style="width:445.32pt;height:0.720001pt;mso-position-horizontal-relative:char;mso-position-vertical-relative:line" coordsize="56555,91">
                <v:shape id="Shape 2458503" style="position:absolute;width:56555;height:91;left:0;top:0;" coordsize="5655564,9144" path="m0,4572l5655564,4572">
                  <v:stroke weight="0.720001pt" endcap="flat" joinstyle="miter" miterlimit="1" on="true" color="#000000"/>
                  <v:fill on="false" color="#000000"/>
                </v:shape>
              </v:group>
            </w:pict>
          </mc:Fallback>
        </mc:AlternateContent>
      </w:r>
    </w:p>
    <w:p w14:paraId="216FCAC9" w14:textId="77777777" w:rsidR="00053D93" w:rsidRDefault="00260B75">
      <w:pPr>
        <w:spacing w:after="17" w:line="304" w:lineRule="auto"/>
        <w:ind w:left="14" w:right="14" w:firstLine="4"/>
        <w:jc w:val="both"/>
      </w:pPr>
      <w:r>
        <w:rPr>
          <w:rFonts w:ascii="Times New Roman" w:eastAsia="Times New Roman" w:hAnsi="Times New Roman" w:cs="Times New Roman"/>
          <w:sz w:val="26"/>
        </w:rPr>
        <w:t xml:space="preserve">1 </w:t>
      </w:r>
      <w:r>
        <w:rPr>
          <w:sz w:val="26"/>
        </w:rPr>
        <w:t xml:space="preserve">hombradoé a sus escuelas, ya no fue prudente sacar el equipo, material y suministro del Departamento de Almacén; debido a que, quedarían sin uso, a la intemperie y/o se perderían o deteriorarían; por lo que, optó por dejarlos en </w:t>
      </w:r>
      <w:r>
        <w:rPr>
          <w:rFonts w:ascii="Times New Roman" w:eastAsia="Times New Roman" w:hAnsi="Times New Roman" w:cs="Times New Roman"/>
          <w:sz w:val="26"/>
        </w:rPr>
        <w:t xml:space="preserve">1 </w:t>
      </w:r>
      <w:r>
        <w:rPr>
          <w:sz w:val="26"/>
        </w:rPr>
        <w:t xml:space="preserve">almacén para darle salida posteriormente, cuando las nuevas autoridades realizaran la contratación de maestros para ta disciplina de gimnasia; sin embargo, </w:t>
      </w:r>
      <w:r>
        <w:rPr>
          <w:rFonts w:ascii="Times New Roman" w:eastAsia="Times New Roman" w:hAnsi="Times New Roman" w:cs="Times New Roman"/>
          <w:sz w:val="26"/>
        </w:rPr>
        <w:t xml:space="preserve">1 </w:t>
      </w:r>
      <w:r>
        <w:rPr>
          <w:sz w:val="26"/>
        </w:rPr>
        <w:t xml:space="preserve">el responsable no presentó documentación que confirmara dicha afirmación, aceptando que él tomó la decisión de no sacarlos del almacén, lo cual afecta al logro de los objetivos institucionales programados en la DIGEF, para el ejercicio </w:t>
      </w:r>
      <w:r>
        <w:rPr>
          <w:rFonts w:ascii="Times New Roman" w:eastAsia="Times New Roman" w:hAnsi="Times New Roman" w:cs="Times New Roman"/>
          <w:sz w:val="26"/>
        </w:rPr>
        <w:t xml:space="preserve">1 </w:t>
      </w:r>
      <w:r>
        <w:rPr>
          <w:sz w:val="26"/>
        </w:rPr>
        <w:t xml:space="preserve">fiscal 2024. Asimismo, el licenciado Quiñonez, manifiesta que, en el caso de la implementación de natación acordó con los maestros encargados, que le daría salida a los implementos en el momento que se completara los grupos de nuevo </w:t>
      </w:r>
      <w:r>
        <w:rPr>
          <w:rFonts w:ascii="Times New Roman" w:eastAsia="Times New Roman" w:hAnsi="Times New Roman" w:cs="Times New Roman"/>
          <w:sz w:val="26"/>
        </w:rPr>
        <w:t xml:space="preserve">1 </w:t>
      </w:r>
      <w:r>
        <w:rPr>
          <w:sz w:val="26"/>
        </w:rPr>
        <w:t xml:space="preserve">ingreso al equipo de natación, lo que demuestra que las compras fueron requeridas sin contar con una planificación apropiada que permitiera el uso </w:t>
      </w:r>
      <w:r>
        <w:rPr>
          <w:rFonts w:ascii="Times New Roman" w:eastAsia="Times New Roman" w:hAnsi="Times New Roman" w:cs="Times New Roman"/>
          <w:sz w:val="26"/>
        </w:rPr>
        <w:t xml:space="preserve">1 </w:t>
      </w:r>
      <w:r>
        <w:rPr>
          <w:sz w:val="26"/>
        </w:rPr>
        <w:t>oportuno de los implementos deportivos. Además, según se pudo verificar por parte del equipo de auditoría, el Departamento de Desarrollo Deportivo Escolar realizó la compra de varios equipos, materiales y suministros, los cuales se</w:t>
      </w:r>
    </w:p>
    <w:p w14:paraId="58C34B46" w14:textId="77777777" w:rsidR="00053D93" w:rsidRDefault="00260B75">
      <w:pPr>
        <w:spacing w:after="36"/>
        <w:ind w:left="43"/>
      </w:pPr>
      <w:r>
        <w:rPr>
          <w:noProof/>
        </w:rPr>
        <w:drawing>
          <wp:inline distT="0" distB="0" distL="0" distR="0" wp14:anchorId="14437647" wp14:editId="7B1D3AF6">
            <wp:extent cx="9144" cy="9144"/>
            <wp:effectExtent l="0" t="0" r="0" b="0"/>
            <wp:docPr id="616711" name="Picture 616711"/>
            <wp:cNvGraphicFramePr/>
            <a:graphic xmlns:a="http://schemas.openxmlformats.org/drawingml/2006/main">
              <a:graphicData uri="http://schemas.openxmlformats.org/drawingml/2006/picture">
                <pic:pic xmlns:pic="http://schemas.openxmlformats.org/drawingml/2006/picture">
                  <pic:nvPicPr>
                    <pic:cNvPr id="616711" name="Picture 616711"/>
                    <pic:cNvPicPr/>
                  </pic:nvPicPr>
                  <pic:blipFill>
                    <a:blip r:embed="rId117"/>
                    <a:stretch>
                      <a:fillRect/>
                    </a:stretch>
                  </pic:blipFill>
                  <pic:spPr>
                    <a:xfrm>
                      <a:off x="0" y="0"/>
                      <a:ext cx="9144" cy="9144"/>
                    </a:xfrm>
                    <a:prstGeom prst="rect">
                      <a:avLst/>
                    </a:prstGeom>
                  </pic:spPr>
                </pic:pic>
              </a:graphicData>
            </a:graphic>
          </wp:inline>
        </w:drawing>
      </w:r>
    </w:p>
    <w:p w14:paraId="572B967E" w14:textId="77777777" w:rsidR="00053D93" w:rsidRDefault="00260B75">
      <w:pPr>
        <w:spacing w:after="17" w:line="306" w:lineRule="auto"/>
        <w:ind w:left="14" w:right="14" w:firstLine="4"/>
        <w:jc w:val="both"/>
      </w:pPr>
      <w:r>
        <w:rPr>
          <w:noProof/>
        </w:rPr>
        <w:drawing>
          <wp:anchor distT="0" distB="0" distL="114300" distR="114300" simplePos="0" relativeHeight="252050432" behindDoc="0" locked="0" layoutInCell="1" allowOverlap="0" wp14:anchorId="2B6BDFE9" wp14:editId="6479C0E3">
            <wp:simplePos x="0" y="0"/>
            <wp:positionH relativeFrom="page">
              <wp:posOffset>6780276</wp:posOffset>
            </wp:positionH>
            <wp:positionV relativeFrom="page">
              <wp:posOffset>8106156</wp:posOffset>
            </wp:positionV>
            <wp:extent cx="9144" cy="4572"/>
            <wp:effectExtent l="0" t="0" r="0" b="0"/>
            <wp:wrapSquare wrapText="bothSides"/>
            <wp:docPr id="616718" name="Picture 616718"/>
            <wp:cNvGraphicFramePr/>
            <a:graphic xmlns:a="http://schemas.openxmlformats.org/drawingml/2006/main">
              <a:graphicData uri="http://schemas.openxmlformats.org/drawingml/2006/picture">
                <pic:pic xmlns:pic="http://schemas.openxmlformats.org/drawingml/2006/picture">
                  <pic:nvPicPr>
                    <pic:cNvPr id="616718" name="Picture 616718"/>
                    <pic:cNvPicPr/>
                  </pic:nvPicPr>
                  <pic:blipFill>
                    <a:blip r:embed="rId24"/>
                    <a:stretch>
                      <a:fillRect/>
                    </a:stretch>
                  </pic:blipFill>
                  <pic:spPr>
                    <a:xfrm>
                      <a:off x="0" y="0"/>
                      <a:ext cx="9144" cy="4572"/>
                    </a:xfrm>
                    <a:prstGeom prst="rect">
                      <a:avLst/>
                    </a:prstGeom>
                  </pic:spPr>
                </pic:pic>
              </a:graphicData>
            </a:graphic>
          </wp:anchor>
        </w:drawing>
      </w:r>
      <w:r>
        <w:rPr>
          <w:noProof/>
        </w:rPr>
        <mc:AlternateContent>
          <mc:Choice Requires="wpg">
            <w:drawing>
              <wp:anchor distT="0" distB="0" distL="114300" distR="114300" simplePos="0" relativeHeight="252051456" behindDoc="0" locked="0" layoutInCell="1" allowOverlap="1" wp14:anchorId="2DE9BD1A" wp14:editId="7B0852DA">
                <wp:simplePos x="0" y="0"/>
                <wp:positionH relativeFrom="column">
                  <wp:posOffset>45720</wp:posOffset>
                </wp:positionH>
                <wp:positionV relativeFrom="paragraph">
                  <wp:posOffset>973679</wp:posOffset>
                </wp:positionV>
                <wp:extent cx="118872" cy="310896"/>
                <wp:effectExtent l="0" t="0" r="0" b="0"/>
                <wp:wrapSquare wrapText="bothSides"/>
                <wp:docPr id="2456019" name="Group 2456019"/>
                <wp:cNvGraphicFramePr/>
                <a:graphic xmlns:a="http://schemas.openxmlformats.org/drawingml/2006/main">
                  <a:graphicData uri="http://schemas.microsoft.com/office/word/2010/wordprocessingGroup">
                    <wpg:wgp>
                      <wpg:cNvGrpSpPr/>
                      <wpg:grpSpPr>
                        <a:xfrm>
                          <a:off x="0" y="0"/>
                          <a:ext cx="118872" cy="310896"/>
                          <a:chOff x="0" y="0"/>
                          <a:chExt cx="118872" cy="310896"/>
                        </a:xfrm>
                      </wpg:grpSpPr>
                      <wps:wsp>
                        <wps:cNvPr id="613643" name="Rectangle 613643"/>
                        <wps:cNvSpPr/>
                        <wps:spPr>
                          <a:xfrm>
                            <a:off x="0" y="0"/>
                            <a:ext cx="158100" cy="413492"/>
                          </a:xfrm>
                          <a:prstGeom prst="rect">
                            <a:avLst/>
                          </a:prstGeom>
                          <a:ln>
                            <a:noFill/>
                          </a:ln>
                        </wps:spPr>
                        <wps:txbx>
                          <w:txbxContent>
                            <w:p w14:paraId="16BF24D7"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2DE9BD1A" id="Group 2456019" o:spid="_x0000_s1363" style="position:absolute;left:0;text-align:left;margin-left:3.6pt;margin-top:76.65pt;width:9.35pt;height:24.5pt;z-index:252051456;mso-position-horizontal-relative:text;mso-position-vertical-relative:text" coordsize="118872,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">
                <v:rect id="Rectangle 613643" o:spid="_x0000_s1364" style="position:absolute;width:158100;height:41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" filled="f" stroked="f">
                  <v:textbox inset="0,0,0,0">
                    <w:txbxContent>
                      <w:p w14:paraId="16BF24D7"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rFonts w:ascii="Times New Roman" w:eastAsia="Times New Roman" w:hAnsi="Times New Roman" w:cs="Times New Roman"/>
          <w:sz w:val="26"/>
        </w:rPr>
        <w:t xml:space="preserve">1 </w:t>
      </w:r>
      <w:r>
        <w:rPr>
          <w:sz w:val="26"/>
        </w:rPr>
        <w:t xml:space="preserve">encuentran detallados en el presente hallazgo y que según requerimientos de compra, tenían como fecha de utilización el año 2024 y al 24 de enero de 2025, la </w:t>
      </w:r>
      <w:r>
        <w:rPr>
          <w:noProof/>
        </w:rPr>
        <w:drawing>
          <wp:inline distT="0" distB="0" distL="0" distR="0" wp14:anchorId="095F6F2F" wp14:editId="2D390676">
            <wp:extent cx="13716" cy="9144"/>
            <wp:effectExtent l="0" t="0" r="0" b="0"/>
            <wp:docPr id="616712" name="Picture 616712"/>
            <wp:cNvGraphicFramePr/>
            <a:graphic xmlns:a="http://schemas.openxmlformats.org/drawingml/2006/main">
              <a:graphicData uri="http://schemas.openxmlformats.org/drawingml/2006/picture">
                <pic:pic xmlns:pic="http://schemas.openxmlformats.org/drawingml/2006/picture">
                  <pic:nvPicPr>
                    <pic:cNvPr id="616712" name="Picture 616712"/>
                    <pic:cNvPicPr/>
                  </pic:nvPicPr>
                  <pic:blipFill>
                    <a:blip r:embed="rId49"/>
                    <a:stretch>
                      <a:fillRect/>
                    </a:stretch>
                  </pic:blipFill>
                  <pic:spPr>
                    <a:xfrm>
                      <a:off x="0" y="0"/>
                      <a:ext cx="13716" cy="9144"/>
                    </a:xfrm>
                    <a:prstGeom prst="rect">
                      <a:avLst/>
                    </a:prstGeom>
                  </pic:spPr>
                </pic:pic>
              </a:graphicData>
            </a:graphic>
          </wp:inline>
        </w:drawing>
      </w:r>
      <w:r>
        <w:rPr>
          <w:sz w:val="26"/>
        </w:rPr>
        <w:t xml:space="preserve"> mayoría de equipo, materiales y suministros, del Departamento de Desarrollo </w:t>
      </w:r>
      <w:r>
        <w:rPr>
          <w:rFonts w:ascii="Times New Roman" w:eastAsia="Times New Roman" w:hAnsi="Times New Roman" w:cs="Times New Roman"/>
          <w:sz w:val="26"/>
        </w:rPr>
        <w:t xml:space="preserve">1 </w:t>
      </w:r>
      <w:r>
        <w:rPr>
          <w:sz w:val="26"/>
        </w:rPr>
        <w:t>Deportivo Escolar, aún permanecían en la bodega del Departamento de Almacén; por lo que, no fueron utilizados oportunamente por los beneficiarios de conformidad con las actividades de educación física planificadas para el ejercicio fiscal 2024.</w:t>
      </w:r>
    </w:p>
    <w:p w14:paraId="3E39465A" w14:textId="77777777" w:rsidR="00053D93" w:rsidRDefault="00260B75">
      <w:pPr>
        <w:spacing w:after="48"/>
        <w:ind w:left="29"/>
      </w:pPr>
      <w:r>
        <w:rPr>
          <w:noProof/>
        </w:rPr>
        <w:drawing>
          <wp:inline distT="0" distB="0" distL="0" distR="0" wp14:anchorId="7FB9B308" wp14:editId="121635C4">
            <wp:extent cx="22860" cy="9144"/>
            <wp:effectExtent l="0" t="0" r="0" b="0"/>
            <wp:docPr id="616713" name="Picture 616713"/>
            <wp:cNvGraphicFramePr/>
            <a:graphic xmlns:a="http://schemas.openxmlformats.org/drawingml/2006/main">
              <a:graphicData uri="http://schemas.openxmlformats.org/drawingml/2006/picture">
                <pic:pic xmlns:pic="http://schemas.openxmlformats.org/drawingml/2006/picture">
                  <pic:nvPicPr>
                    <pic:cNvPr id="616713" name="Picture 616713"/>
                    <pic:cNvPicPr/>
                  </pic:nvPicPr>
                  <pic:blipFill>
                    <a:blip r:embed="rId931"/>
                    <a:stretch>
                      <a:fillRect/>
                    </a:stretch>
                  </pic:blipFill>
                  <pic:spPr>
                    <a:xfrm>
                      <a:off x="0" y="0"/>
                      <a:ext cx="22860" cy="9144"/>
                    </a:xfrm>
                    <a:prstGeom prst="rect">
                      <a:avLst/>
                    </a:prstGeom>
                  </pic:spPr>
                </pic:pic>
              </a:graphicData>
            </a:graphic>
          </wp:inline>
        </w:drawing>
      </w:r>
    </w:p>
    <w:p w14:paraId="364CB7B9" w14:textId="77777777" w:rsidR="00053D93" w:rsidRDefault="00260B75">
      <w:pPr>
        <w:spacing w:after="17" w:line="322" w:lineRule="auto"/>
        <w:ind w:left="14" w:right="14" w:firstLine="50"/>
        <w:jc w:val="both"/>
      </w:pPr>
      <w:r>
        <w:rPr>
          <w:rFonts w:ascii="Times New Roman" w:eastAsia="Times New Roman" w:hAnsi="Times New Roman" w:cs="Times New Roman"/>
          <w:sz w:val="26"/>
        </w:rPr>
        <w:t xml:space="preserve">1 </w:t>
      </w:r>
      <w:r>
        <w:rPr>
          <w:sz w:val="26"/>
        </w:rPr>
        <w:t xml:space="preserve">Se confirma el hallazgo, para el licenciado Edward José Godínez González, quien fungió como Jefe de Departamento de Desarrollo Deportivo Escolar A.I., por el </w:t>
      </w:r>
      <w:r>
        <w:rPr>
          <w:noProof/>
        </w:rPr>
        <w:drawing>
          <wp:inline distT="0" distB="0" distL="0" distR="0" wp14:anchorId="79195D6B" wp14:editId="5D21BB12">
            <wp:extent cx="22860" cy="9144"/>
            <wp:effectExtent l="0" t="0" r="0" b="0"/>
            <wp:docPr id="616714" name="Picture 616714"/>
            <wp:cNvGraphicFramePr/>
            <a:graphic xmlns:a="http://schemas.openxmlformats.org/drawingml/2006/main">
              <a:graphicData uri="http://schemas.openxmlformats.org/drawingml/2006/picture">
                <pic:pic xmlns:pic="http://schemas.openxmlformats.org/drawingml/2006/picture">
                  <pic:nvPicPr>
                    <pic:cNvPr id="616714" name="Picture 616714"/>
                    <pic:cNvPicPr/>
                  </pic:nvPicPr>
                  <pic:blipFill>
                    <a:blip r:embed="rId768"/>
                    <a:stretch>
                      <a:fillRect/>
                    </a:stretch>
                  </pic:blipFill>
                  <pic:spPr>
                    <a:xfrm>
                      <a:off x="0" y="0"/>
                      <a:ext cx="22860" cy="9144"/>
                    </a:xfrm>
                    <a:prstGeom prst="rect">
                      <a:avLst/>
                    </a:prstGeom>
                  </pic:spPr>
                </pic:pic>
              </a:graphicData>
            </a:graphic>
          </wp:inline>
        </w:drawing>
      </w:r>
      <w:r>
        <w:rPr>
          <w:sz w:val="26"/>
        </w:rPr>
        <w:t xml:space="preserve"> período comprendido del 15 de octubre de 2024 al 31 de diciembre de 2024; en </w:t>
      </w:r>
      <w:r>
        <w:rPr>
          <w:rFonts w:ascii="Times New Roman" w:eastAsia="Times New Roman" w:hAnsi="Times New Roman" w:cs="Times New Roman"/>
          <w:sz w:val="26"/>
        </w:rPr>
        <w:t xml:space="preserve">1 </w:t>
      </w:r>
      <w:r>
        <w:rPr>
          <w:sz w:val="26"/>
        </w:rPr>
        <w:t xml:space="preserve">virtud que, las pruebas presentadas no son suficientes, a pesar de manifestar que en el mes de octubre del ejercicio fiscal 2024, tomó posesión como Jefe del </w:t>
      </w:r>
      <w:r>
        <w:rPr>
          <w:noProof/>
        </w:rPr>
        <w:drawing>
          <wp:inline distT="0" distB="0" distL="0" distR="0" wp14:anchorId="72127C46" wp14:editId="4A36885C">
            <wp:extent cx="9144" cy="4573"/>
            <wp:effectExtent l="0" t="0" r="0" b="0"/>
            <wp:docPr id="616715" name="Picture 616715"/>
            <wp:cNvGraphicFramePr/>
            <a:graphic xmlns:a="http://schemas.openxmlformats.org/drawingml/2006/main">
              <a:graphicData uri="http://schemas.openxmlformats.org/drawingml/2006/picture">
                <pic:pic xmlns:pic="http://schemas.openxmlformats.org/drawingml/2006/picture">
                  <pic:nvPicPr>
                    <pic:cNvPr id="616715" name="Picture 616715"/>
                    <pic:cNvPicPr/>
                  </pic:nvPicPr>
                  <pic:blipFill>
                    <a:blip r:embed="rId24"/>
                    <a:stretch>
                      <a:fillRect/>
                    </a:stretch>
                  </pic:blipFill>
                  <pic:spPr>
                    <a:xfrm>
                      <a:off x="0" y="0"/>
                      <a:ext cx="9144" cy="4573"/>
                    </a:xfrm>
                    <a:prstGeom prst="rect">
                      <a:avLst/>
                    </a:prstGeom>
                  </pic:spPr>
                </pic:pic>
              </a:graphicData>
            </a:graphic>
          </wp:inline>
        </w:drawing>
      </w:r>
      <w:r>
        <w:rPr>
          <w:rFonts w:ascii="Times New Roman" w:eastAsia="Times New Roman" w:hAnsi="Times New Roman" w:cs="Times New Roman"/>
          <w:sz w:val="26"/>
        </w:rPr>
        <w:t xml:space="preserve">1 </w:t>
      </w:r>
      <w:r>
        <w:rPr>
          <w:sz w:val="26"/>
        </w:rPr>
        <w:t>Departamento de Desarrollo Deportivo Escolar de manera interina; tuvo el tiempo suficiente para poder gestionar la entrega del equipo, materiales y suministros adquiridos; ya que, en sus comentarios, el responsable reconoce que dicho</w:t>
      </w:r>
    </w:p>
    <w:p w14:paraId="3831038F" w14:textId="77777777" w:rsidR="00053D93" w:rsidRDefault="00260B75">
      <w:pPr>
        <w:spacing w:after="52"/>
        <w:ind w:left="7"/>
      </w:pPr>
      <w:r>
        <w:rPr>
          <w:noProof/>
        </w:rPr>
        <w:drawing>
          <wp:inline distT="0" distB="0" distL="0" distR="0" wp14:anchorId="2919FFE0" wp14:editId="6579EEAB">
            <wp:extent cx="41148" cy="9144"/>
            <wp:effectExtent l="0" t="0" r="0" b="0"/>
            <wp:docPr id="2458501" name="Picture 2458501"/>
            <wp:cNvGraphicFramePr/>
            <a:graphic xmlns:a="http://schemas.openxmlformats.org/drawingml/2006/main">
              <a:graphicData uri="http://schemas.openxmlformats.org/drawingml/2006/picture">
                <pic:pic xmlns:pic="http://schemas.openxmlformats.org/drawingml/2006/picture">
                  <pic:nvPicPr>
                    <pic:cNvPr id="2458501" name="Picture 2458501"/>
                    <pic:cNvPicPr/>
                  </pic:nvPicPr>
                  <pic:blipFill>
                    <a:blip r:embed="rId932"/>
                    <a:stretch>
                      <a:fillRect/>
                    </a:stretch>
                  </pic:blipFill>
                  <pic:spPr>
                    <a:xfrm>
                      <a:off x="0" y="0"/>
                      <a:ext cx="41148" cy="9144"/>
                    </a:xfrm>
                    <a:prstGeom prst="rect">
                      <a:avLst/>
                    </a:prstGeom>
                  </pic:spPr>
                </pic:pic>
              </a:graphicData>
            </a:graphic>
          </wp:inline>
        </w:drawing>
      </w:r>
    </w:p>
    <w:p w14:paraId="4B624623" w14:textId="77777777" w:rsidR="00053D93" w:rsidRDefault="00260B75">
      <w:pPr>
        <w:spacing w:after="17" w:line="247" w:lineRule="auto"/>
        <w:ind w:left="86" w:right="14" w:firstLine="4"/>
        <w:jc w:val="both"/>
      </w:pPr>
      <w:r>
        <w:rPr>
          <w:rFonts w:ascii="Times New Roman" w:eastAsia="Times New Roman" w:hAnsi="Times New Roman" w:cs="Times New Roman"/>
          <w:sz w:val="26"/>
        </w:rPr>
        <w:t xml:space="preserve">1 </w:t>
      </w:r>
      <w:r>
        <w:rPr>
          <w:sz w:val="26"/>
        </w:rPr>
        <w:t xml:space="preserve">equipo, materiales y suministros, ingresaron oportunamente al Departamento de Amacén para ser utilizados en las fechas programadas; sin embargo, los retiraron posteriormente a la fecha en que se tenía planificada su utilización, incluso </w:t>
      </w:r>
      <w:r>
        <w:rPr>
          <w:rFonts w:ascii="Times New Roman" w:eastAsia="Times New Roman" w:hAnsi="Times New Roman" w:cs="Times New Roman"/>
          <w:sz w:val="26"/>
        </w:rPr>
        <w:t xml:space="preserve">1 </w:t>
      </w:r>
      <w:r>
        <w:rPr>
          <w:sz w:val="26"/>
        </w:rPr>
        <w:t xml:space="preserve">algunos no fueron retirados durante el ejercicio fiscal 2024, tal como consta en el detalle del presente hallazgo; además, a pesar de que el licenciado Godínez, </w:t>
      </w:r>
      <w:r>
        <w:rPr>
          <w:rFonts w:ascii="Times New Roman" w:eastAsia="Times New Roman" w:hAnsi="Times New Roman" w:cs="Times New Roman"/>
          <w:sz w:val="26"/>
        </w:rPr>
        <w:t xml:space="preserve">1 </w:t>
      </w:r>
      <w:r>
        <w:rPr>
          <w:sz w:val="26"/>
        </w:rPr>
        <w:t xml:space="preserve">manifiesta que los bienes inventariables no fueron retirados </w:t>
      </w:r>
      <w:r>
        <w:rPr>
          <w:sz w:val="26"/>
        </w:rPr>
        <w:lastRenderedPageBreak/>
        <w:t xml:space="preserve">oportunamente, debido a que deben coordinarse con la Sección de Inventarios para que sean asignados a un responsable para su cuido y custodia, dicha situación no lo exime </w:t>
      </w:r>
      <w:r>
        <w:rPr>
          <w:rFonts w:ascii="Times New Roman" w:eastAsia="Times New Roman" w:hAnsi="Times New Roman" w:cs="Times New Roman"/>
          <w:sz w:val="26"/>
        </w:rPr>
        <w:t xml:space="preserve">1 </w:t>
      </w:r>
      <w:r>
        <w:rPr>
          <w:sz w:val="26"/>
        </w:rPr>
        <w:t>de responsabilidad, ya que debió contemplar con la debida antelación dicho trámite administrativo, para que no representara un obstáculo en la utilización oportuna de los bienes adquiridos; por lo que, el responsable debió realizar las</w:t>
      </w:r>
    </w:p>
    <w:tbl>
      <w:tblPr>
        <w:tblStyle w:val="TableGrid"/>
        <w:tblW w:w="9432" w:type="dxa"/>
        <w:tblInd w:w="734" w:type="dxa"/>
        <w:tblLook w:val="04A0" w:firstRow="1" w:lastRow="0" w:firstColumn="1" w:lastColumn="0" w:noHBand="0" w:noVBand="1"/>
      </w:tblPr>
      <w:tblGrid>
        <w:gridCol w:w="1244"/>
        <w:gridCol w:w="8239"/>
      </w:tblGrid>
      <w:tr w:rsidR="00053D93" w14:paraId="632EF0B5" w14:textId="77777777">
        <w:trPr>
          <w:trHeight w:val="634"/>
        </w:trPr>
        <w:tc>
          <w:tcPr>
            <w:tcW w:w="1726" w:type="dxa"/>
            <w:tcBorders>
              <w:top w:val="nil"/>
              <w:left w:val="nil"/>
              <w:bottom w:val="nil"/>
              <w:right w:val="nil"/>
            </w:tcBorders>
          </w:tcPr>
          <w:p w14:paraId="1429879B" w14:textId="77777777" w:rsidR="00053D93" w:rsidRDefault="00260B75">
            <w:r>
              <w:rPr>
                <w:noProof/>
              </w:rPr>
              <w:drawing>
                <wp:inline distT="0" distB="0" distL="0" distR="0" wp14:anchorId="11C5FC1A" wp14:editId="73652D16">
                  <wp:extent cx="1069848" cy="402335"/>
                  <wp:effectExtent l="0" t="0" r="0" b="0"/>
                  <wp:docPr id="616762" name="Picture 616762"/>
                  <wp:cNvGraphicFramePr/>
                  <a:graphic xmlns:a="http://schemas.openxmlformats.org/drawingml/2006/main">
                    <a:graphicData uri="http://schemas.openxmlformats.org/drawingml/2006/picture">
                      <pic:pic xmlns:pic="http://schemas.openxmlformats.org/drawingml/2006/picture">
                        <pic:nvPicPr>
                          <pic:cNvPr id="616762" name="Picture 616762"/>
                          <pic:cNvPicPr/>
                        </pic:nvPicPr>
                        <pic:blipFill>
                          <a:blip r:embed="rId933"/>
                          <a:stretch>
                            <a:fillRect/>
                          </a:stretch>
                        </pic:blipFill>
                        <pic:spPr>
                          <a:xfrm>
                            <a:off x="0" y="0"/>
                            <a:ext cx="1069848" cy="402335"/>
                          </a:xfrm>
                          <a:prstGeom prst="rect">
                            <a:avLst/>
                          </a:prstGeom>
                        </pic:spPr>
                      </pic:pic>
                    </a:graphicData>
                  </a:graphic>
                </wp:inline>
              </w:drawing>
            </w:r>
          </w:p>
        </w:tc>
        <w:tc>
          <w:tcPr>
            <w:tcW w:w="7706" w:type="dxa"/>
            <w:tcBorders>
              <w:top w:val="nil"/>
              <w:left w:val="nil"/>
              <w:bottom w:val="nil"/>
              <w:right w:val="nil"/>
            </w:tcBorders>
          </w:tcPr>
          <w:p w14:paraId="18440573" w14:textId="77777777" w:rsidR="00053D93" w:rsidRDefault="00053D93">
            <w:pPr>
              <w:ind w:left="-2763" w:right="10469"/>
            </w:pPr>
          </w:p>
          <w:tbl>
            <w:tblPr>
              <w:tblStyle w:val="TableGrid"/>
              <w:tblW w:w="7664" w:type="dxa"/>
              <w:tblInd w:w="41" w:type="dxa"/>
              <w:tblCellMar>
                <w:top w:w="27" w:type="dxa"/>
                <w:left w:w="1768" w:type="dxa"/>
                <w:right w:w="115" w:type="dxa"/>
              </w:tblCellMar>
              <w:tblLook w:val="04A0" w:firstRow="1" w:lastRow="0" w:firstColumn="1" w:lastColumn="0" w:noHBand="0" w:noVBand="1"/>
            </w:tblPr>
            <w:tblGrid>
              <w:gridCol w:w="7664"/>
            </w:tblGrid>
            <w:tr w:rsidR="00053D93" w14:paraId="69522F36" w14:textId="77777777">
              <w:trPr>
                <w:trHeight w:val="62"/>
              </w:trPr>
              <w:tc>
                <w:tcPr>
                  <w:tcW w:w="7664" w:type="dxa"/>
                  <w:tcBorders>
                    <w:top w:val="nil"/>
                    <w:left w:val="single" w:sz="2" w:space="0" w:color="000000"/>
                    <w:bottom w:val="single" w:sz="2" w:space="0" w:color="000000"/>
                    <w:right w:val="nil"/>
                  </w:tcBorders>
                </w:tcPr>
                <w:p w14:paraId="0491D2D7" w14:textId="77777777" w:rsidR="00053D93" w:rsidRDefault="00053D93"/>
              </w:tc>
            </w:tr>
            <w:tr w:rsidR="00053D93" w14:paraId="71B97E0D" w14:textId="77777777">
              <w:trPr>
                <w:trHeight w:val="571"/>
              </w:trPr>
              <w:tc>
                <w:tcPr>
                  <w:tcW w:w="7664" w:type="dxa"/>
                  <w:tcBorders>
                    <w:top w:val="single" w:sz="2" w:space="0" w:color="000000"/>
                    <w:left w:val="single" w:sz="2" w:space="0" w:color="000000"/>
                    <w:bottom w:val="nil"/>
                    <w:right w:val="nil"/>
                  </w:tcBorders>
                </w:tcPr>
                <w:p w14:paraId="10EA11CC" w14:textId="77777777" w:rsidR="00053D93" w:rsidRDefault="00260B75">
                  <w:pPr>
                    <w:ind w:left="842"/>
                  </w:pPr>
                  <w:r>
                    <w:rPr>
                      <w:sz w:val="14"/>
                    </w:rPr>
                    <w:t>MINISTERIO DE EDUCACION</w:t>
                  </w:r>
                </w:p>
                <w:p w14:paraId="7EB97727" w14:textId="77777777" w:rsidR="00053D93" w:rsidRDefault="00260B75">
                  <w:pPr>
                    <w:ind w:left="338"/>
                  </w:pPr>
                  <w:r>
                    <w:rPr>
                      <w:sz w:val="14"/>
                    </w:rPr>
                    <w:t>AUDITORIA FINANCIERA Y DE CUMPLIMIENTO</w:t>
                  </w:r>
                </w:p>
                <w:p w14:paraId="2C1D0E47" w14:textId="77777777" w:rsidR="00053D93" w:rsidRDefault="00260B75">
                  <w:r>
                    <w:rPr>
                      <w:sz w:val="14"/>
                    </w:rPr>
                    <w:t>PERIODO DEI 01 DE ENERO AL 31 DE DICIEMBRE DE 2024</w:t>
                  </w:r>
                </w:p>
              </w:tc>
            </w:tr>
          </w:tbl>
          <w:p w14:paraId="7425A4C4" w14:textId="77777777" w:rsidR="00053D93" w:rsidRDefault="00053D93"/>
        </w:tc>
      </w:tr>
    </w:tbl>
    <w:p w14:paraId="1AD53330" w14:textId="77777777" w:rsidR="00053D93" w:rsidRDefault="00260B75">
      <w:pPr>
        <w:spacing w:after="4"/>
        <w:ind w:left="1685"/>
      </w:pPr>
      <w:r>
        <w:rPr>
          <w:noProof/>
        </w:rPr>
        <mc:AlternateContent>
          <mc:Choice Requires="wpg">
            <w:drawing>
              <wp:inline distT="0" distB="0" distL="0" distR="0" wp14:anchorId="0B7F9550" wp14:editId="388FDC54">
                <wp:extent cx="5390388" cy="13716"/>
                <wp:effectExtent l="0" t="0" r="0" b="0"/>
                <wp:docPr id="2458506" name="Group 2458506"/>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8505" name="Shape 2458505"/>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06" style="width:424.44pt;height:1.07999pt;mso-position-horizontal-relative:char;mso-position-vertical-relative:line" coordsize="53903,137">
                <v:shape id="Shape 2458505" style="position:absolute;width:53903;height:137;left:0;top:0;" coordsize="5390388,13716" path="m0,6858l5390388,6858">
                  <v:stroke weight="1.07999pt" endcap="flat" joinstyle="miter" miterlimit="1" on="true" color="#000000"/>
                  <v:fill on="false" color="#000000"/>
                </v:shape>
              </v:group>
            </w:pict>
          </mc:Fallback>
        </mc:AlternateContent>
      </w:r>
    </w:p>
    <w:p w14:paraId="00196D57" w14:textId="77777777" w:rsidR="00053D93" w:rsidRDefault="00260B75">
      <w:pPr>
        <w:spacing w:after="17" w:line="302" w:lineRule="auto"/>
        <w:ind w:left="14" w:right="14" w:firstLine="4"/>
        <w:jc w:val="both"/>
      </w:pPr>
      <w:r>
        <w:rPr>
          <w:rFonts w:ascii="Times New Roman" w:eastAsia="Times New Roman" w:hAnsi="Times New Roman" w:cs="Times New Roman"/>
          <w:sz w:val="26"/>
        </w:rPr>
        <w:t xml:space="preserve">1 </w:t>
      </w:r>
      <w:r>
        <w:rPr>
          <w:sz w:val="26"/>
        </w:rPr>
        <w:t xml:space="preserve">gestiones necesarias de forma oportuna, para garantizar que el equipo, materiales y suministros adquiridos en el Departamento de Desarrollo Deportivo Escolar, fueran utilizados por los beneficiaros durante las actividades de educación física </w:t>
      </w:r>
      <w:r>
        <w:rPr>
          <w:rFonts w:ascii="Times New Roman" w:eastAsia="Times New Roman" w:hAnsi="Times New Roman" w:cs="Times New Roman"/>
          <w:sz w:val="26"/>
        </w:rPr>
        <w:t xml:space="preserve">1 </w:t>
      </w:r>
      <w:r>
        <w:rPr>
          <w:sz w:val="26"/>
        </w:rPr>
        <w:t>programadas para el ejercicio fiscal 2024.</w:t>
      </w:r>
    </w:p>
    <w:p w14:paraId="6A845F38" w14:textId="77777777" w:rsidR="00053D93" w:rsidRDefault="00260B75">
      <w:pPr>
        <w:spacing w:after="62" w:line="301" w:lineRule="auto"/>
        <w:ind w:left="14" w:right="14" w:firstLine="4"/>
        <w:jc w:val="both"/>
      </w:pPr>
      <w:r>
        <w:rPr>
          <w:rFonts w:ascii="Times New Roman" w:eastAsia="Times New Roman" w:hAnsi="Times New Roman" w:cs="Times New Roman"/>
          <w:sz w:val="26"/>
        </w:rPr>
        <w:t xml:space="preserve">1 </w:t>
      </w:r>
      <w:r>
        <w:rPr>
          <w:sz w:val="26"/>
        </w:rPr>
        <w:t xml:space="preserve">Se confirma el hallazgo para la ingeniera Zaida Samara Santizo Barrios, Jefe Departamento de Extensión Escolar; en virtud que, las pruebas presentadas no son suficientes, a pesar que, la responsable manifiesta tener dudas sobre si la </w:t>
      </w:r>
      <w:r>
        <w:rPr>
          <w:rFonts w:ascii="Times New Roman" w:eastAsia="Times New Roman" w:hAnsi="Times New Roman" w:cs="Times New Roman"/>
          <w:sz w:val="26"/>
        </w:rPr>
        <w:t xml:space="preserve">1 </w:t>
      </w:r>
      <w:r>
        <w:rPr>
          <w:sz w:val="26"/>
        </w:rPr>
        <w:t xml:space="preserve">Sección de Recreación se encuentra bajo su supervisión; debió tomar en cuenta que, la distribución jerárquica de la Dirección General de Educación Física -DIGEF-, se encuentra establecida en el organigrama del Manual de Funciones, </w:t>
      </w:r>
      <w:r>
        <w:rPr>
          <w:rFonts w:ascii="Times New Roman" w:eastAsia="Times New Roman" w:hAnsi="Times New Roman" w:cs="Times New Roman"/>
          <w:sz w:val="26"/>
        </w:rPr>
        <w:t xml:space="preserve">1 </w:t>
      </w:r>
      <w:r>
        <w:rPr>
          <w:sz w:val="26"/>
        </w:rPr>
        <w:t>Organización y Puestos de la Dirección General de Educación Física (DIGEF), Código: MAN-TEC-03, el cual se aprobó mediante el Acuerdo Ministerial No.</w:t>
      </w:r>
    </w:p>
    <w:tbl>
      <w:tblPr>
        <w:tblStyle w:val="TableGrid"/>
        <w:tblpPr w:vertAnchor="page" w:horzAnchor="page" w:tblpX="2840" w:tblpY="14515"/>
        <w:tblOverlap w:val="never"/>
        <w:tblW w:w="7664" w:type="dxa"/>
        <w:tblInd w:w="0" w:type="dxa"/>
        <w:tblCellMar>
          <w:top w:w="36" w:type="dxa"/>
          <w:left w:w="1775" w:type="dxa"/>
          <w:right w:w="115" w:type="dxa"/>
        </w:tblCellMar>
        <w:tblLook w:val="04A0" w:firstRow="1" w:lastRow="0" w:firstColumn="1" w:lastColumn="0" w:noHBand="0" w:noVBand="1"/>
      </w:tblPr>
      <w:tblGrid>
        <w:gridCol w:w="7664"/>
      </w:tblGrid>
      <w:tr w:rsidR="00053D93" w14:paraId="5B8328A9" w14:textId="77777777">
        <w:trPr>
          <w:trHeight w:val="36"/>
        </w:trPr>
        <w:tc>
          <w:tcPr>
            <w:tcW w:w="7664" w:type="dxa"/>
            <w:tcBorders>
              <w:top w:val="nil"/>
              <w:left w:val="single" w:sz="2" w:space="0" w:color="000000"/>
              <w:bottom w:val="single" w:sz="2" w:space="0" w:color="000000"/>
              <w:right w:val="nil"/>
            </w:tcBorders>
          </w:tcPr>
          <w:p w14:paraId="7345E586" w14:textId="77777777" w:rsidR="00053D93" w:rsidRDefault="00053D93"/>
        </w:tc>
      </w:tr>
      <w:tr w:rsidR="00053D93" w14:paraId="6F22807F" w14:textId="77777777">
        <w:trPr>
          <w:trHeight w:val="605"/>
        </w:trPr>
        <w:tc>
          <w:tcPr>
            <w:tcW w:w="7664" w:type="dxa"/>
            <w:tcBorders>
              <w:top w:val="single" w:sz="2" w:space="0" w:color="000000"/>
              <w:left w:val="single" w:sz="2" w:space="0" w:color="000000"/>
              <w:bottom w:val="nil"/>
              <w:right w:val="nil"/>
            </w:tcBorders>
          </w:tcPr>
          <w:p w14:paraId="51BBB349" w14:textId="77777777" w:rsidR="00053D93" w:rsidRDefault="00260B75">
            <w:pPr>
              <w:ind w:left="835"/>
            </w:pPr>
            <w:r>
              <w:rPr>
                <w:sz w:val="14"/>
              </w:rPr>
              <w:lastRenderedPageBreak/>
              <w:t>MINISTERIO DE EDUCACION</w:t>
            </w:r>
          </w:p>
          <w:p w14:paraId="28D9D3D5" w14:textId="77777777" w:rsidR="00053D93" w:rsidRDefault="00260B75">
            <w:pPr>
              <w:ind w:left="331"/>
            </w:pPr>
            <w:r>
              <w:rPr>
                <w:sz w:val="14"/>
              </w:rPr>
              <w:t>AUDITORIA FINANCIERA Y DE CUMPLIMIENTO</w:t>
            </w:r>
          </w:p>
          <w:p w14:paraId="47A063D3" w14:textId="77777777" w:rsidR="00053D93" w:rsidRDefault="00260B75">
            <w:r>
              <w:rPr>
                <w:sz w:val="14"/>
              </w:rPr>
              <w:t>PERIODO DEL 01 DE ENERO AL 31 OE DICIEMBRE DE 2024</w:t>
            </w:r>
          </w:p>
        </w:tc>
      </w:tr>
    </w:tbl>
    <w:p w14:paraId="19A88917" w14:textId="77777777" w:rsidR="00053D93" w:rsidRDefault="00260B75">
      <w:pPr>
        <w:spacing w:after="257" w:line="247" w:lineRule="auto"/>
        <w:ind w:left="14" w:right="14" w:firstLine="4"/>
        <w:jc w:val="both"/>
      </w:pPr>
      <w:r>
        <w:rPr>
          <w:noProof/>
        </w:rPr>
        <w:drawing>
          <wp:anchor distT="0" distB="0" distL="114300" distR="114300" simplePos="0" relativeHeight="252052480" behindDoc="0" locked="0" layoutInCell="1" allowOverlap="0" wp14:anchorId="02045A30" wp14:editId="7C04847A">
            <wp:simplePos x="0" y="0"/>
            <wp:positionH relativeFrom="page">
              <wp:posOffset>681228</wp:posOffset>
            </wp:positionH>
            <wp:positionV relativeFrom="page">
              <wp:posOffset>9212580</wp:posOffset>
            </wp:positionV>
            <wp:extent cx="1065276" cy="411480"/>
            <wp:effectExtent l="0" t="0" r="0" b="0"/>
            <wp:wrapTopAndBottom/>
            <wp:docPr id="620806" name="Picture 620806"/>
            <wp:cNvGraphicFramePr/>
            <a:graphic xmlns:a="http://schemas.openxmlformats.org/drawingml/2006/main">
              <a:graphicData uri="http://schemas.openxmlformats.org/drawingml/2006/picture">
                <pic:pic xmlns:pic="http://schemas.openxmlformats.org/drawingml/2006/picture">
                  <pic:nvPicPr>
                    <pic:cNvPr id="620806" name="Picture 620806"/>
                    <pic:cNvPicPr/>
                  </pic:nvPicPr>
                  <pic:blipFill>
                    <a:blip r:embed="rId934"/>
                    <a:stretch>
                      <a:fillRect/>
                    </a:stretch>
                  </pic:blipFill>
                  <pic:spPr>
                    <a:xfrm>
                      <a:off x="0" y="0"/>
                      <a:ext cx="1065276" cy="411480"/>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2833-2010, del 17 de diciembre de 2010; en donde claramente se puede observar que dentro de las áreas bajo el control y supervisión del Departamento de Extensión Escolar, se encuentra la Sección de Recreación y la Sección INJUD; ya </w:t>
      </w:r>
      <w:r>
        <w:rPr>
          <w:rFonts w:ascii="Times New Roman" w:eastAsia="Times New Roman" w:hAnsi="Times New Roman" w:cs="Times New Roman"/>
          <w:sz w:val="26"/>
        </w:rPr>
        <w:t xml:space="preserve">1 </w:t>
      </w:r>
      <w:r>
        <w:rPr>
          <w:sz w:val="26"/>
        </w:rPr>
        <w:t xml:space="preserve">que, para que exista un cambio en la distribución jerárquica de la DIGEF, primero debe estar aprobado por la autoridad competente; de igual forma, a pesar que la ingeniera Santizo, solicitó información a la Sección de Recreación y a la Sección </w:t>
      </w:r>
      <w:r>
        <w:rPr>
          <w:rFonts w:ascii="Times New Roman" w:eastAsia="Times New Roman" w:hAnsi="Times New Roman" w:cs="Times New Roman"/>
          <w:sz w:val="26"/>
        </w:rPr>
        <w:t xml:space="preserve">1 </w:t>
      </w:r>
      <w:r>
        <w:rPr>
          <w:sz w:val="26"/>
        </w:rPr>
        <w:t xml:space="preserve">INJUD del por qué no se utilizaron los materiales y suministros para las actividades planificadas durante el 2024; dicha gestión la realizó después de haber recibido la notificación del presente hallazgo; además, la responsable no presentó documentación que demostrara la supervisión oportuna realizada tanto en la Sección de Recreación como en la Sección INJUD, para gestionar la dotación de </w:t>
      </w:r>
      <w:r>
        <w:rPr>
          <w:rFonts w:ascii="Times New Roman" w:eastAsia="Times New Roman" w:hAnsi="Times New Roman" w:cs="Times New Roman"/>
          <w:sz w:val="26"/>
        </w:rPr>
        <w:t xml:space="preserve">1 </w:t>
      </w:r>
      <w:r>
        <w:rPr>
          <w:sz w:val="26"/>
        </w:rPr>
        <w:t>recursos para los diversos proyectos extraescolares a nivel nacional, según lo establecido en el MAN-TEC-03, para garantizar que los materiales y suministros adquiridos por dichas secciones, se utilizaran oportunamente por los beneficiarios,</w:t>
      </w:r>
    </w:p>
    <w:p w14:paraId="71A0020E" w14:textId="77777777" w:rsidR="00053D93" w:rsidRDefault="00260B75">
      <w:pPr>
        <w:spacing w:after="17" w:line="405" w:lineRule="auto"/>
        <w:ind w:left="1707" w:right="14" w:hanging="1613"/>
        <w:jc w:val="both"/>
      </w:pPr>
      <w:r>
        <w:rPr>
          <w:rFonts w:ascii="Times New Roman" w:eastAsia="Times New Roman" w:hAnsi="Times New Roman" w:cs="Times New Roman"/>
          <w:sz w:val="26"/>
        </w:rPr>
        <w:t xml:space="preserve">1 </w:t>
      </w:r>
      <w:r>
        <w:rPr>
          <w:sz w:val="26"/>
        </w:rPr>
        <w:t>de conformidad a las actividades de educación física planificadas para el ejercicio fiscal 2024.</w:t>
      </w:r>
    </w:p>
    <w:p w14:paraId="227BD6F6" w14:textId="77777777" w:rsidR="00053D93" w:rsidRDefault="00260B75">
      <w:pPr>
        <w:spacing w:after="198"/>
        <w:ind w:left="43"/>
      </w:pPr>
      <w:r>
        <w:rPr>
          <w:noProof/>
        </w:rPr>
        <w:drawing>
          <wp:inline distT="0" distB="0" distL="0" distR="0" wp14:anchorId="545B407F" wp14:editId="4BC62293">
            <wp:extent cx="22860" cy="9144"/>
            <wp:effectExtent l="0" t="0" r="0" b="0"/>
            <wp:docPr id="620752" name="Picture 620752"/>
            <wp:cNvGraphicFramePr/>
            <a:graphic xmlns:a="http://schemas.openxmlformats.org/drawingml/2006/main">
              <a:graphicData uri="http://schemas.openxmlformats.org/drawingml/2006/picture">
                <pic:pic xmlns:pic="http://schemas.openxmlformats.org/drawingml/2006/picture">
                  <pic:nvPicPr>
                    <pic:cNvPr id="620752" name="Picture 620752"/>
                    <pic:cNvPicPr/>
                  </pic:nvPicPr>
                  <pic:blipFill>
                    <a:blip r:embed="rId935"/>
                    <a:stretch>
                      <a:fillRect/>
                    </a:stretch>
                  </pic:blipFill>
                  <pic:spPr>
                    <a:xfrm>
                      <a:off x="0" y="0"/>
                      <a:ext cx="22860" cy="9144"/>
                    </a:xfrm>
                    <a:prstGeom prst="rect">
                      <a:avLst/>
                    </a:prstGeom>
                  </pic:spPr>
                </pic:pic>
              </a:graphicData>
            </a:graphic>
          </wp:inline>
        </w:drawing>
      </w:r>
    </w:p>
    <w:p w14:paraId="03F26939" w14:textId="77777777" w:rsidR="00053D93" w:rsidRDefault="00260B75">
      <w:pPr>
        <w:spacing w:after="17" w:line="247" w:lineRule="auto"/>
        <w:ind w:left="94" w:right="14" w:firstLine="4"/>
        <w:jc w:val="both"/>
      </w:pPr>
      <w:r>
        <w:rPr>
          <w:rFonts w:ascii="Times New Roman" w:eastAsia="Times New Roman" w:hAnsi="Times New Roman" w:cs="Times New Roman"/>
          <w:sz w:val="26"/>
        </w:rPr>
        <w:t xml:space="preserve">1 </w:t>
      </w:r>
      <w:r>
        <w:rPr>
          <w:sz w:val="26"/>
        </w:rPr>
        <w:t xml:space="preserve">Se confirma el hallazgo, para la señora Rosmery Analí Mejía González, quien fungió como Jefe Sección Recreación A.l., por el período comprendido del 13 de </w:t>
      </w:r>
      <w:r>
        <w:rPr>
          <w:rFonts w:ascii="Times New Roman" w:eastAsia="Times New Roman" w:hAnsi="Times New Roman" w:cs="Times New Roman"/>
          <w:sz w:val="26"/>
        </w:rPr>
        <w:t xml:space="preserve">1 </w:t>
      </w:r>
      <w:r>
        <w:rPr>
          <w:sz w:val="26"/>
        </w:rPr>
        <w:t xml:space="preserve">marzo de 2024 al 2 de octubre de 2024; en virtud que, las pruebas presentadas no son suficientes, a pesar de que la responsable manifiesta que el insumo bolsa deportiva impermeable con logotipo serigrafiado ingresó al Departamento de </w:t>
      </w:r>
      <w:r>
        <w:rPr>
          <w:rFonts w:ascii="Times New Roman" w:eastAsia="Times New Roman" w:hAnsi="Times New Roman" w:cs="Times New Roman"/>
          <w:sz w:val="26"/>
        </w:rPr>
        <w:t xml:space="preserve">1 </w:t>
      </w:r>
      <w:r>
        <w:rPr>
          <w:sz w:val="26"/>
        </w:rPr>
        <w:t xml:space="preserve">Almacén con fecha 7 de octubre de 2024, fecha en la cual ya no fungía como Jefe de Sección Recreación A.I. habiendo finalizado el cargo el 1 de octubre de 2024, </w:t>
      </w:r>
      <w:r>
        <w:rPr>
          <w:rFonts w:ascii="Times New Roman" w:eastAsia="Times New Roman" w:hAnsi="Times New Roman" w:cs="Times New Roman"/>
          <w:sz w:val="26"/>
        </w:rPr>
        <w:t xml:space="preserve">1 </w:t>
      </w:r>
      <w:r>
        <w:rPr>
          <w:sz w:val="26"/>
        </w:rPr>
        <w:t xml:space="preserve">los insumos jugos tetra pack y juegos de foam mat ingresaron al Departamento de Amacén el 25 de junio de 2024 y el 26 de julio de 2024 respectivamente, período en el cual si se encontraba en el cargo, por lo que al encontrarse en existencia al </w:t>
      </w:r>
      <w:r>
        <w:rPr>
          <w:rFonts w:ascii="Times New Roman" w:eastAsia="Times New Roman" w:hAnsi="Times New Roman" w:cs="Times New Roman"/>
          <w:sz w:val="26"/>
        </w:rPr>
        <w:t xml:space="preserve">1 </w:t>
      </w:r>
      <w:r>
        <w:rPr>
          <w:sz w:val="26"/>
        </w:rPr>
        <w:t>12 de noviembre de 2024, según verificación física realizada por el equipo de auditoría, dichos insumos no fueron utilizados oportunamente ya que los mismos no fueron retirados de la bodega del Departamento de Almacén en las fechas en</w:t>
      </w:r>
    </w:p>
    <w:p w14:paraId="05BB589F" w14:textId="77777777" w:rsidR="00053D93" w:rsidRDefault="00260B75">
      <w:pPr>
        <w:spacing w:after="3"/>
        <w:ind w:left="24" w:hanging="10"/>
      </w:pPr>
      <w:r>
        <w:rPr>
          <w:rFonts w:ascii="Times New Roman" w:eastAsia="Times New Roman" w:hAnsi="Times New Roman" w:cs="Times New Roman"/>
          <w:sz w:val="72"/>
        </w:rPr>
        <w:t>1</w:t>
      </w:r>
    </w:p>
    <w:p w14:paraId="7F4385FA" w14:textId="77777777" w:rsidR="00053D93" w:rsidRDefault="00260B75">
      <w:pPr>
        <w:spacing w:after="708" w:line="247" w:lineRule="auto"/>
        <w:ind w:left="1713" w:right="14" w:hanging="1699"/>
        <w:jc w:val="both"/>
      </w:pPr>
      <w:r>
        <w:rPr>
          <w:noProof/>
        </w:rPr>
        <mc:AlternateContent>
          <mc:Choice Requires="wpg">
            <w:drawing>
              <wp:anchor distT="0" distB="0" distL="114300" distR="114300" simplePos="0" relativeHeight="252053504" behindDoc="0" locked="0" layoutInCell="1" allowOverlap="1" wp14:anchorId="0B294476" wp14:editId="49341B4A">
                <wp:simplePos x="0" y="0"/>
                <wp:positionH relativeFrom="column">
                  <wp:posOffset>1028700</wp:posOffset>
                </wp:positionH>
                <wp:positionV relativeFrom="paragraph">
                  <wp:posOffset>0</wp:posOffset>
                </wp:positionV>
                <wp:extent cx="5449824" cy="9144"/>
                <wp:effectExtent l="0" t="0" r="0" b="0"/>
                <wp:wrapSquare wrapText="bothSides"/>
                <wp:docPr id="2458508" name="Group 2458508"/>
                <wp:cNvGraphicFramePr/>
                <a:graphic xmlns:a="http://schemas.openxmlformats.org/drawingml/2006/main">
                  <a:graphicData uri="http://schemas.microsoft.com/office/word/2010/wordprocessingGroup">
                    <wpg:wgp>
                      <wpg:cNvGrpSpPr/>
                      <wpg:grpSpPr>
                        <a:xfrm>
                          <a:off x="0" y="0"/>
                          <a:ext cx="5449824" cy="9144"/>
                          <a:chOff x="0" y="0"/>
                          <a:chExt cx="5449824" cy="9144"/>
                        </a:xfrm>
                      </wpg:grpSpPr>
                      <wps:wsp>
                        <wps:cNvPr id="2458507" name="Shape 2458507"/>
                        <wps:cNvSpPr/>
                        <wps:spPr>
                          <a:xfrm>
                            <a:off x="0" y="0"/>
                            <a:ext cx="5449824" cy="9144"/>
                          </a:xfrm>
                          <a:custGeom>
                            <a:avLst/>
                            <a:gdLst/>
                            <a:ahLst/>
                            <a:cxnLst/>
                            <a:rect l="0" t="0" r="0" b="0"/>
                            <a:pathLst>
                              <a:path w="5449824" h="9144">
                                <a:moveTo>
                                  <a:pt x="0" y="4572"/>
                                </a:moveTo>
                                <a:lnTo>
                                  <a:pt x="544982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508" style="width:429.12pt;height:0.720001pt;position:absolute;mso-position-horizontal-relative:text;mso-position-horizontal:absolute;margin-left:81pt;mso-position-vertical-relative:text;margin-top:0pt;" coordsize="54498,91">
                <v:shape id="Shape 2458507" style="position:absolute;width:54498;height:91;left:0;top:0;" coordsize="5449824,9144" path="m0,4572l5449824,4572">
                  <v:stroke weight="0.720001pt" endcap="flat" joinstyle="miter" miterlimit="1" on="true" color="#000000"/>
                  <v:fill on="false" color="#000000"/>
                </v:shape>
                <w10:wrap type="square"/>
              </v:group>
            </w:pict>
          </mc:Fallback>
        </mc:AlternateContent>
      </w:r>
      <w:r>
        <w:rPr>
          <w:noProof/>
        </w:rPr>
        <mc:AlternateContent>
          <mc:Choice Requires="wpg">
            <w:drawing>
              <wp:inline distT="0" distB="0" distL="0" distR="0" wp14:anchorId="6F07B71A" wp14:editId="16085CC1">
                <wp:extent cx="128016" cy="306324"/>
                <wp:effectExtent l="0" t="0" r="0" b="0"/>
                <wp:docPr id="2456048" name="Group 2456048"/>
                <wp:cNvGraphicFramePr/>
                <a:graphic xmlns:a="http://schemas.openxmlformats.org/drawingml/2006/main">
                  <a:graphicData uri="http://schemas.microsoft.com/office/word/2010/wordprocessingGroup">
                    <wpg:wgp>
                      <wpg:cNvGrpSpPr/>
                      <wpg:grpSpPr>
                        <a:xfrm>
                          <a:off x="0" y="0"/>
                          <a:ext cx="128016" cy="306324"/>
                          <a:chOff x="0" y="0"/>
                          <a:chExt cx="128016" cy="306324"/>
                        </a:xfrm>
                      </wpg:grpSpPr>
                      <wps:wsp>
                        <wps:cNvPr id="621474" name="Rectangle 621474"/>
                        <wps:cNvSpPr/>
                        <wps:spPr>
                          <a:xfrm>
                            <a:off x="0" y="0"/>
                            <a:ext cx="170261" cy="407411"/>
                          </a:xfrm>
                          <a:prstGeom prst="rect">
                            <a:avLst/>
                          </a:prstGeom>
                          <a:ln>
                            <a:noFill/>
                          </a:ln>
                        </wps:spPr>
                        <wps:txbx>
                          <w:txbxContent>
                            <w:p w14:paraId="7E818051"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inline>
            </w:drawing>
          </mc:Choice>
          <mc:Fallback>
            <w:pict>
              <v:group w14:anchorId="6F07B71A" id="Group 2456048" o:spid="_x0000_s1365" style="width:10.1pt;height:24.1pt;mso-position-horizontal-relative:char;mso-position-vertical-relative:line" coordsize="128016,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">
                <v:rect id="Rectangle 621474" o:spid="_x0000_s1366" style="position:absolute;width:170261;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" filled="f" stroked="f">
                  <v:textbox inset="0,0,0,0">
                    <w:txbxContent>
                      <w:p w14:paraId="7E818051" w14:textId="77777777" w:rsidR="00053D93" w:rsidRDefault="00260B75">
                        <w:r>
                          <w:rPr>
                            <w:rFonts w:ascii="Times New Roman" w:eastAsia="Times New Roman" w:hAnsi="Times New Roman" w:cs="Times New Roman"/>
                            <w:sz w:val="78"/>
                          </w:rPr>
                          <w:t>1</w:t>
                        </w:r>
                      </w:p>
                    </w:txbxContent>
                  </v:textbox>
                </v:rect>
                <w10:anchorlock/>
              </v:group>
            </w:pict>
          </mc:Fallback>
        </mc:AlternateContent>
      </w:r>
      <w:r>
        <w:rPr>
          <w:sz w:val="26"/>
        </w:rPr>
        <w:t xml:space="preserve"> que se tenía planificada su utilización por parte de los beneficiarios conforme a las actividades de educación física programadas para el ejercicio fiscal 2024.</w:t>
      </w:r>
    </w:p>
    <w:p w14:paraId="5C77CD31" w14:textId="77777777" w:rsidR="00053D93" w:rsidRDefault="00260B75">
      <w:pPr>
        <w:tabs>
          <w:tab w:val="right" w:pos="10217"/>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Se confirma el hallazgo para el licenciado William Fernando Salguero Hernández,</w:t>
      </w:r>
    </w:p>
    <w:p w14:paraId="7B07B6ED" w14:textId="77777777" w:rsidR="00053D93" w:rsidRDefault="00260B75">
      <w:pPr>
        <w:spacing w:after="17" w:line="301" w:lineRule="auto"/>
        <w:ind w:left="14" w:right="14" w:firstLine="1699"/>
        <w:jc w:val="both"/>
      </w:pPr>
      <w:r>
        <w:rPr>
          <w:sz w:val="26"/>
        </w:rPr>
        <w:lastRenderedPageBreak/>
        <w:t xml:space="preserve">Jefe Sección INJUDES; en virtud que, las pruebas presentadas no son suficientes, </w:t>
      </w:r>
      <w:r>
        <w:rPr>
          <w:rFonts w:ascii="Times New Roman" w:eastAsia="Times New Roman" w:hAnsi="Times New Roman" w:cs="Times New Roman"/>
          <w:sz w:val="26"/>
        </w:rPr>
        <w:t xml:space="preserve">1 </w:t>
      </w:r>
      <w:r>
        <w:rPr>
          <w:sz w:val="26"/>
        </w:rPr>
        <w:t xml:space="preserve">ya que a pesar de indicar que [os insumos ingresaron al Departamento de Almacén con fecha posterior a la que se tenía contemplada su utilización según requerimientos de compra; mediante oficios INJUD No. 247-2024 del 23 de agosto </w:t>
      </w:r>
      <w:r>
        <w:rPr>
          <w:rFonts w:ascii="Times New Roman" w:eastAsia="Times New Roman" w:hAnsi="Times New Roman" w:cs="Times New Roman"/>
          <w:sz w:val="26"/>
        </w:rPr>
        <w:t xml:space="preserve">1 </w:t>
      </w:r>
      <w:r>
        <w:rPr>
          <w:sz w:val="26"/>
        </w:rPr>
        <w:t xml:space="preserve">de 2024, INJUD No. 323-2024 del 17 de septiembre de 2024 e INJUD 387-2024 del 27 de octubre de 2024, dirigidos a la Jefe de Compras y la Jefe de Compras </w:t>
      </w:r>
      <w:r>
        <w:rPr>
          <w:noProof/>
        </w:rPr>
        <w:drawing>
          <wp:inline distT="0" distB="0" distL="0" distR="0" wp14:anchorId="59DB18C6" wp14:editId="45525AC4">
            <wp:extent cx="13716" cy="13716"/>
            <wp:effectExtent l="0" t="0" r="0" b="0"/>
            <wp:docPr id="624554" name="Picture 624554"/>
            <wp:cNvGraphicFramePr/>
            <a:graphic xmlns:a="http://schemas.openxmlformats.org/drawingml/2006/main">
              <a:graphicData uri="http://schemas.openxmlformats.org/drawingml/2006/picture">
                <pic:pic xmlns:pic="http://schemas.openxmlformats.org/drawingml/2006/picture">
                  <pic:nvPicPr>
                    <pic:cNvPr id="624554" name="Picture 624554"/>
                    <pic:cNvPicPr/>
                  </pic:nvPicPr>
                  <pic:blipFill>
                    <a:blip r:embed="rId921"/>
                    <a:stretch>
                      <a:fillRect/>
                    </a:stretch>
                  </pic:blipFill>
                  <pic:spPr>
                    <a:xfrm>
                      <a:off x="0" y="0"/>
                      <a:ext cx="13716"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a.i., solicitó que se autorizara la ampliación de la fecha para adquirir los insumos durante el tercer cuatrimestre ya que indicó que los mismos eran necesarios para continuar con el desarrollo de las actividades que se tenían programadas durante </w:t>
      </w:r>
      <w:r>
        <w:rPr>
          <w:rFonts w:ascii="Times New Roman" w:eastAsia="Times New Roman" w:hAnsi="Times New Roman" w:cs="Times New Roman"/>
          <w:sz w:val="26"/>
        </w:rPr>
        <w:t xml:space="preserve">1 </w:t>
      </w:r>
      <w:r>
        <w:rPr>
          <w:sz w:val="26"/>
        </w:rPr>
        <w:t>el año 2024, no obstante los insumos no fueron retirados de la bodega del Departamento de Almacén durante el referido ejercicio fiscal, lo cual fue constatado por el equipo de auditoría durante la verificación física realizada en</w:t>
      </w:r>
    </w:p>
    <w:p w14:paraId="7201920A" w14:textId="77777777" w:rsidR="00053D93" w:rsidRDefault="00260B75">
      <w:pPr>
        <w:spacing w:after="26"/>
        <w:ind w:left="50"/>
      </w:pPr>
      <w:r>
        <w:rPr>
          <w:noProof/>
        </w:rPr>
        <w:drawing>
          <wp:inline distT="0" distB="0" distL="0" distR="0" wp14:anchorId="0370EE31" wp14:editId="1E6E913D">
            <wp:extent cx="9144" cy="4572"/>
            <wp:effectExtent l="0" t="0" r="0" b="0"/>
            <wp:docPr id="624555" name="Picture 624555"/>
            <wp:cNvGraphicFramePr/>
            <a:graphic xmlns:a="http://schemas.openxmlformats.org/drawingml/2006/main">
              <a:graphicData uri="http://schemas.openxmlformats.org/drawingml/2006/picture">
                <pic:pic xmlns:pic="http://schemas.openxmlformats.org/drawingml/2006/picture">
                  <pic:nvPicPr>
                    <pic:cNvPr id="624555" name="Picture 624555"/>
                    <pic:cNvPicPr/>
                  </pic:nvPicPr>
                  <pic:blipFill>
                    <a:blip r:embed="rId24"/>
                    <a:stretch>
                      <a:fillRect/>
                    </a:stretch>
                  </pic:blipFill>
                  <pic:spPr>
                    <a:xfrm>
                      <a:off x="0" y="0"/>
                      <a:ext cx="9144" cy="4572"/>
                    </a:xfrm>
                    <a:prstGeom prst="rect">
                      <a:avLst/>
                    </a:prstGeom>
                  </pic:spPr>
                </pic:pic>
              </a:graphicData>
            </a:graphic>
          </wp:inline>
        </w:drawing>
      </w:r>
    </w:p>
    <w:tbl>
      <w:tblPr>
        <w:tblStyle w:val="TableGrid"/>
        <w:tblpPr w:vertAnchor="page" w:horzAnchor="page" w:tblpX="2837" w:tblpY="14530"/>
        <w:tblOverlap w:val="never"/>
        <w:tblW w:w="7632" w:type="dxa"/>
        <w:tblInd w:w="0" w:type="dxa"/>
        <w:tblCellMar>
          <w:top w:w="26" w:type="dxa"/>
          <w:left w:w="1742" w:type="dxa"/>
          <w:right w:w="115" w:type="dxa"/>
        </w:tblCellMar>
        <w:tblLook w:val="04A0" w:firstRow="1" w:lastRow="0" w:firstColumn="1" w:lastColumn="0" w:noHBand="0" w:noVBand="1"/>
      </w:tblPr>
      <w:tblGrid>
        <w:gridCol w:w="7632"/>
      </w:tblGrid>
      <w:tr w:rsidR="00053D93" w14:paraId="2CB8D1E0" w14:textId="77777777">
        <w:trPr>
          <w:trHeight w:val="55"/>
        </w:trPr>
        <w:tc>
          <w:tcPr>
            <w:tcW w:w="7632" w:type="dxa"/>
            <w:tcBorders>
              <w:top w:val="nil"/>
              <w:left w:val="single" w:sz="2" w:space="0" w:color="000000"/>
              <w:bottom w:val="single" w:sz="2" w:space="0" w:color="000000"/>
              <w:right w:val="nil"/>
            </w:tcBorders>
          </w:tcPr>
          <w:p w14:paraId="414C71DC" w14:textId="77777777" w:rsidR="00053D93" w:rsidRDefault="00053D93"/>
        </w:tc>
      </w:tr>
      <w:tr w:rsidR="00053D93" w14:paraId="12B1ED6F" w14:textId="77777777">
        <w:trPr>
          <w:trHeight w:val="579"/>
        </w:trPr>
        <w:tc>
          <w:tcPr>
            <w:tcW w:w="7632" w:type="dxa"/>
            <w:tcBorders>
              <w:top w:val="single" w:sz="2" w:space="0" w:color="000000"/>
              <w:left w:val="single" w:sz="2" w:space="0" w:color="000000"/>
              <w:bottom w:val="nil"/>
              <w:right w:val="nil"/>
            </w:tcBorders>
          </w:tcPr>
          <w:p w14:paraId="495846C1" w14:textId="77777777" w:rsidR="00053D93" w:rsidRDefault="00260B75">
            <w:pPr>
              <w:ind w:left="835"/>
            </w:pPr>
            <w:r>
              <w:rPr>
                <w:sz w:val="14"/>
              </w:rPr>
              <w:lastRenderedPageBreak/>
              <w:t>MINISTERIO DE EDUCACION</w:t>
            </w:r>
          </w:p>
          <w:p w14:paraId="5A9F45C9" w14:textId="77777777" w:rsidR="00053D93" w:rsidRDefault="00260B75">
            <w:pPr>
              <w:ind w:left="338"/>
            </w:pPr>
            <w:r>
              <w:rPr>
                <w:sz w:val="14"/>
              </w:rPr>
              <w:t>AUDITORIA FINANCIERA Y OE CUMPLIMIENTO</w:t>
            </w:r>
          </w:p>
          <w:p w14:paraId="2B450A89" w14:textId="77777777" w:rsidR="00053D93" w:rsidRDefault="00260B75">
            <w:r>
              <w:rPr>
                <w:sz w:val="14"/>
              </w:rPr>
              <w:t>PERIODO DEL 01 DE ENERO AL 31 DE DICIEMBRE DE 2024</w:t>
            </w:r>
          </w:p>
        </w:tc>
      </w:tr>
    </w:tbl>
    <w:p w14:paraId="4EEE6FA0" w14:textId="77777777" w:rsidR="00053D93" w:rsidRDefault="00260B75">
      <w:pPr>
        <w:spacing w:after="17" w:line="306" w:lineRule="auto"/>
        <w:ind w:left="14" w:right="14" w:firstLine="4"/>
        <w:jc w:val="both"/>
      </w:pPr>
      <w:r>
        <w:rPr>
          <w:noProof/>
        </w:rPr>
        <w:drawing>
          <wp:anchor distT="0" distB="0" distL="114300" distR="114300" simplePos="0" relativeHeight="252054528" behindDoc="0" locked="0" layoutInCell="1" allowOverlap="0" wp14:anchorId="12C696EC" wp14:editId="67989354">
            <wp:simplePos x="0" y="0"/>
            <wp:positionH relativeFrom="page">
              <wp:posOffset>658368</wp:posOffset>
            </wp:positionH>
            <wp:positionV relativeFrom="page">
              <wp:posOffset>9221724</wp:posOffset>
            </wp:positionV>
            <wp:extent cx="1120140" cy="406908"/>
            <wp:effectExtent l="0" t="0" r="0" b="0"/>
            <wp:wrapTopAndBottom/>
            <wp:docPr id="624588" name="Picture 624588"/>
            <wp:cNvGraphicFramePr/>
            <a:graphic xmlns:a="http://schemas.openxmlformats.org/drawingml/2006/main">
              <a:graphicData uri="http://schemas.openxmlformats.org/drawingml/2006/picture">
                <pic:pic xmlns:pic="http://schemas.openxmlformats.org/drawingml/2006/picture">
                  <pic:nvPicPr>
                    <pic:cNvPr id="624588" name="Picture 624588"/>
                    <pic:cNvPicPr/>
                  </pic:nvPicPr>
                  <pic:blipFill>
                    <a:blip r:embed="rId936"/>
                    <a:stretch>
                      <a:fillRect/>
                    </a:stretch>
                  </pic:blipFill>
                  <pic:spPr>
                    <a:xfrm>
                      <a:off x="0" y="0"/>
                      <a:ext cx="1120140" cy="406908"/>
                    </a:xfrm>
                    <a:prstGeom prst="rect">
                      <a:avLst/>
                    </a:prstGeom>
                  </pic:spPr>
                </pic:pic>
              </a:graphicData>
            </a:graphic>
          </wp:anchor>
        </w:drawing>
      </w:r>
      <w:r>
        <w:rPr>
          <w:rFonts w:ascii="Times New Roman" w:eastAsia="Times New Roman" w:hAnsi="Times New Roman" w:cs="Times New Roman"/>
          <w:sz w:val="26"/>
        </w:rPr>
        <w:t xml:space="preserve">1 </w:t>
      </w:r>
      <w:r>
        <w:rPr>
          <w:sz w:val="26"/>
        </w:rPr>
        <w:t xml:space="preserve">dicho Departamento de Almacén el 24 de enero de 2025, donde se pudo establecer que los insumos Palo (stick) de Hockey, Traje de portero para hockey y </w:t>
      </w:r>
      <w:r>
        <w:rPr>
          <w:rFonts w:ascii="Times New Roman" w:eastAsia="Times New Roman" w:hAnsi="Times New Roman" w:cs="Times New Roman"/>
          <w:sz w:val="26"/>
        </w:rPr>
        <w:t xml:space="preserve">-1 </w:t>
      </w:r>
      <w:r>
        <w:rPr>
          <w:sz w:val="26"/>
        </w:rPr>
        <w:t xml:space="preserve">Gelatina clase sin azúcar y alta en proteína adquiridos por la sección INJUD de [a Dirección General de Educación Física -DIGEF-, aún permanecían resguardados en ta bodega de dicho almacén por lo que no fueron utilizados oportunamente </w:t>
      </w:r>
      <w:r>
        <w:rPr>
          <w:noProof/>
        </w:rPr>
        <w:drawing>
          <wp:inline distT="0" distB="0" distL="0" distR="0" wp14:anchorId="6358F52D" wp14:editId="66C29C42">
            <wp:extent cx="13716" cy="9144"/>
            <wp:effectExtent l="0" t="0" r="0" b="0"/>
            <wp:docPr id="624556" name="Picture 624556"/>
            <wp:cNvGraphicFramePr/>
            <a:graphic xmlns:a="http://schemas.openxmlformats.org/drawingml/2006/main">
              <a:graphicData uri="http://schemas.openxmlformats.org/drawingml/2006/picture">
                <pic:pic xmlns:pic="http://schemas.openxmlformats.org/drawingml/2006/picture">
                  <pic:nvPicPr>
                    <pic:cNvPr id="624556" name="Picture 624556"/>
                    <pic:cNvPicPr/>
                  </pic:nvPicPr>
                  <pic:blipFill>
                    <a:blip r:embed="rId937"/>
                    <a:stretch>
                      <a:fillRect/>
                    </a:stretch>
                  </pic:blipFill>
                  <pic:spPr>
                    <a:xfrm>
                      <a:off x="0" y="0"/>
                      <a:ext cx="13716"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durante el 2024, para las actividades que se tenían programadas.</w:t>
      </w:r>
    </w:p>
    <w:p w14:paraId="2C3D1EB9" w14:textId="77777777" w:rsidR="00053D93" w:rsidRDefault="00260B75">
      <w:pPr>
        <w:spacing w:after="61" w:line="296" w:lineRule="auto"/>
        <w:ind w:left="14" w:right="14" w:firstLine="1685"/>
        <w:jc w:val="both"/>
      </w:pPr>
      <w:r>
        <w:rPr>
          <w:sz w:val="26"/>
        </w:rPr>
        <w:t xml:space="preserve">Se desvanece el hallazgo para el arquitecto Julio José Yanes Moreno, quien </w:t>
      </w:r>
      <w:r>
        <w:rPr>
          <w:rFonts w:ascii="Times New Roman" w:eastAsia="Times New Roman" w:hAnsi="Times New Roman" w:cs="Times New Roman"/>
          <w:sz w:val="26"/>
        </w:rPr>
        <w:t xml:space="preserve">1 </w:t>
      </w:r>
      <w:r>
        <w:rPr>
          <w:sz w:val="26"/>
        </w:rPr>
        <w:t xml:space="preserve">fungió como Coordinador de Infraestructura, por el período comprendido del 1 de enero de 2024 al 29 de noviembre de 2024; en virtud que, las pruebas </w:t>
      </w:r>
      <w:r>
        <w:rPr>
          <w:rFonts w:ascii="Times New Roman" w:eastAsia="Times New Roman" w:hAnsi="Times New Roman" w:cs="Times New Roman"/>
          <w:sz w:val="26"/>
        </w:rPr>
        <w:t xml:space="preserve">-1 </w:t>
      </w:r>
      <w:r>
        <w:rPr>
          <w:sz w:val="26"/>
        </w:rPr>
        <w:t xml:space="preserve">presentadas son suficientes, ya que indica y comprueba que fue removido del cargo con fecha 29 de noviembre de 2024, mediante cédula de notificación que contenía el Acuerdo Ministerial No. DIREH-6370-2024, del 27 de noviembre de </w:t>
      </w:r>
      <w:r>
        <w:rPr>
          <w:rFonts w:ascii="Times New Roman" w:eastAsia="Times New Roman" w:hAnsi="Times New Roman" w:cs="Times New Roman"/>
          <w:sz w:val="26"/>
        </w:rPr>
        <w:t xml:space="preserve">1 </w:t>
      </w:r>
      <w:r>
        <w:rPr>
          <w:sz w:val="26"/>
        </w:rPr>
        <w:t xml:space="preserve">2024 y que el producto pintura tipo tráfico varios colores ingresó al Departamento de Almacén el 27 de noviembre de 2024, según constancia de ingreso a almacén y a inventario IH No. 0134; por Io que, no contó con el tiempo prudencial para </w:t>
      </w:r>
      <w:r>
        <w:rPr>
          <w:rFonts w:ascii="Times New Roman" w:eastAsia="Times New Roman" w:hAnsi="Times New Roman" w:cs="Times New Roman"/>
          <w:sz w:val="26"/>
        </w:rPr>
        <w:t xml:space="preserve">1 </w:t>
      </w:r>
      <w:r>
        <w:rPr>
          <w:sz w:val="26"/>
        </w:rPr>
        <w:t xml:space="preserve">poder realizar [a distribución de la pintura en base a la planificación realizada previamente, de las cuales ya había realizado las gestiones y logísticas en </w:t>
      </w:r>
      <w:r>
        <w:rPr>
          <w:rFonts w:ascii="Times New Roman" w:eastAsia="Times New Roman" w:hAnsi="Times New Roman" w:cs="Times New Roman"/>
          <w:sz w:val="26"/>
        </w:rPr>
        <w:t xml:space="preserve">1 </w:t>
      </w:r>
      <w:r>
        <w:rPr>
          <w:sz w:val="26"/>
        </w:rPr>
        <w:t xml:space="preserve">relación a la solicitud de transporte para movilización de la pintura hacia los beneficiarios; asimismo, en relación al insumo wipe color blanco tipo bola, el requerimiento 2024-8083, se generó con fecha 12 de noviembre de 2024 y </w:t>
      </w:r>
      <w:r>
        <w:rPr>
          <w:noProof/>
        </w:rPr>
        <w:drawing>
          <wp:inline distT="0" distB="0" distL="0" distR="0" wp14:anchorId="52F172CE" wp14:editId="13CE3915">
            <wp:extent cx="18288" cy="9144"/>
            <wp:effectExtent l="0" t="0" r="0" b="0"/>
            <wp:docPr id="624557" name="Picture 624557"/>
            <wp:cNvGraphicFramePr/>
            <a:graphic xmlns:a="http://schemas.openxmlformats.org/drawingml/2006/main">
              <a:graphicData uri="http://schemas.openxmlformats.org/drawingml/2006/picture">
                <pic:pic xmlns:pic="http://schemas.openxmlformats.org/drawingml/2006/picture">
                  <pic:nvPicPr>
                    <pic:cNvPr id="624557" name="Picture 624557"/>
                    <pic:cNvPicPr/>
                  </pic:nvPicPr>
                  <pic:blipFill>
                    <a:blip r:embed="rId856"/>
                    <a:stretch>
                      <a:fillRect/>
                    </a:stretch>
                  </pic:blipFill>
                  <pic:spPr>
                    <a:xfrm>
                      <a:off x="0" y="0"/>
                      <a:ext cx="18288"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conforme a la Constancia de Ingreso a Almacén y a Inventario IH No. 0162, el insumo ingreso el 9 de diciembre de 2024, fecha en la cual el responsable ya había sido removido del cargo.</w:t>
      </w:r>
    </w:p>
    <w:p w14:paraId="3FD071A1" w14:textId="77777777" w:rsidR="00053D93" w:rsidRDefault="00260B75">
      <w:pPr>
        <w:spacing w:after="3"/>
        <w:ind w:left="24" w:hanging="10"/>
      </w:pPr>
      <w:r>
        <w:rPr>
          <w:noProof/>
        </w:rPr>
        <w:drawing>
          <wp:inline distT="0" distB="0" distL="0" distR="0" wp14:anchorId="697091D9" wp14:editId="1E982D04">
            <wp:extent cx="9144" cy="9144"/>
            <wp:effectExtent l="0" t="0" r="0" b="0"/>
            <wp:docPr id="624558" name="Picture 624558"/>
            <wp:cNvGraphicFramePr/>
            <a:graphic xmlns:a="http://schemas.openxmlformats.org/drawingml/2006/main">
              <a:graphicData uri="http://schemas.openxmlformats.org/drawingml/2006/picture">
                <pic:pic xmlns:pic="http://schemas.openxmlformats.org/drawingml/2006/picture">
                  <pic:nvPicPr>
                    <pic:cNvPr id="624558" name="Picture 624558"/>
                    <pic:cNvPicPr/>
                  </pic:nvPicPr>
                  <pic:blipFill>
                    <a:blip r:embed="rId73"/>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72"/>
        </w:rPr>
        <w:t>1</w:t>
      </w:r>
    </w:p>
    <w:p w14:paraId="3AA3FFD6" w14:textId="77777777" w:rsidR="00053D93" w:rsidRDefault="00260B75">
      <w:pPr>
        <w:spacing w:after="17" w:line="247" w:lineRule="auto"/>
        <w:ind w:left="101" w:right="14" w:firstLine="1591"/>
        <w:jc w:val="both"/>
      </w:pPr>
      <w:r>
        <w:rPr>
          <w:sz w:val="26"/>
        </w:rPr>
        <w:t xml:space="preserve">Se desvanece el hallazgo para el licenciado Jorge Humberto Vanegas Ramírez, </w:t>
      </w:r>
      <w:r>
        <w:rPr>
          <w:rFonts w:ascii="Times New Roman" w:eastAsia="Times New Roman" w:hAnsi="Times New Roman" w:cs="Times New Roman"/>
          <w:sz w:val="26"/>
        </w:rPr>
        <w:t xml:space="preserve">1 </w:t>
      </w:r>
      <w:r>
        <w:rPr>
          <w:sz w:val="26"/>
        </w:rPr>
        <w:t>quien fungió como Coordinador Curricular, por el período comprendido del 01 de</w:t>
      </w:r>
    </w:p>
    <w:p w14:paraId="409A801F" w14:textId="77777777" w:rsidR="00053D93" w:rsidRDefault="00053D93">
      <w:pPr>
        <w:sectPr w:rsidR="00053D93">
          <w:headerReference w:type="even" r:id="rId938"/>
          <w:headerReference w:type="default" r:id="rId939"/>
          <w:footerReference w:type="even" r:id="rId940"/>
          <w:footerReference w:type="default" r:id="rId941"/>
          <w:headerReference w:type="first" r:id="rId942"/>
          <w:footerReference w:type="first" r:id="rId943"/>
          <w:pgSz w:w="12290" w:h="15883"/>
          <w:pgMar w:top="403" w:right="1771" w:bottom="749" w:left="302" w:header="374" w:footer="202" w:gutter="0"/>
          <w:cols w:space="720"/>
          <w:titlePg/>
        </w:sectPr>
      </w:pPr>
    </w:p>
    <w:p w14:paraId="0231F4C4" w14:textId="77777777" w:rsidR="00053D93" w:rsidRDefault="00260B75">
      <w:pPr>
        <w:spacing w:after="181" w:line="265" w:lineRule="auto"/>
        <w:ind w:left="3624" w:right="58" w:hanging="10"/>
        <w:jc w:val="center"/>
      </w:pPr>
      <w:r>
        <w:rPr>
          <w:sz w:val="14"/>
        </w:rPr>
        <w:lastRenderedPageBreak/>
        <w:t xml:space="preserve">OE </w:t>
      </w:r>
    </w:p>
    <w:p w14:paraId="5187ABF7" w14:textId="77777777" w:rsidR="00053D93" w:rsidRDefault="00260B75">
      <w:pPr>
        <w:spacing w:after="38"/>
        <w:ind w:left="1735"/>
      </w:pPr>
      <w:r>
        <w:rPr>
          <w:noProof/>
        </w:rPr>
        <mc:AlternateContent>
          <mc:Choice Requires="wpg">
            <w:drawing>
              <wp:inline distT="0" distB="0" distL="0" distR="0" wp14:anchorId="4F03BD9B" wp14:editId="5D8DC444">
                <wp:extent cx="5376672" cy="13716"/>
                <wp:effectExtent l="0" t="0" r="0" b="0"/>
                <wp:docPr id="2458510" name="Group 2458510"/>
                <wp:cNvGraphicFramePr/>
                <a:graphic xmlns:a="http://schemas.openxmlformats.org/drawingml/2006/main">
                  <a:graphicData uri="http://schemas.microsoft.com/office/word/2010/wordprocessingGroup">
                    <wpg:wgp>
                      <wpg:cNvGrpSpPr/>
                      <wpg:grpSpPr>
                        <a:xfrm>
                          <a:off x="0" y="0"/>
                          <a:ext cx="5376672" cy="13716"/>
                          <a:chOff x="0" y="0"/>
                          <a:chExt cx="5376672" cy="13716"/>
                        </a:xfrm>
                      </wpg:grpSpPr>
                      <wps:wsp>
                        <wps:cNvPr id="2458509" name="Shape 2458509"/>
                        <wps:cNvSpPr/>
                        <wps:spPr>
                          <a:xfrm>
                            <a:off x="0" y="0"/>
                            <a:ext cx="5376672" cy="13716"/>
                          </a:xfrm>
                          <a:custGeom>
                            <a:avLst/>
                            <a:gdLst/>
                            <a:ahLst/>
                            <a:cxnLst/>
                            <a:rect l="0" t="0" r="0" b="0"/>
                            <a:pathLst>
                              <a:path w="5376672" h="13716">
                                <a:moveTo>
                                  <a:pt x="0" y="6858"/>
                                </a:moveTo>
                                <a:lnTo>
                                  <a:pt x="537667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10" style="width:423.36pt;height:1.08pt;mso-position-horizontal-relative:char;mso-position-vertical-relative:line" coordsize="53766,137">
                <v:shape id="Shape 2458509" style="position:absolute;width:53766;height:137;left:0;top:0;" coordsize="5376672,13716" path="m0,6858l5376672,6858">
                  <v:stroke weight="1.08pt" endcap="flat" joinstyle="miter" miterlimit="1" on="true" color="#000000"/>
                  <v:fill on="false" color="#000000"/>
                </v:shape>
              </v:group>
            </w:pict>
          </mc:Fallback>
        </mc:AlternateContent>
      </w:r>
    </w:p>
    <w:p w14:paraId="5CDCF561" w14:textId="77777777" w:rsidR="00053D93" w:rsidRDefault="00260B75">
      <w:pPr>
        <w:spacing w:after="209" w:line="247" w:lineRule="auto"/>
        <w:ind w:left="14" w:right="14" w:firstLine="4"/>
        <w:jc w:val="both"/>
      </w:pPr>
      <w:r>
        <w:rPr>
          <w:rFonts w:ascii="Times New Roman" w:eastAsia="Times New Roman" w:hAnsi="Times New Roman" w:cs="Times New Roman"/>
          <w:sz w:val="26"/>
        </w:rPr>
        <w:t xml:space="preserve">1 </w:t>
      </w:r>
      <w:r>
        <w:rPr>
          <w:sz w:val="26"/>
        </w:rPr>
        <w:t xml:space="preserve">enero de 2024 al 29 de noviembre de 2024; en virtud que, las pruebas presentadas son suficientes, ya que demuestran que el responsable realizó las gestiones de supervisión necesarias para que los insumos arena granulometría y escaleras de agilidad fueran distribuidas a las distintas Escuelas Normales de Educación Física, a pesar de ser recibidos en el Departamento de Almacén con </w:t>
      </w:r>
      <w:r>
        <w:rPr>
          <w:rFonts w:ascii="Times New Roman" w:eastAsia="Times New Roman" w:hAnsi="Times New Roman" w:cs="Times New Roman"/>
          <w:sz w:val="26"/>
        </w:rPr>
        <w:t xml:space="preserve">1 </w:t>
      </w:r>
      <w:r>
        <w:rPr>
          <w:sz w:val="26"/>
        </w:rPr>
        <w:t>fecha posterior a la que se tenla contemplada para su utilización; instruyendo a la Jefe de Sección ENEF para retirar de almacén los insumos antes mencionados durante el ejercicio fiscal 2024.</w:t>
      </w:r>
    </w:p>
    <w:p w14:paraId="23BE6222" w14:textId="77777777" w:rsidR="00053D93" w:rsidRDefault="00260B75">
      <w:pPr>
        <w:spacing w:after="3"/>
        <w:ind w:left="24" w:hanging="10"/>
      </w:pPr>
      <w:r>
        <w:rPr>
          <w:rFonts w:ascii="Times New Roman" w:eastAsia="Times New Roman" w:hAnsi="Times New Roman" w:cs="Times New Roman"/>
          <w:sz w:val="72"/>
        </w:rPr>
        <w:t>1</w:t>
      </w:r>
    </w:p>
    <w:p w14:paraId="59C7684C" w14:textId="77777777" w:rsidR="00053D93" w:rsidRDefault="00260B75">
      <w:pPr>
        <w:spacing w:after="17" w:line="247" w:lineRule="auto"/>
        <w:ind w:left="14" w:right="14" w:firstLine="1706"/>
        <w:jc w:val="both"/>
      </w:pPr>
      <w:r>
        <w:rPr>
          <w:sz w:val="26"/>
        </w:rPr>
        <w:t xml:space="preserve">Se desvanece el hallazgo para la licenciada Ada Alcira Gómez Castellanos de Juárez, Jefe Departamento ENEF; en virtud que, las pruebas presentadas son </w:t>
      </w:r>
      <w:r>
        <w:rPr>
          <w:rFonts w:ascii="Times New Roman" w:eastAsia="Times New Roman" w:hAnsi="Times New Roman" w:cs="Times New Roman"/>
          <w:sz w:val="26"/>
        </w:rPr>
        <w:t xml:space="preserve">1 </w:t>
      </w:r>
      <w:r>
        <w:rPr>
          <w:sz w:val="26"/>
        </w:rPr>
        <w:t xml:space="preserve">suficientes; ya que, a pesar de que los materiales y suministros adquiridos ingresaron al Departamento de Amacén posterior a la fecha de utilización debido </w:t>
      </w:r>
      <w:r>
        <w:rPr>
          <w:rFonts w:ascii="Times New Roman" w:eastAsia="Times New Roman" w:hAnsi="Times New Roman" w:cs="Times New Roman"/>
          <w:sz w:val="26"/>
        </w:rPr>
        <w:t xml:space="preserve">1 </w:t>
      </w:r>
      <w:r>
        <w:rPr>
          <w:sz w:val="26"/>
        </w:rPr>
        <w:t xml:space="preserve">a falta de cuota financiera, (arena granulometría el 31 de julio de 2024 y las escaleras de agilidad el 16 de agosto de 2024); el insumo arena granulometría ingresó al Departamento de Almacén el 1 1 de septiembre de 2024 y las escaleras </w:t>
      </w:r>
      <w:r>
        <w:rPr>
          <w:rFonts w:ascii="Times New Roman" w:eastAsia="Times New Roman" w:hAnsi="Times New Roman" w:cs="Times New Roman"/>
          <w:sz w:val="26"/>
        </w:rPr>
        <w:t xml:space="preserve">1 </w:t>
      </w:r>
      <w:r>
        <w:rPr>
          <w:sz w:val="26"/>
        </w:rPr>
        <w:t xml:space="preserve">de agilidad ingresaron el 18 de septiembre de 2024; la responsable presentó dentro de sus pruebas de descargo, los oficios Números: ENEF-217-2024 del 16 de julio de 2024, ENEF-338-2024 del 24 de septiembre de 2024, ENEF-391-2024 </w:t>
      </w:r>
      <w:r>
        <w:rPr>
          <w:rFonts w:ascii="Times New Roman" w:eastAsia="Times New Roman" w:hAnsi="Times New Roman" w:cs="Times New Roman"/>
          <w:sz w:val="26"/>
        </w:rPr>
        <w:t xml:space="preserve">1 </w:t>
      </w:r>
      <w:r>
        <w:rPr>
          <w:sz w:val="26"/>
        </w:rPr>
        <w:t>del 30 de octubre de 2024, ENFEF-421-2024 del 19 de noviembre de 2024 y</w:t>
      </w:r>
    </w:p>
    <w:p w14:paraId="51F9236B" w14:textId="77777777" w:rsidR="00053D93" w:rsidRDefault="00260B75">
      <w:pPr>
        <w:spacing w:after="17" w:line="247" w:lineRule="auto"/>
        <w:ind w:left="94" w:right="14" w:firstLine="1670"/>
        <w:jc w:val="both"/>
      </w:pPr>
      <w:r>
        <w:rPr>
          <w:sz w:val="26"/>
        </w:rPr>
        <w:t xml:space="preserve">ENFEF-422-2024 del 19 de noviembre de 2024, en donde solicitó a la Jefe de </w:t>
      </w:r>
      <w:r>
        <w:rPr>
          <w:rFonts w:ascii="Times New Roman" w:eastAsia="Times New Roman" w:hAnsi="Times New Roman" w:cs="Times New Roman"/>
          <w:sz w:val="26"/>
        </w:rPr>
        <w:t xml:space="preserve">1 </w:t>
      </w:r>
      <w:r>
        <w:rPr>
          <w:sz w:val="26"/>
        </w:rPr>
        <w:t xml:space="preserve">Servicios Generales el apoyo correspondiente para el traslado de los insumos adquiridos, sin embargo no le fue proporcionado; por lo que solicitó dicho apoyo a los Directores de las ENEF, mediante el correo electrónico enviado el 18 de </w:t>
      </w:r>
      <w:r>
        <w:rPr>
          <w:rFonts w:ascii="Times New Roman" w:eastAsia="Times New Roman" w:hAnsi="Times New Roman" w:cs="Times New Roman"/>
          <w:sz w:val="26"/>
        </w:rPr>
        <w:t xml:space="preserve">1 </w:t>
      </w:r>
      <w:r>
        <w:rPr>
          <w:sz w:val="26"/>
        </w:rPr>
        <w:t xml:space="preserve">noviembre de 2024, para que pudieran ir a recoger los materiales y suministros adquiridos para las ENEF, de los cuales pudo entregar varios según consta en los conocimientos No. 084-2024, 085-2024, ambos del 19 de noviembre de 2024, </w:t>
      </w:r>
      <w:r>
        <w:rPr>
          <w:rFonts w:ascii="Times New Roman" w:eastAsia="Times New Roman" w:hAnsi="Times New Roman" w:cs="Times New Roman"/>
          <w:sz w:val="26"/>
        </w:rPr>
        <w:t xml:space="preserve">1 </w:t>
      </w:r>
      <w:r>
        <w:rPr>
          <w:sz w:val="26"/>
        </w:rPr>
        <w:t>086-2024 del 26 de noviembre de 2024, ENEF-89-2024 del 03 de diciembre de</w:t>
      </w:r>
    </w:p>
    <w:p w14:paraId="5DD0AAB8" w14:textId="77777777" w:rsidR="00053D93" w:rsidRDefault="00260B75">
      <w:pPr>
        <w:spacing w:after="247" w:line="247" w:lineRule="auto"/>
        <w:ind w:left="122" w:right="14" w:firstLine="1634"/>
        <w:jc w:val="both"/>
      </w:pPr>
      <w:r>
        <w:rPr>
          <w:sz w:val="26"/>
        </w:rPr>
        <w:t xml:space="preserve">2024, ENEF-97-2024 del 09 de diciembre de 2024, ENEF-95-2024 del 09 de </w:t>
      </w:r>
      <w:r>
        <w:rPr>
          <w:rFonts w:ascii="Times New Roman" w:eastAsia="Times New Roman" w:hAnsi="Times New Roman" w:cs="Times New Roman"/>
          <w:sz w:val="26"/>
        </w:rPr>
        <w:t xml:space="preserve">1 </w:t>
      </w:r>
      <w:r>
        <w:rPr>
          <w:sz w:val="26"/>
        </w:rPr>
        <w:t xml:space="preserve">diciembre de 2024, ENEF-1 02-2024 del 12 de diciembre de 2024 y ENEF-104-2024 del 17 de diciembre de 2024, dejando de entregar algunos para finales del ejercicio fiscal 2024; por lo que, se demostró que la responsable realizó </w:t>
      </w:r>
      <w:r>
        <w:rPr>
          <w:rFonts w:ascii="Times New Roman" w:eastAsia="Times New Roman" w:hAnsi="Times New Roman" w:cs="Times New Roman"/>
          <w:sz w:val="26"/>
        </w:rPr>
        <w:t xml:space="preserve">1 </w:t>
      </w:r>
      <w:r>
        <w:rPr>
          <w:sz w:val="26"/>
        </w:rPr>
        <w:t>las gestiones necesarias para cumplir con las actividades planificadas en el departamento a su cargo para el ejercicio fiscal 2024; sin embargo, quedaron algunos insumos pendientes de entregar, debido a la falta de apoyo con el</w:t>
      </w:r>
    </w:p>
    <w:p w14:paraId="29322F6F" w14:textId="77777777" w:rsidR="00053D93" w:rsidRDefault="00260B75">
      <w:pPr>
        <w:spacing w:after="105" w:line="330" w:lineRule="auto"/>
        <w:ind w:left="1764" w:right="14" w:hanging="1627"/>
        <w:jc w:val="both"/>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transporte para poder movilizar los materiales y suministros adquiridos para las ENEF.</w:t>
      </w:r>
    </w:p>
    <w:p w14:paraId="05527FF5" w14:textId="77777777" w:rsidR="00053D93" w:rsidRDefault="00260B75">
      <w:pPr>
        <w:spacing w:after="3" w:line="265" w:lineRule="auto"/>
        <w:ind w:left="168" w:right="65" w:hanging="10"/>
      </w:pPr>
      <w:r>
        <w:rPr>
          <w:rFonts w:ascii="Times New Roman" w:eastAsia="Times New Roman" w:hAnsi="Times New Roman" w:cs="Times New Roman"/>
          <w:sz w:val="66"/>
        </w:rPr>
        <w:lastRenderedPageBreak/>
        <w:t>1</w:t>
      </w:r>
    </w:p>
    <w:p w14:paraId="49038A2F" w14:textId="77777777" w:rsidR="00053D93" w:rsidRDefault="00260B75">
      <w:pPr>
        <w:spacing w:after="535" w:line="247" w:lineRule="auto"/>
        <w:ind w:left="158" w:right="14" w:firstLine="1598"/>
        <w:jc w:val="both"/>
      </w:pPr>
      <w:r>
        <w:rPr>
          <w:sz w:val="26"/>
        </w:rPr>
        <w:t xml:space="preserve">Se desvanece el hallazgo, para el licenciadd Juan Carlos López Vargas, Coordinador Técnico Nacional A.l., en virtud que los comentarios y pruebas </w:t>
      </w:r>
      <w:r>
        <w:rPr>
          <w:rFonts w:ascii="Times New Roman" w:eastAsia="Times New Roman" w:hAnsi="Times New Roman" w:cs="Times New Roman"/>
          <w:sz w:val="26"/>
        </w:rPr>
        <w:t xml:space="preserve">1 </w:t>
      </w:r>
      <w:r>
        <w:rPr>
          <w:sz w:val="26"/>
        </w:rPr>
        <w:t>presentadas, son suficientes, ya que manifiesta que únicamente realizaron la compra de pelotas de futbol No. 5 circunferencia 68 a 71 centímetros y que se procedió a entregarlas a los Coordinadores Técnicos Departamentales, haciendo</w:t>
      </w:r>
    </w:p>
    <w:tbl>
      <w:tblPr>
        <w:tblStyle w:val="TableGrid"/>
        <w:tblpPr w:vertAnchor="text" w:tblpX="2571" w:tblpY="149"/>
        <w:tblOverlap w:val="never"/>
        <w:tblW w:w="7653" w:type="dxa"/>
        <w:tblInd w:w="0" w:type="dxa"/>
        <w:tblCellMar>
          <w:top w:w="50" w:type="dxa"/>
          <w:left w:w="1777" w:type="dxa"/>
          <w:right w:w="115" w:type="dxa"/>
        </w:tblCellMar>
        <w:tblLook w:val="04A0" w:firstRow="1" w:lastRow="0" w:firstColumn="1" w:lastColumn="0" w:noHBand="0" w:noVBand="1"/>
      </w:tblPr>
      <w:tblGrid>
        <w:gridCol w:w="7653"/>
      </w:tblGrid>
      <w:tr w:rsidR="00053D93" w14:paraId="4ABD3E42" w14:textId="77777777">
        <w:trPr>
          <w:trHeight w:val="36"/>
        </w:trPr>
        <w:tc>
          <w:tcPr>
            <w:tcW w:w="7653" w:type="dxa"/>
            <w:tcBorders>
              <w:top w:val="nil"/>
              <w:left w:val="single" w:sz="2" w:space="0" w:color="000000"/>
              <w:bottom w:val="single" w:sz="2" w:space="0" w:color="000000"/>
              <w:right w:val="nil"/>
            </w:tcBorders>
          </w:tcPr>
          <w:p w14:paraId="27D8FF0C" w14:textId="77777777" w:rsidR="00053D93" w:rsidRDefault="00053D93"/>
        </w:tc>
      </w:tr>
      <w:tr w:rsidR="00053D93" w14:paraId="0D75C29D" w14:textId="77777777">
        <w:trPr>
          <w:trHeight w:val="605"/>
        </w:trPr>
        <w:tc>
          <w:tcPr>
            <w:tcW w:w="7653" w:type="dxa"/>
            <w:tcBorders>
              <w:top w:val="single" w:sz="2" w:space="0" w:color="000000"/>
              <w:left w:val="single" w:sz="2" w:space="0" w:color="000000"/>
              <w:bottom w:val="nil"/>
              <w:right w:val="nil"/>
            </w:tcBorders>
          </w:tcPr>
          <w:p w14:paraId="590A4E14" w14:textId="77777777" w:rsidR="00053D93" w:rsidRDefault="00260B75">
            <w:pPr>
              <w:ind w:left="835"/>
            </w:pPr>
            <w:r>
              <w:rPr>
                <w:sz w:val="14"/>
              </w:rPr>
              <w:t>MINISTERIO DE EDUCACION</w:t>
            </w:r>
          </w:p>
          <w:p w14:paraId="7B6248E0" w14:textId="77777777" w:rsidR="00053D93" w:rsidRDefault="00260B75">
            <w:pPr>
              <w:spacing w:after="20"/>
              <w:ind w:left="338"/>
            </w:pPr>
            <w:r>
              <w:rPr>
                <w:sz w:val="14"/>
              </w:rPr>
              <w:t>AUDITORIA FINANCIERA Y DE CUMPLIMIENTO</w:t>
            </w:r>
          </w:p>
          <w:p w14:paraId="0492C3FF" w14:textId="77777777" w:rsidR="00053D93" w:rsidRDefault="00260B75">
            <w:r>
              <w:rPr>
                <w:sz w:val="14"/>
              </w:rPr>
              <w:t>PERIODO DEI 01 DE ENERO AL 31 OE DICIEMBRE DE 2024</w:t>
            </w:r>
          </w:p>
        </w:tc>
      </w:tr>
    </w:tbl>
    <w:p w14:paraId="79B7C49E" w14:textId="77777777" w:rsidR="00053D93" w:rsidRDefault="00260B75">
      <w:pPr>
        <w:pStyle w:val="Ttulo2"/>
        <w:spacing w:after="97"/>
        <w:ind w:right="6955"/>
      </w:pPr>
      <w:r>
        <w:rPr>
          <w:vertAlign w:val="superscript"/>
        </w:rPr>
        <w:t xml:space="preserve">I </w:t>
      </w:r>
      <w:r>
        <w:t>III</w:t>
      </w:r>
      <w:r>
        <w:rPr>
          <w:noProof/>
        </w:rPr>
        <w:drawing>
          <wp:inline distT="0" distB="0" distL="0" distR="0" wp14:anchorId="22AF4031" wp14:editId="383E6953">
            <wp:extent cx="932688" cy="406908"/>
            <wp:effectExtent l="0" t="0" r="0" b="0"/>
            <wp:docPr id="628504" name="Picture 628504"/>
            <wp:cNvGraphicFramePr/>
            <a:graphic xmlns:a="http://schemas.openxmlformats.org/drawingml/2006/main">
              <a:graphicData uri="http://schemas.openxmlformats.org/drawingml/2006/picture">
                <pic:pic xmlns:pic="http://schemas.openxmlformats.org/drawingml/2006/picture">
                  <pic:nvPicPr>
                    <pic:cNvPr id="628504" name="Picture 628504"/>
                    <pic:cNvPicPr/>
                  </pic:nvPicPr>
                  <pic:blipFill>
                    <a:blip r:embed="rId944"/>
                    <a:stretch>
                      <a:fillRect/>
                    </a:stretch>
                  </pic:blipFill>
                  <pic:spPr>
                    <a:xfrm>
                      <a:off x="0" y="0"/>
                      <a:ext cx="932688" cy="406908"/>
                    </a:xfrm>
                    <a:prstGeom prst="rect">
                      <a:avLst/>
                    </a:prstGeom>
                  </pic:spPr>
                </pic:pic>
              </a:graphicData>
            </a:graphic>
          </wp:inline>
        </w:drawing>
      </w:r>
    </w:p>
    <w:p w14:paraId="19FEDB76" w14:textId="77777777" w:rsidR="00053D93" w:rsidRDefault="00260B75">
      <w:pPr>
        <w:spacing w:after="28"/>
        <w:ind w:left="1786" w:right="-7"/>
      </w:pPr>
      <w:r>
        <w:rPr>
          <w:noProof/>
        </w:rPr>
        <mc:AlternateContent>
          <mc:Choice Requires="wpg">
            <w:drawing>
              <wp:inline distT="0" distB="0" distL="0" distR="0" wp14:anchorId="4D5B609B" wp14:editId="4595F0C7">
                <wp:extent cx="5376672" cy="9144"/>
                <wp:effectExtent l="0" t="0" r="0" b="0"/>
                <wp:docPr id="2458512" name="Group 2458512"/>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511" name="Shape 2458511"/>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12" style="width:423.36pt;height:0.720001pt;mso-position-horizontal-relative:char;mso-position-vertical-relative:line" coordsize="53766,91">
                <v:shape id="Shape 2458511" style="position:absolute;width:53766;height:91;left:0;top:0;" coordsize="5376672,9144" path="m0,4572l5376672,4572">
                  <v:stroke weight="0.720001pt" endcap="flat" joinstyle="miter" miterlimit="1" on="true" color="#000000"/>
                  <v:fill on="false" color="#000000"/>
                </v:shape>
              </v:group>
            </w:pict>
          </mc:Fallback>
        </mc:AlternateContent>
      </w:r>
    </w:p>
    <w:p w14:paraId="6135ED4C" w14:textId="77777777" w:rsidR="00053D93" w:rsidRDefault="00260B75">
      <w:pPr>
        <w:spacing w:after="282" w:line="247" w:lineRule="auto"/>
        <w:ind w:left="1793" w:right="14" w:firstLine="4"/>
        <w:jc w:val="both"/>
      </w:pPr>
      <w:r>
        <w:rPr>
          <w:sz w:val="26"/>
        </w:rPr>
        <w:t>entrega de casi la totalidad de pelotas adquiridas, información que fue confirmada por el equipo de auditoria durante la verificación física realizada el 24 de enero de 2025 en la bodega del Departamento de Almacén, por lo que se pudo establecer que se dio cumplimiento a [a entrega de implementos deportivos de manera oportuna para ser utilizados por los beneficiarios en las distintas actividades planificadas por la DIGEF, durante el ejercicio fiscal 2024.</w:t>
      </w:r>
    </w:p>
    <w:p w14:paraId="6CDD559F" w14:textId="77777777" w:rsidR="00053D93" w:rsidRDefault="00260B75">
      <w:pPr>
        <w:spacing w:after="18" w:line="248" w:lineRule="auto"/>
        <w:ind w:left="1789" w:hanging="3"/>
        <w:jc w:val="both"/>
      </w:pPr>
      <w:r>
        <w:rPr>
          <w:sz w:val="28"/>
        </w:rPr>
        <w:t>Acciones legales</w:t>
      </w:r>
    </w:p>
    <w:p w14:paraId="022AACE0" w14:textId="77777777" w:rsidR="00053D93" w:rsidRDefault="00260B75">
      <w:pPr>
        <w:spacing w:after="67" w:line="247" w:lineRule="auto"/>
        <w:ind w:left="1793" w:right="14" w:firstLine="4"/>
        <w:jc w:val="both"/>
      </w:pPr>
      <w:r>
        <w:rPr>
          <w:sz w:val="26"/>
        </w:rPr>
        <w:t>Sanción económica de conformidad con el Decreto 31-2002, del Congreso de la República, Ley Orgánica de la Contraloría General de Cuentas, reformada por el Decreto 13-2013; artículo 39, Numeral 24, para:</w:t>
      </w:r>
    </w:p>
    <w:tbl>
      <w:tblPr>
        <w:tblStyle w:val="TableGrid"/>
        <w:tblW w:w="8438" w:type="dxa"/>
        <w:tblInd w:w="1771" w:type="dxa"/>
        <w:tblCellMar>
          <w:top w:w="12" w:type="dxa"/>
        </w:tblCellMar>
        <w:tblLook w:val="04A0" w:firstRow="1" w:lastRow="0" w:firstColumn="1" w:lastColumn="0" w:noHBand="0" w:noVBand="1"/>
      </w:tblPr>
      <w:tblGrid>
        <w:gridCol w:w="7611"/>
        <w:gridCol w:w="827"/>
      </w:tblGrid>
      <w:tr w:rsidR="00053D93" w14:paraId="28CB70A5" w14:textId="77777777">
        <w:trPr>
          <w:trHeight w:val="3118"/>
        </w:trPr>
        <w:tc>
          <w:tcPr>
            <w:tcW w:w="7661" w:type="dxa"/>
            <w:tcBorders>
              <w:top w:val="nil"/>
              <w:left w:val="nil"/>
              <w:bottom w:val="nil"/>
              <w:right w:val="nil"/>
            </w:tcBorders>
          </w:tcPr>
          <w:p w14:paraId="3A36C772" w14:textId="77777777" w:rsidR="00053D93" w:rsidRDefault="00260B75">
            <w:pPr>
              <w:tabs>
                <w:tab w:val="center" w:pos="4676"/>
              </w:tabs>
              <w:spacing w:after="284"/>
            </w:pPr>
            <w:r>
              <w:rPr>
                <w:sz w:val="16"/>
              </w:rPr>
              <w:t>Cargo</w:t>
            </w:r>
            <w:r>
              <w:rPr>
                <w:sz w:val="16"/>
              </w:rPr>
              <w:tab/>
              <w:t>Nombre</w:t>
            </w:r>
          </w:p>
          <w:p w14:paraId="628E317D" w14:textId="77777777" w:rsidR="00053D93" w:rsidRDefault="00260B75">
            <w:pPr>
              <w:spacing w:after="23" w:line="243" w:lineRule="auto"/>
              <w:ind w:left="14" w:right="655"/>
            </w:pPr>
            <w:r>
              <w:rPr>
                <w:sz w:val="16"/>
              </w:rPr>
              <w:t>JEFE SECCION RECREACION A].</w:t>
            </w:r>
            <w:r>
              <w:rPr>
                <w:sz w:val="16"/>
              </w:rPr>
              <w:tab/>
              <w:t>ROSMERY ANALI MEJIA GONZALEZ JEFE DE DEPARTAMENTO DE DESARROLLO DEPORTIVO ESCOLAR EDWARD JOSE GODINEZ GONZALEZ Al.</w:t>
            </w:r>
          </w:p>
          <w:p w14:paraId="040D676C" w14:textId="77777777" w:rsidR="00053D93" w:rsidRDefault="00260B75">
            <w:pPr>
              <w:spacing w:after="76" w:line="233" w:lineRule="auto"/>
              <w:ind w:left="7" w:right="245" w:firstLine="7"/>
            </w:pPr>
            <w:r>
              <w:rPr>
                <w:sz w:val="16"/>
              </w:rPr>
              <w:t xml:space="preserve">JEFE DE DEPARTAMENTO DE DESARROLLO DEPORTIVO ESCOLAR FRANCISCO ANTONIO QUIÑONEZ SANTIZO </w:t>
            </w:r>
            <w:r>
              <w:rPr>
                <w:rFonts w:ascii="Times New Roman" w:eastAsia="Times New Roman" w:hAnsi="Times New Roman" w:cs="Times New Roman"/>
                <w:sz w:val="16"/>
              </w:rPr>
              <w:t>At.</w:t>
            </w:r>
          </w:p>
          <w:p w14:paraId="11455A00" w14:textId="77777777" w:rsidR="00053D93" w:rsidRDefault="00260B75">
            <w:pPr>
              <w:tabs>
                <w:tab w:val="center" w:pos="5083"/>
              </w:tabs>
              <w:spacing w:after="54"/>
            </w:pPr>
            <w:r>
              <w:rPr>
                <w:sz w:val="16"/>
              </w:rPr>
              <w:t>COORDINADOR EXTRACURRICULAR A.l.</w:t>
            </w:r>
            <w:r>
              <w:rPr>
                <w:sz w:val="16"/>
              </w:rPr>
              <w:tab/>
              <w:t>JUAN CARLOS ABAC</w:t>
            </w:r>
          </w:p>
          <w:p w14:paraId="2C9A7B95" w14:textId="77777777" w:rsidR="00053D93" w:rsidRDefault="00260B75">
            <w:pPr>
              <w:tabs>
                <w:tab w:val="center" w:pos="5476"/>
              </w:tabs>
            </w:pPr>
            <w:r>
              <w:rPr>
                <w:sz w:val="18"/>
              </w:rPr>
              <w:t>JEFE SECCION INJUDES</w:t>
            </w:r>
            <w:r>
              <w:rPr>
                <w:sz w:val="18"/>
              </w:rPr>
              <w:tab/>
              <w:t>WLLIAM FERNANDO SALGUERO</w:t>
            </w:r>
          </w:p>
          <w:p w14:paraId="3D83C4D7" w14:textId="77777777" w:rsidR="00053D93" w:rsidRDefault="00260B75">
            <w:pPr>
              <w:spacing w:after="31"/>
              <w:ind w:left="2009"/>
              <w:jc w:val="center"/>
            </w:pPr>
            <w:r>
              <w:rPr>
                <w:sz w:val="16"/>
              </w:rPr>
              <w:t>HERNANDEZ</w:t>
            </w:r>
          </w:p>
          <w:p w14:paraId="0323516A" w14:textId="77777777" w:rsidR="00053D93" w:rsidRDefault="00260B75">
            <w:pPr>
              <w:tabs>
                <w:tab w:val="center" w:pos="5422"/>
              </w:tabs>
              <w:spacing w:after="19"/>
            </w:pPr>
            <w:r>
              <w:rPr>
                <w:sz w:val="16"/>
              </w:rPr>
              <w:t>JEFE DEPARTAMENTO DE ESTUDIOS Y PROGRAMACION</w:t>
            </w:r>
            <w:r>
              <w:rPr>
                <w:sz w:val="16"/>
              </w:rPr>
              <w:tab/>
              <w:t>HEIDI NOEMI PEREIRA ZUÑIGA</w:t>
            </w:r>
          </w:p>
          <w:p w14:paraId="7CF6F2CC" w14:textId="77777777" w:rsidR="00053D93" w:rsidRDefault="00260B75">
            <w:pPr>
              <w:tabs>
                <w:tab w:val="center" w:pos="5429"/>
              </w:tabs>
              <w:spacing w:after="50"/>
            </w:pPr>
            <w:r>
              <w:rPr>
                <w:sz w:val="16"/>
              </w:rPr>
              <w:t>JEFE DEPARTAMENTO TORNEOS DEPORTIVOS ESCOLARES</w:t>
            </w:r>
            <w:r>
              <w:rPr>
                <w:sz w:val="16"/>
              </w:rPr>
              <w:tab/>
              <w:t>EDGAR ARTURO LOPEZ TALVA</w:t>
            </w:r>
          </w:p>
          <w:p w14:paraId="28CD6B28" w14:textId="77777777" w:rsidR="00053D93" w:rsidRDefault="00260B75">
            <w:pPr>
              <w:spacing w:line="317" w:lineRule="auto"/>
              <w:ind w:left="7"/>
            </w:pPr>
            <w:r>
              <w:rPr>
                <w:sz w:val="16"/>
              </w:rPr>
              <w:t>JEFE DEPARTAMENTO DE EXTENSION ESCOLAR</w:t>
            </w:r>
            <w:r>
              <w:rPr>
                <w:sz w:val="16"/>
              </w:rPr>
              <w:tab/>
              <w:t>ZAIDA SAMARA SANTIZO BARRIOS COORDINADORA DE PROGRAMAS Y PROYECTOS</w:t>
            </w:r>
            <w:r>
              <w:rPr>
                <w:sz w:val="16"/>
              </w:rPr>
              <w:tab/>
              <w:t>ERIKA FRANCILtA DEDET FIGUEROA</w:t>
            </w:r>
          </w:p>
          <w:p w14:paraId="6B94AF6D" w14:textId="77777777" w:rsidR="00053D93" w:rsidRDefault="00260B75">
            <w:pPr>
              <w:tabs>
                <w:tab w:val="center" w:pos="5328"/>
              </w:tabs>
            </w:pPr>
            <w:r>
              <w:rPr>
                <w:sz w:val="16"/>
              </w:rPr>
              <w:t>SUBDIRECTOR GENERAL DE DESARROLLO INSTITUCIONAL</w:t>
            </w:r>
            <w:r>
              <w:rPr>
                <w:sz w:val="16"/>
              </w:rPr>
              <w:tab/>
              <w:t>LAZARO MARTINEZ ALDANA</w:t>
            </w:r>
          </w:p>
          <w:p w14:paraId="421AD6E4" w14:textId="77777777" w:rsidR="00053D93" w:rsidRDefault="00260B75">
            <w:r>
              <w:rPr>
                <w:sz w:val="16"/>
              </w:rPr>
              <w:t>Total</w:t>
            </w:r>
          </w:p>
        </w:tc>
        <w:tc>
          <w:tcPr>
            <w:tcW w:w="778" w:type="dxa"/>
            <w:tcBorders>
              <w:top w:val="nil"/>
              <w:left w:val="nil"/>
              <w:bottom w:val="nil"/>
              <w:right w:val="nil"/>
            </w:tcBorders>
          </w:tcPr>
          <w:p w14:paraId="1AB2D10E" w14:textId="77777777" w:rsidR="00053D93" w:rsidRDefault="00260B75">
            <w:pPr>
              <w:ind w:left="252"/>
            </w:pPr>
            <w:r>
              <w:rPr>
                <w:sz w:val="16"/>
              </w:rPr>
              <w:t>Valor en</w:t>
            </w:r>
          </w:p>
          <w:p w14:paraId="590AD2F6" w14:textId="77777777" w:rsidR="00053D93" w:rsidRDefault="00260B75">
            <w:pPr>
              <w:spacing w:after="16"/>
              <w:jc w:val="right"/>
            </w:pPr>
            <w:r>
              <w:rPr>
                <w:sz w:val="16"/>
              </w:rPr>
              <w:t>Quetzales</w:t>
            </w:r>
          </w:p>
          <w:p w14:paraId="0F4C0F25" w14:textId="77777777" w:rsidR="00053D93" w:rsidRDefault="00260B75">
            <w:pPr>
              <w:spacing w:after="9"/>
              <w:jc w:val="right"/>
            </w:pPr>
            <w:r>
              <w:rPr>
                <w:rFonts w:ascii="Times New Roman" w:eastAsia="Times New Roman" w:hAnsi="Times New Roman" w:cs="Times New Roman"/>
                <w:sz w:val="16"/>
              </w:rPr>
              <w:t>610,25</w:t>
            </w:r>
          </w:p>
          <w:p w14:paraId="73EDC7DE" w14:textId="77777777" w:rsidR="00053D93" w:rsidRDefault="00260B75">
            <w:pPr>
              <w:spacing w:after="189"/>
              <w:ind w:right="7"/>
              <w:jc w:val="right"/>
            </w:pPr>
            <w:r>
              <w:rPr>
                <w:rFonts w:ascii="Times New Roman" w:eastAsia="Times New Roman" w:hAnsi="Times New Roman" w:cs="Times New Roman"/>
                <w:sz w:val="16"/>
              </w:rPr>
              <w:t>823.75</w:t>
            </w:r>
          </w:p>
          <w:p w14:paraId="04199028" w14:textId="77777777" w:rsidR="00053D93" w:rsidRDefault="00260B75">
            <w:pPr>
              <w:spacing w:after="206"/>
              <w:ind w:right="7"/>
              <w:jc w:val="right"/>
            </w:pPr>
            <w:r>
              <w:rPr>
                <w:rFonts w:ascii="Times New Roman" w:eastAsia="Times New Roman" w:hAnsi="Times New Roman" w:cs="Times New Roman"/>
                <w:sz w:val="14"/>
              </w:rPr>
              <w:t>939.25</w:t>
            </w:r>
          </w:p>
          <w:p w14:paraId="63BBEF6C" w14:textId="77777777" w:rsidR="00053D93" w:rsidRDefault="00260B75">
            <w:pPr>
              <w:spacing w:after="9"/>
              <w:ind w:left="266"/>
            </w:pPr>
            <w:r>
              <w:rPr>
                <w:rFonts w:ascii="Times New Roman" w:eastAsia="Times New Roman" w:hAnsi="Times New Roman" w:cs="Times New Roman"/>
                <w:sz w:val="16"/>
              </w:rPr>
              <w:t>1.343.25</w:t>
            </w:r>
          </w:p>
          <w:p w14:paraId="3BDCF879" w14:textId="77777777" w:rsidR="00053D93" w:rsidRDefault="00260B75">
            <w:pPr>
              <w:spacing w:after="199"/>
              <w:ind w:left="266"/>
            </w:pPr>
            <w:r>
              <w:rPr>
                <w:rFonts w:ascii="Times New Roman" w:eastAsia="Times New Roman" w:hAnsi="Times New Roman" w:cs="Times New Roman"/>
                <w:sz w:val="14"/>
              </w:rPr>
              <w:t>1,343.25</w:t>
            </w:r>
          </w:p>
          <w:p w14:paraId="27350590" w14:textId="77777777" w:rsidR="00053D93" w:rsidRDefault="00260B75">
            <w:pPr>
              <w:spacing w:after="41"/>
              <w:ind w:left="266"/>
            </w:pPr>
            <w:r>
              <w:rPr>
                <w:rFonts w:ascii="Times New Roman" w:eastAsia="Times New Roman" w:hAnsi="Times New Roman" w:cs="Times New Roman"/>
                <w:sz w:val="14"/>
              </w:rPr>
              <w:t>1,458.75</w:t>
            </w:r>
          </w:p>
          <w:p w14:paraId="3823235B" w14:textId="77777777" w:rsidR="00053D93" w:rsidRDefault="00260B75">
            <w:pPr>
              <w:spacing w:after="9"/>
              <w:ind w:left="259"/>
            </w:pPr>
            <w:r>
              <w:rPr>
                <w:rFonts w:ascii="Times New Roman" w:eastAsia="Times New Roman" w:hAnsi="Times New Roman" w:cs="Times New Roman"/>
                <w:sz w:val="16"/>
              </w:rPr>
              <w:t>1.574.25</w:t>
            </w:r>
          </w:p>
          <w:p w14:paraId="37101CD2" w14:textId="77777777" w:rsidR="00053D93" w:rsidRDefault="00260B75">
            <w:pPr>
              <w:spacing w:after="9"/>
              <w:ind w:left="259"/>
            </w:pPr>
            <w:r>
              <w:rPr>
                <w:rFonts w:ascii="Times New Roman" w:eastAsia="Times New Roman" w:hAnsi="Times New Roman" w:cs="Times New Roman"/>
                <w:sz w:val="16"/>
              </w:rPr>
              <w:t>1.574.25</w:t>
            </w:r>
          </w:p>
          <w:p w14:paraId="002E7810" w14:textId="77777777" w:rsidR="00053D93" w:rsidRDefault="00260B75">
            <w:pPr>
              <w:spacing w:after="26"/>
              <w:ind w:left="252"/>
            </w:pPr>
            <w:r>
              <w:rPr>
                <w:rFonts w:ascii="Times New Roman" w:eastAsia="Times New Roman" w:hAnsi="Times New Roman" w:cs="Times New Roman"/>
                <w:sz w:val="14"/>
              </w:rPr>
              <w:t>2.565.25</w:t>
            </w:r>
          </w:p>
          <w:p w14:paraId="11C0B423" w14:textId="77777777" w:rsidR="00053D93" w:rsidRDefault="00260B75">
            <w:pPr>
              <w:ind w:left="245"/>
            </w:pPr>
            <w:r>
              <w:rPr>
                <w:rFonts w:ascii="Times New Roman" w:eastAsia="Times New Roman" w:hAnsi="Times New Roman" w:cs="Times New Roman"/>
                <w:sz w:val="16"/>
              </w:rPr>
              <w:t>4.000.00</w:t>
            </w:r>
          </w:p>
        </w:tc>
      </w:tr>
    </w:tbl>
    <w:p w14:paraId="1FAD2831" w14:textId="77777777" w:rsidR="00053D93" w:rsidRDefault="00260B75">
      <w:pPr>
        <w:spacing w:after="370" w:line="265" w:lineRule="auto"/>
        <w:ind w:left="10" w:right="35" w:hanging="10"/>
        <w:jc w:val="right"/>
      </w:pPr>
      <w:r>
        <w:rPr>
          <w:sz w:val="16"/>
        </w:rPr>
        <w:t>Q. 16,232.25</w:t>
      </w:r>
    </w:p>
    <w:p w14:paraId="50EB98F8" w14:textId="77777777" w:rsidR="00053D93" w:rsidRDefault="00260B75">
      <w:pPr>
        <w:spacing w:after="334" w:line="248" w:lineRule="auto"/>
        <w:ind w:left="1709" w:hanging="3"/>
        <w:jc w:val="both"/>
      </w:pPr>
      <w:r>
        <w:rPr>
          <w:sz w:val="28"/>
        </w:rPr>
        <w:t>Hallazgo No. 4</w:t>
      </w:r>
    </w:p>
    <w:p w14:paraId="795852A2" w14:textId="77777777" w:rsidR="00053D93" w:rsidRDefault="00260B75">
      <w:pPr>
        <w:spacing w:after="320" w:line="248" w:lineRule="auto"/>
        <w:ind w:left="1709" w:hanging="3"/>
        <w:jc w:val="both"/>
      </w:pPr>
      <w:r>
        <w:rPr>
          <w:sz w:val="28"/>
        </w:rPr>
        <w:t>Faltante de activos fijos</w:t>
      </w:r>
    </w:p>
    <w:p w14:paraId="4C670A4F" w14:textId="77777777" w:rsidR="00053D93" w:rsidRDefault="00260B75">
      <w:pPr>
        <w:spacing w:after="18" w:line="248" w:lineRule="auto"/>
        <w:ind w:left="1709" w:hanging="3"/>
        <w:jc w:val="both"/>
      </w:pPr>
      <w:r>
        <w:rPr>
          <w:sz w:val="28"/>
        </w:rPr>
        <w:lastRenderedPageBreak/>
        <w:t>Condición</w:t>
      </w:r>
    </w:p>
    <w:p w14:paraId="28036379" w14:textId="77777777" w:rsidR="00053D93" w:rsidRDefault="00260B75">
      <w:pPr>
        <w:spacing w:after="276" w:line="247" w:lineRule="auto"/>
        <w:ind w:left="1721" w:right="14" w:firstLine="4"/>
        <w:jc w:val="both"/>
      </w:pPr>
      <w:r>
        <w:rPr>
          <w:sz w:val="26"/>
        </w:rPr>
        <w:t>En el Ministerio de Educación, Unidad Ejecutora 109 Dirección General de Educación Física -DIGEF-, cuenta contable 1232 Maquinaria y Equipo, renglones presupuestarios: 324 Equipo educacional, cultural y recreativo, 326 Equipo para comunicaciones y 329 Otras maquinarias y equipos, al evaluar las tarjetas de responsabilidad de los bienes inventariados a cargo de los empleados de la DIGEF, se determinó que, mediante el Acta No. 10-2022 del 10 de junio de 2022, la Sección de Inventarios identificó el faltante de activos fijos por la cantidad de Q31 ,974.00; bienes que se encuentran registrados en las tarjetas de responsabilidad de bienes inventariados números: 3696, 3697 y 3698, asignados a la Asistente Profesional IV, quien fungió como Encargada de Transportes a.i. del Departamento de Servicios Generales, por el período comprendido del 08 de septiembre de 2020 al 17 de diciembre de 2021, como se detalla a continuación:</w:t>
      </w:r>
    </w:p>
    <w:p w14:paraId="250BEC94" w14:textId="77777777" w:rsidR="00053D93" w:rsidRDefault="00260B75">
      <w:pPr>
        <w:spacing w:after="17" w:line="247" w:lineRule="auto"/>
        <w:ind w:left="1937" w:right="14" w:firstLine="4"/>
        <w:jc w:val="both"/>
      </w:pPr>
      <w:r>
        <w:rPr>
          <w:sz w:val="26"/>
        </w:rPr>
        <w:t>Faltantes de activos fijos en la Sección de Transportes de la Dirección General</w:t>
      </w:r>
    </w:p>
    <w:tbl>
      <w:tblPr>
        <w:tblStyle w:val="TableGrid"/>
        <w:tblW w:w="9425" w:type="dxa"/>
        <w:tblInd w:w="763" w:type="dxa"/>
        <w:tblLook w:val="04A0" w:firstRow="1" w:lastRow="0" w:firstColumn="1" w:lastColumn="0" w:noHBand="0" w:noVBand="1"/>
      </w:tblPr>
      <w:tblGrid>
        <w:gridCol w:w="1306"/>
        <w:gridCol w:w="8191"/>
      </w:tblGrid>
      <w:tr w:rsidR="00053D93" w14:paraId="239C6075" w14:textId="77777777">
        <w:trPr>
          <w:trHeight w:val="648"/>
        </w:trPr>
        <w:tc>
          <w:tcPr>
            <w:tcW w:w="1795" w:type="dxa"/>
            <w:tcBorders>
              <w:top w:val="nil"/>
              <w:left w:val="nil"/>
              <w:bottom w:val="nil"/>
              <w:right w:val="nil"/>
            </w:tcBorders>
          </w:tcPr>
          <w:p w14:paraId="557FB884" w14:textId="77777777" w:rsidR="00053D93" w:rsidRDefault="00260B75">
            <w:r>
              <w:rPr>
                <w:noProof/>
              </w:rPr>
              <w:drawing>
                <wp:inline distT="0" distB="0" distL="0" distR="0" wp14:anchorId="2442CD4C" wp14:editId="31CAAFA2">
                  <wp:extent cx="1129284" cy="411480"/>
                  <wp:effectExtent l="0" t="0" r="0" b="0"/>
                  <wp:docPr id="632556" name="Picture 632556"/>
                  <wp:cNvGraphicFramePr/>
                  <a:graphic xmlns:a="http://schemas.openxmlformats.org/drawingml/2006/main">
                    <a:graphicData uri="http://schemas.openxmlformats.org/drawingml/2006/picture">
                      <pic:pic xmlns:pic="http://schemas.openxmlformats.org/drawingml/2006/picture">
                        <pic:nvPicPr>
                          <pic:cNvPr id="632556" name="Picture 632556"/>
                          <pic:cNvPicPr/>
                        </pic:nvPicPr>
                        <pic:blipFill>
                          <a:blip r:embed="rId945"/>
                          <a:stretch>
                            <a:fillRect/>
                          </a:stretch>
                        </pic:blipFill>
                        <pic:spPr>
                          <a:xfrm>
                            <a:off x="0" y="0"/>
                            <a:ext cx="1129284" cy="411480"/>
                          </a:xfrm>
                          <a:prstGeom prst="rect">
                            <a:avLst/>
                          </a:prstGeom>
                        </pic:spPr>
                      </pic:pic>
                    </a:graphicData>
                  </a:graphic>
                </wp:inline>
              </w:drawing>
            </w:r>
          </w:p>
        </w:tc>
        <w:tc>
          <w:tcPr>
            <w:tcW w:w="7630" w:type="dxa"/>
            <w:tcBorders>
              <w:top w:val="nil"/>
              <w:left w:val="nil"/>
              <w:bottom w:val="nil"/>
              <w:right w:val="nil"/>
            </w:tcBorders>
          </w:tcPr>
          <w:p w14:paraId="1FD6761F" w14:textId="77777777" w:rsidR="00053D93" w:rsidRDefault="00053D93">
            <w:pPr>
              <w:ind w:left="-2846" w:right="10476"/>
            </w:pPr>
          </w:p>
          <w:tbl>
            <w:tblPr>
              <w:tblStyle w:val="TableGrid"/>
              <w:tblW w:w="7613" w:type="dxa"/>
              <w:tblInd w:w="17" w:type="dxa"/>
              <w:tblCellMar>
                <w:top w:w="42" w:type="dxa"/>
                <w:left w:w="1731" w:type="dxa"/>
                <w:right w:w="115" w:type="dxa"/>
              </w:tblCellMar>
              <w:tblLook w:val="04A0" w:firstRow="1" w:lastRow="0" w:firstColumn="1" w:lastColumn="0" w:noHBand="0" w:noVBand="1"/>
            </w:tblPr>
            <w:tblGrid>
              <w:gridCol w:w="7613"/>
            </w:tblGrid>
            <w:tr w:rsidR="00053D93" w14:paraId="671FC79E" w14:textId="77777777">
              <w:trPr>
                <w:trHeight w:val="62"/>
              </w:trPr>
              <w:tc>
                <w:tcPr>
                  <w:tcW w:w="7613" w:type="dxa"/>
                  <w:tcBorders>
                    <w:top w:val="nil"/>
                    <w:left w:val="single" w:sz="2" w:space="0" w:color="000000"/>
                    <w:bottom w:val="single" w:sz="2" w:space="0" w:color="000000"/>
                    <w:right w:val="nil"/>
                  </w:tcBorders>
                </w:tcPr>
                <w:p w14:paraId="017E58C2" w14:textId="77777777" w:rsidR="00053D93" w:rsidRDefault="00053D93"/>
              </w:tc>
            </w:tr>
            <w:tr w:rsidR="00053D93" w14:paraId="6E4D5EC5" w14:textId="77777777">
              <w:trPr>
                <w:trHeight w:val="579"/>
              </w:trPr>
              <w:tc>
                <w:tcPr>
                  <w:tcW w:w="7613" w:type="dxa"/>
                  <w:tcBorders>
                    <w:top w:val="single" w:sz="2" w:space="0" w:color="000000"/>
                    <w:left w:val="single" w:sz="2" w:space="0" w:color="000000"/>
                    <w:bottom w:val="nil"/>
                    <w:right w:val="nil"/>
                  </w:tcBorders>
                </w:tcPr>
                <w:p w14:paraId="4939DAA1" w14:textId="77777777" w:rsidR="00053D93" w:rsidRDefault="00260B75">
                  <w:pPr>
                    <w:ind w:left="842"/>
                  </w:pPr>
                  <w:r>
                    <w:rPr>
                      <w:sz w:val="14"/>
                    </w:rPr>
                    <w:t>MINISTERIO OE EDUCACION</w:t>
                  </w:r>
                </w:p>
                <w:p w14:paraId="4B853CD0" w14:textId="77777777" w:rsidR="00053D93" w:rsidRDefault="00260B75">
                  <w:pPr>
                    <w:ind w:left="346"/>
                  </w:pPr>
                  <w:r>
                    <w:rPr>
                      <w:sz w:val="14"/>
                    </w:rPr>
                    <w:t>AUDITORÍA FINANCIERA Y DE CUMPLIMIENTO</w:t>
                  </w:r>
                </w:p>
                <w:p w14:paraId="517AC7BC" w14:textId="77777777" w:rsidR="00053D93" w:rsidRDefault="00260B75">
                  <w:r>
                    <w:rPr>
                      <w:sz w:val="14"/>
                    </w:rPr>
                    <w:t>PERIODO DEL 01 DE ENERO AL 31 DE DICIEMBRE DE 2024</w:t>
                  </w:r>
                </w:p>
              </w:tc>
            </w:tr>
          </w:tbl>
          <w:p w14:paraId="2939A5DA" w14:textId="77777777" w:rsidR="00053D93" w:rsidRDefault="00053D93"/>
        </w:tc>
      </w:tr>
    </w:tbl>
    <w:p w14:paraId="412D2E30" w14:textId="77777777" w:rsidR="00053D93" w:rsidRDefault="00260B75">
      <w:pPr>
        <w:spacing w:after="14"/>
        <w:ind w:left="1750"/>
      </w:pPr>
      <w:r>
        <w:rPr>
          <w:noProof/>
        </w:rPr>
        <mc:AlternateContent>
          <mc:Choice Requires="wpg">
            <w:drawing>
              <wp:inline distT="0" distB="0" distL="0" distR="0" wp14:anchorId="47C09738" wp14:editId="4276101E">
                <wp:extent cx="5399533" cy="9144"/>
                <wp:effectExtent l="0" t="0" r="0" b="0"/>
                <wp:docPr id="2458516" name="Group 2458516"/>
                <wp:cNvGraphicFramePr/>
                <a:graphic xmlns:a="http://schemas.openxmlformats.org/drawingml/2006/main">
                  <a:graphicData uri="http://schemas.microsoft.com/office/word/2010/wordprocessingGroup">
                    <wpg:wgp>
                      <wpg:cNvGrpSpPr/>
                      <wpg:grpSpPr>
                        <a:xfrm>
                          <a:off x="0" y="0"/>
                          <a:ext cx="5399533" cy="9144"/>
                          <a:chOff x="0" y="0"/>
                          <a:chExt cx="5399533" cy="9144"/>
                        </a:xfrm>
                      </wpg:grpSpPr>
                      <wps:wsp>
                        <wps:cNvPr id="2458515" name="Shape 2458515"/>
                        <wps:cNvSpPr/>
                        <wps:spPr>
                          <a:xfrm>
                            <a:off x="0" y="0"/>
                            <a:ext cx="5399533" cy="9144"/>
                          </a:xfrm>
                          <a:custGeom>
                            <a:avLst/>
                            <a:gdLst/>
                            <a:ahLst/>
                            <a:cxnLst/>
                            <a:rect l="0" t="0" r="0" b="0"/>
                            <a:pathLst>
                              <a:path w="5399533" h="9144">
                                <a:moveTo>
                                  <a:pt x="0" y="4572"/>
                                </a:moveTo>
                                <a:lnTo>
                                  <a:pt x="5399533"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16" style="width:425.16pt;height:0.720001pt;mso-position-horizontal-relative:char;mso-position-vertical-relative:line" coordsize="53995,91">
                <v:shape id="Shape 2458515" style="position:absolute;width:53995;height:91;left:0;top:0;" coordsize="5399533,9144" path="m0,4572l5399533,4572">
                  <v:stroke weight="0.720001pt" endcap="flat" joinstyle="miter" miterlimit="1" on="true" color="#000000"/>
                  <v:fill on="false" color="#000000"/>
                </v:shape>
              </v:group>
            </w:pict>
          </mc:Fallback>
        </mc:AlternateContent>
      </w:r>
    </w:p>
    <w:p w14:paraId="7D51BE6D" w14:textId="77777777" w:rsidR="00053D93" w:rsidRDefault="00260B75">
      <w:pPr>
        <w:spacing w:after="4" w:line="253" w:lineRule="auto"/>
        <w:ind w:left="1730" w:right="-44" w:hanging="10"/>
        <w:jc w:val="center"/>
      </w:pPr>
      <w:r>
        <w:rPr>
          <w:sz w:val="26"/>
        </w:rPr>
        <w:t>Educación Física</w:t>
      </w:r>
    </w:p>
    <w:p w14:paraId="44035761" w14:textId="77777777" w:rsidR="00053D93" w:rsidRDefault="00260B75">
      <w:pPr>
        <w:spacing w:after="0"/>
        <w:ind w:left="1760" w:hanging="10"/>
        <w:jc w:val="center"/>
      </w:pPr>
      <w:r>
        <w:rPr>
          <w:sz w:val="24"/>
        </w:rPr>
        <w:t>Al 31 de diciembre de 2024</w:t>
      </w:r>
    </w:p>
    <w:tbl>
      <w:tblPr>
        <w:tblStyle w:val="TableGrid"/>
        <w:tblpPr w:vertAnchor="text" w:tblpX="1754" w:tblpY="251"/>
        <w:tblOverlap w:val="never"/>
        <w:tblW w:w="8460" w:type="dxa"/>
        <w:tblInd w:w="0" w:type="dxa"/>
        <w:tblCellMar>
          <w:left w:w="43" w:type="dxa"/>
        </w:tblCellMar>
        <w:tblLook w:val="04A0" w:firstRow="1" w:lastRow="0" w:firstColumn="1" w:lastColumn="0" w:noHBand="0" w:noVBand="1"/>
      </w:tblPr>
      <w:tblGrid>
        <w:gridCol w:w="432"/>
        <w:gridCol w:w="292"/>
        <w:gridCol w:w="1438"/>
        <w:gridCol w:w="1108"/>
        <w:gridCol w:w="975"/>
        <w:gridCol w:w="1096"/>
        <w:gridCol w:w="2070"/>
        <w:gridCol w:w="1049"/>
      </w:tblGrid>
      <w:tr w:rsidR="00053D93" w14:paraId="1210194B" w14:textId="77777777">
        <w:trPr>
          <w:trHeight w:val="295"/>
        </w:trPr>
        <w:tc>
          <w:tcPr>
            <w:tcW w:w="4219" w:type="dxa"/>
            <w:gridSpan w:val="5"/>
            <w:tcBorders>
              <w:top w:val="single" w:sz="2" w:space="0" w:color="000000"/>
              <w:left w:val="single" w:sz="2" w:space="0" w:color="000000"/>
              <w:bottom w:val="single" w:sz="2" w:space="0" w:color="000000"/>
              <w:right w:val="single" w:sz="2" w:space="0" w:color="000000"/>
            </w:tcBorders>
          </w:tcPr>
          <w:p w14:paraId="4F3C00C6" w14:textId="77777777" w:rsidR="00053D93" w:rsidRDefault="00260B75">
            <w:pPr>
              <w:ind w:left="75"/>
            </w:pPr>
            <w:r>
              <w:t>Código de empleado:</w:t>
            </w:r>
          </w:p>
        </w:tc>
        <w:tc>
          <w:tcPr>
            <w:tcW w:w="3190" w:type="dxa"/>
            <w:gridSpan w:val="2"/>
            <w:tcBorders>
              <w:top w:val="single" w:sz="2" w:space="0" w:color="000000"/>
              <w:left w:val="single" w:sz="2" w:space="0" w:color="000000"/>
              <w:bottom w:val="single" w:sz="2" w:space="0" w:color="000000"/>
              <w:right w:val="nil"/>
            </w:tcBorders>
          </w:tcPr>
          <w:p w14:paraId="4BF69248" w14:textId="77777777" w:rsidR="00053D93" w:rsidRDefault="00260B75">
            <w:pPr>
              <w:ind w:left="82"/>
            </w:pPr>
            <w:r>
              <w:rPr>
                <w:rFonts w:ascii="Times New Roman" w:eastAsia="Times New Roman" w:hAnsi="Times New Roman" w:cs="Times New Roman"/>
              </w:rPr>
              <w:t>990066636</w:t>
            </w:r>
          </w:p>
        </w:tc>
        <w:tc>
          <w:tcPr>
            <w:tcW w:w="1051" w:type="dxa"/>
            <w:tcBorders>
              <w:top w:val="single" w:sz="2" w:space="0" w:color="000000"/>
              <w:left w:val="nil"/>
              <w:bottom w:val="single" w:sz="2" w:space="0" w:color="000000"/>
              <w:right w:val="single" w:sz="2" w:space="0" w:color="000000"/>
            </w:tcBorders>
          </w:tcPr>
          <w:p w14:paraId="4D56B2A4" w14:textId="77777777" w:rsidR="00053D93" w:rsidRDefault="00053D93"/>
        </w:tc>
      </w:tr>
      <w:tr w:rsidR="00053D93" w14:paraId="29788248" w14:textId="77777777">
        <w:trPr>
          <w:trHeight w:val="288"/>
        </w:trPr>
        <w:tc>
          <w:tcPr>
            <w:tcW w:w="4219" w:type="dxa"/>
            <w:gridSpan w:val="5"/>
            <w:tcBorders>
              <w:top w:val="single" w:sz="2" w:space="0" w:color="000000"/>
              <w:left w:val="single" w:sz="2" w:space="0" w:color="000000"/>
              <w:bottom w:val="single" w:sz="2" w:space="0" w:color="000000"/>
              <w:right w:val="single" w:sz="2" w:space="0" w:color="000000"/>
            </w:tcBorders>
          </w:tcPr>
          <w:p w14:paraId="0EA71250" w14:textId="77777777" w:rsidR="00053D93" w:rsidRDefault="00260B75">
            <w:pPr>
              <w:ind w:left="75"/>
            </w:pPr>
            <w:r>
              <w:t>Puesto nominal:</w:t>
            </w:r>
          </w:p>
        </w:tc>
        <w:tc>
          <w:tcPr>
            <w:tcW w:w="3190" w:type="dxa"/>
            <w:gridSpan w:val="2"/>
            <w:tcBorders>
              <w:top w:val="single" w:sz="2" w:space="0" w:color="000000"/>
              <w:left w:val="single" w:sz="2" w:space="0" w:color="000000"/>
              <w:bottom w:val="single" w:sz="2" w:space="0" w:color="000000"/>
              <w:right w:val="nil"/>
            </w:tcBorders>
          </w:tcPr>
          <w:p w14:paraId="3A764627" w14:textId="77777777" w:rsidR="00053D93" w:rsidRDefault="00260B75">
            <w:pPr>
              <w:ind w:left="68"/>
            </w:pPr>
            <w:r>
              <w:t>Asistente Profesional IV</w:t>
            </w:r>
          </w:p>
        </w:tc>
        <w:tc>
          <w:tcPr>
            <w:tcW w:w="1051" w:type="dxa"/>
            <w:tcBorders>
              <w:top w:val="single" w:sz="2" w:space="0" w:color="000000"/>
              <w:left w:val="nil"/>
              <w:bottom w:val="single" w:sz="2" w:space="0" w:color="000000"/>
              <w:right w:val="single" w:sz="2" w:space="0" w:color="000000"/>
            </w:tcBorders>
          </w:tcPr>
          <w:p w14:paraId="666E1DC2" w14:textId="77777777" w:rsidR="00053D93" w:rsidRDefault="00053D93"/>
        </w:tc>
      </w:tr>
      <w:tr w:rsidR="00053D93" w14:paraId="583137BD" w14:textId="77777777">
        <w:trPr>
          <w:trHeight w:val="288"/>
        </w:trPr>
        <w:tc>
          <w:tcPr>
            <w:tcW w:w="4219" w:type="dxa"/>
            <w:gridSpan w:val="5"/>
            <w:tcBorders>
              <w:top w:val="single" w:sz="2" w:space="0" w:color="000000"/>
              <w:left w:val="single" w:sz="2" w:space="0" w:color="000000"/>
              <w:bottom w:val="single" w:sz="2" w:space="0" w:color="000000"/>
              <w:right w:val="single" w:sz="2" w:space="0" w:color="000000"/>
            </w:tcBorders>
          </w:tcPr>
          <w:p w14:paraId="0F2ABFBA" w14:textId="77777777" w:rsidR="00053D93" w:rsidRDefault="00260B75">
            <w:pPr>
              <w:ind w:left="75"/>
            </w:pPr>
            <w:r>
              <w:t>Puesto funcional:</w:t>
            </w:r>
          </w:p>
        </w:tc>
        <w:tc>
          <w:tcPr>
            <w:tcW w:w="3190" w:type="dxa"/>
            <w:gridSpan w:val="2"/>
            <w:tcBorders>
              <w:top w:val="single" w:sz="2" w:space="0" w:color="000000"/>
              <w:left w:val="single" w:sz="2" w:space="0" w:color="000000"/>
              <w:bottom w:val="single" w:sz="2" w:space="0" w:color="000000"/>
              <w:right w:val="nil"/>
            </w:tcBorders>
          </w:tcPr>
          <w:p w14:paraId="760A058E" w14:textId="77777777" w:rsidR="00053D93" w:rsidRDefault="00260B75">
            <w:pPr>
              <w:ind w:left="82"/>
            </w:pPr>
            <w:r>
              <w:t>Encargada de Transportes, a.i.</w:t>
            </w:r>
          </w:p>
        </w:tc>
        <w:tc>
          <w:tcPr>
            <w:tcW w:w="1051" w:type="dxa"/>
            <w:tcBorders>
              <w:top w:val="single" w:sz="2" w:space="0" w:color="000000"/>
              <w:left w:val="nil"/>
              <w:bottom w:val="single" w:sz="2" w:space="0" w:color="000000"/>
              <w:right w:val="single" w:sz="2" w:space="0" w:color="000000"/>
            </w:tcBorders>
          </w:tcPr>
          <w:p w14:paraId="79840142" w14:textId="77777777" w:rsidR="00053D93" w:rsidRDefault="00053D93"/>
        </w:tc>
      </w:tr>
      <w:tr w:rsidR="00053D93" w14:paraId="3EA656F6" w14:textId="77777777">
        <w:trPr>
          <w:trHeight w:val="288"/>
        </w:trPr>
        <w:tc>
          <w:tcPr>
            <w:tcW w:w="4219" w:type="dxa"/>
            <w:gridSpan w:val="5"/>
            <w:tcBorders>
              <w:top w:val="single" w:sz="2" w:space="0" w:color="000000"/>
              <w:left w:val="single" w:sz="2" w:space="0" w:color="000000"/>
              <w:bottom w:val="single" w:sz="2" w:space="0" w:color="000000"/>
              <w:right w:val="single" w:sz="2" w:space="0" w:color="000000"/>
            </w:tcBorders>
          </w:tcPr>
          <w:p w14:paraId="733423C0" w14:textId="77777777" w:rsidR="00053D93" w:rsidRDefault="00260B75">
            <w:pPr>
              <w:ind w:left="75"/>
            </w:pPr>
            <w:r>
              <w:rPr>
                <w:sz w:val="24"/>
              </w:rPr>
              <w:t>Período de puesto funcional:</w:t>
            </w:r>
          </w:p>
        </w:tc>
        <w:tc>
          <w:tcPr>
            <w:tcW w:w="3190" w:type="dxa"/>
            <w:gridSpan w:val="2"/>
            <w:tcBorders>
              <w:top w:val="single" w:sz="2" w:space="0" w:color="000000"/>
              <w:left w:val="single" w:sz="2" w:space="0" w:color="000000"/>
              <w:bottom w:val="single" w:sz="2" w:space="0" w:color="000000"/>
              <w:right w:val="nil"/>
            </w:tcBorders>
          </w:tcPr>
          <w:p w14:paraId="324C71A4" w14:textId="77777777" w:rsidR="00053D93" w:rsidRDefault="00260B75">
            <w:pPr>
              <w:ind w:left="75"/>
            </w:pPr>
            <w:r>
              <w:rPr>
                <w:sz w:val="20"/>
              </w:rPr>
              <w:t>Del 08/09/2020 al 17/12/2021</w:t>
            </w:r>
          </w:p>
        </w:tc>
        <w:tc>
          <w:tcPr>
            <w:tcW w:w="1051" w:type="dxa"/>
            <w:tcBorders>
              <w:top w:val="single" w:sz="2" w:space="0" w:color="000000"/>
              <w:left w:val="nil"/>
              <w:bottom w:val="single" w:sz="2" w:space="0" w:color="000000"/>
              <w:right w:val="single" w:sz="2" w:space="0" w:color="000000"/>
            </w:tcBorders>
          </w:tcPr>
          <w:p w14:paraId="39B061D7" w14:textId="77777777" w:rsidR="00053D93" w:rsidRDefault="00053D93"/>
        </w:tc>
      </w:tr>
      <w:tr w:rsidR="00053D93" w14:paraId="47755C06" w14:textId="77777777">
        <w:trPr>
          <w:trHeight w:val="202"/>
        </w:trPr>
        <w:tc>
          <w:tcPr>
            <w:tcW w:w="7409" w:type="dxa"/>
            <w:gridSpan w:val="7"/>
            <w:tcBorders>
              <w:top w:val="single" w:sz="2" w:space="0" w:color="000000"/>
              <w:left w:val="single" w:sz="2" w:space="0" w:color="000000"/>
              <w:bottom w:val="single" w:sz="2" w:space="0" w:color="000000"/>
              <w:right w:val="nil"/>
            </w:tcBorders>
          </w:tcPr>
          <w:p w14:paraId="0E62FDC0" w14:textId="77777777" w:rsidR="00053D93" w:rsidRDefault="00053D93"/>
        </w:tc>
        <w:tc>
          <w:tcPr>
            <w:tcW w:w="1051" w:type="dxa"/>
            <w:tcBorders>
              <w:top w:val="single" w:sz="2" w:space="0" w:color="000000"/>
              <w:left w:val="nil"/>
              <w:bottom w:val="single" w:sz="2" w:space="0" w:color="000000"/>
              <w:right w:val="single" w:sz="2" w:space="0" w:color="000000"/>
            </w:tcBorders>
          </w:tcPr>
          <w:p w14:paraId="06AD7530" w14:textId="77777777" w:rsidR="00053D93" w:rsidRDefault="00053D93"/>
        </w:tc>
      </w:tr>
      <w:tr w:rsidR="00053D93" w14:paraId="2F4167B9" w14:textId="77777777">
        <w:trPr>
          <w:trHeight w:val="821"/>
        </w:trPr>
        <w:tc>
          <w:tcPr>
            <w:tcW w:w="395" w:type="dxa"/>
            <w:tcBorders>
              <w:top w:val="single" w:sz="2" w:space="0" w:color="000000"/>
              <w:left w:val="single" w:sz="2" w:space="0" w:color="000000"/>
              <w:bottom w:val="single" w:sz="2" w:space="0" w:color="000000"/>
              <w:right w:val="single" w:sz="2" w:space="0" w:color="000000"/>
            </w:tcBorders>
          </w:tcPr>
          <w:p w14:paraId="7C5824BF" w14:textId="77777777" w:rsidR="00053D93" w:rsidRDefault="00260B75">
            <w:pPr>
              <w:ind w:left="75" w:right="-4"/>
            </w:pPr>
            <w:r>
              <w:t>No.</w:t>
            </w:r>
          </w:p>
        </w:tc>
        <w:tc>
          <w:tcPr>
            <w:tcW w:w="1732" w:type="dxa"/>
            <w:gridSpan w:val="2"/>
            <w:tcBorders>
              <w:top w:val="single" w:sz="2" w:space="0" w:color="000000"/>
              <w:left w:val="single" w:sz="2" w:space="0" w:color="000000"/>
              <w:bottom w:val="single" w:sz="2" w:space="0" w:color="000000"/>
              <w:right w:val="single" w:sz="2" w:space="0" w:color="000000"/>
            </w:tcBorders>
          </w:tcPr>
          <w:p w14:paraId="5C86BA08" w14:textId="77777777" w:rsidR="00053D93" w:rsidRDefault="00260B75">
            <w:pPr>
              <w:spacing w:line="263" w:lineRule="auto"/>
              <w:ind w:left="162" w:right="72"/>
              <w:jc w:val="center"/>
            </w:pPr>
            <w:r>
              <w:t>No. De Tarjeta de</w:t>
            </w:r>
          </w:p>
          <w:p w14:paraId="379BAE7B" w14:textId="77777777" w:rsidR="00053D93" w:rsidRDefault="00260B75">
            <w:pPr>
              <w:ind w:right="58"/>
              <w:jc w:val="right"/>
            </w:pPr>
            <w:r>
              <w:rPr>
                <w:sz w:val="24"/>
              </w:rPr>
              <w:t>Responsabilidad</w:t>
            </w:r>
          </w:p>
        </w:tc>
        <w:tc>
          <w:tcPr>
            <w:tcW w:w="1113" w:type="dxa"/>
            <w:tcBorders>
              <w:top w:val="single" w:sz="2" w:space="0" w:color="000000"/>
              <w:left w:val="single" w:sz="2" w:space="0" w:color="000000"/>
              <w:bottom w:val="single" w:sz="2" w:space="0" w:color="000000"/>
              <w:right w:val="single" w:sz="2" w:space="0" w:color="000000"/>
            </w:tcBorders>
          </w:tcPr>
          <w:p w14:paraId="6A817BE6" w14:textId="77777777" w:rsidR="00053D93" w:rsidRDefault="00260B75">
            <w:pPr>
              <w:ind w:left="31"/>
              <w:jc w:val="center"/>
            </w:pPr>
            <w:r>
              <w:rPr>
                <w:sz w:val="24"/>
              </w:rPr>
              <w:t>Fecha</w:t>
            </w:r>
          </w:p>
        </w:tc>
        <w:tc>
          <w:tcPr>
            <w:tcW w:w="979" w:type="dxa"/>
            <w:tcBorders>
              <w:top w:val="single" w:sz="2" w:space="0" w:color="000000"/>
              <w:left w:val="single" w:sz="2" w:space="0" w:color="000000"/>
              <w:bottom w:val="single" w:sz="2" w:space="0" w:color="000000"/>
              <w:right w:val="single" w:sz="2" w:space="0" w:color="000000"/>
            </w:tcBorders>
          </w:tcPr>
          <w:p w14:paraId="047B10E2" w14:textId="77777777" w:rsidR="00053D93" w:rsidRDefault="00260B75">
            <w:pPr>
              <w:ind w:left="75"/>
            </w:pPr>
            <w:r>
              <w:t>Cantidad</w:t>
            </w:r>
          </w:p>
        </w:tc>
        <w:tc>
          <w:tcPr>
            <w:tcW w:w="1097" w:type="dxa"/>
            <w:tcBorders>
              <w:top w:val="single" w:sz="2" w:space="0" w:color="000000"/>
              <w:left w:val="single" w:sz="2" w:space="0" w:color="000000"/>
              <w:bottom w:val="single" w:sz="2" w:space="0" w:color="000000"/>
              <w:right w:val="single" w:sz="2" w:space="0" w:color="000000"/>
            </w:tcBorders>
          </w:tcPr>
          <w:p w14:paraId="004357EA" w14:textId="77777777" w:rsidR="00053D93" w:rsidRDefault="00260B75">
            <w:pPr>
              <w:ind w:left="17"/>
              <w:jc w:val="center"/>
            </w:pPr>
            <w:r>
              <w:t>No. Bien</w:t>
            </w:r>
          </w:p>
        </w:tc>
        <w:tc>
          <w:tcPr>
            <w:tcW w:w="2093" w:type="dxa"/>
            <w:tcBorders>
              <w:top w:val="single" w:sz="2" w:space="0" w:color="000000"/>
              <w:left w:val="single" w:sz="2" w:space="0" w:color="000000"/>
              <w:bottom w:val="single" w:sz="2" w:space="0" w:color="000000"/>
              <w:right w:val="single" w:sz="2" w:space="0" w:color="000000"/>
            </w:tcBorders>
          </w:tcPr>
          <w:p w14:paraId="32906D1F" w14:textId="77777777" w:rsidR="00053D93" w:rsidRDefault="00260B75">
            <w:pPr>
              <w:ind w:left="17"/>
              <w:jc w:val="center"/>
            </w:pPr>
            <w:r>
              <w:rPr>
                <w:sz w:val="24"/>
              </w:rPr>
              <w:t>Descripción</w:t>
            </w:r>
          </w:p>
        </w:tc>
        <w:tc>
          <w:tcPr>
            <w:tcW w:w="1051" w:type="dxa"/>
            <w:tcBorders>
              <w:top w:val="single" w:sz="2" w:space="0" w:color="000000"/>
              <w:left w:val="single" w:sz="2" w:space="0" w:color="000000"/>
              <w:bottom w:val="single" w:sz="2" w:space="0" w:color="000000"/>
              <w:right w:val="single" w:sz="2" w:space="0" w:color="000000"/>
            </w:tcBorders>
          </w:tcPr>
          <w:p w14:paraId="69B7122E" w14:textId="77777777" w:rsidR="00053D93" w:rsidRDefault="00260B75">
            <w:pPr>
              <w:ind w:left="13"/>
              <w:jc w:val="center"/>
            </w:pPr>
            <w:r>
              <w:rPr>
                <w:sz w:val="24"/>
              </w:rPr>
              <w:t>Saldo</w:t>
            </w:r>
          </w:p>
        </w:tc>
      </w:tr>
      <w:tr w:rsidR="00053D93" w14:paraId="31227F73" w14:textId="77777777">
        <w:trPr>
          <w:trHeight w:val="1299"/>
        </w:trPr>
        <w:tc>
          <w:tcPr>
            <w:tcW w:w="395" w:type="dxa"/>
            <w:tcBorders>
              <w:top w:val="single" w:sz="2" w:space="0" w:color="000000"/>
              <w:left w:val="single" w:sz="2" w:space="0" w:color="000000"/>
              <w:bottom w:val="single" w:sz="2" w:space="0" w:color="000000"/>
              <w:right w:val="single" w:sz="2" w:space="0" w:color="000000"/>
            </w:tcBorders>
          </w:tcPr>
          <w:p w14:paraId="7B34E517" w14:textId="77777777" w:rsidR="00053D93" w:rsidRDefault="00053D93"/>
        </w:tc>
        <w:tc>
          <w:tcPr>
            <w:tcW w:w="1732" w:type="dxa"/>
            <w:gridSpan w:val="2"/>
            <w:tcBorders>
              <w:top w:val="single" w:sz="2" w:space="0" w:color="000000"/>
              <w:left w:val="single" w:sz="2" w:space="0" w:color="000000"/>
              <w:bottom w:val="single" w:sz="2" w:space="0" w:color="000000"/>
              <w:right w:val="single" w:sz="2" w:space="0" w:color="000000"/>
            </w:tcBorders>
          </w:tcPr>
          <w:p w14:paraId="3745AF19" w14:textId="77777777" w:rsidR="00053D93" w:rsidRDefault="00053D93"/>
        </w:tc>
        <w:tc>
          <w:tcPr>
            <w:tcW w:w="1113" w:type="dxa"/>
            <w:tcBorders>
              <w:top w:val="single" w:sz="2" w:space="0" w:color="000000"/>
              <w:left w:val="single" w:sz="2" w:space="0" w:color="000000"/>
              <w:bottom w:val="single" w:sz="2" w:space="0" w:color="000000"/>
              <w:right w:val="single" w:sz="2" w:space="0" w:color="000000"/>
            </w:tcBorders>
          </w:tcPr>
          <w:p w14:paraId="075B22C9" w14:textId="77777777" w:rsidR="00053D93" w:rsidRDefault="00260B75">
            <w:pPr>
              <w:ind w:left="72"/>
            </w:pPr>
            <w:r>
              <w:rPr>
                <w:rFonts w:ascii="Times New Roman" w:eastAsia="Times New Roman" w:hAnsi="Times New Roman" w:cs="Times New Roman"/>
                <w:sz w:val="20"/>
              </w:rPr>
              <w:t>28/04/2021</w:t>
            </w:r>
          </w:p>
        </w:tc>
        <w:tc>
          <w:tcPr>
            <w:tcW w:w="979" w:type="dxa"/>
            <w:tcBorders>
              <w:top w:val="single" w:sz="2" w:space="0" w:color="000000"/>
              <w:left w:val="single" w:sz="2" w:space="0" w:color="000000"/>
              <w:bottom w:val="single" w:sz="2" w:space="0" w:color="000000"/>
              <w:right w:val="single" w:sz="2" w:space="0" w:color="000000"/>
            </w:tcBorders>
          </w:tcPr>
          <w:p w14:paraId="4E521E2F" w14:textId="77777777" w:rsidR="00053D93" w:rsidRDefault="00260B75">
            <w:pPr>
              <w:ind w:right="9"/>
              <w:jc w:val="center"/>
            </w:pPr>
            <w:r>
              <w:rPr>
                <w:rFonts w:ascii="Times New Roman" w:eastAsia="Times New Roman" w:hAnsi="Times New Roman" w:cs="Times New Roman"/>
              </w:rPr>
              <w:t>1</w:t>
            </w:r>
          </w:p>
        </w:tc>
        <w:tc>
          <w:tcPr>
            <w:tcW w:w="1097" w:type="dxa"/>
            <w:tcBorders>
              <w:top w:val="single" w:sz="2" w:space="0" w:color="000000"/>
              <w:left w:val="single" w:sz="2" w:space="0" w:color="000000"/>
              <w:bottom w:val="single" w:sz="2" w:space="0" w:color="000000"/>
              <w:right w:val="single" w:sz="2" w:space="0" w:color="000000"/>
            </w:tcBorders>
          </w:tcPr>
          <w:p w14:paraId="3F5CCE83" w14:textId="77777777" w:rsidR="00053D93" w:rsidRDefault="00260B75">
            <w:pPr>
              <w:ind w:left="75"/>
            </w:pPr>
            <w:r>
              <w:t>001ED7CO</w:t>
            </w:r>
          </w:p>
        </w:tc>
        <w:tc>
          <w:tcPr>
            <w:tcW w:w="2093" w:type="dxa"/>
            <w:tcBorders>
              <w:top w:val="single" w:sz="2" w:space="0" w:color="000000"/>
              <w:left w:val="single" w:sz="2" w:space="0" w:color="000000"/>
              <w:bottom w:val="single" w:sz="2" w:space="0" w:color="000000"/>
              <w:right w:val="single" w:sz="2" w:space="0" w:color="000000"/>
            </w:tcBorders>
          </w:tcPr>
          <w:p w14:paraId="666B3E78" w14:textId="77777777" w:rsidR="00053D93" w:rsidRDefault="00260B75">
            <w:pPr>
              <w:spacing w:after="23"/>
              <w:ind w:left="72"/>
            </w:pPr>
            <w:r>
              <w:t>Parrilla para equipaje</w:t>
            </w:r>
          </w:p>
          <w:p w14:paraId="3B487B5A" w14:textId="77777777" w:rsidR="00053D93" w:rsidRDefault="00260B75">
            <w:pPr>
              <w:ind w:left="58" w:firstLine="14"/>
            </w:pPr>
            <w:r>
              <w:rPr>
                <w:rFonts w:ascii="Times New Roman" w:eastAsia="Times New Roman" w:hAnsi="Times New Roman" w:cs="Times New Roman"/>
              </w:rPr>
              <w:t>con</w:t>
            </w:r>
            <w:r>
              <w:rPr>
                <w:rFonts w:ascii="Times New Roman" w:eastAsia="Times New Roman" w:hAnsi="Times New Roman" w:cs="Times New Roman"/>
              </w:rPr>
              <w:tab/>
            </w:r>
            <w:r>
              <w:t>escalera pasamanos, desmontable</w:t>
            </w:r>
            <w:r>
              <w:tab/>
              <w:t>para Toyota Hiace</w:t>
            </w:r>
          </w:p>
        </w:tc>
        <w:tc>
          <w:tcPr>
            <w:tcW w:w="1051" w:type="dxa"/>
            <w:tcBorders>
              <w:top w:val="single" w:sz="2" w:space="0" w:color="000000"/>
              <w:left w:val="single" w:sz="2" w:space="0" w:color="000000"/>
              <w:bottom w:val="single" w:sz="2" w:space="0" w:color="000000"/>
              <w:right w:val="single" w:sz="2" w:space="0" w:color="000000"/>
            </w:tcBorders>
          </w:tcPr>
          <w:p w14:paraId="66B10BE7" w14:textId="77777777" w:rsidR="00053D93" w:rsidRDefault="00260B75">
            <w:pPr>
              <w:ind w:right="62"/>
              <w:jc w:val="right"/>
            </w:pPr>
            <w:r>
              <w:t>7,000.oo</w:t>
            </w:r>
          </w:p>
        </w:tc>
      </w:tr>
      <w:tr w:rsidR="00053D93" w14:paraId="3240CB53" w14:textId="77777777">
        <w:trPr>
          <w:trHeight w:val="1296"/>
        </w:trPr>
        <w:tc>
          <w:tcPr>
            <w:tcW w:w="395" w:type="dxa"/>
            <w:tcBorders>
              <w:top w:val="single" w:sz="2" w:space="0" w:color="000000"/>
              <w:left w:val="single" w:sz="2" w:space="0" w:color="000000"/>
              <w:bottom w:val="single" w:sz="2" w:space="0" w:color="000000"/>
              <w:right w:val="single" w:sz="2" w:space="0" w:color="000000"/>
            </w:tcBorders>
          </w:tcPr>
          <w:p w14:paraId="13803326" w14:textId="77777777" w:rsidR="00053D93" w:rsidRDefault="00053D93"/>
        </w:tc>
        <w:tc>
          <w:tcPr>
            <w:tcW w:w="1732" w:type="dxa"/>
            <w:gridSpan w:val="2"/>
            <w:tcBorders>
              <w:top w:val="single" w:sz="2" w:space="0" w:color="000000"/>
              <w:left w:val="single" w:sz="2" w:space="0" w:color="000000"/>
              <w:bottom w:val="single" w:sz="2" w:space="0" w:color="000000"/>
              <w:right w:val="single" w:sz="2" w:space="0" w:color="000000"/>
            </w:tcBorders>
          </w:tcPr>
          <w:p w14:paraId="38370083" w14:textId="77777777" w:rsidR="00053D93" w:rsidRDefault="00053D93"/>
        </w:tc>
        <w:tc>
          <w:tcPr>
            <w:tcW w:w="1113" w:type="dxa"/>
            <w:tcBorders>
              <w:top w:val="single" w:sz="2" w:space="0" w:color="000000"/>
              <w:left w:val="single" w:sz="2" w:space="0" w:color="000000"/>
              <w:bottom w:val="single" w:sz="2" w:space="0" w:color="000000"/>
              <w:right w:val="single" w:sz="2" w:space="0" w:color="000000"/>
            </w:tcBorders>
          </w:tcPr>
          <w:p w14:paraId="311B74E9" w14:textId="77777777" w:rsidR="00053D93" w:rsidRDefault="00260B75">
            <w:pPr>
              <w:ind w:left="65"/>
            </w:pPr>
            <w:r>
              <w:rPr>
                <w:rFonts w:ascii="Times New Roman" w:eastAsia="Times New Roman" w:hAnsi="Times New Roman" w:cs="Times New Roman"/>
                <w:sz w:val="20"/>
              </w:rPr>
              <w:t>28/04/2021</w:t>
            </w:r>
          </w:p>
        </w:tc>
        <w:tc>
          <w:tcPr>
            <w:tcW w:w="979" w:type="dxa"/>
            <w:tcBorders>
              <w:top w:val="single" w:sz="2" w:space="0" w:color="000000"/>
              <w:left w:val="single" w:sz="2" w:space="0" w:color="000000"/>
              <w:bottom w:val="single" w:sz="2" w:space="0" w:color="000000"/>
              <w:right w:val="single" w:sz="2" w:space="0" w:color="000000"/>
            </w:tcBorders>
          </w:tcPr>
          <w:p w14:paraId="0560E7E3" w14:textId="77777777" w:rsidR="00053D93" w:rsidRDefault="00053D93"/>
        </w:tc>
        <w:tc>
          <w:tcPr>
            <w:tcW w:w="1097" w:type="dxa"/>
            <w:tcBorders>
              <w:top w:val="single" w:sz="2" w:space="0" w:color="000000"/>
              <w:left w:val="single" w:sz="2" w:space="0" w:color="000000"/>
              <w:bottom w:val="single" w:sz="2" w:space="0" w:color="000000"/>
              <w:right w:val="single" w:sz="2" w:space="0" w:color="000000"/>
            </w:tcBorders>
          </w:tcPr>
          <w:p w14:paraId="71ACAFC0" w14:textId="77777777" w:rsidR="00053D93" w:rsidRDefault="00260B75">
            <w:pPr>
              <w:ind w:left="68"/>
            </w:pPr>
            <w:r>
              <w:rPr>
                <w:sz w:val="24"/>
              </w:rPr>
              <w:t>001EE8AF</w:t>
            </w:r>
          </w:p>
        </w:tc>
        <w:tc>
          <w:tcPr>
            <w:tcW w:w="2093" w:type="dxa"/>
            <w:tcBorders>
              <w:top w:val="single" w:sz="2" w:space="0" w:color="000000"/>
              <w:left w:val="single" w:sz="2" w:space="0" w:color="000000"/>
              <w:bottom w:val="single" w:sz="2" w:space="0" w:color="000000"/>
              <w:right w:val="single" w:sz="2" w:space="0" w:color="000000"/>
            </w:tcBorders>
          </w:tcPr>
          <w:p w14:paraId="08DF531D" w14:textId="77777777" w:rsidR="00053D93" w:rsidRDefault="00260B75">
            <w:pPr>
              <w:ind w:left="72"/>
            </w:pPr>
            <w:r>
              <w:rPr>
                <w:sz w:val="24"/>
              </w:rPr>
              <w:t>Equipo GPS con</w:t>
            </w:r>
          </w:p>
          <w:p w14:paraId="7A842479" w14:textId="77777777" w:rsidR="00053D93" w:rsidRDefault="00260B75">
            <w:pPr>
              <w:spacing w:line="242" w:lineRule="auto"/>
              <w:ind w:left="58" w:right="33" w:firstLine="7"/>
            </w:pPr>
            <w:r>
              <w:t>localización seguridad electrónica con</w:t>
            </w:r>
            <w:r>
              <w:tab/>
              <w:t>serie</w:t>
            </w:r>
          </w:p>
          <w:p w14:paraId="3A7824DA" w14:textId="77777777" w:rsidR="00053D93" w:rsidRDefault="00260B75">
            <w:pPr>
              <w:ind w:left="50"/>
            </w:pPr>
            <w:r>
              <w:t>AG-0607-522</w:t>
            </w:r>
          </w:p>
        </w:tc>
        <w:tc>
          <w:tcPr>
            <w:tcW w:w="1051" w:type="dxa"/>
            <w:tcBorders>
              <w:top w:val="single" w:sz="2" w:space="0" w:color="000000"/>
              <w:left w:val="single" w:sz="2" w:space="0" w:color="000000"/>
              <w:bottom w:val="single" w:sz="2" w:space="0" w:color="000000"/>
              <w:right w:val="single" w:sz="2" w:space="0" w:color="000000"/>
            </w:tcBorders>
          </w:tcPr>
          <w:p w14:paraId="2E2A9271" w14:textId="77777777" w:rsidR="00053D93" w:rsidRDefault="00260B75">
            <w:pPr>
              <w:ind w:left="212"/>
            </w:pPr>
            <w:r>
              <w:rPr>
                <w:rFonts w:ascii="Times New Roman" w:eastAsia="Times New Roman" w:hAnsi="Times New Roman" w:cs="Times New Roman"/>
                <w:sz w:val="20"/>
              </w:rPr>
              <w:t>31193.00</w:t>
            </w:r>
          </w:p>
        </w:tc>
      </w:tr>
      <w:tr w:rsidR="00053D93" w14:paraId="389AD8E3" w14:textId="77777777">
        <w:trPr>
          <w:trHeight w:val="1289"/>
        </w:trPr>
        <w:tc>
          <w:tcPr>
            <w:tcW w:w="395" w:type="dxa"/>
            <w:tcBorders>
              <w:top w:val="single" w:sz="2" w:space="0" w:color="000000"/>
              <w:left w:val="single" w:sz="2" w:space="0" w:color="000000"/>
              <w:bottom w:val="single" w:sz="2" w:space="0" w:color="000000"/>
              <w:right w:val="single" w:sz="2" w:space="0" w:color="000000"/>
            </w:tcBorders>
          </w:tcPr>
          <w:p w14:paraId="7AC4F38F" w14:textId="77777777" w:rsidR="00053D93" w:rsidRDefault="00053D93"/>
        </w:tc>
        <w:tc>
          <w:tcPr>
            <w:tcW w:w="1732" w:type="dxa"/>
            <w:gridSpan w:val="2"/>
            <w:tcBorders>
              <w:top w:val="single" w:sz="2" w:space="0" w:color="000000"/>
              <w:left w:val="single" w:sz="2" w:space="0" w:color="000000"/>
              <w:bottom w:val="single" w:sz="2" w:space="0" w:color="000000"/>
              <w:right w:val="single" w:sz="2" w:space="0" w:color="000000"/>
            </w:tcBorders>
          </w:tcPr>
          <w:p w14:paraId="70C0AEEE" w14:textId="77777777" w:rsidR="00053D93" w:rsidRDefault="00260B75">
            <w:pPr>
              <w:ind w:left="47"/>
              <w:jc w:val="center"/>
            </w:pPr>
            <w:r>
              <w:rPr>
                <w:rFonts w:ascii="Times New Roman" w:eastAsia="Times New Roman" w:hAnsi="Times New Roman" w:cs="Times New Roman"/>
              </w:rPr>
              <w:t>3697</w:t>
            </w:r>
          </w:p>
        </w:tc>
        <w:tc>
          <w:tcPr>
            <w:tcW w:w="1113" w:type="dxa"/>
            <w:tcBorders>
              <w:top w:val="single" w:sz="2" w:space="0" w:color="000000"/>
              <w:left w:val="single" w:sz="2" w:space="0" w:color="000000"/>
              <w:bottom w:val="single" w:sz="2" w:space="0" w:color="000000"/>
              <w:right w:val="single" w:sz="2" w:space="0" w:color="000000"/>
            </w:tcBorders>
          </w:tcPr>
          <w:p w14:paraId="2B03D593" w14:textId="77777777" w:rsidR="00053D93" w:rsidRDefault="00260B75">
            <w:pPr>
              <w:ind w:left="58"/>
            </w:pPr>
            <w:r>
              <w:rPr>
                <w:rFonts w:ascii="Times New Roman" w:eastAsia="Times New Roman" w:hAnsi="Times New Roman" w:cs="Times New Roman"/>
                <w:sz w:val="20"/>
              </w:rPr>
              <w:t>28/04/2021</w:t>
            </w:r>
          </w:p>
        </w:tc>
        <w:tc>
          <w:tcPr>
            <w:tcW w:w="979" w:type="dxa"/>
            <w:tcBorders>
              <w:top w:val="single" w:sz="2" w:space="0" w:color="000000"/>
              <w:left w:val="single" w:sz="2" w:space="0" w:color="000000"/>
              <w:bottom w:val="single" w:sz="2" w:space="0" w:color="000000"/>
              <w:right w:val="single" w:sz="2" w:space="0" w:color="000000"/>
            </w:tcBorders>
          </w:tcPr>
          <w:p w14:paraId="4D253EA5" w14:textId="77777777" w:rsidR="00053D93" w:rsidRDefault="00053D93"/>
        </w:tc>
        <w:tc>
          <w:tcPr>
            <w:tcW w:w="1097" w:type="dxa"/>
            <w:tcBorders>
              <w:top w:val="single" w:sz="2" w:space="0" w:color="000000"/>
              <w:left w:val="single" w:sz="2" w:space="0" w:color="000000"/>
              <w:bottom w:val="single" w:sz="2" w:space="0" w:color="000000"/>
              <w:right w:val="single" w:sz="2" w:space="0" w:color="000000"/>
            </w:tcBorders>
          </w:tcPr>
          <w:p w14:paraId="28E11C68" w14:textId="77777777" w:rsidR="00053D93" w:rsidRDefault="00260B75">
            <w:pPr>
              <w:ind w:left="53"/>
            </w:pPr>
            <w:r>
              <w:rPr>
                <w:sz w:val="24"/>
              </w:rPr>
              <w:t>001 EE8AB</w:t>
            </w:r>
          </w:p>
        </w:tc>
        <w:tc>
          <w:tcPr>
            <w:tcW w:w="2093" w:type="dxa"/>
            <w:tcBorders>
              <w:top w:val="single" w:sz="2" w:space="0" w:color="000000"/>
              <w:left w:val="single" w:sz="2" w:space="0" w:color="000000"/>
              <w:bottom w:val="single" w:sz="2" w:space="0" w:color="000000"/>
              <w:right w:val="single" w:sz="2" w:space="0" w:color="000000"/>
            </w:tcBorders>
          </w:tcPr>
          <w:p w14:paraId="5F0B7ACD" w14:textId="77777777" w:rsidR="00053D93" w:rsidRDefault="00260B75">
            <w:pPr>
              <w:ind w:left="58"/>
            </w:pPr>
            <w:r>
              <w:rPr>
                <w:sz w:val="24"/>
              </w:rPr>
              <w:t>Equipo GPS con</w:t>
            </w:r>
          </w:p>
          <w:p w14:paraId="5672ED14" w14:textId="77777777" w:rsidR="00053D93" w:rsidRDefault="00260B75">
            <w:pPr>
              <w:spacing w:after="63" w:line="251" w:lineRule="auto"/>
              <w:ind w:left="50" w:right="41" w:firstLine="7"/>
            </w:pPr>
            <w:r>
              <w:t>localización seguridad electrónica</w:t>
            </w:r>
          </w:p>
          <w:p w14:paraId="11FDF39B" w14:textId="77777777" w:rsidR="00053D93" w:rsidRDefault="00260B75">
            <w:pPr>
              <w:ind w:left="36" w:firstLine="14"/>
            </w:pPr>
            <w:r>
              <w:rPr>
                <w:rFonts w:ascii="Times New Roman" w:eastAsia="Times New Roman" w:hAnsi="Times New Roman" w:cs="Times New Roman"/>
              </w:rPr>
              <w:t>con</w:t>
            </w:r>
            <w:r>
              <w:rPr>
                <w:rFonts w:ascii="Times New Roman" w:eastAsia="Times New Roman" w:hAnsi="Times New Roman" w:cs="Times New Roman"/>
              </w:rPr>
              <w:tab/>
              <w:t xml:space="preserve">s e ri e </w:t>
            </w:r>
            <w:r>
              <w:t>AG-0623-888</w:t>
            </w:r>
          </w:p>
        </w:tc>
        <w:tc>
          <w:tcPr>
            <w:tcW w:w="1051" w:type="dxa"/>
            <w:tcBorders>
              <w:top w:val="single" w:sz="2" w:space="0" w:color="000000"/>
              <w:left w:val="single" w:sz="2" w:space="0" w:color="000000"/>
              <w:bottom w:val="single" w:sz="2" w:space="0" w:color="000000"/>
              <w:right w:val="single" w:sz="2" w:space="0" w:color="000000"/>
            </w:tcBorders>
          </w:tcPr>
          <w:p w14:paraId="567744E5" w14:textId="77777777" w:rsidR="00053D93" w:rsidRDefault="00260B75">
            <w:pPr>
              <w:ind w:left="204"/>
            </w:pPr>
            <w:r>
              <w:rPr>
                <w:rFonts w:ascii="Times New Roman" w:eastAsia="Times New Roman" w:hAnsi="Times New Roman" w:cs="Times New Roman"/>
              </w:rPr>
              <w:t>3, 193.00</w:t>
            </w:r>
          </w:p>
        </w:tc>
      </w:tr>
      <w:tr w:rsidR="00053D93" w14:paraId="2F772AD1" w14:textId="77777777">
        <w:trPr>
          <w:trHeight w:val="1296"/>
        </w:trPr>
        <w:tc>
          <w:tcPr>
            <w:tcW w:w="395" w:type="dxa"/>
            <w:tcBorders>
              <w:top w:val="single" w:sz="2" w:space="0" w:color="000000"/>
              <w:left w:val="single" w:sz="2" w:space="0" w:color="000000"/>
              <w:bottom w:val="single" w:sz="2" w:space="0" w:color="000000"/>
              <w:right w:val="single" w:sz="2" w:space="0" w:color="000000"/>
            </w:tcBorders>
          </w:tcPr>
          <w:p w14:paraId="277F522F" w14:textId="77777777" w:rsidR="00053D93" w:rsidRDefault="00053D93"/>
        </w:tc>
        <w:tc>
          <w:tcPr>
            <w:tcW w:w="1732" w:type="dxa"/>
            <w:gridSpan w:val="2"/>
            <w:tcBorders>
              <w:top w:val="single" w:sz="2" w:space="0" w:color="000000"/>
              <w:left w:val="single" w:sz="2" w:space="0" w:color="000000"/>
              <w:bottom w:val="single" w:sz="2" w:space="0" w:color="000000"/>
              <w:right w:val="single" w:sz="2" w:space="0" w:color="000000"/>
            </w:tcBorders>
          </w:tcPr>
          <w:p w14:paraId="5A80A71F" w14:textId="77777777" w:rsidR="00053D93" w:rsidRDefault="00053D93"/>
        </w:tc>
        <w:tc>
          <w:tcPr>
            <w:tcW w:w="1113" w:type="dxa"/>
            <w:tcBorders>
              <w:top w:val="single" w:sz="2" w:space="0" w:color="000000"/>
              <w:left w:val="single" w:sz="2" w:space="0" w:color="000000"/>
              <w:bottom w:val="single" w:sz="2" w:space="0" w:color="000000"/>
              <w:right w:val="single" w:sz="2" w:space="0" w:color="000000"/>
            </w:tcBorders>
          </w:tcPr>
          <w:p w14:paraId="14982622" w14:textId="77777777" w:rsidR="00053D93" w:rsidRDefault="00260B75">
            <w:pPr>
              <w:ind w:left="50"/>
            </w:pPr>
            <w:r>
              <w:rPr>
                <w:rFonts w:ascii="Times New Roman" w:eastAsia="Times New Roman" w:hAnsi="Times New Roman" w:cs="Times New Roman"/>
                <w:sz w:val="18"/>
              </w:rPr>
              <w:t>2810412021</w:t>
            </w:r>
          </w:p>
        </w:tc>
        <w:tc>
          <w:tcPr>
            <w:tcW w:w="979" w:type="dxa"/>
            <w:tcBorders>
              <w:top w:val="single" w:sz="2" w:space="0" w:color="000000"/>
              <w:left w:val="single" w:sz="2" w:space="0" w:color="000000"/>
              <w:bottom w:val="single" w:sz="2" w:space="0" w:color="000000"/>
              <w:right w:val="single" w:sz="2" w:space="0" w:color="000000"/>
            </w:tcBorders>
          </w:tcPr>
          <w:p w14:paraId="2BFB9FF9" w14:textId="77777777" w:rsidR="00053D93" w:rsidRDefault="00260B75">
            <w:pPr>
              <w:ind w:right="67"/>
              <w:jc w:val="center"/>
            </w:pPr>
            <w:r>
              <w:rPr>
                <w:rFonts w:ascii="Times New Roman" w:eastAsia="Times New Roman" w:hAnsi="Times New Roman" w:cs="Times New Roman"/>
              </w:rPr>
              <w:t>1</w:t>
            </w:r>
          </w:p>
        </w:tc>
        <w:tc>
          <w:tcPr>
            <w:tcW w:w="1097" w:type="dxa"/>
            <w:tcBorders>
              <w:top w:val="single" w:sz="2" w:space="0" w:color="000000"/>
              <w:left w:val="single" w:sz="2" w:space="0" w:color="000000"/>
              <w:bottom w:val="single" w:sz="2" w:space="0" w:color="000000"/>
              <w:right w:val="single" w:sz="2" w:space="0" w:color="000000"/>
            </w:tcBorders>
          </w:tcPr>
          <w:p w14:paraId="6F34E115" w14:textId="77777777" w:rsidR="00053D93" w:rsidRDefault="00260B75">
            <w:pPr>
              <w:ind w:left="46"/>
            </w:pPr>
            <w:r>
              <w:rPr>
                <w:sz w:val="24"/>
              </w:rPr>
              <w:t>001 EE8AC</w:t>
            </w:r>
          </w:p>
        </w:tc>
        <w:tc>
          <w:tcPr>
            <w:tcW w:w="2093" w:type="dxa"/>
            <w:tcBorders>
              <w:top w:val="single" w:sz="2" w:space="0" w:color="000000"/>
              <w:left w:val="single" w:sz="2" w:space="0" w:color="000000"/>
              <w:bottom w:val="single" w:sz="2" w:space="0" w:color="000000"/>
              <w:right w:val="single" w:sz="2" w:space="0" w:color="000000"/>
            </w:tcBorders>
          </w:tcPr>
          <w:p w14:paraId="5AABC35C" w14:textId="77777777" w:rsidR="00053D93" w:rsidRDefault="00260B75">
            <w:pPr>
              <w:spacing w:after="27" w:line="229" w:lineRule="auto"/>
              <w:ind w:left="43" w:right="91" w:firstLine="7"/>
              <w:jc w:val="both"/>
            </w:pPr>
            <w:r>
              <w:t>Equipo • GPS con localización seguridad electrónica</w:t>
            </w:r>
          </w:p>
          <w:p w14:paraId="0A728D72" w14:textId="77777777" w:rsidR="00053D93" w:rsidRDefault="00260B75">
            <w:pPr>
              <w:ind w:left="43"/>
            </w:pPr>
            <w:r>
              <w:rPr>
                <w:rFonts w:ascii="Times New Roman" w:eastAsia="Times New Roman" w:hAnsi="Times New Roman" w:cs="Times New Roman"/>
              </w:rPr>
              <w:t>con</w:t>
            </w:r>
          </w:p>
          <w:p w14:paraId="67A90CE7" w14:textId="77777777" w:rsidR="00053D93" w:rsidRDefault="00260B75">
            <w:pPr>
              <w:ind w:left="29"/>
            </w:pPr>
            <w:r>
              <w:t>AG-0715-3403</w:t>
            </w:r>
          </w:p>
        </w:tc>
        <w:tc>
          <w:tcPr>
            <w:tcW w:w="1051" w:type="dxa"/>
            <w:tcBorders>
              <w:top w:val="single" w:sz="2" w:space="0" w:color="000000"/>
              <w:left w:val="single" w:sz="2" w:space="0" w:color="000000"/>
              <w:bottom w:val="single" w:sz="2" w:space="0" w:color="000000"/>
              <w:right w:val="single" w:sz="2" w:space="0" w:color="000000"/>
            </w:tcBorders>
          </w:tcPr>
          <w:p w14:paraId="5B60E67D" w14:textId="77777777" w:rsidR="00053D93" w:rsidRDefault="00260B75">
            <w:pPr>
              <w:ind w:left="197"/>
            </w:pPr>
            <w:r>
              <w:rPr>
                <w:rFonts w:ascii="Times New Roman" w:eastAsia="Times New Roman" w:hAnsi="Times New Roman" w:cs="Times New Roman"/>
              </w:rPr>
              <w:t>3, 193.00</w:t>
            </w:r>
          </w:p>
        </w:tc>
      </w:tr>
      <w:tr w:rsidR="00053D93" w14:paraId="750246F5" w14:textId="77777777">
        <w:trPr>
          <w:trHeight w:val="1369"/>
        </w:trPr>
        <w:tc>
          <w:tcPr>
            <w:tcW w:w="395" w:type="dxa"/>
            <w:tcBorders>
              <w:top w:val="single" w:sz="2" w:space="0" w:color="000000"/>
              <w:left w:val="single" w:sz="2" w:space="0" w:color="000000"/>
              <w:bottom w:val="single" w:sz="2" w:space="0" w:color="000000"/>
              <w:right w:val="single" w:sz="2" w:space="0" w:color="000000"/>
            </w:tcBorders>
          </w:tcPr>
          <w:p w14:paraId="09B272DD" w14:textId="77777777" w:rsidR="00053D93" w:rsidRDefault="00053D93"/>
        </w:tc>
        <w:tc>
          <w:tcPr>
            <w:tcW w:w="1732" w:type="dxa"/>
            <w:gridSpan w:val="2"/>
            <w:tcBorders>
              <w:top w:val="single" w:sz="2" w:space="0" w:color="000000"/>
              <w:left w:val="single" w:sz="2" w:space="0" w:color="000000"/>
              <w:bottom w:val="single" w:sz="2" w:space="0" w:color="000000"/>
              <w:right w:val="single" w:sz="2" w:space="0" w:color="000000"/>
            </w:tcBorders>
          </w:tcPr>
          <w:p w14:paraId="1DED4115" w14:textId="77777777" w:rsidR="00053D93" w:rsidRDefault="00053D93"/>
        </w:tc>
        <w:tc>
          <w:tcPr>
            <w:tcW w:w="1113" w:type="dxa"/>
            <w:tcBorders>
              <w:top w:val="single" w:sz="2" w:space="0" w:color="000000"/>
              <w:left w:val="single" w:sz="2" w:space="0" w:color="000000"/>
              <w:bottom w:val="single" w:sz="2" w:space="0" w:color="000000"/>
              <w:right w:val="single" w:sz="2" w:space="0" w:color="000000"/>
            </w:tcBorders>
          </w:tcPr>
          <w:p w14:paraId="31E69055" w14:textId="77777777" w:rsidR="00053D93" w:rsidRDefault="00260B75">
            <w:pPr>
              <w:ind w:left="36"/>
            </w:pPr>
            <w:r>
              <w:rPr>
                <w:rFonts w:ascii="Times New Roman" w:eastAsia="Times New Roman" w:hAnsi="Times New Roman" w:cs="Times New Roman"/>
                <w:sz w:val="20"/>
              </w:rPr>
              <w:t>28/04/2021</w:t>
            </w:r>
          </w:p>
        </w:tc>
        <w:tc>
          <w:tcPr>
            <w:tcW w:w="979" w:type="dxa"/>
            <w:tcBorders>
              <w:top w:val="single" w:sz="2" w:space="0" w:color="000000"/>
              <w:left w:val="single" w:sz="2" w:space="0" w:color="000000"/>
              <w:bottom w:val="single" w:sz="2" w:space="0" w:color="000000"/>
              <w:right w:val="single" w:sz="2" w:space="0" w:color="000000"/>
            </w:tcBorders>
          </w:tcPr>
          <w:p w14:paraId="753BCE37" w14:textId="77777777" w:rsidR="00053D93" w:rsidRDefault="00260B75">
            <w:pPr>
              <w:ind w:right="81"/>
              <w:jc w:val="center"/>
            </w:pPr>
            <w:r>
              <w:rPr>
                <w:rFonts w:ascii="Times New Roman" w:eastAsia="Times New Roman" w:hAnsi="Times New Roman" w:cs="Times New Roman"/>
              </w:rPr>
              <w:t>1</w:t>
            </w:r>
          </w:p>
        </w:tc>
        <w:tc>
          <w:tcPr>
            <w:tcW w:w="1097" w:type="dxa"/>
            <w:tcBorders>
              <w:top w:val="single" w:sz="2" w:space="0" w:color="000000"/>
              <w:left w:val="single" w:sz="2" w:space="0" w:color="000000"/>
              <w:bottom w:val="single" w:sz="2" w:space="0" w:color="000000"/>
              <w:right w:val="single" w:sz="2" w:space="0" w:color="000000"/>
            </w:tcBorders>
          </w:tcPr>
          <w:p w14:paraId="1262FCCF" w14:textId="77777777" w:rsidR="00053D93" w:rsidRDefault="00260B75">
            <w:pPr>
              <w:ind w:left="32"/>
            </w:pPr>
            <w:r>
              <w:rPr>
                <w:sz w:val="24"/>
              </w:rPr>
              <w:t>001 EE8AD</w:t>
            </w:r>
          </w:p>
        </w:tc>
        <w:tc>
          <w:tcPr>
            <w:tcW w:w="2093" w:type="dxa"/>
            <w:tcBorders>
              <w:top w:val="single" w:sz="2" w:space="0" w:color="000000"/>
              <w:left w:val="single" w:sz="2" w:space="0" w:color="000000"/>
              <w:bottom w:val="single" w:sz="2" w:space="0" w:color="000000"/>
              <w:right w:val="single" w:sz="2" w:space="0" w:color="000000"/>
            </w:tcBorders>
          </w:tcPr>
          <w:p w14:paraId="7A89492B" w14:textId="77777777" w:rsidR="00053D93" w:rsidRDefault="00260B75">
            <w:pPr>
              <w:spacing w:line="245" w:lineRule="auto"/>
              <w:ind w:left="29" w:right="55" w:firstLine="14"/>
            </w:pPr>
            <w:r>
              <w:t>Equipo GPS con localización seguridad electrónica con</w:t>
            </w:r>
            <w:r>
              <w:tab/>
            </w:r>
            <w:r>
              <w:rPr>
                <w:rFonts w:ascii="Times New Roman" w:eastAsia="Times New Roman" w:hAnsi="Times New Roman" w:cs="Times New Roman"/>
              </w:rPr>
              <w:t>s e ri e</w:t>
            </w:r>
          </w:p>
          <w:p w14:paraId="7FC8EAC2" w14:textId="77777777" w:rsidR="00053D93" w:rsidRDefault="00260B75">
            <w:pPr>
              <w:ind w:left="22"/>
            </w:pPr>
            <w:r>
              <w:t>AG-0607-519</w:t>
            </w:r>
          </w:p>
        </w:tc>
        <w:tc>
          <w:tcPr>
            <w:tcW w:w="1051" w:type="dxa"/>
            <w:tcBorders>
              <w:top w:val="single" w:sz="2" w:space="0" w:color="000000"/>
              <w:left w:val="single" w:sz="2" w:space="0" w:color="000000"/>
              <w:bottom w:val="single" w:sz="2" w:space="0" w:color="000000"/>
              <w:right w:val="single" w:sz="2" w:space="0" w:color="000000"/>
            </w:tcBorders>
          </w:tcPr>
          <w:p w14:paraId="59E3034B" w14:textId="77777777" w:rsidR="00053D93" w:rsidRDefault="00260B75">
            <w:pPr>
              <w:ind w:left="190"/>
            </w:pPr>
            <w:r>
              <w:t>3,193.oo</w:t>
            </w:r>
          </w:p>
        </w:tc>
      </w:tr>
      <w:tr w:rsidR="00053D93" w14:paraId="64E6FF69" w14:textId="77777777">
        <w:trPr>
          <w:trHeight w:val="1482"/>
        </w:trPr>
        <w:tc>
          <w:tcPr>
            <w:tcW w:w="395" w:type="dxa"/>
            <w:tcBorders>
              <w:top w:val="single" w:sz="2" w:space="0" w:color="000000"/>
              <w:left w:val="single" w:sz="2" w:space="0" w:color="000000"/>
              <w:bottom w:val="single" w:sz="2" w:space="0" w:color="000000"/>
              <w:right w:val="single" w:sz="2" w:space="0" w:color="000000"/>
            </w:tcBorders>
          </w:tcPr>
          <w:p w14:paraId="736928BA" w14:textId="77777777" w:rsidR="00053D93" w:rsidRDefault="00053D93"/>
        </w:tc>
        <w:tc>
          <w:tcPr>
            <w:tcW w:w="1732" w:type="dxa"/>
            <w:gridSpan w:val="2"/>
            <w:tcBorders>
              <w:top w:val="single" w:sz="2" w:space="0" w:color="000000"/>
              <w:left w:val="single" w:sz="2" w:space="0" w:color="000000"/>
              <w:bottom w:val="single" w:sz="2" w:space="0" w:color="000000"/>
              <w:right w:val="single" w:sz="2" w:space="0" w:color="000000"/>
            </w:tcBorders>
          </w:tcPr>
          <w:p w14:paraId="244C4E00" w14:textId="77777777" w:rsidR="00053D93" w:rsidRDefault="00053D93"/>
        </w:tc>
        <w:tc>
          <w:tcPr>
            <w:tcW w:w="1113" w:type="dxa"/>
            <w:tcBorders>
              <w:top w:val="single" w:sz="2" w:space="0" w:color="000000"/>
              <w:left w:val="single" w:sz="2" w:space="0" w:color="000000"/>
              <w:bottom w:val="single" w:sz="2" w:space="0" w:color="000000"/>
              <w:right w:val="single" w:sz="2" w:space="0" w:color="000000"/>
            </w:tcBorders>
          </w:tcPr>
          <w:p w14:paraId="1E59152B" w14:textId="77777777" w:rsidR="00053D93" w:rsidRDefault="00260B75">
            <w:pPr>
              <w:ind w:left="29"/>
            </w:pPr>
            <w:r>
              <w:rPr>
                <w:rFonts w:ascii="Times New Roman" w:eastAsia="Times New Roman" w:hAnsi="Times New Roman" w:cs="Times New Roman"/>
                <w:sz w:val="20"/>
              </w:rPr>
              <w:t>28/04/2021</w:t>
            </w:r>
          </w:p>
        </w:tc>
        <w:tc>
          <w:tcPr>
            <w:tcW w:w="979" w:type="dxa"/>
            <w:tcBorders>
              <w:top w:val="single" w:sz="2" w:space="0" w:color="000000"/>
              <w:left w:val="single" w:sz="2" w:space="0" w:color="000000"/>
              <w:bottom w:val="single" w:sz="2" w:space="0" w:color="000000"/>
              <w:right w:val="single" w:sz="2" w:space="0" w:color="000000"/>
            </w:tcBorders>
          </w:tcPr>
          <w:p w14:paraId="5A8DCAD1" w14:textId="77777777" w:rsidR="00053D93" w:rsidRDefault="00260B75">
            <w:pPr>
              <w:ind w:right="81"/>
              <w:jc w:val="center"/>
            </w:pPr>
            <w:r>
              <w:rPr>
                <w:rFonts w:ascii="Times New Roman" w:eastAsia="Times New Roman" w:hAnsi="Times New Roman" w:cs="Times New Roman"/>
                <w:sz w:val="20"/>
              </w:rPr>
              <w:t>2</w:t>
            </w:r>
          </w:p>
        </w:tc>
        <w:tc>
          <w:tcPr>
            <w:tcW w:w="1097" w:type="dxa"/>
            <w:tcBorders>
              <w:top w:val="single" w:sz="2" w:space="0" w:color="000000"/>
              <w:left w:val="single" w:sz="2" w:space="0" w:color="000000"/>
              <w:bottom w:val="single" w:sz="2" w:space="0" w:color="000000"/>
              <w:right w:val="single" w:sz="2" w:space="0" w:color="000000"/>
            </w:tcBorders>
          </w:tcPr>
          <w:p w14:paraId="0CAA969C" w14:textId="77777777" w:rsidR="00053D93" w:rsidRDefault="00260B75">
            <w:pPr>
              <w:ind w:left="53"/>
            </w:pPr>
            <w:r>
              <w:rPr>
                <w:sz w:val="20"/>
              </w:rPr>
              <w:t>001B67AO</w:t>
            </w:r>
          </w:p>
        </w:tc>
        <w:tc>
          <w:tcPr>
            <w:tcW w:w="2093" w:type="dxa"/>
            <w:tcBorders>
              <w:top w:val="single" w:sz="2" w:space="0" w:color="000000"/>
              <w:left w:val="single" w:sz="2" w:space="0" w:color="000000"/>
              <w:bottom w:val="single" w:sz="2" w:space="0" w:color="000000"/>
              <w:right w:val="single" w:sz="2" w:space="0" w:color="000000"/>
            </w:tcBorders>
          </w:tcPr>
          <w:p w14:paraId="07609A9E" w14:textId="77777777" w:rsidR="00053D93" w:rsidRDefault="00260B75">
            <w:pPr>
              <w:ind w:left="22"/>
            </w:pPr>
            <w:r>
              <w:rPr>
                <w:sz w:val="20"/>
              </w:rPr>
              <w:t>Amplificador pionner 2</w:t>
            </w:r>
          </w:p>
          <w:p w14:paraId="20185EDD" w14:textId="77777777" w:rsidR="00053D93" w:rsidRDefault="00260B75">
            <w:pPr>
              <w:spacing w:after="20"/>
              <w:ind w:right="98"/>
              <w:jc w:val="right"/>
            </w:pPr>
            <w:r>
              <w:rPr>
                <w:rFonts w:ascii="Times New Roman" w:eastAsia="Times New Roman" w:hAnsi="Times New Roman" w:cs="Times New Roman"/>
                <w:sz w:val="18"/>
              </w:rPr>
              <w:t>seri es</w:t>
            </w:r>
          </w:p>
          <w:p w14:paraId="61FC185A" w14:textId="77777777" w:rsidR="00053D93" w:rsidRDefault="00260B75">
            <w:pPr>
              <w:spacing w:line="230" w:lineRule="auto"/>
              <w:ind w:left="29"/>
            </w:pPr>
            <w:r>
              <w:rPr>
                <w:sz w:val="24"/>
              </w:rPr>
              <w:t>HFGE005798UC y HGGE006408UC,</w:t>
            </w:r>
          </w:p>
          <w:p w14:paraId="1F3F2D42" w14:textId="77777777" w:rsidR="00053D93" w:rsidRDefault="00260B75">
            <w:pPr>
              <w:ind w:left="22"/>
            </w:pPr>
            <w:r>
              <w:t>cada uno con valor de</w:t>
            </w:r>
          </w:p>
          <w:p w14:paraId="55B7FA6B" w14:textId="77777777" w:rsidR="00053D93" w:rsidRDefault="00260B75">
            <w:pPr>
              <w:ind w:left="22"/>
            </w:pPr>
            <w:r>
              <w:rPr>
                <w:rFonts w:ascii="Times New Roman" w:eastAsia="Times New Roman" w:hAnsi="Times New Roman" w:cs="Times New Roman"/>
                <w:sz w:val="16"/>
              </w:rPr>
              <w:t>Q.1 ,150.00</w:t>
            </w:r>
          </w:p>
        </w:tc>
        <w:tc>
          <w:tcPr>
            <w:tcW w:w="1051" w:type="dxa"/>
            <w:tcBorders>
              <w:top w:val="single" w:sz="2" w:space="0" w:color="000000"/>
              <w:left w:val="single" w:sz="2" w:space="0" w:color="000000"/>
              <w:bottom w:val="single" w:sz="2" w:space="0" w:color="000000"/>
              <w:right w:val="single" w:sz="2" w:space="0" w:color="000000"/>
            </w:tcBorders>
          </w:tcPr>
          <w:p w14:paraId="0E0EB29E" w14:textId="77777777" w:rsidR="00053D93" w:rsidRDefault="00260B75">
            <w:pPr>
              <w:ind w:left="85"/>
              <w:jc w:val="center"/>
            </w:pPr>
            <w:r>
              <w:t>2,300.oo</w:t>
            </w:r>
          </w:p>
        </w:tc>
      </w:tr>
      <w:tr w:rsidR="00053D93" w14:paraId="2CE0443C" w14:textId="77777777">
        <w:trPr>
          <w:trHeight w:val="530"/>
        </w:trPr>
        <w:tc>
          <w:tcPr>
            <w:tcW w:w="395" w:type="dxa"/>
            <w:tcBorders>
              <w:top w:val="single" w:sz="2" w:space="0" w:color="000000"/>
              <w:left w:val="single" w:sz="2" w:space="0" w:color="000000"/>
              <w:bottom w:val="single" w:sz="2" w:space="0" w:color="000000"/>
              <w:right w:val="single" w:sz="2" w:space="0" w:color="000000"/>
            </w:tcBorders>
          </w:tcPr>
          <w:p w14:paraId="0CE138D6" w14:textId="77777777" w:rsidR="00053D93" w:rsidRDefault="00260B75">
            <w:pPr>
              <w:ind w:left="104"/>
            </w:pPr>
            <w:r>
              <w:rPr>
                <w:rFonts w:ascii="Times New Roman" w:eastAsia="Times New Roman" w:hAnsi="Times New Roman" w:cs="Times New Roman"/>
              </w:rPr>
              <w:t>7</w:t>
            </w:r>
          </w:p>
        </w:tc>
        <w:tc>
          <w:tcPr>
            <w:tcW w:w="1732" w:type="dxa"/>
            <w:gridSpan w:val="2"/>
            <w:tcBorders>
              <w:top w:val="single" w:sz="2" w:space="0" w:color="000000"/>
              <w:left w:val="single" w:sz="2" w:space="0" w:color="000000"/>
              <w:bottom w:val="single" w:sz="2" w:space="0" w:color="000000"/>
              <w:right w:val="single" w:sz="2" w:space="0" w:color="000000"/>
            </w:tcBorders>
          </w:tcPr>
          <w:p w14:paraId="374E2D7A" w14:textId="77777777" w:rsidR="00053D93" w:rsidRDefault="00260B75">
            <w:pPr>
              <w:ind w:right="40"/>
              <w:jc w:val="center"/>
            </w:pPr>
            <w:r>
              <w:rPr>
                <w:rFonts w:ascii="Times New Roman" w:eastAsia="Times New Roman" w:hAnsi="Times New Roman" w:cs="Times New Roman"/>
              </w:rPr>
              <w:t>3698</w:t>
            </w:r>
          </w:p>
        </w:tc>
        <w:tc>
          <w:tcPr>
            <w:tcW w:w="1113" w:type="dxa"/>
            <w:tcBorders>
              <w:top w:val="single" w:sz="2" w:space="0" w:color="000000"/>
              <w:left w:val="single" w:sz="2" w:space="0" w:color="000000"/>
              <w:bottom w:val="single" w:sz="2" w:space="0" w:color="000000"/>
              <w:right w:val="single" w:sz="2" w:space="0" w:color="000000"/>
            </w:tcBorders>
          </w:tcPr>
          <w:p w14:paraId="4D3382F4" w14:textId="77777777" w:rsidR="00053D93" w:rsidRDefault="00260B75">
            <w:pPr>
              <w:ind w:left="14"/>
            </w:pPr>
            <w:r>
              <w:rPr>
                <w:rFonts w:ascii="Times New Roman" w:eastAsia="Times New Roman" w:hAnsi="Times New Roman" w:cs="Times New Roman"/>
                <w:sz w:val="20"/>
              </w:rPr>
              <w:t>28/04/2021</w:t>
            </w:r>
          </w:p>
        </w:tc>
        <w:tc>
          <w:tcPr>
            <w:tcW w:w="979" w:type="dxa"/>
            <w:tcBorders>
              <w:top w:val="single" w:sz="2" w:space="0" w:color="000000"/>
              <w:left w:val="single" w:sz="2" w:space="0" w:color="000000"/>
              <w:bottom w:val="single" w:sz="2" w:space="0" w:color="000000"/>
              <w:right w:val="single" w:sz="2" w:space="0" w:color="000000"/>
            </w:tcBorders>
          </w:tcPr>
          <w:p w14:paraId="4C33981E" w14:textId="77777777" w:rsidR="00053D93" w:rsidRDefault="00260B75">
            <w:pPr>
              <w:ind w:right="124"/>
              <w:jc w:val="center"/>
            </w:pPr>
            <w:r>
              <w:rPr>
                <w:rFonts w:ascii="Times New Roman" w:eastAsia="Times New Roman" w:hAnsi="Times New Roman" w:cs="Times New Roman"/>
              </w:rPr>
              <w:t>1</w:t>
            </w:r>
          </w:p>
        </w:tc>
        <w:tc>
          <w:tcPr>
            <w:tcW w:w="1097" w:type="dxa"/>
            <w:tcBorders>
              <w:top w:val="single" w:sz="2" w:space="0" w:color="000000"/>
              <w:left w:val="single" w:sz="2" w:space="0" w:color="000000"/>
              <w:bottom w:val="single" w:sz="2" w:space="0" w:color="000000"/>
              <w:right w:val="single" w:sz="2" w:space="0" w:color="000000"/>
            </w:tcBorders>
          </w:tcPr>
          <w:p w14:paraId="725F89B1" w14:textId="77777777" w:rsidR="00053D93" w:rsidRDefault="00260B75">
            <w:pPr>
              <w:ind w:left="39"/>
            </w:pPr>
            <w:r>
              <w:t>00153D6F</w:t>
            </w:r>
          </w:p>
        </w:tc>
        <w:tc>
          <w:tcPr>
            <w:tcW w:w="2093" w:type="dxa"/>
            <w:tcBorders>
              <w:top w:val="single" w:sz="2" w:space="0" w:color="000000"/>
              <w:left w:val="single" w:sz="2" w:space="0" w:color="000000"/>
              <w:bottom w:val="single" w:sz="2" w:space="0" w:color="000000"/>
              <w:right w:val="single" w:sz="2" w:space="0" w:color="000000"/>
            </w:tcBorders>
          </w:tcPr>
          <w:p w14:paraId="5632407D" w14:textId="77777777" w:rsidR="00053D93" w:rsidRDefault="00260B75">
            <w:pPr>
              <w:ind w:left="14"/>
            </w:pPr>
            <w:r>
              <w:t>VB amplificador de video</w:t>
            </w:r>
          </w:p>
        </w:tc>
        <w:tc>
          <w:tcPr>
            <w:tcW w:w="1051" w:type="dxa"/>
            <w:tcBorders>
              <w:top w:val="single" w:sz="2" w:space="0" w:color="000000"/>
              <w:left w:val="single" w:sz="2" w:space="0" w:color="000000"/>
              <w:bottom w:val="single" w:sz="2" w:space="0" w:color="000000"/>
              <w:right w:val="single" w:sz="2" w:space="0" w:color="000000"/>
            </w:tcBorders>
          </w:tcPr>
          <w:p w14:paraId="60E0D88B" w14:textId="77777777" w:rsidR="00053D93" w:rsidRDefault="00260B75">
            <w:pPr>
              <w:ind w:left="341"/>
            </w:pPr>
            <w:r>
              <w:rPr>
                <w:rFonts w:ascii="Times New Roman" w:eastAsia="Times New Roman" w:hAnsi="Times New Roman" w:cs="Times New Roman"/>
              </w:rPr>
              <w:t>809.00</w:t>
            </w:r>
          </w:p>
        </w:tc>
      </w:tr>
      <w:tr w:rsidR="00053D93" w14:paraId="4D54C99A" w14:textId="77777777">
        <w:trPr>
          <w:trHeight w:val="1299"/>
        </w:trPr>
        <w:tc>
          <w:tcPr>
            <w:tcW w:w="395" w:type="dxa"/>
            <w:tcBorders>
              <w:top w:val="single" w:sz="2" w:space="0" w:color="000000"/>
              <w:left w:val="single" w:sz="2" w:space="0" w:color="000000"/>
              <w:bottom w:val="single" w:sz="2" w:space="0" w:color="000000"/>
              <w:right w:val="single" w:sz="2" w:space="0" w:color="000000"/>
            </w:tcBorders>
          </w:tcPr>
          <w:p w14:paraId="32A66F50" w14:textId="77777777" w:rsidR="00053D93" w:rsidRDefault="00053D93"/>
        </w:tc>
        <w:tc>
          <w:tcPr>
            <w:tcW w:w="1732" w:type="dxa"/>
            <w:gridSpan w:val="2"/>
            <w:tcBorders>
              <w:top w:val="single" w:sz="2" w:space="0" w:color="000000"/>
              <w:left w:val="single" w:sz="2" w:space="0" w:color="000000"/>
              <w:bottom w:val="single" w:sz="2" w:space="0" w:color="000000"/>
              <w:right w:val="single" w:sz="2" w:space="0" w:color="000000"/>
            </w:tcBorders>
          </w:tcPr>
          <w:p w14:paraId="36092EC6" w14:textId="77777777" w:rsidR="00053D93" w:rsidRDefault="00260B75">
            <w:pPr>
              <w:ind w:right="47"/>
              <w:jc w:val="center"/>
            </w:pPr>
            <w:r>
              <w:rPr>
                <w:rFonts w:ascii="Times New Roman" w:eastAsia="Times New Roman" w:hAnsi="Times New Roman" w:cs="Times New Roman"/>
              </w:rPr>
              <w:t>3698</w:t>
            </w:r>
          </w:p>
        </w:tc>
        <w:tc>
          <w:tcPr>
            <w:tcW w:w="1113" w:type="dxa"/>
            <w:tcBorders>
              <w:top w:val="single" w:sz="2" w:space="0" w:color="000000"/>
              <w:left w:val="single" w:sz="2" w:space="0" w:color="000000"/>
              <w:bottom w:val="single" w:sz="2" w:space="0" w:color="000000"/>
              <w:right w:val="single" w:sz="2" w:space="0" w:color="000000"/>
            </w:tcBorders>
          </w:tcPr>
          <w:p w14:paraId="19542C30" w14:textId="77777777" w:rsidR="00053D93" w:rsidRDefault="00260B75">
            <w:pPr>
              <w:ind w:left="14"/>
            </w:pPr>
            <w:r>
              <w:rPr>
                <w:rFonts w:ascii="Times New Roman" w:eastAsia="Times New Roman" w:hAnsi="Times New Roman" w:cs="Times New Roman"/>
                <w:sz w:val="20"/>
              </w:rPr>
              <w:t>28/04/2021</w:t>
            </w:r>
          </w:p>
        </w:tc>
        <w:tc>
          <w:tcPr>
            <w:tcW w:w="979" w:type="dxa"/>
            <w:tcBorders>
              <w:top w:val="single" w:sz="2" w:space="0" w:color="000000"/>
              <w:left w:val="single" w:sz="2" w:space="0" w:color="000000"/>
              <w:bottom w:val="single" w:sz="2" w:space="0" w:color="000000"/>
              <w:right w:val="single" w:sz="2" w:space="0" w:color="000000"/>
            </w:tcBorders>
          </w:tcPr>
          <w:p w14:paraId="4D2FE123" w14:textId="77777777" w:rsidR="00053D93" w:rsidRDefault="00260B75">
            <w:pPr>
              <w:ind w:right="124"/>
              <w:jc w:val="center"/>
            </w:pPr>
            <w:r>
              <w:rPr>
                <w:rFonts w:ascii="Times New Roman" w:eastAsia="Times New Roman" w:hAnsi="Times New Roman" w:cs="Times New Roman"/>
              </w:rPr>
              <w:t>1</w:t>
            </w:r>
          </w:p>
        </w:tc>
        <w:tc>
          <w:tcPr>
            <w:tcW w:w="1097" w:type="dxa"/>
            <w:tcBorders>
              <w:top w:val="single" w:sz="2" w:space="0" w:color="000000"/>
              <w:left w:val="single" w:sz="2" w:space="0" w:color="000000"/>
              <w:bottom w:val="single" w:sz="2" w:space="0" w:color="000000"/>
              <w:right w:val="single" w:sz="2" w:space="0" w:color="000000"/>
            </w:tcBorders>
          </w:tcPr>
          <w:p w14:paraId="40DCE24B" w14:textId="77777777" w:rsidR="00053D93" w:rsidRDefault="00260B75">
            <w:pPr>
              <w:ind w:left="17"/>
            </w:pPr>
            <w:r>
              <w:rPr>
                <w:sz w:val="24"/>
              </w:rPr>
              <w:t>001 EE8AA</w:t>
            </w:r>
          </w:p>
        </w:tc>
        <w:tc>
          <w:tcPr>
            <w:tcW w:w="2093" w:type="dxa"/>
            <w:tcBorders>
              <w:top w:val="single" w:sz="2" w:space="0" w:color="000000"/>
              <w:left w:val="single" w:sz="2" w:space="0" w:color="000000"/>
              <w:bottom w:val="single" w:sz="2" w:space="0" w:color="000000"/>
              <w:right w:val="single" w:sz="2" w:space="0" w:color="000000"/>
            </w:tcBorders>
          </w:tcPr>
          <w:p w14:paraId="74E22445" w14:textId="77777777" w:rsidR="00053D93" w:rsidRDefault="00260B75">
            <w:pPr>
              <w:ind w:left="22"/>
            </w:pPr>
            <w:r>
              <w:rPr>
                <w:sz w:val="24"/>
              </w:rPr>
              <w:t>Equipo GPS con</w:t>
            </w:r>
          </w:p>
          <w:p w14:paraId="229660C8" w14:textId="77777777" w:rsidR="00053D93" w:rsidRDefault="00260B75">
            <w:pPr>
              <w:spacing w:line="228" w:lineRule="auto"/>
              <w:ind w:left="14" w:right="77" w:firstLine="7"/>
            </w:pPr>
            <w:r>
              <w:t>localización seguridad electrónica con</w:t>
            </w:r>
          </w:p>
          <w:p w14:paraId="7E0B99EA" w14:textId="77777777" w:rsidR="00053D93" w:rsidRDefault="00260B75">
            <w:pPr>
              <w:ind w:left="7"/>
            </w:pPr>
            <w:r>
              <w:t>AG-0710-1705</w:t>
            </w:r>
          </w:p>
        </w:tc>
        <w:tc>
          <w:tcPr>
            <w:tcW w:w="1051" w:type="dxa"/>
            <w:tcBorders>
              <w:top w:val="single" w:sz="2" w:space="0" w:color="000000"/>
              <w:left w:val="single" w:sz="2" w:space="0" w:color="000000"/>
              <w:bottom w:val="single" w:sz="2" w:space="0" w:color="000000"/>
              <w:right w:val="single" w:sz="2" w:space="0" w:color="000000"/>
            </w:tcBorders>
          </w:tcPr>
          <w:p w14:paraId="1E1CAE3B" w14:textId="77777777" w:rsidR="00053D93" w:rsidRDefault="00260B75">
            <w:pPr>
              <w:ind w:left="70"/>
              <w:jc w:val="center"/>
            </w:pPr>
            <w:r>
              <w:rPr>
                <w:rFonts w:ascii="Times New Roman" w:eastAsia="Times New Roman" w:hAnsi="Times New Roman" w:cs="Times New Roman"/>
              </w:rPr>
              <w:t>3, 193.00</w:t>
            </w:r>
          </w:p>
        </w:tc>
      </w:tr>
      <w:tr w:rsidR="00053D93" w14:paraId="68821FB5" w14:textId="77777777">
        <w:trPr>
          <w:trHeight w:val="329"/>
        </w:trPr>
        <w:tc>
          <w:tcPr>
            <w:tcW w:w="395" w:type="dxa"/>
            <w:vMerge w:val="restart"/>
            <w:tcBorders>
              <w:top w:val="single" w:sz="2" w:space="0" w:color="000000"/>
              <w:left w:val="single" w:sz="2" w:space="0" w:color="000000"/>
              <w:bottom w:val="nil"/>
              <w:right w:val="single" w:sz="2" w:space="0" w:color="000000"/>
            </w:tcBorders>
          </w:tcPr>
          <w:p w14:paraId="48C6ED50" w14:textId="77777777" w:rsidR="00053D93" w:rsidRDefault="00260B75">
            <w:pPr>
              <w:ind w:left="17"/>
            </w:pPr>
            <w:r>
              <w:rPr>
                <w:noProof/>
              </w:rPr>
              <w:drawing>
                <wp:inline distT="0" distB="0" distL="0" distR="0" wp14:anchorId="46552165" wp14:editId="4AEEF901">
                  <wp:extent cx="182880" cy="544068"/>
                  <wp:effectExtent l="0" t="0" r="0" b="0"/>
                  <wp:docPr id="2458513" name="Picture 2458513"/>
                  <wp:cNvGraphicFramePr/>
                  <a:graphic xmlns:a="http://schemas.openxmlformats.org/drawingml/2006/main">
                    <a:graphicData uri="http://schemas.openxmlformats.org/drawingml/2006/picture">
                      <pic:pic xmlns:pic="http://schemas.openxmlformats.org/drawingml/2006/picture">
                        <pic:nvPicPr>
                          <pic:cNvPr id="2458513" name="Picture 2458513"/>
                          <pic:cNvPicPr/>
                        </pic:nvPicPr>
                        <pic:blipFill>
                          <a:blip r:embed="rId946"/>
                          <a:stretch>
                            <a:fillRect/>
                          </a:stretch>
                        </pic:blipFill>
                        <pic:spPr>
                          <a:xfrm>
                            <a:off x="0" y="0"/>
                            <a:ext cx="182880" cy="544068"/>
                          </a:xfrm>
                          <a:prstGeom prst="rect">
                            <a:avLst/>
                          </a:prstGeom>
                        </pic:spPr>
                      </pic:pic>
                    </a:graphicData>
                  </a:graphic>
                </wp:inline>
              </w:drawing>
            </w:r>
          </w:p>
        </w:tc>
        <w:tc>
          <w:tcPr>
            <w:tcW w:w="1732" w:type="dxa"/>
            <w:gridSpan w:val="2"/>
            <w:tcBorders>
              <w:top w:val="single" w:sz="2" w:space="0" w:color="000000"/>
              <w:left w:val="single" w:sz="2" w:space="0" w:color="000000"/>
              <w:bottom w:val="nil"/>
              <w:right w:val="single" w:sz="2" w:space="0" w:color="000000"/>
            </w:tcBorders>
          </w:tcPr>
          <w:p w14:paraId="128B0423" w14:textId="77777777" w:rsidR="00053D93" w:rsidRDefault="00260B75">
            <w:pPr>
              <w:ind w:right="68"/>
              <w:jc w:val="center"/>
            </w:pPr>
            <w:r>
              <w:rPr>
                <w:rFonts w:ascii="Times New Roman" w:eastAsia="Times New Roman" w:hAnsi="Times New Roman" w:cs="Times New Roman"/>
              </w:rPr>
              <w:t>3698</w:t>
            </w:r>
          </w:p>
        </w:tc>
        <w:tc>
          <w:tcPr>
            <w:tcW w:w="1113" w:type="dxa"/>
            <w:tcBorders>
              <w:top w:val="single" w:sz="2" w:space="0" w:color="000000"/>
              <w:left w:val="single" w:sz="2" w:space="0" w:color="000000"/>
              <w:bottom w:val="single" w:sz="2" w:space="0" w:color="000000"/>
              <w:right w:val="single" w:sz="2" w:space="0" w:color="000000"/>
            </w:tcBorders>
          </w:tcPr>
          <w:p w14:paraId="7A2A5FAB" w14:textId="77777777" w:rsidR="00053D93" w:rsidRDefault="00260B75">
            <w:r>
              <w:rPr>
                <w:rFonts w:ascii="Times New Roman" w:eastAsia="Times New Roman" w:hAnsi="Times New Roman" w:cs="Times New Roman"/>
                <w:sz w:val="18"/>
              </w:rPr>
              <w:t>2810412021</w:t>
            </w:r>
          </w:p>
        </w:tc>
        <w:tc>
          <w:tcPr>
            <w:tcW w:w="979" w:type="dxa"/>
            <w:tcBorders>
              <w:top w:val="single" w:sz="2" w:space="0" w:color="000000"/>
              <w:left w:val="single" w:sz="2" w:space="0" w:color="000000"/>
              <w:bottom w:val="single" w:sz="2" w:space="0" w:color="000000"/>
              <w:right w:val="single" w:sz="2" w:space="0" w:color="000000"/>
            </w:tcBorders>
          </w:tcPr>
          <w:p w14:paraId="46A522B9" w14:textId="77777777" w:rsidR="00053D93" w:rsidRDefault="00260B75">
            <w:pPr>
              <w:ind w:right="124"/>
              <w:jc w:val="center"/>
            </w:pPr>
            <w:r>
              <w:rPr>
                <w:rFonts w:ascii="Times New Roman" w:eastAsia="Times New Roman" w:hAnsi="Times New Roman" w:cs="Times New Roman"/>
              </w:rPr>
              <w:t>8</w:t>
            </w:r>
          </w:p>
        </w:tc>
        <w:tc>
          <w:tcPr>
            <w:tcW w:w="1097" w:type="dxa"/>
            <w:tcBorders>
              <w:top w:val="single" w:sz="2" w:space="0" w:color="000000"/>
              <w:left w:val="single" w:sz="2" w:space="0" w:color="000000"/>
              <w:bottom w:val="single" w:sz="2" w:space="0" w:color="000000"/>
              <w:right w:val="single" w:sz="2" w:space="0" w:color="000000"/>
            </w:tcBorders>
          </w:tcPr>
          <w:p w14:paraId="4831F9EF" w14:textId="77777777" w:rsidR="00053D93" w:rsidRDefault="00260B75">
            <w:pPr>
              <w:ind w:left="3"/>
            </w:pPr>
            <w:r>
              <w:t>001B678E</w:t>
            </w:r>
          </w:p>
        </w:tc>
        <w:tc>
          <w:tcPr>
            <w:tcW w:w="2093" w:type="dxa"/>
            <w:tcBorders>
              <w:top w:val="single" w:sz="2" w:space="0" w:color="000000"/>
              <w:left w:val="single" w:sz="2" w:space="0" w:color="000000"/>
              <w:bottom w:val="single" w:sz="2" w:space="0" w:color="000000"/>
              <w:right w:val="single" w:sz="2" w:space="0" w:color="000000"/>
            </w:tcBorders>
          </w:tcPr>
          <w:p w14:paraId="404E20CA" w14:textId="77777777" w:rsidR="00053D93" w:rsidRDefault="00260B75">
            <w:pPr>
              <w:tabs>
                <w:tab w:val="center" w:pos="1166"/>
                <w:tab w:val="right" w:pos="2049"/>
              </w:tabs>
            </w:pPr>
            <w:r>
              <w:rPr>
                <w:sz w:val="24"/>
              </w:rPr>
              <w:t>Bocinas</w:t>
            </w:r>
            <w:r>
              <w:rPr>
                <w:sz w:val="24"/>
              </w:rPr>
              <w:tab/>
            </w:r>
            <w:r>
              <w:rPr>
                <w:rFonts w:ascii="Times New Roman" w:eastAsia="Times New Roman" w:hAnsi="Times New Roman" w:cs="Times New Roman"/>
                <w:sz w:val="24"/>
              </w:rPr>
              <w:t>1 0</w:t>
            </w:r>
            <w:r>
              <w:rPr>
                <w:rFonts w:ascii="Times New Roman" w:eastAsia="Times New Roman" w:hAnsi="Times New Roman" w:cs="Times New Roman"/>
                <w:sz w:val="24"/>
              </w:rPr>
              <w:tab/>
              <w:t>cms</w:t>
            </w:r>
          </w:p>
        </w:tc>
        <w:tc>
          <w:tcPr>
            <w:tcW w:w="1051" w:type="dxa"/>
            <w:tcBorders>
              <w:top w:val="single" w:sz="2" w:space="0" w:color="000000"/>
              <w:left w:val="single" w:sz="2" w:space="0" w:color="000000"/>
              <w:bottom w:val="single" w:sz="2" w:space="0" w:color="000000"/>
              <w:right w:val="single" w:sz="2" w:space="0" w:color="000000"/>
            </w:tcBorders>
          </w:tcPr>
          <w:p w14:paraId="104CAC7E" w14:textId="77777777" w:rsidR="00053D93" w:rsidRDefault="00260B75">
            <w:pPr>
              <w:ind w:left="49"/>
              <w:jc w:val="center"/>
            </w:pPr>
            <w:r>
              <w:t>2,600.oo</w:t>
            </w:r>
          </w:p>
        </w:tc>
      </w:tr>
      <w:tr w:rsidR="00053D93" w14:paraId="06BFB5D2" w14:textId="77777777">
        <w:trPr>
          <w:trHeight w:val="572"/>
        </w:trPr>
        <w:tc>
          <w:tcPr>
            <w:tcW w:w="0" w:type="auto"/>
            <w:vMerge/>
            <w:tcBorders>
              <w:top w:val="nil"/>
              <w:left w:val="single" w:sz="2" w:space="0" w:color="000000"/>
              <w:bottom w:val="nil"/>
              <w:right w:val="single" w:sz="2" w:space="0" w:color="000000"/>
            </w:tcBorders>
          </w:tcPr>
          <w:p w14:paraId="63075CF6" w14:textId="77777777" w:rsidR="00053D93" w:rsidRDefault="00053D93"/>
        </w:tc>
        <w:tc>
          <w:tcPr>
            <w:tcW w:w="292" w:type="dxa"/>
            <w:tcBorders>
              <w:top w:val="nil"/>
              <w:left w:val="single" w:sz="2" w:space="0" w:color="000000"/>
              <w:bottom w:val="nil"/>
              <w:right w:val="single" w:sz="2" w:space="0" w:color="000000"/>
            </w:tcBorders>
          </w:tcPr>
          <w:p w14:paraId="2C862D06" w14:textId="77777777" w:rsidR="00053D93" w:rsidRDefault="00053D93"/>
        </w:tc>
        <w:tc>
          <w:tcPr>
            <w:tcW w:w="6721" w:type="dxa"/>
            <w:gridSpan w:val="5"/>
            <w:tcBorders>
              <w:top w:val="single" w:sz="2" w:space="0" w:color="000000"/>
              <w:left w:val="single" w:sz="2" w:space="0" w:color="000000"/>
              <w:bottom w:val="nil"/>
              <w:right w:val="nil"/>
            </w:tcBorders>
          </w:tcPr>
          <w:p w14:paraId="327A08FC" w14:textId="77777777" w:rsidR="00053D93" w:rsidRDefault="00260B75">
            <w:pPr>
              <w:ind w:left="211"/>
              <w:jc w:val="center"/>
            </w:pPr>
            <w:r>
              <w:rPr>
                <w:sz w:val="14"/>
              </w:rPr>
              <w:t>MINISTERIO DE EDUCACION</w:t>
            </w:r>
          </w:p>
          <w:p w14:paraId="0EB7822B" w14:textId="77777777" w:rsidR="00053D93" w:rsidRDefault="00260B75">
            <w:pPr>
              <w:ind w:left="203"/>
              <w:jc w:val="center"/>
            </w:pPr>
            <w:r>
              <w:rPr>
                <w:sz w:val="14"/>
              </w:rPr>
              <w:t>AUDITORIA FINANCIERA Y DE CUMPLIMIENTO</w:t>
            </w:r>
          </w:p>
          <w:p w14:paraId="31095E33" w14:textId="77777777" w:rsidR="00053D93" w:rsidRDefault="00260B75">
            <w:pPr>
              <w:ind w:left="203"/>
              <w:jc w:val="center"/>
            </w:pPr>
            <w:r>
              <w:rPr>
                <w:sz w:val="14"/>
              </w:rPr>
              <w:t>PERIODO DEL 01 OE ENERO AL 31 DE DICIEMBRE DE 2024</w:t>
            </w:r>
          </w:p>
        </w:tc>
        <w:tc>
          <w:tcPr>
            <w:tcW w:w="1051" w:type="dxa"/>
            <w:tcBorders>
              <w:top w:val="single" w:sz="2" w:space="0" w:color="000000"/>
              <w:left w:val="nil"/>
              <w:bottom w:val="nil"/>
              <w:right w:val="nil"/>
            </w:tcBorders>
          </w:tcPr>
          <w:p w14:paraId="4F6F954E" w14:textId="77777777" w:rsidR="00053D93" w:rsidRDefault="00053D93"/>
        </w:tc>
      </w:tr>
    </w:tbl>
    <w:p w14:paraId="03AEDCA9" w14:textId="77777777" w:rsidR="00053D93" w:rsidRDefault="00260B75">
      <w:pPr>
        <w:spacing w:after="17" w:line="247" w:lineRule="auto"/>
        <w:ind w:left="4298" w:right="14" w:firstLine="4"/>
        <w:jc w:val="both"/>
      </w:pPr>
      <w:r>
        <w:rPr>
          <w:noProof/>
        </w:rPr>
        <w:drawing>
          <wp:anchor distT="0" distB="0" distL="114300" distR="114300" simplePos="0" relativeHeight="252055552" behindDoc="0" locked="0" layoutInCell="1" allowOverlap="0" wp14:anchorId="4CD388FC" wp14:editId="6A3AFB6B">
            <wp:simplePos x="0" y="0"/>
            <wp:positionH relativeFrom="column">
              <wp:posOffset>475488</wp:posOffset>
            </wp:positionH>
            <wp:positionV relativeFrom="paragraph">
              <wp:posOffset>7969784</wp:posOffset>
            </wp:positionV>
            <wp:extent cx="649224" cy="406908"/>
            <wp:effectExtent l="0" t="0" r="0" b="0"/>
            <wp:wrapSquare wrapText="bothSides"/>
            <wp:docPr id="637698" name="Picture 637698"/>
            <wp:cNvGraphicFramePr/>
            <a:graphic xmlns:a="http://schemas.openxmlformats.org/drawingml/2006/main">
              <a:graphicData uri="http://schemas.openxmlformats.org/drawingml/2006/picture">
                <pic:pic xmlns:pic="http://schemas.openxmlformats.org/drawingml/2006/picture">
                  <pic:nvPicPr>
                    <pic:cNvPr id="637698" name="Picture 637698"/>
                    <pic:cNvPicPr/>
                  </pic:nvPicPr>
                  <pic:blipFill>
                    <a:blip r:embed="rId947"/>
                    <a:stretch>
                      <a:fillRect/>
                    </a:stretch>
                  </pic:blipFill>
                  <pic:spPr>
                    <a:xfrm>
                      <a:off x="0" y="0"/>
                      <a:ext cx="649224" cy="406908"/>
                    </a:xfrm>
                    <a:prstGeom prst="rect">
                      <a:avLst/>
                    </a:prstGeom>
                  </pic:spPr>
                </pic:pic>
              </a:graphicData>
            </a:graphic>
          </wp:anchor>
        </w:drawing>
      </w:r>
      <w:r>
        <w:rPr>
          <w:sz w:val="26"/>
        </w:rPr>
        <w:t>(Cifras Expresadas en Quetzales)</w:t>
      </w:r>
      <w:r>
        <w:br w:type="page"/>
      </w:r>
    </w:p>
    <w:tbl>
      <w:tblPr>
        <w:tblStyle w:val="TableGrid"/>
        <w:tblW w:w="8472" w:type="dxa"/>
        <w:tblInd w:w="1742" w:type="dxa"/>
        <w:tblCellMar>
          <w:left w:w="60" w:type="dxa"/>
          <w:bottom w:w="4" w:type="dxa"/>
          <w:right w:w="26" w:type="dxa"/>
        </w:tblCellMar>
        <w:tblLook w:val="04A0" w:firstRow="1" w:lastRow="0" w:firstColumn="1" w:lastColumn="0" w:noHBand="0" w:noVBand="1"/>
      </w:tblPr>
      <w:tblGrid>
        <w:gridCol w:w="461"/>
        <w:gridCol w:w="1685"/>
        <w:gridCol w:w="1106"/>
        <w:gridCol w:w="972"/>
        <w:gridCol w:w="1109"/>
        <w:gridCol w:w="2088"/>
        <w:gridCol w:w="1051"/>
      </w:tblGrid>
      <w:tr w:rsidR="00053D93" w14:paraId="181EC820" w14:textId="77777777">
        <w:trPr>
          <w:trHeight w:val="1822"/>
        </w:trPr>
        <w:tc>
          <w:tcPr>
            <w:tcW w:w="461" w:type="dxa"/>
            <w:tcBorders>
              <w:top w:val="single" w:sz="2" w:space="0" w:color="000000"/>
              <w:left w:val="single" w:sz="2" w:space="0" w:color="000000"/>
              <w:bottom w:val="single" w:sz="2" w:space="0" w:color="000000"/>
              <w:right w:val="single" w:sz="2" w:space="0" w:color="000000"/>
            </w:tcBorders>
          </w:tcPr>
          <w:p w14:paraId="6653E8AE" w14:textId="77777777" w:rsidR="00053D93" w:rsidRDefault="00053D93"/>
        </w:tc>
        <w:tc>
          <w:tcPr>
            <w:tcW w:w="1685" w:type="dxa"/>
            <w:tcBorders>
              <w:top w:val="single" w:sz="2" w:space="0" w:color="000000"/>
              <w:left w:val="single" w:sz="2" w:space="0" w:color="000000"/>
              <w:bottom w:val="single" w:sz="2" w:space="0" w:color="000000"/>
              <w:right w:val="single" w:sz="2" w:space="0" w:color="000000"/>
            </w:tcBorders>
          </w:tcPr>
          <w:p w14:paraId="3C123846" w14:textId="77777777" w:rsidR="00053D93" w:rsidRDefault="00053D93"/>
        </w:tc>
        <w:tc>
          <w:tcPr>
            <w:tcW w:w="1106" w:type="dxa"/>
            <w:tcBorders>
              <w:top w:val="single" w:sz="2" w:space="0" w:color="000000"/>
              <w:left w:val="single" w:sz="2" w:space="0" w:color="000000"/>
              <w:bottom w:val="single" w:sz="2" w:space="0" w:color="000000"/>
              <w:right w:val="single" w:sz="2" w:space="0" w:color="000000"/>
            </w:tcBorders>
          </w:tcPr>
          <w:p w14:paraId="22059FD6" w14:textId="77777777" w:rsidR="00053D93" w:rsidRDefault="00053D93"/>
        </w:tc>
        <w:tc>
          <w:tcPr>
            <w:tcW w:w="972" w:type="dxa"/>
            <w:tcBorders>
              <w:top w:val="single" w:sz="2" w:space="0" w:color="000000"/>
              <w:left w:val="single" w:sz="2" w:space="0" w:color="000000"/>
              <w:bottom w:val="single" w:sz="2" w:space="0" w:color="000000"/>
              <w:right w:val="single" w:sz="2" w:space="0" w:color="000000"/>
            </w:tcBorders>
          </w:tcPr>
          <w:p w14:paraId="4CD19661" w14:textId="77777777" w:rsidR="00053D93" w:rsidRDefault="00053D93"/>
        </w:tc>
        <w:tc>
          <w:tcPr>
            <w:tcW w:w="1109" w:type="dxa"/>
            <w:tcBorders>
              <w:top w:val="single" w:sz="2" w:space="0" w:color="000000"/>
              <w:left w:val="single" w:sz="2" w:space="0" w:color="000000"/>
              <w:bottom w:val="single" w:sz="2" w:space="0" w:color="000000"/>
              <w:right w:val="single" w:sz="2" w:space="0" w:color="000000"/>
            </w:tcBorders>
            <w:vAlign w:val="bottom"/>
          </w:tcPr>
          <w:p w14:paraId="1F82E593" w14:textId="77777777" w:rsidR="00053D93" w:rsidRDefault="00260B75">
            <w:pPr>
              <w:spacing w:after="108"/>
            </w:pPr>
            <w:r>
              <w:rPr>
                <w:noProof/>
              </w:rPr>
              <w:drawing>
                <wp:inline distT="0" distB="0" distL="0" distR="0" wp14:anchorId="73CC29D6" wp14:editId="7A6DDB25">
                  <wp:extent cx="649224" cy="274320"/>
                  <wp:effectExtent l="0" t="0" r="0" b="0"/>
                  <wp:docPr id="642051" name="Picture 642051"/>
                  <wp:cNvGraphicFramePr/>
                  <a:graphic xmlns:a="http://schemas.openxmlformats.org/drawingml/2006/main">
                    <a:graphicData uri="http://schemas.openxmlformats.org/drawingml/2006/picture">
                      <pic:pic xmlns:pic="http://schemas.openxmlformats.org/drawingml/2006/picture">
                        <pic:nvPicPr>
                          <pic:cNvPr id="642051" name="Picture 642051"/>
                          <pic:cNvPicPr/>
                        </pic:nvPicPr>
                        <pic:blipFill>
                          <a:blip r:embed="rId948"/>
                          <a:stretch>
                            <a:fillRect/>
                          </a:stretch>
                        </pic:blipFill>
                        <pic:spPr>
                          <a:xfrm>
                            <a:off x="0" y="0"/>
                            <a:ext cx="649224" cy="274320"/>
                          </a:xfrm>
                          <a:prstGeom prst="rect">
                            <a:avLst/>
                          </a:prstGeom>
                        </pic:spPr>
                      </pic:pic>
                    </a:graphicData>
                  </a:graphic>
                </wp:inline>
              </w:drawing>
            </w:r>
          </w:p>
          <w:p w14:paraId="7BAE062D" w14:textId="77777777" w:rsidR="00053D93" w:rsidRDefault="00260B75">
            <w:pPr>
              <w:ind w:left="43"/>
            </w:pPr>
            <w:r>
              <w:rPr>
                <w:rFonts w:ascii="Times New Roman" w:eastAsia="Times New Roman" w:hAnsi="Times New Roman" w:cs="Times New Roman"/>
              </w:rPr>
              <w:t>00186793</w:t>
            </w:r>
          </w:p>
          <w:p w14:paraId="5E2FDB04" w14:textId="77777777" w:rsidR="00053D93" w:rsidRDefault="00260B75">
            <w:pPr>
              <w:ind w:left="43"/>
            </w:pPr>
            <w:r>
              <w:rPr>
                <w:rFonts w:ascii="Times New Roman" w:eastAsia="Times New Roman" w:hAnsi="Times New Roman" w:cs="Times New Roman"/>
              </w:rPr>
              <w:t>00186794</w:t>
            </w:r>
          </w:p>
          <w:p w14:paraId="6CF20D3B" w14:textId="77777777" w:rsidR="00053D93" w:rsidRDefault="00260B75">
            <w:pPr>
              <w:ind w:left="43"/>
            </w:pPr>
            <w:r>
              <w:rPr>
                <w:rFonts w:ascii="Times New Roman" w:eastAsia="Times New Roman" w:hAnsi="Times New Roman" w:cs="Times New Roman"/>
              </w:rPr>
              <w:t>00186795</w:t>
            </w:r>
          </w:p>
          <w:p w14:paraId="1CF2760A" w14:textId="77777777" w:rsidR="00053D93" w:rsidRDefault="00260B75">
            <w:pPr>
              <w:ind w:left="43"/>
            </w:pPr>
            <w:r>
              <w:rPr>
                <w:rFonts w:ascii="Times New Roman" w:eastAsia="Times New Roman" w:hAnsi="Times New Roman" w:cs="Times New Roman"/>
              </w:rPr>
              <w:t>00186796</w:t>
            </w:r>
          </w:p>
          <w:p w14:paraId="1CA71CCD" w14:textId="77777777" w:rsidR="00053D93" w:rsidRDefault="00260B75">
            <w:pPr>
              <w:ind w:left="65"/>
            </w:pPr>
            <w:r>
              <w:rPr>
                <w:rFonts w:ascii="Times New Roman" w:eastAsia="Times New Roman" w:hAnsi="Times New Roman" w:cs="Times New Roman"/>
              </w:rPr>
              <w:t>00186797</w:t>
            </w:r>
          </w:p>
        </w:tc>
        <w:tc>
          <w:tcPr>
            <w:tcW w:w="2088" w:type="dxa"/>
            <w:tcBorders>
              <w:top w:val="single" w:sz="2" w:space="0" w:color="000000"/>
              <w:left w:val="single" w:sz="2" w:space="0" w:color="000000"/>
              <w:bottom w:val="single" w:sz="2" w:space="0" w:color="000000"/>
              <w:right w:val="single" w:sz="2" w:space="0" w:color="000000"/>
            </w:tcBorders>
          </w:tcPr>
          <w:p w14:paraId="52089CAB" w14:textId="77777777" w:rsidR="00053D93" w:rsidRDefault="00260B75">
            <w:pPr>
              <w:spacing w:after="7" w:line="233" w:lineRule="auto"/>
              <w:ind w:left="36"/>
              <w:jc w:val="both"/>
            </w:pPr>
            <w:r>
              <w:t>piohner 1 I OW,- cada una con valor de Q.</w:t>
            </w:r>
          </w:p>
          <w:p w14:paraId="2F6F2ECE" w14:textId="77777777" w:rsidR="00053D93" w:rsidRDefault="00260B75">
            <w:pPr>
              <w:ind w:left="36"/>
            </w:pPr>
            <w:r>
              <w:rPr>
                <w:rFonts w:ascii="Times New Roman" w:eastAsia="Times New Roman" w:hAnsi="Times New Roman" w:cs="Times New Roman"/>
              </w:rPr>
              <w:t>325.00</w:t>
            </w:r>
          </w:p>
        </w:tc>
        <w:tc>
          <w:tcPr>
            <w:tcW w:w="1051" w:type="dxa"/>
            <w:tcBorders>
              <w:top w:val="single" w:sz="2" w:space="0" w:color="000000"/>
              <w:left w:val="single" w:sz="2" w:space="0" w:color="000000"/>
              <w:bottom w:val="single" w:sz="2" w:space="0" w:color="000000"/>
              <w:right w:val="single" w:sz="2" w:space="0" w:color="000000"/>
            </w:tcBorders>
          </w:tcPr>
          <w:p w14:paraId="576350C7" w14:textId="77777777" w:rsidR="00053D93" w:rsidRDefault="00053D93"/>
        </w:tc>
      </w:tr>
      <w:tr w:rsidR="00053D93" w14:paraId="63DDD190" w14:textId="77777777">
        <w:trPr>
          <w:trHeight w:val="1044"/>
        </w:trPr>
        <w:tc>
          <w:tcPr>
            <w:tcW w:w="461" w:type="dxa"/>
            <w:tcBorders>
              <w:top w:val="single" w:sz="2" w:space="0" w:color="000000"/>
              <w:left w:val="single" w:sz="2" w:space="0" w:color="000000"/>
              <w:bottom w:val="single" w:sz="2" w:space="0" w:color="000000"/>
              <w:right w:val="single" w:sz="2" w:space="0" w:color="000000"/>
            </w:tcBorders>
          </w:tcPr>
          <w:p w14:paraId="6FF02154" w14:textId="77777777" w:rsidR="00053D93" w:rsidRDefault="00053D93"/>
        </w:tc>
        <w:tc>
          <w:tcPr>
            <w:tcW w:w="1685" w:type="dxa"/>
            <w:tcBorders>
              <w:top w:val="single" w:sz="2" w:space="0" w:color="000000"/>
              <w:left w:val="single" w:sz="2" w:space="0" w:color="000000"/>
              <w:bottom w:val="single" w:sz="2" w:space="0" w:color="000000"/>
              <w:right w:val="single" w:sz="2" w:space="0" w:color="000000"/>
            </w:tcBorders>
          </w:tcPr>
          <w:p w14:paraId="6A3B8C13" w14:textId="77777777" w:rsidR="00053D93" w:rsidRDefault="00053D93"/>
        </w:tc>
        <w:tc>
          <w:tcPr>
            <w:tcW w:w="1106" w:type="dxa"/>
            <w:tcBorders>
              <w:top w:val="single" w:sz="2" w:space="0" w:color="000000"/>
              <w:left w:val="single" w:sz="2" w:space="0" w:color="000000"/>
              <w:bottom w:val="single" w:sz="2" w:space="0" w:color="000000"/>
              <w:right w:val="single" w:sz="2" w:space="0" w:color="000000"/>
            </w:tcBorders>
          </w:tcPr>
          <w:p w14:paraId="097998C9" w14:textId="77777777" w:rsidR="00053D93" w:rsidRDefault="00260B75">
            <w:pPr>
              <w:ind w:left="26"/>
            </w:pPr>
            <w:r>
              <w:rPr>
                <w:rFonts w:ascii="Times New Roman" w:eastAsia="Times New Roman" w:hAnsi="Times New Roman" w:cs="Times New Roman"/>
                <w:sz w:val="18"/>
              </w:rPr>
              <w:t>2810412021</w:t>
            </w:r>
          </w:p>
        </w:tc>
        <w:tc>
          <w:tcPr>
            <w:tcW w:w="972" w:type="dxa"/>
            <w:tcBorders>
              <w:top w:val="single" w:sz="2" w:space="0" w:color="000000"/>
              <w:left w:val="single" w:sz="2" w:space="0" w:color="000000"/>
              <w:bottom w:val="single" w:sz="2" w:space="0" w:color="000000"/>
              <w:right w:val="single" w:sz="2" w:space="0" w:color="000000"/>
            </w:tcBorders>
          </w:tcPr>
          <w:p w14:paraId="18E70F5E" w14:textId="77777777" w:rsidR="00053D93" w:rsidRDefault="00260B75">
            <w:pPr>
              <w:ind w:right="58"/>
              <w:jc w:val="center"/>
            </w:pPr>
            <w:r>
              <w:rPr>
                <w:rFonts w:ascii="Times New Roman" w:eastAsia="Times New Roman" w:hAnsi="Times New Roman" w:cs="Times New Roman"/>
                <w:sz w:val="20"/>
              </w:rPr>
              <w:t>4</w:t>
            </w:r>
          </w:p>
        </w:tc>
        <w:tc>
          <w:tcPr>
            <w:tcW w:w="1109" w:type="dxa"/>
            <w:tcBorders>
              <w:top w:val="single" w:sz="2" w:space="0" w:color="000000"/>
              <w:left w:val="single" w:sz="2" w:space="0" w:color="000000"/>
              <w:bottom w:val="single" w:sz="2" w:space="0" w:color="000000"/>
              <w:right w:val="single" w:sz="2" w:space="0" w:color="000000"/>
            </w:tcBorders>
          </w:tcPr>
          <w:p w14:paraId="73455366" w14:textId="77777777" w:rsidR="00053D93" w:rsidRDefault="00260B75">
            <w:pPr>
              <w:spacing w:after="12" w:line="244" w:lineRule="auto"/>
              <w:ind w:left="29" w:firstLine="14"/>
            </w:pPr>
            <w:r>
              <w:rPr>
                <w:rFonts w:ascii="Times New Roman" w:eastAsia="Times New Roman" w:hAnsi="Times New Roman" w:cs="Times New Roman"/>
              </w:rPr>
              <w:t xml:space="preserve">00186799 </w:t>
            </w:r>
            <w:r>
              <w:t>001 B679A</w:t>
            </w:r>
          </w:p>
          <w:p w14:paraId="459D707B" w14:textId="77777777" w:rsidR="00053D93" w:rsidRDefault="00260B75">
            <w:pPr>
              <w:ind w:left="353"/>
            </w:pPr>
            <w:r>
              <w:t>B679B</w:t>
            </w:r>
          </w:p>
          <w:p w14:paraId="43F10569" w14:textId="77777777" w:rsidR="00053D93" w:rsidRDefault="00260B75">
            <w:pPr>
              <w:ind w:left="43"/>
            </w:pPr>
            <w:r>
              <w:rPr>
                <w:rFonts w:ascii="Times New Roman" w:eastAsia="Times New Roman" w:hAnsi="Times New Roman" w:cs="Times New Roman"/>
                <w:sz w:val="20"/>
              </w:rPr>
              <w:t>0018679C</w:t>
            </w:r>
          </w:p>
        </w:tc>
        <w:tc>
          <w:tcPr>
            <w:tcW w:w="2088" w:type="dxa"/>
            <w:tcBorders>
              <w:top w:val="single" w:sz="2" w:space="0" w:color="000000"/>
              <w:left w:val="single" w:sz="2" w:space="0" w:color="000000"/>
              <w:bottom w:val="single" w:sz="2" w:space="0" w:color="000000"/>
              <w:right w:val="single" w:sz="2" w:space="0" w:color="000000"/>
            </w:tcBorders>
          </w:tcPr>
          <w:p w14:paraId="1069681C" w14:textId="77777777" w:rsidR="00053D93" w:rsidRDefault="00260B75">
            <w:pPr>
              <w:spacing w:after="3" w:line="241" w:lineRule="auto"/>
              <w:ind w:left="29" w:right="65"/>
              <w:jc w:val="both"/>
            </w:pPr>
            <w:r>
              <w:t xml:space="preserve">Bocinas </w:t>
            </w:r>
            <w:r>
              <w:rPr>
                <w:rFonts w:ascii="Times New Roman" w:eastAsia="Times New Roman" w:hAnsi="Times New Roman" w:cs="Times New Roman"/>
              </w:rPr>
              <w:t xml:space="preserve">10 cms </w:t>
            </w:r>
            <w:r>
              <w:t>pionner 1 IOW, cada una con valor de Q.</w:t>
            </w:r>
          </w:p>
          <w:p w14:paraId="36CBC148" w14:textId="77777777" w:rsidR="00053D93" w:rsidRDefault="00260B75">
            <w:pPr>
              <w:ind w:left="22"/>
            </w:pPr>
            <w:r>
              <w:rPr>
                <w:rFonts w:ascii="Times New Roman" w:eastAsia="Times New Roman" w:hAnsi="Times New Roman" w:cs="Times New Roman"/>
              </w:rPr>
              <w:t>325.00</w:t>
            </w:r>
          </w:p>
        </w:tc>
        <w:tc>
          <w:tcPr>
            <w:tcW w:w="1051" w:type="dxa"/>
            <w:tcBorders>
              <w:top w:val="single" w:sz="2" w:space="0" w:color="000000"/>
              <w:left w:val="single" w:sz="2" w:space="0" w:color="000000"/>
              <w:bottom w:val="single" w:sz="2" w:space="0" w:color="000000"/>
              <w:right w:val="single" w:sz="2" w:space="0" w:color="000000"/>
            </w:tcBorders>
          </w:tcPr>
          <w:p w14:paraId="41C2A918" w14:textId="77777777" w:rsidR="00053D93" w:rsidRDefault="00260B75">
            <w:pPr>
              <w:ind w:left="180"/>
            </w:pPr>
            <w:r>
              <w:rPr>
                <w:sz w:val="20"/>
              </w:rPr>
              <w:t>1 ,300.oo</w:t>
            </w:r>
          </w:p>
        </w:tc>
      </w:tr>
      <w:tr w:rsidR="00053D93" w14:paraId="00B4C780" w14:textId="77777777">
        <w:trPr>
          <w:trHeight w:val="792"/>
        </w:trPr>
        <w:tc>
          <w:tcPr>
            <w:tcW w:w="461" w:type="dxa"/>
            <w:tcBorders>
              <w:top w:val="single" w:sz="2" w:space="0" w:color="000000"/>
              <w:left w:val="single" w:sz="2" w:space="0" w:color="000000"/>
              <w:bottom w:val="single" w:sz="2" w:space="0" w:color="000000"/>
              <w:right w:val="single" w:sz="2" w:space="0" w:color="000000"/>
            </w:tcBorders>
          </w:tcPr>
          <w:p w14:paraId="4FBD64F7" w14:textId="77777777" w:rsidR="00053D93" w:rsidRDefault="00260B75">
            <w:pPr>
              <w:ind w:right="63"/>
              <w:jc w:val="center"/>
            </w:pPr>
            <w:r>
              <w:rPr>
                <w:rFonts w:ascii="Times New Roman" w:eastAsia="Times New Roman" w:hAnsi="Times New Roman" w:cs="Times New Roman"/>
                <w:sz w:val="20"/>
              </w:rPr>
              <w:t>11</w:t>
            </w:r>
          </w:p>
        </w:tc>
        <w:tc>
          <w:tcPr>
            <w:tcW w:w="1685" w:type="dxa"/>
            <w:tcBorders>
              <w:top w:val="single" w:sz="2" w:space="0" w:color="000000"/>
              <w:left w:val="single" w:sz="2" w:space="0" w:color="000000"/>
              <w:bottom w:val="single" w:sz="2" w:space="0" w:color="000000"/>
              <w:right w:val="single" w:sz="2" w:space="0" w:color="000000"/>
            </w:tcBorders>
          </w:tcPr>
          <w:p w14:paraId="2FD747E6" w14:textId="77777777" w:rsidR="00053D93" w:rsidRDefault="00260B75">
            <w:pPr>
              <w:ind w:right="49"/>
              <w:jc w:val="center"/>
            </w:pPr>
            <w:r>
              <w:rPr>
                <w:rFonts w:ascii="Times New Roman" w:eastAsia="Times New Roman" w:hAnsi="Times New Roman" w:cs="Times New Roman"/>
              </w:rPr>
              <w:t>3698</w:t>
            </w:r>
          </w:p>
        </w:tc>
        <w:tc>
          <w:tcPr>
            <w:tcW w:w="1106" w:type="dxa"/>
            <w:tcBorders>
              <w:top w:val="single" w:sz="2" w:space="0" w:color="000000"/>
              <w:left w:val="single" w:sz="2" w:space="0" w:color="000000"/>
              <w:bottom w:val="single" w:sz="2" w:space="0" w:color="000000"/>
              <w:right w:val="single" w:sz="2" w:space="0" w:color="000000"/>
            </w:tcBorders>
          </w:tcPr>
          <w:p w14:paraId="70EE192B" w14:textId="77777777" w:rsidR="00053D93" w:rsidRDefault="00260B75">
            <w:pPr>
              <w:ind w:left="19"/>
            </w:pPr>
            <w:r>
              <w:rPr>
                <w:rFonts w:ascii="Times New Roman" w:eastAsia="Times New Roman" w:hAnsi="Times New Roman" w:cs="Times New Roman"/>
                <w:sz w:val="20"/>
              </w:rPr>
              <w:t>28/04/2021</w:t>
            </w:r>
          </w:p>
        </w:tc>
        <w:tc>
          <w:tcPr>
            <w:tcW w:w="972" w:type="dxa"/>
            <w:tcBorders>
              <w:top w:val="single" w:sz="2" w:space="0" w:color="000000"/>
              <w:left w:val="single" w:sz="2" w:space="0" w:color="000000"/>
              <w:bottom w:val="single" w:sz="2" w:space="0" w:color="000000"/>
              <w:right w:val="single" w:sz="2" w:space="0" w:color="000000"/>
            </w:tcBorders>
          </w:tcPr>
          <w:p w14:paraId="794885EC" w14:textId="77777777" w:rsidR="00053D93" w:rsidRDefault="00260B75">
            <w:pPr>
              <w:ind w:right="65"/>
              <w:jc w:val="center"/>
            </w:pPr>
            <w:r>
              <w:rPr>
                <w:rFonts w:ascii="Times New Roman" w:eastAsia="Times New Roman" w:hAnsi="Times New Roman" w:cs="Times New Roman"/>
              </w:rPr>
              <w:t>1</w:t>
            </w:r>
          </w:p>
        </w:tc>
        <w:tc>
          <w:tcPr>
            <w:tcW w:w="1109" w:type="dxa"/>
            <w:tcBorders>
              <w:top w:val="single" w:sz="2" w:space="0" w:color="000000"/>
              <w:left w:val="single" w:sz="2" w:space="0" w:color="000000"/>
              <w:bottom w:val="single" w:sz="2" w:space="0" w:color="000000"/>
              <w:right w:val="single" w:sz="2" w:space="0" w:color="000000"/>
            </w:tcBorders>
          </w:tcPr>
          <w:p w14:paraId="6E469FF3" w14:textId="77777777" w:rsidR="00053D93" w:rsidRDefault="00260B75">
            <w:pPr>
              <w:ind w:left="50"/>
            </w:pPr>
            <w:r>
              <w:t>001B67A1</w:t>
            </w:r>
          </w:p>
        </w:tc>
        <w:tc>
          <w:tcPr>
            <w:tcW w:w="2088" w:type="dxa"/>
            <w:tcBorders>
              <w:top w:val="single" w:sz="2" w:space="0" w:color="000000"/>
              <w:left w:val="single" w:sz="2" w:space="0" w:color="000000"/>
              <w:bottom w:val="single" w:sz="2" w:space="0" w:color="000000"/>
              <w:right w:val="single" w:sz="2" w:space="0" w:color="000000"/>
            </w:tcBorders>
          </w:tcPr>
          <w:p w14:paraId="267318CD" w14:textId="77777777" w:rsidR="00053D93" w:rsidRDefault="00260B75">
            <w:pPr>
              <w:ind w:left="22" w:right="72" w:firstLine="7"/>
              <w:jc w:val="both"/>
            </w:pPr>
            <w:r>
              <w:rPr>
                <w:sz w:val="24"/>
              </w:rPr>
              <w:t>DVD player pyle 3 pulgadas in dash, serie PY-PLD3EMU</w:t>
            </w:r>
          </w:p>
        </w:tc>
        <w:tc>
          <w:tcPr>
            <w:tcW w:w="1051" w:type="dxa"/>
            <w:tcBorders>
              <w:top w:val="single" w:sz="2" w:space="0" w:color="000000"/>
              <w:left w:val="single" w:sz="2" w:space="0" w:color="000000"/>
              <w:bottom w:val="single" w:sz="2" w:space="0" w:color="000000"/>
              <w:right w:val="single" w:sz="2" w:space="0" w:color="000000"/>
            </w:tcBorders>
          </w:tcPr>
          <w:p w14:paraId="288B3D20" w14:textId="77777777" w:rsidR="00053D93" w:rsidRDefault="00260B75">
            <w:pPr>
              <w:ind w:left="101"/>
              <w:jc w:val="center"/>
            </w:pPr>
            <w:r>
              <w:t>2,000.oo</w:t>
            </w:r>
          </w:p>
        </w:tc>
      </w:tr>
      <w:tr w:rsidR="00053D93" w14:paraId="40C72AAA" w14:textId="77777777">
        <w:trPr>
          <w:trHeight w:val="274"/>
        </w:trPr>
        <w:tc>
          <w:tcPr>
            <w:tcW w:w="3252" w:type="dxa"/>
            <w:gridSpan w:val="3"/>
            <w:tcBorders>
              <w:top w:val="single" w:sz="2" w:space="0" w:color="000000"/>
              <w:left w:val="single" w:sz="2" w:space="0" w:color="000000"/>
              <w:bottom w:val="single" w:sz="2" w:space="0" w:color="000000"/>
              <w:right w:val="single" w:sz="2" w:space="0" w:color="000000"/>
            </w:tcBorders>
          </w:tcPr>
          <w:p w14:paraId="325628EE" w14:textId="77777777" w:rsidR="00053D93" w:rsidRDefault="00260B75">
            <w:pPr>
              <w:ind w:left="12"/>
            </w:pPr>
            <w:r>
              <w:t>Total</w:t>
            </w:r>
          </w:p>
        </w:tc>
        <w:tc>
          <w:tcPr>
            <w:tcW w:w="972" w:type="dxa"/>
            <w:tcBorders>
              <w:top w:val="single" w:sz="2" w:space="0" w:color="000000"/>
              <w:left w:val="single" w:sz="2" w:space="0" w:color="000000"/>
              <w:bottom w:val="single" w:sz="2" w:space="0" w:color="000000"/>
              <w:right w:val="single" w:sz="2" w:space="0" w:color="000000"/>
            </w:tcBorders>
          </w:tcPr>
          <w:p w14:paraId="2E6D0B7A" w14:textId="77777777" w:rsidR="00053D93" w:rsidRDefault="00260B75">
            <w:pPr>
              <w:ind w:right="58"/>
              <w:jc w:val="center"/>
            </w:pPr>
            <w:r>
              <w:rPr>
                <w:rFonts w:ascii="Times New Roman" w:eastAsia="Times New Roman" w:hAnsi="Times New Roman" w:cs="Times New Roman"/>
                <w:sz w:val="20"/>
              </w:rPr>
              <w:t>22</w:t>
            </w:r>
          </w:p>
        </w:tc>
        <w:tc>
          <w:tcPr>
            <w:tcW w:w="1109" w:type="dxa"/>
            <w:tcBorders>
              <w:top w:val="single" w:sz="2" w:space="0" w:color="000000"/>
              <w:left w:val="single" w:sz="2" w:space="0" w:color="000000"/>
              <w:bottom w:val="single" w:sz="2" w:space="0" w:color="000000"/>
              <w:right w:val="single" w:sz="2" w:space="0" w:color="000000"/>
            </w:tcBorders>
          </w:tcPr>
          <w:p w14:paraId="285E2492" w14:textId="77777777" w:rsidR="00053D93" w:rsidRDefault="00053D93"/>
        </w:tc>
        <w:tc>
          <w:tcPr>
            <w:tcW w:w="2088" w:type="dxa"/>
            <w:tcBorders>
              <w:top w:val="single" w:sz="2" w:space="0" w:color="000000"/>
              <w:left w:val="single" w:sz="2" w:space="0" w:color="000000"/>
              <w:bottom w:val="single" w:sz="2" w:space="0" w:color="000000"/>
              <w:right w:val="single" w:sz="2" w:space="0" w:color="000000"/>
            </w:tcBorders>
          </w:tcPr>
          <w:p w14:paraId="3EADBDAF" w14:textId="77777777" w:rsidR="00053D93" w:rsidRDefault="00053D93"/>
        </w:tc>
        <w:tc>
          <w:tcPr>
            <w:tcW w:w="1051" w:type="dxa"/>
            <w:tcBorders>
              <w:top w:val="single" w:sz="2" w:space="0" w:color="000000"/>
              <w:left w:val="single" w:sz="2" w:space="0" w:color="000000"/>
              <w:bottom w:val="single" w:sz="2" w:space="0" w:color="000000"/>
              <w:right w:val="single" w:sz="2" w:space="0" w:color="000000"/>
            </w:tcBorders>
          </w:tcPr>
          <w:p w14:paraId="2A52AD18" w14:textId="77777777" w:rsidR="00053D93" w:rsidRDefault="00260B75">
            <w:pPr>
              <w:ind w:left="58"/>
            </w:pPr>
            <w:r>
              <w:rPr>
                <w:sz w:val="20"/>
              </w:rPr>
              <w:t>31 ,974.oo</w:t>
            </w:r>
          </w:p>
        </w:tc>
      </w:tr>
    </w:tbl>
    <w:p w14:paraId="33BC9765" w14:textId="77777777" w:rsidR="00053D93" w:rsidRDefault="00260B75">
      <w:pPr>
        <w:spacing w:after="300" w:line="364" w:lineRule="auto"/>
        <w:ind w:left="1738" w:hanging="3"/>
      </w:pPr>
      <w:r>
        <w:rPr>
          <w:sz w:val="20"/>
        </w:rPr>
        <w:t>Fuente: Acta No. 10-2022 del 10 de junio de 2022, suscrita por la Sección de Inventarios y tarjetas de responsabilidad de bienes inventariados Nos. 3696, 3697 y 3698.</w:t>
      </w:r>
    </w:p>
    <w:p w14:paraId="6508DD26" w14:textId="77777777" w:rsidR="00053D93" w:rsidRDefault="00260B75">
      <w:pPr>
        <w:spacing w:after="311" w:line="247" w:lineRule="auto"/>
        <w:ind w:left="1721" w:right="14" w:firstLine="4"/>
        <w:jc w:val="both"/>
      </w:pPr>
      <w:r>
        <w:rPr>
          <w:sz w:val="26"/>
        </w:rPr>
        <w:t>Es importante mencionar que, con la Resolución No. 143-2020 del 08 de septiembre de 2020, a dicha persona se le designó de forma interina, como Encargada de Transportes a.i. y mediante el Oficio-CA-94-2021, del 18 de febrero de 2021 , el Coordinador Administrativo de la DIGEF, instruyó al Jefe de Inventarios a.i., para realizar el inventario correspondiente, por Io que, el 02 de marzo de 2021 , la Sección de Inventarios de la DIGEF, elaboró la "Constancia de Verificación Física de Activos Fijos Año 2021", en donde hace constar que no se determinaron faltantes, habiéndose realizado el cargo respectivo de los bienes, en las tarjetas de responsabilidad de dicho empleado.</w:t>
      </w:r>
    </w:p>
    <w:p w14:paraId="2018E462" w14:textId="77777777" w:rsidR="00053D93" w:rsidRDefault="00260B75">
      <w:pPr>
        <w:spacing w:after="289" w:line="247" w:lineRule="auto"/>
        <w:ind w:left="1714" w:right="14" w:firstLine="4"/>
        <w:jc w:val="both"/>
      </w:pPr>
      <w:r>
        <w:rPr>
          <w:sz w:val="26"/>
        </w:rPr>
        <w:t>Posteriormente, cuando la Encargada de Transportes, a.i. dejó su puesto interino; el 08 de junio de 2022, la Sección de Inventarios de la DIGEF, realizó nuevamente la verificación física de los bienes registrados en sus tarjetas de responsabilidad, con el propósito de trasladarlos al nuevo Encargado de Transportes, a.i.; sin embargo, la Sección de Inventarios determinó bienes faltantes, dichas acciones se detallan en la "Constancia de Verificación Física de Activos Fijos Año 2022" realizada por la Sección de Inventarios de la DIGEF.</w:t>
      </w:r>
    </w:p>
    <w:p w14:paraId="75FE3474" w14:textId="77777777" w:rsidR="00053D93" w:rsidRDefault="00260B75">
      <w:pPr>
        <w:spacing w:after="17" w:line="247" w:lineRule="auto"/>
        <w:ind w:left="1692" w:right="79" w:firstLine="4"/>
        <w:jc w:val="both"/>
      </w:pPr>
      <w:r>
        <w:rPr>
          <w:sz w:val="26"/>
        </w:rPr>
        <w:t>Como parte del proceso de traslado de bienes, la Encargada de Transportes, a.i., (saliente) trasladó el formulario INV-FOR-03 Control de descargo y cargo del resguardo de bienes muebles, al Jefe de Servicios Generales, a.i. mediante oficio s/n del 02 de noviembre de 2022, en donde le solicita consignar las firmas y sellos en dicho formulario por el nuevo responsable; sin embargo, mediante Oficio-SG-793-JAQL del 04 de noviembre de 2022, el nuevo Encargado de Transportes, a.i. le indicó que no estaba de acuerdo con firmar el formulario INV-FOR-03, debido a que había equipo del cual no se tenía conocimiento de su ubicación.</w:t>
      </w:r>
    </w:p>
    <w:tbl>
      <w:tblPr>
        <w:tblStyle w:val="TableGrid"/>
        <w:tblW w:w="9446" w:type="dxa"/>
        <w:tblInd w:w="734" w:type="dxa"/>
        <w:tblLook w:val="04A0" w:firstRow="1" w:lastRow="0" w:firstColumn="1" w:lastColumn="0" w:noHBand="0" w:noVBand="1"/>
      </w:tblPr>
      <w:tblGrid>
        <w:gridCol w:w="1311"/>
        <w:gridCol w:w="8215"/>
      </w:tblGrid>
      <w:tr w:rsidR="00053D93" w14:paraId="3DFA52B7" w14:textId="77777777">
        <w:trPr>
          <w:trHeight w:val="641"/>
        </w:trPr>
        <w:tc>
          <w:tcPr>
            <w:tcW w:w="1796" w:type="dxa"/>
            <w:tcBorders>
              <w:top w:val="nil"/>
              <w:left w:val="nil"/>
              <w:bottom w:val="nil"/>
              <w:right w:val="nil"/>
            </w:tcBorders>
          </w:tcPr>
          <w:p w14:paraId="342F3077" w14:textId="77777777" w:rsidR="00053D93" w:rsidRDefault="00260B75">
            <w:r>
              <w:rPr>
                <w:noProof/>
              </w:rPr>
              <w:lastRenderedPageBreak/>
              <w:drawing>
                <wp:inline distT="0" distB="0" distL="0" distR="0" wp14:anchorId="637D0390" wp14:editId="4DFEA585">
                  <wp:extent cx="1129284" cy="406909"/>
                  <wp:effectExtent l="0" t="0" r="0" b="0"/>
                  <wp:docPr id="642159" name="Picture 642159"/>
                  <wp:cNvGraphicFramePr/>
                  <a:graphic xmlns:a="http://schemas.openxmlformats.org/drawingml/2006/main">
                    <a:graphicData uri="http://schemas.openxmlformats.org/drawingml/2006/picture">
                      <pic:pic xmlns:pic="http://schemas.openxmlformats.org/drawingml/2006/picture">
                        <pic:nvPicPr>
                          <pic:cNvPr id="642159" name="Picture 642159"/>
                          <pic:cNvPicPr/>
                        </pic:nvPicPr>
                        <pic:blipFill>
                          <a:blip r:embed="rId949"/>
                          <a:stretch>
                            <a:fillRect/>
                          </a:stretch>
                        </pic:blipFill>
                        <pic:spPr>
                          <a:xfrm>
                            <a:off x="0" y="0"/>
                            <a:ext cx="1129284" cy="406909"/>
                          </a:xfrm>
                          <a:prstGeom prst="rect">
                            <a:avLst/>
                          </a:prstGeom>
                        </pic:spPr>
                      </pic:pic>
                    </a:graphicData>
                  </a:graphic>
                </wp:inline>
              </w:drawing>
            </w:r>
          </w:p>
        </w:tc>
        <w:tc>
          <w:tcPr>
            <w:tcW w:w="7650" w:type="dxa"/>
            <w:tcBorders>
              <w:top w:val="nil"/>
              <w:left w:val="nil"/>
              <w:bottom w:val="nil"/>
              <w:right w:val="nil"/>
            </w:tcBorders>
          </w:tcPr>
          <w:p w14:paraId="1163157B" w14:textId="77777777" w:rsidR="00053D93" w:rsidRDefault="00053D93">
            <w:pPr>
              <w:ind w:left="-2819" w:right="10469"/>
            </w:pPr>
          </w:p>
          <w:tbl>
            <w:tblPr>
              <w:tblStyle w:val="TableGrid"/>
              <w:tblW w:w="7632" w:type="dxa"/>
              <w:tblInd w:w="18" w:type="dxa"/>
              <w:tblCellMar>
                <w:top w:w="22" w:type="dxa"/>
                <w:left w:w="1742" w:type="dxa"/>
                <w:right w:w="115" w:type="dxa"/>
              </w:tblCellMar>
              <w:tblLook w:val="04A0" w:firstRow="1" w:lastRow="0" w:firstColumn="1" w:lastColumn="0" w:noHBand="0" w:noVBand="1"/>
            </w:tblPr>
            <w:tblGrid>
              <w:gridCol w:w="7632"/>
            </w:tblGrid>
            <w:tr w:rsidR="00053D93" w14:paraId="0FD14A01" w14:textId="77777777">
              <w:trPr>
                <w:trHeight w:val="58"/>
              </w:trPr>
              <w:tc>
                <w:tcPr>
                  <w:tcW w:w="7632" w:type="dxa"/>
                  <w:tcBorders>
                    <w:top w:val="nil"/>
                    <w:left w:val="single" w:sz="2" w:space="0" w:color="000000"/>
                    <w:bottom w:val="single" w:sz="2" w:space="0" w:color="000000"/>
                    <w:right w:val="nil"/>
                  </w:tcBorders>
                </w:tcPr>
                <w:p w14:paraId="213BD7C4" w14:textId="77777777" w:rsidR="00053D93" w:rsidRDefault="00053D93"/>
              </w:tc>
            </w:tr>
            <w:tr w:rsidR="00053D93" w14:paraId="59BC7D2D" w14:textId="77777777">
              <w:trPr>
                <w:trHeight w:val="583"/>
              </w:trPr>
              <w:tc>
                <w:tcPr>
                  <w:tcW w:w="7632" w:type="dxa"/>
                  <w:tcBorders>
                    <w:top w:val="single" w:sz="2" w:space="0" w:color="000000"/>
                    <w:left w:val="single" w:sz="2" w:space="0" w:color="000000"/>
                    <w:bottom w:val="nil"/>
                    <w:right w:val="nil"/>
                  </w:tcBorders>
                </w:tcPr>
                <w:p w14:paraId="6B10CCFF" w14:textId="77777777" w:rsidR="00053D93" w:rsidRDefault="00260B75">
                  <w:pPr>
                    <w:ind w:left="828"/>
                  </w:pPr>
                  <w:r>
                    <w:rPr>
                      <w:sz w:val="14"/>
                    </w:rPr>
                    <w:t>MINISTERIO DE EDUCACION</w:t>
                  </w:r>
                </w:p>
                <w:p w14:paraId="7E953B28" w14:textId="77777777" w:rsidR="00053D93" w:rsidRDefault="00260B75">
                  <w:pPr>
                    <w:ind w:left="338"/>
                  </w:pPr>
                  <w:r>
                    <w:rPr>
                      <w:sz w:val="14"/>
                    </w:rPr>
                    <w:t>AUDITORIA FINANCIERA Y DE CUMPLIMIENTO</w:t>
                  </w:r>
                </w:p>
                <w:p w14:paraId="3E0B7CB8" w14:textId="77777777" w:rsidR="00053D93" w:rsidRDefault="00260B75">
                  <w:r>
                    <w:rPr>
                      <w:sz w:val="14"/>
                    </w:rPr>
                    <w:t>PERIODO DEI 01 DE ENERO AL 31 DE DICtEMBRE OE 2024</w:t>
                  </w:r>
                </w:p>
              </w:tc>
            </w:tr>
          </w:tbl>
          <w:p w14:paraId="2F1B1B7D" w14:textId="77777777" w:rsidR="00053D93" w:rsidRDefault="00053D93"/>
        </w:tc>
      </w:tr>
    </w:tbl>
    <w:p w14:paraId="47441B2F" w14:textId="77777777" w:rsidR="00053D93" w:rsidRDefault="00053D93">
      <w:pPr>
        <w:sectPr w:rsidR="00053D93">
          <w:headerReference w:type="even" r:id="rId950"/>
          <w:headerReference w:type="default" r:id="rId951"/>
          <w:footerReference w:type="even" r:id="rId952"/>
          <w:footerReference w:type="default" r:id="rId953"/>
          <w:headerReference w:type="first" r:id="rId954"/>
          <w:footerReference w:type="first" r:id="rId955"/>
          <w:pgSz w:w="12290" w:h="15883"/>
          <w:pgMar w:top="698" w:right="1742" w:bottom="749" w:left="288" w:header="475" w:footer="720" w:gutter="0"/>
          <w:cols w:space="720"/>
          <w:titlePg/>
        </w:sectPr>
      </w:pPr>
    </w:p>
    <w:p w14:paraId="1AD3B8B6" w14:textId="77777777" w:rsidR="00053D93" w:rsidRDefault="00260B75">
      <w:pPr>
        <w:tabs>
          <w:tab w:val="right" w:pos="10188"/>
        </w:tabs>
        <w:spacing w:after="0"/>
      </w:pPr>
      <w:r>
        <w:rPr>
          <w:rFonts w:ascii="Times New Roman" w:eastAsia="Times New Roman" w:hAnsi="Times New Roman" w:cs="Times New Roman"/>
          <w:sz w:val="80"/>
        </w:rPr>
        <w:lastRenderedPageBreak/>
        <w:t>1</w:t>
      </w:r>
      <w:r>
        <w:rPr>
          <w:rFonts w:ascii="Times New Roman" w:eastAsia="Times New Roman" w:hAnsi="Times New Roman" w:cs="Times New Roman"/>
          <w:sz w:val="80"/>
        </w:rPr>
        <w:tab/>
      </w:r>
      <w:r>
        <w:rPr>
          <w:noProof/>
        </w:rPr>
        <mc:AlternateContent>
          <mc:Choice Requires="wpg">
            <w:drawing>
              <wp:inline distT="0" distB="0" distL="0" distR="0" wp14:anchorId="3D20C2F9" wp14:editId="2CE49443">
                <wp:extent cx="5385816" cy="9144"/>
                <wp:effectExtent l="0" t="0" r="0" b="0"/>
                <wp:docPr id="2458521" name="Group 2458521"/>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520" name="Shape 2458520"/>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21" style="width:424.08pt;height:0.719997pt;mso-position-horizontal-relative:char;mso-position-vertical-relative:line" coordsize="53858,91">
                <v:shape id="Shape 2458520" style="position:absolute;width:53858;height:91;left:0;top:0;" coordsize="5385816,9144" path="m0,4572l5385816,4572">
                  <v:stroke weight="0.719997pt" endcap="flat" joinstyle="miter" miterlimit="1" on="true" color="#000000"/>
                  <v:fill on="false" color="#000000"/>
                </v:shape>
              </v:group>
            </w:pict>
          </mc:Fallback>
        </mc:AlternateContent>
      </w:r>
    </w:p>
    <w:p w14:paraId="4761E167" w14:textId="77777777" w:rsidR="00053D93" w:rsidRDefault="00260B75">
      <w:pPr>
        <w:spacing w:after="18" w:line="248" w:lineRule="auto"/>
        <w:ind w:left="1709" w:hanging="3"/>
        <w:jc w:val="both"/>
      </w:pPr>
      <w:r>
        <w:rPr>
          <w:sz w:val="28"/>
        </w:rPr>
        <w:t>Criterio</w:t>
      </w:r>
    </w:p>
    <w:p w14:paraId="11110A9B" w14:textId="77777777" w:rsidR="00053D93" w:rsidRDefault="00260B75">
      <w:pPr>
        <w:spacing w:after="17" w:line="247" w:lineRule="auto"/>
        <w:ind w:left="14" w:right="14" w:firstLine="1663"/>
        <w:jc w:val="both"/>
      </w:pPr>
      <w:r>
        <w:rPr>
          <w:sz w:val="26"/>
        </w:rPr>
        <w:t xml:space="preserve">El Decreto Número 89-2002, del Congreso de la República de Guatemala, Ley de </w:t>
      </w:r>
      <w:r>
        <w:rPr>
          <w:rFonts w:ascii="Times New Roman" w:eastAsia="Times New Roman" w:hAnsi="Times New Roman" w:cs="Times New Roman"/>
          <w:sz w:val="26"/>
        </w:rPr>
        <w:t xml:space="preserve">1 </w:t>
      </w:r>
      <w:r>
        <w:rPr>
          <w:sz w:val="26"/>
        </w:rPr>
        <w:t>Probidad y Responsabilidades de Funcionarios y Empleados Públicos, artículo 6.</w:t>
      </w:r>
    </w:p>
    <w:p w14:paraId="55D09C26" w14:textId="77777777" w:rsidR="00053D93" w:rsidRDefault="00260B75">
      <w:pPr>
        <w:spacing w:after="17" w:line="247" w:lineRule="auto"/>
        <w:ind w:left="14" w:right="14" w:firstLine="1692"/>
        <w:jc w:val="both"/>
      </w:pPr>
      <w:r>
        <w:rPr>
          <w:sz w:val="26"/>
        </w:rPr>
        <w:t xml:space="preserve">Principios de probidad, establece: "Son principios de probidad los siguientes: a) El </w:t>
      </w:r>
      <w:r>
        <w:rPr>
          <w:noProof/>
        </w:rPr>
        <w:drawing>
          <wp:inline distT="0" distB="0" distL="0" distR="0" wp14:anchorId="5818A4F5" wp14:editId="447D23F2">
            <wp:extent cx="4572" cy="4572"/>
            <wp:effectExtent l="0" t="0" r="0" b="0"/>
            <wp:docPr id="645714" name="Picture 645714"/>
            <wp:cNvGraphicFramePr/>
            <a:graphic xmlns:a="http://schemas.openxmlformats.org/drawingml/2006/main">
              <a:graphicData uri="http://schemas.openxmlformats.org/drawingml/2006/picture">
                <pic:pic xmlns:pic="http://schemas.openxmlformats.org/drawingml/2006/picture">
                  <pic:nvPicPr>
                    <pic:cNvPr id="645714" name="Picture 645714"/>
                    <pic:cNvPicPr/>
                  </pic:nvPicPr>
                  <pic:blipFill>
                    <a:blip r:embed="rId845"/>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26"/>
        </w:rPr>
        <w:t xml:space="preserve">1 </w:t>
      </w:r>
      <w:r>
        <w:rPr>
          <w:sz w:val="26"/>
        </w:rPr>
        <w:t>cumplimiento estricto de los preceptos constitucionales y legales... d</w:t>
      </w:r>
      <w:r>
        <w:rPr>
          <w:noProof/>
        </w:rPr>
        <w:drawing>
          <wp:inline distT="0" distB="0" distL="0" distR="0" wp14:anchorId="0FD8C5B2" wp14:editId="0A24FBC9">
            <wp:extent cx="301751" cy="137160"/>
            <wp:effectExtent l="0" t="0" r="0" b="0"/>
            <wp:docPr id="2458518" name="Picture 2458518"/>
            <wp:cNvGraphicFramePr/>
            <a:graphic xmlns:a="http://schemas.openxmlformats.org/drawingml/2006/main">
              <a:graphicData uri="http://schemas.openxmlformats.org/drawingml/2006/picture">
                <pic:pic xmlns:pic="http://schemas.openxmlformats.org/drawingml/2006/picture">
                  <pic:nvPicPr>
                    <pic:cNvPr id="2458518" name="Picture 2458518"/>
                    <pic:cNvPicPr/>
                  </pic:nvPicPr>
                  <pic:blipFill>
                    <a:blip r:embed="rId956"/>
                    <a:stretch>
                      <a:fillRect/>
                    </a:stretch>
                  </pic:blipFill>
                  <pic:spPr>
                    <a:xfrm>
                      <a:off x="0" y="0"/>
                      <a:ext cx="301751" cy="137160"/>
                    </a:xfrm>
                    <a:prstGeom prst="rect">
                      <a:avLst/>
                    </a:prstGeom>
                  </pic:spPr>
                </pic:pic>
              </a:graphicData>
            </a:graphic>
          </wp:inline>
        </w:drawing>
      </w:r>
    </w:p>
    <w:p w14:paraId="3F032E5A" w14:textId="77777777" w:rsidR="00053D93" w:rsidRDefault="00260B75">
      <w:pPr>
        <w:spacing w:after="351" w:line="247" w:lineRule="auto"/>
        <w:ind w:left="1706" w:right="14" w:firstLine="4"/>
        <w:jc w:val="both"/>
      </w:pPr>
      <w:r>
        <w:rPr>
          <w:sz w:val="26"/>
        </w:rPr>
        <w:t>prudencia en [a administración de los recursos de las entidades del Estado, y demás entidades descentralizadas y autónomas del mismo..." Artículo 7.</w:t>
      </w:r>
    </w:p>
    <w:p w14:paraId="781616A6" w14:textId="77777777" w:rsidR="00053D93" w:rsidRDefault="00260B75">
      <w:pPr>
        <w:spacing w:after="14" w:line="290" w:lineRule="auto"/>
        <w:ind w:left="21" w:firstLine="19"/>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Funcionarios públicos, establece: "Los funcionarios públicos conforme los denomina el artículo 4 de esta Ley, están obligados a desempeñar sus deberes, atribuciones, facultades y funciones con estricto apego a la Constitución Política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de la República y, las [eyes. En consecuencia, están sujetos a responsabilidades de carácter administrativo, civil y penal por las infracciones, omisiones, acciones,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decisiones y resoluciones en que incurrieren en el ejercicio de su cargo." Artículo 8. Responsabilidad administrativa, establece:</w:t>
      </w:r>
      <w:r>
        <w:rPr>
          <w:sz w:val="26"/>
        </w:rPr>
        <w:tab/>
        <w:t>"La responsabilidad es administrativa cuando la acción u omisión contraviene el ordenamiento jurídico</w:t>
      </w:r>
    </w:p>
    <w:p w14:paraId="026FC3FD" w14:textId="77777777" w:rsidR="00053D93" w:rsidRDefault="00260B75">
      <w:pPr>
        <w:spacing w:after="58"/>
        <w:ind w:left="14"/>
      </w:pPr>
      <w:r>
        <w:rPr>
          <w:noProof/>
        </w:rPr>
        <w:drawing>
          <wp:inline distT="0" distB="0" distL="0" distR="0" wp14:anchorId="47DBF163" wp14:editId="5BC8329D">
            <wp:extent cx="18288" cy="18288"/>
            <wp:effectExtent l="0" t="0" r="0" b="0"/>
            <wp:docPr id="645716" name="Picture 645716"/>
            <wp:cNvGraphicFramePr/>
            <a:graphic xmlns:a="http://schemas.openxmlformats.org/drawingml/2006/main">
              <a:graphicData uri="http://schemas.openxmlformats.org/drawingml/2006/picture">
                <pic:pic xmlns:pic="http://schemas.openxmlformats.org/drawingml/2006/picture">
                  <pic:nvPicPr>
                    <pic:cNvPr id="645716" name="Picture 645716"/>
                    <pic:cNvPicPr/>
                  </pic:nvPicPr>
                  <pic:blipFill>
                    <a:blip r:embed="rId957"/>
                    <a:stretch>
                      <a:fillRect/>
                    </a:stretch>
                  </pic:blipFill>
                  <pic:spPr>
                    <a:xfrm>
                      <a:off x="0" y="0"/>
                      <a:ext cx="18288" cy="18288"/>
                    </a:xfrm>
                    <a:prstGeom prst="rect">
                      <a:avLst/>
                    </a:prstGeom>
                  </pic:spPr>
                </pic:pic>
              </a:graphicData>
            </a:graphic>
          </wp:inline>
        </w:drawing>
      </w:r>
    </w:p>
    <w:p w14:paraId="14BE60C2" w14:textId="77777777" w:rsidR="00053D93" w:rsidRDefault="00260B75">
      <w:pPr>
        <w:spacing w:after="235" w:line="325" w:lineRule="auto"/>
        <w:ind w:left="14" w:right="14" w:firstLine="4"/>
        <w:jc w:val="both"/>
      </w:pPr>
      <w:r>
        <w:rPr>
          <w:rFonts w:ascii="Times New Roman" w:eastAsia="Times New Roman" w:hAnsi="Times New Roman" w:cs="Times New Roman"/>
          <w:sz w:val="26"/>
        </w:rPr>
        <w:t xml:space="preserve">1 </w:t>
      </w:r>
      <w:r>
        <w:rPr>
          <w:sz w:val="26"/>
        </w:rPr>
        <w:t xml:space="preserve">administrativo y las normas que regulan la conducta del funcionario público, asimismo, cuando se incurriere en negligencia, imprudencia o impericia o bien </w:t>
      </w:r>
      <w:r>
        <w:rPr>
          <w:noProof/>
        </w:rPr>
        <w:drawing>
          <wp:inline distT="0" distB="0" distL="0" distR="0" wp14:anchorId="2A4A8E19" wp14:editId="093A1F7D">
            <wp:extent cx="13716" cy="13716"/>
            <wp:effectExtent l="0" t="0" r="0" b="0"/>
            <wp:docPr id="645717" name="Picture 645717"/>
            <wp:cNvGraphicFramePr/>
            <a:graphic xmlns:a="http://schemas.openxmlformats.org/drawingml/2006/main">
              <a:graphicData uri="http://schemas.openxmlformats.org/drawingml/2006/picture">
                <pic:pic xmlns:pic="http://schemas.openxmlformats.org/drawingml/2006/picture">
                  <pic:nvPicPr>
                    <pic:cNvPr id="645717" name="Picture 645717"/>
                    <pic:cNvPicPr/>
                  </pic:nvPicPr>
                  <pic:blipFill>
                    <a:blip r:embed="rId895"/>
                    <a:stretch>
                      <a:fillRect/>
                    </a:stretch>
                  </pic:blipFill>
                  <pic:spPr>
                    <a:xfrm>
                      <a:off x="0" y="0"/>
                      <a:ext cx="13716"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incumpliendo leyes, reglamentos, contratos y demás disposiciones legales a la institución estatal ante la cual están obligados o prestan sus servicios; además, cuando no se cumplan, con la debida diligencia las obligaciones contraídas o</w:t>
      </w:r>
    </w:p>
    <w:p w14:paraId="6692AD85" w14:textId="77777777" w:rsidR="00053D93" w:rsidRDefault="00260B75">
      <w:pPr>
        <w:spacing w:after="287" w:line="345" w:lineRule="auto"/>
        <w:ind w:left="1699" w:right="14" w:hanging="1685"/>
        <w:jc w:val="both"/>
      </w:pPr>
      <w:r>
        <w:rPr>
          <w:rFonts w:ascii="Times New Roman" w:eastAsia="Times New Roman" w:hAnsi="Times New Roman" w:cs="Times New Roman"/>
          <w:sz w:val="26"/>
        </w:rPr>
        <w:t xml:space="preserve">1 </w:t>
      </w:r>
      <w:r>
        <w:rPr>
          <w:sz w:val="26"/>
        </w:rPr>
        <w:t>funciones inherentes al cargo, así como cuando por acción u omisión se cause perjuicio a tos intereses públicos que tuviere encomendados y no ocasionen daños o perjuicios patrimoniales, o bien se incurra en falta o delito." Artículo 9.</w:t>
      </w:r>
    </w:p>
    <w:p w14:paraId="2417BD41" w14:textId="77777777" w:rsidR="00053D93" w:rsidRDefault="00260B75">
      <w:pPr>
        <w:spacing w:after="17" w:line="301" w:lineRule="auto"/>
        <w:ind w:left="14" w:right="14" w:firstLine="4"/>
        <w:jc w:val="both"/>
      </w:pPr>
      <w:r>
        <w:rPr>
          <w:rFonts w:ascii="Times New Roman" w:eastAsia="Times New Roman" w:hAnsi="Times New Roman" w:cs="Times New Roman"/>
          <w:sz w:val="26"/>
        </w:rPr>
        <w:t xml:space="preserve">1 </w:t>
      </w:r>
      <w:r>
        <w:rPr>
          <w:sz w:val="26"/>
        </w:rPr>
        <w:t xml:space="preserve">Responsabilidad civil, establece: "Genera responsabilidad civil la acción u omisión que con intención o por negligencia, imprudencia, impericia o abuso de poder, se </w:t>
      </w:r>
      <w:r>
        <w:rPr>
          <w:noProof/>
        </w:rPr>
        <w:drawing>
          <wp:inline distT="0" distB="0" distL="0" distR="0" wp14:anchorId="15D6C00D" wp14:editId="6A926AB1">
            <wp:extent cx="22860" cy="13716"/>
            <wp:effectExtent l="0" t="0" r="0" b="0"/>
            <wp:docPr id="645718" name="Picture 645718"/>
            <wp:cNvGraphicFramePr/>
            <a:graphic xmlns:a="http://schemas.openxmlformats.org/drawingml/2006/main">
              <a:graphicData uri="http://schemas.openxmlformats.org/drawingml/2006/picture">
                <pic:pic xmlns:pic="http://schemas.openxmlformats.org/drawingml/2006/picture">
                  <pic:nvPicPr>
                    <pic:cNvPr id="645718" name="Picture 645718"/>
                    <pic:cNvPicPr/>
                  </pic:nvPicPr>
                  <pic:blipFill>
                    <a:blip r:embed="rId958"/>
                    <a:stretch>
                      <a:fillRect/>
                    </a:stretch>
                  </pic:blipFill>
                  <pic:spPr>
                    <a:xfrm>
                      <a:off x="0" y="0"/>
                      <a:ext cx="22860"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cometa en perjuicio o daño del patrimonio público, independiente a la responsabilidad penal que se genere. Los daños y perjuicios provenientes de la responsabilidad civil se harán efectivos con arreglo al Código Civil y demás </w:t>
      </w:r>
      <w:r>
        <w:rPr>
          <w:rFonts w:ascii="Times New Roman" w:eastAsia="Times New Roman" w:hAnsi="Times New Roman" w:cs="Times New Roman"/>
          <w:sz w:val="26"/>
        </w:rPr>
        <w:t xml:space="preserve">1 </w:t>
      </w:r>
      <w:r>
        <w:rPr>
          <w:sz w:val="26"/>
        </w:rPr>
        <w:t xml:space="preserve">disposiciones legales vigentes sobre la materia, salvo que la acción civil se decida dentro de la acción penal en forma conjunta..." Artículo 17. Casos que generan </w:t>
      </w:r>
      <w:r>
        <w:rPr>
          <w:sz w:val="26"/>
        </w:rPr>
        <w:lastRenderedPageBreak/>
        <w:t>responsabilidad administrativa, establece: "Sin perjuicio de los casos regulados en leyes específicas, también son casos que generan responsabilidad administrativa:</w:t>
      </w:r>
    </w:p>
    <w:p w14:paraId="3DC43CB5" w14:textId="77777777" w:rsidR="00053D93" w:rsidRDefault="00260B75">
      <w:pPr>
        <w:spacing w:after="70" w:line="267" w:lineRule="auto"/>
        <w:ind w:left="18" w:right="21" w:hanging="4"/>
        <w:jc w:val="right"/>
      </w:pPr>
      <w:r>
        <w:rPr>
          <w:sz w:val="26"/>
        </w:rPr>
        <w:t>a) La inobservancia e incumplimiento de funciones, atribuciones y deberes que las</w:t>
      </w:r>
    </w:p>
    <w:p w14:paraId="2C59BA48" w14:textId="77777777" w:rsidR="00053D93" w:rsidRDefault="00260B75">
      <w:pPr>
        <w:spacing w:after="192" w:line="472" w:lineRule="auto"/>
        <w:ind w:left="1634" w:right="14" w:hanging="1620"/>
        <w:jc w:val="both"/>
      </w:pPr>
      <w:r>
        <w:rPr>
          <w:rFonts w:ascii="Times New Roman" w:eastAsia="Times New Roman" w:hAnsi="Times New Roman" w:cs="Times New Roman"/>
          <w:sz w:val="26"/>
        </w:rPr>
        <w:t xml:space="preserve">1 </w:t>
      </w:r>
      <w:r>
        <w:rPr>
          <w:sz w:val="26"/>
        </w:rPr>
        <w:t>disposiciones legales o reglamentarias impongan;...f) La negligencia o descuido en la custodia, uso o destino de bienes integrantes del patrimonio público... "</w:t>
      </w:r>
    </w:p>
    <w:p w14:paraId="094C1D6C" w14:textId="77777777" w:rsidR="00053D93" w:rsidRDefault="00260B75">
      <w:pPr>
        <w:spacing w:after="268" w:line="302" w:lineRule="auto"/>
        <w:ind w:left="14" w:right="14" w:firstLine="4"/>
        <w:jc w:val="both"/>
      </w:pPr>
      <w:r>
        <w:rPr>
          <w:rFonts w:ascii="Times New Roman" w:eastAsia="Times New Roman" w:hAnsi="Times New Roman" w:cs="Times New Roman"/>
          <w:sz w:val="26"/>
        </w:rPr>
        <w:t xml:space="preserve">1 </w:t>
      </w:r>
      <w:r>
        <w:rPr>
          <w:sz w:val="26"/>
        </w:rPr>
        <w:t xml:space="preserve">El Acuerdo Gubernativo Número 217-94, del Presidente de la República, Reglamento de Inventarios de los Bienes Muebles de la Administración Pública, artículo 7, establece: "En los casos de pérdida, faltante o extravío, el Jefe de la </w:t>
      </w:r>
      <w:r>
        <w:rPr>
          <w:rFonts w:ascii="Times New Roman" w:eastAsia="Times New Roman" w:hAnsi="Times New Roman" w:cs="Times New Roman"/>
          <w:sz w:val="26"/>
        </w:rPr>
        <w:t xml:space="preserve">1 </w:t>
      </w:r>
      <w:r>
        <w:rPr>
          <w:sz w:val="26"/>
        </w:rPr>
        <w:t>dependencia deberá proceder a suscribir acta, haciendo constar, con intervención del servidor que tenga cargados el bien o bienes, lo siguiente: 1) Lo relativo al caso; 2) el requerimiento de pago o reposición del bien, según corresponda. En</w:t>
      </w:r>
    </w:p>
    <w:tbl>
      <w:tblPr>
        <w:tblStyle w:val="TableGrid"/>
        <w:tblpPr w:vertAnchor="text" w:tblpX="2527" w:tblpY="7"/>
        <w:tblOverlap w:val="never"/>
        <w:tblW w:w="7625" w:type="dxa"/>
        <w:tblInd w:w="0" w:type="dxa"/>
        <w:tblCellMar>
          <w:top w:w="31" w:type="dxa"/>
          <w:left w:w="1742" w:type="dxa"/>
          <w:right w:w="115" w:type="dxa"/>
        </w:tblCellMar>
        <w:tblLook w:val="04A0" w:firstRow="1" w:lastRow="0" w:firstColumn="1" w:lastColumn="0" w:noHBand="0" w:noVBand="1"/>
      </w:tblPr>
      <w:tblGrid>
        <w:gridCol w:w="7625"/>
      </w:tblGrid>
      <w:tr w:rsidR="00053D93" w14:paraId="609188F3" w14:textId="77777777">
        <w:trPr>
          <w:trHeight w:val="50"/>
        </w:trPr>
        <w:tc>
          <w:tcPr>
            <w:tcW w:w="7625" w:type="dxa"/>
            <w:tcBorders>
              <w:top w:val="nil"/>
              <w:left w:val="single" w:sz="2" w:space="0" w:color="000000"/>
              <w:bottom w:val="single" w:sz="2" w:space="0" w:color="000000"/>
              <w:right w:val="nil"/>
            </w:tcBorders>
          </w:tcPr>
          <w:p w14:paraId="481173BA" w14:textId="77777777" w:rsidR="00053D93" w:rsidRDefault="00053D93"/>
        </w:tc>
      </w:tr>
      <w:tr w:rsidR="00053D93" w14:paraId="0F084B7D" w14:textId="77777777">
        <w:trPr>
          <w:trHeight w:val="590"/>
        </w:trPr>
        <w:tc>
          <w:tcPr>
            <w:tcW w:w="7625" w:type="dxa"/>
            <w:tcBorders>
              <w:top w:val="single" w:sz="2" w:space="0" w:color="000000"/>
              <w:left w:val="single" w:sz="2" w:space="0" w:color="000000"/>
              <w:bottom w:val="nil"/>
              <w:right w:val="nil"/>
            </w:tcBorders>
          </w:tcPr>
          <w:p w14:paraId="4A3FBF13" w14:textId="77777777" w:rsidR="00053D93" w:rsidRDefault="00260B75">
            <w:pPr>
              <w:ind w:left="828"/>
            </w:pPr>
            <w:r>
              <w:rPr>
                <w:sz w:val="14"/>
              </w:rPr>
              <w:t>MINISTERIO DE EDUCACION</w:t>
            </w:r>
          </w:p>
          <w:p w14:paraId="0A920BDB" w14:textId="77777777" w:rsidR="00053D93" w:rsidRDefault="00260B75">
            <w:pPr>
              <w:ind w:left="338"/>
            </w:pPr>
            <w:r>
              <w:rPr>
                <w:sz w:val="14"/>
              </w:rPr>
              <w:t>AUDITORIA FINANCIERA Y DE CUMPLIMIENTO</w:t>
            </w:r>
          </w:p>
          <w:p w14:paraId="1FDD7CC5" w14:textId="77777777" w:rsidR="00053D93" w:rsidRDefault="00260B75">
            <w:r>
              <w:rPr>
                <w:sz w:val="14"/>
              </w:rPr>
              <w:t>PERIODO DEL 01 DE ENERO AL 31 DE DICIEMBRE DE 2024</w:t>
            </w:r>
          </w:p>
        </w:tc>
      </w:tr>
    </w:tbl>
    <w:p w14:paraId="4C44BD8C" w14:textId="77777777" w:rsidR="00053D93" w:rsidRDefault="00260B75">
      <w:pPr>
        <w:spacing w:after="3"/>
        <w:ind w:left="74" w:right="3485" w:hanging="10"/>
      </w:pPr>
      <w:r>
        <w:rPr>
          <w:rFonts w:ascii="Times New Roman" w:eastAsia="Times New Roman" w:hAnsi="Times New Roman" w:cs="Times New Roman"/>
          <w:sz w:val="70"/>
        </w:rPr>
        <w:t xml:space="preserve">1 </w:t>
      </w:r>
      <w:r>
        <w:rPr>
          <w:noProof/>
        </w:rPr>
        <w:drawing>
          <wp:inline distT="0" distB="0" distL="0" distR="0" wp14:anchorId="0E13FC71" wp14:editId="2FC8435C">
            <wp:extent cx="1124712" cy="411480"/>
            <wp:effectExtent l="0" t="0" r="0" b="0"/>
            <wp:docPr id="645759" name="Picture 645759"/>
            <wp:cNvGraphicFramePr/>
            <a:graphic xmlns:a="http://schemas.openxmlformats.org/drawingml/2006/main">
              <a:graphicData uri="http://schemas.openxmlformats.org/drawingml/2006/picture">
                <pic:pic xmlns:pic="http://schemas.openxmlformats.org/drawingml/2006/picture">
                  <pic:nvPicPr>
                    <pic:cNvPr id="645759" name="Picture 645759"/>
                    <pic:cNvPicPr/>
                  </pic:nvPicPr>
                  <pic:blipFill>
                    <a:blip r:embed="rId959"/>
                    <a:stretch>
                      <a:fillRect/>
                    </a:stretch>
                  </pic:blipFill>
                  <pic:spPr>
                    <a:xfrm>
                      <a:off x="0" y="0"/>
                      <a:ext cx="1124712" cy="411480"/>
                    </a:xfrm>
                    <a:prstGeom prst="rect">
                      <a:avLst/>
                    </a:prstGeom>
                  </pic:spPr>
                </pic:pic>
              </a:graphicData>
            </a:graphic>
          </wp:inline>
        </w:drawing>
      </w:r>
    </w:p>
    <w:p w14:paraId="0428741D" w14:textId="77777777" w:rsidR="00053D93" w:rsidRDefault="00260B75">
      <w:pPr>
        <w:spacing w:after="306" w:line="247" w:lineRule="auto"/>
        <w:ind w:left="14" w:right="14" w:firstLine="4"/>
        <w:jc w:val="both"/>
      </w:pPr>
      <w:r>
        <w:rPr>
          <w:noProof/>
        </w:rPr>
        <mc:AlternateContent>
          <mc:Choice Requires="wpg">
            <w:drawing>
              <wp:anchor distT="0" distB="0" distL="114300" distR="114300" simplePos="0" relativeHeight="252056576" behindDoc="0" locked="0" layoutInCell="1" allowOverlap="1" wp14:anchorId="30CCDEC3" wp14:editId="3E8ABD7A">
                <wp:simplePos x="0" y="0"/>
                <wp:positionH relativeFrom="column">
                  <wp:posOffset>1069848</wp:posOffset>
                </wp:positionH>
                <wp:positionV relativeFrom="paragraph">
                  <wp:posOffset>22860</wp:posOffset>
                </wp:positionV>
                <wp:extent cx="5390388" cy="13716"/>
                <wp:effectExtent l="0" t="0" r="0" b="0"/>
                <wp:wrapSquare wrapText="bothSides"/>
                <wp:docPr id="2458523" name="Group 2458523"/>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8522" name="Shape 2458522"/>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523" style="width:424.44pt;height:1.07999pt;position:absolute;mso-position-horizontal-relative:text;mso-position-horizontal:absolute;margin-left:84.24pt;mso-position-vertical-relative:text;margin-top:1.8pt;" coordsize="53903,137">
                <v:shape id="Shape 2458522" style="position:absolute;width:53903;height:137;left:0;top:0;" coordsize="5390388,13716" path="m0,6858l5390388,6858">
                  <v:stroke weight="1.07999pt" endcap="flat" joinstyle="miter" miterlimit="1" on="true" color="#000000"/>
                  <v:fill on="false" color="#000000"/>
                </v:shape>
                <w10:wrap type="square"/>
              </v:group>
            </w:pict>
          </mc:Fallback>
        </mc:AlternateContent>
      </w:r>
      <w:r>
        <w:rPr>
          <w:noProof/>
        </w:rPr>
        <mc:AlternateContent>
          <mc:Choice Requires="wpg">
            <w:drawing>
              <wp:inline distT="0" distB="0" distL="0" distR="0" wp14:anchorId="6B93B49B" wp14:editId="1C847C7F">
                <wp:extent cx="114300" cy="297180"/>
                <wp:effectExtent l="0" t="0" r="0" b="0"/>
                <wp:docPr id="2456091" name="Group 2456091"/>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646448" name="Rectangle 646448"/>
                        <wps:cNvSpPr/>
                        <wps:spPr>
                          <a:xfrm>
                            <a:off x="0" y="0"/>
                            <a:ext cx="152019" cy="395250"/>
                          </a:xfrm>
                          <a:prstGeom prst="rect">
                            <a:avLst/>
                          </a:prstGeom>
                          <a:ln>
                            <a:noFill/>
                          </a:ln>
                        </wps:spPr>
                        <wps:txbx>
                          <w:txbxContent>
                            <w:p w14:paraId="1FBFB121"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inline>
            </w:drawing>
          </mc:Choice>
          <mc:Fallback>
            <w:pict>
              <v:group w14:anchorId="6B93B49B" id="Group 2456091" o:spid="_x0000_s1367"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">
                <v:rect id="Rectangle 646448" o:spid="_x0000_s1368"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" filled="f" stroked="f">
                  <v:textbox inset="0,0,0,0">
                    <w:txbxContent>
                      <w:p w14:paraId="1FBFB121" w14:textId="77777777" w:rsidR="00053D93" w:rsidRDefault="00260B75">
                        <w:r>
                          <w:rPr>
                            <w:rFonts w:ascii="Times New Roman" w:eastAsia="Times New Roman" w:hAnsi="Times New Roman" w:cs="Times New Roman"/>
                            <w:sz w:val="66"/>
                          </w:rPr>
                          <w:t>1</w:t>
                        </w:r>
                      </w:p>
                    </w:txbxContent>
                  </v:textbox>
                </v:rect>
                <w10:anchorlock/>
              </v:group>
            </w:pict>
          </mc:Fallback>
        </mc:AlternateContent>
      </w:r>
      <w:r>
        <w:rPr>
          <w:sz w:val="26"/>
        </w:rPr>
        <w:t xml:space="preserve"> esta última situación el bien restituido deberá ser de idénticas características y calidad del original."</w:t>
      </w:r>
    </w:p>
    <w:p w14:paraId="1EFB1E41" w14:textId="77777777" w:rsidR="00053D93" w:rsidRDefault="00260B75">
      <w:pPr>
        <w:spacing w:after="292" w:line="247" w:lineRule="auto"/>
        <w:ind w:left="14" w:right="14" w:firstLine="1692"/>
        <w:jc w:val="both"/>
      </w:pPr>
      <w:r>
        <w:rPr>
          <w:noProof/>
        </w:rPr>
        <mc:AlternateContent>
          <mc:Choice Requires="wpg">
            <w:drawing>
              <wp:anchor distT="0" distB="0" distL="114300" distR="114300" simplePos="0" relativeHeight="252057600" behindDoc="0" locked="0" layoutInCell="1" allowOverlap="1" wp14:anchorId="21A8D40D" wp14:editId="64DBCE3D">
                <wp:simplePos x="0" y="0"/>
                <wp:positionH relativeFrom="column">
                  <wp:posOffset>18288</wp:posOffset>
                </wp:positionH>
                <wp:positionV relativeFrom="paragraph">
                  <wp:posOffset>369625</wp:posOffset>
                </wp:positionV>
                <wp:extent cx="114300" cy="297180"/>
                <wp:effectExtent l="0" t="0" r="0" b="0"/>
                <wp:wrapSquare wrapText="bothSides"/>
                <wp:docPr id="2456092" name="Group 2456092"/>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646449" name="Rectangle 646449"/>
                        <wps:cNvSpPr/>
                        <wps:spPr>
                          <a:xfrm>
                            <a:off x="0" y="0"/>
                            <a:ext cx="152019" cy="395250"/>
                          </a:xfrm>
                          <a:prstGeom prst="rect">
                            <a:avLst/>
                          </a:prstGeom>
                          <a:ln>
                            <a:noFill/>
                          </a:ln>
                        </wps:spPr>
                        <wps:txbx>
                          <w:txbxContent>
                            <w:p w14:paraId="12B89F72"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anchor>
            </w:drawing>
          </mc:Choice>
          <mc:Fallback>
            <w:pict>
              <v:group w14:anchorId="21A8D40D" id="Group 2456092" o:spid="_x0000_s1369" style="position:absolute;left:0;text-align:left;margin-left:1.45pt;margin-top:29.1pt;width:9pt;height:23.4pt;z-index:252057600;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">
                <v:rect id="Rectangle 646449" o:spid="_x0000_s1370"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" filled="f" stroked="f">
                  <v:textbox inset="0,0,0,0">
                    <w:txbxContent>
                      <w:p w14:paraId="12B89F72" w14:textId="77777777" w:rsidR="00053D93" w:rsidRDefault="00260B75">
                        <w:r>
                          <w:rPr>
                            <w:rFonts w:ascii="Times New Roman" w:eastAsia="Times New Roman" w:hAnsi="Times New Roman" w:cs="Times New Roman"/>
                            <w:sz w:val="66"/>
                          </w:rPr>
                          <w:t>1</w:t>
                        </w:r>
                      </w:p>
                    </w:txbxContent>
                  </v:textbox>
                </v:rect>
                <w10:wrap type="square"/>
              </v:group>
            </w:pict>
          </mc:Fallback>
        </mc:AlternateContent>
      </w:r>
      <w:r>
        <w:rPr>
          <w:sz w:val="26"/>
        </w:rPr>
        <w:t xml:space="preserve">La Circular 3-57, de la Dirección de Contabilidad del Estado del Departamento de Contabilidad. Sección. Toma de Posesión de Cargos Públicos, establece: "Al tomar posesión de un cargo, deberán entregarse y recibirse los bienes de acuerdo con el inventario actualizado, haciéndose constar en acta si hasta aquí el resultado es satisfactorio o puntualizando cualquier faltante para que el jefe de la oficina </w:t>
      </w:r>
      <w:r>
        <w:rPr>
          <w:noProof/>
        </w:rPr>
        <mc:AlternateContent>
          <mc:Choice Requires="wpg">
            <w:drawing>
              <wp:inline distT="0" distB="0" distL="0" distR="0" wp14:anchorId="5F83D9FE" wp14:editId="604ECB53">
                <wp:extent cx="109728" cy="292608"/>
                <wp:effectExtent l="0" t="0" r="0" b="0"/>
                <wp:docPr id="2456093" name="Group 2456093"/>
                <wp:cNvGraphicFramePr/>
                <a:graphic xmlns:a="http://schemas.openxmlformats.org/drawingml/2006/main">
                  <a:graphicData uri="http://schemas.microsoft.com/office/word/2010/wordprocessingGroup">
                    <wpg:wgp>
                      <wpg:cNvGrpSpPr/>
                      <wpg:grpSpPr>
                        <a:xfrm>
                          <a:off x="0" y="0"/>
                          <a:ext cx="109728" cy="292608"/>
                          <a:chOff x="0" y="0"/>
                          <a:chExt cx="109728" cy="292608"/>
                        </a:xfrm>
                      </wpg:grpSpPr>
                      <wps:wsp>
                        <wps:cNvPr id="646450" name="Rectangle 646450"/>
                        <wps:cNvSpPr/>
                        <wps:spPr>
                          <a:xfrm>
                            <a:off x="0" y="0"/>
                            <a:ext cx="145938" cy="389169"/>
                          </a:xfrm>
                          <a:prstGeom prst="rect">
                            <a:avLst/>
                          </a:prstGeom>
                          <a:ln>
                            <a:noFill/>
                          </a:ln>
                        </wps:spPr>
                        <wps:txbx>
                          <w:txbxContent>
                            <w:p w14:paraId="04D43B4D" w14:textId="77777777" w:rsidR="00053D93" w:rsidRDefault="00260B75">
                              <w:r>
                                <w:rPr>
                                  <w:rFonts w:ascii="Times New Roman" w:eastAsia="Times New Roman" w:hAnsi="Times New Roman" w:cs="Times New Roman"/>
                                  <w:sz w:val="64"/>
                                </w:rPr>
                                <w:t>1</w:t>
                              </w:r>
                            </w:p>
                          </w:txbxContent>
                        </wps:txbx>
                        <wps:bodyPr horzOverflow="overflow" vert="horz" lIns="0" tIns="0" rIns="0" bIns="0" rtlCol="0">
                          <a:noAutofit/>
                        </wps:bodyPr>
                      </wps:wsp>
                    </wpg:wgp>
                  </a:graphicData>
                </a:graphic>
              </wp:inline>
            </w:drawing>
          </mc:Choice>
          <mc:Fallback>
            <w:pict>
              <v:group w14:anchorId="5F83D9FE" id="Group 2456093" o:spid="_x0000_s1371" style="width:8.65pt;height:23.05pt;mso-position-horizontal-relative:char;mso-position-vertical-relative:line" coordsize="109728,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">
                <v:rect id="Rectangle 646450" o:spid="_x0000_s1372" style="position:absolute;width:145938;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" filled="f" stroked="f">
                  <v:textbox inset="0,0,0,0">
                    <w:txbxContent>
                      <w:p w14:paraId="04D43B4D" w14:textId="77777777" w:rsidR="00053D93" w:rsidRDefault="00260B75">
                        <w:r>
                          <w:rPr>
                            <w:rFonts w:ascii="Times New Roman" w:eastAsia="Times New Roman" w:hAnsi="Times New Roman" w:cs="Times New Roman"/>
                            <w:sz w:val="64"/>
                          </w:rPr>
                          <w:t>1</w:t>
                        </w:r>
                      </w:p>
                    </w:txbxContent>
                  </v:textbox>
                </v:rect>
                <w10:anchorlock/>
              </v:group>
            </w:pict>
          </mc:Fallback>
        </mc:AlternateContent>
      </w:r>
      <w:r>
        <w:rPr>
          <w:sz w:val="26"/>
        </w:rPr>
        <w:t xml:space="preserve"> exija el reintegro correspondiente, pida la intervención de la Contraloría de Cuentas para la formulación del reparo que proceda, o dé parte a las autoridades </w:t>
      </w:r>
      <w:r>
        <w:rPr>
          <w:noProof/>
        </w:rPr>
        <w:drawing>
          <wp:inline distT="0" distB="0" distL="0" distR="0" wp14:anchorId="49DB1820" wp14:editId="75396FD2">
            <wp:extent cx="13716" cy="13716"/>
            <wp:effectExtent l="0" t="0" r="0" b="0"/>
            <wp:docPr id="649337" name="Picture 649337"/>
            <wp:cNvGraphicFramePr/>
            <a:graphic xmlns:a="http://schemas.openxmlformats.org/drawingml/2006/main">
              <a:graphicData uri="http://schemas.openxmlformats.org/drawingml/2006/picture">
                <pic:pic xmlns:pic="http://schemas.openxmlformats.org/drawingml/2006/picture">
                  <pic:nvPicPr>
                    <pic:cNvPr id="649337" name="Picture 649337"/>
                    <pic:cNvPicPr/>
                  </pic:nvPicPr>
                  <pic:blipFill>
                    <a:blip r:embed="rId960"/>
                    <a:stretch>
                      <a:fillRect/>
                    </a:stretch>
                  </pic:blipFill>
                  <pic:spPr>
                    <a:xfrm>
                      <a:off x="0" y="0"/>
                      <a:ext cx="13716"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judiciales si el caso lo amerita... "</w:t>
      </w:r>
    </w:p>
    <w:p w14:paraId="22C4736A" w14:textId="77777777" w:rsidR="00053D93" w:rsidRDefault="00260B75">
      <w:pPr>
        <w:pStyle w:val="Ttulo3"/>
        <w:spacing w:after="43"/>
        <w:ind w:left="1687" w:right="7"/>
      </w:pPr>
      <w:r>
        <w:t>Causa</w:t>
      </w:r>
    </w:p>
    <w:p w14:paraId="658C6E24" w14:textId="77777777" w:rsidR="00053D93" w:rsidRDefault="00260B75">
      <w:pPr>
        <w:spacing w:after="522" w:line="247" w:lineRule="auto"/>
        <w:ind w:left="14" w:right="14" w:firstLine="4"/>
        <w:jc w:val="both"/>
      </w:pPr>
      <w:r>
        <w:rPr>
          <w:rFonts w:ascii="Times New Roman" w:eastAsia="Times New Roman" w:hAnsi="Times New Roman" w:cs="Times New Roman"/>
          <w:sz w:val="26"/>
        </w:rPr>
        <w:t xml:space="preserve">-1 </w:t>
      </w:r>
      <w:r>
        <w:rPr>
          <w:sz w:val="26"/>
        </w:rPr>
        <w:t xml:space="preserve">La Encargada de Transportes a.i., no resguardó adecuadamente los bienes asignados a su persona, registrados en las tarjetas de responsabilidad de los bienes inventariados números: 396, 3697 y 3698, los cuales pertenecen a </w:t>
      </w:r>
      <w:r>
        <w:rPr>
          <w:rFonts w:ascii="Times New Roman" w:eastAsia="Times New Roman" w:hAnsi="Times New Roman" w:cs="Times New Roman"/>
          <w:sz w:val="26"/>
        </w:rPr>
        <w:t xml:space="preserve">-1 </w:t>
      </w:r>
      <w:r>
        <w:rPr>
          <w:sz w:val="26"/>
        </w:rPr>
        <w:t>la Dirección General de Educación Física -DIGEF-.</w:t>
      </w:r>
    </w:p>
    <w:p w14:paraId="576A439A" w14:textId="77777777" w:rsidR="00053D93" w:rsidRDefault="00260B75">
      <w:pPr>
        <w:tabs>
          <w:tab w:val="center" w:pos="2048"/>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Efecto</w:t>
      </w:r>
    </w:p>
    <w:p w14:paraId="22B053B2" w14:textId="77777777" w:rsidR="00053D93" w:rsidRDefault="00260B75">
      <w:pPr>
        <w:spacing w:after="210" w:line="290" w:lineRule="auto"/>
        <w:ind w:left="21" w:firstLine="19"/>
      </w:pPr>
      <w:r>
        <w:rPr>
          <w:sz w:val="26"/>
        </w:rPr>
        <w:t xml:space="preserve">Menoscabo en los bienes inventariados de la Dirección General de Educación Física -DIGEF-, por el faltante de activos fijos pertenecientes a la Sección de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Transportes.</w:t>
      </w:r>
    </w:p>
    <w:p w14:paraId="6187AAF4" w14:textId="77777777" w:rsidR="00053D93" w:rsidRDefault="00260B75">
      <w:pPr>
        <w:spacing w:after="18" w:line="248" w:lineRule="auto"/>
        <w:ind w:left="118" w:hanging="3"/>
        <w:jc w:val="both"/>
      </w:pPr>
      <w:r>
        <w:rPr>
          <w:noProof/>
        </w:rPr>
        <mc:AlternateContent>
          <mc:Choice Requires="wpg">
            <w:drawing>
              <wp:anchor distT="0" distB="0" distL="114300" distR="114300" simplePos="0" relativeHeight="252058624" behindDoc="0" locked="0" layoutInCell="1" allowOverlap="1" wp14:anchorId="3783B038" wp14:editId="520C2198">
                <wp:simplePos x="0" y="0"/>
                <wp:positionH relativeFrom="column">
                  <wp:posOffset>73152</wp:posOffset>
                </wp:positionH>
                <wp:positionV relativeFrom="paragraph">
                  <wp:posOffset>54864</wp:posOffset>
                </wp:positionV>
                <wp:extent cx="109728" cy="297180"/>
                <wp:effectExtent l="0" t="0" r="0" b="0"/>
                <wp:wrapSquare wrapText="bothSides"/>
                <wp:docPr id="2456094" name="Group 2456094"/>
                <wp:cNvGraphicFramePr/>
                <a:graphic xmlns:a="http://schemas.openxmlformats.org/drawingml/2006/main">
                  <a:graphicData uri="http://schemas.microsoft.com/office/word/2010/wordprocessingGroup">
                    <wpg:wgp>
                      <wpg:cNvGrpSpPr/>
                      <wpg:grpSpPr>
                        <a:xfrm>
                          <a:off x="0" y="0"/>
                          <a:ext cx="109728" cy="297180"/>
                          <a:chOff x="0" y="0"/>
                          <a:chExt cx="109728" cy="297180"/>
                        </a:xfrm>
                      </wpg:grpSpPr>
                      <wps:wsp>
                        <wps:cNvPr id="646456" name="Rectangle 646456"/>
                        <wps:cNvSpPr/>
                        <wps:spPr>
                          <a:xfrm>
                            <a:off x="0" y="0"/>
                            <a:ext cx="145938" cy="395249"/>
                          </a:xfrm>
                          <a:prstGeom prst="rect">
                            <a:avLst/>
                          </a:prstGeom>
                          <a:ln>
                            <a:noFill/>
                          </a:ln>
                        </wps:spPr>
                        <wps:txbx>
                          <w:txbxContent>
                            <w:p w14:paraId="0C8D198C" w14:textId="77777777" w:rsidR="00053D93" w:rsidRDefault="00260B75">
                              <w:r>
                                <w:rPr>
                                  <w:rFonts w:ascii="Times New Roman" w:eastAsia="Times New Roman" w:hAnsi="Times New Roman" w:cs="Times New Roman"/>
                                  <w:sz w:val="64"/>
                                </w:rPr>
                                <w:t>1</w:t>
                              </w:r>
                            </w:p>
                          </w:txbxContent>
                        </wps:txbx>
                        <wps:bodyPr horzOverflow="overflow" vert="horz" lIns="0" tIns="0" rIns="0" bIns="0" rtlCol="0">
                          <a:noAutofit/>
                        </wps:bodyPr>
                      </wps:wsp>
                    </wpg:wgp>
                  </a:graphicData>
                </a:graphic>
              </wp:anchor>
            </w:drawing>
          </mc:Choice>
          <mc:Fallback>
            <w:pict>
              <v:group w14:anchorId="3783B038" id="Group 2456094" o:spid="_x0000_s1373" style="position:absolute;left:0;text-align:left;margin-left:5.75pt;margin-top:4.3pt;width:8.65pt;height:23.4pt;z-index:252058624;mso-position-horizontal-relative:text;mso-position-vertical-relative:text" coordsize="109728,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">
                <v:rect id="Rectangle 646456" o:spid="_x0000_s1374" style="position:absolute;width:145938;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" filled="f" stroked="f">
                  <v:textbox inset="0,0,0,0">
                    <w:txbxContent>
                      <w:p w14:paraId="0C8D198C" w14:textId="77777777" w:rsidR="00053D93" w:rsidRDefault="00260B75">
                        <w:r>
                          <w:rPr>
                            <w:rFonts w:ascii="Times New Roman" w:eastAsia="Times New Roman" w:hAnsi="Times New Roman" w:cs="Times New Roman"/>
                            <w:sz w:val="64"/>
                          </w:rPr>
                          <w:t>1</w:t>
                        </w:r>
                      </w:p>
                    </w:txbxContent>
                  </v:textbox>
                </v:rect>
                <w10:wrap type="square"/>
              </v:group>
            </w:pict>
          </mc:Fallback>
        </mc:AlternateContent>
      </w:r>
      <w:r>
        <w:rPr>
          <w:sz w:val="28"/>
        </w:rPr>
        <w:t>Recomendación</w:t>
      </w:r>
    </w:p>
    <w:p w14:paraId="2CB643EF" w14:textId="77777777" w:rsidR="00053D93" w:rsidRDefault="00260B75">
      <w:pPr>
        <w:spacing w:after="564" w:line="247" w:lineRule="auto"/>
        <w:ind w:left="1706" w:right="14" w:hanging="1591"/>
        <w:jc w:val="both"/>
      </w:pPr>
      <w:r>
        <w:rPr>
          <w:sz w:val="26"/>
        </w:rPr>
        <w:lastRenderedPageBreak/>
        <w:t>El Director General, debe girar instrucciones a la Sección de Inventarios, para que, al determinar faltantes de activos fijos, procedan a solicitar el pago o reposición de los bienes en idénticas características y calidad del original, conforme lo establecido en la normativa legal vigente.</w:t>
      </w:r>
    </w:p>
    <w:p w14:paraId="6758F3E0" w14:textId="77777777" w:rsidR="00053D93" w:rsidRDefault="00260B75">
      <w:pPr>
        <w:tabs>
          <w:tab w:val="center" w:pos="3463"/>
        </w:tabs>
        <w:spacing w:after="18" w:line="248" w:lineRule="auto"/>
      </w:pPr>
      <w:r>
        <w:rPr>
          <w:noProof/>
        </w:rPr>
        <w:drawing>
          <wp:inline distT="0" distB="0" distL="0" distR="0" wp14:anchorId="3671A879" wp14:editId="41590525">
            <wp:extent cx="64008" cy="9144"/>
            <wp:effectExtent l="0" t="0" r="0" b="0"/>
            <wp:docPr id="649338" name="Picture 649338"/>
            <wp:cNvGraphicFramePr/>
            <a:graphic xmlns:a="http://schemas.openxmlformats.org/drawingml/2006/main">
              <a:graphicData uri="http://schemas.openxmlformats.org/drawingml/2006/picture">
                <pic:pic xmlns:pic="http://schemas.openxmlformats.org/drawingml/2006/picture">
                  <pic:nvPicPr>
                    <pic:cNvPr id="649338" name="Picture 649338"/>
                    <pic:cNvPicPr/>
                  </pic:nvPicPr>
                  <pic:blipFill>
                    <a:blip r:embed="rId961"/>
                    <a:stretch>
                      <a:fillRect/>
                    </a:stretch>
                  </pic:blipFill>
                  <pic:spPr>
                    <a:xfrm>
                      <a:off x="0" y="0"/>
                      <a:ext cx="64008" cy="9144"/>
                    </a:xfrm>
                    <a:prstGeom prst="rect">
                      <a:avLst/>
                    </a:prstGeom>
                  </pic:spPr>
                </pic:pic>
              </a:graphicData>
            </a:graphic>
          </wp:inline>
        </w:drawing>
      </w: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Comentario de los responsables</w:t>
      </w:r>
    </w:p>
    <w:p w14:paraId="5A90C039" w14:textId="77777777" w:rsidR="00053D93" w:rsidRDefault="00260B75">
      <w:pPr>
        <w:spacing w:after="17" w:line="247" w:lineRule="auto"/>
        <w:ind w:left="194" w:right="14" w:firstLine="1526"/>
        <w:jc w:val="both"/>
      </w:pPr>
      <w:r>
        <w:rPr>
          <w:sz w:val="26"/>
        </w:rPr>
        <w:t>En nota s/n del 2 de abril de 2025, la señora Yadira Leonora Mansilla Gómez, quien fungió como Encargada de Transportes a.i., por el período comprendido del 8 de septiembre de 2020 al 17 diciembre de 2021 , manifiesta•</w:t>
      </w:r>
      <w:r>
        <w:rPr>
          <w:rFonts w:ascii="Times New Roman" w:eastAsia="Times New Roman" w:hAnsi="Times New Roman" w:cs="Times New Roman"/>
          <w:sz w:val="26"/>
        </w:rPr>
        <w:t xml:space="preserve">. " . . . 1 . Coh </w:t>
      </w:r>
      <w:r>
        <w:rPr>
          <w:sz w:val="26"/>
        </w:rPr>
        <w:t xml:space="preserve">Resolución No. 143-2020, de fecha 08 de septiembre de 2020, fui designada de forma interna, temporal y funcional, para que desempeñe funciones como Encargada de Transportes a.i., a partir del 08 de septiembre de 2020 al 08 de junio de 2022... 2. Referente los bienes detallados en la Condición del presente hallazgo, me permito manifestar: 1 Que cuando fui nombrado interinamente como encargada de transportes, no recibí informe alguno de documentación, archivo y </w:t>
      </w:r>
      <w:r>
        <w:rPr>
          <w:rFonts w:ascii="Times New Roman" w:eastAsia="Times New Roman" w:hAnsi="Times New Roman" w:cs="Times New Roman"/>
          <w:sz w:val="26"/>
        </w:rPr>
        <w:t xml:space="preserve">1 </w:t>
      </w:r>
      <w:r>
        <w:rPr>
          <w:sz w:val="26"/>
        </w:rPr>
        <w:t>menos de los vehículos yl bienes, sin embargo por la necesidad del Departamento de Servicios Generales me fue solicitado el apoyo, el cual sin tener el perfil y la experiencia administrativa asumí. 2. Según manifiestan realizaron un inventario físico 02 de marzo de 2021, en donde no estuve presente, ya que en mi poder</w:t>
      </w:r>
    </w:p>
    <w:tbl>
      <w:tblPr>
        <w:tblStyle w:val="TableGrid"/>
        <w:tblW w:w="9432" w:type="dxa"/>
        <w:tblInd w:w="756" w:type="dxa"/>
        <w:tblLook w:val="04A0" w:firstRow="1" w:lastRow="0" w:firstColumn="1" w:lastColumn="0" w:noHBand="0" w:noVBand="1"/>
      </w:tblPr>
      <w:tblGrid>
        <w:gridCol w:w="1230"/>
        <w:gridCol w:w="8202"/>
      </w:tblGrid>
      <w:tr w:rsidR="00053D93" w14:paraId="63641D35" w14:textId="77777777">
        <w:trPr>
          <w:trHeight w:val="641"/>
        </w:trPr>
        <w:tc>
          <w:tcPr>
            <w:tcW w:w="1728" w:type="dxa"/>
            <w:tcBorders>
              <w:top w:val="nil"/>
              <w:left w:val="nil"/>
              <w:bottom w:val="nil"/>
              <w:right w:val="nil"/>
            </w:tcBorders>
          </w:tcPr>
          <w:p w14:paraId="7E2B4177" w14:textId="77777777" w:rsidR="00053D93" w:rsidRDefault="00260B75">
            <w:r>
              <w:rPr>
                <w:noProof/>
              </w:rPr>
              <w:drawing>
                <wp:inline distT="0" distB="0" distL="0" distR="0" wp14:anchorId="0F273875" wp14:editId="6EAD9613">
                  <wp:extent cx="1069848" cy="406908"/>
                  <wp:effectExtent l="0" t="0" r="0" b="0"/>
                  <wp:docPr id="649427" name="Picture 649427"/>
                  <wp:cNvGraphicFramePr/>
                  <a:graphic xmlns:a="http://schemas.openxmlformats.org/drawingml/2006/main">
                    <a:graphicData uri="http://schemas.openxmlformats.org/drawingml/2006/picture">
                      <pic:pic xmlns:pic="http://schemas.openxmlformats.org/drawingml/2006/picture">
                        <pic:nvPicPr>
                          <pic:cNvPr id="649427" name="Picture 649427"/>
                          <pic:cNvPicPr/>
                        </pic:nvPicPr>
                        <pic:blipFill>
                          <a:blip r:embed="rId962"/>
                          <a:stretch>
                            <a:fillRect/>
                          </a:stretch>
                        </pic:blipFill>
                        <pic:spPr>
                          <a:xfrm>
                            <a:off x="0" y="0"/>
                            <a:ext cx="1069848" cy="406908"/>
                          </a:xfrm>
                          <a:prstGeom prst="rect">
                            <a:avLst/>
                          </a:prstGeom>
                        </pic:spPr>
                      </pic:pic>
                    </a:graphicData>
                  </a:graphic>
                </wp:inline>
              </w:drawing>
            </w:r>
          </w:p>
        </w:tc>
        <w:tc>
          <w:tcPr>
            <w:tcW w:w="7704" w:type="dxa"/>
            <w:tcBorders>
              <w:top w:val="nil"/>
              <w:left w:val="nil"/>
              <w:bottom w:val="nil"/>
              <w:right w:val="nil"/>
            </w:tcBorders>
          </w:tcPr>
          <w:p w14:paraId="5C7B6E9C" w14:textId="77777777" w:rsidR="00053D93" w:rsidRDefault="00053D93">
            <w:pPr>
              <w:ind w:left="-2808" w:right="10512"/>
            </w:pPr>
          </w:p>
          <w:tbl>
            <w:tblPr>
              <w:tblStyle w:val="TableGrid"/>
              <w:tblW w:w="7660" w:type="dxa"/>
              <w:tblInd w:w="44" w:type="dxa"/>
              <w:tblCellMar>
                <w:top w:w="26" w:type="dxa"/>
                <w:left w:w="1770" w:type="dxa"/>
                <w:right w:w="115" w:type="dxa"/>
              </w:tblCellMar>
              <w:tblLook w:val="04A0" w:firstRow="1" w:lastRow="0" w:firstColumn="1" w:lastColumn="0" w:noHBand="0" w:noVBand="1"/>
            </w:tblPr>
            <w:tblGrid>
              <w:gridCol w:w="7660"/>
            </w:tblGrid>
            <w:tr w:rsidR="00053D93" w14:paraId="677C7C80" w14:textId="77777777">
              <w:trPr>
                <w:trHeight w:val="598"/>
              </w:trPr>
              <w:tc>
                <w:tcPr>
                  <w:tcW w:w="7660" w:type="dxa"/>
                  <w:tcBorders>
                    <w:top w:val="single" w:sz="2" w:space="0" w:color="000000"/>
                    <w:left w:val="single" w:sz="2" w:space="0" w:color="000000"/>
                    <w:bottom w:val="nil"/>
                    <w:right w:val="nil"/>
                  </w:tcBorders>
                </w:tcPr>
                <w:p w14:paraId="064F4498" w14:textId="77777777" w:rsidR="00053D93" w:rsidRDefault="00260B75">
                  <w:pPr>
                    <w:ind w:left="835"/>
                  </w:pPr>
                  <w:r>
                    <w:rPr>
                      <w:sz w:val="14"/>
                    </w:rPr>
                    <w:t>MINISTERIO DE EDUCACION</w:t>
                  </w:r>
                </w:p>
                <w:p w14:paraId="2A07409B" w14:textId="77777777" w:rsidR="00053D93" w:rsidRDefault="00260B75">
                  <w:pPr>
                    <w:ind w:left="338"/>
                  </w:pPr>
                  <w:r>
                    <w:rPr>
                      <w:sz w:val="14"/>
                    </w:rPr>
                    <w:t>AUDITORIA FINANCIERA Y DE CUMPLIMIENTO</w:t>
                  </w:r>
                </w:p>
                <w:p w14:paraId="7346356D" w14:textId="77777777" w:rsidR="00053D93" w:rsidRDefault="00260B75">
                  <w:r>
                    <w:rPr>
                      <w:sz w:val="14"/>
                    </w:rPr>
                    <w:t>PERIODO DEL 01 DE ENERO AL 31 OE DICIEMBRE DE 2024</w:t>
                  </w:r>
                </w:p>
              </w:tc>
            </w:tr>
          </w:tbl>
          <w:p w14:paraId="2DC1158A" w14:textId="77777777" w:rsidR="00053D93" w:rsidRDefault="00053D93"/>
        </w:tc>
      </w:tr>
    </w:tbl>
    <w:p w14:paraId="12C15E70" w14:textId="77777777" w:rsidR="00053D93" w:rsidRDefault="00260B75">
      <w:pPr>
        <w:spacing w:after="178" w:line="265" w:lineRule="auto"/>
        <w:ind w:left="1846" w:right="209" w:hanging="10"/>
        <w:jc w:val="center"/>
      </w:pPr>
      <w:r>
        <w:rPr>
          <w:rFonts w:ascii="Times New Roman" w:eastAsia="Times New Roman" w:hAnsi="Times New Roman" w:cs="Times New Roman"/>
          <w:sz w:val="14"/>
        </w:rPr>
        <w:t>140</w:t>
      </w:r>
    </w:p>
    <w:p w14:paraId="1F509C8C" w14:textId="77777777" w:rsidR="00053D93" w:rsidRDefault="00260B75">
      <w:pPr>
        <w:spacing w:after="39"/>
        <w:ind w:left="1678"/>
      </w:pPr>
      <w:r>
        <w:rPr>
          <w:noProof/>
        </w:rPr>
        <mc:AlternateContent>
          <mc:Choice Requires="wpg">
            <w:drawing>
              <wp:inline distT="0" distB="0" distL="0" distR="0" wp14:anchorId="1463523D" wp14:editId="4156A109">
                <wp:extent cx="5390388" cy="13716"/>
                <wp:effectExtent l="0" t="0" r="0" b="0"/>
                <wp:docPr id="2458525" name="Group 2458525"/>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8524" name="Shape 2458524"/>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25" style="width:424.44pt;height:1.08pt;mso-position-horizontal-relative:char;mso-position-vertical-relative:line" coordsize="53903,137">
                <v:shape id="Shape 2458524" style="position:absolute;width:53903;height:137;left:0;top:0;" coordsize="5390388,13716" path="m0,6858l5390388,6858">
                  <v:stroke weight="1.08pt" endcap="flat" joinstyle="miter" miterlimit="1" on="true" color="#000000"/>
                  <v:fill on="false" color="#000000"/>
                </v:shape>
              </v:group>
            </w:pict>
          </mc:Fallback>
        </mc:AlternateContent>
      </w:r>
    </w:p>
    <w:p w14:paraId="729260A0" w14:textId="77777777" w:rsidR="00053D93" w:rsidRDefault="00260B75">
      <w:pPr>
        <w:spacing w:after="17" w:line="247" w:lineRule="auto"/>
        <w:ind w:left="14" w:right="14" w:firstLine="4"/>
        <w:jc w:val="both"/>
      </w:pPr>
      <w:r>
        <w:rPr>
          <w:rFonts w:ascii="Times New Roman" w:eastAsia="Times New Roman" w:hAnsi="Times New Roman" w:cs="Times New Roman"/>
          <w:sz w:val="26"/>
        </w:rPr>
        <w:t xml:space="preserve">1 </w:t>
      </w:r>
      <w:r>
        <w:rPr>
          <w:sz w:val="26"/>
        </w:rPr>
        <w:t xml:space="preserve">solamente tengo una constancia de inventario físico con fecha 25 de enero de 2022, donde deje una observación... 3. Los cargos de bienes según el instructivo Asignación de Bienes Muebles INV-INS-02, el cual describe en el inciso C. 1.3 </w:t>
      </w:r>
      <w:r>
        <w:rPr>
          <w:rFonts w:ascii="Times New Roman" w:eastAsia="Times New Roman" w:hAnsi="Times New Roman" w:cs="Times New Roman"/>
          <w:sz w:val="26"/>
        </w:rPr>
        <w:t xml:space="preserve">1 </w:t>
      </w:r>
      <w:r>
        <w:rPr>
          <w:sz w:val="26"/>
        </w:rPr>
        <w:t xml:space="preserve">Entre usuarios por cambio de responsable... 4. Como se observa en el numeral anterior al realizar los cargos de dichos bienes no se cumplió con el procedimiento </w:t>
      </w:r>
      <w:r>
        <w:rPr>
          <w:rFonts w:ascii="Times New Roman" w:eastAsia="Times New Roman" w:hAnsi="Times New Roman" w:cs="Times New Roman"/>
          <w:sz w:val="26"/>
        </w:rPr>
        <w:t xml:space="preserve">1 </w:t>
      </w:r>
      <w:r>
        <w:rPr>
          <w:sz w:val="26"/>
        </w:rPr>
        <w:t>respectivo, toda vez que se realizó con la descripción "Se carga según oficio No.</w:t>
      </w:r>
    </w:p>
    <w:p w14:paraId="7491DC0C" w14:textId="77777777" w:rsidR="00053D93" w:rsidRDefault="00260B75">
      <w:pPr>
        <w:spacing w:after="17" w:line="247" w:lineRule="auto"/>
        <w:ind w:left="14" w:right="14" w:firstLine="1699"/>
        <w:jc w:val="both"/>
      </w:pPr>
      <w:r>
        <w:rPr>
          <w:sz w:val="26"/>
        </w:rPr>
        <w:t xml:space="preserve">CA 94-2021 de fecha 18 de febrero de 2021 y resolución de nombramiento DIGEF- No. 143-2020 08/09/2020", no con los formularios INV-FOR-03, ya que </w:t>
      </w:r>
      <w:r>
        <w:rPr>
          <w:rFonts w:ascii="Times New Roman" w:eastAsia="Times New Roman" w:hAnsi="Times New Roman" w:cs="Times New Roman"/>
          <w:sz w:val="26"/>
        </w:rPr>
        <w:t xml:space="preserve">1 </w:t>
      </w:r>
      <w:r>
        <w:rPr>
          <w:sz w:val="26"/>
        </w:rPr>
        <w:t xml:space="preserve">cuando se realiza el llenado del referido formulario, se firma tanto por quien entrega y quien recibe los bienes los cuales ha tenido a la vista. 5. Como se puede observar las tarjetas de responsabilidad no fueron firmadas por mi persona, ya que </w:t>
      </w:r>
      <w:r>
        <w:rPr>
          <w:rFonts w:ascii="Times New Roman" w:eastAsia="Times New Roman" w:hAnsi="Times New Roman" w:cs="Times New Roman"/>
          <w:sz w:val="26"/>
        </w:rPr>
        <w:t xml:space="preserve">1 </w:t>
      </w:r>
      <w:r>
        <w:rPr>
          <w:sz w:val="26"/>
        </w:rPr>
        <w:t xml:space="preserve">fui sorprendida con una asignación de bienes que no verifique ni solicite a través del formulario respectivo... 6. Cabe mencionar que dichos bienes estaban </w:t>
      </w:r>
      <w:r>
        <w:rPr>
          <w:rFonts w:ascii="Times New Roman" w:eastAsia="Times New Roman" w:hAnsi="Times New Roman" w:cs="Times New Roman"/>
          <w:sz w:val="26"/>
        </w:rPr>
        <w:t xml:space="preserve">1 </w:t>
      </w:r>
      <w:r>
        <w:rPr>
          <w:sz w:val="26"/>
        </w:rPr>
        <w:t xml:space="preserve">cargados en las tarjetas del señor Juan Diego Aguirre, No. 3497, 3498, 3499, 3500, 3520, 3545 y 2802, quien fungió como Encargado de Transportes antes que mi persona, quien en las fechas en que realizaron de forma incorrecta los cargos </w:t>
      </w:r>
      <w:r>
        <w:rPr>
          <w:rFonts w:ascii="Times New Roman" w:eastAsia="Times New Roman" w:hAnsi="Times New Roman" w:cs="Times New Roman"/>
          <w:sz w:val="26"/>
        </w:rPr>
        <w:t xml:space="preserve">1 </w:t>
      </w:r>
      <w:r>
        <w:rPr>
          <w:sz w:val="26"/>
        </w:rPr>
        <w:t xml:space="preserve">no se encontraba en labores, ya que fue en el tiempo de pandemia y adujo problemas de salud, por lo que ni él ni mi persona estuvimos presentes en dicho movimiento. Sin embargo, él fue beneficiado con el descargo de estos, sabiendo </w:t>
      </w:r>
      <w:r>
        <w:rPr>
          <w:rFonts w:ascii="Times New Roman" w:eastAsia="Times New Roman" w:hAnsi="Times New Roman" w:cs="Times New Roman"/>
          <w:sz w:val="26"/>
        </w:rPr>
        <w:t xml:space="preserve">-1 </w:t>
      </w:r>
      <w:r>
        <w:rPr>
          <w:sz w:val="26"/>
        </w:rPr>
        <w:t xml:space="preserve">que no existían dichos bienes, y según como se puede apreciar en sus tarjetas existe discrepancias en las firmas del señor Diego Aguirre lo que causa </w:t>
      </w:r>
      <w:r>
        <w:rPr>
          <w:rFonts w:ascii="Times New Roman" w:eastAsia="Times New Roman" w:hAnsi="Times New Roman" w:cs="Times New Roman"/>
          <w:sz w:val="26"/>
        </w:rPr>
        <w:t xml:space="preserve">1 </w:t>
      </w:r>
      <w:r>
        <w:rPr>
          <w:sz w:val="26"/>
        </w:rPr>
        <w:t xml:space="preserve">desconfianza. 7. El oficio CA </w:t>
      </w:r>
      <w:r>
        <w:rPr>
          <w:sz w:val="26"/>
        </w:rPr>
        <w:lastRenderedPageBreak/>
        <w:t xml:space="preserve">94-2021 de fecha 18 de febrero de 2021, donde el Coordinador Administrativo Lic. Pablo Emilio Méndez instruyó cargar los bienes fue realizado 12 meses después que me nombraron, por lo que me llama la </w:t>
      </w:r>
      <w:r>
        <w:rPr>
          <w:rFonts w:ascii="Times New Roman" w:eastAsia="Times New Roman" w:hAnsi="Times New Roman" w:cs="Times New Roman"/>
          <w:sz w:val="26"/>
        </w:rPr>
        <w:t xml:space="preserve">1 </w:t>
      </w:r>
      <w:r>
        <w:rPr>
          <w:sz w:val="26"/>
        </w:rPr>
        <w:t xml:space="preserve">atención por qué la acción no fue inmediata y con una instrucción directa a mi persona, lo cual me indica un acto malicioso hacia mi persona. 8. También manifiesto que el apoyo para cubrir interinamente me fue solicitado por seis </w:t>
      </w:r>
      <w:r>
        <w:rPr>
          <w:rFonts w:ascii="Times New Roman" w:eastAsia="Times New Roman" w:hAnsi="Times New Roman" w:cs="Times New Roman"/>
          <w:sz w:val="26"/>
        </w:rPr>
        <w:t xml:space="preserve">1 </w:t>
      </w:r>
      <w:r>
        <w:rPr>
          <w:sz w:val="26"/>
        </w:rPr>
        <w:t xml:space="preserve">meses, los cuales se convirtieron en veintiún meses. 9. ...de las tarjetas de responsabilidad del señor Juan Diego Aguirre: 3497, 3498, 3499, 3500, 3520, </w:t>
      </w:r>
      <w:r>
        <w:rPr>
          <w:noProof/>
        </w:rPr>
        <w:drawing>
          <wp:inline distT="0" distB="0" distL="0" distR="0" wp14:anchorId="336CBCEC" wp14:editId="6D987DBA">
            <wp:extent cx="32004" cy="9144"/>
            <wp:effectExtent l="0" t="0" r="0" b="0"/>
            <wp:docPr id="653483" name="Picture 653483"/>
            <wp:cNvGraphicFramePr/>
            <a:graphic xmlns:a="http://schemas.openxmlformats.org/drawingml/2006/main">
              <a:graphicData uri="http://schemas.openxmlformats.org/drawingml/2006/picture">
                <pic:pic xmlns:pic="http://schemas.openxmlformats.org/drawingml/2006/picture">
                  <pic:nvPicPr>
                    <pic:cNvPr id="653483" name="Picture 653483"/>
                    <pic:cNvPicPr/>
                  </pic:nvPicPr>
                  <pic:blipFill>
                    <a:blip r:embed="rId963"/>
                    <a:stretch>
                      <a:fillRect/>
                    </a:stretch>
                  </pic:blipFill>
                  <pic:spPr>
                    <a:xfrm>
                      <a:off x="0" y="0"/>
                      <a:ext cx="32004"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3545 y 2802, donde se evidencia la misma descripción en el descargo de dichos bienes, lo cual confirma mi aseveración del punto 6. Donde no existió un descargo correcto. 3. No está de más indicar que mi puesto nominal es Asistente </w:t>
      </w:r>
      <w:r>
        <w:rPr>
          <w:rFonts w:ascii="Times New Roman" w:eastAsia="Times New Roman" w:hAnsi="Times New Roman" w:cs="Times New Roman"/>
          <w:sz w:val="26"/>
        </w:rPr>
        <w:t xml:space="preserve">1 </w:t>
      </w:r>
      <w:r>
        <w:rPr>
          <w:sz w:val="26"/>
        </w:rPr>
        <w:t xml:space="preserve">Profesional IV devengando un salario Q. 2,441.00 por lo que no tengo la capacidad económica, ni el perfil para ocupar el puesto que en su momento asumí. 4. ...donde realice la entrega del puesto como Encargada de Transportes </w:t>
      </w:r>
      <w:r>
        <w:rPr>
          <w:rFonts w:ascii="Times New Roman" w:eastAsia="Times New Roman" w:hAnsi="Times New Roman" w:cs="Times New Roman"/>
          <w:sz w:val="26"/>
        </w:rPr>
        <w:t xml:space="preserve">1 </w:t>
      </w:r>
      <w:r>
        <w:rPr>
          <w:sz w:val="26"/>
        </w:rPr>
        <w:t>a.i., donde dejo evidencia de todo lo que tenía a cargo y la Coordinación</w:t>
      </w:r>
    </w:p>
    <w:p w14:paraId="1AB3B75E" w14:textId="77777777" w:rsidR="00053D93" w:rsidRDefault="00260B75">
      <w:pPr>
        <w:spacing w:after="393" w:line="247" w:lineRule="auto"/>
        <w:ind w:left="144" w:right="14" w:firstLine="1555"/>
        <w:jc w:val="both"/>
      </w:pPr>
      <w:r>
        <w:rPr>
          <w:sz w:val="26"/>
        </w:rPr>
        <w:t xml:space="preserve">Administrativa no solicitó el mismo procedimiento con el nuevo Encargado </w:t>
      </w:r>
      <w:r>
        <w:rPr>
          <w:rFonts w:ascii="Times New Roman" w:eastAsia="Times New Roman" w:hAnsi="Times New Roman" w:cs="Times New Roman"/>
          <w:sz w:val="26"/>
        </w:rPr>
        <w:t xml:space="preserve">1 </w:t>
      </w:r>
      <w:r>
        <w:rPr>
          <w:sz w:val="26"/>
        </w:rPr>
        <w:t xml:space="preserve">designado... 5. En varias oportunidades el personal de la sección de inventarios me solicito la firma de las tarjetas de responsabilidad, para lo cual me negué porque no genere formularios de cargo, por lo que no es mi responsabilidad el </w:t>
      </w:r>
      <w:r>
        <w:rPr>
          <w:rFonts w:ascii="Times New Roman" w:eastAsia="Times New Roman" w:hAnsi="Times New Roman" w:cs="Times New Roman"/>
          <w:sz w:val="26"/>
        </w:rPr>
        <w:t xml:space="preserve">1 </w:t>
      </w:r>
      <w:r>
        <w:rPr>
          <w:sz w:val="26"/>
        </w:rPr>
        <w:t>faltante de dichos activos, toda vez que no firme dichos documentos de conformidad. Por lo anterior expuesto y con base en los documentos presentados como evidencia, pueden observar los respetables auditores, que la suscrita. No</w:t>
      </w:r>
    </w:p>
    <w:tbl>
      <w:tblPr>
        <w:tblStyle w:val="TableGrid"/>
        <w:tblpPr w:vertAnchor="text" w:tblpX="2527" w:tblpY="7"/>
        <w:tblOverlap w:val="never"/>
        <w:tblW w:w="7668" w:type="dxa"/>
        <w:tblInd w:w="0" w:type="dxa"/>
        <w:tblCellMar>
          <w:top w:w="33" w:type="dxa"/>
          <w:left w:w="1786" w:type="dxa"/>
          <w:right w:w="115" w:type="dxa"/>
        </w:tblCellMar>
        <w:tblLook w:val="04A0" w:firstRow="1" w:lastRow="0" w:firstColumn="1" w:lastColumn="0" w:noHBand="0" w:noVBand="1"/>
      </w:tblPr>
      <w:tblGrid>
        <w:gridCol w:w="7668"/>
      </w:tblGrid>
      <w:tr w:rsidR="00053D93" w14:paraId="1B3F078F" w14:textId="77777777">
        <w:trPr>
          <w:trHeight w:val="36"/>
        </w:trPr>
        <w:tc>
          <w:tcPr>
            <w:tcW w:w="7668" w:type="dxa"/>
            <w:tcBorders>
              <w:top w:val="nil"/>
              <w:left w:val="single" w:sz="2" w:space="0" w:color="000000"/>
              <w:bottom w:val="single" w:sz="2" w:space="0" w:color="000000"/>
              <w:right w:val="nil"/>
            </w:tcBorders>
          </w:tcPr>
          <w:p w14:paraId="7B8E4020" w14:textId="77777777" w:rsidR="00053D93" w:rsidRDefault="00053D93"/>
        </w:tc>
      </w:tr>
      <w:tr w:rsidR="00053D93" w14:paraId="0DD7EF27" w14:textId="77777777">
        <w:trPr>
          <w:trHeight w:val="605"/>
        </w:trPr>
        <w:tc>
          <w:tcPr>
            <w:tcW w:w="7668" w:type="dxa"/>
            <w:tcBorders>
              <w:top w:val="single" w:sz="2" w:space="0" w:color="000000"/>
              <w:left w:val="single" w:sz="2" w:space="0" w:color="000000"/>
              <w:bottom w:val="nil"/>
              <w:right w:val="nil"/>
            </w:tcBorders>
          </w:tcPr>
          <w:p w14:paraId="5C11BD35" w14:textId="77777777" w:rsidR="00053D93" w:rsidRDefault="00260B75">
            <w:pPr>
              <w:ind w:left="821"/>
            </w:pPr>
            <w:r>
              <w:rPr>
                <w:sz w:val="14"/>
              </w:rPr>
              <w:t>MINISTERIO DE EDUCACION</w:t>
            </w:r>
          </w:p>
          <w:p w14:paraId="2F94864D" w14:textId="77777777" w:rsidR="00053D93" w:rsidRDefault="00260B75">
            <w:pPr>
              <w:ind w:left="324"/>
            </w:pPr>
            <w:r>
              <w:rPr>
                <w:sz w:val="14"/>
              </w:rPr>
              <w:t>AUDITORIA FINANCIERA Y DE CUMPLIMIENTO</w:t>
            </w:r>
          </w:p>
          <w:p w14:paraId="6FF10EF6" w14:textId="77777777" w:rsidR="00053D93" w:rsidRDefault="00260B75">
            <w:r>
              <w:rPr>
                <w:sz w:val="14"/>
              </w:rPr>
              <w:t>PERIODO DEL 01 DE ENERO AL 31 DE DICIEMBRE OE 2024</w:t>
            </w:r>
          </w:p>
        </w:tc>
      </w:tr>
    </w:tbl>
    <w:p w14:paraId="2FFE6158" w14:textId="77777777" w:rsidR="00053D93" w:rsidRDefault="00260B75">
      <w:pPr>
        <w:spacing w:after="3"/>
        <w:ind w:left="176" w:hanging="10"/>
      </w:pPr>
      <w:r>
        <w:rPr>
          <w:rFonts w:ascii="Times New Roman" w:eastAsia="Times New Roman" w:hAnsi="Times New Roman" w:cs="Times New Roman"/>
          <w:sz w:val="70"/>
        </w:rPr>
        <w:t xml:space="preserve">1 </w:t>
      </w:r>
      <w:r>
        <w:rPr>
          <w:noProof/>
        </w:rPr>
        <w:drawing>
          <wp:inline distT="0" distB="0" distL="0" distR="0" wp14:anchorId="0E1C3A2A" wp14:editId="6BF01ED1">
            <wp:extent cx="1065276" cy="416052"/>
            <wp:effectExtent l="0" t="0" r="0" b="0"/>
            <wp:docPr id="653545" name="Picture 653545"/>
            <wp:cNvGraphicFramePr/>
            <a:graphic xmlns:a="http://schemas.openxmlformats.org/drawingml/2006/main">
              <a:graphicData uri="http://schemas.openxmlformats.org/drawingml/2006/picture">
                <pic:pic xmlns:pic="http://schemas.openxmlformats.org/drawingml/2006/picture">
                  <pic:nvPicPr>
                    <pic:cNvPr id="653545" name="Picture 653545"/>
                    <pic:cNvPicPr/>
                  </pic:nvPicPr>
                  <pic:blipFill>
                    <a:blip r:embed="rId964"/>
                    <a:stretch>
                      <a:fillRect/>
                    </a:stretch>
                  </pic:blipFill>
                  <pic:spPr>
                    <a:xfrm>
                      <a:off x="0" y="0"/>
                      <a:ext cx="1065276" cy="416052"/>
                    </a:xfrm>
                    <a:prstGeom prst="rect">
                      <a:avLst/>
                    </a:prstGeom>
                  </pic:spPr>
                </pic:pic>
              </a:graphicData>
            </a:graphic>
          </wp:inline>
        </w:drawing>
      </w:r>
    </w:p>
    <w:p w14:paraId="4CE92CF5" w14:textId="77777777" w:rsidR="00053D93" w:rsidRDefault="00053D93">
      <w:pPr>
        <w:sectPr w:rsidR="00053D93">
          <w:headerReference w:type="even" r:id="rId965"/>
          <w:headerReference w:type="default" r:id="rId966"/>
          <w:footerReference w:type="even" r:id="rId967"/>
          <w:footerReference w:type="default" r:id="rId968"/>
          <w:headerReference w:type="first" r:id="rId969"/>
          <w:footerReference w:type="first" r:id="rId970"/>
          <w:pgSz w:w="12290" w:h="15883"/>
          <w:pgMar w:top="814" w:right="1778" w:bottom="396" w:left="324" w:header="353" w:footer="720" w:gutter="0"/>
          <w:cols w:space="720"/>
          <w:titlePg/>
        </w:sectPr>
      </w:pPr>
    </w:p>
    <w:p w14:paraId="286E917E" w14:textId="77777777" w:rsidR="00053D93" w:rsidRDefault="00260B75">
      <w:pPr>
        <w:spacing w:after="720"/>
        <w:ind w:left="230"/>
      </w:pPr>
      <w:r>
        <w:rPr>
          <w:noProof/>
        </w:rPr>
        <w:lastRenderedPageBreak/>
        <w:drawing>
          <wp:inline distT="0" distB="0" distL="0" distR="0" wp14:anchorId="75DB35A7" wp14:editId="75A64013">
            <wp:extent cx="18288" cy="18288"/>
            <wp:effectExtent l="0" t="0" r="0" b="0"/>
            <wp:docPr id="657284" name="Picture 657284"/>
            <wp:cNvGraphicFramePr/>
            <a:graphic xmlns:a="http://schemas.openxmlformats.org/drawingml/2006/main">
              <a:graphicData uri="http://schemas.openxmlformats.org/drawingml/2006/picture">
                <pic:pic xmlns:pic="http://schemas.openxmlformats.org/drawingml/2006/picture">
                  <pic:nvPicPr>
                    <pic:cNvPr id="657284" name="Picture 657284"/>
                    <pic:cNvPicPr/>
                  </pic:nvPicPr>
                  <pic:blipFill>
                    <a:blip r:embed="rId971"/>
                    <a:stretch>
                      <a:fillRect/>
                    </a:stretch>
                  </pic:blipFill>
                  <pic:spPr>
                    <a:xfrm>
                      <a:off x="0" y="0"/>
                      <a:ext cx="18288" cy="18288"/>
                    </a:xfrm>
                    <a:prstGeom prst="rect">
                      <a:avLst/>
                    </a:prstGeom>
                  </pic:spPr>
                </pic:pic>
              </a:graphicData>
            </a:graphic>
          </wp:inline>
        </w:drawing>
      </w:r>
    </w:p>
    <w:p w14:paraId="34D04420" w14:textId="77777777" w:rsidR="00053D93" w:rsidRDefault="00260B75">
      <w:pPr>
        <w:spacing w:after="46"/>
        <w:ind w:left="1764"/>
      </w:pPr>
      <w:r>
        <w:rPr>
          <w:noProof/>
        </w:rPr>
        <mc:AlternateContent>
          <mc:Choice Requires="wpg">
            <w:drawing>
              <wp:inline distT="0" distB="0" distL="0" distR="0" wp14:anchorId="05F51536" wp14:editId="263B7948">
                <wp:extent cx="5385816" cy="13716"/>
                <wp:effectExtent l="0" t="0" r="0" b="0"/>
                <wp:docPr id="2458532" name="Group 2458532"/>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531" name="Shape 2458531"/>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32" style="width:424.08pt;height:1.07999pt;mso-position-horizontal-relative:char;mso-position-vertical-relative:line" coordsize="53858,137">
                <v:shape id="Shape 2458531" style="position:absolute;width:53858;height:137;left:0;top:0;" coordsize="5385816,13716" path="m0,6858l5385816,6858">
                  <v:stroke weight="1.07999pt" endcap="flat" joinstyle="miter" miterlimit="1" on="true" color="#000000"/>
                  <v:fill on="false" color="#000000"/>
                </v:shape>
              </v:group>
            </w:pict>
          </mc:Fallback>
        </mc:AlternateContent>
      </w:r>
    </w:p>
    <w:p w14:paraId="34D23FB1" w14:textId="77777777" w:rsidR="00053D93" w:rsidRDefault="00260B75">
      <w:pPr>
        <w:spacing w:after="17" w:line="338" w:lineRule="auto"/>
        <w:ind w:left="1749" w:right="14" w:hanging="1735"/>
        <w:jc w:val="both"/>
      </w:pPr>
      <w:r>
        <w:rPr>
          <w:noProof/>
        </w:rPr>
        <w:drawing>
          <wp:anchor distT="0" distB="0" distL="114300" distR="114300" simplePos="0" relativeHeight="252059648" behindDoc="0" locked="0" layoutInCell="1" allowOverlap="0" wp14:anchorId="52A88FA1" wp14:editId="279AF07A">
            <wp:simplePos x="0" y="0"/>
            <wp:positionH relativeFrom="column">
              <wp:posOffset>155448</wp:posOffset>
            </wp:positionH>
            <wp:positionV relativeFrom="paragraph">
              <wp:posOffset>519561</wp:posOffset>
            </wp:positionV>
            <wp:extent cx="9144" cy="4572"/>
            <wp:effectExtent l="0" t="0" r="0" b="0"/>
            <wp:wrapSquare wrapText="bothSides"/>
            <wp:docPr id="657285" name="Picture 657285"/>
            <wp:cNvGraphicFramePr/>
            <a:graphic xmlns:a="http://schemas.openxmlformats.org/drawingml/2006/main">
              <a:graphicData uri="http://schemas.openxmlformats.org/drawingml/2006/picture">
                <pic:pic xmlns:pic="http://schemas.openxmlformats.org/drawingml/2006/picture">
                  <pic:nvPicPr>
                    <pic:cNvPr id="657285" name="Picture 657285"/>
                    <pic:cNvPicPr/>
                  </pic:nvPicPr>
                  <pic:blipFill>
                    <a:blip r:embed="rId972"/>
                    <a:stretch>
                      <a:fillRect/>
                    </a:stretch>
                  </pic:blipFill>
                  <pic:spPr>
                    <a:xfrm>
                      <a:off x="0" y="0"/>
                      <a:ext cx="9144" cy="4572"/>
                    </a:xfrm>
                    <a:prstGeom prst="rect">
                      <a:avLst/>
                    </a:prstGeom>
                  </pic:spPr>
                </pic:pic>
              </a:graphicData>
            </a:graphic>
          </wp:anchor>
        </w:drawing>
      </w:r>
      <w:r>
        <w:rPr>
          <w:rFonts w:ascii="Times New Roman" w:eastAsia="Times New Roman" w:hAnsi="Times New Roman" w:cs="Times New Roman"/>
          <w:sz w:val="26"/>
        </w:rPr>
        <w:t xml:space="preserve">1 </w:t>
      </w:r>
      <w:r>
        <w:rPr>
          <w:sz w:val="26"/>
        </w:rPr>
        <w:t>participe de un proceso transparente de cargo de bienes (vehículos y accesorios), por lo que les solicito atentamente se tenga un análisis objetivo en el presente caso y este posible hallazgo sea desvanecido para mi persona... "</w:t>
      </w:r>
    </w:p>
    <w:p w14:paraId="00E22865" w14:textId="77777777" w:rsidR="00053D93" w:rsidRDefault="00260B75">
      <w:pPr>
        <w:spacing w:after="3" w:line="265" w:lineRule="auto"/>
        <w:ind w:left="60" w:right="10015" w:hanging="10"/>
      </w:pPr>
      <w:r>
        <w:rPr>
          <w:rFonts w:ascii="Times New Roman" w:eastAsia="Times New Roman" w:hAnsi="Times New Roman" w:cs="Times New Roman"/>
          <w:sz w:val="66"/>
        </w:rPr>
        <w:t>1</w:t>
      </w:r>
    </w:p>
    <w:p w14:paraId="7F345BEA" w14:textId="77777777" w:rsidR="00053D93" w:rsidRDefault="00260B75">
      <w:pPr>
        <w:spacing w:after="162" w:line="247" w:lineRule="auto"/>
        <w:ind w:left="1778" w:right="14" w:firstLine="4"/>
        <w:jc w:val="both"/>
      </w:pPr>
      <w:r>
        <w:rPr>
          <w:sz w:val="26"/>
        </w:rPr>
        <w:t>Comentario de auditoría</w:t>
      </w:r>
    </w:p>
    <w:p w14:paraId="16B72D2D" w14:textId="77777777" w:rsidR="00053D93" w:rsidRDefault="00260B75">
      <w:pPr>
        <w:spacing w:after="17" w:line="247" w:lineRule="auto"/>
        <w:ind w:left="14" w:right="14" w:firstLine="4"/>
        <w:jc w:val="both"/>
      </w:pPr>
      <w:r>
        <w:rPr>
          <w:rFonts w:ascii="Times New Roman" w:eastAsia="Times New Roman" w:hAnsi="Times New Roman" w:cs="Times New Roman"/>
          <w:sz w:val="26"/>
        </w:rPr>
        <w:t xml:space="preserve">1 </w:t>
      </w:r>
      <w:r>
        <w:rPr>
          <w:sz w:val="26"/>
        </w:rPr>
        <w:t xml:space="preserve">Se confirma el hallazgo, para la señora Yadira Leonora Mansilla Gómez, quien fungió como Encargada de Transportes, A.l., durante el período comprendido del 8 de septiembre de 2020 al 17 diciembre de 2021 , en virtud que las pruebas </w:t>
      </w:r>
      <w:r>
        <w:rPr>
          <w:rFonts w:ascii="Times New Roman" w:eastAsia="Times New Roman" w:hAnsi="Times New Roman" w:cs="Times New Roman"/>
          <w:sz w:val="26"/>
        </w:rPr>
        <w:t xml:space="preserve">1 </w:t>
      </w:r>
      <w:r>
        <w:rPr>
          <w:sz w:val="26"/>
        </w:rPr>
        <w:t xml:space="preserve">presentadas no son suficientes, a pesar de no firmar las tarjetas de responsabilidad indicadas por la responsable, debido a que manifiesta no haber </w:t>
      </w:r>
      <w:r>
        <w:rPr>
          <w:rFonts w:ascii="Times New Roman" w:eastAsia="Times New Roman" w:hAnsi="Times New Roman" w:cs="Times New Roman"/>
          <w:sz w:val="26"/>
        </w:rPr>
        <w:t xml:space="preserve">1 </w:t>
      </w:r>
      <w:r>
        <w:rPr>
          <w:sz w:val="26"/>
        </w:rPr>
        <w:t xml:space="preserve">estado presente en la verificación física realizada por la Sección de Inventarios el 02 de marzo de 2021, en donde se revisaron los activos fijos para que fueran registrados a sus tarjetas de responsabilidad; según oficio s/n del 05 de marzo de </w:t>
      </w:r>
      <w:r>
        <w:rPr>
          <w:noProof/>
        </w:rPr>
        <mc:AlternateContent>
          <mc:Choice Requires="wpg">
            <w:drawing>
              <wp:inline distT="0" distB="0" distL="0" distR="0" wp14:anchorId="7E083BC1" wp14:editId="1CE9473D">
                <wp:extent cx="114300" cy="288036"/>
                <wp:effectExtent l="0" t="0" r="0" b="0"/>
                <wp:docPr id="2456114" name="Group 2456114"/>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654275" name="Rectangle 654275"/>
                        <wps:cNvSpPr/>
                        <wps:spPr>
                          <a:xfrm>
                            <a:off x="0" y="0"/>
                            <a:ext cx="152019" cy="383088"/>
                          </a:xfrm>
                          <a:prstGeom prst="rect">
                            <a:avLst/>
                          </a:prstGeom>
                          <a:ln>
                            <a:noFill/>
                          </a:ln>
                        </wps:spPr>
                        <wps:txbx>
                          <w:txbxContent>
                            <w:p w14:paraId="221CFACA"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inline>
            </w:drawing>
          </mc:Choice>
          <mc:Fallback>
            <w:pict>
              <v:group w14:anchorId="7E083BC1" id="Group 2456114" o:spid="_x0000_s1375" style="width:9pt;height:22.7pt;mso-position-horizontal-relative:char;mso-position-vertical-relative:line"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">
                <v:rect id="Rectangle 654275" o:spid="_x0000_s1376"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" filled="f" stroked="f">
                  <v:textbox inset="0,0,0,0">
                    <w:txbxContent>
                      <w:p w14:paraId="221CFACA" w14:textId="77777777" w:rsidR="00053D93" w:rsidRDefault="00260B75">
                        <w:r>
                          <w:rPr>
                            <w:rFonts w:ascii="Times New Roman" w:eastAsia="Times New Roman" w:hAnsi="Times New Roman" w:cs="Times New Roman"/>
                            <w:sz w:val="66"/>
                          </w:rPr>
                          <w:t>1</w:t>
                        </w:r>
                      </w:p>
                    </w:txbxContent>
                  </v:textbox>
                </v:rect>
                <w10:anchorlock/>
              </v:group>
            </w:pict>
          </mc:Fallback>
        </mc:AlternateContent>
      </w:r>
      <w:r>
        <w:rPr>
          <w:sz w:val="26"/>
        </w:rPr>
        <w:t xml:space="preserve"> 2021, emitido por los Asistentes de Inventarios que realizaron dicha verificación física, informaron al Jefe de la Sección de Inventarios, que la responsable si estuvo presente en la toma física realizada con las tarjetas de responsabilidad del</w:t>
      </w:r>
    </w:p>
    <w:p w14:paraId="0C4CDE75" w14:textId="77777777" w:rsidR="00053D93" w:rsidRDefault="00260B75">
      <w:pPr>
        <w:spacing w:after="44"/>
        <w:ind w:left="72"/>
      </w:pPr>
      <w:r>
        <w:rPr>
          <w:noProof/>
        </w:rPr>
        <w:drawing>
          <wp:inline distT="0" distB="0" distL="0" distR="0" wp14:anchorId="3C5EA6D5" wp14:editId="163311A6">
            <wp:extent cx="13716" cy="9144"/>
            <wp:effectExtent l="0" t="0" r="0" b="0"/>
            <wp:docPr id="657286" name="Picture 657286"/>
            <wp:cNvGraphicFramePr/>
            <a:graphic xmlns:a="http://schemas.openxmlformats.org/drawingml/2006/main">
              <a:graphicData uri="http://schemas.openxmlformats.org/drawingml/2006/picture">
                <pic:pic xmlns:pic="http://schemas.openxmlformats.org/drawingml/2006/picture">
                  <pic:nvPicPr>
                    <pic:cNvPr id="657286" name="Picture 657286"/>
                    <pic:cNvPicPr/>
                  </pic:nvPicPr>
                  <pic:blipFill>
                    <a:blip r:embed="rId973"/>
                    <a:stretch>
                      <a:fillRect/>
                    </a:stretch>
                  </pic:blipFill>
                  <pic:spPr>
                    <a:xfrm>
                      <a:off x="0" y="0"/>
                      <a:ext cx="13716" cy="9144"/>
                    </a:xfrm>
                    <a:prstGeom prst="rect">
                      <a:avLst/>
                    </a:prstGeom>
                  </pic:spPr>
                </pic:pic>
              </a:graphicData>
            </a:graphic>
          </wp:inline>
        </w:drawing>
      </w:r>
    </w:p>
    <w:p w14:paraId="7BFEF070" w14:textId="77777777" w:rsidR="00053D93" w:rsidRDefault="00260B75">
      <w:pPr>
        <w:tabs>
          <w:tab w:val="right" w:pos="10231"/>
        </w:tabs>
        <w:spacing w:after="17"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anterior Encargado de Transportes y trasladaron el documento denominado:</w:t>
      </w:r>
    </w:p>
    <w:p w14:paraId="7E5AF2E4" w14:textId="77777777" w:rsidR="00053D93" w:rsidRDefault="00260B75">
      <w:pPr>
        <w:spacing w:after="17" w:line="247" w:lineRule="auto"/>
        <w:ind w:left="79" w:right="14" w:firstLine="1692"/>
        <w:jc w:val="both"/>
      </w:pPr>
      <w:r>
        <w:rPr>
          <w:sz w:val="26"/>
        </w:rPr>
        <w:t xml:space="preserve">"Constancia de Verificación Física de Activos Fijos Año 2021" del 02 de marzo de </w:t>
      </w:r>
      <w:r>
        <w:rPr>
          <w:noProof/>
        </w:rPr>
        <w:drawing>
          <wp:inline distT="0" distB="0" distL="0" distR="0" wp14:anchorId="4038BFBB" wp14:editId="5C204C23">
            <wp:extent cx="18288" cy="9144"/>
            <wp:effectExtent l="0" t="0" r="0" b="0"/>
            <wp:docPr id="657287" name="Picture 657287"/>
            <wp:cNvGraphicFramePr/>
            <a:graphic xmlns:a="http://schemas.openxmlformats.org/drawingml/2006/main">
              <a:graphicData uri="http://schemas.openxmlformats.org/drawingml/2006/picture">
                <pic:pic xmlns:pic="http://schemas.openxmlformats.org/drawingml/2006/picture">
                  <pic:nvPicPr>
                    <pic:cNvPr id="657287" name="Picture 657287"/>
                    <pic:cNvPicPr/>
                  </pic:nvPicPr>
                  <pic:blipFill>
                    <a:blip r:embed="rId974"/>
                    <a:stretch>
                      <a:fillRect/>
                    </a:stretch>
                  </pic:blipFill>
                  <pic:spPr>
                    <a:xfrm>
                      <a:off x="0" y="0"/>
                      <a:ext cx="18288"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2021, en donde se observa la firma y un sello con el nombre de la responsable, estableciendo que no se observaron faltantes en dicha verificación inicial, por lo que, si no estuvo de acuerdo con dicha asignación, desde el inicio debió realizar </w:t>
      </w:r>
      <w:r>
        <w:rPr>
          <w:noProof/>
        </w:rPr>
        <w:drawing>
          <wp:inline distT="0" distB="0" distL="0" distR="0" wp14:anchorId="5E15C76F" wp14:editId="0490DCAC">
            <wp:extent cx="13716" cy="9144"/>
            <wp:effectExtent l="0" t="0" r="0" b="0"/>
            <wp:docPr id="657288" name="Picture 657288"/>
            <wp:cNvGraphicFramePr/>
            <a:graphic xmlns:a="http://schemas.openxmlformats.org/drawingml/2006/main">
              <a:graphicData uri="http://schemas.openxmlformats.org/drawingml/2006/picture">
                <pic:pic xmlns:pic="http://schemas.openxmlformats.org/drawingml/2006/picture">
                  <pic:nvPicPr>
                    <pic:cNvPr id="657288" name="Picture 657288"/>
                    <pic:cNvPicPr/>
                  </pic:nvPicPr>
                  <pic:blipFill>
                    <a:blip r:embed="rId975"/>
                    <a:stretch>
                      <a:fillRect/>
                    </a:stretch>
                  </pic:blipFill>
                  <pic:spPr>
                    <a:xfrm>
                      <a:off x="0" y="0"/>
                      <a:ext cx="13716"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las gestiones y trámites administrativos necesarios para solucionar dicha situación, además, en el mismo oficio emitido por los Asistentes de inventarios, se indica que le cargarían los bienes a sus tarjetas de responsabilidad, excepto los registrados</w:t>
      </w:r>
    </w:p>
    <w:p w14:paraId="02251EED" w14:textId="77777777" w:rsidR="00053D93" w:rsidRDefault="00260B75">
      <w:pPr>
        <w:spacing w:after="56"/>
        <w:ind w:left="86"/>
      </w:pPr>
      <w:r>
        <w:rPr>
          <w:noProof/>
        </w:rPr>
        <w:drawing>
          <wp:inline distT="0" distB="0" distL="0" distR="0" wp14:anchorId="446E62D0" wp14:editId="59D1A578">
            <wp:extent cx="27432" cy="4572"/>
            <wp:effectExtent l="0" t="0" r="0" b="0"/>
            <wp:docPr id="2458527" name="Picture 2458527"/>
            <wp:cNvGraphicFramePr/>
            <a:graphic xmlns:a="http://schemas.openxmlformats.org/drawingml/2006/main">
              <a:graphicData uri="http://schemas.openxmlformats.org/drawingml/2006/picture">
                <pic:pic xmlns:pic="http://schemas.openxmlformats.org/drawingml/2006/picture">
                  <pic:nvPicPr>
                    <pic:cNvPr id="2458527" name="Picture 2458527"/>
                    <pic:cNvPicPr/>
                  </pic:nvPicPr>
                  <pic:blipFill>
                    <a:blip r:embed="rId976"/>
                    <a:stretch>
                      <a:fillRect/>
                    </a:stretch>
                  </pic:blipFill>
                  <pic:spPr>
                    <a:xfrm>
                      <a:off x="0" y="0"/>
                      <a:ext cx="27432" cy="4572"/>
                    </a:xfrm>
                    <a:prstGeom prst="rect">
                      <a:avLst/>
                    </a:prstGeom>
                  </pic:spPr>
                </pic:pic>
              </a:graphicData>
            </a:graphic>
          </wp:inline>
        </w:drawing>
      </w:r>
    </w:p>
    <w:p w14:paraId="65201494" w14:textId="77777777" w:rsidR="00053D93" w:rsidRDefault="00260B75">
      <w:pPr>
        <w:spacing w:after="17" w:line="247" w:lineRule="auto"/>
        <w:ind w:left="101" w:right="14" w:firstLine="4"/>
        <w:jc w:val="both"/>
      </w:pPr>
      <w:r>
        <w:rPr>
          <w:noProof/>
        </w:rPr>
        <mc:AlternateContent>
          <mc:Choice Requires="wpg">
            <w:drawing>
              <wp:anchor distT="0" distB="0" distL="114300" distR="114300" simplePos="0" relativeHeight="252060672" behindDoc="0" locked="0" layoutInCell="1" allowOverlap="1" wp14:anchorId="5AC5D99D" wp14:editId="733A40E3">
                <wp:simplePos x="0" y="0"/>
                <wp:positionH relativeFrom="column">
                  <wp:posOffset>100584</wp:posOffset>
                </wp:positionH>
                <wp:positionV relativeFrom="paragraph">
                  <wp:posOffset>412243</wp:posOffset>
                </wp:positionV>
                <wp:extent cx="114300" cy="292608"/>
                <wp:effectExtent l="0" t="0" r="0" b="0"/>
                <wp:wrapSquare wrapText="bothSides"/>
                <wp:docPr id="2456115" name="Group 2456115"/>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654280" name="Rectangle 654280"/>
                        <wps:cNvSpPr/>
                        <wps:spPr>
                          <a:xfrm>
                            <a:off x="0" y="0"/>
                            <a:ext cx="152019" cy="389169"/>
                          </a:xfrm>
                          <a:prstGeom prst="rect">
                            <a:avLst/>
                          </a:prstGeom>
                          <a:ln>
                            <a:noFill/>
                          </a:ln>
                        </wps:spPr>
                        <wps:txbx>
                          <w:txbxContent>
                            <w:p w14:paraId="0FE334F7"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anchor>
            </w:drawing>
          </mc:Choice>
          <mc:Fallback>
            <w:pict>
              <v:group w14:anchorId="5AC5D99D" id="Group 2456115" o:spid="_x0000_s1377" style="position:absolute;left:0;text-align:left;margin-left:7.9pt;margin-top:32.45pt;width:9pt;height:23.05pt;z-index:252060672;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">
                <v:rect id="Rectangle 654280" o:spid="_x0000_s1378"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" filled="f" stroked="f">
                  <v:textbox inset="0,0,0,0">
                    <w:txbxContent>
                      <w:p w14:paraId="0FE334F7" w14:textId="77777777" w:rsidR="00053D93" w:rsidRDefault="00260B75">
                        <w:r>
                          <w:rPr>
                            <w:rFonts w:ascii="Times New Roman" w:eastAsia="Times New Roman" w:hAnsi="Times New Roman" w:cs="Times New Roman"/>
                            <w:sz w:val="66"/>
                          </w:rPr>
                          <w:t>1</w:t>
                        </w:r>
                      </w:p>
                    </w:txbxContent>
                  </v:textbox>
                </v:rect>
                <w10:wrap type="square"/>
              </v:group>
            </w:pict>
          </mc:Fallback>
        </mc:AlternateContent>
      </w:r>
      <w:r>
        <w:rPr>
          <w:rFonts w:ascii="Times New Roman" w:eastAsia="Times New Roman" w:hAnsi="Times New Roman" w:cs="Times New Roman"/>
          <w:sz w:val="26"/>
        </w:rPr>
        <w:t xml:space="preserve">1 </w:t>
      </w:r>
      <w:r>
        <w:rPr>
          <w:sz w:val="26"/>
        </w:rPr>
        <w:t xml:space="preserve">en las tarjetas de responsabilidad del anterior Encargado de Transportes, que se encontraban en proceso de baja, los cuales no forman parte del presente hallazgo, de lo cual se manifiesta que la señora Mansilla estuvo de acuerdo. Asimismo, al momento que la responsable se retiró del cargo de Encargada de Transportes, A.l., la Sección de Inventarios de la DIGEF, elaboró el Acta No. 10-2022, del 10 de </w:t>
      </w:r>
      <w:r>
        <w:rPr>
          <w:noProof/>
        </w:rPr>
        <w:drawing>
          <wp:inline distT="0" distB="0" distL="0" distR="0" wp14:anchorId="1CD8310A" wp14:editId="2CDE07C1">
            <wp:extent cx="18288" cy="9144"/>
            <wp:effectExtent l="0" t="0" r="0" b="0"/>
            <wp:docPr id="657291" name="Picture 657291"/>
            <wp:cNvGraphicFramePr/>
            <a:graphic xmlns:a="http://schemas.openxmlformats.org/drawingml/2006/main">
              <a:graphicData uri="http://schemas.openxmlformats.org/drawingml/2006/picture">
                <pic:pic xmlns:pic="http://schemas.openxmlformats.org/drawingml/2006/picture">
                  <pic:nvPicPr>
                    <pic:cNvPr id="657291" name="Picture 657291"/>
                    <pic:cNvPicPr/>
                  </pic:nvPicPr>
                  <pic:blipFill>
                    <a:blip r:embed="rId977"/>
                    <a:stretch>
                      <a:fillRect/>
                    </a:stretch>
                  </pic:blipFill>
                  <pic:spPr>
                    <a:xfrm>
                      <a:off x="0" y="0"/>
                      <a:ext cx="18288"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junio de 2022, donde dejaron constancia de la verificación física realizada a los activos fijos de la señora Mansilla, para poderlos asignar al nuevo Encargado de Transportes, determinando los faltantes detallados en el presente hallazgo por la</w:t>
      </w:r>
    </w:p>
    <w:p w14:paraId="1AC27199" w14:textId="77777777" w:rsidR="00053D93" w:rsidRDefault="00260B75">
      <w:pPr>
        <w:spacing w:after="60"/>
        <w:ind w:left="108"/>
      </w:pPr>
      <w:r>
        <w:rPr>
          <w:noProof/>
        </w:rPr>
        <w:drawing>
          <wp:inline distT="0" distB="0" distL="0" distR="0" wp14:anchorId="5CDC36A7" wp14:editId="07297FB6">
            <wp:extent cx="22860" cy="9144"/>
            <wp:effectExtent l="0" t="0" r="0" b="0"/>
            <wp:docPr id="657292" name="Picture 657292"/>
            <wp:cNvGraphicFramePr/>
            <a:graphic xmlns:a="http://schemas.openxmlformats.org/drawingml/2006/main">
              <a:graphicData uri="http://schemas.openxmlformats.org/drawingml/2006/picture">
                <pic:pic xmlns:pic="http://schemas.openxmlformats.org/drawingml/2006/picture">
                  <pic:nvPicPr>
                    <pic:cNvPr id="657292" name="Picture 657292"/>
                    <pic:cNvPicPr/>
                  </pic:nvPicPr>
                  <pic:blipFill>
                    <a:blip r:embed="rId978"/>
                    <a:stretch>
                      <a:fillRect/>
                    </a:stretch>
                  </pic:blipFill>
                  <pic:spPr>
                    <a:xfrm>
                      <a:off x="0" y="0"/>
                      <a:ext cx="22860" cy="9144"/>
                    </a:xfrm>
                    <a:prstGeom prst="rect">
                      <a:avLst/>
                    </a:prstGeom>
                  </pic:spPr>
                </pic:pic>
              </a:graphicData>
            </a:graphic>
          </wp:inline>
        </w:drawing>
      </w:r>
    </w:p>
    <w:p w14:paraId="308CC06B" w14:textId="77777777" w:rsidR="00053D93" w:rsidRDefault="00260B75">
      <w:pPr>
        <w:spacing w:after="17" w:line="346" w:lineRule="auto"/>
        <w:ind w:left="180" w:right="14" w:firstLine="4"/>
        <w:jc w:val="both"/>
      </w:pPr>
      <w:r>
        <w:rPr>
          <w:rFonts w:ascii="Times New Roman" w:eastAsia="Times New Roman" w:hAnsi="Times New Roman" w:cs="Times New Roman"/>
          <w:sz w:val="26"/>
        </w:rPr>
        <w:lastRenderedPageBreak/>
        <w:t xml:space="preserve">1 </w:t>
      </w:r>
      <w:r>
        <w:rPr>
          <w:sz w:val="26"/>
        </w:rPr>
        <w:t xml:space="preserve">cantidad de Q31 ,974.00 y dicha verificación física consta en el documento denominado: "Constancia de Verificación Física de Activos Fijos Año 2022" del 08 </w:t>
      </w:r>
      <w:r>
        <w:rPr>
          <w:rFonts w:ascii="Times New Roman" w:eastAsia="Times New Roman" w:hAnsi="Times New Roman" w:cs="Times New Roman"/>
          <w:sz w:val="26"/>
        </w:rPr>
        <w:t xml:space="preserve">1 </w:t>
      </w:r>
      <w:r>
        <w:rPr>
          <w:sz w:val="26"/>
        </w:rPr>
        <w:t>de junio de 2022, en donde se observa la firma y un sello con el nombre de la señora Mansilla, documento donde determinaron faltantes, como resultado de</w:t>
      </w:r>
    </w:p>
    <w:p w14:paraId="22BE8770" w14:textId="77777777" w:rsidR="00053D93" w:rsidRDefault="00260B75">
      <w:pPr>
        <w:spacing w:after="172" w:line="252" w:lineRule="auto"/>
        <w:ind w:left="1788" w:hanging="10"/>
        <w:jc w:val="both"/>
      </w:pPr>
      <w:r>
        <w:rPr>
          <w:sz w:val="24"/>
        </w:rPr>
        <w:t>dicha verificación.</w:t>
      </w:r>
    </w:p>
    <w:p w14:paraId="025EA0DE" w14:textId="77777777" w:rsidR="00053D93" w:rsidRDefault="00260B75">
      <w:pPr>
        <w:spacing w:after="3" w:line="265" w:lineRule="auto"/>
        <w:ind w:left="60" w:right="65" w:hanging="10"/>
      </w:pPr>
      <w:r>
        <w:rPr>
          <w:noProof/>
        </w:rPr>
        <w:drawing>
          <wp:inline distT="0" distB="0" distL="0" distR="0" wp14:anchorId="5E1510D4" wp14:editId="69337931">
            <wp:extent cx="18288" cy="13716"/>
            <wp:effectExtent l="0" t="0" r="0" b="0"/>
            <wp:docPr id="657293" name="Picture 657293"/>
            <wp:cNvGraphicFramePr/>
            <a:graphic xmlns:a="http://schemas.openxmlformats.org/drawingml/2006/main">
              <a:graphicData uri="http://schemas.openxmlformats.org/drawingml/2006/picture">
                <pic:pic xmlns:pic="http://schemas.openxmlformats.org/drawingml/2006/picture">
                  <pic:nvPicPr>
                    <pic:cNvPr id="657293" name="Picture 657293"/>
                    <pic:cNvPicPr/>
                  </pic:nvPicPr>
                  <pic:blipFill>
                    <a:blip r:embed="rId979"/>
                    <a:stretch>
                      <a:fillRect/>
                    </a:stretch>
                  </pic:blipFill>
                  <pic:spPr>
                    <a:xfrm>
                      <a:off x="0" y="0"/>
                      <a:ext cx="18288" cy="13716"/>
                    </a:xfrm>
                    <a:prstGeom prst="rect">
                      <a:avLst/>
                    </a:prstGeom>
                  </pic:spPr>
                </pic:pic>
              </a:graphicData>
            </a:graphic>
          </wp:inline>
        </w:drawing>
      </w:r>
      <w:r>
        <w:rPr>
          <w:rFonts w:ascii="Times New Roman" w:eastAsia="Times New Roman" w:hAnsi="Times New Roman" w:cs="Times New Roman"/>
          <w:sz w:val="66"/>
        </w:rPr>
        <w:t>1</w:t>
      </w:r>
    </w:p>
    <w:p w14:paraId="034E1B93" w14:textId="77777777" w:rsidR="00053D93" w:rsidRDefault="00260B75">
      <w:pPr>
        <w:spacing w:after="18" w:line="248" w:lineRule="auto"/>
        <w:ind w:left="1774" w:hanging="3"/>
        <w:jc w:val="both"/>
      </w:pPr>
      <w:r>
        <w:rPr>
          <w:sz w:val="28"/>
        </w:rPr>
        <w:t>Acciones legales</w:t>
      </w:r>
    </w:p>
    <w:p w14:paraId="66848F59" w14:textId="77777777" w:rsidR="00053D93" w:rsidRDefault="00260B75">
      <w:pPr>
        <w:spacing w:after="673" w:line="247" w:lineRule="auto"/>
        <w:ind w:left="216" w:right="14" w:firstLine="4"/>
        <w:jc w:val="both"/>
      </w:pPr>
      <w:r>
        <w:rPr>
          <w:noProof/>
        </w:rPr>
        <mc:AlternateContent>
          <mc:Choice Requires="wpg">
            <w:drawing>
              <wp:anchor distT="0" distB="0" distL="114300" distR="114300" simplePos="0" relativeHeight="252061696" behindDoc="0" locked="0" layoutInCell="1" allowOverlap="1" wp14:anchorId="76BD4761" wp14:editId="56685ABC">
                <wp:simplePos x="0" y="0"/>
                <wp:positionH relativeFrom="column">
                  <wp:posOffset>137160</wp:posOffset>
                </wp:positionH>
                <wp:positionV relativeFrom="paragraph">
                  <wp:posOffset>54231</wp:posOffset>
                </wp:positionV>
                <wp:extent cx="109728" cy="288037"/>
                <wp:effectExtent l="0" t="0" r="0" b="0"/>
                <wp:wrapSquare wrapText="bothSides"/>
                <wp:docPr id="2456116" name="Group 2456116"/>
                <wp:cNvGraphicFramePr/>
                <a:graphic xmlns:a="http://schemas.openxmlformats.org/drawingml/2006/main">
                  <a:graphicData uri="http://schemas.microsoft.com/office/word/2010/wordprocessingGroup">
                    <wpg:wgp>
                      <wpg:cNvGrpSpPr/>
                      <wpg:grpSpPr>
                        <a:xfrm>
                          <a:off x="0" y="0"/>
                          <a:ext cx="109728" cy="288037"/>
                          <a:chOff x="0" y="0"/>
                          <a:chExt cx="109728" cy="288037"/>
                        </a:xfrm>
                      </wpg:grpSpPr>
                      <wps:wsp>
                        <wps:cNvPr id="654285" name="Rectangle 654285"/>
                        <wps:cNvSpPr/>
                        <wps:spPr>
                          <a:xfrm>
                            <a:off x="0" y="0"/>
                            <a:ext cx="145938" cy="383089"/>
                          </a:xfrm>
                          <a:prstGeom prst="rect">
                            <a:avLst/>
                          </a:prstGeom>
                          <a:ln>
                            <a:noFill/>
                          </a:ln>
                        </wps:spPr>
                        <wps:txbx>
                          <w:txbxContent>
                            <w:p w14:paraId="612CE561"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anchor>
            </w:drawing>
          </mc:Choice>
          <mc:Fallback>
            <w:pict>
              <v:group w14:anchorId="76BD4761" id="Group 2456116" o:spid="_x0000_s1379" style="position:absolute;left:0;text-align:left;margin-left:10.8pt;margin-top:4.25pt;width:8.65pt;height:22.7pt;z-index:252061696;mso-position-horizontal-relative:text;mso-position-vertical-relative:text" coordsize="109728,288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">
                <v:rect id="Rectangle 654285" o:spid="_x0000_s1380" style="position:absolute;width:145938;height:38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" filled="f" stroked="f">
                  <v:textbox inset="0,0,0,0">
                    <w:txbxContent>
                      <w:p w14:paraId="612CE561" w14:textId="77777777" w:rsidR="00053D93" w:rsidRDefault="00260B75">
                        <w:r>
                          <w:rPr>
                            <w:rFonts w:ascii="Times New Roman" w:eastAsia="Times New Roman" w:hAnsi="Times New Roman" w:cs="Times New Roman"/>
                            <w:sz w:val="66"/>
                          </w:rPr>
                          <w:t>1</w:t>
                        </w:r>
                      </w:p>
                    </w:txbxContent>
                  </v:textbox>
                </v:rect>
                <w10:wrap type="square"/>
              </v:group>
            </w:pict>
          </mc:Fallback>
        </mc:AlternateContent>
      </w:r>
      <w:r>
        <w:rPr>
          <w:sz w:val="26"/>
        </w:rPr>
        <w:t>Informe de Cargos Confirmados, de conformidad con el Decreto Número 31-2002, del Congreso de la República, Ley Orgánica de la Contraloría General de Cuentas,</w:t>
      </w:r>
    </w:p>
    <w:tbl>
      <w:tblPr>
        <w:tblStyle w:val="TableGrid"/>
        <w:tblpPr w:vertAnchor="text" w:tblpX="2600" w:tblpY="343"/>
        <w:tblOverlap w:val="never"/>
        <w:tblW w:w="7653" w:type="dxa"/>
        <w:tblInd w:w="0" w:type="dxa"/>
        <w:tblCellMar>
          <w:top w:w="46" w:type="dxa"/>
          <w:left w:w="1770" w:type="dxa"/>
          <w:right w:w="115" w:type="dxa"/>
        </w:tblCellMar>
        <w:tblLook w:val="04A0" w:firstRow="1" w:lastRow="0" w:firstColumn="1" w:lastColumn="0" w:noHBand="0" w:noVBand="1"/>
      </w:tblPr>
      <w:tblGrid>
        <w:gridCol w:w="7653"/>
      </w:tblGrid>
      <w:tr w:rsidR="00053D93" w14:paraId="462205B5" w14:textId="77777777">
        <w:trPr>
          <w:trHeight w:val="608"/>
        </w:trPr>
        <w:tc>
          <w:tcPr>
            <w:tcW w:w="7653" w:type="dxa"/>
            <w:tcBorders>
              <w:top w:val="single" w:sz="2" w:space="0" w:color="000000"/>
              <w:left w:val="single" w:sz="2" w:space="0" w:color="000000"/>
              <w:bottom w:val="nil"/>
              <w:right w:val="nil"/>
            </w:tcBorders>
          </w:tcPr>
          <w:p w14:paraId="067C3BF9" w14:textId="77777777" w:rsidR="00053D93" w:rsidRDefault="00260B75">
            <w:pPr>
              <w:ind w:left="835"/>
            </w:pPr>
            <w:r>
              <w:rPr>
                <w:sz w:val="14"/>
              </w:rPr>
              <w:t>MINISTERIO DE EDUCACION</w:t>
            </w:r>
          </w:p>
          <w:p w14:paraId="671567D7" w14:textId="77777777" w:rsidR="00053D93" w:rsidRDefault="00260B75">
            <w:pPr>
              <w:ind w:left="338"/>
            </w:pPr>
            <w:r>
              <w:rPr>
                <w:sz w:val="14"/>
              </w:rPr>
              <w:t>AUDITORIA FINANCIERA Y DE CUMPLIMIENTO</w:t>
            </w:r>
          </w:p>
          <w:p w14:paraId="3B3D9FA3" w14:textId="77777777" w:rsidR="00053D93" w:rsidRDefault="00260B75">
            <w:r>
              <w:rPr>
                <w:sz w:val="14"/>
              </w:rPr>
              <w:t>PERIODO DEL 01 DE ENERO AL 31 DE DICIEMBRE DE 2024</w:t>
            </w:r>
          </w:p>
        </w:tc>
      </w:tr>
    </w:tbl>
    <w:p w14:paraId="2241D443" w14:textId="77777777" w:rsidR="00053D93" w:rsidRDefault="00260B75">
      <w:pPr>
        <w:spacing w:after="3"/>
        <w:ind w:left="74" w:right="3485" w:hanging="10"/>
      </w:pPr>
      <w:r>
        <w:rPr>
          <w:noProof/>
        </w:rPr>
        <w:drawing>
          <wp:inline distT="0" distB="0" distL="0" distR="0" wp14:anchorId="7C6DB9EE" wp14:editId="1882E549">
            <wp:extent cx="68580" cy="13716"/>
            <wp:effectExtent l="0" t="0" r="0" b="0"/>
            <wp:docPr id="2458529" name="Picture 2458529"/>
            <wp:cNvGraphicFramePr/>
            <a:graphic xmlns:a="http://schemas.openxmlformats.org/drawingml/2006/main">
              <a:graphicData uri="http://schemas.openxmlformats.org/drawingml/2006/picture">
                <pic:pic xmlns:pic="http://schemas.openxmlformats.org/drawingml/2006/picture">
                  <pic:nvPicPr>
                    <pic:cNvPr id="2458529" name="Picture 2458529"/>
                    <pic:cNvPicPr/>
                  </pic:nvPicPr>
                  <pic:blipFill>
                    <a:blip r:embed="rId980"/>
                    <a:stretch>
                      <a:fillRect/>
                    </a:stretch>
                  </pic:blipFill>
                  <pic:spPr>
                    <a:xfrm>
                      <a:off x="0" y="0"/>
                      <a:ext cx="68580" cy="13716"/>
                    </a:xfrm>
                    <a:prstGeom prst="rect">
                      <a:avLst/>
                    </a:prstGeom>
                  </pic:spPr>
                </pic:pic>
              </a:graphicData>
            </a:graphic>
          </wp:inline>
        </w:drawing>
      </w:r>
      <w:r>
        <w:rPr>
          <w:rFonts w:ascii="Times New Roman" w:eastAsia="Times New Roman" w:hAnsi="Times New Roman" w:cs="Times New Roman"/>
          <w:sz w:val="70"/>
        </w:rPr>
        <w:t xml:space="preserve">1 </w:t>
      </w:r>
      <w:r>
        <w:rPr>
          <w:noProof/>
        </w:rPr>
        <w:drawing>
          <wp:inline distT="0" distB="0" distL="0" distR="0" wp14:anchorId="70A2E4E1" wp14:editId="343370E4">
            <wp:extent cx="1069848" cy="411480"/>
            <wp:effectExtent l="0" t="0" r="0" b="0"/>
            <wp:docPr id="657339" name="Picture 657339"/>
            <wp:cNvGraphicFramePr/>
            <a:graphic xmlns:a="http://schemas.openxmlformats.org/drawingml/2006/main">
              <a:graphicData uri="http://schemas.openxmlformats.org/drawingml/2006/picture">
                <pic:pic xmlns:pic="http://schemas.openxmlformats.org/drawingml/2006/picture">
                  <pic:nvPicPr>
                    <pic:cNvPr id="657339" name="Picture 657339"/>
                    <pic:cNvPicPr/>
                  </pic:nvPicPr>
                  <pic:blipFill>
                    <a:blip r:embed="rId981"/>
                    <a:stretch>
                      <a:fillRect/>
                    </a:stretch>
                  </pic:blipFill>
                  <pic:spPr>
                    <a:xfrm>
                      <a:off x="0" y="0"/>
                      <a:ext cx="1069848" cy="411480"/>
                    </a:xfrm>
                    <a:prstGeom prst="rect">
                      <a:avLst/>
                    </a:prstGeom>
                  </pic:spPr>
                </pic:pic>
              </a:graphicData>
            </a:graphic>
          </wp:inline>
        </w:drawing>
      </w:r>
    </w:p>
    <w:p w14:paraId="5278CA35" w14:textId="77777777" w:rsidR="00053D93" w:rsidRDefault="00260B75">
      <w:pPr>
        <w:spacing w:after="34"/>
        <w:ind w:left="1685"/>
      </w:pPr>
      <w:r>
        <w:rPr>
          <w:noProof/>
        </w:rPr>
        <mc:AlternateContent>
          <mc:Choice Requires="wpg">
            <w:drawing>
              <wp:inline distT="0" distB="0" distL="0" distR="0" wp14:anchorId="347EBD0F" wp14:editId="7D27C74E">
                <wp:extent cx="5385816" cy="13716"/>
                <wp:effectExtent l="0" t="0" r="0" b="0"/>
                <wp:docPr id="2458537" name="Group 2458537"/>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536" name="Shape 2458536"/>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37" style="width:424.08pt;height:1.08pt;mso-position-horizontal-relative:char;mso-position-vertical-relative:line" coordsize="53858,137">
                <v:shape id="Shape 2458536" style="position:absolute;width:53858;height:137;left:0;top:0;" coordsize="5385816,13716" path="m0,6858l5385816,6858">
                  <v:stroke weight="1.08pt" endcap="flat" joinstyle="miter" miterlimit="1" on="true" color="#000000"/>
                  <v:fill on="false" color="#000000"/>
                </v:shape>
              </v:group>
            </w:pict>
          </mc:Fallback>
        </mc:AlternateContent>
      </w:r>
    </w:p>
    <w:p w14:paraId="7EF2321C" w14:textId="77777777" w:rsidR="00053D93" w:rsidRDefault="00260B75">
      <w:pPr>
        <w:spacing w:after="265" w:line="247" w:lineRule="auto"/>
        <w:ind w:left="1699" w:right="14" w:firstLine="4"/>
        <w:jc w:val="both"/>
      </w:pPr>
      <w:r>
        <w:rPr>
          <w:sz w:val="26"/>
        </w:rPr>
        <w:t>reformada por el Decreto 13-2013; artículo 4 inciso f) y Acuerdo Gubernativo Número 96-2019, de la Presidencia de la República, Reglamento de la Ley Orgánica de la Contraloría General de Cuentas, artículo 69, para:</w:t>
      </w:r>
    </w:p>
    <w:p w14:paraId="2C795ABA" w14:textId="77777777" w:rsidR="00053D93" w:rsidRDefault="00260B75">
      <w:pPr>
        <w:tabs>
          <w:tab w:val="center" w:pos="1901"/>
          <w:tab w:val="center" w:pos="5281"/>
          <w:tab w:val="right" w:pos="10231"/>
        </w:tabs>
        <w:spacing w:after="61" w:line="265" w:lineRule="auto"/>
      </w:pPr>
      <w:r>
        <w:rPr>
          <w:sz w:val="16"/>
        </w:rPr>
        <w:tab/>
        <w:t>Cargo</w:t>
      </w:r>
      <w:r>
        <w:rPr>
          <w:sz w:val="16"/>
        </w:rPr>
        <w:tab/>
        <w:t>Nombre</w:t>
      </w:r>
      <w:r>
        <w:rPr>
          <w:sz w:val="16"/>
        </w:rPr>
        <w:tab/>
        <w:t>Valor en Quetzales</w:t>
      </w:r>
    </w:p>
    <w:p w14:paraId="469A6378" w14:textId="77777777" w:rsidR="00053D93" w:rsidRDefault="00260B75">
      <w:pPr>
        <w:tabs>
          <w:tab w:val="center" w:pos="2880"/>
          <w:tab w:val="center" w:pos="6235"/>
          <w:tab w:val="right" w:pos="10231"/>
        </w:tabs>
        <w:spacing w:after="53" w:line="265" w:lineRule="auto"/>
      </w:pPr>
      <w:r>
        <w:rPr>
          <w:sz w:val="16"/>
        </w:rPr>
        <w:tab/>
        <w:t>ENCARGADA DE TRANSPORTES A.l.</w:t>
      </w:r>
      <w:r>
        <w:rPr>
          <w:sz w:val="16"/>
        </w:rPr>
        <w:tab/>
        <w:t>YADIRA LEONORA MANSILLA GOMEZ</w:t>
      </w:r>
      <w:r>
        <w:rPr>
          <w:sz w:val="16"/>
        </w:rPr>
        <w:tab/>
      </w:r>
      <w:r>
        <w:rPr>
          <w:rFonts w:ascii="Times New Roman" w:eastAsia="Times New Roman" w:hAnsi="Times New Roman" w:cs="Times New Roman"/>
          <w:sz w:val="16"/>
        </w:rPr>
        <w:t>31.974.00</w:t>
      </w:r>
    </w:p>
    <w:p w14:paraId="2BE6BA87" w14:textId="77777777" w:rsidR="00053D93" w:rsidRDefault="00260B75">
      <w:pPr>
        <w:tabs>
          <w:tab w:val="center" w:pos="1868"/>
          <w:tab w:val="right" w:pos="10231"/>
        </w:tabs>
        <w:spacing w:after="432" w:line="265" w:lineRule="auto"/>
      </w:pPr>
      <w:r>
        <w:rPr>
          <w:sz w:val="14"/>
        </w:rPr>
        <w:tab/>
        <w:t>Total</w:t>
      </w:r>
      <w:r>
        <w:rPr>
          <w:sz w:val="14"/>
        </w:rPr>
        <w:tab/>
        <w:t>Q. 31 ,974.OO</w:t>
      </w:r>
    </w:p>
    <w:p w14:paraId="4D8E8EE8" w14:textId="77777777" w:rsidR="00053D93" w:rsidRDefault="00260B75">
      <w:pPr>
        <w:spacing w:after="309" w:line="248" w:lineRule="auto"/>
        <w:ind w:left="1709" w:hanging="3"/>
        <w:jc w:val="both"/>
      </w:pPr>
      <w:r>
        <w:rPr>
          <w:sz w:val="28"/>
        </w:rPr>
        <w:t>Hallazgo No. 5</w:t>
      </w:r>
    </w:p>
    <w:p w14:paraId="710D2728" w14:textId="77777777" w:rsidR="00053D93" w:rsidRDefault="00260B75">
      <w:pPr>
        <w:spacing w:after="324" w:line="248" w:lineRule="auto"/>
        <w:ind w:left="1709" w:hanging="3"/>
        <w:jc w:val="both"/>
      </w:pPr>
      <w:r>
        <w:rPr>
          <w:sz w:val="28"/>
        </w:rPr>
        <w:t>Incumplimiento en el plazo de entrega de documentación</w:t>
      </w:r>
    </w:p>
    <w:p w14:paraId="20A4114F" w14:textId="77777777" w:rsidR="00053D93" w:rsidRDefault="00260B75">
      <w:pPr>
        <w:spacing w:after="18" w:line="248" w:lineRule="auto"/>
        <w:ind w:left="1709" w:hanging="3"/>
        <w:jc w:val="both"/>
      </w:pPr>
      <w:r>
        <w:rPr>
          <w:sz w:val="28"/>
        </w:rPr>
        <w:t>Condición</w:t>
      </w:r>
    </w:p>
    <w:p w14:paraId="5138CD34" w14:textId="77777777" w:rsidR="00053D93" w:rsidRDefault="00260B75">
      <w:pPr>
        <w:spacing w:after="298" w:line="247" w:lineRule="auto"/>
        <w:ind w:left="1714" w:right="14" w:firstLine="4"/>
        <w:jc w:val="both"/>
      </w:pPr>
      <w:r>
        <w:rPr>
          <w:sz w:val="26"/>
        </w:rPr>
        <w:t>En el Ministerio de Educación, Unidad Ejecutora 109 Dirección General de Educación Física -DIGEF-, se realizaron diversos requerimientos de información y documentación al Director General en Funciones, referentes a la ejecución presupuestaria de 'a DIGEF al 31 de diciembre de 2024, mismos que no fueron atendidos en el plazo de siete (7) días que establece la normativa legal vigente.</w:t>
      </w:r>
    </w:p>
    <w:p w14:paraId="0B252500" w14:textId="77777777" w:rsidR="00053D93" w:rsidRDefault="00260B75">
      <w:pPr>
        <w:spacing w:after="274" w:line="247" w:lineRule="auto"/>
        <w:ind w:left="1699" w:right="14" w:firstLine="4"/>
        <w:jc w:val="both"/>
      </w:pPr>
      <w:r>
        <w:rPr>
          <w:sz w:val="26"/>
        </w:rPr>
        <w:t xml:space="preserve">Derivado de dicho atraso, se realizó segundo requerimiento de información y documentación, mediante </w:t>
      </w:r>
      <w:r>
        <w:rPr>
          <w:rFonts w:ascii="Times New Roman" w:eastAsia="Times New Roman" w:hAnsi="Times New Roman" w:cs="Times New Roman"/>
          <w:sz w:val="26"/>
        </w:rPr>
        <w:t xml:space="preserve">los </w:t>
      </w:r>
      <w:r>
        <w:rPr>
          <w:sz w:val="26"/>
        </w:rPr>
        <w:t xml:space="preserve">oficios números: CGC-AFC-MlNEDUC-DlGEF-OF-051-2024, del 20 de febrero de 2025, CGC-AFC-MlNEDUC-DlGEF-OF-052-2024, del 21 de febrero de 2025 y CGC-AFC-MlNEDUC-DlGEF-OF-055-2024, del 27 de </w:t>
      </w:r>
      <w:r>
        <w:rPr>
          <w:sz w:val="26"/>
        </w:rPr>
        <w:lastRenderedPageBreak/>
        <w:t>febrero de 2025; con el propósito de que se cumpliera con la entrega de la información y documentación requerida y para que las autoridades de la Dirección General de Educación Física -DIGEF- se manifestara al respecto; sin embargo, no hubo respuesta a dicha solicitud; por lo que, el 06 de marzo de 2025, el equipo de auditoría suscribió el Acta Número 010-2025, folios del 837 al 842, del libro de hojas movibles para actas número L2 51,804, de la Comisión de Auditoría en el Ministerio de Educación, de la Dirección de Auditoría al Sector Educación, Ciencia, Cultura y Deportes de la Contraloría General de Cuentas, en donde se dejó constancia del atraso de la entrega de la información y documentación solicitada.</w:t>
      </w:r>
    </w:p>
    <w:tbl>
      <w:tblPr>
        <w:tblStyle w:val="TableGrid"/>
        <w:tblpPr w:vertAnchor="text" w:tblpX="1789" w:tblpY="1168"/>
        <w:tblOverlap w:val="never"/>
        <w:tblW w:w="8396" w:type="dxa"/>
        <w:tblInd w:w="0" w:type="dxa"/>
        <w:tblCellMar>
          <w:left w:w="54" w:type="dxa"/>
          <w:right w:w="26" w:type="dxa"/>
        </w:tblCellMar>
        <w:tblLook w:val="04A0" w:firstRow="1" w:lastRow="0" w:firstColumn="1" w:lastColumn="0" w:noHBand="0" w:noVBand="1"/>
      </w:tblPr>
      <w:tblGrid>
        <w:gridCol w:w="296"/>
        <w:gridCol w:w="627"/>
        <w:gridCol w:w="693"/>
        <w:gridCol w:w="1223"/>
        <w:gridCol w:w="1168"/>
        <w:gridCol w:w="1174"/>
        <w:gridCol w:w="948"/>
        <w:gridCol w:w="675"/>
        <w:gridCol w:w="1592"/>
      </w:tblGrid>
      <w:tr w:rsidR="00053D93" w14:paraId="5891B735" w14:textId="77777777">
        <w:trPr>
          <w:trHeight w:val="874"/>
        </w:trPr>
        <w:tc>
          <w:tcPr>
            <w:tcW w:w="338" w:type="dxa"/>
            <w:tcBorders>
              <w:top w:val="single" w:sz="2" w:space="0" w:color="000000"/>
              <w:left w:val="single" w:sz="2" w:space="0" w:color="000000"/>
              <w:bottom w:val="single" w:sz="2" w:space="0" w:color="000000"/>
              <w:right w:val="single" w:sz="2" w:space="0" w:color="000000"/>
            </w:tcBorders>
          </w:tcPr>
          <w:p w14:paraId="2B093410" w14:textId="77777777" w:rsidR="00053D93" w:rsidRDefault="00053D93"/>
        </w:tc>
        <w:tc>
          <w:tcPr>
            <w:tcW w:w="1134" w:type="dxa"/>
            <w:gridSpan w:val="2"/>
            <w:tcBorders>
              <w:top w:val="single" w:sz="2" w:space="0" w:color="000000"/>
              <w:left w:val="single" w:sz="2" w:space="0" w:color="000000"/>
              <w:bottom w:val="single" w:sz="2" w:space="0" w:color="000000"/>
              <w:right w:val="single" w:sz="2" w:space="0" w:color="000000"/>
            </w:tcBorders>
          </w:tcPr>
          <w:p w14:paraId="1B1F1318" w14:textId="77777777" w:rsidR="00053D93" w:rsidRDefault="00260B75">
            <w:pPr>
              <w:ind w:left="7" w:right="53" w:firstLine="266"/>
              <w:jc w:val="both"/>
            </w:pPr>
            <w:r>
              <w:rPr>
                <w:sz w:val="18"/>
              </w:rPr>
              <w:t>No. de requerimiento de C.G.C.</w:t>
            </w:r>
          </w:p>
        </w:tc>
        <w:tc>
          <w:tcPr>
            <w:tcW w:w="1260" w:type="dxa"/>
            <w:tcBorders>
              <w:top w:val="single" w:sz="2" w:space="0" w:color="000000"/>
              <w:left w:val="single" w:sz="2" w:space="0" w:color="000000"/>
              <w:bottom w:val="single" w:sz="2" w:space="0" w:color="000000"/>
              <w:right w:val="single" w:sz="2" w:space="0" w:color="000000"/>
            </w:tcBorders>
          </w:tcPr>
          <w:p w14:paraId="122C4BED" w14:textId="77777777" w:rsidR="00053D93" w:rsidRDefault="00260B75">
            <w:pPr>
              <w:ind w:right="28"/>
              <w:jc w:val="center"/>
            </w:pPr>
            <w:r>
              <w:rPr>
                <w:sz w:val="18"/>
              </w:rPr>
              <w:t>Descripción</w:t>
            </w:r>
          </w:p>
        </w:tc>
        <w:tc>
          <w:tcPr>
            <w:tcW w:w="1174" w:type="dxa"/>
            <w:tcBorders>
              <w:top w:val="single" w:sz="2" w:space="0" w:color="000000"/>
              <w:left w:val="single" w:sz="2" w:space="0" w:color="000000"/>
              <w:bottom w:val="single" w:sz="2" w:space="0" w:color="000000"/>
              <w:right w:val="single" w:sz="2" w:space="0" w:color="000000"/>
            </w:tcBorders>
          </w:tcPr>
          <w:p w14:paraId="48696C28" w14:textId="77777777" w:rsidR="00053D93" w:rsidRDefault="00260B75">
            <w:pPr>
              <w:jc w:val="center"/>
            </w:pPr>
            <w:r>
              <w:rPr>
                <w:sz w:val="18"/>
              </w:rPr>
              <w:t>Fecha del requerimiento de C.G.C.</w:t>
            </w:r>
          </w:p>
        </w:tc>
        <w:tc>
          <w:tcPr>
            <w:tcW w:w="1174" w:type="dxa"/>
            <w:tcBorders>
              <w:top w:val="single" w:sz="2" w:space="0" w:color="000000"/>
              <w:left w:val="single" w:sz="2" w:space="0" w:color="000000"/>
              <w:bottom w:val="single" w:sz="2" w:space="0" w:color="000000"/>
              <w:right w:val="single" w:sz="2" w:space="0" w:color="000000"/>
            </w:tcBorders>
          </w:tcPr>
          <w:p w14:paraId="0F67290E" w14:textId="77777777" w:rsidR="00053D93" w:rsidRDefault="00260B75">
            <w:pPr>
              <w:ind w:left="32" w:firstLine="173"/>
            </w:pPr>
            <w:r>
              <w:rPr>
                <w:sz w:val="18"/>
              </w:rPr>
              <w:t>Fecha de entrega según requerimiento</w:t>
            </w:r>
          </w:p>
        </w:tc>
        <w:tc>
          <w:tcPr>
            <w:tcW w:w="958" w:type="dxa"/>
            <w:tcBorders>
              <w:top w:val="single" w:sz="2" w:space="0" w:color="000000"/>
              <w:left w:val="single" w:sz="2" w:space="0" w:color="000000"/>
              <w:bottom w:val="single" w:sz="2" w:space="0" w:color="000000"/>
              <w:right w:val="single" w:sz="2" w:space="0" w:color="000000"/>
            </w:tcBorders>
          </w:tcPr>
          <w:p w14:paraId="039EAE7E" w14:textId="77777777" w:rsidR="00053D93" w:rsidRDefault="00260B75">
            <w:pPr>
              <w:spacing w:line="216" w:lineRule="auto"/>
              <w:ind w:left="90" w:firstLine="7"/>
              <w:jc w:val="both"/>
            </w:pPr>
            <w:r>
              <w:rPr>
                <w:sz w:val="18"/>
              </w:rPr>
              <w:t>Fecha de entrega a</w:t>
            </w:r>
          </w:p>
          <w:p w14:paraId="7998D849" w14:textId="77777777" w:rsidR="00053D93" w:rsidRDefault="00260B75">
            <w:pPr>
              <w:ind w:right="28"/>
              <w:jc w:val="center"/>
            </w:pPr>
            <w:r>
              <w:rPr>
                <w:rFonts w:ascii="Times New Roman" w:eastAsia="Times New Roman" w:hAnsi="Times New Roman" w:cs="Times New Roman"/>
                <w:sz w:val="14"/>
              </w:rPr>
              <w:t>C.G.C.</w:t>
            </w:r>
          </w:p>
        </w:tc>
        <w:tc>
          <w:tcPr>
            <w:tcW w:w="684" w:type="dxa"/>
            <w:tcBorders>
              <w:top w:val="single" w:sz="2" w:space="0" w:color="000000"/>
              <w:left w:val="single" w:sz="2" w:space="0" w:color="000000"/>
              <w:bottom w:val="single" w:sz="2" w:space="0" w:color="000000"/>
              <w:right w:val="single" w:sz="2" w:space="0" w:color="000000"/>
            </w:tcBorders>
          </w:tcPr>
          <w:p w14:paraId="77AE516B" w14:textId="77777777" w:rsidR="00053D93" w:rsidRDefault="00260B75">
            <w:pPr>
              <w:ind w:left="32"/>
            </w:pPr>
            <w:r>
              <w:rPr>
                <w:sz w:val="18"/>
              </w:rPr>
              <w:t>hábiles</w:t>
            </w:r>
          </w:p>
        </w:tc>
        <w:tc>
          <w:tcPr>
            <w:tcW w:w="1675" w:type="dxa"/>
            <w:tcBorders>
              <w:top w:val="single" w:sz="2" w:space="0" w:color="000000"/>
              <w:left w:val="single" w:sz="2" w:space="0" w:color="000000"/>
              <w:bottom w:val="single" w:sz="2" w:space="0" w:color="000000"/>
              <w:right w:val="single" w:sz="2" w:space="0" w:color="000000"/>
            </w:tcBorders>
          </w:tcPr>
          <w:p w14:paraId="75765B19" w14:textId="77777777" w:rsidR="00053D93" w:rsidRDefault="00260B75">
            <w:pPr>
              <w:ind w:right="25"/>
              <w:jc w:val="center"/>
            </w:pPr>
            <w:r>
              <w:rPr>
                <w:sz w:val="18"/>
              </w:rPr>
              <w:t>Observaciones</w:t>
            </w:r>
          </w:p>
        </w:tc>
      </w:tr>
      <w:tr w:rsidR="00053D93" w14:paraId="3BACE85D" w14:textId="77777777">
        <w:trPr>
          <w:trHeight w:val="965"/>
        </w:trPr>
        <w:tc>
          <w:tcPr>
            <w:tcW w:w="338" w:type="dxa"/>
            <w:vMerge w:val="restart"/>
            <w:tcBorders>
              <w:top w:val="single" w:sz="2" w:space="0" w:color="000000"/>
              <w:left w:val="single" w:sz="2" w:space="0" w:color="000000"/>
              <w:bottom w:val="nil"/>
              <w:right w:val="single" w:sz="2" w:space="0" w:color="000000"/>
            </w:tcBorders>
          </w:tcPr>
          <w:p w14:paraId="692E4019" w14:textId="77777777" w:rsidR="00053D93" w:rsidRDefault="00053D93"/>
        </w:tc>
        <w:tc>
          <w:tcPr>
            <w:tcW w:w="1134" w:type="dxa"/>
            <w:gridSpan w:val="2"/>
            <w:tcBorders>
              <w:top w:val="single" w:sz="2" w:space="0" w:color="000000"/>
              <w:left w:val="single" w:sz="2" w:space="0" w:color="000000"/>
              <w:bottom w:val="nil"/>
              <w:right w:val="single" w:sz="2" w:space="0" w:color="000000"/>
            </w:tcBorders>
          </w:tcPr>
          <w:p w14:paraId="2E5DE2BD" w14:textId="77777777" w:rsidR="00053D93" w:rsidRDefault="00260B75">
            <w:r>
              <w:rPr>
                <w:rFonts w:ascii="Times New Roman" w:eastAsia="Times New Roman" w:hAnsi="Times New Roman" w:cs="Times New Roman"/>
                <w:sz w:val="16"/>
              </w:rPr>
              <w:t>CGC-AFC-</w:t>
            </w:r>
          </w:p>
          <w:p w14:paraId="62D03676" w14:textId="77777777" w:rsidR="00053D93" w:rsidRDefault="00260B75">
            <w:r>
              <w:rPr>
                <w:sz w:val="18"/>
              </w:rPr>
              <w:t>MtNEDUCDIGEF-OF</w:t>
            </w:r>
            <w:r>
              <w:rPr>
                <w:rFonts w:ascii="Times New Roman" w:eastAsia="Times New Roman" w:hAnsi="Times New Roman" w:cs="Times New Roman"/>
                <w:sz w:val="18"/>
              </w:rPr>
              <w:t>025-2024</w:t>
            </w:r>
          </w:p>
        </w:tc>
        <w:tc>
          <w:tcPr>
            <w:tcW w:w="1260" w:type="dxa"/>
            <w:tcBorders>
              <w:top w:val="single" w:sz="2" w:space="0" w:color="000000"/>
              <w:left w:val="single" w:sz="2" w:space="0" w:color="000000"/>
              <w:bottom w:val="single" w:sz="2" w:space="0" w:color="000000"/>
              <w:right w:val="single" w:sz="2" w:space="0" w:color="000000"/>
            </w:tcBorders>
          </w:tcPr>
          <w:p w14:paraId="68C649D8" w14:textId="77777777" w:rsidR="00053D93" w:rsidRDefault="00260B75">
            <w:pPr>
              <w:ind w:left="25" w:right="46" w:firstLine="7"/>
              <w:jc w:val="both"/>
            </w:pPr>
            <w:r>
              <w:rPr>
                <w:rFonts w:ascii="Times New Roman" w:eastAsia="Times New Roman" w:hAnsi="Times New Roman" w:cs="Times New Roman"/>
                <w:sz w:val="18"/>
              </w:rPr>
              <w:t xml:space="preserve">se </w:t>
            </w:r>
            <w:r>
              <w:rPr>
                <w:sz w:val="18"/>
              </w:rPr>
              <w:t xml:space="preserve">solicitó información referente </w:t>
            </w:r>
            <w:r>
              <w:rPr>
                <w:rFonts w:ascii="Times New Roman" w:eastAsia="Times New Roman" w:hAnsi="Times New Roman" w:cs="Times New Roman"/>
                <w:sz w:val="18"/>
              </w:rPr>
              <w:t xml:space="preserve">al </w:t>
            </w:r>
            <w:r>
              <w:rPr>
                <w:sz w:val="18"/>
              </w:rPr>
              <w:t>avance físico y</w:t>
            </w:r>
          </w:p>
        </w:tc>
        <w:tc>
          <w:tcPr>
            <w:tcW w:w="1174" w:type="dxa"/>
            <w:tcBorders>
              <w:top w:val="single" w:sz="2" w:space="0" w:color="000000"/>
              <w:left w:val="single" w:sz="2" w:space="0" w:color="000000"/>
              <w:bottom w:val="single" w:sz="2" w:space="0" w:color="000000"/>
              <w:right w:val="single" w:sz="2" w:space="0" w:color="000000"/>
            </w:tcBorders>
          </w:tcPr>
          <w:p w14:paraId="1A0BE2C6" w14:textId="77777777" w:rsidR="00053D93" w:rsidRDefault="00260B75">
            <w:pPr>
              <w:ind w:right="21"/>
              <w:jc w:val="center"/>
            </w:pPr>
            <w:r>
              <w:rPr>
                <w:rFonts w:ascii="Times New Roman" w:eastAsia="Times New Roman" w:hAnsi="Times New Roman" w:cs="Times New Roman"/>
                <w:sz w:val="18"/>
              </w:rPr>
              <w:t>17/01/2025</w:t>
            </w:r>
          </w:p>
        </w:tc>
        <w:tc>
          <w:tcPr>
            <w:tcW w:w="1174" w:type="dxa"/>
            <w:tcBorders>
              <w:top w:val="single" w:sz="2" w:space="0" w:color="000000"/>
              <w:left w:val="single" w:sz="2" w:space="0" w:color="000000"/>
              <w:bottom w:val="single" w:sz="2" w:space="0" w:color="000000"/>
              <w:right w:val="single" w:sz="2" w:space="0" w:color="000000"/>
            </w:tcBorders>
          </w:tcPr>
          <w:p w14:paraId="550790B5" w14:textId="77777777" w:rsidR="00053D93" w:rsidRDefault="00260B75">
            <w:pPr>
              <w:ind w:right="28"/>
              <w:jc w:val="center"/>
            </w:pPr>
            <w:r>
              <w:rPr>
                <w:rFonts w:ascii="Times New Roman" w:eastAsia="Times New Roman" w:hAnsi="Times New Roman" w:cs="Times New Roman"/>
                <w:sz w:val="16"/>
              </w:rPr>
              <w:t>27/01/2025</w:t>
            </w:r>
          </w:p>
        </w:tc>
        <w:tc>
          <w:tcPr>
            <w:tcW w:w="958" w:type="dxa"/>
            <w:tcBorders>
              <w:top w:val="single" w:sz="2" w:space="0" w:color="000000"/>
              <w:left w:val="single" w:sz="2" w:space="0" w:color="000000"/>
              <w:bottom w:val="single" w:sz="2" w:space="0" w:color="000000"/>
              <w:right w:val="single" w:sz="2" w:space="0" w:color="000000"/>
            </w:tcBorders>
          </w:tcPr>
          <w:p w14:paraId="1E47543C" w14:textId="77777777" w:rsidR="00053D93" w:rsidRDefault="00260B75">
            <w:pPr>
              <w:ind w:left="54"/>
            </w:pPr>
            <w:r>
              <w:rPr>
                <w:rFonts w:ascii="Times New Roman" w:eastAsia="Times New Roman" w:hAnsi="Times New Roman" w:cs="Times New Roman"/>
                <w:sz w:val="16"/>
              </w:rPr>
              <w:t>10103/2025</w:t>
            </w:r>
          </w:p>
        </w:tc>
        <w:tc>
          <w:tcPr>
            <w:tcW w:w="684" w:type="dxa"/>
            <w:tcBorders>
              <w:top w:val="single" w:sz="2" w:space="0" w:color="000000"/>
              <w:left w:val="single" w:sz="2" w:space="0" w:color="000000"/>
              <w:bottom w:val="single" w:sz="2" w:space="0" w:color="000000"/>
              <w:right w:val="single" w:sz="2" w:space="0" w:color="000000"/>
            </w:tcBorders>
          </w:tcPr>
          <w:p w14:paraId="31774B87" w14:textId="77777777" w:rsidR="00053D93" w:rsidRDefault="00260B75">
            <w:pPr>
              <w:ind w:right="28"/>
              <w:jc w:val="center"/>
            </w:pPr>
            <w:r>
              <w:rPr>
                <w:rFonts w:ascii="Times New Roman" w:eastAsia="Times New Roman" w:hAnsi="Times New Roman" w:cs="Times New Roman"/>
                <w:sz w:val="16"/>
              </w:rPr>
              <w:t>36</w:t>
            </w:r>
          </w:p>
        </w:tc>
        <w:tc>
          <w:tcPr>
            <w:tcW w:w="1675" w:type="dxa"/>
            <w:tcBorders>
              <w:top w:val="single" w:sz="2" w:space="0" w:color="000000"/>
              <w:left w:val="single" w:sz="2" w:space="0" w:color="000000"/>
              <w:bottom w:val="single" w:sz="2" w:space="0" w:color="000000"/>
              <w:right w:val="single" w:sz="2" w:space="0" w:color="000000"/>
            </w:tcBorders>
          </w:tcPr>
          <w:p w14:paraId="489949B1" w14:textId="77777777" w:rsidR="00053D93" w:rsidRDefault="00260B75">
            <w:pPr>
              <w:ind w:left="32" w:right="50"/>
              <w:jc w:val="both"/>
            </w:pPr>
            <w:r>
              <w:rPr>
                <w:rFonts w:ascii="Times New Roman" w:eastAsia="Times New Roman" w:hAnsi="Times New Roman" w:cs="Times New Roman"/>
                <w:sz w:val="18"/>
              </w:rPr>
              <w:t xml:space="preserve">Se </w:t>
            </w:r>
            <w:r>
              <w:rPr>
                <w:sz w:val="18"/>
              </w:rPr>
              <w:t>proporcionó parcialmente mediante Oficio DG No. 153-2025 del</w:t>
            </w:r>
          </w:p>
        </w:tc>
      </w:tr>
      <w:tr w:rsidR="00053D93" w14:paraId="370EEFB3" w14:textId="77777777">
        <w:trPr>
          <w:trHeight w:val="605"/>
        </w:trPr>
        <w:tc>
          <w:tcPr>
            <w:tcW w:w="0" w:type="auto"/>
            <w:vMerge/>
            <w:tcBorders>
              <w:top w:val="nil"/>
              <w:left w:val="single" w:sz="2" w:space="0" w:color="000000"/>
              <w:bottom w:val="nil"/>
              <w:right w:val="single" w:sz="2" w:space="0" w:color="000000"/>
            </w:tcBorders>
          </w:tcPr>
          <w:p w14:paraId="735B0230" w14:textId="77777777" w:rsidR="00053D93" w:rsidRDefault="00053D93"/>
        </w:tc>
        <w:tc>
          <w:tcPr>
            <w:tcW w:w="440" w:type="dxa"/>
            <w:tcBorders>
              <w:top w:val="nil"/>
              <w:left w:val="single" w:sz="2" w:space="0" w:color="000000"/>
              <w:bottom w:val="nil"/>
              <w:right w:val="single" w:sz="2" w:space="0" w:color="000000"/>
            </w:tcBorders>
          </w:tcPr>
          <w:p w14:paraId="056FD371" w14:textId="77777777" w:rsidR="00053D93" w:rsidRDefault="00260B75">
            <w:pPr>
              <w:jc w:val="right"/>
            </w:pPr>
            <w:r>
              <w:rPr>
                <w:sz w:val="44"/>
              </w:rPr>
              <w:t>III</w:t>
            </w:r>
          </w:p>
        </w:tc>
        <w:tc>
          <w:tcPr>
            <w:tcW w:w="694" w:type="dxa"/>
            <w:tcBorders>
              <w:top w:val="single" w:sz="2" w:space="0" w:color="000000"/>
              <w:left w:val="single" w:sz="2" w:space="0" w:color="000000"/>
              <w:bottom w:val="nil"/>
              <w:right w:val="nil"/>
            </w:tcBorders>
          </w:tcPr>
          <w:p w14:paraId="2E0F4E06" w14:textId="77777777" w:rsidR="00053D93" w:rsidRDefault="00053D93"/>
        </w:tc>
        <w:tc>
          <w:tcPr>
            <w:tcW w:w="4565" w:type="dxa"/>
            <w:gridSpan w:val="4"/>
            <w:tcBorders>
              <w:top w:val="single" w:sz="2" w:space="0" w:color="000000"/>
              <w:left w:val="nil"/>
              <w:bottom w:val="nil"/>
              <w:right w:val="nil"/>
            </w:tcBorders>
          </w:tcPr>
          <w:p w14:paraId="1C3109F5" w14:textId="77777777" w:rsidR="00053D93" w:rsidRDefault="00260B75">
            <w:pPr>
              <w:ind w:left="735"/>
              <w:jc w:val="center"/>
            </w:pPr>
            <w:r>
              <w:rPr>
                <w:sz w:val="14"/>
              </w:rPr>
              <w:t>MINISTERIO DE EDUCACION</w:t>
            </w:r>
          </w:p>
          <w:p w14:paraId="2057C450" w14:textId="77777777" w:rsidR="00053D93" w:rsidRDefault="00260B75">
            <w:pPr>
              <w:ind w:left="1328"/>
            </w:pPr>
            <w:r>
              <w:rPr>
                <w:sz w:val="14"/>
              </w:rPr>
              <w:t>AUDITORÍA FINANCIERA Y DE CUMPLIMIENTO</w:t>
            </w:r>
          </w:p>
          <w:p w14:paraId="6212EF67" w14:textId="77777777" w:rsidR="00053D93" w:rsidRDefault="00260B75">
            <w:pPr>
              <w:ind w:left="997"/>
            </w:pPr>
            <w:r>
              <w:rPr>
                <w:sz w:val="14"/>
              </w:rPr>
              <w:t>PERÍODO DEL 01 DE ENERO AL 31 DE DICIEMBRE DE 2024</w:t>
            </w:r>
          </w:p>
        </w:tc>
        <w:tc>
          <w:tcPr>
            <w:tcW w:w="684" w:type="dxa"/>
            <w:tcBorders>
              <w:top w:val="single" w:sz="2" w:space="0" w:color="000000"/>
              <w:left w:val="nil"/>
              <w:bottom w:val="nil"/>
              <w:right w:val="nil"/>
            </w:tcBorders>
          </w:tcPr>
          <w:p w14:paraId="0B77210E" w14:textId="77777777" w:rsidR="00053D93" w:rsidRDefault="00053D93"/>
        </w:tc>
        <w:tc>
          <w:tcPr>
            <w:tcW w:w="1675" w:type="dxa"/>
            <w:tcBorders>
              <w:top w:val="single" w:sz="2" w:space="0" w:color="000000"/>
              <w:left w:val="nil"/>
              <w:bottom w:val="nil"/>
              <w:right w:val="nil"/>
            </w:tcBorders>
          </w:tcPr>
          <w:p w14:paraId="743BD95E" w14:textId="77777777" w:rsidR="00053D93" w:rsidRDefault="00053D93"/>
        </w:tc>
      </w:tr>
    </w:tbl>
    <w:p w14:paraId="530E65F1" w14:textId="77777777" w:rsidR="00053D93" w:rsidRDefault="00260B75">
      <w:pPr>
        <w:spacing w:after="17" w:line="247" w:lineRule="auto"/>
        <w:ind w:left="1706" w:right="14" w:firstLine="4"/>
        <w:jc w:val="both"/>
      </w:pPr>
      <w:r>
        <w:rPr>
          <w:noProof/>
        </w:rPr>
        <w:drawing>
          <wp:anchor distT="0" distB="0" distL="114300" distR="114300" simplePos="0" relativeHeight="252062720" behindDoc="0" locked="0" layoutInCell="1" allowOverlap="0" wp14:anchorId="7A15F9E3" wp14:editId="382071BA">
            <wp:simplePos x="0" y="0"/>
            <wp:positionH relativeFrom="column">
              <wp:posOffset>1133856</wp:posOffset>
            </wp:positionH>
            <wp:positionV relativeFrom="paragraph">
              <wp:posOffset>780133</wp:posOffset>
            </wp:positionV>
            <wp:extent cx="4572" cy="73152"/>
            <wp:effectExtent l="0" t="0" r="0" b="0"/>
            <wp:wrapSquare wrapText="bothSides"/>
            <wp:docPr id="2458533" name="Picture 2458533"/>
            <wp:cNvGraphicFramePr/>
            <a:graphic xmlns:a="http://schemas.openxmlformats.org/drawingml/2006/main">
              <a:graphicData uri="http://schemas.openxmlformats.org/drawingml/2006/picture">
                <pic:pic xmlns:pic="http://schemas.openxmlformats.org/drawingml/2006/picture">
                  <pic:nvPicPr>
                    <pic:cNvPr id="2458533" name="Picture 2458533"/>
                    <pic:cNvPicPr/>
                  </pic:nvPicPr>
                  <pic:blipFill>
                    <a:blip r:embed="rId982"/>
                    <a:stretch>
                      <a:fillRect/>
                    </a:stretch>
                  </pic:blipFill>
                  <pic:spPr>
                    <a:xfrm>
                      <a:off x="0" y="0"/>
                      <a:ext cx="4572" cy="73152"/>
                    </a:xfrm>
                    <a:prstGeom prst="rect">
                      <a:avLst/>
                    </a:prstGeom>
                  </pic:spPr>
                </pic:pic>
              </a:graphicData>
            </a:graphic>
          </wp:anchor>
        </w:drawing>
      </w:r>
      <w:r>
        <w:rPr>
          <w:noProof/>
        </w:rPr>
        <mc:AlternateContent>
          <mc:Choice Requires="wpg">
            <w:drawing>
              <wp:anchor distT="0" distB="0" distL="114300" distR="114300" simplePos="0" relativeHeight="252063744" behindDoc="0" locked="0" layoutInCell="1" allowOverlap="1" wp14:anchorId="4FB7B493" wp14:editId="55975A98">
                <wp:simplePos x="0" y="0"/>
                <wp:positionH relativeFrom="column">
                  <wp:posOffset>13716</wp:posOffset>
                </wp:positionH>
                <wp:positionV relativeFrom="paragraph">
                  <wp:posOffset>1561944</wp:posOffset>
                </wp:positionV>
                <wp:extent cx="1202436" cy="918973"/>
                <wp:effectExtent l="0" t="0" r="0" b="0"/>
                <wp:wrapSquare wrapText="bothSides"/>
                <wp:docPr id="2347365" name="Group 2347365"/>
                <wp:cNvGraphicFramePr/>
                <a:graphic xmlns:a="http://schemas.openxmlformats.org/drawingml/2006/main">
                  <a:graphicData uri="http://schemas.microsoft.com/office/word/2010/wordprocessingGroup">
                    <wpg:wgp>
                      <wpg:cNvGrpSpPr/>
                      <wpg:grpSpPr>
                        <a:xfrm>
                          <a:off x="0" y="0"/>
                          <a:ext cx="1202436" cy="918973"/>
                          <a:chOff x="0" y="0"/>
                          <a:chExt cx="1202436" cy="918973"/>
                        </a:xfrm>
                      </wpg:grpSpPr>
                      <pic:pic xmlns:pic="http://schemas.openxmlformats.org/drawingml/2006/picture">
                        <pic:nvPicPr>
                          <pic:cNvPr id="2458535" name="Picture 2458535"/>
                          <pic:cNvPicPr/>
                        </pic:nvPicPr>
                        <pic:blipFill>
                          <a:blip r:embed="rId983"/>
                          <a:stretch>
                            <a:fillRect/>
                          </a:stretch>
                        </pic:blipFill>
                        <pic:spPr>
                          <a:xfrm>
                            <a:off x="0" y="219457"/>
                            <a:ext cx="1202436" cy="516636"/>
                          </a:xfrm>
                          <a:prstGeom prst="rect">
                            <a:avLst/>
                          </a:prstGeom>
                        </pic:spPr>
                      </pic:pic>
                      <wps:wsp>
                        <wps:cNvPr id="658342" name="Rectangle 658342"/>
                        <wps:cNvSpPr/>
                        <wps:spPr>
                          <a:xfrm>
                            <a:off x="123444" y="0"/>
                            <a:ext cx="164180" cy="541188"/>
                          </a:xfrm>
                          <a:prstGeom prst="rect">
                            <a:avLst/>
                          </a:prstGeom>
                          <a:ln>
                            <a:noFill/>
                          </a:ln>
                        </wps:spPr>
                        <wps:txbx>
                          <w:txbxContent>
                            <w:p w14:paraId="544A0F4D" w14:textId="77777777" w:rsidR="00053D93" w:rsidRDefault="00260B75">
                              <w:r>
                                <w:rPr>
                                  <w:sz w:val="64"/>
                                  <w:vertAlign w:val="superscript"/>
                                </w:rPr>
                                <w:t>I</w:t>
                              </w:r>
                            </w:p>
                          </w:txbxContent>
                        </wps:txbx>
                        <wps:bodyPr horzOverflow="overflow" vert="horz" lIns="0" tIns="0" rIns="0" bIns="0" rtlCol="0">
                          <a:noAutofit/>
                        </wps:bodyPr>
                      </wps:wsp>
                      <wps:wsp>
                        <wps:cNvPr id="658341" name="Rectangle 658341"/>
                        <wps:cNvSpPr/>
                        <wps:spPr>
                          <a:xfrm>
                            <a:off x="128016" y="324613"/>
                            <a:ext cx="243417" cy="790500"/>
                          </a:xfrm>
                          <a:prstGeom prst="rect">
                            <a:avLst/>
                          </a:prstGeom>
                          <a:ln>
                            <a:noFill/>
                          </a:ln>
                        </wps:spPr>
                        <wps:txbx>
                          <w:txbxContent>
                            <w:p w14:paraId="2222EAFF" w14:textId="77777777" w:rsidR="00053D93" w:rsidRDefault="00260B75">
                              <w:r>
                                <w:rPr>
                                  <w:sz w:val="64"/>
                                </w:rPr>
                                <w:t xml:space="preserve">I </w:t>
                              </w:r>
                            </w:p>
                          </w:txbxContent>
                        </wps:txbx>
                        <wps:bodyPr horzOverflow="overflow" vert="horz" lIns="0" tIns="0" rIns="0" bIns="0" rtlCol="0">
                          <a:noAutofit/>
                        </wps:bodyPr>
                      </wps:wsp>
                    </wpg:wgp>
                  </a:graphicData>
                </a:graphic>
              </wp:anchor>
            </w:drawing>
          </mc:Choice>
          <mc:Fallback>
            <w:pict>
              <v:group w14:anchorId="4FB7B493" id="Group 2347365" o:spid="_x0000_s1381" style="position:absolute;left:0;text-align:left;margin-left:1.1pt;margin-top:123pt;width:94.7pt;height:72.35pt;z-index:252063744;mso-position-horizontal-relative:text;mso-position-vertical-relative:text" coordsize="12024,91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">
                <v:shape id="Picture 2458535" o:spid="_x0000_s1382" type="#_x0000_t75" style="position:absolute;top:2194;width:12024;height:5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">
                  <v:imagedata r:id="rId984" o:title=""/>
                </v:shape>
                <v:rect id="Rectangle 658342" o:spid="_x0000_s1383" style="position:absolute;left:1234;width:1642;height:5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" filled="f" stroked="f">
                  <v:textbox inset="0,0,0,0">
                    <w:txbxContent>
                      <w:p w14:paraId="544A0F4D" w14:textId="77777777" w:rsidR="00053D93" w:rsidRDefault="00260B75">
                        <w:r>
                          <w:rPr>
                            <w:sz w:val="64"/>
                            <w:vertAlign w:val="superscript"/>
                          </w:rPr>
                          <w:t>I</w:t>
                        </w:r>
                      </w:p>
                    </w:txbxContent>
                  </v:textbox>
                </v:rect>
                <v:rect id="Rectangle 658341" o:spid="_x0000_s1384" style="position:absolute;left:1280;top:3246;width:2434;height: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" filled="f" stroked="f">
                  <v:textbox inset="0,0,0,0">
                    <w:txbxContent>
                      <w:p w14:paraId="2222EAFF" w14:textId="77777777" w:rsidR="00053D93" w:rsidRDefault="00260B75">
                        <w:r>
                          <w:rPr>
                            <w:sz w:val="64"/>
                          </w:rPr>
                          <w:t xml:space="preserve">I </w:t>
                        </w:r>
                      </w:p>
                    </w:txbxContent>
                  </v:textbox>
                </v:rect>
                <w10:wrap type="square"/>
              </v:group>
            </w:pict>
          </mc:Fallback>
        </mc:AlternateContent>
      </w:r>
      <w:r>
        <w:rPr>
          <w:sz w:val="26"/>
        </w:rPr>
        <w:t>A continuación, se detallan los oficios de requerimiento entregados al Director General en Funciones de la DIGEF, en donde se incumplió con el plazo de entrega de información y documentación:</w:t>
      </w:r>
    </w:p>
    <w:p w14:paraId="6A69A611" w14:textId="77777777" w:rsidR="00053D93" w:rsidRDefault="00053D93">
      <w:pPr>
        <w:spacing w:after="0"/>
        <w:ind w:left="-295" w:right="50"/>
      </w:pPr>
    </w:p>
    <w:tbl>
      <w:tblPr>
        <w:tblStyle w:val="TableGrid"/>
        <w:tblW w:w="9410" w:type="dxa"/>
        <w:tblInd w:w="763" w:type="dxa"/>
        <w:tblLook w:val="04A0" w:firstRow="1" w:lastRow="0" w:firstColumn="1" w:lastColumn="0" w:noHBand="0" w:noVBand="1"/>
      </w:tblPr>
      <w:tblGrid>
        <w:gridCol w:w="836"/>
        <w:gridCol w:w="8632"/>
      </w:tblGrid>
      <w:tr w:rsidR="00053D93" w14:paraId="397D9744" w14:textId="77777777">
        <w:trPr>
          <w:trHeight w:val="13899"/>
        </w:trPr>
        <w:tc>
          <w:tcPr>
            <w:tcW w:w="1025" w:type="dxa"/>
            <w:tcBorders>
              <w:top w:val="nil"/>
              <w:left w:val="nil"/>
              <w:bottom w:val="nil"/>
              <w:right w:val="nil"/>
            </w:tcBorders>
            <w:vAlign w:val="bottom"/>
          </w:tcPr>
          <w:p w14:paraId="7214BA02" w14:textId="77777777" w:rsidR="00053D93" w:rsidRDefault="00260B75">
            <w:r>
              <w:rPr>
                <w:noProof/>
              </w:rPr>
              <w:lastRenderedPageBreak/>
              <w:drawing>
                <wp:inline distT="0" distB="0" distL="0" distR="0" wp14:anchorId="2A7B6857" wp14:editId="5B5E9364">
                  <wp:extent cx="644652" cy="411480"/>
                  <wp:effectExtent l="0" t="0" r="0" b="0"/>
                  <wp:docPr id="2458538" name="Picture 2458538"/>
                  <wp:cNvGraphicFramePr/>
                  <a:graphic xmlns:a="http://schemas.openxmlformats.org/drawingml/2006/main">
                    <a:graphicData uri="http://schemas.openxmlformats.org/drawingml/2006/picture">
                      <pic:pic xmlns:pic="http://schemas.openxmlformats.org/drawingml/2006/picture">
                        <pic:nvPicPr>
                          <pic:cNvPr id="2458538" name="Picture 2458538"/>
                          <pic:cNvPicPr/>
                        </pic:nvPicPr>
                        <pic:blipFill>
                          <a:blip r:embed="rId985"/>
                          <a:stretch>
                            <a:fillRect/>
                          </a:stretch>
                        </pic:blipFill>
                        <pic:spPr>
                          <a:xfrm>
                            <a:off x="0" y="0"/>
                            <a:ext cx="644652" cy="411480"/>
                          </a:xfrm>
                          <a:prstGeom prst="rect">
                            <a:avLst/>
                          </a:prstGeom>
                        </pic:spPr>
                      </pic:pic>
                    </a:graphicData>
                  </a:graphic>
                </wp:inline>
              </w:drawing>
            </w:r>
          </w:p>
        </w:tc>
        <w:tc>
          <w:tcPr>
            <w:tcW w:w="8386" w:type="dxa"/>
            <w:tcBorders>
              <w:top w:val="nil"/>
              <w:left w:val="nil"/>
              <w:bottom w:val="nil"/>
              <w:right w:val="nil"/>
            </w:tcBorders>
          </w:tcPr>
          <w:p w14:paraId="2030C4C8" w14:textId="77777777" w:rsidR="00053D93" w:rsidRDefault="00053D93">
            <w:pPr>
              <w:ind w:left="-2083" w:right="10469"/>
            </w:pPr>
          </w:p>
          <w:tbl>
            <w:tblPr>
              <w:tblStyle w:val="TableGrid"/>
              <w:tblW w:w="8376" w:type="dxa"/>
              <w:tblInd w:w="9" w:type="dxa"/>
              <w:tblLook w:val="04A0" w:firstRow="1" w:lastRow="0" w:firstColumn="1" w:lastColumn="0" w:noHBand="0" w:noVBand="1"/>
            </w:tblPr>
            <w:tblGrid>
              <w:gridCol w:w="295"/>
              <w:gridCol w:w="311"/>
              <w:gridCol w:w="172"/>
              <w:gridCol w:w="682"/>
              <w:gridCol w:w="1310"/>
              <w:gridCol w:w="1162"/>
              <w:gridCol w:w="1161"/>
              <w:gridCol w:w="945"/>
              <w:gridCol w:w="677"/>
              <w:gridCol w:w="1661"/>
            </w:tblGrid>
            <w:tr w:rsidR="00053D93" w14:paraId="525B5647" w14:textId="77777777">
              <w:trPr>
                <w:trHeight w:val="1865"/>
              </w:trPr>
              <w:tc>
                <w:tcPr>
                  <w:tcW w:w="291" w:type="dxa"/>
                  <w:tcBorders>
                    <w:top w:val="single" w:sz="2" w:space="0" w:color="000000"/>
                    <w:left w:val="single" w:sz="2" w:space="0" w:color="000000"/>
                    <w:bottom w:val="single" w:sz="2" w:space="0" w:color="000000"/>
                    <w:right w:val="single" w:sz="2" w:space="0" w:color="000000"/>
                  </w:tcBorders>
                </w:tcPr>
                <w:p w14:paraId="09F9EF6C" w14:textId="77777777" w:rsidR="00053D93" w:rsidRDefault="00053D93"/>
              </w:tc>
              <w:tc>
                <w:tcPr>
                  <w:tcW w:w="1174" w:type="dxa"/>
                  <w:gridSpan w:val="3"/>
                  <w:tcBorders>
                    <w:top w:val="single" w:sz="2" w:space="0" w:color="000000"/>
                    <w:left w:val="single" w:sz="2" w:space="0" w:color="000000"/>
                    <w:bottom w:val="single" w:sz="2" w:space="0" w:color="000000"/>
                    <w:right w:val="single" w:sz="2" w:space="0" w:color="000000"/>
                  </w:tcBorders>
                </w:tcPr>
                <w:p w14:paraId="5462AFA4" w14:textId="77777777" w:rsidR="00053D93" w:rsidRDefault="00053D93"/>
              </w:tc>
              <w:tc>
                <w:tcPr>
                  <w:tcW w:w="1257" w:type="dxa"/>
                  <w:tcBorders>
                    <w:top w:val="single" w:sz="2" w:space="0" w:color="000000"/>
                    <w:left w:val="single" w:sz="2" w:space="0" w:color="000000"/>
                    <w:bottom w:val="single" w:sz="2" w:space="0" w:color="000000"/>
                    <w:right w:val="single" w:sz="2" w:space="0" w:color="000000"/>
                  </w:tcBorders>
                </w:tcPr>
                <w:p w14:paraId="68F90343" w14:textId="77777777" w:rsidR="00053D93" w:rsidRDefault="00260B75">
                  <w:pPr>
                    <w:spacing w:after="24" w:line="231" w:lineRule="auto"/>
                    <w:ind w:left="72" w:right="91"/>
                    <w:jc w:val="both"/>
                  </w:pPr>
                  <w:r>
                    <w:rPr>
                      <w:sz w:val="18"/>
                    </w:rPr>
                    <w:t>financiero de las obras de arrastre de la Dirección</w:t>
                  </w:r>
                </w:p>
                <w:p w14:paraId="33FF15A1" w14:textId="77777777" w:rsidR="00053D93" w:rsidRDefault="00260B75">
                  <w:pPr>
                    <w:spacing w:line="216" w:lineRule="auto"/>
                    <w:ind w:left="79"/>
                  </w:pPr>
                  <w:r>
                    <w:rPr>
                      <w:sz w:val="18"/>
                    </w:rPr>
                    <w:t>General</w:t>
                  </w:r>
                  <w:r>
                    <w:rPr>
                      <w:sz w:val="18"/>
                    </w:rPr>
                    <w:tab/>
                    <w:t>de Educación</w:t>
                  </w:r>
                </w:p>
                <w:p w14:paraId="5BED97BB" w14:textId="77777777" w:rsidR="00053D93" w:rsidRDefault="00260B75">
                  <w:pPr>
                    <w:ind w:left="79"/>
                  </w:pPr>
                  <w:r>
                    <w:rPr>
                      <w:sz w:val="18"/>
                    </w:rPr>
                    <w:t>Física -DIGEF-.</w:t>
                  </w:r>
                </w:p>
              </w:tc>
              <w:tc>
                <w:tcPr>
                  <w:tcW w:w="1174" w:type="dxa"/>
                  <w:tcBorders>
                    <w:top w:val="single" w:sz="2" w:space="0" w:color="000000"/>
                    <w:left w:val="single" w:sz="2" w:space="0" w:color="000000"/>
                    <w:bottom w:val="single" w:sz="2" w:space="0" w:color="000000"/>
                    <w:right w:val="single" w:sz="2" w:space="0" w:color="000000"/>
                  </w:tcBorders>
                </w:tcPr>
                <w:p w14:paraId="44E2BD65" w14:textId="77777777" w:rsidR="00053D93" w:rsidRDefault="00053D93"/>
              </w:tc>
              <w:tc>
                <w:tcPr>
                  <w:tcW w:w="1174" w:type="dxa"/>
                  <w:tcBorders>
                    <w:top w:val="single" w:sz="2" w:space="0" w:color="000000"/>
                    <w:left w:val="single" w:sz="2" w:space="0" w:color="000000"/>
                    <w:bottom w:val="single" w:sz="2" w:space="0" w:color="000000"/>
                    <w:right w:val="single" w:sz="2" w:space="0" w:color="000000"/>
                  </w:tcBorders>
                </w:tcPr>
                <w:p w14:paraId="4988AB13" w14:textId="77777777" w:rsidR="00053D93" w:rsidRDefault="00053D93"/>
              </w:tc>
              <w:tc>
                <w:tcPr>
                  <w:tcW w:w="946" w:type="dxa"/>
                  <w:tcBorders>
                    <w:top w:val="single" w:sz="2" w:space="0" w:color="000000"/>
                    <w:left w:val="single" w:sz="2" w:space="0" w:color="000000"/>
                    <w:bottom w:val="single" w:sz="2" w:space="0" w:color="000000"/>
                    <w:right w:val="single" w:sz="2" w:space="0" w:color="000000"/>
                  </w:tcBorders>
                </w:tcPr>
                <w:p w14:paraId="1B17DA83" w14:textId="77777777" w:rsidR="00053D93" w:rsidRDefault="00053D93"/>
              </w:tc>
              <w:tc>
                <w:tcPr>
                  <w:tcW w:w="691" w:type="dxa"/>
                  <w:tcBorders>
                    <w:top w:val="single" w:sz="2" w:space="0" w:color="000000"/>
                    <w:left w:val="single" w:sz="2" w:space="0" w:color="000000"/>
                    <w:bottom w:val="single" w:sz="2" w:space="0" w:color="000000"/>
                    <w:right w:val="single" w:sz="2" w:space="0" w:color="000000"/>
                  </w:tcBorders>
                </w:tcPr>
                <w:p w14:paraId="7D268890" w14:textId="77777777" w:rsidR="00053D93" w:rsidRDefault="00053D93"/>
              </w:tc>
              <w:tc>
                <w:tcPr>
                  <w:tcW w:w="1670" w:type="dxa"/>
                  <w:tcBorders>
                    <w:top w:val="single" w:sz="2" w:space="0" w:color="000000"/>
                    <w:left w:val="single" w:sz="2" w:space="0" w:color="000000"/>
                    <w:bottom w:val="single" w:sz="2" w:space="0" w:color="000000"/>
                    <w:right w:val="single" w:sz="2" w:space="0" w:color="000000"/>
                  </w:tcBorders>
                </w:tcPr>
                <w:p w14:paraId="4A51E643" w14:textId="77777777" w:rsidR="00053D93" w:rsidRDefault="00260B75">
                  <w:pPr>
                    <w:spacing w:line="249" w:lineRule="auto"/>
                    <w:ind w:left="72"/>
                    <w:jc w:val="both"/>
                  </w:pPr>
                  <w:r>
                    <w:rPr>
                      <w:sz w:val="18"/>
                    </w:rPr>
                    <w:t xml:space="preserve">10/02/2025 Y </w:t>
                  </w:r>
                  <w:r>
                    <w:rPr>
                      <w:rFonts w:ascii="Times New Roman" w:eastAsia="Times New Roman" w:hAnsi="Times New Roman" w:cs="Times New Roman"/>
                      <w:sz w:val="18"/>
                    </w:rPr>
                    <w:t xml:space="preserve">se </w:t>
                  </w:r>
                  <w:r>
                    <w:rPr>
                      <w:sz w:val="18"/>
                    </w:rPr>
                    <w:t>completó la</w:t>
                  </w:r>
                </w:p>
                <w:p w14:paraId="42FB6C2F" w14:textId="77777777" w:rsidR="00053D93" w:rsidRDefault="00260B75">
                  <w:pPr>
                    <w:spacing w:line="243" w:lineRule="auto"/>
                    <w:ind w:left="72" w:hanging="7"/>
                    <w:jc w:val="both"/>
                  </w:pPr>
                  <w:r>
                    <w:rPr>
                      <w:sz w:val="16"/>
                    </w:rPr>
                    <w:t>información mediante Oficio DG No.</w:t>
                  </w:r>
                </w:p>
                <w:p w14:paraId="42722ABB" w14:textId="77777777" w:rsidR="00053D93" w:rsidRDefault="00260B75">
                  <w:pPr>
                    <w:spacing w:after="2" w:line="249" w:lineRule="auto"/>
                    <w:ind w:left="58" w:right="94" w:firstLine="7"/>
                    <w:jc w:val="both"/>
                  </w:pPr>
                  <w:r>
                    <w:rPr>
                      <w:rFonts w:ascii="Times New Roman" w:eastAsia="Times New Roman" w:hAnsi="Times New Roman" w:cs="Times New Roman"/>
                      <w:sz w:val="16"/>
                    </w:rPr>
                    <w:t xml:space="preserve">240-2025 </w:t>
                  </w:r>
                  <w:r>
                    <w:rPr>
                      <w:sz w:val="16"/>
                    </w:rPr>
                    <w:t>del 03/03/2025. la cual fue recibida por el equipo de auditoría el</w:t>
                  </w:r>
                </w:p>
                <w:p w14:paraId="30DE11BD" w14:textId="77777777" w:rsidR="00053D93" w:rsidRDefault="00260B75">
                  <w:pPr>
                    <w:ind w:left="72"/>
                  </w:pPr>
                  <w:r>
                    <w:rPr>
                      <w:rFonts w:ascii="Times New Roman" w:eastAsia="Times New Roman" w:hAnsi="Times New Roman" w:cs="Times New Roman"/>
                      <w:sz w:val="18"/>
                    </w:rPr>
                    <w:t>10/03/2025.</w:t>
                  </w:r>
                </w:p>
              </w:tc>
            </w:tr>
            <w:tr w:rsidR="00053D93" w14:paraId="51308701" w14:textId="77777777">
              <w:trPr>
                <w:trHeight w:val="3694"/>
              </w:trPr>
              <w:tc>
                <w:tcPr>
                  <w:tcW w:w="291" w:type="dxa"/>
                  <w:tcBorders>
                    <w:top w:val="single" w:sz="2" w:space="0" w:color="000000"/>
                    <w:left w:val="single" w:sz="2" w:space="0" w:color="000000"/>
                    <w:bottom w:val="single" w:sz="2" w:space="0" w:color="000000"/>
                    <w:right w:val="single" w:sz="2" w:space="0" w:color="000000"/>
                  </w:tcBorders>
                </w:tcPr>
                <w:p w14:paraId="1509BABC" w14:textId="77777777" w:rsidR="00053D93" w:rsidRDefault="00260B75">
                  <w:pPr>
                    <w:ind w:left="60"/>
                  </w:pPr>
                  <w:r>
                    <w:rPr>
                      <w:rFonts w:ascii="Times New Roman" w:eastAsia="Times New Roman" w:hAnsi="Times New Roman" w:cs="Times New Roman"/>
                      <w:sz w:val="16"/>
                    </w:rPr>
                    <w:t>2</w:t>
                  </w:r>
                </w:p>
              </w:tc>
              <w:tc>
                <w:tcPr>
                  <w:tcW w:w="1174" w:type="dxa"/>
                  <w:gridSpan w:val="3"/>
                  <w:tcBorders>
                    <w:top w:val="single" w:sz="2" w:space="0" w:color="000000"/>
                    <w:left w:val="single" w:sz="2" w:space="0" w:color="000000"/>
                    <w:bottom w:val="single" w:sz="2" w:space="0" w:color="000000"/>
                    <w:right w:val="single" w:sz="2" w:space="0" w:color="000000"/>
                  </w:tcBorders>
                </w:tcPr>
                <w:p w14:paraId="314D8914" w14:textId="77777777" w:rsidR="00053D93" w:rsidRDefault="00260B75">
                  <w:pPr>
                    <w:spacing w:after="1"/>
                    <w:ind w:left="86"/>
                  </w:pPr>
                  <w:r>
                    <w:rPr>
                      <w:rFonts w:ascii="Times New Roman" w:eastAsia="Times New Roman" w:hAnsi="Times New Roman" w:cs="Times New Roman"/>
                      <w:sz w:val="16"/>
                    </w:rPr>
                    <w:t>CGC-AFC-</w:t>
                  </w:r>
                </w:p>
                <w:p w14:paraId="06908263" w14:textId="77777777" w:rsidR="00053D93" w:rsidRDefault="00260B75">
                  <w:pPr>
                    <w:ind w:left="86"/>
                  </w:pPr>
                  <w:r>
                    <w:rPr>
                      <w:sz w:val="18"/>
                    </w:rPr>
                    <w:t>MINEDUC-</w:t>
                  </w:r>
                </w:p>
                <w:p w14:paraId="70E6B354" w14:textId="77777777" w:rsidR="00053D93" w:rsidRDefault="00260B75">
                  <w:pPr>
                    <w:ind w:left="86" w:firstLine="7"/>
                  </w:pPr>
                  <w:r>
                    <w:rPr>
                      <w:sz w:val="18"/>
                    </w:rPr>
                    <w:t>DIGEF-OF</w:t>
                  </w:r>
                  <w:r>
                    <w:rPr>
                      <w:rFonts w:ascii="Times New Roman" w:eastAsia="Times New Roman" w:hAnsi="Times New Roman" w:cs="Times New Roman"/>
                      <w:sz w:val="18"/>
                    </w:rPr>
                    <w:t>036-2024</w:t>
                  </w:r>
                </w:p>
              </w:tc>
              <w:tc>
                <w:tcPr>
                  <w:tcW w:w="1257" w:type="dxa"/>
                  <w:tcBorders>
                    <w:top w:val="single" w:sz="2" w:space="0" w:color="000000"/>
                    <w:left w:val="single" w:sz="2" w:space="0" w:color="000000"/>
                    <w:bottom w:val="single" w:sz="2" w:space="0" w:color="000000"/>
                    <w:right w:val="single" w:sz="2" w:space="0" w:color="000000"/>
                  </w:tcBorders>
                </w:tcPr>
                <w:p w14:paraId="5D7A9387" w14:textId="77777777" w:rsidR="00053D93" w:rsidRDefault="00260B75">
                  <w:pPr>
                    <w:ind w:left="79" w:right="84"/>
                    <w:jc w:val="both"/>
                  </w:pPr>
                  <w:r>
                    <w:rPr>
                      <w:rFonts w:ascii="Times New Roman" w:eastAsia="Times New Roman" w:hAnsi="Times New Roman" w:cs="Times New Roman"/>
                      <w:sz w:val="18"/>
                    </w:rPr>
                    <w:t xml:space="preserve">Se </w:t>
                  </w:r>
                  <w:r>
                    <w:rPr>
                      <w:sz w:val="18"/>
                    </w:rPr>
                    <w:t>solicitó información Y documentación referente a la ejecución del presupuesto del ejercicio fiscal 2024, conforme a Io planificado.</w:t>
                  </w:r>
                </w:p>
              </w:tc>
              <w:tc>
                <w:tcPr>
                  <w:tcW w:w="1174" w:type="dxa"/>
                  <w:tcBorders>
                    <w:top w:val="single" w:sz="2" w:space="0" w:color="000000"/>
                    <w:left w:val="single" w:sz="2" w:space="0" w:color="000000"/>
                    <w:bottom w:val="single" w:sz="2" w:space="0" w:color="000000"/>
                    <w:right w:val="single" w:sz="2" w:space="0" w:color="000000"/>
                  </w:tcBorders>
                </w:tcPr>
                <w:p w14:paraId="427A7F2E" w14:textId="77777777" w:rsidR="00053D93" w:rsidRDefault="00260B75">
                  <w:pPr>
                    <w:ind w:right="16"/>
                    <w:jc w:val="center"/>
                  </w:pPr>
                  <w:r>
                    <w:rPr>
                      <w:rFonts w:ascii="Times New Roman" w:eastAsia="Times New Roman" w:hAnsi="Times New Roman" w:cs="Times New Roman"/>
                      <w:sz w:val="16"/>
                    </w:rPr>
                    <w:t>29/01/2025</w:t>
                  </w:r>
                </w:p>
              </w:tc>
              <w:tc>
                <w:tcPr>
                  <w:tcW w:w="1174" w:type="dxa"/>
                  <w:tcBorders>
                    <w:top w:val="single" w:sz="2" w:space="0" w:color="000000"/>
                    <w:left w:val="single" w:sz="2" w:space="0" w:color="000000"/>
                    <w:bottom w:val="single" w:sz="2" w:space="0" w:color="000000"/>
                    <w:right w:val="single" w:sz="2" w:space="0" w:color="000000"/>
                  </w:tcBorders>
                </w:tcPr>
                <w:p w14:paraId="706DD915" w14:textId="77777777" w:rsidR="00053D93" w:rsidRDefault="00260B75">
                  <w:pPr>
                    <w:ind w:right="16"/>
                    <w:jc w:val="center"/>
                  </w:pPr>
                  <w:r>
                    <w:rPr>
                      <w:rFonts w:ascii="Times New Roman" w:eastAsia="Times New Roman" w:hAnsi="Times New Roman" w:cs="Times New Roman"/>
                      <w:sz w:val="16"/>
                    </w:rPr>
                    <w:t>07/02/2025</w:t>
                  </w:r>
                </w:p>
              </w:tc>
              <w:tc>
                <w:tcPr>
                  <w:tcW w:w="946" w:type="dxa"/>
                  <w:tcBorders>
                    <w:top w:val="single" w:sz="2" w:space="0" w:color="000000"/>
                    <w:left w:val="single" w:sz="2" w:space="0" w:color="000000"/>
                    <w:bottom w:val="single" w:sz="2" w:space="0" w:color="000000"/>
                    <w:right w:val="single" w:sz="2" w:space="0" w:color="000000"/>
                  </w:tcBorders>
                </w:tcPr>
                <w:p w14:paraId="412DDE82" w14:textId="77777777" w:rsidR="00053D93" w:rsidRDefault="00260B75">
                  <w:pPr>
                    <w:ind w:left="89"/>
                  </w:pPr>
                  <w:r>
                    <w:rPr>
                      <w:rFonts w:ascii="Times New Roman" w:eastAsia="Times New Roman" w:hAnsi="Times New Roman" w:cs="Times New Roman"/>
                      <w:sz w:val="16"/>
                    </w:rPr>
                    <w:t>1710312025</w:t>
                  </w:r>
                </w:p>
              </w:tc>
              <w:tc>
                <w:tcPr>
                  <w:tcW w:w="691" w:type="dxa"/>
                  <w:tcBorders>
                    <w:top w:val="single" w:sz="2" w:space="0" w:color="000000"/>
                    <w:left w:val="single" w:sz="2" w:space="0" w:color="000000"/>
                    <w:bottom w:val="single" w:sz="2" w:space="0" w:color="000000"/>
                    <w:right w:val="single" w:sz="2" w:space="0" w:color="000000"/>
                  </w:tcBorders>
                </w:tcPr>
                <w:p w14:paraId="17BE0003" w14:textId="77777777" w:rsidR="00053D93" w:rsidRDefault="00260B75">
                  <w:pPr>
                    <w:ind w:right="22"/>
                    <w:jc w:val="center"/>
                  </w:pPr>
                  <w:r>
                    <w:rPr>
                      <w:rFonts w:ascii="Times New Roman" w:eastAsia="Times New Roman" w:hAnsi="Times New Roman" w:cs="Times New Roman"/>
                      <w:sz w:val="18"/>
                    </w:rPr>
                    <w:t>33</w:t>
                  </w:r>
                </w:p>
              </w:tc>
              <w:tc>
                <w:tcPr>
                  <w:tcW w:w="1670" w:type="dxa"/>
                  <w:tcBorders>
                    <w:top w:val="single" w:sz="2" w:space="0" w:color="000000"/>
                    <w:left w:val="single" w:sz="2" w:space="0" w:color="000000"/>
                    <w:bottom w:val="single" w:sz="2" w:space="0" w:color="000000"/>
                    <w:right w:val="single" w:sz="2" w:space="0" w:color="000000"/>
                  </w:tcBorders>
                </w:tcPr>
                <w:p w14:paraId="6F13444F" w14:textId="77777777" w:rsidR="00053D93" w:rsidRDefault="00260B75">
                  <w:pPr>
                    <w:ind w:left="65" w:right="86" w:firstLine="7"/>
                    <w:jc w:val="both"/>
                  </w:pPr>
                  <w:r>
                    <w:rPr>
                      <w:rFonts w:ascii="Times New Roman" w:eastAsia="Times New Roman" w:hAnsi="Times New Roman" w:cs="Times New Roman"/>
                      <w:sz w:val="18"/>
                    </w:rPr>
                    <w:t xml:space="preserve">Se </w:t>
                  </w:r>
                  <w:r>
                    <w:rPr>
                      <w:sz w:val="18"/>
                    </w:rPr>
                    <w:t xml:space="preserve">proporcionó parcialmente mediante Oficio DG No. 157-2025 del 1 1/02/2025. por lo que se emitió el oficio CGC-AFC-MINEDUCDIGEF-OF-051-2024 del 20/02/2025. para que completaran [a Información, misma fue completada mediante Oficio DG No. 347-2025 del 12/03/2025, el cual fue recibido por el equipo de auditoría el </w:t>
                  </w:r>
                  <w:r>
                    <w:rPr>
                      <w:rFonts w:ascii="Times New Roman" w:eastAsia="Times New Roman" w:hAnsi="Times New Roman" w:cs="Times New Roman"/>
                      <w:sz w:val="18"/>
                    </w:rPr>
                    <w:t>17/03/2025.</w:t>
                  </w:r>
                </w:p>
              </w:tc>
            </w:tr>
            <w:tr w:rsidR="00053D93" w14:paraId="3DB1F5B5" w14:textId="77777777">
              <w:trPr>
                <w:trHeight w:val="4291"/>
              </w:trPr>
              <w:tc>
                <w:tcPr>
                  <w:tcW w:w="291" w:type="dxa"/>
                  <w:tcBorders>
                    <w:top w:val="single" w:sz="2" w:space="0" w:color="000000"/>
                    <w:left w:val="single" w:sz="2" w:space="0" w:color="000000"/>
                    <w:bottom w:val="single" w:sz="2" w:space="0" w:color="000000"/>
                    <w:right w:val="single" w:sz="2" w:space="0" w:color="000000"/>
                  </w:tcBorders>
                </w:tcPr>
                <w:p w14:paraId="4DB81864" w14:textId="77777777" w:rsidR="00053D93" w:rsidRDefault="00260B75">
                  <w:pPr>
                    <w:ind w:left="60"/>
                  </w:pPr>
                  <w:r>
                    <w:rPr>
                      <w:rFonts w:ascii="Times New Roman" w:eastAsia="Times New Roman" w:hAnsi="Times New Roman" w:cs="Times New Roman"/>
                      <w:sz w:val="20"/>
                    </w:rPr>
                    <w:t>3</w:t>
                  </w:r>
                </w:p>
              </w:tc>
              <w:tc>
                <w:tcPr>
                  <w:tcW w:w="1174" w:type="dxa"/>
                  <w:gridSpan w:val="3"/>
                  <w:tcBorders>
                    <w:top w:val="single" w:sz="2" w:space="0" w:color="000000"/>
                    <w:left w:val="single" w:sz="2" w:space="0" w:color="000000"/>
                    <w:bottom w:val="single" w:sz="2" w:space="0" w:color="000000"/>
                    <w:right w:val="single" w:sz="2" w:space="0" w:color="000000"/>
                  </w:tcBorders>
                </w:tcPr>
                <w:p w14:paraId="2A8C84CE" w14:textId="77777777" w:rsidR="00053D93" w:rsidRDefault="00260B75">
                  <w:pPr>
                    <w:spacing w:after="1"/>
                    <w:ind w:left="94"/>
                  </w:pPr>
                  <w:r>
                    <w:rPr>
                      <w:rFonts w:ascii="Times New Roman" w:eastAsia="Times New Roman" w:hAnsi="Times New Roman" w:cs="Times New Roman"/>
                      <w:sz w:val="16"/>
                    </w:rPr>
                    <w:t>CGC-AFC-</w:t>
                  </w:r>
                </w:p>
                <w:p w14:paraId="6BCF8975" w14:textId="77777777" w:rsidR="00053D93" w:rsidRDefault="00260B75">
                  <w:pPr>
                    <w:ind w:left="94"/>
                  </w:pPr>
                  <w:r>
                    <w:rPr>
                      <w:sz w:val="18"/>
                    </w:rPr>
                    <w:t>MINEDUC-</w:t>
                  </w:r>
                </w:p>
                <w:p w14:paraId="13D9374E" w14:textId="77777777" w:rsidR="00053D93" w:rsidRDefault="00260B75">
                  <w:pPr>
                    <w:ind w:left="94"/>
                  </w:pPr>
                  <w:r>
                    <w:rPr>
                      <w:sz w:val="18"/>
                    </w:rPr>
                    <w:t>DIGEF-OF</w:t>
                  </w:r>
                  <w:r>
                    <w:rPr>
                      <w:rFonts w:ascii="Times New Roman" w:eastAsia="Times New Roman" w:hAnsi="Times New Roman" w:cs="Times New Roman"/>
                      <w:sz w:val="18"/>
                    </w:rPr>
                    <w:t>042-2024</w:t>
                  </w:r>
                </w:p>
              </w:tc>
              <w:tc>
                <w:tcPr>
                  <w:tcW w:w="1257" w:type="dxa"/>
                  <w:tcBorders>
                    <w:top w:val="single" w:sz="2" w:space="0" w:color="000000"/>
                    <w:left w:val="single" w:sz="2" w:space="0" w:color="000000"/>
                    <w:bottom w:val="single" w:sz="2" w:space="0" w:color="000000"/>
                    <w:right w:val="single" w:sz="2" w:space="0" w:color="000000"/>
                  </w:tcBorders>
                </w:tcPr>
                <w:p w14:paraId="0F2B7119" w14:textId="77777777" w:rsidR="00053D93" w:rsidRDefault="00260B75">
                  <w:pPr>
                    <w:ind w:left="86" w:right="76"/>
                    <w:jc w:val="both"/>
                  </w:pPr>
                  <w:r>
                    <w:rPr>
                      <w:rFonts w:ascii="Times New Roman" w:eastAsia="Times New Roman" w:hAnsi="Times New Roman" w:cs="Times New Roman"/>
                      <w:sz w:val="18"/>
                    </w:rPr>
                    <w:t xml:space="preserve">Se </w:t>
                  </w:r>
                  <w:r>
                    <w:rPr>
                      <w:sz w:val="18"/>
                    </w:rPr>
                    <w:t>solicitó información referente a un empleado con cargo al renglón presupuestario 011 personal permanente de la DIGEF.</w:t>
                  </w:r>
                </w:p>
              </w:tc>
              <w:tc>
                <w:tcPr>
                  <w:tcW w:w="1174" w:type="dxa"/>
                  <w:tcBorders>
                    <w:top w:val="single" w:sz="2" w:space="0" w:color="000000"/>
                    <w:left w:val="single" w:sz="2" w:space="0" w:color="000000"/>
                    <w:bottom w:val="single" w:sz="2" w:space="0" w:color="000000"/>
                    <w:right w:val="single" w:sz="2" w:space="0" w:color="000000"/>
                  </w:tcBorders>
                </w:tcPr>
                <w:p w14:paraId="109E83AF" w14:textId="77777777" w:rsidR="00053D93" w:rsidRDefault="00260B75">
                  <w:pPr>
                    <w:ind w:right="9"/>
                    <w:jc w:val="center"/>
                  </w:pPr>
                  <w:r>
                    <w:rPr>
                      <w:rFonts w:ascii="Times New Roman" w:eastAsia="Times New Roman" w:hAnsi="Times New Roman" w:cs="Times New Roman"/>
                      <w:sz w:val="16"/>
                    </w:rPr>
                    <w:t>4/02/2025</w:t>
                  </w:r>
                </w:p>
              </w:tc>
              <w:tc>
                <w:tcPr>
                  <w:tcW w:w="1174" w:type="dxa"/>
                  <w:tcBorders>
                    <w:top w:val="single" w:sz="2" w:space="0" w:color="000000"/>
                    <w:left w:val="single" w:sz="2" w:space="0" w:color="000000"/>
                    <w:bottom w:val="single" w:sz="2" w:space="0" w:color="000000"/>
                    <w:right w:val="single" w:sz="2" w:space="0" w:color="000000"/>
                  </w:tcBorders>
                </w:tcPr>
                <w:p w14:paraId="2C2E7B82" w14:textId="77777777" w:rsidR="00053D93" w:rsidRDefault="00260B75">
                  <w:pPr>
                    <w:ind w:left="5"/>
                    <w:jc w:val="center"/>
                  </w:pPr>
                  <w:r>
                    <w:rPr>
                      <w:rFonts w:ascii="Times New Roman" w:eastAsia="Times New Roman" w:hAnsi="Times New Roman" w:cs="Times New Roman"/>
                      <w:sz w:val="16"/>
                    </w:rPr>
                    <w:t>10/02/2025</w:t>
                  </w:r>
                </w:p>
              </w:tc>
              <w:tc>
                <w:tcPr>
                  <w:tcW w:w="946" w:type="dxa"/>
                  <w:tcBorders>
                    <w:top w:val="single" w:sz="2" w:space="0" w:color="000000"/>
                    <w:left w:val="single" w:sz="2" w:space="0" w:color="000000"/>
                    <w:bottom w:val="single" w:sz="2" w:space="0" w:color="000000"/>
                    <w:right w:val="single" w:sz="2" w:space="0" w:color="000000"/>
                  </w:tcBorders>
                </w:tcPr>
                <w:p w14:paraId="0E450724" w14:textId="77777777" w:rsidR="00053D93" w:rsidRDefault="00260B75">
                  <w:pPr>
                    <w:ind w:left="96"/>
                  </w:pPr>
                  <w:r>
                    <w:rPr>
                      <w:rFonts w:ascii="Times New Roman" w:eastAsia="Times New Roman" w:hAnsi="Times New Roman" w:cs="Times New Roman"/>
                      <w:sz w:val="16"/>
                    </w:rPr>
                    <w:t>1710312025</w:t>
                  </w:r>
                </w:p>
              </w:tc>
              <w:tc>
                <w:tcPr>
                  <w:tcW w:w="691" w:type="dxa"/>
                  <w:tcBorders>
                    <w:top w:val="single" w:sz="2" w:space="0" w:color="000000"/>
                    <w:left w:val="single" w:sz="2" w:space="0" w:color="000000"/>
                    <w:bottom w:val="single" w:sz="2" w:space="0" w:color="000000"/>
                    <w:right w:val="single" w:sz="2" w:space="0" w:color="000000"/>
                  </w:tcBorders>
                </w:tcPr>
                <w:p w14:paraId="092FAC8D" w14:textId="77777777" w:rsidR="00053D93" w:rsidRDefault="00260B75">
                  <w:pPr>
                    <w:jc w:val="center"/>
                  </w:pPr>
                  <w:r>
                    <w:rPr>
                      <w:rFonts w:ascii="Times New Roman" w:eastAsia="Times New Roman" w:hAnsi="Times New Roman" w:cs="Times New Roman"/>
                      <w:sz w:val="16"/>
                    </w:rPr>
                    <w:t>29</w:t>
                  </w:r>
                </w:p>
              </w:tc>
              <w:tc>
                <w:tcPr>
                  <w:tcW w:w="1670" w:type="dxa"/>
                  <w:tcBorders>
                    <w:top w:val="single" w:sz="2" w:space="0" w:color="000000"/>
                    <w:left w:val="single" w:sz="2" w:space="0" w:color="000000"/>
                    <w:bottom w:val="single" w:sz="2" w:space="0" w:color="000000"/>
                    <w:right w:val="single" w:sz="2" w:space="0" w:color="000000"/>
                  </w:tcBorders>
                </w:tcPr>
                <w:p w14:paraId="04FB40BE" w14:textId="77777777" w:rsidR="00053D93" w:rsidRDefault="00260B75">
                  <w:pPr>
                    <w:spacing w:after="5" w:line="246" w:lineRule="auto"/>
                    <w:ind w:left="72" w:right="72" w:firstLine="7"/>
                    <w:jc w:val="both"/>
                  </w:pPr>
                  <w:r>
                    <w:rPr>
                      <w:sz w:val="18"/>
                    </w:rPr>
                    <w:t>Mediante oficio No. RRHH-041-2025 del 07 de febrero de 2025, se indicó que Recursos Humanos no contaba con ta Información solicitada; sin embargo. se solicitó que realizaran las gestiones para proporcionarla por tratarse de personal 01 1 de DIGEF y se proporcionó mediante Oficio DG No.</w:t>
                  </w:r>
                </w:p>
                <w:p w14:paraId="35EF703F" w14:textId="77777777" w:rsidR="00053D93" w:rsidRDefault="00260B75">
                  <w:pPr>
                    <w:ind w:left="79" w:right="72"/>
                    <w:jc w:val="both"/>
                  </w:pPr>
                  <w:r>
                    <w:rPr>
                      <w:rFonts w:ascii="Times New Roman" w:eastAsia="Times New Roman" w:hAnsi="Times New Roman" w:cs="Times New Roman"/>
                      <w:sz w:val="18"/>
                    </w:rPr>
                    <w:t xml:space="preserve">360-2025 </w:t>
                  </w:r>
                  <w:r>
                    <w:rPr>
                      <w:sz w:val="18"/>
                    </w:rPr>
                    <w:t xml:space="preserve">del 14/03/2025, el cual fue recibido por el equipo de auditoría el </w:t>
                  </w:r>
                  <w:r>
                    <w:rPr>
                      <w:rFonts w:ascii="Times New Roman" w:eastAsia="Times New Roman" w:hAnsi="Times New Roman" w:cs="Times New Roman"/>
                      <w:sz w:val="18"/>
                    </w:rPr>
                    <w:t>17/03/2025.</w:t>
                  </w:r>
                </w:p>
              </w:tc>
            </w:tr>
            <w:tr w:rsidR="00053D93" w14:paraId="66FE857F" w14:textId="77777777">
              <w:trPr>
                <w:trHeight w:val="3434"/>
              </w:trPr>
              <w:tc>
                <w:tcPr>
                  <w:tcW w:w="291" w:type="dxa"/>
                  <w:vMerge w:val="restart"/>
                  <w:tcBorders>
                    <w:top w:val="single" w:sz="2" w:space="0" w:color="000000"/>
                    <w:left w:val="single" w:sz="2" w:space="0" w:color="000000"/>
                    <w:bottom w:val="nil"/>
                    <w:right w:val="single" w:sz="2" w:space="0" w:color="000000"/>
                  </w:tcBorders>
                </w:tcPr>
                <w:p w14:paraId="6F2BEBE8" w14:textId="77777777" w:rsidR="00053D93" w:rsidRDefault="00260B75">
                  <w:pPr>
                    <w:spacing w:after="3018"/>
                    <w:ind w:left="68"/>
                  </w:pPr>
                  <w:r>
                    <w:rPr>
                      <w:rFonts w:ascii="Times New Roman" w:eastAsia="Times New Roman" w:hAnsi="Times New Roman" w:cs="Times New Roman"/>
                      <w:sz w:val="16"/>
                    </w:rPr>
                    <w:lastRenderedPageBreak/>
                    <w:t>4</w:t>
                  </w:r>
                </w:p>
                <w:p w14:paraId="0306043E" w14:textId="77777777" w:rsidR="00053D93" w:rsidRDefault="00260B75">
                  <w:pPr>
                    <w:ind w:left="24"/>
                  </w:pPr>
                  <w:r>
                    <w:rPr>
                      <w:noProof/>
                    </w:rPr>
                    <w:drawing>
                      <wp:inline distT="0" distB="0" distL="0" distR="0" wp14:anchorId="56494F99" wp14:editId="557F8C7A">
                        <wp:extent cx="169164" cy="406908"/>
                        <wp:effectExtent l="0" t="0" r="0" b="0"/>
                        <wp:docPr id="667382" name="Picture 667382"/>
                        <wp:cNvGraphicFramePr/>
                        <a:graphic xmlns:a="http://schemas.openxmlformats.org/drawingml/2006/main">
                          <a:graphicData uri="http://schemas.openxmlformats.org/drawingml/2006/picture">
                            <pic:pic xmlns:pic="http://schemas.openxmlformats.org/drawingml/2006/picture">
                              <pic:nvPicPr>
                                <pic:cNvPr id="667382" name="Picture 667382"/>
                                <pic:cNvPicPr/>
                              </pic:nvPicPr>
                              <pic:blipFill>
                                <a:blip r:embed="rId986"/>
                                <a:stretch>
                                  <a:fillRect/>
                                </a:stretch>
                              </pic:blipFill>
                              <pic:spPr>
                                <a:xfrm>
                                  <a:off x="0" y="0"/>
                                  <a:ext cx="169164" cy="406908"/>
                                </a:xfrm>
                                <a:prstGeom prst="rect">
                                  <a:avLst/>
                                </a:prstGeom>
                              </pic:spPr>
                            </pic:pic>
                          </a:graphicData>
                        </a:graphic>
                      </wp:inline>
                    </w:drawing>
                  </w:r>
                </w:p>
              </w:tc>
              <w:tc>
                <w:tcPr>
                  <w:tcW w:w="1174" w:type="dxa"/>
                  <w:gridSpan w:val="3"/>
                  <w:tcBorders>
                    <w:top w:val="single" w:sz="2" w:space="0" w:color="000000"/>
                    <w:left w:val="single" w:sz="2" w:space="0" w:color="000000"/>
                    <w:bottom w:val="nil"/>
                    <w:right w:val="single" w:sz="2" w:space="0" w:color="000000"/>
                  </w:tcBorders>
                </w:tcPr>
                <w:p w14:paraId="18DD73CD" w14:textId="77777777" w:rsidR="00053D93" w:rsidRDefault="00260B75">
                  <w:pPr>
                    <w:spacing w:after="9"/>
                    <w:ind w:left="94"/>
                  </w:pPr>
                  <w:r>
                    <w:rPr>
                      <w:rFonts w:ascii="Times New Roman" w:eastAsia="Times New Roman" w:hAnsi="Times New Roman" w:cs="Times New Roman"/>
                      <w:sz w:val="16"/>
                    </w:rPr>
                    <w:t>CGC-AFC-</w:t>
                  </w:r>
                </w:p>
                <w:p w14:paraId="02B03893" w14:textId="77777777" w:rsidR="00053D93" w:rsidRDefault="00260B75">
                  <w:pPr>
                    <w:ind w:left="94"/>
                  </w:pPr>
                  <w:r>
                    <w:rPr>
                      <w:sz w:val="18"/>
                    </w:rPr>
                    <w:t>MINEDUC-</w:t>
                  </w:r>
                </w:p>
                <w:p w14:paraId="3D771341" w14:textId="77777777" w:rsidR="00053D93" w:rsidRDefault="00260B75">
                  <w:pPr>
                    <w:ind w:left="94" w:firstLine="7"/>
                  </w:pPr>
                  <w:r>
                    <w:rPr>
                      <w:sz w:val="18"/>
                    </w:rPr>
                    <w:t>DIGEF-OF</w:t>
                  </w:r>
                  <w:r>
                    <w:rPr>
                      <w:rFonts w:ascii="Times New Roman" w:eastAsia="Times New Roman" w:hAnsi="Times New Roman" w:cs="Times New Roman"/>
                      <w:sz w:val="18"/>
                    </w:rPr>
                    <w:t>049-2024</w:t>
                  </w:r>
                </w:p>
              </w:tc>
              <w:tc>
                <w:tcPr>
                  <w:tcW w:w="1257" w:type="dxa"/>
                  <w:tcBorders>
                    <w:top w:val="single" w:sz="2" w:space="0" w:color="000000"/>
                    <w:left w:val="single" w:sz="2" w:space="0" w:color="000000"/>
                    <w:bottom w:val="single" w:sz="2" w:space="0" w:color="000000"/>
                    <w:right w:val="single" w:sz="2" w:space="0" w:color="000000"/>
                  </w:tcBorders>
                </w:tcPr>
                <w:p w14:paraId="1C2A72C5" w14:textId="77777777" w:rsidR="00053D93" w:rsidRDefault="00260B75">
                  <w:pPr>
                    <w:ind w:left="86"/>
                  </w:pPr>
                  <w:r>
                    <w:rPr>
                      <w:rFonts w:ascii="Times New Roman" w:eastAsia="Times New Roman" w:hAnsi="Times New Roman" w:cs="Times New Roman"/>
                      <w:sz w:val="18"/>
                    </w:rPr>
                    <w:t>Se</w:t>
                  </w:r>
                  <w:r>
                    <w:rPr>
                      <w:rFonts w:ascii="Times New Roman" w:eastAsia="Times New Roman" w:hAnsi="Times New Roman" w:cs="Times New Roman"/>
                      <w:sz w:val="18"/>
                    </w:rPr>
                    <w:tab/>
                  </w:r>
                  <w:r>
                    <w:rPr>
                      <w:sz w:val="18"/>
                    </w:rPr>
                    <w:t>solicitó información de la Sección de Inventarios y de Recursos Humanos.</w:t>
                  </w:r>
                </w:p>
              </w:tc>
              <w:tc>
                <w:tcPr>
                  <w:tcW w:w="1174" w:type="dxa"/>
                  <w:tcBorders>
                    <w:top w:val="single" w:sz="2" w:space="0" w:color="000000"/>
                    <w:left w:val="single" w:sz="2" w:space="0" w:color="000000"/>
                    <w:bottom w:val="single" w:sz="2" w:space="0" w:color="000000"/>
                    <w:right w:val="single" w:sz="2" w:space="0" w:color="000000"/>
                  </w:tcBorders>
                </w:tcPr>
                <w:p w14:paraId="2381A4FE" w14:textId="77777777" w:rsidR="00053D93" w:rsidRDefault="00260B75">
                  <w:pPr>
                    <w:ind w:left="20"/>
                    <w:jc w:val="center"/>
                  </w:pPr>
                  <w:r>
                    <w:rPr>
                      <w:rFonts w:ascii="Times New Roman" w:eastAsia="Times New Roman" w:hAnsi="Times New Roman" w:cs="Times New Roman"/>
                      <w:sz w:val="16"/>
                    </w:rPr>
                    <w:t>18/02/2025</w:t>
                  </w:r>
                </w:p>
              </w:tc>
              <w:tc>
                <w:tcPr>
                  <w:tcW w:w="1174" w:type="dxa"/>
                  <w:tcBorders>
                    <w:top w:val="single" w:sz="2" w:space="0" w:color="000000"/>
                    <w:left w:val="single" w:sz="2" w:space="0" w:color="000000"/>
                    <w:bottom w:val="single" w:sz="2" w:space="0" w:color="000000"/>
                    <w:right w:val="single" w:sz="2" w:space="0" w:color="000000"/>
                  </w:tcBorders>
                </w:tcPr>
                <w:p w14:paraId="3FA36B4E" w14:textId="77777777" w:rsidR="00053D93" w:rsidRDefault="00260B75">
                  <w:pPr>
                    <w:ind w:left="5"/>
                    <w:jc w:val="center"/>
                  </w:pPr>
                  <w:r>
                    <w:rPr>
                      <w:rFonts w:ascii="Times New Roman" w:eastAsia="Times New Roman" w:hAnsi="Times New Roman" w:cs="Times New Roman"/>
                      <w:sz w:val="16"/>
                    </w:rPr>
                    <w:t>21/02/2025</w:t>
                  </w:r>
                </w:p>
              </w:tc>
              <w:tc>
                <w:tcPr>
                  <w:tcW w:w="946" w:type="dxa"/>
                  <w:tcBorders>
                    <w:top w:val="single" w:sz="2" w:space="0" w:color="000000"/>
                    <w:left w:val="single" w:sz="2" w:space="0" w:color="000000"/>
                    <w:bottom w:val="single" w:sz="2" w:space="0" w:color="000000"/>
                    <w:right w:val="single" w:sz="2" w:space="0" w:color="000000"/>
                  </w:tcBorders>
                </w:tcPr>
                <w:p w14:paraId="7B5870AA" w14:textId="77777777" w:rsidR="00053D93" w:rsidRDefault="00260B75">
                  <w:pPr>
                    <w:ind w:left="103"/>
                  </w:pPr>
                  <w:r>
                    <w:rPr>
                      <w:rFonts w:ascii="Times New Roman" w:eastAsia="Times New Roman" w:hAnsi="Times New Roman" w:cs="Times New Roman"/>
                      <w:sz w:val="16"/>
                    </w:rPr>
                    <w:t>17/0312025</w:t>
                  </w:r>
                </w:p>
              </w:tc>
              <w:tc>
                <w:tcPr>
                  <w:tcW w:w="691" w:type="dxa"/>
                  <w:tcBorders>
                    <w:top w:val="single" w:sz="2" w:space="0" w:color="000000"/>
                    <w:left w:val="single" w:sz="2" w:space="0" w:color="000000"/>
                    <w:bottom w:val="single" w:sz="2" w:space="0" w:color="000000"/>
                    <w:right w:val="single" w:sz="2" w:space="0" w:color="000000"/>
                  </w:tcBorders>
                </w:tcPr>
                <w:p w14:paraId="0AE72817" w14:textId="77777777" w:rsidR="00053D93" w:rsidRDefault="00260B75">
                  <w:pPr>
                    <w:ind w:left="7"/>
                    <w:jc w:val="center"/>
                  </w:pPr>
                  <w:r>
                    <w:rPr>
                      <w:rFonts w:ascii="Times New Roman" w:eastAsia="Times New Roman" w:hAnsi="Times New Roman" w:cs="Times New Roman"/>
                      <w:sz w:val="18"/>
                    </w:rPr>
                    <w:t>19</w:t>
                  </w:r>
                </w:p>
              </w:tc>
              <w:tc>
                <w:tcPr>
                  <w:tcW w:w="1670" w:type="dxa"/>
                  <w:tcBorders>
                    <w:top w:val="single" w:sz="2" w:space="0" w:color="000000"/>
                    <w:left w:val="single" w:sz="2" w:space="0" w:color="000000"/>
                    <w:bottom w:val="single" w:sz="2" w:space="0" w:color="000000"/>
                    <w:right w:val="single" w:sz="2" w:space="0" w:color="000000"/>
                  </w:tcBorders>
                </w:tcPr>
                <w:p w14:paraId="60F9B76C" w14:textId="77777777" w:rsidR="00053D93" w:rsidRDefault="00260B75">
                  <w:pPr>
                    <w:ind w:left="79" w:right="58" w:firstLine="7"/>
                    <w:jc w:val="both"/>
                  </w:pPr>
                  <w:r>
                    <w:rPr>
                      <w:sz w:val="18"/>
                    </w:rPr>
                    <w:t xml:space="preserve">El 04 de marzo de 2025 se acercaron al equipo de auditoria para hacer entrega de lo requerido, sin embargo. no fue recibido ya que el oficio tenía errores didácticos y hacía falta completar el numeral posteriormente se proporcionó Io solicitado mediante Oficio DG No. </w:t>
                  </w:r>
                  <w:r>
                    <w:rPr>
                      <w:rFonts w:ascii="Times New Roman" w:eastAsia="Times New Roman" w:hAnsi="Times New Roman" w:cs="Times New Roman"/>
                      <w:sz w:val="18"/>
                    </w:rPr>
                    <w:t xml:space="preserve">308-2025 </w:t>
                  </w:r>
                  <w:r>
                    <w:rPr>
                      <w:sz w:val="18"/>
                    </w:rPr>
                    <w:t>del</w:t>
                  </w:r>
                </w:p>
              </w:tc>
            </w:tr>
            <w:tr w:rsidR="00053D93" w14:paraId="7E3F955F" w14:textId="77777777">
              <w:trPr>
                <w:trHeight w:val="615"/>
              </w:trPr>
              <w:tc>
                <w:tcPr>
                  <w:tcW w:w="0" w:type="auto"/>
                  <w:vMerge/>
                  <w:tcBorders>
                    <w:top w:val="nil"/>
                    <w:left w:val="single" w:sz="2" w:space="0" w:color="000000"/>
                    <w:bottom w:val="nil"/>
                    <w:right w:val="single" w:sz="2" w:space="0" w:color="000000"/>
                  </w:tcBorders>
                </w:tcPr>
                <w:p w14:paraId="4D543C1E" w14:textId="77777777" w:rsidR="00053D93" w:rsidRDefault="00053D93"/>
              </w:tc>
              <w:tc>
                <w:tcPr>
                  <w:tcW w:w="311" w:type="dxa"/>
                  <w:tcBorders>
                    <w:top w:val="nil"/>
                    <w:left w:val="single" w:sz="2" w:space="0" w:color="000000"/>
                    <w:bottom w:val="nil"/>
                    <w:right w:val="single" w:sz="2" w:space="0" w:color="000000"/>
                  </w:tcBorders>
                </w:tcPr>
                <w:p w14:paraId="339322B7" w14:textId="77777777" w:rsidR="00053D93" w:rsidRDefault="00260B75">
                  <w:r>
                    <w:rPr>
                      <w:noProof/>
                    </w:rPr>
                    <w:drawing>
                      <wp:inline distT="0" distB="0" distL="0" distR="0" wp14:anchorId="193D13BE" wp14:editId="572B1752">
                        <wp:extent cx="182880" cy="388620"/>
                        <wp:effectExtent l="0" t="0" r="0" b="0"/>
                        <wp:docPr id="667373" name="Picture 667373"/>
                        <wp:cNvGraphicFramePr/>
                        <a:graphic xmlns:a="http://schemas.openxmlformats.org/drawingml/2006/main">
                          <a:graphicData uri="http://schemas.openxmlformats.org/drawingml/2006/picture">
                            <pic:pic xmlns:pic="http://schemas.openxmlformats.org/drawingml/2006/picture">
                              <pic:nvPicPr>
                                <pic:cNvPr id="667373" name="Picture 667373"/>
                                <pic:cNvPicPr/>
                              </pic:nvPicPr>
                              <pic:blipFill>
                                <a:blip r:embed="rId987"/>
                                <a:stretch>
                                  <a:fillRect/>
                                </a:stretch>
                              </pic:blipFill>
                              <pic:spPr>
                                <a:xfrm>
                                  <a:off x="0" y="0"/>
                                  <a:ext cx="182880" cy="388620"/>
                                </a:xfrm>
                                <a:prstGeom prst="rect">
                                  <a:avLst/>
                                </a:prstGeom>
                              </pic:spPr>
                            </pic:pic>
                          </a:graphicData>
                        </a:graphic>
                      </wp:inline>
                    </w:drawing>
                  </w:r>
                </w:p>
              </w:tc>
              <w:tc>
                <w:tcPr>
                  <w:tcW w:w="172" w:type="dxa"/>
                  <w:tcBorders>
                    <w:top w:val="nil"/>
                    <w:left w:val="single" w:sz="2" w:space="0" w:color="000000"/>
                    <w:bottom w:val="nil"/>
                    <w:right w:val="single" w:sz="2" w:space="0" w:color="000000"/>
                  </w:tcBorders>
                </w:tcPr>
                <w:p w14:paraId="2EA79BD3" w14:textId="77777777" w:rsidR="00053D93" w:rsidRDefault="00053D93"/>
              </w:tc>
              <w:tc>
                <w:tcPr>
                  <w:tcW w:w="7603" w:type="dxa"/>
                  <w:gridSpan w:val="7"/>
                  <w:tcBorders>
                    <w:top w:val="single" w:sz="2" w:space="0" w:color="000000"/>
                    <w:left w:val="single" w:sz="2" w:space="0" w:color="000000"/>
                    <w:bottom w:val="nil"/>
                    <w:right w:val="nil"/>
                  </w:tcBorders>
                </w:tcPr>
                <w:p w14:paraId="6F11C338" w14:textId="77777777" w:rsidR="00053D93" w:rsidRDefault="00260B75">
                  <w:pPr>
                    <w:ind w:left="2578"/>
                  </w:pPr>
                  <w:r>
                    <w:rPr>
                      <w:sz w:val="14"/>
                    </w:rPr>
                    <w:t>MINISTERIO DE EDUCACION</w:t>
                  </w:r>
                </w:p>
                <w:p w14:paraId="177B25D2" w14:textId="77777777" w:rsidR="00053D93" w:rsidRDefault="00260B75">
                  <w:pPr>
                    <w:ind w:left="2081"/>
                  </w:pPr>
                  <w:r>
                    <w:rPr>
                      <w:sz w:val="14"/>
                    </w:rPr>
                    <w:t>AUDITORIA FINANCIERA Y DE CUMPLIMIENTO</w:t>
                  </w:r>
                </w:p>
                <w:p w14:paraId="6A66A11C" w14:textId="77777777" w:rsidR="00053D93" w:rsidRDefault="00260B75">
                  <w:pPr>
                    <w:ind w:left="1742"/>
                  </w:pPr>
                  <w:r>
                    <w:rPr>
                      <w:sz w:val="14"/>
                    </w:rPr>
                    <w:t>PERIODO DEL 01 DE ENERO AL 31 DE DICIEMBRE DE 2024</w:t>
                  </w:r>
                </w:p>
              </w:tc>
            </w:tr>
          </w:tbl>
          <w:p w14:paraId="6852546C" w14:textId="77777777" w:rsidR="00053D93" w:rsidRDefault="00053D93"/>
        </w:tc>
      </w:tr>
    </w:tbl>
    <w:p w14:paraId="2220D1FD" w14:textId="77777777" w:rsidR="00053D93" w:rsidRDefault="00260B75">
      <w:pPr>
        <w:spacing w:after="221" w:line="265" w:lineRule="auto"/>
        <w:ind w:left="1767" w:right="79" w:hanging="10"/>
        <w:jc w:val="center"/>
      </w:pPr>
      <w:r>
        <w:rPr>
          <w:rFonts w:ascii="Times New Roman" w:eastAsia="Times New Roman" w:hAnsi="Times New Roman" w:cs="Times New Roman"/>
          <w:sz w:val="12"/>
        </w:rPr>
        <w:lastRenderedPageBreak/>
        <w:t>144</w:t>
      </w:r>
    </w:p>
    <w:tbl>
      <w:tblPr>
        <w:tblStyle w:val="TableGrid"/>
        <w:tblW w:w="8460" w:type="dxa"/>
        <w:tblInd w:w="1735" w:type="dxa"/>
        <w:tblCellMar>
          <w:top w:w="39" w:type="dxa"/>
          <w:left w:w="79" w:type="dxa"/>
          <w:right w:w="65" w:type="dxa"/>
        </w:tblCellMar>
        <w:tblLook w:val="04A0" w:firstRow="1" w:lastRow="0" w:firstColumn="1" w:lastColumn="0" w:noHBand="0" w:noVBand="1"/>
      </w:tblPr>
      <w:tblGrid>
        <w:gridCol w:w="394"/>
        <w:gridCol w:w="1174"/>
        <w:gridCol w:w="1255"/>
        <w:gridCol w:w="1166"/>
        <w:gridCol w:w="1174"/>
        <w:gridCol w:w="943"/>
        <w:gridCol w:w="684"/>
        <w:gridCol w:w="1670"/>
      </w:tblGrid>
      <w:tr w:rsidR="00053D93" w14:paraId="18995CC8" w14:textId="77777777">
        <w:trPr>
          <w:trHeight w:val="840"/>
        </w:trPr>
        <w:tc>
          <w:tcPr>
            <w:tcW w:w="393" w:type="dxa"/>
            <w:tcBorders>
              <w:top w:val="single" w:sz="2" w:space="0" w:color="000000"/>
              <w:left w:val="single" w:sz="2" w:space="0" w:color="000000"/>
              <w:bottom w:val="single" w:sz="2" w:space="0" w:color="000000"/>
              <w:right w:val="single" w:sz="2" w:space="0" w:color="000000"/>
            </w:tcBorders>
          </w:tcPr>
          <w:p w14:paraId="602498EC" w14:textId="77777777" w:rsidR="00053D93" w:rsidRDefault="00053D93"/>
        </w:tc>
        <w:tc>
          <w:tcPr>
            <w:tcW w:w="1174" w:type="dxa"/>
            <w:tcBorders>
              <w:top w:val="single" w:sz="2" w:space="0" w:color="000000"/>
              <w:left w:val="single" w:sz="2" w:space="0" w:color="000000"/>
              <w:bottom w:val="single" w:sz="2" w:space="0" w:color="000000"/>
              <w:right w:val="single" w:sz="2" w:space="0" w:color="000000"/>
            </w:tcBorders>
          </w:tcPr>
          <w:p w14:paraId="770B708B" w14:textId="77777777" w:rsidR="00053D93" w:rsidRDefault="00053D93"/>
        </w:tc>
        <w:tc>
          <w:tcPr>
            <w:tcW w:w="1255" w:type="dxa"/>
            <w:tcBorders>
              <w:top w:val="single" w:sz="2" w:space="0" w:color="000000"/>
              <w:left w:val="single" w:sz="2" w:space="0" w:color="000000"/>
              <w:bottom w:val="single" w:sz="2" w:space="0" w:color="000000"/>
              <w:right w:val="single" w:sz="2" w:space="0" w:color="000000"/>
            </w:tcBorders>
          </w:tcPr>
          <w:p w14:paraId="0CE98A65" w14:textId="77777777" w:rsidR="00053D93" w:rsidRDefault="00053D93"/>
        </w:tc>
        <w:tc>
          <w:tcPr>
            <w:tcW w:w="1166" w:type="dxa"/>
            <w:tcBorders>
              <w:top w:val="single" w:sz="2" w:space="0" w:color="000000"/>
              <w:left w:val="single" w:sz="2" w:space="0" w:color="000000"/>
              <w:bottom w:val="single" w:sz="2" w:space="0" w:color="000000"/>
              <w:right w:val="single" w:sz="2" w:space="0" w:color="000000"/>
            </w:tcBorders>
          </w:tcPr>
          <w:p w14:paraId="766F0EF1" w14:textId="77777777" w:rsidR="00053D93" w:rsidRDefault="00053D93"/>
        </w:tc>
        <w:tc>
          <w:tcPr>
            <w:tcW w:w="1174" w:type="dxa"/>
            <w:tcBorders>
              <w:top w:val="single" w:sz="2" w:space="0" w:color="000000"/>
              <w:left w:val="single" w:sz="2" w:space="0" w:color="000000"/>
              <w:bottom w:val="single" w:sz="2" w:space="0" w:color="000000"/>
              <w:right w:val="single" w:sz="2" w:space="0" w:color="000000"/>
            </w:tcBorders>
          </w:tcPr>
          <w:p w14:paraId="1D9D33FB" w14:textId="77777777" w:rsidR="00053D93" w:rsidRDefault="00053D93"/>
        </w:tc>
        <w:tc>
          <w:tcPr>
            <w:tcW w:w="943" w:type="dxa"/>
            <w:tcBorders>
              <w:top w:val="single" w:sz="2" w:space="0" w:color="000000"/>
              <w:left w:val="single" w:sz="2" w:space="0" w:color="000000"/>
              <w:bottom w:val="single" w:sz="2" w:space="0" w:color="000000"/>
              <w:right w:val="single" w:sz="2" w:space="0" w:color="000000"/>
            </w:tcBorders>
          </w:tcPr>
          <w:p w14:paraId="32DFE48C" w14:textId="77777777" w:rsidR="00053D93" w:rsidRDefault="00053D93"/>
        </w:tc>
        <w:tc>
          <w:tcPr>
            <w:tcW w:w="684" w:type="dxa"/>
            <w:tcBorders>
              <w:top w:val="single" w:sz="2" w:space="0" w:color="000000"/>
              <w:left w:val="single" w:sz="2" w:space="0" w:color="000000"/>
              <w:bottom w:val="single" w:sz="2" w:space="0" w:color="000000"/>
              <w:right w:val="single" w:sz="2" w:space="0" w:color="000000"/>
            </w:tcBorders>
          </w:tcPr>
          <w:p w14:paraId="524FA9D2" w14:textId="77777777" w:rsidR="00053D93" w:rsidRDefault="00053D93"/>
        </w:tc>
        <w:tc>
          <w:tcPr>
            <w:tcW w:w="1670" w:type="dxa"/>
            <w:tcBorders>
              <w:top w:val="single" w:sz="2" w:space="0" w:color="000000"/>
              <w:left w:val="single" w:sz="2" w:space="0" w:color="000000"/>
              <w:bottom w:val="single" w:sz="2" w:space="0" w:color="000000"/>
              <w:right w:val="single" w:sz="2" w:space="0" w:color="000000"/>
            </w:tcBorders>
          </w:tcPr>
          <w:p w14:paraId="5532CAC2" w14:textId="77777777" w:rsidR="00053D93" w:rsidRDefault="00260B75">
            <w:pPr>
              <w:ind w:right="14" w:firstLine="7"/>
              <w:jc w:val="both"/>
            </w:pPr>
            <w:r>
              <w:rPr>
                <w:sz w:val="16"/>
              </w:rPr>
              <w:t xml:space="preserve">12/03/2025, el cual fue recibido por el equipo de auditoría el </w:t>
            </w:r>
            <w:r>
              <w:rPr>
                <w:rFonts w:ascii="Times New Roman" w:eastAsia="Times New Roman" w:hAnsi="Times New Roman" w:cs="Times New Roman"/>
                <w:sz w:val="16"/>
              </w:rPr>
              <w:t>17/03/2025.</w:t>
            </w:r>
          </w:p>
        </w:tc>
      </w:tr>
      <w:tr w:rsidR="00053D93" w14:paraId="217B9FC3" w14:textId="77777777">
        <w:trPr>
          <w:trHeight w:val="1663"/>
        </w:trPr>
        <w:tc>
          <w:tcPr>
            <w:tcW w:w="393" w:type="dxa"/>
            <w:tcBorders>
              <w:top w:val="single" w:sz="2" w:space="0" w:color="000000"/>
              <w:left w:val="single" w:sz="2" w:space="0" w:color="000000"/>
              <w:bottom w:val="single" w:sz="2" w:space="0" w:color="000000"/>
              <w:right w:val="single" w:sz="2" w:space="0" w:color="000000"/>
            </w:tcBorders>
          </w:tcPr>
          <w:p w14:paraId="4E891223" w14:textId="77777777" w:rsidR="00053D93" w:rsidRDefault="00260B75">
            <w:pPr>
              <w:ind w:left="79"/>
            </w:pPr>
            <w:r>
              <w:rPr>
                <w:rFonts w:ascii="Times New Roman" w:eastAsia="Times New Roman" w:hAnsi="Times New Roman" w:cs="Times New Roman"/>
                <w:sz w:val="18"/>
              </w:rPr>
              <w:t xml:space="preserve">5 </w:t>
            </w:r>
          </w:p>
        </w:tc>
        <w:tc>
          <w:tcPr>
            <w:tcW w:w="1174" w:type="dxa"/>
            <w:tcBorders>
              <w:top w:val="single" w:sz="2" w:space="0" w:color="000000"/>
              <w:left w:val="single" w:sz="2" w:space="0" w:color="000000"/>
              <w:bottom w:val="single" w:sz="2" w:space="0" w:color="000000"/>
              <w:right w:val="single" w:sz="2" w:space="0" w:color="000000"/>
            </w:tcBorders>
          </w:tcPr>
          <w:p w14:paraId="7B89AC5E" w14:textId="77777777" w:rsidR="00053D93" w:rsidRDefault="00260B75">
            <w:pPr>
              <w:spacing w:after="1"/>
              <w:ind w:left="3"/>
            </w:pPr>
            <w:r>
              <w:rPr>
                <w:rFonts w:ascii="Times New Roman" w:eastAsia="Times New Roman" w:hAnsi="Times New Roman" w:cs="Times New Roman"/>
                <w:sz w:val="16"/>
              </w:rPr>
              <w:t>CGC-AFC-</w:t>
            </w:r>
          </w:p>
          <w:p w14:paraId="6BA68250" w14:textId="77777777" w:rsidR="00053D93" w:rsidRDefault="00260B75">
            <w:pPr>
              <w:ind w:left="3"/>
            </w:pPr>
            <w:r>
              <w:rPr>
                <w:sz w:val="18"/>
              </w:rPr>
              <w:t>MINEDUC-</w:t>
            </w:r>
          </w:p>
          <w:p w14:paraId="6DE2341E" w14:textId="77777777" w:rsidR="00053D93" w:rsidRDefault="00260B75">
            <w:pPr>
              <w:ind w:left="10"/>
            </w:pPr>
            <w:r>
              <w:rPr>
                <w:sz w:val="20"/>
              </w:rPr>
              <w:t>DIGEF-OF</w:t>
            </w:r>
            <w:r>
              <w:rPr>
                <w:rFonts w:ascii="Times New Roman" w:eastAsia="Times New Roman" w:hAnsi="Times New Roman" w:cs="Times New Roman"/>
                <w:sz w:val="20"/>
              </w:rPr>
              <w:t>050-2024</w:t>
            </w:r>
          </w:p>
        </w:tc>
        <w:tc>
          <w:tcPr>
            <w:tcW w:w="1255" w:type="dxa"/>
            <w:tcBorders>
              <w:top w:val="single" w:sz="2" w:space="0" w:color="000000"/>
              <w:left w:val="single" w:sz="2" w:space="0" w:color="000000"/>
              <w:bottom w:val="single" w:sz="2" w:space="0" w:color="000000"/>
              <w:right w:val="single" w:sz="2" w:space="0" w:color="000000"/>
            </w:tcBorders>
          </w:tcPr>
          <w:p w14:paraId="19F642E2" w14:textId="77777777" w:rsidR="00053D93" w:rsidRDefault="00260B75">
            <w:pPr>
              <w:ind w:left="3"/>
            </w:pPr>
            <w:r>
              <w:rPr>
                <w:rFonts w:ascii="Times New Roman" w:eastAsia="Times New Roman" w:hAnsi="Times New Roman" w:cs="Times New Roman"/>
                <w:sz w:val="18"/>
              </w:rPr>
              <w:t>Se</w:t>
            </w:r>
            <w:r>
              <w:rPr>
                <w:rFonts w:ascii="Times New Roman" w:eastAsia="Times New Roman" w:hAnsi="Times New Roman" w:cs="Times New Roman"/>
                <w:sz w:val="18"/>
              </w:rPr>
              <w:tab/>
            </w:r>
            <w:r>
              <w:rPr>
                <w:sz w:val="18"/>
              </w:rPr>
              <w:t>solicitó información referente</w:t>
            </w:r>
            <w:r>
              <w:rPr>
                <w:sz w:val="18"/>
              </w:rPr>
              <w:tab/>
            </w:r>
            <w:r>
              <w:rPr>
                <w:rFonts w:ascii="Times New Roman" w:eastAsia="Times New Roman" w:hAnsi="Times New Roman" w:cs="Times New Roman"/>
                <w:sz w:val="18"/>
              </w:rPr>
              <w:t xml:space="preserve">a </w:t>
            </w:r>
            <w:r>
              <w:rPr>
                <w:sz w:val="18"/>
              </w:rPr>
              <w:t>contratos</w:t>
            </w:r>
            <w:r>
              <w:rPr>
                <w:sz w:val="18"/>
              </w:rPr>
              <w:tab/>
              <w:t>del subgrupo 18.</w:t>
            </w:r>
          </w:p>
        </w:tc>
        <w:tc>
          <w:tcPr>
            <w:tcW w:w="1166" w:type="dxa"/>
            <w:tcBorders>
              <w:top w:val="single" w:sz="2" w:space="0" w:color="000000"/>
              <w:left w:val="single" w:sz="2" w:space="0" w:color="000000"/>
              <w:bottom w:val="single" w:sz="2" w:space="0" w:color="000000"/>
              <w:right w:val="single" w:sz="2" w:space="0" w:color="000000"/>
            </w:tcBorders>
          </w:tcPr>
          <w:p w14:paraId="1770A5CE" w14:textId="77777777" w:rsidR="00053D93" w:rsidRDefault="00260B75">
            <w:pPr>
              <w:ind w:right="14"/>
              <w:jc w:val="center"/>
            </w:pPr>
            <w:r>
              <w:rPr>
                <w:rFonts w:ascii="Times New Roman" w:eastAsia="Times New Roman" w:hAnsi="Times New Roman" w:cs="Times New Roman"/>
                <w:sz w:val="16"/>
              </w:rPr>
              <w:t>19/02/2025</w:t>
            </w:r>
          </w:p>
        </w:tc>
        <w:tc>
          <w:tcPr>
            <w:tcW w:w="1174" w:type="dxa"/>
            <w:tcBorders>
              <w:top w:val="single" w:sz="2" w:space="0" w:color="000000"/>
              <w:left w:val="single" w:sz="2" w:space="0" w:color="000000"/>
              <w:bottom w:val="single" w:sz="2" w:space="0" w:color="000000"/>
              <w:right w:val="single" w:sz="2" w:space="0" w:color="000000"/>
            </w:tcBorders>
          </w:tcPr>
          <w:p w14:paraId="5795912C" w14:textId="77777777" w:rsidR="00053D93" w:rsidRDefault="00260B75">
            <w:pPr>
              <w:ind w:right="21"/>
              <w:jc w:val="center"/>
            </w:pPr>
            <w:r>
              <w:rPr>
                <w:rFonts w:ascii="Times New Roman" w:eastAsia="Times New Roman" w:hAnsi="Times New Roman" w:cs="Times New Roman"/>
                <w:sz w:val="16"/>
              </w:rPr>
              <w:t>25/02/2025</w:t>
            </w:r>
          </w:p>
        </w:tc>
        <w:tc>
          <w:tcPr>
            <w:tcW w:w="943" w:type="dxa"/>
            <w:tcBorders>
              <w:top w:val="single" w:sz="2" w:space="0" w:color="000000"/>
              <w:left w:val="single" w:sz="2" w:space="0" w:color="000000"/>
              <w:bottom w:val="single" w:sz="2" w:space="0" w:color="000000"/>
              <w:right w:val="single" w:sz="2" w:space="0" w:color="000000"/>
            </w:tcBorders>
          </w:tcPr>
          <w:p w14:paraId="1FEF2DD0" w14:textId="77777777" w:rsidR="00053D93" w:rsidRDefault="00260B75">
            <w:pPr>
              <w:ind w:right="21"/>
              <w:jc w:val="center"/>
            </w:pPr>
            <w:r>
              <w:rPr>
                <w:rFonts w:ascii="Times New Roman" w:eastAsia="Times New Roman" w:hAnsi="Times New Roman" w:cs="Times New Roman"/>
                <w:sz w:val="18"/>
              </w:rPr>
              <w:t>4/03/2025</w:t>
            </w:r>
          </w:p>
        </w:tc>
        <w:tc>
          <w:tcPr>
            <w:tcW w:w="684" w:type="dxa"/>
            <w:tcBorders>
              <w:top w:val="single" w:sz="2" w:space="0" w:color="000000"/>
              <w:left w:val="single" w:sz="2" w:space="0" w:color="000000"/>
              <w:bottom w:val="single" w:sz="2" w:space="0" w:color="000000"/>
              <w:right w:val="single" w:sz="2" w:space="0" w:color="000000"/>
            </w:tcBorders>
          </w:tcPr>
          <w:p w14:paraId="35BD3C76" w14:textId="77777777" w:rsidR="00053D93" w:rsidRDefault="00260B75">
            <w:pPr>
              <w:ind w:right="21"/>
              <w:jc w:val="center"/>
            </w:pPr>
            <w:r>
              <w:rPr>
                <w:rFonts w:ascii="Times New Roman" w:eastAsia="Times New Roman" w:hAnsi="Times New Roman" w:cs="Times New Roman"/>
                <w:sz w:val="18"/>
              </w:rPr>
              <w:t>9</w:t>
            </w:r>
          </w:p>
        </w:tc>
        <w:tc>
          <w:tcPr>
            <w:tcW w:w="1670" w:type="dxa"/>
            <w:tcBorders>
              <w:top w:val="single" w:sz="2" w:space="0" w:color="000000"/>
              <w:left w:val="single" w:sz="2" w:space="0" w:color="000000"/>
              <w:bottom w:val="single" w:sz="2" w:space="0" w:color="000000"/>
              <w:right w:val="single" w:sz="2" w:space="0" w:color="000000"/>
            </w:tcBorders>
          </w:tcPr>
          <w:p w14:paraId="37C541AD" w14:textId="77777777" w:rsidR="00053D93" w:rsidRDefault="00260B75">
            <w:pPr>
              <w:spacing w:line="248" w:lineRule="auto"/>
              <w:ind w:firstLine="7"/>
              <w:jc w:val="both"/>
            </w:pPr>
            <w:r>
              <w:rPr>
                <w:sz w:val="18"/>
              </w:rPr>
              <w:t>El 04/03/2025 se proporcionó la</w:t>
            </w:r>
          </w:p>
          <w:p w14:paraId="25755647" w14:textId="77777777" w:rsidR="00053D93" w:rsidRDefault="00260B75">
            <w:pPr>
              <w:ind w:firstLine="7"/>
            </w:pPr>
            <w:r>
              <w:rPr>
                <w:sz w:val="18"/>
              </w:rPr>
              <w:t xml:space="preserve">información documentación requerida, mediante oficio </w:t>
            </w:r>
            <w:r>
              <w:rPr>
                <w:sz w:val="18"/>
              </w:rPr>
              <w:tab/>
              <w:t xml:space="preserve">DG </w:t>
            </w:r>
            <w:r>
              <w:rPr>
                <w:sz w:val="18"/>
              </w:rPr>
              <w:tab/>
              <w:t xml:space="preserve">No. </w:t>
            </w:r>
            <w:r>
              <w:rPr>
                <w:rFonts w:ascii="Times New Roman" w:eastAsia="Times New Roman" w:hAnsi="Times New Roman" w:cs="Times New Roman"/>
                <w:sz w:val="18"/>
              </w:rPr>
              <w:t>236-2025</w:t>
            </w:r>
            <w:r>
              <w:rPr>
                <w:rFonts w:ascii="Times New Roman" w:eastAsia="Times New Roman" w:hAnsi="Times New Roman" w:cs="Times New Roman"/>
                <w:sz w:val="18"/>
              </w:rPr>
              <w:tab/>
            </w:r>
            <w:r>
              <w:rPr>
                <w:sz w:val="18"/>
              </w:rPr>
              <w:t xml:space="preserve">del </w:t>
            </w:r>
            <w:r>
              <w:rPr>
                <w:rFonts w:ascii="Times New Roman" w:eastAsia="Times New Roman" w:hAnsi="Times New Roman" w:cs="Times New Roman"/>
                <w:sz w:val="18"/>
              </w:rPr>
              <w:t>03/03/2025.</w:t>
            </w:r>
          </w:p>
        </w:tc>
      </w:tr>
    </w:tbl>
    <w:p w14:paraId="1EACB7A3" w14:textId="77777777" w:rsidR="00053D93" w:rsidRDefault="00260B75">
      <w:pPr>
        <w:spacing w:after="458" w:line="265" w:lineRule="auto"/>
        <w:ind w:left="1737" w:hanging="10"/>
      </w:pPr>
      <w:r>
        <w:rPr>
          <w:sz w:val="14"/>
        </w:rPr>
        <w:t>Fuente: Elaboración propia con información de los oficios enviados y recibidos de la Dirección General de Educación Asica .DIGEF-</w:t>
      </w:r>
    </w:p>
    <w:p w14:paraId="630D99BE" w14:textId="77777777" w:rsidR="00053D93" w:rsidRDefault="00260B75">
      <w:pPr>
        <w:spacing w:after="18" w:line="248" w:lineRule="auto"/>
        <w:ind w:left="1709" w:hanging="3"/>
        <w:jc w:val="both"/>
      </w:pPr>
      <w:r>
        <w:rPr>
          <w:sz w:val="28"/>
        </w:rPr>
        <w:t>Criterio</w:t>
      </w:r>
    </w:p>
    <w:p w14:paraId="1BCFEA56" w14:textId="77777777" w:rsidR="00053D93" w:rsidRDefault="00260B75">
      <w:pPr>
        <w:spacing w:after="300" w:line="247" w:lineRule="auto"/>
        <w:ind w:left="1742" w:right="14" w:firstLine="4"/>
        <w:jc w:val="both"/>
      </w:pPr>
      <w:r>
        <w:rPr>
          <w:sz w:val="26"/>
        </w:rPr>
        <w:t>El Decreto Número 31-2002, del Congreso de la República de Guatemala, Ley Orgánica de la Contraloría General de Cuentas, Artículo 7. Acceso y disposición de información, establece: "Para el fiel cumplimento de su función, la Contraloría General de Cuentas, a través de sus auditores, tendrá acceso directo a cualquier fuente de información de las entidades, organismos, instituciones, municipalidades y personas sujetas a fiscalización a que se refiere el artículo 2 de la presente Ley. Los Auditores de la Contraloría General de Cuentas, debidamente designados por su autoridad superior, estarán investidos de autoridad. Todos los funcionarios públicos, empleados públicos, toda persona natural o jurídica y los representantes legales de las empresas o entidades privadas o no gubernamentales a que se refiere el Artículo 2 de la presente Ley, quedan sujetas a colaborar con la Contraloría General de Cuentas, están obligados a proporcionar a requerimiento de ésta, toda clase de datos e informaciones necesarias para la aplicación de esta Ley, en un plazo de siete (7) días. El incumplimiento de tal requisito dará lugar a la aplicación de las sanciones previstas por el artículo 39 de la presente Ley...</w:t>
      </w:r>
      <w:r>
        <w:rPr>
          <w:noProof/>
        </w:rPr>
        <w:drawing>
          <wp:inline distT="0" distB="0" distL="0" distR="0" wp14:anchorId="2B2A8094" wp14:editId="189374CD">
            <wp:extent cx="41148" cy="41148"/>
            <wp:effectExtent l="0" t="0" r="0" b="0"/>
            <wp:docPr id="2458541" name="Picture 2458541"/>
            <wp:cNvGraphicFramePr/>
            <a:graphic xmlns:a="http://schemas.openxmlformats.org/drawingml/2006/main">
              <a:graphicData uri="http://schemas.openxmlformats.org/drawingml/2006/picture">
                <pic:pic xmlns:pic="http://schemas.openxmlformats.org/drawingml/2006/picture">
                  <pic:nvPicPr>
                    <pic:cNvPr id="2458541" name="Picture 2458541"/>
                    <pic:cNvPicPr/>
                  </pic:nvPicPr>
                  <pic:blipFill>
                    <a:blip r:embed="rId988"/>
                    <a:stretch>
                      <a:fillRect/>
                    </a:stretch>
                  </pic:blipFill>
                  <pic:spPr>
                    <a:xfrm>
                      <a:off x="0" y="0"/>
                      <a:ext cx="41148" cy="41148"/>
                    </a:xfrm>
                    <a:prstGeom prst="rect">
                      <a:avLst/>
                    </a:prstGeom>
                  </pic:spPr>
                </pic:pic>
              </a:graphicData>
            </a:graphic>
          </wp:inline>
        </w:drawing>
      </w:r>
    </w:p>
    <w:p w14:paraId="125DB6B1" w14:textId="77777777" w:rsidR="00053D93" w:rsidRDefault="00260B75">
      <w:pPr>
        <w:spacing w:after="334" w:line="247" w:lineRule="auto"/>
        <w:ind w:left="1750" w:right="14" w:firstLine="4"/>
        <w:jc w:val="both"/>
      </w:pPr>
      <w:r>
        <w:rPr>
          <w:sz w:val="26"/>
        </w:rPr>
        <w:t>El Acuerdo Gubernativo No. 96-2019, del Presidente de la República, Reglamento de la Ley Orgánica de la Contraloría General de Cuentas, Artículo 70. Acceso y disposición de la información, establece: "Para el cumplimiento de lo dispuesto en el artículo 7 de la Ley, los auditores gubernamentales respetarán que, de conformidad con dicha norma, el plazo de entrega de la información solicitada debe ser de siete días. Vencido el plazo concedido sin que se obtenga la información requerida, se suscribirá el acta respectiva para la aplicación de la sanción de conformidad con los artículos 38 bis y 39 de la Ley, según corresponda."</w:t>
      </w:r>
    </w:p>
    <w:p w14:paraId="303668C9" w14:textId="77777777" w:rsidR="00053D93" w:rsidRDefault="00260B75">
      <w:pPr>
        <w:pStyle w:val="Ttulo3"/>
        <w:ind w:left="1760" w:right="7"/>
      </w:pPr>
      <w:r>
        <w:lastRenderedPageBreak/>
        <w:t>Causa</w:t>
      </w:r>
    </w:p>
    <w:p w14:paraId="325EC19C" w14:textId="77777777" w:rsidR="00053D93" w:rsidRDefault="00260B75">
      <w:pPr>
        <w:spacing w:after="310" w:line="247" w:lineRule="auto"/>
        <w:ind w:left="1757" w:right="14" w:firstLine="4"/>
        <w:jc w:val="both"/>
      </w:pPr>
      <w:r>
        <w:rPr>
          <w:sz w:val="26"/>
        </w:rPr>
        <w:t>El Director General en Funciones, no cumplió con la entrega de la información y documentación requerida, de conformidad con el plazo establecido en la normativa legal vigente.</w:t>
      </w:r>
    </w:p>
    <w:p w14:paraId="7836484C" w14:textId="77777777" w:rsidR="00053D93" w:rsidRDefault="00260B75">
      <w:pPr>
        <w:spacing w:after="340" w:line="247" w:lineRule="auto"/>
        <w:ind w:left="1757" w:right="14" w:firstLine="4"/>
        <w:jc w:val="both"/>
      </w:pPr>
      <w:r>
        <w:rPr>
          <w:sz w:val="26"/>
        </w:rPr>
        <w:t>La Coordinadora Financiera, a.i., quien fugió como enlace entre la Dirección</w:t>
      </w:r>
    </w:p>
    <w:tbl>
      <w:tblPr>
        <w:tblStyle w:val="TableGrid"/>
        <w:tblpPr w:vertAnchor="text" w:tblpX="2611" w:tblpY="33"/>
        <w:tblOverlap w:val="never"/>
        <w:tblW w:w="7628" w:type="dxa"/>
        <w:tblInd w:w="0" w:type="dxa"/>
        <w:tblCellMar>
          <w:top w:w="46" w:type="dxa"/>
          <w:left w:w="1738" w:type="dxa"/>
          <w:right w:w="115" w:type="dxa"/>
        </w:tblCellMar>
        <w:tblLook w:val="04A0" w:firstRow="1" w:lastRow="0" w:firstColumn="1" w:lastColumn="0" w:noHBand="0" w:noVBand="1"/>
      </w:tblPr>
      <w:tblGrid>
        <w:gridCol w:w="7628"/>
      </w:tblGrid>
      <w:tr w:rsidR="00053D93" w14:paraId="488317A2" w14:textId="77777777">
        <w:trPr>
          <w:trHeight w:val="600"/>
        </w:trPr>
        <w:tc>
          <w:tcPr>
            <w:tcW w:w="7628" w:type="dxa"/>
            <w:tcBorders>
              <w:top w:val="single" w:sz="2" w:space="0" w:color="000000"/>
              <w:left w:val="single" w:sz="2" w:space="0" w:color="000000"/>
              <w:bottom w:val="nil"/>
              <w:right w:val="nil"/>
            </w:tcBorders>
          </w:tcPr>
          <w:p w14:paraId="55808884" w14:textId="77777777" w:rsidR="00053D93" w:rsidRDefault="00260B75">
            <w:pPr>
              <w:ind w:left="835"/>
            </w:pPr>
            <w:r>
              <w:rPr>
                <w:sz w:val="14"/>
              </w:rPr>
              <w:t>MINISTERIO DE EDUCACION</w:t>
            </w:r>
          </w:p>
          <w:p w14:paraId="3F020200" w14:textId="77777777" w:rsidR="00053D93" w:rsidRDefault="00260B75">
            <w:pPr>
              <w:ind w:left="338"/>
            </w:pPr>
            <w:r>
              <w:rPr>
                <w:sz w:val="14"/>
              </w:rPr>
              <w:t>AUDITORÍA FINANCIERA Y DE CUMPLIMIENTO</w:t>
            </w:r>
          </w:p>
          <w:p w14:paraId="4B138FDE" w14:textId="77777777" w:rsidR="00053D93" w:rsidRDefault="00260B75">
            <w:pPr>
              <w:tabs>
                <w:tab w:val="center" w:pos="3028"/>
              </w:tabs>
            </w:pPr>
            <w:r>
              <w:rPr>
                <w:sz w:val="16"/>
              </w:rPr>
              <w:t xml:space="preserve">PERIODO DEL 01 DE ENERO AL 31 DE </w:t>
            </w:r>
            <w:r>
              <w:rPr>
                <w:sz w:val="16"/>
              </w:rPr>
              <w:tab/>
              <w:t>DE 2024</w:t>
            </w:r>
          </w:p>
        </w:tc>
      </w:tr>
    </w:tbl>
    <w:p w14:paraId="682E6F7A" w14:textId="77777777" w:rsidR="00053D93" w:rsidRDefault="00260B75">
      <w:pPr>
        <w:pStyle w:val="Ttulo1"/>
        <w:spacing w:after="80" w:line="259" w:lineRule="auto"/>
        <w:ind w:left="218" w:right="-7603"/>
        <w:jc w:val="left"/>
      </w:pPr>
      <w:r>
        <w:rPr>
          <w:sz w:val="32"/>
        </w:rPr>
        <w:t xml:space="preserve">I III </w:t>
      </w:r>
      <w:r>
        <w:rPr>
          <w:noProof/>
        </w:rPr>
        <w:drawing>
          <wp:inline distT="0" distB="0" distL="0" distR="0" wp14:anchorId="6BF49770" wp14:editId="2162A205">
            <wp:extent cx="877824" cy="406908"/>
            <wp:effectExtent l="0" t="0" r="0" b="0"/>
            <wp:docPr id="672091" name="Picture 672091"/>
            <wp:cNvGraphicFramePr/>
            <a:graphic xmlns:a="http://schemas.openxmlformats.org/drawingml/2006/main">
              <a:graphicData uri="http://schemas.openxmlformats.org/drawingml/2006/picture">
                <pic:pic xmlns:pic="http://schemas.openxmlformats.org/drawingml/2006/picture">
                  <pic:nvPicPr>
                    <pic:cNvPr id="672091" name="Picture 672091"/>
                    <pic:cNvPicPr/>
                  </pic:nvPicPr>
                  <pic:blipFill>
                    <a:blip r:embed="rId989"/>
                    <a:stretch>
                      <a:fillRect/>
                    </a:stretch>
                  </pic:blipFill>
                  <pic:spPr>
                    <a:xfrm>
                      <a:off x="0" y="0"/>
                      <a:ext cx="877824" cy="406908"/>
                    </a:xfrm>
                    <a:prstGeom prst="rect">
                      <a:avLst/>
                    </a:prstGeom>
                  </pic:spPr>
                </pic:pic>
              </a:graphicData>
            </a:graphic>
          </wp:inline>
        </w:drawing>
      </w:r>
      <w:r>
        <w:rPr>
          <w:sz w:val="32"/>
        </w:rPr>
        <w:t>II</w:t>
      </w:r>
    </w:p>
    <w:p w14:paraId="58777C0D" w14:textId="77777777" w:rsidR="00053D93" w:rsidRDefault="00260B75">
      <w:pPr>
        <w:spacing w:after="3"/>
        <w:ind w:left="10" w:right="3485" w:hanging="10"/>
      </w:pPr>
      <w:r>
        <w:rPr>
          <w:rFonts w:ascii="Times New Roman" w:eastAsia="Times New Roman" w:hAnsi="Times New Roman" w:cs="Times New Roman"/>
          <w:sz w:val="70"/>
        </w:rPr>
        <w:t>1</w:t>
      </w:r>
    </w:p>
    <w:p w14:paraId="7ADEEBAA" w14:textId="77777777" w:rsidR="00053D93" w:rsidRDefault="00260B75">
      <w:pPr>
        <w:spacing w:after="46"/>
        <w:ind w:left="1714"/>
      </w:pPr>
      <w:r>
        <w:rPr>
          <w:noProof/>
        </w:rPr>
        <mc:AlternateContent>
          <mc:Choice Requires="wpg">
            <w:drawing>
              <wp:inline distT="0" distB="0" distL="0" distR="0" wp14:anchorId="5FEE56E2" wp14:editId="5587F75D">
                <wp:extent cx="5390388" cy="13716"/>
                <wp:effectExtent l="0" t="0" r="0" b="0"/>
                <wp:docPr id="2458547" name="Group 2458547"/>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8546" name="Shape 2458546"/>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47" style="width:424.44pt;height:1.08pt;mso-position-horizontal-relative:char;mso-position-vertical-relative:line" coordsize="53903,137">
                <v:shape id="Shape 2458546" style="position:absolute;width:53903;height:137;left:0;top:0;" coordsize="5390388,13716" path="m0,6858l5390388,6858">
                  <v:stroke weight="1.08pt" endcap="flat" joinstyle="miter" miterlimit="1" on="true" color="#000000"/>
                  <v:fill on="false" color="#000000"/>
                </v:shape>
              </v:group>
            </w:pict>
          </mc:Fallback>
        </mc:AlternateContent>
      </w:r>
    </w:p>
    <w:p w14:paraId="5503DD01" w14:textId="77777777" w:rsidR="00053D93" w:rsidRDefault="00260B75">
      <w:pPr>
        <w:spacing w:after="214" w:line="315" w:lineRule="auto"/>
        <w:ind w:left="1735" w:right="14" w:hanging="1721"/>
        <w:jc w:val="both"/>
      </w:pPr>
      <w:r>
        <w:rPr>
          <w:rFonts w:ascii="Times New Roman" w:eastAsia="Times New Roman" w:hAnsi="Times New Roman" w:cs="Times New Roman"/>
          <w:sz w:val="26"/>
        </w:rPr>
        <w:t xml:space="preserve">1 </w:t>
      </w:r>
      <w:r>
        <w:rPr>
          <w:sz w:val="26"/>
        </w:rPr>
        <w:t>General de Educación Física -DIGEF- y la Contraloría General de Cuentas, no realizó el seguimiento respectivo para gestionar la entrega de la información y documentación requerida, de conformidad con el plazo establecido en la normativa</w:t>
      </w:r>
    </w:p>
    <w:p w14:paraId="10426022" w14:textId="77777777" w:rsidR="00053D93" w:rsidRDefault="00260B75">
      <w:pPr>
        <w:tabs>
          <w:tab w:val="center" w:pos="2390"/>
        </w:tabs>
        <w:spacing w:after="260" w:line="247" w:lineRule="auto"/>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legal vigente.</w:t>
      </w:r>
    </w:p>
    <w:p w14:paraId="5D6EB9FD" w14:textId="77777777" w:rsidR="00053D93" w:rsidRDefault="00260B75">
      <w:pPr>
        <w:tabs>
          <w:tab w:val="center" w:pos="2074"/>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Efecto</w:t>
      </w:r>
    </w:p>
    <w:p w14:paraId="7BE1FD3E" w14:textId="77777777" w:rsidR="00053D93" w:rsidRDefault="00260B75">
      <w:pPr>
        <w:spacing w:after="85" w:line="247" w:lineRule="auto"/>
        <w:ind w:left="1721" w:right="14" w:firstLine="4"/>
        <w:jc w:val="both"/>
      </w:pPr>
      <w:r>
        <w:rPr>
          <w:sz w:val="26"/>
        </w:rPr>
        <w:t>Atraso en la aplicación de procedimientos y técnicas de auditoría, derivado de la presentación tardía de la información y documentación requerida.</w:t>
      </w:r>
    </w:p>
    <w:p w14:paraId="27BD27AA" w14:textId="77777777" w:rsidR="00053D93" w:rsidRDefault="00260B75">
      <w:pPr>
        <w:spacing w:after="3"/>
        <w:ind w:left="24" w:hanging="10"/>
      </w:pPr>
      <w:r>
        <w:rPr>
          <w:rFonts w:ascii="Times New Roman" w:eastAsia="Times New Roman" w:hAnsi="Times New Roman" w:cs="Times New Roman"/>
          <w:sz w:val="72"/>
        </w:rPr>
        <w:t>1</w:t>
      </w:r>
    </w:p>
    <w:p w14:paraId="1EA76D37" w14:textId="77777777" w:rsidR="00053D93" w:rsidRDefault="00260B75">
      <w:pPr>
        <w:spacing w:after="144" w:line="248" w:lineRule="auto"/>
        <w:ind w:left="1709" w:hanging="3"/>
        <w:jc w:val="both"/>
      </w:pPr>
      <w:r>
        <w:rPr>
          <w:sz w:val="28"/>
        </w:rPr>
        <w:t>Recomendación</w:t>
      </w:r>
    </w:p>
    <w:p w14:paraId="1815A343" w14:textId="77777777" w:rsidR="00053D93" w:rsidRDefault="00260B75">
      <w:pPr>
        <w:spacing w:after="565" w:line="311" w:lineRule="auto"/>
        <w:ind w:left="14" w:right="14" w:firstLine="4"/>
        <w:jc w:val="both"/>
      </w:pPr>
      <w:r>
        <w:rPr>
          <w:rFonts w:ascii="Times New Roman" w:eastAsia="Times New Roman" w:hAnsi="Times New Roman" w:cs="Times New Roman"/>
          <w:sz w:val="26"/>
        </w:rPr>
        <w:t xml:space="preserve">1 </w:t>
      </w:r>
      <w:r>
        <w:rPr>
          <w:sz w:val="26"/>
        </w:rPr>
        <w:t xml:space="preserve">La Ministra de Educación, debe girar instrucciones al Director General y este a su vez, a la persona nombrada como enlace, para que se cumpla con los plazos establecidos en la normativa legal vigente, para la entrega de información y/o </w:t>
      </w:r>
      <w:r>
        <w:rPr>
          <w:rFonts w:ascii="Times New Roman" w:eastAsia="Times New Roman" w:hAnsi="Times New Roman" w:cs="Times New Roman"/>
          <w:sz w:val="26"/>
        </w:rPr>
        <w:t xml:space="preserve">1 </w:t>
      </w:r>
      <w:r>
        <w:rPr>
          <w:sz w:val="26"/>
        </w:rPr>
        <w:t>documentación requerida por los auditores de la Contraloría General de Cuentas, con el propósito de evitar limitaciones al alcance de la auditoría.</w:t>
      </w:r>
    </w:p>
    <w:p w14:paraId="1124F15F" w14:textId="77777777" w:rsidR="00053D93" w:rsidRDefault="00260B75">
      <w:pPr>
        <w:tabs>
          <w:tab w:val="center" w:pos="3492"/>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Comentario de los responsables</w:t>
      </w:r>
    </w:p>
    <w:p w14:paraId="514C8D8C" w14:textId="77777777" w:rsidR="00053D93" w:rsidRDefault="00260B75">
      <w:pPr>
        <w:spacing w:after="17" w:line="247" w:lineRule="auto"/>
        <w:ind w:left="79" w:right="14" w:firstLine="1663"/>
        <w:jc w:val="both"/>
      </w:pPr>
      <w:r>
        <w:rPr>
          <w:sz w:val="26"/>
        </w:rPr>
        <w:t xml:space="preserve">En nota s/n, del 20 de abril de 2025, el licenciado Edgar Estuardo Rodríguez </w:t>
      </w:r>
      <w:r>
        <w:rPr>
          <w:rFonts w:ascii="Times New Roman" w:eastAsia="Times New Roman" w:hAnsi="Times New Roman" w:cs="Times New Roman"/>
          <w:sz w:val="26"/>
        </w:rPr>
        <w:t xml:space="preserve">1 </w:t>
      </w:r>
      <w:r>
        <w:rPr>
          <w:sz w:val="26"/>
        </w:rPr>
        <w:t xml:space="preserve">López, quien fungió como Director General en Funciones, por el período comprendido del 01 de octubre de 2024 al 31 de diciembre de 2024, manifiesta: "...Referente al presente hallazgo me permito manifestar lo siguiente: 1 . Con </w:t>
      </w:r>
      <w:r>
        <w:rPr>
          <w:rFonts w:ascii="Times New Roman" w:eastAsia="Times New Roman" w:hAnsi="Times New Roman" w:cs="Times New Roman"/>
          <w:sz w:val="26"/>
        </w:rPr>
        <w:t xml:space="preserve">1 </w:t>
      </w:r>
      <w:r>
        <w:rPr>
          <w:sz w:val="26"/>
        </w:rPr>
        <w:t xml:space="preserve">Acuerdo Ministerial No. DIREH-5734-2024, de fecha 30 </w:t>
      </w:r>
      <w:r>
        <w:rPr>
          <w:sz w:val="26"/>
        </w:rPr>
        <w:lastRenderedPageBreak/>
        <w:t xml:space="preserve">de Septiembre de 2024, fui nombrado temporalmente como Director de la Dirección General de Educación Física -DIGEF-. 2. Con oficio DG-1552-2024, de fecha 26 de agosto de 2024, fue </w:t>
      </w:r>
      <w:r>
        <w:rPr>
          <w:rFonts w:ascii="Times New Roman" w:eastAsia="Times New Roman" w:hAnsi="Times New Roman" w:cs="Times New Roman"/>
          <w:sz w:val="26"/>
        </w:rPr>
        <w:t xml:space="preserve">1 </w:t>
      </w:r>
      <w:r>
        <w:rPr>
          <w:sz w:val="26"/>
        </w:rPr>
        <w:t xml:space="preserve">designada como enlace para la entrega de toda la Información requerida por la Contraloría General de Cuentas, la Licenciada Dorcas Marlene García Chaclán; </w:t>
      </w:r>
      <w:r>
        <w:rPr>
          <w:rFonts w:ascii="Times New Roman" w:eastAsia="Times New Roman" w:hAnsi="Times New Roman" w:cs="Times New Roman"/>
          <w:sz w:val="26"/>
        </w:rPr>
        <w:t xml:space="preserve">1 </w:t>
      </w:r>
      <w:r>
        <w:rPr>
          <w:sz w:val="26"/>
        </w:rPr>
        <w:t xml:space="preserve">dicha designación se hizo con el fin de agilizar el proceso de entrega de toda documentación que logre una eficiente y transparente fiscalización a la Unidad Ejecutora 109 derivado a las diversas actividades que tiene a su cargo la Dirección </w:t>
      </w:r>
      <w:r>
        <w:rPr>
          <w:rFonts w:ascii="Times New Roman" w:eastAsia="Times New Roman" w:hAnsi="Times New Roman" w:cs="Times New Roman"/>
          <w:sz w:val="26"/>
        </w:rPr>
        <w:t xml:space="preserve">1 </w:t>
      </w:r>
      <w:r>
        <w:rPr>
          <w:sz w:val="26"/>
        </w:rPr>
        <w:t>General. 3. Según el cuadro detallado de información en el mes de febrero de</w:t>
      </w:r>
    </w:p>
    <w:p w14:paraId="00DF0B01" w14:textId="77777777" w:rsidR="00053D93" w:rsidRDefault="00260B75">
      <w:pPr>
        <w:spacing w:after="54" w:line="247" w:lineRule="auto"/>
        <w:ind w:left="115" w:right="14" w:firstLine="1620"/>
        <w:jc w:val="both"/>
      </w:pPr>
      <w:r>
        <w:rPr>
          <w:sz w:val="26"/>
        </w:rPr>
        <w:t xml:space="preserve">2025 ya no estaba en funciones del cargo de Director General 4. Durante el </w:t>
      </w:r>
      <w:r>
        <w:rPr>
          <w:rFonts w:ascii="Times New Roman" w:eastAsia="Times New Roman" w:hAnsi="Times New Roman" w:cs="Times New Roman"/>
          <w:sz w:val="26"/>
        </w:rPr>
        <w:t xml:space="preserve">1 </w:t>
      </w:r>
      <w:r>
        <w:rPr>
          <w:sz w:val="26"/>
        </w:rPr>
        <w:t xml:space="preserve">tiempo que asumí como Director General en Funciones, no existió resistencia a la acción fiscalizadora, para proporcionar la información requerida. La designación temporal al cargo como Director en su momento fue para no interrumpir los </w:t>
      </w:r>
      <w:r>
        <w:rPr>
          <w:rFonts w:ascii="Times New Roman" w:eastAsia="Times New Roman" w:hAnsi="Times New Roman" w:cs="Times New Roman"/>
          <w:sz w:val="26"/>
        </w:rPr>
        <w:t xml:space="preserve">1 </w:t>
      </w:r>
      <w:r>
        <w:rPr>
          <w:sz w:val="26"/>
        </w:rPr>
        <w:t>procesos administrativos dentro del marco legal..."</w:t>
      </w:r>
    </w:p>
    <w:p w14:paraId="07B5E25C" w14:textId="77777777" w:rsidR="00053D93" w:rsidRDefault="00260B75">
      <w:pPr>
        <w:spacing w:after="38" w:line="247" w:lineRule="auto"/>
        <w:ind w:left="144" w:right="14" w:firstLine="1591"/>
        <w:jc w:val="both"/>
      </w:pPr>
      <w:r>
        <w:rPr>
          <w:sz w:val="26"/>
        </w:rPr>
        <w:t xml:space="preserve">En nota s/n, del 10 de abril de 2025, la licenciada Dorcas Marlene García Chaclán, </w:t>
      </w:r>
      <w:r>
        <w:rPr>
          <w:rFonts w:ascii="Times New Roman" w:eastAsia="Times New Roman" w:hAnsi="Times New Roman" w:cs="Times New Roman"/>
          <w:sz w:val="26"/>
        </w:rPr>
        <w:t xml:space="preserve">1 </w:t>
      </w:r>
      <w:r>
        <w:rPr>
          <w:sz w:val="26"/>
        </w:rPr>
        <w:t>Coordinadora Financiera A.l., quien fungió como enlace entre la Dirección General de Educación Física -DIGEF- y ta Contraloría General de Cuentas, manifiesta:</w:t>
      </w:r>
    </w:p>
    <w:p w14:paraId="67B9915A" w14:textId="77777777" w:rsidR="00053D93" w:rsidRDefault="00260B75">
      <w:pPr>
        <w:spacing w:after="17" w:line="247" w:lineRule="auto"/>
        <w:ind w:left="158" w:right="14" w:firstLine="4"/>
        <w:jc w:val="both"/>
      </w:pPr>
      <w:r>
        <w:rPr>
          <w:rFonts w:ascii="Times New Roman" w:eastAsia="Times New Roman" w:hAnsi="Times New Roman" w:cs="Times New Roman"/>
          <w:sz w:val="26"/>
        </w:rPr>
        <w:t>1</w:t>
      </w:r>
      <w:r>
        <w:rPr>
          <w:noProof/>
        </w:rPr>
        <w:drawing>
          <wp:inline distT="0" distB="0" distL="0" distR="0" wp14:anchorId="5C298DC4" wp14:editId="41307005">
            <wp:extent cx="164592" cy="109728"/>
            <wp:effectExtent l="0" t="0" r="0" b="0"/>
            <wp:docPr id="2458544" name="Picture 2458544"/>
            <wp:cNvGraphicFramePr/>
            <a:graphic xmlns:a="http://schemas.openxmlformats.org/drawingml/2006/main">
              <a:graphicData uri="http://schemas.openxmlformats.org/drawingml/2006/picture">
                <pic:pic xmlns:pic="http://schemas.openxmlformats.org/drawingml/2006/picture">
                  <pic:nvPicPr>
                    <pic:cNvPr id="2458544" name="Picture 2458544"/>
                    <pic:cNvPicPr/>
                  </pic:nvPicPr>
                  <pic:blipFill>
                    <a:blip r:embed="rId990"/>
                    <a:stretch>
                      <a:fillRect/>
                    </a:stretch>
                  </pic:blipFill>
                  <pic:spPr>
                    <a:xfrm>
                      <a:off x="0" y="0"/>
                      <a:ext cx="164592" cy="109728"/>
                    </a:xfrm>
                    <a:prstGeom prst="rect">
                      <a:avLst/>
                    </a:prstGeom>
                  </pic:spPr>
                </pic:pic>
              </a:graphicData>
            </a:graphic>
          </wp:inline>
        </w:drawing>
      </w:r>
      <w:r>
        <w:rPr>
          <w:sz w:val="26"/>
        </w:rPr>
        <w:t xml:space="preserve">Referente al presente hallazgo me permito manifestar lo siguiente: 1. Con Resolución No. 384-2024, de fecha 02 de diciembre de 2024, fui designada temporal y funcionalmente para realizar las funciones de Coordinadora Financiera </w:t>
      </w:r>
      <w:r>
        <w:rPr>
          <w:rFonts w:ascii="Times New Roman" w:eastAsia="Times New Roman" w:hAnsi="Times New Roman" w:cs="Times New Roman"/>
          <w:sz w:val="26"/>
        </w:rPr>
        <w:t xml:space="preserve">1 </w:t>
      </w:r>
      <w:r>
        <w:rPr>
          <w:sz w:val="26"/>
        </w:rPr>
        <w:t>a.i. de la Dirección General de Educación Física —DIGEF-. 2. Con el oficio</w:t>
      </w:r>
    </w:p>
    <w:tbl>
      <w:tblPr>
        <w:tblStyle w:val="TableGrid"/>
        <w:tblW w:w="9425" w:type="dxa"/>
        <w:tblInd w:w="792" w:type="dxa"/>
        <w:tblLook w:val="04A0" w:firstRow="1" w:lastRow="0" w:firstColumn="1" w:lastColumn="0" w:noHBand="0" w:noVBand="1"/>
      </w:tblPr>
      <w:tblGrid>
        <w:gridCol w:w="1227"/>
        <w:gridCol w:w="8212"/>
      </w:tblGrid>
      <w:tr w:rsidR="00053D93" w14:paraId="72347F26" w14:textId="77777777">
        <w:trPr>
          <w:trHeight w:val="648"/>
        </w:trPr>
        <w:tc>
          <w:tcPr>
            <w:tcW w:w="1721" w:type="dxa"/>
            <w:tcBorders>
              <w:top w:val="nil"/>
              <w:left w:val="nil"/>
              <w:bottom w:val="nil"/>
              <w:right w:val="nil"/>
            </w:tcBorders>
          </w:tcPr>
          <w:p w14:paraId="550A1C4C" w14:textId="77777777" w:rsidR="00053D93" w:rsidRDefault="00260B75">
            <w:r>
              <w:rPr>
                <w:noProof/>
              </w:rPr>
              <w:drawing>
                <wp:inline distT="0" distB="0" distL="0" distR="0" wp14:anchorId="7A464528" wp14:editId="74D80B76">
                  <wp:extent cx="1065276" cy="411480"/>
                  <wp:effectExtent l="0" t="0" r="0" b="0"/>
                  <wp:docPr id="675440" name="Picture 675440"/>
                  <wp:cNvGraphicFramePr/>
                  <a:graphic xmlns:a="http://schemas.openxmlformats.org/drawingml/2006/main">
                    <a:graphicData uri="http://schemas.openxmlformats.org/drawingml/2006/picture">
                      <pic:pic xmlns:pic="http://schemas.openxmlformats.org/drawingml/2006/picture">
                        <pic:nvPicPr>
                          <pic:cNvPr id="675440" name="Picture 675440"/>
                          <pic:cNvPicPr/>
                        </pic:nvPicPr>
                        <pic:blipFill>
                          <a:blip r:embed="rId991"/>
                          <a:stretch>
                            <a:fillRect/>
                          </a:stretch>
                        </pic:blipFill>
                        <pic:spPr>
                          <a:xfrm>
                            <a:off x="0" y="0"/>
                            <a:ext cx="1065276" cy="411480"/>
                          </a:xfrm>
                          <a:prstGeom prst="rect">
                            <a:avLst/>
                          </a:prstGeom>
                        </pic:spPr>
                      </pic:pic>
                    </a:graphicData>
                  </a:graphic>
                </wp:inline>
              </w:drawing>
            </w:r>
          </w:p>
        </w:tc>
        <w:tc>
          <w:tcPr>
            <w:tcW w:w="7704" w:type="dxa"/>
            <w:tcBorders>
              <w:top w:val="nil"/>
              <w:left w:val="nil"/>
              <w:bottom w:val="nil"/>
              <w:right w:val="nil"/>
            </w:tcBorders>
          </w:tcPr>
          <w:p w14:paraId="7FEC75A8" w14:textId="77777777" w:rsidR="00053D93" w:rsidRDefault="00053D93">
            <w:pPr>
              <w:ind w:left="-2808" w:right="10512"/>
            </w:pPr>
          </w:p>
          <w:tbl>
            <w:tblPr>
              <w:tblStyle w:val="TableGrid"/>
              <w:tblW w:w="7660" w:type="dxa"/>
              <w:tblInd w:w="44" w:type="dxa"/>
              <w:tblCellMar>
                <w:top w:w="31" w:type="dxa"/>
                <w:left w:w="1778" w:type="dxa"/>
                <w:right w:w="115" w:type="dxa"/>
              </w:tblCellMar>
              <w:tblLook w:val="04A0" w:firstRow="1" w:lastRow="0" w:firstColumn="1" w:lastColumn="0" w:noHBand="0" w:noVBand="1"/>
            </w:tblPr>
            <w:tblGrid>
              <w:gridCol w:w="7660"/>
            </w:tblGrid>
            <w:tr w:rsidR="00053D93" w14:paraId="72EFAB6B" w14:textId="77777777">
              <w:trPr>
                <w:trHeight w:val="36"/>
              </w:trPr>
              <w:tc>
                <w:tcPr>
                  <w:tcW w:w="7660" w:type="dxa"/>
                  <w:tcBorders>
                    <w:top w:val="nil"/>
                    <w:left w:val="single" w:sz="2" w:space="0" w:color="000000"/>
                    <w:bottom w:val="single" w:sz="2" w:space="0" w:color="000000"/>
                    <w:right w:val="nil"/>
                  </w:tcBorders>
                </w:tcPr>
                <w:p w14:paraId="2D6ABD5F" w14:textId="77777777" w:rsidR="00053D93" w:rsidRDefault="00053D93"/>
              </w:tc>
            </w:tr>
            <w:tr w:rsidR="00053D93" w14:paraId="112FD4E5" w14:textId="77777777">
              <w:trPr>
                <w:trHeight w:val="605"/>
              </w:trPr>
              <w:tc>
                <w:tcPr>
                  <w:tcW w:w="7660" w:type="dxa"/>
                  <w:tcBorders>
                    <w:top w:val="single" w:sz="2" w:space="0" w:color="000000"/>
                    <w:left w:val="single" w:sz="2" w:space="0" w:color="000000"/>
                    <w:bottom w:val="nil"/>
                    <w:right w:val="nil"/>
                  </w:tcBorders>
                </w:tcPr>
                <w:p w14:paraId="6F9013C4" w14:textId="77777777" w:rsidR="00053D93" w:rsidRDefault="00260B75">
                  <w:pPr>
                    <w:ind w:left="835"/>
                  </w:pPr>
                  <w:r>
                    <w:rPr>
                      <w:sz w:val="14"/>
                    </w:rPr>
                    <w:t>MINISTERIO DE EDUCACION</w:t>
                  </w:r>
                </w:p>
                <w:p w14:paraId="055335A0" w14:textId="77777777" w:rsidR="00053D93" w:rsidRDefault="00260B75">
                  <w:pPr>
                    <w:ind w:left="338"/>
                  </w:pPr>
                  <w:r>
                    <w:rPr>
                      <w:sz w:val="14"/>
                    </w:rPr>
                    <w:t>AUDITORIA FINANCIERA Y DE CUMPLIMIENTO</w:t>
                  </w:r>
                </w:p>
                <w:p w14:paraId="643CF27F" w14:textId="77777777" w:rsidR="00053D93" w:rsidRDefault="00260B75">
                  <w:r>
                    <w:rPr>
                      <w:sz w:val="14"/>
                    </w:rPr>
                    <w:t>PERÍODO DEL 01 DE ENERO AL 31 DE DICIEMBRE DE 2024</w:t>
                  </w:r>
                </w:p>
              </w:tc>
            </w:tr>
          </w:tbl>
          <w:p w14:paraId="73071819" w14:textId="77777777" w:rsidR="00053D93" w:rsidRDefault="00053D93"/>
        </w:tc>
      </w:tr>
    </w:tbl>
    <w:p w14:paraId="62FECF9C" w14:textId="77777777" w:rsidR="00053D93" w:rsidRDefault="00053D93">
      <w:pPr>
        <w:sectPr w:rsidR="00053D93">
          <w:headerReference w:type="even" r:id="rId992"/>
          <w:headerReference w:type="default" r:id="rId993"/>
          <w:footerReference w:type="even" r:id="rId994"/>
          <w:footerReference w:type="default" r:id="rId995"/>
          <w:headerReference w:type="first" r:id="rId996"/>
          <w:footerReference w:type="first" r:id="rId997"/>
          <w:pgSz w:w="12290" w:h="15883"/>
          <w:pgMar w:top="432" w:right="1764" w:bottom="514" w:left="295" w:header="360" w:footer="720" w:gutter="0"/>
          <w:cols w:space="720"/>
          <w:titlePg/>
        </w:sectPr>
      </w:pPr>
    </w:p>
    <w:p w14:paraId="646F88C8" w14:textId="77777777" w:rsidR="00053D93" w:rsidRDefault="00260B75">
      <w:pPr>
        <w:tabs>
          <w:tab w:val="center" w:pos="3251"/>
        </w:tabs>
        <w:spacing w:after="3" w:line="265" w:lineRule="auto"/>
      </w:pPr>
      <w:r>
        <w:rPr>
          <w:rFonts w:ascii="Times New Roman" w:eastAsia="Times New Roman" w:hAnsi="Times New Roman" w:cs="Times New Roman"/>
          <w:sz w:val="14"/>
        </w:rPr>
        <w:lastRenderedPageBreak/>
        <w:t>1</w:t>
      </w:r>
      <w:r>
        <w:rPr>
          <w:rFonts w:ascii="Times New Roman" w:eastAsia="Times New Roman" w:hAnsi="Times New Roman" w:cs="Times New Roman"/>
          <w:sz w:val="14"/>
        </w:rPr>
        <w:tab/>
      </w:r>
      <w:r>
        <w:rPr>
          <w:sz w:val="14"/>
        </w:rPr>
        <w:t xml:space="preserve">OE </w:t>
      </w:r>
    </w:p>
    <w:p w14:paraId="25DF5D30" w14:textId="77777777" w:rsidR="00053D93" w:rsidRDefault="00260B75">
      <w:pPr>
        <w:spacing w:after="47"/>
        <w:ind w:left="1728"/>
      </w:pPr>
      <w:r>
        <w:rPr>
          <w:noProof/>
        </w:rPr>
        <mc:AlternateContent>
          <mc:Choice Requires="wpg">
            <w:drawing>
              <wp:inline distT="0" distB="0" distL="0" distR="0" wp14:anchorId="1F3C987E" wp14:editId="72B2DF87">
                <wp:extent cx="5385816" cy="13716"/>
                <wp:effectExtent l="0" t="0" r="0" b="0"/>
                <wp:docPr id="2458549" name="Group 2458549"/>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548" name="Shape 2458548"/>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49" style="width:424.08pt;height:1.08pt;mso-position-horizontal-relative:char;mso-position-vertical-relative:line" coordsize="53858,137">
                <v:shape id="Shape 2458548" style="position:absolute;width:53858;height:137;left:0;top:0;" coordsize="5385816,13716" path="m0,6858l5385816,6858">
                  <v:stroke weight="1.08pt" endcap="flat" joinstyle="miter" miterlimit="1" on="true" color="#000000"/>
                  <v:fill on="false" color="#000000"/>
                </v:shape>
              </v:group>
            </w:pict>
          </mc:Fallback>
        </mc:AlternateContent>
      </w:r>
    </w:p>
    <w:p w14:paraId="0506CFEF" w14:textId="77777777" w:rsidR="00053D93" w:rsidRDefault="00260B75">
      <w:pPr>
        <w:spacing w:after="17" w:line="247" w:lineRule="auto"/>
        <w:ind w:left="14" w:right="14" w:firstLine="4"/>
        <w:jc w:val="both"/>
      </w:pPr>
      <w:r>
        <w:rPr>
          <w:noProof/>
        </w:rPr>
        <mc:AlternateContent>
          <mc:Choice Requires="wpg">
            <w:drawing>
              <wp:anchor distT="0" distB="0" distL="114300" distR="114300" simplePos="0" relativeHeight="252064768" behindDoc="0" locked="0" layoutInCell="1" allowOverlap="1" wp14:anchorId="5336425E" wp14:editId="639CE198">
                <wp:simplePos x="0" y="0"/>
                <wp:positionH relativeFrom="column">
                  <wp:posOffset>13716</wp:posOffset>
                </wp:positionH>
                <wp:positionV relativeFrom="paragraph">
                  <wp:posOffset>980400</wp:posOffset>
                </wp:positionV>
                <wp:extent cx="123444" cy="292608"/>
                <wp:effectExtent l="0" t="0" r="0" b="0"/>
                <wp:wrapSquare wrapText="bothSides"/>
                <wp:docPr id="2456162" name="Group 2456162"/>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676036" name="Rectangle 676036"/>
                        <wps:cNvSpPr/>
                        <wps:spPr>
                          <a:xfrm>
                            <a:off x="0" y="0"/>
                            <a:ext cx="164181" cy="389169"/>
                          </a:xfrm>
                          <a:prstGeom prst="rect">
                            <a:avLst/>
                          </a:prstGeom>
                          <a:ln>
                            <a:noFill/>
                          </a:ln>
                        </wps:spPr>
                        <wps:txbx>
                          <w:txbxContent>
                            <w:p w14:paraId="3AC1C94C"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5336425E" id="Group 2456162" o:spid="_x0000_s1385" style="position:absolute;left:0;text-align:left;margin-left:1.1pt;margin-top:77.2pt;width:9.7pt;height:23.05pt;z-index:252064768;mso-position-horizontal-relative:text;mso-position-vertical-relative:text"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">
                <v:rect id="Rectangle 676036" o:spid="_x0000_s1386" style="position:absolute;width:16418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" filled="f" stroked="f">
                  <v:textbox inset="0,0,0,0">
                    <w:txbxContent>
                      <w:p w14:paraId="3AC1C94C"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noProof/>
        </w:rPr>
        <mc:AlternateContent>
          <mc:Choice Requires="wpg">
            <w:drawing>
              <wp:anchor distT="0" distB="0" distL="114300" distR="114300" simplePos="0" relativeHeight="252065792" behindDoc="0" locked="0" layoutInCell="1" allowOverlap="1" wp14:anchorId="14876F12" wp14:editId="2ABCB9C4">
                <wp:simplePos x="0" y="0"/>
                <wp:positionH relativeFrom="column">
                  <wp:posOffset>36576</wp:posOffset>
                </wp:positionH>
                <wp:positionV relativeFrom="paragraph">
                  <wp:posOffset>2530308</wp:posOffset>
                </wp:positionV>
                <wp:extent cx="123444" cy="292608"/>
                <wp:effectExtent l="0" t="0" r="0" b="0"/>
                <wp:wrapSquare wrapText="bothSides"/>
                <wp:docPr id="2456164" name="Group 2456164"/>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676039" name="Rectangle 676039"/>
                        <wps:cNvSpPr/>
                        <wps:spPr>
                          <a:xfrm>
                            <a:off x="0" y="0"/>
                            <a:ext cx="164181" cy="389168"/>
                          </a:xfrm>
                          <a:prstGeom prst="rect">
                            <a:avLst/>
                          </a:prstGeom>
                          <a:ln>
                            <a:noFill/>
                          </a:ln>
                        </wps:spPr>
                        <wps:txbx>
                          <w:txbxContent>
                            <w:p w14:paraId="33080FAC"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14876F12" id="Group 2456164" o:spid="_x0000_s1387" style="position:absolute;left:0;text-align:left;margin-left:2.9pt;margin-top:199.25pt;width:9.7pt;height:23.05pt;z-index:252065792;mso-position-horizontal-relative:text;mso-position-vertical-relative:text"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">
                <v:rect id="Rectangle 676039" o:spid="_x0000_s1388" style="position:absolute;width:164181;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" filled="f" stroked="f">
                  <v:textbox inset="0,0,0,0">
                    <w:txbxContent>
                      <w:p w14:paraId="33080FAC"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rFonts w:ascii="Times New Roman" w:eastAsia="Times New Roman" w:hAnsi="Times New Roman" w:cs="Times New Roman"/>
          <w:sz w:val="26"/>
        </w:rPr>
        <w:t xml:space="preserve">1 </w:t>
      </w:r>
      <w:r>
        <w:rPr>
          <w:sz w:val="26"/>
        </w:rPr>
        <w:t xml:space="preserve">DG-1552-2024, de fecha 26 de agosto de 2024, fui designada como enlace para la entrega de Información solicitada por la Contraloría General de Cuentas. 3. Al ser designada Coordinadora Financiera a.i., no se nombró a otra persona como </w:t>
      </w:r>
      <w:r>
        <w:rPr>
          <w:noProof/>
        </w:rPr>
        <mc:AlternateContent>
          <mc:Choice Requires="wpg">
            <w:drawing>
              <wp:inline distT="0" distB="0" distL="0" distR="0" wp14:anchorId="252F5ED5" wp14:editId="2555E7EC">
                <wp:extent cx="118872" cy="288036"/>
                <wp:effectExtent l="0" t="0" r="0" b="0"/>
                <wp:docPr id="2456161" name="Group 2456161"/>
                <wp:cNvGraphicFramePr/>
                <a:graphic xmlns:a="http://schemas.openxmlformats.org/drawingml/2006/main">
                  <a:graphicData uri="http://schemas.microsoft.com/office/word/2010/wordprocessingGroup">
                    <wpg:wgp>
                      <wpg:cNvGrpSpPr/>
                      <wpg:grpSpPr>
                        <a:xfrm>
                          <a:off x="0" y="0"/>
                          <a:ext cx="118872" cy="288036"/>
                          <a:chOff x="0" y="0"/>
                          <a:chExt cx="118872" cy="288036"/>
                        </a:xfrm>
                      </wpg:grpSpPr>
                      <wps:wsp>
                        <wps:cNvPr id="676035" name="Rectangle 676035"/>
                        <wps:cNvSpPr/>
                        <wps:spPr>
                          <a:xfrm>
                            <a:off x="0" y="0"/>
                            <a:ext cx="158100" cy="383088"/>
                          </a:xfrm>
                          <a:prstGeom prst="rect">
                            <a:avLst/>
                          </a:prstGeom>
                          <a:ln>
                            <a:noFill/>
                          </a:ln>
                        </wps:spPr>
                        <wps:txbx>
                          <w:txbxContent>
                            <w:p w14:paraId="65CFF0C9"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252F5ED5" id="Group 2456161" o:spid="_x0000_s1389" style="width:9.35pt;height:22.7pt;mso-position-horizontal-relative:char;mso-position-vertical-relative:line" coordsize="118872,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">
                <v:rect id="Rectangle 676035" o:spid="_x0000_s1390" style="position:absolute;width:158100;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" filled="f" stroked="f">
                  <v:textbox inset="0,0,0,0">
                    <w:txbxContent>
                      <w:p w14:paraId="65CFF0C9"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enlace ante la Delegación de la Contraloría General de Cuentas, derivado que mi puesto nominal es como Asesora de Dirección en temas de Auditoría. 4. Al tener a cargo la Coordinación Financiera a.i., la carga laboral se incrementó. 5. Así mismo en el mes de febrero de 2025 fue nombrada nueva autoridad, lo cual repercutió en atraso en el proceso de firmas, para el requerimiento de información a las </w:t>
      </w:r>
      <w:r>
        <w:rPr>
          <w:noProof/>
        </w:rPr>
        <mc:AlternateContent>
          <mc:Choice Requires="wpg">
            <w:drawing>
              <wp:inline distT="0" distB="0" distL="0" distR="0" wp14:anchorId="6BAF1AB4" wp14:editId="37A060A7">
                <wp:extent cx="123444" cy="292608"/>
                <wp:effectExtent l="0" t="0" r="0" b="0"/>
                <wp:docPr id="2456163" name="Group 2456163"/>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676037" name="Rectangle 676037"/>
                        <wps:cNvSpPr/>
                        <wps:spPr>
                          <a:xfrm>
                            <a:off x="0" y="0"/>
                            <a:ext cx="164181" cy="389169"/>
                          </a:xfrm>
                          <a:prstGeom prst="rect">
                            <a:avLst/>
                          </a:prstGeom>
                          <a:ln>
                            <a:noFill/>
                          </a:ln>
                        </wps:spPr>
                        <wps:txbx>
                          <w:txbxContent>
                            <w:p w14:paraId="6018A591"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inline>
            </w:drawing>
          </mc:Choice>
          <mc:Fallback>
            <w:pict>
              <v:group w14:anchorId="6BAF1AB4" id="Group 2456163" o:spid="_x0000_s1391" style="width:9.7pt;height:23.05pt;mso-position-horizontal-relative:char;mso-position-vertical-relative:line"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">
                <v:rect id="Rectangle 676037" o:spid="_x0000_s1392" style="position:absolute;width:16418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" filled="f" stroked="f">
                  <v:textbox inset="0,0,0,0">
                    <w:txbxContent>
                      <w:p w14:paraId="6018A591" w14:textId="77777777" w:rsidR="00053D93" w:rsidRDefault="00260B75">
                        <w:r>
                          <w:rPr>
                            <w:rFonts w:ascii="Times New Roman" w:eastAsia="Times New Roman" w:hAnsi="Times New Roman" w:cs="Times New Roman"/>
                            <w:sz w:val="72"/>
                          </w:rPr>
                          <w:t>1</w:t>
                        </w:r>
                      </w:p>
                    </w:txbxContent>
                  </v:textbox>
                </v:rect>
                <w10:anchorlock/>
              </v:group>
            </w:pict>
          </mc:Fallback>
        </mc:AlternateContent>
      </w:r>
      <w:r>
        <w:rPr>
          <w:sz w:val="26"/>
        </w:rPr>
        <w:t xml:space="preserve"> diferentes unidades y el traslado a la Delegación de Contraloría. 6. No está de más manifestar que los casos que se detallan en el cuadro del presente hallazgo, fueron atendidos en su totalidad, en ningún momento existió resistencia a la </w:t>
      </w:r>
      <w:r>
        <w:rPr>
          <w:rFonts w:ascii="Times New Roman" w:eastAsia="Times New Roman" w:hAnsi="Times New Roman" w:cs="Times New Roman"/>
          <w:sz w:val="26"/>
        </w:rPr>
        <w:t xml:space="preserve">1 </w:t>
      </w:r>
      <w:r>
        <w:rPr>
          <w:sz w:val="26"/>
        </w:rPr>
        <w:t>acción fiscalizadora, para proporcionar la información requerida. 7. Adicionalmente en algunos casos la información fue necesaria solicitarla a unidades externas a esta Dirección, lo cual atraso la entrega respectiva. 8. Es importante que se nombre al Coordinador (a) Financiero (a) titular para evitar la doble fúnción que se traduce en atraso en los procesos respectivos...'</w:t>
      </w:r>
      <w:r>
        <w:rPr>
          <w:noProof/>
        </w:rPr>
        <w:drawing>
          <wp:inline distT="0" distB="0" distL="0" distR="0" wp14:anchorId="1EA8CAD9" wp14:editId="4C7ABB0D">
            <wp:extent cx="18288" cy="45720"/>
            <wp:effectExtent l="0" t="0" r="0" b="0"/>
            <wp:docPr id="679290" name="Picture 679290"/>
            <wp:cNvGraphicFramePr/>
            <a:graphic xmlns:a="http://schemas.openxmlformats.org/drawingml/2006/main">
              <a:graphicData uri="http://schemas.openxmlformats.org/drawingml/2006/picture">
                <pic:pic xmlns:pic="http://schemas.openxmlformats.org/drawingml/2006/picture">
                  <pic:nvPicPr>
                    <pic:cNvPr id="679290" name="Picture 679290"/>
                    <pic:cNvPicPr/>
                  </pic:nvPicPr>
                  <pic:blipFill>
                    <a:blip r:embed="rId998"/>
                    <a:stretch>
                      <a:fillRect/>
                    </a:stretch>
                  </pic:blipFill>
                  <pic:spPr>
                    <a:xfrm>
                      <a:off x="0" y="0"/>
                      <a:ext cx="18288" cy="45720"/>
                    </a:xfrm>
                    <a:prstGeom prst="rect">
                      <a:avLst/>
                    </a:prstGeom>
                  </pic:spPr>
                </pic:pic>
              </a:graphicData>
            </a:graphic>
          </wp:inline>
        </w:drawing>
      </w:r>
    </w:p>
    <w:p w14:paraId="7163C0F7" w14:textId="77777777" w:rsidR="00053D93" w:rsidRDefault="00260B75">
      <w:pPr>
        <w:spacing w:after="0"/>
        <w:ind w:left="72"/>
      </w:pPr>
      <w:r>
        <w:rPr>
          <w:noProof/>
        </w:rPr>
        <mc:AlternateContent>
          <mc:Choice Requires="wpg">
            <w:drawing>
              <wp:inline distT="0" distB="0" distL="0" distR="0" wp14:anchorId="1B66C1DC" wp14:editId="5027CA1F">
                <wp:extent cx="118872" cy="292609"/>
                <wp:effectExtent l="0" t="0" r="0" b="0"/>
                <wp:docPr id="2456165" name="Group 2456165"/>
                <wp:cNvGraphicFramePr/>
                <a:graphic xmlns:a="http://schemas.openxmlformats.org/drawingml/2006/main">
                  <a:graphicData uri="http://schemas.microsoft.com/office/word/2010/wordprocessingGroup">
                    <wpg:wgp>
                      <wpg:cNvGrpSpPr/>
                      <wpg:grpSpPr>
                        <a:xfrm>
                          <a:off x="0" y="0"/>
                          <a:ext cx="118872" cy="292609"/>
                          <a:chOff x="0" y="0"/>
                          <a:chExt cx="118872" cy="292609"/>
                        </a:xfrm>
                      </wpg:grpSpPr>
                      <wps:wsp>
                        <wps:cNvPr id="676040" name="Rectangle 676040"/>
                        <wps:cNvSpPr/>
                        <wps:spPr>
                          <a:xfrm>
                            <a:off x="0" y="0"/>
                            <a:ext cx="158100" cy="389169"/>
                          </a:xfrm>
                          <a:prstGeom prst="rect">
                            <a:avLst/>
                          </a:prstGeom>
                          <a:ln>
                            <a:noFill/>
                          </a:ln>
                        </wps:spPr>
                        <wps:txbx>
                          <w:txbxContent>
                            <w:p w14:paraId="58D2EAA0"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1B66C1DC" id="Group 2456165" o:spid="_x0000_s1393" style="width:9.35pt;height:23.05pt;mso-position-horizontal-relative:char;mso-position-vertical-relative:line" coordsize="118872,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">
                <v:rect id="Rectangle 676040" o:spid="_x0000_s1394"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" filled="f" stroked="f">
                  <v:textbox inset="0,0,0,0">
                    <w:txbxContent>
                      <w:p w14:paraId="58D2EAA0" w14:textId="77777777" w:rsidR="00053D93" w:rsidRDefault="00260B75">
                        <w:r>
                          <w:rPr>
                            <w:rFonts w:ascii="Times New Roman" w:eastAsia="Times New Roman" w:hAnsi="Times New Roman" w:cs="Times New Roman"/>
                            <w:sz w:val="70"/>
                          </w:rPr>
                          <w:t>1</w:t>
                        </w:r>
                      </w:p>
                    </w:txbxContent>
                  </v:textbox>
                </v:rect>
                <w10:anchorlock/>
              </v:group>
            </w:pict>
          </mc:Fallback>
        </mc:AlternateContent>
      </w:r>
    </w:p>
    <w:p w14:paraId="1AEEA5F7" w14:textId="77777777" w:rsidR="00053D93" w:rsidRDefault="00260B75">
      <w:pPr>
        <w:spacing w:after="18" w:line="248" w:lineRule="auto"/>
        <w:ind w:left="1709" w:hanging="3"/>
        <w:jc w:val="both"/>
      </w:pPr>
      <w:r>
        <w:rPr>
          <w:sz w:val="28"/>
        </w:rPr>
        <w:t>Comentario de auditoría</w:t>
      </w:r>
    </w:p>
    <w:p w14:paraId="5061AD4D" w14:textId="77777777" w:rsidR="00053D93" w:rsidRDefault="00260B75">
      <w:pPr>
        <w:spacing w:after="201" w:line="247" w:lineRule="auto"/>
        <w:ind w:left="14" w:right="14" w:firstLine="1490"/>
        <w:jc w:val="both"/>
      </w:pPr>
      <w:r>
        <w:rPr>
          <w:noProof/>
        </w:rPr>
        <mc:AlternateContent>
          <mc:Choice Requires="wpg">
            <w:drawing>
              <wp:anchor distT="0" distB="0" distL="114300" distR="114300" simplePos="0" relativeHeight="252066816" behindDoc="0" locked="0" layoutInCell="1" allowOverlap="1" wp14:anchorId="2181DFC1" wp14:editId="0E71B673">
                <wp:simplePos x="0" y="0"/>
                <wp:positionH relativeFrom="column">
                  <wp:posOffset>50292</wp:posOffset>
                </wp:positionH>
                <wp:positionV relativeFrom="paragraph">
                  <wp:posOffset>38593</wp:posOffset>
                </wp:positionV>
                <wp:extent cx="118872" cy="288036"/>
                <wp:effectExtent l="0" t="0" r="0" b="0"/>
                <wp:wrapSquare wrapText="bothSides"/>
                <wp:docPr id="2456166" name="Group 2456166"/>
                <wp:cNvGraphicFramePr/>
                <a:graphic xmlns:a="http://schemas.openxmlformats.org/drawingml/2006/main">
                  <a:graphicData uri="http://schemas.microsoft.com/office/word/2010/wordprocessingGroup">
                    <wpg:wgp>
                      <wpg:cNvGrpSpPr/>
                      <wpg:grpSpPr>
                        <a:xfrm>
                          <a:off x="0" y="0"/>
                          <a:ext cx="118872" cy="288036"/>
                          <a:chOff x="0" y="0"/>
                          <a:chExt cx="118872" cy="288036"/>
                        </a:xfrm>
                      </wpg:grpSpPr>
                      <wps:wsp>
                        <wps:cNvPr id="676041" name="Rectangle 676041"/>
                        <wps:cNvSpPr/>
                        <wps:spPr>
                          <a:xfrm>
                            <a:off x="0" y="0"/>
                            <a:ext cx="158100" cy="383088"/>
                          </a:xfrm>
                          <a:prstGeom prst="rect">
                            <a:avLst/>
                          </a:prstGeom>
                          <a:ln>
                            <a:noFill/>
                          </a:ln>
                        </wps:spPr>
                        <wps:txbx>
                          <w:txbxContent>
                            <w:p w14:paraId="792EF72D"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2181DFC1" id="Group 2456166" o:spid="_x0000_s1395" style="position:absolute;left:0;text-align:left;margin-left:3.95pt;margin-top:3.05pt;width:9.35pt;height:22.7pt;z-index:252066816;mso-position-horizontal-relative:text;mso-position-vertical-relative:text" coordsize="118872,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">
                <v:rect id="Rectangle 676041" o:spid="_x0000_s1396" style="position:absolute;width:158100;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" filled="f" stroked="f">
                  <v:textbox inset="0,0,0,0">
                    <w:txbxContent>
                      <w:p w14:paraId="792EF72D"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sz w:val="26"/>
        </w:rPr>
        <w:t xml:space="preserve">Se confirma el hallazgo, para el licenciado Edgar Estuardo Rodríguez López, quien fungió como Director General en Funciones, por el período comprendido del 01 de octubre de 2024 al 31 de diciembre de 2024; en virtud que, las pruebas </w:t>
      </w:r>
      <w:r>
        <w:rPr>
          <w:rFonts w:ascii="Times New Roman" w:eastAsia="Times New Roman" w:hAnsi="Times New Roman" w:cs="Times New Roman"/>
          <w:sz w:val="26"/>
        </w:rPr>
        <w:t xml:space="preserve">-1 </w:t>
      </w:r>
      <w:r>
        <w:rPr>
          <w:sz w:val="26"/>
        </w:rPr>
        <w:t xml:space="preserve">presentadas no son suficientes, ya que a pesar que el responsable manifiesta que durante el mes de febrero de 2025, ya no estaba en funciones del cargo de Director General; sin embargo, sí estuvo hasta el 19 de febrero de 2025, por lo </w:t>
      </w:r>
      <w:r>
        <w:rPr>
          <w:noProof/>
        </w:rPr>
        <mc:AlternateContent>
          <mc:Choice Requires="wpg">
            <w:drawing>
              <wp:inline distT="0" distB="0" distL="0" distR="0" wp14:anchorId="3B710A42" wp14:editId="7AA34D74">
                <wp:extent cx="114300" cy="297180"/>
                <wp:effectExtent l="0" t="0" r="0" b="0"/>
                <wp:docPr id="2456167" name="Group 2456167"/>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676043" name="Rectangle 676043"/>
                        <wps:cNvSpPr/>
                        <wps:spPr>
                          <a:xfrm>
                            <a:off x="0" y="0"/>
                            <a:ext cx="152019" cy="395249"/>
                          </a:xfrm>
                          <a:prstGeom prst="rect">
                            <a:avLst/>
                          </a:prstGeom>
                          <a:ln>
                            <a:noFill/>
                          </a:ln>
                        </wps:spPr>
                        <wps:txbx>
                          <w:txbxContent>
                            <w:p w14:paraId="78A08048"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3B710A42" id="Group 2456167" o:spid="_x0000_s1397"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ACN/MTDgIAAJYE&#10;AAAOAAAAAAAAAAAAAAAAAC4CAABkcnMvZTJvRG9jLnhtbFBLAQItABQABgAIAAAAIQDLw3M32gAA&#10;AAMBAAAPAAAAAAAAAAAAAAAAAGgEAABkcnMvZG93bnJldi54bWxQSwUGAAAAAAQABADzAAAAbwUA&#10;AAAA&#10;">
                <v:rect id="Rectangle 676043" o:spid="_x0000_s1398"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" filled="f" stroked="f">
                  <v:textbox inset="0,0,0,0">
                    <w:txbxContent>
                      <w:p w14:paraId="78A08048"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que, los oficios de requerimiento de información fueron girados a su persona cuando aún fungía como Director General en Funciones de la DIGEF y dicha </w:t>
      </w:r>
      <w:r>
        <w:rPr>
          <w:noProof/>
        </w:rPr>
        <w:drawing>
          <wp:inline distT="0" distB="0" distL="0" distR="0" wp14:anchorId="65DF6648" wp14:editId="4663BDD5">
            <wp:extent cx="32004" cy="9144"/>
            <wp:effectExtent l="0" t="0" r="0" b="0"/>
            <wp:docPr id="679291" name="Picture 679291"/>
            <wp:cNvGraphicFramePr/>
            <a:graphic xmlns:a="http://schemas.openxmlformats.org/drawingml/2006/main">
              <a:graphicData uri="http://schemas.openxmlformats.org/drawingml/2006/picture">
                <pic:pic xmlns:pic="http://schemas.openxmlformats.org/drawingml/2006/picture">
                  <pic:nvPicPr>
                    <pic:cNvPr id="679291" name="Picture 679291"/>
                    <pic:cNvPicPr/>
                  </pic:nvPicPr>
                  <pic:blipFill>
                    <a:blip r:embed="rId999"/>
                    <a:stretch>
                      <a:fillRect/>
                    </a:stretch>
                  </pic:blipFill>
                  <pic:spPr>
                    <a:xfrm>
                      <a:off x="0" y="0"/>
                      <a:ext cx="32004" cy="9144"/>
                    </a:xfrm>
                    <a:prstGeom prst="rect">
                      <a:avLst/>
                    </a:prstGeom>
                  </pic:spPr>
                </pic:pic>
              </a:graphicData>
            </a:graphic>
          </wp:inline>
        </w:drawing>
      </w:r>
      <w:r>
        <w:rPr>
          <w:sz w:val="26"/>
        </w:rPr>
        <w:t xml:space="preserve"> situación no lo exime de responsabilidad para dar cumplimiento a la entrega de </w:t>
      </w:r>
      <w:r>
        <w:rPr>
          <w:rFonts w:ascii="Times New Roman" w:eastAsia="Times New Roman" w:hAnsi="Times New Roman" w:cs="Times New Roman"/>
          <w:sz w:val="26"/>
        </w:rPr>
        <w:t xml:space="preserve">1 </w:t>
      </w:r>
      <w:r>
        <w:rPr>
          <w:sz w:val="26"/>
        </w:rPr>
        <w:t xml:space="preserve">forma oportuna de la información requerida, en donde se constató mediante los oficios detallados en la condición del hallazgo, que durante su período de </w:t>
      </w:r>
      <w:r>
        <w:rPr>
          <w:rFonts w:ascii="Times New Roman" w:eastAsia="Times New Roman" w:hAnsi="Times New Roman" w:cs="Times New Roman"/>
          <w:sz w:val="26"/>
        </w:rPr>
        <w:t xml:space="preserve">1 </w:t>
      </w:r>
      <w:r>
        <w:rPr>
          <w:sz w:val="26"/>
        </w:rPr>
        <w:t xml:space="preserve">funciones se realizaron requerimientos de información que no fueron atendidos dentro del plazo legal de siete (7) días establecido en el artículo 7 del Decreto Número 31-2002, Ley Orgánica de la Contraloría General de Cuentas, [os cuales </w:t>
      </w:r>
      <w:r>
        <w:rPr>
          <w:rFonts w:ascii="Times New Roman" w:eastAsia="Times New Roman" w:hAnsi="Times New Roman" w:cs="Times New Roman"/>
          <w:sz w:val="26"/>
        </w:rPr>
        <w:t xml:space="preserve">1 </w:t>
      </w:r>
      <w:r>
        <w:rPr>
          <w:sz w:val="26"/>
        </w:rPr>
        <w:t xml:space="preserve">fueron requeridos con la finalidad de llevar a cabo la fiscalización de la Dirección General de Educación Física -DIGEF- del Ministerio de Educación, para el </w:t>
      </w:r>
      <w:r>
        <w:rPr>
          <w:rFonts w:ascii="Times New Roman" w:eastAsia="Times New Roman" w:hAnsi="Times New Roman" w:cs="Times New Roman"/>
          <w:sz w:val="26"/>
        </w:rPr>
        <w:t xml:space="preserve">1 </w:t>
      </w:r>
      <w:r>
        <w:rPr>
          <w:sz w:val="26"/>
        </w:rPr>
        <w:t>ejercicio fiscal 2024, por lo que el responsable debió velar porque se cumpliera con la entrega de la información y documentación solicitada a su persona por parte del Equipo de Auditoría de la Contraloría General de Cuentas.</w:t>
      </w:r>
    </w:p>
    <w:p w14:paraId="4E424222" w14:textId="77777777" w:rsidR="00053D93" w:rsidRDefault="00260B75">
      <w:pPr>
        <w:spacing w:after="3"/>
        <w:ind w:left="24" w:hanging="10"/>
      </w:pPr>
      <w:r>
        <w:rPr>
          <w:noProof/>
        </w:rPr>
        <w:drawing>
          <wp:inline distT="0" distB="0" distL="0" distR="0" wp14:anchorId="7B7680DF" wp14:editId="0C3AEBD1">
            <wp:extent cx="41148" cy="4573"/>
            <wp:effectExtent l="0" t="0" r="0" b="0"/>
            <wp:docPr id="679292" name="Picture 679292"/>
            <wp:cNvGraphicFramePr/>
            <a:graphic xmlns:a="http://schemas.openxmlformats.org/drawingml/2006/main">
              <a:graphicData uri="http://schemas.openxmlformats.org/drawingml/2006/picture">
                <pic:pic xmlns:pic="http://schemas.openxmlformats.org/drawingml/2006/picture">
                  <pic:nvPicPr>
                    <pic:cNvPr id="679292" name="Picture 679292"/>
                    <pic:cNvPicPr/>
                  </pic:nvPicPr>
                  <pic:blipFill>
                    <a:blip r:embed="rId1000"/>
                    <a:stretch>
                      <a:fillRect/>
                    </a:stretch>
                  </pic:blipFill>
                  <pic:spPr>
                    <a:xfrm>
                      <a:off x="0" y="0"/>
                      <a:ext cx="41148" cy="4573"/>
                    </a:xfrm>
                    <a:prstGeom prst="rect">
                      <a:avLst/>
                    </a:prstGeom>
                  </pic:spPr>
                </pic:pic>
              </a:graphicData>
            </a:graphic>
          </wp:inline>
        </w:drawing>
      </w:r>
      <w:r>
        <w:rPr>
          <w:rFonts w:ascii="Times New Roman" w:eastAsia="Times New Roman" w:hAnsi="Times New Roman" w:cs="Times New Roman"/>
          <w:sz w:val="72"/>
        </w:rPr>
        <w:t>1</w:t>
      </w:r>
    </w:p>
    <w:p w14:paraId="5EEFE00D" w14:textId="77777777" w:rsidR="00053D93" w:rsidRDefault="00260B75">
      <w:pPr>
        <w:spacing w:after="17" w:line="247" w:lineRule="auto"/>
        <w:ind w:left="1750" w:right="14" w:firstLine="4"/>
        <w:jc w:val="both"/>
      </w:pPr>
      <w:r>
        <w:rPr>
          <w:sz w:val="26"/>
        </w:rPr>
        <w:lastRenderedPageBreak/>
        <w:t>Se confirma el hallazgo, para la licenciada Dorcas Marlene García Chaclán, Coordinadora Financiera A.l., quien fungió como enlace entre la Dirección General</w:t>
      </w:r>
    </w:p>
    <w:p w14:paraId="33733A6D" w14:textId="77777777" w:rsidR="00053D93" w:rsidRDefault="00260B75">
      <w:pPr>
        <w:spacing w:after="16"/>
        <w:ind w:left="58"/>
      </w:pPr>
      <w:r>
        <w:rPr>
          <w:noProof/>
        </w:rPr>
        <w:drawing>
          <wp:inline distT="0" distB="0" distL="0" distR="0" wp14:anchorId="4B756DB1" wp14:editId="72FE050D">
            <wp:extent cx="22860" cy="9144"/>
            <wp:effectExtent l="0" t="0" r="0" b="0"/>
            <wp:docPr id="679293" name="Picture 679293"/>
            <wp:cNvGraphicFramePr/>
            <a:graphic xmlns:a="http://schemas.openxmlformats.org/drawingml/2006/main">
              <a:graphicData uri="http://schemas.openxmlformats.org/drawingml/2006/picture">
                <pic:pic xmlns:pic="http://schemas.openxmlformats.org/drawingml/2006/picture">
                  <pic:nvPicPr>
                    <pic:cNvPr id="679293" name="Picture 679293"/>
                    <pic:cNvPicPr/>
                  </pic:nvPicPr>
                  <pic:blipFill>
                    <a:blip r:embed="rId1001"/>
                    <a:stretch>
                      <a:fillRect/>
                    </a:stretch>
                  </pic:blipFill>
                  <pic:spPr>
                    <a:xfrm>
                      <a:off x="0" y="0"/>
                      <a:ext cx="22860" cy="9144"/>
                    </a:xfrm>
                    <a:prstGeom prst="rect">
                      <a:avLst/>
                    </a:prstGeom>
                  </pic:spPr>
                </pic:pic>
              </a:graphicData>
            </a:graphic>
          </wp:inline>
        </w:drawing>
      </w:r>
    </w:p>
    <w:p w14:paraId="66952A0F" w14:textId="77777777" w:rsidR="00053D93" w:rsidRDefault="00260B75">
      <w:pPr>
        <w:spacing w:after="372" w:line="247" w:lineRule="auto"/>
        <w:ind w:left="1757" w:right="14" w:hanging="1584"/>
        <w:jc w:val="both"/>
      </w:pPr>
      <w:r>
        <w:rPr>
          <w:rFonts w:ascii="Times New Roman" w:eastAsia="Times New Roman" w:hAnsi="Times New Roman" w:cs="Times New Roman"/>
          <w:sz w:val="26"/>
        </w:rPr>
        <w:t xml:space="preserve">1 </w:t>
      </w:r>
      <w:r>
        <w:rPr>
          <w:sz w:val="26"/>
        </w:rPr>
        <w:t>de Educación Física -DIGEF- y la Contraloría General de Cuentas; en virtud que, las pruebas presentadas no son suficientes, ya que a pesar de manifestar haber sido nombrada como Coordinadora Financiera de forma interina, a la vez que se</w:t>
      </w:r>
    </w:p>
    <w:tbl>
      <w:tblPr>
        <w:tblStyle w:val="TableGrid"/>
        <w:tblpPr w:vertAnchor="text" w:tblpX="2568" w:tblpY="26"/>
        <w:tblOverlap w:val="never"/>
        <w:tblW w:w="7656" w:type="dxa"/>
        <w:tblInd w:w="0" w:type="dxa"/>
        <w:tblCellMar>
          <w:top w:w="22" w:type="dxa"/>
          <w:left w:w="1788" w:type="dxa"/>
          <w:right w:w="115" w:type="dxa"/>
        </w:tblCellMar>
        <w:tblLook w:val="04A0" w:firstRow="1" w:lastRow="0" w:firstColumn="1" w:lastColumn="0" w:noHBand="0" w:noVBand="1"/>
      </w:tblPr>
      <w:tblGrid>
        <w:gridCol w:w="7656"/>
      </w:tblGrid>
      <w:tr w:rsidR="00053D93" w14:paraId="3F7C5002" w14:textId="77777777">
        <w:trPr>
          <w:trHeight w:val="615"/>
        </w:trPr>
        <w:tc>
          <w:tcPr>
            <w:tcW w:w="7656" w:type="dxa"/>
            <w:tcBorders>
              <w:top w:val="single" w:sz="2" w:space="0" w:color="000000"/>
              <w:left w:val="single" w:sz="2" w:space="0" w:color="000000"/>
              <w:bottom w:val="nil"/>
              <w:right w:val="nil"/>
            </w:tcBorders>
          </w:tcPr>
          <w:p w14:paraId="037B5FB7" w14:textId="77777777" w:rsidR="00053D93" w:rsidRDefault="00260B75">
            <w:pPr>
              <w:ind w:left="828"/>
            </w:pPr>
            <w:r>
              <w:rPr>
                <w:sz w:val="14"/>
              </w:rPr>
              <w:t>MINISTERIO DE EDUCACION</w:t>
            </w:r>
          </w:p>
          <w:p w14:paraId="2F138FED" w14:textId="77777777" w:rsidR="00053D93" w:rsidRDefault="00260B75">
            <w:pPr>
              <w:ind w:left="331"/>
            </w:pPr>
            <w:r>
              <w:rPr>
                <w:sz w:val="14"/>
              </w:rPr>
              <w:t>AUDITORIA FINANCIERA Y DE CUMPLIMIENTO</w:t>
            </w:r>
          </w:p>
          <w:p w14:paraId="1C854387" w14:textId="77777777" w:rsidR="00053D93" w:rsidRDefault="00260B75">
            <w:r>
              <w:rPr>
                <w:sz w:val="14"/>
              </w:rPr>
              <w:t>PERIODO DEL 01 DE ENERO AL 31 OE DICIEMBRE DE 2024</w:t>
            </w:r>
          </w:p>
        </w:tc>
      </w:tr>
    </w:tbl>
    <w:p w14:paraId="1F163EE3" w14:textId="77777777" w:rsidR="00053D93" w:rsidRDefault="00260B75">
      <w:pPr>
        <w:spacing w:after="3"/>
        <w:ind w:left="204" w:hanging="10"/>
      </w:pPr>
      <w:r>
        <w:rPr>
          <w:rFonts w:ascii="Times New Roman" w:eastAsia="Times New Roman" w:hAnsi="Times New Roman" w:cs="Times New Roman"/>
          <w:sz w:val="72"/>
        </w:rPr>
        <w:t xml:space="preserve">1 </w:t>
      </w:r>
      <w:r>
        <w:rPr>
          <w:noProof/>
        </w:rPr>
        <w:drawing>
          <wp:inline distT="0" distB="0" distL="0" distR="0" wp14:anchorId="1614B731" wp14:editId="33C482D5">
            <wp:extent cx="1065276" cy="411480"/>
            <wp:effectExtent l="0" t="0" r="0" b="0"/>
            <wp:docPr id="679364" name="Picture 679364"/>
            <wp:cNvGraphicFramePr/>
            <a:graphic xmlns:a="http://schemas.openxmlformats.org/drawingml/2006/main">
              <a:graphicData uri="http://schemas.openxmlformats.org/drawingml/2006/picture">
                <pic:pic xmlns:pic="http://schemas.openxmlformats.org/drawingml/2006/picture">
                  <pic:nvPicPr>
                    <pic:cNvPr id="679364" name="Picture 679364"/>
                    <pic:cNvPicPr/>
                  </pic:nvPicPr>
                  <pic:blipFill>
                    <a:blip r:embed="rId1002"/>
                    <a:stretch>
                      <a:fillRect/>
                    </a:stretch>
                  </pic:blipFill>
                  <pic:spPr>
                    <a:xfrm>
                      <a:off x="0" y="0"/>
                      <a:ext cx="1065276" cy="411480"/>
                    </a:xfrm>
                    <a:prstGeom prst="rect">
                      <a:avLst/>
                    </a:prstGeom>
                  </pic:spPr>
                </pic:pic>
              </a:graphicData>
            </a:graphic>
          </wp:inline>
        </w:drawing>
      </w:r>
    </w:p>
    <w:p w14:paraId="33773BFE" w14:textId="77777777" w:rsidR="00053D93" w:rsidRDefault="00260B75">
      <w:pPr>
        <w:spacing w:after="210" w:line="265" w:lineRule="auto"/>
        <w:ind w:left="10" w:right="1115" w:hanging="10"/>
        <w:jc w:val="right"/>
      </w:pPr>
      <w:r>
        <w:rPr>
          <w:sz w:val="14"/>
        </w:rPr>
        <w:t xml:space="preserve">EDUCAC'ÓN. </w:t>
      </w:r>
    </w:p>
    <w:p w14:paraId="00455B97" w14:textId="77777777" w:rsidR="00053D93" w:rsidRDefault="00260B75">
      <w:pPr>
        <w:spacing w:after="23"/>
        <w:ind w:left="1706"/>
      </w:pPr>
      <w:r>
        <w:rPr>
          <w:noProof/>
        </w:rPr>
        <mc:AlternateContent>
          <mc:Choice Requires="wpg">
            <w:drawing>
              <wp:inline distT="0" distB="0" distL="0" distR="0" wp14:anchorId="14DBE96B" wp14:editId="53965EA6">
                <wp:extent cx="5385816" cy="13716"/>
                <wp:effectExtent l="0" t="0" r="0" b="0"/>
                <wp:docPr id="2458551" name="Group 2458551"/>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550" name="Shape 2458550"/>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51" style="width:424.08pt;height:1.07999pt;mso-position-horizontal-relative:char;mso-position-vertical-relative:line" coordsize="53858,137">
                <v:shape id="Shape 2458550" style="position:absolute;width:53858;height:137;left:0;top:0;" coordsize="5385816,13716" path="m0,6858l5385816,6858">
                  <v:stroke weight="1.07999pt" endcap="flat" joinstyle="miter" miterlimit="1" on="true" color="#000000"/>
                  <v:fill on="false" color="#000000"/>
                </v:shape>
              </v:group>
            </w:pict>
          </mc:Fallback>
        </mc:AlternateContent>
      </w:r>
    </w:p>
    <w:p w14:paraId="7FD75AF0" w14:textId="77777777" w:rsidR="00053D93" w:rsidRDefault="00260B75">
      <w:pPr>
        <w:spacing w:after="317" w:line="247" w:lineRule="auto"/>
        <w:ind w:left="1584" w:right="14" w:firstLine="137"/>
        <w:jc w:val="both"/>
      </w:pPr>
      <w:r>
        <w:rPr>
          <w:sz w:val="26"/>
        </w:rPr>
        <w:t xml:space="preserve">encontraba como enlace entre la DIGEF y el equipo de auditoría de la Contraloría General de Cuentas, asumiendo ambas responsabilidades; sin embargo, no presentó evidencia documental que demuestre que dicha situación le imposibilitara cumplir con sus funciones de enlace ni documentos mediante los cuales hubiera solicitado apoyo o haya hecho constar formalmente su incapacidad para cumplir en tiempo con los requerimientos de entrega de la información y documentación solicitada; ya que el enlace tiene como función gestionar y asegurar el </w:t>
      </w:r>
      <w:r>
        <w:rPr>
          <w:noProof/>
        </w:rPr>
        <w:drawing>
          <wp:inline distT="0" distB="0" distL="0" distR="0" wp14:anchorId="4AB9E9A9" wp14:editId="5945CCB0">
            <wp:extent cx="18288" cy="13716"/>
            <wp:effectExtent l="0" t="0" r="0" b="0"/>
            <wp:docPr id="683249" name="Picture 683249"/>
            <wp:cNvGraphicFramePr/>
            <a:graphic xmlns:a="http://schemas.openxmlformats.org/drawingml/2006/main">
              <a:graphicData uri="http://schemas.openxmlformats.org/drawingml/2006/picture">
                <pic:pic xmlns:pic="http://schemas.openxmlformats.org/drawingml/2006/picture">
                  <pic:nvPicPr>
                    <pic:cNvPr id="683249" name="Picture 683249"/>
                    <pic:cNvPicPr/>
                  </pic:nvPicPr>
                  <pic:blipFill>
                    <a:blip r:embed="rId1003"/>
                    <a:stretch>
                      <a:fillRect/>
                    </a:stretch>
                  </pic:blipFill>
                  <pic:spPr>
                    <a:xfrm>
                      <a:off x="0" y="0"/>
                      <a:ext cx="18288" cy="13716"/>
                    </a:xfrm>
                    <a:prstGeom prst="rect">
                      <a:avLst/>
                    </a:prstGeom>
                  </pic:spPr>
                </pic:pic>
              </a:graphicData>
            </a:graphic>
          </wp:inline>
        </w:drawing>
      </w:r>
      <w:r>
        <w:rPr>
          <w:sz w:val="26"/>
        </w:rPr>
        <w:t xml:space="preserve"> cumplimiento de los plazos, tomando las acciones pertinentes para evitar atrasos que afecten el proceso de fiscalización; por lo que dicha situación no la exime de responsabilidad en cuanto al incumplimiento del plazo que establece el artículo 7 del Decreto Número 31-2002, Ley Orgánica de la Contraloría General de Cuentas, para la entrega de la información y documentación solicitada, que se detalla en la condición del presente hallazgo, la cual fue requerida con la finalidad de llevar a cabo la fiscalización de la Dirección General de Educación Física -DIGEF- del Ministerio de Educación, durante el ejercicio fiscal 2024.</w:t>
      </w:r>
    </w:p>
    <w:p w14:paraId="03C8940A" w14:textId="77777777" w:rsidR="00053D93" w:rsidRDefault="00260B75">
      <w:pPr>
        <w:spacing w:after="312" w:line="247" w:lineRule="auto"/>
        <w:ind w:left="1742" w:right="14" w:firstLine="4"/>
        <w:jc w:val="both"/>
      </w:pPr>
      <w:r>
        <w:rPr>
          <w:sz w:val="26"/>
        </w:rPr>
        <w:t>El hallazgo se notificó con el número 6 y en el presente informe le corresponde el número 5.</w:t>
      </w:r>
    </w:p>
    <w:p w14:paraId="40E4063F" w14:textId="77777777" w:rsidR="00053D93" w:rsidRDefault="00260B75">
      <w:pPr>
        <w:spacing w:after="18" w:line="248" w:lineRule="auto"/>
        <w:ind w:left="1709" w:hanging="3"/>
        <w:jc w:val="both"/>
      </w:pPr>
      <w:r>
        <w:rPr>
          <w:sz w:val="28"/>
        </w:rPr>
        <w:t>Acciones legales</w:t>
      </w:r>
    </w:p>
    <w:p w14:paraId="06D064B9" w14:textId="77777777" w:rsidR="00053D93" w:rsidRDefault="00260B75">
      <w:pPr>
        <w:spacing w:after="289" w:line="247" w:lineRule="auto"/>
        <w:ind w:left="1735" w:right="14" w:firstLine="4"/>
        <w:jc w:val="both"/>
      </w:pPr>
      <w:r>
        <w:rPr>
          <w:sz w:val="26"/>
        </w:rPr>
        <w:t>Sanción económica de conformidad con el Decreto 31-2002, del Congreso de la República, Ley Orgánica de la Contraloría General de Cuentas, reformada por el Decreto 13-2013; artículo 39, Numeral 12, para:</w:t>
      </w:r>
    </w:p>
    <w:p w14:paraId="03B4CBC7" w14:textId="77777777" w:rsidR="00053D93" w:rsidRDefault="00260B75">
      <w:pPr>
        <w:tabs>
          <w:tab w:val="center" w:pos="5296"/>
          <w:tab w:val="right" w:pos="10224"/>
        </w:tabs>
        <w:spacing w:after="0" w:line="265" w:lineRule="auto"/>
      </w:pPr>
      <w:r>
        <w:rPr>
          <w:sz w:val="16"/>
        </w:rPr>
        <w:tab/>
        <w:t>Nombre</w:t>
      </w:r>
      <w:r>
        <w:rPr>
          <w:sz w:val="16"/>
        </w:rPr>
        <w:tab/>
        <w:t>Valor en Quetzales</w:t>
      </w:r>
    </w:p>
    <w:tbl>
      <w:tblPr>
        <w:tblStyle w:val="TableGrid"/>
        <w:tblW w:w="8431" w:type="dxa"/>
        <w:tblInd w:w="1742" w:type="dxa"/>
        <w:tblCellMar>
          <w:top w:w="21" w:type="dxa"/>
        </w:tblCellMar>
        <w:tblLook w:val="04A0" w:firstRow="1" w:lastRow="0" w:firstColumn="1" w:lastColumn="0" w:noHBand="0" w:noVBand="1"/>
      </w:tblPr>
      <w:tblGrid>
        <w:gridCol w:w="3031"/>
        <w:gridCol w:w="3600"/>
        <w:gridCol w:w="1800"/>
      </w:tblGrid>
      <w:tr w:rsidR="00053D93" w14:paraId="0AC8892F" w14:textId="77777777">
        <w:trPr>
          <w:trHeight w:val="186"/>
        </w:trPr>
        <w:tc>
          <w:tcPr>
            <w:tcW w:w="3031" w:type="dxa"/>
            <w:tcBorders>
              <w:top w:val="nil"/>
              <w:left w:val="nil"/>
              <w:bottom w:val="nil"/>
              <w:right w:val="nil"/>
            </w:tcBorders>
          </w:tcPr>
          <w:p w14:paraId="49FA381B" w14:textId="77777777" w:rsidR="00053D93" w:rsidRDefault="00260B75">
            <w:r>
              <w:rPr>
                <w:sz w:val="16"/>
              </w:rPr>
              <w:t>COORDINADORA FINANCIERA A].</w:t>
            </w:r>
          </w:p>
        </w:tc>
        <w:tc>
          <w:tcPr>
            <w:tcW w:w="3600" w:type="dxa"/>
            <w:tcBorders>
              <w:top w:val="nil"/>
              <w:left w:val="nil"/>
              <w:bottom w:val="nil"/>
              <w:right w:val="nil"/>
            </w:tcBorders>
          </w:tcPr>
          <w:p w14:paraId="1F474119" w14:textId="77777777" w:rsidR="00053D93" w:rsidRDefault="00260B75">
            <w:pPr>
              <w:ind w:left="274"/>
            </w:pPr>
            <w:r>
              <w:rPr>
                <w:sz w:val="16"/>
              </w:rPr>
              <w:t>DORCAS MARLENE GARCIA CHACLAN</w:t>
            </w:r>
          </w:p>
        </w:tc>
        <w:tc>
          <w:tcPr>
            <w:tcW w:w="1800" w:type="dxa"/>
            <w:tcBorders>
              <w:top w:val="nil"/>
              <w:left w:val="nil"/>
              <w:bottom w:val="nil"/>
              <w:right w:val="nil"/>
            </w:tcBorders>
          </w:tcPr>
          <w:p w14:paraId="0B991508" w14:textId="77777777" w:rsidR="00053D93" w:rsidRDefault="00260B75">
            <w:pPr>
              <w:jc w:val="right"/>
            </w:pPr>
            <w:r>
              <w:rPr>
                <w:rFonts w:ascii="Times New Roman" w:eastAsia="Times New Roman" w:hAnsi="Times New Roman" w:cs="Times New Roman"/>
                <w:sz w:val="16"/>
              </w:rPr>
              <w:t>6.759.00</w:t>
            </w:r>
          </w:p>
        </w:tc>
      </w:tr>
      <w:tr w:rsidR="00053D93" w14:paraId="08D77491" w14:textId="77777777">
        <w:trPr>
          <w:trHeight w:val="223"/>
        </w:trPr>
        <w:tc>
          <w:tcPr>
            <w:tcW w:w="3031" w:type="dxa"/>
            <w:tcBorders>
              <w:top w:val="nil"/>
              <w:left w:val="nil"/>
              <w:bottom w:val="nil"/>
              <w:right w:val="nil"/>
            </w:tcBorders>
          </w:tcPr>
          <w:p w14:paraId="4A43892B" w14:textId="77777777" w:rsidR="00053D93" w:rsidRDefault="00260B75">
            <w:pPr>
              <w:ind w:left="7"/>
            </w:pPr>
            <w:r>
              <w:rPr>
                <w:sz w:val="18"/>
              </w:rPr>
              <w:t>DIRECTOR GENERAL EN FUNCIONES</w:t>
            </w:r>
          </w:p>
        </w:tc>
        <w:tc>
          <w:tcPr>
            <w:tcW w:w="3600" w:type="dxa"/>
            <w:tcBorders>
              <w:top w:val="nil"/>
              <w:left w:val="nil"/>
              <w:bottom w:val="nil"/>
              <w:right w:val="nil"/>
            </w:tcBorders>
          </w:tcPr>
          <w:p w14:paraId="1BF22033" w14:textId="77777777" w:rsidR="00053D93" w:rsidRDefault="00260B75">
            <w:pPr>
              <w:ind w:left="274"/>
            </w:pPr>
            <w:r>
              <w:rPr>
                <w:sz w:val="18"/>
              </w:rPr>
              <w:t>EDGAR ESTUARDO RODRIGUEZ LÓPEZ</w:t>
            </w:r>
          </w:p>
        </w:tc>
        <w:tc>
          <w:tcPr>
            <w:tcW w:w="1800" w:type="dxa"/>
            <w:tcBorders>
              <w:top w:val="nil"/>
              <w:left w:val="nil"/>
              <w:bottom w:val="nil"/>
              <w:right w:val="nil"/>
            </w:tcBorders>
          </w:tcPr>
          <w:p w14:paraId="32C9F562" w14:textId="77777777" w:rsidR="00053D93" w:rsidRDefault="00260B75">
            <w:pPr>
              <w:jc w:val="right"/>
            </w:pPr>
            <w:r>
              <w:rPr>
                <w:rFonts w:ascii="Times New Roman" w:eastAsia="Times New Roman" w:hAnsi="Times New Roman" w:cs="Times New Roman"/>
                <w:sz w:val="14"/>
              </w:rPr>
              <w:t>16.000.00</w:t>
            </w:r>
          </w:p>
        </w:tc>
      </w:tr>
      <w:tr w:rsidR="00053D93" w14:paraId="202A2435" w14:textId="77777777">
        <w:trPr>
          <w:trHeight w:val="175"/>
        </w:trPr>
        <w:tc>
          <w:tcPr>
            <w:tcW w:w="3031" w:type="dxa"/>
            <w:tcBorders>
              <w:top w:val="nil"/>
              <w:left w:val="nil"/>
              <w:bottom w:val="nil"/>
              <w:right w:val="nil"/>
            </w:tcBorders>
          </w:tcPr>
          <w:p w14:paraId="4C9F887C" w14:textId="77777777" w:rsidR="00053D93" w:rsidRDefault="00260B75">
            <w:r>
              <w:rPr>
                <w:sz w:val="16"/>
              </w:rPr>
              <w:t>Total</w:t>
            </w:r>
          </w:p>
        </w:tc>
        <w:tc>
          <w:tcPr>
            <w:tcW w:w="3600" w:type="dxa"/>
            <w:tcBorders>
              <w:top w:val="nil"/>
              <w:left w:val="nil"/>
              <w:bottom w:val="nil"/>
              <w:right w:val="nil"/>
            </w:tcBorders>
          </w:tcPr>
          <w:p w14:paraId="1F43E486" w14:textId="77777777" w:rsidR="00053D93" w:rsidRDefault="00053D93"/>
        </w:tc>
        <w:tc>
          <w:tcPr>
            <w:tcW w:w="1800" w:type="dxa"/>
            <w:tcBorders>
              <w:top w:val="nil"/>
              <w:left w:val="nil"/>
              <w:bottom w:val="nil"/>
              <w:right w:val="nil"/>
            </w:tcBorders>
          </w:tcPr>
          <w:p w14:paraId="0AA2BC9A" w14:textId="77777777" w:rsidR="00053D93" w:rsidRDefault="00260B75">
            <w:pPr>
              <w:jc w:val="right"/>
            </w:pPr>
            <w:r>
              <w:rPr>
                <w:rFonts w:ascii="Courier New" w:eastAsia="Courier New" w:hAnsi="Courier New" w:cs="Courier New"/>
                <w:sz w:val="12"/>
              </w:rPr>
              <w:t>Q. 22,769.00</w:t>
            </w:r>
          </w:p>
        </w:tc>
      </w:tr>
    </w:tbl>
    <w:p w14:paraId="0BBBCAF1" w14:textId="77777777" w:rsidR="00053D93" w:rsidRDefault="00260B75">
      <w:pPr>
        <w:spacing w:after="310" w:line="248" w:lineRule="auto"/>
        <w:ind w:left="1709" w:hanging="3"/>
        <w:jc w:val="both"/>
      </w:pPr>
      <w:r>
        <w:rPr>
          <w:sz w:val="28"/>
        </w:rPr>
        <w:t>Hallazgo No. 6</w:t>
      </w:r>
    </w:p>
    <w:p w14:paraId="3E65302E" w14:textId="77777777" w:rsidR="00053D93" w:rsidRDefault="00260B75">
      <w:pPr>
        <w:spacing w:after="299" w:line="248" w:lineRule="auto"/>
        <w:ind w:left="1709" w:hanging="3"/>
        <w:jc w:val="both"/>
      </w:pPr>
      <w:r>
        <w:rPr>
          <w:sz w:val="28"/>
        </w:rPr>
        <w:lastRenderedPageBreak/>
        <w:t>Falta de ejecución presupuestaria y gestión oportuna en la readecuación de recursos</w:t>
      </w:r>
    </w:p>
    <w:p w14:paraId="4AF62A21" w14:textId="77777777" w:rsidR="00053D93" w:rsidRDefault="00260B75">
      <w:pPr>
        <w:spacing w:after="18" w:line="248" w:lineRule="auto"/>
        <w:ind w:left="1709" w:hanging="3"/>
        <w:jc w:val="both"/>
      </w:pPr>
      <w:r>
        <w:rPr>
          <w:sz w:val="28"/>
        </w:rPr>
        <w:t>Condición</w:t>
      </w:r>
    </w:p>
    <w:p w14:paraId="60BB1086" w14:textId="77777777" w:rsidR="00053D93" w:rsidRDefault="00260B75">
      <w:pPr>
        <w:spacing w:after="17" w:line="247" w:lineRule="auto"/>
        <w:ind w:left="1728" w:right="14" w:firstLine="4"/>
        <w:jc w:val="both"/>
      </w:pPr>
      <w:r>
        <w:rPr>
          <w:sz w:val="26"/>
        </w:rPr>
        <w:t xml:space="preserve">En el Ministerio de Educación, Unidad Ejecutora 109 Dirección General de Educación Física -DIGEF-, al evaluar la Ejecución Presupuestaria del Ejercicio Fiscal 2024; se constató que, al 31 de diciembre de 2024, la DIGEF solo ejecutó el 36.08 </w:t>
      </w:r>
      <w:r>
        <w:rPr>
          <w:sz w:val="26"/>
          <w:vertAlign w:val="superscript"/>
        </w:rPr>
        <w:t>0</w:t>
      </w:r>
      <w:r>
        <w:rPr>
          <w:sz w:val="26"/>
        </w:rPr>
        <w:t>/0 del presupuesto asignado al Programa 04 Actividades comunes a los programas de primaria, básico y diversificado (PRG. 12, 13 y 14), lo que equivale a una ejecución de Q 147,164,190.94; dejando sin ejecutar Q260,771 ,368.06, lo que representa un 63.92% del presupuesto vigente; de conformidad a con las actividades planificadas en el Plan Operativo Anual -POA- del 2024, como se detalla a continuación:</w:t>
      </w:r>
    </w:p>
    <w:tbl>
      <w:tblPr>
        <w:tblStyle w:val="TableGrid"/>
        <w:tblW w:w="9432" w:type="dxa"/>
        <w:tblInd w:w="778" w:type="dxa"/>
        <w:tblLook w:val="04A0" w:firstRow="1" w:lastRow="0" w:firstColumn="1" w:lastColumn="0" w:noHBand="0" w:noVBand="1"/>
      </w:tblPr>
      <w:tblGrid>
        <w:gridCol w:w="1230"/>
        <w:gridCol w:w="8216"/>
      </w:tblGrid>
      <w:tr w:rsidR="00053D93" w14:paraId="5C9796F4" w14:textId="77777777">
        <w:trPr>
          <w:trHeight w:val="641"/>
        </w:trPr>
        <w:tc>
          <w:tcPr>
            <w:tcW w:w="1723" w:type="dxa"/>
            <w:tcBorders>
              <w:top w:val="nil"/>
              <w:left w:val="nil"/>
              <w:bottom w:val="nil"/>
              <w:right w:val="nil"/>
            </w:tcBorders>
          </w:tcPr>
          <w:p w14:paraId="0375CB09" w14:textId="77777777" w:rsidR="00053D93" w:rsidRDefault="00260B75">
            <w:r>
              <w:rPr>
                <w:noProof/>
              </w:rPr>
              <w:drawing>
                <wp:inline distT="0" distB="0" distL="0" distR="0" wp14:anchorId="65CA6309" wp14:editId="20464E14">
                  <wp:extent cx="1065276" cy="406908"/>
                  <wp:effectExtent l="0" t="0" r="0" b="0"/>
                  <wp:docPr id="683354" name="Picture 683354"/>
                  <wp:cNvGraphicFramePr/>
                  <a:graphic xmlns:a="http://schemas.openxmlformats.org/drawingml/2006/main">
                    <a:graphicData uri="http://schemas.openxmlformats.org/drawingml/2006/picture">
                      <pic:pic xmlns:pic="http://schemas.openxmlformats.org/drawingml/2006/picture">
                        <pic:nvPicPr>
                          <pic:cNvPr id="683354" name="Picture 683354"/>
                          <pic:cNvPicPr/>
                        </pic:nvPicPr>
                        <pic:blipFill>
                          <a:blip r:embed="rId1004"/>
                          <a:stretch>
                            <a:fillRect/>
                          </a:stretch>
                        </pic:blipFill>
                        <pic:spPr>
                          <a:xfrm>
                            <a:off x="0" y="0"/>
                            <a:ext cx="1065276" cy="406908"/>
                          </a:xfrm>
                          <a:prstGeom prst="rect">
                            <a:avLst/>
                          </a:prstGeom>
                        </pic:spPr>
                      </pic:pic>
                    </a:graphicData>
                  </a:graphic>
                </wp:inline>
              </w:drawing>
            </w:r>
          </w:p>
        </w:tc>
        <w:tc>
          <w:tcPr>
            <w:tcW w:w="7709" w:type="dxa"/>
            <w:tcBorders>
              <w:top w:val="nil"/>
              <w:left w:val="nil"/>
              <w:bottom w:val="nil"/>
              <w:right w:val="nil"/>
            </w:tcBorders>
          </w:tcPr>
          <w:p w14:paraId="58FAD064" w14:textId="77777777" w:rsidR="00053D93" w:rsidRDefault="00053D93">
            <w:pPr>
              <w:ind w:left="-2789" w:right="10498"/>
            </w:pPr>
          </w:p>
          <w:tbl>
            <w:tblPr>
              <w:tblStyle w:val="TableGrid"/>
              <w:tblW w:w="7664" w:type="dxa"/>
              <w:tblInd w:w="45" w:type="dxa"/>
              <w:tblCellMar>
                <w:top w:w="19" w:type="dxa"/>
                <w:left w:w="1781" w:type="dxa"/>
                <w:right w:w="115" w:type="dxa"/>
              </w:tblCellMar>
              <w:tblLook w:val="04A0" w:firstRow="1" w:lastRow="0" w:firstColumn="1" w:lastColumn="0" w:noHBand="0" w:noVBand="1"/>
            </w:tblPr>
            <w:tblGrid>
              <w:gridCol w:w="7664"/>
            </w:tblGrid>
            <w:tr w:rsidR="00053D93" w14:paraId="4EB92E0F" w14:textId="77777777">
              <w:trPr>
                <w:trHeight w:val="43"/>
              </w:trPr>
              <w:tc>
                <w:tcPr>
                  <w:tcW w:w="7664" w:type="dxa"/>
                  <w:tcBorders>
                    <w:top w:val="nil"/>
                    <w:left w:val="single" w:sz="2" w:space="0" w:color="000000"/>
                    <w:bottom w:val="single" w:sz="2" w:space="0" w:color="000000"/>
                    <w:right w:val="nil"/>
                  </w:tcBorders>
                </w:tcPr>
                <w:p w14:paraId="2919680B" w14:textId="77777777" w:rsidR="00053D93" w:rsidRDefault="00053D93"/>
              </w:tc>
            </w:tr>
            <w:tr w:rsidR="00053D93" w14:paraId="7F1DA779" w14:textId="77777777">
              <w:trPr>
                <w:trHeight w:val="598"/>
              </w:trPr>
              <w:tc>
                <w:tcPr>
                  <w:tcW w:w="7664" w:type="dxa"/>
                  <w:tcBorders>
                    <w:top w:val="single" w:sz="2" w:space="0" w:color="000000"/>
                    <w:left w:val="single" w:sz="2" w:space="0" w:color="000000"/>
                    <w:bottom w:val="nil"/>
                    <w:right w:val="nil"/>
                  </w:tcBorders>
                </w:tcPr>
                <w:p w14:paraId="3128DAE7" w14:textId="77777777" w:rsidR="00053D93" w:rsidRDefault="00260B75">
                  <w:pPr>
                    <w:ind w:left="835"/>
                  </w:pPr>
                  <w:r>
                    <w:rPr>
                      <w:sz w:val="14"/>
                    </w:rPr>
                    <w:t>MINISTERIO DE EDUCACION</w:t>
                  </w:r>
                </w:p>
                <w:p w14:paraId="0762A783" w14:textId="77777777" w:rsidR="00053D93" w:rsidRDefault="00260B75">
                  <w:pPr>
                    <w:ind w:left="331"/>
                  </w:pPr>
                  <w:r>
                    <w:rPr>
                      <w:sz w:val="14"/>
                    </w:rPr>
                    <w:t>AUDITORIA FINANCIERA Y DE CUMPLIMIENTO</w:t>
                  </w:r>
                </w:p>
                <w:p w14:paraId="6EC10D07" w14:textId="77777777" w:rsidR="00053D93" w:rsidRDefault="00260B75">
                  <w:r>
                    <w:rPr>
                      <w:sz w:val="14"/>
                    </w:rPr>
                    <w:t>PERIODO DEL 01 DE ENERO AL 31 OE DICIEMBRE DE 2024</w:t>
                  </w:r>
                </w:p>
              </w:tc>
            </w:tr>
          </w:tbl>
          <w:p w14:paraId="2FAEB662" w14:textId="77777777" w:rsidR="00053D93" w:rsidRDefault="00053D93"/>
        </w:tc>
      </w:tr>
    </w:tbl>
    <w:p w14:paraId="3E87082D" w14:textId="77777777" w:rsidR="00053D93" w:rsidRDefault="00260B75">
      <w:pPr>
        <w:spacing w:after="120" w:line="265" w:lineRule="auto"/>
        <w:ind w:left="3135" w:hanging="10"/>
      </w:pPr>
      <w:r>
        <w:rPr>
          <w:sz w:val="16"/>
        </w:rPr>
        <w:t xml:space="preserve">oe </w:t>
      </w:r>
    </w:p>
    <w:p w14:paraId="5D5171A6" w14:textId="77777777" w:rsidR="00053D93" w:rsidRDefault="00260B75">
      <w:pPr>
        <w:spacing w:after="340"/>
        <w:ind w:left="1692"/>
      </w:pPr>
      <w:r>
        <w:rPr>
          <w:noProof/>
        </w:rPr>
        <mc:AlternateContent>
          <mc:Choice Requires="wpg">
            <w:drawing>
              <wp:inline distT="0" distB="0" distL="0" distR="0" wp14:anchorId="442E07C4" wp14:editId="34ECD461">
                <wp:extent cx="5385816" cy="13716"/>
                <wp:effectExtent l="0" t="0" r="0" b="0"/>
                <wp:docPr id="2458553" name="Group 2458553"/>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552" name="Shape 2458552"/>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53" style="width:424.08pt;height:1.07999pt;mso-position-horizontal-relative:char;mso-position-vertical-relative:line" coordsize="53858,137">
                <v:shape id="Shape 2458552" style="position:absolute;width:53858;height:137;left:0;top:0;" coordsize="5385816,13716" path="m0,6858l5385816,6858">
                  <v:stroke weight="1.07999pt" endcap="flat" joinstyle="miter" miterlimit="1" on="true" color="#000000"/>
                  <v:fill on="false" color="#000000"/>
                </v:shape>
              </v:group>
            </w:pict>
          </mc:Fallback>
        </mc:AlternateContent>
      </w:r>
    </w:p>
    <w:p w14:paraId="1881DC34" w14:textId="77777777" w:rsidR="00053D93" w:rsidRDefault="00260B75">
      <w:pPr>
        <w:spacing w:after="17" w:line="247" w:lineRule="auto"/>
        <w:ind w:left="1771" w:right="14" w:firstLine="4"/>
        <w:jc w:val="both"/>
      </w:pPr>
      <w:r>
        <w:rPr>
          <w:sz w:val="26"/>
        </w:rPr>
        <w:t>Ejecución del Presupuesto General de Ingresos y Egresos de la Unidad Ejecutora</w:t>
      </w:r>
    </w:p>
    <w:p w14:paraId="48E963C6" w14:textId="77777777" w:rsidR="00053D93" w:rsidRDefault="00260B75">
      <w:pPr>
        <w:spacing w:after="4" w:line="253" w:lineRule="auto"/>
        <w:ind w:left="1730" w:right="93" w:hanging="10"/>
        <w:jc w:val="center"/>
      </w:pPr>
      <w:r>
        <w:rPr>
          <w:sz w:val="26"/>
        </w:rPr>
        <w:t>109 Dirección General de Educación Física -DIGEF- por programa</w:t>
      </w:r>
    </w:p>
    <w:p w14:paraId="3CA57534" w14:textId="77777777" w:rsidR="00053D93" w:rsidRDefault="00260B75">
      <w:pPr>
        <w:spacing w:after="4" w:line="253" w:lineRule="auto"/>
        <w:ind w:left="1730" w:right="100" w:hanging="10"/>
        <w:jc w:val="center"/>
      </w:pPr>
      <w:r>
        <w:rPr>
          <w:sz w:val="26"/>
        </w:rPr>
        <w:t>Del 01 de enero al 31 de diciembre de 2024</w:t>
      </w:r>
    </w:p>
    <w:p w14:paraId="328E104D" w14:textId="77777777" w:rsidR="00053D93" w:rsidRDefault="00260B75">
      <w:pPr>
        <w:spacing w:after="4" w:line="253" w:lineRule="auto"/>
        <w:ind w:left="1730" w:right="93" w:hanging="10"/>
        <w:jc w:val="center"/>
      </w:pPr>
      <w:r>
        <w:rPr>
          <w:sz w:val="26"/>
        </w:rPr>
        <w:t>(Cifras expresadas en quetzales)</w:t>
      </w:r>
    </w:p>
    <w:tbl>
      <w:tblPr>
        <w:tblStyle w:val="TableGrid"/>
        <w:tblW w:w="8453" w:type="dxa"/>
        <w:tblInd w:w="1714" w:type="dxa"/>
        <w:tblCellMar>
          <w:top w:w="32" w:type="dxa"/>
          <w:left w:w="72" w:type="dxa"/>
        </w:tblCellMar>
        <w:tblLook w:val="04A0" w:firstRow="1" w:lastRow="0" w:firstColumn="1" w:lastColumn="0" w:noHBand="0" w:noVBand="1"/>
      </w:tblPr>
      <w:tblGrid>
        <w:gridCol w:w="810"/>
        <w:gridCol w:w="1126"/>
        <w:gridCol w:w="1157"/>
        <w:gridCol w:w="1071"/>
        <w:gridCol w:w="1149"/>
        <w:gridCol w:w="1157"/>
        <w:gridCol w:w="1155"/>
        <w:gridCol w:w="828"/>
      </w:tblGrid>
      <w:tr w:rsidR="00053D93" w14:paraId="42A85904" w14:textId="77777777">
        <w:trPr>
          <w:trHeight w:val="576"/>
        </w:trPr>
        <w:tc>
          <w:tcPr>
            <w:tcW w:w="811" w:type="dxa"/>
            <w:tcBorders>
              <w:top w:val="single" w:sz="2" w:space="0" w:color="000000"/>
              <w:left w:val="single" w:sz="2" w:space="0" w:color="000000"/>
              <w:bottom w:val="single" w:sz="2" w:space="0" w:color="000000"/>
              <w:right w:val="single" w:sz="2" w:space="0" w:color="000000"/>
            </w:tcBorders>
          </w:tcPr>
          <w:p w14:paraId="0F142D99" w14:textId="77777777" w:rsidR="00053D93" w:rsidRDefault="00260B75">
            <w:pPr>
              <w:jc w:val="both"/>
            </w:pPr>
            <w:r>
              <w:rPr>
                <w:sz w:val="18"/>
              </w:rPr>
              <w:t xml:space="preserve">Programa </w:t>
            </w:r>
          </w:p>
        </w:tc>
        <w:tc>
          <w:tcPr>
            <w:tcW w:w="1126" w:type="dxa"/>
            <w:tcBorders>
              <w:top w:val="single" w:sz="2" w:space="0" w:color="000000"/>
              <w:left w:val="single" w:sz="2" w:space="0" w:color="000000"/>
              <w:bottom w:val="single" w:sz="2" w:space="0" w:color="000000"/>
              <w:right w:val="single" w:sz="2" w:space="0" w:color="000000"/>
            </w:tcBorders>
          </w:tcPr>
          <w:p w14:paraId="1425EEF9" w14:textId="77777777" w:rsidR="00053D93" w:rsidRDefault="00260B75">
            <w:pPr>
              <w:ind w:right="84"/>
              <w:jc w:val="center"/>
            </w:pPr>
            <w:r>
              <w:rPr>
                <w:sz w:val="18"/>
              </w:rPr>
              <w:t>Descripción</w:t>
            </w:r>
          </w:p>
        </w:tc>
        <w:tc>
          <w:tcPr>
            <w:tcW w:w="1157" w:type="dxa"/>
            <w:tcBorders>
              <w:top w:val="single" w:sz="2" w:space="0" w:color="000000"/>
              <w:left w:val="single" w:sz="2" w:space="0" w:color="000000"/>
              <w:bottom w:val="single" w:sz="2" w:space="0" w:color="000000"/>
              <w:right w:val="single" w:sz="2" w:space="0" w:color="000000"/>
            </w:tcBorders>
          </w:tcPr>
          <w:p w14:paraId="0E4D7644" w14:textId="77777777" w:rsidR="00053D93" w:rsidRDefault="00260B75">
            <w:pPr>
              <w:ind w:right="91"/>
              <w:jc w:val="center"/>
            </w:pPr>
            <w:r>
              <w:rPr>
                <w:sz w:val="18"/>
              </w:rPr>
              <w:t>Asignado</w:t>
            </w:r>
          </w:p>
        </w:tc>
        <w:tc>
          <w:tcPr>
            <w:tcW w:w="1071" w:type="dxa"/>
            <w:tcBorders>
              <w:top w:val="single" w:sz="2" w:space="0" w:color="000000"/>
              <w:left w:val="single" w:sz="2" w:space="0" w:color="000000"/>
              <w:bottom w:val="single" w:sz="2" w:space="0" w:color="000000"/>
              <w:right w:val="single" w:sz="2" w:space="0" w:color="000000"/>
            </w:tcBorders>
          </w:tcPr>
          <w:p w14:paraId="4CBEBDD5" w14:textId="77777777" w:rsidR="00053D93" w:rsidRDefault="00260B75">
            <w:pPr>
              <w:ind w:right="79"/>
              <w:jc w:val="center"/>
            </w:pPr>
            <w:r>
              <w:rPr>
                <w:sz w:val="16"/>
              </w:rPr>
              <w:t>Modificado</w:t>
            </w:r>
          </w:p>
        </w:tc>
        <w:tc>
          <w:tcPr>
            <w:tcW w:w="1149" w:type="dxa"/>
            <w:tcBorders>
              <w:top w:val="single" w:sz="2" w:space="0" w:color="000000"/>
              <w:left w:val="single" w:sz="2" w:space="0" w:color="000000"/>
              <w:bottom w:val="single" w:sz="2" w:space="0" w:color="000000"/>
              <w:right w:val="single" w:sz="2" w:space="0" w:color="000000"/>
            </w:tcBorders>
          </w:tcPr>
          <w:p w14:paraId="4C8577E2" w14:textId="77777777" w:rsidR="00053D93" w:rsidRDefault="00260B75">
            <w:pPr>
              <w:ind w:right="96"/>
              <w:jc w:val="center"/>
            </w:pPr>
            <w:r>
              <w:rPr>
                <w:sz w:val="16"/>
              </w:rPr>
              <w:t>Vigente</w:t>
            </w:r>
          </w:p>
        </w:tc>
        <w:tc>
          <w:tcPr>
            <w:tcW w:w="1157" w:type="dxa"/>
            <w:tcBorders>
              <w:top w:val="single" w:sz="2" w:space="0" w:color="000000"/>
              <w:left w:val="single" w:sz="2" w:space="0" w:color="000000"/>
              <w:bottom w:val="single" w:sz="2" w:space="0" w:color="000000"/>
              <w:right w:val="single" w:sz="2" w:space="0" w:color="000000"/>
            </w:tcBorders>
          </w:tcPr>
          <w:p w14:paraId="3754FB55" w14:textId="77777777" w:rsidR="00053D93" w:rsidRDefault="00260B75">
            <w:pPr>
              <w:ind w:right="77"/>
              <w:jc w:val="center"/>
            </w:pPr>
            <w:r>
              <w:rPr>
                <w:sz w:val="18"/>
              </w:rPr>
              <w:t>Devengado</w:t>
            </w:r>
          </w:p>
        </w:tc>
        <w:tc>
          <w:tcPr>
            <w:tcW w:w="1155" w:type="dxa"/>
            <w:tcBorders>
              <w:top w:val="single" w:sz="2" w:space="0" w:color="000000"/>
              <w:left w:val="single" w:sz="2" w:space="0" w:color="000000"/>
              <w:bottom w:val="single" w:sz="2" w:space="0" w:color="000000"/>
              <w:right w:val="single" w:sz="2" w:space="0" w:color="000000"/>
            </w:tcBorders>
          </w:tcPr>
          <w:p w14:paraId="523ACABD" w14:textId="77777777" w:rsidR="00053D93" w:rsidRDefault="00260B75">
            <w:pPr>
              <w:ind w:left="190" w:hanging="22"/>
            </w:pPr>
            <w:r>
              <w:rPr>
                <w:sz w:val="18"/>
              </w:rPr>
              <w:t>Saldo por devengar</w:t>
            </w:r>
          </w:p>
        </w:tc>
        <w:tc>
          <w:tcPr>
            <w:tcW w:w="828" w:type="dxa"/>
            <w:tcBorders>
              <w:top w:val="single" w:sz="2" w:space="0" w:color="000000"/>
              <w:left w:val="single" w:sz="2" w:space="0" w:color="000000"/>
              <w:bottom w:val="single" w:sz="2" w:space="0" w:color="000000"/>
              <w:right w:val="single" w:sz="2" w:space="0" w:color="000000"/>
            </w:tcBorders>
            <w:vAlign w:val="center"/>
          </w:tcPr>
          <w:p w14:paraId="34808CDA" w14:textId="77777777" w:rsidR="00053D93" w:rsidRDefault="00260B75">
            <w:pPr>
              <w:ind w:left="14"/>
            </w:pPr>
            <w:r>
              <w:rPr>
                <w:sz w:val="18"/>
              </w:rPr>
              <w:t>Ejecución</w:t>
            </w:r>
          </w:p>
        </w:tc>
      </w:tr>
      <w:tr w:rsidR="00053D93" w14:paraId="21495D47" w14:textId="77777777">
        <w:trPr>
          <w:trHeight w:val="1495"/>
        </w:trPr>
        <w:tc>
          <w:tcPr>
            <w:tcW w:w="811" w:type="dxa"/>
            <w:tcBorders>
              <w:top w:val="single" w:sz="2" w:space="0" w:color="000000"/>
              <w:left w:val="single" w:sz="2" w:space="0" w:color="000000"/>
              <w:bottom w:val="single" w:sz="2" w:space="0" w:color="000000"/>
              <w:right w:val="single" w:sz="2" w:space="0" w:color="000000"/>
            </w:tcBorders>
          </w:tcPr>
          <w:p w14:paraId="4F6BD5C7" w14:textId="77777777" w:rsidR="00053D93" w:rsidRDefault="00260B75">
            <w:pPr>
              <w:ind w:right="91"/>
              <w:jc w:val="center"/>
            </w:pPr>
            <w:r>
              <w:rPr>
                <w:rFonts w:ascii="Times New Roman" w:eastAsia="Times New Roman" w:hAnsi="Times New Roman" w:cs="Times New Roman"/>
                <w:sz w:val="16"/>
              </w:rPr>
              <w:t>4</w:t>
            </w:r>
          </w:p>
        </w:tc>
        <w:tc>
          <w:tcPr>
            <w:tcW w:w="1126" w:type="dxa"/>
            <w:tcBorders>
              <w:top w:val="single" w:sz="2" w:space="0" w:color="000000"/>
              <w:left w:val="single" w:sz="2" w:space="0" w:color="000000"/>
              <w:bottom w:val="single" w:sz="2" w:space="0" w:color="000000"/>
              <w:right w:val="single" w:sz="2" w:space="0" w:color="000000"/>
            </w:tcBorders>
            <w:vAlign w:val="bottom"/>
          </w:tcPr>
          <w:p w14:paraId="76F51FA3" w14:textId="77777777" w:rsidR="00053D93" w:rsidRDefault="00260B75">
            <w:pPr>
              <w:spacing w:after="13" w:line="226" w:lineRule="auto"/>
              <w:ind w:left="3" w:right="72"/>
              <w:jc w:val="both"/>
            </w:pPr>
            <w:r>
              <w:rPr>
                <w:sz w:val="16"/>
              </w:rPr>
              <w:t>Actividades comunes a tos programas de primaria, básico diversificado (PRG. 12, 13 y</w:t>
            </w:r>
          </w:p>
          <w:p w14:paraId="34CBA315" w14:textId="77777777" w:rsidR="00053D93" w:rsidRDefault="00260B75">
            <w:pPr>
              <w:ind w:left="24"/>
            </w:pPr>
            <w:r>
              <w:rPr>
                <w:rFonts w:ascii="Times New Roman" w:eastAsia="Times New Roman" w:hAnsi="Times New Roman" w:cs="Times New Roman"/>
                <w:sz w:val="16"/>
              </w:rPr>
              <w:t>14)</w:t>
            </w:r>
          </w:p>
        </w:tc>
        <w:tc>
          <w:tcPr>
            <w:tcW w:w="1157" w:type="dxa"/>
            <w:tcBorders>
              <w:top w:val="single" w:sz="2" w:space="0" w:color="000000"/>
              <w:left w:val="single" w:sz="2" w:space="0" w:color="000000"/>
              <w:bottom w:val="single" w:sz="2" w:space="0" w:color="000000"/>
              <w:right w:val="single" w:sz="2" w:space="0" w:color="000000"/>
            </w:tcBorders>
            <w:vAlign w:val="bottom"/>
          </w:tcPr>
          <w:p w14:paraId="033C21A4" w14:textId="77777777" w:rsidR="00053D93" w:rsidRDefault="00260B75">
            <w:pPr>
              <w:ind w:left="14"/>
            </w:pPr>
            <w:r>
              <w:rPr>
                <w:rFonts w:ascii="Times New Roman" w:eastAsia="Times New Roman" w:hAnsi="Times New Roman" w:cs="Times New Roman"/>
                <w:sz w:val="16"/>
              </w:rPr>
              <w:t xml:space="preserve">346.609,656.00 </w:t>
            </w:r>
          </w:p>
        </w:tc>
        <w:tc>
          <w:tcPr>
            <w:tcW w:w="1071" w:type="dxa"/>
            <w:tcBorders>
              <w:top w:val="single" w:sz="2" w:space="0" w:color="000000"/>
              <w:left w:val="single" w:sz="2" w:space="0" w:color="000000"/>
              <w:bottom w:val="single" w:sz="2" w:space="0" w:color="000000"/>
              <w:right w:val="single" w:sz="2" w:space="0" w:color="000000"/>
            </w:tcBorders>
          </w:tcPr>
          <w:p w14:paraId="34E34F38" w14:textId="77777777" w:rsidR="00053D93" w:rsidRDefault="00053D93"/>
        </w:tc>
        <w:tc>
          <w:tcPr>
            <w:tcW w:w="1149" w:type="dxa"/>
            <w:tcBorders>
              <w:top w:val="single" w:sz="2" w:space="0" w:color="000000"/>
              <w:left w:val="single" w:sz="2" w:space="0" w:color="000000"/>
              <w:bottom w:val="single" w:sz="2" w:space="0" w:color="000000"/>
              <w:right w:val="single" w:sz="2" w:space="0" w:color="000000"/>
            </w:tcBorders>
            <w:vAlign w:val="bottom"/>
          </w:tcPr>
          <w:p w14:paraId="0F62EB7E" w14:textId="77777777" w:rsidR="00053D93" w:rsidRDefault="00260B75">
            <w:pPr>
              <w:ind w:left="12"/>
            </w:pPr>
            <w:r>
              <w:rPr>
                <w:rFonts w:ascii="Times New Roman" w:eastAsia="Times New Roman" w:hAnsi="Times New Roman" w:cs="Times New Roman"/>
                <w:sz w:val="16"/>
              </w:rPr>
              <w:t xml:space="preserve">407.935.559.00 </w:t>
            </w:r>
          </w:p>
        </w:tc>
        <w:tc>
          <w:tcPr>
            <w:tcW w:w="1157" w:type="dxa"/>
            <w:tcBorders>
              <w:top w:val="single" w:sz="2" w:space="0" w:color="000000"/>
              <w:left w:val="single" w:sz="2" w:space="0" w:color="000000"/>
              <w:bottom w:val="single" w:sz="2" w:space="0" w:color="000000"/>
              <w:right w:val="single" w:sz="2" w:space="0" w:color="000000"/>
            </w:tcBorders>
            <w:vAlign w:val="bottom"/>
          </w:tcPr>
          <w:p w14:paraId="60F10A93" w14:textId="77777777" w:rsidR="00053D93" w:rsidRDefault="00260B75">
            <w:pPr>
              <w:ind w:left="29"/>
            </w:pPr>
            <w:r>
              <w:rPr>
                <w:rFonts w:ascii="Times New Roman" w:eastAsia="Times New Roman" w:hAnsi="Times New Roman" w:cs="Times New Roman"/>
                <w:sz w:val="16"/>
              </w:rPr>
              <w:t xml:space="preserve">147.164, </w:t>
            </w:r>
          </w:p>
        </w:tc>
        <w:tc>
          <w:tcPr>
            <w:tcW w:w="1155" w:type="dxa"/>
            <w:tcBorders>
              <w:top w:val="single" w:sz="2" w:space="0" w:color="000000"/>
              <w:left w:val="single" w:sz="2" w:space="0" w:color="000000"/>
              <w:bottom w:val="single" w:sz="2" w:space="0" w:color="000000"/>
              <w:right w:val="single" w:sz="2" w:space="0" w:color="000000"/>
            </w:tcBorders>
            <w:vAlign w:val="bottom"/>
          </w:tcPr>
          <w:p w14:paraId="1A2FA663" w14:textId="77777777" w:rsidR="00053D93" w:rsidRDefault="00260B75">
            <w:pPr>
              <w:ind w:left="10"/>
            </w:pPr>
            <w:r>
              <w:rPr>
                <w:rFonts w:ascii="Times New Roman" w:eastAsia="Times New Roman" w:hAnsi="Times New Roman" w:cs="Times New Roman"/>
                <w:sz w:val="16"/>
              </w:rPr>
              <w:t>260.771.368.06</w:t>
            </w:r>
          </w:p>
        </w:tc>
        <w:tc>
          <w:tcPr>
            <w:tcW w:w="828" w:type="dxa"/>
            <w:tcBorders>
              <w:top w:val="single" w:sz="2" w:space="0" w:color="000000"/>
              <w:left w:val="single" w:sz="2" w:space="0" w:color="000000"/>
              <w:bottom w:val="single" w:sz="2" w:space="0" w:color="000000"/>
              <w:right w:val="single" w:sz="2" w:space="0" w:color="000000"/>
            </w:tcBorders>
            <w:vAlign w:val="bottom"/>
          </w:tcPr>
          <w:p w14:paraId="310ED68B" w14:textId="77777777" w:rsidR="00053D93" w:rsidRDefault="00260B75">
            <w:pPr>
              <w:ind w:left="209"/>
            </w:pPr>
            <w:r>
              <w:rPr>
                <w:rFonts w:ascii="Times New Roman" w:eastAsia="Times New Roman" w:hAnsi="Times New Roman" w:cs="Times New Roman"/>
                <w:sz w:val="16"/>
              </w:rPr>
              <w:t>36.08%</w:t>
            </w:r>
          </w:p>
        </w:tc>
      </w:tr>
    </w:tbl>
    <w:p w14:paraId="168C2AE9" w14:textId="77777777" w:rsidR="00053D93" w:rsidRDefault="00260B75">
      <w:pPr>
        <w:spacing w:after="410" w:line="265" w:lineRule="auto"/>
        <w:ind w:left="1737" w:hanging="10"/>
      </w:pPr>
      <w:r>
        <w:rPr>
          <w:sz w:val="14"/>
        </w:rPr>
        <w:t>Fuente: Reporte de SICOIN R00804768.rpt</w:t>
      </w:r>
    </w:p>
    <w:p w14:paraId="1A56F660" w14:textId="77777777" w:rsidR="00053D93" w:rsidRDefault="00260B75">
      <w:pPr>
        <w:spacing w:after="265" w:line="247" w:lineRule="auto"/>
        <w:ind w:left="1714" w:right="14" w:firstLine="4"/>
        <w:jc w:val="both"/>
      </w:pPr>
      <w:r>
        <w:rPr>
          <w:sz w:val="26"/>
        </w:rPr>
        <w:t>Al evaluar las actividades planificadas para el ejercicio fiscal 2024, del programa 04; se determinó que, no se ejecutó la totalidad de las acciones programadas en el Plan Operativo Anual -POA-, debido a la falta de gestiones oportunas por la máxima autoridad de la DIGEF, para agilizar los procesos de compra, de los requerimientos realizados y debido a la falta de readecuación de los recursos disponibles y no ejecutados en las distintas Unidades Administrativas de la DIGEF, tal como se detalla a continuación:</w:t>
      </w:r>
    </w:p>
    <w:p w14:paraId="15369087" w14:textId="77777777" w:rsidR="00053D93" w:rsidRDefault="00260B75">
      <w:pPr>
        <w:spacing w:after="17" w:line="247" w:lineRule="auto"/>
        <w:ind w:left="1807" w:right="14" w:hanging="72"/>
        <w:jc w:val="both"/>
      </w:pPr>
      <w:r>
        <w:rPr>
          <w:sz w:val="26"/>
        </w:rPr>
        <w:lastRenderedPageBreak/>
        <w:t>Actividades planificadas en el Plan Operativo Anual -POA- de la Dirección General de Educación Física -DIGEF, con baja ejecución presupuestaria del Programa 04</w:t>
      </w:r>
    </w:p>
    <w:p w14:paraId="695341BD" w14:textId="77777777" w:rsidR="00053D93" w:rsidRDefault="00260B75">
      <w:pPr>
        <w:spacing w:after="4" w:line="253" w:lineRule="auto"/>
        <w:ind w:left="1730" w:right="71" w:hanging="10"/>
        <w:jc w:val="center"/>
      </w:pPr>
      <w:r>
        <w:rPr>
          <w:sz w:val="26"/>
        </w:rPr>
        <w:t>Actividades Comunes a los programas de primaria, básico y diversificado</w:t>
      </w:r>
    </w:p>
    <w:p w14:paraId="3A0DE06E" w14:textId="77777777" w:rsidR="00053D93" w:rsidRDefault="00260B75">
      <w:pPr>
        <w:spacing w:after="0"/>
        <w:ind w:left="1695" w:right="36" w:hanging="10"/>
        <w:jc w:val="center"/>
      </w:pPr>
      <w:r>
        <w:rPr>
          <w:sz w:val="28"/>
        </w:rPr>
        <w:t>(PRG.12, 13 Y 14)</w:t>
      </w:r>
    </w:p>
    <w:p w14:paraId="41679D99" w14:textId="77777777" w:rsidR="00053D93" w:rsidRDefault="00260B75">
      <w:pPr>
        <w:spacing w:after="4" w:line="253" w:lineRule="auto"/>
        <w:ind w:left="1730" w:right="64" w:hanging="10"/>
        <w:jc w:val="center"/>
      </w:pPr>
      <w:r>
        <w:rPr>
          <w:sz w:val="26"/>
        </w:rPr>
        <w:t>Del 01 de enero al 31 de diciembre de 2024</w:t>
      </w:r>
    </w:p>
    <w:p w14:paraId="3F15D4EB" w14:textId="77777777" w:rsidR="00053D93" w:rsidRDefault="00260B75">
      <w:pPr>
        <w:spacing w:after="4" w:line="253" w:lineRule="auto"/>
        <w:ind w:left="1730" w:right="79" w:hanging="10"/>
        <w:jc w:val="center"/>
      </w:pPr>
      <w:r>
        <w:rPr>
          <w:sz w:val="26"/>
        </w:rPr>
        <w:t>(Cifras expresadas en quetzales)</w:t>
      </w:r>
    </w:p>
    <w:tbl>
      <w:tblPr>
        <w:tblStyle w:val="TableGrid"/>
        <w:tblW w:w="9422" w:type="dxa"/>
        <w:tblInd w:w="770" w:type="dxa"/>
        <w:tblLook w:val="04A0" w:firstRow="1" w:lastRow="0" w:firstColumn="1" w:lastColumn="0" w:noHBand="0" w:noVBand="1"/>
      </w:tblPr>
      <w:tblGrid>
        <w:gridCol w:w="836"/>
        <w:gridCol w:w="8618"/>
      </w:tblGrid>
      <w:tr w:rsidR="00053D93" w14:paraId="3E8B5CB2" w14:textId="77777777">
        <w:trPr>
          <w:trHeight w:val="5335"/>
        </w:trPr>
        <w:tc>
          <w:tcPr>
            <w:tcW w:w="1029" w:type="dxa"/>
            <w:tcBorders>
              <w:top w:val="nil"/>
              <w:left w:val="nil"/>
              <w:bottom w:val="nil"/>
              <w:right w:val="nil"/>
            </w:tcBorders>
            <w:vAlign w:val="bottom"/>
          </w:tcPr>
          <w:p w14:paraId="43960926" w14:textId="77777777" w:rsidR="00053D93" w:rsidRDefault="00260B75">
            <w:r>
              <w:rPr>
                <w:noProof/>
              </w:rPr>
              <w:drawing>
                <wp:inline distT="0" distB="0" distL="0" distR="0" wp14:anchorId="7C9C4F79" wp14:editId="13A1C4AE">
                  <wp:extent cx="649224" cy="411481"/>
                  <wp:effectExtent l="0" t="0" r="0" b="0"/>
                  <wp:docPr id="688863" name="Picture 688863"/>
                  <wp:cNvGraphicFramePr/>
                  <a:graphic xmlns:a="http://schemas.openxmlformats.org/drawingml/2006/main">
                    <a:graphicData uri="http://schemas.openxmlformats.org/drawingml/2006/picture">
                      <pic:pic xmlns:pic="http://schemas.openxmlformats.org/drawingml/2006/picture">
                        <pic:nvPicPr>
                          <pic:cNvPr id="688863" name="Picture 688863"/>
                          <pic:cNvPicPr/>
                        </pic:nvPicPr>
                        <pic:blipFill>
                          <a:blip r:embed="rId1005"/>
                          <a:stretch>
                            <a:fillRect/>
                          </a:stretch>
                        </pic:blipFill>
                        <pic:spPr>
                          <a:xfrm>
                            <a:off x="0" y="0"/>
                            <a:ext cx="649224" cy="411481"/>
                          </a:xfrm>
                          <a:prstGeom prst="rect">
                            <a:avLst/>
                          </a:prstGeom>
                        </pic:spPr>
                      </pic:pic>
                    </a:graphicData>
                  </a:graphic>
                </wp:inline>
              </w:drawing>
            </w:r>
          </w:p>
        </w:tc>
        <w:tc>
          <w:tcPr>
            <w:tcW w:w="8393" w:type="dxa"/>
            <w:tcBorders>
              <w:top w:val="nil"/>
              <w:left w:val="nil"/>
              <w:bottom w:val="nil"/>
              <w:right w:val="nil"/>
            </w:tcBorders>
          </w:tcPr>
          <w:p w14:paraId="6DE9BF1C" w14:textId="77777777" w:rsidR="00053D93" w:rsidRDefault="00053D93">
            <w:pPr>
              <w:ind w:left="-2087" w:right="10481"/>
            </w:pPr>
          </w:p>
          <w:tbl>
            <w:tblPr>
              <w:tblStyle w:val="TableGrid"/>
              <w:tblW w:w="8387" w:type="dxa"/>
              <w:tblInd w:w="6" w:type="dxa"/>
              <w:tblCellMar>
                <w:top w:w="29" w:type="dxa"/>
                <w:right w:w="25" w:type="dxa"/>
              </w:tblCellMar>
              <w:tblLook w:val="04A0" w:firstRow="1" w:lastRow="0" w:firstColumn="1" w:lastColumn="0" w:noHBand="0" w:noVBand="1"/>
            </w:tblPr>
            <w:tblGrid>
              <w:gridCol w:w="256"/>
              <w:gridCol w:w="364"/>
              <w:gridCol w:w="176"/>
              <w:gridCol w:w="686"/>
              <w:gridCol w:w="1549"/>
              <w:gridCol w:w="969"/>
              <w:gridCol w:w="1191"/>
              <w:gridCol w:w="1197"/>
              <w:gridCol w:w="1153"/>
              <w:gridCol w:w="846"/>
            </w:tblGrid>
            <w:tr w:rsidR="00053D93" w14:paraId="0EB636CB" w14:textId="77777777">
              <w:trPr>
                <w:trHeight w:val="864"/>
              </w:trPr>
              <w:tc>
                <w:tcPr>
                  <w:tcW w:w="236" w:type="dxa"/>
                  <w:tcBorders>
                    <w:top w:val="single" w:sz="2" w:space="0" w:color="000000"/>
                    <w:left w:val="single" w:sz="2" w:space="0" w:color="000000"/>
                    <w:bottom w:val="single" w:sz="2" w:space="0" w:color="000000"/>
                    <w:right w:val="single" w:sz="2" w:space="0" w:color="000000"/>
                  </w:tcBorders>
                </w:tcPr>
                <w:p w14:paraId="3B5579E0" w14:textId="77777777" w:rsidR="00053D93" w:rsidRDefault="00260B75">
                  <w:pPr>
                    <w:ind w:left="-5"/>
                    <w:jc w:val="both"/>
                  </w:pPr>
                  <w:r>
                    <w:rPr>
                      <w:rFonts w:ascii="Times New Roman" w:eastAsia="Times New Roman" w:hAnsi="Times New Roman" w:cs="Times New Roman"/>
                      <w:sz w:val="16"/>
                    </w:rPr>
                    <w:t>No.</w:t>
                  </w:r>
                </w:p>
              </w:tc>
              <w:tc>
                <w:tcPr>
                  <w:tcW w:w="1235" w:type="dxa"/>
                  <w:gridSpan w:val="3"/>
                  <w:tcBorders>
                    <w:top w:val="single" w:sz="2" w:space="0" w:color="000000"/>
                    <w:left w:val="single" w:sz="2" w:space="0" w:color="000000"/>
                    <w:bottom w:val="single" w:sz="2" w:space="0" w:color="000000"/>
                    <w:right w:val="single" w:sz="2" w:space="0" w:color="000000"/>
                  </w:tcBorders>
                </w:tcPr>
                <w:p w14:paraId="59316502" w14:textId="77777777" w:rsidR="00053D93" w:rsidRDefault="00260B75">
                  <w:pPr>
                    <w:jc w:val="center"/>
                  </w:pPr>
                  <w:r>
                    <w:rPr>
                      <w:sz w:val="16"/>
                    </w:rPr>
                    <w:t>Renglón presupuestario</w:t>
                  </w:r>
                </w:p>
              </w:tc>
              <w:tc>
                <w:tcPr>
                  <w:tcW w:w="1555" w:type="dxa"/>
                  <w:tcBorders>
                    <w:top w:val="single" w:sz="2" w:space="0" w:color="000000"/>
                    <w:left w:val="single" w:sz="2" w:space="0" w:color="000000"/>
                    <w:bottom w:val="single" w:sz="2" w:space="0" w:color="000000"/>
                    <w:right w:val="single" w:sz="2" w:space="0" w:color="000000"/>
                  </w:tcBorders>
                </w:tcPr>
                <w:p w14:paraId="56FCE760" w14:textId="77777777" w:rsidR="00053D93" w:rsidRDefault="00260B75">
                  <w:pPr>
                    <w:ind w:left="32"/>
                    <w:jc w:val="center"/>
                  </w:pPr>
                  <w:r>
                    <w:rPr>
                      <w:sz w:val="18"/>
                    </w:rPr>
                    <w:t>Descripción del</w:t>
                  </w:r>
                </w:p>
                <w:p w14:paraId="3F452C0F" w14:textId="77777777" w:rsidR="00053D93" w:rsidRDefault="00260B75">
                  <w:pPr>
                    <w:ind w:left="331" w:right="4" w:hanging="230"/>
                    <w:jc w:val="both"/>
                  </w:pPr>
                  <w:r>
                    <w:rPr>
                      <w:sz w:val="18"/>
                    </w:rPr>
                    <w:t>Programa/ Proyecto o Producción</w:t>
                  </w:r>
                </w:p>
              </w:tc>
              <w:tc>
                <w:tcPr>
                  <w:tcW w:w="969" w:type="dxa"/>
                  <w:tcBorders>
                    <w:top w:val="single" w:sz="2" w:space="0" w:color="000000"/>
                    <w:left w:val="single" w:sz="2" w:space="0" w:color="000000"/>
                    <w:bottom w:val="single" w:sz="2" w:space="0" w:color="000000"/>
                    <w:right w:val="single" w:sz="2" w:space="0" w:color="000000"/>
                  </w:tcBorders>
                </w:tcPr>
                <w:p w14:paraId="5BB821A6" w14:textId="77777777" w:rsidR="00053D93" w:rsidRDefault="00260B75">
                  <w:pPr>
                    <w:ind w:left="151" w:right="123" w:firstLine="22"/>
                    <w:jc w:val="both"/>
                  </w:pPr>
                  <w:r>
                    <w:rPr>
                      <w:sz w:val="18"/>
                    </w:rPr>
                    <w:t>Acciones de DIGEF, POA 2024</w:t>
                  </w:r>
                </w:p>
              </w:tc>
              <w:tc>
                <w:tcPr>
                  <w:tcW w:w="1193" w:type="dxa"/>
                  <w:tcBorders>
                    <w:top w:val="single" w:sz="2" w:space="0" w:color="000000"/>
                    <w:left w:val="single" w:sz="2" w:space="0" w:color="000000"/>
                    <w:bottom w:val="single" w:sz="2" w:space="0" w:color="000000"/>
                    <w:right w:val="single" w:sz="2" w:space="0" w:color="000000"/>
                  </w:tcBorders>
                </w:tcPr>
                <w:p w14:paraId="41EFD437" w14:textId="77777777" w:rsidR="00053D93" w:rsidRDefault="00260B75">
                  <w:pPr>
                    <w:ind w:left="61"/>
                    <w:jc w:val="center"/>
                  </w:pPr>
                  <w:r>
                    <w:rPr>
                      <w:sz w:val="16"/>
                    </w:rPr>
                    <w:t>Monto</w:t>
                  </w:r>
                </w:p>
                <w:p w14:paraId="28AD25F0" w14:textId="77777777" w:rsidR="00053D93" w:rsidRDefault="00260B75">
                  <w:pPr>
                    <w:ind w:left="35" w:right="24"/>
                    <w:jc w:val="center"/>
                  </w:pPr>
                  <w:r>
                    <w:rPr>
                      <w:sz w:val="18"/>
                    </w:rPr>
                    <w:t>Planificado -POA 2024-</w:t>
                  </w:r>
                </w:p>
              </w:tc>
              <w:tc>
                <w:tcPr>
                  <w:tcW w:w="1197" w:type="dxa"/>
                  <w:tcBorders>
                    <w:top w:val="single" w:sz="2" w:space="0" w:color="000000"/>
                    <w:left w:val="single" w:sz="2" w:space="0" w:color="000000"/>
                    <w:bottom w:val="single" w:sz="2" w:space="0" w:color="000000"/>
                    <w:right w:val="single" w:sz="2" w:space="0" w:color="000000"/>
                  </w:tcBorders>
                </w:tcPr>
                <w:p w14:paraId="15952781" w14:textId="77777777" w:rsidR="00053D93" w:rsidRDefault="00260B75">
                  <w:pPr>
                    <w:spacing w:after="1"/>
                    <w:ind w:left="61"/>
                    <w:jc w:val="center"/>
                  </w:pPr>
                  <w:r>
                    <w:rPr>
                      <w:sz w:val="16"/>
                    </w:rPr>
                    <w:t>Monto</w:t>
                  </w:r>
                </w:p>
                <w:p w14:paraId="16194600" w14:textId="77777777" w:rsidR="00053D93" w:rsidRDefault="00260B75">
                  <w:pPr>
                    <w:ind w:left="18"/>
                    <w:jc w:val="center"/>
                  </w:pPr>
                  <w:r>
                    <w:rPr>
                      <w:sz w:val="18"/>
                    </w:rPr>
                    <w:t>Ejecutado</w:t>
                  </w:r>
                </w:p>
              </w:tc>
              <w:tc>
                <w:tcPr>
                  <w:tcW w:w="1155" w:type="dxa"/>
                  <w:tcBorders>
                    <w:top w:val="single" w:sz="2" w:space="0" w:color="000000"/>
                    <w:left w:val="single" w:sz="2" w:space="0" w:color="000000"/>
                    <w:bottom w:val="single" w:sz="2" w:space="0" w:color="000000"/>
                    <w:right w:val="single" w:sz="2" w:space="0" w:color="000000"/>
                  </w:tcBorders>
                </w:tcPr>
                <w:p w14:paraId="629F2213" w14:textId="77777777" w:rsidR="00053D93" w:rsidRDefault="00260B75">
                  <w:pPr>
                    <w:ind w:left="233" w:firstLine="43"/>
                  </w:pPr>
                  <w:r>
                    <w:rPr>
                      <w:sz w:val="18"/>
                    </w:rPr>
                    <w:t>Monto no Ejecutado</w:t>
                  </w:r>
                </w:p>
              </w:tc>
              <w:tc>
                <w:tcPr>
                  <w:tcW w:w="847" w:type="dxa"/>
                  <w:tcBorders>
                    <w:top w:val="single" w:sz="2" w:space="0" w:color="000000"/>
                    <w:left w:val="single" w:sz="2" w:space="0" w:color="000000"/>
                    <w:bottom w:val="single" w:sz="2" w:space="0" w:color="000000"/>
                    <w:right w:val="single" w:sz="2" w:space="0" w:color="000000"/>
                  </w:tcBorders>
                </w:tcPr>
                <w:p w14:paraId="0DEB15F6" w14:textId="77777777" w:rsidR="00053D93" w:rsidRDefault="00260B75">
                  <w:pPr>
                    <w:ind w:left="86"/>
                  </w:pPr>
                  <w:r>
                    <w:rPr>
                      <w:sz w:val="18"/>
                    </w:rPr>
                    <w:t>Ejecución</w:t>
                  </w:r>
                </w:p>
              </w:tc>
            </w:tr>
            <w:tr w:rsidR="00053D93" w14:paraId="1F6FC78E" w14:textId="77777777">
              <w:trPr>
                <w:trHeight w:val="847"/>
              </w:trPr>
              <w:tc>
                <w:tcPr>
                  <w:tcW w:w="236" w:type="dxa"/>
                  <w:tcBorders>
                    <w:top w:val="single" w:sz="2" w:space="0" w:color="000000"/>
                    <w:left w:val="single" w:sz="2" w:space="0" w:color="000000"/>
                    <w:bottom w:val="single" w:sz="2" w:space="0" w:color="000000"/>
                    <w:right w:val="single" w:sz="2" w:space="0" w:color="000000"/>
                  </w:tcBorders>
                </w:tcPr>
                <w:p w14:paraId="7F60B49A" w14:textId="77777777" w:rsidR="00053D93" w:rsidRDefault="00053D93"/>
              </w:tc>
              <w:tc>
                <w:tcPr>
                  <w:tcW w:w="1235" w:type="dxa"/>
                  <w:gridSpan w:val="3"/>
                  <w:tcBorders>
                    <w:top w:val="single" w:sz="2" w:space="0" w:color="000000"/>
                    <w:left w:val="single" w:sz="2" w:space="0" w:color="000000"/>
                    <w:bottom w:val="single" w:sz="2" w:space="0" w:color="000000"/>
                    <w:right w:val="single" w:sz="2" w:space="0" w:color="000000"/>
                  </w:tcBorders>
                </w:tcPr>
                <w:p w14:paraId="3BFD7440" w14:textId="77777777" w:rsidR="00053D93" w:rsidRDefault="00260B75">
                  <w:pPr>
                    <w:ind w:left="86"/>
                    <w:jc w:val="center"/>
                  </w:pPr>
                  <w:r>
                    <w:rPr>
                      <w:rFonts w:ascii="Times New Roman" w:eastAsia="Times New Roman" w:hAnsi="Times New Roman" w:cs="Times New Roman"/>
                      <w:sz w:val="16"/>
                    </w:rPr>
                    <w:t>121; 158; 245;</w:t>
                  </w:r>
                </w:p>
                <w:p w14:paraId="0561A248" w14:textId="77777777" w:rsidR="00053D93" w:rsidRDefault="00260B75">
                  <w:pPr>
                    <w:ind w:left="79"/>
                    <w:jc w:val="center"/>
                  </w:pPr>
                  <w:r>
                    <w:rPr>
                      <w:sz w:val="16"/>
                    </w:rPr>
                    <w:t>211;122; 233 y</w:t>
                  </w:r>
                </w:p>
                <w:p w14:paraId="0D9B4E45" w14:textId="77777777" w:rsidR="00053D93" w:rsidRDefault="00260B75">
                  <w:pPr>
                    <w:ind w:left="72"/>
                    <w:jc w:val="center"/>
                  </w:pPr>
                  <w:r>
                    <w:rPr>
                      <w:rFonts w:ascii="Times New Roman" w:eastAsia="Times New Roman" w:hAnsi="Times New Roman" w:cs="Times New Roman"/>
                      <w:sz w:val="16"/>
                    </w:rPr>
                    <w:t>267</w:t>
                  </w:r>
                </w:p>
              </w:tc>
              <w:tc>
                <w:tcPr>
                  <w:tcW w:w="1555" w:type="dxa"/>
                  <w:tcBorders>
                    <w:top w:val="single" w:sz="2" w:space="0" w:color="000000"/>
                    <w:left w:val="single" w:sz="2" w:space="0" w:color="000000"/>
                    <w:bottom w:val="single" w:sz="2" w:space="0" w:color="000000"/>
                    <w:right w:val="single" w:sz="2" w:space="0" w:color="000000"/>
                  </w:tcBorders>
                </w:tcPr>
                <w:p w14:paraId="1A1663B1" w14:textId="77777777" w:rsidR="00053D93" w:rsidRDefault="00260B75">
                  <w:pPr>
                    <w:ind w:left="86" w:firstLine="7"/>
                  </w:pPr>
                  <w:r>
                    <w:rPr>
                      <w:sz w:val="16"/>
                    </w:rPr>
                    <w:t>Eventos de ta DIGEF Divulgados</w:t>
                  </w:r>
                </w:p>
              </w:tc>
              <w:tc>
                <w:tcPr>
                  <w:tcW w:w="969" w:type="dxa"/>
                  <w:tcBorders>
                    <w:top w:val="single" w:sz="2" w:space="0" w:color="000000"/>
                    <w:left w:val="single" w:sz="2" w:space="0" w:color="000000"/>
                    <w:bottom w:val="single" w:sz="2" w:space="0" w:color="000000"/>
                    <w:right w:val="single" w:sz="2" w:space="0" w:color="000000"/>
                  </w:tcBorders>
                </w:tcPr>
                <w:p w14:paraId="67FB40BC" w14:textId="77777777" w:rsidR="00053D93" w:rsidRDefault="00260B75">
                  <w:pPr>
                    <w:ind w:left="28"/>
                    <w:jc w:val="center"/>
                  </w:pPr>
                  <w:r>
                    <w:rPr>
                      <w:sz w:val="16"/>
                    </w:rPr>
                    <w:t>Acciones</w:t>
                  </w:r>
                </w:p>
                <w:p w14:paraId="2CEF586B" w14:textId="77777777" w:rsidR="00053D93" w:rsidRDefault="00260B75">
                  <w:pPr>
                    <w:ind w:left="14"/>
                    <w:jc w:val="center"/>
                  </w:pPr>
                  <w:r>
                    <w:rPr>
                      <w:sz w:val="16"/>
                    </w:rPr>
                    <w:t>No: 136;</w:t>
                  </w:r>
                </w:p>
                <w:p w14:paraId="751FDED4" w14:textId="77777777" w:rsidR="00053D93" w:rsidRDefault="00260B75">
                  <w:pPr>
                    <w:ind w:left="35"/>
                    <w:jc w:val="center"/>
                  </w:pPr>
                  <w:r>
                    <w:rPr>
                      <w:rFonts w:ascii="Times New Roman" w:eastAsia="Times New Roman" w:hAnsi="Times New Roman" w:cs="Times New Roman"/>
                      <w:sz w:val="16"/>
                    </w:rPr>
                    <w:t>134; 130;</w:t>
                  </w:r>
                </w:p>
              </w:tc>
              <w:tc>
                <w:tcPr>
                  <w:tcW w:w="1193" w:type="dxa"/>
                  <w:tcBorders>
                    <w:top w:val="single" w:sz="2" w:space="0" w:color="000000"/>
                    <w:left w:val="single" w:sz="2" w:space="0" w:color="000000"/>
                    <w:bottom w:val="single" w:sz="2" w:space="0" w:color="000000"/>
                    <w:right w:val="single" w:sz="2" w:space="0" w:color="000000"/>
                  </w:tcBorders>
                  <w:vAlign w:val="bottom"/>
                </w:tcPr>
                <w:p w14:paraId="62B462AD" w14:textId="77777777" w:rsidR="00053D93" w:rsidRDefault="00260B75">
                  <w:pPr>
                    <w:ind w:left="399"/>
                  </w:pPr>
                  <w:r>
                    <w:rPr>
                      <w:rFonts w:ascii="Times New Roman" w:eastAsia="Times New Roman" w:hAnsi="Times New Roman" w:cs="Times New Roman"/>
                      <w:sz w:val="16"/>
                    </w:rPr>
                    <w:t>212.000.00</w:t>
                  </w:r>
                </w:p>
              </w:tc>
              <w:tc>
                <w:tcPr>
                  <w:tcW w:w="1197" w:type="dxa"/>
                  <w:tcBorders>
                    <w:top w:val="single" w:sz="2" w:space="0" w:color="000000"/>
                    <w:left w:val="single" w:sz="2" w:space="0" w:color="000000"/>
                    <w:bottom w:val="single" w:sz="2" w:space="0" w:color="000000"/>
                    <w:right w:val="single" w:sz="2" w:space="0" w:color="000000"/>
                  </w:tcBorders>
                  <w:vAlign w:val="bottom"/>
                </w:tcPr>
                <w:p w14:paraId="3D3A63D6" w14:textId="77777777" w:rsidR="00053D93" w:rsidRDefault="00260B75">
                  <w:pPr>
                    <w:ind w:right="66"/>
                    <w:jc w:val="right"/>
                  </w:pPr>
                  <w:r>
                    <w:rPr>
                      <w:rFonts w:ascii="Times New Roman" w:eastAsia="Times New Roman" w:hAnsi="Times New Roman" w:cs="Times New Roman"/>
                      <w:sz w:val="16"/>
                    </w:rPr>
                    <w:t>5.590.00</w:t>
                  </w:r>
                </w:p>
              </w:tc>
              <w:tc>
                <w:tcPr>
                  <w:tcW w:w="1155" w:type="dxa"/>
                  <w:tcBorders>
                    <w:top w:val="single" w:sz="2" w:space="0" w:color="000000"/>
                    <w:left w:val="single" w:sz="2" w:space="0" w:color="000000"/>
                    <w:bottom w:val="single" w:sz="2" w:space="0" w:color="000000"/>
                    <w:right w:val="single" w:sz="2" w:space="0" w:color="000000"/>
                  </w:tcBorders>
                  <w:vAlign w:val="bottom"/>
                </w:tcPr>
                <w:p w14:paraId="0414CC2E" w14:textId="77777777" w:rsidR="00053D93" w:rsidRDefault="00260B75">
                  <w:pPr>
                    <w:ind w:left="355"/>
                  </w:pPr>
                  <w:r>
                    <w:rPr>
                      <w:rFonts w:ascii="Times New Roman" w:eastAsia="Times New Roman" w:hAnsi="Times New Roman" w:cs="Times New Roman"/>
                      <w:sz w:val="16"/>
                    </w:rPr>
                    <w:t>206.410.00</w:t>
                  </w:r>
                </w:p>
              </w:tc>
              <w:tc>
                <w:tcPr>
                  <w:tcW w:w="847" w:type="dxa"/>
                  <w:tcBorders>
                    <w:top w:val="single" w:sz="2" w:space="0" w:color="000000"/>
                    <w:left w:val="single" w:sz="2" w:space="0" w:color="000000"/>
                    <w:bottom w:val="single" w:sz="2" w:space="0" w:color="000000"/>
                    <w:right w:val="single" w:sz="2" w:space="0" w:color="000000"/>
                  </w:tcBorders>
                  <w:vAlign w:val="bottom"/>
                </w:tcPr>
                <w:p w14:paraId="2CE9C678" w14:textId="77777777" w:rsidR="00053D93" w:rsidRDefault="00260B75">
                  <w:pPr>
                    <w:ind w:left="367"/>
                  </w:pPr>
                  <w:r>
                    <w:rPr>
                      <w:rFonts w:ascii="Times New Roman" w:eastAsia="Times New Roman" w:hAnsi="Times New Roman" w:cs="Times New Roman"/>
                      <w:sz w:val="16"/>
                    </w:rPr>
                    <w:t>2.64%</w:t>
                  </w:r>
                </w:p>
              </w:tc>
            </w:tr>
            <w:tr w:rsidR="00053D93" w14:paraId="47FB77E5" w14:textId="77777777">
              <w:trPr>
                <w:trHeight w:val="975"/>
              </w:trPr>
              <w:tc>
                <w:tcPr>
                  <w:tcW w:w="236" w:type="dxa"/>
                  <w:tcBorders>
                    <w:top w:val="single" w:sz="2" w:space="0" w:color="000000"/>
                    <w:left w:val="single" w:sz="2" w:space="0" w:color="000000"/>
                    <w:bottom w:val="single" w:sz="2" w:space="0" w:color="000000"/>
                    <w:right w:val="single" w:sz="2" w:space="0" w:color="000000"/>
                  </w:tcBorders>
                </w:tcPr>
                <w:p w14:paraId="1E4763E3" w14:textId="77777777" w:rsidR="00053D93" w:rsidRDefault="00260B75">
                  <w:pPr>
                    <w:ind w:left="67"/>
                  </w:pPr>
                  <w:r>
                    <w:rPr>
                      <w:rFonts w:ascii="Times New Roman" w:eastAsia="Times New Roman" w:hAnsi="Times New Roman" w:cs="Times New Roman"/>
                      <w:sz w:val="16"/>
                    </w:rPr>
                    <w:t>2</w:t>
                  </w:r>
                </w:p>
              </w:tc>
              <w:tc>
                <w:tcPr>
                  <w:tcW w:w="1235" w:type="dxa"/>
                  <w:gridSpan w:val="3"/>
                  <w:tcBorders>
                    <w:top w:val="single" w:sz="2" w:space="0" w:color="000000"/>
                    <w:left w:val="single" w:sz="2" w:space="0" w:color="000000"/>
                    <w:bottom w:val="single" w:sz="2" w:space="0" w:color="000000"/>
                    <w:right w:val="single" w:sz="2" w:space="0" w:color="000000"/>
                  </w:tcBorders>
                </w:tcPr>
                <w:p w14:paraId="33CFB204" w14:textId="77777777" w:rsidR="00053D93" w:rsidRDefault="00260B75">
                  <w:pPr>
                    <w:ind w:left="94"/>
                    <w:jc w:val="center"/>
                  </w:pPr>
                  <w:r>
                    <w:rPr>
                      <w:sz w:val="16"/>
                    </w:rPr>
                    <w:t>185; 252 y 187</w:t>
                  </w:r>
                </w:p>
              </w:tc>
              <w:tc>
                <w:tcPr>
                  <w:tcW w:w="1555" w:type="dxa"/>
                  <w:tcBorders>
                    <w:top w:val="single" w:sz="2" w:space="0" w:color="000000"/>
                    <w:left w:val="single" w:sz="2" w:space="0" w:color="000000"/>
                    <w:bottom w:val="single" w:sz="2" w:space="0" w:color="000000"/>
                    <w:right w:val="single" w:sz="2" w:space="0" w:color="000000"/>
                  </w:tcBorders>
                </w:tcPr>
                <w:p w14:paraId="41ECFFEC" w14:textId="77777777" w:rsidR="00053D93" w:rsidRDefault="00260B75">
                  <w:pPr>
                    <w:ind w:left="79" w:firstLine="14"/>
                  </w:pPr>
                  <w:r>
                    <w:rPr>
                      <w:sz w:val="16"/>
                    </w:rPr>
                    <w:t>Eventos</w:t>
                  </w:r>
                  <w:r>
                    <w:rPr>
                      <w:sz w:val="16"/>
                    </w:rPr>
                    <w:tab/>
                    <w:t>de capacitación</w:t>
                  </w:r>
                  <w:r>
                    <w:rPr>
                      <w:sz w:val="16"/>
                    </w:rPr>
                    <w:tab/>
                    <w:t>en temas técnicos, al personal de DIGEF, realizados.</w:t>
                  </w:r>
                </w:p>
              </w:tc>
              <w:tc>
                <w:tcPr>
                  <w:tcW w:w="969" w:type="dxa"/>
                  <w:tcBorders>
                    <w:top w:val="single" w:sz="2" w:space="0" w:color="000000"/>
                    <w:left w:val="single" w:sz="2" w:space="0" w:color="000000"/>
                    <w:bottom w:val="single" w:sz="2" w:space="0" w:color="000000"/>
                    <w:right w:val="single" w:sz="2" w:space="0" w:color="000000"/>
                  </w:tcBorders>
                </w:tcPr>
                <w:p w14:paraId="3C22CA9D" w14:textId="77777777" w:rsidR="00053D93" w:rsidRDefault="00260B75">
                  <w:pPr>
                    <w:ind w:left="94" w:right="66"/>
                    <w:jc w:val="center"/>
                  </w:pPr>
                  <w:r>
                    <w:rPr>
                      <w:sz w:val="16"/>
                    </w:rPr>
                    <w:t>Acciones No: 123;</w:t>
                  </w:r>
                </w:p>
              </w:tc>
              <w:tc>
                <w:tcPr>
                  <w:tcW w:w="1193" w:type="dxa"/>
                  <w:tcBorders>
                    <w:top w:val="single" w:sz="2" w:space="0" w:color="000000"/>
                    <w:left w:val="single" w:sz="2" w:space="0" w:color="000000"/>
                    <w:bottom w:val="single" w:sz="2" w:space="0" w:color="000000"/>
                    <w:right w:val="single" w:sz="2" w:space="0" w:color="000000"/>
                  </w:tcBorders>
                  <w:vAlign w:val="bottom"/>
                </w:tcPr>
                <w:p w14:paraId="1DC3C69F" w14:textId="77777777" w:rsidR="00053D93" w:rsidRDefault="00260B75">
                  <w:pPr>
                    <w:ind w:left="392"/>
                  </w:pPr>
                  <w:r>
                    <w:rPr>
                      <w:rFonts w:ascii="Times New Roman" w:eastAsia="Times New Roman" w:hAnsi="Times New Roman" w:cs="Times New Roman"/>
                      <w:sz w:val="16"/>
                    </w:rPr>
                    <w:t>429.200.00</w:t>
                  </w:r>
                </w:p>
              </w:tc>
              <w:tc>
                <w:tcPr>
                  <w:tcW w:w="1197" w:type="dxa"/>
                  <w:tcBorders>
                    <w:top w:val="single" w:sz="2" w:space="0" w:color="000000"/>
                    <w:left w:val="single" w:sz="2" w:space="0" w:color="000000"/>
                    <w:bottom w:val="single" w:sz="2" w:space="0" w:color="000000"/>
                    <w:right w:val="single" w:sz="2" w:space="0" w:color="000000"/>
                  </w:tcBorders>
                  <w:vAlign w:val="bottom"/>
                </w:tcPr>
                <w:p w14:paraId="7AA79694" w14:textId="77777777" w:rsidR="00053D93" w:rsidRDefault="00260B75">
                  <w:pPr>
                    <w:ind w:left="760"/>
                  </w:pPr>
                  <w:r>
                    <w:rPr>
                      <w:rFonts w:ascii="Times New Roman" w:eastAsia="Times New Roman" w:hAnsi="Times New Roman" w:cs="Times New Roman"/>
                      <w:sz w:val="16"/>
                    </w:rPr>
                    <w:t>0.00</w:t>
                  </w:r>
                </w:p>
              </w:tc>
              <w:tc>
                <w:tcPr>
                  <w:tcW w:w="1155" w:type="dxa"/>
                  <w:tcBorders>
                    <w:top w:val="single" w:sz="2" w:space="0" w:color="000000"/>
                    <w:left w:val="single" w:sz="2" w:space="0" w:color="000000"/>
                    <w:bottom w:val="single" w:sz="2" w:space="0" w:color="000000"/>
                    <w:right w:val="single" w:sz="2" w:space="0" w:color="000000"/>
                  </w:tcBorders>
                  <w:vAlign w:val="bottom"/>
                </w:tcPr>
                <w:p w14:paraId="0A489D49" w14:textId="77777777" w:rsidR="00053D93" w:rsidRDefault="00260B75">
                  <w:pPr>
                    <w:ind w:left="355"/>
                  </w:pPr>
                  <w:r>
                    <w:rPr>
                      <w:rFonts w:ascii="Times New Roman" w:eastAsia="Times New Roman" w:hAnsi="Times New Roman" w:cs="Times New Roman"/>
                      <w:sz w:val="16"/>
                    </w:rPr>
                    <w:t>429,200.00</w:t>
                  </w:r>
                </w:p>
              </w:tc>
              <w:tc>
                <w:tcPr>
                  <w:tcW w:w="847" w:type="dxa"/>
                  <w:tcBorders>
                    <w:top w:val="single" w:sz="2" w:space="0" w:color="000000"/>
                    <w:left w:val="single" w:sz="2" w:space="0" w:color="000000"/>
                    <w:bottom w:val="single" w:sz="2" w:space="0" w:color="000000"/>
                    <w:right w:val="single" w:sz="2" w:space="0" w:color="000000"/>
                  </w:tcBorders>
                  <w:vAlign w:val="bottom"/>
                </w:tcPr>
                <w:p w14:paraId="1EC6B431" w14:textId="77777777" w:rsidR="00053D93" w:rsidRDefault="00260B75">
                  <w:pPr>
                    <w:ind w:left="367"/>
                  </w:pPr>
                  <w:r>
                    <w:rPr>
                      <w:rFonts w:ascii="Times New Roman" w:eastAsia="Times New Roman" w:hAnsi="Times New Roman" w:cs="Times New Roman"/>
                      <w:sz w:val="16"/>
                    </w:rPr>
                    <w:t>0.00%</w:t>
                  </w:r>
                </w:p>
              </w:tc>
            </w:tr>
            <w:tr w:rsidR="00053D93" w14:paraId="0515B206" w14:textId="77777777">
              <w:trPr>
                <w:trHeight w:val="913"/>
              </w:trPr>
              <w:tc>
                <w:tcPr>
                  <w:tcW w:w="236" w:type="dxa"/>
                  <w:tcBorders>
                    <w:top w:val="single" w:sz="2" w:space="0" w:color="000000"/>
                    <w:left w:val="single" w:sz="2" w:space="0" w:color="000000"/>
                    <w:bottom w:val="single" w:sz="2" w:space="0" w:color="000000"/>
                    <w:right w:val="single" w:sz="2" w:space="0" w:color="000000"/>
                  </w:tcBorders>
                </w:tcPr>
                <w:p w14:paraId="15335998" w14:textId="77777777" w:rsidR="00053D93" w:rsidRDefault="00260B75">
                  <w:pPr>
                    <w:ind w:left="67"/>
                  </w:pPr>
                  <w:r>
                    <w:rPr>
                      <w:rFonts w:ascii="Times New Roman" w:eastAsia="Times New Roman" w:hAnsi="Times New Roman" w:cs="Times New Roman"/>
                      <w:sz w:val="18"/>
                    </w:rPr>
                    <w:t>3</w:t>
                  </w:r>
                </w:p>
              </w:tc>
              <w:tc>
                <w:tcPr>
                  <w:tcW w:w="1235" w:type="dxa"/>
                  <w:gridSpan w:val="3"/>
                  <w:tcBorders>
                    <w:top w:val="single" w:sz="2" w:space="0" w:color="000000"/>
                    <w:left w:val="single" w:sz="2" w:space="0" w:color="000000"/>
                    <w:bottom w:val="single" w:sz="2" w:space="0" w:color="000000"/>
                    <w:right w:val="single" w:sz="2" w:space="0" w:color="000000"/>
                  </w:tcBorders>
                </w:tcPr>
                <w:p w14:paraId="6E00E80B" w14:textId="77777777" w:rsidR="00053D93" w:rsidRDefault="00260B75">
                  <w:pPr>
                    <w:ind w:left="79"/>
                    <w:jc w:val="center"/>
                  </w:pPr>
                  <w:r>
                    <w:rPr>
                      <w:rFonts w:ascii="Times New Roman" w:eastAsia="Times New Roman" w:hAnsi="Times New Roman" w:cs="Times New Roman"/>
                      <w:sz w:val="16"/>
                    </w:rPr>
                    <w:t>199; 211; 233;</w:t>
                  </w:r>
                </w:p>
                <w:p w14:paraId="33D2E74E" w14:textId="77777777" w:rsidR="00053D93" w:rsidRDefault="00260B75">
                  <w:pPr>
                    <w:ind w:left="72"/>
                    <w:jc w:val="center"/>
                  </w:pPr>
                  <w:r>
                    <w:rPr>
                      <w:rFonts w:ascii="Times New Roman" w:eastAsia="Times New Roman" w:hAnsi="Times New Roman" w:cs="Times New Roman"/>
                      <w:sz w:val="16"/>
                    </w:rPr>
                    <w:t>268; 294; 141;</w:t>
                  </w:r>
                </w:p>
                <w:p w14:paraId="3D00782C" w14:textId="77777777" w:rsidR="00053D93" w:rsidRDefault="00260B75">
                  <w:pPr>
                    <w:ind w:left="94"/>
                    <w:jc w:val="center"/>
                  </w:pPr>
                  <w:r>
                    <w:rPr>
                      <w:sz w:val="16"/>
                    </w:rPr>
                    <w:t>196 y 232</w:t>
                  </w:r>
                </w:p>
              </w:tc>
              <w:tc>
                <w:tcPr>
                  <w:tcW w:w="1555" w:type="dxa"/>
                  <w:tcBorders>
                    <w:top w:val="single" w:sz="2" w:space="0" w:color="000000"/>
                    <w:left w:val="single" w:sz="2" w:space="0" w:color="000000"/>
                    <w:bottom w:val="single" w:sz="2" w:space="0" w:color="000000"/>
                    <w:right w:val="single" w:sz="2" w:space="0" w:color="000000"/>
                  </w:tcBorders>
                </w:tcPr>
                <w:p w14:paraId="560F0BD8" w14:textId="77777777" w:rsidR="00053D93" w:rsidRDefault="00260B75">
                  <w:pPr>
                    <w:ind w:left="79" w:firstLine="14"/>
                  </w:pPr>
                  <w:r>
                    <w:rPr>
                      <w:sz w:val="16"/>
                    </w:rPr>
                    <w:t>Eventos de gestión interinstitucionales. nacionales internacionales realizados.</w:t>
                  </w:r>
                </w:p>
              </w:tc>
              <w:tc>
                <w:tcPr>
                  <w:tcW w:w="969" w:type="dxa"/>
                  <w:tcBorders>
                    <w:top w:val="single" w:sz="2" w:space="0" w:color="000000"/>
                    <w:left w:val="single" w:sz="2" w:space="0" w:color="000000"/>
                    <w:bottom w:val="single" w:sz="2" w:space="0" w:color="000000"/>
                    <w:right w:val="single" w:sz="2" w:space="0" w:color="000000"/>
                  </w:tcBorders>
                </w:tcPr>
                <w:p w14:paraId="1A4651D6" w14:textId="77777777" w:rsidR="00053D93" w:rsidRDefault="00260B75">
                  <w:pPr>
                    <w:ind w:left="360" w:hanging="223"/>
                  </w:pPr>
                  <w:r>
                    <w:rPr>
                      <w:sz w:val="16"/>
                    </w:rPr>
                    <w:t xml:space="preserve">Acción No. </w:t>
                  </w:r>
                  <w:r>
                    <w:rPr>
                      <w:rFonts w:ascii="Times New Roman" w:eastAsia="Times New Roman" w:hAnsi="Times New Roman" w:cs="Times New Roman"/>
                      <w:sz w:val="16"/>
                    </w:rPr>
                    <w:t>129.</w:t>
                  </w:r>
                </w:p>
              </w:tc>
              <w:tc>
                <w:tcPr>
                  <w:tcW w:w="1193" w:type="dxa"/>
                  <w:tcBorders>
                    <w:top w:val="single" w:sz="2" w:space="0" w:color="000000"/>
                    <w:left w:val="single" w:sz="2" w:space="0" w:color="000000"/>
                    <w:bottom w:val="single" w:sz="2" w:space="0" w:color="000000"/>
                    <w:right w:val="single" w:sz="2" w:space="0" w:color="000000"/>
                  </w:tcBorders>
                </w:tcPr>
                <w:p w14:paraId="16BE3598" w14:textId="77777777" w:rsidR="00053D93" w:rsidRDefault="00053D93"/>
              </w:tc>
              <w:tc>
                <w:tcPr>
                  <w:tcW w:w="1197" w:type="dxa"/>
                  <w:tcBorders>
                    <w:top w:val="single" w:sz="2" w:space="0" w:color="000000"/>
                    <w:left w:val="single" w:sz="2" w:space="0" w:color="000000"/>
                    <w:bottom w:val="single" w:sz="2" w:space="0" w:color="000000"/>
                    <w:right w:val="single" w:sz="2" w:space="0" w:color="000000"/>
                  </w:tcBorders>
                  <w:vAlign w:val="bottom"/>
                </w:tcPr>
                <w:p w14:paraId="1A1ABA33" w14:textId="77777777" w:rsidR="00053D93" w:rsidRDefault="00260B75">
                  <w:pPr>
                    <w:ind w:left="415"/>
                  </w:pPr>
                  <w:r>
                    <w:rPr>
                      <w:rFonts w:ascii="Times New Roman" w:eastAsia="Times New Roman" w:hAnsi="Times New Roman" w:cs="Times New Roman"/>
                      <w:sz w:val="16"/>
                    </w:rPr>
                    <w:t>192,092.90</w:t>
                  </w:r>
                </w:p>
              </w:tc>
              <w:tc>
                <w:tcPr>
                  <w:tcW w:w="1155" w:type="dxa"/>
                  <w:tcBorders>
                    <w:top w:val="single" w:sz="2" w:space="0" w:color="000000"/>
                    <w:left w:val="single" w:sz="2" w:space="0" w:color="000000"/>
                    <w:bottom w:val="single" w:sz="2" w:space="0" w:color="000000"/>
                    <w:right w:val="single" w:sz="2" w:space="0" w:color="000000"/>
                  </w:tcBorders>
                  <w:vAlign w:val="bottom"/>
                </w:tcPr>
                <w:p w14:paraId="0E65EFED" w14:textId="77777777" w:rsidR="00053D93" w:rsidRDefault="00260B75">
                  <w:pPr>
                    <w:ind w:left="370"/>
                  </w:pPr>
                  <w:r>
                    <w:rPr>
                      <w:rFonts w:ascii="Times New Roman" w:eastAsia="Times New Roman" w:hAnsi="Times New Roman" w:cs="Times New Roman"/>
                      <w:sz w:val="16"/>
                    </w:rPr>
                    <w:t>814,707.10</w:t>
                  </w:r>
                </w:p>
              </w:tc>
              <w:tc>
                <w:tcPr>
                  <w:tcW w:w="847" w:type="dxa"/>
                  <w:tcBorders>
                    <w:top w:val="single" w:sz="2" w:space="0" w:color="000000"/>
                    <w:left w:val="single" w:sz="2" w:space="0" w:color="000000"/>
                    <w:bottom w:val="single" w:sz="2" w:space="0" w:color="000000"/>
                    <w:right w:val="single" w:sz="2" w:space="0" w:color="000000"/>
                  </w:tcBorders>
                  <w:vAlign w:val="bottom"/>
                </w:tcPr>
                <w:p w14:paraId="77B20FD1" w14:textId="77777777" w:rsidR="00053D93" w:rsidRDefault="00260B75">
                  <w:pPr>
                    <w:ind w:left="302"/>
                  </w:pPr>
                  <w:r>
                    <w:rPr>
                      <w:rFonts w:ascii="Times New Roman" w:eastAsia="Times New Roman" w:hAnsi="Times New Roman" w:cs="Times New Roman"/>
                      <w:sz w:val="16"/>
                    </w:rPr>
                    <w:t>19.08%</w:t>
                  </w:r>
                </w:p>
              </w:tc>
            </w:tr>
            <w:tr w:rsidR="00053D93" w14:paraId="216839B3" w14:textId="77777777">
              <w:trPr>
                <w:trHeight w:val="1125"/>
              </w:trPr>
              <w:tc>
                <w:tcPr>
                  <w:tcW w:w="236" w:type="dxa"/>
                  <w:vMerge w:val="restart"/>
                  <w:tcBorders>
                    <w:top w:val="single" w:sz="2" w:space="0" w:color="000000"/>
                    <w:left w:val="single" w:sz="2" w:space="0" w:color="000000"/>
                    <w:bottom w:val="nil"/>
                    <w:right w:val="single" w:sz="2" w:space="0" w:color="000000"/>
                  </w:tcBorders>
                </w:tcPr>
                <w:p w14:paraId="2C5B55A4" w14:textId="77777777" w:rsidR="00053D93" w:rsidRDefault="00260B75">
                  <w:pPr>
                    <w:ind w:left="67"/>
                  </w:pPr>
                  <w:r>
                    <w:rPr>
                      <w:rFonts w:ascii="Times New Roman" w:eastAsia="Times New Roman" w:hAnsi="Times New Roman" w:cs="Times New Roman"/>
                      <w:sz w:val="14"/>
                    </w:rPr>
                    <w:t>4</w:t>
                  </w:r>
                </w:p>
              </w:tc>
              <w:tc>
                <w:tcPr>
                  <w:tcW w:w="1235" w:type="dxa"/>
                  <w:gridSpan w:val="3"/>
                  <w:tcBorders>
                    <w:top w:val="single" w:sz="2" w:space="0" w:color="000000"/>
                    <w:left w:val="single" w:sz="2" w:space="0" w:color="000000"/>
                    <w:bottom w:val="nil"/>
                    <w:right w:val="single" w:sz="2" w:space="0" w:color="000000"/>
                  </w:tcBorders>
                </w:tcPr>
                <w:p w14:paraId="46F136AA" w14:textId="77777777" w:rsidR="00053D93" w:rsidRDefault="00053D93"/>
              </w:tc>
              <w:tc>
                <w:tcPr>
                  <w:tcW w:w="1555" w:type="dxa"/>
                  <w:tcBorders>
                    <w:top w:val="single" w:sz="2" w:space="0" w:color="000000"/>
                    <w:left w:val="single" w:sz="2" w:space="0" w:color="000000"/>
                    <w:bottom w:val="single" w:sz="2" w:space="0" w:color="000000"/>
                    <w:right w:val="single" w:sz="2" w:space="0" w:color="000000"/>
                  </w:tcBorders>
                </w:tcPr>
                <w:p w14:paraId="2ECAF98A" w14:textId="77777777" w:rsidR="00053D93" w:rsidRDefault="00260B75">
                  <w:pPr>
                    <w:ind w:left="86"/>
                  </w:pPr>
                  <w:r>
                    <w:rPr>
                      <w:sz w:val="18"/>
                    </w:rPr>
                    <w:t>Eventos</w:t>
                  </w:r>
                  <w:r>
                    <w:rPr>
                      <w:sz w:val="18"/>
                    </w:rPr>
                    <w:tab/>
                    <w:t>de capacitación</w:t>
                  </w:r>
                </w:p>
              </w:tc>
              <w:tc>
                <w:tcPr>
                  <w:tcW w:w="969" w:type="dxa"/>
                  <w:tcBorders>
                    <w:top w:val="single" w:sz="2" w:space="0" w:color="000000"/>
                    <w:left w:val="single" w:sz="2" w:space="0" w:color="000000"/>
                    <w:bottom w:val="single" w:sz="2" w:space="0" w:color="000000"/>
                    <w:right w:val="single" w:sz="2" w:space="0" w:color="000000"/>
                  </w:tcBorders>
                </w:tcPr>
                <w:p w14:paraId="3BD3FE8C" w14:textId="77777777" w:rsidR="00053D93" w:rsidRDefault="00260B75">
                  <w:pPr>
                    <w:ind w:left="21"/>
                    <w:jc w:val="center"/>
                  </w:pPr>
                  <w:r>
                    <w:rPr>
                      <w:sz w:val="16"/>
                    </w:rPr>
                    <w:t>Acciones</w:t>
                  </w:r>
                </w:p>
                <w:p w14:paraId="4ED90B6A" w14:textId="77777777" w:rsidR="00053D93" w:rsidRDefault="00260B75">
                  <w:pPr>
                    <w:ind w:left="360" w:hanging="166"/>
                  </w:pPr>
                  <w:r>
                    <w:rPr>
                      <w:sz w:val="16"/>
                    </w:rPr>
                    <w:t xml:space="preserve">No: 120 y </w:t>
                  </w:r>
                  <w:r>
                    <w:rPr>
                      <w:rFonts w:ascii="Times New Roman" w:eastAsia="Times New Roman" w:hAnsi="Times New Roman" w:cs="Times New Roman"/>
                      <w:sz w:val="16"/>
                    </w:rPr>
                    <w:t>122.</w:t>
                  </w:r>
                </w:p>
              </w:tc>
              <w:tc>
                <w:tcPr>
                  <w:tcW w:w="1193" w:type="dxa"/>
                  <w:tcBorders>
                    <w:top w:val="single" w:sz="2" w:space="0" w:color="000000"/>
                    <w:left w:val="single" w:sz="2" w:space="0" w:color="000000"/>
                    <w:bottom w:val="single" w:sz="2" w:space="0" w:color="000000"/>
                    <w:right w:val="single" w:sz="2" w:space="0" w:color="000000"/>
                  </w:tcBorders>
                </w:tcPr>
                <w:p w14:paraId="7797B114" w14:textId="77777777" w:rsidR="00053D93" w:rsidRDefault="00053D93"/>
              </w:tc>
              <w:tc>
                <w:tcPr>
                  <w:tcW w:w="1197" w:type="dxa"/>
                  <w:tcBorders>
                    <w:top w:val="single" w:sz="2" w:space="0" w:color="000000"/>
                    <w:left w:val="single" w:sz="2" w:space="0" w:color="000000"/>
                    <w:bottom w:val="single" w:sz="2" w:space="0" w:color="000000"/>
                    <w:right w:val="single" w:sz="2" w:space="0" w:color="000000"/>
                  </w:tcBorders>
                </w:tcPr>
                <w:p w14:paraId="117148BA" w14:textId="77777777" w:rsidR="00053D93" w:rsidRDefault="00053D93"/>
              </w:tc>
              <w:tc>
                <w:tcPr>
                  <w:tcW w:w="1155" w:type="dxa"/>
                  <w:tcBorders>
                    <w:top w:val="single" w:sz="2" w:space="0" w:color="000000"/>
                    <w:left w:val="single" w:sz="2" w:space="0" w:color="000000"/>
                    <w:bottom w:val="single" w:sz="2" w:space="0" w:color="000000"/>
                    <w:right w:val="single" w:sz="2" w:space="0" w:color="000000"/>
                  </w:tcBorders>
                </w:tcPr>
                <w:p w14:paraId="41FFAFCF" w14:textId="77777777" w:rsidR="00053D93" w:rsidRDefault="00053D93"/>
              </w:tc>
              <w:tc>
                <w:tcPr>
                  <w:tcW w:w="847" w:type="dxa"/>
                  <w:tcBorders>
                    <w:top w:val="single" w:sz="2" w:space="0" w:color="000000"/>
                    <w:left w:val="single" w:sz="2" w:space="0" w:color="000000"/>
                    <w:bottom w:val="single" w:sz="2" w:space="0" w:color="000000"/>
                    <w:right w:val="single" w:sz="2" w:space="0" w:color="000000"/>
                  </w:tcBorders>
                </w:tcPr>
                <w:p w14:paraId="0908606F" w14:textId="77777777" w:rsidR="00053D93" w:rsidRDefault="00053D93"/>
              </w:tc>
            </w:tr>
            <w:tr w:rsidR="00053D93" w14:paraId="6E99073C" w14:textId="77777777">
              <w:trPr>
                <w:trHeight w:val="612"/>
              </w:trPr>
              <w:tc>
                <w:tcPr>
                  <w:tcW w:w="0" w:type="auto"/>
                  <w:vMerge/>
                  <w:tcBorders>
                    <w:top w:val="nil"/>
                    <w:left w:val="single" w:sz="2" w:space="0" w:color="000000"/>
                    <w:bottom w:val="nil"/>
                    <w:right w:val="single" w:sz="2" w:space="0" w:color="000000"/>
                  </w:tcBorders>
                </w:tcPr>
                <w:p w14:paraId="367A446C" w14:textId="77777777" w:rsidR="00053D93" w:rsidRDefault="00053D93"/>
              </w:tc>
              <w:tc>
                <w:tcPr>
                  <w:tcW w:w="364" w:type="dxa"/>
                  <w:tcBorders>
                    <w:top w:val="nil"/>
                    <w:left w:val="single" w:sz="2" w:space="0" w:color="000000"/>
                    <w:bottom w:val="nil"/>
                    <w:right w:val="single" w:sz="2" w:space="0" w:color="000000"/>
                  </w:tcBorders>
                </w:tcPr>
                <w:p w14:paraId="0B9FA626" w14:textId="77777777" w:rsidR="00053D93" w:rsidRDefault="00053D93"/>
              </w:tc>
              <w:tc>
                <w:tcPr>
                  <w:tcW w:w="176" w:type="dxa"/>
                  <w:tcBorders>
                    <w:top w:val="nil"/>
                    <w:left w:val="single" w:sz="2" w:space="0" w:color="000000"/>
                    <w:bottom w:val="nil"/>
                    <w:right w:val="single" w:sz="2" w:space="0" w:color="000000"/>
                  </w:tcBorders>
                </w:tcPr>
                <w:p w14:paraId="06B5BB27" w14:textId="77777777" w:rsidR="00053D93" w:rsidRDefault="00053D93"/>
              </w:tc>
              <w:tc>
                <w:tcPr>
                  <w:tcW w:w="694" w:type="dxa"/>
                  <w:tcBorders>
                    <w:top w:val="single" w:sz="2" w:space="0" w:color="000000"/>
                    <w:left w:val="single" w:sz="2" w:space="0" w:color="000000"/>
                    <w:bottom w:val="nil"/>
                    <w:right w:val="nil"/>
                  </w:tcBorders>
                </w:tcPr>
                <w:p w14:paraId="04D97541" w14:textId="77777777" w:rsidR="00053D93" w:rsidRDefault="00053D93"/>
              </w:tc>
              <w:tc>
                <w:tcPr>
                  <w:tcW w:w="4915" w:type="dxa"/>
                  <w:gridSpan w:val="4"/>
                  <w:tcBorders>
                    <w:top w:val="single" w:sz="2" w:space="0" w:color="000000"/>
                    <w:left w:val="nil"/>
                    <w:bottom w:val="nil"/>
                    <w:right w:val="nil"/>
                  </w:tcBorders>
                </w:tcPr>
                <w:p w14:paraId="2573E6ED" w14:textId="77777777" w:rsidR="00053D93" w:rsidRDefault="00260B75">
                  <w:pPr>
                    <w:ind w:left="460"/>
                    <w:jc w:val="center"/>
                  </w:pPr>
                  <w:r>
                    <w:rPr>
                      <w:sz w:val="14"/>
                    </w:rPr>
                    <w:t>MtNlSTERi0 OE EDUCACION</w:t>
                  </w:r>
                </w:p>
                <w:p w14:paraId="6A6EE14B" w14:textId="77777777" w:rsidR="00053D93" w:rsidRDefault="00260B75">
                  <w:pPr>
                    <w:ind w:left="1382"/>
                  </w:pPr>
                  <w:r>
                    <w:rPr>
                      <w:sz w:val="14"/>
                    </w:rPr>
                    <w:t>AUDITORIA FINANCIERA Y DE CUMPLIMIENTO</w:t>
                  </w:r>
                </w:p>
                <w:p w14:paraId="3AC5FA39" w14:textId="77777777" w:rsidR="00053D93" w:rsidRDefault="00260B75">
                  <w:pPr>
                    <w:ind w:left="1037"/>
                  </w:pPr>
                  <w:r>
                    <w:rPr>
                      <w:sz w:val="16"/>
                    </w:rPr>
                    <w:t>PERIODO DEL 01 DE ENERO AL 31 DE DICIEMBRE DE 2024</w:t>
                  </w:r>
                </w:p>
              </w:tc>
              <w:tc>
                <w:tcPr>
                  <w:tcW w:w="1155" w:type="dxa"/>
                  <w:tcBorders>
                    <w:top w:val="single" w:sz="2" w:space="0" w:color="000000"/>
                    <w:left w:val="nil"/>
                    <w:bottom w:val="nil"/>
                    <w:right w:val="nil"/>
                  </w:tcBorders>
                </w:tcPr>
                <w:p w14:paraId="581D3FD6" w14:textId="77777777" w:rsidR="00053D93" w:rsidRDefault="00053D93"/>
              </w:tc>
              <w:tc>
                <w:tcPr>
                  <w:tcW w:w="847" w:type="dxa"/>
                  <w:tcBorders>
                    <w:top w:val="single" w:sz="2" w:space="0" w:color="000000"/>
                    <w:left w:val="nil"/>
                    <w:bottom w:val="nil"/>
                    <w:right w:val="nil"/>
                  </w:tcBorders>
                </w:tcPr>
                <w:p w14:paraId="7526DA7E" w14:textId="77777777" w:rsidR="00053D93" w:rsidRDefault="00053D93"/>
              </w:tc>
            </w:tr>
          </w:tbl>
          <w:p w14:paraId="7FB7858D" w14:textId="77777777" w:rsidR="00053D93" w:rsidRDefault="00053D93"/>
        </w:tc>
      </w:tr>
    </w:tbl>
    <w:p w14:paraId="036FF6DA" w14:textId="77777777" w:rsidR="00053D93" w:rsidRDefault="00053D93">
      <w:pPr>
        <w:sectPr w:rsidR="00053D93">
          <w:headerReference w:type="even" r:id="rId1006"/>
          <w:headerReference w:type="default" r:id="rId1007"/>
          <w:footerReference w:type="even" r:id="rId1008"/>
          <w:footerReference w:type="default" r:id="rId1009"/>
          <w:headerReference w:type="first" r:id="rId1010"/>
          <w:footerReference w:type="first" r:id="rId1011"/>
          <w:pgSz w:w="12290" w:h="15883"/>
          <w:pgMar w:top="608" w:right="1778" w:bottom="410" w:left="288" w:header="641" w:footer="720" w:gutter="0"/>
          <w:cols w:space="720"/>
        </w:sectPr>
      </w:pPr>
    </w:p>
    <w:p w14:paraId="795DC908" w14:textId="77777777" w:rsidR="00053D93" w:rsidRDefault="00260B75">
      <w:pPr>
        <w:spacing w:line="265" w:lineRule="auto"/>
        <w:ind w:left="1737" w:hanging="10"/>
      </w:pPr>
      <w:r>
        <w:rPr>
          <w:sz w:val="14"/>
        </w:rPr>
        <w:lastRenderedPageBreak/>
        <w:t xml:space="preserve">CONTRAI.ORIA </w:t>
      </w:r>
    </w:p>
    <w:tbl>
      <w:tblPr>
        <w:tblStyle w:val="TableGrid"/>
        <w:tblW w:w="9401" w:type="dxa"/>
        <w:tblInd w:w="814" w:type="dxa"/>
        <w:tblLook w:val="04A0" w:firstRow="1" w:lastRow="0" w:firstColumn="1" w:lastColumn="0" w:noHBand="0" w:noVBand="1"/>
      </w:tblPr>
      <w:tblGrid>
        <w:gridCol w:w="910"/>
        <w:gridCol w:w="107"/>
        <w:gridCol w:w="224"/>
        <w:gridCol w:w="1143"/>
        <w:gridCol w:w="1962"/>
        <w:gridCol w:w="1061"/>
        <w:gridCol w:w="1666"/>
        <w:gridCol w:w="1649"/>
        <w:gridCol w:w="1628"/>
        <w:gridCol w:w="1170"/>
        <w:gridCol w:w="21"/>
      </w:tblGrid>
      <w:tr w:rsidR="00053D93" w14:paraId="2728218E" w14:textId="77777777">
        <w:trPr>
          <w:trHeight w:val="13903"/>
        </w:trPr>
        <w:tc>
          <w:tcPr>
            <w:tcW w:w="1017" w:type="dxa"/>
            <w:gridSpan w:val="2"/>
            <w:tcBorders>
              <w:top w:val="nil"/>
              <w:left w:val="nil"/>
              <w:bottom w:val="nil"/>
              <w:right w:val="nil"/>
            </w:tcBorders>
            <w:vAlign w:val="bottom"/>
          </w:tcPr>
          <w:p w14:paraId="1DF62ED2" w14:textId="77777777" w:rsidR="00053D93" w:rsidRDefault="00260B75">
            <w:r>
              <w:rPr>
                <w:noProof/>
              </w:rPr>
              <w:lastRenderedPageBreak/>
              <w:drawing>
                <wp:inline distT="0" distB="0" distL="0" distR="0" wp14:anchorId="4002F418" wp14:editId="4C5B0EFD">
                  <wp:extent cx="640080" cy="411480"/>
                  <wp:effectExtent l="0" t="0" r="0" b="0"/>
                  <wp:docPr id="2458554" name="Picture 2458554"/>
                  <wp:cNvGraphicFramePr/>
                  <a:graphic xmlns:a="http://schemas.openxmlformats.org/drawingml/2006/main">
                    <a:graphicData uri="http://schemas.openxmlformats.org/drawingml/2006/picture">
                      <pic:pic xmlns:pic="http://schemas.openxmlformats.org/drawingml/2006/picture">
                        <pic:nvPicPr>
                          <pic:cNvPr id="2458554" name="Picture 2458554"/>
                          <pic:cNvPicPr/>
                        </pic:nvPicPr>
                        <pic:blipFill>
                          <a:blip r:embed="rId1012"/>
                          <a:stretch>
                            <a:fillRect/>
                          </a:stretch>
                        </pic:blipFill>
                        <pic:spPr>
                          <a:xfrm>
                            <a:off x="0" y="0"/>
                            <a:ext cx="640080" cy="411480"/>
                          </a:xfrm>
                          <a:prstGeom prst="rect">
                            <a:avLst/>
                          </a:prstGeom>
                        </pic:spPr>
                      </pic:pic>
                    </a:graphicData>
                  </a:graphic>
                </wp:inline>
              </w:drawing>
            </w:r>
          </w:p>
        </w:tc>
        <w:tc>
          <w:tcPr>
            <w:tcW w:w="8383" w:type="dxa"/>
            <w:gridSpan w:val="9"/>
            <w:tcBorders>
              <w:top w:val="nil"/>
              <w:left w:val="nil"/>
              <w:bottom w:val="nil"/>
              <w:right w:val="nil"/>
            </w:tcBorders>
          </w:tcPr>
          <w:p w14:paraId="086EEBF5" w14:textId="77777777" w:rsidR="00053D93" w:rsidRDefault="00053D93">
            <w:pPr>
              <w:ind w:left="-2112" w:right="10495"/>
            </w:pPr>
          </w:p>
          <w:tbl>
            <w:tblPr>
              <w:tblStyle w:val="TableGrid"/>
              <w:tblW w:w="8374" w:type="dxa"/>
              <w:tblInd w:w="9" w:type="dxa"/>
              <w:tblCellMar>
                <w:left w:w="24" w:type="dxa"/>
              </w:tblCellMar>
              <w:tblLook w:val="04A0" w:firstRow="1" w:lastRow="0" w:firstColumn="1" w:lastColumn="0" w:noHBand="0" w:noVBand="1"/>
            </w:tblPr>
            <w:tblGrid>
              <w:gridCol w:w="290"/>
              <w:gridCol w:w="331"/>
              <w:gridCol w:w="212"/>
              <w:gridCol w:w="705"/>
              <w:gridCol w:w="1535"/>
              <w:gridCol w:w="942"/>
              <w:gridCol w:w="1192"/>
              <w:gridCol w:w="1183"/>
              <w:gridCol w:w="1144"/>
              <w:gridCol w:w="840"/>
            </w:tblGrid>
            <w:tr w:rsidR="00053D93" w14:paraId="597F9209" w14:textId="77777777">
              <w:trPr>
                <w:trHeight w:val="598"/>
              </w:trPr>
              <w:tc>
                <w:tcPr>
                  <w:tcW w:w="240" w:type="dxa"/>
                  <w:tcBorders>
                    <w:top w:val="single" w:sz="2" w:space="0" w:color="000000"/>
                    <w:left w:val="single" w:sz="2" w:space="0" w:color="000000"/>
                    <w:bottom w:val="single" w:sz="2" w:space="0" w:color="000000"/>
                    <w:right w:val="single" w:sz="2" w:space="0" w:color="000000"/>
                  </w:tcBorders>
                </w:tcPr>
                <w:p w14:paraId="225EDC4A" w14:textId="77777777" w:rsidR="00053D93" w:rsidRDefault="00053D93"/>
              </w:tc>
              <w:tc>
                <w:tcPr>
                  <w:tcW w:w="1228" w:type="dxa"/>
                  <w:gridSpan w:val="3"/>
                  <w:tcBorders>
                    <w:top w:val="single" w:sz="2" w:space="0" w:color="000000"/>
                    <w:left w:val="single" w:sz="2" w:space="0" w:color="000000"/>
                    <w:bottom w:val="single" w:sz="2" w:space="0" w:color="000000"/>
                    <w:right w:val="single" w:sz="2" w:space="0" w:color="000000"/>
                  </w:tcBorders>
                </w:tcPr>
                <w:p w14:paraId="2C35C4E5" w14:textId="77777777" w:rsidR="00053D93" w:rsidRDefault="00053D93"/>
              </w:tc>
              <w:tc>
                <w:tcPr>
                  <w:tcW w:w="1548" w:type="dxa"/>
                  <w:tcBorders>
                    <w:top w:val="single" w:sz="2" w:space="0" w:color="000000"/>
                    <w:left w:val="single" w:sz="2" w:space="0" w:color="000000"/>
                    <w:bottom w:val="single" w:sz="2" w:space="0" w:color="000000"/>
                    <w:right w:val="single" w:sz="2" w:space="0" w:color="000000"/>
                  </w:tcBorders>
                </w:tcPr>
                <w:p w14:paraId="25CF6002" w14:textId="77777777" w:rsidR="00053D93" w:rsidRDefault="00260B75">
                  <w:pPr>
                    <w:ind w:left="50" w:right="98"/>
                    <w:jc w:val="both"/>
                  </w:pPr>
                  <w:r>
                    <w:rPr>
                      <w:sz w:val="16"/>
                    </w:rPr>
                    <w:t xml:space="preserve">administrativos, </w:t>
                  </w:r>
                  <w:r>
                    <w:rPr>
                      <w:rFonts w:ascii="Times New Roman" w:eastAsia="Times New Roman" w:hAnsi="Times New Roman" w:cs="Times New Roman"/>
                      <w:sz w:val="16"/>
                    </w:rPr>
                    <w:t xml:space="preserve">al </w:t>
                  </w:r>
                  <w:r>
                    <w:rPr>
                      <w:sz w:val="16"/>
                    </w:rPr>
                    <w:t>personal de DIGEF, realizados.</w:t>
                  </w:r>
                </w:p>
              </w:tc>
              <w:tc>
                <w:tcPr>
                  <w:tcW w:w="968" w:type="dxa"/>
                  <w:tcBorders>
                    <w:top w:val="single" w:sz="2" w:space="0" w:color="000000"/>
                    <w:left w:val="single" w:sz="2" w:space="0" w:color="000000"/>
                    <w:bottom w:val="single" w:sz="2" w:space="0" w:color="000000"/>
                    <w:right w:val="single" w:sz="2" w:space="0" w:color="000000"/>
                  </w:tcBorders>
                </w:tcPr>
                <w:p w14:paraId="1FA2E5E6" w14:textId="77777777" w:rsidR="00053D93" w:rsidRDefault="00053D93"/>
              </w:tc>
              <w:tc>
                <w:tcPr>
                  <w:tcW w:w="1192" w:type="dxa"/>
                  <w:tcBorders>
                    <w:top w:val="single" w:sz="2" w:space="0" w:color="000000"/>
                    <w:left w:val="single" w:sz="2" w:space="0" w:color="000000"/>
                    <w:bottom w:val="single" w:sz="2" w:space="0" w:color="000000"/>
                    <w:right w:val="single" w:sz="2" w:space="0" w:color="000000"/>
                  </w:tcBorders>
                  <w:vAlign w:val="bottom"/>
                </w:tcPr>
                <w:p w14:paraId="475A72BC" w14:textId="77777777" w:rsidR="00053D93" w:rsidRDefault="00260B75">
                  <w:pPr>
                    <w:ind w:left="372"/>
                  </w:pPr>
                  <w:r>
                    <w:rPr>
                      <w:sz w:val="16"/>
                    </w:rPr>
                    <w:t>269,505.oo</w:t>
                  </w:r>
                </w:p>
              </w:tc>
              <w:tc>
                <w:tcPr>
                  <w:tcW w:w="1195" w:type="dxa"/>
                  <w:tcBorders>
                    <w:top w:val="single" w:sz="2" w:space="0" w:color="000000"/>
                    <w:left w:val="single" w:sz="2" w:space="0" w:color="000000"/>
                    <w:bottom w:val="single" w:sz="2" w:space="0" w:color="000000"/>
                    <w:right w:val="single" w:sz="2" w:space="0" w:color="000000"/>
                  </w:tcBorders>
                  <w:vAlign w:val="bottom"/>
                </w:tcPr>
                <w:p w14:paraId="73F06964" w14:textId="77777777" w:rsidR="00053D93" w:rsidRDefault="00260B75">
                  <w:pPr>
                    <w:ind w:right="91"/>
                    <w:jc w:val="right"/>
                  </w:pPr>
                  <w:r>
                    <w:rPr>
                      <w:sz w:val="16"/>
                    </w:rPr>
                    <w:t>19, 1 oo.oo</w:t>
                  </w:r>
                </w:p>
              </w:tc>
              <w:tc>
                <w:tcPr>
                  <w:tcW w:w="1155" w:type="dxa"/>
                  <w:tcBorders>
                    <w:top w:val="single" w:sz="2" w:space="0" w:color="000000"/>
                    <w:left w:val="single" w:sz="2" w:space="0" w:color="000000"/>
                    <w:bottom w:val="single" w:sz="2" w:space="0" w:color="000000"/>
                    <w:right w:val="single" w:sz="2" w:space="0" w:color="000000"/>
                  </w:tcBorders>
                  <w:vAlign w:val="bottom"/>
                </w:tcPr>
                <w:p w14:paraId="69080C06" w14:textId="77777777" w:rsidR="00053D93" w:rsidRDefault="00260B75">
                  <w:pPr>
                    <w:ind w:left="324"/>
                  </w:pPr>
                  <w:r>
                    <w:rPr>
                      <w:rFonts w:ascii="Times New Roman" w:eastAsia="Times New Roman" w:hAnsi="Times New Roman" w:cs="Times New Roman"/>
                      <w:sz w:val="16"/>
                    </w:rPr>
                    <w:t>250.405.00</w:t>
                  </w:r>
                </w:p>
              </w:tc>
              <w:tc>
                <w:tcPr>
                  <w:tcW w:w="847" w:type="dxa"/>
                  <w:tcBorders>
                    <w:top w:val="single" w:sz="2" w:space="0" w:color="000000"/>
                    <w:left w:val="single" w:sz="2" w:space="0" w:color="000000"/>
                    <w:bottom w:val="single" w:sz="2" w:space="0" w:color="000000"/>
                    <w:right w:val="single" w:sz="2" w:space="0" w:color="000000"/>
                  </w:tcBorders>
                  <w:vAlign w:val="bottom"/>
                </w:tcPr>
                <w:p w14:paraId="74C23531" w14:textId="77777777" w:rsidR="00053D93" w:rsidRDefault="00260B75">
                  <w:pPr>
                    <w:ind w:left="336"/>
                  </w:pPr>
                  <w:r>
                    <w:rPr>
                      <w:rFonts w:ascii="Times New Roman" w:eastAsia="Times New Roman" w:hAnsi="Times New Roman" w:cs="Times New Roman"/>
                      <w:sz w:val="16"/>
                    </w:rPr>
                    <w:t>7.09%</w:t>
                  </w:r>
                </w:p>
              </w:tc>
            </w:tr>
            <w:tr w:rsidR="00053D93" w14:paraId="46D5FFB0" w14:textId="77777777">
              <w:trPr>
                <w:trHeight w:val="789"/>
              </w:trPr>
              <w:tc>
                <w:tcPr>
                  <w:tcW w:w="240" w:type="dxa"/>
                  <w:tcBorders>
                    <w:top w:val="single" w:sz="2" w:space="0" w:color="000000"/>
                    <w:left w:val="single" w:sz="2" w:space="0" w:color="000000"/>
                    <w:bottom w:val="single" w:sz="2" w:space="0" w:color="000000"/>
                    <w:right w:val="single" w:sz="2" w:space="0" w:color="000000"/>
                  </w:tcBorders>
                </w:tcPr>
                <w:p w14:paraId="0E123937" w14:textId="77777777" w:rsidR="00053D93" w:rsidRDefault="00260B75">
                  <w:pPr>
                    <w:ind w:left="29"/>
                  </w:pPr>
                  <w:r>
                    <w:rPr>
                      <w:rFonts w:ascii="Times New Roman" w:eastAsia="Times New Roman" w:hAnsi="Times New Roman" w:cs="Times New Roman"/>
                      <w:sz w:val="18"/>
                    </w:rPr>
                    <w:t>5</w:t>
                  </w:r>
                </w:p>
              </w:tc>
              <w:tc>
                <w:tcPr>
                  <w:tcW w:w="1228" w:type="dxa"/>
                  <w:gridSpan w:val="3"/>
                  <w:tcBorders>
                    <w:top w:val="single" w:sz="2" w:space="0" w:color="000000"/>
                    <w:left w:val="single" w:sz="2" w:space="0" w:color="000000"/>
                    <w:bottom w:val="single" w:sz="2" w:space="0" w:color="000000"/>
                    <w:right w:val="single" w:sz="2" w:space="0" w:color="000000"/>
                  </w:tcBorders>
                </w:tcPr>
                <w:p w14:paraId="6C29B391" w14:textId="77777777" w:rsidR="00053D93" w:rsidRDefault="00260B75">
                  <w:pPr>
                    <w:jc w:val="center"/>
                  </w:pPr>
                  <w:r>
                    <w:rPr>
                      <w:rFonts w:ascii="Times New Roman" w:eastAsia="Times New Roman" w:hAnsi="Times New Roman" w:cs="Times New Roman"/>
                      <w:sz w:val="16"/>
                    </w:rPr>
                    <w:t>211; 233; 294;</w:t>
                  </w:r>
                </w:p>
                <w:p w14:paraId="16DAB18C" w14:textId="77777777" w:rsidR="00053D93" w:rsidRDefault="00260B75">
                  <w:pPr>
                    <w:ind w:left="7"/>
                    <w:jc w:val="center"/>
                  </w:pPr>
                  <w:r>
                    <w:rPr>
                      <w:rFonts w:ascii="Times New Roman" w:eastAsia="Times New Roman" w:hAnsi="Times New Roman" w:cs="Times New Roman"/>
                      <w:sz w:val="16"/>
                    </w:rPr>
                    <w:t>196; 199; 268;</w:t>
                  </w:r>
                </w:p>
                <w:p w14:paraId="5EDA02AD" w14:textId="77777777" w:rsidR="00053D93" w:rsidRDefault="00260B75">
                  <w:pPr>
                    <w:jc w:val="center"/>
                  </w:pPr>
                  <w:r>
                    <w:rPr>
                      <w:rFonts w:ascii="Times New Roman" w:eastAsia="Times New Roman" w:hAnsi="Times New Roman" w:cs="Times New Roman"/>
                      <w:sz w:val="16"/>
                    </w:rPr>
                    <w:t>232; 246; 261;</w:t>
                  </w:r>
                </w:p>
                <w:p w14:paraId="6CA5973D" w14:textId="77777777" w:rsidR="00053D93" w:rsidRDefault="00260B75">
                  <w:pPr>
                    <w:ind w:left="7"/>
                    <w:jc w:val="center"/>
                  </w:pPr>
                  <w:r>
                    <w:rPr>
                      <w:sz w:val="16"/>
                    </w:rPr>
                    <w:t>267; 293 y 299</w:t>
                  </w:r>
                </w:p>
              </w:tc>
              <w:tc>
                <w:tcPr>
                  <w:tcW w:w="1548" w:type="dxa"/>
                  <w:tcBorders>
                    <w:top w:val="single" w:sz="2" w:space="0" w:color="000000"/>
                    <w:left w:val="single" w:sz="2" w:space="0" w:color="000000"/>
                    <w:bottom w:val="single" w:sz="2" w:space="0" w:color="000000"/>
                    <w:right w:val="single" w:sz="2" w:space="0" w:color="000000"/>
                  </w:tcBorders>
                </w:tcPr>
                <w:p w14:paraId="27A7EAAF" w14:textId="77777777" w:rsidR="00053D93" w:rsidRDefault="00260B75">
                  <w:pPr>
                    <w:spacing w:line="224" w:lineRule="auto"/>
                    <w:ind w:left="50" w:firstLine="7"/>
                  </w:pPr>
                  <w:r>
                    <w:rPr>
                      <w:sz w:val="20"/>
                    </w:rPr>
                    <w:t>Estudiantes atendidos</w:t>
                  </w:r>
                </w:p>
                <w:p w14:paraId="6FE30839" w14:textId="77777777" w:rsidR="00053D93" w:rsidRDefault="00260B75">
                  <w:pPr>
                    <w:ind w:left="58"/>
                  </w:pPr>
                  <w:r>
                    <w:rPr>
                      <w:sz w:val="16"/>
                    </w:rPr>
                    <w:t>Recreación Escolar</w:t>
                  </w:r>
                </w:p>
              </w:tc>
              <w:tc>
                <w:tcPr>
                  <w:tcW w:w="968" w:type="dxa"/>
                  <w:tcBorders>
                    <w:top w:val="single" w:sz="2" w:space="0" w:color="000000"/>
                    <w:left w:val="single" w:sz="2" w:space="0" w:color="000000"/>
                    <w:bottom w:val="single" w:sz="2" w:space="0" w:color="000000"/>
                    <w:right w:val="single" w:sz="2" w:space="0" w:color="000000"/>
                  </w:tcBorders>
                </w:tcPr>
                <w:p w14:paraId="73BF6BF0" w14:textId="77777777" w:rsidR="00053D93" w:rsidRDefault="00260B75">
                  <w:pPr>
                    <w:spacing w:after="185"/>
                    <w:ind w:right="50"/>
                    <w:jc w:val="center"/>
                  </w:pPr>
                  <w:r>
                    <w:rPr>
                      <w:sz w:val="16"/>
                    </w:rPr>
                    <w:t>Acciones</w:t>
                  </w:r>
                </w:p>
                <w:p w14:paraId="119CD27F" w14:textId="77777777" w:rsidR="00053D93" w:rsidRDefault="00260B75">
                  <w:pPr>
                    <w:ind w:left="324" w:hanging="194"/>
                  </w:pPr>
                  <w:r>
                    <w:rPr>
                      <w:sz w:val="16"/>
                    </w:rPr>
                    <w:t xml:space="preserve">178; 179 y </w:t>
                  </w:r>
                  <w:r>
                    <w:rPr>
                      <w:rFonts w:ascii="Times New Roman" w:eastAsia="Times New Roman" w:hAnsi="Times New Roman" w:cs="Times New Roman"/>
                      <w:sz w:val="16"/>
                    </w:rPr>
                    <w:t>181.</w:t>
                  </w:r>
                </w:p>
              </w:tc>
              <w:tc>
                <w:tcPr>
                  <w:tcW w:w="1192" w:type="dxa"/>
                  <w:tcBorders>
                    <w:top w:val="single" w:sz="2" w:space="0" w:color="000000"/>
                    <w:left w:val="single" w:sz="2" w:space="0" w:color="000000"/>
                    <w:bottom w:val="single" w:sz="2" w:space="0" w:color="000000"/>
                    <w:right w:val="single" w:sz="2" w:space="0" w:color="000000"/>
                  </w:tcBorders>
                  <w:vAlign w:val="bottom"/>
                </w:tcPr>
                <w:p w14:paraId="484412CD" w14:textId="77777777" w:rsidR="00053D93" w:rsidRDefault="00260B75">
                  <w:pPr>
                    <w:ind w:left="249"/>
                  </w:pPr>
                  <w:r>
                    <w:rPr>
                      <w:rFonts w:ascii="Times New Roman" w:eastAsia="Times New Roman" w:hAnsi="Times New Roman" w:cs="Times New Roman"/>
                      <w:sz w:val="16"/>
                    </w:rPr>
                    <w:t>4.357.075.00</w:t>
                  </w:r>
                </w:p>
              </w:tc>
              <w:tc>
                <w:tcPr>
                  <w:tcW w:w="1195" w:type="dxa"/>
                  <w:tcBorders>
                    <w:top w:val="single" w:sz="2" w:space="0" w:color="000000"/>
                    <w:left w:val="single" w:sz="2" w:space="0" w:color="000000"/>
                    <w:bottom w:val="single" w:sz="2" w:space="0" w:color="000000"/>
                    <w:right w:val="single" w:sz="2" w:space="0" w:color="000000"/>
                  </w:tcBorders>
                  <w:vAlign w:val="bottom"/>
                </w:tcPr>
                <w:p w14:paraId="769212F1" w14:textId="77777777" w:rsidR="00053D93" w:rsidRDefault="00260B75">
                  <w:pPr>
                    <w:ind w:left="360"/>
                  </w:pPr>
                  <w:r>
                    <w:rPr>
                      <w:rFonts w:ascii="Times New Roman" w:eastAsia="Times New Roman" w:hAnsi="Times New Roman" w:cs="Times New Roman"/>
                      <w:sz w:val="16"/>
                    </w:rPr>
                    <w:t>408.625.00</w:t>
                  </w:r>
                </w:p>
              </w:tc>
              <w:tc>
                <w:tcPr>
                  <w:tcW w:w="1155" w:type="dxa"/>
                  <w:tcBorders>
                    <w:top w:val="single" w:sz="2" w:space="0" w:color="000000"/>
                    <w:left w:val="single" w:sz="2" w:space="0" w:color="000000"/>
                    <w:bottom w:val="single" w:sz="2" w:space="0" w:color="000000"/>
                    <w:right w:val="single" w:sz="2" w:space="0" w:color="000000"/>
                  </w:tcBorders>
                  <w:vAlign w:val="bottom"/>
                </w:tcPr>
                <w:p w14:paraId="5CEDAAE6" w14:textId="77777777" w:rsidR="00053D93" w:rsidRDefault="00260B75">
                  <w:pPr>
                    <w:ind w:left="202"/>
                  </w:pPr>
                  <w:r>
                    <w:rPr>
                      <w:rFonts w:ascii="Times New Roman" w:eastAsia="Times New Roman" w:hAnsi="Times New Roman" w:cs="Times New Roman"/>
                      <w:sz w:val="16"/>
                    </w:rPr>
                    <w:t>3.948.450.00</w:t>
                  </w:r>
                </w:p>
              </w:tc>
              <w:tc>
                <w:tcPr>
                  <w:tcW w:w="847" w:type="dxa"/>
                  <w:tcBorders>
                    <w:top w:val="single" w:sz="2" w:space="0" w:color="000000"/>
                    <w:left w:val="single" w:sz="2" w:space="0" w:color="000000"/>
                    <w:bottom w:val="single" w:sz="2" w:space="0" w:color="000000"/>
                    <w:right w:val="single" w:sz="2" w:space="0" w:color="000000"/>
                  </w:tcBorders>
                  <w:vAlign w:val="bottom"/>
                </w:tcPr>
                <w:p w14:paraId="24C2236E" w14:textId="77777777" w:rsidR="00053D93" w:rsidRDefault="00260B75">
                  <w:pPr>
                    <w:ind w:left="328"/>
                  </w:pPr>
                  <w:r>
                    <w:rPr>
                      <w:rFonts w:ascii="Times New Roman" w:eastAsia="Times New Roman" w:hAnsi="Times New Roman" w:cs="Times New Roman"/>
                      <w:sz w:val="14"/>
                    </w:rPr>
                    <w:t>9.380/0</w:t>
                  </w:r>
                </w:p>
              </w:tc>
            </w:tr>
            <w:tr w:rsidR="00053D93" w14:paraId="4E077845" w14:textId="77777777">
              <w:trPr>
                <w:trHeight w:val="1495"/>
              </w:trPr>
              <w:tc>
                <w:tcPr>
                  <w:tcW w:w="240" w:type="dxa"/>
                  <w:tcBorders>
                    <w:top w:val="single" w:sz="2" w:space="0" w:color="000000"/>
                    <w:left w:val="single" w:sz="2" w:space="0" w:color="000000"/>
                    <w:bottom w:val="single" w:sz="2" w:space="0" w:color="000000"/>
                    <w:right w:val="single" w:sz="2" w:space="0" w:color="000000"/>
                  </w:tcBorders>
                </w:tcPr>
                <w:p w14:paraId="1ABEDCC7" w14:textId="77777777" w:rsidR="00053D93" w:rsidRDefault="00260B75">
                  <w:pPr>
                    <w:ind w:left="36"/>
                  </w:pPr>
                  <w:r>
                    <w:rPr>
                      <w:rFonts w:ascii="Times New Roman" w:eastAsia="Times New Roman" w:hAnsi="Times New Roman" w:cs="Times New Roman"/>
                      <w:sz w:val="18"/>
                    </w:rPr>
                    <w:t>6</w:t>
                  </w:r>
                </w:p>
              </w:tc>
              <w:tc>
                <w:tcPr>
                  <w:tcW w:w="1228" w:type="dxa"/>
                  <w:gridSpan w:val="3"/>
                  <w:tcBorders>
                    <w:top w:val="single" w:sz="2" w:space="0" w:color="000000"/>
                    <w:left w:val="single" w:sz="2" w:space="0" w:color="000000"/>
                    <w:bottom w:val="single" w:sz="2" w:space="0" w:color="000000"/>
                    <w:right w:val="single" w:sz="2" w:space="0" w:color="000000"/>
                  </w:tcBorders>
                </w:tcPr>
                <w:p w14:paraId="27288FF7" w14:textId="77777777" w:rsidR="00053D93" w:rsidRDefault="00260B75">
                  <w:pPr>
                    <w:ind w:left="14"/>
                    <w:jc w:val="center"/>
                  </w:pPr>
                  <w:r>
                    <w:rPr>
                      <w:rFonts w:ascii="Times New Roman" w:eastAsia="Times New Roman" w:hAnsi="Times New Roman" w:cs="Times New Roman"/>
                      <w:sz w:val="16"/>
                    </w:rPr>
                    <w:t>211; 294; 299;</w:t>
                  </w:r>
                </w:p>
                <w:p w14:paraId="5A27D01E" w14:textId="77777777" w:rsidR="00053D93" w:rsidRDefault="00260B75">
                  <w:pPr>
                    <w:ind w:left="1"/>
                    <w:jc w:val="center"/>
                  </w:pPr>
                  <w:r>
                    <w:rPr>
                      <w:rFonts w:ascii="Times New Roman" w:eastAsia="Times New Roman" w:hAnsi="Times New Roman" w:cs="Times New Roman"/>
                      <w:sz w:val="16"/>
                    </w:rPr>
                    <w:t>233; 268; 232 y 189.</w:t>
                  </w:r>
                </w:p>
              </w:tc>
              <w:tc>
                <w:tcPr>
                  <w:tcW w:w="1548" w:type="dxa"/>
                  <w:tcBorders>
                    <w:top w:val="single" w:sz="2" w:space="0" w:color="000000"/>
                    <w:left w:val="single" w:sz="2" w:space="0" w:color="000000"/>
                    <w:bottom w:val="single" w:sz="2" w:space="0" w:color="000000"/>
                    <w:right w:val="single" w:sz="2" w:space="0" w:color="000000"/>
                  </w:tcBorders>
                </w:tcPr>
                <w:p w14:paraId="4468037D" w14:textId="77777777" w:rsidR="00053D93" w:rsidRDefault="00260B75">
                  <w:pPr>
                    <w:ind w:left="50" w:right="84" w:firstLine="7"/>
                    <w:jc w:val="both"/>
                  </w:pPr>
                  <w:r>
                    <w:rPr>
                      <w:sz w:val="16"/>
                    </w:rPr>
                    <w:t>Estudiantes atendidos en Eventos de Deporte Juvenil</w:t>
                  </w:r>
                </w:p>
              </w:tc>
              <w:tc>
                <w:tcPr>
                  <w:tcW w:w="968" w:type="dxa"/>
                  <w:tcBorders>
                    <w:top w:val="single" w:sz="2" w:space="0" w:color="000000"/>
                    <w:left w:val="single" w:sz="2" w:space="0" w:color="000000"/>
                    <w:bottom w:val="single" w:sz="2" w:space="0" w:color="000000"/>
                    <w:right w:val="single" w:sz="2" w:space="0" w:color="000000"/>
                  </w:tcBorders>
                </w:tcPr>
                <w:p w14:paraId="655A9E29" w14:textId="77777777" w:rsidR="00053D93" w:rsidRDefault="00260B75">
                  <w:pPr>
                    <w:ind w:left="158"/>
                  </w:pPr>
                  <w:r>
                    <w:rPr>
                      <w:sz w:val="16"/>
                    </w:rPr>
                    <w:t>Acciones</w:t>
                  </w:r>
                </w:p>
                <w:p w14:paraId="60727D3C" w14:textId="77777777" w:rsidR="00053D93" w:rsidRDefault="00260B75">
                  <w:pPr>
                    <w:ind w:left="187"/>
                  </w:pPr>
                  <w:r>
                    <w:rPr>
                      <w:sz w:val="16"/>
                    </w:rPr>
                    <w:t>No: 160</w:t>
                  </w:r>
                </w:p>
                <w:p w14:paraId="233B47AE" w14:textId="77777777" w:rsidR="00053D93" w:rsidRDefault="00260B75">
                  <w:pPr>
                    <w:ind w:left="166"/>
                  </w:pPr>
                  <w:r>
                    <w:rPr>
                      <w:rFonts w:ascii="Times New Roman" w:eastAsia="Times New Roman" w:hAnsi="Times New Roman" w:cs="Times New Roman"/>
                      <w:sz w:val="16"/>
                    </w:rPr>
                    <w:t>190; 168</w:t>
                  </w:r>
                </w:p>
                <w:p w14:paraId="3439B2BB" w14:textId="77777777" w:rsidR="00053D93" w:rsidRDefault="00260B75">
                  <w:pPr>
                    <w:ind w:left="173"/>
                  </w:pPr>
                  <w:r>
                    <w:rPr>
                      <w:rFonts w:ascii="Times New Roman" w:eastAsia="Times New Roman" w:hAnsi="Times New Roman" w:cs="Times New Roman"/>
                      <w:sz w:val="16"/>
                    </w:rPr>
                    <w:t>191; 162</w:t>
                  </w:r>
                </w:p>
                <w:p w14:paraId="248A8594" w14:textId="77777777" w:rsidR="00053D93" w:rsidRDefault="00260B75">
                  <w:pPr>
                    <w:ind w:left="166"/>
                  </w:pPr>
                  <w:r>
                    <w:rPr>
                      <w:rFonts w:ascii="Times New Roman" w:eastAsia="Times New Roman" w:hAnsi="Times New Roman" w:cs="Times New Roman"/>
                      <w:sz w:val="16"/>
                    </w:rPr>
                    <w:t>166; 154</w:t>
                  </w:r>
                </w:p>
                <w:p w14:paraId="713349D7" w14:textId="77777777" w:rsidR="00053D93" w:rsidRDefault="00260B75">
                  <w:pPr>
                    <w:ind w:left="173"/>
                  </w:pPr>
                  <w:r>
                    <w:rPr>
                      <w:rFonts w:ascii="Times New Roman" w:eastAsia="Times New Roman" w:hAnsi="Times New Roman" w:cs="Times New Roman"/>
                      <w:sz w:val="16"/>
                    </w:rPr>
                    <w:t>194; 165</w:t>
                  </w:r>
                </w:p>
                <w:p w14:paraId="57A4BD75" w14:textId="77777777" w:rsidR="00053D93" w:rsidRDefault="00260B75">
                  <w:pPr>
                    <w:ind w:left="173"/>
                  </w:pPr>
                  <w:r>
                    <w:rPr>
                      <w:rFonts w:ascii="Times New Roman" w:eastAsia="Times New Roman" w:hAnsi="Times New Roman" w:cs="Times New Roman"/>
                      <w:sz w:val="16"/>
                    </w:rPr>
                    <w:t>193; 192</w:t>
                  </w:r>
                </w:p>
              </w:tc>
              <w:tc>
                <w:tcPr>
                  <w:tcW w:w="1192" w:type="dxa"/>
                  <w:tcBorders>
                    <w:top w:val="single" w:sz="2" w:space="0" w:color="000000"/>
                    <w:left w:val="single" w:sz="2" w:space="0" w:color="000000"/>
                    <w:bottom w:val="single" w:sz="2" w:space="0" w:color="000000"/>
                    <w:right w:val="single" w:sz="2" w:space="0" w:color="000000"/>
                  </w:tcBorders>
                </w:tcPr>
                <w:p w14:paraId="6605112F" w14:textId="77777777" w:rsidR="00053D93" w:rsidRDefault="00053D93"/>
              </w:tc>
              <w:tc>
                <w:tcPr>
                  <w:tcW w:w="1195" w:type="dxa"/>
                  <w:tcBorders>
                    <w:top w:val="single" w:sz="2" w:space="0" w:color="000000"/>
                    <w:left w:val="single" w:sz="2" w:space="0" w:color="000000"/>
                    <w:bottom w:val="single" w:sz="2" w:space="0" w:color="000000"/>
                    <w:right w:val="single" w:sz="2" w:space="0" w:color="000000"/>
                  </w:tcBorders>
                </w:tcPr>
                <w:p w14:paraId="6B71368D" w14:textId="77777777" w:rsidR="00053D93" w:rsidRDefault="00053D93"/>
              </w:tc>
              <w:tc>
                <w:tcPr>
                  <w:tcW w:w="1155" w:type="dxa"/>
                  <w:tcBorders>
                    <w:top w:val="single" w:sz="2" w:space="0" w:color="000000"/>
                    <w:left w:val="single" w:sz="2" w:space="0" w:color="000000"/>
                    <w:bottom w:val="single" w:sz="2" w:space="0" w:color="000000"/>
                    <w:right w:val="single" w:sz="2" w:space="0" w:color="000000"/>
                  </w:tcBorders>
                  <w:vAlign w:val="bottom"/>
                </w:tcPr>
                <w:p w14:paraId="7146B070" w14:textId="77777777" w:rsidR="00053D93" w:rsidRDefault="00260B75">
                  <w:pPr>
                    <w:ind w:left="209"/>
                  </w:pPr>
                  <w:r>
                    <w:rPr>
                      <w:rFonts w:ascii="Times New Roman" w:eastAsia="Times New Roman" w:hAnsi="Times New Roman" w:cs="Times New Roman"/>
                      <w:sz w:val="16"/>
                    </w:rPr>
                    <w:t>3237,447.24</w:t>
                  </w:r>
                </w:p>
              </w:tc>
              <w:tc>
                <w:tcPr>
                  <w:tcW w:w="847" w:type="dxa"/>
                  <w:tcBorders>
                    <w:top w:val="single" w:sz="2" w:space="0" w:color="000000"/>
                    <w:left w:val="single" w:sz="2" w:space="0" w:color="000000"/>
                    <w:bottom w:val="single" w:sz="2" w:space="0" w:color="000000"/>
                    <w:right w:val="single" w:sz="2" w:space="0" w:color="000000"/>
                  </w:tcBorders>
                  <w:vAlign w:val="bottom"/>
                </w:tcPr>
                <w:p w14:paraId="3FEBA436" w14:textId="77777777" w:rsidR="00053D93" w:rsidRDefault="00260B75">
                  <w:pPr>
                    <w:ind w:left="249"/>
                  </w:pPr>
                  <w:r>
                    <w:rPr>
                      <w:rFonts w:ascii="Times New Roman" w:eastAsia="Times New Roman" w:hAnsi="Times New Roman" w:cs="Times New Roman"/>
                      <w:sz w:val="16"/>
                    </w:rPr>
                    <w:t>40.70%</w:t>
                  </w:r>
                </w:p>
              </w:tc>
            </w:tr>
            <w:tr w:rsidR="00053D93" w14:paraId="0413D56B" w14:textId="77777777">
              <w:trPr>
                <w:trHeight w:val="1164"/>
              </w:trPr>
              <w:tc>
                <w:tcPr>
                  <w:tcW w:w="240" w:type="dxa"/>
                  <w:tcBorders>
                    <w:top w:val="single" w:sz="2" w:space="0" w:color="000000"/>
                    <w:left w:val="single" w:sz="2" w:space="0" w:color="000000"/>
                    <w:bottom w:val="single" w:sz="2" w:space="0" w:color="000000"/>
                    <w:right w:val="single" w:sz="2" w:space="0" w:color="000000"/>
                  </w:tcBorders>
                </w:tcPr>
                <w:p w14:paraId="0F9DC1F1" w14:textId="77777777" w:rsidR="00053D93" w:rsidRDefault="00260B75">
                  <w:pPr>
                    <w:ind w:left="43"/>
                  </w:pPr>
                  <w:r>
                    <w:rPr>
                      <w:rFonts w:ascii="Times New Roman" w:eastAsia="Times New Roman" w:hAnsi="Times New Roman" w:cs="Times New Roman"/>
                      <w:sz w:val="16"/>
                    </w:rPr>
                    <w:t>7</w:t>
                  </w:r>
                </w:p>
              </w:tc>
              <w:tc>
                <w:tcPr>
                  <w:tcW w:w="1228" w:type="dxa"/>
                  <w:gridSpan w:val="3"/>
                  <w:tcBorders>
                    <w:top w:val="single" w:sz="2" w:space="0" w:color="000000"/>
                    <w:left w:val="single" w:sz="2" w:space="0" w:color="000000"/>
                    <w:bottom w:val="single" w:sz="2" w:space="0" w:color="000000"/>
                    <w:right w:val="single" w:sz="2" w:space="0" w:color="000000"/>
                  </w:tcBorders>
                  <w:vAlign w:val="bottom"/>
                </w:tcPr>
                <w:p w14:paraId="3225E9FB" w14:textId="77777777" w:rsidR="00053D93" w:rsidRDefault="00260B75">
                  <w:pPr>
                    <w:ind w:left="177"/>
                  </w:pPr>
                  <w:r>
                    <w:rPr>
                      <w:rFonts w:ascii="Times New Roman" w:eastAsia="Times New Roman" w:hAnsi="Times New Roman" w:cs="Times New Roman"/>
                      <w:sz w:val="16"/>
                    </w:rPr>
                    <w:t>141; 155; 187;</w:t>
                  </w:r>
                </w:p>
                <w:p w14:paraId="738E1B32" w14:textId="77777777" w:rsidR="00053D93" w:rsidRDefault="00260B75">
                  <w:pPr>
                    <w:ind w:left="170" w:right="141"/>
                  </w:pPr>
                  <w:r>
                    <w:rPr>
                      <w:noProof/>
                    </w:rPr>
                    <w:drawing>
                      <wp:anchor distT="0" distB="0" distL="114300" distR="114300" simplePos="0" relativeHeight="252067840" behindDoc="0" locked="0" layoutInCell="1" allowOverlap="0" wp14:anchorId="5C5AEAAE" wp14:editId="26EA0F32">
                        <wp:simplePos x="0" y="0"/>
                        <wp:positionH relativeFrom="column">
                          <wp:posOffset>672084</wp:posOffset>
                        </wp:positionH>
                        <wp:positionV relativeFrom="paragraph">
                          <wp:posOffset>13716</wp:posOffset>
                        </wp:positionV>
                        <wp:extent cx="18288" cy="438912"/>
                        <wp:effectExtent l="0" t="0" r="0" b="0"/>
                        <wp:wrapSquare wrapText="bothSides"/>
                        <wp:docPr id="696023" name="Picture 696023"/>
                        <wp:cNvGraphicFramePr/>
                        <a:graphic xmlns:a="http://schemas.openxmlformats.org/drawingml/2006/main">
                          <a:graphicData uri="http://schemas.openxmlformats.org/drawingml/2006/picture">
                            <pic:pic xmlns:pic="http://schemas.openxmlformats.org/drawingml/2006/picture">
                              <pic:nvPicPr>
                                <pic:cNvPr id="696023" name="Picture 696023"/>
                                <pic:cNvPicPr/>
                              </pic:nvPicPr>
                              <pic:blipFill>
                                <a:blip r:embed="rId1013"/>
                                <a:stretch>
                                  <a:fillRect/>
                                </a:stretch>
                              </pic:blipFill>
                              <pic:spPr>
                                <a:xfrm>
                                  <a:off x="0" y="0"/>
                                  <a:ext cx="18288" cy="438912"/>
                                </a:xfrm>
                                <a:prstGeom prst="rect">
                                  <a:avLst/>
                                </a:prstGeom>
                              </pic:spPr>
                            </pic:pic>
                          </a:graphicData>
                        </a:graphic>
                      </wp:anchor>
                    </w:drawing>
                  </w:r>
                  <w:r>
                    <w:rPr>
                      <w:rFonts w:ascii="Times New Roman" w:eastAsia="Times New Roman" w:hAnsi="Times New Roman" w:cs="Times New Roman"/>
                      <w:sz w:val="16"/>
                    </w:rPr>
                    <w:t>196; 211; 233</w:t>
                  </w:r>
                </w:p>
                <w:p w14:paraId="2DB64547" w14:textId="77777777" w:rsidR="00053D93" w:rsidRDefault="00260B75">
                  <w:pPr>
                    <w:ind w:left="170" w:right="141"/>
                  </w:pPr>
                  <w:r>
                    <w:rPr>
                      <w:rFonts w:ascii="Times New Roman" w:eastAsia="Times New Roman" w:hAnsi="Times New Roman" w:cs="Times New Roman"/>
                      <w:sz w:val="16"/>
                    </w:rPr>
                    <w:t>182; 189; 261</w:t>
                  </w:r>
                </w:p>
                <w:p w14:paraId="448C6EDD" w14:textId="77777777" w:rsidR="00053D93" w:rsidRDefault="00260B75">
                  <w:pPr>
                    <w:ind w:left="163" w:right="141"/>
                  </w:pPr>
                  <w:r>
                    <w:rPr>
                      <w:rFonts w:ascii="Times New Roman" w:eastAsia="Times New Roman" w:hAnsi="Times New Roman" w:cs="Times New Roman"/>
                      <w:sz w:val="16"/>
                    </w:rPr>
                    <w:t>295; 323; 328</w:t>
                  </w:r>
                </w:p>
                <w:p w14:paraId="5A85E55B" w14:textId="77777777" w:rsidR="00053D93" w:rsidRDefault="00260B75">
                  <w:pPr>
                    <w:ind w:left="170" w:right="141"/>
                  </w:pPr>
                  <w:r>
                    <w:rPr>
                      <w:rFonts w:ascii="Times New Roman" w:eastAsia="Times New Roman" w:hAnsi="Times New Roman" w:cs="Times New Roman"/>
                      <w:sz w:val="16"/>
                    </w:rPr>
                    <w:t>185; 239; 294</w:t>
                  </w:r>
                </w:p>
                <w:p w14:paraId="5DBCC26D" w14:textId="77777777" w:rsidR="00053D93" w:rsidRDefault="00260B75">
                  <w:pPr>
                    <w:ind w:left="36"/>
                    <w:jc w:val="center"/>
                  </w:pPr>
                  <w:r>
                    <w:rPr>
                      <w:rFonts w:ascii="Times New Roman" w:eastAsia="Times New Roman" w:hAnsi="Times New Roman" w:cs="Times New Roman"/>
                      <w:sz w:val="16"/>
                    </w:rPr>
                    <w:t>324 y 299</w:t>
                  </w:r>
                </w:p>
              </w:tc>
              <w:tc>
                <w:tcPr>
                  <w:tcW w:w="1548" w:type="dxa"/>
                  <w:tcBorders>
                    <w:top w:val="single" w:sz="2" w:space="0" w:color="000000"/>
                    <w:left w:val="single" w:sz="2" w:space="0" w:color="000000"/>
                    <w:bottom w:val="single" w:sz="2" w:space="0" w:color="000000"/>
                    <w:right w:val="single" w:sz="2" w:space="0" w:color="000000"/>
                  </w:tcBorders>
                </w:tcPr>
                <w:p w14:paraId="2D7BBECB" w14:textId="77777777" w:rsidR="00053D93" w:rsidRDefault="00260B75">
                  <w:pPr>
                    <w:ind w:left="58" w:right="77" w:firstLine="7"/>
                    <w:jc w:val="both"/>
                  </w:pPr>
                  <w:r>
                    <w:rPr>
                      <w:sz w:val="16"/>
                    </w:rPr>
                    <w:t>Estudiantes atendidos en iniciación deportiva escolar.</w:t>
                  </w:r>
                </w:p>
              </w:tc>
              <w:tc>
                <w:tcPr>
                  <w:tcW w:w="968" w:type="dxa"/>
                  <w:tcBorders>
                    <w:top w:val="single" w:sz="2" w:space="0" w:color="000000"/>
                    <w:left w:val="single" w:sz="2" w:space="0" w:color="000000"/>
                    <w:bottom w:val="single" w:sz="2" w:space="0" w:color="000000"/>
                    <w:right w:val="single" w:sz="2" w:space="0" w:color="000000"/>
                  </w:tcBorders>
                </w:tcPr>
                <w:p w14:paraId="7F533A7F" w14:textId="77777777" w:rsidR="00053D93" w:rsidRDefault="00260B75">
                  <w:pPr>
                    <w:spacing w:after="25" w:line="247" w:lineRule="auto"/>
                    <w:ind w:left="65" w:right="94"/>
                    <w:jc w:val="center"/>
                  </w:pPr>
                  <w:r>
                    <w:rPr>
                      <w:sz w:val="16"/>
                    </w:rPr>
                    <w:t>Acciones No: 175;</w:t>
                  </w:r>
                </w:p>
                <w:p w14:paraId="36F828A7" w14:textId="77777777" w:rsidR="00053D93" w:rsidRDefault="00260B75">
                  <w:pPr>
                    <w:ind w:left="7" w:right="14"/>
                    <w:jc w:val="center"/>
                  </w:pPr>
                  <w:r>
                    <w:rPr>
                      <w:sz w:val="16"/>
                    </w:rPr>
                    <w:t xml:space="preserve">180; 177 y </w:t>
                  </w:r>
                  <w:r>
                    <w:rPr>
                      <w:rFonts w:ascii="Times New Roman" w:eastAsia="Times New Roman" w:hAnsi="Times New Roman" w:cs="Times New Roman"/>
                      <w:sz w:val="16"/>
                    </w:rPr>
                    <w:t>172.</w:t>
                  </w:r>
                </w:p>
              </w:tc>
              <w:tc>
                <w:tcPr>
                  <w:tcW w:w="1192" w:type="dxa"/>
                  <w:tcBorders>
                    <w:top w:val="single" w:sz="2" w:space="0" w:color="000000"/>
                    <w:left w:val="single" w:sz="2" w:space="0" w:color="000000"/>
                    <w:bottom w:val="single" w:sz="2" w:space="0" w:color="000000"/>
                    <w:right w:val="single" w:sz="2" w:space="0" w:color="000000"/>
                  </w:tcBorders>
                  <w:vAlign w:val="bottom"/>
                </w:tcPr>
                <w:p w14:paraId="693C54B9" w14:textId="77777777" w:rsidR="00053D93" w:rsidRDefault="00260B75">
                  <w:pPr>
                    <w:ind w:left="185"/>
                  </w:pPr>
                  <w:r>
                    <w:rPr>
                      <w:sz w:val="16"/>
                    </w:rPr>
                    <w:t>36.900,775.OO</w:t>
                  </w:r>
                </w:p>
              </w:tc>
              <w:tc>
                <w:tcPr>
                  <w:tcW w:w="1195" w:type="dxa"/>
                  <w:tcBorders>
                    <w:top w:val="single" w:sz="2" w:space="0" w:color="000000"/>
                    <w:left w:val="single" w:sz="2" w:space="0" w:color="000000"/>
                    <w:bottom w:val="single" w:sz="2" w:space="0" w:color="000000"/>
                    <w:right w:val="single" w:sz="2" w:space="0" w:color="000000"/>
                  </w:tcBorders>
                </w:tcPr>
                <w:p w14:paraId="4A8B370A" w14:textId="77777777" w:rsidR="00053D93" w:rsidRDefault="00053D93"/>
              </w:tc>
              <w:tc>
                <w:tcPr>
                  <w:tcW w:w="1155" w:type="dxa"/>
                  <w:tcBorders>
                    <w:top w:val="single" w:sz="2" w:space="0" w:color="000000"/>
                    <w:left w:val="single" w:sz="2" w:space="0" w:color="000000"/>
                    <w:bottom w:val="single" w:sz="2" w:space="0" w:color="000000"/>
                    <w:right w:val="single" w:sz="2" w:space="0" w:color="000000"/>
                  </w:tcBorders>
                </w:tcPr>
                <w:p w14:paraId="59CB61CF" w14:textId="77777777" w:rsidR="00053D93" w:rsidRDefault="00053D93"/>
              </w:tc>
              <w:tc>
                <w:tcPr>
                  <w:tcW w:w="847" w:type="dxa"/>
                  <w:tcBorders>
                    <w:top w:val="single" w:sz="2" w:space="0" w:color="000000"/>
                    <w:left w:val="single" w:sz="2" w:space="0" w:color="000000"/>
                    <w:bottom w:val="single" w:sz="2" w:space="0" w:color="000000"/>
                    <w:right w:val="single" w:sz="2" w:space="0" w:color="000000"/>
                  </w:tcBorders>
                  <w:vAlign w:val="bottom"/>
                </w:tcPr>
                <w:p w14:paraId="6A74209B" w14:textId="77777777" w:rsidR="00053D93" w:rsidRDefault="00260B75">
                  <w:pPr>
                    <w:ind w:left="264"/>
                  </w:pPr>
                  <w:r>
                    <w:rPr>
                      <w:rFonts w:ascii="Times New Roman" w:eastAsia="Times New Roman" w:hAnsi="Times New Roman" w:cs="Times New Roman"/>
                      <w:sz w:val="16"/>
                    </w:rPr>
                    <w:t>56.84%</w:t>
                  </w:r>
                </w:p>
              </w:tc>
            </w:tr>
            <w:tr w:rsidR="00053D93" w14:paraId="3545B1F7" w14:textId="77777777">
              <w:trPr>
                <w:trHeight w:val="1232"/>
              </w:trPr>
              <w:tc>
                <w:tcPr>
                  <w:tcW w:w="240" w:type="dxa"/>
                  <w:tcBorders>
                    <w:top w:val="single" w:sz="2" w:space="0" w:color="000000"/>
                    <w:left w:val="single" w:sz="2" w:space="0" w:color="000000"/>
                    <w:bottom w:val="single" w:sz="2" w:space="0" w:color="000000"/>
                    <w:right w:val="single" w:sz="2" w:space="0" w:color="000000"/>
                  </w:tcBorders>
                </w:tcPr>
                <w:p w14:paraId="07EF2E0F" w14:textId="77777777" w:rsidR="00053D93" w:rsidRDefault="00260B75">
                  <w:pPr>
                    <w:ind w:left="43"/>
                  </w:pPr>
                  <w:r>
                    <w:rPr>
                      <w:rFonts w:ascii="Times New Roman" w:eastAsia="Times New Roman" w:hAnsi="Times New Roman" w:cs="Times New Roman"/>
                      <w:sz w:val="16"/>
                    </w:rPr>
                    <w:t>8</w:t>
                  </w:r>
                </w:p>
              </w:tc>
              <w:tc>
                <w:tcPr>
                  <w:tcW w:w="1228" w:type="dxa"/>
                  <w:gridSpan w:val="3"/>
                  <w:tcBorders>
                    <w:top w:val="single" w:sz="2" w:space="0" w:color="000000"/>
                    <w:left w:val="single" w:sz="2" w:space="0" w:color="000000"/>
                    <w:bottom w:val="single" w:sz="2" w:space="0" w:color="000000"/>
                    <w:right w:val="single" w:sz="2" w:space="0" w:color="000000"/>
                  </w:tcBorders>
                </w:tcPr>
                <w:p w14:paraId="7DC6B429" w14:textId="77777777" w:rsidR="00053D93" w:rsidRDefault="00260B75">
                  <w:pPr>
                    <w:ind w:left="29"/>
                    <w:jc w:val="center"/>
                  </w:pPr>
                  <w:r>
                    <w:rPr>
                      <w:rFonts w:ascii="Times New Roman" w:eastAsia="Times New Roman" w:hAnsi="Times New Roman" w:cs="Times New Roman"/>
                      <w:sz w:val="16"/>
                    </w:rPr>
                    <w:t>158; 211; 233;</w:t>
                  </w:r>
                </w:p>
                <w:p w14:paraId="4AFA8A5F" w14:textId="77777777" w:rsidR="00053D93" w:rsidRDefault="00260B75">
                  <w:pPr>
                    <w:ind w:left="22"/>
                    <w:jc w:val="center"/>
                  </w:pPr>
                  <w:r>
                    <w:rPr>
                      <w:rFonts w:ascii="Times New Roman" w:eastAsia="Times New Roman" w:hAnsi="Times New Roman" w:cs="Times New Roman"/>
                      <w:sz w:val="16"/>
                    </w:rPr>
                    <w:t>294; 185; 291;</w:t>
                  </w:r>
                </w:p>
                <w:p w14:paraId="089B338F" w14:textId="77777777" w:rsidR="00053D93" w:rsidRDefault="00260B75">
                  <w:pPr>
                    <w:ind w:left="36"/>
                    <w:jc w:val="center"/>
                  </w:pPr>
                  <w:r>
                    <w:rPr>
                      <w:sz w:val="16"/>
                    </w:rPr>
                    <w:t>295 y 299</w:t>
                  </w:r>
                </w:p>
              </w:tc>
              <w:tc>
                <w:tcPr>
                  <w:tcW w:w="1548" w:type="dxa"/>
                  <w:tcBorders>
                    <w:top w:val="single" w:sz="2" w:space="0" w:color="000000"/>
                    <w:left w:val="single" w:sz="2" w:space="0" w:color="000000"/>
                    <w:bottom w:val="single" w:sz="2" w:space="0" w:color="000000"/>
                    <w:right w:val="single" w:sz="2" w:space="0" w:color="000000"/>
                  </w:tcBorders>
                </w:tcPr>
                <w:p w14:paraId="4515AEA5" w14:textId="77777777" w:rsidR="00053D93" w:rsidRDefault="00260B75">
                  <w:pPr>
                    <w:ind w:left="58" w:right="77" w:firstLine="7"/>
                    <w:jc w:val="both"/>
                  </w:pPr>
                  <w:r>
                    <w:rPr>
                      <w:sz w:val="16"/>
                    </w:rPr>
                    <w:t>Maestros de educación física y maestros de grado actualizados en temas de deporte escolar.</w:t>
                  </w:r>
                </w:p>
              </w:tc>
              <w:tc>
                <w:tcPr>
                  <w:tcW w:w="968" w:type="dxa"/>
                  <w:tcBorders>
                    <w:top w:val="single" w:sz="2" w:space="0" w:color="000000"/>
                    <w:left w:val="single" w:sz="2" w:space="0" w:color="000000"/>
                    <w:bottom w:val="single" w:sz="2" w:space="0" w:color="000000"/>
                    <w:right w:val="single" w:sz="2" w:space="0" w:color="000000"/>
                  </w:tcBorders>
                </w:tcPr>
                <w:p w14:paraId="6BD9C488" w14:textId="77777777" w:rsidR="00053D93" w:rsidRDefault="00260B75">
                  <w:pPr>
                    <w:spacing w:after="12" w:line="242" w:lineRule="auto"/>
                    <w:ind w:left="61" w:right="90"/>
                    <w:jc w:val="center"/>
                  </w:pPr>
                  <w:r>
                    <w:rPr>
                      <w:sz w:val="16"/>
                    </w:rPr>
                    <w:t>Acciones No: 144;</w:t>
                  </w:r>
                </w:p>
                <w:p w14:paraId="1C559862" w14:textId="77777777" w:rsidR="00053D93" w:rsidRDefault="00260B75">
                  <w:pPr>
                    <w:ind w:right="14"/>
                    <w:jc w:val="center"/>
                  </w:pPr>
                  <w:r>
                    <w:rPr>
                      <w:sz w:val="16"/>
                    </w:rPr>
                    <w:t>146 y 147.</w:t>
                  </w:r>
                </w:p>
              </w:tc>
              <w:tc>
                <w:tcPr>
                  <w:tcW w:w="1192" w:type="dxa"/>
                  <w:tcBorders>
                    <w:top w:val="single" w:sz="2" w:space="0" w:color="000000"/>
                    <w:left w:val="single" w:sz="2" w:space="0" w:color="000000"/>
                    <w:bottom w:val="single" w:sz="2" w:space="0" w:color="000000"/>
                    <w:right w:val="single" w:sz="2" w:space="0" w:color="000000"/>
                  </w:tcBorders>
                  <w:vAlign w:val="bottom"/>
                </w:tcPr>
                <w:p w14:paraId="1AC3AE90" w14:textId="77777777" w:rsidR="00053D93" w:rsidRDefault="00260B75">
                  <w:pPr>
                    <w:ind w:right="76"/>
                    <w:jc w:val="right"/>
                  </w:pPr>
                  <w:r>
                    <w:rPr>
                      <w:rFonts w:ascii="Times New Roman" w:eastAsia="Times New Roman" w:hAnsi="Times New Roman" w:cs="Times New Roman"/>
                      <w:sz w:val="16"/>
                    </w:rPr>
                    <w:t>283.400.00</w:t>
                  </w:r>
                </w:p>
              </w:tc>
              <w:tc>
                <w:tcPr>
                  <w:tcW w:w="1195" w:type="dxa"/>
                  <w:tcBorders>
                    <w:top w:val="single" w:sz="2" w:space="0" w:color="000000"/>
                    <w:left w:val="single" w:sz="2" w:space="0" w:color="000000"/>
                    <w:bottom w:val="single" w:sz="2" w:space="0" w:color="000000"/>
                    <w:right w:val="single" w:sz="2" w:space="0" w:color="000000"/>
                  </w:tcBorders>
                  <w:vAlign w:val="bottom"/>
                </w:tcPr>
                <w:p w14:paraId="600C7E50" w14:textId="77777777" w:rsidR="00053D93" w:rsidRDefault="00260B75">
                  <w:pPr>
                    <w:ind w:right="84"/>
                    <w:jc w:val="right"/>
                  </w:pPr>
                  <w:r>
                    <w:rPr>
                      <w:sz w:val="16"/>
                    </w:rPr>
                    <w:t>53,390. oo</w:t>
                  </w:r>
                </w:p>
              </w:tc>
              <w:tc>
                <w:tcPr>
                  <w:tcW w:w="1155" w:type="dxa"/>
                  <w:tcBorders>
                    <w:top w:val="single" w:sz="2" w:space="0" w:color="000000"/>
                    <w:left w:val="single" w:sz="2" w:space="0" w:color="000000"/>
                    <w:bottom w:val="single" w:sz="2" w:space="0" w:color="000000"/>
                    <w:right w:val="single" w:sz="2" w:space="0" w:color="000000"/>
                  </w:tcBorders>
                  <w:vAlign w:val="bottom"/>
                </w:tcPr>
                <w:p w14:paraId="5A569F26" w14:textId="77777777" w:rsidR="00053D93" w:rsidRDefault="00260B75">
                  <w:pPr>
                    <w:ind w:left="338"/>
                  </w:pPr>
                  <w:r>
                    <w:rPr>
                      <w:rFonts w:ascii="Times New Roman" w:eastAsia="Times New Roman" w:hAnsi="Times New Roman" w:cs="Times New Roman"/>
                      <w:sz w:val="16"/>
                    </w:rPr>
                    <w:t>230.010.00</w:t>
                  </w:r>
                </w:p>
              </w:tc>
              <w:tc>
                <w:tcPr>
                  <w:tcW w:w="847" w:type="dxa"/>
                  <w:tcBorders>
                    <w:top w:val="single" w:sz="2" w:space="0" w:color="000000"/>
                    <w:left w:val="single" w:sz="2" w:space="0" w:color="000000"/>
                    <w:bottom w:val="single" w:sz="2" w:space="0" w:color="000000"/>
                    <w:right w:val="single" w:sz="2" w:space="0" w:color="000000"/>
                  </w:tcBorders>
                  <w:vAlign w:val="bottom"/>
                </w:tcPr>
                <w:p w14:paraId="482457B6" w14:textId="77777777" w:rsidR="00053D93" w:rsidRDefault="00260B75">
                  <w:pPr>
                    <w:ind w:left="271"/>
                  </w:pPr>
                  <w:r>
                    <w:rPr>
                      <w:rFonts w:ascii="Times New Roman" w:eastAsia="Times New Roman" w:hAnsi="Times New Roman" w:cs="Times New Roman"/>
                      <w:sz w:val="16"/>
                    </w:rPr>
                    <w:t>18.84%</w:t>
                  </w:r>
                </w:p>
              </w:tc>
            </w:tr>
            <w:tr w:rsidR="00053D93" w14:paraId="2AFAEF0E" w14:textId="77777777">
              <w:trPr>
                <w:trHeight w:val="1100"/>
              </w:trPr>
              <w:tc>
                <w:tcPr>
                  <w:tcW w:w="240" w:type="dxa"/>
                  <w:tcBorders>
                    <w:top w:val="single" w:sz="2" w:space="0" w:color="000000"/>
                    <w:left w:val="single" w:sz="2" w:space="0" w:color="000000"/>
                    <w:bottom w:val="single" w:sz="2" w:space="0" w:color="000000"/>
                    <w:right w:val="single" w:sz="2" w:space="0" w:color="000000"/>
                  </w:tcBorders>
                </w:tcPr>
                <w:p w14:paraId="4DC92A32" w14:textId="77777777" w:rsidR="00053D93" w:rsidRDefault="00260B75">
                  <w:pPr>
                    <w:ind w:left="43"/>
                  </w:pPr>
                  <w:r>
                    <w:rPr>
                      <w:rFonts w:ascii="Times New Roman" w:eastAsia="Times New Roman" w:hAnsi="Times New Roman" w:cs="Times New Roman"/>
                      <w:sz w:val="12"/>
                    </w:rPr>
                    <w:t>g</w:t>
                  </w:r>
                </w:p>
              </w:tc>
              <w:tc>
                <w:tcPr>
                  <w:tcW w:w="1228" w:type="dxa"/>
                  <w:gridSpan w:val="3"/>
                  <w:tcBorders>
                    <w:top w:val="single" w:sz="2" w:space="0" w:color="000000"/>
                    <w:left w:val="single" w:sz="2" w:space="0" w:color="000000"/>
                    <w:bottom w:val="single" w:sz="2" w:space="0" w:color="000000"/>
                    <w:right w:val="single" w:sz="2" w:space="0" w:color="000000"/>
                  </w:tcBorders>
                </w:tcPr>
                <w:p w14:paraId="3964955C" w14:textId="77777777" w:rsidR="00053D93" w:rsidRDefault="00260B75">
                  <w:pPr>
                    <w:spacing w:after="15"/>
                    <w:ind w:left="36"/>
                    <w:jc w:val="center"/>
                  </w:pPr>
                  <w:r>
                    <w:rPr>
                      <w:rFonts w:ascii="Times New Roman" w:eastAsia="Times New Roman" w:hAnsi="Times New Roman" w:cs="Times New Roman"/>
                      <w:sz w:val="16"/>
                    </w:rPr>
                    <w:t>185; 122; 294;</w:t>
                  </w:r>
                </w:p>
                <w:p w14:paraId="62C2B20D" w14:textId="77777777" w:rsidR="00053D93" w:rsidRDefault="00260B75">
                  <w:pPr>
                    <w:ind w:left="36"/>
                    <w:jc w:val="center"/>
                  </w:pPr>
                  <w:r>
                    <w:rPr>
                      <w:sz w:val="16"/>
                    </w:rPr>
                    <w:t>299; 233; 211 Y</w:t>
                  </w:r>
                </w:p>
                <w:p w14:paraId="62358F70" w14:textId="77777777" w:rsidR="00053D93" w:rsidRDefault="00260B75">
                  <w:pPr>
                    <w:ind w:left="29"/>
                    <w:jc w:val="center"/>
                  </w:pPr>
                  <w:r>
                    <w:rPr>
                      <w:rFonts w:ascii="Times New Roman" w:eastAsia="Times New Roman" w:hAnsi="Times New Roman" w:cs="Times New Roman"/>
                      <w:sz w:val="16"/>
                    </w:rPr>
                    <w:t>196</w:t>
                  </w:r>
                </w:p>
              </w:tc>
              <w:tc>
                <w:tcPr>
                  <w:tcW w:w="1548" w:type="dxa"/>
                  <w:tcBorders>
                    <w:top w:val="single" w:sz="2" w:space="0" w:color="000000"/>
                    <w:left w:val="single" w:sz="2" w:space="0" w:color="000000"/>
                    <w:bottom w:val="single" w:sz="2" w:space="0" w:color="000000"/>
                    <w:right w:val="single" w:sz="2" w:space="0" w:color="000000"/>
                  </w:tcBorders>
                </w:tcPr>
                <w:p w14:paraId="3BCC990C" w14:textId="77777777" w:rsidR="00053D93" w:rsidRDefault="00260B75">
                  <w:pPr>
                    <w:spacing w:line="252" w:lineRule="auto"/>
                    <w:ind w:left="65" w:right="77"/>
                    <w:jc w:val="both"/>
                  </w:pPr>
                  <w:r>
                    <w:rPr>
                      <w:sz w:val="18"/>
                    </w:rPr>
                    <w:t>Maestros de educación física y maestros de grado actualizados en</w:t>
                  </w:r>
                </w:p>
                <w:p w14:paraId="331847A3" w14:textId="77777777" w:rsidR="00053D93" w:rsidRDefault="00260B75">
                  <w:pPr>
                    <w:ind w:left="65"/>
                  </w:pPr>
                  <w:r>
                    <w:rPr>
                      <w:sz w:val="16"/>
                    </w:rPr>
                    <w:t>temas de Educación</w:t>
                  </w:r>
                </w:p>
              </w:tc>
              <w:tc>
                <w:tcPr>
                  <w:tcW w:w="968" w:type="dxa"/>
                  <w:tcBorders>
                    <w:top w:val="single" w:sz="2" w:space="0" w:color="000000"/>
                    <w:left w:val="single" w:sz="2" w:space="0" w:color="000000"/>
                    <w:bottom w:val="single" w:sz="2" w:space="0" w:color="000000"/>
                    <w:right w:val="single" w:sz="2" w:space="0" w:color="000000"/>
                  </w:tcBorders>
                </w:tcPr>
                <w:p w14:paraId="45810FBB" w14:textId="77777777" w:rsidR="00053D93" w:rsidRDefault="00260B75">
                  <w:pPr>
                    <w:ind w:right="22"/>
                    <w:jc w:val="center"/>
                  </w:pPr>
                  <w:r>
                    <w:rPr>
                      <w:sz w:val="16"/>
                    </w:rPr>
                    <w:t>Acciones</w:t>
                  </w:r>
                </w:p>
                <w:p w14:paraId="034558C5" w14:textId="77777777" w:rsidR="00053D93" w:rsidRDefault="00260B75">
                  <w:pPr>
                    <w:ind w:right="22"/>
                    <w:jc w:val="center"/>
                  </w:pPr>
                  <w:r>
                    <w:rPr>
                      <w:sz w:val="16"/>
                    </w:rPr>
                    <w:t>No: 155;</w:t>
                  </w:r>
                </w:p>
                <w:p w14:paraId="166B3D42" w14:textId="77777777" w:rsidR="00053D93" w:rsidRDefault="00260B75">
                  <w:pPr>
                    <w:ind w:right="22"/>
                    <w:jc w:val="center"/>
                  </w:pPr>
                  <w:r>
                    <w:rPr>
                      <w:rFonts w:ascii="Times New Roman" w:eastAsia="Times New Roman" w:hAnsi="Times New Roman" w:cs="Times New Roman"/>
                      <w:sz w:val="16"/>
                    </w:rPr>
                    <w:t>150; 196;</w:t>
                  </w:r>
                </w:p>
                <w:p w14:paraId="2B19CF97" w14:textId="77777777" w:rsidR="00053D93" w:rsidRDefault="00260B75">
                  <w:pPr>
                    <w:ind w:right="14"/>
                    <w:jc w:val="center"/>
                  </w:pPr>
                  <w:r>
                    <w:rPr>
                      <w:rFonts w:ascii="Times New Roman" w:eastAsia="Times New Roman" w:hAnsi="Times New Roman" w:cs="Times New Roman"/>
                      <w:sz w:val="16"/>
                    </w:rPr>
                    <w:t>159; 158;</w:t>
                  </w:r>
                </w:p>
                <w:p w14:paraId="183DB0B2" w14:textId="77777777" w:rsidR="00053D93" w:rsidRDefault="00260B75">
                  <w:pPr>
                    <w:ind w:left="144"/>
                  </w:pPr>
                  <w:r>
                    <w:rPr>
                      <w:noProof/>
                    </w:rPr>
                    <w:drawing>
                      <wp:inline distT="0" distB="0" distL="0" distR="0" wp14:anchorId="7C55BFE9" wp14:editId="00B04A2E">
                        <wp:extent cx="416052" cy="196596"/>
                        <wp:effectExtent l="0" t="0" r="0" b="0"/>
                        <wp:docPr id="695894" name="Picture 695894"/>
                        <wp:cNvGraphicFramePr/>
                        <a:graphic xmlns:a="http://schemas.openxmlformats.org/drawingml/2006/main">
                          <a:graphicData uri="http://schemas.openxmlformats.org/drawingml/2006/picture">
                            <pic:pic xmlns:pic="http://schemas.openxmlformats.org/drawingml/2006/picture">
                              <pic:nvPicPr>
                                <pic:cNvPr id="695894" name="Picture 695894"/>
                                <pic:cNvPicPr/>
                              </pic:nvPicPr>
                              <pic:blipFill>
                                <a:blip r:embed="rId1014"/>
                                <a:stretch>
                                  <a:fillRect/>
                                </a:stretch>
                              </pic:blipFill>
                              <pic:spPr>
                                <a:xfrm>
                                  <a:off x="0" y="0"/>
                                  <a:ext cx="416052" cy="196596"/>
                                </a:xfrm>
                                <a:prstGeom prst="rect">
                                  <a:avLst/>
                                </a:prstGeom>
                              </pic:spPr>
                            </pic:pic>
                          </a:graphicData>
                        </a:graphic>
                      </wp:inline>
                    </w:drawing>
                  </w:r>
                </w:p>
              </w:tc>
              <w:tc>
                <w:tcPr>
                  <w:tcW w:w="1192" w:type="dxa"/>
                  <w:tcBorders>
                    <w:top w:val="single" w:sz="2" w:space="0" w:color="000000"/>
                    <w:left w:val="single" w:sz="2" w:space="0" w:color="000000"/>
                    <w:bottom w:val="single" w:sz="2" w:space="0" w:color="000000"/>
                    <w:right w:val="single" w:sz="2" w:space="0" w:color="000000"/>
                  </w:tcBorders>
                  <w:vAlign w:val="bottom"/>
                </w:tcPr>
                <w:p w14:paraId="11B0522B" w14:textId="77777777" w:rsidR="00053D93" w:rsidRDefault="00260B75">
                  <w:pPr>
                    <w:ind w:left="192"/>
                  </w:pPr>
                  <w:r>
                    <w:rPr>
                      <w:rFonts w:ascii="Times New Roman" w:eastAsia="Times New Roman" w:hAnsi="Times New Roman" w:cs="Times New Roman"/>
                      <w:sz w:val="16"/>
                    </w:rPr>
                    <w:t>14.692,840.00</w:t>
                  </w:r>
                </w:p>
              </w:tc>
              <w:tc>
                <w:tcPr>
                  <w:tcW w:w="1195" w:type="dxa"/>
                  <w:tcBorders>
                    <w:top w:val="single" w:sz="2" w:space="0" w:color="000000"/>
                    <w:left w:val="single" w:sz="2" w:space="0" w:color="000000"/>
                    <w:bottom w:val="single" w:sz="2" w:space="0" w:color="000000"/>
                    <w:right w:val="single" w:sz="2" w:space="0" w:color="000000"/>
                  </w:tcBorders>
                  <w:vAlign w:val="bottom"/>
                </w:tcPr>
                <w:p w14:paraId="344CE342" w14:textId="77777777" w:rsidR="00053D93" w:rsidRDefault="00260B75">
                  <w:pPr>
                    <w:ind w:left="252"/>
                  </w:pPr>
                  <w:r>
                    <w:rPr>
                      <w:rFonts w:ascii="Times New Roman" w:eastAsia="Times New Roman" w:hAnsi="Times New Roman" w:cs="Times New Roman"/>
                      <w:sz w:val="16"/>
                    </w:rPr>
                    <w:t>4,859.943.09</w:t>
                  </w:r>
                </w:p>
              </w:tc>
              <w:tc>
                <w:tcPr>
                  <w:tcW w:w="1155" w:type="dxa"/>
                  <w:tcBorders>
                    <w:top w:val="single" w:sz="2" w:space="0" w:color="000000"/>
                    <w:left w:val="single" w:sz="2" w:space="0" w:color="000000"/>
                    <w:bottom w:val="single" w:sz="2" w:space="0" w:color="000000"/>
                    <w:right w:val="single" w:sz="2" w:space="0" w:color="000000"/>
                  </w:tcBorders>
                </w:tcPr>
                <w:p w14:paraId="04B73831" w14:textId="77777777" w:rsidR="00053D93" w:rsidRDefault="00053D93"/>
              </w:tc>
              <w:tc>
                <w:tcPr>
                  <w:tcW w:w="847" w:type="dxa"/>
                  <w:tcBorders>
                    <w:top w:val="single" w:sz="2" w:space="0" w:color="000000"/>
                    <w:left w:val="single" w:sz="2" w:space="0" w:color="000000"/>
                    <w:bottom w:val="single" w:sz="2" w:space="0" w:color="000000"/>
                    <w:right w:val="single" w:sz="2" w:space="0" w:color="000000"/>
                  </w:tcBorders>
                  <w:vAlign w:val="bottom"/>
                </w:tcPr>
                <w:p w14:paraId="03F361C8" w14:textId="77777777" w:rsidR="00053D93" w:rsidRDefault="00260B75">
                  <w:pPr>
                    <w:ind w:left="264"/>
                  </w:pPr>
                  <w:r>
                    <w:rPr>
                      <w:rFonts w:ascii="Times New Roman" w:eastAsia="Times New Roman" w:hAnsi="Times New Roman" w:cs="Times New Roman"/>
                      <w:sz w:val="14"/>
                    </w:rPr>
                    <w:t>33.080/0</w:t>
                  </w:r>
                </w:p>
              </w:tc>
            </w:tr>
            <w:tr w:rsidR="00053D93" w14:paraId="55352FA1" w14:textId="77777777">
              <w:trPr>
                <w:trHeight w:val="1158"/>
              </w:trPr>
              <w:tc>
                <w:tcPr>
                  <w:tcW w:w="240" w:type="dxa"/>
                  <w:tcBorders>
                    <w:top w:val="single" w:sz="2" w:space="0" w:color="000000"/>
                    <w:left w:val="single" w:sz="2" w:space="0" w:color="000000"/>
                    <w:bottom w:val="single" w:sz="2" w:space="0" w:color="000000"/>
                    <w:right w:val="single" w:sz="2" w:space="0" w:color="000000"/>
                  </w:tcBorders>
                </w:tcPr>
                <w:p w14:paraId="77B1A4CE" w14:textId="77777777" w:rsidR="00053D93" w:rsidRDefault="00260B75">
                  <w:pPr>
                    <w:ind w:left="14"/>
                  </w:pPr>
                  <w:r>
                    <w:rPr>
                      <w:rFonts w:ascii="Times New Roman" w:eastAsia="Times New Roman" w:hAnsi="Times New Roman" w:cs="Times New Roman"/>
                      <w:sz w:val="16"/>
                    </w:rPr>
                    <w:t>10</w:t>
                  </w:r>
                </w:p>
              </w:tc>
              <w:tc>
                <w:tcPr>
                  <w:tcW w:w="1228" w:type="dxa"/>
                  <w:gridSpan w:val="3"/>
                  <w:tcBorders>
                    <w:top w:val="single" w:sz="2" w:space="0" w:color="000000"/>
                    <w:left w:val="single" w:sz="2" w:space="0" w:color="000000"/>
                    <w:bottom w:val="single" w:sz="2" w:space="0" w:color="000000"/>
                    <w:right w:val="single" w:sz="2" w:space="0" w:color="000000"/>
                  </w:tcBorders>
                  <w:vAlign w:val="bottom"/>
                </w:tcPr>
                <w:p w14:paraId="750C5FEE" w14:textId="77777777" w:rsidR="00053D93" w:rsidRDefault="00260B75">
                  <w:pPr>
                    <w:ind w:left="29"/>
                    <w:jc w:val="center"/>
                  </w:pPr>
                  <w:r>
                    <w:rPr>
                      <w:rFonts w:ascii="Times New Roman" w:eastAsia="Times New Roman" w:hAnsi="Times New Roman" w:cs="Times New Roman"/>
                      <w:sz w:val="16"/>
                    </w:rPr>
                    <w:t>21 1; 289; 199;</w:t>
                  </w:r>
                </w:p>
                <w:p w14:paraId="76C91948" w14:textId="77777777" w:rsidR="00053D93" w:rsidRDefault="00260B75">
                  <w:pPr>
                    <w:ind w:left="29"/>
                    <w:jc w:val="center"/>
                  </w:pPr>
                  <w:r>
                    <w:rPr>
                      <w:rFonts w:ascii="Times New Roman" w:eastAsia="Times New Roman" w:hAnsi="Times New Roman" w:cs="Times New Roman"/>
                      <w:sz w:val="16"/>
                    </w:rPr>
                    <w:t>141; 142; 182;</w:t>
                  </w:r>
                </w:p>
                <w:p w14:paraId="1BDBC7AF" w14:textId="77777777" w:rsidR="00053D93" w:rsidRDefault="00260B75">
                  <w:pPr>
                    <w:ind w:left="36"/>
                    <w:jc w:val="center"/>
                  </w:pPr>
                  <w:r>
                    <w:rPr>
                      <w:rFonts w:ascii="Times New Roman" w:eastAsia="Times New Roman" w:hAnsi="Times New Roman" w:cs="Times New Roman"/>
                      <w:sz w:val="16"/>
                    </w:rPr>
                    <w:t>191; 196; 233;</w:t>
                  </w:r>
                </w:p>
                <w:p w14:paraId="59884709" w14:textId="77777777" w:rsidR="00053D93" w:rsidRDefault="00260B75">
                  <w:pPr>
                    <w:spacing w:after="4"/>
                    <w:ind w:left="22"/>
                    <w:jc w:val="center"/>
                  </w:pPr>
                  <w:r>
                    <w:rPr>
                      <w:rFonts w:ascii="Times New Roman" w:eastAsia="Times New Roman" w:hAnsi="Times New Roman" w:cs="Times New Roman"/>
                      <w:sz w:val="16"/>
                    </w:rPr>
                    <w:t>268; 294; 249;</w:t>
                  </w:r>
                </w:p>
                <w:p w14:paraId="5C1A0287" w14:textId="77777777" w:rsidR="00053D93" w:rsidRDefault="00260B75">
                  <w:pPr>
                    <w:ind w:left="22"/>
                    <w:jc w:val="center"/>
                  </w:pPr>
                  <w:r>
                    <w:rPr>
                      <w:rFonts w:ascii="Times New Roman" w:eastAsia="Times New Roman" w:hAnsi="Times New Roman" w:cs="Times New Roman"/>
                      <w:sz w:val="16"/>
                    </w:rPr>
                    <w:t>266; 295; 323 Y</w:t>
                  </w:r>
                </w:p>
                <w:p w14:paraId="6CDFE236" w14:textId="77777777" w:rsidR="00053D93" w:rsidRDefault="00260B75">
                  <w:pPr>
                    <w:ind w:left="29"/>
                    <w:jc w:val="center"/>
                  </w:pPr>
                  <w:r>
                    <w:rPr>
                      <w:rFonts w:ascii="Times New Roman" w:eastAsia="Times New Roman" w:hAnsi="Times New Roman" w:cs="Times New Roman"/>
                      <w:sz w:val="16"/>
                    </w:rPr>
                    <w:t>232</w:t>
                  </w:r>
                </w:p>
              </w:tc>
              <w:tc>
                <w:tcPr>
                  <w:tcW w:w="1548" w:type="dxa"/>
                  <w:tcBorders>
                    <w:top w:val="single" w:sz="2" w:space="0" w:color="000000"/>
                    <w:left w:val="single" w:sz="2" w:space="0" w:color="000000"/>
                    <w:bottom w:val="single" w:sz="2" w:space="0" w:color="000000"/>
                    <w:right w:val="single" w:sz="2" w:space="0" w:color="000000"/>
                  </w:tcBorders>
                  <w:vAlign w:val="center"/>
                </w:tcPr>
                <w:p w14:paraId="63F62468" w14:textId="77777777" w:rsidR="00053D93" w:rsidRDefault="00260B75">
                  <w:pPr>
                    <w:ind w:left="58" w:right="77" w:firstLine="7"/>
                    <w:jc w:val="both"/>
                  </w:pPr>
                  <w:r>
                    <w:rPr>
                      <w:sz w:val="16"/>
                    </w:rPr>
                    <w:t>Estudiantes con y sin discapacidad atendidos en juegos deportivos escolares internacionales.</w:t>
                  </w:r>
                </w:p>
              </w:tc>
              <w:tc>
                <w:tcPr>
                  <w:tcW w:w="968" w:type="dxa"/>
                  <w:tcBorders>
                    <w:top w:val="single" w:sz="2" w:space="0" w:color="000000"/>
                    <w:left w:val="single" w:sz="2" w:space="0" w:color="000000"/>
                    <w:bottom w:val="single" w:sz="2" w:space="0" w:color="000000"/>
                    <w:right w:val="single" w:sz="2" w:space="0" w:color="000000"/>
                  </w:tcBorders>
                  <w:vAlign w:val="center"/>
                </w:tcPr>
                <w:p w14:paraId="74DF8E1B" w14:textId="77777777" w:rsidR="00053D93" w:rsidRDefault="00260B75">
                  <w:pPr>
                    <w:ind w:right="22"/>
                    <w:jc w:val="center"/>
                  </w:pPr>
                  <w:r>
                    <w:rPr>
                      <w:sz w:val="16"/>
                    </w:rPr>
                    <w:t>Acciones</w:t>
                  </w:r>
                </w:p>
                <w:p w14:paraId="3F5BAA54" w14:textId="77777777" w:rsidR="00053D93" w:rsidRDefault="00260B75">
                  <w:pPr>
                    <w:ind w:right="22"/>
                    <w:jc w:val="center"/>
                  </w:pPr>
                  <w:r>
                    <w:rPr>
                      <w:sz w:val="16"/>
                    </w:rPr>
                    <w:t>No: 173;</w:t>
                  </w:r>
                </w:p>
                <w:p w14:paraId="3AA2308F" w14:textId="77777777" w:rsidR="00053D93" w:rsidRDefault="00260B75">
                  <w:pPr>
                    <w:ind w:right="14"/>
                    <w:jc w:val="center"/>
                  </w:pPr>
                  <w:r>
                    <w:rPr>
                      <w:rFonts w:ascii="Times New Roman" w:eastAsia="Times New Roman" w:hAnsi="Times New Roman" w:cs="Times New Roman"/>
                      <w:sz w:val="16"/>
                    </w:rPr>
                    <w:t>171; 164;</w:t>
                  </w:r>
                </w:p>
                <w:p w14:paraId="7B2DA1D5" w14:textId="77777777" w:rsidR="00053D93" w:rsidRDefault="00260B75">
                  <w:pPr>
                    <w:ind w:left="331" w:hanging="187"/>
                  </w:pPr>
                  <w:r>
                    <w:rPr>
                      <w:sz w:val="16"/>
                    </w:rPr>
                    <w:t xml:space="preserve">169; 174 y </w:t>
                  </w:r>
                  <w:r>
                    <w:rPr>
                      <w:rFonts w:ascii="Times New Roman" w:eastAsia="Times New Roman" w:hAnsi="Times New Roman" w:cs="Times New Roman"/>
                      <w:sz w:val="16"/>
                    </w:rPr>
                    <w:t>167.</w:t>
                  </w:r>
                </w:p>
              </w:tc>
              <w:tc>
                <w:tcPr>
                  <w:tcW w:w="1192" w:type="dxa"/>
                  <w:tcBorders>
                    <w:top w:val="single" w:sz="2" w:space="0" w:color="000000"/>
                    <w:left w:val="single" w:sz="2" w:space="0" w:color="000000"/>
                    <w:bottom w:val="single" w:sz="2" w:space="0" w:color="000000"/>
                    <w:right w:val="single" w:sz="2" w:space="0" w:color="000000"/>
                  </w:tcBorders>
                  <w:vAlign w:val="bottom"/>
                </w:tcPr>
                <w:p w14:paraId="20A657F3" w14:textId="77777777" w:rsidR="00053D93" w:rsidRDefault="00260B75">
                  <w:pPr>
                    <w:ind w:left="271"/>
                  </w:pPr>
                  <w:r>
                    <w:rPr>
                      <w:rFonts w:ascii="Times New Roman" w:eastAsia="Times New Roman" w:hAnsi="Times New Roman" w:cs="Times New Roman"/>
                      <w:sz w:val="16"/>
                    </w:rPr>
                    <w:t>9.728.220.00</w:t>
                  </w:r>
                </w:p>
              </w:tc>
              <w:tc>
                <w:tcPr>
                  <w:tcW w:w="1195" w:type="dxa"/>
                  <w:tcBorders>
                    <w:top w:val="single" w:sz="2" w:space="0" w:color="000000"/>
                    <w:left w:val="single" w:sz="2" w:space="0" w:color="000000"/>
                    <w:bottom w:val="single" w:sz="2" w:space="0" w:color="000000"/>
                    <w:right w:val="single" w:sz="2" w:space="0" w:color="000000"/>
                  </w:tcBorders>
                </w:tcPr>
                <w:p w14:paraId="2888CA96" w14:textId="77777777" w:rsidR="00053D93" w:rsidRDefault="00053D93"/>
              </w:tc>
              <w:tc>
                <w:tcPr>
                  <w:tcW w:w="1155" w:type="dxa"/>
                  <w:tcBorders>
                    <w:top w:val="single" w:sz="2" w:space="0" w:color="000000"/>
                    <w:left w:val="single" w:sz="2" w:space="0" w:color="000000"/>
                    <w:bottom w:val="single" w:sz="2" w:space="0" w:color="000000"/>
                    <w:right w:val="single" w:sz="2" w:space="0" w:color="000000"/>
                  </w:tcBorders>
                </w:tcPr>
                <w:p w14:paraId="22D0B702" w14:textId="77777777" w:rsidR="00053D93" w:rsidRDefault="00053D93"/>
              </w:tc>
              <w:tc>
                <w:tcPr>
                  <w:tcW w:w="847" w:type="dxa"/>
                  <w:tcBorders>
                    <w:top w:val="single" w:sz="2" w:space="0" w:color="000000"/>
                    <w:left w:val="single" w:sz="2" w:space="0" w:color="000000"/>
                    <w:bottom w:val="single" w:sz="2" w:space="0" w:color="000000"/>
                    <w:right w:val="single" w:sz="2" w:space="0" w:color="000000"/>
                  </w:tcBorders>
                </w:tcPr>
                <w:p w14:paraId="3C098B63" w14:textId="77777777" w:rsidR="00053D93" w:rsidRDefault="00053D93"/>
              </w:tc>
            </w:tr>
            <w:tr w:rsidR="00053D93" w14:paraId="7340072C" w14:textId="77777777">
              <w:trPr>
                <w:trHeight w:val="1223"/>
              </w:trPr>
              <w:tc>
                <w:tcPr>
                  <w:tcW w:w="240" w:type="dxa"/>
                  <w:tcBorders>
                    <w:top w:val="single" w:sz="2" w:space="0" w:color="000000"/>
                    <w:left w:val="single" w:sz="2" w:space="0" w:color="000000"/>
                    <w:bottom w:val="single" w:sz="2" w:space="0" w:color="000000"/>
                    <w:right w:val="single" w:sz="2" w:space="0" w:color="000000"/>
                  </w:tcBorders>
                </w:tcPr>
                <w:p w14:paraId="74710515" w14:textId="77777777" w:rsidR="00053D93" w:rsidRDefault="00053D93"/>
              </w:tc>
              <w:tc>
                <w:tcPr>
                  <w:tcW w:w="1228" w:type="dxa"/>
                  <w:gridSpan w:val="3"/>
                  <w:tcBorders>
                    <w:top w:val="single" w:sz="2" w:space="0" w:color="000000"/>
                    <w:left w:val="single" w:sz="2" w:space="0" w:color="000000"/>
                    <w:bottom w:val="single" w:sz="2" w:space="0" w:color="000000"/>
                    <w:right w:val="single" w:sz="2" w:space="0" w:color="000000"/>
                  </w:tcBorders>
                </w:tcPr>
                <w:p w14:paraId="2EDCEF6A" w14:textId="77777777" w:rsidR="00053D93" w:rsidRDefault="00260B75">
                  <w:pPr>
                    <w:ind w:left="127"/>
                  </w:pPr>
                  <w:r>
                    <w:rPr>
                      <w:noProof/>
                    </w:rPr>
                    <w:drawing>
                      <wp:inline distT="0" distB="0" distL="0" distR="0" wp14:anchorId="061A75FF" wp14:editId="402D5C5A">
                        <wp:extent cx="621792" cy="315468"/>
                        <wp:effectExtent l="0" t="0" r="0" b="0"/>
                        <wp:docPr id="696012" name="Picture 696012"/>
                        <wp:cNvGraphicFramePr/>
                        <a:graphic xmlns:a="http://schemas.openxmlformats.org/drawingml/2006/main">
                          <a:graphicData uri="http://schemas.openxmlformats.org/drawingml/2006/picture">
                            <pic:pic xmlns:pic="http://schemas.openxmlformats.org/drawingml/2006/picture">
                              <pic:nvPicPr>
                                <pic:cNvPr id="696012" name="Picture 696012"/>
                                <pic:cNvPicPr/>
                              </pic:nvPicPr>
                              <pic:blipFill>
                                <a:blip r:embed="rId1015"/>
                                <a:stretch>
                                  <a:fillRect/>
                                </a:stretch>
                              </pic:blipFill>
                              <pic:spPr>
                                <a:xfrm>
                                  <a:off x="0" y="0"/>
                                  <a:ext cx="621792" cy="315468"/>
                                </a:xfrm>
                                <a:prstGeom prst="rect">
                                  <a:avLst/>
                                </a:prstGeom>
                              </pic:spPr>
                            </pic:pic>
                          </a:graphicData>
                        </a:graphic>
                      </wp:inline>
                    </w:drawing>
                  </w:r>
                </w:p>
              </w:tc>
              <w:tc>
                <w:tcPr>
                  <w:tcW w:w="1548" w:type="dxa"/>
                  <w:tcBorders>
                    <w:top w:val="single" w:sz="2" w:space="0" w:color="000000"/>
                    <w:left w:val="single" w:sz="2" w:space="0" w:color="000000"/>
                    <w:bottom w:val="single" w:sz="2" w:space="0" w:color="000000"/>
                    <w:right w:val="single" w:sz="2" w:space="0" w:color="000000"/>
                  </w:tcBorders>
                </w:tcPr>
                <w:p w14:paraId="6CD987DA" w14:textId="77777777" w:rsidR="00053D93" w:rsidRDefault="00260B75">
                  <w:pPr>
                    <w:ind w:left="58"/>
                  </w:pPr>
                  <w:r>
                    <w:rPr>
                      <w:noProof/>
                    </w:rPr>
                    <w:drawing>
                      <wp:inline distT="0" distB="0" distL="0" distR="0" wp14:anchorId="273CCE2F" wp14:editId="62BEA15C">
                        <wp:extent cx="886968" cy="681228"/>
                        <wp:effectExtent l="0" t="0" r="0" b="0"/>
                        <wp:docPr id="696234" name="Picture 696234"/>
                        <wp:cNvGraphicFramePr/>
                        <a:graphic xmlns:a="http://schemas.openxmlformats.org/drawingml/2006/main">
                          <a:graphicData uri="http://schemas.openxmlformats.org/drawingml/2006/picture">
                            <pic:pic xmlns:pic="http://schemas.openxmlformats.org/drawingml/2006/picture">
                              <pic:nvPicPr>
                                <pic:cNvPr id="696234" name="Picture 696234"/>
                                <pic:cNvPicPr/>
                              </pic:nvPicPr>
                              <pic:blipFill>
                                <a:blip r:embed="rId1016"/>
                                <a:stretch>
                                  <a:fillRect/>
                                </a:stretch>
                              </pic:blipFill>
                              <pic:spPr>
                                <a:xfrm>
                                  <a:off x="0" y="0"/>
                                  <a:ext cx="886968" cy="681228"/>
                                </a:xfrm>
                                <a:prstGeom prst="rect">
                                  <a:avLst/>
                                </a:prstGeom>
                              </pic:spPr>
                            </pic:pic>
                          </a:graphicData>
                        </a:graphic>
                      </wp:inline>
                    </w:drawing>
                  </w:r>
                </w:p>
              </w:tc>
              <w:tc>
                <w:tcPr>
                  <w:tcW w:w="968" w:type="dxa"/>
                  <w:tcBorders>
                    <w:top w:val="single" w:sz="2" w:space="0" w:color="000000"/>
                    <w:left w:val="single" w:sz="2" w:space="0" w:color="000000"/>
                    <w:bottom w:val="single" w:sz="2" w:space="0" w:color="000000"/>
                    <w:right w:val="single" w:sz="2" w:space="0" w:color="000000"/>
                  </w:tcBorders>
                </w:tcPr>
                <w:p w14:paraId="703DA7EF" w14:textId="77777777" w:rsidR="00053D93" w:rsidRDefault="00260B75">
                  <w:pPr>
                    <w:ind w:left="158"/>
                  </w:pPr>
                  <w:r>
                    <w:rPr>
                      <w:noProof/>
                    </w:rPr>
                    <w:drawing>
                      <wp:inline distT="0" distB="0" distL="0" distR="0" wp14:anchorId="464140C8" wp14:editId="505F03E2">
                        <wp:extent cx="393192" cy="320040"/>
                        <wp:effectExtent l="0" t="0" r="0" b="0"/>
                        <wp:docPr id="695916" name="Picture 695916"/>
                        <wp:cNvGraphicFramePr/>
                        <a:graphic xmlns:a="http://schemas.openxmlformats.org/drawingml/2006/main">
                          <a:graphicData uri="http://schemas.openxmlformats.org/drawingml/2006/picture">
                            <pic:pic xmlns:pic="http://schemas.openxmlformats.org/drawingml/2006/picture">
                              <pic:nvPicPr>
                                <pic:cNvPr id="695916" name="Picture 695916"/>
                                <pic:cNvPicPr/>
                              </pic:nvPicPr>
                              <pic:blipFill>
                                <a:blip r:embed="rId1017"/>
                                <a:stretch>
                                  <a:fillRect/>
                                </a:stretch>
                              </pic:blipFill>
                              <pic:spPr>
                                <a:xfrm>
                                  <a:off x="0" y="0"/>
                                  <a:ext cx="393192" cy="320040"/>
                                </a:xfrm>
                                <a:prstGeom prst="rect">
                                  <a:avLst/>
                                </a:prstGeom>
                              </pic:spPr>
                            </pic:pic>
                          </a:graphicData>
                        </a:graphic>
                      </wp:inline>
                    </w:drawing>
                  </w:r>
                </w:p>
              </w:tc>
              <w:tc>
                <w:tcPr>
                  <w:tcW w:w="1192" w:type="dxa"/>
                  <w:tcBorders>
                    <w:top w:val="single" w:sz="2" w:space="0" w:color="000000"/>
                    <w:left w:val="single" w:sz="2" w:space="0" w:color="000000"/>
                    <w:bottom w:val="single" w:sz="2" w:space="0" w:color="000000"/>
                    <w:right w:val="single" w:sz="2" w:space="0" w:color="000000"/>
                  </w:tcBorders>
                  <w:vAlign w:val="bottom"/>
                </w:tcPr>
                <w:p w14:paraId="086071D7" w14:textId="77777777" w:rsidR="00053D93" w:rsidRDefault="00260B75">
                  <w:pPr>
                    <w:ind w:right="76"/>
                    <w:jc w:val="right"/>
                  </w:pPr>
                  <w:r>
                    <w:rPr>
                      <w:rFonts w:ascii="Times New Roman" w:eastAsia="Times New Roman" w:hAnsi="Times New Roman" w:cs="Times New Roman"/>
                      <w:sz w:val="16"/>
                    </w:rPr>
                    <w:t>709.000.00</w:t>
                  </w:r>
                </w:p>
              </w:tc>
              <w:tc>
                <w:tcPr>
                  <w:tcW w:w="1195" w:type="dxa"/>
                  <w:tcBorders>
                    <w:top w:val="single" w:sz="2" w:space="0" w:color="000000"/>
                    <w:left w:val="single" w:sz="2" w:space="0" w:color="000000"/>
                    <w:bottom w:val="single" w:sz="2" w:space="0" w:color="000000"/>
                    <w:right w:val="single" w:sz="2" w:space="0" w:color="000000"/>
                  </w:tcBorders>
                  <w:vAlign w:val="bottom"/>
                </w:tcPr>
                <w:p w14:paraId="76FBFBE0" w14:textId="77777777" w:rsidR="00053D93" w:rsidRDefault="00260B75">
                  <w:pPr>
                    <w:ind w:right="84"/>
                    <w:jc w:val="right"/>
                  </w:pPr>
                  <w:r>
                    <w:rPr>
                      <w:rFonts w:ascii="Times New Roman" w:eastAsia="Times New Roman" w:hAnsi="Times New Roman" w:cs="Times New Roman"/>
                      <w:sz w:val="16"/>
                    </w:rPr>
                    <w:t>66.600.00</w:t>
                  </w:r>
                </w:p>
              </w:tc>
              <w:tc>
                <w:tcPr>
                  <w:tcW w:w="1155" w:type="dxa"/>
                  <w:tcBorders>
                    <w:top w:val="single" w:sz="2" w:space="0" w:color="000000"/>
                    <w:left w:val="single" w:sz="2" w:space="0" w:color="000000"/>
                    <w:bottom w:val="single" w:sz="2" w:space="0" w:color="000000"/>
                    <w:right w:val="single" w:sz="2" w:space="0" w:color="000000"/>
                  </w:tcBorders>
                  <w:vAlign w:val="bottom"/>
                </w:tcPr>
                <w:p w14:paraId="3BFAB81C" w14:textId="77777777" w:rsidR="00053D93" w:rsidRDefault="00260B75">
                  <w:pPr>
                    <w:ind w:left="338"/>
                  </w:pPr>
                  <w:r>
                    <w:rPr>
                      <w:rFonts w:ascii="Times New Roman" w:eastAsia="Times New Roman" w:hAnsi="Times New Roman" w:cs="Times New Roman"/>
                      <w:sz w:val="16"/>
                    </w:rPr>
                    <w:t>642.400.00</w:t>
                  </w:r>
                </w:p>
              </w:tc>
              <w:tc>
                <w:tcPr>
                  <w:tcW w:w="847" w:type="dxa"/>
                  <w:tcBorders>
                    <w:top w:val="single" w:sz="2" w:space="0" w:color="000000"/>
                    <w:left w:val="single" w:sz="2" w:space="0" w:color="000000"/>
                    <w:bottom w:val="single" w:sz="2" w:space="0" w:color="000000"/>
                    <w:right w:val="single" w:sz="2" w:space="0" w:color="000000"/>
                  </w:tcBorders>
                  <w:vAlign w:val="bottom"/>
                </w:tcPr>
                <w:p w14:paraId="1C75EE34" w14:textId="77777777" w:rsidR="00053D93" w:rsidRDefault="00260B75">
                  <w:pPr>
                    <w:ind w:left="350"/>
                  </w:pPr>
                  <w:r>
                    <w:rPr>
                      <w:rFonts w:ascii="Times New Roman" w:eastAsia="Times New Roman" w:hAnsi="Times New Roman" w:cs="Times New Roman"/>
                      <w:sz w:val="14"/>
                    </w:rPr>
                    <w:t>9.390%</w:t>
                  </w:r>
                </w:p>
              </w:tc>
            </w:tr>
            <w:tr w:rsidR="00053D93" w14:paraId="569641CE" w14:textId="77777777">
              <w:trPr>
                <w:trHeight w:val="1167"/>
              </w:trPr>
              <w:tc>
                <w:tcPr>
                  <w:tcW w:w="240" w:type="dxa"/>
                  <w:tcBorders>
                    <w:top w:val="single" w:sz="2" w:space="0" w:color="000000"/>
                    <w:left w:val="single" w:sz="2" w:space="0" w:color="000000"/>
                    <w:bottom w:val="single" w:sz="2" w:space="0" w:color="000000"/>
                    <w:right w:val="single" w:sz="2" w:space="0" w:color="000000"/>
                  </w:tcBorders>
                </w:tcPr>
                <w:p w14:paraId="7A600B5B" w14:textId="77777777" w:rsidR="00053D93" w:rsidRDefault="00260B75">
                  <w:pPr>
                    <w:ind w:left="7"/>
                  </w:pPr>
                  <w:r>
                    <w:rPr>
                      <w:rFonts w:ascii="Times New Roman" w:eastAsia="Times New Roman" w:hAnsi="Times New Roman" w:cs="Times New Roman"/>
                      <w:sz w:val="16"/>
                    </w:rPr>
                    <w:t>12</w:t>
                  </w:r>
                </w:p>
              </w:tc>
              <w:tc>
                <w:tcPr>
                  <w:tcW w:w="1228" w:type="dxa"/>
                  <w:gridSpan w:val="3"/>
                  <w:tcBorders>
                    <w:top w:val="single" w:sz="2" w:space="0" w:color="000000"/>
                    <w:left w:val="single" w:sz="2" w:space="0" w:color="000000"/>
                    <w:bottom w:val="single" w:sz="2" w:space="0" w:color="000000"/>
                    <w:right w:val="single" w:sz="2" w:space="0" w:color="000000"/>
                  </w:tcBorders>
                </w:tcPr>
                <w:p w14:paraId="51A0A34F" w14:textId="77777777" w:rsidR="00053D93" w:rsidRDefault="00260B75">
                  <w:pPr>
                    <w:ind w:left="14"/>
                    <w:jc w:val="center"/>
                  </w:pPr>
                  <w:r>
                    <w:rPr>
                      <w:rFonts w:ascii="Times New Roman" w:eastAsia="Times New Roman" w:hAnsi="Times New Roman" w:cs="Times New Roman"/>
                      <w:sz w:val="16"/>
                    </w:rPr>
                    <w:t>294</w:t>
                  </w:r>
                </w:p>
              </w:tc>
              <w:tc>
                <w:tcPr>
                  <w:tcW w:w="1548" w:type="dxa"/>
                  <w:tcBorders>
                    <w:top w:val="single" w:sz="2" w:space="0" w:color="000000"/>
                    <w:left w:val="single" w:sz="2" w:space="0" w:color="000000"/>
                    <w:bottom w:val="single" w:sz="2" w:space="0" w:color="000000"/>
                    <w:right w:val="single" w:sz="2" w:space="0" w:color="000000"/>
                  </w:tcBorders>
                </w:tcPr>
                <w:p w14:paraId="1AA5F447" w14:textId="77777777" w:rsidR="00053D93" w:rsidRDefault="00260B75">
                  <w:pPr>
                    <w:ind w:left="58" w:firstLine="7"/>
                  </w:pPr>
                  <w:r>
                    <w:rPr>
                      <w:sz w:val="16"/>
                    </w:rPr>
                    <w:t>Establecimientos atendidos</w:t>
                  </w:r>
                  <w:r>
                    <w:rPr>
                      <w:sz w:val="16"/>
                    </w:rPr>
                    <w:tab/>
                    <w:t>con suministros</w:t>
                  </w:r>
                  <w:r>
                    <w:rPr>
                      <w:sz w:val="16"/>
                    </w:rPr>
                    <w:tab/>
                    <w:t>de implementación didáctico-deportiva y recreacional</w:t>
                  </w:r>
                </w:p>
              </w:tc>
              <w:tc>
                <w:tcPr>
                  <w:tcW w:w="968" w:type="dxa"/>
                  <w:tcBorders>
                    <w:top w:val="single" w:sz="2" w:space="0" w:color="000000"/>
                    <w:left w:val="single" w:sz="2" w:space="0" w:color="000000"/>
                    <w:bottom w:val="single" w:sz="2" w:space="0" w:color="000000"/>
                    <w:right w:val="single" w:sz="2" w:space="0" w:color="000000"/>
                  </w:tcBorders>
                </w:tcPr>
                <w:p w14:paraId="6B9914D1" w14:textId="77777777" w:rsidR="00053D93" w:rsidRDefault="00260B75">
                  <w:pPr>
                    <w:spacing w:after="4"/>
                    <w:ind w:right="29"/>
                    <w:jc w:val="center"/>
                  </w:pPr>
                  <w:r>
                    <w:rPr>
                      <w:sz w:val="16"/>
                    </w:rPr>
                    <w:t>Acciones</w:t>
                  </w:r>
                </w:p>
                <w:p w14:paraId="6AC08BA3" w14:textId="77777777" w:rsidR="00053D93" w:rsidRDefault="00260B75">
                  <w:pPr>
                    <w:ind w:left="43" w:right="50"/>
                    <w:jc w:val="center"/>
                  </w:pPr>
                  <w:r>
                    <w:rPr>
                      <w:sz w:val="16"/>
                    </w:rPr>
                    <w:t xml:space="preserve">No: 195 y </w:t>
                  </w:r>
                  <w:r>
                    <w:rPr>
                      <w:rFonts w:ascii="Times New Roman" w:eastAsia="Times New Roman" w:hAnsi="Times New Roman" w:cs="Times New Roman"/>
                      <w:sz w:val="16"/>
                    </w:rPr>
                    <w:t>125.</w:t>
                  </w:r>
                </w:p>
              </w:tc>
              <w:tc>
                <w:tcPr>
                  <w:tcW w:w="1192" w:type="dxa"/>
                  <w:tcBorders>
                    <w:top w:val="single" w:sz="2" w:space="0" w:color="000000"/>
                    <w:left w:val="single" w:sz="2" w:space="0" w:color="000000"/>
                    <w:bottom w:val="single" w:sz="2" w:space="0" w:color="000000"/>
                    <w:right w:val="single" w:sz="2" w:space="0" w:color="000000"/>
                  </w:tcBorders>
                  <w:vAlign w:val="bottom"/>
                </w:tcPr>
                <w:p w14:paraId="77B9D3D6" w14:textId="77777777" w:rsidR="00053D93" w:rsidRDefault="00260B75">
                  <w:pPr>
                    <w:ind w:left="36"/>
                    <w:jc w:val="center"/>
                  </w:pPr>
                  <w:r>
                    <w:rPr>
                      <w:rFonts w:ascii="Times New Roman" w:eastAsia="Times New Roman" w:hAnsi="Times New Roman" w:cs="Times New Roman"/>
                      <w:sz w:val="16"/>
                    </w:rPr>
                    <w:t>129.964,996.00</w:t>
                  </w:r>
                </w:p>
              </w:tc>
              <w:tc>
                <w:tcPr>
                  <w:tcW w:w="1195" w:type="dxa"/>
                  <w:tcBorders>
                    <w:top w:val="single" w:sz="2" w:space="0" w:color="000000"/>
                    <w:left w:val="single" w:sz="2" w:space="0" w:color="000000"/>
                    <w:bottom w:val="single" w:sz="2" w:space="0" w:color="000000"/>
                    <w:right w:val="single" w:sz="2" w:space="0" w:color="000000"/>
                  </w:tcBorders>
                  <w:vAlign w:val="bottom"/>
                </w:tcPr>
                <w:p w14:paraId="2F00C0F7" w14:textId="77777777" w:rsidR="00053D93" w:rsidRDefault="00260B75">
                  <w:pPr>
                    <w:ind w:right="84"/>
                    <w:jc w:val="right"/>
                  </w:pPr>
                  <w:r>
                    <w:rPr>
                      <w:rFonts w:ascii="Times New Roman" w:eastAsia="Times New Roman" w:hAnsi="Times New Roman" w:cs="Times New Roman"/>
                      <w:sz w:val="16"/>
                    </w:rPr>
                    <w:t>9.750.00</w:t>
                  </w:r>
                </w:p>
              </w:tc>
              <w:tc>
                <w:tcPr>
                  <w:tcW w:w="1155" w:type="dxa"/>
                  <w:tcBorders>
                    <w:top w:val="single" w:sz="2" w:space="0" w:color="000000"/>
                    <w:left w:val="single" w:sz="2" w:space="0" w:color="000000"/>
                    <w:bottom w:val="single" w:sz="2" w:space="0" w:color="000000"/>
                    <w:right w:val="single" w:sz="2" w:space="0" w:color="000000"/>
                  </w:tcBorders>
                  <w:vAlign w:val="bottom"/>
                </w:tcPr>
                <w:p w14:paraId="4AF77FE6" w14:textId="77777777" w:rsidR="00053D93" w:rsidRDefault="00260B75">
                  <w:pPr>
                    <w:ind w:left="72"/>
                  </w:pPr>
                  <w:r>
                    <w:rPr>
                      <w:rFonts w:ascii="Times New Roman" w:eastAsia="Times New Roman" w:hAnsi="Times New Roman" w:cs="Times New Roman"/>
                      <w:sz w:val="16"/>
                    </w:rPr>
                    <w:t>129.955.246.00</w:t>
                  </w:r>
                </w:p>
              </w:tc>
              <w:tc>
                <w:tcPr>
                  <w:tcW w:w="847" w:type="dxa"/>
                  <w:tcBorders>
                    <w:top w:val="single" w:sz="2" w:space="0" w:color="000000"/>
                    <w:left w:val="single" w:sz="2" w:space="0" w:color="000000"/>
                    <w:bottom w:val="single" w:sz="2" w:space="0" w:color="000000"/>
                    <w:right w:val="single" w:sz="2" w:space="0" w:color="000000"/>
                  </w:tcBorders>
                </w:tcPr>
                <w:p w14:paraId="13F26EED" w14:textId="77777777" w:rsidR="00053D93" w:rsidRDefault="00053D93"/>
              </w:tc>
            </w:tr>
            <w:tr w:rsidR="00053D93" w14:paraId="45203D99" w14:textId="77777777">
              <w:trPr>
                <w:trHeight w:val="1296"/>
              </w:trPr>
              <w:tc>
                <w:tcPr>
                  <w:tcW w:w="240" w:type="dxa"/>
                  <w:tcBorders>
                    <w:top w:val="single" w:sz="2" w:space="0" w:color="000000"/>
                    <w:left w:val="single" w:sz="2" w:space="0" w:color="000000"/>
                    <w:bottom w:val="single" w:sz="2" w:space="0" w:color="000000"/>
                    <w:right w:val="single" w:sz="2" w:space="0" w:color="000000"/>
                  </w:tcBorders>
                </w:tcPr>
                <w:p w14:paraId="5D674F28" w14:textId="77777777" w:rsidR="00053D93" w:rsidRDefault="00260B75">
                  <w:pPr>
                    <w:ind w:left="14"/>
                  </w:pPr>
                  <w:r>
                    <w:rPr>
                      <w:rFonts w:ascii="Times New Roman" w:eastAsia="Times New Roman" w:hAnsi="Times New Roman" w:cs="Times New Roman"/>
                      <w:sz w:val="18"/>
                    </w:rPr>
                    <w:t>13</w:t>
                  </w:r>
                </w:p>
              </w:tc>
              <w:tc>
                <w:tcPr>
                  <w:tcW w:w="1228" w:type="dxa"/>
                  <w:gridSpan w:val="3"/>
                  <w:tcBorders>
                    <w:top w:val="single" w:sz="2" w:space="0" w:color="000000"/>
                    <w:left w:val="single" w:sz="2" w:space="0" w:color="000000"/>
                    <w:bottom w:val="single" w:sz="2" w:space="0" w:color="000000"/>
                    <w:right w:val="single" w:sz="2" w:space="0" w:color="000000"/>
                  </w:tcBorders>
                </w:tcPr>
                <w:p w14:paraId="5F548AC5" w14:textId="77777777" w:rsidR="00053D93" w:rsidRDefault="00260B75">
                  <w:pPr>
                    <w:spacing w:after="2"/>
                    <w:ind w:left="177" w:right="141"/>
                  </w:pPr>
                  <w:r>
                    <w:rPr>
                      <w:noProof/>
                    </w:rPr>
                    <w:drawing>
                      <wp:anchor distT="0" distB="0" distL="114300" distR="114300" simplePos="0" relativeHeight="252068864" behindDoc="0" locked="0" layoutInCell="1" allowOverlap="0" wp14:anchorId="6824DD06" wp14:editId="69402CE8">
                        <wp:simplePos x="0" y="0"/>
                        <wp:positionH relativeFrom="column">
                          <wp:posOffset>672084</wp:posOffset>
                        </wp:positionH>
                        <wp:positionV relativeFrom="paragraph">
                          <wp:posOffset>12602</wp:posOffset>
                        </wp:positionV>
                        <wp:extent cx="18288" cy="681228"/>
                        <wp:effectExtent l="0" t="0" r="0" b="0"/>
                        <wp:wrapSquare wrapText="bothSides"/>
                        <wp:docPr id="696131" name="Picture 696131"/>
                        <wp:cNvGraphicFramePr/>
                        <a:graphic xmlns:a="http://schemas.openxmlformats.org/drawingml/2006/main">
                          <a:graphicData uri="http://schemas.openxmlformats.org/drawingml/2006/picture">
                            <pic:pic xmlns:pic="http://schemas.openxmlformats.org/drawingml/2006/picture">
                              <pic:nvPicPr>
                                <pic:cNvPr id="696131" name="Picture 696131"/>
                                <pic:cNvPicPr/>
                              </pic:nvPicPr>
                              <pic:blipFill>
                                <a:blip r:embed="rId1018"/>
                                <a:stretch>
                                  <a:fillRect/>
                                </a:stretch>
                              </pic:blipFill>
                              <pic:spPr>
                                <a:xfrm>
                                  <a:off x="0" y="0"/>
                                  <a:ext cx="18288" cy="681228"/>
                                </a:xfrm>
                                <a:prstGeom prst="rect">
                                  <a:avLst/>
                                </a:prstGeom>
                              </pic:spPr>
                            </pic:pic>
                          </a:graphicData>
                        </a:graphic>
                      </wp:anchor>
                    </w:drawing>
                  </w:r>
                  <w:r>
                    <w:rPr>
                      <w:rFonts w:ascii="Times New Roman" w:eastAsia="Times New Roman" w:hAnsi="Times New Roman" w:cs="Times New Roman"/>
                      <w:sz w:val="16"/>
                    </w:rPr>
                    <w:t>196; 199; 211</w:t>
                  </w:r>
                </w:p>
                <w:p w14:paraId="495C8E38" w14:textId="77777777" w:rsidR="00053D93" w:rsidRDefault="00260B75">
                  <w:pPr>
                    <w:ind w:left="170" w:right="141"/>
                  </w:pPr>
                  <w:r>
                    <w:rPr>
                      <w:rFonts w:ascii="Times New Roman" w:eastAsia="Times New Roman" w:hAnsi="Times New Roman" w:cs="Times New Roman"/>
                      <w:sz w:val="16"/>
                    </w:rPr>
                    <w:t>299; 122; 141</w:t>
                  </w:r>
                </w:p>
                <w:p w14:paraId="7EC8CE56" w14:textId="77777777" w:rsidR="00053D93" w:rsidRDefault="00260B75">
                  <w:pPr>
                    <w:ind w:left="163" w:right="141"/>
                  </w:pPr>
                  <w:r>
                    <w:rPr>
                      <w:rFonts w:ascii="Times New Roman" w:eastAsia="Times New Roman" w:hAnsi="Times New Roman" w:cs="Times New Roman"/>
                      <w:sz w:val="16"/>
                    </w:rPr>
                    <w:t>224; 294; 214</w:t>
                  </w:r>
                </w:p>
                <w:p w14:paraId="78A0AAD5" w14:textId="77777777" w:rsidR="00053D93" w:rsidRDefault="00260B75">
                  <w:pPr>
                    <w:spacing w:after="5"/>
                    <w:ind w:left="170" w:right="141"/>
                  </w:pPr>
                  <w:r>
                    <w:rPr>
                      <w:rFonts w:ascii="Times New Roman" w:eastAsia="Times New Roman" w:hAnsi="Times New Roman" w:cs="Times New Roman"/>
                      <w:sz w:val="16"/>
                    </w:rPr>
                    <w:t>232; 239; 261</w:t>
                  </w:r>
                </w:p>
                <w:p w14:paraId="46C6954E" w14:textId="77777777" w:rsidR="00053D93" w:rsidRDefault="00260B75">
                  <w:pPr>
                    <w:ind w:left="163" w:right="141"/>
                  </w:pPr>
                  <w:r>
                    <w:rPr>
                      <w:rFonts w:ascii="Times New Roman" w:eastAsia="Times New Roman" w:hAnsi="Times New Roman" w:cs="Times New Roman"/>
                      <w:sz w:val="16"/>
                    </w:rPr>
                    <w:t>281; 282; 284</w:t>
                  </w:r>
                </w:p>
                <w:p w14:paraId="4B5AA8C7" w14:textId="77777777" w:rsidR="00053D93" w:rsidRDefault="00260B75">
                  <w:pPr>
                    <w:ind w:left="163" w:right="141"/>
                  </w:pPr>
                  <w:r>
                    <w:rPr>
                      <w:rFonts w:ascii="Times New Roman" w:eastAsia="Times New Roman" w:hAnsi="Times New Roman" w:cs="Times New Roman"/>
                      <w:sz w:val="16"/>
                    </w:rPr>
                    <w:t>291; 295; 297</w:t>
                  </w:r>
                </w:p>
                <w:p w14:paraId="7009B328" w14:textId="77777777" w:rsidR="00053D93" w:rsidRDefault="00260B75">
                  <w:pPr>
                    <w:ind w:left="22"/>
                    <w:jc w:val="center"/>
                  </w:pPr>
                  <w:r>
                    <w:rPr>
                      <w:rFonts w:ascii="Times New Roman" w:eastAsia="Times New Roman" w:hAnsi="Times New Roman" w:cs="Times New Roman"/>
                      <w:sz w:val="16"/>
                    </w:rPr>
                    <w:t>322 y 324</w:t>
                  </w:r>
                </w:p>
              </w:tc>
              <w:tc>
                <w:tcPr>
                  <w:tcW w:w="1548" w:type="dxa"/>
                  <w:tcBorders>
                    <w:top w:val="single" w:sz="2" w:space="0" w:color="000000"/>
                    <w:left w:val="single" w:sz="2" w:space="0" w:color="000000"/>
                    <w:bottom w:val="single" w:sz="2" w:space="0" w:color="000000"/>
                    <w:right w:val="single" w:sz="2" w:space="0" w:color="000000"/>
                  </w:tcBorders>
                </w:tcPr>
                <w:p w14:paraId="3F2AEFB4" w14:textId="77777777" w:rsidR="00053D93" w:rsidRDefault="00260B75">
                  <w:pPr>
                    <w:ind w:left="58" w:right="69" w:firstLine="14"/>
                    <w:jc w:val="both"/>
                  </w:pPr>
                  <w:r>
                    <w:rPr>
                      <w:sz w:val="16"/>
                    </w:rPr>
                    <w:t>Estudiantes con y sin discapacidad atendidos en juegos deportivos escolares regionales nacionales.</w:t>
                  </w:r>
                </w:p>
              </w:tc>
              <w:tc>
                <w:tcPr>
                  <w:tcW w:w="968" w:type="dxa"/>
                  <w:tcBorders>
                    <w:top w:val="single" w:sz="2" w:space="0" w:color="000000"/>
                    <w:left w:val="single" w:sz="2" w:space="0" w:color="000000"/>
                    <w:bottom w:val="single" w:sz="2" w:space="0" w:color="000000"/>
                    <w:right w:val="single" w:sz="2" w:space="0" w:color="000000"/>
                  </w:tcBorders>
                </w:tcPr>
                <w:p w14:paraId="6D3AB510" w14:textId="77777777" w:rsidR="00053D93" w:rsidRDefault="00260B75">
                  <w:pPr>
                    <w:spacing w:after="61"/>
                    <w:ind w:right="14"/>
                    <w:jc w:val="center"/>
                  </w:pPr>
                  <w:r>
                    <w:rPr>
                      <w:rFonts w:ascii="Times New Roman" w:eastAsia="Times New Roman" w:hAnsi="Times New Roman" w:cs="Times New Roman"/>
                      <w:sz w:val="12"/>
                    </w:rPr>
                    <w:t>Acciones</w:t>
                  </w:r>
                </w:p>
                <w:p w14:paraId="00411D81" w14:textId="77777777" w:rsidR="00053D93" w:rsidRDefault="00260B75">
                  <w:pPr>
                    <w:ind w:left="40" w:right="47"/>
                    <w:jc w:val="center"/>
                  </w:pPr>
                  <w:r>
                    <w:rPr>
                      <w:sz w:val="16"/>
                    </w:rPr>
                    <w:t xml:space="preserve">No: 182 y </w:t>
                  </w:r>
                  <w:r>
                    <w:rPr>
                      <w:rFonts w:ascii="Times New Roman" w:eastAsia="Times New Roman" w:hAnsi="Times New Roman" w:cs="Times New Roman"/>
                      <w:sz w:val="16"/>
                    </w:rPr>
                    <w:t>183.</w:t>
                  </w:r>
                </w:p>
              </w:tc>
              <w:tc>
                <w:tcPr>
                  <w:tcW w:w="1192" w:type="dxa"/>
                  <w:tcBorders>
                    <w:top w:val="single" w:sz="2" w:space="0" w:color="000000"/>
                    <w:left w:val="single" w:sz="2" w:space="0" w:color="000000"/>
                    <w:bottom w:val="single" w:sz="2" w:space="0" w:color="000000"/>
                    <w:right w:val="single" w:sz="2" w:space="0" w:color="000000"/>
                  </w:tcBorders>
                  <w:vAlign w:val="bottom"/>
                </w:tcPr>
                <w:p w14:paraId="5D15868C" w14:textId="77777777" w:rsidR="00053D93" w:rsidRDefault="00260B75">
                  <w:pPr>
                    <w:ind w:left="185"/>
                  </w:pPr>
                  <w:r>
                    <w:rPr>
                      <w:rFonts w:ascii="Times New Roman" w:eastAsia="Times New Roman" w:hAnsi="Times New Roman" w:cs="Times New Roman"/>
                      <w:sz w:val="16"/>
                    </w:rPr>
                    <w:t>29.452.265.00</w:t>
                  </w:r>
                </w:p>
              </w:tc>
              <w:tc>
                <w:tcPr>
                  <w:tcW w:w="1195" w:type="dxa"/>
                  <w:tcBorders>
                    <w:top w:val="single" w:sz="2" w:space="0" w:color="000000"/>
                    <w:left w:val="single" w:sz="2" w:space="0" w:color="000000"/>
                    <w:bottom w:val="single" w:sz="2" w:space="0" w:color="000000"/>
                    <w:right w:val="single" w:sz="2" w:space="0" w:color="000000"/>
                  </w:tcBorders>
                  <w:vAlign w:val="bottom"/>
                </w:tcPr>
                <w:p w14:paraId="1DD79AE7" w14:textId="77777777" w:rsidR="00053D93" w:rsidRDefault="00260B75">
                  <w:pPr>
                    <w:ind w:left="194"/>
                  </w:pPr>
                  <w:r>
                    <w:rPr>
                      <w:rFonts w:ascii="Times New Roman" w:eastAsia="Times New Roman" w:hAnsi="Times New Roman" w:cs="Times New Roman"/>
                      <w:sz w:val="16"/>
                    </w:rPr>
                    <w:t>10, 068.522.90</w:t>
                  </w:r>
                </w:p>
              </w:tc>
              <w:tc>
                <w:tcPr>
                  <w:tcW w:w="1155" w:type="dxa"/>
                  <w:tcBorders>
                    <w:top w:val="single" w:sz="2" w:space="0" w:color="000000"/>
                    <w:left w:val="single" w:sz="2" w:space="0" w:color="000000"/>
                    <w:bottom w:val="single" w:sz="2" w:space="0" w:color="000000"/>
                    <w:right w:val="single" w:sz="2" w:space="0" w:color="000000"/>
                  </w:tcBorders>
                </w:tcPr>
                <w:p w14:paraId="735E634F" w14:textId="77777777" w:rsidR="00053D93" w:rsidRDefault="00053D93"/>
              </w:tc>
              <w:tc>
                <w:tcPr>
                  <w:tcW w:w="847" w:type="dxa"/>
                  <w:tcBorders>
                    <w:top w:val="single" w:sz="2" w:space="0" w:color="000000"/>
                    <w:left w:val="single" w:sz="2" w:space="0" w:color="000000"/>
                    <w:bottom w:val="single" w:sz="2" w:space="0" w:color="000000"/>
                    <w:right w:val="single" w:sz="2" w:space="0" w:color="000000"/>
                  </w:tcBorders>
                  <w:vAlign w:val="bottom"/>
                </w:tcPr>
                <w:p w14:paraId="0714D446" w14:textId="77777777" w:rsidR="00053D93" w:rsidRDefault="00260B75">
                  <w:pPr>
                    <w:ind w:left="278"/>
                  </w:pPr>
                  <w:r>
                    <w:rPr>
                      <w:rFonts w:ascii="Times New Roman" w:eastAsia="Times New Roman" w:hAnsi="Times New Roman" w:cs="Times New Roman"/>
                      <w:sz w:val="16"/>
                    </w:rPr>
                    <w:t>34.19%</w:t>
                  </w:r>
                </w:p>
              </w:tc>
            </w:tr>
            <w:tr w:rsidR="00053D93" w14:paraId="07D562EC" w14:textId="77777777">
              <w:trPr>
                <w:trHeight w:val="1354"/>
              </w:trPr>
              <w:tc>
                <w:tcPr>
                  <w:tcW w:w="240" w:type="dxa"/>
                  <w:tcBorders>
                    <w:top w:val="single" w:sz="2" w:space="0" w:color="000000"/>
                    <w:left w:val="single" w:sz="2" w:space="0" w:color="000000"/>
                    <w:bottom w:val="single" w:sz="2" w:space="0" w:color="000000"/>
                    <w:right w:val="single" w:sz="2" w:space="0" w:color="000000"/>
                  </w:tcBorders>
                </w:tcPr>
                <w:p w14:paraId="00E7EAF5" w14:textId="77777777" w:rsidR="00053D93" w:rsidRDefault="00260B75">
                  <w:pPr>
                    <w:ind w:left="7"/>
                  </w:pPr>
                  <w:r>
                    <w:rPr>
                      <w:rFonts w:ascii="Times New Roman" w:eastAsia="Times New Roman" w:hAnsi="Times New Roman" w:cs="Times New Roman"/>
                      <w:sz w:val="16"/>
                    </w:rPr>
                    <w:lastRenderedPageBreak/>
                    <w:t>14</w:t>
                  </w:r>
                </w:p>
              </w:tc>
              <w:tc>
                <w:tcPr>
                  <w:tcW w:w="1228" w:type="dxa"/>
                  <w:gridSpan w:val="3"/>
                  <w:tcBorders>
                    <w:top w:val="single" w:sz="2" w:space="0" w:color="000000"/>
                    <w:left w:val="single" w:sz="2" w:space="0" w:color="000000"/>
                    <w:bottom w:val="single" w:sz="2" w:space="0" w:color="000000"/>
                    <w:right w:val="single" w:sz="2" w:space="0" w:color="000000"/>
                  </w:tcBorders>
                </w:tcPr>
                <w:p w14:paraId="5C2D5A58" w14:textId="77777777" w:rsidR="00053D93" w:rsidRDefault="00260B75">
                  <w:pPr>
                    <w:ind w:left="29"/>
                    <w:jc w:val="center"/>
                  </w:pPr>
                  <w:r>
                    <w:rPr>
                      <w:rFonts w:ascii="Times New Roman" w:eastAsia="Times New Roman" w:hAnsi="Times New Roman" w:cs="Times New Roman"/>
                      <w:sz w:val="16"/>
                    </w:rPr>
                    <w:t>189; 233; 294;</w:t>
                  </w:r>
                </w:p>
                <w:p w14:paraId="52EFDBA7" w14:textId="77777777" w:rsidR="00053D93" w:rsidRDefault="00260B75">
                  <w:pPr>
                    <w:ind w:left="300"/>
                  </w:pPr>
                  <w:r>
                    <w:rPr>
                      <w:noProof/>
                    </w:rPr>
                    <w:drawing>
                      <wp:inline distT="0" distB="0" distL="0" distR="0" wp14:anchorId="5E07B88A" wp14:editId="693F746D">
                        <wp:extent cx="384048" cy="91439"/>
                        <wp:effectExtent l="0" t="0" r="0" b="0"/>
                        <wp:docPr id="696116" name="Picture 696116"/>
                        <wp:cNvGraphicFramePr/>
                        <a:graphic xmlns:a="http://schemas.openxmlformats.org/drawingml/2006/main">
                          <a:graphicData uri="http://schemas.openxmlformats.org/drawingml/2006/picture">
                            <pic:pic xmlns:pic="http://schemas.openxmlformats.org/drawingml/2006/picture">
                              <pic:nvPicPr>
                                <pic:cNvPr id="696116" name="Picture 696116"/>
                                <pic:cNvPicPr/>
                              </pic:nvPicPr>
                              <pic:blipFill>
                                <a:blip r:embed="rId1019"/>
                                <a:stretch>
                                  <a:fillRect/>
                                </a:stretch>
                              </pic:blipFill>
                              <pic:spPr>
                                <a:xfrm>
                                  <a:off x="0" y="0"/>
                                  <a:ext cx="384048" cy="91439"/>
                                </a:xfrm>
                                <a:prstGeom prst="rect">
                                  <a:avLst/>
                                </a:prstGeom>
                              </pic:spPr>
                            </pic:pic>
                          </a:graphicData>
                        </a:graphic>
                      </wp:inline>
                    </w:drawing>
                  </w:r>
                </w:p>
              </w:tc>
              <w:tc>
                <w:tcPr>
                  <w:tcW w:w="1548" w:type="dxa"/>
                  <w:tcBorders>
                    <w:top w:val="single" w:sz="2" w:space="0" w:color="000000"/>
                    <w:left w:val="single" w:sz="2" w:space="0" w:color="000000"/>
                    <w:bottom w:val="single" w:sz="2" w:space="0" w:color="000000"/>
                    <w:right w:val="single" w:sz="2" w:space="0" w:color="000000"/>
                  </w:tcBorders>
                  <w:vAlign w:val="bottom"/>
                </w:tcPr>
                <w:p w14:paraId="56CA7A5F" w14:textId="77777777" w:rsidR="00053D93" w:rsidRDefault="00260B75">
                  <w:pPr>
                    <w:ind w:left="50" w:right="69" w:firstLine="7"/>
                    <w:jc w:val="both"/>
                  </w:pPr>
                  <w:r>
                    <w:rPr>
                      <w:sz w:val="18"/>
                    </w:rPr>
                    <w:t xml:space="preserve">Estudiantes atendidos </w:t>
                  </w:r>
                  <w:r>
                    <w:rPr>
                      <w:rFonts w:ascii="Times New Roman" w:eastAsia="Times New Roman" w:hAnsi="Times New Roman" w:cs="Times New Roman"/>
                      <w:sz w:val="18"/>
                    </w:rPr>
                    <w:t xml:space="preserve">con </w:t>
                  </w:r>
                  <w:r>
                    <w:rPr>
                      <w:sz w:val="18"/>
                    </w:rPr>
                    <w:t>actividades de desarrollo motriz como parte del programa de la clase de Educadón Física.</w:t>
                  </w:r>
                </w:p>
              </w:tc>
              <w:tc>
                <w:tcPr>
                  <w:tcW w:w="968" w:type="dxa"/>
                  <w:tcBorders>
                    <w:top w:val="single" w:sz="2" w:space="0" w:color="000000"/>
                    <w:left w:val="single" w:sz="2" w:space="0" w:color="000000"/>
                    <w:bottom w:val="single" w:sz="2" w:space="0" w:color="000000"/>
                    <w:right w:val="single" w:sz="2" w:space="0" w:color="000000"/>
                  </w:tcBorders>
                </w:tcPr>
                <w:p w14:paraId="30C56D26" w14:textId="77777777" w:rsidR="00053D93" w:rsidRDefault="00260B75">
                  <w:pPr>
                    <w:spacing w:after="3" w:line="247" w:lineRule="auto"/>
                    <w:ind w:left="65" w:right="86"/>
                    <w:jc w:val="center"/>
                  </w:pPr>
                  <w:r>
                    <w:rPr>
                      <w:rFonts w:ascii="Times New Roman" w:eastAsia="Times New Roman" w:hAnsi="Times New Roman" w:cs="Times New Roman"/>
                      <w:sz w:val="12"/>
                    </w:rPr>
                    <w:t xml:space="preserve">Acciones </w:t>
                  </w:r>
                  <w:r>
                    <w:rPr>
                      <w:sz w:val="12"/>
                    </w:rPr>
                    <w:t>No: 149;</w:t>
                  </w:r>
                </w:p>
                <w:p w14:paraId="20F90E18" w14:textId="77777777" w:rsidR="00053D93" w:rsidRDefault="00260B75">
                  <w:pPr>
                    <w:ind w:right="22"/>
                    <w:jc w:val="center"/>
                  </w:pPr>
                  <w:r>
                    <w:rPr>
                      <w:rFonts w:ascii="Times New Roman" w:eastAsia="Times New Roman" w:hAnsi="Times New Roman" w:cs="Times New Roman"/>
                      <w:sz w:val="16"/>
                    </w:rPr>
                    <w:t>145 y 153.</w:t>
                  </w:r>
                </w:p>
              </w:tc>
              <w:tc>
                <w:tcPr>
                  <w:tcW w:w="1192" w:type="dxa"/>
                  <w:tcBorders>
                    <w:top w:val="single" w:sz="2" w:space="0" w:color="000000"/>
                    <w:left w:val="single" w:sz="2" w:space="0" w:color="000000"/>
                    <w:bottom w:val="single" w:sz="2" w:space="0" w:color="000000"/>
                    <w:right w:val="single" w:sz="2" w:space="0" w:color="000000"/>
                  </w:tcBorders>
                </w:tcPr>
                <w:p w14:paraId="0D9E668B" w14:textId="77777777" w:rsidR="00053D93" w:rsidRDefault="00053D93"/>
              </w:tc>
              <w:tc>
                <w:tcPr>
                  <w:tcW w:w="1195" w:type="dxa"/>
                  <w:tcBorders>
                    <w:top w:val="single" w:sz="2" w:space="0" w:color="000000"/>
                    <w:left w:val="single" w:sz="2" w:space="0" w:color="000000"/>
                    <w:bottom w:val="single" w:sz="2" w:space="0" w:color="000000"/>
                    <w:right w:val="single" w:sz="2" w:space="0" w:color="000000"/>
                  </w:tcBorders>
                  <w:vAlign w:val="bottom"/>
                </w:tcPr>
                <w:p w14:paraId="10D0A257" w14:textId="77777777" w:rsidR="00053D93" w:rsidRDefault="00260B75">
                  <w:pPr>
                    <w:ind w:left="266"/>
                  </w:pPr>
                  <w:r>
                    <w:rPr>
                      <w:rFonts w:ascii="Times New Roman" w:eastAsia="Times New Roman" w:hAnsi="Times New Roman" w:cs="Times New Roman"/>
                      <w:sz w:val="16"/>
                    </w:rPr>
                    <w:t>2.722.930.00</w:t>
                  </w:r>
                </w:p>
              </w:tc>
              <w:tc>
                <w:tcPr>
                  <w:tcW w:w="1155" w:type="dxa"/>
                  <w:tcBorders>
                    <w:top w:val="single" w:sz="2" w:space="0" w:color="000000"/>
                    <w:left w:val="single" w:sz="2" w:space="0" w:color="000000"/>
                    <w:bottom w:val="single" w:sz="2" w:space="0" w:color="000000"/>
                    <w:right w:val="single" w:sz="2" w:space="0" w:color="000000"/>
                  </w:tcBorders>
                  <w:vAlign w:val="bottom"/>
                </w:tcPr>
                <w:p w14:paraId="2EF08DCB" w14:textId="77777777" w:rsidR="00053D93" w:rsidRDefault="00260B75">
                  <w:pPr>
                    <w:ind w:left="230"/>
                  </w:pPr>
                  <w:r>
                    <w:rPr>
                      <w:sz w:val="14"/>
                    </w:rPr>
                    <w:t>6,661 ,481 .OD</w:t>
                  </w:r>
                </w:p>
              </w:tc>
              <w:tc>
                <w:tcPr>
                  <w:tcW w:w="847" w:type="dxa"/>
                  <w:tcBorders>
                    <w:top w:val="single" w:sz="2" w:space="0" w:color="000000"/>
                    <w:left w:val="single" w:sz="2" w:space="0" w:color="000000"/>
                    <w:bottom w:val="single" w:sz="2" w:space="0" w:color="000000"/>
                    <w:right w:val="single" w:sz="2" w:space="0" w:color="000000"/>
                  </w:tcBorders>
                  <w:vAlign w:val="bottom"/>
                </w:tcPr>
                <w:p w14:paraId="5D7C6256" w14:textId="77777777" w:rsidR="00053D93" w:rsidRDefault="00260B75">
                  <w:pPr>
                    <w:ind w:left="278"/>
                  </w:pPr>
                  <w:r>
                    <w:rPr>
                      <w:rFonts w:ascii="Times New Roman" w:eastAsia="Times New Roman" w:hAnsi="Times New Roman" w:cs="Times New Roman"/>
                      <w:sz w:val="14"/>
                    </w:rPr>
                    <w:t>29.020/0</w:t>
                  </w:r>
                </w:p>
              </w:tc>
            </w:tr>
            <w:tr w:rsidR="00053D93" w14:paraId="5A798A7C" w14:textId="77777777">
              <w:trPr>
                <w:trHeight w:val="715"/>
              </w:trPr>
              <w:tc>
                <w:tcPr>
                  <w:tcW w:w="240" w:type="dxa"/>
                  <w:vMerge w:val="restart"/>
                  <w:tcBorders>
                    <w:top w:val="single" w:sz="2" w:space="0" w:color="000000"/>
                    <w:left w:val="single" w:sz="2" w:space="0" w:color="000000"/>
                    <w:bottom w:val="nil"/>
                    <w:right w:val="single" w:sz="2" w:space="0" w:color="000000"/>
                  </w:tcBorders>
                </w:tcPr>
                <w:p w14:paraId="2040BDDF" w14:textId="77777777" w:rsidR="00053D93" w:rsidRDefault="00260B75">
                  <w:pPr>
                    <w:spacing w:after="225"/>
                    <w:ind w:left="14"/>
                  </w:pPr>
                  <w:r>
                    <w:rPr>
                      <w:rFonts w:ascii="Times New Roman" w:eastAsia="Times New Roman" w:hAnsi="Times New Roman" w:cs="Times New Roman"/>
                      <w:sz w:val="16"/>
                    </w:rPr>
                    <w:t>15</w:t>
                  </w:r>
                </w:p>
                <w:p w14:paraId="6EC0C816" w14:textId="77777777" w:rsidR="00053D93" w:rsidRDefault="00260B75">
                  <w:pPr>
                    <w:ind w:right="-50"/>
                  </w:pPr>
                  <w:r>
                    <w:rPr>
                      <w:noProof/>
                    </w:rPr>
                    <w:drawing>
                      <wp:inline distT="0" distB="0" distL="0" distR="0" wp14:anchorId="426261D3" wp14:editId="534FA887">
                        <wp:extent cx="169164" cy="406908"/>
                        <wp:effectExtent l="0" t="0" r="0" b="0"/>
                        <wp:docPr id="695823" name="Picture 695823"/>
                        <wp:cNvGraphicFramePr/>
                        <a:graphic xmlns:a="http://schemas.openxmlformats.org/drawingml/2006/main">
                          <a:graphicData uri="http://schemas.openxmlformats.org/drawingml/2006/picture">
                            <pic:pic xmlns:pic="http://schemas.openxmlformats.org/drawingml/2006/picture">
                              <pic:nvPicPr>
                                <pic:cNvPr id="695823" name="Picture 695823"/>
                                <pic:cNvPicPr/>
                              </pic:nvPicPr>
                              <pic:blipFill>
                                <a:blip r:embed="rId1020"/>
                                <a:stretch>
                                  <a:fillRect/>
                                </a:stretch>
                              </pic:blipFill>
                              <pic:spPr>
                                <a:xfrm>
                                  <a:off x="0" y="0"/>
                                  <a:ext cx="169164" cy="406908"/>
                                </a:xfrm>
                                <a:prstGeom prst="rect">
                                  <a:avLst/>
                                </a:prstGeom>
                              </pic:spPr>
                            </pic:pic>
                          </a:graphicData>
                        </a:graphic>
                      </wp:inline>
                    </w:drawing>
                  </w:r>
                </w:p>
              </w:tc>
              <w:tc>
                <w:tcPr>
                  <w:tcW w:w="1228" w:type="dxa"/>
                  <w:gridSpan w:val="3"/>
                  <w:tcBorders>
                    <w:top w:val="single" w:sz="2" w:space="0" w:color="000000"/>
                    <w:left w:val="single" w:sz="2" w:space="0" w:color="000000"/>
                    <w:bottom w:val="nil"/>
                    <w:right w:val="single" w:sz="2" w:space="0" w:color="000000"/>
                  </w:tcBorders>
                </w:tcPr>
                <w:p w14:paraId="74C8D70B" w14:textId="77777777" w:rsidR="00053D93" w:rsidRDefault="00260B75">
                  <w:pPr>
                    <w:ind w:left="36"/>
                    <w:jc w:val="center"/>
                  </w:pPr>
                  <w:r>
                    <w:rPr>
                      <w:sz w:val="16"/>
                    </w:rPr>
                    <w:t>294; 21 1; 233 y</w:t>
                  </w:r>
                </w:p>
                <w:p w14:paraId="57EEC64B" w14:textId="77777777" w:rsidR="00053D93" w:rsidRDefault="00260B75">
                  <w:pPr>
                    <w:ind w:left="36"/>
                    <w:jc w:val="center"/>
                  </w:pPr>
                  <w:r>
                    <w:rPr>
                      <w:rFonts w:ascii="Times New Roman" w:eastAsia="Times New Roman" w:hAnsi="Times New Roman" w:cs="Times New Roman"/>
                      <w:sz w:val="16"/>
                    </w:rPr>
                    <w:t>189</w:t>
                  </w:r>
                </w:p>
              </w:tc>
              <w:tc>
                <w:tcPr>
                  <w:tcW w:w="1548" w:type="dxa"/>
                  <w:tcBorders>
                    <w:top w:val="single" w:sz="2" w:space="0" w:color="000000"/>
                    <w:left w:val="single" w:sz="2" w:space="0" w:color="000000"/>
                    <w:bottom w:val="single" w:sz="2" w:space="0" w:color="000000"/>
                    <w:right w:val="single" w:sz="2" w:space="0" w:color="000000"/>
                  </w:tcBorders>
                </w:tcPr>
                <w:p w14:paraId="7E3A0A7A" w14:textId="77777777" w:rsidR="00053D93" w:rsidRDefault="00260B75">
                  <w:pPr>
                    <w:ind w:left="58" w:right="77" w:firstLine="7"/>
                    <w:jc w:val="both"/>
                  </w:pPr>
                  <w:r>
                    <w:rPr>
                      <w:sz w:val="16"/>
                    </w:rPr>
                    <w:t>Estudiantes con y sin discapacidad atendidos en juegos</w:t>
                  </w:r>
                </w:p>
              </w:tc>
              <w:tc>
                <w:tcPr>
                  <w:tcW w:w="968" w:type="dxa"/>
                  <w:tcBorders>
                    <w:top w:val="single" w:sz="2" w:space="0" w:color="000000"/>
                    <w:left w:val="single" w:sz="2" w:space="0" w:color="000000"/>
                    <w:bottom w:val="single" w:sz="2" w:space="0" w:color="000000"/>
                    <w:right w:val="single" w:sz="2" w:space="0" w:color="000000"/>
                  </w:tcBorders>
                </w:tcPr>
                <w:p w14:paraId="13B0E55B" w14:textId="77777777" w:rsidR="00053D93" w:rsidRDefault="00260B75">
                  <w:pPr>
                    <w:spacing w:after="3"/>
                    <w:ind w:right="14"/>
                    <w:jc w:val="center"/>
                  </w:pPr>
                  <w:r>
                    <w:rPr>
                      <w:sz w:val="16"/>
                    </w:rPr>
                    <w:t>Acciones</w:t>
                  </w:r>
                </w:p>
                <w:p w14:paraId="045B916E" w14:textId="77777777" w:rsidR="00053D93" w:rsidRDefault="00260B75">
                  <w:pPr>
                    <w:ind w:left="339" w:hanging="173"/>
                  </w:pPr>
                  <w:r>
                    <w:rPr>
                      <w:sz w:val="16"/>
                    </w:rPr>
                    <w:t xml:space="preserve">No: 115 y </w:t>
                  </w:r>
                  <w:r>
                    <w:rPr>
                      <w:rFonts w:ascii="Times New Roman" w:eastAsia="Times New Roman" w:hAnsi="Times New Roman" w:cs="Times New Roman"/>
                      <w:sz w:val="16"/>
                    </w:rPr>
                    <w:t>117.</w:t>
                  </w:r>
                </w:p>
              </w:tc>
              <w:tc>
                <w:tcPr>
                  <w:tcW w:w="1192" w:type="dxa"/>
                  <w:tcBorders>
                    <w:top w:val="single" w:sz="2" w:space="0" w:color="000000"/>
                    <w:left w:val="single" w:sz="2" w:space="0" w:color="000000"/>
                    <w:bottom w:val="single" w:sz="2" w:space="0" w:color="000000"/>
                    <w:right w:val="single" w:sz="2" w:space="0" w:color="000000"/>
                  </w:tcBorders>
                </w:tcPr>
                <w:p w14:paraId="47E6D35F" w14:textId="77777777" w:rsidR="00053D93" w:rsidRDefault="00053D93"/>
              </w:tc>
              <w:tc>
                <w:tcPr>
                  <w:tcW w:w="1195" w:type="dxa"/>
                  <w:tcBorders>
                    <w:top w:val="single" w:sz="2" w:space="0" w:color="000000"/>
                    <w:left w:val="single" w:sz="2" w:space="0" w:color="000000"/>
                    <w:bottom w:val="single" w:sz="2" w:space="0" w:color="000000"/>
                    <w:right w:val="single" w:sz="2" w:space="0" w:color="000000"/>
                  </w:tcBorders>
                </w:tcPr>
                <w:p w14:paraId="7D47B601" w14:textId="77777777" w:rsidR="00053D93" w:rsidRDefault="00053D93"/>
              </w:tc>
              <w:tc>
                <w:tcPr>
                  <w:tcW w:w="1155" w:type="dxa"/>
                  <w:tcBorders>
                    <w:top w:val="single" w:sz="2" w:space="0" w:color="000000"/>
                    <w:left w:val="single" w:sz="2" w:space="0" w:color="000000"/>
                    <w:bottom w:val="single" w:sz="2" w:space="0" w:color="000000"/>
                    <w:right w:val="single" w:sz="2" w:space="0" w:color="000000"/>
                  </w:tcBorders>
                </w:tcPr>
                <w:p w14:paraId="431E440B" w14:textId="77777777" w:rsidR="00053D93" w:rsidRDefault="00053D93"/>
              </w:tc>
              <w:tc>
                <w:tcPr>
                  <w:tcW w:w="847" w:type="dxa"/>
                  <w:tcBorders>
                    <w:top w:val="single" w:sz="2" w:space="0" w:color="000000"/>
                    <w:left w:val="single" w:sz="2" w:space="0" w:color="000000"/>
                    <w:bottom w:val="single" w:sz="2" w:space="0" w:color="000000"/>
                    <w:right w:val="single" w:sz="2" w:space="0" w:color="000000"/>
                  </w:tcBorders>
                </w:tcPr>
                <w:p w14:paraId="7B252140" w14:textId="77777777" w:rsidR="00053D93" w:rsidRDefault="00053D93"/>
              </w:tc>
            </w:tr>
            <w:tr w:rsidR="00053D93" w14:paraId="0FBDD076" w14:textId="77777777">
              <w:trPr>
                <w:trHeight w:val="605"/>
              </w:trPr>
              <w:tc>
                <w:tcPr>
                  <w:tcW w:w="0" w:type="auto"/>
                  <w:vMerge/>
                  <w:tcBorders>
                    <w:top w:val="nil"/>
                    <w:left w:val="single" w:sz="2" w:space="0" w:color="000000"/>
                    <w:bottom w:val="nil"/>
                    <w:right w:val="single" w:sz="2" w:space="0" w:color="000000"/>
                  </w:tcBorders>
                </w:tcPr>
                <w:p w14:paraId="03C2A92B" w14:textId="77777777" w:rsidR="00053D93" w:rsidRDefault="00053D93"/>
              </w:tc>
              <w:tc>
                <w:tcPr>
                  <w:tcW w:w="285" w:type="dxa"/>
                  <w:tcBorders>
                    <w:top w:val="nil"/>
                    <w:left w:val="single" w:sz="2" w:space="0" w:color="000000"/>
                    <w:bottom w:val="nil"/>
                    <w:right w:val="single" w:sz="2" w:space="0" w:color="000000"/>
                  </w:tcBorders>
                </w:tcPr>
                <w:p w14:paraId="5DE07C3C" w14:textId="77777777" w:rsidR="00053D93" w:rsidRDefault="00260B75">
                  <w:pPr>
                    <w:ind w:left="26" w:right="-46"/>
                  </w:pPr>
                  <w:r>
                    <w:rPr>
                      <w:noProof/>
                    </w:rPr>
                    <w:drawing>
                      <wp:inline distT="0" distB="0" distL="0" distR="0" wp14:anchorId="32012AD2" wp14:editId="71D483B7">
                        <wp:extent cx="178308" cy="384048"/>
                        <wp:effectExtent l="0" t="0" r="0" b="0"/>
                        <wp:docPr id="2458556" name="Picture 2458556"/>
                        <wp:cNvGraphicFramePr/>
                        <a:graphic xmlns:a="http://schemas.openxmlformats.org/drawingml/2006/main">
                          <a:graphicData uri="http://schemas.openxmlformats.org/drawingml/2006/picture">
                            <pic:pic xmlns:pic="http://schemas.openxmlformats.org/drawingml/2006/picture">
                              <pic:nvPicPr>
                                <pic:cNvPr id="2458556" name="Picture 2458556"/>
                                <pic:cNvPicPr/>
                              </pic:nvPicPr>
                              <pic:blipFill>
                                <a:blip r:embed="rId1021"/>
                                <a:stretch>
                                  <a:fillRect/>
                                </a:stretch>
                              </pic:blipFill>
                              <pic:spPr>
                                <a:xfrm>
                                  <a:off x="0" y="0"/>
                                  <a:ext cx="178308" cy="384048"/>
                                </a:xfrm>
                                <a:prstGeom prst="rect">
                                  <a:avLst/>
                                </a:prstGeom>
                              </pic:spPr>
                            </pic:pic>
                          </a:graphicData>
                        </a:graphic>
                      </wp:inline>
                    </w:drawing>
                  </w:r>
                </w:p>
              </w:tc>
              <w:tc>
                <w:tcPr>
                  <w:tcW w:w="212" w:type="dxa"/>
                  <w:tcBorders>
                    <w:top w:val="nil"/>
                    <w:left w:val="single" w:sz="2" w:space="0" w:color="000000"/>
                    <w:bottom w:val="nil"/>
                    <w:right w:val="single" w:sz="2" w:space="0" w:color="000000"/>
                  </w:tcBorders>
                </w:tcPr>
                <w:p w14:paraId="080AEAAF" w14:textId="77777777" w:rsidR="00053D93" w:rsidRDefault="00053D93"/>
              </w:tc>
              <w:tc>
                <w:tcPr>
                  <w:tcW w:w="7636" w:type="dxa"/>
                  <w:gridSpan w:val="7"/>
                  <w:tcBorders>
                    <w:top w:val="single" w:sz="2" w:space="0" w:color="000000"/>
                    <w:left w:val="single" w:sz="2" w:space="0" w:color="000000"/>
                    <w:bottom w:val="nil"/>
                    <w:right w:val="nil"/>
                  </w:tcBorders>
                </w:tcPr>
                <w:p w14:paraId="25D9E9BB" w14:textId="77777777" w:rsidR="00053D93" w:rsidRDefault="00260B75">
                  <w:pPr>
                    <w:ind w:left="2581"/>
                  </w:pPr>
                  <w:r>
                    <w:rPr>
                      <w:sz w:val="14"/>
                    </w:rPr>
                    <w:t>MINISTERIO DE EDUCACION</w:t>
                  </w:r>
                </w:p>
                <w:p w14:paraId="33E88094" w14:textId="77777777" w:rsidR="00053D93" w:rsidRDefault="00260B75">
                  <w:pPr>
                    <w:ind w:left="2084"/>
                  </w:pPr>
                  <w:r>
                    <w:rPr>
                      <w:sz w:val="14"/>
                    </w:rPr>
                    <w:t>AUDITORIA FINANCIERA Y DE CUMPLIMENTO</w:t>
                  </w:r>
                </w:p>
                <w:p w14:paraId="799978D7" w14:textId="77777777" w:rsidR="00053D93" w:rsidRDefault="00260B75">
                  <w:pPr>
                    <w:ind w:left="1746"/>
                  </w:pPr>
                  <w:r>
                    <w:rPr>
                      <w:sz w:val="14"/>
                    </w:rPr>
                    <w:t>PERIODO DEL 01 DE ENERO AL 31 DE DICIEMBRE DE 2024</w:t>
                  </w:r>
                </w:p>
              </w:tc>
            </w:tr>
          </w:tbl>
          <w:p w14:paraId="7FF2F82F" w14:textId="77777777" w:rsidR="00053D93" w:rsidRDefault="00053D93"/>
        </w:tc>
      </w:tr>
      <w:tr w:rsidR="00053D93" w14:paraId="24199DC5" w14:textId="77777777">
        <w:tblPrEx>
          <w:tblCellMar>
            <w:top w:w="4" w:type="dxa"/>
            <w:left w:w="79" w:type="dxa"/>
            <w:right w:w="49" w:type="dxa"/>
          </w:tblCellMar>
        </w:tblPrEx>
        <w:trPr>
          <w:gridBefore w:val="1"/>
          <w:gridAfter w:val="1"/>
          <w:wBefore w:w="910" w:type="dxa"/>
          <w:wAfter w:w="25" w:type="dxa"/>
          <w:trHeight w:val="729"/>
        </w:trPr>
        <w:tc>
          <w:tcPr>
            <w:tcW w:w="382" w:type="dxa"/>
            <w:gridSpan w:val="2"/>
            <w:tcBorders>
              <w:top w:val="single" w:sz="2" w:space="0" w:color="000000"/>
              <w:left w:val="single" w:sz="2" w:space="0" w:color="000000"/>
              <w:bottom w:val="single" w:sz="2" w:space="0" w:color="000000"/>
              <w:right w:val="single" w:sz="2" w:space="0" w:color="000000"/>
            </w:tcBorders>
          </w:tcPr>
          <w:p w14:paraId="499C0F70" w14:textId="77777777" w:rsidR="00053D93" w:rsidRDefault="00053D93"/>
        </w:tc>
        <w:tc>
          <w:tcPr>
            <w:tcW w:w="1188" w:type="dxa"/>
            <w:tcBorders>
              <w:top w:val="single" w:sz="2" w:space="0" w:color="000000"/>
              <w:left w:val="single" w:sz="2" w:space="0" w:color="000000"/>
              <w:bottom w:val="single" w:sz="2" w:space="0" w:color="000000"/>
              <w:right w:val="single" w:sz="2" w:space="0" w:color="000000"/>
            </w:tcBorders>
          </w:tcPr>
          <w:p w14:paraId="03092724" w14:textId="77777777" w:rsidR="00053D93" w:rsidRDefault="00053D93"/>
        </w:tc>
        <w:tc>
          <w:tcPr>
            <w:tcW w:w="1545" w:type="dxa"/>
            <w:tcBorders>
              <w:top w:val="single" w:sz="2" w:space="0" w:color="000000"/>
              <w:left w:val="single" w:sz="2" w:space="0" w:color="000000"/>
              <w:bottom w:val="single" w:sz="2" w:space="0" w:color="000000"/>
              <w:right w:val="single" w:sz="2" w:space="0" w:color="000000"/>
            </w:tcBorders>
          </w:tcPr>
          <w:p w14:paraId="112F2F54" w14:textId="77777777" w:rsidR="00053D93" w:rsidRDefault="00260B75">
            <w:r>
              <w:rPr>
                <w:sz w:val="16"/>
              </w:rPr>
              <w:t>deportivos escolares, intramuros municipales departamentales.</w:t>
            </w:r>
          </w:p>
        </w:tc>
        <w:tc>
          <w:tcPr>
            <w:tcW w:w="965" w:type="dxa"/>
            <w:tcBorders>
              <w:top w:val="single" w:sz="2" w:space="0" w:color="000000"/>
              <w:left w:val="single" w:sz="2" w:space="0" w:color="000000"/>
              <w:bottom w:val="single" w:sz="2" w:space="0" w:color="000000"/>
              <w:right w:val="single" w:sz="2" w:space="0" w:color="000000"/>
            </w:tcBorders>
          </w:tcPr>
          <w:p w14:paraId="5A37532D" w14:textId="77777777" w:rsidR="00053D93" w:rsidRDefault="00053D93"/>
        </w:tc>
        <w:tc>
          <w:tcPr>
            <w:tcW w:w="1198" w:type="dxa"/>
            <w:tcBorders>
              <w:top w:val="single" w:sz="2" w:space="0" w:color="000000"/>
              <w:left w:val="single" w:sz="2" w:space="0" w:color="000000"/>
              <w:bottom w:val="single" w:sz="2" w:space="0" w:color="000000"/>
              <w:right w:val="single" w:sz="2" w:space="0" w:color="000000"/>
            </w:tcBorders>
            <w:vAlign w:val="bottom"/>
          </w:tcPr>
          <w:p w14:paraId="177ED5E5" w14:textId="77777777" w:rsidR="00053D93" w:rsidRDefault="00260B75">
            <w:pPr>
              <w:ind w:left="132"/>
            </w:pPr>
            <w:r>
              <w:rPr>
                <w:sz w:val="16"/>
              </w:rPr>
              <w:t>16.868,200.oo</w:t>
            </w:r>
          </w:p>
        </w:tc>
        <w:tc>
          <w:tcPr>
            <w:tcW w:w="1197" w:type="dxa"/>
            <w:tcBorders>
              <w:top w:val="single" w:sz="2" w:space="0" w:color="000000"/>
              <w:left w:val="single" w:sz="2" w:space="0" w:color="000000"/>
              <w:bottom w:val="single" w:sz="2" w:space="0" w:color="000000"/>
              <w:right w:val="single" w:sz="2" w:space="0" w:color="000000"/>
            </w:tcBorders>
            <w:vAlign w:val="bottom"/>
          </w:tcPr>
          <w:p w14:paraId="77E05EEC" w14:textId="77777777" w:rsidR="00053D93" w:rsidRDefault="00260B75">
            <w:pPr>
              <w:ind w:left="209"/>
            </w:pPr>
            <w:r>
              <w:rPr>
                <w:rFonts w:ascii="Times New Roman" w:eastAsia="Times New Roman" w:hAnsi="Times New Roman" w:cs="Times New Roman"/>
                <w:sz w:val="16"/>
              </w:rPr>
              <w:t>1.937,550.13</w:t>
            </w:r>
          </w:p>
        </w:tc>
        <w:tc>
          <w:tcPr>
            <w:tcW w:w="1143" w:type="dxa"/>
            <w:tcBorders>
              <w:top w:val="single" w:sz="2" w:space="0" w:color="000000"/>
              <w:left w:val="single" w:sz="2" w:space="0" w:color="000000"/>
              <w:bottom w:val="single" w:sz="2" w:space="0" w:color="000000"/>
              <w:right w:val="single" w:sz="2" w:space="0" w:color="000000"/>
            </w:tcBorders>
          </w:tcPr>
          <w:p w14:paraId="75A66E6E" w14:textId="77777777" w:rsidR="00053D93" w:rsidRDefault="00053D93"/>
        </w:tc>
        <w:tc>
          <w:tcPr>
            <w:tcW w:w="847" w:type="dxa"/>
            <w:tcBorders>
              <w:top w:val="single" w:sz="2" w:space="0" w:color="000000"/>
              <w:left w:val="single" w:sz="2" w:space="0" w:color="000000"/>
              <w:bottom w:val="single" w:sz="2" w:space="0" w:color="000000"/>
              <w:right w:val="single" w:sz="2" w:space="0" w:color="000000"/>
            </w:tcBorders>
            <w:vAlign w:val="bottom"/>
          </w:tcPr>
          <w:p w14:paraId="0CE764FB" w14:textId="77777777" w:rsidR="00053D93" w:rsidRDefault="00260B75">
            <w:pPr>
              <w:ind w:left="223"/>
            </w:pPr>
            <w:r>
              <w:rPr>
                <w:rFonts w:ascii="Times New Roman" w:eastAsia="Times New Roman" w:hAnsi="Times New Roman" w:cs="Times New Roman"/>
                <w:sz w:val="14"/>
              </w:rPr>
              <w:t>1 1.660/0</w:t>
            </w:r>
          </w:p>
        </w:tc>
      </w:tr>
      <w:tr w:rsidR="00053D93" w14:paraId="46B40159" w14:textId="77777777">
        <w:tblPrEx>
          <w:tblCellMar>
            <w:top w:w="4" w:type="dxa"/>
            <w:left w:w="79" w:type="dxa"/>
            <w:right w:w="49" w:type="dxa"/>
          </w:tblCellMar>
        </w:tblPrEx>
        <w:trPr>
          <w:gridBefore w:val="1"/>
          <w:gridAfter w:val="1"/>
          <w:wBefore w:w="910" w:type="dxa"/>
          <w:wAfter w:w="25" w:type="dxa"/>
          <w:trHeight w:val="1265"/>
        </w:trPr>
        <w:tc>
          <w:tcPr>
            <w:tcW w:w="382" w:type="dxa"/>
            <w:gridSpan w:val="2"/>
            <w:tcBorders>
              <w:top w:val="single" w:sz="2" w:space="0" w:color="000000"/>
              <w:left w:val="single" w:sz="2" w:space="0" w:color="000000"/>
              <w:bottom w:val="single" w:sz="2" w:space="0" w:color="000000"/>
              <w:right w:val="single" w:sz="2" w:space="0" w:color="000000"/>
            </w:tcBorders>
          </w:tcPr>
          <w:p w14:paraId="05C644F8" w14:textId="77777777" w:rsidR="00053D93" w:rsidRDefault="00260B75">
            <w:pPr>
              <w:ind w:left="43"/>
            </w:pPr>
            <w:r>
              <w:rPr>
                <w:rFonts w:ascii="Times New Roman" w:eastAsia="Times New Roman" w:hAnsi="Times New Roman" w:cs="Times New Roman"/>
                <w:sz w:val="16"/>
              </w:rPr>
              <w:t>16</w:t>
            </w:r>
          </w:p>
        </w:tc>
        <w:tc>
          <w:tcPr>
            <w:tcW w:w="1188" w:type="dxa"/>
            <w:tcBorders>
              <w:top w:val="single" w:sz="2" w:space="0" w:color="000000"/>
              <w:left w:val="single" w:sz="2" w:space="0" w:color="000000"/>
              <w:bottom w:val="single" w:sz="2" w:space="0" w:color="000000"/>
              <w:right w:val="single" w:sz="2" w:space="0" w:color="000000"/>
            </w:tcBorders>
          </w:tcPr>
          <w:p w14:paraId="22508CA0" w14:textId="77777777" w:rsidR="00053D93" w:rsidRDefault="00260B75">
            <w:pPr>
              <w:ind w:left="43"/>
            </w:pPr>
            <w:r>
              <w:rPr>
                <w:sz w:val="16"/>
              </w:rPr>
              <w:t xml:space="preserve">294; 233 y 211 </w:t>
            </w:r>
          </w:p>
        </w:tc>
        <w:tc>
          <w:tcPr>
            <w:tcW w:w="1545" w:type="dxa"/>
            <w:tcBorders>
              <w:top w:val="single" w:sz="2" w:space="0" w:color="000000"/>
              <w:left w:val="single" w:sz="2" w:space="0" w:color="000000"/>
              <w:bottom w:val="single" w:sz="2" w:space="0" w:color="000000"/>
              <w:right w:val="single" w:sz="2" w:space="0" w:color="000000"/>
            </w:tcBorders>
          </w:tcPr>
          <w:p w14:paraId="072FA840" w14:textId="77777777" w:rsidR="00053D93" w:rsidRDefault="00260B75">
            <w:pPr>
              <w:ind w:firstLine="7"/>
            </w:pPr>
            <w:r>
              <w:rPr>
                <w:sz w:val="16"/>
              </w:rPr>
              <w:t>Estudiantes de las Escuelas Normares de Educación Física atendidos</w:t>
            </w:r>
            <w:r>
              <w:rPr>
                <w:sz w:val="16"/>
              </w:rPr>
              <w:tab/>
            </w:r>
            <w:r>
              <w:rPr>
                <w:rFonts w:ascii="Times New Roman" w:eastAsia="Times New Roman" w:hAnsi="Times New Roman" w:cs="Times New Roman"/>
                <w:sz w:val="16"/>
              </w:rPr>
              <w:t xml:space="preserve">con </w:t>
            </w:r>
            <w:r>
              <w:rPr>
                <w:sz w:val="16"/>
              </w:rPr>
              <w:t>Formación Académica.</w:t>
            </w:r>
          </w:p>
        </w:tc>
        <w:tc>
          <w:tcPr>
            <w:tcW w:w="965" w:type="dxa"/>
            <w:tcBorders>
              <w:top w:val="single" w:sz="2" w:space="0" w:color="000000"/>
              <w:left w:val="single" w:sz="2" w:space="0" w:color="000000"/>
              <w:bottom w:val="single" w:sz="2" w:space="0" w:color="000000"/>
              <w:right w:val="single" w:sz="2" w:space="0" w:color="000000"/>
            </w:tcBorders>
          </w:tcPr>
          <w:p w14:paraId="4A5655B9" w14:textId="77777777" w:rsidR="00053D93" w:rsidRDefault="00260B75">
            <w:pPr>
              <w:jc w:val="center"/>
            </w:pPr>
            <w:r>
              <w:rPr>
                <w:sz w:val="16"/>
              </w:rPr>
              <w:t xml:space="preserve">Acción No. </w:t>
            </w:r>
            <w:r>
              <w:rPr>
                <w:rFonts w:ascii="Times New Roman" w:eastAsia="Times New Roman" w:hAnsi="Times New Roman" w:cs="Times New Roman"/>
                <w:sz w:val="16"/>
              </w:rPr>
              <w:t>1 19.</w:t>
            </w:r>
          </w:p>
        </w:tc>
        <w:tc>
          <w:tcPr>
            <w:tcW w:w="1198" w:type="dxa"/>
            <w:tcBorders>
              <w:top w:val="single" w:sz="2" w:space="0" w:color="000000"/>
              <w:left w:val="single" w:sz="2" w:space="0" w:color="000000"/>
              <w:bottom w:val="single" w:sz="2" w:space="0" w:color="000000"/>
              <w:right w:val="single" w:sz="2" w:space="0" w:color="000000"/>
            </w:tcBorders>
          </w:tcPr>
          <w:p w14:paraId="6D237611" w14:textId="77777777" w:rsidR="00053D93" w:rsidRDefault="00053D93"/>
        </w:tc>
        <w:tc>
          <w:tcPr>
            <w:tcW w:w="1197" w:type="dxa"/>
            <w:tcBorders>
              <w:top w:val="single" w:sz="2" w:space="0" w:color="000000"/>
              <w:left w:val="single" w:sz="2" w:space="0" w:color="000000"/>
              <w:bottom w:val="single" w:sz="2" w:space="0" w:color="000000"/>
              <w:right w:val="single" w:sz="2" w:space="0" w:color="000000"/>
            </w:tcBorders>
            <w:vAlign w:val="bottom"/>
          </w:tcPr>
          <w:p w14:paraId="04755E8B" w14:textId="77777777" w:rsidR="00053D93" w:rsidRDefault="00260B75">
            <w:pPr>
              <w:ind w:left="324"/>
            </w:pPr>
            <w:r>
              <w:rPr>
                <w:rFonts w:ascii="Times New Roman" w:eastAsia="Times New Roman" w:hAnsi="Times New Roman" w:cs="Times New Roman"/>
                <w:sz w:val="16"/>
              </w:rPr>
              <w:t>260.134.90</w:t>
            </w:r>
          </w:p>
        </w:tc>
        <w:tc>
          <w:tcPr>
            <w:tcW w:w="1143" w:type="dxa"/>
            <w:tcBorders>
              <w:top w:val="single" w:sz="2" w:space="0" w:color="000000"/>
              <w:left w:val="single" w:sz="2" w:space="0" w:color="000000"/>
              <w:bottom w:val="single" w:sz="2" w:space="0" w:color="000000"/>
              <w:right w:val="single" w:sz="2" w:space="0" w:color="000000"/>
            </w:tcBorders>
            <w:vAlign w:val="bottom"/>
          </w:tcPr>
          <w:p w14:paraId="25B8B16C" w14:textId="77777777" w:rsidR="00053D93" w:rsidRDefault="00260B75">
            <w:pPr>
              <w:ind w:left="164"/>
            </w:pPr>
            <w:r>
              <w:rPr>
                <w:rFonts w:ascii="Times New Roman" w:eastAsia="Times New Roman" w:hAnsi="Times New Roman" w:cs="Times New Roman"/>
                <w:sz w:val="16"/>
              </w:rPr>
              <w:t>11384,865.10</w:t>
            </w:r>
          </w:p>
        </w:tc>
        <w:tc>
          <w:tcPr>
            <w:tcW w:w="847" w:type="dxa"/>
            <w:tcBorders>
              <w:top w:val="single" w:sz="2" w:space="0" w:color="000000"/>
              <w:left w:val="single" w:sz="2" w:space="0" w:color="000000"/>
              <w:bottom w:val="single" w:sz="2" w:space="0" w:color="000000"/>
              <w:right w:val="single" w:sz="2" w:space="0" w:color="000000"/>
            </w:tcBorders>
            <w:vAlign w:val="bottom"/>
          </w:tcPr>
          <w:p w14:paraId="397B352E" w14:textId="77777777" w:rsidR="00053D93" w:rsidRDefault="00260B75">
            <w:pPr>
              <w:ind w:left="223"/>
            </w:pPr>
            <w:r>
              <w:rPr>
                <w:rFonts w:ascii="Times New Roman" w:eastAsia="Times New Roman" w:hAnsi="Times New Roman" w:cs="Times New Roman"/>
                <w:sz w:val="14"/>
              </w:rPr>
              <w:t>15.81 0/0</w:t>
            </w:r>
          </w:p>
        </w:tc>
      </w:tr>
      <w:tr w:rsidR="00053D93" w14:paraId="0F595B95" w14:textId="77777777">
        <w:tblPrEx>
          <w:tblCellMar>
            <w:top w:w="4" w:type="dxa"/>
            <w:left w:w="79" w:type="dxa"/>
            <w:right w:w="49" w:type="dxa"/>
          </w:tblCellMar>
        </w:tblPrEx>
        <w:trPr>
          <w:gridBefore w:val="1"/>
          <w:gridAfter w:val="1"/>
          <w:wBefore w:w="910" w:type="dxa"/>
          <w:wAfter w:w="25" w:type="dxa"/>
          <w:trHeight w:val="284"/>
        </w:trPr>
        <w:tc>
          <w:tcPr>
            <w:tcW w:w="382" w:type="dxa"/>
            <w:gridSpan w:val="2"/>
            <w:tcBorders>
              <w:top w:val="single" w:sz="2" w:space="0" w:color="000000"/>
              <w:left w:val="single" w:sz="2" w:space="0" w:color="000000"/>
              <w:bottom w:val="single" w:sz="2" w:space="0" w:color="000000"/>
              <w:right w:val="single" w:sz="2" w:space="0" w:color="000000"/>
            </w:tcBorders>
          </w:tcPr>
          <w:p w14:paraId="02A492CB" w14:textId="77777777" w:rsidR="00053D93" w:rsidRDefault="00260B75">
            <w:pPr>
              <w:ind w:right="23"/>
              <w:jc w:val="center"/>
            </w:pPr>
            <w:r>
              <w:rPr>
                <w:rFonts w:ascii="Times New Roman" w:eastAsia="Times New Roman" w:hAnsi="Times New Roman" w:cs="Times New Roman"/>
                <w:sz w:val="16"/>
              </w:rPr>
              <w:t>17</w:t>
            </w:r>
          </w:p>
        </w:tc>
        <w:tc>
          <w:tcPr>
            <w:tcW w:w="3698" w:type="dxa"/>
            <w:gridSpan w:val="3"/>
            <w:tcBorders>
              <w:top w:val="single" w:sz="2" w:space="0" w:color="000000"/>
              <w:left w:val="nil"/>
              <w:bottom w:val="single" w:sz="2" w:space="0" w:color="000000"/>
              <w:right w:val="single" w:sz="2" w:space="0" w:color="000000"/>
            </w:tcBorders>
          </w:tcPr>
          <w:p w14:paraId="7EA038F4" w14:textId="77777777" w:rsidR="00053D93" w:rsidRDefault="00260B75">
            <w:pPr>
              <w:ind w:right="35"/>
              <w:jc w:val="center"/>
            </w:pPr>
            <w:r>
              <w:rPr>
                <w:sz w:val="16"/>
              </w:rPr>
              <w:t>Otros Programas/Proyectos o Producción</w:t>
            </w:r>
          </w:p>
        </w:tc>
        <w:tc>
          <w:tcPr>
            <w:tcW w:w="1198" w:type="dxa"/>
            <w:tcBorders>
              <w:top w:val="single" w:sz="2" w:space="0" w:color="000000"/>
              <w:left w:val="single" w:sz="2" w:space="0" w:color="000000"/>
              <w:bottom w:val="single" w:sz="2" w:space="0" w:color="000000"/>
              <w:right w:val="single" w:sz="2" w:space="0" w:color="000000"/>
            </w:tcBorders>
            <w:vAlign w:val="bottom"/>
          </w:tcPr>
          <w:p w14:paraId="63B5E639" w14:textId="77777777" w:rsidR="00053D93" w:rsidRDefault="00260B75">
            <w:pPr>
              <w:ind w:left="15"/>
              <w:jc w:val="center"/>
            </w:pPr>
            <w:r>
              <w:rPr>
                <w:rFonts w:ascii="Times New Roman" w:eastAsia="Times New Roman" w:hAnsi="Times New Roman" w:cs="Times New Roman"/>
                <w:sz w:val="16"/>
              </w:rPr>
              <w:t>407.935.559.00</w:t>
            </w:r>
          </w:p>
        </w:tc>
        <w:tc>
          <w:tcPr>
            <w:tcW w:w="1197" w:type="dxa"/>
            <w:tcBorders>
              <w:top w:val="single" w:sz="2" w:space="0" w:color="000000"/>
              <w:left w:val="single" w:sz="2" w:space="0" w:color="000000"/>
              <w:bottom w:val="single" w:sz="2" w:space="0" w:color="000000"/>
              <w:right w:val="single" w:sz="2" w:space="0" w:color="000000"/>
            </w:tcBorders>
          </w:tcPr>
          <w:p w14:paraId="544DF3BE" w14:textId="77777777" w:rsidR="00053D93" w:rsidRDefault="00260B75">
            <w:pPr>
              <w:ind w:left="11"/>
              <w:jc w:val="center"/>
            </w:pPr>
            <w:r>
              <w:rPr>
                <w:rFonts w:ascii="Times New Roman" w:eastAsia="Times New Roman" w:hAnsi="Times New Roman" w:cs="Times New Roman"/>
                <w:sz w:val="16"/>
              </w:rPr>
              <w:t>100.390,534.59</w:t>
            </w:r>
          </w:p>
        </w:tc>
        <w:tc>
          <w:tcPr>
            <w:tcW w:w="1143" w:type="dxa"/>
            <w:tcBorders>
              <w:top w:val="single" w:sz="2" w:space="0" w:color="000000"/>
              <w:left w:val="single" w:sz="2" w:space="0" w:color="000000"/>
              <w:bottom w:val="single" w:sz="2" w:space="0" w:color="000000"/>
              <w:right w:val="single" w:sz="2" w:space="0" w:color="000000"/>
            </w:tcBorders>
          </w:tcPr>
          <w:p w14:paraId="4D8CB476" w14:textId="77777777" w:rsidR="00053D93" w:rsidRDefault="00053D93"/>
        </w:tc>
        <w:tc>
          <w:tcPr>
            <w:tcW w:w="847" w:type="dxa"/>
            <w:tcBorders>
              <w:top w:val="single" w:sz="2" w:space="0" w:color="000000"/>
              <w:left w:val="single" w:sz="2" w:space="0" w:color="000000"/>
              <w:bottom w:val="single" w:sz="2" w:space="0" w:color="000000"/>
              <w:right w:val="single" w:sz="2" w:space="0" w:color="000000"/>
            </w:tcBorders>
            <w:vAlign w:val="bottom"/>
          </w:tcPr>
          <w:p w14:paraId="29F3F70C" w14:textId="77777777" w:rsidR="00053D93" w:rsidRDefault="00260B75">
            <w:pPr>
              <w:ind w:left="216"/>
            </w:pPr>
            <w:r>
              <w:rPr>
                <w:rFonts w:ascii="Times New Roman" w:eastAsia="Times New Roman" w:hAnsi="Times New Roman" w:cs="Times New Roman"/>
                <w:sz w:val="16"/>
              </w:rPr>
              <w:t>36.08%</w:t>
            </w:r>
          </w:p>
        </w:tc>
      </w:tr>
    </w:tbl>
    <w:p w14:paraId="721B1CE5" w14:textId="77777777" w:rsidR="00053D93" w:rsidRDefault="00260B75">
      <w:pPr>
        <w:spacing w:after="89" w:line="265" w:lineRule="auto"/>
        <w:ind w:left="1817" w:hanging="10"/>
      </w:pPr>
      <w:r>
        <w:rPr>
          <w:sz w:val="16"/>
        </w:rPr>
        <w:t>Total</w:t>
      </w:r>
    </w:p>
    <w:p w14:paraId="15307F1F" w14:textId="77777777" w:rsidR="00053D93" w:rsidRDefault="00260B75">
      <w:pPr>
        <w:spacing w:after="115" w:line="265" w:lineRule="auto"/>
        <w:ind w:left="1723" w:hanging="10"/>
      </w:pPr>
      <w:r>
        <w:rPr>
          <w:sz w:val="16"/>
        </w:rPr>
        <w:t>Fuente: Elaboración propia con base en el Plan Operativo Anual -POA de la Dirección General de Educación Física -DIGEF- del ejercicio</w:t>
      </w:r>
    </w:p>
    <w:p w14:paraId="00897A8B" w14:textId="77777777" w:rsidR="00053D93" w:rsidRDefault="00260B75">
      <w:pPr>
        <w:spacing w:after="78" w:line="265" w:lineRule="auto"/>
        <w:ind w:left="1737" w:hanging="10"/>
      </w:pPr>
      <w:r>
        <w:rPr>
          <w:sz w:val="14"/>
        </w:rPr>
        <w:t>fiscal 2024; Oficio SYM No. 15-2025 del 22 de enero de 2025, emitido por la Coordinadora de Seguimiento y Monitoreo, a.i. de la DIGEF y</w:t>
      </w:r>
    </w:p>
    <w:p w14:paraId="352ED567" w14:textId="77777777" w:rsidR="00053D93" w:rsidRDefault="00260B75">
      <w:pPr>
        <w:spacing w:after="424" w:line="265" w:lineRule="auto"/>
        <w:ind w:left="1723" w:hanging="10"/>
      </w:pPr>
      <w:r>
        <w:rPr>
          <w:sz w:val="16"/>
        </w:rPr>
        <w:t>Reporte de SICON R008047S8.rpt</w:t>
      </w:r>
    </w:p>
    <w:p w14:paraId="60BD9F04" w14:textId="77777777" w:rsidR="00053D93" w:rsidRDefault="00260B75">
      <w:pPr>
        <w:spacing w:after="290" w:line="247" w:lineRule="auto"/>
        <w:ind w:left="1735" w:right="14" w:firstLine="4"/>
        <w:jc w:val="both"/>
      </w:pPr>
      <w:r>
        <w:rPr>
          <w:sz w:val="26"/>
        </w:rPr>
        <w:t xml:space="preserve">Es importante mencionar que, se realizó una ampliación presupuestaria para la Dirección General de Educación Física -DIGEF- por la cantidad de </w:t>
      </w:r>
      <w:r>
        <w:rPr>
          <w:noProof/>
        </w:rPr>
        <w:drawing>
          <wp:inline distT="0" distB="0" distL="0" distR="0" wp14:anchorId="00CE03FD" wp14:editId="7A7BA1CD">
            <wp:extent cx="1170432" cy="132588"/>
            <wp:effectExtent l="0" t="0" r="0" b="0"/>
            <wp:docPr id="2458559" name="Picture 2458559"/>
            <wp:cNvGraphicFramePr/>
            <a:graphic xmlns:a="http://schemas.openxmlformats.org/drawingml/2006/main">
              <a:graphicData uri="http://schemas.openxmlformats.org/drawingml/2006/picture">
                <pic:pic xmlns:pic="http://schemas.openxmlformats.org/drawingml/2006/picture">
                  <pic:nvPicPr>
                    <pic:cNvPr id="2458559" name="Picture 2458559"/>
                    <pic:cNvPicPr/>
                  </pic:nvPicPr>
                  <pic:blipFill>
                    <a:blip r:embed="rId1022"/>
                    <a:stretch>
                      <a:fillRect/>
                    </a:stretch>
                  </pic:blipFill>
                  <pic:spPr>
                    <a:xfrm>
                      <a:off x="0" y="0"/>
                      <a:ext cx="1170432" cy="132588"/>
                    </a:xfrm>
                    <a:prstGeom prst="rect">
                      <a:avLst/>
                    </a:prstGeom>
                  </pic:spPr>
                </pic:pic>
              </a:graphicData>
            </a:graphic>
          </wp:inline>
        </w:drawing>
      </w:r>
      <w:r>
        <w:rPr>
          <w:sz w:val="26"/>
        </w:rPr>
        <w:t>la cual forma parte de lo autorizado para el Ministerio de Educación, mediante el Decreto Número 17-2024 del Congreso de la República de Guatemala, Ampliación al Presupuesto General de Ingreso y Egresos del Estado para el ejercicio fiscal 2024.</w:t>
      </w:r>
    </w:p>
    <w:p w14:paraId="658A568C" w14:textId="77777777" w:rsidR="00053D93" w:rsidRDefault="00260B75">
      <w:pPr>
        <w:spacing w:after="299" w:line="247" w:lineRule="auto"/>
        <w:ind w:left="1728" w:right="14" w:firstLine="4"/>
        <w:jc w:val="both"/>
      </w:pPr>
      <w:r>
        <w:rPr>
          <w:sz w:val="26"/>
        </w:rPr>
        <w:t xml:space="preserve">Dicha ampliación presupuestaria, se realizó a la actividad 01 del renglón presupuestario 294 Útiles deportivos y recreativos, del programa 04 en la acción número 195; denominada "2,000 establecimientos educativos oficiales a nivel nacional dotados con el proyecto "Bolsas didácticas para aulas motrices", como material didáctico destinado a fomentar el desarrollo psicomotor de los estudiantes a través de actividades lúdicas y educativas, a realizarse en los 22 departamentos, del 20 de septiembre al 31 de diciembre de 2024 OMN." de' producto denominado "Establecimientos atendidos con suministros </w:t>
      </w:r>
      <w:r>
        <w:rPr>
          <w:rFonts w:ascii="Times New Roman" w:eastAsia="Times New Roman" w:hAnsi="Times New Roman" w:cs="Times New Roman"/>
          <w:sz w:val="26"/>
        </w:rPr>
        <w:t xml:space="preserve">de </w:t>
      </w:r>
      <w:r>
        <w:rPr>
          <w:sz w:val="26"/>
        </w:rPr>
        <w:t>implementación didáctico-deportiva y recreacional"; Cuya acción no fue realizada por la Unidad de Orientación Metodológica Nacional de la DIGEF, debido a la falta de gestiones oportunas en la Administración del presupuesto; la cual forma parte de las actividades no ejecutadas, descritas en el cuadro anterior.</w:t>
      </w:r>
    </w:p>
    <w:p w14:paraId="07272536" w14:textId="77777777" w:rsidR="00053D93" w:rsidRDefault="00260B75">
      <w:pPr>
        <w:spacing w:after="308" w:line="247" w:lineRule="auto"/>
        <w:ind w:left="14" w:right="14" w:firstLine="4"/>
        <w:jc w:val="both"/>
      </w:pPr>
      <w:r>
        <w:rPr>
          <w:noProof/>
        </w:rPr>
        <w:drawing>
          <wp:anchor distT="0" distB="0" distL="114300" distR="114300" simplePos="0" relativeHeight="252069888" behindDoc="0" locked="0" layoutInCell="1" allowOverlap="0" wp14:anchorId="73FB2BB5" wp14:editId="05C8BC43">
            <wp:simplePos x="0" y="0"/>
            <wp:positionH relativeFrom="column">
              <wp:posOffset>27432</wp:posOffset>
            </wp:positionH>
            <wp:positionV relativeFrom="paragraph">
              <wp:posOffset>527610</wp:posOffset>
            </wp:positionV>
            <wp:extent cx="201168" cy="813816"/>
            <wp:effectExtent l="0" t="0" r="0" b="0"/>
            <wp:wrapSquare wrapText="bothSides"/>
            <wp:docPr id="701324" name="Picture 701324"/>
            <wp:cNvGraphicFramePr/>
            <a:graphic xmlns:a="http://schemas.openxmlformats.org/drawingml/2006/main">
              <a:graphicData uri="http://schemas.openxmlformats.org/drawingml/2006/picture">
                <pic:pic xmlns:pic="http://schemas.openxmlformats.org/drawingml/2006/picture">
                  <pic:nvPicPr>
                    <pic:cNvPr id="701324" name="Picture 701324"/>
                    <pic:cNvPicPr/>
                  </pic:nvPicPr>
                  <pic:blipFill>
                    <a:blip r:embed="rId1023"/>
                    <a:stretch>
                      <a:fillRect/>
                    </a:stretch>
                  </pic:blipFill>
                  <pic:spPr>
                    <a:xfrm>
                      <a:off x="0" y="0"/>
                      <a:ext cx="201168" cy="813816"/>
                    </a:xfrm>
                    <a:prstGeom prst="rect">
                      <a:avLst/>
                    </a:prstGeom>
                  </pic:spPr>
                </pic:pic>
              </a:graphicData>
            </a:graphic>
          </wp:anchor>
        </w:drawing>
      </w:r>
      <w:r>
        <w:rPr>
          <w:sz w:val="26"/>
        </w:rPr>
        <w:t>En consecuencia de lo anterior, durante el ejercicio fiscal 2024, la Dirección General de Educación Física -DIGEF- no realizó las gestiones necesarias y oportunas para llevar a acabo la totalidad de las acciones planificadas en el Plan Operativo Anual -POA-, diseñadas con el objetivo de atender las necesidades de la población estudiantil, en la práctica sistemática de la educación física, la recreación y el deporte, en todos los niveles del Sistema Educativo Nacional, tanto en el subsistema escolar como en el extraescolar.</w:t>
      </w:r>
    </w:p>
    <w:p w14:paraId="03CB2EC2" w14:textId="77777777" w:rsidR="00053D93" w:rsidRDefault="00260B75">
      <w:pPr>
        <w:spacing w:after="18" w:line="248" w:lineRule="auto"/>
        <w:ind w:left="1709" w:hanging="3"/>
        <w:jc w:val="both"/>
      </w:pPr>
      <w:r>
        <w:rPr>
          <w:sz w:val="28"/>
        </w:rPr>
        <w:lastRenderedPageBreak/>
        <w:t>Criterio</w:t>
      </w:r>
    </w:p>
    <w:p w14:paraId="24CD8D6A" w14:textId="77777777" w:rsidR="00053D93" w:rsidRDefault="00260B75">
      <w:pPr>
        <w:spacing w:after="17" w:line="247" w:lineRule="auto"/>
        <w:ind w:left="1735" w:right="14" w:firstLine="4"/>
        <w:jc w:val="both"/>
      </w:pPr>
      <w:r>
        <w:rPr>
          <w:sz w:val="26"/>
        </w:rPr>
        <w:t>El Decreto Número 101-97, del Congreso de la República de Guatemala, Ley</w:t>
      </w:r>
    </w:p>
    <w:p w14:paraId="7CB6D32D" w14:textId="77777777" w:rsidR="00053D93" w:rsidRDefault="00260B75">
      <w:pPr>
        <w:spacing w:after="632" w:line="247" w:lineRule="auto"/>
        <w:ind w:left="1728" w:right="14" w:firstLine="4"/>
        <w:jc w:val="both"/>
      </w:pPr>
      <w:r>
        <w:rPr>
          <w:sz w:val="26"/>
        </w:rPr>
        <w:t>Orgánica del Presupuesto, artículo 29. Bis. Responsables de la Ejecución</w:t>
      </w:r>
    </w:p>
    <w:tbl>
      <w:tblPr>
        <w:tblStyle w:val="TableGrid"/>
        <w:tblpPr w:vertAnchor="text" w:tblpX="2567" w:tblpY="99"/>
        <w:tblOverlap w:val="never"/>
        <w:tblW w:w="7643" w:type="dxa"/>
        <w:tblInd w:w="0" w:type="dxa"/>
        <w:tblCellMar>
          <w:top w:w="48" w:type="dxa"/>
          <w:left w:w="1753" w:type="dxa"/>
          <w:right w:w="115" w:type="dxa"/>
        </w:tblCellMar>
        <w:tblLook w:val="04A0" w:firstRow="1" w:lastRow="0" w:firstColumn="1" w:lastColumn="0" w:noHBand="0" w:noVBand="1"/>
      </w:tblPr>
      <w:tblGrid>
        <w:gridCol w:w="7643"/>
      </w:tblGrid>
      <w:tr w:rsidR="00053D93" w14:paraId="319846C3" w14:textId="77777777">
        <w:trPr>
          <w:trHeight w:val="39"/>
        </w:trPr>
        <w:tc>
          <w:tcPr>
            <w:tcW w:w="7643" w:type="dxa"/>
            <w:tcBorders>
              <w:top w:val="nil"/>
              <w:left w:val="single" w:sz="2" w:space="0" w:color="000000"/>
              <w:bottom w:val="single" w:sz="2" w:space="0" w:color="000000"/>
              <w:right w:val="nil"/>
            </w:tcBorders>
          </w:tcPr>
          <w:p w14:paraId="0CD063FB" w14:textId="77777777" w:rsidR="00053D93" w:rsidRDefault="00053D93"/>
        </w:tc>
      </w:tr>
      <w:tr w:rsidR="00053D93" w14:paraId="3491B63E" w14:textId="77777777">
        <w:trPr>
          <w:trHeight w:val="609"/>
        </w:trPr>
        <w:tc>
          <w:tcPr>
            <w:tcW w:w="7643" w:type="dxa"/>
            <w:tcBorders>
              <w:top w:val="single" w:sz="2" w:space="0" w:color="000000"/>
              <w:left w:val="single" w:sz="2" w:space="0" w:color="000000"/>
              <w:bottom w:val="nil"/>
              <w:right w:val="nil"/>
            </w:tcBorders>
          </w:tcPr>
          <w:p w14:paraId="39DF719E" w14:textId="77777777" w:rsidR="00053D93" w:rsidRDefault="00260B75">
            <w:pPr>
              <w:ind w:left="835"/>
            </w:pPr>
            <w:r>
              <w:rPr>
                <w:sz w:val="14"/>
              </w:rPr>
              <w:t>MINISTERIO DE EDUCACION</w:t>
            </w:r>
          </w:p>
          <w:p w14:paraId="4C169EE0" w14:textId="77777777" w:rsidR="00053D93" w:rsidRDefault="00260B75">
            <w:pPr>
              <w:ind w:left="331"/>
            </w:pPr>
            <w:r>
              <w:rPr>
                <w:sz w:val="14"/>
              </w:rPr>
              <w:t>AUDITORIA FINANCIERA Y OE CUMPLIMIENTO</w:t>
            </w:r>
          </w:p>
          <w:p w14:paraId="1AD9E778" w14:textId="77777777" w:rsidR="00053D93" w:rsidRDefault="00260B75">
            <w:r>
              <w:rPr>
                <w:sz w:val="16"/>
              </w:rPr>
              <w:t>PERIODO DEL 01 DE ENERO AL 31 DE DICIEMBRE DE 2024</w:t>
            </w:r>
          </w:p>
        </w:tc>
      </w:tr>
    </w:tbl>
    <w:p w14:paraId="55094595" w14:textId="77777777" w:rsidR="00053D93" w:rsidRDefault="00260B75">
      <w:pPr>
        <w:pStyle w:val="Ttulo2"/>
        <w:spacing w:after="97"/>
        <w:ind w:left="212" w:right="0"/>
      </w:pPr>
      <w:r>
        <w:rPr>
          <w:vertAlign w:val="superscript"/>
        </w:rPr>
        <w:t xml:space="preserve">I </w:t>
      </w:r>
      <w:r>
        <w:t xml:space="preserve">III </w:t>
      </w:r>
      <w:r>
        <w:rPr>
          <w:noProof/>
        </w:rPr>
        <w:drawing>
          <wp:inline distT="0" distB="0" distL="0" distR="0" wp14:anchorId="00EB1369" wp14:editId="5554580B">
            <wp:extent cx="850392" cy="411480"/>
            <wp:effectExtent l="0" t="0" r="0" b="0"/>
            <wp:docPr id="701325" name="Picture 701325"/>
            <wp:cNvGraphicFramePr/>
            <a:graphic xmlns:a="http://schemas.openxmlformats.org/drawingml/2006/main">
              <a:graphicData uri="http://schemas.openxmlformats.org/drawingml/2006/picture">
                <pic:pic xmlns:pic="http://schemas.openxmlformats.org/drawingml/2006/picture">
                  <pic:nvPicPr>
                    <pic:cNvPr id="701325" name="Picture 701325"/>
                    <pic:cNvPicPr/>
                  </pic:nvPicPr>
                  <pic:blipFill>
                    <a:blip r:embed="rId1024"/>
                    <a:stretch>
                      <a:fillRect/>
                    </a:stretch>
                  </pic:blipFill>
                  <pic:spPr>
                    <a:xfrm>
                      <a:off x="0" y="0"/>
                      <a:ext cx="850392" cy="411480"/>
                    </a:xfrm>
                    <a:prstGeom prst="rect">
                      <a:avLst/>
                    </a:prstGeom>
                  </pic:spPr>
                </pic:pic>
              </a:graphicData>
            </a:graphic>
          </wp:inline>
        </w:drawing>
      </w:r>
      <w:r>
        <w:t>I I</w:t>
      </w:r>
    </w:p>
    <w:p w14:paraId="5FBF55E5" w14:textId="77777777" w:rsidR="00053D93" w:rsidRDefault="00260B75">
      <w:pPr>
        <w:spacing w:after="37"/>
        <w:ind w:left="1735" w:right="-7"/>
      </w:pPr>
      <w:r>
        <w:rPr>
          <w:noProof/>
        </w:rPr>
        <mc:AlternateContent>
          <mc:Choice Requires="wpg">
            <w:drawing>
              <wp:inline distT="0" distB="0" distL="0" distR="0" wp14:anchorId="1FC280FB" wp14:editId="03DADA1B">
                <wp:extent cx="5381244" cy="13716"/>
                <wp:effectExtent l="0" t="0" r="0" b="0"/>
                <wp:docPr id="2458562" name="Group 2458562"/>
                <wp:cNvGraphicFramePr/>
                <a:graphic xmlns:a="http://schemas.openxmlformats.org/drawingml/2006/main">
                  <a:graphicData uri="http://schemas.microsoft.com/office/word/2010/wordprocessingGroup">
                    <wpg:wgp>
                      <wpg:cNvGrpSpPr/>
                      <wpg:grpSpPr>
                        <a:xfrm>
                          <a:off x="0" y="0"/>
                          <a:ext cx="5381244" cy="13716"/>
                          <a:chOff x="0" y="0"/>
                          <a:chExt cx="5381244" cy="13716"/>
                        </a:xfrm>
                      </wpg:grpSpPr>
                      <wps:wsp>
                        <wps:cNvPr id="2458561" name="Shape 2458561"/>
                        <wps:cNvSpPr/>
                        <wps:spPr>
                          <a:xfrm>
                            <a:off x="0" y="0"/>
                            <a:ext cx="5381244" cy="13716"/>
                          </a:xfrm>
                          <a:custGeom>
                            <a:avLst/>
                            <a:gdLst/>
                            <a:ahLst/>
                            <a:cxnLst/>
                            <a:rect l="0" t="0" r="0" b="0"/>
                            <a:pathLst>
                              <a:path w="5381244" h="13716">
                                <a:moveTo>
                                  <a:pt x="0" y="6858"/>
                                </a:moveTo>
                                <a:lnTo>
                                  <a:pt x="53812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62" style="width:423.72pt;height:1.07999pt;mso-position-horizontal-relative:char;mso-position-vertical-relative:line" coordsize="53812,137">
                <v:shape id="Shape 2458561" style="position:absolute;width:53812;height:137;left:0;top:0;" coordsize="5381244,13716" path="m0,6858l5381244,6858">
                  <v:stroke weight="1.07999pt" endcap="flat" joinstyle="miter" miterlimit="1" on="true" color="#000000"/>
                  <v:fill on="false" color="#000000"/>
                </v:shape>
              </v:group>
            </w:pict>
          </mc:Fallback>
        </mc:AlternateContent>
      </w:r>
    </w:p>
    <w:p w14:paraId="4A4F1A31" w14:textId="77777777" w:rsidR="00053D93" w:rsidRDefault="00260B75">
      <w:pPr>
        <w:spacing w:after="224" w:line="247" w:lineRule="auto"/>
        <w:ind w:left="14" w:right="14" w:firstLine="1750"/>
        <w:jc w:val="both"/>
      </w:pPr>
      <w:r>
        <w:rPr>
          <w:sz w:val="26"/>
        </w:rPr>
        <w:t xml:space="preserve">Presupuestaria- Autorizadores de Egresos, establece: "Las autoridades superiores de las entidades públicas son responsables de la ejecución presupuestaria de ingresos y egresos de su entidad..." Artículo 30. Programación de la ejecución, </w:t>
      </w:r>
      <w:r>
        <w:rPr>
          <w:rFonts w:ascii="Times New Roman" w:eastAsia="Times New Roman" w:hAnsi="Times New Roman" w:cs="Times New Roman"/>
          <w:sz w:val="26"/>
        </w:rPr>
        <w:t xml:space="preserve">1 </w:t>
      </w:r>
      <w:r>
        <w:rPr>
          <w:sz w:val="26"/>
        </w:rPr>
        <w:t xml:space="preserve">establece: "De acuerdo con las normas técnicas y periodicidad que para efectos de la programación de la ejecución establezca el Ministerio de Finanzas Públicas, </w:t>
      </w:r>
      <w:r>
        <w:rPr>
          <w:rFonts w:ascii="Times New Roman" w:eastAsia="Times New Roman" w:hAnsi="Times New Roman" w:cs="Times New Roman"/>
          <w:sz w:val="26"/>
        </w:rPr>
        <w:t xml:space="preserve">1 </w:t>
      </w:r>
      <w:r>
        <w:rPr>
          <w:sz w:val="26"/>
        </w:rPr>
        <w:t>las entidades y organismos que financieramente dependan total o parcialmente det presupuesto general de ingresos y egresos del Estado, propondrán a dicho Ministerio la programación de la ejecución física y financiera de sus presupuestos.</w:t>
      </w:r>
    </w:p>
    <w:p w14:paraId="57ACA822" w14:textId="77777777" w:rsidR="00053D93" w:rsidRDefault="00260B75">
      <w:pPr>
        <w:spacing w:after="14" w:line="290" w:lineRule="auto"/>
        <w:ind w:left="43" w:hanging="22"/>
      </w:pP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 xml:space="preserve">Este fijará las cuotas de compromisos, devengados y pagos considerando el flujo estacional de los ingresos, la capacidad real de ejecución y el flujo de fondos requeridos para el logro oportuno y eficiente de las metas de los programas y </w:t>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proyectos... "</w:t>
      </w:r>
    </w:p>
    <w:p w14:paraId="15BB147E" w14:textId="77777777" w:rsidR="00053D93" w:rsidRDefault="00260B75">
      <w:pPr>
        <w:spacing w:after="132" w:line="247" w:lineRule="auto"/>
        <w:ind w:left="79" w:right="14" w:firstLine="1505"/>
        <w:jc w:val="both"/>
      </w:pPr>
      <w:r>
        <w:rPr>
          <w:noProof/>
        </w:rPr>
        <mc:AlternateContent>
          <mc:Choice Requires="wpg">
            <w:drawing>
              <wp:anchor distT="0" distB="0" distL="114300" distR="114300" simplePos="0" relativeHeight="252070912" behindDoc="0" locked="0" layoutInCell="1" allowOverlap="1" wp14:anchorId="7DEDE4C5" wp14:editId="2A6E44CA">
                <wp:simplePos x="0" y="0"/>
                <wp:positionH relativeFrom="column">
                  <wp:posOffset>41148</wp:posOffset>
                </wp:positionH>
                <wp:positionV relativeFrom="paragraph">
                  <wp:posOffset>-11155</wp:posOffset>
                </wp:positionV>
                <wp:extent cx="118872" cy="297180"/>
                <wp:effectExtent l="0" t="0" r="0" b="0"/>
                <wp:wrapSquare wrapText="bothSides"/>
                <wp:docPr id="2456225" name="Group 2456225"/>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701949" name="Rectangle 701949"/>
                        <wps:cNvSpPr/>
                        <wps:spPr>
                          <a:xfrm>
                            <a:off x="0" y="0"/>
                            <a:ext cx="158100" cy="395249"/>
                          </a:xfrm>
                          <a:prstGeom prst="rect">
                            <a:avLst/>
                          </a:prstGeom>
                          <a:ln>
                            <a:noFill/>
                          </a:ln>
                        </wps:spPr>
                        <wps:txbx>
                          <w:txbxContent>
                            <w:p w14:paraId="2B994747"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7DEDE4C5" id="Group 2456225" o:spid="_x0000_s1399" style="position:absolute;left:0;text-align:left;margin-left:3.25pt;margin-top:-.9pt;width:9.35pt;height:23.4pt;z-index:252070912;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">
                <v:rect id="Rectangle 701949" o:spid="_x0000_s1400"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" filled="f" stroked="f">
                  <v:textbox inset="0,0,0,0">
                    <w:txbxContent>
                      <w:p w14:paraId="2B994747"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noProof/>
        </w:rPr>
        <mc:AlternateContent>
          <mc:Choice Requires="wpg">
            <w:drawing>
              <wp:anchor distT="0" distB="0" distL="114300" distR="114300" simplePos="0" relativeHeight="252071936" behindDoc="0" locked="0" layoutInCell="1" allowOverlap="1" wp14:anchorId="6351D086" wp14:editId="54B98809">
                <wp:simplePos x="0" y="0"/>
                <wp:positionH relativeFrom="column">
                  <wp:posOffset>77724</wp:posOffset>
                </wp:positionH>
                <wp:positionV relativeFrom="paragraph">
                  <wp:posOffset>2562879</wp:posOffset>
                </wp:positionV>
                <wp:extent cx="118872" cy="297181"/>
                <wp:effectExtent l="0" t="0" r="0" b="0"/>
                <wp:wrapSquare wrapText="bothSides"/>
                <wp:docPr id="2456226" name="Group 2456226"/>
                <wp:cNvGraphicFramePr/>
                <a:graphic xmlns:a="http://schemas.openxmlformats.org/drawingml/2006/main">
                  <a:graphicData uri="http://schemas.microsoft.com/office/word/2010/wordprocessingGroup">
                    <wpg:wgp>
                      <wpg:cNvGrpSpPr/>
                      <wpg:grpSpPr>
                        <a:xfrm>
                          <a:off x="0" y="0"/>
                          <a:ext cx="118872" cy="297181"/>
                          <a:chOff x="0" y="0"/>
                          <a:chExt cx="118872" cy="297181"/>
                        </a:xfrm>
                      </wpg:grpSpPr>
                      <wps:wsp>
                        <wps:cNvPr id="701954" name="Rectangle 701954"/>
                        <wps:cNvSpPr/>
                        <wps:spPr>
                          <a:xfrm>
                            <a:off x="0" y="0"/>
                            <a:ext cx="158100" cy="395250"/>
                          </a:xfrm>
                          <a:prstGeom prst="rect">
                            <a:avLst/>
                          </a:prstGeom>
                          <a:ln>
                            <a:noFill/>
                          </a:ln>
                        </wps:spPr>
                        <wps:txbx>
                          <w:txbxContent>
                            <w:p w14:paraId="48C39147"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6351D086" id="Group 2456226" o:spid="_x0000_s1401" style="position:absolute;left:0;text-align:left;margin-left:6.1pt;margin-top:201.8pt;width:9.35pt;height:23.4pt;z-index:252071936;mso-position-horizontal-relative:text;mso-position-vertical-relative:text" coordsize="118872,29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">
                <v:rect id="Rectangle 701954" o:spid="_x0000_s1402"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" filled="f" stroked="f">
                  <v:textbox inset="0,0,0,0">
                    <w:txbxContent>
                      <w:p w14:paraId="48C39147"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noProof/>
        </w:rPr>
        <mc:AlternateContent>
          <mc:Choice Requires="wpg">
            <w:drawing>
              <wp:anchor distT="0" distB="0" distL="114300" distR="114300" simplePos="0" relativeHeight="252072960" behindDoc="0" locked="0" layoutInCell="1" allowOverlap="1" wp14:anchorId="6CA49590" wp14:editId="010A9C6B">
                <wp:simplePos x="0" y="0"/>
                <wp:positionH relativeFrom="column">
                  <wp:posOffset>96012</wp:posOffset>
                </wp:positionH>
                <wp:positionV relativeFrom="paragraph">
                  <wp:posOffset>4117360</wp:posOffset>
                </wp:positionV>
                <wp:extent cx="123444" cy="292608"/>
                <wp:effectExtent l="0" t="0" r="0" b="0"/>
                <wp:wrapSquare wrapText="bothSides"/>
                <wp:docPr id="2456228" name="Group 2456228"/>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701957" name="Rectangle 701957"/>
                        <wps:cNvSpPr/>
                        <wps:spPr>
                          <a:xfrm>
                            <a:off x="0" y="0"/>
                            <a:ext cx="164181" cy="389168"/>
                          </a:xfrm>
                          <a:prstGeom prst="rect">
                            <a:avLst/>
                          </a:prstGeom>
                          <a:ln>
                            <a:noFill/>
                          </a:ln>
                        </wps:spPr>
                        <wps:txbx>
                          <w:txbxContent>
                            <w:p w14:paraId="24A11A53"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6CA49590" id="Group 2456228" o:spid="_x0000_s1403" style="position:absolute;left:0;text-align:left;margin-left:7.55pt;margin-top:324.2pt;width:9.7pt;height:23.05pt;z-index:252072960;mso-position-horizontal-relative:text;mso-position-vertical-relative:text"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">
                <v:rect id="Rectangle 701957" o:spid="_x0000_s1404" style="position:absolute;width:164181;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" filled="f" stroked="f">
                  <v:textbox inset="0,0,0,0">
                    <w:txbxContent>
                      <w:p w14:paraId="24A11A53"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sz w:val="26"/>
        </w:rPr>
        <w:t xml:space="preserve">El Decreto Número 89-2002, del Congreso de la República de Guatemala, Ley de Probidad y Responsabilidades de Funcionarios y Empleados Públicos, artículo 7. Funcionarios Públicos, establece: </w:t>
      </w:r>
      <w:r>
        <w:rPr>
          <w:sz w:val="26"/>
          <w:vertAlign w:val="superscript"/>
        </w:rPr>
        <w:t>t</w:t>
      </w:r>
      <w:r>
        <w:rPr>
          <w:sz w:val="26"/>
        </w:rPr>
        <w:t xml:space="preserve">'Los funcionarios públicos están obligados a </w:t>
      </w:r>
      <w:r>
        <w:rPr>
          <w:rFonts w:ascii="Times New Roman" w:eastAsia="Times New Roman" w:hAnsi="Times New Roman" w:cs="Times New Roman"/>
          <w:sz w:val="26"/>
        </w:rPr>
        <w:t xml:space="preserve">1 </w:t>
      </w:r>
      <w:r>
        <w:rPr>
          <w:sz w:val="26"/>
        </w:rPr>
        <w:t xml:space="preserve">desempeñar sus deberes, atribuciones, facultades y funciones con apego a la Constitución Política de la República y, las leyes. En consecuencia, están sujetos a responsabilidades de carácter administrativo... por las infracciones, omisiones, </w:t>
      </w:r>
      <w:r>
        <w:rPr>
          <w:rFonts w:ascii="Times New Roman" w:eastAsia="Times New Roman" w:hAnsi="Times New Roman" w:cs="Times New Roman"/>
          <w:sz w:val="26"/>
        </w:rPr>
        <w:t xml:space="preserve">1 </w:t>
      </w:r>
      <w:r>
        <w:rPr>
          <w:sz w:val="26"/>
        </w:rPr>
        <w:t xml:space="preserve">acciones, decisiones y resoluciones en que incurrieren en el ejercicio de su cargo." Artículo 8. Responsabilidad Administrativa, establece: "La responsabilidad </w:t>
      </w:r>
      <w:r>
        <w:rPr>
          <w:rFonts w:ascii="Times New Roman" w:eastAsia="Times New Roman" w:hAnsi="Times New Roman" w:cs="Times New Roman"/>
          <w:sz w:val="26"/>
        </w:rPr>
        <w:t xml:space="preserve">1 </w:t>
      </w:r>
      <w:r>
        <w:rPr>
          <w:sz w:val="26"/>
        </w:rPr>
        <w:t xml:space="preserve">es administrativa cuando la acción u omisión contraviene el ordenamiento jurídico administrativo y las normas que regulan la conducta del funcionario público, asimismo, cuando se incurriere en negligencia, imprudencia o impericia o bien </w:t>
      </w:r>
      <w:r>
        <w:rPr>
          <w:rFonts w:ascii="Times New Roman" w:eastAsia="Times New Roman" w:hAnsi="Times New Roman" w:cs="Times New Roman"/>
          <w:sz w:val="26"/>
        </w:rPr>
        <w:t xml:space="preserve">1 </w:t>
      </w:r>
      <w:r>
        <w:rPr>
          <w:sz w:val="26"/>
        </w:rPr>
        <w:t xml:space="preserve">incumpliendo leyes, reglamentos, contratos y demás disposiciones legales a la institución estatal ante la cual están obligados a prestar sus servicios; además, cuando no se cumplan, con la debida diligencia las obligaciones contraídas o funciones inherentes al cargo, así como cuando por acción u omisión se cause perjuicio a los intereses públicos que tuviere encomendados y no ocasionen daños </w:t>
      </w:r>
      <w:r>
        <w:rPr>
          <w:rFonts w:ascii="Times New Roman" w:eastAsia="Times New Roman" w:hAnsi="Times New Roman" w:cs="Times New Roman"/>
          <w:sz w:val="26"/>
        </w:rPr>
        <w:t xml:space="preserve">1 </w:t>
      </w:r>
      <w:r>
        <w:rPr>
          <w:sz w:val="26"/>
        </w:rPr>
        <w:t xml:space="preserve">o perjuicios patrimoniales, o bien se incurra en falta o delito." Artículo 1 1. Grados de responsabilidad, establece: "La responsabilidad es principal cuando el sujeto de la misma esté obligado por disposición legal o reglamentaria a ejecutar o no </w:t>
      </w:r>
      <w:r>
        <w:rPr>
          <w:noProof/>
        </w:rPr>
        <mc:AlternateContent>
          <mc:Choice Requires="wpg">
            <w:drawing>
              <wp:inline distT="0" distB="0" distL="0" distR="0" wp14:anchorId="0F1F65F4" wp14:editId="4296F425">
                <wp:extent cx="114300" cy="301752"/>
                <wp:effectExtent l="0" t="0" r="0" b="0"/>
                <wp:docPr id="2456227" name="Group 2456227"/>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701956" name="Rectangle 701956"/>
                        <wps:cNvSpPr/>
                        <wps:spPr>
                          <a:xfrm>
                            <a:off x="0" y="0"/>
                            <a:ext cx="152019" cy="401330"/>
                          </a:xfrm>
                          <a:prstGeom prst="rect">
                            <a:avLst/>
                          </a:prstGeom>
                          <a:ln>
                            <a:noFill/>
                          </a:ln>
                        </wps:spPr>
                        <wps:txbx>
                          <w:txbxContent>
                            <w:p w14:paraId="4889A341"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0F1F65F4" id="Group 2456227" o:spid="_x0000_s1405"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">
                <v:rect id="Rectangle 701956" o:spid="_x0000_s1406"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" filled="f" stroked="f">
                  <v:textbox inset="0,0,0,0">
                    <w:txbxContent>
                      <w:p w14:paraId="4889A341"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ejecutar un acto, y subsidiaria cuando un tercero queda obligado por incumplimiento del responsable principal." y Artículo </w:t>
      </w:r>
      <w:r>
        <w:rPr>
          <w:sz w:val="26"/>
        </w:rPr>
        <w:lastRenderedPageBreak/>
        <w:t>17. Casos que generan responsabilidad administrativa, establece: "Sin perjuicio de los casos regulados en leyes específicas, también son casos que generan responsabilidad administrativa: a) La inobservancia e incumplimiento de funciones, atribuciones y deberes que las</w:t>
      </w:r>
    </w:p>
    <w:p w14:paraId="450DEE14" w14:textId="77777777" w:rsidR="00053D93" w:rsidRDefault="00260B75">
      <w:pPr>
        <w:spacing w:after="319" w:line="456" w:lineRule="auto"/>
        <w:ind w:left="1736" w:right="14" w:hanging="1570"/>
        <w:jc w:val="both"/>
      </w:pPr>
      <w:r>
        <w:rPr>
          <w:rFonts w:ascii="Times New Roman" w:eastAsia="Times New Roman" w:hAnsi="Times New Roman" w:cs="Times New Roman"/>
          <w:sz w:val="26"/>
        </w:rPr>
        <w:t xml:space="preserve">1 </w:t>
      </w:r>
      <w:r>
        <w:rPr>
          <w:sz w:val="26"/>
        </w:rPr>
        <w:t>disposiciones legales o reglamentarias impongan... f) La negligencia o descuido en la custodia, uso o destino de bienes integrantes del patrimonio público...</w:t>
      </w:r>
      <w:r>
        <w:rPr>
          <w:noProof/>
        </w:rPr>
        <w:drawing>
          <wp:inline distT="0" distB="0" distL="0" distR="0" wp14:anchorId="3420FEC1" wp14:editId="70DA0308">
            <wp:extent cx="41148" cy="41148"/>
            <wp:effectExtent l="0" t="0" r="0" b="0"/>
            <wp:docPr id="704962" name="Picture 704962"/>
            <wp:cNvGraphicFramePr/>
            <a:graphic xmlns:a="http://schemas.openxmlformats.org/drawingml/2006/main">
              <a:graphicData uri="http://schemas.openxmlformats.org/drawingml/2006/picture">
                <pic:pic xmlns:pic="http://schemas.openxmlformats.org/drawingml/2006/picture">
                  <pic:nvPicPr>
                    <pic:cNvPr id="704962" name="Picture 704962"/>
                    <pic:cNvPicPr/>
                  </pic:nvPicPr>
                  <pic:blipFill>
                    <a:blip r:embed="rId1025"/>
                    <a:stretch>
                      <a:fillRect/>
                    </a:stretch>
                  </pic:blipFill>
                  <pic:spPr>
                    <a:xfrm>
                      <a:off x="0" y="0"/>
                      <a:ext cx="41148" cy="41148"/>
                    </a:xfrm>
                    <a:prstGeom prst="rect">
                      <a:avLst/>
                    </a:prstGeom>
                  </pic:spPr>
                </pic:pic>
              </a:graphicData>
            </a:graphic>
          </wp:inline>
        </w:drawing>
      </w:r>
    </w:p>
    <w:p w14:paraId="427359F8" w14:textId="77777777" w:rsidR="00053D93" w:rsidRDefault="00260B75">
      <w:pPr>
        <w:spacing w:after="17" w:line="247" w:lineRule="auto"/>
        <w:ind w:left="1742" w:right="14" w:hanging="1562"/>
        <w:jc w:val="both"/>
      </w:pPr>
      <w:r>
        <w:rPr>
          <w:rFonts w:ascii="Times New Roman" w:eastAsia="Times New Roman" w:hAnsi="Times New Roman" w:cs="Times New Roman"/>
          <w:sz w:val="26"/>
        </w:rPr>
        <w:t xml:space="preserve">1 </w:t>
      </w:r>
      <w:r>
        <w:rPr>
          <w:sz w:val="26"/>
        </w:rPr>
        <w:t>El Decreto Número 12-91, del Congreso de la República de Guatemala, Ley de Educación Nacional, artículo 33. Obligaciones del Estado, establece: "Son obligaciones del Estado las siguientes... l) Promover e intensificar la educación</w:t>
      </w:r>
    </w:p>
    <w:tbl>
      <w:tblPr>
        <w:tblStyle w:val="TableGrid"/>
        <w:tblW w:w="9410" w:type="dxa"/>
        <w:tblInd w:w="799" w:type="dxa"/>
        <w:tblLook w:val="04A0" w:firstRow="1" w:lastRow="0" w:firstColumn="1" w:lastColumn="0" w:noHBand="0" w:noVBand="1"/>
      </w:tblPr>
      <w:tblGrid>
        <w:gridCol w:w="1221"/>
        <w:gridCol w:w="8189"/>
      </w:tblGrid>
      <w:tr w:rsidR="00053D93" w14:paraId="11C39F2C" w14:textId="77777777">
        <w:trPr>
          <w:trHeight w:val="655"/>
        </w:trPr>
        <w:tc>
          <w:tcPr>
            <w:tcW w:w="1716" w:type="dxa"/>
            <w:tcBorders>
              <w:top w:val="nil"/>
              <w:left w:val="nil"/>
              <w:bottom w:val="nil"/>
              <w:right w:val="nil"/>
            </w:tcBorders>
          </w:tcPr>
          <w:p w14:paraId="5E4F5DBA" w14:textId="77777777" w:rsidR="00053D93" w:rsidRDefault="00260B75">
            <w:r>
              <w:rPr>
                <w:noProof/>
              </w:rPr>
              <w:drawing>
                <wp:inline distT="0" distB="0" distL="0" distR="0" wp14:anchorId="76B350B3" wp14:editId="582BDA89">
                  <wp:extent cx="1060704" cy="416052"/>
                  <wp:effectExtent l="0" t="0" r="0" b="0"/>
                  <wp:docPr id="705029" name="Picture 705029"/>
                  <wp:cNvGraphicFramePr/>
                  <a:graphic xmlns:a="http://schemas.openxmlformats.org/drawingml/2006/main">
                    <a:graphicData uri="http://schemas.openxmlformats.org/drawingml/2006/picture">
                      <pic:pic xmlns:pic="http://schemas.openxmlformats.org/drawingml/2006/picture">
                        <pic:nvPicPr>
                          <pic:cNvPr id="705029" name="Picture 705029"/>
                          <pic:cNvPicPr/>
                        </pic:nvPicPr>
                        <pic:blipFill>
                          <a:blip r:embed="rId1026"/>
                          <a:stretch>
                            <a:fillRect/>
                          </a:stretch>
                        </pic:blipFill>
                        <pic:spPr>
                          <a:xfrm>
                            <a:off x="0" y="0"/>
                            <a:ext cx="1060704" cy="416052"/>
                          </a:xfrm>
                          <a:prstGeom prst="rect">
                            <a:avLst/>
                          </a:prstGeom>
                        </pic:spPr>
                      </pic:pic>
                    </a:graphicData>
                  </a:graphic>
                </wp:inline>
              </w:drawing>
            </w:r>
          </w:p>
        </w:tc>
        <w:tc>
          <w:tcPr>
            <w:tcW w:w="7695" w:type="dxa"/>
            <w:tcBorders>
              <w:top w:val="nil"/>
              <w:left w:val="nil"/>
              <w:bottom w:val="nil"/>
              <w:right w:val="nil"/>
            </w:tcBorders>
          </w:tcPr>
          <w:p w14:paraId="25CB9239" w14:textId="77777777" w:rsidR="00053D93" w:rsidRDefault="00053D93">
            <w:pPr>
              <w:ind w:left="-2796" w:right="10490"/>
            </w:pPr>
          </w:p>
          <w:tbl>
            <w:tblPr>
              <w:tblStyle w:val="TableGrid"/>
              <w:tblW w:w="7649" w:type="dxa"/>
              <w:tblInd w:w="45" w:type="dxa"/>
              <w:tblCellMar>
                <w:top w:w="24" w:type="dxa"/>
                <w:left w:w="1774" w:type="dxa"/>
                <w:right w:w="115" w:type="dxa"/>
              </w:tblCellMar>
              <w:tblLook w:val="04A0" w:firstRow="1" w:lastRow="0" w:firstColumn="1" w:lastColumn="0" w:noHBand="0" w:noVBand="1"/>
            </w:tblPr>
            <w:tblGrid>
              <w:gridCol w:w="7649"/>
            </w:tblGrid>
            <w:tr w:rsidR="00053D93" w14:paraId="7F45BD3E" w14:textId="77777777">
              <w:trPr>
                <w:trHeight w:val="36"/>
              </w:trPr>
              <w:tc>
                <w:tcPr>
                  <w:tcW w:w="7649" w:type="dxa"/>
                  <w:tcBorders>
                    <w:top w:val="nil"/>
                    <w:left w:val="single" w:sz="2" w:space="0" w:color="000000"/>
                    <w:bottom w:val="single" w:sz="2" w:space="0" w:color="000000"/>
                    <w:right w:val="nil"/>
                  </w:tcBorders>
                </w:tcPr>
                <w:p w14:paraId="0DB54C88" w14:textId="77777777" w:rsidR="00053D93" w:rsidRDefault="00053D93"/>
              </w:tc>
            </w:tr>
            <w:tr w:rsidR="00053D93" w14:paraId="0395DEFC" w14:textId="77777777">
              <w:trPr>
                <w:trHeight w:val="605"/>
              </w:trPr>
              <w:tc>
                <w:tcPr>
                  <w:tcW w:w="7649" w:type="dxa"/>
                  <w:tcBorders>
                    <w:top w:val="single" w:sz="2" w:space="0" w:color="000000"/>
                    <w:left w:val="single" w:sz="2" w:space="0" w:color="000000"/>
                    <w:bottom w:val="nil"/>
                    <w:right w:val="nil"/>
                  </w:tcBorders>
                </w:tcPr>
                <w:p w14:paraId="3179EA70" w14:textId="77777777" w:rsidR="00053D93" w:rsidRDefault="00260B75">
                  <w:pPr>
                    <w:ind w:left="835"/>
                  </w:pPr>
                  <w:r>
                    <w:rPr>
                      <w:sz w:val="14"/>
                    </w:rPr>
                    <w:t>MINISTERIO DE EDUCACION</w:t>
                  </w:r>
                </w:p>
                <w:p w14:paraId="2D23885B" w14:textId="77777777" w:rsidR="00053D93" w:rsidRDefault="00260B75">
                  <w:pPr>
                    <w:ind w:left="331"/>
                  </w:pPr>
                  <w:r>
                    <w:rPr>
                      <w:sz w:val="14"/>
                    </w:rPr>
                    <w:t>AUDITORIA FINANCIERA Y DE CUMPLIMIENTO</w:t>
                  </w:r>
                </w:p>
                <w:p w14:paraId="4732D157" w14:textId="77777777" w:rsidR="00053D93" w:rsidRDefault="00260B75">
                  <w:r>
                    <w:rPr>
                      <w:sz w:val="14"/>
                    </w:rPr>
                    <w:t>PERIODO DEL 01 DE ENERO AL 31 DE DICIEMBRE DE 2024</w:t>
                  </w:r>
                </w:p>
              </w:tc>
            </w:tr>
          </w:tbl>
          <w:p w14:paraId="27981E00" w14:textId="77777777" w:rsidR="00053D93" w:rsidRDefault="00053D93"/>
        </w:tc>
      </w:tr>
    </w:tbl>
    <w:p w14:paraId="18BE252B" w14:textId="77777777" w:rsidR="00053D93" w:rsidRDefault="00053D93">
      <w:pPr>
        <w:sectPr w:rsidR="00053D93">
          <w:headerReference w:type="even" r:id="rId1027"/>
          <w:headerReference w:type="default" r:id="rId1028"/>
          <w:footerReference w:type="even" r:id="rId1029"/>
          <w:footerReference w:type="default" r:id="rId1030"/>
          <w:headerReference w:type="first" r:id="rId1031"/>
          <w:footerReference w:type="first" r:id="rId1032"/>
          <w:pgSz w:w="12290" w:h="15883"/>
          <w:pgMar w:top="835" w:right="1800" w:bottom="698" w:left="281" w:header="713" w:footer="720" w:gutter="0"/>
          <w:cols w:space="720"/>
          <w:titlePg/>
        </w:sectPr>
      </w:pPr>
    </w:p>
    <w:p w14:paraId="51A48F5A" w14:textId="77777777" w:rsidR="00053D93" w:rsidRDefault="00260B75">
      <w:pPr>
        <w:spacing w:after="37"/>
        <w:ind w:left="1735"/>
      </w:pPr>
      <w:r>
        <w:rPr>
          <w:noProof/>
        </w:rPr>
        <w:lastRenderedPageBreak/>
        <mc:AlternateContent>
          <mc:Choice Requires="wpg">
            <w:drawing>
              <wp:inline distT="0" distB="0" distL="0" distR="0" wp14:anchorId="256BAF2F" wp14:editId="2F2C69C1">
                <wp:extent cx="5381244" cy="13716"/>
                <wp:effectExtent l="0" t="0" r="0" b="0"/>
                <wp:docPr id="2458567" name="Group 2458567"/>
                <wp:cNvGraphicFramePr/>
                <a:graphic xmlns:a="http://schemas.openxmlformats.org/drawingml/2006/main">
                  <a:graphicData uri="http://schemas.microsoft.com/office/word/2010/wordprocessingGroup">
                    <wpg:wgp>
                      <wpg:cNvGrpSpPr/>
                      <wpg:grpSpPr>
                        <a:xfrm>
                          <a:off x="0" y="0"/>
                          <a:ext cx="5381244" cy="13716"/>
                          <a:chOff x="0" y="0"/>
                          <a:chExt cx="5381244" cy="13716"/>
                        </a:xfrm>
                      </wpg:grpSpPr>
                      <wps:wsp>
                        <wps:cNvPr id="2458566" name="Shape 2458566"/>
                        <wps:cNvSpPr/>
                        <wps:spPr>
                          <a:xfrm>
                            <a:off x="0" y="0"/>
                            <a:ext cx="5381244" cy="13716"/>
                          </a:xfrm>
                          <a:custGeom>
                            <a:avLst/>
                            <a:gdLst/>
                            <a:ahLst/>
                            <a:cxnLst/>
                            <a:rect l="0" t="0" r="0" b="0"/>
                            <a:pathLst>
                              <a:path w="5381244" h="13716">
                                <a:moveTo>
                                  <a:pt x="0" y="6858"/>
                                </a:moveTo>
                                <a:lnTo>
                                  <a:pt x="53812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67" style="width:423.72pt;height:1.08pt;mso-position-horizontal-relative:char;mso-position-vertical-relative:line" coordsize="53812,137">
                <v:shape id="Shape 2458566" style="position:absolute;width:53812;height:137;left:0;top:0;" coordsize="5381244,13716" path="m0,6858l5381244,6858">
                  <v:stroke weight="1.08pt" endcap="flat" joinstyle="miter" miterlimit="1" on="true" color="#000000"/>
                  <v:fill on="false" color="#000000"/>
                </v:shape>
              </v:group>
            </w:pict>
          </mc:Fallback>
        </mc:AlternateContent>
      </w:r>
    </w:p>
    <w:p w14:paraId="311C5A65" w14:textId="77777777" w:rsidR="00053D93" w:rsidRDefault="00260B75">
      <w:pPr>
        <w:spacing w:after="17" w:line="247" w:lineRule="auto"/>
        <w:ind w:left="1742" w:right="14" w:firstLine="4"/>
        <w:jc w:val="both"/>
      </w:pPr>
      <w:r>
        <w:rPr>
          <w:sz w:val="26"/>
        </w:rPr>
        <w:t>física y estética en todas sus manifestaciones. m) Garantizar el funcionamiento de los centros educativos oficiales, privados, y por cooperativa en beneficio del</w:t>
      </w:r>
    </w:p>
    <w:p w14:paraId="27C4A158" w14:textId="77777777" w:rsidR="00053D93" w:rsidRDefault="00260B75">
      <w:pPr>
        <w:spacing w:after="139" w:line="252" w:lineRule="auto"/>
        <w:ind w:left="1760" w:hanging="10"/>
        <w:jc w:val="both"/>
      </w:pPr>
      <w:r>
        <w:rPr>
          <w:sz w:val="24"/>
        </w:rPr>
        <w:t>desarrollo educativo."</w:t>
      </w:r>
    </w:p>
    <w:p w14:paraId="3D6E7FD7" w14:textId="77777777" w:rsidR="00053D93" w:rsidRDefault="00260B75">
      <w:pPr>
        <w:spacing w:after="3"/>
        <w:ind w:left="74" w:right="3485" w:hanging="10"/>
      </w:pPr>
      <w:r>
        <w:rPr>
          <w:rFonts w:ascii="Times New Roman" w:eastAsia="Times New Roman" w:hAnsi="Times New Roman" w:cs="Times New Roman"/>
          <w:sz w:val="70"/>
        </w:rPr>
        <w:t>1</w:t>
      </w:r>
      <w:r>
        <w:rPr>
          <w:noProof/>
        </w:rPr>
        <w:drawing>
          <wp:inline distT="0" distB="0" distL="0" distR="0" wp14:anchorId="55E1D61F" wp14:editId="53E04844">
            <wp:extent cx="18288" cy="27432"/>
            <wp:effectExtent l="0" t="0" r="0" b="0"/>
            <wp:docPr id="708783" name="Picture 708783"/>
            <wp:cNvGraphicFramePr/>
            <a:graphic xmlns:a="http://schemas.openxmlformats.org/drawingml/2006/main">
              <a:graphicData uri="http://schemas.openxmlformats.org/drawingml/2006/picture">
                <pic:pic xmlns:pic="http://schemas.openxmlformats.org/drawingml/2006/picture">
                  <pic:nvPicPr>
                    <pic:cNvPr id="708783" name="Picture 708783"/>
                    <pic:cNvPicPr/>
                  </pic:nvPicPr>
                  <pic:blipFill>
                    <a:blip r:embed="rId1033"/>
                    <a:stretch>
                      <a:fillRect/>
                    </a:stretch>
                  </pic:blipFill>
                  <pic:spPr>
                    <a:xfrm>
                      <a:off x="0" y="0"/>
                      <a:ext cx="18288" cy="27432"/>
                    </a:xfrm>
                    <a:prstGeom prst="rect">
                      <a:avLst/>
                    </a:prstGeom>
                  </pic:spPr>
                </pic:pic>
              </a:graphicData>
            </a:graphic>
          </wp:inline>
        </w:drawing>
      </w:r>
    </w:p>
    <w:p w14:paraId="532B30E6" w14:textId="77777777" w:rsidR="00053D93" w:rsidRDefault="00260B75">
      <w:pPr>
        <w:spacing w:after="17" w:line="247" w:lineRule="auto"/>
        <w:ind w:left="14" w:right="14" w:firstLine="1750"/>
        <w:jc w:val="both"/>
      </w:pPr>
      <w:r>
        <w:rPr>
          <w:sz w:val="26"/>
        </w:rPr>
        <w:t xml:space="preserve">El Decreto Número 76-97, del Congreso de la República de Guatemala, Ley </w:t>
      </w:r>
      <w:r>
        <w:rPr>
          <w:rFonts w:ascii="Times New Roman" w:eastAsia="Times New Roman" w:hAnsi="Times New Roman" w:cs="Times New Roman"/>
          <w:sz w:val="26"/>
        </w:rPr>
        <w:t xml:space="preserve">1 </w:t>
      </w:r>
      <w:r>
        <w:rPr>
          <w:sz w:val="26"/>
        </w:rPr>
        <w:t xml:space="preserve">Nacional para el Desarrollo de la Cultura Física y del Deporte, artículo 6. Objetivos, establece: "Son objetivos de la presente ley: a. Promover, practicar y difundir las actividades relacionadas con la educación física, la recreación física y </w:t>
      </w:r>
      <w:r>
        <w:rPr>
          <w:rFonts w:ascii="Times New Roman" w:eastAsia="Times New Roman" w:hAnsi="Times New Roman" w:cs="Times New Roman"/>
          <w:sz w:val="26"/>
        </w:rPr>
        <w:t xml:space="preserve">1 </w:t>
      </w:r>
      <w:r>
        <w:rPr>
          <w:sz w:val="26"/>
        </w:rPr>
        <w:t xml:space="preserve">el deporte en todas sus modalidades... h. Formar a nivel nacional el recurso humano necesario para atender en forma eficiente los programas de educación física, la recreación fisica y el deporte en el país..." Artículo 7. Integración y </w:t>
      </w:r>
      <w:r>
        <w:rPr>
          <w:rFonts w:ascii="Times New Roman" w:eastAsia="Times New Roman" w:hAnsi="Times New Roman" w:cs="Times New Roman"/>
          <w:sz w:val="26"/>
        </w:rPr>
        <w:t xml:space="preserve">1 </w:t>
      </w:r>
      <w:r>
        <w:rPr>
          <w:sz w:val="26"/>
        </w:rPr>
        <w:t xml:space="preserve">objetivos, establece: "Se establecen los siguientes sistemas a desarrollarse principalmente, bajo la responsabilidad de los organismos y entidades rectoras </w:t>
      </w:r>
      <w:r>
        <w:rPr>
          <w:rFonts w:ascii="Times New Roman" w:eastAsia="Times New Roman" w:hAnsi="Times New Roman" w:cs="Times New Roman"/>
          <w:sz w:val="26"/>
        </w:rPr>
        <w:t xml:space="preserve">1 </w:t>
      </w:r>
      <w:r>
        <w:rPr>
          <w:sz w:val="26"/>
        </w:rPr>
        <w:t xml:space="preserve">establecidas en esta ley: a. Sistema de educación Física: Corresponde al Ministerio de Educación. Se integra con las modalidades de deporte y recreación física escolar, en el ámbito extracurricular. Dicho Ministro será representado por la </w:t>
      </w:r>
      <w:r>
        <w:rPr>
          <w:rFonts w:ascii="Times New Roman" w:eastAsia="Times New Roman" w:hAnsi="Times New Roman" w:cs="Times New Roman"/>
          <w:sz w:val="26"/>
        </w:rPr>
        <w:t xml:space="preserve">1 </w:t>
      </w:r>
      <w:r>
        <w:rPr>
          <w:sz w:val="26"/>
        </w:rPr>
        <w:t xml:space="preserve">dirección General de educación Física -DIGEF-.. Artículo 32. Creación, establece: "El Estado crea y reconoce a través del Ministerio de Educación, la Dirección General de Educación Física -DIGEF-, la cual se encargará de la </w:t>
      </w:r>
      <w:r>
        <w:rPr>
          <w:rFonts w:ascii="Times New Roman" w:eastAsia="Times New Roman" w:hAnsi="Times New Roman" w:cs="Times New Roman"/>
          <w:sz w:val="26"/>
        </w:rPr>
        <w:t xml:space="preserve">1 </w:t>
      </w:r>
      <w:r>
        <w:rPr>
          <w:sz w:val="26"/>
        </w:rPr>
        <w:t xml:space="preserve">coordinación y cumplimiento de la filosofía, política directrices de la educación física nacional." Artículo 34. Rectoría, establece: "La Educación física como parte </w:t>
      </w:r>
      <w:r>
        <w:rPr>
          <w:rFonts w:ascii="Times New Roman" w:eastAsia="Times New Roman" w:hAnsi="Times New Roman" w:cs="Times New Roman"/>
          <w:sz w:val="26"/>
        </w:rPr>
        <w:t xml:space="preserve">1 </w:t>
      </w:r>
      <w:r>
        <w:rPr>
          <w:sz w:val="26"/>
        </w:rPr>
        <w:t>fundamental de la educación y como modalidad de aplicación obligatoria en el</w:t>
      </w:r>
    </w:p>
    <w:p w14:paraId="3AFFC092" w14:textId="77777777" w:rsidR="00053D93" w:rsidRDefault="00260B75">
      <w:pPr>
        <w:spacing w:after="4" w:line="267" w:lineRule="auto"/>
        <w:ind w:left="18" w:right="21" w:hanging="4"/>
        <w:jc w:val="right"/>
      </w:pPr>
      <w:r>
        <w:rPr>
          <w:sz w:val="26"/>
        </w:rPr>
        <w:t>Sistema Educativo Nacional, corresponde su rectoría y tutelaridad al Ministerio de</w:t>
      </w:r>
    </w:p>
    <w:p w14:paraId="008B72CA" w14:textId="77777777" w:rsidR="00053D93" w:rsidRDefault="00260B75">
      <w:pPr>
        <w:spacing w:after="233" w:line="247" w:lineRule="auto"/>
        <w:ind w:left="122" w:right="14" w:firstLine="1642"/>
        <w:jc w:val="both"/>
      </w:pPr>
      <w:r>
        <w:rPr>
          <w:sz w:val="26"/>
        </w:rPr>
        <w:t xml:space="preserve">Educación, en cumplimiento del deber constitucional de fomento y promoción de la </w:t>
      </w:r>
      <w:r>
        <w:rPr>
          <w:rFonts w:ascii="Times New Roman" w:eastAsia="Times New Roman" w:hAnsi="Times New Roman" w:cs="Times New Roman"/>
          <w:sz w:val="26"/>
        </w:rPr>
        <w:t xml:space="preserve">1 </w:t>
      </w:r>
      <w:r>
        <w:rPr>
          <w:sz w:val="26"/>
        </w:rPr>
        <w:t xml:space="preserve">educación física." Artículo 35. Funciones, establece: "Son funciones de la Dirección General de Educación física -DIGEF- las siguientes: a. Promover la práctica sistemática de la educación física en todos los niveles del Sistema </w:t>
      </w:r>
      <w:r>
        <w:rPr>
          <w:rFonts w:ascii="Times New Roman" w:eastAsia="Times New Roman" w:hAnsi="Times New Roman" w:cs="Times New Roman"/>
          <w:sz w:val="26"/>
        </w:rPr>
        <w:t xml:space="preserve">1 </w:t>
      </w:r>
      <w:r>
        <w:rPr>
          <w:sz w:val="26"/>
        </w:rPr>
        <w:t xml:space="preserve">Educativo Nacional... e. Dirigir, ejecutar, evaluar y supervisar los proyectos programas y acciones de educación física, de acuerdo a las políticas educativas </w:t>
      </w:r>
      <w:r>
        <w:rPr>
          <w:rFonts w:ascii="Times New Roman" w:eastAsia="Times New Roman" w:hAnsi="Times New Roman" w:cs="Times New Roman"/>
          <w:sz w:val="26"/>
        </w:rPr>
        <w:t xml:space="preserve">1 </w:t>
      </w:r>
      <w:r>
        <w:rPr>
          <w:sz w:val="26"/>
        </w:rPr>
        <w:t xml:space="preserve">que se dicten... p. Programar racionalmente y ejecutar efectiva y correctamente los recursos presupuestarios de la educación física nacional, de conformidad con las disposiciones legales de la materia; q. Programar la distribución efectiva de los </w:t>
      </w:r>
      <w:r>
        <w:rPr>
          <w:rFonts w:ascii="Times New Roman" w:eastAsia="Times New Roman" w:hAnsi="Times New Roman" w:cs="Times New Roman"/>
          <w:sz w:val="26"/>
        </w:rPr>
        <w:t xml:space="preserve">1 </w:t>
      </w:r>
      <w:r>
        <w:rPr>
          <w:sz w:val="26"/>
        </w:rPr>
        <w:t xml:space="preserve">recursos didácticos y la implementación deportiva con destino exclusivo al uso de escolares y al desarrollo de la educación física tanto en su ámbito curricular como extracurricular... " Artículo 40. Funciones del Director General, establece: "Son </w:t>
      </w:r>
      <w:r>
        <w:rPr>
          <w:rFonts w:ascii="Times New Roman" w:eastAsia="Times New Roman" w:hAnsi="Times New Roman" w:cs="Times New Roman"/>
          <w:sz w:val="26"/>
        </w:rPr>
        <w:t xml:space="preserve">1 </w:t>
      </w:r>
      <w:r>
        <w:rPr>
          <w:sz w:val="26"/>
        </w:rPr>
        <w:t xml:space="preserve">funciones del Director General de Educación física, las siguientes: a. Ejercer la representación legal de la Dirección General de conformidad con lo que le </w:t>
      </w:r>
      <w:r>
        <w:rPr>
          <w:rFonts w:ascii="Times New Roman" w:eastAsia="Times New Roman" w:hAnsi="Times New Roman" w:cs="Times New Roman"/>
          <w:sz w:val="26"/>
        </w:rPr>
        <w:t xml:space="preserve">1 </w:t>
      </w:r>
      <w:r>
        <w:rPr>
          <w:sz w:val="26"/>
        </w:rPr>
        <w:t>establezca la ley y sus reglamentos. b. Promover la práctica de la educación física en su ámbito curricular y extracurricular dentro del Sistema Educativo Nacional c. Administrar los bienes, recursos y programas de la Dirección General...</w:t>
      </w:r>
      <w:r>
        <w:rPr>
          <w:noProof/>
        </w:rPr>
        <w:drawing>
          <wp:inline distT="0" distB="0" distL="0" distR="0" wp14:anchorId="5E412CD9" wp14:editId="05625A00">
            <wp:extent cx="109728" cy="82297"/>
            <wp:effectExtent l="0" t="0" r="0" b="0"/>
            <wp:docPr id="2458564" name="Picture 2458564"/>
            <wp:cNvGraphicFramePr/>
            <a:graphic xmlns:a="http://schemas.openxmlformats.org/drawingml/2006/main">
              <a:graphicData uri="http://schemas.openxmlformats.org/drawingml/2006/picture">
                <pic:pic xmlns:pic="http://schemas.openxmlformats.org/drawingml/2006/picture">
                  <pic:nvPicPr>
                    <pic:cNvPr id="2458564" name="Picture 2458564"/>
                    <pic:cNvPicPr/>
                  </pic:nvPicPr>
                  <pic:blipFill>
                    <a:blip r:embed="rId1034"/>
                    <a:stretch>
                      <a:fillRect/>
                    </a:stretch>
                  </pic:blipFill>
                  <pic:spPr>
                    <a:xfrm>
                      <a:off x="0" y="0"/>
                      <a:ext cx="109728" cy="82297"/>
                    </a:xfrm>
                    <a:prstGeom prst="rect">
                      <a:avLst/>
                    </a:prstGeom>
                  </pic:spPr>
                </pic:pic>
              </a:graphicData>
            </a:graphic>
          </wp:inline>
        </w:drawing>
      </w:r>
    </w:p>
    <w:p w14:paraId="00BF6962" w14:textId="77777777" w:rsidR="00053D93" w:rsidRDefault="00260B75">
      <w:pPr>
        <w:spacing w:after="17" w:line="247" w:lineRule="auto"/>
        <w:ind w:left="1743" w:right="14" w:hanging="1534"/>
        <w:jc w:val="both"/>
      </w:pPr>
      <w:r>
        <w:rPr>
          <w:rFonts w:ascii="Times New Roman" w:eastAsia="Times New Roman" w:hAnsi="Times New Roman" w:cs="Times New Roman"/>
          <w:sz w:val="26"/>
        </w:rPr>
        <w:lastRenderedPageBreak/>
        <w:t xml:space="preserve">1 </w:t>
      </w:r>
      <w:r>
        <w:rPr>
          <w:sz w:val="26"/>
        </w:rPr>
        <w:t>Elaborar y ejecutar el programa presupuestario de la entidad... g. Estructurar y garantizar el funcionamiento orgánico de la entidad; h. Organizar, regular, dirigir y supervisar las diversas actividades de la Dirección General...</w:t>
      </w:r>
      <w:r>
        <w:rPr>
          <w:noProof/>
        </w:rPr>
        <w:drawing>
          <wp:inline distT="0" distB="0" distL="0" distR="0" wp14:anchorId="29236B52" wp14:editId="4ED900E7">
            <wp:extent cx="41148" cy="41148"/>
            <wp:effectExtent l="0" t="0" r="0" b="0"/>
            <wp:docPr id="708786" name="Picture 708786"/>
            <wp:cNvGraphicFramePr/>
            <a:graphic xmlns:a="http://schemas.openxmlformats.org/drawingml/2006/main">
              <a:graphicData uri="http://schemas.openxmlformats.org/drawingml/2006/picture">
                <pic:pic xmlns:pic="http://schemas.openxmlformats.org/drawingml/2006/picture">
                  <pic:nvPicPr>
                    <pic:cNvPr id="708786" name="Picture 708786"/>
                    <pic:cNvPicPr/>
                  </pic:nvPicPr>
                  <pic:blipFill>
                    <a:blip r:embed="rId1035"/>
                    <a:stretch>
                      <a:fillRect/>
                    </a:stretch>
                  </pic:blipFill>
                  <pic:spPr>
                    <a:xfrm>
                      <a:off x="0" y="0"/>
                      <a:ext cx="41148" cy="41148"/>
                    </a:xfrm>
                    <a:prstGeom prst="rect">
                      <a:avLst/>
                    </a:prstGeom>
                  </pic:spPr>
                </pic:pic>
              </a:graphicData>
            </a:graphic>
          </wp:inline>
        </w:drawing>
      </w:r>
    </w:p>
    <w:tbl>
      <w:tblPr>
        <w:tblStyle w:val="TableGrid"/>
        <w:tblW w:w="9432" w:type="dxa"/>
        <w:tblInd w:w="792" w:type="dxa"/>
        <w:tblLook w:val="04A0" w:firstRow="1" w:lastRow="0" w:firstColumn="1" w:lastColumn="0" w:noHBand="0" w:noVBand="1"/>
      </w:tblPr>
      <w:tblGrid>
        <w:gridCol w:w="1677"/>
        <w:gridCol w:w="10498"/>
      </w:tblGrid>
      <w:tr w:rsidR="00053D93" w14:paraId="110059E5" w14:textId="77777777">
        <w:trPr>
          <w:trHeight w:val="641"/>
        </w:trPr>
        <w:tc>
          <w:tcPr>
            <w:tcW w:w="1723" w:type="dxa"/>
            <w:tcBorders>
              <w:top w:val="nil"/>
              <w:left w:val="nil"/>
              <w:bottom w:val="nil"/>
              <w:right w:val="nil"/>
            </w:tcBorders>
          </w:tcPr>
          <w:p w14:paraId="4A3A7858" w14:textId="77777777" w:rsidR="00053D93" w:rsidRDefault="00260B75">
            <w:r>
              <w:rPr>
                <w:noProof/>
              </w:rPr>
              <w:drawing>
                <wp:inline distT="0" distB="0" distL="0" distR="0" wp14:anchorId="76048F22" wp14:editId="27F3F6CD">
                  <wp:extent cx="1065276" cy="406908"/>
                  <wp:effectExtent l="0" t="0" r="0" b="0"/>
                  <wp:docPr id="708858" name="Picture 708858"/>
                  <wp:cNvGraphicFramePr/>
                  <a:graphic xmlns:a="http://schemas.openxmlformats.org/drawingml/2006/main">
                    <a:graphicData uri="http://schemas.openxmlformats.org/drawingml/2006/picture">
                      <pic:pic xmlns:pic="http://schemas.openxmlformats.org/drawingml/2006/picture">
                        <pic:nvPicPr>
                          <pic:cNvPr id="708858" name="Picture 708858"/>
                          <pic:cNvPicPr/>
                        </pic:nvPicPr>
                        <pic:blipFill>
                          <a:blip r:embed="rId1036"/>
                          <a:stretch>
                            <a:fillRect/>
                          </a:stretch>
                        </pic:blipFill>
                        <pic:spPr>
                          <a:xfrm>
                            <a:off x="0" y="0"/>
                            <a:ext cx="1065276" cy="406908"/>
                          </a:xfrm>
                          <a:prstGeom prst="rect">
                            <a:avLst/>
                          </a:prstGeom>
                        </pic:spPr>
                      </pic:pic>
                    </a:graphicData>
                  </a:graphic>
                </wp:inline>
              </w:drawing>
            </w:r>
          </w:p>
        </w:tc>
        <w:tc>
          <w:tcPr>
            <w:tcW w:w="7709" w:type="dxa"/>
            <w:tcBorders>
              <w:top w:val="nil"/>
              <w:left w:val="nil"/>
              <w:bottom w:val="nil"/>
              <w:right w:val="nil"/>
            </w:tcBorders>
          </w:tcPr>
          <w:p w14:paraId="40279F98" w14:textId="77777777" w:rsidR="00053D93" w:rsidRDefault="00053D93">
            <w:pPr>
              <w:ind w:left="-2789" w:right="10498"/>
            </w:pPr>
          </w:p>
          <w:tbl>
            <w:tblPr>
              <w:tblStyle w:val="TableGrid"/>
              <w:tblW w:w="7664" w:type="dxa"/>
              <w:tblInd w:w="45" w:type="dxa"/>
              <w:tblCellMar>
                <w:top w:w="22" w:type="dxa"/>
                <w:left w:w="1774" w:type="dxa"/>
                <w:right w:w="115" w:type="dxa"/>
              </w:tblCellMar>
              <w:tblLook w:val="04A0" w:firstRow="1" w:lastRow="0" w:firstColumn="1" w:lastColumn="0" w:noHBand="0" w:noVBand="1"/>
            </w:tblPr>
            <w:tblGrid>
              <w:gridCol w:w="7664"/>
            </w:tblGrid>
            <w:tr w:rsidR="00053D93" w14:paraId="034B2F45" w14:textId="77777777">
              <w:trPr>
                <w:trHeight w:val="36"/>
              </w:trPr>
              <w:tc>
                <w:tcPr>
                  <w:tcW w:w="7664" w:type="dxa"/>
                  <w:tcBorders>
                    <w:top w:val="nil"/>
                    <w:left w:val="single" w:sz="2" w:space="0" w:color="000000"/>
                    <w:bottom w:val="single" w:sz="2" w:space="0" w:color="000000"/>
                    <w:right w:val="nil"/>
                  </w:tcBorders>
                </w:tcPr>
                <w:p w14:paraId="4B2270B8" w14:textId="77777777" w:rsidR="00053D93" w:rsidRDefault="00053D93"/>
              </w:tc>
            </w:tr>
            <w:tr w:rsidR="00053D93" w14:paraId="4DD43E60" w14:textId="77777777">
              <w:trPr>
                <w:trHeight w:val="598"/>
              </w:trPr>
              <w:tc>
                <w:tcPr>
                  <w:tcW w:w="7664" w:type="dxa"/>
                  <w:tcBorders>
                    <w:top w:val="single" w:sz="2" w:space="0" w:color="000000"/>
                    <w:left w:val="single" w:sz="2" w:space="0" w:color="000000"/>
                    <w:bottom w:val="nil"/>
                    <w:right w:val="nil"/>
                  </w:tcBorders>
                </w:tcPr>
                <w:p w14:paraId="7661172C" w14:textId="77777777" w:rsidR="00053D93" w:rsidRDefault="00260B75">
                  <w:pPr>
                    <w:ind w:left="835"/>
                  </w:pPr>
                  <w:r>
                    <w:rPr>
                      <w:sz w:val="14"/>
                    </w:rPr>
                    <w:t>MINISTERIO DE EDUCACION</w:t>
                  </w:r>
                </w:p>
                <w:p w14:paraId="05C2DA2B" w14:textId="77777777" w:rsidR="00053D93" w:rsidRDefault="00260B75">
                  <w:pPr>
                    <w:ind w:left="338"/>
                  </w:pPr>
                  <w:r>
                    <w:rPr>
                      <w:sz w:val="14"/>
                    </w:rPr>
                    <w:t>AUDITORIA FINANCIERA Y DE CUMPLIMIENTO</w:t>
                  </w:r>
                </w:p>
                <w:p w14:paraId="1F384C4F" w14:textId="77777777" w:rsidR="00053D93" w:rsidRDefault="00260B75">
                  <w:r>
                    <w:rPr>
                      <w:sz w:val="14"/>
                    </w:rPr>
                    <w:t>PERIODO DEL 01 DE ENERO AL 31 DE DICIEMBRE DE 2024</w:t>
                  </w:r>
                </w:p>
              </w:tc>
            </w:tr>
          </w:tbl>
          <w:p w14:paraId="6269D43F" w14:textId="77777777" w:rsidR="00053D93" w:rsidRDefault="00053D93"/>
        </w:tc>
      </w:tr>
    </w:tbl>
    <w:p w14:paraId="558553F9" w14:textId="77777777" w:rsidR="00053D93" w:rsidRDefault="00260B75">
      <w:pPr>
        <w:spacing w:after="58"/>
        <w:ind w:left="1706"/>
      </w:pPr>
      <w:r>
        <w:rPr>
          <w:noProof/>
        </w:rPr>
        <mc:AlternateContent>
          <mc:Choice Requires="wpg">
            <w:drawing>
              <wp:inline distT="0" distB="0" distL="0" distR="0" wp14:anchorId="554FDC3B" wp14:editId="73C0A164">
                <wp:extent cx="5381245" cy="13716"/>
                <wp:effectExtent l="0" t="0" r="0" b="0"/>
                <wp:docPr id="2458569" name="Group 2458569"/>
                <wp:cNvGraphicFramePr/>
                <a:graphic xmlns:a="http://schemas.openxmlformats.org/drawingml/2006/main">
                  <a:graphicData uri="http://schemas.microsoft.com/office/word/2010/wordprocessingGroup">
                    <wpg:wgp>
                      <wpg:cNvGrpSpPr/>
                      <wpg:grpSpPr>
                        <a:xfrm>
                          <a:off x="0" y="0"/>
                          <a:ext cx="5381245" cy="13716"/>
                          <a:chOff x="0" y="0"/>
                          <a:chExt cx="5381245" cy="13716"/>
                        </a:xfrm>
                      </wpg:grpSpPr>
                      <wps:wsp>
                        <wps:cNvPr id="2458568" name="Shape 2458568"/>
                        <wps:cNvSpPr/>
                        <wps:spPr>
                          <a:xfrm>
                            <a:off x="0" y="0"/>
                            <a:ext cx="5381245" cy="13716"/>
                          </a:xfrm>
                          <a:custGeom>
                            <a:avLst/>
                            <a:gdLst/>
                            <a:ahLst/>
                            <a:cxnLst/>
                            <a:rect l="0" t="0" r="0" b="0"/>
                            <a:pathLst>
                              <a:path w="5381245" h="13716">
                                <a:moveTo>
                                  <a:pt x="0" y="6858"/>
                                </a:moveTo>
                                <a:lnTo>
                                  <a:pt x="5381245"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69" style="width:423.72pt;height:1.08pt;mso-position-horizontal-relative:char;mso-position-vertical-relative:line" coordsize="53812,137">
                <v:shape id="Shape 2458568" style="position:absolute;width:53812;height:137;left:0;top:0;" coordsize="5381245,13716" path="m0,6858l5381245,6858">
                  <v:stroke weight="1.08pt" endcap="flat" joinstyle="miter" miterlimit="1" on="true" color="#000000"/>
                  <v:fill on="false" color="#000000"/>
                </v:shape>
              </v:group>
            </w:pict>
          </mc:Fallback>
        </mc:AlternateContent>
      </w:r>
    </w:p>
    <w:p w14:paraId="76F3509E" w14:textId="77777777" w:rsidR="00053D93" w:rsidRDefault="00260B75">
      <w:pPr>
        <w:spacing w:after="249"/>
        <w:ind w:left="187"/>
      </w:pPr>
      <w:r>
        <w:rPr>
          <w:noProof/>
        </w:rPr>
        <w:drawing>
          <wp:inline distT="0" distB="0" distL="0" distR="0" wp14:anchorId="3FFC70FD" wp14:editId="528776E5">
            <wp:extent cx="9144" cy="22860"/>
            <wp:effectExtent l="0" t="0" r="0" b="0"/>
            <wp:docPr id="712528" name="Picture 712528"/>
            <wp:cNvGraphicFramePr/>
            <a:graphic xmlns:a="http://schemas.openxmlformats.org/drawingml/2006/main">
              <a:graphicData uri="http://schemas.openxmlformats.org/drawingml/2006/picture">
                <pic:pic xmlns:pic="http://schemas.openxmlformats.org/drawingml/2006/picture">
                  <pic:nvPicPr>
                    <pic:cNvPr id="712528" name="Picture 712528"/>
                    <pic:cNvPicPr/>
                  </pic:nvPicPr>
                  <pic:blipFill>
                    <a:blip r:embed="rId1037"/>
                    <a:stretch>
                      <a:fillRect/>
                    </a:stretch>
                  </pic:blipFill>
                  <pic:spPr>
                    <a:xfrm>
                      <a:off x="0" y="0"/>
                      <a:ext cx="9144" cy="22860"/>
                    </a:xfrm>
                    <a:prstGeom prst="rect">
                      <a:avLst/>
                    </a:prstGeom>
                  </pic:spPr>
                </pic:pic>
              </a:graphicData>
            </a:graphic>
          </wp:inline>
        </w:drawing>
      </w:r>
    </w:p>
    <w:p w14:paraId="6F68C371" w14:textId="77777777" w:rsidR="00053D93" w:rsidRDefault="00260B75">
      <w:pPr>
        <w:spacing w:after="17" w:line="247" w:lineRule="auto"/>
        <w:ind w:left="14" w:right="14" w:firstLine="1735"/>
        <w:jc w:val="both"/>
      </w:pPr>
      <w:r>
        <w:rPr>
          <w:sz w:val="26"/>
        </w:rPr>
        <w:t xml:space="preserve">El Acuerdo Gubernativo Número 225-2008, del Presidente de [a. República, Reglamento Orgánico Interno del Ministerio de Educación, artículo 14. Dirección </w:t>
      </w:r>
      <w:r>
        <w:rPr>
          <w:rFonts w:ascii="Times New Roman" w:eastAsia="Times New Roman" w:hAnsi="Times New Roman" w:cs="Times New Roman"/>
          <w:sz w:val="26"/>
        </w:rPr>
        <w:t xml:space="preserve">1 </w:t>
      </w:r>
      <w:r>
        <w:rPr>
          <w:sz w:val="26"/>
        </w:rPr>
        <w:t>General de Educación Física, establece: "La Dirección General de Educación</w:t>
      </w:r>
    </w:p>
    <w:p w14:paraId="211EC49B" w14:textId="77777777" w:rsidR="00053D93" w:rsidRDefault="00260B75">
      <w:pPr>
        <w:spacing w:after="239" w:line="247" w:lineRule="auto"/>
        <w:ind w:left="14" w:right="14" w:firstLine="1721"/>
        <w:jc w:val="both"/>
      </w:pPr>
      <w:r>
        <w:rPr>
          <w:sz w:val="26"/>
        </w:rPr>
        <w:t xml:space="preserve">Física... es la dependencia del Ministerio de Educación responsable de coordinar </w:t>
      </w:r>
      <w:r>
        <w:rPr>
          <w:rFonts w:ascii="Times New Roman" w:eastAsia="Times New Roman" w:hAnsi="Times New Roman" w:cs="Times New Roman"/>
          <w:sz w:val="26"/>
        </w:rPr>
        <w:t xml:space="preserve">1 </w:t>
      </w:r>
      <w:r>
        <w:rPr>
          <w:sz w:val="26"/>
        </w:rPr>
        <w:t xml:space="preserve">y cumplir la filosofía y la política; así como de seguir las directrices, de la educación física nacional, conforme a lo establecido en el Decreto número 76-97 del Congreso de la República, Ley Nacional para el Desarrollo de la Cultura Física </w:t>
      </w:r>
      <w:r>
        <w:rPr>
          <w:rFonts w:ascii="Times New Roman" w:eastAsia="Times New Roman" w:hAnsi="Times New Roman" w:cs="Times New Roman"/>
          <w:sz w:val="26"/>
        </w:rPr>
        <w:t xml:space="preserve">1 </w:t>
      </w:r>
      <w:r>
        <w:rPr>
          <w:sz w:val="26"/>
        </w:rPr>
        <w:t xml:space="preserve">y del Deporte. Tendrá las funciones siguientes: a) Promover la práctica sistemática de la educación física, la recreación y el deporte, en todos los niveles del Sistema Educativo Nacional, tanto en el subsistema escolar como en el extraescolar... c) </w:t>
      </w:r>
      <w:r>
        <w:rPr>
          <w:rFonts w:ascii="Times New Roman" w:eastAsia="Times New Roman" w:hAnsi="Times New Roman" w:cs="Times New Roman"/>
          <w:sz w:val="26"/>
        </w:rPr>
        <w:t xml:space="preserve">1 </w:t>
      </w:r>
      <w:r>
        <w:rPr>
          <w:sz w:val="26"/>
        </w:rPr>
        <w:t>Dirigir, ejecutar, evaluar y supervisar los proyectos, programas y acciones de educación física, de acuerdo con las políticas educativas que se dicten.</w:t>
      </w:r>
      <w:r>
        <w:rPr>
          <w:noProof/>
        </w:rPr>
        <w:drawing>
          <wp:inline distT="0" distB="0" distL="0" distR="0" wp14:anchorId="31E918FE" wp14:editId="56708E08">
            <wp:extent cx="36576" cy="41148"/>
            <wp:effectExtent l="0" t="0" r="0" b="0"/>
            <wp:docPr id="712529" name="Picture 712529"/>
            <wp:cNvGraphicFramePr/>
            <a:graphic xmlns:a="http://schemas.openxmlformats.org/drawingml/2006/main">
              <a:graphicData uri="http://schemas.openxmlformats.org/drawingml/2006/picture">
                <pic:pic xmlns:pic="http://schemas.openxmlformats.org/drawingml/2006/picture">
                  <pic:nvPicPr>
                    <pic:cNvPr id="712529" name="Picture 712529"/>
                    <pic:cNvPicPr/>
                  </pic:nvPicPr>
                  <pic:blipFill>
                    <a:blip r:embed="rId1038"/>
                    <a:stretch>
                      <a:fillRect/>
                    </a:stretch>
                  </pic:blipFill>
                  <pic:spPr>
                    <a:xfrm>
                      <a:off x="0" y="0"/>
                      <a:ext cx="36576" cy="41148"/>
                    </a:xfrm>
                    <a:prstGeom prst="rect">
                      <a:avLst/>
                    </a:prstGeom>
                  </pic:spPr>
                </pic:pic>
              </a:graphicData>
            </a:graphic>
          </wp:inline>
        </w:drawing>
      </w:r>
    </w:p>
    <w:p w14:paraId="34694035" w14:textId="77777777" w:rsidR="00053D93" w:rsidRDefault="00260B75">
      <w:pPr>
        <w:spacing w:after="3"/>
        <w:ind w:left="24" w:hanging="10"/>
      </w:pPr>
      <w:r>
        <w:rPr>
          <w:rFonts w:ascii="Times New Roman" w:eastAsia="Times New Roman" w:hAnsi="Times New Roman" w:cs="Times New Roman"/>
          <w:sz w:val="86"/>
        </w:rPr>
        <w:t>1</w:t>
      </w:r>
    </w:p>
    <w:p w14:paraId="44D0F92F" w14:textId="77777777" w:rsidR="00053D93" w:rsidRDefault="00260B75">
      <w:pPr>
        <w:spacing w:after="4" w:line="267" w:lineRule="auto"/>
        <w:ind w:left="18" w:right="21" w:hanging="4"/>
        <w:jc w:val="right"/>
      </w:pPr>
      <w:r>
        <w:rPr>
          <w:sz w:val="26"/>
        </w:rPr>
        <w:t>El Acuerdo Ministerial No. 2647-2007 "A", de la Ministra de Educación,</w:t>
      </w:r>
    </w:p>
    <w:p w14:paraId="1FF4684D" w14:textId="77777777" w:rsidR="00053D93" w:rsidRDefault="00260B75">
      <w:pPr>
        <w:spacing w:after="17" w:line="247" w:lineRule="auto"/>
        <w:ind w:left="94" w:right="14" w:firstLine="1649"/>
        <w:jc w:val="both"/>
      </w:pPr>
      <w:r>
        <w:rPr>
          <w:sz w:val="26"/>
        </w:rPr>
        <w:t xml:space="preserve">Reglamento Interno de la Dirección General de Educación Física -DIGEF-, artículo 1. Naturaleza, establece: "La Dirección General de Educación Física es el órgano responsable de coordinar y cumplir la filosofía y la política, así como de seguir las directrices didácticas en materia de educación general y de educación física, </w:t>
      </w:r>
      <w:r>
        <w:rPr>
          <w:rFonts w:ascii="Times New Roman" w:eastAsia="Times New Roman" w:hAnsi="Times New Roman" w:cs="Times New Roman"/>
          <w:sz w:val="26"/>
        </w:rPr>
        <w:t xml:space="preserve">1 </w:t>
      </w:r>
      <w:r>
        <w:rPr>
          <w:sz w:val="26"/>
        </w:rPr>
        <w:t>según lo establecido en el Decreto Número 76-97 del Congreso de la República,</w:t>
      </w:r>
    </w:p>
    <w:p w14:paraId="7E521ED8" w14:textId="77777777" w:rsidR="00053D93" w:rsidRDefault="00260B75">
      <w:pPr>
        <w:spacing w:after="17" w:line="247" w:lineRule="auto"/>
        <w:ind w:left="108" w:right="14" w:firstLine="1634"/>
        <w:jc w:val="both"/>
      </w:pPr>
      <w:r>
        <w:rPr>
          <w:sz w:val="26"/>
        </w:rPr>
        <w:t xml:space="preserve">Ley Nacional para el Desarrollo de la Cultura Física y del Deporte, y las </w:t>
      </w:r>
      <w:r>
        <w:rPr>
          <w:rFonts w:ascii="Times New Roman" w:eastAsia="Times New Roman" w:hAnsi="Times New Roman" w:cs="Times New Roman"/>
          <w:sz w:val="26"/>
        </w:rPr>
        <w:t xml:space="preserve">1 </w:t>
      </w:r>
      <w:r>
        <w:rPr>
          <w:sz w:val="26"/>
        </w:rPr>
        <w:t xml:space="preserve">atribuciones que le otorga el Reglamento Orgánico Interno del Ministerio de Educación." Artículo 2. Objeto, establece: "La Dirección General de Educación Física tiene como objetivo esencial promover la práctica sistemática de la </w:t>
      </w:r>
      <w:r>
        <w:rPr>
          <w:rFonts w:ascii="Times New Roman" w:eastAsia="Times New Roman" w:hAnsi="Times New Roman" w:cs="Times New Roman"/>
          <w:sz w:val="26"/>
        </w:rPr>
        <w:t xml:space="preserve">1 </w:t>
      </w:r>
      <w:r>
        <w:rPr>
          <w:sz w:val="26"/>
        </w:rPr>
        <w:t>educación física, la recreación y el deporte, en todos los niveles del Sistema</w:t>
      </w:r>
    </w:p>
    <w:p w14:paraId="2F76529C" w14:textId="77777777" w:rsidR="00053D93" w:rsidRDefault="00260B75">
      <w:pPr>
        <w:spacing w:after="4" w:line="267" w:lineRule="auto"/>
        <w:ind w:left="18" w:right="21" w:hanging="4"/>
        <w:jc w:val="right"/>
      </w:pPr>
      <w:r>
        <w:rPr>
          <w:sz w:val="26"/>
        </w:rPr>
        <w:lastRenderedPageBreak/>
        <w:t>Educativo Nacional, tanto en el subsistema escolar como en el extraescolar.'</w:t>
      </w:r>
      <w:r>
        <w:rPr>
          <w:noProof/>
        </w:rPr>
        <w:drawing>
          <wp:inline distT="0" distB="0" distL="0" distR="0" wp14:anchorId="3705A6DE" wp14:editId="6EDF63F1">
            <wp:extent cx="13717" cy="45720"/>
            <wp:effectExtent l="0" t="0" r="0" b="0"/>
            <wp:docPr id="712530" name="Picture 712530"/>
            <wp:cNvGraphicFramePr/>
            <a:graphic xmlns:a="http://schemas.openxmlformats.org/drawingml/2006/main">
              <a:graphicData uri="http://schemas.openxmlformats.org/drawingml/2006/picture">
                <pic:pic xmlns:pic="http://schemas.openxmlformats.org/drawingml/2006/picture">
                  <pic:nvPicPr>
                    <pic:cNvPr id="712530" name="Picture 712530"/>
                    <pic:cNvPicPr/>
                  </pic:nvPicPr>
                  <pic:blipFill>
                    <a:blip r:embed="rId1039"/>
                    <a:stretch>
                      <a:fillRect/>
                    </a:stretch>
                  </pic:blipFill>
                  <pic:spPr>
                    <a:xfrm>
                      <a:off x="0" y="0"/>
                      <a:ext cx="13717" cy="45720"/>
                    </a:xfrm>
                    <a:prstGeom prst="rect">
                      <a:avLst/>
                    </a:prstGeom>
                  </pic:spPr>
                </pic:pic>
              </a:graphicData>
            </a:graphic>
          </wp:inline>
        </w:drawing>
      </w:r>
    </w:p>
    <w:p w14:paraId="694BF42D" w14:textId="77777777" w:rsidR="00053D93" w:rsidRDefault="00260B75">
      <w:pPr>
        <w:spacing w:after="121" w:line="247" w:lineRule="auto"/>
        <w:ind w:left="14" w:right="14" w:firstLine="1699"/>
        <w:jc w:val="both"/>
      </w:pPr>
      <w:r>
        <w:rPr>
          <w:sz w:val="26"/>
        </w:rPr>
        <w:t xml:space="preserve">Artículo 8. Funciones del Director General, establece: "Son funciones del Director </w:t>
      </w:r>
      <w:r>
        <w:rPr>
          <w:rFonts w:ascii="Times New Roman" w:eastAsia="Times New Roman" w:hAnsi="Times New Roman" w:cs="Times New Roman"/>
          <w:sz w:val="26"/>
        </w:rPr>
        <w:t xml:space="preserve">1 </w:t>
      </w:r>
      <w:r>
        <w:rPr>
          <w:sz w:val="26"/>
        </w:rPr>
        <w:t xml:space="preserve">General de Educación Física, las siguientes... b. Promover la práctica de la educación física en su ámbito curricular y extracurricular dentro del Sistema </w:t>
      </w:r>
      <w:r>
        <w:rPr>
          <w:rFonts w:ascii="Times New Roman" w:eastAsia="Times New Roman" w:hAnsi="Times New Roman" w:cs="Times New Roman"/>
          <w:sz w:val="26"/>
        </w:rPr>
        <w:t xml:space="preserve">1 </w:t>
      </w:r>
      <w:r>
        <w:rPr>
          <w:sz w:val="26"/>
        </w:rPr>
        <w:t xml:space="preserve">Educativo Nacional c. Administrar los bienes, recursos y programas de la Dirección General; d. Ejecutar las políticas y directrices dictadas en materia de educación general y de educación física. e. Elaborar y ejecutar el programa presupuestario de la entidad... g. Estructurar y garantizar el funcionamiento orgánico de la entidad; h. Organizar, regular, dirigir y supervisar las diversas </w:t>
      </w:r>
      <w:r>
        <w:rPr>
          <w:noProof/>
        </w:rPr>
        <w:drawing>
          <wp:inline distT="0" distB="0" distL="0" distR="0" wp14:anchorId="0B0A17D4" wp14:editId="1D40DC7C">
            <wp:extent cx="86868" cy="18288"/>
            <wp:effectExtent l="0" t="0" r="0" b="0"/>
            <wp:docPr id="712531" name="Picture 712531"/>
            <wp:cNvGraphicFramePr/>
            <a:graphic xmlns:a="http://schemas.openxmlformats.org/drawingml/2006/main">
              <a:graphicData uri="http://schemas.openxmlformats.org/drawingml/2006/picture">
                <pic:pic xmlns:pic="http://schemas.openxmlformats.org/drawingml/2006/picture">
                  <pic:nvPicPr>
                    <pic:cNvPr id="712531" name="Picture 712531"/>
                    <pic:cNvPicPr/>
                  </pic:nvPicPr>
                  <pic:blipFill>
                    <a:blip r:embed="rId1040"/>
                    <a:stretch>
                      <a:fillRect/>
                    </a:stretch>
                  </pic:blipFill>
                  <pic:spPr>
                    <a:xfrm>
                      <a:off x="0" y="0"/>
                      <a:ext cx="86868" cy="18288"/>
                    </a:xfrm>
                    <a:prstGeom prst="rect">
                      <a:avLst/>
                    </a:prstGeom>
                  </pic:spPr>
                </pic:pic>
              </a:graphicData>
            </a:graphic>
          </wp:inline>
        </w:drawing>
      </w:r>
      <w:r>
        <w:rPr>
          <w:sz w:val="26"/>
        </w:rPr>
        <w:t xml:space="preserve"> actividades de la Dirección General; i. Dictar las disposiciones administrativas y </w:t>
      </w:r>
      <w:r>
        <w:rPr>
          <w:rFonts w:ascii="Times New Roman" w:eastAsia="Times New Roman" w:hAnsi="Times New Roman" w:cs="Times New Roman"/>
          <w:sz w:val="26"/>
        </w:rPr>
        <w:t xml:space="preserve">1 </w:t>
      </w:r>
      <w:r>
        <w:rPr>
          <w:sz w:val="26"/>
        </w:rPr>
        <w:t xml:space="preserve">reglamentarias necesarias para el cumplimiento de los fines de la educación física nacional..." Artículo 9. Atribuciones Específicas de la Subdirección General, </w:t>
      </w:r>
      <w:r>
        <w:rPr>
          <w:rFonts w:ascii="Times New Roman" w:eastAsia="Times New Roman" w:hAnsi="Times New Roman" w:cs="Times New Roman"/>
          <w:sz w:val="26"/>
        </w:rPr>
        <w:t xml:space="preserve">1 </w:t>
      </w:r>
      <w:r>
        <w:rPr>
          <w:sz w:val="26"/>
        </w:rPr>
        <w:t xml:space="preserve">establece: "Las atribuciones específicas de la Subdirección General, son las siguientes: a) Planificar, organizar, dirigir, coordinar y supervisar las actividades administrativas y financieras de [a DIGEF... m) Coordinar la asignación de los </w:t>
      </w:r>
      <w:r>
        <w:rPr>
          <w:rFonts w:ascii="Times New Roman" w:eastAsia="Times New Roman" w:hAnsi="Times New Roman" w:cs="Times New Roman"/>
          <w:sz w:val="26"/>
        </w:rPr>
        <w:t xml:space="preserve">1 </w:t>
      </w:r>
      <w:r>
        <w:rPr>
          <w:sz w:val="26"/>
        </w:rPr>
        <w:t>recursos financieros de las diferentes unidades de la DIGEF, con base al plan operativo... "</w:t>
      </w:r>
    </w:p>
    <w:tbl>
      <w:tblPr>
        <w:tblStyle w:val="TableGrid"/>
        <w:tblW w:w="9439" w:type="dxa"/>
        <w:tblInd w:w="770" w:type="dxa"/>
        <w:tblLook w:val="04A0" w:firstRow="1" w:lastRow="0" w:firstColumn="1" w:lastColumn="0" w:noHBand="0" w:noVBand="1"/>
      </w:tblPr>
      <w:tblGrid>
        <w:gridCol w:w="1242"/>
        <w:gridCol w:w="8211"/>
      </w:tblGrid>
      <w:tr w:rsidR="00053D93" w14:paraId="2627B23B" w14:textId="77777777">
        <w:trPr>
          <w:trHeight w:val="648"/>
        </w:trPr>
        <w:tc>
          <w:tcPr>
            <w:tcW w:w="1734" w:type="dxa"/>
            <w:tcBorders>
              <w:top w:val="nil"/>
              <w:left w:val="nil"/>
              <w:bottom w:val="nil"/>
              <w:right w:val="nil"/>
            </w:tcBorders>
          </w:tcPr>
          <w:p w14:paraId="21E34375" w14:textId="77777777" w:rsidR="00053D93" w:rsidRDefault="00260B75">
            <w:r>
              <w:rPr>
                <w:noProof/>
              </w:rPr>
              <w:drawing>
                <wp:inline distT="0" distB="0" distL="0" distR="0" wp14:anchorId="5C574AED" wp14:editId="1BE243B0">
                  <wp:extent cx="1074420" cy="411480"/>
                  <wp:effectExtent l="0" t="0" r="0" b="0"/>
                  <wp:docPr id="712590" name="Picture 712590"/>
                  <wp:cNvGraphicFramePr/>
                  <a:graphic xmlns:a="http://schemas.openxmlformats.org/drawingml/2006/main">
                    <a:graphicData uri="http://schemas.openxmlformats.org/drawingml/2006/picture">
                      <pic:pic xmlns:pic="http://schemas.openxmlformats.org/drawingml/2006/picture">
                        <pic:nvPicPr>
                          <pic:cNvPr id="712590" name="Picture 712590"/>
                          <pic:cNvPicPr/>
                        </pic:nvPicPr>
                        <pic:blipFill>
                          <a:blip r:embed="rId1041"/>
                          <a:stretch>
                            <a:fillRect/>
                          </a:stretch>
                        </pic:blipFill>
                        <pic:spPr>
                          <a:xfrm>
                            <a:off x="0" y="0"/>
                            <a:ext cx="1074420" cy="411480"/>
                          </a:xfrm>
                          <a:prstGeom prst="rect">
                            <a:avLst/>
                          </a:prstGeom>
                        </pic:spPr>
                      </pic:pic>
                    </a:graphicData>
                  </a:graphic>
                </wp:inline>
              </w:drawing>
            </w:r>
          </w:p>
        </w:tc>
        <w:tc>
          <w:tcPr>
            <w:tcW w:w="7705" w:type="dxa"/>
            <w:tcBorders>
              <w:top w:val="nil"/>
              <w:left w:val="nil"/>
              <w:bottom w:val="nil"/>
              <w:right w:val="nil"/>
            </w:tcBorders>
          </w:tcPr>
          <w:p w14:paraId="269FA291" w14:textId="77777777" w:rsidR="00053D93" w:rsidRDefault="00053D93">
            <w:pPr>
              <w:ind w:left="-2778" w:right="10483"/>
            </w:pPr>
          </w:p>
          <w:tbl>
            <w:tblPr>
              <w:tblStyle w:val="TableGrid"/>
              <w:tblW w:w="7664" w:type="dxa"/>
              <w:tblInd w:w="42" w:type="dxa"/>
              <w:tblCellMar>
                <w:top w:w="20" w:type="dxa"/>
                <w:left w:w="1774" w:type="dxa"/>
                <w:right w:w="115" w:type="dxa"/>
              </w:tblCellMar>
              <w:tblLook w:val="04A0" w:firstRow="1" w:lastRow="0" w:firstColumn="1" w:lastColumn="0" w:noHBand="0" w:noVBand="1"/>
            </w:tblPr>
            <w:tblGrid>
              <w:gridCol w:w="7664"/>
            </w:tblGrid>
            <w:tr w:rsidR="00053D93" w14:paraId="221D4C35" w14:textId="77777777">
              <w:trPr>
                <w:trHeight w:val="41"/>
              </w:trPr>
              <w:tc>
                <w:tcPr>
                  <w:tcW w:w="7664" w:type="dxa"/>
                  <w:tcBorders>
                    <w:top w:val="nil"/>
                    <w:left w:val="single" w:sz="2" w:space="0" w:color="000000"/>
                    <w:bottom w:val="single" w:sz="2" w:space="0" w:color="000000"/>
                    <w:right w:val="nil"/>
                  </w:tcBorders>
                </w:tcPr>
                <w:p w14:paraId="552C5DF4" w14:textId="77777777" w:rsidR="00053D93" w:rsidRDefault="00053D93"/>
              </w:tc>
            </w:tr>
            <w:tr w:rsidR="00053D93" w14:paraId="7A1772E2" w14:textId="77777777">
              <w:trPr>
                <w:trHeight w:val="600"/>
              </w:trPr>
              <w:tc>
                <w:tcPr>
                  <w:tcW w:w="7664" w:type="dxa"/>
                  <w:tcBorders>
                    <w:top w:val="single" w:sz="2" w:space="0" w:color="000000"/>
                    <w:left w:val="single" w:sz="2" w:space="0" w:color="000000"/>
                    <w:bottom w:val="nil"/>
                    <w:right w:val="nil"/>
                  </w:tcBorders>
                </w:tcPr>
                <w:p w14:paraId="59015CAD" w14:textId="77777777" w:rsidR="00053D93" w:rsidRDefault="00260B75">
                  <w:pPr>
                    <w:ind w:left="835"/>
                  </w:pPr>
                  <w:r>
                    <w:rPr>
                      <w:sz w:val="14"/>
                    </w:rPr>
                    <w:t>MINISTERIO DE EDUCACION</w:t>
                  </w:r>
                </w:p>
                <w:p w14:paraId="244D475E" w14:textId="77777777" w:rsidR="00053D93" w:rsidRDefault="00260B75">
                  <w:pPr>
                    <w:ind w:left="338"/>
                  </w:pPr>
                  <w:r>
                    <w:rPr>
                      <w:sz w:val="14"/>
                    </w:rPr>
                    <w:t>AUDITORIA FINANCIERA Y DE CUMPLIMIENTO</w:t>
                  </w:r>
                </w:p>
                <w:p w14:paraId="43B7B7EA" w14:textId="77777777" w:rsidR="00053D93" w:rsidRDefault="00260B75">
                  <w:r>
                    <w:rPr>
                      <w:sz w:val="16"/>
                    </w:rPr>
                    <w:t>PERIODO DEL 01 DE ENERO AL 31 DE DICIEMBRE DE 2024</w:t>
                  </w:r>
                </w:p>
              </w:tc>
            </w:tr>
          </w:tbl>
          <w:p w14:paraId="709F3100" w14:textId="77777777" w:rsidR="00053D93" w:rsidRDefault="00053D93"/>
        </w:tc>
      </w:tr>
    </w:tbl>
    <w:p w14:paraId="5BED4431" w14:textId="77777777" w:rsidR="00053D93" w:rsidRDefault="00260B75">
      <w:pPr>
        <w:spacing w:after="0" w:line="265" w:lineRule="auto"/>
        <w:ind w:left="3624" w:right="1930" w:hanging="10"/>
        <w:jc w:val="center"/>
      </w:pPr>
      <w:r>
        <w:rPr>
          <w:sz w:val="14"/>
        </w:rPr>
        <w:t>i54</w:t>
      </w:r>
    </w:p>
    <w:p w14:paraId="385E05EF" w14:textId="77777777" w:rsidR="00053D93" w:rsidRDefault="00260B75">
      <w:pPr>
        <w:spacing w:after="58"/>
        <w:ind w:left="1728"/>
      </w:pPr>
      <w:r>
        <w:rPr>
          <w:noProof/>
        </w:rPr>
        <mc:AlternateContent>
          <mc:Choice Requires="wpg">
            <w:drawing>
              <wp:inline distT="0" distB="0" distL="0" distR="0" wp14:anchorId="524B6564" wp14:editId="317D9ED8">
                <wp:extent cx="5385816" cy="13716"/>
                <wp:effectExtent l="0" t="0" r="0" b="0"/>
                <wp:docPr id="2458571" name="Group 2458571"/>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570" name="Shape 2458570"/>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71" style="width:424.08pt;height:1.07999pt;mso-position-horizontal-relative:char;mso-position-vertical-relative:line" coordsize="53858,137">
                <v:shape id="Shape 2458570" style="position:absolute;width:53858;height:137;left:0;top:0;" coordsize="5385816,13716" path="m0,6858l5385816,6858">
                  <v:stroke weight="1.07999pt" endcap="flat" joinstyle="miter" miterlimit="1" on="true" color="#000000"/>
                  <v:fill on="false" color="#000000"/>
                </v:shape>
              </v:group>
            </w:pict>
          </mc:Fallback>
        </mc:AlternateContent>
      </w:r>
    </w:p>
    <w:p w14:paraId="0A167E84" w14:textId="77777777" w:rsidR="00053D93" w:rsidRDefault="00260B75">
      <w:pPr>
        <w:pStyle w:val="Ttulo3"/>
        <w:ind w:left="1760" w:right="7"/>
      </w:pPr>
      <w:r>
        <w:t>Causa</w:t>
      </w:r>
    </w:p>
    <w:p w14:paraId="1C003585" w14:textId="77777777" w:rsidR="00053D93" w:rsidRDefault="00260B75">
      <w:pPr>
        <w:spacing w:after="641" w:line="247" w:lineRule="auto"/>
        <w:ind w:left="14" w:right="14" w:firstLine="1728"/>
        <w:jc w:val="both"/>
      </w:pPr>
      <w:r>
        <w:rPr>
          <w:sz w:val="26"/>
        </w:rPr>
        <w:t xml:space="preserve">El Director General, no realizó las gestiones necesarias y oportunas, para que el presupuesto asignado a la Dirección General de Educación Física -DIGEF-, </w:t>
      </w:r>
      <w:r>
        <w:rPr>
          <w:rFonts w:ascii="Times New Roman" w:eastAsia="Times New Roman" w:hAnsi="Times New Roman" w:cs="Times New Roman"/>
          <w:sz w:val="26"/>
        </w:rPr>
        <w:t xml:space="preserve">1 </w:t>
      </w:r>
      <w:r>
        <w:rPr>
          <w:sz w:val="26"/>
        </w:rPr>
        <w:t xml:space="preserve">durante ejercicio fiscal 2024, se ejecutara conforme a lo planificado; asimismo, no veló porque se readecuaran los recursos disponibles y no ejecutados por las distintas unidades administrativas de la DIGEF, para atender las necesidades relacionadas con [a práctica sistemática de la educación física, la recreación y el deporte, en todos los niveles del sistema educativo nacional, tanto en el </w:t>
      </w:r>
      <w:r>
        <w:rPr>
          <w:rFonts w:ascii="Times New Roman" w:eastAsia="Times New Roman" w:hAnsi="Times New Roman" w:cs="Times New Roman"/>
          <w:sz w:val="26"/>
        </w:rPr>
        <w:t xml:space="preserve">1 </w:t>
      </w:r>
      <w:r>
        <w:rPr>
          <w:sz w:val="26"/>
        </w:rPr>
        <w:t>subsistema escolar como en el extraescolar, esta .omisión en la toma de decisiones oportunas contribuyó al incumplimiento de las metas establecidas.</w:t>
      </w:r>
    </w:p>
    <w:p w14:paraId="4F11DF32" w14:textId="77777777" w:rsidR="00053D93" w:rsidRDefault="00260B75">
      <w:pPr>
        <w:tabs>
          <w:tab w:val="center" w:pos="2102"/>
        </w:tabs>
        <w:spacing w:after="18" w:line="248" w:lineRule="auto"/>
      </w:pPr>
      <w:r>
        <w:rPr>
          <w:rFonts w:ascii="Times New Roman" w:eastAsia="Times New Roman" w:hAnsi="Times New Roman" w:cs="Times New Roman"/>
          <w:sz w:val="28"/>
        </w:rPr>
        <w:t>1</w:t>
      </w:r>
      <w:r>
        <w:rPr>
          <w:rFonts w:ascii="Times New Roman" w:eastAsia="Times New Roman" w:hAnsi="Times New Roman" w:cs="Times New Roman"/>
          <w:sz w:val="28"/>
        </w:rPr>
        <w:tab/>
      </w:r>
      <w:r>
        <w:rPr>
          <w:sz w:val="28"/>
        </w:rPr>
        <w:t>Efecto</w:t>
      </w:r>
    </w:p>
    <w:p w14:paraId="7BAC5D9F" w14:textId="77777777" w:rsidR="00053D93" w:rsidRDefault="00260B75">
      <w:pPr>
        <w:spacing w:after="185" w:line="247" w:lineRule="auto"/>
        <w:ind w:left="1764" w:right="14" w:firstLine="4"/>
        <w:jc w:val="both"/>
      </w:pPr>
      <w:r>
        <w:rPr>
          <w:sz w:val="26"/>
        </w:rPr>
        <w:t>Incumplimiento en las metas institucionales por la falta de ejecución de las</w:t>
      </w:r>
    </w:p>
    <w:p w14:paraId="1E90A283" w14:textId="77777777" w:rsidR="00053D93" w:rsidRDefault="00260B75">
      <w:pPr>
        <w:spacing w:after="17" w:line="430" w:lineRule="auto"/>
        <w:ind w:left="1757" w:right="14" w:hanging="1678"/>
        <w:jc w:val="both"/>
      </w:pPr>
      <w:r>
        <w:rPr>
          <w:rFonts w:ascii="Times New Roman" w:eastAsia="Times New Roman" w:hAnsi="Times New Roman" w:cs="Times New Roman"/>
          <w:sz w:val="26"/>
        </w:rPr>
        <w:t xml:space="preserve">1 </w:t>
      </w:r>
      <w:r>
        <w:rPr>
          <w:sz w:val="26"/>
        </w:rPr>
        <w:t>actividades planificadas en la Dirección General de Educación Física -DIGEFpara el ejercicio fiscal 2024, impactando negativamente en la formación y</w:t>
      </w:r>
    </w:p>
    <w:p w14:paraId="2DB737E9" w14:textId="77777777" w:rsidR="00053D93" w:rsidRDefault="00260B75">
      <w:pPr>
        <w:spacing w:after="105" w:line="247" w:lineRule="auto"/>
        <w:ind w:left="1757" w:right="14" w:firstLine="4"/>
        <w:jc w:val="both"/>
      </w:pPr>
      <w:r>
        <w:rPr>
          <w:sz w:val="26"/>
        </w:rPr>
        <w:t>desarrollo de los estudiantes del Sistema Educativo Nacional.</w:t>
      </w:r>
    </w:p>
    <w:p w14:paraId="68E8A196" w14:textId="77777777" w:rsidR="00053D93" w:rsidRDefault="00260B75">
      <w:pPr>
        <w:spacing w:after="3"/>
        <w:ind w:left="74" w:right="43" w:hanging="10"/>
      </w:pPr>
      <w:r>
        <w:rPr>
          <w:rFonts w:ascii="Times New Roman" w:eastAsia="Times New Roman" w:hAnsi="Times New Roman" w:cs="Times New Roman"/>
          <w:sz w:val="74"/>
        </w:rPr>
        <w:lastRenderedPageBreak/>
        <w:t>1</w:t>
      </w:r>
    </w:p>
    <w:p w14:paraId="3F8BDD52" w14:textId="77777777" w:rsidR="00053D93" w:rsidRDefault="00260B75">
      <w:pPr>
        <w:spacing w:after="134" w:line="248" w:lineRule="auto"/>
        <w:ind w:left="1709" w:hanging="3"/>
        <w:jc w:val="both"/>
      </w:pPr>
      <w:r>
        <w:rPr>
          <w:sz w:val="28"/>
        </w:rPr>
        <w:t>Recomendación</w:t>
      </w:r>
    </w:p>
    <w:p w14:paraId="73B666DB" w14:textId="77777777" w:rsidR="00053D93" w:rsidRDefault="00260B75">
      <w:pPr>
        <w:spacing w:after="164" w:line="247" w:lineRule="auto"/>
        <w:ind w:left="94" w:right="14" w:firstLine="4"/>
        <w:jc w:val="both"/>
      </w:pPr>
      <w:r>
        <w:rPr>
          <w:noProof/>
        </w:rPr>
        <mc:AlternateContent>
          <mc:Choice Requires="wpg">
            <w:drawing>
              <wp:anchor distT="0" distB="0" distL="114300" distR="114300" simplePos="0" relativeHeight="252073984" behindDoc="0" locked="0" layoutInCell="1" allowOverlap="1" wp14:anchorId="3B43A56D" wp14:editId="2D2E2216">
                <wp:simplePos x="0" y="0"/>
                <wp:positionH relativeFrom="column">
                  <wp:posOffset>77724</wp:posOffset>
                </wp:positionH>
                <wp:positionV relativeFrom="paragraph">
                  <wp:posOffset>1540523</wp:posOffset>
                </wp:positionV>
                <wp:extent cx="123444" cy="301752"/>
                <wp:effectExtent l="0" t="0" r="0" b="0"/>
                <wp:wrapSquare wrapText="bothSides"/>
                <wp:docPr id="2456282" name="Group 2456282"/>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713235" name="Rectangle 713235"/>
                        <wps:cNvSpPr/>
                        <wps:spPr>
                          <a:xfrm>
                            <a:off x="0" y="0"/>
                            <a:ext cx="164181" cy="401330"/>
                          </a:xfrm>
                          <a:prstGeom prst="rect">
                            <a:avLst/>
                          </a:prstGeom>
                          <a:ln>
                            <a:noFill/>
                          </a:ln>
                        </wps:spPr>
                        <wps:txbx>
                          <w:txbxContent>
                            <w:p w14:paraId="79DA78AF"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3B43A56D" id="Group 2456282" o:spid="_x0000_s1407" style="position:absolute;left:0;text-align:left;margin-left:6.1pt;margin-top:121.3pt;width:9.7pt;height:23.75pt;z-index:252073984;mso-position-horizontal-relative:text;mso-position-vertical-relative:text"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">
                <v:rect id="Rectangle 713235" o:spid="_x0000_s1408"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" filled="f" stroked="f">
                  <v:textbox inset="0,0,0,0">
                    <w:txbxContent>
                      <w:p w14:paraId="79DA78AF" w14:textId="77777777" w:rsidR="00053D93" w:rsidRDefault="00260B75">
                        <w:r>
                          <w:rPr>
                            <w:rFonts w:ascii="Times New Roman" w:eastAsia="Times New Roman" w:hAnsi="Times New Roman" w:cs="Times New Roman"/>
                            <w:sz w:val="72"/>
                          </w:rPr>
                          <w:t>1</w:t>
                        </w:r>
                      </w:p>
                    </w:txbxContent>
                  </v:textbox>
                </v:rect>
                <w10:wrap type="square"/>
              </v:group>
            </w:pict>
          </mc:Fallback>
        </mc:AlternateContent>
      </w:r>
      <w:r>
        <w:rPr>
          <w:rFonts w:ascii="Times New Roman" w:eastAsia="Times New Roman" w:hAnsi="Times New Roman" w:cs="Times New Roman"/>
          <w:sz w:val="26"/>
        </w:rPr>
        <w:t xml:space="preserve">1 </w:t>
      </w:r>
      <w:r>
        <w:rPr>
          <w:sz w:val="26"/>
        </w:rPr>
        <w:t xml:space="preserve">La Ministra de Educación, debe girar instrucciones al Director General, para que realice las gestiones necesarias y oportunas, con el fin de ejecutar el presupuesto asignado a la Dirección General de Educación Física -DIGEF-, conforme a lo </w:t>
      </w:r>
      <w:r>
        <w:rPr>
          <w:rFonts w:ascii="Times New Roman" w:eastAsia="Times New Roman" w:hAnsi="Times New Roman" w:cs="Times New Roman"/>
          <w:sz w:val="26"/>
        </w:rPr>
        <w:t xml:space="preserve">1 </w:t>
      </w:r>
      <w:r>
        <w:rPr>
          <w:sz w:val="26"/>
        </w:rPr>
        <w:t xml:space="preserve">planificado; asimismo, es necesario implementar procedimientos internos más eficientes, que agilicen los procesos de compra para la ejecución de las actividades planificadas, así como garantizar la readecuación de los recursos no </w:t>
      </w:r>
      <w:r>
        <w:rPr>
          <w:rFonts w:ascii="Times New Roman" w:eastAsia="Times New Roman" w:hAnsi="Times New Roman" w:cs="Times New Roman"/>
          <w:sz w:val="26"/>
        </w:rPr>
        <w:t xml:space="preserve">1 </w:t>
      </w:r>
      <w:r>
        <w:rPr>
          <w:sz w:val="26"/>
        </w:rPr>
        <w:t xml:space="preserve">ejecutados y asegurar su distribución efectiva entre las unidades administrativas correspondientes, con el objetivo de atender las necesidades relacionadas con la práctica sistemática de la educación física, la recreación y el deporte en todos los niveles del sistema educativo nacional, tanto en el subsistema escolar como en el extraescolar, de conformidad con los objetivos establecidos en el Plan Operativo </w:t>
      </w:r>
      <w:r>
        <w:rPr>
          <w:noProof/>
        </w:rPr>
        <mc:AlternateContent>
          <mc:Choice Requires="wpg">
            <w:drawing>
              <wp:inline distT="0" distB="0" distL="0" distR="0" wp14:anchorId="5DDE7783" wp14:editId="3A9BCE68">
                <wp:extent cx="118872" cy="301752"/>
                <wp:effectExtent l="0" t="0" r="0" b="0"/>
                <wp:docPr id="2456283" name="Group 2456283"/>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713236" name="Rectangle 713236"/>
                        <wps:cNvSpPr/>
                        <wps:spPr>
                          <a:xfrm>
                            <a:off x="0" y="0"/>
                            <a:ext cx="158100" cy="401330"/>
                          </a:xfrm>
                          <a:prstGeom prst="rect">
                            <a:avLst/>
                          </a:prstGeom>
                          <a:ln>
                            <a:noFill/>
                          </a:ln>
                        </wps:spPr>
                        <wps:txbx>
                          <w:txbxContent>
                            <w:p w14:paraId="4637DCB3"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5DDE7783" id="Group 2456283" o:spid="_x0000_s1409"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">
                <v:rect id="Rectangle 713236" o:spid="_x0000_s1410"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" filled="f" stroked="f">
                  <v:textbox inset="0,0,0,0">
                    <w:txbxContent>
                      <w:p w14:paraId="4637DCB3"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Anual -POA- del ejercicio fiscal correspondiente.</w:t>
      </w:r>
    </w:p>
    <w:p w14:paraId="3794D81E" w14:textId="77777777" w:rsidR="00053D93" w:rsidRDefault="00260B75">
      <w:pPr>
        <w:spacing w:after="17" w:line="247" w:lineRule="auto"/>
        <w:ind w:left="1757" w:right="14" w:firstLine="4"/>
        <w:jc w:val="both"/>
      </w:pPr>
      <w:r>
        <w:rPr>
          <w:sz w:val="26"/>
        </w:rPr>
        <w:t>Comentario de los responsables</w:t>
      </w:r>
    </w:p>
    <w:p w14:paraId="6433DAC7" w14:textId="77777777" w:rsidR="00053D93" w:rsidRDefault="00260B75">
      <w:pPr>
        <w:spacing w:after="164" w:line="247" w:lineRule="auto"/>
        <w:ind w:left="158" w:right="14" w:firstLine="1606"/>
        <w:jc w:val="both"/>
      </w:pPr>
      <w:r>
        <w:rPr>
          <w:sz w:val="26"/>
        </w:rPr>
        <w:t xml:space="preserve">En nota s/n del 20 de abril de 2025, el licenciado Willy René Gil Quiñónez, quien fungió como Director General, por el período comprendido del 25 de enero de </w:t>
      </w:r>
      <w:r>
        <w:rPr>
          <w:rFonts w:ascii="Times New Roman" w:eastAsia="Times New Roman" w:hAnsi="Times New Roman" w:cs="Times New Roman"/>
          <w:sz w:val="26"/>
        </w:rPr>
        <w:t xml:space="preserve">1 </w:t>
      </w:r>
      <w:r>
        <w:rPr>
          <w:sz w:val="26"/>
        </w:rPr>
        <w:t xml:space="preserve">2024 al 30 de septiembre de 2024, manifiesta: "...2. El estar fuera del cargo puede representar un proceso de aclaración con algunas limitaciones pero atendiendo a los canales respectivos de información pública y de otras instancias que se harán </w:t>
      </w:r>
      <w:r>
        <w:rPr>
          <w:rFonts w:ascii="Times New Roman" w:eastAsia="Times New Roman" w:hAnsi="Times New Roman" w:cs="Times New Roman"/>
          <w:sz w:val="26"/>
        </w:rPr>
        <w:t xml:space="preserve">1 </w:t>
      </w:r>
      <w:r>
        <w:rPr>
          <w:sz w:val="26"/>
        </w:rPr>
        <w:t xml:space="preserve">necesarias utilizar agradezco los tiempos de prorroga que la ley me permite. 3. Es posible que de acuerdo a la fecha de nombramiento de toma de posesión Acuerdo </w:t>
      </w:r>
      <w:r>
        <w:rPr>
          <w:rFonts w:ascii="Times New Roman" w:eastAsia="Times New Roman" w:hAnsi="Times New Roman" w:cs="Times New Roman"/>
          <w:sz w:val="26"/>
        </w:rPr>
        <w:t xml:space="preserve">1 </w:t>
      </w:r>
      <w:r>
        <w:rPr>
          <w:sz w:val="26"/>
        </w:rPr>
        <w:t>Ministerial No. DIREH-0758 de fecha 23 de enero de 2024 y entrega del cargo Acuerdo Ministerial No. DIREH- 5733-2024 de fecha 30 de septiembre de 2024, el porcentaje de ejecución no varié mucho pero se podrá evidenciar las acciones que</w:t>
      </w:r>
    </w:p>
    <w:p w14:paraId="345CE301" w14:textId="77777777" w:rsidR="00053D93" w:rsidRDefault="00260B75">
      <w:pPr>
        <w:tabs>
          <w:tab w:val="center" w:pos="292"/>
          <w:tab w:val="right" w:pos="10224"/>
        </w:tabs>
        <w:spacing w:after="141" w:line="247" w:lineRule="auto"/>
      </w:pPr>
      <w:r>
        <w:rPr>
          <w:sz w:val="26"/>
        </w:rPr>
        <w:tab/>
      </w:r>
      <w:r>
        <w:rPr>
          <w:rFonts w:ascii="Times New Roman" w:eastAsia="Times New Roman" w:hAnsi="Times New Roman" w:cs="Times New Roman"/>
          <w:sz w:val="26"/>
        </w:rPr>
        <w:t>1</w:t>
      </w:r>
      <w:r>
        <w:rPr>
          <w:rFonts w:ascii="Times New Roman" w:eastAsia="Times New Roman" w:hAnsi="Times New Roman" w:cs="Times New Roman"/>
          <w:sz w:val="26"/>
        </w:rPr>
        <w:tab/>
      </w:r>
      <w:r>
        <w:rPr>
          <w:sz w:val="26"/>
        </w:rPr>
        <w:t>se tomaron, aunque no lograran en su totalidad los resultados esperados. 4. El</w:t>
      </w:r>
    </w:p>
    <w:tbl>
      <w:tblPr>
        <w:tblStyle w:val="TableGrid"/>
        <w:tblpPr w:vertAnchor="text" w:tblpX="2588"/>
        <w:tblOverlap w:val="never"/>
        <w:tblW w:w="7643" w:type="dxa"/>
        <w:tblInd w:w="0" w:type="dxa"/>
        <w:tblCellMar>
          <w:top w:w="50" w:type="dxa"/>
          <w:left w:w="1753" w:type="dxa"/>
          <w:right w:w="115" w:type="dxa"/>
        </w:tblCellMar>
        <w:tblLook w:val="04A0" w:firstRow="1" w:lastRow="0" w:firstColumn="1" w:lastColumn="0" w:noHBand="0" w:noVBand="1"/>
      </w:tblPr>
      <w:tblGrid>
        <w:gridCol w:w="7643"/>
      </w:tblGrid>
      <w:tr w:rsidR="00053D93" w14:paraId="67FCF276" w14:textId="77777777">
        <w:trPr>
          <w:trHeight w:val="36"/>
        </w:trPr>
        <w:tc>
          <w:tcPr>
            <w:tcW w:w="7643" w:type="dxa"/>
            <w:tcBorders>
              <w:top w:val="nil"/>
              <w:left w:val="single" w:sz="2" w:space="0" w:color="000000"/>
              <w:bottom w:val="single" w:sz="2" w:space="0" w:color="000000"/>
              <w:right w:val="nil"/>
            </w:tcBorders>
          </w:tcPr>
          <w:p w14:paraId="6A7D679D" w14:textId="77777777" w:rsidR="00053D93" w:rsidRDefault="00053D93"/>
        </w:tc>
      </w:tr>
      <w:tr w:rsidR="00053D93" w14:paraId="7D4F23AD" w14:textId="77777777">
        <w:trPr>
          <w:trHeight w:val="598"/>
        </w:trPr>
        <w:tc>
          <w:tcPr>
            <w:tcW w:w="7643" w:type="dxa"/>
            <w:tcBorders>
              <w:top w:val="single" w:sz="2" w:space="0" w:color="000000"/>
              <w:left w:val="single" w:sz="2" w:space="0" w:color="000000"/>
              <w:bottom w:val="nil"/>
              <w:right w:val="nil"/>
            </w:tcBorders>
          </w:tcPr>
          <w:p w14:paraId="6DEE7F71" w14:textId="77777777" w:rsidR="00053D93" w:rsidRDefault="00260B75">
            <w:pPr>
              <w:ind w:left="835"/>
            </w:pPr>
            <w:r>
              <w:rPr>
                <w:sz w:val="14"/>
              </w:rPr>
              <w:t>MINISTERIO OE EOUCACION</w:t>
            </w:r>
          </w:p>
          <w:p w14:paraId="719C0570" w14:textId="77777777" w:rsidR="00053D93" w:rsidRDefault="00260B75">
            <w:pPr>
              <w:ind w:left="338"/>
            </w:pPr>
            <w:r>
              <w:rPr>
                <w:sz w:val="14"/>
              </w:rPr>
              <w:t>AUDITORIA FINANCIERA Y DE CUMPLIMIENTO</w:t>
            </w:r>
          </w:p>
          <w:p w14:paraId="09898F67" w14:textId="77777777" w:rsidR="00053D93" w:rsidRDefault="00260B75">
            <w:r>
              <w:rPr>
                <w:sz w:val="14"/>
              </w:rPr>
              <w:t>PERIODO DEL 01 DE ENERO AL 31 DE DICIEMBRE DE 2024</w:t>
            </w:r>
          </w:p>
        </w:tc>
      </w:tr>
    </w:tbl>
    <w:p w14:paraId="6018AC11" w14:textId="77777777" w:rsidR="00053D93" w:rsidRDefault="00260B75">
      <w:pPr>
        <w:pStyle w:val="Ttulo2"/>
        <w:spacing w:after="97"/>
        <w:ind w:left="809" w:right="0"/>
      </w:pPr>
      <w:r>
        <w:t xml:space="preserve">III </w:t>
      </w:r>
      <w:r>
        <w:rPr>
          <w:noProof/>
        </w:rPr>
        <w:drawing>
          <wp:inline distT="0" distB="0" distL="0" distR="0" wp14:anchorId="064A4241" wp14:editId="69DC5C40">
            <wp:extent cx="873252" cy="406909"/>
            <wp:effectExtent l="0" t="0" r="0" b="0"/>
            <wp:docPr id="716185" name="Picture 716185"/>
            <wp:cNvGraphicFramePr/>
            <a:graphic xmlns:a="http://schemas.openxmlformats.org/drawingml/2006/main">
              <a:graphicData uri="http://schemas.openxmlformats.org/drawingml/2006/picture">
                <pic:pic xmlns:pic="http://schemas.openxmlformats.org/drawingml/2006/picture">
                  <pic:nvPicPr>
                    <pic:cNvPr id="716185" name="Picture 716185"/>
                    <pic:cNvPicPr/>
                  </pic:nvPicPr>
                  <pic:blipFill>
                    <a:blip r:embed="rId1042"/>
                    <a:stretch>
                      <a:fillRect/>
                    </a:stretch>
                  </pic:blipFill>
                  <pic:spPr>
                    <a:xfrm>
                      <a:off x="0" y="0"/>
                      <a:ext cx="873252" cy="406909"/>
                    </a:xfrm>
                    <a:prstGeom prst="rect">
                      <a:avLst/>
                    </a:prstGeom>
                  </pic:spPr>
                </pic:pic>
              </a:graphicData>
            </a:graphic>
          </wp:inline>
        </w:drawing>
      </w:r>
      <w:r>
        <w:t xml:space="preserve"> I</w:t>
      </w:r>
    </w:p>
    <w:p w14:paraId="2D8DEAB5" w14:textId="77777777" w:rsidR="00053D93" w:rsidRDefault="00053D93">
      <w:pPr>
        <w:sectPr w:rsidR="00053D93">
          <w:headerReference w:type="even" r:id="rId1043"/>
          <w:headerReference w:type="default" r:id="rId1044"/>
          <w:footerReference w:type="even" r:id="rId1045"/>
          <w:footerReference w:type="default" r:id="rId1046"/>
          <w:headerReference w:type="first" r:id="rId1047"/>
          <w:footerReference w:type="first" r:id="rId1048"/>
          <w:pgSz w:w="12290" w:h="15883"/>
          <w:pgMar w:top="846" w:right="1793" w:bottom="691" w:left="274" w:header="468" w:footer="720" w:gutter="0"/>
          <w:cols w:space="720"/>
          <w:titlePg/>
        </w:sectPr>
      </w:pPr>
    </w:p>
    <w:p w14:paraId="3871F620" w14:textId="77777777" w:rsidR="00053D93" w:rsidRDefault="00260B75">
      <w:pPr>
        <w:spacing w:after="243" w:line="247" w:lineRule="auto"/>
        <w:ind w:left="14" w:right="14" w:firstLine="1714"/>
        <w:jc w:val="both"/>
      </w:pPr>
      <w:r>
        <w:rPr>
          <w:noProof/>
        </w:rPr>
        <w:lastRenderedPageBreak/>
        <mc:AlternateContent>
          <mc:Choice Requires="wpg">
            <w:drawing>
              <wp:anchor distT="0" distB="0" distL="114300" distR="114300" simplePos="0" relativeHeight="252075008" behindDoc="0" locked="0" layoutInCell="1" allowOverlap="1" wp14:anchorId="45CBFCA2" wp14:editId="3DA7B695">
                <wp:simplePos x="0" y="0"/>
                <wp:positionH relativeFrom="column">
                  <wp:posOffset>27432</wp:posOffset>
                </wp:positionH>
                <wp:positionV relativeFrom="paragraph">
                  <wp:posOffset>2527584</wp:posOffset>
                </wp:positionV>
                <wp:extent cx="118872" cy="292608"/>
                <wp:effectExtent l="0" t="0" r="0" b="0"/>
                <wp:wrapSquare wrapText="bothSides"/>
                <wp:docPr id="2456288" name="Group 2456288"/>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716805" name="Rectangle 716805"/>
                        <wps:cNvSpPr/>
                        <wps:spPr>
                          <a:xfrm>
                            <a:off x="0" y="0"/>
                            <a:ext cx="158100" cy="389169"/>
                          </a:xfrm>
                          <a:prstGeom prst="rect">
                            <a:avLst/>
                          </a:prstGeom>
                          <a:ln>
                            <a:noFill/>
                          </a:ln>
                        </wps:spPr>
                        <wps:txbx>
                          <w:txbxContent>
                            <w:p w14:paraId="5CD50BEF"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45CBFCA2" id="Group 2456288" o:spid="_x0000_s1411" style="position:absolute;left:0;text-align:left;margin-left:2.15pt;margin-top:199pt;width:9.35pt;height:23.05pt;z-index:252075008;mso-position-horizontal-relative:text;mso-position-vertical-relative:text"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">
                <v:rect id="Rectangle 716805" o:spid="_x0000_s1412"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" filled="f" stroked="f">
                  <v:textbox inset="0,0,0,0">
                    <w:txbxContent>
                      <w:p w14:paraId="5CD50BEF"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sz w:val="26"/>
        </w:rPr>
        <w:t xml:space="preserve">presupuesto desde el inicio de mi gestión constituyo como muchos de los temas que aquejan a la Administración de la Dirección General de Educación Física un punto fundamental, ya que la visión correspondía a las grandes necesidades en </w:t>
      </w:r>
      <w:r>
        <w:rPr>
          <w:rFonts w:ascii="Times New Roman" w:eastAsia="Times New Roman" w:hAnsi="Times New Roman" w:cs="Times New Roman"/>
          <w:sz w:val="26"/>
        </w:rPr>
        <w:t xml:space="preserve">1 </w:t>
      </w:r>
      <w:r>
        <w:rPr>
          <w:sz w:val="26"/>
        </w:rPr>
        <w:t xml:space="preserve">relación a infraestructura, material didáctico pero sobre todo el personal docente requerido para superar el porcentaje de cobertura que hasta ese momento andaba por el 12%. 5. En mi tiempo de gestión siempre correspondía hacerme acompañar en todo momento de la unidad de seguimiento y monitoreo, de ser necesario y posible, esta unidad debe contener los informes a detalle de los procesos </w:t>
      </w:r>
      <w:r>
        <w:rPr>
          <w:rFonts w:ascii="Times New Roman" w:eastAsia="Times New Roman" w:hAnsi="Times New Roman" w:cs="Times New Roman"/>
          <w:sz w:val="26"/>
        </w:rPr>
        <w:t xml:space="preserve">1 </w:t>
      </w:r>
      <w:r>
        <w:rPr>
          <w:sz w:val="26"/>
        </w:rPr>
        <w:t xml:space="preserve">establecidos en el presupuesto 2024. 6. En relación a la ampliación para el presupuesto 2024 de acuerdo a los tiempo y requerimientos se procedió y si es de valor manifestarlo fue motivo de gran agradecimiento y satisfacción ya que era un </w:t>
      </w:r>
      <w:r>
        <w:rPr>
          <w:rFonts w:ascii="Times New Roman" w:eastAsia="Times New Roman" w:hAnsi="Times New Roman" w:cs="Times New Roman"/>
          <w:sz w:val="26"/>
        </w:rPr>
        <w:t xml:space="preserve">1 </w:t>
      </w:r>
      <w:r>
        <w:rPr>
          <w:sz w:val="26"/>
        </w:rPr>
        <w:t xml:space="preserve">espacio de proyección con un fin diferente de gran inversión, costo beneficio al nivel preprimario, el informe con la documentación específica que será solicitada podrá aclarar con exactitud lo actuado. 7. Se ha requerido la documentación respectiva a las instancias relacionadas con el presupuesto y su ejecución desde la solicitud administrativa hasta el proceso que queda evidenciado en el SICOIN, </w:t>
      </w:r>
      <w:r>
        <w:rPr>
          <w:rFonts w:ascii="Times New Roman" w:eastAsia="Times New Roman" w:hAnsi="Times New Roman" w:cs="Times New Roman"/>
          <w:sz w:val="26"/>
        </w:rPr>
        <w:t xml:space="preserve">1 </w:t>
      </w:r>
      <w:r>
        <w:rPr>
          <w:sz w:val="26"/>
        </w:rPr>
        <w:t xml:space="preserve">Vice despacho técnico, vice despacho administrativo, DIDECO, DAFI. Con base en lo anterior agradezco el informe y la oportunidad de aclarar los temas que corresponden a la Dirección General de Educación Física y su administración bajo </w:t>
      </w:r>
      <w:r>
        <w:rPr>
          <w:rFonts w:ascii="Times New Roman" w:eastAsia="Times New Roman" w:hAnsi="Times New Roman" w:cs="Times New Roman"/>
          <w:sz w:val="26"/>
        </w:rPr>
        <w:t xml:space="preserve">1 </w:t>
      </w:r>
      <w:r>
        <w:rPr>
          <w:sz w:val="26"/>
        </w:rPr>
        <w:t>mi responsabilidad del 25 de enero al 30 de septiembre 2024, requiriendo los tiempos de prórroga para su total aclaración."</w:t>
      </w:r>
    </w:p>
    <w:p w14:paraId="06FBF156" w14:textId="77777777" w:rsidR="00053D93" w:rsidRDefault="00260B75">
      <w:pPr>
        <w:spacing w:after="3"/>
        <w:ind w:left="74" w:right="3485" w:hanging="10"/>
      </w:pPr>
      <w:r>
        <w:rPr>
          <w:noProof/>
        </w:rPr>
        <w:drawing>
          <wp:inline distT="0" distB="0" distL="0" distR="0" wp14:anchorId="661442E6" wp14:editId="32576A6A">
            <wp:extent cx="18288" cy="9144"/>
            <wp:effectExtent l="0" t="0" r="0" b="0"/>
            <wp:docPr id="719921" name="Picture 719921"/>
            <wp:cNvGraphicFramePr/>
            <a:graphic xmlns:a="http://schemas.openxmlformats.org/drawingml/2006/main">
              <a:graphicData uri="http://schemas.openxmlformats.org/drawingml/2006/picture">
                <pic:pic xmlns:pic="http://schemas.openxmlformats.org/drawingml/2006/picture">
                  <pic:nvPicPr>
                    <pic:cNvPr id="719921" name="Picture 719921"/>
                    <pic:cNvPicPr/>
                  </pic:nvPicPr>
                  <pic:blipFill>
                    <a:blip r:embed="rId1049"/>
                    <a:stretch>
                      <a:fillRect/>
                    </a:stretch>
                  </pic:blipFill>
                  <pic:spPr>
                    <a:xfrm>
                      <a:off x="0" y="0"/>
                      <a:ext cx="18288" cy="9144"/>
                    </a:xfrm>
                    <a:prstGeom prst="rect">
                      <a:avLst/>
                    </a:prstGeom>
                  </pic:spPr>
                </pic:pic>
              </a:graphicData>
            </a:graphic>
          </wp:inline>
        </w:drawing>
      </w:r>
      <w:r>
        <w:rPr>
          <w:rFonts w:ascii="Times New Roman" w:eastAsia="Times New Roman" w:hAnsi="Times New Roman" w:cs="Times New Roman"/>
          <w:sz w:val="70"/>
        </w:rPr>
        <w:t>1</w:t>
      </w:r>
    </w:p>
    <w:p w14:paraId="0A661D34" w14:textId="77777777" w:rsidR="00053D93" w:rsidRDefault="00260B75">
      <w:pPr>
        <w:spacing w:after="17" w:line="247" w:lineRule="auto"/>
        <w:ind w:left="1721" w:right="14" w:firstLine="4"/>
        <w:jc w:val="both"/>
      </w:pPr>
      <w:r>
        <w:rPr>
          <w:sz w:val="26"/>
        </w:rPr>
        <w:t>Comentario de auditoría</w:t>
      </w:r>
    </w:p>
    <w:p w14:paraId="0A7B06C5" w14:textId="77777777" w:rsidR="00053D93" w:rsidRDefault="00260B75">
      <w:pPr>
        <w:spacing w:after="17" w:line="247" w:lineRule="auto"/>
        <w:ind w:left="14" w:right="14" w:firstLine="1454"/>
        <w:jc w:val="both"/>
      </w:pPr>
      <w:r>
        <w:rPr>
          <w:noProof/>
        </w:rPr>
        <mc:AlternateContent>
          <mc:Choice Requires="wpg">
            <w:drawing>
              <wp:anchor distT="0" distB="0" distL="114300" distR="114300" simplePos="0" relativeHeight="252076032" behindDoc="0" locked="0" layoutInCell="1" allowOverlap="1" wp14:anchorId="5E9A3DD2" wp14:editId="5E428EE8">
                <wp:simplePos x="0" y="0"/>
                <wp:positionH relativeFrom="page">
                  <wp:posOffset>1280160</wp:posOffset>
                </wp:positionH>
                <wp:positionV relativeFrom="page">
                  <wp:posOffset>781812</wp:posOffset>
                </wp:positionV>
                <wp:extent cx="5385816" cy="13716"/>
                <wp:effectExtent l="0" t="0" r="0" b="0"/>
                <wp:wrapTopAndBottom/>
                <wp:docPr id="2458573" name="Group 2458573"/>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572" name="Shape 2458572"/>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573" style="width:424.08pt;height:1.08pt;position:absolute;mso-position-horizontal-relative:page;mso-position-horizontal:absolute;margin-left:100.8pt;mso-position-vertical-relative:page;margin-top:61.56pt;" coordsize="53858,137">
                <v:shape id="Shape 2458572" style="position:absolute;width:53858;height:137;left:0;top:0;" coordsize="5385816,13716" path="m0,6858l5385816,6858">
                  <v:stroke weight="1.08pt" endcap="flat" joinstyle="miter" miterlimit="1" on="true" color="#000000"/>
                  <v:fill on="false" color="#000000"/>
                </v:shape>
                <w10:wrap type="topAndBottom"/>
              </v:group>
            </w:pict>
          </mc:Fallback>
        </mc:AlternateContent>
      </w:r>
      <w:r>
        <w:rPr>
          <w:sz w:val="26"/>
        </w:rPr>
        <w:t xml:space="preserve">Se confirma el hallazgo, para el licenciado Willy René Gil Quiñónez, quien fungió </w:t>
      </w:r>
      <w:r>
        <w:rPr>
          <w:noProof/>
        </w:rPr>
        <mc:AlternateContent>
          <mc:Choice Requires="wpg">
            <w:drawing>
              <wp:inline distT="0" distB="0" distL="0" distR="0" wp14:anchorId="3A715085" wp14:editId="282AC9EC">
                <wp:extent cx="123444" cy="292608"/>
                <wp:effectExtent l="0" t="0" r="0" b="0"/>
                <wp:docPr id="2456289" name="Group 2456289"/>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716809" name="Rectangle 716809"/>
                        <wps:cNvSpPr/>
                        <wps:spPr>
                          <a:xfrm>
                            <a:off x="0" y="0"/>
                            <a:ext cx="164181" cy="389169"/>
                          </a:xfrm>
                          <a:prstGeom prst="rect">
                            <a:avLst/>
                          </a:prstGeom>
                          <a:ln>
                            <a:noFill/>
                          </a:ln>
                        </wps:spPr>
                        <wps:txbx>
                          <w:txbxContent>
                            <w:p w14:paraId="19D5E981"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inline>
            </w:drawing>
          </mc:Choice>
          <mc:Fallback>
            <w:pict>
              <v:group w14:anchorId="3A715085" id="Group 2456289" o:spid="_x0000_s1413" style="width:9.7pt;height:23.05pt;mso-position-horizontal-relative:char;mso-position-vertical-relative:line"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">
                <v:rect id="Rectangle 716809" o:spid="_x0000_s1414" style="position:absolute;width:16418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" filled="f" stroked="f">
                  <v:textbox inset="0,0,0,0">
                    <w:txbxContent>
                      <w:p w14:paraId="19D5E981" w14:textId="77777777" w:rsidR="00053D93" w:rsidRDefault="00260B75">
                        <w:r>
                          <w:rPr>
                            <w:rFonts w:ascii="Times New Roman" w:eastAsia="Times New Roman" w:hAnsi="Times New Roman" w:cs="Times New Roman"/>
                            <w:sz w:val="72"/>
                          </w:rPr>
                          <w:t>1</w:t>
                        </w:r>
                      </w:p>
                    </w:txbxContent>
                  </v:textbox>
                </v:rect>
                <w10:anchorlock/>
              </v:group>
            </w:pict>
          </mc:Fallback>
        </mc:AlternateContent>
      </w:r>
      <w:r>
        <w:rPr>
          <w:sz w:val="26"/>
        </w:rPr>
        <w:t xml:space="preserve"> como Director General, durante el período comprendido del 25 de enero de 2024 al 30 de septiembre de 2024; en virtud que, las pruebas presentadas no son </w:t>
      </w:r>
      <w:r>
        <w:rPr>
          <w:rFonts w:ascii="Times New Roman" w:eastAsia="Times New Roman" w:hAnsi="Times New Roman" w:cs="Times New Roman"/>
          <w:sz w:val="26"/>
        </w:rPr>
        <w:t xml:space="preserve">1 </w:t>
      </w:r>
      <w:r>
        <w:rPr>
          <w:sz w:val="26"/>
        </w:rPr>
        <w:t xml:space="preserve">suficientes; a pesar que el responsable manifiesta que en la baja ejecución del presupuesto es posible evidenciar las acciones que se tomaron, aunque no se lograran en su totalidad los resultados esperados; no presentó documentación que </w:t>
      </w:r>
      <w:r>
        <w:rPr>
          <w:noProof/>
        </w:rPr>
        <mc:AlternateContent>
          <mc:Choice Requires="wpg">
            <w:drawing>
              <wp:inline distT="0" distB="0" distL="0" distR="0" wp14:anchorId="0C9120C7" wp14:editId="36A3350E">
                <wp:extent cx="118872" cy="297180"/>
                <wp:effectExtent l="0" t="0" r="0" b="0"/>
                <wp:docPr id="2456290" name="Group 2456290"/>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716811" name="Rectangle 716811"/>
                        <wps:cNvSpPr/>
                        <wps:spPr>
                          <a:xfrm>
                            <a:off x="0" y="0"/>
                            <a:ext cx="158100" cy="395249"/>
                          </a:xfrm>
                          <a:prstGeom prst="rect">
                            <a:avLst/>
                          </a:prstGeom>
                          <a:ln>
                            <a:noFill/>
                          </a:ln>
                        </wps:spPr>
                        <wps:txbx>
                          <w:txbxContent>
                            <w:p w14:paraId="47AB88D3"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0C9120C7" id="Group 2456290" o:spid="_x0000_s1415"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">
                <v:rect id="Rectangle 716811" o:spid="_x0000_s1416"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" filled="f" stroked="f">
                  <v:textbox inset="0,0,0,0">
                    <w:txbxContent>
                      <w:p w14:paraId="47AB88D3"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corroborara dichas acciones realizadas, así como tampoco presentó ninguna documentación relacionada con las gestiones realizadas para ejecutar a cabalidad lo planificado en la DIGEF para el ejercicio fiscal 2024 y/o readecuar los fondos </w:t>
      </w:r>
      <w:r>
        <w:rPr>
          <w:noProof/>
        </w:rPr>
        <mc:AlternateContent>
          <mc:Choice Requires="wpg">
            <w:drawing>
              <wp:inline distT="0" distB="0" distL="0" distR="0" wp14:anchorId="2E372DDB" wp14:editId="15E7073F">
                <wp:extent cx="118872" cy="297180"/>
                <wp:effectExtent l="0" t="0" r="0" b="0"/>
                <wp:docPr id="2456291" name="Group 2456291"/>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716812" name="Rectangle 716812"/>
                        <wps:cNvSpPr/>
                        <wps:spPr>
                          <a:xfrm>
                            <a:off x="0" y="0"/>
                            <a:ext cx="158100" cy="395250"/>
                          </a:xfrm>
                          <a:prstGeom prst="rect">
                            <a:avLst/>
                          </a:prstGeom>
                          <a:ln>
                            <a:noFill/>
                          </a:ln>
                        </wps:spPr>
                        <wps:txbx>
                          <w:txbxContent>
                            <w:p w14:paraId="7491DA6D"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2E372DDB" id="Group 2456291" o:spid="_x0000_s1417"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">
                <v:rect id="Rectangle 716812" o:spid="_x0000_s1418"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" filled="f" stroked="f">
                  <v:textbox inset="0,0,0,0">
                    <w:txbxContent>
                      <w:p w14:paraId="7491DA6D"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disponibles no ejecutados durante dicho período fiscal de las unidades ejecutoras que por distintas razones no lo habían utilizado, lo cual afectó de manera </w:t>
      </w:r>
      <w:r>
        <w:rPr>
          <w:noProof/>
        </w:rPr>
        <w:drawing>
          <wp:inline distT="0" distB="0" distL="0" distR="0" wp14:anchorId="5B0DC9D0" wp14:editId="3B0406CE">
            <wp:extent cx="32004" cy="13716"/>
            <wp:effectExtent l="0" t="0" r="0" b="0"/>
            <wp:docPr id="719922" name="Picture 719922"/>
            <wp:cNvGraphicFramePr/>
            <a:graphic xmlns:a="http://schemas.openxmlformats.org/drawingml/2006/main">
              <a:graphicData uri="http://schemas.openxmlformats.org/drawingml/2006/picture">
                <pic:pic xmlns:pic="http://schemas.openxmlformats.org/drawingml/2006/picture">
                  <pic:nvPicPr>
                    <pic:cNvPr id="719922" name="Picture 719922"/>
                    <pic:cNvPicPr/>
                  </pic:nvPicPr>
                  <pic:blipFill>
                    <a:blip r:embed="rId1050"/>
                    <a:stretch>
                      <a:fillRect/>
                    </a:stretch>
                  </pic:blipFill>
                  <pic:spPr>
                    <a:xfrm>
                      <a:off x="0" y="0"/>
                      <a:ext cx="32004" cy="13716"/>
                    </a:xfrm>
                    <a:prstGeom prst="rect">
                      <a:avLst/>
                    </a:prstGeom>
                  </pic:spPr>
                </pic:pic>
              </a:graphicData>
            </a:graphic>
          </wp:inline>
        </w:drawing>
      </w:r>
      <w:r>
        <w:rPr>
          <w:rFonts w:ascii="Times New Roman" w:eastAsia="Times New Roman" w:hAnsi="Times New Roman" w:cs="Times New Roman"/>
          <w:sz w:val="26"/>
        </w:rPr>
        <w:t xml:space="preserve">1 </w:t>
      </w:r>
      <w:r>
        <w:rPr>
          <w:sz w:val="26"/>
        </w:rPr>
        <w:t xml:space="preserve">significativa la atención a las necesidades relacionadas con la práctica sistemática de la educación física, la recreación y el deporte, en todos los niveles del sistema educativo nacional, tanto en el subsistema escolar como </w:t>
      </w:r>
      <w:r>
        <w:rPr>
          <w:sz w:val="26"/>
        </w:rPr>
        <w:lastRenderedPageBreak/>
        <w:t xml:space="preserve">en el extraescolar, </w:t>
      </w:r>
      <w:r>
        <w:rPr>
          <w:noProof/>
        </w:rPr>
        <mc:AlternateContent>
          <mc:Choice Requires="wpg">
            <w:drawing>
              <wp:inline distT="0" distB="0" distL="0" distR="0" wp14:anchorId="2485E94D" wp14:editId="4053E7FE">
                <wp:extent cx="114300" cy="292609"/>
                <wp:effectExtent l="0" t="0" r="0" b="0"/>
                <wp:docPr id="2456292" name="Group 2456292"/>
                <wp:cNvGraphicFramePr/>
                <a:graphic xmlns:a="http://schemas.openxmlformats.org/drawingml/2006/main">
                  <a:graphicData uri="http://schemas.microsoft.com/office/word/2010/wordprocessingGroup">
                    <wpg:wgp>
                      <wpg:cNvGrpSpPr/>
                      <wpg:grpSpPr>
                        <a:xfrm>
                          <a:off x="0" y="0"/>
                          <a:ext cx="114300" cy="292609"/>
                          <a:chOff x="0" y="0"/>
                          <a:chExt cx="114300" cy="292609"/>
                        </a:xfrm>
                      </wpg:grpSpPr>
                      <wps:wsp>
                        <wps:cNvPr id="716814" name="Rectangle 716814"/>
                        <wps:cNvSpPr/>
                        <wps:spPr>
                          <a:xfrm>
                            <a:off x="0" y="0"/>
                            <a:ext cx="152019" cy="389169"/>
                          </a:xfrm>
                          <a:prstGeom prst="rect">
                            <a:avLst/>
                          </a:prstGeom>
                          <a:ln>
                            <a:noFill/>
                          </a:ln>
                        </wps:spPr>
                        <wps:txbx>
                          <w:txbxContent>
                            <w:p w14:paraId="28B12330"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2485E94D" id="Group 2456292" o:spid="_x0000_s1419" style="width:9pt;height:23.05pt;mso-position-horizontal-relative:char;mso-position-vertical-relative:line" coordsize="114300,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">
                <v:rect id="Rectangle 716814" o:spid="_x0000_s1420"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" filled="f" stroked="f">
                  <v:textbox inset="0,0,0,0">
                    <w:txbxContent>
                      <w:p w14:paraId="28B12330"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incumpliendo así con las metas institucionales de la Dirección General de Educación Física -DIGEF- para el ejercicio fiscal 2024; Asimismo, es importante mencionar que las deficiencias detectadas en el presente hallazgo se notificaron al </w:t>
      </w:r>
      <w:r>
        <w:rPr>
          <w:rFonts w:ascii="Times New Roman" w:eastAsia="Times New Roman" w:hAnsi="Times New Roman" w:cs="Times New Roman"/>
          <w:sz w:val="26"/>
        </w:rPr>
        <w:t xml:space="preserve">1 </w:t>
      </w:r>
      <w:r>
        <w:rPr>
          <w:sz w:val="26"/>
        </w:rPr>
        <w:t xml:space="preserve">responsable mediante el Casillero Electrónico de la Contraloría General de Cuentas, por medio del Oficio de Notificación No. CGC-DAS-03-2024-NOTlF. </w:t>
      </w:r>
      <w:r>
        <w:rPr>
          <w:rFonts w:ascii="Times New Roman" w:eastAsia="Times New Roman" w:hAnsi="Times New Roman" w:cs="Times New Roman"/>
          <w:sz w:val="26"/>
        </w:rPr>
        <w:t xml:space="preserve">' III </w:t>
      </w:r>
      <w:r>
        <w:rPr>
          <w:sz w:val="26"/>
        </w:rPr>
        <w:t xml:space="preserve">MINEDUC.DIGEF.IO, </w:t>
      </w:r>
      <w:r>
        <w:rPr>
          <w:rFonts w:ascii="Times New Roman" w:eastAsia="Times New Roman" w:hAnsi="Times New Roman" w:cs="Times New Roman"/>
          <w:sz w:val="26"/>
        </w:rPr>
        <w:t xml:space="preserve">I </w:t>
      </w:r>
      <w:r>
        <w:rPr>
          <w:sz w:val="26"/>
        </w:rPr>
        <w:t>del 02 de abril de 2025, para que pudiera presentar sus</w:t>
      </w:r>
    </w:p>
    <w:tbl>
      <w:tblPr>
        <w:tblStyle w:val="TableGrid"/>
        <w:tblpPr w:vertAnchor="text" w:tblpX="2553"/>
        <w:tblOverlap w:val="never"/>
        <w:tblW w:w="7649" w:type="dxa"/>
        <w:tblInd w:w="0" w:type="dxa"/>
        <w:tblCellMar>
          <w:top w:w="50" w:type="dxa"/>
          <w:left w:w="1752" w:type="dxa"/>
          <w:right w:w="115" w:type="dxa"/>
        </w:tblCellMar>
        <w:tblLook w:val="04A0" w:firstRow="1" w:lastRow="0" w:firstColumn="1" w:lastColumn="0" w:noHBand="0" w:noVBand="1"/>
      </w:tblPr>
      <w:tblGrid>
        <w:gridCol w:w="7649"/>
      </w:tblGrid>
      <w:tr w:rsidR="00053D93" w14:paraId="47CC6C8E" w14:textId="77777777">
        <w:trPr>
          <w:trHeight w:val="43"/>
        </w:trPr>
        <w:tc>
          <w:tcPr>
            <w:tcW w:w="7649" w:type="dxa"/>
            <w:tcBorders>
              <w:top w:val="nil"/>
              <w:left w:val="single" w:sz="2" w:space="0" w:color="000000"/>
              <w:bottom w:val="single" w:sz="2" w:space="0" w:color="000000"/>
              <w:right w:val="nil"/>
            </w:tcBorders>
          </w:tcPr>
          <w:p w14:paraId="2CBF73DB" w14:textId="77777777" w:rsidR="00053D93" w:rsidRDefault="00053D93"/>
        </w:tc>
      </w:tr>
      <w:tr w:rsidR="00053D93" w14:paraId="0B031F31" w14:textId="77777777">
        <w:trPr>
          <w:trHeight w:val="605"/>
        </w:trPr>
        <w:tc>
          <w:tcPr>
            <w:tcW w:w="7649" w:type="dxa"/>
            <w:tcBorders>
              <w:top w:val="single" w:sz="2" w:space="0" w:color="000000"/>
              <w:left w:val="single" w:sz="2" w:space="0" w:color="000000"/>
              <w:bottom w:val="nil"/>
              <w:right w:val="nil"/>
            </w:tcBorders>
          </w:tcPr>
          <w:p w14:paraId="086D4ED1" w14:textId="77777777" w:rsidR="00053D93" w:rsidRDefault="00260B75">
            <w:pPr>
              <w:ind w:left="835"/>
            </w:pPr>
            <w:r>
              <w:rPr>
                <w:sz w:val="14"/>
              </w:rPr>
              <w:t>MINISTERIO DE EDUCACION</w:t>
            </w:r>
          </w:p>
          <w:p w14:paraId="6475697C" w14:textId="77777777" w:rsidR="00053D93" w:rsidRDefault="00260B75">
            <w:pPr>
              <w:ind w:left="338"/>
            </w:pPr>
            <w:r>
              <w:rPr>
                <w:sz w:val="14"/>
              </w:rPr>
              <w:t>AUDITORIA FINANCIERA Y DE CUMPLIMIENTO</w:t>
            </w:r>
          </w:p>
          <w:p w14:paraId="075CB7C8" w14:textId="77777777" w:rsidR="00053D93" w:rsidRDefault="00260B75">
            <w:r>
              <w:rPr>
                <w:sz w:val="14"/>
              </w:rPr>
              <w:t>PERIODO DEL 01 DE ENERO AL 31 DE DICIEMBRE DE 2024</w:t>
            </w:r>
          </w:p>
        </w:tc>
      </w:tr>
    </w:tbl>
    <w:p w14:paraId="11D062BC" w14:textId="77777777" w:rsidR="00053D93" w:rsidRDefault="00260B75">
      <w:pPr>
        <w:tabs>
          <w:tab w:val="center" w:pos="1757"/>
        </w:tabs>
        <w:spacing w:after="3"/>
      </w:pPr>
      <w:r>
        <w:rPr>
          <w:rFonts w:ascii="Times New Roman" w:eastAsia="Times New Roman" w:hAnsi="Times New Roman" w:cs="Times New Roman"/>
          <w:sz w:val="70"/>
        </w:rPr>
        <w:t>1</w:t>
      </w:r>
      <w:r>
        <w:rPr>
          <w:rFonts w:ascii="Times New Roman" w:eastAsia="Times New Roman" w:hAnsi="Times New Roman" w:cs="Times New Roman"/>
          <w:sz w:val="70"/>
        </w:rPr>
        <w:tab/>
      </w:r>
      <w:r>
        <w:rPr>
          <w:noProof/>
        </w:rPr>
        <w:drawing>
          <wp:inline distT="0" distB="0" distL="0" distR="0" wp14:anchorId="6DF7DDE0" wp14:editId="5907DC13">
            <wp:extent cx="877824" cy="411480"/>
            <wp:effectExtent l="0" t="0" r="0" b="0"/>
            <wp:docPr id="720011" name="Picture 720011"/>
            <wp:cNvGraphicFramePr/>
            <a:graphic xmlns:a="http://schemas.openxmlformats.org/drawingml/2006/main">
              <a:graphicData uri="http://schemas.openxmlformats.org/drawingml/2006/picture">
                <pic:pic xmlns:pic="http://schemas.openxmlformats.org/drawingml/2006/picture">
                  <pic:nvPicPr>
                    <pic:cNvPr id="720011" name="Picture 720011"/>
                    <pic:cNvPicPr/>
                  </pic:nvPicPr>
                  <pic:blipFill>
                    <a:blip r:embed="rId1051"/>
                    <a:stretch>
                      <a:fillRect/>
                    </a:stretch>
                  </pic:blipFill>
                  <pic:spPr>
                    <a:xfrm>
                      <a:off x="0" y="0"/>
                      <a:ext cx="877824" cy="411480"/>
                    </a:xfrm>
                    <a:prstGeom prst="rect">
                      <a:avLst/>
                    </a:prstGeom>
                  </pic:spPr>
                </pic:pic>
              </a:graphicData>
            </a:graphic>
          </wp:inline>
        </w:drawing>
      </w:r>
    </w:p>
    <w:p w14:paraId="0268882A" w14:textId="77777777" w:rsidR="00053D93" w:rsidRDefault="00260B75">
      <w:pPr>
        <w:spacing w:after="295" w:line="247" w:lineRule="auto"/>
        <w:ind w:left="1714" w:right="14" w:firstLine="4"/>
        <w:jc w:val="both"/>
      </w:pPr>
      <w:r>
        <w:rPr>
          <w:sz w:val="26"/>
        </w:rPr>
        <w:t>pruebas de descargo el 21 de abril de 2025, otorgando el tiempo que establece [a ley para presentarlas; por lo que, ha tenido el tiempo prudencial para poder recabarlas.</w:t>
      </w:r>
    </w:p>
    <w:p w14:paraId="7F3C59C4" w14:textId="77777777" w:rsidR="00053D93" w:rsidRDefault="00260B75">
      <w:pPr>
        <w:spacing w:after="315" w:line="247" w:lineRule="auto"/>
        <w:ind w:left="1714" w:right="14" w:firstLine="4"/>
        <w:jc w:val="both"/>
      </w:pPr>
      <w:r>
        <w:rPr>
          <w:sz w:val="26"/>
        </w:rPr>
        <w:t>Cabe mencionar que, como máxima autoridad de la Dirección General de Educación Física -DIGEF-, de conformidad con lo establecido en el artículo 29 Bis del Decreto Número 101-97, Ley Orgánica del Presupuesto, tenía la responsabilidad directa de ejecutar el Presupuesto de Ingresos y Egresos asignado a la DIGEF; por lo que, la evaluación efectuada evidencia que, al 31 de diciembre de 2024, únicamente se ejecutó el 36.08% del presupuesto del Programa 04 Actividades comunes a los programas de primaria, básico y diversificado (PRG. 12, 13 y 14), dejando un saldo sin ejecutar de Q260,771 ,368.06, lo cual demuestra un incumplimiento significativo a las obligaciones de ejecución eficiente de los recursos públicos asignados.</w:t>
      </w:r>
    </w:p>
    <w:p w14:paraId="494CC258" w14:textId="77777777" w:rsidR="00053D93" w:rsidRDefault="00260B75">
      <w:pPr>
        <w:spacing w:after="274" w:line="247" w:lineRule="auto"/>
        <w:ind w:left="1714" w:right="14" w:firstLine="4"/>
        <w:jc w:val="both"/>
      </w:pPr>
      <w:r>
        <w:rPr>
          <w:noProof/>
        </w:rPr>
        <mc:AlternateContent>
          <mc:Choice Requires="wpg">
            <w:drawing>
              <wp:anchor distT="0" distB="0" distL="114300" distR="114300" simplePos="0" relativeHeight="252077056" behindDoc="0" locked="0" layoutInCell="1" allowOverlap="1" wp14:anchorId="1D92AEEE" wp14:editId="1F4D94C3">
                <wp:simplePos x="0" y="0"/>
                <wp:positionH relativeFrom="page">
                  <wp:posOffset>1280160</wp:posOffset>
                </wp:positionH>
                <wp:positionV relativeFrom="page">
                  <wp:posOffset>763524</wp:posOffset>
                </wp:positionV>
                <wp:extent cx="5390388" cy="13716"/>
                <wp:effectExtent l="0" t="0" r="0" b="0"/>
                <wp:wrapTopAndBottom/>
                <wp:docPr id="2458575" name="Group 2458575"/>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8574" name="Shape 2458574"/>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575" style="width:424.44pt;height:1.08pt;position:absolute;mso-position-horizontal-relative:page;mso-position-horizontal:absolute;margin-left:100.8pt;mso-position-vertical-relative:page;margin-top:60.12pt;" coordsize="53903,137">
                <v:shape id="Shape 2458574" style="position:absolute;width:53903;height:137;left:0;top:0;" coordsize="5390388,13716" path="m0,6858l5390388,6858">
                  <v:stroke weight="1.08pt" endcap="flat" joinstyle="miter" miterlimit="1" on="true" color="#000000"/>
                  <v:fill on="false" color="#000000"/>
                </v:shape>
                <w10:wrap type="topAndBottom"/>
              </v:group>
            </w:pict>
          </mc:Fallback>
        </mc:AlternateContent>
      </w:r>
      <w:r>
        <w:rPr>
          <w:sz w:val="26"/>
        </w:rPr>
        <w:t xml:space="preserve">Asimismo, la falta de ejecución oportuna a la ampliación presupuestaria autorizada para la DIGEF, que forma parte del monto aprobado para el Ministerio de Educación, mediante el Decreto Número 17-2024, por </w:t>
      </w:r>
      <w:r>
        <w:rPr>
          <w:noProof/>
        </w:rPr>
        <w:drawing>
          <wp:inline distT="0" distB="0" distL="0" distR="0" wp14:anchorId="7E50CE6F" wp14:editId="7D0C711B">
            <wp:extent cx="1060704" cy="132588"/>
            <wp:effectExtent l="0" t="0" r="0" b="0"/>
            <wp:docPr id="723866" name="Picture 723866"/>
            <wp:cNvGraphicFramePr/>
            <a:graphic xmlns:a="http://schemas.openxmlformats.org/drawingml/2006/main">
              <a:graphicData uri="http://schemas.openxmlformats.org/drawingml/2006/picture">
                <pic:pic xmlns:pic="http://schemas.openxmlformats.org/drawingml/2006/picture">
                  <pic:nvPicPr>
                    <pic:cNvPr id="723866" name="Picture 723866"/>
                    <pic:cNvPicPr/>
                  </pic:nvPicPr>
                  <pic:blipFill>
                    <a:blip r:embed="rId1052"/>
                    <a:stretch>
                      <a:fillRect/>
                    </a:stretch>
                  </pic:blipFill>
                  <pic:spPr>
                    <a:xfrm>
                      <a:off x="0" y="0"/>
                      <a:ext cx="1060704" cy="132588"/>
                    </a:xfrm>
                    <a:prstGeom prst="rect">
                      <a:avLst/>
                    </a:prstGeom>
                  </pic:spPr>
                </pic:pic>
              </a:graphicData>
            </a:graphic>
          </wp:inline>
        </w:drawing>
      </w:r>
      <w:r>
        <w:rPr>
          <w:sz w:val="26"/>
        </w:rPr>
        <w:t xml:space="preserve"> destinada para el fortalecimiento de las actividades motrices y deportivas en el ámbito escolar, constituye un incumplimiento significativo a las funciones inherentes a su cargo, por la falta de acciones en la dotación de suministros de implementación didáctico-deportiva y recreacional; demostrando así, una falta de diligencia administrativa que generó efectos negativos directos en el alcance de las metas educativas planificadas para los estudiantes a nivel nacional.</w:t>
      </w:r>
    </w:p>
    <w:p w14:paraId="20C88A67" w14:textId="77777777" w:rsidR="00053D93" w:rsidRDefault="00260B75">
      <w:pPr>
        <w:spacing w:after="322" w:line="247" w:lineRule="auto"/>
        <w:ind w:left="1721" w:right="14" w:firstLine="4"/>
        <w:jc w:val="both"/>
      </w:pPr>
      <w:r>
        <w:rPr>
          <w:sz w:val="26"/>
        </w:rPr>
        <w:t>El hallazgo se notificó con el número 7 y en el presente informe le corresponde el número 6.</w:t>
      </w:r>
    </w:p>
    <w:p w14:paraId="4872627D" w14:textId="77777777" w:rsidR="00053D93" w:rsidRDefault="00260B75">
      <w:pPr>
        <w:spacing w:after="18" w:line="248" w:lineRule="auto"/>
        <w:ind w:left="1709" w:hanging="3"/>
        <w:jc w:val="both"/>
      </w:pPr>
      <w:r>
        <w:rPr>
          <w:sz w:val="28"/>
        </w:rPr>
        <w:t>Acciones legales</w:t>
      </w:r>
    </w:p>
    <w:p w14:paraId="673943C7" w14:textId="77777777" w:rsidR="00053D93" w:rsidRDefault="00260B75">
      <w:pPr>
        <w:spacing w:after="72" w:line="247" w:lineRule="auto"/>
        <w:ind w:left="1721" w:right="14" w:firstLine="4"/>
        <w:jc w:val="both"/>
      </w:pPr>
      <w:r>
        <w:rPr>
          <w:sz w:val="26"/>
        </w:rPr>
        <w:t>Sanción económica de conformidad con el Decreto 31-2002, del Congreso de la República, Ley Orgánica de la Contraloría General de Cuentas, reformada por el Decreto 13-2013; artículo 39, Numeral 26, para:</w:t>
      </w:r>
    </w:p>
    <w:tbl>
      <w:tblPr>
        <w:tblStyle w:val="TableGrid"/>
        <w:tblW w:w="8438" w:type="dxa"/>
        <w:tblInd w:w="1721" w:type="dxa"/>
        <w:tblLook w:val="04A0" w:firstRow="1" w:lastRow="0" w:firstColumn="1" w:lastColumn="0" w:noHBand="0" w:noVBand="1"/>
      </w:tblPr>
      <w:tblGrid>
        <w:gridCol w:w="2642"/>
        <w:gridCol w:w="5796"/>
      </w:tblGrid>
      <w:tr w:rsidR="00053D93" w14:paraId="00A2FF6A" w14:textId="77777777">
        <w:trPr>
          <w:trHeight w:val="157"/>
        </w:trPr>
        <w:tc>
          <w:tcPr>
            <w:tcW w:w="2642" w:type="dxa"/>
            <w:tcBorders>
              <w:top w:val="nil"/>
              <w:left w:val="nil"/>
              <w:bottom w:val="nil"/>
              <w:right w:val="nil"/>
            </w:tcBorders>
          </w:tcPr>
          <w:p w14:paraId="1AEA187D" w14:textId="77777777" w:rsidR="00053D93" w:rsidRDefault="00260B75">
            <w:pPr>
              <w:ind w:left="7"/>
            </w:pPr>
            <w:r>
              <w:rPr>
                <w:sz w:val="16"/>
              </w:rPr>
              <w:t>Cargo</w:t>
            </w:r>
          </w:p>
        </w:tc>
        <w:tc>
          <w:tcPr>
            <w:tcW w:w="5796" w:type="dxa"/>
            <w:tcBorders>
              <w:top w:val="nil"/>
              <w:left w:val="nil"/>
              <w:bottom w:val="nil"/>
              <w:right w:val="nil"/>
            </w:tcBorders>
          </w:tcPr>
          <w:p w14:paraId="21BA3C2B" w14:textId="77777777" w:rsidR="00053D93" w:rsidRDefault="00260B75">
            <w:pPr>
              <w:tabs>
                <w:tab w:val="right" w:pos="5796"/>
              </w:tabs>
            </w:pPr>
            <w:r>
              <w:rPr>
                <w:sz w:val="16"/>
              </w:rPr>
              <w:t>Nombre</w:t>
            </w:r>
            <w:r>
              <w:rPr>
                <w:sz w:val="16"/>
              </w:rPr>
              <w:tab/>
              <w:t>Vafor en Quetzales</w:t>
            </w:r>
          </w:p>
        </w:tc>
      </w:tr>
      <w:tr w:rsidR="00053D93" w14:paraId="7F425B51" w14:textId="77777777">
        <w:trPr>
          <w:trHeight w:val="220"/>
        </w:trPr>
        <w:tc>
          <w:tcPr>
            <w:tcW w:w="2642" w:type="dxa"/>
            <w:tcBorders>
              <w:top w:val="nil"/>
              <w:left w:val="nil"/>
              <w:bottom w:val="nil"/>
              <w:right w:val="nil"/>
            </w:tcBorders>
          </w:tcPr>
          <w:p w14:paraId="082D250E" w14:textId="77777777" w:rsidR="00053D93" w:rsidRDefault="00260B75">
            <w:pPr>
              <w:ind w:left="7"/>
            </w:pPr>
            <w:r>
              <w:rPr>
                <w:sz w:val="18"/>
              </w:rPr>
              <w:t>DIRECTOR GENERAL</w:t>
            </w:r>
          </w:p>
        </w:tc>
        <w:tc>
          <w:tcPr>
            <w:tcW w:w="5796" w:type="dxa"/>
            <w:tcBorders>
              <w:top w:val="nil"/>
              <w:left w:val="nil"/>
              <w:bottom w:val="nil"/>
              <w:right w:val="nil"/>
            </w:tcBorders>
          </w:tcPr>
          <w:p w14:paraId="46F34F9F" w14:textId="77777777" w:rsidR="00053D93" w:rsidRDefault="00260B75">
            <w:pPr>
              <w:tabs>
                <w:tab w:val="right" w:pos="5796"/>
              </w:tabs>
            </w:pPr>
            <w:r>
              <w:rPr>
                <w:sz w:val="16"/>
              </w:rPr>
              <w:t>WLLY RENE GIL QUIÑONEZ</w:t>
            </w:r>
            <w:r>
              <w:rPr>
                <w:sz w:val="16"/>
              </w:rPr>
              <w:tab/>
              <w:t>20,000.oo</w:t>
            </w:r>
          </w:p>
        </w:tc>
      </w:tr>
      <w:tr w:rsidR="00053D93" w14:paraId="13844D01" w14:textId="77777777">
        <w:trPr>
          <w:trHeight w:val="177"/>
        </w:trPr>
        <w:tc>
          <w:tcPr>
            <w:tcW w:w="2642" w:type="dxa"/>
            <w:tcBorders>
              <w:top w:val="nil"/>
              <w:left w:val="nil"/>
              <w:bottom w:val="nil"/>
              <w:right w:val="nil"/>
            </w:tcBorders>
          </w:tcPr>
          <w:p w14:paraId="2FB61EC6" w14:textId="77777777" w:rsidR="00053D93" w:rsidRDefault="00260B75">
            <w:r>
              <w:rPr>
                <w:sz w:val="16"/>
              </w:rPr>
              <w:t>Total</w:t>
            </w:r>
          </w:p>
        </w:tc>
        <w:tc>
          <w:tcPr>
            <w:tcW w:w="5796" w:type="dxa"/>
            <w:tcBorders>
              <w:top w:val="nil"/>
              <w:left w:val="nil"/>
              <w:bottom w:val="nil"/>
              <w:right w:val="nil"/>
            </w:tcBorders>
          </w:tcPr>
          <w:p w14:paraId="78C75E94" w14:textId="77777777" w:rsidR="00053D93" w:rsidRDefault="00260B75">
            <w:pPr>
              <w:jc w:val="right"/>
            </w:pPr>
            <w:r>
              <w:rPr>
                <w:rFonts w:ascii="Courier New" w:eastAsia="Courier New" w:hAnsi="Courier New" w:cs="Courier New"/>
                <w:sz w:val="12"/>
              </w:rPr>
              <w:t>Q. 20.000.00</w:t>
            </w:r>
          </w:p>
        </w:tc>
      </w:tr>
    </w:tbl>
    <w:p w14:paraId="558ACEF1" w14:textId="77777777" w:rsidR="00053D93" w:rsidRDefault="00260B75">
      <w:pPr>
        <w:spacing w:after="299" w:line="248" w:lineRule="auto"/>
        <w:ind w:left="1709" w:hanging="3"/>
        <w:jc w:val="both"/>
      </w:pPr>
      <w:r>
        <w:rPr>
          <w:sz w:val="28"/>
        </w:rPr>
        <w:t>Hallazgo No. 7</w:t>
      </w:r>
    </w:p>
    <w:p w14:paraId="4931DA81" w14:textId="77777777" w:rsidR="00053D93" w:rsidRDefault="00260B75">
      <w:pPr>
        <w:spacing w:after="296" w:line="248" w:lineRule="auto"/>
        <w:ind w:left="1709" w:hanging="3"/>
        <w:jc w:val="both"/>
      </w:pPr>
      <w:r>
        <w:rPr>
          <w:sz w:val="28"/>
        </w:rPr>
        <w:t>Falta de actualización de registros en tarjetas de responsabilidad</w:t>
      </w:r>
    </w:p>
    <w:p w14:paraId="1898505F" w14:textId="77777777" w:rsidR="00053D93" w:rsidRDefault="00260B75">
      <w:pPr>
        <w:spacing w:after="18" w:line="248" w:lineRule="auto"/>
        <w:ind w:left="1709" w:hanging="3"/>
        <w:jc w:val="both"/>
      </w:pPr>
      <w:r>
        <w:rPr>
          <w:sz w:val="28"/>
        </w:rPr>
        <w:t>Condición</w:t>
      </w:r>
    </w:p>
    <w:p w14:paraId="26500742" w14:textId="77777777" w:rsidR="00053D93" w:rsidRDefault="00260B75">
      <w:pPr>
        <w:spacing w:after="17" w:line="247" w:lineRule="auto"/>
        <w:ind w:left="1721" w:right="14" w:firstLine="4"/>
        <w:jc w:val="both"/>
      </w:pPr>
      <w:r>
        <w:rPr>
          <w:sz w:val="26"/>
        </w:rPr>
        <w:t>En el Ministerio de Educación, Unidad Ejecutora 109 Dirección General de</w:t>
      </w:r>
    </w:p>
    <w:tbl>
      <w:tblPr>
        <w:tblStyle w:val="TableGrid"/>
        <w:tblW w:w="9425" w:type="dxa"/>
        <w:tblInd w:w="763" w:type="dxa"/>
        <w:tblLook w:val="04A0" w:firstRow="1" w:lastRow="0" w:firstColumn="1" w:lastColumn="0" w:noHBand="0" w:noVBand="1"/>
      </w:tblPr>
      <w:tblGrid>
        <w:gridCol w:w="1233"/>
        <w:gridCol w:w="8206"/>
      </w:tblGrid>
      <w:tr w:rsidR="00053D93" w14:paraId="371D2A34" w14:textId="77777777">
        <w:trPr>
          <w:trHeight w:val="655"/>
        </w:trPr>
        <w:tc>
          <w:tcPr>
            <w:tcW w:w="1728" w:type="dxa"/>
            <w:tcBorders>
              <w:top w:val="nil"/>
              <w:left w:val="nil"/>
              <w:bottom w:val="nil"/>
              <w:right w:val="nil"/>
            </w:tcBorders>
          </w:tcPr>
          <w:p w14:paraId="67333209" w14:textId="77777777" w:rsidR="00053D93" w:rsidRDefault="00260B75">
            <w:r>
              <w:rPr>
                <w:noProof/>
              </w:rPr>
              <w:drawing>
                <wp:inline distT="0" distB="0" distL="0" distR="0" wp14:anchorId="615C1184" wp14:editId="2418E6C5">
                  <wp:extent cx="1069848" cy="416052"/>
                  <wp:effectExtent l="0" t="0" r="0" b="0"/>
                  <wp:docPr id="723867" name="Picture 723867"/>
                  <wp:cNvGraphicFramePr/>
                  <a:graphic xmlns:a="http://schemas.openxmlformats.org/drawingml/2006/main">
                    <a:graphicData uri="http://schemas.openxmlformats.org/drawingml/2006/picture">
                      <pic:pic xmlns:pic="http://schemas.openxmlformats.org/drawingml/2006/picture">
                        <pic:nvPicPr>
                          <pic:cNvPr id="723867" name="Picture 723867"/>
                          <pic:cNvPicPr/>
                        </pic:nvPicPr>
                        <pic:blipFill>
                          <a:blip r:embed="rId1053"/>
                          <a:stretch>
                            <a:fillRect/>
                          </a:stretch>
                        </pic:blipFill>
                        <pic:spPr>
                          <a:xfrm>
                            <a:off x="0" y="0"/>
                            <a:ext cx="1069848" cy="416052"/>
                          </a:xfrm>
                          <a:prstGeom prst="rect">
                            <a:avLst/>
                          </a:prstGeom>
                        </pic:spPr>
                      </pic:pic>
                    </a:graphicData>
                  </a:graphic>
                </wp:inline>
              </w:drawing>
            </w:r>
          </w:p>
        </w:tc>
        <w:tc>
          <w:tcPr>
            <w:tcW w:w="7697" w:type="dxa"/>
            <w:tcBorders>
              <w:top w:val="nil"/>
              <w:left w:val="nil"/>
              <w:bottom w:val="nil"/>
              <w:right w:val="nil"/>
            </w:tcBorders>
          </w:tcPr>
          <w:p w14:paraId="321372EA" w14:textId="77777777" w:rsidR="00053D93" w:rsidRDefault="00053D93">
            <w:pPr>
              <w:ind w:left="-2808" w:right="10505"/>
            </w:pPr>
          </w:p>
          <w:tbl>
            <w:tblPr>
              <w:tblStyle w:val="TableGrid"/>
              <w:tblW w:w="7654" w:type="dxa"/>
              <w:tblInd w:w="43" w:type="dxa"/>
              <w:tblCellMar>
                <w:top w:w="24" w:type="dxa"/>
                <w:left w:w="1771" w:type="dxa"/>
                <w:right w:w="115" w:type="dxa"/>
              </w:tblCellMar>
              <w:tblLook w:val="04A0" w:firstRow="1" w:lastRow="0" w:firstColumn="1" w:lastColumn="0" w:noHBand="0" w:noVBand="1"/>
            </w:tblPr>
            <w:tblGrid>
              <w:gridCol w:w="7654"/>
            </w:tblGrid>
            <w:tr w:rsidR="00053D93" w14:paraId="50B4B20A" w14:textId="77777777">
              <w:trPr>
                <w:trHeight w:val="41"/>
              </w:trPr>
              <w:tc>
                <w:tcPr>
                  <w:tcW w:w="7654" w:type="dxa"/>
                  <w:tcBorders>
                    <w:top w:val="nil"/>
                    <w:left w:val="single" w:sz="2" w:space="0" w:color="000000"/>
                    <w:bottom w:val="single" w:sz="2" w:space="0" w:color="000000"/>
                    <w:right w:val="nil"/>
                  </w:tcBorders>
                </w:tcPr>
                <w:p w14:paraId="2F2C4736" w14:textId="77777777" w:rsidR="00053D93" w:rsidRDefault="00053D93"/>
              </w:tc>
            </w:tr>
            <w:tr w:rsidR="00053D93" w14:paraId="63804CED" w14:textId="77777777">
              <w:trPr>
                <w:trHeight w:val="608"/>
              </w:trPr>
              <w:tc>
                <w:tcPr>
                  <w:tcW w:w="7654" w:type="dxa"/>
                  <w:tcBorders>
                    <w:top w:val="single" w:sz="2" w:space="0" w:color="000000"/>
                    <w:left w:val="single" w:sz="2" w:space="0" w:color="000000"/>
                    <w:bottom w:val="nil"/>
                    <w:right w:val="nil"/>
                  </w:tcBorders>
                </w:tcPr>
                <w:p w14:paraId="3F1F1827" w14:textId="77777777" w:rsidR="00053D93" w:rsidRDefault="00260B75">
                  <w:pPr>
                    <w:ind w:left="835"/>
                  </w:pPr>
                  <w:r>
                    <w:rPr>
                      <w:sz w:val="14"/>
                    </w:rPr>
                    <w:t>MINISTERIO DE EDUCACION</w:t>
                  </w:r>
                </w:p>
                <w:p w14:paraId="26EE66F0" w14:textId="77777777" w:rsidR="00053D93" w:rsidRDefault="00260B75">
                  <w:pPr>
                    <w:ind w:left="346"/>
                  </w:pPr>
                  <w:r>
                    <w:rPr>
                      <w:sz w:val="14"/>
                    </w:rPr>
                    <w:t>AuDlTORiA FINANCIERA Y DE CUMPLIMIENTO</w:t>
                  </w:r>
                </w:p>
                <w:p w14:paraId="22EFC5B4" w14:textId="77777777" w:rsidR="00053D93" w:rsidRDefault="00260B75">
                  <w:r>
                    <w:rPr>
                      <w:sz w:val="14"/>
                    </w:rPr>
                    <w:t>PERIODO DEL 01 DE ENERO AL 31 DE DICIEMBRE DE 2024</w:t>
                  </w:r>
                </w:p>
              </w:tc>
            </w:tr>
          </w:tbl>
          <w:p w14:paraId="4C140553" w14:textId="77777777" w:rsidR="00053D93" w:rsidRDefault="00053D93"/>
        </w:tc>
      </w:tr>
    </w:tbl>
    <w:p w14:paraId="74E8D9B0" w14:textId="77777777" w:rsidR="00053D93" w:rsidRDefault="00260B75">
      <w:pPr>
        <w:spacing w:after="256" w:line="247" w:lineRule="auto"/>
        <w:ind w:left="1685" w:right="14" w:firstLine="4"/>
        <w:jc w:val="both"/>
      </w:pPr>
      <w:r>
        <w:rPr>
          <w:sz w:val="26"/>
        </w:rPr>
        <w:t xml:space="preserve">Educación Física -DIGEF-, cuenta contable 1232 Maquinaria y equipo, Subcuenta 1232.03 De oficina y muebles, 1232.05 Educacional, cultural y recreativo y 1232.06 De transporte, tracción y elevación, al evaluar las tarjetas de responsabilidad de los bienes inventariados de la DIGEF, según muestra de auditoría; se determinó que, no se descargaron los bienes registrados en las tarjetas de responsabilidad de dos exempleados de la DIGEF, tal como lo indica la normativa legal vigente, que al 31 de diciembre de 2024, aún presentan un saldo en sus tarjetas de responsabilidad por la cantidad de Q1 </w:t>
      </w:r>
      <w:r>
        <w:rPr>
          <w:noProof/>
        </w:rPr>
        <w:drawing>
          <wp:inline distT="0" distB="0" distL="0" distR="0" wp14:anchorId="6A59EA08" wp14:editId="16742647">
            <wp:extent cx="758952" cy="132588"/>
            <wp:effectExtent l="0" t="0" r="0" b="0"/>
            <wp:docPr id="729456" name="Picture 729456"/>
            <wp:cNvGraphicFramePr/>
            <a:graphic xmlns:a="http://schemas.openxmlformats.org/drawingml/2006/main">
              <a:graphicData uri="http://schemas.openxmlformats.org/drawingml/2006/picture">
                <pic:pic xmlns:pic="http://schemas.openxmlformats.org/drawingml/2006/picture">
                  <pic:nvPicPr>
                    <pic:cNvPr id="729456" name="Picture 729456"/>
                    <pic:cNvPicPr/>
                  </pic:nvPicPr>
                  <pic:blipFill>
                    <a:blip r:embed="rId1054"/>
                    <a:stretch>
                      <a:fillRect/>
                    </a:stretch>
                  </pic:blipFill>
                  <pic:spPr>
                    <a:xfrm>
                      <a:off x="0" y="0"/>
                      <a:ext cx="758952" cy="132588"/>
                    </a:xfrm>
                    <a:prstGeom prst="rect">
                      <a:avLst/>
                    </a:prstGeom>
                  </pic:spPr>
                </pic:pic>
              </a:graphicData>
            </a:graphic>
          </wp:inline>
        </w:drawing>
      </w:r>
      <w:r>
        <w:rPr>
          <w:sz w:val="26"/>
        </w:rPr>
        <w:t xml:space="preserve"> los cuates se detallan a continuación:</w:t>
      </w:r>
    </w:p>
    <w:p w14:paraId="23F43C1C" w14:textId="77777777" w:rsidR="00053D93" w:rsidRDefault="00260B75">
      <w:pPr>
        <w:spacing w:after="4" w:line="253" w:lineRule="auto"/>
        <w:ind w:left="1730" w:right="79" w:hanging="10"/>
        <w:jc w:val="center"/>
      </w:pPr>
      <w:r>
        <w:rPr>
          <w:sz w:val="26"/>
        </w:rPr>
        <w:t>Exempleados de la Dirección General de Educación Física -DIGEF- con saldos en Tarjetas de Responsabilidad de Bienes Inventariados Al 31 de diciembre de 2024</w:t>
      </w:r>
    </w:p>
    <w:p w14:paraId="6BB2CBB8" w14:textId="77777777" w:rsidR="00053D93" w:rsidRDefault="00260B75">
      <w:pPr>
        <w:spacing w:after="4" w:line="253" w:lineRule="auto"/>
        <w:ind w:left="1730" w:right="79" w:hanging="10"/>
        <w:jc w:val="center"/>
      </w:pPr>
      <w:r>
        <w:rPr>
          <w:noProof/>
        </w:rPr>
        <mc:AlternateContent>
          <mc:Choice Requires="wpg">
            <w:drawing>
              <wp:anchor distT="0" distB="0" distL="114300" distR="114300" simplePos="0" relativeHeight="252078080" behindDoc="0" locked="0" layoutInCell="1" allowOverlap="1" wp14:anchorId="00ED1E74" wp14:editId="23B60582">
                <wp:simplePos x="0" y="0"/>
                <wp:positionH relativeFrom="page">
                  <wp:posOffset>1257300</wp:posOffset>
                </wp:positionH>
                <wp:positionV relativeFrom="page">
                  <wp:posOffset>758952</wp:posOffset>
                </wp:positionV>
                <wp:extent cx="5390388" cy="13716"/>
                <wp:effectExtent l="0" t="0" r="0" b="0"/>
                <wp:wrapTopAndBottom/>
                <wp:docPr id="2458579" name="Group 2458579"/>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8578" name="Shape 2458578"/>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579" style="width:424.44pt;height:1.08pt;position:absolute;mso-position-horizontal-relative:page;mso-position-horizontal:absolute;margin-left:99pt;mso-position-vertical-relative:page;margin-top:59.76pt;" coordsize="53903,137">
                <v:shape id="Shape 2458578" style="position:absolute;width:53903;height:137;left:0;top:0;" coordsize="5390388,13716" path="m0,6858l5390388,6858">
                  <v:stroke weight="1.08pt" endcap="flat" joinstyle="miter" miterlimit="1" on="true" color="#000000"/>
                  <v:fill on="false" color="#000000"/>
                </v:shape>
                <w10:wrap type="topAndBottom"/>
              </v:group>
            </w:pict>
          </mc:Fallback>
        </mc:AlternateContent>
      </w:r>
      <w:r>
        <w:rPr>
          <w:sz w:val="26"/>
        </w:rPr>
        <w:t>(Cifras Expresadas en Quetzales)</w:t>
      </w:r>
    </w:p>
    <w:tbl>
      <w:tblPr>
        <w:tblStyle w:val="TableGrid"/>
        <w:tblW w:w="8395" w:type="dxa"/>
        <w:tblInd w:w="1699" w:type="dxa"/>
        <w:tblCellMar>
          <w:top w:w="21" w:type="dxa"/>
          <w:left w:w="72" w:type="dxa"/>
          <w:bottom w:w="12" w:type="dxa"/>
        </w:tblCellMar>
        <w:tblLook w:val="04A0" w:firstRow="1" w:lastRow="0" w:firstColumn="1" w:lastColumn="0" w:noHBand="0" w:noVBand="1"/>
      </w:tblPr>
      <w:tblGrid>
        <w:gridCol w:w="583"/>
        <w:gridCol w:w="1030"/>
        <w:gridCol w:w="1714"/>
        <w:gridCol w:w="1706"/>
        <w:gridCol w:w="1725"/>
        <w:gridCol w:w="1637"/>
      </w:tblGrid>
      <w:tr w:rsidR="00053D93" w14:paraId="15F78D83" w14:textId="77777777">
        <w:trPr>
          <w:trHeight w:val="446"/>
        </w:trPr>
        <w:tc>
          <w:tcPr>
            <w:tcW w:w="583" w:type="dxa"/>
            <w:tcBorders>
              <w:top w:val="single" w:sz="2" w:space="0" w:color="000000"/>
              <w:left w:val="single" w:sz="2" w:space="0" w:color="000000"/>
              <w:bottom w:val="single" w:sz="2" w:space="0" w:color="000000"/>
              <w:right w:val="single" w:sz="2" w:space="0" w:color="000000"/>
            </w:tcBorders>
          </w:tcPr>
          <w:p w14:paraId="453E51F9" w14:textId="77777777" w:rsidR="00053D93" w:rsidRDefault="00260B75">
            <w:pPr>
              <w:ind w:right="72"/>
              <w:jc w:val="center"/>
            </w:pPr>
            <w:r>
              <w:rPr>
                <w:sz w:val="18"/>
              </w:rPr>
              <w:t>No.</w:t>
            </w:r>
          </w:p>
        </w:tc>
        <w:tc>
          <w:tcPr>
            <w:tcW w:w="1030" w:type="dxa"/>
            <w:tcBorders>
              <w:top w:val="single" w:sz="2" w:space="0" w:color="000000"/>
              <w:left w:val="single" w:sz="2" w:space="0" w:color="000000"/>
              <w:bottom w:val="single" w:sz="2" w:space="0" w:color="000000"/>
              <w:right w:val="single" w:sz="2" w:space="0" w:color="000000"/>
            </w:tcBorders>
          </w:tcPr>
          <w:p w14:paraId="02DB8851" w14:textId="77777777" w:rsidR="00053D93" w:rsidRDefault="00260B75">
            <w:pPr>
              <w:ind w:right="65"/>
              <w:jc w:val="center"/>
            </w:pPr>
            <w:r>
              <w:rPr>
                <w:sz w:val="18"/>
              </w:rPr>
              <w:t>Código</w:t>
            </w:r>
          </w:p>
        </w:tc>
        <w:tc>
          <w:tcPr>
            <w:tcW w:w="1714" w:type="dxa"/>
            <w:tcBorders>
              <w:top w:val="single" w:sz="2" w:space="0" w:color="000000"/>
              <w:left w:val="single" w:sz="2" w:space="0" w:color="000000"/>
              <w:bottom w:val="single" w:sz="2" w:space="0" w:color="000000"/>
              <w:right w:val="single" w:sz="2" w:space="0" w:color="000000"/>
            </w:tcBorders>
          </w:tcPr>
          <w:p w14:paraId="3B092A26" w14:textId="77777777" w:rsidR="00053D93" w:rsidRDefault="00260B75">
            <w:pPr>
              <w:ind w:right="65"/>
              <w:jc w:val="center"/>
            </w:pPr>
            <w:r>
              <w:rPr>
                <w:sz w:val="18"/>
              </w:rPr>
              <w:t>Puesto nominal</w:t>
            </w:r>
          </w:p>
        </w:tc>
        <w:tc>
          <w:tcPr>
            <w:tcW w:w="1706" w:type="dxa"/>
            <w:tcBorders>
              <w:top w:val="single" w:sz="2" w:space="0" w:color="000000"/>
              <w:left w:val="single" w:sz="2" w:space="0" w:color="000000"/>
              <w:bottom w:val="single" w:sz="2" w:space="0" w:color="000000"/>
              <w:right w:val="single" w:sz="2" w:space="0" w:color="000000"/>
            </w:tcBorders>
          </w:tcPr>
          <w:p w14:paraId="69A2B96A" w14:textId="77777777" w:rsidR="00053D93" w:rsidRDefault="00260B75">
            <w:pPr>
              <w:ind w:right="72"/>
              <w:jc w:val="center"/>
            </w:pPr>
            <w:r>
              <w:rPr>
                <w:sz w:val="18"/>
              </w:rPr>
              <w:t>Período laborado</w:t>
            </w:r>
          </w:p>
        </w:tc>
        <w:tc>
          <w:tcPr>
            <w:tcW w:w="1725" w:type="dxa"/>
            <w:tcBorders>
              <w:top w:val="single" w:sz="2" w:space="0" w:color="000000"/>
              <w:left w:val="single" w:sz="2" w:space="0" w:color="000000"/>
              <w:bottom w:val="single" w:sz="2" w:space="0" w:color="000000"/>
              <w:right w:val="single" w:sz="2" w:space="0" w:color="000000"/>
            </w:tcBorders>
          </w:tcPr>
          <w:p w14:paraId="22AFFE89" w14:textId="77777777" w:rsidR="00053D93" w:rsidRDefault="00260B75">
            <w:pPr>
              <w:jc w:val="center"/>
            </w:pPr>
            <w:r>
              <w:rPr>
                <w:sz w:val="18"/>
              </w:rPr>
              <w:t>No. De Tarjetas de Responsabilidad</w:t>
            </w:r>
          </w:p>
        </w:tc>
        <w:tc>
          <w:tcPr>
            <w:tcW w:w="1637" w:type="dxa"/>
            <w:tcBorders>
              <w:top w:val="single" w:sz="2" w:space="0" w:color="000000"/>
              <w:left w:val="single" w:sz="2" w:space="0" w:color="000000"/>
              <w:bottom w:val="single" w:sz="2" w:space="0" w:color="000000"/>
              <w:right w:val="single" w:sz="2" w:space="0" w:color="000000"/>
            </w:tcBorders>
          </w:tcPr>
          <w:p w14:paraId="54C49E3E" w14:textId="77777777" w:rsidR="00053D93" w:rsidRDefault="00260B75">
            <w:pPr>
              <w:ind w:right="76"/>
              <w:jc w:val="center"/>
            </w:pPr>
            <w:r>
              <w:rPr>
                <w:sz w:val="20"/>
              </w:rPr>
              <w:t>Saldo</w:t>
            </w:r>
          </w:p>
        </w:tc>
      </w:tr>
      <w:tr w:rsidR="00053D93" w14:paraId="75A1F8F3" w14:textId="77777777">
        <w:trPr>
          <w:trHeight w:val="425"/>
        </w:trPr>
        <w:tc>
          <w:tcPr>
            <w:tcW w:w="583" w:type="dxa"/>
            <w:tcBorders>
              <w:top w:val="single" w:sz="2" w:space="0" w:color="000000"/>
              <w:left w:val="single" w:sz="2" w:space="0" w:color="000000"/>
              <w:bottom w:val="single" w:sz="2" w:space="0" w:color="000000"/>
              <w:right w:val="single" w:sz="2" w:space="0" w:color="000000"/>
            </w:tcBorders>
          </w:tcPr>
          <w:p w14:paraId="54FC9E06" w14:textId="77777777" w:rsidR="00053D93" w:rsidRDefault="00053D93"/>
        </w:tc>
        <w:tc>
          <w:tcPr>
            <w:tcW w:w="1030" w:type="dxa"/>
            <w:tcBorders>
              <w:top w:val="single" w:sz="2" w:space="0" w:color="000000"/>
              <w:left w:val="single" w:sz="2" w:space="0" w:color="000000"/>
              <w:bottom w:val="single" w:sz="2" w:space="0" w:color="000000"/>
              <w:right w:val="single" w:sz="2" w:space="0" w:color="000000"/>
            </w:tcBorders>
          </w:tcPr>
          <w:p w14:paraId="7A47384C" w14:textId="77777777" w:rsidR="00053D93" w:rsidRDefault="00260B75">
            <w:pPr>
              <w:ind w:left="14"/>
            </w:pPr>
            <w:r>
              <w:rPr>
                <w:rFonts w:ascii="Times New Roman" w:eastAsia="Times New Roman" w:hAnsi="Times New Roman" w:cs="Times New Roman"/>
                <w:sz w:val="16"/>
              </w:rPr>
              <w:t>990099480</w:t>
            </w:r>
          </w:p>
        </w:tc>
        <w:tc>
          <w:tcPr>
            <w:tcW w:w="1714" w:type="dxa"/>
            <w:tcBorders>
              <w:top w:val="single" w:sz="2" w:space="0" w:color="000000"/>
              <w:left w:val="single" w:sz="2" w:space="0" w:color="000000"/>
              <w:bottom w:val="single" w:sz="2" w:space="0" w:color="000000"/>
              <w:right w:val="single" w:sz="2" w:space="0" w:color="000000"/>
            </w:tcBorders>
          </w:tcPr>
          <w:p w14:paraId="1947BFEF" w14:textId="77777777" w:rsidR="00053D93" w:rsidRDefault="00260B75">
            <w:pPr>
              <w:ind w:left="14" w:hanging="14"/>
            </w:pPr>
            <w:r>
              <w:rPr>
                <w:sz w:val="18"/>
              </w:rPr>
              <w:t>Asistente Profesional IV</w:t>
            </w:r>
          </w:p>
        </w:tc>
        <w:tc>
          <w:tcPr>
            <w:tcW w:w="1706" w:type="dxa"/>
            <w:tcBorders>
              <w:top w:val="single" w:sz="2" w:space="0" w:color="000000"/>
              <w:left w:val="single" w:sz="2" w:space="0" w:color="000000"/>
              <w:bottom w:val="single" w:sz="2" w:space="0" w:color="000000"/>
              <w:right w:val="single" w:sz="2" w:space="0" w:color="000000"/>
            </w:tcBorders>
          </w:tcPr>
          <w:p w14:paraId="709B0545" w14:textId="77777777" w:rsidR="00053D93" w:rsidRDefault="00260B75">
            <w:pPr>
              <w:ind w:left="14" w:hanging="7"/>
            </w:pPr>
            <w:r>
              <w:rPr>
                <w:sz w:val="16"/>
              </w:rPr>
              <w:t xml:space="preserve">Del 02/01/2008 </w:t>
            </w:r>
            <w:r>
              <w:rPr>
                <w:rFonts w:ascii="Times New Roman" w:eastAsia="Times New Roman" w:hAnsi="Times New Roman" w:cs="Times New Roman"/>
                <w:sz w:val="16"/>
              </w:rPr>
              <w:t>01/04/2024</w:t>
            </w:r>
          </w:p>
        </w:tc>
        <w:tc>
          <w:tcPr>
            <w:tcW w:w="1725" w:type="dxa"/>
            <w:tcBorders>
              <w:top w:val="single" w:sz="2" w:space="0" w:color="000000"/>
              <w:left w:val="single" w:sz="2" w:space="0" w:color="000000"/>
              <w:bottom w:val="single" w:sz="2" w:space="0" w:color="000000"/>
              <w:right w:val="single" w:sz="2" w:space="0" w:color="000000"/>
            </w:tcBorders>
          </w:tcPr>
          <w:p w14:paraId="062612EB" w14:textId="77777777" w:rsidR="00053D93" w:rsidRDefault="00260B75">
            <w:pPr>
              <w:ind w:left="22"/>
            </w:pPr>
            <w:r>
              <w:rPr>
                <w:rFonts w:ascii="Times New Roman" w:eastAsia="Times New Roman" w:hAnsi="Times New Roman" w:cs="Times New Roman"/>
                <w:sz w:val="16"/>
              </w:rPr>
              <w:t>003660</w:t>
            </w:r>
          </w:p>
        </w:tc>
        <w:tc>
          <w:tcPr>
            <w:tcW w:w="1637" w:type="dxa"/>
            <w:tcBorders>
              <w:top w:val="single" w:sz="2" w:space="0" w:color="000000"/>
              <w:left w:val="single" w:sz="2" w:space="0" w:color="000000"/>
              <w:bottom w:val="single" w:sz="2" w:space="0" w:color="000000"/>
              <w:right w:val="single" w:sz="2" w:space="0" w:color="000000"/>
            </w:tcBorders>
            <w:vAlign w:val="bottom"/>
          </w:tcPr>
          <w:p w14:paraId="7DB075BE" w14:textId="77777777" w:rsidR="00053D93" w:rsidRDefault="00260B75">
            <w:pPr>
              <w:ind w:right="86"/>
              <w:jc w:val="right"/>
            </w:pPr>
            <w:r>
              <w:rPr>
                <w:rFonts w:ascii="Times New Roman" w:eastAsia="Times New Roman" w:hAnsi="Times New Roman" w:cs="Times New Roman"/>
                <w:sz w:val="18"/>
              </w:rPr>
              <w:t>559,641.65</w:t>
            </w:r>
          </w:p>
        </w:tc>
      </w:tr>
      <w:tr w:rsidR="00053D93" w14:paraId="45B283D4" w14:textId="77777777">
        <w:trPr>
          <w:trHeight w:val="860"/>
        </w:trPr>
        <w:tc>
          <w:tcPr>
            <w:tcW w:w="583" w:type="dxa"/>
            <w:tcBorders>
              <w:top w:val="single" w:sz="2" w:space="0" w:color="000000"/>
              <w:left w:val="single" w:sz="2" w:space="0" w:color="000000"/>
              <w:bottom w:val="single" w:sz="2" w:space="0" w:color="000000"/>
              <w:right w:val="single" w:sz="2" w:space="0" w:color="000000"/>
            </w:tcBorders>
          </w:tcPr>
          <w:p w14:paraId="61D87717" w14:textId="77777777" w:rsidR="00053D93" w:rsidRDefault="00260B75">
            <w:r>
              <w:rPr>
                <w:rFonts w:ascii="Times New Roman" w:eastAsia="Times New Roman" w:hAnsi="Times New Roman" w:cs="Times New Roman"/>
                <w:sz w:val="14"/>
              </w:rPr>
              <w:t>2</w:t>
            </w:r>
          </w:p>
        </w:tc>
        <w:tc>
          <w:tcPr>
            <w:tcW w:w="1030" w:type="dxa"/>
            <w:tcBorders>
              <w:top w:val="single" w:sz="2" w:space="0" w:color="000000"/>
              <w:left w:val="single" w:sz="2" w:space="0" w:color="000000"/>
              <w:bottom w:val="single" w:sz="2" w:space="0" w:color="000000"/>
              <w:right w:val="single" w:sz="2" w:space="0" w:color="000000"/>
            </w:tcBorders>
          </w:tcPr>
          <w:p w14:paraId="485D8E16" w14:textId="77777777" w:rsidR="00053D93" w:rsidRDefault="00260B75">
            <w:pPr>
              <w:ind w:left="14"/>
            </w:pPr>
            <w:r>
              <w:rPr>
                <w:rFonts w:ascii="Times New Roman" w:eastAsia="Times New Roman" w:hAnsi="Times New Roman" w:cs="Times New Roman"/>
                <w:sz w:val="18"/>
              </w:rPr>
              <w:t>990039793</w:t>
            </w:r>
          </w:p>
        </w:tc>
        <w:tc>
          <w:tcPr>
            <w:tcW w:w="1714" w:type="dxa"/>
            <w:tcBorders>
              <w:top w:val="single" w:sz="2" w:space="0" w:color="000000"/>
              <w:left w:val="single" w:sz="2" w:space="0" w:color="000000"/>
              <w:bottom w:val="single" w:sz="2" w:space="0" w:color="000000"/>
              <w:right w:val="single" w:sz="2" w:space="0" w:color="000000"/>
            </w:tcBorders>
          </w:tcPr>
          <w:p w14:paraId="4820CEF0" w14:textId="77777777" w:rsidR="00053D93" w:rsidRDefault="00260B75">
            <w:pPr>
              <w:ind w:left="14"/>
            </w:pPr>
            <w:r>
              <w:rPr>
                <w:sz w:val="20"/>
              </w:rPr>
              <w:t>Catedrático</w:t>
            </w:r>
          </w:p>
          <w:p w14:paraId="2DAFAB13" w14:textId="77777777" w:rsidR="00053D93" w:rsidRDefault="00260B75">
            <w:pPr>
              <w:ind w:left="14"/>
            </w:pPr>
            <w:r>
              <w:rPr>
                <w:sz w:val="18"/>
              </w:rPr>
              <w:t>Especializado T.C.</w:t>
            </w:r>
          </w:p>
        </w:tc>
        <w:tc>
          <w:tcPr>
            <w:tcW w:w="1706" w:type="dxa"/>
            <w:tcBorders>
              <w:top w:val="single" w:sz="2" w:space="0" w:color="000000"/>
              <w:left w:val="single" w:sz="2" w:space="0" w:color="000000"/>
              <w:bottom w:val="single" w:sz="2" w:space="0" w:color="000000"/>
              <w:right w:val="single" w:sz="2" w:space="0" w:color="000000"/>
            </w:tcBorders>
          </w:tcPr>
          <w:p w14:paraId="4742C23B" w14:textId="77777777" w:rsidR="00053D93" w:rsidRDefault="00260B75">
            <w:pPr>
              <w:ind w:left="14"/>
            </w:pPr>
            <w:r>
              <w:rPr>
                <w:sz w:val="16"/>
              </w:rPr>
              <w:t xml:space="preserve">Del 02/01/2013 </w:t>
            </w:r>
            <w:r>
              <w:rPr>
                <w:rFonts w:ascii="Times New Roman" w:eastAsia="Times New Roman" w:hAnsi="Times New Roman" w:cs="Times New Roman"/>
                <w:sz w:val="16"/>
              </w:rPr>
              <w:t>01106/2019</w:t>
            </w:r>
          </w:p>
        </w:tc>
        <w:tc>
          <w:tcPr>
            <w:tcW w:w="1725" w:type="dxa"/>
            <w:tcBorders>
              <w:top w:val="single" w:sz="2" w:space="0" w:color="000000"/>
              <w:left w:val="single" w:sz="2" w:space="0" w:color="000000"/>
              <w:bottom w:val="single" w:sz="2" w:space="0" w:color="000000"/>
              <w:right w:val="single" w:sz="2" w:space="0" w:color="000000"/>
            </w:tcBorders>
          </w:tcPr>
          <w:p w14:paraId="67223277" w14:textId="77777777" w:rsidR="00053D93" w:rsidRDefault="00260B75">
            <w:pPr>
              <w:tabs>
                <w:tab w:val="right" w:pos="1653"/>
              </w:tabs>
              <w:spacing w:after="30"/>
            </w:pPr>
            <w:r>
              <w:rPr>
                <w:rFonts w:ascii="Times New Roman" w:eastAsia="Times New Roman" w:hAnsi="Times New Roman" w:cs="Times New Roman"/>
                <w:sz w:val="18"/>
              </w:rPr>
              <w:t>002865;</w:t>
            </w:r>
            <w:r>
              <w:rPr>
                <w:rFonts w:ascii="Times New Roman" w:eastAsia="Times New Roman" w:hAnsi="Times New Roman" w:cs="Times New Roman"/>
                <w:sz w:val="18"/>
              </w:rPr>
              <w:tab/>
              <w:t>002866;</w:t>
            </w:r>
          </w:p>
          <w:p w14:paraId="25F6E1B0" w14:textId="77777777" w:rsidR="00053D93" w:rsidRDefault="00260B75">
            <w:pPr>
              <w:tabs>
                <w:tab w:val="right" w:pos="1653"/>
              </w:tabs>
              <w:spacing w:after="39"/>
            </w:pPr>
            <w:r>
              <w:rPr>
                <w:rFonts w:ascii="Times New Roman" w:eastAsia="Times New Roman" w:hAnsi="Times New Roman" w:cs="Times New Roman"/>
                <w:sz w:val="18"/>
              </w:rPr>
              <w:t>002867;</w:t>
            </w:r>
            <w:r>
              <w:rPr>
                <w:rFonts w:ascii="Times New Roman" w:eastAsia="Times New Roman" w:hAnsi="Times New Roman" w:cs="Times New Roman"/>
                <w:sz w:val="18"/>
              </w:rPr>
              <w:tab/>
              <w:t>002868;</w:t>
            </w:r>
          </w:p>
          <w:p w14:paraId="0B3CEA58" w14:textId="77777777" w:rsidR="00053D93" w:rsidRDefault="00260B75">
            <w:pPr>
              <w:ind w:left="14"/>
            </w:pPr>
            <w:r>
              <w:rPr>
                <w:rFonts w:ascii="Times New Roman" w:eastAsia="Times New Roman" w:hAnsi="Times New Roman" w:cs="Times New Roman"/>
                <w:sz w:val="18"/>
              </w:rPr>
              <w:t>002869; 002887 Y</w:t>
            </w:r>
          </w:p>
          <w:p w14:paraId="3AF6D76F" w14:textId="77777777" w:rsidR="00053D93" w:rsidRDefault="00260B75">
            <w:pPr>
              <w:ind w:left="14"/>
            </w:pPr>
            <w:r>
              <w:rPr>
                <w:rFonts w:ascii="Times New Roman" w:eastAsia="Times New Roman" w:hAnsi="Times New Roman" w:cs="Times New Roman"/>
                <w:sz w:val="18"/>
              </w:rPr>
              <w:t>003517</w:t>
            </w:r>
          </w:p>
        </w:tc>
        <w:tc>
          <w:tcPr>
            <w:tcW w:w="1637" w:type="dxa"/>
            <w:tcBorders>
              <w:top w:val="single" w:sz="2" w:space="0" w:color="000000"/>
              <w:left w:val="single" w:sz="2" w:space="0" w:color="000000"/>
              <w:bottom w:val="single" w:sz="2" w:space="0" w:color="000000"/>
              <w:right w:val="single" w:sz="2" w:space="0" w:color="000000"/>
            </w:tcBorders>
          </w:tcPr>
          <w:p w14:paraId="2AB39045" w14:textId="77777777" w:rsidR="00053D93" w:rsidRDefault="00053D93"/>
        </w:tc>
      </w:tr>
      <w:tr w:rsidR="00053D93" w14:paraId="078BDD24" w14:textId="77777777">
        <w:trPr>
          <w:trHeight w:val="189"/>
        </w:trPr>
        <w:tc>
          <w:tcPr>
            <w:tcW w:w="583" w:type="dxa"/>
            <w:tcBorders>
              <w:top w:val="single" w:sz="2" w:space="0" w:color="000000"/>
              <w:left w:val="single" w:sz="2" w:space="0" w:color="000000"/>
              <w:bottom w:val="single" w:sz="2" w:space="0" w:color="000000"/>
              <w:right w:val="nil"/>
            </w:tcBorders>
          </w:tcPr>
          <w:p w14:paraId="6C7830E8" w14:textId="77777777" w:rsidR="00053D93" w:rsidRDefault="00260B75">
            <w:r>
              <w:rPr>
                <w:sz w:val="16"/>
              </w:rPr>
              <w:t>Total</w:t>
            </w:r>
          </w:p>
        </w:tc>
        <w:tc>
          <w:tcPr>
            <w:tcW w:w="1030" w:type="dxa"/>
            <w:tcBorders>
              <w:top w:val="single" w:sz="2" w:space="0" w:color="000000"/>
              <w:left w:val="nil"/>
              <w:bottom w:val="single" w:sz="2" w:space="0" w:color="000000"/>
              <w:right w:val="nil"/>
            </w:tcBorders>
          </w:tcPr>
          <w:p w14:paraId="59F92CC4" w14:textId="77777777" w:rsidR="00053D93" w:rsidRDefault="00053D93"/>
        </w:tc>
        <w:tc>
          <w:tcPr>
            <w:tcW w:w="5145" w:type="dxa"/>
            <w:gridSpan w:val="3"/>
            <w:tcBorders>
              <w:top w:val="single" w:sz="2" w:space="0" w:color="000000"/>
              <w:left w:val="nil"/>
              <w:bottom w:val="single" w:sz="2" w:space="0" w:color="000000"/>
              <w:right w:val="single" w:sz="2" w:space="0" w:color="000000"/>
            </w:tcBorders>
          </w:tcPr>
          <w:p w14:paraId="4737380A" w14:textId="77777777" w:rsidR="00053D93" w:rsidRDefault="00053D93"/>
        </w:tc>
        <w:tc>
          <w:tcPr>
            <w:tcW w:w="1637" w:type="dxa"/>
            <w:tcBorders>
              <w:top w:val="single" w:sz="2" w:space="0" w:color="000000"/>
              <w:left w:val="single" w:sz="2" w:space="0" w:color="000000"/>
              <w:bottom w:val="single" w:sz="2" w:space="0" w:color="000000"/>
              <w:right w:val="single" w:sz="2" w:space="0" w:color="000000"/>
            </w:tcBorders>
          </w:tcPr>
          <w:p w14:paraId="2C6DB37F" w14:textId="77777777" w:rsidR="00053D93" w:rsidRDefault="00053D93"/>
        </w:tc>
      </w:tr>
    </w:tbl>
    <w:p w14:paraId="1BAF64EE" w14:textId="77777777" w:rsidR="00053D93" w:rsidRDefault="00260B75">
      <w:pPr>
        <w:spacing w:after="309" w:line="340" w:lineRule="auto"/>
        <w:ind w:left="1709" w:hanging="10"/>
      </w:pPr>
      <w:r>
        <w:rPr>
          <w:sz w:val="18"/>
        </w:rPr>
        <w:t>Fuente: Oficio No. RRHH-008-2025 del 17 de enero de 2025 y Oficio No. RRHH-016-2025 del 27 de enero de 2025, emitidos por el Coordinador de Recursos Humanos de la DIGEF y Tarjetas de Responsabilidad de Bienes inventariados.</w:t>
      </w:r>
    </w:p>
    <w:p w14:paraId="32BFB070" w14:textId="77777777" w:rsidR="00053D93" w:rsidRDefault="00260B75">
      <w:pPr>
        <w:spacing w:after="293" w:line="247" w:lineRule="auto"/>
        <w:ind w:left="1692" w:right="14" w:firstLine="4"/>
        <w:jc w:val="both"/>
      </w:pPr>
      <w:r>
        <w:rPr>
          <w:sz w:val="26"/>
        </w:rPr>
        <w:t>A continuación, se amplía el detalle de los saldos reflejados en el cuadro anterior:</w:t>
      </w:r>
    </w:p>
    <w:p w14:paraId="7EE09871" w14:textId="77777777" w:rsidR="00053D93" w:rsidRDefault="00260B75">
      <w:pPr>
        <w:spacing w:after="17" w:line="247" w:lineRule="auto"/>
        <w:ind w:left="3211" w:right="79" w:hanging="1469"/>
        <w:jc w:val="both"/>
      </w:pPr>
      <w:r>
        <w:rPr>
          <w:sz w:val="26"/>
        </w:rPr>
        <w:t>Exempleados de la Dirección General de Educación Física -DIGEF- con saldos en Tarjetas de Responsabilidad de Bienes Inventariados Al 31 de diciembre de 2024</w:t>
      </w:r>
    </w:p>
    <w:p w14:paraId="09452C80" w14:textId="77777777" w:rsidR="00053D93" w:rsidRDefault="00260B75">
      <w:pPr>
        <w:spacing w:after="4" w:line="253" w:lineRule="auto"/>
        <w:ind w:left="1730" w:right="64" w:hanging="10"/>
        <w:jc w:val="center"/>
      </w:pPr>
      <w:r>
        <w:rPr>
          <w:sz w:val="26"/>
        </w:rPr>
        <w:t>(Cifras expresadas en quetzales)</w:t>
      </w:r>
    </w:p>
    <w:tbl>
      <w:tblPr>
        <w:tblStyle w:val="TableGrid"/>
        <w:tblW w:w="9415" w:type="dxa"/>
        <w:tblInd w:w="763" w:type="dxa"/>
        <w:tblLook w:val="04A0" w:firstRow="1" w:lastRow="0" w:firstColumn="1" w:lastColumn="0" w:noHBand="0" w:noVBand="1"/>
      </w:tblPr>
      <w:tblGrid>
        <w:gridCol w:w="821"/>
        <w:gridCol w:w="8618"/>
      </w:tblGrid>
      <w:tr w:rsidR="00053D93" w14:paraId="735D9F97" w14:textId="77777777">
        <w:trPr>
          <w:trHeight w:val="4913"/>
        </w:trPr>
        <w:tc>
          <w:tcPr>
            <w:tcW w:w="1019" w:type="dxa"/>
            <w:tcBorders>
              <w:top w:val="nil"/>
              <w:left w:val="nil"/>
              <w:bottom w:val="nil"/>
              <w:right w:val="nil"/>
            </w:tcBorders>
            <w:vAlign w:val="bottom"/>
          </w:tcPr>
          <w:p w14:paraId="3DC8F14F" w14:textId="77777777" w:rsidR="00053D93" w:rsidRDefault="00260B75">
            <w:r>
              <w:rPr>
                <w:noProof/>
              </w:rPr>
              <w:drawing>
                <wp:inline distT="0" distB="0" distL="0" distR="0" wp14:anchorId="18FE1D01" wp14:editId="67AB66FF">
                  <wp:extent cx="640080" cy="406909"/>
                  <wp:effectExtent l="0" t="0" r="0" b="0"/>
                  <wp:docPr id="2458576" name="Picture 2458576"/>
                  <wp:cNvGraphicFramePr/>
                  <a:graphic xmlns:a="http://schemas.openxmlformats.org/drawingml/2006/main">
                    <a:graphicData uri="http://schemas.openxmlformats.org/drawingml/2006/picture">
                      <pic:pic xmlns:pic="http://schemas.openxmlformats.org/drawingml/2006/picture">
                        <pic:nvPicPr>
                          <pic:cNvPr id="2458576" name="Picture 2458576"/>
                          <pic:cNvPicPr/>
                        </pic:nvPicPr>
                        <pic:blipFill>
                          <a:blip r:embed="rId1055"/>
                          <a:stretch>
                            <a:fillRect/>
                          </a:stretch>
                        </pic:blipFill>
                        <pic:spPr>
                          <a:xfrm>
                            <a:off x="0" y="0"/>
                            <a:ext cx="640080" cy="406909"/>
                          </a:xfrm>
                          <a:prstGeom prst="rect">
                            <a:avLst/>
                          </a:prstGeom>
                        </pic:spPr>
                      </pic:pic>
                    </a:graphicData>
                  </a:graphic>
                </wp:inline>
              </w:drawing>
            </w:r>
          </w:p>
        </w:tc>
        <w:tc>
          <w:tcPr>
            <w:tcW w:w="8396" w:type="dxa"/>
            <w:tcBorders>
              <w:top w:val="nil"/>
              <w:left w:val="nil"/>
              <w:bottom w:val="nil"/>
              <w:right w:val="nil"/>
            </w:tcBorders>
          </w:tcPr>
          <w:p w14:paraId="60DE3020" w14:textId="77777777" w:rsidR="00053D93" w:rsidRDefault="00053D93">
            <w:pPr>
              <w:ind w:left="-2099" w:right="10495"/>
            </w:pPr>
          </w:p>
          <w:tbl>
            <w:tblPr>
              <w:tblStyle w:val="TableGrid"/>
              <w:tblW w:w="8385" w:type="dxa"/>
              <w:tblInd w:w="11" w:type="dxa"/>
              <w:tblCellMar>
                <w:top w:w="24" w:type="dxa"/>
                <w:bottom w:w="26" w:type="dxa"/>
                <w:right w:w="41" w:type="dxa"/>
              </w:tblCellMar>
              <w:tblLook w:val="04A0" w:firstRow="1" w:lastRow="0" w:firstColumn="1" w:lastColumn="0" w:noHBand="0" w:noVBand="1"/>
            </w:tblPr>
            <w:tblGrid>
              <w:gridCol w:w="263"/>
              <w:gridCol w:w="351"/>
              <w:gridCol w:w="177"/>
              <w:gridCol w:w="827"/>
              <w:gridCol w:w="891"/>
              <w:gridCol w:w="781"/>
              <w:gridCol w:w="1431"/>
              <w:gridCol w:w="2728"/>
              <w:gridCol w:w="936"/>
            </w:tblGrid>
            <w:tr w:rsidR="00053D93" w14:paraId="64507B62" w14:textId="77777777">
              <w:trPr>
                <w:trHeight w:val="209"/>
              </w:trPr>
              <w:tc>
                <w:tcPr>
                  <w:tcW w:w="3250" w:type="dxa"/>
                  <w:gridSpan w:val="6"/>
                  <w:tcBorders>
                    <w:top w:val="single" w:sz="2" w:space="0" w:color="000000"/>
                    <w:left w:val="single" w:sz="2" w:space="0" w:color="000000"/>
                    <w:bottom w:val="single" w:sz="2" w:space="0" w:color="000000"/>
                    <w:right w:val="single" w:sz="2" w:space="0" w:color="000000"/>
                  </w:tcBorders>
                </w:tcPr>
                <w:p w14:paraId="46E91FF4" w14:textId="77777777" w:rsidR="00053D93" w:rsidRDefault="00260B75">
                  <w:pPr>
                    <w:ind w:left="-14"/>
                  </w:pPr>
                  <w:r>
                    <w:rPr>
                      <w:sz w:val="16"/>
                    </w:rPr>
                    <w:t>Código:</w:t>
                  </w:r>
                </w:p>
              </w:tc>
              <w:tc>
                <w:tcPr>
                  <w:tcW w:w="4199" w:type="dxa"/>
                  <w:gridSpan w:val="2"/>
                  <w:tcBorders>
                    <w:top w:val="single" w:sz="2" w:space="0" w:color="000000"/>
                    <w:left w:val="single" w:sz="2" w:space="0" w:color="000000"/>
                    <w:bottom w:val="single" w:sz="2" w:space="0" w:color="000000"/>
                    <w:right w:val="nil"/>
                  </w:tcBorders>
                </w:tcPr>
                <w:p w14:paraId="787BB5CB" w14:textId="77777777" w:rsidR="00053D93" w:rsidRDefault="00260B75">
                  <w:pPr>
                    <w:ind w:left="84"/>
                  </w:pPr>
                  <w:r>
                    <w:rPr>
                      <w:rFonts w:ascii="Times New Roman" w:eastAsia="Times New Roman" w:hAnsi="Times New Roman" w:cs="Times New Roman"/>
                      <w:sz w:val="16"/>
                    </w:rPr>
                    <w:t>990099480</w:t>
                  </w:r>
                </w:p>
              </w:tc>
              <w:tc>
                <w:tcPr>
                  <w:tcW w:w="936" w:type="dxa"/>
                  <w:tcBorders>
                    <w:top w:val="single" w:sz="2" w:space="0" w:color="000000"/>
                    <w:left w:val="nil"/>
                    <w:bottom w:val="single" w:sz="2" w:space="0" w:color="000000"/>
                    <w:right w:val="single" w:sz="2" w:space="0" w:color="000000"/>
                  </w:tcBorders>
                </w:tcPr>
                <w:p w14:paraId="3CFA2B00" w14:textId="77777777" w:rsidR="00053D93" w:rsidRDefault="00053D93"/>
              </w:tc>
            </w:tr>
            <w:tr w:rsidR="00053D93" w14:paraId="7664F1A4" w14:textId="77777777">
              <w:trPr>
                <w:trHeight w:val="212"/>
              </w:trPr>
              <w:tc>
                <w:tcPr>
                  <w:tcW w:w="3250" w:type="dxa"/>
                  <w:gridSpan w:val="6"/>
                  <w:tcBorders>
                    <w:top w:val="single" w:sz="2" w:space="0" w:color="000000"/>
                    <w:left w:val="single" w:sz="2" w:space="0" w:color="000000"/>
                    <w:bottom w:val="single" w:sz="2" w:space="0" w:color="000000"/>
                    <w:right w:val="single" w:sz="2" w:space="0" w:color="000000"/>
                  </w:tcBorders>
                </w:tcPr>
                <w:p w14:paraId="7E9A5D60" w14:textId="77777777" w:rsidR="00053D93" w:rsidRDefault="00260B75">
                  <w:pPr>
                    <w:ind w:left="-14"/>
                  </w:pPr>
                  <w:r>
                    <w:rPr>
                      <w:sz w:val="16"/>
                    </w:rPr>
                    <w:t>Puesto Nominal:</w:t>
                  </w:r>
                </w:p>
              </w:tc>
              <w:tc>
                <w:tcPr>
                  <w:tcW w:w="4199" w:type="dxa"/>
                  <w:gridSpan w:val="2"/>
                  <w:tcBorders>
                    <w:top w:val="single" w:sz="2" w:space="0" w:color="000000"/>
                    <w:left w:val="single" w:sz="2" w:space="0" w:color="000000"/>
                    <w:bottom w:val="single" w:sz="2" w:space="0" w:color="000000"/>
                    <w:right w:val="nil"/>
                  </w:tcBorders>
                </w:tcPr>
                <w:p w14:paraId="02FD38F8" w14:textId="77777777" w:rsidR="00053D93" w:rsidRDefault="00260B75">
                  <w:pPr>
                    <w:ind w:left="69"/>
                  </w:pPr>
                  <w:r>
                    <w:rPr>
                      <w:sz w:val="16"/>
                    </w:rPr>
                    <w:t>Asistente Profesional IV</w:t>
                  </w:r>
                </w:p>
              </w:tc>
              <w:tc>
                <w:tcPr>
                  <w:tcW w:w="936" w:type="dxa"/>
                  <w:tcBorders>
                    <w:top w:val="single" w:sz="2" w:space="0" w:color="000000"/>
                    <w:left w:val="nil"/>
                    <w:bottom w:val="single" w:sz="2" w:space="0" w:color="000000"/>
                    <w:right w:val="single" w:sz="2" w:space="0" w:color="000000"/>
                  </w:tcBorders>
                </w:tcPr>
                <w:p w14:paraId="477F36C5" w14:textId="77777777" w:rsidR="00053D93" w:rsidRDefault="00053D93"/>
              </w:tc>
            </w:tr>
            <w:tr w:rsidR="00053D93" w14:paraId="6F9C21EB" w14:textId="77777777">
              <w:trPr>
                <w:trHeight w:val="213"/>
              </w:trPr>
              <w:tc>
                <w:tcPr>
                  <w:tcW w:w="3250" w:type="dxa"/>
                  <w:gridSpan w:val="6"/>
                  <w:tcBorders>
                    <w:top w:val="single" w:sz="2" w:space="0" w:color="000000"/>
                    <w:left w:val="single" w:sz="2" w:space="0" w:color="000000"/>
                    <w:bottom w:val="single" w:sz="2" w:space="0" w:color="000000"/>
                    <w:right w:val="single" w:sz="2" w:space="0" w:color="000000"/>
                  </w:tcBorders>
                </w:tcPr>
                <w:p w14:paraId="19971BC3" w14:textId="77777777" w:rsidR="00053D93" w:rsidRDefault="00260B75">
                  <w:pPr>
                    <w:ind w:left="-14"/>
                  </w:pPr>
                  <w:r>
                    <w:rPr>
                      <w:sz w:val="16"/>
                    </w:rPr>
                    <w:t>Periodo laborado:</w:t>
                  </w:r>
                </w:p>
              </w:tc>
              <w:tc>
                <w:tcPr>
                  <w:tcW w:w="4199" w:type="dxa"/>
                  <w:gridSpan w:val="2"/>
                  <w:tcBorders>
                    <w:top w:val="single" w:sz="2" w:space="0" w:color="000000"/>
                    <w:left w:val="single" w:sz="2" w:space="0" w:color="000000"/>
                    <w:bottom w:val="single" w:sz="2" w:space="0" w:color="000000"/>
                    <w:right w:val="nil"/>
                  </w:tcBorders>
                </w:tcPr>
                <w:p w14:paraId="5510D2FE" w14:textId="77777777" w:rsidR="00053D93" w:rsidRDefault="00260B75">
                  <w:pPr>
                    <w:ind w:left="84"/>
                  </w:pPr>
                  <w:r>
                    <w:rPr>
                      <w:sz w:val="14"/>
                    </w:rPr>
                    <w:t>Del 02101/2008 al 01/04/2024</w:t>
                  </w:r>
                </w:p>
              </w:tc>
              <w:tc>
                <w:tcPr>
                  <w:tcW w:w="936" w:type="dxa"/>
                  <w:tcBorders>
                    <w:top w:val="single" w:sz="2" w:space="0" w:color="000000"/>
                    <w:left w:val="nil"/>
                    <w:bottom w:val="single" w:sz="2" w:space="0" w:color="000000"/>
                    <w:right w:val="single" w:sz="2" w:space="0" w:color="000000"/>
                  </w:tcBorders>
                </w:tcPr>
                <w:p w14:paraId="017B3B3C" w14:textId="77777777" w:rsidR="00053D93" w:rsidRDefault="00053D93"/>
              </w:tc>
            </w:tr>
            <w:tr w:rsidR="00053D93" w14:paraId="33B50721" w14:textId="77777777">
              <w:trPr>
                <w:trHeight w:val="403"/>
              </w:trPr>
              <w:tc>
                <w:tcPr>
                  <w:tcW w:w="3250" w:type="dxa"/>
                  <w:gridSpan w:val="6"/>
                  <w:tcBorders>
                    <w:top w:val="single" w:sz="2" w:space="0" w:color="000000"/>
                    <w:left w:val="single" w:sz="2" w:space="0" w:color="000000"/>
                    <w:bottom w:val="single" w:sz="2" w:space="0" w:color="000000"/>
                    <w:right w:val="single" w:sz="2" w:space="0" w:color="000000"/>
                  </w:tcBorders>
                </w:tcPr>
                <w:p w14:paraId="53CE2C42" w14:textId="77777777" w:rsidR="00053D93" w:rsidRDefault="00260B75">
                  <w:pPr>
                    <w:ind w:left="-14" w:firstLine="7"/>
                  </w:pPr>
                  <w:r>
                    <w:rPr>
                      <w:sz w:val="16"/>
                    </w:rPr>
                    <w:t>Puesto funcional registrado en Tarjeta de Responsabilidad:</w:t>
                  </w:r>
                </w:p>
              </w:tc>
              <w:tc>
                <w:tcPr>
                  <w:tcW w:w="4199" w:type="dxa"/>
                  <w:gridSpan w:val="2"/>
                  <w:tcBorders>
                    <w:top w:val="single" w:sz="2" w:space="0" w:color="000000"/>
                    <w:left w:val="single" w:sz="2" w:space="0" w:color="000000"/>
                    <w:bottom w:val="single" w:sz="2" w:space="0" w:color="000000"/>
                    <w:right w:val="nil"/>
                  </w:tcBorders>
                  <w:vAlign w:val="bottom"/>
                </w:tcPr>
                <w:p w14:paraId="2784B6F8" w14:textId="77777777" w:rsidR="00053D93" w:rsidRDefault="00260B75">
                  <w:pPr>
                    <w:ind w:left="77"/>
                  </w:pPr>
                  <w:r>
                    <w:rPr>
                      <w:sz w:val="16"/>
                    </w:rPr>
                    <w:t>Jefe de Servicios Generales a.i.</w:t>
                  </w:r>
                </w:p>
              </w:tc>
              <w:tc>
                <w:tcPr>
                  <w:tcW w:w="936" w:type="dxa"/>
                  <w:tcBorders>
                    <w:top w:val="single" w:sz="2" w:space="0" w:color="000000"/>
                    <w:left w:val="nil"/>
                    <w:bottom w:val="single" w:sz="2" w:space="0" w:color="000000"/>
                    <w:right w:val="single" w:sz="2" w:space="0" w:color="000000"/>
                  </w:tcBorders>
                </w:tcPr>
                <w:p w14:paraId="296C1D84" w14:textId="77777777" w:rsidR="00053D93" w:rsidRDefault="00053D93"/>
              </w:tc>
            </w:tr>
            <w:tr w:rsidR="00053D93" w14:paraId="2F4377CA" w14:textId="77777777">
              <w:trPr>
                <w:trHeight w:val="403"/>
              </w:trPr>
              <w:tc>
                <w:tcPr>
                  <w:tcW w:w="3250" w:type="dxa"/>
                  <w:gridSpan w:val="6"/>
                  <w:tcBorders>
                    <w:top w:val="single" w:sz="2" w:space="0" w:color="000000"/>
                    <w:left w:val="single" w:sz="2" w:space="0" w:color="000000"/>
                    <w:bottom w:val="single" w:sz="2" w:space="0" w:color="000000"/>
                    <w:right w:val="single" w:sz="2" w:space="0" w:color="000000"/>
                  </w:tcBorders>
                </w:tcPr>
                <w:p w14:paraId="42DF3CFA" w14:textId="77777777" w:rsidR="00053D93" w:rsidRDefault="00260B75">
                  <w:pPr>
                    <w:ind w:left="-7" w:hanging="7"/>
                  </w:pPr>
                  <w:r>
                    <w:rPr>
                      <w:sz w:val="16"/>
                    </w:rPr>
                    <w:t>Unidad Administrativa registrada en Tarjeta de Responsabilidad:</w:t>
                  </w:r>
                </w:p>
              </w:tc>
              <w:tc>
                <w:tcPr>
                  <w:tcW w:w="4199" w:type="dxa"/>
                  <w:gridSpan w:val="2"/>
                  <w:tcBorders>
                    <w:top w:val="single" w:sz="2" w:space="0" w:color="000000"/>
                    <w:left w:val="single" w:sz="2" w:space="0" w:color="000000"/>
                    <w:bottom w:val="single" w:sz="2" w:space="0" w:color="000000"/>
                    <w:right w:val="nil"/>
                  </w:tcBorders>
                  <w:vAlign w:val="bottom"/>
                </w:tcPr>
                <w:p w14:paraId="0933214F" w14:textId="77777777" w:rsidR="00053D93" w:rsidRDefault="00260B75">
                  <w:pPr>
                    <w:ind w:left="84"/>
                  </w:pPr>
                  <w:r>
                    <w:rPr>
                      <w:sz w:val="16"/>
                    </w:rPr>
                    <w:t>Departamento de Servicios Generales</w:t>
                  </w:r>
                </w:p>
              </w:tc>
              <w:tc>
                <w:tcPr>
                  <w:tcW w:w="936" w:type="dxa"/>
                  <w:tcBorders>
                    <w:top w:val="single" w:sz="2" w:space="0" w:color="000000"/>
                    <w:left w:val="nil"/>
                    <w:bottom w:val="single" w:sz="2" w:space="0" w:color="000000"/>
                    <w:right w:val="single" w:sz="2" w:space="0" w:color="000000"/>
                  </w:tcBorders>
                </w:tcPr>
                <w:p w14:paraId="0991890D" w14:textId="77777777" w:rsidR="00053D93" w:rsidRDefault="00053D93"/>
              </w:tc>
            </w:tr>
            <w:tr w:rsidR="00053D93" w14:paraId="233E2EBF" w14:textId="77777777">
              <w:trPr>
                <w:trHeight w:val="612"/>
              </w:trPr>
              <w:tc>
                <w:tcPr>
                  <w:tcW w:w="242" w:type="dxa"/>
                  <w:tcBorders>
                    <w:top w:val="single" w:sz="2" w:space="0" w:color="000000"/>
                    <w:left w:val="single" w:sz="2" w:space="0" w:color="000000"/>
                    <w:bottom w:val="single" w:sz="2" w:space="0" w:color="000000"/>
                    <w:right w:val="single" w:sz="2" w:space="0" w:color="000000"/>
                  </w:tcBorders>
                </w:tcPr>
                <w:p w14:paraId="4A573F79" w14:textId="77777777" w:rsidR="00053D93" w:rsidRDefault="00260B75">
                  <w:pPr>
                    <w:ind w:left="-7"/>
                    <w:jc w:val="both"/>
                  </w:pPr>
                  <w:r>
                    <w:rPr>
                      <w:sz w:val="16"/>
                    </w:rPr>
                    <w:t>No.</w:t>
                  </w:r>
                </w:p>
              </w:tc>
              <w:tc>
                <w:tcPr>
                  <w:tcW w:w="1356" w:type="dxa"/>
                  <w:gridSpan w:val="3"/>
                  <w:tcBorders>
                    <w:top w:val="single" w:sz="2" w:space="0" w:color="000000"/>
                    <w:left w:val="single" w:sz="2" w:space="0" w:color="000000"/>
                    <w:bottom w:val="single" w:sz="2" w:space="0" w:color="000000"/>
                    <w:right w:val="single" w:sz="2" w:space="0" w:color="000000"/>
                  </w:tcBorders>
                </w:tcPr>
                <w:p w14:paraId="102ADC8D" w14:textId="77777777" w:rsidR="00053D93" w:rsidRDefault="00260B75">
                  <w:pPr>
                    <w:spacing w:line="272" w:lineRule="auto"/>
                    <w:ind w:left="629" w:hanging="410"/>
                  </w:pPr>
                  <w:r>
                    <w:rPr>
                      <w:sz w:val="16"/>
                    </w:rPr>
                    <w:t>No. De Tarjeta de</w:t>
                  </w:r>
                </w:p>
                <w:p w14:paraId="575BCDA9" w14:textId="77777777" w:rsidR="00053D93" w:rsidRDefault="00260B75">
                  <w:pPr>
                    <w:ind w:left="86"/>
                    <w:jc w:val="center"/>
                  </w:pPr>
                  <w:r>
                    <w:rPr>
                      <w:sz w:val="18"/>
                    </w:rPr>
                    <w:t>Responsabilidad</w:t>
                  </w:r>
                </w:p>
              </w:tc>
              <w:tc>
                <w:tcPr>
                  <w:tcW w:w="878" w:type="dxa"/>
                  <w:tcBorders>
                    <w:top w:val="single" w:sz="2" w:space="0" w:color="000000"/>
                    <w:left w:val="single" w:sz="2" w:space="0" w:color="000000"/>
                    <w:bottom w:val="single" w:sz="2" w:space="0" w:color="000000"/>
                    <w:right w:val="single" w:sz="2" w:space="0" w:color="000000"/>
                  </w:tcBorders>
                </w:tcPr>
                <w:p w14:paraId="77EDAE53" w14:textId="77777777" w:rsidR="00053D93" w:rsidRDefault="00260B75">
                  <w:pPr>
                    <w:ind w:left="33"/>
                    <w:jc w:val="center"/>
                  </w:pPr>
                  <w:r>
                    <w:rPr>
                      <w:sz w:val="18"/>
                    </w:rPr>
                    <w:t>Fecha</w:t>
                  </w:r>
                </w:p>
              </w:tc>
              <w:tc>
                <w:tcPr>
                  <w:tcW w:w="773" w:type="dxa"/>
                  <w:tcBorders>
                    <w:top w:val="single" w:sz="2" w:space="0" w:color="000000"/>
                    <w:left w:val="single" w:sz="2" w:space="0" w:color="000000"/>
                    <w:bottom w:val="single" w:sz="2" w:space="0" w:color="000000"/>
                    <w:right w:val="single" w:sz="2" w:space="0" w:color="000000"/>
                  </w:tcBorders>
                </w:tcPr>
                <w:p w14:paraId="74458F80" w14:textId="77777777" w:rsidR="00053D93" w:rsidRDefault="00260B75">
                  <w:pPr>
                    <w:ind w:left="86"/>
                  </w:pPr>
                  <w:r>
                    <w:rPr>
                      <w:sz w:val="18"/>
                    </w:rPr>
                    <w:t>Cantidad</w:t>
                  </w:r>
                </w:p>
              </w:tc>
              <w:tc>
                <w:tcPr>
                  <w:tcW w:w="1445" w:type="dxa"/>
                  <w:tcBorders>
                    <w:top w:val="single" w:sz="2" w:space="0" w:color="000000"/>
                    <w:left w:val="single" w:sz="2" w:space="0" w:color="000000"/>
                    <w:bottom w:val="single" w:sz="2" w:space="0" w:color="000000"/>
                    <w:right w:val="single" w:sz="2" w:space="0" w:color="000000"/>
                  </w:tcBorders>
                </w:tcPr>
                <w:p w14:paraId="2B9F0A54" w14:textId="77777777" w:rsidR="00053D93" w:rsidRDefault="00260B75">
                  <w:pPr>
                    <w:ind w:left="38"/>
                    <w:jc w:val="center"/>
                  </w:pPr>
                  <w:r>
                    <w:rPr>
                      <w:sz w:val="18"/>
                    </w:rPr>
                    <w:t>Código</w:t>
                  </w:r>
                </w:p>
              </w:tc>
              <w:tc>
                <w:tcPr>
                  <w:tcW w:w="2755" w:type="dxa"/>
                  <w:tcBorders>
                    <w:top w:val="single" w:sz="2" w:space="0" w:color="000000"/>
                    <w:left w:val="single" w:sz="2" w:space="0" w:color="000000"/>
                    <w:bottom w:val="single" w:sz="2" w:space="0" w:color="000000"/>
                    <w:right w:val="single" w:sz="2" w:space="0" w:color="000000"/>
                  </w:tcBorders>
                </w:tcPr>
                <w:p w14:paraId="0F5BF07E" w14:textId="77777777" w:rsidR="00053D93" w:rsidRDefault="00260B75">
                  <w:pPr>
                    <w:ind w:left="29"/>
                    <w:jc w:val="center"/>
                  </w:pPr>
                  <w:r>
                    <w:rPr>
                      <w:sz w:val="18"/>
                    </w:rPr>
                    <w:t>Descripción</w:t>
                  </w:r>
                </w:p>
              </w:tc>
              <w:tc>
                <w:tcPr>
                  <w:tcW w:w="936" w:type="dxa"/>
                  <w:tcBorders>
                    <w:top w:val="single" w:sz="2" w:space="0" w:color="000000"/>
                    <w:left w:val="single" w:sz="2" w:space="0" w:color="000000"/>
                    <w:bottom w:val="single" w:sz="2" w:space="0" w:color="000000"/>
                    <w:right w:val="single" w:sz="2" w:space="0" w:color="000000"/>
                  </w:tcBorders>
                </w:tcPr>
                <w:p w14:paraId="5525B92F" w14:textId="77777777" w:rsidR="00053D93" w:rsidRDefault="00260B75">
                  <w:pPr>
                    <w:ind w:left="75"/>
                    <w:jc w:val="center"/>
                  </w:pPr>
                  <w:r>
                    <w:rPr>
                      <w:sz w:val="18"/>
                    </w:rPr>
                    <w:t>Saldo</w:t>
                  </w:r>
                </w:p>
              </w:tc>
            </w:tr>
            <w:tr w:rsidR="00053D93" w14:paraId="4CF43E61" w14:textId="77777777">
              <w:trPr>
                <w:trHeight w:val="1734"/>
              </w:trPr>
              <w:tc>
                <w:tcPr>
                  <w:tcW w:w="242" w:type="dxa"/>
                  <w:tcBorders>
                    <w:top w:val="single" w:sz="2" w:space="0" w:color="000000"/>
                    <w:left w:val="single" w:sz="2" w:space="0" w:color="000000"/>
                    <w:bottom w:val="single" w:sz="2" w:space="0" w:color="000000"/>
                    <w:right w:val="single" w:sz="2" w:space="0" w:color="000000"/>
                  </w:tcBorders>
                </w:tcPr>
                <w:p w14:paraId="239413BB" w14:textId="77777777" w:rsidR="00053D93" w:rsidRDefault="00053D93"/>
              </w:tc>
              <w:tc>
                <w:tcPr>
                  <w:tcW w:w="1356" w:type="dxa"/>
                  <w:gridSpan w:val="3"/>
                  <w:vMerge w:val="restart"/>
                  <w:tcBorders>
                    <w:top w:val="single" w:sz="2" w:space="0" w:color="000000"/>
                    <w:left w:val="single" w:sz="2" w:space="0" w:color="000000"/>
                    <w:bottom w:val="nil"/>
                    <w:right w:val="single" w:sz="2" w:space="0" w:color="000000"/>
                  </w:tcBorders>
                </w:tcPr>
                <w:p w14:paraId="02C5A535" w14:textId="77777777" w:rsidR="00053D93" w:rsidRDefault="00260B75">
                  <w:pPr>
                    <w:ind w:left="86"/>
                    <w:jc w:val="center"/>
                  </w:pPr>
                  <w:r>
                    <w:rPr>
                      <w:rFonts w:ascii="Times New Roman" w:eastAsia="Times New Roman" w:hAnsi="Times New Roman" w:cs="Times New Roman"/>
                      <w:sz w:val="16"/>
                    </w:rPr>
                    <w:t>003660</w:t>
                  </w:r>
                </w:p>
              </w:tc>
              <w:tc>
                <w:tcPr>
                  <w:tcW w:w="878" w:type="dxa"/>
                  <w:tcBorders>
                    <w:top w:val="single" w:sz="2" w:space="0" w:color="000000"/>
                    <w:left w:val="single" w:sz="2" w:space="0" w:color="000000"/>
                    <w:bottom w:val="single" w:sz="2" w:space="0" w:color="000000"/>
                    <w:right w:val="single" w:sz="2" w:space="0" w:color="000000"/>
                  </w:tcBorders>
                </w:tcPr>
                <w:p w14:paraId="735FA589" w14:textId="77777777" w:rsidR="00053D93" w:rsidRDefault="00260B75">
                  <w:pPr>
                    <w:ind w:left="94"/>
                  </w:pPr>
                  <w:r>
                    <w:rPr>
                      <w:rFonts w:ascii="Times New Roman" w:eastAsia="Times New Roman" w:hAnsi="Times New Roman" w:cs="Times New Roman"/>
                      <w:sz w:val="16"/>
                    </w:rPr>
                    <w:t>18/09'2020</w:t>
                  </w:r>
                </w:p>
              </w:tc>
              <w:tc>
                <w:tcPr>
                  <w:tcW w:w="773" w:type="dxa"/>
                  <w:tcBorders>
                    <w:top w:val="single" w:sz="2" w:space="0" w:color="000000"/>
                    <w:left w:val="single" w:sz="2" w:space="0" w:color="000000"/>
                    <w:bottom w:val="single" w:sz="2" w:space="0" w:color="000000"/>
                    <w:right w:val="single" w:sz="2" w:space="0" w:color="000000"/>
                  </w:tcBorders>
                </w:tcPr>
                <w:p w14:paraId="375E7D52" w14:textId="77777777" w:rsidR="00053D93" w:rsidRDefault="00053D93"/>
              </w:tc>
              <w:tc>
                <w:tcPr>
                  <w:tcW w:w="1445" w:type="dxa"/>
                  <w:tcBorders>
                    <w:top w:val="single" w:sz="2" w:space="0" w:color="000000"/>
                    <w:left w:val="single" w:sz="2" w:space="0" w:color="000000"/>
                    <w:bottom w:val="single" w:sz="2" w:space="0" w:color="000000"/>
                    <w:right w:val="single" w:sz="2" w:space="0" w:color="000000"/>
                  </w:tcBorders>
                </w:tcPr>
                <w:p w14:paraId="3EFA89A2" w14:textId="77777777" w:rsidR="00053D93" w:rsidRDefault="00260B75">
                  <w:pPr>
                    <w:ind w:left="38"/>
                    <w:jc w:val="center"/>
                  </w:pPr>
                  <w:r>
                    <w:rPr>
                      <w:rFonts w:ascii="Times New Roman" w:eastAsia="Times New Roman" w:hAnsi="Times New Roman" w:cs="Times New Roman"/>
                      <w:sz w:val="16"/>
                    </w:rPr>
                    <w:t>001 16303</w:t>
                  </w:r>
                </w:p>
              </w:tc>
              <w:tc>
                <w:tcPr>
                  <w:tcW w:w="2755" w:type="dxa"/>
                  <w:tcBorders>
                    <w:top w:val="single" w:sz="2" w:space="0" w:color="000000"/>
                    <w:left w:val="single" w:sz="2" w:space="0" w:color="000000"/>
                    <w:bottom w:val="single" w:sz="2" w:space="0" w:color="000000"/>
                    <w:right w:val="single" w:sz="2" w:space="0" w:color="000000"/>
                  </w:tcBorders>
                </w:tcPr>
                <w:p w14:paraId="2C7ED356" w14:textId="77777777" w:rsidR="00053D93" w:rsidRDefault="00260B75">
                  <w:pPr>
                    <w:spacing w:after="10" w:line="225" w:lineRule="auto"/>
                    <w:ind w:left="79" w:right="36"/>
                    <w:jc w:val="both"/>
                  </w:pPr>
                  <w:r>
                    <w:rPr>
                      <w:sz w:val="16"/>
                    </w:rPr>
                    <w:t>Camión marca Isuzu modelo, 2,008, 2 ejes. 3 asientos VN JALFVRE2 P7000216. 6 cilindros. FVR chasis No. JALFVRE2P7000216. motor No. 413032, 7127 c.c., 12 toneladas, color blanco, 2 puertas, Aduana Puerto</w:t>
                  </w:r>
                </w:p>
                <w:p w14:paraId="187E48A9" w14:textId="77777777" w:rsidR="00053D93" w:rsidRDefault="00260B75">
                  <w:pPr>
                    <w:ind w:left="79" w:right="43" w:firstLine="7"/>
                    <w:jc w:val="both"/>
                  </w:pPr>
                  <w:r>
                    <w:rPr>
                      <w:sz w:val="16"/>
                    </w:rPr>
                    <w:t>Quetzal Póliza ID 084-8002255 fecha 13/03/2008 tracción trasera combustión diésel, placas No. 0-002BBH</w:t>
                  </w:r>
                </w:p>
              </w:tc>
              <w:tc>
                <w:tcPr>
                  <w:tcW w:w="936" w:type="dxa"/>
                  <w:tcBorders>
                    <w:top w:val="single" w:sz="2" w:space="0" w:color="000000"/>
                    <w:left w:val="single" w:sz="2" w:space="0" w:color="000000"/>
                    <w:bottom w:val="single" w:sz="2" w:space="0" w:color="000000"/>
                    <w:right w:val="single" w:sz="2" w:space="0" w:color="000000"/>
                  </w:tcBorders>
                </w:tcPr>
                <w:p w14:paraId="3FB63AA2" w14:textId="77777777" w:rsidR="00053D93" w:rsidRDefault="00260B75">
                  <w:pPr>
                    <w:ind w:left="111"/>
                    <w:jc w:val="center"/>
                  </w:pPr>
                  <w:r>
                    <w:rPr>
                      <w:rFonts w:ascii="Times New Roman" w:eastAsia="Times New Roman" w:hAnsi="Times New Roman" w:cs="Times New Roman"/>
                      <w:sz w:val="16"/>
                    </w:rPr>
                    <w:t>3611141.65</w:t>
                  </w:r>
                </w:p>
              </w:tc>
            </w:tr>
            <w:tr w:rsidR="00053D93" w14:paraId="2309111B" w14:textId="77777777">
              <w:trPr>
                <w:trHeight w:val="519"/>
              </w:trPr>
              <w:tc>
                <w:tcPr>
                  <w:tcW w:w="242" w:type="dxa"/>
                  <w:vMerge w:val="restart"/>
                  <w:tcBorders>
                    <w:top w:val="single" w:sz="2" w:space="0" w:color="000000"/>
                    <w:left w:val="single" w:sz="2" w:space="0" w:color="000000"/>
                    <w:bottom w:val="nil"/>
                    <w:right w:val="single" w:sz="2" w:space="0" w:color="000000"/>
                  </w:tcBorders>
                </w:tcPr>
                <w:p w14:paraId="5109EDCC" w14:textId="77777777" w:rsidR="00053D93" w:rsidRDefault="00260B75">
                  <w:pPr>
                    <w:ind w:left="72"/>
                  </w:pPr>
                  <w:r>
                    <w:rPr>
                      <w:rFonts w:ascii="Times New Roman" w:eastAsia="Times New Roman" w:hAnsi="Times New Roman" w:cs="Times New Roman"/>
                      <w:sz w:val="14"/>
                    </w:rPr>
                    <w:t>2</w:t>
                  </w:r>
                </w:p>
              </w:tc>
              <w:tc>
                <w:tcPr>
                  <w:tcW w:w="0" w:type="auto"/>
                  <w:gridSpan w:val="3"/>
                  <w:vMerge/>
                  <w:tcBorders>
                    <w:top w:val="nil"/>
                    <w:left w:val="single" w:sz="2" w:space="0" w:color="000000"/>
                    <w:bottom w:val="nil"/>
                    <w:right w:val="single" w:sz="2" w:space="0" w:color="000000"/>
                  </w:tcBorders>
                </w:tcPr>
                <w:p w14:paraId="04F48DCB" w14:textId="77777777" w:rsidR="00053D93" w:rsidRDefault="00053D93"/>
              </w:tc>
              <w:tc>
                <w:tcPr>
                  <w:tcW w:w="878" w:type="dxa"/>
                  <w:tcBorders>
                    <w:top w:val="single" w:sz="2" w:space="0" w:color="000000"/>
                    <w:left w:val="single" w:sz="2" w:space="0" w:color="000000"/>
                    <w:bottom w:val="single" w:sz="2" w:space="0" w:color="000000"/>
                    <w:right w:val="single" w:sz="2" w:space="0" w:color="000000"/>
                  </w:tcBorders>
                </w:tcPr>
                <w:p w14:paraId="34F060B1" w14:textId="77777777" w:rsidR="00053D93" w:rsidRDefault="00260B75">
                  <w:pPr>
                    <w:ind w:left="101"/>
                  </w:pPr>
                  <w:r>
                    <w:rPr>
                      <w:rFonts w:ascii="Times New Roman" w:eastAsia="Times New Roman" w:hAnsi="Times New Roman" w:cs="Times New Roman"/>
                      <w:sz w:val="16"/>
                    </w:rPr>
                    <w:t>18'0912020</w:t>
                  </w:r>
                </w:p>
              </w:tc>
              <w:tc>
                <w:tcPr>
                  <w:tcW w:w="773" w:type="dxa"/>
                  <w:tcBorders>
                    <w:top w:val="single" w:sz="2" w:space="0" w:color="000000"/>
                    <w:left w:val="single" w:sz="2" w:space="0" w:color="000000"/>
                    <w:bottom w:val="single" w:sz="2" w:space="0" w:color="000000"/>
                    <w:right w:val="single" w:sz="2" w:space="0" w:color="000000"/>
                  </w:tcBorders>
                </w:tcPr>
                <w:p w14:paraId="04BA25C5" w14:textId="77777777" w:rsidR="00053D93" w:rsidRDefault="00053D93"/>
              </w:tc>
              <w:tc>
                <w:tcPr>
                  <w:tcW w:w="1445" w:type="dxa"/>
                  <w:tcBorders>
                    <w:top w:val="single" w:sz="2" w:space="0" w:color="000000"/>
                    <w:left w:val="single" w:sz="2" w:space="0" w:color="000000"/>
                    <w:bottom w:val="single" w:sz="2" w:space="0" w:color="000000"/>
                    <w:right w:val="single" w:sz="2" w:space="0" w:color="000000"/>
                  </w:tcBorders>
                </w:tcPr>
                <w:p w14:paraId="7447A445" w14:textId="77777777" w:rsidR="00053D93" w:rsidRDefault="00260B75">
                  <w:pPr>
                    <w:ind w:left="45"/>
                    <w:jc w:val="center"/>
                  </w:pPr>
                  <w:r>
                    <w:rPr>
                      <w:sz w:val="16"/>
                    </w:rPr>
                    <w:t>0014AC4B</w:t>
                  </w:r>
                </w:p>
              </w:tc>
              <w:tc>
                <w:tcPr>
                  <w:tcW w:w="2755" w:type="dxa"/>
                  <w:tcBorders>
                    <w:top w:val="single" w:sz="2" w:space="0" w:color="000000"/>
                    <w:left w:val="single" w:sz="2" w:space="0" w:color="000000"/>
                    <w:bottom w:val="single" w:sz="2" w:space="0" w:color="000000"/>
                    <w:right w:val="single" w:sz="2" w:space="0" w:color="000000"/>
                  </w:tcBorders>
                </w:tcPr>
                <w:p w14:paraId="7B75E39F" w14:textId="77777777" w:rsidR="00053D93" w:rsidRDefault="00260B75">
                  <w:pPr>
                    <w:ind w:left="86"/>
                  </w:pPr>
                  <w:r>
                    <w:rPr>
                      <w:sz w:val="18"/>
                    </w:rPr>
                    <w:t>Furgón de carga seca de 26" x 8.5" x</w:t>
                  </w:r>
                </w:p>
                <w:p w14:paraId="74AA5500" w14:textId="77777777" w:rsidR="00053D93" w:rsidRDefault="00260B75">
                  <w:pPr>
                    <w:ind w:left="86"/>
                  </w:pPr>
                  <w:r>
                    <w:rPr>
                      <w:sz w:val="16"/>
                    </w:rPr>
                    <w:t>8.5" instalado en chasis marca Isuzu</w:t>
                  </w:r>
                </w:p>
              </w:tc>
              <w:tc>
                <w:tcPr>
                  <w:tcW w:w="936" w:type="dxa"/>
                  <w:tcBorders>
                    <w:top w:val="single" w:sz="2" w:space="0" w:color="000000"/>
                    <w:left w:val="single" w:sz="2" w:space="0" w:color="000000"/>
                    <w:bottom w:val="single" w:sz="2" w:space="0" w:color="000000"/>
                    <w:right w:val="single" w:sz="2" w:space="0" w:color="000000"/>
                  </w:tcBorders>
                </w:tcPr>
                <w:p w14:paraId="458BE626" w14:textId="77777777" w:rsidR="00053D93" w:rsidRDefault="00053D93"/>
              </w:tc>
            </w:tr>
            <w:tr w:rsidR="00053D93" w14:paraId="3065C864" w14:textId="77777777">
              <w:trPr>
                <w:trHeight w:val="608"/>
              </w:trPr>
              <w:tc>
                <w:tcPr>
                  <w:tcW w:w="0" w:type="auto"/>
                  <w:vMerge/>
                  <w:tcBorders>
                    <w:top w:val="nil"/>
                    <w:left w:val="single" w:sz="2" w:space="0" w:color="000000"/>
                    <w:bottom w:val="nil"/>
                    <w:right w:val="single" w:sz="2" w:space="0" w:color="000000"/>
                  </w:tcBorders>
                </w:tcPr>
                <w:p w14:paraId="2DE1EF5C" w14:textId="77777777" w:rsidR="00053D93" w:rsidRDefault="00053D93"/>
              </w:tc>
              <w:tc>
                <w:tcPr>
                  <w:tcW w:w="351" w:type="dxa"/>
                  <w:tcBorders>
                    <w:top w:val="nil"/>
                    <w:left w:val="single" w:sz="2" w:space="0" w:color="000000"/>
                    <w:bottom w:val="nil"/>
                    <w:right w:val="single" w:sz="2" w:space="0" w:color="000000"/>
                  </w:tcBorders>
                </w:tcPr>
                <w:p w14:paraId="4FA858E3" w14:textId="77777777" w:rsidR="00053D93" w:rsidRDefault="00053D93"/>
              </w:tc>
              <w:tc>
                <w:tcPr>
                  <w:tcW w:w="177" w:type="dxa"/>
                  <w:tcBorders>
                    <w:top w:val="nil"/>
                    <w:left w:val="single" w:sz="2" w:space="0" w:color="000000"/>
                    <w:bottom w:val="nil"/>
                    <w:right w:val="single" w:sz="2" w:space="0" w:color="000000"/>
                  </w:tcBorders>
                </w:tcPr>
                <w:p w14:paraId="0866ECB6" w14:textId="77777777" w:rsidR="00053D93" w:rsidRDefault="00053D93"/>
              </w:tc>
              <w:tc>
                <w:tcPr>
                  <w:tcW w:w="6679" w:type="dxa"/>
                  <w:gridSpan w:val="5"/>
                  <w:tcBorders>
                    <w:top w:val="single" w:sz="2" w:space="0" w:color="000000"/>
                    <w:left w:val="single" w:sz="2" w:space="0" w:color="000000"/>
                    <w:bottom w:val="nil"/>
                    <w:right w:val="nil"/>
                  </w:tcBorders>
                </w:tcPr>
                <w:p w14:paraId="6F93B956" w14:textId="77777777" w:rsidR="00053D93" w:rsidRDefault="00260B75">
                  <w:pPr>
                    <w:ind w:left="94"/>
                    <w:jc w:val="center"/>
                  </w:pPr>
                  <w:r>
                    <w:rPr>
                      <w:sz w:val="14"/>
                    </w:rPr>
                    <w:t>MINISTERIO DE EDUCACION</w:t>
                  </w:r>
                </w:p>
                <w:p w14:paraId="113A136D" w14:textId="77777777" w:rsidR="00053D93" w:rsidRDefault="00260B75">
                  <w:pPr>
                    <w:ind w:left="94"/>
                    <w:jc w:val="center"/>
                  </w:pPr>
                  <w:r>
                    <w:rPr>
                      <w:sz w:val="14"/>
                    </w:rPr>
                    <w:t>AUDITORIA FINANCIERA Y DE CUMPLIMIENTO</w:t>
                  </w:r>
                </w:p>
                <w:p w14:paraId="7C0807BF" w14:textId="77777777" w:rsidR="00053D93" w:rsidRDefault="00260B75">
                  <w:pPr>
                    <w:ind w:left="101"/>
                    <w:jc w:val="center"/>
                  </w:pPr>
                  <w:r>
                    <w:rPr>
                      <w:sz w:val="14"/>
                    </w:rPr>
                    <w:t>PERIODO DEL 01 DE ENERO AL 31 DE DICIEMBRE DE 2024</w:t>
                  </w:r>
                </w:p>
              </w:tc>
              <w:tc>
                <w:tcPr>
                  <w:tcW w:w="936" w:type="dxa"/>
                  <w:tcBorders>
                    <w:top w:val="single" w:sz="2" w:space="0" w:color="000000"/>
                    <w:left w:val="nil"/>
                    <w:bottom w:val="nil"/>
                    <w:right w:val="nil"/>
                  </w:tcBorders>
                </w:tcPr>
                <w:p w14:paraId="5B1E31B5" w14:textId="77777777" w:rsidR="00053D93" w:rsidRDefault="00053D93"/>
              </w:tc>
            </w:tr>
          </w:tbl>
          <w:p w14:paraId="4BC583C9" w14:textId="77777777" w:rsidR="00053D93" w:rsidRDefault="00053D93"/>
        </w:tc>
      </w:tr>
    </w:tbl>
    <w:p w14:paraId="69C0616F" w14:textId="77777777" w:rsidR="00053D93" w:rsidRDefault="00053D93">
      <w:pPr>
        <w:spacing w:after="0"/>
        <w:ind w:left="-317" w:right="32"/>
      </w:pPr>
    </w:p>
    <w:tbl>
      <w:tblPr>
        <w:tblStyle w:val="TableGrid"/>
        <w:tblW w:w="9408" w:type="dxa"/>
        <w:tblInd w:w="763" w:type="dxa"/>
        <w:tblLook w:val="04A0" w:firstRow="1" w:lastRow="0" w:firstColumn="1" w:lastColumn="0" w:noHBand="0" w:noVBand="1"/>
      </w:tblPr>
      <w:tblGrid>
        <w:gridCol w:w="832"/>
        <w:gridCol w:w="8607"/>
      </w:tblGrid>
      <w:tr w:rsidR="00053D93" w14:paraId="5CC167DF" w14:textId="77777777">
        <w:trPr>
          <w:trHeight w:val="13889"/>
        </w:trPr>
        <w:tc>
          <w:tcPr>
            <w:tcW w:w="1018" w:type="dxa"/>
            <w:tcBorders>
              <w:top w:val="nil"/>
              <w:left w:val="nil"/>
              <w:bottom w:val="nil"/>
              <w:right w:val="nil"/>
            </w:tcBorders>
            <w:vAlign w:val="bottom"/>
          </w:tcPr>
          <w:p w14:paraId="1466C9A7" w14:textId="77777777" w:rsidR="00053D93" w:rsidRDefault="00260B75">
            <w:r>
              <w:rPr>
                <w:noProof/>
              </w:rPr>
              <w:drawing>
                <wp:inline distT="0" distB="0" distL="0" distR="0" wp14:anchorId="359B2C9A" wp14:editId="1D0AD794">
                  <wp:extent cx="644652" cy="411480"/>
                  <wp:effectExtent l="0" t="0" r="0" b="0"/>
                  <wp:docPr id="735956" name="Picture 735956"/>
                  <wp:cNvGraphicFramePr/>
                  <a:graphic xmlns:a="http://schemas.openxmlformats.org/drawingml/2006/main">
                    <a:graphicData uri="http://schemas.openxmlformats.org/drawingml/2006/picture">
                      <pic:pic xmlns:pic="http://schemas.openxmlformats.org/drawingml/2006/picture">
                        <pic:nvPicPr>
                          <pic:cNvPr id="735956" name="Picture 735956"/>
                          <pic:cNvPicPr/>
                        </pic:nvPicPr>
                        <pic:blipFill>
                          <a:blip r:embed="rId1056"/>
                          <a:stretch>
                            <a:fillRect/>
                          </a:stretch>
                        </pic:blipFill>
                        <pic:spPr>
                          <a:xfrm>
                            <a:off x="0" y="0"/>
                            <a:ext cx="644652" cy="411480"/>
                          </a:xfrm>
                          <a:prstGeom prst="rect">
                            <a:avLst/>
                          </a:prstGeom>
                        </pic:spPr>
                      </pic:pic>
                    </a:graphicData>
                  </a:graphic>
                </wp:inline>
              </w:drawing>
            </w:r>
          </w:p>
        </w:tc>
        <w:tc>
          <w:tcPr>
            <w:tcW w:w="8390" w:type="dxa"/>
            <w:tcBorders>
              <w:top w:val="nil"/>
              <w:left w:val="nil"/>
              <w:bottom w:val="nil"/>
              <w:right w:val="nil"/>
            </w:tcBorders>
          </w:tcPr>
          <w:p w14:paraId="4652B57A" w14:textId="77777777" w:rsidR="00053D93" w:rsidRDefault="00053D93">
            <w:pPr>
              <w:ind w:left="-2098" w:right="10488"/>
            </w:pPr>
          </w:p>
          <w:tbl>
            <w:tblPr>
              <w:tblStyle w:val="TableGrid"/>
              <w:tblW w:w="8387" w:type="dxa"/>
              <w:tblInd w:w="3" w:type="dxa"/>
              <w:tblCellMar>
                <w:right w:w="4" w:type="dxa"/>
              </w:tblCellMar>
              <w:tblLook w:val="04A0" w:firstRow="1" w:lastRow="0" w:firstColumn="1" w:lastColumn="0" w:noHBand="0" w:noVBand="1"/>
            </w:tblPr>
            <w:tblGrid>
              <w:gridCol w:w="302"/>
              <w:gridCol w:w="303"/>
              <w:gridCol w:w="180"/>
              <w:gridCol w:w="802"/>
              <w:gridCol w:w="883"/>
              <w:gridCol w:w="763"/>
              <w:gridCol w:w="1528"/>
              <w:gridCol w:w="2647"/>
              <w:gridCol w:w="979"/>
            </w:tblGrid>
            <w:tr w:rsidR="00053D93" w14:paraId="16487113" w14:textId="77777777">
              <w:trPr>
                <w:trHeight w:val="210"/>
              </w:trPr>
              <w:tc>
                <w:tcPr>
                  <w:tcW w:w="301" w:type="dxa"/>
                  <w:tcBorders>
                    <w:top w:val="single" w:sz="2" w:space="0" w:color="000000"/>
                    <w:left w:val="single" w:sz="2" w:space="0" w:color="000000"/>
                    <w:bottom w:val="single" w:sz="2" w:space="0" w:color="000000"/>
                    <w:right w:val="single" w:sz="2" w:space="0" w:color="000000"/>
                  </w:tcBorders>
                </w:tcPr>
                <w:p w14:paraId="6E08F0CB" w14:textId="77777777" w:rsidR="00053D93" w:rsidRDefault="00053D93"/>
              </w:tc>
              <w:tc>
                <w:tcPr>
                  <w:tcW w:w="1285" w:type="dxa"/>
                  <w:gridSpan w:val="3"/>
                  <w:vMerge w:val="restart"/>
                  <w:tcBorders>
                    <w:top w:val="single" w:sz="2" w:space="0" w:color="000000"/>
                    <w:left w:val="single" w:sz="2" w:space="0" w:color="000000"/>
                    <w:bottom w:val="single" w:sz="2" w:space="0" w:color="000000"/>
                    <w:right w:val="single" w:sz="2" w:space="0" w:color="000000"/>
                  </w:tcBorders>
                </w:tcPr>
                <w:p w14:paraId="680A9607" w14:textId="77777777" w:rsidR="00053D93" w:rsidRDefault="00053D93"/>
              </w:tc>
              <w:tc>
                <w:tcPr>
                  <w:tcW w:w="883" w:type="dxa"/>
                  <w:tcBorders>
                    <w:top w:val="single" w:sz="2" w:space="0" w:color="000000"/>
                    <w:left w:val="single" w:sz="2" w:space="0" w:color="000000"/>
                    <w:bottom w:val="single" w:sz="2" w:space="0" w:color="000000"/>
                    <w:right w:val="single" w:sz="2" w:space="0" w:color="000000"/>
                  </w:tcBorders>
                </w:tcPr>
                <w:p w14:paraId="792A752A" w14:textId="77777777" w:rsidR="00053D93" w:rsidRDefault="00053D93"/>
              </w:tc>
              <w:tc>
                <w:tcPr>
                  <w:tcW w:w="763" w:type="dxa"/>
                  <w:tcBorders>
                    <w:top w:val="single" w:sz="2" w:space="0" w:color="000000"/>
                    <w:left w:val="single" w:sz="2" w:space="0" w:color="000000"/>
                    <w:bottom w:val="single" w:sz="2" w:space="0" w:color="000000"/>
                    <w:right w:val="single" w:sz="2" w:space="0" w:color="000000"/>
                  </w:tcBorders>
                </w:tcPr>
                <w:p w14:paraId="6CDDB84D" w14:textId="77777777" w:rsidR="00053D93" w:rsidRDefault="00053D93"/>
              </w:tc>
              <w:tc>
                <w:tcPr>
                  <w:tcW w:w="1529" w:type="dxa"/>
                  <w:tcBorders>
                    <w:top w:val="single" w:sz="2" w:space="0" w:color="000000"/>
                    <w:left w:val="single" w:sz="2" w:space="0" w:color="000000"/>
                    <w:bottom w:val="single" w:sz="2" w:space="0" w:color="000000"/>
                    <w:right w:val="single" w:sz="2" w:space="0" w:color="000000"/>
                  </w:tcBorders>
                </w:tcPr>
                <w:p w14:paraId="10F45F7B" w14:textId="77777777" w:rsidR="00053D93" w:rsidRDefault="00053D93"/>
              </w:tc>
              <w:tc>
                <w:tcPr>
                  <w:tcW w:w="2647" w:type="dxa"/>
                  <w:tcBorders>
                    <w:top w:val="single" w:sz="2" w:space="0" w:color="000000"/>
                    <w:left w:val="single" w:sz="2" w:space="0" w:color="000000"/>
                    <w:bottom w:val="single" w:sz="2" w:space="0" w:color="000000"/>
                    <w:right w:val="single" w:sz="2" w:space="0" w:color="000000"/>
                  </w:tcBorders>
                </w:tcPr>
                <w:p w14:paraId="09FFAEC1" w14:textId="77777777" w:rsidR="00053D93" w:rsidRDefault="00260B75">
                  <w:pPr>
                    <w:ind w:left="7"/>
                  </w:pPr>
                  <w:r>
                    <w:rPr>
                      <w:sz w:val="18"/>
                    </w:rPr>
                    <w:t>FVR no. JALFVR32P87000216</w:t>
                  </w:r>
                </w:p>
              </w:tc>
              <w:tc>
                <w:tcPr>
                  <w:tcW w:w="979" w:type="dxa"/>
                  <w:tcBorders>
                    <w:top w:val="single" w:sz="2" w:space="0" w:color="000000"/>
                    <w:left w:val="single" w:sz="2" w:space="0" w:color="000000"/>
                    <w:bottom w:val="single" w:sz="2" w:space="0" w:color="000000"/>
                    <w:right w:val="single" w:sz="2" w:space="0" w:color="000000"/>
                  </w:tcBorders>
                </w:tcPr>
                <w:p w14:paraId="30DFD704" w14:textId="77777777" w:rsidR="00053D93" w:rsidRDefault="00260B75">
                  <w:pPr>
                    <w:ind w:left="248"/>
                  </w:pPr>
                  <w:r>
                    <w:rPr>
                      <w:rFonts w:ascii="Times New Roman" w:eastAsia="Times New Roman" w:hAnsi="Times New Roman" w:cs="Times New Roman"/>
                      <w:sz w:val="16"/>
                    </w:rPr>
                    <w:t>30.000.00</w:t>
                  </w:r>
                </w:p>
              </w:tc>
            </w:tr>
            <w:tr w:rsidR="00053D93" w14:paraId="676B71A5" w14:textId="77777777">
              <w:trPr>
                <w:trHeight w:val="2135"/>
              </w:trPr>
              <w:tc>
                <w:tcPr>
                  <w:tcW w:w="301" w:type="dxa"/>
                  <w:tcBorders>
                    <w:top w:val="single" w:sz="2" w:space="0" w:color="000000"/>
                    <w:left w:val="single" w:sz="2" w:space="0" w:color="000000"/>
                    <w:bottom w:val="single" w:sz="2" w:space="0" w:color="000000"/>
                    <w:right w:val="single" w:sz="2" w:space="0" w:color="000000"/>
                  </w:tcBorders>
                </w:tcPr>
                <w:p w14:paraId="7426975A" w14:textId="77777777" w:rsidR="00053D93" w:rsidRDefault="00260B75">
                  <w:pPr>
                    <w:ind w:left="52"/>
                  </w:pPr>
                  <w:r>
                    <w:rPr>
                      <w:rFonts w:ascii="Times New Roman" w:eastAsia="Times New Roman" w:hAnsi="Times New Roman" w:cs="Times New Roman"/>
                      <w:sz w:val="18"/>
                    </w:rPr>
                    <w:t>3</w:t>
                  </w:r>
                </w:p>
              </w:tc>
              <w:tc>
                <w:tcPr>
                  <w:tcW w:w="0" w:type="auto"/>
                  <w:gridSpan w:val="3"/>
                  <w:vMerge/>
                  <w:tcBorders>
                    <w:top w:val="nil"/>
                    <w:left w:val="single" w:sz="2" w:space="0" w:color="000000"/>
                    <w:bottom w:val="single" w:sz="2" w:space="0" w:color="000000"/>
                    <w:right w:val="single" w:sz="2" w:space="0" w:color="000000"/>
                  </w:tcBorders>
                </w:tcPr>
                <w:p w14:paraId="07895368" w14:textId="77777777" w:rsidR="00053D93" w:rsidRDefault="00053D93"/>
              </w:tc>
              <w:tc>
                <w:tcPr>
                  <w:tcW w:w="883" w:type="dxa"/>
                  <w:tcBorders>
                    <w:top w:val="single" w:sz="2" w:space="0" w:color="000000"/>
                    <w:left w:val="single" w:sz="2" w:space="0" w:color="000000"/>
                    <w:bottom w:val="single" w:sz="2" w:space="0" w:color="000000"/>
                    <w:right w:val="single" w:sz="2" w:space="0" w:color="000000"/>
                  </w:tcBorders>
                </w:tcPr>
                <w:p w14:paraId="3A516C10" w14:textId="77777777" w:rsidR="00053D93" w:rsidRDefault="00260B75">
                  <w:pPr>
                    <w:ind w:left="86"/>
                  </w:pPr>
                  <w:r>
                    <w:rPr>
                      <w:rFonts w:ascii="Times New Roman" w:eastAsia="Times New Roman" w:hAnsi="Times New Roman" w:cs="Times New Roman"/>
                      <w:sz w:val="16"/>
                    </w:rPr>
                    <w:t>18/09/2020</w:t>
                  </w:r>
                </w:p>
              </w:tc>
              <w:tc>
                <w:tcPr>
                  <w:tcW w:w="763" w:type="dxa"/>
                  <w:tcBorders>
                    <w:top w:val="single" w:sz="2" w:space="0" w:color="000000"/>
                    <w:left w:val="single" w:sz="2" w:space="0" w:color="000000"/>
                    <w:bottom w:val="single" w:sz="2" w:space="0" w:color="000000"/>
                    <w:right w:val="single" w:sz="2" w:space="0" w:color="000000"/>
                  </w:tcBorders>
                </w:tcPr>
                <w:p w14:paraId="60AB6CE4" w14:textId="77777777" w:rsidR="00053D93" w:rsidRDefault="00053D93"/>
              </w:tc>
              <w:tc>
                <w:tcPr>
                  <w:tcW w:w="1529" w:type="dxa"/>
                  <w:tcBorders>
                    <w:top w:val="single" w:sz="2" w:space="0" w:color="000000"/>
                    <w:left w:val="single" w:sz="2" w:space="0" w:color="000000"/>
                    <w:bottom w:val="single" w:sz="2" w:space="0" w:color="000000"/>
                    <w:right w:val="single" w:sz="2" w:space="0" w:color="000000"/>
                  </w:tcBorders>
                </w:tcPr>
                <w:p w14:paraId="2B7D40D2" w14:textId="77777777" w:rsidR="00053D93" w:rsidRDefault="00260B75">
                  <w:pPr>
                    <w:ind w:right="80"/>
                    <w:jc w:val="center"/>
                  </w:pPr>
                  <w:r>
                    <w:rPr>
                      <w:sz w:val="16"/>
                    </w:rPr>
                    <w:t>003D81B8</w:t>
                  </w:r>
                </w:p>
              </w:tc>
              <w:tc>
                <w:tcPr>
                  <w:tcW w:w="2647" w:type="dxa"/>
                  <w:tcBorders>
                    <w:top w:val="single" w:sz="2" w:space="0" w:color="000000"/>
                    <w:left w:val="single" w:sz="2" w:space="0" w:color="000000"/>
                    <w:bottom w:val="single" w:sz="2" w:space="0" w:color="000000"/>
                    <w:right w:val="single" w:sz="2" w:space="0" w:color="000000"/>
                  </w:tcBorders>
                </w:tcPr>
                <w:p w14:paraId="7F2C7188" w14:textId="77777777" w:rsidR="00053D93" w:rsidRDefault="00260B75">
                  <w:pPr>
                    <w:spacing w:line="242" w:lineRule="auto"/>
                    <w:ind w:right="66" w:hanging="7"/>
                    <w:jc w:val="both"/>
                  </w:pPr>
                  <w:r>
                    <w:rPr>
                      <w:sz w:val="16"/>
                    </w:rPr>
                    <w:t xml:space="preserve">Vehiculo: marca Nissan; Estilo: NP300 Modelo 2019; Desp'azam. 2500 CC; Motor: YD25 683919P; Chasis: 3N6CD33B3ZK394S31; Puertas: </w:t>
                  </w:r>
                  <w:r>
                    <w:rPr>
                      <w:rFonts w:ascii="Times New Roman" w:eastAsia="Times New Roman" w:hAnsi="Times New Roman" w:cs="Times New Roman"/>
                      <w:sz w:val="16"/>
                    </w:rPr>
                    <w:t>4;</w:t>
                  </w:r>
                </w:p>
                <w:p w14:paraId="670C65EA" w14:textId="77777777" w:rsidR="00053D93" w:rsidRDefault="00260B75">
                  <w:r>
                    <w:rPr>
                      <w:sz w:val="16"/>
                    </w:rPr>
                    <w:t>Tipo: Pick Up; Color: gris; Capacidad: 1</w:t>
                  </w:r>
                </w:p>
                <w:p w14:paraId="61AEB76B" w14:textId="77777777" w:rsidR="00053D93" w:rsidRDefault="00260B75">
                  <w:pPr>
                    <w:spacing w:after="8" w:line="234" w:lineRule="auto"/>
                    <w:ind w:left="7" w:hanging="7"/>
                    <w:jc w:val="both"/>
                  </w:pPr>
                  <w:r>
                    <w:rPr>
                      <w:sz w:val="16"/>
                    </w:rPr>
                    <w:t>Ton.; Combustible: Diesel; Póliza: 299 8504010; Aduana: Aduana Centra';</w:t>
                  </w:r>
                </w:p>
                <w:p w14:paraId="06BF75EA" w14:textId="77777777" w:rsidR="00053D93" w:rsidRDefault="00260B75">
                  <w:pPr>
                    <w:spacing w:line="248" w:lineRule="auto"/>
                    <w:ind w:left="7"/>
                  </w:pPr>
                  <w:r>
                    <w:rPr>
                      <w:sz w:val="18"/>
                    </w:rPr>
                    <w:t>Ejes: 2; Cilidros: 4; Asientos: 5; Mn 3N6CD33B3ZK394S31;</w:t>
                  </w:r>
                </w:p>
                <w:p w14:paraId="7A1B5703" w14:textId="77777777" w:rsidR="00053D93" w:rsidRDefault="00260B75">
                  <w:pPr>
                    <w:ind w:left="7"/>
                    <w:jc w:val="both"/>
                  </w:pPr>
                  <w:r>
                    <w:rPr>
                      <w:sz w:val="16"/>
                    </w:rPr>
                    <w:t>3N6CD33B3ZK394631; Uso: oficial; placas: 0-480BBV</w:t>
                  </w:r>
                </w:p>
              </w:tc>
              <w:tc>
                <w:tcPr>
                  <w:tcW w:w="979" w:type="dxa"/>
                  <w:tcBorders>
                    <w:top w:val="single" w:sz="2" w:space="0" w:color="000000"/>
                    <w:left w:val="single" w:sz="2" w:space="0" w:color="000000"/>
                    <w:bottom w:val="single" w:sz="2" w:space="0" w:color="000000"/>
                    <w:right w:val="single" w:sz="2" w:space="0" w:color="000000"/>
                  </w:tcBorders>
                  <w:vAlign w:val="bottom"/>
                </w:tcPr>
                <w:p w14:paraId="05E61976" w14:textId="77777777" w:rsidR="00053D93" w:rsidRDefault="00260B75">
                  <w:pPr>
                    <w:ind w:left="88"/>
                    <w:jc w:val="center"/>
                  </w:pPr>
                  <w:r>
                    <w:rPr>
                      <w:rFonts w:ascii="Times New Roman" w:eastAsia="Times New Roman" w:hAnsi="Times New Roman" w:cs="Times New Roman"/>
                      <w:sz w:val="16"/>
                    </w:rPr>
                    <w:t>168.500.00</w:t>
                  </w:r>
                </w:p>
              </w:tc>
            </w:tr>
            <w:tr w:rsidR="00053D93" w14:paraId="2CD8241A" w14:textId="77777777">
              <w:trPr>
                <w:trHeight w:val="403"/>
              </w:trPr>
              <w:tc>
                <w:tcPr>
                  <w:tcW w:w="2469" w:type="dxa"/>
                  <w:gridSpan w:val="5"/>
                  <w:tcBorders>
                    <w:top w:val="single" w:sz="2" w:space="0" w:color="000000"/>
                    <w:left w:val="single" w:sz="2" w:space="0" w:color="000000"/>
                    <w:bottom w:val="single" w:sz="2" w:space="0" w:color="000000"/>
                    <w:right w:val="single" w:sz="2" w:space="0" w:color="000000"/>
                  </w:tcBorders>
                  <w:vAlign w:val="bottom"/>
                </w:tcPr>
                <w:p w14:paraId="1FF3C679" w14:textId="77777777" w:rsidR="00053D93" w:rsidRDefault="00260B75">
                  <w:pPr>
                    <w:ind w:left="23"/>
                  </w:pPr>
                  <w:r>
                    <w:rPr>
                      <w:sz w:val="16"/>
                    </w:rPr>
                    <w:t>Subtotal</w:t>
                  </w:r>
                </w:p>
              </w:tc>
              <w:tc>
                <w:tcPr>
                  <w:tcW w:w="763" w:type="dxa"/>
                  <w:tcBorders>
                    <w:top w:val="single" w:sz="2" w:space="0" w:color="000000"/>
                    <w:left w:val="single" w:sz="2" w:space="0" w:color="000000"/>
                    <w:bottom w:val="single" w:sz="2" w:space="0" w:color="000000"/>
                    <w:right w:val="single" w:sz="2" w:space="0" w:color="000000"/>
                  </w:tcBorders>
                </w:tcPr>
                <w:p w14:paraId="6611C946" w14:textId="77777777" w:rsidR="00053D93" w:rsidRDefault="00260B75">
                  <w:pPr>
                    <w:ind w:left="31"/>
                    <w:jc w:val="center"/>
                  </w:pPr>
                  <w:r>
                    <w:rPr>
                      <w:rFonts w:ascii="Times New Roman" w:eastAsia="Times New Roman" w:hAnsi="Times New Roman" w:cs="Times New Roman"/>
                      <w:sz w:val="18"/>
                    </w:rPr>
                    <w:t>3</w:t>
                  </w:r>
                </w:p>
              </w:tc>
              <w:tc>
                <w:tcPr>
                  <w:tcW w:w="1529" w:type="dxa"/>
                  <w:tcBorders>
                    <w:top w:val="single" w:sz="2" w:space="0" w:color="000000"/>
                    <w:left w:val="single" w:sz="2" w:space="0" w:color="000000"/>
                    <w:bottom w:val="single" w:sz="2" w:space="0" w:color="000000"/>
                    <w:right w:val="single" w:sz="2" w:space="0" w:color="000000"/>
                  </w:tcBorders>
                </w:tcPr>
                <w:p w14:paraId="536380E8" w14:textId="77777777" w:rsidR="00053D93" w:rsidRDefault="00053D93"/>
              </w:tc>
              <w:tc>
                <w:tcPr>
                  <w:tcW w:w="2647" w:type="dxa"/>
                  <w:tcBorders>
                    <w:top w:val="single" w:sz="2" w:space="0" w:color="000000"/>
                    <w:left w:val="single" w:sz="2" w:space="0" w:color="000000"/>
                    <w:bottom w:val="single" w:sz="2" w:space="0" w:color="000000"/>
                    <w:right w:val="single" w:sz="2" w:space="0" w:color="000000"/>
                  </w:tcBorders>
                </w:tcPr>
                <w:p w14:paraId="2B553580" w14:textId="77777777" w:rsidR="00053D93" w:rsidRDefault="00053D93"/>
              </w:tc>
              <w:tc>
                <w:tcPr>
                  <w:tcW w:w="979" w:type="dxa"/>
                  <w:tcBorders>
                    <w:top w:val="single" w:sz="2" w:space="0" w:color="000000"/>
                    <w:left w:val="single" w:sz="2" w:space="0" w:color="000000"/>
                    <w:bottom w:val="single" w:sz="2" w:space="0" w:color="000000"/>
                    <w:right w:val="single" w:sz="2" w:space="0" w:color="000000"/>
                  </w:tcBorders>
                  <w:vAlign w:val="bottom"/>
                </w:tcPr>
                <w:p w14:paraId="7EF23495" w14:textId="77777777" w:rsidR="00053D93" w:rsidRDefault="00260B75">
                  <w:pPr>
                    <w:ind w:left="81"/>
                    <w:jc w:val="center"/>
                  </w:pPr>
                  <w:r>
                    <w:rPr>
                      <w:rFonts w:ascii="Times New Roman" w:eastAsia="Times New Roman" w:hAnsi="Times New Roman" w:cs="Times New Roman"/>
                      <w:sz w:val="16"/>
                    </w:rPr>
                    <w:t>559.641.65</w:t>
                  </w:r>
                </w:p>
              </w:tc>
            </w:tr>
            <w:tr w:rsidR="00053D93" w14:paraId="6E4DA9AA" w14:textId="77777777">
              <w:trPr>
                <w:trHeight w:val="209"/>
              </w:trPr>
              <w:tc>
                <w:tcPr>
                  <w:tcW w:w="3232" w:type="dxa"/>
                  <w:gridSpan w:val="6"/>
                  <w:tcBorders>
                    <w:top w:val="single" w:sz="2" w:space="0" w:color="000000"/>
                    <w:left w:val="single" w:sz="2" w:space="0" w:color="000000"/>
                    <w:bottom w:val="single" w:sz="2" w:space="0" w:color="000000"/>
                    <w:right w:val="single" w:sz="2" w:space="0" w:color="000000"/>
                  </w:tcBorders>
                </w:tcPr>
                <w:p w14:paraId="7AEDC98A" w14:textId="77777777" w:rsidR="00053D93" w:rsidRDefault="00260B75">
                  <w:pPr>
                    <w:ind w:left="-5"/>
                  </w:pPr>
                  <w:r>
                    <w:rPr>
                      <w:rFonts w:ascii="Times New Roman" w:eastAsia="Times New Roman" w:hAnsi="Times New Roman" w:cs="Times New Roman"/>
                      <w:sz w:val="12"/>
                    </w:rPr>
                    <w:t>Código:</w:t>
                  </w:r>
                </w:p>
              </w:tc>
              <w:tc>
                <w:tcPr>
                  <w:tcW w:w="4176" w:type="dxa"/>
                  <w:gridSpan w:val="2"/>
                  <w:tcBorders>
                    <w:top w:val="single" w:sz="2" w:space="0" w:color="000000"/>
                    <w:left w:val="single" w:sz="2" w:space="0" w:color="000000"/>
                    <w:bottom w:val="single" w:sz="2" w:space="0" w:color="000000"/>
                    <w:right w:val="nil"/>
                  </w:tcBorders>
                </w:tcPr>
                <w:p w14:paraId="0F59BA02" w14:textId="77777777" w:rsidR="00053D93" w:rsidRDefault="00260B75">
                  <w:pPr>
                    <w:ind w:left="75"/>
                  </w:pPr>
                  <w:r>
                    <w:rPr>
                      <w:rFonts w:ascii="Times New Roman" w:eastAsia="Times New Roman" w:hAnsi="Times New Roman" w:cs="Times New Roman"/>
                      <w:sz w:val="16"/>
                    </w:rPr>
                    <w:t>990039793</w:t>
                  </w:r>
                </w:p>
              </w:tc>
              <w:tc>
                <w:tcPr>
                  <w:tcW w:w="979" w:type="dxa"/>
                  <w:tcBorders>
                    <w:top w:val="single" w:sz="2" w:space="0" w:color="000000"/>
                    <w:left w:val="nil"/>
                    <w:bottom w:val="single" w:sz="2" w:space="0" w:color="000000"/>
                    <w:right w:val="single" w:sz="2" w:space="0" w:color="000000"/>
                  </w:tcBorders>
                </w:tcPr>
                <w:p w14:paraId="00419069" w14:textId="77777777" w:rsidR="00053D93" w:rsidRDefault="00053D93"/>
              </w:tc>
            </w:tr>
            <w:tr w:rsidR="00053D93" w14:paraId="2E460E4A" w14:textId="77777777">
              <w:trPr>
                <w:trHeight w:val="212"/>
              </w:trPr>
              <w:tc>
                <w:tcPr>
                  <w:tcW w:w="3232" w:type="dxa"/>
                  <w:gridSpan w:val="6"/>
                  <w:tcBorders>
                    <w:top w:val="single" w:sz="2" w:space="0" w:color="000000"/>
                    <w:left w:val="single" w:sz="2" w:space="0" w:color="000000"/>
                    <w:bottom w:val="single" w:sz="2" w:space="0" w:color="000000"/>
                    <w:right w:val="single" w:sz="2" w:space="0" w:color="000000"/>
                  </w:tcBorders>
                </w:tcPr>
                <w:p w14:paraId="3472CE54" w14:textId="77777777" w:rsidR="00053D93" w:rsidRDefault="00260B75">
                  <w:pPr>
                    <w:ind w:left="-5"/>
                  </w:pPr>
                  <w:r>
                    <w:rPr>
                      <w:sz w:val="16"/>
                    </w:rPr>
                    <w:t>Puesto Nominal:</w:t>
                  </w:r>
                </w:p>
              </w:tc>
              <w:tc>
                <w:tcPr>
                  <w:tcW w:w="4176" w:type="dxa"/>
                  <w:gridSpan w:val="2"/>
                  <w:tcBorders>
                    <w:top w:val="single" w:sz="2" w:space="0" w:color="000000"/>
                    <w:left w:val="single" w:sz="2" w:space="0" w:color="000000"/>
                    <w:bottom w:val="single" w:sz="2" w:space="0" w:color="000000"/>
                    <w:right w:val="nil"/>
                  </w:tcBorders>
                </w:tcPr>
                <w:p w14:paraId="33624036" w14:textId="77777777" w:rsidR="00053D93" w:rsidRDefault="00260B75">
                  <w:pPr>
                    <w:ind w:left="75"/>
                  </w:pPr>
                  <w:r>
                    <w:rPr>
                      <w:sz w:val="16"/>
                    </w:rPr>
                    <w:t>Catedrático Especializado T.C.</w:t>
                  </w:r>
                </w:p>
              </w:tc>
              <w:tc>
                <w:tcPr>
                  <w:tcW w:w="979" w:type="dxa"/>
                  <w:tcBorders>
                    <w:top w:val="single" w:sz="2" w:space="0" w:color="000000"/>
                    <w:left w:val="nil"/>
                    <w:bottom w:val="single" w:sz="2" w:space="0" w:color="000000"/>
                    <w:right w:val="single" w:sz="2" w:space="0" w:color="000000"/>
                  </w:tcBorders>
                </w:tcPr>
                <w:p w14:paraId="5B462D55" w14:textId="77777777" w:rsidR="00053D93" w:rsidRDefault="00053D93"/>
              </w:tc>
            </w:tr>
            <w:tr w:rsidR="00053D93" w14:paraId="2E374A78" w14:textId="77777777">
              <w:trPr>
                <w:trHeight w:val="209"/>
              </w:trPr>
              <w:tc>
                <w:tcPr>
                  <w:tcW w:w="3232" w:type="dxa"/>
                  <w:gridSpan w:val="6"/>
                  <w:tcBorders>
                    <w:top w:val="single" w:sz="2" w:space="0" w:color="000000"/>
                    <w:left w:val="single" w:sz="2" w:space="0" w:color="000000"/>
                    <w:bottom w:val="single" w:sz="2" w:space="0" w:color="000000"/>
                    <w:right w:val="single" w:sz="2" w:space="0" w:color="000000"/>
                  </w:tcBorders>
                </w:tcPr>
                <w:p w14:paraId="509F02C0" w14:textId="77777777" w:rsidR="00053D93" w:rsidRDefault="00260B75">
                  <w:pPr>
                    <w:ind w:left="-13"/>
                  </w:pPr>
                  <w:r>
                    <w:rPr>
                      <w:sz w:val="16"/>
                    </w:rPr>
                    <w:t>Período laborado:</w:t>
                  </w:r>
                </w:p>
              </w:tc>
              <w:tc>
                <w:tcPr>
                  <w:tcW w:w="4176" w:type="dxa"/>
                  <w:gridSpan w:val="2"/>
                  <w:tcBorders>
                    <w:top w:val="single" w:sz="2" w:space="0" w:color="000000"/>
                    <w:left w:val="single" w:sz="2" w:space="0" w:color="000000"/>
                    <w:bottom w:val="single" w:sz="2" w:space="0" w:color="000000"/>
                    <w:right w:val="nil"/>
                  </w:tcBorders>
                </w:tcPr>
                <w:p w14:paraId="7F395FBB" w14:textId="77777777" w:rsidR="00053D93" w:rsidRDefault="00260B75">
                  <w:pPr>
                    <w:ind w:left="75"/>
                  </w:pPr>
                  <w:r>
                    <w:rPr>
                      <w:sz w:val="16"/>
                    </w:rPr>
                    <w:t>Del 02/01/2013 at 01/06/2019</w:t>
                  </w:r>
                </w:p>
              </w:tc>
              <w:tc>
                <w:tcPr>
                  <w:tcW w:w="979" w:type="dxa"/>
                  <w:tcBorders>
                    <w:top w:val="single" w:sz="2" w:space="0" w:color="000000"/>
                    <w:left w:val="nil"/>
                    <w:bottom w:val="single" w:sz="2" w:space="0" w:color="000000"/>
                    <w:right w:val="single" w:sz="2" w:space="0" w:color="000000"/>
                  </w:tcBorders>
                </w:tcPr>
                <w:p w14:paraId="571A7CEC" w14:textId="77777777" w:rsidR="00053D93" w:rsidRDefault="00053D93"/>
              </w:tc>
            </w:tr>
            <w:tr w:rsidR="00053D93" w14:paraId="7D5004A7" w14:textId="77777777">
              <w:trPr>
                <w:trHeight w:val="403"/>
              </w:trPr>
              <w:tc>
                <w:tcPr>
                  <w:tcW w:w="3232" w:type="dxa"/>
                  <w:gridSpan w:val="6"/>
                  <w:tcBorders>
                    <w:top w:val="single" w:sz="2" w:space="0" w:color="000000"/>
                    <w:left w:val="single" w:sz="2" w:space="0" w:color="000000"/>
                    <w:bottom w:val="single" w:sz="2" w:space="0" w:color="000000"/>
                    <w:right w:val="single" w:sz="2" w:space="0" w:color="000000"/>
                  </w:tcBorders>
                </w:tcPr>
                <w:p w14:paraId="1A30A42E" w14:textId="77777777" w:rsidR="00053D93" w:rsidRDefault="00260B75">
                  <w:pPr>
                    <w:ind w:left="-5"/>
                  </w:pPr>
                  <w:r>
                    <w:rPr>
                      <w:sz w:val="16"/>
                    </w:rPr>
                    <w:t>Puesto funcional registrado en Tarjeta de Responsabilidad</w:t>
                  </w:r>
                </w:p>
              </w:tc>
              <w:tc>
                <w:tcPr>
                  <w:tcW w:w="4176" w:type="dxa"/>
                  <w:gridSpan w:val="2"/>
                  <w:tcBorders>
                    <w:top w:val="single" w:sz="2" w:space="0" w:color="000000"/>
                    <w:left w:val="single" w:sz="2" w:space="0" w:color="000000"/>
                    <w:bottom w:val="single" w:sz="2" w:space="0" w:color="000000"/>
                    <w:right w:val="nil"/>
                  </w:tcBorders>
                  <w:vAlign w:val="bottom"/>
                </w:tcPr>
                <w:p w14:paraId="5717303B" w14:textId="77777777" w:rsidR="00053D93" w:rsidRDefault="00260B75">
                  <w:pPr>
                    <w:ind w:left="75"/>
                  </w:pPr>
                  <w:r>
                    <w:rPr>
                      <w:sz w:val="16"/>
                    </w:rPr>
                    <w:t>Director, a.i.</w:t>
                  </w:r>
                </w:p>
              </w:tc>
              <w:tc>
                <w:tcPr>
                  <w:tcW w:w="979" w:type="dxa"/>
                  <w:tcBorders>
                    <w:top w:val="single" w:sz="2" w:space="0" w:color="000000"/>
                    <w:left w:val="nil"/>
                    <w:bottom w:val="single" w:sz="2" w:space="0" w:color="000000"/>
                    <w:right w:val="single" w:sz="2" w:space="0" w:color="000000"/>
                  </w:tcBorders>
                </w:tcPr>
                <w:p w14:paraId="2FA23821" w14:textId="77777777" w:rsidR="00053D93" w:rsidRDefault="00053D93"/>
              </w:tc>
            </w:tr>
            <w:tr w:rsidR="00053D93" w14:paraId="08DACC10" w14:textId="77777777">
              <w:trPr>
                <w:trHeight w:val="403"/>
              </w:trPr>
              <w:tc>
                <w:tcPr>
                  <w:tcW w:w="3232" w:type="dxa"/>
                  <w:gridSpan w:val="6"/>
                  <w:tcBorders>
                    <w:top w:val="single" w:sz="2" w:space="0" w:color="000000"/>
                    <w:left w:val="single" w:sz="2" w:space="0" w:color="000000"/>
                    <w:bottom w:val="single" w:sz="2" w:space="0" w:color="000000"/>
                    <w:right w:val="single" w:sz="2" w:space="0" w:color="000000"/>
                  </w:tcBorders>
                </w:tcPr>
                <w:p w14:paraId="01CF837E" w14:textId="77777777" w:rsidR="00053D93" w:rsidRDefault="00260B75">
                  <w:pPr>
                    <w:ind w:left="-5"/>
                  </w:pPr>
                  <w:r>
                    <w:rPr>
                      <w:sz w:val="16"/>
                    </w:rPr>
                    <w:t>Unidad Administrativa registrada en Tarjeta de Responsabilidad:</w:t>
                  </w:r>
                </w:p>
              </w:tc>
              <w:tc>
                <w:tcPr>
                  <w:tcW w:w="4176" w:type="dxa"/>
                  <w:gridSpan w:val="2"/>
                  <w:tcBorders>
                    <w:top w:val="single" w:sz="2" w:space="0" w:color="000000"/>
                    <w:left w:val="single" w:sz="2" w:space="0" w:color="000000"/>
                    <w:bottom w:val="single" w:sz="2" w:space="0" w:color="000000"/>
                    <w:right w:val="nil"/>
                  </w:tcBorders>
                </w:tcPr>
                <w:p w14:paraId="10F41FF7" w14:textId="77777777" w:rsidR="00053D93" w:rsidRDefault="00260B75">
                  <w:pPr>
                    <w:ind w:left="82"/>
                  </w:pPr>
                  <w:r>
                    <w:rPr>
                      <w:sz w:val="16"/>
                    </w:rPr>
                    <w:t>Escuela Normal Central de Educación Fisica</w:t>
                  </w:r>
                </w:p>
              </w:tc>
              <w:tc>
                <w:tcPr>
                  <w:tcW w:w="979" w:type="dxa"/>
                  <w:tcBorders>
                    <w:top w:val="single" w:sz="2" w:space="0" w:color="000000"/>
                    <w:left w:val="nil"/>
                    <w:bottom w:val="single" w:sz="2" w:space="0" w:color="000000"/>
                    <w:right w:val="single" w:sz="2" w:space="0" w:color="000000"/>
                  </w:tcBorders>
                </w:tcPr>
                <w:p w14:paraId="007AFA23" w14:textId="77777777" w:rsidR="00053D93" w:rsidRDefault="00053D93"/>
              </w:tc>
            </w:tr>
            <w:tr w:rsidR="00053D93" w14:paraId="2169464A" w14:textId="77777777">
              <w:trPr>
                <w:trHeight w:val="616"/>
              </w:trPr>
              <w:tc>
                <w:tcPr>
                  <w:tcW w:w="301" w:type="dxa"/>
                  <w:tcBorders>
                    <w:top w:val="single" w:sz="2" w:space="0" w:color="000000"/>
                    <w:left w:val="single" w:sz="2" w:space="0" w:color="000000"/>
                    <w:bottom w:val="single" w:sz="2" w:space="0" w:color="000000"/>
                    <w:right w:val="single" w:sz="2" w:space="0" w:color="000000"/>
                  </w:tcBorders>
                </w:tcPr>
                <w:p w14:paraId="4CD32FE5" w14:textId="77777777" w:rsidR="00053D93" w:rsidRDefault="00260B75">
                  <w:pPr>
                    <w:ind w:left="-5"/>
                  </w:pPr>
                  <w:r>
                    <w:rPr>
                      <w:rFonts w:ascii="Times New Roman" w:eastAsia="Times New Roman" w:hAnsi="Times New Roman" w:cs="Times New Roman"/>
                      <w:sz w:val="16"/>
                    </w:rPr>
                    <w:t>No.</w:t>
                  </w:r>
                </w:p>
              </w:tc>
              <w:tc>
                <w:tcPr>
                  <w:tcW w:w="1285" w:type="dxa"/>
                  <w:gridSpan w:val="3"/>
                  <w:tcBorders>
                    <w:top w:val="single" w:sz="2" w:space="0" w:color="000000"/>
                    <w:left w:val="single" w:sz="2" w:space="0" w:color="000000"/>
                    <w:bottom w:val="single" w:sz="2" w:space="0" w:color="000000"/>
                    <w:right w:val="single" w:sz="2" w:space="0" w:color="000000"/>
                  </w:tcBorders>
                </w:tcPr>
                <w:p w14:paraId="5CE13E5E" w14:textId="77777777" w:rsidR="00053D93" w:rsidRDefault="00260B75">
                  <w:pPr>
                    <w:spacing w:line="261" w:lineRule="auto"/>
                    <w:ind w:left="558" w:right="18" w:hanging="396"/>
                  </w:pPr>
                  <w:r>
                    <w:rPr>
                      <w:sz w:val="18"/>
                    </w:rPr>
                    <w:t>No. De Tarjeta de</w:t>
                  </w:r>
                </w:p>
                <w:p w14:paraId="482279F5" w14:textId="77777777" w:rsidR="00053D93" w:rsidRDefault="00260B75">
                  <w:pPr>
                    <w:ind w:left="76"/>
                  </w:pPr>
                  <w:r>
                    <w:rPr>
                      <w:sz w:val="18"/>
                    </w:rPr>
                    <w:t>Responsabilidad</w:t>
                  </w:r>
                </w:p>
              </w:tc>
              <w:tc>
                <w:tcPr>
                  <w:tcW w:w="883" w:type="dxa"/>
                  <w:tcBorders>
                    <w:top w:val="single" w:sz="2" w:space="0" w:color="000000"/>
                    <w:left w:val="single" w:sz="2" w:space="0" w:color="000000"/>
                    <w:bottom w:val="single" w:sz="2" w:space="0" w:color="000000"/>
                    <w:right w:val="single" w:sz="2" w:space="0" w:color="000000"/>
                  </w:tcBorders>
                </w:tcPr>
                <w:p w14:paraId="6DAD95BA" w14:textId="77777777" w:rsidR="00053D93" w:rsidRDefault="00260B75">
                  <w:pPr>
                    <w:ind w:right="1"/>
                    <w:jc w:val="center"/>
                  </w:pPr>
                  <w:r>
                    <w:rPr>
                      <w:sz w:val="18"/>
                    </w:rPr>
                    <w:t>Fecha</w:t>
                  </w:r>
                </w:p>
              </w:tc>
              <w:tc>
                <w:tcPr>
                  <w:tcW w:w="763" w:type="dxa"/>
                  <w:tcBorders>
                    <w:top w:val="single" w:sz="2" w:space="0" w:color="000000"/>
                    <w:left w:val="single" w:sz="2" w:space="0" w:color="000000"/>
                    <w:bottom w:val="single" w:sz="2" w:space="0" w:color="000000"/>
                    <w:right w:val="single" w:sz="2" w:space="0" w:color="000000"/>
                  </w:tcBorders>
                </w:tcPr>
                <w:p w14:paraId="3755E5B9" w14:textId="77777777" w:rsidR="00053D93" w:rsidRDefault="00260B75">
                  <w:pPr>
                    <w:ind w:left="82"/>
                  </w:pPr>
                  <w:r>
                    <w:rPr>
                      <w:sz w:val="18"/>
                    </w:rPr>
                    <w:t>Cantidad</w:t>
                  </w:r>
                </w:p>
              </w:tc>
              <w:tc>
                <w:tcPr>
                  <w:tcW w:w="1529" w:type="dxa"/>
                  <w:tcBorders>
                    <w:top w:val="single" w:sz="2" w:space="0" w:color="000000"/>
                    <w:left w:val="single" w:sz="2" w:space="0" w:color="000000"/>
                    <w:bottom w:val="single" w:sz="2" w:space="0" w:color="000000"/>
                    <w:right w:val="single" w:sz="2" w:space="0" w:color="000000"/>
                  </w:tcBorders>
                </w:tcPr>
                <w:p w14:paraId="755ACC6F" w14:textId="77777777" w:rsidR="00053D93" w:rsidRDefault="00260B75">
                  <w:pPr>
                    <w:ind w:left="78"/>
                    <w:jc w:val="center"/>
                  </w:pPr>
                  <w:r>
                    <w:rPr>
                      <w:sz w:val="18"/>
                    </w:rPr>
                    <w:t>Código</w:t>
                  </w:r>
                </w:p>
              </w:tc>
              <w:tc>
                <w:tcPr>
                  <w:tcW w:w="2647" w:type="dxa"/>
                  <w:tcBorders>
                    <w:top w:val="single" w:sz="2" w:space="0" w:color="000000"/>
                    <w:left w:val="single" w:sz="2" w:space="0" w:color="000000"/>
                    <w:bottom w:val="single" w:sz="2" w:space="0" w:color="000000"/>
                    <w:right w:val="single" w:sz="2" w:space="0" w:color="000000"/>
                  </w:tcBorders>
                </w:tcPr>
                <w:p w14:paraId="3761C38C" w14:textId="77777777" w:rsidR="00053D93" w:rsidRDefault="00260B75">
                  <w:pPr>
                    <w:ind w:left="50"/>
                    <w:jc w:val="center"/>
                  </w:pPr>
                  <w:r>
                    <w:rPr>
                      <w:sz w:val="18"/>
                    </w:rPr>
                    <w:t>Descripción</w:t>
                  </w:r>
                </w:p>
              </w:tc>
              <w:tc>
                <w:tcPr>
                  <w:tcW w:w="979" w:type="dxa"/>
                  <w:tcBorders>
                    <w:top w:val="single" w:sz="2" w:space="0" w:color="000000"/>
                    <w:left w:val="single" w:sz="2" w:space="0" w:color="000000"/>
                    <w:bottom w:val="single" w:sz="2" w:space="0" w:color="000000"/>
                    <w:right w:val="single" w:sz="2" w:space="0" w:color="000000"/>
                  </w:tcBorders>
                </w:tcPr>
                <w:p w14:paraId="3C97AA33" w14:textId="77777777" w:rsidR="00053D93" w:rsidRDefault="00260B75">
                  <w:pPr>
                    <w:ind w:right="80"/>
                    <w:jc w:val="right"/>
                  </w:pPr>
                  <w:r>
                    <w:rPr>
                      <w:sz w:val="18"/>
                    </w:rPr>
                    <w:t>saldo</w:t>
                  </w:r>
                </w:p>
              </w:tc>
            </w:tr>
            <w:tr w:rsidR="00053D93" w14:paraId="06E47993" w14:textId="77777777">
              <w:trPr>
                <w:trHeight w:val="2115"/>
              </w:trPr>
              <w:tc>
                <w:tcPr>
                  <w:tcW w:w="301" w:type="dxa"/>
                  <w:tcBorders>
                    <w:top w:val="single" w:sz="2" w:space="0" w:color="000000"/>
                    <w:left w:val="single" w:sz="2" w:space="0" w:color="000000"/>
                    <w:bottom w:val="single" w:sz="2" w:space="0" w:color="000000"/>
                    <w:right w:val="single" w:sz="2" w:space="0" w:color="000000"/>
                  </w:tcBorders>
                </w:tcPr>
                <w:p w14:paraId="5EBA3D9A" w14:textId="77777777" w:rsidR="00053D93" w:rsidRDefault="00053D93"/>
              </w:tc>
              <w:tc>
                <w:tcPr>
                  <w:tcW w:w="1285" w:type="dxa"/>
                  <w:gridSpan w:val="3"/>
                  <w:vMerge w:val="restart"/>
                  <w:tcBorders>
                    <w:top w:val="single" w:sz="2" w:space="0" w:color="000000"/>
                    <w:left w:val="single" w:sz="2" w:space="0" w:color="000000"/>
                    <w:bottom w:val="nil"/>
                    <w:right w:val="single" w:sz="2" w:space="0" w:color="000000"/>
                  </w:tcBorders>
                </w:tcPr>
                <w:p w14:paraId="29DA2A0B" w14:textId="77777777" w:rsidR="00053D93" w:rsidRDefault="00260B75">
                  <w:pPr>
                    <w:ind w:right="14"/>
                    <w:jc w:val="center"/>
                  </w:pPr>
                  <w:r>
                    <w:rPr>
                      <w:rFonts w:ascii="Times New Roman" w:eastAsia="Times New Roman" w:hAnsi="Times New Roman" w:cs="Times New Roman"/>
                      <w:sz w:val="16"/>
                    </w:rPr>
                    <w:t>002865</w:t>
                  </w:r>
                </w:p>
              </w:tc>
              <w:tc>
                <w:tcPr>
                  <w:tcW w:w="883" w:type="dxa"/>
                  <w:tcBorders>
                    <w:top w:val="single" w:sz="2" w:space="0" w:color="000000"/>
                    <w:left w:val="single" w:sz="2" w:space="0" w:color="000000"/>
                    <w:bottom w:val="single" w:sz="2" w:space="0" w:color="000000"/>
                    <w:right w:val="single" w:sz="2" w:space="0" w:color="000000"/>
                  </w:tcBorders>
                </w:tcPr>
                <w:p w14:paraId="318BAD75" w14:textId="77777777" w:rsidR="00053D93" w:rsidRDefault="00260B75">
                  <w:pPr>
                    <w:ind w:left="79"/>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568A2397" w14:textId="77777777" w:rsidR="00053D93" w:rsidRDefault="00053D93"/>
              </w:tc>
              <w:tc>
                <w:tcPr>
                  <w:tcW w:w="1529" w:type="dxa"/>
                  <w:tcBorders>
                    <w:top w:val="single" w:sz="2" w:space="0" w:color="000000"/>
                    <w:left w:val="single" w:sz="2" w:space="0" w:color="000000"/>
                    <w:bottom w:val="single" w:sz="2" w:space="0" w:color="000000"/>
                    <w:right w:val="single" w:sz="2" w:space="0" w:color="000000"/>
                  </w:tcBorders>
                </w:tcPr>
                <w:p w14:paraId="0C8439A4" w14:textId="77777777" w:rsidR="00053D93" w:rsidRDefault="00260B75">
                  <w:pPr>
                    <w:ind w:left="71"/>
                    <w:jc w:val="center"/>
                  </w:pPr>
                  <w:r>
                    <w:rPr>
                      <w:sz w:val="16"/>
                    </w:rPr>
                    <w:t>000FFAB0</w:t>
                  </w:r>
                </w:p>
              </w:tc>
              <w:tc>
                <w:tcPr>
                  <w:tcW w:w="2647" w:type="dxa"/>
                  <w:tcBorders>
                    <w:top w:val="single" w:sz="2" w:space="0" w:color="000000"/>
                    <w:left w:val="single" w:sz="2" w:space="0" w:color="000000"/>
                    <w:bottom w:val="single" w:sz="2" w:space="0" w:color="000000"/>
                    <w:right w:val="single" w:sz="2" w:space="0" w:color="000000"/>
                  </w:tcBorders>
                </w:tcPr>
                <w:p w14:paraId="47A3FDA1" w14:textId="77777777" w:rsidR="00053D93" w:rsidRDefault="00260B75">
                  <w:pPr>
                    <w:ind w:left="151" w:right="87"/>
                    <w:jc w:val="both"/>
                  </w:pPr>
                  <w:r>
                    <w:rPr>
                      <w:sz w:val="16"/>
                    </w:rPr>
                    <w:t>Automóvil marca TOYOTA modelo 2,008 color Plateado Mica Metálico, línea varis serie NCP93L.BEMRK, de 5 pasajeros, combustible gasolina, 4 puertas, 4 cilindros. 2 ejes, c.c. 1496 Caja Mecánica de 5 velocidades retroceso, herramienta. cobertores de Win, Chasis JTDBT933984017586, Motor 1 NZ-C876605, Placas No. 0-164BBG.</w:t>
                  </w:r>
                </w:p>
              </w:tc>
              <w:tc>
                <w:tcPr>
                  <w:tcW w:w="979" w:type="dxa"/>
                  <w:tcBorders>
                    <w:top w:val="single" w:sz="2" w:space="0" w:color="000000"/>
                    <w:left w:val="single" w:sz="2" w:space="0" w:color="000000"/>
                    <w:bottom w:val="single" w:sz="2" w:space="0" w:color="000000"/>
                    <w:right w:val="single" w:sz="2" w:space="0" w:color="000000"/>
                  </w:tcBorders>
                  <w:vAlign w:val="bottom"/>
                </w:tcPr>
                <w:p w14:paraId="7945D40A" w14:textId="77777777" w:rsidR="00053D93" w:rsidRDefault="00260B75">
                  <w:pPr>
                    <w:ind w:left="262"/>
                  </w:pPr>
                  <w:r>
                    <w:rPr>
                      <w:rFonts w:ascii="Times New Roman" w:eastAsia="Times New Roman" w:hAnsi="Times New Roman" w:cs="Times New Roman"/>
                      <w:sz w:val="16"/>
                    </w:rPr>
                    <w:t>94.209.00</w:t>
                  </w:r>
                </w:p>
              </w:tc>
            </w:tr>
            <w:tr w:rsidR="00053D93" w14:paraId="700367A3" w14:textId="77777777">
              <w:trPr>
                <w:trHeight w:val="2690"/>
              </w:trPr>
              <w:tc>
                <w:tcPr>
                  <w:tcW w:w="301" w:type="dxa"/>
                  <w:tcBorders>
                    <w:top w:val="single" w:sz="2" w:space="0" w:color="000000"/>
                    <w:left w:val="single" w:sz="2" w:space="0" w:color="000000"/>
                    <w:bottom w:val="single" w:sz="2" w:space="0" w:color="000000"/>
                    <w:right w:val="single" w:sz="2" w:space="0" w:color="000000"/>
                  </w:tcBorders>
                </w:tcPr>
                <w:p w14:paraId="0618AC49" w14:textId="77777777" w:rsidR="00053D93" w:rsidRDefault="00260B75">
                  <w:pPr>
                    <w:ind w:left="74"/>
                  </w:pPr>
                  <w:r>
                    <w:rPr>
                      <w:rFonts w:ascii="Times New Roman" w:eastAsia="Times New Roman" w:hAnsi="Times New Roman" w:cs="Times New Roman"/>
                      <w:sz w:val="14"/>
                    </w:rPr>
                    <w:t>2</w:t>
                  </w:r>
                </w:p>
              </w:tc>
              <w:tc>
                <w:tcPr>
                  <w:tcW w:w="0" w:type="auto"/>
                  <w:gridSpan w:val="3"/>
                  <w:vMerge/>
                  <w:tcBorders>
                    <w:top w:val="nil"/>
                    <w:left w:val="single" w:sz="2" w:space="0" w:color="000000"/>
                    <w:bottom w:val="nil"/>
                    <w:right w:val="single" w:sz="2" w:space="0" w:color="000000"/>
                  </w:tcBorders>
                </w:tcPr>
                <w:p w14:paraId="7B96229D" w14:textId="77777777" w:rsidR="00053D93" w:rsidRDefault="00053D93"/>
              </w:tc>
              <w:tc>
                <w:tcPr>
                  <w:tcW w:w="883" w:type="dxa"/>
                  <w:tcBorders>
                    <w:top w:val="single" w:sz="2" w:space="0" w:color="000000"/>
                    <w:left w:val="single" w:sz="2" w:space="0" w:color="000000"/>
                    <w:bottom w:val="single" w:sz="2" w:space="0" w:color="000000"/>
                    <w:right w:val="single" w:sz="2" w:space="0" w:color="000000"/>
                  </w:tcBorders>
                </w:tcPr>
                <w:p w14:paraId="49BAE6C8" w14:textId="77777777" w:rsidR="00053D93" w:rsidRDefault="00260B75">
                  <w:pPr>
                    <w:ind w:left="86"/>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22346957" w14:textId="77777777" w:rsidR="00053D93" w:rsidRDefault="00260B75">
                  <w:pPr>
                    <w:ind w:left="2"/>
                    <w:jc w:val="center"/>
                  </w:pPr>
                  <w:r>
                    <w:rPr>
                      <w:rFonts w:ascii="Times New Roman" w:eastAsia="Times New Roman" w:hAnsi="Times New Roman" w:cs="Times New Roman"/>
                      <w:sz w:val="16"/>
                    </w:rPr>
                    <w:t>5</w:t>
                  </w:r>
                </w:p>
              </w:tc>
              <w:tc>
                <w:tcPr>
                  <w:tcW w:w="1529" w:type="dxa"/>
                  <w:tcBorders>
                    <w:top w:val="single" w:sz="2" w:space="0" w:color="000000"/>
                    <w:left w:val="single" w:sz="2" w:space="0" w:color="000000"/>
                    <w:bottom w:val="single" w:sz="2" w:space="0" w:color="000000"/>
                    <w:right w:val="single" w:sz="2" w:space="0" w:color="000000"/>
                  </w:tcBorders>
                </w:tcPr>
                <w:p w14:paraId="4FB9EA8C" w14:textId="77777777" w:rsidR="00053D93" w:rsidRDefault="00260B75">
                  <w:pPr>
                    <w:ind w:left="78"/>
                    <w:jc w:val="center"/>
                  </w:pPr>
                  <w:r>
                    <w:rPr>
                      <w:sz w:val="20"/>
                    </w:rPr>
                    <w:t>001 ISFD6.</w:t>
                  </w:r>
                </w:p>
                <w:p w14:paraId="2A67E2B0" w14:textId="77777777" w:rsidR="00053D93" w:rsidRDefault="00260B75">
                  <w:pPr>
                    <w:ind w:left="111"/>
                  </w:pPr>
                  <w:r>
                    <w:rPr>
                      <w:sz w:val="16"/>
                    </w:rPr>
                    <w:t>001 15FDD, 0115FE6,</w:t>
                  </w:r>
                </w:p>
                <w:p w14:paraId="6E704E01" w14:textId="77777777" w:rsidR="00053D93" w:rsidRDefault="00260B75">
                  <w:pPr>
                    <w:ind w:left="96"/>
                  </w:pPr>
                  <w:r>
                    <w:rPr>
                      <w:sz w:val="18"/>
                    </w:rPr>
                    <w:t>00115FEA 00115FEF</w:t>
                  </w:r>
                </w:p>
              </w:tc>
              <w:tc>
                <w:tcPr>
                  <w:tcW w:w="2647" w:type="dxa"/>
                  <w:tcBorders>
                    <w:top w:val="single" w:sz="2" w:space="0" w:color="000000"/>
                    <w:left w:val="single" w:sz="2" w:space="0" w:color="000000"/>
                    <w:bottom w:val="single" w:sz="2" w:space="0" w:color="000000"/>
                    <w:right w:val="single" w:sz="2" w:space="0" w:color="000000"/>
                  </w:tcBorders>
                </w:tcPr>
                <w:p w14:paraId="656D74EC" w14:textId="77777777" w:rsidR="00053D93" w:rsidRDefault="00260B75">
                  <w:pPr>
                    <w:spacing w:line="241" w:lineRule="auto"/>
                    <w:ind w:left="158" w:right="87" w:firstLine="7"/>
                    <w:jc w:val="both"/>
                  </w:pPr>
                  <w:r>
                    <w:rPr>
                      <w:sz w:val="16"/>
                    </w:rPr>
                    <w:t>Computadoras de escritorio marca Dell modelo Optiptex 755/D procesador Intel 2.2. ghz Front side bus 800 mhz caché 2x2mb Memoria RAM instalada 2.0 gb DDR2 NON.ECC SDRAM 533mhz (1 dimm) expandible hasta 2 gb una ranura para futuras expansiones, chasis desktop, memoria de video 256 mb compartidos disco duro de 250 GB CJ7K5H1. FL7K5H1, 9K7K5H1, BJ7K5Hl. FM7K5H1.</w:t>
                  </w:r>
                </w:p>
                <w:p w14:paraId="332B659D" w14:textId="77777777" w:rsidR="00053D93" w:rsidRDefault="00260B75">
                  <w:pPr>
                    <w:ind w:left="158"/>
                  </w:pPr>
                  <w:r>
                    <w:rPr>
                      <w:sz w:val="16"/>
                    </w:rPr>
                    <w:t>valor de cada una Q.4,214.OO</w:t>
                  </w:r>
                </w:p>
              </w:tc>
              <w:tc>
                <w:tcPr>
                  <w:tcW w:w="979" w:type="dxa"/>
                  <w:tcBorders>
                    <w:top w:val="single" w:sz="2" w:space="0" w:color="000000"/>
                    <w:left w:val="single" w:sz="2" w:space="0" w:color="000000"/>
                    <w:bottom w:val="single" w:sz="2" w:space="0" w:color="000000"/>
                    <w:right w:val="single" w:sz="2" w:space="0" w:color="000000"/>
                  </w:tcBorders>
                  <w:vAlign w:val="bottom"/>
                </w:tcPr>
                <w:p w14:paraId="22E616BF" w14:textId="77777777" w:rsidR="00053D93" w:rsidRDefault="00260B75">
                  <w:pPr>
                    <w:ind w:left="269"/>
                  </w:pPr>
                  <w:r>
                    <w:rPr>
                      <w:rFonts w:ascii="Times New Roman" w:eastAsia="Times New Roman" w:hAnsi="Times New Roman" w:cs="Times New Roman"/>
                      <w:sz w:val="16"/>
                    </w:rPr>
                    <w:t>21.070.00</w:t>
                  </w:r>
                </w:p>
              </w:tc>
            </w:tr>
            <w:tr w:rsidR="00053D93" w14:paraId="3E3FC1C8" w14:textId="77777777">
              <w:trPr>
                <w:trHeight w:val="1354"/>
              </w:trPr>
              <w:tc>
                <w:tcPr>
                  <w:tcW w:w="301" w:type="dxa"/>
                  <w:tcBorders>
                    <w:top w:val="single" w:sz="2" w:space="0" w:color="000000"/>
                    <w:left w:val="single" w:sz="2" w:space="0" w:color="000000"/>
                    <w:bottom w:val="single" w:sz="2" w:space="0" w:color="000000"/>
                    <w:right w:val="single" w:sz="2" w:space="0" w:color="000000"/>
                  </w:tcBorders>
                </w:tcPr>
                <w:p w14:paraId="4DABD8A4" w14:textId="77777777" w:rsidR="00053D93" w:rsidRDefault="00260B75">
                  <w:pPr>
                    <w:ind w:left="74"/>
                  </w:pPr>
                  <w:r>
                    <w:rPr>
                      <w:rFonts w:ascii="Times New Roman" w:eastAsia="Times New Roman" w:hAnsi="Times New Roman" w:cs="Times New Roman"/>
                      <w:sz w:val="18"/>
                    </w:rPr>
                    <w:t>3</w:t>
                  </w:r>
                </w:p>
              </w:tc>
              <w:tc>
                <w:tcPr>
                  <w:tcW w:w="0" w:type="auto"/>
                  <w:gridSpan w:val="3"/>
                  <w:vMerge/>
                  <w:tcBorders>
                    <w:top w:val="nil"/>
                    <w:left w:val="single" w:sz="2" w:space="0" w:color="000000"/>
                    <w:bottom w:val="nil"/>
                    <w:right w:val="single" w:sz="2" w:space="0" w:color="000000"/>
                  </w:tcBorders>
                </w:tcPr>
                <w:p w14:paraId="54A2F24E" w14:textId="77777777" w:rsidR="00053D93" w:rsidRDefault="00053D93"/>
              </w:tc>
              <w:tc>
                <w:tcPr>
                  <w:tcW w:w="883" w:type="dxa"/>
                  <w:tcBorders>
                    <w:top w:val="single" w:sz="2" w:space="0" w:color="000000"/>
                    <w:left w:val="single" w:sz="2" w:space="0" w:color="000000"/>
                    <w:bottom w:val="single" w:sz="2" w:space="0" w:color="000000"/>
                    <w:right w:val="single" w:sz="2" w:space="0" w:color="000000"/>
                  </w:tcBorders>
                </w:tcPr>
                <w:p w14:paraId="0A36754D" w14:textId="77777777" w:rsidR="00053D93" w:rsidRDefault="00260B75">
                  <w:pPr>
                    <w:ind w:left="86"/>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663ED214" w14:textId="77777777" w:rsidR="00053D93" w:rsidRDefault="00260B75">
                  <w:pPr>
                    <w:ind w:left="9"/>
                    <w:jc w:val="center"/>
                  </w:pPr>
                  <w:r>
                    <w:rPr>
                      <w:rFonts w:ascii="Times New Roman" w:eastAsia="Times New Roman" w:hAnsi="Times New Roman" w:cs="Times New Roman"/>
                      <w:sz w:val="16"/>
                    </w:rPr>
                    <w:t>5</w:t>
                  </w:r>
                </w:p>
              </w:tc>
              <w:tc>
                <w:tcPr>
                  <w:tcW w:w="1529" w:type="dxa"/>
                  <w:tcBorders>
                    <w:top w:val="single" w:sz="2" w:space="0" w:color="000000"/>
                    <w:left w:val="single" w:sz="2" w:space="0" w:color="000000"/>
                    <w:bottom w:val="single" w:sz="2" w:space="0" w:color="000000"/>
                    <w:right w:val="single" w:sz="2" w:space="0" w:color="000000"/>
                  </w:tcBorders>
                </w:tcPr>
                <w:p w14:paraId="130E3192" w14:textId="77777777" w:rsidR="00053D93" w:rsidRDefault="00260B75">
                  <w:pPr>
                    <w:ind w:left="104"/>
                  </w:pPr>
                  <w:r>
                    <w:rPr>
                      <w:rFonts w:ascii="Times New Roman" w:eastAsia="Times New Roman" w:hAnsi="Times New Roman" w:cs="Times New Roman"/>
                      <w:sz w:val="16"/>
                    </w:rPr>
                    <w:t>00116008. 00116002,</w:t>
                  </w:r>
                </w:p>
                <w:p w14:paraId="22905B86" w14:textId="77777777" w:rsidR="00053D93" w:rsidRDefault="00260B75">
                  <w:pPr>
                    <w:ind w:right="25"/>
                    <w:jc w:val="right"/>
                  </w:pPr>
                  <w:r>
                    <w:rPr>
                      <w:rFonts w:ascii="Times New Roman" w:eastAsia="Times New Roman" w:hAnsi="Times New Roman" w:cs="Times New Roman"/>
                      <w:sz w:val="16"/>
                    </w:rPr>
                    <w:t>001 16018, 001 16014,</w:t>
                  </w:r>
                </w:p>
                <w:p w14:paraId="1713E0F9" w14:textId="77777777" w:rsidR="00053D93" w:rsidRDefault="00260B75">
                  <w:pPr>
                    <w:ind w:left="71"/>
                    <w:jc w:val="center"/>
                  </w:pPr>
                  <w:r>
                    <w:rPr>
                      <w:rFonts w:ascii="Times New Roman" w:eastAsia="Times New Roman" w:hAnsi="Times New Roman" w:cs="Times New Roman"/>
                      <w:sz w:val="16"/>
                    </w:rPr>
                    <w:t>00116021</w:t>
                  </w:r>
                </w:p>
              </w:tc>
              <w:tc>
                <w:tcPr>
                  <w:tcW w:w="2647" w:type="dxa"/>
                  <w:tcBorders>
                    <w:top w:val="single" w:sz="2" w:space="0" w:color="000000"/>
                    <w:left w:val="single" w:sz="2" w:space="0" w:color="000000"/>
                    <w:bottom w:val="single" w:sz="2" w:space="0" w:color="000000"/>
                    <w:right w:val="single" w:sz="2" w:space="0" w:color="000000"/>
                  </w:tcBorders>
                </w:tcPr>
                <w:p w14:paraId="70AA7A42" w14:textId="77777777" w:rsidR="00053D93" w:rsidRDefault="00260B75">
                  <w:pPr>
                    <w:spacing w:line="270" w:lineRule="auto"/>
                    <w:ind w:left="165" w:hanging="7"/>
                    <w:jc w:val="both"/>
                  </w:pPr>
                  <w:r>
                    <w:rPr>
                      <w:sz w:val="16"/>
                    </w:rPr>
                    <w:t>Monitor Marca Dell de 17 pulgadas serie No. CNOG331HS418088J2Q3L.</w:t>
                  </w:r>
                </w:p>
                <w:p w14:paraId="572132F5" w14:textId="77777777" w:rsidR="00053D93" w:rsidRDefault="00260B75">
                  <w:pPr>
                    <w:spacing w:after="7" w:line="216" w:lineRule="auto"/>
                    <w:ind w:left="173" w:hanging="7"/>
                  </w:pPr>
                  <w:r>
                    <w:rPr>
                      <w:sz w:val="18"/>
                    </w:rPr>
                    <w:t>CNOG331H641808BJ2Q2L, CNOG248H7426188RIMGB.</w:t>
                  </w:r>
                </w:p>
                <w:p w14:paraId="2FACB9F2" w14:textId="77777777" w:rsidR="00053D93" w:rsidRDefault="00260B75">
                  <w:pPr>
                    <w:ind w:left="166" w:right="87"/>
                    <w:jc w:val="both"/>
                  </w:pPr>
                  <w:r>
                    <w:rPr>
                      <w:sz w:val="16"/>
                    </w:rPr>
                    <w:t>CNOG248H7426188RlMKB, CNOG248H7426188P2C78. cada uno Q. 1,482.OO</w:t>
                  </w:r>
                </w:p>
              </w:tc>
              <w:tc>
                <w:tcPr>
                  <w:tcW w:w="979" w:type="dxa"/>
                  <w:tcBorders>
                    <w:top w:val="single" w:sz="2" w:space="0" w:color="000000"/>
                    <w:left w:val="single" w:sz="2" w:space="0" w:color="000000"/>
                    <w:bottom w:val="single" w:sz="2" w:space="0" w:color="000000"/>
                    <w:right w:val="single" w:sz="2" w:space="0" w:color="000000"/>
                  </w:tcBorders>
                  <w:vAlign w:val="bottom"/>
                </w:tcPr>
                <w:p w14:paraId="106643B2" w14:textId="77777777" w:rsidR="00053D93" w:rsidRDefault="00260B75">
                  <w:pPr>
                    <w:ind w:right="66"/>
                    <w:jc w:val="right"/>
                  </w:pPr>
                  <w:r>
                    <w:rPr>
                      <w:rFonts w:ascii="Times New Roman" w:eastAsia="Times New Roman" w:hAnsi="Times New Roman" w:cs="Times New Roman"/>
                      <w:sz w:val="16"/>
                    </w:rPr>
                    <w:t>7.410.00</w:t>
                  </w:r>
                </w:p>
              </w:tc>
            </w:tr>
            <w:tr w:rsidR="00053D93" w14:paraId="327AE20D" w14:textId="77777777">
              <w:trPr>
                <w:trHeight w:val="1545"/>
              </w:trPr>
              <w:tc>
                <w:tcPr>
                  <w:tcW w:w="301" w:type="dxa"/>
                  <w:tcBorders>
                    <w:top w:val="single" w:sz="2" w:space="0" w:color="000000"/>
                    <w:left w:val="single" w:sz="2" w:space="0" w:color="000000"/>
                    <w:bottom w:val="single" w:sz="2" w:space="0" w:color="000000"/>
                    <w:right w:val="single" w:sz="2" w:space="0" w:color="000000"/>
                  </w:tcBorders>
                </w:tcPr>
                <w:p w14:paraId="2EF9DF63" w14:textId="77777777" w:rsidR="00053D93" w:rsidRDefault="00260B75">
                  <w:pPr>
                    <w:ind w:left="67"/>
                  </w:pPr>
                  <w:r>
                    <w:rPr>
                      <w:rFonts w:ascii="Times New Roman" w:eastAsia="Times New Roman" w:hAnsi="Times New Roman" w:cs="Times New Roman"/>
                      <w:sz w:val="16"/>
                    </w:rPr>
                    <w:t>4</w:t>
                  </w:r>
                </w:p>
              </w:tc>
              <w:tc>
                <w:tcPr>
                  <w:tcW w:w="0" w:type="auto"/>
                  <w:gridSpan w:val="3"/>
                  <w:vMerge/>
                  <w:tcBorders>
                    <w:top w:val="nil"/>
                    <w:left w:val="single" w:sz="2" w:space="0" w:color="000000"/>
                    <w:bottom w:val="nil"/>
                    <w:right w:val="single" w:sz="2" w:space="0" w:color="000000"/>
                  </w:tcBorders>
                </w:tcPr>
                <w:p w14:paraId="42FBA89D" w14:textId="77777777" w:rsidR="00053D93" w:rsidRDefault="00053D93"/>
              </w:tc>
              <w:tc>
                <w:tcPr>
                  <w:tcW w:w="883" w:type="dxa"/>
                  <w:tcBorders>
                    <w:top w:val="single" w:sz="2" w:space="0" w:color="000000"/>
                    <w:left w:val="single" w:sz="2" w:space="0" w:color="000000"/>
                    <w:bottom w:val="single" w:sz="2" w:space="0" w:color="000000"/>
                    <w:right w:val="single" w:sz="2" w:space="0" w:color="000000"/>
                  </w:tcBorders>
                </w:tcPr>
                <w:p w14:paraId="4B806C19" w14:textId="77777777" w:rsidR="00053D93" w:rsidRDefault="00260B75">
                  <w:pPr>
                    <w:ind w:left="86"/>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18BFC57D" w14:textId="77777777" w:rsidR="00053D93" w:rsidRDefault="00260B75">
                  <w:pPr>
                    <w:ind w:left="9"/>
                    <w:jc w:val="center"/>
                  </w:pPr>
                  <w:r>
                    <w:rPr>
                      <w:rFonts w:ascii="Times New Roman" w:eastAsia="Times New Roman" w:hAnsi="Times New Roman" w:cs="Times New Roman"/>
                      <w:sz w:val="16"/>
                    </w:rPr>
                    <w:t>5</w:t>
                  </w:r>
                </w:p>
              </w:tc>
              <w:tc>
                <w:tcPr>
                  <w:tcW w:w="1529" w:type="dxa"/>
                  <w:tcBorders>
                    <w:top w:val="single" w:sz="2" w:space="0" w:color="000000"/>
                    <w:left w:val="single" w:sz="2" w:space="0" w:color="000000"/>
                    <w:bottom w:val="single" w:sz="2" w:space="0" w:color="000000"/>
                    <w:right w:val="single" w:sz="2" w:space="0" w:color="000000"/>
                  </w:tcBorders>
                </w:tcPr>
                <w:p w14:paraId="10080E0D" w14:textId="77777777" w:rsidR="00053D93" w:rsidRDefault="00260B75">
                  <w:pPr>
                    <w:ind w:left="85"/>
                    <w:jc w:val="center"/>
                  </w:pPr>
                  <w:r>
                    <w:rPr>
                      <w:sz w:val="20"/>
                    </w:rPr>
                    <w:t>001 ISFDE,</w:t>
                  </w:r>
                </w:p>
                <w:p w14:paraId="200FC0B2" w14:textId="77777777" w:rsidR="00053D93" w:rsidRDefault="00260B75">
                  <w:pPr>
                    <w:ind w:left="96"/>
                  </w:pPr>
                  <w:r>
                    <w:rPr>
                      <w:sz w:val="16"/>
                    </w:rPr>
                    <w:t>001 15FED. 001 16016.</w:t>
                  </w:r>
                </w:p>
                <w:p w14:paraId="17603A71" w14:textId="77777777" w:rsidR="00053D93" w:rsidRDefault="00260B75">
                  <w:pPr>
                    <w:ind w:right="40"/>
                    <w:jc w:val="right"/>
                  </w:pPr>
                  <w:r>
                    <w:rPr>
                      <w:rFonts w:ascii="Times New Roman" w:eastAsia="Times New Roman" w:hAnsi="Times New Roman" w:cs="Times New Roman"/>
                      <w:sz w:val="16"/>
                    </w:rPr>
                    <w:t>00116048, 001 16053</w:t>
                  </w:r>
                </w:p>
              </w:tc>
              <w:tc>
                <w:tcPr>
                  <w:tcW w:w="2647" w:type="dxa"/>
                  <w:tcBorders>
                    <w:top w:val="single" w:sz="2" w:space="0" w:color="000000"/>
                    <w:left w:val="single" w:sz="2" w:space="0" w:color="000000"/>
                    <w:bottom w:val="single" w:sz="2" w:space="0" w:color="000000"/>
                    <w:right w:val="single" w:sz="2" w:space="0" w:color="000000"/>
                  </w:tcBorders>
                </w:tcPr>
                <w:p w14:paraId="61AEC95B" w14:textId="77777777" w:rsidR="00053D93" w:rsidRDefault="00260B75">
                  <w:pPr>
                    <w:spacing w:line="218" w:lineRule="auto"/>
                    <w:ind w:left="173" w:hanging="7"/>
                  </w:pPr>
                  <w:r>
                    <w:rPr>
                      <w:sz w:val="16"/>
                    </w:rPr>
                    <w:t>Teclado Marca Dell con puertos USB expansible</w:t>
                  </w:r>
                </w:p>
                <w:p w14:paraId="096F8CC4" w14:textId="77777777" w:rsidR="00053D93" w:rsidRDefault="00260B75">
                  <w:pPr>
                    <w:spacing w:line="238" w:lineRule="auto"/>
                    <w:ind w:left="173"/>
                  </w:pPr>
                  <w:r>
                    <w:rPr>
                      <w:sz w:val="18"/>
                    </w:rPr>
                    <w:t>CNODJ4157161687BOEE0. CNODJ4157161687BOFORA03, CNODJ4157161687BOFOY.</w:t>
                  </w:r>
                </w:p>
                <w:p w14:paraId="1777F37A" w14:textId="77777777" w:rsidR="00053D93" w:rsidRDefault="00260B75">
                  <w:pPr>
                    <w:ind w:left="173"/>
                  </w:pPr>
                  <w:r>
                    <w:rPr>
                      <w:sz w:val="16"/>
                    </w:rPr>
                    <w:t>CNODJ4157161687BOE19;</w:t>
                  </w:r>
                </w:p>
                <w:p w14:paraId="6FC4529A" w14:textId="77777777" w:rsidR="00053D93" w:rsidRDefault="00260B75">
                  <w:pPr>
                    <w:ind w:left="180" w:hanging="7"/>
                  </w:pPr>
                  <w:r>
                    <w:rPr>
                      <w:sz w:val="16"/>
                    </w:rPr>
                    <w:t xml:space="preserve">CNODJ4157161S87BODY3, valor Q. </w:t>
                  </w:r>
                  <w:r>
                    <w:rPr>
                      <w:rFonts w:ascii="Times New Roman" w:eastAsia="Times New Roman" w:hAnsi="Times New Roman" w:cs="Times New Roman"/>
                      <w:sz w:val="16"/>
                    </w:rPr>
                    <w:t>125.00</w:t>
                  </w:r>
                </w:p>
              </w:tc>
              <w:tc>
                <w:tcPr>
                  <w:tcW w:w="979" w:type="dxa"/>
                  <w:tcBorders>
                    <w:top w:val="single" w:sz="2" w:space="0" w:color="000000"/>
                    <w:left w:val="single" w:sz="2" w:space="0" w:color="000000"/>
                    <w:bottom w:val="single" w:sz="2" w:space="0" w:color="000000"/>
                    <w:right w:val="single" w:sz="2" w:space="0" w:color="000000"/>
                  </w:tcBorders>
                  <w:vAlign w:val="bottom"/>
                </w:tcPr>
                <w:p w14:paraId="59A1E27E" w14:textId="77777777" w:rsidR="00053D93" w:rsidRDefault="00260B75">
                  <w:pPr>
                    <w:ind w:right="58"/>
                    <w:jc w:val="right"/>
                  </w:pPr>
                  <w:r>
                    <w:rPr>
                      <w:rFonts w:ascii="Times New Roman" w:eastAsia="Times New Roman" w:hAnsi="Times New Roman" w:cs="Times New Roman"/>
                      <w:sz w:val="16"/>
                    </w:rPr>
                    <w:t>625.00</w:t>
                  </w:r>
                </w:p>
              </w:tc>
            </w:tr>
            <w:tr w:rsidR="00053D93" w14:paraId="0892C4B6" w14:textId="77777777">
              <w:trPr>
                <w:trHeight w:val="778"/>
              </w:trPr>
              <w:tc>
                <w:tcPr>
                  <w:tcW w:w="301" w:type="dxa"/>
                  <w:vMerge w:val="restart"/>
                  <w:tcBorders>
                    <w:top w:val="single" w:sz="2" w:space="0" w:color="000000"/>
                    <w:left w:val="single" w:sz="2" w:space="0" w:color="000000"/>
                    <w:bottom w:val="nil"/>
                    <w:right w:val="single" w:sz="2" w:space="0" w:color="000000"/>
                  </w:tcBorders>
                </w:tcPr>
                <w:p w14:paraId="2F3EE43E" w14:textId="77777777" w:rsidR="00053D93" w:rsidRDefault="00260B75">
                  <w:pPr>
                    <w:spacing w:after="340"/>
                    <w:ind w:left="81"/>
                  </w:pPr>
                  <w:r>
                    <w:rPr>
                      <w:rFonts w:ascii="Times New Roman" w:eastAsia="Times New Roman" w:hAnsi="Times New Roman" w:cs="Times New Roman"/>
                      <w:sz w:val="16"/>
                    </w:rPr>
                    <w:t>5</w:t>
                  </w:r>
                </w:p>
                <w:p w14:paraId="1AC6D7FF" w14:textId="77777777" w:rsidR="00053D93" w:rsidRDefault="00260B75">
                  <w:pPr>
                    <w:ind w:left="38"/>
                  </w:pPr>
                  <w:r>
                    <w:rPr>
                      <w:noProof/>
                    </w:rPr>
                    <w:drawing>
                      <wp:inline distT="0" distB="0" distL="0" distR="0" wp14:anchorId="43FD151E" wp14:editId="5F1FFD42">
                        <wp:extent cx="164592" cy="411480"/>
                        <wp:effectExtent l="0" t="0" r="0" b="0"/>
                        <wp:docPr id="735713" name="Picture 735713"/>
                        <wp:cNvGraphicFramePr/>
                        <a:graphic xmlns:a="http://schemas.openxmlformats.org/drawingml/2006/main">
                          <a:graphicData uri="http://schemas.openxmlformats.org/drawingml/2006/picture">
                            <pic:pic xmlns:pic="http://schemas.openxmlformats.org/drawingml/2006/picture">
                              <pic:nvPicPr>
                                <pic:cNvPr id="735713" name="Picture 735713"/>
                                <pic:cNvPicPr/>
                              </pic:nvPicPr>
                              <pic:blipFill>
                                <a:blip r:embed="rId1057"/>
                                <a:stretch>
                                  <a:fillRect/>
                                </a:stretch>
                              </pic:blipFill>
                              <pic:spPr>
                                <a:xfrm>
                                  <a:off x="0" y="0"/>
                                  <a:ext cx="164592" cy="411480"/>
                                </a:xfrm>
                                <a:prstGeom prst="rect">
                                  <a:avLst/>
                                </a:prstGeom>
                              </pic:spPr>
                            </pic:pic>
                          </a:graphicData>
                        </a:graphic>
                      </wp:inline>
                    </w:drawing>
                  </w:r>
                </w:p>
              </w:tc>
              <w:tc>
                <w:tcPr>
                  <w:tcW w:w="0" w:type="auto"/>
                  <w:gridSpan w:val="3"/>
                  <w:vMerge/>
                  <w:tcBorders>
                    <w:top w:val="nil"/>
                    <w:left w:val="single" w:sz="2" w:space="0" w:color="000000"/>
                    <w:bottom w:val="nil"/>
                    <w:right w:val="single" w:sz="2" w:space="0" w:color="000000"/>
                  </w:tcBorders>
                </w:tcPr>
                <w:p w14:paraId="59591153" w14:textId="77777777" w:rsidR="00053D93" w:rsidRDefault="00053D93"/>
              </w:tc>
              <w:tc>
                <w:tcPr>
                  <w:tcW w:w="883" w:type="dxa"/>
                  <w:tcBorders>
                    <w:top w:val="single" w:sz="2" w:space="0" w:color="000000"/>
                    <w:left w:val="single" w:sz="2" w:space="0" w:color="000000"/>
                    <w:bottom w:val="single" w:sz="2" w:space="0" w:color="000000"/>
                    <w:right w:val="single" w:sz="2" w:space="0" w:color="000000"/>
                  </w:tcBorders>
                </w:tcPr>
                <w:p w14:paraId="48FA8620" w14:textId="77777777" w:rsidR="00053D93" w:rsidRDefault="00260B75">
                  <w:pPr>
                    <w:ind w:left="94"/>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4DF865D2" w14:textId="77777777" w:rsidR="00053D93" w:rsidRDefault="00260B75">
                  <w:pPr>
                    <w:ind w:left="16"/>
                    <w:jc w:val="center"/>
                  </w:pPr>
                  <w:r>
                    <w:rPr>
                      <w:rFonts w:ascii="Times New Roman" w:eastAsia="Times New Roman" w:hAnsi="Times New Roman" w:cs="Times New Roman"/>
                      <w:sz w:val="16"/>
                    </w:rPr>
                    <w:t>5</w:t>
                  </w:r>
                </w:p>
              </w:tc>
              <w:tc>
                <w:tcPr>
                  <w:tcW w:w="1529" w:type="dxa"/>
                  <w:tcBorders>
                    <w:top w:val="single" w:sz="2" w:space="0" w:color="000000"/>
                    <w:left w:val="single" w:sz="2" w:space="0" w:color="000000"/>
                    <w:bottom w:val="single" w:sz="2" w:space="0" w:color="000000"/>
                    <w:right w:val="single" w:sz="2" w:space="0" w:color="000000"/>
                  </w:tcBorders>
                </w:tcPr>
                <w:p w14:paraId="4D670E38" w14:textId="77777777" w:rsidR="00053D93" w:rsidRDefault="00260B75">
                  <w:pPr>
                    <w:spacing w:line="247" w:lineRule="auto"/>
                    <w:jc w:val="center"/>
                  </w:pPr>
                  <w:r>
                    <w:rPr>
                      <w:sz w:val="16"/>
                    </w:rPr>
                    <w:t xml:space="preserve">001 15FE5. 00115FF3, </w:t>
                  </w:r>
                  <w:r>
                    <w:rPr>
                      <w:rFonts w:ascii="Times New Roman" w:eastAsia="Times New Roman" w:hAnsi="Times New Roman" w:cs="Times New Roman"/>
                      <w:sz w:val="16"/>
                    </w:rPr>
                    <w:t>001 16020, 001 16058.</w:t>
                  </w:r>
                </w:p>
                <w:p w14:paraId="05994786" w14:textId="77777777" w:rsidR="00053D93" w:rsidRDefault="00260B75">
                  <w:pPr>
                    <w:ind w:left="107"/>
                    <w:jc w:val="center"/>
                  </w:pPr>
                  <w:r>
                    <w:rPr>
                      <w:sz w:val="16"/>
                    </w:rPr>
                    <w:t>0011605F</w:t>
                  </w:r>
                </w:p>
              </w:tc>
              <w:tc>
                <w:tcPr>
                  <w:tcW w:w="2647" w:type="dxa"/>
                  <w:tcBorders>
                    <w:top w:val="single" w:sz="2" w:space="0" w:color="000000"/>
                    <w:left w:val="single" w:sz="2" w:space="0" w:color="000000"/>
                    <w:bottom w:val="single" w:sz="2" w:space="0" w:color="000000"/>
                    <w:right w:val="single" w:sz="2" w:space="0" w:color="000000"/>
                  </w:tcBorders>
                </w:tcPr>
                <w:p w14:paraId="6459969A" w14:textId="77777777" w:rsidR="00053D93" w:rsidRDefault="00260B75">
                  <w:pPr>
                    <w:spacing w:line="216" w:lineRule="auto"/>
                    <w:ind w:left="173"/>
                  </w:pPr>
                  <w:r>
                    <w:rPr>
                      <w:sz w:val="16"/>
                    </w:rPr>
                    <w:t>Mouse Marca Dell Modelo MOC5UO óptico</w:t>
                  </w:r>
                </w:p>
                <w:p w14:paraId="5BF37141" w14:textId="77777777" w:rsidR="00053D93" w:rsidRDefault="00260B75">
                  <w:pPr>
                    <w:ind w:left="100"/>
                    <w:jc w:val="center"/>
                  </w:pPr>
                  <w:r>
                    <w:rPr>
                      <w:sz w:val="16"/>
                    </w:rPr>
                    <w:t>53745V, 58670V, 58668V, 58671V.</w:t>
                  </w:r>
                </w:p>
              </w:tc>
              <w:tc>
                <w:tcPr>
                  <w:tcW w:w="979" w:type="dxa"/>
                  <w:tcBorders>
                    <w:top w:val="single" w:sz="2" w:space="0" w:color="000000"/>
                    <w:left w:val="single" w:sz="2" w:space="0" w:color="000000"/>
                    <w:bottom w:val="single" w:sz="2" w:space="0" w:color="000000"/>
                    <w:right w:val="single" w:sz="2" w:space="0" w:color="000000"/>
                  </w:tcBorders>
                </w:tcPr>
                <w:p w14:paraId="254CA641" w14:textId="77777777" w:rsidR="00053D93" w:rsidRDefault="00053D93"/>
              </w:tc>
            </w:tr>
            <w:tr w:rsidR="00053D93" w14:paraId="74E77B2F" w14:textId="77777777">
              <w:trPr>
                <w:trHeight w:val="608"/>
              </w:trPr>
              <w:tc>
                <w:tcPr>
                  <w:tcW w:w="0" w:type="auto"/>
                  <w:vMerge/>
                  <w:tcBorders>
                    <w:top w:val="nil"/>
                    <w:left w:val="single" w:sz="2" w:space="0" w:color="000000"/>
                    <w:bottom w:val="nil"/>
                    <w:right w:val="single" w:sz="2" w:space="0" w:color="000000"/>
                  </w:tcBorders>
                </w:tcPr>
                <w:p w14:paraId="01913D55" w14:textId="77777777" w:rsidR="00053D93" w:rsidRDefault="00053D93"/>
              </w:tc>
              <w:tc>
                <w:tcPr>
                  <w:tcW w:w="303" w:type="dxa"/>
                  <w:tcBorders>
                    <w:top w:val="nil"/>
                    <w:left w:val="single" w:sz="2" w:space="0" w:color="000000"/>
                    <w:bottom w:val="nil"/>
                    <w:right w:val="single" w:sz="2" w:space="0" w:color="000000"/>
                  </w:tcBorders>
                </w:tcPr>
                <w:p w14:paraId="3BEA96BC" w14:textId="77777777" w:rsidR="00053D93" w:rsidRDefault="00260B75">
                  <w:pPr>
                    <w:ind w:left="-4"/>
                  </w:pPr>
                  <w:r>
                    <w:rPr>
                      <w:noProof/>
                    </w:rPr>
                    <w:drawing>
                      <wp:inline distT="0" distB="0" distL="0" distR="0" wp14:anchorId="6943B340" wp14:editId="65409C21">
                        <wp:extent cx="182880" cy="384048"/>
                        <wp:effectExtent l="0" t="0" r="0" b="0"/>
                        <wp:docPr id="735693" name="Picture 735693"/>
                        <wp:cNvGraphicFramePr/>
                        <a:graphic xmlns:a="http://schemas.openxmlformats.org/drawingml/2006/main">
                          <a:graphicData uri="http://schemas.openxmlformats.org/drawingml/2006/picture">
                            <pic:pic xmlns:pic="http://schemas.openxmlformats.org/drawingml/2006/picture">
                              <pic:nvPicPr>
                                <pic:cNvPr id="735693" name="Picture 735693"/>
                                <pic:cNvPicPr/>
                              </pic:nvPicPr>
                              <pic:blipFill>
                                <a:blip r:embed="rId1058"/>
                                <a:stretch>
                                  <a:fillRect/>
                                </a:stretch>
                              </pic:blipFill>
                              <pic:spPr>
                                <a:xfrm>
                                  <a:off x="0" y="0"/>
                                  <a:ext cx="182880" cy="384048"/>
                                </a:xfrm>
                                <a:prstGeom prst="rect">
                                  <a:avLst/>
                                </a:prstGeom>
                              </pic:spPr>
                            </pic:pic>
                          </a:graphicData>
                        </a:graphic>
                      </wp:inline>
                    </w:drawing>
                  </w:r>
                </w:p>
              </w:tc>
              <w:tc>
                <w:tcPr>
                  <w:tcW w:w="180" w:type="dxa"/>
                  <w:tcBorders>
                    <w:top w:val="nil"/>
                    <w:left w:val="single" w:sz="2" w:space="0" w:color="000000"/>
                    <w:bottom w:val="nil"/>
                    <w:right w:val="single" w:sz="2" w:space="0" w:color="000000"/>
                  </w:tcBorders>
                </w:tcPr>
                <w:p w14:paraId="31A56E42" w14:textId="77777777" w:rsidR="00053D93" w:rsidRDefault="00053D93"/>
              </w:tc>
              <w:tc>
                <w:tcPr>
                  <w:tcW w:w="6624" w:type="dxa"/>
                  <w:gridSpan w:val="5"/>
                  <w:tcBorders>
                    <w:top w:val="single" w:sz="2" w:space="0" w:color="000000"/>
                    <w:left w:val="single" w:sz="2" w:space="0" w:color="000000"/>
                    <w:bottom w:val="nil"/>
                    <w:right w:val="nil"/>
                  </w:tcBorders>
                </w:tcPr>
                <w:p w14:paraId="3283B59D" w14:textId="77777777" w:rsidR="00053D93" w:rsidRDefault="00260B75">
                  <w:pPr>
                    <w:ind w:left="103"/>
                    <w:jc w:val="center"/>
                  </w:pPr>
                  <w:r>
                    <w:rPr>
                      <w:sz w:val="14"/>
                    </w:rPr>
                    <w:t>MINISTERIO DE EDUCACION</w:t>
                  </w:r>
                </w:p>
                <w:p w14:paraId="01DB277F" w14:textId="77777777" w:rsidR="00053D93" w:rsidRDefault="00260B75">
                  <w:pPr>
                    <w:ind w:left="110"/>
                    <w:jc w:val="center"/>
                  </w:pPr>
                  <w:r>
                    <w:rPr>
                      <w:sz w:val="14"/>
                    </w:rPr>
                    <w:t>AUDITORIA FINANCIERA Y DE CUMPLIMIENTO</w:t>
                  </w:r>
                </w:p>
                <w:p w14:paraId="4F86F659" w14:textId="77777777" w:rsidR="00053D93" w:rsidRDefault="00260B75">
                  <w:pPr>
                    <w:ind w:left="110"/>
                    <w:jc w:val="center"/>
                  </w:pPr>
                  <w:r>
                    <w:rPr>
                      <w:sz w:val="14"/>
                    </w:rPr>
                    <w:t>PERIODO DEL 01 DE ENERO AL 31 DE DICIEMBRE DE 2024</w:t>
                  </w:r>
                </w:p>
              </w:tc>
              <w:tc>
                <w:tcPr>
                  <w:tcW w:w="979" w:type="dxa"/>
                  <w:tcBorders>
                    <w:top w:val="single" w:sz="2" w:space="0" w:color="000000"/>
                    <w:left w:val="nil"/>
                    <w:bottom w:val="nil"/>
                    <w:right w:val="nil"/>
                  </w:tcBorders>
                </w:tcPr>
                <w:p w14:paraId="07A58B8E" w14:textId="77777777" w:rsidR="00053D93" w:rsidRDefault="00053D93"/>
              </w:tc>
            </w:tr>
          </w:tbl>
          <w:p w14:paraId="6F6DA78B" w14:textId="77777777" w:rsidR="00053D93" w:rsidRDefault="00053D93"/>
        </w:tc>
      </w:tr>
    </w:tbl>
    <w:p w14:paraId="02BAB0E7" w14:textId="77777777" w:rsidR="00053D93" w:rsidRDefault="00053D93">
      <w:pPr>
        <w:sectPr w:rsidR="00053D93">
          <w:headerReference w:type="even" r:id="rId1059"/>
          <w:headerReference w:type="default" r:id="rId1060"/>
          <w:footerReference w:type="even" r:id="rId1061"/>
          <w:footerReference w:type="default" r:id="rId1062"/>
          <w:headerReference w:type="first" r:id="rId1063"/>
          <w:footerReference w:type="first" r:id="rId1064"/>
          <w:pgSz w:w="12290" w:h="15883"/>
          <w:pgMar w:top="1282" w:right="1771" w:bottom="382" w:left="317" w:header="504" w:footer="720" w:gutter="0"/>
          <w:cols w:space="720"/>
          <w:titlePg/>
        </w:sectPr>
      </w:pPr>
    </w:p>
    <w:p w14:paraId="4F214E0E" w14:textId="77777777" w:rsidR="00053D93" w:rsidRDefault="00260B75">
      <w:pPr>
        <w:spacing w:after="13573" w:line="265" w:lineRule="auto"/>
        <w:ind w:left="10" w:right="3038" w:hanging="10"/>
        <w:jc w:val="right"/>
      </w:pPr>
      <w:r>
        <w:rPr>
          <w:sz w:val="14"/>
        </w:rPr>
        <w:t>i 52</w:t>
      </w:r>
    </w:p>
    <w:tbl>
      <w:tblPr>
        <w:tblStyle w:val="TableGrid"/>
        <w:tblpPr w:vertAnchor="text" w:tblpX="1009" w:tblpY="-13251"/>
        <w:tblOverlap w:val="never"/>
        <w:tblW w:w="8384" w:type="dxa"/>
        <w:tblInd w:w="0" w:type="dxa"/>
        <w:tblCellMar>
          <w:top w:w="32" w:type="dxa"/>
          <w:left w:w="42" w:type="dxa"/>
          <w:right w:w="5" w:type="dxa"/>
        </w:tblCellMar>
        <w:tblLook w:val="04A0" w:firstRow="1" w:lastRow="0" w:firstColumn="1" w:lastColumn="0" w:noHBand="0" w:noVBand="1"/>
      </w:tblPr>
      <w:tblGrid>
        <w:gridCol w:w="306"/>
        <w:gridCol w:w="287"/>
        <w:gridCol w:w="180"/>
        <w:gridCol w:w="816"/>
        <w:gridCol w:w="876"/>
        <w:gridCol w:w="766"/>
        <w:gridCol w:w="1613"/>
        <w:gridCol w:w="2549"/>
        <w:gridCol w:w="991"/>
      </w:tblGrid>
      <w:tr w:rsidR="00053D93" w14:paraId="67754031" w14:textId="77777777">
        <w:trPr>
          <w:trHeight w:val="407"/>
        </w:trPr>
        <w:tc>
          <w:tcPr>
            <w:tcW w:w="306" w:type="dxa"/>
            <w:tcBorders>
              <w:top w:val="single" w:sz="2" w:space="0" w:color="000000"/>
              <w:left w:val="single" w:sz="2" w:space="0" w:color="000000"/>
              <w:bottom w:val="single" w:sz="2" w:space="0" w:color="000000"/>
              <w:right w:val="single" w:sz="2" w:space="0" w:color="000000"/>
            </w:tcBorders>
          </w:tcPr>
          <w:p w14:paraId="4BBC5B82" w14:textId="77777777" w:rsidR="00053D93" w:rsidRDefault="00053D93"/>
        </w:tc>
        <w:tc>
          <w:tcPr>
            <w:tcW w:w="1284" w:type="dxa"/>
            <w:gridSpan w:val="3"/>
            <w:vMerge w:val="restart"/>
            <w:tcBorders>
              <w:top w:val="single" w:sz="2" w:space="0" w:color="000000"/>
              <w:left w:val="single" w:sz="2" w:space="0" w:color="000000"/>
              <w:bottom w:val="single" w:sz="2" w:space="0" w:color="000000"/>
              <w:right w:val="single" w:sz="2" w:space="0" w:color="000000"/>
            </w:tcBorders>
          </w:tcPr>
          <w:p w14:paraId="140F74B4"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2FFCD523" w14:textId="77777777" w:rsidR="00053D93" w:rsidRDefault="00053D93"/>
        </w:tc>
        <w:tc>
          <w:tcPr>
            <w:tcW w:w="766" w:type="dxa"/>
            <w:tcBorders>
              <w:top w:val="single" w:sz="2" w:space="0" w:color="000000"/>
              <w:left w:val="single" w:sz="2" w:space="0" w:color="000000"/>
              <w:bottom w:val="single" w:sz="2" w:space="0" w:color="000000"/>
              <w:right w:val="single" w:sz="2" w:space="0" w:color="000000"/>
            </w:tcBorders>
          </w:tcPr>
          <w:p w14:paraId="11897EF4"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62D804F2" w14:textId="77777777" w:rsidR="00053D93" w:rsidRDefault="00053D93"/>
        </w:tc>
        <w:tc>
          <w:tcPr>
            <w:tcW w:w="2549" w:type="dxa"/>
            <w:tcBorders>
              <w:top w:val="single" w:sz="2" w:space="0" w:color="000000"/>
              <w:left w:val="single" w:sz="2" w:space="0" w:color="000000"/>
              <w:bottom w:val="single" w:sz="2" w:space="0" w:color="000000"/>
              <w:right w:val="single" w:sz="2" w:space="0" w:color="000000"/>
            </w:tcBorders>
          </w:tcPr>
          <w:p w14:paraId="14429B7F" w14:textId="77777777" w:rsidR="00053D93" w:rsidRDefault="00260B75">
            <w:pPr>
              <w:ind w:left="23"/>
            </w:pPr>
            <w:r>
              <w:rPr>
                <w:sz w:val="16"/>
              </w:rPr>
              <w:t>56728V. Valor cada uno. Q.IOO.OO</w:t>
            </w:r>
          </w:p>
        </w:tc>
        <w:tc>
          <w:tcPr>
            <w:tcW w:w="991" w:type="dxa"/>
            <w:tcBorders>
              <w:top w:val="single" w:sz="2" w:space="0" w:color="000000"/>
              <w:left w:val="single" w:sz="2" w:space="0" w:color="000000"/>
              <w:bottom w:val="single" w:sz="2" w:space="0" w:color="000000"/>
              <w:right w:val="single" w:sz="2" w:space="0" w:color="000000"/>
            </w:tcBorders>
            <w:vAlign w:val="bottom"/>
          </w:tcPr>
          <w:p w14:paraId="5A5419F9" w14:textId="77777777" w:rsidR="00053D93" w:rsidRDefault="00260B75">
            <w:pPr>
              <w:ind w:left="418"/>
            </w:pPr>
            <w:r>
              <w:rPr>
                <w:rFonts w:ascii="Times New Roman" w:eastAsia="Times New Roman" w:hAnsi="Times New Roman" w:cs="Times New Roman"/>
                <w:sz w:val="16"/>
              </w:rPr>
              <w:t>500.00</w:t>
            </w:r>
          </w:p>
        </w:tc>
      </w:tr>
      <w:tr w:rsidR="00053D93" w14:paraId="0EB89B58" w14:textId="77777777">
        <w:trPr>
          <w:trHeight w:val="1937"/>
        </w:trPr>
        <w:tc>
          <w:tcPr>
            <w:tcW w:w="306" w:type="dxa"/>
            <w:tcBorders>
              <w:top w:val="single" w:sz="2" w:space="0" w:color="000000"/>
              <w:left w:val="single" w:sz="2" w:space="0" w:color="000000"/>
              <w:bottom w:val="single" w:sz="2" w:space="0" w:color="000000"/>
              <w:right w:val="single" w:sz="2" w:space="0" w:color="000000"/>
            </w:tcBorders>
          </w:tcPr>
          <w:p w14:paraId="182C96BB" w14:textId="77777777" w:rsidR="00053D93" w:rsidRDefault="00053D93"/>
        </w:tc>
        <w:tc>
          <w:tcPr>
            <w:tcW w:w="0" w:type="auto"/>
            <w:gridSpan w:val="3"/>
            <w:vMerge/>
            <w:tcBorders>
              <w:top w:val="nil"/>
              <w:left w:val="single" w:sz="2" w:space="0" w:color="000000"/>
              <w:bottom w:val="nil"/>
              <w:right w:val="single" w:sz="2" w:space="0" w:color="000000"/>
            </w:tcBorders>
          </w:tcPr>
          <w:p w14:paraId="019F523D"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58229A84" w14:textId="77777777" w:rsidR="00053D93" w:rsidRDefault="00260B75">
            <w:pPr>
              <w:ind w:left="30"/>
            </w:pPr>
            <w:r>
              <w:rPr>
                <w:rFonts w:ascii="Times New Roman" w:eastAsia="Times New Roman" w:hAnsi="Times New Roman" w:cs="Times New Roman"/>
                <w:sz w:val="16"/>
              </w:rPr>
              <w:t>03/12/2012</w:t>
            </w:r>
          </w:p>
        </w:tc>
        <w:tc>
          <w:tcPr>
            <w:tcW w:w="766" w:type="dxa"/>
            <w:tcBorders>
              <w:top w:val="single" w:sz="2" w:space="0" w:color="000000"/>
              <w:left w:val="single" w:sz="2" w:space="0" w:color="000000"/>
              <w:bottom w:val="single" w:sz="2" w:space="0" w:color="000000"/>
              <w:right w:val="single" w:sz="2" w:space="0" w:color="000000"/>
            </w:tcBorders>
          </w:tcPr>
          <w:p w14:paraId="428EA82D" w14:textId="77777777" w:rsidR="00053D93" w:rsidRDefault="00260B75">
            <w:pPr>
              <w:ind w:right="57"/>
              <w:jc w:val="center"/>
            </w:pPr>
            <w:r>
              <w:rPr>
                <w:rFonts w:ascii="Times New Roman" w:eastAsia="Times New Roman" w:hAnsi="Times New Roman" w:cs="Times New Roman"/>
                <w:sz w:val="16"/>
              </w:rPr>
              <w:t>14</w:t>
            </w:r>
          </w:p>
        </w:tc>
        <w:tc>
          <w:tcPr>
            <w:tcW w:w="1613" w:type="dxa"/>
            <w:tcBorders>
              <w:top w:val="single" w:sz="2" w:space="0" w:color="000000"/>
              <w:left w:val="single" w:sz="2" w:space="0" w:color="000000"/>
              <w:bottom w:val="single" w:sz="2" w:space="0" w:color="000000"/>
              <w:right w:val="single" w:sz="2" w:space="0" w:color="000000"/>
            </w:tcBorders>
          </w:tcPr>
          <w:p w14:paraId="75D68CB4" w14:textId="77777777" w:rsidR="00053D93" w:rsidRDefault="00260B75">
            <w:pPr>
              <w:ind w:right="67"/>
              <w:jc w:val="center"/>
            </w:pPr>
            <w:r>
              <w:rPr>
                <w:sz w:val="16"/>
              </w:rPr>
              <w:t>001051E7;</w:t>
            </w:r>
          </w:p>
          <w:p w14:paraId="42E0C4BC" w14:textId="77777777" w:rsidR="00053D93" w:rsidRDefault="00260B75">
            <w:pPr>
              <w:ind w:right="74"/>
              <w:jc w:val="center"/>
            </w:pPr>
            <w:r>
              <w:rPr>
                <w:sz w:val="16"/>
              </w:rPr>
              <w:t>00105A16;</w:t>
            </w:r>
          </w:p>
          <w:p w14:paraId="43E83724" w14:textId="77777777" w:rsidR="00053D93" w:rsidRDefault="00260B75">
            <w:pPr>
              <w:ind w:right="74"/>
              <w:jc w:val="center"/>
            </w:pPr>
            <w:r>
              <w:rPr>
                <w:sz w:val="16"/>
              </w:rPr>
              <w:t>0010B8AE;</w:t>
            </w:r>
          </w:p>
          <w:p w14:paraId="3E98278F" w14:textId="77777777" w:rsidR="00053D93" w:rsidRDefault="00260B75">
            <w:pPr>
              <w:ind w:right="67"/>
              <w:jc w:val="center"/>
            </w:pPr>
            <w:r>
              <w:rPr>
                <w:sz w:val="16"/>
              </w:rPr>
              <w:t>0010F2B4;</w:t>
            </w:r>
          </w:p>
          <w:p w14:paraId="6E327DBA" w14:textId="77777777" w:rsidR="00053D93" w:rsidRDefault="00260B75">
            <w:pPr>
              <w:ind w:left="44"/>
            </w:pPr>
            <w:r>
              <w:rPr>
                <w:rFonts w:ascii="Times New Roman" w:eastAsia="Times New Roman" w:hAnsi="Times New Roman" w:cs="Times New Roman"/>
                <w:sz w:val="16"/>
              </w:rPr>
              <w:t>00106700; 001 19565;</w:t>
            </w:r>
          </w:p>
          <w:p w14:paraId="220E2E2D" w14:textId="77777777" w:rsidR="00053D93" w:rsidRDefault="00260B75">
            <w:pPr>
              <w:ind w:right="59"/>
              <w:jc w:val="center"/>
            </w:pPr>
            <w:r>
              <w:rPr>
                <w:sz w:val="16"/>
              </w:rPr>
              <w:t>00103BAA;</w:t>
            </w:r>
          </w:p>
          <w:p w14:paraId="150E3384" w14:textId="77777777" w:rsidR="00053D93" w:rsidRDefault="00260B75">
            <w:pPr>
              <w:ind w:left="44"/>
            </w:pPr>
            <w:r>
              <w:rPr>
                <w:sz w:val="16"/>
              </w:rPr>
              <w:t>0015ED20; 001 19555;</w:t>
            </w:r>
          </w:p>
          <w:p w14:paraId="5CDB0726" w14:textId="77777777" w:rsidR="00053D93" w:rsidRDefault="00260B75">
            <w:pPr>
              <w:ind w:right="67"/>
              <w:jc w:val="center"/>
            </w:pPr>
            <w:r>
              <w:rPr>
                <w:rFonts w:ascii="Times New Roman" w:eastAsia="Times New Roman" w:hAnsi="Times New Roman" w:cs="Times New Roman"/>
                <w:sz w:val="16"/>
              </w:rPr>
              <w:t>001 18C9B;</w:t>
            </w:r>
          </w:p>
          <w:p w14:paraId="59AE1F7C" w14:textId="77777777" w:rsidR="00053D93" w:rsidRDefault="00260B75">
            <w:pPr>
              <w:tabs>
                <w:tab w:val="right" w:pos="1566"/>
              </w:tabs>
              <w:spacing w:after="2"/>
            </w:pPr>
            <w:r>
              <w:rPr>
                <w:sz w:val="16"/>
              </w:rPr>
              <w:t xml:space="preserve">001 </w:t>
            </w:r>
            <w:r>
              <w:rPr>
                <w:sz w:val="16"/>
              </w:rPr>
              <w:tab/>
              <w:t>0010F6F7;</w:t>
            </w:r>
          </w:p>
          <w:p w14:paraId="07FABA5B" w14:textId="77777777" w:rsidR="00053D93" w:rsidRDefault="00260B75">
            <w:pPr>
              <w:ind w:left="66"/>
            </w:pPr>
            <w:r>
              <w:rPr>
                <w:sz w:val="18"/>
              </w:rPr>
              <w:t>001031%; 001 IAB05</w:t>
            </w:r>
          </w:p>
        </w:tc>
        <w:tc>
          <w:tcPr>
            <w:tcW w:w="2549" w:type="dxa"/>
            <w:tcBorders>
              <w:top w:val="single" w:sz="2" w:space="0" w:color="000000"/>
              <w:left w:val="single" w:sz="2" w:space="0" w:color="000000"/>
              <w:bottom w:val="single" w:sz="2" w:space="0" w:color="000000"/>
              <w:right w:val="single" w:sz="2" w:space="0" w:color="000000"/>
            </w:tcBorders>
          </w:tcPr>
          <w:p w14:paraId="38CBF486" w14:textId="77777777" w:rsidR="00053D93" w:rsidRDefault="00260B75">
            <w:pPr>
              <w:spacing w:after="42" w:line="260" w:lineRule="auto"/>
              <w:ind w:left="23" w:right="96" w:firstLine="7"/>
              <w:jc w:val="both"/>
            </w:pPr>
            <w:r>
              <w:rPr>
                <w:sz w:val="16"/>
              </w:rPr>
              <w:t>Computadoras personales de escritorio (cpu) marca IBM Thinkcenter Lenovo, modelo 8215A88. color negro, con serie No.</w:t>
            </w:r>
          </w:p>
          <w:p w14:paraId="03708CC1" w14:textId="77777777" w:rsidR="00053D93" w:rsidRDefault="00260B75">
            <w:pPr>
              <w:tabs>
                <w:tab w:val="center" w:pos="1210"/>
                <w:tab w:val="right" w:pos="2502"/>
              </w:tabs>
              <w:spacing w:after="8"/>
            </w:pPr>
            <w:r>
              <w:rPr>
                <w:sz w:val="18"/>
              </w:rPr>
              <w:t>LKZ0752,</w:t>
            </w:r>
            <w:r>
              <w:rPr>
                <w:sz w:val="18"/>
              </w:rPr>
              <w:tab/>
              <w:t>LKZ1360.</w:t>
            </w:r>
            <w:r>
              <w:rPr>
                <w:sz w:val="18"/>
              </w:rPr>
              <w:tab/>
              <w:t>LKZ0758,</w:t>
            </w:r>
          </w:p>
          <w:p w14:paraId="0FD473F3" w14:textId="77777777" w:rsidR="00053D93" w:rsidRDefault="00260B75">
            <w:pPr>
              <w:tabs>
                <w:tab w:val="center" w:pos="1207"/>
                <w:tab w:val="right" w:pos="2502"/>
              </w:tabs>
              <w:spacing w:after="11"/>
            </w:pPr>
            <w:r>
              <w:rPr>
                <w:sz w:val="18"/>
              </w:rPr>
              <w:t>LKZ1312,</w:t>
            </w:r>
            <w:r>
              <w:rPr>
                <w:sz w:val="18"/>
              </w:rPr>
              <w:tab/>
              <w:t>LKZ0727,</w:t>
            </w:r>
            <w:r>
              <w:rPr>
                <w:sz w:val="18"/>
              </w:rPr>
              <w:tab/>
              <w:t>LKZ1250,</w:t>
            </w:r>
          </w:p>
          <w:p w14:paraId="6470EEB7" w14:textId="77777777" w:rsidR="00053D93" w:rsidRDefault="00260B75">
            <w:pPr>
              <w:tabs>
                <w:tab w:val="center" w:pos="1210"/>
                <w:tab w:val="right" w:pos="2502"/>
              </w:tabs>
              <w:spacing w:after="9"/>
            </w:pPr>
            <w:r>
              <w:rPr>
                <w:sz w:val="18"/>
              </w:rPr>
              <w:t>LKZ0774,</w:t>
            </w:r>
            <w:r>
              <w:rPr>
                <w:sz w:val="18"/>
              </w:rPr>
              <w:tab/>
              <w:t>LKZ1337,</w:t>
            </w:r>
            <w:r>
              <w:rPr>
                <w:sz w:val="18"/>
              </w:rPr>
              <w:tab/>
              <w:t>LKZ1169,</w:t>
            </w:r>
          </w:p>
          <w:p w14:paraId="5B82E095" w14:textId="77777777" w:rsidR="00053D93" w:rsidRDefault="00260B75">
            <w:pPr>
              <w:spacing w:line="268" w:lineRule="auto"/>
              <w:ind w:left="30" w:firstLine="7"/>
              <w:jc w:val="both"/>
            </w:pPr>
            <w:r>
              <w:rPr>
                <w:sz w:val="18"/>
              </w:rPr>
              <w:t>LKZ1300, LKZ0739. LKZ1230, LKZ1166, LKZ1276. cada uno</w:t>
            </w:r>
          </w:p>
          <w:p w14:paraId="46EEA8DE" w14:textId="77777777" w:rsidR="00053D93" w:rsidRDefault="00260B75">
            <w:pPr>
              <w:ind w:left="37"/>
            </w:pPr>
            <w:r>
              <w:rPr>
                <w:sz w:val="16"/>
              </w:rPr>
              <w:t>Q8.255.70</w:t>
            </w:r>
          </w:p>
        </w:tc>
        <w:tc>
          <w:tcPr>
            <w:tcW w:w="991" w:type="dxa"/>
            <w:tcBorders>
              <w:top w:val="single" w:sz="2" w:space="0" w:color="000000"/>
              <w:left w:val="single" w:sz="2" w:space="0" w:color="000000"/>
              <w:bottom w:val="single" w:sz="2" w:space="0" w:color="000000"/>
              <w:right w:val="single" w:sz="2" w:space="0" w:color="000000"/>
            </w:tcBorders>
            <w:vAlign w:val="bottom"/>
          </w:tcPr>
          <w:p w14:paraId="4CD12656" w14:textId="77777777" w:rsidR="00053D93" w:rsidRDefault="00260B75">
            <w:pPr>
              <w:ind w:left="159"/>
            </w:pPr>
            <w:r>
              <w:rPr>
                <w:rFonts w:ascii="Times New Roman" w:eastAsia="Times New Roman" w:hAnsi="Times New Roman" w:cs="Times New Roman"/>
                <w:sz w:val="16"/>
              </w:rPr>
              <w:t>115,579.80</w:t>
            </w:r>
          </w:p>
        </w:tc>
      </w:tr>
      <w:tr w:rsidR="00053D93" w14:paraId="6457B7DB" w14:textId="77777777">
        <w:trPr>
          <w:trHeight w:val="2693"/>
        </w:trPr>
        <w:tc>
          <w:tcPr>
            <w:tcW w:w="306" w:type="dxa"/>
            <w:tcBorders>
              <w:top w:val="single" w:sz="2" w:space="0" w:color="000000"/>
              <w:left w:val="single" w:sz="2" w:space="0" w:color="000000"/>
              <w:bottom w:val="single" w:sz="2" w:space="0" w:color="000000"/>
              <w:right w:val="single" w:sz="2" w:space="0" w:color="000000"/>
            </w:tcBorders>
          </w:tcPr>
          <w:p w14:paraId="5B2C3A3C" w14:textId="77777777" w:rsidR="00053D93" w:rsidRDefault="00260B75">
            <w:pPr>
              <w:ind w:left="22"/>
            </w:pPr>
            <w:r>
              <w:rPr>
                <w:rFonts w:ascii="Times New Roman" w:eastAsia="Times New Roman" w:hAnsi="Times New Roman" w:cs="Times New Roman"/>
                <w:sz w:val="18"/>
              </w:rPr>
              <w:t>7</w:t>
            </w:r>
          </w:p>
        </w:tc>
        <w:tc>
          <w:tcPr>
            <w:tcW w:w="0" w:type="auto"/>
            <w:gridSpan w:val="3"/>
            <w:vMerge/>
            <w:tcBorders>
              <w:top w:val="nil"/>
              <w:left w:val="single" w:sz="2" w:space="0" w:color="000000"/>
              <w:bottom w:val="nil"/>
              <w:right w:val="single" w:sz="2" w:space="0" w:color="000000"/>
            </w:tcBorders>
          </w:tcPr>
          <w:p w14:paraId="4AC303A3"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366F5703" w14:textId="77777777" w:rsidR="00053D93" w:rsidRDefault="00260B75">
            <w:pPr>
              <w:ind w:left="37"/>
            </w:pPr>
            <w:r>
              <w:rPr>
                <w:rFonts w:ascii="Times New Roman" w:eastAsia="Times New Roman" w:hAnsi="Times New Roman" w:cs="Times New Roman"/>
                <w:sz w:val="16"/>
              </w:rPr>
              <w:t>03/12/2012</w:t>
            </w:r>
          </w:p>
        </w:tc>
        <w:tc>
          <w:tcPr>
            <w:tcW w:w="766" w:type="dxa"/>
            <w:tcBorders>
              <w:top w:val="single" w:sz="2" w:space="0" w:color="000000"/>
              <w:left w:val="single" w:sz="2" w:space="0" w:color="000000"/>
              <w:bottom w:val="single" w:sz="2" w:space="0" w:color="000000"/>
              <w:right w:val="single" w:sz="2" w:space="0" w:color="000000"/>
            </w:tcBorders>
          </w:tcPr>
          <w:p w14:paraId="6869DCEA" w14:textId="77777777" w:rsidR="00053D93" w:rsidRDefault="00260B75">
            <w:pPr>
              <w:ind w:right="42"/>
              <w:jc w:val="center"/>
            </w:pPr>
            <w:r>
              <w:rPr>
                <w:rFonts w:ascii="Times New Roman" w:eastAsia="Times New Roman" w:hAnsi="Times New Roman" w:cs="Times New Roman"/>
                <w:sz w:val="18"/>
              </w:rPr>
              <w:t>3</w:t>
            </w:r>
          </w:p>
        </w:tc>
        <w:tc>
          <w:tcPr>
            <w:tcW w:w="1613" w:type="dxa"/>
            <w:tcBorders>
              <w:top w:val="single" w:sz="2" w:space="0" w:color="000000"/>
              <w:left w:val="single" w:sz="2" w:space="0" w:color="000000"/>
              <w:bottom w:val="single" w:sz="2" w:space="0" w:color="000000"/>
              <w:right w:val="single" w:sz="2" w:space="0" w:color="000000"/>
            </w:tcBorders>
          </w:tcPr>
          <w:p w14:paraId="404CDA25" w14:textId="77777777" w:rsidR="00053D93" w:rsidRDefault="00260B75">
            <w:pPr>
              <w:ind w:left="51"/>
            </w:pPr>
            <w:r>
              <w:rPr>
                <w:sz w:val="16"/>
              </w:rPr>
              <w:t>00106889, 00105A47.</w:t>
            </w:r>
          </w:p>
          <w:p w14:paraId="5F598ED0" w14:textId="77777777" w:rsidR="00053D93" w:rsidRDefault="00260B75">
            <w:pPr>
              <w:ind w:right="45"/>
              <w:jc w:val="center"/>
            </w:pPr>
            <w:r>
              <w:rPr>
                <w:sz w:val="16"/>
              </w:rPr>
              <w:t>001032CF</w:t>
            </w:r>
          </w:p>
        </w:tc>
        <w:tc>
          <w:tcPr>
            <w:tcW w:w="2549" w:type="dxa"/>
            <w:tcBorders>
              <w:top w:val="single" w:sz="2" w:space="0" w:color="000000"/>
              <w:left w:val="single" w:sz="2" w:space="0" w:color="000000"/>
              <w:bottom w:val="single" w:sz="2" w:space="0" w:color="000000"/>
              <w:right w:val="single" w:sz="2" w:space="0" w:color="000000"/>
            </w:tcBorders>
          </w:tcPr>
          <w:p w14:paraId="09C8A572" w14:textId="77777777" w:rsidR="00053D93" w:rsidRDefault="00260B75">
            <w:pPr>
              <w:spacing w:after="1" w:line="229" w:lineRule="auto"/>
              <w:ind w:left="30" w:right="82" w:firstLine="7"/>
              <w:jc w:val="both"/>
            </w:pPr>
            <w:r>
              <w:rPr>
                <w:sz w:val="16"/>
              </w:rPr>
              <w:t>Computadoras personales de escritorio color negro marca IBM Think Centre, con procesador Pentium IV 3.6ghz. I gb de memoria RAM. fioppy de 1.44 mb, 3.5", disco de 160gb interno, puerto RJ-45. 101100/1000. un paralelo. ocho puertos usb v.2.O. 1 serial combo quemador de DVD CD, licencia Windows XP Professional en español con servicepack, 3 años de garantía. serie LKMGW39, LKMGW78. LKMGX13 cada una. Q.</w:t>
            </w:r>
          </w:p>
          <w:p w14:paraId="717FBEC2" w14:textId="77777777" w:rsidR="00053D93" w:rsidRDefault="00260B75">
            <w:pPr>
              <w:ind w:left="44"/>
            </w:pPr>
            <w:r>
              <w:rPr>
                <w:rFonts w:ascii="Times New Roman" w:eastAsia="Times New Roman" w:hAnsi="Times New Roman" w:cs="Times New Roman"/>
                <w:sz w:val="16"/>
              </w:rPr>
              <w:t>8.249.70</w:t>
            </w:r>
          </w:p>
        </w:tc>
        <w:tc>
          <w:tcPr>
            <w:tcW w:w="991" w:type="dxa"/>
            <w:tcBorders>
              <w:top w:val="single" w:sz="2" w:space="0" w:color="000000"/>
              <w:left w:val="single" w:sz="2" w:space="0" w:color="000000"/>
              <w:bottom w:val="single" w:sz="2" w:space="0" w:color="000000"/>
              <w:right w:val="single" w:sz="2" w:space="0" w:color="000000"/>
            </w:tcBorders>
            <w:vAlign w:val="bottom"/>
          </w:tcPr>
          <w:p w14:paraId="4CC60918" w14:textId="77777777" w:rsidR="00053D93" w:rsidRDefault="00260B75">
            <w:pPr>
              <w:ind w:left="238"/>
            </w:pPr>
            <w:r>
              <w:rPr>
                <w:rFonts w:ascii="Times New Roman" w:eastAsia="Times New Roman" w:hAnsi="Times New Roman" w:cs="Times New Roman"/>
                <w:sz w:val="16"/>
              </w:rPr>
              <w:t>24.749.10</w:t>
            </w:r>
          </w:p>
        </w:tc>
      </w:tr>
      <w:tr w:rsidR="00053D93" w14:paraId="31C0C184" w14:textId="77777777">
        <w:trPr>
          <w:trHeight w:val="1544"/>
        </w:trPr>
        <w:tc>
          <w:tcPr>
            <w:tcW w:w="306" w:type="dxa"/>
            <w:tcBorders>
              <w:top w:val="single" w:sz="2" w:space="0" w:color="000000"/>
              <w:left w:val="single" w:sz="2" w:space="0" w:color="000000"/>
              <w:bottom w:val="single" w:sz="2" w:space="0" w:color="000000"/>
              <w:right w:val="single" w:sz="2" w:space="0" w:color="000000"/>
            </w:tcBorders>
          </w:tcPr>
          <w:p w14:paraId="14353A1B" w14:textId="77777777" w:rsidR="00053D93" w:rsidRDefault="00260B75">
            <w:pPr>
              <w:ind w:left="29"/>
            </w:pPr>
            <w:r>
              <w:rPr>
                <w:rFonts w:ascii="Times New Roman" w:eastAsia="Times New Roman" w:hAnsi="Times New Roman" w:cs="Times New Roman"/>
                <w:sz w:val="16"/>
              </w:rPr>
              <w:t>8</w:t>
            </w:r>
          </w:p>
        </w:tc>
        <w:tc>
          <w:tcPr>
            <w:tcW w:w="0" w:type="auto"/>
            <w:gridSpan w:val="3"/>
            <w:vMerge/>
            <w:tcBorders>
              <w:top w:val="nil"/>
              <w:left w:val="single" w:sz="2" w:space="0" w:color="000000"/>
              <w:bottom w:val="nil"/>
              <w:right w:val="single" w:sz="2" w:space="0" w:color="000000"/>
            </w:tcBorders>
          </w:tcPr>
          <w:p w14:paraId="5902E6B6"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5F59CA34" w14:textId="77777777" w:rsidR="00053D93" w:rsidRDefault="00260B75">
            <w:pPr>
              <w:ind w:left="44"/>
            </w:pPr>
            <w:r>
              <w:rPr>
                <w:rFonts w:ascii="Times New Roman" w:eastAsia="Times New Roman" w:hAnsi="Times New Roman" w:cs="Times New Roman"/>
                <w:sz w:val="14"/>
              </w:rPr>
              <w:t>0311212012</w:t>
            </w:r>
          </w:p>
        </w:tc>
        <w:tc>
          <w:tcPr>
            <w:tcW w:w="766" w:type="dxa"/>
            <w:tcBorders>
              <w:top w:val="single" w:sz="2" w:space="0" w:color="000000"/>
              <w:left w:val="single" w:sz="2" w:space="0" w:color="000000"/>
              <w:bottom w:val="single" w:sz="2" w:space="0" w:color="000000"/>
              <w:right w:val="single" w:sz="2" w:space="0" w:color="000000"/>
            </w:tcBorders>
          </w:tcPr>
          <w:p w14:paraId="12AF10EC" w14:textId="77777777" w:rsidR="00053D93" w:rsidRDefault="00260B75">
            <w:pPr>
              <w:ind w:right="21"/>
              <w:jc w:val="center"/>
            </w:pPr>
            <w:r>
              <w:rPr>
                <w:rFonts w:ascii="Times New Roman" w:eastAsia="Times New Roman" w:hAnsi="Times New Roman" w:cs="Times New Roman"/>
                <w:sz w:val="16"/>
              </w:rPr>
              <w:t>14</w:t>
            </w:r>
          </w:p>
        </w:tc>
        <w:tc>
          <w:tcPr>
            <w:tcW w:w="1613" w:type="dxa"/>
            <w:tcBorders>
              <w:top w:val="single" w:sz="2" w:space="0" w:color="000000"/>
              <w:left w:val="single" w:sz="2" w:space="0" w:color="000000"/>
              <w:bottom w:val="single" w:sz="2" w:space="0" w:color="000000"/>
              <w:right w:val="single" w:sz="2" w:space="0" w:color="000000"/>
            </w:tcBorders>
          </w:tcPr>
          <w:p w14:paraId="6128F404" w14:textId="77777777" w:rsidR="00053D93" w:rsidRDefault="00260B75">
            <w:pPr>
              <w:ind w:right="45"/>
              <w:jc w:val="center"/>
            </w:pPr>
            <w:r>
              <w:rPr>
                <w:sz w:val="18"/>
              </w:rPr>
              <w:t>00105AIB;</w:t>
            </w:r>
          </w:p>
          <w:p w14:paraId="7B2625D3" w14:textId="77777777" w:rsidR="00053D93" w:rsidRDefault="00260B75">
            <w:pPr>
              <w:ind w:right="38"/>
              <w:jc w:val="center"/>
            </w:pPr>
            <w:r>
              <w:rPr>
                <w:rFonts w:ascii="Times New Roman" w:eastAsia="Times New Roman" w:hAnsi="Times New Roman" w:cs="Times New Roman"/>
                <w:sz w:val="16"/>
              </w:rPr>
              <w:t>00108887;</w:t>
            </w:r>
          </w:p>
          <w:p w14:paraId="018610D5" w14:textId="77777777" w:rsidR="00053D93" w:rsidRDefault="00260B75">
            <w:pPr>
              <w:ind w:left="44"/>
            </w:pPr>
            <w:r>
              <w:rPr>
                <w:sz w:val="16"/>
              </w:rPr>
              <w:t>00103EFA; 001 OA369;</w:t>
            </w:r>
          </w:p>
          <w:p w14:paraId="0F40748D" w14:textId="77777777" w:rsidR="00053D93" w:rsidRDefault="00260B75">
            <w:pPr>
              <w:ind w:left="44"/>
            </w:pPr>
            <w:r>
              <w:rPr>
                <w:sz w:val="16"/>
              </w:rPr>
              <w:t>00106702; 001195BF;</w:t>
            </w:r>
          </w:p>
          <w:p w14:paraId="36C40F67" w14:textId="77777777" w:rsidR="00053D93" w:rsidRDefault="00260B75">
            <w:pPr>
              <w:ind w:left="59"/>
            </w:pPr>
            <w:r>
              <w:rPr>
                <w:rFonts w:ascii="Times New Roman" w:eastAsia="Times New Roman" w:hAnsi="Times New Roman" w:cs="Times New Roman"/>
                <w:sz w:val="16"/>
              </w:rPr>
              <w:t>00103521; 00105295;</w:t>
            </w:r>
          </w:p>
          <w:p w14:paraId="1A8FC104" w14:textId="77777777" w:rsidR="00053D93" w:rsidRDefault="00260B75">
            <w:pPr>
              <w:spacing w:after="12"/>
              <w:ind w:left="51"/>
            </w:pPr>
            <w:r>
              <w:rPr>
                <w:rFonts w:ascii="Times New Roman" w:eastAsia="Times New Roman" w:hAnsi="Times New Roman" w:cs="Times New Roman"/>
                <w:sz w:val="14"/>
              </w:rPr>
              <w:t>001 195B7; 001 18C75;</w:t>
            </w:r>
          </w:p>
          <w:p w14:paraId="17EC897A" w14:textId="77777777" w:rsidR="00053D93" w:rsidRDefault="00260B75">
            <w:pPr>
              <w:ind w:left="51"/>
            </w:pPr>
            <w:r>
              <w:rPr>
                <w:sz w:val="16"/>
              </w:rPr>
              <w:t>0015FA97; 001077E2;</w:t>
            </w:r>
          </w:p>
          <w:p w14:paraId="6862CAAF" w14:textId="77777777" w:rsidR="00053D93" w:rsidRDefault="00260B75">
            <w:pPr>
              <w:ind w:left="66"/>
            </w:pPr>
            <w:r>
              <w:rPr>
                <w:sz w:val="16"/>
              </w:rPr>
              <w:t>001 IAB13; 00103BC3</w:t>
            </w:r>
          </w:p>
        </w:tc>
        <w:tc>
          <w:tcPr>
            <w:tcW w:w="2549" w:type="dxa"/>
            <w:tcBorders>
              <w:top w:val="single" w:sz="2" w:space="0" w:color="000000"/>
              <w:left w:val="single" w:sz="2" w:space="0" w:color="000000"/>
              <w:bottom w:val="single" w:sz="2" w:space="0" w:color="000000"/>
              <w:right w:val="single" w:sz="2" w:space="0" w:color="000000"/>
            </w:tcBorders>
          </w:tcPr>
          <w:p w14:paraId="310692B6" w14:textId="77777777" w:rsidR="00053D93" w:rsidRDefault="00260B75">
            <w:pPr>
              <w:spacing w:line="216" w:lineRule="auto"/>
              <w:ind w:left="44" w:hanging="7"/>
              <w:jc w:val="both"/>
            </w:pPr>
            <w:r>
              <w:rPr>
                <w:sz w:val="16"/>
              </w:rPr>
              <w:t>Monitores Marca IBM, Modelo 9205-A82. Color, Negro, Serie No.</w:t>
            </w:r>
          </w:p>
          <w:p w14:paraId="6437229D" w14:textId="77777777" w:rsidR="00053D93" w:rsidRDefault="00260B75">
            <w:pPr>
              <w:spacing w:line="266" w:lineRule="auto"/>
              <w:ind w:left="37" w:right="82"/>
              <w:jc w:val="both"/>
            </w:pPr>
            <w:r>
              <w:rPr>
                <w:sz w:val="18"/>
              </w:rPr>
              <w:t>VLB8613. VLB9483. VLB8521, VLB8638, VLB8468. VLB9281, VLB9582, LB9581, VLB9168, VLBB918, VLB8931, VL8B612,</w:t>
            </w:r>
          </w:p>
          <w:p w14:paraId="3237BA5A" w14:textId="77777777" w:rsidR="00053D93" w:rsidRDefault="00260B75">
            <w:pPr>
              <w:ind w:left="59" w:hanging="22"/>
            </w:pPr>
            <w:r>
              <w:rPr>
                <w:sz w:val="16"/>
              </w:rPr>
              <w:t>VLB9579. VLV34S1. con valor de a. 1,962.OO. Cada Uno.</w:t>
            </w:r>
          </w:p>
        </w:tc>
        <w:tc>
          <w:tcPr>
            <w:tcW w:w="991" w:type="dxa"/>
            <w:tcBorders>
              <w:top w:val="single" w:sz="2" w:space="0" w:color="000000"/>
              <w:left w:val="single" w:sz="2" w:space="0" w:color="000000"/>
              <w:bottom w:val="single" w:sz="2" w:space="0" w:color="000000"/>
              <w:right w:val="single" w:sz="2" w:space="0" w:color="000000"/>
            </w:tcBorders>
            <w:vAlign w:val="bottom"/>
          </w:tcPr>
          <w:p w14:paraId="1EF4D5F4" w14:textId="77777777" w:rsidR="00053D93" w:rsidRDefault="00260B75">
            <w:pPr>
              <w:ind w:left="238"/>
            </w:pPr>
            <w:r>
              <w:rPr>
                <w:rFonts w:ascii="Times New Roman" w:eastAsia="Times New Roman" w:hAnsi="Times New Roman" w:cs="Times New Roman"/>
                <w:sz w:val="16"/>
              </w:rPr>
              <w:t>468.00</w:t>
            </w:r>
          </w:p>
        </w:tc>
      </w:tr>
      <w:tr w:rsidR="00053D93" w14:paraId="34707E23" w14:textId="77777777">
        <w:trPr>
          <w:trHeight w:val="968"/>
        </w:trPr>
        <w:tc>
          <w:tcPr>
            <w:tcW w:w="306" w:type="dxa"/>
            <w:tcBorders>
              <w:top w:val="single" w:sz="2" w:space="0" w:color="000000"/>
              <w:left w:val="single" w:sz="2" w:space="0" w:color="000000"/>
              <w:bottom w:val="single" w:sz="2" w:space="0" w:color="000000"/>
              <w:right w:val="single" w:sz="2" w:space="0" w:color="000000"/>
            </w:tcBorders>
          </w:tcPr>
          <w:p w14:paraId="4ACCB08E" w14:textId="77777777" w:rsidR="00053D93" w:rsidRDefault="00260B75">
            <w:pPr>
              <w:ind w:left="36"/>
            </w:pPr>
            <w:r>
              <w:rPr>
                <w:rFonts w:ascii="Times New Roman" w:eastAsia="Times New Roman" w:hAnsi="Times New Roman" w:cs="Times New Roman"/>
                <w:sz w:val="16"/>
              </w:rPr>
              <w:t>9</w:t>
            </w:r>
          </w:p>
        </w:tc>
        <w:tc>
          <w:tcPr>
            <w:tcW w:w="0" w:type="auto"/>
            <w:gridSpan w:val="3"/>
            <w:vMerge/>
            <w:tcBorders>
              <w:top w:val="nil"/>
              <w:left w:val="single" w:sz="2" w:space="0" w:color="000000"/>
              <w:bottom w:val="nil"/>
              <w:right w:val="single" w:sz="2" w:space="0" w:color="000000"/>
            </w:tcBorders>
          </w:tcPr>
          <w:p w14:paraId="299E1BFE"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31A4A209" w14:textId="77777777" w:rsidR="00053D93" w:rsidRDefault="00260B75">
            <w:pPr>
              <w:ind w:left="44"/>
            </w:pPr>
            <w:r>
              <w:rPr>
                <w:rFonts w:ascii="Times New Roman" w:eastAsia="Times New Roman" w:hAnsi="Times New Roman" w:cs="Times New Roman"/>
                <w:sz w:val="16"/>
              </w:rPr>
              <w:t>03'12/2012</w:t>
            </w:r>
          </w:p>
        </w:tc>
        <w:tc>
          <w:tcPr>
            <w:tcW w:w="766" w:type="dxa"/>
            <w:tcBorders>
              <w:top w:val="single" w:sz="2" w:space="0" w:color="000000"/>
              <w:left w:val="single" w:sz="2" w:space="0" w:color="000000"/>
              <w:bottom w:val="single" w:sz="2" w:space="0" w:color="000000"/>
              <w:right w:val="single" w:sz="2" w:space="0" w:color="000000"/>
            </w:tcBorders>
          </w:tcPr>
          <w:p w14:paraId="13E9070B" w14:textId="77777777" w:rsidR="00053D93" w:rsidRDefault="00260B75">
            <w:pPr>
              <w:ind w:right="35"/>
              <w:jc w:val="center"/>
            </w:pPr>
            <w:r>
              <w:rPr>
                <w:rFonts w:ascii="Times New Roman" w:eastAsia="Times New Roman" w:hAnsi="Times New Roman" w:cs="Times New Roman"/>
                <w:sz w:val="16"/>
              </w:rPr>
              <w:t>4</w:t>
            </w:r>
          </w:p>
        </w:tc>
        <w:tc>
          <w:tcPr>
            <w:tcW w:w="1613" w:type="dxa"/>
            <w:tcBorders>
              <w:top w:val="single" w:sz="2" w:space="0" w:color="000000"/>
              <w:left w:val="single" w:sz="2" w:space="0" w:color="000000"/>
              <w:bottom w:val="single" w:sz="2" w:space="0" w:color="000000"/>
              <w:right w:val="single" w:sz="2" w:space="0" w:color="000000"/>
            </w:tcBorders>
          </w:tcPr>
          <w:p w14:paraId="6DBFE751" w14:textId="77777777" w:rsidR="00053D93" w:rsidRDefault="00260B75">
            <w:pPr>
              <w:ind w:right="38"/>
              <w:jc w:val="center"/>
            </w:pPr>
            <w:r>
              <w:rPr>
                <w:sz w:val="18"/>
              </w:rPr>
              <w:t>C01038CE;</w:t>
            </w:r>
          </w:p>
          <w:p w14:paraId="761A02B6" w14:textId="77777777" w:rsidR="00053D93" w:rsidRDefault="00260B75">
            <w:pPr>
              <w:spacing w:after="12"/>
              <w:ind w:left="44"/>
            </w:pPr>
            <w:r>
              <w:rPr>
                <w:rFonts w:ascii="Times New Roman" w:eastAsia="Times New Roman" w:hAnsi="Times New Roman" w:cs="Times New Roman"/>
                <w:sz w:val="14"/>
              </w:rPr>
              <w:t>001038D6; 00105809;</w:t>
            </w:r>
          </w:p>
          <w:p w14:paraId="5EE6FCB9" w14:textId="77777777" w:rsidR="00053D93" w:rsidRDefault="00260B75">
            <w:pPr>
              <w:ind w:right="23"/>
              <w:jc w:val="center"/>
            </w:pPr>
            <w:r>
              <w:rPr>
                <w:sz w:val="16"/>
              </w:rPr>
              <w:t>0010F6FA</w:t>
            </w:r>
          </w:p>
        </w:tc>
        <w:tc>
          <w:tcPr>
            <w:tcW w:w="2549" w:type="dxa"/>
            <w:tcBorders>
              <w:top w:val="single" w:sz="2" w:space="0" w:color="000000"/>
              <w:left w:val="single" w:sz="2" w:space="0" w:color="000000"/>
              <w:bottom w:val="single" w:sz="2" w:space="0" w:color="000000"/>
              <w:right w:val="single" w:sz="2" w:space="0" w:color="000000"/>
            </w:tcBorders>
          </w:tcPr>
          <w:p w14:paraId="5E7A21BE" w14:textId="77777777" w:rsidR="00053D93" w:rsidRDefault="00260B75">
            <w:pPr>
              <w:spacing w:line="235" w:lineRule="auto"/>
              <w:ind w:left="44" w:right="82"/>
              <w:jc w:val="both"/>
            </w:pPr>
            <w:r>
              <w:rPr>
                <w:sz w:val="16"/>
              </w:rPr>
              <w:t>Monitores tipo nal panel de 17 pulgadas color negro, Marca IBM Thinkvision serie No. V2KPC34, V2KNY01, V2KNX91, V2KNX98.</w:t>
            </w:r>
          </w:p>
          <w:p w14:paraId="0E6D5C61" w14:textId="77777777" w:rsidR="00053D93" w:rsidRDefault="00260B75">
            <w:pPr>
              <w:ind w:left="44"/>
            </w:pPr>
            <w:r>
              <w:rPr>
                <w:sz w:val="16"/>
              </w:rPr>
              <w:t>cada una Q. 1.990.00</w:t>
            </w:r>
          </w:p>
        </w:tc>
        <w:tc>
          <w:tcPr>
            <w:tcW w:w="991" w:type="dxa"/>
            <w:tcBorders>
              <w:top w:val="single" w:sz="2" w:space="0" w:color="000000"/>
              <w:left w:val="single" w:sz="2" w:space="0" w:color="000000"/>
              <w:bottom w:val="single" w:sz="2" w:space="0" w:color="000000"/>
              <w:right w:val="single" w:sz="2" w:space="0" w:color="000000"/>
            </w:tcBorders>
            <w:vAlign w:val="bottom"/>
          </w:tcPr>
          <w:p w14:paraId="147DAD5D" w14:textId="77777777" w:rsidR="00053D93" w:rsidRDefault="00260B75">
            <w:pPr>
              <w:ind w:left="318"/>
            </w:pPr>
            <w:r>
              <w:rPr>
                <w:rFonts w:ascii="Times New Roman" w:eastAsia="Times New Roman" w:hAnsi="Times New Roman" w:cs="Times New Roman"/>
                <w:sz w:val="16"/>
              </w:rPr>
              <w:t>960.00</w:t>
            </w:r>
          </w:p>
        </w:tc>
      </w:tr>
      <w:tr w:rsidR="00053D93" w14:paraId="076AC148" w14:textId="77777777">
        <w:trPr>
          <w:trHeight w:val="976"/>
        </w:trPr>
        <w:tc>
          <w:tcPr>
            <w:tcW w:w="306" w:type="dxa"/>
            <w:tcBorders>
              <w:top w:val="single" w:sz="2" w:space="0" w:color="000000"/>
              <w:left w:val="single" w:sz="2" w:space="0" w:color="000000"/>
              <w:bottom w:val="single" w:sz="2" w:space="0" w:color="000000"/>
              <w:right w:val="single" w:sz="2" w:space="0" w:color="000000"/>
            </w:tcBorders>
          </w:tcPr>
          <w:p w14:paraId="5AA3C4C7" w14:textId="77777777" w:rsidR="00053D93" w:rsidRDefault="00260B75">
            <w:pPr>
              <w:ind w:left="7"/>
            </w:pPr>
            <w:r>
              <w:rPr>
                <w:rFonts w:ascii="Times New Roman" w:eastAsia="Times New Roman" w:hAnsi="Times New Roman" w:cs="Times New Roman"/>
                <w:sz w:val="16"/>
              </w:rPr>
              <w:t>10</w:t>
            </w:r>
          </w:p>
        </w:tc>
        <w:tc>
          <w:tcPr>
            <w:tcW w:w="0" w:type="auto"/>
            <w:gridSpan w:val="3"/>
            <w:vMerge/>
            <w:tcBorders>
              <w:top w:val="nil"/>
              <w:left w:val="single" w:sz="2" w:space="0" w:color="000000"/>
              <w:bottom w:val="single" w:sz="2" w:space="0" w:color="000000"/>
              <w:right w:val="single" w:sz="2" w:space="0" w:color="000000"/>
            </w:tcBorders>
          </w:tcPr>
          <w:p w14:paraId="57C0EBBF"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1F20D5FB" w14:textId="77777777" w:rsidR="00053D93" w:rsidRDefault="00260B75">
            <w:pPr>
              <w:ind w:left="51"/>
            </w:pPr>
            <w:r>
              <w:rPr>
                <w:rFonts w:ascii="Times New Roman" w:eastAsia="Times New Roman" w:hAnsi="Times New Roman" w:cs="Times New Roman"/>
                <w:sz w:val="16"/>
              </w:rPr>
              <w:t>03/1212012</w:t>
            </w:r>
          </w:p>
        </w:tc>
        <w:tc>
          <w:tcPr>
            <w:tcW w:w="766" w:type="dxa"/>
            <w:tcBorders>
              <w:top w:val="single" w:sz="2" w:space="0" w:color="000000"/>
              <w:left w:val="single" w:sz="2" w:space="0" w:color="000000"/>
              <w:bottom w:val="single" w:sz="2" w:space="0" w:color="000000"/>
              <w:right w:val="single" w:sz="2" w:space="0" w:color="000000"/>
            </w:tcBorders>
          </w:tcPr>
          <w:p w14:paraId="49BDBE9F"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0F46BBB2" w14:textId="77777777" w:rsidR="00053D93" w:rsidRDefault="00260B75">
            <w:pPr>
              <w:ind w:right="23"/>
              <w:jc w:val="center"/>
            </w:pPr>
            <w:r>
              <w:rPr>
                <w:sz w:val="16"/>
              </w:rPr>
              <w:t>001C4A94</w:t>
            </w:r>
          </w:p>
        </w:tc>
        <w:tc>
          <w:tcPr>
            <w:tcW w:w="2549" w:type="dxa"/>
            <w:tcBorders>
              <w:top w:val="single" w:sz="2" w:space="0" w:color="000000"/>
              <w:left w:val="single" w:sz="2" w:space="0" w:color="000000"/>
              <w:bottom w:val="single" w:sz="2" w:space="0" w:color="000000"/>
              <w:right w:val="single" w:sz="2" w:space="0" w:color="000000"/>
            </w:tcBorders>
          </w:tcPr>
          <w:p w14:paraId="279B5EA7" w14:textId="77777777" w:rsidR="00053D93" w:rsidRDefault="00260B75">
            <w:pPr>
              <w:tabs>
                <w:tab w:val="center" w:pos="1387"/>
                <w:tab w:val="right" w:pos="2502"/>
              </w:tabs>
            </w:pPr>
            <w:r>
              <w:rPr>
                <w:sz w:val="18"/>
              </w:rPr>
              <w:t xml:space="preserve">Impresora </w:t>
            </w:r>
            <w:r>
              <w:rPr>
                <w:sz w:val="18"/>
              </w:rPr>
              <w:tab/>
              <w:t>Tecnología</w:t>
            </w:r>
            <w:r>
              <w:rPr>
                <w:sz w:val="18"/>
              </w:rPr>
              <w:tab/>
              <w:t>Laser</w:t>
            </w:r>
          </w:p>
          <w:p w14:paraId="0E8AEEFC" w14:textId="77777777" w:rsidR="00053D93" w:rsidRDefault="00260B75">
            <w:pPr>
              <w:ind w:left="44" w:right="67"/>
              <w:jc w:val="both"/>
            </w:pPr>
            <w:r>
              <w:rPr>
                <w:sz w:val="16"/>
              </w:rPr>
              <w:t>monocromática Marca Xerox Modelo 3435DN; color del equipo blanco con azul; 2 teners adicionales de alto rendimiento, Serie: NBG003959</w:t>
            </w:r>
          </w:p>
        </w:tc>
        <w:tc>
          <w:tcPr>
            <w:tcW w:w="991" w:type="dxa"/>
            <w:tcBorders>
              <w:top w:val="single" w:sz="2" w:space="0" w:color="000000"/>
              <w:left w:val="single" w:sz="2" w:space="0" w:color="000000"/>
              <w:bottom w:val="single" w:sz="2" w:space="0" w:color="000000"/>
              <w:right w:val="single" w:sz="2" w:space="0" w:color="000000"/>
            </w:tcBorders>
            <w:vAlign w:val="bottom"/>
          </w:tcPr>
          <w:p w14:paraId="02FEE383" w14:textId="77777777" w:rsidR="00053D93" w:rsidRDefault="00260B75">
            <w:pPr>
              <w:ind w:right="65"/>
              <w:jc w:val="right"/>
            </w:pPr>
            <w:r>
              <w:rPr>
                <w:rFonts w:ascii="Times New Roman" w:eastAsia="Times New Roman" w:hAnsi="Times New Roman" w:cs="Times New Roman"/>
                <w:sz w:val="16"/>
              </w:rPr>
              <w:t>3.524.82</w:t>
            </w:r>
          </w:p>
        </w:tc>
      </w:tr>
      <w:tr w:rsidR="00053D93" w14:paraId="7A42DB14" w14:textId="77777777">
        <w:trPr>
          <w:trHeight w:val="1738"/>
        </w:trPr>
        <w:tc>
          <w:tcPr>
            <w:tcW w:w="306" w:type="dxa"/>
            <w:tcBorders>
              <w:top w:val="single" w:sz="2" w:space="0" w:color="000000"/>
              <w:left w:val="single" w:sz="2" w:space="0" w:color="000000"/>
              <w:bottom w:val="single" w:sz="2" w:space="0" w:color="000000"/>
              <w:right w:val="single" w:sz="2" w:space="0" w:color="000000"/>
            </w:tcBorders>
          </w:tcPr>
          <w:p w14:paraId="25858C7A" w14:textId="77777777" w:rsidR="00053D93" w:rsidRDefault="00260B75">
            <w:pPr>
              <w:ind w:left="7"/>
            </w:pPr>
            <w:r>
              <w:rPr>
                <w:rFonts w:ascii="Times New Roman" w:eastAsia="Times New Roman" w:hAnsi="Times New Roman" w:cs="Times New Roman"/>
                <w:sz w:val="16"/>
              </w:rPr>
              <w:t>11</w:t>
            </w:r>
          </w:p>
        </w:tc>
        <w:tc>
          <w:tcPr>
            <w:tcW w:w="1284" w:type="dxa"/>
            <w:gridSpan w:val="3"/>
            <w:vMerge w:val="restart"/>
            <w:tcBorders>
              <w:top w:val="single" w:sz="2" w:space="0" w:color="000000"/>
              <w:left w:val="single" w:sz="2" w:space="0" w:color="000000"/>
              <w:bottom w:val="nil"/>
              <w:right w:val="single" w:sz="2" w:space="0" w:color="000000"/>
            </w:tcBorders>
          </w:tcPr>
          <w:p w14:paraId="0F6AD9F7" w14:textId="77777777" w:rsidR="00053D93" w:rsidRDefault="00260B75">
            <w:pPr>
              <w:ind w:right="42"/>
              <w:jc w:val="center"/>
            </w:pPr>
            <w:r>
              <w:rPr>
                <w:rFonts w:ascii="Times New Roman" w:eastAsia="Times New Roman" w:hAnsi="Times New Roman" w:cs="Times New Roman"/>
                <w:sz w:val="16"/>
              </w:rPr>
              <w:t>002866</w:t>
            </w:r>
          </w:p>
        </w:tc>
        <w:tc>
          <w:tcPr>
            <w:tcW w:w="876" w:type="dxa"/>
            <w:tcBorders>
              <w:top w:val="single" w:sz="2" w:space="0" w:color="000000"/>
              <w:left w:val="single" w:sz="2" w:space="0" w:color="000000"/>
              <w:bottom w:val="single" w:sz="2" w:space="0" w:color="000000"/>
              <w:right w:val="single" w:sz="2" w:space="0" w:color="000000"/>
            </w:tcBorders>
          </w:tcPr>
          <w:p w14:paraId="11387F0F" w14:textId="77777777" w:rsidR="00053D93" w:rsidRDefault="00260B75">
            <w:pPr>
              <w:ind w:left="44"/>
            </w:pPr>
            <w:r>
              <w:rPr>
                <w:rFonts w:ascii="Times New Roman" w:eastAsia="Times New Roman" w:hAnsi="Times New Roman" w:cs="Times New Roman"/>
                <w:sz w:val="16"/>
              </w:rPr>
              <w:t>03'12/2012</w:t>
            </w:r>
          </w:p>
        </w:tc>
        <w:tc>
          <w:tcPr>
            <w:tcW w:w="766" w:type="dxa"/>
            <w:tcBorders>
              <w:top w:val="single" w:sz="2" w:space="0" w:color="000000"/>
              <w:left w:val="single" w:sz="2" w:space="0" w:color="000000"/>
              <w:bottom w:val="single" w:sz="2" w:space="0" w:color="000000"/>
              <w:right w:val="single" w:sz="2" w:space="0" w:color="000000"/>
            </w:tcBorders>
          </w:tcPr>
          <w:p w14:paraId="3F6F259F" w14:textId="77777777" w:rsidR="00053D93" w:rsidRDefault="00260B75">
            <w:pPr>
              <w:ind w:right="13"/>
              <w:jc w:val="center"/>
            </w:pPr>
            <w:r>
              <w:rPr>
                <w:rFonts w:ascii="Times New Roman" w:eastAsia="Times New Roman" w:hAnsi="Times New Roman" w:cs="Times New Roman"/>
                <w:sz w:val="16"/>
              </w:rPr>
              <w:t>16</w:t>
            </w:r>
          </w:p>
        </w:tc>
        <w:tc>
          <w:tcPr>
            <w:tcW w:w="1613" w:type="dxa"/>
            <w:tcBorders>
              <w:top w:val="single" w:sz="2" w:space="0" w:color="000000"/>
              <w:left w:val="single" w:sz="2" w:space="0" w:color="000000"/>
              <w:bottom w:val="single" w:sz="2" w:space="0" w:color="000000"/>
              <w:right w:val="single" w:sz="2" w:space="0" w:color="000000"/>
            </w:tcBorders>
          </w:tcPr>
          <w:p w14:paraId="26032BAD" w14:textId="77777777" w:rsidR="00053D93" w:rsidRDefault="00260B75">
            <w:pPr>
              <w:ind w:left="51"/>
            </w:pPr>
            <w:r>
              <w:rPr>
                <w:sz w:val="16"/>
              </w:rPr>
              <w:t>001051 EE; 001</w:t>
            </w:r>
          </w:p>
          <w:p w14:paraId="62AF6503" w14:textId="77777777" w:rsidR="00053D93" w:rsidRDefault="00260B75">
            <w:pPr>
              <w:ind w:right="38"/>
              <w:jc w:val="center"/>
            </w:pPr>
            <w:r>
              <w:rPr>
                <w:sz w:val="16"/>
              </w:rPr>
              <w:t>0010B8BD;</w:t>
            </w:r>
          </w:p>
          <w:p w14:paraId="7DC303C5" w14:textId="77777777" w:rsidR="00053D93" w:rsidRDefault="00260B75">
            <w:pPr>
              <w:ind w:left="59"/>
            </w:pPr>
            <w:r>
              <w:rPr>
                <w:sz w:val="16"/>
              </w:rPr>
              <w:t>001067D4; 0011%4A;</w:t>
            </w:r>
          </w:p>
          <w:p w14:paraId="3D749B0C" w14:textId="77777777" w:rsidR="00053D93" w:rsidRDefault="00260B75">
            <w:pPr>
              <w:ind w:left="66"/>
            </w:pPr>
            <w:r>
              <w:rPr>
                <w:sz w:val="16"/>
              </w:rPr>
              <w:t>001 OF7F2; 00103472;</w:t>
            </w:r>
          </w:p>
          <w:p w14:paraId="3D6CE637" w14:textId="77777777" w:rsidR="00053D93" w:rsidRDefault="00260B75">
            <w:pPr>
              <w:ind w:left="73"/>
            </w:pPr>
            <w:r>
              <w:rPr>
                <w:sz w:val="16"/>
              </w:rPr>
              <w:t>00105299; 0010F836;</w:t>
            </w:r>
          </w:p>
          <w:p w14:paraId="15C89111" w14:textId="77777777" w:rsidR="00053D93" w:rsidRDefault="00260B75">
            <w:pPr>
              <w:ind w:left="73"/>
            </w:pPr>
            <w:r>
              <w:rPr>
                <w:rFonts w:ascii="Times New Roman" w:eastAsia="Times New Roman" w:hAnsi="Times New Roman" w:cs="Times New Roman"/>
                <w:sz w:val="16"/>
              </w:rPr>
              <w:t>00119642; 00105852;</w:t>
            </w:r>
          </w:p>
          <w:p w14:paraId="4A71FEC9" w14:textId="77777777" w:rsidR="00053D93" w:rsidRDefault="00260B75">
            <w:pPr>
              <w:ind w:left="66"/>
            </w:pPr>
            <w:r>
              <w:rPr>
                <w:sz w:val="16"/>
              </w:rPr>
              <w:t>00118C83; 0010F294;</w:t>
            </w:r>
          </w:p>
          <w:p w14:paraId="1248350C" w14:textId="77777777" w:rsidR="00053D93" w:rsidRDefault="00260B75">
            <w:pPr>
              <w:ind w:left="51"/>
            </w:pPr>
            <w:r>
              <w:rPr>
                <w:sz w:val="16"/>
              </w:rPr>
              <w:t>0010F88A; 0010F71B;</w:t>
            </w:r>
          </w:p>
          <w:p w14:paraId="7727C088" w14:textId="77777777" w:rsidR="00053D93" w:rsidRDefault="00260B75">
            <w:pPr>
              <w:ind w:right="16"/>
              <w:jc w:val="center"/>
            </w:pPr>
            <w:r>
              <w:rPr>
                <w:sz w:val="16"/>
              </w:rPr>
              <w:t>0011AB23</w:t>
            </w:r>
          </w:p>
        </w:tc>
        <w:tc>
          <w:tcPr>
            <w:tcW w:w="2549" w:type="dxa"/>
            <w:tcBorders>
              <w:top w:val="single" w:sz="2" w:space="0" w:color="000000"/>
              <w:left w:val="single" w:sz="2" w:space="0" w:color="000000"/>
              <w:bottom w:val="single" w:sz="2" w:space="0" w:color="000000"/>
              <w:right w:val="single" w:sz="2" w:space="0" w:color="000000"/>
            </w:tcBorders>
          </w:tcPr>
          <w:p w14:paraId="4B1223EE" w14:textId="77777777" w:rsidR="00053D93" w:rsidRDefault="00260B75">
            <w:pPr>
              <w:spacing w:line="228" w:lineRule="auto"/>
              <w:ind w:left="44" w:hanging="7"/>
              <w:jc w:val="both"/>
            </w:pPr>
            <w:r>
              <w:rPr>
                <w:sz w:val="18"/>
              </w:rPr>
              <w:t>Teclados marca IBM, modelo KB-0225, color negro, series No.</w:t>
            </w:r>
          </w:p>
          <w:p w14:paraId="11F94B7D" w14:textId="77777777" w:rsidR="00053D93" w:rsidRDefault="00260B75">
            <w:pPr>
              <w:ind w:left="44"/>
            </w:pPr>
            <w:r>
              <w:rPr>
                <w:rFonts w:ascii="Times New Roman" w:eastAsia="Times New Roman" w:hAnsi="Times New Roman" w:cs="Times New Roman"/>
                <w:sz w:val="16"/>
              </w:rPr>
              <w:t>729340, 737615, 734033. 744012,</w:t>
            </w:r>
          </w:p>
          <w:p w14:paraId="23D1AEB6" w14:textId="77777777" w:rsidR="00053D93" w:rsidRDefault="00260B75">
            <w:pPr>
              <w:spacing w:after="17"/>
              <w:ind w:left="44"/>
            </w:pPr>
            <w:r>
              <w:rPr>
                <w:rFonts w:ascii="Times New Roman" w:eastAsia="Times New Roman" w:hAnsi="Times New Roman" w:cs="Times New Roman"/>
                <w:sz w:val="16"/>
              </w:rPr>
              <w:t>733051, 741 180. 729619,</w:t>
            </w:r>
          </w:p>
          <w:p w14:paraId="3E284DB7" w14:textId="77777777" w:rsidR="00053D93" w:rsidRDefault="00260B75">
            <w:pPr>
              <w:spacing w:after="4" w:line="258" w:lineRule="auto"/>
              <w:jc w:val="center"/>
            </w:pPr>
            <w:r>
              <w:rPr>
                <w:rFonts w:ascii="Times New Roman" w:eastAsia="Times New Roman" w:hAnsi="Times New Roman" w:cs="Times New Roman"/>
                <w:sz w:val="16"/>
              </w:rPr>
              <w:t>729265, 729646, 729358, 736827, 736850, 741177, 729412.</w:t>
            </w:r>
          </w:p>
          <w:p w14:paraId="2B3A37E7" w14:textId="77777777" w:rsidR="00053D93" w:rsidRDefault="00260B75">
            <w:pPr>
              <w:ind w:left="44"/>
            </w:pPr>
            <w:r>
              <w:rPr>
                <w:sz w:val="16"/>
              </w:rPr>
              <w:t>cada una O. 191.00</w:t>
            </w:r>
          </w:p>
        </w:tc>
        <w:tc>
          <w:tcPr>
            <w:tcW w:w="991" w:type="dxa"/>
            <w:tcBorders>
              <w:top w:val="single" w:sz="2" w:space="0" w:color="000000"/>
              <w:left w:val="single" w:sz="2" w:space="0" w:color="000000"/>
              <w:bottom w:val="single" w:sz="2" w:space="0" w:color="000000"/>
              <w:right w:val="single" w:sz="2" w:space="0" w:color="000000"/>
            </w:tcBorders>
            <w:vAlign w:val="bottom"/>
          </w:tcPr>
          <w:p w14:paraId="737F6B43" w14:textId="77777777" w:rsidR="00053D93" w:rsidRDefault="00260B75">
            <w:pPr>
              <w:ind w:right="58"/>
              <w:jc w:val="right"/>
            </w:pPr>
            <w:r>
              <w:rPr>
                <w:sz w:val="16"/>
              </w:rPr>
              <w:t>3,056.oo</w:t>
            </w:r>
          </w:p>
        </w:tc>
      </w:tr>
      <w:tr w:rsidR="00053D93" w14:paraId="2DD6F678" w14:textId="77777777">
        <w:trPr>
          <w:trHeight w:val="785"/>
        </w:trPr>
        <w:tc>
          <w:tcPr>
            <w:tcW w:w="306" w:type="dxa"/>
            <w:tcBorders>
              <w:top w:val="single" w:sz="2" w:space="0" w:color="000000"/>
              <w:left w:val="single" w:sz="2" w:space="0" w:color="000000"/>
              <w:bottom w:val="single" w:sz="2" w:space="0" w:color="000000"/>
              <w:right w:val="single" w:sz="2" w:space="0" w:color="000000"/>
            </w:tcBorders>
          </w:tcPr>
          <w:p w14:paraId="71DB8446" w14:textId="77777777" w:rsidR="00053D93" w:rsidRDefault="00260B75">
            <w:pPr>
              <w:ind w:left="7"/>
            </w:pPr>
            <w:r>
              <w:rPr>
                <w:rFonts w:ascii="Times New Roman" w:eastAsia="Times New Roman" w:hAnsi="Times New Roman" w:cs="Times New Roman"/>
                <w:sz w:val="16"/>
              </w:rPr>
              <w:t>12</w:t>
            </w:r>
          </w:p>
        </w:tc>
        <w:tc>
          <w:tcPr>
            <w:tcW w:w="0" w:type="auto"/>
            <w:gridSpan w:val="3"/>
            <w:vMerge/>
            <w:tcBorders>
              <w:top w:val="nil"/>
              <w:left w:val="single" w:sz="2" w:space="0" w:color="000000"/>
              <w:bottom w:val="nil"/>
              <w:right w:val="single" w:sz="2" w:space="0" w:color="000000"/>
            </w:tcBorders>
          </w:tcPr>
          <w:p w14:paraId="0D6E74EF"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61889FE8" w14:textId="77777777" w:rsidR="00053D93" w:rsidRDefault="00260B75">
            <w:pPr>
              <w:ind w:left="51"/>
            </w:pPr>
            <w:r>
              <w:rPr>
                <w:rFonts w:ascii="Times New Roman" w:eastAsia="Times New Roman" w:hAnsi="Times New Roman" w:cs="Times New Roman"/>
                <w:sz w:val="16"/>
              </w:rPr>
              <w:t>03/12/2012</w:t>
            </w:r>
          </w:p>
        </w:tc>
        <w:tc>
          <w:tcPr>
            <w:tcW w:w="766" w:type="dxa"/>
            <w:tcBorders>
              <w:top w:val="single" w:sz="2" w:space="0" w:color="000000"/>
              <w:left w:val="single" w:sz="2" w:space="0" w:color="000000"/>
              <w:bottom w:val="single" w:sz="2" w:space="0" w:color="000000"/>
              <w:right w:val="single" w:sz="2" w:space="0" w:color="000000"/>
            </w:tcBorders>
          </w:tcPr>
          <w:p w14:paraId="516B7221" w14:textId="77777777" w:rsidR="00053D93" w:rsidRDefault="00260B75">
            <w:pPr>
              <w:ind w:right="21"/>
              <w:jc w:val="center"/>
            </w:pPr>
            <w:r>
              <w:rPr>
                <w:rFonts w:ascii="Times New Roman" w:eastAsia="Times New Roman" w:hAnsi="Times New Roman" w:cs="Times New Roman"/>
                <w:sz w:val="16"/>
              </w:rPr>
              <w:t>2</w:t>
            </w:r>
          </w:p>
        </w:tc>
        <w:tc>
          <w:tcPr>
            <w:tcW w:w="1613" w:type="dxa"/>
            <w:tcBorders>
              <w:top w:val="single" w:sz="2" w:space="0" w:color="000000"/>
              <w:left w:val="single" w:sz="2" w:space="0" w:color="000000"/>
              <w:bottom w:val="single" w:sz="2" w:space="0" w:color="000000"/>
              <w:right w:val="single" w:sz="2" w:space="0" w:color="000000"/>
            </w:tcBorders>
          </w:tcPr>
          <w:p w14:paraId="22063694" w14:textId="77777777" w:rsidR="00053D93" w:rsidRDefault="00260B75">
            <w:pPr>
              <w:ind w:left="73"/>
            </w:pPr>
            <w:r>
              <w:rPr>
                <w:sz w:val="16"/>
              </w:rPr>
              <w:t>00106BD8. 001082AB</w:t>
            </w:r>
          </w:p>
        </w:tc>
        <w:tc>
          <w:tcPr>
            <w:tcW w:w="2549" w:type="dxa"/>
            <w:tcBorders>
              <w:top w:val="single" w:sz="2" w:space="0" w:color="000000"/>
              <w:left w:val="single" w:sz="2" w:space="0" w:color="000000"/>
              <w:bottom w:val="single" w:sz="2" w:space="0" w:color="000000"/>
              <w:right w:val="single" w:sz="2" w:space="0" w:color="000000"/>
            </w:tcBorders>
          </w:tcPr>
          <w:p w14:paraId="63689664" w14:textId="77777777" w:rsidR="00053D93" w:rsidRDefault="00260B75">
            <w:pPr>
              <w:spacing w:after="2" w:line="241" w:lineRule="auto"/>
              <w:ind w:left="51" w:right="75" w:hanging="7"/>
              <w:jc w:val="both"/>
            </w:pPr>
            <w:r>
              <w:rPr>
                <w:sz w:val="16"/>
              </w:rPr>
              <w:t>Teclados en español. Color Negro. Marca IBM. conexión usb, Series: 81 5560, 813985. Cada Uno Q.</w:t>
            </w:r>
          </w:p>
          <w:p w14:paraId="3E5E773C" w14:textId="77777777" w:rsidR="00053D93" w:rsidRDefault="00260B75">
            <w:pPr>
              <w:ind w:left="59"/>
            </w:pPr>
            <w:r>
              <w:rPr>
                <w:rFonts w:ascii="Times New Roman" w:eastAsia="Times New Roman" w:hAnsi="Times New Roman" w:cs="Times New Roman"/>
                <w:sz w:val="16"/>
              </w:rPr>
              <w:t>150.00</w:t>
            </w:r>
          </w:p>
        </w:tc>
        <w:tc>
          <w:tcPr>
            <w:tcW w:w="991" w:type="dxa"/>
            <w:tcBorders>
              <w:top w:val="single" w:sz="2" w:space="0" w:color="000000"/>
              <w:left w:val="single" w:sz="2" w:space="0" w:color="000000"/>
              <w:bottom w:val="single" w:sz="2" w:space="0" w:color="000000"/>
              <w:right w:val="single" w:sz="2" w:space="0" w:color="000000"/>
            </w:tcBorders>
            <w:vAlign w:val="bottom"/>
          </w:tcPr>
          <w:p w14:paraId="49110AC5" w14:textId="77777777" w:rsidR="00053D93" w:rsidRDefault="00260B75">
            <w:pPr>
              <w:ind w:right="58"/>
              <w:jc w:val="right"/>
            </w:pPr>
            <w:r>
              <w:rPr>
                <w:rFonts w:ascii="Times New Roman" w:eastAsia="Times New Roman" w:hAnsi="Times New Roman" w:cs="Times New Roman"/>
                <w:sz w:val="16"/>
              </w:rPr>
              <w:t>300.00</w:t>
            </w:r>
          </w:p>
        </w:tc>
      </w:tr>
      <w:tr w:rsidR="00053D93" w14:paraId="567141D6" w14:textId="77777777">
        <w:trPr>
          <w:trHeight w:val="1539"/>
        </w:trPr>
        <w:tc>
          <w:tcPr>
            <w:tcW w:w="306" w:type="dxa"/>
            <w:tcBorders>
              <w:top w:val="single" w:sz="2" w:space="0" w:color="000000"/>
              <w:left w:val="single" w:sz="2" w:space="0" w:color="000000"/>
              <w:bottom w:val="single" w:sz="2" w:space="0" w:color="000000"/>
              <w:right w:val="single" w:sz="2" w:space="0" w:color="000000"/>
            </w:tcBorders>
          </w:tcPr>
          <w:p w14:paraId="2ABA1756" w14:textId="77777777" w:rsidR="00053D93" w:rsidRDefault="00260B75">
            <w:pPr>
              <w:ind w:left="7"/>
            </w:pPr>
            <w:r>
              <w:rPr>
                <w:rFonts w:ascii="Times New Roman" w:eastAsia="Times New Roman" w:hAnsi="Times New Roman" w:cs="Times New Roman"/>
                <w:sz w:val="18"/>
              </w:rPr>
              <w:t>13</w:t>
            </w:r>
          </w:p>
        </w:tc>
        <w:tc>
          <w:tcPr>
            <w:tcW w:w="0" w:type="auto"/>
            <w:gridSpan w:val="3"/>
            <w:vMerge/>
            <w:tcBorders>
              <w:top w:val="nil"/>
              <w:left w:val="single" w:sz="2" w:space="0" w:color="000000"/>
              <w:bottom w:val="nil"/>
              <w:right w:val="single" w:sz="2" w:space="0" w:color="000000"/>
            </w:tcBorders>
          </w:tcPr>
          <w:p w14:paraId="401E0B7E"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5BABC507" w14:textId="77777777" w:rsidR="00053D93" w:rsidRDefault="00260B75">
            <w:pPr>
              <w:ind w:left="44"/>
            </w:pPr>
            <w:r>
              <w:rPr>
                <w:rFonts w:ascii="Times New Roman" w:eastAsia="Times New Roman" w:hAnsi="Times New Roman" w:cs="Times New Roman"/>
                <w:sz w:val="14"/>
              </w:rPr>
              <w:t>0311212012</w:t>
            </w:r>
          </w:p>
        </w:tc>
        <w:tc>
          <w:tcPr>
            <w:tcW w:w="766" w:type="dxa"/>
            <w:tcBorders>
              <w:top w:val="single" w:sz="2" w:space="0" w:color="000000"/>
              <w:left w:val="single" w:sz="2" w:space="0" w:color="000000"/>
              <w:bottom w:val="single" w:sz="2" w:space="0" w:color="000000"/>
              <w:right w:val="single" w:sz="2" w:space="0" w:color="000000"/>
            </w:tcBorders>
          </w:tcPr>
          <w:p w14:paraId="67B278BB" w14:textId="77777777" w:rsidR="00053D93" w:rsidRDefault="00260B75">
            <w:pPr>
              <w:ind w:right="13"/>
              <w:jc w:val="center"/>
            </w:pPr>
            <w:r>
              <w:rPr>
                <w:rFonts w:ascii="Times New Roman" w:eastAsia="Times New Roman" w:hAnsi="Times New Roman" w:cs="Times New Roman"/>
                <w:sz w:val="18"/>
              </w:rPr>
              <w:t>13</w:t>
            </w:r>
          </w:p>
        </w:tc>
        <w:tc>
          <w:tcPr>
            <w:tcW w:w="1613" w:type="dxa"/>
            <w:tcBorders>
              <w:top w:val="single" w:sz="2" w:space="0" w:color="000000"/>
              <w:left w:val="single" w:sz="2" w:space="0" w:color="000000"/>
              <w:bottom w:val="single" w:sz="2" w:space="0" w:color="000000"/>
              <w:right w:val="single" w:sz="2" w:space="0" w:color="000000"/>
            </w:tcBorders>
          </w:tcPr>
          <w:p w14:paraId="44CE79F2" w14:textId="77777777" w:rsidR="00053D93" w:rsidRDefault="00260B75">
            <w:pPr>
              <w:ind w:left="66"/>
            </w:pPr>
            <w:r>
              <w:rPr>
                <w:sz w:val="16"/>
              </w:rPr>
              <w:t>00160048; 00105A64;</w:t>
            </w:r>
          </w:p>
          <w:p w14:paraId="402914DA" w14:textId="77777777" w:rsidR="00053D93" w:rsidRDefault="00260B75">
            <w:pPr>
              <w:ind w:right="16"/>
              <w:jc w:val="center"/>
            </w:pPr>
            <w:r>
              <w:rPr>
                <w:sz w:val="16"/>
              </w:rPr>
              <w:t>0010B8C1;</w:t>
            </w:r>
          </w:p>
          <w:p w14:paraId="0311C42B" w14:textId="77777777" w:rsidR="00053D93" w:rsidRDefault="00260B75">
            <w:pPr>
              <w:ind w:left="59"/>
            </w:pPr>
            <w:r>
              <w:rPr>
                <w:sz w:val="16"/>
              </w:rPr>
              <w:t>00103706; 001 196C4;</w:t>
            </w:r>
          </w:p>
          <w:p w14:paraId="5B9F5859" w14:textId="77777777" w:rsidR="00053D93" w:rsidRDefault="00260B75">
            <w:pPr>
              <w:ind w:right="23"/>
              <w:jc w:val="center"/>
            </w:pPr>
            <w:r>
              <w:rPr>
                <w:sz w:val="16"/>
              </w:rPr>
              <w:t>0010F7EC;</w:t>
            </w:r>
          </w:p>
          <w:p w14:paraId="0B0D270E" w14:textId="77777777" w:rsidR="00053D93" w:rsidRDefault="00260B75">
            <w:pPr>
              <w:spacing w:after="10"/>
              <w:ind w:left="66"/>
            </w:pPr>
            <w:r>
              <w:rPr>
                <w:rFonts w:ascii="Times New Roman" w:eastAsia="Times New Roman" w:hAnsi="Times New Roman" w:cs="Times New Roman"/>
                <w:sz w:val="14"/>
              </w:rPr>
              <w:t>0010529C; 0010F838;</w:t>
            </w:r>
          </w:p>
          <w:p w14:paraId="129FEA9A" w14:textId="77777777" w:rsidR="00053D93" w:rsidRDefault="00260B75">
            <w:pPr>
              <w:ind w:left="59"/>
            </w:pPr>
            <w:r>
              <w:rPr>
                <w:sz w:val="16"/>
              </w:rPr>
              <w:t>001 18C91; 001 OF29E;</w:t>
            </w:r>
          </w:p>
          <w:p w14:paraId="1BF7D75C" w14:textId="77777777" w:rsidR="00053D93" w:rsidRDefault="00260B75">
            <w:pPr>
              <w:ind w:right="23"/>
              <w:jc w:val="center"/>
            </w:pPr>
            <w:r>
              <w:rPr>
                <w:sz w:val="16"/>
              </w:rPr>
              <w:t>0010F88D;</w:t>
            </w:r>
          </w:p>
          <w:p w14:paraId="0E0DADDB" w14:textId="77777777" w:rsidR="00053D93" w:rsidRDefault="00260B75">
            <w:pPr>
              <w:ind w:left="66"/>
            </w:pPr>
            <w:r>
              <w:rPr>
                <w:sz w:val="16"/>
              </w:rPr>
              <w:t>0010F6FD; 001 IAB34</w:t>
            </w:r>
          </w:p>
        </w:tc>
        <w:tc>
          <w:tcPr>
            <w:tcW w:w="2549" w:type="dxa"/>
            <w:tcBorders>
              <w:top w:val="single" w:sz="2" w:space="0" w:color="000000"/>
              <w:left w:val="single" w:sz="2" w:space="0" w:color="000000"/>
              <w:bottom w:val="single" w:sz="2" w:space="0" w:color="000000"/>
              <w:right w:val="single" w:sz="2" w:space="0" w:color="000000"/>
            </w:tcBorders>
          </w:tcPr>
          <w:p w14:paraId="3DD35E56" w14:textId="77777777" w:rsidR="00053D93" w:rsidRDefault="00260B75">
            <w:pPr>
              <w:spacing w:after="5" w:line="242" w:lineRule="auto"/>
              <w:ind w:left="51" w:right="67"/>
              <w:jc w:val="both"/>
            </w:pPr>
            <w:r>
              <w:rPr>
                <w:sz w:val="16"/>
              </w:rPr>
              <w:t xml:space="preserve">Mouse marca IBM, modelo M026UOL, color negro, series No. </w:t>
            </w:r>
            <w:r>
              <w:rPr>
                <w:rFonts w:ascii="Times New Roman" w:eastAsia="Times New Roman" w:hAnsi="Times New Roman" w:cs="Times New Roman"/>
                <w:sz w:val="16"/>
              </w:rPr>
              <w:t>23-1971768. 23-046001, 23-184503.</w:t>
            </w:r>
          </w:p>
          <w:p w14:paraId="70D6D06C" w14:textId="77777777" w:rsidR="00053D93" w:rsidRDefault="00260B75">
            <w:pPr>
              <w:ind w:left="44"/>
            </w:pPr>
            <w:r>
              <w:rPr>
                <w:rFonts w:ascii="Times New Roman" w:eastAsia="Times New Roman" w:hAnsi="Times New Roman" w:cs="Times New Roman"/>
                <w:sz w:val="16"/>
              </w:rPr>
              <w:t>23-198613, 23-184342. 23-046030,</w:t>
            </w:r>
          </w:p>
          <w:p w14:paraId="7C06AE80" w14:textId="77777777" w:rsidR="00053D93" w:rsidRDefault="00260B75">
            <w:pPr>
              <w:ind w:left="51"/>
            </w:pPr>
            <w:r>
              <w:rPr>
                <w:rFonts w:ascii="Times New Roman" w:eastAsia="Times New Roman" w:hAnsi="Times New Roman" w:cs="Times New Roman"/>
                <w:sz w:val="16"/>
              </w:rPr>
              <w:t>23-046876. 23-198165. 23-198574,</w:t>
            </w:r>
          </w:p>
          <w:p w14:paraId="27615AAA" w14:textId="77777777" w:rsidR="00053D93" w:rsidRDefault="00260B75">
            <w:pPr>
              <w:ind w:left="51"/>
            </w:pPr>
            <w:r>
              <w:rPr>
                <w:rFonts w:ascii="Times New Roman" w:eastAsia="Times New Roman" w:hAnsi="Times New Roman" w:cs="Times New Roman"/>
                <w:sz w:val="16"/>
              </w:rPr>
              <w:t>23-197466. 23-197455, 23-197441,</w:t>
            </w:r>
          </w:p>
          <w:p w14:paraId="5CDFF077" w14:textId="77777777" w:rsidR="00053D93" w:rsidRDefault="00260B75">
            <w:pPr>
              <w:ind w:left="51"/>
            </w:pPr>
            <w:r>
              <w:rPr>
                <w:sz w:val="16"/>
              </w:rPr>
              <w:t>23-183986. cada uno Q. 191.00</w:t>
            </w:r>
          </w:p>
        </w:tc>
        <w:tc>
          <w:tcPr>
            <w:tcW w:w="991" w:type="dxa"/>
            <w:tcBorders>
              <w:top w:val="single" w:sz="2" w:space="0" w:color="000000"/>
              <w:left w:val="single" w:sz="2" w:space="0" w:color="000000"/>
              <w:bottom w:val="single" w:sz="2" w:space="0" w:color="000000"/>
              <w:right w:val="single" w:sz="2" w:space="0" w:color="000000"/>
            </w:tcBorders>
            <w:vAlign w:val="bottom"/>
          </w:tcPr>
          <w:p w14:paraId="1618F4BA" w14:textId="77777777" w:rsidR="00053D93" w:rsidRDefault="00260B75">
            <w:pPr>
              <w:ind w:right="50"/>
              <w:jc w:val="right"/>
            </w:pPr>
            <w:r>
              <w:rPr>
                <w:rFonts w:ascii="Times New Roman" w:eastAsia="Times New Roman" w:hAnsi="Times New Roman" w:cs="Times New Roman"/>
                <w:sz w:val="16"/>
              </w:rPr>
              <w:t>483.00</w:t>
            </w:r>
          </w:p>
        </w:tc>
      </w:tr>
      <w:tr w:rsidR="00053D93" w14:paraId="12A54042" w14:textId="77777777">
        <w:trPr>
          <w:trHeight w:val="693"/>
        </w:trPr>
        <w:tc>
          <w:tcPr>
            <w:tcW w:w="306" w:type="dxa"/>
            <w:vMerge w:val="restart"/>
            <w:tcBorders>
              <w:top w:val="single" w:sz="2" w:space="0" w:color="000000"/>
              <w:left w:val="single" w:sz="2" w:space="0" w:color="000000"/>
              <w:bottom w:val="nil"/>
              <w:right w:val="single" w:sz="2" w:space="0" w:color="000000"/>
            </w:tcBorders>
          </w:tcPr>
          <w:p w14:paraId="51F78668" w14:textId="77777777" w:rsidR="00053D93" w:rsidRDefault="00260B75">
            <w:pPr>
              <w:spacing w:after="297"/>
              <w:ind w:left="14"/>
            </w:pPr>
            <w:r>
              <w:rPr>
                <w:rFonts w:ascii="Times New Roman" w:eastAsia="Times New Roman" w:hAnsi="Times New Roman" w:cs="Times New Roman"/>
                <w:sz w:val="16"/>
              </w:rPr>
              <w:t>14</w:t>
            </w:r>
          </w:p>
          <w:p w14:paraId="1FEC318E" w14:textId="77777777" w:rsidR="00053D93" w:rsidRDefault="00260B75">
            <w:r>
              <w:rPr>
                <w:noProof/>
              </w:rPr>
              <w:drawing>
                <wp:inline distT="0" distB="0" distL="0" distR="0" wp14:anchorId="7AB27DD1" wp14:editId="2C91C758">
                  <wp:extent cx="164592" cy="406909"/>
                  <wp:effectExtent l="0" t="0" r="0" b="0"/>
                  <wp:docPr id="742586" name="Picture 742586"/>
                  <wp:cNvGraphicFramePr/>
                  <a:graphic xmlns:a="http://schemas.openxmlformats.org/drawingml/2006/main">
                    <a:graphicData uri="http://schemas.openxmlformats.org/drawingml/2006/picture">
                      <pic:pic xmlns:pic="http://schemas.openxmlformats.org/drawingml/2006/picture">
                        <pic:nvPicPr>
                          <pic:cNvPr id="742586" name="Picture 742586"/>
                          <pic:cNvPicPr/>
                        </pic:nvPicPr>
                        <pic:blipFill>
                          <a:blip r:embed="rId1065"/>
                          <a:stretch>
                            <a:fillRect/>
                          </a:stretch>
                        </pic:blipFill>
                        <pic:spPr>
                          <a:xfrm>
                            <a:off x="0" y="0"/>
                            <a:ext cx="164592" cy="406909"/>
                          </a:xfrm>
                          <a:prstGeom prst="rect">
                            <a:avLst/>
                          </a:prstGeom>
                        </pic:spPr>
                      </pic:pic>
                    </a:graphicData>
                  </a:graphic>
                </wp:inline>
              </w:drawing>
            </w:r>
          </w:p>
        </w:tc>
        <w:tc>
          <w:tcPr>
            <w:tcW w:w="0" w:type="auto"/>
            <w:gridSpan w:val="3"/>
            <w:vMerge/>
            <w:tcBorders>
              <w:top w:val="nil"/>
              <w:left w:val="single" w:sz="2" w:space="0" w:color="000000"/>
              <w:bottom w:val="nil"/>
              <w:right w:val="single" w:sz="2" w:space="0" w:color="000000"/>
            </w:tcBorders>
          </w:tcPr>
          <w:p w14:paraId="4335CC08"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01E138A2" w14:textId="77777777" w:rsidR="00053D93" w:rsidRDefault="00260B75">
            <w:pPr>
              <w:ind w:left="51"/>
            </w:pPr>
            <w:r>
              <w:rPr>
                <w:rFonts w:ascii="Times New Roman" w:eastAsia="Times New Roman" w:hAnsi="Times New Roman" w:cs="Times New Roman"/>
                <w:sz w:val="16"/>
              </w:rPr>
              <w:t>03/12/2012</w:t>
            </w:r>
          </w:p>
        </w:tc>
        <w:tc>
          <w:tcPr>
            <w:tcW w:w="766" w:type="dxa"/>
            <w:tcBorders>
              <w:top w:val="single" w:sz="2" w:space="0" w:color="000000"/>
              <w:left w:val="single" w:sz="2" w:space="0" w:color="000000"/>
              <w:bottom w:val="single" w:sz="2" w:space="0" w:color="000000"/>
              <w:right w:val="single" w:sz="2" w:space="0" w:color="000000"/>
            </w:tcBorders>
          </w:tcPr>
          <w:p w14:paraId="38465DA4" w14:textId="77777777" w:rsidR="00053D93" w:rsidRDefault="00260B75">
            <w:pPr>
              <w:ind w:right="13"/>
              <w:jc w:val="center"/>
            </w:pPr>
            <w:r>
              <w:rPr>
                <w:rFonts w:ascii="Times New Roman" w:eastAsia="Times New Roman" w:hAnsi="Times New Roman" w:cs="Times New Roman"/>
                <w:sz w:val="16"/>
              </w:rPr>
              <w:t>6</w:t>
            </w:r>
          </w:p>
        </w:tc>
        <w:tc>
          <w:tcPr>
            <w:tcW w:w="1613" w:type="dxa"/>
            <w:tcBorders>
              <w:top w:val="single" w:sz="2" w:space="0" w:color="000000"/>
              <w:left w:val="single" w:sz="2" w:space="0" w:color="000000"/>
              <w:bottom w:val="single" w:sz="2" w:space="0" w:color="000000"/>
              <w:right w:val="single" w:sz="2" w:space="0" w:color="000000"/>
            </w:tcBorders>
          </w:tcPr>
          <w:p w14:paraId="7E833EA8" w14:textId="77777777" w:rsidR="00053D93" w:rsidRDefault="00260B75">
            <w:pPr>
              <w:spacing w:after="13"/>
              <w:ind w:right="9"/>
              <w:jc w:val="center"/>
            </w:pPr>
            <w:r>
              <w:rPr>
                <w:sz w:val="16"/>
              </w:rPr>
              <w:t>001 OEA3B;</w:t>
            </w:r>
          </w:p>
          <w:p w14:paraId="0C07C153" w14:textId="77777777" w:rsidR="00053D93" w:rsidRDefault="00260B75">
            <w:pPr>
              <w:spacing w:after="1"/>
              <w:ind w:left="59"/>
            </w:pPr>
            <w:r>
              <w:rPr>
                <w:sz w:val="16"/>
              </w:rPr>
              <w:t xml:space="preserve">001068DD; </w:t>
            </w:r>
            <w:r>
              <w:rPr>
                <w:noProof/>
              </w:rPr>
              <w:drawing>
                <wp:inline distT="0" distB="0" distL="0" distR="0" wp14:anchorId="6F993DBA" wp14:editId="64E202B4">
                  <wp:extent cx="429768" cy="82296"/>
                  <wp:effectExtent l="0" t="0" r="0" b="0"/>
                  <wp:docPr id="742629" name="Picture 742629"/>
                  <wp:cNvGraphicFramePr/>
                  <a:graphic xmlns:a="http://schemas.openxmlformats.org/drawingml/2006/main">
                    <a:graphicData uri="http://schemas.openxmlformats.org/drawingml/2006/picture">
                      <pic:pic xmlns:pic="http://schemas.openxmlformats.org/drawingml/2006/picture">
                        <pic:nvPicPr>
                          <pic:cNvPr id="742629" name="Picture 742629"/>
                          <pic:cNvPicPr/>
                        </pic:nvPicPr>
                        <pic:blipFill>
                          <a:blip r:embed="rId1066"/>
                          <a:stretch>
                            <a:fillRect/>
                          </a:stretch>
                        </pic:blipFill>
                        <pic:spPr>
                          <a:xfrm>
                            <a:off x="0" y="0"/>
                            <a:ext cx="429768" cy="82296"/>
                          </a:xfrm>
                          <a:prstGeom prst="rect">
                            <a:avLst/>
                          </a:prstGeom>
                        </pic:spPr>
                      </pic:pic>
                    </a:graphicData>
                  </a:graphic>
                </wp:inline>
              </w:drawing>
            </w:r>
          </w:p>
          <w:p w14:paraId="20903E3C" w14:textId="77777777" w:rsidR="00053D93" w:rsidRDefault="00260B75">
            <w:pPr>
              <w:ind w:left="73"/>
            </w:pPr>
            <w:r>
              <w:rPr>
                <w:rFonts w:ascii="Times New Roman" w:eastAsia="Times New Roman" w:hAnsi="Times New Roman" w:cs="Times New Roman"/>
                <w:sz w:val="16"/>
              </w:rPr>
              <w:t>00105853; 00160138;</w:t>
            </w:r>
          </w:p>
        </w:tc>
        <w:tc>
          <w:tcPr>
            <w:tcW w:w="2549" w:type="dxa"/>
            <w:tcBorders>
              <w:top w:val="single" w:sz="2" w:space="0" w:color="000000"/>
              <w:left w:val="single" w:sz="2" w:space="0" w:color="000000"/>
              <w:bottom w:val="single" w:sz="2" w:space="0" w:color="000000"/>
              <w:right w:val="single" w:sz="2" w:space="0" w:color="000000"/>
            </w:tcBorders>
          </w:tcPr>
          <w:p w14:paraId="58B0364C" w14:textId="77777777" w:rsidR="00053D93" w:rsidRDefault="00260B75">
            <w:pPr>
              <w:ind w:left="51" w:right="46" w:firstLine="7"/>
              <w:jc w:val="both"/>
            </w:pPr>
            <w:r>
              <w:rPr>
                <w:sz w:val="16"/>
              </w:rPr>
              <w:t xml:space="preserve">Mouse de 2 botones con scroll color negro con rojo Marca IBM, series, </w:t>
            </w:r>
            <w:r>
              <w:rPr>
                <w:rFonts w:ascii="Times New Roman" w:eastAsia="Times New Roman" w:hAnsi="Times New Roman" w:cs="Times New Roman"/>
                <w:sz w:val="16"/>
              </w:rPr>
              <w:t>23-088162, 23-048338, 23-088804,</w:t>
            </w:r>
          </w:p>
        </w:tc>
        <w:tc>
          <w:tcPr>
            <w:tcW w:w="991" w:type="dxa"/>
            <w:tcBorders>
              <w:top w:val="single" w:sz="2" w:space="0" w:color="000000"/>
              <w:left w:val="single" w:sz="2" w:space="0" w:color="000000"/>
              <w:bottom w:val="single" w:sz="2" w:space="0" w:color="000000"/>
              <w:right w:val="single" w:sz="2" w:space="0" w:color="000000"/>
            </w:tcBorders>
          </w:tcPr>
          <w:p w14:paraId="7B1FEBC8" w14:textId="77777777" w:rsidR="00053D93" w:rsidRDefault="00053D93"/>
        </w:tc>
      </w:tr>
      <w:tr w:rsidR="00053D93" w14:paraId="35537FAD" w14:textId="77777777">
        <w:trPr>
          <w:trHeight w:val="612"/>
        </w:trPr>
        <w:tc>
          <w:tcPr>
            <w:tcW w:w="0" w:type="auto"/>
            <w:vMerge/>
            <w:tcBorders>
              <w:top w:val="nil"/>
              <w:left w:val="single" w:sz="2" w:space="0" w:color="000000"/>
              <w:bottom w:val="nil"/>
              <w:right w:val="single" w:sz="2" w:space="0" w:color="000000"/>
            </w:tcBorders>
          </w:tcPr>
          <w:p w14:paraId="689EED54" w14:textId="77777777" w:rsidR="00053D93" w:rsidRDefault="00053D93"/>
        </w:tc>
        <w:tc>
          <w:tcPr>
            <w:tcW w:w="288" w:type="dxa"/>
            <w:tcBorders>
              <w:top w:val="nil"/>
              <w:left w:val="single" w:sz="2" w:space="0" w:color="000000"/>
              <w:bottom w:val="nil"/>
              <w:right w:val="single" w:sz="2" w:space="0" w:color="000000"/>
            </w:tcBorders>
          </w:tcPr>
          <w:p w14:paraId="3403A90D" w14:textId="77777777" w:rsidR="00053D93" w:rsidRDefault="00053D93"/>
        </w:tc>
        <w:tc>
          <w:tcPr>
            <w:tcW w:w="180" w:type="dxa"/>
            <w:tcBorders>
              <w:top w:val="nil"/>
              <w:left w:val="single" w:sz="2" w:space="0" w:color="000000"/>
              <w:bottom w:val="nil"/>
              <w:right w:val="single" w:sz="2" w:space="0" w:color="000000"/>
            </w:tcBorders>
          </w:tcPr>
          <w:p w14:paraId="0B792307" w14:textId="77777777" w:rsidR="00053D93" w:rsidRDefault="00053D93"/>
        </w:tc>
        <w:tc>
          <w:tcPr>
            <w:tcW w:w="7610" w:type="dxa"/>
            <w:gridSpan w:val="6"/>
            <w:tcBorders>
              <w:top w:val="single" w:sz="2" w:space="0" w:color="000000"/>
              <w:left w:val="single" w:sz="2" w:space="0" w:color="000000"/>
              <w:bottom w:val="nil"/>
              <w:right w:val="nil"/>
            </w:tcBorders>
          </w:tcPr>
          <w:p w14:paraId="41418C13" w14:textId="77777777" w:rsidR="00053D93" w:rsidRDefault="00260B75">
            <w:pPr>
              <w:ind w:left="2552"/>
            </w:pPr>
            <w:r>
              <w:rPr>
                <w:sz w:val="14"/>
              </w:rPr>
              <w:t>MINISTERIO OE EDUCACION</w:t>
            </w:r>
          </w:p>
          <w:p w14:paraId="0AA78827" w14:textId="77777777" w:rsidR="00053D93" w:rsidRDefault="00260B75">
            <w:pPr>
              <w:ind w:left="2056"/>
            </w:pPr>
            <w:r>
              <w:rPr>
                <w:sz w:val="14"/>
              </w:rPr>
              <w:t>AUDITORIA FINANCIERA Y DE CUMPLIMIENTO</w:t>
            </w:r>
          </w:p>
          <w:p w14:paraId="581EEC13" w14:textId="77777777" w:rsidR="00053D93" w:rsidRDefault="00260B75">
            <w:pPr>
              <w:ind w:left="1717"/>
            </w:pPr>
            <w:r>
              <w:rPr>
                <w:sz w:val="14"/>
              </w:rPr>
              <w:t>PERIODO DEL 01 DE ENERO AL 31 OE DICIEMBRE OE 2024</w:t>
            </w:r>
          </w:p>
        </w:tc>
      </w:tr>
    </w:tbl>
    <w:p w14:paraId="5F55E377" w14:textId="77777777" w:rsidR="00053D93" w:rsidRDefault="00260B75">
      <w:pPr>
        <w:pStyle w:val="Ttulo2"/>
        <w:spacing w:after="97"/>
        <w:ind w:left="10" w:right="6955"/>
      </w:pPr>
      <w:r>
        <w:t>III</w:t>
      </w:r>
      <w:r>
        <w:rPr>
          <w:noProof/>
        </w:rPr>
        <w:drawing>
          <wp:inline distT="0" distB="0" distL="0" distR="0" wp14:anchorId="4D8E903A" wp14:editId="713FDCEE">
            <wp:extent cx="507492" cy="411481"/>
            <wp:effectExtent l="0" t="0" r="0" b="0"/>
            <wp:docPr id="742799" name="Picture 742799"/>
            <wp:cNvGraphicFramePr/>
            <a:graphic xmlns:a="http://schemas.openxmlformats.org/drawingml/2006/main">
              <a:graphicData uri="http://schemas.openxmlformats.org/drawingml/2006/picture">
                <pic:pic xmlns:pic="http://schemas.openxmlformats.org/drawingml/2006/picture">
                  <pic:nvPicPr>
                    <pic:cNvPr id="742799" name="Picture 742799"/>
                    <pic:cNvPicPr/>
                  </pic:nvPicPr>
                  <pic:blipFill>
                    <a:blip r:embed="rId1067"/>
                    <a:stretch>
                      <a:fillRect/>
                    </a:stretch>
                  </pic:blipFill>
                  <pic:spPr>
                    <a:xfrm>
                      <a:off x="0" y="0"/>
                      <a:ext cx="507492" cy="411481"/>
                    </a:xfrm>
                    <a:prstGeom prst="rect">
                      <a:avLst/>
                    </a:prstGeom>
                  </pic:spPr>
                </pic:pic>
              </a:graphicData>
            </a:graphic>
          </wp:inline>
        </w:drawing>
      </w:r>
    </w:p>
    <w:p w14:paraId="7D044157" w14:textId="77777777" w:rsidR="00053D93" w:rsidRDefault="00260B75">
      <w:pPr>
        <w:spacing w:after="265" w:line="265" w:lineRule="auto"/>
        <w:ind w:left="7548" w:hanging="10"/>
      </w:pPr>
      <w:r>
        <w:rPr>
          <w:sz w:val="14"/>
        </w:rPr>
        <w:t xml:space="preserve">EOUCACIÖN. </w:t>
      </w:r>
    </w:p>
    <w:tbl>
      <w:tblPr>
        <w:tblStyle w:val="TableGrid"/>
        <w:tblW w:w="9389" w:type="dxa"/>
        <w:tblInd w:w="0" w:type="dxa"/>
        <w:tblLook w:val="04A0" w:firstRow="1" w:lastRow="0" w:firstColumn="1" w:lastColumn="0" w:noHBand="0" w:noVBand="1"/>
      </w:tblPr>
      <w:tblGrid>
        <w:gridCol w:w="1008"/>
        <w:gridCol w:w="10490"/>
      </w:tblGrid>
      <w:tr w:rsidR="00053D93" w14:paraId="15D24F1B" w14:textId="77777777">
        <w:trPr>
          <w:trHeight w:val="13971"/>
        </w:trPr>
        <w:tc>
          <w:tcPr>
            <w:tcW w:w="1012" w:type="dxa"/>
            <w:tcBorders>
              <w:top w:val="nil"/>
              <w:left w:val="nil"/>
              <w:bottom w:val="nil"/>
              <w:right w:val="nil"/>
            </w:tcBorders>
            <w:vAlign w:val="bottom"/>
          </w:tcPr>
          <w:p w14:paraId="274BA323" w14:textId="77777777" w:rsidR="00053D93" w:rsidRDefault="00260B75">
            <w:r>
              <w:rPr>
                <w:noProof/>
              </w:rPr>
              <w:drawing>
                <wp:inline distT="0" distB="0" distL="0" distR="0" wp14:anchorId="3A0B8AD3" wp14:editId="67D99DF0">
                  <wp:extent cx="640080" cy="457200"/>
                  <wp:effectExtent l="0" t="0" r="0" b="0"/>
                  <wp:docPr id="749336" name="Picture 749336"/>
                  <wp:cNvGraphicFramePr/>
                  <a:graphic xmlns:a="http://schemas.openxmlformats.org/drawingml/2006/main">
                    <a:graphicData uri="http://schemas.openxmlformats.org/drawingml/2006/picture">
                      <pic:pic xmlns:pic="http://schemas.openxmlformats.org/drawingml/2006/picture">
                        <pic:nvPicPr>
                          <pic:cNvPr id="749336" name="Picture 749336"/>
                          <pic:cNvPicPr/>
                        </pic:nvPicPr>
                        <pic:blipFill>
                          <a:blip r:embed="rId1068"/>
                          <a:stretch>
                            <a:fillRect/>
                          </a:stretch>
                        </pic:blipFill>
                        <pic:spPr>
                          <a:xfrm>
                            <a:off x="0" y="0"/>
                            <a:ext cx="640080" cy="457200"/>
                          </a:xfrm>
                          <a:prstGeom prst="rect">
                            <a:avLst/>
                          </a:prstGeom>
                        </pic:spPr>
                      </pic:pic>
                    </a:graphicData>
                  </a:graphic>
                </wp:inline>
              </w:drawing>
            </w:r>
          </w:p>
        </w:tc>
        <w:tc>
          <w:tcPr>
            <w:tcW w:w="8377" w:type="dxa"/>
            <w:tcBorders>
              <w:top w:val="nil"/>
              <w:left w:val="nil"/>
              <w:bottom w:val="nil"/>
              <w:right w:val="nil"/>
            </w:tcBorders>
          </w:tcPr>
          <w:p w14:paraId="1BBE4B5C" w14:textId="77777777" w:rsidR="00053D93" w:rsidRDefault="00053D93">
            <w:pPr>
              <w:ind w:left="-2114" w:right="10490"/>
            </w:pPr>
          </w:p>
          <w:tbl>
            <w:tblPr>
              <w:tblStyle w:val="TableGrid"/>
              <w:tblW w:w="8373" w:type="dxa"/>
              <w:tblInd w:w="4" w:type="dxa"/>
              <w:tblLook w:val="04A0" w:firstRow="1" w:lastRow="0" w:firstColumn="1" w:lastColumn="0" w:noHBand="0" w:noVBand="1"/>
            </w:tblPr>
            <w:tblGrid>
              <w:gridCol w:w="306"/>
              <w:gridCol w:w="303"/>
              <w:gridCol w:w="179"/>
              <w:gridCol w:w="798"/>
              <w:gridCol w:w="864"/>
              <w:gridCol w:w="769"/>
              <w:gridCol w:w="1617"/>
              <w:gridCol w:w="2550"/>
              <w:gridCol w:w="987"/>
            </w:tblGrid>
            <w:tr w:rsidR="00053D93" w14:paraId="132DD2D3" w14:textId="77777777">
              <w:trPr>
                <w:trHeight w:val="401"/>
              </w:trPr>
              <w:tc>
                <w:tcPr>
                  <w:tcW w:w="302" w:type="dxa"/>
                  <w:tcBorders>
                    <w:top w:val="single" w:sz="2" w:space="0" w:color="000000"/>
                    <w:left w:val="single" w:sz="2" w:space="0" w:color="000000"/>
                    <w:bottom w:val="single" w:sz="2" w:space="0" w:color="000000"/>
                    <w:right w:val="single" w:sz="2" w:space="0" w:color="000000"/>
                  </w:tcBorders>
                </w:tcPr>
                <w:p w14:paraId="6E5DD37F" w14:textId="77777777" w:rsidR="00053D93" w:rsidRDefault="00053D93"/>
              </w:tc>
              <w:tc>
                <w:tcPr>
                  <w:tcW w:w="303" w:type="dxa"/>
                  <w:vMerge w:val="restart"/>
                  <w:tcBorders>
                    <w:top w:val="single" w:sz="2" w:space="0" w:color="000000"/>
                    <w:left w:val="single" w:sz="2" w:space="0" w:color="000000"/>
                    <w:bottom w:val="single" w:sz="2" w:space="0" w:color="000000"/>
                    <w:right w:val="nil"/>
                  </w:tcBorders>
                </w:tcPr>
                <w:p w14:paraId="2087AF7E" w14:textId="77777777" w:rsidR="00053D93" w:rsidRDefault="00053D93"/>
              </w:tc>
              <w:tc>
                <w:tcPr>
                  <w:tcW w:w="978" w:type="dxa"/>
                  <w:gridSpan w:val="2"/>
                  <w:vMerge w:val="restart"/>
                  <w:tcBorders>
                    <w:top w:val="single" w:sz="2" w:space="0" w:color="000000"/>
                    <w:left w:val="nil"/>
                    <w:bottom w:val="single" w:sz="2" w:space="0" w:color="000000"/>
                    <w:right w:val="single" w:sz="2" w:space="0" w:color="000000"/>
                  </w:tcBorders>
                </w:tcPr>
                <w:p w14:paraId="10642E19"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6E4926D5" w14:textId="77777777" w:rsidR="00053D93" w:rsidRDefault="00053D93"/>
              </w:tc>
              <w:tc>
                <w:tcPr>
                  <w:tcW w:w="770" w:type="dxa"/>
                  <w:tcBorders>
                    <w:top w:val="single" w:sz="2" w:space="0" w:color="000000"/>
                    <w:left w:val="single" w:sz="2" w:space="0" w:color="000000"/>
                    <w:bottom w:val="single" w:sz="2" w:space="0" w:color="000000"/>
                    <w:right w:val="single" w:sz="2" w:space="0" w:color="000000"/>
                  </w:tcBorders>
                </w:tcPr>
                <w:p w14:paraId="0763AA99" w14:textId="77777777" w:rsidR="00053D93" w:rsidRDefault="00053D93"/>
              </w:tc>
              <w:tc>
                <w:tcPr>
                  <w:tcW w:w="1617" w:type="dxa"/>
                  <w:tcBorders>
                    <w:top w:val="single" w:sz="2" w:space="0" w:color="000000"/>
                    <w:left w:val="single" w:sz="2" w:space="0" w:color="000000"/>
                    <w:bottom w:val="single" w:sz="2" w:space="0" w:color="000000"/>
                    <w:right w:val="single" w:sz="2" w:space="0" w:color="000000"/>
                  </w:tcBorders>
                </w:tcPr>
                <w:p w14:paraId="159474BE" w14:textId="77777777" w:rsidR="00053D93" w:rsidRDefault="00260B75">
                  <w:pPr>
                    <w:ind w:right="33"/>
                    <w:jc w:val="center"/>
                  </w:pPr>
                  <w:r>
                    <w:rPr>
                      <w:rFonts w:ascii="Times New Roman" w:eastAsia="Times New Roman" w:hAnsi="Times New Roman" w:cs="Times New Roman"/>
                      <w:sz w:val="16"/>
                    </w:rPr>
                    <w:t>00103609</w:t>
                  </w:r>
                </w:p>
              </w:tc>
              <w:tc>
                <w:tcPr>
                  <w:tcW w:w="2552" w:type="dxa"/>
                  <w:tcBorders>
                    <w:top w:val="single" w:sz="2" w:space="0" w:color="000000"/>
                    <w:left w:val="single" w:sz="2" w:space="0" w:color="000000"/>
                    <w:bottom w:val="single" w:sz="2" w:space="0" w:color="000000"/>
                    <w:right w:val="single" w:sz="2" w:space="0" w:color="000000"/>
                  </w:tcBorders>
                </w:tcPr>
                <w:p w14:paraId="7B4F6999" w14:textId="77777777" w:rsidR="00053D93" w:rsidRDefault="00260B75">
                  <w:pPr>
                    <w:ind w:left="60"/>
                    <w:jc w:val="both"/>
                  </w:pPr>
                  <w:r>
                    <w:rPr>
                      <w:rFonts w:ascii="Times New Roman" w:eastAsia="Times New Roman" w:hAnsi="Times New Roman" w:cs="Times New Roman"/>
                      <w:sz w:val="16"/>
                    </w:rPr>
                    <w:t xml:space="preserve">23-133467. 23-047427, 23-046055 </w:t>
                  </w:r>
                  <w:r>
                    <w:rPr>
                      <w:sz w:val="16"/>
                    </w:rPr>
                    <w:t>cada uno Q. 150.00</w:t>
                  </w:r>
                </w:p>
              </w:tc>
              <w:tc>
                <w:tcPr>
                  <w:tcW w:w="986" w:type="dxa"/>
                  <w:tcBorders>
                    <w:top w:val="single" w:sz="2" w:space="0" w:color="000000"/>
                    <w:left w:val="single" w:sz="2" w:space="0" w:color="000000"/>
                    <w:bottom w:val="single" w:sz="2" w:space="0" w:color="000000"/>
                    <w:right w:val="single" w:sz="2" w:space="0" w:color="000000"/>
                  </w:tcBorders>
                  <w:vAlign w:val="bottom"/>
                </w:tcPr>
                <w:p w14:paraId="309304D9" w14:textId="77777777" w:rsidR="00053D93" w:rsidRDefault="00260B75">
                  <w:pPr>
                    <w:ind w:left="461"/>
                  </w:pPr>
                  <w:r>
                    <w:rPr>
                      <w:rFonts w:ascii="Times New Roman" w:eastAsia="Times New Roman" w:hAnsi="Times New Roman" w:cs="Times New Roman"/>
                      <w:sz w:val="16"/>
                    </w:rPr>
                    <w:t>900.00</w:t>
                  </w:r>
                </w:p>
              </w:tc>
            </w:tr>
            <w:tr w:rsidR="00053D93" w14:paraId="62AFEB9C" w14:textId="77777777">
              <w:trPr>
                <w:trHeight w:val="407"/>
              </w:trPr>
              <w:tc>
                <w:tcPr>
                  <w:tcW w:w="302" w:type="dxa"/>
                  <w:tcBorders>
                    <w:top w:val="single" w:sz="2" w:space="0" w:color="000000"/>
                    <w:left w:val="single" w:sz="2" w:space="0" w:color="000000"/>
                    <w:bottom w:val="single" w:sz="2" w:space="0" w:color="000000"/>
                    <w:right w:val="single" w:sz="2" w:space="0" w:color="000000"/>
                  </w:tcBorders>
                </w:tcPr>
                <w:p w14:paraId="5FFDA1E5" w14:textId="77777777" w:rsidR="00053D93" w:rsidRDefault="00260B75">
                  <w:pPr>
                    <w:ind w:left="21"/>
                  </w:pPr>
                  <w:r>
                    <w:rPr>
                      <w:rFonts w:ascii="Times New Roman" w:eastAsia="Times New Roman" w:hAnsi="Times New Roman" w:cs="Times New Roman"/>
                      <w:sz w:val="16"/>
                    </w:rPr>
                    <w:t>15</w:t>
                  </w:r>
                </w:p>
              </w:tc>
              <w:tc>
                <w:tcPr>
                  <w:tcW w:w="0" w:type="auto"/>
                  <w:vMerge/>
                  <w:tcBorders>
                    <w:top w:val="nil"/>
                    <w:left w:val="single" w:sz="2" w:space="0" w:color="000000"/>
                    <w:bottom w:val="nil"/>
                    <w:right w:val="nil"/>
                  </w:tcBorders>
                </w:tcPr>
                <w:p w14:paraId="2038C5B4" w14:textId="77777777" w:rsidR="00053D93" w:rsidRDefault="00053D93"/>
              </w:tc>
              <w:tc>
                <w:tcPr>
                  <w:tcW w:w="0" w:type="auto"/>
                  <w:gridSpan w:val="2"/>
                  <w:vMerge/>
                  <w:tcBorders>
                    <w:top w:val="nil"/>
                    <w:left w:val="nil"/>
                    <w:bottom w:val="nil"/>
                    <w:right w:val="single" w:sz="2" w:space="0" w:color="000000"/>
                  </w:tcBorders>
                </w:tcPr>
                <w:p w14:paraId="3D05595E"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11422FDC" w14:textId="77777777" w:rsidR="00053D93" w:rsidRDefault="00260B75">
                  <w:pPr>
                    <w:ind w:left="72"/>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3332D40E" w14:textId="77777777" w:rsidR="00053D93" w:rsidRDefault="00053D93"/>
              </w:tc>
              <w:tc>
                <w:tcPr>
                  <w:tcW w:w="1617" w:type="dxa"/>
                  <w:tcBorders>
                    <w:top w:val="single" w:sz="2" w:space="0" w:color="000000"/>
                    <w:left w:val="single" w:sz="2" w:space="0" w:color="000000"/>
                    <w:bottom w:val="single" w:sz="2" w:space="0" w:color="000000"/>
                    <w:right w:val="single" w:sz="2" w:space="0" w:color="000000"/>
                  </w:tcBorders>
                </w:tcPr>
                <w:p w14:paraId="3FFDDB5A" w14:textId="77777777" w:rsidR="00053D93" w:rsidRDefault="00260B75">
                  <w:pPr>
                    <w:ind w:right="26"/>
                    <w:jc w:val="center"/>
                  </w:pPr>
                  <w:r>
                    <w:rPr>
                      <w:rFonts w:ascii="Times New Roman" w:eastAsia="Times New Roman" w:hAnsi="Times New Roman" w:cs="Times New Roman"/>
                      <w:sz w:val="16"/>
                    </w:rPr>
                    <w:t>00191404</w:t>
                  </w:r>
                </w:p>
              </w:tc>
              <w:tc>
                <w:tcPr>
                  <w:tcW w:w="2552" w:type="dxa"/>
                  <w:tcBorders>
                    <w:top w:val="single" w:sz="2" w:space="0" w:color="000000"/>
                    <w:left w:val="single" w:sz="2" w:space="0" w:color="000000"/>
                    <w:bottom w:val="single" w:sz="2" w:space="0" w:color="000000"/>
                    <w:right w:val="single" w:sz="2" w:space="0" w:color="000000"/>
                  </w:tcBorders>
                </w:tcPr>
                <w:p w14:paraId="08D4E35D" w14:textId="77777777" w:rsidR="00053D93" w:rsidRDefault="00260B75">
                  <w:pPr>
                    <w:ind w:left="68"/>
                    <w:jc w:val="both"/>
                  </w:pPr>
                  <w:r>
                    <w:rPr>
                      <w:sz w:val="16"/>
                    </w:rPr>
                    <w:t>Marimba compuesta de dos piezas una marimba grande y una tenor</w:t>
                  </w:r>
                </w:p>
              </w:tc>
              <w:tc>
                <w:tcPr>
                  <w:tcW w:w="986" w:type="dxa"/>
                  <w:tcBorders>
                    <w:top w:val="single" w:sz="2" w:space="0" w:color="000000"/>
                    <w:left w:val="single" w:sz="2" w:space="0" w:color="000000"/>
                    <w:bottom w:val="single" w:sz="2" w:space="0" w:color="000000"/>
                    <w:right w:val="single" w:sz="2" w:space="0" w:color="000000"/>
                  </w:tcBorders>
                  <w:vAlign w:val="bottom"/>
                </w:tcPr>
                <w:p w14:paraId="6A232E31" w14:textId="77777777" w:rsidR="00053D93" w:rsidRDefault="00260B75">
                  <w:pPr>
                    <w:ind w:left="259"/>
                  </w:pPr>
                  <w:r>
                    <w:rPr>
                      <w:rFonts w:ascii="Times New Roman" w:eastAsia="Times New Roman" w:hAnsi="Times New Roman" w:cs="Times New Roman"/>
                      <w:sz w:val="16"/>
                    </w:rPr>
                    <w:t>28,000.00</w:t>
                  </w:r>
                </w:p>
              </w:tc>
            </w:tr>
            <w:tr w:rsidR="00053D93" w14:paraId="60ABDF0B" w14:textId="77777777">
              <w:trPr>
                <w:trHeight w:val="210"/>
              </w:trPr>
              <w:tc>
                <w:tcPr>
                  <w:tcW w:w="302" w:type="dxa"/>
                  <w:tcBorders>
                    <w:top w:val="single" w:sz="2" w:space="0" w:color="000000"/>
                    <w:left w:val="single" w:sz="2" w:space="0" w:color="000000"/>
                    <w:bottom w:val="single" w:sz="2" w:space="0" w:color="000000"/>
                    <w:right w:val="single" w:sz="2" w:space="0" w:color="000000"/>
                  </w:tcBorders>
                </w:tcPr>
                <w:p w14:paraId="11EEA966" w14:textId="77777777" w:rsidR="00053D93" w:rsidRDefault="00260B75">
                  <w:pPr>
                    <w:ind w:left="14"/>
                  </w:pPr>
                  <w:r>
                    <w:rPr>
                      <w:rFonts w:ascii="Times New Roman" w:eastAsia="Times New Roman" w:hAnsi="Times New Roman" w:cs="Times New Roman"/>
                      <w:sz w:val="18"/>
                    </w:rPr>
                    <w:t>16</w:t>
                  </w:r>
                </w:p>
              </w:tc>
              <w:tc>
                <w:tcPr>
                  <w:tcW w:w="0" w:type="auto"/>
                  <w:vMerge/>
                  <w:tcBorders>
                    <w:top w:val="nil"/>
                    <w:left w:val="single" w:sz="2" w:space="0" w:color="000000"/>
                    <w:bottom w:val="nil"/>
                    <w:right w:val="nil"/>
                  </w:tcBorders>
                </w:tcPr>
                <w:p w14:paraId="0BE56CD9" w14:textId="77777777" w:rsidR="00053D93" w:rsidRDefault="00053D93"/>
              </w:tc>
              <w:tc>
                <w:tcPr>
                  <w:tcW w:w="0" w:type="auto"/>
                  <w:gridSpan w:val="2"/>
                  <w:vMerge/>
                  <w:tcBorders>
                    <w:top w:val="nil"/>
                    <w:left w:val="nil"/>
                    <w:bottom w:val="nil"/>
                    <w:right w:val="single" w:sz="2" w:space="0" w:color="000000"/>
                  </w:tcBorders>
                </w:tcPr>
                <w:p w14:paraId="7B8D7C8C"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7DEFFE24" w14:textId="77777777" w:rsidR="00053D93" w:rsidRDefault="00260B75">
                  <w:pPr>
                    <w:ind w:left="72"/>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7AF5B1DF" w14:textId="77777777" w:rsidR="00053D93" w:rsidRDefault="00053D93"/>
              </w:tc>
              <w:tc>
                <w:tcPr>
                  <w:tcW w:w="1617" w:type="dxa"/>
                  <w:tcBorders>
                    <w:top w:val="single" w:sz="2" w:space="0" w:color="000000"/>
                    <w:left w:val="single" w:sz="2" w:space="0" w:color="000000"/>
                    <w:bottom w:val="single" w:sz="2" w:space="0" w:color="000000"/>
                    <w:right w:val="single" w:sz="2" w:space="0" w:color="000000"/>
                  </w:tcBorders>
                </w:tcPr>
                <w:p w14:paraId="3EB5AF86" w14:textId="77777777" w:rsidR="00053D93" w:rsidRDefault="00260B75">
                  <w:pPr>
                    <w:ind w:right="19"/>
                    <w:jc w:val="center"/>
                  </w:pPr>
                  <w:r>
                    <w:rPr>
                      <w:sz w:val="16"/>
                    </w:rPr>
                    <w:t>00162A5A</w:t>
                  </w:r>
                </w:p>
              </w:tc>
              <w:tc>
                <w:tcPr>
                  <w:tcW w:w="2552" w:type="dxa"/>
                  <w:tcBorders>
                    <w:top w:val="single" w:sz="2" w:space="0" w:color="000000"/>
                    <w:left w:val="single" w:sz="2" w:space="0" w:color="000000"/>
                    <w:bottom w:val="single" w:sz="2" w:space="0" w:color="000000"/>
                    <w:right w:val="single" w:sz="2" w:space="0" w:color="000000"/>
                  </w:tcBorders>
                </w:tcPr>
                <w:p w14:paraId="5B1B76BA" w14:textId="77777777" w:rsidR="00053D93" w:rsidRDefault="00260B75">
                  <w:pPr>
                    <w:ind w:left="68"/>
                  </w:pPr>
                  <w:r>
                    <w:rPr>
                      <w:sz w:val="16"/>
                    </w:rPr>
                    <w:t>Mesa Para Tenis - Ping Pong</w:t>
                  </w:r>
                </w:p>
              </w:tc>
              <w:tc>
                <w:tcPr>
                  <w:tcW w:w="986" w:type="dxa"/>
                  <w:tcBorders>
                    <w:top w:val="single" w:sz="2" w:space="0" w:color="000000"/>
                    <w:left w:val="single" w:sz="2" w:space="0" w:color="000000"/>
                    <w:bottom w:val="single" w:sz="2" w:space="0" w:color="000000"/>
                    <w:right w:val="single" w:sz="2" w:space="0" w:color="000000"/>
                  </w:tcBorders>
                </w:tcPr>
                <w:p w14:paraId="47A6AF9C" w14:textId="77777777" w:rsidR="00053D93" w:rsidRDefault="00260B75">
                  <w:pPr>
                    <w:ind w:left="338"/>
                  </w:pPr>
                  <w:r>
                    <w:rPr>
                      <w:rFonts w:ascii="Times New Roman" w:eastAsia="Times New Roman" w:hAnsi="Times New Roman" w:cs="Times New Roman"/>
                      <w:sz w:val="16"/>
                    </w:rPr>
                    <w:t>2,500.00</w:t>
                  </w:r>
                </w:p>
              </w:tc>
            </w:tr>
            <w:tr w:rsidR="00053D93" w14:paraId="6AAD2112" w14:textId="77777777">
              <w:trPr>
                <w:trHeight w:val="1611"/>
              </w:trPr>
              <w:tc>
                <w:tcPr>
                  <w:tcW w:w="302" w:type="dxa"/>
                  <w:tcBorders>
                    <w:top w:val="single" w:sz="2" w:space="0" w:color="000000"/>
                    <w:left w:val="single" w:sz="2" w:space="0" w:color="000000"/>
                    <w:bottom w:val="single" w:sz="2" w:space="0" w:color="000000"/>
                    <w:right w:val="single" w:sz="2" w:space="0" w:color="000000"/>
                  </w:tcBorders>
                </w:tcPr>
                <w:p w14:paraId="3C988E00" w14:textId="77777777" w:rsidR="00053D93" w:rsidRDefault="00260B75">
                  <w:pPr>
                    <w:ind w:left="21"/>
                  </w:pPr>
                  <w:r>
                    <w:rPr>
                      <w:rFonts w:ascii="Times New Roman" w:eastAsia="Times New Roman" w:hAnsi="Times New Roman" w:cs="Times New Roman"/>
                      <w:sz w:val="18"/>
                    </w:rPr>
                    <w:t>17</w:t>
                  </w:r>
                </w:p>
              </w:tc>
              <w:tc>
                <w:tcPr>
                  <w:tcW w:w="0" w:type="auto"/>
                  <w:vMerge/>
                  <w:tcBorders>
                    <w:top w:val="nil"/>
                    <w:left w:val="single" w:sz="2" w:space="0" w:color="000000"/>
                    <w:bottom w:val="nil"/>
                    <w:right w:val="nil"/>
                  </w:tcBorders>
                </w:tcPr>
                <w:p w14:paraId="438C6A25" w14:textId="77777777" w:rsidR="00053D93" w:rsidRDefault="00053D93"/>
              </w:tc>
              <w:tc>
                <w:tcPr>
                  <w:tcW w:w="0" w:type="auto"/>
                  <w:gridSpan w:val="2"/>
                  <w:vMerge/>
                  <w:tcBorders>
                    <w:top w:val="nil"/>
                    <w:left w:val="nil"/>
                    <w:bottom w:val="nil"/>
                    <w:right w:val="single" w:sz="2" w:space="0" w:color="000000"/>
                  </w:tcBorders>
                </w:tcPr>
                <w:p w14:paraId="7CD0E69A"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752BA7FD" w14:textId="77777777" w:rsidR="00053D93" w:rsidRDefault="00260B75">
                  <w:pPr>
                    <w:ind w:left="79"/>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26D89377" w14:textId="77777777" w:rsidR="00053D93" w:rsidRDefault="00260B75">
                  <w:pPr>
                    <w:ind w:right="14"/>
                    <w:jc w:val="center"/>
                  </w:pPr>
                  <w:r>
                    <w:rPr>
                      <w:rFonts w:ascii="Times New Roman" w:eastAsia="Times New Roman" w:hAnsi="Times New Roman" w:cs="Times New Roman"/>
                      <w:sz w:val="16"/>
                    </w:rPr>
                    <w:t>9</w:t>
                  </w:r>
                </w:p>
              </w:tc>
              <w:tc>
                <w:tcPr>
                  <w:tcW w:w="1617" w:type="dxa"/>
                  <w:tcBorders>
                    <w:top w:val="single" w:sz="2" w:space="0" w:color="000000"/>
                    <w:left w:val="single" w:sz="2" w:space="0" w:color="000000"/>
                    <w:bottom w:val="single" w:sz="2" w:space="0" w:color="000000"/>
                    <w:right w:val="single" w:sz="2" w:space="0" w:color="000000"/>
                  </w:tcBorders>
                </w:tcPr>
                <w:p w14:paraId="5D9E0E20" w14:textId="77777777" w:rsidR="00053D93" w:rsidRDefault="00260B75">
                  <w:pPr>
                    <w:ind w:left="86"/>
                  </w:pPr>
                  <w:r>
                    <w:rPr>
                      <w:sz w:val="16"/>
                    </w:rPr>
                    <w:t>001 1848F; 001067CE;</w:t>
                  </w:r>
                </w:p>
                <w:p w14:paraId="1390CFEC" w14:textId="77777777" w:rsidR="00053D93" w:rsidRDefault="00260B75">
                  <w:pPr>
                    <w:spacing w:after="19"/>
                    <w:ind w:right="26"/>
                    <w:jc w:val="center"/>
                  </w:pPr>
                  <w:r>
                    <w:rPr>
                      <w:rFonts w:ascii="Times New Roman" w:eastAsia="Times New Roman" w:hAnsi="Times New Roman" w:cs="Times New Roman"/>
                      <w:sz w:val="14"/>
                    </w:rPr>
                    <w:t>001067DC;</w:t>
                  </w:r>
                </w:p>
                <w:p w14:paraId="35855299" w14:textId="77777777" w:rsidR="00053D93" w:rsidRDefault="00260B75">
                  <w:pPr>
                    <w:ind w:right="26"/>
                    <w:jc w:val="center"/>
                  </w:pPr>
                  <w:r>
                    <w:rPr>
                      <w:sz w:val="16"/>
                    </w:rPr>
                    <w:t>001S92ED;</w:t>
                  </w:r>
                </w:p>
                <w:p w14:paraId="56BE8475" w14:textId="77777777" w:rsidR="00053D93" w:rsidRDefault="00260B75">
                  <w:pPr>
                    <w:ind w:right="19"/>
                    <w:jc w:val="center"/>
                  </w:pPr>
                  <w:r>
                    <w:rPr>
                      <w:sz w:val="18"/>
                    </w:rPr>
                    <w:t>00iEFAAC;</w:t>
                  </w:r>
                </w:p>
                <w:p w14:paraId="65EC6447" w14:textId="77777777" w:rsidR="00053D93" w:rsidRDefault="00260B75">
                  <w:pPr>
                    <w:spacing w:after="22"/>
                    <w:ind w:right="26"/>
                    <w:jc w:val="center"/>
                  </w:pPr>
                  <w:r>
                    <w:rPr>
                      <w:rFonts w:ascii="Times New Roman" w:eastAsia="Times New Roman" w:hAnsi="Times New Roman" w:cs="Times New Roman"/>
                      <w:sz w:val="14"/>
                    </w:rPr>
                    <w:t>00103C30;</w:t>
                  </w:r>
                </w:p>
                <w:p w14:paraId="38CFE796" w14:textId="77777777" w:rsidR="00053D93" w:rsidRDefault="00260B75">
                  <w:pPr>
                    <w:ind w:right="19"/>
                    <w:jc w:val="center"/>
                  </w:pPr>
                  <w:r>
                    <w:rPr>
                      <w:sz w:val="18"/>
                    </w:rPr>
                    <w:t>001 IBCAC;</w:t>
                  </w:r>
                </w:p>
                <w:p w14:paraId="1AF43FA2" w14:textId="77777777" w:rsidR="00053D93" w:rsidRDefault="00260B75">
                  <w:pPr>
                    <w:ind w:left="101"/>
                  </w:pPr>
                  <w:r>
                    <w:rPr>
                      <w:sz w:val="16"/>
                    </w:rPr>
                    <w:t>OOIOEA3F; 00105B*</w:t>
                  </w:r>
                </w:p>
              </w:tc>
              <w:tc>
                <w:tcPr>
                  <w:tcW w:w="2552" w:type="dxa"/>
                  <w:tcBorders>
                    <w:top w:val="single" w:sz="2" w:space="0" w:color="000000"/>
                    <w:left w:val="single" w:sz="2" w:space="0" w:color="000000"/>
                    <w:bottom w:val="single" w:sz="2" w:space="0" w:color="000000"/>
                    <w:right w:val="single" w:sz="2" w:space="0" w:color="000000"/>
                  </w:tcBorders>
                </w:tcPr>
                <w:p w14:paraId="2739F109" w14:textId="77777777" w:rsidR="00053D93" w:rsidRDefault="00260B75">
                  <w:pPr>
                    <w:ind w:left="68" w:right="101" w:firstLine="7"/>
                    <w:jc w:val="both"/>
                  </w:pPr>
                  <w:r>
                    <w:rPr>
                      <w:sz w:val="16"/>
                    </w:rPr>
                    <w:t xml:space="preserve">Unidades de poder ininterrumpido (UPS) marca CDP (CHICAGO DIGITAL POWER). modelo BUPR700, color negro. series Nos. </w:t>
                  </w:r>
                  <w:r>
                    <w:rPr>
                      <w:rFonts w:ascii="Times New Roman" w:eastAsia="Times New Roman" w:hAnsi="Times New Roman" w:cs="Times New Roman"/>
                      <w:sz w:val="16"/>
                    </w:rPr>
                    <w:t xml:space="preserve">1290567. 1290039. 1290652. 1291241, 1290568, 1291486. 1291479, 1290452. 1290378. cada </w:t>
                  </w:r>
                  <w:r>
                    <w:rPr>
                      <w:sz w:val="16"/>
                    </w:rPr>
                    <w:t>uno Q. 390.42</w:t>
                  </w:r>
                </w:p>
              </w:tc>
              <w:tc>
                <w:tcPr>
                  <w:tcW w:w="986" w:type="dxa"/>
                  <w:tcBorders>
                    <w:top w:val="single" w:sz="2" w:space="0" w:color="000000"/>
                    <w:left w:val="single" w:sz="2" w:space="0" w:color="000000"/>
                    <w:bottom w:val="single" w:sz="2" w:space="0" w:color="000000"/>
                    <w:right w:val="single" w:sz="2" w:space="0" w:color="000000"/>
                  </w:tcBorders>
                </w:tcPr>
                <w:p w14:paraId="74E0AF2C" w14:textId="77777777" w:rsidR="00053D93" w:rsidRDefault="00053D93"/>
              </w:tc>
            </w:tr>
            <w:tr w:rsidR="00053D93" w14:paraId="51AAF47B" w14:textId="77777777">
              <w:trPr>
                <w:trHeight w:val="1303"/>
              </w:trPr>
              <w:tc>
                <w:tcPr>
                  <w:tcW w:w="302" w:type="dxa"/>
                  <w:tcBorders>
                    <w:top w:val="single" w:sz="2" w:space="0" w:color="000000"/>
                    <w:left w:val="single" w:sz="2" w:space="0" w:color="000000"/>
                    <w:bottom w:val="single" w:sz="2" w:space="0" w:color="000000"/>
                    <w:right w:val="single" w:sz="2" w:space="0" w:color="000000"/>
                  </w:tcBorders>
                </w:tcPr>
                <w:p w14:paraId="0EDA9392" w14:textId="77777777" w:rsidR="00053D93" w:rsidRDefault="00053D93"/>
              </w:tc>
              <w:tc>
                <w:tcPr>
                  <w:tcW w:w="0" w:type="auto"/>
                  <w:vMerge/>
                  <w:tcBorders>
                    <w:top w:val="nil"/>
                    <w:left w:val="single" w:sz="2" w:space="0" w:color="000000"/>
                    <w:bottom w:val="nil"/>
                    <w:right w:val="nil"/>
                  </w:tcBorders>
                </w:tcPr>
                <w:p w14:paraId="725C0E52" w14:textId="77777777" w:rsidR="00053D93" w:rsidRDefault="00053D93"/>
              </w:tc>
              <w:tc>
                <w:tcPr>
                  <w:tcW w:w="0" w:type="auto"/>
                  <w:gridSpan w:val="2"/>
                  <w:vMerge/>
                  <w:tcBorders>
                    <w:top w:val="nil"/>
                    <w:left w:val="nil"/>
                    <w:bottom w:val="nil"/>
                    <w:right w:val="single" w:sz="2" w:space="0" w:color="000000"/>
                  </w:tcBorders>
                </w:tcPr>
                <w:p w14:paraId="509E482A"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63434E25" w14:textId="77777777" w:rsidR="00053D93" w:rsidRDefault="00053D93"/>
              </w:tc>
              <w:tc>
                <w:tcPr>
                  <w:tcW w:w="770" w:type="dxa"/>
                  <w:tcBorders>
                    <w:top w:val="single" w:sz="2" w:space="0" w:color="000000"/>
                    <w:left w:val="single" w:sz="2" w:space="0" w:color="000000"/>
                    <w:bottom w:val="single" w:sz="2" w:space="0" w:color="000000"/>
                    <w:right w:val="single" w:sz="2" w:space="0" w:color="000000"/>
                  </w:tcBorders>
                </w:tcPr>
                <w:p w14:paraId="2819C7F2" w14:textId="77777777" w:rsidR="00053D93" w:rsidRDefault="00053D93"/>
              </w:tc>
              <w:tc>
                <w:tcPr>
                  <w:tcW w:w="1617" w:type="dxa"/>
                  <w:tcBorders>
                    <w:top w:val="single" w:sz="2" w:space="0" w:color="000000"/>
                    <w:left w:val="single" w:sz="2" w:space="0" w:color="000000"/>
                    <w:bottom w:val="single" w:sz="2" w:space="0" w:color="000000"/>
                    <w:right w:val="single" w:sz="2" w:space="0" w:color="000000"/>
                  </w:tcBorders>
                </w:tcPr>
                <w:p w14:paraId="001854FA" w14:textId="77777777" w:rsidR="00053D93" w:rsidRDefault="00260B75">
                  <w:pPr>
                    <w:ind w:left="86"/>
                  </w:pPr>
                  <w:r>
                    <w:rPr>
                      <w:sz w:val="16"/>
                    </w:rPr>
                    <w:t>00105A3C; 00103818;</w:t>
                  </w:r>
                </w:p>
                <w:p w14:paraId="4080A7ED" w14:textId="77777777" w:rsidR="00053D93" w:rsidRDefault="00260B75">
                  <w:pPr>
                    <w:ind w:left="94"/>
                  </w:pPr>
                  <w:r>
                    <w:rPr>
                      <w:sz w:val="16"/>
                    </w:rPr>
                    <w:t>001 OF2A2; 001 OF7F6;</w:t>
                  </w:r>
                </w:p>
                <w:p w14:paraId="22B71647" w14:textId="77777777" w:rsidR="00053D93" w:rsidRDefault="00260B75">
                  <w:pPr>
                    <w:ind w:right="19"/>
                    <w:jc w:val="center"/>
                  </w:pPr>
                  <w:r>
                    <w:rPr>
                      <w:sz w:val="18"/>
                    </w:rPr>
                    <w:t>001 OFBCI</w:t>
                  </w:r>
                </w:p>
              </w:tc>
              <w:tc>
                <w:tcPr>
                  <w:tcW w:w="2552" w:type="dxa"/>
                  <w:tcBorders>
                    <w:top w:val="single" w:sz="2" w:space="0" w:color="000000"/>
                    <w:left w:val="single" w:sz="2" w:space="0" w:color="000000"/>
                    <w:bottom w:val="single" w:sz="2" w:space="0" w:color="000000"/>
                    <w:right w:val="single" w:sz="2" w:space="0" w:color="000000"/>
                  </w:tcBorders>
                </w:tcPr>
                <w:p w14:paraId="64DE6779" w14:textId="77777777" w:rsidR="00053D93" w:rsidRDefault="00260B75">
                  <w:pPr>
                    <w:ind w:left="75" w:right="101"/>
                    <w:jc w:val="both"/>
                  </w:pPr>
                  <w:r>
                    <w:rPr>
                      <w:sz w:val="16"/>
                    </w:rPr>
                    <w:t xml:space="preserve">Unidades de poder ininterrumpjdo (UPS) Merca CDP (CHICAGO DIGITAL POWER). Modelo BUPR700, Color Negro, Series Nos. </w:t>
                  </w:r>
                  <w:r>
                    <w:rPr>
                      <w:rFonts w:ascii="Times New Roman" w:eastAsia="Times New Roman" w:hAnsi="Times New Roman" w:cs="Times New Roman"/>
                      <w:sz w:val="16"/>
                    </w:rPr>
                    <w:t xml:space="preserve">1290856. 1292007. 1291025, </w:t>
                  </w:r>
                  <w:r>
                    <w:rPr>
                      <w:sz w:val="16"/>
                    </w:rPr>
                    <w:t xml:space="preserve">1291026, 1291028. cada uno Q. </w:t>
                  </w:r>
                  <w:r>
                    <w:rPr>
                      <w:rFonts w:ascii="Times New Roman" w:eastAsia="Times New Roman" w:hAnsi="Times New Roman" w:cs="Times New Roman"/>
                      <w:sz w:val="16"/>
                    </w:rPr>
                    <w:t>390.41</w:t>
                  </w:r>
                </w:p>
              </w:tc>
              <w:tc>
                <w:tcPr>
                  <w:tcW w:w="986" w:type="dxa"/>
                  <w:tcBorders>
                    <w:top w:val="single" w:sz="2" w:space="0" w:color="000000"/>
                    <w:left w:val="single" w:sz="2" w:space="0" w:color="000000"/>
                    <w:bottom w:val="single" w:sz="2" w:space="0" w:color="000000"/>
                    <w:right w:val="single" w:sz="2" w:space="0" w:color="000000"/>
                  </w:tcBorders>
                  <w:vAlign w:val="bottom"/>
                </w:tcPr>
                <w:p w14:paraId="43348A50" w14:textId="77777777" w:rsidR="00053D93" w:rsidRDefault="00260B75">
                  <w:pPr>
                    <w:ind w:left="360"/>
                  </w:pPr>
                  <w:r>
                    <w:rPr>
                      <w:rFonts w:ascii="Times New Roman" w:eastAsia="Times New Roman" w:hAnsi="Times New Roman" w:cs="Times New Roman"/>
                      <w:sz w:val="16"/>
                    </w:rPr>
                    <w:t>1 ,952.05</w:t>
                  </w:r>
                </w:p>
              </w:tc>
            </w:tr>
            <w:tr w:rsidR="00053D93" w14:paraId="654E2866" w14:textId="77777777">
              <w:trPr>
                <w:trHeight w:val="596"/>
              </w:trPr>
              <w:tc>
                <w:tcPr>
                  <w:tcW w:w="302" w:type="dxa"/>
                  <w:tcBorders>
                    <w:top w:val="single" w:sz="2" w:space="0" w:color="000000"/>
                    <w:left w:val="single" w:sz="2" w:space="0" w:color="000000"/>
                    <w:bottom w:val="single" w:sz="2" w:space="0" w:color="000000"/>
                    <w:right w:val="single" w:sz="2" w:space="0" w:color="000000"/>
                  </w:tcBorders>
                </w:tcPr>
                <w:p w14:paraId="2671EF39" w14:textId="77777777" w:rsidR="00053D93" w:rsidRDefault="00260B75">
                  <w:pPr>
                    <w:ind w:left="28"/>
                  </w:pPr>
                  <w:r>
                    <w:rPr>
                      <w:rFonts w:ascii="Times New Roman" w:eastAsia="Times New Roman" w:hAnsi="Times New Roman" w:cs="Times New Roman"/>
                      <w:sz w:val="16"/>
                    </w:rPr>
                    <w:t>19</w:t>
                  </w:r>
                </w:p>
              </w:tc>
              <w:tc>
                <w:tcPr>
                  <w:tcW w:w="0" w:type="auto"/>
                  <w:vMerge/>
                  <w:tcBorders>
                    <w:top w:val="nil"/>
                    <w:left w:val="single" w:sz="2" w:space="0" w:color="000000"/>
                    <w:bottom w:val="nil"/>
                    <w:right w:val="nil"/>
                  </w:tcBorders>
                </w:tcPr>
                <w:p w14:paraId="7BF31DB1" w14:textId="77777777" w:rsidR="00053D93" w:rsidRDefault="00053D93"/>
              </w:tc>
              <w:tc>
                <w:tcPr>
                  <w:tcW w:w="0" w:type="auto"/>
                  <w:gridSpan w:val="2"/>
                  <w:vMerge/>
                  <w:tcBorders>
                    <w:top w:val="nil"/>
                    <w:left w:val="nil"/>
                    <w:bottom w:val="nil"/>
                    <w:right w:val="single" w:sz="2" w:space="0" w:color="000000"/>
                  </w:tcBorders>
                </w:tcPr>
                <w:p w14:paraId="38C71426"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485CD197" w14:textId="77777777" w:rsidR="00053D93" w:rsidRDefault="00260B75">
                  <w:pPr>
                    <w:ind w:left="79"/>
                  </w:pPr>
                  <w:r>
                    <w:rPr>
                      <w:rFonts w:ascii="Times New Roman" w:eastAsia="Times New Roman" w:hAnsi="Times New Roman" w:cs="Times New Roman"/>
                      <w:sz w:val="14"/>
                    </w:rPr>
                    <w:t>03/1212012</w:t>
                  </w:r>
                </w:p>
              </w:tc>
              <w:tc>
                <w:tcPr>
                  <w:tcW w:w="770" w:type="dxa"/>
                  <w:tcBorders>
                    <w:top w:val="single" w:sz="2" w:space="0" w:color="000000"/>
                    <w:left w:val="single" w:sz="2" w:space="0" w:color="000000"/>
                    <w:bottom w:val="single" w:sz="2" w:space="0" w:color="000000"/>
                    <w:right w:val="single" w:sz="2" w:space="0" w:color="000000"/>
                  </w:tcBorders>
                </w:tcPr>
                <w:p w14:paraId="2BE17B41" w14:textId="77777777" w:rsidR="00053D93" w:rsidRDefault="00053D93"/>
              </w:tc>
              <w:tc>
                <w:tcPr>
                  <w:tcW w:w="1617" w:type="dxa"/>
                  <w:tcBorders>
                    <w:top w:val="single" w:sz="2" w:space="0" w:color="000000"/>
                    <w:left w:val="single" w:sz="2" w:space="0" w:color="000000"/>
                    <w:bottom w:val="single" w:sz="2" w:space="0" w:color="000000"/>
                    <w:right w:val="single" w:sz="2" w:space="0" w:color="000000"/>
                  </w:tcBorders>
                </w:tcPr>
                <w:p w14:paraId="04422796" w14:textId="77777777" w:rsidR="00053D93" w:rsidRDefault="00260B75">
                  <w:pPr>
                    <w:ind w:right="5"/>
                    <w:jc w:val="center"/>
                  </w:pPr>
                  <w:r>
                    <w:rPr>
                      <w:rFonts w:ascii="Times New Roman" w:eastAsia="Times New Roman" w:hAnsi="Times New Roman" w:cs="Times New Roman"/>
                      <w:sz w:val="14"/>
                    </w:rPr>
                    <w:t>001c0764</w:t>
                  </w:r>
                </w:p>
              </w:tc>
              <w:tc>
                <w:tcPr>
                  <w:tcW w:w="2552" w:type="dxa"/>
                  <w:tcBorders>
                    <w:top w:val="single" w:sz="2" w:space="0" w:color="000000"/>
                    <w:left w:val="single" w:sz="2" w:space="0" w:color="000000"/>
                    <w:bottom w:val="single" w:sz="2" w:space="0" w:color="000000"/>
                    <w:right w:val="single" w:sz="2" w:space="0" w:color="000000"/>
                  </w:tcBorders>
                </w:tcPr>
                <w:p w14:paraId="78F55717" w14:textId="77777777" w:rsidR="00053D93" w:rsidRDefault="00260B75">
                  <w:pPr>
                    <w:ind w:left="75" w:right="94"/>
                    <w:jc w:val="both"/>
                  </w:pPr>
                  <w:r>
                    <w:rPr>
                      <w:sz w:val="16"/>
                    </w:rPr>
                    <w:t>Purificador de agua marca Ozonolife acero inox, Sin modelo, sin serie, cada uno con valor de 3726.90</w:t>
                  </w:r>
                </w:p>
              </w:tc>
              <w:tc>
                <w:tcPr>
                  <w:tcW w:w="986" w:type="dxa"/>
                  <w:tcBorders>
                    <w:top w:val="single" w:sz="2" w:space="0" w:color="000000"/>
                    <w:left w:val="single" w:sz="2" w:space="0" w:color="000000"/>
                    <w:bottom w:val="single" w:sz="2" w:space="0" w:color="000000"/>
                    <w:right w:val="single" w:sz="2" w:space="0" w:color="000000"/>
                  </w:tcBorders>
                  <w:vAlign w:val="bottom"/>
                </w:tcPr>
                <w:p w14:paraId="771B16FF" w14:textId="77777777" w:rsidR="00053D93" w:rsidRDefault="00260B75">
                  <w:pPr>
                    <w:ind w:left="353"/>
                  </w:pPr>
                  <w:r>
                    <w:rPr>
                      <w:rFonts w:ascii="Times New Roman" w:eastAsia="Times New Roman" w:hAnsi="Times New Roman" w:cs="Times New Roman"/>
                      <w:sz w:val="16"/>
                    </w:rPr>
                    <w:t>3,726.90</w:t>
                  </w:r>
                </w:p>
              </w:tc>
            </w:tr>
            <w:tr w:rsidR="00053D93" w14:paraId="567332E6" w14:textId="77777777">
              <w:trPr>
                <w:trHeight w:val="1919"/>
              </w:trPr>
              <w:tc>
                <w:tcPr>
                  <w:tcW w:w="302" w:type="dxa"/>
                  <w:tcBorders>
                    <w:top w:val="single" w:sz="2" w:space="0" w:color="000000"/>
                    <w:left w:val="single" w:sz="2" w:space="0" w:color="000000"/>
                    <w:bottom w:val="single" w:sz="2" w:space="0" w:color="000000"/>
                    <w:right w:val="single" w:sz="2" w:space="0" w:color="000000"/>
                  </w:tcBorders>
                </w:tcPr>
                <w:p w14:paraId="0270C353" w14:textId="77777777" w:rsidR="00053D93" w:rsidRDefault="00260B75">
                  <w:pPr>
                    <w:ind w:left="21"/>
                  </w:pPr>
                  <w:r>
                    <w:rPr>
                      <w:rFonts w:ascii="Times New Roman" w:eastAsia="Times New Roman" w:hAnsi="Times New Roman" w:cs="Times New Roman"/>
                      <w:sz w:val="16"/>
                    </w:rPr>
                    <w:t>20</w:t>
                  </w:r>
                </w:p>
              </w:tc>
              <w:tc>
                <w:tcPr>
                  <w:tcW w:w="0" w:type="auto"/>
                  <w:vMerge/>
                  <w:tcBorders>
                    <w:top w:val="nil"/>
                    <w:left w:val="single" w:sz="2" w:space="0" w:color="000000"/>
                    <w:bottom w:val="nil"/>
                    <w:right w:val="nil"/>
                  </w:tcBorders>
                </w:tcPr>
                <w:p w14:paraId="3B01FAB4" w14:textId="77777777" w:rsidR="00053D93" w:rsidRDefault="00053D93"/>
              </w:tc>
              <w:tc>
                <w:tcPr>
                  <w:tcW w:w="0" w:type="auto"/>
                  <w:gridSpan w:val="2"/>
                  <w:vMerge/>
                  <w:tcBorders>
                    <w:top w:val="nil"/>
                    <w:left w:val="nil"/>
                    <w:bottom w:val="nil"/>
                    <w:right w:val="single" w:sz="2" w:space="0" w:color="000000"/>
                  </w:tcBorders>
                </w:tcPr>
                <w:p w14:paraId="55FBA408"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31D0B32E" w14:textId="77777777" w:rsidR="00053D93" w:rsidRDefault="00260B75">
                  <w:pPr>
                    <w:ind w:left="79"/>
                  </w:pPr>
                  <w:r>
                    <w:rPr>
                      <w:rFonts w:ascii="Times New Roman" w:eastAsia="Times New Roman" w:hAnsi="Times New Roman" w:cs="Times New Roman"/>
                      <w:sz w:val="16"/>
                    </w:rPr>
                    <w:t>03/1212012</w:t>
                  </w:r>
                </w:p>
              </w:tc>
              <w:tc>
                <w:tcPr>
                  <w:tcW w:w="770" w:type="dxa"/>
                  <w:tcBorders>
                    <w:top w:val="single" w:sz="2" w:space="0" w:color="000000"/>
                    <w:left w:val="single" w:sz="2" w:space="0" w:color="000000"/>
                    <w:bottom w:val="single" w:sz="2" w:space="0" w:color="000000"/>
                    <w:right w:val="single" w:sz="2" w:space="0" w:color="000000"/>
                  </w:tcBorders>
                </w:tcPr>
                <w:p w14:paraId="2E76B13F" w14:textId="77777777" w:rsidR="00053D93" w:rsidRDefault="00260B75">
                  <w:pPr>
                    <w:ind w:left="7"/>
                    <w:jc w:val="center"/>
                  </w:pPr>
                  <w:r>
                    <w:rPr>
                      <w:rFonts w:ascii="Times New Roman" w:eastAsia="Times New Roman" w:hAnsi="Times New Roman" w:cs="Times New Roman"/>
                      <w:sz w:val="16"/>
                    </w:rPr>
                    <w:t>10</w:t>
                  </w:r>
                </w:p>
              </w:tc>
              <w:tc>
                <w:tcPr>
                  <w:tcW w:w="1617" w:type="dxa"/>
                  <w:tcBorders>
                    <w:top w:val="single" w:sz="2" w:space="0" w:color="000000"/>
                    <w:left w:val="single" w:sz="2" w:space="0" w:color="000000"/>
                    <w:bottom w:val="single" w:sz="2" w:space="0" w:color="000000"/>
                    <w:right w:val="single" w:sz="2" w:space="0" w:color="000000"/>
                  </w:tcBorders>
                </w:tcPr>
                <w:p w14:paraId="1A7A86F2" w14:textId="77777777" w:rsidR="00053D93" w:rsidRDefault="00260B75">
                  <w:pPr>
                    <w:ind w:right="4"/>
                    <w:jc w:val="center"/>
                  </w:pPr>
                  <w:r>
                    <w:rPr>
                      <w:sz w:val="18"/>
                    </w:rPr>
                    <w:t>OOIC4ADl;</w:t>
                  </w:r>
                </w:p>
                <w:p w14:paraId="6997A935" w14:textId="77777777" w:rsidR="00053D93" w:rsidRDefault="00260B75">
                  <w:pPr>
                    <w:ind w:right="5"/>
                    <w:jc w:val="center"/>
                  </w:pPr>
                  <w:r>
                    <w:rPr>
                      <w:sz w:val="16"/>
                    </w:rPr>
                    <w:t>OOIC4AD2;</w:t>
                  </w:r>
                </w:p>
                <w:p w14:paraId="7A435867" w14:textId="77777777" w:rsidR="00053D93" w:rsidRDefault="00260B75">
                  <w:pPr>
                    <w:spacing w:line="247" w:lineRule="auto"/>
                    <w:ind w:left="446" w:right="235"/>
                  </w:pPr>
                  <w:r>
                    <w:rPr>
                      <w:sz w:val="16"/>
                    </w:rPr>
                    <w:t xml:space="preserve">OOIC4AD4; OOIC4AD5; </w:t>
                  </w:r>
                  <w:r>
                    <w:rPr>
                      <w:rFonts w:ascii="Times New Roman" w:eastAsia="Times New Roman" w:hAnsi="Times New Roman" w:cs="Times New Roman"/>
                      <w:sz w:val="16"/>
                    </w:rPr>
                    <w:t>001</w:t>
                  </w:r>
                </w:p>
                <w:p w14:paraId="04A354D1" w14:textId="77777777" w:rsidR="00053D93" w:rsidRDefault="00260B75">
                  <w:pPr>
                    <w:ind w:right="5"/>
                    <w:jc w:val="center"/>
                  </w:pPr>
                  <w:r>
                    <w:rPr>
                      <w:sz w:val="16"/>
                    </w:rPr>
                    <w:t>001 C4AD7;</w:t>
                  </w:r>
                </w:p>
                <w:p w14:paraId="08F990E6" w14:textId="77777777" w:rsidR="00053D93" w:rsidRDefault="00260B75">
                  <w:pPr>
                    <w:spacing w:after="7" w:line="242" w:lineRule="auto"/>
                    <w:ind w:left="346" w:right="343"/>
                    <w:jc w:val="center"/>
                  </w:pPr>
                  <w:r>
                    <w:rPr>
                      <w:sz w:val="16"/>
                    </w:rPr>
                    <w:t>OOIC4AD8; 001 C4AD9;</w:t>
                  </w:r>
                </w:p>
                <w:p w14:paraId="69387928" w14:textId="77777777" w:rsidR="00053D93" w:rsidRDefault="00260B75">
                  <w:pPr>
                    <w:ind w:left="3"/>
                    <w:jc w:val="center"/>
                  </w:pPr>
                  <w:r>
                    <w:rPr>
                      <w:sz w:val="16"/>
                    </w:rPr>
                    <w:t>OOIC4ADA;</w:t>
                  </w:r>
                </w:p>
                <w:p w14:paraId="368CD6D0" w14:textId="77777777" w:rsidR="00053D93" w:rsidRDefault="00260B75">
                  <w:pPr>
                    <w:ind w:left="10"/>
                    <w:jc w:val="center"/>
                  </w:pPr>
                  <w:r>
                    <w:rPr>
                      <w:sz w:val="16"/>
                    </w:rPr>
                    <w:t>001C4ADB</w:t>
                  </w:r>
                </w:p>
              </w:tc>
              <w:tc>
                <w:tcPr>
                  <w:tcW w:w="2552" w:type="dxa"/>
                  <w:tcBorders>
                    <w:top w:val="single" w:sz="2" w:space="0" w:color="000000"/>
                    <w:left w:val="single" w:sz="2" w:space="0" w:color="000000"/>
                    <w:bottom w:val="single" w:sz="2" w:space="0" w:color="000000"/>
                    <w:right w:val="single" w:sz="2" w:space="0" w:color="000000"/>
                  </w:tcBorders>
                </w:tcPr>
                <w:p w14:paraId="5419B6E3" w14:textId="77777777" w:rsidR="00053D93" w:rsidRDefault="00260B75">
                  <w:pPr>
                    <w:spacing w:after="16" w:line="225" w:lineRule="auto"/>
                    <w:ind w:left="82" w:hanging="7"/>
                    <w:jc w:val="both"/>
                  </w:pPr>
                  <w:r>
                    <w:rPr>
                      <w:sz w:val="16"/>
                    </w:rPr>
                    <w:t>Ventilador marca lasko modelo 2521 sin serie. cada uno con valor de</w:t>
                  </w:r>
                </w:p>
                <w:p w14:paraId="798A0DAF" w14:textId="77777777" w:rsidR="00053D93" w:rsidRDefault="00260B75">
                  <w:pPr>
                    <w:ind w:left="82"/>
                  </w:pPr>
                  <w:r>
                    <w:rPr>
                      <w:rFonts w:ascii="Times New Roman" w:eastAsia="Times New Roman" w:hAnsi="Times New Roman" w:cs="Times New Roman"/>
                      <w:sz w:val="12"/>
                    </w:rPr>
                    <w:t>Q.360.25</w:t>
                  </w:r>
                </w:p>
              </w:tc>
              <w:tc>
                <w:tcPr>
                  <w:tcW w:w="986" w:type="dxa"/>
                  <w:tcBorders>
                    <w:top w:val="single" w:sz="2" w:space="0" w:color="000000"/>
                    <w:left w:val="single" w:sz="2" w:space="0" w:color="000000"/>
                    <w:bottom w:val="single" w:sz="2" w:space="0" w:color="000000"/>
                    <w:right w:val="single" w:sz="2" w:space="0" w:color="000000"/>
                  </w:tcBorders>
                  <w:vAlign w:val="bottom"/>
                </w:tcPr>
                <w:p w14:paraId="403BF001" w14:textId="77777777" w:rsidR="00053D93" w:rsidRDefault="00260B75">
                  <w:pPr>
                    <w:ind w:left="353"/>
                  </w:pPr>
                  <w:r>
                    <w:rPr>
                      <w:rFonts w:ascii="Times New Roman" w:eastAsia="Times New Roman" w:hAnsi="Times New Roman" w:cs="Times New Roman"/>
                      <w:sz w:val="16"/>
                    </w:rPr>
                    <w:t>3,602.50</w:t>
                  </w:r>
                </w:p>
              </w:tc>
            </w:tr>
            <w:tr w:rsidR="00053D93" w14:paraId="27BEDF68" w14:textId="77777777">
              <w:trPr>
                <w:trHeight w:val="599"/>
              </w:trPr>
              <w:tc>
                <w:tcPr>
                  <w:tcW w:w="302" w:type="dxa"/>
                  <w:tcBorders>
                    <w:top w:val="single" w:sz="2" w:space="0" w:color="000000"/>
                    <w:left w:val="single" w:sz="2" w:space="0" w:color="000000"/>
                    <w:bottom w:val="single" w:sz="2" w:space="0" w:color="000000"/>
                    <w:right w:val="single" w:sz="2" w:space="0" w:color="000000"/>
                  </w:tcBorders>
                </w:tcPr>
                <w:p w14:paraId="1C7487E9" w14:textId="77777777" w:rsidR="00053D93" w:rsidRDefault="00260B75">
                  <w:pPr>
                    <w:ind w:left="28"/>
                  </w:pPr>
                  <w:r>
                    <w:rPr>
                      <w:rFonts w:ascii="Times New Roman" w:eastAsia="Times New Roman" w:hAnsi="Times New Roman" w:cs="Times New Roman"/>
                      <w:sz w:val="16"/>
                    </w:rPr>
                    <w:t>21</w:t>
                  </w:r>
                </w:p>
              </w:tc>
              <w:tc>
                <w:tcPr>
                  <w:tcW w:w="0" w:type="auto"/>
                  <w:vMerge/>
                  <w:tcBorders>
                    <w:top w:val="nil"/>
                    <w:left w:val="single" w:sz="2" w:space="0" w:color="000000"/>
                    <w:bottom w:val="nil"/>
                    <w:right w:val="nil"/>
                  </w:tcBorders>
                </w:tcPr>
                <w:p w14:paraId="3D8EADC4" w14:textId="77777777" w:rsidR="00053D93" w:rsidRDefault="00053D93"/>
              </w:tc>
              <w:tc>
                <w:tcPr>
                  <w:tcW w:w="0" w:type="auto"/>
                  <w:gridSpan w:val="2"/>
                  <w:vMerge/>
                  <w:tcBorders>
                    <w:top w:val="nil"/>
                    <w:left w:val="nil"/>
                    <w:bottom w:val="nil"/>
                    <w:right w:val="single" w:sz="2" w:space="0" w:color="000000"/>
                  </w:tcBorders>
                </w:tcPr>
                <w:p w14:paraId="25AD13EB"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7BE1DE6E" w14:textId="77777777" w:rsidR="00053D93" w:rsidRDefault="00260B75">
                  <w:pPr>
                    <w:ind w:left="94"/>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231F2DC7" w14:textId="77777777" w:rsidR="00053D93" w:rsidRDefault="00260B75">
                  <w:pPr>
                    <w:ind w:left="7"/>
                    <w:jc w:val="center"/>
                  </w:pPr>
                  <w:r>
                    <w:rPr>
                      <w:rFonts w:ascii="Times New Roman" w:eastAsia="Times New Roman" w:hAnsi="Times New Roman" w:cs="Times New Roman"/>
                      <w:sz w:val="16"/>
                    </w:rPr>
                    <w:t>2</w:t>
                  </w:r>
                </w:p>
              </w:tc>
              <w:tc>
                <w:tcPr>
                  <w:tcW w:w="1617" w:type="dxa"/>
                  <w:tcBorders>
                    <w:top w:val="single" w:sz="2" w:space="0" w:color="000000"/>
                    <w:left w:val="single" w:sz="2" w:space="0" w:color="000000"/>
                    <w:bottom w:val="single" w:sz="2" w:space="0" w:color="000000"/>
                    <w:right w:val="single" w:sz="2" w:space="0" w:color="000000"/>
                  </w:tcBorders>
                </w:tcPr>
                <w:p w14:paraId="7E2C0308" w14:textId="77777777" w:rsidR="00053D93" w:rsidRDefault="00260B75">
                  <w:pPr>
                    <w:ind w:left="10"/>
                    <w:jc w:val="center"/>
                  </w:pPr>
                  <w:r>
                    <w:rPr>
                      <w:rFonts w:ascii="Times New Roman" w:eastAsia="Times New Roman" w:hAnsi="Times New Roman" w:cs="Times New Roman"/>
                      <w:sz w:val="14"/>
                    </w:rPr>
                    <w:t>00109377. 0010937C</w:t>
                  </w:r>
                </w:p>
              </w:tc>
              <w:tc>
                <w:tcPr>
                  <w:tcW w:w="2552" w:type="dxa"/>
                  <w:tcBorders>
                    <w:top w:val="single" w:sz="2" w:space="0" w:color="000000"/>
                    <w:left w:val="single" w:sz="2" w:space="0" w:color="000000"/>
                    <w:bottom w:val="single" w:sz="2" w:space="0" w:color="000000"/>
                    <w:right w:val="single" w:sz="2" w:space="0" w:color="000000"/>
                  </w:tcBorders>
                </w:tcPr>
                <w:p w14:paraId="797D3EA4" w14:textId="77777777" w:rsidR="00053D93" w:rsidRDefault="00260B75">
                  <w:pPr>
                    <w:ind w:left="82" w:right="86" w:firstLine="7"/>
                    <w:jc w:val="both"/>
                  </w:pPr>
                  <w:r>
                    <w:rPr>
                      <w:sz w:val="16"/>
                    </w:rPr>
                    <w:t>Porterias de Auminio para piscina, Presupuesto No. JMJ-cm-80-S-05 con Valor de Q.6.160.00 Cada Una.</w:t>
                  </w:r>
                </w:p>
              </w:tc>
              <w:tc>
                <w:tcPr>
                  <w:tcW w:w="986" w:type="dxa"/>
                  <w:tcBorders>
                    <w:top w:val="single" w:sz="2" w:space="0" w:color="000000"/>
                    <w:left w:val="single" w:sz="2" w:space="0" w:color="000000"/>
                    <w:bottom w:val="single" w:sz="2" w:space="0" w:color="000000"/>
                    <w:right w:val="single" w:sz="2" w:space="0" w:color="000000"/>
                  </w:tcBorders>
                  <w:vAlign w:val="bottom"/>
                </w:tcPr>
                <w:p w14:paraId="54D919C8" w14:textId="77777777" w:rsidR="00053D93" w:rsidRDefault="00260B75">
                  <w:pPr>
                    <w:ind w:left="288"/>
                  </w:pPr>
                  <w:r>
                    <w:rPr>
                      <w:rFonts w:ascii="Times New Roman" w:eastAsia="Times New Roman" w:hAnsi="Times New Roman" w:cs="Times New Roman"/>
                      <w:sz w:val="16"/>
                    </w:rPr>
                    <w:t>12,320.00</w:t>
                  </w:r>
                </w:p>
              </w:tc>
            </w:tr>
            <w:tr w:rsidR="00053D93" w14:paraId="126F1E23" w14:textId="77777777">
              <w:trPr>
                <w:trHeight w:val="775"/>
              </w:trPr>
              <w:tc>
                <w:tcPr>
                  <w:tcW w:w="302" w:type="dxa"/>
                  <w:tcBorders>
                    <w:top w:val="single" w:sz="2" w:space="0" w:color="000000"/>
                    <w:left w:val="single" w:sz="2" w:space="0" w:color="000000"/>
                    <w:bottom w:val="single" w:sz="2" w:space="0" w:color="000000"/>
                    <w:right w:val="single" w:sz="2" w:space="0" w:color="000000"/>
                  </w:tcBorders>
                </w:tcPr>
                <w:p w14:paraId="608D52C6" w14:textId="77777777" w:rsidR="00053D93" w:rsidRDefault="00260B75">
                  <w:pPr>
                    <w:ind w:left="28"/>
                  </w:pPr>
                  <w:r>
                    <w:rPr>
                      <w:rFonts w:ascii="Times New Roman" w:eastAsia="Times New Roman" w:hAnsi="Times New Roman" w:cs="Times New Roman"/>
                      <w:sz w:val="16"/>
                    </w:rPr>
                    <w:t>22</w:t>
                  </w:r>
                </w:p>
              </w:tc>
              <w:tc>
                <w:tcPr>
                  <w:tcW w:w="0" w:type="auto"/>
                  <w:vMerge/>
                  <w:tcBorders>
                    <w:top w:val="nil"/>
                    <w:left w:val="single" w:sz="2" w:space="0" w:color="000000"/>
                    <w:bottom w:val="nil"/>
                    <w:right w:val="nil"/>
                  </w:tcBorders>
                </w:tcPr>
                <w:p w14:paraId="28AD6666" w14:textId="77777777" w:rsidR="00053D93" w:rsidRDefault="00053D93"/>
              </w:tc>
              <w:tc>
                <w:tcPr>
                  <w:tcW w:w="0" w:type="auto"/>
                  <w:gridSpan w:val="2"/>
                  <w:vMerge/>
                  <w:tcBorders>
                    <w:top w:val="nil"/>
                    <w:left w:val="nil"/>
                    <w:bottom w:val="nil"/>
                    <w:right w:val="single" w:sz="2" w:space="0" w:color="000000"/>
                  </w:tcBorders>
                </w:tcPr>
                <w:p w14:paraId="1F3E232F"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2DD88A88" w14:textId="77777777" w:rsidR="00053D93" w:rsidRDefault="00260B75">
                  <w:pPr>
                    <w:ind w:left="94"/>
                  </w:pPr>
                  <w:r>
                    <w:rPr>
                      <w:rFonts w:ascii="Times New Roman" w:eastAsia="Times New Roman" w:hAnsi="Times New Roman" w:cs="Times New Roman"/>
                      <w:sz w:val="14"/>
                    </w:rPr>
                    <w:t>03112/2012</w:t>
                  </w:r>
                </w:p>
              </w:tc>
              <w:tc>
                <w:tcPr>
                  <w:tcW w:w="770" w:type="dxa"/>
                  <w:tcBorders>
                    <w:top w:val="single" w:sz="2" w:space="0" w:color="000000"/>
                    <w:left w:val="single" w:sz="2" w:space="0" w:color="000000"/>
                    <w:bottom w:val="single" w:sz="2" w:space="0" w:color="000000"/>
                    <w:right w:val="single" w:sz="2" w:space="0" w:color="000000"/>
                  </w:tcBorders>
                </w:tcPr>
                <w:p w14:paraId="67474FAE" w14:textId="77777777" w:rsidR="00053D93" w:rsidRDefault="00053D93"/>
              </w:tc>
              <w:tc>
                <w:tcPr>
                  <w:tcW w:w="1617" w:type="dxa"/>
                  <w:tcBorders>
                    <w:top w:val="single" w:sz="2" w:space="0" w:color="000000"/>
                    <w:left w:val="single" w:sz="2" w:space="0" w:color="000000"/>
                    <w:bottom w:val="single" w:sz="2" w:space="0" w:color="000000"/>
                    <w:right w:val="single" w:sz="2" w:space="0" w:color="000000"/>
                  </w:tcBorders>
                </w:tcPr>
                <w:p w14:paraId="35C8C2F8" w14:textId="77777777" w:rsidR="00053D93" w:rsidRDefault="00260B75">
                  <w:pPr>
                    <w:ind w:left="17"/>
                    <w:jc w:val="center"/>
                  </w:pPr>
                  <w:r>
                    <w:rPr>
                      <w:sz w:val="18"/>
                    </w:rPr>
                    <w:t>001 F264D</w:t>
                  </w:r>
                </w:p>
              </w:tc>
              <w:tc>
                <w:tcPr>
                  <w:tcW w:w="2552" w:type="dxa"/>
                  <w:tcBorders>
                    <w:top w:val="single" w:sz="2" w:space="0" w:color="000000"/>
                    <w:left w:val="single" w:sz="2" w:space="0" w:color="000000"/>
                    <w:bottom w:val="single" w:sz="2" w:space="0" w:color="000000"/>
                    <w:right w:val="single" w:sz="2" w:space="0" w:color="000000"/>
                  </w:tcBorders>
                </w:tcPr>
                <w:p w14:paraId="71EC6820" w14:textId="77777777" w:rsidR="00053D93" w:rsidRDefault="00260B75">
                  <w:pPr>
                    <w:spacing w:line="233" w:lineRule="auto"/>
                    <w:ind w:left="82" w:right="79" w:firstLine="7"/>
                    <w:jc w:val="both"/>
                  </w:pPr>
                  <w:r>
                    <w:rPr>
                      <w:sz w:val="16"/>
                    </w:rPr>
                    <w:t>UPS marca Smart Tripp Lite, material pléstico negro; 120-6Hz12A ups 120V-60Hz. 750VA 45M. serie</w:t>
                  </w:r>
                </w:p>
                <w:p w14:paraId="15639122" w14:textId="77777777" w:rsidR="00053D93" w:rsidRDefault="00260B75">
                  <w:pPr>
                    <w:ind w:left="89"/>
                  </w:pPr>
                  <w:r>
                    <w:rPr>
                      <w:sz w:val="16"/>
                    </w:rPr>
                    <w:t>9329BYOSM480001E66</w:t>
                  </w:r>
                </w:p>
              </w:tc>
              <w:tc>
                <w:tcPr>
                  <w:tcW w:w="986" w:type="dxa"/>
                  <w:tcBorders>
                    <w:top w:val="single" w:sz="2" w:space="0" w:color="000000"/>
                    <w:left w:val="single" w:sz="2" w:space="0" w:color="000000"/>
                    <w:bottom w:val="single" w:sz="2" w:space="0" w:color="000000"/>
                    <w:right w:val="single" w:sz="2" w:space="0" w:color="000000"/>
                  </w:tcBorders>
                  <w:vAlign w:val="bottom"/>
                </w:tcPr>
                <w:p w14:paraId="27C3826C" w14:textId="77777777" w:rsidR="00053D93" w:rsidRDefault="00260B75">
                  <w:pPr>
                    <w:ind w:right="72"/>
                    <w:jc w:val="right"/>
                  </w:pPr>
                  <w:r>
                    <w:rPr>
                      <w:rFonts w:ascii="Times New Roman" w:eastAsia="Times New Roman" w:hAnsi="Times New Roman" w:cs="Times New Roman"/>
                      <w:sz w:val="16"/>
                    </w:rPr>
                    <w:t>985.00</w:t>
                  </w:r>
                </w:p>
              </w:tc>
            </w:tr>
            <w:tr w:rsidR="00053D93" w14:paraId="400E5C61" w14:textId="77777777">
              <w:trPr>
                <w:trHeight w:val="780"/>
              </w:trPr>
              <w:tc>
                <w:tcPr>
                  <w:tcW w:w="302" w:type="dxa"/>
                  <w:tcBorders>
                    <w:top w:val="single" w:sz="2" w:space="0" w:color="000000"/>
                    <w:left w:val="single" w:sz="2" w:space="0" w:color="000000"/>
                    <w:bottom w:val="single" w:sz="2" w:space="0" w:color="000000"/>
                    <w:right w:val="single" w:sz="2" w:space="0" w:color="000000"/>
                  </w:tcBorders>
                </w:tcPr>
                <w:p w14:paraId="4BE3E155" w14:textId="77777777" w:rsidR="00053D93" w:rsidRDefault="00260B75">
                  <w:pPr>
                    <w:ind w:left="28"/>
                  </w:pPr>
                  <w:r>
                    <w:rPr>
                      <w:rFonts w:ascii="Times New Roman" w:eastAsia="Times New Roman" w:hAnsi="Times New Roman" w:cs="Times New Roman"/>
                      <w:sz w:val="16"/>
                    </w:rPr>
                    <w:t>23</w:t>
                  </w:r>
                </w:p>
              </w:tc>
              <w:tc>
                <w:tcPr>
                  <w:tcW w:w="0" w:type="auto"/>
                  <w:vMerge/>
                  <w:tcBorders>
                    <w:top w:val="nil"/>
                    <w:left w:val="single" w:sz="2" w:space="0" w:color="000000"/>
                    <w:bottom w:val="single" w:sz="2" w:space="0" w:color="000000"/>
                    <w:right w:val="nil"/>
                  </w:tcBorders>
                </w:tcPr>
                <w:p w14:paraId="004851B3" w14:textId="77777777" w:rsidR="00053D93" w:rsidRDefault="00053D93"/>
              </w:tc>
              <w:tc>
                <w:tcPr>
                  <w:tcW w:w="0" w:type="auto"/>
                  <w:gridSpan w:val="2"/>
                  <w:vMerge/>
                  <w:tcBorders>
                    <w:top w:val="nil"/>
                    <w:left w:val="nil"/>
                    <w:bottom w:val="single" w:sz="2" w:space="0" w:color="000000"/>
                    <w:right w:val="single" w:sz="2" w:space="0" w:color="000000"/>
                  </w:tcBorders>
                </w:tcPr>
                <w:p w14:paraId="7172EF01"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6147F54B" w14:textId="77777777" w:rsidR="00053D93" w:rsidRDefault="00260B75">
                  <w:pPr>
                    <w:ind w:left="86"/>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209A371C" w14:textId="77777777" w:rsidR="00053D93" w:rsidRDefault="00053D93"/>
              </w:tc>
              <w:tc>
                <w:tcPr>
                  <w:tcW w:w="1617" w:type="dxa"/>
                  <w:tcBorders>
                    <w:top w:val="single" w:sz="2" w:space="0" w:color="000000"/>
                    <w:left w:val="single" w:sz="2" w:space="0" w:color="000000"/>
                    <w:bottom w:val="single" w:sz="2" w:space="0" w:color="000000"/>
                    <w:right w:val="single" w:sz="2" w:space="0" w:color="000000"/>
                  </w:tcBorders>
                </w:tcPr>
                <w:p w14:paraId="5740E01F" w14:textId="77777777" w:rsidR="00053D93" w:rsidRDefault="00260B75">
                  <w:pPr>
                    <w:ind w:left="10"/>
                    <w:jc w:val="center"/>
                  </w:pPr>
                  <w:r>
                    <w:rPr>
                      <w:sz w:val="16"/>
                    </w:rPr>
                    <w:t>001F2648</w:t>
                  </w:r>
                </w:p>
              </w:tc>
              <w:tc>
                <w:tcPr>
                  <w:tcW w:w="2552" w:type="dxa"/>
                  <w:tcBorders>
                    <w:top w:val="single" w:sz="2" w:space="0" w:color="000000"/>
                    <w:left w:val="single" w:sz="2" w:space="0" w:color="000000"/>
                    <w:bottom w:val="single" w:sz="2" w:space="0" w:color="000000"/>
                    <w:right w:val="single" w:sz="2" w:space="0" w:color="000000"/>
                  </w:tcBorders>
                </w:tcPr>
                <w:p w14:paraId="6EE2F2E1" w14:textId="77777777" w:rsidR="00053D93" w:rsidRDefault="00260B75">
                  <w:pPr>
                    <w:spacing w:line="249" w:lineRule="auto"/>
                    <w:ind w:left="82" w:right="72" w:firstLine="7"/>
                    <w:jc w:val="both"/>
                  </w:pPr>
                  <w:r>
                    <w:rPr>
                      <w:sz w:val="16"/>
                    </w:rPr>
                    <w:t>UPS marca Smart Tripp Lite, material plåstico negro, 120-6Hz12A ups 120V.60Hz. 750VA 450W, serie</w:t>
                  </w:r>
                </w:p>
                <w:p w14:paraId="138C97FA" w14:textId="77777777" w:rsidR="00053D93" w:rsidRDefault="00260B75">
                  <w:pPr>
                    <w:ind w:left="89"/>
                  </w:pPr>
                  <w:r>
                    <w:rPr>
                      <w:sz w:val="16"/>
                    </w:rPr>
                    <w:t>9329BYOSM480001668</w:t>
                  </w:r>
                </w:p>
              </w:tc>
              <w:tc>
                <w:tcPr>
                  <w:tcW w:w="986" w:type="dxa"/>
                  <w:tcBorders>
                    <w:top w:val="single" w:sz="2" w:space="0" w:color="000000"/>
                    <w:left w:val="single" w:sz="2" w:space="0" w:color="000000"/>
                    <w:bottom w:val="single" w:sz="2" w:space="0" w:color="000000"/>
                    <w:right w:val="single" w:sz="2" w:space="0" w:color="000000"/>
                  </w:tcBorders>
                  <w:vAlign w:val="bottom"/>
                </w:tcPr>
                <w:p w14:paraId="13AF1D93" w14:textId="77777777" w:rsidR="00053D93" w:rsidRDefault="00260B75">
                  <w:pPr>
                    <w:ind w:right="72"/>
                    <w:jc w:val="right"/>
                  </w:pPr>
                  <w:r>
                    <w:rPr>
                      <w:rFonts w:ascii="Times New Roman" w:eastAsia="Times New Roman" w:hAnsi="Times New Roman" w:cs="Times New Roman"/>
                      <w:sz w:val="16"/>
                    </w:rPr>
                    <w:t>985.00</w:t>
                  </w:r>
                </w:p>
              </w:tc>
            </w:tr>
            <w:tr w:rsidR="00053D93" w14:paraId="17595700" w14:textId="77777777">
              <w:trPr>
                <w:trHeight w:val="4486"/>
              </w:trPr>
              <w:tc>
                <w:tcPr>
                  <w:tcW w:w="302" w:type="dxa"/>
                  <w:tcBorders>
                    <w:top w:val="single" w:sz="2" w:space="0" w:color="000000"/>
                    <w:left w:val="single" w:sz="2" w:space="0" w:color="000000"/>
                    <w:bottom w:val="single" w:sz="2" w:space="0" w:color="000000"/>
                    <w:right w:val="single" w:sz="2" w:space="0" w:color="000000"/>
                  </w:tcBorders>
                </w:tcPr>
                <w:p w14:paraId="01FAD620" w14:textId="77777777" w:rsidR="00053D93" w:rsidRDefault="00260B75">
                  <w:pPr>
                    <w:ind w:left="28"/>
                  </w:pPr>
                  <w:r>
                    <w:rPr>
                      <w:rFonts w:ascii="Times New Roman" w:eastAsia="Times New Roman" w:hAnsi="Times New Roman" w:cs="Times New Roman"/>
                      <w:sz w:val="16"/>
                    </w:rPr>
                    <w:t>24</w:t>
                  </w:r>
                </w:p>
              </w:tc>
              <w:tc>
                <w:tcPr>
                  <w:tcW w:w="303" w:type="dxa"/>
                  <w:vMerge w:val="restart"/>
                  <w:tcBorders>
                    <w:top w:val="single" w:sz="2" w:space="0" w:color="000000"/>
                    <w:left w:val="single" w:sz="2" w:space="0" w:color="000000"/>
                    <w:bottom w:val="single" w:sz="2" w:space="0" w:color="000000"/>
                    <w:right w:val="nil"/>
                  </w:tcBorders>
                </w:tcPr>
                <w:p w14:paraId="0EF537C9" w14:textId="77777777" w:rsidR="00053D93" w:rsidRDefault="00053D93"/>
              </w:tc>
              <w:tc>
                <w:tcPr>
                  <w:tcW w:w="978" w:type="dxa"/>
                  <w:gridSpan w:val="2"/>
                  <w:vMerge w:val="restart"/>
                  <w:tcBorders>
                    <w:top w:val="single" w:sz="2" w:space="0" w:color="000000"/>
                    <w:left w:val="nil"/>
                    <w:bottom w:val="single" w:sz="2" w:space="0" w:color="000000"/>
                    <w:right w:val="single" w:sz="2" w:space="0" w:color="000000"/>
                  </w:tcBorders>
                </w:tcPr>
                <w:p w14:paraId="7069C94D" w14:textId="77777777" w:rsidR="00053D93" w:rsidRDefault="00260B75">
                  <w:pPr>
                    <w:ind w:left="100"/>
                  </w:pPr>
                  <w:r>
                    <w:rPr>
                      <w:rFonts w:ascii="Times New Roman" w:eastAsia="Times New Roman" w:hAnsi="Times New Roman" w:cs="Times New Roman"/>
                      <w:sz w:val="16"/>
                    </w:rPr>
                    <w:t>002867</w:t>
                  </w:r>
                </w:p>
              </w:tc>
              <w:tc>
                <w:tcPr>
                  <w:tcW w:w="864" w:type="dxa"/>
                  <w:tcBorders>
                    <w:top w:val="single" w:sz="2" w:space="0" w:color="000000"/>
                    <w:left w:val="single" w:sz="2" w:space="0" w:color="000000"/>
                    <w:bottom w:val="single" w:sz="2" w:space="0" w:color="000000"/>
                    <w:right w:val="single" w:sz="2" w:space="0" w:color="000000"/>
                  </w:tcBorders>
                </w:tcPr>
                <w:p w14:paraId="255C710E" w14:textId="77777777" w:rsidR="00053D93" w:rsidRDefault="00260B75">
                  <w:pPr>
                    <w:ind w:left="86"/>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6669F715" w14:textId="77777777" w:rsidR="00053D93" w:rsidRDefault="00260B75">
                  <w:pPr>
                    <w:ind w:left="22"/>
                    <w:jc w:val="center"/>
                  </w:pPr>
                  <w:r>
                    <w:rPr>
                      <w:rFonts w:ascii="Times New Roman" w:eastAsia="Times New Roman" w:hAnsi="Times New Roman" w:cs="Times New Roman"/>
                      <w:sz w:val="16"/>
                    </w:rPr>
                    <w:t>50</w:t>
                  </w:r>
                </w:p>
              </w:tc>
              <w:tc>
                <w:tcPr>
                  <w:tcW w:w="1617" w:type="dxa"/>
                  <w:tcBorders>
                    <w:top w:val="single" w:sz="2" w:space="0" w:color="000000"/>
                    <w:left w:val="single" w:sz="2" w:space="0" w:color="000000"/>
                    <w:bottom w:val="single" w:sz="2" w:space="0" w:color="000000"/>
                    <w:right w:val="single" w:sz="2" w:space="0" w:color="000000"/>
                  </w:tcBorders>
                </w:tcPr>
                <w:p w14:paraId="0A38C809" w14:textId="77777777" w:rsidR="00053D93" w:rsidRDefault="00260B75">
                  <w:pPr>
                    <w:spacing w:line="239" w:lineRule="auto"/>
                    <w:jc w:val="center"/>
                  </w:pPr>
                  <w:r>
                    <w:rPr>
                      <w:sz w:val="16"/>
                    </w:rPr>
                    <w:t>001 DD35D; 001 DD35E; 001 DD35F: 001 DD360:</w:t>
                  </w:r>
                </w:p>
                <w:p w14:paraId="3F5EA7DC" w14:textId="77777777" w:rsidR="00053D93" w:rsidRDefault="00260B75">
                  <w:pPr>
                    <w:ind w:left="122"/>
                  </w:pPr>
                  <w:r>
                    <w:rPr>
                      <w:sz w:val="16"/>
                    </w:rPr>
                    <w:t>001 DD361; 00100362;</w:t>
                  </w:r>
                </w:p>
                <w:p w14:paraId="2D5A6B4E" w14:textId="77777777" w:rsidR="00053D93" w:rsidRDefault="00260B75">
                  <w:pPr>
                    <w:spacing w:after="12" w:line="233" w:lineRule="auto"/>
                    <w:ind w:left="122" w:right="105"/>
                    <w:jc w:val="right"/>
                  </w:pPr>
                  <w:r>
                    <w:rPr>
                      <w:sz w:val="16"/>
                    </w:rPr>
                    <w:t>001 DD363; OOIDD364; DD365; 00100366; 001 DD367; COIOD368:</w:t>
                  </w:r>
                </w:p>
                <w:p w14:paraId="00D354A6" w14:textId="77777777" w:rsidR="00053D93" w:rsidRDefault="00260B75">
                  <w:pPr>
                    <w:tabs>
                      <w:tab w:val="right" w:pos="1617"/>
                    </w:tabs>
                  </w:pPr>
                  <w:r>
                    <w:rPr>
                      <w:sz w:val="14"/>
                    </w:rPr>
                    <w:t xml:space="preserve">001 </w:t>
                  </w:r>
                  <w:r>
                    <w:rPr>
                      <w:sz w:val="14"/>
                    </w:rPr>
                    <w:tab/>
                    <w:t>001 DD36A;</w:t>
                  </w:r>
                </w:p>
                <w:p w14:paraId="46631874" w14:textId="77777777" w:rsidR="00053D93" w:rsidRDefault="00260B75">
                  <w:pPr>
                    <w:spacing w:after="2" w:line="252" w:lineRule="auto"/>
                    <w:ind w:left="116" w:right="84" w:hanging="22"/>
                    <w:jc w:val="both"/>
                  </w:pPr>
                  <w:r>
                    <w:rPr>
                      <w:sz w:val="16"/>
                    </w:rPr>
                    <w:t xml:space="preserve">COIDD36C; OOIDD36D; 001 DD36E: 001 DD36F; OOI DD370; </w:t>
                  </w:r>
                  <w:r>
                    <w:rPr>
                      <w:noProof/>
                    </w:rPr>
                    <w:drawing>
                      <wp:inline distT="0" distB="0" distL="0" distR="0" wp14:anchorId="228CDF80" wp14:editId="1166E6C7">
                        <wp:extent cx="425197" cy="77724"/>
                        <wp:effectExtent l="0" t="0" r="0" b="0"/>
                        <wp:docPr id="749203" name="Picture 749203"/>
                        <wp:cNvGraphicFramePr/>
                        <a:graphic xmlns:a="http://schemas.openxmlformats.org/drawingml/2006/main">
                          <a:graphicData uri="http://schemas.openxmlformats.org/drawingml/2006/picture">
                            <pic:pic xmlns:pic="http://schemas.openxmlformats.org/drawingml/2006/picture">
                              <pic:nvPicPr>
                                <pic:cNvPr id="749203" name="Picture 749203"/>
                                <pic:cNvPicPr/>
                              </pic:nvPicPr>
                              <pic:blipFill>
                                <a:blip r:embed="rId1069"/>
                                <a:stretch>
                                  <a:fillRect/>
                                </a:stretch>
                              </pic:blipFill>
                              <pic:spPr>
                                <a:xfrm>
                                  <a:off x="0" y="0"/>
                                  <a:ext cx="425197" cy="77724"/>
                                </a:xfrm>
                                <a:prstGeom prst="rect">
                                  <a:avLst/>
                                </a:prstGeom>
                              </pic:spPr>
                            </pic:pic>
                          </a:graphicData>
                        </a:graphic>
                      </wp:inline>
                    </w:drawing>
                  </w:r>
                </w:p>
                <w:p w14:paraId="62AE042A" w14:textId="77777777" w:rsidR="00053D93" w:rsidRDefault="00260B75">
                  <w:pPr>
                    <w:spacing w:line="235" w:lineRule="auto"/>
                    <w:ind w:left="122" w:right="105"/>
                    <w:jc w:val="both"/>
                  </w:pPr>
                  <w:r>
                    <w:rPr>
                      <w:sz w:val="16"/>
                    </w:rPr>
                    <w:t>001 DD372; 001 DD373; 001 DD374; 001 DD375; OOIDD376; OOIDD377:</w:t>
                  </w:r>
                </w:p>
                <w:p w14:paraId="48E2A563" w14:textId="77777777" w:rsidR="00053D93" w:rsidRDefault="00260B75">
                  <w:pPr>
                    <w:ind w:left="122"/>
                  </w:pPr>
                  <w:r>
                    <w:rPr>
                      <w:sz w:val="16"/>
                    </w:rPr>
                    <w:t>001DD378; OOIDD379;</w:t>
                  </w:r>
                </w:p>
                <w:p w14:paraId="39EF908C" w14:textId="77777777" w:rsidR="00053D93" w:rsidRDefault="00260B75">
                  <w:pPr>
                    <w:ind w:left="115"/>
                  </w:pPr>
                  <w:r>
                    <w:rPr>
                      <w:sz w:val="16"/>
                    </w:rPr>
                    <w:t>001 DD37A: 001 DD37B:</w:t>
                  </w:r>
                </w:p>
                <w:p w14:paraId="36890C93" w14:textId="77777777" w:rsidR="00053D93" w:rsidRDefault="00260B75">
                  <w:pPr>
                    <w:ind w:left="101"/>
                  </w:pPr>
                  <w:r>
                    <w:rPr>
                      <w:sz w:val="16"/>
                    </w:rPr>
                    <w:t>001DD37C; OOIDD37D;</w:t>
                  </w:r>
                </w:p>
                <w:p w14:paraId="42B42258" w14:textId="77777777" w:rsidR="00053D93" w:rsidRDefault="00260B75">
                  <w:pPr>
                    <w:spacing w:line="238" w:lineRule="auto"/>
                    <w:ind w:left="122" w:right="98" w:hanging="7"/>
                    <w:jc w:val="both"/>
                  </w:pPr>
                  <w:r>
                    <w:rPr>
                      <w:sz w:val="16"/>
                    </w:rPr>
                    <w:t xml:space="preserve">001 DD37E; 001 DD37F; OOIDD380; OOIDD381: </w:t>
                  </w:r>
                  <w:r>
                    <w:rPr>
                      <w:rFonts w:ascii="Times New Roman" w:eastAsia="Times New Roman" w:hAnsi="Times New Roman" w:cs="Times New Roman"/>
                      <w:sz w:val="16"/>
                    </w:rPr>
                    <w:t>001 00100383:</w:t>
                  </w:r>
                </w:p>
                <w:p w14:paraId="139653A0" w14:textId="77777777" w:rsidR="00053D93" w:rsidRDefault="00260B75">
                  <w:pPr>
                    <w:spacing w:after="10"/>
                    <w:ind w:left="130"/>
                  </w:pPr>
                  <w:r>
                    <w:rPr>
                      <w:sz w:val="16"/>
                    </w:rPr>
                    <w:t>001 DD384; 001 DD385;</w:t>
                  </w:r>
                </w:p>
                <w:p w14:paraId="0912E9CF" w14:textId="77777777" w:rsidR="00053D93" w:rsidRDefault="00260B75">
                  <w:pPr>
                    <w:tabs>
                      <w:tab w:val="center" w:pos="468"/>
                      <w:tab w:val="right" w:pos="1617"/>
                    </w:tabs>
                  </w:pPr>
                  <w:r>
                    <w:rPr>
                      <w:sz w:val="16"/>
                    </w:rPr>
                    <w:tab/>
                    <w:t xml:space="preserve">OOIDD387; </w:t>
                  </w:r>
                  <w:r>
                    <w:rPr>
                      <w:sz w:val="16"/>
                    </w:rPr>
                    <w:tab/>
                    <w:t>DD388;</w:t>
                  </w:r>
                </w:p>
                <w:p w14:paraId="35A06505" w14:textId="77777777" w:rsidR="00053D93" w:rsidRDefault="00260B75">
                  <w:pPr>
                    <w:spacing w:line="233" w:lineRule="auto"/>
                    <w:jc w:val="center"/>
                  </w:pPr>
                  <w:r>
                    <w:rPr>
                      <w:sz w:val="16"/>
                    </w:rPr>
                    <w:t>OOIDD389; OOIDD38A; OOIDD38B; OOIDD38C;</w:t>
                  </w:r>
                </w:p>
                <w:p w14:paraId="65503AD8" w14:textId="77777777" w:rsidR="00053D93" w:rsidRDefault="00260B75">
                  <w:pPr>
                    <w:ind w:left="108"/>
                  </w:pPr>
                  <w:r>
                    <w:rPr>
                      <w:sz w:val="16"/>
                    </w:rPr>
                    <w:t>001 DD38D; 0010D38E;</w:t>
                  </w:r>
                </w:p>
                <w:p w14:paraId="51EE5BFD" w14:textId="77777777" w:rsidR="00053D93" w:rsidRDefault="00260B75">
                  <w:pPr>
                    <w:ind w:left="144"/>
                  </w:pPr>
                  <w:r>
                    <w:rPr>
                      <w:sz w:val="16"/>
                    </w:rPr>
                    <w:t>001 DD38F; OOIDD390</w:t>
                  </w:r>
                </w:p>
              </w:tc>
              <w:tc>
                <w:tcPr>
                  <w:tcW w:w="2552" w:type="dxa"/>
                  <w:tcBorders>
                    <w:top w:val="single" w:sz="2" w:space="0" w:color="000000"/>
                    <w:left w:val="single" w:sz="2" w:space="0" w:color="000000"/>
                    <w:bottom w:val="single" w:sz="2" w:space="0" w:color="000000"/>
                    <w:right w:val="single" w:sz="2" w:space="0" w:color="000000"/>
                  </w:tcBorders>
                </w:tcPr>
                <w:p w14:paraId="404BEBDA" w14:textId="77777777" w:rsidR="00053D93" w:rsidRDefault="00260B75">
                  <w:pPr>
                    <w:ind w:left="89"/>
                    <w:jc w:val="both"/>
                  </w:pPr>
                  <w:r>
                    <w:rPr>
                      <w:sz w:val="18"/>
                    </w:rPr>
                    <w:t>Pupitre Para Adulto valor Q. 175.00 Cada uno.</w:t>
                  </w:r>
                </w:p>
              </w:tc>
              <w:tc>
                <w:tcPr>
                  <w:tcW w:w="986" w:type="dxa"/>
                  <w:tcBorders>
                    <w:top w:val="single" w:sz="2" w:space="0" w:color="000000"/>
                    <w:left w:val="single" w:sz="2" w:space="0" w:color="000000"/>
                    <w:bottom w:val="single" w:sz="2" w:space="0" w:color="000000"/>
                    <w:right w:val="single" w:sz="2" w:space="0" w:color="000000"/>
                  </w:tcBorders>
                  <w:vAlign w:val="bottom"/>
                </w:tcPr>
                <w:p w14:paraId="3BA3D619" w14:textId="77777777" w:rsidR="00053D93" w:rsidRDefault="00260B75">
                  <w:pPr>
                    <w:ind w:right="50"/>
                    <w:jc w:val="right"/>
                  </w:pPr>
                  <w:r>
                    <w:rPr>
                      <w:rFonts w:ascii="Times New Roman" w:eastAsia="Times New Roman" w:hAnsi="Times New Roman" w:cs="Times New Roman"/>
                      <w:sz w:val="16"/>
                    </w:rPr>
                    <w:t>8,750.00</w:t>
                  </w:r>
                </w:p>
              </w:tc>
            </w:tr>
            <w:tr w:rsidR="00053D93" w14:paraId="3D59B263" w14:textId="77777777">
              <w:trPr>
                <w:trHeight w:val="194"/>
              </w:trPr>
              <w:tc>
                <w:tcPr>
                  <w:tcW w:w="302" w:type="dxa"/>
                  <w:vMerge w:val="restart"/>
                  <w:tcBorders>
                    <w:top w:val="single" w:sz="2" w:space="0" w:color="000000"/>
                    <w:left w:val="single" w:sz="2" w:space="0" w:color="000000"/>
                    <w:bottom w:val="nil"/>
                    <w:right w:val="single" w:sz="2" w:space="0" w:color="000000"/>
                  </w:tcBorders>
                </w:tcPr>
                <w:p w14:paraId="596B4D47" w14:textId="77777777" w:rsidR="00053D93" w:rsidRDefault="00260B75">
                  <w:pPr>
                    <w:ind w:left="35"/>
                  </w:pPr>
                  <w:r>
                    <w:rPr>
                      <w:noProof/>
                    </w:rPr>
                    <w:drawing>
                      <wp:inline distT="0" distB="0" distL="0" distR="0" wp14:anchorId="33B01964" wp14:editId="05CAD48B">
                        <wp:extent cx="169164" cy="406909"/>
                        <wp:effectExtent l="0" t="0" r="0" b="0"/>
                        <wp:docPr id="749042" name="Picture 749042"/>
                        <wp:cNvGraphicFramePr/>
                        <a:graphic xmlns:a="http://schemas.openxmlformats.org/drawingml/2006/main">
                          <a:graphicData uri="http://schemas.openxmlformats.org/drawingml/2006/picture">
                            <pic:pic xmlns:pic="http://schemas.openxmlformats.org/drawingml/2006/picture">
                              <pic:nvPicPr>
                                <pic:cNvPr id="749042" name="Picture 749042"/>
                                <pic:cNvPicPr/>
                              </pic:nvPicPr>
                              <pic:blipFill>
                                <a:blip r:embed="rId1070"/>
                                <a:stretch>
                                  <a:fillRect/>
                                </a:stretch>
                              </pic:blipFill>
                              <pic:spPr>
                                <a:xfrm>
                                  <a:off x="0" y="0"/>
                                  <a:ext cx="169164" cy="406909"/>
                                </a:xfrm>
                                <a:prstGeom prst="rect">
                                  <a:avLst/>
                                </a:prstGeom>
                              </pic:spPr>
                            </pic:pic>
                          </a:graphicData>
                        </a:graphic>
                      </wp:inline>
                    </w:drawing>
                  </w:r>
                </w:p>
              </w:tc>
              <w:tc>
                <w:tcPr>
                  <w:tcW w:w="0" w:type="auto"/>
                  <w:vMerge/>
                  <w:tcBorders>
                    <w:top w:val="nil"/>
                    <w:left w:val="single" w:sz="2" w:space="0" w:color="000000"/>
                    <w:bottom w:val="single" w:sz="2" w:space="0" w:color="000000"/>
                    <w:right w:val="nil"/>
                  </w:tcBorders>
                </w:tcPr>
                <w:p w14:paraId="04807211" w14:textId="77777777" w:rsidR="00053D93" w:rsidRDefault="00053D93"/>
              </w:tc>
              <w:tc>
                <w:tcPr>
                  <w:tcW w:w="0" w:type="auto"/>
                  <w:gridSpan w:val="2"/>
                  <w:vMerge/>
                  <w:tcBorders>
                    <w:top w:val="nil"/>
                    <w:left w:val="nil"/>
                    <w:bottom w:val="single" w:sz="2" w:space="0" w:color="000000"/>
                    <w:right w:val="single" w:sz="2" w:space="0" w:color="000000"/>
                  </w:tcBorders>
                </w:tcPr>
                <w:p w14:paraId="4EA49E69"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1C5E10BE" w14:textId="77777777" w:rsidR="00053D93" w:rsidRDefault="00053D93"/>
              </w:tc>
              <w:tc>
                <w:tcPr>
                  <w:tcW w:w="770" w:type="dxa"/>
                  <w:tcBorders>
                    <w:top w:val="single" w:sz="2" w:space="0" w:color="000000"/>
                    <w:left w:val="single" w:sz="2" w:space="0" w:color="000000"/>
                    <w:bottom w:val="single" w:sz="2" w:space="0" w:color="000000"/>
                    <w:right w:val="single" w:sz="2" w:space="0" w:color="000000"/>
                  </w:tcBorders>
                </w:tcPr>
                <w:p w14:paraId="5FB50065" w14:textId="77777777" w:rsidR="00053D93" w:rsidRDefault="00053D93"/>
              </w:tc>
              <w:tc>
                <w:tcPr>
                  <w:tcW w:w="1617" w:type="dxa"/>
                  <w:tcBorders>
                    <w:top w:val="single" w:sz="2" w:space="0" w:color="000000"/>
                    <w:left w:val="single" w:sz="2" w:space="0" w:color="000000"/>
                    <w:bottom w:val="single" w:sz="2" w:space="0" w:color="000000"/>
                    <w:right w:val="single" w:sz="2" w:space="0" w:color="000000"/>
                  </w:tcBorders>
                </w:tcPr>
                <w:p w14:paraId="3DDD0573" w14:textId="77777777" w:rsidR="00053D93" w:rsidRDefault="00053D93"/>
              </w:tc>
              <w:tc>
                <w:tcPr>
                  <w:tcW w:w="2552" w:type="dxa"/>
                  <w:tcBorders>
                    <w:top w:val="single" w:sz="2" w:space="0" w:color="000000"/>
                    <w:left w:val="single" w:sz="2" w:space="0" w:color="000000"/>
                    <w:bottom w:val="single" w:sz="2" w:space="0" w:color="000000"/>
                    <w:right w:val="single" w:sz="2" w:space="0" w:color="000000"/>
                  </w:tcBorders>
                </w:tcPr>
                <w:p w14:paraId="6326CFB0" w14:textId="77777777" w:rsidR="00053D93" w:rsidRDefault="00053D93"/>
              </w:tc>
              <w:tc>
                <w:tcPr>
                  <w:tcW w:w="986" w:type="dxa"/>
                  <w:tcBorders>
                    <w:top w:val="single" w:sz="2" w:space="0" w:color="000000"/>
                    <w:left w:val="single" w:sz="2" w:space="0" w:color="000000"/>
                    <w:bottom w:val="single" w:sz="2" w:space="0" w:color="000000"/>
                    <w:right w:val="single" w:sz="2" w:space="0" w:color="000000"/>
                  </w:tcBorders>
                </w:tcPr>
                <w:p w14:paraId="62FA74A4" w14:textId="77777777" w:rsidR="00053D93" w:rsidRDefault="00053D93"/>
              </w:tc>
            </w:tr>
            <w:tr w:rsidR="00053D93" w14:paraId="619A5659" w14:textId="77777777">
              <w:trPr>
                <w:trHeight w:val="612"/>
              </w:trPr>
              <w:tc>
                <w:tcPr>
                  <w:tcW w:w="0" w:type="auto"/>
                  <w:vMerge/>
                  <w:tcBorders>
                    <w:top w:val="nil"/>
                    <w:left w:val="single" w:sz="2" w:space="0" w:color="000000"/>
                    <w:bottom w:val="nil"/>
                    <w:right w:val="single" w:sz="2" w:space="0" w:color="000000"/>
                  </w:tcBorders>
                </w:tcPr>
                <w:p w14:paraId="351D4EA4" w14:textId="77777777" w:rsidR="00053D93" w:rsidRDefault="00053D93"/>
              </w:tc>
              <w:tc>
                <w:tcPr>
                  <w:tcW w:w="303" w:type="dxa"/>
                  <w:tcBorders>
                    <w:top w:val="single" w:sz="2" w:space="0" w:color="000000"/>
                    <w:left w:val="single" w:sz="2" w:space="0" w:color="000000"/>
                    <w:bottom w:val="nil"/>
                    <w:right w:val="single" w:sz="2" w:space="0" w:color="000000"/>
                  </w:tcBorders>
                </w:tcPr>
                <w:p w14:paraId="405EB8C7" w14:textId="77777777" w:rsidR="00053D93" w:rsidRDefault="00260B75">
                  <w:r>
                    <w:rPr>
                      <w:noProof/>
                    </w:rPr>
                    <w:drawing>
                      <wp:inline distT="0" distB="0" distL="0" distR="0" wp14:anchorId="51488959" wp14:editId="66CA05A7">
                        <wp:extent cx="178308" cy="388620"/>
                        <wp:effectExtent l="0" t="0" r="0" b="0"/>
                        <wp:docPr id="749031" name="Picture 749031"/>
                        <wp:cNvGraphicFramePr/>
                        <a:graphic xmlns:a="http://schemas.openxmlformats.org/drawingml/2006/main">
                          <a:graphicData uri="http://schemas.openxmlformats.org/drawingml/2006/picture">
                            <pic:pic xmlns:pic="http://schemas.openxmlformats.org/drawingml/2006/picture">
                              <pic:nvPicPr>
                                <pic:cNvPr id="749031" name="Picture 749031"/>
                                <pic:cNvPicPr/>
                              </pic:nvPicPr>
                              <pic:blipFill>
                                <a:blip r:embed="rId1071"/>
                                <a:stretch>
                                  <a:fillRect/>
                                </a:stretch>
                              </pic:blipFill>
                              <pic:spPr>
                                <a:xfrm>
                                  <a:off x="0" y="0"/>
                                  <a:ext cx="178308" cy="388620"/>
                                </a:xfrm>
                                <a:prstGeom prst="rect">
                                  <a:avLst/>
                                </a:prstGeom>
                              </pic:spPr>
                            </pic:pic>
                          </a:graphicData>
                        </a:graphic>
                      </wp:inline>
                    </w:drawing>
                  </w:r>
                </w:p>
              </w:tc>
              <w:tc>
                <w:tcPr>
                  <w:tcW w:w="179" w:type="dxa"/>
                  <w:tcBorders>
                    <w:top w:val="nil"/>
                    <w:left w:val="single" w:sz="2" w:space="0" w:color="000000"/>
                    <w:bottom w:val="nil"/>
                    <w:right w:val="single" w:sz="2" w:space="0" w:color="000000"/>
                  </w:tcBorders>
                </w:tcPr>
                <w:p w14:paraId="0CE383E9" w14:textId="77777777" w:rsidR="00053D93" w:rsidRDefault="00053D93"/>
              </w:tc>
              <w:tc>
                <w:tcPr>
                  <w:tcW w:w="7589" w:type="dxa"/>
                  <w:gridSpan w:val="6"/>
                  <w:tcBorders>
                    <w:top w:val="single" w:sz="2" w:space="0" w:color="000000"/>
                    <w:left w:val="single" w:sz="2" w:space="0" w:color="000000"/>
                    <w:bottom w:val="nil"/>
                    <w:right w:val="nil"/>
                  </w:tcBorders>
                </w:tcPr>
                <w:p w14:paraId="0F483E6A" w14:textId="77777777" w:rsidR="00053D93" w:rsidRDefault="00260B75">
                  <w:pPr>
                    <w:ind w:left="2570"/>
                  </w:pPr>
                  <w:r>
                    <w:rPr>
                      <w:sz w:val="14"/>
                    </w:rPr>
                    <w:t>MINISTERIO DE EDUCACION</w:t>
                  </w:r>
                </w:p>
                <w:p w14:paraId="618F27E5" w14:textId="77777777" w:rsidR="00053D93" w:rsidRDefault="00260B75">
                  <w:pPr>
                    <w:ind w:left="2074"/>
                  </w:pPr>
                  <w:r>
                    <w:rPr>
                      <w:sz w:val="14"/>
                    </w:rPr>
                    <w:t>AUDITORIA FINANCIERA Y DE CUMPLIMIENTO</w:t>
                  </w:r>
                </w:p>
                <w:p w14:paraId="4BFA6FA8" w14:textId="77777777" w:rsidR="00053D93" w:rsidRDefault="00260B75">
                  <w:pPr>
                    <w:ind w:left="1735"/>
                  </w:pPr>
                  <w:r>
                    <w:rPr>
                      <w:sz w:val="14"/>
                    </w:rPr>
                    <w:t>PERIODO DEL 01 DE ENERO AL 31 OE DICIEMBRE DE 2024</w:t>
                  </w:r>
                </w:p>
              </w:tc>
            </w:tr>
          </w:tbl>
          <w:p w14:paraId="78EF77C2" w14:textId="77777777" w:rsidR="00053D93" w:rsidRDefault="00053D93"/>
        </w:tc>
      </w:tr>
    </w:tbl>
    <w:p w14:paraId="40317B93" w14:textId="77777777" w:rsidR="00053D93" w:rsidRDefault="00053D93">
      <w:pPr>
        <w:spacing w:after="0"/>
        <w:ind w:left="-1102" w:right="9353"/>
      </w:pPr>
    </w:p>
    <w:tbl>
      <w:tblPr>
        <w:tblStyle w:val="TableGrid"/>
        <w:tblW w:w="9415" w:type="dxa"/>
        <w:tblInd w:w="-14" w:type="dxa"/>
        <w:tblLook w:val="04A0" w:firstRow="1" w:lastRow="0" w:firstColumn="1" w:lastColumn="0" w:noHBand="0" w:noVBand="1"/>
      </w:tblPr>
      <w:tblGrid>
        <w:gridCol w:w="1008"/>
        <w:gridCol w:w="10503"/>
      </w:tblGrid>
      <w:tr w:rsidR="00053D93" w14:paraId="30BBC9F7" w14:textId="77777777">
        <w:trPr>
          <w:trHeight w:val="13910"/>
        </w:trPr>
        <w:tc>
          <w:tcPr>
            <w:tcW w:w="1017" w:type="dxa"/>
            <w:tcBorders>
              <w:top w:val="nil"/>
              <w:left w:val="nil"/>
              <w:bottom w:val="nil"/>
              <w:right w:val="nil"/>
            </w:tcBorders>
            <w:vAlign w:val="bottom"/>
          </w:tcPr>
          <w:p w14:paraId="455E9C28" w14:textId="77777777" w:rsidR="00053D93" w:rsidRDefault="00260B75">
            <w:r>
              <w:rPr>
                <w:noProof/>
              </w:rPr>
              <w:drawing>
                <wp:inline distT="0" distB="0" distL="0" distR="0" wp14:anchorId="6F47CE34" wp14:editId="30BE885E">
                  <wp:extent cx="640080" cy="411480"/>
                  <wp:effectExtent l="0" t="0" r="0" b="0"/>
                  <wp:docPr id="2458580" name="Picture 2458580"/>
                  <wp:cNvGraphicFramePr/>
                  <a:graphic xmlns:a="http://schemas.openxmlformats.org/drawingml/2006/main">
                    <a:graphicData uri="http://schemas.openxmlformats.org/drawingml/2006/picture">
                      <pic:pic xmlns:pic="http://schemas.openxmlformats.org/drawingml/2006/picture">
                        <pic:nvPicPr>
                          <pic:cNvPr id="2458580" name="Picture 2458580"/>
                          <pic:cNvPicPr/>
                        </pic:nvPicPr>
                        <pic:blipFill>
                          <a:blip r:embed="rId1072"/>
                          <a:stretch>
                            <a:fillRect/>
                          </a:stretch>
                        </pic:blipFill>
                        <pic:spPr>
                          <a:xfrm>
                            <a:off x="0" y="0"/>
                            <a:ext cx="640080" cy="411480"/>
                          </a:xfrm>
                          <a:prstGeom prst="rect">
                            <a:avLst/>
                          </a:prstGeom>
                        </pic:spPr>
                      </pic:pic>
                    </a:graphicData>
                  </a:graphic>
                </wp:inline>
              </w:drawing>
            </w:r>
          </w:p>
        </w:tc>
        <w:tc>
          <w:tcPr>
            <w:tcW w:w="8397" w:type="dxa"/>
            <w:tcBorders>
              <w:top w:val="nil"/>
              <w:left w:val="nil"/>
              <w:bottom w:val="nil"/>
              <w:right w:val="nil"/>
            </w:tcBorders>
          </w:tcPr>
          <w:p w14:paraId="599977A2" w14:textId="77777777" w:rsidR="00053D93" w:rsidRDefault="00053D93">
            <w:pPr>
              <w:ind w:left="-2105" w:right="10502"/>
            </w:pPr>
          </w:p>
          <w:tbl>
            <w:tblPr>
              <w:tblStyle w:val="TableGrid"/>
              <w:tblW w:w="8388" w:type="dxa"/>
              <w:tblInd w:w="9" w:type="dxa"/>
              <w:tblCellMar>
                <w:top w:w="28" w:type="dxa"/>
              </w:tblCellMar>
              <w:tblLook w:val="04A0" w:firstRow="1" w:lastRow="0" w:firstColumn="1" w:lastColumn="0" w:noHBand="0" w:noVBand="1"/>
            </w:tblPr>
            <w:tblGrid>
              <w:gridCol w:w="332"/>
              <w:gridCol w:w="285"/>
              <w:gridCol w:w="174"/>
              <w:gridCol w:w="748"/>
              <w:gridCol w:w="869"/>
              <w:gridCol w:w="676"/>
              <w:gridCol w:w="1557"/>
              <w:gridCol w:w="1176"/>
              <w:gridCol w:w="832"/>
              <w:gridCol w:w="746"/>
              <w:gridCol w:w="993"/>
            </w:tblGrid>
            <w:tr w:rsidR="00053D93" w14:paraId="199F54C2" w14:textId="77777777">
              <w:trPr>
                <w:trHeight w:val="803"/>
              </w:trPr>
              <w:tc>
                <w:tcPr>
                  <w:tcW w:w="324" w:type="dxa"/>
                  <w:tcBorders>
                    <w:top w:val="single" w:sz="2" w:space="0" w:color="000000"/>
                    <w:left w:val="single" w:sz="2" w:space="0" w:color="000000"/>
                    <w:bottom w:val="single" w:sz="2" w:space="0" w:color="000000"/>
                    <w:right w:val="single" w:sz="2" w:space="0" w:color="000000"/>
                  </w:tcBorders>
                </w:tcPr>
                <w:p w14:paraId="6F8F582B" w14:textId="77777777" w:rsidR="00053D93" w:rsidRDefault="00260B75">
                  <w:pPr>
                    <w:ind w:left="17"/>
                  </w:pPr>
                  <w:r>
                    <w:rPr>
                      <w:rFonts w:ascii="Times New Roman" w:eastAsia="Times New Roman" w:hAnsi="Times New Roman" w:cs="Times New Roman"/>
                      <w:sz w:val="16"/>
                    </w:rPr>
                    <w:t>25</w:t>
                  </w:r>
                </w:p>
              </w:tc>
              <w:tc>
                <w:tcPr>
                  <w:tcW w:w="287" w:type="dxa"/>
                  <w:vMerge w:val="restart"/>
                  <w:tcBorders>
                    <w:top w:val="single" w:sz="2" w:space="0" w:color="000000"/>
                    <w:left w:val="single" w:sz="2" w:space="0" w:color="000000"/>
                    <w:bottom w:val="single" w:sz="2" w:space="0" w:color="000000"/>
                    <w:right w:val="nil"/>
                  </w:tcBorders>
                </w:tcPr>
                <w:p w14:paraId="69364D0C" w14:textId="77777777" w:rsidR="00053D93" w:rsidRDefault="00053D93"/>
              </w:tc>
              <w:tc>
                <w:tcPr>
                  <w:tcW w:w="980" w:type="dxa"/>
                  <w:gridSpan w:val="2"/>
                  <w:vMerge w:val="restart"/>
                  <w:tcBorders>
                    <w:top w:val="single" w:sz="2" w:space="0" w:color="000000"/>
                    <w:left w:val="nil"/>
                    <w:bottom w:val="single" w:sz="2" w:space="0" w:color="000000"/>
                    <w:right w:val="single" w:sz="2" w:space="0" w:color="000000"/>
                  </w:tcBorders>
                </w:tcPr>
                <w:p w14:paraId="6336C70F"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477F7466" w14:textId="77777777" w:rsidR="00053D93" w:rsidRDefault="00260B75">
                  <w:pPr>
                    <w:ind w:left="67"/>
                  </w:pPr>
                  <w:r>
                    <w:rPr>
                      <w:rFonts w:ascii="Times New Roman" w:eastAsia="Times New Roman" w:hAnsi="Times New Roman" w:cs="Times New Roman"/>
                      <w:sz w:val="16"/>
                    </w:rPr>
                    <w:t>03112/2012</w:t>
                  </w:r>
                </w:p>
              </w:tc>
              <w:tc>
                <w:tcPr>
                  <w:tcW w:w="763" w:type="dxa"/>
                  <w:tcBorders>
                    <w:top w:val="single" w:sz="2" w:space="0" w:color="000000"/>
                    <w:left w:val="single" w:sz="2" w:space="0" w:color="000000"/>
                    <w:bottom w:val="single" w:sz="2" w:space="0" w:color="000000"/>
                    <w:right w:val="single" w:sz="2" w:space="0" w:color="000000"/>
                  </w:tcBorders>
                </w:tcPr>
                <w:p w14:paraId="7FA140BF" w14:textId="77777777" w:rsidR="00053D93" w:rsidRDefault="00053D93"/>
              </w:tc>
              <w:tc>
                <w:tcPr>
                  <w:tcW w:w="1620" w:type="dxa"/>
                  <w:tcBorders>
                    <w:top w:val="single" w:sz="2" w:space="0" w:color="000000"/>
                    <w:left w:val="single" w:sz="2" w:space="0" w:color="000000"/>
                    <w:bottom w:val="single" w:sz="2" w:space="0" w:color="000000"/>
                    <w:right w:val="single" w:sz="2" w:space="0" w:color="000000"/>
                  </w:tcBorders>
                </w:tcPr>
                <w:p w14:paraId="683DDB77" w14:textId="77777777" w:rsidR="00053D93" w:rsidRDefault="00260B75">
                  <w:pPr>
                    <w:ind w:right="16"/>
                    <w:jc w:val="center"/>
                  </w:pPr>
                  <w:r>
                    <w:rPr>
                      <w:sz w:val="16"/>
                    </w:rPr>
                    <w:t>001F614A</w:t>
                  </w:r>
                </w:p>
              </w:tc>
              <w:tc>
                <w:tcPr>
                  <w:tcW w:w="2542" w:type="dxa"/>
                  <w:gridSpan w:val="3"/>
                  <w:tcBorders>
                    <w:top w:val="single" w:sz="2" w:space="0" w:color="000000"/>
                    <w:left w:val="single" w:sz="2" w:space="0" w:color="000000"/>
                    <w:bottom w:val="single" w:sz="2" w:space="0" w:color="000000"/>
                    <w:right w:val="single" w:sz="2" w:space="0" w:color="000000"/>
                  </w:tcBorders>
                </w:tcPr>
                <w:p w14:paraId="28195CA4" w14:textId="77777777" w:rsidR="00053D93" w:rsidRDefault="00260B75">
                  <w:pPr>
                    <w:spacing w:line="257" w:lineRule="auto"/>
                    <w:ind w:left="68" w:right="98"/>
                    <w:jc w:val="both"/>
                  </w:pPr>
                  <w:r>
                    <w:rPr>
                      <w:sz w:val="16"/>
                    </w:rPr>
                    <w:t>Ups marca minuteman mbk-750 (6 tomas 442 watts) color negro material plástico serie</w:t>
                  </w:r>
                </w:p>
                <w:p w14:paraId="7003D571" w14:textId="77777777" w:rsidR="00053D93" w:rsidRDefault="00260B75">
                  <w:pPr>
                    <w:ind w:left="68"/>
                  </w:pPr>
                  <w:r>
                    <w:rPr>
                      <w:sz w:val="16"/>
                    </w:rPr>
                    <w:t>3D53050600324</w:t>
                  </w:r>
                </w:p>
              </w:tc>
              <w:tc>
                <w:tcPr>
                  <w:tcW w:w="1001" w:type="dxa"/>
                  <w:tcBorders>
                    <w:top w:val="single" w:sz="2" w:space="0" w:color="000000"/>
                    <w:left w:val="single" w:sz="2" w:space="0" w:color="000000"/>
                    <w:bottom w:val="single" w:sz="2" w:space="0" w:color="000000"/>
                    <w:right w:val="single" w:sz="2" w:space="0" w:color="000000"/>
                  </w:tcBorders>
                  <w:vAlign w:val="bottom"/>
                </w:tcPr>
                <w:p w14:paraId="5E205665" w14:textId="77777777" w:rsidR="00053D93" w:rsidRDefault="00260B75">
                  <w:pPr>
                    <w:ind w:left="471"/>
                  </w:pPr>
                  <w:r>
                    <w:rPr>
                      <w:rFonts w:ascii="Times New Roman" w:eastAsia="Times New Roman" w:hAnsi="Times New Roman" w:cs="Times New Roman"/>
                      <w:sz w:val="16"/>
                    </w:rPr>
                    <w:t>920.00</w:t>
                  </w:r>
                </w:p>
              </w:tc>
            </w:tr>
            <w:tr w:rsidR="00053D93" w14:paraId="5C0D80BF" w14:textId="77777777">
              <w:trPr>
                <w:trHeight w:val="592"/>
              </w:trPr>
              <w:tc>
                <w:tcPr>
                  <w:tcW w:w="324" w:type="dxa"/>
                  <w:tcBorders>
                    <w:top w:val="single" w:sz="2" w:space="0" w:color="000000"/>
                    <w:left w:val="single" w:sz="2" w:space="0" w:color="000000"/>
                    <w:bottom w:val="single" w:sz="2" w:space="0" w:color="000000"/>
                    <w:right w:val="single" w:sz="2" w:space="0" w:color="000000"/>
                  </w:tcBorders>
                </w:tcPr>
                <w:p w14:paraId="108357D1" w14:textId="77777777" w:rsidR="00053D93" w:rsidRDefault="00260B75">
                  <w:pPr>
                    <w:ind w:left="24"/>
                  </w:pPr>
                  <w:r>
                    <w:rPr>
                      <w:rFonts w:ascii="Times New Roman" w:eastAsia="Times New Roman" w:hAnsi="Times New Roman" w:cs="Times New Roman"/>
                      <w:sz w:val="16"/>
                    </w:rPr>
                    <w:t>26</w:t>
                  </w:r>
                </w:p>
              </w:tc>
              <w:tc>
                <w:tcPr>
                  <w:tcW w:w="0" w:type="auto"/>
                  <w:vMerge/>
                  <w:tcBorders>
                    <w:top w:val="nil"/>
                    <w:left w:val="single" w:sz="2" w:space="0" w:color="000000"/>
                    <w:bottom w:val="nil"/>
                    <w:right w:val="nil"/>
                  </w:tcBorders>
                </w:tcPr>
                <w:p w14:paraId="19CCAF64" w14:textId="77777777" w:rsidR="00053D93" w:rsidRDefault="00053D93"/>
              </w:tc>
              <w:tc>
                <w:tcPr>
                  <w:tcW w:w="0" w:type="auto"/>
                  <w:gridSpan w:val="2"/>
                  <w:vMerge/>
                  <w:tcBorders>
                    <w:top w:val="nil"/>
                    <w:left w:val="nil"/>
                    <w:bottom w:val="nil"/>
                    <w:right w:val="single" w:sz="2" w:space="0" w:color="000000"/>
                  </w:tcBorders>
                </w:tcPr>
                <w:p w14:paraId="5C714739"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00C642E2" w14:textId="77777777" w:rsidR="00053D93" w:rsidRDefault="00260B75">
                  <w:pPr>
                    <w:ind w:left="75"/>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51007E2A" w14:textId="77777777" w:rsidR="00053D93" w:rsidRDefault="00053D93"/>
              </w:tc>
              <w:tc>
                <w:tcPr>
                  <w:tcW w:w="1620" w:type="dxa"/>
                  <w:tcBorders>
                    <w:top w:val="single" w:sz="2" w:space="0" w:color="000000"/>
                    <w:left w:val="single" w:sz="2" w:space="0" w:color="000000"/>
                    <w:bottom w:val="single" w:sz="2" w:space="0" w:color="000000"/>
                    <w:right w:val="single" w:sz="2" w:space="0" w:color="000000"/>
                  </w:tcBorders>
                </w:tcPr>
                <w:p w14:paraId="1AF4F597" w14:textId="77777777" w:rsidR="00053D93" w:rsidRDefault="00260B75">
                  <w:pPr>
                    <w:ind w:right="38"/>
                    <w:jc w:val="center"/>
                  </w:pPr>
                  <w:r>
                    <w:rPr>
                      <w:sz w:val="16"/>
                    </w:rPr>
                    <w:t>001EE421</w:t>
                  </w:r>
                </w:p>
              </w:tc>
              <w:tc>
                <w:tcPr>
                  <w:tcW w:w="2542" w:type="dxa"/>
                  <w:gridSpan w:val="3"/>
                  <w:tcBorders>
                    <w:top w:val="single" w:sz="2" w:space="0" w:color="000000"/>
                    <w:left w:val="single" w:sz="2" w:space="0" w:color="000000"/>
                    <w:bottom w:val="single" w:sz="2" w:space="0" w:color="000000"/>
                    <w:right w:val="single" w:sz="2" w:space="0" w:color="000000"/>
                  </w:tcBorders>
                </w:tcPr>
                <w:p w14:paraId="427E691D" w14:textId="77777777" w:rsidR="00053D93" w:rsidRDefault="00260B75">
                  <w:pPr>
                    <w:ind w:left="68" w:right="98" w:firstLine="7"/>
                    <w:jc w:val="both"/>
                  </w:pPr>
                  <w:r>
                    <w:rPr>
                      <w:sz w:val="16"/>
                    </w:rPr>
                    <w:t>Proyector marca Dell 2400MP OLP Proyector, serie JPFHT91, con cable USB para impresora.</w:t>
                  </w:r>
                </w:p>
              </w:tc>
              <w:tc>
                <w:tcPr>
                  <w:tcW w:w="1001" w:type="dxa"/>
                  <w:tcBorders>
                    <w:top w:val="single" w:sz="2" w:space="0" w:color="000000"/>
                    <w:left w:val="single" w:sz="2" w:space="0" w:color="000000"/>
                    <w:bottom w:val="single" w:sz="2" w:space="0" w:color="000000"/>
                    <w:right w:val="single" w:sz="2" w:space="0" w:color="000000"/>
                  </w:tcBorders>
                  <w:vAlign w:val="bottom"/>
                </w:tcPr>
                <w:p w14:paraId="06934D6A" w14:textId="77777777" w:rsidR="00053D93" w:rsidRDefault="00260B75">
                  <w:pPr>
                    <w:ind w:left="276"/>
                  </w:pPr>
                  <w:r>
                    <w:rPr>
                      <w:sz w:val="16"/>
                    </w:rPr>
                    <w:t>10,720.0D</w:t>
                  </w:r>
                </w:p>
              </w:tc>
            </w:tr>
            <w:tr w:rsidR="00053D93" w14:paraId="251CC1FA" w14:textId="77777777">
              <w:trPr>
                <w:trHeight w:val="976"/>
              </w:trPr>
              <w:tc>
                <w:tcPr>
                  <w:tcW w:w="324" w:type="dxa"/>
                  <w:tcBorders>
                    <w:top w:val="single" w:sz="2" w:space="0" w:color="000000"/>
                    <w:left w:val="single" w:sz="2" w:space="0" w:color="000000"/>
                    <w:bottom w:val="single" w:sz="2" w:space="0" w:color="000000"/>
                    <w:right w:val="single" w:sz="2" w:space="0" w:color="000000"/>
                  </w:tcBorders>
                </w:tcPr>
                <w:p w14:paraId="0D1103CB" w14:textId="77777777" w:rsidR="00053D93" w:rsidRDefault="00260B75">
                  <w:pPr>
                    <w:ind w:left="24"/>
                  </w:pPr>
                  <w:r>
                    <w:rPr>
                      <w:rFonts w:ascii="Times New Roman" w:eastAsia="Times New Roman" w:hAnsi="Times New Roman" w:cs="Times New Roman"/>
                      <w:sz w:val="16"/>
                    </w:rPr>
                    <w:t>27</w:t>
                  </w:r>
                </w:p>
              </w:tc>
              <w:tc>
                <w:tcPr>
                  <w:tcW w:w="0" w:type="auto"/>
                  <w:vMerge/>
                  <w:tcBorders>
                    <w:top w:val="nil"/>
                    <w:left w:val="single" w:sz="2" w:space="0" w:color="000000"/>
                    <w:bottom w:val="nil"/>
                    <w:right w:val="nil"/>
                  </w:tcBorders>
                </w:tcPr>
                <w:p w14:paraId="60CB4581" w14:textId="77777777" w:rsidR="00053D93" w:rsidRDefault="00053D93"/>
              </w:tc>
              <w:tc>
                <w:tcPr>
                  <w:tcW w:w="0" w:type="auto"/>
                  <w:gridSpan w:val="2"/>
                  <w:vMerge/>
                  <w:tcBorders>
                    <w:top w:val="nil"/>
                    <w:left w:val="nil"/>
                    <w:bottom w:val="nil"/>
                    <w:right w:val="single" w:sz="2" w:space="0" w:color="000000"/>
                  </w:tcBorders>
                </w:tcPr>
                <w:p w14:paraId="71365FFE"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4E0D9653" w14:textId="77777777" w:rsidR="00053D93" w:rsidRDefault="00260B75">
                  <w:pPr>
                    <w:ind w:left="82"/>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7A4CBC26" w14:textId="77777777" w:rsidR="00053D93" w:rsidRDefault="00053D93"/>
              </w:tc>
              <w:tc>
                <w:tcPr>
                  <w:tcW w:w="1620" w:type="dxa"/>
                  <w:tcBorders>
                    <w:top w:val="single" w:sz="2" w:space="0" w:color="000000"/>
                    <w:left w:val="single" w:sz="2" w:space="0" w:color="000000"/>
                    <w:bottom w:val="single" w:sz="2" w:space="0" w:color="000000"/>
                    <w:right w:val="single" w:sz="2" w:space="0" w:color="000000"/>
                  </w:tcBorders>
                </w:tcPr>
                <w:p w14:paraId="6CDB0160" w14:textId="77777777" w:rsidR="00053D93" w:rsidRDefault="00260B75">
                  <w:pPr>
                    <w:ind w:left="96"/>
                  </w:pPr>
                  <w:r>
                    <w:rPr>
                      <w:sz w:val="18"/>
                    </w:rPr>
                    <w:t>001FIE31; OOIFIFFD</w:t>
                  </w:r>
                </w:p>
              </w:tc>
              <w:tc>
                <w:tcPr>
                  <w:tcW w:w="2542" w:type="dxa"/>
                  <w:gridSpan w:val="3"/>
                  <w:tcBorders>
                    <w:top w:val="single" w:sz="2" w:space="0" w:color="000000"/>
                    <w:left w:val="single" w:sz="2" w:space="0" w:color="000000"/>
                    <w:bottom w:val="single" w:sz="2" w:space="0" w:color="000000"/>
                    <w:right w:val="single" w:sz="2" w:space="0" w:color="000000"/>
                  </w:tcBorders>
                </w:tcPr>
                <w:p w14:paraId="28D0BE95" w14:textId="77777777" w:rsidR="00053D93" w:rsidRDefault="00260B75">
                  <w:pPr>
                    <w:spacing w:line="249" w:lineRule="auto"/>
                    <w:ind w:left="68" w:firstLine="7"/>
                  </w:pPr>
                  <w:r>
                    <w:rPr>
                      <w:sz w:val="16"/>
                    </w:rPr>
                    <w:t>Monitor marca Dell, modelo NE773S, serie MX-0N817647605- 57E-BLYB, color negro; y, Mouse marca Dell. modelo</w:t>
                  </w:r>
                  <w:r>
                    <w:rPr>
                      <w:sz w:val="16"/>
                    </w:rPr>
                    <w:tab/>
                    <w:t>M-UKDEL3,</w:t>
                  </w:r>
                </w:p>
                <w:p w14:paraId="6B2C1399" w14:textId="77777777" w:rsidR="00053D93" w:rsidRDefault="00260B75">
                  <w:pPr>
                    <w:ind w:left="75"/>
                  </w:pPr>
                  <w:r>
                    <w:rPr>
                      <w:rFonts w:ascii="Times New Roman" w:eastAsia="Times New Roman" w:hAnsi="Times New Roman" w:cs="Times New Roman"/>
                      <w:sz w:val="14"/>
                    </w:rPr>
                    <w:t>HCD51972448</w:t>
                  </w:r>
                </w:p>
              </w:tc>
              <w:tc>
                <w:tcPr>
                  <w:tcW w:w="1001" w:type="dxa"/>
                  <w:tcBorders>
                    <w:top w:val="single" w:sz="2" w:space="0" w:color="000000"/>
                    <w:left w:val="single" w:sz="2" w:space="0" w:color="000000"/>
                    <w:bottom w:val="single" w:sz="2" w:space="0" w:color="000000"/>
                    <w:right w:val="single" w:sz="2" w:space="0" w:color="000000"/>
                  </w:tcBorders>
                  <w:vAlign w:val="bottom"/>
                </w:tcPr>
                <w:p w14:paraId="14F8BAA3" w14:textId="77777777" w:rsidR="00053D93" w:rsidRDefault="00260B75">
                  <w:pPr>
                    <w:ind w:right="91"/>
                    <w:jc w:val="right"/>
                  </w:pPr>
                  <w:r>
                    <w:rPr>
                      <w:rFonts w:ascii="Times New Roman" w:eastAsia="Times New Roman" w:hAnsi="Times New Roman" w:cs="Times New Roman"/>
                      <w:sz w:val="16"/>
                    </w:rPr>
                    <w:t>950.00</w:t>
                  </w:r>
                </w:p>
              </w:tc>
            </w:tr>
            <w:tr w:rsidR="00053D93" w14:paraId="70514E9C" w14:textId="77777777">
              <w:trPr>
                <w:trHeight w:val="1939"/>
              </w:trPr>
              <w:tc>
                <w:tcPr>
                  <w:tcW w:w="324" w:type="dxa"/>
                  <w:tcBorders>
                    <w:top w:val="single" w:sz="2" w:space="0" w:color="000000"/>
                    <w:left w:val="single" w:sz="2" w:space="0" w:color="000000"/>
                    <w:bottom w:val="single" w:sz="2" w:space="0" w:color="000000"/>
                    <w:right w:val="single" w:sz="2" w:space="0" w:color="000000"/>
                  </w:tcBorders>
                </w:tcPr>
                <w:p w14:paraId="5B4A6797" w14:textId="77777777" w:rsidR="00053D93" w:rsidRDefault="00260B75">
                  <w:pPr>
                    <w:ind w:left="24"/>
                  </w:pPr>
                  <w:r>
                    <w:rPr>
                      <w:rFonts w:ascii="Times New Roman" w:eastAsia="Times New Roman" w:hAnsi="Times New Roman" w:cs="Times New Roman"/>
                      <w:sz w:val="16"/>
                    </w:rPr>
                    <w:t>28</w:t>
                  </w:r>
                </w:p>
              </w:tc>
              <w:tc>
                <w:tcPr>
                  <w:tcW w:w="0" w:type="auto"/>
                  <w:vMerge/>
                  <w:tcBorders>
                    <w:top w:val="nil"/>
                    <w:left w:val="single" w:sz="2" w:space="0" w:color="000000"/>
                    <w:bottom w:val="nil"/>
                    <w:right w:val="nil"/>
                  </w:tcBorders>
                </w:tcPr>
                <w:p w14:paraId="5074E88B" w14:textId="77777777" w:rsidR="00053D93" w:rsidRDefault="00053D93"/>
              </w:tc>
              <w:tc>
                <w:tcPr>
                  <w:tcW w:w="0" w:type="auto"/>
                  <w:gridSpan w:val="2"/>
                  <w:vMerge/>
                  <w:tcBorders>
                    <w:top w:val="nil"/>
                    <w:left w:val="nil"/>
                    <w:bottom w:val="nil"/>
                    <w:right w:val="single" w:sz="2" w:space="0" w:color="000000"/>
                  </w:tcBorders>
                </w:tcPr>
                <w:p w14:paraId="3009EA6C"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0773077B" w14:textId="77777777" w:rsidR="00053D93" w:rsidRDefault="00260B75">
                  <w:pPr>
                    <w:ind w:left="75"/>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62F2AFC8" w14:textId="77777777" w:rsidR="00053D93" w:rsidRDefault="00053D93"/>
              </w:tc>
              <w:tc>
                <w:tcPr>
                  <w:tcW w:w="1620" w:type="dxa"/>
                  <w:tcBorders>
                    <w:top w:val="single" w:sz="2" w:space="0" w:color="000000"/>
                    <w:left w:val="single" w:sz="2" w:space="0" w:color="000000"/>
                    <w:bottom w:val="single" w:sz="2" w:space="0" w:color="000000"/>
                    <w:right w:val="single" w:sz="2" w:space="0" w:color="000000"/>
                  </w:tcBorders>
                </w:tcPr>
                <w:p w14:paraId="134E6B0B" w14:textId="77777777" w:rsidR="00053D93" w:rsidRDefault="00260B75">
                  <w:pPr>
                    <w:ind w:right="16"/>
                    <w:jc w:val="center"/>
                  </w:pPr>
                  <w:r>
                    <w:rPr>
                      <w:sz w:val="18"/>
                    </w:rPr>
                    <w:t>001FIC6A;</w:t>
                  </w:r>
                </w:p>
                <w:p w14:paraId="426D413D" w14:textId="77777777" w:rsidR="00053D93" w:rsidRDefault="00260B75">
                  <w:pPr>
                    <w:spacing w:after="1"/>
                    <w:ind w:right="9"/>
                    <w:jc w:val="center"/>
                  </w:pPr>
                  <w:r>
                    <w:rPr>
                      <w:sz w:val="16"/>
                    </w:rPr>
                    <w:t>000C4AAB;</w:t>
                  </w:r>
                </w:p>
                <w:p w14:paraId="746C9C7F" w14:textId="77777777" w:rsidR="00053D93" w:rsidRDefault="00260B75">
                  <w:pPr>
                    <w:tabs>
                      <w:tab w:val="center" w:pos="222"/>
                      <w:tab w:val="center" w:pos="1173"/>
                    </w:tabs>
                  </w:pPr>
                  <w:r>
                    <w:rPr>
                      <w:sz w:val="18"/>
                    </w:rPr>
                    <w:tab/>
                    <w:t xml:space="preserve">001 </w:t>
                  </w:r>
                  <w:r>
                    <w:rPr>
                      <w:sz w:val="18"/>
                    </w:rPr>
                    <w:tab/>
                    <w:t>001FIF48</w:t>
                  </w:r>
                </w:p>
              </w:tc>
              <w:tc>
                <w:tcPr>
                  <w:tcW w:w="2542" w:type="dxa"/>
                  <w:gridSpan w:val="3"/>
                  <w:tcBorders>
                    <w:top w:val="single" w:sz="2" w:space="0" w:color="000000"/>
                    <w:left w:val="single" w:sz="2" w:space="0" w:color="000000"/>
                    <w:bottom w:val="single" w:sz="2" w:space="0" w:color="000000"/>
                    <w:right w:val="single" w:sz="2" w:space="0" w:color="000000"/>
                  </w:tcBorders>
                </w:tcPr>
                <w:p w14:paraId="05BC9E17" w14:textId="77777777" w:rsidR="00053D93" w:rsidRDefault="00260B75">
                  <w:pPr>
                    <w:spacing w:after="3" w:line="251" w:lineRule="auto"/>
                    <w:ind w:left="75" w:right="91"/>
                    <w:jc w:val="both"/>
                  </w:pPr>
                  <w:r>
                    <w:rPr>
                      <w:sz w:val="16"/>
                    </w:rPr>
                    <w:t>Computadora de escritorio con CPU marca Dell, modelo Optiptex GX280 (DHM), serie 4XRP881, color negro; Monitor marca Dell, modelo NE773S, serie MX-ON8176-47605- 57E-BM2Z, color negro; Teclado marca Dell. modelo RT7D50. serie CN-OW7646-37172-546-02M1;</w:t>
                  </w:r>
                </w:p>
                <w:p w14:paraId="300985D7" w14:textId="77777777" w:rsidR="00053D93" w:rsidRDefault="00260B75">
                  <w:pPr>
                    <w:ind w:left="82"/>
                  </w:pPr>
                  <w:r>
                    <w:rPr>
                      <w:sz w:val="18"/>
                    </w:rPr>
                    <w:t>Mouse marca Dell, modelo</w:t>
                  </w:r>
                </w:p>
                <w:p w14:paraId="78604665" w14:textId="77777777" w:rsidR="00053D93" w:rsidRDefault="00260B75">
                  <w:pPr>
                    <w:ind w:left="82"/>
                  </w:pPr>
                  <w:r>
                    <w:rPr>
                      <w:sz w:val="16"/>
                    </w:rPr>
                    <w:t>M-UKDEL3, serie HCD51910492</w:t>
                  </w:r>
                </w:p>
              </w:tc>
              <w:tc>
                <w:tcPr>
                  <w:tcW w:w="1001" w:type="dxa"/>
                  <w:tcBorders>
                    <w:top w:val="single" w:sz="2" w:space="0" w:color="000000"/>
                    <w:left w:val="single" w:sz="2" w:space="0" w:color="000000"/>
                    <w:bottom w:val="single" w:sz="2" w:space="0" w:color="000000"/>
                    <w:right w:val="single" w:sz="2" w:space="0" w:color="000000"/>
                  </w:tcBorders>
                  <w:vAlign w:val="bottom"/>
                </w:tcPr>
                <w:p w14:paraId="207980DC" w14:textId="77777777" w:rsidR="00053D93" w:rsidRDefault="00260B75">
                  <w:pPr>
                    <w:ind w:left="355"/>
                  </w:pPr>
                  <w:r>
                    <w:rPr>
                      <w:rFonts w:ascii="Times New Roman" w:eastAsia="Times New Roman" w:hAnsi="Times New Roman" w:cs="Times New Roman"/>
                      <w:sz w:val="16"/>
                    </w:rPr>
                    <w:t>7.996.64</w:t>
                  </w:r>
                </w:p>
              </w:tc>
            </w:tr>
            <w:tr w:rsidR="00053D93" w14:paraId="7356DB49" w14:textId="77777777">
              <w:trPr>
                <w:trHeight w:val="1543"/>
              </w:trPr>
              <w:tc>
                <w:tcPr>
                  <w:tcW w:w="324" w:type="dxa"/>
                  <w:tcBorders>
                    <w:top w:val="single" w:sz="2" w:space="0" w:color="000000"/>
                    <w:left w:val="single" w:sz="2" w:space="0" w:color="000000"/>
                    <w:bottom w:val="single" w:sz="2" w:space="0" w:color="000000"/>
                    <w:right w:val="single" w:sz="2" w:space="0" w:color="000000"/>
                  </w:tcBorders>
                </w:tcPr>
                <w:p w14:paraId="7A41BCF1" w14:textId="77777777" w:rsidR="00053D93" w:rsidRDefault="00260B75">
                  <w:pPr>
                    <w:ind w:left="31"/>
                  </w:pPr>
                  <w:r>
                    <w:rPr>
                      <w:rFonts w:ascii="Times New Roman" w:eastAsia="Times New Roman" w:hAnsi="Times New Roman" w:cs="Times New Roman"/>
                      <w:sz w:val="16"/>
                    </w:rPr>
                    <w:t>29</w:t>
                  </w:r>
                </w:p>
              </w:tc>
              <w:tc>
                <w:tcPr>
                  <w:tcW w:w="0" w:type="auto"/>
                  <w:vMerge/>
                  <w:tcBorders>
                    <w:top w:val="nil"/>
                    <w:left w:val="single" w:sz="2" w:space="0" w:color="000000"/>
                    <w:bottom w:val="nil"/>
                    <w:right w:val="nil"/>
                  </w:tcBorders>
                </w:tcPr>
                <w:p w14:paraId="46FA5692" w14:textId="77777777" w:rsidR="00053D93" w:rsidRDefault="00053D93"/>
              </w:tc>
              <w:tc>
                <w:tcPr>
                  <w:tcW w:w="0" w:type="auto"/>
                  <w:gridSpan w:val="2"/>
                  <w:vMerge/>
                  <w:tcBorders>
                    <w:top w:val="nil"/>
                    <w:left w:val="nil"/>
                    <w:bottom w:val="nil"/>
                    <w:right w:val="single" w:sz="2" w:space="0" w:color="000000"/>
                  </w:tcBorders>
                </w:tcPr>
                <w:p w14:paraId="0CD803F9"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561D0E45" w14:textId="77777777" w:rsidR="00053D93" w:rsidRDefault="00260B75">
                  <w:pPr>
                    <w:ind w:left="82"/>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33B94A5A" w14:textId="77777777" w:rsidR="00053D93" w:rsidRDefault="00053D93"/>
              </w:tc>
              <w:tc>
                <w:tcPr>
                  <w:tcW w:w="1620" w:type="dxa"/>
                  <w:tcBorders>
                    <w:top w:val="single" w:sz="2" w:space="0" w:color="000000"/>
                    <w:left w:val="single" w:sz="2" w:space="0" w:color="000000"/>
                    <w:bottom w:val="single" w:sz="2" w:space="0" w:color="000000"/>
                    <w:right w:val="single" w:sz="2" w:space="0" w:color="000000"/>
                  </w:tcBorders>
                </w:tcPr>
                <w:p w14:paraId="66663E01" w14:textId="77777777" w:rsidR="00053D93" w:rsidRDefault="00260B75">
                  <w:pPr>
                    <w:ind w:left="104"/>
                  </w:pPr>
                  <w:r>
                    <w:rPr>
                      <w:sz w:val="18"/>
                    </w:rPr>
                    <w:t>001FICD5; OOC4AIF;</w:t>
                  </w:r>
                </w:p>
                <w:p w14:paraId="7B6587FF" w14:textId="77777777" w:rsidR="00053D93" w:rsidRDefault="00260B75">
                  <w:pPr>
                    <w:ind w:left="5"/>
                    <w:jc w:val="center"/>
                  </w:pPr>
                  <w:r>
                    <w:rPr>
                      <w:rFonts w:ascii="Times New Roman" w:eastAsia="Times New Roman" w:hAnsi="Times New Roman" w:cs="Times New Roman"/>
                      <w:sz w:val="14"/>
                    </w:rPr>
                    <w:t>000C4A29</w:t>
                  </w:r>
                </w:p>
              </w:tc>
              <w:tc>
                <w:tcPr>
                  <w:tcW w:w="2542" w:type="dxa"/>
                  <w:gridSpan w:val="3"/>
                  <w:tcBorders>
                    <w:top w:val="single" w:sz="2" w:space="0" w:color="000000"/>
                    <w:left w:val="single" w:sz="2" w:space="0" w:color="000000"/>
                    <w:bottom w:val="single" w:sz="2" w:space="0" w:color="000000"/>
                    <w:right w:val="single" w:sz="2" w:space="0" w:color="000000"/>
                  </w:tcBorders>
                </w:tcPr>
                <w:p w14:paraId="011F4776" w14:textId="77777777" w:rsidR="00053D93" w:rsidRDefault="00260B75">
                  <w:pPr>
                    <w:spacing w:line="244" w:lineRule="auto"/>
                    <w:ind w:left="82" w:right="91"/>
                    <w:jc w:val="both"/>
                  </w:pPr>
                  <w:r>
                    <w:rPr>
                      <w:sz w:val="16"/>
                    </w:rPr>
                    <w:t>Computadora de escritorio con CPU marca Dell. modelo Optiplex GX280 (OHM), serie 8NZN881, color: negro; Monitor marca Dell, modelo NE773S, serie MY-ON817647603-56G-BITR, color negro; Teclado marca Dell. modelo RT7D50,</w:t>
                  </w:r>
                </w:p>
                <w:p w14:paraId="28053D3B" w14:textId="77777777" w:rsidR="00053D93" w:rsidRDefault="00260B75">
                  <w:pPr>
                    <w:ind w:left="82"/>
                  </w:pPr>
                  <w:r>
                    <w:rPr>
                      <w:rFonts w:ascii="Times New Roman" w:eastAsia="Times New Roman" w:hAnsi="Times New Roman" w:cs="Times New Roman"/>
                      <w:sz w:val="14"/>
                    </w:rPr>
                    <w:t>CN-OM64S.37172-54s.01D3</w:t>
                  </w:r>
                </w:p>
              </w:tc>
              <w:tc>
                <w:tcPr>
                  <w:tcW w:w="1001" w:type="dxa"/>
                  <w:tcBorders>
                    <w:top w:val="single" w:sz="2" w:space="0" w:color="000000"/>
                    <w:left w:val="single" w:sz="2" w:space="0" w:color="000000"/>
                    <w:bottom w:val="single" w:sz="2" w:space="0" w:color="000000"/>
                    <w:right w:val="single" w:sz="2" w:space="0" w:color="000000"/>
                  </w:tcBorders>
                  <w:vAlign w:val="bottom"/>
                </w:tcPr>
                <w:p w14:paraId="6C0ABF39" w14:textId="77777777" w:rsidR="00053D93" w:rsidRDefault="00260B75">
                  <w:pPr>
                    <w:ind w:left="355"/>
                  </w:pPr>
                  <w:r>
                    <w:rPr>
                      <w:rFonts w:ascii="Times New Roman" w:eastAsia="Times New Roman" w:hAnsi="Times New Roman" w:cs="Times New Roman"/>
                      <w:sz w:val="16"/>
                    </w:rPr>
                    <w:t>7,896.64</w:t>
                  </w:r>
                </w:p>
              </w:tc>
            </w:tr>
            <w:tr w:rsidR="00053D93" w14:paraId="310713D8" w14:textId="77777777">
              <w:trPr>
                <w:trHeight w:val="1535"/>
              </w:trPr>
              <w:tc>
                <w:tcPr>
                  <w:tcW w:w="324" w:type="dxa"/>
                  <w:tcBorders>
                    <w:top w:val="single" w:sz="2" w:space="0" w:color="000000"/>
                    <w:left w:val="single" w:sz="2" w:space="0" w:color="000000"/>
                    <w:bottom w:val="single" w:sz="2" w:space="0" w:color="000000"/>
                    <w:right w:val="single" w:sz="2" w:space="0" w:color="000000"/>
                  </w:tcBorders>
                </w:tcPr>
                <w:p w14:paraId="66278590" w14:textId="77777777" w:rsidR="00053D93" w:rsidRDefault="00260B75">
                  <w:pPr>
                    <w:ind w:left="39"/>
                  </w:pPr>
                  <w:r>
                    <w:rPr>
                      <w:rFonts w:ascii="Times New Roman" w:eastAsia="Times New Roman" w:hAnsi="Times New Roman" w:cs="Times New Roman"/>
                      <w:sz w:val="16"/>
                    </w:rPr>
                    <w:t>30</w:t>
                  </w:r>
                </w:p>
              </w:tc>
              <w:tc>
                <w:tcPr>
                  <w:tcW w:w="0" w:type="auto"/>
                  <w:vMerge/>
                  <w:tcBorders>
                    <w:top w:val="nil"/>
                    <w:left w:val="single" w:sz="2" w:space="0" w:color="000000"/>
                    <w:bottom w:val="nil"/>
                    <w:right w:val="nil"/>
                  </w:tcBorders>
                </w:tcPr>
                <w:p w14:paraId="153BE3DF" w14:textId="77777777" w:rsidR="00053D93" w:rsidRDefault="00053D93"/>
              </w:tc>
              <w:tc>
                <w:tcPr>
                  <w:tcW w:w="0" w:type="auto"/>
                  <w:gridSpan w:val="2"/>
                  <w:vMerge/>
                  <w:tcBorders>
                    <w:top w:val="nil"/>
                    <w:left w:val="nil"/>
                    <w:bottom w:val="nil"/>
                    <w:right w:val="single" w:sz="2" w:space="0" w:color="000000"/>
                  </w:tcBorders>
                </w:tcPr>
                <w:p w14:paraId="35A18D79"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11BD1BEC" w14:textId="77777777" w:rsidR="00053D93" w:rsidRDefault="00260B75">
                  <w:pPr>
                    <w:ind w:left="89"/>
                  </w:pPr>
                  <w:r>
                    <w:rPr>
                      <w:rFonts w:ascii="Times New Roman" w:eastAsia="Times New Roman" w:hAnsi="Times New Roman" w:cs="Times New Roman"/>
                      <w:sz w:val="16"/>
                    </w:rPr>
                    <w:t>03/1212012</w:t>
                  </w:r>
                </w:p>
              </w:tc>
              <w:tc>
                <w:tcPr>
                  <w:tcW w:w="763" w:type="dxa"/>
                  <w:tcBorders>
                    <w:top w:val="single" w:sz="2" w:space="0" w:color="000000"/>
                    <w:left w:val="single" w:sz="2" w:space="0" w:color="000000"/>
                    <w:bottom w:val="single" w:sz="2" w:space="0" w:color="000000"/>
                    <w:right w:val="single" w:sz="2" w:space="0" w:color="000000"/>
                  </w:tcBorders>
                </w:tcPr>
                <w:p w14:paraId="1EE4F2B8" w14:textId="77777777" w:rsidR="00053D93" w:rsidRDefault="00053D93"/>
              </w:tc>
              <w:tc>
                <w:tcPr>
                  <w:tcW w:w="1620" w:type="dxa"/>
                  <w:tcBorders>
                    <w:top w:val="single" w:sz="2" w:space="0" w:color="000000"/>
                    <w:left w:val="single" w:sz="2" w:space="0" w:color="000000"/>
                    <w:bottom w:val="single" w:sz="2" w:space="0" w:color="000000"/>
                    <w:right w:val="single" w:sz="2" w:space="0" w:color="000000"/>
                  </w:tcBorders>
                </w:tcPr>
                <w:p w14:paraId="50404958" w14:textId="77777777" w:rsidR="00053D93" w:rsidRDefault="00260B75">
                  <w:pPr>
                    <w:ind w:left="13"/>
                    <w:jc w:val="center"/>
                  </w:pPr>
                  <w:r>
                    <w:rPr>
                      <w:sz w:val="18"/>
                    </w:rPr>
                    <w:t>001FIC47</w:t>
                  </w:r>
                </w:p>
                <w:p w14:paraId="4D4AA044" w14:textId="77777777" w:rsidR="00053D93" w:rsidRDefault="00260B75">
                  <w:pPr>
                    <w:ind w:left="5"/>
                    <w:jc w:val="center"/>
                  </w:pPr>
                  <w:r>
                    <w:rPr>
                      <w:sz w:val="18"/>
                    </w:rPr>
                    <w:t>001FID55</w:t>
                  </w:r>
                </w:p>
                <w:p w14:paraId="42F32EBD" w14:textId="77777777" w:rsidR="00053D93" w:rsidRDefault="00260B75">
                  <w:pPr>
                    <w:ind w:right="2"/>
                    <w:jc w:val="center"/>
                  </w:pPr>
                  <w:r>
                    <w:rPr>
                      <w:sz w:val="16"/>
                    </w:rPr>
                    <w:t>OOlF20C5</w:t>
                  </w:r>
                </w:p>
              </w:tc>
              <w:tc>
                <w:tcPr>
                  <w:tcW w:w="2542" w:type="dxa"/>
                  <w:gridSpan w:val="3"/>
                  <w:tcBorders>
                    <w:top w:val="single" w:sz="2" w:space="0" w:color="000000"/>
                    <w:left w:val="single" w:sz="2" w:space="0" w:color="000000"/>
                    <w:bottom w:val="single" w:sz="2" w:space="0" w:color="000000"/>
                    <w:right w:val="single" w:sz="2" w:space="0" w:color="000000"/>
                  </w:tcBorders>
                </w:tcPr>
                <w:p w14:paraId="0654E0EE" w14:textId="77777777" w:rsidR="00053D93" w:rsidRDefault="00260B75">
                  <w:pPr>
                    <w:spacing w:line="248" w:lineRule="auto"/>
                    <w:ind w:left="82" w:right="91"/>
                    <w:jc w:val="both"/>
                  </w:pPr>
                  <w:r>
                    <w:rPr>
                      <w:sz w:val="16"/>
                    </w:rPr>
                    <w:t>Computadora de escritorio con CPU marca Dell, modelo Optiplex GX280 (DHM). serie FTRP881, color negro; Monitor marca Dell. modelo NE773S. serie MX-0NB176476D5- 57E-BM02, color negro; Teclado marca Dell, modelo RT7D50,</w:t>
                  </w:r>
                </w:p>
                <w:p w14:paraId="0145BCE4" w14:textId="77777777" w:rsidR="00053D93" w:rsidRDefault="00260B75">
                  <w:pPr>
                    <w:ind w:left="89"/>
                  </w:pPr>
                  <w:r>
                    <w:rPr>
                      <w:sz w:val="16"/>
                    </w:rPr>
                    <w:t>CN-0W7646-37172-546-03AS;</w:t>
                  </w:r>
                </w:p>
              </w:tc>
              <w:tc>
                <w:tcPr>
                  <w:tcW w:w="1001" w:type="dxa"/>
                  <w:tcBorders>
                    <w:top w:val="single" w:sz="2" w:space="0" w:color="000000"/>
                    <w:left w:val="single" w:sz="2" w:space="0" w:color="000000"/>
                    <w:bottom w:val="single" w:sz="2" w:space="0" w:color="000000"/>
                    <w:right w:val="single" w:sz="2" w:space="0" w:color="000000"/>
                  </w:tcBorders>
                  <w:vAlign w:val="bottom"/>
                </w:tcPr>
                <w:p w14:paraId="6B6C33AB" w14:textId="77777777" w:rsidR="00053D93" w:rsidRDefault="00260B75">
                  <w:pPr>
                    <w:ind w:left="363"/>
                  </w:pPr>
                  <w:r>
                    <w:rPr>
                      <w:rFonts w:ascii="Times New Roman" w:eastAsia="Times New Roman" w:hAnsi="Times New Roman" w:cs="Times New Roman"/>
                      <w:sz w:val="16"/>
                    </w:rPr>
                    <w:t>7,896.64</w:t>
                  </w:r>
                </w:p>
              </w:tc>
            </w:tr>
            <w:tr w:rsidR="00053D93" w14:paraId="7FBEC8CE" w14:textId="77777777">
              <w:trPr>
                <w:trHeight w:val="1166"/>
              </w:trPr>
              <w:tc>
                <w:tcPr>
                  <w:tcW w:w="324" w:type="dxa"/>
                  <w:tcBorders>
                    <w:top w:val="single" w:sz="2" w:space="0" w:color="000000"/>
                    <w:left w:val="single" w:sz="2" w:space="0" w:color="000000"/>
                    <w:bottom w:val="single" w:sz="2" w:space="0" w:color="000000"/>
                    <w:right w:val="single" w:sz="2" w:space="0" w:color="000000"/>
                  </w:tcBorders>
                </w:tcPr>
                <w:p w14:paraId="77911A0F" w14:textId="77777777" w:rsidR="00053D93" w:rsidRDefault="00260B75">
                  <w:pPr>
                    <w:ind w:left="31"/>
                  </w:pPr>
                  <w:r>
                    <w:rPr>
                      <w:rFonts w:ascii="Times New Roman" w:eastAsia="Times New Roman" w:hAnsi="Times New Roman" w:cs="Times New Roman"/>
                      <w:sz w:val="16"/>
                    </w:rPr>
                    <w:t>31</w:t>
                  </w:r>
                </w:p>
              </w:tc>
              <w:tc>
                <w:tcPr>
                  <w:tcW w:w="0" w:type="auto"/>
                  <w:vMerge/>
                  <w:tcBorders>
                    <w:top w:val="nil"/>
                    <w:left w:val="single" w:sz="2" w:space="0" w:color="000000"/>
                    <w:bottom w:val="nil"/>
                    <w:right w:val="nil"/>
                  </w:tcBorders>
                </w:tcPr>
                <w:p w14:paraId="14A1B46D" w14:textId="77777777" w:rsidR="00053D93" w:rsidRDefault="00053D93"/>
              </w:tc>
              <w:tc>
                <w:tcPr>
                  <w:tcW w:w="0" w:type="auto"/>
                  <w:gridSpan w:val="2"/>
                  <w:vMerge/>
                  <w:tcBorders>
                    <w:top w:val="nil"/>
                    <w:left w:val="nil"/>
                    <w:bottom w:val="nil"/>
                    <w:right w:val="single" w:sz="2" w:space="0" w:color="000000"/>
                  </w:tcBorders>
                </w:tcPr>
                <w:p w14:paraId="1A93808F"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27B7A1F4" w14:textId="77777777" w:rsidR="00053D93" w:rsidRDefault="00260B75">
                  <w:pPr>
                    <w:ind w:left="89"/>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4ACCC35D" w14:textId="77777777" w:rsidR="00053D93" w:rsidRDefault="00260B75">
                  <w:pPr>
                    <w:ind w:right="2"/>
                    <w:jc w:val="center"/>
                  </w:pPr>
                  <w:r>
                    <w:rPr>
                      <w:rFonts w:ascii="Times New Roman" w:eastAsia="Times New Roman" w:hAnsi="Times New Roman" w:cs="Times New Roman"/>
                      <w:sz w:val="16"/>
                    </w:rPr>
                    <w:t>5</w:t>
                  </w:r>
                </w:p>
              </w:tc>
              <w:tc>
                <w:tcPr>
                  <w:tcW w:w="1620" w:type="dxa"/>
                  <w:tcBorders>
                    <w:top w:val="single" w:sz="2" w:space="0" w:color="000000"/>
                    <w:left w:val="single" w:sz="2" w:space="0" w:color="000000"/>
                    <w:bottom w:val="single" w:sz="2" w:space="0" w:color="000000"/>
                    <w:right w:val="single" w:sz="2" w:space="0" w:color="000000"/>
                  </w:tcBorders>
                </w:tcPr>
                <w:p w14:paraId="2C6FA9B1" w14:textId="77777777" w:rsidR="00053D93" w:rsidRDefault="00260B75">
                  <w:pPr>
                    <w:spacing w:after="200" w:line="216" w:lineRule="auto"/>
                    <w:ind w:left="672" w:hanging="216"/>
                  </w:pPr>
                  <w:r>
                    <w:rPr>
                      <w:sz w:val="18"/>
                    </w:rPr>
                    <w:t>001EE4Al. EE4A2,</w:t>
                  </w:r>
                </w:p>
                <w:p w14:paraId="52CDBC26" w14:textId="77777777" w:rsidR="00053D93" w:rsidRDefault="00260B75">
                  <w:pPr>
                    <w:ind w:left="5"/>
                    <w:jc w:val="center"/>
                  </w:pPr>
                  <w:r>
                    <w:rPr>
                      <w:sz w:val="18"/>
                    </w:rPr>
                    <w:t>001 EE4A4,</w:t>
                  </w:r>
                </w:p>
                <w:p w14:paraId="39B7D745" w14:textId="77777777" w:rsidR="00053D93" w:rsidRDefault="00260B75">
                  <w:pPr>
                    <w:ind w:left="5"/>
                    <w:jc w:val="center"/>
                  </w:pPr>
                  <w:r>
                    <w:rPr>
                      <w:sz w:val="18"/>
                    </w:rPr>
                    <w:t>001EE4A5</w:t>
                  </w:r>
                </w:p>
              </w:tc>
              <w:tc>
                <w:tcPr>
                  <w:tcW w:w="2542" w:type="dxa"/>
                  <w:gridSpan w:val="3"/>
                  <w:tcBorders>
                    <w:top w:val="single" w:sz="2" w:space="0" w:color="000000"/>
                    <w:left w:val="single" w:sz="2" w:space="0" w:color="000000"/>
                    <w:bottom w:val="single" w:sz="2" w:space="0" w:color="000000"/>
                    <w:right w:val="single" w:sz="2" w:space="0" w:color="000000"/>
                  </w:tcBorders>
                </w:tcPr>
                <w:p w14:paraId="5CCA4742" w14:textId="77777777" w:rsidR="00053D93" w:rsidRDefault="00260B75">
                  <w:pPr>
                    <w:ind w:left="82" w:right="77"/>
                    <w:jc w:val="both"/>
                  </w:pPr>
                  <w:r>
                    <w:rPr>
                      <w:sz w:val="16"/>
                    </w:rPr>
                    <w:t>Impresoras marca Hewlett Packard modelo Laser jet 2600N a color, series CNHC6BV28Y, SCNHC6BV2X2 SCNHCBV24N, CNHC68V24P, CNGC69X20G con valor de Q3.803.00 cada una</w:t>
                  </w:r>
                </w:p>
              </w:tc>
              <w:tc>
                <w:tcPr>
                  <w:tcW w:w="1001" w:type="dxa"/>
                  <w:tcBorders>
                    <w:top w:val="single" w:sz="2" w:space="0" w:color="000000"/>
                    <w:left w:val="single" w:sz="2" w:space="0" w:color="000000"/>
                    <w:bottom w:val="single" w:sz="2" w:space="0" w:color="000000"/>
                    <w:right w:val="single" w:sz="2" w:space="0" w:color="000000"/>
                  </w:tcBorders>
                  <w:vAlign w:val="bottom"/>
                </w:tcPr>
                <w:p w14:paraId="571C9CF8" w14:textId="77777777" w:rsidR="00053D93" w:rsidRDefault="00260B75">
                  <w:pPr>
                    <w:ind w:left="298"/>
                  </w:pPr>
                  <w:r>
                    <w:rPr>
                      <w:rFonts w:ascii="Times New Roman" w:eastAsia="Times New Roman" w:hAnsi="Times New Roman" w:cs="Times New Roman"/>
                      <w:sz w:val="16"/>
                    </w:rPr>
                    <w:t>19.015.00</w:t>
                  </w:r>
                </w:p>
              </w:tc>
            </w:tr>
            <w:tr w:rsidR="00053D93" w14:paraId="1761AC0F" w14:textId="77777777">
              <w:trPr>
                <w:trHeight w:val="598"/>
              </w:trPr>
              <w:tc>
                <w:tcPr>
                  <w:tcW w:w="324" w:type="dxa"/>
                  <w:tcBorders>
                    <w:top w:val="single" w:sz="2" w:space="0" w:color="000000"/>
                    <w:left w:val="single" w:sz="2" w:space="0" w:color="000000"/>
                    <w:bottom w:val="single" w:sz="2" w:space="0" w:color="000000"/>
                    <w:right w:val="single" w:sz="2" w:space="0" w:color="000000"/>
                  </w:tcBorders>
                </w:tcPr>
                <w:p w14:paraId="552A8A8F" w14:textId="77777777" w:rsidR="00053D93" w:rsidRDefault="00260B75">
                  <w:pPr>
                    <w:ind w:left="39"/>
                  </w:pPr>
                  <w:r>
                    <w:rPr>
                      <w:rFonts w:ascii="Times New Roman" w:eastAsia="Times New Roman" w:hAnsi="Times New Roman" w:cs="Times New Roman"/>
                      <w:sz w:val="16"/>
                    </w:rPr>
                    <w:t>32</w:t>
                  </w:r>
                </w:p>
              </w:tc>
              <w:tc>
                <w:tcPr>
                  <w:tcW w:w="0" w:type="auto"/>
                  <w:vMerge/>
                  <w:tcBorders>
                    <w:top w:val="nil"/>
                    <w:left w:val="single" w:sz="2" w:space="0" w:color="000000"/>
                    <w:bottom w:val="single" w:sz="2" w:space="0" w:color="000000"/>
                    <w:right w:val="nil"/>
                  </w:tcBorders>
                </w:tcPr>
                <w:p w14:paraId="5C127660" w14:textId="77777777" w:rsidR="00053D93" w:rsidRDefault="00053D93"/>
              </w:tc>
              <w:tc>
                <w:tcPr>
                  <w:tcW w:w="0" w:type="auto"/>
                  <w:gridSpan w:val="2"/>
                  <w:vMerge/>
                  <w:tcBorders>
                    <w:top w:val="nil"/>
                    <w:left w:val="nil"/>
                    <w:bottom w:val="single" w:sz="2" w:space="0" w:color="000000"/>
                    <w:right w:val="single" w:sz="2" w:space="0" w:color="000000"/>
                  </w:tcBorders>
                </w:tcPr>
                <w:p w14:paraId="4B542654"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764F3C1B" w14:textId="77777777" w:rsidR="00053D93" w:rsidRDefault="00260B75">
                  <w:pPr>
                    <w:ind w:left="89"/>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58C1BE9C" w14:textId="77777777" w:rsidR="00053D93" w:rsidRDefault="00053D93"/>
              </w:tc>
              <w:tc>
                <w:tcPr>
                  <w:tcW w:w="1620" w:type="dxa"/>
                  <w:tcBorders>
                    <w:top w:val="single" w:sz="2" w:space="0" w:color="000000"/>
                    <w:left w:val="single" w:sz="2" w:space="0" w:color="000000"/>
                    <w:bottom w:val="single" w:sz="2" w:space="0" w:color="000000"/>
                    <w:right w:val="single" w:sz="2" w:space="0" w:color="000000"/>
                  </w:tcBorders>
                </w:tcPr>
                <w:p w14:paraId="1BBA489B" w14:textId="77777777" w:rsidR="00053D93" w:rsidRDefault="00260B75">
                  <w:pPr>
                    <w:ind w:left="13"/>
                    <w:jc w:val="center"/>
                  </w:pPr>
                  <w:r>
                    <w:rPr>
                      <w:sz w:val="16"/>
                    </w:rPr>
                    <w:t>001EE472</w:t>
                  </w:r>
                </w:p>
              </w:tc>
              <w:tc>
                <w:tcPr>
                  <w:tcW w:w="2542" w:type="dxa"/>
                  <w:gridSpan w:val="3"/>
                  <w:tcBorders>
                    <w:top w:val="single" w:sz="2" w:space="0" w:color="000000"/>
                    <w:left w:val="single" w:sz="2" w:space="0" w:color="000000"/>
                    <w:bottom w:val="single" w:sz="2" w:space="0" w:color="000000"/>
                    <w:right w:val="single" w:sz="2" w:space="0" w:color="000000"/>
                  </w:tcBorders>
                </w:tcPr>
                <w:p w14:paraId="5480254B" w14:textId="77777777" w:rsidR="00053D93" w:rsidRDefault="00260B75">
                  <w:pPr>
                    <w:ind w:left="89" w:right="77"/>
                    <w:jc w:val="both"/>
                  </w:pPr>
                  <w:r>
                    <w:rPr>
                      <w:sz w:val="16"/>
                    </w:rPr>
                    <w:t>Sistema de amplificación modelo Escort 2000 marca Peavey, serie No. GOI</w:t>
                  </w:r>
                </w:p>
              </w:tc>
              <w:tc>
                <w:tcPr>
                  <w:tcW w:w="1001" w:type="dxa"/>
                  <w:tcBorders>
                    <w:top w:val="single" w:sz="2" w:space="0" w:color="000000"/>
                    <w:left w:val="single" w:sz="2" w:space="0" w:color="000000"/>
                    <w:bottom w:val="single" w:sz="2" w:space="0" w:color="000000"/>
                    <w:right w:val="single" w:sz="2" w:space="0" w:color="000000"/>
                  </w:tcBorders>
                  <w:vAlign w:val="bottom"/>
                </w:tcPr>
                <w:p w14:paraId="532396EC" w14:textId="77777777" w:rsidR="00053D93" w:rsidRDefault="00260B75">
                  <w:pPr>
                    <w:ind w:left="370"/>
                  </w:pPr>
                  <w:r>
                    <w:rPr>
                      <w:rFonts w:ascii="Times New Roman" w:eastAsia="Times New Roman" w:hAnsi="Times New Roman" w:cs="Times New Roman"/>
                      <w:sz w:val="16"/>
                    </w:rPr>
                    <w:t>5.225.00</w:t>
                  </w:r>
                </w:p>
              </w:tc>
            </w:tr>
            <w:tr w:rsidR="00053D93" w14:paraId="1C90A01D" w14:textId="77777777">
              <w:trPr>
                <w:trHeight w:val="1164"/>
              </w:trPr>
              <w:tc>
                <w:tcPr>
                  <w:tcW w:w="324" w:type="dxa"/>
                  <w:tcBorders>
                    <w:top w:val="single" w:sz="2" w:space="0" w:color="000000"/>
                    <w:left w:val="single" w:sz="2" w:space="0" w:color="000000"/>
                    <w:bottom w:val="single" w:sz="2" w:space="0" w:color="000000"/>
                    <w:right w:val="single" w:sz="2" w:space="0" w:color="000000"/>
                  </w:tcBorders>
                </w:tcPr>
                <w:p w14:paraId="19128A80" w14:textId="77777777" w:rsidR="00053D93" w:rsidRDefault="00260B75">
                  <w:pPr>
                    <w:ind w:left="39"/>
                  </w:pPr>
                  <w:r>
                    <w:rPr>
                      <w:rFonts w:ascii="Times New Roman" w:eastAsia="Times New Roman" w:hAnsi="Times New Roman" w:cs="Times New Roman"/>
                      <w:sz w:val="16"/>
                    </w:rPr>
                    <w:t>33</w:t>
                  </w:r>
                </w:p>
              </w:tc>
              <w:tc>
                <w:tcPr>
                  <w:tcW w:w="287" w:type="dxa"/>
                  <w:vMerge w:val="restart"/>
                  <w:tcBorders>
                    <w:top w:val="single" w:sz="2" w:space="0" w:color="000000"/>
                    <w:left w:val="single" w:sz="2" w:space="0" w:color="000000"/>
                    <w:bottom w:val="nil"/>
                    <w:right w:val="nil"/>
                  </w:tcBorders>
                  <w:vAlign w:val="bottom"/>
                </w:tcPr>
                <w:p w14:paraId="77581C2D" w14:textId="77777777" w:rsidR="00053D93" w:rsidRDefault="00260B75">
                  <w:pPr>
                    <w:ind w:left="3"/>
                  </w:pPr>
                  <w:r>
                    <w:rPr>
                      <w:noProof/>
                    </w:rPr>
                    <w:drawing>
                      <wp:inline distT="0" distB="0" distL="0" distR="0" wp14:anchorId="18825225" wp14:editId="5A9620AB">
                        <wp:extent cx="169164" cy="388620"/>
                        <wp:effectExtent l="0" t="0" r="0" b="0"/>
                        <wp:docPr id="756246" name="Picture 756246"/>
                        <wp:cNvGraphicFramePr/>
                        <a:graphic xmlns:a="http://schemas.openxmlformats.org/drawingml/2006/main">
                          <a:graphicData uri="http://schemas.openxmlformats.org/drawingml/2006/picture">
                            <pic:pic xmlns:pic="http://schemas.openxmlformats.org/drawingml/2006/picture">
                              <pic:nvPicPr>
                                <pic:cNvPr id="756246" name="Picture 756246"/>
                                <pic:cNvPicPr/>
                              </pic:nvPicPr>
                              <pic:blipFill>
                                <a:blip r:embed="rId1073"/>
                                <a:stretch>
                                  <a:fillRect/>
                                </a:stretch>
                              </pic:blipFill>
                              <pic:spPr>
                                <a:xfrm>
                                  <a:off x="0" y="0"/>
                                  <a:ext cx="169164" cy="388620"/>
                                </a:xfrm>
                                <a:prstGeom prst="rect">
                                  <a:avLst/>
                                </a:prstGeom>
                              </pic:spPr>
                            </pic:pic>
                          </a:graphicData>
                        </a:graphic>
                      </wp:inline>
                    </w:drawing>
                  </w:r>
                </w:p>
              </w:tc>
              <w:tc>
                <w:tcPr>
                  <w:tcW w:w="980" w:type="dxa"/>
                  <w:gridSpan w:val="2"/>
                  <w:vMerge w:val="restart"/>
                  <w:tcBorders>
                    <w:top w:val="single" w:sz="2" w:space="0" w:color="000000"/>
                    <w:left w:val="nil"/>
                    <w:bottom w:val="single" w:sz="2" w:space="0" w:color="000000"/>
                    <w:right w:val="single" w:sz="2" w:space="0" w:color="000000"/>
                  </w:tcBorders>
                </w:tcPr>
                <w:p w14:paraId="0A3DD5B9" w14:textId="77777777" w:rsidR="00053D93" w:rsidRDefault="00260B75">
                  <w:pPr>
                    <w:ind w:left="104"/>
                  </w:pPr>
                  <w:r>
                    <w:rPr>
                      <w:rFonts w:ascii="Times New Roman" w:eastAsia="Times New Roman" w:hAnsi="Times New Roman" w:cs="Times New Roman"/>
                      <w:sz w:val="16"/>
                    </w:rPr>
                    <w:t>002868</w:t>
                  </w:r>
                </w:p>
              </w:tc>
              <w:tc>
                <w:tcPr>
                  <w:tcW w:w="871" w:type="dxa"/>
                  <w:tcBorders>
                    <w:top w:val="single" w:sz="2" w:space="0" w:color="000000"/>
                    <w:left w:val="single" w:sz="2" w:space="0" w:color="000000"/>
                    <w:bottom w:val="single" w:sz="2" w:space="0" w:color="000000"/>
                    <w:right w:val="single" w:sz="2" w:space="0" w:color="000000"/>
                  </w:tcBorders>
                </w:tcPr>
                <w:p w14:paraId="013CD8ED" w14:textId="77777777" w:rsidR="00053D93" w:rsidRDefault="00260B75">
                  <w:pPr>
                    <w:ind w:left="89"/>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165AB0DA" w14:textId="77777777" w:rsidR="00053D93" w:rsidRDefault="00260B75">
                  <w:pPr>
                    <w:ind w:left="5"/>
                    <w:jc w:val="center"/>
                  </w:pPr>
                  <w:r>
                    <w:rPr>
                      <w:rFonts w:ascii="Times New Roman" w:eastAsia="Times New Roman" w:hAnsi="Times New Roman" w:cs="Times New Roman"/>
                      <w:sz w:val="16"/>
                    </w:rPr>
                    <w:t>4</w:t>
                  </w:r>
                </w:p>
              </w:tc>
              <w:tc>
                <w:tcPr>
                  <w:tcW w:w="1620" w:type="dxa"/>
                  <w:tcBorders>
                    <w:top w:val="single" w:sz="2" w:space="0" w:color="000000"/>
                    <w:left w:val="single" w:sz="2" w:space="0" w:color="000000"/>
                    <w:bottom w:val="single" w:sz="2" w:space="0" w:color="000000"/>
                    <w:right w:val="single" w:sz="2" w:space="0" w:color="000000"/>
                  </w:tcBorders>
                </w:tcPr>
                <w:p w14:paraId="303F49E1" w14:textId="77777777" w:rsidR="00053D93" w:rsidRDefault="00260B75">
                  <w:pPr>
                    <w:ind w:left="13"/>
                    <w:jc w:val="center"/>
                  </w:pPr>
                  <w:r>
                    <w:rPr>
                      <w:sz w:val="18"/>
                    </w:rPr>
                    <w:t>001 EE41C</w:t>
                  </w:r>
                </w:p>
                <w:p w14:paraId="070201F0" w14:textId="77777777" w:rsidR="00053D93" w:rsidRDefault="00260B75">
                  <w:pPr>
                    <w:ind w:left="5"/>
                    <w:jc w:val="center"/>
                  </w:pPr>
                  <w:r>
                    <w:rPr>
                      <w:sz w:val="16"/>
                    </w:rPr>
                    <w:t>001EE41D</w:t>
                  </w:r>
                </w:p>
                <w:p w14:paraId="73111110" w14:textId="77777777" w:rsidR="00053D93" w:rsidRDefault="00260B75">
                  <w:pPr>
                    <w:ind w:left="20"/>
                    <w:jc w:val="center"/>
                  </w:pPr>
                  <w:r>
                    <w:rPr>
                      <w:sz w:val="18"/>
                    </w:rPr>
                    <w:t>001EE41B</w:t>
                  </w:r>
                </w:p>
                <w:p w14:paraId="70C89632" w14:textId="77777777" w:rsidR="00053D93" w:rsidRDefault="00260B75">
                  <w:pPr>
                    <w:ind w:left="20"/>
                    <w:jc w:val="center"/>
                  </w:pPr>
                  <w:r>
                    <w:rPr>
                      <w:sz w:val="18"/>
                    </w:rPr>
                    <w:t>ODIEE41E</w:t>
                  </w:r>
                </w:p>
              </w:tc>
              <w:tc>
                <w:tcPr>
                  <w:tcW w:w="2542" w:type="dxa"/>
                  <w:gridSpan w:val="3"/>
                  <w:tcBorders>
                    <w:top w:val="single" w:sz="2" w:space="0" w:color="000000"/>
                    <w:left w:val="single" w:sz="2" w:space="0" w:color="000000"/>
                    <w:bottom w:val="single" w:sz="2" w:space="0" w:color="000000"/>
                    <w:right w:val="single" w:sz="2" w:space="0" w:color="000000"/>
                  </w:tcBorders>
                </w:tcPr>
                <w:p w14:paraId="5A36FCAA" w14:textId="77777777" w:rsidR="00053D93" w:rsidRDefault="00260B75">
                  <w:pPr>
                    <w:ind w:left="82" w:right="77" w:firstLine="7"/>
                    <w:jc w:val="both"/>
                  </w:pPr>
                  <w:r>
                    <w:rPr>
                      <w:sz w:val="16"/>
                    </w:rPr>
                    <w:t>Estanterías metálicas de 2.00 metros de alto con 6 bandejas de 0.40 de fondo x 0.85 mts. De ancho, armadas con angular de 1 1/4 x 1 1/4 en color gris con velor de Q646.00 cada una.</w:t>
                  </w:r>
                </w:p>
              </w:tc>
              <w:tc>
                <w:tcPr>
                  <w:tcW w:w="1001" w:type="dxa"/>
                  <w:tcBorders>
                    <w:top w:val="single" w:sz="2" w:space="0" w:color="000000"/>
                    <w:left w:val="single" w:sz="2" w:space="0" w:color="000000"/>
                    <w:bottom w:val="single" w:sz="2" w:space="0" w:color="000000"/>
                    <w:right w:val="single" w:sz="2" w:space="0" w:color="000000"/>
                  </w:tcBorders>
                  <w:vAlign w:val="bottom"/>
                </w:tcPr>
                <w:p w14:paraId="0A87F362" w14:textId="77777777" w:rsidR="00053D93" w:rsidRDefault="00260B75">
                  <w:pPr>
                    <w:ind w:right="69"/>
                    <w:jc w:val="right"/>
                  </w:pPr>
                  <w:r>
                    <w:rPr>
                      <w:rFonts w:ascii="Times New Roman" w:eastAsia="Times New Roman" w:hAnsi="Times New Roman" w:cs="Times New Roman"/>
                      <w:sz w:val="16"/>
                    </w:rPr>
                    <w:t>2.584.00</w:t>
                  </w:r>
                </w:p>
              </w:tc>
            </w:tr>
            <w:tr w:rsidR="00053D93" w14:paraId="41F6B378" w14:textId="77777777">
              <w:trPr>
                <w:trHeight w:val="2981"/>
              </w:trPr>
              <w:tc>
                <w:tcPr>
                  <w:tcW w:w="324" w:type="dxa"/>
                  <w:vMerge w:val="restart"/>
                  <w:tcBorders>
                    <w:top w:val="single" w:sz="2" w:space="0" w:color="000000"/>
                    <w:left w:val="single" w:sz="2" w:space="0" w:color="000000"/>
                    <w:bottom w:val="nil"/>
                    <w:right w:val="single" w:sz="2" w:space="0" w:color="000000"/>
                  </w:tcBorders>
                </w:tcPr>
                <w:p w14:paraId="735B4423" w14:textId="77777777" w:rsidR="00053D93" w:rsidRDefault="00260B75">
                  <w:pPr>
                    <w:spacing w:after="2579"/>
                    <w:ind w:left="39"/>
                  </w:pPr>
                  <w:r>
                    <w:rPr>
                      <w:rFonts w:ascii="Times New Roman" w:eastAsia="Times New Roman" w:hAnsi="Times New Roman" w:cs="Times New Roman"/>
                      <w:sz w:val="16"/>
                    </w:rPr>
                    <w:t>34</w:t>
                  </w:r>
                </w:p>
                <w:p w14:paraId="0F51D71F" w14:textId="77777777" w:rsidR="00053D93" w:rsidRDefault="00260B75">
                  <w:pPr>
                    <w:ind w:left="-19" w:right="-3"/>
                  </w:pPr>
                  <w:r>
                    <w:rPr>
                      <w:noProof/>
                    </w:rPr>
                    <w:drawing>
                      <wp:inline distT="0" distB="0" distL="0" distR="0" wp14:anchorId="4C70280C" wp14:editId="05BD2BBB">
                        <wp:extent cx="219456" cy="406908"/>
                        <wp:effectExtent l="0" t="0" r="0" b="0"/>
                        <wp:docPr id="756318" name="Picture 756318"/>
                        <wp:cNvGraphicFramePr/>
                        <a:graphic xmlns:a="http://schemas.openxmlformats.org/drawingml/2006/main">
                          <a:graphicData uri="http://schemas.openxmlformats.org/drawingml/2006/picture">
                            <pic:pic xmlns:pic="http://schemas.openxmlformats.org/drawingml/2006/picture">
                              <pic:nvPicPr>
                                <pic:cNvPr id="756318" name="Picture 756318"/>
                                <pic:cNvPicPr/>
                              </pic:nvPicPr>
                              <pic:blipFill>
                                <a:blip r:embed="rId1074"/>
                                <a:stretch>
                                  <a:fillRect/>
                                </a:stretch>
                              </pic:blipFill>
                              <pic:spPr>
                                <a:xfrm>
                                  <a:off x="0" y="0"/>
                                  <a:ext cx="219456" cy="406908"/>
                                </a:xfrm>
                                <a:prstGeom prst="rect">
                                  <a:avLst/>
                                </a:prstGeom>
                              </pic:spPr>
                            </pic:pic>
                          </a:graphicData>
                        </a:graphic>
                      </wp:inline>
                    </w:drawing>
                  </w:r>
                </w:p>
              </w:tc>
              <w:tc>
                <w:tcPr>
                  <w:tcW w:w="0" w:type="auto"/>
                  <w:vMerge/>
                  <w:tcBorders>
                    <w:top w:val="nil"/>
                    <w:left w:val="single" w:sz="2" w:space="0" w:color="000000"/>
                    <w:bottom w:val="nil"/>
                    <w:right w:val="nil"/>
                  </w:tcBorders>
                </w:tcPr>
                <w:p w14:paraId="51B68306" w14:textId="77777777" w:rsidR="00053D93" w:rsidRDefault="00053D93"/>
              </w:tc>
              <w:tc>
                <w:tcPr>
                  <w:tcW w:w="0" w:type="auto"/>
                  <w:gridSpan w:val="2"/>
                  <w:vMerge/>
                  <w:tcBorders>
                    <w:top w:val="nil"/>
                    <w:left w:val="nil"/>
                    <w:bottom w:val="single" w:sz="2" w:space="0" w:color="000000"/>
                    <w:right w:val="single" w:sz="2" w:space="0" w:color="000000"/>
                  </w:tcBorders>
                </w:tcPr>
                <w:p w14:paraId="61CD50F3"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1CA756F7" w14:textId="77777777" w:rsidR="00053D93" w:rsidRDefault="00260B75">
                  <w:pPr>
                    <w:ind w:left="89"/>
                  </w:pPr>
                  <w:r>
                    <w:rPr>
                      <w:rFonts w:ascii="Times New Roman" w:eastAsia="Times New Roman" w:hAnsi="Times New Roman" w:cs="Times New Roman"/>
                      <w:sz w:val="16"/>
                    </w:rPr>
                    <w:t>03/12/2012</w:t>
                  </w:r>
                </w:p>
              </w:tc>
              <w:tc>
                <w:tcPr>
                  <w:tcW w:w="763" w:type="dxa"/>
                  <w:tcBorders>
                    <w:top w:val="single" w:sz="2" w:space="0" w:color="000000"/>
                    <w:left w:val="single" w:sz="2" w:space="0" w:color="000000"/>
                    <w:bottom w:val="single" w:sz="2" w:space="0" w:color="000000"/>
                    <w:right w:val="single" w:sz="2" w:space="0" w:color="000000"/>
                  </w:tcBorders>
                </w:tcPr>
                <w:p w14:paraId="5AC00FA8" w14:textId="77777777" w:rsidR="00053D93" w:rsidRDefault="00260B75">
                  <w:pPr>
                    <w:ind w:right="9"/>
                    <w:jc w:val="center"/>
                  </w:pPr>
                  <w:r>
                    <w:rPr>
                      <w:rFonts w:ascii="Times New Roman" w:eastAsia="Times New Roman" w:hAnsi="Times New Roman" w:cs="Times New Roman"/>
                      <w:sz w:val="16"/>
                    </w:rPr>
                    <w:t>51</w:t>
                  </w:r>
                </w:p>
              </w:tc>
              <w:tc>
                <w:tcPr>
                  <w:tcW w:w="1620" w:type="dxa"/>
                  <w:tcBorders>
                    <w:top w:val="single" w:sz="2" w:space="0" w:color="000000"/>
                    <w:left w:val="single" w:sz="2" w:space="0" w:color="000000"/>
                    <w:bottom w:val="single" w:sz="2" w:space="0" w:color="000000"/>
                    <w:right w:val="single" w:sz="2" w:space="0" w:color="000000"/>
                  </w:tcBorders>
                </w:tcPr>
                <w:p w14:paraId="15257647" w14:textId="77777777" w:rsidR="00053D93" w:rsidRDefault="00260B75">
                  <w:pPr>
                    <w:ind w:left="5"/>
                    <w:jc w:val="center"/>
                  </w:pPr>
                  <w:r>
                    <w:rPr>
                      <w:sz w:val="16"/>
                    </w:rPr>
                    <w:t>001 EDODC:</w:t>
                  </w:r>
                </w:p>
                <w:p w14:paraId="593737E4" w14:textId="77777777" w:rsidR="00053D93" w:rsidRDefault="00260B75">
                  <w:pPr>
                    <w:spacing w:line="243" w:lineRule="auto"/>
                    <w:ind w:left="132" w:right="84" w:hanging="50"/>
                    <w:jc w:val="both"/>
                  </w:pPr>
                  <w:r>
                    <w:rPr>
                      <w:sz w:val="14"/>
                    </w:rPr>
                    <w:t>001 EDODD; 001 EDODF; 001 EDOEO. 001 EDOEI; 001 EDOE2</w:t>
                  </w:r>
                </w:p>
                <w:p w14:paraId="36680536" w14:textId="77777777" w:rsidR="00053D93" w:rsidRDefault="00260B75">
                  <w:pPr>
                    <w:ind w:left="125"/>
                  </w:pPr>
                  <w:r>
                    <w:rPr>
                      <w:sz w:val="16"/>
                    </w:rPr>
                    <w:t>001 EDOE4; 001 EDOE6</w:t>
                  </w:r>
                </w:p>
                <w:p w14:paraId="4F9CCB39" w14:textId="77777777" w:rsidR="00053D93" w:rsidRDefault="00260B75">
                  <w:pPr>
                    <w:ind w:left="125"/>
                  </w:pPr>
                  <w:r>
                    <w:rPr>
                      <w:sz w:val="16"/>
                    </w:rPr>
                    <w:t>001 EDOE7: 001 EDOEB</w:t>
                  </w:r>
                </w:p>
                <w:p w14:paraId="4D2D250B" w14:textId="77777777" w:rsidR="00053D93" w:rsidRDefault="00260B75">
                  <w:pPr>
                    <w:spacing w:after="37" w:line="234" w:lineRule="auto"/>
                    <w:ind w:left="118" w:right="105" w:firstLine="22"/>
                    <w:jc w:val="both"/>
                  </w:pPr>
                  <w:r>
                    <w:rPr>
                      <w:sz w:val="16"/>
                    </w:rPr>
                    <w:t>001 EDOE9; 001 EDOF8 EDOF9: 001 EDOFA 001 EDOFB; 001 EDOFD EDOFE; 001 EDOFF</w:t>
                  </w:r>
                </w:p>
                <w:p w14:paraId="57F300F2" w14:textId="77777777" w:rsidR="00053D93" w:rsidRDefault="00260B75">
                  <w:pPr>
                    <w:tabs>
                      <w:tab w:val="center" w:pos="597"/>
                      <w:tab w:val="center" w:pos="1432"/>
                    </w:tabs>
                  </w:pPr>
                  <w:r>
                    <w:rPr>
                      <w:sz w:val="18"/>
                    </w:rPr>
                    <w:tab/>
                    <w:t xml:space="preserve">EDIOF; </w:t>
                  </w:r>
                  <w:r>
                    <w:rPr>
                      <w:sz w:val="18"/>
                    </w:rPr>
                    <w:tab/>
                    <w:t>10</w:t>
                  </w:r>
                </w:p>
                <w:p w14:paraId="2078179C" w14:textId="77777777" w:rsidR="00053D93" w:rsidRDefault="00260B75">
                  <w:pPr>
                    <w:spacing w:line="225" w:lineRule="auto"/>
                    <w:ind w:left="46" w:right="33"/>
                    <w:jc w:val="center"/>
                  </w:pPr>
                  <w:r>
                    <w:rPr>
                      <w:sz w:val="16"/>
                    </w:rPr>
                    <w:t>OOIEDIII; 001ED114 00' ED115; 001ED117</w:t>
                  </w:r>
                </w:p>
                <w:p w14:paraId="3A2E9164" w14:textId="77777777" w:rsidR="00053D93" w:rsidRDefault="00260B75">
                  <w:pPr>
                    <w:ind w:left="147"/>
                  </w:pPr>
                  <w:r>
                    <w:rPr>
                      <w:sz w:val="14"/>
                    </w:rPr>
                    <w:t>001 EDIIB; 001 ED119</w:t>
                  </w:r>
                </w:p>
                <w:p w14:paraId="278C7B60" w14:textId="77777777" w:rsidR="00053D93" w:rsidRDefault="00260B75">
                  <w:pPr>
                    <w:tabs>
                      <w:tab w:val="center" w:pos="230"/>
                      <w:tab w:val="center" w:pos="1068"/>
                    </w:tabs>
                  </w:pPr>
                  <w:r>
                    <w:rPr>
                      <w:sz w:val="14"/>
                    </w:rPr>
                    <w:tab/>
                    <w:t xml:space="preserve">001 </w:t>
                  </w:r>
                  <w:r>
                    <w:rPr>
                      <w:sz w:val="14"/>
                    </w:rPr>
                    <w:tab/>
                    <w:t>TA; EDI IB</w:t>
                  </w:r>
                </w:p>
                <w:p w14:paraId="5365E7BE" w14:textId="77777777" w:rsidR="00053D93" w:rsidRDefault="00260B75">
                  <w:pPr>
                    <w:ind w:left="118"/>
                  </w:pPr>
                  <w:r>
                    <w:rPr>
                      <w:sz w:val="16"/>
                    </w:rPr>
                    <w:t>001 EDIIC; 001ED11D</w:t>
                  </w:r>
                </w:p>
              </w:tc>
              <w:tc>
                <w:tcPr>
                  <w:tcW w:w="953" w:type="dxa"/>
                  <w:tcBorders>
                    <w:top w:val="single" w:sz="2" w:space="0" w:color="000000"/>
                    <w:left w:val="single" w:sz="2" w:space="0" w:color="000000"/>
                    <w:bottom w:val="single" w:sz="2" w:space="0" w:color="000000"/>
                    <w:right w:val="nil"/>
                  </w:tcBorders>
                </w:tcPr>
                <w:p w14:paraId="07784403" w14:textId="77777777" w:rsidR="00053D93" w:rsidRDefault="00260B75">
                  <w:pPr>
                    <w:spacing w:line="224" w:lineRule="auto"/>
                    <w:ind w:left="89" w:firstLine="7"/>
                  </w:pPr>
                  <w:r>
                    <w:rPr>
                      <w:sz w:val="16"/>
                    </w:rPr>
                    <w:t>Punteros botones</w:t>
                  </w:r>
                </w:p>
                <w:p w14:paraId="2BD5CE5B" w14:textId="77777777" w:rsidR="00053D93" w:rsidRDefault="00260B75">
                  <w:pPr>
                    <w:ind w:left="89" w:right="-216"/>
                  </w:pPr>
                  <w:r>
                    <w:rPr>
                      <w:sz w:val="16"/>
                    </w:rPr>
                    <w:t xml:space="preserve">Desplazamiento, </w:t>
                  </w:r>
                </w:p>
                <w:p w14:paraId="445A336E" w14:textId="77777777" w:rsidR="00053D93" w:rsidRDefault="00260B75">
                  <w:pPr>
                    <w:ind w:left="89"/>
                  </w:pPr>
                  <w:r>
                    <w:rPr>
                      <w:rFonts w:ascii="Times New Roman" w:eastAsia="Times New Roman" w:hAnsi="Times New Roman" w:cs="Times New Roman"/>
                      <w:sz w:val="16"/>
                    </w:rPr>
                    <w:t>231 16010</w:t>
                  </w:r>
                </w:p>
                <w:p w14:paraId="5373C98B" w14:textId="77777777" w:rsidR="00053D93" w:rsidRDefault="00260B75">
                  <w:pPr>
                    <w:spacing w:line="252" w:lineRule="auto"/>
                    <w:ind w:left="89"/>
                  </w:pPr>
                  <w:r>
                    <w:rPr>
                      <w:rFonts w:ascii="Times New Roman" w:eastAsia="Times New Roman" w:hAnsi="Times New Roman" w:cs="Times New Roman"/>
                      <w:sz w:val="16"/>
                    </w:rPr>
                    <w:t>231 16741 23115890</w:t>
                  </w:r>
                </w:p>
                <w:p w14:paraId="1C07B762" w14:textId="77777777" w:rsidR="00053D93" w:rsidRDefault="00260B75">
                  <w:pPr>
                    <w:ind w:left="89"/>
                  </w:pPr>
                  <w:r>
                    <w:rPr>
                      <w:rFonts w:ascii="Times New Roman" w:eastAsia="Times New Roman" w:hAnsi="Times New Roman" w:cs="Times New Roman"/>
                      <w:sz w:val="16"/>
                    </w:rPr>
                    <w:t>23481 157</w:t>
                  </w:r>
                </w:p>
                <w:p w14:paraId="6F12F4EE" w14:textId="77777777" w:rsidR="00053D93" w:rsidRDefault="00260B75">
                  <w:pPr>
                    <w:ind w:left="89"/>
                  </w:pPr>
                  <w:r>
                    <w:rPr>
                      <w:rFonts w:ascii="Times New Roman" w:eastAsia="Times New Roman" w:hAnsi="Times New Roman" w:cs="Times New Roman"/>
                      <w:sz w:val="16"/>
                    </w:rPr>
                    <w:t>23116552</w:t>
                  </w:r>
                </w:p>
                <w:p w14:paraId="454B2F7E" w14:textId="77777777" w:rsidR="00053D93" w:rsidRDefault="00260B75">
                  <w:pPr>
                    <w:ind w:left="89"/>
                  </w:pPr>
                  <w:r>
                    <w:rPr>
                      <w:rFonts w:ascii="Times New Roman" w:eastAsia="Times New Roman" w:hAnsi="Times New Roman" w:cs="Times New Roman"/>
                      <w:sz w:val="16"/>
                    </w:rPr>
                    <w:t>231 16832</w:t>
                  </w:r>
                </w:p>
                <w:p w14:paraId="7069D74D" w14:textId="77777777" w:rsidR="00053D93" w:rsidRDefault="00260B75">
                  <w:pPr>
                    <w:ind w:left="96"/>
                  </w:pPr>
                  <w:r>
                    <w:rPr>
                      <w:rFonts w:ascii="Times New Roman" w:eastAsia="Times New Roman" w:hAnsi="Times New Roman" w:cs="Times New Roman"/>
                      <w:sz w:val="16"/>
                    </w:rPr>
                    <w:t>231 161 14</w:t>
                  </w:r>
                </w:p>
                <w:p w14:paraId="27759FB5" w14:textId="77777777" w:rsidR="00053D93" w:rsidRDefault="00260B75">
                  <w:pPr>
                    <w:spacing w:line="252" w:lineRule="auto"/>
                    <w:ind w:left="89" w:firstLine="7"/>
                  </w:pPr>
                  <w:r>
                    <w:rPr>
                      <w:rFonts w:ascii="Times New Roman" w:eastAsia="Times New Roman" w:hAnsi="Times New Roman" w:cs="Times New Roman"/>
                      <w:sz w:val="16"/>
                    </w:rPr>
                    <w:t>231 16536 23116504</w:t>
                  </w:r>
                </w:p>
                <w:p w14:paraId="667CAA9C" w14:textId="77777777" w:rsidR="00053D93" w:rsidRDefault="00260B75">
                  <w:pPr>
                    <w:ind w:left="89"/>
                  </w:pPr>
                  <w:r>
                    <w:rPr>
                      <w:rFonts w:ascii="Times New Roman" w:eastAsia="Times New Roman" w:hAnsi="Times New Roman" w:cs="Times New Roman"/>
                      <w:sz w:val="16"/>
                    </w:rPr>
                    <w:t>23116115</w:t>
                  </w:r>
                </w:p>
                <w:p w14:paraId="57AA03ED" w14:textId="77777777" w:rsidR="00053D93" w:rsidRDefault="00260B75">
                  <w:pPr>
                    <w:ind w:left="89"/>
                  </w:pPr>
                  <w:r>
                    <w:rPr>
                      <w:rFonts w:ascii="Times New Roman" w:eastAsia="Times New Roman" w:hAnsi="Times New Roman" w:cs="Times New Roman"/>
                      <w:sz w:val="18"/>
                    </w:rPr>
                    <w:t>23481233</w:t>
                  </w:r>
                </w:p>
                <w:p w14:paraId="30659276" w14:textId="77777777" w:rsidR="00053D93" w:rsidRDefault="00260B75">
                  <w:pPr>
                    <w:ind w:left="89"/>
                  </w:pPr>
                  <w:r>
                    <w:rPr>
                      <w:rFonts w:ascii="Times New Roman" w:eastAsia="Times New Roman" w:hAnsi="Times New Roman" w:cs="Times New Roman"/>
                      <w:sz w:val="16"/>
                    </w:rPr>
                    <w:t>23115926</w:t>
                  </w:r>
                </w:p>
              </w:tc>
              <w:tc>
                <w:tcPr>
                  <w:tcW w:w="864" w:type="dxa"/>
                  <w:tcBorders>
                    <w:top w:val="single" w:sz="2" w:space="0" w:color="000000"/>
                    <w:left w:val="nil"/>
                    <w:bottom w:val="single" w:sz="2" w:space="0" w:color="000000"/>
                    <w:right w:val="nil"/>
                  </w:tcBorders>
                </w:tcPr>
                <w:p w14:paraId="43B079E8" w14:textId="77777777" w:rsidR="00053D93" w:rsidRDefault="00260B75">
                  <w:pPr>
                    <w:spacing w:line="246" w:lineRule="auto"/>
                    <w:ind w:left="-151" w:right="-158"/>
                    <w:jc w:val="right"/>
                  </w:pPr>
                  <w:r>
                    <w:rPr>
                      <w:sz w:val="18"/>
                    </w:rPr>
                    <w:t>mouse ópticos con</w:t>
                  </w:r>
                  <w:r>
                    <w:rPr>
                      <w:sz w:val="18"/>
                    </w:rPr>
                    <w:tab/>
                    <w:t xml:space="preserve">rueda series </w:t>
                  </w:r>
                </w:p>
                <w:p w14:paraId="6441863B" w14:textId="77777777" w:rsidR="00053D93" w:rsidRDefault="00260B75">
                  <w:r>
                    <w:rPr>
                      <w:rFonts w:ascii="Times New Roman" w:eastAsia="Times New Roman" w:hAnsi="Times New Roman" w:cs="Times New Roman"/>
                      <w:sz w:val="16"/>
                    </w:rPr>
                    <w:t>23480204</w:t>
                  </w:r>
                </w:p>
                <w:p w14:paraId="40C7742E" w14:textId="77777777" w:rsidR="00053D93" w:rsidRDefault="00260B75">
                  <w:r>
                    <w:rPr>
                      <w:rFonts w:ascii="Times New Roman" w:eastAsia="Times New Roman" w:hAnsi="Times New Roman" w:cs="Times New Roman"/>
                      <w:sz w:val="16"/>
                    </w:rPr>
                    <w:t>231 16507</w:t>
                  </w:r>
                </w:p>
                <w:p w14:paraId="3EC0CE05" w14:textId="77777777" w:rsidR="00053D93" w:rsidRDefault="00260B75">
                  <w:r>
                    <w:rPr>
                      <w:rFonts w:ascii="Times New Roman" w:eastAsia="Times New Roman" w:hAnsi="Times New Roman" w:cs="Times New Roman"/>
                      <w:sz w:val="16"/>
                    </w:rPr>
                    <w:t>23116111</w:t>
                  </w:r>
                </w:p>
                <w:p w14:paraId="05AC7055" w14:textId="77777777" w:rsidR="00053D93" w:rsidRDefault="00260B75">
                  <w:r>
                    <w:rPr>
                      <w:rFonts w:ascii="Times New Roman" w:eastAsia="Times New Roman" w:hAnsi="Times New Roman" w:cs="Times New Roman"/>
                      <w:sz w:val="16"/>
                    </w:rPr>
                    <w:t>231 15898</w:t>
                  </w:r>
                </w:p>
                <w:p w14:paraId="435E308A" w14:textId="77777777" w:rsidR="00053D93" w:rsidRDefault="00260B75">
                  <w:r>
                    <w:rPr>
                      <w:rFonts w:ascii="Times New Roman" w:eastAsia="Times New Roman" w:hAnsi="Times New Roman" w:cs="Times New Roman"/>
                      <w:sz w:val="16"/>
                    </w:rPr>
                    <w:t>231 16072</w:t>
                  </w:r>
                </w:p>
                <w:p w14:paraId="0F78F8CD" w14:textId="77777777" w:rsidR="00053D93" w:rsidRDefault="00260B75">
                  <w:r>
                    <w:rPr>
                      <w:rFonts w:ascii="Times New Roman" w:eastAsia="Times New Roman" w:hAnsi="Times New Roman" w:cs="Times New Roman"/>
                      <w:sz w:val="16"/>
                    </w:rPr>
                    <w:t>23479877</w:t>
                  </w:r>
                </w:p>
                <w:p w14:paraId="2EED7BB5" w14:textId="77777777" w:rsidR="00053D93" w:rsidRDefault="00260B75">
                  <w:pPr>
                    <w:ind w:left="7"/>
                  </w:pPr>
                  <w:r>
                    <w:rPr>
                      <w:rFonts w:ascii="Times New Roman" w:eastAsia="Times New Roman" w:hAnsi="Times New Roman" w:cs="Times New Roman"/>
                      <w:sz w:val="16"/>
                    </w:rPr>
                    <w:t>231 16020</w:t>
                  </w:r>
                </w:p>
                <w:p w14:paraId="67AFA12C" w14:textId="77777777" w:rsidR="00053D93" w:rsidRDefault="00260B75">
                  <w:r>
                    <w:rPr>
                      <w:rFonts w:ascii="Times New Roman" w:eastAsia="Times New Roman" w:hAnsi="Times New Roman" w:cs="Times New Roman"/>
                      <w:sz w:val="16"/>
                    </w:rPr>
                    <w:t>23480165</w:t>
                  </w:r>
                </w:p>
                <w:p w14:paraId="57C70DB1" w14:textId="77777777" w:rsidR="00053D93" w:rsidRDefault="00260B75">
                  <w:r>
                    <w:rPr>
                      <w:rFonts w:ascii="Times New Roman" w:eastAsia="Times New Roman" w:hAnsi="Times New Roman" w:cs="Times New Roman"/>
                      <w:sz w:val="16"/>
                    </w:rPr>
                    <w:t>23115891</w:t>
                  </w:r>
                </w:p>
                <w:p w14:paraId="0A65310C" w14:textId="77777777" w:rsidR="00053D93" w:rsidRDefault="00260B75">
                  <w:r>
                    <w:rPr>
                      <w:rFonts w:ascii="Times New Roman" w:eastAsia="Times New Roman" w:hAnsi="Times New Roman" w:cs="Times New Roman"/>
                      <w:sz w:val="16"/>
                    </w:rPr>
                    <w:t>23115935</w:t>
                  </w:r>
                </w:p>
                <w:p w14:paraId="6717427E" w14:textId="77777777" w:rsidR="00053D93" w:rsidRDefault="00260B75">
                  <w:pPr>
                    <w:ind w:left="7"/>
                  </w:pPr>
                  <w:r>
                    <w:rPr>
                      <w:rFonts w:ascii="Times New Roman" w:eastAsia="Times New Roman" w:hAnsi="Times New Roman" w:cs="Times New Roman"/>
                      <w:sz w:val="16"/>
                    </w:rPr>
                    <w:t>23153681</w:t>
                  </w:r>
                </w:p>
                <w:p w14:paraId="025ED144" w14:textId="77777777" w:rsidR="00053D93" w:rsidRDefault="00260B75">
                  <w:r>
                    <w:rPr>
                      <w:rFonts w:ascii="Times New Roman" w:eastAsia="Times New Roman" w:hAnsi="Times New Roman" w:cs="Times New Roman"/>
                      <w:sz w:val="16"/>
                    </w:rPr>
                    <w:t>23480484</w:t>
                  </w:r>
                </w:p>
              </w:tc>
              <w:tc>
                <w:tcPr>
                  <w:tcW w:w="725" w:type="dxa"/>
                  <w:tcBorders>
                    <w:top w:val="single" w:sz="2" w:space="0" w:color="000000"/>
                    <w:left w:val="nil"/>
                    <w:bottom w:val="single" w:sz="2" w:space="0" w:color="000000"/>
                    <w:right w:val="single" w:sz="2" w:space="0" w:color="000000"/>
                  </w:tcBorders>
                </w:tcPr>
                <w:p w14:paraId="0A8EC9FD" w14:textId="77777777" w:rsidR="00053D93" w:rsidRDefault="00260B75">
                  <w:pPr>
                    <w:spacing w:line="232" w:lineRule="auto"/>
                    <w:ind w:left="483" w:hanging="346"/>
                  </w:pPr>
                  <w:r>
                    <w:rPr>
                      <w:sz w:val="18"/>
                    </w:rPr>
                    <w:t>de dos de</w:t>
                  </w:r>
                </w:p>
                <w:p w14:paraId="22E7AFCD" w14:textId="77777777" w:rsidR="00053D93" w:rsidRDefault="00260B75">
                  <w:pPr>
                    <w:ind w:left="7"/>
                    <w:jc w:val="both"/>
                  </w:pPr>
                  <w:r>
                    <w:rPr>
                      <w:sz w:val="16"/>
                    </w:rPr>
                    <w:t>23116446</w:t>
                  </w:r>
                </w:p>
                <w:p w14:paraId="2D50217C" w14:textId="77777777" w:rsidR="00053D93" w:rsidRDefault="00260B75">
                  <w:pPr>
                    <w:spacing w:line="251" w:lineRule="auto"/>
                  </w:pPr>
                  <w:r>
                    <w:rPr>
                      <w:rFonts w:ascii="Times New Roman" w:eastAsia="Times New Roman" w:hAnsi="Times New Roman" w:cs="Times New Roman"/>
                      <w:sz w:val="16"/>
                    </w:rPr>
                    <w:t>23480482 231 16062 231 16823</w:t>
                  </w:r>
                </w:p>
                <w:p w14:paraId="76214A5A" w14:textId="77777777" w:rsidR="00053D93" w:rsidRDefault="00260B75">
                  <w:pPr>
                    <w:ind w:left="7"/>
                  </w:pPr>
                  <w:r>
                    <w:rPr>
                      <w:rFonts w:ascii="Times New Roman" w:eastAsia="Times New Roman" w:hAnsi="Times New Roman" w:cs="Times New Roman"/>
                      <w:sz w:val="16"/>
                    </w:rPr>
                    <w:t>23154645</w:t>
                  </w:r>
                </w:p>
                <w:p w14:paraId="762E5F02" w14:textId="77777777" w:rsidR="00053D93" w:rsidRDefault="00260B75">
                  <w:r>
                    <w:rPr>
                      <w:rFonts w:ascii="Times New Roman" w:eastAsia="Times New Roman" w:hAnsi="Times New Roman" w:cs="Times New Roman"/>
                      <w:sz w:val="16"/>
                    </w:rPr>
                    <w:t>23479762</w:t>
                  </w:r>
                </w:p>
                <w:p w14:paraId="6BFFBF25" w14:textId="77777777" w:rsidR="00053D93" w:rsidRDefault="00260B75">
                  <w:r>
                    <w:rPr>
                      <w:rFonts w:ascii="Times New Roman" w:eastAsia="Times New Roman" w:hAnsi="Times New Roman" w:cs="Times New Roman"/>
                      <w:sz w:val="16"/>
                    </w:rPr>
                    <w:t>23480456</w:t>
                  </w:r>
                </w:p>
                <w:p w14:paraId="4D54CC2D" w14:textId="77777777" w:rsidR="00053D93" w:rsidRDefault="00260B75">
                  <w:pPr>
                    <w:ind w:left="7"/>
                  </w:pPr>
                  <w:r>
                    <w:rPr>
                      <w:rFonts w:ascii="Times New Roman" w:eastAsia="Times New Roman" w:hAnsi="Times New Roman" w:cs="Times New Roman"/>
                      <w:sz w:val="16"/>
                    </w:rPr>
                    <w:t>231 16806</w:t>
                  </w:r>
                </w:p>
                <w:p w14:paraId="4929BD2E" w14:textId="77777777" w:rsidR="00053D93" w:rsidRDefault="00260B75">
                  <w:pPr>
                    <w:ind w:left="7"/>
                  </w:pPr>
                  <w:r>
                    <w:rPr>
                      <w:rFonts w:ascii="Times New Roman" w:eastAsia="Times New Roman" w:hAnsi="Times New Roman" w:cs="Times New Roman"/>
                      <w:sz w:val="16"/>
                    </w:rPr>
                    <w:t>23480235</w:t>
                  </w:r>
                </w:p>
                <w:p w14:paraId="614B5797" w14:textId="77777777" w:rsidR="00053D93" w:rsidRDefault="00260B75">
                  <w:pPr>
                    <w:ind w:left="7"/>
                  </w:pPr>
                  <w:r>
                    <w:rPr>
                      <w:rFonts w:ascii="Times New Roman" w:eastAsia="Times New Roman" w:hAnsi="Times New Roman" w:cs="Times New Roman"/>
                      <w:sz w:val="16"/>
                    </w:rPr>
                    <w:t>231 16515</w:t>
                  </w:r>
                </w:p>
                <w:p w14:paraId="226C1971" w14:textId="77777777" w:rsidR="00053D93" w:rsidRDefault="00260B75">
                  <w:pPr>
                    <w:jc w:val="both"/>
                  </w:pPr>
                  <w:r>
                    <w:rPr>
                      <w:rFonts w:ascii="Times New Roman" w:eastAsia="Times New Roman" w:hAnsi="Times New Roman" w:cs="Times New Roman"/>
                      <w:sz w:val="18"/>
                    </w:rPr>
                    <w:t>231 16945</w:t>
                  </w:r>
                </w:p>
                <w:p w14:paraId="2818D8DF" w14:textId="77777777" w:rsidR="00053D93" w:rsidRDefault="00260B75">
                  <w:pPr>
                    <w:ind w:left="7"/>
                    <w:jc w:val="both"/>
                  </w:pPr>
                  <w:r>
                    <w:rPr>
                      <w:rFonts w:ascii="Times New Roman" w:eastAsia="Times New Roman" w:hAnsi="Times New Roman" w:cs="Times New Roman"/>
                      <w:sz w:val="16"/>
                    </w:rPr>
                    <w:t>231 15927</w:t>
                  </w:r>
                </w:p>
                <w:p w14:paraId="5C44AE2A" w14:textId="77777777" w:rsidR="00053D93" w:rsidRDefault="00260B75">
                  <w:r>
                    <w:rPr>
                      <w:rFonts w:ascii="Times New Roman" w:eastAsia="Times New Roman" w:hAnsi="Times New Roman" w:cs="Times New Roman"/>
                      <w:sz w:val="16"/>
                    </w:rPr>
                    <w:t>23153659</w:t>
                  </w:r>
                </w:p>
              </w:tc>
              <w:tc>
                <w:tcPr>
                  <w:tcW w:w="1001" w:type="dxa"/>
                  <w:tcBorders>
                    <w:top w:val="single" w:sz="2" w:space="0" w:color="000000"/>
                    <w:left w:val="single" w:sz="2" w:space="0" w:color="000000"/>
                    <w:bottom w:val="single" w:sz="2" w:space="0" w:color="000000"/>
                    <w:right w:val="single" w:sz="2" w:space="0" w:color="000000"/>
                  </w:tcBorders>
                </w:tcPr>
                <w:p w14:paraId="51DA6237" w14:textId="77777777" w:rsidR="00053D93" w:rsidRDefault="00053D93"/>
              </w:tc>
            </w:tr>
            <w:tr w:rsidR="00053D93" w14:paraId="019DEC2A" w14:textId="77777777">
              <w:trPr>
                <w:trHeight w:val="608"/>
              </w:trPr>
              <w:tc>
                <w:tcPr>
                  <w:tcW w:w="0" w:type="auto"/>
                  <w:vMerge/>
                  <w:tcBorders>
                    <w:top w:val="nil"/>
                    <w:left w:val="single" w:sz="2" w:space="0" w:color="000000"/>
                    <w:bottom w:val="nil"/>
                    <w:right w:val="single" w:sz="2" w:space="0" w:color="000000"/>
                  </w:tcBorders>
                </w:tcPr>
                <w:p w14:paraId="304FD41E" w14:textId="77777777" w:rsidR="00053D93" w:rsidRDefault="00053D93"/>
              </w:tc>
              <w:tc>
                <w:tcPr>
                  <w:tcW w:w="0" w:type="auto"/>
                  <w:vMerge/>
                  <w:tcBorders>
                    <w:top w:val="nil"/>
                    <w:left w:val="single" w:sz="2" w:space="0" w:color="000000"/>
                    <w:bottom w:val="nil"/>
                    <w:right w:val="nil"/>
                  </w:tcBorders>
                </w:tcPr>
                <w:p w14:paraId="01894E5B" w14:textId="77777777" w:rsidR="00053D93" w:rsidRDefault="00053D93"/>
              </w:tc>
              <w:tc>
                <w:tcPr>
                  <w:tcW w:w="176" w:type="dxa"/>
                  <w:tcBorders>
                    <w:top w:val="nil"/>
                    <w:left w:val="single" w:sz="2" w:space="0" w:color="000000"/>
                    <w:bottom w:val="nil"/>
                    <w:right w:val="single" w:sz="2" w:space="0" w:color="000000"/>
                  </w:tcBorders>
                </w:tcPr>
                <w:p w14:paraId="0B8FA92B" w14:textId="77777777" w:rsidR="00053D93" w:rsidRDefault="00053D93"/>
              </w:tc>
              <w:tc>
                <w:tcPr>
                  <w:tcW w:w="7600" w:type="dxa"/>
                  <w:gridSpan w:val="8"/>
                  <w:tcBorders>
                    <w:top w:val="single" w:sz="2" w:space="0" w:color="000000"/>
                    <w:left w:val="single" w:sz="2" w:space="0" w:color="000000"/>
                    <w:bottom w:val="nil"/>
                    <w:right w:val="nil"/>
                  </w:tcBorders>
                </w:tcPr>
                <w:p w14:paraId="21597B44" w14:textId="77777777" w:rsidR="00053D93" w:rsidRDefault="00260B75">
                  <w:pPr>
                    <w:ind w:left="2570"/>
                  </w:pPr>
                  <w:r>
                    <w:rPr>
                      <w:sz w:val="14"/>
                    </w:rPr>
                    <w:t>MINISTERIO DE EDUCACION</w:t>
                  </w:r>
                </w:p>
                <w:p w14:paraId="00DA97DE" w14:textId="77777777" w:rsidR="00053D93" w:rsidRDefault="00260B75">
                  <w:pPr>
                    <w:ind w:left="2081"/>
                  </w:pPr>
                  <w:r>
                    <w:rPr>
                      <w:sz w:val="14"/>
                    </w:rPr>
                    <w:t>AUDITORIA FINANCIERA Y DE CUMPLIMIENTO</w:t>
                  </w:r>
                </w:p>
                <w:p w14:paraId="5D00C54C" w14:textId="77777777" w:rsidR="00053D93" w:rsidRDefault="00260B75">
                  <w:pPr>
                    <w:ind w:left="1735"/>
                  </w:pPr>
                  <w:r>
                    <w:rPr>
                      <w:sz w:val="14"/>
                    </w:rPr>
                    <w:t>PERIODO DEL 01 DE ENERO AL 31 DE DICIEMBRE OE 2024</w:t>
                  </w:r>
                </w:p>
              </w:tc>
            </w:tr>
          </w:tbl>
          <w:p w14:paraId="2279ABAD" w14:textId="77777777" w:rsidR="00053D93" w:rsidRDefault="00053D93"/>
        </w:tc>
      </w:tr>
    </w:tbl>
    <w:p w14:paraId="2F3FDDF6" w14:textId="77777777" w:rsidR="00053D93" w:rsidRDefault="00260B75">
      <w:pPr>
        <w:spacing w:after="272" w:line="265" w:lineRule="auto"/>
        <w:ind w:left="7541" w:hanging="10"/>
      </w:pPr>
      <w:r>
        <w:rPr>
          <w:sz w:val="14"/>
        </w:rPr>
        <w:t xml:space="preserve">EOUCACtåN. </w:t>
      </w:r>
    </w:p>
    <w:tbl>
      <w:tblPr>
        <w:tblStyle w:val="TableGrid"/>
        <w:tblW w:w="9401" w:type="dxa"/>
        <w:tblInd w:w="-22" w:type="dxa"/>
        <w:tblLook w:val="04A0" w:firstRow="1" w:lastRow="0" w:firstColumn="1" w:lastColumn="0" w:noHBand="0" w:noVBand="1"/>
      </w:tblPr>
      <w:tblGrid>
        <w:gridCol w:w="1008"/>
        <w:gridCol w:w="10482"/>
      </w:tblGrid>
      <w:tr w:rsidR="00053D93" w14:paraId="6A733D60" w14:textId="77777777">
        <w:trPr>
          <w:trHeight w:val="13906"/>
        </w:trPr>
        <w:tc>
          <w:tcPr>
            <w:tcW w:w="1013" w:type="dxa"/>
            <w:tcBorders>
              <w:top w:val="nil"/>
              <w:left w:val="nil"/>
              <w:bottom w:val="nil"/>
              <w:right w:val="nil"/>
            </w:tcBorders>
            <w:vAlign w:val="bottom"/>
          </w:tcPr>
          <w:p w14:paraId="403304AA" w14:textId="77777777" w:rsidR="00053D93" w:rsidRDefault="00260B75">
            <w:r>
              <w:rPr>
                <w:noProof/>
              </w:rPr>
              <w:drawing>
                <wp:inline distT="0" distB="0" distL="0" distR="0" wp14:anchorId="45435078" wp14:editId="4272D386">
                  <wp:extent cx="640080" cy="416051"/>
                  <wp:effectExtent l="0" t="0" r="0" b="0"/>
                  <wp:docPr id="764752" name="Picture 764752"/>
                  <wp:cNvGraphicFramePr/>
                  <a:graphic xmlns:a="http://schemas.openxmlformats.org/drawingml/2006/main">
                    <a:graphicData uri="http://schemas.openxmlformats.org/drawingml/2006/picture">
                      <pic:pic xmlns:pic="http://schemas.openxmlformats.org/drawingml/2006/picture">
                        <pic:nvPicPr>
                          <pic:cNvPr id="764752" name="Picture 764752"/>
                          <pic:cNvPicPr/>
                        </pic:nvPicPr>
                        <pic:blipFill>
                          <a:blip r:embed="rId1075"/>
                          <a:stretch>
                            <a:fillRect/>
                          </a:stretch>
                        </pic:blipFill>
                        <pic:spPr>
                          <a:xfrm>
                            <a:off x="0" y="0"/>
                            <a:ext cx="640080" cy="416051"/>
                          </a:xfrm>
                          <a:prstGeom prst="rect">
                            <a:avLst/>
                          </a:prstGeom>
                        </pic:spPr>
                      </pic:pic>
                    </a:graphicData>
                  </a:graphic>
                </wp:inline>
              </w:drawing>
            </w:r>
          </w:p>
        </w:tc>
        <w:tc>
          <w:tcPr>
            <w:tcW w:w="8387" w:type="dxa"/>
            <w:tcBorders>
              <w:top w:val="nil"/>
              <w:left w:val="nil"/>
              <w:bottom w:val="nil"/>
              <w:right w:val="nil"/>
            </w:tcBorders>
          </w:tcPr>
          <w:p w14:paraId="0046CB3C" w14:textId="77777777" w:rsidR="00053D93" w:rsidRDefault="00053D93">
            <w:pPr>
              <w:ind w:left="-2093" w:right="10481"/>
            </w:pPr>
          </w:p>
          <w:tbl>
            <w:tblPr>
              <w:tblStyle w:val="TableGrid"/>
              <w:tblW w:w="8382" w:type="dxa"/>
              <w:tblInd w:w="5" w:type="dxa"/>
              <w:tblLook w:val="04A0" w:firstRow="1" w:lastRow="0" w:firstColumn="1" w:lastColumn="0" w:noHBand="0" w:noVBand="1"/>
            </w:tblPr>
            <w:tblGrid>
              <w:gridCol w:w="303"/>
              <w:gridCol w:w="253"/>
              <w:gridCol w:w="194"/>
              <w:gridCol w:w="835"/>
              <w:gridCol w:w="871"/>
              <w:gridCol w:w="765"/>
              <w:gridCol w:w="1612"/>
              <w:gridCol w:w="875"/>
              <w:gridCol w:w="953"/>
              <w:gridCol w:w="723"/>
              <w:gridCol w:w="998"/>
            </w:tblGrid>
            <w:tr w:rsidR="00053D93" w14:paraId="6D919CD1" w14:textId="77777777">
              <w:trPr>
                <w:trHeight w:val="1989"/>
              </w:trPr>
              <w:tc>
                <w:tcPr>
                  <w:tcW w:w="301" w:type="dxa"/>
                  <w:tcBorders>
                    <w:top w:val="single" w:sz="2" w:space="0" w:color="000000"/>
                    <w:left w:val="single" w:sz="2" w:space="0" w:color="000000"/>
                    <w:bottom w:val="single" w:sz="2" w:space="0" w:color="000000"/>
                    <w:right w:val="single" w:sz="2" w:space="0" w:color="000000"/>
                  </w:tcBorders>
                </w:tcPr>
                <w:p w14:paraId="36EF73F2" w14:textId="77777777" w:rsidR="00053D93" w:rsidRDefault="00053D93"/>
              </w:tc>
              <w:tc>
                <w:tcPr>
                  <w:tcW w:w="1286" w:type="dxa"/>
                  <w:gridSpan w:val="3"/>
                  <w:vMerge w:val="restart"/>
                  <w:tcBorders>
                    <w:top w:val="single" w:sz="2" w:space="0" w:color="000000"/>
                    <w:left w:val="single" w:sz="2" w:space="0" w:color="000000"/>
                    <w:bottom w:val="single" w:sz="2" w:space="0" w:color="000000"/>
                    <w:right w:val="single" w:sz="2" w:space="0" w:color="000000"/>
                  </w:tcBorders>
                </w:tcPr>
                <w:p w14:paraId="1B3FD8C5"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7B6BB4DC" w14:textId="77777777" w:rsidR="00053D93" w:rsidRDefault="00053D93"/>
              </w:tc>
              <w:tc>
                <w:tcPr>
                  <w:tcW w:w="768" w:type="dxa"/>
                  <w:tcBorders>
                    <w:top w:val="single" w:sz="2" w:space="0" w:color="000000"/>
                    <w:left w:val="single" w:sz="2" w:space="0" w:color="000000"/>
                    <w:bottom w:val="single" w:sz="2" w:space="0" w:color="000000"/>
                    <w:right w:val="single" w:sz="2" w:space="0" w:color="000000"/>
                  </w:tcBorders>
                </w:tcPr>
                <w:p w14:paraId="6E065E12" w14:textId="77777777" w:rsidR="00053D93" w:rsidRDefault="00053D93"/>
              </w:tc>
              <w:tc>
                <w:tcPr>
                  <w:tcW w:w="1615" w:type="dxa"/>
                  <w:tcBorders>
                    <w:top w:val="single" w:sz="2" w:space="0" w:color="000000"/>
                    <w:left w:val="single" w:sz="2" w:space="0" w:color="000000"/>
                    <w:bottom w:val="single" w:sz="2" w:space="0" w:color="000000"/>
                    <w:right w:val="single" w:sz="2" w:space="0" w:color="000000"/>
                  </w:tcBorders>
                </w:tcPr>
                <w:p w14:paraId="0553C603" w14:textId="77777777" w:rsidR="00053D93" w:rsidRDefault="00260B75">
                  <w:pPr>
                    <w:spacing w:after="2" w:line="243" w:lineRule="auto"/>
                    <w:ind w:left="96" w:firstLine="14"/>
                    <w:jc w:val="both"/>
                  </w:pPr>
                  <w:r>
                    <w:rPr>
                      <w:sz w:val="16"/>
                    </w:rPr>
                    <w:t>001 EDIOE; 001 ED109 001 EDOEB; 001 EDIOD</w:t>
                  </w:r>
                </w:p>
                <w:p w14:paraId="79E02319" w14:textId="77777777" w:rsidR="00053D93" w:rsidRDefault="00260B75">
                  <w:pPr>
                    <w:ind w:left="118"/>
                  </w:pPr>
                  <w:r>
                    <w:rPr>
                      <w:sz w:val="14"/>
                    </w:rPr>
                    <w:t>001 EDOF5; 001</w:t>
                  </w:r>
                </w:p>
                <w:p w14:paraId="26AF7743" w14:textId="77777777" w:rsidR="00053D93" w:rsidRDefault="00260B75">
                  <w:pPr>
                    <w:ind w:left="118"/>
                  </w:pPr>
                  <w:r>
                    <w:rPr>
                      <w:sz w:val="16"/>
                    </w:rPr>
                    <w:t>001 ED107; 001 EDOFO</w:t>
                  </w:r>
                </w:p>
                <w:p w14:paraId="347EFE83" w14:textId="77777777" w:rsidR="00053D93" w:rsidRDefault="00260B75">
                  <w:pPr>
                    <w:ind w:left="118"/>
                  </w:pPr>
                  <w:r>
                    <w:rPr>
                      <w:sz w:val="16"/>
                    </w:rPr>
                    <w:t>001 EDOF7; 001 EDIOO</w:t>
                  </w:r>
                </w:p>
                <w:p w14:paraId="06F6B1C6" w14:textId="77777777" w:rsidR="00053D93" w:rsidRDefault="00260B75">
                  <w:pPr>
                    <w:tabs>
                      <w:tab w:val="center" w:pos="1158"/>
                    </w:tabs>
                    <w:spacing w:after="19"/>
                  </w:pPr>
                  <w:r>
                    <w:rPr>
                      <w:sz w:val="14"/>
                    </w:rPr>
                    <w:t xml:space="preserve">001 </w:t>
                  </w:r>
                  <w:r>
                    <w:rPr>
                      <w:sz w:val="14"/>
                    </w:rPr>
                    <w:tab/>
                    <w:t>001 EDOF4</w:t>
                  </w:r>
                </w:p>
                <w:p w14:paraId="410EA5AA" w14:textId="77777777" w:rsidR="00053D93" w:rsidRDefault="00260B75">
                  <w:pPr>
                    <w:spacing w:line="256" w:lineRule="auto"/>
                    <w:ind w:left="111" w:firstLine="14"/>
                  </w:pPr>
                  <w:r>
                    <w:rPr>
                      <w:sz w:val="14"/>
                    </w:rPr>
                    <w:t>001 EDI 02; 001 EDI 05 001 EDIOA: 001 EDOF6</w:t>
                  </w:r>
                </w:p>
                <w:p w14:paraId="69F62F17" w14:textId="77777777" w:rsidR="00053D93" w:rsidRDefault="00260B75">
                  <w:pPr>
                    <w:ind w:left="111"/>
                  </w:pPr>
                  <w:r>
                    <w:rPr>
                      <w:sz w:val="14"/>
                    </w:rPr>
                    <w:t>001 EDOEC; 001 ED 103</w:t>
                  </w:r>
                </w:p>
                <w:p w14:paraId="2479785F" w14:textId="77777777" w:rsidR="00053D93" w:rsidRDefault="00260B75">
                  <w:pPr>
                    <w:ind w:left="111"/>
                  </w:pPr>
                  <w:r>
                    <w:rPr>
                      <w:sz w:val="16"/>
                    </w:rPr>
                    <w:t>001 EDOF3; OOIEDOEE</w:t>
                  </w:r>
                </w:p>
                <w:p w14:paraId="630BA761" w14:textId="77777777" w:rsidR="00053D93" w:rsidRDefault="00260B75">
                  <w:pPr>
                    <w:ind w:right="33"/>
                    <w:jc w:val="center"/>
                  </w:pPr>
                  <w:r>
                    <w:rPr>
                      <w:sz w:val="16"/>
                    </w:rPr>
                    <w:t>001 ED106</w:t>
                  </w:r>
                </w:p>
              </w:tc>
              <w:tc>
                <w:tcPr>
                  <w:tcW w:w="2542" w:type="dxa"/>
                  <w:gridSpan w:val="3"/>
                  <w:tcBorders>
                    <w:top w:val="single" w:sz="2" w:space="0" w:color="000000"/>
                    <w:left w:val="single" w:sz="2" w:space="0" w:color="000000"/>
                    <w:bottom w:val="single" w:sz="2" w:space="0" w:color="000000"/>
                    <w:right w:val="single" w:sz="2" w:space="0" w:color="000000"/>
                  </w:tcBorders>
                </w:tcPr>
                <w:p w14:paraId="51213065" w14:textId="77777777" w:rsidR="00053D93" w:rsidRDefault="00260B75">
                  <w:pPr>
                    <w:spacing w:line="322" w:lineRule="auto"/>
                    <w:ind w:left="65" w:right="94" w:firstLine="7"/>
                    <w:jc w:val="both"/>
                  </w:pPr>
                  <w:r>
                    <w:rPr>
                      <w:rFonts w:ascii="Times New Roman" w:eastAsia="Times New Roman" w:hAnsi="Times New Roman" w:cs="Times New Roman"/>
                      <w:sz w:val="16"/>
                    </w:rPr>
                    <w:t>23153626 23480519 23116064 23116784 23480681 23480440 23116946 23116722 23116007</w:t>
                  </w:r>
                </w:p>
                <w:p w14:paraId="014A6BB6" w14:textId="77777777" w:rsidR="00053D93" w:rsidRDefault="00260B75">
                  <w:pPr>
                    <w:spacing w:after="40"/>
                    <w:ind w:left="72"/>
                  </w:pPr>
                  <w:r>
                    <w:rPr>
                      <w:rFonts w:ascii="Times New Roman" w:eastAsia="Times New Roman" w:hAnsi="Times New Roman" w:cs="Times New Roman"/>
                      <w:sz w:val="16"/>
                    </w:rPr>
                    <w:t>231 16942 23116522 23116872</w:t>
                  </w:r>
                </w:p>
                <w:p w14:paraId="1F12D081" w14:textId="77777777" w:rsidR="00053D93" w:rsidRDefault="00260B75">
                  <w:pPr>
                    <w:ind w:right="94"/>
                    <w:jc w:val="right"/>
                  </w:pPr>
                  <w:r>
                    <w:rPr>
                      <w:noProof/>
                    </w:rPr>
                    <w:drawing>
                      <wp:inline distT="0" distB="0" distL="0" distR="0" wp14:anchorId="4A29A3E8" wp14:editId="3A81C829">
                        <wp:extent cx="402337" cy="77724"/>
                        <wp:effectExtent l="0" t="0" r="0" b="0"/>
                        <wp:docPr id="764551" name="Picture 764551"/>
                        <wp:cNvGraphicFramePr/>
                        <a:graphic xmlns:a="http://schemas.openxmlformats.org/drawingml/2006/main">
                          <a:graphicData uri="http://schemas.openxmlformats.org/drawingml/2006/picture">
                            <pic:pic xmlns:pic="http://schemas.openxmlformats.org/drawingml/2006/picture">
                              <pic:nvPicPr>
                                <pic:cNvPr id="764551" name="Picture 764551"/>
                                <pic:cNvPicPr/>
                              </pic:nvPicPr>
                              <pic:blipFill>
                                <a:blip r:embed="rId1076"/>
                                <a:stretch>
                                  <a:fillRect/>
                                </a:stretch>
                              </pic:blipFill>
                              <pic:spPr>
                                <a:xfrm>
                                  <a:off x="0" y="0"/>
                                  <a:ext cx="402337" cy="77724"/>
                                </a:xfrm>
                                <a:prstGeom prst="rect">
                                  <a:avLst/>
                                </a:prstGeom>
                              </pic:spPr>
                            </pic:pic>
                          </a:graphicData>
                        </a:graphic>
                      </wp:inline>
                    </w:drawing>
                  </w:r>
                  <w:r>
                    <w:rPr>
                      <w:sz w:val="16"/>
                    </w:rPr>
                    <w:t xml:space="preserve"> 23480475 con valor de</w:t>
                  </w:r>
                </w:p>
                <w:p w14:paraId="2FD59EDC" w14:textId="77777777" w:rsidR="00053D93" w:rsidRDefault="00260B75">
                  <w:pPr>
                    <w:ind w:left="79"/>
                  </w:pPr>
                  <w:r>
                    <w:rPr>
                      <w:sz w:val="16"/>
                    </w:rPr>
                    <w:t>(2250.00 du.</w:t>
                  </w:r>
                </w:p>
              </w:tc>
              <w:tc>
                <w:tcPr>
                  <w:tcW w:w="998" w:type="dxa"/>
                  <w:tcBorders>
                    <w:top w:val="single" w:sz="2" w:space="0" w:color="000000"/>
                    <w:left w:val="single" w:sz="2" w:space="0" w:color="000000"/>
                    <w:bottom w:val="single" w:sz="2" w:space="0" w:color="000000"/>
                    <w:right w:val="single" w:sz="2" w:space="0" w:color="000000"/>
                  </w:tcBorders>
                  <w:vAlign w:val="bottom"/>
                </w:tcPr>
                <w:p w14:paraId="313C3387" w14:textId="77777777" w:rsidR="00053D93" w:rsidRDefault="00260B75">
                  <w:pPr>
                    <w:ind w:left="274"/>
                  </w:pPr>
                  <w:r>
                    <w:rPr>
                      <w:rFonts w:ascii="Times New Roman" w:eastAsia="Times New Roman" w:hAnsi="Times New Roman" w:cs="Times New Roman"/>
                      <w:sz w:val="16"/>
                    </w:rPr>
                    <w:t>12,750.00</w:t>
                  </w:r>
                </w:p>
              </w:tc>
            </w:tr>
            <w:tr w:rsidR="00053D93" w14:paraId="38208500" w14:textId="77777777">
              <w:trPr>
                <w:trHeight w:val="404"/>
              </w:trPr>
              <w:tc>
                <w:tcPr>
                  <w:tcW w:w="301" w:type="dxa"/>
                  <w:tcBorders>
                    <w:top w:val="single" w:sz="2" w:space="0" w:color="000000"/>
                    <w:left w:val="single" w:sz="2" w:space="0" w:color="000000"/>
                    <w:bottom w:val="single" w:sz="2" w:space="0" w:color="000000"/>
                    <w:right w:val="single" w:sz="2" w:space="0" w:color="000000"/>
                  </w:tcBorders>
                </w:tcPr>
                <w:p w14:paraId="0639ED29" w14:textId="77777777" w:rsidR="00053D93" w:rsidRDefault="00260B75">
                  <w:pPr>
                    <w:ind w:left="25"/>
                  </w:pPr>
                  <w:r>
                    <w:rPr>
                      <w:rFonts w:ascii="Times New Roman" w:eastAsia="Times New Roman" w:hAnsi="Times New Roman" w:cs="Times New Roman"/>
                      <w:sz w:val="16"/>
                    </w:rPr>
                    <w:t>35</w:t>
                  </w:r>
                </w:p>
              </w:tc>
              <w:tc>
                <w:tcPr>
                  <w:tcW w:w="0" w:type="auto"/>
                  <w:gridSpan w:val="3"/>
                  <w:vMerge/>
                  <w:tcBorders>
                    <w:top w:val="nil"/>
                    <w:left w:val="single" w:sz="2" w:space="0" w:color="000000"/>
                    <w:bottom w:val="nil"/>
                    <w:right w:val="single" w:sz="2" w:space="0" w:color="000000"/>
                  </w:tcBorders>
                </w:tcPr>
                <w:p w14:paraId="774BF710"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3852115B" w14:textId="77777777" w:rsidR="00053D93" w:rsidRDefault="00260B75">
                  <w:pPr>
                    <w:ind w:left="79"/>
                  </w:pPr>
                  <w:r>
                    <w:rPr>
                      <w:rFonts w:ascii="Times New Roman" w:eastAsia="Times New Roman" w:hAnsi="Times New Roman" w:cs="Times New Roman"/>
                      <w:sz w:val="16"/>
                    </w:rPr>
                    <w:t>03/12/2012</w:t>
                  </w:r>
                </w:p>
              </w:tc>
              <w:tc>
                <w:tcPr>
                  <w:tcW w:w="768" w:type="dxa"/>
                  <w:tcBorders>
                    <w:top w:val="single" w:sz="2" w:space="0" w:color="000000"/>
                    <w:left w:val="single" w:sz="2" w:space="0" w:color="000000"/>
                    <w:bottom w:val="single" w:sz="2" w:space="0" w:color="000000"/>
                    <w:right w:val="single" w:sz="2" w:space="0" w:color="000000"/>
                  </w:tcBorders>
                </w:tcPr>
                <w:p w14:paraId="3F70A34E" w14:textId="77777777" w:rsidR="00053D93" w:rsidRDefault="00260B75">
                  <w:pPr>
                    <w:ind w:left="3"/>
                    <w:jc w:val="center"/>
                  </w:pPr>
                  <w:r>
                    <w:rPr>
                      <w:rFonts w:ascii="Times New Roman" w:eastAsia="Times New Roman" w:hAnsi="Times New Roman" w:cs="Times New Roman"/>
                      <w:sz w:val="14"/>
                    </w:rPr>
                    <w:t>2</w:t>
                  </w:r>
                </w:p>
              </w:tc>
              <w:tc>
                <w:tcPr>
                  <w:tcW w:w="1615" w:type="dxa"/>
                  <w:tcBorders>
                    <w:top w:val="single" w:sz="2" w:space="0" w:color="000000"/>
                    <w:left w:val="single" w:sz="2" w:space="0" w:color="000000"/>
                    <w:bottom w:val="single" w:sz="2" w:space="0" w:color="000000"/>
                    <w:right w:val="single" w:sz="2" w:space="0" w:color="000000"/>
                  </w:tcBorders>
                </w:tcPr>
                <w:p w14:paraId="5F35B99B" w14:textId="77777777" w:rsidR="00053D93" w:rsidRDefault="00260B75">
                  <w:pPr>
                    <w:ind w:right="12"/>
                    <w:jc w:val="center"/>
                  </w:pPr>
                  <w:r>
                    <w:rPr>
                      <w:sz w:val="16"/>
                    </w:rPr>
                    <w:t>001 F3468 001 F3466</w:t>
                  </w:r>
                </w:p>
              </w:tc>
              <w:tc>
                <w:tcPr>
                  <w:tcW w:w="2542" w:type="dxa"/>
                  <w:gridSpan w:val="3"/>
                  <w:tcBorders>
                    <w:top w:val="single" w:sz="2" w:space="0" w:color="000000"/>
                    <w:left w:val="single" w:sz="2" w:space="0" w:color="000000"/>
                    <w:bottom w:val="single" w:sz="2" w:space="0" w:color="000000"/>
                    <w:right w:val="single" w:sz="2" w:space="0" w:color="000000"/>
                  </w:tcBorders>
                </w:tcPr>
                <w:p w14:paraId="2B1E5A15" w14:textId="77777777" w:rsidR="00053D93" w:rsidRDefault="00260B75">
                  <w:pPr>
                    <w:ind w:left="72" w:firstLine="7"/>
                  </w:pPr>
                  <w:r>
                    <w:rPr>
                      <w:sz w:val="16"/>
                    </w:rPr>
                    <w:t>Marcos de Metal para Papi futbol con valor de Q. 2103.14 clu.</w:t>
                  </w:r>
                </w:p>
              </w:tc>
              <w:tc>
                <w:tcPr>
                  <w:tcW w:w="998" w:type="dxa"/>
                  <w:tcBorders>
                    <w:top w:val="single" w:sz="2" w:space="0" w:color="000000"/>
                    <w:left w:val="single" w:sz="2" w:space="0" w:color="000000"/>
                    <w:bottom w:val="single" w:sz="2" w:space="0" w:color="000000"/>
                    <w:right w:val="single" w:sz="2" w:space="0" w:color="000000"/>
                  </w:tcBorders>
                  <w:vAlign w:val="bottom"/>
                </w:tcPr>
                <w:p w14:paraId="4672AB40" w14:textId="77777777" w:rsidR="00053D93" w:rsidRDefault="00260B75">
                  <w:pPr>
                    <w:ind w:left="346"/>
                  </w:pPr>
                  <w:r>
                    <w:rPr>
                      <w:rFonts w:ascii="Times New Roman" w:eastAsia="Times New Roman" w:hAnsi="Times New Roman" w:cs="Times New Roman"/>
                      <w:sz w:val="16"/>
                    </w:rPr>
                    <w:t>4,206.28</w:t>
                  </w:r>
                </w:p>
              </w:tc>
            </w:tr>
            <w:tr w:rsidR="00053D93" w14:paraId="07BB7F7D" w14:textId="77777777">
              <w:trPr>
                <w:trHeight w:val="4487"/>
              </w:trPr>
              <w:tc>
                <w:tcPr>
                  <w:tcW w:w="301" w:type="dxa"/>
                  <w:tcBorders>
                    <w:top w:val="single" w:sz="2" w:space="0" w:color="000000"/>
                    <w:left w:val="single" w:sz="2" w:space="0" w:color="000000"/>
                    <w:bottom w:val="single" w:sz="2" w:space="0" w:color="000000"/>
                    <w:right w:val="single" w:sz="2" w:space="0" w:color="000000"/>
                  </w:tcBorders>
                </w:tcPr>
                <w:p w14:paraId="529B272B" w14:textId="77777777" w:rsidR="00053D93" w:rsidRDefault="00260B75">
                  <w:pPr>
                    <w:ind w:left="18"/>
                  </w:pPr>
                  <w:r>
                    <w:rPr>
                      <w:rFonts w:ascii="Times New Roman" w:eastAsia="Times New Roman" w:hAnsi="Times New Roman" w:cs="Times New Roman"/>
                      <w:sz w:val="16"/>
                    </w:rPr>
                    <w:t>36</w:t>
                  </w:r>
                </w:p>
              </w:tc>
              <w:tc>
                <w:tcPr>
                  <w:tcW w:w="0" w:type="auto"/>
                  <w:gridSpan w:val="3"/>
                  <w:vMerge/>
                  <w:tcBorders>
                    <w:top w:val="nil"/>
                    <w:left w:val="single" w:sz="2" w:space="0" w:color="000000"/>
                    <w:bottom w:val="nil"/>
                    <w:right w:val="single" w:sz="2" w:space="0" w:color="000000"/>
                  </w:tcBorders>
                </w:tcPr>
                <w:p w14:paraId="253A721E"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4E38A60A" w14:textId="77777777" w:rsidR="00053D93" w:rsidRDefault="00260B75">
                  <w:pPr>
                    <w:ind w:left="79"/>
                  </w:pPr>
                  <w:r>
                    <w:rPr>
                      <w:rFonts w:ascii="Times New Roman" w:eastAsia="Times New Roman" w:hAnsi="Times New Roman" w:cs="Times New Roman"/>
                      <w:sz w:val="16"/>
                    </w:rPr>
                    <w:t>03/12/2012</w:t>
                  </w:r>
                </w:p>
              </w:tc>
              <w:tc>
                <w:tcPr>
                  <w:tcW w:w="768" w:type="dxa"/>
                  <w:tcBorders>
                    <w:top w:val="single" w:sz="2" w:space="0" w:color="000000"/>
                    <w:left w:val="single" w:sz="2" w:space="0" w:color="000000"/>
                    <w:bottom w:val="single" w:sz="2" w:space="0" w:color="000000"/>
                    <w:right w:val="single" w:sz="2" w:space="0" w:color="000000"/>
                  </w:tcBorders>
                </w:tcPr>
                <w:p w14:paraId="6E46AFDC" w14:textId="77777777" w:rsidR="00053D93" w:rsidRDefault="00260B75">
                  <w:pPr>
                    <w:ind w:right="12"/>
                    <w:jc w:val="center"/>
                  </w:pPr>
                  <w:r>
                    <w:rPr>
                      <w:rFonts w:ascii="Times New Roman" w:eastAsia="Times New Roman" w:hAnsi="Times New Roman" w:cs="Times New Roman"/>
                      <w:sz w:val="18"/>
                    </w:rPr>
                    <w:t>53</w:t>
                  </w:r>
                </w:p>
              </w:tc>
              <w:tc>
                <w:tcPr>
                  <w:tcW w:w="1615" w:type="dxa"/>
                  <w:tcBorders>
                    <w:top w:val="single" w:sz="2" w:space="0" w:color="000000"/>
                    <w:left w:val="single" w:sz="2" w:space="0" w:color="000000"/>
                    <w:bottom w:val="single" w:sz="2" w:space="0" w:color="000000"/>
                    <w:right w:val="single" w:sz="2" w:space="0" w:color="000000"/>
                  </w:tcBorders>
                </w:tcPr>
                <w:p w14:paraId="28D59025" w14:textId="77777777" w:rsidR="00053D93" w:rsidRDefault="00260B75">
                  <w:pPr>
                    <w:spacing w:line="216" w:lineRule="auto"/>
                    <w:ind w:left="13" w:right="47"/>
                    <w:jc w:val="center"/>
                  </w:pPr>
                  <w:r>
                    <w:rPr>
                      <w:sz w:val="14"/>
                    </w:rPr>
                    <w:t>OOOCA7B6; 001 EBE46 001 EBFB8; 01 EBFCF</w:t>
                  </w:r>
                </w:p>
                <w:p w14:paraId="2407B3C9" w14:textId="77777777" w:rsidR="00053D93" w:rsidRDefault="00260B75">
                  <w:pPr>
                    <w:ind w:left="118"/>
                  </w:pPr>
                  <w:r>
                    <w:rPr>
                      <w:sz w:val="14"/>
                    </w:rPr>
                    <w:t>001 EBFEF: 001 EBFFO</w:t>
                  </w:r>
                </w:p>
                <w:p w14:paraId="5688DF6A" w14:textId="77777777" w:rsidR="00053D93" w:rsidRDefault="00260B75">
                  <w:pPr>
                    <w:tabs>
                      <w:tab w:val="center" w:pos="222"/>
                      <w:tab w:val="center" w:pos="1147"/>
                    </w:tabs>
                  </w:pPr>
                  <w:r>
                    <w:rPr>
                      <w:sz w:val="14"/>
                    </w:rPr>
                    <w:tab/>
                    <w:t xml:space="preserve">001 </w:t>
                  </w:r>
                  <w:r>
                    <w:rPr>
                      <w:sz w:val="14"/>
                    </w:rPr>
                    <w:tab/>
                    <w:t>001 EBFF5</w:t>
                  </w:r>
                </w:p>
                <w:p w14:paraId="5BEFC497" w14:textId="77777777" w:rsidR="00053D93" w:rsidRDefault="00260B75">
                  <w:pPr>
                    <w:ind w:left="118"/>
                  </w:pPr>
                  <w:r>
                    <w:rPr>
                      <w:sz w:val="18"/>
                    </w:rPr>
                    <w:t>001 EBFF7; 001 EBFFA</w:t>
                  </w:r>
                </w:p>
                <w:p w14:paraId="1855C1F4" w14:textId="77777777" w:rsidR="00053D93" w:rsidRDefault="00260B75">
                  <w:pPr>
                    <w:ind w:left="118"/>
                  </w:pPr>
                  <w:r>
                    <w:rPr>
                      <w:sz w:val="18"/>
                    </w:rPr>
                    <w:t>001 EBFF9; 001 E8FFD</w:t>
                  </w:r>
                </w:p>
                <w:p w14:paraId="2CFE731A" w14:textId="77777777" w:rsidR="00053D93" w:rsidRDefault="00260B75">
                  <w:pPr>
                    <w:spacing w:line="238" w:lineRule="auto"/>
                    <w:ind w:left="132" w:firstLine="209"/>
                    <w:jc w:val="both"/>
                  </w:pPr>
                  <w:r>
                    <w:rPr>
                      <w:sz w:val="14"/>
                    </w:rPr>
                    <w:t>EBFFE; 001 EBFFF 001 ED37F; 001 ECOOI</w:t>
                  </w:r>
                </w:p>
                <w:p w14:paraId="38926E88" w14:textId="77777777" w:rsidR="00053D93" w:rsidRDefault="00260B75">
                  <w:pPr>
                    <w:ind w:left="132"/>
                  </w:pPr>
                  <w:r>
                    <w:rPr>
                      <w:sz w:val="16"/>
                    </w:rPr>
                    <w:t>001 EC004; 001 EC006</w:t>
                  </w:r>
                </w:p>
                <w:p w14:paraId="64A73930" w14:textId="77777777" w:rsidR="00053D93" w:rsidRDefault="00260B75">
                  <w:pPr>
                    <w:ind w:left="132"/>
                  </w:pPr>
                  <w:r>
                    <w:rPr>
                      <w:sz w:val="16"/>
                    </w:rPr>
                    <w:t>001 EC007: 001 EC009</w:t>
                  </w:r>
                </w:p>
                <w:p w14:paraId="7E49C1D9" w14:textId="77777777" w:rsidR="00053D93" w:rsidRDefault="00260B75">
                  <w:pPr>
                    <w:ind w:left="118"/>
                  </w:pPr>
                  <w:r>
                    <w:rPr>
                      <w:sz w:val="14"/>
                    </w:rPr>
                    <w:t>001 ECOOB; 001 Ecooc</w:t>
                  </w:r>
                </w:p>
                <w:p w14:paraId="6E9E92BF" w14:textId="77777777" w:rsidR="00053D93" w:rsidRDefault="00260B75">
                  <w:pPr>
                    <w:ind w:left="125"/>
                  </w:pPr>
                  <w:r>
                    <w:rPr>
                      <w:sz w:val="14"/>
                    </w:rPr>
                    <w:t>001 ECOOD; 001 EC022</w:t>
                  </w:r>
                </w:p>
                <w:p w14:paraId="54709F66" w14:textId="77777777" w:rsidR="00053D93" w:rsidRDefault="00260B75">
                  <w:pPr>
                    <w:ind w:left="125"/>
                  </w:pPr>
                  <w:r>
                    <w:rPr>
                      <w:sz w:val="16"/>
                    </w:rPr>
                    <w:t>001 EC025: 001 EC03A</w:t>
                  </w:r>
                </w:p>
                <w:p w14:paraId="7F9FE930" w14:textId="77777777" w:rsidR="00053D93" w:rsidRDefault="00260B75">
                  <w:pPr>
                    <w:ind w:left="118"/>
                  </w:pPr>
                  <w:r>
                    <w:rPr>
                      <w:sz w:val="16"/>
                    </w:rPr>
                    <w:t>001 EC03C; 001 EC03D</w:t>
                  </w:r>
                </w:p>
                <w:p w14:paraId="34C1CE2D" w14:textId="77777777" w:rsidR="00053D93" w:rsidRDefault="00260B75">
                  <w:pPr>
                    <w:ind w:left="125"/>
                  </w:pPr>
                  <w:r>
                    <w:rPr>
                      <w:sz w:val="14"/>
                    </w:rPr>
                    <w:t>001 EC03E: 001 EC080</w:t>
                  </w:r>
                </w:p>
                <w:p w14:paraId="0A0F5204" w14:textId="77777777" w:rsidR="00053D93" w:rsidRDefault="00260B75">
                  <w:pPr>
                    <w:ind w:left="132"/>
                  </w:pPr>
                  <w:r>
                    <w:rPr>
                      <w:sz w:val="16"/>
                    </w:rPr>
                    <w:t>001 EC082: 001 EC083</w:t>
                  </w:r>
                </w:p>
                <w:p w14:paraId="08CA29BD" w14:textId="77777777" w:rsidR="00053D93" w:rsidRDefault="00260B75">
                  <w:pPr>
                    <w:tabs>
                      <w:tab w:val="center" w:pos="237"/>
                      <w:tab w:val="center" w:pos="1162"/>
                    </w:tabs>
                    <w:spacing w:after="1"/>
                  </w:pPr>
                  <w:r>
                    <w:rPr>
                      <w:sz w:val="14"/>
                    </w:rPr>
                    <w:tab/>
                    <w:t xml:space="preserve">001 </w:t>
                  </w:r>
                  <w:r>
                    <w:rPr>
                      <w:sz w:val="14"/>
                    </w:rPr>
                    <w:tab/>
                    <w:t>001 ECOB9</w:t>
                  </w:r>
                </w:p>
                <w:p w14:paraId="4EAFF9AC" w14:textId="77777777" w:rsidR="00053D93" w:rsidRDefault="00260B75">
                  <w:pPr>
                    <w:ind w:left="118"/>
                  </w:pPr>
                  <w:r>
                    <w:rPr>
                      <w:sz w:val="16"/>
                    </w:rPr>
                    <w:t>001 EC08B; 001 EC08D</w:t>
                  </w:r>
                </w:p>
                <w:p w14:paraId="500A164C" w14:textId="77777777" w:rsidR="00053D93" w:rsidRDefault="00260B75">
                  <w:pPr>
                    <w:ind w:left="125"/>
                  </w:pPr>
                  <w:r>
                    <w:rPr>
                      <w:sz w:val="14"/>
                    </w:rPr>
                    <w:t>001 EC08E; 001 EC090</w:t>
                  </w:r>
                </w:p>
                <w:p w14:paraId="2E064125" w14:textId="77777777" w:rsidR="00053D93" w:rsidRDefault="00260B75">
                  <w:pPr>
                    <w:ind w:left="132"/>
                  </w:pPr>
                  <w:r>
                    <w:rPr>
                      <w:sz w:val="16"/>
                    </w:rPr>
                    <w:t>001 EC092; 001 EC096</w:t>
                  </w:r>
                </w:p>
                <w:p w14:paraId="40FDF29F" w14:textId="77777777" w:rsidR="00053D93" w:rsidRDefault="00260B75">
                  <w:pPr>
                    <w:ind w:left="111"/>
                  </w:pPr>
                  <w:r>
                    <w:rPr>
                      <w:sz w:val="16"/>
                    </w:rPr>
                    <w:t>001 ECOA4; 001 ECOAC</w:t>
                  </w:r>
                </w:p>
                <w:p w14:paraId="695190DB" w14:textId="77777777" w:rsidR="00053D93" w:rsidRDefault="00260B75">
                  <w:pPr>
                    <w:ind w:left="111"/>
                  </w:pPr>
                  <w:r>
                    <w:rPr>
                      <w:sz w:val="16"/>
                    </w:rPr>
                    <w:t>001 ECOB5: 001 ECOBB</w:t>
                  </w:r>
                </w:p>
                <w:p w14:paraId="792F0C41" w14:textId="77777777" w:rsidR="00053D93" w:rsidRDefault="00260B75">
                  <w:pPr>
                    <w:ind w:left="125"/>
                  </w:pPr>
                  <w:r>
                    <w:rPr>
                      <w:sz w:val="16"/>
                    </w:rPr>
                    <w:t>001 ECOCO; 001 EDOB6</w:t>
                  </w:r>
                </w:p>
                <w:p w14:paraId="1CF60CA1" w14:textId="77777777" w:rsidR="00053D93" w:rsidRDefault="00260B75">
                  <w:pPr>
                    <w:ind w:left="139"/>
                  </w:pPr>
                  <w:r>
                    <w:rPr>
                      <w:sz w:val="16"/>
                    </w:rPr>
                    <w:t>001 ED088; 001 ED089</w:t>
                  </w:r>
                </w:p>
                <w:p w14:paraId="264F4F70" w14:textId="77777777" w:rsidR="00053D93" w:rsidRDefault="00260B75">
                  <w:pPr>
                    <w:ind w:left="118"/>
                  </w:pPr>
                  <w:r>
                    <w:rPr>
                      <w:sz w:val="16"/>
                    </w:rPr>
                    <w:t>001 ED08B; 001 ED08C</w:t>
                  </w:r>
                </w:p>
              </w:tc>
              <w:tc>
                <w:tcPr>
                  <w:tcW w:w="875" w:type="dxa"/>
                  <w:tcBorders>
                    <w:top w:val="single" w:sz="2" w:space="0" w:color="000000"/>
                    <w:left w:val="single" w:sz="2" w:space="0" w:color="000000"/>
                    <w:bottom w:val="single" w:sz="2" w:space="0" w:color="000000"/>
                    <w:right w:val="nil"/>
                  </w:tcBorders>
                </w:tcPr>
                <w:p w14:paraId="4BA73216" w14:textId="77777777" w:rsidR="00053D93" w:rsidRDefault="00260B75">
                  <w:pPr>
                    <w:spacing w:line="252" w:lineRule="auto"/>
                    <w:ind w:left="86" w:right="-176" w:hanging="14"/>
                  </w:pPr>
                  <w:r>
                    <w:rPr>
                      <w:sz w:val="16"/>
                    </w:rPr>
                    <w:t xml:space="preserve">Teclados Nos. 1989613. </w:t>
                  </w:r>
                </w:p>
                <w:p w14:paraId="68394AE2" w14:textId="77777777" w:rsidR="00053D93" w:rsidRDefault="00260B75">
                  <w:pPr>
                    <w:ind w:left="72"/>
                  </w:pPr>
                  <w:r>
                    <w:rPr>
                      <w:rFonts w:ascii="Times New Roman" w:eastAsia="Times New Roman" w:hAnsi="Times New Roman" w:cs="Times New Roman"/>
                      <w:sz w:val="16"/>
                    </w:rPr>
                    <w:t>2638185,</w:t>
                  </w:r>
                </w:p>
                <w:p w14:paraId="78FAB895" w14:textId="77777777" w:rsidR="00053D93" w:rsidRDefault="00260B75">
                  <w:pPr>
                    <w:spacing w:line="252" w:lineRule="auto"/>
                    <w:ind w:left="79" w:firstLine="7"/>
                  </w:pPr>
                  <w:r>
                    <w:rPr>
                      <w:rFonts w:ascii="Times New Roman" w:eastAsia="Times New Roman" w:hAnsi="Times New Roman" w:cs="Times New Roman"/>
                      <w:sz w:val="16"/>
                    </w:rPr>
                    <w:t>1989716, 2637960.</w:t>
                  </w:r>
                </w:p>
                <w:p w14:paraId="45882F54" w14:textId="77777777" w:rsidR="00053D93" w:rsidRDefault="00260B75">
                  <w:pPr>
                    <w:ind w:left="72"/>
                  </w:pPr>
                  <w:r>
                    <w:rPr>
                      <w:rFonts w:ascii="Times New Roman" w:eastAsia="Times New Roman" w:hAnsi="Times New Roman" w:cs="Times New Roman"/>
                      <w:sz w:val="16"/>
                    </w:rPr>
                    <w:t>2637588,</w:t>
                  </w:r>
                </w:p>
                <w:p w14:paraId="148C8575" w14:textId="77777777" w:rsidR="00053D93" w:rsidRDefault="00260B75">
                  <w:pPr>
                    <w:spacing w:after="4" w:line="247" w:lineRule="auto"/>
                    <w:ind w:left="79" w:hanging="7"/>
                  </w:pPr>
                  <w:r>
                    <w:rPr>
                      <w:rFonts w:ascii="Times New Roman" w:eastAsia="Times New Roman" w:hAnsi="Times New Roman" w:cs="Times New Roman"/>
                      <w:sz w:val="16"/>
                    </w:rPr>
                    <w:t>2638046. 2637955. 1989748.</w:t>
                  </w:r>
                </w:p>
                <w:p w14:paraId="6DE8881B" w14:textId="77777777" w:rsidR="00053D93" w:rsidRDefault="00260B75">
                  <w:pPr>
                    <w:ind w:left="86"/>
                  </w:pPr>
                  <w:r>
                    <w:rPr>
                      <w:rFonts w:ascii="Times New Roman" w:eastAsia="Times New Roman" w:hAnsi="Times New Roman" w:cs="Times New Roman"/>
                      <w:sz w:val="16"/>
                    </w:rPr>
                    <w:t>1989616,</w:t>
                  </w:r>
                </w:p>
                <w:p w14:paraId="0CBA7344" w14:textId="77777777" w:rsidR="00053D93" w:rsidRDefault="00260B75">
                  <w:pPr>
                    <w:ind w:left="79"/>
                  </w:pPr>
                  <w:r>
                    <w:rPr>
                      <w:rFonts w:ascii="Times New Roman" w:eastAsia="Times New Roman" w:hAnsi="Times New Roman" w:cs="Times New Roman"/>
                      <w:sz w:val="16"/>
                    </w:rPr>
                    <w:t>2638180,</w:t>
                  </w:r>
                </w:p>
                <w:p w14:paraId="67E4AA21" w14:textId="77777777" w:rsidR="00053D93" w:rsidRDefault="00260B75">
                  <w:pPr>
                    <w:ind w:left="79"/>
                  </w:pPr>
                  <w:r>
                    <w:rPr>
                      <w:rFonts w:ascii="Times New Roman" w:eastAsia="Times New Roman" w:hAnsi="Times New Roman" w:cs="Times New Roman"/>
                      <w:sz w:val="16"/>
                    </w:rPr>
                    <w:t>2638183.</w:t>
                  </w:r>
                </w:p>
                <w:p w14:paraId="4A5F9731" w14:textId="77777777" w:rsidR="00053D93" w:rsidRDefault="00260B75">
                  <w:pPr>
                    <w:spacing w:line="252" w:lineRule="auto"/>
                    <w:ind w:left="86"/>
                  </w:pPr>
                  <w:r>
                    <w:rPr>
                      <w:rFonts w:ascii="Times New Roman" w:eastAsia="Times New Roman" w:hAnsi="Times New Roman" w:cs="Times New Roman"/>
                      <w:sz w:val="16"/>
                    </w:rPr>
                    <w:t>198961 1, 2637604.</w:t>
                  </w:r>
                </w:p>
                <w:p w14:paraId="50381F85" w14:textId="77777777" w:rsidR="00053D93" w:rsidRDefault="00260B75">
                  <w:pPr>
                    <w:ind w:left="79"/>
                  </w:pPr>
                  <w:r>
                    <w:rPr>
                      <w:rFonts w:ascii="Times New Roman" w:eastAsia="Times New Roman" w:hAnsi="Times New Roman" w:cs="Times New Roman"/>
                      <w:sz w:val="16"/>
                    </w:rPr>
                    <w:t>2638055,</w:t>
                  </w:r>
                </w:p>
                <w:p w14:paraId="141E20AA" w14:textId="77777777" w:rsidR="00053D93" w:rsidRDefault="00260B75">
                  <w:pPr>
                    <w:ind w:left="86"/>
                  </w:pPr>
                  <w:r>
                    <w:rPr>
                      <w:rFonts w:ascii="Times New Roman" w:eastAsia="Times New Roman" w:hAnsi="Times New Roman" w:cs="Times New Roman"/>
                      <w:sz w:val="16"/>
                    </w:rPr>
                    <w:t>2638181,</w:t>
                  </w:r>
                </w:p>
                <w:p w14:paraId="62D7CA16" w14:textId="77777777" w:rsidR="00053D93" w:rsidRDefault="00260B75">
                  <w:pPr>
                    <w:spacing w:line="252" w:lineRule="auto"/>
                    <w:ind w:left="79" w:firstLine="14"/>
                  </w:pPr>
                  <w:r>
                    <w:rPr>
                      <w:rFonts w:ascii="Times New Roman" w:eastAsia="Times New Roman" w:hAnsi="Times New Roman" w:cs="Times New Roman"/>
                      <w:sz w:val="16"/>
                    </w:rPr>
                    <w:t>1989715, 2638184.</w:t>
                  </w:r>
                </w:p>
                <w:p w14:paraId="0B708DE7" w14:textId="77777777" w:rsidR="00053D93" w:rsidRDefault="00260B75">
                  <w:pPr>
                    <w:ind w:left="86"/>
                  </w:pPr>
                  <w:r>
                    <w:rPr>
                      <w:sz w:val="16"/>
                    </w:rPr>
                    <w:t xml:space="preserve">263818B, </w:t>
                  </w:r>
                </w:p>
                <w:p w14:paraId="78009D92" w14:textId="77777777" w:rsidR="00053D93" w:rsidRDefault="00260B75">
                  <w:pPr>
                    <w:ind w:left="86" w:right="-11"/>
                  </w:pPr>
                  <w:r>
                    <w:rPr>
                      <w:sz w:val="16"/>
                    </w:rPr>
                    <w:t>Q250.CO du.</w:t>
                  </w:r>
                </w:p>
              </w:tc>
              <w:tc>
                <w:tcPr>
                  <w:tcW w:w="954" w:type="dxa"/>
                  <w:tcBorders>
                    <w:top w:val="single" w:sz="2" w:space="0" w:color="000000"/>
                    <w:left w:val="nil"/>
                    <w:bottom w:val="single" w:sz="2" w:space="0" w:color="000000"/>
                    <w:right w:val="nil"/>
                  </w:tcBorders>
                </w:tcPr>
                <w:p w14:paraId="4AA9F541" w14:textId="77777777" w:rsidR="00053D93" w:rsidRDefault="00260B75">
                  <w:pPr>
                    <w:spacing w:after="4" w:line="247" w:lineRule="auto"/>
                    <w:ind w:left="-126" w:right="-151"/>
                    <w:jc w:val="right"/>
                  </w:pPr>
                  <w:r>
                    <w:rPr>
                      <w:sz w:val="16"/>
                    </w:rPr>
                    <w:t xml:space="preserve">Enhanced espafiol 2637603, </w:t>
                  </w:r>
                </w:p>
                <w:p w14:paraId="7532AB55" w14:textId="77777777" w:rsidR="00053D93" w:rsidRDefault="00260B75">
                  <w:pPr>
                    <w:ind w:left="90"/>
                  </w:pPr>
                  <w:r>
                    <w:rPr>
                      <w:rFonts w:ascii="Times New Roman" w:eastAsia="Times New Roman" w:hAnsi="Times New Roman" w:cs="Times New Roman"/>
                      <w:sz w:val="16"/>
                    </w:rPr>
                    <w:t>1989612,</w:t>
                  </w:r>
                </w:p>
                <w:p w14:paraId="33E3CB39" w14:textId="77777777" w:rsidR="00053D93" w:rsidRDefault="00260B75">
                  <w:pPr>
                    <w:spacing w:line="252" w:lineRule="auto"/>
                    <w:ind w:left="83" w:hanging="7"/>
                  </w:pPr>
                  <w:r>
                    <w:rPr>
                      <w:rFonts w:ascii="Times New Roman" w:eastAsia="Times New Roman" w:hAnsi="Times New Roman" w:cs="Times New Roman"/>
                      <w:sz w:val="16"/>
                    </w:rPr>
                    <w:t xml:space="preserve">2638179. </w:t>
                  </w:r>
                  <w:r>
                    <w:rPr>
                      <w:sz w:val="16"/>
                    </w:rPr>
                    <w:t>263B 182.</w:t>
                  </w:r>
                </w:p>
                <w:p w14:paraId="44F8208D" w14:textId="77777777" w:rsidR="00053D93" w:rsidRDefault="00260B75">
                  <w:pPr>
                    <w:ind w:left="76"/>
                  </w:pPr>
                  <w:r>
                    <w:rPr>
                      <w:rFonts w:ascii="Times New Roman" w:eastAsia="Times New Roman" w:hAnsi="Times New Roman" w:cs="Times New Roman"/>
                      <w:sz w:val="16"/>
                    </w:rPr>
                    <w:t>2638053.</w:t>
                  </w:r>
                </w:p>
                <w:p w14:paraId="7E0588B3" w14:textId="77777777" w:rsidR="00053D93" w:rsidRDefault="00260B75">
                  <w:pPr>
                    <w:ind w:left="76"/>
                  </w:pPr>
                  <w:r>
                    <w:rPr>
                      <w:rFonts w:ascii="Times New Roman" w:eastAsia="Times New Roman" w:hAnsi="Times New Roman" w:cs="Times New Roman"/>
                      <w:sz w:val="16"/>
                    </w:rPr>
                    <w:t>2637610,</w:t>
                  </w:r>
                </w:p>
                <w:p w14:paraId="355A462C" w14:textId="77777777" w:rsidR="00053D93" w:rsidRDefault="00260B75">
                  <w:pPr>
                    <w:ind w:left="90"/>
                  </w:pPr>
                  <w:r>
                    <w:rPr>
                      <w:rFonts w:ascii="Times New Roman" w:eastAsia="Times New Roman" w:hAnsi="Times New Roman" w:cs="Times New Roman"/>
                      <w:sz w:val="16"/>
                    </w:rPr>
                    <w:t>1989713,</w:t>
                  </w:r>
                </w:p>
                <w:p w14:paraId="6342C54C" w14:textId="77777777" w:rsidR="00053D93" w:rsidRDefault="00260B75">
                  <w:pPr>
                    <w:ind w:left="83"/>
                  </w:pPr>
                  <w:r>
                    <w:rPr>
                      <w:rFonts w:ascii="Times New Roman" w:eastAsia="Times New Roman" w:hAnsi="Times New Roman" w:cs="Times New Roman"/>
                      <w:sz w:val="16"/>
                    </w:rPr>
                    <w:t>2638050,</w:t>
                  </w:r>
                </w:p>
                <w:p w14:paraId="1397E11C" w14:textId="77777777" w:rsidR="00053D93" w:rsidRDefault="00260B75">
                  <w:pPr>
                    <w:spacing w:after="4" w:line="247" w:lineRule="auto"/>
                    <w:ind w:left="83" w:hanging="7"/>
                  </w:pPr>
                  <w:r>
                    <w:rPr>
                      <w:rFonts w:ascii="Times New Roman" w:eastAsia="Times New Roman" w:hAnsi="Times New Roman" w:cs="Times New Roman"/>
                      <w:sz w:val="16"/>
                    </w:rPr>
                    <w:t>2637961, 2638507. 1989718.</w:t>
                  </w:r>
                </w:p>
                <w:p w14:paraId="44A3A33F" w14:textId="77777777" w:rsidR="00053D93" w:rsidRDefault="00260B75">
                  <w:pPr>
                    <w:ind w:left="83"/>
                  </w:pPr>
                  <w:r>
                    <w:rPr>
                      <w:rFonts w:ascii="Times New Roman" w:eastAsia="Times New Roman" w:hAnsi="Times New Roman" w:cs="Times New Roman"/>
                      <w:sz w:val="16"/>
                    </w:rPr>
                    <w:t>2637701.</w:t>
                  </w:r>
                </w:p>
                <w:p w14:paraId="54BA8AF1" w14:textId="77777777" w:rsidR="00053D93" w:rsidRDefault="00260B75">
                  <w:pPr>
                    <w:ind w:left="90"/>
                  </w:pPr>
                  <w:r>
                    <w:rPr>
                      <w:rFonts w:ascii="Times New Roman" w:eastAsia="Times New Roman" w:hAnsi="Times New Roman" w:cs="Times New Roman"/>
                      <w:sz w:val="16"/>
                    </w:rPr>
                    <w:t>1989721,</w:t>
                  </w:r>
                </w:p>
                <w:p w14:paraId="13711E57" w14:textId="77777777" w:rsidR="00053D93" w:rsidRDefault="00260B75">
                  <w:pPr>
                    <w:ind w:left="90"/>
                  </w:pPr>
                  <w:r>
                    <w:rPr>
                      <w:rFonts w:ascii="Times New Roman" w:eastAsia="Times New Roman" w:hAnsi="Times New Roman" w:cs="Times New Roman"/>
                      <w:sz w:val="16"/>
                    </w:rPr>
                    <w:t>1989752.</w:t>
                  </w:r>
                </w:p>
                <w:p w14:paraId="75A59A76" w14:textId="77777777" w:rsidR="00053D93" w:rsidRDefault="00260B75">
                  <w:pPr>
                    <w:spacing w:after="7" w:line="242" w:lineRule="auto"/>
                    <w:ind w:left="97"/>
                  </w:pPr>
                  <w:r>
                    <w:rPr>
                      <w:rFonts w:ascii="Times New Roman" w:eastAsia="Times New Roman" w:hAnsi="Times New Roman" w:cs="Times New Roman"/>
                      <w:sz w:val="16"/>
                    </w:rPr>
                    <w:t>1989676, 1989749.</w:t>
                  </w:r>
                </w:p>
                <w:p w14:paraId="6D239D2C" w14:textId="77777777" w:rsidR="00053D93" w:rsidRDefault="00260B75">
                  <w:pPr>
                    <w:ind w:left="83"/>
                  </w:pPr>
                  <w:r>
                    <w:rPr>
                      <w:rFonts w:ascii="Times New Roman" w:eastAsia="Times New Roman" w:hAnsi="Times New Roman" w:cs="Times New Roman"/>
                      <w:sz w:val="16"/>
                    </w:rPr>
                    <w:t>2637959.</w:t>
                  </w:r>
                </w:p>
                <w:p w14:paraId="0A518804" w14:textId="77777777" w:rsidR="00053D93" w:rsidRDefault="00260B75">
                  <w:pPr>
                    <w:ind w:left="-68"/>
                  </w:pPr>
                  <w:r>
                    <w:rPr>
                      <w:sz w:val="16"/>
                    </w:rPr>
                    <w:t>2638051, con</w:t>
                  </w:r>
                </w:p>
              </w:tc>
              <w:tc>
                <w:tcPr>
                  <w:tcW w:w="713" w:type="dxa"/>
                  <w:tcBorders>
                    <w:top w:val="single" w:sz="2" w:space="0" w:color="000000"/>
                    <w:left w:val="nil"/>
                    <w:bottom w:val="single" w:sz="2" w:space="0" w:color="000000"/>
                    <w:right w:val="single" w:sz="2" w:space="0" w:color="000000"/>
                  </w:tcBorders>
                </w:tcPr>
                <w:p w14:paraId="74DBABA3" w14:textId="77777777" w:rsidR="00053D93" w:rsidRDefault="00260B75">
                  <w:pPr>
                    <w:spacing w:line="252" w:lineRule="auto"/>
                    <w:ind w:left="22" w:firstLine="216"/>
                  </w:pPr>
                  <w:r>
                    <w:rPr>
                      <w:sz w:val="16"/>
                    </w:rPr>
                    <w:t>series 2638186,</w:t>
                  </w:r>
                </w:p>
                <w:p w14:paraId="2A54702C" w14:textId="77777777" w:rsidR="00053D93" w:rsidRDefault="00260B75">
                  <w:r>
                    <w:rPr>
                      <w:rFonts w:ascii="Times New Roman" w:eastAsia="Times New Roman" w:hAnsi="Times New Roman" w:cs="Times New Roman"/>
                      <w:sz w:val="16"/>
                    </w:rPr>
                    <w:t>2638022,</w:t>
                  </w:r>
                </w:p>
                <w:p w14:paraId="04600774" w14:textId="77777777" w:rsidR="00053D93" w:rsidRDefault="00260B75">
                  <w:pPr>
                    <w:ind w:left="7"/>
                  </w:pPr>
                  <w:r>
                    <w:rPr>
                      <w:rFonts w:ascii="Times New Roman" w:eastAsia="Times New Roman" w:hAnsi="Times New Roman" w:cs="Times New Roman"/>
                      <w:sz w:val="16"/>
                    </w:rPr>
                    <w:t>1 989755.</w:t>
                  </w:r>
                </w:p>
                <w:p w14:paraId="730A9AD8" w14:textId="77777777" w:rsidR="00053D93" w:rsidRDefault="00260B75">
                  <w:r>
                    <w:rPr>
                      <w:rFonts w:ascii="Times New Roman" w:eastAsia="Times New Roman" w:hAnsi="Times New Roman" w:cs="Times New Roman"/>
                      <w:sz w:val="16"/>
                    </w:rPr>
                    <w:t>2637613,</w:t>
                  </w:r>
                </w:p>
                <w:p w14:paraId="78E34906" w14:textId="77777777" w:rsidR="00053D93" w:rsidRDefault="00260B75">
                  <w:r>
                    <w:rPr>
                      <w:rFonts w:ascii="Times New Roman" w:eastAsia="Times New Roman" w:hAnsi="Times New Roman" w:cs="Times New Roman"/>
                      <w:sz w:val="16"/>
                    </w:rPr>
                    <w:t>2637956.</w:t>
                  </w:r>
                </w:p>
                <w:p w14:paraId="4275756C" w14:textId="77777777" w:rsidR="00053D93" w:rsidRDefault="00260B75">
                  <w:r>
                    <w:rPr>
                      <w:rFonts w:ascii="Times New Roman" w:eastAsia="Times New Roman" w:hAnsi="Times New Roman" w:cs="Times New Roman"/>
                      <w:sz w:val="16"/>
                    </w:rPr>
                    <w:t>2638057,</w:t>
                  </w:r>
                </w:p>
                <w:p w14:paraId="2F268F05" w14:textId="77777777" w:rsidR="00053D93" w:rsidRDefault="00260B75">
                  <w:pPr>
                    <w:ind w:left="7"/>
                  </w:pPr>
                  <w:r>
                    <w:rPr>
                      <w:rFonts w:ascii="Times New Roman" w:eastAsia="Times New Roman" w:hAnsi="Times New Roman" w:cs="Times New Roman"/>
                      <w:sz w:val="16"/>
                    </w:rPr>
                    <w:t>2638047.</w:t>
                  </w:r>
                </w:p>
                <w:p w14:paraId="75498409" w14:textId="77777777" w:rsidR="00053D93" w:rsidRDefault="00260B75">
                  <w:pPr>
                    <w:ind w:left="7"/>
                  </w:pPr>
                  <w:r>
                    <w:rPr>
                      <w:rFonts w:ascii="Times New Roman" w:eastAsia="Times New Roman" w:hAnsi="Times New Roman" w:cs="Times New Roman"/>
                      <w:sz w:val="16"/>
                    </w:rPr>
                    <w:t>2638178,</w:t>
                  </w:r>
                </w:p>
                <w:p w14:paraId="205B4994" w14:textId="77777777" w:rsidR="00053D93" w:rsidRDefault="00260B75">
                  <w:r>
                    <w:rPr>
                      <w:rFonts w:ascii="Times New Roman" w:eastAsia="Times New Roman" w:hAnsi="Times New Roman" w:cs="Times New Roman"/>
                      <w:sz w:val="16"/>
                    </w:rPr>
                    <w:t>2638265,</w:t>
                  </w:r>
                </w:p>
                <w:p w14:paraId="6922736D" w14:textId="77777777" w:rsidR="00053D93" w:rsidRDefault="00260B75">
                  <w:pPr>
                    <w:ind w:left="7"/>
                  </w:pPr>
                  <w:r>
                    <w:rPr>
                      <w:rFonts w:ascii="Times New Roman" w:eastAsia="Times New Roman" w:hAnsi="Times New Roman" w:cs="Times New Roman"/>
                      <w:sz w:val="16"/>
                    </w:rPr>
                    <w:t>2637704,</w:t>
                  </w:r>
                </w:p>
                <w:p w14:paraId="69B3136F" w14:textId="77777777" w:rsidR="00053D93" w:rsidRDefault="00260B75">
                  <w:pPr>
                    <w:spacing w:line="252" w:lineRule="auto"/>
                    <w:ind w:left="7"/>
                  </w:pPr>
                  <w:r>
                    <w:rPr>
                      <w:rFonts w:ascii="Times New Roman" w:eastAsia="Times New Roman" w:hAnsi="Times New Roman" w:cs="Times New Roman"/>
                      <w:sz w:val="16"/>
                    </w:rPr>
                    <w:t>2638140. 2638392.</w:t>
                  </w:r>
                </w:p>
                <w:p w14:paraId="15FD6650" w14:textId="77777777" w:rsidR="00053D93" w:rsidRDefault="00260B75">
                  <w:pPr>
                    <w:ind w:left="7"/>
                  </w:pPr>
                  <w:r>
                    <w:rPr>
                      <w:rFonts w:ascii="Times New Roman" w:eastAsia="Times New Roman" w:hAnsi="Times New Roman" w:cs="Times New Roman"/>
                      <w:sz w:val="16"/>
                    </w:rPr>
                    <w:t>2638054,</w:t>
                  </w:r>
                </w:p>
                <w:p w14:paraId="354ACE80" w14:textId="77777777" w:rsidR="00053D93" w:rsidRDefault="00260B75">
                  <w:pPr>
                    <w:spacing w:line="252" w:lineRule="auto"/>
                    <w:ind w:left="14" w:hanging="7"/>
                  </w:pPr>
                  <w:r>
                    <w:rPr>
                      <w:rFonts w:ascii="Times New Roman" w:eastAsia="Times New Roman" w:hAnsi="Times New Roman" w:cs="Times New Roman"/>
                      <w:sz w:val="16"/>
                    </w:rPr>
                    <w:t>2637683. 2637609.</w:t>
                  </w:r>
                </w:p>
                <w:p w14:paraId="11E0CA43" w14:textId="77777777" w:rsidR="00053D93" w:rsidRDefault="00260B75">
                  <w:pPr>
                    <w:ind w:left="7" w:firstLine="7"/>
                  </w:pPr>
                  <w:r>
                    <w:rPr>
                      <w:rFonts w:ascii="Times New Roman" w:eastAsia="Times New Roman" w:hAnsi="Times New Roman" w:cs="Times New Roman"/>
                      <w:sz w:val="16"/>
                    </w:rPr>
                    <w:t xml:space="preserve">1989700, 2637606. </w:t>
                  </w:r>
                  <w:r>
                    <w:rPr>
                      <w:sz w:val="16"/>
                    </w:rPr>
                    <w:t>valor de</w:t>
                  </w:r>
                </w:p>
              </w:tc>
              <w:tc>
                <w:tcPr>
                  <w:tcW w:w="998" w:type="dxa"/>
                  <w:tcBorders>
                    <w:top w:val="single" w:sz="2" w:space="0" w:color="000000"/>
                    <w:left w:val="single" w:sz="2" w:space="0" w:color="000000"/>
                    <w:bottom w:val="single" w:sz="2" w:space="0" w:color="000000"/>
                    <w:right w:val="single" w:sz="2" w:space="0" w:color="000000"/>
                  </w:tcBorders>
                  <w:vAlign w:val="bottom"/>
                </w:tcPr>
                <w:p w14:paraId="77BC23EF" w14:textId="77777777" w:rsidR="00053D93" w:rsidRDefault="00260B75">
                  <w:pPr>
                    <w:ind w:left="288"/>
                  </w:pPr>
                  <w:r>
                    <w:rPr>
                      <w:rFonts w:ascii="Times New Roman" w:eastAsia="Times New Roman" w:hAnsi="Times New Roman" w:cs="Times New Roman"/>
                      <w:sz w:val="16"/>
                    </w:rPr>
                    <w:t>13,250.00</w:t>
                  </w:r>
                </w:p>
              </w:tc>
            </w:tr>
            <w:tr w:rsidR="00053D93" w14:paraId="35A2E8D7" w14:textId="77777777">
              <w:trPr>
                <w:trHeight w:val="4844"/>
              </w:trPr>
              <w:tc>
                <w:tcPr>
                  <w:tcW w:w="301" w:type="dxa"/>
                  <w:tcBorders>
                    <w:top w:val="single" w:sz="2" w:space="0" w:color="000000"/>
                    <w:left w:val="single" w:sz="2" w:space="0" w:color="000000"/>
                    <w:bottom w:val="single" w:sz="2" w:space="0" w:color="000000"/>
                    <w:right w:val="single" w:sz="2" w:space="0" w:color="000000"/>
                  </w:tcBorders>
                </w:tcPr>
                <w:p w14:paraId="3F169509" w14:textId="77777777" w:rsidR="00053D93" w:rsidRDefault="00260B75">
                  <w:pPr>
                    <w:ind w:left="25"/>
                  </w:pPr>
                  <w:r>
                    <w:rPr>
                      <w:rFonts w:ascii="Times New Roman" w:eastAsia="Times New Roman" w:hAnsi="Times New Roman" w:cs="Times New Roman"/>
                      <w:sz w:val="16"/>
                    </w:rPr>
                    <w:t>37</w:t>
                  </w:r>
                </w:p>
              </w:tc>
              <w:tc>
                <w:tcPr>
                  <w:tcW w:w="0" w:type="auto"/>
                  <w:gridSpan w:val="3"/>
                  <w:vMerge/>
                  <w:tcBorders>
                    <w:top w:val="nil"/>
                    <w:left w:val="single" w:sz="2" w:space="0" w:color="000000"/>
                    <w:bottom w:val="single" w:sz="2" w:space="0" w:color="000000"/>
                    <w:right w:val="single" w:sz="2" w:space="0" w:color="000000"/>
                  </w:tcBorders>
                </w:tcPr>
                <w:p w14:paraId="60603DB4"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672C0E83" w14:textId="77777777" w:rsidR="00053D93" w:rsidRDefault="00260B75">
                  <w:pPr>
                    <w:ind w:left="86"/>
                  </w:pPr>
                  <w:r>
                    <w:rPr>
                      <w:rFonts w:ascii="Times New Roman" w:eastAsia="Times New Roman" w:hAnsi="Times New Roman" w:cs="Times New Roman"/>
                      <w:sz w:val="16"/>
                    </w:rPr>
                    <w:t>03/12/2012</w:t>
                  </w:r>
                </w:p>
              </w:tc>
              <w:tc>
                <w:tcPr>
                  <w:tcW w:w="768" w:type="dxa"/>
                  <w:tcBorders>
                    <w:top w:val="single" w:sz="2" w:space="0" w:color="000000"/>
                    <w:left w:val="single" w:sz="2" w:space="0" w:color="000000"/>
                    <w:bottom w:val="single" w:sz="2" w:space="0" w:color="000000"/>
                    <w:right w:val="single" w:sz="2" w:space="0" w:color="000000"/>
                  </w:tcBorders>
                </w:tcPr>
                <w:p w14:paraId="2035958D" w14:textId="77777777" w:rsidR="00053D93" w:rsidRDefault="00260B75">
                  <w:pPr>
                    <w:ind w:left="17"/>
                    <w:jc w:val="center"/>
                  </w:pPr>
                  <w:r>
                    <w:rPr>
                      <w:rFonts w:ascii="Times New Roman" w:eastAsia="Times New Roman" w:hAnsi="Times New Roman" w:cs="Times New Roman"/>
                      <w:sz w:val="16"/>
                    </w:rPr>
                    <w:t>55</w:t>
                  </w:r>
                </w:p>
              </w:tc>
              <w:tc>
                <w:tcPr>
                  <w:tcW w:w="1615" w:type="dxa"/>
                  <w:tcBorders>
                    <w:top w:val="single" w:sz="2" w:space="0" w:color="000000"/>
                    <w:left w:val="single" w:sz="2" w:space="0" w:color="000000"/>
                    <w:bottom w:val="single" w:sz="2" w:space="0" w:color="000000"/>
                    <w:right w:val="single" w:sz="2" w:space="0" w:color="000000"/>
                  </w:tcBorders>
                </w:tcPr>
                <w:p w14:paraId="42B71385" w14:textId="77777777" w:rsidR="00053D93" w:rsidRDefault="00260B75">
                  <w:pPr>
                    <w:spacing w:line="258" w:lineRule="auto"/>
                    <w:ind w:left="125"/>
                    <w:jc w:val="both"/>
                  </w:pPr>
                  <w:r>
                    <w:rPr>
                      <w:sz w:val="14"/>
                    </w:rPr>
                    <w:t>001 EDI 24; 001 EDI 4B 001 ED14D; 001 ED14E</w:t>
                  </w:r>
                </w:p>
                <w:p w14:paraId="0474B23B" w14:textId="77777777" w:rsidR="00053D93" w:rsidRDefault="00260B75">
                  <w:pPr>
                    <w:spacing w:line="216" w:lineRule="auto"/>
                    <w:ind w:left="132"/>
                    <w:jc w:val="both"/>
                  </w:pPr>
                  <w:r>
                    <w:rPr>
                      <w:sz w:val="16"/>
                    </w:rPr>
                    <w:t>COIED14F; OOIED151 001 EDI"; EDI 56</w:t>
                  </w:r>
                </w:p>
                <w:p w14:paraId="0BE63DE7" w14:textId="77777777" w:rsidR="00053D93" w:rsidRDefault="00260B75">
                  <w:pPr>
                    <w:spacing w:line="241" w:lineRule="auto"/>
                    <w:ind w:left="35" w:right="32"/>
                    <w:jc w:val="center"/>
                  </w:pPr>
                  <w:r>
                    <w:rPr>
                      <w:sz w:val="16"/>
                    </w:rPr>
                    <w:t xml:space="preserve">001 EDI 57: 001 EDI 5B 001 EDI 50; </w:t>
                  </w:r>
                  <w:r>
                    <w:rPr>
                      <w:sz w:val="16"/>
                    </w:rPr>
                    <w:tab/>
                    <w:t>ED15F</w:t>
                  </w:r>
                </w:p>
                <w:p w14:paraId="1AE190CD" w14:textId="77777777" w:rsidR="00053D93" w:rsidRDefault="00260B75">
                  <w:pPr>
                    <w:spacing w:line="216" w:lineRule="auto"/>
                    <w:ind w:left="139" w:hanging="7"/>
                    <w:jc w:val="both"/>
                  </w:pPr>
                  <w:r>
                    <w:rPr>
                      <w:sz w:val="16"/>
                    </w:rPr>
                    <w:t>COIED161: OOIED163 001 EDI 66; 001 EDI 67</w:t>
                  </w:r>
                </w:p>
                <w:p w14:paraId="5A7CBFB2" w14:textId="77777777" w:rsidR="00053D93" w:rsidRDefault="00260B75">
                  <w:pPr>
                    <w:spacing w:line="216" w:lineRule="auto"/>
                    <w:ind w:left="111" w:right="108" w:firstLine="22"/>
                    <w:jc w:val="both"/>
                  </w:pPr>
                  <w:r>
                    <w:rPr>
                      <w:sz w:val="16"/>
                    </w:rPr>
                    <w:t>001 ED168; 001 EDI BA 001 ED16C; 001 EDI 60 OOIED16F: 001 EDI 70</w:t>
                  </w:r>
                </w:p>
                <w:p w14:paraId="7ED2E47B" w14:textId="77777777" w:rsidR="00053D93" w:rsidRDefault="00260B75">
                  <w:pPr>
                    <w:spacing w:line="216" w:lineRule="auto"/>
                    <w:ind w:left="132" w:right="130" w:firstLine="7"/>
                    <w:jc w:val="both"/>
                  </w:pPr>
                  <w:r>
                    <w:rPr>
                      <w:sz w:val="14"/>
                    </w:rPr>
                    <w:t>OOIED171; 001 EDI 72 001 EDI 73; 001 EDI 74 EDI 77; 001 EDI 78 001 EDI 79; 001 EDI 7B</w:t>
                  </w:r>
                </w:p>
                <w:p w14:paraId="7B943432" w14:textId="77777777" w:rsidR="00053D93" w:rsidRDefault="00260B75">
                  <w:pPr>
                    <w:ind w:left="125"/>
                  </w:pPr>
                  <w:r>
                    <w:rPr>
                      <w:sz w:val="16"/>
                    </w:rPr>
                    <w:t>OOIED17D; OOIED181</w:t>
                  </w:r>
                </w:p>
                <w:p w14:paraId="7FA3698E" w14:textId="77777777" w:rsidR="00053D93" w:rsidRDefault="00260B75">
                  <w:pPr>
                    <w:ind w:left="132"/>
                  </w:pPr>
                  <w:r>
                    <w:rPr>
                      <w:sz w:val="18"/>
                    </w:rPr>
                    <w:t>COIEDIB2; 001 EDIB5</w:t>
                  </w:r>
                </w:p>
                <w:p w14:paraId="3B15757B" w14:textId="77777777" w:rsidR="00053D93" w:rsidRDefault="00260B75">
                  <w:pPr>
                    <w:ind w:left="139"/>
                  </w:pPr>
                  <w:r>
                    <w:rPr>
                      <w:sz w:val="16"/>
                    </w:rPr>
                    <w:t>001 EDI 87: 001 ED189</w:t>
                  </w:r>
                </w:p>
                <w:p w14:paraId="4148C421" w14:textId="77777777" w:rsidR="00053D93" w:rsidRDefault="00260B75">
                  <w:pPr>
                    <w:spacing w:line="254" w:lineRule="auto"/>
                    <w:ind w:left="139" w:hanging="14"/>
                    <w:jc w:val="both"/>
                  </w:pPr>
                  <w:r>
                    <w:rPr>
                      <w:sz w:val="16"/>
                    </w:rPr>
                    <w:t>001 ED18B; 001 EDI BD 001 ED18F: 001 ED191</w:t>
                  </w:r>
                </w:p>
                <w:p w14:paraId="1F98F4AA" w14:textId="77777777" w:rsidR="00053D93" w:rsidRDefault="00260B75">
                  <w:pPr>
                    <w:ind w:left="139"/>
                  </w:pPr>
                  <w:r>
                    <w:rPr>
                      <w:sz w:val="16"/>
                    </w:rPr>
                    <w:t>001 ED193; 001 ED195</w:t>
                  </w:r>
                </w:p>
                <w:p w14:paraId="49EEECF5" w14:textId="77777777" w:rsidR="00053D93" w:rsidRDefault="00260B75">
                  <w:pPr>
                    <w:spacing w:line="216" w:lineRule="auto"/>
                    <w:ind w:left="125"/>
                    <w:jc w:val="both"/>
                  </w:pPr>
                  <w:r>
                    <w:rPr>
                      <w:sz w:val="16"/>
                    </w:rPr>
                    <w:t xml:space="preserve">OOIED19B: OOIED19D </w:t>
                  </w:r>
                  <w:r>
                    <w:rPr>
                      <w:noProof/>
                    </w:rPr>
                    <w:drawing>
                      <wp:inline distT="0" distB="0" distL="0" distR="0" wp14:anchorId="1FE88E4F" wp14:editId="37A83621">
                        <wp:extent cx="429768" cy="73152"/>
                        <wp:effectExtent l="0" t="0" r="0" b="0"/>
                        <wp:docPr id="764607" name="Picture 764607"/>
                        <wp:cNvGraphicFramePr/>
                        <a:graphic xmlns:a="http://schemas.openxmlformats.org/drawingml/2006/main">
                          <a:graphicData uri="http://schemas.openxmlformats.org/drawingml/2006/picture">
                            <pic:pic xmlns:pic="http://schemas.openxmlformats.org/drawingml/2006/picture">
                              <pic:nvPicPr>
                                <pic:cNvPr id="764607" name="Picture 764607"/>
                                <pic:cNvPicPr/>
                              </pic:nvPicPr>
                              <pic:blipFill>
                                <a:blip r:embed="rId1077"/>
                                <a:stretch>
                                  <a:fillRect/>
                                </a:stretch>
                              </pic:blipFill>
                              <pic:spPr>
                                <a:xfrm>
                                  <a:off x="0" y="0"/>
                                  <a:ext cx="429768" cy="73152"/>
                                </a:xfrm>
                                <a:prstGeom prst="rect">
                                  <a:avLst/>
                                </a:prstGeom>
                              </pic:spPr>
                            </pic:pic>
                          </a:graphicData>
                        </a:graphic>
                      </wp:inline>
                    </w:drawing>
                  </w:r>
                  <w:r>
                    <w:rPr>
                      <w:sz w:val="16"/>
                    </w:rPr>
                    <w:t xml:space="preserve"> 001 EDIAI</w:t>
                  </w:r>
                </w:p>
                <w:p w14:paraId="6E054C9E" w14:textId="77777777" w:rsidR="00053D93" w:rsidRDefault="00260B75">
                  <w:pPr>
                    <w:ind w:left="125"/>
                  </w:pPr>
                  <w:r>
                    <w:rPr>
                      <w:sz w:val="18"/>
                    </w:rPr>
                    <w:t>001 EDIA2; 001 EDIA4</w:t>
                  </w:r>
                </w:p>
                <w:p w14:paraId="5C592C87" w14:textId="77777777" w:rsidR="00053D93" w:rsidRDefault="00260B75">
                  <w:pPr>
                    <w:ind w:left="118"/>
                  </w:pPr>
                  <w:r>
                    <w:rPr>
                      <w:sz w:val="14"/>
                    </w:rPr>
                    <w:t>001 EDIA7; 001 EDI AA</w:t>
                  </w:r>
                </w:p>
                <w:p w14:paraId="640E1CDE" w14:textId="77777777" w:rsidR="00053D93" w:rsidRDefault="00260B75">
                  <w:pPr>
                    <w:ind w:left="125"/>
                  </w:pPr>
                  <w:r>
                    <w:rPr>
                      <w:sz w:val="18"/>
                    </w:rPr>
                    <w:t>001 EDI 81; OOIEDIAE</w:t>
                  </w:r>
                </w:p>
                <w:p w14:paraId="0C766B16" w14:textId="77777777" w:rsidR="00053D93" w:rsidRDefault="00260B75">
                  <w:pPr>
                    <w:tabs>
                      <w:tab w:val="center" w:pos="222"/>
                      <w:tab w:val="right" w:pos="1615"/>
                    </w:tabs>
                  </w:pPr>
                  <w:r>
                    <w:rPr>
                      <w:sz w:val="14"/>
                    </w:rPr>
                    <w:tab/>
                    <w:t xml:space="preserve">001 </w:t>
                  </w:r>
                  <w:r>
                    <w:rPr>
                      <w:sz w:val="14"/>
                    </w:rPr>
                    <w:tab/>
                    <w:t>001 EDI AC</w:t>
                  </w:r>
                </w:p>
              </w:tc>
              <w:tc>
                <w:tcPr>
                  <w:tcW w:w="875" w:type="dxa"/>
                  <w:tcBorders>
                    <w:top w:val="single" w:sz="2" w:space="0" w:color="000000"/>
                    <w:left w:val="single" w:sz="2" w:space="0" w:color="000000"/>
                    <w:bottom w:val="single" w:sz="2" w:space="0" w:color="000000"/>
                    <w:right w:val="nil"/>
                  </w:tcBorders>
                </w:tcPr>
                <w:p w14:paraId="35F6D6D4" w14:textId="77777777" w:rsidR="00053D93" w:rsidRDefault="00260B75">
                  <w:pPr>
                    <w:spacing w:line="235" w:lineRule="auto"/>
                    <w:ind w:left="86" w:right="-4"/>
                    <w:jc w:val="both"/>
                  </w:pPr>
                  <w:r>
                    <w:rPr>
                      <w:sz w:val="16"/>
                    </w:rPr>
                    <w:t xml:space="preserve">Monitores en diagonal p'ana, Fiat Panel) series No. </w:t>
                  </w:r>
                </w:p>
                <w:p w14:paraId="599C4075" w14:textId="77777777" w:rsidR="00053D93" w:rsidRDefault="00260B75">
                  <w:pPr>
                    <w:ind w:left="79"/>
                  </w:pPr>
                  <w:r>
                    <w:rPr>
                      <w:sz w:val="18"/>
                    </w:rPr>
                    <w:t>V2FZT17</w:t>
                  </w:r>
                </w:p>
                <w:p w14:paraId="5A61A03E" w14:textId="77777777" w:rsidR="00053D93" w:rsidRDefault="00260B75">
                  <w:pPr>
                    <w:ind w:left="86"/>
                  </w:pPr>
                  <w:r>
                    <w:rPr>
                      <w:sz w:val="18"/>
                    </w:rPr>
                    <w:t>V2FZR93</w:t>
                  </w:r>
                </w:p>
                <w:p w14:paraId="6E4D5F42" w14:textId="77777777" w:rsidR="00053D93" w:rsidRDefault="00260B75">
                  <w:pPr>
                    <w:ind w:left="86"/>
                  </w:pPr>
                  <w:r>
                    <w:rPr>
                      <w:sz w:val="18"/>
                    </w:rPr>
                    <w:t>V2FZT16</w:t>
                  </w:r>
                </w:p>
                <w:p w14:paraId="294C6708" w14:textId="77777777" w:rsidR="00053D93" w:rsidRDefault="00260B75">
                  <w:pPr>
                    <w:ind w:left="79"/>
                  </w:pPr>
                  <w:r>
                    <w:rPr>
                      <w:rFonts w:ascii="Times New Roman" w:eastAsia="Times New Roman" w:hAnsi="Times New Roman" w:cs="Times New Roman"/>
                      <w:sz w:val="16"/>
                    </w:rPr>
                    <w:t>V2FZT21</w:t>
                  </w:r>
                </w:p>
                <w:p w14:paraId="731961B7" w14:textId="77777777" w:rsidR="00053D93" w:rsidRDefault="00260B75">
                  <w:pPr>
                    <w:ind w:left="86"/>
                  </w:pPr>
                  <w:r>
                    <w:rPr>
                      <w:sz w:val="18"/>
                    </w:rPr>
                    <w:t>V2FZR77</w:t>
                  </w:r>
                </w:p>
                <w:p w14:paraId="2FC69215" w14:textId="77777777" w:rsidR="00053D93" w:rsidRDefault="00260B75">
                  <w:pPr>
                    <w:ind w:left="86"/>
                  </w:pPr>
                  <w:r>
                    <w:rPr>
                      <w:sz w:val="18"/>
                    </w:rPr>
                    <w:t>V2FZT08</w:t>
                  </w:r>
                </w:p>
                <w:p w14:paraId="6FDEF8FB" w14:textId="77777777" w:rsidR="00053D93" w:rsidRDefault="00260B75">
                  <w:pPr>
                    <w:ind w:left="79"/>
                  </w:pPr>
                  <w:r>
                    <w:rPr>
                      <w:sz w:val="18"/>
                    </w:rPr>
                    <w:t>V2FZT04</w:t>
                  </w:r>
                </w:p>
                <w:p w14:paraId="5802AEB7" w14:textId="77777777" w:rsidR="00053D93" w:rsidRDefault="00260B75">
                  <w:pPr>
                    <w:ind w:left="86"/>
                  </w:pPr>
                  <w:r>
                    <w:rPr>
                      <w:sz w:val="18"/>
                    </w:rPr>
                    <w:t>V2FZR55</w:t>
                  </w:r>
                </w:p>
                <w:p w14:paraId="79F5944B" w14:textId="77777777" w:rsidR="00053D93" w:rsidRDefault="00260B75">
                  <w:pPr>
                    <w:ind w:left="86"/>
                  </w:pPr>
                  <w:r>
                    <w:rPr>
                      <w:sz w:val="18"/>
                    </w:rPr>
                    <w:t>V2FZR82,</w:t>
                  </w:r>
                </w:p>
                <w:p w14:paraId="5D46FE13" w14:textId="77777777" w:rsidR="00053D93" w:rsidRDefault="00260B75">
                  <w:pPr>
                    <w:ind w:left="86"/>
                  </w:pPr>
                  <w:r>
                    <w:rPr>
                      <w:sz w:val="18"/>
                    </w:rPr>
                    <w:t>V2FZT09</w:t>
                  </w:r>
                </w:p>
                <w:p w14:paraId="078E106C" w14:textId="77777777" w:rsidR="00053D93" w:rsidRDefault="00260B75">
                  <w:pPr>
                    <w:ind w:left="86"/>
                  </w:pPr>
                  <w:r>
                    <w:rPr>
                      <w:sz w:val="18"/>
                    </w:rPr>
                    <w:t>V2FZV28</w:t>
                  </w:r>
                </w:p>
                <w:p w14:paraId="7018B9D3" w14:textId="77777777" w:rsidR="00053D93" w:rsidRDefault="00260B75">
                  <w:pPr>
                    <w:ind w:left="86"/>
                  </w:pPr>
                  <w:r>
                    <w:rPr>
                      <w:sz w:val="18"/>
                    </w:rPr>
                    <w:t>V2FZR67</w:t>
                  </w:r>
                </w:p>
                <w:p w14:paraId="7F9DD580" w14:textId="77777777" w:rsidR="00053D93" w:rsidRDefault="00260B75">
                  <w:pPr>
                    <w:ind w:left="86"/>
                  </w:pPr>
                  <w:r>
                    <w:rPr>
                      <w:sz w:val="18"/>
                    </w:rPr>
                    <w:t>V2FZR74</w:t>
                  </w:r>
                </w:p>
                <w:p w14:paraId="65148775" w14:textId="77777777" w:rsidR="00053D93" w:rsidRDefault="00260B75">
                  <w:pPr>
                    <w:ind w:left="86"/>
                  </w:pPr>
                  <w:r>
                    <w:rPr>
                      <w:rFonts w:ascii="Times New Roman" w:eastAsia="Times New Roman" w:hAnsi="Times New Roman" w:cs="Times New Roman"/>
                      <w:sz w:val="16"/>
                    </w:rPr>
                    <w:t>V2FZR72</w:t>
                  </w:r>
                </w:p>
                <w:p w14:paraId="5F9D8C5D" w14:textId="77777777" w:rsidR="00053D93" w:rsidRDefault="00260B75">
                  <w:pPr>
                    <w:ind w:left="86"/>
                  </w:pPr>
                  <w:r>
                    <w:rPr>
                      <w:sz w:val="18"/>
                    </w:rPr>
                    <w:t>V2FZRB8</w:t>
                  </w:r>
                </w:p>
                <w:p w14:paraId="3A1EA51A" w14:textId="77777777" w:rsidR="00053D93" w:rsidRDefault="00260B75">
                  <w:pPr>
                    <w:ind w:left="86"/>
                  </w:pPr>
                  <w:r>
                    <w:rPr>
                      <w:sz w:val="18"/>
                    </w:rPr>
                    <w:t>V2FZR85</w:t>
                  </w:r>
                </w:p>
                <w:p w14:paraId="44B09DB4" w14:textId="77777777" w:rsidR="00053D93" w:rsidRDefault="00260B75">
                  <w:pPr>
                    <w:ind w:left="86"/>
                  </w:pPr>
                  <w:r>
                    <w:rPr>
                      <w:rFonts w:ascii="Times New Roman" w:eastAsia="Times New Roman" w:hAnsi="Times New Roman" w:cs="Times New Roman"/>
                      <w:sz w:val="16"/>
                    </w:rPr>
                    <w:t>V2FZR97</w:t>
                  </w:r>
                </w:p>
                <w:p w14:paraId="469ED244" w14:textId="77777777" w:rsidR="00053D93" w:rsidRDefault="00260B75">
                  <w:pPr>
                    <w:ind w:left="86"/>
                  </w:pPr>
                  <w:r>
                    <w:rPr>
                      <w:sz w:val="18"/>
                    </w:rPr>
                    <w:t xml:space="preserve">V2FZR89 </w:t>
                  </w:r>
                </w:p>
                <w:p w14:paraId="55F5464E" w14:textId="77777777" w:rsidR="00053D93" w:rsidRDefault="00260B75">
                  <w:pPr>
                    <w:ind w:left="94"/>
                  </w:pPr>
                  <w:r>
                    <w:rPr>
                      <w:sz w:val="16"/>
                    </w:rPr>
                    <w:t xml:space="preserve">Q. 1962.00 </w:t>
                  </w:r>
                </w:p>
                <w:p w14:paraId="3D9702BE" w14:textId="77777777" w:rsidR="00053D93" w:rsidRDefault="00260B75">
                  <w:pPr>
                    <w:ind w:left="94"/>
                  </w:pPr>
                  <w:r>
                    <w:rPr>
                      <w:sz w:val="18"/>
                    </w:rPr>
                    <w:t xml:space="preserve">V2FZR81 </w:t>
                  </w:r>
                </w:p>
              </w:tc>
              <w:tc>
                <w:tcPr>
                  <w:tcW w:w="954" w:type="dxa"/>
                  <w:tcBorders>
                    <w:top w:val="single" w:sz="2" w:space="0" w:color="000000"/>
                    <w:left w:val="nil"/>
                    <w:bottom w:val="single" w:sz="2" w:space="0" w:color="000000"/>
                    <w:right w:val="nil"/>
                  </w:tcBorders>
                </w:tcPr>
                <w:p w14:paraId="6550F5C8" w14:textId="77777777" w:rsidR="00053D93" w:rsidRDefault="00260B75">
                  <w:pPr>
                    <w:spacing w:after="23" w:line="238" w:lineRule="auto"/>
                    <w:ind w:left="-335" w:right="-115" w:firstLine="223"/>
                    <w:jc w:val="both"/>
                  </w:pPr>
                  <w:r>
                    <w:rPr>
                      <w:sz w:val="16"/>
                    </w:rPr>
                    <w:t xml:space="preserve">Color, {rea Visible 17 pulgadas, tecnologia LCD (Flat tipo 8417 </w:t>
                  </w:r>
                </w:p>
                <w:p w14:paraId="6DF1F3C9" w14:textId="77777777" w:rsidR="00053D93" w:rsidRDefault="00260B75">
                  <w:pPr>
                    <w:ind w:left="155"/>
                  </w:pPr>
                  <w:r>
                    <w:rPr>
                      <w:sz w:val="18"/>
                    </w:rPr>
                    <w:t>V2FZR94</w:t>
                  </w:r>
                </w:p>
                <w:p w14:paraId="76226911" w14:textId="77777777" w:rsidR="00053D93" w:rsidRDefault="00260B75">
                  <w:pPr>
                    <w:ind w:left="83"/>
                  </w:pPr>
                  <w:r>
                    <w:rPr>
                      <w:sz w:val="18"/>
                    </w:rPr>
                    <w:t>V2FZT15</w:t>
                  </w:r>
                </w:p>
                <w:p w14:paraId="2125A58B" w14:textId="77777777" w:rsidR="00053D93" w:rsidRDefault="00260B75">
                  <w:pPr>
                    <w:ind w:left="90"/>
                  </w:pPr>
                  <w:r>
                    <w:rPr>
                      <w:sz w:val="18"/>
                    </w:rPr>
                    <w:t>V2FZR96</w:t>
                  </w:r>
                </w:p>
                <w:p w14:paraId="3C4C7C6B" w14:textId="77777777" w:rsidR="00053D93" w:rsidRDefault="00260B75">
                  <w:pPr>
                    <w:ind w:left="83"/>
                  </w:pPr>
                  <w:r>
                    <w:rPr>
                      <w:sz w:val="18"/>
                    </w:rPr>
                    <w:t>V2FZT25</w:t>
                  </w:r>
                </w:p>
                <w:p w14:paraId="5D4DF42E" w14:textId="77777777" w:rsidR="00053D93" w:rsidRDefault="00260B75">
                  <w:pPr>
                    <w:ind w:left="83"/>
                  </w:pPr>
                  <w:r>
                    <w:rPr>
                      <w:sz w:val="18"/>
                    </w:rPr>
                    <w:t>V2FZT19</w:t>
                  </w:r>
                </w:p>
                <w:p w14:paraId="129D645A" w14:textId="77777777" w:rsidR="00053D93" w:rsidRDefault="00260B75">
                  <w:pPr>
                    <w:ind w:left="97"/>
                  </w:pPr>
                  <w:r>
                    <w:rPr>
                      <w:sz w:val="18"/>
                    </w:rPr>
                    <w:t>V2FZT13</w:t>
                  </w:r>
                </w:p>
                <w:p w14:paraId="3B1F89CB" w14:textId="77777777" w:rsidR="00053D93" w:rsidRDefault="00260B75">
                  <w:pPr>
                    <w:ind w:left="83"/>
                  </w:pPr>
                  <w:r>
                    <w:rPr>
                      <w:sz w:val="18"/>
                    </w:rPr>
                    <w:t>V2FZT03</w:t>
                  </w:r>
                </w:p>
                <w:p w14:paraId="43F5F3F5" w14:textId="77777777" w:rsidR="00053D93" w:rsidRDefault="00260B75">
                  <w:pPr>
                    <w:ind w:left="68"/>
                  </w:pPr>
                  <w:r>
                    <w:rPr>
                      <w:sz w:val="18"/>
                    </w:rPr>
                    <w:t>V2FZR78</w:t>
                  </w:r>
                </w:p>
                <w:p w14:paraId="4D9CD538" w14:textId="77777777" w:rsidR="00053D93" w:rsidRDefault="00260B75">
                  <w:pPr>
                    <w:ind w:left="97"/>
                  </w:pPr>
                  <w:r>
                    <w:rPr>
                      <w:sz w:val="18"/>
                    </w:rPr>
                    <w:t>V2FZT99</w:t>
                  </w:r>
                </w:p>
                <w:p w14:paraId="14ACAFAC" w14:textId="77777777" w:rsidR="00053D93" w:rsidRDefault="00260B75">
                  <w:pPr>
                    <w:ind w:left="119"/>
                  </w:pPr>
                  <w:r>
                    <w:rPr>
                      <w:rFonts w:ascii="Times New Roman" w:eastAsia="Times New Roman" w:hAnsi="Times New Roman" w:cs="Times New Roman"/>
                      <w:sz w:val="16"/>
                    </w:rPr>
                    <w:t>V2FZT07</w:t>
                  </w:r>
                </w:p>
                <w:p w14:paraId="3FDC034B" w14:textId="77777777" w:rsidR="00053D93" w:rsidRDefault="00260B75">
                  <w:pPr>
                    <w:ind w:left="76"/>
                  </w:pPr>
                  <w:r>
                    <w:rPr>
                      <w:rFonts w:ascii="Times New Roman" w:eastAsia="Times New Roman" w:hAnsi="Times New Roman" w:cs="Times New Roman"/>
                      <w:sz w:val="16"/>
                    </w:rPr>
                    <w:t>V2FZRB7</w:t>
                  </w:r>
                </w:p>
                <w:p w14:paraId="76773BB8" w14:textId="77777777" w:rsidR="00053D93" w:rsidRDefault="00260B75">
                  <w:pPr>
                    <w:ind w:left="83"/>
                  </w:pPr>
                  <w:r>
                    <w:rPr>
                      <w:sz w:val="18"/>
                    </w:rPr>
                    <w:t>V2FZV83</w:t>
                  </w:r>
                </w:p>
                <w:p w14:paraId="573AFC20" w14:textId="77777777" w:rsidR="00053D93" w:rsidRDefault="00260B75">
                  <w:pPr>
                    <w:ind w:left="90"/>
                  </w:pPr>
                  <w:r>
                    <w:rPr>
                      <w:sz w:val="18"/>
                    </w:rPr>
                    <w:t>V2FZR71</w:t>
                  </w:r>
                </w:p>
                <w:p w14:paraId="0CE74240" w14:textId="77777777" w:rsidR="00053D93" w:rsidRDefault="00260B75">
                  <w:pPr>
                    <w:ind w:left="83"/>
                  </w:pPr>
                  <w:r>
                    <w:rPr>
                      <w:sz w:val="18"/>
                    </w:rPr>
                    <w:t>V2FZR63</w:t>
                  </w:r>
                </w:p>
                <w:p w14:paraId="1EE556F0" w14:textId="77777777" w:rsidR="00053D93" w:rsidRDefault="00260B75">
                  <w:pPr>
                    <w:ind w:left="97"/>
                  </w:pPr>
                  <w:r>
                    <w:rPr>
                      <w:sz w:val="18"/>
                    </w:rPr>
                    <w:t>V2FZR84</w:t>
                  </w:r>
                </w:p>
                <w:p w14:paraId="5F44E5D0" w14:textId="77777777" w:rsidR="00053D93" w:rsidRDefault="00260B75">
                  <w:pPr>
                    <w:ind w:left="83"/>
                  </w:pPr>
                  <w:r>
                    <w:rPr>
                      <w:sz w:val="18"/>
                    </w:rPr>
                    <w:t>V2FZR6B</w:t>
                  </w:r>
                </w:p>
                <w:p w14:paraId="71315857" w14:textId="77777777" w:rsidR="00053D93" w:rsidRDefault="00260B75">
                  <w:pPr>
                    <w:ind w:left="83"/>
                  </w:pPr>
                  <w:r>
                    <w:rPr>
                      <w:sz w:val="18"/>
                    </w:rPr>
                    <w:t>V2FZR80</w:t>
                  </w:r>
                </w:p>
                <w:p w14:paraId="0D170482" w14:textId="77777777" w:rsidR="00053D93" w:rsidRDefault="00260B75">
                  <w:pPr>
                    <w:ind w:left="83"/>
                  </w:pPr>
                  <w:r>
                    <w:rPr>
                      <w:sz w:val="18"/>
                    </w:rPr>
                    <w:t>V2GAF88</w:t>
                  </w:r>
                </w:p>
                <w:p w14:paraId="4714AF4A" w14:textId="77777777" w:rsidR="00053D93" w:rsidRDefault="00260B75">
                  <w:pPr>
                    <w:ind w:left="-119" w:right="-50"/>
                    <w:jc w:val="both"/>
                  </w:pPr>
                  <w:r>
                    <w:rPr>
                      <w:sz w:val="18"/>
                    </w:rPr>
                    <w:t xml:space="preserve">V2FZR99 54 con Cada Uno y La Con Valor de Q. </w:t>
                  </w:r>
                </w:p>
              </w:tc>
              <w:tc>
                <w:tcPr>
                  <w:tcW w:w="713" w:type="dxa"/>
                  <w:tcBorders>
                    <w:top w:val="single" w:sz="2" w:space="0" w:color="000000"/>
                    <w:left w:val="nil"/>
                    <w:bottom w:val="single" w:sz="2" w:space="0" w:color="000000"/>
                    <w:right w:val="single" w:sz="2" w:space="0" w:color="000000"/>
                  </w:tcBorders>
                </w:tcPr>
                <w:p w14:paraId="7F958F55" w14:textId="77777777" w:rsidR="00053D93" w:rsidRDefault="00260B75">
                  <w:pPr>
                    <w:spacing w:line="247" w:lineRule="auto"/>
                    <w:ind w:left="130" w:firstLine="43"/>
                  </w:pPr>
                  <w:r>
                    <w:rPr>
                      <w:sz w:val="16"/>
                    </w:rPr>
                    <w:t>Medida pantalla Screen,</w:t>
                  </w:r>
                </w:p>
                <w:p w14:paraId="27A8ADD6" w14:textId="77777777" w:rsidR="00053D93" w:rsidRDefault="00260B75">
                  <w:pPr>
                    <w:ind w:left="-194" w:right="94"/>
                    <w:jc w:val="center"/>
                  </w:pPr>
                  <w:r>
                    <w:rPr>
                      <w:sz w:val="16"/>
                    </w:rPr>
                    <w:t>Modeto ACI</w:t>
                  </w:r>
                </w:p>
                <w:p w14:paraId="0D21AB42" w14:textId="77777777" w:rsidR="00053D93" w:rsidRDefault="00260B75">
                  <w:r>
                    <w:rPr>
                      <w:sz w:val="18"/>
                    </w:rPr>
                    <w:t>V2FZR91</w:t>
                  </w:r>
                </w:p>
                <w:p w14:paraId="5FB3C583" w14:textId="77777777" w:rsidR="00053D93" w:rsidRDefault="00260B75">
                  <w:pPr>
                    <w:ind w:left="7"/>
                  </w:pPr>
                  <w:r>
                    <w:rPr>
                      <w:sz w:val="18"/>
                    </w:rPr>
                    <w:t>V2F2V63</w:t>
                  </w:r>
                </w:p>
                <w:p w14:paraId="0EAD17D2" w14:textId="77777777" w:rsidR="00053D93" w:rsidRDefault="00260B75">
                  <w:pPr>
                    <w:ind w:left="14"/>
                  </w:pPr>
                  <w:r>
                    <w:rPr>
                      <w:sz w:val="18"/>
                    </w:rPr>
                    <w:t>V2FZT20</w:t>
                  </w:r>
                </w:p>
                <w:p w14:paraId="217795FA" w14:textId="77777777" w:rsidR="00053D93" w:rsidRDefault="00260B75">
                  <w:pPr>
                    <w:ind w:left="14"/>
                  </w:pPr>
                  <w:r>
                    <w:rPr>
                      <w:sz w:val="18"/>
                    </w:rPr>
                    <w:t>V2FZT22</w:t>
                  </w:r>
                </w:p>
                <w:p w14:paraId="03C164A0" w14:textId="77777777" w:rsidR="00053D93" w:rsidRDefault="00260B75">
                  <w:pPr>
                    <w:ind w:left="7"/>
                    <w:jc w:val="both"/>
                  </w:pPr>
                  <w:r>
                    <w:rPr>
                      <w:sz w:val="18"/>
                    </w:rPr>
                    <w:t>V2FZT02</w:t>
                  </w:r>
                </w:p>
                <w:p w14:paraId="2D3E0892" w14:textId="77777777" w:rsidR="00053D93" w:rsidRDefault="00260B75">
                  <w:pPr>
                    <w:ind w:left="14"/>
                  </w:pPr>
                  <w:r>
                    <w:rPr>
                      <w:rFonts w:ascii="Times New Roman" w:eastAsia="Times New Roman" w:hAnsi="Times New Roman" w:cs="Times New Roman"/>
                      <w:sz w:val="16"/>
                    </w:rPr>
                    <w:t>V2FZT11</w:t>
                  </w:r>
                </w:p>
                <w:p w14:paraId="3FDB9697" w14:textId="77777777" w:rsidR="00053D93" w:rsidRDefault="00260B75">
                  <w:pPr>
                    <w:ind w:left="14"/>
                  </w:pPr>
                  <w:r>
                    <w:rPr>
                      <w:sz w:val="18"/>
                    </w:rPr>
                    <w:t>V2FZTOS</w:t>
                  </w:r>
                </w:p>
                <w:p w14:paraId="662CF89E" w14:textId="77777777" w:rsidR="00053D93" w:rsidRDefault="00260B75">
                  <w:pPr>
                    <w:jc w:val="both"/>
                  </w:pPr>
                  <w:r>
                    <w:rPr>
                      <w:sz w:val="18"/>
                    </w:rPr>
                    <w:t>V2FZR62</w:t>
                  </w:r>
                </w:p>
                <w:p w14:paraId="664AB677" w14:textId="77777777" w:rsidR="00053D93" w:rsidRDefault="00260B75">
                  <w:pPr>
                    <w:ind w:left="14"/>
                    <w:jc w:val="both"/>
                  </w:pPr>
                  <w:r>
                    <w:rPr>
                      <w:sz w:val="18"/>
                    </w:rPr>
                    <w:t>V2FZT10</w:t>
                  </w:r>
                </w:p>
                <w:p w14:paraId="5B46D0BD" w14:textId="77777777" w:rsidR="00053D93" w:rsidRDefault="00260B75">
                  <w:pPr>
                    <w:ind w:left="7"/>
                  </w:pPr>
                  <w:r>
                    <w:rPr>
                      <w:sz w:val="18"/>
                    </w:rPr>
                    <w:t>V2FZR90</w:t>
                  </w:r>
                </w:p>
                <w:p w14:paraId="46C2D6E0" w14:textId="77777777" w:rsidR="00053D93" w:rsidRDefault="00260B75">
                  <w:pPr>
                    <w:spacing w:after="7" w:line="216" w:lineRule="auto"/>
                    <w:ind w:firstLine="14"/>
                  </w:pPr>
                  <w:r>
                    <w:rPr>
                      <w:sz w:val="18"/>
                    </w:rPr>
                    <w:t>V2FZT05 V2FZR69</w:t>
                  </w:r>
                </w:p>
                <w:p w14:paraId="3BBA1EA6" w14:textId="77777777" w:rsidR="00053D93" w:rsidRDefault="00260B75">
                  <w:pPr>
                    <w:ind w:left="22"/>
                  </w:pPr>
                  <w:r>
                    <w:rPr>
                      <w:sz w:val="18"/>
                    </w:rPr>
                    <w:t>V2FZT97</w:t>
                  </w:r>
                </w:p>
                <w:p w14:paraId="6E36A6E2" w14:textId="77777777" w:rsidR="00053D93" w:rsidRDefault="00260B75">
                  <w:pPr>
                    <w:jc w:val="both"/>
                  </w:pPr>
                  <w:r>
                    <w:rPr>
                      <w:sz w:val="18"/>
                    </w:rPr>
                    <w:t>V2FZR70</w:t>
                  </w:r>
                </w:p>
                <w:p w14:paraId="41AD3179" w14:textId="77777777" w:rsidR="00053D93" w:rsidRDefault="00260B75">
                  <w:pPr>
                    <w:ind w:left="22"/>
                    <w:jc w:val="both"/>
                  </w:pPr>
                  <w:r>
                    <w:rPr>
                      <w:sz w:val="18"/>
                    </w:rPr>
                    <w:t>V2FZT43</w:t>
                  </w:r>
                </w:p>
                <w:p w14:paraId="2C4FD516" w14:textId="77777777" w:rsidR="00053D93" w:rsidRDefault="00260B75">
                  <w:pPr>
                    <w:jc w:val="both"/>
                  </w:pPr>
                  <w:r>
                    <w:rPr>
                      <w:sz w:val="18"/>
                    </w:rPr>
                    <w:t>V2FZR83</w:t>
                  </w:r>
                </w:p>
                <w:p w14:paraId="0DAE7693" w14:textId="77777777" w:rsidR="00053D93" w:rsidRDefault="00260B75">
                  <w:pPr>
                    <w:ind w:left="7" w:right="72" w:hanging="7"/>
                    <w:jc w:val="both"/>
                  </w:pPr>
                  <w:r>
                    <w:rPr>
                      <w:sz w:val="18"/>
                    </w:rPr>
                    <w:t>V2FZR81 V2FZR98 valor de Serie No. 1989.48.</w:t>
                  </w:r>
                </w:p>
              </w:tc>
              <w:tc>
                <w:tcPr>
                  <w:tcW w:w="998" w:type="dxa"/>
                  <w:tcBorders>
                    <w:top w:val="single" w:sz="2" w:space="0" w:color="000000"/>
                    <w:left w:val="single" w:sz="2" w:space="0" w:color="000000"/>
                    <w:bottom w:val="single" w:sz="2" w:space="0" w:color="000000"/>
                    <w:right w:val="single" w:sz="2" w:space="0" w:color="000000"/>
                  </w:tcBorders>
                  <w:vAlign w:val="bottom"/>
                </w:tcPr>
                <w:p w14:paraId="7907A71C" w14:textId="77777777" w:rsidR="00053D93" w:rsidRDefault="00260B75">
                  <w:pPr>
                    <w:ind w:left="230"/>
                  </w:pPr>
                  <w:r>
                    <w:rPr>
                      <w:sz w:val="16"/>
                    </w:rPr>
                    <w:t>107,937.4B</w:t>
                  </w:r>
                </w:p>
              </w:tc>
            </w:tr>
            <w:tr w:rsidR="00053D93" w14:paraId="46C8361B" w14:textId="77777777">
              <w:trPr>
                <w:trHeight w:val="1560"/>
              </w:trPr>
              <w:tc>
                <w:tcPr>
                  <w:tcW w:w="301" w:type="dxa"/>
                  <w:vMerge w:val="restart"/>
                  <w:tcBorders>
                    <w:top w:val="single" w:sz="2" w:space="0" w:color="000000"/>
                    <w:left w:val="single" w:sz="2" w:space="0" w:color="000000"/>
                    <w:bottom w:val="nil"/>
                    <w:right w:val="single" w:sz="2" w:space="0" w:color="000000"/>
                  </w:tcBorders>
                </w:tcPr>
                <w:p w14:paraId="45CB49C3" w14:textId="77777777" w:rsidR="00053D93" w:rsidRDefault="00260B75">
                  <w:pPr>
                    <w:spacing w:after="1161"/>
                    <w:ind w:left="32"/>
                  </w:pPr>
                  <w:r>
                    <w:rPr>
                      <w:rFonts w:ascii="Times New Roman" w:eastAsia="Times New Roman" w:hAnsi="Times New Roman" w:cs="Times New Roman"/>
                      <w:sz w:val="16"/>
                    </w:rPr>
                    <w:t>38</w:t>
                  </w:r>
                </w:p>
                <w:p w14:paraId="22D98686" w14:textId="77777777" w:rsidR="00053D93" w:rsidRDefault="00260B75">
                  <w:pPr>
                    <w:ind w:left="-11"/>
                  </w:pPr>
                  <w:r>
                    <w:rPr>
                      <w:noProof/>
                    </w:rPr>
                    <w:drawing>
                      <wp:inline distT="0" distB="0" distL="0" distR="0" wp14:anchorId="4B316A20" wp14:editId="41C13B2C">
                        <wp:extent cx="196596" cy="411480"/>
                        <wp:effectExtent l="0" t="0" r="0" b="0"/>
                        <wp:docPr id="764476" name="Picture 764476"/>
                        <wp:cNvGraphicFramePr/>
                        <a:graphic xmlns:a="http://schemas.openxmlformats.org/drawingml/2006/main">
                          <a:graphicData uri="http://schemas.openxmlformats.org/drawingml/2006/picture">
                            <pic:pic xmlns:pic="http://schemas.openxmlformats.org/drawingml/2006/picture">
                              <pic:nvPicPr>
                                <pic:cNvPr id="764476" name="Picture 764476"/>
                                <pic:cNvPicPr/>
                              </pic:nvPicPr>
                              <pic:blipFill>
                                <a:blip r:embed="rId1078"/>
                                <a:stretch>
                                  <a:fillRect/>
                                </a:stretch>
                              </pic:blipFill>
                              <pic:spPr>
                                <a:xfrm>
                                  <a:off x="0" y="0"/>
                                  <a:ext cx="196596" cy="411480"/>
                                </a:xfrm>
                                <a:prstGeom prst="rect">
                                  <a:avLst/>
                                </a:prstGeom>
                              </pic:spPr>
                            </pic:pic>
                          </a:graphicData>
                        </a:graphic>
                      </wp:inline>
                    </w:drawing>
                  </w:r>
                </w:p>
              </w:tc>
              <w:tc>
                <w:tcPr>
                  <w:tcW w:w="1286" w:type="dxa"/>
                  <w:gridSpan w:val="3"/>
                  <w:tcBorders>
                    <w:top w:val="single" w:sz="2" w:space="0" w:color="000000"/>
                    <w:left w:val="single" w:sz="2" w:space="0" w:color="000000"/>
                    <w:bottom w:val="nil"/>
                    <w:right w:val="single" w:sz="2" w:space="0" w:color="000000"/>
                  </w:tcBorders>
                </w:tcPr>
                <w:p w14:paraId="0E0A7D80" w14:textId="77777777" w:rsidR="00053D93" w:rsidRDefault="00260B75">
                  <w:pPr>
                    <w:ind w:right="3"/>
                    <w:jc w:val="center"/>
                  </w:pPr>
                  <w:r>
                    <w:rPr>
                      <w:rFonts w:ascii="Times New Roman" w:eastAsia="Times New Roman" w:hAnsi="Times New Roman" w:cs="Times New Roman"/>
                      <w:sz w:val="16"/>
                    </w:rPr>
                    <w:t>002869</w:t>
                  </w:r>
                </w:p>
              </w:tc>
              <w:tc>
                <w:tcPr>
                  <w:tcW w:w="871" w:type="dxa"/>
                  <w:tcBorders>
                    <w:top w:val="single" w:sz="2" w:space="0" w:color="000000"/>
                    <w:left w:val="single" w:sz="2" w:space="0" w:color="000000"/>
                    <w:bottom w:val="single" w:sz="2" w:space="0" w:color="000000"/>
                    <w:right w:val="single" w:sz="2" w:space="0" w:color="000000"/>
                  </w:tcBorders>
                </w:tcPr>
                <w:p w14:paraId="437D6187" w14:textId="77777777" w:rsidR="00053D93" w:rsidRDefault="00260B75">
                  <w:pPr>
                    <w:ind w:left="86"/>
                  </w:pPr>
                  <w:r>
                    <w:rPr>
                      <w:rFonts w:ascii="Times New Roman" w:eastAsia="Times New Roman" w:hAnsi="Times New Roman" w:cs="Times New Roman"/>
                      <w:sz w:val="16"/>
                    </w:rPr>
                    <w:t>03112/2012</w:t>
                  </w:r>
                </w:p>
              </w:tc>
              <w:tc>
                <w:tcPr>
                  <w:tcW w:w="768" w:type="dxa"/>
                  <w:tcBorders>
                    <w:top w:val="single" w:sz="2" w:space="0" w:color="000000"/>
                    <w:left w:val="single" w:sz="2" w:space="0" w:color="000000"/>
                    <w:bottom w:val="single" w:sz="2" w:space="0" w:color="000000"/>
                    <w:right w:val="single" w:sz="2" w:space="0" w:color="000000"/>
                  </w:tcBorders>
                </w:tcPr>
                <w:p w14:paraId="3C136391" w14:textId="77777777" w:rsidR="00053D93" w:rsidRDefault="00260B75">
                  <w:pPr>
                    <w:ind w:left="17"/>
                    <w:jc w:val="center"/>
                  </w:pPr>
                  <w:r>
                    <w:rPr>
                      <w:rFonts w:ascii="Times New Roman" w:eastAsia="Times New Roman" w:hAnsi="Times New Roman" w:cs="Times New Roman"/>
                      <w:sz w:val="16"/>
                    </w:rPr>
                    <w:t>50</w:t>
                  </w:r>
                </w:p>
              </w:tc>
              <w:tc>
                <w:tcPr>
                  <w:tcW w:w="1615" w:type="dxa"/>
                  <w:tcBorders>
                    <w:top w:val="single" w:sz="2" w:space="0" w:color="000000"/>
                    <w:left w:val="single" w:sz="2" w:space="0" w:color="000000"/>
                    <w:bottom w:val="single" w:sz="2" w:space="0" w:color="000000"/>
                    <w:right w:val="single" w:sz="2" w:space="0" w:color="000000"/>
                  </w:tcBorders>
                </w:tcPr>
                <w:p w14:paraId="4EDF7E40" w14:textId="77777777" w:rsidR="00053D93" w:rsidRDefault="00260B75">
                  <w:pPr>
                    <w:spacing w:after="3" w:line="236" w:lineRule="auto"/>
                    <w:ind w:left="132" w:firstLine="223"/>
                    <w:jc w:val="both"/>
                  </w:pPr>
                  <w:r>
                    <w:rPr>
                      <w:sz w:val="16"/>
                    </w:rPr>
                    <w:t>ED09E; 001 EDOAO 001 EDOAI; 001 EDOA3</w:t>
                  </w:r>
                </w:p>
                <w:p w14:paraId="6EFB4F83" w14:textId="77777777" w:rsidR="00053D93" w:rsidRDefault="00260B75">
                  <w:pPr>
                    <w:ind w:left="125"/>
                  </w:pPr>
                  <w:r>
                    <w:rPr>
                      <w:sz w:val="16"/>
                    </w:rPr>
                    <w:t>001 EDOA5: 001 EOOA6</w:t>
                  </w:r>
                </w:p>
                <w:p w14:paraId="3A2654DE" w14:textId="77777777" w:rsidR="00053D93" w:rsidRDefault="00260B75">
                  <w:pPr>
                    <w:ind w:left="125"/>
                  </w:pPr>
                  <w:r>
                    <w:rPr>
                      <w:sz w:val="16"/>
                    </w:rPr>
                    <w:t>001 EDOA7: 001 EDOA8</w:t>
                  </w:r>
                </w:p>
                <w:p w14:paraId="6B92A149" w14:textId="77777777" w:rsidR="00053D93" w:rsidRDefault="00260B75">
                  <w:pPr>
                    <w:ind w:left="125"/>
                  </w:pPr>
                  <w:r>
                    <w:rPr>
                      <w:sz w:val="16"/>
                    </w:rPr>
                    <w:t>001 EDOA9; 001 EDOAA</w:t>
                  </w:r>
                </w:p>
                <w:p w14:paraId="73426926" w14:textId="77777777" w:rsidR="00053D93" w:rsidRDefault="00260B75">
                  <w:pPr>
                    <w:ind w:left="111"/>
                  </w:pPr>
                  <w:r>
                    <w:rPr>
                      <w:sz w:val="16"/>
                    </w:rPr>
                    <w:t>001 EDOAB; 001 EDOAC</w:t>
                  </w:r>
                </w:p>
                <w:p w14:paraId="55C8CBEB" w14:textId="77777777" w:rsidR="00053D93" w:rsidRDefault="00260B75">
                  <w:pPr>
                    <w:ind w:left="111"/>
                  </w:pPr>
                  <w:r>
                    <w:rPr>
                      <w:sz w:val="16"/>
                    </w:rPr>
                    <w:t>001 EDOAD; 001 EDOAE</w:t>
                  </w:r>
                </w:p>
                <w:p w14:paraId="1343CC9E" w14:textId="77777777" w:rsidR="00053D93" w:rsidRDefault="00260B75">
                  <w:pPr>
                    <w:ind w:left="132"/>
                  </w:pPr>
                  <w:r>
                    <w:rPr>
                      <w:sz w:val="16"/>
                    </w:rPr>
                    <w:t>001 EDOAF; 001 EDOBI</w:t>
                  </w:r>
                </w:p>
              </w:tc>
              <w:tc>
                <w:tcPr>
                  <w:tcW w:w="2542" w:type="dxa"/>
                  <w:gridSpan w:val="3"/>
                  <w:tcBorders>
                    <w:top w:val="single" w:sz="2" w:space="0" w:color="000000"/>
                    <w:left w:val="single" w:sz="2" w:space="0" w:color="000000"/>
                    <w:bottom w:val="single" w:sz="2" w:space="0" w:color="000000"/>
                    <w:right w:val="single" w:sz="2" w:space="0" w:color="000000"/>
                  </w:tcBorders>
                </w:tcPr>
                <w:p w14:paraId="2B0D7F80" w14:textId="77777777" w:rsidR="00053D93" w:rsidRDefault="00260B75">
                  <w:pPr>
                    <w:spacing w:after="8" w:line="265" w:lineRule="auto"/>
                    <w:ind w:left="101" w:hanging="7"/>
                    <w:jc w:val="both"/>
                  </w:pPr>
                  <w:r>
                    <w:rPr>
                      <w:sz w:val="16"/>
                    </w:rPr>
                    <w:t>Computadoras Personales Marca 18M Think Centre M52 tipo 8215</w:t>
                  </w:r>
                </w:p>
                <w:p w14:paraId="3FE10A85" w14:textId="77777777" w:rsidR="00053D93" w:rsidRDefault="00260B75">
                  <w:pPr>
                    <w:spacing w:after="39" w:line="238" w:lineRule="auto"/>
                    <w:ind w:left="94" w:firstLine="7"/>
                    <w:jc w:val="both"/>
                  </w:pPr>
                  <w:r>
                    <w:rPr>
                      <w:sz w:val="16"/>
                    </w:rPr>
                    <w:t>Modelo E28 Serie No. ogia LCD (Flat Screen, Flat Panel) tipo 8414 Modelo</w:t>
                  </w:r>
                </w:p>
                <w:p w14:paraId="375D72EC" w14:textId="77777777" w:rsidR="00053D93" w:rsidRDefault="00260B75">
                  <w:pPr>
                    <w:spacing w:line="254" w:lineRule="auto"/>
                    <w:ind w:left="101" w:right="65" w:hanging="7"/>
                    <w:jc w:val="both"/>
                  </w:pPr>
                  <w:r>
                    <w:rPr>
                      <w:sz w:val="18"/>
                    </w:rPr>
                    <w:t xml:space="preserve">ACI Series No. LKBWD06, LKBWDOI. LKan,D07. LKBWC99. LKBWA97. LKBWB41, </w:t>
                  </w:r>
                  <w:r>
                    <w:rPr>
                      <w:noProof/>
                    </w:rPr>
                    <w:drawing>
                      <wp:inline distT="0" distB="0" distL="0" distR="0" wp14:anchorId="2D07CFE4" wp14:editId="1FBF2D8E">
                        <wp:extent cx="443484" cy="86868"/>
                        <wp:effectExtent l="0" t="0" r="0" b="0"/>
                        <wp:docPr id="764528" name="Picture 764528"/>
                        <wp:cNvGraphicFramePr/>
                        <a:graphic xmlns:a="http://schemas.openxmlformats.org/drawingml/2006/main">
                          <a:graphicData uri="http://schemas.openxmlformats.org/drawingml/2006/picture">
                            <pic:pic xmlns:pic="http://schemas.openxmlformats.org/drawingml/2006/picture">
                              <pic:nvPicPr>
                                <pic:cNvPr id="764528" name="Picture 764528"/>
                                <pic:cNvPicPr/>
                              </pic:nvPicPr>
                              <pic:blipFill>
                                <a:blip r:embed="rId1079"/>
                                <a:stretch>
                                  <a:fillRect/>
                                </a:stretch>
                              </pic:blipFill>
                              <pic:spPr>
                                <a:xfrm>
                                  <a:off x="0" y="0"/>
                                  <a:ext cx="443484" cy="86868"/>
                                </a:xfrm>
                                <a:prstGeom prst="rect">
                                  <a:avLst/>
                                </a:prstGeom>
                              </pic:spPr>
                            </pic:pic>
                          </a:graphicData>
                        </a:graphic>
                      </wp:inline>
                    </w:drawing>
                  </w:r>
                </w:p>
                <w:p w14:paraId="170EA313" w14:textId="77777777" w:rsidR="00053D93" w:rsidRDefault="00260B75">
                  <w:pPr>
                    <w:ind w:left="108"/>
                  </w:pPr>
                  <w:r>
                    <w:rPr>
                      <w:sz w:val="18"/>
                    </w:rPr>
                    <w:t>LKBn'D52. LKBWB84, LKBWC63,</w:t>
                  </w:r>
                </w:p>
              </w:tc>
              <w:tc>
                <w:tcPr>
                  <w:tcW w:w="998" w:type="dxa"/>
                  <w:tcBorders>
                    <w:top w:val="single" w:sz="2" w:space="0" w:color="000000"/>
                    <w:left w:val="single" w:sz="2" w:space="0" w:color="000000"/>
                    <w:bottom w:val="single" w:sz="2" w:space="0" w:color="000000"/>
                    <w:right w:val="single" w:sz="2" w:space="0" w:color="000000"/>
                  </w:tcBorders>
                </w:tcPr>
                <w:p w14:paraId="2792D37D" w14:textId="77777777" w:rsidR="00053D93" w:rsidRDefault="00053D93"/>
              </w:tc>
            </w:tr>
            <w:tr w:rsidR="00053D93" w14:paraId="47EF91F7" w14:textId="77777777">
              <w:trPr>
                <w:trHeight w:val="615"/>
              </w:trPr>
              <w:tc>
                <w:tcPr>
                  <w:tcW w:w="0" w:type="auto"/>
                  <w:vMerge/>
                  <w:tcBorders>
                    <w:top w:val="nil"/>
                    <w:left w:val="single" w:sz="2" w:space="0" w:color="000000"/>
                    <w:bottom w:val="nil"/>
                    <w:right w:val="single" w:sz="2" w:space="0" w:color="000000"/>
                  </w:tcBorders>
                </w:tcPr>
                <w:p w14:paraId="09D07F88" w14:textId="77777777" w:rsidR="00053D93" w:rsidRDefault="00053D93"/>
              </w:tc>
              <w:tc>
                <w:tcPr>
                  <w:tcW w:w="253" w:type="dxa"/>
                  <w:tcBorders>
                    <w:top w:val="nil"/>
                    <w:left w:val="single" w:sz="2" w:space="0" w:color="000000"/>
                    <w:bottom w:val="nil"/>
                    <w:right w:val="single" w:sz="2" w:space="0" w:color="000000"/>
                  </w:tcBorders>
                </w:tcPr>
                <w:p w14:paraId="1EB93018" w14:textId="77777777" w:rsidR="00053D93" w:rsidRDefault="00260B75">
                  <w:pPr>
                    <w:ind w:left="-3"/>
                  </w:pPr>
                  <w:r>
                    <w:rPr>
                      <w:noProof/>
                    </w:rPr>
                    <w:drawing>
                      <wp:inline distT="0" distB="0" distL="0" distR="0" wp14:anchorId="04435E42" wp14:editId="2783A9E6">
                        <wp:extent cx="132588" cy="388620"/>
                        <wp:effectExtent l="0" t="0" r="0" b="0"/>
                        <wp:docPr id="764462" name="Picture 764462"/>
                        <wp:cNvGraphicFramePr/>
                        <a:graphic xmlns:a="http://schemas.openxmlformats.org/drawingml/2006/main">
                          <a:graphicData uri="http://schemas.openxmlformats.org/drawingml/2006/picture">
                            <pic:pic xmlns:pic="http://schemas.openxmlformats.org/drawingml/2006/picture">
                              <pic:nvPicPr>
                                <pic:cNvPr id="764462" name="Picture 764462"/>
                                <pic:cNvPicPr/>
                              </pic:nvPicPr>
                              <pic:blipFill>
                                <a:blip r:embed="rId1080"/>
                                <a:stretch>
                                  <a:fillRect/>
                                </a:stretch>
                              </pic:blipFill>
                              <pic:spPr>
                                <a:xfrm>
                                  <a:off x="0" y="0"/>
                                  <a:ext cx="132588" cy="388620"/>
                                </a:xfrm>
                                <a:prstGeom prst="rect">
                                  <a:avLst/>
                                </a:prstGeom>
                              </pic:spPr>
                            </pic:pic>
                          </a:graphicData>
                        </a:graphic>
                      </wp:inline>
                    </w:drawing>
                  </w:r>
                </w:p>
              </w:tc>
              <w:tc>
                <w:tcPr>
                  <w:tcW w:w="195" w:type="dxa"/>
                  <w:tcBorders>
                    <w:top w:val="nil"/>
                    <w:left w:val="single" w:sz="2" w:space="0" w:color="000000"/>
                    <w:bottom w:val="nil"/>
                    <w:right w:val="single" w:sz="2" w:space="0" w:color="000000"/>
                  </w:tcBorders>
                </w:tcPr>
                <w:p w14:paraId="4176B839" w14:textId="77777777" w:rsidR="00053D93" w:rsidRDefault="00053D93"/>
              </w:tc>
              <w:tc>
                <w:tcPr>
                  <w:tcW w:w="7632" w:type="dxa"/>
                  <w:gridSpan w:val="8"/>
                  <w:tcBorders>
                    <w:top w:val="single" w:sz="2" w:space="0" w:color="000000"/>
                    <w:left w:val="single" w:sz="2" w:space="0" w:color="000000"/>
                    <w:bottom w:val="nil"/>
                    <w:right w:val="nil"/>
                  </w:tcBorders>
                </w:tcPr>
                <w:p w14:paraId="028642B2" w14:textId="77777777" w:rsidR="00053D93" w:rsidRDefault="00260B75">
                  <w:pPr>
                    <w:ind w:left="2609"/>
                  </w:pPr>
                  <w:r>
                    <w:rPr>
                      <w:sz w:val="14"/>
                    </w:rPr>
                    <w:t>MINISTERIO DE EOUCACION</w:t>
                  </w:r>
                </w:p>
                <w:p w14:paraId="73B94DEC" w14:textId="77777777" w:rsidR="00053D93" w:rsidRDefault="00260B75">
                  <w:pPr>
                    <w:ind w:left="2112"/>
                  </w:pPr>
                  <w:r>
                    <w:rPr>
                      <w:sz w:val="14"/>
                    </w:rPr>
                    <w:t>AUDITORIA FINANCIERA Y DE CUMPLIMIENTO</w:t>
                  </w:r>
                </w:p>
                <w:p w14:paraId="26EF5DD6" w14:textId="77777777" w:rsidR="00053D93" w:rsidRDefault="00260B75">
                  <w:pPr>
                    <w:ind w:left="1781"/>
                  </w:pPr>
                  <w:r>
                    <w:rPr>
                      <w:sz w:val="14"/>
                    </w:rPr>
                    <w:t>PERIODO DEL 01 DE ENERO AL 31 DE DICIEMBRE OE 2024</w:t>
                  </w:r>
                </w:p>
              </w:tc>
            </w:tr>
          </w:tbl>
          <w:p w14:paraId="4CBF858D" w14:textId="77777777" w:rsidR="00053D93" w:rsidRDefault="00053D93"/>
        </w:tc>
      </w:tr>
    </w:tbl>
    <w:p w14:paraId="62066CD5" w14:textId="77777777" w:rsidR="00053D93" w:rsidRDefault="00053D93">
      <w:pPr>
        <w:sectPr w:rsidR="00053D93">
          <w:headerReference w:type="even" r:id="rId1081"/>
          <w:headerReference w:type="default" r:id="rId1082"/>
          <w:footerReference w:type="even" r:id="rId1083"/>
          <w:footerReference w:type="default" r:id="rId1084"/>
          <w:headerReference w:type="first" r:id="rId1085"/>
          <w:footerReference w:type="first" r:id="rId1086"/>
          <w:pgSz w:w="12290" w:h="15883"/>
          <w:pgMar w:top="727" w:right="2923" w:bottom="655" w:left="1102" w:header="662" w:footer="720" w:gutter="0"/>
          <w:cols w:space="720"/>
          <w:titlePg/>
        </w:sectPr>
      </w:pPr>
    </w:p>
    <w:p w14:paraId="2B8A02DE" w14:textId="77777777" w:rsidR="00053D93" w:rsidRDefault="00260B75">
      <w:pPr>
        <w:spacing w:after="102" w:line="265" w:lineRule="auto"/>
        <w:ind w:left="5828" w:hanging="10"/>
      </w:pPr>
      <w:r>
        <w:rPr>
          <w:rFonts w:ascii="Times New Roman" w:eastAsia="Times New Roman" w:hAnsi="Times New Roman" w:cs="Times New Roman"/>
          <w:sz w:val="14"/>
        </w:rPr>
        <w:t>363</w:t>
      </w:r>
    </w:p>
    <w:p w14:paraId="689CD02B" w14:textId="77777777" w:rsidR="00053D93" w:rsidRDefault="00260B75">
      <w:pPr>
        <w:spacing w:after="76"/>
        <w:ind w:left="7294"/>
      </w:pPr>
      <w:r>
        <w:rPr>
          <w:noProof/>
        </w:rPr>
        <w:drawing>
          <wp:inline distT="0" distB="0" distL="0" distR="0" wp14:anchorId="01199E92" wp14:editId="4EE4FB7D">
            <wp:extent cx="233172" cy="13716"/>
            <wp:effectExtent l="0" t="0" r="0" b="0"/>
            <wp:docPr id="772866" name="Picture 772866"/>
            <wp:cNvGraphicFramePr/>
            <a:graphic xmlns:a="http://schemas.openxmlformats.org/drawingml/2006/main">
              <a:graphicData uri="http://schemas.openxmlformats.org/drawingml/2006/picture">
                <pic:pic xmlns:pic="http://schemas.openxmlformats.org/drawingml/2006/picture">
                  <pic:nvPicPr>
                    <pic:cNvPr id="772866" name="Picture 772866"/>
                    <pic:cNvPicPr/>
                  </pic:nvPicPr>
                  <pic:blipFill>
                    <a:blip r:embed="rId1087"/>
                    <a:stretch>
                      <a:fillRect/>
                    </a:stretch>
                  </pic:blipFill>
                  <pic:spPr>
                    <a:xfrm>
                      <a:off x="0" y="0"/>
                      <a:ext cx="233172" cy="13716"/>
                    </a:xfrm>
                    <a:prstGeom prst="rect">
                      <a:avLst/>
                    </a:prstGeom>
                  </pic:spPr>
                </pic:pic>
              </a:graphicData>
            </a:graphic>
          </wp:inline>
        </w:drawing>
      </w:r>
    </w:p>
    <w:tbl>
      <w:tblPr>
        <w:tblStyle w:val="TableGrid"/>
        <w:tblW w:w="9386" w:type="dxa"/>
        <w:tblInd w:w="792" w:type="dxa"/>
        <w:tblLook w:val="04A0" w:firstRow="1" w:lastRow="0" w:firstColumn="1" w:lastColumn="0" w:noHBand="0" w:noVBand="1"/>
      </w:tblPr>
      <w:tblGrid>
        <w:gridCol w:w="828"/>
        <w:gridCol w:w="8626"/>
      </w:tblGrid>
      <w:tr w:rsidR="00053D93" w14:paraId="104831D3" w14:textId="77777777">
        <w:trPr>
          <w:trHeight w:val="13899"/>
        </w:trPr>
        <w:tc>
          <w:tcPr>
            <w:tcW w:w="1012" w:type="dxa"/>
            <w:tcBorders>
              <w:top w:val="nil"/>
              <w:left w:val="nil"/>
              <w:bottom w:val="nil"/>
              <w:right w:val="nil"/>
            </w:tcBorders>
            <w:vAlign w:val="bottom"/>
          </w:tcPr>
          <w:p w14:paraId="62EAF36F" w14:textId="77777777" w:rsidR="00053D93" w:rsidRDefault="00260B75">
            <w:r>
              <w:rPr>
                <w:noProof/>
              </w:rPr>
              <w:drawing>
                <wp:inline distT="0" distB="0" distL="0" distR="0" wp14:anchorId="4190C9F2" wp14:editId="6AA01E8E">
                  <wp:extent cx="640080" cy="411480"/>
                  <wp:effectExtent l="0" t="0" r="0" b="0"/>
                  <wp:docPr id="772867" name="Picture 772867"/>
                  <wp:cNvGraphicFramePr/>
                  <a:graphic xmlns:a="http://schemas.openxmlformats.org/drawingml/2006/main">
                    <a:graphicData uri="http://schemas.openxmlformats.org/drawingml/2006/picture">
                      <pic:pic xmlns:pic="http://schemas.openxmlformats.org/drawingml/2006/picture">
                        <pic:nvPicPr>
                          <pic:cNvPr id="772867" name="Picture 772867"/>
                          <pic:cNvPicPr/>
                        </pic:nvPicPr>
                        <pic:blipFill>
                          <a:blip r:embed="rId1088"/>
                          <a:stretch>
                            <a:fillRect/>
                          </a:stretch>
                        </pic:blipFill>
                        <pic:spPr>
                          <a:xfrm>
                            <a:off x="0" y="0"/>
                            <a:ext cx="640080" cy="411480"/>
                          </a:xfrm>
                          <a:prstGeom prst="rect">
                            <a:avLst/>
                          </a:prstGeom>
                        </pic:spPr>
                      </pic:pic>
                    </a:graphicData>
                  </a:graphic>
                </wp:inline>
              </w:drawing>
            </w:r>
          </w:p>
        </w:tc>
        <w:tc>
          <w:tcPr>
            <w:tcW w:w="8374" w:type="dxa"/>
            <w:tcBorders>
              <w:top w:val="nil"/>
              <w:left w:val="nil"/>
              <w:bottom w:val="nil"/>
              <w:right w:val="nil"/>
            </w:tcBorders>
          </w:tcPr>
          <w:p w14:paraId="6A89E627" w14:textId="77777777" w:rsidR="00053D93" w:rsidRDefault="00053D93">
            <w:pPr>
              <w:ind w:left="-2106" w:right="10481"/>
            </w:pPr>
          </w:p>
          <w:tbl>
            <w:tblPr>
              <w:tblStyle w:val="TableGrid"/>
              <w:tblW w:w="8370" w:type="dxa"/>
              <w:tblInd w:w="4" w:type="dxa"/>
              <w:tblCellMar>
                <w:right w:w="4" w:type="dxa"/>
              </w:tblCellMar>
              <w:tblLook w:val="04A0" w:firstRow="1" w:lastRow="0" w:firstColumn="1" w:lastColumn="0" w:noHBand="0" w:noVBand="1"/>
            </w:tblPr>
            <w:tblGrid>
              <w:gridCol w:w="307"/>
              <w:gridCol w:w="301"/>
              <w:gridCol w:w="175"/>
              <w:gridCol w:w="773"/>
              <w:gridCol w:w="874"/>
              <w:gridCol w:w="734"/>
              <w:gridCol w:w="1560"/>
              <w:gridCol w:w="896"/>
              <w:gridCol w:w="889"/>
              <w:gridCol w:w="874"/>
              <w:gridCol w:w="987"/>
            </w:tblGrid>
            <w:tr w:rsidR="00053D93" w14:paraId="17A8985C" w14:textId="77777777">
              <w:trPr>
                <w:trHeight w:val="3091"/>
              </w:trPr>
              <w:tc>
                <w:tcPr>
                  <w:tcW w:w="305" w:type="dxa"/>
                  <w:tcBorders>
                    <w:top w:val="single" w:sz="2" w:space="0" w:color="000000"/>
                    <w:left w:val="single" w:sz="2" w:space="0" w:color="000000"/>
                    <w:bottom w:val="single" w:sz="2" w:space="0" w:color="000000"/>
                    <w:right w:val="single" w:sz="2" w:space="0" w:color="000000"/>
                  </w:tcBorders>
                </w:tcPr>
                <w:p w14:paraId="474F5789" w14:textId="77777777" w:rsidR="00053D93" w:rsidRDefault="00053D93"/>
              </w:tc>
              <w:tc>
                <w:tcPr>
                  <w:tcW w:w="302" w:type="dxa"/>
                  <w:vMerge w:val="restart"/>
                  <w:tcBorders>
                    <w:top w:val="single" w:sz="2" w:space="0" w:color="000000"/>
                    <w:left w:val="single" w:sz="2" w:space="0" w:color="000000"/>
                    <w:bottom w:val="single" w:sz="2" w:space="0" w:color="000000"/>
                    <w:right w:val="nil"/>
                  </w:tcBorders>
                </w:tcPr>
                <w:p w14:paraId="49DDF5CA" w14:textId="77777777" w:rsidR="00053D93" w:rsidRDefault="00053D93"/>
              </w:tc>
              <w:tc>
                <w:tcPr>
                  <w:tcW w:w="973" w:type="dxa"/>
                  <w:gridSpan w:val="2"/>
                  <w:vMerge w:val="restart"/>
                  <w:tcBorders>
                    <w:top w:val="single" w:sz="2" w:space="0" w:color="000000"/>
                    <w:left w:val="nil"/>
                    <w:bottom w:val="single" w:sz="2" w:space="0" w:color="000000"/>
                    <w:right w:val="single" w:sz="2" w:space="0" w:color="000000"/>
                  </w:tcBorders>
                </w:tcPr>
                <w:p w14:paraId="632B2A1C"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09FB6B50" w14:textId="77777777" w:rsidR="00053D93" w:rsidRDefault="00053D93"/>
              </w:tc>
              <w:tc>
                <w:tcPr>
                  <w:tcW w:w="770" w:type="dxa"/>
                  <w:tcBorders>
                    <w:top w:val="single" w:sz="2" w:space="0" w:color="000000"/>
                    <w:left w:val="single" w:sz="2" w:space="0" w:color="000000"/>
                    <w:bottom w:val="single" w:sz="2" w:space="0" w:color="000000"/>
                    <w:right w:val="single" w:sz="2" w:space="0" w:color="000000"/>
                  </w:tcBorders>
                </w:tcPr>
                <w:p w14:paraId="0D508833" w14:textId="77777777" w:rsidR="00053D93" w:rsidRDefault="00053D93"/>
              </w:tc>
              <w:tc>
                <w:tcPr>
                  <w:tcW w:w="1608" w:type="dxa"/>
                  <w:tcBorders>
                    <w:top w:val="single" w:sz="2" w:space="0" w:color="000000"/>
                    <w:left w:val="single" w:sz="2" w:space="0" w:color="000000"/>
                    <w:bottom w:val="single" w:sz="2" w:space="0" w:color="000000"/>
                    <w:right w:val="single" w:sz="2" w:space="0" w:color="000000"/>
                  </w:tcBorders>
                </w:tcPr>
                <w:p w14:paraId="6585BF7A" w14:textId="77777777" w:rsidR="00053D93" w:rsidRDefault="00260B75">
                  <w:pPr>
                    <w:spacing w:after="4" w:line="242" w:lineRule="auto"/>
                    <w:ind w:left="327" w:hanging="238"/>
                    <w:jc w:val="both"/>
                  </w:pPr>
                  <w:r>
                    <w:rPr>
                      <w:sz w:val="16"/>
                    </w:rPr>
                    <w:t>001 EDOAB; 001 EDOB4 EDOB5; 001 EDOB7</w:t>
                  </w:r>
                </w:p>
                <w:p w14:paraId="570F98F0" w14:textId="77777777" w:rsidR="00053D93" w:rsidRDefault="00260B75">
                  <w:pPr>
                    <w:ind w:left="96"/>
                  </w:pPr>
                  <w:r>
                    <w:rPr>
                      <w:sz w:val="16"/>
                    </w:rPr>
                    <w:t>001 EDOB8; 001 EDOBA</w:t>
                  </w:r>
                </w:p>
                <w:p w14:paraId="0C6B256E" w14:textId="77777777" w:rsidR="00053D93" w:rsidRDefault="00260B75">
                  <w:pPr>
                    <w:ind w:left="82"/>
                  </w:pPr>
                  <w:r>
                    <w:rPr>
                      <w:sz w:val="16"/>
                    </w:rPr>
                    <w:t>001 EDOBB; 001 EDOBC</w:t>
                  </w:r>
                </w:p>
                <w:p w14:paraId="05879234" w14:textId="77777777" w:rsidR="00053D93" w:rsidRDefault="00260B75">
                  <w:pPr>
                    <w:ind w:left="89"/>
                  </w:pPr>
                  <w:r>
                    <w:rPr>
                      <w:sz w:val="16"/>
                    </w:rPr>
                    <w:t>001 EDOBE; 001 EDOBF</w:t>
                  </w:r>
                </w:p>
                <w:p w14:paraId="3D0092EF" w14:textId="77777777" w:rsidR="00053D93" w:rsidRDefault="00260B75">
                  <w:pPr>
                    <w:ind w:left="96"/>
                  </w:pPr>
                  <w:r>
                    <w:rPr>
                      <w:sz w:val="14"/>
                    </w:rPr>
                    <w:t>001 EDOCO; 001 EDOCI</w:t>
                  </w:r>
                </w:p>
                <w:p w14:paraId="5A119D96" w14:textId="77777777" w:rsidR="00053D93" w:rsidRDefault="00260B75">
                  <w:pPr>
                    <w:ind w:left="96"/>
                  </w:pPr>
                  <w:r>
                    <w:rPr>
                      <w:sz w:val="16"/>
                    </w:rPr>
                    <w:t>001 EDOC2; 001 EDOC3</w:t>
                  </w:r>
                </w:p>
                <w:p w14:paraId="70D75742" w14:textId="77777777" w:rsidR="00053D93" w:rsidRDefault="00260B75">
                  <w:pPr>
                    <w:ind w:left="96"/>
                  </w:pPr>
                  <w:r>
                    <w:rPr>
                      <w:sz w:val="16"/>
                    </w:rPr>
                    <w:t>001 EDOC4; 001 EDOC5</w:t>
                  </w:r>
                </w:p>
                <w:p w14:paraId="103B8208" w14:textId="77777777" w:rsidR="00053D93" w:rsidRDefault="00260B75">
                  <w:pPr>
                    <w:ind w:left="96"/>
                  </w:pPr>
                  <w:r>
                    <w:rPr>
                      <w:sz w:val="16"/>
                    </w:rPr>
                    <w:t>001 EDOC6; 001 EDOC7</w:t>
                  </w:r>
                </w:p>
                <w:p w14:paraId="55F8148B" w14:textId="77777777" w:rsidR="00053D93" w:rsidRDefault="00260B75">
                  <w:pPr>
                    <w:ind w:left="96"/>
                  </w:pPr>
                  <w:r>
                    <w:rPr>
                      <w:sz w:val="16"/>
                    </w:rPr>
                    <w:t>001 EDOC8; 001 EDOCA</w:t>
                  </w:r>
                </w:p>
                <w:p w14:paraId="2938F5B5" w14:textId="77777777" w:rsidR="00053D93" w:rsidRDefault="00260B75">
                  <w:pPr>
                    <w:spacing w:after="4"/>
                    <w:ind w:left="75"/>
                  </w:pPr>
                  <w:r>
                    <w:rPr>
                      <w:sz w:val="16"/>
                    </w:rPr>
                    <w:t>001 EDOCB: 001 EDOCC</w:t>
                  </w:r>
                </w:p>
                <w:p w14:paraId="0936F919" w14:textId="77777777" w:rsidR="00053D93" w:rsidRDefault="00260B75">
                  <w:pPr>
                    <w:tabs>
                      <w:tab w:val="right" w:pos="1605"/>
                    </w:tabs>
                    <w:spacing w:after="5"/>
                  </w:pPr>
                  <w:r>
                    <w:rPr>
                      <w:sz w:val="16"/>
                    </w:rPr>
                    <w:t xml:space="preserve">001 EDOCD: </w:t>
                  </w:r>
                  <w:r>
                    <w:rPr>
                      <w:sz w:val="16"/>
                    </w:rPr>
                    <w:tab/>
                    <w:t>EDOCE</w:t>
                  </w:r>
                </w:p>
                <w:p w14:paraId="1CFEED7B" w14:textId="77777777" w:rsidR="00053D93" w:rsidRDefault="00260B75">
                  <w:pPr>
                    <w:spacing w:line="244" w:lineRule="auto"/>
                    <w:ind w:left="96" w:firstLine="230"/>
                    <w:jc w:val="both"/>
                  </w:pPr>
                  <w:r>
                    <w:rPr>
                      <w:sz w:val="16"/>
                    </w:rPr>
                    <w:t>EDOCF; 001 EDODO 001 EDOD2; 001 EDOD3</w:t>
                  </w:r>
                </w:p>
                <w:p w14:paraId="7AE94067" w14:textId="77777777" w:rsidR="00053D93" w:rsidRDefault="00260B75">
                  <w:pPr>
                    <w:ind w:left="104"/>
                  </w:pPr>
                  <w:r>
                    <w:rPr>
                      <w:sz w:val="16"/>
                    </w:rPr>
                    <w:t>001 EDOD4; 001 ED005</w:t>
                  </w:r>
                </w:p>
                <w:p w14:paraId="61589C83" w14:textId="77777777" w:rsidR="00053D93" w:rsidRDefault="00260B75">
                  <w:pPr>
                    <w:ind w:left="96"/>
                  </w:pPr>
                  <w:r>
                    <w:rPr>
                      <w:sz w:val="16"/>
                    </w:rPr>
                    <w:t>001 EDODS; 001 EDODA</w:t>
                  </w:r>
                </w:p>
              </w:tc>
              <w:tc>
                <w:tcPr>
                  <w:tcW w:w="900" w:type="dxa"/>
                  <w:tcBorders>
                    <w:top w:val="single" w:sz="2" w:space="0" w:color="000000"/>
                    <w:left w:val="single" w:sz="2" w:space="0" w:color="000000"/>
                    <w:bottom w:val="single" w:sz="2" w:space="0" w:color="000000"/>
                    <w:right w:val="nil"/>
                  </w:tcBorders>
                </w:tcPr>
                <w:p w14:paraId="1F79396A" w14:textId="77777777" w:rsidR="00053D93" w:rsidRDefault="00260B75">
                  <w:pPr>
                    <w:ind w:left="65"/>
                  </w:pPr>
                  <w:r>
                    <w:rPr>
                      <w:sz w:val="18"/>
                    </w:rPr>
                    <w:t>LKBWB16.</w:t>
                  </w:r>
                </w:p>
                <w:p w14:paraId="089C5999" w14:textId="77777777" w:rsidR="00053D93" w:rsidRDefault="00260B75">
                  <w:pPr>
                    <w:spacing w:after="50"/>
                    <w:ind w:left="65"/>
                  </w:pPr>
                  <w:r>
                    <w:rPr>
                      <w:noProof/>
                    </w:rPr>
                    <w:drawing>
                      <wp:inline distT="0" distB="0" distL="0" distR="0" wp14:anchorId="1BC11F08" wp14:editId="5AD02988">
                        <wp:extent cx="448056" cy="86868"/>
                        <wp:effectExtent l="0" t="0" r="0" b="0"/>
                        <wp:docPr id="772677" name="Picture 772677"/>
                        <wp:cNvGraphicFramePr/>
                        <a:graphic xmlns:a="http://schemas.openxmlformats.org/drawingml/2006/main">
                          <a:graphicData uri="http://schemas.openxmlformats.org/drawingml/2006/picture">
                            <pic:pic xmlns:pic="http://schemas.openxmlformats.org/drawingml/2006/picture">
                              <pic:nvPicPr>
                                <pic:cNvPr id="772677" name="Picture 772677"/>
                                <pic:cNvPicPr/>
                              </pic:nvPicPr>
                              <pic:blipFill>
                                <a:blip r:embed="rId1089"/>
                                <a:stretch>
                                  <a:fillRect/>
                                </a:stretch>
                              </pic:blipFill>
                              <pic:spPr>
                                <a:xfrm>
                                  <a:off x="0" y="0"/>
                                  <a:ext cx="448056" cy="86868"/>
                                </a:xfrm>
                                <a:prstGeom prst="rect">
                                  <a:avLst/>
                                </a:prstGeom>
                              </pic:spPr>
                            </pic:pic>
                          </a:graphicData>
                        </a:graphic>
                      </wp:inline>
                    </w:drawing>
                  </w:r>
                </w:p>
                <w:p w14:paraId="7125FDFF" w14:textId="77777777" w:rsidR="00053D93" w:rsidRDefault="00260B75">
                  <w:pPr>
                    <w:ind w:left="72"/>
                  </w:pPr>
                  <w:r>
                    <w:rPr>
                      <w:sz w:val="18"/>
                    </w:rPr>
                    <w:t>LKBWB16,</w:t>
                  </w:r>
                </w:p>
                <w:p w14:paraId="598E2169" w14:textId="77777777" w:rsidR="00053D93" w:rsidRDefault="00260B75">
                  <w:pPr>
                    <w:ind w:left="72"/>
                  </w:pPr>
                  <w:r>
                    <w:rPr>
                      <w:sz w:val="18"/>
                    </w:rPr>
                    <w:t>LKBWA98,</w:t>
                  </w:r>
                </w:p>
                <w:p w14:paraId="3CA4AA10" w14:textId="77777777" w:rsidR="00053D93" w:rsidRDefault="00260B75">
                  <w:pPr>
                    <w:spacing w:line="224" w:lineRule="auto"/>
                    <w:ind w:left="72"/>
                  </w:pPr>
                  <w:r>
                    <w:rPr>
                      <w:sz w:val="18"/>
                    </w:rPr>
                    <w:t>LKBWB83. LKBViB59. LKBWB85,</w:t>
                  </w:r>
                </w:p>
                <w:p w14:paraId="141CF764" w14:textId="77777777" w:rsidR="00053D93" w:rsidRDefault="00260B75">
                  <w:pPr>
                    <w:ind w:left="72"/>
                  </w:pPr>
                  <w:r>
                    <w:rPr>
                      <w:sz w:val="18"/>
                    </w:rPr>
                    <w:t>LKBWB97.</w:t>
                  </w:r>
                </w:p>
                <w:p w14:paraId="364B670F" w14:textId="77777777" w:rsidR="00053D93" w:rsidRDefault="00260B75">
                  <w:pPr>
                    <w:spacing w:after="7" w:line="216" w:lineRule="auto"/>
                    <w:ind w:left="72"/>
                  </w:pPr>
                  <w:r>
                    <w:rPr>
                      <w:sz w:val="18"/>
                    </w:rPr>
                    <w:t>LKBWÊ66, LKBWD76,</w:t>
                  </w:r>
                </w:p>
                <w:p w14:paraId="05BD78FA" w14:textId="77777777" w:rsidR="00053D93" w:rsidRDefault="00260B75">
                  <w:pPr>
                    <w:ind w:left="72"/>
                  </w:pPr>
                  <w:r>
                    <w:rPr>
                      <w:sz w:val="18"/>
                    </w:rPr>
                    <w:t>LKBWD44,</w:t>
                  </w:r>
                </w:p>
                <w:p w14:paraId="50D6D015" w14:textId="77777777" w:rsidR="00053D93" w:rsidRDefault="00260B75">
                  <w:pPr>
                    <w:ind w:left="79"/>
                  </w:pPr>
                  <w:r>
                    <w:rPr>
                      <w:sz w:val="16"/>
                    </w:rPr>
                    <w:t>LKBW'B35,</w:t>
                  </w:r>
                </w:p>
                <w:p w14:paraId="5BF9977C" w14:textId="77777777" w:rsidR="00053D93" w:rsidRDefault="00260B75">
                  <w:pPr>
                    <w:ind w:left="72"/>
                  </w:pPr>
                  <w:r>
                    <w:rPr>
                      <w:sz w:val="18"/>
                    </w:rPr>
                    <w:t>LKVWC84.</w:t>
                  </w:r>
                </w:p>
                <w:p w14:paraId="1135526E" w14:textId="77777777" w:rsidR="00053D93" w:rsidRDefault="00260B75">
                  <w:pPr>
                    <w:ind w:left="72" w:firstLine="7"/>
                  </w:pPr>
                  <w:r>
                    <w:rPr>
                      <w:sz w:val="16"/>
                    </w:rPr>
                    <w:t xml:space="preserve">LKBWB13. 7887.24 y </w:t>
                  </w:r>
                </w:p>
                <w:p w14:paraId="45A80C65" w14:textId="77777777" w:rsidR="00053D93" w:rsidRDefault="00260B75">
                  <w:pPr>
                    <w:ind w:left="65"/>
                  </w:pPr>
                  <w:r>
                    <w:rPr>
                      <w:sz w:val="16"/>
                    </w:rPr>
                    <w:t xml:space="preserve">Valor de </w:t>
                  </w:r>
                </w:p>
              </w:tc>
              <w:tc>
                <w:tcPr>
                  <w:tcW w:w="835" w:type="dxa"/>
                  <w:tcBorders>
                    <w:top w:val="single" w:sz="2" w:space="0" w:color="000000"/>
                    <w:left w:val="nil"/>
                    <w:bottom w:val="single" w:sz="2" w:space="0" w:color="000000"/>
                    <w:right w:val="nil"/>
                  </w:tcBorders>
                </w:tcPr>
                <w:p w14:paraId="5AF04EA3" w14:textId="77777777" w:rsidR="00053D93" w:rsidRDefault="00260B75">
                  <w:r>
                    <w:rPr>
                      <w:sz w:val="18"/>
                    </w:rPr>
                    <w:t>LKBWC86,</w:t>
                  </w:r>
                </w:p>
                <w:p w14:paraId="5005BC26" w14:textId="77777777" w:rsidR="00053D93" w:rsidRDefault="00260B75">
                  <w:pPr>
                    <w:ind w:left="7"/>
                  </w:pPr>
                  <w:r>
                    <w:rPr>
                      <w:sz w:val="18"/>
                    </w:rPr>
                    <w:t>LKBWB57,</w:t>
                  </w:r>
                </w:p>
                <w:p w14:paraId="070FDE17" w14:textId="77777777" w:rsidR="00053D93" w:rsidRDefault="00260B75">
                  <w:pPr>
                    <w:spacing w:line="230" w:lineRule="auto"/>
                    <w:ind w:firstLine="7"/>
                  </w:pPr>
                  <w:r>
                    <w:rPr>
                      <w:sz w:val="18"/>
                    </w:rPr>
                    <w:t>LKBWB81, LKBWCes. LKBWA93, LKBWDOB,</w:t>
                  </w:r>
                </w:p>
                <w:p w14:paraId="06C7DB7F" w14:textId="77777777" w:rsidR="00053D93" w:rsidRDefault="00260B75">
                  <w:pPr>
                    <w:spacing w:after="43"/>
                    <w:ind w:left="7"/>
                  </w:pPr>
                  <w:r>
                    <w:rPr>
                      <w:noProof/>
                    </w:rPr>
                    <w:drawing>
                      <wp:inline distT="0" distB="0" distL="0" distR="0" wp14:anchorId="7ED62603" wp14:editId="787D3899">
                        <wp:extent cx="443484" cy="210312"/>
                        <wp:effectExtent l="0" t="0" r="0" b="0"/>
                        <wp:docPr id="772666" name="Picture 772666"/>
                        <wp:cNvGraphicFramePr/>
                        <a:graphic xmlns:a="http://schemas.openxmlformats.org/drawingml/2006/main">
                          <a:graphicData uri="http://schemas.openxmlformats.org/drawingml/2006/picture">
                            <pic:pic xmlns:pic="http://schemas.openxmlformats.org/drawingml/2006/picture">
                              <pic:nvPicPr>
                                <pic:cNvPr id="772666" name="Picture 772666"/>
                                <pic:cNvPicPr/>
                              </pic:nvPicPr>
                              <pic:blipFill>
                                <a:blip r:embed="rId1090"/>
                                <a:stretch>
                                  <a:fillRect/>
                                </a:stretch>
                              </pic:blipFill>
                              <pic:spPr>
                                <a:xfrm>
                                  <a:off x="0" y="0"/>
                                  <a:ext cx="443484" cy="210312"/>
                                </a:xfrm>
                                <a:prstGeom prst="rect">
                                  <a:avLst/>
                                </a:prstGeom>
                              </pic:spPr>
                            </pic:pic>
                          </a:graphicData>
                        </a:graphic>
                      </wp:inline>
                    </w:drawing>
                  </w:r>
                </w:p>
                <w:p w14:paraId="3C3C4106" w14:textId="77777777" w:rsidR="00053D93" w:rsidRDefault="00260B75">
                  <w:pPr>
                    <w:spacing w:line="224" w:lineRule="auto"/>
                    <w:ind w:left="7" w:hanging="7"/>
                  </w:pPr>
                  <w:r>
                    <w:rPr>
                      <w:sz w:val="18"/>
                    </w:rPr>
                    <w:t>LKBWC42. LKBWB79, LKBWD77,</w:t>
                  </w:r>
                </w:p>
                <w:p w14:paraId="6E974B42" w14:textId="77777777" w:rsidR="00053D93" w:rsidRDefault="00260B75">
                  <w:pPr>
                    <w:ind w:left="7"/>
                  </w:pPr>
                  <w:r>
                    <w:rPr>
                      <w:sz w:val="18"/>
                    </w:rPr>
                    <w:t>LKBWD03,</w:t>
                  </w:r>
                </w:p>
                <w:p w14:paraId="3D2F1924" w14:textId="77777777" w:rsidR="00053D93" w:rsidRDefault="00260B75">
                  <w:pPr>
                    <w:spacing w:line="216" w:lineRule="auto"/>
                    <w:ind w:left="-86" w:right="126" w:firstLine="94"/>
                    <w:jc w:val="both"/>
                  </w:pPr>
                  <w:r>
                    <w:rPr>
                      <w:sz w:val="18"/>
                    </w:rPr>
                    <w:t xml:space="preserve">LKBWC90, 59 Con La serie </w:t>
                  </w:r>
                </w:p>
                <w:p w14:paraId="52E43EC9" w14:textId="77777777" w:rsidR="00053D93" w:rsidRDefault="00260B75">
                  <w:pPr>
                    <w:ind w:left="-252"/>
                  </w:pPr>
                  <w:r>
                    <w:rPr>
                      <w:sz w:val="16"/>
                    </w:rPr>
                    <w:t>Q.7887.48.</w:t>
                  </w:r>
                </w:p>
              </w:tc>
              <w:tc>
                <w:tcPr>
                  <w:tcW w:w="814" w:type="dxa"/>
                  <w:tcBorders>
                    <w:top w:val="single" w:sz="2" w:space="0" w:color="000000"/>
                    <w:left w:val="nil"/>
                    <w:bottom w:val="single" w:sz="2" w:space="0" w:color="000000"/>
                    <w:right w:val="single" w:sz="2" w:space="0" w:color="000000"/>
                  </w:tcBorders>
                </w:tcPr>
                <w:p w14:paraId="19499484" w14:textId="77777777" w:rsidR="00053D93" w:rsidRDefault="00260B75">
                  <w:pPr>
                    <w:ind w:left="7"/>
                  </w:pPr>
                  <w:r>
                    <w:rPr>
                      <w:sz w:val="18"/>
                    </w:rPr>
                    <w:t>LKBWB14,</w:t>
                  </w:r>
                </w:p>
                <w:p w14:paraId="36D34A38" w14:textId="77777777" w:rsidR="00053D93" w:rsidRDefault="00260B75">
                  <w:pPr>
                    <w:spacing w:line="224" w:lineRule="auto"/>
                  </w:pPr>
                  <w:r>
                    <w:rPr>
                      <w:sz w:val="18"/>
                    </w:rPr>
                    <w:t>LKBWB31, LKBWB25, LKBWD78,</w:t>
                  </w:r>
                </w:p>
                <w:p w14:paraId="62D31E02" w14:textId="77777777" w:rsidR="00053D93" w:rsidRDefault="00260B75">
                  <w:pPr>
                    <w:spacing w:line="224" w:lineRule="auto"/>
                    <w:ind w:firstLine="7"/>
                  </w:pPr>
                  <w:r>
                    <w:rPr>
                      <w:sz w:val="18"/>
                    </w:rPr>
                    <w:t>LKBhB03, LKBWC73,</w:t>
                  </w:r>
                </w:p>
                <w:p w14:paraId="5833207F" w14:textId="77777777" w:rsidR="00053D93" w:rsidRDefault="00260B75">
                  <w:pPr>
                    <w:spacing w:line="230" w:lineRule="auto"/>
                    <w:ind w:firstLine="7"/>
                  </w:pPr>
                  <w:r>
                    <w:rPr>
                      <w:sz w:val="18"/>
                    </w:rPr>
                    <w:t>LKBWB09. LKBWB40, LKBVVD61, LKBWD45,</w:t>
                  </w:r>
                </w:p>
                <w:p w14:paraId="3C7285F3" w14:textId="77777777" w:rsidR="00053D93" w:rsidRDefault="00260B75">
                  <w:r>
                    <w:rPr>
                      <w:sz w:val="18"/>
                    </w:rPr>
                    <w:t>LKBWD34,</w:t>
                  </w:r>
                </w:p>
                <w:p w14:paraId="10897EA4" w14:textId="77777777" w:rsidR="00053D93" w:rsidRDefault="00260B75">
                  <w:pPr>
                    <w:ind w:left="7"/>
                  </w:pPr>
                  <w:r>
                    <w:rPr>
                      <w:sz w:val="18"/>
                    </w:rPr>
                    <w:t>LKBWD36,</w:t>
                  </w:r>
                </w:p>
                <w:p w14:paraId="05CC185F" w14:textId="77777777" w:rsidR="00053D93" w:rsidRDefault="00260B75">
                  <w:pPr>
                    <w:ind w:left="-281" w:right="97" w:firstLine="288"/>
                    <w:jc w:val="both"/>
                  </w:pPr>
                  <w:r>
                    <w:rPr>
                      <w:sz w:val="18"/>
                    </w:rPr>
                    <w:t>LKBWD63. Valor de Q. LKBWB13 con</w:t>
                  </w:r>
                </w:p>
              </w:tc>
              <w:tc>
                <w:tcPr>
                  <w:tcW w:w="991" w:type="dxa"/>
                  <w:tcBorders>
                    <w:top w:val="single" w:sz="2" w:space="0" w:color="000000"/>
                    <w:left w:val="single" w:sz="2" w:space="0" w:color="000000"/>
                    <w:bottom w:val="single" w:sz="2" w:space="0" w:color="000000"/>
                    <w:right w:val="single" w:sz="2" w:space="0" w:color="000000"/>
                  </w:tcBorders>
                  <w:vAlign w:val="bottom"/>
                </w:tcPr>
                <w:p w14:paraId="01CFB03C" w14:textId="77777777" w:rsidR="00053D93" w:rsidRDefault="00260B75">
                  <w:pPr>
                    <w:ind w:left="93"/>
                    <w:jc w:val="center"/>
                  </w:pPr>
                  <w:r>
                    <w:rPr>
                      <w:rFonts w:ascii="Times New Roman" w:eastAsia="Times New Roman" w:hAnsi="Times New Roman" w:cs="Times New Roman"/>
                      <w:sz w:val="16"/>
                    </w:rPr>
                    <w:t>394.362.24</w:t>
                  </w:r>
                </w:p>
              </w:tc>
            </w:tr>
            <w:tr w:rsidR="00053D93" w14:paraId="2C58F6AD" w14:textId="77777777">
              <w:trPr>
                <w:trHeight w:val="591"/>
              </w:trPr>
              <w:tc>
                <w:tcPr>
                  <w:tcW w:w="305" w:type="dxa"/>
                  <w:tcBorders>
                    <w:top w:val="single" w:sz="2" w:space="0" w:color="000000"/>
                    <w:left w:val="single" w:sz="2" w:space="0" w:color="000000"/>
                    <w:bottom w:val="single" w:sz="2" w:space="0" w:color="000000"/>
                    <w:right w:val="single" w:sz="2" w:space="0" w:color="000000"/>
                  </w:tcBorders>
                </w:tcPr>
                <w:p w14:paraId="39E9BB7F" w14:textId="77777777" w:rsidR="00053D93" w:rsidRDefault="00260B75">
                  <w:pPr>
                    <w:ind w:left="14"/>
                  </w:pPr>
                  <w:r>
                    <w:rPr>
                      <w:rFonts w:ascii="Times New Roman" w:eastAsia="Times New Roman" w:hAnsi="Times New Roman" w:cs="Times New Roman"/>
                      <w:sz w:val="16"/>
                    </w:rPr>
                    <w:t>39</w:t>
                  </w:r>
                </w:p>
              </w:tc>
              <w:tc>
                <w:tcPr>
                  <w:tcW w:w="0" w:type="auto"/>
                  <w:vMerge/>
                  <w:tcBorders>
                    <w:top w:val="nil"/>
                    <w:left w:val="single" w:sz="2" w:space="0" w:color="000000"/>
                    <w:bottom w:val="nil"/>
                    <w:right w:val="nil"/>
                  </w:tcBorders>
                </w:tcPr>
                <w:p w14:paraId="56CAB8D9" w14:textId="77777777" w:rsidR="00053D93" w:rsidRDefault="00053D93"/>
              </w:tc>
              <w:tc>
                <w:tcPr>
                  <w:tcW w:w="0" w:type="auto"/>
                  <w:gridSpan w:val="2"/>
                  <w:vMerge/>
                  <w:tcBorders>
                    <w:top w:val="nil"/>
                    <w:left w:val="nil"/>
                    <w:bottom w:val="nil"/>
                    <w:right w:val="single" w:sz="2" w:space="0" w:color="000000"/>
                  </w:tcBorders>
                </w:tcPr>
                <w:p w14:paraId="3A224223"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4F50025E" w14:textId="77777777" w:rsidR="00053D93" w:rsidRDefault="00260B75">
                  <w:pPr>
                    <w:ind w:left="75"/>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4B77BF31" w14:textId="77777777" w:rsidR="00053D93" w:rsidRDefault="00053D93"/>
              </w:tc>
              <w:tc>
                <w:tcPr>
                  <w:tcW w:w="1608" w:type="dxa"/>
                  <w:tcBorders>
                    <w:top w:val="single" w:sz="2" w:space="0" w:color="000000"/>
                    <w:left w:val="single" w:sz="2" w:space="0" w:color="000000"/>
                    <w:bottom w:val="single" w:sz="2" w:space="0" w:color="000000"/>
                    <w:right w:val="single" w:sz="2" w:space="0" w:color="000000"/>
                  </w:tcBorders>
                </w:tcPr>
                <w:p w14:paraId="4BEE9BFB" w14:textId="77777777" w:rsidR="00053D93" w:rsidRDefault="00260B75">
                  <w:pPr>
                    <w:ind w:right="15"/>
                    <w:jc w:val="center"/>
                  </w:pPr>
                  <w:r>
                    <w:rPr>
                      <w:sz w:val="16"/>
                    </w:rPr>
                    <w:t>001F34AF</w:t>
                  </w:r>
                </w:p>
              </w:tc>
              <w:tc>
                <w:tcPr>
                  <w:tcW w:w="2549" w:type="dxa"/>
                  <w:gridSpan w:val="3"/>
                  <w:tcBorders>
                    <w:top w:val="single" w:sz="2" w:space="0" w:color="000000"/>
                    <w:left w:val="single" w:sz="2" w:space="0" w:color="000000"/>
                    <w:bottom w:val="single" w:sz="2" w:space="0" w:color="000000"/>
                    <w:right w:val="single" w:sz="2" w:space="0" w:color="000000"/>
                  </w:tcBorders>
                </w:tcPr>
                <w:p w14:paraId="1BE2DC94" w14:textId="77777777" w:rsidR="00053D93" w:rsidRDefault="00260B75">
                  <w:pPr>
                    <w:ind w:left="72" w:right="90"/>
                    <w:jc w:val="both"/>
                  </w:pPr>
                  <w:r>
                    <w:rPr>
                      <w:sz w:val="16"/>
                    </w:rPr>
                    <w:t>Sistema de Voleibol, consistente en 2 postes de 2112", proceso con argolla 02 mangas y su net</w:t>
                  </w:r>
                </w:p>
              </w:tc>
              <w:tc>
                <w:tcPr>
                  <w:tcW w:w="991" w:type="dxa"/>
                  <w:tcBorders>
                    <w:top w:val="single" w:sz="2" w:space="0" w:color="000000"/>
                    <w:left w:val="single" w:sz="2" w:space="0" w:color="000000"/>
                    <w:bottom w:val="single" w:sz="2" w:space="0" w:color="000000"/>
                    <w:right w:val="single" w:sz="2" w:space="0" w:color="000000"/>
                  </w:tcBorders>
                  <w:vAlign w:val="bottom"/>
                </w:tcPr>
                <w:p w14:paraId="6934DEEC" w14:textId="77777777" w:rsidR="00053D93" w:rsidRDefault="00260B75">
                  <w:pPr>
                    <w:ind w:left="353"/>
                  </w:pPr>
                  <w:r>
                    <w:rPr>
                      <w:rFonts w:ascii="Times New Roman" w:eastAsia="Times New Roman" w:hAnsi="Times New Roman" w:cs="Times New Roman"/>
                      <w:sz w:val="16"/>
                    </w:rPr>
                    <w:t>2.248.84</w:t>
                  </w:r>
                </w:p>
              </w:tc>
            </w:tr>
            <w:tr w:rsidR="00053D93" w14:paraId="01850F75" w14:textId="77777777">
              <w:trPr>
                <w:trHeight w:val="599"/>
              </w:trPr>
              <w:tc>
                <w:tcPr>
                  <w:tcW w:w="305" w:type="dxa"/>
                  <w:tcBorders>
                    <w:top w:val="single" w:sz="2" w:space="0" w:color="000000"/>
                    <w:left w:val="single" w:sz="2" w:space="0" w:color="000000"/>
                    <w:bottom w:val="single" w:sz="2" w:space="0" w:color="000000"/>
                    <w:right w:val="single" w:sz="2" w:space="0" w:color="000000"/>
                  </w:tcBorders>
                </w:tcPr>
                <w:p w14:paraId="6BFC16BF" w14:textId="77777777" w:rsidR="00053D93" w:rsidRDefault="00260B75">
                  <w:pPr>
                    <w:ind w:left="6"/>
                  </w:pPr>
                  <w:r>
                    <w:rPr>
                      <w:rFonts w:ascii="Times New Roman" w:eastAsia="Times New Roman" w:hAnsi="Times New Roman" w:cs="Times New Roman"/>
                      <w:sz w:val="16"/>
                    </w:rPr>
                    <w:t>40</w:t>
                  </w:r>
                </w:p>
              </w:tc>
              <w:tc>
                <w:tcPr>
                  <w:tcW w:w="0" w:type="auto"/>
                  <w:vMerge/>
                  <w:tcBorders>
                    <w:top w:val="nil"/>
                    <w:left w:val="single" w:sz="2" w:space="0" w:color="000000"/>
                    <w:bottom w:val="nil"/>
                    <w:right w:val="nil"/>
                  </w:tcBorders>
                </w:tcPr>
                <w:p w14:paraId="41019DAA" w14:textId="77777777" w:rsidR="00053D93" w:rsidRDefault="00053D93"/>
              </w:tc>
              <w:tc>
                <w:tcPr>
                  <w:tcW w:w="0" w:type="auto"/>
                  <w:gridSpan w:val="2"/>
                  <w:vMerge/>
                  <w:tcBorders>
                    <w:top w:val="nil"/>
                    <w:left w:val="nil"/>
                    <w:bottom w:val="nil"/>
                    <w:right w:val="single" w:sz="2" w:space="0" w:color="000000"/>
                  </w:tcBorders>
                </w:tcPr>
                <w:p w14:paraId="760A5B65"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06612D54" w14:textId="77777777" w:rsidR="00053D93" w:rsidRDefault="00260B75">
                  <w:pPr>
                    <w:ind w:left="75"/>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591497E7" w14:textId="77777777" w:rsidR="00053D93" w:rsidRDefault="00053D93"/>
              </w:tc>
              <w:tc>
                <w:tcPr>
                  <w:tcW w:w="1608" w:type="dxa"/>
                  <w:tcBorders>
                    <w:top w:val="single" w:sz="2" w:space="0" w:color="000000"/>
                    <w:left w:val="single" w:sz="2" w:space="0" w:color="000000"/>
                    <w:bottom w:val="single" w:sz="2" w:space="0" w:color="000000"/>
                    <w:right w:val="single" w:sz="2" w:space="0" w:color="000000"/>
                  </w:tcBorders>
                </w:tcPr>
                <w:p w14:paraId="06144F17" w14:textId="77777777" w:rsidR="00053D93" w:rsidRDefault="00260B75">
                  <w:pPr>
                    <w:ind w:right="30"/>
                    <w:jc w:val="center"/>
                  </w:pPr>
                  <w:r>
                    <w:rPr>
                      <w:sz w:val="16"/>
                    </w:rPr>
                    <w:t>001EE5B1</w:t>
                  </w:r>
                </w:p>
              </w:tc>
              <w:tc>
                <w:tcPr>
                  <w:tcW w:w="2549" w:type="dxa"/>
                  <w:gridSpan w:val="3"/>
                  <w:tcBorders>
                    <w:top w:val="single" w:sz="2" w:space="0" w:color="000000"/>
                    <w:left w:val="single" w:sz="2" w:space="0" w:color="000000"/>
                    <w:bottom w:val="single" w:sz="2" w:space="0" w:color="000000"/>
                    <w:right w:val="single" w:sz="2" w:space="0" w:color="000000"/>
                  </w:tcBorders>
                </w:tcPr>
                <w:p w14:paraId="542AD47C" w14:textId="77777777" w:rsidR="00053D93" w:rsidRDefault="00260B75">
                  <w:pPr>
                    <w:ind w:left="79" w:right="83" w:hanging="7"/>
                    <w:jc w:val="both"/>
                  </w:pPr>
                  <w:r>
                    <w:rPr>
                      <w:sz w:val="16"/>
                    </w:rPr>
                    <w:t xml:space="preserve">televisor marca Potron LCD PLTU 32 MLCD 32" pantalla ligera y delgada </w:t>
                  </w:r>
                  <w:r>
                    <w:rPr>
                      <w:rFonts w:ascii="Times New Roman" w:eastAsia="Times New Roman" w:hAnsi="Times New Roman" w:cs="Times New Roman"/>
                      <w:sz w:val="16"/>
                    </w:rPr>
                    <w:t>con serie No. 32AN055201851</w:t>
                  </w:r>
                </w:p>
              </w:tc>
              <w:tc>
                <w:tcPr>
                  <w:tcW w:w="991" w:type="dxa"/>
                  <w:tcBorders>
                    <w:top w:val="single" w:sz="2" w:space="0" w:color="000000"/>
                    <w:left w:val="single" w:sz="2" w:space="0" w:color="000000"/>
                    <w:bottom w:val="single" w:sz="2" w:space="0" w:color="000000"/>
                    <w:right w:val="single" w:sz="2" w:space="0" w:color="000000"/>
                  </w:tcBorders>
                  <w:vAlign w:val="bottom"/>
                </w:tcPr>
                <w:p w14:paraId="0A267C8E" w14:textId="77777777" w:rsidR="00053D93" w:rsidRDefault="00260B75">
                  <w:pPr>
                    <w:ind w:left="281"/>
                  </w:pPr>
                  <w:r>
                    <w:rPr>
                      <w:rFonts w:ascii="Times New Roman" w:eastAsia="Times New Roman" w:hAnsi="Times New Roman" w:cs="Times New Roman"/>
                      <w:sz w:val="16"/>
                    </w:rPr>
                    <w:t>13.000.00</w:t>
                  </w:r>
                </w:p>
              </w:tc>
            </w:tr>
            <w:tr w:rsidR="00053D93" w14:paraId="5184945E" w14:textId="77777777">
              <w:trPr>
                <w:trHeight w:val="587"/>
              </w:trPr>
              <w:tc>
                <w:tcPr>
                  <w:tcW w:w="305" w:type="dxa"/>
                  <w:tcBorders>
                    <w:top w:val="single" w:sz="2" w:space="0" w:color="000000"/>
                    <w:left w:val="single" w:sz="2" w:space="0" w:color="000000"/>
                    <w:bottom w:val="single" w:sz="2" w:space="0" w:color="000000"/>
                    <w:right w:val="single" w:sz="2" w:space="0" w:color="000000"/>
                  </w:tcBorders>
                </w:tcPr>
                <w:p w14:paraId="68AEB3FF" w14:textId="77777777" w:rsidR="00053D93" w:rsidRDefault="00260B75">
                  <w:pPr>
                    <w:ind w:left="14"/>
                  </w:pPr>
                  <w:r>
                    <w:rPr>
                      <w:rFonts w:ascii="Times New Roman" w:eastAsia="Times New Roman" w:hAnsi="Times New Roman" w:cs="Times New Roman"/>
                      <w:sz w:val="16"/>
                    </w:rPr>
                    <w:t>41</w:t>
                  </w:r>
                </w:p>
              </w:tc>
              <w:tc>
                <w:tcPr>
                  <w:tcW w:w="0" w:type="auto"/>
                  <w:vMerge/>
                  <w:tcBorders>
                    <w:top w:val="nil"/>
                    <w:left w:val="single" w:sz="2" w:space="0" w:color="000000"/>
                    <w:bottom w:val="nil"/>
                    <w:right w:val="nil"/>
                  </w:tcBorders>
                </w:tcPr>
                <w:p w14:paraId="113C3C32" w14:textId="77777777" w:rsidR="00053D93" w:rsidRDefault="00053D93"/>
              </w:tc>
              <w:tc>
                <w:tcPr>
                  <w:tcW w:w="0" w:type="auto"/>
                  <w:gridSpan w:val="2"/>
                  <w:vMerge/>
                  <w:tcBorders>
                    <w:top w:val="nil"/>
                    <w:left w:val="nil"/>
                    <w:bottom w:val="nil"/>
                    <w:right w:val="single" w:sz="2" w:space="0" w:color="000000"/>
                  </w:tcBorders>
                </w:tcPr>
                <w:p w14:paraId="4EDE0116"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35DC884D" w14:textId="77777777" w:rsidR="00053D93" w:rsidRDefault="00260B75">
                  <w:pPr>
                    <w:ind w:left="82"/>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6865CD9C" w14:textId="77777777" w:rsidR="00053D93" w:rsidRDefault="00053D93"/>
              </w:tc>
              <w:tc>
                <w:tcPr>
                  <w:tcW w:w="1608" w:type="dxa"/>
                  <w:tcBorders>
                    <w:top w:val="single" w:sz="2" w:space="0" w:color="000000"/>
                    <w:left w:val="single" w:sz="2" w:space="0" w:color="000000"/>
                    <w:bottom w:val="single" w:sz="2" w:space="0" w:color="000000"/>
                    <w:right w:val="single" w:sz="2" w:space="0" w:color="000000"/>
                  </w:tcBorders>
                </w:tcPr>
                <w:p w14:paraId="248DB922" w14:textId="77777777" w:rsidR="00053D93" w:rsidRDefault="00260B75">
                  <w:pPr>
                    <w:ind w:right="8"/>
                    <w:jc w:val="center"/>
                  </w:pPr>
                  <w:r>
                    <w:rPr>
                      <w:sz w:val="16"/>
                    </w:rPr>
                    <w:t>001082F6</w:t>
                  </w:r>
                </w:p>
              </w:tc>
              <w:tc>
                <w:tcPr>
                  <w:tcW w:w="2549" w:type="dxa"/>
                  <w:gridSpan w:val="3"/>
                  <w:tcBorders>
                    <w:top w:val="single" w:sz="2" w:space="0" w:color="000000"/>
                    <w:left w:val="single" w:sz="2" w:space="0" w:color="000000"/>
                    <w:bottom w:val="single" w:sz="2" w:space="0" w:color="000000"/>
                    <w:right w:val="single" w:sz="2" w:space="0" w:color="000000"/>
                  </w:tcBorders>
                </w:tcPr>
                <w:p w14:paraId="6C04108F" w14:textId="77777777" w:rsidR="00053D93" w:rsidRDefault="00260B75">
                  <w:pPr>
                    <w:ind w:left="72" w:right="90" w:firstLine="14"/>
                    <w:jc w:val="both"/>
                  </w:pPr>
                  <w:r>
                    <w:rPr>
                      <w:sz w:val="16"/>
                    </w:rPr>
                    <w:t>Lavadora marca Mirpool modelo VVRW5800. capacidad 32 libras serie no. CU34400S5</w:t>
                  </w:r>
                </w:p>
              </w:tc>
              <w:tc>
                <w:tcPr>
                  <w:tcW w:w="991" w:type="dxa"/>
                  <w:tcBorders>
                    <w:top w:val="single" w:sz="2" w:space="0" w:color="000000"/>
                    <w:left w:val="single" w:sz="2" w:space="0" w:color="000000"/>
                    <w:bottom w:val="single" w:sz="2" w:space="0" w:color="000000"/>
                    <w:right w:val="single" w:sz="2" w:space="0" w:color="000000"/>
                  </w:tcBorders>
                  <w:vAlign w:val="bottom"/>
                </w:tcPr>
                <w:p w14:paraId="72FC3B87" w14:textId="77777777" w:rsidR="00053D93" w:rsidRDefault="00260B75">
                  <w:pPr>
                    <w:ind w:left="353"/>
                  </w:pPr>
                  <w:r>
                    <w:rPr>
                      <w:rFonts w:ascii="Times New Roman" w:eastAsia="Times New Roman" w:hAnsi="Times New Roman" w:cs="Times New Roman"/>
                      <w:sz w:val="16"/>
                    </w:rPr>
                    <w:t>6.500.00</w:t>
                  </w:r>
                </w:p>
              </w:tc>
            </w:tr>
            <w:tr w:rsidR="00053D93" w14:paraId="799A6848" w14:textId="77777777">
              <w:trPr>
                <w:trHeight w:val="586"/>
              </w:trPr>
              <w:tc>
                <w:tcPr>
                  <w:tcW w:w="305" w:type="dxa"/>
                  <w:tcBorders>
                    <w:top w:val="single" w:sz="2" w:space="0" w:color="000000"/>
                    <w:left w:val="single" w:sz="2" w:space="0" w:color="000000"/>
                    <w:bottom w:val="single" w:sz="2" w:space="0" w:color="000000"/>
                    <w:right w:val="single" w:sz="2" w:space="0" w:color="000000"/>
                  </w:tcBorders>
                </w:tcPr>
                <w:p w14:paraId="663CAA65" w14:textId="77777777" w:rsidR="00053D93" w:rsidRDefault="00260B75">
                  <w:pPr>
                    <w:ind w:left="14"/>
                  </w:pPr>
                  <w:r>
                    <w:rPr>
                      <w:rFonts w:ascii="Times New Roman" w:eastAsia="Times New Roman" w:hAnsi="Times New Roman" w:cs="Times New Roman"/>
                      <w:sz w:val="16"/>
                    </w:rPr>
                    <w:t>42</w:t>
                  </w:r>
                </w:p>
              </w:tc>
              <w:tc>
                <w:tcPr>
                  <w:tcW w:w="0" w:type="auto"/>
                  <w:vMerge/>
                  <w:tcBorders>
                    <w:top w:val="nil"/>
                    <w:left w:val="single" w:sz="2" w:space="0" w:color="000000"/>
                    <w:bottom w:val="nil"/>
                    <w:right w:val="nil"/>
                  </w:tcBorders>
                </w:tcPr>
                <w:p w14:paraId="4061D323" w14:textId="77777777" w:rsidR="00053D93" w:rsidRDefault="00053D93"/>
              </w:tc>
              <w:tc>
                <w:tcPr>
                  <w:tcW w:w="0" w:type="auto"/>
                  <w:gridSpan w:val="2"/>
                  <w:vMerge/>
                  <w:tcBorders>
                    <w:top w:val="nil"/>
                    <w:left w:val="nil"/>
                    <w:bottom w:val="nil"/>
                    <w:right w:val="single" w:sz="2" w:space="0" w:color="000000"/>
                  </w:tcBorders>
                </w:tcPr>
                <w:p w14:paraId="03EDB584"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51594D96" w14:textId="77777777" w:rsidR="00053D93" w:rsidRDefault="00260B75">
                  <w:pPr>
                    <w:ind w:left="82"/>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6A025C04" w14:textId="77777777" w:rsidR="00053D93" w:rsidRDefault="00053D93"/>
              </w:tc>
              <w:tc>
                <w:tcPr>
                  <w:tcW w:w="1608" w:type="dxa"/>
                  <w:tcBorders>
                    <w:top w:val="single" w:sz="2" w:space="0" w:color="000000"/>
                    <w:left w:val="single" w:sz="2" w:space="0" w:color="000000"/>
                    <w:bottom w:val="single" w:sz="2" w:space="0" w:color="000000"/>
                    <w:right w:val="single" w:sz="2" w:space="0" w:color="000000"/>
                  </w:tcBorders>
                </w:tcPr>
                <w:p w14:paraId="7790EE33" w14:textId="77777777" w:rsidR="00053D93" w:rsidRDefault="00260B75">
                  <w:pPr>
                    <w:ind w:right="8"/>
                    <w:jc w:val="center"/>
                  </w:pPr>
                  <w:r>
                    <w:rPr>
                      <w:rFonts w:ascii="Times New Roman" w:eastAsia="Times New Roman" w:hAnsi="Times New Roman" w:cs="Times New Roman"/>
                      <w:sz w:val="16"/>
                    </w:rPr>
                    <w:t>00108885</w:t>
                  </w:r>
                </w:p>
              </w:tc>
              <w:tc>
                <w:tcPr>
                  <w:tcW w:w="2549" w:type="dxa"/>
                  <w:gridSpan w:val="3"/>
                  <w:tcBorders>
                    <w:top w:val="single" w:sz="2" w:space="0" w:color="000000"/>
                    <w:left w:val="single" w:sz="2" w:space="0" w:color="000000"/>
                    <w:bottom w:val="single" w:sz="2" w:space="0" w:color="000000"/>
                    <w:right w:val="single" w:sz="2" w:space="0" w:color="000000"/>
                  </w:tcBorders>
                </w:tcPr>
                <w:p w14:paraId="0E0F182F" w14:textId="77777777" w:rsidR="00053D93" w:rsidRDefault="00260B75">
                  <w:pPr>
                    <w:ind w:left="72" w:right="83" w:firstLine="7"/>
                    <w:jc w:val="both"/>
                  </w:pPr>
                  <w:r>
                    <w:rPr>
                      <w:sz w:val="16"/>
                    </w:rPr>
                    <w:t>Secadora Color blanco marca Whirpool modelo WED5800SW70 Serie No. MU3404474</w:t>
                  </w:r>
                </w:p>
              </w:tc>
              <w:tc>
                <w:tcPr>
                  <w:tcW w:w="991" w:type="dxa"/>
                  <w:tcBorders>
                    <w:top w:val="single" w:sz="2" w:space="0" w:color="000000"/>
                    <w:left w:val="single" w:sz="2" w:space="0" w:color="000000"/>
                    <w:bottom w:val="single" w:sz="2" w:space="0" w:color="000000"/>
                    <w:right w:val="single" w:sz="2" w:space="0" w:color="000000"/>
                  </w:tcBorders>
                  <w:vAlign w:val="bottom"/>
                </w:tcPr>
                <w:p w14:paraId="741F8E13" w14:textId="77777777" w:rsidR="00053D93" w:rsidRDefault="00260B75">
                  <w:pPr>
                    <w:ind w:left="346"/>
                  </w:pPr>
                  <w:r>
                    <w:rPr>
                      <w:rFonts w:ascii="Times New Roman" w:eastAsia="Times New Roman" w:hAnsi="Times New Roman" w:cs="Times New Roman"/>
                      <w:sz w:val="16"/>
                    </w:rPr>
                    <w:t>4.400.00</w:t>
                  </w:r>
                </w:p>
              </w:tc>
            </w:tr>
            <w:tr w:rsidR="00053D93" w14:paraId="61D28E3F" w14:textId="77777777">
              <w:trPr>
                <w:trHeight w:val="402"/>
              </w:trPr>
              <w:tc>
                <w:tcPr>
                  <w:tcW w:w="305" w:type="dxa"/>
                  <w:tcBorders>
                    <w:top w:val="single" w:sz="2" w:space="0" w:color="000000"/>
                    <w:left w:val="single" w:sz="2" w:space="0" w:color="000000"/>
                    <w:bottom w:val="single" w:sz="2" w:space="0" w:color="000000"/>
                    <w:right w:val="single" w:sz="2" w:space="0" w:color="000000"/>
                  </w:tcBorders>
                </w:tcPr>
                <w:p w14:paraId="339F9C40" w14:textId="77777777" w:rsidR="00053D93" w:rsidRDefault="00260B75">
                  <w:pPr>
                    <w:ind w:left="14"/>
                  </w:pPr>
                  <w:r>
                    <w:rPr>
                      <w:rFonts w:ascii="Times New Roman" w:eastAsia="Times New Roman" w:hAnsi="Times New Roman" w:cs="Times New Roman"/>
                      <w:sz w:val="16"/>
                    </w:rPr>
                    <w:t>43</w:t>
                  </w:r>
                </w:p>
              </w:tc>
              <w:tc>
                <w:tcPr>
                  <w:tcW w:w="0" w:type="auto"/>
                  <w:vMerge/>
                  <w:tcBorders>
                    <w:top w:val="nil"/>
                    <w:left w:val="single" w:sz="2" w:space="0" w:color="000000"/>
                    <w:bottom w:val="nil"/>
                    <w:right w:val="nil"/>
                  </w:tcBorders>
                </w:tcPr>
                <w:p w14:paraId="0D3A141A" w14:textId="77777777" w:rsidR="00053D93" w:rsidRDefault="00053D93"/>
              </w:tc>
              <w:tc>
                <w:tcPr>
                  <w:tcW w:w="0" w:type="auto"/>
                  <w:gridSpan w:val="2"/>
                  <w:vMerge/>
                  <w:tcBorders>
                    <w:top w:val="nil"/>
                    <w:left w:val="nil"/>
                    <w:bottom w:val="nil"/>
                    <w:right w:val="single" w:sz="2" w:space="0" w:color="000000"/>
                  </w:tcBorders>
                </w:tcPr>
                <w:p w14:paraId="0821DC8D"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1616BC0E" w14:textId="77777777" w:rsidR="00053D93" w:rsidRDefault="00260B75">
                  <w:pPr>
                    <w:ind w:left="82"/>
                  </w:pPr>
                  <w:r>
                    <w:rPr>
                      <w:rFonts w:ascii="Times New Roman" w:eastAsia="Times New Roman" w:hAnsi="Times New Roman" w:cs="Times New Roman"/>
                      <w:sz w:val="16"/>
                    </w:rPr>
                    <w:t>03/1212012</w:t>
                  </w:r>
                </w:p>
              </w:tc>
              <w:tc>
                <w:tcPr>
                  <w:tcW w:w="770" w:type="dxa"/>
                  <w:tcBorders>
                    <w:top w:val="single" w:sz="2" w:space="0" w:color="000000"/>
                    <w:left w:val="single" w:sz="2" w:space="0" w:color="000000"/>
                    <w:bottom w:val="single" w:sz="2" w:space="0" w:color="000000"/>
                    <w:right w:val="single" w:sz="2" w:space="0" w:color="000000"/>
                  </w:tcBorders>
                </w:tcPr>
                <w:p w14:paraId="01392CB9" w14:textId="77777777" w:rsidR="00053D93" w:rsidRDefault="00260B75">
                  <w:pPr>
                    <w:ind w:left="2"/>
                    <w:jc w:val="center"/>
                  </w:pPr>
                  <w:r>
                    <w:rPr>
                      <w:rFonts w:ascii="Times New Roman" w:eastAsia="Times New Roman" w:hAnsi="Times New Roman" w:cs="Times New Roman"/>
                      <w:sz w:val="14"/>
                    </w:rPr>
                    <w:t>2</w:t>
                  </w:r>
                </w:p>
              </w:tc>
              <w:tc>
                <w:tcPr>
                  <w:tcW w:w="1608" w:type="dxa"/>
                  <w:tcBorders>
                    <w:top w:val="single" w:sz="2" w:space="0" w:color="000000"/>
                    <w:left w:val="single" w:sz="2" w:space="0" w:color="000000"/>
                    <w:bottom w:val="single" w:sz="2" w:space="0" w:color="000000"/>
                    <w:right w:val="single" w:sz="2" w:space="0" w:color="000000"/>
                  </w:tcBorders>
                </w:tcPr>
                <w:p w14:paraId="09755B33" w14:textId="77777777" w:rsidR="00053D93" w:rsidRDefault="00260B75">
                  <w:pPr>
                    <w:ind w:right="1"/>
                    <w:jc w:val="center"/>
                  </w:pPr>
                  <w:r>
                    <w:rPr>
                      <w:sz w:val="16"/>
                    </w:rPr>
                    <w:t>001F346C</w:t>
                  </w:r>
                </w:p>
                <w:p w14:paraId="76386A86" w14:textId="77777777" w:rsidR="00053D93" w:rsidRDefault="00260B75">
                  <w:pPr>
                    <w:ind w:right="23"/>
                    <w:jc w:val="center"/>
                  </w:pPr>
                  <w:r>
                    <w:rPr>
                      <w:sz w:val="16"/>
                    </w:rPr>
                    <w:t>001F3471</w:t>
                  </w:r>
                </w:p>
              </w:tc>
              <w:tc>
                <w:tcPr>
                  <w:tcW w:w="2549" w:type="dxa"/>
                  <w:gridSpan w:val="3"/>
                  <w:tcBorders>
                    <w:top w:val="single" w:sz="2" w:space="0" w:color="000000"/>
                    <w:left w:val="single" w:sz="2" w:space="0" w:color="000000"/>
                    <w:bottom w:val="single" w:sz="2" w:space="0" w:color="000000"/>
                    <w:right w:val="single" w:sz="2" w:space="0" w:color="000000"/>
                  </w:tcBorders>
                </w:tcPr>
                <w:p w14:paraId="6D5B8875" w14:textId="77777777" w:rsidR="00053D93" w:rsidRDefault="00260B75">
                  <w:pPr>
                    <w:ind w:left="86"/>
                    <w:jc w:val="both"/>
                  </w:pPr>
                  <w:r>
                    <w:rPr>
                      <w:sz w:val="16"/>
                    </w:rPr>
                    <w:t>Bases Móviles para tablero de baloncesto con valor de Q.6071.42.</w:t>
                  </w:r>
                </w:p>
              </w:tc>
              <w:tc>
                <w:tcPr>
                  <w:tcW w:w="991" w:type="dxa"/>
                  <w:tcBorders>
                    <w:top w:val="single" w:sz="2" w:space="0" w:color="000000"/>
                    <w:left w:val="single" w:sz="2" w:space="0" w:color="000000"/>
                    <w:bottom w:val="single" w:sz="2" w:space="0" w:color="000000"/>
                    <w:right w:val="single" w:sz="2" w:space="0" w:color="000000"/>
                  </w:tcBorders>
                  <w:vAlign w:val="bottom"/>
                </w:tcPr>
                <w:p w14:paraId="6B8ED6C7" w14:textId="77777777" w:rsidR="00053D93" w:rsidRDefault="00260B75">
                  <w:pPr>
                    <w:ind w:left="288"/>
                  </w:pPr>
                  <w:r>
                    <w:rPr>
                      <w:rFonts w:ascii="Times New Roman" w:eastAsia="Times New Roman" w:hAnsi="Times New Roman" w:cs="Times New Roman"/>
                      <w:sz w:val="16"/>
                    </w:rPr>
                    <w:t>12, 142.84</w:t>
                  </w:r>
                </w:p>
              </w:tc>
            </w:tr>
            <w:tr w:rsidR="00053D93" w14:paraId="767D3A5E" w14:textId="77777777">
              <w:trPr>
                <w:trHeight w:val="595"/>
              </w:trPr>
              <w:tc>
                <w:tcPr>
                  <w:tcW w:w="305" w:type="dxa"/>
                  <w:tcBorders>
                    <w:top w:val="single" w:sz="2" w:space="0" w:color="000000"/>
                    <w:left w:val="single" w:sz="2" w:space="0" w:color="000000"/>
                    <w:bottom w:val="single" w:sz="2" w:space="0" w:color="000000"/>
                    <w:right w:val="single" w:sz="2" w:space="0" w:color="000000"/>
                  </w:tcBorders>
                </w:tcPr>
                <w:p w14:paraId="65A7EDC3" w14:textId="77777777" w:rsidR="00053D93" w:rsidRDefault="00260B75">
                  <w:pPr>
                    <w:ind w:left="14"/>
                  </w:pPr>
                  <w:r>
                    <w:rPr>
                      <w:rFonts w:ascii="Times New Roman" w:eastAsia="Times New Roman" w:hAnsi="Times New Roman" w:cs="Times New Roman"/>
                      <w:sz w:val="16"/>
                    </w:rPr>
                    <w:t>44</w:t>
                  </w:r>
                </w:p>
              </w:tc>
              <w:tc>
                <w:tcPr>
                  <w:tcW w:w="0" w:type="auto"/>
                  <w:vMerge/>
                  <w:tcBorders>
                    <w:top w:val="nil"/>
                    <w:left w:val="single" w:sz="2" w:space="0" w:color="000000"/>
                    <w:bottom w:val="nil"/>
                    <w:right w:val="nil"/>
                  </w:tcBorders>
                </w:tcPr>
                <w:p w14:paraId="76593ABD" w14:textId="77777777" w:rsidR="00053D93" w:rsidRDefault="00053D93"/>
              </w:tc>
              <w:tc>
                <w:tcPr>
                  <w:tcW w:w="0" w:type="auto"/>
                  <w:gridSpan w:val="2"/>
                  <w:vMerge/>
                  <w:tcBorders>
                    <w:top w:val="nil"/>
                    <w:left w:val="nil"/>
                    <w:bottom w:val="nil"/>
                    <w:right w:val="single" w:sz="2" w:space="0" w:color="000000"/>
                  </w:tcBorders>
                </w:tcPr>
                <w:p w14:paraId="582F49E3"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29327297" w14:textId="77777777" w:rsidR="00053D93" w:rsidRDefault="00260B75">
                  <w:pPr>
                    <w:ind w:left="82"/>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0F62DEA1" w14:textId="77777777" w:rsidR="00053D93" w:rsidRDefault="00260B75">
                  <w:pPr>
                    <w:ind w:left="2"/>
                    <w:jc w:val="center"/>
                  </w:pPr>
                  <w:r>
                    <w:rPr>
                      <w:rFonts w:ascii="Times New Roman" w:eastAsia="Times New Roman" w:hAnsi="Times New Roman" w:cs="Times New Roman"/>
                      <w:sz w:val="14"/>
                    </w:rPr>
                    <w:t>2</w:t>
                  </w:r>
                </w:p>
              </w:tc>
              <w:tc>
                <w:tcPr>
                  <w:tcW w:w="1608" w:type="dxa"/>
                  <w:tcBorders>
                    <w:top w:val="single" w:sz="2" w:space="0" w:color="000000"/>
                    <w:left w:val="single" w:sz="2" w:space="0" w:color="000000"/>
                    <w:bottom w:val="single" w:sz="2" w:space="0" w:color="000000"/>
                    <w:right w:val="single" w:sz="2" w:space="0" w:color="000000"/>
                  </w:tcBorders>
                </w:tcPr>
                <w:p w14:paraId="5F037CCF" w14:textId="77777777" w:rsidR="00053D93" w:rsidRDefault="00260B75">
                  <w:pPr>
                    <w:ind w:left="111"/>
                  </w:pPr>
                  <w:r>
                    <w:rPr>
                      <w:sz w:val="18"/>
                    </w:rPr>
                    <w:t>001 F430E; 001 F430F</w:t>
                  </w:r>
                </w:p>
              </w:tc>
              <w:tc>
                <w:tcPr>
                  <w:tcW w:w="2549" w:type="dxa"/>
                  <w:gridSpan w:val="3"/>
                  <w:tcBorders>
                    <w:top w:val="single" w:sz="2" w:space="0" w:color="000000"/>
                    <w:left w:val="single" w:sz="2" w:space="0" w:color="000000"/>
                    <w:bottom w:val="single" w:sz="2" w:space="0" w:color="000000"/>
                    <w:right w:val="single" w:sz="2" w:space="0" w:color="000000"/>
                  </w:tcBorders>
                </w:tcPr>
                <w:p w14:paraId="23D8057D" w14:textId="77777777" w:rsidR="00053D93" w:rsidRDefault="00260B75">
                  <w:pPr>
                    <w:ind w:left="86"/>
                  </w:pPr>
                  <w:r>
                    <w:rPr>
                      <w:sz w:val="18"/>
                    </w:rPr>
                    <w:t>Libreras de 4 entrepaños con</w:t>
                  </w:r>
                </w:p>
                <w:p w14:paraId="315762A7" w14:textId="77777777" w:rsidR="00053D93" w:rsidRDefault="00260B75">
                  <w:pPr>
                    <w:ind w:left="86" w:firstLine="7"/>
                    <w:jc w:val="both"/>
                  </w:pPr>
                  <w:r>
                    <w:rPr>
                      <w:sz w:val="16"/>
                    </w:rPr>
                    <w:t>Puertas .Corredizas de Vidrio Cotor Gris Con Valor Q.997.OO cada Una.</w:t>
                  </w:r>
                </w:p>
              </w:tc>
              <w:tc>
                <w:tcPr>
                  <w:tcW w:w="991" w:type="dxa"/>
                  <w:tcBorders>
                    <w:top w:val="single" w:sz="2" w:space="0" w:color="000000"/>
                    <w:left w:val="single" w:sz="2" w:space="0" w:color="000000"/>
                    <w:bottom w:val="single" w:sz="2" w:space="0" w:color="000000"/>
                    <w:right w:val="single" w:sz="2" w:space="0" w:color="000000"/>
                  </w:tcBorders>
                  <w:vAlign w:val="bottom"/>
                </w:tcPr>
                <w:p w14:paraId="00707D22" w14:textId="77777777" w:rsidR="00053D93" w:rsidRDefault="00260B75">
                  <w:pPr>
                    <w:ind w:left="367"/>
                  </w:pPr>
                  <w:r>
                    <w:rPr>
                      <w:rFonts w:ascii="Times New Roman" w:eastAsia="Times New Roman" w:hAnsi="Times New Roman" w:cs="Times New Roman"/>
                      <w:sz w:val="16"/>
                    </w:rPr>
                    <w:t>1.994.00</w:t>
                  </w:r>
                </w:p>
              </w:tc>
            </w:tr>
            <w:tr w:rsidR="00053D93" w14:paraId="68608B4B" w14:textId="77777777">
              <w:trPr>
                <w:trHeight w:val="780"/>
              </w:trPr>
              <w:tc>
                <w:tcPr>
                  <w:tcW w:w="305" w:type="dxa"/>
                  <w:tcBorders>
                    <w:top w:val="single" w:sz="2" w:space="0" w:color="000000"/>
                    <w:left w:val="single" w:sz="2" w:space="0" w:color="000000"/>
                    <w:bottom w:val="single" w:sz="2" w:space="0" w:color="000000"/>
                    <w:right w:val="single" w:sz="2" w:space="0" w:color="000000"/>
                  </w:tcBorders>
                </w:tcPr>
                <w:p w14:paraId="3D35311E" w14:textId="77777777" w:rsidR="00053D93" w:rsidRDefault="00260B75">
                  <w:pPr>
                    <w:ind w:left="21"/>
                  </w:pPr>
                  <w:r>
                    <w:rPr>
                      <w:rFonts w:ascii="Times New Roman" w:eastAsia="Times New Roman" w:hAnsi="Times New Roman" w:cs="Times New Roman"/>
                      <w:sz w:val="16"/>
                    </w:rPr>
                    <w:t>45</w:t>
                  </w:r>
                </w:p>
              </w:tc>
              <w:tc>
                <w:tcPr>
                  <w:tcW w:w="0" w:type="auto"/>
                  <w:vMerge/>
                  <w:tcBorders>
                    <w:top w:val="nil"/>
                    <w:left w:val="single" w:sz="2" w:space="0" w:color="000000"/>
                    <w:bottom w:val="nil"/>
                    <w:right w:val="nil"/>
                  </w:tcBorders>
                </w:tcPr>
                <w:p w14:paraId="3CAA32C7" w14:textId="77777777" w:rsidR="00053D93" w:rsidRDefault="00053D93"/>
              </w:tc>
              <w:tc>
                <w:tcPr>
                  <w:tcW w:w="0" w:type="auto"/>
                  <w:gridSpan w:val="2"/>
                  <w:vMerge/>
                  <w:tcBorders>
                    <w:top w:val="nil"/>
                    <w:left w:val="nil"/>
                    <w:bottom w:val="nil"/>
                    <w:right w:val="single" w:sz="2" w:space="0" w:color="000000"/>
                  </w:tcBorders>
                </w:tcPr>
                <w:p w14:paraId="686ABED4"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6227B03E" w14:textId="77777777" w:rsidR="00053D93" w:rsidRDefault="00260B75">
                  <w:pPr>
                    <w:ind w:left="89"/>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27A12393" w14:textId="77777777" w:rsidR="00053D93" w:rsidRDefault="00260B75">
                  <w:pPr>
                    <w:ind w:left="9"/>
                    <w:jc w:val="center"/>
                  </w:pPr>
                  <w:r>
                    <w:rPr>
                      <w:rFonts w:ascii="Times New Roman" w:eastAsia="Times New Roman" w:hAnsi="Times New Roman" w:cs="Times New Roman"/>
                      <w:sz w:val="14"/>
                    </w:rPr>
                    <w:t>2</w:t>
                  </w:r>
                </w:p>
              </w:tc>
              <w:tc>
                <w:tcPr>
                  <w:tcW w:w="1608" w:type="dxa"/>
                  <w:tcBorders>
                    <w:top w:val="single" w:sz="2" w:space="0" w:color="000000"/>
                    <w:left w:val="single" w:sz="2" w:space="0" w:color="000000"/>
                    <w:bottom w:val="single" w:sz="2" w:space="0" w:color="000000"/>
                    <w:right w:val="single" w:sz="2" w:space="0" w:color="000000"/>
                  </w:tcBorders>
                </w:tcPr>
                <w:p w14:paraId="6BDE8B34" w14:textId="77777777" w:rsidR="00053D93" w:rsidRDefault="00260B75">
                  <w:pPr>
                    <w:ind w:left="14"/>
                    <w:jc w:val="center"/>
                  </w:pPr>
                  <w:r>
                    <w:rPr>
                      <w:sz w:val="16"/>
                    </w:rPr>
                    <w:t>001F430E</w:t>
                  </w:r>
                </w:p>
                <w:p w14:paraId="538F2AB2" w14:textId="77777777" w:rsidR="00053D93" w:rsidRDefault="00260B75">
                  <w:pPr>
                    <w:ind w:left="6"/>
                    <w:jc w:val="center"/>
                  </w:pPr>
                  <w:r>
                    <w:rPr>
                      <w:sz w:val="18"/>
                    </w:rPr>
                    <w:t>001 F430F</w:t>
                  </w:r>
                </w:p>
              </w:tc>
              <w:tc>
                <w:tcPr>
                  <w:tcW w:w="2549" w:type="dxa"/>
                  <w:gridSpan w:val="3"/>
                  <w:tcBorders>
                    <w:top w:val="single" w:sz="2" w:space="0" w:color="000000"/>
                    <w:left w:val="single" w:sz="2" w:space="0" w:color="000000"/>
                    <w:bottom w:val="single" w:sz="2" w:space="0" w:color="000000"/>
                    <w:right w:val="single" w:sz="2" w:space="0" w:color="000000"/>
                  </w:tcBorders>
                </w:tcPr>
                <w:p w14:paraId="3665E294" w14:textId="77777777" w:rsidR="00053D93" w:rsidRDefault="00260B75">
                  <w:pPr>
                    <w:spacing w:after="7"/>
                    <w:ind w:left="94"/>
                  </w:pPr>
                  <w:r>
                    <w:rPr>
                      <w:sz w:val="16"/>
                    </w:rPr>
                    <w:t>Libreras de 4 Entrepaños de metal</w:t>
                  </w:r>
                </w:p>
                <w:p w14:paraId="7DB22187" w14:textId="77777777" w:rsidR="00053D93" w:rsidRDefault="00260B75">
                  <w:pPr>
                    <w:spacing w:line="216" w:lineRule="auto"/>
                    <w:ind w:left="93" w:hanging="7"/>
                    <w:jc w:val="both"/>
                  </w:pPr>
                  <w:r>
                    <w:rPr>
                      <w:sz w:val="16"/>
                    </w:rPr>
                    <w:t>Puertas Corredizas de Vidrio Color Negro con Valor Q.997.OO cada</w:t>
                  </w:r>
                </w:p>
                <w:p w14:paraId="35BD291C" w14:textId="77777777" w:rsidR="00053D93" w:rsidRDefault="00260B75">
                  <w:pPr>
                    <w:ind w:left="94"/>
                  </w:pPr>
                  <w:r>
                    <w:rPr>
                      <w:sz w:val="16"/>
                    </w:rPr>
                    <w:t>Una.</w:t>
                  </w:r>
                </w:p>
              </w:tc>
              <w:tc>
                <w:tcPr>
                  <w:tcW w:w="991" w:type="dxa"/>
                  <w:tcBorders>
                    <w:top w:val="single" w:sz="2" w:space="0" w:color="000000"/>
                    <w:left w:val="single" w:sz="2" w:space="0" w:color="000000"/>
                    <w:bottom w:val="single" w:sz="2" w:space="0" w:color="000000"/>
                    <w:right w:val="single" w:sz="2" w:space="0" w:color="000000"/>
                  </w:tcBorders>
                  <w:vAlign w:val="bottom"/>
                </w:tcPr>
                <w:p w14:paraId="34DEF4C2" w14:textId="77777777" w:rsidR="00053D93" w:rsidRDefault="00260B75">
                  <w:pPr>
                    <w:ind w:left="367"/>
                  </w:pPr>
                  <w:r>
                    <w:rPr>
                      <w:rFonts w:ascii="Times New Roman" w:eastAsia="Times New Roman" w:hAnsi="Times New Roman" w:cs="Times New Roman"/>
                      <w:sz w:val="16"/>
                    </w:rPr>
                    <w:t>1,994.00</w:t>
                  </w:r>
                </w:p>
              </w:tc>
            </w:tr>
            <w:tr w:rsidR="00053D93" w14:paraId="528546B9" w14:textId="77777777">
              <w:trPr>
                <w:trHeight w:val="841"/>
              </w:trPr>
              <w:tc>
                <w:tcPr>
                  <w:tcW w:w="305" w:type="dxa"/>
                  <w:tcBorders>
                    <w:top w:val="single" w:sz="2" w:space="0" w:color="000000"/>
                    <w:left w:val="single" w:sz="2" w:space="0" w:color="000000"/>
                    <w:bottom w:val="single" w:sz="2" w:space="0" w:color="000000"/>
                    <w:right w:val="single" w:sz="2" w:space="0" w:color="000000"/>
                  </w:tcBorders>
                </w:tcPr>
                <w:p w14:paraId="5ACCADC3" w14:textId="77777777" w:rsidR="00053D93" w:rsidRDefault="00260B75">
                  <w:pPr>
                    <w:ind w:left="14"/>
                  </w:pPr>
                  <w:r>
                    <w:rPr>
                      <w:rFonts w:ascii="Times New Roman" w:eastAsia="Times New Roman" w:hAnsi="Times New Roman" w:cs="Times New Roman"/>
                      <w:sz w:val="16"/>
                    </w:rPr>
                    <w:t>46</w:t>
                  </w:r>
                </w:p>
              </w:tc>
              <w:tc>
                <w:tcPr>
                  <w:tcW w:w="0" w:type="auto"/>
                  <w:vMerge/>
                  <w:tcBorders>
                    <w:top w:val="nil"/>
                    <w:left w:val="single" w:sz="2" w:space="0" w:color="000000"/>
                    <w:bottom w:val="nil"/>
                    <w:right w:val="nil"/>
                  </w:tcBorders>
                </w:tcPr>
                <w:p w14:paraId="7932F2CB" w14:textId="77777777" w:rsidR="00053D93" w:rsidRDefault="00053D93"/>
              </w:tc>
              <w:tc>
                <w:tcPr>
                  <w:tcW w:w="0" w:type="auto"/>
                  <w:gridSpan w:val="2"/>
                  <w:vMerge/>
                  <w:tcBorders>
                    <w:top w:val="nil"/>
                    <w:left w:val="nil"/>
                    <w:bottom w:val="nil"/>
                    <w:right w:val="single" w:sz="2" w:space="0" w:color="000000"/>
                  </w:tcBorders>
                </w:tcPr>
                <w:p w14:paraId="32995799"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3FC25A2E" w14:textId="77777777" w:rsidR="00053D93" w:rsidRDefault="00260B75">
                  <w:pPr>
                    <w:ind w:left="82"/>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1E0A6922" w14:textId="77777777" w:rsidR="00053D93" w:rsidRDefault="00260B75">
                  <w:pPr>
                    <w:ind w:left="2"/>
                    <w:jc w:val="center"/>
                  </w:pPr>
                  <w:r>
                    <w:rPr>
                      <w:rFonts w:ascii="Times New Roman" w:eastAsia="Times New Roman" w:hAnsi="Times New Roman" w:cs="Times New Roman"/>
                      <w:sz w:val="16"/>
                    </w:rPr>
                    <w:t>6</w:t>
                  </w:r>
                </w:p>
              </w:tc>
              <w:tc>
                <w:tcPr>
                  <w:tcW w:w="1608" w:type="dxa"/>
                  <w:tcBorders>
                    <w:top w:val="single" w:sz="2" w:space="0" w:color="000000"/>
                    <w:left w:val="single" w:sz="2" w:space="0" w:color="000000"/>
                    <w:bottom w:val="single" w:sz="2" w:space="0" w:color="000000"/>
                    <w:right w:val="single" w:sz="2" w:space="0" w:color="000000"/>
                  </w:tcBorders>
                </w:tcPr>
                <w:p w14:paraId="10700FB3" w14:textId="77777777" w:rsidR="00053D93" w:rsidRDefault="00260B75">
                  <w:pPr>
                    <w:ind w:left="111"/>
                  </w:pPr>
                  <w:r>
                    <w:rPr>
                      <w:rFonts w:ascii="Times New Roman" w:eastAsia="Times New Roman" w:hAnsi="Times New Roman" w:cs="Times New Roman"/>
                      <w:sz w:val="16"/>
                    </w:rPr>
                    <w:t>00119194; 00119119;</w:t>
                  </w:r>
                </w:p>
                <w:p w14:paraId="36171168" w14:textId="77777777" w:rsidR="00053D93" w:rsidRDefault="00260B75">
                  <w:pPr>
                    <w:ind w:left="6"/>
                    <w:jc w:val="center"/>
                  </w:pPr>
                  <w:r>
                    <w:rPr>
                      <w:rFonts w:ascii="Times New Roman" w:eastAsia="Times New Roman" w:hAnsi="Times New Roman" w:cs="Times New Roman"/>
                      <w:sz w:val="16"/>
                    </w:rPr>
                    <w:t>001 19188; 001 19131;</w:t>
                  </w:r>
                </w:p>
                <w:p w14:paraId="2E039248" w14:textId="77777777" w:rsidR="00053D93" w:rsidRDefault="00260B75">
                  <w:pPr>
                    <w:ind w:left="14"/>
                    <w:jc w:val="center"/>
                  </w:pPr>
                  <w:r>
                    <w:rPr>
                      <w:rFonts w:ascii="Times New Roman" w:eastAsia="Times New Roman" w:hAnsi="Times New Roman" w:cs="Times New Roman"/>
                      <w:sz w:val="14"/>
                    </w:rPr>
                    <w:t>0011916C; 00119153</w:t>
                  </w:r>
                </w:p>
              </w:tc>
              <w:tc>
                <w:tcPr>
                  <w:tcW w:w="2549" w:type="dxa"/>
                  <w:gridSpan w:val="3"/>
                  <w:tcBorders>
                    <w:top w:val="single" w:sz="2" w:space="0" w:color="000000"/>
                    <w:left w:val="single" w:sz="2" w:space="0" w:color="000000"/>
                    <w:bottom w:val="single" w:sz="2" w:space="0" w:color="000000"/>
                    <w:right w:val="single" w:sz="2" w:space="0" w:color="000000"/>
                  </w:tcBorders>
                </w:tcPr>
                <w:p w14:paraId="5A0FA347" w14:textId="77777777" w:rsidR="00053D93" w:rsidRDefault="00260B75">
                  <w:pPr>
                    <w:ind w:left="86" w:right="76"/>
                    <w:jc w:val="both"/>
                  </w:pPr>
                  <w:r>
                    <w:rPr>
                      <w:sz w:val="16"/>
                    </w:rPr>
                    <w:t>Escritorios Secretariales con Porta teclado de Dos Gavetas de Metal Base de Madera Con Valor de Q.760.oo cada uno.</w:t>
                  </w:r>
                </w:p>
              </w:tc>
              <w:tc>
                <w:tcPr>
                  <w:tcW w:w="991" w:type="dxa"/>
                  <w:tcBorders>
                    <w:top w:val="single" w:sz="2" w:space="0" w:color="000000"/>
                    <w:left w:val="single" w:sz="2" w:space="0" w:color="000000"/>
                    <w:bottom w:val="single" w:sz="2" w:space="0" w:color="000000"/>
                    <w:right w:val="single" w:sz="2" w:space="0" w:color="000000"/>
                  </w:tcBorders>
                  <w:vAlign w:val="bottom"/>
                </w:tcPr>
                <w:p w14:paraId="24F7D3CE" w14:textId="77777777" w:rsidR="00053D93" w:rsidRDefault="00260B75">
                  <w:pPr>
                    <w:ind w:left="360"/>
                  </w:pPr>
                  <w:r>
                    <w:rPr>
                      <w:rFonts w:ascii="Times New Roman" w:eastAsia="Times New Roman" w:hAnsi="Times New Roman" w:cs="Times New Roman"/>
                      <w:sz w:val="16"/>
                    </w:rPr>
                    <w:t>4.560.00</w:t>
                  </w:r>
                </w:p>
              </w:tc>
            </w:tr>
            <w:tr w:rsidR="00053D93" w14:paraId="24F4A7B5" w14:textId="77777777">
              <w:trPr>
                <w:trHeight w:val="724"/>
              </w:trPr>
              <w:tc>
                <w:tcPr>
                  <w:tcW w:w="305" w:type="dxa"/>
                  <w:tcBorders>
                    <w:top w:val="single" w:sz="2" w:space="0" w:color="000000"/>
                    <w:left w:val="single" w:sz="2" w:space="0" w:color="000000"/>
                    <w:bottom w:val="single" w:sz="2" w:space="0" w:color="000000"/>
                    <w:right w:val="single" w:sz="2" w:space="0" w:color="000000"/>
                  </w:tcBorders>
                </w:tcPr>
                <w:p w14:paraId="5DF70C95" w14:textId="77777777" w:rsidR="00053D93" w:rsidRDefault="00260B75">
                  <w:pPr>
                    <w:ind w:left="21"/>
                  </w:pPr>
                  <w:r>
                    <w:rPr>
                      <w:rFonts w:ascii="Times New Roman" w:eastAsia="Times New Roman" w:hAnsi="Times New Roman" w:cs="Times New Roman"/>
                      <w:sz w:val="16"/>
                    </w:rPr>
                    <w:t>47</w:t>
                  </w:r>
                </w:p>
              </w:tc>
              <w:tc>
                <w:tcPr>
                  <w:tcW w:w="0" w:type="auto"/>
                  <w:vMerge/>
                  <w:tcBorders>
                    <w:top w:val="nil"/>
                    <w:left w:val="single" w:sz="2" w:space="0" w:color="000000"/>
                    <w:bottom w:val="nil"/>
                    <w:right w:val="nil"/>
                  </w:tcBorders>
                </w:tcPr>
                <w:p w14:paraId="69AAA71D" w14:textId="77777777" w:rsidR="00053D93" w:rsidRDefault="00053D93"/>
              </w:tc>
              <w:tc>
                <w:tcPr>
                  <w:tcW w:w="0" w:type="auto"/>
                  <w:gridSpan w:val="2"/>
                  <w:vMerge/>
                  <w:tcBorders>
                    <w:top w:val="nil"/>
                    <w:left w:val="nil"/>
                    <w:bottom w:val="nil"/>
                    <w:right w:val="single" w:sz="2" w:space="0" w:color="000000"/>
                  </w:tcBorders>
                </w:tcPr>
                <w:p w14:paraId="52D9EE75"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0D9DE010" w14:textId="77777777" w:rsidR="00053D93" w:rsidRDefault="00260B75">
                  <w:pPr>
                    <w:ind w:left="89"/>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7CA98C51" w14:textId="77777777" w:rsidR="00053D93" w:rsidRDefault="00260B75">
                  <w:pPr>
                    <w:ind w:left="9"/>
                    <w:jc w:val="center"/>
                  </w:pPr>
                  <w:r>
                    <w:rPr>
                      <w:rFonts w:ascii="Times New Roman" w:eastAsia="Times New Roman" w:hAnsi="Times New Roman" w:cs="Times New Roman"/>
                      <w:sz w:val="18"/>
                    </w:rPr>
                    <w:t>3</w:t>
                  </w:r>
                </w:p>
              </w:tc>
              <w:tc>
                <w:tcPr>
                  <w:tcW w:w="1608" w:type="dxa"/>
                  <w:tcBorders>
                    <w:top w:val="single" w:sz="2" w:space="0" w:color="000000"/>
                    <w:left w:val="single" w:sz="2" w:space="0" w:color="000000"/>
                    <w:bottom w:val="single" w:sz="2" w:space="0" w:color="000000"/>
                    <w:right w:val="single" w:sz="2" w:space="0" w:color="000000"/>
                  </w:tcBorders>
                </w:tcPr>
                <w:p w14:paraId="0F78FCB6" w14:textId="77777777" w:rsidR="00053D93" w:rsidRDefault="00260B75">
                  <w:pPr>
                    <w:ind w:right="97"/>
                    <w:jc w:val="right"/>
                  </w:pPr>
                  <w:r>
                    <w:rPr>
                      <w:sz w:val="16"/>
                    </w:rPr>
                    <w:t>001F3854;</w:t>
                  </w:r>
                </w:p>
                <w:p w14:paraId="2F837A35" w14:textId="77777777" w:rsidR="00053D93" w:rsidRDefault="00260B75">
                  <w:pPr>
                    <w:ind w:left="14"/>
                    <w:jc w:val="center"/>
                  </w:pPr>
                  <w:r>
                    <w:rPr>
                      <w:sz w:val="16"/>
                    </w:rPr>
                    <w:t>001F3853</w:t>
                  </w:r>
                </w:p>
              </w:tc>
              <w:tc>
                <w:tcPr>
                  <w:tcW w:w="2549" w:type="dxa"/>
                  <w:gridSpan w:val="3"/>
                  <w:tcBorders>
                    <w:top w:val="single" w:sz="2" w:space="0" w:color="000000"/>
                    <w:left w:val="single" w:sz="2" w:space="0" w:color="000000"/>
                    <w:bottom w:val="single" w:sz="2" w:space="0" w:color="000000"/>
                    <w:right w:val="single" w:sz="2" w:space="0" w:color="000000"/>
                  </w:tcBorders>
                </w:tcPr>
                <w:p w14:paraId="61F3FD8C" w14:textId="77777777" w:rsidR="00053D93" w:rsidRDefault="00260B75">
                  <w:pPr>
                    <w:ind w:left="94"/>
                  </w:pPr>
                  <w:r>
                    <w:rPr>
                      <w:sz w:val="16"/>
                    </w:rPr>
                    <w:t>Escritorios Secretariales de Tres</w:t>
                  </w:r>
                </w:p>
                <w:p w14:paraId="6852C9D6" w14:textId="77777777" w:rsidR="00053D93" w:rsidRDefault="00260B75">
                  <w:pPr>
                    <w:ind w:left="94" w:right="76"/>
                    <w:jc w:val="both"/>
                  </w:pPr>
                  <w:r>
                    <w:rPr>
                      <w:sz w:val="16"/>
                    </w:rPr>
                    <w:t>Gavetas de Metal Base de Madera Color Negro Con Valor Q.305.OO Cada Uno.</w:t>
                  </w:r>
                </w:p>
              </w:tc>
              <w:tc>
                <w:tcPr>
                  <w:tcW w:w="991" w:type="dxa"/>
                  <w:tcBorders>
                    <w:top w:val="single" w:sz="2" w:space="0" w:color="000000"/>
                    <w:left w:val="single" w:sz="2" w:space="0" w:color="000000"/>
                    <w:bottom w:val="single" w:sz="2" w:space="0" w:color="000000"/>
                    <w:right w:val="single" w:sz="2" w:space="0" w:color="000000"/>
                  </w:tcBorders>
                  <w:vAlign w:val="bottom"/>
                </w:tcPr>
                <w:p w14:paraId="4B15F8BF" w14:textId="77777777" w:rsidR="00053D93" w:rsidRDefault="00260B75">
                  <w:pPr>
                    <w:ind w:right="66"/>
                    <w:jc w:val="right"/>
                  </w:pPr>
                  <w:r>
                    <w:rPr>
                      <w:rFonts w:ascii="Times New Roman" w:eastAsia="Times New Roman" w:hAnsi="Times New Roman" w:cs="Times New Roman"/>
                      <w:sz w:val="16"/>
                    </w:rPr>
                    <w:t>915.00</w:t>
                  </w:r>
                </w:p>
              </w:tc>
            </w:tr>
            <w:tr w:rsidR="00053D93" w14:paraId="4EB587AC" w14:textId="77777777">
              <w:trPr>
                <w:trHeight w:val="975"/>
              </w:trPr>
              <w:tc>
                <w:tcPr>
                  <w:tcW w:w="305" w:type="dxa"/>
                  <w:tcBorders>
                    <w:top w:val="single" w:sz="2" w:space="0" w:color="000000"/>
                    <w:left w:val="single" w:sz="2" w:space="0" w:color="000000"/>
                    <w:bottom w:val="single" w:sz="2" w:space="0" w:color="000000"/>
                    <w:right w:val="single" w:sz="2" w:space="0" w:color="000000"/>
                  </w:tcBorders>
                </w:tcPr>
                <w:p w14:paraId="58D288F1" w14:textId="77777777" w:rsidR="00053D93" w:rsidRDefault="00260B75">
                  <w:pPr>
                    <w:ind w:left="21"/>
                  </w:pPr>
                  <w:r>
                    <w:rPr>
                      <w:rFonts w:ascii="Times New Roman" w:eastAsia="Times New Roman" w:hAnsi="Times New Roman" w:cs="Times New Roman"/>
                      <w:sz w:val="16"/>
                    </w:rPr>
                    <w:t>48</w:t>
                  </w:r>
                </w:p>
              </w:tc>
              <w:tc>
                <w:tcPr>
                  <w:tcW w:w="0" w:type="auto"/>
                  <w:vMerge/>
                  <w:tcBorders>
                    <w:top w:val="nil"/>
                    <w:left w:val="single" w:sz="2" w:space="0" w:color="000000"/>
                    <w:bottom w:val="nil"/>
                    <w:right w:val="nil"/>
                  </w:tcBorders>
                </w:tcPr>
                <w:p w14:paraId="1FDC7C9D" w14:textId="77777777" w:rsidR="00053D93" w:rsidRDefault="00053D93"/>
              </w:tc>
              <w:tc>
                <w:tcPr>
                  <w:tcW w:w="0" w:type="auto"/>
                  <w:gridSpan w:val="2"/>
                  <w:vMerge/>
                  <w:tcBorders>
                    <w:top w:val="nil"/>
                    <w:left w:val="nil"/>
                    <w:bottom w:val="nil"/>
                    <w:right w:val="single" w:sz="2" w:space="0" w:color="000000"/>
                  </w:tcBorders>
                </w:tcPr>
                <w:p w14:paraId="68A55E90"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2B2997C0" w14:textId="77777777" w:rsidR="00053D93" w:rsidRDefault="00260B75">
                  <w:pPr>
                    <w:ind w:left="96"/>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75AF67A1" w14:textId="77777777" w:rsidR="00053D93" w:rsidRDefault="00260B75">
                  <w:pPr>
                    <w:ind w:left="16"/>
                    <w:jc w:val="center"/>
                  </w:pPr>
                  <w:r>
                    <w:rPr>
                      <w:rFonts w:ascii="Times New Roman" w:eastAsia="Times New Roman" w:hAnsi="Times New Roman" w:cs="Times New Roman"/>
                      <w:sz w:val="16"/>
                    </w:rPr>
                    <w:t>2</w:t>
                  </w:r>
                </w:p>
              </w:tc>
              <w:tc>
                <w:tcPr>
                  <w:tcW w:w="1608" w:type="dxa"/>
                  <w:tcBorders>
                    <w:top w:val="single" w:sz="2" w:space="0" w:color="000000"/>
                    <w:left w:val="single" w:sz="2" w:space="0" w:color="000000"/>
                    <w:bottom w:val="single" w:sz="2" w:space="0" w:color="000000"/>
                    <w:right w:val="single" w:sz="2" w:space="0" w:color="000000"/>
                  </w:tcBorders>
                </w:tcPr>
                <w:p w14:paraId="6527853F" w14:textId="77777777" w:rsidR="00053D93" w:rsidRDefault="00260B75">
                  <w:pPr>
                    <w:ind w:left="14"/>
                    <w:jc w:val="center"/>
                  </w:pPr>
                  <w:r>
                    <w:rPr>
                      <w:rFonts w:ascii="Times New Roman" w:eastAsia="Times New Roman" w:hAnsi="Times New Roman" w:cs="Times New Roman"/>
                      <w:sz w:val="16"/>
                    </w:rPr>
                    <w:t>00119113; 00119130</w:t>
                  </w:r>
                </w:p>
              </w:tc>
              <w:tc>
                <w:tcPr>
                  <w:tcW w:w="2549" w:type="dxa"/>
                  <w:gridSpan w:val="3"/>
                  <w:tcBorders>
                    <w:top w:val="single" w:sz="2" w:space="0" w:color="000000"/>
                    <w:left w:val="single" w:sz="2" w:space="0" w:color="000000"/>
                    <w:bottom w:val="single" w:sz="2" w:space="0" w:color="000000"/>
                    <w:right w:val="single" w:sz="2" w:space="0" w:color="000000"/>
                  </w:tcBorders>
                </w:tcPr>
                <w:p w14:paraId="382FA22C" w14:textId="77777777" w:rsidR="00053D93" w:rsidRDefault="00260B75">
                  <w:pPr>
                    <w:spacing w:line="229" w:lineRule="auto"/>
                    <w:ind w:left="86" w:right="68" w:firstLine="7"/>
                    <w:jc w:val="both"/>
                  </w:pPr>
                  <w:r>
                    <w:rPr>
                      <w:sz w:val="16"/>
                    </w:rPr>
                    <w:t>Escritorios Secretariales con Porta teclado de Tres Gavetas de Metat Base de Madera Color Negro con Café Con Valor de Q760.00 cada</w:t>
                  </w:r>
                </w:p>
                <w:p w14:paraId="166D351F" w14:textId="77777777" w:rsidR="00053D93" w:rsidRDefault="00260B75">
                  <w:pPr>
                    <w:ind w:left="101"/>
                  </w:pPr>
                  <w:r>
                    <w:rPr>
                      <w:sz w:val="16"/>
                    </w:rPr>
                    <w:t>Uno.</w:t>
                  </w:r>
                </w:p>
              </w:tc>
              <w:tc>
                <w:tcPr>
                  <w:tcW w:w="991" w:type="dxa"/>
                  <w:tcBorders>
                    <w:top w:val="single" w:sz="2" w:space="0" w:color="000000"/>
                    <w:left w:val="single" w:sz="2" w:space="0" w:color="000000"/>
                    <w:bottom w:val="single" w:sz="2" w:space="0" w:color="000000"/>
                    <w:right w:val="single" w:sz="2" w:space="0" w:color="000000"/>
                  </w:tcBorders>
                  <w:vAlign w:val="bottom"/>
                </w:tcPr>
                <w:p w14:paraId="769BB682" w14:textId="77777777" w:rsidR="00053D93" w:rsidRDefault="00260B75">
                  <w:pPr>
                    <w:ind w:right="66"/>
                    <w:jc w:val="right"/>
                  </w:pPr>
                  <w:r>
                    <w:rPr>
                      <w:sz w:val="16"/>
                    </w:rPr>
                    <w:t>1,520.oo</w:t>
                  </w:r>
                </w:p>
              </w:tc>
            </w:tr>
            <w:tr w:rsidR="00053D93" w14:paraId="3E40D573" w14:textId="77777777">
              <w:trPr>
                <w:trHeight w:val="781"/>
              </w:trPr>
              <w:tc>
                <w:tcPr>
                  <w:tcW w:w="305" w:type="dxa"/>
                  <w:tcBorders>
                    <w:top w:val="single" w:sz="2" w:space="0" w:color="000000"/>
                    <w:left w:val="single" w:sz="2" w:space="0" w:color="000000"/>
                    <w:bottom w:val="single" w:sz="2" w:space="0" w:color="000000"/>
                    <w:right w:val="single" w:sz="2" w:space="0" w:color="000000"/>
                  </w:tcBorders>
                </w:tcPr>
                <w:p w14:paraId="2522A16F" w14:textId="77777777" w:rsidR="00053D93" w:rsidRDefault="00260B75">
                  <w:pPr>
                    <w:ind w:left="28"/>
                  </w:pPr>
                  <w:r>
                    <w:rPr>
                      <w:rFonts w:ascii="Times New Roman" w:eastAsia="Times New Roman" w:hAnsi="Times New Roman" w:cs="Times New Roman"/>
                      <w:sz w:val="16"/>
                    </w:rPr>
                    <w:t>49</w:t>
                  </w:r>
                </w:p>
              </w:tc>
              <w:tc>
                <w:tcPr>
                  <w:tcW w:w="0" w:type="auto"/>
                  <w:vMerge/>
                  <w:tcBorders>
                    <w:top w:val="nil"/>
                    <w:left w:val="single" w:sz="2" w:space="0" w:color="000000"/>
                    <w:bottom w:val="nil"/>
                    <w:right w:val="nil"/>
                  </w:tcBorders>
                </w:tcPr>
                <w:p w14:paraId="3C97F1E5" w14:textId="77777777" w:rsidR="00053D93" w:rsidRDefault="00053D93"/>
              </w:tc>
              <w:tc>
                <w:tcPr>
                  <w:tcW w:w="0" w:type="auto"/>
                  <w:gridSpan w:val="2"/>
                  <w:vMerge/>
                  <w:tcBorders>
                    <w:top w:val="nil"/>
                    <w:left w:val="nil"/>
                    <w:bottom w:val="nil"/>
                    <w:right w:val="single" w:sz="2" w:space="0" w:color="000000"/>
                  </w:tcBorders>
                </w:tcPr>
                <w:p w14:paraId="2C27BE7A"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0BC31176" w14:textId="77777777" w:rsidR="00053D93" w:rsidRDefault="00260B75">
                  <w:pPr>
                    <w:ind w:left="96"/>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558185C0" w14:textId="77777777" w:rsidR="00053D93" w:rsidRDefault="00053D93"/>
              </w:tc>
              <w:tc>
                <w:tcPr>
                  <w:tcW w:w="1608" w:type="dxa"/>
                  <w:tcBorders>
                    <w:top w:val="single" w:sz="2" w:space="0" w:color="000000"/>
                    <w:left w:val="single" w:sz="2" w:space="0" w:color="000000"/>
                    <w:bottom w:val="single" w:sz="2" w:space="0" w:color="000000"/>
                    <w:right w:val="single" w:sz="2" w:space="0" w:color="000000"/>
                  </w:tcBorders>
                </w:tcPr>
                <w:p w14:paraId="64F50531" w14:textId="77777777" w:rsidR="00053D93" w:rsidRDefault="00260B75">
                  <w:pPr>
                    <w:ind w:left="21"/>
                    <w:jc w:val="center"/>
                  </w:pPr>
                  <w:r>
                    <w:rPr>
                      <w:sz w:val="16"/>
                    </w:rPr>
                    <w:t>001F3845</w:t>
                  </w:r>
                </w:p>
              </w:tc>
              <w:tc>
                <w:tcPr>
                  <w:tcW w:w="2549" w:type="dxa"/>
                  <w:gridSpan w:val="3"/>
                  <w:tcBorders>
                    <w:top w:val="single" w:sz="2" w:space="0" w:color="000000"/>
                    <w:left w:val="single" w:sz="2" w:space="0" w:color="000000"/>
                    <w:bottom w:val="single" w:sz="2" w:space="0" w:color="000000"/>
                    <w:right w:val="single" w:sz="2" w:space="0" w:color="000000"/>
                  </w:tcBorders>
                </w:tcPr>
                <w:p w14:paraId="26D51EF7" w14:textId="77777777" w:rsidR="00053D93" w:rsidRDefault="00260B75">
                  <w:pPr>
                    <w:ind w:left="94"/>
                  </w:pPr>
                  <w:r>
                    <w:rPr>
                      <w:sz w:val="16"/>
                    </w:rPr>
                    <w:t>Escritorios Secretariales de Tres</w:t>
                  </w:r>
                </w:p>
                <w:p w14:paraId="5911AE5D" w14:textId="77777777" w:rsidR="00053D93" w:rsidRDefault="00260B75">
                  <w:pPr>
                    <w:ind w:left="94" w:right="61" w:firstLine="7"/>
                    <w:jc w:val="both"/>
                  </w:pPr>
                  <w:r>
                    <w:rPr>
                      <w:sz w:val="18"/>
                    </w:rPr>
                    <w:t>Gavetas de Metal Base de Madera Color Gris con Blanco Con Valor Q305.00 cada Uno.</w:t>
                  </w:r>
                </w:p>
              </w:tc>
              <w:tc>
                <w:tcPr>
                  <w:tcW w:w="991" w:type="dxa"/>
                  <w:tcBorders>
                    <w:top w:val="single" w:sz="2" w:space="0" w:color="000000"/>
                    <w:left w:val="single" w:sz="2" w:space="0" w:color="000000"/>
                    <w:bottom w:val="single" w:sz="2" w:space="0" w:color="000000"/>
                    <w:right w:val="single" w:sz="2" w:space="0" w:color="000000"/>
                  </w:tcBorders>
                  <w:vAlign w:val="bottom"/>
                </w:tcPr>
                <w:p w14:paraId="165B0E50" w14:textId="77777777" w:rsidR="00053D93" w:rsidRDefault="00260B75">
                  <w:pPr>
                    <w:ind w:right="59"/>
                    <w:jc w:val="right"/>
                  </w:pPr>
                  <w:r>
                    <w:rPr>
                      <w:rFonts w:ascii="Times New Roman" w:eastAsia="Times New Roman" w:hAnsi="Times New Roman" w:cs="Times New Roman"/>
                      <w:sz w:val="16"/>
                    </w:rPr>
                    <w:t>305.00</w:t>
                  </w:r>
                </w:p>
              </w:tc>
            </w:tr>
            <w:tr w:rsidR="00053D93" w14:paraId="499B7F3C" w14:textId="77777777">
              <w:trPr>
                <w:trHeight w:val="2346"/>
              </w:trPr>
              <w:tc>
                <w:tcPr>
                  <w:tcW w:w="305" w:type="dxa"/>
                  <w:tcBorders>
                    <w:top w:val="single" w:sz="2" w:space="0" w:color="000000"/>
                    <w:left w:val="single" w:sz="2" w:space="0" w:color="000000"/>
                    <w:bottom w:val="single" w:sz="2" w:space="0" w:color="000000"/>
                    <w:right w:val="single" w:sz="2" w:space="0" w:color="000000"/>
                  </w:tcBorders>
                </w:tcPr>
                <w:p w14:paraId="58497411" w14:textId="77777777" w:rsidR="00053D93" w:rsidRDefault="00260B75">
                  <w:pPr>
                    <w:ind w:left="35"/>
                  </w:pPr>
                  <w:r>
                    <w:rPr>
                      <w:rFonts w:ascii="Times New Roman" w:eastAsia="Times New Roman" w:hAnsi="Times New Roman" w:cs="Times New Roman"/>
                      <w:sz w:val="16"/>
                    </w:rPr>
                    <w:t>50</w:t>
                  </w:r>
                </w:p>
              </w:tc>
              <w:tc>
                <w:tcPr>
                  <w:tcW w:w="0" w:type="auto"/>
                  <w:vMerge/>
                  <w:tcBorders>
                    <w:top w:val="nil"/>
                    <w:left w:val="single" w:sz="2" w:space="0" w:color="000000"/>
                    <w:bottom w:val="single" w:sz="2" w:space="0" w:color="000000"/>
                    <w:right w:val="nil"/>
                  </w:tcBorders>
                </w:tcPr>
                <w:p w14:paraId="14F6A178" w14:textId="77777777" w:rsidR="00053D93" w:rsidRDefault="00053D93"/>
              </w:tc>
              <w:tc>
                <w:tcPr>
                  <w:tcW w:w="0" w:type="auto"/>
                  <w:gridSpan w:val="2"/>
                  <w:vMerge/>
                  <w:tcBorders>
                    <w:top w:val="nil"/>
                    <w:left w:val="nil"/>
                    <w:bottom w:val="single" w:sz="2" w:space="0" w:color="000000"/>
                    <w:right w:val="single" w:sz="2" w:space="0" w:color="000000"/>
                  </w:tcBorders>
                </w:tcPr>
                <w:p w14:paraId="549D44A5" w14:textId="77777777" w:rsidR="00053D93" w:rsidRDefault="00053D93"/>
              </w:tc>
              <w:tc>
                <w:tcPr>
                  <w:tcW w:w="871" w:type="dxa"/>
                  <w:tcBorders>
                    <w:top w:val="single" w:sz="2" w:space="0" w:color="000000"/>
                    <w:left w:val="single" w:sz="2" w:space="0" w:color="000000"/>
                    <w:bottom w:val="single" w:sz="2" w:space="0" w:color="000000"/>
                    <w:right w:val="single" w:sz="2" w:space="0" w:color="000000"/>
                  </w:tcBorders>
                </w:tcPr>
                <w:p w14:paraId="305F55CB" w14:textId="77777777" w:rsidR="00053D93" w:rsidRDefault="00260B75">
                  <w:pPr>
                    <w:ind w:left="96"/>
                  </w:pPr>
                  <w:r>
                    <w:rPr>
                      <w:rFonts w:ascii="Times New Roman" w:eastAsia="Times New Roman" w:hAnsi="Times New Roman" w:cs="Times New Roman"/>
                      <w:sz w:val="16"/>
                    </w:rPr>
                    <w:t>03/12/2012</w:t>
                  </w:r>
                </w:p>
              </w:tc>
              <w:tc>
                <w:tcPr>
                  <w:tcW w:w="770" w:type="dxa"/>
                  <w:tcBorders>
                    <w:top w:val="single" w:sz="2" w:space="0" w:color="000000"/>
                    <w:left w:val="single" w:sz="2" w:space="0" w:color="000000"/>
                    <w:bottom w:val="single" w:sz="2" w:space="0" w:color="000000"/>
                    <w:right w:val="single" w:sz="2" w:space="0" w:color="000000"/>
                  </w:tcBorders>
                </w:tcPr>
                <w:p w14:paraId="546B1D25" w14:textId="77777777" w:rsidR="00053D93" w:rsidRDefault="00260B75">
                  <w:pPr>
                    <w:ind w:left="23"/>
                    <w:jc w:val="center"/>
                  </w:pPr>
                  <w:r>
                    <w:rPr>
                      <w:rFonts w:ascii="Times New Roman" w:eastAsia="Times New Roman" w:hAnsi="Times New Roman" w:cs="Times New Roman"/>
                      <w:sz w:val="16"/>
                    </w:rPr>
                    <w:t>25</w:t>
                  </w:r>
                </w:p>
              </w:tc>
              <w:tc>
                <w:tcPr>
                  <w:tcW w:w="1608" w:type="dxa"/>
                  <w:tcBorders>
                    <w:top w:val="single" w:sz="2" w:space="0" w:color="000000"/>
                    <w:left w:val="single" w:sz="2" w:space="0" w:color="000000"/>
                    <w:bottom w:val="single" w:sz="2" w:space="0" w:color="000000"/>
                    <w:right w:val="single" w:sz="2" w:space="0" w:color="000000"/>
                  </w:tcBorders>
                </w:tcPr>
                <w:p w14:paraId="2C49EA76" w14:textId="77777777" w:rsidR="00053D93" w:rsidRDefault="00260B75">
                  <w:pPr>
                    <w:spacing w:after="24" w:line="238" w:lineRule="auto"/>
                    <w:ind w:left="327" w:hanging="216"/>
                    <w:jc w:val="both"/>
                  </w:pPr>
                  <w:r>
                    <w:rPr>
                      <w:sz w:val="16"/>
                    </w:rPr>
                    <w:t>001DD5EA: 001 DD5EB DD5EC: 001 DD5ED</w:t>
                  </w:r>
                </w:p>
                <w:p w14:paraId="2AB4786D" w14:textId="77777777" w:rsidR="00053D93" w:rsidRDefault="00260B75">
                  <w:pPr>
                    <w:tabs>
                      <w:tab w:val="center" w:pos="463"/>
                      <w:tab w:val="right" w:pos="1605"/>
                    </w:tabs>
                  </w:pPr>
                  <w:r>
                    <w:rPr>
                      <w:sz w:val="16"/>
                    </w:rPr>
                    <w:tab/>
                    <w:t xml:space="preserve">001 DD5EE; </w:t>
                  </w:r>
                  <w:r>
                    <w:rPr>
                      <w:sz w:val="16"/>
                    </w:rPr>
                    <w:tab/>
                    <w:t>DD5EF</w:t>
                  </w:r>
                </w:p>
                <w:p w14:paraId="687CB2FB" w14:textId="77777777" w:rsidR="00053D93" w:rsidRDefault="00260B75">
                  <w:pPr>
                    <w:ind w:left="132"/>
                  </w:pPr>
                  <w:r>
                    <w:rPr>
                      <w:sz w:val="16"/>
                    </w:rPr>
                    <w:t>001 DD5FO; 001 DD5F1</w:t>
                  </w:r>
                </w:p>
                <w:p w14:paraId="12EB28AB" w14:textId="77777777" w:rsidR="00053D93" w:rsidRDefault="00260B75">
                  <w:pPr>
                    <w:spacing w:after="2" w:line="237" w:lineRule="auto"/>
                    <w:ind w:left="132" w:firstLine="230"/>
                    <w:jc w:val="both"/>
                  </w:pPr>
                  <w:r>
                    <w:rPr>
                      <w:sz w:val="16"/>
                    </w:rPr>
                    <w:t>OD5F2; DD5F3 001 DD5F4; COI DD5F5</w:t>
                  </w:r>
                </w:p>
                <w:p w14:paraId="6283E7A9" w14:textId="77777777" w:rsidR="00053D93" w:rsidRDefault="00260B75">
                  <w:pPr>
                    <w:spacing w:after="15"/>
                    <w:ind w:left="132"/>
                  </w:pPr>
                  <w:r>
                    <w:rPr>
                      <w:sz w:val="16"/>
                    </w:rPr>
                    <w:t>001 DD5F6; 001 DD5F7</w:t>
                  </w:r>
                </w:p>
                <w:p w14:paraId="795B196E" w14:textId="77777777" w:rsidR="00053D93" w:rsidRDefault="00260B75">
                  <w:pPr>
                    <w:tabs>
                      <w:tab w:val="center" w:pos="471"/>
                      <w:tab w:val="right" w:pos="1605"/>
                    </w:tabs>
                    <w:spacing w:after="2"/>
                  </w:pPr>
                  <w:r>
                    <w:rPr>
                      <w:sz w:val="16"/>
                    </w:rPr>
                    <w:tab/>
                    <w:t xml:space="preserve">001DD5F8; </w:t>
                  </w:r>
                  <w:r>
                    <w:rPr>
                      <w:sz w:val="16"/>
                    </w:rPr>
                    <w:tab/>
                    <w:t>DD5F9</w:t>
                  </w:r>
                </w:p>
                <w:p w14:paraId="36EB8567" w14:textId="77777777" w:rsidR="00053D93" w:rsidRDefault="00260B75">
                  <w:pPr>
                    <w:spacing w:after="6"/>
                    <w:ind w:left="118"/>
                  </w:pPr>
                  <w:r>
                    <w:rPr>
                      <w:sz w:val="16"/>
                    </w:rPr>
                    <w:t>001 DD5FA; 001DD5FB</w:t>
                  </w:r>
                </w:p>
                <w:p w14:paraId="04697E63" w14:textId="77777777" w:rsidR="00053D93" w:rsidRDefault="00260B75">
                  <w:pPr>
                    <w:tabs>
                      <w:tab w:val="center" w:pos="579"/>
                      <w:tab w:val="right" w:pos="1605"/>
                    </w:tabs>
                  </w:pPr>
                  <w:r>
                    <w:rPr>
                      <w:sz w:val="16"/>
                    </w:rPr>
                    <w:tab/>
                    <w:t xml:space="preserve">DD5FC; </w:t>
                  </w:r>
                  <w:r>
                    <w:rPr>
                      <w:sz w:val="16"/>
                    </w:rPr>
                    <w:tab/>
                    <w:t>DD5F0</w:t>
                  </w:r>
                </w:p>
                <w:p w14:paraId="5E2257C2" w14:textId="77777777" w:rsidR="00053D93" w:rsidRDefault="00260B75">
                  <w:pPr>
                    <w:ind w:left="125"/>
                  </w:pPr>
                  <w:r>
                    <w:rPr>
                      <w:sz w:val="16"/>
                    </w:rPr>
                    <w:t>001 DD5FE: 001 DD5FF</w:t>
                  </w:r>
                </w:p>
                <w:p w14:paraId="668D855E" w14:textId="77777777" w:rsidR="00053D93" w:rsidRDefault="00260B75">
                  <w:pPr>
                    <w:ind w:left="147"/>
                  </w:pPr>
                  <w:r>
                    <w:rPr>
                      <w:sz w:val="14"/>
                    </w:rPr>
                    <w:t>001 DD600; 001 DD601</w:t>
                  </w:r>
                </w:p>
                <w:p w14:paraId="5E424375" w14:textId="77777777" w:rsidR="00053D93" w:rsidRDefault="00260B75">
                  <w:pPr>
                    <w:ind w:left="28"/>
                    <w:jc w:val="center"/>
                  </w:pPr>
                  <w:r>
                    <w:rPr>
                      <w:sz w:val="16"/>
                    </w:rPr>
                    <w:t>001DD602</w:t>
                  </w:r>
                </w:p>
              </w:tc>
              <w:tc>
                <w:tcPr>
                  <w:tcW w:w="2549" w:type="dxa"/>
                  <w:gridSpan w:val="3"/>
                  <w:tcBorders>
                    <w:top w:val="single" w:sz="2" w:space="0" w:color="000000"/>
                    <w:left w:val="single" w:sz="2" w:space="0" w:color="000000"/>
                    <w:bottom w:val="single" w:sz="2" w:space="0" w:color="000000"/>
                    <w:right w:val="single" w:sz="2" w:space="0" w:color="000000"/>
                  </w:tcBorders>
                </w:tcPr>
                <w:p w14:paraId="2F22D751" w14:textId="77777777" w:rsidR="00053D93" w:rsidRDefault="00260B75">
                  <w:pPr>
                    <w:ind w:left="94" w:firstLine="7"/>
                    <w:jc w:val="both"/>
                  </w:pPr>
                  <w:r>
                    <w:rPr>
                      <w:sz w:val="16"/>
                    </w:rPr>
                    <w:t>Pupitre Para Adulto Valor Q. 175.00 Ceda Uno.</w:t>
                  </w:r>
                </w:p>
              </w:tc>
              <w:tc>
                <w:tcPr>
                  <w:tcW w:w="991" w:type="dxa"/>
                  <w:tcBorders>
                    <w:top w:val="single" w:sz="2" w:space="0" w:color="000000"/>
                    <w:left w:val="single" w:sz="2" w:space="0" w:color="000000"/>
                    <w:bottom w:val="single" w:sz="2" w:space="0" w:color="000000"/>
                    <w:right w:val="single" w:sz="2" w:space="0" w:color="000000"/>
                  </w:tcBorders>
                  <w:vAlign w:val="bottom"/>
                </w:tcPr>
                <w:p w14:paraId="66AB02E9" w14:textId="77777777" w:rsidR="00053D93" w:rsidRDefault="00260B75">
                  <w:pPr>
                    <w:ind w:left="280"/>
                    <w:jc w:val="center"/>
                  </w:pPr>
                  <w:r>
                    <w:rPr>
                      <w:rFonts w:ascii="Times New Roman" w:eastAsia="Times New Roman" w:hAnsi="Times New Roman" w:cs="Times New Roman"/>
                      <w:sz w:val="16"/>
                    </w:rPr>
                    <w:t>375.</w:t>
                  </w:r>
                </w:p>
              </w:tc>
            </w:tr>
            <w:tr w:rsidR="00053D93" w14:paraId="7ED5A28C" w14:textId="77777777">
              <w:trPr>
                <w:trHeight w:val="386"/>
              </w:trPr>
              <w:tc>
                <w:tcPr>
                  <w:tcW w:w="305" w:type="dxa"/>
                  <w:vMerge w:val="restart"/>
                  <w:tcBorders>
                    <w:top w:val="single" w:sz="2" w:space="0" w:color="000000"/>
                    <w:left w:val="single" w:sz="2" w:space="0" w:color="000000"/>
                    <w:bottom w:val="nil"/>
                    <w:right w:val="single" w:sz="2" w:space="0" w:color="000000"/>
                  </w:tcBorders>
                </w:tcPr>
                <w:p w14:paraId="6D6CEB6C" w14:textId="77777777" w:rsidR="00053D93" w:rsidRDefault="00260B75">
                  <w:pPr>
                    <w:spacing w:after="19"/>
                    <w:ind w:left="42"/>
                  </w:pPr>
                  <w:r>
                    <w:rPr>
                      <w:rFonts w:ascii="Times New Roman" w:eastAsia="Times New Roman" w:hAnsi="Times New Roman" w:cs="Times New Roman"/>
                      <w:sz w:val="14"/>
                    </w:rPr>
                    <w:t>51</w:t>
                  </w:r>
                </w:p>
                <w:p w14:paraId="06908B25" w14:textId="77777777" w:rsidR="00053D93" w:rsidRDefault="00260B75">
                  <w:pPr>
                    <w:ind w:left="35"/>
                  </w:pPr>
                  <w:r>
                    <w:rPr>
                      <w:noProof/>
                    </w:rPr>
                    <w:drawing>
                      <wp:inline distT="0" distB="0" distL="0" distR="0" wp14:anchorId="76F13AFE" wp14:editId="1F711464">
                        <wp:extent cx="169164" cy="406909"/>
                        <wp:effectExtent l="0" t="0" r="0" b="0"/>
                        <wp:docPr id="772529" name="Picture 772529"/>
                        <wp:cNvGraphicFramePr/>
                        <a:graphic xmlns:a="http://schemas.openxmlformats.org/drawingml/2006/main">
                          <a:graphicData uri="http://schemas.openxmlformats.org/drawingml/2006/picture">
                            <pic:pic xmlns:pic="http://schemas.openxmlformats.org/drawingml/2006/picture">
                              <pic:nvPicPr>
                                <pic:cNvPr id="772529" name="Picture 772529"/>
                                <pic:cNvPicPr/>
                              </pic:nvPicPr>
                              <pic:blipFill>
                                <a:blip r:embed="rId1091"/>
                                <a:stretch>
                                  <a:fillRect/>
                                </a:stretch>
                              </pic:blipFill>
                              <pic:spPr>
                                <a:xfrm>
                                  <a:off x="0" y="0"/>
                                  <a:ext cx="169164" cy="406909"/>
                                </a:xfrm>
                                <a:prstGeom prst="rect">
                                  <a:avLst/>
                                </a:prstGeom>
                              </pic:spPr>
                            </pic:pic>
                          </a:graphicData>
                        </a:graphic>
                      </wp:inline>
                    </w:drawing>
                  </w:r>
                </w:p>
              </w:tc>
              <w:tc>
                <w:tcPr>
                  <w:tcW w:w="302" w:type="dxa"/>
                  <w:vMerge w:val="restart"/>
                  <w:tcBorders>
                    <w:top w:val="single" w:sz="2" w:space="0" w:color="000000"/>
                    <w:left w:val="single" w:sz="2" w:space="0" w:color="000000"/>
                    <w:bottom w:val="nil"/>
                    <w:right w:val="nil"/>
                  </w:tcBorders>
                  <w:vAlign w:val="center"/>
                </w:tcPr>
                <w:p w14:paraId="7236B61F" w14:textId="77777777" w:rsidR="00053D93" w:rsidRDefault="00260B75">
                  <w:pPr>
                    <w:ind w:left="-4"/>
                  </w:pPr>
                  <w:r>
                    <w:rPr>
                      <w:noProof/>
                    </w:rPr>
                    <w:drawing>
                      <wp:inline distT="0" distB="0" distL="0" distR="0" wp14:anchorId="50280C61" wp14:editId="2B6FCD17">
                        <wp:extent cx="182880" cy="411480"/>
                        <wp:effectExtent l="0" t="0" r="0" b="0"/>
                        <wp:docPr id="772523" name="Picture 772523"/>
                        <wp:cNvGraphicFramePr/>
                        <a:graphic xmlns:a="http://schemas.openxmlformats.org/drawingml/2006/main">
                          <a:graphicData uri="http://schemas.openxmlformats.org/drawingml/2006/picture">
                            <pic:pic xmlns:pic="http://schemas.openxmlformats.org/drawingml/2006/picture">
                              <pic:nvPicPr>
                                <pic:cNvPr id="772523" name="Picture 772523"/>
                                <pic:cNvPicPr/>
                              </pic:nvPicPr>
                              <pic:blipFill>
                                <a:blip r:embed="rId1092"/>
                                <a:stretch>
                                  <a:fillRect/>
                                </a:stretch>
                              </pic:blipFill>
                              <pic:spPr>
                                <a:xfrm>
                                  <a:off x="0" y="0"/>
                                  <a:ext cx="182880" cy="411480"/>
                                </a:xfrm>
                                <a:prstGeom prst="rect">
                                  <a:avLst/>
                                </a:prstGeom>
                              </pic:spPr>
                            </pic:pic>
                          </a:graphicData>
                        </a:graphic>
                      </wp:inline>
                    </w:drawing>
                  </w:r>
                </w:p>
              </w:tc>
              <w:tc>
                <w:tcPr>
                  <w:tcW w:w="973" w:type="dxa"/>
                  <w:gridSpan w:val="2"/>
                  <w:tcBorders>
                    <w:top w:val="single" w:sz="2" w:space="0" w:color="000000"/>
                    <w:left w:val="nil"/>
                    <w:bottom w:val="single" w:sz="2" w:space="0" w:color="000000"/>
                    <w:right w:val="single" w:sz="2" w:space="0" w:color="000000"/>
                  </w:tcBorders>
                </w:tcPr>
                <w:p w14:paraId="37F5BF7E" w14:textId="77777777" w:rsidR="00053D93" w:rsidRDefault="00260B75">
                  <w:pPr>
                    <w:ind w:left="104"/>
                  </w:pPr>
                  <w:r>
                    <w:rPr>
                      <w:rFonts w:ascii="Times New Roman" w:eastAsia="Times New Roman" w:hAnsi="Times New Roman" w:cs="Times New Roman"/>
                      <w:sz w:val="16"/>
                    </w:rPr>
                    <w:t>002887</w:t>
                  </w:r>
                </w:p>
              </w:tc>
              <w:tc>
                <w:tcPr>
                  <w:tcW w:w="871" w:type="dxa"/>
                  <w:tcBorders>
                    <w:top w:val="single" w:sz="2" w:space="0" w:color="000000"/>
                    <w:left w:val="single" w:sz="2" w:space="0" w:color="000000"/>
                    <w:bottom w:val="single" w:sz="2" w:space="0" w:color="000000"/>
                    <w:right w:val="single" w:sz="2" w:space="0" w:color="000000"/>
                  </w:tcBorders>
                </w:tcPr>
                <w:p w14:paraId="69C024E7" w14:textId="77777777" w:rsidR="00053D93" w:rsidRDefault="00260B75">
                  <w:pPr>
                    <w:ind w:left="104"/>
                  </w:pPr>
                  <w:r>
                    <w:rPr>
                      <w:rFonts w:ascii="Times New Roman" w:eastAsia="Times New Roman" w:hAnsi="Times New Roman" w:cs="Times New Roman"/>
                      <w:sz w:val="16"/>
                    </w:rPr>
                    <w:t>01/0212013</w:t>
                  </w:r>
                </w:p>
              </w:tc>
              <w:tc>
                <w:tcPr>
                  <w:tcW w:w="770" w:type="dxa"/>
                  <w:tcBorders>
                    <w:top w:val="single" w:sz="2" w:space="0" w:color="000000"/>
                    <w:left w:val="single" w:sz="2" w:space="0" w:color="000000"/>
                    <w:bottom w:val="single" w:sz="2" w:space="0" w:color="000000"/>
                    <w:right w:val="single" w:sz="2" w:space="0" w:color="000000"/>
                  </w:tcBorders>
                </w:tcPr>
                <w:p w14:paraId="0B54B3D9" w14:textId="77777777" w:rsidR="00053D93" w:rsidRDefault="00260B75">
                  <w:pPr>
                    <w:ind w:left="45"/>
                    <w:jc w:val="center"/>
                  </w:pPr>
                  <w:r>
                    <w:rPr>
                      <w:rFonts w:ascii="Times New Roman" w:eastAsia="Times New Roman" w:hAnsi="Times New Roman" w:cs="Times New Roman"/>
                      <w:sz w:val="16"/>
                    </w:rPr>
                    <w:t>15</w:t>
                  </w:r>
                </w:p>
              </w:tc>
              <w:tc>
                <w:tcPr>
                  <w:tcW w:w="1608" w:type="dxa"/>
                  <w:tcBorders>
                    <w:top w:val="single" w:sz="2" w:space="0" w:color="000000"/>
                    <w:left w:val="single" w:sz="2" w:space="0" w:color="000000"/>
                    <w:bottom w:val="single" w:sz="2" w:space="0" w:color="000000"/>
                    <w:right w:val="single" w:sz="2" w:space="0" w:color="000000"/>
                  </w:tcBorders>
                </w:tcPr>
                <w:p w14:paraId="4B843DF5" w14:textId="77777777" w:rsidR="00053D93" w:rsidRDefault="00260B75">
                  <w:pPr>
                    <w:ind w:right="119"/>
                    <w:jc w:val="right"/>
                  </w:pPr>
                  <w:r>
                    <w:rPr>
                      <w:sz w:val="16"/>
                    </w:rPr>
                    <w:t xml:space="preserve">0023DE33; 0023DE34 </w:t>
                  </w:r>
                </w:p>
                <w:p w14:paraId="2B49CDB3" w14:textId="77777777" w:rsidR="00053D93" w:rsidRDefault="00260B75">
                  <w:pPr>
                    <w:ind w:left="42"/>
                    <w:jc w:val="center"/>
                  </w:pPr>
                  <w:r>
                    <w:rPr>
                      <w:sz w:val="16"/>
                    </w:rPr>
                    <w:t>0023DE35; 0023DE36</w:t>
                  </w:r>
                </w:p>
              </w:tc>
              <w:tc>
                <w:tcPr>
                  <w:tcW w:w="2549" w:type="dxa"/>
                  <w:gridSpan w:val="3"/>
                  <w:tcBorders>
                    <w:top w:val="single" w:sz="2" w:space="0" w:color="000000"/>
                    <w:left w:val="single" w:sz="2" w:space="0" w:color="000000"/>
                    <w:bottom w:val="single" w:sz="2" w:space="0" w:color="000000"/>
                    <w:right w:val="single" w:sz="2" w:space="0" w:color="000000"/>
                  </w:tcBorders>
                </w:tcPr>
                <w:p w14:paraId="496522DE" w14:textId="77777777" w:rsidR="00053D93" w:rsidRDefault="00260B75">
                  <w:pPr>
                    <w:ind w:left="108"/>
                  </w:pPr>
                  <w:r>
                    <w:rPr>
                      <w:sz w:val="16"/>
                    </w:rPr>
                    <w:t>Pupitres de Paleta: de Base Metal</w:t>
                  </w:r>
                </w:p>
              </w:tc>
              <w:tc>
                <w:tcPr>
                  <w:tcW w:w="991" w:type="dxa"/>
                  <w:tcBorders>
                    <w:top w:val="single" w:sz="2" w:space="0" w:color="000000"/>
                    <w:left w:val="single" w:sz="2" w:space="0" w:color="000000"/>
                    <w:bottom w:val="single" w:sz="2" w:space="0" w:color="000000"/>
                    <w:right w:val="single" w:sz="2" w:space="0" w:color="000000"/>
                  </w:tcBorders>
                </w:tcPr>
                <w:p w14:paraId="47F78C7E" w14:textId="77777777" w:rsidR="00053D93" w:rsidRDefault="00053D93"/>
              </w:tc>
            </w:tr>
            <w:tr w:rsidR="00053D93" w14:paraId="6DAFAF0E" w14:textId="77777777">
              <w:trPr>
                <w:trHeight w:val="615"/>
              </w:trPr>
              <w:tc>
                <w:tcPr>
                  <w:tcW w:w="0" w:type="auto"/>
                  <w:vMerge/>
                  <w:tcBorders>
                    <w:top w:val="nil"/>
                    <w:left w:val="single" w:sz="2" w:space="0" w:color="000000"/>
                    <w:bottom w:val="nil"/>
                    <w:right w:val="single" w:sz="2" w:space="0" w:color="000000"/>
                  </w:tcBorders>
                </w:tcPr>
                <w:p w14:paraId="64C9E0D3" w14:textId="77777777" w:rsidR="00053D93" w:rsidRDefault="00053D93"/>
              </w:tc>
              <w:tc>
                <w:tcPr>
                  <w:tcW w:w="0" w:type="auto"/>
                  <w:vMerge/>
                  <w:tcBorders>
                    <w:top w:val="nil"/>
                    <w:left w:val="single" w:sz="2" w:space="0" w:color="000000"/>
                    <w:bottom w:val="nil"/>
                    <w:right w:val="nil"/>
                  </w:tcBorders>
                </w:tcPr>
                <w:p w14:paraId="2FC2E42E" w14:textId="77777777" w:rsidR="00053D93" w:rsidRDefault="00053D93"/>
              </w:tc>
              <w:tc>
                <w:tcPr>
                  <w:tcW w:w="176" w:type="dxa"/>
                  <w:tcBorders>
                    <w:top w:val="nil"/>
                    <w:left w:val="single" w:sz="2" w:space="0" w:color="000000"/>
                    <w:bottom w:val="nil"/>
                    <w:right w:val="single" w:sz="2" w:space="0" w:color="000000"/>
                  </w:tcBorders>
                </w:tcPr>
                <w:p w14:paraId="62B89745" w14:textId="77777777" w:rsidR="00053D93" w:rsidRDefault="00053D93"/>
              </w:tc>
              <w:tc>
                <w:tcPr>
                  <w:tcW w:w="7586" w:type="dxa"/>
                  <w:gridSpan w:val="8"/>
                  <w:tcBorders>
                    <w:top w:val="single" w:sz="2" w:space="0" w:color="000000"/>
                    <w:left w:val="single" w:sz="2" w:space="0" w:color="000000"/>
                    <w:bottom w:val="nil"/>
                    <w:right w:val="nil"/>
                  </w:tcBorders>
                </w:tcPr>
                <w:p w14:paraId="5E9014BF" w14:textId="77777777" w:rsidR="00053D93" w:rsidRDefault="00260B75">
                  <w:pPr>
                    <w:ind w:left="2578"/>
                  </w:pPr>
                  <w:r>
                    <w:rPr>
                      <w:sz w:val="14"/>
                    </w:rPr>
                    <w:t>MINISTERIO DE EDUCACION</w:t>
                  </w:r>
                </w:p>
                <w:p w14:paraId="5878C5B1" w14:textId="77777777" w:rsidR="00053D93" w:rsidRDefault="00260B75">
                  <w:pPr>
                    <w:ind w:left="2081"/>
                  </w:pPr>
                  <w:r>
                    <w:rPr>
                      <w:sz w:val="14"/>
                    </w:rPr>
                    <w:t>AUDITORIA FINANCIERA Y DE CUMPL'MIENTO</w:t>
                  </w:r>
                </w:p>
                <w:p w14:paraId="2C44FD21" w14:textId="77777777" w:rsidR="00053D93" w:rsidRDefault="00260B75">
                  <w:pPr>
                    <w:ind w:left="1742"/>
                  </w:pPr>
                  <w:r>
                    <w:rPr>
                      <w:sz w:val="14"/>
                    </w:rPr>
                    <w:t>PERIODO DEL 01 DE ENERO AL 31 DE DICIEMBRE DE 2024</w:t>
                  </w:r>
                </w:p>
              </w:tc>
            </w:tr>
          </w:tbl>
          <w:p w14:paraId="07DBA4A6" w14:textId="77777777" w:rsidR="00053D93" w:rsidRDefault="00053D93"/>
        </w:tc>
      </w:tr>
    </w:tbl>
    <w:p w14:paraId="3CAC2400" w14:textId="77777777" w:rsidR="00053D93" w:rsidRDefault="00260B75">
      <w:pPr>
        <w:spacing w:after="88"/>
        <w:ind w:left="5825"/>
      </w:pPr>
      <w:r>
        <w:rPr>
          <w:rFonts w:ascii="Times New Roman" w:eastAsia="Times New Roman" w:hAnsi="Times New Roman" w:cs="Times New Roman"/>
          <w:sz w:val="16"/>
        </w:rPr>
        <w:t>1</w:t>
      </w:r>
      <w:r>
        <w:rPr>
          <w:noProof/>
        </w:rPr>
        <w:drawing>
          <wp:inline distT="0" distB="0" distL="0" distR="0" wp14:anchorId="7B1BBBC0" wp14:editId="71FEB121">
            <wp:extent cx="82296" cy="64008"/>
            <wp:effectExtent l="0" t="0" r="0" b="0"/>
            <wp:docPr id="779616" name="Picture 779616"/>
            <wp:cNvGraphicFramePr/>
            <a:graphic xmlns:a="http://schemas.openxmlformats.org/drawingml/2006/main">
              <a:graphicData uri="http://schemas.openxmlformats.org/drawingml/2006/picture">
                <pic:pic xmlns:pic="http://schemas.openxmlformats.org/drawingml/2006/picture">
                  <pic:nvPicPr>
                    <pic:cNvPr id="779616" name="Picture 779616"/>
                    <pic:cNvPicPr/>
                  </pic:nvPicPr>
                  <pic:blipFill>
                    <a:blip r:embed="rId1093"/>
                    <a:stretch>
                      <a:fillRect/>
                    </a:stretch>
                  </pic:blipFill>
                  <pic:spPr>
                    <a:xfrm>
                      <a:off x="0" y="0"/>
                      <a:ext cx="82296" cy="64008"/>
                    </a:xfrm>
                    <a:prstGeom prst="rect">
                      <a:avLst/>
                    </a:prstGeom>
                  </pic:spPr>
                </pic:pic>
              </a:graphicData>
            </a:graphic>
          </wp:inline>
        </w:drawing>
      </w:r>
    </w:p>
    <w:p w14:paraId="32EDDE41" w14:textId="77777777" w:rsidR="00053D93" w:rsidRDefault="00260B75">
      <w:pPr>
        <w:spacing w:after="47"/>
        <w:ind w:left="5306"/>
      </w:pPr>
      <w:r>
        <w:rPr>
          <w:noProof/>
        </w:rPr>
        <w:drawing>
          <wp:inline distT="0" distB="0" distL="0" distR="0" wp14:anchorId="52DE2CE8" wp14:editId="306DAC1B">
            <wp:extent cx="1083564" cy="22860"/>
            <wp:effectExtent l="0" t="0" r="0" b="0"/>
            <wp:docPr id="2458582" name="Picture 2458582"/>
            <wp:cNvGraphicFramePr/>
            <a:graphic xmlns:a="http://schemas.openxmlformats.org/drawingml/2006/main">
              <a:graphicData uri="http://schemas.openxmlformats.org/drawingml/2006/picture">
                <pic:pic xmlns:pic="http://schemas.openxmlformats.org/drawingml/2006/picture">
                  <pic:nvPicPr>
                    <pic:cNvPr id="2458582" name="Picture 2458582"/>
                    <pic:cNvPicPr/>
                  </pic:nvPicPr>
                  <pic:blipFill>
                    <a:blip r:embed="rId1094"/>
                    <a:stretch>
                      <a:fillRect/>
                    </a:stretch>
                  </pic:blipFill>
                  <pic:spPr>
                    <a:xfrm>
                      <a:off x="0" y="0"/>
                      <a:ext cx="1083564" cy="22860"/>
                    </a:xfrm>
                    <a:prstGeom prst="rect">
                      <a:avLst/>
                    </a:prstGeom>
                  </pic:spPr>
                </pic:pic>
              </a:graphicData>
            </a:graphic>
          </wp:inline>
        </w:drawing>
      </w:r>
    </w:p>
    <w:tbl>
      <w:tblPr>
        <w:tblStyle w:val="TableGrid"/>
        <w:tblW w:w="9389" w:type="dxa"/>
        <w:tblInd w:w="792" w:type="dxa"/>
        <w:tblLook w:val="04A0" w:firstRow="1" w:lastRow="0" w:firstColumn="1" w:lastColumn="0" w:noHBand="0" w:noVBand="1"/>
      </w:tblPr>
      <w:tblGrid>
        <w:gridCol w:w="839"/>
        <w:gridCol w:w="8615"/>
      </w:tblGrid>
      <w:tr w:rsidR="00053D93" w14:paraId="5D94C8C9" w14:textId="77777777">
        <w:trPr>
          <w:trHeight w:val="13900"/>
        </w:trPr>
        <w:tc>
          <w:tcPr>
            <w:tcW w:w="1025" w:type="dxa"/>
            <w:tcBorders>
              <w:top w:val="nil"/>
              <w:left w:val="nil"/>
              <w:bottom w:val="nil"/>
              <w:right w:val="nil"/>
            </w:tcBorders>
            <w:vAlign w:val="bottom"/>
          </w:tcPr>
          <w:p w14:paraId="6A743DAD" w14:textId="77777777" w:rsidR="00053D93" w:rsidRDefault="00260B75">
            <w:r>
              <w:rPr>
                <w:noProof/>
              </w:rPr>
              <w:drawing>
                <wp:inline distT="0" distB="0" distL="0" distR="0" wp14:anchorId="7A7049E4" wp14:editId="40CFB7F9">
                  <wp:extent cx="649224" cy="411480"/>
                  <wp:effectExtent l="0" t="0" r="0" b="0"/>
                  <wp:docPr id="779776" name="Picture 779776"/>
                  <wp:cNvGraphicFramePr/>
                  <a:graphic xmlns:a="http://schemas.openxmlformats.org/drawingml/2006/main">
                    <a:graphicData uri="http://schemas.openxmlformats.org/drawingml/2006/picture">
                      <pic:pic xmlns:pic="http://schemas.openxmlformats.org/drawingml/2006/picture">
                        <pic:nvPicPr>
                          <pic:cNvPr id="779776" name="Picture 779776"/>
                          <pic:cNvPicPr/>
                        </pic:nvPicPr>
                        <pic:blipFill>
                          <a:blip r:embed="rId1095"/>
                          <a:stretch>
                            <a:fillRect/>
                          </a:stretch>
                        </pic:blipFill>
                        <pic:spPr>
                          <a:xfrm>
                            <a:off x="0" y="0"/>
                            <a:ext cx="649224" cy="411480"/>
                          </a:xfrm>
                          <a:prstGeom prst="rect">
                            <a:avLst/>
                          </a:prstGeom>
                        </pic:spPr>
                      </pic:pic>
                    </a:graphicData>
                  </a:graphic>
                </wp:inline>
              </w:drawing>
            </w:r>
          </w:p>
        </w:tc>
        <w:tc>
          <w:tcPr>
            <w:tcW w:w="8364" w:type="dxa"/>
            <w:tcBorders>
              <w:top w:val="nil"/>
              <w:left w:val="nil"/>
              <w:bottom w:val="nil"/>
              <w:right w:val="nil"/>
            </w:tcBorders>
          </w:tcPr>
          <w:p w14:paraId="086EFC6E" w14:textId="77777777" w:rsidR="00053D93" w:rsidRDefault="00053D93">
            <w:pPr>
              <w:ind w:left="-2119" w:right="10483"/>
            </w:pPr>
          </w:p>
          <w:tbl>
            <w:tblPr>
              <w:tblStyle w:val="TableGrid"/>
              <w:tblW w:w="8362" w:type="dxa"/>
              <w:tblInd w:w="2" w:type="dxa"/>
              <w:tblCellMar>
                <w:left w:w="3" w:type="dxa"/>
              </w:tblCellMar>
              <w:tblLook w:val="04A0" w:firstRow="1" w:lastRow="0" w:firstColumn="1" w:lastColumn="0" w:noHBand="0" w:noVBand="1"/>
            </w:tblPr>
            <w:tblGrid>
              <w:gridCol w:w="322"/>
              <w:gridCol w:w="298"/>
              <w:gridCol w:w="183"/>
              <w:gridCol w:w="789"/>
              <w:gridCol w:w="876"/>
              <w:gridCol w:w="758"/>
              <w:gridCol w:w="1609"/>
              <w:gridCol w:w="2539"/>
              <w:gridCol w:w="988"/>
            </w:tblGrid>
            <w:tr w:rsidR="00053D93" w14:paraId="15BAB0B6" w14:textId="77777777">
              <w:trPr>
                <w:trHeight w:val="1101"/>
              </w:trPr>
              <w:tc>
                <w:tcPr>
                  <w:tcW w:w="299" w:type="dxa"/>
                  <w:tcBorders>
                    <w:top w:val="single" w:sz="2" w:space="0" w:color="000000"/>
                    <w:left w:val="single" w:sz="2" w:space="0" w:color="000000"/>
                    <w:bottom w:val="single" w:sz="2" w:space="0" w:color="000000"/>
                    <w:right w:val="single" w:sz="2" w:space="0" w:color="000000"/>
                  </w:tcBorders>
                </w:tcPr>
                <w:p w14:paraId="24D6AEA0" w14:textId="77777777" w:rsidR="00053D93" w:rsidRDefault="00053D93"/>
              </w:tc>
              <w:tc>
                <w:tcPr>
                  <w:tcW w:w="299" w:type="dxa"/>
                  <w:vMerge w:val="restart"/>
                  <w:tcBorders>
                    <w:top w:val="single" w:sz="2" w:space="0" w:color="000000"/>
                    <w:left w:val="single" w:sz="2" w:space="0" w:color="000000"/>
                    <w:bottom w:val="single" w:sz="2" w:space="0" w:color="000000"/>
                    <w:right w:val="nil"/>
                  </w:tcBorders>
                </w:tcPr>
                <w:p w14:paraId="5AF5FF79" w14:textId="77777777" w:rsidR="00053D93" w:rsidRDefault="00053D93"/>
              </w:tc>
              <w:tc>
                <w:tcPr>
                  <w:tcW w:w="975" w:type="dxa"/>
                  <w:gridSpan w:val="2"/>
                  <w:vMerge w:val="restart"/>
                  <w:tcBorders>
                    <w:top w:val="single" w:sz="2" w:space="0" w:color="000000"/>
                    <w:left w:val="nil"/>
                    <w:bottom w:val="single" w:sz="2" w:space="0" w:color="000000"/>
                    <w:right w:val="single" w:sz="2" w:space="0" w:color="000000"/>
                  </w:tcBorders>
                </w:tcPr>
                <w:p w14:paraId="2A56AC82"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5A24D21D" w14:textId="77777777" w:rsidR="00053D93" w:rsidRDefault="00053D93"/>
              </w:tc>
              <w:tc>
                <w:tcPr>
                  <w:tcW w:w="763" w:type="dxa"/>
                  <w:tcBorders>
                    <w:top w:val="single" w:sz="2" w:space="0" w:color="000000"/>
                    <w:left w:val="single" w:sz="2" w:space="0" w:color="000000"/>
                    <w:bottom w:val="single" w:sz="2" w:space="0" w:color="000000"/>
                    <w:right w:val="single" w:sz="2" w:space="0" w:color="000000"/>
                  </w:tcBorders>
                </w:tcPr>
                <w:p w14:paraId="519D8909"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239F0AB1" w14:textId="77777777" w:rsidR="00053D93" w:rsidRDefault="00260B75">
                  <w:pPr>
                    <w:ind w:left="115"/>
                  </w:pPr>
                  <w:r>
                    <w:rPr>
                      <w:sz w:val="16"/>
                    </w:rPr>
                    <w:t>0023DE37: 0023DE38</w:t>
                  </w:r>
                </w:p>
                <w:p w14:paraId="2769FBC6" w14:textId="77777777" w:rsidR="00053D93" w:rsidRDefault="00260B75">
                  <w:pPr>
                    <w:ind w:left="101"/>
                  </w:pPr>
                  <w:r>
                    <w:rPr>
                      <w:sz w:val="16"/>
                    </w:rPr>
                    <w:t>0023DE39: 0023DE3A</w:t>
                  </w:r>
                </w:p>
                <w:p w14:paraId="27EC9BBF" w14:textId="77777777" w:rsidR="00053D93" w:rsidRDefault="00260B75">
                  <w:pPr>
                    <w:ind w:left="101"/>
                  </w:pPr>
                  <w:r>
                    <w:rPr>
                      <w:sz w:val="16"/>
                    </w:rPr>
                    <w:t>0023DE3B; 0023DE3C</w:t>
                  </w:r>
                </w:p>
                <w:p w14:paraId="3B1FA66F" w14:textId="77777777" w:rsidR="00053D93" w:rsidRDefault="00260B75">
                  <w:pPr>
                    <w:ind w:left="108"/>
                  </w:pPr>
                  <w:r>
                    <w:rPr>
                      <w:sz w:val="16"/>
                    </w:rPr>
                    <w:t>0023DE3E; 0023DE3F</w:t>
                  </w:r>
                </w:p>
                <w:p w14:paraId="4840C511" w14:textId="77777777" w:rsidR="00053D93" w:rsidRDefault="00260B75">
                  <w:pPr>
                    <w:ind w:left="475" w:hanging="360"/>
                  </w:pPr>
                  <w:r>
                    <w:rPr>
                      <w:sz w:val="16"/>
                    </w:rPr>
                    <w:t>0023DE40; 0023DE41 C023DE42</w:t>
                  </w:r>
                </w:p>
              </w:tc>
              <w:tc>
                <w:tcPr>
                  <w:tcW w:w="2549" w:type="dxa"/>
                  <w:tcBorders>
                    <w:top w:val="single" w:sz="2" w:space="0" w:color="000000"/>
                    <w:left w:val="single" w:sz="2" w:space="0" w:color="000000"/>
                    <w:bottom w:val="single" w:sz="2" w:space="0" w:color="000000"/>
                    <w:right w:val="single" w:sz="2" w:space="0" w:color="000000"/>
                  </w:tcBorders>
                </w:tcPr>
                <w:p w14:paraId="77D507B9" w14:textId="77777777" w:rsidR="00053D93" w:rsidRDefault="00260B75">
                  <w:pPr>
                    <w:ind w:left="65" w:right="98"/>
                    <w:jc w:val="both"/>
                  </w:pPr>
                  <w:r>
                    <w:rPr>
                      <w:sz w:val="16"/>
                    </w:rPr>
                    <w:t>con Tubo de 718" Tablero. Asiento y Respaldo de Madera de 112" de Grosor. Con Valor de Q.177.OO cada Uno.</w:t>
                  </w:r>
                </w:p>
              </w:tc>
              <w:tc>
                <w:tcPr>
                  <w:tcW w:w="989" w:type="dxa"/>
                  <w:tcBorders>
                    <w:top w:val="single" w:sz="2" w:space="0" w:color="000000"/>
                    <w:left w:val="single" w:sz="2" w:space="0" w:color="000000"/>
                    <w:bottom w:val="single" w:sz="2" w:space="0" w:color="000000"/>
                    <w:right w:val="single" w:sz="2" w:space="0" w:color="000000"/>
                  </w:tcBorders>
                  <w:vAlign w:val="bottom"/>
                </w:tcPr>
                <w:p w14:paraId="42962949" w14:textId="77777777" w:rsidR="00053D93" w:rsidRDefault="00260B75">
                  <w:pPr>
                    <w:ind w:left="338"/>
                  </w:pPr>
                  <w:r>
                    <w:rPr>
                      <w:rFonts w:ascii="Times New Roman" w:eastAsia="Times New Roman" w:hAnsi="Times New Roman" w:cs="Times New Roman"/>
                      <w:sz w:val="16"/>
                    </w:rPr>
                    <w:t>2.655.00</w:t>
                  </w:r>
                </w:p>
              </w:tc>
            </w:tr>
            <w:tr w:rsidR="00053D93" w14:paraId="1EE8ADA1" w14:textId="77777777">
              <w:trPr>
                <w:trHeight w:val="592"/>
              </w:trPr>
              <w:tc>
                <w:tcPr>
                  <w:tcW w:w="299" w:type="dxa"/>
                  <w:tcBorders>
                    <w:top w:val="single" w:sz="2" w:space="0" w:color="000000"/>
                    <w:left w:val="single" w:sz="2" w:space="0" w:color="000000"/>
                    <w:bottom w:val="single" w:sz="2" w:space="0" w:color="000000"/>
                    <w:right w:val="single" w:sz="2" w:space="0" w:color="000000"/>
                  </w:tcBorders>
                </w:tcPr>
                <w:p w14:paraId="3619EBC4" w14:textId="77777777" w:rsidR="00053D93" w:rsidRDefault="00260B75">
                  <w:r>
                    <w:rPr>
                      <w:rFonts w:ascii="Times New Roman" w:eastAsia="Times New Roman" w:hAnsi="Times New Roman" w:cs="Times New Roman"/>
                      <w:sz w:val="16"/>
                    </w:rPr>
                    <w:t>52</w:t>
                  </w:r>
                </w:p>
              </w:tc>
              <w:tc>
                <w:tcPr>
                  <w:tcW w:w="0" w:type="auto"/>
                  <w:vMerge/>
                  <w:tcBorders>
                    <w:top w:val="nil"/>
                    <w:left w:val="single" w:sz="2" w:space="0" w:color="000000"/>
                    <w:bottom w:val="nil"/>
                    <w:right w:val="nil"/>
                  </w:tcBorders>
                </w:tcPr>
                <w:p w14:paraId="1B769A25" w14:textId="77777777" w:rsidR="00053D93" w:rsidRDefault="00053D93"/>
              </w:tc>
              <w:tc>
                <w:tcPr>
                  <w:tcW w:w="0" w:type="auto"/>
                  <w:gridSpan w:val="2"/>
                  <w:vMerge/>
                  <w:tcBorders>
                    <w:top w:val="nil"/>
                    <w:left w:val="nil"/>
                    <w:bottom w:val="nil"/>
                    <w:right w:val="single" w:sz="2" w:space="0" w:color="000000"/>
                  </w:tcBorders>
                </w:tcPr>
                <w:p w14:paraId="30042C0C"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2B1AA173" w14:textId="77777777" w:rsidR="00053D93" w:rsidRDefault="00260B75">
                  <w:pPr>
                    <w:ind w:left="69"/>
                  </w:pPr>
                  <w:r>
                    <w:rPr>
                      <w:rFonts w:ascii="Times New Roman" w:eastAsia="Times New Roman" w:hAnsi="Times New Roman" w:cs="Times New Roman"/>
                      <w:sz w:val="16"/>
                    </w:rPr>
                    <w:t>20/0612013</w:t>
                  </w:r>
                </w:p>
              </w:tc>
              <w:tc>
                <w:tcPr>
                  <w:tcW w:w="763" w:type="dxa"/>
                  <w:tcBorders>
                    <w:top w:val="single" w:sz="2" w:space="0" w:color="000000"/>
                    <w:left w:val="single" w:sz="2" w:space="0" w:color="000000"/>
                    <w:bottom w:val="single" w:sz="2" w:space="0" w:color="000000"/>
                    <w:right w:val="single" w:sz="2" w:space="0" w:color="000000"/>
                  </w:tcBorders>
                </w:tcPr>
                <w:p w14:paraId="37B0917E"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0BCA6B04" w14:textId="77777777" w:rsidR="00053D93" w:rsidRDefault="00260B75">
                  <w:pPr>
                    <w:ind w:right="33"/>
                    <w:jc w:val="center"/>
                  </w:pPr>
                  <w:r>
                    <w:rPr>
                      <w:rFonts w:ascii="Times New Roman" w:eastAsia="Times New Roman" w:hAnsi="Times New Roman" w:cs="Times New Roman"/>
                      <w:sz w:val="18"/>
                    </w:rPr>
                    <w:t>00290003</w:t>
                  </w:r>
                </w:p>
              </w:tc>
              <w:tc>
                <w:tcPr>
                  <w:tcW w:w="2549" w:type="dxa"/>
                  <w:tcBorders>
                    <w:top w:val="single" w:sz="2" w:space="0" w:color="000000"/>
                    <w:left w:val="single" w:sz="2" w:space="0" w:color="000000"/>
                    <w:bottom w:val="single" w:sz="2" w:space="0" w:color="000000"/>
                    <w:right w:val="single" w:sz="2" w:space="0" w:color="000000"/>
                  </w:tcBorders>
                </w:tcPr>
                <w:p w14:paraId="6F781C91" w14:textId="77777777" w:rsidR="00053D93" w:rsidRDefault="00260B75">
                  <w:pPr>
                    <w:ind w:left="65"/>
                  </w:pPr>
                  <w:r>
                    <w:rPr>
                      <w:sz w:val="16"/>
                    </w:rPr>
                    <w:t>Chapeadora Potencia 1.0 HP 0,8 KW</w:t>
                  </w:r>
                </w:p>
                <w:p w14:paraId="6DECD5A4" w14:textId="77777777" w:rsidR="00053D93" w:rsidRDefault="00260B75">
                  <w:pPr>
                    <w:ind w:left="72" w:hanging="7"/>
                    <w:jc w:val="both"/>
                  </w:pPr>
                  <w:r>
                    <w:rPr>
                      <w:sz w:val="16"/>
                    </w:rPr>
                    <w:t>Cilindrada 25.4CM Cúbicos Peso 4.5 KG Serie No. 9032235008</w:t>
                  </w:r>
                </w:p>
              </w:tc>
              <w:tc>
                <w:tcPr>
                  <w:tcW w:w="989" w:type="dxa"/>
                  <w:tcBorders>
                    <w:top w:val="single" w:sz="2" w:space="0" w:color="000000"/>
                    <w:left w:val="single" w:sz="2" w:space="0" w:color="000000"/>
                    <w:bottom w:val="single" w:sz="2" w:space="0" w:color="000000"/>
                    <w:right w:val="single" w:sz="2" w:space="0" w:color="000000"/>
                  </w:tcBorders>
                  <w:vAlign w:val="bottom"/>
                </w:tcPr>
                <w:p w14:paraId="31CCF53B" w14:textId="77777777" w:rsidR="00053D93" w:rsidRDefault="00260B75">
                  <w:pPr>
                    <w:ind w:left="346"/>
                  </w:pPr>
                  <w:r>
                    <w:rPr>
                      <w:rFonts w:ascii="Times New Roman" w:eastAsia="Times New Roman" w:hAnsi="Times New Roman" w:cs="Times New Roman"/>
                      <w:sz w:val="16"/>
                    </w:rPr>
                    <w:t>5.150.00</w:t>
                  </w:r>
                </w:p>
              </w:tc>
            </w:tr>
            <w:tr w:rsidR="00053D93" w14:paraId="506D4D2A" w14:textId="77777777">
              <w:trPr>
                <w:trHeight w:val="407"/>
              </w:trPr>
              <w:tc>
                <w:tcPr>
                  <w:tcW w:w="299" w:type="dxa"/>
                  <w:tcBorders>
                    <w:top w:val="single" w:sz="2" w:space="0" w:color="000000"/>
                    <w:left w:val="single" w:sz="2" w:space="0" w:color="000000"/>
                    <w:bottom w:val="single" w:sz="2" w:space="0" w:color="000000"/>
                    <w:right w:val="single" w:sz="2" w:space="0" w:color="000000"/>
                  </w:tcBorders>
                </w:tcPr>
                <w:p w14:paraId="5F59C11E" w14:textId="77777777" w:rsidR="00053D93" w:rsidRDefault="00260B75">
                  <w:r>
                    <w:rPr>
                      <w:rFonts w:ascii="Times New Roman" w:eastAsia="Times New Roman" w:hAnsi="Times New Roman" w:cs="Times New Roman"/>
                      <w:sz w:val="18"/>
                    </w:rPr>
                    <w:t>53</w:t>
                  </w:r>
                </w:p>
              </w:tc>
              <w:tc>
                <w:tcPr>
                  <w:tcW w:w="0" w:type="auto"/>
                  <w:vMerge/>
                  <w:tcBorders>
                    <w:top w:val="nil"/>
                    <w:left w:val="single" w:sz="2" w:space="0" w:color="000000"/>
                    <w:bottom w:val="nil"/>
                    <w:right w:val="nil"/>
                  </w:tcBorders>
                </w:tcPr>
                <w:p w14:paraId="11528E9E" w14:textId="77777777" w:rsidR="00053D93" w:rsidRDefault="00053D93"/>
              </w:tc>
              <w:tc>
                <w:tcPr>
                  <w:tcW w:w="0" w:type="auto"/>
                  <w:gridSpan w:val="2"/>
                  <w:vMerge/>
                  <w:tcBorders>
                    <w:top w:val="nil"/>
                    <w:left w:val="nil"/>
                    <w:bottom w:val="nil"/>
                    <w:right w:val="single" w:sz="2" w:space="0" w:color="000000"/>
                  </w:tcBorders>
                </w:tcPr>
                <w:p w14:paraId="2735FA66"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5CD3DAF8" w14:textId="77777777" w:rsidR="00053D93" w:rsidRDefault="00260B75">
                  <w:pPr>
                    <w:ind w:left="69"/>
                  </w:pPr>
                  <w:r>
                    <w:rPr>
                      <w:rFonts w:ascii="Times New Roman" w:eastAsia="Times New Roman" w:hAnsi="Times New Roman" w:cs="Times New Roman"/>
                      <w:sz w:val="16"/>
                    </w:rPr>
                    <w:t>26/06/2013</w:t>
                  </w:r>
                </w:p>
              </w:tc>
              <w:tc>
                <w:tcPr>
                  <w:tcW w:w="763" w:type="dxa"/>
                  <w:tcBorders>
                    <w:top w:val="single" w:sz="2" w:space="0" w:color="000000"/>
                    <w:left w:val="single" w:sz="2" w:space="0" w:color="000000"/>
                    <w:bottom w:val="single" w:sz="2" w:space="0" w:color="000000"/>
                    <w:right w:val="single" w:sz="2" w:space="0" w:color="000000"/>
                  </w:tcBorders>
                </w:tcPr>
                <w:p w14:paraId="4684339C"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58BCC781" w14:textId="77777777" w:rsidR="00053D93" w:rsidRDefault="00260B75">
                  <w:pPr>
                    <w:ind w:right="48"/>
                    <w:jc w:val="center"/>
                  </w:pPr>
                  <w:r>
                    <w:rPr>
                      <w:rFonts w:ascii="Times New Roman" w:eastAsia="Times New Roman" w:hAnsi="Times New Roman" w:cs="Times New Roman"/>
                      <w:sz w:val="14"/>
                    </w:rPr>
                    <w:t>00158DC1</w:t>
                  </w:r>
                </w:p>
              </w:tc>
              <w:tc>
                <w:tcPr>
                  <w:tcW w:w="2549" w:type="dxa"/>
                  <w:tcBorders>
                    <w:top w:val="single" w:sz="2" w:space="0" w:color="000000"/>
                    <w:left w:val="single" w:sz="2" w:space="0" w:color="000000"/>
                    <w:bottom w:val="single" w:sz="2" w:space="0" w:color="000000"/>
                    <w:right w:val="single" w:sz="2" w:space="0" w:color="000000"/>
                  </w:tcBorders>
                </w:tcPr>
                <w:p w14:paraId="5D3E85EA" w14:textId="77777777" w:rsidR="00053D93" w:rsidRDefault="00260B75">
                  <w:pPr>
                    <w:ind w:left="72"/>
                  </w:pPr>
                  <w:r>
                    <w:rPr>
                      <w:sz w:val="16"/>
                    </w:rPr>
                    <w:t>Duplicadora Digital Marca Riso</w:t>
                  </w:r>
                </w:p>
                <w:p w14:paraId="42A44AFC" w14:textId="77777777" w:rsidR="00053D93" w:rsidRDefault="00260B75">
                  <w:pPr>
                    <w:ind w:left="65"/>
                  </w:pPr>
                  <w:r>
                    <w:rPr>
                      <w:sz w:val="16"/>
                    </w:rPr>
                    <w:t>Modelo EZ220U serie No. 79704085</w:t>
                  </w:r>
                </w:p>
              </w:tc>
              <w:tc>
                <w:tcPr>
                  <w:tcW w:w="989" w:type="dxa"/>
                  <w:tcBorders>
                    <w:top w:val="single" w:sz="2" w:space="0" w:color="000000"/>
                    <w:left w:val="single" w:sz="2" w:space="0" w:color="000000"/>
                    <w:bottom w:val="single" w:sz="2" w:space="0" w:color="000000"/>
                    <w:right w:val="single" w:sz="2" w:space="0" w:color="000000"/>
                  </w:tcBorders>
                  <w:vAlign w:val="bottom"/>
                </w:tcPr>
                <w:p w14:paraId="33DD6B62" w14:textId="77777777" w:rsidR="00053D93" w:rsidRDefault="00260B75">
                  <w:pPr>
                    <w:ind w:left="259"/>
                  </w:pPr>
                  <w:r>
                    <w:rPr>
                      <w:rFonts w:ascii="Times New Roman" w:eastAsia="Times New Roman" w:hAnsi="Times New Roman" w:cs="Times New Roman"/>
                      <w:sz w:val="16"/>
                    </w:rPr>
                    <w:t>29.995.00</w:t>
                  </w:r>
                </w:p>
              </w:tc>
            </w:tr>
            <w:tr w:rsidR="00053D93" w14:paraId="6BA6B6F3" w14:textId="77777777">
              <w:trPr>
                <w:trHeight w:val="1629"/>
              </w:trPr>
              <w:tc>
                <w:tcPr>
                  <w:tcW w:w="299" w:type="dxa"/>
                  <w:tcBorders>
                    <w:top w:val="single" w:sz="2" w:space="0" w:color="000000"/>
                    <w:left w:val="single" w:sz="2" w:space="0" w:color="000000"/>
                    <w:bottom w:val="single" w:sz="2" w:space="0" w:color="000000"/>
                    <w:right w:val="single" w:sz="2" w:space="0" w:color="000000"/>
                  </w:tcBorders>
                </w:tcPr>
                <w:p w14:paraId="0C3637CD" w14:textId="77777777" w:rsidR="00053D93" w:rsidRDefault="00260B75">
                  <w:pPr>
                    <w:ind w:left="7"/>
                  </w:pPr>
                  <w:r>
                    <w:rPr>
                      <w:rFonts w:ascii="Times New Roman" w:eastAsia="Times New Roman" w:hAnsi="Times New Roman" w:cs="Times New Roman"/>
                      <w:sz w:val="16"/>
                    </w:rPr>
                    <w:t>54</w:t>
                  </w:r>
                </w:p>
              </w:tc>
              <w:tc>
                <w:tcPr>
                  <w:tcW w:w="0" w:type="auto"/>
                  <w:vMerge/>
                  <w:tcBorders>
                    <w:top w:val="nil"/>
                    <w:left w:val="single" w:sz="2" w:space="0" w:color="000000"/>
                    <w:bottom w:val="nil"/>
                    <w:right w:val="nil"/>
                  </w:tcBorders>
                </w:tcPr>
                <w:p w14:paraId="17076A66" w14:textId="77777777" w:rsidR="00053D93" w:rsidRDefault="00053D93"/>
              </w:tc>
              <w:tc>
                <w:tcPr>
                  <w:tcW w:w="0" w:type="auto"/>
                  <w:gridSpan w:val="2"/>
                  <w:vMerge/>
                  <w:tcBorders>
                    <w:top w:val="nil"/>
                    <w:left w:val="nil"/>
                    <w:bottom w:val="nil"/>
                    <w:right w:val="single" w:sz="2" w:space="0" w:color="000000"/>
                  </w:tcBorders>
                </w:tcPr>
                <w:p w14:paraId="12898401"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4099CFA3" w14:textId="77777777" w:rsidR="00053D93" w:rsidRDefault="00260B75">
                  <w:pPr>
                    <w:ind w:left="84"/>
                  </w:pPr>
                  <w:r>
                    <w:rPr>
                      <w:rFonts w:ascii="Times New Roman" w:eastAsia="Times New Roman" w:hAnsi="Times New Roman" w:cs="Times New Roman"/>
                      <w:sz w:val="16"/>
                    </w:rPr>
                    <w:t>18/07/2013</w:t>
                  </w:r>
                </w:p>
              </w:tc>
              <w:tc>
                <w:tcPr>
                  <w:tcW w:w="763" w:type="dxa"/>
                  <w:tcBorders>
                    <w:top w:val="single" w:sz="2" w:space="0" w:color="000000"/>
                    <w:left w:val="single" w:sz="2" w:space="0" w:color="000000"/>
                    <w:bottom w:val="single" w:sz="2" w:space="0" w:color="000000"/>
                    <w:right w:val="single" w:sz="2" w:space="0" w:color="000000"/>
                  </w:tcBorders>
                </w:tcPr>
                <w:p w14:paraId="67BF7FAC" w14:textId="77777777" w:rsidR="00053D93" w:rsidRDefault="00260B75">
                  <w:pPr>
                    <w:ind w:right="19"/>
                    <w:jc w:val="center"/>
                  </w:pPr>
                  <w:r>
                    <w:rPr>
                      <w:rFonts w:ascii="Times New Roman" w:eastAsia="Times New Roman" w:hAnsi="Times New Roman" w:cs="Times New Roman"/>
                      <w:sz w:val="16"/>
                    </w:rPr>
                    <w:t>18</w:t>
                  </w:r>
                </w:p>
              </w:tc>
              <w:tc>
                <w:tcPr>
                  <w:tcW w:w="1613" w:type="dxa"/>
                  <w:tcBorders>
                    <w:top w:val="single" w:sz="2" w:space="0" w:color="000000"/>
                    <w:left w:val="single" w:sz="2" w:space="0" w:color="000000"/>
                    <w:bottom w:val="single" w:sz="2" w:space="0" w:color="000000"/>
                    <w:right w:val="single" w:sz="2" w:space="0" w:color="000000"/>
                  </w:tcBorders>
                </w:tcPr>
                <w:p w14:paraId="3891D30F" w14:textId="77777777" w:rsidR="00053D93" w:rsidRDefault="00260B75">
                  <w:pPr>
                    <w:ind w:left="144"/>
                  </w:pPr>
                  <w:r>
                    <w:rPr>
                      <w:sz w:val="14"/>
                    </w:rPr>
                    <w:t>00294AFO; 00294AF1</w:t>
                  </w:r>
                </w:p>
                <w:p w14:paraId="4D5ABDAA" w14:textId="77777777" w:rsidR="00053D93" w:rsidRDefault="00260B75">
                  <w:pPr>
                    <w:ind w:left="137"/>
                  </w:pPr>
                  <w:r>
                    <w:rPr>
                      <w:sz w:val="16"/>
                    </w:rPr>
                    <w:t>00294AF2; 00294AF3</w:t>
                  </w:r>
                </w:p>
                <w:p w14:paraId="2D2B0D15" w14:textId="77777777" w:rsidR="00053D93" w:rsidRDefault="00260B75">
                  <w:pPr>
                    <w:ind w:left="137"/>
                  </w:pPr>
                  <w:r>
                    <w:rPr>
                      <w:sz w:val="16"/>
                    </w:rPr>
                    <w:t>00294AF4; 00294AF6</w:t>
                  </w:r>
                </w:p>
                <w:p w14:paraId="67A1AECD" w14:textId="77777777" w:rsidR="00053D93" w:rsidRDefault="00260B75">
                  <w:pPr>
                    <w:ind w:left="137"/>
                  </w:pPr>
                  <w:r>
                    <w:rPr>
                      <w:sz w:val="16"/>
                    </w:rPr>
                    <w:t>00294AF7: 00294AF8</w:t>
                  </w:r>
                </w:p>
                <w:p w14:paraId="40BBD5F3" w14:textId="77777777" w:rsidR="00053D93" w:rsidRDefault="00260B75">
                  <w:pPr>
                    <w:ind w:left="137"/>
                  </w:pPr>
                  <w:r>
                    <w:rPr>
                      <w:sz w:val="16"/>
                    </w:rPr>
                    <w:t>00294AF9; 00294AFA</w:t>
                  </w:r>
                </w:p>
                <w:p w14:paraId="010B9F34" w14:textId="77777777" w:rsidR="00053D93" w:rsidRDefault="00260B75">
                  <w:pPr>
                    <w:ind w:left="122"/>
                  </w:pPr>
                  <w:r>
                    <w:rPr>
                      <w:sz w:val="16"/>
                    </w:rPr>
                    <w:t>00294AFB; 00294AFC</w:t>
                  </w:r>
                </w:p>
                <w:p w14:paraId="35E72BCA" w14:textId="77777777" w:rsidR="00053D93" w:rsidRDefault="00260B75">
                  <w:pPr>
                    <w:ind w:left="122"/>
                  </w:pPr>
                  <w:r>
                    <w:rPr>
                      <w:sz w:val="16"/>
                    </w:rPr>
                    <w:t>00294AFD; 00294AFF</w:t>
                  </w:r>
                </w:p>
                <w:p w14:paraId="0087AA12" w14:textId="77777777" w:rsidR="00053D93" w:rsidRDefault="00260B75">
                  <w:pPr>
                    <w:ind w:left="151"/>
                  </w:pPr>
                  <w:r>
                    <w:rPr>
                      <w:rFonts w:ascii="Times New Roman" w:eastAsia="Times New Roman" w:hAnsi="Times New Roman" w:cs="Times New Roman"/>
                      <w:sz w:val="16"/>
                    </w:rPr>
                    <w:t>00294800; 00294801</w:t>
                  </w:r>
                </w:p>
                <w:p w14:paraId="6F9430A1" w14:textId="77777777" w:rsidR="00053D93" w:rsidRDefault="00260B75">
                  <w:pPr>
                    <w:ind w:left="144"/>
                  </w:pPr>
                  <w:r>
                    <w:rPr>
                      <w:rFonts w:ascii="Times New Roman" w:eastAsia="Times New Roman" w:hAnsi="Times New Roman" w:cs="Times New Roman"/>
                      <w:sz w:val="16"/>
                    </w:rPr>
                    <w:t>00294802; 00294803</w:t>
                  </w:r>
                </w:p>
              </w:tc>
              <w:tc>
                <w:tcPr>
                  <w:tcW w:w="2549" w:type="dxa"/>
                  <w:tcBorders>
                    <w:top w:val="single" w:sz="2" w:space="0" w:color="000000"/>
                    <w:left w:val="single" w:sz="2" w:space="0" w:color="000000"/>
                    <w:bottom w:val="single" w:sz="2" w:space="0" w:color="000000"/>
                    <w:right w:val="single" w:sz="2" w:space="0" w:color="000000"/>
                  </w:tcBorders>
                </w:tcPr>
                <w:p w14:paraId="231A8441" w14:textId="77777777" w:rsidR="00053D93" w:rsidRDefault="00260B75">
                  <w:pPr>
                    <w:ind w:left="79"/>
                  </w:pPr>
                  <w:r>
                    <w:rPr>
                      <w:sz w:val="16"/>
                    </w:rPr>
                    <w:t>Escritorio Back To School</w:t>
                  </w:r>
                </w:p>
              </w:tc>
              <w:tc>
                <w:tcPr>
                  <w:tcW w:w="989" w:type="dxa"/>
                  <w:tcBorders>
                    <w:top w:val="single" w:sz="2" w:space="0" w:color="000000"/>
                    <w:left w:val="single" w:sz="2" w:space="0" w:color="000000"/>
                    <w:bottom w:val="single" w:sz="2" w:space="0" w:color="000000"/>
                    <w:right w:val="single" w:sz="2" w:space="0" w:color="000000"/>
                  </w:tcBorders>
                  <w:vAlign w:val="bottom"/>
                </w:tcPr>
                <w:p w14:paraId="4B50890E" w14:textId="77777777" w:rsidR="00053D93" w:rsidRDefault="00260B75">
                  <w:pPr>
                    <w:ind w:left="346"/>
                  </w:pPr>
                  <w:r>
                    <w:rPr>
                      <w:rFonts w:ascii="Times New Roman" w:eastAsia="Times New Roman" w:hAnsi="Times New Roman" w:cs="Times New Roman"/>
                      <w:sz w:val="16"/>
                    </w:rPr>
                    <w:t>3.582.00</w:t>
                  </w:r>
                </w:p>
              </w:tc>
            </w:tr>
            <w:tr w:rsidR="00053D93" w14:paraId="4DA4E64C" w14:textId="77777777">
              <w:trPr>
                <w:trHeight w:val="405"/>
              </w:trPr>
              <w:tc>
                <w:tcPr>
                  <w:tcW w:w="299" w:type="dxa"/>
                  <w:tcBorders>
                    <w:top w:val="single" w:sz="2" w:space="0" w:color="000000"/>
                    <w:left w:val="single" w:sz="2" w:space="0" w:color="000000"/>
                    <w:bottom w:val="single" w:sz="2" w:space="0" w:color="000000"/>
                    <w:right w:val="single" w:sz="2" w:space="0" w:color="000000"/>
                  </w:tcBorders>
                </w:tcPr>
                <w:p w14:paraId="75C57273" w14:textId="77777777" w:rsidR="00053D93" w:rsidRDefault="00260B75">
                  <w:pPr>
                    <w:ind w:left="7"/>
                  </w:pPr>
                  <w:r>
                    <w:rPr>
                      <w:rFonts w:ascii="Times New Roman" w:eastAsia="Times New Roman" w:hAnsi="Times New Roman" w:cs="Times New Roman"/>
                      <w:sz w:val="18"/>
                    </w:rPr>
                    <w:t>55</w:t>
                  </w:r>
                </w:p>
              </w:tc>
              <w:tc>
                <w:tcPr>
                  <w:tcW w:w="0" w:type="auto"/>
                  <w:vMerge/>
                  <w:tcBorders>
                    <w:top w:val="nil"/>
                    <w:left w:val="single" w:sz="2" w:space="0" w:color="000000"/>
                    <w:bottom w:val="nil"/>
                    <w:right w:val="nil"/>
                  </w:tcBorders>
                </w:tcPr>
                <w:p w14:paraId="32C48E74" w14:textId="77777777" w:rsidR="00053D93" w:rsidRDefault="00053D93"/>
              </w:tc>
              <w:tc>
                <w:tcPr>
                  <w:tcW w:w="0" w:type="auto"/>
                  <w:gridSpan w:val="2"/>
                  <w:vMerge/>
                  <w:tcBorders>
                    <w:top w:val="nil"/>
                    <w:left w:val="nil"/>
                    <w:bottom w:val="nil"/>
                    <w:right w:val="single" w:sz="2" w:space="0" w:color="000000"/>
                  </w:tcBorders>
                </w:tcPr>
                <w:p w14:paraId="3999C88A"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5BAF2C26" w14:textId="77777777" w:rsidR="00053D93" w:rsidRDefault="00260B75">
                  <w:pPr>
                    <w:ind w:left="84"/>
                  </w:pPr>
                  <w:r>
                    <w:rPr>
                      <w:rFonts w:ascii="Times New Roman" w:eastAsia="Times New Roman" w:hAnsi="Times New Roman" w:cs="Times New Roman"/>
                      <w:sz w:val="16"/>
                    </w:rPr>
                    <w:t>12/11/2013</w:t>
                  </w:r>
                </w:p>
              </w:tc>
              <w:tc>
                <w:tcPr>
                  <w:tcW w:w="763" w:type="dxa"/>
                  <w:tcBorders>
                    <w:top w:val="single" w:sz="2" w:space="0" w:color="000000"/>
                    <w:left w:val="single" w:sz="2" w:space="0" w:color="000000"/>
                    <w:bottom w:val="single" w:sz="2" w:space="0" w:color="000000"/>
                    <w:right w:val="single" w:sz="2" w:space="0" w:color="000000"/>
                  </w:tcBorders>
                </w:tcPr>
                <w:p w14:paraId="6A3D9BB9"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588BF3F4" w14:textId="77777777" w:rsidR="00053D93" w:rsidRDefault="00260B75">
                  <w:pPr>
                    <w:ind w:right="19"/>
                    <w:jc w:val="center"/>
                  </w:pPr>
                  <w:r>
                    <w:rPr>
                      <w:sz w:val="16"/>
                    </w:rPr>
                    <w:t>001078C7</w:t>
                  </w:r>
                </w:p>
              </w:tc>
              <w:tc>
                <w:tcPr>
                  <w:tcW w:w="2549" w:type="dxa"/>
                  <w:tcBorders>
                    <w:top w:val="single" w:sz="2" w:space="0" w:color="000000"/>
                    <w:left w:val="single" w:sz="2" w:space="0" w:color="000000"/>
                    <w:bottom w:val="single" w:sz="2" w:space="0" w:color="000000"/>
                    <w:right w:val="single" w:sz="2" w:space="0" w:color="000000"/>
                  </w:tcBorders>
                </w:tcPr>
                <w:p w14:paraId="0C1AB920" w14:textId="77777777" w:rsidR="00053D93" w:rsidRDefault="00260B75">
                  <w:pPr>
                    <w:ind w:left="79" w:hanging="7"/>
                    <w:jc w:val="both"/>
                  </w:pPr>
                  <w:r>
                    <w:rPr>
                      <w:sz w:val="16"/>
                    </w:rPr>
                    <w:t>Motosierra Pequeña de gasolina Marca Truper Serie No. 07000953</w:t>
                  </w:r>
                </w:p>
              </w:tc>
              <w:tc>
                <w:tcPr>
                  <w:tcW w:w="989" w:type="dxa"/>
                  <w:tcBorders>
                    <w:top w:val="single" w:sz="2" w:space="0" w:color="000000"/>
                    <w:left w:val="single" w:sz="2" w:space="0" w:color="000000"/>
                    <w:bottom w:val="single" w:sz="2" w:space="0" w:color="000000"/>
                    <w:right w:val="single" w:sz="2" w:space="0" w:color="000000"/>
                  </w:tcBorders>
                  <w:vAlign w:val="bottom"/>
                </w:tcPr>
                <w:p w14:paraId="783CC029" w14:textId="77777777" w:rsidR="00053D93" w:rsidRDefault="00260B75">
                  <w:pPr>
                    <w:ind w:left="353"/>
                  </w:pPr>
                  <w:r>
                    <w:rPr>
                      <w:rFonts w:ascii="Times New Roman" w:eastAsia="Times New Roman" w:hAnsi="Times New Roman" w:cs="Times New Roman"/>
                      <w:sz w:val="16"/>
                    </w:rPr>
                    <w:t>3.250.00</w:t>
                  </w:r>
                </w:p>
              </w:tc>
            </w:tr>
            <w:tr w:rsidR="00053D93" w14:paraId="6AAF57C8" w14:textId="77777777">
              <w:trPr>
                <w:trHeight w:val="972"/>
              </w:trPr>
              <w:tc>
                <w:tcPr>
                  <w:tcW w:w="299" w:type="dxa"/>
                  <w:tcBorders>
                    <w:top w:val="single" w:sz="2" w:space="0" w:color="000000"/>
                    <w:left w:val="single" w:sz="2" w:space="0" w:color="000000"/>
                    <w:bottom w:val="single" w:sz="2" w:space="0" w:color="000000"/>
                    <w:right w:val="single" w:sz="2" w:space="0" w:color="000000"/>
                  </w:tcBorders>
                </w:tcPr>
                <w:p w14:paraId="4A23BFC2" w14:textId="77777777" w:rsidR="00053D93" w:rsidRDefault="00260B75">
                  <w:pPr>
                    <w:ind w:left="14"/>
                  </w:pPr>
                  <w:r>
                    <w:rPr>
                      <w:rFonts w:ascii="Times New Roman" w:eastAsia="Times New Roman" w:hAnsi="Times New Roman" w:cs="Times New Roman"/>
                      <w:sz w:val="16"/>
                    </w:rPr>
                    <w:t>56</w:t>
                  </w:r>
                </w:p>
              </w:tc>
              <w:tc>
                <w:tcPr>
                  <w:tcW w:w="0" w:type="auto"/>
                  <w:vMerge/>
                  <w:tcBorders>
                    <w:top w:val="nil"/>
                    <w:left w:val="single" w:sz="2" w:space="0" w:color="000000"/>
                    <w:bottom w:val="nil"/>
                    <w:right w:val="nil"/>
                  </w:tcBorders>
                </w:tcPr>
                <w:p w14:paraId="5880609F" w14:textId="77777777" w:rsidR="00053D93" w:rsidRDefault="00053D93"/>
              </w:tc>
              <w:tc>
                <w:tcPr>
                  <w:tcW w:w="0" w:type="auto"/>
                  <w:gridSpan w:val="2"/>
                  <w:vMerge/>
                  <w:tcBorders>
                    <w:top w:val="nil"/>
                    <w:left w:val="nil"/>
                    <w:bottom w:val="nil"/>
                    <w:right w:val="single" w:sz="2" w:space="0" w:color="000000"/>
                  </w:tcBorders>
                </w:tcPr>
                <w:p w14:paraId="5007AA39"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511A2D37" w14:textId="77777777" w:rsidR="00053D93" w:rsidRDefault="00260B75">
                  <w:pPr>
                    <w:ind w:left="84"/>
                  </w:pPr>
                  <w:r>
                    <w:rPr>
                      <w:rFonts w:ascii="Times New Roman" w:eastAsia="Times New Roman" w:hAnsi="Times New Roman" w:cs="Times New Roman"/>
                      <w:sz w:val="16"/>
                    </w:rPr>
                    <w:t>05/02/2014</w:t>
                  </w:r>
                </w:p>
              </w:tc>
              <w:tc>
                <w:tcPr>
                  <w:tcW w:w="763" w:type="dxa"/>
                  <w:tcBorders>
                    <w:top w:val="single" w:sz="2" w:space="0" w:color="000000"/>
                    <w:left w:val="single" w:sz="2" w:space="0" w:color="000000"/>
                    <w:bottom w:val="single" w:sz="2" w:space="0" w:color="000000"/>
                    <w:right w:val="single" w:sz="2" w:space="0" w:color="000000"/>
                  </w:tcBorders>
                </w:tcPr>
                <w:p w14:paraId="74456F05"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26C0FD11" w14:textId="77777777" w:rsidR="00053D93" w:rsidRDefault="00260B75">
                  <w:pPr>
                    <w:ind w:right="12"/>
                    <w:jc w:val="center"/>
                  </w:pPr>
                  <w:r>
                    <w:rPr>
                      <w:rFonts w:ascii="Times New Roman" w:eastAsia="Times New Roman" w:hAnsi="Times New Roman" w:cs="Times New Roman"/>
                      <w:sz w:val="14"/>
                    </w:rPr>
                    <w:t>0010BC98</w:t>
                  </w:r>
                </w:p>
              </w:tc>
              <w:tc>
                <w:tcPr>
                  <w:tcW w:w="2549" w:type="dxa"/>
                  <w:tcBorders>
                    <w:top w:val="single" w:sz="2" w:space="0" w:color="000000"/>
                    <w:left w:val="single" w:sz="2" w:space="0" w:color="000000"/>
                    <w:bottom w:val="single" w:sz="2" w:space="0" w:color="000000"/>
                    <w:right w:val="single" w:sz="2" w:space="0" w:color="000000"/>
                  </w:tcBorders>
                </w:tcPr>
                <w:p w14:paraId="54B93E88" w14:textId="77777777" w:rsidR="00053D93" w:rsidRDefault="00260B75">
                  <w:pPr>
                    <w:ind w:left="79"/>
                  </w:pPr>
                  <w:r>
                    <w:rPr>
                      <w:sz w:val="16"/>
                    </w:rPr>
                    <w:t>Cámara HP Photosmart M447</w:t>
                  </w:r>
                </w:p>
                <w:p w14:paraId="61A0BA93" w14:textId="77777777" w:rsidR="00053D93" w:rsidRDefault="00260B75">
                  <w:pPr>
                    <w:spacing w:after="12" w:line="227" w:lineRule="auto"/>
                    <w:ind w:left="72" w:right="84"/>
                    <w:jc w:val="both"/>
                  </w:pPr>
                  <w:r>
                    <w:rPr>
                      <w:sz w:val="16"/>
                    </w:rPr>
                    <w:t>resolución SMP de alta calidad con zoom óptico de 3x y Digital de 5x Pantalta de 2.4 pulgadas Serie No.</w:t>
                  </w:r>
                </w:p>
                <w:p w14:paraId="6E228B11" w14:textId="77777777" w:rsidR="00053D93" w:rsidRDefault="00260B75">
                  <w:pPr>
                    <w:ind w:left="72"/>
                  </w:pPr>
                  <w:r>
                    <w:rPr>
                      <w:sz w:val="18"/>
                    </w:rPr>
                    <w:t>SCN79SA31Y4</w:t>
                  </w:r>
                </w:p>
              </w:tc>
              <w:tc>
                <w:tcPr>
                  <w:tcW w:w="989" w:type="dxa"/>
                  <w:tcBorders>
                    <w:top w:val="single" w:sz="2" w:space="0" w:color="000000"/>
                    <w:left w:val="single" w:sz="2" w:space="0" w:color="000000"/>
                    <w:bottom w:val="single" w:sz="2" w:space="0" w:color="000000"/>
                    <w:right w:val="single" w:sz="2" w:space="0" w:color="000000"/>
                  </w:tcBorders>
                  <w:vAlign w:val="bottom"/>
                </w:tcPr>
                <w:p w14:paraId="3E3DFA12" w14:textId="77777777" w:rsidR="00053D93" w:rsidRDefault="00260B75">
                  <w:pPr>
                    <w:ind w:left="353"/>
                  </w:pPr>
                  <w:r>
                    <w:rPr>
                      <w:rFonts w:ascii="Times New Roman" w:eastAsia="Times New Roman" w:hAnsi="Times New Roman" w:cs="Times New Roman"/>
                      <w:sz w:val="16"/>
                    </w:rPr>
                    <w:t>3.250.00</w:t>
                  </w:r>
                </w:p>
              </w:tc>
            </w:tr>
            <w:tr w:rsidR="00053D93" w14:paraId="5236A674" w14:textId="77777777">
              <w:trPr>
                <w:trHeight w:val="970"/>
              </w:trPr>
              <w:tc>
                <w:tcPr>
                  <w:tcW w:w="299" w:type="dxa"/>
                  <w:tcBorders>
                    <w:top w:val="single" w:sz="2" w:space="0" w:color="000000"/>
                    <w:left w:val="single" w:sz="2" w:space="0" w:color="000000"/>
                    <w:bottom w:val="single" w:sz="2" w:space="0" w:color="000000"/>
                    <w:right w:val="single" w:sz="2" w:space="0" w:color="000000"/>
                  </w:tcBorders>
                </w:tcPr>
                <w:p w14:paraId="63C78C4A" w14:textId="77777777" w:rsidR="00053D93" w:rsidRDefault="00260B75">
                  <w:pPr>
                    <w:ind w:left="22"/>
                  </w:pPr>
                  <w:r>
                    <w:rPr>
                      <w:rFonts w:ascii="Times New Roman" w:eastAsia="Times New Roman" w:hAnsi="Times New Roman" w:cs="Times New Roman"/>
                      <w:sz w:val="16"/>
                    </w:rPr>
                    <w:t>57</w:t>
                  </w:r>
                </w:p>
              </w:tc>
              <w:tc>
                <w:tcPr>
                  <w:tcW w:w="0" w:type="auto"/>
                  <w:vMerge/>
                  <w:tcBorders>
                    <w:top w:val="nil"/>
                    <w:left w:val="single" w:sz="2" w:space="0" w:color="000000"/>
                    <w:bottom w:val="nil"/>
                    <w:right w:val="nil"/>
                  </w:tcBorders>
                </w:tcPr>
                <w:p w14:paraId="795DDDA7" w14:textId="77777777" w:rsidR="00053D93" w:rsidRDefault="00053D93"/>
              </w:tc>
              <w:tc>
                <w:tcPr>
                  <w:tcW w:w="0" w:type="auto"/>
                  <w:gridSpan w:val="2"/>
                  <w:vMerge/>
                  <w:tcBorders>
                    <w:top w:val="nil"/>
                    <w:left w:val="nil"/>
                    <w:bottom w:val="nil"/>
                    <w:right w:val="single" w:sz="2" w:space="0" w:color="000000"/>
                  </w:tcBorders>
                </w:tcPr>
                <w:p w14:paraId="210D49A7"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15CF5A6C" w14:textId="77777777" w:rsidR="00053D93" w:rsidRDefault="00260B75">
                  <w:pPr>
                    <w:ind w:left="84"/>
                  </w:pPr>
                  <w:r>
                    <w:rPr>
                      <w:rFonts w:ascii="Times New Roman" w:eastAsia="Times New Roman" w:hAnsi="Times New Roman" w:cs="Times New Roman"/>
                      <w:sz w:val="16"/>
                    </w:rPr>
                    <w:t>02/04/2014</w:t>
                  </w:r>
                </w:p>
              </w:tc>
              <w:tc>
                <w:tcPr>
                  <w:tcW w:w="763" w:type="dxa"/>
                  <w:tcBorders>
                    <w:top w:val="single" w:sz="2" w:space="0" w:color="000000"/>
                    <w:left w:val="single" w:sz="2" w:space="0" w:color="000000"/>
                    <w:bottom w:val="single" w:sz="2" w:space="0" w:color="000000"/>
                    <w:right w:val="single" w:sz="2" w:space="0" w:color="000000"/>
                  </w:tcBorders>
                </w:tcPr>
                <w:p w14:paraId="4ECC910A"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18E50221" w14:textId="77777777" w:rsidR="00053D93" w:rsidRDefault="00260B75">
                  <w:pPr>
                    <w:ind w:right="5"/>
                    <w:jc w:val="center"/>
                  </w:pPr>
                  <w:r>
                    <w:rPr>
                      <w:rFonts w:ascii="Times New Roman" w:eastAsia="Times New Roman" w:hAnsi="Times New Roman" w:cs="Times New Roman"/>
                      <w:sz w:val="16"/>
                    </w:rPr>
                    <w:t>00209553</w:t>
                  </w:r>
                </w:p>
              </w:tc>
              <w:tc>
                <w:tcPr>
                  <w:tcW w:w="2549" w:type="dxa"/>
                  <w:tcBorders>
                    <w:top w:val="single" w:sz="2" w:space="0" w:color="000000"/>
                    <w:left w:val="single" w:sz="2" w:space="0" w:color="000000"/>
                    <w:bottom w:val="single" w:sz="2" w:space="0" w:color="000000"/>
                    <w:right w:val="single" w:sz="2" w:space="0" w:color="000000"/>
                  </w:tcBorders>
                </w:tcPr>
                <w:p w14:paraId="248F6922" w14:textId="77777777" w:rsidR="00053D93" w:rsidRDefault="00260B75">
                  <w:pPr>
                    <w:spacing w:line="231" w:lineRule="auto"/>
                    <w:ind w:left="79" w:right="91"/>
                    <w:jc w:val="both"/>
                  </w:pPr>
                  <w:r>
                    <w:rPr>
                      <w:sz w:val="16"/>
                    </w:rPr>
                    <w:t>Gabinete Metálico Aéreo para protección de 'a infraestructura de RED marca Quest 140</w:t>
                  </w:r>
                </w:p>
                <w:p w14:paraId="2CC0F939" w14:textId="77777777" w:rsidR="00053D93" w:rsidRDefault="00260B75">
                  <w:pPr>
                    <w:ind w:left="72"/>
                  </w:pPr>
                  <w:r>
                    <w:rPr>
                      <w:sz w:val="20"/>
                    </w:rPr>
                    <w:t>MMMdrio QTY-I "-3019-14-02</w:t>
                  </w:r>
                </w:p>
                <w:p w14:paraId="0225B835" w14:textId="77777777" w:rsidR="00053D93" w:rsidRDefault="00260B75">
                  <w:pPr>
                    <w:ind w:left="79"/>
                  </w:pPr>
                  <w:r>
                    <w:rPr>
                      <w:sz w:val="16"/>
                    </w:rPr>
                    <w:t>Serie 001 18-021 10</w:t>
                  </w:r>
                </w:p>
              </w:tc>
              <w:tc>
                <w:tcPr>
                  <w:tcW w:w="989" w:type="dxa"/>
                  <w:tcBorders>
                    <w:top w:val="single" w:sz="2" w:space="0" w:color="000000"/>
                    <w:left w:val="single" w:sz="2" w:space="0" w:color="000000"/>
                    <w:bottom w:val="single" w:sz="2" w:space="0" w:color="000000"/>
                    <w:right w:val="single" w:sz="2" w:space="0" w:color="000000"/>
                  </w:tcBorders>
                  <w:vAlign w:val="bottom"/>
                </w:tcPr>
                <w:p w14:paraId="7C187B14" w14:textId="77777777" w:rsidR="00053D93" w:rsidRDefault="00260B75">
                  <w:pPr>
                    <w:ind w:left="360"/>
                  </w:pPr>
                  <w:r>
                    <w:rPr>
                      <w:rFonts w:ascii="Times New Roman" w:eastAsia="Times New Roman" w:hAnsi="Times New Roman" w:cs="Times New Roman"/>
                      <w:sz w:val="16"/>
                    </w:rPr>
                    <w:t>2.470.00</w:t>
                  </w:r>
                </w:p>
              </w:tc>
            </w:tr>
            <w:tr w:rsidR="00053D93" w14:paraId="1DE890D4" w14:textId="77777777">
              <w:trPr>
                <w:trHeight w:val="969"/>
              </w:trPr>
              <w:tc>
                <w:tcPr>
                  <w:tcW w:w="299" w:type="dxa"/>
                  <w:tcBorders>
                    <w:top w:val="single" w:sz="2" w:space="0" w:color="000000"/>
                    <w:left w:val="single" w:sz="2" w:space="0" w:color="000000"/>
                    <w:bottom w:val="single" w:sz="2" w:space="0" w:color="000000"/>
                    <w:right w:val="single" w:sz="2" w:space="0" w:color="000000"/>
                  </w:tcBorders>
                </w:tcPr>
                <w:p w14:paraId="159C882F" w14:textId="77777777" w:rsidR="00053D93" w:rsidRDefault="00260B75">
                  <w:pPr>
                    <w:ind w:left="22"/>
                  </w:pPr>
                  <w:r>
                    <w:rPr>
                      <w:rFonts w:ascii="Times New Roman" w:eastAsia="Times New Roman" w:hAnsi="Times New Roman" w:cs="Times New Roman"/>
                      <w:sz w:val="16"/>
                    </w:rPr>
                    <w:t>58</w:t>
                  </w:r>
                </w:p>
              </w:tc>
              <w:tc>
                <w:tcPr>
                  <w:tcW w:w="0" w:type="auto"/>
                  <w:vMerge/>
                  <w:tcBorders>
                    <w:top w:val="nil"/>
                    <w:left w:val="single" w:sz="2" w:space="0" w:color="000000"/>
                    <w:bottom w:val="nil"/>
                    <w:right w:val="nil"/>
                  </w:tcBorders>
                </w:tcPr>
                <w:p w14:paraId="312136F6" w14:textId="77777777" w:rsidR="00053D93" w:rsidRDefault="00053D93"/>
              </w:tc>
              <w:tc>
                <w:tcPr>
                  <w:tcW w:w="0" w:type="auto"/>
                  <w:gridSpan w:val="2"/>
                  <w:vMerge/>
                  <w:tcBorders>
                    <w:top w:val="nil"/>
                    <w:left w:val="nil"/>
                    <w:bottom w:val="nil"/>
                    <w:right w:val="single" w:sz="2" w:space="0" w:color="000000"/>
                  </w:tcBorders>
                </w:tcPr>
                <w:p w14:paraId="62464492"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3CC180A3" w14:textId="77777777" w:rsidR="00053D93" w:rsidRDefault="00260B75">
                  <w:pPr>
                    <w:ind w:left="91"/>
                  </w:pPr>
                  <w:r>
                    <w:rPr>
                      <w:rFonts w:ascii="Times New Roman" w:eastAsia="Times New Roman" w:hAnsi="Times New Roman" w:cs="Times New Roman"/>
                      <w:sz w:val="16"/>
                    </w:rPr>
                    <w:t>13/01/2015</w:t>
                  </w:r>
                </w:p>
              </w:tc>
              <w:tc>
                <w:tcPr>
                  <w:tcW w:w="763" w:type="dxa"/>
                  <w:tcBorders>
                    <w:top w:val="single" w:sz="2" w:space="0" w:color="000000"/>
                    <w:left w:val="single" w:sz="2" w:space="0" w:color="000000"/>
                    <w:bottom w:val="single" w:sz="2" w:space="0" w:color="000000"/>
                    <w:right w:val="single" w:sz="2" w:space="0" w:color="000000"/>
                  </w:tcBorders>
                </w:tcPr>
                <w:p w14:paraId="6670C0C2"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0E9FC0A0" w14:textId="77777777" w:rsidR="00053D93" w:rsidRDefault="00260B75">
                  <w:pPr>
                    <w:ind w:right="5"/>
                    <w:jc w:val="center"/>
                  </w:pPr>
                  <w:r>
                    <w:rPr>
                      <w:sz w:val="18"/>
                    </w:rPr>
                    <w:t>002EFE34</w:t>
                  </w:r>
                </w:p>
              </w:tc>
              <w:tc>
                <w:tcPr>
                  <w:tcW w:w="2549" w:type="dxa"/>
                  <w:tcBorders>
                    <w:top w:val="single" w:sz="2" w:space="0" w:color="000000"/>
                    <w:left w:val="single" w:sz="2" w:space="0" w:color="000000"/>
                    <w:bottom w:val="single" w:sz="2" w:space="0" w:color="000000"/>
                    <w:right w:val="single" w:sz="2" w:space="0" w:color="000000"/>
                  </w:tcBorders>
                </w:tcPr>
                <w:p w14:paraId="21AD6E0D" w14:textId="77777777" w:rsidR="00053D93" w:rsidRDefault="00260B75">
                  <w:pPr>
                    <w:spacing w:line="234" w:lineRule="auto"/>
                    <w:ind w:left="72" w:right="84" w:firstLine="7"/>
                    <w:jc w:val="both"/>
                  </w:pPr>
                  <w:r>
                    <w:rPr>
                      <w:sz w:val="16"/>
                    </w:rPr>
                    <w:t xml:space="preserve">Impresora Multifuncional </w:t>
                  </w:r>
                  <w:r>
                    <w:rPr>
                      <w:rFonts w:ascii="Times New Roman" w:eastAsia="Times New Roman" w:hAnsi="Times New Roman" w:cs="Times New Roman"/>
                      <w:sz w:val="16"/>
                    </w:rPr>
                    <w:t xml:space="preserve">con </w:t>
                  </w:r>
                  <w:r>
                    <w:rPr>
                      <w:sz w:val="16"/>
                    </w:rPr>
                    <w:t>tecnologia Laser a Color Código 2 520 Marca Lexmark Modelo CX31 0DN</w:t>
                  </w:r>
                  <w:r>
                    <w:rPr>
                      <w:sz w:val="16"/>
                    </w:rPr>
                    <w:tab/>
                    <w:t>No.</w:t>
                  </w:r>
                </w:p>
                <w:p w14:paraId="1563BDD8" w14:textId="77777777" w:rsidR="00053D93" w:rsidRDefault="00260B75">
                  <w:pPr>
                    <w:ind w:left="79"/>
                  </w:pPr>
                  <w:r>
                    <w:rPr>
                      <w:sz w:val="16"/>
                    </w:rPr>
                    <w:t>77527239464YHV</w:t>
                  </w:r>
                </w:p>
              </w:tc>
              <w:tc>
                <w:tcPr>
                  <w:tcW w:w="989" w:type="dxa"/>
                  <w:tcBorders>
                    <w:top w:val="single" w:sz="2" w:space="0" w:color="000000"/>
                    <w:left w:val="single" w:sz="2" w:space="0" w:color="000000"/>
                    <w:bottom w:val="single" w:sz="2" w:space="0" w:color="000000"/>
                    <w:right w:val="single" w:sz="2" w:space="0" w:color="000000"/>
                  </w:tcBorders>
                </w:tcPr>
                <w:p w14:paraId="2E76C822" w14:textId="77777777" w:rsidR="00053D93" w:rsidRDefault="00053D93"/>
              </w:tc>
            </w:tr>
            <w:tr w:rsidR="00053D93" w14:paraId="6FC9BAC6" w14:textId="77777777">
              <w:trPr>
                <w:trHeight w:val="1354"/>
              </w:trPr>
              <w:tc>
                <w:tcPr>
                  <w:tcW w:w="299" w:type="dxa"/>
                  <w:tcBorders>
                    <w:top w:val="single" w:sz="2" w:space="0" w:color="000000"/>
                    <w:left w:val="single" w:sz="2" w:space="0" w:color="000000"/>
                    <w:bottom w:val="single" w:sz="2" w:space="0" w:color="000000"/>
                    <w:right w:val="single" w:sz="2" w:space="0" w:color="000000"/>
                  </w:tcBorders>
                </w:tcPr>
                <w:p w14:paraId="7E08CBA3" w14:textId="77777777" w:rsidR="00053D93" w:rsidRDefault="00053D93"/>
              </w:tc>
              <w:tc>
                <w:tcPr>
                  <w:tcW w:w="0" w:type="auto"/>
                  <w:vMerge/>
                  <w:tcBorders>
                    <w:top w:val="nil"/>
                    <w:left w:val="single" w:sz="2" w:space="0" w:color="000000"/>
                    <w:bottom w:val="nil"/>
                    <w:right w:val="nil"/>
                  </w:tcBorders>
                </w:tcPr>
                <w:p w14:paraId="32791604" w14:textId="77777777" w:rsidR="00053D93" w:rsidRDefault="00053D93"/>
              </w:tc>
              <w:tc>
                <w:tcPr>
                  <w:tcW w:w="0" w:type="auto"/>
                  <w:gridSpan w:val="2"/>
                  <w:vMerge/>
                  <w:tcBorders>
                    <w:top w:val="nil"/>
                    <w:left w:val="nil"/>
                    <w:bottom w:val="nil"/>
                    <w:right w:val="single" w:sz="2" w:space="0" w:color="000000"/>
                  </w:tcBorders>
                </w:tcPr>
                <w:p w14:paraId="6A4E5D36"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5B5ABE93" w14:textId="77777777" w:rsidR="00053D93" w:rsidRDefault="00260B75">
                  <w:pPr>
                    <w:ind w:left="98"/>
                  </w:pPr>
                  <w:r>
                    <w:rPr>
                      <w:rFonts w:ascii="Times New Roman" w:eastAsia="Times New Roman" w:hAnsi="Times New Roman" w:cs="Times New Roman"/>
                      <w:sz w:val="16"/>
                    </w:rPr>
                    <w:t>13/01/2015</w:t>
                  </w:r>
                </w:p>
              </w:tc>
              <w:tc>
                <w:tcPr>
                  <w:tcW w:w="763" w:type="dxa"/>
                  <w:tcBorders>
                    <w:top w:val="single" w:sz="2" w:space="0" w:color="000000"/>
                    <w:left w:val="single" w:sz="2" w:space="0" w:color="000000"/>
                    <w:bottom w:val="single" w:sz="2" w:space="0" w:color="000000"/>
                    <w:right w:val="single" w:sz="2" w:space="0" w:color="000000"/>
                  </w:tcBorders>
                </w:tcPr>
                <w:p w14:paraId="434E0510"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232513BA" w14:textId="77777777" w:rsidR="00053D93" w:rsidRDefault="00260B75">
                  <w:pPr>
                    <w:ind w:left="3"/>
                    <w:jc w:val="center"/>
                  </w:pPr>
                  <w:r>
                    <w:rPr>
                      <w:sz w:val="16"/>
                    </w:rPr>
                    <w:t>002F0154</w:t>
                  </w:r>
                </w:p>
              </w:tc>
              <w:tc>
                <w:tcPr>
                  <w:tcW w:w="2549" w:type="dxa"/>
                  <w:tcBorders>
                    <w:top w:val="single" w:sz="2" w:space="0" w:color="000000"/>
                    <w:left w:val="single" w:sz="2" w:space="0" w:color="000000"/>
                    <w:bottom w:val="single" w:sz="2" w:space="0" w:color="000000"/>
                    <w:right w:val="single" w:sz="2" w:space="0" w:color="000000"/>
                  </w:tcBorders>
                </w:tcPr>
                <w:p w14:paraId="60728309" w14:textId="77777777" w:rsidR="00053D93" w:rsidRDefault="00260B75">
                  <w:pPr>
                    <w:ind w:left="86"/>
                  </w:pPr>
                  <w:r>
                    <w:rPr>
                      <w:sz w:val="16"/>
                    </w:rPr>
                    <w:t>Computadora Portátil Marca Dell</w:t>
                  </w:r>
                </w:p>
                <w:p w14:paraId="2419E084" w14:textId="77777777" w:rsidR="00053D93" w:rsidRDefault="00260B75">
                  <w:pPr>
                    <w:spacing w:after="4" w:line="229" w:lineRule="auto"/>
                    <w:ind w:left="86" w:right="77" w:hanging="7"/>
                    <w:jc w:val="both"/>
                  </w:pPr>
                  <w:r>
                    <w:rPr>
                      <w:sz w:val="16"/>
                    </w:rPr>
                    <w:t>Modelo Latitude E5540 Procesador Intel Core 15-43000; Mouse Marca Dell USB 2.0 óptico scroll; serie No. CNOI ID3V7158144908GH; Mochila Marca Dell de Nylon. Serie:</w:t>
                  </w:r>
                </w:p>
                <w:p w14:paraId="0FC6DF2E" w14:textId="77777777" w:rsidR="00053D93" w:rsidRDefault="00260B75">
                  <w:pPr>
                    <w:ind w:left="576"/>
                  </w:pPr>
                  <w:r>
                    <w:rPr>
                      <w:rFonts w:ascii="Times New Roman" w:eastAsia="Times New Roman" w:hAnsi="Times New Roman" w:cs="Times New Roman"/>
                      <w:sz w:val="18"/>
                    </w:rPr>
                    <w:t>12</w:t>
                  </w:r>
                </w:p>
              </w:tc>
              <w:tc>
                <w:tcPr>
                  <w:tcW w:w="989" w:type="dxa"/>
                  <w:tcBorders>
                    <w:top w:val="single" w:sz="2" w:space="0" w:color="000000"/>
                    <w:left w:val="single" w:sz="2" w:space="0" w:color="000000"/>
                    <w:bottom w:val="single" w:sz="2" w:space="0" w:color="000000"/>
                    <w:right w:val="single" w:sz="2" w:space="0" w:color="000000"/>
                  </w:tcBorders>
                  <w:vAlign w:val="bottom"/>
                </w:tcPr>
                <w:p w14:paraId="5B6C962A" w14:textId="77777777" w:rsidR="00053D93" w:rsidRDefault="00260B75">
                  <w:pPr>
                    <w:ind w:right="72"/>
                    <w:jc w:val="right"/>
                  </w:pPr>
                  <w:r>
                    <w:rPr>
                      <w:rFonts w:ascii="Times New Roman" w:eastAsia="Times New Roman" w:hAnsi="Times New Roman" w:cs="Times New Roman"/>
                      <w:sz w:val="16"/>
                    </w:rPr>
                    <w:t>7.007.00</w:t>
                  </w:r>
                </w:p>
              </w:tc>
            </w:tr>
            <w:tr w:rsidR="00053D93" w14:paraId="661B94A0" w14:textId="77777777">
              <w:trPr>
                <w:trHeight w:val="591"/>
              </w:trPr>
              <w:tc>
                <w:tcPr>
                  <w:tcW w:w="299" w:type="dxa"/>
                  <w:tcBorders>
                    <w:top w:val="single" w:sz="2" w:space="0" w:color="000000"/>
                    <w:left w:val="single" w:sz="2" w:space="0" w:color="000000"/>
                    <w:bottom w:val="single" w:sz="2" w:space="0" w:color="000000"/>
                    <w:right w:val="single" w:sz="2" w:space="0" w:color="000000"/>
                  </w:tcBorders>
                </w:tcPr>
                <w:p w14:paraId="290F1EE3" w14:textId="77777777" w:rsidR="00053D93" w:rsidRDefault="00260B75">
                  <w:pPr>
                    <w:ind w:left="22"/>
                  </w:pPr>
                  <w:r>
                    <w:rPr>
                      <w:rFonts w:ascii="Times New Roman" w:eastAsia="Times New Roman" w:hAnsi="Times New Roman" w:cs="Times New Roman"/>
                      <w:sz w:val="16"/>
                    </w:rPr>
                    <w:t>60</w:t>
                  </w:r>
                </w:p>
              </w:tc>
              <w:tc>
                <w:tcPr>
                  <w:tcW w:w="0" w:type="auto"/>
                  <w:vMerge/>
                  <w:tcBorders>
                    <w:top w:val="nil"/>
                    <w:left w:val="single" w:sz="2" w:space="0" w:color="000000"/>
                    <w:bottom w:val="nil"/>
                    <w:right w:val="nil"/>
                  </w:tcBorders>
                </w:tcPr>
                <w:p w14:paraId="4420C61A" w14:textId="77777777" w:rsidR="00053D93" w:rsidRDefault="00053D93"/>
              </w:tc>
              <w:tc>
                <w:tcPr>
                  <w:tcW w:w="0" w:type="auto"/>
                  <w:gridSpan w:val="2"/>
                  <w:vMerge/>
                  <w:tcBorders>
                    <w:top w:val="nil"/>
                    <w:left w:val="nil"/>
                    <w:bottom w:val="nil"/>
                    <w:right w:val="single" w:sz="2" w:space="0" w:color="000000"/>
                  </w:tcBorders>
                </w:tcPr>
                <w:p w14:paraId="385CB2E8"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5748317E" w14:textId="77777777" w:rsidR="00053D93" w:rsidRDefault="00260B75">
                  <w:pPr>
                    <w:ind w:left="98"/>
                  </w:pPr>
                  <w:r>
                    <w:rPr>
                      <w:rFonts w:ascii="Times New Roman" w:eastAsia="Times New Roman" w:hAnsi="Times New Roman" w:cs="Times New Roman"/>
                      <w:sz w:val="16"/>
                    </w:rPr>
                    <w:t>13/01/2015</w:t>
                  </w:r>
                </w:p>
              </w:tc>
              <w:tc>
                <w:tcPr>
                  <w:tcW w:w="763" w:type="dxa"/>
                  <w:tcBorders>
                    <w:top w:val="single" w:sz="2" w:space="0" w:color="000000"/>
                    <w:left w:val="single" w:sz="2" w:space="0" w:color="000000"/>
                    <w:bottom w:val="single" w:sz="2" w:space="0" w:color="000000"/>
                    <w:right w:val="single" w:sz="2" w:space="0" w:color="000000"/>
                  </w:tcBorders>
                </w:tcPr>
                <w:p w14:paraId="079F85FE"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0DE4253D" w14:textId="77777777" w:rsidR="00053D93" w:rsidRDefault="00260B75">
                  <w:pPr>
                    <w:ind w:left="10"/>
                    <w:jc w:val="center"/>
                  </w:pPr>
                  <w:r>
                    <w:rPr>
                      <w:rFonts w:ascii="Times New Roman" w:eastAsia="Times New Roman" w:hAnsi="Times New Roman" w:cs="Times New Roman"/>
                      <w:sz w:val="14"/>
                    </w:rPr>
                    <w:t>002F2SC9</w:t>
                  </w:r>
                </w:p>
              </w:tc>
              <w:tc>
                <w:tcPr>
                  <w:tcW w:w="2549" w:type="dxa"/>
                  <w:tcBorders>
                    <w:top w:val="single" w:sz="2" w:space="0" w:color="000000"/>
                    <w:left w:val="single" w:sz="2" w:space="0" w:color="000000"/>
                    <w:bottom w:val="single" w:sz="2" w:space="0" w:color="000000"/>
                    <w:right w:val="single" w:sz="2" w:space="0" w:color="000000"/>
                  </w:tcBorders>
                </w:tcPr>
                <w:p w14:paraId="04753EF9" w14:textId="77777777" w:rsidR="00053D93" w:rsidRDefault="00260B75">
                  <w:pPr>
                    <w:spacing w:line="236" w:lineRule="auto"/>
                    <w:ind w:left="79" w:firstLine="7"/>
                    <w:jc w:val="both"/>
                  </w:pPr>
                  <w:r>
                    <w:rPr>
                      <w:sz w:val="16"/>
                    </w:rPr>
                    <w:t>Proyector Marca Epson Multimedia de 4000 Lumenes con Serie:</w:t>
                  </w:r>
                </w:p>
                <w:p w14:paraId="20FD9792" w14:textId="77777777" w:rsidR="00053D93" w:rsidRDefault="00260B75">
                  <w:pPr>
                    <w:ind w:left="94"/>
                  </w:pPr>
                  <w:r>
                    <w:rPr>
                      <w:sz w:val="16"/>
                    </w:rPr>
                    <w:t>RM5F440125L</w:t>
                  </w:r>
                </w:p>
              </w:tc>
              <w:tc>
                <w:tcPr>
                  <w:tcW w:w="989" w:type="dxa"/>
                  <w:tcBorders>
                    <w:top w:val="single" w:sz="2" w:space="0" w:color="000000"/>
                    <w:left w:val="single" w:sz="2" w:space="0" w:color="000000"/>
                    <w:bottom w:val="single" w:sz="2" w:space="0" w:color="000000"/>
                    <w:right w:val="single" w:sz="2" w:space="0" w:color="000000"/>
                  </w:tcBorders>
                  <w:vAlign w:val="bottom"/>
                </w:tcPr>
                <w:p w14:paraId="3BAC8FF6" w14:textId="77777777" w:rsidR="00053D93" w:rsidRDefault="00260B75">
                  <w:pPr>
                    <w:ind w:right="65"/>
                    <w:jc w:val="right"/>
                  </w:pPr>
                  <w:r>
                    <w:rPr>
                      <w:rFonts w:ascii="Times New Roman" w:eastAsia="Times New Roman" w:hAnsi="Times New Roman" w:cs="Times New Roman"/>
                      <w:sz w:val="16"/>
                    </w:rPr>
                    <w:t>8.250.79</w:t>
                  </w:r>
                </w:p>
              </w:tc>
            </w:tr>
            <w:tr w:rsidR="00053D93" w14:paraId="1FD364CD" w14:textId="77777777">
              <w:trPr>
                <w:trHeight w:val="585"/>
              </w:trPr>
              <w:tc>
                <w:tcPr>
                  <w:tcW w:w="299" w:type="dxa"/>
                  <w:tcBorders>
                    <w:top w:val="single" w:sz="2" w:space="0" w:color="000000"/>
                    <w:left w:val="single" w:sz="2" w:space="0" w:color="000000"/>
                    <w:bottom w:val="single" w:sz="2" w:space="0" w:color="000000"/>
                    <w:right w:val="single" w:sz="2" w:space="0" w:color="000000"/>
                  </w:tcBorders>
                </w:tcPr>
                <w:p w14:paraId="4B21AA2C" w14:textId="77777777" w:rsidR="00053D93" w:rsidRDefault="00260B75">
                  <w:pPr>
                    <w:ind w:left="22"/>
                  </w:pPr>
                  <w:r>
                    <w:rPr>
                      <w:rFonts w:ascii="Times New Roman" w:eastAsia="Times New Roman" w:hAnsi="Times New Roman" w:cs="Times New Roman"/>
                      <w:sz w:val="16"/>
                    </w:rPr>
                    <w:t>61</w:t>
                  </w:r>
                </w:p>
              </w:tc>
              <w:tc>
                <w:tcPr>
                  <w:tcW w:w="0" w:type="auto"/>
                  <w:vMerge/>
                  <w:tcBorders>
                    <w:top w:val="nil"/>
                    <w:left w:val="single" w:sz="2" w:space="0" w:color="000000"/>
                    <w:bottom w:val="nil"/>
                    <w:right w:val="nil"/>
                  </w:tcBorders>
                </w:tcPr>
                <w:p w14:paraId="658A30F9" w14:textId="77777777" w:rsidR="00053D93" w:rsidRDefault="00053D93"/>
              </w:tc>
              <w:tc>
                <w:tcPr>
                  <w:tcW w:w="0" w:type="auto"/>
                  <w:gridSpan w:val="2"/>
                  <w:vMerge/>
                  <w:tcBorders>
                    <w:top w:val="nil"/>
                    <w:left w:val="nil"/>
                    <w:bottom w:val="nil"/>
                    <w:right w:val="single" w:sz="2" w:space="0" w:color="000000"/>
                  </w:tcBorders>
                </w:tcPr>
                <w:p w14:paraId="0185BC3E"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02934CB3" w14:textId="77777777" w:rsidR="00053D93" w:rsidRDefault="00260B75">
                  <w:pPr>
                    <w:ind w:left="98"/>
                  </w:pPr>
                  <w:r>
                    <w:rPr>
                      <w:rFonts w:ascii="Times New Roman" w:eastAsia="Times New Roman" w:hAnsi="Times New Roman" w:cs="Times New Roman"/>
                      <w:sz w:val="16"/>
                    </w:rPr>
                    <w:t>13/01/2015</w:t>
                  </w:r>
                </w:p>
              </w:tc>
              <w:tc>
                <w:tcPr>
                  <w:tcW w:w="763" w:type="dxa"/>
                  <w:tcBorders>
                    <w:top w:val="single" w:sz="2" w:space="0" w:color="000000"/>
                    <w:left w:val="single" w:sz="2" w:space="0" w:color="000000"/>
                    <w:bottom w:val="single" w:sz="2" w:space="0" w:color="000000"/>
                    <w:right w:val="single" w:sz="2" w:space="0" w:color="000000"/>
                  </w:tcBorders>
                </w:tcPr>
                <w:p w14:paraId="67F22F04"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51029670" w14:textId="77777777" w:rsidR="00053D93" w:rsidRDefault="00260B75">
                  <w:pPr>
                    <w:ind w:left="10"/>
                    <w:jc w:val="center"/>
                  </w:pPr>
                  <w:r>
                    <w:rPr>
                      <w:sz w:val="16"/>
                    </w:rPr>
                    <w:t>002FC964</w:t>
                  </w:r>
                </w:p>
              </w:tc>
              <w:tc>
                <w:tcPr>
                  <w:tcW w:w="2549" w:type="dxa"/>
                  <w:tcBorders>
                    <w:top w:val="single" w:sz="2" w:space="0" w:color="000000"/>
                    <w:left w:val="single" w:sz="2" w:space="0" w:color="000000"/>
                    <w:bottom w:val="single" w:sz="2" w:space="0" w:color="000000"/>
                    <w:right w:val="single" w:sz="2" w:space="0" w:color="000000"/>
                  </w:tcBorders>
                </w:tcPr>
                <w:p w14:paraId="6B521A15" w14:textId="77777777" w:rsidR="00053D93" w:rsidRDefault="00260B75">
                  <w:pPr>
                    <w:spacing w:line="231" w:lineRule="auto"/>
                    <w:ind w:left="86" w:firstLine="7"/>
                    <w:jc w:val="both"/>
                  </w:pPr>
                  <w:r>
                    <w:rPr>
                      <w:sz w:val="16"/>
                    </w:rPr>
                    <w:t>Impresora Láser Jet Marca HP Modelo Pro 400 M401DNE, Color</w:t>
                  </w:r>
                </w:p>
                <w:p w14:paraId="47BF77D6" w14:textId="77777777" w:rsidR="00053D93" w:rsidRDefault="00260B75">
                  <w:pPr>
                    <w:ind w:left="86"/>
                  </w:pPr>
                  <w:r>
                    <w:rPr>
                      <w:sz w:val="16"/>
                    </w:rPr>
                    <w:t>Negro Serie: PHGFC18180</w:t>
                  </w:r>
                </w:p>
              </w:tc>
              <w:tc>
                <w:tcPr>
                  <w:tcW w:w="989" w:type="dxa"/>
                  <w:tcBorders>
                    <w:top w:val="single" w:sz="2" w:space="0" w:color="000000"/>
                    <w:left w:val="single" w:sz="2" w:space="0" w:color="000000"/>
                    <w:bottom w:val="single" w:sz="2" w:space="0" w:color="000000"/>
                    <w:right w:val="single" w:sz="2" w:space="0" w:color="000000"/>
                  </w:tcBorders>
                  <w:vAlign w:val="bottom"/>
                </w:tcPr>
                <w:p w14:paraId="17652F47" w14:textId="77777777" w:rsidR="00053D93" w:rsidRDefault="00260B75">
                  <w:pPr>
                    <w:ind w:right="65"/>
                    <w:jc w:val="right"/>
                  </w:pPr>
                  <w:r>
                    <w:rPr>
                      <w:rFonts w:ascii="Times New Roman" w:eastAsia="Times New Roman" w:hAnsi="Times New Roman" w:cs="Times New Roman"/>
                      <w:sz w:val="16"/>
                    </w:rPr>
                    <w:t>2.734.00</w:t>
                  </w:r>
                </w:p>
              </w:tc>
            </w:tr>
            <w:tr w:rsidR="00053D93" w14:paraId="497224EA" w14:textId="77777777">
              <w:trPr>
                <w:trHeight w:val="1993"/>
              </w:trPr>
              <w:tc>
                <w:tcPr>
                  <w:tcW w:w="299" w:type="dxa"/>
                  <w:tcBorders>
                    <w:top w:val="single" w:sz="2" w:space="0" w:color="000000"/>
                    <w:left w:val="single" w:sz="2" w:space="0" w:color="000000"/>
                    <w:bottom w:val="single" w:sz="2" w:space="0" w:color="000000"/>
                    <w:right w:val="single" w:sz="2" w:space="0" w:color="000000"/>
                  </w:tcBorders>
                </w:tcPr>
                <w:p w14:paraId="0BCED42F" w14:textId="77777777" w:rsidR="00053D93" w:rsidRDefault="00260B75">
                  <w:pPr>
                    <w:ind w:left="22"/>
                  </w:pPr>
                  <w:r>
                    <w:rPr>
                      <w:rFonts w:ascii="Times New Roman" w:eastAsia="Times New Roman" w:hAnsi="Times New Roman" w:cs="Times New Roman"/>
                      <w:sz w:val="16"/>
                    </w:rPr>
                    <w:t>62</w:t>
                  </w:r>
                </w:p>
              </w:tc>
              <w:tc>
                <w:tcPr>
                  <w:tcW w:w="0" w:type="auto"/>
                  <w:vMerge/>
                  <w:tcBorders>
                    <w:top w:val="nil"/>
                    <w:left w:val="single" w:sz="2" w:space="0" w:color="000000"/>
                    <w:bottom w:val="single" w:sz="2" w:space="0" w:color="000000"/>
                    <w:right w:val="nil"/>
                  </w:tcBorders>
                </w:tcPr>
                <w:p w14:paraId="18AEBC09" w14:textId="77777777" w:rsidR="00053D93" w:rsidRDefault="00053D93"/>
              </w:tc>
              <w:tc>
                <w:tcPr>
                  <w:tcW w:w="0" w:type="auto"/>
                  <w:gridSpan w:val="2"/>
                  <w:vMerge/>
                  <w:tcBorders>
                    <w:top w:val="nil"/>
                    <w:left w:val="nil"/>
                    <w:bottom w:val="single" w:sz="2" w:space="0" w:color="000000"/>
                    <w:right w:val="single" w:sz="2" w:space="0" w:color="000000"/>
                  </w:tcBorders>
                </w:tcPr>
                <w:p w14:paraId="02705826" w14:textId="77777777" w:rsidR="00053D93" w:rsidRDefault="00053D93"/>
              </w:tc>
              <w:tc>
                <w:tcPr>
                  <w:tcW w:w="876" w:type="dxa"/>
                  <w:tcBorders>
                    <w:top w:val="single" w:sz="2" w:space="0" w:color="000000"/>
                    <w:left w:val="single" w:sz="2" w:space="0" w:color="000000"/>
                    <w:bottom w:val="single" w:sz="2" w:space="0" w:color="000000"/>
                    <w:right w:val="single" w:sz="2" w:space="0" w:color="000000"/>
                  </w:tcBorders>
                </w:tcPr>
                <w:p w14:paraId="2AF26A18" w14:textId="77777777" w:rsidR="00053D93" w:rsidRDefault="00260B75">
                  <w:pPr>
                    <w:ind w:left="91"/>
                  </w:pPr>
                  <w:r>
                    <w:rPr>
                      <w:rFonts w:ascii="Times New Roman" w:eastAsia="Times New Roman" w:hAnsi="Times New Roman" w:cs="Times New Roman"/>
                      <w:sz w:val="16"/>
                    </w:rPr>
                    <w:t>29/11/2018</w:t>
                  </w:r>
                </w:p>
              </w:tc>
              <w:tc>
                <w:tcPr>
                  <w:tcW w:w="763" w:type="dxa"/>
                  <w:tcBorders>
                    <w:top w:val="single" w:sz="2" w:space="0" w:color="000000"/>
                    <w:left w:val="single" w:sz="2" w:space="0" w:color="000000"/>
                    <w:bottom w:val="single" w:sz="2" w:space="0" w:color="000000"/>
                    <w:right w:val="single" w:sz="2" w:space="0" w:color="000000"/>
                  </w:tcBorders>
                </w:tcPr>
                <w:p w14:paraId="30DCEEB8"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26BEC4B7" w14:textId="77777777" w:rsidR="00053D93" w:rsidRDefault="00260B75">
                  <w:pPr>
                    <w:ind w:left="3"/>
                    <w:jc w:val="center"/>
                  </w:pPr>
                  <w:r>
                    <w:rPr>
                      <w:sz w:val="16"/>
                    </w:rPr>
                    <w:t>003E34C1</w:t>
                  </w:r>
                </w:p>
              </w:tc>
              <w:tc>
                <w:tcPr>
                  <w:tcW w:w="2549" w:type="dxa"/>
                  <w:tcBorders>
                    <w:top w:val="single" w:sz="2" w:space="0" w:color="000000"/>
                    <w:left w:val="single" w:sz="2" w:space="0" w:color="000000"/>
                    <w:bottom w:val="single" w:sz="2" w:space="0" w:color="000000"/>
                    <w:right w:val="single" w:sz="2" w:space="0" w:color="000000"/>
                  </w:tcBorders>
                </w:tcPr>
                <w:p w14:paraId="7F8D58F9" w14:textId="77777777" w:rsidR="00053D93" w:rsidRDefault="00260B75">
                  <w:pPr>
                    <w:spacing w:after="197" w:line="238" w:lineRule="auto"/>
                    <w:ind w:left="86" w:right="62" w:firstLine="7"/>
                    <w:jc w:val="both"/>
                  </w:pPr>
                  <w:r>
                    <w:rPr>
                      <w:sz w:val="16"/>
                    </w:rPr>
                    <w:t>CPU Serie No. 8DJ58M2 con valor de Q.6,750.OO monitor Serie No. CN.OFVGTY-TVI 00-892-0741405 con valor de Q. 1990.00 teclado Serie</w:t>
                  </w:r>
                </w:p>
                <w:p w14:paraId="6C9B4702" w14:textId="77777777" w:rsidR="00053D93" w:rsidRDefault="00260B75">
                  <w:pPr>
                    <w:ind w:left="86" w:right="69"/>
                    <w:jc w:val="both"/>
                  </w:pPr>
                  <w:r>
                    <w:rPr>
                      <w:sz w:val="16"/>
                    </w:rPr>
                    <w:t>CN-0G4D2VV-M6Doo-79E-051U.A00 con valor de Q. 150.00 mouse serie No. CN-0DVORH-L0300-7AC.0HGB. con valor de Q. 100.00 (DELL, OPTIPLEX 3050 SFF. 8DJ58M2)</w:t>
                  </w:r>
                </w:p>
              </w:tc>
              <w:tc>
                <w:tcPr>
                  <w:tcW w:w="989" w:type="dxa"/>
                  <w:tcBorders>
                    <w:top w:val="single" w:sz="2" w:space="0" w:color="000000"/>
                    <w:left w:val="single" w:sz="2" w:space="0" w:color="000000"/>
                    <w:bottom w:val="single" w:sz="2" w:space="0" w:color="000000"/>
                    <w:right w:val="single" w:sz="2" w:space="0" w:color="000000"/>
                  </w:tcBorders>
                  <w:vAlign w:val="bottom"/>
                </w:tcPr>
                <w:p w14:paraId="1C000FFD" w14:textId="77777777" w:rsidR="00053D93" w:rsidRDefault="00260B75">
                  <w:pPr>
                    <w:ind w:right="58"/>
                    <w:jc w:val="right"/>
                  </w:pPr>
                  <w:r>
                    <w:rPr>
                      <w:rFonts w:ascii="Times New Roman" w:eastAsia="Times New Roman" w:hAnsi="Times New Roman" w:cs="Times New Roman"/>
                      <w:sz w:val="16"/>
                    </w:rPr>
                    <w:t>8.990.00</w:t>
                  </w:r>
                </w:p>
              </w:tc>
            </w:tr>
            <w:tr w:rsidR="00053D93" w14:paraId="1D6A4D7C" w14:textId="77777777">
              <w:trPr>
                <w:trHeight w:val="1709"/>
              </w:trPr>
              <w:tc>
                <w:tcPr>
                  <w:tcW w:w="299" w:type="dxa"/>
                  <w:vMerge w:val="restart"/>
                  <w:tcBorders>
                    <w:top w:val="single" w:sz="2" w:space="0" w:color="000000"/>
                    <w:left w:val="single" w:sz="2" w:space="0" w:color="000000"/>
                    <w:bottom w:val="nil"/>
                    <w:right w:val="single" w:sz="2" w:space="0" w:color="000000"/>
                  </w:tcBorders>
                </w:tcPr>
                <w:p w14:paraId="3AFF1434" w14:textId="77777777" w:rsidR="00053D93" w:rsidRDefault="00260B75">
                  <w:pPr>
                    <w:spacing w:after="1369"/>
                    <w:ind w:left="29"/>
                  </w:pPr>
                  <w:r>
                    <w:rPr>
                      <w:rFonts w:ascii="Times New Roman" w:eastAsia="Times New Roman" w:hAnsi="Times New Roman" w:cs="Times New Roman"/>
                      <w:sz w:val="16"/>
                    </w:rPr>
                    <w:t>63</w:t>
                  </w:r>
                </w:p>
                <w:p w14:paraId="66B6D7A5" w14:textId="77777777" w:rsidR="00053D93" w:rsidRDefault="00260B75">
                  <w:pPr>
                    <w:ind w:left="29" w:right="-21"/>
                  </w:pPr>
                  <w:r>
                    <w:rPr>
                      <w:noProof/>
                    </w:rPr>
                    <w:drawing>
                      <wp:inline distT="0" distB="0" distL="0" distR="0" wp14:anchorId="7BD1A6F1" wp14:editId="34FE6370">
                        <wp:extent cx="182880" cy="406909"/>
                        <wp:effectExtent l="0" t="0" r="0" b="0"/>
                        <wp:docPr id="779463" name="Picture 779463"/>
                        <wp:cNvGraphicFramePr/>
                        <a:graphic xmlns:a="http://schemas.openxmlformats.org/drawingml/2006/main">
                          <a:graphicData uri="http://schemas.openxmlformats.org/drawingml/2006/picture">
                            <pic:pic xmlns:pic="http://schemas.openxmlformats.org/drawingml/2006/picture">
                              <pic:nvPicPr>
                                <pic:cNvPr id="779463" name="Picture 779463"/>
                                <pic:cNvPicPr/>
                              </pic:nvPicPr>
                              <pic:blipFill>
                                <a:blip r:embed="rId1096"/>
                                <a:stretch>
                                  <a:fillRect/>
                                </a:stretch>
                              </pic:blipFill>
                              <pic:spPr>
                                <a:xfrm>
                                  <a:off x="0" y="0"/>
                                  <a:ext cx="182880" cy="406909"/>
                                </a:xfrm>
                                <a:prstGeom prst="rect">
                                  <a:avLst/>
                                </a:prstGeom>
                              </pic:spPr>
                            </pic:pic>
                          </a:graphicData>
                        </a:graphic>
                      </wp:inline>
                    </w:drawing>
                  </w:r>
                </w:p>
              </w:tc>
              <w:tc>
                <w:tcPr>
                  <w:tcW w:w="299" w:type="dxa"/>
                  <w:vMerge w:val="restart"/>
                  <w:tcBorders>
                    <w:top w:val="single" w:sz="2" w:space="0" w:color="000000"/>
                    <w:left w:val="single" w:sz="2" w:space="0" w:color="000000"/>
                    <w:bottom w:val="nil"/>
                    <w:right w:val="nil"/>
                  </w:tcBorders>
                  <w:vAlign w:val="bottom"/>
                </w:tcPr>
                <w:p w14:paraId="0F7BBD18" w14:textId="77777777" w:rsidR="00053D93" w:rsidRDefault="00260B75">
                  <w:pPr>
                    <w:ind w:left="18"/>
                  </w:pPr>
                  <w:r>
                    <w:rPr>
                      <w:noProof/>
                    </w:rPr>
                    <w:drawing>
                      <wp:inline distT="0" distB="0" distL="0" distR="0" wp14:anchorId="1E398B25" wp14:editId="209BBA8C">
                        <wp:extent cx="169164" cy="393192"/>
                        <wp:effectExtent l="0" t="0" r="0" b="0"/>
                        <wp:docPr id="779387" name="Picture 779387"/>
                        <wp:cNvGraphicFramePr/>
                        <a:graphic xmlns:a="http://schemas.openxmlformats.org/drawingml/2006/main">
                          <a:graphicData uri="http://schemas.openxmlformats.org/drawingml/2006/picture">
                            <pic:pic xmlns:pic="http://schemas.openxmlformats.org/drawingml/2006/picture">
                              <pic:nvPicPr>
                                <pic:cNvPr id="779387" name="Picture 779387"/>
                                <pic:cNvPicPr/>
                              </pic:nvPicPr>
                              <pic:blipFill>
                                <a:blip r:embed="rId1097"/>
                                <a:stretch>
                                  <a:fillRect/>
                                </a:stretch>
                              </pic:blipFill>
                              <pic:spPr>
                                <a:xfrm>
                                  <a:off x="0" y="0"/>
                                  <a:ext cx="169164" cy="393192"/>
                                </a:xfrm>
                                <a:prstGeom prst="rect">
                                  <a:avLst/>
                                </a:prstGeom>
                              </pic:spPr>
                            </pic:pic>
                          </a:graphicData>
                        </a:graphic>
                      </wp:inline>
                    </w:drawing>
                  </w:r>
                </w:p>
              </w:tc>
              <w:tc>
                <w:tcPr>
                  <w:tcW w:w="975" w:type="dxa"/>
                  <w:gridSpan w:val="2"/>
                  <w:tcBorders>
                    <w:top w:val="single" w:sz="2" w:space="0" w:color="000000"/>
                    <w:left w:val="nil"/>
                    <w:bottom w:val="single" w:sz="2" w:space="0" w:color="000000"/>
                    <w:right w:val="single" w:sz="2" w:space="0" w:color="000000"/>
                  </w:tcBorders>
                </w:tcPr>
                <w:p w14:paraId="191207A1" w14:textId="77777777" w:rsidR="00053D93" w:rsidRDefault="00260B75">
                  <w:pPr>
                    <w:ind w:left="108"/>
                  </w:pPr>
                  <w:r>
                    <w:rPr>
                      <w:rFonts w:ascii="Times New Roman" w:eastAsia="Times New Roman" w:hAnsi="Times New Roman" w:cs="Times New Roman"/>
                      <w:sz w:val="16"/>
                    </w:rPr>
                    <w:t>003517</w:t>
                  </w:r>
                </w:p>
              </w:tc>
              <w:tc>
                <w:tcPr>
                  <w:tcW w:w="876" w:type="dxa"/>
                  <w:tcBorders>
                    <w:top w:val="single" w:sz="2" w:space="0" w:color="000000"/>
                    <w:left w:val="single" w:sz="2" w:space="0" w:color="000000"/>
                    <w:bottom w:val="single" w:sz="2" w:space="0" w:color="000000"/>
                    <w:right w:val="single" w:sz="2" w:space="0" w:color="000000"/>
                  </w:tcBorders>
                </w:tcPr>
                <w:p w14:paraId="63BB7105" w14:textId="77777777" w:rsidR="00053D93" w:rsidRDefault="00053D93"/>
              </w:tc>
              <w:tc>
                <w:tcPr>
                  <w:tcW w:w="763" w:type="dxa"/>
                  <w:tcBorders>
                    <w:top w:val="single" w:sz="2" w:space="0" w:color="000000"/>
                    <w:left w:val="single" w:sz="2" w:space="0" w:color="000000"/>
                    <w:bottom w:val="single" w:sz="2" w:space="0" w:color="000000"/>
                    <w:right w:val="single" w:sz="2" w:space="0" w:color="000000"/>
                  </w:tcBorders>
                </w:tcPr>
                <w:p w14:paraId="28EBBC3D" w14:textId="77777777" w:rsidR="00053D93" w:rsidRDefault="00053D93"/>
              </w:tc>
              <w:tc>
                <w:tcPr>
                  <w:tcW w:w="1613" w:type="dxa"/>
                  <w:tcBorders>
                    <w:top w:val="single" w:sz="2" w:space="0" w:color="000000"/>
                    <w:left w:val="single" w:sz="2" w:space="0" w:color="000000"/>
                    <w:bottom w:val="single" w:sz="2" w:space="0" w:color="000000"/>
                    <w:right w:val="single" w:sz="2" w:space="0" w:color="000000"/>
                  </w:tcBorders>
                </w:tcPr>
                <w:p w14:paraId="76A12774" w14:textId="77777777" w:rsidR="00053D93" w:rsidRDefault="00260B75">
                  <w:pPr>
                    <w:ind w:left="24"/>
                    <w:jc w:val="center"/>
                  </w:pPr>
                  <w:r>
                    <w:rPr>
                      <w:sz w:val="16"/>
                    </w:rPr>
                    <w:t>003E3C65</w:t>
                  </w:r>
                </w:p>
              </w:tc>
              <w:tc>
                <w:tcPr>
                  <w:tcW w:w="2549" w:type="dxa"/>
                  <w:tcBorders>
                    <w:top w:val="single" w:sz="2" w:space="0" w:color="000000"/>
                    <w:left w:val="single" w:sz="2" w:space="0" w:color="000000"/>
                    <w:bottom w:val="single" w:sz="2" w:space="0" w:color="000000"/>
                    <w:right w:val="single" w:sz="2" w:space="0" w:color="000000"/>
                  </w:tcBorders>
                </w:tcPr>
                <w:p w14:paraId="1F738F4B" w14:textId="77777777" w:rsidR="00053D93" w:rsidRDefault="00260B75">
                  <w:pPr>
                    <w:spacing w:after="189" w:line="251" w:lineRule="auto"/>
                    <w:ind w:left="94" w:right="55" w:firstLine="7"/>
                    <w:jc w:val="both"/>
                  </w:pPr>
                  <w:r>
                    <w:rPr>
                      <w:sz w:val="16"/>
                    </w:rPr>
                    <w:t>CPU Serie No. 5MW6YJ2 con valor de Q.S,750.00 monitor serie No. CN-OJ65VP-TV100-77L-1 IYI-AO 1 con valor de Q.1990.OO teclado Serie</w:t>
                  </w:r>
                </w:p>
                <w:p w14:paraId="2F4CF75B" w14:textId="77777777" w:rsidR="00053D93" w:rsidRDefault="00260B75">
                  <w:pPr>
                    <w:ind w:left="101" w:right="62"/>
                    <w:jc w:val="both"/>
                  </w:pPr>
                  <w:r>
                    <w:rPr>
                      <w:sz w:val="16"/>
                    </w:rPr>
                    <w:t>CN-0G4D2VV-M6D00-79E-05FN-A00 con valor de Q. 150.00 mouse Serie no. CN-ODVORH-L0300-7AC.OJW"3. con valor de Q. 100.00 (DELL,</w:t>
                  </w:r>
                </w:p>
              </w:tc>
              <w:tc>
                <w:tcPr>
                  <w:tcW w:w="989" w:type="dxa"/>
                  <w:tcBorders>
                    <w:top w:val="single" w:sz="2" w:space="0" w:color="000000"/>
                    <w:left w:val="single" w:sz="2" w:space="0" w:color="000000"/>
                    <w:bottom w:val="single" w:sz="2" w:space="0" w:color="000000"/>
                    <w:right w:val="single" w:sz="2" w:space="0" w:color="000000"/>
                  </w:tcBorders>
                </w:tcPr>
                <w:p w14:paraId="36BA1FFF" w14:textId="77777777" w:rsidR="00053D93" w:rsidRDefault="00053D93"/>
              </w:tc>
            </w:tr>
            <w:tr w:rsidR="00053D93" w14:paraId="53CEEC53" w14:textId="77777777">
              <w:trPr>
                <w:trHeight w:val="615"/>
              </w:trPr>
              <w:tc>
                <w:tcPr>
                  <w:tcW w:w="0" w:type="auto"/>
                  <w:vMerge/>
                  <w:tcBorders>
                    <w:top w:val="nil"/>
                    <w:left w:val="single" w:sz="2" w:space="0" w:color="000000"/>
                    <w:bottom w:val="nil"/>
                    <w:right w:val="single" w:sz="2" w:space="0" w:color="000000"/>
                  </w:tcBorders>
                </w:tcPr>
                <w:p w14:paraId="122B4B57" w14:textId="77777777" w:rsidR="00053D93" w:rsidRDefault="00053D93"/>
              </w:tc>
              <w:tc>
                <w:tcPr>
                  <w:tcW w:w="0" w:type="auto"/>
                  <w:vMerge/>
                  <w:tcBorders>
                    <w:top w:val="nil"/>
                    <w:left w:val="single" w:sz="2" w:space="0" w:color="000000"/>
                    <w:bottom w:val="nil"/>
                    <w:right w:val="nil"/>
                  </w:tcBorders>
                </w:tcPr>
                <w:p w14:paraId="21F61269" w14:textId="77777777" w:rsidR="00053D93" w:rsidRDefault="00053D93"/>
              </w:tc>
              <w:tc>
                <w:tcPr>
                  <w:tcW w:w="183" w:type="dxa"/>
                  <w:tcBorders>
                    <w:top w:val="nil"/>
                    <w:left w:val="single" w:sz="2" w:space="0" w:color="000000"/>
                    <w:bottom w:val="nil"/>
                    <w:right w:val="single" w:sz="2" w:space="0" w:color="000000"/>
                  </w:tcBorders>
                </w:tcPr>
                <w:p w14:paraId="782D1CC2" w14:textId="77777777" w:rsidR="00053D93" w:rsidRDefault="00053D93"/>
              </w:tc>
              <w:tc>
                <w:tcPr>
                  <w:tcW w:w="7582" w:type="dxa"/>
                  <w:gridSpan w:val="6"/>
                  <w:tcBorders>
                    <w:top w:val="single" w:sz="2" w:space="0" w:color="000000"/>
                    <w:left w:val="single" w:sz="2" w:space="0" w:color="000000"/>
                    <w:bottom w:val="nil"/>
                    <w:right w:val="nil"/>
                  </w:tcBorders>
                </w:tcPr>
                <w:p w14:paraId="75B53DC7" w14:textId="77777777" w:rsidR="00053D93" w:rsidRDefault="00260B75">
                  <w:pPr>
                    <w:ind w:left="2568"/>
                  </w:pPr>
                  <w:r>
                    <w:rPr>
                      <w:sz w:val="14"/>
                    </w:rPr>
                    <w:t>MINISTERIO EDUCACION</w:t>
                  </w:r>
                </w:p>
                <w:p w14:paraId="450FEC82" w14:textId="77777777" w:rsidR="00053D93" w:rsidRDefault="00260B75">
                  <w:pPr>
                    <w:ind w:left="2071"/>
                  </w:pPr>
                  <w:r>
                    <w:rPr>
                      <w:sz w:val="14"/>
                    </w:rPr>
                    <w:t>AUDITORIA FINANCIEM Y DE CUMPLIMIENTO</w:t>
                  </w:r>
                </w:p>
                <w:p w14:paraId="0EF122C1" w14:textId="77777777" w:rsidR="00053D93" w:rsidRDefault="00260B75">
                  <w:pPr>
                    <w:ind w:left="1733"/>
                  </w:pPr>
                  <w:r>
                    <w:rPr>
                      <w:sz w:val="14"/>
                    </w:rPr>
                    <w:t>PERIODO DEL 01 DE ENERO AL 31 DE DICIEMBRE DE 2024</w:t>
                  </w:r>
                </w:p>
              </w:tc>
            </w:tr>
          </w:tbl>
          <w:p w14:paraId="444D1E6B" w14:textId="77777777" w:rsidR="00053D93" w:rsidRDefault="00053D93"/>
        </w:tc>
      </w:tr>
    </w:tbl>
    <w:p w14:paraId="2FE79FA9" w14:textId="77777777" w:rsidR="00053D93" w:rsidRDefault="00260B75">
      <w:pPr>
        <w:spacing w:after="232" w:line="265" w:lineRule="auto"/>
        <w:ind w:left="10" w:right="1130" w:hanging="10"/>
        <w:jc w:val="right"/>
      </w:pPr>
      <w:r>
        <w:rPr>
          <w:sz w:val="16"/>
        </w:rPr>
        <w:t xml:space="preserve">EDUCACCN, </w:t>
      </w:r>
    </w:p>
    <w:tbl>
      <w:tblPr>
        <w:tblStyle w:val="TableGrid"/>
        <w:tblW w:w="8455" w:type="dxa"/>
        <w:tblInd w:w="1752" w:type="dxa"/>
        <w:tblCellMar>
          <w:top w:w="7" w:type="dxa"/>
          <w:left w:w="69" w:type="dxa"/>
          <w:bottom w:w="29" w:type="dxa"/>
          <w:right w:w="76" w:type="dxa"/>
        </w:tblCellMar>
        <w:tblLook w:val="04A0" w:firstRow="1" w:lastRow="0" w:firstColumn="1" w:lastColumn="0" w:noHBand="0" w:noVBand="1"/>
      </w:tblPr>
      <w:tblGrid>
        <w:gridCol w:w="379"/>
        <w:gridCol w:w="1288"/>
        <w:gridCol w:w="866"/>
        <w:gridCol w:w="765"/>
        <w:gridCol w:w="1609"/>
        <w:gridCol w:w="2541"/>
        <w:gridCol w:w="1007"/>
      </w:tblGrid>
      <w:tr w:rsidR="00053D93" w14:paraId="0C7041F7" w14:textId="77777777">
        <w:trPr>
          <w:trHeight w:val="399"/>
        </w:trPr>
        <w:tc>
          <w:tcPr>
            <w:tcW w:w="379" w:type="dxa"/>
            <w:tcBorders>
              <w:top w:val="single" w:sz="2" w:space="0" w:color="000000"/>
              <w:left w:val="single" w:sz="2" w:space="0" w:color="000000"/>
              <w:bottom w:val="single" w:sz="2" w:space="0" w:color="000000"/>
              <w:right w:val="single" w:sz="2" w:space="0" w:color="000000"/>
            </w:tcBorders>
          </w:tcPr>
          <w:p w14:paraId="63E4EBA9" w14:textId="77777777" w:rsidR="00053D93" w:rsidRDefault="00053D93"/>
        </w:tc>
        <w:tc>
          <w:tcPr>
            <w:tcW w:w="1292" w:type="dxa"/>
            <w:tcBorders>
              <w:top w:val="single" w:sz="2" w:space="0" w:color="000000"/>
              <w:left w:val="single" w:sz="2" w:space="0" w:color="000000"/>
              <w:bottom w:val="single" w:sz="2" w:space="0" w:color="000000"/>
              <w:right w:val="single" w:sz="2" w:space="0" w:color="000000"/>
            </w:tcBorders>
          </w:tcPr>
          <w:p w14:paraId="6031A75B" w14:textId="77777777" w:rsidR="00053D93" w:rsidRDefault="00053D93"/>
        </w:tc>
        <w:tc>
          <w:tcPr>
            <w:tcW w:w="869" w:type="dxa"/>
            <w:tcBorders>
              <w:top w:val="single" w:sz="2" w:space="0" w:color="000000"/>
              <w:left w:val="single" w:sz="2" w:space="0" w:color="000000"/>
              <w:bottom w:val="single" w:sz="2" w:space="0" w:color="000000"/>
              <w:right w:val="single" w:sz="2" w:space="0" w:color="000000"/>
            </w:tcBorders>
          </w:tcPr>
          <w:p w14:paraId="6BEE3CA7" w14:textId="77777777" w:rsidR="00053D93" w:rsidRDefault="00053D93"/>
        </w:tc>
        <w:tc>
          <w:tcPr>
            <w:tcW w:w="767" w:type="dxa"/>
            <w:tcBorders>
              <w:top w:val="single" w:sz="2" w:space="0" w:color="000000"/>
              <w:left w:val="single" w:sz="2" w:space="0" w:color="000000"/>
              <w:bottom w:val="single" w:sz="2" w:space="0" w:color="000000"/>
              <w:right w:val="single" w:sz="2" w:space="0" w:color="000000"/>
            </w:tcBorders>
          </w:tcPr>
          <w:p w14:paraId="2D99B068" w14:textId="77777777" w:rsidR="00053D93" w:rsidRDefault="00053D93"/>
        </w:tc>
        <w:tc>
          <w:tcPr>
            <w:tcW w:w="1616" w:type="dxa"/>
            <w:tcBorders>
              <w:top w:val="single" w:sz="2" w:space="0" w:color="000000"/>
              <w:left w:val="single" w:sz="2" w:space="0" w:color="000000"/>
              <w:bottom w:val="single" w:sz="2" w:space="0" w:color="000000"/>
              <w:right w:val="single" w:sz="2" w:space="0" w:color="000000"/>
            </w:tcBorders>
          </w:tcPr>
          <w:p w14:paraId="7C11423F" w14:textId="77777777" w:rsidR="00053D93" w:rsidRDefault="00053D93"/>
        </w:tc>
        <w:tc>
          <w:tcPr>
            <w:tcW w:w="2545" w:type="dxa"/>
            <w:tcBorders>
              <w:top w:val="single" w:sz="2" w:space="0" w:color="000000"/>
              <w:left w:val="single" w:sz="2" w:space="0" w:color="000000"/>
              <w:bottom w:val="single" w:sz="2" w:space="0" w:color="000000"/>
              <w:right w:val="single" w:sz="2" w:space="0" w:color="000000"/>
            </w:tcBorders>
          </w:tcPr>
          <w:p w14:paraId="3D275B21" w14:textId="77777777" w:rsidR="00053D93" w:rsidRDefault="00260B75">
            <w:pPr>
              <w:ind w:left="17"/>
            </w:pPr>
            <w:r>
              <w:rPr>
                <w:noProof/>
              </w:rPr>
              <w:drawing>
                <wp:inline distT="0" distB="0" distL="0" distR="0" wp14:anchorId="115057DE" wp14:editId="52478C4E">
                  <wp:extent cx="896112" cy="210312"/>
                  <wp:effectExtent l="0" t="0" r="0" b="0"/>
                  <wp:docPr id="2458584" name="Picture 2458584"/>
                  <wp:cNvGraphicFramePr/>
                  <a:graphic xmlns:a="http://schemas.openxmlformats.org/drawingml/2006/main">
                    <a:graphicData uri="http://schemas.openxmlformats.org/drawingml/2006/picture">
                      <pic:pic xmlns:pic="http://schemas.openxmlformats.org/drawingml/2006/picture">
                        <pic:nvPicPr>
                          <pic:cNvPr id="2458584" name="Picture 2458584"/>
                          <pic:cNvPicPr/>
                        </pic:nvPicPr>
                        <pic:blipFill>
                          <a:blip r:embed="rId1098"/>
                          <a:stretch>
                            <a:fillRect/>
                          </a:stretch>
                        </pic:blipFill>
                        <pic:spPr>
                          <a:xfrm>
                            <a:off x="0" y="0"/>
                            <a:ext cx="896112" cy="210312"/>
                          </a:xfrm>
                          <a:prstGeom prst="rect">
                            <a:avLst/>
                          </a:prstGeom>
                        </pic:spPr>
                      </pic:pic>
                    </a:graphicData>
                  </a:graphic>
                </wp:inline>
              </w:drawing>
            </w:r>
          </w:p>
        </w:tc>
        <w:tc>
          <w:tcPr>
            <w:tcW w:w="987" w:type="dxa"/>
            <w:tcBorders>
              <w:top w:val="single" w:sz="2" w:space="0" w:color="000000"/>
              <w:left w:val="single" w:sz="2" w:space="0" w:color="000000"/>
              <w:bottom w:val="single" w:sz="2" w:space="0" w:color="000000"/>
              <w:right w:val="single" w:sz="2" w:space="0" w:color="000000"/>
            </w:tcBorders>
            <w:vAlign w:val="bottom"/>
          </w:tcPr>
          <w:p w14:paraId="29DFDEBA" w14:textId="77777777" w:rsidR="00053D93" w:rsidRDefault="00260B75">
            <w:pPr>
              <w:ind w:left="294"/>
            </w:pPr>
            <w:r>
              <w:rPr>
                <w:rFonts w:ascii="Times New Roman" w:eastAsia="Times New Roman" w:hAnsi="Times New Roman" w:cs="Times New Roman"/>
                <w:sz w:val="16"/>
              </w:rPr>
              <w:t>8.990.00</w:t>
            </w:r>
          </w:p>
        </w:tc>
      </w:tr>
      <w:tr w:rsidR="00053D93" w14:paraId="1579EDAD" w14:textId="77777777">
        <w:trPr>
          <w:trHeight w:val="216"/>
        </w:trPr>
        <w:tc>
          <w:tcPr>
            <w:tcW w:w="1670" w:type="dxa"/>
            <w:gridSpan w:val="2"/>
            <w:tcBorders>
              <w:top w:val="single" w:sz="2" w:space="0" w:color="000000"/>
              <w:left w:val="single" w:sz="2" w:space="0" w:color="000000"/>
              <w:bottom w:val="single" w:sz="2" w:space="0" w:color="000000"/>
              <w:right w:val="nil"/>
            </w:tcBorders>
          </w:tcPr>
          <w:p w14:paraId="499F63A4" w14:textId="77777777" w:rsidR="00053D93" w:rsidRDefault="00260B75">
            <w:pPr>
              <w:ind w:left="7"/>
            </w:pPr>
            <w:r>
              <w:rPr>
                <w:sz w:val="16"/>
              </w:rPr>
              <w:t>Subtotal</w:t>
            </w:r>
          </w:p>
        </w:tc>
        <w:tc>
          <w:tcPr>
            <w:tcW w:w="869" w:type="dxa"/>
            <w:tcBorders>
              <w:top w:val="single" w:sz="2" w:space="0" w:color="000000"/>
              <w:left w:val="nil"/>
              <w:bottom w:val="single" w:sz="2" w:space="0" w:color="000000"/>
              <w:right w:val="single" w:sz="2" w:space="0" w:color="000000"/>
            </w:tcBorders>
          </w:tcPr>
          <w:p w14:paraId="02BE6C4A" w14:textId="77777777" w:rsidR="00053D93" w:rsidRDefault="00053D93"/>
        </w:tc>
        <w:tc>
          <w:tcPr>
            <w:tcW w:w="767" w:type="dxa"/>
            <w:tcBorders>
              <w:top w:val="single" w:sz="2" w:space="0" w:color="000000"/>
              <w:left w:val="single" w:sz="2" w:space="0" w:color="000000"/>
              <w:bottom w:val="single" w:sz="2" w:space="0" w:color="000000"/>
              <w:right w:val="single" w:sz="2" w:space="0" w:color="000000"/>
            </w:tcBorders>
          </w:tcPr>
          <w:p w14:paraId="5E4D00F6" w14:textId="77777777" w:rsidR="00053D93" w:rsidRDefault="00260B75">
            <w:pPr>
              <w:ind w:right="4"/>
              <w:jc w:val="center"/>
            </w:pPr>
            <w:r>
              <w:rPr>
                <w:rFonts w:ascii="Times New Roman" w:eastAsia="Times New Roman" w:hAnsi="Times New Roman" w:cs="Times New Roman"/>
                <w:sz w:val="16"/>
              </w:rPr>
              <w:t>493</w:t>
            </w:r>
          </w:p>
        </w:tc>
        <w:tc>
          <w:tcPr>
            <w:tcW w:w="1616" w:type="dxa"/>
            <w:tcBorders>
              <w:top w:val="single" w:sz="2" w:space="0" w:color="000000"/>
              <w:left w:val="single" w:sz="2" w:space="0" w:color="000000"/>
              <w:bottom w:val="single" w:sz="2" w:space="0" w:color="000000"/>
              <w:right w:val="single" w:sz="2" w:space="0" w:color="000000"/>
            </w:tcBorders>
          </w:tcPr>
          <w:p w14:paraId="4B2AD268" w14:textId="77777777" w:rsidR="00053D93" w:rsidRDefault="00053D93"/>
        </w:tc>
        <w:tc>
          <w:tcPr>
            <w:tcW w:w="2545" w:type="dxa"/>
            <w:tcBorders>
              <w:top w:val="single" w:sz="2" w:space="0" w:color="000000"/>
              <w:left w:val="single" w:sz="2" w:space="0" w:color="000000"/>
              <w:bottom w:val="single" w:sz="2" w:space="0" w:color="000000"/>
              <w:right w:val="single" w:sz="2" w:space="0" w:color="000000"/>
            </w:tcBorders>
          </w:tcPr>
          <w:p w14:paraId="44D6C5FC" w14:textId="77777777" w:rsidR="00053D93" w:rsidRDefault="00053D93"/>
        </w:tc>
        <w:tc>
          <w:tcPr>
            <w:tcW w:w="987" w:type="dxa"/>
            <w:tcBorders>
              <w:top w:val="single" w:sz="2" w:space="0" w:color="000000"/>
              <w:left w:val="single" w:sz="2" w:space="0" w:color="000000"/>
              <w:bottom w:val="single" w:sz="2" w:space="0" w:color="000000"/>
              <w:right w:val="single" w:sz="2" w:space="0" w:color="000000"/>
            </w:tcBorders>
          </w:tcPr>
          <w:p w14:paraId="7E762517" w14:textId="77777777" w:rsidR="00053D93" w:rsidRDefault="00260B75">
            <w:pPr>
              <w:ind w:left="13"/>
            </w:pPr>
            <w:r>
              <w:rPr>
                <w:rFonts w:ascii="Times New Roman" w:eastAsia="Times New Roman" w:hAnsi="Times New Roman" w:cs="Times New Roman"/>
                <w:sz w:val="16"/>
              </w:rPr>
              <w:t>1,1 19, 742.06</w:t>
            </w:r>
          </w:p>
        </w:tc>
      </w:tr>
      <w:tr w:rsidR="00053D93" w14:paraId="6CB29929" w14:textId="77777777">
        <w:trPr>
          <w:trHeight w:val="216"/>
        </w:trPr>
        <w:tc>
          <w:tcPr>
            <w:tcW w:w="1670" w:type="dxa"/>
            <w:gridSpan w:val="2"/>
            <w:tcBorders>
              <w:top w:val="single" w:sz="2" w:space="0" w:color="000000"/>
              <w:left w:val="single" w:sz="2" w:space="0" w:color="000000"/>
              <w:bottom w:val="single" w:sz="2" w:space="0" w:color="000000"/>
              <w:right w:val="nil"/>
            </w:tcBorders>
          </w:tcPr>
          <w:p w14:paraId="019FC551" w14:textId="77777777" w:rsidR="00053D93" w:rsidRDefault="00260B75">
            <w:r>
              <w:rPr>
                <w:sz w:val="16"/>
              </w:rPr>
              <w:t>Total</w:t>
            </w:r>
          </w:p>
        </w:tc>
        <w:tc>
          <w:tcPr>
            <w:tcW w:w="869" w:type="dxa"/>
            <w:tcBorders>
              <w:top w:val="single" w:sz="2" w:space="0" w:color="000000"/>
              <w:left w:val="nil"/>
              <w:bottom w:val="single" w:sz="2" w:space="0" w:color="000000"/>
              <w:right w:val="single" w:sz="2" w:space="0" w:color="000000"/>
            </w:tcBorders>
          </w:tcPr>
          <w:p w14:paraId="69616221" w14:textId="77777777" w:rsidR="00053D93" w:rsidRDefault="00053D93"/>
        </w:tc>
        <w:tc>
          <w:tcPr>
            <w:tcW w:w="767" w:type="dxa"/>
            <w:tcBorders>
              <w:top w:val="single" w:sz="2" w:space="0" w:color="000000"/>
              <w:left w:val="single" w:sz="2" w:space="0" w:color="000000"/>
              <w:bottom w:val="single" w:sz="2" w:space="0" w:color="000000"/>
              <w:right w:val="single" w:sz="2" w:space="0" w:color="000000"/>
            </w:tcBorders>
          </w:tcPr>
          <w:p w14:paraId="57FE848C" w14:textId="77777777" w:rsidR="00053D93" w:rsidRDefault="00260B75">
            <w:pPr>
              <w:ind w:left="4"/>
              <w:jc w:val="center"/>
            </w:pPr>
            <w:r>
              <w:rPr>
                <w:rFonts w:ascii="Times New Roman" w:eastAsia="Times New Roman" w:hAnsi="Times New Roman" w:cs="Times New Roman"/>
                <w:sz w:val="16"/>
              </w:rPr>
              <w:t>496</w:t>
            </w:r>
          </w:p>
        </w:tc>
        <w:tc>
          <w:tcPr>
            <w:tcW w:w="1616" w:type="dxa"/>
            <w:tcBorders>
              <w:top w:val="single" w:sz="2" w:space="0" w:color="000000"/>
              <w:left w:val="single" w:sz="2" w:space="0" w:color="000000"/>
              <w:bottom w:val="single" w:sz="2" w:space="0" w:color="000000"/>
              <w:right w:val="single" w:sz="2" w:space="0" w:color="000000"/>
            </w:tcBorders>
          </w:tcPr>
          <w:p w14:paraId="5A2FDE20" w14:textId="77777777" w:rsidR="00053D93" w:rsidRDefault="00053D93"/>
        </w:tc>
        <w:tc>
          <w:tcPr>
            <w:tcW w:w="2545" w:type="dxa"/>
            <w:tcBorders>
              <w:top w:val="single" w:sz="2" w:space="0" w:color="000000"/>
              <w:left w:val="single" w:sz="2" w:space="0" w:color="000000"/>
              <w:bottom w:val="single" w:sz="2" w:space="0" w:color="000000"/>
              <w:right w:val="single" w:sz="2" w:space="0" w:color="000000"/>
            </w:tcBorders>
          </w:tcPr>
          <w:p w14:paraId="796967B5" w14:textId="77777777" w:rsidR="00053D93" w:rsidRDefault="00053D93"/>
        </w:tc>
        <w:tc>
          <w:tcPr>
            <w:tcW w:w="987" w:type="dxa"/>
            <w:tcBorders>
              <w:top w:val="single" w:sz="2" w:space="0" w:color="000000"/>
              <w:left w:val="single" w:sz="2" w:space="0" w:color="000000"/>
              <w:bottom w:val="single" w:sz="2" w:space="0" w:color="000000"/>
              <w:right w:val="single" w:sz="2" w:space="0" w:color="000000"/>
            </w:tcBorders>
          </w:tcPr>
          <w:p w14:paraId="5BBC9525" w14:textId="77777777" w:rsidR="00053D93" w:rsidRDefault="00260B75">
            <w:pPr>
              <w:ind w:left="21"/>
            </w:pPr>
            <w:r>
              <w:rPr>
                <w:rFonts w:ascii="Times New Roman" w:eastAsia="Times New Roman" w:hAnsi="Times New Roman" w:cs="Times New Roman"/>
                <w:sz w:val="16"/>
              </w:rPr>
              <w:t>1.679,383.71</w:t>
            </w:r>
          </w:p>
        </w:tc>
      </w:tr>
    </w:tbl>
    <w:p w14:paraId="1AAAA93E" w14:textId="77777777" w:rsidR="00053D93" w:rsidRDefault="00260B75">
      <w:pPr>
        <w:spacing w:after="692" w:line="265" w:lineRule="auto"/>
        <w:ind w:left="1757" w:hanging="1764"/>
      </w:pPr>
      <w:r>
        <w:rPr>
          <w:noProof/>
        </w:rPr>
        <mc:AlternateContent>
          <mc:Choice Requires="wpg">
            <w:drawing>
              <wp:inline distT="0" distB="0" distL="0" distR="0" wp14:anchorId="1DDE7011" wp14:editId="797E0CF2">
                <wp:extent cx="141732" cy="297180"/>
                <wp:effectExtent l="0" t="0" r="0" b="0"/>
                <wp:docPr id="2456413" name="Group 2456413"/>
                <wp:cNvGraphicFramePr/>
                <a:graphic xmlns:a="http://schemas.openxmlformats.org/drawingml/2006/main">
                  <a:graphicData uri="http://schemas.microsoft.com/office/word/2010/wordprocessingGroup">
                    <wpg:wgp>
                      <wpg:cNvGrpSpPr/>
                      <wpg:grpSpPr>
                        <a:xfrm>
                          <a:off x="0" y="0"/>
                          <a:ext cx="141732" cy="297180"/>
                          <a:chOff x="0" y="0"/>
                          <a:chExt cx="141732" cy="297180"/>
                        </a:xfrm>
                      </wpg:grpSpPr>
                      <wps:wsp>
                        <wps:cNvPr id="780435" name="Rectangle 780435"/>
                        <wps:cNvSpPr/>
                        <wps:spPr>
                          <a:xfrm>
                            <a:off x="0" y="0"/>
                            <a:ext cx="188504" cy="395249"/>
                          </a:xfrm>
                          <a:prstGeom prst="rect">
                            <a:avLst/>
                          </a:prstGeom>
                          <a:ln>
                            <a:noFill/>
                          </a:ln>
                        </wps:spPr>
                        <wps:txbx>
                          <w:txbxContent>
                            <w:p w14:paraId="409C9E99"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inline>
            </w:drawing>
          </mc:Choice>
          <mc:Fallback>
            <w:pict>
              <v:group w14:anchorId="1DDE7011" id="Group 2456413" o:spid="_x0000_s1421" style="width:11.15pt;height:23.4pt;mso-position-horizontal-relative:char;mso-position-vertical-relative:line" coordsize="14173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">
                <v:rect id="Rectangle 780435" o:spid="_x0000_s1422" style="position:absolute;width:188504;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" filled="f" stroked="f">
                  <v:textbox inset="0,0,0,0">
                    <w:txbxContent>
                      <w:p w14:paraId="409C9E99" w14:textId="77777777" w:rsidR="00053D93" w:rsidRDefault="00260B75">
                        <w:r>
                          <w:rPr>
                            <w:rFonts w:ascii="Times New Roman" w:eastAsia="Times New Roman" w:hAnsi="Times New Roman" w:cs="Times New Roman"/>
                            <w:sz w:val="82"/>
                          </w:rPr>
                          <w:t>1</w:t>
                        </w:r>
                      </w:p>
                    </w:txbxContent>
                  </v:textbox>
                </v:rect>
                <w10:anchorlock/>
              </v:group>
            </w:pict>
          </mc:Fallback>
        </mc:AlternateContent>
      </w:r>
      <w:r>
        <w:rPr>
          <w:sz w:val="18"/>
        </w:rPr>
        <w:t xml:space="preserve"> Fuente: Oficio No. RRHH-008-2025 del 17 de enero de 2025 y Oficio No. RRHH-016-2025 del 27 de enero de 2025. emitidos por el Coordinador de Recursos Humanos de la DIGEF y Tarjetas de Responsabilidad de Bienes Inventariados.</w:t>
      </w:r>
    </w:p>
    <w:p w14:paraId="202B6001" w14:textId="77777777" w:rsidR="00053D93" w:rsidRDefault="00260B75">
      <w:pPr>
        <w:spacing w:after="55" w:line="247" w:lineRule="auto"/>
        <w:ind w:left="14" w:right="14" w:firstLine="4"/>
        <w:jc w:val="both"/>
      </w:pPr>
      <w:r>
        <w:rPr>
          <w:rFonts w:ascii="Times New Roman" w:eastAsia="Times New Roman" w:hAnsi="Times New Roman" w:cs="Times New Roman"/>
          <w:sz w:val="26"/>
        </w:rPr>
        <w:t xml:space="preserve">1 </w:t>
      </w:r>
      <w:r>
        <w:rPr>
          <w:sz w:val="26"/>
        </w:rPr>
        <w:t xml:space="preserve">Es importante mencionar que, la Coordinación de Recursos Humanos no notificó a la Sección de Inventarios sobre la renuncia del Director, a.i., con código del </w:t>
      </w:r>
      <w:r>
        <w:rPr>
          <w:rFonts w:ascii="Times New Roman" w:eastAsia="Times New Roman" w:hAnsi="Times New Roman" w:cs="Times New Roman"/>
          <w:sz w:val="26"/>
        </w:rPr>
        <w:t xml:space="preserve">1 </w:t>
      </w:r>
      <w:r>
        <w:rPr>
          <w:sz w:val="26"/>
        </w:rPr>
        <w:t xml:space="preserve">empleado No. 990039793, para que preparara el resguardo de los bienes asignados, tal como lo establece la normativa legal vigente; a pesar que, el Director General, emitió el Oficio de cese de funciones renglón presupuestario 01 1 </w:t>
      </w:r>
      <w:r>
        <w:rPr>
          <w:rFonts w:ascii="Times New Roman" w:eastAsia="Times New Roman" w:hAnsi="Times New Roman" w:cs="Times New Roman"/>
          <w:sz w:val="26"/>
        </w:rPr>
        <w:t xml:space="preserve">1 </w:t>
      </w:r>
      <w:r>
        <w:rPr>
          <w:sz w:val="26"/>
        </w:rPr>
        <w:t xml:space="preserve">No. DIGEF-21-2019 y la Certificación de Veracidad de dicho oficio, ambos documentos del 10 de junio de 20219, en donde la DIGEF solicitó el cese de funciones del empleado y certificó haber conocido el expediente de dicho </w:t>
      </w:r>
      <w:r>
        <w:rPr>
          <w:rFonts w:ascii="Times New Roman" w:eastAsia="Times New Roman" w:hAnsi="Times New Roman" w:cs="Times New Roman"/>
          <w:sz w:val="26"/>
        </w:rPr>
        <w:t xml:space="preserve">1 </w:t>
      </w:r>
      <w:r>
        <w:rPr>
          <w:sz w:val="26"/>
        </w:rPr>
        <w:t xml:space="preserve">empleado, por lo que daban continuidad al proceso de cese laboral. Lo cual contribuyó a la falta de actualización de los registros en las tarjetas de </w:t>
      </w:r>
      <w:r>
        <w:rPr>
          <w:rFonts w:ascii="Times New Roman" w:eastAsia="Times New Roman" w:hAnsi="Times New Roman" w:cs="Times New Roman"/>
          <w:sz w:val="26"/>
        </w:rPr>
        <w:t xml:space="preserve">1 </w:t>
      </w:r>
      <w:r>
        <w:rPr>
          <w:sz w:val="26"/>
        </w:rPr>
        <w:t>responsabilidad de los bienes correspondientes.</w:t>
      </w:r>
    </w:p>
    <w:p w14:paraId="3B0ECDD8" w14:textId="77777777" w:rsidR="00053D93" w:rsidRDefault="00260B75">
      <w:pPr>
        <w:spacing w:after="18" w:line="248" w:lineRule="auto"/>
        <w:ind w:left="1709" w:hanging="3"/>
        <w:jc w:val="both"/>
      </w:pPr>
      <w:r>
        <w:rPr>
          <w:sz w:val="28"/>
        </w:rPr>
        <w:t>Criterio</w:t>
      </w:r>
    </w:p>
    <w:p w14:paraId="41FBBC3F" w14:textId="77777777" w:rsidR="00053D93" w:rsidRDefault="00260B75">
      <w:pPr>
        <w:spacing w:after="131" w:line="247" w:lineRule="auto"/>
        <w:ind w:left="14" w:right="14" w:firstLine="4"/>
        <w:jc w:val="both"/>
      </w:pPr>
      <w:r>
        <w:rPr>
          <w:noProof/>
        </w:rPr>
        <mc:AlternateContent>
          <mc:Choice Requires="wpg">
            <w:drawing>
              <wp:anchor distT="0" distB="0" distL="114300" distR="114300" simplePos="0" relativeHeight="252079104" behindDoc="0" locked="0" layoutInCell="1" allowOverlap="1" wp14:anchorId="73C398C5" wp14:editId="31C8BD52">
                <wp:simplePos x="0" y="0"/>
                <wp:positionH relativeFrom="column">
                  <wp:posOffset>45720</wp:posOffset>
                </wp:positionH>
                <wp:positionV relativeFrom="paragraph">
                  <wp:posOffset>516636</wp:posOffset>
                </wp:positionV>
                <wp:extent cx="114300" cy="301752"/>
                <wp:effectExtent l="0" t="0" r="0" b="0"/>
                <wp:wrapSquare wrapText="bothSides"/>
                <wp:docPr id="2456415" name="Group 2456415"/>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780442" name="Rectangle 780442"/>
                        <wps:cNvSpPr/>
                        <wps:spPr>
                          <a:xfrm>
                            <a:off x="0" y="0"/>
                            <a:ext cx="152019" cy="401330"/>
                          </a:xfrm>
                          <a:prstGeom prst="rect">
                            <a:avLst/>
                          </a:prstGeom>
                          <a:ln>
                            <a:noFill/>
                          </a:ln>
                        </wps:spPr>
                        <wps:txbx>
                          <w:txbxContent>
                            <w:p w14:paraId="01B7D744"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anchor>
            </w:drawing>
          </mc:Choice>
          <mc:Fallback>
            <w:pict>
              <v:group w14:anchorId="73C398C5" id="Group 2456415" o:spid="_x0000_s1423" style="position:absolute;left:0;text-align:left;margin-left:3.6pt;margin-top:40.7pt;width:9pt;height:23.75pt;z-index:252079104;mso-position-horizontal-relative:text;mso-position-vertical-relative:text"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">
                <v:rect id="Rectangle 780442" o:spid="_x0000_s142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" filled="f" stroked="f">
                  <v:textbox inset="0,0,0,0">
                    <w:txbxContent>
                      <w:p w14:paraId="01B7D744" w14:textId="77777777" w:rsidR="00053D93" w:rsidRDefault="00260B75">
                        <w:r>
                          <w:rPr>
                            <w:rFonts w:ascii="Times New Roman" w:eastAsia="Times New Roman" w:hAnsi="Times New Roman" w:cs="Times New Roman"/>
                            <w:sz w:val="66"/>
                          </w:rPr>
                          <w:t>1</w:t>
                        </w:r>
                      </w:p>
                    </w:txbxContent>
                  </v:textbox>
                </v:rect>
                <w10:wrap type="square"/>
              </v:group>
            </w:pict>
          </mc:Fallback>
        </mc:AlternateContent>
      </w:r>
      <w:r>
        <w:rPr>
          <w:noProof/>
        </w:rPr>
        <mc:AlternateContent>
          <mc:Choice Requires="wpg">
            <w:drawing>
              <wp:anchor distT="0" distB="0" distL="114300" distR="114300" simplePos="0" relativeHeight="252080128" behindDoc="0" locked="0" layoutInCell="1" allowOverlap="1" wp14:anchorId="7D13C116" wp14:editId="79E36213">
                <wp:simplePos x="0" y="0"/>
                <wp:positionH relativeFrom="column">
                  <wp:posOffset>54864</wp:posOffset>
                </wp:positionH>
                <wp:positionV relativeFrom="paragraph">
                  <wp:posOffset>1033272</wp:posOffset>
                </wp:positionV>
                <wp:extent cx="118872" cy="306324"/>
                <wp:effectExtent l="0" t="0" r="0" b="0"/>
                <wp:wrapSquare wrapText="bothSides"/>
                <wp:docPr id="2456416" name="Group 2456416"/>
                <wp:cNvGraphicFramePr/>
                <a:graphic xmlns:a="http://schemas.openxmlformats.org/drawingml/2006/main">
                  <a:graphicData uri="http://schemas.microsoft.com/office/word/2010/wordprocessingGroup">
                    <wpg:wgp>
                      <wpg:cNvGrpSpPr/>
                      <wpg:grpSpPr>
                        <a:xfrm>
                          <a:off x="0" y="0"/>
                          <a:ext cx="118872" cy="306324"/>
                          <a:chOff x="0" y="0"/>
                          <a:chExt cx="118872" cy="306324"/>
                        </a:xfrm>
                      </wpg:grpSpPr>
                      <wps:wsp>
                        <wps:cNvPr id="780443" name="Rectangle 780443"/>
                        <wps:cNvSpPr/>
                        <wps:spPr>
                          <a:xfrm>
                            <a:off x="0" y="0"/>
                            <a:ext cx="158100" cy="407411"/>
                          </a:xfrm>
                          <a:prstGeom prst="rect">
                            <a:avLst/>
                          </a:prstGeom>
                          <a:ln>
                            <a:noFill/>
                          </a:ln>
                        </wps:spPr>
                        <wps:txbx>
                          <w:txbxContent>
                            <w:p w14:paraId="567460AF"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7D13C116" id="Group 2456416" o:spid="_x0000_s1425" style="position:absolute;left:0;text-align:left;margin-left:4.3pt;margin-top:81.35pt;width:9.35pt;height:24.1pt;z-index:252080128;mso-position-horizontal-relative:text;mso-position-vertical-relative:text" coordsize="11887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">
                <v:rect id="Rectangle 780443" o:spid="_x0000_s1426" style="position:absolute;width:158100;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" filled="f" stroked="f">
                  <v:textbox inset="0,0,0,0">
                    <w:txbxContent>
                      <w:p w14:paraId="567460AF" w14:textId="77777777" w:rsidR="00053D93" w:rsidRDefault="00260B75">
                        <w:r>
                          <w:rPr>
                            <w:rFonts w:ascii="Times New Roman" w:eastAsia="Times New Roman" w:hAnsi="Times New Roman" w:cs="Times New Roman"/>
                            <w:sz w:val="70"/>
                          </w:rPr>
                          <w:t>1</w:t>
                        </w:r>
                      </w:p>
                    </w:txbxContent>
                  </v:textbox>
                </v:rect>
                <w10:wrap type="square"/>
              </v:group>
            </w:pict>
          </mc:Fallback>
        </mc:AlternateContent>
      </w:r>
      <w:r>
        <w:rPr>
          <w:noProof/>
        </w:rPr>
        <mc:AlternateContent>
          <mc:Choice Requires="wpg">
            <w:drawing>
              <wp:inline distT="0" distB="0" distL="0" distR="0" wp14:anchorId="23366120" wp14:editId="7838C397">
                <wp:extent cx="118872" cy="301752"/>
                <wp:effectExtent l="0" t="0" r="0" b="0"/>
                <wp:docPr id="2456414" name="Group 2456414"/>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780441" name="Rectangle 780441"/>
                        <wps:cNvSpPr/>
                        <wps:spPr>
                          <a:xfrm>
                            <a:off x="0" y="0"/>
                            <a:ext cx="158100" cy="401330"/>
                          </a:xfrm>
                          <a:prstGeom prst="rect">
                            <a:avLst/>
                          </a:prstGeom>
                          <a:ln>
                            <a:noFill/>
                          </a:ln>
                        </wps:spPr>
                        <wps:txbx>
                          <w:txbxContent>
                            <w:p w14:paraId="31C71A83"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inline>
            </w:drawing>
          </mc:Choice>
          <mc:Fallback>
            <w:pict>
              <v:group w14:anchorId="23366120" id="Group 2456414" o:spid="_x0000_s1427"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">
                <v:rect id="Rectangle 780441" o:spid="_x0000_s1428"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" filled="f" stroked="f">
                  <v:textbox inset="0,0,0,0">
                    <w:txbxContent>
                      <w:p w14:paraId="31C71A83" w14:textId="77777777" w:rsidR="00053D93" w:rsidRDefault="00260B75">
                        <w:r>
                          <w:rPr>
                            <w:rFonts w:ascii="Times New Roman" w:eastAsia="Times New Roman" w:hAnsi="Times New Roman" w:cs="Times New Roman"/>
                            <w:sz w:val="70"/>
                          </w:rPr>
                          <w:t>1</w:t>
                        </w:r>
                      </w:p>
                    </w:txbxContent>
                  </v:textbox>
                </v:rect>
                <w10:anchorlock/>
              </v:group>
            </w:pict>
          </mc:Fallback>
        </mc:AlternateContent>
      </w:r>
      <w:r>
        <w:rPr>
          <w:sz w:val="26"/>
        </w:rPr>
        <w:t xml:space="preserve"> La Circular 3-57, de la Dirección de Contabilidad del Estado del Ministerio de Finanzas Públicas, Toma de Posesión de Cargos Públicos, establece: "Al tomar posesión de un cargo, deberán entregarse y recibirse los bienes de acuerdo con el inventario actualizado, haciendo constar en acta si hasta aquí el resultado es satisfactorio o puntualizando cualquier faltante para que el jefe de la oficina exija el reintegro correspondiente, pida la intervención de la Contraloría de Cuentas para la formulación del reparo que proceda, o dé parte a las autoridades judiciales si el caso lo amerita..." Y Tarjetas de Responsabilidad, establece: "Con el objeto de </w:t>
      </w:r>
      <w:r>
        <w:rPr>
          <w:rFonts w:ascii="Times New Roman" w:eastAsia="Times New Roman" w:hAnsi="Times New Roman" w:cs="Times New Roman"/>
          <w:sz w:val="26"/>
        </w:rPr>
        <w:t xml:space="preserve">1 </w:t>
      </w:r>
      <w:r>
        <w:rPr>
          <w:sz w:val="26"/>
        </w:rPr>
        <w:t xml:space="preserve">poder determinar en cualquier momento los útiles a cargo de cada empleado, se abrirán tarjetas individuales de responsabilidad, en las cuales deben registrarse detalladamente y con los mismos datos que figuran en el inventario, los bienes por </w:t>
      </w:r>
      <w:r>
        <w:rPr>
          <w:rFonts w:ascii="Times New Roman" w:eastAsia="Times New Roman" w:hAnsi="Times New Roman" w:cs="Times New Roman"/>
          <w:sz w:val="26"/>
        </w:rPr>
        <w:t xml:space="preserve">1 </w:t>
      </w:r>
      <w:r>
        <w:rPr>
          <w:sz w:val="26"/>
        </w:rPr>
        <w:t xml:space="preserve">los cuales responde cada funcionario o empleado público, agregándose al final y por separado el detalle de los artículos que por su naturaleza fungible no hayan </w:t>
      </w:r>
      <w:r>
        <w:rPr>
          <w:noProof/>
        </w:rPr>
        <w:drawing>
          <wp:inline distT="0" distB="0" distL="0" distR="0" wp14:anchorId="34B47630" wp14:editId="0A26CC82">
            <wp:extent cx="27432" cy="9144"/>
            <wp:effectExtent l="0" t="0" r="0" b="0"/>
            <wp:docPr id="783706" name="Picture 783706"/>
            <wp:cNvGraphicFramePr/>
            <a:graphic xmlns:a="http://schemas.openxmlformats.org/drawingml/2006/main">
              <a:graphicData uri="http://schemas.openxmlformats.org/drawingml/2006/picture">
                <pic:pic xmlns:pic="http://schemas.openxmlformats.org/drawingml/2006/picture">
                  <pic:nvPicPr>
                    <pic:cNvPr id="783706" name="Picture 783706"/>
                    <pic:cNvPicPr/>
                  </pic:nvPicPr>
                  <pic:blipFill>
                    <a:blip r:embed="rId1099"/>
                    <a:stretch>
                      <a:fillRect/>
                    </a:stretch>
                  </pic:blipFill>
                  <pic:spPr>
                    <a:xfrm>
                      <a:off x="0" y="0"/>
                      <a:ext cx="27432" cy="9144"/>
                    </a:xfrm>
                    <a:prstGeom prst="rect">
                      <a:avLst/>
                    </a:prstGeom>
                  </pic:spPr>
                </pic:pic>
              </a:graphicData>
            </a:graphic>
          </wp:inline>
        </w:drawing>
      </w:r>
      <w:r>
        <w:rPr>
          <w:rFonts w:ascii="Times New Roman" w:eastAsia="Times New Roman" w:hAnsi="Times New Roman" w:cs="Times New Roman"/>
          <w:sz w:val="26"/>
        </w:rPr>
        <w:t xml:space="preserve">1 </w:t>
      </w:r>
      <w:r>
        <w:rPr>
          <w:sz w:val="26"/>
        </w:rPr>
        <w:t>sido incluidos en el inventario. Para mayor facilidad en su identificación, todos los objetos se numerarán correlativamente, consignados tales números en inventarios y tarjetas."</w:t>
      </w:r>
    </w:p>
    <w:p w14:paraId="7171A27D" w14:textId="77777777" w:rsidR="00053D93" w:rsidRDefault="00260B75">
      <w:pPr>
        <w:spacing w:after="3"/>
        <w:ind w:left="147" w:right="3485" w:hanging="10"/>
      </w:pPr>
      <w:r>
        <w:rPr>
          <w:rFonts w:ascii="Times New Roman" w:eastAsia="Times New Roman" w:hAnsi="Times New Roman" w:cs="Times New Roman"/>
          <w:sz w:val="70"/>
        </w:rPr>
        <w:t>1</w:t>
      </w:r>
    </w:p>
    <w:p w14:paraId="2F737AF0" w14:textId="77777777" w:rsidR="00053D93" w:rsidRDefault="00260B75">
      <w:pPr>
        <w:spacing w:after="17" w:line="247" w:lineRule="auto"/>
        <w:ind w:left="151" w:right="14" w:firstLine="1613"/>
        <w:jc w:val="both"/>
      </w:pPr>
      <w:r>
        <w:rPr>
          <w:sz w:val="26"/>
        </w:rPr>
        <w:t xml:space="preserve">El Acuerdo Ministerial No. 2833-2010, del Ministro de Educación, Manual de </w:t>
      </w:r>
      <w:r>
        <w:rPr>
          <w:rFonts w:ascii="Times New Roman" w:eastAsia="Times New Roman" w:hAnsi="Times New Roman" w:cs="Times New Roman"/>
          <w:sz w:val="26"/>
        </w:rPr>
        <w:t xml:space="preserve">1 </w:t>
      </w:r>
      <w:r>
        <w:rPr>
          <w:sz w:val="26"/>
        </w:rPr>
        <w:t xml:space="preserve">Funciones de Dirección General de Educación Física -DIGEF- del Ministerio de Educación, ...numeral 104. Nombre del puesto: Coordinador de Recursos Humanos, ... inciso b. Funciones, primera viñeta, establece: "Planificar, dirigir, </w:t>
      </w:r>
      <w:r>
        <w:rPr>
          <w:rFonts w:ascii="Times New Roman" w:eastAsia="Times New Roman" w:hAnsi="Times New Roman" w:cs="Times New Roman"/>
          <w:sz w:val="26"/>
        </w:rPr>
        <w:t xml:space="preserve">1 </w:t>
      </w:r>
      <w:r>
        <w:rPr>
          <w:sz w:val="26"/>
        </w:rPr>
        <w:t>coordinar y evaluar las actividades técnicas y administrativas que se realizan en la Coordinación a su cargo."; tercera viñeta, establece: "Desarrollar y supervisar la adecuada ejecución de las funciones asignadas a la Coordinación que dirige.</w:t>
      </w:r>
      <w:r>
        <w:rPr>
          <w:noProof/>
        </w:rPr>
        <w:drawing>
          <wp:inline distT="0" distB="0" distL="0" distR="0" wp14:anchorId="0D804C21" wp14:editId="0DF54A9C">
            <wp:extent cx="77724" cy="137161"/>
            <wp:effectExtent l="0" t="0" r="0" b="0"/>
            <wp:docPr id="2458586" name="Picture 2458586"/>
            <wp:cNvGraphicFramePr/>
            <a:graphic xmlns:a="http://schemas.openxmlformats.org/drawingml/2006/main">
              <a:graphicData uri="http://schemas.openxmlformats.org/drawingml/2006/picture">
                <pic:pic xmlns:pic="http://schemas.openxmlformats.org/drawingml/2006/picture">
                  <pic:nvPicPr>
                    <pic:cNvPr id="2458586" name="Picture 2458586"/>
                    <pic:cNvPicPr/>
                  </pic:nvPicPr>
                  <pic:blipFill>
                    <a:blip r:embed="rId1100"/>
                    <a:stretch>
                      <a:fillRect/>
                    </a:stretch>
                  </pic:blipFill>
                  <pic:spPr>
                    <a:xfrm>
                      <a:off x="0" y="0"/>
                      <a:ext cx="77724" cy="137161"/>
                    </a:xfrm>
                    <a:prstGeom prst="rect">
                      <a:avLst/>
                    </a:prstGeom>
                  </pic:spPr>
                </pic:pic>
              </a:graphicData>
            </a:graphic>
          </wp:inline>
        </w:drawing>
      </w:r>
    </w:p>
    <w:tbl>
      <w:tblPr>
        <w:tblStyle w:val="TableGrid"/>
        <w:tblW w:w="9432" w:type="dxa"/>
        <w:tblInd w:w="799" w:type="dxa"/>
        <w:tblLook w:val="04A0" w:firstRow="1" w:lastRow="0" w:firstColumn="1" w:lastColumn="0" w:noHBand="0" w:noVBand="1"/>
      </w:tblPr>
      <w:tblGrid>
        <w:gridCol w:w="1295"/>
        <w:gridCol w:w="8152"/>
      </w:tblGrid>
      <w:tr w:rsidR="00053D93" w14:paraId="4D39F6DF" w14:textId="77777777">
        <w:trPr>
          <w:trHeight w:val="641"/>
        </w:trPr>
        <w:tc>
          <w:tcPr>
            <w:tcW w:w="1802" w:type="dxa"/>
            <w:tcBorders>
              <w:top w:val="nil"/>
              <w:left w:val="nil"/>
              <w:bottom w:val="nil"/>
              <w:right w:val="nil"/>
            </w:tcBorders>
          </w:tcPr>
          <w:p w14:paraId="7C4027D2" w14:textId="77777777" w:rsidR="00053D93" w:rsidRDefault="00260B75">
            <w:r>
              <w:rPr>
                <w:noProof/>
              </w:rPr>
              <w:drawing>
                <wp:inline distT="0" distB="0" distL="0" distR="0" wp14:anchorId="163BF421" wp14:editId="151144F9">
                  <wp:extent cx="1133856" cy="406908"/>
                  <wp:effectExtent l="0" t="0" r="0" b="0"/>
                  <wp:docPr id="783763" name="Picture 783763"/>
                  <wp:cNvGraphicFramePr/>
                  <a:graphic xmlns:a="http://schemas.openxmlformats.org/drawingml/2006/main">
                    <a:graphicData uri="http://schemas.openxmlformats.org/drawingml/2006/picture">
                      <pic:pic xmlns:pic="http://schemas.openxmlformats.org/drawingml/2006/picture">
                        <pic:nvPicPr>
                          <pic:cNvPr id="783763" name="Picture 783763"/>
                          <pic:cNvPicPr/>
                        </pic:nvPicPr>
                        <pic:blipFill>
                          <a:blip r:embed="rId1101"/>
                          <a:stretch>
                            <a:fillRect/>
                          </a:stretch>
                        </pic:blipFill>
                        <pic:spPr>
                          <a:xfrm>
                            <a:off x="0" y="0"/>
                            <a:ext cx="1133856" cy="406908"/>
                          </a:xfrm>
                          <a:prstGeom prst="rect">
                            <a:avLst/>
                          </a:prstGeom>
                        </pic:spPr>
                      </pic:pic>
                    </a:graphicData>
                  </a:graphic>
                </wp:inline>
              </w:drawing>
            </w:r>
          </w:p>
        </w:tc>
        <w:tc>
          <w:tcPr>
            <w:tcW w:w="7630" w:type="dxa"/>
            <w:tcBorders>
              <w:top w:val="nil"/>
              <w:left w:val="nil"/>
              <w:bottom w:val="nil"/>
              <w:right w:val="nil"/>
            </w:tcBorders>
          </w:tcPr>
          <w:p w14:paraId="44448CF0" w14:textId="77777777" w:rsidR="00053D93" w:rsidRDefault="00053D93">
            <w:pPr>
              <w:ind w:left="-2904" w:right="10534"/>
            </w:pPr>
          </w:p>
          <w:tbl>
            <w:tblPr>
              <w:tblStyle w:val="TableGrid"/>
              <w:tblW w:w="7613" w:type="dxa"/>
              <w:tblInd w:w="17" w:type="dxa"/>
              <w:tblCellMar>
                <w:top w:w="24" w:type="dxa"/>
                <w:left w:w="1731" w:type="dxa"/>
                <w:right w:w="115" w:type="dxa"/>
              </w:tblCellMar>
              <w:tblLook w:val="04A0" w:firstRow="1" w:lastRow="0" w:firstColumn="1" w:lastColumn="0" w:noHBand="0" w:noVBand="1"/>
            </w:tblPr>
            <w:tblGrid>
              <w:gridCol w:w="7613"/>
            </w:tblGrid>
            <w:tr w:rsidR="00053D93" w14:paraId="3460E0E7" w14:textId="77777777">
              <w:trPr>
                <w:trHeight w:val="608"/>
              </w:trPr>
              <w:tc>
                <w:tcPr>
                  <w:tcW w:w="7613" w:type="dxa"/>
                  <w:tcBorders>
                    <w:top w:val="single" w:sz="2" w:space="0" w:color="000000"/>
                    <w:left w:val="single" w:sz="2" w:space="0" w:color="000000"/>
                    <w:bottom w:val="nil"/>
                    <w:right w:val="nil"/>
                  </w:tcBorders>
                </w:tcPr>
                <w:p w14:paraId="14DFB186" w14:textId="77777777" w:rsidR="00053D93" w:rsidRDefault="00260B75">
                  <w:pPr>
                    <w:ind w:left="835"/>
                  </w:pPr>
                  <w:r>
                    <w:rPr>
                      <w:sz w:val="14"/>
                    </w:rPr>
                    <w:t>MINISTERIO DE EDUCACION</w:t>
                  </w:r>
                </w:p>
                <w:p w14:paraId="64AA2F74" w14:textId="77777777" w:rsidR="00053D93" w:rsidRDefault="00260B75">
                  <w:pPr>
                    <w:ind w:left="346"/>
                  </w:pPr>
                  <w:r>
                    <w:rPr>
                      <w:sz w:val="14"/>
                    </w:rPr>
                    <w:t>AUDITORIA FINANCIERA Y DE CUMPLIMIENTO</w:t>
                  </w:r>
                </w:p>
                <w:p w14:paraId="6FEB63CF" w14:textId="77777777" w:rsidR="00053D93" w:rsidRDefault="00260B75">
                  <w:r>
                    <w:rPr>
                      <w:sz w:val="14"/>
                    </w:rPr>
                    <w:t>PERIODO DEL 01 DE ENERO AL 31 OE DICIEMBRE DE 2024</w:t>
                  </w:r>
                </w:p>
              </w:tc>
            </w:tr>
          </w:tbl>
          <w:p w14:paraId="03A0DC8E" w14:textId="77777777" w:rsidR="00053D93" w:rsidRDefault="00053D93"/>
        </w:tc>
      </w:tr>
    </w:tbl>
    <w:p w14:paraId="43C0A732" w14:textId="77777777" w:rsidR="00053D93" w:rsidRDefault="00260B75">
      <w:pPr>
        <w:spacing w:after="3"/>
        <w:ind w:left="204" w:right="3485" w:hanging="10"/>
      </w:pPr>
      <w:r>
        <w:rPr>
          <w:rFonts w:ascii="Times New Roman" w:eastAsia="Times New Roman" w:hAnsi="Times New Roman" w:cs="Times New Roman"/>
          <w:sz w:val="70"/>
        </w:rPr>
        <w:t>1</w:t>
      </w:r>
    </w:p>
    <w:p w14:paraId="50DB0F5E" w14:textId="77777777" w:rsidR="00053D93" w:rsidRDefault="00053D93">
      <w:pPr>
        <w:sectPr w:rsidR="00053D93">
          <w:headerReference w:type="even" r:id="rId1102"/>
          <w:headerReference w:type="default" r:id="rId1103"/>
          <w:footerReference w:type="even" r:id="rId1104"/>
          <w:footerReference w:type="default" r:id="rId1105"/>
          <w:headerReference w:type="first" r:id="rId1106"/>
          <w:footerReference w:type="first" r:id="rId1107"/>
          <w:pgSz w:w="12290" w:h="15883"/>
          <w:pgMar w:top="662" w:right="1742" w:bottom="389" w:left="302" w:header="439" w:footer="720" w:gutter="0"/>
          <w:cols w:space="720"/>
          <w:titlePg/>
        </w:sectPr>
      </w:pPr>
    </w:p>
    <w:p w14:paraId="7EE959B1" w14:textId="77777777" w:rsidR="00053D93" w:rsidRDefault="00260B75">
      <w:pPr>
        <w:spacing w:after="41"/>
        <w:ind w:left="1771"/>
      </w:pPr>
      <w:r>
        <w:rPr>
          <w:noProof/>
        </w:rPr>
        <mc:AlternateContent>
          <mc:Choice Requires="wpg">
            <w:drawing>
              <wp:inline distT="0" distB="0" distL="0" distR="0" wp14:anchorId="528FB3A9" wp14:editId="6DEC44DD">
                <wp:extent cx="5385816" cy="13716"/>
                <wp:effectExtent l="0" t="0" r="0" b="0"/>
                <wp:docPr id="2458589" name="Group 2458589"/>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588" name="Shape 2458588"/>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89" style="width:424.08pt;height:1.07999pt;mso-position-horizontal-relative:char;mso-position-vertical-relative:line" coordsize="53858,137">
                <v:shape id="Shape 2458588" style="position:absolute;width:53858;height:137;left:0;top:0;" coordsize="5385816,13716" path="m0,6858l5385816,6858">
                  <v:stroke weight="1.07999pt" endcap="flat" joinstyle="miter" miterlimit="1" on="true" color="#000000"/>
                  <v:fill on="false" color="#000000"/>
                </v:shape>
              </v:group>
            </w:pict>
          </mc:Fallback>
        </mc:AlternateContent>
      </w:r>
    </w:p>
    <w:p w14:paraId="5922E59E" w14:textId="77777777" w:rsidR="00053D93" w:rsidRDefault="00260B75">
      <w:pPr>
        <w:spacing w:after="3" w:line="282" w:lineRule="auto"/>
        <w:ind w:left="88" w:right="28" w:hanging="17"/>
        <w:jc w:val="both"/>
      </w:pPr>
      <w:r>
        <w:rPr>
          <w:sz w:val="26"/>
        </w:rPr>
        <w:t>1 ...sexta viñeta, establece: "Revisar y firmar documentación para trámite de pago de prestaciones laborales.", séptima viñeta, establece: "Revisar y autorizar los cuadros de movimiento de personal." Numeral 106. Nombre del puesto: Jefe de 1 Acciones de Personal, inciso a. Naturaleza del puesto (función principal), establece: "Realizar las acciones pertinentes conforme lo establecen las funciones 1 para el proceso que conlleva el reclutamiento y selección de personal, partiendo en su orden de la convocatoria, luego la evaluación, propuesta y lo que significa el registro y control de los cuadros de movimiento del personal en cuanto a la toma 1 de posesión o entrega de puesto." Inciso b. Funciones, primera viñeta establece:</w:t>
      </w:r>
    </w:p>
    <w:p w14:paraId="2ACFC43A" w14:textId="77777777" w:rsidR="00053D93" w:rsidRDefault="00260B75">
      <w:pPr>
        <w:spacing w:after="1"/>
        <w:ind w:left="10" w:right="28" w:hanging="10"/>
        <w:jc w:val="right"/>
      </w:pPr>
      <w:r>
        <w:rPr>
          <w:sz w:val="26"/>
          <w:vertAlign w:val="superscript"/>
        </w:rPr>
        <w:t xml:space="preserve">U </w:t>
      </w:r>
      <w:r>
        <w:rPr>
          <w:sz w:val="26"/>
        </w:rPr>
        <w:t>PIanificar, organizar y dirigir las diferentes acciones y registros de personal del</w:t>
      </w:r>
    </w:p>
    <w:p w14:paraId="7FA7B923" w14:textId="77777777" w:rsidR="00053D93" w:rsidRDefault="00260B75">
      <w:pPr>
        <w:spacing w:after="132" w:line="218" w:lineRule="auto"/>
        <w:ind w:left="71" w:right="28" w:firstLine="1721"/>
        <w:jc w:val="both"/>
      </w:pPr>
      <w:r>
        <w:rPr>
          <w:sz w:val="26"/>
        </w:rPr>
        <w:t>Departamento de Acciones de Personal." ...viñeta siete, establece: "Atender lo 1 referente a licencias, traslados, permutas y otros movimientos de personal que se presenten, de acuerdo a la legislación guatemalteca vigente." Numeral 123.</w:t>
      </w:r>
    </w:p>
    <w:p w14:paraId="60766C46" w14:textId="77777777" w:rsidR="00053D93" w:rsidRDefault="00260B75">
      <w:pPr>
        <w:spacing w:after="3" w:line="218" w:lineRule="auto"/>
        <w:ind w:left="88" w:right="28" w:hanging="17"/>
        <w:jc w:val="both"/>
      </w:pPr>
      <w:r>
        <w:rPr>
          <w:sz w:val="26"/>
        </w:rPr>
        <w:t xml:space="preserve">1 Nombre del Puesto: Jefe Sección de Inventarios, ...inciso b. Funciones, primera viñeta, establece: "Planificar, organizar y dirigir las actividades de la sección de inventarios a su cargo." onceava viñeta, establece: "Actualizar y depurar tarjetas </w:t>
      </w:r>
      <w:r>
        <w:rPr>
          <w:noProof/>
        </w:rPr>
        <mc:AlternateContent>
          <mc:Choice Requires="wpg">
            <w:drawing>
              <wp:inline distT="0" distB="0" distL="0" distR="0" wp14:anchorId="1C1AD6C3" wp14:editId="4CADAFB6">
                <wp:extent cx="118872" cy="292608"/>
                <wp:effectExtent l="0" t="0" r="0" b="0"/>
                <wp:docPr id="2456433" name="Group 2456433"/>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784411" name="Rectangle 784411"/>
                        <wps:cNvSpPr/>
                        <wps:spPr>
                          <a:xfrm>
                            <a:off x="0" y="0"/>
                            <a:ext cx="158100" cy="389169"/>
                          </a:xfrm>
                          <a:prstGeom prst="rect">
                            <a:avLst/>
                          </a:prstGeom>
                          <a:ln>
                            <a:noFill/>
                          </a:ln>
                        </wps:spPr>
                        <wps:txbx>
                          <w:txbxContent>
                            <w:p w14:paraId="4213223C"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1C1AD6C3" id="Group 2456433" o:spid="_x0000_s1429"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">
                <v:rect id="Rectangle 784411" o:spid="_x0000_s1430"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" filled="f" stroked="f">
                  <v:textbox inset="0,0,0,0">
                    <w:txbxContent>
                      <w:p w14:paraId="4213223C" w14:textId="77777777" w:rsidR="00053D93" w:rsidRDefault="00260B75">
                        <w:r>
                          <w:rPr>
                            <w:sz w:val="70"/>
                          </w:rPr>
                          <w:t>1</w:t>
                        </w:r>
                      </w:p>
                    </w:txbxContent>
                  </v:textbox>
                </v:rect>
                <w10:anchorlock/>
              </v:group>
            </w:pict>
          </mc:Fallback>
        </mc:AlternateContent>
      </w:r>
      <w:r>
        <w:rPr>
          <w:sz w:val="26"/>
        </w:rPr>
        <w:t xml:space="preserve"> de responsabilidad de los empleados de la DIGEF." Numeral 124-125. Nombre del puesto: Asistente de Inventarios, inciso b. Funciones, onceava viñeta, establece:</w:t>
      </w:r>
    </w:p>
    <w:p w14:paraId="3A249D4F" w14:textId="77777777" w:rsidR="00053D93" w:rsidRDefault="00260B75">
      <w:pPr>
        <w:spacing w:after="1"/>
        <w:ind w:left="10" w:right="245" w:hanging="10"/>
        <w:jc w:val="right"/>
      </w:pPr>
      <w:r>
        <w:rPr>
          <w:sz w:val="26"/>
        </w:rPr>
        <w:t>"Actualizar y depurar tarjetas de responsabilidad de los empleados de la DIGEF.'</w:t>
      </w:r>
      <w:r>
        <w:rPr>
          <w:noProof/>
        </w:rPr>
        <w:drawing>
          <wp:inline distT="0" distB="0" distL="0" distR="0" wp14:anchorId="3E3AADC9" wp14:editId="6C29DB99">
            <wp:extent cx="18289" cy="41148"/>
            <wp:effectExtent l="0" t="0" r="0" b="0"/>
            <wp:docPr id="787469" name="Picture 787469"/>
            <wp:cNvGraphicFramePr/>
            <a:graphic xmlns:a="http://schemas.openxmlformats.org/drawingml/2006/main">
              <a:graphicData uri="http://schemas.openxmlformats.org/drawingml/2006/picture">
                <pic:pic xmlns:pic="http://schemas.openxmlformats.org/drawingml/2006/picture">
                  <pic:nvPicPr>
                    <pic:cNvPr id="787469" name="Picture 787469"/>
                    <pic:cNvPicPr/>
                  </pic:nvPicPr>
                  <pic:blipFill>
                    <a:blip r:embed="rId1108"/>
                    <a:stretch>
                      <a:fillRect/>
                    </a:stretch>
                  </pic:blipFill>
                  <pic:spPr>
                    <a:xfrm>
                      <a:off x="0" y="0"/>
                      <a:ext cx="18289" cy="41148"/>
                    </a:xfrm>
                    <a:prstGeom prst="rect">
                      <a:avLst/>
                    </a:prstGeom>
                  </pic:spPr>
                </pic:pic>
              </a:graphicData>
            </a:graphic>
          </wp:inline>
        </w:drawing>
      </w:r>
    </w:p>
    <w:p w14:paraId="29B3BE69" w14:textId="77777777" w:rsidR="00053D93" w:rsidRDefault="00260B75">
      <w:pPr>
        <w:spacing w:after="3"/>
        <w:ind w:left="74" w:right="3485" w:hanging="10"/>
      </w:pPr>
      <w:r>
        <w:rPr>
          <w:sz w:val="70"/>
        </w:rPr>
        <w:t>1</w:t>
      </w:r>
    </w:p>
    <w:tbl>
      <w:tblPr>
        <w:tblStyle w:val="TableGrid"/>
        <w:tblpPr w:vertAnchor="page" w:horzAnchor="page" w:tblpX="2862" w:tblpY="14551"/>
        <w:tblOverlap w:val="never"/>
        <w:tblW w:w="7664" w:type="dxa"/>
        <w:tblInd w:w="0" w:type="dxa"/>
        <w:tblCellMar>
          <w:top w:w="21" w:type="dxa"/>
          <w:left w:w="1775" w:type="dxa"/>
          <w:right w:w="115" w:type="dxa"/>
        </w:tblCellMar>
        <w:tblLook w:val="04A0" w:firstRow="1" w:lastRow="0" w:firstColumn="1" w:lastColumn="0" w:noHBand="0" w:noVBand="1"/>
      </w:tblPr>
      <w:tblGrid>
        <w:gridCol w:w="7664"/>
      </w:tblGrid>
      <w:tr w:rsidR="00053D93" w14:paraId="63C2FF1E" w14:textId="77777777">
        <w:trPr>
          <w:trHeight w:val="41"/>
        </w:trPr>
        <w:tc>
          <w:tcPr>
            <w:tcW w:w="7664" w:type="dxa"/>
            <w:tcBorders>
              <w:top w:val="nil"/>
              <w:left w:val="single" w:sz="2" w:space="0" w:color="000000"/>
              <w:bottom w:val="single" w:sz="2" w:space="0" w:color="000000"/>
              <w:right w:val="nil"/>
            </w:tcBorders>
          </w:tcPr>
          <w:p w14:paraId="6F9C8C65" w14:textId="77777777" w:rsidR="00053D93" w:rsidRDefault="00053D93"/>
        </w:tc>
      </w:tr>
      <w:tr w:rsidR="00053D93" w14:paraId="68AFB12A" w14:textId="77777777">
        <w:trPr>
          <w:trHeight w:val="600"/>
        </w:trPr>
        <w:tc>
          <w:tcPr>
            <w:tcW w:w="7664" w:type="dxa"/>
            <w:tcBorders>
              <w:top w:val="single" w:sz="2" w:space="0" w:color="000000"/>
              <w:left w:val="single" w:sz="2" w:space="0" w:color="000000"/>
              <w:bottom w:val="nil"/>
              <w:right w:val="nil"/>
            </w:tcBorders>
          </w:tcPr>
          <w:p w14:paraId="4AC208A0" w14:textId="77777777" w:rsidR="00053D93" w:rsidRDefault="00260B75">
            <w:pPr>
              <w:ind w:left="842"/>
            </w:pPr>
            <w:r>
              <w:rPr>
                <w:sz w:val="14"/>
              </w:rPr>
              <w:t>MINISTERIO DE EDUCACION</w:t>
            </w:r>
          </w:p>
          <w:p w14:paraId="10D1BD17" w14:textId="77777777" w:rsidR="00053D93" w:rsidRDefault="00260B75">
            <w:pPr>
              <w:ind w:left="338"/>
            </w:pPr>
            <w:r>
              <w:rPr>
                <w:sz w:val="14"/>
              </w:rPr>
              <w:t>AUDITORIA FINANCIERA Y DE CUMPLIMIENTO</w:t>
            </w:r>
          </w:p>
          <w:p w14:paraId="594FE276" w14:textId="77777777" w:rsidR="00053D93" w:rsidRDefault="00260B75">
            <w:r>
              <w:rPr>
                <w:sz w:val="14"/>
              </w:rPr>
              <w:t>PERIODO DEL 01 DE ENERO AL 31 DE DICIEMBRE DE 2024</w:t>
            </w:r>
          </w:p>
        </w:tc>
      </w:tr>
    </w:tbl>
    <w:p w14:paraId="372C9277" w14:textId="77777777" w:rsidR="00053D93" w:rsidRDefault="00260B75">
      <w:pPr>
        <w:spacing w:after="3" w:line="218" w:lineRule="auto"/>
        <w:ind w:left="71" w:right="28" w:firstLine="1663"/>
        <w:jc w:val="both"/>
      </w:pPr>
      <w:r>
        <w:rPr>
          <w:noProof/>
        </w:rPr>
        <w:drawing>
          <wp:anchor distT="0" distB="0" distL="114300" distR="114300" simplePos="0" relativeHeight="252081152" behindDoc="0" locked="0" layoutInCell="1" allowOverlap="0" wp14:anchorId="1CDA65C9" wp14:editId="017F8466">
            <wp:simplePos x="0" y="0"/>
            <wp:positionH relativeFrom="page">
              <wp:posOffset>690372</wp:posOffset>
            </wp:positionH>
            <wp:positionV relativeFrom="page">
              <wp:posOffset>9240011</wp:posOffset>
            </wp:positionV>
            <wp:extent cx="1074420" cy="411480"/>
            <wp:effectExtent l="0" t="0" r="0" b="0"/>
            <wp:wrapTopAndBottom/>
            <wp:docPr id="787525" name="Picture 787525"/>
            <wp:cNvGraphicFramePr/>
            <a:graphic xmlns:a="http://schemas.openxmlformats.org/drawingml/2006/main">
              <a:graphicData uri="http://schemas.openxmlformats.org/drawingml/2006/picture">
                <pic:pic xmlns:pic="http://schemas.openxmlformats.org/drawingml/2006/picture">
                  <pic:nvPicPr>
                    <pic:cNvPr id="787525" name="Picture 787525"/>
                    <pic:cNvPicPr/>
                  </pic:nvPicPr>
                  <pic:blipFill>
                    <a:blip r:embed="rId1109"/>
                    <a:stretch>
                      <a:fillRect/>
                    </a:stretch>
                  </pic:blipFill>
                  <pic:spPr>
                    <a:xfrm>
                      <a:off x="0" y="0"/>
                      <a:ext cx="1074420" cy="411480"/>
                    </a:xfrm>
                    <a:prstGeom prst="rect">
                      <a:avLst/>
                    </a:prstGeom>
                  </pic:spPr>
                </pic:pic>
              </a:graphicData>
            </a:graphic>
          </wp:anchor>
        </w:drawing>
      </w:r>
      <w:r>
        <w:rPr>
          <w:noProof/>
        </w:rPr>
        <w:drawing>
          <wp:anchor distT="0" distB="0" distL="114300" distR="114300" simplePos="0" relativeHeight="252082176" behindDoc="0" locked="0" layoutInCell="1" allowOverlap="0" wp14:anchorId="1406EF42" wp14:editId="69158547">
            <wp:simplePos x="0" y="0"/>
            <wp:positionH relativeFrom="page">
              <wp:posOffset>6995161</wp:posOffset>
            </wp:positionH>
            <wp:positionV relativeFrom="page">
              <wp:posOffset>2359152</wp:posOffset>
            </wp:positionV>
            <wp:extent cx="9144" cy="9144"/>
            <wp:effectExtent l="0" t="0" r="0" b="0"/>
            <wp:wrapSquare wrapText="bothSides"/>
            <wp:docPr id="787468" name="Picture 787468"/>
            <wp:cNvGraphicFramePr/>
            <a:graphic xmlns:a="http://schemas.openxmlformats.org/drawingml/2006/main">
              <a:graphicData uri="http://schemas.openxmlformats.org/drawingml/2006/picture">
                <pic:pic xmlns:pic="http://schemas.openxmlformats.org/drawingml/2006/picture">
                  <pic:nvPicPr>
                    <pic:cNvPr id="787468" name="Picture 787468"/>
                    <pic:cNvPicPr/>
                  </pic:nvPicPr>
                  <pic:blipFill>
                    <a:blip r:embed="rId93"/>
                    <a:stretch>
                      <a:fillRect/>
                    </a:stretch>
                  </pic:blipFill>
                  <pic:spPr>
                    <a:xfrm>
                      <a:off x="0" y="0"/>
                      <a:ext cx="9144" cy="9144"/>
                    </a:xfrm>
                    <a:prstGeom prst="rect">
                      <a:avLst/>
                    </a:prstGeom>
                  </pic:spPr>
                </pic:pic>
              </a:graphicData>
            </a:graphic>
          </wp:anchor>
        </w:drawing>
      </w:r>
      <w:r>
        <w:rPr>
          <w:noProof/>
        </w:rPr>
        <mc:AlternateContent>
          <mc:Choice Requires="wpg">
            <w:drawing>
              <wp:anchor distT="0" distB="0" distL="114300" distR="114300" simplePos="0" relativeHeight="252083200" behindDoc="0" locked="0" layoutInCell="1" allowOverlap="1" wp14:anchorId="79A6D303" wp14:editId="0FFA16EC">
                <wp:simplePos x="0" y="0"/>
                <wp:positionH relativeFrom="column">
                  <wp:posOffset>73152</wp:posOffset>
                </wp:positionH>
                <wp:positionV relativeFrom="paragraph">
                  <wp:posOffset>181292</wp:posOffset>
                </wp:positionV>
                <wp:extent cx="114300" cy="292608"/>
                <wp:effectExtent l="0" t="0" r="0" b="0"/>
                <wp:wrapSquare wrapText="bothSides"/>
                <wp:docPr id="2456434" name="Group 2456434"/>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784413" name="Rectangle 784413"/>
                        <wps:cNvSpPr/>
                        <wps:spPr>
                          <a:xfrm>
                            <a:off x="0" y="0"/>
                            <a:ext cx="152019" cy="389169"/>
                          </a:xfrm>
                          <a:prstGeom prst="rect">
                            <a:avLst/>
                          </a:prstGeom>
                          <a:ln>
                            <a:noFill/>
                          </a:ln>
                        </wps:spPr>
                        <wps:txbx>
                          <w:txbxContent>
                            <w:p w14:paraId="110C75A5"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79A6D303" id="Group 2456434" o:spid="_x0000_s1431" style="position:absolute;left:0;text-align:left;margin-left:5.75pt;margin-top:14.25pt;width:9pt;height:23.05pt;z-index:252083200;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">
                <v:rect id="Rectangle 784413" o:spid="_x0000_s1432"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" filled="f" stroked="f">
                  <v:textbox inset="0,0,0,0">
                    <w:txbxContent>
                      <w:p w14:paraId="110C75A5" w14:textId="77777777" w:rsidR="00053D93" w:rsidRDefault="00260B75">
                        <w:r>
                          <w:rPr>
                            <w:sz w:val="70"/>
                          </w:rPr>
                          <w:t>1</w:t>
                        </w:r>
                      </w:p>
                    </w:txbxContent>
                  </v:textbox>
                </v:rect>
                <w10:wrap type="square"/>
              </v:group>
            </w:pict>
          </mc:Fallback>
        </mc:AlternateContent>
      </w:r>
      <w:r>
        <w:rPr>
          <w:noProof/>
        </w:rPr>
        <mc:AlternateContent>
          <mc:Choice Requires="wpg">
            <w:drawing>
              <wp:anchor distT="0" distB="0" distL="114300" distR="114300" simplePos="0" relativeHeight="252084224" behindDoc="0" locked="0" layoutInCell="1" allowOverlap="1" wp14:anchorId="084E26E4" wp14:editId="3936B36C">
                <wp:simplePos x="0" y="0"/>
                <wp:positionH relativeFrom="column">
                  <wp:posOffset>86868</wp:posOffset>
                </wp:positionH>
                <wp:positionV relativeFrom="paragraph">
                  <wp:posOffset>1214564</wp:posOffset>
                </wp:positionV>
                <wp:extent cx="114300" cy="292608"/>
                <wp:effectExtent l="0" t="0" r="0" b="0"/>
                <wp:wrapSquare wrapText="bothSides"/>
                <wp:docPr id="2456435" name="Group 2456435"/>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784415" name="Rectangle 784415"/>
                        <wps:cNvSpPr/>
                        <wps:spPr>
                          <a:xfrm>
                            <a:off x="0" y="0"/>
                            <a:ext cx="152019" cy="389168"/>
                          </a:xfrm>
                          <a:prstGeom prst="rect">
                            <a:avLst/>
                          </a:prstGeom>
                          <a:ln>
                            <a:noFill/>
                          </a:ln>
                        </wps:spPr>
                        <wps:txbx>
                          <w:txbxContent>
                            <w:p w14:paraId="69032E66"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084E26E4" id="Group 2456435" o:spid="_x0000_s1433" style="position:absolute;left:0;text-align:left;margin-left:6.85pt;margin-top:95.65pt;width:9pt;height:23.05pt;z-index:252084224;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">
                <v:rect id="Rectangle 784415" o:spid="_x0000_s1434" style="position:absolute;width:152019;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" filled="f" stroked="f">
                  <v:textbox inset="0,0,0,0">
                    <w:txbxContent>
                      <w:p w14:paraId="69032E66" w14:textId="77777777" w:rsidR="00053D93" w:rsidRDefault="00260B75">
                        <w:r>
                          <w:rPr>
                            <w:sz w:val="66"/>
                          </w:rPr>
                          <w:t>1</w:t>
                        </w:r>
                      </w:p>
                    </w:txbxContent>
                  </v:textbox>
                </v:rect>
                <w10:wrap type="square"/>
              </v:group>
            </w:pict>
          </mc:Fallback>
        </mc:AlternateContent>
      </w:r>
      <w:r>
        <w:rPr>
          <w:noProof/>
        </w:rPr>
        <mc:AlternateContent>
          <mc:Choice Requires="wpg">
            <w:drawing>
              <wp:anchor distT="0" distB="0" distL="114300" distR="114300" simplePos="0" relativeHeight="252085248" behindDoc="0" locked="0" layoutInCell="1" allowOverlap="1" wp14:anchorId="028E11BA" wp14:editId="1F4AB7BB">
                <wp:simplePos x="0" y="0"/>
                <wp:positionH relativeFrom="column">
                  <wp:posOffset>86868</wp:posOffset>
                </wp:positionH>
                <wp:positionV relativeFrom="paragraph">
                  <wp:posOffset>1726628</wp:posOffset>
                </wp:positionV>
                <wp:extent cx="118872" cy="297180"/>
                <wp:effectExtent l="0" t="0" r="0" b="0"/>
                <wp:wrapSquare wrapText="bothSides"/>
                <wp:docPr id="2456436" name="Group 2456436"/>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784416" name="Rectangle 784416"/>
                        <wps:cNvSpPr/>
                        <wps:spPr>
                          <a:xfrm>
                            <a:off x="0" y="0"/>
                            <a:ext cx="158100" cy="395249"/>
                          </a:xfrm>
                          <a:prstGeom prst="rect">
                            <a:avLst/>
                          </a:prstGeom>
                          <a:ln>
                            <a:noFill/>
                          </a:ln>
                        </wps:spPr>
                        <wps:txbx>
                          <w:txbxContent>
                            <w:p w14:paraId="43863138"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028E11BA" id="Group 2456436" o:spid="_x0000_s1435" style="position:absolute;left:0;text-align:left;margin-left:6.85pt;margin-top:135.95pt;width:9.35pt;height:23.4pt;z-index:252085248;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">
                <v:rect id="Rectangle 784416" o:spid="_x0000_s1436"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" filled="f" stroked="f">
                  <v:textbox inset="0,0,0,0">
                    <w:txbxContent>
                      <w:p w14:paraId="43863138" w14:textId="77777777" w:rsidR="00053D93" w:rsidRDefault="00260B75">
                        <w:r>
                          <w:rPr>
                            <w:sz w:val="70"/>
                          </w:rPr>
                          <w:t>1</w:t>
                        </w:r>
                      </w:p>
                    </w:txbxContent>
                  </v:textbox>
                </v:rect>
                <w10:wrap type="square"/>
              </v:group>
            </w:pict>
          </mc:Fallback>
        </mc:AlternateContent>
      </w:r>
      <w:r>
        <w:rPr>
          <w:sz w:val="26"/>
        </w:rPr>
        <w:t>La Resolución No. 1113, del Ministerio de Educación, que aprueba la publicación y utilización de los documentos que encuentran en el Sitio Web del Sistema de Gestión de ta Calidad del Ministerio de Educación, los cuales son actualizados y aprobados por las autoridades correspondientes para uso oficial en el desarrollo 1 de los procesos administrativos, Instructivo Asignación de Bienes Muebles, Código: INV-lNS-02, Versión: 1 del 17 de noviembre de 2015; Literal C. Descripción de Actividades y Responsables. Literal C.I . Gestiones relacionadas con la asignación de bienes a funcionarios o empleados públicos y Directores de Centros Educativos Públicos; literal C. 1.4 Entrega de puesto, establece: "Actividad 1. Realizar inventario de bienes, Responsable, Encargado de Inventarios I Asistente de Inventarios, Descripción de las Actividades, establece: "Recibe los bienes y el formulario INV-FOR-03 "Control de Descargo y Cargo del 1 Resguardo de Bienes Muebles". Realiza inventario físico de bienes, según la información registrada en el formulario..." NOTA: Para efectos de llevar un mejor control de los cambios internos o definitivos del personal, el Jefe del 1 Departamento/Sección de Recursos Humanos, debe informar al Encargado de</w:t>
      </w:r>
    </w:p>
    <w:p w14:paraId="43FBC2E3" w14:textId="77777777" w:rsidR="00053D93" w:rsidRDefault="00260B75">
      <w:pPr>
        <w:spacing w:after="3" w:line="218" w:lineRule="auto"/>
        <w:ind w:left="180" w:right="28" w:firstLine="1598"/>
        <w:jc w:val="both"/>
      </w:pPr>
      <w:r>
        <w:rPr>
          <w:noProof/>
        </w:rPr>
        <mc:AlternateContent>
          <mc:Choice Requires="wpg">
            <w:drawing>
              <wp:anchor distT="0" distB="0" distL="114300" distR="114300" simplePos="0" relativeHeight="252086272" behindDoc="0" locked="0" layoutInCell="1" allowOverlap="1" wp14:anchorId="10774C64" wp14:editId="4BBA5F6F">
                <wp:simplePos x="0" y="0"/>
                <wp:positionH relativeFrom="column">
                  <wp:posOffset>105156</wp:posOffset>
                </wp:positionH>
                <wp:positionV relativeFrom="paragraph">
                  <wp:posOffset>165846</wp:posOffset>
                </wp:positionV>
                <wp:extent cx="114300" cy="297180"/>
                <wp:effectExtent l="0" t="0" r="0" b="0"/>
                <wp:wrapSquare wrapText="bothSides"/>
                <wp:docPr id="2456437" name="Group 2456437"/>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784419" name="Rectangle 784419"/>
                        <wps:cNvSpPr/>
                        <wps:spPr>
                          <a:xfrm>
                            <a:off x="0" y="0"/>
                            <a:ext cx="152019" cy="395249"/>
                          </a:xfrm>
                          <a:prstGeom prst="rect">
                            <a:avLst/>
                          </a:prstGeom>
                          <a:ln>
                            <a:noFill/>
                          </a:ln>
                        </wps:spPr>
                        <wps:txbx>
                          <w:txbxContent>
                            <w:p w14:paraId="40D3415D"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10774C64" id="Group 2456437" o:spid="_x0000_s1437" style="position:absolute;left:0;text-align:left;margin-left:8.3pt;margin-top:13.05pt;width:9pt;height:23.4pt;z-index:252086272;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">
                <v:rect id="Rectangle 784419" o:spid="_x0000_s1438"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" filled="f" stroked="f">
                  <v:textbox inset="0,0,0,0">
                    <w:txbxContent>
                      <w:p w14:paraId="40D3415D" w14:textId="77777777" w:rsidR="00053D93" w:rsidRDefault="00260B75">
                        <w:r>
                          <w:rPr>
                            <w:sz w:val="70"/>
                          </w:rPr>
                          <w:t>1</w:t>
                        </w:r>
                      </w:p>
                    </w:txbxContent>
                  </v:textbox>
                </v:rect>
                <w10:wrap type="square"/>
              </v:group>
            </w:pict>
          </mc:Fallback>
        </mc:AlternateContent>
      </w:r>
      <w:r>
        <w:rPr>
          <w:sz w:val="26"/>
        </w:rPr>
        <w:t xml:space="preserve">Inventarios, por Io menos 5 días hábiles de anticipación, para que prepare el Resguardo de Bienes. Al momento de que un colaborador entrega un cargo, revisa los bienes que consten en el inventario del Resguardo de Bienes del SICON-WEB. En el caso que no se encuentren completos los bienes, se suscribe </w:t>
      </w:r>
      <w:r>
        <w:rPr>
          <w:noProof/>
        </w:rPr>
        <mc:AlternateContent>
          <mc:Choice Requires="wpg">
            <w:drawing>
              <wp:inline distT="0" distB="0" distL="0" distR="0" wp14:anchorId="47EC0DA0" wp14:editId="45D386F8">
                <wp:extent cx="118872" cy="292608"/>
                <wp:effectExtent l="0" t="0" r="0" b="0"/>
                <wp:docPr id="2456438" name="Group 2456438"/>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784420" name="Rectangle 784420"/>
                        <wps:cNvSpPr/>
                        <wps:spPr>
                          <a:xfrm>
                            <a:off x="0" y="0"/>
                            <a:ext cx="158100" cy="389168"/>
                          </a:xfrm>
                          <a:prstGeom prst="rect">
                            <a:avLst/>
                          </a:prstGeom>
                          <a:ln>
                            <a:noFill/>
                          </a:ln>
                        </wps:spPr>
                        <wps:txbx>
                          <w:txbxContent>
                            <w:p w14:paraId="49FE14E2"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7EC0DA0" id="Group 2456438" o:spid="_x0000_s1439"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">
                <v:rect id="Rectangle 784420" o:spid="_x0000_s1440" style="position:absolute;width:158100;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" filled="f" stroked="f">
                  <v:textbox inset="0,0,0,0">
                    <w:txbxContent>
                      <w:p w14:paraId="49FE14E2" w14:textId="77777777" w:rsidR="00053D93" w:rsidRDefault="00260B75">
                        <w:r>
                          <w:rPr>
                            <w:sz w:val="70"/>
                          </w:rPr>
                          <w:t>1</w:t>
                        </w:r>
                      </w:p>
                    </w:txbxContent>
                  </v:textbox>
                </v:rect>
                <w10:anchorlock/>
              </v:group>
            </w:pict>
          </mc:Fallback>
        </mc:AlternateContent>
      </w:r>
      <w:r>
        <w:rPr>
          <w:sz w:val="26"/>
        </w:rPr>
        <w:t xml:space="preserve"> acta correspondiente, dejando de manifiesto las inconsistencias detectadas y exigiéndose al (la) responsable, mostrarlos o en su defecto, reintegrarlos. (Ver Circular 3-57, "Instrucciones sobre Inventarios de Oficinas Públicas". La autoridad</w:t>
      </w:r>
    </w:p>
    <w:p w14:paraId="2C704845" w14:textId="77777777" w:rsidR="00053D93" w:rsidRDefault="00260B75">
      <w:pPr>
        <w:spacing w:after="95" w:line="265" w:lineRule="auto"/>
        <w:ind w:left="1846" w:right="166" w:hanging="10"/>
        <w:jc w:val="center"/>
      </w:pPr>
      <w:r>
        <w:rPr>
          <w:sz w:val="14"/>
        </w:rPr>
        <w:t>167</w:t>
      </w:r>
    </w:p>
    <w:p w14:paraId="6A9155AE" w14:textId="77777777" w:rsidR="00053D93" w:rsidRDefault="00260B75">
      <w:pPr>
        <w:spacing w:after="42"/>
        <w:ind w:left="1598"/>
      </w:pPr>
      <w:r>
        <w:rPr>
          <w:noProof/>
        </w:rPr>
        <mc:AlternateContent>
          <mc:Choice Requires="wpg">
            <w:drawing>
              <wp:inline distT="0" distB="0" distL="0" distR="0" wp14:anchorId="5EEDBBBF" wp14:editId="61487E8D">
                <wp:extent cx="5468112" cy="13716"/>
                <wp:effectExtent l="0" t="0" r="0" b="0"/>
                <wp:docPr id="2458597" name="Group 2458597"/>
                <wp:cNvGraphicFramePr/>
                <a:graphic xmlns:a="http://schemas.openxmlformats.org/drawingml/2006/main">
                  <a:graphicData uri="http://schemas.microsoft.com/office/word/2010/wordprocessingGroup">
                    <wpg:wgp>
                      <wpg:cNvGrpSpPr/>
                      <wpg:grpSpPr>
                        <a:xfrm>
                          <a:off x="0" y="0"/>
                          <a:ext cx="5468112" cy="13716"/>
                          <a:chOff x="0" y="0"/>
                          <a:chExt cx="5468112" cy="13716"/>
                        </a:xfrm>
                      </wpg:grpSpPr>
                      <wps:wsp>
                        <wps:cNvPr id="2458596" name="Shape 2458596"/>
                        <wps:cNvSpPr/>
                        <wps:spPr>
                          <a:xfrm>
                            <a:off x="0" y="0"/>
                            <a:ext cx="5468112" cy="13716"/>
                          </a:xfrm>
                          <a:custGeom>
                            <a:avLst/>
                            <a:gdLst/>
                            <a:ahLst/>
                            <a:cxnLst/>
                            <a:rect l="0" t="0" r="0" b="0"/>
                            <a:pathLst>
                              <a:path w="5468112" h="13716">
                                <a:moveTo>
                                  <a:pt x="0" y="6858"/>
                                </a:moveTo>
                                <a:lnTo>
                                  <a:pt x="546811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97" style="width:430.56pt;height:1.07999pt;mso-position-horizontal-relative:char;mso-position-vertical-relative:line" coordsize="54681,137">
                <v:shape id="Shape 2458596" style="position:absolute;width:54681;height:137;left:0;top:0;" coordsize="5468112,13716" path="m0,6858l5468112,6858">
                  <v:stroke weight="1.07999pt" endcap="flat" joinstyle="miter" miterlimit="1" on="true" color="#000000"/>
                  <v:fill on="false" color="#000000"/>
                </v:shape>
              </v:group>
            </w:pict>
          </mc:Fallback>
        </mc:AlternateContent>
      </w:r>
    </w:p>
    <w:p w14:paraId="6490F383" w14:textId="77777777" w:rsidR="00053D93" w:rsidRDefault="00260B75">
      <w:pPr>
        <w:spacing w:after="4" w:line="269" w:lineRule="auto"/>
        <w:ind w:left="1731" w:right="14" w:hanging="3"/>
        <w:jc w:val="both"/>
      </w:pPr>
      <w:r>
        <w:rPr>
          <w:noProof/>
        </w:rPr>
        <w:drawing>
          <wp:anchor distT="0" distB="0" distL="114300" distR="114300" simplePos="0" relativeHeight="252087296" behindDoc="0" locked="0" layoutInCell="1" allowOverlap="0" wp14:anchorId="352BE434" wp14:editId="6FDE77D4">
            <wp:simplePos x="0" y="0"/>
            <wp:positionH relativeFrom="column">
              <wp:posOffset>6432805</wp:posOffset>
            </wp:positionH>
            <wp:positionV relativeFrom="paragraph">
              <wp:posOffset>193060</wp:posOffset>
            </wp:positionV>
            <wp:extent cx="41148" cy="45720"/>
            <wp:effectExtent l="0" t="0" r="0" b="0"/>
            <wp:wrapSquare wrapText="bothSides"/>
            <wp:docPr id="2458590" name="Picture 2458590"/>
            <wp:cNvGraphicFramePr/>
            <a:graphic xmlns:a="http://schemas.openxmlformats.org/drawingml/2006/main">
              <a:graphicData uri="http://schemas.openxmlformats.org/drawingml/2006/picture">
                <pic:pic xmlns:pic="http://schemas.openxmlformats.org/drawingml/2006/picture">
                  <pic:nvPicPr>
                    <pic:cNvPr id="2458590" name="Picture 2458590"/>
                    <pic:cNvPicPr/>
                  </pic:nvPicPr>
                  <pic:blipFill>
                    <a:blip r:embed="rId1110"/>
                    <a:stretch>
                      <a:fillRect/>
                    </a:stretch>
                  </pic:blipFill>
                  <pic:spPr>
                    <a:xfrm>
                      <a:off x="0" y="0"/>
                      <a:ext cx="41148" cy="45720"/>
                    </a:xfrm>
                    <a:prstGeom prst="rect">
                      <a:avLst/>
                    </a:prstGeom>
                  </pic:spPr>
                </pic:pic>
              </a:graphicData>
            </a:graphic>
          </wp:anchor>
        </w:drawing>
      </w:r>
      <w:r>
        <w:rPr>
          <w:sz w:val="26"/>
        </w:rPr>
        <w:t>inmediata superior debe tener conocimiento del contenido del documento, para que puedan girarse las instrucciones que correspondan según amerite el caso. Actividad 2. Desasignar el Bien, Responsable, Encargado de Inventarios /</w:t>
      </w:r>
    </w:p>
    <w:p w14:paraId="27DAD9BC" w14:textId="77777777" w:rsidR="00053D93" w:rsidRDefault="00260B75">
      <w:pPr>
        <w:spacing w:after="3" w:line="269" w:lineRule="auto"/>
        <w:ind w:left="67" w:right="14" w:hanging="10"/>
        <w:jc w:val="right"/>
      </w:pPr>
      <w:r>
        <w:rPr>
          <w:sz w:val="26"/>
        </w:rPr>
        <w:t>Asistente de Inventarios, Descripción de las Actividades, establece: "Ingresa al</w:t>
      </w:r>
    </w:p>
    <w:p w14:paraId="11DFBF6A" w14:textId="77777777" w:rsidR="00053D93" w:rsidRDefault="00260B75">
      <w:pPr>
        <w:spacing w:after="236" w:line="269" w:lineRule="auto"/>
        <w:ind w:left="57" w:right="14" w:firstLine="1692"/>
        <w:jc w:val="both"/>
      </w:pPr>
      <w:r>
        <w:rPr>
          <w:noProof/>
        </w:rPr>
        <mc:AlternateContent>
          <mc:Choice Requires="wpg">
            <w:drawing>
              <wp:anchor distT="0" distB="0" distL="114300" distR="114300" simplePos="0" relativeHeight="252088320" behindDoc="0" locked="0" layoutInCell="1" allowOverlap="1" wp14:anchorId="44A7F128" wp14:editId="79DB7028">
                <wp:simplePos x="0" y="0"/>
                <wp:positionH relativeFrom="column">
                  <wp:posOffset>41148</wp:posOffset>
                </wp:positionH>
                <wp:positionV relativeFrom="paragraph">
                  <wp:posOffset>1223090</wp:posOffset>
                </wp:positionV>
                <wp:extent cx="114300" cy="297181"/>
                <wp:effectExtent l="0" t="0" r="0" b="0"/>
                <wp:wrapSquare wrapText="bothSides"/>
                <wp:docPr id="2456443" name="Group 2456443"/>
                <wp:cNvGraphicFramePr/>
                <a:graphic xmlns:a="http://schemas.openxmlformats.org/drawingml/2006/main">
                  <a:graphicData uri="http://schemas.microsoft.com/office/word/2010/wordprocessingGroup">
                    <wpg:wgp>
                      <wpg:cNvGrpSpPr/>
                      <wpg:grpSpPr>
                        <a:xfrm>
                          <a:off x="0" y="0"/>
                          <a:ext cx="114300" cy="297181"/>
                          <a:chOff x="0" y="0"/>
                          <a:chExt cx="114300" cy="297181"/>
                        </a:xfrm>
                      </wpg:grpSpPr>
                      <wps:wsp>
                        <wps:cNvPr id="788177" name="Rectangle 788177"/>
                        <wps:cNvSpPr/>
                        <wps:spPr>
                          <a:xfrm>
                            <a:off x="0" y="0"/>
                            <a:ext cx="152019" cy="395250"/>
                          </a:xfrm>
                          <a:prstGeom prst="rect">
                            <a:avLst/>
                          </a:prstGeom>
                          <a:ln>
                            <a:noFill/>
                          </a:ln>
                        </wps:spPr>
                        <wps:txbx>
                          <w:txbxContent>
                            <w:p w14:paraId="030B246F"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44A7F128" id="Group 2456443" o:spid="_x0000_s1441" style="position:absolute;left:0;text-align:left;margin-left:3.25pt;margin-top:96.3pt;width:9pt;height:23.4pt;z-index:252088320;mso-position-horizontal-relative:text;mso-position-vertical-relative:text" coordsize="114300,29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">
                <v:rect id="Rectangle 788177" o:spid="_x0000_s1442"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" filled="f" stroked="f">
                  <v:textbox inset="0,0,0,0">
                    <w:txbxContent>
                      <w:p w14:paraId="030B246F" w14:textId="77777777" w:rsidR="00053D93" w:rsidRDefault="00260B75">
                        <w:r>
                          <w:rPr>
                            <w:sz w:val="66"/>
                          </w:rPr>
                          <w:t>1</w:t>
                        </w:r>
                      </w:p>
                    </w:txbxContent>
                  </v:textbox>
                </v:rect>
                <w10:wrap type="square"/>
              </v:group>
            </w:pict>
          </mc:Fallback>
        </mc:AlternateContent>
      </w:r>
      <w:r>
        <w:rPr>
          <w:sz w:val="26"/>
        </w:rPr>
        <w:t>Sistema de Contabilidad Integrada -SICOIN WEB- y libera el Resguardo de Bienes 1 del bien que está asignado al empleado público que entrega el puesto, para poderlo asignar al Jefe inmediato superior de la persona que dejó el cargo..." ...Actividad 4. Asignación o Carga del Bien, Responsable, Encargado de 1 Inventarios / Asistente de Inventarios, Descripción de las Actividades, establece: "Asigna en el Sistema SICOIN WEB al Jefe inmediato superior de la persona que entregó el cargo, el bien objeto de entrega." Actividad 5. Impresión y archivo del Resguardo de Bienes, Responsable, Encargado de Inventarios / Asistente de Inventarios, Descripción de las Actividades, establece: "Imprime del Sistema de 1 Contabilidad Integrada -SICOIN WEB- el Resguardo de Bienes, y queda en poder del encargado de inventarios para su archivo, y entrega copia al Jefe Inmediato como nuevo responsable del bien." Actividad 6. Emitir solvencia de inventario,</w:t>
      </w:r>
    </w:p>
    <w:tbl>
      <w:tblPr>
        <w:tblStyle w:val="TableGrid"/>
        <w:tblpPr w:vertAnchor="page" w:horzAnchor="page" w:tblpX="2848" w:tblpY="14585"/>
        <w:tblOverlap w:val="never"/>
        <w:tblW w:w="7672" w:type="dxa"/>
        <w:tblInd w:w="0" w:type="dxa"/>
        <w:tblCellMar>
          <w:top w:w="34" w:type="dxa"/>
          <w:left w:w="1782" w:type="dxa"/>
          <w:right w:w="115" w:type="dxa"/>
        </w:tblCellMar>
        <w:tblLook w:val="04A0" w:firstRow="1" w:lastRow="0" w:firstColumn="1" w:lastColumn="0" w:noHBand="0" w:noVBand="1"/>
      </w:tblPr>
      <w:tblGrid>
        <w:gridCol w:w="7672"/>
      </w:tblGrid>
      <w:tr w:rsidR="00053D93" w14:paraId="72AA04E4" w14:textId="77777777">
        <w:trPr>
          <w:trHeight w:val="608"/>
        </w:trPr>
        <w:tc>
          <w:tcPr>
            <w:tcW w:w="7672" w:type="dxa"/>
            <w:tcBorders>
              <w:top w:val="single" w:sz="2" w:space="0" w:color="000000"/>
              <w:left w:val="single" w:sz="2" w:space="0" w:color="000000"/>
              <w:bottom w:val="nil"/>
              <w:right w:val="nil"/>
            </w:tcBorders>
          </w:tcPr>
          <w:p w14:paraId="4FBF0F3D" w14:textId="77777777" w:rsidR="00053D93" w:rsidRDefault="00260B75">
            <w:pPr>
              <w:ind w:left="828"/>
            </w:pPr>
            <w:r>
              <w:rPr>
                <w:sz w:val="14"/>
              </w:rPr>
              <w:t>MINISTERIO DE EDUCACION</w:t>
            </w:r>
          </w:p>
          <w:p w14:paraId="6FB866CE" w14:textId="77777777" w:rsidR="00053D93" w:rsidRDefault="00260B75">
            <w:pPr>
              <w:ind w:left="338"/>
            </w:pPr>
            <w:r>
              <w:rPr>
                <w:sz w:val="14"/>
              </w:rPr>
              <w:t>AUDITORIA FINANCIERA Y DE CUMPLIMIENTO</w:t>
            </w:r>
          </w:p>
          <w:p w14:paraId="104CF043" w14:textId="77777777" w:rsidR="00053D93" w:rsidRDefault="00260B75">
            <w:r>
              <w:rPr>
                <w:sz w:val="14"/>
              </w:rPr>
              <w:t>PERIODO DEL 01 DE ENERO AL 31 DE DICIEMBRE DE 2024</w:t>
            </w:r>
          </w:p>
        </w:tc>
      </w:tr>
    </w:tbl>
    <w:p w14:paraId="7F8A94C3" w14:textId="77777777" w:rsidR="00053D93" w:rsidRDefault="00260B75">
      <w:pPr>
        <w:spacing w:after="48" w:line="269" w:lineRule="auto"/>
        <w:ind w:left="60" w:right="14" w:hanging="3"/>
        <w:jc w:val="both"/>
      </w:pPr>
      <w:r>
        <w:rPr>
          <w:noProof/>
        </w:rPr>
        <w:drawing>
          <wp:anchor distT="0" distB="0" distL="114300" distR="114300" simplePos="0" relativeHeight="252089344" behindDoc="0" locked="0" layoutInCell="1" allowOverlap="0" wp14:anchorId="726AAC8F" wp14:editId="016AD7E0">
            <wp:simplePos x="0" y="0"/>
            <wp:positionH relativeFrom="page">
              <wp:posOffset>681228</wp:posOffset>
            </wp:positionH>
            <wp:positionV relativeFrom="page">
              <wp:posOffset>9240013</wp:posOffset>
            </wp:positionV>
            <wp:extent cx="1074420" cy="411480"/>
            <wp:effectExtent l="0" t="0" r="0" b="0"/>
            <wp:wrapTopAndBottom/>
            <wp:docPr id="791475" name="Picture 791475"/>
            <wp:cNvGraphicFramePr/>
            <a:graphic xmlns:a="http://schemas.openxmlformats.org/drawingml/2006/main">
              <a:graphicData uri="http://schemas.openxmlformats.org/drawingml/2006/picture">
                <pic:pic xmlns:pic="http://schemas.openxmlformats.org/drawingml/2006/picture">
                  <pic:nvPicPr>
                    <pic:cNvPr id="791475" name="Picture 791475"/>
                    <pic:cNvPicPr/>
                  </pic:nvPicPr>
                  <pic:blipFill>
                    <a:blip r:embed="rId1111"/>
                    <a:stretch>
                      <a:fillRect/>
                    </a:stretch>
                  </pic:blipFill>
                  <pic:spPr>
                    <a:xfrm>
                      <a:off x="0" y="0"/>
                      <a:ext cx="1074420" cy="411480"/>
                    </a:xfrm>
                    <a:prstGeom prst="rect">
                      <a:avLst/>
                    </a:prstGeom>
                  </pic:spPr>
                </pic:pic>
              </a:graphicData>
            </a:graphic>
          </wp:anchor>
        </w:drawing>
      </w:r>
      <w:r>
        <w:rPr>
          <w:noProof/>
        </w:rPr>
        <w:drawing>
          <wp:anchor distT="0" distB="0" distL="114300" distR="114300" simplePos="0" relativeHeight="252090368" behindDoc="0" locked="0" layoutInCell="1" allowOverlap="0" wp14:anchorId="7AE84B78" wp14:editId="3CA4230C">
            <wp:simplePos x="0" y="0"/>
            <wp:positionH relativeFrom="column">
              <wp:posOffset>5413248</wp:posOffset>
            </wp:positionH>
            <wp:positionV relativeFrom="paragraph">
              <wp:posOffset>969468</wp:posOffset>
            </wp:positionV>
            <wp:extent cx="41148" cy="41148"/>
            <wp:effectExtent l="0" t="0" r="0" b="0"/>
            <wp:wrapSquare wrapText="bothSides"/>
            <wp:docPr id="2458592" name="Picture 2458592"/>
            <wp:cNvGraphicFramePr/>
            <a:graphic xmlns:a="http://schemas.openxmlformats.org/drawingml/2006/main">
              <a:graphicData uri="http://schemas.openxmlformats.org/drawingml/2006/picture">
                <pic:pic xmlns:pic="http://schemas.openxmlformats.org/drawingml/2006/picture">
                  <pic:nvPicPr>
                    <pic:cNvPr id="2458592" name="Picture 2458592"/>
                    <pic:cNvPicPr/>
                  </pic:nvPicPr>
                  <pic:blipFill>
                    <a:blip r:embed="rId1112"/>
                    <a:stretch>
                      <a:fillRect/>
                    </a:stretch>
                  </pic:blipFill>
                  <pic:spPr>
                    <a:xfrm>
                      <a:off x="0" y="0"/>
                      <a:ext cx="41148" cy="41148"/>
                    </a:xfrm>
                    <a:prstGeom prst="rect">
                      <a:avLst/>
                    </a:prstGeom>
                  </pic:spPr>
                </pic:pic>
              </a:graphicData>
            </a:graphic>
          </wp:anchor>
        </w:drawing>
      </w:r>
      <w:r>
        <w:rPr>
          <w:sz w:val="26"/>
        </w:rPr>
        <w:t>1 Responsable, Encargado de Inventarios / Asistente de Inventarios, Descripción de las Actividades, establece: "Con la debida antelación (tres días), a solicitud del 1 interesado podrá emitir el formulario INV-FOR-04 "Solvencia de Inventarios", como constancia de que la persona que entrega el puesto ya no tiene ningún bien bajo su responsabilidad. Si existe faltante de bienes no se extenderá el documento en 1 mención, hasta que se solvente la situación del bien en cuestión...</w:t>
      </w:r>
    </w:p>
    <w:p w14:paraId="0279F973" w14:textId="77777777" w:rsidR="00053D93" w:rsidRDefault="00260B75">
      <w:pPr>
        <w:spacing w:after="4" w:line="269" w:lineRule="auto"/>
        <w:ind w:left="57" w:right="14" w:firstLine="1462"/>
        <w:jc w:val="both"/>
      </w:pPr>
      <w:r>
        <w:rPr>
          <w:sz w:val="26"/>
        </w:rPr>
        <w:t xml:space="preserve">La Circular No. DIREH-0039-2015, del 04 de junio de 2015, del Director de </w:t>
      </w:r>
      <w:r>
        <w:rPr>
          <w:noProof/>
        </w:rPr>
        <mc:AlternateContent>
          <mc:Choice Requires="wpg">
            <w:drawing>
              <wp:inline distT="0" distB="0" distL="0" distR="0" wp14:anchorId="7FE14A50" wp14:editId="00ECDFCB">
                <wp:extent cx="114300" cy="292608"/>
                <wp:effectExtent l="0" t="0" r="0" b="0"/>
                <wp:docPr id="2456444" name="Group 2456444"/>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788182" name="Rectangle 788182"/>
                        <wps:cNvSpPr/>
                        <wps:spPr>
                          <a:xfrm>
                            <a:off x="0" y="0"/>
                            <a:ext cx="152019" cy="389169"/>
                          </a:xfrm>
                          <a:prstGeom prst="rect">
                            <a:avLst/>
                          </a:prstGeom>
                          <a:ln>
                            <a:noFill/>
                          </a:ln>
                        </wps:spPr>
                        <wps:txbx>
                          <w:txbxContent>
                            <w:p w14:paraId="49996594"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FE14A50" id="Group 2456444" o:spid="_x0000_s1443"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">
                <v:rect id="Rectangle 788182" o:spid="_x0000_s1444"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" filled="f" stroked="f">
                  <v:textbox inset="0,0,0,0">
                    <w:txbxContent>
                      <w:p w14:paraId="49996594" w14:textId="77777777" w:rsidR="00053D93" w:rsidRDefault="00260B75">
                        <w:r>
                          <w:rPr>
                            <w:sz w:val="70"/>
                          </w:rPr>
                          <w:t>1</w:t>
                        </w:r>
                      </w:p>
                    </w:txbxContent>
                  </v:textbox>
                </v:rect>
                <w10:anchorlock/>
              </v:group>
            </w:pict>
          </mc:Fallback>
        </mc:AlternateContent>
      </w:r>
      <w:r>
        <w:rPr>
          <w:sz w:val="26"/>
        </w:rPr>
        <w:t xml:space="preserve"> Recursos Humanos del Ministerio de Educación, Ampliación Circular No. DIREH-0033-2015 Lineamientos para solicitar emisión de acuerdo ministerial de 1 cese de funciones de personal con cargo al renglón presupuestario 01 1 "Personal Permanente", establece: "...Por este medio me dirijo a ustedes, para ampliar la Circular No. DIREH-0033-2015 de fecha 22 de abril del presente año, en el sentido -1 de reiterar que al momento de general el oficio de cese de funciones de personal con cargo al renglón presupuestario 01 1 "Personal Permanente", las personas deben pertenecer a la unidad ejecutora correspondiente; en el caso que la partida 1 presupuestaria pertenezca a otra unidad ejecutora diferente a la ubicación física de la persona; el procedimiento es el siguiente: * El Director de la dependencia en 1 donde se encuentra ubicada la persona físicamente debe enviar al Director de la dependencia a la cual corresponde la partida presupuestaria, el oficio de solicitud de generación de oficio de cese de funciones; para que la Dependencia genere el -1 oficio y lo devuelva a la unidad solicitante debidamente firmado; para que ésta continúe con el trámite respectivo y conformación de la documentación para ser enviada al Departamento de Contrataciones de esta Dirección. * Es importante</w:t>
      </w:r>
    </w:p>
    <w:p w14:paraId="1C6366F4" w14:textId="77777777" w:rsidR="00053D93" w:rsidRDefault="00260B75">
      <w:pPr>
        <w:spacing w:after="16"/>
        <w:ind w:left="101"/>
      </w:pPr>
      <w:r>
        <w:rPr>
          <w:noProof/>
        </w:rPr>
        <w:drawing>
          <wp:inline distT="0" distB="0" distL="0" distR="0" wp14:anchorId="1A52249F" wp14:editId="5C53B23D">
            <wp:extent cx="13716" cy="9144"/>
            <wp:effectExtent l="0" t="0" r="0" b="0"/>
            <wp:docPr id="2458594" name="Picture 2458594"/>
            <wp:cNvGraphicFramePr/>
            <a:graphic xmlns:a="http://schemas.openxmlformats.org/drawingml/2006/main">
              <a:graphicData uri="http://schemas.openxmlformats.org/drawingml/2006/picture">
                <pic:pic xmlns:pic="http://schemas.openxmlformats.org/drawingml/2006/picture">
                  <pic:nvPicPr>
                    <pic:cNvPr id="2458594" name="Picture 2458594"/>
                    <pic:cNvPicPr/>
                  </pic:nvPicPr>
                  <pic:blipFill>
                    <a:blip r:embed="rId1113"/>
                    <a:stretch>
                      <a:fillRect/>
                    </a:stretch>
                  </pic:blipFill>
                  <pic:spPr>
                    <a:xfrm>
                      <a:off x="0" y="0"/>
                      <a:ext cx="13716" cy="9144"/>
                    </a:xfrm>
                    <a:prstGeom prst="rect">
                      <a:avLst/>
                    </a:prstGeom>
                  </pic:spPr>
                </pic:pic>
              </a:graphicData>
            </a:graphic>
          </wp:inline>
        </w:drawing>
      </w:r>
    </w:p>
    <w:p w14:paraId="2C715EA2" w14:textId="77777777" w:rsidR="00053D93" w:rsidRDefault="00260B75">
      <w:pPr>
        <w:spacing w:after="4" w:line="363" w:lineRule="auto"/>
        <w:ind w:left="1750" w:right="14" w:hanging="1577"/>
        <w:jc w:val="both"/>
      </w:pPr>
      <w:r>
        <w:rPr>
          <w:sz w:val="26"/>
        </w:rPr>
        <w:t>1 indicarles que todas las Dependencias deben recepcionar las solicitudes de cese de funciones del renglón presupuestario 011 , y posteriormente, realizar el trámite</w:t>
      </w:r>
    </w:p>
    <w:p w14:paraId="14483BFB" w14:textId="77777777" w:rsidR="00053D93" w:rsidRDefault="00260B75">
      <w:pPr>
        <w:tabs>
          <w:tab w:val="center" w:pos="281"/>
          <w:tab w:val="center" w:pos="2758"/>
        </w:tabs>
        <w:spacing w:after="4" w:line="269" w:lineRule="auto"/>
      </w:pPr>
      <w:r>
        <w:rPr>
          <w:sz w:val="26"/>
        </w:rPr>
        <w:tab/>
        <w:t>1</w:t>
      </w:r>
      <w:r>
        <w:rPr>
          <w:sz w:val="26"/>
        </w:rPr>
        <w:tab/>
        <w:t>que corresponda... "</w:t>
      </w:r>
    </w:p>
    <w:p w14:paraId="3231B878" w14:textId="77777777" w:rsidR="00053D93" w:rsidRDefault="00260B75">
      <w:pPr>
        <w:spacing w:after="0"/>
        <w:ind w:left="1728"/>
      </w:pPr>
      <w:r>
        <w:rPr>
          <w:noProof/>
        </w:rPr>
        <mc:AlternateContent>
          <mc:Choice Requires="wpg">
            <w:drawing>
              <wp:inline distT="0" distB="0" distL="0" distR="0" wp14:anchorId="11E9C8A2" wp14:editId="50C2B163">
                <wp:extent cx="5404104" cy="13716"/>
                <wp:effectExtent l="0" t="0" r="0" b="0"/>
                <wp:docPr id="2458599" name="Group 2458599"/>
                <wp:cNvGraphicFramePr/>
                <a:graphic xmlns:a="http://schemas.openxmlformats.org/drawingml/2006/main">
                  <a:graphicData uri="http://schemas.microsoft.com/office/word/2010/wordprocessingGroup">
                    <wpg:wgp>
                      <wpg:cNvGrpSpPr/>
                      <wpg:grpSpPr>
                        <a:xfrm>
                          <a:off x="0" y="0"/>
                          <a:ext cx="5404104" cy="13716"/>
                          <a:chOff x="0" y="0"/>
                          <a:chExt cx="5404104" cy="13716"/>
                        </a:xfrm>
                      </wpg:grpSpPr>
                      <wps:wsp>
                        <wps:cNvPr id="2458598" name="Shape 2458598"/>
                        <wps:cNvSpPr/>
                        <wps:spPr>
                          <a:xfrm>
                            <a:off x="0" y="0"/>
                            <a:ext cx="5404104" cy="13716"/>
                          </a:xfrm>
                          <a:custGeom>
                            <a:avLst/>
                            <a:gdLst/>
                            <a:ahLst/>
                            <a:cxnLst/>
                            <a:rect l="0" t="0" r="0" b="0"/>
                            <a:pathLst>
                              <a:path w="5404104" h="13716">
                                <a:moveTo>
                                  <a:pt x="0" y="6858"/>
                                </a:moveTo>
                                <a:lnTo>
                                  <a:pt x="540410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599" style="width:425.52pt;height:1.08pt;mso-position-horizontal-relative:char;mso-position-vertical-relative:line" coordsize="54041,137">
                <v:shape id="Shape 2458598" style="position:absolute;width:54041;height:137;left:0;top:0;" coordsize="5404104,13716" path="m0,6858l5404104,6858">
                  <v:stroke weight="1.08pt" endcap="flat" joinstyle="miter" miterlimit="1" on="true" color="#000000"/>
                  <v:fill on="false" color="#000000"/>
                </v:shape>
              </v:group>
            </w:pict>
          </mc:Fallback>
        </mc:AlternateContent>
      </w:r>
    </w:p>
    <w:p w14:paraId="387E947C" w14:textId="77777777" w:rsidR="00053D93" w:rsidRDefault="00260B75">
      <w:pPr>
        <w:spacing w:after="0"/>
      </w:pPr>
      <w:r>
        <w:rPr>
          <w:sz w:val="86"/>
        </w:rPr>
        <w:t>1</w:t>
      </w:r>
    </w:p>
    <w:p w14:paraId="6B13180F" w14:textId="77777777" w:rsidR="00053D93" w:rsidRDefault="00260B75">
      <w:pPr>
        <w:pStyle w:val="Ttulo3"/>
        <w:spacing w:after="0" w:line="259" w:lineRule="auto"/>
        <w:ind w:left="1691" w:right="0" w:firstLine="4"/>
        <w:jc w:val="left"/>
      </w:pPr>
      <w:r>
        <w:t>Causa</w:t>
      </w:r>
    </w:p>
    <w:p w14:paraId="568EEE6F" w14:textId="77777777" w:rsidR="00053D93" w:rsidRDefault="00260B75">
      <w:pPr>
        <w:spacing w:after="461" w:line="250" w:lineRule="auto"/>
        <w:ind w:left="28" w:right="14" w:firstLine="1728"/>
        <w:jc w:val="both"/>
      </w:pPr>
      <w:r>
        <w:rPr>
          <w:sz w:val="26"/>
        </w:rPr>
        <w:t>La Coordinadora de Recursos Humanos y el Jefe de Acciones de Personal, a.i., no 1 informaron oportunamente a la Sección de Inventarios, sobre la renuncia del exempleado con código No. 990039793, para que prepararan el resguardo de los 1 bienes asignados y actualizaran los registros que tenía en sus tarjetas de responsabilidad, de conformidad con la normativa legal vigente.</w:t>
      </w:r>
    </w:p>
    <w:p w14:paraId="445E033F" w14:textId="77777777" w:rsidR="00053D93" w:rsidRDefault="00260B75">
      <w:pPr>
        <w:spacing w:after="12" w:line="250" w:lineRule="auto"/>
        <w:ind w:left="31" w:right="14" w:hanging="3"/>
        <w:jc w:val="both"/>
      </w:pPr>
      <w:r>
        <w:rPr>
          <w:sz w:val="26"/>
        </w:rPr>
        <w:t>1 La Jefe de Sección de Inventarios, a.i. no veló porque el Asistente de inventarios, realizara las gestiones correspondientes para preparar el resguardo y realizar el traslado de los bienes al jefe inmediato superior, que se encuentran registrados en 1 las tarjetas de responsabilidad del exempleado con código de empleado</w:t>
      </w:r>
    </w:p>
    <w:p w14:paraId="65AF6971" w14:textId="77777777" w:rsidR="00053D93" w:rsidRDefault="00260B75">
      <w:pPr>
        <w:spacing w:after="198" w:line="250" w:lineRule="auto"/>
        <w:ind w:left="28" w:right="14" w:firstLine="1692"/>
        <w:jc w:val="both"/>
      </w:pPr>
      <w:r>
        <w:rPr>
          <w:sz w:val="26"/>
        </w:rPr>
        <w:t>No.990099480; derivado de su renuncia laboral, y así actualizar dichas tarjetas de 1 responsabilidad, tal como lo establece la normativa legal vigente.</w:t>
      </w:r>
    </w:p>
    <w:p w14:paraId="156D00ED" w14:textId="77777777" w:rsidR="00053D93" w:rsidRDefault="00260B75">
      <w:pPr>
        <w:spacing w:after="206" w:line="251" w:lineRule="auto"/>
        <w:ind w:left="1760" w:hanging="3"/>
        <w:jc w:val="both"/>
      </w:pPr>
      <w:r>
        <w:rPr>
          <w:sz w:val="28"/>
        </w:rPr>
        <w:t>Efecto</w:t>
      </w:r>
    </w:p>
    <w:p w14:paraId="11C934A8" w14:textId="77777777" w:rsidR="00053D93" w:rsidRDefault="00260B75">
      <w:pPr>
        <w:spacing w:after="250" w:line="250" w:lineRule="auto"/>
        <w:ind w:left="1698" w:right="14" w:hanging="1670"/>
        <w:jc w:val="both"/>
      </w:pPr>
      <w:r>
        <w:rPr>
          <w:sz w:val="26"/>
        </w:rPr>
        <w:t>1 Riesgo de pérdida o sustracción de los bienes inventarios, así como dificultad para el control de los mismos, por falta de responsables activos en la Dirección General de Educación Física -DIGEF-, lo cual afecta la transparencia y gestión de los</w:t>
      </w:r>
    </w:p>
    <w:p w14:paraId="6EF5B91E" w14:textId="77777777" w:rsidR="00053D93" w:rsidRDefault="00260B75">
      <w:pPr>
        <w:tabs>
          <w:tab w:val="center" w:pos="2660"/>
        </w:tabs>
        <w:spacing w:after="192" w:line="250" w:lineRule="auto"/>
      </w:pPr>
      <w:r>
        <w:rPr>
          <w:sz w:val="26"/>
        </w:rPr>
        <w:t>1</w:t>
      </w:r>
      <w:r>
        <w:rPr>
          <w:sz w:val="26"/>
        </w:rPr>
        <w:tab/>
        <w:t>recursos públicos.</w:t>
      </w:r>
    </w:p>
    <w:tbl>
      <w:tblPr>
        <w:tblStyle w:val="TableGrid"/>
        <w:tblpPr w:vertAnchor="page" w:horzAnchor="page" w:tblpX="2845" w:tblpY="14508"/>
        <w:tblOverlap w:val="never"/>
        <w:tblW w:w="7660" w:type="dxa"/>
        <w:tblInd w:w="0" w:type="dxa"/>
        <w:tblCellMar>
          <w:top w:w="22" w:type="dxa"/>
          <w:left w:w="1785" w:type="dxa"/>
          <w:right w:w="115" w:type="dxa"/>
        </w:tblCellMar>
        <w:tblLook w:val="04A0" w:firstRow="1" w:lastRow="0" w:firstColumn="1" w:lastColumn="0" w:noHBand="0" w:noVBand="1"/>
      </w:tblPr>
      <w:tblGrid>
        <w:gridCol w:w="7660"/>
      </w:tblGrid>
      <w:tr w:rsidR="00053D93" w14:paraId="140EF1B7" w14:textId="77777777">
        <w:trPr>
          <w:trHeight w:val="31"/>
        </w:trPr>
        <w:tc>
          <w:tcPr>
            <w:tcW w:w="7660" w:type="dxa"/>
            <w:tcBorders>
              <w:top w:val="nil"/>
              <w:left w:val="single" w:sz="2" w:space="0" w:color="000000"/>
              <w:bottom w:val="single" w:sz="2" w:space="0" w:color="000000"/>
              <w:right w:val="nil"/>
            </w:tcBorders>
          </w:tcPr>
          <w:p w14:paraId="63CB948E" w14:textId="77777777" w:rsidR="00053D93" w:rsidRDefault="00053D93"/>
        </w:tc>
      </w:tr>
      <w:tr w:rsidR="00053D93" w14:paraId="59F67033" w14:textId="77777777">
        <w:trPr>
          <w:trHeight w:val="609"/>
        </w:trPr>
        <w:tc>
          <w:tcPr>
            <w:tcW w:w="7660" w:type="dxa"/>
            <w:tcBorders>
              <w:top w:val="single" w:sz="2" w:space="0" w:color="000000"/>
              <w:left w:val="single" w:sz="2" w:space="0" w:color="000000"/>
              <w:bottom w:val="nil"/>
              <w:right w:val="nil"/>
            </w:tcBorders>
          </w:tcPr>
          <w:p w14:paraId="1C5BC310" w14:textId="77777777" w:rsidR="00053D93" w:rsidRDefault="00260B75">
            <w:pPr>
              <w:ind w:left="828"/>
            </w:pPr>
            <w:r>
              <w:rPr>
                <w:sz w:val="14"/>
              </w:rPr>
              <w:t>MINISTERIO EDUCACION</w:t>
            </w:r>
          </w:p>
          <w:p w14:paraId="0756FE87" w14:textId="77777777" w:rsidR="00053D93" w:rsidRDefault="00260B75">
            <w:pPr>
              <w:ind w:left="338"/>
            </w:pPr>
            <w:r>
              <w:rPr>
                <w:sz w:val="14"/>
              </w:rPr>
              <w:t>AUDITORÍA FINANCIERA Y DE CUMPLIMIENTO</w:t>
            </w:r>
          </w:p>
          <w:p w14:paraId="2F6F3FFC" w14:textId="77777777" w:rsidR="00053D93" w:rsidRDefault="00260B75">
            <w:r>
              <w:rPr>
                <w:sz w:val="14"/>
              </w:rPr>
              <w:t>PERIODO DEL 01 DE ENERO AL 31 DE DICIEMBRE DE 2024</w:t>
            </w:r>
          </w:p>
        </w:tc>
      </w:tr>
    </w:tbl>
    <w:p w14:paraId="5E3B4392" w14:textId="77777777" w:rsidR="00053D93" w:rsidRDefault="00260B75">
      <w:pPr>
        <w:tabs>
          <w:tab w:val="center" w:pos="2624"/>
        </w:tabs>
        <w:spacing w:after="14" w:line="251" w:lineRule="auto"/>
      </w:pPr>
      <w:r>
        <w:rPr>
          <w:noProof/>
        </w:rPr>
        <w:drawing>
          <wp:anchor distT="0" distB="0" distL="114300" distR="114300" simplePos="0" relativeHeight="252091392" behindDoc="0" locked="0" layoutInCell="1" allowOverlap="0" wp14:anchorId="581C0831" wp14:editId="467328DA">
            <wp:simplePos x="0" y="0"/>
            <wp:positionH relativeFrom="page">
              <wp:posOffset>685800</wp:posOffset>
            </wp:positionH>
            <wp:positionV relativeFrom="page">
              <wp:posOffset>9212580</wp:posOffset>
            </wp:positionV>
            <wp:extent cx="1065276" cy="406907"/>
            <wp:effectExtent l="0" t="0" r="0" b="0"/>
            <wp:wrapTopAndBottom/>
            <wp:docPr id="794850" name="Picture 794850"/>
            <wp:cNvGraphicFramePr/>
            <a:graphic xmlns:a="http://schemas.openxmlformats.org/drawingml/2006/main">
              <a:graphicData uri="http://schemas.openxmlformats.org/drawingml/2006/picture">
                <pic:pic xmlns:pic="http://schemas.openxmlformats.org/drawingml/2006/picture">
                  <pic:nvPicPr>
                    <pic:cNvPr id="794850" name="Picture 794850"/>
                    <pic:cNvPicPr/>
                  </pic:nvPicPr>
                  <pic:blipFill>
                    <a:blip r:embed="rId1114"/>
                    <a:stretch>
                      <a:fillRect/>
                    </a:stretch>
                  </pic:blipFill>
                  <pic:spPr>
                    <a:xfrm>
                      <a:off x="0" y="0"/>
                      <a:ext cx="1065276" cy="406907"/>
                    </a:xfrm>
                    <a:prstGeom prst="rect">
                      <a:avLst/>
                    </a:prstGeom>
                  </pic:spPr>
                </pic:pic>
              </a:graphicData>
            </a:graphic>
          </wp:anchor>
        </w:drawing>
      </w:r>
      <w:r>
        <w:rPr>
          <w:sz w:val="28"/>
        </w:rPr>
        <w:t>1</w:t>
      </w:r>
      <w:r>
        <w:rPr>
          <w:sz w:val="28"/>
        </w:rPr>
        <w:tab/>
        <w:t>Recomendación</w:t>
      </w:r>
    </w:p>
    <w:p w14:paraId="229C1939" w14:textId="77777777" w:rsidR="00053D93" w:rsidRDefault="00260B75">
      <w:pPr>
        <w:spacing w:after="3" w:line="256" w:lineRule="auto"/>
        <w:ind w:left="115" w:firstLine="1642"/>
      </w:pPr>
      <w:r>
        <w:rPr>
          <w:sz w:val="26"/>
        </w:rPr>
        <w:t>El Subdirector General Administrativo, debe girar instrucciones al Coordinador de Recursos Humanos y este a su vez, al Jefe de Acciones de Personal, para que 1</w:t>
      </w:r>
      <w:r>
        <w:rPr>
          <w:sz w:val="26"/>
        </w:rPr>
        <w:tab/>
        <w:t>informen oportunamente a la Sección de Inventarios, sobre los movimientos de personal por toma de posesión, cambio de responsable y/o entrega de puesto de 1</w:t>
      </w:r>
      <w:r>
        <w:rPr>
          <w:sz w:val="26"/>
        </w:rPr>
        <w:tab/>
        <w:t>los empleados públicos de la Dirección General de Educación Física -DIGEF- con cargo al renglón presupuestario 011 Personal permanente, para asegurar el resguardo y traslado correspondiente de los bienes registrados en sus tarjetas de 1</w:t>
      </w:r>
      <w:r>
        <w:rPr>
          <w:sz w:val="26"/>
        </w:rPr>
        <w:tab/>
        <w:t>responsabilidad.</w:t>
      </w:r>
    </w:p>
    <w:p w14:paraId="598069BC" w14:textId="77777777" w:rsidR="00053D93" w:rsidRDefault="00260B75">
      <w:pPr>
        <w:spacing w:after="12" w:line="250" w:lineRule="auto"/>
        <w:ind w:left="158" w:right="14" w:firstLine="1606"/>
        <w:jc w:val="both"/>
      </w:pPr>
      <w:r>
        <w:rPr>
          <w:sz w:val="26"/>
        </w:rPr>
        <w:t>El Coordinador Financiero, debe girar instrucciones al Jefe de Sección de 1 Inventarios, para que vele porque el Asistente de Inventarios, realice las gestiones necesarias para preparar el resguardo y el traslado correspondiente de los bienes registrados en las tarjetas de responsabilidad de los empleados con cargo al renglón presupuestario 01 1 Personal permanente, conforme a los movimientos de personal informados por la Coordinación de Recursos Humanos, por toma de posesión, cambio de responsable y/o entrega de puesto, con ei propósito de mantener actualizadas• las tarjetas de responsabilidad de los empleados y funcionarios públicos de la Dirección General de Educación Física -DIGEF1</w:t>
      </w:r>
    </w:p>
    <w:p w14:paraId="2E653CD2" w14:textId="77777777" w:rsidR="00053D93" w:rsidRDefault="00260B75">
      <w:pPr>
        <w:spacing w:after="12" w:line="250" w:lineRule="auto"/>
        <w:ind w:left="1760" w:right="14" w:hanging="3"/>
        <w:jc w:val="both"/>
      </w:pPr>
      <w:r>
        <w:rPr>
          <w:sz w:val="26"/>
        </w:rPr>
        <w:t>Comentario de los responsables</w:t>
      </w:r>
    </w:p>
    <w:p w14:paraId="7CDB10DD" w14:textId="77777777" w:rsidR="00053D93" w:rsidRDefault="00260B75">
      <w:pPr>
        <w:spacing w:after="5"/>
        <w:ind w:left="24" w:right="35" w:hanging="10"/>
        <w:jc w:val="right"/>
      </w:pPr>
      <w:r>
        <w:rPr>
          <w:sz w:val="26"/>
        </w:rPr>
        <w:t>En nota s/n del 20 de abril de 2025, la licenciada Gladys Maite Rojas Álvarez,</w:t>
      </w:r>
    </w:p>
    <w:p w14:paraId="7B22E08C" w14:textId="77777777" w:rsidR="00053D93" w:rsidRDefault="00053D93">
      <w:pPr>
        <w:sectPr w:rsidR="00053D93">
          <w:headerReference w:type="even" r:id="rId1115"/>
          <w:headerReference w:type="default" r:id="rId1116"/>
          <w:footerReference w:type="even" r:id="rId1117"/>
          <w:footerReference w:type="default" r:id="rId1118"/>
          <w:headerReference w:type="first" r:id="rId1119"/>
          <w:footerReference w:type="first" r:id="rId1120"/>
          <w:pgSz w:w="12290" w:h="15883"/>
          <w:pgMar w:top="828" w:right="1778" w:bottom="720" w:left="274" w:header="374" w:footer="720" w:gutter="0"/>
          <w:cols w:space="720"/>
          <w:titlePg/>
        </w:sectPr>
      </w:pPr>
    </w:p>
    <w:p w14:paraId="040D5B37" w14:textId="77777777" w:rsidR="00053D93" w:rsidRDefault="00260B75">
      <w:pPr>
        <w:spacing w:after="24"/>
        <w:ind w:left="1678"/>
      </w:pPr>
      <w:r>
        <w:rPr>
          <w:noProof/>
        </w:rPr>
        <mc:AlternateContent>
          <mc:Choice Requires="wpg">
            <w:drawing>
              <wp:inline distT="0" distB="0" distL="0" distR="0" wp14:anchorId="4AF2FFFF" wp14:editId="6753BA71">
                <wp:extent cx="5413249" cy="13716"/>
                <wp:effectExtent l="0" t="0" r="0" b="0"/>
                <wp:docPr id="2458601" name="Group 2458601"/>
                <wp:cNvGraphicFramePr/>
                <a:graphic xmlns:a="http://schemas.openxmlformats.org/drawingml/2006/main">
                  <a:graphicData uri="http://schemas.microsoft.com/office/word/2010/wordprocessingGroup">
                    <wpg:wgp>
                      <wpg:cNvGrpSpPr/>
                      <wpg:grpSpPr>
                        <a:xfrm>
                          <a:off x="0" y="0"/>
                          <a:ext cx="5413249" cy="13716"/>
                          <a:chOff x="0" y="0"/>
                          <a:chExt cx="5413249" cy="13716"/>
                        </a:xfrm>
                      </wpg:grpSpPr>
                      <wps:wsp>
                        <wps:cNvPr id="2458600" name="Shape 2458600"/>
                        <wps:cNvSpPr/>
                        <wps:spPr>
                          <a:xfrm>
                            <a:off x="0" y="0"/>
                            <a:ext cx="5413249" cy="13716"/>
                          </a:xfrm>
                          <a:custGeom>
                            <a:avLst/>
                            <a:gdLst/>
                            <a:ahLst/>
                            <a:cxnLst/>
                            <a:rect l="0" t="0" r="0" b="0"/>
                            <a:pathLst>
                              <a:path w="5413249" h="13716">
                                <a:moveTo>
                                  <a:pt x="0" y="6858"/>
                                </a:moveTo>
                                <a:lnTo>
                                  <a:pt x="541324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01" style="width:426.24pt;height:1.08pt;mso-position-horizontal-relative:char;mso-position-vertical-relative:line" coordsize="54132,137">
                <v:shape id="Shape 2458600" style="position:absolute;width:54132;height:137;left:0;top:0;" coordsize="5413249,13716" path="m0,6858l5413249,6858">
                  <v:stroke weight="1.08pt" endcap="flat" joinstyle="miter" miterlimit="1" on="true" color="#000000"/>
                  <v:fill on="false" color="#000000"/>
                </v:shape>
              </v:group>
            </w:pict>
          </mc:Fallback>
        </mc:AlternateContent>
      </w:r>
    </w:p>
    <w:p w14:paraId="0F71064E" w14:textId="77777777" w:rsidR="00053D93" w:rsidRDefault="00260B75">
      <w:pPr>
        <w:spacing w:after="211" w:line="250" w:lineRule="auto"/>
        <w:ind w:left="28" w:right="14" w:firstLine="1735"/>
        <w:jc w:val="both"/>
      </w:pPr>
      <w:r>
        <w:rPr>
          <w:sz w:val="26"/>
        </w:rPr>
        <w:t>quien fungió como Coordinadora de Recursos Humanos, por el período comprendido del 01 de enero de 2019 a' 31 de diciembre de 2019, manifiesta: "...En relación con ello, la justificación sobre mi actuación en calidad de Coordinadora de Recursos Humanos de la Dirección General de Educación Física — DIGEF, en relación al caso del funcionario público adscrito a la Escuela Normal 1 Central de Educación Física — ENEF, específicamente en lo que respecta a su tarjeta de responsabilidad y su respectivo cese de funciones. En atención a las observaciones realizadas, considero oportuno aclarar que dicha responsabilidad 1 no le correspondía a mi cargo ni formaba parte de mis funciones. De acuerdo con el Acuerdo Ministerial No. 0156-2013, es responsabilidad del Director del centro educativo (en este caso, el Director de la ENEF) presentar ante la Dirección Departamental de Educación de Guatemala Occidente la documentación pertinente, ya que esta dirección es la encargada de supervisar la ejecución de acciones institucionales para el aseguramiento de la calidad educativa y son ellos los responsables de realizar el proceso administrativo. Cabe mencionar que si bien es cierto el Jefe de Acciones de Personal, conforme a la estructura y distribución 1 funcional de la DIGEF, entre sus funciones y facultades administrativas tiene asignado Atender lo referente a licencias, traslados, permutas y otros movimientos de personal que se presenten conforme lo establecen las funciones para el 1 proceso que conlleva el reclutamiento y selección de personal, partiendo en su orden de la convocatoria, luego la evaluación, propuesta y lo que significa el registro y control de los cuadros de movimiento de personal en cuanto a toma de posesión o entrega de puesto; así como tambiéñ el registro y control de cortes de salarios y rescisión de acuerdo a la legislación guatemalteca vigente, es 1 competencia exclusiva del Jefe de Acciones de Personal para procesos administrativos en las instalaciones de DIGEF, y no en procesos administrativos en la ENCEF ya que pertenece directamente a la Departamental de Guatemala 1 Occidente y son ellos los que deben realizar cualquier trámite administrativo. En ese orden de ideas, se hace de su conocimiento que el Jefe de Acciones de 1 Personal a.i. recibió un correo electrónico con fecha 10 de junio de 2019... por parte de la Departamental de Guatemala Occidente, solicitando la elaboración de cese de funciones para continuar con su trámite administrativo como les 1 correspondía sobre la renuncia del profesor Miguel Angel Vielman, Catedrático de la ENCEF, es importante mencionar que el profesor Vielman el 31 de mayo ya no era el Director a.i. de la ENCEF, por lo que el trámite de los bienes cargados en su tarjeta de responsabilidad debió ser tramitado por la Departamental de Guatemala Occidente antes de la renuncia y solicitar su traslado a la tarjeta de 1 responsabilidad tal como lo establecía el instructivo vigente en su oportunidad, a la nueva Directora Interina, la M.A. Sandra Carolina Cerezo Dávila... carta de renuncia dirigida a la nueva directora interina de fecha 31 de mayo de 2019.</w:t>
      </w:r>
    </w:p>
    <w:p w14:paraId="7E0B9016" w14:textId="77777777" w:rsidR="00053D93" w:rsidRDefault="00260B75">
      <w:pPr>
        <w:spacing w:after="534" w:line="250" w:lineRule="auto"/>
        <w:ind w:left="1749" w:right="14" w:hanging="1591"/>
        <w:jc w:val="both"/>
      </w:pPr>
      <w:r>
        <w:rPr>
          <w:sz w:val="26"/>
        </w:rPr>
        <w:t>1 Cuando el Jefe de Acciones de Personal recibió el correo electrónico para el apoyo en la elaboración del Cese de funciones, Ya que según ellos indicaron el sistema no se los permitió, la Directora Interina ya tenía diez días en el cargo...</w:t>
      </w:r>
    </w:p>
    <w:tbl>
      <w:tblPr>
        <w:tblStyle w:val="TableGrid"/>
        <w:tblpPr w:vertAnchor="text" w:tblpX="2564" w:tblpY="151"/>
        <w:tblOverlap w:val="never"/>
        <w:tblW w:w="7660" w:type="dxa"/>
        <w:tblInd w:w="0" w:type="dxa"/>
        <w:tblCellMar>
          <w:top w:w="50" w:type="dxa"/>
          <w:left w:w="1777" w:type="dxa"/>
          <w:right w:w="115" w:type="dxa"/>
        </w:tblCellMar>
        <w:tblLook w:val="04A0" w:firstRow="1" w:lastRow="0" w:firstColumn="1" w:lastColumn="0" w:noHBand="0" w:noVBand="1"/>
      </w:tblPr>
      <w:tblGrid>
        <w:gridCol w:w="7660"/>
      </w:tblGrid>
      <w:tr w:rsidR="00053D93" w14:paraId="496D15C7" w14:textId="77777777">
        <w:trPr>
          <w:trHeight w:val="36"/>
        </w:trPr>
        <w:tc>
          <w:tcPr>
            <w:tcW w:w="7660" w:type="dxa"/>
            <w:tcBorders>
              <w:top w:val="nil"/>
              <w:left w:val="single" w:sz="2" w:space="0" w:color="000000"/>
              <w:bottom w:val="single" w:sz="2" w:space="0" w:color="000000"/>
              <w:right w:val="nil"/>
            </w:tcBorders>
          </w:tcPr>
          <w:p w14:paraId="1CA38D36" w14:textId="77777777" w:rsidR="00053D93" w:rsidRDefault="00053D93"/>
        </w:tc>
      </w:tr>
      <w:tr w:rsidR="00053D93" w14:paraId="5A43B93E" w14:textId="77777777">
        <w:trPr>
          <w:trHeight w:val="612"/>
        </w:trPr>
        <w:tc>
          <w:tcPr>
            <w:tcW w:w="7660" w:type="dxa"/>
            <w:tcBorders>
              <w:top w:val="single" w:sz="2" w:space="0" w:color="000000"/>
              <w:left w:val="single" w:sz="2" w:space="0" w:color="000000"/>
              <w:bottom w:val="nil"/>
              <w:right w:val="nil"/>
            </w:tcBorders>
          </w:tcPr>
          <w:p w14:paraId="78E93FDE" w14:textId="77777777" w:rsidR="00053D93" w:rsidRDefault="00260B75">
            <w:pPr>
              <w:ind w:left="835"/>
            </w:pPr>
            <w:r>
              <w:rPr>
                <w:sz w:val="14"/>
              </w:rPr>
              <w:t>MINISTERIO OE EDUCAC'ON</w:t>
            </w:r>
          </w:p>
          <w:p w14:paraId="274419EA" w14:textId="77777777" w:rsidR="00053D93" w:rsidRDefault="00260B75">
            <w:pPr>
              <w:ind w:left="338"/>
            </w:pPr>
            <w:r>
              <w:rPr>
                <w:sz w:val="14"/>
              </w:rPr>
              <w:t>AUDITORIA FINANCIERA Y DE CUMPLIMIENTO</w:t>
            </w:r>
          </w:p>
          <w:p w14:paraId="7AA2FFFE" w14:textId="77777777" w:rsidR="00053D93" w:rsidRDefault="00260B75">
            <w:r>
              <w:rPr>
                <w:sz w:val="14"/>
              </w:rPr>
              <w:t>PERIODO DEL 01 DE ENERO AL 31 DE DICIEMBRE DE 2024</w:t>
            </w:r>
          </w:p>
        </w:tc>
      </w:tr>
    </w:tbl>
    <w:p w14:paraId="73267708" w14:textId="77777777" w:rsidR="00053D93" w:rsidRDefault="00260B75">
      <w:pPr>
        <w:pStyle w:val="Ttulo3"/>
        <w:spacing w:after="80" w:line="259" w:lineRule="auto"/>
        <w:ind w:left="190" w:right="79"/>
        <w:jc w:val="left"/>
      </w:pPr>
      <w:r>
        <w:rPr>
          <w:sz w:val="34"/>
          <w:vertAlign w:val="superscript"/>
        </w:rPr>
        <w:t xml:space="preserve">I </w:t>
      </w:r>
      <w:r>
        <w:rPr>
          <w:sz w:val="34"/>
        </w:rPr>
        <w:t>III</w:t>
      </w:r>
      <w:r>
        <w:rPr>
          <w:noProof/>
        </w:rPr>
        <w:drawing>
          <wp:inline distT="0" distB="0" distL="0" distR="0" wp14:anchorId="122474F8" wp14:editId="1BA8017F">
            <wp:extent cx="932688" cy="411480"/>
            <wp:effectExtent l="0" t="0" r="0" b="0"/>
            <wp:docPr id="799050" name="Picture 799050"/>
            <wp:cNvGraphicFramePr/>
            <a:graphic xmlns:a="http://schemas.openxmlformats.org/drawingml/2006/main">
              <a:graphicData uri="http://schemas.openxmlformats.org/drawingml/2006/picture">
                <pic:pic xmlns:pic="http://schemas.openxmlformats.org/drawingml/2006/picture">
                  <pic:nvPicPr>
                    <pic:cNvPr id="799050" name="Picture 799050"/>
                    <pic:cNvPicPr/>
                  </pic:nvPicPr>
                  <pic:blipFill>
                    <a:blip r:embed="rId1121"/>
                    <a:stretch>
                      <a:fillRect/>
                    </a:stretch>
                  </pic:blipFill>
                  <pic:spPr>
                    <a:xfrm>
                      <a:off x="0" y="0"/>
                      <a:ext cx="932688" cy="411480"/>
                    </a:xfrm>
                    <a:prstGeom prst="rect">
                      <a:avLst/>
                    </a:prstGeom>
                  </pic:spPr>
                </pic:pic>
              </a:graphicData>
            </a:graphic>
          </wp:inline>
        </w:drawing>
      </w:r>
    </w:p>
    <w:p w14:paraId="25B1633F" w14:textId="77777777" w:rsidR="00053D93" w:rsidRDefault="00260B75">
      <w:pPr>
        <w:spacing w:after="143" w:line="265" w:lineRule="auto"/>
        <w:ind w:left="4589" w:right="1022" w:hanging="10"/>
        <w:jc w:val="center"/>
      </w:pPr>
      <w:r>
        <w:rPr>
          <w:sz w:val="14"/>
        </w:rPr>
        <w:t xml:space="preserve">OE </w:t>
      </w:r>
    </w:p>
    <w:p w14:paraId="21392CBF" w14:textId="77777777" w:rsidR="00053D93" w:rsidRDefault="00260B75">
      <w:pPr>
        <w:spacing w:after="45"/>
        <w:ind w:left="1411"/>
      </w:pPr>
      <w:r>
        <w:rPr>
          <w:noProof/>
        </w:rPr>
        <mc:AlternateContent>
          <mc:Choice Requires="wpg">
            <w:drawing>
              <wp:inline distT="0" distB="0" distL="0" distR="0" wp14:anchorId="174E2FD8" wp14:editId="2D8E289E">
                <wp:extent cx="5586984" cy="13716"/>
                <wp:effectExtent l="0" t="0" r="0" b="0"/>
                <wp:docPr id="2458606" name="Group 2458606"/>
                <wp:cNvGraphicFramePr/>
                <a:graphic xmlns:a="http://schemas.openxmlformats.org/drawingml/2006/main">
                  <a:graphicData uri="http://schemas.microsoft.com/office/word/2010/wordprocessingGroup">
                    <wpg:wgp>
                      <wpg:cNvGrpSpPr/>
                      <wpg:grpSpPr>
                        <a:xfrm>
                          <a:off x="0" y="0"/>
                          <a:ext cx="5586984" cy="13716"/>
                          <a:chOff x="0" y="0"/>
                          <a:chExt cx="5586984" cy="13716"/>
                        </a:xfrm>
                      </wpg:grpSpPr>
                      <wps:wsp>
                        <wps:cNvPr id="2458605" name="Shape 2458605"/>
                        <wps:cNvSpPr/>
                        <wps:spPr>
                          <a:xfrm>
                            <a:off x="0" y="0"/>
                            <a:ext cx="5586984" cy="13716"/>
                          </a:xfrm>
                          <a:custGeom>
                            <a:avLst/>
                            <a:gdLst/>
                            <a:ahLst/>
                            <a:cxnLst/>
                            <a:rect l="0" t="0" r="0" b="0"/>
                            <a:pathLst>
                              <a:path w="5586984" h="13716">
                                <a:moveTo>
                                  <a:pt x="0" y="6858"/>
                                </a:moveTo>
                                <a:lnTo>
                                  <a:pt x="558698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06" style="width:439.92pt;height:1.08pt;mso-position-horizontal-relative:char;mso-position-vertical-relative:line" coordsize="55869,137">
                <v:shape id="Shape 2458605" style="position:absolute;width:55869;height:137;left:0;top:0;" coordsize="5586984,13716" path="m0,6858l5586984,6858">
                  <v:stroke weight="1.08pt" endcap="flat" joinstyle="miter" miterlimit="1" on="true" color="#000000"/>
                  <v:fill on="false" color="#000000"/>
                </v:shape>
              </v:group>
            </w:pict>
          </mc:Fallback>
        </mc:AlternateContent>
      </w:r>
    </w:p>
    <w:p w14:paraId="29767275" w14:textId="77777777" w:rsidR="00053D93" w:rsidRDefault="00260B75">
      <w:pPr>
        <w:spacing w:after="208" w:line="250" w:lineRule="auto"/>
        <w:ind w:left="28" w:right="14" w:firstLine="1714"/>
        <w:jc w:val="both"/>
      </w:pPr>
      <w:r>
        <w:rPr>
          <w:sz w:val="26"/>
        </w:rPr>
        <w:t>correo electrónico con fecha 13 de junio donde por parte del Jefe de Acciones de Personal a.i. de la DIGEF se le indica que se adjunta el cese de funciones para que ellos continuaran con el trámite administrativo que les correspondía, ya que ellos solamente pidieron el apoyo del jefe de acciones de personal para la elaboración del cese y continuar con el proceso en la Departamental. En virtud de 1 lo anterior, reitero que la coordinación de Recursos Humanos, función que desempeñé, no posee competencia legal ni funcional sobre la administración directa de tarjetas de responsabilidad ni sobre la tramitación de ceses laborales de</w:t>
      </w:r>
    </w:p>
    <w:p w14:paraId="4011A887" w14:textId="77777777" w:rsidR="00053D93" w:rsidRDefault="00260B75">
      <w:pPr>
        <w:tabs>
          <w:tab w:val="right" w:pos="10260"/>
        </w:tabs>
        <w:spacing w:after="12" w:line="250" w:lineRule="auto"/>
      </w:pPr>
      <w:r>
        <w:rPr>
          <w:sz w:val="26"/>
        </w:rPr>
        <w:t>1</w:t>
      </w:r>
      <w:r>
        <w:rPr>
          <w:sz w:val="26"/>
        </w:rPr>
        <w:tab/>
        <w:t>personal docente o administrativo de centros educativos descentralizados como la</w:t>
      </w:r>
    </w:p>
    <w:p w14:paraId="007B1B76" w14:textId="77777777" w:rsidR="00053D93" w:rsidRDefault="00260B75">
      <w:pPr>
        <w:pStyle w:val="Ttulo4"/>
        <w:spacing w:after="0" w:line="259" w:lineRule="auto"/>
        <w:ind w:left="1757" w:firstLine="4"/>
        <w:jc w:val="left"/>
      </w:pPr>
      <w:r>
        <w:t>ENEF... "</w:t>
      </w:r>
    </w:p>
    <w:p w14:paraId="0DD93E3C" w14:textId="77777777" w:rsidR="00053D93" w:rsidRDefault="00260B75">
      <w:pPr>
        <w:spacing w:after="84"/>
        <w:ind w:left="36"/>
      </w:pPr>
      <w:r>
        <w:rPr>
          <w:noProof/>
        </w:rPr>
        <w:drawing>
          <wp:inline distT="0" distB="0" distL="0" distR="0" wp14:anchorId="41B90340" wp14:editId="71BE7D85">
            <wp:extent cx="13716" cy="13716"/>
            <wp:effectExtent l="0" t="0" r="0" b="0"/>
            <wp:docPr id="803266" name="Picture 803266"/>
            <wp:cNvGraphicFramePr/>
            <a:graphic xmlns:a="http://schemas.openxmlformats.org/drawingml/2006/main">
              <a:graphicData uri="http://schemas.openxmlformats.org/drawingml/2006/picture">
                <pic:pic xmlns:pic="http://schemas.openxmlformats.org/drawingml/2006/picture">
                  <pic:nvPicPr>
                    <pic:cNvPr id="803266" name="Picture 803266"/>
                    <pic:cNvPicPr/>
                  </pic:nvPicPr>
                  <pic:blipFill>
                    <a:blip r:embed="rId1122"/>
                    <a:stretch>
                      <a:fillRect/>
                    </a:stretch>
                  </pic:blipFill>
                  <pic:spPr>
                    <a:xfrm>
                      <a:off x="0" y="0"/>
                      <a:ext cx="13716" cy="13716"/>
                    </a:xfrm>
                    <a:prstGeom prst="rect">
                      <a:avLst/>
                    </a:prstGeom>
                  </pic:spPr>
                </pic:pic>
              </a:graphicData>
            </a:graphic>
          </wp:inline>
        </w:drawing>
      </w:r>
    </w:p>
    <w:p w14:paraId="62353865" w14:textId="77777777" w:rsidR="00053D93" w:rsidRDefault="00260B75">
      <w:pPr>
        <w:spacing w:after="12" w:line="250" w:lineRule="auto"/>
        <w:ind w:left="31" w:right="14" w:hanging="3"/>
        <w:jc w:val="both"/>
      </w:pPr>
      <w:r>
        <w:rPr>
          <w:sz w:val="26"/>
        </w:rPr>
        <w:t xml:space="preserve">1 En nota s/n, del 21 de abril de 2025, el licenciado William Leonel Barrios Leiva, quien fungió como Jefe de Acciones de Personal A.l., por el período comprendido del 01 de enero de 2019 al 31 de diciembre de 2019, manifiesta: "...Al respecto me permito indicar que el instructivo INV-lNS-02 Asignación de Bienes Muebles establece que, para efectos de llevar un mejor control de los cambios internos o -1 definitivos del personal, el Jefe del Departamento/Sección de Recursos Humanos, debe informar al Encargado de Inventarios, por lo menos 5 días hábiles de anticipación, para que prepare el resguardo de bienes; en tal virtud se evidencia 1 que no es competencia del Jefe de Acciones de Personal realizar esta notificación. Asimismo me permito indicar que el instructivo RHU-lNS-04 Rescisión de Contrato </w:t>
      </w:r>
      <w:r>
        <w:rPr>
          <w:noProof/>
        </w:rPr>
        <w:drawing>
          <wp:inline distT="0" distB="0" distL="0" distR="0" wp14:anchorId="33E25E43" wp14:editId="0E470F6D">
            <wp:extent cx="32004" cy="9144"/>
            <wp:effectExtent l="0" t="0" r="0" b="0"/>
            <wp:docPr id="2458603" name="Picture 2458603"/>
            <wp:cNvGraphicFramePr/>
            <a:graphic xmlns:a="http://schemas.openxmlformats.org/drawingml/2006/main">
              <a:graphicData uri="http://schemas.openxmlformats.org/drawingml/2006/picture">
                <pic:pic xmlns:pic="http://schemas.openxmlformats.org/drawingml/2006/picture">
                  <pic:nvPicPr>
                    <pic:cNvPr id="2458603" name="Picture 2458603"/>
                    <pic:cNvPicPr/>
                  </pic:nvPicPr>
                  <pic:blipFill>
                    <a:blip r:embed="rId1123"/>
                    <a:stretch>
                      <a:fillRect/>
                    </a:stretch>
                  </pic:blipFill>
                  <pic:spPr>
                    <a:xfrm>
                      <a:off x="0" y="0"/>
                      <a:ext cx="32004" cy="9144"/>
                    </a:xfrm>
                    <a:prstGeom prst="rect">
                      <a:avLst/>
                    </a:prstGeom>
                  </pic:spPr>
                </pic:pic>
              </a:graphicData>
            </a:graphic>
          </wp:inline>
        </w:drawing>
      </w:r>
      <w:r>
        <w:rPr>
          <w:sz w:val="26"/>
        </w:rPr>
        <w:t>1 a los renglones 021 y 022 y Cese de Funciones con cargo al renglón 01 1 para</w:t>
      </w:r>
    </w:p>
    <w:p w14:paraId="2EC173AA" w14:textId="77777777" w:rsidR="00053D93" w:rsidRDefault="00260B75">
      <w:pPr>
        <w:spacing w:after="84" w:line="250" w:lineRule="auto"/>
        <w:ind w:left="1760" w:right="14" w:hanging="3"/>
        <w:jc w:val="both"/>
      </w:pPr>
      <w:r>
        <w:rPr>
          <w:sz w:val="26"/>
        </w:rPr>
        <w:t>Personal Docente y Administrativo, Actividad 1 Recibir Documentos de Rescisión/Cese de Funciones establece que para elaborar el Cese de Funciones, la documentación debe recibirse con 15 días de antelación contados a partir de la fecha de rescisión del contrato o cese de funciones, según lo establece el artículo 8 del Acuerdo Ministerial 2072-2009 "Reglamento Interno de Trabajo del Ministerio de Educación" derivado de lo anterior me permito indicar que la Dirección Departamental de Educación de Guatemala Occidente, solicitó la elaboración del</w:t>
      </w:r>
    </w:p>
    <w:p w14:paraId="4E7F1161" w14:textId="77777777" w:rsidR="00053D93" w:rsidRDefault="00260B75">
      <w:pPr>
        <w:spacing w:after="70" w:line="345" w:lineRule="auto"/>
        <w:ind w:left="1757" w:right="14" w:hanging="1620"/>
        <w:jc w:val="both"/>
      </w:pPr>
      <w:r>
        <w:rPr>
          <w:sz w:val="26"/>
        </w:rPr>
        <w:t>1 Cese de Funciones el 10 de junio de 2019, diez días después de la fecha efectiva de la renuncia... es importante recalcar que al momento en el cual el Profesor Miguel Ángel Vielman Martínez entregó el puesto por motivo de Renuncia ya no</w:t>
      </w:r>
    </w:p>
    <w:p w14:paraId="7BCAA128" w14:textId="77777777" w:rsidR="00053D93" w:rsidRDefault="00260B75">
      <w:pPr>
        <w:spacing w:after="12" w:line="348" w:lineRule="auto"/>
        <w:ind w:left="1749" w:right="14" w:hanging="1591"/>
        <w:jc w:val="both"/>
      </w:pPr>
      <w:r>
        <w:rPr>
          <w:sz w:val="26"/>
        </w:rPr>
        <w:t>1 fungía como Director interino de la Escuela Normal Central de Educación Fisica, tal como se puede evidenciar en la carta de renuncia ya que fue dirigida a la</w:t>
      </w:r>
    </w:p>
    <w:p w14:paraId="27958374" w14:textId="77777777" w:rsidR="00053D93" w:rsidRDefault="00260B75">
      <w:pPr>
        <w:spacing w:after="12" w:line="250" w:lineRule="auto"/>
        <w:ind w:left="158" w:right="14" w:firstLine="1613"/>
        <w:jc w:val="both"/>
      </w:pPr>
      <w:r>
        <w:rPr>
          <w:sz w:val="26"/>
        </w:rPr>
        <w:t>Licenciada Sandra Carolina Cerezo Dávila Directora a.i. de la Escuela Normal 1 Central de Educación Física... Cabe resaltar que el Profesor Miguel Ángel Vielman Martínez pertenecía a la Unidad Ejecutora 109, sin embargo, se encontraba 1 laborando para la Escuela Central de Educación Fisica, El Naranjo La cual pertenece a la Dirección Departamental de Educación de Occidente, derivado de lo anterior y de conformidad con lo establecido en Circular No. DIREH-0039-2015, 1 del 04 de junio de 2015, del Director de Recursos Humanos del Ministerio de Educación, ampliación Circular No. DIREH-0033-2015 Lineamientos para solicitar emisión de acuerdo ministerial de cese de funciones de personal establece que en</w:t>
      </w:r>
    </w:p>
    <w:tbl>
      <w:tblPr>
        <w:tblStyle w:val="TableGrid"/>
        <w:tblW w:w="9432" w:type="dxa"/>
        <w:tblInd w:w="821" w:type="dxa"/>
        <w:tblLook w:val="04A0" w:firstRow="1" w:lastRow="0" w:firstColumn="1" w:lastColumn="0" w:noHBand="0" w:noVBand="1"/>
      </w:tblPr>
      <w:tblGrid>
        <w:gridCol w:w="1219"/>
        <w:gridCol w:w="8220"/>
      </w:tblGrid>
      <w:tr w:rsidR="00053D93" w14:paraId="1F5004AF" w14:textId="77777777">
        <w:trPr>
          <w:trHeight w:val="648"/>
        </w:trPr>
        <w:tc>
          <w:tcPr>
            <w:tcW w:w="1716" w:type="dxa"/>
            <w:tcBorders>
              <w:top w:val="nil"/>
              <w:left w:val="nil"/>
              <w:bottom w:val="nil"/>
              <w:right w:val="nil"/>
            </w:tcBorders>
          </w:tcPr>
          <w:p w14:paraId="2DE0BFCD" w14:textId="77777777" w:rsidR="00053D93" w:rsidRDefault="00260B75">
            <w:r>
              <w:rPr>
                <w:noProof/>
              </w:rPr>
              <w:drawing>
                <wp:inline distT="0" distB="0" distL="0" distR="0" wp14:anchorId="57278F54" wp14:editId="23B27557">
                  <wp:extent cx="1060704" cy="411480"/>
                  <wp:effectExtent l="0" t="0" r="0" b="0"/>
                  <wp:docPr id="803333" name="Picture 803333"/>
                  <wp:cNvGraphicFramePr/>
                  <a:graphic xmlns:a="http://schemas.openxmlformats.org/drawingml/2006/main">
                    <a:graphicData uri="http://schemas.openxmlformats.org/drawingml/2006/picture">
                      <pic:pic xmlns:pic="http://schemas.openxmlformats.org/drawingml/2006/picture">
                        <pic:nvPicPr>
                          <pic:cNvPr id="803333" name="Picture 803333"/>
                          <pic:cNvPicPr/>
                        </pic:nvPicPr>
                        <pic:blipFill>
                          <a:blip r:embed="rId1124"/>
                          <a:stretch>
                            <a:fillRect/>
                          </a:stretch>
                        </pic:blipFill>
                        <pic:spPr>
                          <a:xfrm>
                            <a:off x="0" y="0"/>
                            <a:ext cx="1060704" cy="411480"/>
                          </a:xfrm>
                          <a:prstGeom prst="rect">
                            <a:avLst/>
                          </a:prstGeom>
                        </pic:spPr>
                      </pic:pic>
                    </a:graphicData>
                  </a:graphic>
                </wp:inline>
              </w:drawing>
            </w:r>
          </w:p>
        </w:tc>
        <w:tc>
          <w:tcPr>
            <w:tcW w:w="7716" w:type="dxa"/>
            <w:tcBorders>
              <w:top w:val="nil"/>
              <w:left w:val="nil"/>
              <w:bottom w:val="nil"/>
              <w:right w:val="nil"/>
            </w:tcBorders>
          </w:tcPr>
          <w:p w14:paraId="222AD9F7" w14:textId="77777777" w:rsidR="00053D93" w:rsidRDefault="00053D93">
            <w:pPr>
              <w:ind w:left="-2832" w:right="10548"/>
            </w:pPr>
          </w:p>
          <w:tbl>
            <w:tblPr>
              <w:tblStyle w:val="TableGrid"/>
              <w:tblW w:w="7671" w:type="dxa"/>
              <w:tblInd w:w="45" w:type="dxa"/>
              <w:tblCellMar>
                <w:top w:w="31" w:type="dxa"/>
                <w:left w:w="1774" w:type="dxa"/>
                <w:right w:w="115" w:type="dxa"/>
              </w:tblCellMar>
              <w:tblLook w:val="04A0" w:firstRow="1" w:lastRow="0" w:firstColumn="1" w:lastColumn="0" w:noHBand="0" w:noVBand="1"/>
            </w:tblPr>
            <w:tblGrid>
              <w:gridCol w:w="7671"/>
            </w:tblGrid>
            <w:tr w:rsidR="00053D93" w14:paraId="2CC6B354" w14:textId="77777777">
              <w:trPr>
                <w:trHeight w:val="607"/>
              </w:trPr>
              <w:tc>
                <w:tcPr>
                  <w:tcW w:w="7671" w:type="dxa"/>
                  <w:tcBorders>
                    <w:top w:val="single" w:sz="2" w:space="0" w:color="000000"/>
                    <w:left w:val="single" w:sz="2" w:space="0" w:color="000000"/>
                    <w:bottom w:val="nil"/>
                    <w:right w:val="nil"/>
                  </w:tcBorders>
                </w:tcPr>
                <w:p w14:paraId="60F89EF0" w14:textId="77777777" w:rsidR="00053D93" w:rsidRDefault="00260B75">
                  <w:pPr>
                    <w:ind w:left="835"/>
                  </w:pPr>
                  <w:r>
                    <w:rPr>
                      <w:sz w:val="14"/>
                    </w:rPr>
                    <w:t>MINISTERIO DE EDUCACION</w:t>
                  </w:r>
                </w:p>
                <w:p w14:paraId="3CF63E98" w14:textId="77777777" w:rsidR="00053D93" w:rsidRDefault="00260B75">
                  <w:pPr>
                    <w:ind w:left="338"/>
                  </w:pPr>
                  <w:r>
                    <w:rPr>
                      <w:sz w:val="14"/>
                    </w:rPr>
                    <w:t>AUDITORIA FINANCIERA Y DE CUMPLIMIENTO</w:t>
                  </w:r>
                </w:p>
                <w:p w14:paraId="4DCC2C27" w14:textId="77777777" w:rsidR="00053D93" w:rsidRDefault="00260B75">
                  <w:r>
                    <w:rPr>
                      <w:sz w:val="14"/>
                    </w:rPr>
                    <w:t>PERIODO DEL 01 DE ENERO AL 31 OE DICIEMBRE DE 2024</w:t>
                  </w:r>
                </w:p>
              </w:tc>
            </w:tr>
          </w:tbl>
          <w:p w14:paraId="5DDA6B37" w14:textId="77777777" w:rsidR="00053D93" w:rsidRDefault="00053D93"/>
        </w:tc>
      </w:tr>
    </w:tbl>
    <w:p w14:paraId="5BD07009" w14:textId="77777777" w:rsidR="00053D93" w:rsidRDefault="00260B75">
      <w:pPr>
        <w:spacing w:after="33"/>
        <w:ind w:left="1714"/>
      </w:pPr>
      <w:r>
        <w:rPr>
          <w:noProof/>
        </w:rPr>
        <mc:AlternateContent>
          <mc:Choice Requires="wpg">
            <w:drawing>
              <wp:inline distT="0" distB="0" distL="0" distR="0" wp14:anchorId="104C4CB2" wp14:editId="5A270415">
                <wp:extent cx="5390388" cy="13716"/>
                <wp:effectExtent l="0" t="0" r="0" b="0"/>
                <wp:docPr id="2458608" name="Group 2458608"/>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8607" name="Shape 2458607"/>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08" style="width:424.44pt;height:1.08pt;mso-position-horizontal-relative:char;mso-position-vertical-relative:line" coordsize="53903,137">
                <v:shape id="Shape 2458607" style="position:absolute;width:53903;height:137;left:0;top:0;" coordsize="5390388,13716" path="m0,6858l5390388,6858">
                  <v:stroke weight="1.08pt" endcap="flat" joinstyle="miter" miterlimit="1" on="true" color="#000000"/>
                  <v:fill on="false" color="#000000"/>
                </v:shape>
              </v:group>
            </w:pict>
          </mc:Fallback>
        </mc:AlternateContent>
      </w:r>
    </w:p>
    <w:p w14:paraId="6666E787" w14:textId="77777777" w:rsidR="00053D93" w:rsidRDefault="00260B75">
      <w:pPr>
        <w:spacing w:after="4" w:line="269" w:lineRule="auto"/>
        <w:ind w:left="57" w:right="14" w:firstLine="1692"/>
        <w:jc w:val="both"/>
      </w:pPr>
      <w:r>
        <w:rPr>
          <w:sz w:val="26"/>
        </w:rPr>
        <w:t>el caso que la partida presupuestaria pertenezca a otra unidad ejecutora diferente a la ubicación física de [a persona; el procedimiento a seguir es el siguiente: El Director de la dependencia en donde se encuentra ubicada la persona físicamente debe enviar al Director de la dependencia a la cual corresponde la partida presupuestaria, el oficio de solicitud de generación de oficio de cese de funciones; 1 para que la Dependencia genere el oficio y lo devuelva a la unidad solicitante debidamente firmado; para que ésta continue con el trámite respectivo y conformación de la documentación para ser enviada al Departamento de 1 Contrataciones de la Dirección de Recursos Humanos; se evidencia que la</w:t>
      </w:r>
    </w:p>
    <w:p w14:paraId="14CD1337" w14:textId="77777777" w:rsidR="00053D93" w:rsidRDefault="00260B75">
      <w:pPr>
        <w:spacing w:after="4" w:line="269" w:lineRule="auto"/>
        <w:ind w:left="57" w:right="14" w:firstLine="1714"/>
        <w:jc w:val="both"/>
      </w:pPr>
      <w:r>
        <w:rPr>
          <w:sz w:val="26"/>
        </w:rPr>
        <w:t xml:space="preserve">Dirección General de Educación Física únicamente intervino en la elaboración del </w:t>
      </w:r>
      <w:r>
        <w:rPr>
          <w:noProof/>
        </w:rPr>
        <w:drawing>
          <wp:inline distT="0" distB="0" distL="0" distR="0" wp14:anchorId="25D4750B" wp14:editId="629AF18C">
            <wp:extent cx="9144" cy="9144"/>
            <wp:effectExtent l="0" t="0" r="0" b="0"/>
            <wp:docPr id="807367" name="Picture 807367"/>
            <wp:cNvGraphicFramePr/>
            <a:graphic xmlns:a="http://schemas.openxmlformats.org/drawingml/2006/main">
              <a:graphicData uri="http://schemas.openxmlformats.org/drawingml/2006/picture">
                <pic:pic xmlns:pic="http://schemas.openxmlformats.org/drawingml/2006/picture">
                  <pic:nvPicPr>
                    <pic:cNvPr id="807367" name="Picture 807367"/>
                    <pic:cNvPicPr/>
                  </pic:nvPicPr>
                  <pic:blipFill>
                    <a:blip r:embed="rId1125"/>
                    <a:stretch>
                      <a:fillRect/>
                    </a:stretch>
                  </pic:blipFill>
                  <pic:spPr>
                    <a:xfrm>
                      <a:off x="0" y="0"/>
                      <a:ext cx="9144" cy="9144"/>
                    </a:xfrm>
                    <a:prstGeom prst="rect">
                      <a:avLst/>
                    </a:prstGeom>
                  </pic:spPr>
                </pic:pic>
              </a:graphicData>
            </a:graphic>
          </wp:inline>
        </w:drawing>
      </w:r>
      <w:r>
        <w:rPr>
          <w:sz w:val="26"/>
        </w:rPr>
        <w:t xml:space="preserve"> Cese de Funciones puesto que el Corte de Salario y la Certificación de Acta de 1 entrega de puesto por Renuncia fueron elaborados por la Dirección Departamental de Educación de Guatemala Occidente... Es importante indicar que la </w:t>
      </w:r>
      <w:r>
        <w:rPr>
          <w:noProof/>
        </w:rPr>
        <w:drawing>
          <wp:inline distT="0" distB="0" distL="0" distR="0" wp14:anchorId="6D317DCB" wp14:editId="1EB3D134">
            <wp:extent cx="9144" cy="13715"/>
            <wp:effectExtent l="0" t="0" r="0" b="0"/>
            <wp:docPr id="807368" name="Picture 807368"/>
            <wp:cNvGraphicFramePr/>
            <a:graphic xmlns:a="http://schemas.openxmlformats.org/drawingml/2006/main">
              <a:graphicData uri="http://schemas.openxmlformats.org/drawingml/2006/picture">
                <pic:pic xmlns:pic="http://schemas.openxmlformats.org/drawingml/2006/picture">
                  <pic:nvPicPr>
                    <pic:cNvPr id="807368" name="Picture 807368"/>
                    <pic:cNvPicPr/>
                  </pic:nvPicPr>
                  <pic:blipFill>
                    <a:blip r:embed="rId1126"/>
                    <a:stretch>
                      <a:fillRect/>
                    </a:stretch>
                  </pic:blipFill>
                  <pic:spPr>
                    <a:xfrm>
                      <a:off x="0" y="0"/>
                      <a:ext cx="9144" cy="13715"/>
                    </a:xfrm>
                    <a:prstGeom prst="rect">
                      <a:avLst/>
                    </a:prstGeom>
                  </pic:spPr>
                </pic:pic>
              </a:graphicData>
            </a:graphic>
          </wp:inline>
        </w:drawing>
      </w:r>
      <w:r>
        <w:rPr>
          <w:sz w:val="26"/>
        </w:rPr>
        <w:t>1 Coordinación de Recursos Humanos desconoce los bienes muebles asignados al personal que se encuentra dentro de las instalaciones de DIGEF, como del que se encuentra ubicado fuera de las instalaciones; considerando que esta 1 responsabilidad compete a la Sección de Inventarios de DIGEF y en el caso del</w:t>
      </w:r>
    </w:p>
    <w:p w14:paraId="1A66F169" w14:textId="77777777" w:rsidR="00053D93" w:rsidRDefault="00260B75">
      <w:pPr>
        <w:spacing w:after="164" w:line="220" w:lineRule="auto"/>
        <w:ind w:left="57" w:right="14" w:firstLine="1685"/>
        <w:jc w:val="both"/>
      </w:pPr>
      <w:r>
        <w:rPr>
          <w:sz w:val="26"/>
        </w:rPr>
        <w:t xml:space="preserve">Profesor correspondía a [a Directora interina de la Escuela Normal Central de Educación Física, verificar que el Profesor contara con la "Solvencia de 1 Inventarios", como constancia de que el al momento de entregar el puesto no tenía ningún bien bajo su responsabilidad, en virtud de que él se encontraba bajo su </w:t>
      </w:r>
      <w:r>
        <w:rPr>
          <w:noProof/>
        </w:rPr>
        <w:drawing>
          <wp:inline distT="0" distB="0" distL="0" distR="0" wp14:anchorId="736D867D" wp14:editId="4BCD5801">
            <wp:extent cx="4572" cy="4572"/>
            <wp:effectExtent l="0" t="0" r="0" b="0"/>
            <wp:docPr id="807369" name="Picture 807369"/>
            <wp:cNvGraphicFramePr/>
            <a:graphic xmlns:a="http://schemas.openxmlformats.org/drawingml/2006/main">
              <a:graphicData uri="http://schemas.openxmlformats.org/drawingml/2006/picture">
                <pic:pic xmlns:pic="http://schemas.openxmlformats.org/drawingml/2006/picture">
                  <pic:nvPicPr>
                    <pic:cNvPr id="807369" name="Picture 807369"/>
                    <pic:cNvPicPr/>
                  </pic:nvPicPr>
                  <pic:blipFill>
                    <a:blip r:embed="rId1127"/>
                    <a:stretch>
                      <a:fillRect/>
                    </a:stretch>
                  </pic:blipFill>
                  <pic:spPr>
                    <a:xfrm>
                      <a:off x="0" y="0"/>
                      <a:ext cx="4572" cy="4572"/>
                    </a:xfrm>
                    <a:prstGeom prst="rect">
                      <a:avLst/>
                    </a:prstGeom>
                  </pic:spPr>
                </pic:pic>
              </a:graphicData>
            </a:graphic>
          </wp:inline>
        </w:drawing>
      </w:r>
      <w:r>
        <w:rPr>
          <w:sz w:val="26"/>
        </w:rPr>
        <w:t>1</w:t>
      </w:r>
      <w:r>
        <w:rPr>
          <w:sz w:val="26"/>
        </w:rPr>
        <w:tab/>
        <w:t>jerarquía. .. "</w:t>
      </w:r>
    </w:p>
    <w:p w14:paraId="7A48071B" w14:textId="77777777" w:rsidR="00053D93" w:rsidRDefault="00260B75">
      <w:pPr>
        <w:spacing w:after="93" w:line="269" w:lineRule="auto"/>
        <w:ind w:left="57" w:right="14" w:firstLine="1649"/>
        <w:jc w:val="both"/>
      </w:pPr>
      <w:r>
        <w:rPr>
          <w:sz w:val="26"/>
        </w:rPr>
        <w:t>En nota s/n, del 10 de abril de 2025, la licenciada Dorcas Marlene García Chaclán, 1 quien fungió como Jefe de Sección de Inventarios A.l., por el período comprendido del 01 de enero de 2024 al 23 de septiembre de 2024, manifiesta: "Referente al 1 presente hallazgo me permito manifestar: Con Resolución No. 384-2024, de fecha 02 de diciembre de 2024, fui designada temporal y funcionalmente para que realizar las funciones de Coordinadora Financiera a.i. de la Dirección General de 1 Educación Asica -DIGEF-. 1. con Resolución-DlGEF- No. 88-2022, de fecha 31 de marzo de 2022 fui designada de forma interina, temporal y funcional, como Jefe de la Sección de Inventarios. 2. Con Resolución —DIGEF-No. 275-2024, de fecha 1 20 de septiembre de 2024, se revoca la resolución No. 88-2022 de fecha 31 de marzo de 2022, instruyéndome regresar a mi puesto nominal. 3. Para los casos 1 descritos en el presente hallazgo, refieren dos renuncias de personal permanente, los cuales en su momento no fueron notificados a la sección de Inventarios por la Coordinación de Recursos Humanos como lo establece la normativa legal vigente.</w:t>
      </w:r>
    </w:p>
    <w:p w14:paraId="38459F54" w14:textId="77777777" w:rsidR="00053D93" w:rsidRDefault="00260B75">
      <w:pPr>
        <w:spacing w:after="4" w:line="321" w:lineRule="auto"/>
        <w:ind w:left="1749" w:right="14" w:hanging="1591"/>
        <w:jc w:val="both"/>
      </w:pPr>
      <w:r>
        <w:rPr>
          <w:sz w:val="26"/>
        </w:rPr>
        <w:t>1 4. Adicionalmente es importante mencionar que cada empleado es responsable de los bienes que en su momento son cargados en tarjeta de responsabilidad. 5. Durante el tiempo en que asumí la Jefatura de la sección de Inventarios a.i. no me</w:t>
      </w:r>
    </w:p>
    <w:p w14:paraId="61FE318E" w14:textId="77777777" w:rsidR="00053D93" w:rsidRDefault="00260B75">
      <w:pPr>
        <w:spacing w:after="25"/>
        <w:ind w:left="29"/>
      </w:pPr>
      <w:r>
        <w:rPr>
          <w:noProof/>
        </w:rPr>
        <w:drawing>
          <wp:inline distT="0" distB="0" distL="0" distR="0" wp14:anchorId="1FB5FC1A" wp14:editId="23952DD7">
            <wp:extent cx="18288" cy="13716"/>
            <wp:effectExtent l="0" t="0" r="0" b="0"/>
            <wp:docPr id="807370" name="Picture 807370"/>
            <wp:cNvGraphicFramePr/>
            <a:graphic xmlns:a="http://schemas.openxmlformats.org/drawingml/2006/main">
              <a:graphicData uri="http://schemas.openxmlformats.org/drawingml/2006/picture">
                <pic:pic xmlns:pic="http://schemas.openxmlformats.org/drawingml/2006/picture">
                  <pic:nvPicPr>
                    <pic:cNvPr id="807370" name="Picture 807370"/>
                    <pic:cNvPicPr/>
                  </pic:nvPicPr>
                  <pic:blipFill>
                    <a:blip r:embed="rId1128"/>
                    <a:stretch>
                      <a:fillRect/>
                    </a:stretch>
                  </pic:blipFill>
                  <pic:spPr>
                    <a:xfrm>
                      <a:off x="0" y="0"/>
                      <a:ext cx="18288" cy="13716"/>
                    </a:xfrm>
                    <a:prstGeom prst="rect">
                      <a:avLst/>
                    </a:prstGeom>
                  </pic:spPr>
                </pic:pic>
              </a:graphicData>
            </a:graphic>
          </wp:inline>
        </w:drawing>
      </w:r>
    </w:p>
    <w:p w14:paraId="6FBFFED5" w14:textId="77777777" w:rsidR="00053D93" w:rsidRDefault="00260B75">
      <w:pPr>
        <w:spacing w:after="4" w:line="355" w:lineRule="auto"/>
        <w:ind w:left="1750" w:right="14" w:hanging="1584"/>
        <w:jc w:val="both"/>
      </w:pPr>
      <w:r>
        <w:rPr>
          <w:sz w:val="26"/>
        </w:rPr>
        <w:t>1 fue requerido solvencia de las personas referidas en el presente hallazgo, específicamente para el caso del Catedrático Especializado T.C., toda vez que</w:t>
      </w:r>
    </w:p>
    <w:p w14:paraId="33A020F3" w14:textId="77777777" w:rsidR="00053D93" w:rsidRDefault="00260B75">
      <w:pPr>
        <w:tabs>
          <w:tab w:val="right" w:pos="10260"/>
        </w:tabs>
        <w:spacing w:after="344" w:line="265" w:lineRule="auto"/>
      </w:pPr>
      <w:r>
        <w:rPr>
          <w:sz w:val="24"/>
        </w:rPr>
        <w:t>1</w:t>
      </w:r>
      <w:r>
        <w:rPr>
          <w:sz w:val="24"/>
        </w:rPr>
        <w:tab/>
        <w:t>renunció al 01 de junio de 2019, según cuadro en referencia. 6. Difiero en cuanto a</w:t>
      </w:r>
    </w:p>
    <w:tbl>
      <w:tblPr>
        <w:tblStyle w:val="TableGrid"/>
        <w:tblpPr w:vertAnchor="text" w:tblpX="2582" w:tblpY="33"/>
        <w:tblOverlap w:val="never"/>
        <w:tblW w:w="7649" w:type="dxa"/>
        <w:tblInd w:w="0" w:type="dxa"/>
        <w:tblCellMar>
          <w:top w:w="46" w:type="dxa"/>
          <w:left w:w="1752" w:type="dxa"/>
          <w:right w:w="115" w:type="dxa"/>
        </w:tblCellMar>
        <w:tblLook w:val="04A0" w:firstRow="1" w:lastRow="0" w:firstColumn="1" w:lastColumn="0" w:noHBand="0" w:noVBand="1"/>
      </w:tblPr>
      <w:tblGrid>
        <w:gridCol w:w="7649"/>
      </w:tblGrid>
      <w:tr w:rsidR="00053D93" w14:paraId="730148A0" w14:textId="77777777">
        <w:trPr>
          <w:trHeight w:val="600"/>
        </w:trPr>
        <w:tc>
          <w:tcPr>
            <w:tcW w:w="7649" w:type="dxa"/>
            <w:tcBorders>
              <w:top w:val="single" w:sz="2" w:space="0" w:color="000000"/>
              <w:left w:val="single" w:sz="2" w:space="0" w:color="000000"/>
              <w:bottom w:val="nil"/>
              <w:right w:val="nil"/>
            </w:tcBorders>
          </w:tcPr>
          <w:p w14:paraId="211CCF97" w14:textId="77777777" w:rsidR="00053D93" w:rsidRDefault="00260B75">
            <w:pPr>
              <w:ind w:left="842"/>
            </w:pPr>
            <w:r>
              <w:rPr>
                <w:sz w:val="14"/>
              </w:rPr>
              <w:t>MINISTERIO OE EDUCACION</w:t>
            </w:r>
          </w:p>
          <w:p w14:paraId="69548801" w14:textId="77777777" w:rsidR="00053D93" w:rsidRDefault="00260B75">
            <w:pPr>
              <w:ind w:left="346"/>
            </w:pPr>
            <w:r>
              <w:rPr>
                <w:sz w:val="14"/>
              </w:rPr>
              <w:t>AUDITORIA FINANCIERA Y DE CUMPLIMIENTO</w:t>
            </w:r>
          </w:p>
          <w:p w14:paraId="6AF27862" w14:textId="77777777" w:rsidR="00053D93" w:rsidRDefault="00260B75">
            <w:r>
              <w:rPr>
                <w:sz w:val="14"/>
              </w:rPr>
              <w:t>PERIODO DEL 01 DE ENERO AL 31 DE DICIEMBRE DE 2024</w:t>
            </w:r>
          </w:p>
        </w:tc>
      </w:tr>
    </w:tbl>
    <w:p w14:paraId="134C1A3D" w14:textId="77777777" w:rsidR="00053D93" w:rsidRDefault="00260B75">
      <w:pPr>
        <w:pStyle w:val="Ttulo1"/>
        <w:spacing w:after="175" w:line="259" w:lineRule="auto"/>
        <w:ind w:left="809" w:right="-7646"/>
        <w:jc w:val="left"/>
      </w:pPr>
      <w:r>
        <w:rPr>
          <w:sz w:val="32"/>
        </w:rPr>
        <w:t xml:space="preserve">III </w:t>
      </w:r>
      <w:r>
        <w:rPr>
          <w:noProof/>
        </w:rPr>
        <w:drawing>
          <wp:inline distT="0" distB="0" distL="0" distR="0" wp14:anchorId="2D0C5405" wp14:editId="4CFFFF29">
            <wp:extent cx="877824" cy="406908"/>
            <wp:effectExtent l="0" t="0" r="0" b="0"/>
            <wp:docPr id="807414" name="Picture 807414"/>
            <wp:cNvGraphicFramePr/>
            <a:graphic xmlns:a="http://schemas.openxmlformats.org/drawingml/2006/main">
              <a:graphicData uri="http://schemas.openxmlformats.org/drawingml/2006/picture">
                <pic:pic xmlns:pic="http://schemas.openxmlformats.org/drawingml/2006/picture">
                  <pic:nvPicPr>
                    <pic:cNvPr id="807414" name="Picture 807414"/>
                    <pic:cNvPicPr/>
                  </pic:nvPicPr>
                  <pic:blipFill>
                    <a:blip r:embed="rId1129"/>
                    <a:stretch>
                      <a:fillRect/>
                    </a:stretch>
                  </pic:blipFill>
                  <pic:spPr>
                    <a:xfrm>
                      <a:off x="0" y="0"/>
                      <a:ext cx="877824" cy="406908"/>
                    </a:xfrm>
                    <a:prstGeom prst="rect">
                      <a:avLst/>
                    </a:prstGeom>
                  </pic:spPr>
                </pic:pic>
              </a:graphicData>
            </a:graphic>
          </wp:inline>
        </w:drawing>
      </w:r>
      <w:r>
        <w:rPr>
          <w:sz w:val="32"/>
        </w:rPr>
        <w:t>I</w:t>
      </w:r>
    </w:p>
    <w:p w14:paraId="6997503A" w14:textId="77777777" w:rsidR="00053D93" w:rsidRDefault="00053D93">
      <w:pPr>
        <w:sectPr w:rsidR="00053D93">
          <w:headerReference w:type="even" r:id="rId1130"/>
          <w:headerReference w:type="default" r:id="rId1131"/>
          <w:footerReference w:type="even" r:id="rId1132"/>
          <w:footerReference w:type="default" r:id="rId1133"/>
          <w:headerReference w:type="first" r:id="rId1134"/>
          <w:footerReference w:type="first" r:id="rId1135"/>
          <w:pgSz w:w="12290" w:h="15883"/>
          <w:pgMar w:top="691" w:right="1735" w:bottom="727" w:left="295" w:header="374" w:footer="720" w:gutter="0"/>
          <w:cols w:space="720"/>
          <w:titlePg/>
        </w:sectPr>
      </w:pPr>
    </w:p>
    <w:p w14:paraId="6CEDB881" w14:textId="77777777" w:rsidR="00053D93" w:rsidRDefault="00260B75">
      <w:pPr>
        <w:spacing w:after="199" w:line="216" w:lineRule="auto"/>
        <w:ind w:left="57" w:right="14" w:firstLine="1699"/>
        <w:jc w:val="both"/>
      </w:pPr>
      <w:r>
        <w:rPr>
          <w:sz w:val="26"/>
        </w:rPr>
        <w:t xml:space="preserve">no velar porque el Asistente de Inventarios, realizara las gestiones correspondientes para preparar el resguardo y realizar el traslado de los bienes al jefe inmediato superior, toda vez que la sección de Inventarios no recibió los INV-FOR-03 </w:t>
      </w:r>
      <w:r>
        <w:rPr>
          <w:sz w:val="26"/>
          <w:vertAlign w:val="superscript"/>
        </w:rPr>
        <w:t xml:space="preserve">U </w:t>
      </w:r>
      <w:r>
        <w:rPr>
          <w:sz w:val="26"/>
        </w:rPr>
        <w:t>Control de Descargo y Cargo del Resguardo de Bienes Muebles", para actualizar las tarjetas de responsabilidad, como lo establece la normativa 1 legal vigente... "</w:t>
      </w:r>
    </w:p>
    <w:p w14:paraId="76CC1B3B" w14:textId="77777777" w:rsidR="00053D93" w:rsidRDefault="00260B75">
      <w:pPr>
        <w:spacing w:after="272" w:line="269" w:lineRule="auto"/>
        <w:ind w:left="57" w:right="14" w:firstLine="1706"/>
        <w:jc w:val="both"/>
      </w:pPr>
      <w:r>
        <w:rPr>
          <w:sz w:val="26"/>
        </w:rPr>
        <w:t xml:space="preserve">En nota s/n, del 21 de abril de 2025, el señor Marco Antonio Díaz López, Asistente 1 de Inventarios, manifiesta: Para los casos descritos en el presente hallazgo, donde describen dos renuncias de personal permanente, los cuales en su momento no fueron notificados a la sección de Inventarios por la Coordinación de 1 Recursos Humanos como lo establece la normativa legal vigente, por tal razón esta sección no tuvo conocimiento de estas renuncias. Dentro de mis funciones </w:t>
      </w:r>
      <w:r>
        <w:rPr>
          <w:noProof/>
        </w:rPr>
        <w:drawing>
          <wp:inline distT="0" distB="0" distL="0" distR="0" wp14:anchorId="13EC9C57" wp14:editId="77368447">
            <wp:extent cx="9144" cy="9144"/>
            <wp:effectExtent l="0" t="0" r="0" b="0"/>
            <wp:docPr id="811261" name="Picture 811261"/>
            <wp:cNvGraphicFramePr/>
            <a:graphic xmlns:a="http://schemas.openxmlformats.org/drawingml/2006/main">
              <a:graphicData uri="http://schemas.openxmlformats.org/drawingml/2006/picture">
                <pic:pic xmlns:pic="http://schemas.openxmlformats.org/drawingml/2006/picture">
                  <pic:nvPicPr>
                    <pic:cNvPr id="811261" name="Picture 811261"/>
                    <pic:cNvPicPr/>
                  </pic:nvPicPr>
                  <pic:blipFill>
                    <a:blip r:embed="rId1136"/>
                    <a:stretch>
                      <a:fillRect/>
                    </a:stretch>
                  </pic:blipFill>
                  <pic:spPr>
                    <a:xfrm>
                      <a:off x="0" y="0"/>
                      <a:ext cx="9144" cy="9144"/>
                    </a:xfrm>
                    <a:prstGeom prst="rect">
                      <a:avLst/>
                    </a:prstGeom>
                  </pic:spPr>
                </pic:pic>
              </a:graphicData>
            </a:graphic>
          </wp:inline>
        </w:drawing>
      </w:r>
      <w:r>
        <w:rPr>
          <w:sz w:val="26"/>
        </w:rPr>
        <w:t>1 como Asistente de Inventarios, es mi responsabilidad realizar los movimientos de bienes, una vez ingresen los INV-FOR-03 "Control de Descargo y Cargo del Resguardo de Bienes Muebles", a la sección de inventarios, los cuales son 1 asignados por el Jefe de esta sección, al no recibir dichos formularios INV-FOR-03 'Control de Descargo y Cargo del Resguardo de Bienes Muebles", no fueron realizados los movimientos de bienes para actualizar las tarjetas de</w:t>
      </w:r>
    </w:p>
    <w:p w14:paraId="0F3D95B5" w14:textId="77777777" w:rsidR="00053D93" w:rsidRDefault="00260B75">
      <w:pPr>
        <w:tabs>
          <w:tab w:val="center" w:pos="5000"/>
        </w:tabs>
        <w:spacing w:after="137" w:line="269" w:lineRule="auto"/>
      </w:pPr>
      <w:r>
        <w:rPr>
          <w:sz w:val="26"/>
        </w:rPr>
        <w:t>1</w:t>
      </w:r>
      <w:r>
        <w:rPr>
          <w:sz w:val="26"/>
        </w:rPr>
        <w:tab/>
        <w:t>responsabilidad, como lo establece la normativa legal vigente...</w:t>
      </w:r>
      <w:r>
        <w:rPr>
          <w:noProof/>
        </w:rPr>
        <w:drawing>
          <wp:inline distT="0" distB="0" distL="0" distR="0" wp14:anchorId="017D8D5C" wp14:editId="48A4B5BF">
            <wp:extent cx="45720" cy="45720"/>
            <wp:effectExtent l="0" t="0" r="0" b="0"/>
            <wp:docPr id="2458610" name="Picture 2458610"/>
            <wp:cNvGraphicFramePr/>
            <a:graphic xmlns:a="http://schemas.openxmlformats.org/drawingml/2006/main">
              <a:graphicData uri="http://schemas.openxmlformats.org/drawingml/2006/picture">
                <pic:pic xmlns:pic="http://schemas.openxmlformats.org/drawingml/2006/picture">
                  <pic:nvPicPr>
                    <pic:cNvPr id="2458610" name="Picture 2458610"/>
                    <pic:cNvPicPr/>
                  </pic:nvPicPr>
                  <pic:blipFill>
                    <a:blip r:embed="rId1137"/>
                    <a:stretch>
                      <a:fillRect/>
                    </a:stretch>
                  </pic:blipFill>
                  <pic:spPr>
                    <a:xfrm>
                      <a:off x="0" y="0"/>
                      <a:ext cx="45720" cy="45720"/>
                    </a:xfrm>
                    <a:prstGeom prst="rect">
                      <a:avLst/>
                    </a:prstGeom>
                  </pic:spPr>
                </pic:pic>
              </a:graphicData>
            </a:graphic>
          </wp:inline>
        </w:drawing>
      </w:r>
    </w:p>
    <w:p w14:paraId="48A4EA30" w14:textId="77777777" w:rsidR="00053D93" w:rsidRDefault="00260B75">
      <w:pPr>
        <w:tabs>
          <w:tab w:val="center" w:pos="3053"/>
        </w:tabs>
        <w:spacing w:after="4" w:line="269" w:lineRule="auto"/>
      </w:pPr>
      <w:r>
        <w:rPr>
          <w:noProof/>
        </w:rPr>
        <mc:AlternateContent>
          <mc:Choice Requires="wpg">
            <w:drawing>
              <wp:anchor distT="0" distB="0" distL="114300" distR="114300" simplePos="0" relativeHeight="252092416" behindDoc="0" locked="0" layoutInCell="1" allowOverlap="1" wp14:anchorId="71DD4A7C" wp14:editId="517F6424">
                <wp:simplePos x="0" y="0"/>
                <wp:positionH relativeFrom="page">
                  <wp:posOffset>1298448</wp:posOffset>
                </wp:positionH>
                <wp:positionV relativeFrom="page">
                  <wp:posOffset>745236</wp:posOffset>
                </wp:positionV>
                <wp:extent cx="5390388" cy="13716"/>
                <wp:effectExtent l="0" t="0" r="0" b="0"/>
                <wp:wrapTopAndBottom/>
                <wp:docPr id="2458613" name="Group 2458613"/>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8612" name="Shape 2458612"/>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613" style="width:424.44pt;height:1.08pt;position:absolute;mso-position-horizontal-relative:page;mso-position-horizontal:absolute;margin-left:102.24pt;mso-position-vertical-relative:page;margin-top:58.68pt;" coordsize="53903,137">
                <v:shape id="Shape 2458612" style="position:absolute;width:53903;height:137;left:0;top:0;" coordsize="5390388,13716" path="m0,6858l5390388,6858">
                  <v:stroke weight="1.08pt" endcap="flat" joinstyle="miter" miterlimit="1" on="true" color="#000000"/>
                  <v:fill on="false" color="#000000"/>
                </v:shape>
                <w10:wrap type="topAndBottom"/>
              </v:group>
            </w:pict>
          </mc:Fallback>
        </mc:AlternateContent>
      </w:r>
      <w:r>
        <w:rPr>
          <w:sz w:val="26"/>
        </w:rPr>
        <w:t>1</w:t>
      </w:r>
      <w:r>
        <w:rPr>
          <w:sz w:val="26"/>
        </w:rPr>
        <w:tab/>
        <w:t>Comentario de auditoría</w:t>
      </w:r>
    </w:p>
    <w:p w14:paraId="79B91E6F" w14:textId="77777777" w:rsidR="00053D93" w:rsidRDefault="00260B75">
      <w:pPr>
        <w:spacing w:after="4" w:line="269" w:lineRule="auto"/>
        <w:ind w:left="1738" w:right="14" w:hanging="3"/>
        <w:jc w:val="both"/>
      </w:pPr>
      <w:r>
        <w:rPr>
          <w:sz w:val="26"/>
        </w:rPr>
        <w:t>Se confirma el hallazgo para la licenciada Gladys Maite Rojas Álvarez, quien fungió como Coordinadora de Recursos Humanos, por el período comprendido del</w:t>
      </w:r>
    </w:p>
    <w:p w14:paraId="4DD170D9" w14:textId="77777777" w:rsidR="00053D93" w:rsidRDefault="00260B75">
      <w:pPr>
        <w:spacing w:after="63"/>
        <w:ind w:left="72"/>
      </w:pPr>
      <w:r>
        <w:rPr>
          <w:noProof/>
        </w:rPr>
        <w:drawing>
          <wp:inline distT="0" distB="0" distL="0" distR="0" wp14:anchorId="1F31A4E7" wp14:editId="4E8FF401">
            <wp:extent cx="13716" cy="4572"/>
            <wp:effectExtent l="0" t="0" r="0" b="0"/>
            <wp:docPr id="811264" name="Picture 811264"/>
            <wp:cNvGraphicFramePr/>
            <a:graphic xmlns:a="http://schemas.openxmlformats.org/drawingml/2006/main">
              <a:graphicData uri="http://schemas.openxmlformats.org/drawingml/2006/picture">
                <pic:pic xmlns:pic="http://schemas.openxmlformats.org/drawingml/2006/picture">
                  <pic:nvPicPr>
                    <pic:cNvPr id="811264" name="Picture 811264"/>
                    <pic:cNvPicPr/>
                  </pic:nvPicPr>
                  <pic:blipFill>
                    <a:blip r:embed="rId1138"/>
                    <a:stretch>
                      <a:fillRect/>
                    </a:stretch>
                  </pic:blipFill>
                  <pic:spPr>
                    <a:xfrm>
                      <a:off x="0" y="0"/>
                      <a:ext cx="13716" cy="4572"/>
                    </a:xfrm>
                    <a:prstGeom prst="rect">
                      <a:avLst/>
                    </a:prstGeom>
                  </pic:spPr>
                </pic:pic>
              </a:graphicData>
            </a:graphic>
          </wp:inline>
        </w:drawing>
      </w:r>
    </w:p>
    <w:p w14:paraId="76E31DA7" w14:textId="77777777" w:rsidR="00053D93" w:rsidRDefault="00260B75">
      <w:pPr>
        <w:spacing w:after="4" w:line="269" w:lineRule="auto"/>
        <w:ind w:left="57" w:right="14" w:firstLine="65"/>
        <w:jc w:val="both"/>
      </w:pPr>
      <w:r>
        <w:rPr>
          <w:sz w:val="26"/>
        </w:rPr>
        <w:t xml:space="preserve">1 01 de enero de 2019 al 31 de diciembre de 2019, en virtud que las pruebas presentadas no son suficientes, a pesar que la responsable manifiesta que dichas 1 responsabilidades no le correspondían a su cargo, sino que le correspondía a la Dirección Departamental de Educación de Guatemala Occidente; sin embargo, sí le correspondía la responsabilidad de notificar a la Sección de Inventarios sobre la 1 renuncia del exempleado, por tratarse de personal con cargo al renglón presupuestario 01 1 Personal permanente de la Dirección General de Educación Física -DIGEF-, tal como lo establece el Instructivo Asignación de Bienes Muebles, 1 Código: INV-lNS-02, Versión: 1, del 17 de noviembre de 2015, literal C.I .4 Entrega de puesto, que establece: NOTA: Para efectos de llevar un mejor control de los 1 cambios internos o definitivos del personal, el Jefe del Departamento/Sección de Recursos Humanos, debe informar al Encargado de Inventarios, por lo menos 5 días hábiles de anticipación, para que prepare el Resguardo de Bienes... por Io </w:t>
      </w:r>
      <w:r>
        <w:rPr>
          <w:noProof/>
        </w:rPr>
        <w:drawing>
          <wp:inline distT="0" distB="0" distL="0" distR="0" wp14:anchorId="0390AC26" wp14:editId="6028E2DA">
            <wp:extent cx="18288" cy="13716"/>
            <wp:effectExtent l="0" t="0" r="0" b="0"/>
            <wp:docPr id="811338" name="Picture 811338"/>
            <wp:cNvGraphicFramePr/>
            <a:graphic xmlns:a="http://schemas.openxmlformats.org/drawingml/2006/main">
              <a:graphicData uri="http://schemas.openxmlformats.org/drawingml/2006/picture">
                <pic:pic xmlns:pic="http://schemas.openxmlformats.org/drawingml/2006/picture">
                  <pic:nvPicPr>
                    <pic:cNvPr id="811338" name="Picture 811338"/>
                    <pic:cNvPicPr/>
                  </pic:nvPicPr>
                  <pic:blipFill>
                    <a:blip r:embed="rId1139"/>
                    <a:stretch>
                      <a:fillRect/>
                    </a:stretch>
                  </pic:blipFill>
                  <pic:spPr>
                    <a:xfrm>
                      <a:off x="0" y="0"/>
                      <a:ext cx="18288" cy="13716"/>
                    </a:xfrm>
                    <a:prstGeom prst="rect">
                      <a:avLst/>
                    </a:prstGeom>
                  </pic:spPr>
                </pic:pic>
              </a:graphicData>
            </a:graphic>
          </wp:inline>
        </w:drawing>
      </w:r>
      <w:r>
        <w:rPr>
          <w:sz w:val="26"/>
        </w:rPr>
        <w:t>1 que la responsable debió notificar a la Sección de Inventarios para que dicha sección asegurara el resguardo de los bienes registrados en las tarjetas de responsabilidad del exempleado con código número 990039793. Además, la 1 Sección de Inventarios no podía enterarse de dicho movimiento laboral si no es por medio del control y comunicación por parte de la Coordinación de Recursos 1 Humanos, quienes sí tenían conocimiento del mismo, derivado de que como bien</w:t>
      </w:r>
    </w:p>
    <w:tbl>
      <w:tblPr>
        <w:tblStyle w:val="TableGrid"/>
        <w:tblW w:w="9432" w:type="dxa"/>
        <w:tblInd w:w="785" w:type="dxa"/>
        <w:tblLook w:val="04A0" w:firstRow="1" w:lastRow="0" w:firstColumn="1" w:lastColumn="0" w:noHBand="0" w:noVBand="1"/>
      </w:tblPr>
      <w:tblGrid>
        <w:gridCol w:w="1771"/>
        <w:gridCol w:w="10542"/>
      </w:tblGrid>
      <w:tr w:rsidR="00053D93" w14:paraId="4223F808" w14:textId="77777777">
        <w:trPr>
          <w:trHeight w:val="648"/>
        </w:trPr>
        <w:tc>
          <w:tcPr>
            <w:tcW w:w="1788" w:type="dxa"/>
            <w:tcBorders>
              <w:top w:val="nil"/>
              <w:left w:val="nil"/>
              <w:bottom w:val="nil"/>
              <w:right w:val="nil"/>
            </w:tcBorders>
          </w:tcPr>
          <w:p w14:paraId="01F5944C" w14:textId="77777777" w:rsidR="00053D93" w:rsidRDefault="00260B75">
            <w:r>
              <w:rPr>
                <w:noProof/>
              </w:rPr>
              <w:drawing>
                <wp:inline distT="0" distB="0" distL="0" distR="0" wp14:anchorId="1B93B61D" wp14:editId="0CBE461D">
                  <wp:extent cx="1124712" cy="411480"/>
                  <wp:effectExtent l="0" t="0" r="0" b="0"/>
                  <wp:docPr id="811337" name="Picture 811337"/>
                  <wp:cNvGraphicFramePr/>
                  <a:graphic xmlns:a="http://schemas.openxmlformats.org/drawingml/2006/main">
                    <a:graphicData uri="http://schemas.openxmlformats.org/drawingml/2006/picture">
                      <pic:pic xmlns:pic="http://schemas.openxmlformats.org/drawingml/2006/picture">
                        <pic:nvPicPr>
                          <pic:cNvPr id="811337" name="Picture 811337"/>
                          <pic:cNvPicPr/>
                        </pic:nvPicPr>
                        <pic:blipFill>
                          <a:blip r:embed="rId1140"/>
                          <a:stretch>
                            <a:fillRect/>
                          </a:stretch>
                        </pic:blipFill>
                        <pic:spPr>
                          <a:xfrm>
                            <a:off x="0" y="0"/>
                            <a:ext cx="1124712" cy="411480"/>
                          </a:xfrm>
                          <a:prstGeom prst="rect">
                            <a:avLst/>
                          </a:prstGeom>
                        </pic:spPr>
                      </pic:pic>
                    </a:graphicData>
                  </a:graphic>
                </wp:inline>
              </w:drawing>
            </w:r>
          </w:p>
        </w:tc>
        <w:tc>
          <w:tcPr>
            <w:tcW w:w="7644" w:type="dxa"/>
            <w:tcBorders>
              <w:top w:val="nil"/>
              <w:left w:val="nil"/>
              <w:bottom w:val="nil"/>
              <w:right w:val="nil"/>
            </w:tcBorders>
          </w:tcPr>
          <w:p w14:paraId="4546C834" w14:textId="77777777" w:rsidR="00053D93" w:rsidRDefault="00053D93">
            <w:pPr>
              <w:ind w:left="-2897" w:right="10541"/>
            </w:pPr>
          </w:p>
          <w:tbl>
            <w:tblPr>
              <w:tblStyle w:val="TableGrid"/>
              <w:tblW w:w="7627" w:type="dxa"/>
              <w:tblInd w:w="17" w:type="dxa"/>
              <w:tblCellMar>
                <w:top w:w="18" w:type="dxa"/>
                <w:left w:w="1738" w:type="dxa"/>
                <w:right w:w="115" w:type="dxa"/>
              </w:tblCellMar>
              <w:tblLook w:val="04A0" w:firstRow="1" w:lastRow="0" w:firstColumn="1" w:lastColumn="0" w:noHBand="0" w:noVBand="1"/>
            </w:tblPr>
            <w:tblGrid>
              <w:gridCol w:w="7627"/>
            </w:tblGrid>
            <w:tr w:rsidR="00053D93" w14:paraId="604FA9B4" w14:textId="77777777">
              <w:trPr>
                <w:trHeight w:val="43"/>
              </w:trPr>
              <w:tc>
                <w:tcPr>
                  <w:tcW w:w="7627" w:type="dxa"/>
                  <w:tcBorders>
                    <w:top w:val="nil"/>
                    <w:left w:val="single" w:sz="2" w:space="0" w:color="000000"/>
                    <w:bottom w:val="single" w:sz="2" w:space="0" w:color="000000"/>
                    <w:right w:val="nil"/>
                  </w:tcBorders>
                </w:tcPr>
                <w:p w14:paraId="477B4D42" w14:textId="77777777" w:rsidR="00053D93" w:rsidRDefault="00053D93"/>
              </w:tc>
            </w:tr>
            <w:tr w:rsidR="00053D93" w14:paraId="26A92C7F" w14:textId="77777777">
              <w:trPr>
                <w:trHeight w:val="598"/>
              </w:trPr>
              <w:tc>
                <w:tcPr>
                  <w:tcW w:w="7627" w:type="dxa"/>
                  <w:tcBorders>
                    <w:top w:val="single" w:sz="2" w:space="0" w:color="000000"/>
                    <w:left w:val="single" w:sz="2" w:space="0" w:color="000000"/>
                    <w:bottom w:val="nil"/>
                    <w:right w:val="nil"/>
                  </w:tcBorders>
                </w:tcPr>
                <w:p w14:paraId="6B2E383A" w14:textId="77777777" w:rsidR="00053D93" w:rsidRDefault="00260B75">
                  <w:pPr>
                    <w:ind w:left="835"/>
                  </w:pPr>
                  <w:r>
                    <w:rPr>
                      <w:sz w:val="14"/>
                    </w:rPr>
                    <w:t>MINISTERIO EDUCACION</w:t>
                  </w:r>
                </w:p>
                <w:p w14:paraId="6730011A" w14:textId="77777777" w:rsidR="00053D93" w:rsidRDefault="00260B75">
                  <w:pPr>
                    <w:ind w:left="338"/>
                  </w:pPr>
                  <w:r>
                    <w:rPr>
                      <w:sz w:val="14"/>
                    </w:rPr>
                    <w:t>AUDITORIA FINANCIERA Y DE CUMPLIMIENTO</w:t>
                  </w:r>
                </w:p>
                <w:p w14:paraId="37A74259" w14:textId="77777777" w:rsidR="00053D93" w:rsidRDefault="00260B75">
                  <w:r>
                    <w:rPr>
                      <w:sz w:val="14"/>
                    </w:rPr>
                    <w:t>PERIODO DEL 01 OE ENERO AL 31 DE DICIEMBRE DE 2024</w:t>
                  </w:r>
                </w:p>
              </w:tc>
            </w:tr>
          </w:tbl>
          <w:p w14:paraId="431CC7A6" w14:textId="77777777" w:rsidR="00053D93" w:rsidRDefault="00053D93"/>
        </w:tc>
      </w:tr>
    </w:tbl>
    <w:p w14:paraId="78EF24BE" w14:textId="77777777" w:rsidR="00053D93" w:rsidRDefault="00260B75">
      <w:pPr>
        <w:spacing w:after="4" w:line="269" w:lineRule="auto"/>
        <w:ind w:left="57" w:right="14" w:firstLine="1685"/>
        <w:jc w:val="both"/>
      </w:pPr>
      <w:r>
        <w:rPr>
          <w:sz w:val="26"/>
        </w:rPr>
        <w:t xml:space="preserve">lo indicó la responsable, les fue solicitado por medio de correo electrónico el Oficio de Cese de Funciones del exempleado, dicha acción que sí les correspondía realizar, no solo como apoyo, sino como parte de la responsabilidad de la 1 Coordinación de Recursos Humanos de la DIGEF, por tratarse de personal permanente con partida presupuestaria de la Dirección General de Educación 1 Física -DIGEF-, tal como lo indica la Circular No. DIREH-039-2015, del 04 de junio de 2015, emitida por el Director de Recursos Humanos del Ministerio de Educación, que establece: "...Por este medio me dirijo a ustedes, para ampliar la 1 Circular No. DIREH-033-2015 de fecha 22 de abril del presente año, en el sentido de reiterar que al momento de generar el oficio de cese de funciones de personal con cargo al renglón presupuestario 01 1 "Personal Permanente", las personas 1 deben pertenecer a la unidad ejecutora correspondiente; en el caso que la partida presupuestaria pertenezca a otra unidad ejecutora diferente a la ubicación física 1 de la persona, el procedimiento es el siguiente... El Director de la dependencia en donde se encuentra ubicada la persona físicamente debe enviar al Director de la dependencia a la cual corresponde la partida presupuestaria, el oficio de solicitud 1 de generación de oficio de cese de funciones; para que la Dependencia genere el oficio. .. " , por lo que, a pesar que la licenciada Rojas, manifiesta que no le </w:t>
      </w:r>
      <w:r>
        <w:rPr>
          <w:noProof/>
        </w:rPr>
        <w:drawing>
          <wp:inline distT="0" distB="0" distL="0" distR="0" wp14:anchorId="7A947643" wp14:editId="2C89DD3B">
            <wp:extent cx="13716" cy="13716"/>
            <wp:effectExtent l="0" t="0" r="0" b="0"/>
            <wp:docPr id="815253" name="Picture 815253"/>
            <wp:cNvGraphicFramePr/>
            <a:graphic xmlns:a="http://schemas.openxmlformats.org/drawingml/2006/main">
              <a:graphicData uri="http://schemas.openxmlformats.org/drawingml/2006/picture">
                <pic:pic xmlns:pic="http://schemas.openxmlformats.org/drawingml/2006/picture">
                  <pic:nvPicPr>
                    <pic:cNvPr id="815253" name="Picture 815253"/>
                    <pic:cNvPicPr/>
                  </pic:nvPicPr>
                  <pic:blipFill>
                    <a:blip r:embed="rId1141"/>
                    <a:stretch>
                      <a:fillRect/>
                    </a:stretch>
                  </pic:blipFill>
                  <pic:spPr>
                    <a:xfrm>
                      <a:off x="0" y="0"/>
                      <a:ext cx="13716" cy="13716"/>
                    </a:xfrm>
                    <a:prstGeom prst="rect">
                      <a:avLst/>
                    </a:prstGeom>
                  </pic:spPr>
                </pic:pic>
              </a:graphicData>
            </a:graphic>
          </wp:inline>
        </w:drawing>
      </w:r>
      <w:r>
        <w:rPr>
          <w:sz w:val="26"/>
        </w:rPr>
        <w:t xml:space="preserve"> correspondía la tramitación de ceses laborales de personal docente o 1 administrativo de centros educativos descentralizados como la ENEF (Escuela</w:t>
      </w:r>
    </w:p>
    <w:p w14:paraId="09618510" w14:textId="77777777" w:rsidR="00053D93" w:rsidRDefault="00260B75">
      <w:pPr>
        <w:spacing w:after="4" w:line="269" w:lineRule="auto"/>
        <w:ind w:left="57" w:right="14" w:firstLine="1685"/>
        <w:jc w:val="both"/>
      </w:pPr>
      <w:r>
        <w:rPr>
          <w:noProof/>
        </w:rPr>
        <mc:AlternateContent>
          <mc:Choice Requires="wpg">
            <w:drawing>
              <wp:anchor distT="0" distB="0" distL="114300" distR="114300" simplePos="0" relativeHeight="252093440" behindDoc="0" locked="0" layoutInCell="1" allowOverlap="1" wp14:anchorId="3FF8E1B2" wp14:editId="49F74B85">
                <wp:simplePos x="0" y="0"/>
                <wp:positionH relativeFrom="page">
                  <wp:posOffset>1266444</wp:posOffset>
                </wp:positionH>
                <wp:positionV relativeFrom="page">
                  <wp:posOffset>763524</wp:posOffset>
                </wp:positionV>
                <wp:extent cx="5385816" cy="13716"/>
                <wp:effectExtent l="0" t="0" r="0" b="0"/>
                <wp:wrapTopAndBottom/>
                <wp:docPr id="2458615" name="Group 2458615"/>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614" name="Shape 2458614"/>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615" style="width:424.08pt;height:1.08001pt;position:absolute;mso-position-horizontal-relative:page;mso-position-horizontal:absolute;margin-left:99.72pt;mso-position-vertical-relative:page;margin-top:60.12pt;" coordsize="53858,137">
                <v:shape id="Shape 2458614" style="position:absolute;width:53858;height:137;left:0;top:0;" coordsize="5385816,13716" path="m0,6858l5385816,6858">
                  <v:stroke weight="1.08001pt" endcap="flat" joinstyle="miter" miterlimit="1" on="true" color="#000000"/>
                  <v:fill on="false" color="#000000"/>
                </v:shape>
                <w10:wrap type="topAndBottom"/>
              </v:group>
            </w:pict>
          </mc:Fallback>
        </mc:AlternateContent>
      </w:r>
      <w:r>
        <w:rPr>
          <w:sz w:val="26"/>
        </w:rPr>
        <w:t xml:space="preserve">Normal de Educación Física), si era una acción que le competía a la Coordinación </w:t>
      </w:r>
      <w:r>
        <w:rPr>
          <w:noProof/>
        </w:rPr>
        <w:drawing>
          <wp:inline distT="0" distB="0" distL="0" distR="0" wp14:anchorId="2F190FB3" wp14:editId="6F7C0C75">
            <wp:extent cx="22860" cy="13716"/>
            <wp:effectExtent l="0" t="0" r="0" b="0"/>
            <wp:docPr id="815254" name="Picture 815254"/>
            <wp:cNvGraphicFramePr/>
            <a:graphic xmlns:a="http://schemas.openxmlformats.org/drawingml/2006/main">
              <a:graphicData uri="http://schemas.openxmlformats.org/drawingml/2006/picture">
                <pic:pic xmlns:pic="http://schemas.openxmlformats.org/drawingml/2006/picture">
                  <pic:nvPicPr>
                    <pic:cNvPr id="815254" name="Picture 815254"/>
                    <pic:cNvPicPr/>
                  </pic:nvPicPr>
                  <pic:blipFill>
                    <a:blip r:embed="rId1142"/>
                    <a:stretch>
                      <a:fillRect/>
                    </a:stretch>
                  </pic:blipFill>
                  <pic:spPr>
                    <a:xfrm>
                      <a:off x="0" y="0"/>
                      <a:ext cx="22860" cy="13716"/>
                    </a:xfrm>
                    <a:prstGeom prst="rect">
                      <a:avLst/>
                    </a:prstGeom>
                  </pic:spPr>
                </pic:pic>
              </a:graphicData>
            </a:graphic>
          </wp:inline>
        </w:drawing>
      </w:r>
      <w:r>
        <w:rPr>
          <w:sz w:val="26"/>
        </w:rPr>
        <w:t>1 a su cargo, debido a que tuvieron conocimiento de la renuncia de dicho colaboraor con partida presupuestaria de la DIGEF; asimismo, antes de dar paso al expediente al Departamento de Contrataciones de Personal de la Dirección de</w:t>
      </w:r>
    </w:p>
    <w:p w14:paraId="7D3A69FC" w14:textId="77777777" w:rsidR="00053D93" w:rsidRDefault="00260B75">
      <w:pPr>
        <w:spacing w:after="19"/>
        <w:ind w:left="22"/>
      </w:pPr>
      <w:r>
        <w:rPr>
          <w:noProof/>
        </w:rPr>
        <w:drawing>
          <wp:inline distT="0" distB="0" distL="0" distR="0" wp14:anchorId="04F6DAD2" wp14:editId="0D355693">
            <wp:extent cx="27432" cy="13716"/>
            <wp:effectExtent l="0" t="0" r="0" b="0"/>
            <wp:docPr id="815255" name="Picture 815255"/>
            <wp:cNvGraphicFramePr/>
            <a:graphic xmlns:a="http://schemas.openxmlformats.org/drawingml/2006/main">
              <a:graphicData uri="http://schemas.openxmlformats.org/drawingml/2006/picture">
                <pic:pic xmlns:pic="http://schemas.openxmlformats.org/drawingml/2006/picture">
                  <pic:nvPicPr>
                    <pic:cNvPr id="815255" name="Picture 815255"/>
                    <pic:cNvPicPr/>
                  </pic:nvPicPr>
                  <pic:blipFill>
                    <a:blip r:embed="rId1143"/>
                    <a:stretch>
                      <a:fillRect/>
                    </a:stretch>
                  </pic:blipFill>
                  <pic:spPr>
                    <a:xfrm>
                      <a:off x="0" y="0"/>
                      <a:ext cx="27432" cy="13716"/>
                    </a:xfrm>
                    <a:prstGeom prst="rect">
                      <a:avLst/>
                    </a:prstGeom>
                  </pic:spPr>
                </pic:pic>
              </a:graphicData>
            </a:graphic>
          </wp:inline>
        </w:drawing>
      </w:r>
    </w:p>
    <w:p w14:paraId="4500EB12" w14:textId="77777777" w:rsidR="00053D93" w:rsidRDefault="00260B75">
      <w:pPr>
        <w:tabs>
          <w:tab w:val="right" w:pos="10159"/>
        </w:tabs>
        <w:spacing w:after="4" w:line="269" w:lineRule="auto"/>
      </w:pPr>
      <w:r>
        <w:rPr>
          <w:sz w:val="26"/>
        </w:rPr>
        <w:t>1</w:t>
      </w:r>
      <w:r>
        <w:rPr>
          <w:sz w:val="26"/>
        </w:rPr>
        <w:tab/>
        <w:t>Recursos Humanos, mediante el Oficio de Cese de Funciones Renglón</w:t>
      </w:r>
    </w:p>
    <w:p w14:paraId="4F46FB90" w14:textId="77777777" w:rsidR="00053D93" w:rsidRDefault="00260B75">
      <w:pPr>
        <w:spacing w:after="182" w:line="269" w:lineRule="auto"/>
        <w:ind w:left="57" w:right="14" w:firstLine="1606"/>
        <w:jc w:val="both"/>
      </w:pPr>
      <w:r>
        <w:rPr>
          <w:noProof/>
        </w:rPr>
        <mc:AlternateContent>
          <mc:Choice Requires="wpg">
            <w:drawing>
              <wp:anchor distT="0" distB="0" distL="114300" distR="114300" simplePos="0" relativeHeight="252094464" behindDoc="0" locked="0" layoutInCell="1" allowOverlap="1" wp14:anchorId="5247064A" wp14:editId="09C92A44">
                <wp:simplePos x="0" y="0"/>
                <wp:positionH relativeFrom="column">
                  <wp:posOffset>73152</wp:posOffset>
                </wp:positionH>
                <wp:positionV relativeFrom="paragraph">
                  <wp:posOffset>1802897</wp:posOffset>
                </wp:positionV>
                <wp:extent cx="118872" cy="283464"/>
                <wp:effectExtent l="0" t="0" r="0" b="0"/>
                <wp:wrapSquare wrapText="bothSides"/>
                <wp:docPr id="2456493" name="Group 2456493"/>
                <wp:cNvGraphicFramePr/>
                <a:graphic xmlns:a="http://schemas.openxmlformats.org/drawingml/2006/main">
                  <a:graphicData uri="http://schemas.microsoft.com/office/word/2010/wordprocessingGroup">
                    <wpg:wgp>
                      <wpg:cNvGrpSpPr/>
                      <wpg:grpSpPr>
                        <a:xfrm>
                          <a:off x="0" y="0"/>
                          <a:ext cx="118872" cy="283464"/>
                          <a:chOff x="0" y="0"/>
                          <a:chExt cx="118872" cy="283464"/>
                        </a:xfrm>
                      </wpg:grpSpPr>
                      <wps:wsp>
                        <wps:cNvPr id="812023" name="Rectangle 812023"/>
                        <wps:cNvSpPr/>
                        <wps:spPr>
                          <a:xfrm>
                            <a:off x="0" y="0"/>
                            <a:ext cx="158100" cy="377007"/>
                          </a:xfrm>
                          <a:prstGeom prst="rect">
                            <a:avLst/>
                          </a:prstGeom>
                          <a:ln>
                            <a:noFill/>
                          </a:ln>
                        </wps:spPr>
                        <wps:txbx>
                          <w:txbxContent>
                            <w:p w14:paraId="0BD51BE9"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5247064A" id="Group 2456493" o:spid="_x0000_s1445" style="position:absolute;left:0;text-align:left;margin-left:5.75pt;margin-top:141.95pt;width:9.35pt;height:22.3pt;z-index:252094464;mso-position-horizontal-relative:text;mso-position-vertical-relative:text" coordsize="118872,283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">
                <v:rect id="Rectangle 812023" o:spid="_x0000_s1446" style="position:absolute;width:158100;height:377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" filled="f" stroked="f">
                  <v:textbox inset="0,0,0,0">
                    <w:txbxContent>
                      <w:p w14:paraId="0BD51BE9" w14:textId="77777777" w:rsidR="00053D93" w:rsidRDefault="00260B75">
                        <w:r>
                          <w:rPr>
                            <w:sz w:val="72"/>
                          </w:rPr>
                          <w:t>1</w:t>
                        </w:r>
                      </w:p>
                    </w:txbxContent>
                  </v:textbox>
                </v:rect>
                <w10:wrap type="square"/>
              </v:group>
            </w:pict>
          </mc:Fallback>
        </mc:AlternateContent>
      </w:r>
      <w:r>
        <w:rPr>
          <w:sz w:val="26"/>
        </w:rPr>
        <w:t>Presupuestario 011 No. DIGEF-2021-2019, del 10 de junio de 2019, firmado por el Director General de la DIGEF, la responsable debió asesorar a dicho Director, 1 sobre el procedimiento que debía realizarse para dar cumplimiento a lo establecido en el Instructivo Asignación de Bienes Muebles, Código: INV-lNS-02, 1 Versión: 1, del 17 de noviembre de 2015, en donde se detalla la importante participación de la Coordinación de Recursos Humanos, para garantizar el reguardo de los bienes inventariados pertenecientes a la Dirección General de 1 Educación Física -DIGEF-, tal como lo indica el Manual de Funciones, Organización y Puestos de la Dirección General de Educación Física -DIGEF-, numeral 104. Nombre del puesto: Coordinador de Recursos Humanos, b. Funciones, que establece: "...Asesorar al Director General y Subdirectores de la DIGEF, en asuntos relacionados con Administración de Personal...</w:t>
      </w:r>
      <w:r>
        <w:rPr>
          <w:noProof/>
        </w:rPr>
        <w:drawing>
          <wp:inline distT="0" distB="0" distL="0" distR="0" wp14:anchorId="05671CF7" wp14:editId="5FCEF44A">
            <wp:extent cx="36576" cy="45720"/>
            <wp:effectExtent l="0" t="0" r="0" b="0"/>
            <wp:docPr id="815256" name="Picture 815256"/>
            <wp:cNvGraphicFramePr/>
            <a:graphic xmlns:a="http://schemas.openxmlformats.org/drawingml/2006/main">
              <a:graphicData uri="http://schemas.openxmlformats.org/drawingml/2006/picture">
                <pic:pic xmlns:pic="http://schemas.openxmlformats.org/drawingml/2006/picture">
                  <pic:nvPicPr>
                    <pic:cNvPr id="815256" name="Picture 815256"/>
                    <pic:cNvPicPr/>
                  </pic:nvPicPr>
                  <pic:blipFill>
                    <a:blip r:embed="rId1144"/>
                    <a:stretch>
                      <a:fillRect/>
                    </a:stretch>
                  </pic:blipFill>
                  <pic:spPr>
                    <a:xfrm>
                      <a:off x="0" y="0"/>
                      <a:ext cx="36576" cy="45720"/>
                    </a:xfrm>
                    <a:prstGeom prst="rect">
                      <a:avLst/>
                    </a:prstGeom>
                  </pic:spPr>
                </pic:pic>
              </a:graphicData>
            </a:graphic>
          </wp:inline>
        </w:drawing>
      </w:r>
    </w:p>
    <w:p w14:paraId="712D9DF9" w14:textId="77777777" w:rsidR="00053D93" w:rsidRDefault="00260B75">
      <w:pPr>
        <w:spacing w:after="3"/>
        <w:ind w:left="140" w:right="3485" w:hanging="10"/>
      </w:pPr>
      <w:r>
        <w:rPr>
          <w:sz w:val="70"/>
        </w:rPr>
        <w:t>1</w:t>
      </w:r>
    </w:p>
    <w:p w14:paraId="7E12516A" w14:textId="77777777" w:rsidR="00053D93" w:rsidRDefault="00260B75">
      <w:pPr>
        <w:spacing w:after="4" w:line="269" w:lineRule="auto"/>
        <w:ind w:left="1688" w:right="14" w:hanging="3"/>
        <w:jc w:val="both"/>
      </w:pPr>
      <w:r>
        <w:rPr>
          <w:sz w:val="26"/>
        </w:rPr>
        <w:t>Se confirma el hallazgo para el licenciado William Leonel Barrios Leiva, quien fungió como Jefe de Acciones de Personal A.l., por el período comprendido del 01</w:t>
      </w:r>
    </w:p>
    <w:p w14:paraId="1FCA485F" w14:textId="77777777" w:rsidR="00053D93" w:rsidRDefault="00260B75">
      <w:pPr>
        <w:spacing w:after="35"/>
        <w:ind w:left="115"/>
      </w:pPr>
      <w:r>
        <w:rPr>
          <w:noProof/>
        </w:rPr>
        <w:drawing>
          <wp:inline distT="0" distB="0" distL="0" distR="0" wp14:anchorId="217E9C71" wp14:editId="11446190">
            <wp:extent cx="9144" cy="9144"/>
            <wp:effectExtent l="0" t="0" r="0" b="0"/>
            <wp:docPr id="815257" name="Picture 815257"/>
            <wp:cNvGraphicFramePr/>
            <a:graphic xmlns:a="http://schemas.openxmlformats.org/drawingml/2006/main">
              <a:graphicData uri="http://schemas.openxmlformats.org/drawingml/2006/picture">
                <pic:pic xmlns:pic="http://schemas.openxmlformats.org/drawingml/2006/picture">
                  <pic:nvPicPr>
                    <pic:cNvPr id="815257" name="Picture 815257"/>
                    <pic:cNvPicPr/>
                  </pic:nvPicPr>
                  <pic:blipFill>
                    <a:blip r:embed="rId1145"/>
                    <a:stretch>
                      <a:fillRect/>
                    </a:stretch>
                  </pic:blipFill>
                  <pic:spPr>
                    <a:xfrm>
                      <a:off x="0" y="0"/>
                      <a:ext cx="9144" cy="9144"/>
                    </a:xfrm>
                    <a:prstGeom prst="rect">
                      <a:avLst/>
                    </a:prstGeom>
                  </pic:spPr>
                </pic:pic>
              </a:graphicData>
            </a:graphic>
          </wp:inline>
        </w:drawing>
      </w:r>
    </w:p>
    <w:p w14:paraId="2E47178A" w14:textId="77777777" w:rsidR="00053D93" w:rsidRDefault="00260B75">
      <w:pPr>
        <w:spacing w:after="4" w:line="269" w:lineRule="auto"/>
        <w:ind w:left="1512" w:right="14" w:hanging="1368"/>
        <w:jc w:val="both"/>
      </w:pPr>
      <w:r>
        <w:rPr>
          <w:sz w:val="26"/>
        </w:rPr>
        <w:t xml:space="preserve">1 de enero de 2019 al 31 de diciembre de 2019, en virtud que las pruebas </w:t>
      </w:r>
      <w:r>
        <w:rPr>
          <w:noProof/>
        </w:rPr>
        <w:drawing>
          <wp:inline distT="0" distB="0" distL="0" distR="0" wp14:anchorId="075F81DF" wp14:editId="7605F018">
            <wp:extent cx="13716" cy="13716"/>
            <wp:effectExtent l="0" t="0" r="0" b="0"/>
            <wp:docPr id="815258" name="Picture 815258"/>
            <wp:cNvGraphicFramePr/>
            <a:graphic xmlns:a="http://schemas.openxmlformats.org/drawingml/2006/main">
              <a:graphicData uri="http://schemas.openxmlformats.org/drawingml/2006/picture">
                <pic:pic xmlns:pic="http://schemas.openxmlformats.org/drawingml/2006/picture">
                  <pic:nvPicPr>
                    <pic:cNvPr id="815258" name="Picture 815258"/>
                    <pic:cNvPicPr/>
                  </pic:nvPicPr>
                  <pic:blipFill>
                    <a:blip r:embed="rId1146"/>
                    <a:stretch>
                      <a:fillRect/>
                    </a:stretch>
                  </pic:blipFill>
                  <pic:spPr>
                    <a:xfrm>
                      <a:off x="0" y="0"/>
                      <a:ext cx="13716" cy="13716"/>
                    </a:xfrm>
                    <a:prstGeom prst="rect">
                      <a:avLst/>
                    </a:prstGeom>
                  </pic:spPr>
                </pic:pic>
              </a:graphicData>
            </a:graphic>
          </wp:inline>
        </w:drawing>
      </w:r>
      <w:r>
        <w:rPr>
          <w:sz w:val="26"/>
        </w:rPr>
        <w:t xml:space="preserve"> presentadas no son suficientes, a pesar que el responsable manifiesta que, la acción de informar al encargado de inventarios le compete al Jefe del</w:t>
      </w:r>
    </w:p>
    <w:tbl>
      <w:tblPr>
        <w:tblStyle w:val="TableGrid"/>
        <w:tblW w:w="9432" w:type="dxa"/>
        <w:tblInd w:w="742" w:type="dxa"/>
        <w:tblLook w:val="04A0" w:firstRow="1" w:lastRow="0" w:firstColumn="1" w:lastColumn="0" w:noHBand="0" w:noVBand="1"/>
      </w:tblPr>
      <w:tblGrid>
        <w:gridCol w:w="1677"/>
        <w:gridCol w:w="10498"/>
      </w:tblGrid>
      <w:tr w:rsidR="00053D93" w14:paraId="4CA4DF7E" w14:textId="77777777">
        <w:trPr>
          <w:trHeight w:val="648"/>
        </w:trPr>
        <w:tc>
          <w:tcPr>
            <w:tcW w:w="1719" w:type="dxa"/>
            <w:tcBorders>
              <w:top w:val="nil"/>
              <w:left w:val="nil"/>
              <w:bottom w:val="nil"/>
              <w:right w:val="nil"/>
            </w:tcBorders>
          </w:tcPr>
          <w:p w14:paraId="785ED75B" w14:textId="77777777" w:rsidR="00053D93" w:rsidRDefault="00260B75">
            <w:r>
              <w:rPr>
                <w:noProof/>
              </w:rPr>
              <w:drawing>
                <wp:inline distT="0" distB="0" distL="0" distR="0" wp14:anchorId="5CD8CFBD" wp14:editId="04A66BCB">
                  <wp:extent cx="1065276" cy="411480"/>
                  <wp:effectExtent l="0" t="0" r="0" b="0"/>
                  <wp:docPr id="815298" name="Picture 815298"/>
                  <wp:cNvGraphicFramePr/>
                  <a:graphic xmlns:a="http://schemas.openxmlformats.org/drawingml/2006/main">
                    <a:graphicData uri="http://schemas.openxmlformats.org/drawingml/2006/picture">
                      <pic:pic xmlns:pic="http://schemas.openxmlformats.org/drawingml/2006/picture">
                        <pic:nvPicPr>
                          <pic:cNvPr id="815298" name="Picture 815298"/>
                          <pic:cNvPicPr/>
                        </pic:nvPicPr>
                        <pic:blipFill>
                          <a:blip r:embed="rId1147"/>
                          <a:stretch>
                            <a:fillRect/>
                          </a:stretch>
                        </pic:blipFill>
                        <pic:spPr>
                          <a:xfrm>
                            <a:off x="0" y="0"/>
                            <a:ext cx="1065276" cy="411480"/>
                          </a:xfrm>
                          <a:prstGeom prst="rect">
                            <a:avLst/>
                          </a:prstGeom>
                        </pic:spPr>
                      </pic:pic>
                    </a:graphicData>
                  </a:graphic>
                </wp:inline>
              </w:drawing>
            </w:r>
          </w:p>
        </w:tc>
        <w:tc>
          <w:tcPr>
            <w:tcW w:w="7713" w:type="dxa"/>
            <w:tcBorders>
              <w:top w:val="nil"/>
              <w:left w:val="nil"/>
              <w:bottom w:val="nil"/>
              <w:right w:val="nil"/>
            </w:tcBorders>
          </w:tcPr>
          <w:p w14:paraId="6978B02C" w14:textId="77777777" w:rsidR="00053D93" w:rsidRDefault="00053D93">
            <w:pPr>
              <w:ind w:left="-2785" w:right="10498"/>
            </w:pPr>
          </w:p>
          <w:tbl>
            <w:tblPr>
              <w:tblStyle w:val="TableGrid"/>
              <w:tblW w:w="7672" w:type="dxa"/>
              <w:tblInd w:w="41" w:type="dxa"/>
              <w:tblCellMar>
                <w:top w:w="31" w:type="dxa"/>
                <w:left w:w="1782" w:type="dxa"/>
                <w:right w:w="115" w:type="dxa"/>
              </w:tblCellMar>
              <w:tblLook w:val="04A0" w:firstRow="1" w:lastRow="0" w:firstColumn="1" w:lastColumn="0" w:noHBand="0" w:noVBand="1"/>
            </w:tblPr>
            <w:tblGrid>
              <w:gridCol w:w="7672"/>
            </w:tblGrid>
            <w:tr w:rsidR="00053D93" w14:paraId="116382E9" w14:textId="77777777">
              <w:trPr>
                <w:trHeight w:val="43"/>
              </w:trPr>
              <w:tc>
                <w:tcPr>
                  <w:tcW w:w="7672" w:type="dxa"/>
                  <w:tcBorders>
                    <w:top w:val="nil"/>
                    <w:left w:val="single" w:sz="2" w:space="0" w:color="000000"/>
                    <w:bottom w:val="single" w:sz="2" w:space="0" w:color="000000"/>
                    <w:right w:val="nil"/>
                  </w:tcBorders>
                </w:tcPr>
                <w:p w14:paraId="560B7A66" w14:textId="77777777" w:rsidR="00053D93" w:rsidRDefault="00053D93"/>
              </w:tc>
            </w:tr>
            <w:tr w:rsidR="00053D93" w14:paraId="352C32A8" w14:textId="77777777">
              <w:trPr>
                <w:trHeight w:val="590"/>
              </w:trPr>
              <w:tc>
                <w:tcPr>
                  <w:tcW w:w="7672" w:type="dxa"/>
                  <w:tcBorders>
                    <w:top w:val="single" w:sz="2" w:space="0" w:color="000000"/>
                    <w:left w:val="single" w:sz="2" w:space="0" w:color="000000"/>
                    <w:bottom w:val="nil"/>
                    <w:right w:val="nil"/>
                  </w:tcBorders>
                </w:tcPr>
                <w:p w14:paraId="31A1CEAE" w14:textId="77777777" w:rsidR="00053D93" w:rsidRDefault="00260B75">
                  <w:pPr>
                    <w:ind w:left="835"/>
                  </w:pPr>
                  <w:r>
                    <w:rPr>
                      <w:sz w:val="14"/>
                    </w:rPr>
                    <w:t>MINISTERIO DE EDUCACION</w:t>
                  </w:r>
                </w:p>
                <w:p w14:paraId="2782BF3B" w14:textId="77777777" w:rsidR="00053D93" w:rsidRDefault="00260B75">
                  <w:pPr>
                    <w:ind w:left="338"/>
                  </w:pPr>
                  <w:r>
                    <w:rPr>
                      <w:sz w:val="14"/>
                    </w:rPr>
                    <w:t>AUDITORIA FINANCIERA Y DE CUMPLIMIENTO</w:t>
                  </w:r>
                </w:p>
                <w:p w14:paraId="5DEF01FD" w14:textId="77777777" w:rsidR="00053D93" w:rsidRDefault="00260B75">
                  <w:r>
                    <w:rPr>
                      <w:sz w:val="16"/>
                    </w:rPr>
                    <w:t>PERIODO DEL Dl DE ENERO AL 31 DE DICEMBRE DE 2024</w:t>
                  </w:r>
                </w:p>
              </w:tc>
            </w:tr>
          </w:tbl>
          <w:p w14:paraId="7BA03882" w14:textId="77777777" w:rsidR="00053D93" w:rsidRDefault="00053D93"/>
        </w:tc>
      </w:tr>
    </w:tbl>
    <w:p w14:paraId="6C1EBFCF" w14:textId="77777777" w:rsidR="00053D93" w:rsidRDefault="00260B75">
      <w:pPr>
        <w:spacing w:after="3"/>
        <w:ind w:left="161" w:hanging="10"/>
      </w:pPr>
      <w:r>
        <w:rPr>
          <w:sz w:val="64"/>
        </w:rPr>
        <w:t>1</w:t>
      </w:r>
    </w:p>
    <w:p w14:paraId="72B15CA3" w14:textId="77777777" w:rsidR="00053D93" w:rsidRDefault="00260B75">
      <w:pPr>
        <w:spacing w:after="12" w:line="250" w:lineRule="auto"/>
        <w:ind w:left="28" w:right="14" w:firstLine="1735"/>
        <w:jc w:val="both"/>
      </w:pPr>
      <w:r>
        <w:rPr>
          <w:noProof/>
        </w:rPr>
        <mc:AlternateContent>
          <mc:Choice Requires="wpg">
            <w:drawing>
              <wp:anchor distT="0" distB="0" distL="114300" distR="114300" simplePos="0" relativeHeight="252095488" behindDoc="0" locked="0" layoutInCell="1" allowOverlap="1" wp14:anchorId="7F81EDF5" wp14:editId="3692DE72">
                <wp:simplePos x="0" y="0"/>
                <wp:positionH relativeFrom="page">
                  <wp:posOffset>1293876</wp:posOffset>
                </wp:positionH>
                <wp:positionV relativeFrom="page">
                  <wp:posOffset>740664</wp:posOffset>
                </wp:positionV>
                <wp:extent cx="5381245" cy="13716"/>
                <wp:effectExtent l="0" t="0" r="0" b="0"/>
                <wp:wrapTopAndBottom/>
                <wp:docPr id="2458617" name="Group 2458617"/>
                <wp:cNvGraphicFramePr/>
                <a:graphic xmlns:a="http://schemas.openxmlformats.org/drawingml/2006/main">
                  <a:graphicData uri="http://schemas.microsoft.com/office/word/2010/wordprocessingGroup">
                    <wpg:wgp>
                      <wpg:cNvGrpSpPr/>
                      <wpg:grpSpPr>
                        <a:xfrm>
                          <a:off x="0" y="0"/>
                          <a:ext cx="5381245" cy="13716"/>
                          <a:chOff x="0" y="0"/>
                          <a:chExt cx="5381245" cy="13716"/>
                        </a:xfrm>
                      </wpg:grpSpPr>
                      <wps:wsp>
                        <wps:cNvPr id="2458616" name="Shape 2458616"/>
                        <wps:cNvSpPr/>
                        <wps:spPr>
                          <a:xfrm>
                            <a:off x="0" y="0"/>
                            <a:ext cx="5381245" cy="13716"/>
                          </a:xfrm>
                          <a:custGeom>
                            <a:avLst/>
                            <a:gdLst/>
                            <a:ahLst/>
                            <a:cxnLst/>
                            <a:rect l="0" t="0" r="0" b="0"/>
                            <a:pathLst>
                              <a:path w="5381245" h="13716">
                                <a:moveTo>
                                  <a:pt x="0" y="6858"/>
                                </a:moveTo>
                                <a:lnTo>
                                  <a:pt x="5381245"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617" style="width:423.72pt;height:1.08001pt;position:absolute;mso-position-horizontal-relative:page;mso-position-horizontal:absolute;margin-left:101.88pt;mso-position-vertical-relative:page;margin-top:58.32pt;" coordsize="53812,137">
                <v:shape id="Shape 2458616" style="position:absolute;width:53812;height:137;left:0;top:0;" coordsize="5381245,13716" path="m0,6858l5381245,6858">
                  <v:stroke weight="1.08001pt" endcap="flat" joinstyle="miter" miterlimit="1" on="true" color="#000000"/>
                  <v:fill on="false" color="#000000"/>
                </v:shape>
                <w10:wrap type="topAndBottom"/>
              </v:group>
            </w:pict>
          </mc:Fallback>
        </mc:AlternateContent>
      </w:r>
      <w:r>
        <w:rPr>
          <w:sz w:val="26"/>
        </w:rPr>
        <w:t>Departamento/Sección de Recursos Humanos y no al Jefe de acciones de personal; sin embargo, dicha situación no lo exime de responsabilidad, dado que, como parte de las funciones del cargo de Jefe de Acciones de personal, descritas 1 en el Manual de Funciones, Organización y Puestos de la Dirección General de Educación Física -DIGEF-, Numeral 106. Nombre del puesto: Jefe de acciones de 1 personal, b. Funciones, establece: "Planificar, organizar y dirigir las actividades de acciones de personal y registros de personal del Departamento de Acciones de Personal. Asesorar al Coordinador de Recursos Humanos en actividades 1 relacionadas con acciones de personal de las cuales se derivan actividades con cobertura a nivel nacional... Revisar, actualizar e implementar sistemas de control de recursos humanos al servicio de la DIGEF. Atender lo referente a licencias, 1 traslados, permutas y otros movimientos de personal que se presenten, de acuerdo a [a legislación guatemalteca vigente... "; sin embargo, el responsable no 1 presentó documentación que demostrara que notificó a la Coordinadora de Recursos Humanos de la DIGEF, para que informara al Encargado de inventarios sobre la renuncia del empleado con código 990039793, para que preparara el 1 resguardo de los bienes asignados al responsable, tal como lo establece el Instructivo Asignación de bienes muebles Código: INV-lNS-02, Versión: 1 del 17 de noviembre de 2015; antes de entregar el oficio de Cese de Funciones del 1 empleado a la Unidad Ejecutora solicitante; ya que, como bien lo manifestó el responsable, él recibió el correo electrónico en donde se notificó la renuncia del 1 empleado con código 990039793 y le solicitaron el apoyo correspondiente para la emisión del Oficio de cese de funciones de dicho empleado; además, demostró con sus comentarios que tiene conocimiento del proceso que debe seguirse en</w:t>
      </w:r>
    </w:p>
    <w:p w14:paraId="193BBD8C" w14:textId="77777777" w:rsidR="00053D93" w:rsidRDefault="00260B75">
      <w:pPr>
        <w:spacing w:after="29"/>
        <w:ind w:left="50"/>
      </w:pPr>
      <w:r>
        <w:rPr>
          <w:noProof/>
        </w:rPr>
        <w:drawing>
          <wp:inline distT="0" distB="0" distL="0" distR="0" wp14:anchorId="3B6C7A6E" wp14:editId="4BA19E95">
            <wp:extent cx="13716" cy="9144"/>
            <wp:effectExtent l="0" t="0" r="0" b="0"/>
            <wp:docPr id="819234" name="Picture 819234"/>
            <wp:cNvGraphicFramePr/>
            <a:graphic xmlns:a="http://schemas.openxmlformats.org/drawingml/2006/main">
              <a:graphicData uri="http://schemas.openxmlformats.org/drawingml/2006/picture">
                <pic:pic xmlns:pic="http://schemas.openxmlformats.org/drawingml/2006/picture">
                  <pic:nvPicPr>
                    <pic:cNvPr id="819234" name="Picture 819234"/>
                    <pic:cNvPicPr/>
                  </pic:nvPicPr>
                  <pic:blipFill>
                    <a:blip r:embed="rId1148"/>
                    <a:stretch>
                      <a:fillRect/>
                    </a:stretch>
                  </pic:blipFill>
                  <pic:spPr>
                    <a:xfrm>
                      <a:off x="0" y="0"/>
                      <a:ext cx="13716" cy="9144"/>
                    </a:xfrm>
                    <a:prstGeom prst="rect">
                      <a:avLst/>
                    </a:prstGeom>
                  </pic:spPr>
                </pic:pic>
              </a:graphicData>
            </a:graphic>
          </wp:inline>
        </w:drawing>
      </w:r>
    </w:p>
    <w:p w14:paraId="23E35FBB" w14:textId="77777777" w:rsidR="00053D93" w:rsidRDefault="00260B75">
      <w:pPr>
        <w:spacing w:after="12" w:line="362" w:lineRule="auto"/>
        <w:ind w:left="1684" w:right="14" w:hanging="1656"/>
        <w:jc w:val="both"/>
      </w:pPr>
      <w:r>
        <w:rPr>
          <w:sz w:val="26"/>
        </w:rPr>
        <w:t>1 este caso, por lo que debió asesorar adecuadamente al Coordinador de Recursos Humanos, sobre las acciones a realizar para el efecto.</w:t>
      </w:r>
    </w:p>
    <w:p w14:paraId="64DC416D" w14:textId="77777777" w:rsidR="00053D93" w:rsidRDefault="00260B75">
      <w:pPr>
        <w:spacing w:after="135"/>
        <w:ind w:left="43"/>
      </w:pPr>
      <w:r>
        <w:rPr>
          <w:noProof/>
        </w:rPr>
        <w:drawing>
          <wp:inline distT="0" distB="0" distL="0" distR="0" wp14:anchorId="124DA50E" wp14:editId="47C1C547">
            <wp:extent cx="22860" cy="9144"/>
            <wp:effectExtent l="0" t="0" r="0" b="0"/>
            <wp:docPr id="819235" name="Picture 819235"/>
            <wp:cNvGraphicFramePr/>
            <a:graphic xmlns:a="http://schemas.openxmlformats.org/drawingml/2006/main">
              <a:graphicData uri="http://schemas.openxmlformats.org/drawingml/2006/picture">
                <pic:pic xmlns:pic="http://schemas.openxmlformats.org/drawingml/2006/picture">
                  <pic:nvPicPr>
                    <pic:cNvPr id="819235" name="Picture 819235"/>
                    <pic:cNvPicPr/>
                  </pic:nvPicPr>
                  <pic:blipFill>
                    <a:blip r:embed="rId1149"/>
                    <a:stretch>
                      <a:fillRect/>
                    </a:stretch>
                  </pic:blipFill>
                  <pic:spPr>
                    <a:xfrm>
                      <a:off x="0" y="0"/>
                      <a:ext cx="22860" cy="9144"/>
                    </a:xfrm>
                    <a:prstGeom prst="rect">
                      <a:avLst/>
                    </a:prstGeom>
                  </pic:spPr>
                </pic:pic>
              </a:graphicData>
            </a:graphic>
          </wp:inline>
        </w:drawing>
      </w:r>
    </w:p>
    <w:p w14:paraId="70C6F126" w14:textId="77777777" w:rsidR="00053D93" w:rsidRDefault="00260B75">
      <w:pPr>
        <w:spacing w:after="126" w:line="250" w:lineRule="auto"/>
        <w:ind w:left="28" w:right="14" w:firstLine="50"/>
        <w:jc w:val="both"/>
      </w:pPr>
      <w:r>
        <w:rPr>
          <w:sz w:val="26"/>
        </w:rPr>
        <w:t xml:space="preserve">1 Se confirma el hallazgo para la licenciada Dorcas Marlene García Chaclán, quien fungió como Jefe de Sección de Inventarios A.l., por el período comprendido del </w:t>
      </w:r>
      <w:r>
        <w:rPr>
          <w:noProof/>
        </w:rPr>
        <w:drawing>
          <wp:inline distT="0" distB="0" distL="0" distR="0" wp14:anchorId="6FBA21A9" wp14:editId="52AA4DAC">
            <wp:extent cx="27432" cy="9144"/>
            <wp:effectExtent l="0" t="0" r="0" b="0"/>
            <wp:docPr id="819236" name="Picture 819236"/>
            <wp:cNvGraphicFramePr/>
            <a:graphic xmlns:a="http://schemas.openxmlformats.org/drawingml/2006/main">
              <a:graphicData uri="http://schemas.openxmlformats.org/drawingml/2006/picture">
                <pic:pic xmlns:pic="http://schemas.openxmlformats.org/drawingml/2006/picture">
                  <pic:nvPicPr>
                    <pic:cNvPr id="819236" name="Picture 819236"/>
                    <pic:cNvPicPr/>
                  </pic:nvPicPr>
                  <pic:blipFill>
                    <a:blip r:embed="rId1150"/>
                    <a:stretch>
                      <a:fillRect/>
                    </a:stretch>
                  </pic:blipFill>
                  <pic:spPr>
                    <a:xfrm>
                      <a:off x="0" y="0"/>
                      <a:ext cx="27432" cy="9144"/>
                    </a:xfrm>
                    <a:prstGeom prst="rect">
                      <a:avLst/>
                    </a:prstGeom>
                  </pic:spPr>
                </pic:pic>
              </a:graphicData>
            </a:graphic>
          </wp:inline>
        </w:drawing>
      </w:r>
      <w:r>
        <w:rPr>
          <w:sz w:val="26"/>
        </w:rPr>
        <w:t>1 01 de enero de 2024 al 23 de septiembre de 2024, en virtud que las pruebas presentadas no son suficientes, a pesar que la responsable manifiesta que en la Sección de Inventarios, no fueron notificados por la Coordinación de Recursos 1 Humanos, como lo establece la normativa legal vigente; sin embargo, la renuncia laboral del exempleado con código número 990099480, si fue notificada por la Coordinadora de Recursos Humanos, mediante el oficio RRHH-No.066-2024, del 1 02 de abril de 2024, dirigido a la licenciada García, en el cual figura el un sello de recibido por parte de la Sección.de Inventarios del 02 de abril de 2024 a las 16:31</w:t>
      </w:r>
    </w:p>
    <w:p w14:paraId="1B1E36FE" w14:textId="77777777" w:rsidR="00053D93" w:rsidRDefault="00260B75">
      <w:pPr>
        <w:spacing w:after="151" w:line="250" w:lineRule="auto"/>
        <w:ind w:left="129" w:right="14" w:hanging="101"/>
        <w:jc w:val="both"/>
      </w:pPr>
      <w:r>
        <w:rPr>
          <w:noProof/>
        </w:rPr>
        <w:drawing>
          <wp:inline distT="0" distB="0" distL="0" distR="0" wp14:anchorId="6A72B44C" wp14:editId="4D7BA844">
            <wp:extent cx="50292" cy="13715"/>
            <wp:effectExtent l="0" t="0" r="0" b="0"/>
            <wp:docPr id="819237" name="Picture 819237"/>
            <wp:cNvGraphicFramePr/>
            <a:graphic xmlns:a="http://schemas.openxmlformats.org/drawingml/2006/main">
              <a:graphicData uri="http://schemas.openxmlformats.org/drawingml/2006/picture">
                <pic:pic xmlns:pic="http://schemas.openxmlformats.org/drawingml/2006/picture">
                  <pic:nvPicPr>
                    <pic:cNvPr id="819237" name="Picture 819237"/>
                    <pic:cNvPicPr/>
                  </pic:nvPicPr>
                  <pic:blipFill>
                    <a:blip r:embed="rId1151"/>
                    <a:stretch>
                      <a:fillRect/>
                    </a:stretch>
                  </pic:blipFill>
                  <pic:spPr>
                    <a:xfrm>
                      <a:off x="0" y="0"/>
                      <a:ext cx="50292" cy="13715"/>
                    </a:xfrm>
                    <a:prstGeom prst="rect">
                      <a:avLst/>
                    </a:prstGeom>
                  </pic:spPr>
                </pic:pic>
              </a:graphicData>
            </a:graphic>
          </wp:inline>
        </w:drawing>
      </w:r>
      <w:r>
        <w:rPr>
          <w:sz w:val="26"/>
        </w:rPr>
        <w:t>1 horas, en donde se le informa a la responsable sobre la carta de renuncia del empleado y se le solicita realizar el inventario físico a sus tarjetas de responsabilidad; por lo que, la licenciada García si tuvo conocimiento de dicha 1 renuncia laboral y debió realizar las gestiones necesarias para resguardar el inventario asignado al empleado, de conformidad con el proceso establecido en el</w:t>
      </w:r>
    </w:p>
    <w:p w14:paraId="71306F3C" w14:textId="77777777" w:rsidR="00053D93" w:rsidRDefault="00260B75">
      <w:pPr>
        <w:tabs>
          <w:tab w:val="right" w:pos="10159"/>
        </w:tabs>
        <w:spacing w:after="12" w:line="250" w:lineRule="auto"/>
      </w:pPr>
      <w:r>
        <w:rPr>
          <w:sz w:val="26"/>
          <w:vertAlign w:val="superscript"/>
        </w:rPr>
        <w:t xml:space="preserve">I </w:t>
      </w:r>
      <w:r>
        <w:rPr>
          <w:sz w:val="26"/>
        </w:rPr>
        <w:t>III</w:t>
      </w:r>
      <w:r>
        <w:rPr>
          <w:sz w:val="26"/>
        </w:rPr>
        <w:tab/>
        <w:t>Instructivo Asignación de bienes muebles, Código: INV-lNS-02 vigente; asimismo,</w:t>
      </w:r>
    </w:p>
    <w:tbl>
      <w:tblPr>
        <w:tblStyle w:val="TableGrid"/>
        <w:tblpPr w:vertAnchor="text" w:tblpX="2539"/>
        <w:tblOverlap w:val="never"/>
        <w:tblW w:w="7656" w:type="dxa"/>
        <w:tblInd w:w="0" w:type="dxa"/>
        <w:tblCellMar>
          <w:top w:w="50" w:type="dxa"/>
          <w:left w:w="1774" w:type="dxa"/>
          <w:right w:w="115" w:type="dxa"/>
        </w:tblCellMar>
        <w:tblLook w:val="04A0" w:firstRow="1" w:lastRow="0" w:firstColumn="1" w:lastColumn="0" w:noHBand="0" w:noVBand="1"/>
      </w:tblPr>
      <w:tblGrid>
        <w:gridCol w:w="7656"/>
      </w:tblGrid>
      <w:tr w:rsidR="00053D93" w14:paraId="24BE8118" w14:textId="77777777">
        <w:trPr>
          <w:trHeight w:val="43"/>
        </w:trPr>
        <w:tc>
          <w:tcPr>
            <w:tcW w:w="7656" w:type="dxa"/>
            <w:tcBorders>
              <w:top w:val="nil"/>
              <w:left w:val="single" w:sz="2" w:space="0" w:color="000000"/>
              <w:bottom w:val="single" w:sz="2" w:space="0" w:color="000000"/>
              <w:right w:val="nil"/>
            </w:tcBorders>
          </w:tcPr>
          <w:p w14:paraId="6A283D24" w14:textId="77777777" w:rsidR="00053D93" w:rsidRDefault="00053D93"/>
        </w:tc>
      </w:tr>
      <w:tr w:rsidR="00053D93" w14:paraId="69915E89" w14:textId="77777777">
        <w:trPr>
          <w:trHeight w:val="598"/>
        </w:trPr>
        <w:tc>
          <w:tcPr>
            <w:tcW w:w="7656" w:type="dxa"/>
            <w:tcBorders>
              <w:top w:val="single" w:sz="2" w:space="0" w:color="000000"/>
              <w:left w:val="single" w:sz="2" w:space="0" w:color="000000"/>
              <w:bottom w:val="nil"/>
              <w:right w:val="nil"/>
            </w:tcBorders>
          </w:tcPr>
          <w:p w14:paraId="3B6B4897" w14:textId="77777777" w:rsidR="00053D93" w:rsidRDefault="00260B75">
            <w:pPr>
              <w:ind w:left="835"/>
            </w:pPr>
            <w:r>
              <w:rPr>
                <w:sz w:val="14"/>
              </w:rPr>
              <w:t>MINISTERIO DE EDUCACION</w:t>
            </w:r>
          </w:p>
          <w:p w14:paraId="1DCC9EA7" w14:textId="77777777" w:rsidR="00053D93" w:rsidRDefault="00260B75">
            <w:pPr>
              <w:ind w:left="346"/>
            </w:pPr>
            <w:r>
              <w:rPr>
                <w:sz w:val="14"/>
              </w:rPr>
              <w:t>AUDITORIA FINANCIERA Y DE CUMPLIMIENTO</w:t>
            </w:r>
          </w:p>
          <w:p w14:paraId="4DEF1F52" w14:textId="77777777" w:rsidR="00053D93" w:rsidRDefault="00260B75">
            <w:r>
              <w:rPr>
                <w:sz w:val="14"/>
              </w:rPr>
              <w:t>PERIODO DEL 01 DE ENERO AL 31 DE DICIEMBRE DE 2024</w:t>
            </w:r>
          </w:p>
        </w:tc>
      </w:tr>
    </w:tbl>
    <w:p w14:paraId="08E48E22" w14:textId="77777777" w:rsidR="00053D93" w:rsidRDefault="00260B75">
      <w:pPr>
        <w:tabs>
          <w:tab w:val="center" w:pos="1717"/>
        </w:tabs>
        <w:spacing w:after="3"/>
      </w:pPr>
      <w:r>
        <w:rPr>
          <w:sz w:val="66"/>
        </w:rPr>
        <w:t>1</w:t>
      </w:r>
      <w:r>
        <w:rPr>
          <w:sz w:val="66"/>
        </w:rPr>
        <w:tab/>
      </w:r>
      <w:r>
        <w:rPr>
          <w:noProof/>
        </w:rPr>
        <w:drawing>
          <wp:inline distT="0" distB="0" distL="0" distR="0" wp14:anchorId="1BF31EAF" wp14:editId="58ECDB37">
            <wp:extent cx="937260" cy="411480"/>
            <wp:effectExtent l="0" t="0" r="0" b="0"/>
            <wp:docPr id="819283" name="Picture 819283"/>
            <wp:cNvGraphicFramePr/>
            <a:graphic xmlns:a="http://schemas.openxmlformats.org/drawingml/2006/main">
              <a:graphicData uri="http://schemas.openxmlformats.org/drawingml/2006/picture">
                <pic:pic xmlns:pic="http://schemas.openxmlformats.org/drawingml/2006/picture">
                  <pic:nvPicPr>
                    <pic:cNvPr id="819283" name="Picture 819283"/>
                    <pic:cNvPicPr/>
                  </pic:nvPicPr>
                  <pic:blipFill>
                    <a:blip r:embed="rId1152"/>
                    <a:stretch>
                      <a:fillRect/>
                    </a:stretch>
                  </pic:blipFill>
                  <pic:spPr>
                    <a:xfrm>
                      <a:off x="0" y="0"/>
                      <a:ext cx="937260" cy="411480"/>
                    </a:xfrm>
                    <a:prstGeom prst="rect">
                      <a:avLst/>
                    </a:prstGeom>
                  </pic:spPr>
                </pic:pic>
              </a:graphicData>
            </a:graphic>
          </wp:inline>
        </w:drawing>
      </w:r>
    </w:p>
    <w:p w14:paraId="432D5218" w14:textId="77777777" w:rsidR="00053D93" w:rsidRDefault="00053D93">
      <w:pPr>
        <w:sectPr w:rsidR="00053D93">
          <w:headerReference w:type="even" r:id="rId1153"/>
          <w:headerReference w:type="default" r:id="rId1154"/>
          <w:footerReference w:type="even" r:id="rId1155"/>
          <w:footerReference w:type="default" r:id="rId1156"/>
          <w:headerReference w:type="first" r:id="rId1157"/>
          <w:footerReference w:type="first" r:id="rId1158"/>
          <w:pgSz w:w="12290" w:h="15883"/>
          <w:pgMar w:top="1357" w:right="1807" w:bottom="403" w:left="324" w:header="374" w:footer="720" w:gutter="0"/>
          <w:cols w:space="720"/>
          <w:titlePg/>
        </w:sectPr>
      </w:pPr>
    </w:p>
    <w:p w14:paraId="3CB32ED9" w14:textId="77777777" w:rsidR="00053D93" w:rsidRDefault="00260B75">
      <w:pPr>
        <w:spacing w:after="31"/>
        <w:ind w:left="1778" w:right="-14"/>
      </w:pPr>
      <w:r>
        <w:rPr>
          <w:noProof/>
        </w:rPr>
        <mc:AlternateContent>
          <mc:Choice Requires="wpg">
            <w:drawing>
              <wp:inline distT="0" distB="0" distL="0" distR="0" wp14:anchorId="11A2BD4D" wp14:editId="2B44F12A">
                <wp:extent cx="5376672" cy="9144"/>
                <wp:effectExtent l="0" t="0" r="0" b="0"/>
                <wp:docPr id="2458619" name="Group 2458619"/>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618" name="Shape 2458618"/>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19" style="width:423.36pt;height:0.720001pt;mso-position-horizontal-relative:char;mso-position-vertical-relative:line" coordsize="53766,91">
                <v:shape id="Shape 2458618" style="position:absolute;width:53766;height:91;left:0;top:0;" coordsize="5376672,9144" path="m0,4572l5376672,4572">
                  <v:stroke weight="0.720001pt" endcap="flat" joinstyle="miter" miterlimit="1" on="true" color="#000000"/>
                  <v:fill on="false" color="#000000"/>
                </v:shape>
              </v:group>
            </w:pict>
          </mc:Fallback>
        </mc:AlternateContent>
      </w:r>
    </w:p>
    <w:p w14:paraId="4119034A" w14:textId="77777777" w:rsidR="00053D93" w:rsidRDefault="00260B75">
      <w:pPr>
        <w:spacing w:after="308" w:line="250" w:lineRule="auto"/>
        <w:ind w:left="1781" w:right="14" w:hanging="3"/>
        <w:jc w:val="both"/>
      </w:pPr>
      <w:r>
        <w:rPr>
          <w:sz w:val="26"/>
        </w:rPr>
        <w:t>dicha acción forma parte de sus funciones establecidas en el Acuerdo Ministerial No. 2833-2010, que aprueba el Manual de Funciones de la Dirección General de Educación Física -DIGEF- del Ministerio de Educación, Numeral 123, nombre del puesto: Jefe Sección de Inventarios, inciso b. Funciones, establece: "...Actualizar y depurar tarjetas de responsabilidad de los empleados de la DIGEF... " dejando así en riesgo de pérdida o substracción de los bienes inventariados registrados en las tarjetas de responsabilidad del exempleado, dificultando así el control y custodia de los mismos.</w:t>
      </w:r>
    </w:p>
    <w:p w14:paraId="779FFA28" w14:textId="77777777" w:rsidR="00053D93" w:rsidRDefault="00260B75">
      <w:pPr>
        <w:spacing w:after="344" w:line="250" w:lineRule="auto"/>
        <w:ind w:left="1745" w:right="14" w:hanging="3"/>
        <w:jc w:val="both"/>
      </w:pPr>
      <w:r>
        <w:rPr>
          <w:sz w:val="26"/>
        </w:rPr>
        <w:t>Se desvanece el hallazgo para el señor Marco Antonio Díaz López, quien fungió como Asistente de Inventarios, en virtud que las pruebas presentadas son suficientes, ya que como bien lo manifiesta el señor Díaz, debió recibir la instrucción de la Jefe de Sección de inventarios A.l., para poder cumplir con su responsabilidad de actualizar las tarjetas de responsabilidad del exempleado con código número 990099480; por lo que, se puede evidenciar no haber tenido conocimiento de dicha situación, ya que el oficio RRHH-No.066-2024, del 02 de abril de 2024, emitido por la Coordinadora de Recursos Humanos, en donde da a conocer la renuncia del empleado y solicitan que se realice el inventario físico a sus tarjetas de responsabilidad, fue dirigido a la Jefe de Sección de Inventarios A.l., quien debió girarle instrucciones al responsable para poder proceder; además, en las pruebas de descargo presentadas por la Jefe de Sección de Inventarios A.l., no figura ninguna instrucción girada al Asistente de Inventarios, para que cumpliera con dicha actualización en las tarjetas de responsabilidad del exempleado con código número 990099480.</w:t>
      </w:r>
    </w:p>
    <w:p w14:paraId="4F4CCD49" w14:textId="77777777" w:rsidR="00053D93" w:rsidRDefault="00260B75">
      <w:pPr>
        <w:spacing w:after="300" w:line="250" w:lineRule="auto"/>
        <w:ind w:left="1738" w:right="14" w:hanging="3"/>
        <w:jc w:val="both"/>
      </w:pPr>
      <w:r>
        <w:rPr>
          <w:sz w:val="26"/>
        </w:rPr>
        <w:t>El hallazgo se notificó con el número 8 y en el presente informe le corresponde el número 7.</w:t>
      </w:r>
    </w:p>
    <w:p w14:paraId="506C53FE" w14:textId="77777777" w:rsidR="00053D93" w:rsidRDefault="00260B75">
      <w:pPr>
        <w:spacing w:after="14" w:line="251" w:lineRule="auto"/>
        <w:ind w:left="1724" w:hanging="3"/>
        <w:jc w:val="both"/>
      </w:pPr>
      <w:r>
        <w:rPr>
          <w:sz w:val="28"/>
        </w:rPr>
        <w:t>Acciones legales</w:t>
      </w:r>
    </w:p>
    <w:p w14:paraId="66DF1562" w14:textId="77777777" w:rsidR="00053D93" w:rsidRDefault="00260B75">
      <w:pPr>
        <w:spacing w:after="47" w:line="250" w:lineRule="auto"/>
        <w:ind w:left="1724" w:right="14" w:hanging="3"/>
        <w:jc w:val="both"/>
      </w:pPr>
      <w:r>
        <w:rPr>
          <w:sz w:val="26"/>
        </w:rPr>
        <w:t>Sanción económica de conformidad con el Decreto 31-2002, del Congreso de la República, Ley Orgánica de la Contraloría General de Cuentas, reformada por el Decreto 13-2013; artículo 39, Numeral 21, para:</w:t>
      </w:r>
    </w:p>
    <w:tbl>
      <w:tblPr>
        <w:tblStyle w:val="TableGrid"/>
        <w:tblW w:w="8438" w:type="dxa"/>
        <w:tblInd w:w="1706" w:type="dxa"/>
        <w:tblLook w:val="04A0" w:firstRow="1" w:lastRow="0" w:firstColumn="1" w:lastColumn="0" w:noHBand="0" w:noVBand="1"/>
      </w:tblPr>
      <w:tblGrid>
        <w:gridCol w:w="3038"/>
        <w:gridCol w:w="3701"/>
        <w:gridCol w:w="1699"/>
      </w:tblGrid>
      <w:tr w:rsidR="00053D93" w14:paraId="4043E668" w14:textId="77777777">
        <w:trPr>
          <w:trHeight w:val="199"/>
        </w:trPr>
        <w:tc>
          <w:tcPr>
            <w:tcW w:w="3038" w:type="dxa"/>
            <w:tcBorders>
              <w:top w:val="nil"/>
              <w:left w:val="nil"/>
              <w:bottom w:val="nil"/>
              <w:right w:val="nil"/>
            </w:tcBorders>
          </w:tcPr>
          <w:p w14:paraId="17442FD7" w14:textId="77777777" w:rsidR="00053D93" w:rsidRDefault="00260B75">
            <w:pPr>
              <w:ind w:left="14"/>
            </w:pPr>
            <w:r>
              <w:rPr>
                <w:sz w:val="16"/>
              </w:rPr>
              <w:t>Cargo</w:t>
            </w:r>
          </w:p>
        </w:tc>
        <w:tc>
          <w:tcPr>
            <w:tcW w:w="3701" w:type="dxa"/>
            <w:tcBorders>
              <w:top w:val="nil"/>
              <w:left w:val="nil"/>
              <w:bottom w:val="nil"/>
              <w:right w:val="nil"/>
            </w:tcBorders>
          </w:tcPr>
          <w:p w14:paraId="2DEBF96A" w14:textId="77777777" w:rsidR="00053D93" w:rsidRDefault="00260B75">
            <w:pPr>
              <w:ind w:left="648"/>
            </w:pPr>
            <w:r>
              <w:rPr>
                <w:sz w:val="16"/>
              </w:rPr>
              <w:t>Nombre</w:t>
            </w:r>
          </w:p>
        </w:tc>
        <w:tc>
          <w:tcPr>
            <w:tcW w:w="1699" w:type="dxa"/>
            <w:tcBorders>
              <w:top w:val="nil"/>
              <w:left w:val="nil"/>
              <w:bottom w:val="nil"/>
              <w:right w:val="nil"/>
            </w:tcBorders>
          </w:tcPr>
          <w:p w14:paraId="50CC14B9" w14:textId="77777777" w:rsidR="00053D93" w:rsidRDefault="00260B75">
            <w:pPr>
              <w:jc w:val="right"/>
            </w:pPr>
            <w:r>
              <w:rPr>
                <w:sz w:val="16"/>
              </w:rPr>
              <w:t>Valor en Quetzales</w:t>
            </w:r>
          </w:p>
        </w:tc>
      </w:tr>
      <w:tr w:rsidR="00053D93" w14:paraId="39892A24" w14:textId="77777777">
        <w:trPr>
          <w:trHeight w:val="206"/>
        </w:trPr>
        <w:tc>
          <w:tcPr>
            <w:tcW w:w="3038" w:type="dxa"/>
            <w:tcBorders>
              <w:top w:val="nil"/>
              <w:left w:val="nil"/>
              <w:bottom w:val="nil"/>
              <w:right w:val="nil"/>
            </w:tcBorders>
          </w:tcPr>
          <w:p w14:paraId="07EAFE86" w14:textId="77777777" w:rsidR="00053D93" w:rsidRDefault="00260B75">
            <w:pPr>
              <w:ind w:left="7"/>
            </w:pPr>
            <w:r>
              <w:rPr>
                <w:sz w:val="18"/>
              </w:rPr>
              <w:t>JEFE DE ACCIONES DE PERSONAL Al.</w:t>
            </w:r>
          </w:p>
        </w:tc>
        <w:tc>
          <w:tcPr>
            <w:tcW w:w="3701" w:type="dxa"/>
            <w:tcBorders>
              <w:top w:val="nil"/>
              <w:left w:val="nil"/>
              <w:bottom w:val="nil"/>
              <w:right w:val="nil"/>
            </w:tcBorders>
          </w:tcPr>
          <w:p w14:paraId="5D330CE1" w14:textId="77777777" w:rsidR="00053D93" w:rsidRDefault="00260B75">
            <w:pPr>
              <w:ind w:left="641"/>
            </w:pPr>
            <w:r>
              <w:rPr>
                <w:sz w:val="18"/>
              </w:rPr>
              <w:t>VMLLIAM LEONEL BARRIOS LEIVA</w:t>
            </w:r>
          </w:p>
        </w:tc>
        <w:tc>
          <w:tcPr>
            <w:tcW w:w="1699" w:type="dxa"/>
            <w:tcBorders>
              <w:top w:val="nil"/>
              <w:left w:val="nil"/>
              <w:bottom w:val="nil"/>
              <w:right w:val="nil"/>
            </w:tcBorders>
          </w:tcPr>
          <w:p w14:paraId="0A820868" w14:textId="77777777" w:rsidR="00053D93" w:rsidRDefault="00260B75">
            <w:pPr>
              <w:jc w:val="right"/>
            </w:pPr>
            <w:r>
              <w:rPr>
                <w:rFonts w:ascii="Times New Roman" w:eastAsia="Times New Roman" w:hAnsi="Times New Roman" w:cs="Times New Roman"/>
                <w:sz w:val="14"/>
              </w:rPr>
              <w:t>2.441.00</w:t>
            </w:r>
          </w:p>
        </w:tc>
      </w:tr>
      <w:tr w:rsidR="00053D93" w14:paraId="4FB72787" w14:textId="77777777">
        <w:trPr>
          <w:trHeight w:val="208"/>
        </w:trPr>
        <w:tc>
          <w:tcPr>
            <w:tcW w:w="3038" w:type="dxa"/>
            <w:tcBorders>
              <w:top w:val="nil"/>
              <w:left w:val="nil"/>
              <w:bottom w:val="nil"/>
              <w:right w:val="nil"/>
            </w:tcBorders>
          </w:tcPr>
          <w:p w14:paraId="5E226EEF" w14:textId="77777777" w:rsidR="00053D93" w:rsidRDefault="00260B75">
            <w:pPr>
              <w:ind w:left="7"/>
            </w:pPr>
            <w:r>
              <w:rPr>
                <w:sz w:val="18"/>
              </w:rPr>
              <w:t>JEFE DE SECCION DE INVENTARIOS Al.</w:t>
            </w:r>
          </w:p>
        </w:tc>
        <w:tc>
          <w:tcPr>
            <w:tcW w:w="3701" w:type="dxa"/>
            <w:tcBorders>
              <w:top w:val="nil"/>
              <w:left w:val="nil"/>
              <w:bottom w:val="nil"/>
              <w:right w:val="nil"/>
            </w:tcBorders>
          </w:tcPr>
          <w:p w14:paraId="6A06A814" w14:textId="77777777" w:rsidR="00053D93" w:rsidRDefault="00260B75">
            <w:pPr>
              <w:ind w:left="65"/>
              <w:jc w:val="center"/>
            </w:pPr>
            <w:r>
              <w:rPr>
                <w:sz w:val="16"/>
              </w:rPr>
              <w:t>DORCAS MARLENE GARCIA CHACLAN</w:t>
            </w:r>
          </w:p>
        </w:tc>
        <w:tc>
          <w:tcPr>
            <w:tcW w:w="1699" w:type="dxa"/>
            <w:tcBorders>
              <w:top w:val="nil"/>
              <w:left w:val="nil"/>
              <w:bottom w:val="nil"/>
              <w:right w:val="nil"/>
            </w:tcBorders>
          </w:tcPr>
          <w:p w14:paraId="1C6AFEA1" w14:textId="77777777" w:rsidR="00053D93" w:rsidRDefault="00260B75">
            <w:pPr>
              <w:jc w:val="right"/>
            </w:pPr>
            <w:r>
              <w:rPr>
                <w:rFonts w:ascii="Times New Roman" w:eastAsia="Times New Roman" w:hAnsi="Times New Roman" w:cs="Times New Roman"/>
                <w:sz w:val="14"/>
              </w:rPr>
              <w:t>6.759.00</w:t>
            </w:r>
          </w:p>
        </w:tc>
      </w:tr>
      <w:tr w:rsidR="00053D93" w14:paraId="2E1FB0BD" w14:textId="77777777">
        <w:trPr>
          <w:trHeight w:val="337"/>
        </w:trPr>
        <w:tc>
          <w:tcPr>
            <w:tcW w:w="3038" w:type="dxa"/>
            <w:tcBorders>
              <w:top w:val="nil"/>
              <w:left w:val="nil"/>
              <w:bottom w:val="nil"/>
              <w:right w:val="nil"/>
            </w:tcBorders>
          </w:tcPr>
          <w:p w14:paraId="407432FF" w14:textId="77777777" w:rsidR="00053D93" w:rsidRDefault="00260B75">
            <w:pPr>
              <w:ind w:left="7"/>
            </w:pPr>
            <w:r>
              <w:rPr>
                <w:sz w:val="16"/>
              </w:rPr>
              <w:t>COORDINADORA OE RECURSOS HUMANOS</w:t>
            </w:r>
          </w:p>
          <w:p w14:paraId="44D52904" w14:textId="77777777" w:rsidR="00053D93" w:rsidRDefault="00260B75">
            <w:r>
              <w:rPr>
                <w:sz w:val="16"/>
              </w:rPr>
              <w:t>Total</w:t>
            </w:r>
          </w:p>
        </w:tc>
        <w:tc>
          <w:tcPr>
            <w:tcW w:w="3701" w:type="dxa"/>
            <w:tcBorders>
              <w:top w:val="nil"/>
              <w:left w:val="nil"/>
              <w:bottom w:val="nil"/>
              <w:right w:val="nil"/>
            </w:tcBorders>
          </w:tcPr>
          <w:p w14:paraId="40936A20" w14:textId="77777777" w:rsidR="00053D93" w:rsidRDefault="00260B75">
            <w:pPr>
              <w:ind w:left="641"/>
            </w:pPr>
            <w:r>
              <w:rPr>
                <w:sz w:val="16"/>
              </w:rPr>
              <w:t>GLAOYS MAITE ROJAS ALVAREZ</w:t>
            </w:r>
          </w:p>
        </w:tc>
        <w:tc>
          <w:tcPr>
            <w:tcW w:w="1699" w:type="dxa"/>
            <w:tcBorders>
              <w:top w:val="nil"/>
              <w:left w:val="nil"/>
              <w:bottom w:val="nil"/>
              <w:right w:val="nil"/>
            </w:tcBorders>
          </w:tcPr>
          <w:p w14:paraId="725B2823" w14:textId="77777777" w:rsidR="00053D93" w:rsidRDefault="00260B75">
            <w:pPr>
              <w:ind w:right="7"/>
              <w:jc w:val="right"/>
            </w:pPr>
            <w:r>
              <w:rPr>
                <w:rFonts w:ascii="Times New Roman" w:eastAsia="Times New Roman" w:hAnsi="Times New Roman" w:cs="Times New Roman"/>
                <w:sz w:val="14"/>
              </w:rPr>
              <w:t>10.261.00</w:t>
            </w:r>
          </w:p>
        </w:tc>
      </w:tr>
    </w:tbl>
    <w:p w14:paraId="10CC1D67" w14:textId="77777777" w:rsidR="00053D93" w:rsidRDefault="00260B75">
      <w:pPr>
        <w:spacing w:after="2415" w:line="340" w:lineRule="auto"/>
        <w:ind w:left="10" w:right="43" w:hanging="10"/>
        <w:jc w:val="right"/>
      </w:pPr>
      <w:r>
        <w:rPr>
          <w:sz w:val="14"/>
        </w:rPr>
        <w:t>Q. 19,461.00</w:t>
      </w:r>
    </w:p>
    <w:tbl>
      <w:tblPr>
        <w:tblStyle w:val="TableGrid"/>
        <w:tblpPr w:vertAnchor="text" w:tblpX="2514" w:tblpY="11"/>
        <w:tblOverlap w:val="never"/>
        <w:tblW w:w="7638" w:type="dxa"/>
        <w:tblInd w:w="0" w:type="dxa"/>
        <w:tblCellMar>
          <w:top w:w="24" w:type="dxa"/>
          <w:left w:w="1756" w:type="dxa"/>
          <w:right w:w="115" w:type="dxa"/>
        </w:tblCellMar>
        <w:tblLook w:val="04A0" w:firstRow="1" w:lastRow="0" w:firstColumn="1" w:lastColumn="0" w:noHBand="0" w:noVBand="1"/>
      </w:tblPr>
      <w:tblGrid>
        <w:gridCol w:w="7638"/>
      </w:tblGrid>
      <w:tr w:rsidR="00053D93" w14:paraId="25EE6410" w14:textId="77777777">
        <w:trPr>
          <w:trHeight w:val="77"/>
        </w:trPr>
        <w:tc>
          <w:tcPr>
            <w:tcW w:w="7638" w:type="dxa"/>
            <w:tcBorders>
              <w:top w:val="nil"/>
              <w:left w:val="single" w:sz="2" w:space="0" w:color="000000"/>
              <w:bottom w:val="single" w:sz="2" w:space="0" w:color="000000"/>
              <w:right w:val="nil"/>
            </w:tcBorders>
          </w:tcPr>
          <w:p w14:paraId="0190AAA0" w14:textId="77777777" w:rsidR="00053D93" w:rsidRDefault="00053D93"/>
        </w:tc>
      </w:tr>
      <w:tr w:rsidR="00053D93" w14:paraId="599CC0C0" w14:textId="77777777">
        <w:trPr>
          <w:trHeight w:val="564"/>
        </w:trPr>
        <w:tc>
          <w:tcPr>
            <w:tcW w:w="7638" w:type="dxa"/>
            <w:tcBorders>
              <w:top w:val="single" w:sz="2" w:space="0" w:color="000000"/>
              <w:left w:val="single" w:sz="2" w:space="0" w:color="000000"/>
              <w:bottom w:val="nil"/>
              <w:right w:val="nil"/>
            </w:tcBorders>
          </w:tcPr>
          <w:p w14:paraId="45818C89" w14:textId="77777777" w:rsidR="00053D93" w:rsidRDefault="00260B75">
            <w:pPr>
              <w:ind w:left="842"/>
            </w:pPr>
            <w:r>
              <w:rPr>
                <w:sz w:val="14"/>
              </w:rPr>
              <w:t>MINISTERIO DE EDUCACION</w:t>
            </w:r>
          </w:p>
          <w:p w14:paraId="15F93721" w14:textId="77777777" w:rsidR="00053D93" w:rsidRDefault="00260B75">
            <w:pPr>
              <w:ind w:left="338"/>
            </w:pPr>
            <w:r>
              <w:rPr>
                <w:sz w:val="14"/>
              </w:rPr>
              <w:t>AUDITORIA FINANCIERA Y DE CUMPLIMIENTO</w:t>
            </w:r>
          </w:p>
          <w:p w14:paraId="14C4B692" w14:textId="77777777" w:rsidR="00053D93" w:rsidRDefault="00260B75">
            <w:r>
              <w:rPr>
                <w:sz w:val="14"/>
              </w:rPr>
              <w:t>PERIODO DEL 01 DE ENERO AL 31 OE DICIEMBRE DE 2024</w:t>
            </w:r>
          </w:p>
        </w:tc>
      </w:tr>
    </w:tbl>
    <w:p w14:paraId="6D9B6B0D" w14:textId="77777777" w:rsidR="00053D93" w:rsidRDefault="00260B75">
      <w:pPr>
        <w:pStyle w:val="Ttulo2"/>
        <w:ind w:left="737" w:right="79"/>
      </w:pPr>
      <w:r>
        <w:t xml:space="preserve">III </w:t>
      </w:r>
      <w:r>
        <w:rPr>
          <w:noProof/>
        </w:rPr>
        <w:drawing>
          <wp:inline distT="0" distB="0" distL="0" distR="0" wp14:anchorId="0EE4A8F5" wp14:editId="75328A87">
            <wp:extent cx="850392" cy="406909"/>
            <wp:effectExtent l="0" t="0" r="0" b="0"/>
            <wp:docPr id="823269" name="Picture 823269"/>
            <wp:cNvGraphicFramePr/>
            <a:graphic xmlns:a="http://schemas.openxmlformats.org/drawingml/2006/main">
              <a:graphicData uri="http://schemas.openxmlformats.org/drawingml/2006/picture">
                <pic:pic xmlns:pic="http://schemas.openxmlformats.org/drawingml/2006/picture">
                  <pic:nvPicPr>
                    <pic:cNvPr id="823269" name="Picture 823269"/>
                    <pic:cNvPicPr/>
                  </pic:nvPicPr>
                  <pic:blipFill>
                    <a:blip r:embed="rId1159"/>
                    <a:stretch>
                      <a:fillRect/>
                    </a:stretch>
                  </pic:blipFill>
                  <pic:spPr>
                    <a:xfrm>
                      <a:off x="0" y="0"/>
                      <a:ext cx="850392" cy="406909"/>
                    </a:xfrm>
                    <a:prstGeom prst="rect">
                      <a:avLst/>
                    </a:prstGeom>
                  </pic:spPr>
                </pic:pic>
              </a:graphicData>
            </a:graphic>
          </wp:inline>
        </w:drawing>
      </w:r>
      <w:r>
        <w:t>I I</w:t>
      </w:r>
    </w:p>
    <w:p w14:paraId="7E66C1BD" w14:textId="77777777" w:rsidR="00053D93" w:rsidRDefault="00260B75">
      <w:pPr>
        <w:spacing w:after="29"/>
        <w:ind w:left="1750"/>
      </w:pPr>
      <w:r>
        <w:rPr>
          <w:noProof/>
        </w:rPr>
        <mc:AlternateContent>
          <mc:Choice Requires="wpg">
            <w:drawing>
              <wp:inline distT="0" distB="0" distL="0" distR="0" wp14:anchorId="2EF960D8" wp14:editId="3005056D">
                <wp:extent cx="5413248" cy="13716"/>
                <wp:effectExtent l="0" t="0" r="0" b="0"/>
                <wp:docPr id="2458621" name="Group 2458621"/>
                <wp:cNvGraphicFramePr/>
                <a:graphic xmlns:a="http://schemas.openxmlformats.org/drawingml/2006/main">
                  <a:graphicData uri="http://schemas.microsoft.com/office/word/2010/wordprocessingGroup">
                    <wpg:wgp>
                      <wpg:cNvGrpSpPr/>
                      <wpg:grpSpPr>
                        <a:xfrm>
                          <a:off x="0" y="0"/>
                          <a:ext cx="5413248" cy="13716"/>
                          <a:chOff x="0" y="0"/>
                          <a:chExt cx="5413248" cy="13716"/>
                        </a:xfrm>
                      </wpg:grpSpPr>
                      <wps:wsp>
                        <wps:cNvPr id="2458620" name="Shape 2458620"/>
                        <wps:cNvSpPr/>
                        <wps:spPr>
                          <a:xfrm>
                            <a:off x="0" y="0"/>
                            <a:ext cx="5413248" cy="13716"/>
                          </a:xfrm>
                          <a:custGeom>
                            <a:avLst/>
                            <a:gdLst/>
                            <a:ahLst/>
                            <a:cxnLst/>
                            <a:rect l="0" t="0" r="0" b="0"/>
                            <a:pathLst>
                              <a:path w="5413248" h="13716">
                                <a:moveTo>
                                  <a:pt x="0" y="6858"/>
                                </a:moveTo>
                                <a:lnTo>
                                  <a:pt x="541324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21" style="width:426.24pt;height:1.08pt;mso-position-horizontal-relative:char;mso-position-vertical-relative:line" coordsize="54132,137">
                <v:shape id="Shape 2458620" style="position:absolute;width:54132;height:137;left:0;top:0;" coordsize="5413248,13716" path="m0,6858l5413248,6858">
                  <v:stroke weight="1.08pt" endcap="flat" joinstyle="miter" miterlimit="1" on="true" color="#000000"/>
                  <v:fill on="false" color="#000000"/>
                </v:shape>
              </v:group>
            </w:pict>
          </mc:Fallback>
        </mc:AlternateContent>
      </w:r>
    </w:p>
    <w:p w14:paraId="47235EC7" w14:textId="77777777" w:rsidR="00053D93" w:rsidRDefault="00260B75">
      <w:pPr>
        <w:spacing w:after="14"/>
        <w:ind w:left="-22"/>
      </w:pPr>
      <w:r>
        <w:rPr>
          <w:noProof/>
        </w:rPr>
        <w:drawing>
          <wp:inline distT="0" distB="0" distL="0" distR="0" wp14:anchorId="4BAE00F6" wp14:editId="6D67B974">
            <wp:extent cx="18288" cy="4572"/>
            <wp:effectExtent l="0" t="0" r="0" b="0"/>
            <wp:docPr id="826583" name="Picture 826583"/>
            <wp:cNvGraphicFramePr/>
            <a:graphic xmlns:a="http://schemas.openxmlformats.org/drawingml/2006/main">
              <a:graphicData uri="http://schemas.openxmlformats.org/drawingml/2006/picture">
                <pic:pic xmlns:pic="http://schemas.openxmlformats.org/drawingml/2006/picture">
                  <pic:nvPicPr>
                    <pic:cNvPr id="826583" name="Picture 826583"/>
                    <pic:cNvPicPr/>
                  </pic:nvPicPr>
                  <pic:blipFill>
                    <a:blip r:embed="rId1160"/>
                    <a:stretch>
                      <a:fillRect/>
                    </a:stretch>
                  </pic:blipFill>
                  <pic:spPr>
                    <a:xfrm>
                      <a:off x="0" y="0"/>
                      <a:ext cx="18288" cy="4572"/>
                    </a:xfrm>
                    <a:prstGeom prst="rect">
                      <a:avLst/>
                    </a:prstGeom>
                  </pic:spPr>
                </pic:pic>
              </a:graphicData>
            </a:graphic>
          </wp:inline>
        </w:drawing>
      </w:r>
    </w:p>
    <w:p w14:paraId="32F7E085" w14:textId="77777777" w:rsidR="00053D93" w:rsidRDefault="00260B75">
      <w:pPr>
        <w:tabs>
          <w:tab w:val="center" w:pos="2542"/>
        </w:tabs>
        <w:spacing w:after="65" w:line="266" w:lineRule="auto"/>
      </w:pPr>
      <w:r>
        <w:rPr>
          <w:sz w:val="28"/>
        </w:rPr>
        <w:t>1</w:t>
      </w:r>
      <w:r>
        <w:rPr>
          <w:sz w:val="28"/>
        </w:rPr>
        <w:tab/>
        <w:t>Hallazgo No. 8</w:t>
      </w:r>
    </w:p>
    <w:p w14:paraId="6A6D1B31" w14:textId="77777777" w:rsidR="00053D93" w:rsidRDefault="00260B75">
      <w:pPr>
        <w:spacing w:after="0"/>
        <w:ind w:left="14"/>
        <w:jc w:val="center"/>
      </w:pPr>
      <w:r>
        <w:rPr>
          <w:sz w:val="28"/>
        </w:rPr>
        <w:t>Falta de seguimiento a recomendaciones de auditoría anterior</w:t>
      </w:r>
    </w:p>
    <w:p w14:paraId="76B90E93" w14:textId="77777777" w:rsidR="00053D93" w:rsidRDefault="00260B75">
      <w:pPr>
        <w:spacing w:after="3"/>
        <w:ind w:left="24" w:hanging="10"/>
      </w:pPr>
      <w:r>
        <w:rPr>
          <w:sz w:val="72"/>
        </w:rPr>
        <w:t>1</w:t>
      </w:r>
    </w:p>
    <w:p w14:paraId="34710D32" w14:textId="77777777" w:rsidR="00053D93" w:rsidRDefault="00260B75">
      <w:pPr>
        <w:spacing w:after="95" w:line="266" w:lineRule="auto"/>
        <w:ind w:left="1781" w:hanging="10"/>
      </w:pPr>
      <w:r>
        <w:rPr>
          <w:sz w:val="28"/>
        </w:rPr>
        <w:t>Condición</w:t>
      </w:r>
    </w:p>
    <w:p w14:paraId="7014114D" w14:textId="77777777" w:rsidR="00053D93" w:rsidRDefault="00260B75">
      <w:pPr>
        <w:tabs>
          <w:tab w:val="right" w:pos="10246"/>
        </w:tabs>
        <w:spacing w:after="4" w:line="269" w:lineRule="auto"/>
      </w:pPr>
      <w:r>
        <w:rPr>
          <w:sz w:val="26"/>
        </w:rPr>
        <w:t>1</w:t>
      </w:r>
      <w:r>
        <w:rPr>
          <w:sz w:val="26"/>
        </w:rPr>
        <w:tab/>
        <w:t>En el Ministerio de Educación, Unidad Ejecutora 109 Dirección General de</w:t>
      </w:r>
    </w:p>
    <w:p w14:paraId="4CE8A484" w14:textId="77777777" w:rsidR="00053D93" w:rsidRDefault="00260B75">
      <w:pPr>
        <w:spacing w:after="4" w:line="269" w:lineRule="auto"/>
        <w:ind w:left="57" w:right="86" w:firstLine="1706"/>
        <w:jc w:val="both"/>
      </w:pPr>
      <w:r>
        <w:rPr>
          <w:noProof/>
        </w:rPr>
        <mc:AlternateContent>
          <mc:Choice Requires="wpg">
            <w:drawing>
              <wp:anchor distT="0" distB="0" distL="114300" distR="114300" simplePos="0" relativeHeight="252096512" behindDoc="0" locked="0" layoutInCell="1" allowOverlap="1" wp14:anchorId="3F427A0C" wp14:editId="7450EF34">
                <wp:simplePos x="0" y="0"/>
                <wp:positionH relativeFrom="column">
                  <wp:posOffset>41148</wp:posOffset>
                </wp:positionH>
                <wp:positionV relativeFrom="paragraph">
                  <wp:posOffset>809764</wp:posOffset>
                </wp:positionV>
                <wp:extent cx="123444" cy="292608"/>
                <wp:effectExtent l="0" t="0" r="0" b="0"/>
                <wp:wrapSquare wrapText="bothSides"/>
                <wp:docPr id="2456521" name="Group 2456521"/>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823909" name="Rectangle 823909"/>
                        <wps:cNvSpPr/>
                        <wps:spPr>
                          <a:xfrm>
                            <a:off x="0" y="0"/>
                            <a:ext cx="164181" cy="389169"/>
                          </a:xfrm>
                          <a:prstGeom prst="rect">
                            <a:avLst/>
                          </a:prstGeom>
                          <a:ln>
                            <a:noFill/>
                          </a:ln>
                        </wps:spPr>
                        <wps:txbx>
                          <w:txbxContent>
                            <w:p w14:paraId="5046F91D"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3F427A0C" id="Group 2456521" o:spid="_x0000_s1447" style="position:absolute;left:0;text-align:left;margin-left:3.25pt;margin-top:63.75pt;width:9.7pt;height:23.05pt;z-index:252096512;mso-position-horizontal-relative:text;mso-position-vertical-relative:text"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">
                <v:rect id="Rectangle 823909" o:spid="_x0000_s1448" style="position:absolute;width:16418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" filled="f" stroked="f">
                  <v:textbox inset="0,0,0,0">
                    <w:txbxContent>
                      <w:p w14:paraId="5046F91D" w14:textId="77777777" w:rsidR="00053D93" w:rsidRDefault="00260B75">
                        <w:r>
                          <w:rPr>
                            <w:sz w:val="74"/>
                          </w:rPr>
                          <w:t>1</w:t>
                        </w:r>
                      </w:p>
                    </w:txbxContent>
                  </v:textbox>
                </v:rect>
                <w10:wrap type="square"/>
              </v:group>
            </w:pict>
          </mc:Fallback>
        </mc:AlternateContent>
      </w:r>
      <w:r>
        <w:rPr>
          <w:sz w:val="26"/>
        </w:rPr>
        <w:t>Educación Física, como seguimiento a recomendaciones de auditoría anterior de [a Contraloría General de Cuentas, del examen especial de auditoría, del período 1 comprendido del 01 de enero de 2014 al 31 de diciembre de 2021, en relación a los programas Académico de Desarrollo Profesional Docente -PADEP- y de Formación Inicial Docente -FID-, en donde se formuló la Recomendación del hallazgo No. 4 "Falta de gestión para requerir entrega de títulos de los diferentes programas académicos del Ministerio de Educación", que se describe a 1 continuación: "El Director Ejecutivo IV de la -DIGEF-, debe darle el debido seguimiento a la finalización de cada una de las cohortes del Profesorado de Educación física del Programa Académico de Desarrollo Profesional Docente</w:t>
      </w:r>
    </w:p>
    <w:p w14:paraId="13FC4B60" w14:textId="77777777" w:rsidR="00053D93" w:rsidRDefault="00260B75">
      <w:pPr>
        <w:spacing w:after="65"/>
        <w:ind w:left="58"/>
      </w:pPr>
      <w:r>
        <w:rPr>
          <w:noProof/>
        </w:rPr>
        <w:drawing>
          <wp:inline distT="0" distB="0" distL="0" distR="0" wp14:anchorId="5FF59DB7" wp14:editId="6CB0712F">
            <wp:extent cx="18288" cy="9144"/>
            <wp:effectExtent l="0" t="0" r="0" b="0"/>
            <wp:docPr id="826584" name="Picture 826584"/>
            <wp:cNvGraphicFramePr/>
            <a:graphic xmlns:a="http://schemas.openxmlformats.org/drawingml/2006/main">
              <a:graphicData uri="http://schemas.openxmlformats.org/drawingml/2006/picture">
                <pic:pic xmlns:pic="http://schemas.openxmlformats.org/drawingml/2006/picture">
                  <pic:nvPicPr>
                    <pic:cNvPr id="826584" name="Picture 826584"/>
                    <pic:cNvPicPr/>
                  </pic:nvPicPr>
                  <pic:blipFill>
                    <a:blip r:embed="rId1161"/>
                    <a:stretch>
                      <a:fillRect/>
                    </a:stretch>
                  </pic:blipFill>
                  <pic:spPr>
                    <a:xfrm>
                      <a:off x="0" y="0"/>
                      <a:ext cx="18288" cy="9144"/>
                    </a:xfrm>
                    <a:prstGeom prst="rect">
                      <a:avLst/>
                    </a:prstGeom>
                  </pic:spPr>
                </pic:pic>
              </a:graphicData>
            </a:graphic>
          </wp:inline>
        </w:drawing>
      </w:r>
    </w:p>
    <w:p w14:paraId="50E4592C" w14:textId="77777777" w:rsidR="00053D93" w:rsidRDefault="00260B75">
      <w:pPr>
        <w:spacing w:after="124" w:line="269" w:lineRule="auto"/>
        <w:ind w:left="60" w:right="79" w:hanging="3"/>
        <w:jc w:val="both"/>
      </w:pPr>
      <w:r>
        <w:rPr>
          <w:sz w:val="26"/>
        </w:rPr>
        <w:t>1 PADEP/D, con la finalidad de garantizar que la inversión realizada por el Ministerio de Educación en los referidos programas, sea efectiva y garantice que los 1 estudiantes que han integrado cada una de las cohortes, al graduarse puedan emitir el cierre del pensum para que puedan iniciar el proceso de graduación por ende contar con las actas de graduación y título respectivo."</w:t>
      </w:r>
    </w:p>
    <w:p w14:paraId="633DC8C5" w14:textId="77777777" w:rsidR="00053D93" w:rsidRDefault="00260B75">
      <w:pPr>
        <w:spacing w:after="3"/>
        <w:ind w:left="74" w:right="3485" w:hanging="10"/>
      </w:pPr>
      <w:r>
        <w:rPr>
          <w:noProof/>
        </w:rPr>
        <w:drawing>
          <wp:inline distT="0" distB="0" distL="0" distR="0" wp14:anchorId="47F31401" wp14:editId="535354FC">
            <wp:extent cx="22860" cy="9144"/>
            <wp:effectExtent l="0" t="0" r="0" b="0"/>
            <wp:docPr id="826585" name="Picture 826585"/>
            <wp:cNvGraphicFramePr/>
            <a:graphic xmlns:a="http://schemas.openxmlformats.org/drawingml/2006/main">
              <a:graphicData uri="http://schemas.openxmlformats.org/drawingml/2006/picture">
                <pic:pic xmlns:pic="http://schemas.openxmlformats.org/drawingml/2006/picture">
                  <pic:nvPicPr>
                    <pic:cNvPr id="826585" name="Picture 826585"/>
                    <pic:cNvPicPr/>
                  </pic:nvPicPr>
                  <pic:blipFill>
                    <a:blip r:embed="rId1162"/>
                    <a:stretch>
                      <a:fillRect/>
                    </a:stretch>
                  </pic:blipFill>
                  <pic:spPr>
                    <a:xfrm>
                      <a:off x="0" y="0"/>
                      <a:ext cx="22860" cy="9144"/>
                    </a:xfrm>
                    <a:prstGeom prst="rect">
                      <a:avLst/>
                    </a:prstGeom>
                  </pic:spPr>
                </pic:pic>
              </a:graphicData>
            </a:graphic>
          </wp:inline>
        </w:drawing>
      </w:r>
      <w:r>
        <w:rPr>
          <w:sz w:val="70"/>
        </w:rPr>
        <w:t>1</w:t>
      </w:r>
    </w:p>
    <w:p w14:paraId="544C1AF6" w14:textId="77777777" w:rsidR="00053D93" w:rsidRDefault="00260B75">
      <w:pPr>
        <w:spacing w:after="3" w:line="269" w:lineRule="auto"/>
        <w:ind w:left="67" w:right="94" w:hanging="10"/>
        <w:jc w:val="right"/>
      </w:pPr>
      <w:r>
        <w:rPr>
          <w:sz w:val="26"/>
        </w:rPr>
        <w:t>Asimismo, se verificó que como parte de este seguimiento, la Dirección de</w:t>
      </w:r>
    </w:p>
    <w:p w14:paraId="06B330B4" w14:textId="77777777" w:rsidR="00053D93" w:rsidRDefault="00260B75">
      <w:pPr>
        <w:spacing w:after="43" w:line="269" w:lineRule="auto"/>
        <w:ind w:left="57" w:right="94" w:firstLine="1656"/>
        <w:jc w:val="both"/>
      </w:pPr>
      <w:r>
        <w:rPr>
          <w:noProof/>
        </w:rPr>
        <w:drawing>
          <wp:anchor distT="0" distB="0" distL="114300" distR="114300" simplePos="0" relativeHeight="252097536" behindDoc="0" locked="0" layoutInCell="1" allowOverlap="0" wp14:anchorId="3EF03398" wp14:editId="1FF82536">
            <wp:simplePos x="0" y="0"/>
            <wp:positionH relativeFrom="column">
              <wp:posOffset>27432</wp:posOffset>
            </wp:positionH>
            <wp:positionV relativeFrom="paragraph">
              <wp:posOffset>132466</wp:posOffset>
            </wp:positionV>
            <wp:extent cx="27432" cy="9144"/>
            <wp:effectExtent l="0" t="0" r="0" b="0"/>
            <wp:wrapSquare wrapText="bothSides"/>
            <wp:docPr id="826586" name="Picture 826586"/>
            <wp:cNvGraphicFramePr/>
            <a:graphic xmlns:a="http://schemas.openxmlformats.org/drawingml/2006/main">
              <a:graphicData uri="http://schemas.openxmlformats.org/drawingml/2006/picture">
                <pic:pic xmlns:pic="http://schemas.openxmlformats.org/drawingml/2006/picture">
                  <pic:nvPicPr>
                    <pic:cNvPr id="826586" name="Picture 826586"/>
                    <pic:cNvPicPr/>
                  </pic:nvPicPr>
                  <pic:blipFill>
                    <a:blip r:embed="rId1163"/>
                    <a:stretch>
                      <a:fillRect/>
                    </a:stretch>
                  </pic:blipFill>
                  <pic:spPr>
                    <a:xfrm>
                      <a:off x="0" y="0"/>
                      <a:ext cx="27432" cy="9144"/>
                    </a:xfrm>
                    <a:prstGeom prst="rect">
                      <a:avLst/>
                    </a:prstGeom>
                  </pic:spPr>
                </pic:pic>
              </a:graphicData>
            </a:graphic>
          </wp:anchor>
        </w:drawing>
      </w:r>
      <w:r>
        <w:rPr>
          <w:sz w:val="26"/>
        </w:rPr>
        <w:t>Auditoría Interna -DIDAI-, del Ministerio de Educación, en el mes de julio de 2023, 1 practicó el primer seguimiento a las recomendaciones emitidas por la Contraloría General de Cuentas, y mediante Informe 0-DIDAl/SUB-084-2023-A, SIAD:</w:t>
      </w:r>
    </w:p>
    <w:p w14:paraId="23601AFF" w14:textId="77777777" w:rsidR="00053D93" w:rsidRDefault="00260B75">
      <w:pPr>
        <w:spacing w:after="489" w:line="319" w:lineRule="auto"/>
        <w:ind w:left="129" w:right="86" w:hanging="72"/>
        <w:jc w:val="both"/>
      </w:pPr>
      <w:r>
        <w:rPr>
          <w:noProof/>
        </w:rPr>
        <w:drawing>
          <wp:inline distT="0" distB="0" distL="0" distR="0" wp14:anchorId="0DB85E0A" wp14:editId="74FC5BCE">
            <wp:extent cx="32004" cy="9144"/>
            <wp:effectExtent l="0" t="0" r="0" b="0"/>
            <wp:docPr id="826587" name="Picture 826587"/>
            <wp:cNvGraphicFramePr/>
            <a:graphic xmlns:a="http://schemas.openxmlformats.org/drawingml/2006/main">
              <a:graphicData uri="http://schemas.openxmlformats.org/drawingml/2006/picture">
                <pic:pic xmlns:pic="http://schemas.openxmlformats.org/drawingml/2006/picture">
                  <pic:nvPicPr>
                    <pic:cNvPr id="826587" name="Picture 826587"/>
                    <pic:cNvPicPr/>
                  </pic:nvPicPr>
                  <pic:blipFill>
                    <a:blip r:embed="rId1164"/>
                    <a:stretch>
                      <a:fillRect/>
                    </a:stretch>
                  </pic:blipFill>
                  <pic:spPr>
                    <a:xfrm>
                      <a:off x="0" y="0"/>
                      <a:ext cx="32004" cy="9144"/>
                    </a:xfrm>
                    <a:prstGeom prst="rect">
                      <a:avLst/>
                    </a:prstGeom>
                  </pic:spPr>
                </pic:pic>
              </a:graphicData>
            </a:graphic>
          </wp:inline>
        </w:drawing>
      </w:r>
      <w:r>
        <w:rPr>
          <w:sz w:val="26"/>
        </w:rPr>
        <w:t>1 623373, estableció que dicha recomendación se encontraba en proceso de cumplimiento y que los responsables no presentaron las pruebas pertinentes que garantizaran que los estudiantes que integraron cada una de las cohortes, al 1 graduarse pudieran realizar el cierre de pensum e iniciar el proceso de graduación y así contar con el acta de graduación y el titulo respectivo.</w:t>
      </w:r>
    </w:p>
    <w:p w14:paraId="38F8658E" w14:textId="77777777" w:rsidR="00053D93" w:rsidRDefault="00260B75">
      <w:pPr>
        <w:tabs>
          <w:tab w:val="right" w:pos="10246"/>
        </w:tabs>
        <w:spacing w:after="4" w:line="269" w:lineRule="auto"/>
      </w:pPr>
      <w:r>
        <w:rPr>
          <w:sz w:val="26"/>
        </w:rPr>
        <w:t>1</w:t>
      </w:r>
      <w:r>
        <w:rPr>
          <w:sz w:val="26"/>
        </w:rPr>
        <w:tab/>
        <w:t>En segundo seguimiento a la recomendación, en Informe de Auditoría</w:t>
      </w:r>
    </w:p>
    <w:p w14:paraId="2C5CC5EA" w14:textId="77777777" w:rsidR="00053D93" w:rsidRDefault="00260B75">
      <w:pPr>
        <w:spacing w:after="456" w:line="269" w:lineRule="auto"/>
        <w:ind w:left="144" w:right="14" w:firstLine="1613"/>
        <w:jc w:val="both"/>
      </w:pPr>
      <w:r>
        <w:rPr>
          <w:noProof/>
        </w:rPr>
        <mc:AlternateContent>
          <mc:Choice Requires="wpg">
            <w:drawing>
              <wp:anchor distT="0" distB="0" distL="114300" distR="114300" simplePos="0" relativeHeight="252098560" behindDoc="0" locked="0" layoutInCell="1" allowOverlap="1" wp14:anchorId="105AD431" wp14:editId="078B1413">
                <wp:simplePos x="0" y="0"/>
                <wp:positionH relativeFrom="column">
                  <wp:posOffset>82296</wp:posOffset>
                </wp:positionH>
                <wp:positionV relativeFrom="paragraph">
                  <wp:posOffset>195052</wp:posOffset>
                </wp:positionV>
                <wp:extent cx="118872" cy="301751"/>
                <wp:effectExtent l="0" t="0" r="0" b="0"/>
                <wp:wrapSquare wrapText="bothSides"/>
                <wp:docPr id="2456522" name="Group 2456522"/>
                <wp:cNvGraphicFramePr/>
                <a:graphic xmlns:a="http://schemas.openxmlformats.org/drawingml/2006/main">
                  <a:graphicData uri="http://schemas.microsoft.com/office/word/2010/wordprocessingGroup">
                    <wpg:wgp>
                      <wpg:cNvGrpSpPr/>
                      <wpg:grpSpPr>
                        <a:xfrm>
                          <a:off x="0" y="0"/>
                          <a:ext cx="118872" cy="301751"/>
                          <a:chOff x="0" y="0"/>
                          <a:chExt cx="118872" cy="301751"/>
                        </a:xfrm>
                      </wpg:grpSpPr>
                      <wps:wsp>
                        <wps:cNvPr id="823918" name="Rectangle 823918"/>
                        <wps:cNvSpPr/>
                        <wps:spPr>
                          <a:xfrm>
                            <a:off x="0" y="0"/>
                            <a:ext cx="158100" cy="401329"/>
                          </a:xfrm>
                          <a:prstGeom prst="rect">
                            <a:avLst/>
                          </a:prstGeom>
                          <a:ln>
                            <a:noFill/>
                          </a:ln>
                        </wps:spPr>
                        <wps:txbx>
                          <w:txbxContent>
                            <w:p w14:paraId="35DE56CF"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105AD431" id="Group 2456522" o:spid="_x0000_s1449" style="position:absolute;left:0;text-align:left;margin-left:6.5pt;margin-top:15.35pt;width:9.35pt;height:23.75pt;z-index:252098560;mso-position-horizontal-relative:text;mso-position-vertical-relative:text" coordsize="118872,30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">
                <v:rect id="Rectangle 823918" o:spid="_x0000_s1450" style="position:absolute;width:158100;height:40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" filled="f" stroked="f">
                  <v:textbox inset="0,0,0,0">
                    <w:txbxContent>
                      <w:p w14:paraId="35DE56CF" w14:textId="77777777" w:rsidR="00053D93" w:rsidRDefault="00260B75">
                        <w:r>
                          <w:rPr>
                            <w:sz w:val="72"/>
                          </w:rPr>
                          <w:t>1</w:t>
                        </w:r>
                      </w:p>
                    </w:txbxContent>
                  </v:textbox>
                </v:rect>
                <w10:wrap type="square"/>
              </v:group>
            </w:pict>
          </mc:Fallback>
        </mc:AlternateContent>
      </w:r>
      <w:r>
        <w:rPr>
          <w:noProof/>
        </w:rPr>
        <mc:AlternateContent>
          <mc:Choice Requires="wpg">
            <w:drawing>
              <wp:anchor distT="0" distB="0" distL="114300" distR="114300" simplePos="0" relativeHeight="252099584" behindDoc="0" locked="0" layoutInCell="1" allowOverlap="1" wp14:anchorId="7D8DE02F" wp14:editId="46DE6F9F">
                <wp:simplePos x="0" y="0"/>
                <wp:positionH relativeFrom="column">
                  <wp:posOffset>96012</wp:posOffset>
                </wp:positionH>
                <wp:positionV relativeFrom="paragraph">
                  <wp:posOffset>1228324</wp:posOffset>
                </wp:positionV>
                <wp:extent cx="109728" cy="288036"/>
                <wp:effectExtent l="0" t="0" r="0" b="0"/>
                <wp:wrapSquare wrapText="bothSides"/>
                <wp:docPr id="2456523" name="Group 2456523"/>
                <wp:cNvGraphicFramePr/>
                <a:graphic xmlns:a="http://schemas.openxmlformats.org/drawingml/2006/main">
                  <a:graphicData uri="http://schemas.microsoft.com/office/word/2010/wordprocessingGroup">
                    <wpg:wgp>
                      <wpg:cNvGrpSpPr/>
                      <wpg:grpSpPr>
                        <a:xfrm>
                          <a:off x="0" y="0"/>
                          <a:ext cx="109728" cy="288036"/>
                          <a:chOff x="0" y="0"/>
                          <a:chExt cx="109728" cy="288036"/>
                        </a:xfrm>
                      </wpg:grpSpPr>
                      <wps:wsp>
                        <wps:cNvPr id="823920" name="Rectangle 823920"/>
                        <wps:cNvSpPr/>
                        <wps:spPr>
                          <a:xfrm>
                            <a:off x="0" y="0"/>
                            <a:ext cx="145938" cy="383088"/>
                          </a:xfrm>
                          <a:prstGeom prst="rect">
                            <a:avLst/>
                          </a:prstGeom>
                          <a:ln>
                            <a:noFill/>
                          </a:ln>
                        </wps:spPr>
                        <wps:txbx>
                          <w:txbxContent>
                            <w:p w14:paraId="19053059"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7D8DE02F" id="Group 2456523" o:spid="_x0000_s1451" style="position:absolute;left:0;text-align:left;margin-left:7.55pt;margin-top:96.7pt;width:8.65pt;height:22.7pt;z-index:252099584;mso-position-horizontal-relative:text;mso-position-vertical-relative:text" coordsize="10972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">
                <v:rect id="Rectangle 823920" o:spid="_x0000_s1452" style="position:absolute;width:145938;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" filled="f" stroked="f">
                  <v:textbox inset="0,0,0,0">
                    <w:txbxContent>
                      <w:p w14:paraId="19053059" w14:textId="77777777" w:rsidR="00053D93" w:rsidRDefault="00260B75">
                        <w:r>
                          <w:rPr>
                            <w:sz w:val="66"/>
                          </w:rPr>
                          <w:t>1</w:t>
                        </w:r>
                      </w:p>
                    </w:txbxContent>
                  </v:textbox>
                </v:rect>
                <w10:wrap type="square"/>
              </v:group>
            </w:pict>
          </mc:Fallback>
        </mc:AlternateContent>
      </w:r>
      <w:r>
        <w:rPr>
          <w:sz w:val="26"/>
        </w:rPr>
        <w:t>O-DlDAl/SUB-199-2023-A, SIAD No. 623373, del mes de noviembre de 2023, la Dirección de Auditoría Interna -DIDAI-, del Ministerio de Educación, informó que la recomendación está en proceso de implementación, y que se mantiene firme la acción correctiva, asimismo, que se carece de evidencia de acciones realizadas 1 para garantizar que la inversión del Ministerio de Educación, en los diferentes programas académicos de la Universidad de San Carlos, sea efectiva y asegure que los estudiantes al graduarse, puedan iniciar el proceso de graduación, contar con las actas de graduación y el título respectivo.</w:t>
      </w:r>
    </w:p>
    <w:tbl>
      <w:tblPr>
        <w:tblStyle w:val="TableGrid"/>
        <w:tblpPr w:vertAnchor="text" w:tblpX="2585" w:tblpY="249"/>
        <w:tblOverlap w:val="never"/>
        <w:tblW w:w="7646" w:type="dxa"/>
        <w:tblInd w:w="0" w:type="dxa"/>
        <w:tblCellMar>
          <w:top w:w="50" w:type="dxa"/>
          <w:left w:w="1750" w:type="dxa"/>
          <w:right w:w="115" w:type="dxa"/>
        </w:tblCellMar>
        <w:tblLook w:val="04A0" w:firstRow="1" w:lastRow="0" w:firstColumn="1" w:lastColumn="0" w:noHBand="0" w:noVBand="1"/>
      </w:tblPr>
      <w:tblGrid>
        <w:gridCol w:w="7646"/>
      </w:tblGrid>
      <w:tr w:rsidR="00053D93" w14:paraId="627429B7" w14:textId="77777777">
        <w:trPr>
          <w:trHeight w:val="43"/>
        </w:trPr>
        <w:tc>
          <w:tcPr>
            <w:tcW w:w="7646" w:type="dxa"/>
            <w:tcBorders>
              <w:top w:val="nil"/>
              <w:left w:val="single" w:sz="2" w:space="0" w:color="000000"/>
              <w:bottom w:val="single" w:sz="2" w:space="0" w:color="000000"/>
              <w:right w:val="nil"/>
            </w:tcBorders>
          </w:tcPr>
          <w:p w14:paraId="7E2166DD" w14:textId="77777777" w:rsidR="00053D93" w:rsidRDefault="00053D93"/>
        </w:tc>
      </w:tr>
      <w:tr w:rsidR="00053D93" w14:paraId="568C6B80" w14:textId="77777777">
        <w:trPr>
          <w:trHeight w:val="598"/>
        </w:trPr>
        <w:tc>
          <w:tcPr>
            <w:tcW w:w="7646" w:type="dxa"/>
            <w:tcBorders>
              <w:top w:val="single" w:sz="2" w:space="0" w:color="000000"/>
              <w:left w:val="single" w:sz="2" w:space="0" w:color="000000"/>
              <w:bottom w:val="nil"/>
              <w:right w:val="nil"/>
            </w:tcBorders>
          </w:tcPr>
          <w:p w14:paraId="1D712E05" w14:textId="77777777" w:rsidR="00053D93" w:rsidRDefault="00260B75">
            <w:pPr>
              <w:ind w:left="842"/>
            </w:pPr>
            <w:r>
              <w:rPr>
                <w:sz w:val="14"/>
              </w:rPr>
              <w:t>MINISTERIO DE EDUCACION</w:t>
            </w:r>
          </w:p>
          <w:p w14:paraId="19FF35CF" w14:textId="77777777" w:rsidR="00053D93" w:rsidRDefault="00260B75">
            <w:pPr>
              <w:ind w:left="338"/>
            </w:pPr>
            <w:r>
              <w:rPr>
                <w:sz w:val="14"/>
              </w:rPr>
              <w:t>AUDITORIA FINANCIERA Y DE CUMPLIMIENTO</w:t>
            </w:r>
          </w:p>
          <w:p w14:paraId="6EBFFE51" w14:textId="77777777" w:rsidR="00053D93" w:rsidRDefault="00260B75">
            <w:r>
              <w:rPr>
                <w:sz w:val="14"/>
              </w:rPr>
              <w:t>PERIODO DEL 01 OE ENERO AL 31 DE DICIEMBRE DE 2024</w:t>
            </w:r>
          </w:p>
        </w:tc>
      </w:tr>
    </w:tbl>
    <w:p w14:paraId="6404F3ED" w14:textId="77777777" w:rsidR="00053D93" w:rsidRDefault="00260B75">
      <w:pPr>
        <w:tabs>
          <w:tab w:val="right" w:pos="10246"/>
        </w:tabs>
        <w:spacing w:after="4" w:line="269" w:lineRule="auto"/>
      </w:pPr>
      <w:r>
        <w:rPr>
          <w:noProof/>
        </w:rPr>
        <w:drawing>
          <wp:anchor distT="0" distB="0" distL="114300" distR="114300" simplePos="0" relativeHeight="252100608" behindDoc="0" locked="0" layoutInCell="1" allowOverlap="0" wp14:anchorId="5E6D0D0A" wp14:editId="189A1027">
            <wp:simplePos x="0" y="0"/>
            <wp:positionH relativeFrom="column">
              <wp:posOffset>699516</wp:posOffset>
            </wp:positionH>
            <wp:positionV relativeFrom="paragraph">
              <wp:posOffset>158200</wp:posOffset>
            </wp:positionV>
            <wp:extent cx="873252" cy="406908"/>
            <wp:effectExtent l="0" t="0" r="0" b="0"/>
            <wp:wrapSquare wrapText="bothSides"/>
            <wp:docPr id="826629" name="Picture 826629"/>
            <wp:cNvGraphicFramePr/>
            <a:graphic xmlns:a="http://schemas.openxmlformats.org/drawingml/2006/main">
              <a:graphicData uri="http://schemas.openxmlformats.org/drawingml/2006/picture">
                <pic:pic xmlns:pic="http://schemas.openxmlformats.org/drawingml/2006/picture">
                  <pic:nvPicPr>
                    <pic:cNvPr id="826629" name="Picture 826629"/>
                    <pic:cNvPicPr/>
                  </pic:nvPicPr>
                  <pic:blipFill>
                    <a:blip r:embed="rId1165"/>
                    <a:stretch>
                      <a:fillRect/>
                    </a:stretch>
                  </pic:blipFill>
                  <pic:spPr>
                    <a:xfrm>
                      <a:off x="0" y="0"/>
                      <a:ext cx="873252" cy="406908"/>
                    </a:xfrm>
                    <a:prstGeom prst="rect">
                      <a:avLst/>
                    </a:prstGeom>
                  </pic:spPr>
                </pic:pic>
              </a:graphicData>
            </a:graphic>
          </wp:anchor>
        </w:drawing>
      </w:r>
      <w:r>
        <w:rPr>
          <w:sz w:val="26"/>
          <w:vertAlign w:val="superscript"/>
        </w:rPr>
        <w:t xml:space="preserve">I </w:t>
      </w:r>
      <w:r>
        <w:rPr>
          <w:sz w:val="26"/>
        </w:rPr>
        <w:t xml:space="preserve">III </w:t>
      </w:r>
      <w:r>
        <w:rPr>
          <w:sz w:val="26"/>
        </w:rPr>
        <w:tab/>
        <w:t>Por lo I anterior, se solicitó a la Ministra de Educación, en Oficio No.</w:t>
      </w:r>
    </w:p>
    <w:p w14:paraId="2D0EB08D" w14:textId="77777777" w:rsidR="00053D93" w:rsidRDefault="00260B75">
      <w:pPr>
        <w:spacing w:after="3"/>
        <w:ind w:left="168" w:right="7819" w:hanging="10"/>
      </w:pPr>
      <w:r>
        <w:rPr>
          <w:sz w:val="72"/>
        </w:rPr>
        <w:t>1</w:t>
      </w:r>
    </w:p>
    <w:p w14:paraId="2797E8D1" w14:textId="77777777" w:rsidR="00053D93" w:rsidRDefault="00260B75">
      <w:pPr>
        <w:spacing w:after="98"/>
        <w:ind w:left="1613"/>
        <w:jc w:val="center"/>
      </w:pPr>
      <w:r>
        <w:rPr>
          <w:sz w:val="12"/>
        </w:rPr>
        <w:t>1 77</w:t>
      </w:r>
    </w:p>
    <w:p w14:paraId="09CB5A5E" w14:textId="77777777" w:rsidR="00053D93" w:rsidRDefault="00260B75">
      <w:pPr>
        <w:spacing w:after="31"/>
        <w:ind w:left="1728"/>
      </w:pPr>
      <w:r>
        <w:rPr>
          <w:noProof/>
        </w:rPr>
        <mc:AlternateContent>
          <mc:Choice Requires="wpg">
            <w:drawing>
              <wp:inline distT="0" distB="0" distL="0" distR="0" wp14:anchorId="696A61A3" wp14:editId="31309045">
                <wp:extent cx="5426964" cy="13716"/>
                <wp:effectExtent l="0" t="0" r="0" b="0"/>
                <wp:docPr id="2458623" name="Group 2458623"/>
                <wp:cNvGraphicFramePr/>
                <a:graphic xmlns:a="http://schemas.openxmlformats.org/drawingml/2006/main">
                  <a:graphicData uri="http://schemas.microsoft.com/office/word/2010/wordprocessingGroup">
                    <wpg:wgp>
                      <wpg:cNvGrpSpPr/>
                      <wpg:grpSpPr>
                        <a:xfrm>
                          <a:off x="0" y="0"/>
                          <a:ext cx="5426964" cy="13716"/>
                          <a:chOff x="0" y="0"/>
                          <a:chExt cx="5426964" cy="13716"/>
                        </a:xfrm>
                      </wpg:grpSpPr>
                      <wps:wsp>
                        <wps:cNvPr id="2458622" name="Shape 2458622"/>
                        <wps:cNvSpPr/>
                        <wps:spPr>
                          <a:xfrm>
                            <a:off x="0" y="0"/>
                            <a:ext cx="5426964" cy="13716"/>
                          </a:xfrm>
                          <a:custGeom>
                            <a:avLst/>
                            <a:gdLst/>
                            <a:ahLst/>
                            <a:cxnLst/>
                            <a:rect l="0" t="0" r="0" b="0"/>
                            <a:pathLst>
                              <a:path w="5426964" h="13716">
                                <a:moveTo>
                                  <a:pt x="0" y="6858"/>
                                </a:moveTo>
                                <a:lnTo>
                                  <a:pt x="542696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23" style="width:427.32pt;height:1.07999pt;mso-position-horizontal-relative:char;mso-position-vertical-relative:line" coordsize="54269,137">
                <v:shape id="Shape 2458622" style="position:absolute;width:54269;height:137;left:0;top:0;" coordsize="5426964,13716" path="m0,6858l5426964,6858">
                  <v:stroke weight="1.07999pt" endcap="flat" joinstyle="miter" miterlimit="1" on="true" color="#000000"/>
                  <v:fill on="false" color="#000000"/>
                </v:shape>
              </v:group>
            </w:pict>
          </mc:Fallback>
        </mc:AlternateContent>
      </w:r>
    </w:p>
    <w:p w14:paraId="595683B7" w14:textId="77777777" w:rsidR="00053D93" w:rsidRDefault="00260B75">
      <w:pPr>
        <w:spacing w:after="12" w:line="308" w:lineRule="auto"/>
        <w:ind w:left="1734" w:right="101" w:hanging="1706"/>
        <w:jc w:val="both"/>
      </w:pPr>
      <w:r>
        <w:rPr>
          <w:sz w:val="26"/>
        </w:rPr>
        <w:t>1 CGC-DAS-03-0037-AFC-MlNEDUC-014-2024 del 30 de octubre de 2024, información relacionada con los resultados obtenidos de estos programas y listado de participantes, y en respuesta, el Viceministro Técnico de Educación, en Oficio VDT/679-2024 del 19 de noviembre de 2024, trasladó información de la Dirección</w:t>
      </w:r>
    </w:p>
    <w:p w14:paraId="6707ECD4" w14:textId="77777777" w:rsidR="00053D93" w:rsidRDefault="00260B75">
      <w:pPr>
        <w:spacing w:after="623" w:line="250" w:lineRule="auto"/>
        <w:ind w:left="28" w:right="86" w:firstLine="1714"/>
        <w:jc w:val="both"/>
      </w:pPr>
      <w:r>
        <w:rPr>
          <w:sz w:val="26"/>
        </w:rPr>
        <w:t>General de Educación Física -DIGEF-, en donde se adjunta el detalle de 589 1 participantes de las cohortes VI (período 2020-2022) y VII (período 2021-2023), del Programa de Formación Inicial Docente (FID), de los cuales, 312 estudiantes fueron promovidos y 277 no promovidos, asimismo, informó que se encuentran 1 pendientes de graduarse 272 estudiantes, lo anterior evidencia que no obstante, ya se realizó el pago total por [a cantidad de Q10,525,640.00, correspondiente a estas dos cohortes y no se ha dado el acompañamiento, seguimiento y monitoreo 1 del Programa de Formación Inicial Docente -FID-, para garantizar que los estudiantes que realizaron estudios en el período comprendido del 2020 al 2022 y 1 del 2021 a' 2023, correspondientes a las cohortes VI y VII, puedan continuar el proceso para graduarse y obtener el título respectivo.</w:t>
      </w:r>
    </w:p>
    <w:p w14:paraId="361569B1" w14:textId="77777777" w:rsidR="00053D93" w:rsidRDefault="00260B75">
      <w:pPr>
        <w:tabs>
          <w:tab w:val="center" w:pos="2153"/>
        </w:tabs>
        <w:spacing w:after="14" w:line="251" w:lineRule="auto"/>
      </w:pPr>
      <w:r>
        <w:rPr>
          <w:sz w:val="28"/>
        </w:rPr>
        <w:t>1</w:t>
      </w:r>
      <w:r>
        <w:rPr>
          <w:sz w:val="28"/>
        </w:rPr>
        <w:tab/>
        <w:t>Criterio</w:t>
      </w:r>
    </w:p>
    <w:p w14:paraId="6E847B9F" w14:textId="77777777" w:rsidR="00053D93" w:rsidRDefault="00260B75">
      <w:pPr>
        <w:spacing w:after="584" w:line="250" w:lineRule="auto"/>
        <w:ind w:left="94" w:right="86" w:firstLine="1670"/>
        <w:jc w:val="both"/>
      </w:pPr>
      <w:r>
        <w:rPr>
          <w:noProof/>
        </w:rPr>
        <w:drawing>
          <wp:anchor distT="0" distB="0" distL="114300" distR="114300" simplePos="0" relativeHeight="252101632" behindDoc="0" locked="0" layoutInCell="1" allowOverlap="0" wp14:anchorId="2F1B69AE" wp14:editId="49B1FE0B">
            <wp:simplePos x="0" y="0"/>
            <wp:positionH relativeFrom="column">
              <wp:posOffset>3095244</wp:posOffset>
            </wp:positionH>
            <wp:positionV relativeFrom="paragraph">
              <wp:posOffset>4072388</wp:posOffset>
            </wp:positionV>
            <wp:extent cx="9144" cy="45720"/>
            <wp:effectExtent l="0" t="0" r="0" b="0"/>
            <wp:wrapSquare wrapText="bothSides"/>
            <wp:docPr id="830325" name="Picture 830325"/>
            <wp:cNvGraphicFramePr/>
            <a:graphic xmlns:a="http://schemas.openxmlformats.org/drawingml/2006/main">
              <a:graphicData uri="http://schemas.openxmlformats.org/drawingml/2006/picture">
                <pic:pic xmlns:pic="http://schemas.openxmlformats.org/drawingml/2006/picture">
                  <pic:nvPicPr>
                    <pic:cNvPr id="830325" name="Picture 830325"/>
                    <pic:cNvPicPr/>
                  </pic:nvPicPr>
                  <pic:blipFill>
                    <a:blip r:embed="rId1166"/>
                    <a:stretch>
                      <a:fillRect/>
                    </a:stretch>
                  </pic:blipFill>
                  <pic:spPr>
                    <a:xfrm>
                      <a:off x="0" y="0"/>
                      <a:ext cx="9144" cy="45720"/>
                    </a:xfrm>
                    <a:prstGeom prst="rect">
                      <a:avLst/>
                    </a:prstGeom>
                  </pic:spPr>
                </pic:pic>
              </a:graphicData>
            </a:graphic>
          </wp:anchor>
        </w:drawing>
      </w:r>
      <w:r>
        <w:rPr>
          <w:sz w:val="26"/>
        </w:rPr>
        <w:t>El Acuerdo Gubernativo No. 96-2019, del Presidente de la República, Reglamento de la Ley Orgánica de la Contraloría General de Cuentas, artículo 47. Auditoría Interna, establece: "Es una actividad independiente y objetiva de aseguramiento y consulta, concebida para agregar valor y mejorar a través de sus 1 recomendaciones, las operaciones de las entidades contenidas en el artículo 2 de la Ley, con la finalidad que la autoridad superior de la entidad cumpla con sus objetivos institucionales, aplicando técnicas y metodologías para evaluar la 1 efectividad en la administración de los recursos públicos..." Artículo 66. Seguimiento a las Recomendaciones de Auditoría, establece: "Las 1 recomendaciones de auditoría deben ser iniciadas o aplicadas, según corresponda, de manera inmediata y obligatoria por la autoridad administrativa superior de la entidad auditada; su incumplimiento es objeto de sanción según el 1 artículo 39 de la Ley. El auditor interno de la entidad auditada tendrá diez días hábiles contados a partir del día siguiente de notificada a la autoridad administrativa superior de la entidad auditada, para verificar las acciones que se 1 han realizado para atender las recomendaciones, debiendo informar por escrito a la autoridad administrativa superior de la entidad auditada y a la Contraloría. La Contraloría a través de su dependencia específica dará seguimiento a las auditorías realizadas por los auditores gubernamentales, [as unidades de auditoría interna de las entidades del sector público, firmas de auditoría y profesionales 1 independientes, para comprobar las acciones realizadas para atender las recomendaciones respectivas.'</w:t>
      </w:r>
    </w:p>
    <w:p w14:paraId="6B87782C" w14:textId="77777777" w:rsidR="00053D93" w:rsidRDefault="00260B75">
      <w:pPr>
        <w:spacing w:after="299" w:line="300" w:lineRule="auto"/>
        <w:ind w:left="1728" w:right="94" w:hanging="1577"/>
        <w:jc w:val="both"/>
      </w:pPr>
      <w:r>
        <w:rPr>
          <w:sz w:val="26"/>
        </w:rPr>
        <w:t>1 El Acuerdo Gubernativo Número 247-2017, del Presidente de la República, Acuerda Formación de Docentes de Nivel de Educación Primaria, Artículo 1. Formación de Docentes de Nivel de Educación Primaria, establece: "La formación</w:t>
      </w:r>
    </w:p>
    <w:tbl>
      <w:tblPr>
        <w:tblStyle w:val="TableGrid"/>
        <w:tblpPr w:vertAnchor="text" w:tblpX="2560"/>
        <w:tblOverlap w:val="never"/>
        <w:tblW w:w="7664" w:type="dxa"/>
        <w:tblInd w:w="0" w:type="dxa"/>
        <w:tblCellMar>
          <w:top w:w="24" w:type="dxa"/>
          <w:left w:w="1775" w:type="dxa"/>
          <w:right w:w="115" w:type="dxa"/>
        </w:tblCellMar>
        <w:tblLook w:val="04A0" w:firstRow="1" w:lastRow="0" w:firstColumn="1" w:lastColumn="0" w:noHBand="0" w:noVBand="1"/>
      </w:tblPr>
      <w:tblGrid>
        <w:gridCol w:w="7664"/>
      </w:tblGrid>
      <w:tr w:rsidR="00053D93" w14:paraId="509B0B7F" w14:textId="77777777">
        <w:trPr>
          <w:trHeight w:val="43"/>
        </w:trPr>
        <w:tc>
          <w:tcPr>
            <w:tcW w:w="7664" w:type="dxa"/>
            <w:tcBorders>
              <w:top w:val="nil"/>
              <w:left w:val="single" w:sz="2" w:space="0" w:color="000000"/>
              <w:bottom w:val="single" w:sz="2" w:space="0" w:color="000000"/>
              <w:right w:val="nil"/>
            </w:tcBorders>
          </w:tcPr>
          <w:p w14:paraId="471A221A" w14:textId="77777777" w:rsidR="00053D93" w:rsidRDefault="00053D93"/>
        </w:tc>
      </w:tr>
      <w:tr w:rsidR="00053D93" w14:paraId="38258667" w14:textId="77777777">
        <w:trPr>
          <w:trHeight w:val="605"/>
        </w:trPr>
        <w:tc>
          <w:tcPr>
            <w:tcW w:w="7664" w:type="dxa"/>
            <w:tcBorders>
              <w:top w:val="single" w:sz="2" w:space="0" w:color="000000"/>
              <w:left w:val="single" w:sz="2" w:space="0" w:color="000000"/>
              <w:bottom w:val="nil"/>
              <w:right w:val="nil"/>
            </w:tcBorders>
          </w:tcPr>
          <w:p w14:paraId="6714EEFC" w14:textId="77777777" w:rsidR="00053D93" w:rsidRDefault="00260B75">
            <w:pPr>
              <w:ind w:left="828"/>
            </w:pPr>
            <w:r>
              <w:rPr>
                <w:sz w:val="14"/>
              </w:rPr>
              <w:t>MINISTERIO DE EDUCACION</w:t>
            </w:r>
          </w:p>
          <w:p w14:paraId="2921304F" w14:textId="77777777" w:rsidR="00053D93" w:rsidRDefault="00260B75">
            <w:pPr>
              <w:ind w:left="331"/>
            </w:pPr>
            <w:r>
              <w:rPr>
                <w:sz w:val="14"/>
              </w:rPr>
              <w:t>AUDITORIA FINANCIERA Y DE CUMPLIMIENTO</w:t>
            </w:r>
          </w:p>
          <w:p w14:paraId="79471CB7" w14:textId="77777777" w:rsidR="00053D93" w:rsidRDefault="00260B75">
            <w:r>
              <w:rPr>
                <w:sz w:val="14"/>
              </w:rPr>
              <w:t>PERIODO DEL 01 DE ENERO AL 31 DE DICIEMBRE OE 2024</w:t>
            </w:r>
          </w:p>
        </w:tc>
      </w:tr>
    </w:tbl>
    <w:p w14:paraId="12A1E2E1" w14:textId="77777777" w:rsidR="00053D93" w:rsidRDefault="00260B75">
      <w:pPr>
        <w:spacing w:after="3"/>
        <w:ind w:left="176" w:right="65" w:hanging="10"/>
      </w:pPr>
      <w:r>
        <w:rPr>
          <w:sz w:val="72"/>
        </w:rPr>
        <w:t xml:space="preserve">1 </w:t>
      </w:r>
      <w:r>
        <w:rPr>
          <w:noProof/>
        </w:rPr>
        <w:drawing>
          <wp:inline distT="0" distB="0" distL="0" distR="0" wp14:anchorId="4C6BD0ED" wp14:editId="5F3AE146">
            <wp:extent cx="1069848" cy="411480"/>
            <wp:effectExtent l="0" t="0" r="0" b="0"/>
            <wp:docPr id="830379" name="Picture 830379"/>
            <wp:cNvGraphicFramePr/>
            <a:graphic xmlns:a="http://schemas.openxmlformats.org/drawingml/2006/main">
              <a:graphicData uri="http://schemas.openxmlformats.org/drawingml/2006/picture">
                <pic:pic xmlns:pic="http://schemas.openxmlformats.org/drawingml/2006/picture">
                  <pic:nvPicPr>
                    <pic:cNvPr id="830379" name="Picture 830379"/>
                    <pic:cNvPicPr/>
                  </pic:nvPicPr>
                  <pic:blipFill>
                    <a:blip r:embed="rId1167"/>
                    <a:stretch>
                      <a:fillRect/>
                    </a:stretch>
                  </pic:blipFill>
                  <pic:spPr>
                    <a:xfrm>
                      <a:off x="0" y="0"/>
                      <a:ext cx="1069848" cy="411480"/>
                    </a:xfrm>
                    <a:prstGeom prst="rect">
                      <a:avLst/>
                    </a:prstGeom>
                  </pic:spPr>
                </pic:pic>
              </a:graphicData>
            </a:graphic>
          </wp:inline>
        </w:drawing>
      </w:r>
    </w:p>
    <w:p w14:paraId="678993D3" w14:textId="77777777" w:rsidR="00053D93" w:rsidRDefault="00260B75">
      <w:pPr>
        <w:spacing w:after="1"/>
        <w:ind w:left="1512"/>
      </w:pPr>
      <w:r>
        <w:rPr>
          <w:noProof/>
        </w:rPr>
        <w:drawing>
          <wp:inline distT="0" distB="0" distL="0" distR="0" wp14:anchorId="70E117B6" wp14:editId="0657A6CB">
            <wp:extent cx="5513832" cy="91440"/>
            <wp:effectExtent l="0" t="0" r="0" b="0"/>
            <wp:docPr id="2458625" name="Picture 2458625"/>
            <wp:cNvGraphicFramePr/>
            <a:graphic xmlns:a="http://schemas.openxmlformats.org/drawingml/2006/main">
              <a:graphicData uri="http://schemas.openxmlformats.org/drawingml/2006/picture">
                <pic:pic xmlns:pic="http://schemas.openxmlformats.org/drawingml/2006/picture">
                  <pic:nvPicPr>
                    <pic:cNvPr id="2458625" name="Picture 2458625"/>
                    <pic:cNvPicPr/>
                  </pic:nvPicPr>
                  <pic:blipFill>
                    <a:blip r:embed="rId1168"/>
                    <a:stretch>
                      <a:fillRect/>
                    </a:stretch>
                  </pic:blipFill>
                  <pic:spPr>
                    <a:xfrm>
                      <a:off x="0" y="0"/>
                      <a:ext cx="5513832" cy="91440"/>
                    </a:xfrm>
                    <a:prstGeom prst="rect">
                      <a:avLst/>
                    </a:prstGeom>
                  </pic:spPr>
                </pic:pic>
              </a:graphicData>
            </a:graphic>
          </wp:inline>
        </w:drawing>
      </w:r>
    </w:p>
    <w:p w14:paraId="23F8E770" w14:textId="77777777" w:rsidR="00053D93" w:rsidRDefault="00260B75">
      <w:pPr>
        <w:spacing w:after="459" w:line="269" w:lineRule="auto"/>
        <w:ind w:left="60" w:right="14" w:hanging="3"/>
        <w:jc w:val="both"/>
      </w:pPr>
      <w:r>
        <w:rPr>
          <w:noProof/>
        </w:rPr>
        <w:drawing>
          <wp:anchor distT="0" distB="0" distL="114300" distR="114300" simplePos="0" relativeHeight="252102656" behindDoc="0" locked="0" layoutInCell="1" allowOverlap="0" wp14:anchorId="6BA66F05" wp14:editId="6AFDF246">
            <wp:simplePos x="0" y="0"/>
            <wp:positionH relativeFrom="column">
              <wp:posOffset>5152644</wp:posOffset>
            </wp:positionH>
            <wp:positionV relativeFrom="paragraph">
              <wp:posOffset>1169961</wp:posOffset>
            </wp:positionV>
            <wp:extent cx="41147" cy="45720"/>
            <wp:effectExtent l="0" t="0" r="0" b="0"/>
            <wp:wrapSquare wrapText="bothSides"/>
            <wp:docPr id="2458627" name="Picture 2458627"/>
            <wp:cNvGraphicFramePr/>
            <a:graphic xmlns:a="http://schemas.openxmlformats.org/drawingml/2006/main">
              <a:graphicData uri="http://schemas.openxmlformats.org/drawingml/2006/picture">
                <pic:pic xmlns:pic="http://schemas.openxmlformats.org/drawingml/2006/picture">
                  <pic:nvPicPr>
                    <pic:cNvPr id="2458627" name="Picture 2458627"/>
                    <pic:cNvPicPr/>
                  </pic:nvPicPr>
                  <pic:blipFill>
                    <a:blip r:embed="rId1169"/>
                    <a:stretch>
                      <a:fillRect/>
                    </a:stretch>
                  </pic:blipFill>
                  <pic:spPr>
                    <a:xfrm>
                      <a:off x="0" y="0"/>
                      <a:ext cx="41147" cy="45720"/>
                    </a:xfrm>
                    <a:prstGeom prst="rect">
                      <a:avLst/>
                    </a:prstGeom>
                  </pic:spPr>
                </pic:pic>
              </a:graphicData>
            </a:graphic>
          </wp:anchor>
        </w:drawing>
      </w:r>
      <w:r>
        <w:rPr>
          <w:sz w:val="26"/>
        </w:rPr>
        <w:t>1 de docentes de nivel primario deberá cursarse en dos etapas: a) la primera cursada en el ciclo diversificado del nivel medio, autorizado por el Ministerio de Educación y b) complementada, por una segunda, a nivel universitario." Artículo 4. 1 Validación, establece: "De manera expresa queda con plena validez y vigencia las Carreras de Bachillerato en Ciencias y Letras con Orientación en Educación y sus especialidades: ...c) con Orientación en Educación Física desde su constitución, por lo que los títulos o diplomas contenidos mantienen validez.</w:t>
      </w:r>
    </w:p>
    <w:p w14:paraId="1ED368BD" w14:textId="77777777" w:rsidR="00053D93" w:rsidRDefault="00260B75">
      <w:pPr>
        <w:spacing w:after="541" w:line="269" w:lineRule="auto"/>
        <w:ind w:left="60" w:right="14" w:hanging="3"/>
        <w:jc w:val="both"/>
      </w:pPr>
      <w:r>
        <w:rPr>
          <w:sz w:val="26"/>
        </w:rPr>
        <w:t xml:space="preserve">1 El Convenio Marco de Cooperación suscrito entre el Ministerio de Educación y la Universidad de San Carlos de Guatemala, cláusula quinta, Obligaciones de las partes, establece: "Del MINISTERIO: ...f) dar seguimiento a todas las actividades 1 que se realicen. De la USAC: ... f) dar seguimiento y evaluar todos los programas o actividades que se realicen en el marco del presente Convenio... h) extender los 1 créditos educativos y/o constancias o diplomas que se convengan como resultado de los procesos de formación académica..." Cláusula Séptima, Coordinación, Supervisión y Evaluación, establece: "Para garantizar el logro de los objetivos del </w:t>
      </w:r>
      <w:r>
        <w:rPr>
          <w:noProof/>
        </w:rPr>
        <mc:AlternateContent>
          <mc:Choice Requires="wpg">
            <w:drawing>
              <wp:inline distT="0" distB="0" distL="0" distR="0" wp14:anchorId="2B445128" wp14:editId="76EA2A65">
                <wp:extent cx="109728" cy="297180"/>
                <wp:effectExtent l="0" t="0" r="0" b="0"/>
                <wp:docPr id="2456533" name="Group 2456533"/>
                <wp:cNvGraphicFramePr/>
                <a:graphic xmlns:a="http://schemas.openxmlformats.org/drawingml/2006/main">
                  <a:graphicData uri="http://schemas.microsoft.com/office/word/2010/wordprocessingGroup">
                    <wpg:wgp>
                      <wpg:cNvGrpSpPr/>
                      <wpg:grpSpPr>
                        <a:xfrm>
                          <a:off x="0" y="0"/>
                          <a:ext cx="109728" cy="297180"/>
                          <a:chOff x="0" y="0"/>
                          <a:chExt cx="109728" cy="297180"/>
                        </a:xfrm>
                      </wpg:grpSpPr>
                      <wps:wsp>
                        <wps:cNvPr id="830996" name="Rectangle 830996"/>
                        <wps:cNvSpPr/>
                        <wps:spPr>
                          <a:xfrm>
                            <a:off x="0" y="0"/>
                            <a:ext cx="145938" cy="395250"/>
                          </a:xfrm>
                          <a:prstGeom prst="rect">
                            <a:avLst/>
                          </a:prstGeom>
                          <a:ln>
                            <a:noFill/>
                          </a:ln>
                        </wps:spPr>
                        <wps:txbx>
                          <w:txbxContent>
                            <w:p w14:paraId="1E98BC69"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2B445128" id="Group 2456533" o:spid="_x0000_s1453" style="width:8.65pt;height:23.4pt;mso-position-horizontal-relative:char;mso-position-vertical-relative:line" coordsize="109728,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">
                <v:rect id="Rectangle 830996" o:spid="_x0000_s1454" style="position:absolute;width:145938;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" filled="f" stroked="f">
                  <v:textbox inset="0,0,0,0">
                    <w:txbxContent>
                      <w:p w14:paraId="1E98BC69" w14:textId="77777777" w:rsidR="00053D93" w:rsidRDefault="00260B75">
                        <w:r>
                          <w:rPr>
                            <w:sz w:val="66"/>
                          </w:rPr>
                          <w:t>1</w:t>
                        </w:r>
                      </w:p>
                    </w:txbxContent>
                  </v:textbox>
                </v:rect>
                <w10:anchorlock/>
              </v:group>
            </w:pict>
          </mc:Fallback>
        </mc:AlternateContent>
      </w:r>
      <w:r>
        <w:rPr>
          <w:sz w:val="26"/>
        </w:rPr>
        <w:t xml:space="preserve"> presente Convenio, las partes signatarias mantendrán una estrecha coordinación a efecto de determinar los mecanismos específicos de monitoreo y evaluación...</w:t>
      </w:r>
      <w:r>
        <w:rPr>
          <w:noProof/>
        </w:rPr>
        <w:drawing>
          <wp:inline distT="0" distB="0" distL="0" distR="0" wp14:anchorId="10694DBE" wp14:editId="32D83EFA">
            <wp:extent cx="41147" cy="45720"/>
            <wp:effectExtent l="0" t="0" r="0" b="0"/>
            <wp:docPr id="2458629" name="Picture 2458629"/>
            <wp:cNvGraphicFramePr/>
            <a:graphic xmlns:a="http://schemas.openxmlformats.org/drawingml/2006/main">
              <a:graphicData uri="http://schemas.openxmlformats.org/drawingml/2006/picture">
                <pic:pic xmlns:pic="http://schemas.openxmlformats.org/drawingml/2006/picture">
                  <pic:nvPicPr>
                    <pic:cNvPr id="2458629" name="Picture 2458629"/>
                    <pic:cNvPicPr/>
                  </pic:nvPicPr>
                  <pic:blipFill>
                    <a:blip r:embed="rId1170"/>
                    <a:stretch>
                      <a:fillRect/>
                    </a:stretch>
                  </pic:blipFill>
                  <pic:spPr>
                    <a:xfrm>
                      <a:off x="0" y="0"/>
                      <a:ext cx="41147" cy="45720"/>
                    </a:xfrm>
                    <a:prstGeom prst="rect">
                      <a:avLst/>
                    </a:prstGeom>
                  </pic:spPr>
                </pic:pic>
              </a:graphicData>
            </a:graphic>
          </wp:inline>
        </w:drawing>
      </w:r>
    </w:p>
    <w:p w14:paraId="2F65E537" w14:textId="77777777" w:rsidR="00053D93" w:rsidRDefault="00260B75">
      <w:pPr>
        <w:spacing w:after="596" w:line="269" w:lineRule="auto"/>
        <w:ind w:left="60" w:right="14" w:hanging="3"/>
        <w:jc w:val="both"/>
      </w:pPr>
      <w:r>
        <w:rPr>
          <w:noProof/>
        </w:rPr>
        <mc:AlternateContent>
          <mc:Choice Requires="wpg">
            <w:drawing>
              <wp:anchor distT="0" distB="0" distL="114300" distR="114300" simplePos="0" relativeHeight="252103680" behindDoc="0" locked="0" layoutInCell="1" allowOverlap="1" wp14:anchorId="2CF4C534" wp14:editId="453E2133">
                <wp:simplePos x="0" y="0"/>
                <wp:positionH relativeFrom="column">
                  <wp:posOffset>64008</wp:posOffset>
                </wp:positionH>
                <wp:positionV relativeFrom="paragraph">
                  <wp:posOffset>392156</wp:posOffset>
                </wp:positionV>
                <wp:extent cx="114300" cy="301752"/>
                <wp:effectExtent l="0" t="0" r="0" b="0"/>
                <wp:wrapSquare wrapText="bothSides"/>
                <wp:docPr id="2456534" name="Group 2456534"/>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830998" name="Rectangle 830998"/>
                        <wps:cNvSpPr/>
                        <wps:spPr>
                          <a:xfrm>
                            <a:off x="0" y="0"/>
                            <a:ext cx="152019" cy="401330"/>
                          </a:xfrm>
                          <a:prstGeom prst="rect">
                            <a:avLst/>
                          </a:prstGeom>
                          <a:ln>
                            <a:noFill/>
                          </a:ln>
                        </wps:spPr>
                        <wps:txbx>
                          <w:txbxContent>
                            <w:p w14:paraId="3CEC2EEE"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2CF4C534" id="Group 2456534" o:spid="_x0000_s1455" style="position:absolute;left:0;text-align:left;margin-left:5.05pt;margin-top:30.9pt;width:9pt;height:23.75pt;z-index:252103680;mso-position-horizontal-relative:text;mso-position-vertical-relative:text"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">
                <v:rect id="Rectangle 830998" o:spid="_x0000_s1456"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" filled="f" stroked="f">
                  <v:textbox inset="0,0,0,0">
                    <w:txbxContent>
                      <w:p w14:paraId="3CEC2EEE" w14:textId="77777777" w:rsidR="00053D93" w:rsidRDefault="00260B75">
                        <w:r>
                          <w:rPr>
                            <w:sz w:val="70"/>
                          </w:rPr>
                          <w:t>1</w:t>
                        </w:r>
                      </w:p>
                    </w:txbxContent>
                  </v:textbox>
                </v:rect>
                <w10:wrap type="square"/>
              </v:group>
            </w:pict>
          </mc:Fallback>
        </mc:AlternateContent>
      </w:r>
      <w:r>
        <w:rPr>
          <w:sz w:val="26"/>
        </w:rPr>
        <w:t xml:space="preserve">1 El Convenio Específico de Cooperación para la Transición de la Formación Inicial de Docentes a Nivel Superior en la República de Guatemala, Cláusula tercera, Programa de Formación Inicial de Docentes, establece: "Los Bachilleres en Ciencias y Letras con orientación en educación que deseen proseguir su formación docente en un nivel superior acudirán, para completar su formación, a la 1 Universidad de San Carlos de Guatemala, optando, después de tres años de estudio, al título, a nivel intermedio (pre-grado), de Profesor de Educación Primaria, según la modalidad y especialidad que corresponda..." Cláusula quinta, 1 Obligaciones y compromisos de las partes, establece: ' . por medio del Ministerio de Educación se compromete a: ...2. Propiciar un acompañamiento y evaluación permanente en cuanto a la formación iniciat docente en virtud que ésta representa una estrategia clave a favor del desarrollo de la sociedad... B) la Universidad de San Carlos se compromete a: ...5. Otorgar los créditos y diplomas </w:t>
      </w:r>
      <w:r>
        <w:rPr>
          <w:noProof/>
        </w:rPr>
        <mc:AlternateContent>
          <mc:Choice Requires="wpg">
            <w:drawing>
              <wp:inline distT="0" distB="0" distL="0" distR="0" wp14:anchorId="7B8C7C0A" wp14:editId="577F75A8">
                <wp:extent cx="118872" cy="306324"/>
                <wp:effectExtent l="0" t="0" r="0" b="0"/>
                <wp:docPr id="2456535" name="Group 2456535"/>
                <wp:cNvGraphicFramePr/>
                <a:graphic xmlns:a="http://schemas.openxmlformats.org/drawingml/2006/main">
                  <a:graphicData uri="http://schemas.microsoft.com/office/word/2010/wordprocessingGroup">
                    <wpg:wgp>
                      <wpg:cNvGrpSpPr/>
                      <wpg:grpSpPr>
                        <a:xfrm>
                          <a:off x="0" y="0"/>
                          <a:ext cx="118872" cy="306324"/>
                          <a:chOff x="0" y="0"/>
                          <a:chExt cx="118872" cy="306324"/>
                        </a:xfrm>
                      </wpg:grpSpPr>
                      <wps:wsp>
                        <wps:cNvPr id="831001" name="Rectangle 831001"/>
                        <wps:cNvSpPr/>
                        <wps:spPr>
                          <a:xfrm>
                            <a:off x="0" y="0"/>
                            <a:ext cx="158100" cy="407411"/>
                          </a:xfrm>
                          <a:prstGeom prst="rect">
                            <a:avLst/>
                          </a:prstGeom>
                          <a:ln>
                            <a:noFill/>
                          </a:ln>
                        </wps:spPr>
                        <wps:txbx>
                          <w:txbxContent>
                            <w:p w14:paraId="33C4F882"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B8C7C0A" id="Group 2456535" o:spid="_x0000_s1457" style="width:9.35pt;height:24.1pt;mso-position-horizontal-relative:char;mso-position-vertical-relative:line" coordsize="11887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">
                <v:rect id="Rectangle 831001" o:spid="_x0000_s1458" style="position:absolute;width:158100;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" filled="f" stroked="f">
                  <v:textbox inset="0,0,0,0">
                    <w:txbxContent>
                      <w:p w14:paraId="33C4F882" w14:textId="77777777" w:rsidR="00053D93" w:rsidRDefault="00260B75">
                        <w:r>
                          <w:rPr>
                            <w:sz w:val="70"/>
                          </w:rPr>
                          <w:t>1</w:t>
                        </w:r>
                      </w:p>
                    </w:txbxContent>
                  </v:textbox>
                </v:rect>
                <w10:anchorlock/>
              </v:group>
            </w:pict>
          </mc:Fallback>
        </mc:AlternateContent>
      </w:r>
      <w:r>
        <w:rPr>
          <w:sz w:val="26"/>
        </w:rPr>
        <w:t xml:space="preserve"> correspondientes a todos los egresados en los distintos programas y carreras que se ofrezcan...</w:t>
      </w:r>
      <w:r>
        <w:rPr>
          <w:noProof/>
        </w:rPr>
        <w:drawing>
          <wp:inline distT="0" distB="0" distL="0" distR="0" wp14:anchorId="4FD188C5" wp14:editId="3478C622">
            <wp:extent cx="36576" cy="36576"/>
            <wp:effectExtent l="0" t="0" r="0" b="0"/>
            <wp:docPr id="833903" name="Picture 833903"/>
            <wp:cNvGraphicFramePr/>
            <a:graphic xmlns:a="http://schemas.openxmlformats.org/drawingml/2006/main">
              <a:graphicData uri="http://schemas.openxmlformats.org/drawingml/2006/picture">
                <pic:pic xmlns:pic="http://schemas.openxmlformats.org/drawingml/2006/picture">
                  <pic:nvPicPr>
                    <pic:cNvPr id="833903" name="Picture 833903"/>
                    <pic:cNvPicPr/>
                  </pic:nvPicPr>
                  <pic:blipFill>
                    <a:blip r:embed="rId1171"/>
                    <a:stretch>
                      <a:fillRect/>
                    </a:stretch>
                  </pic:blipFill>
                  <pic:spPr>
                    <a:xfrm>
                      <a:off x="0" y="0"/>
                      <a:ext cx="36576" cy="36576"/>
                    </a:xfrm>
                    <a:prstGeom prst="rect">
                      <a:avLst/>
                    </a:prstGeom>
                  </pic:spPr>
                </pic:pic>
              </a:graphicData>
            </a:graphic>
          </wp:inline>
        </w:drawing>
      </w:r>
    </w:p>
    <w:p w14:paraId="73173E8D" w14:textId="77777777" w:rsidR="00053D93" w:rsidRDefault="00260B75">
      <w:pPr>
        <w:pStyle w:val="Ttulo3"/>
        <w:tabs>
          <w:tab w:val="center" w:pos="2074"/>
        </w:tabs>
        <w:spacing w:after="4" w:line="253" w:lineRule="auto"/>
        <w:ind w:left="0" w:right="0" w:firstLine="0"/>
        <w:jc w:val="left"/>
      </w:pPr>
      <w:r>
        <w:t>1</w:t>
      </w:r>
      <w:r>
        <w:tab/>
        <w:t>Causa</w:t>
      </w:r>
    </w:p>
    <w:p w14:paraId="5DC7A3AD" w14:textId="77777777" w:rsidR="00053D93" w:rsidRDefault="00260B75">
      <w:pPr>
        <w:spacing w:after="4" w:line="269" w:lineRule="auto"/>
        <w:ind w:left="166" w:right="14" w:firstLine="1577"/>
        <w:jc w:val="both"/>
      </w:pPr>
      <w:r>
        <w:rPr>
          <w:sz w:val="26"/>
        </w:rPr>
        <w:t>El Coordinador Curricular, del Departamento de Formación Técnica Metodológica, 1 no realizó acciones suficientes para dar acompañamiento, seguimiento y monitoreo del Programa de Formación Inicial Docente -FID-, para cumplir con la recomendación de la Contraloría General de Cuentas.</w:t>
      </w:r>
    </w:p>
    <w:p w14:paraId="4EDF18CF" w14:textId="77777777" w:rsidR="00053D93" w:rsidRDefault="00260B75">
      <w:pPr>
        <w:spacing w:after="0"/>
        <w:ind w:left="173"/>
      </w:pPr>
      <w:r>
        <w:rPr>
          <w:noProof/>
        </w:rPr>
        <mc:AlternateContent>
          <mc:Choice Requires="wpg">
            <w:drawing>
              <wp:inline distT="0" distB="0" distL="0" distR="0" wp14:anchorId="1855D4A8" wp14:editId="2FCBDD64">
                <wp:extent cx="118872" cy="301751"/>
                <wp:effectExtent l="0" t="0" r="0" b="0"/>
                <wp:docPr id="2456536" name="Group 2456536"/>
                <wp:cNvGraphicFramePr/>
                <a:graphic xmlns:a="http://schemas.openxmlformats.org/drawingml/2006/main">
                  <a:graphicData uri="http://schemas.microsoft.com/office/word/2010/wordprocessingGroup">
                    <wpg:wgp>
                      <wpg:cNvGrpSpPr/>
                      <wpg:grpSpPr>
                        <a:xfrm>
                          <a:off x="0" y="0"/>
                          <a:ext cx="118872" cy="301751"/>
                          <a:chOff x="0" y="0"/>
                          <a:chExt cx="118872" cy="301751"/>
                        </a:xfrm>
                      </wpg:grpSpPr>
                      <wps:wsp>
                        <wps:cNvPr id="831004" name="Rectangle 831004"/>
                        <wps:cNvSpPr/>
                        <wps:spPr>
                          <a:xfrm>
                            <a:off x="0" y="0"/>
                            <a:ext cx="158100" cy="401329"/>
                          </a:xfrm>
                          <a:prstGeom prst="rect">
                            <a:avLst/>
                          </a:prstGeom>
                          <a:ln>
                            <a:noFill/>
                          </a:ln>
                        </wps:spPr>
                        <wps:txbx>
                          <w:txbxContent>
                            <w:p w14:paraId="5B3C3612"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1855D4A8" id="Group 2456536" o:spid="_x0000_s1459" style="width:9.35pt;height:23.75pt;mso-position-horizontal-relative:char;mso-position-vertical-relative:line" coordsize="118872,30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">
                <v:rect id="Rectangle 831004" o:spid="_x0000_s1460" style="position:absolute;width:158100;height:40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" filled="f" stroked="f">
                  <v:textbox inset="0,0,0,0">
                    <w:txbxContent>
                      <w:p w14:paraId="5B3C3612" w14:textId="77777777" w:rsidR="00053D93" w:rsidRDefault="00260B75">
                        <w:r>
                          <w:rPr>
                            <w:sz w:val="70"/>
                          </w:rPr>
                          <w:t>1</w:t>
                        </w:r>
                      </w:p>
                    </w:txbxContent>
                  </v:textbox>
                </v:rect>
                <w10:anchorlock/>
              </v:group>
            </w:pict>
          </mc:Fallback>
        </mc:AlternateContent>
      </w:r>
    </w:p>
    <w:p w14:paraId="5FC7ABCB" w14:textId="77777777" w:rsidR="00053D93" w:rsidRDefault="00260B75">
      <w:pPr>
        <w:spacing w:after="4" w:line="269" w:lineRule="auto"/>
        <w:ind w:left="176" w:right="14" w:hanging="3"/>
        <w:jc w:val="both"/>
      </w:pPr>
      <w:r>
        <w:rPr>
          <w:sz w:val="26"/>
        </w:rPr>
        <w:t>El Jefe del Departamento de Formación Técnica Metodológica, de la Coordinación Curricular, no realizó las acciones necesarias para asegurar el cumplimiento a la</w:t>
      </w:r>
    </w:p>
    <w:tbl>
      <w:tblPr>
        <w:tblStyle w:val="TableGrid"/>
        <w:tblW w:w="9432" w:type="dxa"/>
        <w:tblInd w:w="785" w:type="dxa"/>
        <w:tblLook w:val="04A0" w:firstRow="1" w:lastRow="0" w:firstColumn="1" w:lastColumn="0" w:noHBand="0" w:noVBand="1"/>
      </w:tblPr>
      <w:tblGrid>
        <w:gridCol w:w="1293"/>
        <w:gridCol w:w="8167"/>
      </w:tblGrid>
      <w:tr w:rsidR="00053D93" w14:paraId="585E0AA3" w14:textId="77777777">
        <w:trPr>
          <w:trHeight w:val="641"/>
        </w:trPr>
        <w:tc>
          <w:tcPr>
            <w:tcW w:w="1795" w:type="dxa"/>
            <w:tcBorders>
              <w:top w:val="nil"/>
              <w:left w:val="nil"/>
              <w:bottom w:val="nil"/>
              <w:right w:val="nil"/>
            </w:tcBorders>
          </w:tcPr>
          <w:p w14:paraId="0A16687C" w14:textId="77777777" w:rsidR="00053D93" w:rsidRDefault="00260B75">
            <w:r>
              <w:rPr>
                <w:noProof/>
              </w:rPr>
              <w:drawing>
                <wp:inline distT="0" distB="0" distL="0" distR="0" wp14:anchorId="3AF90D2F" wp14:editId="7F7BA554">
                  <wp:extent cx="1129284" cy="406907"/>
                  <wp:effectExtent l="0" t="0" r="0" b="0"/>
                  <wp:docPr id="833996" name="Picture 833996"/>
                  <wp:cNvGraphicFramePr/>
                  <a:graphic xmlns:a="http://schemas.openxmlformats.org/drawingml/2006/main">
                    <a:graphicData uri="http://schemas.openxmlformats.org/drawingml/2006/picture">
                      <pic:pic xmlns:pic="http://schemas.openxmlformats.org/drawingml/2006/picture">
                        <pic:nvPicPr>
                          <pic:cNvPr id="833996" name="Picture 833996"/>
                          <pic:cNvPicPr/>
                        </pic:nvPicPr>
                        <pic:blipFill>
                          <a:blip r:embed="rId1172"/>
                          <a:stretch>
                            <a:fillRect/>
                          </a:stretch>
                        </pic:blipFill>
                        <pic:spPr>
                          <a:xfrm>
                            <a:off x="0" y="0"/>
                            <a:ext cx="1129284" cy="406907"/>
                          </a:xfrm>
                          <a:prstGeom prst="rect">
                            <a:avLst/>
                          </a:prstGeom>
                        </pic:spPr>
                      </pic:pic>
                    </a:graphicData>
                  </a:graphic>
                </wp:inline>
              </w:drawing>
            </w:r>
          </w:p>
        </w:tc>
        <w:tc>
          <w:tcPr>
            <w:tcW w:w="7637" w:type="dxa"/>
            <w:tcBorders>
              <w:top w:val="nil"/>
              <w:left w:val="nil"/>
              <w:bottom w:val="nil"/>
              <w:right w:val="nil"/>
            </w:tcBorders>
          </w:tcPr>
          <w:p w14:paraId="18B31971" w14:textId="77777777" w:rsidR="00053D93" w:rsidRDefault="00053D93">
            <w:pPr>
              <w:ind w:left="-2889" w:right="10526"/>
            </w:pPr>
          </w:p>
          <w:tbl>
            <w:tblPr>
              <w:tblStyle w:val="TableGrid"/>
              <w:tblW w:w="7620" w:type="dxa"/>
              <w:tblInd w:w="17" w:type="dxa"/>
              <w:tblCellMar>
                <w:top w:w="22" w:type="dxa"/>
                <w:left w:w="1738" w:type="dxa"/>
                <w:right w:w="115" w:type="dxa"/>
              </w:tblCellMar>
              <w:tblLook w:val="04A0" w:firstRow="1" w:lastRow="0" w:firstColumn="1" w:lastColumn="0" w:noHBand="0" w:noVBand="1"/>
            </w:tblPr>
            <w:tblGrid>
              <w:gridCol w:w="7620"/>
            </w:tblGrid>
            <w:tr w:rsidR="00053D93" w14:paraId="2254AD13" w14:textId="77777777">
              <w:trPr>
                <w:trHeight w:val="43"/>
              </w:trPr>
              <w:tc>
                <w:tcPr>
                  <w:tcW w:w="7620" w:type="dxa"/>
                  <w:tcBorders>
                    <w:top w:val="nil"/>
                    <w:left w:val="single" w:sz="2" w:space="0" w:color="000000"/>
                    <w:bottom w:val="single" w:sz="2" w:space="0" w:color="000000"/>
                    <w:right w:val="nil"/>
                  </w:tcBorders>
                </w:tcPr>
                <w:p w14:paraId="29E3C6F7" w14:textId="77777777" w:rsidR="00053D93" w:rsidRDefault="00053D93"/>
              </w:tc>
            </w:tr>
            <w:tr w:rsidR="00053D93" w14:paraId="26FFD7B7" w14:textId="77777777">
              <w:trPr>
                <w:trHeight w:val="598"/>
              </w:trPr>
              <w:tc>
                <w:tcPr>
                  <w:tcW w:w="7620" w:type="dxa"/>
                  <w:tcBorders>
                    <w:top w:val="single" w:sz="2" w:space="0" w:color="000000"/>
                    <w:left w:val="single" w:sz="2" w:space="0" w:color="000000"/>
                    <w:bottom w:val="nil"/>
                    <w:right w:val="nil"/>
                  </w:tcBorders>
                </w:tcPr>
                <w:p w14:paraId="25808659" w14:textId="77777777" w:rsidR="00053D93" w:rsidRDefault="00260B75">
                  <w:pPr>
                    <w:ind w:left="828"/>
                  </w:pPr>
                  <w:r>
                    <w:rPr>
                      <w:sz w:val="14"/>
                    </w:rPr>
                    <w:t>MINISTERiO DE EDUCACION</w:t>
                  </w:r>
                </w:p>
                <w:p w14:paraId="4EAED302" w14:textId="77777777" w:rsidR="00053D93" w:rsidRDefault="00260B75">
                  <w:pPr>
                    <w:ind w:left="338"/>
                  </w:pPr>
                  <w:r>
                    <w:rPr>
                      <w:sz w:val="14"/>
                    </w:rPr>
                    <w:t>AUDITORIA FINANCIERA Y DE CUMPLIMIENTO</w:t>
                  </w:r>
                </w:p>
                <w:p w14:paraId="23E1C2EE" w14:textId="77777777" w:rsidR="00053D93" w:rsidRDefault="00260B75">
                  <w:r>
                    <w:rPr>
                      <w:sz w:val="14"/>
                    </w:rPr>
                    <w:t>PERIODO DEI. 01 DE ENERO AL 31 DE OICIEMBRE OE 2024</w:t>
                  </w:r>
                </w:p>
              </w:tc>
            </w:tr>
          </w:tbl>
          <w:p w14:paraId="4003443F" w14:textId="77777777" w:rsidR="00053D93" w:rsidRDefault="00053D93"/>
        </w:tc>
      </w:tr>
    </w:tbl>
    <w:p w14:paraId="2ACB02AE" w14:textId="77777777" w:rsidR="00053D93" w:rsidRDefault="00053D93">
      <w:pPr>
        <w:sectPr w:rsidR="00053D93">
          <w:headerReference w:type="even" r:id="rId1173"/>
          <w:headerReference w:type="default" r:id="rId1174"/>
          <w:footerReference w:type="even" r:id="rId1175"/>
          <w:footerReference w:type="default" r:id="rId1176"/>
          <w:headerReference w:type="first" r:id="rId1177"/>
          <w:footerReference w:type="first" r:id="rId1178"/>
          <w:pgSz w:w="12290" w:h="15883"/>
          <w:pgMar w:top="821" w:right="1735" w:bottom="396" w:left="310" w:header="410" w:footer="720" w:gutter="0"/>
          <w:cols w:space="720"/>
          <w:titlePg/>
        </w:sectPr>
      </w:pPr>
    </w:p>
    <w:p w14:paraId="4932A387" w14:textId="77777777" w:rsidR="00053D93" w:rsidRDefault="00260B75">
      <w:pPr>
        <w:spacing w:after="13"/>
        <w:ind w:left="1721"/>
      </w:pPr>
      <w:r>
        <w:rPr>
          <w:noProof/>
        </w:rPr>
        <mc:AlternateContent>
          <mc:Choice Requires="wpg">
            <w:drawing>
              <wp:inline distT="0" distB="0" distL="0" distR="0" wp14:anchorId="45827EE0" wp14:editId="3A4A3EDA">
                <wp:extent cx="5385816" cy="13716"/>
                <wp:effectExtent l="0" t="0" r="0" b="0"/>
                <wp:docPr id="2458637" name="Group 2458637"/>
                <wp:cNvGraphicFramePr/>
                <a:graphic xmlns:a="http://schemas.openxmlformats.org/drawingml/2006/main">
                  <a:graphicData uri="http://schemas.microsoft.com/office/word/2010/wordprocessingGroup">
                    <wpg:wgp>
                      <wpg:cNvGrpSpPr/>
                      <wpg:grpSpPr>
                        <a:xfrm>
                          <a:off x="0" y="0"/>
                          <a:ext cx="5385816" cy="13716"/>
                          <a:chOff x="0" y="0"/>
                          <a:chExt cx="5385816" cy="13716"/>
                        </a:xfrm>
                      </wpg:grpSpPr>
                      <wps:wsp>
                        <wps:cNvPr id="2458636" name="Shape 2458636"/>
                        <wps:cNvSpPr/>
                        <wps:spPr>
                          <a:xfrm>
                            <a:off x="0" y="0"/>
                            <a:ext cx="5385816" cy="13716"/>
                          </a:xfrm>
                          <a:custGeom>
                            <a:avLst/>
                            <a:gdLst/>
                            <a:ahLst/>
                            <a:cxnLst/>
                            <a:rect l="0" t="0" r="0" b="0"/>
                            <a:pathLst>
                              <a:path w="5385816" h="13716">
                                <a:moveTo>
                                  <a:pt x="0" y="6858"/>
                                </a:moveTo>
                                <a:lnTo>
                                  <a:pt x="538581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37" style="width:424.08pt;height:1.08pt;mso-position-horizontal-relative:char;mso-position-vertical-relative:line" coordsize="53858,137">
                <v:shape id="Shape 2458636" style="position:absolute;width:53858;height:137;left:0;top:0;" coordsize="5385816,13716" path="m0,6858l5385816,6858">
                  <v:stroke weight="1.08pt" endcap="flat" joinstyle="miter" miterlimit="1" on="true" color="#000000"/>
                  <v:fill on="false" color="#000000"/>
                </v:shape>
              </v:group>
            </w:pict>
          </mc:Fallback>
        </mc:AlternateContent>
      </w:r>
    </w:p>
    <w:p w14:paraId="36B85579" w14:textId="77777777" w:rsidR="00053D93" w:rsidRDefault="00260B75">
      <w:pPr>
        <w:spacing w:after="420" w:line="520" w:lineRule="auto"/>
        <w:ind w:left="1792" w:right="14" w:hanging="1735"/>
        <w:jc w:val="both"/>
      </w:pPr>
      <w:r>
        <w:rPr>
          <w:sz w:val="26"/>
        </w:rPr>
        <w:t>1 recomendación de la Contraloría General de Cuentas y atender el seguimiento que realiza ta Dirección de Auditoría Interna del Ministerio de Educación.</w:t>
      </w:r>
    </w:p>
    <w:p w14:paraId="58B3DE38" w14:textId="77777777" w:rsidR="00053D93" w:rsidRDefault="00260B75">
      <w:pPr>
        <w:tabs>
          <w:tab w:val="center" w:pos="2084"/>
        </w:tabs>
        <w:spacing w:after="4" w:line="266" w:lineRule="auto"/>
      </w:pPr>
      <w:r>
        <w:rPr>
          <w:sz w:val="28"/>
        </w:rPr>
        <w:t>1</w:t>
      </w:r>
      <w:r>
        <w:rPr>
          <w:sz w:val="28"/>
        </w:rPr>
        <w:tab/>
        <w:t>Efecto</w:t>
      </w:r>
    </w:p>
    <w:p w14:paraId="0760ED54" w14:textId="77777777" w:rsidR="00053D93" w:rsidRDefault="00260B75">
      <w:pPr>
        <w:spacing w:after="551" w:line="329" w:lineRule="auto"/>
        <w:ind w:left="57" w:right="14" w:firstLine="1728"/>
        <w:jc w:val="both"/>
      </w:pPr>
      <w:r>
        <w:rPr>
          <w:sz w:val="26"/>
        </w:rPr>
        <w:t>Limitaciones para el desarrollo profesional de los estudiantes beneficiados 1 mediante el Programa de Formación Inicial Docente -FID-, por no contar con un título académico que avale los estudios realizados.</w:t>
      </w:r>
    </w:p>
    <w:p w14:paraId="2C7D60F8" w14:textId="77777777" w:rsidR="00053D93" w:rsidRDefault="00260B75">
      <w:pPr>
        <w:tabs>
          <w:tab w:val="center" w:pos="2632"/>
        </w:tabs>
        <w:spacing w:after="4" w:line="266" w:lineRule="auto"/>
      </w:pPr>
      <w:r>
        <w:rPr>
          <w:sz w:val="28"/>
        </w:rPr>
        <w:t>1</w:t>
      </w:r>
      <w:r>
        <w:rPr>
          <w:sz w:val="28"/>
        </w:rPr>
        <w:tab/>
        <w:t>Recomendación</w:t>
      </w:r>
    </w:p>
    <w:p w14:paraId="60FDDF6F" w14:textId="77777777" w:rsidR="00053D93" w:rsidRDefault="00260B75">
      <w:pPr>
        <w:spacing w:after="673" w:line="269" w:lineRule="auto"/>
        <w:ind w:left="57" w:right="14" w:firstLine="1699"/>
        <w:jc w:val="both"/>
      </w:pPr>
      <w:r>
        <w:rPr>
          <w:sz w:val="26"/>
        </w:rPr>
        <w:t>El Director General, debe girar instrucciones al Coordinador Curricular, del 1 Departamento de Formación Técnica Metodológica y al Jefe del Departamento de Formación Técnica Metodológica, para que se dé cumplimiento a las recomendaciones de auditoría anterior, de la Contraloría General de Cuentas, con 1 el fin de asegurar el cumplimiento de la normativa legal y la correcta gestión administrativa, asimismo, atender y diligenciar, las acciones de seguimiento de [a Dirección de Auditoría Interna del Ministerio de Educación, para el cumplimiento 1 de las recomendaciones, en relación a la gestión para requerir la entrega de títulos de [os distintos programas académicos del Ministerio de Educación.</w:t>
      </w:r>
    </w:p>
    <w:p w14:paraId="0671A142" w14:textId="77777777" w:rsidR="00053D93" w:rsidRDefault="00260B75">
      <w:pPr>
        <w:tabs>
          <w:tab w:val="center" w:pos="3517"/>
        </w:tabs>
        <w:spacing w:after="4" w:line="269" w:lineRule="auto"/>
      </w:pPr>
      <w:r>
        <w:rPr>
          <w:sz w:val="26"/>
        </w:rPr>
        <w:t>1</w:t>
      </w:r>
      <w:r>
        <w:rPr>
          <w:sz w:val="26"/>
        </w:rPr>
        <w:tab/>
        <w:t>Comentario de los responsables</w:t>
      </w:r>
    </w:p>
    <w:p w14:paraId="50442516" w14:textId="77777777" w:rsidR="00053D93" w:rsidRDefault="00260B75">
      <w:pPr>
        <w:spacing w:after="256" w:line="269" w:lineRule="auto"/>
        <w:ind w:left="57" w:right="14" w:firstLine="1670"/>
        <w:jc w:val="both"/>
      </w:pPr>
      <w:r>
        <w:rPr>
          <w:noProof/>
        </w:rPr>
        <w:drawing>
          <wp:anchor distT="0" distB="0" distL="114300" distR="114300" simplePos="0" relativeHeight="252104704" behindDoc="0" locked="0" layoutInCell="1" allowOverlap="0" wp14:anchorId="4D5A051D" wp14:editId="11831429">
            <wp:simplePos x="0" y="0"/>
            <wp:positionH relativeFrom="page">
              <wp:posOffset>128016</wp:posOffset>
            </wp:positionH>
            <wp:positionV relativeFrom="page">
              <wp:posOffset>850392</wp:posOffset>
            </wp:positionV>
            <wp:extent cx="18288" cy="13716"/>
            <wp:effectExtent l="0" t="0" r="0" b="0"/>
            <wp:wrapSquare wrapText="bothSides"/>
            <wp:docPr id="837489" name="Picture 837489"/>
            <wp:cNvGraphicFramePr/>
            <a:graphic xmlns:a="http://schemas.openxmlformats.org/drawingml/2006/main">
              <a:graphicData uri="http://schemas.openxmlformats.org/drawingml/2006/picture">
                <pic:pic xmlns:pic="http://schemas.openxmlformats.org/drawingml/2006/picture">
                  <pic:nvPicPr>
                    <pic:cNvPr id="837489" name="Picture 837489"/>
                    <pic:cNvPicPr/>
                  </pic:nvPicPr>
                  <pic:blipFill>
                    <a:blip r:embed="rId1179"/>
                    <a:stretch>
                      <a:fillRect/>
                    </a:stretch>
                  </pic:blipFill>
                  <pic:spPr>
                    <a:xfrm>
                      <a:off x="0" y="0"/>
                      <a:ext cx="18288" cy="13716"/>
                    </a:xfrm>
                    <a:prstGeom prst="rect">
                      <a:avLst/>
                    </a:prstGeom>
                  </pic:spPr>
                </pic:pic>
              </a:graphicData>
            </a:graphic>
          </wp:anchor>
        </w:drawing>
      </w:r>
      <w:r>
        <w:rPr>
          <w:noProof/>
        </w:rPr>
        <w:drawing>
          <wp:anchor distT="0" distB="0" distL="114300" distR="114300" simplePos="0" relativeHeight="252105728" behindDoc="0" locked="0" layoutInCell="1" allowOverlap="0" wp14:anchorId="6CA92E93" wp14:editId="316CBAC2">
            <wp:simplePos x="0" y="0"/>
            <wp:positionH relativeFrom="page">
              <wp:posOffset>4082796</wp:posOffset>
            </wp:positionH>
            <wp:positionV relativeFrom="page">
              <wp:posOffset>443484</wp:posOffset>
            </wp:positionV>
            <wp:extent cx="530352" cy="77724"/>
            <wp:effectExtent l="0" t="0" r="0" b="0"/>
            <wp:wrapTopAndBottom/>
            <wp:docPr id="2458634" name="Picture 2458634"/>
            <wp:cNvGraphicFramePr/>
            <a:graphic xmlns:a="http://schemas.openxmlformats.org/drawingml/2006/main">
              <a:graphicData uri="http://schemas.openxmlformats.org/drawingml/2006/picture">
                <pic:pic xmlns:pic="http://schemas.openxmlformats.org/drawingml/2006/picture">
                  <pic:nvPicPr>
                    <pic:cNvPr id="2458634" name="Picture 2458634"/>
                    <pic:cNvPicPr/>
                  </pic:nvPicPr>
                  <pic:blipFill>
                    <a:blip r:embed="rId1180"/>
                    <a:stretch>
                      <a:fillRect/>
                    </a:stretch>
                  </pic:blipFill>
                  <pic:spPr>
                    <a:xfrm>
                      <a:off x="0" y="0"/>
                      <a:ext cx="530352" cy="77724"/>
                    </a:xfrm>
                    <a:prstGeom prst="rect">
                      <a:avLst/>
                    </a:prstGeom>
                  </pic:spPr>
                </pic:pic>
              </a:graphicData>
            </a:graphic>
          </wp:anchor>
        </w:drawing>
      </w:r>
      <w:r>
        <w:rPr>
          <w:sz w:val="26"/>
        </w:rPr>
        <w:t xml:space="preserve">En nota s/n del 22 de abril de 2025, el licenciado Jorge Humberto Vanegas 1 Ramírez, quien fungió como Coordinador Curricular, por el período comprendido del 01 de enero de 2024 al 29 de noviembre de 2024, manifiesta: "...En respuesta al posible hallazgo, su causa y efecto, me permito hacer de su conocimiento que 1 mi persona en calidad de Coordinador Curricular que desempeñe hasta el 30 de noviembre de 2024 según Acuerdo Ministerial No. DIREH-6368-2024 de fecha 27 1 de noviembre de 2024, tomando en cuenta que tenía 4 departamentos a mí cargo. En relación a la recomendación "falta de gestión para requerir entrega de títulos de del programa de Formación Inicial Docente -FID-, se realizaron las acciones 1 siguientes: El 7 de marzo de 2023, el jefe del Departamento de Formación Técnica Metodológica hizo de mi conocimiento sobre el oficio DG-339-2023 de fecha 7 de marzo de 2023 el cual había sido dirigido directamente a su persona por parte del 1 señor Director General de ese entonces el Lic. Carlos Federico Ortiz Ortiz, donde le instruye realizar las acciones correspondientes ante las autoridades de la 1 USAC, a fin de acelerar la entrega de títulos de los estudiantes que culminaron sus estudios, y donde se le instruye rendir informes mensuales a la Dirección General sobre los avances del programa de FID. Siendo ya de mi conocimiento, 1 se instruyó al jefe del Departamento de Formación Técnica Metodológica Lic. Luis Alfonso Peláez Argueta, realizará una reunión con las autoridades y encargados </w:t>
      </w:r>
      <w:r>
        <w:rPr>
          <w:noProof/>
        </w:rPr>
        <w:drawing>
          <wp:inline distT="0" distB="0" distL="0" distR="0" wp14:anchorId="334579F9" wp14:editId="0B65029A">
            <wp:extent cx="22860" cy="9144"/>
            <wp:effectExtent l="0" t="0" r="0" b="0"/>
            <wp:docPr id="2458632" name="Picture 2458632"/>
            <wp:cNvGraphicFramePr/>
            <a:graphic xmlns:a="http://schemas.openxmlformats.org/drawingml/2006/main">
              <a:graphicData uri="http://schemas.openxmlformats.org/drawingml/2006/picture">
                <pic:pic xmlns:pic="http://schemas.openxmlformats.org/drawingml/2006/picture">
                  <pic:nvPicPr>
                    <pic:cNvPr id="2458632" name="Picture 2458632"/>
                    <pic:cNvPicPr/>
                  </pic:nvPicPr>
                  <pic:blipFill>
                    <a:blip r:embed="rId1181"/>
                    <a:stretch>
                      <a:fillRect/>
                    </a:stretch>
                  </pic:blipFill>
                  <pic:spPr>
                    <a:xfrm>
                      <a:off x="0" y="0"/>
                      <a:ext cx="22860" cy="9144"/>
                    </a:xfrm>
                    <a:prstGeom prst="rect">
                      <a:avLst/>
                    </a:prstGeom>
                  </pic:spPr>
                </pic:pic>
              </a:graphicData>
            </a:graphic>
          </wp:inline>
        </w:drawing>
      </w:r>
      <w:r>
        <w:rPr>
          <w:sz w:val="26"/>
        </w:rPr>
        <w:t>del programa FID en la USAC para ver los avances de las cohortes, de esa cuenta</w:t>
      </w:r>
    </w:p>
    <w:p w14:paraId="614F9B1A" w14:textId="77777777" w:rsidR="00053D93" w:rsidRDefault="00260B75">
      <w:pPr>
        <w:tabs>
          <w:tab w:val="right" w:pos="10246"/>
        </w:tabs>
        <w:spacing w:after="4" w:line="269" w:lineRule="auto"/>
      </w:pPr>
      <w:r>
        <w:rPr>
          <w:sz w:val="26"/>
        </w:rPr>
        <w:t>1</w:t>
      </w:r>
      <w:r>
        <w:rPr>
          <w:sz w:val="26"/>
        </w:rPr>
        <w:tab/>
        <w:t>en Informe Ejecutivo FTM -CC-No. 003-2023 de fecha 29 de marzo de 2023, con</w:t>
      </w:r>
    </w:p>
    <w:tbl>
      <w:tblPr>
        <w:tblStyle w:val="TableGrid"/>
        <w:tblW w:w="9425" w:type="dxa"/>
        <w:tblInd w:w="821" w:type="dxa"/>
        <w:tblLook w:val="04A0" w:firstRow="1" w:lastRow="0" w:firstColumn="1" w:lastColumn="0" w:noHBand="0" w:noVBand="1"/>
      </w:tblPr>
      <w:tblGrid>
        <w:gridCol w:w="1677"/>
        <w:gridCol w:w="10534"/>
      </w:tblGrid>
      <w:tr w:rsidR="00053D93" w14:paraId="701882DB" w14:textId="77777777">
        <w:trPr>
          <w:trHeight w:val="641"/>
        </w:trPr>
        <w:tc>
          <w:tcPr>
            <w:tcW w:w="1723" w:type="dxa"/>
            <w:tcBorders>
              <w:top w:val="nil"/>
              <w:left w:val="nil"/>
              <w:bottom w:val="nil"/>
              <w:right w:val="nil"/>
            </w:tcBorders>
          </w:tcPr>
          <w:p w14:paraId="45FE13AE" w14:textId="77777777" w:rsidR="00053D93" w:rsidRDefault="00260B75">
            <w:r>
              <w:rPr>
                <w:noProof/>
              </w:rPr>
              <w:drawing>
                <wp:inline distT="0" distB="0" distL="0" distR="0" wp14:anchorId="3D2189D0" wp14:editId="4AB0CF6C">
                  <wp:extent cx="1065276" cy="406907"/>
                  <wp:effectExtent l="0" t="0" r="0" b="0"/>
                  <wp:docPr id="837487" name="Picture 837487"/>
                  <wp:cNvGraphicFramePr/>
                  <a:graphic xmlns:a="http://schemas.openxmlformats.org/drawingml/2006/main">
                    <a:graphicData uri="http://schemas.openxmlformats.org/drawingml/2006/picture">
                      <pic:pic xmlns:pic="http://schemas.openxmlformats.org/drawingml/2006/picture">
                        <pic:nvPicPr>
                          <pic:cNvPr id="837487" name="Picture 837487"/>
                          <pic:cNvPicPr/>
                        </pic:nvPicPr>
                        <pic:blipFill>
                          <a:blip r:embed="rId1182"/>
                          <a:stretch>
                            <a:fillRect/>
                          </a:stretch>
                        </pic:blipFill>
                        <pic:spPr>
                          <a:xfrm>
                            <a:off x="0" y="0"/>
                            <a:ext cx="1065276" cy="406907"/>
                          </a:xfrm>
                          <a:prstGeom prst="rect">
                            <a:avLst/>
                          </a:prstGeom>
                        </pic:spPr>
                      </pic:pic>
                    </a:graphicData>
                  </a:graphic>
                </wp:inline>
              </w:drawing>
            </w:r>
          </w:p>
        </w:tc>
        <w:tc>
          <w:tcPr>
            <w:tcW w:w="7702" w:type="dxa"/>
            <w:tcBorders>
              <w:top w:val="nil"/>
              <w:left w:val="nil"/>
              <w:bottom w:val="nil"/>
              <w:right w:val="nil"/>
            </w:tcBorders>
          </w:tcPr>
          <w:p w14:paraId="3F45CEE1" w14:textId="77777777" w:rsidR="00053D93" w:rsidRDefault="00053D93">
            <w:pPr>
              <w:ind w:left="-2831" w:right="10534"/>
            </w:pPr>
          </w:p>
          <w:tbl>
            <w:tblPr>
              <w:tblStyle w:val="TableGrid"/>
              <w:tblW w:w="7657" w:type="dxa"/>
              <w:tblInd w:w="45" w:type="dxa"/>
              <w:tblCellMar>
                <w:top w:w="35" w:type="dxa"/>
                <w:left w:w="1782" w:type="dxa"/>
                <w:right w:w="115" w:type="dxa"/>
              </w:tblCellMar>
              <w:tblLook w:val="04A0" w:firstRow="1" w:lastRow="0" w:firstColumn="1" w:lastColumn="0" w:noHBand="0" w:noVBand="1"/>
            </w:tblPr>
            <w:tblGrid>
              <w:gridCol w:w="7657"/>
            </w:tblGrid>
            <w:tr w:rsidR="00053D93" w14:paraId="576D9BD9" w14:textId="77777777">
              <w:trPr>
                <w:trHeight w:val="612"/>
              </w:trPr>
              <w:tc>
                <w:tcPr>
                  <w:tcW w:w="7657" w:type="dxa"/>
                  <w:tcBorders>
                    <w:top w:val="single" w:sz="2" w:space="0" w:color="000000"/>
                    <w:left w:val="single" w:sz="2" w:space="0" w:color="000000"/>
                    <w:bottom w:val="nil"/>
                    <w:right w:val="nil"/>
                  </w:tcBorders>
                </w:tcPr>
                <w:p w14:paraId="741E7151" w14:textId="77777777" w:rsidR="00053D93" w:rsidRDefault="00260B75">
                  <w:pPr>
                    <w:ind w:left="828"/>
                  </w:pPr>
                  <w:r>
                    <w:rPr>
                      <w:sz w:val="14"/>
                    </w:rPr>
                    <w:t>MINISTERIO DE EDUCACION</w:t>
                  </w:r>
                </w:p>
                <w:p w14:paraId="4EEE19A0" w14:textId="77777777" w:rsidR="00053D93" w:rsidRDefault="00260B75">
                  <w:pPr>
                    <w:ind w:left="338"/>
                  </w:pPr>
                  <w:r>
                    <w:rPr>
                      <w:sz w:val="14"/>
                    </w:rPr>
                    <w:t>AUDITORIA FINANCIERA Y DE CUMPLIMIENTO</w:t>
                  </w:r>
                </w:p>
                <w:p w14:paraId="1F59E9DE" w14:textId="77777777" w:rsidR="00053D93" w:rsidRDefault="00260B75">
                  <w:r>
                    <w:rPr>
                      <w:sz w:val="14"/>
                    </w:rPr>
                    <w:t>PERIODO DEL 01 DE ENERO AL 31 DE DICIEMBRE OE 2024</w:t>
                  </w:r>
                </w:p>
              </w:tc>
            </w:tr>
          </w:tbl>
          <w:p w14:paraId="2300C87F" w14:textId="77777777" w:rsidR="00053D93" w:rsidRDefault="00053D93"/>
        </w:tc>
      </w:tr>
    </w:tbl>
    <w:p w14:paraId="7760F9C6" w14:textId="77777777" w:rsidR="00053D93" w:rsidRDefault="00260B75">
      <w:pPr>
        <w:spacing w:after="3"/>
        <w:ind w:left="197" w:right="3485" w:hanging="10"/>
      </w:pPr>
      <w:r>
        <w:rPr>
          <w:sz w:val="70"/>
        </w:rPr>
        <w:t>1</w:t>
      </w:r>
    </w:p>
    <w:p w14:paraId="5E5B28A0" w14:textId="77777777" w:rsidR="00053D93" w:rsidRDefault="00260B75">
      <w:pPr>
        <w:spacing w:after="0"/>
        <w:ind w:left="886" w:right="-338"/>
      </w:pPr>
      <w:r>
        <w:rPr>
          <w:noProof/>
        </w:rPr>
        <w:drawing>
          <wp:inline distT="0" distB="0" distL="0" distR="0" wp14:anchorId="7C123A6C" wp14:editId="6258396B">
            <wp:extent cx="6172201" cy="73152"/>
            <wp:effectExtent l="0" t="0" r="0" b="0"/>
            <wp:docPr id="2458638" name="Picture 2458638"/>
            <wp:cNvGraphicFramePr/>
            <a:graphic xmlns:a="http://schemas.openxmlformats.org/drawingml/2006/main">
              <a:graphicData uri="http://schemas.openxmlformats.org/drawingml/2006/picture">
                <pic:pic xmlns:pic="http://schemas.openxmlformats.org/drawingml/2006/picture">
                  <pic:nvPicPr>
                    <pic:cNvPr id="2458638" name="Picture 2458638"/>
                    <pic:cNvPicPr/>
                  </pic:nvPicPr>
                  <pic:blipFill>
                    <a:blip r:embed="rId1183"/>
                    <a:stretch>
                      <a:fillRect/>
                    </a:stretch>
                  </pic:blipFill>
                  <pic:spPr>
                    <a:xfrm>
                      <a:off x="0" y="0"/>
                      <a:ext cx="6172201" cy="73152"/>
                    </a:xfrm>
                    <a:prstGeom prst="rect">
                      <a:avLst/>
                    </a:prstGeom>
                  </pic:spPr>
                </pic:pic>
              </a:graphicData>
            </a:graphic>
          </wp:inline>
        </w:drawing>
      </w:r>
    </w:p>
    <w:p w14:paraId="6A325A2A" w14:textId="77777777" w:rsidR="00053D93" w:rsidRDefault="00260B75">
      <w:pPr>
        <w:spacing w:after="171" w:line="321" w:lineRule="auto"/>
        <w:ind w:left="1792" w:right="14" w:hanging="1735"/>
        <w:jc w:val="both"/>
      </w:pPr>
      <w:r>
        <w:rPr>
          <w:sz w:val="26"/>
        </w:rPr>
        <w:t>1 visto bueno de mi persona en calidad de Coordinador Curricular, se informó al Licenciado Carlos Federico Ortiz Ortiz Director General de la DIGEF en esa fecha, sobre los temas tratados y avances en las cohortes del programa FID.</w:t>
      </w:r>
    </w:p>
    <w:p w14:paraId="28B9E782" w14:textId="77777777" w:rsidR="00053D93" w:rsidRDefault="00260B75">
      <w:pPr>
        <w:spacing w:after="3" w:line="273" w:lineRule="auto"/>
        <w:ind w:left="21" w:firstLine="1728"/>
      </w:pPr>
      <w:r>
        <w:rPr>
          <w:sz w:val="26"/>
        </w:rPr>
        <w:t>En oficio No. CC 74-2023 de fecha 1 de junio del 2023, se le instruyó al Lic. Luis 1</w:t>
      </w:r>
      <w:r>
        <w:rPr>
          <w:sz w:val="26"/>
        </w:rPr>
        <w:tab/>
        <w:t>Alfonso Peláez Argueta, realizar las acciones necesarias para asegurar el cumplimiento de las recomendaciones indicadas por el ente fiscalizador y dar cumplimiento a lo que se le instruyó en el oficio DG-339-2023 de fecha 7 de marzo 1</w:t>
      </w:r>
      <w:r>
        <w:rPr>
          <w:sz w:val="26"/>
        </w:rPr>
        <w:tab/>
        <w:t>de 2023. En oficio No. 092-2023 de fecha 1 de junio de 2023 el Lic. Lic. Luis Afonso Peláez Argueta da respuesta a lo solicitado en oficio No. CC 74-2023 de fecha 1 de junio del 2023, indicando que se realizarán las acciones necesarias 1</w:t>
      </w:r>
      <w:r>
        <w:rPr>
          <w:sz w:val="26"/>
        </w:rPr>
        <w:tab/>
        <w:t>para asegurar el cumplimiento de las recomendaciones indicadas por el ente fiscalizador. El Lic. Luis Alfonso Peláez Argueta en Oficio No. 97-2023 de fecha 9 de junio de 2023 con visto bueno de mi persona en calidad de Coordinador Curricular, se informó al Lic. Carlos Federico Ortiz Ortiz Director General sobre el acompañamiento, seguimiento y monitoreo del programa -FID-, según reunión 1</w:t>
      </w:r>
      <w:r>
        <w:rPr>
          <w:sz w:val="26"/>
        </w:rPr>
        <w:tab/>
        <w:t>sostenida con autoridades de USAC. El Lic. Luis Alfonso Peláez Argueta en Oficio No. 98-2023 de fecha 9 de junio de 2023 con visto bueno de mi persona en calidad de Coordinador Curricular, se informó al Lic. Carlos Federico Ortiz Ortiz 1</w:t>
      </w:r>
      <w:r>
        <w:rPr>
          <w:sz w:val="26"/>
        </w:rPr>
        <w:tab/>
        <w:t>Director General que se están realizando las acciones necesarias para asegurar el cumplimiento de las recomendaciones indicadas por la Contraloría General de 1</w:t>
      </w:r>
      <w:r>
        <w:rPr>
          <w:sz w:val="26"/>
        </w:rPr>
        <w:tab/>
        <w:t>Cuentas.</w:t>
      </w:r>
    </w:p>
    <w:p w14:paraId="7EF32F6E" w14:textId="77777777" w:rsidR="00053D93" w:rsidRDefault="00260B75">
      <w:pPr>
        <w:spacing w:after="4" w:line="269" w:lineRule="auto"/>
        <w:ind w:left="122" w:right="14" w:firstLine="1678"/>
        <w:jc w:val="both"/>
      </w:pPr>
      <w:r>
        <w:rPr>
          <w:sz w:val="26"/>
        </w:rPr>
        <w:t>El Lic. Luis Alfonso Peláez Argueta en Oficio No. 126-2023 de fecha 3 de agosto 1 de 2023 con visto bueno de mi persona en calidad de Coordinador Curricular, se presentó informe al Lic. Carlos Federico Ortiz Ortiz Director General del acompañamiento, seguimiento y monitoreo del programa -FID-, y se le adjuntó 1 hoja con el detalle de cada una de las reuniones sostenidas con personal de la</w:t>
      </w:r>
    </w:p>
    <w:p w14:paraId="526F7A8F" w14:textId="77777777" w:rsidR="00053D93" w:rsidRDefault="00260B75">
      <w:pPr>
        <w:spacing w:after="512" w:line="269" w:lineRule="auto"/>
        <w:ind w:left="130" w:right="14" w:firstLine="1663"/>
        <w:jc w:val="both"/>
      </w:pPr>
      <w:r>
        <w:rPr>
          <w:sz w:val="26"/>
        </w:rPr>
        <w:t>Universidad de San Carlos de Guatemala. El Lic. Luis Alfonso Peláez Argueta en 1 Oficio No. 155-2023 de fecha 5 de octubre de 2023 con visto bueno de mi persona en calidad de Coordinador Curricular, se presentó informe al Lic. Carlos Federico Ortiz Ortiz Director General de} acompañamiento, seguimiento y monitoreo del 1 programa -FID-, y se le presentó la información obtenida en reunión de trabajo con autoridades de la USAC. El Lic. Luis Alfonso Peláez Argueta en Oficio No. 167-2023 de fecha 9 de noviembre de 2023 con visto bueno de mi persona en 1 calidad de Coordinador Curricular, se presentó informe a la Licda. Anabí Cinthia Veraliz García Corado de Mora Directora General - del acompañamiento, 1 seguimiento y monitoreo del programa -FID- y a las recomendaciones de los entes fiscalizadores. En oficio No. CC-191-2023 de fecha 28 de noviembre 2023, se le instruyó al Lic. Luis Alfonso Peláez Argueta, realizar las acciones necesarias para 1 asegurar el cumplimiento de las recomendaciones indicadas por el ente fiscalizador y dar cumplimiento a lo que se instruyó en el oficio DG-1640-2023 de fecha 27 de noviembre de 2023. El Lic. Luis Alfonso Peláez Argueta en Oficio No.</w:t>
      </w:r>
    </w:p>
    <w:tbl>
      <w:tblPr>
        <w:tblStyle w:val="TableGrid"/>
        <w:tblpPr w:vertAnchor="text" w:tblpX="2635" w:tblpY="107"/>
        <w:tblOverlap w:val="never"/>
        <w:tblW w:w="7625" w:type="dxa"/>
        <w:tblInd w:w="0" w:type="dxa"/>
        <w:tblCellMar>
          <w:top w:w="50" w:type="dxa"/>
          <w:left w:w="1735" w:type="dxa"/>
          <w:right w:w="115" w:type="dxa"/>
        </w:tblCellMar>
        <w:tblLook w:val="04A0" w:firstRow="1" w:lastRow="0" w:firstColumn="1" w:lastColumn="0" w:noHBand="0" w:noVBand="1"/>
      </w:tblPr>
      <w:tblGrid>
        <w:gridCol w:w="7625"/>
      </w:tblGrid>
      <w:tr w:rsidR="00053D93" w14:paraId="18D036EC" w14:textId="77777777">
        <w:trPr>
          <w:trHeight w:val="43"/>
        </w:trPr>
        <w:tc>
          <w:tcPr>
            <w:tcW w:w="7625" w:type="dxa"/>
            <w:tcBorders>
              <w:top w:val="nil"/>
              <w:left w:val="single" w:sz="2" w:space="0" w:color="000000"/>
              <w:bottom w:val="single" w:sz="2" w:space="0" w:color="000000"/>
              <w:right w:val="nil"/>
            </w:tcBorders>
          </w:tcPr>
          <w:p w14:paraId="19BD937F" w14:textId="77777777" w:rsidR="00053D93" w:rsidRDefault="00053D93"/>
        </w:tc>
      </w:tr>
      <w:tr w:rsidR="00053D93" w14:paraId="7E91B8DE" w14:textId="77777777">
        <w:trPr>
          <w:trHeight w:val="605"/>
        </w:trPr>
        <w:tc>
          <w:tcPr>
            <w:tcW w:w="7625" w:type="dxa"/>
            <w:tcBorders>
              <w:top w:val="single" w:sz="2" w:space="0" w:color="000000"/>
              <w:left w:val="single" w:sz="2" w:space="0" w:color="000000"/>
              <w:bottom w:val="nil"/>
              <w:right w:val="nil"/>
            </w:tcBorders>
          </w:tcPr>
          <w:p w14:paraId="06D7AFAA" w14:textId="77777777" w:rsidR="00053D93" w:rsidRDefault="00260B75">
            <w:pPr>
              <w:ind w:left="842"/>
            </w:pPr>
            <w:r>
              <w:rPr>
                <w:sz w:val="14"/>
              </w:rPr>
              <w:t>MINISTERIO DE EDUCACION</w:t>
            </w:r>
          </w:p>
          <w:p w14:paraId="1B7ABB84" w14:textId="77777777" w:rsidR="00053D93" w:rsidRDefault="00260B75">
            <w:pPr>
              <w:ind w:left="346"/>
            </w:pPr>
            <w:r>
              <w:rPr>
                <w:sz w:val="14"/>
              </w:rPr>
              <w:t>AUDITORIA FINANCIERA Y OE CUMPLIMIENTO</w:t>
            </w:r>
          </w:p>
          <w:p w14:paraId="4E78779E" w14:textId="77777777" w:rsidR="00053D93" w:rsidRDefault="00260B75">
            <w:r>
              <w:rPr>
                <w:sz w:val="14"/>
              </w:rPr>
              <w:t>PERIODO DEL 01 DE ENERO AL 31 DE DICIEMBRE OE 2024</w:t>
            </w:r>
          </w:p>
        </w:tc>
      </w:tr>
    </w:tbl>
    <w:p w14:paraId="376E2000" w14:textId="77777777" w:rsidR="00053D93" w:rsidRDefault="00260B75">
      <w:pPr>
        <w:spacing w:after="3"/>
        <w:ind w:left="190" w:right="-1490" w:hanging="10"/>
      </w:pPr>
      <w:r>
        <w:rPr>
          <w:sz w:val="34"/>
          <w:vertAlign w:val="superscript"/>
        </w:rPr>
        <w:t xml:space="preserve">I </w:t>
      </w:r>
      <w:r>
        <w:rPr>
          <w:sz w:val="34"/>
        </w:rPr>
        <w:t xml:space="preserve">III </w:t>
      </w:r>
      <w:r>
        <w:rPr>
          <w:noProof/>
        </w:rPr>
        <w:drawing>
          <wp:inline distT="0" distB="0" distL="0" distR="0" wp14:anchorId="6D9FA532" wp14:editId="20915B83">
            <wp:extent cx="868680" cy="411480"/>
            <wp:effectExtent l="0" t="0" r="0" b="0"/>
            <wp:docPr id="841515" name="Picture 841515"/>
            <wp:cNvGraphicFramePr/>
            <a:graphic xmlns:a="http://schemas.openxmlformats.org/drawingml/2006/main">
              <a:graphicData uri="http://schemas.openxmlformats.org/drawingml/2006/picture">
                <pic:pic xmlns:pic="http://schemas.openxmlformats.org/drawingml/2006/picture">
                  <pic:nvPicPr>
                    <pic:cNvPr id="841515" name="Picture 841515"/>
                    <pic:cNvPicPr/>
                  </pic:nvPicPr>
                  <pic:blipFill>
                    <a:blip r:embed="rId1184"/>
                    <a:stretch>
                      <a:fillRect/>
                    </a:stretch>
                  </pic:blipFill>
                  <pic:spPr>
                    <a:xfrm>
                      <a:off x="0" y="0"/>
                      <a:ext cx="868680" cy="411480"/>
                    </a:xfrm>
                    <a:prstGeom prst="rect">
                      <a:avLst/>
                    </a:prstGeom>
                  </pic:spPr>
                </pic:pic>
              </a:graphicData>
            </a:graphic>
          </wp:inline>
        </w:drawing>
      </w:r>
      <w:r>
        <w:rPr>
          <w:sz w:val="34"/>
        </w:rPr>
        <w:t>II</w:t>
      </w:r>
    </w:p>
    <w:p w14:paraId="16CE6383" w14:textId="77777777" w:rsidR="00053D93" w:rsidRDefault="00260B75">
      <w:pPr>
        <w:spacing w:after="3"/>
        <w:ind w:left="190" w:right="3485" w:hanging="10"/>
      </w:pPr>
      <w:r>
        <w:rPr>
          <w:sz w:val="70"/>
        </w:rPr>
        <w:t>1</w:t>
      </w:r>
    </w:p>
    <w:p w14:paraId="06CC6552" w14:textId="77777777" w:rsidR="00053D93" w:rsidRDefault="00260B75">
      <w:pPr>
        <w:spacing w:after="24"/>
        <w:ind w:left="1310" w:right="-706"/>
      </w:pPr>
      <w:r>
        <w:rPr>
          <w:noProof/>
        </w:rPr>
        <w:drawing>
          <wp:inline distT="0" distB="0" distL="0" distR="0" wp14:anchorId="03707D3F" wp14:editId="0D818666">
            <wp:extent cx="6117336" cy="36576"/>
            <wp:effectExtent l="0" t="0" r="0" b="0"/>
            <wp:docPr id="2458641" name="Picture 2458641"/>
            <wp:cNvGraphicFramePr/>
            <a:graphic xmlns:a="http://schemas.openxmlformats.org/drawingml/2006/main">
              <a:graphicData uri="http://schemas.openxmlformats.org/drawingml/2006/picture">
                <pic:pic xmlns:pic="http://schemas.openxmlformats.org/drawingml/2006/picture">
                  <pic:nvPicPr>
                    <pic:cNvPr id="2458641" name="Picture 2458641"/>
                    <pic:cNvPicPr/>
                  </pic:nvPicPr>
                  <pic:blipFill>
                    <a:blip r:embed="rId1185"/>
                    <a:stretch>
                      <a:fillRect/>
                    </a:stretch>
                  </pic:blipFill>
                  <pic:spPr>
                    <a:xfrm>
                      <a:off x="0" y="0"/>
                      <a:ext cx="6117336" cy="36576"/>
                    </a:xfrm>
                    <a:prstGeom prst="rect">
                      <a:avLst/>
                    </a:prstGeom>
                  </pic:spPr>
                </pic:pic>
              </a:graphicData>
            </a:graphic>
          </wp:inline>
        </w:drawing>
      </w:r>
    </w:p>
    <w:p w14:paraId="6A57AE43" w14:textId="77777777" w:rsidR="00053D93" w:rsidRDefault="00260B75">
      <w:pPr>
        <w:spacing w:after="4" w:line="269" w:lineRule="auto"/>
        <w:ind w:left="60" w:right="14" w:hanging="3"/>
        <w:jc w:val="both"/>
      </w:pPr>
      <w:r>
        <w:rPr>
          <w:sz w:val="26"/>
        </w:rPr>
        <w:t>1 a 792&gt;023 de fecha 4 de diciembre de 2023 con visto bueno de mi persona en calidad de Coordinador Curricular, se informó a la Licda. Anabí Cinthia Veraliz García Corado de Mora Directora General, sobre los avances y los procesos 1 administrativos financieros que se realizaron por parte del departamento.</w:t>
      </w:r>
    </w:p>
    <w:p w14:paraId="40C53860" w14:textId="77777777" w:rsidR="00053D93" w:rsidRDefault="00260B75">
      <w:pPr>
        <w:spacing w:after="62" w:line="345" w:lineRule="auto"/>
        <w:ind w:left="1771" w:right="14" w:hanging="1714"/>
        <w:jc w:val="both"/>
      </w:pPr>
      <w:r>
        <w:rPr>
          <w:sz w:val="26"/>
        </w:rPr>
        <w:t>1 En oficio No. CC-204-2023 de fecha 20 de diciembre 2023, se le instruyó al Lic. Luis Alfonso Peláez Argueta, dar cumplimiento a las 3 recomendaciones indicadas por el ente fiscalizador y dar cumplimiento a lo que se instruyó en el oficio</w:t>
      </w:r>
    </w:p>
    <w:p w14:paraId="69109443" w14:textId="77777777" w:rsidR="00053D93" w:rsidRDefault="00260B75">
      <w:pPr>
        <w:spacing w:after="186" w:line="269" w:lineRule="auto"/>
        <w:ind w:left="60" w:right="14" w:hanging="3"/>
        <w:jc w:val="both"/>
      </w:pPr>
      <w:r>
        <w:rPr>
          <w:sz w:val="26"/>
        </w:rPr>
        <w:t xml:space="preserve">1 DG-1892-2023 de fecha 19 de diciembre de 2023. En oficio No. CC-205-2023 de fecha 20 de diciembre 2023, se le instruyó al Lic. Luis Alfonso Peláez Argueta, dar </w:t>
      </w:r>
      <w:r>
        <w:rPr>
          <w:noProof/>
        </w:rPr>
        <w:drawing>
          <wp:inline distT="0" distB="0" distL="0" distR="0" wp14:anchorId="3D0DA67C" wp14:editId="4FB8BC10">
            <wp:extent cx="9144" cy="13716"/>
            <wp:effectExtent l="0" t="0" r="0" b="0"/>
            <wp:docPr id="845356" name="Picture 845356"/>
            <wp:cNvGraphicFramePr/>
            <a:graphic xmlns:a="http://schemas.openxmlformats.org/drawingml/2006/main">
              <a:graphicData uri="http://schemas.openxmlformats.org/drawingml/2006/picture">
                <pic:pic xmlns:pic="http://schemas.openxmlformats.org/drawingml/2006/picture">
                  <pic:nvPicPr>
                    <pic:cNvPr id="845356" name="Picture 845356"/>
                    <pic:cNvPicPr/>
                  </pic:nvPicPr>
                  <pic:blipFill>
                    <a:blip r:embed="rId1186"/>
                    <a:stretch>
                      <a:fillRect/>
                    </a:stretch>
                  </pic:blipFill>
                  <pic:spPr>
                    <a:xfrm>
                      <a:off x="0" y="0"/>
                      <a:ext cx="9144" cy="13716"/>
                    </a:xfrm>
                    <a:prstGeom prst="rect">
                      <a:avLst/>
                    </a:prstGeom>
                  </pic:spPr>
                </pic:pic>
              </a:graphicData>
            </a:graphic>
          </wp:inline>
        </w:drawing>
      </w:r>
      <w:r>
        <w:rPr>
          <w:sz w:val="26"/>
        </w:rPr>
        <w:t xml:space="preserve"> cumplimiento a la recomendación emitida por el ente fiscalizador y dar</w:t>
      </w:r>
    </w:p>
    <w:p w14:paraId="3C14C2EE" w14:textId="77777777" w:rsidR="00053D93" w:rsidRDefault="00260B75">
      <w:pPr>
        <w:tabs>
          <w:tab w:val="right" w:pos="10246"/>
        </w:tabs>
        <w:spacing w:after="4" w:line="269" w:lineRule="auto"/>
      </w:pPr>
      <w:r>
        <w:rPr>
          <w:sz w:val="26"/>
        </w:rPr>
        <w:t>1</w:t>
      </w:r>
      <w:r>
        <w:rPr>
          <w:sz w:val="26"/>
        </w:rPr>
        <w:tab/>
        <w:t>cumplimiento a lo que se instruyó en el oficio DG-1893-2023 de fecha 19 de</w:t>
      </w:r>
    </w:p>
    <w:p w14:paraId="0386F038" w14:textId="77777777" w:rsidR="00053D93" w:rsidRDefault="00260B75">
      <w:pPr>
        <w:spacing w:after="4" w:line="269" w:lineRule="auto"/>
        <w:ind w:left="1774" w:right="14" w:hanging="3"/>
        <w:jc w:val="both"/>
      </w:pPr>
      <w:r>
        <w:rPr>
          <w:sz w:val="26"/>
        </w:rPr>
        <w:t>diciembre de 2023. En oficio No. CC-043-2024 de fecha 19 de febrero de 2024, se traslada a la Licda. Irma Elizabeth Woltke San José quien fungía como Subdirectora Técnica Metodológica el oficio No. 011-2024 de fecha 15 de febrero de 2024 donde el Lic. Luis Alfonso Peláez Argueta informó sobre los avances al</w:t>
      </w:r>
    </w:p>
    <w:p w14:paraId="6ABA39F5" w14:textId="77777777" w:rsidR="00053D93" w:rsidRDefault="00260B75">
      <w:pPr>
        <w:spacing w:after="28"/>
        <w:ind w:left="58"/>
      </w:pPr>
      <w:r>
        <w:rPr>
          <w:noProof/>
        </w:rPr>
        <w:drawing>
          <wp:inline distT="0" distB="0" distL="0" distR="0" wp14:anchorId="7D13838E" wp14:editId="70AAE54E">
            <wp:extent cx="13716" cy="9144"/>
            <wp:effectExtent l="0" t="0" r="0" b="0"/>
            <wp:docPr id="845357" name="Picture 845357"/>
            <wp:cNvGraphicFramePr/>
            <a:graphic xmlns:a="http://schemas.openxmlformats.org/drawingml/2006/main">
              <a:graphicData uri="http://schemas.openxmlformats.org/drawingml/2006/picture">
                <pic:pic xmlns:pic="http://schemas.openxmlformats.org/drawingml/2006/picture">
                  <pic:nvPicPr>
                    <pic:cNvPr id="845357" name="Picture 845357"/>
                    <pic:cNvPicPr/>
                  </pic:nvPicPr>
                  <pic:blipFill>
                    <a:blip r:embed="rId49"/>
                    <a:stretch>
                      <a:fillRect/>
                    </a:stretch>
                  </pic:blipFill>
                  <pic:spPr>
                    <a:xfrm>
                      <a:off x="0" y="0"/>
                      <a:ext cx="13716" cy="9144"/>
                    </a:xfrm>
                    <a:prstGeom prst="rect">
                      <a:avLst/>
                    </a:prstGeom>
                  </pic:spPr>
                </pic:pic>
              </a:graphicData>
            </a:graphic>
          </wp:inline>
        </w:drawing>
      </w:r>
    </w:p>
    <w:p w14:paraId="054E4CE4" w14:textId="77777777" w:rsidR="00053D93" w:rsidRDefault="00260B75">
      <w:pPr>
        <w:spacing w:after="4" w:line="365" w:lineRule="auto"/>
        <w:ind w:left="1735" w:right="14" w:hanging="1678"/>
        <w:jc w:val="both"/>
      </w:pPr>
      <w:r>
        <w:rPr>
          <w:sz w:val="26"/>
        </w:rPr>
        <w:t>1 cumplimiento del acompañamiento, seguimiento y monitoreo al programa FID y que se tomaran las acciones que consideraran pertinentes, en virtud que se</w:t>
      </w:r>
    </w:p>
    <w:p w14:paraId="27E874FC" w14:textId="77777777" w:rsidR="00053D93" w:rsidRDefault="00260B75">
      <w:pPr>
        <w:spacing w:after="342" w:line="336" w:lineRule="auto"/>
        <w:ind w:left="60" w:right="14" w:hanging="3"/>
        <w:jc w:val="both"/>
      </w:pPr>
      <w:r>
        <w:rPr>
          <w:sz w:val="26"/>
        </w:rPr>
        <w:t>estaban danto inconvenientes administrativos internos en las escuelas de la -1 Universidad de San Carlos de Guatemala, lo cual se salía de nuestro control.</w:t>
      </w:r>
    </w:p>
    <w:p w14:paraId="1BDCBD31" w14:textId="77777777" w:rsidR="00053D93" w:rsidRDefault="00260B75">
      <w:pPr>
        <w:spacing w:after="4" w:line="458" w:lineRule="auto"/>
        <w:ind w:left="1756" w:right="14" w:hanging="1699"/>
        <w:jc w:val="both"/>
      </w:pPr>
      <w:r>
        <w:rPr>
          <w:noProof/>
        </w:rPr>
        <w:drawing>
          <wp:anchor distT="0" distB="0" distL="114300" distR="114300" simplePos="0" relativeHeight="252106752" behindDoc="0" locked="0" layoutInCell="1" allowOverlap="0" wp14:anchorId="672BD1F3" wp14:editId="172257C8">
            <wp:simplePos x="0" y="0"/>
            <wp:positionH relativeFrom="page">
              <wp:posOffset>155448</wp:posOffset>
            </wp:positionH>
            <wp:positionV relativeFrom="page">
              <wp:posOffset>827532</wp:posOffset>
            </wp:positionV>
            <wp:extent cx="22860" cy="4572"/>
            <wp:effectExtent l="0" t="0" r="0" b="0"/>
            <wp:wrapTopAndBottom/>
            <wp:docPr id="845355" name="Picture 845355"/>
            <wp:cNvGraphicFramePr/>
            <a:graphic xmlns:a="http://schemas.openxmlformats.org/drawingml/2006/main">
              <a:graphicData uri="http://schemas.openxmlformats.org/drawingml/2006/picture">
                <pic:pic xmlns:pic="http://schemas.openxmlformats.org/drawingml/2006/picture">
                  <pic:nvPicPr>
                    <pic:cNvPr id="845355" name="Picture 845355"/>
                    <pic:cNvPicPr/>
                  </pic:nvPicPr>
                  <pic:blipFill>
                    <a:blip r:embed="rId808"/>
                    <a:stretch>
                      <a:fillRect/>
                    </a:stretch>
                  </pic:blipFill>
                  <pic:spPr>
                    <a:xfrm>
                      <a:off x="0" y="0"/>
                      <a:ext cx="22860" cy="4572"/>
                    </a:xfrm>
                    <a:prstGeom prst="rect">
                      <a:avLst/>
                    </a:prstGeom>
                  </pic:spPr>
                </pic:pic>
              </a:graphicData>
            </a:graphic>
          </wp:anchor>
        </w:drawing>
      </w:r>
      <w:r>
        <w:rPr>
          <w:noProof/>
        </w:rPr>
        <w:drawing>
          <wp:inline distT="0" distB="0" distL="0" distR="0" wp14:anchorId="1B8E5AD7" wp14:editId="3F3FB303">
            <wp:extent cx="18288" cy="9144"/>
            <wp:effectExtent l="0" t="0" r="0" b="0"/>
            <wp:docPr id="845358" name="Picture 845358"/>
            <wp:cNvGraphicFramePr/>
            <a:graphic xmlns:a="http://schemas.openxmlformats.org/drawingml/2006/main">
              <a:graphicData uri="http://schemas.openxmlformats.org/drawingml/2006/picture">
                <pic:pic xmlns:pic="http://schemas.openxmlformats.org/drawingml/2006/picture">
                  <pic:nvPicPr>
                    <pic:cNvPr id="845358" name="Picture 845358"/>
                    <pic:cNvPicPr/>
                  </pic:nvPicPr>
                  <pic:blipFill>
                    <a:blip r:embed="rId655"/>
                    <a:stretch>
                      <a:fillRect/>
                    </a:stretch>
                  </pic:blipFill>
                  <pic:spPr>
                    <a:xfrm>
                      <a:off x="0" y="0"/>
                      <a:ext cx="18288" cy="9144"/>
                    </a:xfrm>
                    <a:prstGeom prst="rect">
                      <a:avLst/>
                    </a:prstGeom>
                  </pic:spPr>
                </pic:pic>
              </a:graphicData>
            </a:graphic>
          </wp:inline>
        </w:drawing>
      </w:r>
      <w:r>
        <w:rPr>
          <w:sz w:val="26"/>
        </w:rPr>
        <w:t>1 En oficio No. CC-113-2024 de fecha 17 de abril de 2024, se le instruyó al Lic. Luis Alfonso Peláez Argueta, entregar la información solicitada en providencia No.</w:t>
      </w:r>
    </w:p>
    <w:p w14:paraId="7E52CBE0" w14:textId="77777777" w:rsidR="00053D93" w:rsidRDefault="00260B75">
      <w:pPr>
        <w:spacing w:after="3" w:line="269" w:lineRule="auto"/>
        <w:ind w:left="67" w:right="14" w:hanging="10"/>
        <w:jc w:val="right"/>
      </w:pPr>
      <w:r>
        <w:rPr>
          <w:sz w:val="26"/>
        </w:rPr>
        <w:t>037-2024 de acuerdo al oficio S09-DC-0497-2024-15 de fecha 17 de abril de 2024,</w:t>
      </w:r>
    </w:p>
    <w:p w14:paraId="496450BA" w14:textId="77777777" w:rsidR="00053D93" w:rsidRDefault="00260B75">
      <w:pPr>
        <w:spacing w:after="37"/>
        <w:ind w:left="43"/>
      </w:pPr>
      <w:r>
        <w:rPr>
          <w:noProof/>
        </w:rPr>
        <w:drawing>
          <wp:inline distT="0" distB="0" distL="0" distR="0" wp14:anchorId="09C349D1" wp14:editId="23F39498">
            <wp:extent cx="22860" cy="9144"/>
            <wp:effectExtent l="0" t="0" r="0" b="0"/>
            <wp:docPr id="845359" name="Picture 845359"/>
            <wp:cNvGraphicFramePr/>
            <a:graphic xmlns:a="http://schemas.openxmlformats.org/drawingml/2006/main">
              <a:graphicData uri="http://schemas.openxmlformats.org/drawingml/2006/picture">
                <pic:pic xmlns:pic="http://schemas.openxmlformats.org/drawingml/2006/picture">
                  <pic:nvPicPr>
                    <pic:cNvPr id="845359" name="Picture 845359"/>
                    <pic:cNvPicPr/>
                  </pic:nvPicPr>
                  <pic:blipFill>
                    <a:blip r:embed="rId768"/>
                    <a:stretch>
                      <a:fillRect/>
                    </a:stretch>
                  </pic:blipFill>
                  <pic:spPr>
                    <a:xfrm>
                      <a:off x="0" y="0"/>
                      <a:ext cx="22860" cy="9144"/>
                    </a:xfrm>
                    <a:prstGeom prst="rect">
                      <a:avLst/>
                    </a:prstGeom>
                  </pic:spPr>
                </pic:pic>
              </a:graphicData>
            </a:graphic>
          </wp:inline>
        </w:drawing>
      </w:r>
    </w:p>
    <w:p w14:paraId="2879CF41" w14:textId="77777777" w:rsidR="00053D93" w:rsidRDefault="00260B75">
      <w:pPr>
        <w:spacing w:after="4" w:line="269" w:lineRule="auto"/>
        <w:ind w:left="57" w:right="14" w:firstLine="65"/>
        <w:jc w:val="both"/>
      </w:pPr>
      <w:r>
        <w:rPr>
          <w:sz w:val="26"/>
        </w:rPr>
        <w:t xml:space="preserve">1 relacionada al programa FIL), de la cual se informó directamente al ente fiscalizador. Del 7 de mayo al 20 de junio de 2024, estuve suspendido por </w:t>
      </w:r>
      <w:r>
        <w:rPr>
          <w:noProof/>
        </w:rPr>
        <w:drawing>
          <wp:inline distT="0" distB="0" distL="0" distR="0" wp14:anchorId="52985180" wp14:editId="387B83E0">
            <wp:extent cx="32004" cy="13716"/>
            <wp:effectExtent l="0" t="0" r="0" b="0"/>
            <wp:docPr id="2458643" name="Picture 2458643"/>
            <wp:cNvGraphicFramePr/>
            <a:graphic xmlns:a="http://schemas.openxmlformats.org/drawingml/2006/main">
              <a:graphicData uri="http://schemas.openxmlformats.org/drawingml/2006/picture">
                <pic:pic xmlns:pic="http://schemas.openxmlformats.org/drawingml/2006/picture">
                  <pic:nvPicPr>
                    <pic:cNvPr id="2458643" name="Picture 2458643"/>
                    <pic:cNvPicPr/>
                  </pic:nvPicPr>
                  <pic:blipFill>
                    <a:blip r:embed="rId1187"/>
                    <a:stretch>
                      <a:fillRect/>
                    </a:stretch>
                  </pic:blipFill>
                  <pic:spPr>
                    <a:xfrm>
                      <a:off x="0" y="0"/>
                      <a:ext cx="32004" cy="13716"/>
                    </a:xfrm>
                    <a:prstGeom prst="rect">
                      <a:avLst/>
                    </a:prstGeom>
                  </pic:spPr>
                </pic:pic>
              </a:graphicData>
            </a:graphic>
          </wp:inline>
        </w:drawing>
      </w:r>
      <w:r>
        <w:rPr>
          <w:sz w:val="26"/>
        </w:rPr>
        <w:t>enfermedad según consta en avisos de suspensión de trabajo y alta emitidos por 1 el Instituto Guatemalteco de Seguridad Social IGSS, tiempo donde estuvo como Coordinador Curricular en Funciones el Lic. Luis Alfonso Peláez Argueta. Con base en lo expuesto en este documento y a la documentación de soporte... se puede concluir lo siguiente:</w:t>
      </w:r>
    </w:p>
    <w:p w14:paraId="6410C8BA" w14:textId="77777777" w:rsidR="00053D93" w:rsidRDefault="00260B75">
      <w:pPr>
        <w:spacing w:after="52"/>
        <w:ind w:left="72"/>
      </w:pPr>
      <w:r>
        <w:rPr>
          <w:noProof/>
        </w:rPr>
        <w:drawing>
          <wp:inline distT="0" distB="0" distL="0" distR="0" wp14:anchorId="757F032F" wp14:editId="24AA27F9">
            <wp:extent cx="4572" cy="4572"/>
            <wp:effectExtent l="0" t="0" r="0" b="0"/>
            <wp:docPr id="845362" name="Picture 845362"/>
            <wp:cNvGraphicFramePr/>
            <a:graphic xmlns:a="http://schemas.openxmlformats.org/drawingml/2006/main">
              <a:graphicData uri="http://schemas.openxmlformats.org/drawingml/2006/picture">
                <pic:pic xmlns:pic="http://schemas.openxmlformats.org/drawingml/2006/picture">
                  <pic:nvPicPr>
                    <pic:cNvPr id="845362" name="Picture 845362"/>
                    <pic:cNvPicPr/>
                  </pic:nvPicPr>
                  <pic:blipFill>
                    <a:blip r:embed="rId845"/>
                    <a:stretch>
                      <a:fillRect/>
                    </a:stretch>
                  </pic:blipFill>
                  <pic:spPr>
                    <a:xfrm>
                      <a:off x="0" y="0"/>
                      <a:ext cx="4572" cy="4572"/>
                    </a:xfrm>
                    <a:prstGeom prst="rect">
                      <a:avLst/>
                    </a:prstGeom>
                  </pic:spPr>
                </pic:pic>
              </a:graphicData>
            </a:graphic>
          </wp:inline>
        </w:drawing>
      </w:r>
    </w:p>
    <w:p w14:paraId="72F178C9" w14:textId="77777777" w:rsidR="00053D93" w:rsidRDefault="00260B75">
      <w:pPr>
        <w:spacing w:after="3" w:line="449" w:lineRule="auto"/>
        <w:ind w:left="67" w:right="14" w:hanging="10"/>
        <w:jc w:val="right"/>
      </w:pPr>
      <w:r>
        <w:rPr>
          <w:sz w:val="26"/>
        </w:rPr>
        <w:t>1</w:t>
      </w:r>
      <w:r>
        <w:rPr>
          <w:sz w:val="26"/>
        </w:rPr>
        <w:tab/>
        <w:t>1. En mi calidad de Coordinador Curricular, si realice las acciones suficientes para dar acompañamiento, seguimiento y monitoreo del Programa de Formación Inicial</w:t>
      </w:r>
    </w:p>
    <w:p w14:paraId="34B3A278" w14:textId="77777777" w:rsidR="00053D93" w:rsidRDefault="00260B75">
      <w:pPr>
        <w:spacing w:after="4" w:line="269" w:lineRule="auto"/>
        <w:ind w:left="122" w:right="14" w:hanging="65"/>
        <w:jc w:val="both"/>
      </w:pPr>
      <w:r>
        <w:rPr>
          <w:noProof/>
        </w:rPr>
        <w:drawing>
          <wp:inline distT="0" distB="0" distL="0" distR="0" wp14:anchorId="2ECC45B6" wp14:editId="6D9B312E">
            <wp:extent cx="27432" cy="9144"/>
            <wp:effectExtent l="0" t="0" r="0" b="0"/>
            <wp:docPr id="845363" name="Picture 845363"/>
            <wp:cNvGraphicFramePr/>
            <a:graphic xmlns:a="http://schemas.openxmlformats.org/drawingml/2006/main">
              <a:graphicData uri="http://schemas.openxmlformats.org/drawingml/2006/picture">
                <pic:pic xmlns:pic="http://schemas.openxmlformats.org/drawingml/2006/picture">
                  <pic:nvPicPr>
                    <pic:cNvPr id="845363" name="Picture 845363"/>
                    <pic:cNvPicPr/>
                  </pic:nvPicPr>
                  <pic:blipFill>
                    <a:blip r:embed="rId1188"/>
                    <a:stretch>
                      <a:fillRect/>
                    </a:stretch>
                  </pic:blipFill>
                  <pic:spPr>
                    <a:xfrm>
                      <a:off x="0" y="0"/>
                      <a:ext cx="27432" cy="9144"/>
                    </a:xfrm>
                    <a:prstGeom prst="rect">
                      <a:avLst/>
                    </a:prstGeom>
                  </pic:spPr>
                </pic:pic>
              </a:graphicData>
            </a:graphic>
          </wp:inline>
        </w:drawing>
      </w:r>
      <w:r>
        <w:rPr>
          <w:sz w:val="26"/>
        </w:rPr>
        <w:t xml:space="preserve"> Docente -FID- para cumplir con la recomendación de la Contraloría General de 1 Cuentas. 2. Se trasladaron las instrucciones precisas por medio de oficios al Lic. Luis Alfonso Peláez Argueta, con la finalidad que como jefe del Departamento de 1 Formación Técnica Metodológica realizará las acciones necesarias para asegurar el cumplimiento de las recomendaciones indicadas por el ente fiscalizador, relacionadas al Programa de Formación Inicial Docente -FID-. 3. Todos los</w:t>
      </w:r>
    </w:p>
    <w:p w14:paraId="6A6C9B5A" w14:textId="77777777" w:rsidR="00053D93" w:rsidRDefault="00260B75">
      <w:pPr>
        <w:spacing w:after="46"/>
        <w:ind w:left="36"/>
      </w:pPr>
      <w:r>
        <w:rPr>
          <w:noProof/>
        </w:rPr>
        <w:drawing>
          <wp:inline distT="0" distB="0" distL="0" distR="0" wp14:anchorId="75BA9849" wp14:editId="12711BFD">
            <wp:extent cx="36576" cy="13716"/>
            <wp:effectExtent l="0" t="0" r="0" b="0"/>
            <wp:docPr id="845364" name="Picture 845364"/>
            <wp:cNvGraphicFramePr/>
            <a:graphic xmlns:a="http://schemas.openxmlformats.org/drawingml/2006/main">
              <a:graphicData uri="http://schemas.openxmlformats.org/drawingml/2006/picture">
                <pic:pic xmlns:pic="http://schemas.openxmlformats.org/drawingml/2006/picture">
                  <pic:nvPicPr>
                    <pic:cNvPr id="845364" name="Picture 845364"/>
                    <pic:cNvPicPr/>
                  </pic:nvPicPr>
                  <pic:blipFill>
                    <a:blip r:embed="rId1189"/>
                    <a:stretch>
                      <a:fillRect/>
                    </a:stretch>
                  </pic:blipFill>
                  <pic:spPr>
                    <a:xfrm>
                      <a:off x="0" y="0"/>
                      <a:ext cx="36576" cy="13716"/>
                    </a:xfrm>
                    <a:prstGeom prst="rect">
                      <a:avLst/>
                    </a:prstGeom>
                  </pic:spPr>
                </pic:pic>
              </a:graphicData>
            </a:graphic>
          </wp:inline>
        </w:drawing>
      </w:r>
    </w:p>
    <w:p w14:paraId="6390A9A7" w14:textId="77777777" w:rsidR="00053D93" w:rsidRDefault="00260B75">
      <w:pPr>
        <w:spacing w:after="4" w:line="269" w:lineRule="auto"/>
        <w:ind w:left="1670" w:right="14" w:hanging="1613"/>
        <w:jc w:val="both"/>
      </w:pPr>
      <w:r>
        <w:rPr>
          <w:sz w:val="26"/>
        </w:rPr>
        <w:t>1 documentos e informes emanados del Departamento de Formación Técnica Metodológica, cuentan con mi visto bueno, esto evidencia mi conocimiento, seguimiento y supervisión de las actividades propias del departamento, a los</w:t>
      </w:r>
    </w:p>
    <w:tbl>
      <w:tblPr>
        <w:tblStyle w:val="TableGrid"/>
        <w:tblW w:w="9432" w:type="dxa"/>
        <w:tblInd w:w="763" w:type="dxa"/>
        <w:tblLook w:val="04A0" w:firstRow="1" w:lastRow="0" w:firstColumn="1" w:lastColumn="0" w:noHBand="0" w:noVBand="1"/>
      </w:tblPr>
      <w:tblGrid>
        <w:gridCol w:w="1238"/>
        <w:gridCol w:w="8244"/>
      </w:tblGrid>
      <w:tr w:rsidR="00053D93" w14:paraId="247E1A2F" w14:textId="77777777">
        <w:trPr>
          <w:trHeight w:val="641"/>
        </w:trPr>
        <w:tc>
          <w:tcPr>
            <w:tcW w:w="1723" w:type="dxa"/>
            <w:tcBorders>
              <w:top w:val="nil"/>
              <w:left w:val="nil"/>
              <w:bottom w:val="nil"/>
              <w:right w:val="nil"/>
            </w:tcBorders>
          </w:tcPr>
          <w:p w14:paraId="3FC96354" w14:textId="77777777" w:rsidR="00053D93" w:rsidRDefault="00260B75">
            <w:r>
              <w:rPr>
                <w:noProof/>
              </w:rPr>
              <w:drawing>
                <wp:inline distT="0" distB="0" distL="0" distR="0" wp14:anchorId="184B68F1" wp14:editId="2005A997">
                  <wp:extent cx="1065276" cy="406908"/>
                  <wp:effectExtent l="0" t="0" r="0" b="0"/>
                  <wp:docPr id="845420" name="Picture 845420"/>
                  <wp:cNvGraphicFramePr/>
                  <a:graphic xmlns:a="http://schemas.openxmlformats.org/drawingml/2006/main">
                    <a:graphicData uri="http://schemas.openxmlformats.org/drawingml/2006/picture">
                      <pic:pic xmlns:pic="http://schemas.openxmlformats.org/drawingml/2006/picture">
                        <pic:nvPicPr>
                          <pic:cNvPr id="845420" name="Picture 845420"/>
                          <pic:cNvPicPr/>
                        </pic:nvPicPr>
                        <pic:blipFill>
                          <a:blip r:embed="rId1190"/>
                          <a:stretch>
                            <a:fillRect/>
                          </a:stretch>
                        </pic:blipFill>
                        <pic:spPr>
                          <a:xfrm>
                            <a:off x="0" y="0"/>
                            <a:ext cx="1065276" cy="406908"/>
                          </a:xfrm>
                          <a:prstGeom prst="rect">
                            <a:avLst/>
                          </a:prstGeom>
                        </pic:spPr>
                      </pic:pic>
                    </a:graphicData>
                  </a:graphic>
                </wp:inline>
              </w:drawing>
            </w:r>
          </w:p>
        </w:tc>
        <w:tc>
          <w:tcPr>
            <w:tcW w:w="7709" w:type="dxa"/>
            <w:tcBorders>
              <w:top w:val="nil"/>
              <w:left w:val="nil"/>
              <w:bottom w:val="nil"/>
              <w:right w:val="nil"/>
            </w:tcBorders>
          </w:tcPr>
          <w:p w14:paraId="2BF46A6E" w14:textId="77777777" w:rsidR="00053D93" w:rsidRDefault="00053D93">
            <w:pPr>
              <w:ind w:left="-2774" w:right="10483"/>
            </w:pPr>
          </w:p>
          <w:tbl>
            <w:tblPr>
              <w:tblStyle w:val="TableGrid"/>
              <w:tblW w:w="7664" w:type="dxa"/>
              <w:tblInd w:w="45" w:type="dxa"/>
              <w:tblCellMar>
                <w:top w:w="27" w:type="dxa"/>
                <w:left w:w="1775" w:type="dxa"/>
                <w:right w:w="115" w:type="dxa"/>
              </w:tblCellMar>
              <w:tblLook w:val="04A0" w:firstRow="1" w:lastRow="0" w:firstColumn="1" w:lastColumn="0" w:noHBand="0" w:noVBand="1"/>
            </w:tblPr>
            <w:tblGrid>
              <w:gridCol w:w="7664"/>
            </w:tblGrid>
            <w:tr w:rsidR="00053D93" w14:paraId="5633D7D7" w14:textId="77777777">
              <w:trPr>
                <w:trHeight w:val="62"/>
              </w:trPr>
              <w:tc>
                <w:tcPr>
                  <w:tcW w:w="7664" w:type="dxa"/>
                  <w:tcBorders>
                    <w:top w:val="nil"/>
                    <w:left w:val="single" w:sz="2" w:space="0" w:color="000000"/>
                    <w:bottom w:val="single" w:sz="2" w:space="0" w:color="000000"/>
                    <w:right w:val="nil"/>
                  </w:tcBorders>
                </w:tcPr>
                <w:p w14:paraId="5AA3BA6D" w14:textId="77777777" w:rsidR="00053D93" w:rsidRDefault="00053D93"/>
              </w:tc>
            </w:tr>
            <w:tr w:rsidR="00053D93" w14:paraId="7744D676" w14:textId="77777777">
              <w:trPr>
                <w:trHeight w:val="571"/>
              </w:trPr>
              <w:tc>
                <w:tcPr>
                  <w:tcW w:w="7664" w:type="dxa"/>
                  <w:tcBorders>
                    <w:top w:val="single" w:sz="2" w:space="0" w:color="000000"/>
                    <w:left w:val="single" w:sz="2" w:space="0" w:color="000000"/>
                    <w:bottom w:val="nil"/>
                    <w:right w:val="nil"/>
                  </w:tcBorders>
                </w:tcPr>
                <w:p w14:paraId="1DEC30B1" w14:textId="77777777" w:rsidR="00053D93" w:rsidRDefault="00260B75">
                  <w:pPr>
                    <w:ind w:left="842"/>
                  </w:pPr>
                  <w:r>
                    <w:rPr>
                      <w:sz w:val="14"/>
                    </w:rPr>
                    <w:t>MINISTERIO DE EDUCACION</w:t>
                  </w:r>
                </w:p>
                <w:p w14:paraId="0914CB20" w14:textId="77777777" w:rsidR="00053D93" w:rsidRDefault="00260B75">
                  <w:pPr>
                    <w:ind w:left="346"/>
                  </w:pPr>
                  <w:r>
                    <w:rPr>
                      <w:sz w:val="14"/>
                    </w:rPr>
                    <w:t>AUDITORIA FINANCtERA Y DE CUMPLIMIENTO</w:t>
                  </w:r>
                </w:p>
                <w:p w14:paraId="7DC12F69" w14:textId="77777777" w:rsidR="00053D93" w:rsidRDefault="00260B75">
                  <w:r>
                    <w:rPr>
                      <w:sz w:val="14"/>
                    </w:rPr>
                    <w:t>PERIODO DEL 01 OE ENERO AL 31 OE OICIEMBRE DE 2024</w:t>
                  </w:r>
                </w:p>
              </w:tc>
            </w:tr>
          </w:tbl>
          <w:p w14:paraId="26E46EDF" w14:textId="77777777" w:rsidR="00053D93" w:rsidRDefault="00053D93"/>
        </w:tc>
      </w:tr>
    </w:tbl>
    <w:p w14:paraId="14BF4742" w14:textId="77777777" w:rsidR="00053D93" w:rsidRDefault="00260B75">
      <w:pPr>
        <w:spacing w:after="88" w:line="265" w:lineRule="auto"/>
        <w:ind w:left="1846" w:right="202" w:hanging="10"/>
        <w:jc w:val="center"/>
      </w:pPr>
      <w:r>
        <w:rPr>
          <w:sz w:val="14"/>
        </w:rPr>
        <w:t>182</w:t>
      </w:r>
    </w:p>
    <w:p w14:paraId="091D5BB6" w14:textId="77777777" w:rsidR="00053D93" w:rsidRDefault="00260B75">
      <w:pPr>
        <w:spacing w:after="0"/>
        <w:ind w:left="-115"/>
      </w:pPr>
      <w:r>
        <w:rPr>
          <w:noProof/>
        </w:rPr>
        <w:drawing>
          <wp:inline distT="0" distB="0" distL="0" distR="0" wp14:anchorId="1447B6A3" wp14:editId="1E364835">
            <wp:extent cx="6547104" cy="109728"/>
            <wp:effectExtent l="0" t="0" r="0" b="0"/>
            <wp:docPr id="2458645" name="Picture 2458645"/>
            <wp:cNvGraphicFramePr/>
            <a:graphic xmlns:a="http://schemas.openxmlformats.org/drawingml/2006/main">
              <a:graphicData uri="http://schemas.openxmlformats.org/drawingml/2006/picture">
                <pic:pic xmlns:pic="http://schemas.openxmlformats.org/drawingml/2006/picture">
                  <pic:nvPicPr>
                    <pic:cNvPr id="2458645" name="Picture 2458645"/>
                    <pic:cNvPicPr/>
                  </pic:nvPicPr>
                  <pic:blipFill>
                    <a:blip r:embed="rId1191"/>
                    <a:stretch>
                      <a:fillRect/>
                    </a:stretch>
                  </pic:blipFill>
                  <pic:spPr>
                    <a:xfrm>
                      <a:off x="0" y="0"/>
                      <a:ext cx="6547104" cy="109728"/>
                    </a:xfrm>
                    <a:prstGeom prst="rect">
                      <a:avLst/>
                    </a:prstGeom>
                  </pic:spPr>
                </pic:pic>
              </a:graphicData>
            </a:graphic>
          </wp:inline>
        </w:drawing>
      </w:r>
    </w:p>
    <w:p w14:paraId="46541974" w14:textId="77777777" w:rsidR="00053D93" w:rsidRDefault="00260B75">
      <w:pPr>
        <w:spacing w:after="224" w:line="269" w:lineRule="auto"/>
        <w:ind w:left="1771" w:right="14" w:hanging="1714"/>
        <w:jc w:val="both"/>
      </w:pPr>
      <w:r>
        <w:rPr>
          <w:sz w:val="26"/>
        </w:rPr>
        <w:t>1 avances del Programa de Formación Inicial Docentes -FID- a que se refiere el posible hallazgo. 4. Según los informes presentados por el Lic. Luis Alfonso Peláez Argueta y la información proporcionada por las autoridades de la USAC, habían procesos que los propios estudiantes deberían de realizar ante la USAC para obtener sus títulos..."</w:t>
      </w:r>
    </w:p>
    <w:p w14:paraId="236143CB" w14:textId="77777777" w:rsidR="00053D93" w:rsidRDefault="00260B75">
      <w:pPr>
        <w:spacing w:after="510" w:line="269" w:lineRule="auto"/>
        <w:ind w:left="57" w:right="14" w:firstLine="1685"/>
        <w:jc w:val="both"/>
      </w:pPr>
      <w:r>
        <w:rPr>
          <w:sz w:val="26"/>
        </w:rPr>
        <w:t>El licenciado Luis Alfonso Peláez Argueta, Jefe del Departamento de Formación Técnica Metodológica, quien si asistió a ta reunión virtual realizada en la 1 plataforma Microsoft Teams, el 22 de abril de 2024, para la discusión del presente hallazgo; asimismo, presentó documentos de descargo enviados mediante correo electrónico, recibido el 12 de abril de 2025, sin embargo no presentó oficio, nota o memorial en donde exprese sus comentarios escritos.</w:t>
      </w:r>
    </w:p>
    <w:p w14:paraId="6572959D" w14:textId="77777777" w:rsidR="00053D93" w:rsidRDefault="00260B75">
      <w:pPr>
        <w:tabs>
          <w:tab w:val="center" w:pos="3046"/>
        </w:tabs>
        <w:spacing w:after="4" w:line="269" w:lineRule="auto"/>
      </w:pPr>
      <w:r>
        <w:rPr>
          <w:sz w:val="26"/>
        </w:rPr>
        <w:t>1</w:t>
      </w:r>
      <w:r>
        <w:rPr>
          <w:sz w:val="26"/>
        </w:rPr>
        <w:tab/>
        <w:t>Comentario de auditoría</w:t>
      </w:r>
    </w:p>
    <w:p w14:paraId="77E2A430" w14:textId="77777777" w:rsidR="00053D93" w:rsidRDefault="00260B75">
      <w:pPr>
        <w:spacing w:after="4" w:line="269" w:lineRule="auto"/>
        <w:ind w:left="57" w:right="14" w:firstLine="1663"/>
        <w:jc w:val="both"/>
      </w:pPr>
      <w:r>
        <w:rPr>
          <w:noProof/>
        </w:rPr>
        <w:drawing>
          <wp:anchor distT="0" distB="0" distL="114300" distR="114300" simplePos="0" relativeHeight="252107776" behindDoc="0" locked="0" layoutInCell="1" allowOverlap="0" wp14:anchorId="237CED8D" wp14:editId="0AB1FAF7">
            <wp:simplePos x="0" y="0"/>
            <wp:positionH relativeFrom="page">
              <wp:posOffset>146304</wp:posOffset>
            </wp:positionH>
            <wp:positionV relativeFrom="page">
              <wp:posOffset>452628</wp:posOffset>
            </wp:positionV>
            <wp:extent cx="18288" cy="18288"/>
            <wp:effectExtent l="0" t="0" r="0" b="0"/>
            <wp:wrapTopAndBottom/>
            <wp:docPr id="849300" name="Picture 849300"/>
            <wp:cNvGraphicFramePr/>
            <a:graphic xmlns:a="http://schemas.openxmlformats.org/drawingml/2006/main">
              <a:graphicData uri="http://schemas.openxmlformats.org/drawingml/2006/picture">
                <pic:pic xmlns:pic="http://schemas.openxmlformats.org/drawingml/2006/picture">
                  <pic:nvPicPr>
                    <pic:cNvPr id="849300" name="Picture 849300"/>
                    <pic:cNvPicPr/>
                  </pic:nvPicPr>
                  <pic:blipFill>
                    <a:blip r:embed="rId1192"/>
                    <a:stretch>
                      <a:fillRect/>
                    </a:stretch>
                  </pic:blipFill>
                  <pic:spPr>
                    <a:xfrm>
                      <a:off x="0" y="0"/>
                      <a:ext cx="18288" cy="18288"/>
                    </a:xfrm>
                    <a:prstGeom prst="rect">
                      <a:avLst/>
                    </a:prstGeom>
                  </pic:spPr>
                </pic:pic>
              </a:graphicData>
            </a:graphic>
          </wp:anchor>
        </w:drawing>
      </w:r>
      <w:r>
        <w:rPr>
          <w:noProof/>
        </w:rPr>
        <w:drawing>
          <wp:anchor distT="0" distB="0" distL="114300" distR="114300" simplePos="0" relativeHeight="252108800" behindDoc="0" locked="0" layoutInCell="1" allowOverlap="0" wp14:anchorId="68F586CE" wp14:editId="2E418C11">
            <wp:simplePos x="0" y="0"/>
            <wp:positionH relativeFrom="page">
              <wp:posOffset>7141464</wp:posOffset>
            </wp:positionH>
            <wp:positionV relativeFrom="page">
              <wp:posOffset>768096</wp:posOffset>
            </wp:positionV>
            <wp:extent cx="425197" cy="18288"/>
            <wp:effectExtent l="0" t="0" r="0" b="0"/>
            <wp:wrapTopAndBottom/>
            <wp:docPr id="849384" name="Picture 849384"/>
            <wp:cNvGraphicFramePr/>
            <a:graphic xmlns:a="http://schemas.openxmlformats.org/drawingml/2006/main">
              <a:graphicData uri="http://schemas.openxmlformats.org/drawingml/2006/picture">
                <pic:pic xmlns:pic="http://schemas.openxmlformats.org/drawingml/2006/picture">
                  <pic:nvPicPr>
                    <pic:cNvPr id="849384" name="Picture 849384"/>
                    <pic:cNvPicPr/>
                  </pic:nvPicPr>
                  <pic:blipFill>
                    <a:blip r:embed="rId1193"/>
                    <a:stretch>
                      <a:fillRect/>
                    </a:stretch>
                  </pic:blipFill>
                  <pic:spPr>
                    <a:xfrm>
                      <a:off x="0" y="0"/>
                      <a:ext cx="425197" cy="18288"/>
                    </a:xfrm>
                    <a:prstGeom prst="rect">
                      <a:avLst/>
                    </a:prstGeom>
                  </pic:spPr>
                </pic:pic>
              </a:graphicData>
            </a:graphic>
          </wp:anchor>
        </w:drawing>
      </w:r>
      <w:r>
        <w:rPr>
          <w:sz w:val="26"/>
        </w:rPr>
        <w:t xml:space="preserve">Se confirma el hallazgo, para el licenciado Luis Alfonso Peláez Argueta, Jefe del Departamento de Formación Técnica Metodológica; en virtud que, las pruebas de </w:t>
      </w:r>
      <w:r>
        <w:rPr>
          <w:noProof/>
        </w:rPr>
        <mc:AlternateContent>
          <mc:Choice Requires="wpg">
            <w:drawing>
              <wp:inline distT="0" distB="0" distL="0" distR="0" wp14:anchorId="23A72BFD" wp14:editId="5F4F4B25">
                <wp:extent cx="114300" cy="297180"/>
                <wp:effectExtent l="0" t="0" r="0" b="0"/>
                <wp:docPr id="2456602" name="Group 2456602"/>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846215" name="Rectangle 846215"/>
                        <wps:cNvSpPr/>
                        <wps:spPr>
                          <a:xfrm>
                            <a:off x="0" y="0"/>
                            <a:ext cx="152019" cy="395250"/>
                          </a:xfrm>
                          <a:prstGeom prst="rect">
                            <a:avLst/>
                          </a:prstGeom>
                          <a:ln>
                            <a:noFill/>
                          </a:ln>
                        </wps:spPr>
                        <wps:txbx>
                          <w:txbxContent>
                            <w:p w14:paraId="20A78627"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23A72BFD" id="Group 2456602" o:spid="_x0000_s1461"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BcbTKrDgIAAJYE&#10;AAAOAAAAAAAAAAAAAAAAAC4CAABkcnMvZTJvRG9jLnhtbFBLAQItABQABgAIAAAAIQDLw3M32gAA&#10;AAMBAAAPAAAAAAAAAAAAAAAAAGgEAABkcnMvZG93bnJldi54bWxQSwUGAAAAAAQABADzAAAAbwUA&#10;AAAA&#10;">
                <v:rect id="Rectangle 846215" o:spid="_x0000_s1462"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" filled="f" stroked="f">
                  <v:textbox inset="0,0,0,0">
                    <w:txbxContent>
                      <w:p w14:paraId="20A78627" w14:textId="77777777" w:rsidR="00053D93" w:rsidRDefault="00260B75">
                        <w:r>
                          <w:rPr>
                            <w:sz w:val="66"/>
                          </w:rPr>
                          <w:t>1</w:t>
                        </w:r>
                      </w:p>
                    </w:txbxContent>
                  </v:textbox>
                </v:rect>
                <w10:anchorlock/>
              </v:group>
            </w:pict>
          </mc:Fallback>
        </mc:AlternateContent>
      </w:r>
      <w:r>
        <w:rPr>
          <w:sz w:val="26"/>
        </w:rPr>
        <w:t xml:space="preserve"> descargo, presentadas no son suficientes; debido a que, en oficio No. 092-2023 del 1 de junio de 2023, dirigido al Coordinador Curricular, manifiesta que se 1 realizarán las acciones necesarias para asegurar el cumplimiento de las recomendaciones indicadas por el ente fiscalizador, en referencia a los hallazgos emitidos por la Contraloría General de Cuentas de los programas FID y PADED; 1 sin embargo, el responsable no presentó documentos que evidencien que se hayan realizado gestiones ante la Universidad de San Carlos de Guatemala para que los estudiantes del Programa de Formación Inicial Docente -FID- que 1 realizaron estudios en el período comprendido del 2020 al 2022 y del 2021 al</w:t>
      </w:r>
    </w:p>
    <w:p w14:paraId="4CC1C4D1" w14:textId="77777777" w:rsidR="00053D93" w:rsidRDefault="00260B75">
      <w:pPr>
        <w:spacing w:after="4" w:line="269" w:lineRule="auto"/>
        <w:ind w:left="57" w:right="14" w:firstLine="1678"/>
        <w:jc w:val="both"/>
      </w:pPr>
      <w:r>
        <w:rPr>
          <w:sz w:val="26"/>
        </w:rPr>
        <w:t>2023, correspondientes a las cohortes VI y VII obtuvieran el título respectivo que 1 acredite el logro del objetivo fundamental de la graduación efectiva de los estudiantes del Programa de Formación Inicial Docente -FID-, conforme al Convenio Marco de Cooperación y al Convenio Específico de Cooperación suscritos entre el Ministerio de Educación y la Universidad de San Carlos de Guatemala. Asimismo, a pesar de que el licenciado Peláez, da a conocer en los documentos presentados, que depende de la Universidad de San Carlos de -1 Guatemala la entrega de títulos, que son procesos administrativos internos de la</w:t>
      </w:r>
    </w:p>
    <w:p w14:paraId="40A857AC" w14:textId="77777777" w:rsidR="00053D93" w:rsidRDefault="00260B75">
      <w:pPr>
        <w:spacing w:after="317" w:line="269" w:lineRule="auto"/>
        <w:ind w:left="137" w:right="14" w:firstLine="1606"/>
        <w:jc w:val="both"/>
      </w:pPr>
      <w:r>
        <w:rPr>
          <w:sz w:val="26"/>
        </w:rPr>
        <w:t>Coordinación General del Programa de Formación Inicial Docente -FID- y de las 1 diferentes unidades y departamentos administrativos de la Universidad de San Carlos de Guatemala, los cuales tienen una programación específica para los procesos en la revisión de los expedientes de los diferentes programas; sin 1 embargo, el responsable no presentó documentación que compruebe dichas afirmaciones a través de acciones efectivas, sobre la correcta ejecución de los programas académicos financiados por el Ministerio de Educación; derivado que, 1 afecta directamente los derechos de los estudiantes y la eficacia del gasto público,</w:t>
      </w:r>
    </w:p>
    <w:tbl>
      <w:tblPr>
        <w:tblStyle w:val="TableGrid"/>
        <w:tblpPr w:vertAnchor="text" w:tblpX="2568" w:tblpY="350"/>
        <w:tblOverlap w:val="never"/>
        <w:tblW w:w="7664" w:type="dxa"/>
        <w:tblInd w:w="0" w:type="dxa"/>
        <w:tblCellMar>
          <w:top w:w="53" w:type="dxa"/>
          <w:left w:w="1781" w:type="dxa"/>
          <w:right w:w="115" w:type="dxa"/>
        </w:tblCellMar>
        <w:tblLook w:val="04A0" w:firstRow="1" w:lastRow="0" w:firstColumn="1" w:lastColumn="0" w:noHBand="0" w:noVBand="1"/>
      </w:tblPr>
      <w:tblGrid>
        <w:gridCol w:w="7664"/>
      </w:tblGrid>
      <w:tr w:rsidR="00053D93" w14:paraId="16F77DDD" w14:textId="77777777">
        <w:trPr>
          <w:trHeight w:val="608"/>
        </w:trPr>
        <w:tc>
          <w:tcPr>
            <w:tcW w:w="7664" w:type="dxa"/>
            <w:tcBorders>
              <w:top w:val="single" w:sz="2" w:space="0" w:color="000000"/>
              <w:left w:val="single" w:sz="2" w:space="0" w:color="000000"/>
              <w:bottom w:val="nil"/>
              <w:right w:val="nil"/>
            </w:tcBorders>
          </w:tcPr>
          <w:p w14:paraId="153841D8" w14:textId="77777777" w:rsidR="00053D93" w:rsidRDefault="00260B75">
            <w:pPr>
              <w:ind w:left="828"/>
            </w:pPr>
            <w:r>
              <w:rPr>
                <w:sz w:val="14"/>
              </w:rPr>
              <w:t>MINISTERIO DE EDUCACION</w:t>
            </w:r>
          </w:p>
          <w:p w14:paraId="2A42C593" w14:textId="77777777" w:rsidR="00053D93" w:rsidRDefault="00260B75">
            <w:pPr>
              <w:ind w:left="338"/>
            </w:pPr>
            <w:r>
              <w:rPr>
                <w:sz w:val="14"/>
              </w:rPr>
              <w:t>AUDITORIA FINANCIERA Y DE CUMPLIMIENTO</w:t>
            </w:r>
          </w:p>
          <w:p w14:paraId="5EA26487" w14:textId="77777777" w:rsidR="00053D93" w:rsidRDefault="00260B75">
            <w:r>
              <w:rPr>
                <w:sz w:val="16"/>
              </w:rPr>
              <w:t>PERIODO DEL 01 DE ENERO AL 31 DE DICIEMBRE DE 2024</w:t>
            </w:r>
          </w:p>
        </w:tc>
      </w:tr>
    </w:tbl>
    <w:p w14:paraId="2FA45390" w14:textId="77777777" w:rsidR="00053D93" w:rsidRDefault="00260B75">
      <w:pPr>
        <w:spacing w:after="3"/>
        <w:ind w:left="183" w:right="3485" w:hanging="10"/>
      </w:pPr>
      <w:r>
        <w:rPr>
          <w:sz w:val="70"/>
        </w:rPr>
        <w:t xml:space="preserve">1 </w:t>
      </w:r>
      <w:r>
        <w:rPr>
          <w:noProof/>
        </w:rPr>
        <w:drawing>
          <wp:inline distT="0" distB="0" distL="0" distR="0" wp14:anchorId="0002BA2A" wp14:editId="03AC8A12">
            <wp:extent cx="1069848" cy="411480"/>
            <wp:effectExtent l="0" t="0" r="0" b="0"/>
            <wp:docPr id="849386" name="Picture 849386"/>
            <wp:cNvGraphicFramePr/>
            <a:graphic xmlns:a="http://schemas.openxmlformats.org/drawingml/2006/main">
              <a:graphicData uri="http://schemas.openxmlformats.org/drawingml/2006/picture">
                <pic:pic xmlns:pic="http://schemas.openxmlformats.org/drawingml/2006/picture">
                  <pic:nvPicPr>
                    <pic:cNvPr id="849386" name="Picture 849386"/>
                    <pic:cNvPicPr/>
                  </pic:nvPicPr>
                  <pic:blipFill>
                    <a:blip r:embed="rId1194"/>
                    <a:stretch>
                      <a:fillRect/>
                    </a:stretch>
                  </pic:blipFill>
                  <pic:spPr>
                    <a:xfrm>
                      <a:off x="0" y="0"/>
                      <a:ext cx="1069848" cy="411480"/>
                    </a:xfrm>
                    <a:prstGeom prst="rect">
                      <a:avLst/>
                    </a:prstGeom>
                  </pic:spPr>
                </pic:pic>
              </a:graphicData>
            </a:graphic>
          </wp:inline>
        </w:drawing>
      </w:r>
    </w:p>
    <w:p w14:paraId="4E2691B4" w14:textId="77777777" w:rsidR="00053D93" w:rsidRDefault="00053D93">
      <w:pPr>
        <w:sectPr w:rsidR="00053D93">
          <w:headerReference w:type="even" r:id="rId1195"/>
          <w:headerReference w:type="default" r:id="rId1196"/>
          <w:footerReference w:type="even" r:id="rId1197"/>
          <w:footerReference w:type="default" r:id="rId1198"/>
          <w:headerReference w:type="first" r:id="rId1199"/>
          <w:footerReference w:type="first" r:id="rId1200"/>
          <w:pgSz w:w="12290" w:h="15883"/>
          <w:pgMar w:top="864" w:right="1757" w:bottom="382" w:left="288" w:header="374" w:footer="720" w:gutter="0"/>
          <w:cols w:space="720"/>
          <w:titlePg/>
        </w:sectPr>
      </w:pPr>
    </w:p>
    <w:p w14:paraId="38B090CA" w14:textId="77777777" w:rsidR="00053D93" w:rsidRDefault="00260B75">
      <w:pPr>
        <w:tabs>
          <w:tab w:val="center" w:pos="3208"/>
          <w:tab w:val="center" w:pos="7715"/>
        </w:tabs>
        <w:spacing w:after="167" w:line="265" w:lineRule="auto"/>
      </w:pPr>
      <w:r>
        <w:rPr>
          <w:sz w:val="14"/>
        </w:rPr>
        <w:tab/>
      </w:r>
      <w:r>
        <w:rPr>
          <w:rFonts w:ascii="Courier New" w:eastAsia="Courier New" w:hAnsi="Courier New" w:cs="Courier New"/>
          <w:sz w:val="14"/>
        </w:rPr>
        <w:t xml:space="preserve">OE </w:t>
      </w:r>
      <w:r>
        <w:rPr>
          <w:rFonts w:ascii="Courier New" w:eastAsia="Courier New" w:hAnsi="Courier New" w:cs="Courier New"/>
          <w:sz w:val="14"/>
        </w:rPr>
        <w:tab/>
        <w:t xml:space="preserve">Al. </w:t>
      </w:r>
    </w:p>
    <w:p w14:paraId="68AF6C86" w14:textId="77777777" w:rsidR="00053D93" w:rsidRDefault="00260B75">
      <w:pPr>
        <w:spacing w:after="26"/>
        <w:ind w:left="461" w:right="-461"/>
      </w:pPr>
      <w:r>
        <w:rPr>
          <w:noProof/>
        </w:rPr>
        <mc:AlternateContent>
          <mc:Choice Requires="wpg">
            <w:drawing>
              <wp:inline distT="0" distB="0" distL="0" distR="0" wp14:anchorId="0D39797C" wp14:editId="70F63A0C">
                <wp:extent cx="6446521" cy="9144"/>
                <wp:effectExtent l="0" t="0" r="0" b="0"/>
                <wp:docPr id="2458648" name="Group 2458648"/>
                <wp:cNvGraphicFramePr/>
                <a:graphic xmlns:a="http://schemas.openxmlformats.org/drawingml/2006/main">
                  <a:graphicData uri="http://schemas.microsoft.com/office/word/2010/wordprocessingGroup">
                    <wpg:wgp>
                      <wpg:cNvGrpSpPr/>
                      <wpg:grpSpPr>
                        <a:xfrm>
                          <a:off x="0" y="0"/>
                          <a:ext cx="6446521" cy="9144"/>
                          <a:chOff x="0" y="0"/>
                          <a:chExt cx="6446521" cy="9144"/>
                        </a:xfrm>
                      </wpg:grpSpPr>
                      <wps:wsp>
                        <wps:cNvPr id="2458647" name="Shape 2458647"/>
                        <wps:cNvSpPr/>
                        <wps:spPr>
                          <a:xfrm>
                            <a:off x="0" y="0"/>
                            <a:ext cx="6446521" cy="9144"/>
                          </a:xfrm>
                          <a:custGeom>
                            <a:avLst/>
                            <a:gdLst/>
                            <a:ahLst/>
                            <a:cxnLst/>
                            <a:rect l="0" t="0" r="0" b="0"/>
                            <a:pathLst>
                              <a:path w="6446521" h="9144">
                                <a:moveTo>
                                  <a:pt x="0" y="4572"/>
                                </a:moveTo>
                                <a:lnTo>
                                  <a:pt x="6446521"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48" style="width:507.6pt;height:0.720001pt;mso-position-horizontal-relative:char;mso-position-vertical-relative:line" coordsize="64465,91">
                <v:shape id="Shape 2458647" style="position:absolute;width:64465;height:91;left:0;top:0;" coordsize="6446521,9144" path="m0,4572l6446521,4572">
                  <v:stroke weight="0.720001pt" endcap="flat" joinstyle="miter" miterlimit="1" on="true" color="#000000"/>
                  <v:fill on="false" color="#000000"/>
                </v:shape>
              </v:group>
            </w:pict>
          </mc:Fallback>
        </mc:AlternateContent>
      </w:r>
    </w:p>
    <w:p w14:paraId="2CE33409" w14:textId="77777777" w:rsidR="00053D93" w:rsidRDefault="00260B75">
      <w:pPr>
        <w:spacing w:after="346" w:line="250" w:lineRule="auto"/>
        <w:ind w:left="1695" w:right="14" w:hanging="3"/>
        <w:jc w:val="both"/>
      </w:pPr>
      <w:r>
        <w:rPr>
          <w:rFonts w:ascii="Courier New" w:eastAsia="Courier New" w:hAnsi="Courier New" w:cs="Courier New"/>
          <w:sz w:val="26"/>
        </w:rPr>
        <w:t>incumpliendo lo establecido en los artículos 1 y 4 del Acuerdo Gubernativo No. 247-2017, que establece la obligatoriedad de completar la formación a nivel universitario.</w:t>
      </w:r>
    </w:p>
    <w:p w14:paraId="23501191" w14:textId="77777777" w:rsidR="00053D93" w:rsidRDefault="00260B75">
      <w:pPr>
        <w:spacing w:after="267" w:line="250" w:lineRule="auto"/>
        <w:ind w:left="1666" w:right="14" w:hanging="3"/>
        <w:jc w:val="both"/>
      </w:pPr>
      <w:r>
        <w:rPr>
          <w:rFonts w:ascii="Courier New" w:eastAsia="Courier New" w:hAnsi="Courier New" w:cs="Courier New"/>
          <w:sz w:val="26"/>
        </w:rPr>
        <w:t>Se desvanece el hallazgo, para el licenciado Jorge Humberto Vanegas Ramírez, quien fungió como Coordinador Curricular, por el período comprendido del 01 de enero de 2024 al 29 de noviembre de 2024, en virtud las pruebas presentadas son suficientes; ya que, conforme al análisis de la documentación presentada; se evidencia que, en el ejercicio de sus funciones emitió instrucciones claras, oportunas y documentadas al Jefe del Departamento de Formación Técnica Metodológica, para que realizara las acciones de seguimiento, acompañamiento y monitoreo al Programa de Formación Inicial Docente -FID-, a través de los Oficios No. CC 74-2023 del 01 de junio de 2023; No. CC-191-2023 del 28 de noviembre de 2023; No. CC-204-2023; del 20 de diciembre de 2023; y, No. CC-205 del 20 de diciembre de 2023; asimismo, otros documentos relacionados, que reflejan su intervención en el proceso; además, su actuación cumple con las obligaciones establecidas en los convenios suscritos entre el Ministerio de Educación y la Universidad de San Carlos de Guatemala; por tal razón, no se le atribuye responsabilidad directa por la falta de cumplimiento del seguimiento a la graduación y entrega de títulos a [os estudiantes.</w:t>
      </w:r>
    </w:p>
    <w:p w14:paraId="51BEA86A" w14:textId="77777777" w:rsidR="00053D93" w:rsidRDefault="00260B75">
      <w:pPr>
        <w:spacing w:after="302" w:line="250" w:lineRule="auto"/>
        <w:ind w:left="1666" w:right="14" w:hanging="3"/>
        <w:jc w:val="both"/>
      </w:pPr>
      <w:r>
        <w:rPr>
          <w:rFonts w:ascii="Courier New" w:eastAsia="Courier New" w:hAnsi="Courier New" w:cs="Courier New"/>
          <w:sz w:val="26"/>
        </w:rPr>
        <w:t>El hallazgo se notificó con el número 9 y en el presente informe le corresponde el número 8.</w:t>
      </w:r>
    </w:p>
    <w:p w14:paraId="1A4FC1F4" w14:textId="77777777" w:rsidR="00053D93" w:rsidRDefault="00260B75">
      <w:pPr>
        <w:spacing w:after="14" w:line="251" w:lineRule="auto"/>
        <w:ind w:left="1658" w:hanging="3"/>
        <w:jc w:val="both"/>
      </w:pPr>
      <w:r>
        <w:rPr>
          <w:rFonts w:ascii="Courier New" w:eastAsia="Courier New" w:hAnsi="Courier New" w:cs="Courier New"/>
          <w:sz w:val="28"/>
        </w:rPr>
        <w:t>Acciones legales</w:t>
      </w:r>
    </w:p>
    <w:p w14:paraId="00D06025" w14:textId="77777777" w:rsidR="00053D93" w:rsidRDefault="00260B75">
      <w:pPr>
        <w:spacing w:after="320" w:line="250" w:lineRule="auto"/>
        <w:ind w:left="1652" w:right="14" w:hanging="3"/>
        <w:jc w:val="both"/>
      </w:pPr>
      <w:r>
        <w:rPr>
          <w:rFonts w:ascii="Courier New" w:eastAsia="Courier New" w:hAnsi="Courier New" w:cs="Courier New"/>
          <w:sz w:val="26"/>
        </w:rPr>
        <w:t>Sanción económica de conformidad con el Decreto 31-2002, del Congreso de la República, Ley Orgánica de la Contraloría General de Cuentas, reformada por el Decreto 13-2013; artículo 39, Numeral 2, para:</w:t>
      </w:r>
    </w:p>
    <w:p w14:paraId="55052F40" w14:textId="77777777" w:rsidR="00053D93" w:rsidRDefault="00260B75">
      <w:pPr>
        <w:tabs>
          <w:tab w:val="center" w:pos="6736"/>
          <w:tab w:val="right" w:pos="10152"/>
        </w:tabs>
        <w:spacing w:after="18" w:line="265" w:lineRule="auto"/>
      </w:pPr>
      <w:r>
        <w:rPr>
          <w:sz w:val="16"/>
        </w:rPr>
        <w:tab/>
      </w:r>
      <w:r>
        <w:rPr>
          <w:rFonts w:ascii="Courier New" w:eastAsia="Courier New" w:hAnsi="Courier New" w:cs="Courier New"/>
          <w:sz w:val="16"/>
        </w:rPr>
        <w:t>Nombre</w:t>
      </w:r>
      <w:r>
        <w:rPr>
          <w:rFonts w:ascii="Courier New" w:eastAsia="Courier New" w:hAnsi="Courier New" w:cs="Courier New"/>
          <w:sz w:val="16"/>
        </w:rPr>
        <w:tab/>
        <w:t>Valor en Quetzales</w:t>
      </w:r>
    </w:p>
    <w:p w14:paraId="42F292DA" w14:textId="77777777" w:rsidR="00053D93" w:rsidRDefault="00260B75">
      <w:pPr>
        <w:tabs>
          <w:tab w:val="center" w:pos="5173"/>
          <w:tab w:val="right" w:pos="10152"/>
        </w:tabs>
        <w:spacing w:after="104" w:line="266" w:lineRule="auto"/>
      </w:pPr>
      <w:r>
        <w:rPr>
          <w:sz w:val="16"/>
        </w:rPr>
        <w:tab/>
      </w:r>
      <w:r>
        <w:rPr>
          <w:rFonts w:ascii="Courier New" w:eastAsia="Courier New" w:hAnsi="Courier New" w:cs="Courier New"/>
          <w:sz w:val="16"/>
        </w:rPr>
        <w:t>JEFE DEL DEPARTAMENTO DE FORMACION TECNICA METODOLOGICA LUIS ALFONSO PELAEZ ARGUETA</w:t>
      </w:r>
      <w:r>
        <w:rPr>
          <w:rFonts w:ascii="Courier New" w:eastAsia="Courier New" w:hAnsi="Courier New" w:cs="Courier New"/>
          <w:sz w:val="16"/>
        </w:rPr>
        <w:tab/>
      </w:r>
      <w:r>
        <w:rPr>
          <w:sz w:val="16"/>
        </w:rPr>
        <w:t>1.599.25</w:t>
      </w:r>
    </w:p>
    <w:p w14:paraId="6EF88A03" w14:textId="77777777" w:rsidR="00053D93" w:rsidRDefault="00260B75">
      <w:pPr>
        <w:tabs>
          <w:tab w:val="center" w:pos="1793"/>
          <w:tab w:val="right" w:pos="10152"/>
        </w:tabs>
        <w:spacing w:after="376" w:line="328" w:lineRule="auto"/>
      </w:pPr>
      <w:r>
        <w:rPr>
          <w:sz w:val="12"/>
        </w:rPr>
        <w:tab/>
      </w:r>
      <w:r>
        <w:rPr>
          <w:rFonts w:ascii="Courier New" w:eastAsia="Courier New" w:hAnsi="Courier New" w:cs="Courier New"/>
          <w:sz w:val="12"/>
        </w:rPr>
        <w:t>Total</w:t>
      </w:r>
      <w:r>
        <w:rPr>
          <w:rFonts w:ascii="Courier New" w:eastAsia="Courier New" w:hAnsi="Courier New" w:cs="Courier New"/>
          <w:sz w:val="12"/>
        </w:rPr>
        <w:tab/>
        <w:t>Q. 1,599.25</w:t>
      </w:r>
    </w:p>
    <w:p w14:paraId="4FD3869B" w14:textId="77777777" w:rsidR="00053D93" w:rsidRDefault="00260B75">
      <w:pPr>
        <w:spacing w:after="336" w:line="251" w:lineRule="auto"/>
        <w:ind w:left="1658" w:hanging="3"/>
        <w:jc w:val="both"/>
      </w:pPr>
      <w:r>
        <w:rPr>
          <w:rFonts w:ascii="Courier New" w:eastAsia="Courier New" w:hAnsi="Courier New" w:cs="Courier New"/>
          <w:sz w:val="28"/>
        </w:rPr>
        <w:t>Hallazgo No. 9</w:t>
      </w:r>
    </w:p>
    <w:p w14:paraId="00DFC958" w14:textId="77777777" w:rsidR="00053D93" w:rsidRDefault="00260B75">
      <w:pPr>
        <w:spacing w:after="284" w:line="251" w:lineRule="auto"/>
        <w:ind w:left="1658" w:hanging="3"/>
        <w:jc w:val="both"/>
      </w:pPr>
      <w:r>
        <w:rPr>
          <w:rFonts w:ascii="Courier New" w:eastAsia="Courier New" w:hAnsi="Courier New" w:cs="Courier New"/>
          <w:sz w:val="28"/>
        </w:rPr>
        <w:t>Irregularidades en la adquisición de boletos aéreos en los procesos de cotización y compra directa por ausencia de ofertas en perjuicio del patrimonio del Ministerio de Educación</w:t>
      </w:r>
    </w:p>
    <w:p w14:paraId="243BF110" w14:textId="77777777" w:rsidR="00053D93" w:rsidRDefault="00260B75">
      <w:pPr>
        <w:spacing w:after="14" w:line="251" w:lineRule="auto"/>
        <w:ind w:left="1658" w:hanging="3"/>
        <w:jc w:val="both"/>
      </w:pPr>
      <w:r>
        <w:rPr>
          <w:rFonts w:ascii="Courier New" w:eastAsia="Courier New" w:hAnsi="Courier New" w:cs="Courier New"/>
          <w:sz w:val="28"/>
        </w:rPr>
        <w:t>Condición</w:t>
      </w:r>
    </w:p>
    <w:p w14:paraId="2A9BC037" w14:textId="77777777" w:rsidR="00053D93" w:rsidRDefault="00260B75">
      <w:pPr>
        <w:spacing w:after="12" w:line="250" w:lineRule="auto"/>
        <w:ind w:left="1609" w:right="79" w:hanging="3"/>
        <w:jc w:val="both"/>
      </w:pPr>
      <w:r>
        <w:rPr>
          <w:rFonts w:ascii="Courier New" w:eastAsia="Courier New" w:hAnsi="Courier New" w:cs="Courier New"/>
          <w:sz w:val="26"/>
        </w:rPr>
        <w:t>En el Ministerio de Educación, Unidad Ejecutora 109 Dirección General de Educación Física -DIGEF- al evaluar el evento publicado en el Sistema GUATECOMPRAS, con número de NOG: 24709395, denominado "Servicio de</w:t>
      </w:r>
    </w:p>
    <w:tbl>
      <w:tblPr>
        <w:tblStyle w:val="TableGrid"/>
        <w:tblW w:w="9432" w:type="dxa"/>
        <w:tblInd w:w="655" w:type="dxa"/>
        <w:tblLook w:val="04A0" w:firstRow="1" w:lastRow="0" w:firstColumn="1" w:lastColumn="0" w:noHBand="0" w:noVBand="1"/>
      </w:tblPr>
      <w:tblGrid>
        <w:gridCol w:w="1238"/>
        <w:gridCol w:w="8259"/>
      </w:tblGrid>
      <w:tr w:rsidR="00053D93" w14:paraId="3569C437" w14:textId="77777777">
        <w:trPr>
          <w:trHeight w:val="648"/>
        </w:trPr>
        <w:tc>
          <w:tcPr>
            <w:tcW w:w="1716" w:type="dxa"/>
            <w:tcBorders>
              <w:top w:val="nil"/>
              <w:left w:val="nil"/>
              <w:bottom w:val="nil"/>
              <w:right w:val="nil"/>
            </w:tcBorders>
          </w:tcPr>
          <w:p w14:paraId="3429D54F" w14:textId="77777777" w:rsidR="00053D93" w:rsidRDefault="00260B75">
            <w:r>
              <w:rPr>
                <w:noProof/>
              </w:rPr>
              <w:drawing>
                <wp:inline distT="0" distB="0" distL="0" distR="0" wp14:anchorId="311DC15A" wp14:editId="5D8F5A82">
                  <wp:extent cx="1060704" cy="411480"/>
                  <wp:effectExtent l="0" t="0" r="0" b="0"/>
                  <wp:docPr id="853241" name="Picture 853241"/>
                  <wp:cNvGraphicFramePr/>
                  <a:graphic xmlns:a="http://schemas.openxmlformats.org/drawingml/2006/main">
                    <a:graphicData uri="http://schemas.openxmlformats.org/drawingml/2006/picture">
                      <pic:pic xmlns:pic="http://schemas.openxmlformats.org/drawingml/2006/picture">
                        <pic:nvPicPr>
                          <pic:cNvPr id="853241" name="Picture 853241"/>
                          <pic:cNvPicPr/>
                        </pic:nvPicPr>
                        <pic:blipFill>
                          <a:blip r:embed="rId1201"/>
                          <a:stretch>
                            <a:fillRect/>
                          </a:stretch>
                        </pic:blipFill>
                        <pic:spPr>
                          <a:xfrm>
                            <a:off x="0" y="0"/>
                            <a:ext cx="1060704" cy="411480"/>
                          </a:xfrm>
                          <a:prstGeom prst="rect">
                            <a:avLst/>
                          </a:prstGeom>
                        </pic:spPr>
                      </pic:pic>
                    </a:graphicData>
                  </a:graphic>
                </wp:inline>
              </w:drawing>
            </w:r>
          </w:p>
        </w:tc>
        <w:tc>
          <w:tcPr>
            <w:tcW w:w="7716" w:type="dxa"/>
            <w:tcBorders>
              <w:top w:val="nil"/>
              <w:left w:val="nil"/>
              <w:bottom w:val="nil"/>
              <w:right w:val="nil"/>
            </w:tcBorders>
          </w:tcPr>
          <w:p w14:paraId="43E9194B" w14:textId="77777777" w:rsidR="00053D93" w:rsidRDefault="00053D93">
            <w:pPr>
              <w:ind w:left="-2745" w:right="10462"/>
            </w:pPr>
          </w:p>
          <w:tbl>
            <w:tblPr>
              <w:tblStyle w:val="TableGrid"/>
              <w:tblW w:w="7671" w:type="dxa"/>
              <w:tblInd w:w="45" w:type="dxa"/>
              <w:tblCellMar>
                <w:top w:w="30" w:type="dxa"/>
                <w:left w:w="1781" w:type="dxa"/>
                <w:right w:w="115" w:type="dxa"/>
              </w:tblCellMar>
              <w:tblLook w:val="04A0" w:firstRow="1" w:lastRow="0" w:firstColumn="1" w:lastColumn="0" w:noHBand="0" w:noVBand="1"/>
            </w:tblPr>
            <w:tblGrid>
              <w:gridCol w:w="7671"/>
            </w:tblGrid>
            <w:tr w:rsidR="00053D93" w14:paraId="173403E0" w14:textId="77777777">
              <w:trPr>
                <w:trHeight w:val="69"/>
              </w:trPr>
              <w:tc>
                <w:tcPr>
                  <w:tcW w:w="7671" w:type="dxa"/>
                  <w:tcBorders>
                    <w:top w:val="nil"/>
                    <w:left w:val="single" w:sz="2" w:space="0" w:color="000000"/>
                    <w:bottom w:val="single" w:sz="2" w:space="0" w:color="000000"/>
                    <w:right w:val="nil"/>
                  </w:tcBorders>
                </w:tcPr>
                <w:p w14:paraId="607C2F6B" w14:textId="77777777" w:rsidR="00053D93" w:rsidRDefault="00053D93"/>
              </w:tc>
            </w:tr>
            <w:tr w:rsidR="00053D93" w14:paraId="001B2307" w14:textId="77777777">
              <w:trPr>
                <w:trHeight w:val="564"/>
              </w:trPr>
              <w:tc>
                <w:tcPr>
                  <w:tcW w:w="7671" w:type="dxa"/>
                  <w:tcBorders>
                    <w:top w:val="single" w:sz="2" w:space="0" w:color="000000"/>
                    <w:left w:val="single" w:sz="2" w:space="0" w:color="000000"/>
                    <w:bottom w:val="nil"/>
                    <w:right w:val="nil"/>
                  </w:tcBorders>
                </w:tcPr>
                <w:p w14:paraId="41856059" w14:textId="77777777" w:rsidR="00053D93" w:rsidRDefault="00260B75">
                  <w:pPr>
                    <w:ind w:left="835"/>
                  </w:pPr>
                  <w:r>
                    <w:rPr>
                      <w:rFonts w:ascii="Courier New" w:eastAsia="Courier New" w:hAnsi="Courier New" w:cs="Courier New"/>
                      <w:sz w:val="14"/>
                    </w:rPr>
                    <w:t>MINISTERIO DE EDUCACION</w:t>
                  </w:r>
                </w:p>
                <w:p w14:paraId="34CE041C" w14:textId="77777777" w:rsidR="00053D93" w:rsidRDefault="00260B75">
                  <w:pPr>
                    <w:ind w:left="338"/>
                  </w:pPr>
                  <w:r>
                    <w:rPr>
                      <w:rFonts w:ascii="Courier New" w:eastAsia="Courier New" w:hAnsi="Courier New" w:cs="Courier New"/>
                      <w:sz w:val="14"/>
                    </w:rPr>
                    <w:t>AUDETORIA FINANCIERA Y DE CUMPLIMIENTO</w:t>
                  </w:r>
                </w:p>
                <w:p w14:paraId="5E806E7A" w14:textId="77777777" w:rsidR="00053D93" w:rsidRDefault="00260B75">
                  <w:r>
                    <w:rPr>
                      <w:rFonts w:ascii="Courier New" w:eastAsia="Courier New" w:hAnsi="Courier New" w:cs="Courier New"/>
                      <w:sz w:val="14"/>
                    </w:rPr>
                    <w:t>PERIODO DEL 01 DE ENERO AL 31 DE DICIEMBRE DE 2024</w:t>
                  </w:r>
                </w:p>
              </w:tc>
            </w:tr>
          </w:tbl>
          <w:p w14:paraId="2C1B7BD1" w14:textId="77777777" w:rsidR="00053D93" w:rsidRDefault="00053D93"/>
        </w:tc>
      </w:tr>
    </w:tbl>
    <w:p w14:paraId="35993830" w14:textId="77777777" w:rsidR="00053D93" w:rsidRDefault="00260B75">
      <w:pPr>
        <w:spacing w:after="4"/>
        <w:ind w:left="1339" w:right="-202"/>
      </w:pPr>
      <w:r>
        <w:rPr>
          <w:noProof/>
        </w:rPr>
        <mc:AlternateContent>
          <mc:Choice Requires="wpg">
            <w:drawing>
              <wp:inline distT="0" distB="0" distL="0" distR="0" wp14:anchorId="5F900BA2" wp14:editId="341B40F6">
                <wp:extent cx="5719572" cy="18288"/>
                <wp:effectExtent l="0" t="0" r="0" b="0"/>
                <wp:docPr id="2458650" name="Group 2458650"/>
                <wp:cNvGraphicFramePr/>
                <a:graphic xmlns:a="http://schemas.openxmlformats.org/drawingml/2006/main">
                  <a:graphicData uri="http://schemas.microsoft.com/office/word/2010/wordprocessingGroup">
                    <wpg:wgp>
                      <wpg:cNvGrpSpPr/>
                      <wpg:grpSpPr>
                        <a:xfrm>
                          <a:off x="0" y="0"/>
                          <a:ext cx="5719572" cy="18288"/>
                          <a:chOff x="0" y="0"/>
                          <a:chExt cx="5719572" cy="18288"/>
                        </a:xfrm>
                      </wpg:grpSpPr>
                      <wps:wsp>
                        <wps:cNvPr id="2458649" name="Shape 2458649"/>
                        <wps:cNvSpPr/>
                        <wps:spPr>
                          <a:xfrm>
                            <a:off x="0" y="0"/>
                            <a:ext cx="5719572" cy="18288"/>
                          </a:xfrm>
                          <a:custGeom>
                            <a:avLst/>
                            <a:gdLst/>
                            <a:ahLst/>
                            <a:cxnLst/>
                            <a:rect l="0" t="0" r="0" b="0"/>
                            <a:pathLst>
                              <a:path w="5719572" h="18288">
                                <a:moveTo>
                                  <a:pt x="0" y="9144"/>
                                </a:moveTo>
                                <a:lnTo>
                                  <a:pt x="5719572"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50" style="width:450.36pt;height:1.43999pt;mso-position-horizontal-relative:char;mso-position-vertical-relative:line" coordsize="57195,182">
                <v:shape id="Shape 2458649" style="position:absolute;width:57195;height:182;left:0;top:0;" coordsize="5719572,18288" path="m0,9144l5719572,9144">
                  <v:stroke weight="1.43999pt" endcap="flat" joinstyle="miter" miterlimit="1" on="true" color="#000000"/>
                  <v:fill on="false" color="#000000"/>
                </v:shape>
              </v:group>
            </w:pict>
          </mc:Fallback>
        </mc:AlternateContent>
      </w:r>
    </w:p>
    <w:p w14:paraId="520D6AD8" w14:textId="77777777" w:rsidR="00053D93" w:rsidRDefault="00260B75">
      <w:pPr>
        <w:spacing w:after="293" w:line="250" w:lineRule="auto"/>
        <w:ind w:left="1637" w:right="14" w:hanging="3"/>
        <w:jc w:val="both"/>
      </w:pPr>
      <w:r>
        <w:rPr>
          <w:sz w:val="26"/>
        </w:rPr>
        <w:t>transporte aéreo para la delegación deportiva escolar de Guatemala que participará en los Juegos Deportivos Escolares Centroamericanos del CODICADER, para estudiantes con discapacidad, a realizarse en Panamá, Panamá; a solicitud de la DIGEF" mediante la modalidad de compra directa por ausencia de ofertas del evento original de cotización C-33/2024-MlNEDUC, NOG: 23723718. Dichos juegos deportivos se llevaron a cabo del 12 al 17 de noviembre de 2024, donde se determinaron las siguientes irregularidades:</w:t>
      </w:r>
    </w:p>
    <w:p w14:paraId="67C8BF67" w14:textId="77777777" w:rsidR="00053D93" w:rsidRDefault="00260B75">
      <w:pPr>
        <w:spacing w:after="286" w:line="250" w:lineRule="auto"/>
        <w:ind w:left="1659" w:right="14" w:hanging="3"/>
        <w:jc w:val="both"/>
      </w:pPr>
      <w:r>
        <w:rPr>
          <w:sz w:val="26"/>
        </w:rPr>
        <w:t>El NOG 23723718, se publicó en el Sistema GUATECOMPRAS el 03 de septiembre de 2024, con fecha de presentación de ofertas para el 03 de octubre de 2024 a las 10:00 horas y cierre de recepción de ofertas a las 10:30 horas del mismo día, el cual fue declarado desierto en el Sistema GUATECOMPRAS el mismo día de recepción de ofertas a las 02:03 p.m. derivado de la falta de presentación de ofertas, a pesar que se aprobó la actuación de la Junta de Cotización mediante la Resolución No. 3897-2024, emitida por el Viceministro de Educación, hasta el 07 de octubre de 2024, donde se autorizó la contratación del evento mediante la modalidad de compra directa por ausencia de ofertas.</w:t>
      </w:r>
    </w:p>
    <w:p w14:paraId="1B63B194" w14:textId="77777777" w:rsidR="00053D93" w:rsidRDefault="00260B75">
      <w:pPr>
        <w:spacing w:after="12" w:line="250" w:lineRule="auto"/>
        <w:ind w:left="1666" w:right="14" w:hanging="3"/>
        <w:jc w:val="both"/>
      </w:pPr>
      <w:r>
        <w:rPr>
          <w:noProof/>
        </w:rPr>
        <w:drawing>
          <wp:anchor distT="0" distB="0" distL="114300" distR="114300" simplePos="0" relativeHeight="252109824" behindDoc="0" locked="0" layoutInCell="1" allowOverlap="0" wp14:anchorId="1497E18E" wp14:editId="21B4C34E">
            <wp:simplePos x="0" y="0"/>
            <wp:positionH relativeFrom="page">
              <wp:posOffset>6748272</wp:posOffset>
            </wp:positionH>
            <wp:positionV relativeFrom="page">
              <wp:posOffset>8727948</wp:posOffset>
            </wp:positionV>
            <wp:extent cx="13717" cy="22860"/>
            <wp:effectExtent l="0" t="0" r="0" b="0"/>
            <wp:wrapSquare wrapText="bothSides"/>
            <wp:docPr id="857999" name="Picture 857999"/>
            <wp:cNvGraphicFramePr/>
            <a:graphic xmlns:a="http://schemas.openxmlformats.org/drawingml/2006/main">
              <a:graphicData uri="http://schemas.openxmlformats.org/drawingml/2006/picture">
                <pic:pic xmlns:pic="http://schemas.openxmlformats.org/drawingml/2006/picture">
                  <pic:nvPicPr>
                    <pic:cNvPr id="857999" name="Picture 857999"/>
                    <pic:cNvPicPr/>
                  </pic:nvPicPr>
                  <pic:blipFill>
                    <a:blip r:embed="rId1202"/>
                    <a:stretch>
                      <a:fillRect/>
                    </a:stretch>
                  </pic:blipFill>
                  <pic:spPr>
                    <a:xfrm>
                      <a:off x="0" y="0"/>
                      <a:ext cx="13717" cy="22860"/>
                    </a:xfrm>
                    <a:prstGeom prst="rect">
                      <a:avLst/>
                    </a:prstGeom>
                  </pic:spPr>
                </pic:pic>
              </a:graphicData>
            </a:graphic>
          </wp:anchor>
        </w:drawing>
      </w:r>
      <w:r>
        <w:rPr>
          <w:sz w:val="26"/>
        </w:rPr>
        <w:t>El 07 de noviembfe de 2024, tres días hábiles antes de la fecha de inicio (12 de noviembre de 2024) de [os Juegos Deportivos Escolares Centroamericanos del CODICADER, para estudiantes con discapacidad, que se llevó a cabo en Panamá, Panamá, la Jefe de Compras, A.l., envió correo electrónico a los tres posibles oferentes, para que presentaran las ofertas el 08 de noviembre de 2024; de los tres oferentes, únicamente la entidad LAX TRAVELI S.A., con NIT: 14943611, presentó el 'Formulario oferta, compra directa por ausencia de ofertas del proceso de cotización identificado como: C-33/2024-MlNEDUC", por la cantidad de Q900, 000.00$ la cual se detalla a continuación:</w:t>
      </w:r>
    </w:p>
    <w:tbl>
      <w:tblPr>
        <w:tblStyle w:val="TableGrid"/>
        <w:tblW w:w="8467" w:type="dxa"/>
        <w:tblInd w:w="1663" w:type="dxa"/>
        <w:tblCellMar>
          <w:top w:w="14" w:type="dxa"/>
          <w:left w:w="79" w:type="dxa"/>
          <w:bottom w:w="11" w:type="dxa"/>
        </w:tblCellMar>
        <w:tblLook w:val="04A0" w:firstRow="1" w:lastRow="0" w:firstColumn="1" w:lastColumn="0" w:noHBand="0" w:noVBand="1"/>
      </w:tblPr>
      <w:tblGrid>
        <w:gridCol w:w="655"/>
        <w:gridCol w:w="4493"/>
        <w:gridCol w:w="897"/>
        <w:gridCol w:w="1267"/>
        <w:gridCol w:w="1155"/>
      </w:tblGrid>
      <w:tr w:rsidR="00053D93" w14:paraId="5F9EA25C" w14:textId="77777777">
        <w:trPr>
          <w:trHeight w:val="499"/>
        </w:trPr>
        <w:tc>
          <w:tcPr>
            <w:tcW w:w="655" w:type="dxa"/>
            <w:tcBorders>
              <w:top w:val="single" w:sz="2" w:space="0" w:color="000000"/>
              <w:left w:val="single" w:sz="2" w:space="0" w:color="000000"/>
              <w:bottom w:val="single" w:sz="2" w:space="0" w:color="000000"/>
              <w:right w:val="single" w:sz="2" w:space="0" w:color="000000"/>
            </w:tcBorders>
            <w:vAlign w:val="bottom"/>
          </w:tcPr>
          <w:p w14:paraId="5AA04877" w14:textId="77777777" w:rsidR="00053D93" w:rsidRDefault="00260B75">
            <w:pPr>
              <w:ind w:right="79"/>
              <w:jc w:val="center"/>
            </w:pPr>
            <w:r>
              <w:rPr>
                <w:sz w:val="20"/>
              </w:rPr>
              <w:t>No.</w:t>
            </w:r>
          </w:p>
        </w:tc>
        <w:tc>
          <w:tcPr>
            <w:tcW w:w="4493" w:type="dxa"/>
            <w:tcBorders>
              <w:top w:val="single" w:sz="2" w:space="0" w:color="000000"/>
              <w:left w:val="single" w:sz="2" w:space="0" w:color="000000"/>
              <w:bottom w:val="single" w:sz="2" w:space="0" w:color="000000"/>
              <w:right w:val="single" w:sz="2" w:space="0" w:color="000000"/>
            </w:tcBorders>
            <w:vAlign w:val="bottom"/>
          </w:tcPr>
          <w:p w14:paraId="5208E4EE" w14:textId="77777777" w:rsidR="00053D93" w:rsidRDefault="00260B75">
            <w:pPr>
              <w:ind w:right="72"/>
              <w:jc w:val="center"/>
            </w:pPr>
            <w:r>
              <w:t>Descripción del bien o servicio</w:t>
            </w:r>
          </w:p>
        </w:tc>
        <w:tc>
          <w:tcPr>
            <w:tcW w:w="897" w:type="dxa"/>
            <w:tcBorders>
              <w:top w:val="single" w:sz="2" w:space="0" w:color="000000"/>
              <w:left w:val="single" w:sz="2" w:space="0" w:color="000000"/>
              <w:bottom w:val="single" w:sz="2" w:space="0" w:color="000000"/>
              <w:right w:val="single" w:sz="2" w:space="0" w:color="000000"/>
            </w:tcBorders>
            <w:vAlign w:val="bottom"/>
          </w:tcPr>
          <w:p w14:paraId="3A436749" w14:textId="77777777" w:rsidR="00053D93" w:rsidRDefault="00260B75">
            <w:pPr>
              <w:ind w:left="7"/>
            </w:pPr>
            <w:r>
              <w:rPr>
                <w:sz w:val="20"/>
              </w:rPr>
              <w:t>Cantidad</w:t>
            </w:r>
          </w:p>
        </w:tc>
        <w:tc>
          <w:tcPr>
            <w:tcW w:w="1267" w:type="dxa"/>
            <w:tcBorders>
              <w:top w:val="single" w:sz="2" w:space="0" w:color="000000"/>
              <w:left w:val="single" w:sz="2" w:space="0" w:color="000000"/>
              <w:bottom w:val="single" w:sz="2" w:space="0" w:color="000000"/>
              <w:right w:val="single" w:sz="2" w:space="0" w:color="000000"/>
            </w:tcBorders>
          </w:tcPr>
          <w:p w14:paraId="46DE39C7" w14:textId="77777777" w:rsidR="00053D93" w:rsidRDefault="00260B75">
            <w:pPr>
              <w:ind w:right="81"/>
              <w:jc w:val="center"/>
            </w:pPr>
            <w:r>
              <w:t>Precio</w:t>
            </w:r>
          </w:p>
          <w:p w14:paraId="565B7476" w14:textId="77777777" w:rsidR="00053D93" w:rsidRDefault="00260B75">
            <w:pPr>
              <w:ind w:right="74"/>
              <w:jc w:val="center"/>
            </w:pPr>
            <w:r>
              <w:rPr>
                <w:sz w:val="20"/>
              </w:rPr>
              <w:t>Unitario</w:t>
            </w:r>
          </w:p>
        </w:tc>
        <w:tc>
          <w:tcPr>
            <w:tcW w:w="1155" w:type="dxa"/>
            <w:tcBorders>
              <w:top w:val="single" w:sz="2" w:space="0" w:color="000000"/>
              <w:left w:val="single" w:sz="2" w:space="0" w:color="000000"/>
              <w:bottom w:val="single" w:sz="2" w:space="0" w:color="000000"/>
              <w:right w:val="single" w:sz="2" w:space="0" w:color="000000"/>
            </w:tcBorders>
            <w:vAlign w:val="bottom"/>
          </w:tcPr>
          <w:p w14:paraId="0D8FC5A9" w14:textId="77777777" w:rsidR="00053D93" w:rsidRDefault="00260B75">
            <w:pPr>
              <w:ind w:right="84"/>
              <w:jc w:val="center"/>
            </w:pPr>
            <w:r>
              <w:rPr>
                <w:sz w:val="20"/>
              </w:rPr>
              <w:t>Total</w:t>
            </w:r>
          </w:p>
        </w:tc>
      </w:tr>
      <w:tr w:rsidR="00053D93" w14:paraId="47E922CC" w14:textId="77777777">
        <w:trPr>
          <w:trHeight w:val="1164"/>
        </w:trPr>
        <w:tc>
          <w:tcPr>
            <w:tcW w:w="655" w:type="dxa"/>
            <w:tcBorders>
              <w:top w:val="single" w:sz="2" w:space="0" w:color="000000"/>
              <w:left w:val="single" w:sz="2" w:space="0" w:color="000000"/>
              <w:bottom w:val="single" w:sz="2" w:space="0" w:color="000000"/>
              <w:right w:val="single" w:sz="2" w:space="0" w:color="000000"/>
            </w:tcBorders>
          </w:tcPr>
          <w:p w14:paraId="63C78593" w14:textId="77777777" w:rsidR="00053D93" w:rsidRDefault="00053D93"/>
        </w:tc>
        <w:tc>
          <w:tcPr>
            <w:tcW w:w="4493" w:type="dxa"/>
            <w:tcBorders>
              <w:top w:val="single" w:sz="2" w:space="0" w:color="000000"/>
              <w:left w:val="single" w:sz="2" w:space="0" w:color="000000"/>
              <w:bottom w:val="single" w:sz="2" w:space="0" w:color="000000"/>
              <w:right w:val="single" w:sz="2" w:space="0" w:color="000000"/>
            </w:tcBorders>
          </w:tcPr>
          <w:p w14:paraId="785C56A7" w14:textId="77777777" w:rsidR="00053D93" w:rsidRDefault="00260B75">
            <w:pPr>
              <w:ind w:left="7" w:right="79"/>
              <w:jc w:val="both"/>
            </w:pPr>
            <w:r>
              <w:rPr>
                <w:sz w:val="20"/>
              </w:rPr>
              <w:t>Servicio de transporte aéreo para la delegación Deportiva Escolar de Guatemala que participará en los Juegos Deportivos Escolares Centroamericanos del CODICADER, para estudiantes con Discapacidad, a realizarse en Panamá, Panamá.</w:t>
            </w:r>
          </w:p>
        </w:tc>
        <w:tc>
          <w:tcPr>
            <w:tcW w:w="897" w:type="dxa"/>
            <w:tcBorders>
              <w:top w:val="single" w:sz="2" w:space="0" w:color="000000"/>
              <w:left w:val="single" w:sz="2" w:space="0" w:color="000000"/>
              <w:bottom w:val="single" w:sz="2" w:space="0" w:color="000000"/>
              <w:right w:val="single" w:sz="2" w:space="0" w:color="000000"/>
            </w:tcBorders>
          </w:tcPr>
          <w:p w14:paraId="09754759" w14:textId="77777777" w:rsidR="00053D93" w:rsidRDefault="00053D93"/>
        </w:tc>
        <w:tc>
          <w:tcPr>
            <w:tcW w:w="1267" w:type="dxa"/>
            <w:tcBorders>
              <w:top w:val="single" w:sz="2" w:space="0" w:color="000000"/>
              <w:left w:val="single" w:sz="2" w:space="0" w:color="000000"/>
              <w:bottom w:val="single" w:sz="2" w:space="0" w:color="000000"/>
              <w:right w:val="single" w:sz="2" w:space="0" w:color="000000"/>
            </w:tcBorders>
            <w:vAlign w:val="bottom"/>
          </w:tcPr>
          <w:p w14:paraId="733ECC6A" w14:textId="77777777" w:rsidR="00053D93" w:rsidRDefault="00260B75">
            <w:pPr>
              <w:ind w:right="84"/>
              <w:jc w:val="right"/>
            </w:pPr>
            <w:r>
              <w:rPr>
                <w:sz w:val="18"/>
              </w:rPr>
              <w:t xml:space="preserve">Q4,780.OO </w:t>
            </w:r>
          </w:p>
        </w:tc>
        <w:tc>
          <w:tcPr>
            <w:tcW w:w="1155" w:type="dxa"/>
            <w:tcBorders>
              <w:top w:val="single" w:sz="2" w:space="0" w:color="000000"/>
              <w:left w:val="single" w:sz="2" w:space="0" w:color="000000"/>
              <w:bottom w:val="single" w:sz="2" w:space="0" w:color="000000"/>
              <w:right w:val="single" w:sz="2" w:space="0" w:color="000000"/>
            </w:tcBorders>
            <w:vAlign w:val="bottom"/>
          </w:tcPr>
          <w:p w14:paraId="4B34E95B" w14:textId="77777777" w:rsidR="00053D93" w:rsidRDefault="00260B75">
            <w:pPr>
              <w:ind w:left="10"/>
            </w:pPr>
            <w:r>
              <w:rPr>
                <w:sz w:val="18"/>
              </w:rPr>
              <w:t>Q898,640.OO</w:t>
            </w:r>
          </w:p>
        </w:tc>
      </w:tr>
      <w:tr w:rsidR="00053D93" w14:paraId="4699398F" w14:textId="77777777">
        <w:trPr>
          <w:trHeight w:val="701"/>
        </w:trPr>
        <w:tc>
          <w:tcPr>
            <w:tcW w:w="655" w:type="dxa"/>
            <w:tcBorders>
              <w:top w:val="single" w:sz="2" w:space="0" w:color="000000"/>
              <w:left w:val="single" w:sz="2" w:space="0" w:color="000000"/>
              <w:bottom w:val="single" w:sz="2" w:space="0" w:color="000000"/>
              <w:right w:val="single" w:sz="2" w:space="0" w:color="000000"/>
            </w:tcBorders>
          </w:tcPr>
          <w:p w14:paraId="55E8C4AC" w14:textId="77777777" w:rsidR="00053D93" w:rsidRDefault="00260B75">
            <w:pPr>
              <w:ind w:right="72"/>
              <w:jc w:val="center"/>
            </w:pPr>
            <w:r>
              <w:rPr>
                <w:sz w:val="20"/>
              </w:rPr>
              <w:t>2</w:t>
            </w:r>
          </w:p>
        </w:tc>
        <w:tc>
          <w:tcPr>
            <w:tcW w:w="4493" w:type="dxa"/>
            <w:tcBorders>
              <w:top w:val="single" w:sz="2" w:space="0" w:color="000000"/>
              <w:left w:val="single" w:sz="2" w:space="0" w:color="000000"/>
              <w:bottom w:val="single" w:sz="2" w:space="0" w:color="000000"/>
              <w:right w:val="single" w:sz="2" w:space="0" w:color="000000"/>
            </w:tcBorders>
          </w:tcPr>
          <w:p w14:paraId="5DCDEF25" w14:textId="77777777" w:rsidR="00053D93" w:rsidRDefault="00260B75">
            <w:pPr>
              <w:ind w:left="7" w:right="86" w:hanging="7"/>
              <w:jc w:val="both"/>
            </w:pPr>
            <w:r>
              <w:rPr>
                <w:sz w:val="20"/>
              </w:rPr>
              <w:t>Servicio de flete para traslado de equipo de prensa, equipamiento médico de Ciudad de Guatemala hacia Panamá y viceversa.</w:t>
            </w:r>
          </w:p>
        </w:tc>
        <w:tc>
          <w:tcPr>
            <w:tcW w:w="897" w:type="dxa"/>
            <w:tcBorders>
              <w:top w:val="single" w:sz="2" w:space="0" w:color="000000"/>
              <w:left w:val="single" w:sz="2" w:space="0" w:color="000000"/>
              <w:bottom w:val="single" w:sz="2" w:space="0" w:color="000000"/>
              <w:right w:val="single" w:sz="2" w:space="0" w:color="000000"/>
            </w:tcBorders>
          </w:tcPr>
          <w:p w14:paraId="405C5787" w14:textId="77777777" w:rsidR="00053D93" w:rsidRDefault="00053D93"/>
        </w:tc>
        <w:tc>
          <w:tcPr>
            <w:tcW w:w="1267" w:type="dxa"/>
            <w:tcBorders>
              <w:top w:val="single" w:sz="2" w:space="0" w:color="000000"/>
              <w:left w:val="single" w:sz="2" w:space="0" w:color="000000"/>
              <w:bottom w:val="single" w:sz="2" w:space="0" w:color="000000"/>
              <w:right w:val="single" w:sz="2" w:space="0" w:color="000000"/>
            </w:tcBorders>
            <w:vAlign w:val="bottom"/>
          </w:tcPr>
          <w:p w14:paraId="31969DE7" w14:textId="77777777" w:rsidR="00053D93" w:rsidRDefault="00260B75">
            <w:pPr>
              <w:ind w:right="84"/>
              <w:jc w:val="right"/>
            </w:pPr>
            <w:r>
              <w:rPr>
                <w:sz w:val="16"/>
              </w:rPr>
              <w:t xml:space="preserve">Q1 1360.00 </w:t>
            </w:r>
          </w:p>
        </w:tc>
        <w:tc>
          <w:tcPr>
            <w:tcW w:w="1155" w:type="dxa"/>
            <w:tcBorders>
              <w:top w:val="single" w:sz="2" w:space="0" w:color="000000"/>
              <w:left w:val="single" w:sz="2" w:space="0" w:color="000000"/>
              <w:bottom w:val="single" w:sz="2" w:space="0" w:color="000000"/>
              <w:right w:val="single" w:sz="2" w:space="0" w:color="000000"/>
            </w:tcBorders>
            <w:vAlign w:val="bottom"/>
          </w:tcPr>
          <w:p w14:paraId="7A3461CF" w14:textId="77777777" w:rsidR="00053D93" w:rsidRDefault="00260B75">
            <w:pPr>
              <w:ind w:left="204"/>
            </w:pPr>
            <w:r>
              <w:rPr>
                <w:sz w:val="14"/>
              </w:rPr>
              <w:t>Q1 ,360.00</w:t>
            </w:r>
          </w:p>
        </w:tc>
      </w:tr>
      <w:tr w:rsidR="00053D93" w14:paraId="371CA4BA" w14:textId="77777777">
        <w:trPr>
          <w:trHeight w:val="475"/>
        </w:trPr>
        <w:tc>
          <w:tcPr>
            <w:tcW w:w="655" w:type="dxa"/>
            <w:tcBorders>
              <w:top w:val="single" w:sz="2" w:space="0" w:color="000000"/>
              <w:left w:val="single" w:sz="2" w:space="0" w:color="000000"/>
              <w:bottom w:val="single" w:sz="2" w:space="0" w:color="000000"/>
              <w:right w:val="single" w:sz="2" w:space="0" w:color="000000"/>
            </w:tcBorders>
          </w:tcPr>
          <w:p w14:paraId="7F420A6C" w14:textId="77777777" w:rsidR="00053D93" w:rsidRDefault="00053D93"/>
        </w:tc>
        <w:tc>
          <w:tcPr>
            <w:tcW w:w="4493" w:type="dxa"/>
            <w:tcBorders>
              <w:top w:val="single" w:sz="2" w:space="0" w:color="000000"/>
              <w:left w:val="single" w:sz="2" w:space="0" w:color="000000"/>
              <w:bottom w:val="single" w:sz="2" w:space="0" w:color="000000"/>
              <w:right w:val="single" w:sz="2" w:space="0" w:color="000000"/>
            </w:tcBorders>
            <w:vAlign w:val="bottom"/>
          </w:tcPr>
          <w:p w14:paraId="2396CB85" w14:textId="77777777" w:rsidR="00053D93" w:rsidRDefault="00260B75">
            <w:pPr>
              <w:ind w:left="7"/>
            </w:pPr>
            <w:r>
              <w:rPr>
                <w:sz w:val="18"/>
              </w:rPr>
              <w:t>Total</w:t>
            </w:r>
          </w:p>
        </w:tc>
        <w:tc>
          <w:tcPr>
            <w:tcW w:w="897" w:type="dxa"/>
            <w:tcBorders>
              <w:top w:val="single" w:sz="2" w:space="0" w:color="000000"/>
              <w:left w:val="single" w:sz="2" w:space="0" w:color="000000"/>
              <w:bottom w:val="single" w:sz="2" w:space="0" w:color="000000"/>
              <w:right w:val="single" w:sz="2" w:space="0" w:color="000000"/>
            </w:tcBorders>
          </w:tcPr>
          <w:p w14:paraId="6B0A7193" w14:textId="77777777" w:rsidR="00053D93" w:rsidRDefault="00053D93"/>
        </w:tc>
        <w:tc>
          <w:tcPr>
            <w:tcW w:w="1267" w:type="dxa"/>
            <w:tcBorders>
              <w:top w:val="single" w:sz="2" w:space="0" w:color="000000"/>
              <w:left w:val="single" w:sz="2" w:space="0" w:color="000000"/>
              <w:bottom w:val="single" w:sz="2" w:space="0" w:color="000000"/>
              <w:right w:val="single" w:sz="2" w:space="0" w:color="000000"/>
            </w:tcBorders>
          </w:tcPr>
          <w:p w14:paraId="0AB40074" w14:textId="77777777" w:rsidR="00053D93" w:rsidRDefault="00053D93"/>
        </w:tc>
        <w:tc>
          <w:tcPr>
            <w:tcW w:w="1155" w:type="dxa"/>
            <w:tcBorders>
              <w:top w:val="single" w:sz="2" w:space="0" w:color="000000"/>
              <w:left w:val="single" w:sz="2" w:space="0" w:color="000000"/>
              <w:bottom w:val="single" w:sz="2" w:space="0" w:color="000000"/>
              <w:right w:val="single" w:sz="2" w:space="0" w:color="000000"/>
            </w:tcBorders>
            <w:vAlign w:val="bottom"/>
          </w:tcPr>
          <w:p w14:paraId="368212EB" w14:textId="77777777" w:rsidR="00053D93" w:rsidRDefault="00260B75">
            <w:pPr>
              <w:ind w:left="17"/>
            </w:pPr>
            <w:r>
              <w:rPr>
                <w:sz w:val="18"/>
              </w:rPr>
              <w:t>Q9001000. OO</w:t>
            </w:r>
          </w:p>
        </w:tc>
      </w:tr>
    </w:tbl>
    <w:p w14:paraId="60E847DD" w14:textId="77777777" w:rsidR="00053D93" w:rsidRDefault="00260B75">
      <w:pPr>
        <w:spacing w:after="316" w:line="271" w:lineRule="auto"/>
        <w:ind w:left="1677" w:right="7" w:firstLine="4"/>
        <w:jc w:val="both"/>
      </w:pPr>
      <w:r>
        <w:rPr>
          <w:sz w:val="20"/>
        </w:rPr>
        <w:t>Fuente: Formulario de cotización det 07 de noviembre de 2024, emitido por la Gerente y Representante Legal de entidad LAX TRAVELI S.A.</w:t>
      </w:r>
    </w:p>
    <w:p w14:paraId="4A19D063" w14:textId="77777777" w:rsidR="00053D93" w:rsidRDefault="00260B75">
      <w:pPr>
        <w:spacing w:after="12" w:line="250" w:lineRule="auto"/>
        <w:ind w:left="1681" w:right="14" w:hanging="3"/>
        <w:jc w:val="both"/>
      </w:pPr>
      <w:r>
        <w:rPr>
          <w:sz w:val="26"/>
        </w:rPr>
        <w:t>Cabe mencionar que, el día que la Jefe de Compras, a.i. envió correo electrónico a los tres posibles oferentes (07 de noviembre de 2024), para que presentaran sus ofertas para la adquisición del servicio de transporte aéreo y el servicio de flete</w:t>
      </w:r>
    </w:p>
    <w:tbl>
      <w:tblPr>
        <w:tblStyle w:val="TableGrid"/>
        <w:tblW w:w="9418" w:type="dxa"/>
        <w:tblInd w:w="734" w:type="dxa"/>
        <w:tblLook w:val="04A0" w:firstRow="1" w:lastRow="0" w:firstColumn="1" w:lastColumn="0" w:noHBand="0" w:noVBand="1"/>
      </w:tblPr>
      <w:tblGrid>
        <w:gridCol w:w="1217"/>
        <w:gridCol w:w="8201"/>
      </w:tblGrid>
      <w:tr w:rsidR="00053D93" w14:paraId="59DD3522" w14:textId="77777777">
        <w:trPr>
          <w:trHeight w:val="648"/>
        </w:trPr>
        <w:tc>
          <w:tcPr>
            <w:tcW w:w="1712" w:type="dxa"/>
            <w:tcBorders>
              <w:top w:val="nil"/>
              <w:left w:val="nil"/>
              <w:bottom w:val="nil"/>
              <w:right w:val="nil"/>
            </w:tcBorders>
          </w:tcPr>
          <w:p w14:paraId="5B5C3D68" w14:textId="77777777" w:rsidR="00053D93" w:rsidRDefault="00260B75">
            <w:r>
              <w:rPr>
                <w:noProof/>
              </w:rPr>
              <w:drawing>
                <wp:inline distT="0" distB="0" distL="0" distR="0" wp14:anchorId="2EB53C16" wp14:editId="79CEED08">
                  <wp:extent cx="1060704" cy="411480"/>
                  <wp:effectExtent l="0" t="0" r="0" b="0"/>
                  <wp:docPr id="858134" name="Picture 858134"/>
                  <wp:cNvGraphicFramePr/>
                  <a:graphic xmlns:a="http://schemas.openxmlformats.org/drawingml/2006/main">
                    <a:graphicData uri="http://schemas.openxmlformats.org/drawingml/2006/picture">
                      <pic:pic xmlns:pic="http://schemas.openxmlformats.org/drawingml/2006/picture">
                        <pic:nvPicPr>
                          <pic:cNvPr id="858134" name="Picture 858134"/>
                          <pic:cNvPicPr/>
                        </pic:nvPicPr>
                        <pic:blipFill>
                          <a:blip r:embed="rId1203"/>
                          <a:stretch>
                            <a:fillRect/>
                          </a:stretch>
                        </pic:blipFill>
                        <pic:spPr>
                          <a:xfrm>
                            <a:off x="0" y="0"/>
                            <a:ext cx="1060704" cy="411480"/>
                          </a:xfrm>
                          <a:prstGeom prst="rect">
                            <a:avLst/>
                          </a:prstGeom>
                        </pic:spPr>
                      </pic:pic>
                    </a:graphicData>
                  </a:graphic>
                </wp:inline>
              </w:drawing>
            </w:r>
          </w:p>
        </w:tc>
        <w:tc>
          <w:tcPr>
            <w:tcW w:w="7705" w:type="dxa"/>
            <w:tcBorders>
              <w:top w:val="nil"/>
              <w:left w:val="nil"/>
              <w:bottom w:val="nil"/>
              <w:right w:val="nil"/>
            </w:tcBorders>
          </w:tcPr>
          <w:p w14:paraId="7CAC97A5" w14:textId="77777777" w:rsidR="00053D93" w:rsidRDefault="00053D93">
            <w:pPr>
              <w:ind w:left="-2821" w:right="10526"/>
            </w:pPr>
          </w:p>
          <w:tbl>
            <w:tblPr>
              <w:tblStyle w:val="TableGrid"/>
              <w:tblW w:w="7663" w:type="dxa"/>
              <w:tblInd w:w="42" w:type="dxa"/>
              <w:tblCellMar>
                <w:top w:w="31" w:type="dxa"/>
                <w:left w:w="1781" w:type="dxa"/>
                <w:right w:w="115" w:type="dxa"/>
              </w:tblCellMar>
              <w:tblLook w:val="04A0" w:firstRow="1" w:lastRow="0" w:firstColumn="1" w:lastColumn="0" w:noHBand="0" w:noVBand="1"/>
            </w:tblPr>
            <w:tblGrid>
              <w:gridCol w:w="7663"/>
            </w:tblGrid>
            <w:tr w:rsidR="00053D93" w14:paraId="3E205B9A" w14:textId="77777777">
              <w:trPr>
                <w:trHeight w:val="608"/>
              </w:trPr>
              <w:tc>
                <w:tcPr>
                  <w:tcW w:w="7663" w:type="dxa"/>
                  <w:tcBorders>
                    <w:top w:val="single" w:sz="2" w:space="0" w:color="000000"/>
                    <w:left w:val="single" w:sz="2" w:space="0" w:color="000000"/>
                    <w:bottom w:val="nil"/>
                    <w:right w:val="nil"/>
                  </w:tcBorders>
                </w:tcPr>
                <w:p w14:paraId="04427F1E" w14:textId="77777777" w:rsidR="00053D93" w:rsidRDefault="00260B75">
                  <w:pPr>
                    <w:ind w:left="835"/>
                  </w:pPr>
                  <w:r>
                    <w:rPr>
                      <w:sz w:val="14"/>
                    </w:rPr>
                    <w:t>MINISTERIO DE EDUCACION</w:t>
                  </w:r>
                </w:p>
                <w:p w14:paraId="06136437" w14:textId="77777777" w:rsidR="00053D93" w:rsidRDefault="00260B75">
                  <w:pPr>
                    <w:ind w:left="338"/>
                  </w:pPr>
                  <w:r>
                    <w:rPr>
                      <w:sz w:val="14"/>
                    </w:rPr>
                    <w:t>AUDITORIA FINANCIERA Y DE CUMPLIMIENTO</w:t>
                  </w:r>
                </w:p>
                <w:p w14:paraId="30F83BF1" w14:textId="77777777" w:rsidR="00053D93" w:rsidRDefault="00260B75">
                  <w:r>
                    <w:rPr>
                      <w:sz w:val="14"/>
                    </w:rPr>
                    <w:t>PERIODO DEL Dl DE ENERO AL al DE DICIEM3RE OE 2024</w:t>
                  </w:r>
                </w:p>
              </w:tc>
            </w:tr>
          </w:tbl>
          <w:p w14:paraId="7A66EE9F" w14:textId="77777777" w:rsidR="00053D93" w:rsidRDefault="00053D93"/>
        </w:tc>
      </w:tr>
    </w:tbl>
    <w:p w14:paraId="164C3E6F" w14:textId="77777777" w:rsidR="00053D93" w:rsidRDefault="00260B75">
      <w:pPr>
        <w:tabs>
          <w:tab w:val="center" w:pos="8705"/>
        </w:tabs>
        <w:spacing w:after="0" w:line="265" w:lineRule="auto"/>
      </w:pPr>
      <w:r>
        <w:rPr>
          <w:sz w:val="14"/>
        </w:rPr>
        <w:t>1</w:t>
      </w:r>
      <w:r>
        <w:rPr>
          <w:sz w:val="14"/>
        </w:rPr>
        <w:tab/>
        <w:t xml:space="preserve">EDUCACtÓN. </w:t>
      </w:r>
    </w:p>
    <w:p w14:paraId="0603DD14" w14:textId="77777777" w:rsidR="00053D93" w:rsidRDefault="00260B75">
      <w:pPr>
        <w:spacing w:after="27"/>
        <w:ind w:left="1469" w:right="-346"/>
      </w:pPr>
      <w:r>
        <w:rPr>
          <w:noProof/>
        </w:rPr>
        <w:drawing>
          <wp:inline distT="0" distB="0" distL="0" distR="0" wp14:anchorId="12685255" wp14:editId="472B3542">
            <wp:extent cx="5737860" cy="50292"/>
            <wp:effectExtent l="0" t="0" r="0" b="0"/>
            <wp:docPr id="2458651" name="Picture 2458651"/>
            <wp:cNvGraphicFramePr/>
            <a:graphic xmlns:a="http://schemas.openxmlformats.org/drawingml/2006/main">
              <a:graphicData uri="http://schemas.openxmlformats.org/drawingml/2006/picture">
                <pic:pic xmlns:pic="http://schemas.openxmlformats.org/drawingml/2006/picture">
                  <pic:nvPicPr>
                    <pic:cNvPr id="2458651" name="Picture 2458651"/>
                    <pic:cNvPicPr/>
                  </pic:nvPicPr>
                  <pic:blipFill>
                    <a:blip r:embed="rId1204"/>
                    <a:stretch>
                      <a:fillRect/>
                    </a:stretch>
                  </pic:blipFill>
                  <pic:spPr>
                    <a:xfrm>
                      <a:off x="0" y="0"/>
                      <a:ext cx="5737860" cy="50292"/>
                    </a:xfrm>
                    <a:prstGeom prst="rect">
                      <a:avLst/>
                    </a:prstGeom>
                  </pic:spPr>
                </pic:pic>
              </a:graphicData>
            </a:graphic>
          </wp:inline>
        </w:drawing>
      </w:r>
    </w:p>
    <w:p w14:paraId="5D44F6F2" w14:textId="77777777" w:rsidR="00053D93" w:rsidRDefault="00260B75">
      <w:pPr>
        <w:tabs>
          <w:tab w:val="right" w:pos="10152"/>
        </w:tabs>
        <w:spacing w:after="4" w:line="269" w:lineRule="auto"/>
      </w:pPr>
      <w:r>
        <w:rPr>
          <w:sz w:val="26"/>
        </w:rPr>
        <w:t>1</w:t>
      </w:r>
      <w:r>
        <w:rPr>
          <w:sz w:val="26"/>
        </w:rPr>
        <w:tab/>
        <w:t>para la delegación que participó en los Juegos Deportivos Escolares</w:t>
      </w:r>
    </w:p>
    <w:p w14:paraId="39C281F9" w14:textId="77777777" w:rsidR="00053D93" w:rsidRDefault="00260B75">
      <w:pPr>
        <w:spacing w:after="3" w:line="269" w:lineRule="auto"/>
        <w:ind w:left="67" w:right="14" w:hanging="10"/>
        <w:jc w:val="right"/>
      </w:pPr>
      <w:r>
        <w:rPr>
          <w:sz w:val="26"/>
        </w:rPr>
        <w:t>Centroamericanos del CODICADER, el Jefe Sección Alto Rendimiento Deportivo</w:t>
      </w:r>
    </w:p>
    <w:p w14:paraId="7601020C" w14:textId="77777777" w:rsidR="00053D93" w:rsidRDefault="00260B75">
      <w:pPr>
        <w:spacing w:after="186" w:line="269" w:lineRule="auto"/>
        <w:ind w:left="57" w:right="14" w:firstLine="1714"/>
        <w:jc w:val="both"/>
      </w:pPr>
      <w:r>
        <w:rPr>
          <w:sz w:val="26"/>
        </w:rPr>
        <w:t>Escolar, abusando de su cargo, envió un correo electrónico a la entidad LAX 1 TRAVEL, S.A. en donde adjuntó las nóminas de las personas que participarían en dicho evento, realizando así funciones que no le competen.</w:t>
      </w:r>
    </w:p>
    <w:p w14:paraId="1FB88956" w14:textId="77777777" w:rsidR="00053D93" w:rsidRDefault="00260B75">
      <w:pPr>
        <w:spacing w:after="3"/>
        <w:ind w:left="17" w:hanging="10"/>
      </w:pPr>
      <w:r>
        <w:rPr>
          <w:sz w:val="64"/>
        </w:rPr>
        <w:t>1</w:t>
      </w:r>
    </w:p>
    <w:p w14:paraId="05796F34" w14:textId="77777777" w:rsidR="00053D93" w:rsidRDefault="00260B75">
      <w:pPr>
        <w:spacing w:after="4" w:line="269" w:lineRule="auto"/>
        <w:ind w:left="57" w:right="14" w:firstLine="1721"/>
        <w:jc w:val="both"/>
      </w:pPr>
      <w:r>
        <w:rPr>
          <w:sz w:val="26"/>
        </w:rPr>
        <w:t>Es importante resaltar que, en el Formulario de Oferta, el Representante Legal de la entidad LAX TRAVEL, S.A., manifiesta tener conocimiento de las obligaciones a 1 contraer y acepta todas y cada una de las condiciones estipuladas en los documentos de Compra Directa por Ausencia de Ofertas y en caso de salir 1 favorecido con la adjudicación, se compromete con la prestación del servicio</w:t>
      </w:r>
    </w:p>
    <w:p w14:paraId="1EABD1E5" w14:textId="77777777" w:rsidR="00053D93" w:rsidRDefault="00260B75">
      <w:pPr>
        <w:spacing w:after="189" w:line="269" w:lineRule="auto"/>
        <w:ind w:left="1702" w:right="14" w:hanging="3"/>
        <w:jc w:val="both"/>
      </w:pPr>
      <w:r>
        <w:rPr>
          <w:sz w:val="26"/>
        </w:rPr>
        <w:t>objeto del contrato administrativo en las fechas establecidas en el calendario detallado en las especificaciones técnicas.</w:t>
      </w:r>
    </w:p>
    <w:p w14:paraId="409FF3EA" w14:textId="77777777" w:rsidR="00053D93" w:rsidRDefault="00260B75">
      <w:pPr>
        <w:spacing w:after="3" w:line="265" w:lineRule="auto"/>
        <w:ind w:left="-12" w:right="65" w:hanging="10"/>
      </w:pPr>
      <w:r>
        <w:rPr>
          <w:noProof/>
        </w:rPr>
        <w:drawing>
          <wp:inline distT="0" distB="0" distL="0" distR="0" wp14:anchorId="5FA70F86" wp14:editId="270B6CC3">
            <wp:extent cx="13716" cy="13716"/>
            <wp:effectExtent l="0" t="0" r="0" b="0"/>
            <wp:docPr id="861765" name="Picture 861765"/>
            <wp:cNvGraphicFramePr/>
            <a:graphic xmlns:a="http://schemas.openxmlformats.org/drawingml/2006/main">
              <a:graphicData uri="http://schemas.openxmlformats.org/drawingml/2006/picture">
                <pic:pic xmlns:pic="http://schemas.openxmlformats.org/drawingml/2006/picture">
                  <pic:nvPicPr>
                    <pic:cNvPr id="861765" name="Picture 861765"/>
                    <pic:cNvPicPr/>
                  </pic:nvPicPr>
                  <pic:blipFill>
                    <a:blip r:embed="rId895"/>
                    <a:stretch>
                      <a:fillRect/>
                    </a:stretch>
                  </pic:blipFill>
                  <pic:spPr>
                    <a:xfrm>
                      <a:off x="0" y="0"/>
                      <a:ext cx="13716" cy="13716"/>
                    </a:xfrm>
                    <a:prstGeom prst="rect">
                      <a:avLst/>
                    </a:prstGeom>
                  </pic:spPr>
                </pic:pic>
              </a:graphicData>
            </a:graphic>
          </wp:inline>
        </w:drawing>
      </w:r>
      <w:r>
        <w:rPr>
          <w:sz w:val="66"/>
        </w:rPr>
        <w:t>1</w:t>
      </w:r>
    </w:p>
    <w:p w14:paraId="535D3AEA" w14:textId="77777777" w:rsidR="00053D93" w:rsidRDefault="00260B75">
      <w:pPr>
        <w:spacing w:after="4" w:line="220" w:lineRule="auto"/>
        <w:ind w:left="57" w:right="14" w:firstLine="1404"/>
        <w:jc w:val="both"/>
      </w:pPr>
      <w:r>
        <w:rPr>
          <w:noProof/>
        </w:rPr>
        <w:drawing>
          <wp:inline distT="0" distB="0" distL="0" distR="0" wp14:anchorId="7C582996" wp14:editId="5D405AE6">
            <wp:extent cx="9144" cy="9144"/>
            <wp:effectExtent l="0" t="0" r="0" b="0"/>
            <wp:docPr id="861766" name="Picture 861766"/>
            <wp:cNvGraphicFramePr/>
            <a:graphic xmlns:a="http://schemas.openxmlformats.org/drawingml/2006/main">
              <a:graphicData uri="http://schemas.openxmlformats.org/drawingml/2006/picture">
                <pic:pic xmlns:pic="http://schemas.openxmlformats.org/drawingml/2006/picture">
                  <pic:nvPicPr>
                    <pic:cNvPr id="861766" name="Picture 861766"/>
                    <pic:cNvPicPr/>
                  </pic:nvPicPr>
                  <pic:blipFill>
                    <a:blip r:embed="rId93"/>
                    <a:stretch>
                      <a:fillRect/>
                    </a:stretch>
                  </pic:blipFill>
                  <pic:spPr>
                    <a:xfrm>
                      <a:off x="0" y="0"/>
                      <a:ext cx="9144" cy="9144"/>
                    </a:xfrm>
                    <a:prstGeom prst="rect">
                      <a:avLst/>
                    </a:prstGeom>
                  </pic:spPr>
                </pic:pic>
              </a:graphicData>
            </a:graphic>
          </wp:inline>
        </w:drawing>
      </w:r>
      <w:r>
        <w:rPr>
          <w:sz w:val="26"/>
        </w:rPr>
        <w:t xml:space="preserve"> La cotización anterior, se recibió y después de ser evaluada la oferta y los documentos del expediente del proceso, se adjudicó por parte de la Jefe de 1 Compras y el Técnico de Compras de la Dirección General de Educación Física</w:t>
      </w:r>
    </w:p>
    <w:p w14:paraId="3AA9F3DB" w14:textId="77777777" w:rsidR="00053D93" w:rsidRDefault="00260B75">
      <w:pPr>
        <w:spacing w:after="4" w:line="269" w:lineRule="auto"/>
        <w:ind w:left="-22" w:right="14" w:firstLine="1706"/>
        <w:jc w:val="both"/>
      </w:pPr>
      <w:r>
        <w:rPr>
          <w:noProof/>
        </w:rPr>
        <w:drawing>
          <wp:anchor distT="0" distB="0" distL="114300" distR="114300" simplePos="0" relativeHeight="252110848" behindDoc="0" locked="0" layoutInCell="1" allowOverlap="0" wp14:anchorId="08EC09B1" wp14:editId="623C8080">
            <wp:simplePos x="0" y="0"/>
            <wp:positionH relativeFrom="page">
              <wp:posOffset>356616</wp:posOffset>
            </wp:positionH>
            <wp:positionV relativeFrom="page">
              <wp:posOffset>320040</wp:posOffset>
            </wp:positionV>
            <wp:extent cx="4572" cy="4572"/>
            <wp:effectExtent l="0" t="0" r="0" b="0"/>
            <wp:wrapTopAndBottom/>
            <wp:docPr id="861761" name="Picture 861761"/>
            <wp:cNvGraphicFramePr/>
            <a:graphic xmlns:a="http://schemas.openxmlformats.org/drawingml/2006/main">
              <a:graphicData uri="http://schemas.openxmlformats.org/drawingml/2006/picture">
                <pic:pic xmlns:pic="http://schemas.openxmlformats.org/drawingml/2006/picture">
                  <pic:nvPicPr>
                    <pic:cNvPr id="861761" name="Picture 861761"/>
                    <pic:cNvPicPr/>
                  </pic:nvPicPr>
                  <pic:blipFill>
                    <a:blip r:embed="rId84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2111872" behindDoc="0" locked="0" layoutInCell="1" allowOverlap="0" wp14:anchorId="461A86FE" wp14:editId="02B9859C">
            <wp:simplePos x="0" y="0"/>
            <wp:positionH relativeFrom="page">
              <wp:posOffset>155448</wp:posOffset>
            </wp:positionH>
            <wp:positionV relativeFrom="page">
              <wp:posOffset>804672</wp:posOffset>
            </wp:positionV>
            <wp:extent cx="73152" cy="9144"/>
            <wp:effectExtent l="0" t="0" r="0" b="0"/>
            <wp:wrapTopAndBottom/>
            <wp:docPr id="861763" name="Picture 861763"/>
            <wp:cNvGraphicFramePr/>
            <a:graphic xmlns:a="http://schemas.openxmlformats.org/drawingml/2006/main">
              <a:graphicData uri="http://schemas.openxmlformats.org/drawingml/2006/picture">
                <pic:pic xmlns:pic="http://schemas.openxmlformats.org/drawingml/2006/picture">
                  <pic:nvPicPr>
                    <pic:cNvPr id="861763" name="Picture 861763"/>
                    <pic:cNvPicPr/>
                  </pic:nvPicPr>
                  <pic:blipFill>
                    <a:blip r:embed="rId1205"/>
                    <a:stretch>
                      <a:fillRect/>
                    </a:stretch>
                  </pic:blipFill>
                  <pic:spPr>
                    <a:xfrm>
                      <a:off x="0" y="0"/>
                      <a:ext cx="73152" cy="9144"/>
                    </a:xfrm>
                    <a:prstGeom prst="rect">
                      <a:avLst/>
                    </a:prstGeom>
                  </pic:spPr>
                </pic:pic>
              </a:graphicData>
            </a:graphic>
          </wp:anchor>
        </w:drawing>
      </w:r>
      <w:r>
        <w:rPr>
          <w:noProof/>
        </w:rPr>
        <w:drawing>
          <wp:anchor distT="0" distB="0" distL="114300" distR="114300" simplePos="0" relativeHeight="252112896" behindDoc="0" locked="0" layoutInCell="1" allowOverlap="0" wp14:anchorId="22476227" wp14:editId="278D39A7">
            <wp:simplePos x="0" y="0"/>
            <wp:positionH relativeFrom="page">
              <wp:posOffset>7059169</wp:posOffset>
            </wp:positionH>
            <wp:positionV relativeFrom="page">
              <wp:posOffset>1266444</wp:posOffset>
            </wp:positionV>
            <wp:extent cx="9144" cy="9144"/>
            <wp:effectExtent l="0" t="0" r="0" b="0"/>
            <wp:wrapSquare wrapText="bothSides"/>
            <wp:docPr id="861764" name="Picture 861764"/>
            <wp:cNvGraphicFramePr/>
            <a:graphic xmlns:a="http://schemas.openxmlformats.org/drawingml/2006/main">
              <a:graphicData uri="http://schemas.openxmlformats.org/drawingml/2006/picture">
                <pic:pic xmlns:pic="http://schemas.openxmlformats.org/drawingml/2006/picture">
                  <pic:nvPicPr>
                    <pic:cNvPr id="861764" name="Picture 861764"/>
                    <pic:cNvPicPr/>
                  </pic:nvPicPr>
                  <pic:blipFill>
                    <a:blip r:embed="rId93"/>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2113920" behindDoc="0" locked="0" layoutInCell="1" allowOverlap="0" wp14:anchorId="6FE99115" wp14:editId="6E6FD587">
            <wp:simplePos x="0" y="0"/>
            <wp:positionH relativeFrom="page">
              <wp:posOffset>196596</wp:posOffset>
            </wp:positionH>
            <wp:positionV relativeFrom="page">
              <wp:posOffset>6515100</wp:posOffset>
            </wp:positionV>
            <wp:extent cx="36576" cy="4573"/>
            <wp:effectExtent l="0" t="0" r="0" b="0"/>
            <wp:wrapSquare wrapText="bothSides"/>
            <wp:docPr id="861769" name="Picture 861769"/>
            <wp:cNvGraphicFramePr/>
            <a:graphic xmlns:a="http://schemas.openxmlformats.org/drawingml/2006/main">
              <a:graphicData uri="http://schemas.openxmlformats.org/drawingml/2006/picture">
                <pic:pic xmlns:pic="http://schemas.openxmlformats.org/drawingml/2006/picture">
                  <pic:nvPicPr>
                    <pic:cNvPr id="861769" name="Picture 861769"/>
                    <pic:cNvPicPr/>
                  </pic:nvPicPr>
                  <pic:blipFill>
                    <a:blip r:embed="rId844"/>
                    <a:stretch>
                      <a:fillRect/>
                    </a:stretch>
                  </pic:blipFill>
                  <pic:spPr>
                    <a:xfrm>
                      <a:off x="0" y="0"/>
                      <a:ext cx="36576" cy="4573"/>
                    </a:xfrm>
                    <a:prstGeom prst="rect">
                      <a:avLst/>
                    </a:prstGeom>
                  </pic:spPr>
                </pic:pic>
              </a:graphicData>
            </a:graphic>
          </wp:anchor>
        </w:drawing>
      </w:r>
      <w:r>
        <w:rPr>
          <w:sz w:val="26"/>
        </w:rPr>
        <w:t xml:space="preserve">-DIGEF-, mediante Acta No. 02-2024 del 08 de noviembre de 2024, por la cantidad </w:t>
      </w:r>
      <w:r>
        <w:rPr>
          <w:noProof/>
        </w:rPr>
        <w:drawing>
          <wp:inline distT="0" distB="0" distL="0" distR="0" wp14:anchorId="535F8278" wp14:editId="121D1B20">
            <wp:extent cx="13716" cy="4572"/>
            <wp:effectExtent l="0" t="0" r="0" b="0"/>
            <wp:docPr id="861767" name="Picture 861767"/>
            <wp:cNvGraphicFramePr/>
            <a:graphic xmlns:a="http://schemas.openxmlformats.org/drawingml/2006/main">
              <a:graphicData uri="http://schemas.openxmlformats.org/drawingml/2006/picture">
                <pic:pic xmlns:pic="http://schemas.openxmlformats.org/drawingml/2006/picture">
                  <pic:nvPicPr>
                    <pic:cNvPr id="861767" name="Picture 861767"/>
                    <pic:cNvPicPr/>
                  </pic:nvPicPr>
                  <pic:blipFill>
                    <a:blip r:embed="rId114"/>
                    <a:stretch>
                      <a:fillRect/>
                    </a:stretch>
                  </pic:blipFill>
                  <pic:spPr>
                    <a:xfrm>
                      <a:off x="0" y="0"/>
                      <a:ext cx="13716" cy="4572"/>
                    </a:xfrm>
                    <a:prstGeom prst="rect">
                      <a:avLst/>
                    </a:prstGeom>
                  </pic:spPr>
                </pic:pic>
              </a:graphicData>
            </a:graphic>
          </wp:inline>
        </w:drawing>
      </w:r>
      <w:r>
        <w:rPr>
          <w:sz w:val="26"/>
        </w:rPr>
        <w:t>1 ofertada y el 1 1 de noviembre de 2024 se suscribió el Contrato Administrativo Número 01-2024-DIGEF-CD, entre e' Director Temporal de la Dirección General de Educación Física -DIGEF- (Director General en Funciones) y la Gerente y 1 Representante Legal de la entidad LAX TRAVEL, S.A., por la cantidad de Q900,000.00; que representaban la adquisición de 188 boletos aéreos y un servicio de flete, bajo la partida presupuestaria número 2024 1 1 13 0008 109 04 00</w:t>
      </w:r>
    </w:p>
    <w:p w14:paraId="24FCF206" w14:textId="77777777" w:rsidR="00053D93" w:rsidRDefault="00260B75">
      <w:pPr>
        <w:spacing w:after="76"/>
        <w:ind w:left="-29"/>
      </w:pPr>
      <w:r>
        <w:rPr>
          <w:noProof/>
        </w:rPr>
        <w:drawing>
          <wp:inline distT="0" distB="0" distL="0" distR="0" wp14:anchorId="01A652D3" wp14:editId="64C424F8">
            <wp:extent cx="18288" cy="4572"/>
            <wp:effectExtent l="0" t="0" r="0" b="0"/>
            <wp:docPr id="861768" name="Picture 861768"/>
            <wp:cNvGraphicFramePr/>
            <a:graphic xmlns:a="http://schemas.openxmlformats.org/drawingml/2006/main">
              <a:graphicData uri="http://schemas.openxmlformats.org/drawingml/2006/picture">
                <pic:pic xmlns:pic="http://schemas.openxmlformats.org/drawingml/2006/picture">
                  <pic:nvPicPr>
                    <pic:cNvPr id="861768" name="Picture 861768"/>
                    <pic:cNvPicPr/>
                  </pic:nvPicPr>
                  <pic:blipFill>
                    <a:blip r:embed="rId93"/>
                    <a:stretch>
                      <a:fillRect/>
                    </a:stretch>
                  </pic:blipFill>
                  <pic:spPr>
                    <a:xfrm>
                      <a:off x="0" y="0"/>
                      <a:ext cx="18288" cy="4572"/>
                    </a:xfrm>
                    <a:prstGeom prst="rect">
                      <a:avLst/>
                    </a:prstGeom>
                  </pic:spPr>
                </pic:pic>
              </a:graphicData>
            </a:graphic>
          </wp:inline>
        </w:drawing>
      </w:r>
    </w:p>
    <w:p w14:paraId="16DDA560" w14:textId="77777777" w:rsidR="00053D93" w:rsidRDefault="00260B75">
      <w:pPr>
        <w:spacing w:after="153" w:line="269" w:lineRule="auto"/>
        <w:ind w:left="60" w:right="14" w:hanging="3"/>
        <w:jc w:val="both"/>
      </w:pPr>
      <w:r>
        <w:rPr>
          <w:sz w:val="26"/>
        </w:rPr>
        <w:t>1 000 001 000 141 0101 22000 0000 0000 de la DIGEF; contrato que fue aprobado mediante el Acuerdo Ministerial No. 3370-2024 del 1 1 de noviembre de 2024, 1 emitido por la Ministra y Viceministro de Educación.</w:t>
      </w:r>
    </w:p>
    <w:p w14:paraId="501E1B81" w14:textId="77777777" w:rsidR="00053D93" w:rsidRDefault="00260B75">
      <w:pPr>
        <w:spacing w:after="4" w:line="216" w:lineRule="auto"/>
        <w:ind w:left="57" w:right="14" w:firstLine="1649"/>
        <w:jc w:val="both"/>
      </w:pPr>
      <w:r>
        <w:rPr>
          <w:sz w:val="26"/>
        </w:rPr>
        <w:t>Posteriormente, el mismo 1 1 de noviembre de 2024, la Gerente y Representante 1 legal de la entidad LAX TRAVEL, S.A. indicó mediante oficio sin número, al</w:t>
      </w:r>
    </w:p>
    <w:p w14:paraId="2E121694" w14:textId="77777777" w:rsidR="00053D93" w:rsidRDefault="00260B75">
      <w:pPr>
        <w:spacing w:after="109" w:line="269" w:lineRule="auto"/>
        <w:ind w:left="57" w:right="14" w:firstLine="1642"/>
        <w:jc w:val="both"/>
      </w:pPr>
      <w:r>
        <w:rPr>
          <w:sz w:val="26"/>
        </w:rPr>
        <w:t>Director General en Funciones de la Dirección General de Educación Física -DIGEF-, que por causas de fuerza mayor ajenas a la institución, se realizaron 1 cambios de última hora por falta de disponibilidad dentro de la aerolínea, fechas y horarios, en donde se modificó la adquisición prevista de 188 a 107 boletos 1 aéreos, así como las fechas establecidas en el calendario adjunto a las Especificaciones Técnicas de las bases del evento, cuyos cambios fueron autorizados por el Director General en Funciones de la DIGEF, mediante Oficio 1 No. DG-2107-2024 del 1 1 de noviembre de 2024, dejando así a 81 participantes inscritos, fuera del evento adjudicado, lo cual contraviene el numeral 2, literal "a" con relación a la modificación de la cantidad de los boletos aéreos; así como, el 1 numeral 3.2.3, literal "b" y el numeral 7, con relación a la modificación del calendario de salidas y retornos establecido en las Especificaciones Técnicas del</w:t>
      </w:r>
    </w:p>
    <w:p w14:paraId="06F90921" w14:textId="77777777" w:rsidR="00053D93" w:rsidRDefault="00260B75">
      <w:pPr>
        <w:tabs>
          <w:tab w:val="right" w:pos="10152"/>
        </w:tabs>
        <w:spacing w:after="155" w:line="269" w:lineRule="auto"/>
      </w:pPr>
      <w:r>
        <w:rPr>
          <w:sz w:val="26"/>
        </w:rPr>
        <w:t>1</w:t>
      </w:r>
      <w:r>
        <w:rPr>
          <w:sz w:val="26"/>
        </w:rPr>
        <w:tab/>
        <w:t>proceso de cotización C-33/2024-MlNEDUC; ya que la cantidad de los boletos</w:t>
      </w:r>
    </w:p>
    <w:tbl>
      <w:tblPr>
        <w:tblStyle w:val="TableGrid"/>
        <w:tblpPr w:vertAnchor="text" w:tblpX="2474" w:tblpY="14"/>
        <w:tblOverlap w:val="never"/>
        <w:tblW w:w="7620" w:type="dxa"/>
        <w:tblInd w:w="0" w:type="dxa"/>
        <w:tblCellMar>
          <w:top w:w="28" w:type="dxa"/>
          <w:left w:w="1738" w:type="dxa"/>
          <w:right w:w="115" w:type="dxa"/>
        </w:tblCellMar>
        <w:tblLook w:val="04A0" w:firstRow="1" w:lastRow="0" w:firstColumn="1" w:lastColumn="0" w:noHBand="0" w:noVBand="1"/>
      </w:tblPr>
      <w:tblGrid>
        <w:gridCol w:w="7620"/>
      </w:tblGrid>
      <w:tr w:rsidR="00053D93" w14:paraId="1D0FD370" w14:textId="77777777">
        <w:trPr>
          <w:trHeight w:val="65"/>
        </w:trPr>
        <w:tc>
          <w:tcPr>
            <w:tcW w:w="7620" w:type="dxa"/>
            <w:tcBorders>
              <w:top w:val="nil"/>
              <w:left w:val="single" w:sz="2" w:space="0" w:color="000000"/>
              <w:bottom w:val="single" w:sz="2" w:space="0" w:color="000000"/>
              <w:right w:val="nil"/>
            </w:tcBorders>
          </w:tcPr>
          <w:p w14:paraId="1ADFF6E8" w14:textId="77777777" w:rsidR="00053D93" w:rsidRDefault="00053D93"/>
        </w:tc>
      </w:tr>
      <w:tr w:rsidR="00053D93" w14:paraId="3508E2A5" w14:textId="77777777">
        <w:trPr>
          <w:trHeight w:val="569"/>
        </w:trPr>
        <w:tc>
          <w:tcPr>
            <w:tcW w:w="7620" w:type="dxa"/>
            <w:tcBorders>
              <w:top w:val="single" w:sz="2" w:space="0" w:color="000000"/>
              <w:left w:val="single" w:sz="2" w:space="0" w:color="000000"/>
              <w:bottom w:val="nil"/>
              <w:right w:val="nil"/>
            </w:tcBorders>
          </w:tcPr>
          <w:p w14:paraId="032F2929" w14:textId="77777777" w:rsidR="00053D93" w:rsidRDefault="00260B75">
            <w:pPr>
              <w:ind w:left="842"/>
            </w:pPr>
            <w:r>
              <w:rPr>
                <w:sz w:val="14"/>
              </w:rPr>
              <w:t>MINISTERIO DE EDUCACION</w:t>
            </w:r>
          </w:p>
          <w:p w14:paraId="434AC995" w14:textId="77777777" w:rsidR="00053D93" w:rsidRDefault="00260B75">
            <w:pPr>
              <w:ind w:left="338"/>
            </w:pPr>
            <w:r>
              <w:rPr>
                <w:sz w:val="14"/>
              </w:rPr>
              <w:t>AUDITORIA FINANCIERA Y DE CUMPLIMIENTO</w:t>
            </w:r>
          </w:p>
          <w:p w14:paraId="2724421C" w14:textId="77777777" w:rsidR="00053D93" w:rsidRDefault="00260B75">
            <w:r>
              <w:rPr>
                <w:sz w:val="14"/>
              </w:rPr>
              <w:t>PERIODO DEL 01 DE ENERO AL 31 DE DICIEMBRE OE 2024</w:t>
            </w:r>
          </w:p>
        </w:tc>
      </w:tr>
    </w:tbl>
    <w:p w14:paraId="30EBAFCE" w14:textId="77777777" w:rsidR="00053D93" w:rsidRDefault="00260B75">
      <w:pPr>
        <w:spacing w:after="3" w:line="265" w:lineRule="auto"/>
        <w:ind w:left="60" w:right="65" w:hanging="10"/>
      </w:pPr>
      <w:r>
        <w:rPr>
          <w:sz w:val="66"/>
        </w:rPr>
        <w:t xml:space="preserve">1 </w:t>
      </w:r>
      <w:r>
        <w:rPr>
          <w:noProof/>
        </w:rPr>
        <w:drawing>
          <wp:inline distT="0" distB="0" distL="0" distR="0" wp14:anchorId="53CB2066" wp14:editId="32A6DA59">
            <wp:extent cx="1124712" cy="411480"/>
            <wp:effectExtent l="0" t="0" r="0" b="0"/>
            <wp:docPr id="861816" name="Picture 861816"/>
            <wp:cNvGraphicFramePr/>
            <a:graphic xmlns:a="http://schemas.openxmlformats.org/drawingml/2006/main">
              <a:graphicData uri="http://schemas.openxmlformats.org/drawingml/2006/picture">
                <pic:pic xmlns:pic="http://schemas.openxmlformats.org/drawingml/2006/picture">
                  <pic:nvPicPr>
                    <pic:cNvPr id="861816" name="Picture 861816"/>
                    <pic:cNvPicPr/>
                  </pic:nvPicPr>
                  <pic:blipFill>
                    <a:blip r:embed="rId1206"/>
                    <a:stretch>
                      <a:fillRect/>
                    </a:stretch>
                  </pic:blipFill>
                  <pic:spPr>
                    <a:xfrm>
                      <a:off x="0" y="0"/>
                      <a:ext cx="1124712" cy="411480"/>
                    </a:xfrm>
                    <a:prstGeom prst="rect">
                      <a:avLst/>
                    </a:prstGeom>
                  </pic:spPr>
                </pic:pic>
              </a:graphicData>
            </a:graphic>
          </wp:inline>
        </w:drawing>
      </w:r>
    </w:p>
    <w:p w14:paraId="5CC43FD6" w14:textId="77777777" w:rsidR="00053D93" w:rsidRDefault="00260B75">
      <w:pPr>
        <w:spacing w:after="36"/>
        <w:ind w:left="698" w:right="-259"/>
      </w:pPr>
      <w:r>
        <w:rPr>
          <w:noProof/>
        </w:rPr>
        <mc:AlternateContent>
          <mc:Choice Requires="wpg">
            <w:drawing>
              <wp:inline distT="0" distB="0" distL="0" distR="0" wp14:anchorId="46135462" wp14:editId="6E991B73">
                <wp:extent cx="6163056" cy="18288"/>
                <wp:effectExtent l="0" t="0" r="0" b="0"/>
                <wp:docPr id="2458654" name="Group 2458654"/>
                <wp:cNvGraphicFramePr/>
                <a:graphic xmlns:a="http://schemas.openxmlformats.org/drawingml/2006/main">
                  <a:graphicData uri="http://schemas.microsoft.com/office/word/2010/wordprocessingGroup">
                    <wpg:wgp>
                      <wpg:cNvGrpSpPr/>
                      <wpg:grpSpPr>
                        <a:xfrm>
                          <a:off x="0" y="0"/>
                          <a:ext cx="6163056" cy="18288"/>
                          <a:chOff x="0" y="0"/>
                          <a:chExt cx="6163056" cy="18288"/>
                        </a:xfrm>
                      </wpg:grpSpPr>
                      <wps:wsp>
                        <wps:cNvPr id="2458653" name="Shape 2458653"/>
                        <wps:cNvSpPr/>
                        <wps:spPr>
                          <a:xfrm>
                            <a:off x="0" y="0"/>
                            <a:ext cx="6163056" cy="18288"/>
                          </a:xfrm>
                          <a:custGeom>
                            <a:avLst/>
                            <a:gdLst/>
                            <a:ahLst/>
                            <a:cxnLst/>
                            <a:rect l="0" t="0" r="0" b="0"/>
                            <a:pathLst>
                              <a:path w="6163056" h="18288">
                                <a:moveTo>
                                  <a:pt x="0" y="9144"/>
                                </a:moveTo>
                                <a:lnTo>
                                  <a:pt x="616305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54" style="width:485.28pt;height:1.43999pt;mso-position-horizontal-relative:char;mso-position-vertical-relative:line" coordsize="61630,182">
                <v:shape id="Shape 2458653" style="position:absolute;width:61630;height:182;left:0;top:0;" coordsize="6163056,18288" path="m0,9144l6163056,9144">
                  <v:stroke weight="1.43999pt" endcap="flat" joinstyle="miter" miterlimit="1" on="true" color="#000000"/>
                  <v:fill on="false" color="#000000"/>
                </v:shape>
              </v:group>
            </w:pict>
          </mc:Fallback>
        </mc:AlternateContent>
      </w:r>
    </w:p>
    <w:p w14:paraId="6FD1D1F3" w14:textId="77777777" w:rsidR="00053D93" w:rsidRDefault="00260B75">
      <w:pPr>
        <w:spacing w:after="300" w:line="250" w:lineRule="auto"/>
        <w:ind w:left="1681" w:right="14" w:hanging="3"/>
        <w:jc w:val="both"/>
      </w:pPr>
      <w:r>
        <w:rPr>
          <w:sz w:val="26"/>
        </w:rPr>
        <w:t>aéreos podía disminuir a solicitud de la Dirección General de Educación Asica, con base en la nómina definitiva de los participantes inscritos en los Juegos Deportivos Escolares Centroamericanos del CODICADER, para estudiantes con discapacidad y no por solicitud del contratista, así como las razones para solicitar cambio de fecha por causas de fuerza mayor se contemplaban únicamente los fenómenos climáticos, epidemias o cambios en la programación general del evento; por lo que [a entidad LAX TRAVEL, S.A. debió cumplir con el servicio ofertado.</w:t>
      </w:r>
    </w:p>
    <w:p w14:paraId="5F7055FB" w14:textId="77777777" w:rsidR="00053D93" w:rsidRDefault="00260B75">
      <w:pPr>
        <w:spacing w:after="264" w:line="250" w:lineRule="auto"/>
        <w:ind w:left="1673" w:right="14" w:hanging="3"/>
        <w:jc w:val="both"/>
      </w:pPr>
      <w:r>
        <w:rPr>
          <w:sz w:val="26"/>
        </w:rPr>
        <w:t>A continuación, se detallan fos cambios realizados a solicitud de la entidad LAX TRAVEL, S.A.:</w:t>
      </w:r>
    </w:p>
    <w:p w14:paraId="739F5E04" w14:textId="77777777" w:rsidR="00053D93" w:rsidRDefault="00260B75">
      <w:pPr>
        <w:spacing w:after="0"/>
        <w:ind w:left="1695" w:right="29" w:hanging="10"/>
        <w:jc w:val="center"/>
      </w:pPr>
      <w:r>
        <w:rPr>
          <w:sz w:val="26"/>
        </w:rPr>
        <w:t>Cambios realizados en la cantidad de boletos aéreos adjudicados</w:t>
      </w:r>
    </w:p>
    <w:tbl>
      <w:tblPr>
        <w:tblStyle w:val="TableGrid"/>
        <w:tblW w:w="8460" w:type="dxa"/>
        <w:tblInd w:w="1685" w:type="dxa"/>
        <w:tblCellMar>
          <w:left w:w="75" w:type="dxa"/>
          <w:right w:w="41" w:type="dxa"/>
        </w:tblCellMar>
        <w:tblLook w:val="04A0" w:firstRow="1" w:lastRow="0" w:firstColumn="1" w:lastColumn="0" w:noHBand="0" w:noVBand="1"/>
      </w:tblPr>
      <w:tblGrid>
        <w:gridCol w:w="399"/>
        <w:gridCol w:w="1151"/>
        <w:gridCol w:w="948"/>
        <w:gridCol w:w="1012"/>
        <w:gridCol w:w="1039"/>
        <w:gridCol w:w="1043"/>
        <w:gridCol w:w="957"/>
        <w:gridCol w:w="998"/>
        <w:gridCol w:w="913"/>
      </w:tblGrid>
      <w:tr w:rsidR="00053D93" w14:paraId="7AF2004B" w14:textId="77777777">
        <w:trPr>
          <w:trHeight w:val="869"/>
        </w:trPr>
        <w:tc>
          <w:tcPr>
            <w:tcW w:w="401" w:type="dxa"/>
            <w:tcBorders>
              <w:top w:val="single" w:sz="2" w:space="0" w:color="000000"/>
              <w:left w:val="single" w:sz="2" w:space="0" w:color="000000"/>
              <w:bottom w:val="single" w:sz="2" w:space="0" w:color="000000"/>
              <w:right w:val="single" w:sz="2" w:space="0" w:color="000000"/>
            </w:tcBorders>
          </w:tcPr>
          <w:p w14:paraId="43E6A581" w14:textId="77777777" w:rsidR="00053D93" w:rsidRDefault="00053D93"/>
        </w:tc>
        <w:tc>
          <w:tcPr>
            <w:tcW w:w="1152" w:type="dxa"/>
            <w:tcBorders>
              <w:top w:val="single" w:sz="2" w:space="0" w:color="000000"/>
              <w:left w:val="single" w:sz="2" w:space="0" w:color="000000"/>
              <w:bottom w:val="single" w:sz="2" w:space="0" w:color="000000"/>
              <w:right w:val="single" w:sz="2" w:space="0" w:color="000000"/>
            </w:tcBorders>
          </w:tcPr>
          <w:p w14:paraId="02682EFE" w14:textId="77777777" w:rsidR="00053D93" w:rsidRDefault="00053D93"/>
        </w:tc>
        <w:tc>
          <w:tcPr>
            <w:tcW w:w="950" w:type="dxa"/>
            <w:tcBorders>
              <w:top w:val="single" w:sz="2" w:space="0" w:color="000000"/>
              <w:left w:val="single" w:sz="2" w:space="0" w:color="000000"/>
              <w:bottom w:val="single" w:sz="2" w:space="0" w:color="000000"/>
              <w:right w:val="single" w:sz="2" w:space="0" w:color="000000"/>
            </w:tcBorders>
            <w:vAlign w:val="center"/>
          </w:tcPr>
          <w:p w14:paraId="71DF73AD" w14:textId="77777777" w:rsidR="00053D93" w:rsidRDefault="00260B75">
            <w:pPr>
              <w:jc w:val="center"/>
            </w:pPr>
            <w:r>
              <w:rPr>
                <w:sz w:val="18"/>
              </w:rPr>
              <w:t>de Atletas requerido</w:t>
            </w:r>
          </w:p>
        </w:tc>
        <w:tc>
          <w:tcPr>
            <w:tcW w:w="996" w:type="dxa"/>
            <w:tcBorders>
              <w:top w:val="single" w:sz="2" w:space="0" w:color="000000"/>
              <w:left w:val="single" w:sz="2" w:space="0" w:color="000000"/>
              <w:bottom w:val="single" w:sz="2" w:space="0" w:color="000000"/>
              <w:right w:val="single" w:sz="2" w:space="0" w:color="000000"/>
            </w:tcBorders>
          </w:tcPr>
          <w:p w14:paraId="2465B6E7" w14:textId="77777777" w:rsidR="00053D93" w:rsidRDefault="00260B75">
            <w:pPr>
              <w:ind w:left="14" w:right="59" w:firstLine="1"/>
              <w:jc w:val="center"/>
            </w:pPr>
            <w:r>
              <w:rPr>
                <w:sz w:val="18"/>
              </w:rPr>
              <w:t>Cantidad de Atletas modificado</w:t>
            </w:r>
          </w:p>
        </w:tc>
        <w:tc>
          <w:tcPr>
            <w:tcW w:w="1041" w:type="dxa"/>
            <w:tcBorders>
              <w:top w:val="single" w:sz="2" w:space="0" w:color="000000"/>
              <w:left w:val="single" w:sz="2" w:space="0" w:color="000000"/>
              <w:bottom w:val="single" w:sz="2" w:space="0" w:color="000000"/>
              <w:right w:val="single" w:sz="2" w:space="0" w:color="000000"/>
            </w:tcBorders>
          </w:tcPr>
          <w:p w14:paraId="6D267A7B" w14:textId="77777777" w:rsidR="00053D93" w:rsidRDefault="00260B75">
            <w:pPr>
              <w:ind w:left="12"/>
            </w:pPr>
            <w:r>
              <w:rPr>
                <w:sz w:val="18"/>
              </w:rPr>
              <w:t>Cantidad de</w:t>
            </w:r>
          </w:p>
          <w:p w14:paraId="7835B438" w14:textId="77777777" w:rsidR="00053D93" w:rsidRDefault="00260B75">
            <w:pPr>
              <w:ind w:right="45"/>
              <w:jc w:val="center"/>
            </w:pPr>
            <w:r>
              <w:rPr>
                <w:sz w:val="18"/>
              </w:rPr>
              <w:t>Cuerpo</w:t>
            </w:r>
          </w:p>
          <w:p w14:paraId="3F4FCC25" w14:textId="77777777" w:rsidR="00053D93" w:rsidRDefault="00260B75">
            <w:pPr>
              <w:ind w:left="98" w:firstLine="58"/>
            </w:pPr>
            <w:r>
              <w:rPr>
                <w:sz w:val="18"/>
              </w:rPr>
              <w:t>Técnico requerido</w:t>
            </w:r>
          </w:p>
        </w:tc>
        <w:tc>
          <w:tcPr>
            <w:tcW w:w="1044" w:type="dxa"/>
            <w:tcBorders>
              <w:top w:val="single" w:sz="2" w:space="0" w:color="000000"/>
              <w:left w:val="single" w:sz="2" w:space="0" w:color="000000"/>
              <w:bottom w:val="single" w:sz="2" w:space="0" w:color="000000"/>
              <w:right w:val="single" w:sz="2" w:space="0" w:color="000000"/>
            </w:tcBorders>
          </w:tcPr>
          <w:p w14:paraId="73576E65" w14:textId="77777777" w:rsidR="00053D93" w:rsidRDefault="00260B75">
            <w:pPr>
              <w:ind w:left="43" w:hanging="29"/>
            </w:pPr>
            <w:r>
              <w:rPr>
                <w:sz w:val="18"/>
              </w:rPr>
              <w:t>Cantidad de Cuerpo técnico modificado</w:t>
            </w:r>
          </w:p>
        </w:tc>
        <w:tc>
          <w:tcPr>
            <w:tcW w:w="958" w:type="dxa"/>
            <w:tcBorders>
              <w:top w:val="single" w:sz="2" w:space="0" w:color="000000"/>
              <w:left w:val="single" w:sz="2" w:space="0" w:color="000000"/>
              <w:bottom w:val="single" w:sz="2" w:space="0" w:color="000000"/>
              <w:right w:val="single" w:sz="2" w:space="0" w:color="000000"/>
            </w:tcBorders>
          </w:tcPr>
          <w:p w14:paraId="7C33196A" w14:textId="77777777" w:rsidR="00053D93" w:rsidRDefault="00260B75">
            <w:pPr>
              <w:spacing w:after="43" w:line="228" w:lineRule="auto"/>
              <w:ind w:left="50" w:firstLine="166"/>
            </w:pPr>
            <w:r>
              <w:rPr>
                <w:sz w:val="18"/>
              </w:rPr>
              <w:t xml:space="preserve">Total requerido </w:t>
            </w:r>
          </w:p>
          <w:p w14:paraId="4F62FA1B" w14:textId="77777777" w:rsidR="00053D93" w:rsidRDefault="00260B75">
            <w:pPr>
              <w:ind w:right="42"/>
              <w:jc w:val="center"/>
            </w:pPr>
            <w:r>
              <w:rPr>
                <w:sz w:val="16"/>
              </w:rPr>
              <w:t>(1)</w:t>
            </w:r>
          </w:p>
        </w:tc>
        <w:tc>
          <w:tcPr>
            <w:tcW w:w="1003" w:type="dxa"/>
            <w:tcBorders>
              <w:top w:val="single" w:sz="2" w:space="0" w:color="000000"/>
              <w:left w:val="single" w:sz="2" w:space="0" w:color="000000"/>
              <w:bottom w:val="single" w:sz="2" w:space="0" w:color="000000"/>
              <w:right w:val="single" w:sz="2" w:space="0" w:color="000000"/>
            </w:tcBorders>
          </w:tcPr>
          <w:p w14:paraId="2321CEBA" w14:textId="77777777" w:rsidR="00053D93" w:rsidRDefault="00260B75">
            <w:pPr>
              <w:spacing w:after="4" w:line="232" w:lineRule="auto"/>
              <w:ind w:left="14" w:firstLine="223"/>
            </w:pPr>
            <w:r>
              <w:rPr>
                <w:sz w:val="18"/>
              </w:rPr>
              <w:t>Total mod ificado</w:t>
            </w:r>
          </w:p>
          <w:p w14:paraId="63048524" w14:textId="77777777" w:rsidR="00053D93" w:rsidRDefault="00260B75">
            <w:pPr>
              <w:ind w:right="45"/>
              <w:jc w:val="center"/>
            </w:pPr>
            <w:r>
              <w:rPr>
                <w:sz w:val="16"/>
              </w:rPr>
              <w:t>(2)</w:t>
            </w:r>
          </w:p>
        </w:tc>
        <w:tc>
          <w:tcPr>
            <w:tcW w:w="914" w:type="dxa"/>
            <w:tcBorders>
              <w:top w:val="single" w:sz="2" w:space="0" w:color="000000"/>
              <w:left w:val="single" w:sz="2" w:space="0" w:color="000000"/>
              <w:bottom w:val="single" w:sz="2" w:space="0" w:color="000000"/>
              <w:right w:val="single" w:sz="2" w:space="0" w:color="000000"/>
            </w:tcBorders>
          </w:tcPr>
          <w:p w14:paraId="3F74B289" w14:textId="77777777" w:rsidR="00053D93" w:rsidRDefault="00260B75">
            <w:pPr>
              <w:ind w:left="12"/>
            </w:pPr>
            <w:r>
              <w:rPr>
                <w:sz w:val="18"/>
              </w:rPr>
              <w:t>Diferencia</w:t>
            </w:r>
          </w:p>
        </w:tc>
      </w:tr>
      <w:tr w:rsidR="00053D93" w14:paraId="2082D45C" w14:textId="77777777">
        <w:trPr>
          <w:trHeight w:val="828"/>
        </w:trPr>
        <w:tc>
          <w:tcPr>
            <w:tcW w:w="401" w:type="dxa"/>
            <w:tcBorders>
              <w:top w:val="single" w:sz="2" w:space="0" w:color="000000"/>
              <w:left w:val="single" w:sz="2" w:space="0" w:color="000000"/>
              <w:bottom w:val="single" w:sz="2" w:space="0" w:color="000000"/>
              <w:right w:val="single" w:sz="2" w:space="0" w:color="000000"/>
            </w:tcBorders>
          </w:tcPr>
          <w:p w14:paraId="310224E0" w14:textId="77777777" w:rsidR="00053D93" w:rsidRDefault="00053D93"/>
        </w:tc>
        <w:tc>
          <w:tcPr>
            <w:tcW w:w="1152" w:type="dxa"/>
            <w:tcBorders>
              <w:top w:val="single" w:sz="2" w:space="0" w:color="000000"/>
              <w:left w:val="single" w:sz="2" w:space="0" w:color="000000"/>
              <w:bottom w:val="single" w:sz="2" w:space="0" w:color="000000"/>
              <w:right w:val="single" w:sz="2" w:space="0" w:color="000000"/>
            </w:tcBorders>
          </w:tcPr>
          <w:p w14:paraId="3A4D60F2" w14:textId="77777777" w:rsidR="00053D93" w:rsidRDefault="00260B75">
            <w:pPr>
              <w:spacing w:line="216" w:lineRule="auto"/>
              <w:ind w:right="42"/>
              <w:jc w:val="both"/>
            </w:pPr>
            <w:r>
              <w:rPr>
                <w:sz w:val="18"/>
              </w:rPr>
              <w:t>Jefe de misión y miembro de la comisión</w:t>
            </w:r>
          </w:p>
          <w:p w14:paraId="458CE6E6" w14:textId="77777777" w:rsidR="00053D93" w:rsidRDefault="00260B75">
            <w:r>
              <w:rPr>
                <w:sz w:val="16"/>
              </w:rPr>
              <w:t>técnica</w:t>
            </w:r>
          </w:p>
        </w:tc>
        <w:tc>
          <w:tcPr>
            <w:tcW w:w="950" w:type="dxa"/>
            <w:tcBorders>
              <w:top w:val="single" w:sz="2" w:space="0" w:color="000000"/>
              <w:left w:val="single" w:sz="2" w:space="0" w:color="000000"/>
              <w:bottom w:val="single" w:sz="2" w:space="0" w:color="000000"/>
              <w:right w:val="single" w:sz="2" w:space="0" w:color="000000"/>
            </w:tcBorders>
          </w:tcPr>
          <w:p w14:paraId="4982EE3B" w14:textId="77777777" w:rsidR="00053D93" w:rsidRDefault="00053D93"/>
        </w:tc>
        <w:tc>
          <w:tcPr>
            <w:tcW w:w="996" w:type="dxa"/>
            <w:tcBorders>
              <w:top w:val="single" w:sz="2" w:space="0" w:color="000000"/>
              <w:left w:val="single" w:sz="2" w:space="0" w:color="000000"/>
              <w:bottom w:val="single" w:sz="2" w:space="0" w:color="000000"/>
              <w:right w:val="single" w:sz="2" w:space="0" w:color="000000"/>
            </w:tcBorders>
          </w:tcPr>
          <w:p w14:paraId="3EFA1DC2" w14:textId="77777777" w:rsidR="00053D93" w:rsidRDefault="00053D93"/>
        </w:tc>
        <w:tc>
          <w:tcPr>
            <w:tcW w:w="1041" w:type="dxa"/>
            <w:tcBorders>
              <w:top w:val="single" w:sz="2" w:space="0" w:color="000000"/>
              <w:left w:val="single" w:sz="2" w:space="0" w:color="000000"/>
              <w:bottom w:val="single" w:sz="2" w:space="0" w:color="000000"/>
              <w:right w:val="single" w:sz="2" w:space="0" w:color="000000"/>
            </w:tcBorders>
          </w:tcPr>
          <w:p w14:paraId="1C546A87" w14:textId="77777777" w:rsidR="00053D93" w:rsidRDefault="00260B75">
            <w:pPr>
              <w:ind w:right="45"/>
              <w:jc w:val="center"/>
            </w:pPr>
            <w:r>
              <w:rPr>
                <w:sz w:val="18"/>
              </w:rPr>
              <w:t>2</w:t>
            </w:r>
          </w:p>
        </w:tc>
        <w:tc>
          <w:tcPr>
            <w:tcW w:w="1044" w:type="dxa"/>
            <w:tcBorders>
              <w:top w:val="single" w:sz="2" w:space="0" w:color="000000"/>
              <w:left w:val="single" w:sz="2" w:space="0" w:color="000000"/>
              <w:bottom w:val="single" w:sz="2" w:space="0" w:color="000000"/>
              <w:right w:val="single" w:sz="2" w:space="0" w:color="000000"/>
            </w:tcBorders>
          </w:tcPr>
          <w:p w14:paraId="6D8788B8" w14:textId="77777777" w:rsidR="00053D93" w:rsidRDefault="00053D93"/>
        </w:tc>
        <w:tc>
          <w:tcPr>
            <w:tcW w:w="958" w:type="dxa"/>
            <w:tcBorders>
              <w:top w:val="single" w:sz="2" w:space="0" w:color="000000"/>
              <w:left w:val="single" w:sz="2" w:space="0" w:color="000000"/>
              <w:bottom w:val="single" w:sz="2" w:space="0" w:color="000000"/>
              <w:right w:val="single" w:sz="2" w:space="0" w:color="000000"/>
            </w:tcBorders>
          </w:tcPr>
          <w:p w14:paraId="0394E638" w14:textId="77777777" w:rsidR="00053D93" w:rsidRDefault="00260B75">
            <w:pPr>
              <w:ind w:right="49"/>
              <w:jc w:val="center"/>
            </w:pPr>
            <w:r>
              <w:rPr>
                <w:sz w:val="16"/>
              </w:rPr>
              <w:t>2</w:t>
            </w:r>
          </w:p>
        </w:tc>
        <w:tc>
          <w:tcPr>
            <w:tcW w:w="1003" w:type="dxa"/>
            <w:tcBorders>
              <w:top w:val="single" w:sz="2" w:space="0" w:color="000000"/>
              <w:left w:val="single" w:sz="2" w:space="0" w:color="000000"/>
              <w:bottom w:val="single" w:sz="2" w:space="0" w:color="000000"/>
              <w:right w:val="single" w:sz="2" w:space="0" w:color="000000"/>
            </w:tcBorders>
          </w:tcPr>
          <w:p w14:paraId="0250B110" w14:textId="77777777" w:rsidR="00053D93" w:rsidRDefault="00053D93"/>
        </w:tc>
        <w:tc>
          <w:tcPr>
            <w:tcW w:w="914" w:type="dxa"/>
            <w:tcBorders>
              <w:top w:val="single" w:sz="2" w:space="0" w:color="000000"/>
              <w:left w:val="single" w:sz="2" w:space="0" w:color="000000"/>
              <w:bottom w:val="single" w:sz="2" w:space="0" w:color="000000"/>
              <w:right w:val="single" w:sz="2" w:space="0" w:color="000000"/>
            </w:tcBorders>
          </w:tcPr>
          <w:p w14:paraId="6CA5678F" w14:textId="77777777" w:rsidR="00053D93" w:rsidRDefault="00260B75">
            <w:pPr>
              <w:ind w:right="55"/>
              <w:jc w:val="center"/>
            </w:pPr>
            <w:r>
              <w:rPr>
                <w:sz w:val="16"/>
              </w:rPr>
              <w:t>2</w:t>
            </w:r>
          </w:p>
        </w:tc>
      </w:tr>
      <w:tr w:rsidR="00053D93" w14:paraId="01C3B394" w14:textId="77777777">
        <w:trPr>
          <w:trHeight w:val="428"/>
        </w:trPr>
        <w:tc>
          <w:tcPr>
            <w:tcW w:w="401" w:type="dxa"/>
            <w:tcBorders>
              <w:top w:val="single" w:sz="2" w:space="0" w:color="000000"/>
              <w:left w:val="single" w:sz="2" w:space="0" w:color="000000"/>
              <w:bottom w:val="single" w:sz="2" w:space="0" w:color="000000"/>
              <w:right w:val="single" w:sz="2" w:space="0" w:color="000000"/>
            </w:tcBorders>
          </w:tcPr>
          <w:p w14:paraId="56199E1E" w14:textId="77777777" w:rsidR="00053D93" w:rsidRDefault="00260B75">
            <w:pPr>
              <w:ind w:right="52"/>
              <w:jc w:val="center"/>
            </w:pPr>
            <w:r>
              <w:rPr>
                <w:sz w:val="14"/>
              </w:rPr>
              <w:t>2</w:t>
            </w:r>
          </w:p>
        </w:tc>
        <w:tc>
          <w:tcPr>
            <w:tcW w:w="1152" w:type="dxa"/>
            <w:tcBorders>
              <w:top w:val="single" w:sz="2" w:space="0" w:color="000000"/>
              <w:left w:val="single" w:sz="2" w:space="0" w:color="000000"/>
              <w:bottom w:val="single" w:sz="2" w:space="0" w:color="000000"/>
              <w:right w:val="single" w:sz="2" w:space="0" w:color="000000"/>
            </w:tcBorders>
          </w:tcPr>
          <w:p w14:paraId="2FD3D6CA" w14:textId="77777777" w:rsidR="00053D93" w:rsidRDefault="00260B75">
            <w:pPr>
              <w:ind w:left="7" w:hanging="7"/>
            </w:pPr>
            <w:r>
              <w:rPr>
                <w:sz w:val="16"/>
              </w:rPr>
              <w:t>Atletismo nivel primario</w:t>
            </w:r>
          </w:p>
        </w:tc>
        <w:tc>
          <w:tcPr>
            <w:tcW w:w="950" w:type="dxa"/>
            <w:tcBorders>
              <w:top w:val="single" w:sz="2" w:space="0" w:color="000000"/>
              <w:left w:val="single" w:sz="2" w:space="0" w:color="000000"/>
              <w:bottom w:val="single" w:sz="2" w:space="0" w:color="000000"/>
              <w:right w:val="single" w:sz="2" w:space="0" w:color="000000"/>
            </w:tcBorders>
          </w:tcPr>
          <w:p w14:paraId="6CE3E0D1" w14:textId="77777777" w:rsidR="00053D93" w:rsidRDefault="00260B75">
            <w:pPr>
              <w:ind w:right="57"/>
              <w:jc w:val="center"/>
            </w:pPr>
            <w:r>
              <w:rPr>
                <w:sz w:val="16"/>
              </w:rPr>
              <w:t>40</w:t>
            </w:r>
          </w:p>
        </w:tc>
        <w:tc>
          <w:tcPr>
            <w:tcW w:w="996" w:type="dxa"/>
            <w:tcBorders>
              <w:top w:val="single" w:sz="2" w:space="0" w:color="000000"/>
              <w:left w:val="single" w:sz="2" w:space="0" w:color="000000"/>
              <w:bottom w:val="single" w:sz="2" w:space="0" w:color="000000"/>
              <w:right w:val="single" w:sz="2" w:space="0" w:color="000000"/>
            </w:tcBorders>
          </w:tcPr>
          <w:p w14:paraId="7D349F2B" w14:textId="77777777" w:rsidR="00053D93" w:rsidRDefault="00260B75">
            <w:pPr>
              <w:ind w:right="38"/>
              <w:jc w:val="center"/>
            </w:pPr>
            <w:r>
              <w:rPr>
                <w:sz w:val="18"/>
              </w:rPr>
              <w:t>18</w:t>
            </w:r>
          </w:p>
        </w:tc>
        <w:tc>
          <w:tcPr>
            <w:tcW w:w="1041" w:type="dxa"/>
            <w:tcBorders>
              <w:top w:val="single" w:sz="2" w:space="0" w:color="000000"/>
              <w:left w:val="single" w:sz="2" w:space="0" w:color="000000"/>
              <w:bottom w:val="single" w:sz="2" w:space="0" w:color="000000"/>
              <w:right w:val="single" w:sz="2" w:space="0" w:color="000000"/>
            </w:tcBorders>
          </w:tcPr>
          <w:p w14:paraId="66CB2E87" w14:textId="77777777" w:rsidR="00053D93" w:rsidRDefault="00260B75">
            <w:pPr>
              <w:ind w:right="45"/>
              <w:jc w:val="center"/>
            </w:pPr>
            <w:r>
              <w:rPr>
                <w:sz w:val="16"/>
              </w:rPr>
              <w:t>9</w:t>
            </w:r>
          </w:p>
        </w:tc>
        <w:tc>
          <w:tcPr>
            <w:tcW w:w="1044" w:type="dxa"/>
            <w:tcBorders>
              <w:top w:val="single" w:sz="2" w:space="0" w:color="000000"/>
              <w:left w:val="single" w:sz="2" w:space="0" w:color="000000"/>
              <w:bottom w:val="single" w:sz="2" w:space="0" w:color="000000"/>
              <w:right w:val="single" w:sz="2" w:space="0" w:color="000000"/>
            </w:tcBorders>
          </w:tcPr>
          <w:p w14:paraId="1BC4DF44" w14:textId="77777777" w:rsidR="00053D93" w:rsidRDefault="00260B75">
            <w:pPr>
              <w:ind w:right="49"/>
              <w:jc w:val="center"/>
            </w:pPr>
            <w:r>
              <w:rPr>
                <w:sz w:val="18"/>
              </w:rPr>
              <w:t>6</w:t>
            </w:r>
          </w:p>
        </w:tc>
        <w:tc>
          <w:tcPr>
            <w:tcW w:w="958" w:type="dxa"/>
            <w:tcBorders>
              <w:top w:val="single" w:sz="2" w:space="0" w:color="000000"/>
              <w:left w:val="single" w:sz="2" w:space="0" w:color="000000"/>
              <w:bottom w:val="single" w:sz="2" w:space="0" w:color="000000"/>
              <w:right w:val="single" w:sz="2" w:space="0" w:color="000000"/>
            </w:tcBorders>
          </w:tcPr>
          <w:p w14:paraId="6AB5EE98" w14:textId="77777777" w:rsidR="00053D93" w:rsidRDefault="00260B75">
            <w:pPr>
              <w:ind w:right="57"/>
              <w:jc w:val="center"/>
            </w:pPr>
            <w:r>
              <w:rPr>
                <w:sz w:val="18"/>
              </w:rPr>
              <w:t>49</w:t>
            </w:r>
          </w:p>
        </w:tc>
        <w:tc>
          <w:tcPr>
            <w:tcW w:w="1003" w:type="dxa"/>
            <w:tcBorders>
              <w:top w:val="single" w:sz="2" w:space="0" w:color="000000"/>
              <w:left w:val="single" w:sz="2" w:space="0" w:color="000000"/>
              <w:bottom w:val="single" w:sz="2" w:space="0" w:color="000000"/>
              <w:right w:val="single" w:sz="2" w:space="0" w:color="000000"/>
            </w:tcBorders>
          </w:tcPr>
          <w:p w14:paraId="608F3494" w14:textId="77777777" w:rsidR="00053D93" w:rsidRDefault="00260B75">
            <w:pPr>
              <w:ind w:right="45"/>
              <w:jc w:val="center"/>
            </w:pPr>
            <w:r>
              <w:rPr>
                <w:sz w:val="16"/>
              </w:rPr>
              <w:t>24</w:t>
            </w:r>
          </w:p>
        </w:tc>
        <w:tc>
          <w:tcPr>
            <w:tcW w:w="914" w:type="dxa"/>
            <w:tcBorders>
              <w:top w:val="single" w:sz="2" w:space="0" w:color="000000"/>
              <w:left w:val="single" w:sz="2" w:space="0" w:color="000000"/>
              <w:bottom w:val="single" w:sz="2" w:space="0" w:color="000000"/>
              <w:right w:val="single" w:sz="2" w:space="0" w:color="000000"/>
            </w:tcBorders>
          </w:tcPr>
          <w:p w14:paraId="70E0F92A" w14:textId="77777777" w:rsidR="00053D93" w:rsidRDefault="00260B75">
            <w:pPr>
              <w:ind w:right="40"/>
              <w:jc w:val="center"/>
            </w:pPr>
            <w:r>
              <w:rPr>
                <w:sz w:val="18"/>
              </w:rPr>
              <w:t>25</w:t>
            </w:r>
          </w:p>
        </w:tc>
      </w:tr>
      <w:tr w:rsidR="00053D93" w14:paraId="56D59C0C" w14:textId="77777777">
        <w:trPr>
          <w:trHeight w:val="425"/>
        </w:trPr>
        <w:tc>
          <w:tcPr>
            <w:tcW w:w="401" w:type="dxa"/>
            <w:tcBorders>
              <w:top w:val="single" w:sz="2" w:space="0" w:color="000000"/>
              <w:left w:val="single" w:sz="2" w:space="0" w:color="000000"/>
              <w:bottom w:val="single" w:sz="2" w:space="0" w:color="000000"/>
              <w:right w:val="single" w:sz="2" w:space="0" w:color="000000"/>
            </w:tcBorders>
          </w:tcPr>
          <w:p w14:paraId="4BCCD6DC" w14:textId="77777777" w:rsidR="00053D93" w:rsidRDefault="00260B75">
            <w:pPr>
              <w:ind w:right="45"/>
              <w:jc w:val="center"/>
            </w:pPr>
            <w:r>
              <w:rPr>
                <w:sz w:val="20"/>
              </w:rPr>
              <w:t>3</w:t>
            </w:r>
          </w:p>
        </w:tc>
        <w:tc>
          <w:tcPr>
            <w:tcW w:w="1152" w:type="dxa"/>
            <w:tcBorders>
              <w:top w:val="single" w:sz="2" w:space="0" w:color="000000"/>
              <w:left w:val="single" w:sz="2" w:space="0" w:color="000000"/>
              <w:bottom w:val="single" w:sz="2" w:space="0" w:color="000000"/>
              <w:right w:val="single" w:sz="2" w:space="0" w:color="000000"/>
            </w:tcBorders>
          </w:tcPr>
          <w:p w14:paraId="0C5B8234" w14:textId="77777777" w:rsidR="00053D93" w:rsidRDefault="00260B75">
            <w:pPr>
              <w:ind w:left="7"/>
            </w:pPr>
            <w:r>
              <w:rPr>
                <w:sz w:val="18"/>
              </w:rPr>
              <w:t>Natación nivel primario</w:t>
            </w:r>
          </w:p>
        </w:tc>
        <w:tc>
          <w:tcPr>
            <w:tcW w:w="950" w:type="dxa"/>
            <w:tcBorders>
              <w:top w:val="single" w:sz="2" w:space="0" w:color="000000"/>
              <w:left w:val="single" w:sz="2" w:space="0" w:color="000000"/>
              <w:bottom w:val="single" w:sz="2" w:space="0" w:color="000000"/>
              <w:right w:val="single" w:sz="2" w:space="0" w:color="000000"/>
            </w:tcBorders>
          </w:tcPr>
          <w:p w14:paraId="2D9ECBED" w14:textId="77777777" w:rsidR="00053D93" w:rsidRDefault="00260B75">
            <w:pPr>
              <w:ind w:right="42"/>
              <w:jc w:val="center"/>
            </w:pPr>
            <w:r>
              <w:rPr>
                <w:sz w:val="16"/>
              </w:rPr>
              <w:t>20</w:t>
            </w:r>
          </w:p>
        </w:tc>
        <w:tc>
          <w:tcPr>
            <w:tcW w:w="996" w:type="dxa"/>
            <w:tcBorders>
              <w:top w:val="single" w:sz="2" w:space="0" w:color="000000"/>
              <w:left w:val="single" w:sz="2" w:space="0" w:color="000000"/>
              <w:bottom w:val="single" w:sz="2" w:space="0" w:color="000000"/>
              <w:right w:val="single" w:sz="2" w:space="0" w:color="000000"/>
            </w:tcBorders>
          </w:tcPr>
          <w:p w14:paraId="4001FE11" w14:textId="77777777" w:rsidR="00053D93" w:rsidRDefault="00260B75">
            <w:pPr>
              <w:ind w:right="31"/>
              <w:jc w:val="center"/>
            </w:pPr>
            <w:r>
              <w:rPr>
                <w:sz w:val="16"/>
              </w:rPr>
              <w:t>14</w:t>
            </w:r>
          </w:p>
        </w:tc>
        <w:tc>
          <w:tcPr>
            <w:tcW w:w="1041" w:type="dxa"/>
            <w:tcBorders>
              <w:top w:val="single" w:sz="2" w:space="0" w:color="000000"/>
              <w:left w:val="single" w:sz="2" w:space="0" w:color="000000"/>
              <w:bottom w:val="single" w:sz="2" w:space="0" w:color="000000"/>
              <w:right w:val="single" w:sz="2" w:space="0" w:color="000000"/>
            </w:tcBorders>
          </w:tcPr>
          <w:p w14:paraId="277CAA25" w14:textId="77777777" w:rsidR="00053D93" w:rsidRDefault="00260B75">
            <w:pPr>
              <w:ind w:right="38"/>
              <w:jc w:val="center"/>
            </w:pPr>
            <w:r>
              <w:rPr>
                <w:sz w:val="18"/>
              </w:rPr>
              <w:t>9</w:t>
            </w:r>
          </w:p>
        </w:tc>
        <w:tc>
          <w:tcPr>
            <w:tcW w:w="1044" w:type="dxa"/>
            <w:tcBorders>
              <w:top w:val="single" w:sz="2" w:space="0" w:color="000000"/>
              <w:left w:val="single" w:sz="2" w:space="0" w:color="000000"/>
              <w:bottom w:val="single" w:sz="2" w:space="0" w:color="000000"/>
              <w:right w:val="single" w:sz="2" w:space="0" w:color="000000"/>
            </w:tcBorders>
          </w:tcPr>
          <w:p w14:paraId="74980A5B" w14:textId="77777777" w:rsidR="00053D93" w:rsidRDefault="00260B75">
            <w:pPr>
              <w:ind w:right="35"/>
              <w:jc w:val="center"/>
            </w:pPr>
            <w:r>
              <w:rPr>
                <w:sz w:val="18"/>
              </w:rPr>
              <w:t>6</w:t>
            </w:r>
          </w:p>
        </w:tc>
        <w:tc>
          <w:tcPr>
            <w:tcW w:w="958" w:type="dxa"/>
            <w:tcBorders>
              <w:top w:val="single" w:sz="2" w:space="0" w:color="000000"/>
              <w:left w:val="single" w:sz="2" w:space="0" w:color="000000"/>
              <w:bottom w:val="single" w:sz="2" w:space="0" w:color="000000"/>
              <w:right w:val="single" w:sz="2" w:space="0" w:color="000000"/>
            </w:tcBorders>
          </w:tcPr>
          <w:p w14:paraId="07D238C0" w14:textId="77777777" w:rsidR="00053D93" w:rsidRDefault="00260B75">
            <w:pPr>
              <w:ind w:right="42"/>
              <w:jc w:val="center"/>
            </w:pPr>
            <w:r>
              <w:rPr>
                <w:sz w:val="16"/>
              </w:rPr>
              <w:t>29</w:t>
            </w:r>
          </w:p>
        </w:tc>
        <w:tc>
          <w:tcPr>
            <w:tcW w:w="1003" w:type="dxa"/>
            <w:tcBorders>
              <w:top w:val="single" w:sz="2" w:space="0" w:color="000000"/>
              <w:left w:val="single" w:sz="2" w:space="0" w:color="000000"/>
              <w:bottom w:val="single" w:sz="2" w:space="0" w:color="000000"/>
              <w:right w:val="single" w:sz="2" w:space="0" w:color="000000"/>
            </w:tcBorders>
          </w:tcPr>
          <w:p w14:paraId="26D7E29C" w14:textId="77777777" w:rsidR="00053D93" w:rsidRDefault="00260B75">
            <w:pPr>
              <w:ind w:right="38"/>
              <w:jc w:val="center"/>
            </w:pPr>
            <w:r>
              <w:rPr>
                <w:sz w:val="16"/>
              </w:rPr>
              <w:t>20</w:t>
            </w:r>
          </w:p>
        </w:tc>
        <w:tc>
          <w:tcPr>
            <w:tcW w:w="914" w:type="dxa"/>
            <w:tcBorders>
              <w:top w:val="single" w:sz="2" w:space="0" w:color="000000"/>
              <w:left w:val="single" w:sz="2" w:space="0" w:color="000000"/>
              <w:bottom w:val="single" w:sz="2" w:space="0" w:color="000000"/>
              <w:right w:val="single" w:sz="2" w:space="0" w:color="000000"/>
            </w:tcBorders>
          </w:tcPr>
          <w:p w14:paraId="431D51BD" w14:textId="77777777" w:rsidR="00053D93" w:rsidRDefault="00260B75">
            <w:pPr>
              <w:ind w:right="40"/>
              <w:jc w:val="center"/>
            </w:pPr>
            <w:r>
              <w:rPr>
                <w:sz w:val="18"/>
              </w:rPr>
              <w:t>9</w:t>
            </w:r>
          </w:p>
        </w:tc>
      </w:tr>
      <w:tr w:rsidR="00053D93" w14:paraId="13C5928C" w14:textId="77777777">
        <w:trPr>
          <w:trHeight w:val="429"/>
        </w:trPr>
        <w:tc>
          <w:tcPr>
            <w:tcW w:w="401" w:type="dxa"/>
            <w:tcBorders>
              <w:top w:val="single" w:sz="2" w:space="0" w:color="000000"/>
              <w:left w:val="single" w:sz="2" w:space="0" w:color="000000"/>
              <w:bottom w:val="single" w:sz="2" w:space="0" w:color="000000"/>
              <w:right w:val="single" w:sz="2" w:space="0" w:color="000000"/>
            </w:tcBorders>
          </w:tcPr>
          <w:p w14:paraId="5BD050C6" w14:textId="77777777" w:rsidR="00053D93" w:rsidRDefault="00260B75">
            <w:pPr>
              <w:ind w:left="77"/>
            </w:pPr>
            <w:r>
              <w:rPr>
                <w:sz w:val="18"/>
              </w:rPr>
              <w:t>4</w:t>
            </w:r>
          </w:p>
        </w:tc>
        <w:tc>
          <w:tcPr>
            <w:tcW w:w="1152" w:type="dxa"/>
            <w:tcBorders>
              <w:top w:val="single" w:sz="2" w:space="0" w:color="000000"/>
              <w:left w:val="single" w:sz="2" w:space="0" w:color="000000"/>
              <w:bottom w:val="single" w:sz="2" w:space="0" w:color="000000"/>
              <w:right w:val="single" w:sz="2" w:space="0" w:color="000000"/>
            </w:tcBorders>
          </w:tcPr>
          <w:p w14:paraId="61B7A2A8" w14:textId="77777777" w:rsidR="00053D93" w:rsidRDefault="00260B75">
            <w:pPr>
              <w:ind w:left="7" w:hanging="7"/>
            </w:pPr>
            <w:r>
              <w:rPr>
                <w:sz w:val="16"/>
              </w:rPr>
              <w:t>Atletismo nivel medio</w:t>
            </w:r>
          </w:p>
        </w:tc>
        <w:tc>
          <w:tcPr>
            <w:tcW w:w="950" w:type="dxa"/>
            <w:tcBorders>
              <w:top w:val="single" w:sz="2" w:space="0" w:color="000000"/>
              <w:left w:val="single" w:sz="2" w:space="0" w:color="000000"/>
              <w:bottom w:val="single" w:sz="2" w:space="0" w:color="000000"/>
              <w:right w:val="single" w:sz="2" w:space="0" w:color="000000"/>
            </w:tcBorders>
          </w:tcPr>
          <w:p w14:paraId="5CE7E1FE" w14:textId="77777777" w:rsidR="00053D93" w:rsidRDefault="00260B75">
            <w:pPr>
              <w:ind w:right="49"/>
              <w:jc w:val="center"/>
            </w:pPr>
            <w:r>
              <w:rPr>
                <w:sz w:val="18"/>
              </w:rPr>
              <w:t>40</w:t>
            </w:r>
          </w:p>
        </w:tc>
        <w:tc>
          <w:tcPr>
            <w:tcW w:w="996" w:type="dxa"/>
            <w:tcBorders>
              <w:top w:val="single" w:sz="2" w:space="0" w:color="000000"/>
              <w:left w:val="single" w:sz="2" w:space="0" w:color="000000"/>
              <w:bottom w:val="single" w:sz="2" w:space="0" w:color="000000"/>
              <w:right w:val="single" w:sz="2" w:space="0" w:color="000000"/>
            </w:tcBorders>
          </w:tcPr>
          <w:p w14:paraId="46D5BABE" w14:textId="77777777" w:rsidR="00053D93" w:rsidRDefault="00260B75">
            <w:pPr>
              <w:ind w:right="59"/>
              <w:jc w:val="center"/>
            </w:pPr>
            <w:r>
              <w:rPr>
                <w:sz w:val="16"/>
              </w:rPr>
              <w:t>21</w:t>
            </w:r>
          </w:p>
        </w:tc>
        <w:tc>
          <w:tcPr>
            <w:tcW w:w="1041" w:type="dxa"/>
            <w:tcBorders>
              <w:top w:val="single" w:sz="2" w:space="0" w:color="000000"/>
              <w:left w:val="single" w:sz="2" w:space="0" w:color="000000"/>
              <w:bottom w:val="single" w:sz="2" w:space="0" w:color="000000"/>
              <w:right w:val="single" w:sz="2" w:space="0" w:color="000000"/>
            </w:tcBorders>
          </w:tcPr>
          <w:p w14:paraId="1069F354" w14:textId="77777777" w:rsidR="00053D93" w:rsidRDefault="00260B75">
            <w:pPr>
              <w:ind w:right="38"/>
              <w:jc w:val="center"/>
            </w:pPr>
            <w:r>
              <w:rPr>
                <w:sz w:val="18"/>
              </w:rPr>
              <w:t>9</w:t>
            </w:r>
          </w:p>
        </w:tc>
        <w:tc>
          <w:tcPr>
            <w:tcW w:w="1044" w:type="dxa"/>
            <w:tcBorders>
              <w:top w:val="single" w:sz="2" w:space="0" w:color="000000"/>
              <w:left w:val="single" w:sz="2" w:space="0" w:color="000000"/>
              <w:bottom w:val="single" w:sz="2" w:space="0" w:color="000000"/>
              <w:right w:val="single" w:sz="2" w:space="0" w:color="000000"/>
            </w:tcBorders>
          </w:tcPr>
          <w:p w14:paraId="4BA88AFF" w14:textId="77777777" w:rsidR="00053D93" w:rsidRDefault="00053D93"/>
        </w:tc>
        <w:tc>
          <w:tcPr>
            <w:tcW w:w="958" w:type="dxa"/>
            <w:tcBorders>
              <w:top w:val="single" w:sz="2" w:space="0" w:color="000000"/>
              <w:left w:val="single" w:sz="2" w:space="0" w:color="000000"/>
              <w:bottom w:val="single" w:sz="2" w:space="0" w:color="000000"/>
              <w:right w:val="single" w:sz="2" w:space="0" w:color="000000"/>
            </w:tcBorders>
          </w:tcPr>
          <w:p w14:paraId="1BE93C4B" w14:textId="77777777" w:rsidR="00053D93" w:rsidRDefault="00260B75">
            <w:pPr>
              <w:ind w:right="49"/>
              <w:jc w:val="center"/>
            </w:pPr>
            <w:r>
              <w:rPr>
                <w:sz w:val="16"/>
              </w:rPr>
              <w:t>49</w:t>
            </w:r>
          </w:p>
        </w:tc>
        <w:tc>
          <w:tcPr>
            <w:tcW w:w="1003" w:type="dxa"/>
            <w:tcBorders>
              <w:top w:val="single" w:sz="2" w:space="0" w:color="000000"/>
              <w:left w:val="single" w:sz="2" w:space="0" w:color="000000"/>
              <w:bottom w:val="single" w:sz="2" w:space="0" w:color="000000"/>
              <w:right w:val="single" w:sz="2" w:space="0" w:color="000000"/>
            </w:tcBorders>
          </w:tcPr>
          <w:p w14:paraId="5DBAD30D" w14:textId="77777777" w:rsidR="00053D93" w:rsidRDefault="00260B75">
            <w:pPr>
              <w:ind w:right="45"/>
              <w:jc w:val="center"/>
            </w:pPr>
            <w:r>
              <w:rPr>
                <w:sz w:val="16"/>
              </w:rPr>
              <w:t>30</w:t>
            </w:r>
          </w:p>
        </w:tc>
        <w:tc>
          <w:tcPr>
            <w:tcW w:w="914" w:type="dxa"/>
            <w:tcBorders>
              <w:top w:val="single" w:sz="2" w:space="0" w:color="000000"/>
              <w:left w:val="single" w:sz="2" w:space="0" w:color="000000"/>
              <w:bottom w:val="single" w:sz="2" w:space="0" w:color="000000"/>
              <w:right w:val="single" w:sz="2" w:space="0" w:color="000000"/>
            </w:tcBorders>
          </w:tcPr>
          <w:p w14:paraId="633F7057" w14:textId="77777777" w:rsidR="00053D93" w:rsidRDefault="00260B75">
            <w:pPr>
              <w:ind w:right="33"/>
              <w:jc w:val="center"/>
            </w:pPr>
            <w:r>
              <w:rPr>
                <w:sz w:val="18"/>
              </w:rPr>
              <w:t>19</w:t>
            </w:r>
          </w:p>
        </w:tc>
      </w:tr>
      <w:tr w:rsidR="00053D93" w14:paraId="36E9CEAC" w14:textId="77777777">
        <w:trPr>
          <w:trHeight w:val="425"/>
        </w:trPr>
        <w:tc>
          <w:tcPr>
            <w:tcW w:w="401" w:type="dxa"/>
            <w:tcBorders>
              <w:top w:val="single" w:sz="2" w:space="0" w:color="000000"/>
              <w:left w:val="single" w:sz="2" w:space="0" w:color="000000"/>
              <w:bottom w:val="single" w:sz="2" w:space="0" w:color="000000"/>
              <w:right w:val="single" w:sz="2" w:space="0" w:color="000000"/>
            </w:tcBorders>
          </w:tcPr>
          <w:p w14:paraId="1D93CFA4" w14:textId="77777777" w:rsidR="00053D93" w:rsidRDefault="00053D93"/>
        </w:tc>
        <w:tc>
          <w:tcPr>
            <w:tcW w:w="1152" w:type="dxa"/>
            <w:tcBorders>
              <w:top w:val="single" w:sz="2" w:space="0" w:color="000000"/>
              <w:left w:val="single" w:sz="2" w:space="0" w:color="000000"/>
              <w:bottom w:val="single" w:sz="2" w:space="0" w:color="000000"/>
              <w:right w:val="single" w:sz="2" w:space="0" w:color="000000"/>
            </w:tcBorders>
          </w:tcPr>
          <w:p w14:paraId="4A9184B2" w14:textId="77777777" w:rsidR="00053D93" w:rsidRDefault="00260B75">
            <w:pPr>
              <w:ind w:left="7"/>
            </w:pPr>
            <w:r>
              <w:rPr>
                <w:noProof/>
              </w:rPr>
              <w:drawing>
                <wp:inline distT="0" distB="0" distL="0" distR="0" wp14:anchorId="02BF018B" wp14:editId="74AAE139">
                  <wp:extent cx="626364" cy="205740"/>
                  <wp:effectExtent l="0" t="0" r="0" b="0"/>
                  <wp:docPr id="867192" name="Picture 867192"/>
                  <wp:cNvGraphicFramePr/>
                  <a:graphic xmlns:a="http://schemas.openxmlformats.org/drawingml/2006/main">
                    <a:graphicData uri="http://schemas.openxmlformats.org/drawingml/2006/picture">
                      <pic:pic xmlns:pic="http://schemas.openxmlformats.org/drawingml/2006/picture">
                        <pic:nvPicPr>
                          <pic:cNvPr id="867192" name="Picture 867192"/>
                          <pic:cNvPicPr/>
                        </pic:nvPicPr>
                        <pic:blipFill>
                          <a:blip r:embed="rId1207"/>
                          <a:stretch>
                            <a:fillRect/>
                          </a:stretch>
                        </pic:blipFill>
                        <pic:spPr>
                          <a:xfrm>
                            <a:off x="0" y="0"/>
                            <a:ext cx="626364" cy="205740"/>
                          </a:xfrm>
                          <a:prstGeom prst="rect">
                            <a:avLst/>
                          </a:prstGeom>
                        </pic:spPr>
                      </pic:pic>
                    </a:graphicData>
                  </a:graphic>
                </wp:inline>
              </w:drawing>
            </w:r>
          </w:p>
        </w:tc>
        <w:tc>
          <w:tcPr>
            <w:tcW w:w="950" w:type="dxa"/>
            <w:tcBorders>
              <w:top w:val="single" w:sz="2" w:space="0" w:color="000000"/>
              <w:left w:val="single" w:sz="2" w:space="0" w:color="000000"/>
              <w:bottom w:val="single" w:sz="2" w:space="0" w:color="000000"/>
              <w:right w:val="single" w:sz="2" w:space="0" w:color="000000"/>
            </w:tcBorders>
          </w:tcPr>
          <w:p w14:paraId="4B9C6A65" w14:textId="77777777" w:rsidR="00053D93" w:rsidRDefault="00053D93"/>
        </w:tc>
        <w:tc>
          <w:tcPr>
            <w:tcW w:w="996" w:type="dxa"/>
            <w:tcBorders>
              <w:top w:val="single" w:sz="2" w:space="0" w:color="000000"/>
              <w:left w:val="single" w:sz="2" w:space="0" w:color="000000"/>
              <w:bottom w:val="single" w:sz="2" w:space="0" w:color="000000"/>
              <w:right w:val="single" w:sz="2" w:space="0" w:color="000000"/>
            </w:tcBorders>
          </w:tcPr>
          <w:p w14:paraId="4AAA7457" w14:textId="77777777" w:rsidR="00053D93" w:rsidRDefault="00053D93"/>
        </w:tc>
        <w:tc>
          <w:tcPr>
            <w:tcW w:w="1041" w:type="dxa"/>
            <w:tcBorders>
              <w:top w:val="single" w:sz="2" w:space="0" w:color="000000"/>
              <w:left w:val="single" w:sz="2" w:space="0" w:color="000000"/>
              <w:bottom w:val="single" w:sz="2" w:space="0" w:color="000000"/>
              <w:right w:val="single" w:sz="2" w:space="0" w:color="000000"/>
            </w:tcBorders>
          </w:tcPr>
          <w:p w14:paraId="083E0AAC" w14:textId="77777777" w:rsidR="00053D93" w:rsidRDefault="00053D93"/>
        </w:tc>
        <w:tc>
          <w:tcPr>
            <w:tcW w:w="1044" w:type="dxa"/>
            <w:tcBorders>
              <w:top w:val="single" w:sz="2" w:space="0" w:color="000000"/>
              <w:left w:val="single" w:sz="2" w:space="0" w:color="000000"/>
              <w:bottom w:val="single" w:sz="2" w:space="0" w:color="000000"/>
              <w:right w:val="single" w:sz="2" w:space="0" w:color="000000"/>
            </w:tcBorders>
          </w:tcPr>
          <w:p w14:paraId="4F2C0C86" w14:textId="77777777" w:rsidR="00053D93" w:rsidRDefault="00053D93"/>
        </w:tc>
        <w:tc>
          <w:tcPr>
            <w:tcW w:w="958" w:type="dxa"/>
            <w:tcBorders>
              <w:top w:val="single" w:sz="2" w:space="0" w:color="000000"/>
              <w:left w:val="single" w:sz="2" w:space="0" w:color="000000"/>
              <w:bottom w:val="single" w:sz="2" w:space="0" w:color="000000"/>
              <w:right w:val="single" w:sz="2" w:space="0" w:color="000000"/>
            </w:tcBorders>
          </w:tcPr>
          <w:p w14:paraId="67E958AE" w14:textId="77777777" w:rsidR="00053D93" w:rsidRDefault="00053D93"/>
        </w:tc>
        <w:tc>
          <w:tcPr>
            <w:tcW w:w="1003" w:type="dxa"/>
            <w:tcBorders>
              <w:top w:val="single" w:sz="2" w:space="0" w:color="000000"/>
              <w:left w:val="single" w:sz="2" w:space="0" w:color="000000"/>
              <w:bottom w:val="single" w:sz="2" w:space="0" w:color="000000"/>
              <w:right w:val="single" w:sz="2" w:space="0" w:color="000000"/>
            </w:tcBorders>
          </w:tcPr>
          <w:p w14:paraId="7DFBE98B" w14:textId="77777777" w:rsidR="00053D93" w:rsidRDefault="00053D93"/>
        </w:tc>
        <w:tc>
          <w:tcPr>
            <w:tcW w:w="914" w:type="dxa"/>
            <w:tcBorders>
              <w:top w:val="single" w:sz="2" w:space="0" w:color="000000"/>
              <w:left w:val="single" w:sz="2" w:space="0" w:color="000000"/>
              <w:bottom w:val="single" w:sz="2" w:space="0" w:color="000000"/>
              <w:right w:val="single" w:sz="2" w:space="0" w:color="000000"/>
            </w:tcBorders>
          </w:tcPr>
          <w:p w14:paraId="443B6DA3" w14:textId="77777777" w:rsidR="00053D93" w:rsidRDefault="00053D93"/>
        </w:tc>
      </w:tr>
      <w:tr w:rsidR="00053D93" w14:paraId="2E6B1410" w14:textId="77777777">
        <w:trPr>
          <w:trHeight w:val="420"/>
        </w:trPr>
        <w:tc>
          <w:tcPr>
            <w:tcW w:w="401" w:type="dxa"/>
            <w:tcBorders>
              <w:top w:val="single" w:sz="2" w:space="0" w:color="000000"/>
              <w:left w:val="single" w:sz="2" w:space="0" w:color="000000"/>
              <w:bottom w:val="single" w:sz="2" w:space="0" w:color="000000"/>
              <w:right w:val="single" w:sz="2" w:space="0" w:color="000000"/>
            </w:tcBorders>
          </w:tcPr>
          <w:p w14:paraId="42AA68C3" w14:textId="77777777" w:rsidR="00053D93" w:rsidRDefault="00053D93"/>
        </w:tc>
        <w:tc>
          <w:tcPr>
            <w:tcW w:w="1152" w:type="dxa"/>
            <w:tcBorders>
              <w:top w:val="single" w:sz="2" w:space="0" w:color="000000"/>
              <w:left w:val="single" w:sz="2" w:space="0" w:color="000000"/>
              <w:bottom w:val="single" w:sz="2" w:space="0" w:color="000000"/>
              <w:right w:val="single" w:sz="2" w:space="0" w:color="000000"/>
            </w:tcBorders>
          </w:tcPr>
          <w:p w14:paraId="1E81D73C" w14:textId="77777777" w:rsidR="00053D93" w:rsidRDefault="00053D93"/>
        </w:tc>
        <w:tc>
          <w:tcPr>
            <w:tcW w:w="950" w:type="dxa"/>
            <w:tcBorders>
              <w:top w:val="single" w:sz="2" w:space="0" w:color="000000"/>
              <w:left w:val="single" w:sz="2" w:space="0" w:color="000000"/>
              <w:bottom w:val="single" w:sz="2" w:space="0" w:color="000000"/>
              <w:right w:val="single" w:sz="2" w:space="0" w:color="000000"/>
            </w:tcBorders>
          </w:tcPr>
          <w:p w14:paraId="762ADCD4" w14:textId="77777777" w:rsidR="00053D93" w:rsidRDefault="00053D93"/>
        </w:tc>
        <w:tc>
          <w:tcPr>
            <w:tcW w:w="996" w:type="dxa"/>
            <w:tcBorders>
              <w:top w:val="single" w:sz="2" w:space="0" w:color="000000"/>
              <w:left w:val="single" w:sz="2" w:space="0" w:color="000000"/>
              <w:bottom w:val="single" w:sz="2" w:space="0" w:color="000000"/>
              <w:right w:val="single" w:sz="2" w:space="0" w:color="000000"/>
            </w:tcBorders>
          </w:tcPr>
          <w:p w14:paraId="6566AE85" w14:textId="77777777" w:rsidR="00053D93" w:rsidRDefault="00053D93"/>
        </w:tc>
        <w:tc>
          <w:tcPr>
            <w:tcW w:w="1041" w:type="dxa"/>
            <w:tcBorders>
              <w:top w:val="single" w:sz="2" w:space="0" w:color="000000"/>
              <w:left w:val="single" w:sz="2" w:space="0" w:color="000000"/>
              <w:bottom w:val="single" w:sz="2" w:space="0" w:color="000000"/>
              <w:right w:val="single" w:sz="2" w:space="0" w:color="000000"/>
            </w:tcBorders>
          </w:tcPr>
          <w:p w14:paraId="2F4207BF" w14:textId="77777777" w:rsidR="00053D93" w:rsidRDefault="00053D93"/>
        </w:tc>
        <w:tc>
          <w:tcPr>
            <w:tcW w:w="1044" w:type="dxa"/>
            <w:tcBorders>
              <w:top w:val="single" w:sz="2" w:space="0" w:color="000000"/>
              <w:left w:val="single" w:sz="2" w:space="0" w:color="000000"/>
              <w:bottom w:val="single" w:sz="2" w:space="0" w:color="000000"/>
              <w:right w:val="single" w:sz="2" w:space="0" w:color="000000"/>
            </w:tcBorders>
          </w:tcPr>
          <w:p w14:paraId="133005A7" w14:textId="77777777" w:rsidR="00053D93" w:rsidRDefault="00053D93"/>
        </w:tc>
        <w:tc>
          <w:tcPr>
            <w:tcW w:w="958" w:type="dxa"/>
            <w:tcBorders>
              <w:top w:val="single" w:sz="2" w:space="0" w:color="000000"/>
              <w:left w:val="single" w:sz="2" w:space="0" w:color="000000"/>
              <w:bottom w:val="single" w:sz="2" w:space="0" w:color="000000"/>
              <w:right w:val="single" w:sz="2" w:space="0" w:color="000000"/>
            </w:tcBorders>
          </w:tcPr>
          <w:p w14:paraId="34559449" w14:textId="77777777" w:rsidR="00053D93" w:rsidRDefault="00053D93"/>
        </w:tc>
        <w:tc>
          <w:tcPr>
            <w:tcW w:w="1003" w:type="dxa"/>
            <w:tcBorders>
              <w:top w:val="single" w:sz="2" w:space="0" w:color="000000"/>
              <w:left w:val="single" w:sz="2" w:space="0" w:color="000000"/>
              <w:bottom w:val="single" w:sz="2" w:space="0" w:color="000000"/>
              <w:right w:val="single" w:sz="2" w:space="0" w:color="000000"/>
            </w:tcBorders>
          </w:tcPr>
          <w:p w14:paraId="52268C56" w14:textId="77777777" w:rsidR="00053D93" w:rsidRDefault="00053D93"/>
        </w:tc>
        <w:tc>
          <w:tcPr>
            <w:tcW w:w="914" w:type="dxa"/>
            <w:tcBorders>
              <w:top w:val="single" w:sz="2" w:space="0" w:color="000000"/>
              <w:left w:val="single" w:sz="2" w:space="0" w:color="000000"/>
              <w:bottom w:val="single" w:sz="2" w:space="0" w:color="000000"/>
              <w:right w:val="single" w:sz="2" w:space="0" w:color="000000"/>
            </w:tcBorders>
          </w:tcPr>
          <w:p w14:paraId="2BE29496" w14:textId="77777777" w:rsidR="00053D93" w:rsidRDefault="00053D93"/>
        </w:tc>
      </w:tr>
      <w:tr w:rsidR="00053D93" w14:paraId="09B2235A" w14:textId="77777777">
        <w:trPr>
          <w:trHeight w:val="2066"/>
        </w:trPr>
        <w:tc>
          <w:tcPr>
            <w:tcW w:w="401" w:type="dxa"/>
            <w:tcBorders>
              <w:top w:val="single" w:sz="2" w:space="0" w:color="000000"/>
              <w:left w:val="single" w:sz="2" w:space="0" w:color="000000"/>
              <w:bottom w:val="single" w:sz="2" w:space="0" w:color="000000"/>
              <w:right w:val="single" w:sz="2" w:space="0" w:color="000000"/>
            </w:tcBorders>
          </w:tcPr>
          <w:p w14:paraId="5CED6DEC" w14:textId="77777777" w:rsidR="00053D93" w:rsidRDefault="00053D93"/>
        </w:tc>
        <w:tc>
          <w:tcPr>
            <w:tcW w:w="1152" w:type="dxa"/>
            <w:tcBorders>
              <w:top w:val="single" w:sz="2" w:space="0" w:color="000000"/>
              <w:left w:val="single" w:sz="2" w:space="0" w:color="000000"/>
              <w:bottom w:val="single" w:sz="2" w:space="0" w:color="000000"/>
              <w:right w:val="single" w:sz="2" w:space="0" w:color="000000"/>
            </w:tcBorders>
          </w:tcPr>
          <w:p w14:paraId="1B9ED4D9" w14:textId="77777777" w:rsidR="00053D93" w:rsidRDefault="00260B75">
            <w:r>
              <w:rPr>
                <w:noProof/>
              </w:rPr>
              <w:drawing>
                <wp:inline distT="0" distB="0" distL="0" distR="0" wp14:anchorId="5A8F3C99" wp14:editId="441491EC">
                  <wp:extent cx="635508" cy="1261873"/>
                  <wp:effectExtent l="0" t="0" r="0" b="0"/>
                  <wp:docPr id="867390" name="Picture 867390"/>
                  <wp:cNvGraphicFramePr/>
                  <a:graphic xmlns:a="http://schemas.openxmlformats.org/drawingml/2006/main">
                    <a:graphicData uri="http://schemas.openxmlformats.org/drawingml/2006/picture">
                      <pic:pic xmlns:pic="http://schemas.openxmlformats.org/drawingml/2006/picture">
                        <pic:nvPicPr>
                          <pic:cNvPr id="867390" name="Picture 867390"/>
                          <pic:cNvPicPr/>
                        </pic:nvPicPr>
                        <pic:blipFill>
                          <a:blip r:embed="rId1208"/>
                          <a:stretch>
                            <a:fillRect/>
                          </a:stretch>
                        </pic:blipFill>
                        <pic:spPr>
                          <a:xfrm>
                            <a:off x="0" y="0"/>
                            <a:ext cx="635508" cy="1261873"/>
                          </a:xfrm>
                          <a:prstGeom prst="rect">
                            <a:avLst/>
                          </a:prstGeom>
                        </pic:spPr>
                      </pic:pic>
                    </a:graphicData>
                  </a:graphic>
                </wp:inline>
              </w:drawing>
            </w:r>
          </w:p>
        </w:tc>
        <w:tc>
          <w:tcPr>
            <w:tcW w:w="950" w:type="dxa"/>
            <w:tcBorders>
              <w:top w:val="single" w:sz="2" w:space="0" w:color="000000"/>
              <w:left w:val="single" w:sz="2" w:space="0" w:color="000000"/>
              <w:bottom w:val="single" w:sz="2" w:space="0" w:color="000000"/>
              <w:right w:val="single" w:sz="2" w:space="0" w:color="000000"/>
            </w:tcBorders>
          </w:tcPr>
          <w:p w14:paraId="375841B4" w14:textId="77777777" w:rsidR="00053D93" w:rsidRDefault="00053D93"/>
        </w:tc>
        <w:tc>
          <w:tcPr>
            <w:tcW w:w="996" w:type="dxa"/>
            <w:tcBorders>
              <w:top w:val="single" w:sz="2" w:space="0" w:color="000000"/>
              <w:left w:val="single" w:sz="2" w:space="0" w:color="000000"/>
              <w:bottom w:val="single" w:sz="2" w:space="0" w:color="000000"/>
              <w:right w:val="single" w:sz="2" w:space="0" w:color="000000"/>
            </w:tcBorders>
          </w:tcPr>
          <w:p w14:paraId="4FDD6B0F" w14:textId="77777777" w:rsidR="00053D93" w:rsidRDefault="00053D93"/>
        </w:tc>
        <w:tc>
          <w:tcPr>
            <w:tcW w:w="1041" w:type="dxa"/>
            <w:tcBorders>
              <w:top w:val="single" w:sz="2" w:space="0" w:color="000000"/>
              <w:left w:val="single" w:sz="2" w:space="0" w:color="000000"/>
              <w:bottom w:val="single" w:sz="2" w:space="0" w:color="000000"/>
              <w:right w:val="single" w:sz="2" w:space="0" w:color="000000"/>
            </w:tcBorders>
          </w:tcPr>
          <w:p w14:paraId="7C610207" w14:textId="77777777" w:rsidR="00053D93" w:rsidRDefault="00053D93"/>
        </w:tc>
        <w:tc>
          <w:tcPr>
            <w:tcW w:w="1044" w:type="dxa"/>
            <w:tcBorders>
              <w:top w:val="single" w:sz="2" w:space="0" w:color="000000"/>
              <w:left w:val="single" w:sz="2" w:space="0" w:color="000000"/>
              <w:bottom w:val="single" w:sz="2" w:space="0" w:color="000000"/>
              <w:right w:val="single" w:sz="2" w:space="0" w:color="000000"/>
            </w:tcBorders>
          </w:tcPr>
          <w:p w14:paraId="3097AFBE" w14:textId="77777777" w:rsidR="00053D93" w:rsidRDefault="00053D93"/>
        </w:tc>
        <w:tc>
          <w:tcPr>
            <w:tcW w:w="958" w:type="dxa"/>
            <w:tcBorders>
              <w:top w:val="single" w:sz="2" w:space="0" w:color="000000"/>
              <w:left w:val="single" w:sz="2" w:space="0" w:color="000000"/>
              <w:bottom w:val="single" w:sz="2" w:space="0" w:color="000000"/>
              <w:right w:val="single" w:sz="2" w:space="0" w:color="000000"/>
            </w:tcBorders>
          </w:tcPr>
          <w:p w14:paraId="463DE6C3" w14:textId="77777777" w:rsidR="00053D93" w:rsidRDefault="00053D93"/>
        </w:tc>
        <w:tc>
          <w:tcPr>
            <w:tcW w:w="1003" w:type="dxa"/>
            <w:tcBorders>
              <w:top w:val="single" w:sz="2" w:space="0" w:color="000000"/>
              <w:left w:val="single" w:sz="2" w:space="0" w:color="000000"/>
              <w:bottom w:val="single" w:sz="2" w:space="0" w:color="000000"/>
              <w:right w:val="single" w:sz="2" w:space="0" w:color="000000"/>
            </w:tcBorders>
          </w:tcPr>
          <w:p w14:paraId="4FCA9F68" w14:textId="77777777" w:rsidR="00053D93" w:rsidRDefault="00053D93"/>
        </w:tc>
        <w:tc>
          <w:tcPr>
            <w:tcW w:w="914" w:type="dxa"/>
            <w:tcBorders>
              <w:top w:val="single" w:sz="2" w:space="0" w:color="000000"/>
              <w:left w:val="single" w:sz="2" w:space="0" w:color="000000"/>
              <w:bottom w:val="single" w:sz="2" w:space="0" w:color="000000"/>
              <w:right w:val="single" w:sz="2" w:space="0" w:color="000000"/>
            </w:tcBorders>
          </w:tcPr>
          <w:p w14:paraId="2B522715" w14:textId="77777777" w:rsidR="00053D93" w:rsidRDefault="00053D93"/>
        </w:tc>
      </w:tr>
      <w:tr w:rsidR="00053D93" w14:paraId="68389678" w14:textId="77777777">
        <w:trPr>
          <w:trHeight w:val="425"/>
        </w:trPr>
        <w:tc>
          <w:tcPr>
            <w:tcW w:w="401" w:type="dxa"/>
            <w:tcBorders>
              <w:top w:val="single" w:sz="2" w:space="0" w:color="000000"/>
              <w:left w:val="single" w:sz="2" w:space="0" w:color="000000"/>
              <w:bottom w:val="single" w:sz="2" w:space="0" w:color="000000"/>
              <w:right w:val="single" w:sz="2" w:space="0" w:color="000000"/>
            </w:tcBorders>
          </w:tcPr>
          <w:p w14:paraId="1202FB8E" w14:textId="77777777" w:rsidR="00053D93" w:rsidRDefault="00053D93"/>
        </w:tc>
        <w:tc>
          <w:tcPr>
            <w:tcW w:w="1152" w:type="dxa"/>
            <w:tcBorders>
              <w:top w:val="single" w:sz="2" w:space="0" w:color="000000"/>
              <w:left w:val="single" w:sz="2" w:space="0" w:color="000000"/>
              <w:bottom w:val="single" w:sz="2" w:space="0" w:color="000000"/>
              <w:right w:val="single" w:sz="2" w:space="0" w:color="000000"/>
            </w:tcBorders>
          </w:tcPr>
          <w:p w14:paraId="1779317B" w14:textId="77777777" w:rsidR="00053D93" w:rsidRDefault="00053D93"/>
        </w:tc>
        <w:tc>
          <w:tcPr>
            <w:tcW w:w="950" w:type="dxa"/>
            <w:tcBorders>
              <w:top w:val="single" w:sz="2" w:space="0" w:color="000000"/>
              <w:left w:val="single" w:sz="2" w:space="0" w:color="000000"/>
              <w:bottom w:val="single" w:sz="2" w:space="0" w:color="000000"/>
              <w:right w:val="single" w:sz="2" w:space="0" w:color="000000"/>
            </w:tcBorders>
          </w:tcPr>
          <w:p w14:paraId="1F6C0CAF" w14:textId="77777777" w:rsidR="00053D93" w:rsidRDefault="00053D93"/>
        </w:tc>
        <w:tc>
          <w:tcPr>
            <w:tcW w:w="996" w:type="dxa"/>
            <w:tcBorders>
              <w:top w:val="single" w:sz="2" w:space="0" w:color="000000"/>
              <w:left w:val="single" w:sz="2" w:space="0" w:color="000000"/>
              <w:bottom w:val="single" w:sz="2" w:space="0" w:color="000000"/>
              <w:right w:val="single" w:sz="2" w:space="0" w:color="000000"/>
            </w:tcBorders>
          </w:tcPr>
          <w:p w14:paraId="0F2F569E" w14:textId="77777777" w:rsidR="00053D93" w:rsidRDefault="00053D93"/>
        </w:tc>
        <w:tc>
          <w:tcPr>
            <w:tcW w:w="1041" w:type="dxa"/>
            <w:tcBorders>
              <w:top w:val="single" w:sz="2" w:space="0" w:color="000000"/>
              <w:left w:val="single" w:sz="2" w:space="0" w:color="000000"/>
              <w:bottom w:val="single" w:sz="2" w:space="0" w:color="000000"/>
              <w:right w:val="single" w:sz="2" w:space="0" w:color="000000"/>
            </w:tcBorders>
          </w:tcPr>
          <w:p w14:paraId="261A91FD" w14:textId="77777777" w:rsidR="00053D93" w:rsidRDefault="00053D93"/>
        </w:tc>
        <w:tc>
          <w:tcPr>
            <w:tcW w:w="1044" w:type="dxa"/>
            <w:tcBorders>
              <w:top w:val="single" w:sz="2" w:space="0" w:color="000000"/>
              <w:left w:val="single" w:sz="2" w:space="0" w:color="000000"/>
              <w:bottom w:val="single" w:sz="2" w:space="0" w:color="000000"/>
              <w:right w:val="single" w:sz="2" w:space="0" w:color="000000"/>
            </w:tcBorders>
          </w:tcPr>
          <w:p w14:paraId="645F5F4A" w14:textId="77777777" w:rsidR="00053D93" w:rsidRDefault="00053D93"/>
        </w:tc>
        <w:tc>
          <w:tcPr>
            <w:tcW w:w="958" w:type="dxa"/>
            <w:tcBorders>
              <w:top w:val="single" w:sz="2" w:space="0" w:color="000000"/>
              <w:left w:val="single" w:sz="2" w:space="0" w:color="000000"/>
              <w:bottom w:val="single" w:sz="2" w:space="0" w:color="000000"/>
              <w:right w:val="single" w:sz="2" w:space="0" w:color="000000"/>
            </w:tcBorders>
          </w:tcPr>
          <w:p w14:paraId="39D7858E" w14:textId="77777777" w:rsidR="00053D93" w:rsidRDefault="00053D93"/>
        </w:tc>
        <w:tc>
          <w:tcPr>
            <w:tcW w:w="1003" w:type="dxa"/>
            <w:tcBorders>
              <w:top w:val="single" w:sz="2" w:space="0" w:color="000000"/>
              <w:left w:val="single" w:sz="2" w:space="0" w:color="000000"/>
              <w:bottom w:val="single" w:sz="2" w:space="0" w:color="000000"/>
              <w:right w:val="single" w:sz="2" w:space="0" w:color="000000"/>
            </w:tcBorders>
          </w:tcPr>
          <w:p w14:paraId="1C2B731A" w14:textId="77777777" w:rsidR="00053D93" w:rsidRDefault="00053D93"/>
        </w:tc>
        <w:tc>
          <w:tcPr>
            <w:tcW w:w="914" w:type="dxa"/>
            <w:tcBorders>
              <w:top w:val="single" w:sz="2" w:space="0" w:color="000000"/>
              <w:left w:val="single" w:sz="2" w:space="0" w:color="000000"/>
              <w:bottom w:val="single" w:sz="2" w:space="0" w:color="000000"/>
              <w:right w:val="single" w:sz="2" w:space="0" w:color="000000"/>
            </w:tcBorders>
          </w:tcPr>
          <w:p w14:paraId="49EB701B" w14:textId="77777777" w:rsidR="00053D93" w:rsidRDefault="00053D93"/>
        </w:tc>
      </w:tr>
      <w:tr w:rsidR="00053D93" w14:paraId="05AFD0BC" w14:textId="77777777">
        <w:trPr>
          <w:trHeight w:val="235"/>
        </w:trPr>
        <w:tc>
          <w:tcPr>
            <w:tcW w:w="401" w:type="dxa"/>
            <w:tcBorders>
              <w:top w:val="single" w:sz="2" w:space="0" w:color="000000"/>
              <w:left w:val="single" w:sz="2" w:space="0" w:color="000000"/>
              <w:bottom w:val="single" w:sz="2" w:space="0" w:color="000000"/>
              <w:right w:val="single" w:sz="2" w:space="0" w:color="000000"/>
            </w:tcBorders>
          </w:tcPr>
          <w:p w14:paraId="5DF1718D" w14:textId="77777777" w:rsidR="00053D93" w:rsidRDefault="00053D93"/>
        </w:tc>
        <w:tc>
          <w:tcPr>
            <w:tcW w:w="1152" w:type="dxa"/>
            <w:tcBorders>
              <w:top w:val="single" w:sz="2" w:space="0" w:color="000000"/>
              <w:left w:val="single" w:sz="2" w:space="0" w:color="000000"/>
              <w:bottom w:val="single" w:sz="2" w:space="0" w:color="000000"/>
              <w:right w:val="single" w:sz="2" w:space="0" w:color="000000"/>
            </w:tcBorders>
          </w:tcPr>
          <w:p w14:paraId="129E2703" w14:textId="77777777" w:rsidR="00053D93" w:rsidRDefault="00260B75">
            <w:pPr>
              <w:ind w:left="7"/>
            </w:pPr>
            <w:r>
              <w:rPr>
                <w:sz w:val="20"/>
              </w:rPr>
              <w:t>TOTAL</w:t>
            </w:r>
          </w:p>
        </w:tc>
        <w:tc>
          <w:tcPr>
            <w:tcW w:w="950" w:type="dxa"/>
            <w:tcBorders>
              <w:top w:val="single" w:sz="2" w:space="0" w:color="000000"/>
              <w:left w:val="single" w:sz="2" w:space="0" w:color="000000"/>
              <w:bottom w:val="single" w:sz="2" w:space="0" w:color="000000"/>
              <w:right w:val="single" w:sz="2" w:space="0" w:color="000000"/>
            </w:tcBorders>
          </w:tcPr>
          <w:p w14:paraId="584B4A12" w14:textId="77777777" w:rsidR="00053D93" w:rsidRDefault="00260B75">
            <w:pPr>
              <w:ind w:right="35"/>
              <w:jc w:val="center"/>
            </w:pPr>
            <w:r>
              <w:rPr>
                <w:sz w:val="18"/>
              </w:rPr>
              <w:t>128</w:t>
            </w:r>
          </w:p>
        </w:tc>
        <w:tc>
          <w:tcPr>
            <w:tcW w:w="996" w:type="dxa"/>
            <w:tcBorders>
              <w:top w:val="single" w:sz="2" w:space="0" w:color="000000"/>
              <w:left w:val="single" w:sz="2" w:space="0" w:color="000000"/>
              <w:bottom w:val="single" w:sz="2" w:space="0" w:color="000000"/>
              <w:right w:val="single" w:sz="2" w:space="0" w:color="000000"/>
            </w:tcBorders>
          </w:tcPr>
          <w:p w14:paraId="5B658647" w14:textId="77777777" w:rsidR="00053D93" w:rsidRDefault="00260B75">
            <w:pPr>
              <w:ind w:right="23"/>
              <w:jc w:val="center"/>
            </w:pPr>
            <w:r>
              <w:rPr>
                <w:sz w:val="16"/>
              </w:rPr>
              <w:t>72</w:t>
            </w:r>
          </w:p>
        </w:tc>
        <w:tc>
          <w:tcPr>
            <w:tcW w:w="1041" w:type="dxa"/>
            <w:tcBorders>
              <w:top w:val="single" w:sz="2" w:space="0" w:color="000000"/>
              <w:left w:val="single" w:sz="2" w:space="0" w:color="000000"/>
              <w:bottom w:val="single" w:sz="2" w:space="0" w:color="000000"/>
              <w:right w:val="single" w:sz="2" w:space="0" w:color="000000"/>
            </w:tcBorders>
          </w:tcPr>
          <w:p w14:paraId="60DD47A7" w14:textId="77777777" w:rsidR="00053D93" w:rsidRDefault="00260B75">
            <w:pPr>
              <w:ind w:right="23"/>
              <w:jc w:val="center"/>
            </w:pPr>
            <w:r>
              <w:rPr>
                <w:sz w:val="16"/>
              </w:rPr>
              <w:t>so</w:t>
            </w:r>
          </w:p>
        </w:tc>
        <w:tc>
          <w:tcPr>
            <w:tcW w:w="1044" w:type="dxa"/>
            <w:tcBorders>
              <w:top w:val="single" w:sz="2" w:space="0" w:color="000000"/>
              <w:left w:val="single" w:sz="2" w:space="0" w:color="000000"/>
              <w:bottom w:val="single" w:sz="2" w:space="0" w:color="000000"/>
              <w:right w:val="single" w:sz="2" w:space="0" w:color="000000"/>
            </w:tcBorders>
          </w:tcPr>
          <w:p w14:paraId="2412C728" w14:textId="77777777" w:rsidR="00053D93" w:rsidRDefault="00260B75">
            <w:pPr>
              <w:ind w:right="21"/>
              <w:jc w:val="center"/>
            </w:pPr>
            <w:r>
              <w:rPr>
                <w:sz w:val="18"/>
              </w:rPr>
              <w:t>35</w:t>
            </w:r>
          </w:p>
        </w:tc>
        <w:tc>
          <w:tcPr>
            <w:tcW w:w="958" w:type="dxa"/>
            <w:tcBorders>
              <w:top w:val="single" w:sz="2" w:space="0" w:color="000000"/>
              <w:left w:val="single" w:sz="2" w:space="0" w:color="000000"/>
              <w:bottom w:val="single" w:sz="2" w:space="0" w:color="000000"/>
              <w:right w:val="single" w:sz="2" w:space="0" w:color="000000"/>
            </w:tcBorders>
          </w:tcPr>
          <w:p w14:paraId="7F6F1C2C" w14:textId="77777777" w:rsidR="00053D93" w:rsidRDefault="00260B75">
            <w:pPr>
              <w:ind w:right="21"/>
              <w:jc w:val="center"/>
            </w:pPr>
            <w:r>
              <w:rPr>
                <w:sz w:val="18"/>
              </w:rPr>
              <w:t>188</w:t>
            </w:r>
          </w:p>
        </w:tc>
        <w:tc>
          <w:tcPr>
            <w:tcW w:w="1003" w:type="dxa"/>
            <w:tcBorders>
              <w:top w:val="single" w:sz="2" w:space="0" w:color="000000"/>
              <w:left w:val="single" w:sz="2" w:space="0" w:color="000000"/>
              <w:bottom w:val="single" w:sz="2" w:space="0" w:color="000000"/>
              <w:right w:val="single" w:sz="2" w:space="0" w:color="000000"/>
            </w:tcBorders>
          </w:tcPr>
          <w:p w14:paraId="6498D199" w14:textId="77777777" w:rsidR="00053D93" w:rsidRDefault="00260B75">
            <w:pPr>
              <w:ind w:right="16"/>
              <w:jc w:val="center"/>
            </w:pPr>
            <w:r>
              <w:rPr>
                <w:sz w:val="18"/>
              </w:rPr>
              <w:t>107</w:t>
            </w:r>
          </w:p>
        </w:tc>
        <w:tc>
          <w:tcPr>
            <w:tcW w:w="914" w:type="dxa"/>
            <w:tcBorders>
              <w:top w:val="single" w:sz="2" w:space="0" w:color="000000"/>
              <w:left w:val="single" w:sz="2" w:space="0" w:color="000000"/>
              <w:bottom w:val="single" w:sz="2" w:space="0" w:color="000000"/>
              <w:right w:val="single" w:sz="2" w:space="0" w:color="000000"/>
            </w:tcBorders>
          </w:tcPr>
          <w:p w14:paraId="55ADC01C" w14:textId="77777777" w:rsidR="00053D93" w:rsidRDefault="00260B75">
            <w:pPr>
              <w:ind w:right="19"/>
              <w:jc w:val="center"/>
            </w:pPr>
            <w:r>
              <w:rPr>
                <w:sz w:val="16"/>
              </w:rPr>
              <w:t>81</w:t>
            </w:r>
          </w:p>
        </w:tc>
      </w:tr>
    </w:tbl>
    <w:p w14:paraId="44E7789D" w14:textId="77777777" w:rsidR="00053D93" w:rsidRDefault="00260B75">
      <w:pPr>
        <w:spacing w:after="35" w:line="271" w:lineRule="auto"/>
        <w:ind w:left="1677" w:right="7" w:firstLine="4"/>
        <w:jc w:val="both"/>
      </w:pPr>
      <w:r>
        <w:rPr>
          <w:sz w:val="20"/>
        </w:rPr>
        <w:t>Fuente: Especificaciones Técnicas de las bases del Proceso de Cotización C-33/2024-MlNEDUC- NOG: 23723718, Oficio s/n del 1 1 de noviembre de 2024, emitido por la Representante legal de LAX TRAVEL, S.A.</w:t>
      </w:r>
    </w:p>
    <w:p w14:paraId="7F0B0156" w14:textId="77777777" w:rsidR="00053D93" w:rsidRDefault="00260B75">
      <w:pPr>
        <w:spacing w:after="350" w:line="271" w:lineRule="auto"/>
        <w:ind w:left="1677" w:right="7" w:firstLine="4"/>
        <w:jc w:val="both"/>
      </w:pPr>
      <w:r>
        <w:rPr>
          <w:sz w:val="20"/>
        </w:rPr>
        <w:t>y Oficio No. DG 2107-2024 del 1 1 de noviembre de 2024, emitido por el Director en Funciones de la DIGEF.</w:t>
      </w:r>
    </w:p>
    <w:p w14:paraId="643F4C6E" w14:textId="77777777" w:rsidR="00053D93" w:rsidRDefault="00260B75">
      <w:pPr>
        <w:spacing w:after="0"/>
        <w:ind w:left="1508" w:hanging="10"/>
        <w:jc w:val="center"/>
      </w:pPr>
      <w:r>
        <w:rPr>
          <w:sz w:val="26"/>
        </w:rPr>
        <w:t>Cambios realizados en el calendario de salidas y retornos, por disciplina deportiva, para la Delegación Deportiva Escolar de Guatemala que participó en los Juegos</w:t>
      </w:r>
    </w:p>
    <w:p w14:paraId="6B641277" w14:textId="77777777" w:rsidR="00053D93" w:rsidRDefault="00260B75">
      <w:pPr>
        <w:spacing w:after="0"/>
        <w:ind w:left="1695" w:hanging="10"/>
        <w:jc w:val="center"/>
      </w:pPr>
      <w:r>
        <w:rPr>
          <w:sz w:val="26"/>
        </w:rPr>
        <w:t>Deportivos Escolares de CODICADER</w:t>
      </w:r>
    </w:p>
    <w:tbl>
      <w:tblPr>
        <w:tblStyle w:val="TableGrid"/>
        <w:tblW w:w="9439" w:type="dxa"/>
        <w:tblInd w:w="742" w:type="dxa"/>
        <w:tblLook w:val="04A0" w:firstRow="1" w:lastRow="0" w:firstColumn="1" w:lastColumn="0" w:noHBand="0" w:noVBand="1"/>
      </w:tblPr>
      <w:tblGrid>
        <w:gridCol w:w="1677"/>
        <w:gridCol w:w="10555"/>
      </w:tblGrid>
      <w:tr w:rsidR="00053D93" w14:paraId="6F6969B7" w14:textId="77777777">
        <w:trPr>
          <w:trHeight w:val="641"/>
        </w:trPr>
        <w:tc>
          <w:tcPr>
            <w:tcW w:w="1723" w:type="dxa"/>
            <w:tcBorders>
              <w:top w:val="nil"/>
              <w:left w:val="nil"/>
              <w:bottom w:val="nil"/>
              <w:right w:val="nil"/>
            </w:tcBorders>
          </w:tcPr>
          <w:p w14:paraId="79255EC1" w14:textId="77777777" w:rsidR="00053D93" w:rsidRDefault="00260B75">
            <w:r>
              <w:rPr>
                <w:noProof/>
              </w:rPr>
              <w:drawing>
                <wp:inline distT="0" distB="0" distL="0" distR="0" wp14:anchorId="642EEA7E" wp14:editId="76E6C2DB">
                  <wp:extent cx="1065276" cy="406909"/>
                  <wp:effectExtent l="0" t="0" r="0" b="0"/>
                  <wp:docPr id="867511" name="Picture 867511"/>
                  <wp:cNvGraphicFramePr/>
                  <a:graphic xmlns:a="http://schemas.openxmlformats.org/drawingml/2006/main">
                    <a:graphicData uri="http://schemas.openxmlformats.org/drawingml/2006/picture">
                      <pic:pic xmlns:pic="http://schemas.openxmlformats.org/drawingml/2006/picture">
                        <pic:nvPicPr>
                          <pic:cNvPr id="867511" name="Picture 867511"/>
                          <pic:cNvPicPr/>
                        </pic:nvPicPr>
                        <pic:blipFill>
                          <a:blip r:embed="rId1209"/>
                          <a:stretch>
                            <a:fillRect/>
                          </a:stretch>
                        </pic:blipFill>
                        <pic:spPr>
                          <a:xfrm>
                            <a:off x="0" y="0"/>
                            <a:ext cx="1065276" cy="406909"/>
                          </a:xfrm>
                          <a:prstGeom prst="rect">
                            <a:avLst/>
                          </a:prstGeom>
                        </pic:spPr>
                      </pic:pic>
                    </a:graphicData>
                  </a:graphic>
                </wp:inline>
              </w:drawing>
            </w:r>
          </w:p>
        </w:tc>
        <w:tc>
          <w:tcPr>
            <w:tcW w:w="7716" w:type="dxa"/>
            <w:tcBorders>
              <w:top w:val="nil"/>
              <w:left w:val="nil"/>
              <w:bottom w:val="nil"/>
              <w:right w:val="nil"/>
            </w:tcBorders>
          </w:tcPr>
          <w:p w14:paraId="29B11850" w14:textId="77777777" w:rsidR="00053D93" w:rsidRDefault="00053D93">
            <w:pPr>
              <w:ind w:left="-2839" w:right="10555"/>
            </w:pPr>
          </w:p>
          <w:tbl>
            <w:tblPr>
              <w:tblStyle w:val="TableGrid"/>
              <w:tblW w:w="7671" w:type="dxa"/>
              <w:tblInd w:w="45" w:type="dxa"/>
              <w:tblCellMar>
                <w:top w:w="30" w:type="dxa"/>
                <w:left w:w="1781" w:type="dxa"/>
                <w:right w:w="115" w:type="dxa"/>
              </w:tblCellMar>
              <w:tblLook w:val="04A0" w:firstRow="1" w:lastRow="0" w:firstColumn="1" w:lastColumn="0" w:noHBand="0" w:noVBand="1"/>
            </w:tblPr>
            <w:tblGrid>
              <w:gridCol w:w="7671"/>
            </w:tblGrid>
            <w:tr w:rsidR="00053D93" w14:paraId="0872778E" w14:textId="77777777">
              <w:trPr>
                <w:trHeight w:val="605"/>
              </w:trPr>
              <w:tc>
                <w:tcPr>
                  <w:tcW w:w="7671" w:type="dxa"/>
                  <w:tcBorders>
                    <w:top w:val="single" w:sz="2" w:space="0" w:color="000000"/>
                    <w:left w:val="single" w:sz="2" w:space="0" w:color="000000"/>
                    <w:bottom w:val="nil"/>
                    <w:right w:val="nil"/>
                  </w:tcBorders>
                </w:tcPr>
                <w:p w14:paraId="09FE74D5" w14:textId="77777777" w:rsidR="00053D93" w:rsidRDefault="00260B75">
                  <w:pPr>
                    <w:ind w:left="828"/>
                  </w:pPr>
                  <w:r>
                    <w:rPr>
                      <w:sz w:val="14"/>
                    </w:rPr>
                    <w:t>MINISTERIO DE EDUCACION</w:t>
                  </w:r>
                </w:p>
                <w:p w14:paraId="01D4B299" w14:textId="77777777" w:rsidR="00053D93" w:rsidRDefault="00260B75">
                  <w:pPr>
                    <w:ind w:left="331"/>
                  </w:pPr>
                  <w:r>
                    <w:rPr>
                      <w:sz w:val="14"/>
                    </w:rPr>
                    <w:t>AUDITORIA FINANCIERA Y DE CUMPLIMIENTO</w:t>
                  </w:r>
                </w:p>
                <w:p w14:paraId="57D4594B" w14:textId="77777777" w:rsidR="00053D93" w:rsidRDefault="00260B75">
                  <w:r>
                    <w:rPr>
                      <w:sz w:val="14"/>
                    </w:rPr>
                    <w:t>PERIODO DEL 01 DE ENERO AL 31 DE DICIEMBRE DE 2024</w:t>
                  </w:r>
                </w:p>
              </w:tc>
            </w:tr>
          </w:tbl>
          <w:p w14:paraId="2A613CE2" w14:textId="77777777" w:rsidR="00053D93" w:rsidRDefault="00053D93"/>
        </w:tc>
      </w:tr>
    </w:tbl>
    <w:p w14:paraId="3A09737D" w14:textId="77777777" w:rsidR="00053D93" w:rsidRDefault="00053D93">
      <w:pPr>
        <w:sectPr w:rsidR="00053D93">
          <w:headerReference w:type="even" r:id="rId1210"/>
          <w:headerReference w:type="default" r:id="rId1211"/>
          <w:footerReference w:type="even" r:id="rId1212"/>
          <w:footerReference w:type="default" r:id="rId1213"/>
          <w:headerReference w:type="first" r:id="rId1214"/>
          <w:footerReference w:type="first" r:id="rId1215"/>
          <w:pgSz w:w="12290" w:h="15883"/>
          <w:pgMar w:top="687" w:right="1764" w:bottom="468" w:left="374" w:header="662" w:footer="720" w:gutter="0"/>
          <w:cols w:space="720"/>
          <w:titlePg/>
        </w:sectPr>
      </w:pPr>
    </w:p>
    <w:p w14:paraId="17A04C5E" w14:textId="77777777" w:rsidR="00053D93" w:rsidRDefault="00260B75">
      <w:pPr>
        <w:spacing w:after="281"/>
        <w:ind w:left="756" w:right="-886"/>
      </w:pPr>
      <w:r>
        <w:rPr>
          <w:noProof/>
        </w:rPr>
        <mc:AlternateContent>
          <mc:Choice Requires="wpg">
            <w:drawing>
              <wp:inline distT="0" distB="0" distL="0" distR="0" wp14:anchorId="0DCE38A8" wp14:editId="3B604A7E">
                <wp:extent cx="6094476" cy="9144"/>
                <wp:effectExtent l="0" t="0" r="0" b="0"/>
                <wp:docPr id="2458656" name="Group 2458656"/>
                <wp:cNvGraphicFramePr/>
                <a:graphic xmlns:a="http://schemas.openxmlformats.org/drawingml/2006/main">
                  <a:graphicData uri="http://schemas.microsoft.com/office/word/2010/wordprocessingGroup">
                    <wpg:wgp>
                      <wpg:cNvGrpSpPr/>
                      <wpg:grpSpPr>
                        <a:xfrm>
                          <a:off x="0" y="0"/>
                          <a:ext cx="6094476" cy="9144"/>
                          <a:chOff x="0" y="0"/>
                          <a:chExt cx="6094476" cy="9144"/>
                        </a:xfrm>
                      </wpg:grpSpPr>
                      <wps:wsp>
                        <wps:cNvPr id="2458655" name="Shape 2458655"/>
                        <wps:cNvSpPr/>
                        <wps:spPr>
                          <a:xfrm>
                            <a:off x="0" y="0"/>
                            <a:ext cx="6094476" cy="9144"/>
                          </a:xfrm>
                          <a:custGeom>
                            <a:avLst/>
                            <a:gdLst/>
                            <a:ahLst/>
                            <a:cxnLst/>
                            <a:rect l="0" t="0" r="0" b="0"/>
                            <a:pathLst>
                              <a:path w="6094476" h="9144">
                                <a:moveTo>
                                  <a:pt x="0" y="4572"/>
                                </a:moveTo>
                                <a:lnTo>
                                  <a:pt x="609447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56" style="width:479.88pt;height:0.720001pt;mso-position-horizontal-relative:char;mso-position-vertical-relative:line" coordsize="60944,91">
                <v:shape id="Shape 2458655" style="position:absolute;width:60944;height:91;left:0;top:0;" coordsize="6094476,9144" path="m0,4572l6094476,4572">
                  <v:stroke weight="0.720001pt" endcap="flat" joinstyle="miter" miterlimit="1" on="true" color="#000000"/>
                  <v:fill on="false" color="#000000"/>
                </v:shape>
              </v:group>
            </w:pict>
          </mc:Fallback>
        </mc:AlternateContent>
      </w:r>
    </w:p>
    <w:tbl>
      <w:tblPr>
        <w:tblStyle w:val="TableGrid"/>
        <w:tblW w:w="8460" w:type="dxa"/>
        <w:tblInd w:w="1012" w:type="dxa"/>
        <w:tblCellMar>
          <w:left w:w="72" w:type="dxa"/>
          <w:bottom w:w="14" w:type="dxa"/>
          <w:right w:w="79" w:type="dxa"/>
        </w:tblCellMar>
        <w:tblLook w:val="04A0" w:firstRow="1" w:lastRow="0" w:firstColumn="1" w:lastColumn="0" w:noHBand="0" w:noVBand="1"/>
      </w:tblPr>
      <w:tblGrid>
        <w:gridCol w:w="521"/>
        <w:gridCol w:w="1865"/>
        <w:gridCol w:w="1512"/>
        <w:gridCol w:w="1526"/>
        <w:gridCol w:w="1512"/>
        <w:gridCol w:w="1524"/>
      </w:tblGrid>
      <w:tr w:rsidR="00053D93" w14:paraId="05787E30" w14:textId="77777777">
        <w:trPr>
          <w:trHeight w:val="979"/>
        </w:trPr>
        <w:tc>
          <w:tcPr>
            <w:tcW w:w="521" w:type="dxa"/>
            <w:tcBorders>
              <w:top w:val="single" w:sz="2" w:space="0" w:color="000000"/>
              <w:left w:val="single" w:sz="2" w:space="0" w:color="000000"/>
              <w:bottom w:val="single" w:sz="2" w:space="0" w:color="000000"/>
              <w:right w:val="single" w:sz="2" w:space="0" w:color="000000"/>
            </w:tcBorders>
          </w:tcPr>
          <w:p w14:paraId="7B9E7056" w14:textId="77777777" w:rsidR="00053D93" w:rsidRDefault="00053D93"/>
        </w:tc>
        <w:tc>
          <w:tcPr>
            <w:tcW w:w="1865" w:type="dxa"/>
            <w:tcBorders>
              <w:top w:val="single" w:sz="2" w:space="0" w:color="000000"/>
              <w:left w:val="single" w:sz="2" w:space="0" w:color="000000"/>
              <w:bottom w:val="single" w:sz="2" w:space="0" w:color="000000"/>
              <w:right w:val="single" w:sz="2" w:space="0" w:color="000000"/>
            </w:tcBorders>
          </w:tcPr>
          <w:p w14:paraId="08488A4F" w14:textId="77777777" w:rsidR="00053D93" w:rsidRDefault="00260B75">
            <w:pPr>
              <w:ind w:left="36"/>
              <w:jc w:val="center"/>
            </w:pPr>
            <w:r>
              <w:rPr>
                <w:sz w:val="20"/>
              </w:rPr>
              <w:t>Deporte</w:t>
            </w:r>
          </w:p>
        </w:tc>
        <w:tc>
          <w:tcPr>
            <w:tcW w:w="1512" w:type="dxa"/>
            <w:tcBorders>
              <w:top w:val="single" w:sz="2" w:space="0" w:color="000000"/>
              <w:left w:val="single" w:sz="2" w:space="0" w:color="000000"/>
              <w:bottom w:val="single" w:sz="2" w:space="0" w:color="000000"/>
              <w:right w:val="single" w:sz="2" w:space="0" w:color="000000"/>
            </w:tcBorders>
          </w:tcPr>
          <w:p w14:paraId="61EE9DF0" w14:textId="77777777" w:rsidR="00053D93" w:rsidRDefault="00260B75">
            <w:pPr>
              <w:ind w:left="44" w:hanging="15"/>
              <w:jc w:val="center"/>
            </w:pPr>
            <w:r>
              <w:rPr>
                <w:sz w:val="20"/>
              </w:rPr>
              <w:t>Fecha de arribo a Panamá planificado</w:t>
            </w:r>
          </w:p>
        </w:tc>
        <w:tc>
          <w:tcPr>
            <w:tcW w:w="1526" w:type="dxa"/>
            <w:tcBorders>
              <w:top w:val="single" w:sz="2" w:space="0" w:color="000000"/>
              <w:left w:val="single" w:sz="2" w:space="0" w:color="000000"/>
              <w:bottom w:val="single" w:sz="2" w:space="0" w:color="000000"/>
              <w:right w:val="single" w:sz="2" w:space="0" w:color="000000"/>
            </w:tcBorders>
          </w:tcPr>
          <w:p w14:paraId="1A2DE498" w14:textId="77777777" w:rsidR="00053D93" w:rsidRDefault="00260B75">
            <w:pPr>
              <w:ind w:left="72"/>
            </w:pPr>
            <w:r>
              <w:rPr>
                <w:sz w:val="20"/>
              </w:rPr>
              <w:t>Fecha de arribo</w:t>
            </w:r>
          </w:p>
          <w:p w14:paraId="6DA75DFA" w14:textId="77777777" w:rsidR="00053D93" w:rsidRDefault="00260B75">
            <w:pPr>
              <w:jc w:val="center"/>
            </w:pPr>
            <w:r>
              <w:rPr>
                <w:sz w:val="20"/>
              </w:rPr>
              <w:t>Panamá modificado</w:t>
            </w:r>
          </w:p>
        </w:tc>
        <w:tc>
          <w:tcPr>
            <w:tcW w:w="1512" w:type="dxa"/>
            <w:tcBorders>
              <w:top w:val="single" w:sz="2" w:space="0" w:color="000000"/>
              <w:left w:val="single" w:sz="2" w:space="0" w:color="000000"/>
              <w:bottom w:val="single" w:sz="2" w:space="0" w:color="000000"/>
              <w:right w:val="single" w:sz="2" w:space="0" w:color="000000"/>
            </w:tcBorders>
          </w:tcPr>
          <w:p w14:paraId="48CD39F4" w14:textId="77777777" w:rsidR="00053D93" w:rsidRDefault="00260B75">
            <w:pPr>
              <w:ind w:left="40" w:right="11"/>
              <w:jc w:val="center"/>
            </w:pPr>
            <w:r>
              <w:rPr>
                <w:sz w:val="20"/>
              </w:rPr>
              <w:t>Fecha de retorno a Guatemala planificado</w:t>
            </w:r>
          </w:p>
        </w:tc>
        <w:tc>
          <w:tcPr>
            <w:tcW w:w="1524" w:type="dxa"/>
            <w:tcBorders>
              <w:top w:val="single" w:sz="2" w:space="0" w:color="000000"/>
              <w:left w:val="single" w:sz="2" w:space="0" w:color="000000"/>
              <w:bottom w:val="single" w:sz="2" w:space="0" w:color="000000"/>
              <w:right w:val="single" w:sz="2" w:space="0" w:color="000000"/>
            </w:tcBorders>
          </w:tcPr>
          <w:p w14:paraId="0435227B" w14:textId="77777777" w:rsidR="00053D93" w:rsidRDefault="00260B75">
            <w:pPr>
              <w:ind w:left="43" w:right="5"/>
              <w:jc w:val="center"/>
            </w:pPr>
            <w:r>
              <w:rPr>
                <w:sz w:val="20"/>
              </w:rPr>
              <w:t>Fecha de retorno a Guatemala modificado</w:t>
            </w:r>
          </w:p>
        </w:tc>
      </w:tr>
      <w:tr w:rsidR="00053D93" w14:paraId="0B4A40B2" w14:textId="77777777">
        <w:trPr>
          <w:trHeight w:val="710"/>
        </w:trPr>
        <w:tc>
          <w:tcPr>
            <w:tcW w:w="521" w:type="dxa"/>
            <w:tcBorders>
              <w:top w:val="single" w:sz="2" w:space="0" w:color="000000"/>
              <w:left w:val="single" w:sz="2" w:space="0" w:color="000000"/>
              <w:bottom w:val="single" w:sz="2" w:space="0" w:color="000000"/>
              <w:right w:val="single" w:sz="2" w:space="0" w:color="000000"/>
            </w:tcBorders>
          </w:tcPr>
          <w:p w14:paraId="7A8D9F12" w14:textId="77777777" w:rsidR="00053D93" w:rsidRDefault="00053D93"/>
        </w:tc>
        <w:tc>
          <w:tcPr>
            <w:tcW w:w="1865" w:type="dxa"/>
            <w:tcBorders>
              <w:top w:val="single" w:sz="2" w:space="0" w:color="000000"/>
              <w:left w:val="single" w:sz="2" w:space="0" w:color="000000"/>
              <w:bottom w:val="single" w:sz="2" w:space="0" w:color="000000"/>
              <w:right w:val="single" w:sz="2" w:space="0" w:color="000000"/>
            </w:tcBorders>
          </w:tcPr>
          <w:p w14:paraId="261C791D" w14:textId="77777777" w:rsidR="00053D93" w:rsidRDefault="00260B75">
            <w:pPr>
              <w:ind w:left="21" w:hanging="7"/>
              <w:jc w:val="both"/>
            </w:pPr>
            <w:r>
              <w:rPr>
                <w:sz w:val="20"/>
              </w:rPr>
              <w:t>Jefe de misión Y miembro de la comisión técnica</w:t>
            </w:r>
          </w:p>
        </w:tc>
        <w:tc>
          <w:tcPr>
            <w:tcW w:w="1512" w:type="dxa"/>
            <w:tcBorders>
              <w:top w:val="single" w:sz="2" w:space="0" w:color="000000"/>
              <w:left w:val="single" w:sz="2" w:space="0" w:color="000000"/>
              <w:bottom w:val="single" w:sz="2" w:space="0" w:color="000000"/>
              <w:right w:val="single" w:sz="2" w:space="0" w:color="000000"/>
            </w:tcBorders>
          </w:tcPr>
          <w:p w14:paraId="2D5F25E1" w14:textId="77777777" w:rsidR="00053D93" w:rsidRDefault="00260B75">
            <w:pPr>
              <w:ind w:left="36"/>
              <w:jc w:val="center"/>
            </w:pPr>
            <w:r>
              <w:rPr>
                <w:sz w:val="18"/>
              </w:rPr>
              <w:t>1 1/1 1/2024</w:t>
            </w:r>
          </w:p>
        </w:tc>
        <w:tc>
          <w:tcPr>
            <w:tcW w:w="1526" w:type="dxa"/>
            <w:tcBorders>
              <w:top w:val="single" w:sz="2" w:space="0" w:color="000000"/>
              <w:left w:val="single" w:sz="2" w:space="0" w:color="000000"/>
              <w:bottom w:val="single" w:sz="2" w:space="0" w:color="000000"/>
              <w:right w:val="single" w:sz="2" w:space="0" w:color="000000"/>
            </w:tcBorders>
          </w:tcPr>
          <w:p w14:paraId="363CE222" w14:textId="77777777" w:rsidR="00053D93" w:rsidRDefault="00053D93"/>
        </w:tc>
        <w:tc>
          <w:tcPr>
            <w:tcW w:w="1512" w:type="dxa"/>
            <w:tcBorders>
              <w:top w:val="single" w:sz="2" w:space="0" w:color="000000"/>
              <w:left w:val="single" w:sz="2" w:space="0" w:color="000000"/>
              <w:bottom w:val="single" w:sz="2" w:space="0" w:color="000000"/>
              <w:right w:val="single" w:sz="2" w:space="0" w:color="000000"/>
            </w:tcBorders>
          </w:tcPr>
          <w:p w14:paraId="58BC116F" w14:textId="77777777" w:rsidR="00053D93" w:rsidRDefault="00260B75">
            <w:pPr>
              <w:ind w:left="22"/>
              <w:jc w:val="center"/>
            </w:pPr>
            <w:r>
              <w:rPr>
                <w:sz w:val="18"/>
              </w:rPr>
              <w:t>19/1 1/2024</w:t>
            </w:r>
          </w:p>
        </w:tc>
        <w:tc>
          <w:tcPr>
            <w:tcW w:w="1524" w:type="dxa"/>
            <w:tcBorders>
              <w:top w:val="single" w:sz="2" w:space="0" w:color="000000"/>
              <w:left w:val="single" w:sz="2" w:space="0" w:color="000000"/>
              <w:bottom w:val="single" w:sz="2" w:space="0" w:color="000000"/>
              <w:right w:val="single" w:sz="2" w:space="0" w:color="000000"/>
            </w:tcBorders>
          </w:tcPr>
          <w:p w14:paraId="41F5BC6C" w14:textId="77777777" w:rsidR="00053D93" w:rsidRDefault="00053D93"/>
        </w:tc>
      </w:tr>
      <w:tr w:rsidR="00053D93" w14:paraId="0B2249E2" w14:textId="77777777">
        <w:trPr>
          <w:trHeight w:val="482"/>
        </w:trPr>
        <w:tc>
          <w:tcPr>
            <w:tcW w:w="521" w:type="dxa"/>
            <w:tcBorders>
              <w:top w:val="single" w:sz="2" w:space="0" w:color="000000"/>
              <w:left w:val="single" w:sz="2" w:space="0" w:color="000000"/>
              <w:bottom w:val="single" w:sz="2" w:space="0" w:color="000000"/>
              <w:right w:val="single" w:sz="2" w:space="0" w:color="000000"/>
            </w:tcBorders>
          </w:tcPr>
          <w:p w14:paraId="3AA0AEC0" w14:textId="77777777" w:rsidR="00053D93" w:rsidRDefault="00260B75">
            <w:pPr>
              <w:ind w:left="17"/>
              <w:jc w:val="center"/>
            </w:pPr>
            <w:r>
              <w:rPr>
                <w:sz w:val="18"/>
              </w:rPr>
              <w:t>2</w:t>
            </w:r>
          </w:p>
        </w:tc>
        <w:tc>
          <w:tcPr>
            <w:tcW w:w="1865" w:type="dxa"/>
            <w:tcBorders>
              <w:top w:val="single" w:sz="2" w:space="0" w:color="000000"/>
              <w:left w:val="single" w:sz="2" w:space="0" w:color="000000"/>
              <w:bottom w:val="single" w:sz="2" w:space="0" w:color="000000"/>
              <w:right w:val="single" w:sz="2" w:space="0" w:color="000000"/>
            </w:tcBorders>
          </w:tcPr>
          <w:p w14:paraId="415CDD88" w14:textId="77777777" w:rsidR="00053D93" w:rsidRDefault="00260B75">
            <w:pPr>
              <w:ind w:left="14" w:right="324" w:hanging="7"/>
            </w:pPr>
            <w:r>
              <w:rPr>
                <w:sz w:val="20"/>
              </w:rPr>
              <w:t>Atletismo primario</w:t>
            </w:r>
          </w:p>
        </w:tc>
        <w:tc>
          <w:tcPr>
            <w:tcW w:w="1512" w:type="dxa"/>
            <w:tcBorders>
              <w:top w:val="single" w:sz="2" w:space="0" w:color="000000"/>
              <w:left w:val="single" w:sz="2" w:space="0" w:color="000000"/>
              <w:bottom w:val="single" w:sz="2" w:space="0" w:color="000000"/>
              <w:right w:val="single" w:sz="2" w:space="0" w:color="000000"/>
            </w:tcBorders>
          </w:tcPr>
          <w:p w14:paraId="22AB85D2" w14:textId="77777777" w:rsidR="00053D93" w:rsidRDefault="00260B75">
            <w:pPr>
              <w:ind w:left="22"/>
              <w:jc w:val="center"/>
            </w:pPr>
            <w:r>
              <w:rPr>
                <w:sz w:val="18"/>
              </w:rPr>
              <w:t>12/1 1/2024</w:t>
            </w:r>
          </w:p>
        </w:tc>
        <w:tc>
          <w:tcPr>
            <w:tcW w:w="1526" w:type="dxa"/>
            <w:tcBorders>
              <w:top w:val="single" w:sz="2" w:space="0" w:color="000000"/>
              <w:left w:val="single" w:sz="2" w:space="0" w:color="000000"/>
              <w:bottom w:val="single" w:sz="2" w:space="0" w:color="000000"/>
              <w:right w:val="single" w:sz="2" w:space="0" w:color="000000"/>
            </w:tcBorders>
          </w:tcPr>
          <w:p w14:paraId="293993D8" w14:textId="77777777" w:rsidR="00053D93" w:rsidRDefault="00260B75">
            <w:pPr>
              <w:ind w:left="22"/>
              <w:jc w:val="center"/>
            </w:pPr>
            <w:r>
              <w:rPr>
                <w:sz w:val="18"/>
              </w:rPr>
              <w:t>13/1 1/2024</w:t>
            </w:r>
          </w:p>
        </w:tc>
        <w:tc>
          <w:tcPr>
            <w:tcW w:w="1512" w:type="dxa"/>
            <w:tcBorders>
              <w:top w:val="single" w:sz="2" w:space="0" w:color="000000"/>
              <w:left w:val="single" w:sz="2" w:space="0" w:color="000000"/>
              <w:bottom w:val="single" w:sz="2" w:space="0" w:color="000000"/>
              <w:right w:val="single" w:sz="2" w:space="0" w:color="000000"/>
            </w:tcBorders>
          </w:tcPr>
          <w:p w14:paraId="20E9950B" w14:textId="77777777" w:rsidR="00053D93" w:rsidRDefault="00260B75">
            <w:pPr>
              <w:ind w:left="22"/>
              <w:jc w:val="center"/>
            </w:pPr>
            <w:r>
              <w:rPr>
                <w:sz w:val="20"/>
              </w:rPr>
              <w:t>1 711 1/2024</w:t>
            </w:r>
          </w:p>
        </w:tc>
        <w:tc>
          <w:tcPr>
            <w:tcW w:w="1524" w:type="dxa"/>
            <w:tcBorders>
              <w:top w:val="single" w:sz="2" w:space="0" w:color="000000"/>
              <w:left w:val="single" w:sz="2" w:space="0" w:color="000000"/>
              <w:bottom w:val="single" w:sz="2" w:space="0" w:color="000000"/>
              <w:right w:val="single" w:sz="2" w:space="0" w:color="000000"/>
            </w:tcBorders>
          </w:tcPr>
          <w:p w14:paraId="3C079D17" w14:textId="77777777" w:rsidR="00053D93" w:rsidRDefault="00260B75">
            <w:pPr>
              <w:ind w:left="31"/>
              <w:jc w:val="center"/>
            </w:pPr>
            <w:r>
              <w:rPr>
                <w:sz w:val="20"/>
              </w:rPr>
              <w:t>1 811 1/2024</w:t>
            </w:r>
          </w:p>
        </w:tc>
      </w:tr>
      <w:tr w:rsidR="00053D93" w14:paraId="225F5337" w14:textId="77777777">
        <w:trPr>
          <w:trHeight w:val="475"/>
        </w:trPr>
        <w:tc>
          <w:tcPr>
            <w:tcW w:w="521" w:type="dxa"/>
            <w:tcBorders>
              <w:top w:val="single" w:sz="2" w:space="0" w:color="000000"/>
              <w:left w:val="single" w:sz="2" w:space="0" w:color="000000"/>
              <w:bottom w:val="single" w:sz="2" w:space="0" w:color="000000"/>
              <w:right w:val="single" w:sz="2" w:space="0" w:color="000000"/>
            </w:tcBorders>
          </w:tcPr>
          <w:p w14:paraId="3D79245D" w14:textId="77777777" w:rsidR="00053D93" w:rsidRDefault="00260B75">
            <w:pPr>
              <w:ind w:left="10"/>
              <w:jc w:val="center"/>
            </w:pPr>
            <w:r>
              <w:rPr>
                <w:sz w:val="20"/>
              </w:rPr>
              <w:t>3</w:t>
            </w:r>
          </w:p>
        </w:tc>
        <w:tc>
          <w:tcPr>
            <w:tcW w:w="1865" w:type="dxa"/>
            <w:tcBorders>
              <w:top w:val="single" w:sz="2" w:space="0" w:color="000000"/>
              <w:left w:val="single" w:sz="2" w:space="0" w:color="000000"/>
              <w:bottom w:val="single" w:sz="2" w:space="0" w:color="000000"/>
              <w:right w:val="single" w:sz="2" w:space="0" w:color="000000"/>
            </w:tcBorders>
          </w:tcPr>
          <w:p w14:paraId="6B74E5A4" w14:textId="77777777" w:rsidR="00053D93" w:rsidRDefault="00260B75">
            <w:pPr>
              <w:ind w:left="14" w:right="360" w:firstLine="7"/>
            </w:pPr>
            <w:r>
              <w:rPr>
                <w:sz w:val="18"/>
              </w:rPr>
              <w:t>Natación primario</w:t>
            </w:r>
          </w:p>
        </w:tc>
        <w:tc>
          <w:tcPr>
            <w:tcW w:w="1512" w:type="dxa"/>
            <w:tcBorders>
              <w:top w:val="single" w:sz="2" w:space="0" w:color="000000"/>
              <w:left w:val="single" w:sz="2" w:space="0" w:color="000000"/>
              <w:bottom w:val="single" w:sz="2" w:space="0" w:color="000000"/>
              <w:right w:val="single" w:sz="2" w:space="0" w:color="000000"/>
            </w:tcBorders>
          </w:tcPr>
          <w:p w14:paraId="7E9AA6F5" w14:textId="77777777" w:rsidR="00053D93" w:rsidRDefault="00260B75">
            <w:pPr>
              <w:ind w:left="22"/>
              <w:jc w:val="center"/>
            </w:pPr>
            <w:r>
              <w:rPr>
                <w:sz w:val="20"/>
              </w:rPr>
              <w:t>1211 1/2024</w:t>
            </w:r>
          </w:p>
        </w:tc>
        <w:tc>
          <w:tcPr>
            <w:tcW w:w="1526" w:type="dxa"/>
            <w:tcBorders>
              <w:top w:val="single" w:sz="2" w:space="0" w:color="000000"/>
              <w:left w:val="single" w:sz="2" w:space="0" w:color="000000"/>
              <w:bottom w:val="single" w:sz="2" w:space="0" w:color="000000"/>
              <w:right w:val="single" w:sz="2" w:space="0" w:color="000000"/>
            </w:tcBorders>
          </w:tcPr>
          <w:p w14:paraId="0E03F1E1" w14:textId="77777777" w:rsidR="00053D93" w:rsidRDefault="00260B75">
            <w:pPr>
              <w:ind w:left="22"/>
              <w:jc w:val="center"/>
            </w:pPr>
            <w:r>
              <w:rPr>
                <w:sz w:val="18"/>
              </w:rPr>
              <w:t>12/11/2024</w:t>
            </w:r>
          </w:p>
        </w:tc>
        <w:tc>
          <w:tcPr>
            <w:tcW w:w="1512" w:type="dxa"/>
            <w:tcBorders>
              <w:top w:val="single" w:sz="2" w:space="0" w:color="000000"/>
              <w:left w:val="single" w:sz="2" w:space="0" w:color="000000"/>
              <w:bottom w:val="single" w:sz="2" w:space="0" w:color="000000"/>
              <w:right w:val="single" w:sz="2" w:space="0" w:color="000000"/>
            </w:tcBorders>
          </w:tcPr>
          <w:p w14:paraId="4862F55E" w14:textId="77777777" w:rsidR="00053D93" w:rsidRDefault="00260B75">
            <w:pPr>
              <w:ind w:left="14"/>
              <w:jc w:val="center"/>
            </w:pPr>
            <w:r>
              <w:rPr>
                <w:sz w:val="18"/>
              </w:rPr>
              <w:t>1711 1/2024</w:t>
            </w:r>
          </w:p>
        </w:tc>
        <w:tc>
          <w:tcPr>
            <w:tcW w:w="1524" w:type="dxa"/>
            <w:tcBorders>
              <w:top w:val="single" w:sz="2" w:space="0" w:color="000000"/>
              <w:left w:val="single" w:sz="2" w:space="0" w:color="000000"/>
              <w:bottom w:val="single" w:sz="2" w:space="0" w:color="000000"/>
              <w:right w:val="single" w:sz="2" w:space="0" w:color="000000"/>
            </w:tcBorders>
          </w:tcPr>
          <w:p w14:paraId="176BEC92" w14:textId="77777777" w:rsidR="00053D93" w:rsidRDefault="00260B75">
            <w:pPr>
              <w:ind w:left="24"/>
              <w:jc w:val="center"/>
            </w:pPr>
            <w:r>
              <w:rPr>
                <w:sz w:val="20"/>
              </w:rPr>
              <w:t>1711 1/2024</w:t>
            </w:r>
          </w:p>
        </w:tc>
      </w:tr>
      <w:tr w:rsidR="00053D93" w14:paraId="78153F5A" w14:textId="77777777">
        <w:trPr>
          <w:trHeight w:val="288"/>
        </w:trPr>
        <w:tc>
          <w:tcPr>
            <w:tcW w:w="521" w:type="dxa"/>
            <w:tcBorders>
              <w:top w:val="single" w:sz="2" w:space="0" w:color="000000"/>
              <w:left w:val="single" w:sz="2" w:space="0" w:color="000000"/>
              <w:bottom w:val="single" w:sz="2" w:space="0" w:color="000000"/>
              <w:right w:val="single" w:sz="2" w:space="0" w:color="000000"/>
            </w:tcBorders>
          </w:tcPr>
          <w:p w14:paraId="3E0824F8" w14:textId="77777777" w:rsidR="00053D93" w:rsidRDefault="00260B75">
            <w:pPr>
              <w:ind w:right="5"/>
              <w:jc w:val="center"/>
            </w:pPr>
            <w:r>
              <w:rPr>
                <w:sz w:val="20"/>
              </w:rPr>
              <w:t>4</w:t>
            </w:r>
          </w:p>
        </w:tc>
        <w:tc>
          <w:tcPr>
            <w:tcW w:w="1865" w:type="dxa"/>
            <w:tcBorders>
              <w:top w:val="single" w:sz="2" w:space="0" w:color="000000"/>
              <w:left w:val="single" w:sz="2" w:space="0" w:color="000000"/>
              <w:bottom w:val="single" w:sz="2" w:space="0" w:color="000000"/>
              <w:right w:val="single" w:sz="2" w:space="0" w:color="000000"/>
            </w:tcBorders>
          </w:tcPr>
          <w:p w14:paraId="597F1C94" w14:textId="77777777" w:rsidR="00053D93" w:rsidRDefault="00260B75">
            <w:pPr>
              <w:ind w:left="7"/>
            </w:pPr>
            <w:r>
              <w:rPr>
                <w:sz w:val="18"/>
              </w:rPr>
              <w:t>Atletismo nivel medio</w:t>
            </w:r>
          </w:p>
        </w:tc>
        <w:tc>
          <w:tcPr>
            <w:tcW w:w="1512" w:type="dxa"/>
            <w:tcBorders>
              <w:top w:val="single" w:sz="2" w:space="0" w:color="000000"/>
              <w:left w:val="single" w:sz="2" w:space="0" w:color="000000"/>
              <w:bottom w:val="single" w:sz="2" w:space="0" w:color="000000"/>
              <w:right w:val="single" w:sz="2" w:space="0" w:color="000000"/>
            </w:tcBorders>
          </w:tcPr>
          <w:p w14:paraId="7C783579" w14:textId="77777777" w:rsidR="00053D93" w:rsidRDefault="00260B75">
            <w:pPr>
              <w:ind w:left="22"/>
              <w:jc w:val="center"/>
            </w:pPr>
            <w:r>
              <w:rPr>
                <w:sz w:val="20"/>
              </w:rPr>
              <w:t>1211 1/2024</w:t>
            </w:r>
          </w:p>
        </w:tc>
        <w:tc>
          <w:tcPr>
            <w:tcW w:w="1526" w:type="dxa"/>
            <w:tcBorders>
              <w:top w:val="single" w:sz="2" w:space="0" w:color="000000"/>
              <w:left w:val="single" w:sz="2" w:space="0" w:color="000000"/>
              <w:bottom w:val="single" w:sz="2" w:space="0" w:color="000000"/>
              <w:right w:val="single" w:sz="2" w:space="0" w:color="000000"/>
            </w:tcBorders>
          </w:tcPr>
          <w:p w14:paraId="2AA86FC0" w14:textId="77777777" w:rsidR="00053D93" w:rsidRDefault="00260B75">
            <w:pPr>
              <w:ind w:left="14"/>
              <w:jc w:val="center"/>
            </w:pPr>
            <w:r>
              <w:rPr>
                <w:sz w:val="20"/>
              </w:rPr>
              <w:t>1 3/1 1/2024</w:t>
            </w:r>
          </w:p>
        </w:tc>
        <w:tc>
          <w:tcPr>
            <w:tcW w:w="1512" w:type="dxa"/>
            <w:tcBorders>
              <w:top w:val="single" w:sz="2" w:space="0" w:color="000000"/>
              <w:left w:val="single" w:sz="2" w:space="0" w:color="000000"/>
              <w:bottom w:val="single" w:sz="2" w:space="0" w:color="000000"/>
              <w:right w:val="single" w:sz="2" w:space="0" w:color="000000"/>
            </w:tcBorders>
          </w:tcPr>
          <w:p w14:paraId="1AD3D7EB" w14:textId="77777777" w:rsidR="00053D93" w:rsidRDefault="00260B75">
            <w:pPr>
              <w:ind w:left="7"/>
              <w:jc w:val="center"/>
            </w:pPr>
            <w:r>
              <w:rPr>
                <w:sz w:val="18"/>
              </w:rPr>
              <w:t>1711 1/2024</w:t>
            </w:r>
          </w:p>
        </w:tc>
        <w:tc>
          <w:tcPr>
            <w:tcW w:w="1524" w:type="dxa"/>
            <w:tcBorders>
              <w:top w:val="single" w:sz="2" w:space="0" w:color="000000"/>
              <w:left w:val="single" w:sz="2" w:space="0" w:color="000000"/>
              <w:bottom w:val="single" w:sz="2" w:space="0" w:color="000000"/>
              <w:right w:val="single" w:sz="2" w:space="0" w:color="000000"/>
            </w:tcBorders>
          </w:tcPr>
          <w:p w14:paraId="4C0F0A91" w14:textId="77777777" w:rsidR="00053D93" w:rsidRDefault="00260B75">
            <w:pPr>
              <w:ind w:left="24"/>
              <w:jc w:val="center"/>
            </w:pPr>
            <w:r>
              <w:rPr>
                <w:sz w:val="20"/>
              </w:rPr>
              <w:t>1 811 1/2024</w:t>
            </w:r>
          </w:p>
        </w:tc>
      </w:tr>
      <w:tr w:rsidR="00053D93" w14:paraId="3EBA1729" w14:textId="77777777">
        <w:trPr>
          <w:trHeight w:val="291"/>
        </w:trPr>
        <w:tc>
          <w:tcPr>
            <w:tcW w:w="521" w:type="dxa"/>
            <w:tcBorders>
              <w:top w:val="single" w:sz="2" w:space="0" w:color="000000"/>
              <w:left w:val="single" w:sz="2" w:space="0" w:color="000000"/>
              <w:bottom w:val="single" w:sz="2" w:space="0" w:color="000000"/>
              <w:right w:val="single" w:sz="2" w:space="0" w:color="000000"/>
            </w:tcBorders>
          </w:tcPr>
          <w:p w14:paraId="622C685D" w14:textId="77777777" w:rsidR="00053D93" w:rsidRDefault="00260B75">
            <w:pPr>
              <w:ind w:left="3"/>
              <w:jc w:val="center"/>
            </w:pPr>
            <w:r>
              <w:rPr>
                <w:sz w:val="20"/>
              </w:rPr>
              <w:t>5</w:t>
            </w:r>
          </w:p>
        </w:tc>
        <w:tc>
          <w:tcPr>
            <w:tcW w:w="1865" w:type="dxa"/>
            <w:tcBorders>
              <w:top w:val="single" w:sz="2" w:space="0" w:color="000000"/>
              <w:left w:val="single" w:sz="2" w:space="0" w:color="000000"/>
              <w:bottom w:val="single" w:sz="2" w:space="0" w:color="000000"/>
              <w:right w:val="single" w:sz="2" w:space="0" w:color="000000"/>
            </w:tcBorders>
          </w:tcPr>
          <w:p w14:paraId="5CAC9D9C" w14:textId="77777777" w:rsidR="00053D93" w:rsidRDefault="00260B75">
            <w:pPr>
              <w:ind w:left="22"/>
            </w:pPr>
            <w:r>
              <w:rPr>
                <w:sz w:val="18"/>
              </w:rPr>
              <w:t>Natación nivel medio</w:t>
            </w:r>
          </w:p>
        </w:tc>
        <w:tc>
          <w:tcPr>
            <w:tcW w:w="1512" w:type="dxa"/>
            <w:tcBorders>
              <w:top w:val="single" w:sz="2" w:space="0" w:color="000000"/>
              <w:left w:val="single" w:sz="2" w:space="0" w:color="000000"/>
              <w:bottom w:val="single" w:sz="2" w:space="0" w:color="000000"/>
              <w:right w:val="single" w:sz="2" w:space="0" w:color="000000"/>
            </w:tcBorders>
          </w:tcPr>
          <w:p w14:paraId="6527641A" w14:textId="77777777" w:rsidR="00053D93" w:rsidRDefault="00260B75">
            <w:pPr>
              <w:ind w:left="14"/>
              <w:jc w:val="center"/>
            </w:pPr>
            <w:r>
              <w:rPr>
                <w:sz w:val="18"/>
              </w:rPr>
              <w:t>12/1 112024</w:t>
            </w:r>
          </w:p>
        </w:tc>
        <w:tc>
          <w:tcPr>
            <w:tcW w:w="1526" w:type="dxa"/>
            <w:tcBorders>
              <w:top w:val="single" w:sz="2" w:space="0" w:color="000000"/>
              <w:left w:val="single" w:sz="2" w:space="0" w:color="000000"/>
              <w:bottom w:val="single" w:sz="2" w:space="0" w:color="000000"/>
              <w:right w:val="single" w:sz="2" w:space="0" w:color="000000"/>
            </w:tcBorders>
          </w:tcPr>
          <w:p w14:paraId="33383202" w14:textId="77777777" w:rsidR="00053D93" w:rsidRDefault="00260B75">
            <w:pPr>
              <w:ind w:left="14"/>
              <w:jc w:val="center"/>
            </w:pPr>
            <w:r>
              <w:rPr>
                <w:sz w:val="20"/>
              </w:rPr>
              <w:t>1211 1/2024</w:t>
            </w:r>
          </w:p>
        </w:tc>
        <w:tc>
          <w:tcPr>
            <w:tcW w:w="1512" w:type="dxa"/>
            <w:tcBorders>
              <w:top w:val="single" w:sz="2" w:space="0" w:color="000000"/>
              <w:left w:val="single" w:sz="2" w:space="0" w:color="000000"/>
              <w:bottom w:val="single" w:sz="2" w:space="0" w:color="000000"/>
              <w:right w:val="single" w:sz="2" w:space="0" w:color="000000"/>
            </w:tcBorders>
          </w:tcPr>
          <w:p w14:paraId="0DE3342C" w14:textId="77777777" w:rsidR="00053D93" w:rsidRDefault="00260B75">
            <w:pPr>
              <w:ind w:left="7"/>
              <w:jc w:val="center"/>
            </w:pPr>
            <w:r>
              <w:rPr>
                <w:sz w:val="18"/>
              </w:rPr>
              <w:t>1 7111/2024</w:t>
            </w:r>
          </w:p>
        </w:tc>
        <w:tc>
          <w:tcPr>
            <w:tcW w:w="1524" w:type="dxa"/>
            <w:tcBorders>
              <w:top w:val="single" w:sz="2" w:space="0" w:color="000000"/>
              <w:left w:val="single" w:sz="2" w:space="0" w:color="000000"/>
              <w:bottom w:val="single" w:sz="2" w:space="0" w:color="000000"/>
              <w:right w:val="single" w:sz="2" w:space="0" w:color="000000"/>
            </w:tcBorders>
          </w:tcPr>
          <w:p w14:paraId="60552D5C" w14:textId="77777777" w:rsidR="00053D93" w:rsidRDefault="00260B75">
            <w:pPr>
              <w:ind w:left="17"/>
              <w:jc w:val="center"/>
            </w:pPr>
            <w:r>
              <w:rPr>
                <w:sz w:val="20"/>
              </w:rPr>
              <w:t>1 7/1 1/2024</w:t>
            </w:r>
          </w:p>
        </w:tc>
      </w:tr>
      <w:tr w:rsidR="00053D93" w14:paraId="03860B4D" w14:textId="77777777">
        <w:trPr>
          <w:trHeight w:val="359"/>
        </w:trPr>
        <w:tc>
          <w:tcPr>
            <w:tcW w:w="521" w:type="dxa"/>
            <w:tcBorders>
              <w:top w:val="single" w:sz="2" w:space="0" w:color="000000"/>
              <w:left w:val="single" w:sz="2" w:space="0" w:color="000000"/>
              <w:bottom w:val="single" w:sz="2" w:space="0" w:color="000000"/>
              <w:right w:val="single" w:sz="2" w:space="0" w:color="000000"/>
            </w:tcBorders>
          </w:tcPr>
          <w:p w14:paraId="04175996" w14:textId="77777777" w:rsidR="00053D93" w:rsidRDefault="00260B75">
            <w:pPr>
              <w:ind w:left="3"/>
              <w:jc w:val="center"/>
            </w:pPr>
            <w:r>
              <w:rPr>
                <w:sz w:val="18"/>
              </w:rPr>
              <w:t>6</w:t>
            </w:r>
          </w:p>
        </w:tc>
        <w:tc>
          <w:tcPr>
            <w:tcW w:w="1865" w:type="dxa"/>
            <w:tcBorders>
              <w:top w:val="single" w:sz="2" w:space="0" w:color="000000"/>
              <w:left w:val="single" w:sz="2" w:space="0" w:color="000000"/>
              <w:bottom w:val="single" w:sz="2" w:space="0" w:color="000000"/>
              <w:right w:val="single" w:sz="2" w:space="0" w:color="000000"/>
            </w:tcBorders>
          </w:tcPr>
          <w:p w14:paraId="0ED4933B" w14:textId="77777777" w:rsidR="00053D93" w:rsidRDefault="00260B75">
            <w:pPr>
              <w:ind w:left="14"/>
            </w:pPr>
            <w:r>
              <w:rPr>
                <w:sz w:val="20"/>
              </w:rPr>
              <w:t>Golbol nivel medio</w:t>
            </w:r>
          </w:p>
        </w:tc>
        <w:tc>
          <w:tcPr>
            <w:tcW w:w="1512" w:type="dxa"/>
            <w:tcBorders>
              <w:top w:val="single" w:sz="2" w:space="0" w:color="000000"/>
              <w:left w:val="single" w:sz="2" w:space="0" w:color="000000"/>
              <w:bottom w:val="single" w:sz="2" w:space="0" w:color="000000"/>
              <w:right w:val="single" w:sz="2" w:space="0" w:color="000000"/>
            </w:tcBorders>
          </w:tcPr>
          <w:p w14:paraId="0C20F9B5" w14:textId="77777777" w:rsidR="00053D93" w:rsidRDefault="00260B75">
            <w:pPr>
              <w:ind w:left="14"/>
              <w:jc w:val="center"/>
            </w:pPr>
            <w:r>
              <w:rPr>
                <w:sz w:val="18"/>
              </w:rPr>
              <w:t>12/1 1/2024</w:t>
            </w:r>
          </w:p>
        </w:tc>
        <w:tc>
          <w:tcPr>
            <w:tcW w:w="1526" w:type="dxa"/>
            <w:tcBorders>
              <w:top w:val="single" w:sz="2" w:space="0" w:color="000000"/>
              <w:left w:val="single" w:sz="2" w:space="0" w:color="000000"/>
              <w:bottom w:val="single" w:sz="2" w:space="0" w:color="000000"/>
              <w:right w:val="single" w:sz="2" w:space="0" w:color="000000"/>
            </w:tcBorders>
          </w:tcPr>
          <w:p w14:paraId="68183BDD" w14:textId="77777777" w:rsidR="00053D93" w:rsidRDefault="00260B75">
            <w:pPr>
              <w:ind w:left="7"/>
              <w:jc w:val="center"/>
            </w:pPr>
            <w:r>
              <w:rPr>
                <w:sz w:val="18"/>
              </w:rPr>
              <w:t>12/1 1/2024</w:t>
            </w:r>
          </w:p>
        </w:tc>
        <w:tc>
          <w:tcPr>
            <w:tcW w:w="1512" w:type="dxa"/>
            <w:tcBorders>
              <w:top w:val="single" w:sz="2" w:space="0" w:color="000000"/>
              <w:left w:val="single" w:sz="2" w:space="0" w:color="000000"/>
              <w:bottom w:val="single" w:sz="2" w:space="0" w:color="000000"/>
              <w:right w:val="single" w:sz="2" w:space="0" w:color="000000"/>
            </w:tcBorders>
          </w:tcPr>
          <w:p w14:paraId="04BD8673" w14:textId="77777777" w:rsidR="00053D93" w:rsidRDefault="00260B75">
            <w:pPr>
              <w:ind w:left="7"/>
              <w:jc w:val="center"/>
            </w:pPr>
            <w:r>
              <w:rPr>
                <w:sz w:val="20"/>
              </w:rPr>
              <w:t>1 711 1/2024</w:t>
            </w:r>
          </w:p>
        </w:tc>
        <w:tc>
          <w:tcPr>
            <w:tcW w:w="1524" w:type="dxa"/>
            <w:tcBorders>
              <w:top w:val="single" w:sz="2" w:space="0" w:color="000000"/>
              <w:left w:val="single" w:sz="2" w:space="0" w:color="000000"/>
              <w:bottom w:val="single" w:sz="2" w:space="0" w:color="000000"/>
              <w:right w:val="single" w:sz="2" w:space="0" w:color="000000"/>
            </w:tcBorders>
          </w:tcPr>
          <w:p w14:paraId="75DB923C" w14:textId="77777777" w:rsidR="00053D93" w:rsidRDefault="00260B75">
            <w:pPr>
              <w:ind w:left="17"/>
              <w:jc w:val="center"/>
            </w:pPr>
            <w:r>
              <w:rPr>
                <w:sz w:val="20"/>
              </w:rPr>
              <w:t>1711 1/2024</w:t>
            </w:r>
          </w:p>
        </w:tc>
      </w:tr>
      <w:tr w:rsidR="00053D93" w14:paraId="05C0AFC5" w14:textId="77777777">
        <w:trPr>
          <w:trHeight w:val="1319"/>
        </w:trPr>
        <w:tc>
          <w:tcPr>
            <w:tcW w:w="521" w:type="dxa"/>
            <w:tcBorders>
              <w:top w:val="single" w:sz="2" w:space="0" w:color="000000"/>
              <w:left w:val="single" w:sz="2" w:space="0" w:color="000000"/>
              <w:bottom w:val="single" w:sz="2" w:space="0" w:color="000000"/>
              <w:right w:val="single" w:sz="2" w:space="0" w:color="000000"/>
            </w:tcBorders>
          </w:tcPr>
          <w:p w14:paraId="486C340E" w14:textId="77777777" w:rsidR="00053D93" w:rsidRDefault="00053D93"/>
        </w:tc>
        <w:tc>
          <w:tcPr>
            <w:tcW w:w="1865" w:type="dxa"/>
            <w:tcBorders>
              <w:top w:val="single" w:sz="2" w:space="0" w:color="000000"/>
              <w:left w:val="single" w:sz="2" w:space="0" w:color="000000"/>
              <w:bottom w:val="single" w:sz="2" w:space="0" w:color="000000"/>
              <w:right w:val="single" w:sz="2" w:space="0" w:color="000000"/>
            </w:tcBorders>
            <w:vAlign w:val="bottom"/>
          </w:tcPr>
          <w:p w14:paraId="7A15E7EE" w14:textId="77777777" w:rsidR="00053D93" w:rsidRDefault="00260B75">
            <w:pPr>
              <w:spacing w:after="60"/>
            </w:pPr>
            <w:r>
              <w:rPr>
                <w:noProof/>
              </w:rPr>
              <w:drawing>
                <wp:inline distT="0" distB="0" distL="0" distR="0" wp14:anchorId="781685DB" wp14:editId="131A2AB5">
                  <wp:extent cx="1083564" cy="539496"/>
                  <wp:effectExtent l="0" t="0" r="0" b="0"/>
                  <wp:docPr id="872716" name="Picture 872716"/>
                  <wp:cNvGraphicFramePr/>
                  <a:graphic xmlns:a="http://schemas.openxmlformats.org/drawingml/2006/main">
                    <a:graphicData uri="http://schemas.openxmlformats.org/drawingml/2006/picture">
                      <pic:pic xmlns:pic="http://schemas.openxmlformats.org/drawingml/2006/picture">
                        <pic:nvPicPr>
                          <pic:cNvPr id="872716" name="Picture 872716"/>
                          <pic:cNvPicPr/>
                        </pic:nvPicPr>
                        <pic:blipFill>
                          <a:blip r:embed="rId1216"/>
                          <a:stretch>
                            <a:fillRect/>
                          </a:stretch>
                        </pic:blipFill>
                        <pic:spPr>
                          <a:xfrm>
                            <a:off x="0" y="0"/>
                            <a:ext cx="1083564" cy="539496"/>
                          </a:xfrm>
                          <a:prstGeom prst="rect">
                            <a:avLst/>
                          </a:prstGeom>
                        </pic:spPr>
                      </pic:pic>
                    </a:graphicData>
                  </a:graphic>
                </wp:inline>
              </w:drawing>
            </w:r>
          </w:p>
          <w:p w14:paraId="356F966A" w14:textId="77777777" w:rsidR="00053D93" w:rsidRDefault="00260B75">
            <w:pPr>
              <w:jc w:val="both"/>
            </w:pPr>
            <w:r>
              <w:rPr>
                <w:sz w:val="20"/>
              </w:rPr>
              <w:t>personal de prensa y apoyo logístico)</w:t>
            </w:r>
          </w:p>
        </w:tc>
        <w:tc>
          <w:tcPr>
            <w:tcW w:w="1512" w:type="dxa"/>
            <w:tcBorders>
              <w:top w:val="single" w:sz="2" w:space="0" w:color="000000"/>
              <w:left w:val="single" w:sz="2" w:space="0" w:color="000000"/>
              <w:bottom w:val="single" w:sz="2" w:space="0" w:color="000000"/>
              <w:right w:val="single" w:sz="2" w:space="0" w:color="000000"/>
            </w:tcBorders>
          </w:tcPr>
          <w:p w14:paraId="14EA2B37" w14:textId="77777777" w:rsidR="00053D93" w:rsidRDefault="00053D93"/>
        </w:tc>
        <w:tc>
          <w:tcPr>
            <w:tcW w:w="1526" w:type="dxa"/>
            <w:tcBorders>
              <w:top w:val="single" w:sz="2" w:space="0" w:color="000000"/>
              <w:left w:val="single" w:sz="2" w:space="0" w:color="000000"/>
              <w:bottom w:val="single" w:sz="2" w:space="0" w:color="000000"/>
              <w:right w:val="single" w:sz="2" w:space="0" w:color="000000"/>
            </w:tcBorders>
          </w:tcPr>
          <w:p w14:paraId="76889420" w14:textId="77777777" w:rsidR="00053D93" w:rsidRDefault="00053D93"/>
        </w:tc>
        <w:tc>
          <w:tcPr>
            <w:tcW w:w="1512" w:type="dxa"/>
            <w:tcBorders>
              <w:top w:val="single" w:sz="2" w:space="0" w:color="000000"/>
              <w:left w:val="single" w:sz="2" w:space="0" w:color="000000"/>
              <w:bottom w:val="single" w:sz="2" w:space="0" w:color="000000"/>
              <w:right w:val="single" w:sz="2" w:space="0" w:color="000000"/>
            </w:tcBorders>
          </w:tcPr>
          <w:p w14:paraId="70A783D6" w14:textId="77777777" w:rsidR="00053D93" w:rsidRDefault="00053D93"/>
        </w:tc>
        <w:tc>
          <w:tcPr>
            <w:tcW w:w="1524" w:type="dxa"/>
            <w:tcBorders>
              <w:top w:val="single" w:sz="2" w:space="0" w:color="000000"/>
              <w:left w:val="single" w:sz="2" w:space="0" w:color="000000"/>
              <w:bottom w:val="single" w:sz="2" w:space="0" w:color="000000"/>
              <w:right w:val="single" w:sz="2" w:space="0" w:color="000000"/>
            </w:tcBorders>
          </w:tcPr>
          <w:p w14:paraId="65799E74" w14:textId="77777777" w:rsidR="00053D93" w:rsidRDefault="00053D93"/>
        </w:tc>
      </w:tr>
      <w:tr w:rsidR="00053D93" w14:paraId="687E35D8" w14:textId="77777777">
        <w:trPr>
          <w:trHeight w:val="288"/>
        </w:trPr>
        <w:tc>
          <w:tcPr>
            <w:tcW w:w="521" w:type="dxa"/>
            <w:tcBorders>
              <w:top w:val="single" w:sz="2" w:space="0" w:color="000000"/>
              <w:left w:val="single" w:sz="2" w:space="0" w:color="000000"/>
              <w:bottom w:val="single" w:sz="2" w:space="0" w:color="000000"/>
              <w:right w:val="single" w:sz="2" w:space="0" w:color="000000"/>
            </w:tcBorders>
          </w:tcPr>
          <w:p w14:paraId="4C23D40F" w14:textId="77777777" w:rsidR="00053D93" w:rsidRDefault="00260B75">
            <w:pPr>
              <w:ind w:right="26"/>
              <w:jc w:val="center"/>
            </w:pPr>
            <w:r>
              <w:rPr>
                <w:sz w:val="20"/>
              </w:rPr>
              <w:t>8</w:t>
            </w:r>
          </w:p>
        </w:tc>
        <w:tc>
          <w:tcPr>
            <w:tcW w:w="1865" w:type="dxa"/>
            <w:tcBorders>
              <w:top w:val="single" w:sz="2" w:space="0" w:color="000000"/>
              <w:left w:val="single" w:sz="2" w:space="0" w:color="000000"/>
              <w:bottom w:val="single" w:sz="2" w:space="0" w:color="000000"/>
              <w:right w:val="single" w:sz="2" w:space="0" w:color="000000"/>
            </w:tcBorders>
          </w:tcPr>
          <w:p w14:paraId="158B25D5" w14:textId="77777777" w:rsidR="00053D93" w:rsidRDefault="00260B75">
            <w:r>
              <w:rPr>
                <w:sz w:val="18"/>
              </w:rPr>
              <w:t>Miembro titular</w:t>
            </w:r>
          </w:p>
        </w:tc>
        <w:tc>
          <w:tcPr>
            <w:tcW w:w="1512" w:type="dxa"/>
            <w:tcBorders>
              <w:top w:val="single" w:sz="2" w:space="0" w:color="000000"/>
              <w:left w:val="single" w:sz="2" w:space="0" w:color="000000"/>
              <w:bottom w:val="single" w:sz="2" w:space="0" w:color="000000"/>
              <w:right w:val="single" w:sz="2" w:space="0" w:color="000000"/>
            </w:tcBorders>
          </w:tcPr>
          <w:p w14:paraId="163722D0" w14:textId="77777777" w:rsidR="00053D93" w:rsidRDefault="00260B75">
            <w:pPr>
              <w:ind w:right="7"/>
              <w:jc w:val="center"/>
            </w:pPr>
            <w:r>
              <w:rPr>
                <w:sz w:val="20"/>
              </w:rPr>
              <w:t>1211 1/2024</w:t>
            </w:r>
          </w:p>
        </w:tc>
        <w:tc>
          <w:tcPr>
            <w:tcW w:w="1526" w:type="dxa"/>
            <w:tcBorders>
              <w:top w:val="single" w:sz="2" w:space="0" w:color="000000"/>
              <w:left w:val="single" w:sz="2" w:space="0" w:color="000000"/>
              <w:bottom w:val="single" w:sz="2" w:space="0" w:color="000000"/>
              <w:right w:val="single" w:sz="2" w:space="0" w:color="000000"/>
            </w:tcBorders>
          </w:tcPr>
          <w:p w14:paraId="5C3F5582" w14:textId="77777777" w:rsidR="00053D93" w:rsidRDefault="00053D93"/>
        </w:tc>
        <w:tc>
          <w:tcPr>
            <w:tcW w:w="1512" w:type="dxa"/>
            <w:tcBorders>
              <w:top w:val="single" w:sz="2" w:space="0" w:color="000000"/>
              <w:left w:val="single" w:sz="2" w:space="0" w:color="000000"/>
              <w:bottom w:val="single" w:sz="2" w:space="0" w:color="000000"/>
              <w:right w:val="single" w:sz="2" w:space="0" w:color="000000"/>
            </w:tcBorders>
          </w:tcPr>
          <w:p w14:paraId="04C0552A" w14:textId="77777777" w:rsidR="00053D93" w:rsidRDefault="00260B75">
            <w:pPr>
              <w:ind w:right="14"/>
              <w:jc w:val="center"/>
            </w:pPr>
            <w:r>
              <w:rPr>
                <w:sz w:val="18"/>
              </w:rPr>
              <w:t>1711 1/2024</w:t>
            </w:r>
          </w:p>
        </w:tc>
        <w:tc>
          <w:tcPr>
            <w:tcW w:w="1524" w:type="dxa"/>
            <w:tcBorders>
              <w:top w:val="single" w:sz="2" w:space="0" w:color="000000"/>
              <w:left w:val="single" w:sz="2" w:space="0" w:color="000000"/>
              <w:bottom w:val="single" w:sz="2" w:space="0" w:color="000000"/>
              <w:right w:val="single" w:sz="2" w:space="0" w:color="000000"/>
            </w:tcBorders>
          </w:tcPr>
          <w:p w14:paraId="618FE62D" w14:textId="77777777" w:rsidR="00053D93" w:rsidRDefault="00053D93"/>
        </w:tc>
      </w:tr>
    </w:tbl>
    <w:p w14:paraId="4CE49614" w14:textId="77777777" w:rsidR="00053D93" w:rsidRDefault="00260B75">
      <w:pPr>
        <w:spacing w:after="338" w:line="271" w:lineRule="auto"/>
        <w:ind w:left="994" w:right="7" w:firstLine="4"/>
        <w:jc w:val="both"/>
      </w:pPr>
      <w:r>
        <w:rPr>
          <w:sz w:val="20"/>
        </w:rPr>
        <w:t>Fuente: Especificaciones Técnicas de las bases del Proceso de Cotización C-33/2024-MlNEDUC- NOG: 23723718, Oficio s/n del 1 1 de noviembre de 2024, emitido por la Representante legal de LAX TRAVEL, S.A. y Oficio No. DG 2107-2024 del 1 1 de noviembre de 2024, emitido por el Director en Funciones de la DIGEF.</w:t>
      </w:r>
    </w:p>
    <w:p w14:paraId="785E6BB5" w14:textId="77777777" w:rsidR="00053D93" w:rsidRDefault="00260B75">
      <w:pPr>
        <w:spacing w:after="322" w:line="250" w:lineRule="auto"/>
        <w:ind w:left="982" w:right="14" w:hanging="3"/>
        <w:jc w:val="both"/>
      </w:pPr>
      <w:r>
        <w:rPr>
          <w:sz w:val="26"/>
        </w:rPr>
        <w:t>Cabe mencionar que, los boletos aéreos fueron emitidos el 09 de noviembre de 2024, antes de que se suscribiera y aprobara el contrato administrativo No. 01-2024-DIGEF-CD el 1 1 de noviembre de 2024 y antes de que el Director General en Funciones de la DIGEF trasladara a la entidad LAX TRAVEL, S.A., mediante oficio DG-2106A-2024 del 1 1 de noviembre de 2024, la nómina de los 107 pasajeros que participarían en los Juegos Deportivos de dicho evento, derivado de los cambios realizados a última hora por parte de la entidad LAX TRAVEL, S.A.; por lo que, para poder emitir los boletos el 09 de noviembre de 2024, la entidad necesitó tener información anticipada de la nómina de [os pasajeros.</w:t>
      </w:r>
    </w:p>
    <w:p w14:paraId="5956F4EA" w14:textId="77777777" w:rsidR="00053D93" w:rsidRDefault="00260B75">
      <w:pPr>
        <w:spacing w:after="12" w:line="250" w:lineRule="auto"/>
        <w:ind w:left="968" w:right="14" w:hanging="3"/>
        <w:jc w:val="both"/>
      </w:pPr>
      <w:r>
        <w:rPr>
          <w:sz w:val="26"/>
        </w:rPr>
        <w:t>Es importante mencionar que, derivado de la disminución en la cantidad de boletos aéreos adquiridos, el Director General en Funciones de la Dirección General de Educación Física -DIGEF-, realizó un acto arbitrario en perjuicio de [a DIGEF, al autorizar viáticos al exterior a 15 empleados de la D[GEF, (01 1 Personal permanente), por la cantidad total de Q127 ,061.19, mediante el CUR No. 5582 del 12 de diciembre de 2024, con cargo en el renglón presupuestario 133 Viáticos en el exterior; para que participaran en el evento, los cuales fueron adquiridos mediante la entidad LAX TRAVEL, S.A., viajando incluso en las fechas planificadas para el evento, a pesar de que dicha entidad había indicado mediante oficio sin número, del 1 1 de noviembre de 2024, que no había sido posible adquirir</w:t>
      </w:r>
    </w:p>
    <w:tbl>
      <w:tblPr>
        <w:tblStyle w:val="TableGrid"/>
        <w:tblW w:w="9439" w:type="dxa"/>
        <w:tblInd w:w="0" w:type="dxa"/>
        <w:tblLook w:val="04A0" w:firstRow="1" w:lastRow="0" w:firstColumn="1" w:lastColumn="0" w:noHBand="0" w:noVBand="1"/>
      </w:tblPr>
      <w:tblGrid>
        <w:gridCol w:w="1296"/>
        <w:gridCol w:w="8172"/>
      </w:tblGrid>
      <w:tr w:rsidR="00053D93" w14:paraId="4120F0BE" w14:textId="77777777">
        <w:trPr>
          <w:trHeight w:val="641"/>
        </w:trPr>
        <w:tc>
          <w:tcPr>
            <w:tcW w:w="1791" w:type="dxa"/>
            <w:tcBorders>
              <w:top w:val="nil"/>
              <w:left w:val="nil"/>
              <w:bottom w:val="nil"/>
              <w:right w:val="nil"/>
            </w:tcBorders>
          </w:tcPr>
          <w:p w14:paraId="77FEA014" w14:textId="77777777" w:rsidR="00053D93" w:rsidRDefault="00260B75">
            <w:r>
              <w:rPr>
                <w:noProof/>
              </w:rPr>
              <w:drawing>
                <wp:inline distT="0" distB="0" distL="0" distR="0" wp14:anchorId="6DE516E0" wp14:editId="08AB8744">
                  <wp:extent cx="1124712" cy="406908"/>
                  <wp:effectExtent l="0" t="0" r="0" b="0"/>
                  <wp:docPr id="872832" name="Picture 872832"/>
                  <wp:cNvGraphicFramePr/>
                  <a:graphic xmlns:a="http://schemas.openxmlformats.org/drawingml/2006/main">
                    <a:graphicData uri="http://schemas.openxmlformats.org/drawingml/2006/picture">
                      <pic:pic xmlns:pic="http://schemas.openxmlformats.org/drawingml/2006/picture">
                        <pic:nvPicPr>
                          <pic:cNvPr id="872832" name="Picture 872832"/>
                          <pic:cNvPicPr/>
                        </pic:nvPicPr>
                        <pic:blipFill>
                          <a:blip r:embed="rId1217"/>
                          <a:stretch>
                            <a:fillRect/>
                          </a:stretch>
                        </pic:blipFill>
                        <pic:spPr>
                          <a:xfrm>
                            <a:off x="0" y="0"/>
                            <a:ext cx="1124712" cy="406908"/>
                          </a:xfrm>
                          <a:prstGeom prst="rect">
                            <a:avLst/>
                          </a:prstGeom>
                        </pic:spPr>
                      </pic:pic>
                    </a:graphicData>
                  </a:graphic>
                </wp:inline>
              </w:drawing>
            </w:r>
          </w:p>
        </w:tc>
        <w:tc>
          <w:tcPr>
            <w:tcW w:w="7648" w:type="dxa"/>
            <w:tcBorders>
              <w:top w:val="nil"/>
              <w:left w:val="nil"/>
              <w:bottom w:val="nil"/>
              <w:right w:val="nil"/>
            </w:tcBorders>
          </w:tcPr>
          <w:p w14:paraId="7E500EC1" w14:textId="77777777" w:rsidR="00053D93" w:rsidRDefault="00053D93">
            <w:pPr>
              <w:ind w:left="-2835" w:right="10483"/>
            </w:pPr>
          </w:p>
          <w:tbl>
            <w:tblPr>
              <w:tblStyle w:val="TableGrid"/>
              <w:tblW w:w="7627" w:type="dxa"/>
              <w:tblInd w:w="20" w:type="dxa"/>
              <w:tblCellMar>
                <w:top w:w="25" w:type="dxa"/>
                <w:left w:w="1738" w:type="dxa"/>
                <w:right w:w="115" w:type="dxa"/>
              </w:tblCellMar>
              <w:tblLook w:val="04A0" w:firstRow="1" w:lastRow="0" w:firstColumn="1" w:lastColumn="0" w:noHBand="0" w:noVBand="1"/>
            </w:tblPr>
            <w:tblGrid>
              <w:gridCol w:w="7627"/>
            </w:tblGrid>
            <w:tr w:rsidR="00053D93" w14:paraId="6D2A9C8C" w14:textId="77777777">
              <w:trPr>
                <w:trHeight w:val="55"/>
              </w:trPr>
              <w:tc>
                <w:tcPr>
                  <w:tcW w:w="7627" w:type="dxa"/>
                  <w:tcBorders>
                    <w:top w:val="nil"/>
                    <w:left w:val="single" w:sz="2" w:space="0" w:color="000000"/>
                    <w:bottom w:val="single" w:sz="2" w:space="0" w:color="000000"/>
                    <w:right w:val="nil"/>
                  </w:tcBorders>
                </w:tcPr>
                <w:p w14:paraId="60530D1B" w14:textId="77777777" w:rsidR="00053D93" w:rsidRDefault="00053D93"/>
              </w:tc>
            </w:tr>
            <w:tr w:rsidR="00053D93" w14:paraId="40A9E3AC" w14:textId="77777777">
              <w:trPr>
                <w:trHeight w:val="579"/>
              </w:trPr>
              <w:tc>
                <w:tcPr>
                  <w:tcW w:w="7627" w:type="dxa"/>
                  <w:tcBorders>
                    <w:top w:val="single" w:sz="2" w:space="0" w:color="000000"/>
                    <w:left w:val="single" w:sz="2" w:space="0" w:color="000000"/>
                    <w:bottom w:val="nil"/>
                    <w:right w:val="nil"/>
                  </w:tcBorders>
                </w:tcPr>
                <w:p w14:paraId="16C49B9A" w14:textId="77777777" w:rsidR="00053D93" w:rsidRDefault="00260B75">
                  <w:pPr>
                    <w:ind w:left="835"/>
                  </w:pPr>
                  <w:r>
                    <w:rPr>
                      <w:sz w:val="14"/>
                    </w:rPr>
                    <w:t>MINISTERIO DE EDUCACION</w:t>
                  </w:r>
                </w:p>
                <w:p w14:paraId="0F92166D" w14:textId="77777777" w:rsidR="00053D93" w:rsidRDefault="00260B75">
                  <w:pPr>
                    <w:ind w:left="331"/>
                  </w:pPr>
                  <w:r>
                    <w:rPr>
                      <w:sz w:val="14"/>
                    </w:rPr>
                    <w:t>AUDITORÍA FINANCIERA Y DE CUMPLIMIENTO</w:t>
                  </w:r>
                </w:p>
                <w:p w14:paraId="7272FEE7" w14:textId="77777777" w:rsidR="00053D93" w:rsidRDefault="00260B75">
                  <w:r>
                    <w:rPr>
                      <w:sz w:val="14"/>
                    </w:rPr>
                    <w:t>PERIODO DEL 01 DE ENERO AL 31 OE DICIEMBRE DE 2024</w:t>
                  </w:r>
                </w:p>
              </w:tc>
            </w:tr>
          </w:tbl>
          <w:p w14:paraId="50900BC9" w14:textId="77777777" w:rsidR="00053D93" w:rsidRDefault="00053D93"/>
        </w:tc>
      </w:tr>
    </w:tbl>
    <w:p w14:paraId="27C070E2" w14:textId="77777777" w:rsidR="00053D93" w:rsidRDefault="00260B75">
      <w:pPr>
        <w:spacing w:after="509" w:line="265" w:lineRule="auto"/>
        <w:ind w:left="4589" w:hanging="10"/>
        <w:jc w:val="center"/>
      </w:pPr>
      <w:r>
        <w:rPr>
          <w:sz w:val="14"/>
        </w:rPr>
        <w:t xml:space="preserve">Al. </w:t>
      </w:r>
    </w:p>
    <w:p w14:paraId="1CB748FF" w14:textId="77777777" w:rsidR="00053D93" w:rsidRDefault="00260B75">
      <w:pPr>
        <w:spacing w:after="257" w:line="250" w:lineRule="auto"/>
        <w:ind w:left="1011" w:right="14" w:hanging="3"/>
        <w:jc w:val="both"/>
      </w:pPr>
      <w:r>
        <w:rPr>
          <w:sz w:val="26"/>
        </w:rPr>
        <w:t>la totalidad de los boletos aéreos, debido a la falta de disponibilidad dentro de la aerolínea; además, dichos boletos aéreos tienen fecha de emisión el 1 1 de noviembre de 2024, los cuales se detallan a continuación:</w:t>
      </w:r>
    </w:p>
    <w:p w14:paraId="3E782FA2" w14:textId="77777777" w:rsidR="00053D93" w:rsidRDefault="00260B75">
      <w:pPr>
        <w:spacing w:after="5"/>
        <w:ind w:left="24" w:right="223" w:hanging="10"/>
        <w:jc w:val="right"/>
      </w:pPr>
      <w:r>
        <w:rPr>
          <w:sz w:val="26"/>
        </w:rPr>
        <w:t>Viáticos en el Exterior, otorgados a personal de [a DIGEF para participar en los</w:t>
      </w:r>
    </w:p>
    <w:p w14:paraId="23C84141" w14:textId="77777777" w:rsidR="00053D93" w:rsidRDefault="00260B75">
      <w:pPr>
        <w:spacing w:after="12" w:line="250" w:lineRule="auto"/>
        <w:ind w:left="1313" w:right="14" w:hanging="3"/>
        <w:jc w:val="both"/>
      </w:pPr>
      <w:r>
        <w:rPr>
          <w:sz w:val="26"/>
        </w:rPr>
        <w:t>Juegos Deportivos Centroamericanos del CODICADER para estudiantes con</w:t>
      </w:r>
    </w:p>
    <w:p w14:paraId="547C2790" w14:textId="77777777" w:rsidR="00053D93" w:rsidRDefault="00260B75">
      <w:pPr>
        <w:spacing w:after="11133"/>
        <w:ind w:left="903" w:hanging="10"/>
        <w:jc w:val="center"/>
      </w:pPr>
      <w:r>
        <w:rPr>
          <w:sz w:val="26"/>
        </w:rPr>
        <w:t>Discapacidad en Panamá, Panamá, adquiridos a la entidad LAX TRAVEL, S.A. (Cifras expresadas en Quetzales)</w:t>
      </w:r>
    </w:p>
    <w:tbl>
      <w:tblPr>
        <w:tblStyle w:val="TableGrid"/>
        <w:tblpPr w:vertAnchor="text" w:tblpX="1037" w:tblpY="-10752"/>
        <w:tblOverlap w:val="never"/>
        <w:tblW w:w="8431" w:type="dxa"/>
        <w:tblInd w:w="0" w:type="dxa"/>
        <w:tblCellMar>
          <w:left w:w="43" w:type="dxa"/>
        </w:tblCellMar>
        <w:tblLook w:val="04A0" w:firstRow="1" w:lastRow="0" w:firstColumn="1" w:lastColumn="0" w:noHBand="0" w:noVBand="1"/>
      </w:tblPr>
      <w:tblGrid>
        <w:gridCol w:w="311"/>
        <w:gridCol w:w="409"/>
        <w:gridCol w:w="824"/>
        <w:gridCol w:w="1083"/>
        <w:gridCol w:w="2494"/>
        <w:gridCol w:w="901"/>
        <w:gridCol w:w="817"/>
        <w:gridCol w:w="867"/>
        <w:gridCol w:w="725"/>
      </w:tblGrid>
      <w:tr w:rsidR="00053D93" w14:paraId="08D846EB" w14:textId="77777777">
        <w:trPr>
          <w:trHeight w:val="1080"/>
        </w:trPr>
        <w:tc>
          <w:tcPr>
            <w:tcW w:w="328" w:type="dxa"/>
            <w:tcBorders>
              <w:top w:val="single" w:sz="2" w:space="0" w:color="000000"/>
              <w:left w:val="single" w:sz="2" w:space="0" w:color="000000"/>
              <w:bottom w:val="single" w:sz="2" w:space="0" w:color="000000"/>
              <w:right w:val="single" w:sz="2" w:space="0" w:color="000000"/>
            </w:tcBorders>
          </w:tcPr>
          <w:p w14:paraId="3A06AE0F" w14:textId="77777777" w:rsidR="00053D93" w:rsidRDefault="00260B75">
            <w:pPr>
              <w:jc w:val="both"/>
            </w:pPr>
            <w:r>
              <w:rPr>
                <w:sz w:val="18"/>
              </w:rPr>
              <w:t>No.</w:t>
            </w:r>
          </w:p>
        </w:tc>
        <w:tc>
          <w:tcPr>
            <w:tcW w:w="1232" w:type="dxa"/>
            <w:gridSpan w:val="2"/>
            <w:tcBorders>
              <w:top w:val="single" w:sz="2" w:space="0" w:color="000000"/>
              <w:left w:val="single" w:sz="2" w:space="0" w:color="000000"/>
              <w:bottom w:val="single" w:sz="2" w:space="0" w:color="000000"/>
              <w:right w:val="single" w:sz="2" w:space="0" w:color="000000"/>
            </w:tcBorders>
          </w:tcPr>
          <w:p w14:paraId="2D503AC2" w14:textId="77777777" w:rsidR="00053D93" w:rsidRDefault="00260B75">
            <w:pPr>
              <w:ind w:left="68"/>
            </w:pPr>
            <w:r>
              <w:rPr>
                <w:sz w:val="18"/>
              </w:rPr>
              <w:t xml:space="preserve">Nombramiento </w:t>
            </w:r>
          </w:p>
        </w:tc>
        <w:tc>
          <w:tcPr>
            <w:tcW w:w="1116" w:type="dxa"/>
            <w:tcBorders>
              <w:top w:val="single" w:sz="2" w:space="0" w:color="000000"/>
              <w:left w:val="single" w:sz="2" w:space="0" w:color="000000"/>
              <w:bottom w:val="single" w:sz="2" w:space="0" w:color="000000"/>
              <w:right w:val="single" w:sz="2" w:space="0" w:color="000000"/>
            </w:tcBorders>
          </w:tcPr>
          <w:p w14:paraId="79EAFEFD" w14:textId="77777777" w:rsidR="00053D93" w:rsidRDefault="00260B75">
            <w:pPr>
              <w:ind w:left="68"/>
            </w:pPr>
            <w:r>
              <w:rPr>
                <w:sz w:val="18"/>
              </w:rPr>
              <w:t>Comisionado</w:t>
            </w:r>
          </w:p>
        </w:tc>
        <w:tc>
          <w:tcPr>
            <w:tcW w:w="2314" w:type="dxa"/>
            <w:tcBorders>
              <w:top w:val="single" w:sz="2" w:space="0" w:color="000000"/>
              <w:left w:val="single" w:sz="2" w:space="0" w:color="000000"/>
              <w:bottom w:val="single" w:sz="2" w:space="0" w:color="000000"/>
              <w:right w:val="single" w:sz="2" w:space="0" w:color="000000"/>
            </w:tcBorders>
          </w:tcPr>
          <w:p w14:paraId="474519EF" w14:textId="77777777" w:rsidR="00053D93" w:rsidRDefault="00260B75">
            <w:pPr>
              <w:ind w:right="12"/>
              <w:jc w:val="center"/>
            </w:pPr>
            <w:r>
              <w:rPr>
                <w:sz w:val="18"/>
              </w:rPr>
              <w:t>Factura</w:t>
            </w:r>
          </w:p>
        </w:tc>
        <w:tc>
          <w:tcPr>
            <w:tcW w:w="919" w:type="dxa"/>
            <w:tcBorders>
              <w:top w:val="single" w:sz="2" w:space="0" w:color="000000"/>
              <w:left w:val="single" w:sz="2" w:space="0" w:color="000000"/>
              <w:bottom w:val="single" w:sz="2" w:space="0" w:color="000000"/>
              <w:right w:val="single" w:sz="2" w:space="0" w:color="000000"/>
            </w:tcBorders>
          </w:tcPr>
          <w:p w14:paraId="4100C090" w14:textId="77777777" w:rsidR="00053D93" w:rsidRDefault="00260B75">
            <w:pPr>
              <w:jc w:val="center"/>
            </w:pPr>
            <w:r>
              <w:rPr>
                <w:sz w:val="18"/>
              </w:rPr>
              <w:t>Monto facturado</w:t>
            </w:r>
          </w:p>
        </w:tc>
        <w:tc>
          <w:tcPr>
            <w:tcW w:w="835" w:type="dxa"/>
            <w:tcBorders>
              <w:top w:val="single" w:sz="2" w:space="0" w:color="000000"/>
              <w:left w:val="single" w:sz="2" w:space="0" w:color="000000"/>
              <w:bottom w:val="single" w:sz="2" w:space="0" w:color="000000"/>
              <w:right w:val="single" w:sz="2" w:space="0" w:color="000000"/>
            </w:tcBorders>
          </w:tcPr>
          <w:p w14:paraId="54E82CE0" w14:textId="77777777" w:rsidR="00053D93" w:rsidRDefault="00260B75">
            <w:pPr>
              <w:ind w:left="64" w:right="80"/>
              <w:jc w:val="center"/>
            </w:pPr>
            <w:r>
              <w:rPr>
                <w:sz w:val="18"/>
              </w:rPr>
              <w:t>Monto cotizado en evento</w:t>
            </w:r>
          </w:p>
        </w:tc>
        <w:tc>
          <w:tcPr>
            <w:tcW w:w="895" w:type="dxa"/>
            <w:tcBorders>
              <w:top w:val="single" w:sz="2" w:space="0" w:color="000000"/>
              <w:left w:val="single" w:sz="2" w:space="0" w:color="000000"/>
              <w:bottom w:val="single" w:sz="2" w:space="0" w:color="000000"/>
              <w:right w:val="single" w:sz="2" w:space="0" w:color="000000"/>
            </w:tcBorders>
          </w:tcPr>
          <w:p w14:paraId="6A0E8209" w14:textId="77777777" w:rsidR="00053D93" w:rsidRDefault="00260B75">
            <w:pPr>
              <w:ind w:left="60"/>
            </w:pPr>
            <w:r>
              <w:rPr>
                <w:sz w:val="18"/>
              </w:rPr>
              <w:t>Diferencia</w:t>
            </w:r>
          </w:p>
        </w:tc>
        <w:tc>
          <w:tcPr>
            <w:tcW w:w="792" w:type="dxa"/>
            <w:tcBorders>
              <w:top w:val="single" w:sz="2" w:space="0" w:color="000000"/>
              <w:left w:val="single" w:sz="2" w:space="0" w:color="000000"/>
              <w:bottom w:val="single" w:sz="2" w:space="0" w:color="000000"/>
              <w:right w:val="nil"/>
            </w:tcBorders>
            <w:vAlign w:val="bottom"/>
          </w:tcPr>
          <w:p w14:paraId="499F8C5A" w14:textId="77777777" w:rsidR="00053D93" w:rsidRDefault="00260B75">
            <w:pPr>
              <w:ind w:left="4" w:right="18"/>
              <w:jc w:val="center"/>
            </w:pPr>
            <w:r>
              <w:rPr>
                <w:sz w:val="18"/>
              </w:rPr>
              <w:t>pagado demás a lo cotizado</w:t>
            </w:r>
          </w:p>
        </w:tc>
      </w:tr>
      <w:tr w:rsidR="00053D93" w14:paraId="127F7554" w14:textId="77777777">
        <w:trPr>
          <w:trHeight w:val="1649"/>
        </w:trPr>
        <w:tc>
          <w:tcPr>
            <w:tcW w:w="328" w:type="dxa"/>
            <w:tcBorders>
              <w:top w:val="single" w:sz="2" w:space="0" w:color="000000"/>
              <w:left w:val="single" w:sz="2" w:space="0" w:color="000000"/>
              <w:bottom w:val="single" w:sz="2" w:space="0" w:color="000000"/>
              <w:right w:val="single" w:sz="2" w:space="0" w:color="000000"/>
            </w:tcBorders>
          </w:tcPr>
          <w:p w14:paraId="6C256043" w14:textId="77777777" w:rsidR="00053D93" w:rsidRDefault="00053D93"/>
        </w:tc>
        <w:tc>
          <w:tcPr>
            <w:tcW w:w="1232" w:type="dxa"/>
            <w:gridSpan w:val="2"/>
            <w:tcBorders>
              <w:top w:val="single" w:sz="2" w:space="0" w:color="000000"/>
              <w:left w:val="single" w:sz="2" w:space="0" w:color="000000"/>
              <w:bottom w:val="single" w:sz="2" w:space="0" w:color="000000"/>
              <w:right w:val="single" w:sz="2" w:space="0" w:color="000000"/>
            </w:tcBorders>
          </w:tcPr>
          <w:p w14:paraId="70EAE1B3" w14:textId="77777777" w:rsidR="00053D93" w:rsidRDefault="00260B75">
            <w:pPr>
              <w:ind w:right="15"/>
              <w:jc w:val="center"/>
            </w:pPr>
            <w:r>
              <w:rPr>
                <w:sz w:val="16"/>
              </w:rPr>
              <w:t>788-2024</w:t>
            </w:r>
          </w:p>
        </w:tc>
        <w:tc>
          <w:tcPr>
            <w:tcW w:w="1116" w:type="dxa"/>
            <w:tcBorders>
              <w:top w:val="single" w:sz="2" w:space="0" w:color="000000"/>
              <w:left w:val="single" w:sz="2" w:space="0" w:color="000000"/>
              <w:bottom w:val="single" w:sz="2" w:space="0" w:color="000000"/>
              <w:right w:val="single" w:sz="2" w:space="0" w:color="000000"/>
            </w:tcBorders>
          </w:tcPr>
          <w:p w14:paraId="7DE17780" w14:textId="77777777" w:rsidR="00053D93" w:rsidRDefault="00260B75">
            <w:pPr>
              <w:ind w:left="60"/>
            </w:pPr>
            <w:r>
              <w:rPr>
                <w:sz w:val="18"/>
              </w:rPr>
              <w:t>Chaperona</w:t>
            </w:r>
          </w:p>
        </w:tc>
        <w:tc>
          <w:tcPr>
            <w:tcW w:w="2314" w:type="dxa"/>
            <w:tcBorders>
              <w:top w:val="single" w:sz="2" w:space="0" w:color="000000"/>
              <w:left w:val="single" w:sz="2" w:space="0" w:color="000000"/>
              <w:bottom w:val="single" w:sz="2" w:space="0" w:color="000000"/>
              <w:right w:val="single" w:sz="2" w:space="0" w:color="000000"/>
            </w:tcBorders>
          </w:tcPr>
          <w:p w14:paraId="4DB263DB" w14:textId="77777777" w:rsidR="00053D93" w:rsidRDefault="00260B75">
            <w:pPr>
              <w:spacing w:line="244" w:lineRule="auto"/>
              <w:ind w:left="53" w:right="72" w:firstLine="7"/>
              <w:jc w:val="both"/>
            </w:pPr>
            <w:r>
              <w:rPr>
                <w:sz w:val="18"/>
              </w:rPr>
              <w:t>DTE No. 10784753102, serie: 1 04DCB14, Descripción: Compra de boleto aéreo para la señora Silvia Magaly de León Chicoj con</w:t>
            </w:r>
          </w:p>
          <w:p w14:paraId="4FADBA39" w14:textId="77777777" w:rsidR="00053D93" w:rsidRDefault="00260B75">
            <w:pPr>
              <w:tabs>
                <w:tab w:val="right" w:pos="2271"/>
              </w:tabs>
            </w:pPr>
            <w:r>
              <w:rPr>
                <w:sz w:val="18"/>
              </w:rPr>
              <w:t>Guatemala/</w:t>
            </w:r>
            <w:r>
              <w:rPr>
                <w:sz w:val="18"/>
              </w:rPr>
              <w:tab/>
              <w:t>Panamá/</w:t>
            </w:r>
          </w:p>
          <w:p w14:paraId="56CE0B9A" w14:textId="77777777" w:rsidR="00053D93" w:rsidRDefault="00260B75">
            <w:pPr>
              <w:ind w:left="53"/>
              <w:jc w:val="both"/>
            </w:pPr>
            <w:r>
              <w:rPr>
                <w:sz w:val="18"/>
              </w:rPr>
              <w:t>Guatemala del 13 al 17 de noviembre de 2024.</w:t>
            </w:r>
          </w:p>
        </w:tc>
        <w:tc>
          <w:tcPr>
            <w:tcW w:w="919" w:type="dxa"/>
            <w:tcBorders>
              <w:top w:val="single" w:sz="2" w:space="0" w:color="000000"/>
              <w:left w:val="single" w:sz="2" w:space="0" w:color="000000"/>
              <w:bottom w:val="single" w:sz="2" w:space="0" w:color="000000"/>
              <w:right w:val="single" w:sz="2" w:space="0" w:color="000000"/>
            </w:tcBorders>
            <w:vAlign w:val="bottom"/>
          </w:tcPr>
          <w:p w14:paraId="399FE631" w14:textId="77777777" w:rsidR="00053D93" w:rsidRDefault="00260B75">
            <w:pPr>
              <w:ind w:left="216"/>
            </w:pPr>
            <w:r>
              <w:rPr>
                <w:sz w:val="18"/>
              </w:rPr>
              <w:t>8,081 .05</w:t>
            </w:r>
          </w:p>
        </w:tc>
        <w:tc>
          <w:tcPr>
            <w:tcW w:w="835" w:type="dxa"/>
            <w:tcBorders>
              <w:top w:val="single" w:sz="2" w:space="0" w:color="000000"/>
              <w:left w:val="single" w:sz="2" w:space="0" w:color="000000"/>
              <w:bottom w:val="single" w:sz="2" w:space="0" w:color="000000"/>
              <w:right w:val="single" w:sz="2" w:space="0" w:color="000000"/>
            </w:tcBorders>
            <w:vAlign w:val="bottom"/>
          </w:tcPr>
          <w:p w14:paraId="464EB812" w14:textId="77777777" w:rsidR="00053D93" w:rsidRDefault="00260B75">
            <w:pPr>
              <w:ind w:left="49"/>
              <w:jc w:val="center"/>
            </w:pPr>
            <w:r>
              <w:rPr>
                <w:sz w:val="16"/>
              </w:rPr>
              <w:t>41780.00</w:t>
            </w:r>
          </w:p>
        </w:tc>
        <w:tc>
          <w:tcPr>
            <w:tcW w:w="895" w:type="dxa"/>
            <w:tcBorders>
              <w:top w:val="single" w:sz="2" w:space="0" w:color="000000"/>
              <w:left w:val="single" w:sz="2" w:space="0" w:color="000000"/>
              <w:bottom w:val="single" w:sz="2" w:space="0" w:color="000000"/>
              <w:right w:val="single" w:sz="2" w:space="0" w:color="000000"/>
            </w:tcBorders>
            <w:vAlign w:val="bottom"/>
          </w:tcPr>
          <w:p w14:paraId="54F87550" w14:textId="77777777" w:rsidR="00053D93" w:rsidRDefault="00260B75">
            <w:pPr>
              <w:ind w:left="197"/>
            </w:pPr>
            <w:r>
              <w:rPr>
                <w:sz w:val="16"/>
              </w:rPr>
              <w:t>3,301.05</w:t>
            </w:r>
          </w:p>
        </w:tc>
        <w:tc>
          <w:tcPr>
            <w:tcW w:w="792" w:type="dxa"/>
            <w:tcBorders>
              <w:top w:val="single" w:sz="2" w:space="0" w:color="000000"/>
              <w:left w:val="single" w:sz="2" w:space="0" w:color="000000"/>
              <w:bottom w:val="single" w:sz="2" w:space="0" w:color="000000"/>
              <w:right w:val="nil"/>
            </w:tcBorders>
            <w:vAlign w:val="bottom"/>
          </w:tcPr>
          <w:p w14:paraId="5AB951AE" w14:textId="77777777" w:rsidR="00053D93" w:rsidRDefault="00260B75">
            <w:pPr>
              <w:ind w:left="65"/>
              <w:jc w:val="center"/>
            </w:pPr>
            <w:r>
              <w:rPr>
                <w:sz w:val="14"/>
              </w:rPr>
              <w:t>69.060/0</w:t>
            </w:r>
          </w:p>
        </w:tc>
      </w:tr>
      <w:tr w:rsidR="00053D93" w14:paraId="0BE12BF8" w14:textId="77777777">
        <w:trPr>
          <w:trHeight w:val="1649"/>
        </w:trPr>
        <w:tc>
          <w:tcPr>
            <w:tcW w:w="328" w:type="dxa"/>
            <w:tcBorders>
              <w:top w:val="single" w:sz="2" w:space="0" w:color="000000"/>
              <w:left w:val="single" w:sz="2" w:space="0" w:color="000000"/>
              <w:bottom w:val="single" w:sz="2" w:space="0" w:color="000000"/>
              <w:right w:val="single" w:sz="2" w:space="0" w:color="000000"/>
            </w:tcBorders>
          </w:tcPr>
          <w:p w14:paraId="3EC4C752" w14:textId="77777777" w:rsidR="00053D93" w:rsidRDefault="00053D93"/>
        </w:tc>
        <w:tc>
          <w:tcPr>
            <w:tcW w:w="1232" w:type="dxa"/>
            <w:gridSpan w:val="2"/>
            <w:tcBorders>
              <w:top w:val="single" w:sz="2" w:space="0" w:color="000000"/>
              <w:left w:val="single" w:sz="2" w:space="0" w:color="000000"/>
              <w:bottom w:val="single" w:sz="2" w:space="0" w:color="000000"/>
              <w:right w:val="single" w:sz="2" w:space="0" w:color="000000"/>
            </w:tcBorders>
          </w:tcPr>
          <w:p w14:paraId="1E1F6A49" w14:textId="77777777" w:rsidR="00053D93" w:rsidRDefault="00260B75">
            <w:pPr>
              <w:ind w:right="22"/>
              <w:jc w:val="center"/>
            </w:pPr>
            <w:r>
              <w:rPr>
                <w:sz w:val="16"/>
              </w:rPr>
              <w:t>791-2024</w:t>
            </w:r>
          </w:p>
        </w:tc>
        <w:tc>
          <w:tcPr>
            <w:tcW w:w="1116" w:type="dxa"/>
            <w:tcBorders>
              <w:top w:val="single" w:sz="2" w:space="0" w:color="000000"/>
              <w:left w:val="single" w:sz="2" w:space="0" w:color="000000"/>
              <w:bottom w:val="single" w:sz="2" w:space="0" w:color="000000"/>
              <w:right w:val="single" w:sz="2" w:space="0" w:color="000000"/>
            </w:tcBorders>
          </w:tcPr>
          <w:p w14:paraId="363D2FA9" w14:textId="77777777" w:rsidR="00053D93" w:rsidRDefault="00260B75">
            <w:pPr>
              <w:ind w:left="53"/>
            </w:pPr>
            <w:r>
              <w:rPr>
                <w:sz w:val="18"/>
              </w:rPr>
              <w:t>Clasificadora intelectual</w:t>
            </w:r>
          </w:p>
        </w:tc>
        <w:tc>
          <w:tcPr>
            <w:tcW w:w="2314" w:type="dxa"/>
            <w:tcBorders>
              <w:top w:val="single" w:sz="2" w:space="0" w:color="000000"/>
              <w:left w:val="single" w:sz="2" w:space="0" w:color="000000"/>
              <w:bottom w:val="single" w:sz="2" w:space="0" w:color="000000"/>
              <w:right w:val="single" w:sz="2" w:space="0" w:color="000000"/>
            </w:tcBorders>
          </w:tcPr>
          <w:p w14:paraId="645A48A0" w14:textId="77777777" w:rsidR="00053D93" w:rsidRDefault="00260B75">
            <w:pPr>
              <w:ind w:left="39" w:right="79" w:firstLine="14"/>
              <w:jc w:val="both"/>
            </w:pPr>
            <w:r>
              <w:rPr>
                <w:sz w:val="18"/>
              </w:rPr>
              <w:t>OTE No. 255476899, serie: 7D612CE1 , Descripción: Compra de boleto aéreo para la señora Nora Lissette Martínez Figueroa con ruta Guatemala/Panamá/Guatemaia del 12 al 17 de noviembre de 2024.</w:t>
            </w:r>
          </w:p>
        </w:tc>
        <w:tc>
          <w:tcPr>
            <w:tcW w:w="919" w:type="dxa"/>
            <w:tcBorders>
              <w:top w:val="single" w:sz="2" w:space="0" w:color="000000"/>
              <w:left w:val="single" w:sz="2" w:space="0" w:color="000000"/>
              <w:bottom w:val="single" w:sz="2" w:space="0" w:color="000000"/>
              <w:right w:val="single" w:sz="2" w:space="0" w:color="000000"/>
            </w:tcBorders>
            <w:vAlign w:val="bottom"/>
          </w:tcPr>
          <w:p w14:paraId="76A100FB" w14:textId="77777777" w:rsidR="00053D93" w:rsidRDefault="00260B75">
            <w:pPr>
              <w:ind w:left="209"/>
            </w:pPr>
            <w:r>
              <w:rPr>
                <w:sz w:val="18"/>
              </w:rPr>
              <w:t>8.046.04</w:t>
            </w:r>
          </w:p>
        </w:tc>
        <w:tc>
          <w:tcPr>
            <w:tcW w:w="835" w:type="dxa"/>
            <w:tcBorders>
              <w:top w:val="single" w:sz="2" w:space="0" w:color="000000"/>
              <w:left w:val="single" w:sz="2" w:space="0" w:color="000000"/>
              <w:bottom w:val="single" w:sz="2" w:space="0" w:color="000000"/>
              <w:right w:val="single" w:sz="2" w:space="0" w:color="000000"/>
            </w:tcBorders>
            <w:vAlign w:val="bottom"/>
          </w:tcPr>
          <w:p w14:paraId="19AF9BBD" w14:textId="77777777" w:rsidR="00053D93" w:rsidRDefault="00260B75">
            <w:pPr>
              <w:ind w:left="34"/>
              <w:jc w:val="center"/>
            </w:pPr>
            <w:r>
              <w:rPr>
                <w:sz w:val="18"/>
              </w:rPr>
              <w:t>780.00</w:t>
            </w:r>
          </w:p>
        </w:tc>
        <w:tc>
          <w:tcPr>
            <w:tcW w:w="895" w:type="dxa"/>
            <w:tcBorders>
              <w:top w:val="single" w:sz="2" w:space="0" w:color="000000"/>
              <w:left w:val="single" w:sz="2" w:space="0" w:color="000000"/>
              <w:bottom w:val="single" w:sz="2" w:space="0" w:color="000000"/>
              <w:right w:val="single" w:sz="2" w:space="0" w:color="000000"/>
            </w:tcBorders>
            <w:vAlign w:val="bottom"/>
          </w:tcPr>
          <w:p w14:paraId="00F67390" w14:textId="77777777" w:rsidR="00053D93" w:rsidRDefault="00260B75">
            <w:pPr>
              <w:ind w:left="183"/>
            </w:pPr>
            <w:r>
              <w:rPr>
                <w:sz w:val="18"/>
              </w:rPr>
              <w:t>3266.04</w:t>
            </w:r>
          </w:p>
        </w:tc>
        <w:tc>
          <w:tcPr>
            <w:tcW w:w="792" w:type="dxa"/>
            <w:tcBorders>
              <w:top w:val="single" w:sz="2" w:space="0" w:color="000000"/>
              <w:left w:val="single" w:sz="2" w:space="0" w:color="000000"/>
              <w:bottom w:val="single" w:sz="2" w:space="0" w:color="000000"/>
              <w:right w:val="nil"/>
            </w:tcBorders>
            <w:vAlign w:val="bottom"/>
          </w:tcPr>
          <w:p w14:paraId="09BBFCE2" w14:textId="77777777" w:rsidR="00053D93" w:rsidRDefault="00260B75">
            <w:pPr>
              <w:ind w:left="50"/>
              <w:jc w:val="center"/>
            </w:pPr>
            <w:r>
              <w:rPr>
                <w:sz w:val="14"/>
              </w:rPr>
              <w:t>68.330/0</w:t>
            </w:r>
          </w:p>
        </w:tc>
      </w:tr>
      <w:tr w:rsidR="00053D93" w14:paraId="53419B28" w14:textId="77777777">
        <w:trPr>
          <w:trHeight w:val="1443"/>
        </w:trPr>
        <w:tc>
          <w:tcPr>
            <w:tcW w:w="328" w:type="dxa"/>
            <w:tcBorders>
              <w:top w:val="single" w:sz="2" w:space="0" w:color="000000"/>
              <w:left w:val="single" w:sz="2" w:space="0" w:color="000000"/>
              <w:bottom w:val="single" w:sz="2" w:space="0" w:color="000000"/>
              <w:right w:val="single" w:sz="2" w:space="0" w:color="000000"/>
            </w:tcBorders>
          </w:tcPr>
          <w:p w14:paraId="58607B1B" w14:textId="77777777" w:rsidR="00053D93" w:rsidRDefault="00053D93"/>
        </w:tc>
        <w:tc>
          <w:tcPr>
            <w:tcW w:w="1232" w:type="dxa"/>
            <w:gridSpan w:val="2"/>
            <w:tcBorders>
              <w:top w:val="single" w:sz="2" w:space="0" w:color="000000"/>
              <w:left w:val="single" w:sz="2" w:space="0" w:color="000000"/>
              <w:bottom w:val="single" w:sz="2" w:space="0" w:color="000000"/>
              <w:right w:val="single" w:sz="2" w:space="0" w:color="000000"/>
            </w:tcBorders>
          </w:tcPr>
          <w:p w14:paraId="085FB13D" w14:textId="77777777" w:rsidR="00053D93" w:rsidRDefault="00260B75">
            <w:pPr>
              <w:ind w:right="44"/>
              <w:jc w:val="center"/>
            </w:pPr>
            <w:r>
              <w:rPr>
                <w:sz w:val="16"/>
              </w:rPr>
              <w:t>775-2024</w:t>
            </w:r>
          </w:p>
        </w:tc>
        <w:tc>
          <w:tcPr>
            <w:tcW w:w="1116" w:type="dxa"/>
            <w:tcBorders>
              <w:top w:val="single" w:sz="2" w:space="0" w:color="000000"/>
              <w:left w:val="single" w:sz="2" w:space="0" w:color="000000"/>
              <w:bottom w:val="single" w:sz="2" w:space="0" w:color="000000"/>
              <w:right w:val="single" w:sz="2" w:space="0" w:color="000000"/>
            </w:tcBorders>
          </w:tcPr>
          <w:p w14:paraId="5A1F14AD" w14:textId="77777777" w:rsidR="00053D93" w:rsidRDefault="00260B75">
            <w:pPr>
              <w:ind w:left="39" w:right="26" w:firstLine="7"/>
            </w:pPr>
            <w:r>
              <w:rPr>
                <w:sz w:val="18"/>
              </w:rPr>
              <w:t>Entrenadora de natación primaria</w:t>
            </w:r>
          </w:p>
        </w:tc>
        <w:tc>
          <w:tcPr>
            <w:tcW w:w="2314" w:type="dxa"/>
            <w:tcBorders>
              <w:top w:val="single" w:sz="2" w:space="0" w:color="000000"/>
              <w:left w:val="single" w:sz="2" w:space="0" w:color="000000"/>
              <w:bottom w:val="single" w:sz="2" w:space="0" w:color="000000"/>
              <w:right w:val="single" w:sz="2" w:space="0" w:color="000000"/>
            </w:tcBorders>
          </w:tcPr>
          <w:p w14:paraId="75690E6E" w14:textId="77777777" w:rsidR="00053D93" w:rsidRDefault="00260B75">
            <w:pPr>
              <w:spacing w:line="233" w:lineRule="auto"/>
              <w:ind w:left="39" w:right="79" w:firstLine="7"/>
              <w:jc w:val="both"/>
            </w:pPr>
            <w:r>
              <w:rPr>
                <w:sz w:val="18"/>
              </w:rPr>
              <w:t>DTE No. 1422740153, serie: 2D3ABE11 , Descripción: Compra de boleto aéreo para la señora Lidia Sucely Ramírez Matias con ruta Guatemala/ Panamá/ Guatemala del 12 al</w:t>
            </w:r>
          </w:p>
          <w:p w14:paraId="5A5B8D24" w14:textId="77777777" w:rsidR="00053D93" w:rsidRDefault="00260B75">
            <w:pPr>
              <w:ind w:left="46"/>
            </w:pPr>
            <w:r>
              <w:rPr>
                <w:sz w:val="16"/>
              </w:rPr>
              <w:t>de noviembre de 2024.</w:t>
            </w:r>
          </w:p>
        </w:tc>
        <w:tc>
          <w:tcPr>
            <w:tcW w:w="919" w:type="dxa"/>
            <w:tcBorders>
              <w:top w:val="single" w:sz="2" w:space="0" w:color="000000"/>
              <w:left w:val="single" w:sz="2" w:space="0" w:color="000000"/>
              <w:bottom w:val="single" w:sz="2" w:space="0" w:color="000000"/>
              <w:right w:val="single" w:sz="2" w:space="0" w:color="000000"/>
            </w:tcBorders>
            <w:vAlign w:val="bottom"/>
          </w:tcPr>
          <w:p w14:paraId="05428F99" w14:textId="77777777" w:rsidR="00053D93" w:rsidRDefault="00260B75">
            <w:pPr>
              <w:ind w:left="209"/>
            </w:pPr>
            <w:r>
              <w:rPr>
                <w:sz w:val="18"/>
              </w:rPr>
              <w:t>8.081.05</w:t>
            </w:r>
          </w:p>
        </w:tc>
        <w:tc>
          <w:tcPr>
            <w:tcW w:w="835" w:type="dxa"/>
            <w:tcBorders>
              <w:top w:val="single" w:sz="2" w:space="0" w:color="000000"/>
              <w:left w:val="single" w:sz="2" w:space="0" w:color="000000"/>
              <w:bottom w:val="single" w:sz="2" w:space="0" w:color="000000"/>
              <w:right w:val="single" w:sz="2" w:space="0" w:color="000000"/>
            </w:tcBorders>
            <w:vAlign w:val="bottom"/>
          </w:tcPr>
          <w:p w14:paraId="658B9B2D" w14:textId="77777777" w:rsidR="00053D93" w:rsidRDefault="00260B75">
            <w:pPr>
              <w:ind w:left="20"/>
              <w:jc w:val="center"/>
            </w:pPr>
            <w:r>
              <w:rPr>
                <w:sz w:val="16"/>
              </w:rPr>
              <w:t>41780.00</w:t>
            </w:r>
          </w:p>
        </w:tc>
        <w:tc>
          <w:tcPr>
            <w:tcW w:w="895" w:type="dxa"/>
            <w:tcBorders>
              <w:top w:val="single" w:sz="2" w:space="0" w:color="000000"/>
              <w:left w:val="single" w:sz="2" w:space="0" w:color="000000"/>
              <w:bottom w:val="single" w:sz="2" w:space="0" w:color="000000"/>
              <w:right w:val="single" w:sz="2" w:space="0" w:color="000000"/>
            </w:tcBorders>
            <w:vAlign w:val="bottom"/>
          </w:tcPr>
          <w:p w14:paraId="37CCE8D6" w14:textId="77777777" w:rsidR="00053D93" w:rsidRDefault="00260B75">
            <w:pPr>
              <w:ind w:left="183"/>
            </w:pPr>
            <w:r>
              <w:rPr>
                <w:sz w:val="16"/>
              </w:rPr>
              <w:t>3,301.05</w:t>
            </w:r>
          </w:p>
        </w:tc>
        <w:tc>
          <w:tcPr>
            <w:tcW w:w="792" w:type="dxa"/>
            <w:tcBorders>
              <w:top w:val="single" w:sz="2" w:space="0" w:color="000000"/>
              <w:left w:val="single" w:sz="2" w:space="0" w:color="000000"/>
              <w:bottom w:val="single" w:sz="2" w:space="0" w:color="000000"/>
              <w:right w:val="nil"/>
            </w:tcBorders>
            <w:vAlign w:val="bottom"/>
          </w:tcPr>
          <w:p w14:paraId="4B0D2B44" w14:textId="77777777" w:rsidR="00053D93" w:rsidRDefault="00260B75">
            <w:pPr>
              <w:ind w:left="36"/>
              <w:jc w:val="center"/>
            </w:pPr>
            <w:r>
              <w:rPr>
                <w:sz w:val="18"/>
              </w:rPr>
              <w:t>69.06%</w:t>
            </w:r>
          </w:p>
        </w:tc>
      </w:tr>
      <w:tr w:rsidR="00053D93" w14:paraId="778604AA" w14:textId="77777777">
        <w:trPr>
          <w:trHeight w:val="1447"/>
        </w:trPr>
        <w:tc>
          <w:tcPr>
            <w:tcW w:w="328" w:type="dxa"/>
            <w:tcBorders>
              <w:top w:val="single" w:sz="2" w:space="0" w:color="000000"/>
              <w:left w:val="single" w:sz="2" w:space="0" w:color="000000"/>
              <w:bottom w:val="single" w:sz="2" w:space="0" w:color="000000"/>
              <w:right w:val="single" w:sz="2" w:space="0" w:color="000000"/>
            </w:tcBorders>
          </w:tcPr>
          <w:p w14:paraId="16EA2400" w14:textId="77777777" w:rsidR="00053D93" w:rsidRDefault="00053D93"/>
        </w:tc>
        <w:tc>
          <w:tcPr>
            <w:tcW w:w="1232" w:type="dxa"/>
            <w:gridSpan w:val="2"/>
            <w:tcBorders>
              <w:top w:val="single" w:sz="2" w:space="0" w:color="000000"/>
              <w:left w:val="single" w:sz="2" w:space="0" w:color="000000"/>
              <w:bottom w:val="single" w:sz="2" w:space="0" w:color="000000"/>
              <w:right w:val="single" w:sz="2" w:space="0" w:color="000000"/>
            </w:tcBorders>
          </w:tcPr>
          <w:p w14:paraId="2F73DF01" w14:textId="77777777" w:rsidR="00053D93" w:rsidRDefault="00260B75">
            <w:pPr>
              <w:ind w:right="59"/>
              <w:jc w:val="center"/>
            </w:pPr>
            <w:r>
              <w:rPr>
                <w:sz w:val="16"/>
              </w:rPr>
              <w:t>782-2024</w:t>
            </w:r>
          </w:p>
        </w:tc>
        <w:tc>
          <w:tcPr>
            <w:tcW w:w="1116" w:type="dxa"/>
            <w:tcBorders>
              <w:top w:val="single" w:sz="2" w:space="0" w:color="000000"/>
              <w:left w:val="single" w:sz="2" w:space="0" w:color="000000"/>
              <w:bottom w:val="single" w:sz="2" w:space="0" w:color="000000"/>
              <w:right w:val="single" w:sz="2" w:space="0" w:color="000000"/>
            </w:tcBorders>
          </w:tcPr>
          <w:p w14:paraId="0B3EFC63" w14:textId="77777777" w:rsidR="00053D93" w:rsidRDefault="00260B75">
            <w:pPr>
              <w:ind w:left="32" w:right="84" w:firstLine="7"/>
            </w:pPr>
            <w:r>
              <w:rPr>
                <w:sz w:val="18"/>
              </w:rPr>
              <w:t>Entrenador de natación</w:t>
            </w:r>
          </w:p>
        </w:tc>
        <w:tc>
          <w:tcPr>
            <w:tcW w:w="2314" w:type="dxa"/>
            <w:tcBorders>
              <w:top w:val="single" w:sz="2" w:space="0" w:color="000000"/>
              <w:left w:val="single" w:sz="2" w:space="0" w:color="000000"/>
              <w:bottom w:val="single" w:sz="2" w:space="0" w:color="000000"/>
              <w:right w:val="single" w:sz="2" w:space="0" w:color="000000"/>
            </w:tcBorders>
          </w:tcPr>
          <w:p w14:paraId="0A651F56" w14:textId="77777777" w:rsidR="00053D93" w:rsidRDefault="00260B75">
            <w:pPr>
              <w:spacing w:line="237" w:lineRule="auto"/>
              <w:ind w:left="31" w:right="86" w:firstLine="7"/>
              <w:jc w:val="both"/>
            </w:pPr>
            <w:r>
              <w:rPr>
                <w:sz w:val="18"/>
              </w:rPr>
              <w:t>OTE No. 1246773698. serie: 7C20C132, Descripción: Compra de boleto aéreo para el señor Justo Rufino García Guzmán con ruta Guatemala/ Panamá/Guatemala del 12 al</w:t>
            </w:r>
          </w:p>
          <w:p w14:paraId="646FD0A6" w14:textId="77777777" w:rsidR="00053D93" w:rsidRDefault="00260B75">
            <w:pPr>
              <w:ind w:left="39"/>
            </w:pPr>
            <w:r>
              <w:rPr>
                <w:sz w:val="16"/>
              </w:rPr>
              <w:t>de noviembre de 2024.</w:t>
            </w:r>
          </w:p>
        </w:tc>
        <w:tc>
          <w:tcPr>
            <w:tcW w:w="919" w:type="dxa"/>
            <w:tcBorders>
              <w:top w:val="single" w:sz="2" w:space="0" w:color="000000"/>
              <w:left w:val="single" w:sz="2" w:space="0" w:color="000000"/>
              <w:bottom w:val="single" w:sz="2" w:space="0" w:color="000000"/>
              <w:right w:val="single" w:sz="2" w:space="0" w:color="000000"/>
            </w:tcBorders>
            <w:vAlign w:val="bottom"/>
          </w:tcPr>
          <w:p w14:paraId="30A4692A" w14:textId="77777777" w:rsidR="00053D93" w:rsidRDefault="00260B75">
            <w:pPr>
              <w:ind w:left="202"/>
            </w:pPr>
            <w:r>
              <w:rPr>
                <w:sz w:val="18"/>
              </w:rPr>
              <w:t>8,081 .05</w:t>
            </w:r>
          </w:p>
        </w:tc>
        <w:tc>
          <w:tcPr>
            <w:tcW w:w="835" w:type="dxa"/>
            <w:tcBorders>
              <w:top w:val="single" w:sz="2" w:space="0" w:color="000000"/>
              <w:left w:val="single" w:sz="2" w:space="0" w:color="000000"/>
              <w:bottom w:val="single" w:sz="2" w:space="0" w:color="000000"/>
              <w:right w:val="single" w:sz="2" w:space="0" w:color="000000"/>
            </w:tcBorders>
            <w:vAlign w:val="bottom"/>
          </w:tcPr>
          <w:p w14:paraId="2E634993" w14:textId="77777777" w:rsidR="00053D93" w:rsidRDefault="00260B75">
            <w:pPr>
              <w:ind w:left="20"/>
              <w:jc w:val="center"/>
            </w:pPr>
            <w:r>
              <w:rPr>
                <w:sz w:val="18"/>
              </w:rPr>
              <w:t>780.00</w:t>
            </w:r>
          </w:p>
        </w:tc>
        <w:tc>
          <w:tcPr>
            <w:tcW w:w="895" w:type="dxa"/>
            <w:tcBorders>
              <w:top w:val="single" w:sz="2" w:space="0" w:color="000000"/>
              <w:left w:val="single" w:sz="2" w:space="0" w:color="000000"/>
              <w:bottom w:val="single" w:sz="2" w:space="0" w:color="000000"/>
              <w:right w:val="single" w:sz="2" w:space="0" w:color="000000"/>
            </w:tcBorders>
            <w:vAlign w:val="bottom"/>
          </w:tcPr>
          <w:p w14:paraId="320A53A9" w14:textId="77777777" w:rsidR="00053D93" w:rsidRDefault="00260B75">
            <w:pPr>
              <w:ind w:left="175"/>
            </w:pPr>
            <w:r>
              <w:rPr>
                <w:sz w:val="18"/>
              </w:rPr>
              <w:t>3,301 .05</w:t>
            </w:r>
          </w:p>
        </w:tc>
        <w:tc>
          <w:tcPr>
            <w:tcW w:w="792" w:type="dxa"/>
            <w:tcBorders>
              <w:top w:val="single" w:sz="2" w:space="0" w:color="000000"/>
              <w:left w:val="single" w:sz="2" w:space="0" w:color="000000"/>
              <w:bottom w:val="single" w:sz="2" w:space="0" w:color="000000"/>
              <w:right w:val="nil"/>
            </w:tcBorders>
            <w:vAlign w:val="bottom"/>
          </w:tcPr>
          <w:p w14:paraId="51384A44" w14:textId="77777777" w:rsidR="00053D93" w:rsidRDefault="00260B75">
            <w:pPr>
              <w:ind w:left="36"/>
              <w:jc w:val="center"/>
            </w:pPr>
            <w:r>
              <w:rPr>
                <w:sz w:val="18"/>
              </w:rPr>
              <w:t>69.06%</w:t>
            </w:r>
          </w:p>
        </w:tc>
      </w:tr>
      <w:tr w:rsidR="00053D93" w14:paraId="355A8537" w14:textId="77777777">
        <w:trPr>
          <w:trHeight w:val="1447"/>
        </w:trPr>
        <w:tc>
          <w:tcPr>
            <w:tcW w:w="328" w:type="dxa"/>
            <w:tcBorders>
              <w:top w:val="single" w:sz="2" w:space="0" w:color="000000"/>
              <w:left w:val="single" w:sz="2" w:space="0" w:color="000000"/>
              <w:bottom w:val="single" w:sz="2" w:space="0" w:color="000000"/>
              <w:right w:val="single" w:sz="2" w:space="0" w:color="000000"/>
            </w:tcBorders>
          </w:tcPr>
          <w:p w14:paraId="6B6DF886" w14:textId="77777777" w:rsidR="00053D93" w:rsidRDefault="00053D93"/>
        </w:tc>
        <w:tc>
          <w:tcPr>
            <w:tcW w:w="1232" w:type="dxa"/>
            <w:gridSpan w:val="2"/>
            <w:tcBorders>
              <w:top w:val="single" w:sz="2" w:space="0" w:color="000000"/>
              <w:left w:val="single" w:sz="2" w:space="0" w:color="000000"/>
              <w:bottom w:val="single" w:sz="2" w:space="0" w:color="000000"/>
              <w:right w:val="single" w:sz="2" w:space="0" w:color="000000"/>
            </w:tcBorders>
          </w:tcPr>
          <w:p w14:paraId="74E415CD" w14:textId="77777777" w:rsidR="00053D93" w:rsidRDefault="00260B75">
            <w:pPr>
              <w:ind w:right="73"/>
              <w:jc w:val="center"/>
            </w:pPr>
            <w:r>
              <w:rPr>
                <w:sz w:val="16"/>
              </w:rPr>
              <w:t>781-2024</w:t>
            </w:r>
          </w:p>
        </w:tc>
        <w:tc>
          <w:tcPr>
            <w:tcW w:w="1116" w:type="dxa"/>
            <w:tcBorders>
              <w:top w:val="single" w:sz="2" w:space="0" w:color="000000"/>
              <w:left w:val="single" w:sz="2" w:space="0" w:color="000000"/>
              <w:bottom w:val="single" w:sz="2" w:space="0" w:color="000000"/>
              <w:right w:val="single" w:sz="2" w:space="0" w:color="000000"/>
            </w:tcBorders>
          </w:tcPr>
          <w:p w14:paraId="6D2553AE" w14:textId="77777777" w:rsidR="00053D93" w:rsidRDefault="00260B75">
            <w:pPr>
              <w:spacing w:after="174"/>
              <w:ind w:left="32"/>
            </w:pPr>
            <w:r>
              <w:rPr>
                <w:sz w:val="18"/>
              </w:rPr>
              <w:t>Entrenador</w:t>
            </w:r>
          </w:p>
          <w:p w14:paraId="4C081DF1" w14:textId="77777777" w:rsidR="00053D93" w:rsidRDefault="00260B75">
            <w:pPr>
              <w:ind w:left="32"/>
            </w:pPr>
            <w:r>
              <w:rPr>
                <w:sz w:val="16"/>
              </w:rPr>
              <w:t>disciplina de atletismo</w:t>
            </w:r>
          </w:p>
        </w:tc>
        <w:tc>
          <w:tcPr>
            <w:tcW w:w="2314" w:type="dxa"/>
            <w:tcBorders>
              <w:top w:val="single" w:sz="2" w:space="0" w:color="000000"/>
              <w:left w:val="single" w:sz="2" w:space="0" w:color="000000"/>
              <w:bottom w:val="single" w:sz="2" w:space="0" w:color="000000"/>
              <w:right w:val="single" w:sz="2" w:space="0" w:color="000000"/>
            </w:tcBorders>
          </w:tcPr>
          <w:p w14:paraId="6E717765" w14:textId="77777777" w:rsidR="00053D93" w:rsidRDefault="00260B75">
            <w:pPr>
              <w:ind w:left="24" w:right="86" w:firstLine="7"/>
              <w:jc w:val="both"/>
            </w:pPr>
            <w:r>
              <w:rPr>
                <w:sz w:val="18"/>
              </w:rPr>
              <w:t>DTE No. 3735110445, serie: 29FE0476. Descripción: Compra de boleto aéreo para el señor Sergio Samuel Sosa Quiroz con ruta Guatemala/ Panamá/Guatemaia del 13 al 17 de noviembre de 2024.</w:t>
            </w:r>
          </w:p>
        </w:tc>
        <w:tc>
          <w:tcPr>
            <w:tcW w:w="919" w:type="dxa"/>
            <w:tcBorders>
              <w:top w:val="single" w:sz="2" w:space="0" w:color="000000"/>
              <w:left w:val="single" w:sz="2" w:space="0" w:color="000000"/>
              <w:bottom w:val="single" w:sz="2" w:space="0" w:color="000000"/>
              <w:right w:val="single" w:sz="2" w:space="0" w:color="000000"/>
            </w:tcBorders>
            <w:vAlign w:val="bottom"/>
          </w:tcPr>
          <w:p w14:paraId="11FE5D86" w14:textId="77777777" w:rsidR="00053D93" w:rsidRDefault="00260B75">
            <w:pPr>
              <w:ind w:left="194"/>
            </w:pPr>
            <w:r>
              <w:rPr>
                <w:sz w:val="18"/>
              </w:rPr>
              <w:t>8,081 .05</w:t>
            </w:r>
          </w:p>
        </w:tc>
        <w:tc>
          <w:tcPr>
            <w:tcW w:w="835" w:type="dxa"/>
            <w:tcBorders>
              <w:top w:val="single" w:sz="2" w:space="0" w:color="000000"/>
              <w:left w:val="single" w:sz="2" w:space="0" w:color="000000"/>
              <w:bottom w:val="single" w:sz="2" w:space="0" w:color="000000"/>
              <w:right w:val="single" w:sz="2" w:space="0" w:color="000000"/>
            </w:tcBorders>
            <w:vAlign w:val="bottom"/>
          </w:tcPr>
          <w:p w14:paraId="66568CA8" w14:textId="77777777" w:rsidR="00053D93" w:rsidRDefault="00260B75">
            <w:pPr>
              <w:ind w:left="5"/>
              <w:jc w:val="center"/>
            </w:pPr>
            <w:r>
              <w:rPr>
                <w:sz w:val="16"/>
              </w:rPr>
              <w:t>4,780.oo</w:t>
            </w:r>
          </w:p>
        </w:tc>
        <w:tc>
          <w:tcPr>
            <w:tcW w:w="895" w:type="dxa"/>
            <w:tcBorders>
              <w:top w:val="single" w:sz="2" w:space="0" w:color="000000"/>
              <w:left w:val="single" w:sz="2" w:space="0" w:color="000000"/>
              <w:bottom w:val="single" w:sz="2" w:space="0" w:color="000000"/>
              <w:right w:val="single" w:sz="2" w:space="0" w:color="000000"/>
            </w:tcBorders>
            <w:vAlign w:val="bottom"/>
          </w:tcPr>
          <w:p w14:paraId="215F04F7" w14:textId="77777777" w:rsidR="00053D93" w:rsidRDefault="00260B75">
            <w:pPr>
              <w:ind w:left="175"/>
            </w:pPr>
            <w:r>
              <w:rPr>
                <w:sz w:val="18"/>
              </w:rPr>
              <w:t>301.05</w:t>
            </w:r>
          </w:p>
        </w:tc>
        <w:tc>
          <w:tcPr>
            <w:tcW w:w="792" w:type="dxa"/>
            <w:tcBorders>
              <w:top w:val="single" w:sz="2" w:space="0" w:color="000000"/>
              <w:left w:val="single" w:sz="2" w:space="0" w:color="000000"/>
              <w:bottom w:val="single" w:sz="2" w:space="0" w:color="000000"/>
              <w:right w:val="nil"/>
            </w:tcBorders>
            <w:vAlign w:val="bottom"/>
          </w:tcPr>
          <w:p w14:paraId="554E3BD7" w14:textId="77777777" w:rsidR="00053D93" w:rsidRDefault="00260B75">
            <w:pPr>
              <w:ind w:left="22"/>
              <w:jc w:val="center"/>
            </w:pPr>
            <w:r>
              <w:rPr>
                <w:sz w:val="14"/>
              </w:rPr>
              <w:t>69.060/0</w:t>
            </w:r>
          </w:p>
        </w:tc>
      </w:tr>
      <w:tr w:rsidR="00053D93" w14:paraId="1920B0FD" w14:textId="77777777">
        <w:trPr>
          <w:trHeight w:val="1440"/>
        </w:trPr>
        <w:tc>
          <w:tcPr>
            <w:tcW w:w="328" w:type="dxa"/>
            <w:tcBorders>
              <w:top w:val="single" w:sz="2" w:space="0" w:color="000000"/>
              <w:left w:val="single" w:sz="2" w:space="0" w:color="000000"/>
              <w:bottom w:val="single" w:sz="2" w:space="0" w:color="000000"/>
              <w:right w:val="single" w:sz="2" w:space="0" w:color="000000"/>
            </w:tcBorders>
          </w:tcPr>
          <w:p w14:paraId="6CB56E36" w14:textId="77777777" w:rsidR="00053D93" w:rsidRDefault="00053D93"/>
        </w:tc>
        <w:tc>
          <w:tcPr>
            <w:tcW w:w="1232" w:type="dxa"/>
            <w:gridSpan w:val="2"/>
            <w:tcBorders>
              <w:top w:val="single" w:sz="2" w:space="0" w:color="000000"/>
              <w:left w:val="single" w:sz="2" w:space="0" w:color="000000"/>
              <w:bottom w:val="single" w:sz="2" w:space="0" w:color="000000"/>
              <w:right w:val="single" w:sz="2" w:space="0" w:color="000000"/>
            </w:tcBorders>
          </w:tcPr>
          <w:p w14:paraId="075208A7" w14:textId="77777777" w:rsidR="00053D93" w:rsidRDefault="00260B75">
            <w:pPr>
              <w:ind w:right="87"/>
              <w:jc w:val="center"/>
            </w:pPr>
            <w:r>
              <w:rPr>
                <w:sz w:val="16"/>
              </w:rPr>
              <w:t>780-2024</w:t>
            </w:r>
          </w:p>
        </w:tc>
        <w:tc>
          <w:tcPr>
            <w:tcW w:w="1116" w:type="dxa"/>
            <w:tcBorders>
              <w:top w:val="single" w:sz="2" w:space="0" w:color="000000"/>
              <w:left w:val="single" w:sz="2" w:space="0" w:color="000000"/>
              <w:bottom w:val="single" w:sz="2" w:space="0" w:color="000000"/>
              <w:right w:val="single" w:sz="2" w:space="0" w:color="000000"/>
            </w:tcBorders>
          </w:tcPr>
          <w:p w14:paraId="7122AC08" w14:textId="77777777" w:rsidR="00053D93" w:rsidRDefault="00260B75">
            <w:pPr>
              <w:ind w:left="17" w:firstLine="7"/>
            </w:pPr>
            <w:r>
              <w:rPr>
                <w:sz w:val="18"/>
              </w:rPr>
              <w:t>Entrenadora d e</w:t>
            </w:r>
            <w:r>
              <w:rPr>
                <w:sz w:val="18"/>
              </w:rPr>
              <w:tab/>
              <w:t>la disciplina de atletismo</w:t>
            </w:r>
          </w:p>
        </w:tc>
        <w:tc>
          <w:tcPr>
            <w:tcW w:w="2314" w:type="dxa"/>
            <w:tcBorders>
              <w:top w:val="single" w:sz="2" w:space="0" w:color="000000"/>
              <w:left w:val="single" w:sz="2" w:space="0" w:color="000000"/>
              <w:bottom w:val="single" w:sz="2" w:space="0" w:color="000000"/>
              <w:right w:val="single" w:sz="2" w:space="0" w:color="000000"/>
            </w:tcBorders>
          </w:tcPr>
          <w:p w14:paraId="5A2EA60A" w14:textId="77777777" w:rsidR="00053D93" w:rsidRDefault="00260B75">
            <w:pPr>
              <w:ind w:left="17" w:right="94" w:firstLine="7"/>
              <w:jc w:val="both"/>
            </w:pPr>
            <w:r>
              <w:rPr>
                <w:sz w:val="18"/>
              </w:rPr>
              <w:t>DTE No. 1859996029, serie: 88DAB804, Descripción: Compra de boleto aéreo para la señora Karla Surey Gálvez con ruta Guatemala/ Panamá/ Guatemala del 13 al 17 de noviembre de 2024.</w:t>
            </w:r>
          </w:p>
        </w:tc>
        <w:tc>
          <w:tcPr>
            <w:tcW w:w="919" w:type="dxa"/>
            <w:tcBorders>
              <w:top w:val="single" w:sz="2" w:space="0" w:color="000000"/>
              <w:left w:val="single" w:sz="2" w:space="0" w:color="000000"/>
              <w:bottom w:val="single" w:sz="2" w:space="0" w:color="000000"/>
              <w:right w:val="single" w:sz="2" w:space="0" w:color="000000"/>
            </w:tcBorders>
            <w:vAlign w:val="bottom"/>
          </w:tcPr>
          <w:p w14:paraId="4AA4C6A4" w14:textId="77777777" w:rsidR="00053D93" w:rsidRDefault="00260B75">
            <w:pPr>
              <w:ind w:left="194"/>
            </w:pPr>
            <w:r>
              <w:rPr>
                <w:sz w:val="18"/>
              </w:rPr>
              <w:t>8.081.05</w:t>
            </w:r>
          </w:p>
        </w:tc>
        <w:tc>
          <w:tcPr>
            <w:tcW w:w="835" w:type="dxa"/>
            <w:tcBorders>
              <w:top w:val="single" w:sz="2" w:space="0" w:color="000000"/>
              <w:left w:val="single" w:sz="2" w:space="0" w:color="000000"/>
              <w:bottom w:val="single" w:sz="2" w:space="0" w:color="000000"/>
              <w:right w:val="single" w:sz="2" w:space="0" w:color="000000"/>
            </w:tcBorders>
            <w:vAlign w:val="bottom"/>
          </w:tcPr>
          <w:p w14:paraId="2E6568D5" w14:textId="77777777" w:rsidR="00053D93" w:rsidRDefault="00260B75">
            <w:pPr>
              <w:ind w:left="5"/>
              <w:jc w:val="center"/>
            </w:pPr>
            <w:r>
              <w:rPr>
                <w:sz w:val="18"/>
              </w:rPr>
              <w:t>4, 780.00</w:t>
            </w:r>
          </w:p>
        </w:tc>
        <w:tc>
          <w:tcPr>
            <w:tcW w:w="895" w:type="dxa"/>
            <w:tcBorders>
              <w:top w:val="single" w:sz="2" w:space="0" w:color="000000"/>
              <w:left w:val="single" w:sz="2" w:space="0" w:color="000000"/>
              <w:bottom w:val="single" w:sz="2" w:space="0" w:color="000000"/>
              <w:right w:val="single" w:sz="2" w:space="0" w:color="000000"/>
            </w:tcBorders>
            <w:vAlign w:val="bottom"/>
          </w:tcPr>
          <w:p w14:paraId="03737266" w14:textId="77777777" w:rsidR="00053D93" w:rsidRDefault="00260B75">
            <w:pPr>
              <w:ind w:left="168"/>
            </w:pPr>
            <w:r>
              <w:rPr>
                <w:sz w:val="18"/>
              </w:rPr>
              <w:t>301.05</w:t>
            </w:r>
          </w:p>
        </w:tc>
        <w:tc>
          <w:tcPr>
            <w:tcW w:w="792" w:type="dxa"/>
            <w:tcBorders>
              <w:top w:val="single" w:sz="2" w:space="0" w:color="000000"/>
              <w:left w:val="single" w:sz="2" w:space="0" w:color="000000"/>
              <w:bottom w:val="single" w:sz="2" w:space="0" w:color="000000"/>
              <w:right w:val="nil"/>
            </w:tcBorders>
            <w:vAlign w:val="bottom"/>
          </w:tcPr>
          <w:p w14:paraId="7EF85D50" w14:textId="77777777" w:rsidR="00053D93" w:rsidRDefault="00260B75">
            <w:pPr>
              <w:ind w:left="22"/>
              <w:jc w:val="center"/>
            </w:pPr>
            <w:r>
              <w:rPr>
                <w:sz w:val="18"/>
              </w:rPr>
              <w:t>69.06%</w:t>
            </w:r>
          </w:p>
        </w:tc>
      </w:tr>
      <w:tr w:rsidR="00053D93" w14:paraId="4924D7DD" w14:textId="77777777">
        <w:trPr>
          <w:trHeight w:val="660"/>
        </w:trPr>
        <w:tc>
          <w:tcPr>
            <w:tcW w:w="328" w:type="dxa"/>
            <w:vMerge w:val="restart"/>
            <w:tcBorders>
              <w:top w:val="single" w:sz="2" w:space="0" w:color="000000"/>
              <w:left w:val="single" w:sz="2" w:space="0" w:color="000000"/>
              <w:bottom w:val="nil"/>
              <w:right w:val="single" w:sz="2" w:space="0" w:color="000000"/>
            </w:tcBorders>
          </w:tcPr>
          <w:p w14:paraId="1632952E" w14:textId="77777777" w:rsidR="00053D93" w:rsidRDefault="00260B75">
            <w:pPr>
              <w:spacing w:after="360"/>
              <w:ind w:left="29"/>
            </w:pPr>
            <w:r>
              <w:rPr>
                <w:sz w:val="18"/>
              </w:rPr>
              <w:t>7</w:t>
            </w:r>
          </w:p>
          <w:p w14:paraId="2D91D330" w14:textId="77777777" w:rsidR="00053D93" w:rsidRDefault="00260B75">
            <w:pPr>
              <w:ind w:left="115"/>
            </w:pPr>
            <w:r>
              <w:rPr>
                <w:noProof/>
              </w:rPr>
              <w:drawing>
                <wp:inline distT="0" distB="0" distL="0" distR="0" wp14:anchorId="3770E0CB" wp14:editId="006CA238">
                  <wp:extent cx="9144" cy="128016"/>
                  <wp:effectExtent l="0" t="0" r="0" b="0"/>
                  <wp:docPr id="2458659" name="Picture 2458659"/>
                  <wp:cNvGraphicFramePr/>
                  <a:graphic xmlns:a="http://schemas.openxmlformats.org/drawingml/2006/main">
                    <a:graphicData uri="http://schemas.openxmlformats.org/drawingml/2006/picture">
                      <pic:pic xmlns:pic="http://schemas.openxmlformats.org/drawingml/2006/picture">
                        <pic:nvPicPr>
                          <pic:cNvPr id="2458659" name="Picture 2458659"/>
                          <pic:cNvPicPr/>
                        </pic:nvPicPr>
                        <pic:blipFill>
                          <a:blip r:embed="rId582"/>
                          <a:stretch>
                            <a:fillRect/>
                          </a:stretch>
                        </pic:blipFill>
                        <pic:spPr>
                          <a:xfrm>
                            <a:off x="0" y="0"/>
                            <a:ext cx="9144" cy="128016"/>
                          </a:xfrm>
                          <a:prstGeom prst="rect">
                            <a:avLst/>
                          </a:prstGeom>
                        </pic:spPr>
                      </pic:pic>
                    </a:graphicData>
                  </a:graphic>
                </wp:inline>
              </w:drawing>
            </w:r>
          </w:p>
        </w:tc>
        <w:tc>
          <w:tcPr>
            <w:tcW w:w="1232" w:type="dxa"/>
            <w:gridSpan w:val="2"/>
            <w:tcBorders>
              <w:top w:val="single" w:sz="2" w:space="0" w:color="000000"/>
              <w:left w:val="single" w:sz="2" w:space="0" w:color="000000"/>
              <w:bottom w:val="nil"/>
              <w:right w:val="single" w:sz="2" w:space="0" w:color="000000"/>
            </w:tcBorders>
          </w:tcPr>
          <w:p w14:paraId="4E5FAB3C" w14:textId="77777777" w:rsidR="00053D93" w:rsidRDefault="00260B75">
            <w:pPr>
              <w:ind w:right="94"/>
              <w:jc w:val="center"/>
            </w:pPr>
            <w:r>
              <w:rPr>
                <w:sz w:val="16"/>
              </w:rPr>
              <w:t>790-2024</w:t>
            </w:r>
          </w:p>
        </w:tc>
        <w:tc>
          <w:tcPr>
            <w:tcW w:w="1116" w:type="dxa"/>
            <w:tcBorders>
              <w:top w:val="single" w:sz="2" w:space="0" w:color="000000"/>
              <w:left w:val="single" w:sz="2" w:space="0" w:color="000000"/>
              <w:bottom w:val="single" w:sz="2" w:space="0" w:color="000000"/>
              <w:right w:val="single" w:sz="2" w:space="0" w:color="000000"/>
            </w:tcBorders>
          </w:tcPr>
          <w:p w14:paraId="4738EB9F" w14:textId="77777777" w:rsidR="00053D93" w:rsidRDefault="00260B75">
            <w:pPr>
              <w:ind w:left="17" w:right="33"/>
            </w:pPr>
            <w:r>
              <w:rPr>
                <w:sz w:val="20"/>
              </w:rPr>
              <w:t>Oficial</w:t>
            </w:r>
            <w:r>
              <w:rPr>
                <w:sz w:val="20"/>
              </w:rPr>
              <w:tab/>
              <w:t>de misión/ prensa</w:t>
            </w:r>
          </w:p>
        </w:tc>
        <w:tc>
          <w:tcPr>
            <w:tcW w:w="2314" w:type="dxa"/>
            <w:tcBorders>
              <w:top w:val="single" w:sz="2" w:space="0" w:color="000000"/>
              <w:left w:val="single" w:sz="2" w:space="0" w:color="000000"/>
              <w:bottom w:val="single" w:sz="2" w:space="0" w:color="000000"/>
              <w:right w:val="single" w:sz="2" w:space="0" w:color="000000"/>
            </w:tcBorders>
          </w:tcPr>
          <w:p w14:paraId="6DB40FE5" w14:textId="77777777" w:rsidR="00053D93" w:rsidRDefault="00260B75">
            <w:pPr>
              <w:ind w:left="10" w:right="108" w:firstLine="14"/>
              <w:jc w:val="both"/>
            </w:pPr>
            <w:r>
              <w:rPr>
                <w:sz w:val="18"/>
              </w:rPr>
              <w:t>DTE No. 2823767647. serie: A4A667D8, Descripción: Compra de boleto aéreo para</w:t>
            </w:r>
          </w:p>
        </w:tc>
        <w:tc>
          <w:tcPr>
            <w:tcW w:w="919" w:type="dxa"/>
            <w:tcBorders>
              <w:top w:val="single" w:sz="2" w:space="0" w:color="000000"/>
              <w:left w:val="single" w:sz="2" w:space="0" w:color="000000"/>
              <w:bottom w:val="single" w:sz="2" w:space="0" w:color="000000"/>
              <w:right w:val="single" w:sz="2" w:space="0" w:color="000000"/>
            </w:tcBorders>
          </w:tcPr>
          <w:p w14:paraId="2FD2BBEE" w14:textId="77777777" w:rsidR="00053D93" w:rsidRDefault="00053D93"/>
        </w:tc>
        <w:tc>
          <w:tcPr>
            <w:tcW w:w="835" w:type="dxa"/>
            <w:tcBorders>
              <w:top w:val="single" w:sz="2" w:space="0" w:color="000000"/>
              <w:left w:val="single" w:sz="2" w:space="0" w:color="000000"/>
              <w:bottom w:val="single" w:sz="2" w:space="0" w:color="000000"/>
              <w:right w:val="single" w:sz="2" w:space="0" w:color="000000"/>
            </w:tcBorders>
          </w:tcPr>
          <w:p w14:paraId="42805721" w14:textId="77777777" w:rsidR="00053D93" w:rsidRDefault="00053D93"/>
        </w:tc>
        <w:tc>
          <w:tcPr>
            <w:tcW w:w="895" w:type="dxa"/>
            <w:tcBorders>
              <w:top w:val="single" w:sz="2" w:space="0" w:color="000000"/>
              <w:left w:val="single" w:sz="2" w:space="0" w:color="000000"/>
              <w:bottom w:val="single" w:sz="2" w:space="0" w:color="000000"/>
              <w:right w:val="single" w:sz="2" w:space="0" w:color="000000"/>
            </w:tcBorders>
          </w:tcPr>
          <w:p w14:paraId="509B5345" w14:textId="77777777" w:rsidR="00053D93" w:rsidRDefault="00053D93"/>
        </w:tc>
        <w:tc>
          <w:tcPr>
            <w:tcW w:w="792" w:type="dxa"/>
            <w:tcBorders>
              <w:top w:val="single" w:sz="2" w:space="0" w:color="000000"/>
              <w:left w:val="single" w:sz="2" w:space="0" w:color="000000"/>
              <w:bottom w:val="single" w:sz="2" w:space="0" w:color="000000"/>
              <w:right w:val="nil"/>
            </w:tcBorders>
          </w:tcPr>
          <w:p w14:paraId="71D66670" w14:textId="77777777" w:rsidR="00053D93" w:rsidRDefault="00053D93"/>
        </w:tc>
      </w:tr>
      <w:tr w:rsidR="00053D93" w14:paraId="53870685" w14:textId="77777777">
        <w:trPr>
          <w:trHeight w:val="579"/>
        </w:trPr>
        <w:tc>
          <w:tcPr>
            <w:tcW w:w="0" w:type="auto"/>
            <w:vMerge/>
            <w:tcBorders>
              <w:top w:val="nil"/>
              <w:left w:val="single" w:sz="2" w:space="0" w:color="000000"/>
              <w:bottom w:val="nil"/>
              <w:right w:val="single" w:sz="2" w:space="0" w:color="000000"/>
            </w:tcBorders>
          </w:tcPr>
          <w:p w14:paraId="257A18D2" w14:textId="77777777" w:rsidR="00053D93" w:rsidRDefault="00053D93"/>
        </w:tc>
        <w:tc>
          <w:tcPr>
            <w:tcW w:w="408" w:type="dxa"/>
            <w:tcBorders>
              <w:top w:val="nil"/>
              <w:left w:val="single" w:sz="2" w:space="0" w:color="000000"/>
              <w:bottom w:val="nil"/>
              <w:right w:val="single" w:sz="2" w:space="0" w:color="000000"/>
            </w:tcBorders>
          </w:tcPr>
          <w:p w14:paraId="5816FA78" w14:textId="77777777" w:rsidR="00053D93" w:rsidRDefault="00260B75">
            <w:pPr>
              <w:ind w:left="46"/>
              <w:jc w:val="center"/>
            </w:pPr>
            <w:r>
              <w:rPr>
                <w:sz w:val="48"/>
              </w:rPr>
              <w:t>II</w:t>
            </w:r>
          </w:p>
        </w:tc>
        <w:tc>
          <w:tcPr>
            <w:tcW w:w="7696" w:type="dxa"/>
            <w:gridSpan w:val="7"/>
            <w:tcBorders>
              <w:top w:val="single" w:sz="2" w:space="0" w:color="000000"/>
              <w:left w:val="single" w:sz="2" w:space="0" w:color="000000"/>
              <w:bottom w:val="nil"/>
              <w:right w:val="nil"/>
            </w:tcBorders>
          </w:tcPr>
          <w:p w14:paraId="0493A0B1" w14:textId="77777777" w:rsidR="00053D93" w:rsidRDefault="00260B75">
            <w:pPr>
              <w:ind w:left="2562"/>
            </w:pPr>
            <w:r>
              <w:rPr>
                <w:sz w:val="14"/>
              </w:rPr>
              <w:t>MINISTERIO DE EDUCACION</w:t>
            </w:r>
          </w:p>
          <w:p w14:paraId="2E886AA3" w14:textId="77777777" w:rsidR="00053D93" w:rsidRDefault="00260B75">
            <w:pPr>
              <w:ind w:left="2066"/>
            </w:pPr>
            <w:r>
              <w:rPr>
                <w:sz w:val="14"/>
              </w:rPr>
              <w:t>AUDITORIA FINANCIERA Y DE CUMPLIMIENTO</w:t>
            </w:r>
          </w:p>
          <w:p w14:paraId="426FBBDE" w14:textId="77777777" w:rsidR="00053D93" w:rsidRDefault="00260B75">
            <w:pPr>
              <w:ind w:left="1734"/>
            </w:pPr>
            <w:r>
              <w:rPr>
                <w:sz w:val="14"/>
              </w:rPr>
              <w:t>PERIODO DEL 01 DE ENERO AL 31 DE DICIEMBRE DE 2024</w:t>
            </w:r>
          </w:p>
        </w:tc>
      </w:tr>
    </w:tbl>
    <w:p w14:paraId="7E11F21B" w14:textId="77777777" w:rsidR="00053D93" w:rsidRDefault="00260B75">
      <w:pPr>
        <w:pStyle w:val="Ttulo2"/>
        <w:ind w:left="-5" w:right="8258"/>
      </w:pPr>
      <w:r>
        <w:t xml:space="preserve">III </w:t>
      </w:r>
      <w:r>
        <w:rPr>
          <w:noProof/>
        </w:rPr>
        <w:drawing>
          <wp:inline distT="0" distB="0" distL="0" distR="0" wp14:anchorId="6297E2FB" wp14:editId="77EBB091">
            <wp:extent cx="466344" cy="406908"/>
            <wp:effectExtent l="0" t="0" r="0" b="0"/>
            <wp:docPr id="878464" name="Picture 878464"/>
            <wp:cNvGraphicFramePr/>
            <a:graphic xmlns:a="http://schemas.openxmlformats.org/drawingml/2006/main">
              <a:graphicData uri="http://schemas.openxmlformats.org/drawingml/2006/picture">
                <pic:pic xmlns:pic="http://schemas.openxmlformats.org/drawingml/2006/picture">
                  <pic:nvPicPr>
                    <pic:cNvPr id="878464" name="Picture 878464"/>
                    <pic:cNvPicPr/>
                  </pic:nvPicPr>
                  <pic:blipFill>
                    <a:blip r:embed="rId1218"/>
                    <a:stretch>
                      <a:fillRect/>
                    </a:stretch>
                  </pic:blipFill>
                  <pic:spPr>
                    <a:xfrm>
                      <a:off x="0" y="0"/>
                      <a:ext cx="466344" cy="406908"/>
                    </a:xfrm>
                    <a:prstGeom prst="rect">
                      <a:avLst/>
                    </a:prstGeom>
                  </pic:spPr>
                </pic:pic>
              </a:graphicData>
            </a:graphic>
          </wp:inline>
        </w:drawing>
      </w:r>
    </w:p>
    <w:tbl>
      <w:tblPr>
        <w:tblStyle w:val="TableGrid"/>
        <w:tblW w:w="10418" w:type="dxa"/>
        <w:tblInd w:w="-799" w:type="dxa"/>
        <w:tblLook w:val="04A0" w:firstRow="1" w:lastRow="0" w:firstColumn="1" w:lastColumn="0" w:noHBand="0" w:noVBand="1"/>
      </w:tblPr>
      <w:tblGrid>
        <w:gridCol w:w="986"/>
        <w:gridCol w:w="10663"/>
      </w:tblGrid>
      <w:tr w:rsidR="00053D93" w14:paraId="0A04C620" w14:textId="77777777">
        <w:trPr>
          <w:trHeight w:val="12953"/>
        </w:trPr>
        <w:tc>
          <w:tcPr>
            <w:tcW w:w="1094" w:type="dxa"/>
            <w:tcBorders>
              <w:top w:val="nil"/>
              <w:left w:val="nil"/>
              <w:bottom w:val="nil"/>
              <w:right w:val="nil"/>
            </w:tcBorders>
          </w:tcPr>
          <w:p w14:paraId="1181F531" w14:textId="77777777" w:rsidR="00053D93" w:rsidRDefault="00260B75">
            <w:r>
              <w:rPr>
                <w:noProof/>
              </w:rPr>
              <w:drawing>
                <wp:inline distT="0" distB="0" distL="0" distR="0" wp14:anchorId="27E199DF" wp14:editId="14D8C8C5">
                  <wp:extent cx="626364" cy="297180"/>
                  <wp:effectExtent l="0" t="0" r="0" b="0"/>
                  <wp:docPr id="884672" name="Picture 884672"/>
                  <wp:cNvGraphicFramePr/>
                  <a:graphic xmlns:a="http://schemas.openxmlformats.org/drawingml/2006/main">
                    <a:graphicData uri="http://schemas.openxmlformats.org/drawingml/2006/picture">
                      <pic:pic xmlns:pic="http://schemas.openxmlformats.org/drawingml/2006/picture">
                        <pic:nvPicPr>
                          <pic:cNvPr id="884672" name="Picture 884672"/>
                          <pic:cNvPicPr/>
                        </pic:nvPicPr>
                        <pic:blipFill>
                          <a:blip r:embed="rId1219"/>
                          <a:stretch>
                            <a:fillRect/>
                          </a:stretch>
                        </pic:blipFill>
                        <pic:spPr>
                          <a:xfrm>
                            <a:off x="0" y="0"/>
                            <a:ext cx="626364" cy="297180"/>
                          </a:xfrm>
                          <a:prstGeom prst="rect">
                            <a:avLst/>
                          </a:prstGeom>
                        </pic:spPr>
                      </pic:pic>
                    </a:graphicData>
                  </a:graphic>
                </wp:inline>
              </w:drawing>
            </w:r>
          </w:p>
        </w:tc>
        <w:tc>
          <w:tcPr>
            <w:tcW w:w="9324" w:type="dxa"/>
            <w:tcBorders>
              <w:top w:val="nil"/>
              <w:left w:val="nil"/>
              <w:bottom w:val="nil"/>
              <w:right w:val="nil"/>
            </w:tcBorders>
          </w:tcPr>
          <w:p w14:paraId="41A8042F" w14:textId="77777777" w:rsidR="00053D93" w:rsidRDefault="00053D93">
            <w:pPr>
              <w:ind w:left="-1339" w:right="10663"/>
            </w:pPr>
          </w:p>
          <w:tbl>
            <w:tblPr>
              <w:tblStyle w:val="TableGrid"/>
              <w:tblW w:w="9216" w:type="dxa"/>
              <w:tblInd w:w="108" w:type="dxa"/>
              <w:tblCellMar>
                <w:top w:w="39" w:type="dxa"/>
                <w:left w:w="68" w:type="dxa"/>
                <w:bottom w:w="29" w:type="dxa"/>
                <w:right w:w="65" w:type="dxa"/>
              </w:tblCellMar>
              <w:tblLook w:val="04A0" w:firstRow="1" w:lastRow="0" w:firstColumn="1" w:lastColumn="0" w:noHBand="0" w:noVBand="1"/>
            </w:tblPr>
            <w:tblGrid>
              <w:gridCol w:w="571"/>
              <w:gridCol w:w="388"/>
              <w:gridCol w:w="1194"/>
              <w:gridCol w:w="1115"/>
              <w:gridCol w:w="2272"/>
              <w:gridCol w:w="989"/>
              <w:gridCol w:w="875"/>
              <w:gridCol w:w="892"/>
              <w:gridCol w:w="920"/>
            </w:tblGrid>
            <w:tr w:rsidR="00053D93" w14:paraId="181C6F34" w14:textId="77777777">
              <w:trPr>
                <w:trHeight w:val="876"/>
              </w:trPr>
              <w:tc>
                <w:tcPr>
                  <w:tcW w:w="595" w:type="dxa"/>
                  <w:vMerge w:val="restart"/>
                  <w:tcBorders>
                    <w:top w:val="single" w:sz="2" w:space="0" w:color="000000"/>
                    <w:left w:val="nil"/>
                    <w:bottom w:val="nil"/>
                    <w:right w:val="single" w:sz="2" w:space="0" w:color="000000"/>
                  </w:tcBorders>
                </w:tcPr>
                <w:p w14:paraId="65B55F6E" w14:textId="77777777" w:rsidR="00053D93" w:rsidRDefault="00053D93"/>
              </w:tc>
              <w:tc>
                <w:tcPr>
                  <w:tcW w:w="389" w:type="dxa"/>
                  <w:tcBorders>
                    <w:top w:val="single" w:sz="2" w:space="0" w:color="000000"/>
                    <w:left w:val="single" w:sz="2" w:space="0" w:color="000000"/>
                    <w:bottom w:val="single" w:sz="2" w:space="0" w:color="000000"/>
                    <w:right w:val="single" w:sz="2" w:space="0" w:color="000000"/>
                  </w:tcBorders>
                </w:tcPr>
                <w:p w14:paraId="7A1AEF6D"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76601B16" w14:textId="77777777" w:rsidR="00053D93" w:rsidRDefault="00053D93"/>
              </w:tc>
              <w:tc>
                <w:tcPr>
                  <w:tcW w:w="1116" w:type="dxa"/>
                  <w:tcBorders>
                    <w:top w:val="single" w:sz="2" w:space="0" w:color="000000"/>
                    <w:left w:val="single" w:sz="2" w:space="0" w:color="000000"/>
                    <w:bottom w:val="single" w:sz="2" w:space="0" w:color="000000"/>
                    <w:right w:val="single" w:sz="2" w:space="0" w:color="000000"/>
                  </w:tcBorders>
                </w:tcPr>
                <w:p w14:paraId="5FFC09CF" w14:textId="77777777" w:rsidR="00053D93" w:rsidRDefault="00053D93"/>
              </w:tc>
              <w:tc>
                <w:tcPr>
                  <w:tcW w:w="2307" w:type="dxa"/>
                  <w:tcBorders>
                    <w:top w:val="single" w:sz="2" w:space="0" w:color="000000"/>
                    <w:left w:val="single" w:sz="2" w:space="0" w:color="000000"/>
                    <w:bottom w:val="single" w:sz="2" w:space="0" w:color="000000"/>
                    <w:right w:val="single" w:sz="2" w:space="0" w:color="000000"/>
                  </w:tcBorders>
                </w:tcPr>
                <w:p w14:paraId="63113CEA" w14:textId="77777777" w:rsidR="00053D93" w:rsidRDefault="00260B75">
                  <w:pPr>
                    <w:ind w:right="22"/>
                    <w:jc w:val="both"/>
                  </w:pPr>
                  <w:r>
                    <w:rPr>
                      <w:sz w:val="18"/>
                    </w:rPr>
                    <w:t>la señora Lidia Julieta Ordóñez Avila con ruta Guatemala/ Panamá/ Guatemala del 12 al 17 de noviembre de 2024.</w:t>
                  </w:r>
                </w:p>
              </w:tc>
              <w:tc>
                <w:tcPr>
                  <w:tcW w:w="926" w:type="dxa"/>
                  <w:tcBorders>
                    <w:top w:val="single" w:sz="2" w:space="0" w:color="000000"/>
                    <w:left w:val="single" w:sz="2" w:space="0" w:color="000000"/>
                    <w:bottom w:val="single" w:sz="2" w:space="0" w:color="000000"/>
                    <w:right w:val="single" w:sz="2" w:space="0" w:color="000000"/>
                  </w:tcBorders>
                  <w:vAlign w:val="bottom"/>
                </w:tcPr>
                <w:p w14:paraId="275ABA5F" w14:textId="77777777" w:rsidR="00053D93" w:rsidRDefault="00260B75">
                  <w:pPr>
                    <w:ind w:left="177"/>
                  </w:pPr>
                  <w:r>
                    <w:rPr>
                      <w:sz w:val="18"/>
                    </w:rPr>
                    <w:t>8.046.04</w:t>
                  </w:r>
                </w:p>
              </w:tc>
              <w:tc>
                <w:tcPr>
                  <w:tcW w:w="835" w:type="dxa"/>
                  <w:tcBorders>
                    <w:top w:val="single" w:sz="2" w:space="0" w:color="000000"/>
                    <w:left w:val="single" w:sz="2" w:space="0" w:color="000000"/>
                    <w:bottom w:val="single" w:sz="2" w:space="0" w:color="000000"/>
                    <w:right w:val="single" w:sz="2" w:space="0" w:color="000000"/>
                  </w:tcBorders>
                  <w:vAlign w:val="bottom"/>
                </w:tcPr>
                <w:p w14:paraId="5EAC8E6D" w14:textId="77777777" w:rsidR="00053D93" w:rsidRDefault="00260B75">
                  <w:pPr>
                    <w:ind w:left="46"/>
                    <w:jc w:val="center"/>
                  </w:pPr>
                  <w:r>
                    <w:rPr>
                      <w:sz w:val="18"/>
                    </w:rPr>
                    <w:t>4,780.00</w:t>
                  </w:r>
                </w:p>
              </w:tc>
              <w:tc>
                <w:tcPr>
                  <w:tcW w:w="893" w:type="dxa"/>
                  <w:tcBorders>
                    <w:top w:val="single" w:sz="2" w:space="0" w:color="000000"/>
                    <w:left w:val="single" w:sz="2" w:space="0" w:color="000000"/>
                    <w:bottom w:val="single" w:sz="2" w:space="0" w:color="000000"/>
                    <w:right w:val="single" w:sz="2" w:space="0" w:color="000000"/>
                  </w:tcBorders>
                  <w:vAlign w:val="bottom"/>
                </w:tcPr>
                <w:p w14:paraId="1CE0C31E" w14:textId="77777777" w:rsidR="00053D93" w:rsidRDefault="00260B75">
                  <w:pPr>
                    <w:ind w:left="111"/>
                    <w:jc w:val="center"/>
                  </w:pPr>
                  <w:r>
                    <w:rPr>
                      <w:sz w:val="18"/>
                    </w:rPr>
                    <w:t>3.266.04</w:t>
                  </w:r>
                </w:p>
              </w:tc>
              <w:tc>
                <w:tcPr>
                  <w:tcW w:w="924" w:type="dxa"/>
                  <w:tcBorders>
                    <w:top w:val="single" w:sz="2" w:space="0" w:color="000000"/>
                    <w:left w:val="single" w:sz="2" w:space="0" w:color="000000"/>
                    <w:bottom w:val="nil"/>
                    <w:right w:val="nil"/>
                  </w:tcBorders>
                  <w:vAlign w:val="bottom"/>
                </w:tcPr>
                <w:p w14:paraId="75AA0F5E" w14:textId="77777777" w:rsidR="00053D93" w:rsidRDefault="00260B75">
                  <w:pPr>
                    <w:ind w:left="101"/>
                  </w:pPr>
                  <w:r>
                    <w:rPr>
                      <w:sz w:val="14"/>
                    </w:rPr>
                    <w:t>68.330/0</w:t>
                  </w:r>
                </w:p>
              </w:tc>
            </w:tr>
            <w:tr w:rsidR="00053D93" w14:paraId="622251A4" w14:textId="77777777">
              <w:trPr>
                <w:trHeight w:val="1454"/>
              </w:trPr>
              <w:tc>
                <w:tcPr>
                  <w:tcW w:w="0" w:type="auto"/>
                  <w:vMerge/>
                  <w:tcBorders>
                    <w:top w:val="nil"/>
                    <w:left w:val="nil"/>
                    <w:bottom w:val="nil"/>
                    <w:right w:val="single" w:sz="2" w:space="0" w:color="000000"/>
                  </w:tcBorders>
                </w:tcPr>
                <w:p w14:paraId="15E2E0A8" w14:textId="77777777" w:rsidR="00053D93" w:rsidRDefault="00053D93"/>
              </w:tc>
              <w:tc>
                <w:tcPr>
                  <w:tcW w:w="389" w:type="dxa"/>
                  <w:tcBorders>
                    <w:top w:val="single" w:sz="2" w:space="0" w:color="000000"/>
                    <w:left w:val="single" w:sz="2" w:space="0" w:color="000000"/>
                    <w:bottom w:val="single" w:sz="2" w:space="0" w:color="000000"/>
                    <w:right w:val="single" w:sz="2" w:space="0" w:color="000000"/>
                  </w:tcBorders>
                </w:tcPr>
                <w:p w14:paraId="3BD13A70" w14:textId="77777777" w:rsidR="00053D93" w:rsidRDefault="00260B75">
                  <w:pPr>
                    <w:ind w:right="26"/>
                    <w:jc w:val="center"/>
                  </w:pPr>
                  <w:r>
                    <w:rPr>
                      <w:sz w:val="18"/>
                    </w:rPr>
                    <w:t>8</w:t>
                  </w:r>
                </w:p>
              </w:tc>
              <w:tc>
                <w:tcPr>
                  <w:tcW w:w="1231" w:type="dxa"/>
                  <w:tcBorders>
                    <w:top w:val="single" w:sz="2" w:space="0" w:color="000000"/>
                    <w:left w:val="single" w:sz="2" w:space="0" w:color="000000"/>
                    <w:bottom w:val="single" w:sz="2" w:space="0" w:color="000000"/>
                    <w:right w:val="single" w:sz="2" w:space="0" w:color="000000"/>
                  </w:tcBorders>
                </w:tcPr>
                <w:p w14:paraId="64BBB75F" w14:textId="77777777" w:rsidR="00053D93" w:rsidRDefault="00260B75">
                  <w:pPr>
                    <w:ind w:right="26"/>
                    <w:jc w:val="center"/>
                  </w:pPr>
                  <w:r>
                    <w:rPr>
                      <w:sz w:val="18"/>
                    </w:rPr>
                    <w:t>786-2024</w:t>
                  </w:r>
                </w:p>
              </w:tc>
              <w:tc>
                <w:tcPr>
                  <w:tcW w:w="1116" w:type="dxa"/>
                  <w:tcBorders>
                    <w:top w:val="single" w:sz="2" w:space="0" w:color="000000"/>
                    <w:left w:val="single" w:sz="2" w:space="0" w:color="000000"/>
                    <w:bottom w:val="single" w:sz="2" w:space="0" w:color="000000"/>
                    <w:right w:val="single" w:sz="2" w:space="0" w:color="000000"/>
                  </w:tcBorders>
                </w:tcPr>
                <w:p w14:paraId="1076ABCE" w14:textId="77777777" w:rsidR="00053D93" w:rsidRDefault="00260B75">
                  <w:pPr>
                    <w:ind w:left="7"/>
                  </w:pPr>
                  <w:r>
                    <w:rPr>
                      <w:sz w:val="16"/>
                    </w:rPr>
                    <w:t>misión</w:t>
                  </w:r>
                </w:p>
              </w:tc>
              <w:tc>
                <w:tcPr>
                  <w:tcW w:w="2307" w:type="dxa"/>
                  <w:tcBorders>
                    <w:top w:val="single" w:sz="2" w:space="0" w:color="000000"/>
                    <w:left w:val="single" w:sz="2" w:space="0" w:color="000000"/>
                    <w:bottom w:val="single" w:sz="2" w:space="0" w:color="000000"/>
                    <w:right w:val="single" w:sz="2" w:space="0" w:color="000000"/>
                  </w:tcBorders>
                </w:tcPr>
                <w:p w14:paraId="33A9ADB7" w14:textId="77777777" w:rsidR="00053D93" w:rsidRDefault="00260B75">
                  <w:pPr>
                    <w:ind w:left="7" w:right="36"/>
                    <w:jc w:val="both"/>
                  </w:pPr>
                  <w:r>
                    <w:rPr>
                      <w:sz w:val="18"/>
                    </w:rPr>
                    <w:t>DTE No. 2402831975, serie: 85526200, Descripción: Compra de boleto aéreo para la señora Hay[ey Carolina</w:t>
                  </w:r>
                </w:p>
                <w:p w14:paraId="0F7A21F2" w14:textId="77777777" w:rsidR="00053D93" w:rsidRDefault="00260B75">
                  <w:pPr>
                    <w:ind w:left="7" w:right="22"/>
                    <w:jc w:val="both"/>
                  </w:pPr>
                  <w:r>
                    <w:rPr>
                      <w:sz w:val="18"/>
                    </w:rPr>
                    <w:t>Rivas con ruta Guatemala/ Panamá/ Guatemala del 12 al 17 de noviembre de 2024.</w:t>
                  </w:r>
                </w:p>
              </w:tc>
              <w:tc>
                <w:tcPr>
                  <w:tcW w:w="926" w:type="dxa"/>
                  <w:tcBorders>
                    <w:top w:val="single" w:sz="2" w:space="0" w:color="000000"/>
                    <w:left w:val="single" w:sz="2" w:space="0" w:color="000000"/>
                    <w:bottom w:val="single" w:sz="2" w:space="0" w:color="000000"/>
                    <w:right w:val="single" w:sz="2" w:space="0" w:color="000000"/>
                  </w:tcBorders>
                  <w:vAlign w:val="bottom"/>
                </w:tcPr>
                <w:p w14:paraId="5B74F9EF" w14:textId="77777777" w:rsidR="00053D93" w:rsidRDefault="00260B75">
                  <w:pPr>
                    <w:ind w:left="177"/>
                  </w:pPr>
                  <w:r>
                    <w:rPr>
                      <w:sz w:val="18"/>
                    </w:rPr>
                    <w:t>8,046.04</w:t>
                  </w:r>
                </w:p>
              </w:tc>
              <w:tc>
                <w:tcPr>
                  <w:tcW w:w="835" w:type="dxa"/>
                  <w:tcBorders>
                    <w:top w:val="single" w:sz="2" w:space="0" w:color="000000"/>
                    <w:left w:val="single" w:sz="2" w:space="0" w:color="000000"/>
                    <w:bottom w:val="single" w:sz="2" w:space="0" w:color="000000"/>
                    <w:right w:val="single" w:sz="2" w:space="0" w:color="000000"/>
                  </w:tcBorders>
                  <w:vAlign w:val="bottom"/>
                </w:tcPr>
                <w:p w14:paraId="31A5286E" w14:textId="77777777" w:rsidR="00053D93" w:rsidRDefault="00260B75">
                  <w:pPr>
                    <w:ind w:left="46"/>
                    <w:jc w:val="center"/>
                  </w:pPr>
                  <w:r>
                    <w:rPr>
                      <w:sz w:val="16"/>
                    </w:rPr>
                    <w:t>4,780.oo</w:t>
                  </w:r>
                </w:p>
              </w:tc>
              <w:tc>
                <w:tcPr>
                  <w:tcW w:w="893" w:type="dxa"/>
                  <w:tcBorders>
                    <w:top w:val="single" w:sz="2" w:space="0" w:color="000000"/>
                    <w:left w:val="single" w:sz="2" w:space="0" w:color="000000"/>
                    <w:bottom w:val="single" w:sz="2" w:space="0" w:color="000000"/>
                    <w:right w:val="single" w:sz="2" w:space="0" w:color="000000"/>
                  </w:tcBorders>
                  <w:vAlign w:val="bottom"/>
                </w:tcPr>
                <w:p w14:paraId="280CDF4D" w14:textId="77777777" w:rsidR="00053D93" w:rsidRDefault="00260B75">
                  <w:pPr>
                    <w:ind w:left="103"/>
                    <w:jc w:val="center"/>
                  </w:pPr>
                  <w:r>
                    <w:rPr>
                      <w:sz w:val="16"/>
                    </w:rPr>
                    <w:t>3,266.04</w:t>
                  </w:r>
                </w:p>
              </w:tc>
              <w:tc>
                <w:tcPr>
                  <w:tcW w:w="924" w:type="dxa"/>
                  <w:tcBorders>
                    <w:top w:val="nil"/>
                    <w:left w:val="single" w:sz="2" w:space="0" w:color="000000"/>
                    <w:bottom w:val="nil"/>
                    <w:right w:val="nil"/>
                  </w:tcBorders>
                  <w:vAlign w:val="bottom"/>
                </w:tcPr>
                <w:p w14:paraId="10DF5090" w14:textId="77777777" w:rsidR="00053D93" w:rsidRDefault="00260B75">
                  <w:pPr>
                    <w:ind w:left="101"/>
                  </w:pPr>
                  <w:r>
                    <w:rPr>
                      <w:sz w:val="16"/>
                    </w:rPr>
                    <w:t>68.33%</w:t>
                  </w:r>
                </w:p>
              </w:tc>
            </w:tr>
            <w:tr w:rsidR="00053D93" w14:paraId="5CF45587" w14:textId="77777777">
              <w:trPr>
                <w:trHeight w:val="1454"/>
              </w:trPr>
              <w:tc>
                <w:tcPr>
                  <w:tcW w:w="0" w:type="auto"/>
                  <w:vMerge/>
                  <w:tcBorders>
                    <w:top w:val="nil"/>
                    <w:left w:val="nil"/>
                    <w:bottom w:val="nil"/>
                    <w:right w:val="single" w:sz="2" w:space="0" w:color="000000"/>
                  </w:tcBorders>
                </w:tcPr>
                <w:p w14:paraId="59A2FCA8" w14:textId="77777777" w:rsidR="00053D93" w:rsidRDefault="00053D93"/>
              </w:tc>
              <w:tc>
                <w:tcPr>
                  <w:tcW w:w="389" w:type="dxa"/>
                  <w:tcBorders>
                    <w:top w:val="single" w:sz="2" w:space="0" w:color="000000"/>
                    <w:left w:val="single" w:sz="2" w:space="0" w:color="000000"/>
                    <w:bottom w:val="single" w:sz="2" w:space="0" w:color="000000"/>
                    <w:right w:val="single" w:sz="2" w:space="0" w:color="000000"/>
                  </w:tcBorders>
                </w:tcPr>
                <w:p w14:paraId="5CC3B171" w14:textId="77777777" w:rsidR="00053D93" w:rsidRDefault="00260B75">
                  <w:pPr>
                    <w:ind w:right="19"/>
                    <w:jc w:val="center"/>
                  </w:pPr>
                  <w:r>
                    <w:rPr>
                      <w:sz w:val="16"/>
                    </w:rPr>
                    <w:t>9</w:t>
                  </w:r>
                </w:p>
              </w:tc>
              <w:tc>
                <w:tcPr>
                  <w:tcW w:w="1231" w:type="dxa"/>
                  <w:tcBorders>
                    <w:top w:val="single" w:sz="2" w:space="0" w:color="000000"/>
                    <w:left w:val="single" w:sz="2" w:space="0" w:color="000000"/>
                    <w:bottom w:val="single" w:sz="2" w:space="0" w:color="000000"/>
                    <w:right w:val="single" w:sz="2" w:space="0" w:color="000000"/>
                  </w:tcBorders>
                </w:tcPr>
                <w:p w14:paraId="5A7B11EB" w14:textId="77777777" w:rsidR="00053D93" w:rsidRDefault="00260B75">
                  <w:pPr>
                    <w:ind w:right="19"/>
                    <w:jc w:val="center"/>
                  </w:pPr>
                  <w:r>
                    <w:rPr>
                      <w:sz w:val="16"/>
                    </w:rPr>
                    <w:t>774-2024</w:t>
                  </w:r>
                </w:p>
              </w:tc>
              <w:tc>
                <w:tcPr>
                  <w:tcW w:w="1116" w:type="dxa"/>
                  <w:tcBorders>
                    <w:top w:val="single" w:sz="2" w:space="0" w:color="000000"/>
                    <w:left w:val="single" w:sz="2" w:space="0" w:color="000000"/>
                    <w:bottom w:val="single" w:sz="2" w:space="0" w:color="000000"/>
                    <w:right w:val="single" w:sz="2" w:space="0" w:color="000000"/>
                  </w:tcBorders>
                </w:tcPr>
                <w:p w14:paraId="3E6B445B" w14:textId="77777777" w:rsidR="00053D93" w:rsidRDefault="00260B75">
                  <w:pPr>
                    <w:ind w:left="7" w:right="26" w:firstLine="7"/>
                    <w:jc w:val="both"/>
                  </w:pPr>
                  <w:r>
                    <w:rPr>
                      <w:sz w:val="18"/>
                    </w:rPr>
                    <w:t>misión de disciplina de natación</w:t>
                  </w:r>
                </w:p>
              </w:tc>
              <w:tc>
                <w:tcPr>
                  <w:tcW w:w="2307" w:type="dxa"/>
                  <w:tcBorders>
                    <w:top w:val="single" w:sz="2" w:space="0" w:color="000000"/>
                    <w:left w:val="single" w:sz="2" w:space="0" w:color="000000"/>
                    <w:bottom w:val="single" w:sz="2" w:space="0" w:color="000000"/>
                    <w:right w:val="single" w:sz="2" w:space="0" w:color="000000"/>
                  </w:tcBorders>
                </w:tcPr>
                <w:p w14:paraId="342A24AF" w14:textId="77777777" w:rsidR="00053D93" w:rsidRDefault="00260B75">
                  <w:pPr>
                    <w:spacing w:line="245" w:lineRule="auto"/>
                    <w:ind w:left="7" w:right="29"/>
                    <w:jc w:val="both"/>
                  </w:pPr>
                  <w:r>
                    <w:rPr>
                      <w:sz w:val="18"/>
                    </w:rPr>
                    <w:t>DTE No. 3965797523, serie: 8561F33F, Descripción: Compra de boleto aéreo para el señor Edgar Arturo López</w:t>
                  </w:r>
                </w:p>
                <w:p w14:paraId="4FCE2E4E" w14:textId="77777777" w:rsidR="00053D93" w:rsidRDefault="00260B75">
                  <w:pPr>
                    <w:ind w:left="14" w:right="22" w:hanging="14"/>
                    <w:jc w:val="both"/>
                  </w:pPr>
                  <w:r>
                    <w:rPr>
                      <w:sz w:val="18"/>
                    </w:rPr>
                    <w:t>Talva con ruta Guatemala/ Panamá/GuatemaIa del 12 al 17 de noviembre de 2024.</w:t>
                  </w:r>
                </w:p>
              </w:tc>
              <w:tc>
                <w:tcPr>
                  <w:tcW w:w="926" w:type="dxa"/>
                  <w:tcBorders>
                    <w:top w:val="single" w:sz="2" w:space="0" w:color="000000"/>
                    <w:left w:val="single" w:sz="2" w:space="0" w:color="000000"/>
                    <w:bottom w:val="single" w:sz="2" w:space="0" w:color="000000"/>
                    <w:right w:val="single" w:sz="2" w:space="0" w:color="000000"/>
                  </w:tcBorders>
                  <w:vAlign w:val="bottom"/>
                </w:tcPr>
                <w:p w14:paraId="33D35348" w14:textId="77777777" w:rsidR="00053D93" w:rsidRDefault="00260B75">
                  <w:pPr>
                    <w:ind w:left="177"/>
                  </w:pPr>
                  <w:r>
                    <w:rPr>
                      <w:sz w:val="18"/>
                    </w:rPr>
                    <w:t>8.081.05</w:t>
                  </w:r>
                </w:p>
              </w:tc>
              <w:tc>
                <w:tcPr>
                  <w:tcW w:w="835" w:type="dxa"/>
                  <w:tcBorders>
                    <w:top w:val="single" w:sz="2" w:space="0" w:color="000000"/>
                    <w:left w:val="single" w:sz="2" w:space="0" w:color="000000"/>
                    <w:bottom w:val="single" w:sz="2" w:space="0" w:color="000000"/>
                    <w:right w:val="single" w:sz="2" w:space="0" w:color="000000"/>
                  </w:tcBorders>
                  <w:vAlign w:val="bottom"/>
                </w:tcPr>
                <w:p w14:paraId="4D2ECF0A" w14:textId="77777777" w:rsidR="00053D93" w:rsidRDefault="00260B75">
                  <w:pPr>
                    <w:ind w:left="46"/>
                    <w:jc w:val="center"/>
                  </w:pPr>
                  <w:r>
                    <w:rPr>
                      <w:sz w:val="18"/>
                    </w:rPr>
                    <w:t>4.780.00</w:t>
                  </w:r>
                </w:p>
              </w:tc>
              <w:tc>
                <w:tcPr>
                  <w:tcW w:w="893" w:type="dxa"/>
                  <w:tcBorders>
                    <w:top w:val="single" w:sz="2" w:space="0" w:color="000000"/>
                    <w:left w:val="single" w:sz="2" w:space="0" w:color="000000"/>
                    <w:bottom w:val="single" w:sz="2" w:space="0" w:color="000000"/>
                    <w:right w:val="single" w:sz="2" w:space="0" w:color="000000"/>
                  </w:tcBorders>
                  <w:vAlign w:val="bottom"/>
                </w:tcPr>
                <w:p w14:paraId="17C9A354" w14:textId="77777777" w:rsidR="00053D93" w:rsidRDefault="00260B75">
                  <w:pPr>
                    <w:ind w:left="151"/>
                  </w:pPr>
                  <w:r>
                    <w:rPr>
                      <w:sz w:val="16"/>
                    </w:rPr>
                    <w:t>3.301.05</w:t>
                  </w:r>
                </w:p>
              </w:tc>
              <w:tc>
                <w:tcPr>
                  <w:tcW w:w="924" w:type="dxa"/>
                  <w:tcBorders>
                    <w:top w:val="nil"/>
                    <w:left w:val="single" w:sz="2" w:space="0" w:color="000000"/>
                    <w:bottom w:val="nil"/>
                    <w:right w:val="nil"/>
                  </w:tcBorders>
                  <w:vAlign w:val="bottom"/>
                </w:tcPr>
                <w:p w14:paraId="2D8B8830" w14:textId="77777777" w:rsidR="00053D93" w:rsidRDefault="00260B75">
                  <w:pPr>
                    <w:ind w:left="101"/>
                  </w:pPr>
                  <w:r>
                    <w:rPr>
                      <w:sz w:val="18"/>
                    </w:rPr>
                    <w:t>69.06%</w:t>
                  </w:r>
                </w:p>
              </w:tc>
            </w:tr>
            <w:tr w:rsidR="00053D93" w14:paraId="5D205A69" w14:textId="77777777">
              <w:trPr>
                <w:trHeight w:val="1445"/>
              </w:trPr>
              <w:tc>
                <w:tcPr>
                  <w:tcW w:w="0" w:type="auto"/>
                  <w:vMerge/>
                  <w:tcBorders>
                    <w:top w:val="nil"/>
                    <w:left w:val="nil"/>
                    <w:bottom w:val="nil"/>
                    <w:right w:val="single" w:sz="2" w:space="0" w:color="000000"/>
                  </w:tcBorders>
                </w:tcPr>
                <w:p w14:paraId="24820FCF" w14:textId="77777777" w:rsidR="00053D93" w:rsidRDefault="00053D93"/>
              </w:tc>
              <w:tc>
                <w:tcPr>
                  <w:tcW w:w="389" w:type="dxa"/>
                  <w:tcBorders>
                    <w:top w:val="single" w:sz="2" w:space="0" w:color="000000"/>
                    <w:left w:val="single" w:sz="2" w:space="0" w:color="000000"/>
                    <w:bottom w:val="single" w:sz="2" w:space="0" w:color="000000"/>
                    <w:right w:val="single" w:sz="2" w:space="0" w:color="000000"/>
                  </w:tcBorders>
                </w:tcPr>
                <w:p w14:paraId="2CA54407" w14:textId="77777777" w:rsidR="00053D93" w:rsidRDefault="00260B75">
                  <w:pPr>
                    <w:ind w:right="12"/>
                    <w:jc w:val="center"/>
                  </w:pPr>
                  <w:r>
                    <w:rPr>
                      <w:sz w:val="16"/>
                    </w:rPr>
                    <w:t>10</w:t>
                  </w:r>
                </w:p>
              </w:tc>
              <w:tc>
                <w:tcPr>
                  <w:tcW w:w="1231" w:type="dxa"/>
                  <w:tcBorders>
                    <w:top w:val="single" w:sz="2" w:space="0" w:color="000000"/>
                    <w:left w:val="single" w:sz="2" w:space="0" w:color="000000"/>
                    <w:bottom w:val="single" w:sz="2" w:space="0" w:color="000000"/>
                    <w:right w:val="single" w:sz="2" w:space="0" w:color="000000"/>
                  </w:tcBorders>
                </w:tcPr>
                <w:p w14:paraId="5B2F937D" w14:textId="77777777" w:rsidR="00053D93" w:rsidRDefault="00260B75">
                  <w:pPr>
                    <w:ind w:right="19"/>
                    <w:jc w:val="center"/>
                  </w:pPr>
                  <w:r>
                    <w:rPr>
                      <w:sz w:val="16"/>
                    </w:rPr>
                    <w:t>784-2024</w:t>
                  </w:r>
                </w:p>
              </w:tc>
              <w:tc>
                <w:tcPr>
                  <w:tcW w:w="1116" w:type="dxa"/>
                  <w:tcBorders>
                    <w:top w:val="single" w:sz="2" w:space="0" w:color="000000"/>
                    <w:left w:val="single" w:sz="2" w:space="0" w:color="000000"/>
                    <w:bottom w:val="single" w:sz="2" w:space="0" w:color="000000"/>
                    <w:right w:val="single" w:sz="2" w:space="0" w:color="000000"/>
                  </w:tcBorders>
                </w:tcPr>
                <w:p w14:paraId="4B39FF2C" w14:textId="77777777" w:rsidR="00053D93" w:rsidRDefault="00260B75">
                  <w:pPr>
                    <w:ind w:left="14" w:right="26"/>
                    <w:jc w:val="both"/>
                  </w:pPr>
                  <w:r>
                    <w:rPr>
                      <w:sz w:val="18"/>
                    </w:rPr>
                    <w:t>Encargado de la disciplina de Goalball</w:t>
                  </w:r>
                </w:p>
              </w:tc>
              <w:tc>
                <w:tcPr>
                  <w:tcW w:w="2307" w:type="dxa"/>
                  <w:tcBorders>
                    <w:top w:val="single" w:sz="2" w:space="0" w:color="000000"/>
                    <w:left w:val="single" w:sz="2" w:space="0" w:color="000000"/>
                    <w:bottom w:val="single" w:sz="2" w:space="0" w:color="000000"/>
                    <w:right w:val="single" w:sz="2" w:space="0" w:color="000000"/>
                  </w:tcBorders>
                </w:tcPr>
                <w:p w14:paraId="0AFF0FE2" w14:textId="77777777" w:rsidR="00053D93" w:rsidRDefault="00260B75">
                  <w:pPr>
                    <w:ind w:left="7" w:right="22" w:firstLine="7"/>
                    <w:jc w:val="both"/>
                  </w:pPr>
                  <w:r>
                    <w:rPr>
                      <w:sz w:val="18"/>
                    </w:rPr>
                    <w:t>OTE No. 3442624217, serie: 72C9809D, Descripción: Compra de boleto aéreo para el señor Rudy Wilder det Valle Rios con ruta Guatemala/ Panamá/Guatemala del 12 al 17 de noviembre de 2024.</w:t>
                  </w:r>
                </w:p>
              </w:tc>
              <w:tc>
                <w:tcPr>
                  <w:tcW w:w="926" w:type="dxa"/>
                  <w:tcBorders>
                    <w:top w:val="single" w:sz="2" w:space="0" w:color="000000"/>
                    <w:left w:val="single" w:sz="2" w:space="0" w:color="000000"/>
                    <w:bottom w:val="single" w:sz="2" w:space="0" w:color="000000"/>
                    <w:right w:val="single" w:sz="2" w:space="0" w:color="000000"/>
                  </w:tcBorders>
                  <w:vAlign w:val="bottom"/>
                </w:tcPr>
                <w:p w14:paraId="7610FCDB" w14:textId="77777777" w:rsidR="00053D93" w:rsidRDefault="00260B75">
                  <w:pPr>
                    <w:ind w:left="185"/>
                  </w:pPr>
                  <w:r>
                    <w:rPr>
                      <w:sz w:val="18"/>
                    </w:rPr>
                    <w:t>8.081.05</w:t>
                  </w:r>
                </w:p>
              </w:tc>
              <w:tc>
                <w:tcPr>
                  <w:tcW w:w="835" w:type="dxa"/>
                  <w:tcBorders>
                    <w:top w:val="single" w:sz="2" w:space="0" w:color="000000"/>
                    <w:left w:val="single" w:sz="2" w:space="0" w:color="000000"/>
                    <w:bottom w:val="single" w:sz="2" w:space="0" w:color="000000"/>
                    <w:right w:val="single" w:sz="2" w:space="0" w:color="000000"/>
                  </w:tcBorders>
                  <w:vAlign w:val="bottom"/>
                </w:tcPr>
                <w:p w14:paraId="04C160C3" w14:textId="77777777" w:rsidR="00053D93" w:rsidRDefault="00260B75">
                  <w:pPr>
                    <w:ind w:left="60"/>
                    <w:jc w:val="center"/>
                  </w:pPr>
                  <w:r>
                    <w:rPr>
                      <w:sz w:val="18"/>
                    </w:rPr>
                    <w:t>4,780.00</w:t>
                  </w:r>
                </w:p>
              </w:tc>
              <w:tc>
                <w:tcPr>
                  <w:tcW w:w="893" w:type="dxa"/>
                  <w:tcBorders>
                    <w:top w:val="single" w:sz="2" w:space="0" w:color="000000"/>
                    <w:left w:val="single" w:sz="2" w:space="0" w:color="000000"/>
                    <w:bottom w:val="single" w:sz="2" w:space="0" w:color="000000"/>
                    <w:right w:val="single" w:sz="2" w:space="0" w:color="000000"/>
                  </w:tcBorders>
                  <w:vAlign w:val="bottom"/>
                </w:tcPr>
                <w:p w14:paraId="09A9CE6B" w14:textId="77777777" w:rsidR="00053D93" w:rsidRDefault="00260B75">
                  <w:pPr>
                    <w:ind w:left="151"/>
                  </w:pPr>
                  <w:r>
                    <w:rPr>
                      <w:sz w:val="18"/>
                    </w:rPr>
                    <w:t>3.301 .05</w:t>
                  </w:r>
                </w:p>
              </w:tc>
              <w:tc>
                <w:tcPr>
                  <w:tcW w:w="924" w:type="dxa"/>
                  <w:tcBorders>
                    <w:top w:val="nil"/>
                    <w:left w:val="single" w:sz="2" w:space="0" w:color="000000"/>
                    <w:bottom w:val="nil"/>
                    <w:right w:val="nil"/>
                  </w:tcBorders>
                  <w:vAlign w:val="bottom"/>
                </w:tcPr>
                <w:p w14:paraId="52608D7A" w14:textId="77777777" w:rsidR="00053D93" w:rsidRDefault="00260B75">
                  <w:pPr>
                    <w:ind w:left="108"/>
                  </w:pPr>
                  <w:r>
                    <w:rPr>
                      <w:sz w:val="16"/>
                    </w:rPr>
                    <w:t>69.06%</w:t>
                  </w:r>
                </w:p>
              </w:tc>
            </w:tr>
            <w:tr w:rsidR="00053D93" w14:paraId="0A8E773B" w14:textId="77777777">
              <w:trPr>
                <w:trHeight w:val="1443"/>
              </w:trPr>
              <w:tc>
                <w:tcPr>
                  <w:tcW w:w="0" w:type="auto"/>
                  <w:vMerge/>
                  <w:tcBorders>
                    <w:top w:val="nil"/>
                    <w:left w:val="nil"/>
                    <w:bottom w:val="nil"/>
                    <w:right w:val="single" w:sz="2" w:space="0" w:color="000000"/>
                  </w:tcBorders>
                </w:tcPr>
                <w:p w14:paraId="3D3946DC" w14:textId="77777777" w:rsidR="00053D93" w:rsidRDefault="00053D93"/>
              </w:tc>
              <w:tc>
                <w:tcPr>
                  <w:tcW w:w="389" w:type="dxa"/>
                  <w:tcBorders>
                    <w:top w:val="single" w:sz="2" w:space="0" w:color="000000"/>
                    <w:left w:val="single" w:sz="2" w:space="0" w:color="000000"/>
                    <w:bottom w:val="single" w:sz="2" w:space="0" w:color="000000"/>
                    <w:right w:val="single" w:sz="2" w:space="0" w:color="000000"/>
                  </w:tcBorders>
                </w:tcPr>
                <w:p w14:paraId="59604228" w14:textId="77777777" w:rsidR="00053D93" w:rsidRDefault="00260B75">
                  <w:pPr>
                    <w:ind w:right="26"/>
                    <w:jc w:val="center"/>
                  </w:pPr>
                  <w:r>
                    <w:rPr>
                      <w:sz w:val="18"/>
                    </w:rPr>
                    <w:t>11</w:t>
                  </w:r>
                </w:p>
              </w:tc>
              <w:tc>
                <w:tcPr>
                  <w:tcW w:w="1231" w:type="dxa"/>
                  <w:tcBorders>
                    <w:top w:val="single" w:sz="2" w:space="0" w:color="000000"/>
                    <w:left w:val="single" w:sz="2" w:space="0" w:color="000000"/>
                    <w:bottom w:val="single" w:sz="2" w:space="0" w:color="000000"/>
                    <w:right w:val="single" w:sz="2" w:space="0" w:color="000000"/>
                  </w:tcBorders>
                </w:tcPr>
                <w:p w14:paraId="5CD6E95F" w14:textId="77777777" w:rsidR="00053D93" w:rsidRDefault="00260B75">
                  <w:pPr>
                    <w:ind w:right="12"/>
                    <w:jc w:val="center"/>
                  </w:pPr>
                  <w:r>
                    <w:rPr>
                      <w:sz w:val="18"/>
                    </w:rPr>
                    <w:t>783-2024</w:t>
                  </w:r>
                </w:p>
              </w:tc>
              <w:tc>
                <w:tcPr>
                  <w:tcW w:w="1116" w:type="dxa"/>
                  <w:tcBorders>
                    <w:top w:val="single" w:sz="2" w:space="0" w:color="000000"/>
                    <w:left w:val="single" w:sz="2" w:space="0" w:color="000000"/>
                    <w:bottom w:val="single" w:sz="2" w:space="0" w:color="000000"/>
                    <w:right w:val="single" w:sz="2" w:space="0" w:color="000000"/>
                  </w:tcBorders>
                </w:tcPr>
                <w:p w14:paraId="3BC3D07B" w14:textId="77777777" w:rsidR="00053D93" w:rsidRDefault="00260B75">
                  <w:pPr>
                    <w:spacing w:after="166"/>
                    <w:ind w:left="22"/>
                  </w:pPr>
                  <w:r>
                    <w:rPr>
                      <w:sz w:val="18"/>
                    </w:rPr>
                    <w:t>Especialista</w:t>
                  </w:r>
                </w:p>
                <w:p w14:paraId="6221D8E5" w14:textId="77777777" w:rsidR="00053D93" w:rsidRDefault="00260B75">
                  <w:pPr>
                    <w:ind w:left="14"/>
                  </w:pPr>
                  <w:r>
                    <w:rPr>
                      <w:sz w:val="18"/>
                    </w:rPr>
                    <w:t>discapacidad</w:t>
                  </w:r>
                </w:p>
              </w:tc>
              <w:tc>
                <w:tcPr>
                  <w:tcW w:w="2307" w:type="dxa"/>
                  <w:tcBorders>
                    <w:top w:val="single" w:sz="2" w:space="0" w:color="000000"/>
                    <w:left w:val="single" w:sz="2" w:space="0" w:color="000000"/>
                    <w:bottom w:val="single" w:sz="2" w:space="0" w:color="000000"/>
                    <w:right w:val="single" w:sz="2" w:space="0" w:color="000000"/>
                  </w:tcBorders>
                </w:tcPr>
                <w:p w14:paraId="478ABDB4" w14:textId="77777777" w:rsidR="00053D93" w:rsidRDefault="00260B75">
                  <w:pPr>
                    <w:spacing w:line="247" w:lineRule="auto"/>
                    <w:ind w:left="14" w:right="22"/>
                    <w:jc w:val="both"/>
                  </w:pPr>
                  <w:r>
                    <w:rPr>
                      <w:sz w:val="18"/>
                    </w:rPr>
                    <w:t>DTE No. 1067927140, serie: 353228BD. Descripción: Compra de boleto aéreo para el señor Luis Felipe Alvarez del</w:t>
                  </w:r>
                </w:p>
                <w:p w14:paraId="309C8D8A" w14:textId="77777777" w:rsidR="00053D93" w:rsidRDefault="00260B75">
                  <w:pPr>
                    <w:ind w:left="14" w:right="14"/>
                    <w:jc w:val="both"/>
                  </w:pPr>
                  <w:r>
                    <w:rPr>
                      <w:sz w:val="18"/>
                    </w:rPr>
                    <w:t>Cid con ruta Guatemala/ Panamá/Guatemata del 13 al 18 de noviembre de 2024.</w:t>
                  </w:r>
                </w:p>
              </w:tc>
              <w:tc>
                <w:tcPr>
                  <w:tcW w:w="926" w:type="dxa"/>
                  <w:tcBorders>
                    <w:top w:val="single" w:sz="2" w:space="0" w:color="000000"/>
                    <w:left w:val="single" w:sz="2" w:space="0" w:color="000000"/>
                    <w:bottom w:val="single" w:sz="2" w:space="0" w:color="000000"/>
                    <w:right w:val="single" w:sz="2" w:space="0" w:color="000000"/>
                  </w:tcBorders>
                  <w:vAlign w:val="bottom"/>
                </w:tcPr>
                <w:p w14:paraId="00EEB73C" w14:textId="77777777" w:rsidR="00053D93" w:rsidRDefault="00260B75">
                  <w:pPr>
                    <w:ind w:left="185"/>
                  </w:pPr>
                  <w:r>
                    <w:rPr>
                      <w:sz w:val="18"/>
                    </w:rPr>
                    <w:t>7.490.60</w:t>
                  </w:r>
                </w:p>
              </w:tc>
              <w:tc>
                <w:tcPr>
                  <w:tcW w:w="835" w:type="dxa"/>
                  <w:tcBorders>
                    <w:top w:val="single" w:sz="2" w:space="0" w:color="000000"/>
                    <w:left w:val="single" w:sz="2" w:space="0" w:color="000000"/>
                    <w:bottom w:val="single" w:sz="2" w:space="0" w:color="000000"/>
                    <w:right w:val="single" w:sz="2" w:space="0" w:color="000000"/>
                  </w:tcBorders>
                  <w:vAlign w:val="bottom"/>
                </w:tcPr>
                <w:p w14:paraId="60F832F1" w14:textId="77777777" w:rsidR="00053D93" w:rsidRDefault="00260B75">
                  <w:pPr>
                    <w:ind w:left="60"/>
                    <w:jc w:val="center"/>
                  </w:pPr>
                  <w:r>
                    <w:rPr>
                      <w:sz w:val="18"/>
                    </w:rPr>
                    <w:t>4.780.00</w:t>
                  </w:r>
                </w:p>
              </w:tc>
              <w:tc>
                <w:tcPr>
                  <w:tcW w:w="893" w:type="dxa"/>
                  <w:tcBorders>
                    <w:top w:val="single" w:sz="2" w:space="0" w:color="000000"/>
                    <w:left w:val="single" w:sz="2" w:space="0" w:color="000000"/>
                    <w:bottom w:val="single" w:sz="2" w:space="0" w:color="000000"/>
                    <w:right w:val="single" w:sz="2" w:space="0" w:color="000000"/>
                  </w:tcBorders>
                  <w:vAlign w:val="bottom"/>
                </w:tcPr>
                <w:p w14:paraId="2CC71F98" w14:textId="77777777" w:rsidR="00053D93" w:rsidRDefault="00260B75">
                  <w:pPr>
                    <w:ind w:left="151"/>
                  </w:pPr>
                  <w:r>
                    <w:rPr>
                      <w:sz w:val="16"/>
                    </w:rPr>
                    <w:t>2.710.60</w:t>
                  </w:r>
                </w:p>
              </w:tc>
              <w:tc>
                <w:tcPr>
                  <w:tcW w:w="924" w:type="dxa"/>
                  <w:tcBorders>
                    <w:top w:val="nil"/>
                    <w:left w:val="single" w:sz="2" w:space="0" w:color="000000"/>
                    <w:bottom w:val="nil"/>
                    <w:right w:val="nil"/>
                  </w:tcBorders>
                  <w:vAlign w:val="bottom"/>
                </w:tcPr>
                <w:p w14:paraId="6E13D991" w14:textId="77777777" w:rsidR="00053D93" w:rsidRDefault="00260B75">
                  <w:pPr>
                    <w:ind w:left="108"/>
                  </w:pPr>
                  <w:r>
                    <w:rPr>
                      <w:sz w:val="14"/>
                    </w:rPr>
                    <w:t>56.710/0</w:t>
                  </w:r>
                </w:p>
              </w:tc>
            </w:tr>
            <w:tr w:rsidR="00053D93" w14:paraId="5B2A82B4" w14:textId="77777777">
              <w:trPr>
                <w:trHeight w:val="1445"/>
              </w:trPr>
              <w:tc>
                <w:tcPr>
                  <w:tcW w:w="0" w:type="auto"/>
                  <w:vMerge/>
                  <w:tcBorders>
                    <w:top w:val="nil"/>
                    <w:left w:val="nil"/>
                    <w:bottom w:val="nil"/>
                    <w:right w:val="single" w:sz="2" w:space="0" w:color="000000"/>
                  </w:tcBorders>
                </w:tcPr>
                <w:p w14:paraId="1680C71C" w14:textId="77777777" w:rsidR="00053D93" w:rsidRDefault="00053D93"/>
              </w:tc>
              <w:tc>
                <w:tcPr>
                  <w:tcW w:w="389" w:type="dxa"/>
                  <w:tcBorders>
                    <w:top w:val="single" w:sz="2" w:space="0" w:color="000000"/>
                    <w:left w:val="single" w:sz="2" w:space="0" w:color="000000"/>
                    <w:bottom w:val="single" w:sz="2" w:space="0" w:color="000000"/>
                    <w:right w:val="single" w:sz="2" w:space="0" w:color="000000"/>
                  </w:tcBorders>
                </w:tcPr>
                <w:p w14:paraId="65634B3F" w14:textId="77777777" w:rsidR="00053D93" w:rsidRDefault="00260B75">
                  <w:pPr>
                    <w:ind w:right="5"/>
                    <w:jc w:val="center"/>
                  </w:pPr>
                  <w:r>
                    <w:rPr>
                      <w:sz w:val="18"/>
                    </w:rPr>
                    <w:t>12</w:t>
                  </w:r>
                </w:p>
              </w:tc>
              <w:tc>
                <w:tcPr>
                  <w:tcW w:w="1231" w:type="dxa"/>
                  <w:tcBorders>
                    <w:top w:val="single" w:sz="2" w:space="0" w:color="000000"/>
                    <w:left w:val="single" w:sz="2" w:space="0" w:color="000000"/>
                    <w:bottom w:val="single" w:sz="2" w:space="0" w:color="000000"/>
                    <w:right w:val="single" w:sz="2" w:space="0" w:color="000000"/>
                  </w:tcBorders>
                </w:tcPr>
                <w:p w14:paraId="2D4A9411" w14:textId="77777777" w:rsidR="00053D93" w:rsidRDefault="00260B75">
                  <w:pPr>
                    <w:ind w:right="5"/>
                    <w:jc w:val="center"/>
                  </w:pPr>
                  <w:r>
                    <w:rPr>
                      <w:sz w:val="16"/>
                    </w:rPr>
                    <w:t>778-2024</w:t>
                  </w:r>
                </w:p>
              </w:tc>
              <w:tc>
                <w:tcPr>
                  <w:tcW w:w="1116" w:type="dxa"/>
                  <w:tcBorders>
                    <w:top w:val="single" w:sz="2" w:space="0" w:color="000000"/>
                    <w:left w:val="single" w:sz="2" w:space="0" w:color="000000"/>
                    <w:bottom w:val="single" w:sz="2" w:space="0" w:color="000000"/>
                    <w:right w:val="single" w:sz="2" w:space="0" w:color="000000"/>
                  </w:tcBorders>
                </w:tcPr>
                <w:p w14:paraId="211F2466" w14:textId="77777777" w:rsidR="00053D93" w:rsidRDefault="00260B75">
                  <w:pPr>
                    <w:ind w:left="14"/>
                  </w:pPr>
                  <w:r>
                    <w:rPr>
                      <w:sz w:val="18"/>
                    </w:rPr>
                    <w:t>Clasificadora intelectual</w:t>
                  </w:r>
                </w:p>
              </w:tc>
              <w:tc>
                <w:tcPr>
                  <w:tcW w:w="2307" w:type="dxa"/>
                  <w:tcBorders>
                    <w:top w:val="single" w:sz="2" w:space="0" w:color="000000"/>
                    <w:left w:val="single" w:sz="2" w:space="0" w:color="000000"/>
                    <w:bottom w:val="single" w:sz="2" w:space="0" w:color="000000"/>
                    <w:right w:val="single" w:sz="2" w:space="0" w:color="000000"/>
                  </w:tcBorders>
                </w:tcPr>
                <w:p w14:paraId="42C416D3" w14:textId="77777777" w:rsidR="00053D93" w:rsidRDefault="00260B75">
                  <w:pPr>
                    <w:ind w:left="14" w:firstLine="7"/>
                    <w:jc w:val="both"/>
                  </w:pPr>
                  <w:r>
                    <w:rPr>
                      <w:sz w:val="18"/>
                    </w:rPr>
                    <w:t>OTE No. 3728166666, serie: 397D170C, Descripción:</w:t>
                  </w:r>
                </w:p>
                <w:p w14:paraId="77AC7836" w14:textId="77777777" w:rsidR="00053D93" w:rsidRDefault="00260B75">
                  <w:pPr>
                    <w:ind w:left="14" w:right="7"/>
                    <w:jc w:val="both"/>
                  </w:pPr>
                  <w:r>
                    <w:rPr>
                      <w:sz w:val="18"/>
                    </w:rPr>
                    <w:t>Compra de boleto aéreo para Karen Andrea Avendaño con ruta Guatemala/ Panamá/ Guatemala del 12 al 18 de noviembre de 2024.</w:t>
                  </w:r>
                </w:p>
              </w:tc>
              <w:tc>
                <w:tcPr>
                  <w:tcW w:w="926" w:type="dxa"/>
                  <w:tcBorders>
                    <w:top w:val="single" w:sz="2" w:space="0" w:color="000000"/>
                    <w:left w:val="single" w:sz="2" w:space="0" w:color="000000"/>
                    <w:bottom w:val="single" w:sz="2" w:space="0" w:color="000000"/>
                    <w:right w:val="single" w:sz="2" w:space="0" w:color="000000"/>
                  </w:tcBorders>
                  <w:vAlign w:val="bottom"/>
                </w:tcPr>
                <w:p w14:paraId="2E8CAE79" w14:textId="77777777" w:rsidR="00053D93" w:rsidRDefault="00260B75">
                  <w:pPr>
                    <w:ind w:left="86"/>
                    <w:jc w:val="center"/>
                  </w:pPr>
                  <w:r>
                    <w:rPr>
                      <w:sz w:val="18"/>
                    </w:rPr>
                    <w:t>10,327.28</w:t>
                  </w:r>
                </w:p>
              </w:tc>
              <w:tc>
                <w:tcPr>
                  <w:tcW w:w="835" w:type="dxa"/>
                  <w:tcBorders>
                    <w:top w:val="single" w:sz="2" w:space="0" w:color="000000"/>
                    <w:left w:val="single" w:sz="2" w:space="0" w:color="000000"/>
                    <w:bottom w:val="single" w:sz="2" w:space="0" w:color="000000"/>
                    <w:right w:val="single" w:sz="2" w:space="0" w:color="000000"/>
                  </w:tcBorders>
                  <w:vAlign w:val="bottom"/>
                </w:tcPr>
                <w:p w14:paraId="660E1F5D" w14:textId="77777777" w:rsidR="00053D93" w:rsidRDefault="00260B75">
                  <w:pPr>
                    <w:ind w:left="67"/>
                    <w:jc w:val="center"/>
                  </w:pPr>
                  <w:r>
                    <w:rPr>
                      <w:sz w:val="16"/>
                    </w:rPr>
                    <w:t>4,780.oo</w:t>
                  </w:r>
                </w:p>
              </w:tc>
              <w:tc>
                <w:tcPr>
                  <w:tcW w:w="893" w:type="dxa"/>
                  <w:tcBorders>
                    <w:top w:val="single" w:sz="2" w:space="0" w:color="000000"/>
                    <w:left w:val="single" w:sz="2" w:space="0" w:color="000000"/>
                    <w:bottom w:val="single" w:sz="2" w:space="0" w:color="000000"/>
                    <w:right w:val="single" w:sz="2" w:space="0" w:color="000000"/>
                  </w:tcBorders>
                  <w:vAlign w:val="bottom"/>
                </w:tcPr>
                <w:p w14:paraId="46D61098" w14:textId="77777777" w:rsidR="00053D93" w:rsidRDefault="00260B75">
                  <w:pPr>
                    <w:ind w:left="158"/>
                  </w:pPr>
                  <w:r>
                    <w:rPr>
                      <w:sz w:val="16"/>
                    </w:rPr>
                    <w:t>5.547.28</w:t>
                  </w:r>
                </w:p>
              </w:tc>
              <w:tc>
                <w:tcPr>
                  <w:tcW w:w="924" w:type="dxa"/>
                  <w:tcBorders>
                    <w:top w:val="nil"/>
                    <w:left w:val="single" w:sz="2" w:space="0" w:color="000000"/>
                    <w:bottom w:val="nil"/>
                    <w:right w:val="nil"/>
                  </w:tcBorders>
                  <w:vAlign w:val="bottom"/>
                </w:tcPr>
                <w:p w14:paraId="1D4780F2" w14:textId="77777777" w:rsidR="00053D93" w:rsidRDefault="00260B75">
                  <w:pPr>
                    <w:ind w:left="36"/>
                  </w:pPr>
                  <w:r>
                    <w:rPr>
                      <w:sz w:val="16"/>
                    </w:rPr>
                    <w:t>1 16.05%</w:t>
                  </w:r>
                </w:p>
              </w:tc>
            </w:tr>
            <w:tr w:rsidR="00053D93" w14:paraId="1A963EED" w14:textId="77777777">
              <w:trPr>
                <w:trHeight w:val="1649"/>
              </w:trPr>
              <w:tc>
                <w:tcPr>
                  <w:tcW w:w="0" w:type="auto"/>
                  <w:vMerge/>
                  <w:tcBorders>
                    <w:top w:val="nil"/>
                    <w:left w:val="nil"/>
                    <w:bottom w:val="nil"/>
                    <w:right w:val="single" w:sz="2" w:space="0" w:color="000000"/>
                  </w:tcBorders>
                </w:tcPr>
                <w:p w14:paraId="08E5157A" w14:textId="77777777" w:rsidR="00053D93" w:rsidRDefault="00053D93"/>
              </w:tc>
              <w:tc>
                <w:tcPr>
                  <w:tcW w:w="389" w:type="dxa"/>
                  <w:tcBorders>
                    <w:top w:val="single" w:sz="2" w:space="0" w:color="000000"/>
                    <w:left w:val="single" w:sz="2" w:space="0" w:color="000000"/>
                    <w:bottom w:val="single" w:sz="2" w:space="0" w:color="000000"/>
                    <w:right w:val="single" w:sz="2" w:space="0" w:color="000000"/>
                  </w:tcBorders>
                </w:tcPr>
                <w:p w14:paraId="577593E1" w14:textId="77777777" w:rsidR="00053D93" w:rsidRDefault="00260B75">
                  <w:pPr>
                    <w:ind w:left="50"/>
                  </w:pPr>
                  <w:r>
                    <w:rPr>
                      <w:sz w:val="18"/>
                    </w:rPr>
                    <w:t>13</w:t>
                  </w:r>
                </w:p>
              </w:tc>
              <w:tc>
                <w:tcPr>
                  <w:tcW w:w="1231" w:type="dxa"/>
                  <w:tcBorders>
                    <w:top w:val="single" w:sz="2" w:space="0" w:color="000000"/>
                    <w:left w:val="single" w:sz="2" w:space="0" w:color="000000"/>
                    <w:bottom w:val="single" w:sz="2" w:space="0" w:color="000000"/>
                    <w:right w:val="single" w:sz="2" w:space="0" w:color="000000"/>
                  </w:tcBorders>
                </w:tcPr>
                <w:p w14:paraId="54B6FF2C" w14:textId="77777777" w:rsidR="00053D93" w:rsidRDefault="00260B75">
                  <w:pPr>
                    <w:ind w:right="5"/>
                    <w:jc w:val="center"/>
                  </w:pPr>
                  <w:r>
                    <w:rPr>
                      <w:sz w:val="16"/>
                    </w:rPr>
                    <w:t>779-2024</w:t>
                  </w:r>
                </w:p>
              </w:tc>
              <w:tc>
                <w:tcPr>
                  <w:tcW w:w="1116" w:type="dxa"/>
                  <w:tcBorders>
                    <w:top w:val="single" w:sz="2" w:space="0" w:color="000000"/>
                    <w:left w:val="single" w:sz="2" w:space="0" w:color="000000"/>
                    <w:bottom w:val="single" w:sz="2" w:space="0" w:color="000000"/>
                    <w:right w:val="single" w:sz="2" w:space="0" w:color="000000"/>
                  </w:tcBorders>
                </w:tcPr>
                <w:p w14:paraId="0B680C0F" w14:textId="77777777" w:rsidR="00053D93" w:rsidRDefault="00260B75">
                  <w:pPr>
                    <w:ind w:left="22" w:right="19"/>
                    <w:jc w:val="both"/>
                  </w:pPr>
                  <w:r>
                    <w:rPr>
                      <w:sz w:val="16"/>
                    </w:rPr>
                    <w:t>entrenador de la disciplina de atletismo</w:t>
                  </w:r>
                </w:p>
              </w:tc>
              <w:tc>
                <w:tcPr>
                  <w:tcW w:w="2307" w:type="dxa"/>
                  <w:tcBorders>
                    <w:top w:val="single" w:sz="2" w:space="0" w:color="000000"/>
                    <w:left w:val="single" w:sz="2" w:space="0" w:color="000000"/>
                    <w:bottom w:val="single" w:sz="2" w:space="0" w:color="000000"/>
                    <w:right w:val="single" w:sz="2" w:space="0" w:color="000000"/>
                  </w:tcBorders>
                </w:tcPr>
                <w:p w14:paraId="31A36375" w14:textId="77777777" w:rsidR="00053D93" w:rsidRDefault="00260B75">
                  <w:pPr>
                    <w:spacing w:line="238" w:lineRule="auto"/>
                    <w:ind w:left="14" w:right="14" w:firstLine="7"/>
                    <w:jc w:val="both"/>
                  </w:pPr>
                  <w:r>
                    <w:rPr>
                      <w:sz w:val="18"/>
                    </w:rPr>
                    <w:t>OTE No. 2185971071, serie: 084E52B8, Descripción: Compra de boleto aéreo para el señor Roberto Bosbelí Miranda Fuentes con ruta</w:t>
                  </w:r>
                </w:p>
                <w:p w14:paraId="642B4855" w14:textId="77777777" w:rsidR="00053D93" w:rsidRDefault="00260B75">
                  <w:pPr>
                    <w:ind w:left="22"/>
                  </w:pPr>
                  <w:r>
                    <w:t>Guatemala/</w:t>
                  </w:r>
                </w:p>
                <w:p w14:paraId="6B82D3FF" w14:textId="77777777" w:rsidR="00053D93" w:rsidRDefault="00260B75">
                  <w:pPr>
                    <w:ind w:left="29" w:hanging="7"/>
                    <w:jc w:val="both"/>
                  </w:pPr>
                  <w:r>
                    <w:rPr>
                      <w:sz w:val="18"/>
                    </w:rPr>
                    <w:t>Panamá/Guatemala del 13 al 18 de noviembre de 2024.</w:t>
                  </w:r>
                </w:p>
              </w:tc>
              <w:tc>
                <w:tcPr>
                  <w:tcW w:w="926" w:type="dxa"/>
                  <w:tcBorders>
                    <w:top w:val="single" w:sz="2" w:space="0" w:color="000000"/>
                    <w:left w:val="single" w:sz="2" w:space="0" w:color="000000"/>
                    <w:bottom w:val="single" w:sz="2" w:space="0" w:color="000000"/>
                    <w:right w:val="single" w:sz="2" w:space="0" w:color="000000"/>
                  </w:tcBorders>
                  <w:vAlign w:val="bottom"/>
                </w:tcPr>
                <w:p w14:paraId="150BC5CA" w14:textId="77777777" w:rsidR="00053D93" w:rsidRDefault="00260B75">
                  <w:pPr>
                    <w:ind w:left="192"/>
                  </w:pPr>
                  <w:r>
                    <w:rPr>
                      <w:sz w:val="18"/>
                    </w:rPr>
                    <w:t>7.883.28</w:t>
                  </w:r>
                </w:p>
              </w:tc>
              <w:tc>
                <w:tcPr>
                  <w:tcW w:w="835" w:type="dxa"/>
                  <w:tcBorders>
                    <w:top w:val="single" w:sz="2" w:space="0" w:color="000000"/>
                    <w:left w:val="single" w:sz="2" w:space="0" w:color="000000"/>
                    <w:bottom w:val="single" w:sz="2" w:space="0" w:color="000000"/>
                    <w:right w:val="single" w:sz="2" w:space="0" w:color="000000"/>
                  </w:tcBorders>
                  <w:vAlign w:val="bottom"/>
                </w:tcPr>
                <w:p w14:paraId="7FAF9C70" w14:textId="77777777" w:rsidR="00053D93" w:rsidRDefault="00260B75">
                  <w:pPr>
                    <w:ind w:left="75"/>
                    <w:jc w:val="center"/>
                  </w:pPr>
                  <w:r>
                    <w:rPr>
                      <w:sz w:val="18"/>
                    </w:rPr>
                    <w:t>4.780.00</w:t>
                  </w:r>
                </w:p>
              </w:tc>
              <w:tc>
                <w:tcPr>
                  <w:tcW w:w="893" w:type="dxa"/>
                  <w:tcBorders>
                    <w:top w:val="single" w:sz="2" w:space="0" w:color="000000"/>
                    <w:left w:val="single" w:sz="2" w:space="0" w:color="000000"/>
                    <w:bottom w:val="single" w:sz="2" w:space="0" w:color="000000"/>
                    <w:right w:val="single" w:sz="2" w:space="0" w:color="000000"/>
                  </w:tcBorders>
                  <w:vAlign w:val="bottom"/>
                </w:tcPr>
                <w:p w14:paraId="0F116E86" w14:textId="77777777" w:rsidR="00053D93" w:rsidRDefault="00260B75">
                  <w:pPr>
                    <w:ind w:left="166"/>
                  </w:pPr>
                  <w:r>
                    <w:rPr>
                      <w:sz w:val="16"/>
                    </w:rPr>
                    <w:t>3,103.28</w:t>
                  </w:r>
                </w:p>
              </w:tc>
              <w:tc>
                <w:tcPr>
                  <w:tcW w:w="924" w:type="dxa"/>
                  <w:tcBorders>
                    <w:top w:val="nil"/>
                    <w:left w:val="single" w:sz="2" w:space="0" w:color="000000"/>
                    <w:bottom w:val="nil"/>
                    <w:right w:val="nil"/>
                  </w:tcBorders>
                  <w:vAlign w:val="bottom"/>
                </w:tcPr>
                <w:p w14:paraId="2AC9CBA5" w14:textId="77777777" w:rsidR="00053D93" w:rsidRDefault="00260B75">
                  <w:pPr>
                    <w:ind w:right="50"/>
                    <w:jc w:val="center"/>
                  </w:pPr>
                  <w:r>
                    <w:rPr>
                      <w:sz w:val="18"/>
                    </w:rPr>
                    <w:t>64.92%</w:t>
                  </w:r>
                </w:p>
              </w:tc>
            </w:tr>
            <w:tr w:rsidR="00053D93" w14:paraId="3EED2780" w14:textId="77777777">
              <w:trPr>
                <w:trHeight w:val="1443"/>
              </w:trPr>
              <w:tc>
                <w:tcPr>
                  <w:tcW w:w="0" w:type="auto"/>
                  <w:vMerge/>
                  <w:tcBorders>
                    <w:top w:val="nil"/>
                    <w:left w:val="nil"/>
                    <w:bottom w:val="nil"/>
                    <w:right w:val="single" w:sz="2" w:space="0" w:color="000000"/>
                  </w:tcBorders>
                </w:tcPr>
                <w:p w14:paraId="10F8D69A" w14:textId="77777777" w:rsidR="00053D93" w:rsidRDefault="00053D93"/>
              </w:tc>
              <w:tc>
                <w:tcPr>
                  <w:tcW w:w="389" w:type="dxa"/>
                  <w:tcBorders>
                    <w:top w:val="single" w:sz="2" w:space="0" w:color="000000"/>
                    <w:left w:val="single" w:sz="2" w:space="0" w:color="000000"/>
                    <w:bottom w:val="single" w:sz="2" w:space="0" w:color="000000"/>
                    <w:right w:val="single" w:sz="2" w:space="0" w:color="000000"/>
                  </w:tcBorders>
                </w:tcPr>
                <w:p w14:paraId="354D96E1" w14:textId="77777777" w:rsidR="00053D93" w:rsidRDefault="00260B75">
                  <w:pPr>
                    <w:ind w:left="3"/>
                    <w:jc w:val="center"/>
                  </w:pPr>
                  <w:r>
                    <w:rPr>
                      <w:sz w:val="16"/>
                    </w:rPr>
                    <w:t>14</w:t>
                  </w:r>
                </w:p>
              </w:tc>
              <w:tc>
                <w:tcPr>
                  <w:tcW w:w="1231" w:type="dxa"/>
                  <w:tcBorders>
                    <w:top w:val="single" w:sz="2" w:space="0" w:color="000000"/>
                    <w:left w:val="single" w:sz="2" w:space="0" w:color="000000"/>
                    <w:bottom w:val="single" w:sz="2" w:space="0" w:color="000000"/>
                    <w:right w:val="single" w:sz="2" w:space="0" w:color="000000"/>
                  </w:tcBorders>
                </w:tcPr>
                <w:p w14:paraId="7CA213C5" w14:textId="77777777" w:rsidR="00053D93" w:rsidRDefault="00260B75">
                  <w:pPr>
                    <w:ind w:left="3"/>
                    <w:jc w:val="center"/>
                  </w:pPr>
                  <w:r>
                    <w:rPr>
                      <w:sz w:val="18"/>
                    </w:rPr>
                    <w:t>787-2024</w:t>
                  </w:r>
                </w:p>
              </w:tc>
              <w:tc>
                <w:tcPr>
                  <w:tcW w:w="1116" w:type="dxa"/>
                  <w:tcBorders>
                    <w:top w:val="single" w:sz="2" w:space="0" w:color="000000"/>
                    <w:left w:val="single" w:sz="2" w:space="0" w:color="000000"/>
                    <w:bottom w:val="single" w:sz="2" w:space="0" w:color="000000"/>
                    <w:right w:val="single" w:sz="2" w:space="0" w:color="000000"/>
                  </w:tcBorders>
                </w:tcPr>
                <w:p w14:paraId="70DD6B31" w14:textId="77777777" w:rsidR="00053D93" w:rsidRDefault="00260B75">
                  <w:pPr>
                    <w:ind w:right="12"/>
                    <w:jc w:val="right"/>
                  </w:pPr>
                  <w:r>
                    <w:rPr>
                      <w:sz w:val="20"/>
                    </w:rPr>
                    <w:t>de</w:t>
                  </w:r>
                </w:p>
                <w:p w14:paraId="7966361A" w14:textId="77777777" w:rsidR="00053D93" w:rsidRDefault="00260B75">
                  <w:pPr>
                    <w:ind w:left="29"/>
                  </w:pPr>
                  <w:r>
                    <w:rPr>
                      <w:sz w:val="16"/>
                    </w:rPr>
                    <w:t>Misión</w:t>
                  </w:r>
                </w:p>
              </w:tc>
              <w:tc>
                <w:tcPr>
                  <w:tcW w:w="2307" w:type="dxa"/>
                  <w:tcBorders>
                    <w:top w:val="single" w:sz="2" w:space="0" w:color="000000"/>
                    <w:left w:val="single" w:sz="2" w:space="0" w:color="000000"/>
                    <w:bottom w:val="single" w:sz="2" w:space="0" w:color="000000"/>
                    <w:right w:val="single" w:sz="2" w:space="0" w:color="000000"/>
                  </w:tcBorders>
                </w:tcPr>
                <w:p w14:paraId="613674A9" w14:textId="77777777" w:rsidR="00053D93" w:rsidRDefault="00260B75">
                  <w:pPr>
                    <w:spacing w:line="262" w:lineRule="auto"/>
                    <w:ind w:left="22"/>
                    <w:jc w:val="both"/>
                  </w:pPr>
                  <w:r>
                    <w:rPr>
                      <w:sz w:val="18"/>
                    </w:rPr>
                    <w:t>OTE No. 529222246, serie: 7CAOC66C, Descripción:</w:t>
                  </w:r>
                </w:p>
                <w:p w14:paraId="012662EC" w14:textId="77777777" w:rsidR="00053D93" w:rsidRDefault="00260B75">
                  <w:pPr>
                    <w:ind w:left="22"/>
                  </w:pPr>
                  <w:r>
                    <w:rPr>
                      <w:sz w:val="18"/>
                    </w:rPr>
                    <w:t>Compra de boleto aéreo para</w:t>
                  </w:r>
                </w:p>
                <w:p w14:paraId="38AD9DF3" w14:textId="77777777" w:rsidR="00053D93" w:rsidRDefault="00260B75">
                  <w:pPr>
                    <w:spacing w:after="9"/>
                    <w:ind w:left="14"/>
                  </w:pPr>
                  <w:r>
                    <w:rPr>
                      <w:sz w:val="18"/>
                    </w:rPr>
                    <w:t>Aleida Larisa Merida con ruta</w:t>
                  </w:r>
                </w:p>
                <w:p w14:paraId="77913F2E" w14:textId="77777777" w:rsidR="00053D93" w:rsidRDefault="00260B75">
                  <w:pPr>
                    <w:tabs>
                      <w:tab w:val="right" w:pos="2174"/>
                    </w:tabs>
                  </w:pPr>
                  <w:r>
                    <w:rPr>
                      <w:sz w:val="18"/>
                    </w:rPr>
                    <w:t>Guatemala/</w:t>
                  </w:r>
                  <w:r>
                    <w:rPr>
                      <w:sz w:val="18"/>
                    </w:rPr>
                    <w:tab/>
                    <w:t>Panamá/</w:t>
                  </w:r>
                </w:p>
                <w:p w14:paraId="1A31AD17" w14:textId="77777777" w:rsidR="00053D93" w:rsidRDefault="00260B75">
                  <w:pPr>
                    <w:ind w:left="22"/>
                    <w:jc w:val="both"/>
                  </w:pPr>
                  <w:r>
                    <w:rPr>
                      <w:sz w:val="18"/>
                    </w:rPr>
                    <w:t>Guatemala del 12 a' 18 de noviembre de 2024.</w:t>
                  </w:r>
                </w:p>
              </w:tc>
              <w:tc>
                <w:tcPr>
                  <w:tcW w:w="926" w:type="dxa"/>
                  <w:tcBorders>
                    <w:top w:val="single" w:sz="2" w:space="0" w:color="000000"/>
                    <w:left w:val="single" w:sz="2" w:space="0" w:color="000000"/>
                    <w:bottom w:val="single" w:sz="2" w:space="0" w:color="000000"/>
                    <w:right w:val="single" w:sz="2" w:space="0" w:color="000000"/>
                  </w:tcBorders>
                  <w:vAlign w:val="bottom"/>
                </w:tcPr>
                <w:p w14:paraId="7ECA1C0D" w14:textId="77777777" w:rsidR="00053D93" w:rsidRDefault="00260B75">
                  <w:pPr>
                    <w:ind w:left="108"/>
                    <w:jc w:val="center"/>
                  </w:pPr>
                  <w:r>
                    <w:rPr>
                      <w:sz w:val="18"/>
                    </w:rPr>
                    <w:t>10,327.28</w:t>
                  </w:r>
                </w:p>
              </w:tc>
              <w:tc>
                <w:tcPr>
                  <w:tcW w:w="835" w:type="dxa"/>
                  <w:tcBorders>
                    <w:top w:val="single" w:sz="2" w:space="0" w:color="000000"/>
                    <w:left w:val="single" w:sz="2" w:space="0" w:color="000000"/>
                    <w:bottom w:val="single" w:sz="2" w:space="0" w:color="000000"/>
                    <w:right w:val="single" w:sz="2" w:space="0" w:color="000000"/>
                  </w:tcBorders>
                  <w:vAlign w:val="bottom"/>
                </w:tcPr>
                <w:p w14:paraId="2AA3109E" w14:textId="77777777" w:rsidR="00053D93" w:rsidRDefault="00260B75">
                  <w:pPr>
                    <w:ind w:left="89"/>
                    <w:jc w:val="center"/>
                  </w:pPr>
                  <w:r>
                    <w:rPr>
                      <w:sz w:val="18"/>
                    </w:rPr>
                    <w:t>4.780.00</w:t>
                  </w:r>
                </w:p>
              </w:tc>
              <w:tc>
                <w:tcPr>
                  <w:tcW w:w="893" w:type="dxa"/>
                  <w:tcBorders>
                    <w:top w:val="single" w:sz="2" w:space="0" w:color="000000"/>
                    <w:left w:val="single" w:sz="2" w:space="0" w:color="000000"/>
                    <w:bottom w:val="single" w:sz="2" w:space="0" w:color="000000"/>
                    <w:right w:val="single" w:sz="2" w:space="0" w:color="000000"/>
                  </w:tcBorders>
                  <w:vAlign w:val="bottom"/>
                </w:tcPr>
                <w:p w14:paraId="4CC13478" w14:textId="77777777" w:rsidR="00053D93" w:rsidRDefault="00260B75">
                  <w:pPr>
                    <w:ind w:left="173"/>
                  </w:pPr>
                  <w:r>
                    <w:rPr>
                      <w:sz w:val="16"/>
                    </w:rPr>
                    <w:t>5,547.28</w:t>
                  </w:r>
                </w:p>
              </w:tc>
              <w:tc>
                <w:tcPr>
                  <w:tcW w:w="924" w:type="dxa"/>
                  <w:tcBorders>
                    <w:top w:val="nil"/>
                    <w:left w:val="single" w:sz="2" w:space="0" w:color="000000"/>
                    <w:bottom w:val="nil"/>
                    <w:right w:val="nil"/>
                  </w:tcBorders>
                  <w:vAlign w:val="bottom"/>
                </w:tcPr>
                <w:p w14:paraId="2B06CCD7" w14:textId="77777777" w:rsidR="00053D93" w:rsidRDefault="00260B75">
                  <w:pPr>
                    <w:ind w:left="43"/>
                  </w:pPr>
                  <w:r>
                    <w:rPr>
                      <w:sz w:val="16"/>
                    </w:rPr>
                    <w:t>116.050/0</w:t>
                  </w:r>
                </w:p>
              </w:tc>
            </w:tr>
            <w:tr w:rsidR="00053D93" w14:paraId="315E3579" w14:textId="77777777">
              <w:trPr>
                <w:trHeight w:val="1447"/>
              </w:trPr>
              <w:tc>
                <w:tcPr>
                  <w:tcW w:w="0" w:type="auto"/>
                  <w:vMerge/>
                  <w:tcBorders>
                    <w:top w:val="nil"/>
                    <w:left w:val="nil"/>
                    <w:bottom w:val="nil"/>
                    <w:right w:val="single" w:sz="2" w:space="0" w:color="000000"/>
                  </w:tcBorders>
                </w:tcPr>
                <w:p w14:paraId="2B1139B6" w14:textId="77777777" w:rsidR="00053D93" w:rsidRDefault="00053D93"/>
              </w:tc>
              <w:tc>
                <w:tcPr>
                  <w:tcW w:w="389" w:type="dxa"/>
                  <w:tcBorders>
                    <w:top w:val="single" w:sz="2" w:space="0" w:color="000000"/>
                    <w:left w:val="single" w:sz="2" w:space="0" w:color="000000"/>
                    <w:bottom w:val="single" w:sz="2" w:space="0" w:color="000000"/>
                    <w:right w:val="single" w:sz="2" w:space="0" w:color="000000"/>
                  </w:tcBorders>
                </w:tcPr>
                <w:p w14:paraId="4EDFB749" w14:textId="77777777" w:rsidR="00053D93" w:rsidRDefault="00260B75">
                  <w:pPr>
                    <w:ind w:left="3"/>
                    <w:jc w:val="center"/>
                  </w:pPr>
                  <w:r>
                    <w:rPr>
                      <w:sz w:val="18"/>
                    </w:rPr>
                    <w:t>15</w:t>
                  </w:r>
                </w:p>
              </w:tc>
              <w:tc>
                <w:tcPr>
                  <w:tcW w:w="1231" w:type="dxa"/>
                  <w:tcBorders>
                    <w:top w:val="single" w:sz="2" w:space="0" w:color="000000"/>
                    <w:left w:val="single" w:sz="2" w:space="0" w:color="000000"/>
                    <w:bottom w:val="single" w:sz="2" w:space="0" w:color="000000"/>
                    <w:right w:val="single" w:sz="2" w:space="0" w:color="000000"/>
                  </w:tcBorders>
                </w:tcPr>
                <w:p w14:paraId="77873FE3" w14:textId="77777777" w:rsidR="00053D93" w:rsidRDefault="00260B75">
                  <w:pPr>
                    <w:ind w:left="3"/>
                    <w:jc w:val="center"/>
                  </w:pPr>
                  <w:r>
                    <w:rPr>
                      <w:sz w:val="18"/>
                    </w:rPr>
                    <w:t>777-2024</w:t>
                  </w:r>
                </w:p>
              </w:tc>
              <w:tc>
                <w:tcPr>
                  <w:tcW w:w="1116" w:type="dxa"/>
                  <w:tcBorders>
                    <w:top w:val="single" w:sz="2" w:space="0" w:color="000000"/>
                    <w:left w:val="single" w:sz="2" w:space="0" w:color="000000"/>
                    <w:bottom w:val="single" w:sz="2" w:space="0" w:color="000000"/>
                    <w:right w:val="single" w:sz="2" w:space="0" w:color="000000"/>
                  </w:tcBorders>
                </w:tcPr>
                <w:p w14:paraId="1AAAD58A" w14:textId="77777777" w:rsidR="00053D93" w:rsidRDefault="00260B75">
                  <w:pPr>
                    <w:ind w:left="22" w:right="12" w:firstLine="7"/>
                    <w:jc w:val="both"/>
                  </w:pPr>
                  <w:r>
                    <w:rPr>
                      <w:sz w:val="18"/>
                    </w:rPr>
                    <w:t>Miembro de la comisión técnica del CODICADER</w:t>
                  </w:r>
                </w:p>
              </w:tc>
              <w:tc>
                <w:tcPr>
                  <w:tcW w:w="2307" w:type="dxa"/>
                  <w:tcBorders>
                    <w:top w:val="single" w:sz="2" w:space="0" w:color="000000"/>
                    <w:left w:val="single" w:sz="2" w:space="0" w:color="000000"/>
                    <w:bottom w:val="single" w:sz="2" w:space="0" w:color="000000"/>
                    <w:right w:val="single" w:sz="2" w:space="0" w:color="000000"/>
                  </w:tcBorders>
                </w:tcPr>
                <w:p w14:paraId="26CEBC2B" w14:textId="77777777" w:rsidR="00053D93" w:rsidRDefault="00260B75">
                  <w:pPr>
                    <w:ind w:left="22" w:firstLine="7"/>
                    <w:jc w:val="both"/>
                  </w:pPr>
                  <w:r>
                    <w:rPr>
                      <w:sz w:val="18"/>
                    </w:rPr>
                    <w:t>OTE No. 2025279306, serie: FAC11D50, Descripción: Compra de boleto aéreo para el señor Carlos Leonel Gatica con ruta Guatemala/ Panamá/Guatemala del 12 al 18 de noviembre de 2024.</w:t>
                  </w:r>
                </w:p>
              </w:tc>
              <w:tc>
                <w:tcPr>
                  <w:tcW w:w="926" w:type="dxa"/>
                  <w:tcBorders>
                    <w:top w:val="single" w:sz="2" w:space="0" w:color="000000"/>
                    <w:left w:val="single" w:sz="2" w:space="0" w:color="000000"/>
                    <w:bottom w:val="single" w:sz="2" w:space="0" w:color="000000"/>
                    <w:right w:val="single" w:sz="2" w:space="0" w:color="000000"/>
                  </w:tcBorders>
                  <w:vAlign w:val="bottom"/>
                </w:tcPr>
                <w:p w14:paraId="64157777" w14:textId="77777777" w:rsidR="00053D93" w:rsidRDefault="00260B75">
                  <w:pPr>
                    <w:ind w:left="127"/>
                  </w:pPr>
                  <w:r>
                    <w:rPr>
                      <w:sz w:val="18"/>
                    </w:rPr>
                    <w:t>10,327.28</w:t>
                  </w:r>
                </w:p>
              </w:tc>
              <w:tc>
                <w:tcPr>
                  <w:tcW w:w="835" w:type="dxa"/>
                  <w:tcBorders>
                    <w:top w:val="single" w:sz="2" w:space="0" w:color="000000"/>
                    <w:left w:val="single" w:sz="2" w:space="0" w:color="000000"/>
                    <w:bottom w:val="single" w:sz="2" w:space="0" w:color="000000"/>
                    <w:right w:val="single" w:sz="2" w:space="0" w:color="000000"/>
                  </w:tcBorders>
                  <w:vAlign w:val="bottom"/>
                </w:tcPr>
                <w:p w14:paraId="2694F2C3" w14:textId="77777777" w:rsidR="00053D93" w:rsidRDefault="00260B75">
                  <w:pPr>
                    <w:ind w:left="103"/>
                    <w:jc w:val="center"/>
                  </w:pPr>
                  <w:r>
                    <w:rPr>
                      <w:sz w:val="18"/>
                    </w:rPr>
                    <w:t>4.780.00</w:t>
                  </w:r>
                </w:p>
              </w:tc>
              <w:tc>
                <w:tcPr>
                  <w:tcW w:w="893" w:type="dxa"/>
                  <w:tcBorders>
                    <w:top w:val="single" w:sz="2" w:space="0" w:color="000000"/>
                    <w:left w:val="single" w:sz="2" w:space="0" w:color="000000"/>
                    <w:bottom w:val="single" w:sz="2" w:space="0" w:color="000000"/>
                    <w:right w:val="single" w:sz="2" w:space="0" w:color="000000"/>
                  </w:tcBorders>
                  <w:vAlign w:val="bottom"/>
                </w:tcPr>
                <w:p w14:paraId="3B31F736" w14:textId="77777777" w:rsidR="00053D93" w:rsidRDefault="00260B75">
                  <w:pPr>
                    <w:ind w:left="180"/>
                  </w:pPr>
                  <w:r>
                    <w:rPr>
                      <w:sz w:val="16"/>
                    </w:rPr>
                    <w:t>5.547.28</w:t>
                  </w:r>
                </w:p>
              </w:tc>
              <w:tc>
                <w:tcPr>
                  <w:tcW w:w="924" w:type="dxa"/>
                  <w:tcBorders>
                    <w:top w:val="nil"/>
                    <w:left w:val="single" w:sz="2" w:space="0" w:color="000000"/>
                    <w:bottom w:val="nil"/>
                    <w:right w:val="nil"/>
                  </w:tcBorders>
                  <w:vAlign w:val="bottom"/>
                </w:tcPr>
                <w:p w14:paraId="06E59A54" w14:textId="77777777" w:rsidR="00053D93" w:rsidRDefault="00260B75">
                  <w:pPr>
                    <w:ind w:left="50"/>
                  </w:pPr>
                  <w:r>
                    <w:rPr>
                      <w:sz w:val="18"/>
                    </w:rPr>
                    <w:t>116.05%</w:t>
                  </w:r>
                </w:p>
              </w:tc>
            </w:tr>
            <w:tr w:rsidR="00053D93" w14:paraId="25DAB715" w14:textId="77777777">
              <w:trPr>
                <w:trHeight w:val="259"/>
              </w:trPr>
              <w:tc>
                <w:tcPr>
                  <w:tcW w:w="0" w:type="auto"/>
                  <w:vMerge/>
                  <w:tcBorders>
                    <w:top w:val="nil"/>
                    <w:left w:val="nil"/>
                    <w:bottom w:val="nil"/>
                    <w:right w:val="single" w:sz="2" w:space="0" w:color="000000"/>
                  </w:tcBorders>
                </w:tcPr>
                <w:p w14:paraId="06363C33" w14:textId="77777777" w:rsidR="00053D93" w:rsidRDefault="00053D93"/>
              </w:tc>
              <w:tc>
                <w:tcPr>
                  <w:tcW w:w="5043" w:type="dxa"/>
                  <w:gridSpan w:val="4"/>
                  <w:tcBorders>
                    <w:top w:val="single" w:sz="2" w:space="0" w:color="000000"/>
                    <w:left w:val="single" w:sz="2" w:space="0" w:color="000000"/>
                    <w:bottom w:val="single" w:sz="2" w:space="0" w:color="000000"/>
                    <w:right w:val="single" w:sz="2" w:space="0" w:color="000000"/>
                  </w:tcBorders>
                </w:tcPr>
                <w:p w14:paraId="69B030D0" w14:textId="77777777" w:rsidR="00053D93" w:rsidRDefault="00260B75">
                  <w:pPr>
                    <w:ind w:left="14"/>
                  </w:pPr>
                  <w:r>
                    <w:rPr>
                      <w:sz w:val="18"/>
                    </w:rPr>
                    <w:t>Total:</w:t>
                  </w:r>
                </w:p>
              </w:tc>
              <w:tc>
                <w:tcPr>
                  <w:tcW w:w="926" w:type="dxa"/>
                  <w:tcBorders>
                    <w:top w:val="single" w:sz="2" w:space="0" w:color="000000"/>
                    <w:left w:val="single" w:sz="2" w:space="0" w:color="000000"/>
                    <w:bottom w:val="single" w:sz="2" w:space="0" w:color="000000"/>
                    <w:right w:val="single" w:sz="2" w:space="0" w:color="000000"/>
                  </w:tcBorders>
                </w:tcPr>
                <w:p w14:paraId="274D95EC" w14:textId="77777777" w:rsidR="00053D93" w:rsidRDefault="00260B75">
                  <w:pPr>
                    <w:ind w:left="33"/>
                  </w:pPr>
                  <w:r>
                    <w:rPr>
                      <w:sz w:val="18"/>
                    </w:rPr>
                    <w:t>127,061.19</w:t>
                  </w:r>
                </w:p>
              </w:tc>
              <w:tc>
                <w:tcPr>
                  <w:tcW w:w="835" w:type="dxa"/>
                  <w:tcBorders>
                    <w:top w:val="single" w:sz="2" w:space="0" w:color="000000"/>
                    <w:left w:val="single" w:sz="2" w:space="0" w:color="000000"/>
                    <w:bottom w:val="single" w:sz="2" w:space="0" w:color="000000"/>
                    <w:right w:val="single" w:sz="2" w:space="0" w:color="000000"/>
                  </w:tcBorders>
                </w:tcPr>
                <w:p w14:paraId="667D49F6" w14:textId="77777777" w:rsidR="00053D93" w:rsidRDefault="00260B75">
                  <w:pPr>
                    <w:ind w:left="29"/>
                  </w:pPr>
                  <w:r>
                    <w:rPr>
                      <w:sz w:val="16"/>
                    </w:rPr>
                    <w:t>71,700.oo</w:t>
                  </w:r>
                </w:p>
              </w:tc>
              <w:tc>
                <w:tcPr>
                  <w:tcW w:w="893" w:type="dxa"/>
                  <w:tcBorders>
                    <w:top w:val="single" w:sz="2" w:space="0" w:color="000000"/>
                    <w:left w:val="single" w:sz="2" w:space="0" w:color="000000"/>
                    <w:bottom w:val="single" w:sz="2" w:space="0" w:color="000000"/>
                    <w:right w:val="single" w:sz="2" w:space="0" w:color="000000"/>
                  </w:tcBorders>
                </w:tcPr>
                <w:p w14:paraId="6F8B4A4A" w14:textId="77777777" w:rsidR="00053D93" w:rsidRDefault="00260B75">
                  <w:pPr>
                    <w:ind w:left="89"/>
                    <w:jc w:val="center"/>
                  </w:pPr>
                  <w:r>
                    <w:rPr>
                      <w:sz w:val="16"/>
                    </w:rPr>
                    <w:t>56,361.19</w:t>
                  </w:r>
                </w:p>
              </w:tc>
              <w:tc>
                <w:tcPr>
                  <w:tcW w:w="924" w:type="dxa"/>
                  <w:tcBorders>
                    <w:top w:val="nil"/>
                    <w:left w:val="single" w:sz="2" w:space="0" w:color="000000"/>
                    <w:bottom w:val="nil"/>
                    <w:right w:val="nil"/>
                  </w:tcBorders>
                </w:tcPr>
                <w:p w14:paraId="4DADF69D" w14:textId="77777777" w:rsidR="00053D93" w:rsidRDefault="00260B75">
                  <w:pPr>
                    <w:ind w:right="22"/>
                    <w:jc w:val="center"/>
                  </w:pPr>
                  <w:r>
                    <w:rPr>
                      <w:sz w:val="14"/>
                    </w:rPr>
                    <w:t>77.210/0</w:t>
                  </w:r>
                </w:p>
              </w:tc>
            </w:tr>
          </w:tbl>
          <w:p w14:paraId="52AE767F" w14:textId="77777777" w:rsidR="00053D93" w:rsidRDefault="00053D93"/>
        </w:tc>
      </w:tr>
    </w:tbl>
    <w:p w14:paraId="743160E2" w14:textId="77777777" w:rsidR="00053D93" w:rsidRDefault="00260B75">
      <w:pPr>
        <w:spacing w:after="0" w:line="271" w:lineRule="auto"/>
        <w:ind w:left="1015" w:right="7" w:firstLine="4"/>
        <w:jc w:val="both"/>
      </w:pPr>
      <w:r>
        <w:rPr>
          <w:noProof/>
        </w:rPr>
        <w:drawing>
          <wp:anchor distT="0" distB="0" distL="114300" distR="114300" simplePos="0" relativeHeight="252114944" behindDoc="0" locked="0" layoutInCell="1" allowOverlap="0" wp14:anchorId="5B9AEF5A" wp14:editId="61DD3BF7">
            <wp:simplePos x="0" y="0"/>
            <wp:positionH relativeFrom="page">
              <wp:posOffset>7260337</wp:posOffset>
            </wp:positionH>
            <wp:positionV relativeFrom="page">
              <wp:posOffset>772668</wp:posOffset>
            </wp:positionV>
            <wp:extent cx="393192" cy="13716"/>
            <wp:effectExtent l="0" t="0" r="0" b="0"/>
            <wp:wrapTopAndBottom/>
            <wp:docPr id="884673" name="Picture 884673"/>
            <wp:cNvGraphicFramePr/>
            <a:graphic xmlns:a="http://schemas.openxmlformats.org/drawingml/2006/main">
              <a:graphicData uri="http://schemas.openxmlformats.org/drawingml/2006/picture">
                <pic:pic xmlns:pic="http://schemas.openxmlformats.org/drawingml/2006/picture">
                  <pic:nvPicPr>
                    <pic:cNvPr id="884673" name="Picture 884673"/>
                    <pic:cNvPicPr/>
                  </pic:nvPicPr>
                  <pic:blipFill>
                    <a:blip r:embed="rId1220"/>
                    <a:stretch>
                      <a:fillRect/>
                    </a:stretch>
                  </pic:blipFill>
                  <pic:spPr>
                    <a:xfrm>
                      <a:off x="0" y="0"/>
                      <a:ext cx="393192" cy="13716"/>
                    </a:xfrm>
                    <a:prstGeom prst="rect">
                      <a:avLst/>
                    </a:prstGeom>
                  </pic:spPr>
                </pic:pic>
              </a:graphicData>
            </a:graphic>
          </wp:anchor>
        </w:drawing>
      </w:r>
      <w:r>
        <w:rPr>
          <w:sz w:val="20"/>
        </w:rPr>
        <w:t>Fuente: Elaboración propia con base en el COR 5582 del 12 de diciembre de 2024 y liquidaciones de viáticos</w:t>
      </w:r>
    </w:p>
    <w:tbl>
      <w:tblPr>
        <w:tblStyle w:val="TableGrid"/>
        <w:tblW w:w="9418" w:type="dxa"/>
        <w:tblInd w:w="65" w:type="dxa"/>
        <w:tblLook w:val="04A0" w:firstRow="1" w:lastRow="0" w:firstColumn="1" w:lastColumn="0" w:noHBand="0" w:noVBand="1"/>
      </w:tblPr>
      <w:tblGrid>
        <w:gridCol w:w="1771"/>
        <w:gridCol w:w="10527"/>
      </w:tblGrid>
      <w:tr w:rsidR="00053D93" w14:paraId="4126C0E2" w14:textId="77777777">
        <w:trPr>
          <w:trHeight w:val="641"/>
        </w:trPr>
        <w:tc>
          <w:tcPr>
            <w:tcW w:w="1788" w:type="dxa"/>
            <w:tcBorders>
              <w:top w:val="nil"/>
              <w:left w:val="nil"/>
              <w:bottom w:val="nil"/>
              <w:right w:val="nil"/>
            </w:tcBorders>
          </w:tcPr>
          <w:p w14:paraId="255EC533" w14:textId="77777777" w:rsidR="00053D93" w:rsidRDefault="00260B75">
            <w:r>
              <w:rPr>
                <w:noProof/>
              </w:rPr>
              <w:drawing>
                <wp:inline distT="0" distB="0" distL="0" distR="0" wp14:anchorId="7F525EA0" wp14:editId="16050F8C">
                  <wp:extent cx="1124712" cy="406909"/>
                  <wp:effectExtent l="0" t="0" r="0" b="0"/>
                  <wp:docPr id="884674" name="Picture 884674"/>
                  <wp:cNvGraphicFramePr/>
                  <a:graphic xmlns:a="http://schemas.openxmlformats.org/drawingml/2006/main">
                    <a:graphicData uri="http://schemas.openxmlformats.org/drawingml/2006/picture">
                      <pic:pic xmlns:pic="http://schemas.openxmlformats.org/drawingml/2006/picture">
                        <pic:nvPicPr>
                          <pic:cNvPr id="884674" name="Picture 884674"/>
                          <pic:cNvPicPr/>
                        </pic:nvPicPr>
                        <pic:blipFill>
                          <a:blip r:embed="rId1221"/>
                          <a:stretch>
                            <a:fillRect/>
                          </a:stretch>
                        </pic:blipFill>
                        <pic:spPr>
                          <a:xfrm>
                            <a:off x="0" y="0"/>
                            <a:ext cx="1124712" cy="406909"/>
                          </a:xfrm>
                          <a:prstGeom prst="rect">
                            <a:avLst/>
                          </a:prstGeom>
                        </pic:spPr>
                      </pic:pic>
                    </a:graphicData>
                  </a:graphic>
                </wp:inline>
              </w:drawing>
            </w:r>
          </w:p>
        </w:tc>
        <w:tc>
          <w:tcPr>
            <w:tcW w:w="7630" w:type="dxa"/>
            <w:tcBorders>
              <w:top w:val="nil"/>
              <w:left w:val="nil"/>
              <w:bottom w:val="nil"/>
              <w:right w:val="nil"/>
            </w:tcBorders>
          </w:tcPr>
          <w:p w14:paraId="3FBFFC2F" w14:textId="77777777" w:rsidR="00053D93" w:rsidRDefault="00053D93">
            <w:pPr>
              <w:ind w:left="-2897" w:right="10526"/>
            </w:pPr>
          </w:p>
          <w:tbl>
            <w:tblPr>
              <w:tblStyle w:val="TableGrid"/>
              <w:tblW w:w="7613" w:type="dxa"/>
              <w:tblInd w:w="17" w:type="dxa"/>
              <w:tblCellMar>
                <w:top w:w="18" w:type="dxa"/>
                <w:left w:w="1738" w:type="dxa"/>
                <w:right w:w="115" w:type="dxa"/>
              </w:tblCellMar>
              <w:tblLook w:val="04A0" w:firstRow="1" w:lastRow="0" w:firstColumn="1" w:lastColumn="0" w:noHBand="0" w:noVBand="1"/>
            </w:tblPr>
            <w:tblGrid>
              <w:gridCol w:w="7613"/>
            </w:tblGrid>
            <w:tr w:rsidR="00053D93" w14:paraId="3C384DFA" w14:textId="77777777">
              <w:trPr>
                <w:trHeight w:val="608"/>
              </w:trPr>
              <w:tc>
                <w:tcPr>
                  <w:tcW w:w="7613" w:type="dxa"/>
                  <w:tcBorders>
                    <w:top w:val="single" w:sz="2" w:space="0" w:color="000000"/>
                    <w:left w:val="single" w:sz="2" w:space="0" w:color="000000"/>
                    <w:bottom w:val="nil"/>
                    <w:right w:val="nil"/>
                  </w:tcBorders>
                </w:tcPr>
                <w:p w14:paraId="433A7BEE" w14:textId="77777777" w:rsidR="00053D93" w:rsidRDefault="00260B75">
                  <w:pPr>
                    <w:ind w:left="835"/>
                  </w:pPr>
                  <w:r>
                    <w:rPr>
                      <w:sz w:val="14"/>
                    </w:rPr>
                    <w:t>MINISTERIO DE EDUCACION</w:t>
                  </w:r>
                </w:p>
                <w:p w14:paraId="35B11FAB" w14:textId="77777777" w:rsidR="00053D93" w:rsidRDefault="00260B75">
                  <w:pPr>
                    <w:ind w:left="338"/>
                  </w:pPr>
                  <w:r>
                    <w:rPr>
                      <w:sz w:val="14"/>
                    </w:rPr>
                    <w:t>AUDITORIA FINANCIERA Y DE CUMPLIMIENTO</w:t>
                  </w:r>
                </w:p>
                <w:p w14:paraId="6718C487" w14:textId="77777777" w:rsidR="00053D93" w:rsidRDefault="00260B75">
                  <w:r>
                    <w:rPr>
                      <w:sz w:val="14"/>
                    </w:rPr>
                    <w:t>PERIODO DEL DE ENERO AL 31 DICIEMBRE OE 2024</w:t>
                  </w:r>
                </w:p>
              </w:tc>
            </w:tr>
          </w:tbl>
          <w:p w14:paraId="57144EFA" w14:textId="77777777" w:rsidR="00053D93" w:rsidRDefault="00053D93"/>
        </w:tc>
      </w:tr>
    </w:tbl>
    <w:p w14:paraId="06C285CE" w14:textId="77777777" w:rsidR="00053D93" w:rsidRDefault="00053D93">
      <w:pPr>
        <w:sectPr w:rsidR="00053D93">
          <w:headerReference w:type="even" r:id="rId1222"/>
          <w:headerReference w:type="default" r:id="rId1223"/>
          <w:footerReference w:type="even" r:id="rId1224"/>
          <w:footerReference w:type="default" r:id="rId1225"/>
          <w:headerReference w:type="first" r:id="rId1226"/>
          <w:footerReference w:type="first" r:id="rId1227"/>
          <w:pgSz w:w="12290" w:h="15883"/>
          <w:pgMar w:top="698" w:right="1778" w:bottom="713" w:left="1044" w:header="655" w:footer="720" w:gutter="0"/>
          <w:cols w:space="720"/>
          <w:titlePg/>
        </w:sectPr>
      </w:pPr>
    </w:p>
    <w:p w14:paraId="6F93F24B" w14:textId="77777777" w:rsidR="00053D93" w:rsidRDefault="00260B75">
      <w:pPr>
        <w:spacing w:after="3" w:line="265" w:lineRule="auto"/>
        <w:ind w:left="60" w:right="65" w:hanging="10"/>
      </w:pPr>
      <w:r>
        <w:rPr>
          <w:sz w:val="66"/>
        </w:rPr>
        <w:t>1</w:t>
      </w:r>
      <w:r>
        <w:rPr>
          <w:noProof/>
        </w:rPr>
        <w:drawing>
          <wp:inline distT="0" distB="0" distL="0" distR="0" wp14:anchorId="5B32253B" wp14:editId="2DCB2B31">
            <wp:extent cx="13716" cy="9144"/>
            <wp:effectExtent l="0" t="0" r="0" b="0"/>
            <wp:docPr id="888388" name="Picture 888388"/>
            <wp:cNvGraphicFramePr/>
            <a:graphic xmlns:a="http://schemas.openxmlformats.org/drawingml/2006/main">
              <a:graphicData uri="http://schemas.openxmlformats.org/drawingml/2006/picture">
                <pic:pic xmlns:pic="http://schemas.openxmlformats.org/drawingml/2006/picture">
                  <pic:nvPicPr>
                    <pic:cNvPr id="888388" name="Picture 888388"/>
                    <pic:cNvPicPr/>
                  </pic:nvPicPr>
                  <pic:blipFill>
                    <a:blip r:embed="rId1228"/>
                    <a:stretch>
                      <a:fillRect/>
                    </a:stretch>
                  </pic:blipFill>
                  <pic:spPr>
                    <a:xfrm>
                      <a:off x="0" y="0"/>
                      <a:ext cx="13716" cy="9144"/>
                    </a:xfrm>
                    <a:prstGeom prst="rect">
                      <a:avLst/>
                    </a:prstGeom>
                  </pic:spPr>
                </pic:pic>
              </a:graphicData>
            </a:graphic>
          </wp:inline>
        </w:drawing>
      </w:r>
    </w:p>
    <w:p w14:paraId="19C32BDF" w14:textId="77777777" w:rsidR="00053D93" w:rsidRDefault="00260B75">
      <w:pPr>
        <w:spacing w:after="62"/>
        <w:ind w:left="1721"/>
      </w:pPr>
      <w:r>
        <w:rPr>
          <w:noProof/>
        </w:rPr>
        <w:drawing>
          <wp:inline distT="0" distB="0" distL="0" distR="0" wp14:anchorId="6644B9B6" wp14:editId="75955CD2">
            <wp:extent cx="5394960" cy="41148"/>
            <wp:effectExtent l="0" t="0" r="0" b="0"/>
            <wp:docPr id="2458661" name="Picture 2458661"/>
            <wp:cNvGraphicFramePr/>
            <a:graphic xmlns:a="http://schemas.openxmlformats.org/drawingml/2006/main">
              <a:graphicData uri="http://schemas.openxmlformats.org/drawingml/2006/picture">
                <pic:pic xmlns:pic="http://schemas.openxmlformats.org/drawingml/2006/picture">
                  <pic:nvPicPr>
                    <pic:cNvPr id="2458661" name="Picture 2458661"/>
                    <pic:cNvPicPr/>
                  </pic:nvPicPr>
                  <pic:blipFill>
                    <a:blip r:embed="rId1229"/>
                    <a:stretch>
                      <a:fillRect/>
                    </a:stretch>
                  </pic:blipFill>
                  <pic:spPr>
                    <a:xfrm>
                      <a:off x="0" y="0"/>
                      <a:ext cx="5394960" cy="41148"/>
                    </a:xfrm>
                    <a:prstGeom prst="rect">
                      <a:avLst/>
                    </a:prstGeom>
                  </pic:spPr>
                </pic:pic>
              </a:graphicData>
            </a:graphic>
          </wp:inline>
        </w:drawing>
      </w:r>
    </w:p>
    <w:p w14:paraId="6F76D0F7" w14:textId="77777777" w:rsidR="00053D93" w:rsidRDefault="00260B75">
      <w:pPr>
        <w:tabs>
          <w:tab w:val="center" w:pos="2243"/>
        </w:tabs>
        <w:spacing w:after="0"/>
      </w:pPr>
      <w:r>
        <w:rPr>
          <w:sz w:val="18"/>
        </w:rPr>
        <w:t>1</w:t>
      </w:r>
      <w:r>
        <w:rPr>
          <w:sz w:val="18"/>
        </w:rPr>
        <w:tab/>
        <w:t>en el exterior.</w:t>
      </w:r>
    </w:p>
    <w:p w14:paraId="3C3B9475" w14:textId="77777777" w:rsidR="00053D93" w:rsidRDefault="00260B75">
      <w:pPr>
        <w:spacing w:after="3" w:line="273" w:lineRule="auto"/>
        <w:ind w:left="21" w:firstLine="1534"/>
      </w:pPr>
      <w:r>
        <w:rPr>
          <w:noProof/>
        </w:rPr>
        <mc:AlternateContent>
          <mc:Choice Requires="wpg">
            <w:drawing>
              <wp:anchor distT="0" distB="0" distL="114300" distR="114300" simplePos="0" relativeHeight="252115968" behindDoc="0" locked="0" layoutInCell="1" allowOverlap="1" wp14:anchorId="7E16DF18" wp14:editId="4E7990D5">
                <wp:simplePos x="0" y="0"/>
                <wp:positionH relativeFrom="column">
                  <wp:posOffset>4572</wp:posOffset>
                </wp:positionH>
                <wp:positionV relativeFrom="paragraph">
                  <wp:posOffset>18631</wp:posOffset>
                </wp:positionV>
                <wp:extent cx="118872" cy="292608"/>
                <wp:effectExtent l="0" t="0" r="0" b="0"/>
                <wp:wrapSquare wrapText="bothSides"/>
                <wp:docPr id="2456705" name="Group 2456705"/>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885424" name="Rectangle 885424"/>
                        <wps:cNvSpPr/>
                        <wps:spPr>
                          <a:xfrm>
                            <a:off x="0" y="0"/>
                            <a:ext cx="158100" cy="389169"/>
                          </a:xfrm>
                          <a:prstGeom prst="rect">
                            <a:avLst/>
                          </a:prstGeom>
                          <a:ln>
                            <a:noFill/>
                          </a:ln>
                        </wps:spPr>
                        <wps:txbx>
                          <w:txbxContent>
                            <w:p w14:paraId="7D72FB2E"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7E16DF18" id="Group 2456705" o:spid="_x0000_s1463" style="position:absolute;left:0;text-align:left;margin-left:.35pt;margin-top:1.45pt;width:9.35pt;height:23.05pt;z-index:252115968;mso-position-horizontal-relative:text;mso-position-vertical-relative:text"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">
                <v:rect id="Rectangle 885424" o:spid="_x0000_s1464"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" filled="f" stroked="f">
                  <v:textbox inset="0,0,0,0">
                    <w:txbxContent>
                      <w:p w14:paraId="7D72FB2E" w14:textId="77777777" w:rsidR="00053D93" w:rsidRDefault="00260B75">
                        <w:r>
                          <w:rPr>
                            <w:sz w:val="72"/>
                          </w:rPr>
                          <w:t>1</w:t>
                        </w:r>
                      </w:p>
                    </w:txbxContent>
                  </v:textbox>
                </v:rect>
                <w10:wrap type="square"/>
              </v:group>
            </w:pict>
          </mc:Fallback>
        </mc:AlternateContent>
      </w:r>
      <w:r>
        <w:rPr>
          <w:sz w:val="26"/>
        </w:rPr>
        <w:t xml:space="preserve">Asimismo, los miembros de la Comisión receptora y liquidadora, nombrados mediante la Resolución No. 4295-2024 del 1 1 de noviembre de 2024, emitida por la Ministra y el Viceministro de Educación, trasladaron al Director General en </w:t>
      </w:r>
      <w:r>
        <w:rPr>
          <w:noProof/>
        </w:rPr>
        <mc:AlternateContent>
          <mc:Choice Requires="wpg">
            <w:drawing>
              <wp:inline distT="0" distB="0" distL="0" distR="0" wp14:anchorId="28B611A0" wp14:editId="6BCEDD39">
                <wp:extent cx="114300" cy="292608"/>
                <wp:effectExtent l="0" t="0" r="0" b="0"/>
                <wp:docPr id="2456706" name="Group 2456706"/>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885425" name="Rectangle 885425"/>
                        <wps:cNvSpPr/>
                        <wps:spPr>
                          <a:xfrm>
                            <a:off x="0" y="0"/>
                            <a:ext cx="152019" cy="389169"/>
                          </a:xfrm>
                          <a:prstGeom prst="rect">
                            <a:avLst/>
                          </a:prstGeom>
                          <a:ln>
                            <a:noFill/>
                          </a:ln>
                        </wps:spPr>
                        <wps:txbx>
                          <w:txbxContent>
                            <w:p w14:paraId="09D56C6B"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28B611A0" id="Group 2456706" o:spid="_x0000_s1465"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">
                <v:rect id="Rectangle 885425" o:spid="_x0000_s1466"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" filled="f" stroked="f">
                  <v:textbox inset="0,0,0,0">
                    <w:txbxContent>
                      <w:p w14:paraId="09D56C6B" w14:textId="77777777" w:rsidR="00053D93" w:rsidRDefault="00260B75">
                        <w:r>
                          <w:rPr>
                            <w:sz w:val="70"/>
                          </w:rPr>
                          <w:t>1</w:t>
                        </w:r>
                      </w:p>
                    </w:txbxContent>
                  </v:textbox>
                </v:rect>
                <w10:anchorlock/>
              </v:group>
            </w:pict>
          </mc:Fallback>
        </mc:AlternateContent>
      </w:r>
      <w:r>
        <w:rPr>
          <w:sz w:val="26"/>
        </w:rPr>
        <w:tab/>
        <w:t>Funciones de la DIGEF, mediante Oficio Comisión Receptora y Liquidadora 02-2024 del 13 de noviembre de 2024, el acta No. 01-2024 del 13 de noviembre de 2024, en donde dicha comisión no recibió a entera conformidad y satisfacción 1</w:t>
      </w:r>
      <w:r>
        <w:rPr>
          <w:sz w:val="26"/>
        </w:rPr>
        <w:tab/>
        <w:t>el objeto del Contrato Administrativo No. 01-2024-DIGEF-CD, para el que habían sido nombrados, ya que desconocían la cantidad de boletos aéreos adquiridos, la 1</w:t>
      </w:r>
      <w:r>
        <w:rPr>
          <w:sz w:val="26"/>
        </w:rPr>
        <w:tab/>
        <w:t>nómina de atletas y cuerpo técnico inscrito, así como tampoco recibieron los boletos aéreos por parte de la entidad LAX TRAVEL, S.A., tal como lo establecía dicho contrato administrativo, por lo que se abstuvieron de elaborar el acta de 1</w:t>
      </w:r>
      <w:r>
        <w:rPr>
          <w:sz w:val="26"/>
        </w:rPr>
        <w:tab/>
        <w:t>liquidación correspondiente.</w:t>
      </w:r>
    </w:p>
    <w:tbl>
      <w:tblPr>
        <w:tblStyle w:val="TableGrid"/>
        <w:tblpPr w:vertAnchor="page" w:horzAnchor="page" w:tblpX="2887" w:tblpY="14635"/>
        <w:tblOverlap w:val="never"/>
        <w:tblW w:w="7675" w:type="dxa"/>
        <w:tblInd w:w="0" w:type="dxa"/>
        <w:tblCellMar>
          <w:top w:w="32" w:type="dxa"/>
          <w:left w:w="1786" w:type="dxa"/>
          <w:right w:w="115" w:type="dxa"/>
        </w:tblCellMar>
        <w:tblLook w:val="04A0" w:firstRow="1" w:lastRow="0" w:firstColumn="1" w:lastColumn="0" w:noHBand="0" w:noVBand="1"/>
      </w:tblPr>
      <w:tblGrid>
        <w:gridCol w:w="7675"/>
      </w:tblGrid>
      <w:tr w:rsidR="00053D93" w14:paraId="57DBC1CE" w14:textId="77777777">
        <w:trPr>
          <w:trHeight w:val="615"/>
        </w:trPr>
        <w:tc>
          <w:tcPr>
            <w:tcW w:w="7675" w:type="dxa"/>
            <w:tcBorders>
              <w:top w:val="single" w:sz="2" w:space="0" w:color="000000"/>
              <w:left w:val="single" w:sz="2" w:space="0" w:color="000000"/>
              <w:bottom w:val="nil"/>
              <w:right w:val="nil"/>
            </w:tcBorders>
          </w:tcPr>
          <w:p w14:paraId="54BB28BD" w14:textId="77777777" w:rsidR="00053D93" w:rsidRDefault="00260B75">
            <w:pPr>
              <w:ind w:left="835"/>
            </w:pPr>
            <w:r>
              <w:rPr>
                <w:sz w:val="14"/>
              </w:rPr>
              <w:t>MINISTERIO DE EDUCACION</w:t>
            </w:r>
          </w:p>
          <w:p w14:paraId="2B16CB81" w14:textId="77777777" w:rsidR="00053D93" w:rsidRDefault="00260B75">
            <w:pPr>
              <w:ind w:left="338"/>
            </w:pPr>
            <w:r>
              <w:rPr>
                <w:sz w:val="14"/>
              </w:rPr>
              <w:t>AUDITORIA FINANCIERA Y DE CUMPLIMIENTO</w:t>
            </w:r>
          </w:p>
          <w:p w14:paraId="2489DC79" w14:textId="77777777" w:rsidR="00053D93" w:rsidRDefault="00260B75">
            <w:r>
              <w:rPr>
                <w:sz w:val="14"/>
              </w:rPr>
              <w:t>PERIODO DEL 01 DE ENERO AL 31 DE DICIEMBRE DE 2024</w:t>
            </w:r>
          </w:p>
        </w:tc>
      </w:tr>
    </w:tbl>
    <w:p w14:paraId="24A6F05A" w14:textId="77777777" w:rsidR="00053D93" w:rsidRDefault="00260B75">
      <w:pPr>
        <w:spacing w:after="4" w:line="269" w:lineRule="auto"/>
        <w:ind w:left="57" w:right="14" w:firstLine="1692"/>
        <w:jc w:val="both"/>
      </w:pPr>
      <w:r>
        <w:rPr>
          <w:noProof/>
        </w:rPr>
        <w:drawing>
          <wp:anchor distT="0" distB="0" distL="114300" distR="114300" simplePos="0" relativeHeight="252116992" behindDoc="0" locked="0" layoutInCell="1" allowOverlap="0" wp14:anchorId="7A09B316" wp14:editId="61285C09">
            <wp:simplePos x="0" y="0"/>
            <wp:positionH relativeFrom="page">
              <wp:posOffset>708660</wp:posOffset>
            </wp:positionH>
            <wp:positionV relativeFrom="page">
              <wp:posOffset>9276588</wp:posOffset>
            </wp:positionV>
            <wp:extent cx="1069848" cy="411480"/>
            <wp:effectExtent l="0" t="0" r="0" b="0"/>
            <wp:wrapTopAndBottom/>
            <wp:docPr id="888431" name="Picture 888431"/>
            <wp:cNvGraphicFramePr/>
            <a:graphic xmlns:a="http://schemas.openxmlformats.org/drawingml/2006/main">
              <a:graphicData uri="http://schemas.openxmlformats.org/drawingml/2006/picture">
                <pic:pic xmlns:pic="http://schemas.openxmlformats.org/drawingml/2006/picture">
                  <pic:nvPicPr>
                    <pic:cNvPr id="888431" name="Picture 888431"/>
                    <pic:cNvPicPr/>
                  </pic:nvPicPr>
                  <pic:blipFill>
                    <a:blip r:embed="rId1230"/>
                    <a:stretch>
                      <a:fillRect/>
                    </a:stretch>
                  </pic:blipFill>
                  <pic:spPr>
                    <a:xfrm>
                      <a:off x="0" y="0"/>
                      <a:ext cx="1069848" cy="411480"/>
                    </a:xfrm>
                    <a:prstGeom prst="rect">
                      <a:avLst/>
                    </a:prstGeom>
                  </pic:spPr>
                </pic:pic>
              </a:graphicData>
            </a:graphic>
          </wp:anchor>
        </w:drawing>
      </w:r>
      <w:r>
        <w:rPr>
          <w:sz w:val="26"/>
        </w:rPr>
        <w:t>Derivado de lo anterior, el Director General en Funciones de la DIGEF, le solicitó a 1 la Ministra de Educación mediante Oficio DG No. 2300-2024, del 1 1 de diciembre de 2024, que nombrara a una nueva comisión receptora y liquidadora para el 1 Contrato Administrativo Número 01-2024-DIGEF-CD, por incumplimiento de la primera comisión nombrada, el cual fue aprobado mediante Resolución No.</w:t>
      </w:r>
    </w:p>
    <w:p w14:paraId="335F717B" w14:textId="77777777" w:rsidR="00053D93" w:rsidRDefault="00260B75">
      <w:pPr>
        <w:spacing w:after="66" w:line="216" w:lineRule="auto"/>
        <w:ind w:left="57" w:right="14" w:firstLine="1663"/>
        <w:jc w:val="both"/>
      </w:pPr>
      <w:r>
        <w:rPr>
          <w:sz w:val="26"/>
        </w:rPr>
        <w:t>4686-2024 del 17 de diciembre de 2024, emitido por la Ministra y el Viceministro 1 de Educación.</w:t>
      </w:r>
    </w:p>
    <w:p w14:paraId="6F914BC8" w14:textId="77777777" w:rsidR="00053D93" w:rsidRDefault="00260B75">
      <w:pPr>
        <w:spacing w:after="279" w:line="269" w:lineRule="auto"/>
        <w:ind w:left="57" w:right="14" w:firstLine="1678"/>
        <w:jc w:val="both"/>
      </w:pPr>
      <w:r>
        <w:rPr>
          <w:sz w:val="26"/>
        </w:rPr>
        <w:t>Mediante el Acta Administrativa, Número 127-2024, del 20 de diciembre de 2024, 1 la nueva comisión receptora y liquidadora, manifestó haber recibido de conformidad y a entera satisfacción 107 boletos aéreos para la Dirección General 1 de Educación Física -DIGEF-, a pesar que el contratista no les entregó dichos boletos aéreos, tal como lo establecen las especificaciones técnicas del evento, ya que dicho evento se llevó a cabo del 12 al 17 de noviembre de 2024 y la comisión receptora y liquidadora fue nombrada el 17 de diciembre de 2024.</w:t>
      </w:r>
    </w:p>
    <w:p w14:paraId="3415182A" w14:textId="77777777" w:rsidR="00053D93" w:rsidRDefault="00260B75">
      <w:pPr>
        <w:spacing w:after="4" w:line="216" w:lineRule="auto"/>
        <w:ind w:left="57" w:right="14" w:firstLine="1634"/>
        <w:jc w:val="both"/>
      </w:pPr>
      <w:r>
        <w:rPr>
          <w:sz w:val="26"/>
        </w:rPr>
        <w:t>Asimismo, mediante el Acta mencionada anteriormente, la nueva comisión 1 receptora y liquidadora, estableció el monto que debe pagarse a la entidad LAX</w:t>
      </w:r>
    </w:p>
    <w:p w14:paraId="284CDB4D" w14:textId="77777777" w:rsidR="00053D93" w:rsidRDefault="00260B75">
      <w:pPr>
        <w:spacing w:after="4" w:line="269" w:lineRule="auto"/>
        <w:ind w:left="130" w:right="14" w:firstLine="1627"/>
        <w:jc w:val="both"/>
      </w:pPr>
      <w:r>
        <w:rPr>
          <w:sz w:val="26"/>
        </w:rPr>
        <w:t>TRAVEL, S.A. por la cantidad de Q511,460.00, derivado de la adquisición de 107 1 boletos aéreos a un precio unitario de Q4, 780.00, de conformidad con la oferta adjudicada en el evento; cabe mencionar que en dicha acta, no hicieron mención sobre la recepción y liquidación del servicio de flete contratado por la cantidad de 1 Q1 ,360.00 y no aplicaron cobros ni sanciones al contratista, a pesar de los siguientes incumplimientos al Contrato Administrativo Número 01-2024-DIGEF-CD y a las Especificaciones Técnicas de las bases del Proceso de Cotización C-33/ 1 2024-MINEDUC: no se emitió la cantidad total de boletos aéros adjudicados, los boletos aéreos emitidos no fueron entregados a la Comisión Receptora y 1 Liquidadora, de conformidad con lo establecido y se cambiaron las fechas</w:t>
      </w:r>
    </w:p>
    <w:p w14:paraId="2785DCDC" w14:textId="77777777" w:rsidR="00053D93" w:rsidRDefault="00260B75">
      <w:pPr>
        <w:spacing w:after="27"/>
        <w:ind w:left="1781" w:hanging="10"/>
        <w:jc w:val="center"/>
      </w:pPr>
      <w:r>
        <w:t>Igl</w:t>
      </w:r>
    </w:p>
    <w:p w14:paraId="5576AD20" w14:textId="77777777" w:rsidR="00053D93" w:rsidRDefault="00260B75">
      <w:pPr>
        <w:spacing w:after="10"/>
        <w:ind w:left="1793" w:right="-7"/>
      </w:pPr>
      <w:r>
        <w:rPr>
          <w:noProof/>
        </w:rPr>
        <mc:AlternateContent>
          <mc:Choice Requires="wpg">
            <w:drawing>
              <wp:inline distT="0" distB="0" distL="0" distR="0" wp14:anchorId="645FA7A6" wp14:editId="44AF781A">
                <wp:extent cx="5381244" cy="9144"/>
                <wp:effectExtent l="0" t="0" r="0" b="0"/>
                <wp:docPr id="2458664" name="Group 2458664"/>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663" name="Shape 2458663"/>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64" style="width:423.72pt;height:0.720001pt;mso-position-horizontal-relative:char;mso-position-vertical-relative:line" coordsize="53812,91">
                <v:shape id="Shape 2458663" style="position:absolute;width:53812;height:91;left:0;top:0;" coordsize="5381244,9144" path="m0,4572l5381244,4572">
                  <v:stroke weight="0.720001pt" endcap="flat" joinstyle="miter" miterlimit="1" on="true" color="#000000"/>
                  <v:fill on="false" color="#000000"/>
                </v:shape>
              </v:group>
            </w:pict>
          </mc:Fallback>
        </mc:AlternateContent>
      </w:r>
    </w:p>
    <w:p w14:paraId="44DC9039" w14:textId="77777777" w:rsidR="00053D93" w:rsidRDefault="00260B75">
      <w:pPr>
        <w:spacing w:after="344" w:line="250" w:lineRule="auto"/>
        <w:ind w:left="1796" w:right="14" w:hanging="3"/>
        <w:jc w:val="both"/>
      </w:pPr>
      <w:r>
        <w:rPr>
          <w:sz w:val="26"/>
        </w:rPr>
        <w:t>planificadas en el calendario de salidas y retornos, anexo a las especificaciones técnicas del evento.</w:t>
      </w:r>
    </w:p>
    <w:p w14:paraId="5C95AE40" w14:textId="77777777" w:rsidR="00053D93" w:rsidRDefault="00260B75">
      <w:pPr>
        <w:spacing w:after="300" w:line="250" w:lineRule="auto"/>
        <w:ind w:left="1767" w:right="14" w:hanging="3"/>
        <w:jc w:val="both"/>
      </w:pPr>
      <w:r>
        <w:rPr>
          <w:sz w:val="26"/>
        </w:rPr>
        <w:t>Se confirmó que no se ha realizado el pago correspondiente al monto determinado por la Comisión receptora y liquidadora, debido a que la entidad LAX TRAVEL, S.A. envió el Documento Tributario Electrónico Número: 2490581832, serie: 18F821 DD, del 16 de diciembre de 2024, al Viceministro Técnico del Ministerio de Educación, mediante oficio sin número, del 16 de diciembre de 2024 por la cantidad de Q900,000.00, por concepto de servicio de transporte aéreo por 107 pasajeros y un servicio de flete, en donde le manifestó hago de su conocimiento que sostuvimos una reunión con el señor Director de DIGEF y el señor Director de DIDECO, sin embargo la solución propuesta por ellos no es viable para nosotros. Nosotros necesitamos el pago total de los servicios prestados a los cuales fueron por (Q900,000.00) novecientos mil quetzales exactos. Por concepto de 107 boletos aéreos ida y vuelta Guatemala- PanamáGuatemala para llevar a todos los niños con discapacidad, chaperones y demás delegación para los juegos CODICADER 2024. Por io anterior enviamos adjunto la factura fel por el valor correcto... ".</w:t>
      </w:r>
    </w:p>
    <w:tbl>
      <w:tblPr>
        <w:tblStyle w:val="TableGrid"/>
        <w:tblpPr w:vertAnchor="page" w:horzAnchor="page" w:tblpX="2820" w:tblpY="14566"/>
        <w:tblOverlap w:val="never"/>
        <w:tblW w:w="7671" w:type="dxa"/>
        <w:tblInd w:w="0" w:type="dxa"/>
        <w:tblCellMar>
          <w:top w:w="26" w:type="dxa"/>
          <w:left w:w="1781" w:type="dxa"/>
          <w:right w:w="115" w:type="dxa"/>
        </w:tblCellMar>
        <w:tblLook w:val="04A0" w:firstRow="1" w:lastRow="0" w:firstColumn="1" w:lastColumn="0" w:noHBand="0" w:noVBand="1"/>
      </w:tblPr>
      <w:tblGrid>
        <w:gridCol w:w="7671"/>
      </w:tblGrid>
      <w:tr w:rsidR="00053D93" w14:paraId="4F03EBFB" w14:textId="77777777">
        <w:trPr>
          <w:trHeight w:val="58"/>
        </w:trPr>
        <w:tc>
          <w:tcPr>
            <w:tcW w:w="7671" w:type="dxa"/>
            <w:tcBorders>
              <w:top w:val="nil"/>
              <w:left w:val="single" w:sz="2" w:space="0" w:color="000000"/>
              <w:bottom w:val="single" w:sz="2" w:space="0" w:color="000000"/>
              <w:right w:val="nil"/>
            </w:tcBorders>
          </w:tcPr>
          <w:p w14:paraId="754ABB64" w14:textId="77777777" w:rsidR="00053D93" w:rsidRDefault="00053D93"/>
        </w:tc>
      </w:tr>
      <w:tr w:rsidR="00053D93" w14:paraId="565CAD25" w14:textId="77777777">
        <w:trPr>
          <w:trHeight w:val="576"/>
        </w:trPr>
        <w:tc>
          <w:tcPr>
            <w:tcW w:w="7671" w:type="dxa"/>
            <w:tcBorders>
              <w:top w:val="single" w:sz="2" w:space="0" w:color="000000"/>
              <w:left w:val="single" w:sz="2" w:space="0" w:color="000000"/>
              <w:bottom w:val="nil"/>
              <w:right w:val="nil"/>
            </w:tcBorders>
          </w:tcPr>
          <w:p w14:paraId="6480D160" w14:textId="77777777" w:rsidR="00053D93" w:rsidRDefault="00260B75">
            <w:pPr>
              <w:ind w:left="835"/>
            </w:pPr>
            <w:r>
              <w:rPr>
                <w:sz w:val="14"/>
              </w:rPr>
              <w:t>MINISTERIO DE EDUCACION</w:t>
            </w:r>
          </w:p>
          <w:p w14:paraId="3CED3DDF" w14:textId="77777777" w:rsidR="00053D93" w:rsidRDefault="00260B75">
            <w:pPr>
              <w:ind w:left="338"/>
            </w:pPr>
            <w:r>
              <w:rPr>
                <w:sz w:val="14"/>
              </w:rPr>
              <w:t>AUDITORIA FINANCIERA Y DE CUMPLIMIENTO</w:t>
            </w:r>
          </w:p>
          <w:p w14:paraId="746B605C" w14:textId="77777777" w:rsidR="00053D93" w:rsidRDefault="00260B75">
            <w:r>
              <w:rPr>
                <w:sz w:val="14"/>
              </w:rPr>
              <w:t>PERIODO DEL 01 DE ENERO AL 31 DE DICIEMBRE OE 2024</w:t>
            </w:r>
          </w:p>
        </w:tc>
      </w:tr>
    </w:tbl>
    <w:p w14:paraId="3C6B4ADE" w14:textId="77777777" w:rsidR="00053D93" w:rsidRDefault="00260B75">
      <w:pPr>
        <w:spacing w:after="310" w:line="250" w:lineRule="auto"/>
        <w:ind w:left="1767" w:right="14" w:hanging="3"/>
        <w:jc w:val="both"/>
      </w:pPr>
      <w:r>
        <w:rPr>
          <w:noProof/>
        </w:rPr>
        <w:drawing>
          <wp:anchor distT="0" distB="0" distL="114300" distR="114300" simplePos="0" relativeHeight="252118016" behindDoc="0" locked="0" layoutInCell="1" allowOverlap="0" wp14:anchorId="1A9F4D65" wp14:editId="6C68EE43">
            <wp:simplePos x="0" y="0"/>
            <wp:positionH relativeFrom="page">
              <wp:posOffset>667512</wp:posOffset>
            </wp:positionH>
            <wp:positionV relativeFrom="page">
              <wp:posOffset>9244584</wp:posOffset>
            </wp:positionV>
            <wp:extent cx="1065276" cy="406909"/>
            <wp:effectExtent l="0" t="0" r="0" b="0"/>
            <wp:wrapTopAndBottom/>
            <wp:docPr id="893062" name="Picture 893062"/>
            <wp:cNvGraphicFramePr/>
            <a:graphic xmlns:a="http://schemas.openxmlformats.org/drawingml/2006/main">
              <a:graphicData uri="http://schemas.openxmlformats.org/drawingml/2006/picture">
                <pic:pic xmlns:pic="http://schemas.openxmlformats.org/drawingml/2006/picture">
                  <pic:nvPicPr>
                    <pic:cNvPr id="893062" name="Picture 893062"/>
                    <pic:cNvPicPr/>
                  </pic:nvPicPr>
                  <pic:blipFill>
                    <a:blip r:embed="rId1231"/>
                    <a:stretch>
                      <a:fillRect/>
                    </a:stretch>
                  </pic:blipFill>
                  <pic:spPr>
                    <a:xfrm>
                      <a:off x="0" y="0"/>
                      <a:ext cx="1065276" cy="406909"/>
                    </a:xfrm>
                    <a:prstGeom prst="rect">
                      <a:avLst/>
                    </a:prstGeom>
                  </pic:spPr>
                </pic:pic>
              </a:graphicData>
            </a:graphic>
          </wp:anchor>
        </w:drawing>
      </w:r>
      <w:r>
        <w:rPr>
          <w:sz w:val="26"/>
        </w:rPr>
        <w:t>Lo anterior, contraviene a los intereses del Estado, ya que aumenta el valor de los boletos aéreos de Q4, 780.00 a Q8,398.51 cada uno, lo que equivale a un incremento del 56.91 % del valor originalmente ofertado por el contratista.</w:t>
      </w:r>
    </w:p>
    <w:p w14:paraId="7B240C19" w14:textId="77777777" w:rsidR="00053D93" w:rsidRDefault="00260B75">
      <w:pPr>
        <w:spacing w:after="0" w:line="263" w:lineRule="auto"/>
        <w:ind w:left="1760" w:hanging="10"/>
      </w:pPr>
      <w:r>
        <w:rPr>
          <w:sz w:val="24"/>
        </w:rPr>
        <w:t>A continuación, se detalla el pago requerido por la entidad LAX TRAVEL, S.A:</w:t>
      </w:r>
    </w:p>
    <w:tbl>
      <w:tblPr>
        <w:tblStyle w:val="TableGrid"/>
        <w:tblW w:w="8467" w:type="dxa"/>
        <w:tblInd w:w="1740" w:type="dxa"/>
        <w:tblCellMar>
          <w:left w:w="68" w:type="dxa"/>
        </w:tblCellMar>
        <w:tblLook w:val="04A0" w:firstRow="1" w:lastRow="0" w:firstColumn="1" w:lastColumn="0" w:noHBand="0" w:noVBand="1"/>
      </w:tblPr>
      <w:tblGrid>
        <w:gridCol w:w="576"/>
        <w:gridCol w:w="4489"/>
        <w:gridCol w:w="900"/>
        <w:gridCol w:w="1346"/>
        <w:gridCol w:w="1156"/>
      </w:tblGrid>
      <w:tr w:rsidR="00053D93" w14:paraId="5BDED3C3" w14:textId="77777777">
        <w:trPr>
          <w:trHeight w:val="492"/>
        </w:trPr>
        <w:tc>
          <w:tcPr>
            <w:tcW w:w="576" w:type="dxa"/>
            <w:tcBorders>
              <w:top w:val="single" w:sz="2" w:space="0" w:color="000000"/>
              <w:left w:val="single" w:sz="2" w:space="0" w:color="000000"/>
              <w:bottom w:val="single" w:sz="2" w:space="0" w:color="000000"/>
              <w:right w:val="single" w:sz="2" w:space="0" w:color="000000"/>
            </w:tcBorders>
            <w:vAlign w:val="bottom"/>
          </w:tcPr>
          <w:p w14:paraId="30F1190A" w14:textId="77777777" w:rsidR="00053D93" w:rsidRDefault="00260B75">
            <w:pPr>
              <w:ind w:right="62"/>
              <w:jc w:val="center"/>
            </w:pPr>
            <w:r>
              <w:t>No.</w:t>
            </w:r>
          </w:p>
        </w:tc>
        <w:tc>
          <w:tcPr>
            <w:tcW w:w="4488" w:type="dxa"/>
            <w:tcBorders>
              <w:top w:val="single" w:sz="2" w:space="0" w:color="000000"/>
              <w:left w:val="single" w:sz="2" w:space="0" w:color="000000"/>
              <w:bottom w:val="single" w:sz="2" w:space="0" w:color="000000"/>
              <w:right w:val="single" w:sz="2" w:space="0" w:color="000000"/>
            </w:tcBorders>
            <w:vAlign w:val="bottom"/>
          </w:tcPr>
          <w:p w14:paraId="2C5A5526" w14:textId="77777777" w:rsidR="00053D93" w:rsidRDefault="00260B75">
            <w:pPr>
              <w:ind w:right="65"/>
              <w:jc w:val="center"/>
            </w:pPr>
            <w:r>
              <w:t>Descripción del bien o servicio</w:t>
            </w:r>
          </w:p>
        </w:tc>
        <w:tc>
          <w:tcPr>
            <w:tcW w:w="900" w:type="dxa"/>
            <w:tcBorders>
              <w:top w:val="single" w:sz="2" w:space="0" w:color="000000"/>
              <w:left w:val="single" w:sz="2" w:space="0" w:color="000000"/>
              <w:bottom w:val="single" w:sz="2" w:space="0" w:color="000000"/>
              <w:right w:val="single" w:sz="2" w:space="0" w:color="000000"/>
            </w:tcBorders>
            <w:vAlign w:val="bottom"/>
          </w:tcPr>
          <w:p w14:paraId="20815558" w14:textId="77777777" w:rsidR="00053D93" w:rsidRDefault="00260B75">
            <w:pPr>
              <w:ind w:left="26"/>
            </w:pPr>
            <w:r>
              <w:rPr>
                <w:sz w:val="20"/>
              </w:rPr>
              <w:t>Cantidad</w:t>
            </w:r>
          </w:p>
        </w:tc>
        <w:tc>
          <w:tcPr>
            <w:tcW w:w="1346" w:type="dxa"/>
            <w:tcBorders>
              <w:top w:val="single" w:sz="2" w:space="0" w:color="000000"/>
              <w:left w:val="single" w:sz="2" w:space="0" w:color="000000"/>
              <w:bottom w:val="single" w:sz="2" w:space="0" w:color="000000"/>
              <w:right w:val="single" w:sz="2" w:space="0" w:color="000000"/>
            </w:tcBorders>
          </w:tcPr>
          <w:p w14:paraId="1CB3CFD6" w14:textId="77777777" w:rsidR="00053D93" w:rsidRDefault="00260B75">
            <w:pPr>
              <w:ind w:left="51" w:right="97"/>
              <w:jc w:val="center"/>
            </w:pPr>
            <w:r>
              <w:rPr>
                <w:sz w:val="20"/>
              </w:rPr>
              <w:t>Precio Unitario</w:t>
            </w:r>
          </w:p>
        </w:tc>
        <w:tc>
          <w:tcPr>
            <w:tcW w:w="1156" w:type="dxa"/>
            <w:tcBorders>
              <w:top w:val="single" w:sz="2" w:space="0" w:color="000000"/>
              <w:left w:val="single" w:sz="2" w:space="0" w:color="000000"/>
              <w:bottom w:val="single" w:sz="2" w:space="0" w:color="000000"/>
              <w:right w:val="single" w:sz="2" w:space="0" w:color="000000"/>
            </w:tcBorders>
            <w:vAlign w:val="bottom"/>
          </w:tcPr>
          <w:p w14:paraId="3939076E" w14:textId="77777777" w:rsidR="00053D93" w:rsidRDefault="00260B75">
            <w:pPr>
              <w:ind w:right="72"/>
              <w:jc w:val="center"/>
            </w:pPr>
            <w:r>
              <w:rPr>
                <w:sz w:val="20"/>
              </w:rPr>
              <w:t>Total</w:t>
            </w:r>
          </w:p>
        </w:tc>
      </w:tr>
      <w:tr w:rsidR="00053D93" w14:paraId="39A3F164" w14:textId="77777777">
        <w:trPr>
          <w:trHeight w:val="1164"/>
        </w:trPr>
        <w:tc>
          <w:tcPr>
            <w:tcW w:w="576" w:type="dxa"/>
            <w:tcBorders>
              <w:top w:val="single" w:sz="2" w:space="0" w:color="000000"/>
              <w:left w:val="single" w:sz="2" w:space="0" w:color="000000"/>
              <w:bottom w:val="single" w:sz="2" w:space="0" w:color="000000"/>
              <w:right w:val="single" w:sz="2" w:space="0" w:color="000000"/>
            </w:tcBorders>
          </w:tcPr>
          <w:p w14:paraId="0E6EC0A7" w14:textId="77777777" w:rsidR="00053D93" w:rsidRDefault="00260B75">
            <w:pPr>
              <w:ind w:right="84"/>
              <w:jc w:val="center"/>
            </w:pPr>
            <w:r>
              <w:rPr>
                <w:sz w:val="20"/>
              </w:rPr>
              <w:t>1</w:t>
            </w:r>
          </w:p>
        </w:tc>
        <w:tc>
          <w:tcPr>
            <w:tcW w:w="4488" w:type="dxa"/>
            <w:tcBorders>
              <w:top w:val="single" w:sz="2" w:space="0" w:color="000000"/>
              <w:left w:val="single" w:sz="2" w:space="0" w:color="000000"/>
              <w:bottom w:val="single" w:sz="2" w:space="0" w:color="000000"/>
              <w:right w:val="single" w:sz="2" w:space="0" w:color="000000"/>
            </w:tcBorders>
          </w:tcPr>
          <w:p w14:paraId="49E16DDB" w14:textId="77777777" w:rsidR="00053D93" w:rsidRDefault="00260B75">
            <w:pPr>
              <w:ind w:left="14" w:right="79" w:firstLine="7"/>
              <w:jc w:val="both"/>
            </w:pPr>
            <w:r>
              <w:rPr>
                <w:sz w:val="20"/>
              </w:rPr>
              <w:t>Servicio de transporte aéreo por 107 pasajeros para la delegación deportiva escolar de Guatemala que participó en los Juegos Deportivos Escolares Centroamericanos del CODICADER para estudiantes con Discapacidad a realizarse en Panamá</w:t>
            </w:r>
          </w:p>
        </w:tc>
        <w:tc>
          <w:tcPr>
            <w:tcW w:w="900" w:type="dxa"/>
            <w:tcBorders>
              <w:top w:val="single" w:sz="2" w:space="0" w:color="000000"/>
              <w:left w:val="single" w:sz="2" w:space="0" w:color="000000"/>
              <w:bottom w:val="single" w:sz="2" w:space="0" w:color="000000"/>
              <w:right w:val="single" w:sz="2" w:space="0" w:color="000000"/>
            </w:tcBorders>
            <w:vAlign w:val="bottom"/>
          </w:tcPr>
          <w:p w14:paraId="68404452" w14:textId="77777777" w:rsidR="00053D93" w:rsidRDefault="00260B75">
            <w:pPr>
              <w:ind w:right="68"/>
              <w:jc w:val="center"/>
            </w:pPr>
            <w:r>
              <w:rPr>
                <w:sz w:val="20"/>
              </w:rPr>
              <w:t>107</w:t>
            </w:r>
          </w:p>
        </w:tc>
        <w:tc>
          <w:tcPr>
            <w:tcW w:w="1346" w:type="dxa"/>
            <w:tcBorders>
              <w:top w:val="single" w:sz="2" w:space="0" w:color="000000"/>
              <w:left w:val="single" w:sz="2" w:space="0" w:color="000000"/>
              <w:bottom w:val="single" w:sz="2" w:space="0" w:color="000000"/>
              <w:right w:val="single" w:sz="2" w:space="0" w:color="000000"/>
            </w:tcBorders>
            <w:vAlign w:val="bottom"/>
          </w:tcPr>
          <w:p w14:paraId="0489EEDC" w14:textId="77777777" w:rsidR="00053D93" w:rsidRDefault="00260B75">
            <w:pPr>
              <w:ind w:right="86"/>
              <w:jc w:val="right"/>
            </w:pPr>
            <w:r>
              <w:rPr>
                <w:sz w:val="16"/>
              </w:rPr>
              <w:t xml:space="preserve">Q8.398.505 </w:t>
            </w:r>
          </w:p>
        </w:tc>
        <w:tc>
          <w:tcPr>
            <w:tcW w:w="1156" w:type="dxa"/>
            <w:tcBorders>
              <w:top w:val="single" w:sz="2" w:space="0" w:color="000000"/>
              <w:left w:val="single" w:sz="2" w:space="0" w:color="000000"/>
              <w:bottom w:val="single" w:sz="2" w:space="0" w:color="000000"/>
              <w:right w:val="single" w:sz="2" w:space="0" w:color="000000"/>
            </w:tcBorders>
            <w:vAlign w:val="bottom"/>
          </w:tcPr>
          <w:p w14:paraId="3A9D2512" w14:textId="77777777" w:rsidR="00053D93" w:rsidRDefault="00260B75">
            <w:pPr>
              <w:ind w:left="19"/>
            </w:pPr>
            <w:r>
              <w:rPr>
                <w:sz w:val="16"/>
              </w:rPr>
              <w:t>Q898.640.00</w:t>
            </w:r>
          </w:p>
        </w:tc>
      </w:tr>
      <w:tr w:rsidR="00053D93" w14:paraId="0D227E29" w14:textId="77777777">
        <w:trPr>
          <w:trHeight w:val="713"/>
        </w:trPr>
        <w:tc>
          <w:tcPr>
            <w:tcW w:w="576" w:type="dxa"/>
            <w:tcBorders>
              <w:top w:val="single" w:sz="2" w:space="0" w:color="000000"/>
              <w:left w:val="single" w:sz="2" w:space="0" w:color="000000"/>
              <w:bottom w:val="single" w:sz="2" w:space="0" w:color="000000"/>
              <w:right w:val="single" w:sz="2" w:space="0" w:color="000000"/>
            </w:tcBorders>
          </w:tcPr>
          <w:p w14:paraId="6170589A" w14:textId="77777777" w:rsidR="00053D93" w:rsidRDefault="00260B75">
            <w:pPr>
              <w:ind w:right="84"/>
              <w:jc w:val="center"/>
            </w:pPr>
            <w:r>
              <w:rPr>
                <w:sz w:val="18"/>
              </w:rPr>
              <w:t>2</w:t>
            </w:r>
          </w:p>
        </w:tc>
        <w:tc>
          <w:tcPr>
            <w:tcW w:w="4488" w:type="dxa"/>
            <w:tcBorders>
              <w:top w:val="single" w:sz="2" w:space="0" w:color="000000"/>
              <w:left w:val="single" w:sz="2" w:space="0" w:color="000000"/>
              <w:bottom w:val="single" w:sz="2" w:space="0" w:color="000000"/>
              <w:right w:val="single" w:sz="2" w:space="0" w:color="000000"/>
            </w:tcBorders>
          </w:tcPr>
          <w:p w14:paraId="2E03EC88" w14:textId="77777777" w:rsidR="00053D93" w:rsidRDefault="00260B75">
            <w:pPr>
              <w:ind w:left="7" w:right="86" w:firstLine="7"/>
              <w:jc w:val="both"/>
            </w:pPr>
            <w:r>
              <w:rPr>
                <w:sz w:val="20"/>
              </w:rPr>
              <w:t>Un servicio de flete para traslado de equipo de prensa, equipamiento médico de Ciudad de Guatemala hacia Panamá y viceversa.</w:t>
            </w:r>
          </w:p>
        </w:tc>
        <w:tc>
          <w:tcPr>
            <w:tcW w:w="900" w:type="dxa"/>
            <w:tcBorders>
              <w:top w:val="single" w:sz="2" w:space="0" w:color="000000"/>
              <w:left w:val="single" w:sz="2" w:space="0" w:color="000000"/>
              <w:bottom w:val="single" w:sz="2" w:space="0" w:color="000000"/>
              <w:right w:val="single" w:sz="2" w:space="0" w:color="000000"/>
            </w:tcBorders>
            <w:vAlign w:val="bottom"/>
          </w:tcPr>
          <w:p w14:paraId="6795D60D" w14:textId="77777777" w:rsidR="00053D93" w:rsidRDefault="00260B75">
            <w:pPr>
              <w:ind w:right="96"/>
              <w:jc w:val="center"/>
            </w:pPr>
            <w:r>
              <w:rPr>
                <w:sz w:val="20"/>
              </w:rPr>
              <w:t>1</w:t>
            </w:r>
          </w:p>
        </w:tc>
        <w:tc>
          <w:tcPr>
            <w:tcW w:w="1346" w:type="dxa"/>
            <w:tcBorders>
              <w:top w:val="single" w:sz="2" w:space="0" w:color="000000"/>
              <w:left w:val="single" w:sz="2" w:space="0" w:color="000000"/>
              <w:bottom w:val="single" w:sz="2" w:space="0" w:color="000000"/>
              <w:right w:val="single" w:sz="2" w:space="0" w:color="000000"/>
            </w:tcBorders>
            <w:vAlign w:val="bottom"/>
          </w:tcPr>
          <w:p w14:paraId="7A4196D9" w14:textId="77777777" w:rsidR="00053D93" w:rsidRDefault="00260B75">
            <w:pPr>
              <w:ind w:right="86"/>
              <w:jc w:val="right"/>
            </w:pPr>
            <w:r>
              <w:rPr>
                <w:sz w:val="18"/>
              </w:rPr>
              <w:t xml:space="preserve">Q1,360.OO </w:t>
            </w:r>
          </w:p>
        </w:tc>
        <w:tc>
          <w:tcPr>
            <w:tcW w:w="1156" w:type="dxa"/>
            <w:tcBorders>
              <w:top w:val="single" w:sz="2" w:space="0" w:color="000000"/>
              <w:left w:val="single" w:sz="2" w:space="0" w:color="000000"/>
              <w:bottom w:val="single" w:sz="2" w:space="0" w:color="000000"/>
              <w:right w:val="single" w:sz="2" w:space="0" w:color="000000"/>
            </w:tcBorders>
            <w:vAlign w:val="bottom"/>
          </w:tcPr>
          <w:p w14:paraId="4144F2C6" w14:textId="77777777" w:rsidR="00053D93" w:rsidRDefault="00260B75">
            <w:pPr>
              <w:ind w:left="206"/>
            </w:pPr>
            <w:r>
              <w:rPr>
                <w:sz w:val="18"/>
              </w:rPr>
              <w:t>Q1,360.OO</w:t>
            </w:r>
          </w:p>
        </w:tc>
      </w:tr>
      <w:tr w:rsidR="00053D93" w14:paraId="4F357058" w14:textId="77777777">
        <w:trPr>
          <w:trHeight w:val="288"/>
        </w:trPr>
        <w:tc>
          <w:tcPr>
            <w:tcW w:w="576" w:type="dxa"/>
            <w:tcBorders>
              <w:top w:val="single" w:sz="2" w:space="0" w:color="000000"/>
              <w:left w:val="single" w:sz="2" w:space="0" w:color="000000"/>
              <w:bottom w:val="single" w:sz="2" w:space="0" w:color="000000"/>
              <w:right w:val="single" w:sz="2" w:space="0" w:color="000000"/>
            </w:tcBorders>
          </w:tcPr>
          <w:p w14:paraId="7F4E9167" w14:textId="77777777" w:rsidR="00053D93" w:rsidRDefault="00053D93"/>
        </w:tc>
        <w:tc>
          <w:tcPr>
            <w:tcW w:w="4488" w:type="dxa"/>
            <w:tcBorders>
              <w:top w:val="single" w:sz="2" w:space="0" w:color="000000"/>
              <w:left w:val="single" w:sz="2" w:space="0" w:color="000000"/>
              <w:bottom w:val="single" w:sz="2" w:space="0" w:color="000000"/>
              <w:right w:val="single" w:sz="2" w:space="0" w:color="000000"/>
            </w:tcBorders>
          </w:tcPr>
          <w:p w14:paraId="042D2A90" w14:textId="77777777" w:rsidR="00053D93" w:rsidRDefault="00260B75">
            <w:r>
              <w:rPr>
                <w:sz w:val="20"/>
              </w:rPr>
              <w:t>Total</w:t>
            </w:r>
          </w:p>
        </w:tc>
        <w:tc>
          <w:tcPr>
            <w:tcW w:w="900" w:type="dxa"/>
            <w:tcBorders>
              <w:top w:val="single" w:sz="2" w:space="0" w:color="000000"/>
              <w:left w:val="single" w:sz="2" w:space="0" w:color="000000"/>
              <w:bottom w:val="single" w:sz="2" w:space="0" w:color="000000"/>
              <w:right w:val="single" w:sz="2" w:space="0" w:color="000000"/>
            </w:tcBorders>
          </w:tcPr>
          <w:p w14:paraId="53C67974" w14:textId="77777777" w:rsidR="00053D93" w:rsidRDefault="00053D93"/>
        </w:tc>
        <w:tc>
          <w:tcPr>
            <w:tcW w:w="1346" w:type="dxa"/>
            <w:tcBorders>
              <w:top w:val="single" w:sz="2" w:space="0" w:color="000000"/>
              <w:left w:val="single" w:sz="2" w:space="0" w:color="000000"/>
              <w:bottom w:val="single" w:sz="2" w:space="0" w:color="000000"/>
              <w:right w:val="single" w:sz="2" w:space="0" w:color="000000"/>
            </w:tcBorders>
          </w:tcPr>
          <w:p w14:paraId="002E3840" w14:textId="77777777" w:rsidR="00053D93" w:rsidRDefault="00053D93"/>
        </w:tc>
        <w:tc>
          <w:tcPr>
            <w:tcW w:w="1156" w:type="dxa"/>
            <w:tcBorders>
              <w:top w:val="single" w:sz="2" w:space="0" w:color="000000"/>
              <w:left w:val="single" w:sz="2" w:space="0" w:color="000000"/>
              <w:bottom w:val="single" w:sz="2" w:space="0" w:color="000000"/>
              <w:right w:val="single" w:sz="2" w:space="0" w:color="000000"/>
            </w:tcBorders>
          </w:tcPr>
          <w:p w14:paraId="0830B251" w14:textId="77777777" w:rsidR="00053D93" w:rsidRDefault="00260B75">
            <w:pPr>
              <w:ind w:left="12"/>
            </w:pPr>
            <w:r>
              <w:rPr>
                <w:sz w:val="16"/>
              </w:rPr>
              <w:t>Q900.000.00</w:t>
            </w:r>
          </w:p>
        </w:tc>
      </w:tr>
    </w:tbl>
    <w:p w14:paraId="5023BA8C" w14:textId="77777777" w:rsidR="00053D93" w:rsidRDefault="00260B75">
      <w:pPr>
        <w:spacing w:after="356" w:line="271" w:lineRule="auto"/>
        <w:ind w:left="1677" w:right="7" w:firstLine="4"/>
        <w:jc w:val="both"/>
      </w:pPr>
      <w:r>
        <w:rPr>
          <w:sz w:val="20"/>
        </w:rPr>
        <w:t>Fuente: Documento Tributario Electrónico Serie: 18F821DD, Número: 2490581832 del 16 de diciembre de 2024, emitido por la entidad LAX TRAVELI S.A.</w:t>
      </w:r>
    </w:p>
    <w:p w14:paraId="05B86E92" w14:textId="77777777" w:rsidR="00053D93" w:rsidRDefault="00260B75">
      <w:pPr>
        <w:spacing w:after="12" w:line="250" w:lineRule="auto"/>
        <w:ind w:left="1717" w:right="79" w:hanging="3"/>
        <w:jc w:val="both"/>
      </w:pPr>
      <w:r>
        <w:rPr>
          <w:sz w:val="26"/>
        </w:rPr>
        <w:t>Por lo anteriormente descrito, se establecieron varias irregularidades en el evento publicado en el Sistema GUATECOMPRAS en el NOG: 24709395, mediante la modalidad de compra directa por ausencia de ofertas en el evento de cotización C-33/2024-MlNEDUC, publicado en el NOG orginal: 23723718, denominado ""Servicio de transporte aéreo para la delegación deportiva escolar de Guatemala que participará en los Juegos Deportivos Escolares Centroamericanos</w:t>
      </w:r>
    </w:p>
    <w:p w14:paraId="0F768520" w14:textId="77777777" w:rsidR="00053D93" w:rsidRDefault="00260B75">
      <w:pPr>
        <w:spacing w:after="46"/>
        <w:ind w:left="1706"/>
      </w:pPr>
      <w:r>
        <w:rPr>
          <w:noProof/>
        </w:rPr>
        <mc:AlternateContent>
          <mc:Choice Requires="wpg">
            <w:drawing>
              <wp:inline distT="0" distB="0" distL="0" distR="0" wp14:anchorId="108960A0" wp14:editId="014C9D57">
                <wp:extent cx="5381244" cy="13716"/>
                <wp:effectExtent l="0" t="0" r="0" b="0"/>
                <wp:docPr id="2458666" name="Group 2458666"/>
                <wp:cNvGraphicFramePr/>
                <a:graphic xmlns:a="http://schemas.openxmlformats.org/drawingml/2006/main">
                  <a:graphicData uri="http://schemas.microsoft.com/office/word/2010/wordprocessingGroup">
                    <wpg:wgp>
                      <wpg:cNvGrpSpPr/>
                      <wpg:grpSpPr>
                        <a:xfrm>
                          <a:off x="0" y="0"/>
                          <a:ext cx="5381244" cy="13716"/>
                          <a:chOff x="0" y="0"/>
                          <a:chExt cx="5381244" cy="13716"/>
                        </a:xfrm>
                      </wpg:grpSpPr>
                      <wps:wsp>
                        <wps:cNvPr id="2458665" name="Shape 2458665"/>
                        <wps:cNvSpPr/>
                        <wps:spPr>
                          <a:xfrm>
                            <a:off x="0" y="0"/>
                            <a:ext cx="5381244" cy="13716"/>
                          </a:xfrm>
                          <a:custGeom>
                            <a:avLst/>
                            <a:gdLst/>
                            <a:ahLst/>
                            <a:cxnLst/>
                            <a:rect l="0" t="0" r="0" b="0"/>
                            <a:pathLst>
                              <a:path w="5381244" h="13716">
                                <a:moveTo>
                                  <a:pt x="0" y="6858"/>
                                </a:moveTo>
                                <a:lnTo>
                                  <a:pt x="53812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66" style="width:423.72pt;height:1.08pt;mso-position-horizontal-relative:char;mso-position-vertical-relative:line" coordsize="53812,137">
                <v:shape id="Shape 2458665" style="position:absolute;width:53812;height:137;left:0;top:0;" coordsize="5381244,13716" path="m0,6858l5381244,6858">
                  <v:stroke weight="1.08pt" endcap="flat" joinstyle="miter" miterlimit="1" on="true" color="#000000"/>
                  <v:fill on="false" color="#000000"/>
                </v:shape>
              </v:group>
            </w:pict>
          </mc:Fallback>
        </mc:AlternateContent>
      </w:r>
    </w:p>
    <w:p w14:paraId="50DDC4F0" w14:textId="77777777" w:rsidR="00053D93" w:rsidRDefault="00260B75">
      <w:pPr>
        <w:spacing w:after="12" w:line="250" w:lineRule="auto"/>
        <w:ind w:left="1717" w:right="101" w:hanging="3"/>
        <w:jc w:val="both"/>
      </w:pPr>
      <w:r>
        <w:rPr>
          <w:sz w:val="26"/>
        </w:rPr>
        <w:t>del CODICADER, para estudiantes con discapacidad, a realizarse en Panamá, Panamá; a solicitud de la DIGEF", por la cantidad de Q443,901.19, integrado de la siguiente forma:</w:t>
      </w:r>
    </w:p>
    <w:tbl>
      <w:tblPr>
        <w:tblStyle w:val="TableGrid"/>
        <w:tblW w:w="8460" w:type="dxa"/>
        <w:tblInd w:w="1725" w:type="dxa"/>
        <w:tblCellMar>
          <w:top w:w="39" w:type="dxa"/>
          <w:left w:w="72" w:type="dxa"/>
          <w:bottom w:w="19" w:type="dxa"/>
        </w:tblCellMar>
        <w:tblLook w:val="04A0" w:firstRow="1" w:lastRow="0" w:firstColumn="1" w:lastColumn="0" w:noHBand="0" w:noVBand="1"/>
      </w:tblPr>
      <w:tblGrid>
        <w:gridCol w:w="586"/>
        <w:gridCol w:w="4205"/>
        <w:gridCol w:w="1037"/>
        <w:gridCol w:w="1466"/>
        <w:gridCol w:w="1166"/>
      </w:tblGrid>
      <w:tr w:rsidR="00053D93" w14:paraId="7CFFA3C4" w14:textId="77777777">
        <w:trPr>
          <w:trHeight w:val="262"/>
        </w:trPr>
        <w:tc>
          <w:tcPr>
            <w:tcW w:w="586" w:type="dxa"/>
            <w:tcBorders>
              <w:top w:val="single" w:sz="2" w:space="0" w:color="000000"/>
              <w:left w:val="single" w:sz="2" w:space="0" w:color="000000"/>
              <w:bottom w:val="single" w:sz="2" w:space="0" w:color="000000"/>
              <w:right w:val="single" w:sz="2" w:space="0" w:color="000000"/>
            </w:tcBorders>
          </w:tcPr>
          <w:p w14:paraId="66D8FA62" w14:textId="77777777" w:rsidR="00053D93" w:rsidRDefault="00053D93"/>
        </w:tc>
        <w:tc>
          <w:tcPr>
            <w:tcW w:w="4205" w:type="dxa"/>
            <w:tcBorders>
              <w:top w:val="single" w:sz="2" w:space="0" w:color="000000"/>
              <w:left w:val="single" w:sz="2" w:space="0" w:color="000000"/>
              <w:bottom w:val="single" w:sz="2" w:space="0" w:color="000000"/>
              <w:right w:val="single" w:sz="2" w:space="0" w:color="000000"/>
            </w:tcBorders>
          </w:tcPr>
          <w:p w14:paraId="2D0A8195" w14:textId="77777777" w:rsidR="00053D93" w:rsidRDefault="00260B75">
            <w:pPr>
              <w:ind w:right="101"/>
              <w:jc w:val="center"/>
            </w:pPr>
            <w:r>
              <w:t>Descripción</w:t>
            </w:r>
          </w:p>
        </w:tc>
        <w:tc>
          <w:tcPr>
            <w:tcW w:w="1037" w:type="dxa"/>
            <w:tcBorders>
              <w:top w:val="single" w:sz="2" w:space="0" w:color="000000"/>
              <w:left w:val="single" w:sz="2" w:space="0" w:color="000000"/>
              <w:bottom w:val="single" w:sz="2" w:space="0" w:color="000000"/>
              <w:right w:val="single" w:sz="2" w:space="0" w:color="000000"/>
            </w:tcBorders>
          </w:tcPr>
          <w:p w14:paraId="0719EDE6" w14:textId="77777777" w:rsidR="00053D93" w:rsidRDefault="00260B75">
            <w:pPr>
              <w:ind w:right="94"/>
              <w:jc w:val="center"/>
            </w:pPr>
            <w:r>
              <w:rPr>
                <w:sz w:val="20"/>
              </w:rPr>
              <w:t>Cantidad</w:t>
            </w:r>
          </w:p>
        </w:tc>
        <w:tc>
          <w:tcPr>
            <w:tcW w:w="1466" w:type="dxa"/>
            <w:tcBorders>
              <w:top w:val="single" w:sz="2" w:space="0" w:color="000000"/>
              <w:left w:val="single" w:sz="2" w:space="0" w:color="000000"/>
              <w:bottom w:val="single" w:sz="2" w:space="0" w:color="000000"/>
              <w:right w:val="single" w:sz="2" w:space="0" w:color="000000"/>
            </w:tcBorders>
          </w:tcPr>
          <w:p w14:paraId="08C84FF3" w14:textId="77777777" w:rsidR="00053D93" w:rsidRDefault="00260B75">
            <w:pPr>
              <w:ind w:right="33"/>
              <w:jc w:val="center"/>
            </w:pPr>
            <w:r>
              <w:rPr>
                <w:sz w:val="20"/>
              </w:rPr>
              <w:t>Precio unitario</w:t>
            </w:r>
          </w:p>
        </w:tc>
        <w:tc>
          <w:tcPr>
            <w:tcW w:w="1166" w:type="dxa"/>
            <w:tcBorders>
              <w:top w:val="single" w:sz="2" w:space="0" w:color="000000"/>
              <w:left w:val="single" w:sz="2" w:space="0" w:color="000000"/>
              <w:bottom w:val="single" w:sz="2" w:space="0" w:color="000000"/>
              <w:right w:val="single" w:sz="2" w:space="0" w:color="000000"/>
            </w:tcBorders>
          </w:tcPr>
          <w:p w14:paraId="07AFC405" w14:textId="77777777" w:rsidR="00053D93" w:rsidRDefault="00260B75">
            <w:pPr>
              <w:ind w:right="45"/>
              <w:jc w:val="center"/>
            </w:pPr>
            <w:r>
              <w:rPr>
                <w:sz w:val="20"/>
              </w:rPr>
              <w:t>Total</w:t>
            </w:r>
          </w:p>
        </w:tc>
      </w:tr>
      <w:tr w:rsidR="00053D93" w14:paraId="37CC2EE2" w14:textId="77777777">
        <w:trPr>
          <w:trHeight w:val="480"/>
        </w:trPr>
        <w:tc>
          <w:tcPr>
            <w:tcW w:w="586" w:type="dxa"/>
            <w:tcBorders>
              <w:top w:val="single" w:sz="2" w:space="0" w:color="000000"/>
              <w:left w:val="single" w:sz="2" w:space="0" w:color="000000"/>
              <w:bottom w:val="single" w:sz="2" w:space="0" w:color="000000"/>
              <w:right w:val="single" w:sz="2" w:space="0" w:color="000000"/>
            </w:tcBorders>
          </w:tcPr>
          <w:p w14:paraId="763A9FFE" w14:textId="77777777" w:rsidR="00053D93" w:rsidRDefault="00053D93"/>
        </w:tc>
        <w:tc>
          <w:tcPr>
            <w:tcW w:w="4205" w:type="dxa"/>
            <w:tcBorders>
              <w:top w:val="single" w:sz="2" w:space="0" w:color="000000"/>
              <w:left w:val="single" w:sz="2" w:space="0" w:color="000000"/>
              <w:bottom w:val="single" w:sz="2" w:space="0" w:color="000000"/>
              <w:right w:val="single" w:sz="2" w:space="0" w:color="000000"/>
            </w:tcBorders>
          </w:tcPr>
          <w:p w14:paraId="4218D4F9" w14:textId="77777777" w:rsidR="00053D93" w:rsidRDefault="00260B75">
            <w:pPr>
              <w:ind w:firstLine="14"/>
              <w:jc w:val="both"/>
            </w:pPr>
            <w:r>
              <w:rPr>
                <w:sz w:val="20"/>
              </w:rPr>
              <w:t>Cantidad de boletos aéreos ofertados por LAX TRAVEL, S.A.</w:t>
            </w:r>
          </w:p>
        </w:tc>
        <w:tc>
          <w:tcPr>
            <w:tcW w:w="1037" w:type="dxa"/>
            <w:tcBorders>
              <w:top w:val="single" w:sz="2" w:space="0" w:color="000000"/>
              <w:left w:val="single" w:sz="2" w:space="0" w:color="000000"/>
              <w:bottom w:val="single" w:sz="2" w:space="0" w:color="000000"/>
              <w:right w:val="single" w:sz="2" w:space="0" w:color="000000"/>
            </w:tcBorders>
            <w:vAlign w:val="bottom"/>
          </w:tcPr>
          <w:p w14:paraId="4DAF3E7B" w14:textId="77777777" w:rsidR="00053D93" w:rsidRDefault="00260B75">
            <w:pPr>
              <w:ind w:right="72"/>
              <w:jc w:val="center"/>
            </w:pPr>
            <w:r>
              <w:rPr>
                <w:sz w:val="20"/>
              </w:rPr>
              <w:t>188</w:t>
            </w:r>
          </w:p>
        </w:tc>
        <w:tc>
          <w:tcPr>
            <w:tcW w:w="1466" w:type="dxa"/>
            <w:tcBorders>
              <w:top w:val="single" w:sz="2" w:space="0" w:color="000000"/>
              <w:left w:val="single" w:sz="2" w:space="0" w:color="000000"/>
              <w:bottom w:val="single" w:sz="2" w:space="0" w:color="000000"/>
              <w:right w:val="single" w:sz="2" w:space="0" w:color="000000"/>
            </w:tcBorders>
          </w:tcPr>
          <w:p w14:paraId="56FCCF59" w14:textId="77777777" w:rsidR="00053D93" w:rsidRDefault="00053D93"/>
        </w:tc>
        <w:tc>
          <w:tcPr>
            <w:tcW w:w="1166" w:type="dxa"/>
            <w:tcBorders>
              <w:top w:val="single" w:sz="2" w:space="0" w:color="000000"/>
              <w:left w:val="single" w:sz="2" w:space="0" w:color="000000"/>
              <w:bottom w:val="single" w:sz="2" w:space="0" w:color="000000"/>
              <w:right w:val="single" w:sz="2" w:space="0" w:color="000000"/>
            </w:tcBorders>
            <w:vAlign w:val="bottom"/>
          </w:tcPr>
          <w:p w14:paraId="3BAB5AEE" w14:textId="77777777" w:rsidR="00053D93" w:rsidRDefault="00260B75">
            <w:pPr>
              <w:ind w:left="24"/>
            </w:pPr>
            <w:r>
              <w:rPr>
                <w:sz w:val="16"/>
              </w:rPr>
              <w:t>Q898.640.00</w:t>
            </w:r>
          </w:p>
        </w:tc>
      </w:tr>
      <w:tr w:rsidR="00053D93" w14:paraId="03DD968E" w14:textId="77777777">
        <w:trPr>
          <w:trHeight w:val="482"/>
        </w:trPr>
        <w:tc>
          <w:tcPr>
            <w:tcW w:w="586" w:type="dxa"/>
            <w:tcBorders>
              <w:top w:val="single" w:sz="2" w:space="0" w:color="000000"/>
              <w:left w:val="single" w:sz="2" w:space="0" w:color="000000"/>
              <w:bottom w:val="single" w:sz="2" w:space="0" w:color="000000"/>
              <w:right w:val="single" w:sz="2" w:space="0" w:color="000000"/>
            </w:tcBorders>
          </w:tcPr>
          <w:p w14:paraId="2F2F6673" w14:textId="77777777" w:rsidR="00053D93" w:rsidRDefault="00053D93"/>
        </w:tc>
        <w:tc>
          <w:tcPr>
            <w:tcW w:w="4205" w:type="dxa"/>
            <w:tcBorders>
              <w:top w:val="single" w:sz="2" w:space="0" w:color="000000"/>
              <w:left w:val="single" w:sz="2" w:space="0" w:color="000000"/>
              <w:bottom w:val="single" w:sz="2" w:space="0" w:color="000000"/>
              <w:right w:val="single" w:sz="2" w:space="0" w:color="000000"/>
            </w:tcBorders>
            <w:vAlign w:val="bottom"/>
          </w:tcPr>
          <w:p w14:paraId="487A1528" w14:textId="77777777" w:rsidR="00053D93" w:rsidRDefault="00260B75">
            <w:pPr>
              <w:ind w:left="7"/>
            </w:pPr>
            <w:r>
              <w:rPr>
                <w:sz w:val="20"/>
              </w:rPr>
              <w:t>Cantidad de boletos aéreos entregados a DIGEF</w:t>
            </w:r>
          </w:p>
        </w:tc>
        <w:tc>
          <w:tcPr>
            <w:tcW w:w="1037" w:type="dxa"/>
            <w:tcBorders>
              <w:top w:val="single" w:sz="2" w:space="0" w:color="000000"/>
              <w:left w:val="single" w:sz="2" w:space="0" w:color="000000"/>
              <w:bottom w:val="single" w:sz="2" w:space="0" w:color="000000"/>
              <w:right w:val="single" w:sz="2" w:space="0" w:color="000000"/>
            </w:tcBorders>
            <w:vAlign w:val="bottom"/>
          </w:tcPr>
          <w:p w14:paraId="0E8A6F09" w14:textId="77777777" w:rsidR="00053D93" w:rsidRDefault="00260B75">
            <w:pPr>
              <w:ind w:right="65"/>
              <w:jc w:val="center"/>
            </w:pPr>
            <w:r>
              <w:rPr>
                <w:sz w:val="20"/>
              </w:rPr>
              <w:t>107</w:t>
            </w:r>
          </w:p>
        </w:tc>
        <w:tc>
          <w:tcPr>
            <w:tcW w:w="1466" w:type="dxa"/>
            <w:tcBorders>
              <w:top w:val="single" w:sz="2" w:space="0" w:color="000000"/>
              <w:left w:val="single" w:sz="2" w:space="0" w:color="000000"/>
              <w:bottom w:val="single" w:sz="2" w:space="0" w:color="000000"/>
              <w:right w:val="single" w:sz="2" w:space="0" w:color="000000"/>
            </w:tcBorders>
            <w:vAlign w:val="bottom"/>
          </w:tcPr>
          <w:p w14:paraId="6FD25507" w14:textId="77777777" w:rsidR="00053D93" w:rsidRDefault="00260B75">
            <w:pPr>
              <w:ind w:right="84"/>
              <w:jc w:val="right"/>
            </w:pPr>
            <w:r>
              <w:rPr>
                <w:sz w:val="16"/>
              </w:rPr>
              <w:t xml:space="preserve">Q4.780.00 </w:t>
            </w:r>
          </w:p>
        </w:tc>
        <w:tc>
          <w:tcPr>
            <w:tcW w:w="1166" w:type="dxa"/>
            <w:tcBorders>
              <w:top w:val="single" w:sz="2" w:space="0" w:color="000000"/>
              <w:left w:val="single" w:sz="2" w:space="0" w:color="000000"/>
              <w:bottom w:val="single" w:sz="2" w:space="0" w:color="000000"/>
              <w:right w:val="single" w:sz="2" w:space="0" w:color="000000"/>
            </w:tcBorders>
            <w:vAlign w:val="bottom"/>
          </w:tcPr>
          <w:p w14:paraId="7314E68D" w14:textId="77777777" w:rsidR="00053D93" w:rsidRDefault="00260B75">
            <w:pPr>
              <w:ind w:left="24"/>
            </w:pPr>
            <w:r>
              <w:rPr>
                <w:sz w:val="16"/>
              </w:rPr>
              <w:t>Q511.460.00</w:t>
            </w:r>
          </w:p>
        </w:tc>
      </w:tr>
      <w:tr w:rsidR="00053D93" w14:paraId="541FC984" w14:textId="77777777">
        <w:trPr>
          <w:trHeight w:val="737"/>
        </w:trPr>
        <w:tc>
          <w:tcPr>
            <w:tcW w:w="586" w:type="dxa"/>
            <w:tcBorders>
              <w:top w:val="single" w:sz="2" w:space="0" w:color="000000"/>
              <w:left w:val="single" w:sz="2" w:space="0" w:color="000000"/>
              <w:bottom w:val="single" w:sz="2" w:space="0" w:color="000000"/>
              <w:right w:val="single" w:sz="2" w:space="0" w:color="000000"/>
            </w:tcBorders>
          </w:tcPr>
          <w:p w14:paraId="66E56547" w14:textId="77777777" w:rsidR="00053D93" w:rsidRDefault="00053D93"/>
        </w:tc>
        <w:tc>
          <w:tcPr>
            <w:tcW w:w="4205" w:type="dxa"/>
            <w:tcBorders>
              <w:top w:val="single" w:sz="2" w:space="0" w:color="000000"/>
              <w:left w:val="single" w:sz="2" w:space="0" w:color="000000"/>
              <w:bottom w:val="single" w:sz="2" w:space="0" w:color="000000"/>
              <w:right w:val="single" w:sz="2" w:space="0" w:color="000000"/>
            </w:tcBorders>
          </w:tcPr>
          <w:p w14:paraId="096B4EA1" w14:textId="77777777" w:rsidR="00053D93" w:rsidRDefault="00260B75">
            <w:pPr>
              <w:ind w:left="7" w:right="94" w:firstLine="7"/>
              <w:jc w:val="both"/>
            </w:pPr>
            <w:r>
              <w:t>Cantidad de boletos no emitidos en el evento adjudicado y exigido en pago por LAX TRAVEL, S.A.</w:t>
            </w:r>
          </w:p>
        </w:tc>
        <w:tc>
          <w:tcPr>
            <w:tcW w:w="1037" w:type="dxa"/>
            <w:tcBorders>
              <w:top w:val="single" w:sz="2" w:space="0" w:color="000000"/>
              <w:left w:val="single" w:sz="2" w:space="0" w:color="000000"/>
              <w:bottom w:val="single" w:sz="2" w:space="0" w:color="000000"/>
              <w:right w:val="single" w:sz="2" w:space="0" w:color="000000"/>
            </w:tcBorders>
            <w:vAlign w:val="bottom"/>
          </w:tcPr>
          <w:p w14:paraId="74B4374C" w14:textId="77777777" w:rsidR="00053D93" w:rsidRDefault="00260B75">
            <w:pPr>
              <w:ind w:right="86"/>
              <w:jc w:val="center"/>
            </w:pPr>
            <w:r>
              <w:rPr>
                <w:sz w:val="18"/>
              </w:rPr>
              <w:t>81</w:t>
            </w:r>
          </w:p>
        </w:tc>
        <w:tc>
          <w:tcPr>
            <w:tcW w:w="1466" w:type="dxa"/>
            <w:tcBorders>
              <w:top w:val="single" w:sz="2" w:space="0" w:color="000000"/>
              <w:left w:val="single" w:sz="2" w:space="0" w:color="000000"/>
              <w:bottom w:val="single" w:sz="2" w:space="0" w:color="000000"/>
              <w:right w:val="single" w:sz="2" w:space="0" w:color="000000"/>
            </w:tcBorders>
            <w:vAlign w:val="bottom"/>
          </w:tcPr>
          <w:p w14:paraId="40BA6362" w14:textId="77777777" w:rsidR="00053D93" w:rsidRDefault="00260B75">
            <w:pPr>
              <w:ind w:right="84"/>
              <w:jc w:val="right"/>
            </w:pPr>
            <w:r>
              <w:rPr>
                <w:sz w:val="18"/>
              </w:rPr>
              <w:t xml:space="preserve">Q4,780.OO </w:t>
            </w:r>
          </w:p>
        </w:tc>
        <w:tc>
          <w:tcPr>
            <w:tcW w:w="1166" w:type="dxa"/>
            <w:tcBorders>
              <w:top w:val="single" w:sz="2" w:space="0" w:color="000000"/>
              <w:left w:val="single" w:sz="2" w:space="0" w:color="000000"/>
              <w:bottom w:val="single" w:sz="2" w:space="0" w:color="000000"/>
              <w:right w:val="single" w:sz="2" w:space="0" w:color="000000"/>
            </w:tcBorders>
            <w:vAlign w:val="bottom"/>
          </w:tcPr>
          <w:p w14:paraId="49837B58" w14:textId="77777777" w:rsidR="00053D93" w:rsidRDefault="00260B75">
            <w:pPr>
              <w:ind w:left="24"/>
            </w:pPr>
            <w:r>
              <w:rPr>
                <w:sz w:val="18"/>
              </w:rPr>
              <w:t>Q387,180.OO</w:t>
            </w:r>
          </w:p>
        </w:tc>
      </w:tr>
      <w:tr w:rsidR="00053D93" w14:paraId="57B2A6E7" w14:textId="77777777">
        <w:trPr>
          <w:trHeight w:val="482"/>
        </w:trPr>
        <w:tc>
          <w:tcPr>
            <w:tcW w:w="586" w:type="dxa"/>
            <w:tcBorders>
              <w:top w:val="single" w:sz="2" w:space="0" w:color="000000"/>
              <w:left w:val="single" w:sz="2" w:space="0" w:color="000000"/>
              <w:bottom w:val="single" w:sz="2" w:space="0" w:color="000000"/>
              <w:right w:val="single" w:sz="2" w:space="0" w:color="000000"/>
            </w:tcBorders>
          </w:tcPr>
          <w:p w14:paraId="6282B208" w14:textId="77777777" w:rsidR="00053D93" w:rsidRDefault="00053D93"/>
        </w:tc>
        <w:tc>
          <w:tcPr>
            <w:tcW w:w="4205" w:type="dxa"/>
            <w:tcBorders>
              <w:top w:val="single" w:sz="2" w:space="0" w:color="000000"/>
              <w:left w:val="single" w:sz="2" w:space="0" w:color="000000"/>
              <w:bottom w:val="single" w:sz="2" w:space="0" w:color="000000"/>
              <w:right w:val="single" w:sz="2" w:space="0" w:color="000000"/>
            </w:tcBorders>
          </w:tcPr>
          <w:p w14:paraId="4AF4B805" w14:textId="77777777" w:rsidR="00053D93" w:rsidRDefault="00260B75">
            <w:pPr>
              <w:ind w:left="14"/>
              <w:jc w:val="both"/>
            </w:pPr>
            <w:r>
              <w:rPr>
                <w:sz w:val="20"/>
              </w:rPr>
              <w:t>Servicio de flete no recibido por DIGEF Y exigido en pago por LAX TRAVEL, S.A.</w:t>
            </w:r>
          </w:p>
        </w:tc>
        <w:tc>
          <w:tcPr>
            <w:tcW w:w="1037" w:type="dxa"/>
            <w:tcBorders>
              <w:top w:val="single" w:sz="2" w:space="0" w:color="000000"/>
              <w:left w:val="single" w:sz="2" w:space="0" w:color="000000"/>
              <w:bottom w:val="single" w:sz="2" w:space="0" w:color="000000"/>
              <w:right w:val="single" w:sz="2" w:space="0" w:color="000000"/>
            </w:tcBorders>
          </w:tcPr>
          <w:p w14:paraId="29446CDD" w14:textId="77777777" w:rsidR="00053D93" w:rsidRDefault="00053D93"/>
        </w:tc>
        <w:tc>
          <w:tcPr>
            <w:tcW w:w="1466" w:type="dxa"/>
            <w:tcBorders>
              <w:top w:val="single" w:sz="2" w:space="0" w:color="000000"/>
              <w:left w:val="single" w:sz="2" w:space="0" w:color="000000"/>
              <w:bottom w:val="single" w:sz="2" w:space="0" w:color="000000"/>
              <w:right w:val="single" w:sz="2" w:space="0" w:color="000000"/>
            </w:tcBorders>
            <w:vAlign w:val="bottom"/>
          </w:tcPr>
          <w:p w14:paraId="411113FB" w14:textId="77777777" w:rsidR="00053D93" w:rsidRDefault="00260B75">
            <w:pPr>
              <w:ind w:right="84"/>
              <w:jc w:val="right"/>
            </w:pPr>
            <w:r>
              <w:rPr>
                <w:sz w:val="16"/>
              </w:rPr>
              <w:t xml:space="preserve">Q1.360.00 </w:t>
            </w:r>
          </w:p>
        </w:tc>
        <w:tc>
          <w:tcPr>
            <w:tcW w:w="1166" w:type="dxa"/>
            <w:tcBorders>
              <w:top w:val="single" w:sz="2" w:space="0" w:color="000000"/>
              <w:left w:val="single" w:sz="2" w:space="0" w:color="000000"/>
              <w:bottom w:val="single" w:sz="2" w:space="0" w:color="000000"/>
              <w:right w:val="single" w:sz="2" w:space="0" w:color="000000"/>
            </w:tcBorders>
            <w:vAlign w:val="bottom"/>
          </w:tcPr>
          <w:p w14:paraId="473858C7" w14:textId="77777777" w:rsidR="00053D93" w:rsidRDefault="00260B75">
            <w:pPr>
              <w:ind w:left="219"/>
            </w:pPr>
            <w:r>
              <w:rPr>
                <w:sz w:val="16"/>
              </w:rPr>
              <w:t>Q1.360.00</w:t>
            </w:r>
          </w:p>
        </w:tc>
      </w:tr>
      <w:tr w:rsidR="00053D93" w14:paraId="0FE8D56E" w14:textId="77777777">
        <w:trPr>
          <w:trHeight w:val="710"/>
        </w:trPr>
        <w:tc>
          <w:tcPr>
            <w:tcW w:w="586" w:type="dxa"/>
            <w:tcBorders>
              <w:top w:val="single" w:sz="2" w:space="0" w:color="000000"/>
              <w:left w:val="single" w:sz="2" w:space="0" w:color="000000"/>
              <w:bottom w:val="single" w:sz="2" w:space="0" w:color="000000"/>
              <w:right w:val="single" w:sz="2" w:space="0" w:color="000000"/>
            </w:tcBorders>
          </w:tcPr>
          <w:p w14:paraId="7BB9D93C" w14:textId="77777777" w:rsidR="00053D93" w:rsidRDefault="00053D93"/>
        </w:tc>
        <w:tc>
          <w:tcPr>
            <w:tcW w:w="4205" w:type="dxa"/>
            <w:tcBorders>
              <w:top w:val="single" w:sz="2" w:space="0" w:color="000000"/>
              <w:left w:val="single" w:sz="2" w:space="0" w:color="000000"/>
              <w:bottom w:val="single" w:sz="2" w:space="0" w:color="000000"/>
              <w:right w:val="single" w:sz="2" w:space="0" w:color="000000"/>
            </w:tcBorders>
          </w:tcPr>
          <w:p w14:paraId="23CFD387" w14:textId="77777777" w:rsidR="00053D93" w:rsidRDefault="00260B75">
            <w:pPr>
              <w:ind w:left="21" w:right="86" w:hanging="7"/>
              <w:jc w:val="both"/>
            </w:pPr>
            <w:r>
              <w:rPr>
                <w:sz w:val="20"/>
              </w:rPr>
              <w:t>Diferencia pagada de más por los 15 boletos aéreos adquiridos mediante viáticos al exterior a la entidad LAX TRAVEL, S.A.</w:t>
            </w:r>
          </w:p>
        </w:tc>
        <w:tc>
          <w:tcPr>
            <w:tcW w:w="1037" w:type="dxa"/>
            <w:tcBorders>
              <w:top w:val="single" w:sz="2" w:space="0" w:color="000000"/>
              <w:left w:val="single" w:sz="2" w:space="0" w:color="000000"/>
              <w:bottom w:val="single" w:sz="2" w:space="0" w:color="000000"/>
              <w:right w:val="single" w:sz="2" w:space="0" w:color="000000"/>
            </w:tcBorders>
            <w:vAlign w:val="bottom"/>
          </w:tcPr>
          <w:p w14:paraId="76F297EA" w14:textId="77777777" w:rsidR="00053D93" w:rsidRDefault="00260B75">
            <w:pPr>
              <w:ind w:right="50"/>
              <w:jc w:val="center"/>
            </w:pPr>
            <w:r>
              <w:rPr>
                <w:sz w:val="20"/>
              </w:rPr>
              <w:t>15</w:t>
            </w:r>
          </w:p>
        </w:tc>
        <w:tc>
          <w:tcPr>
            <w:tcW w:w="1466" w:type="dxa"/>
            <w:tcBorders>
              <w:top w:val="single" w:sz="2" w:space="0" w:color="000000"/>
              <w:left w:val="single" w:sz="2" w:space="0" w:color="000000"/>
              <w:bottom w:val="single" w:sz="2" w:space="0" w:color="000000"/>
              <w:right w:val="single" w:sz="2" w:space="0" w:color="000000"/>
            </w:tcBorders>
          </w:tcPr>
          <w:p w14:paraId="53BADCD9" w14:textId="77777777" w:rsidR="00053D93" w:rsidRDefault="00053D93"/>
        </w:tc>
        <w:tc>
          <w:tcPr>
            <w:tcW w:w="1166" w:type="dxa"/>
            <w:tcBorders>
              <w:top w:val="single" w:sz="2" w:space="0" w:color="000000"/>
              <w:left w:val="single" w:sz="2" w:space="0" w:color="000000"/>
              <w:bottom w:val="single" w:sz="2" w:space="0" w:color="000000"/>
              <w:right w:val="single" w:sz="2" w:space="0" w:color="000000"/>
            </w:tcBorders>
            <w:vAlign w:val="bottom"/>
          </w:tcPr>
          <w:p w14:paraId="42B75FF3" w14:textId="77777777" w:rsidR="00053D93" w:rsidRDefault="00260B75">
            <w:pPr>
              <w:ind w:left="41"/>
              <w:jc w:val="center"/>
            </w:pPr>
            <w:r>
              <w:rPr>
                <w:sz w:val="16"/>
              </w:rPr>
              <w:t>Q55,361.19</w:t>
            </w:r>
          </w:p>
        </w:tc>
      </w:tr>
      <w:tr w:rsidR="00053D93" w14:paraId="0A6DF77F" w14:textId="77777777">
        <w:trPr>
          <w:trHeight w:val="497"/>
        </w:trPr>
        <w:tc>
          <w:tcPr>
            <w:tcW w:w="586" w:type="dxa"/>
            <w:tcBorders>
              <w:top w:val="single" w:sz="2" w:space="0" w:color="000000"/>
              <w:left w:val="single" w:sz="2" w:space="0" w:color="000000"/>
              <w:bottom w:val="single" w:sz="2" w:space="0" w:color="000000"/>
              <w:right w:val="single" w:sz="2" w:space="0" w:color="000000"/>
            </w:tcBorders>
          </w:tcPr>
          <w:p w14:paraId="7250A2DE" w14:textId="77777777" w:rsidR="00053D93" w:rsidRDefault="00053D93"/>
        </w:tc>
        <w:tc>
          <w:tcPr>
            <w:tcW w:w="4205" w:type="dxa"/>
            <w:tcBorders>
              <w:top w:val="single" w:sz="2" w:space="0" w:color="000000"/>
              <w:left w:val="single" w:sz="2" w:space="0" w:color="000000"/>
              <w:bottom w:val="single" w:sz="2" w:space="0" w:color="000000"/>
              <w:right w:val="single" w:sz="2" w:space="0" w:color="000000"/>
            </w:tcBorders>
            <w:vAlign w:val="bottom"/>
          </w:tcPr>
          <w:p w14:paraId="1A850A8C" w14:textId="77777777" w:rsidR="00053D93" w:rsidRDefault="00260B75">
            <w:pPr>
              <w:ind w:left="14"/>
            </w:pPr>
            <w:r>
              <w:rPr>
                <w:sz w:val="20"/>
              </w:rPr>
              <w:t>Total de irregularidades identificadas</w:t>
            </w:r>
          </w:p>
        </w:tc>
        <w:tc>
          <w:tcPr>
            <w:tcW w:w="1037" w:type="dxa"/>
            <w:tcBorders>
              <w:top w:val="single" w:sz="2" w:space="0" w:color="000000"/>
              <w:left w:val="single" w:sz="2" w:space="0" w:color="000000"/>
              <w:bottom w:val="single" w:sz="2" w:space="0" w:color="000000"/>
              <w:right w:val="single" w:sz="2" w:space="0" w:color="000000"/>
            </w:tcBorders>
          </w:tcPr>
          <w:p w14:paraId="7CF265E9" w14:textId="77777777" w:rsidR="00053D93" w:rsidRDefault="00053D93"/>
        </w:tc>
        <w:tc>
          <w:tcPr>
            <w:tcW w:w="1466" w:type="dxa"/>
            <w:tcBorders>
              <w:top w:val="single" w:sz="2" w:space="0" w:color="000000"/>
              <w:left w:val="single" w:sz="2" w:space="0" w:color="000000"/>
              <w:bottom w:val="single" w:sz="2" w:space="0" w:color="000000"/>
              <w:right w:val="single" w:sz="2" w:space="0" w:color="000000"/>
            </w:tcBorders>
          </w:tcPr>
          <w:p w14:paraId="7A3C9FAA" w14:textId="77777777" w:rsidR="00053D93" w:rsidRDefault="00053D93"/>
        </w:tc>
        <w:tc>
          <w:tcPr>
            <w:tcW w:w="1166" w:type="dxa"/>
            <w:tcBorders>
              <w:top w:val="single" w:sz="2" w:space="0" w:color="000000"/>
              <w:left w:val="single" w:sz="2" w:space="0" w:color="000000"/>
              <w:bottom w:val="single" w:sz="2" w:space="0" w:color="000000"/>
              <w:right w:val="single" w:sz="2" w:space="0" w:color="000000"/>
            </w:tcBorders>
            <w:vAlign w:val="bottom"/>
          </w:tcPr>
          <w:p w14:paraId="02C63F10" w14:textId="77777777" w:rsidR="00053D93" w:rsidRDefault="00260B75">
            <w:pPr>
              <w:ind w:left="39"/>
            </w:pPr>
            <w:r>
              <w:rPr>
                <w:sz w:val="16"/>
              </w:rPr>
              <w:t>Q443.901.19</w:t>
            </w:r>
          </w:p>
        </w:tc>
      </w:tr>
    </w:tbl>
    <w:p w14:paraId="37BC7CD6" w14:textId="77777777" w:rsidR="00053D93" w:rsidRDefault="00260B75">
      <w:pPr>
        <w:spacing w:after="35" w:line="271" w:lineRule="auto"/>
        <w:ind w:left="1742" w:right="7" w:firstLine="4"/>
        <w:jc w:val="both"/>
      </w:pPr>
      <w:r>
        <w:rPr>
          <w:sz w:val="20"/>
        </w:rPr>
        <w:t>Fuente: Elaboración propia con base en la documentación de soporte presentada por la Dirección General de</w:t>
      </w:r>
    </w:p>
    <w:p w14:paraId="550DE2F7" w14:textId="77777777" w:rsidR="00053D93" w:rsidRDefault="00260B75">
      <w:pPr>
        <w:spacing w:after="337"/>
        <w:ind w:left="1742"/>
      </w:pPr>
      <w:r>
        <w:t>Educación Fisica -DIGEF-.</w:t>
      </w:r>
    </w:p>
    <w:p w14:paraId="10C9085B" w14:textId="77777777" w:rsidR="00053D93" w:rsidRDefault="00260B75">
      <w:pPr>
        <w:spacing w:after="12" w:line="250" w:lineRule="auto"/>
        <w:ind w:left="1745" w:right="14" w:hanging="3"/>
        <w:jc w:val="both"/>
      </w:pPr>
      <w:r>
        <w:rPr>
          <w:sz w:val="26"/>
        </w:rPr>
        <w:t>Criterio</w:t>
      </w:r>
    </w:p>
    <w:tbl>
      <w:tblPr>
        <w:tblStyle w:val="TableGrid"/>
        <w:tblpPr w:vertAnchor="page" w:horzAnchor="page" w:tblpX="2884" w:tblpY="14652"/>
        <w:tblOverlap w:val="never"/>
        <w:tblW w:w="7664" w:type="dxa"/>
        <w:tblInd w:w="0" w:type="dxa"/>
        <w:tblCellMar>
          <w:top w:w="27" w:type="dxa"/>
          <w:left w:w="1774" w:type="dxa"/>
          <w:right w:w="115" w:type="dxa"/>
        </w:tblCellMar>
        <w:tblLook w:val="04A0" w:firstRow="1" w:lastRow="0" w:firstColumn="1" w:lastColumn="0" w:noHBand="0" w:noVBand="1"/>
      </w:tblPr>
      <w:tblGrid>
        <w:gridCol w:w="7664"/>
      </w:tblGrid>
      <w:tr w:rsidR="00053D93" w14:paraId="67FE9D8C" w14:textId="77777777">
        <w:trPr>
          <w:trHeight w:val="619"/>
        </w:trPr>
        <w:tc>
          <w:tcPr>
            <w:tcW w:w="7664" w:type="dxa"/>
            <w:tcBorders>
              <w:top w:val="single" w:sz="2" w:space="0" w:color="000000"/>
              <w:left w:val="single" w:sz="2" w:space="0" w:color="000000"/>
              <w:bottom w:val="nil"/>
              <w:right w:val="nil"/>
            </w:tcBorders>
          </w:tcPr>
          <w:p w14:paraId="0B5250BF" w14:textId="77777777" w:rsidR="00053D93" w:rsidRDefault="00260B75">
            <w:pPr>
              <w:ind w:left="842"/>
            </w:pPr>
            <w:r>
              <w:rPr>
                <w:sz w:val="14"/>
              </w:rPr>
              <w:t>MINISTERIO DE EDUCACION</w:t>
            </w:r>
          </w:p>
          <w:p w14:paraId="6FF06003" w14:textId="77777777" w:rsidR="00053D93" w:rsidRDefault="00260B75">
            <w:pPr>
              <w:ind w:left="346"/>
            </w:pPr>
            <w:r>
              <w:rPr>
                <w:sz w:val="14"/>
              </w:rPr>
              <w:t>AUDITORIA FINANCIERA Y DE CUMPLIMIENTO</w:t>
            </w:r>
          </w:p>
          <w:p w14:paraId="73A04EDE" w14:textId="77777777" w:rsidR="00053D93" w:rsidRDefault="00260B75">
            <w:r>
              <w:rPr>
                <w:sz w:val="14"/>
              </w:rPr>
              <w:t>PERIODO DEL DE ENERO AL 31 DE DICIEM3RE DE 2024</w:t>
            </w:r>
          </w:p>
        </w:tc>
      </w:tr>
    </w:tbl>
    <w:p w14:paraId="2DEEEA4A" w14:textId="77777777" w:rsidR="00053D93" w:rsidRDefault="00260B75">
      <w:pPr>
        <w:spacing w:after="12" w:line="250" w:lineRule="auto"/>
        <w:ind w:left="1745" w:right="14" w:hanging="3"/>
        <w:jc w:val="both"/>
      </w:pPr>
      <w:r>
        <w:rPr>
          <w:noProof/>
        </w:rPr>
        <w:drawing>
          <wp:anchor distT="0" distB="0" distL="114300" distR="114300" simplePos="0" relativeHeight="252119040" behindDoc="0" locked="0" layoutInCell="1" allowOverlap="0" wp14:anchorId="733CC375" wp14:editId="7D2349D3">
            <wp:simplePos x="0" y="0"/>
            <wp:positionH relativeFrom="page">
              <wp:posOffset>704088</wp:posOffset>
            </wp:positionH>
            <wp:positionV relativeFrom="page">
              <wp:posOffset>9290303</wp:posOffset>
            </wp:positionV>
            <wp:extent cx="1074420" cy="411480"/>
            <wp:effectExtent l="0" t="0" r="0" b="0"/>
            <wp:wrapTopAndBottom/>
            <wp:docPr id="898157" name="Picture 898157"/>
            <wp:cNvGraphicFramePr/>
            <a:graphic xmlns:a="http://schemas.openxmlformats.org/drawingml/2006/main">
              <a:graphicData uri="http://schemas.openxmlformats.org/drawingml/2006/picture">
                <pic:pic xmlns:pic="http://schemas.openxmlformats.org/drawingml/2006/picture">
                  <pic:nvPicPr>
                    <pic:cNvPr id="898157" name="Picture 898157"/>
                    <pic:cNvPicPr/>
                  </pic:nvPicPr>
                  <pic:blipFill>
                    <a:blip r:embed="rId1232"/>
                    <a:stretch>
                      <a:fillRect/>
                    </a:stretch>
                  </pic:blipFill>
                  <pic:spPr>
                    <a:xfrm>
                      <a:off x="0" y="0"/>
                      <a:ext cx="1074420" cy="411480"/>
                    </a:xfrm>
                    <a:prstGeom prst="rect">
                      <a:avLst/>
                    </a:prstGeom>
                  </pic:spPr>
                </pic:pic>
              </a:graphicData>
            </a:graphic>
          </wp:anchor>
        </w:drawing>
      </w:r>
      <w:r>
        <w:rPr>
          <w:sz w:val="26"/>
        </w:rPr>
        <w:t>El Decreto Número 89-2002, del Congreso de la República de Guatemala, Ley de Probidad y Responsabilidades de Funcionarios y Empleados Públicos, Articulo 2.</w:t>
      </w:r>
    </w:p>
    <w:p w14:paraId="419ED7F9" w14:textId="77777777" w:rsidR="00053D93" w:rsidRDefault="00260B75">
      <w:pPr>
        <w:spacing w:after="12" w:line="250" w:lineRule="auto"/>
        <w:ind w:left="1745" w:right="14" w:hanging="3"/>
        <w:jc w:val="both"/>
      </w:pPr>
      <w:r>
        <w:rPr>
          <w:sz w:val="26"/>
        </w:rPr>
        <w:t>Naturaleza de la ley, establece: "La Ley de Probidad y Responsabilidades de los Funcionarios y Empleados Públicos es de orden público y de observancia general." Artículo 3. Funcionarios públicos, establece: "Para los efectos de la aplicación de esta Ley, se consideran funcionarios públicos todas aquellas personas a las que se refiere el artículo 4 de la misma, sin perjuicio de que se les identifique con otra denominación." Artículo 4. Sujetos de responsabilidad establece: "Son responsables de conformidad de las normas contenidas en esta Ley y serán sancionados por el incumplimiento o inobservancia de la misma, conforme a las disposiciones del ordenamiento jurídico vigente en el país... a) Los dignatarios, autoridades, funcionarios y empleados públicos que por elección popular, nombramiento, contrato o cualquier otro vínculo presten sus servicios en el Estado, sus organismos, los municipios, sus empresas, y entidades descentralizadas y autónomas." Artículo 6. Principios de probidad, establece: "Son principios de probidad los siguientes: . d) La prudencia en la administración de los recursos de las entidades del Estado, y demás entidades descentralizadas y autónomas del mismo; . h) La actuación con honestidad y lealtad en el ejercicio del cargo o empleo o prestación de un servicio; . Artículo 7. Funcionarios públicos, establece: "Los funcionarios públicos conforme los denomina el artículo 4 de esta Ley, están obligados a desempeñar sus deberes, atribuciones, facultades y funciones con estricto apego a la Constitución Política de la República y las leyes. En consecuencia, están sujetos a responsabilidades de carácter</w:t>
      </w:r>
    </w:p>
    <w:p w14:paraId="05D0430D" w14:textId="77777777" w:rsidR="00053D93" w:rsidRDefault="00053D93">
      <w:pPr>
        <w:sectPr w:rsidR="00053D93">
          <w:headerReference w:type="even" r:id="rId1233"/>
          <w:headerReference w:type="default" r:id="rId1234"/>
          <w:footerReference w:type="even" r:id="rId1235"/>
          <w:footerReference w:type="default" r:id="rId1236"/>
          <w:headerReference w:type="first" r:id="rId1237"/>
          <w:footerReference w:type="first" r:id="rId1238"/>
          <w:pgSz w:w="12290" w:h="15883"/>
          <w:pgMar w:top="418" w:right="1721" w:bottom="641" w:left="295" w:header="662" w:footer="720" w:gutter="0"/>
          <w:cols w:space="720"/>
        </w:sectPr>
      </w:pPr>
    </w:p>
    <w:p w14:paraId="21A90A2A" w14:textId="77777777" w:rsidR="00053D93" w:rsidRDefault="00260B75">
      <w:pPr>
        <w:spacing w:after="135" w:line="265" w:lineRule="auto"/>
        <w:ind w:left="1767" w:right="137" w:hanging="10"/>
        <w:jc w:val="center"/>
      </w:pPr>
      <w:r>
        <w:rPr>
          <w:noProof/>
        </w:rPr>
        <w:drawing>
          <wp:inline distT="0" distB="0" distL="0" distR="0" wp14:anchorId="4DD425CD" wp14:editId="5EBB16F1">
            <wp:extent cx="27432" cy="45720"/>
            <wp:effectExtent l="0" t="0" r="0" b="0"/>
            <wp:docPr id="2458669" name="Picture 2458669"/>
            <wp:cNvGraphicFramePr/>
            <a:graphic xmlns:a="http://schemas.openxmlformats.org/drawingml/2006/main">
              <a:graphicData uri="http://schemas.openxmlformats.org/drawingml/2006/picture">
                <pic:pic xmlns:pic="http://schemas.openxmlformats.org/drawingml/2006/picture">
                  <pic:nvPicPr>
                    <pic:cNvPr id="2458669" name="Picture 2458669"/>
                    <pic:cNvPicPr/>
                  </pic:nvPicPr>
                  <pic:blipFill>
                    <a:blip r:embed="rId1239"/>
                    <a:stretch>
                      <a:fillRect/>
                    </a:stretch>
                  </pic:blipFill>
                  <pic:spPr>
                    <a:xfrm>
                      <a:off x="0" y="0"/>
                      <a:ext cx="27432" cy="45720"/>
                    </a:xfrm>
                    <a:prstGeom prst="rect">
                      <a:avLst/>
                    </a:prstGeom>
                  </pic:spPr>
                </pic:pic>
              </a:graphicData>
            </a:graphic>
          </wp:inline>
        </w:drawing>
      </w:r>
      <w:r>
        <w:rPr>
          <w:sz w:val="12"/>
        </w:rPr>
        <w:t>23</w:t>
      </w:r>
    </w:p>
    <w:p w14:paraId="6CF7A8D3" w14:textId="77777777" w:rsidR="00053D93" w:rsidRDefault="00260B75">
      <w:pPr>
        <w:spacing w:after="47"/>
        <w:ind w:left="1714"/>
      </w:pPr>
      <w:r>
        <w:rPr>
          <w:noProof/>
        </w:rPr>
        <mc:AlternateContent>
          <mc:Choice Requires="wpg">
            <w:drawing>
              <wp:inline distT="0" distB="0" distL="0" distR="0" wp14:anchorId="4A6C03DA" wp14:editId="2CDC960B">
                <wp:extent cx="5376672" cy="13716"/>
                <wp:effectExtent l="0" t="0" r="0" b="0"/>
                <wp:docPr id="2458673" name="Group 2458673"/>
                <wp:cNvGraphicFramePr/>
                <a:graphic xmlns:a="http://schemas.openxmlformats.org/drawingml/2006/main">
                  <a:graphicData uri="http://schemas.microsoft.com/office/word/2010/wordprocessingGroup">
                    <wpg:wgp>
                      <wpg:cNvGrpSpPr/>
                      <wpg:grpSpPr>
                        <a:xfrm>
                          <a:off x="0" y="0"/>
                          <a:ext cx="5376672" cy="13716"/>
                          <a:chOff x="0" y="0"/>
                          <a:chExt cx="5376672" cy="13716"/>
                        </a:xfrm>
                      </wpg:grpSpPr>
                      <wps:wsp>
                        <wps:cNvPr id="2458672" name="Shape 2458672"/>
                        <wps:cNvSpPr/>
                        <wps:spPr>
                          <a:xfrm>
                            <a:off x="0" y="0"/>
                            <a:ext cx="5376672" cy="13716"/>
                          </a:xfrm>
                          <a:custGeom>
                            <a:avLst/>
                            <a:gdLst/>
                            <a:ahLst/>
                            <a:cxnLst/>
                            <a:rect l="0" t="0" r="0" b="0"/>
                            <a:pathLst>
                              <a:path w="5376672" h="13716">
                                <a:moveTo>
                                  <a:pt x="0" y="6858"/>
                                </a:moveTo>
                                <a:lnTo>
                                  <a:pt x="537667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73" style="width:423.36pt;height:1.08pt;mso-position-horizontal-relative:char;mso-position-vertical-relative:line" coordsize="53766,137">
                <v:shape id="Shape 2458672" style="position:absolute;width:53766;height:137;left:0;top:0;" coordsize="5376672,13716" path="m0,6858l5376672,6858">
                  <v:stroke weight="1.08pt" endcap="flat" joinstyle="miter" miterlimit="1" on="true" color="#000000"/>
                  <v:fill on="false" color="#000000"/>
                </v:shape>
              </v:group>
            </w:pict>
          </mc:Fallback>
        </mc:AlternateContent>
      </w:r>
    </w:p>
    <w:p w14:paraId="74149000" w14:textId="77777777" w:rsidR="00053D93" w:rsidRDefault="00260B75">
      <w:pPr>
        <w:spacing w:after="258" w:line="269" w:lineRule="auto"/>
        <w:ind w:left="60" w:right="14" w:hanging="3"/>
        <w:jc w:val="both"/>
      </w:pPr>
      <w:r>
        <w:rPr>
          <w:noProof/>
        </w:rPr>
        <mc:AlternateContent>
          <mc:Choice Requires="wpg">
            <w:drawing>
              <wp:anchor distT="0" distB="0" distL="114300" distR="114300" simplePos="0" relativeHeight="252120064" behindDoc="0" locked="0" layoutInCell="1" allowOverlap="1" wp14:anchorId="2574E14A" wp14:editId="0FF39DB1">
                <wp:simplePos x="0" y="0"/>
                <wp:positionH relativeFrom="column">
                  <wp:posOffset>13716</wp:posOffset>
                </wp:positionH>
                <wp:positionV relativeFrom="paragraph">
                  <wp:posOffset>413808</wp:posOffset>
                </wp:positionV>
                <wp:extent cx="118872" cy="297180"/>
                <wp:effectExtent l="0" t="0" r="0" b="0"/>
                <wp:wrapSquare wrapText="bothSides"/>
                <wp:docPr id="2456714" name="Group 2456714"/>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898811" name="Rectangle 898811"/>
                        <wps:cNvSpPr/>
                        <wps:spPr>
                          <a:xfrm>
                            <a:off x="0" y="0"/>
                            <a:ext cx="158100" cy="395250"/>
                          </a:xfrm>
                          <a:prstGeom prst="rect">
                            <a:avLst/>
                          </a:prstGeom>
                          <a:ln>
                            <a:noFill/>
                          </a:ln>
                        </wps:spPr>
                        <wps:txbx>
                          <w:txbxContent>
                            <w:p w14:paraId="1583E2B9"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2574E14A" id="Group 2456714" o:spid="_x0000_s1467" style="position:absolute;left:0;text-align:left;margin-left:1.1pt;margin-top:32.6pt;width:9.35pt;height:23.4pt;z-index:252120064;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">
                <v:rect id="Rectangle 898811" o:spid="_x0000_s1468"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" filled="f" stroked="f">
                  <v:textbox inset="0,0,0,0">
                    <w:txbxContent>
                      <w:p w14:paraId="1583E2B9" w14:textId="77777777" w:rsidR="00053D93" w:rsidRDefault="00260B75">
                        <w:r>
                          <w:rPr>
                            <w:sz w:val="70"/>
                          </w:rPr>
                          <w:t>1</w:t>
                        </w:r>
                      </w:p>
                    </w:txbxContent>
                  </v:textbox>
                </v:rect>
                <w10:wrap type="square"/>
              </v:group>
            </w:pict>
          </mc:Fallback>
        </mc:AlternateContent>
      </w:r>
      <w:r>
        <w:rPr>
          <w:sz w:val="26"/>
        </w:rPr>
        <w:t xml:space="preserve">1 administrativo, civil y penal por las infracciones, omisiones, acciones, decisiones y resoluciones en que incurrieren en el ejercicio de su cargo." Artículo 9. Responsabilidad civil, establece: "Genera responsabilidad civil la acción u omisión que con intención o por negligencia, imprudencia, impericia o abuso de poder, se cometa en perjuicio o daño del patrimonio público, independiente a la </w:t>
      </w:r>
      <w:r>
        <w:rPr>
          <w:noProof/>
        </w:rPr>
        <mc:AlternateContent>
          <mc:Choice Requires="wpg">
            <w:drawing>
              <wp:inline distT="0" distB="0" distL="0" distR="0" wp14:anchorId="0FF53F8F" wp14:editId="4E940386">
                <wp:extent cx="132588" cy="292608"/>
                <wp:effectExtent l="0" t="0" r="0" b="0"/>
                <wp:docPr id="2458668" name="Group 2458668"/>
                <wp:cNvGraphicFramePr/>
                <a:graphic xmlns:a="http://schemas.openxmlformats.org/drawingml/2006/main">
                  <a:graphicData uri="http://schemas.microsoft.com/office/word/2010/wordprocessingGroup">
                    <wpg:wgp>
                      <wpg:cNvGrpSpPr/>
                      <wpg:grpSpPr>
                        <a:xfrm>
                          <a:off x="0" y="0"/>
                          <a:ext cx="132588" cy="292608"/>
                          <a:chOff x="0" y="0"/>
                          <a:chExt cx="132588" cy="292608"/>
                        </a:xfrm>
                      </wpg:grpSpPr>
                      <pic:pic xmlns:pic="http://schemas.openxmlformats.org/drawingml/2006/picture">
                        <pic:nvPicPr>
                          <pic:cNvPr id="2458671" name="Picture 2458671"/>
                          <pic:cNvPicPr/>
                        </pic:nvPicPr>
                        <pic:blipFill>
                          <a:blip r:embed="rId1240"/>
                          <a:stretch>
                            <a:fillRect/>
                          </a:stretch>
                        </pic:blipFill>
                        <pic:spPr>
                          <a:xfrm>
                            <a:off x="0" y="132588"/>
                            <a:ext cx="4572" cy="4572"/>
                          </a:xfrm>
                          <a:prstGeom prst="rect">
                            <a:avLst/>
                          </a:prstGeom>
                        </pic:spPr>
                      </pic:pic>
                      <wps:wsp>
                        <wps:cNvPr id="898812" name="Rectangle 898812"/>
                        <wps:cNvSpPr/>
                        <wps:spPr>
                          <a:xfrm>
                            <a:off x="13716" y="0"/>
                            <a:ext cx="158100" cy="389169"/>
                          </a:xfrm>
                          <a:prstGeom prst="rect">
                            <a:avLst/>
                          </a:prstGeom>
                          <a:ln>
                            <a:noFill/>
                          </a:ln>
                        </wps:spPr>
                        <wps:txbx>
                          <w:txbxContent>
                            <w:p w14:paraId="5AAC0914"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0FF53F8F" id="Group 2458668" o:spid="_x0000_s1469" style="width:10.45pt;height:23.05pt;mso-position-horizontal-relative:char;mso-position-vertical-relative:line" coordsize="132588,2926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">
                <v:shape id="Picture 2458671" o:spid="_x0000_s1470" type="#_x0000_t75" style="position:absolute;top:132588;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">
                  <v:imagedata r:id="rId1241" o:title=""/>
                </v:shape>
                <v:rect id="Rectangle 898812" o:spid="_x0000_s1471" style="position:absolute;left:13716;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" filled="f" stroked="f">
                  <v:textbox inset="0,0,0,0">
                    <w:txbxContent>
                      <w:p w14:paraId="5AAC0914" w14:textId="77777777" w:rsidR="00053D93" w:rsidRDefault="00260B75">
                        <w:r>
                          <w:rPr>
                            <w:sz w:val="70"/>
                          </w:rPr>
                          <w:t>1</w:t>
                        </w:r>
                      </w:p>
                    </w:txbxContent>
                  </v:textbox>
                </v:rect>
                <w10:anchorlock/>
              </v:group>
            </w:pict>
          </mc:Fallback>
        </mc:AlternateContent>
      </w:r>
      <w:r>
        <w:rPr>
          <w:sz w:val="26"/>
        </w:rPr>
        <w:t xml:space="preserve">responsabilidad penal que se genere. Los daños y perjuicios provenientes de la responsabilidad civil se harán efectivos con arreglo al Código Civil y demás disposiciones legales vigentes sobre la materia, salvo que la acción civil se decida </w:t>
      </w:r>
      <w:r>
        <w:rPr>
          <w:noProof/>
        </w:rPr>
        <w:drawing>
          <wp:inline distT="0" distB="0" distL="0" distR="0" wp14:anchorId="1F581CD3" wp14:editId="125688C5">
            <wp:extent cx="4572" cy="9144"/>
            <wp:effectExtent l="0" t="0" r="0" b="0"/>
            <wp:docPr id="902001" name="Picture 902001"/>
            <wp:cNvGraphicFramePr/>
            <a:graphic xmlns:a="http://schemas.openxmlformats.org/drawingml/2006/main">
              <a:graphicData uri="http://schemas.openxmlformats.org/drawingml/2006/picture">
                <pic:pic xmlns:pic="http://schemas.openxmlformats.org/drawingml/2006/picture">
                  <pic:nvPicPr>
                    <pic:cNvPr id="902001" name="Picture 902001"/>
                    <pic:cNvPicPr/>
                  </pic:nvPicPr>
                  <pic:blipFill>
                    <a:blip r:embed="rId1242"/>
                    <a:stretch>
                      <a:fillRect/>
                    </a:stretch>
                  </pic:blipFill>
                  <pic:spPr>
                    <a:xfrm>
                      <a:off x="0" y="0"/>
                      <a:ext cx="4572" cy="9144"/>
                    </a:xfrm>
                    <a:prstGeom prst="rect">
                      <a:avLst/>
                    </a:prstGeom>
                  </pic:spPr>
                </pic:pic>
              </a:graphicData>
            </a:graphic>
          </wp:inline>
        </w:drawing>
      </w:r>
      <w:r>
        <w:rPr>
          <w:sz w:val="26"/>
        </w:rPr>
        <w:t>1 dentro de la acción penal en forma conjunta." Artículo 10. Responsabilidad penal, establece: "Genera responsabilidad penal la decisión, resolución, acción u omisión 1 realizada por las personas a que se refiere el artículo 4 de esta ley y que, de conformidad con la ley penal vigente, constituyan delitos o faltas." Artículo 18. Prohibiciones de los funcionarios públicos, establece: "Además de las 1 prohibiciones expresas contenidas en la Constitución Política de la República y leyes especiales, a los funcionarios y empleados públicos les queda prohibido: a) Aprovechar el cargo o empleo para conseguir o procurar servicios especiales,</w:t>
      </w:r>
    </w:p>
    <w:p w14:paraId="53E538D3" w14:textId="77777777" w:rsidR="00053D93" w:rsidRDefault="00260B75">
      <w:pPr>
        <w:spacing w:after="4" w:line="391" w:lineRule="auto"/>
        <w:ind w:left="1742" w:right="14" w:hanging="1685"/>
        <w:jc w:val="both"/>
      </w:pPr>
      <w:r>
        <w:rPr>
          <w:sz w:val="26"/>
        </w:rPr>
        <w:t>1 nombramientos o beneficios personales, a favor de sus familiares o terceros mediando o no remuneración."</w:t>
      </w:r>
    </w:p>
    <w:p w14:paraId="1BC1D4FD" w14:textId="77777777" w:rsidR="00053D93" w:rsidRDefault="00260B75">
      <w:pPr>
        <w:spacing w:after="65"/>
        <w:ind w:left="50"/>
      </w:pPr>
      <w:r>
        <w:rPr>
          <w:noProof/>
        </w:rPr>
        <w:drawing>
          <wp:inline distT="0" distB="0" distL="0" distR="0" wp14:anchorId="1CC9B74C" wp14:editId="0189AE43">
            <wp:extent cx="9144" cy="9144"/>
            <wp:effectExtent l="0" t="0" r="0" b="0"/>
            <wp:docPr id="902003" name="Picture 902003"/>
            <wp:cNvGraphicFramePr/>
            <a:graphic xmlns:a="http://schemas.openxmlformats.org/drawingml/2006/main">
              <a:graphicData uri="http://schemas.openxmlformats.org/drawingml/2006/picture">
                <pic:pic xmlns:pic="http://schemas.openxmlformats.org/drawingml/2006/picture">
                  <pic:nvPicPr>
                    <pic:cNvPr id="902003" name="Picture 902003"/>
                    <pic:cNvPicPr/>
                  </pic:nvPicPr>
                  <pic:blipFill>
                    <a:blip r:embed="rId1243"/>
                    <a:stretch>
                      <a:fillRect/>
                    </a:stretch>
                  </pic:blipFill>
                  <pic:spPr>
                    <a:xfrm>
                      <a:off x="0" y="0"/>
                      <a:ext cx="9144" cy="9144"/>
                    </a:xfrm>
                    <a:prstGeom prst="rect">
                      <a:avLst/>
                    </a:prstGeom>
                  </pic:spPr>
                </pic:pic>
              </a:graphicData>
            </a:graphic>
          </wp:inline>
        </w:drawing>
      </w:r>
    </w:p>
    <w:tbl>
      <w:tblPr>
        <w:tblStyle w:val="TableGrid"/>
        <w:tblpPr w:vertAnchor="page" w:horzAnchor="page" w:tblpX="2874" w:tblpY="14628"/>
        <w:tblOverlap w:val="never"/>
        <w:tblW w:w="7674" w:type="dxa"/>
        <w:tblInd w:w="0" w:type="dxa"/>
        <w:tblCellMar>
          <w:top w:w="34" w:type="dxa"/>
          <w:left w:w="1785" w:type="dxa"/>
          <w:right w:w="115" w:type="dxa"/>
        </w:tblCellMar>
        <w:tblLook w:val="04A0" w:firstRow="1" w:lastRow="0" w:firstColumn="1" w:lastColumn="0" w:noHBand="0" w:noVBand="1"/>
      </w:tblPr>
      <w:tblGrid>
        <w:gridCol w:w="7674"/>
      </w:tblGrid>
      <w:tr w:rsidR="00053D93" w14:paraId="70E79193" w14:textId="77777777">
        <w:trPr>
          <w:trHeight w:val="622"/>
        </w:trPr>
        <w:tc>
          <w:tcPr>
            <w:tcW w:w="7674" w:type="dxa"/>
            <w:tcBorders>
              <w:top w:val="single" w:sz="2" w:space="0" w:color="000000"/>
              <w:left w:val="single" w:sz="2" w:space="0" w:color="000000"/>
              <w:bottom w:val="nil"/>
              <w:right w:val="nil"/>
            </w:tcBorders>
          </w:tcPr>
          <w:p w14:paraId="7614BBAF" w14:textId="77777777" w:rsidR="00053D93" w:rsidRDefault="00260B75">
            <w:pPr>
              <w:ind w:left="828"/>
            </w:pPr>
            <w:r>
              <w:rPr>
                <w:sz w:val="14"/>
              </w:rPr>
              <w:t>MINISTERIO DE EDUCACION</w:t>
            </w:r>
          </w:p>
          <w:p w14:paraId="1471173F" w14:textId="77777777" w:rsidR="00053D93" w:rsidRDefault="00260B75">
            <w:pPr>
              <w:ind w:left="331"/>
            </w:pPr>
            <w:r>
              <w:rPr>
                <w:sz w:val="14"/>
              </w:rPr>
              <w:t>AUDITORIA FINANCIERA Y DE CUMPLIMIENTO</w:t>
            </w:r>
          </w:p>
          <w:p w14:paraId="51958A4D" w14:textId="77777777" w:rsidR="00053D93" w:rsidRDefault="00260B75">
            <w:pPr>
              <w:tabs>
                <w:tab w:val="center" w:pos="2034"/>
              </w:tabs>
            </w:pPr>
            <w:r>
              <w:rPr>
                <w:sz w:val="14"/>
              </w:rPr>
              <w:t xml:space="preserve">PERIODO </w:t>
            </w:r>
            <w:r>
              <w:rPr>
                <w:sz w:val="14"/>
              </w:rPr>
              <w:tab/>
              <w:t>01 DE ENERO AL 31 DE DICIEMBRE DE 2024</w:t>
            </w:r>
          </w:p>
        </w:tc>
      </w:tr>
    </w:tbl>
    <w:p w14:paraId="7EC899ED" w14:textId="77777777" w:rsidR="00053D93" w:rsidRDefault="00260B75">
      <w:pPr>
        <w:spacing w:after="117" w:line="326" w:lineRule="auto"/>
        <w:ind w:left="67" w:right="14" w:hanging="10"/>
        <w:jc w:val="right"/>
      </w:pPr>
      <w:r>
        <w:rPr>
          <w:noProof/>
        </w:rPr>
        <w:drawing>
          <wp:anchor distT="0" distB="0" distL="114300" distR="114300" simplePos="0" relativeHeight="252121088" behindDoc="0" locked="0" layoutInCell="1" allowOverlap="0" wp14:anchorId="19EEF70A" wp14:editId="7F880509">
            <wp:simplePos x="0" y="0"/>
            <wp:positionH relativeFrom="page">
              <wp:posOffset>6780276</wp:posOffset>
            </wp:positionH>
            <wp:positionV relativeFrom="page">
              <wp:posOffset>2281428</wp:posOffset>
            </wp:positionV>
            <wp:extent cx="18287" cy="22860"/>
            <wp:effectExtent l="0" t="0" r="0" b="0"/>
            <wp:wrapSquare wrapText="bothSides"/>
            <wp:docPr id="902000" name="Picture 902000"/>
            <wp:cNvGraphicFramePr/>
            <a:graphic xmlns:a="http://schemas.openxmlformats.org/drawingml/2006/main">
              <a:graphicData uri="http://schemas.openxmlformats.org/drawingml/2006/picture">
                <pic:pic xmlns:pic="http://schemas.openxmlformats.org/drawingml/2006/picture">
                  <pic:nvPicPr>
                    <pic:cNvPr id="902000" name="Picture 902000"/>
                    <pic:cNvPicPr/>
                  </pic:nvPicPr>
                  <pic:blipFill>
                    <a:blip r:embed="rId1244"/>
                    <a:stretch>
                      <a:fillRect/>
                    </a:stretch>
                  </pic:blipFill>
                  <pic:spPr>
                    <a:xfrm>
                      <a:off x="0" y="0"/>
                      <a:ext cx="18287" cy="22860"/>
                    </a:xfrm>
                    <a:prstGeom prst="rect">
                      <a:avLst/>
                    </a:prstGeom>
                  </pic:spPr>
                </pic:pic>
              </a:graphicData>
            </a:graphic>
          </wp:anchor>
        </w:drawing>
      </w:r>
      <w:r>
        <w:rPr>
          <w:noProof/>
        </w:rPr>
        <w:drawing>
          <wp:anchor distT="0" distB="0" distL="114300" distR="114300" simplePos="0" relativeHeight="252122112" behindDoc="0" locked="0" layoutInCell="1" allowOverlap="0" wp14:anchorId="20361DC6" wp14:editId="5720FB96">
            <wp:simplePos x="0" y="0"/>
            <wp:positionH relativeFrom="page">
              <wp:posOffset>6784848</wp:posOffset>
            </wp:positionH>
            <wp:positionV relativeFrom="page">
              <wp:posOffset>2500884</wp:posOffset>
            </wp:positionV>
            <wp:extent cx="13715" cy="18288"/>
            <wp:effectExtent l="0" t="0" r="0" b="0"/>
            <wp:wrapSquare wrapText="bothSides"/>
            <wp:docPr id="902002" name="Picture 902002"/>
            <wp:cNvGraphicFramePr/>
            <a:graphic xmlns:a="http://schemas.openxmlformats.org/drawingml/2006/main">
              <a:graphicData uri="http://schemas.openxmlformats.org/drawingml/2006/picture">
                <pic:pic xmlns:pic="http://schemas.openxmlformats.org/drawingml/2006/picture">
                  <pic:nvPicPr>
                    <pic:cNvPr id="902002" name="Picture 902002"/>
                    <pic:cNvPicPr/>
                  </pic:nvPicPr>
                  <pic:blipFill>
                    <a:blip r:embed="rId1245"/>
                    <a:stretch>
                      <a:fillRect/>
                    </a:stretch>
                  </pic:blipFill>
                  <pic:spPr>
                    <a:xfrm>
                      <a:off x="0" y="0"/>
                      <a:ext cx="13715" cy="18288"/>
                    </a:xfrm>
                    <a:prstGeom prst="rect">
                      <a:avLst/>
                    </a:prstGeom>
                  </pic:spPr>
                </pic:pic>
              </a:graphicData>
            </a:graphic>
          </wp:anchor>
        </w:drawing>
      </w:r>
      <w:r>
        <w:rPr>
          <w:noProof/>
        </w:rPr>
        <w:drawing>
          <wp:anchor distT="0" distB="0" distL="114300" distR="114300" simplePos="0" relativeHeight="252123136" behindDoc="0" locked="0" layoutInCell="1" allowOverlap="0" wp14:anchorId="27608E59" wp14:editId="3E41B28A">
            <wp:simplePos x="0" y="0"/>
            <wp:positionH relativeFrom="page">
              <wp:posOffset>704088</wp:posOffset>
            </wp:positionH>
            <wp:positionV relativeFrom="page">
              <wp:posOffset>9272015</wp:posOffset>
            </wp:positionV>
            <wp:extent cx="1065276" cy="452629"/>
            <wp:effectExtent l="0" t="0" r="0" b="0"/>
            <wp:wrapTopAndBottom/>
            <wp:docPr id="902061" name="Picture 902061"/>
            <wp:cNvGraphicFramePr/>
            <a:graphic xmlns:a="http://schemas.openxmlformats.org/drawingml/2006/main">
              <a:graphicData uri="http://schemas.openxmlformats.org/drawingml/2006/picture">
                <pic:pic xmlns:pic="http://schemas.openxmlformats.org/drawingml/2006/picture">
                  <pic:nvPicPr>
                    <pic:cNvPr id="902061" name="Picture 902061"/>
                    <pic:cNvPicPr/>
                  </pic:nvPicPr>
                  <pic:blipFill>
                    <a:blip r:embed="rId1246"/>
                    <a:stretch>
                      <a:fillRect/>
                    </a:stretch>
                  </pic:blipFill>
                  <pic:spPr>
                    <a:xfrm>
                      <a:off x="0" y="0"/>
                      <a:ext cx="1065276" cy="452629"/>
                    </a:xfrm>
                    <a:prstGeom prst="rect">
                      <a:avLst/>
                    </a:prstGeom>
                  </pic:spPr>
                </pic:pic>
              </a:graphicData>
            </a:graphic>
          </wp:anchor>
        </w:drawing>
      </w:r>
      <w:r>
        <w:rPr>
          <w:sz w:val="26"/>
        </w:rPr>
        <w:t>1</w:t>
      </w:r>
      <w:r>
        <w:rPr>
          <w:sz w:val="26"/>
        </w:rPr>
        <w:tab/>
        <w:t>El Decreto Número 57-92, del Congreso de la República de Guatemala, Ley de Contrataciones del Estado, artículo 41 . Presentación de cotizaciones, establece:</w:t>
      </w:r>
    </w:p>
    <w:p w14:paraId="70C61E18" w14:textId="77777777" w:rsidR="00053D93" w:rsidRDefault="00260B75">
      <w:pPr>
        <w:spacing w:after="4" w:line="269" w:lineRule="auto"/>
        <w:ind w:left="100" w:right="14" w:hanging="43"/>
        <w:jc w:val="both"/>
      </w:pPr>
      <w:r>
        <w:rPr>
          <w:noProof/>
        </w:rPr>
        <w:drawing>
          <wp:inline distT="0" distB="0" distL="0" distR="0" wp14:anchorId="796B3989" wp14:editId="218B4212">
            <wp:extent cx="13716" cy="4572"/>
            <wp:effectExtent l="0" t="0" r="0" b="0"/>
            <wp:docPr id="902004" name="Picture 902004"/>
            <wp:cNvGraphicFramePr/>
            <a:graphic xmlns:a="http://schemas.openxmlformats.org/drawingml/2006/main">
              <a:graphicData uri="http://schemas.openxmlformats.org/drawingml/2006/picture">
                <pic:pic xmlns:pic="http://schemas.openxmlformats.org/drawingml/2006/picture">
                  <pic:nvPicPr>
                    <pic:cNvPr id="902004" name="Picture 902004"/>
                    <pic:cNvPicPr/>
                  </pic:nvPicPr>
                  <pic:blipFill>
                    <a:blip r:embed="rId1247"/>
                    <a:stretch>
                      <a:fillRect/>
                    </a:stretch>
                  </pic:blipFill>
                  <pic:spPr>
                    <a:xfrm>
                      <a:off x="0" y="0"/>
                      <a:ext cx="13716" cy="4572"/>
                    </a:xfrm>
                    <a:prstGeom prst="rect">
                      <a:avLst/>
                    </a:prstGeom>
                  </pic:spPr>
                </pic:pic>
              </a:graphicData>
            </a:graphic>
          </wp:inline>
        </w:drawing>
      </w:r>
      <w:r>
        <w:rPr>
          <w:sz w:val="26"/>
        </w:rPr>
        <w:t>1 "En caso que no se recibieran ofertas, la junta de cotización deberá informar a la autoridad administrativa superior un día hábil después de la fecha establecida para la recepción de ofertas, quien deberá publicar en GUATECOMPRAS, una 1 extensión de ocho días al plazo para recibir ofertas. Si en este plazo no se recibieran ofertas, la autoridad administrativa superior queda en libertad de 1 efectuar una contratación directa, siempre que se haga utilizando las mismas bases de cotización utilizadas en el evento desierto, y el oferente cumpla con todos los requisitos allí solicitados." Artículo 55. Inspección y recepción final, 1 establece.• "...Si la comisión comprueba que [os trabajos están ejecutados satisfactoriamente, suscribirá el acta de recepción final de los mismos, y en caso contrario hará constar en acta: a) Las correcciones o trabajos extras que debe 1 efectuar el contratista. b) El tiempo a emplearse. c) Si el tiempo para ejecutar los trabajos se incluye dentro del plazo contractual o si procede conceder tiempo 1 adicional para ejecutarlo..." Y artículo 86. Variación en calidad o cantidad, establece: "El contratista que contraviniendo total o parcialmente el contrato, perjudicare al Estado variando [a calidad o cantidad del objeto del mismo, será 1 sancionado con una multa del cien por ciento (100%) del valor, que represente la parte afectada de la negociación. A las empresas supervisoras y a los funcionarios o empleados supervisores, así como a quienes reciban la obra, el bien o servicio 1 en nombre del Estado, en tales circunstancias, se les sancionará con una multa equivalente al tres por millar (3 0/00) del valor que represente la parte afectada de la negociación."</w:t>
      </w:r>
    </w:p>
    <w:p w14:paraId="7B7D6870" w14:textId="77777777" w:rsidR="00053D93" w:rsidRDefault="00260B75">
      <w:pPr>
        <w:spacing w:after="357"/>
        <w:ind w:left="1735"/>
      </w:pPr>
      <w:r>
        <w:rPr>
          <w:noProof/>
        </w:rPr>
        <mc:AlternateContent>
          <mc:Choice Requires="wpg">
            <w:drawing>
              <wp:inline distT="0" distB="0" distL="0" distR="0" wp14:anchorId="76726568" wp14:editId="1DA941D1">
                <wp:extent cx="5381244" cy="13716"/>
                <wp:effectExtent l="0" t="0" r="0" b="0"/>
                <wp:docPr id="2458675" name="Group 2458675"/>
                <wp:cNvGraphicFramePr/>
                <a:graphic xmlns:a="http://schemas.openxmlformats.org/drawingml/2006/main">
                  <a:graphicData uri="http://schemas.microsoft.com/office/word/2010/wordprocessingGroup">
                    <wpg:wgp>
                      <wpg:cNvGrpSpPr/>
                      <wpg:grpSpPr>
                        <a:xfrm>
                          <a:off x="0" y="0"/>
                          <a:ext cx="5381244" cy="13716"/>
                          <a:chOff x="0" y="0"/>
                          <a:chExt cx="5381244" cy="13716"/>
                        </a:xfrm>
                      </wpg:grpSpPr>
                      <wps:wsp>
                        <wps:cNvPr id="2458674" name="Shape 2458674"/>
                        <wps:cNvSpPr/>
                        <wps:spPr>
                          <a:xfrm>
                            <a:off x="0" y="0"/>
                            <a:ext cx="5381244" cy="13716"/>
                          </a:xfrm>
                          <a:custGeom>
                            <a:avLst/>
                            <a:gdLst/>
                            <a:ahLst/>
                            <a:cxnLst/>
                            <a:rect l="0" t="0" r="0" b="0"/>
                            <a:pathLst>
                              <a:path w="5381244" h="13716">
                                <a:moveTo>
                                  <a:pt x="0" y="6858"/>
                                </a:moveTo>
                                <a:lnTo>
                                  <a:pt x="53812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75" style="width:423.72pt;height:1.08pt;mso-position-horizontal-relative:char;mso-position-vertical-relative:line" coordsize="53812,137">
                <v:shape id="Shape 2458674" style="position:absolute;width:53812;height:137;left:0;top:0;" coordsize="5381244,13716" path="m0,6858l5381244,6858">
                  <v:stroke weight="1.08pt" endcap="flat" joinstyle="miter" miterlimit="1" on="true" color="#000000"/>
                  <v:fill on="false" color="#000000"/>
                </v:shape>
              </v:group>
            </w:pict>
          </mc:Fallback>
        </mc:AlternateContent>
      </w:r>
    </w:p>
    <w:p w14:paraId="151C9C48" w14:textId="77777777" w:rsidR="00053D93" w:rsidRDefault="00260B75">
      <w:pPr>
        <w:spacing w:after="3" w:line="269" w:lineRule="auto"/>
        <w:ind w:left="67" w:right="14" w:hanging="10"/>
        <w:jc w:val="right"/>
      </w:pPr>
      <w:r>
        <w:rPr>
          <w:sz w:val="26"/>
        </w:rPr>
        <w:t>El Acuerdo Ministerial Número 3370-2024, de la Ministra de Educación, Acuerda:</w:t>
      </w:r>
    </w:p>
    <w:p w14:paraId="05A438EC" w14:textId="77777777" w:rsidR="00053D93" w:rsidRDefault="00260B75">
      <w:pPr>
        <w:spacing w:after="4" w:line="269" w:lineRule="auto"/>
        <w:ind w:left="57" w:right="14" w:firstLine="1526"/>
        <w:jc w:val="both"/>
      </w:pPr>
      <w:r>
        <w:rPr>
          <w:noProof/>
        </w:rPr>
        <mc:AlternateContent>
          <mc:Choice Requires="wpg">
            <w:drawing>
              <wp:anchor distT="0" distB="0" distL="114300" distR="114300" simplePos="0" relativeHeight="252124160" behindDoc="0" locked="0" layoutInCell="1" allowOverlap="1" wp14:anchorId="014EAC4C" wp14:editId="42348A05">
                <wp:simplePos x="0" y="0"/>
                <wp:positionH relativeFrom="column">
                  <wp:posOffset>9144</wp:posOffset>
                </wp:positionH>
                <wp:positionV relativeFrom="paragraph">
                  <wp:posOffset>16353</wp:posOffset>
                </wp:positionV>
                <wp:extent cx="123444" cy="301752"/>
                <wp:effectExtent l="0" t="0" r="0" b="0"/>
                <wp:wrapSquare wrapText="bothSides"/>
                <wp:docPr id="2456721" name="Group 2456721"/>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902815" name="Rectangle 902815"/>
                        <wps:cNvSpPr/>
                        <wps:spPr>
                          <a:xfrm>
                            <a:off x="0" y="0"/>
                            <a:ext cx="164181" cy="401330"/>
                          </a:xfrm>
                          <a:prstGeom prst="rect">
                            <a:avLst/>
                          </a:prstGeom>
                          <a:ln>
                            <a:noFill/>
                          </a:ln>
                        </wps:spPr>
                        <wps:txbx>
                          <w:txbxContent>
                            <w:p w14:paraId="37FC9E3C"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014EAC4C" id="Group 2456721" o:spid="_x0000_s1472" style="position:absolute;left:0;text-align:left;margin-left:.7pt;margin-top:1.3pt;width:9.7pt;height:23.75pt;z-index:252124160;mso-position-horizontal-relative:text;mso-position-vertical-relative:text"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">
                <v:rect id="Rectangle 902815" o:spid="_x0000_s1473"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" filled="f" stroked="f">
                  <v:textbox inset="0,0,0,0">
                    <w:txbxContent>
                      <w:p w14:paraId="37FC9E3C" w14:textId="77777777" w:rsidR="00053D93" w:rsidRDefault="00260B75">
                        <w:r>
                          <w:rPr>
                            <w:sz w:val="72"/>
                          </w:rPr>
                          <w:t>1</w:t>
                        </w:r>
                      </w:p>
                    </w:txbxContent>
                  </v:textbox>
                </v:rect>
                <w10:wrap type="square"/>
              </v:group>
            </w:pict>
          </mc:Fallback>
        </mc:AlternateContent>
      </w:r>
      <w:r>
        <w:rPr>
          <w:sz w:val="26"/>
        </w:rPr>
        <w:t>Artículo 1, establece: "Se aprueba el Contrato Administrativo Número 01-2024-DIGEF-CD, de fecha 1 1 de noviembre de 2024 suscrito por el... Director Temporal de la Dirección General de Educación Física -DIGEF-, en representación 1 del Ministerio de Educación y la... Gerente y Representante Legal de la entidad denominada LAX TRAVELI SOCIEDAD ANÓNIMA, para la contratación del SERVICIO DE TRANSPORTE AÉREO PARA LA DELEGACIÓN DEPORTIVA 1 ESCOLAR DE GUATEMALA QUE PARTICIPARÁ EN LOS JUEGOS</w:t>
      </w:r>
    </w:p>
    <w:tbl>
      <w:tblPr>
        <w:tblStyle w:val="TableGrid"/>
        <w:tblpPr w:vertAnchor="page" w:horzAnchor="page" w:tblpX="2888" w:tblpY="14645"/>
        <w:tblOverlap w:val="never"/>
        <w:tblW w:w="7653" w:type="dxa"/>
        <w:tblInd w:w="0" w:type="dxa"/>
        <w:tblCellMar>
          <w:top w:w="33" w:type="dxa"/>
          <w:left w:w="1763" w:type="dxa"/>
          <w:right w:w="115" w:type="dxa"/>
        </w:tblCellMar>
        <w:tblLook w:val="04A0" w:firstRow="1" w:lastRow="0" w:firstColumn="1" w:lastColumn="0" w:noHBand="0" w:noVBand="1"/>
      </w:tblPr>
      <w:tblGrid>
        <w:gridCol w:w="7653"/>
      </w:tblGrid>
      <w:tr w:rsidR="00053D93" w14:paraId="4586193B" w14:textId="77777777">
        <w:trPr>
          <w:trHeight w:val="612"/>
        </w:trPr>
        <w:tc>
          <w:tcPr>
            <w:tcW w:w="7653" w:type="dxa"/>
            <w:tcBorders>
              <w:top w:val="single" w:sz="2" w:space="0" w:color="000000"/>
              <w:left w:val="single" w:sz="2" w:space="0" w:color="000000"/>
              <w:bottom w:val="nil"/>
              <w:right w:val="nil"/>
            </w:tcBorders>
          </w:tcPr>
          <w:p w14:paraId="08286325" w14:textId="77777777" w:rsidR="00053D93" w:rsidRDefault="00260B75">
            <w:pPr>
              <w:ind w:left="835"/>
            </w:pPr>
            <w:r>
              <w:rPr>
                <w:sz w:val="14"/>
              </w:rPr>
              <w:t>MINISTERIO DE EDUCACION</w:t>
            </w:r>
          </w:p>
          <w:p w14:paraId="107038C5" w14:textId="77777777" w:rsidR="00053D93" w:rsidRDefault="00260B75">
            <w:pPr>
              <w:ind w:left="338"/>
            </w:pPr>
            <w:r>
              <w:rPr>
                <w:sz w:val="14"/>
              </w:rPr>
              <w:t>AUDITORIA FINANCIERA Y DE CUMPLIMIENTO</w:t>
            </w:r>
          </w:p>
          <w:p w14:paraId="3C3E8521" w14:textId="77777777" w:rsidR="00053D93" w:rsidRDefault="00260B75">
            <w:r>
              <w:rPr>
                <w:sz w:val="14"/>
              </w:rPr>
              <w:t>PERIODO DEL 01 DE ENERO AL 31 OE DICIEMBRE DE 2024</w:t>
            </w:r>
          </w:p>
        </w:tc>
      </w:tr>
    </w:tbl>
    <w:p w14:paraId="4482C8E5" w14:textId="77777777" w:rsidR="00053D93" w:rsidRDefault="00260B75">
      <w:pPr>
        <w:spacing w:after="639" w:line="216" w:lineRule="auto"/>
        <w:ind w:left="57" w:right="14" w:firstLine="1706"/>
        <w:jc w:val="both"/>
      </w:pPr>
      <w:r>
        <w:rPr>
          <w:noProof/>
        </w:rPr>
        <w:drawing>
          <wp:anchor distT="0" distB="0" distL="114300" distR="114300" simplePos="0" relativeHeight="252125184" behindDoc="0" locked="0" layoutInCell="1" allowOverlap="0" wp14:anchorId="749FB450" wp14:editId="2DD545D8">
            <wp:simplePos x="0" y="0"/>
            <wp:positionH relativeFrom="page">
              <wp:posOffset>708660</wp:posOffset>
            </wp:positionH>
            <wp:positionV relativeFrom="page">
              <wp:posOffset>9285732</wp:posOffset>
            </wp:positionV>
            <wp:extent cx="1065276" cy="406907"/>
            <wp:effectExtent l="0" t="0" r="0" b="0"/>
            <wp:wrapTopAndBottom/>
            <wp:docPr id="905720" name="Picture 905720"/>
            <wp:cNvGraphicFramePr/>
            <a:graphic xmlns:a="http://schemas.openxmlformats.org/drawingml/2006/main">
              <a:graphicData uri="http://schemas.openxmlformats.org/drawingml/2006/picture">
                <pic:pic xmlns:pic="http://schemas.openxmlformats.org/drawingml/2006/picture">
                  <pic:nvPicPr>
                    <pic:cNvPr id="905720" name="Picture 905720"/>
                    <pic:cNvPicPr/>
                  </pic:nvPicPr>
                  <pic:blipFill>
                    <a:blip r:embed="rId1248"/>
                    <a:stretch>
                      <a:fillRect/>
                    </a:stretch>
                  </pic:blipFill>
                  <pic:spPr>
                    <a:xfrm>
                      <a:off x="0" y="0"/>
                      <a:ext cx="1065276" cy="406907"/>
                    </a:xfrm>
                    <a:prstGeom prst="rect">
                      <a:avLst/>
                    </a:prstGeom>
                  </pic:spPr>
                </pic:pic>
              </a:graphicData>
            </a:graphic>
          </wp:anchor>
        </w:drawing>
      </w:r>
      <w:r>
        <w:rPr>
          <w:sz w:val="26"/>
        </w:rPr>
        <w:t xml:space="preserve">DEPORTIVOS ESCOLARES CENTROAMERICANOS DEL CODICADER, PARA 1 ESTUDIANTES CON DISCAPACIDAD, A REALIZARSE EN PANAMÁ, PANAMÁ A SOLICITUD DE DIGEF, dentro del proceso de COMPRA DIRECTA por ausencia de ofertas, proveniente del proceso de Cotización identificado como </w:t>
      </w:r>
      <w:r>
        <w:rPr>
          <w:noProof/>
        </w:rPr>
        <mc:AlternateContent>
          <mc:Choice Requires="wpg">
            <w:drawing>
              <wp:inline distT="0" distB="0" distL="0" distR="0" wp14:anchorId="69E52EC8" wp14:editId="18409B28">
                <wp:extent cx="118872" cy="306324"/>
                <wp:effectExtent l="0" t="0" r="0" b="0"/>
                <wp:docPr id="2456722" name="Group 2456722"/>
                <wp:cNvGraphicFramePr/>
                <a:graphic xmlns:a="http://schemas.openxmlformats.org/drawingml/2006/main">
                  <a:graphicData uri="http://schemas.microsoft.com/office/word/2010/wordprocessingGroup">
                    <wpg:wgp>
                      <wpg:cNvGrpSpPr/>
                      <wpg:grpSpPr>
                        <a:xfrm>
                          <a:off x="0" y="0"/>
                          <a:ext cx="118872" cy="306324"/>
                          <a:chOff x="0" y="0"/>
                          <a:chExt cx="118872" cy="306324"/>
                        </a:xfrm>
                      </wpg:grpSpPr>
                      <wps:wsp>
                        <wps:cNvPr id="902819" name="Rectangle 902819"/>
                        <wps:cNvSpPr/>
                        <wps:spPr>
                          <a:xfrm>
                            <a:off x="0" y="0"/>
                            <a:ext cx="158100" cy="407411"/>
                          </a:xfrm>
                          <a:prstGeom prst="rect">
                            <a:avLst/>
                          </a:prstGeom>
                          <a:ln>
                            <a:noFill/>
                          </a:ln>
                        </wps:spPr>
                        <wps:txbx>
                          <w:txbxContent>
                            <w:p w14:paraId="08472487"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9E52EC8" id="Group 2456722" o:spid="_x0000_s1474" style="width:9.35pt;height:24.1pt;mso-position-horizontal-relative:char;mso-position-vertical-relative:line" coordsize="11887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">
                <v:rect id="Rectangle 902819" o:spid="_x0000_s1475" style="position:absolute;width:158100;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" filled="f" stroked="f">
                  <v:textbox inset="0,0,0,0">
                    <w:txbxContent>
                      <w:p w14:paraId="08472487" w14:textId="77777777" w:rsidR="00053D93" w:rsidRDefault="00260B75">
                        <w:r>
                          <w:rPr>
                            <w:sz w:val="70"/>
                          </w:rPr>
                          <w:t>1</w:t>
                        </w:r>
                      </w:p>
                    </w:txbxContent>
                  </v:textbox>
                </v:rect>
                <w10:anchorlock/>
              </v:group>
            </w:pict>
          </mc:Fallback>
        </mc:AlternateContent>
      </w:r>
      <w:r>
        <w:rPr>
          <w:sz w:val="26"/>
        </w:rPr>
        <w:t xml:space="preserve"> C-033/2024-MlNEDUC y le fue adjudicado a dicha entidad, bajo la partida presupuestaria número 2024 1113 0008 109 04 OO 000 001 000 141 0101 22000 0000 0000, del Presupuesto General de Egresos vigente por el monto de hasta </w:t>
      </w:r>
      <w:r>
        <w:rPr>
          <w:noProof/>
        </w:rPr>
        <mc:AlternateContent>
          <mc:Choice Requires="wpg">
            <w:drawing>
              <wp:inline distT="0" distB="0" distL="0" distR="0" wp14:anchorId="018D019C" wp14:editId="19837A5E">
                <wp:extent cx="123444" cy="301752"/>
                <wp:effectExtent l="0" t="0" r="0" b="0"/>
                <wp:docPr id="2456723" name="Group 2456723"/>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902820" name="Rectangle 902820"/>
                        <wps:cNvSpPr/>
                        <wps:spPr>
                          <a:xfrm>
                            <a:off x="0" y="0"/>
                            <a:ext cx="164181" cy="401330"/>
                          </a:xfrm>
                          <a:prstGeom prst="rect">
                            <a:avLst/>
                          </a:prstGeom>
                          <a:ln>
                            <a:noFill/>
                          </a:ln>
                        </wps:spPr>
                        <wps:txbx>
                          <w:txbxContent>
                            <w:p w14:paraId="3BF9ED0E"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018D019C" id="Group 2456723" o:spid="_x0000_s1476" style="width:9.7pt;height:23.75pt;mso-position-horizontal-relative:char;mso-position-vertical-relative:line"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">
                <v:rect id="Rectangle 902820" o:spid="_x0000_s1477"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" filled="f" stroked="f">
                  <v:textbox inset="0,0,0,0">
                    <w:txbxContent>
                      <w:p w14:paraId="3BF9ED0E" w14:textId="77777777" w:rsidR="00053D93" w:rsidRDefault="00260B75">
                        <w:r>
                          <w:rPr>
                            <w:sz w:val="72"/>
                          </w:rPr>
                          <w:t>1</w:t>
                        </w:r>
                      </w:p>
                    </w:txbxContent>
                  </v:textbox>
                </v:rect>
                <w10:anchorlock/>
              </v:group>
            </w:pict>
          </mc:Fallback>
        </mc:AlternateContent>
      </w:r>
      <w:r>
        <w:rPr>
          <w:sz w:val="26"/>
        </w:rPr>
        <w:t xml:space="preserve"> NOVECIENTOS MIL QUETZALES EXACTOS (Q900,OOO.OO)..." Artículo 2, establece: "La Dirección General de Educación Física -DIGEF- es responsable de 1 todas las acciones que se desarrollaron previo a la formalización de la contratación y deberá bajo su estricta responsabilidad, realizar las operaciones presupuestarias, contables y financieras derivadas del contrato que se aprueba y </w:t>
      </w:r>
      <w:r>
        <w:rPr>
          <w:noProof/>
        </w:rPr>
        <mc:AlternateContent>
          <mc:Choice Requires="wpg">
            <w:drawing>
              <wp:inline distT="0" distB="0" distL="0" distR="0" wp14:anchorId="63FA2092" wp14:editId="0DC05DC4">
                <wp:extent cx="118872" cy="301752"/>
                <wp:effectExtent l="0" t="0" r="0" b="0"/>
                <wp:docPr id="2456724" name="Group 2456724"/>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902822" name="Rectangle 902822"/>
                        <wps:cNvSpPr/>
                        <wps:spPr>
                          <a:xfrm>
                            <a:off x="0" y="0"/>
                            <a:ext cx="158100" cy="401330"/>
                          </a:xfrm>
                          <a:prstGeom prst="rect">
                            <a:avLst/>
                          </a:prstGeom>
                          <a:ln>
                            <a:noFill/>
                          </a:ln>
                        </wps:spPr>
                        <wps:txbx>
                          <w:txbxContent>
                            <w:p w14:paraId="1728847A"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63FA2092" id="Group 2456724" o:spid="_x0000_s1478"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">
                <v:rect id="Rectangle 902822" o:spid="_x0000_s1479"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" filled="f" stroked="f">
                  <v:textbox inset="0,0,0,0">
                    <w:txbxContent>
                      <w:p w14:paraId="1728847A" w14:textId="77777777" w:rsidR="00053D93" w:rsidRDefault="00260B75">
                        <w:r>
                          <w:rPr>
                            <w:sz w:val="72"/>
                          </w:rPr>
                          <w:t>1</w:t>
                        </w:r>
                      </w:p>
                    </w:txbxContent>
                  </v:textbox>
                </v:rect>
                <w10:anchorlock/>
              </v:group>
            </w:pict>
          </mc:Fallback>
        </mc:AlternateContent>
      </w:r>
      <w:r>
        <w:rPr>
          <w:sz w:val="26"/>
        </w:rPr>
        <w:t xml:space="preserve"> cumplirá una efectiva rendición de cuentas ante la Contraloría General de Cuentas".</w:t>
      </w:r>
    </w:p>
    <w:p w14:paraId="6861D893" w14:textId="77777777" w:rsidR="00053D93" w:rsidRDefault="00260B75">
      <w:pPr>
        <w:spacing w:after="4" w:line="345" w:lineRule="auto"/>
        <w:ind w:left="1727" w:right="14" w:hanging="1670"/>
        <w:jc w:val="both"/>
      </w:pPr>
      <w:r>
        <w:rPr>
          <w:sz w:val="26"/>
        </w:rPr>
        <w:t>1 El Contrato Administrativo Número 01-2024-DIGEF-CD del 1 1 de noviembre de 2024, suscrito entre la Dirección General de Educación Física -DIGEF- y la entidad</w:t>
      </w:r>
    </w:p>
    <w:p w14:paraId="0CBE6203" w14:textId="77777777" w:rsidR="00053D93" w:rsidRDefault="00260B75">
      <w:pPr>
        <w:spacing w:after="4" w:line="269" w:lineRule="auto"/>
        <w:ind w:left="57" w:right="14" w:firstLine="1476"/>
        <w:jc w:val="both"/>
      </w:pPr>
      <w:r>
        <w:rPr>
          <w:noProof/>
        </w:rPr>
        <mc:AlternateContent>
          <mc:Choice Requires="wpg">
            <w:drawing>
              <wp:anchor distT="0" distB="0" distL="114300" distR="114300" simplePos="0" relativeHeight="252126208" behindDoc="0" locked="0" layoutInCell="1" allowOverlap="1" wp14:anchorId="27D9E665" wp14:editId="6D688163">
                <wp:simplePos x="0" y="0"/>
                <wp:positionH relativeFrom="column">
                  <wp:posOffset>68580</wp:posOffset>
                </wp:positionH>
                <wp:positionV relativeFrom="paragraph">
                  <wp:posOffset>4474</wp:posOffset>
                </wp:positionV>
                <wp:extent cx="118872" cy="301752"/>
                <wp:effectExtent l="0" t="0" r="0" b="0"/>
                <wp:wrapSquare wrapText="bothSides"/>
                <wp:docPr id="2456725" name="Group 2456725"/>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902824" name="Rectangle 902824"/>
                        <wps:cNvSpPr/>
                        <wps:spPr>
                          <a:xfrm>
                            <a:off x="0" y="0"/>
                            <a:ext cx="158100" cy="401330"/>
                          </a:xfrm>
                          <a:prstGeom prst="rect">
                            <a:avLst/>
                          </a:prstGeom>
                          <a:ln>
                            <a:noFill/>
                          </a:ln>
                        </wps:spPr>
                        <wps:txbx>
                          <w:txbxContent>
                            <w:p w14:paraId="258D18C8"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27D9E665" id="Group 2456725" o:spid="_x0000_s1480" style="position:absolute;left:0;text-align:left;margin-left:5.4pt;margin-top:.35pt;width:9.35pt;height:23.75pt;z-index:252126208;mso-position-horizontal-relative:text;mso-position-vertical-relative:text"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">
                <v:rect id="Rectangle 902824" o:spid="_x0000_s1481"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" filled="f" stroked="f">
                  <v:textbox inset="0,0,0,0">
                    <w:txbxContent>
                      <w:p w14:paraId="258D18C8" w14:textId="77777777" w:rsidR="00053D93" w:rsidRDefault="00260B75">
                        <w:r>
                          <w:rPr>
                            <w:sz w:val="70"/>
                          </w:rPr>
                          <w:t>1</w:t>
                        </w:r>
                      </w:p>
                    </w:txbxContent>
                  </v:textbox>
                </v:rect>
                <w10:wrap type="square"/>
              </v:group>
            </w:pict>
          </mc:Fallback>
        </mc:AlternateContent>
      </w:r>
      <w:r>
        <w:rPr>
          <w:sz w:val="26"/>
        </w:rPr>
        <w:t>LAX TRAVEL, S.A., establece: "SEGUNDA. Objeto y Monto de este contrato... B.) MONTO: El monto total del presente contrato es de hasta NOVECIENTOS MIL QUETZALES (Q.900,OOO.OO), integrado de la siguiente forma: B.l) BOLETOS: El 1 monto por el servicio de transporte aéreo ida y vuelta GUATEMALA-PANAMÁ para la Delegación Deportiva Escolar de Guatemala que participará en los Juegos Deportivos Escolares Centroamericanos del CODICADER, para estudiantes con 1 discapacidad, es de hasta OCHICIENTOS NOVENTA Y OCHO MIL</w:t>
      </w:r>
    </w:p>
    <w:p w14:paraId="7EC2C210" w14:textId="77777777" w:rsidR="00053D93" w:rsidRDefault="00260B75">
      <w:pPr>
        <w:spacing w:after="4" w:line="269" w:lineRule="auto"/>
        <w:ind w:left="144" w:right="14" w:firstLine="1620"/>
        <w:jc w:val="both"/>
      </w:pPr>
      <w:r>
        <w:rPr>
          <w:sz w:val="26"/>
        </w:rPr>
        <w:t>SEISCIENTOS CUARENTA QUETZALES EXACTOS (Q.898,640.OO), siendo un 1 total de ciento ochenta y ocho (188) boletos aéreos adjudicados, pudiendo ser menos. 8.2) SERVICIO DE FLETE PARA EL TRANSPORTE DE EQUIPO DE PRENSA Y EQUIPO MÉDICO. Por un monto de UN MIL TRESCIENTOS 1 SESENTA QUETZALES EXACTOS (Q.1,360.OO) Este monto no podrá variar en más durante la vigencia del presente instrumento legal, salvo en el caso que beneficie a los intereses del Estado. Dichos montos corresponden a la oferta 1 adjudicada a "LA CONTRATISTA". TERCERA. RESPONSABILIDADES DE "LA CONTRATISTA". a) "LA CONTRATISTA" es responsable de cumplir con el objeto del presente contrato en la forma, características generales y específicas,</w:t>
      </w:r>
    </w:p>
    <w:p w14:paraId="109BC9C4" w14:textId="77777777" w:rsidR="00053D93" w:rsidRDefault="00260B75">
      <w:pPr>
        <w:spacing w:after="45"/>
        <w:ind w:left="1706"/>
      </w:pPr>
      <w:r>
        <w:rPr>
          <w:noProof/>
        </w:rPr>
        <mc:AlternateContent>
          <mc:Choice Requires="wpg">
            <w:drawing>
              <wp:inline distT="0" distB="0" distL="0" distR="0" wp14:anchorId="5D38A4DB" wp14:editId="611942FE">
                <wp:extent cx="5381244" cy="13716"/>
                <wp:effectExtent l="0" t="0" r="0" b="0"/>
                <wp:docPr id="2458677" name="Group 2458677"/>
                <wp:cNvGraphicFramePr/>
                <a:graphic xmlns:a="http://schemas.openxmlformats.org/drawingml/2006/main">
                  <a:graphicData uri="http://schemas.microsoft.com/office/word/2010/wordprocessingGroup">
                    <wpg:wgp>
                      <wpg:cNvGrpSpPr/>
                      <wpg:grpSpPr>
                        <a:xfrm>
                          <a:off x="0" y="0"/>
                          <a:ext cx="5381244" cy="13716"/>
                          <a:chOff x="0" y="0"/>
                          <a:chExt cx="5381244" cy="13716"/>
                        </a:xfrm>
                      </wpg:grpSpPr>
                      <wps:wsp>
                        <wps:cNvPr id="2458676" name="Shape 2458676"/>
                        <wps:cNvSpPr/>
                        <wps:spPr>
                          <a:xfrm>
                            <a:off x="0" y="0"/>
                            <a:ext cx="5381244" cy="13716"/>
                          </a:xfrm>
                          <a:custGeom>
                            <a:avLst/>
                            <a:gdLst/>
                            <a:ahLst/>
                            <a:cxnLst/>
                            <a:rect l="0" t="0" r="0" b="0"/>
                            <a:pathLst>
                              <a:path w="5381244" h="13716">
                                <a:moveTo>
                                  <a:pt x="0" y="6858"/>
                                </a:moveTo>
                                <a:lnTo>
                                  <a:pt x="53812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77" style="width:423.72pt;height:1.07999pt;mso-position-horizontal-relative:char;mso-position-vertical-relative:line" coordsize="53812,137">
                <v:shape id="Shape 2458676" style="position:absolute;width:53812;height:137;left:0;top:0;" coordsize="5381244,13716" path="m0,6858l5381244,6858">
                  <v:stroke weight="1.07999pt" endcap="flat" joinstyle="miter" miterlimit="1" on="true" color="#000000"/>
                  <v:fill on="false" color="#000000"/>
                </v:shape>
              </v:group>
            </w:pict>
          </mc:Fallback>
        </mc:AlternateContent>
      </w:r>
    </w:p>
    <w:p w14:paraId="439811AF" w14:textId="77777777" w:rsidR="00053D93" w:rsidRDefault="00260B75">
      <w:pPr>
        <w:spacing w:after="105" w:line="269" w:lineRule="auto"/>
        <w:ind w:left="60" w:right="14" w:hanging="3"/>
        <w:jc w:val="both"/>
      </w:pPr>
      <w:r>
        <w:rPr>
          <w:noProof/>
        </w:rPr>
        <w:drawing>
          <wp:anchor distT="0" distB="0" distL="114300" distR="114300" simplePos="0" relativeHeight="252127232" behindDoc="0" locked="0" layoutInCell="1" allowOverlap="0" wp14:anchorId="212BF785" wp14:editId="2EC37CB7">
            <wp:simplePos x="0" y="0"/>
            <wp:positionH relativeFrom="column">
              <wp:posOffset>5097780</wp:posOffset>
            </wp:positionH>
            <wp:positionV relativeFrom="paragraph">
              <wp:posOffset>2541021</wp:posOffset>
            </wp:positionV>
            <wp:extent cx="36576" cy="41148"/>
            <wp:effectExtent l="0" t="0" r="0" b="0"/>
            <wp:wrapSquare wrapText="bothSides"/>
            <wp:docPr id="909144" name="Picture 909144"/>
            <wp:cNvGraphicFramePr/>
            <a:graphic xmlns:a="http://schemas.openxmlformats.org/drawingml/2006/main">
              <a:graphicData uri="http://schemas.openxmlformats.org/drawingml/2006/picture">
                <pic:pic xmlns:pic="http://schemas.openxmlformats.org/drawingml/2006/picture">
                  <pic:nvPicPr>
                    <pic:cNvPr id="909144" name="Picture 909144"/>
                    <pic:cNvPicPr/>
                  </pic:nvPicPr>
                  <pic:blipFill>
                    <a:blip r:embed="rId1249"/>
                    <a:stretch>
                      <a:fillRect/>
                    </a:stretch>
                  </pic:blipFill>
                  <pic:spPr>
                    <a:xfrm>
                      <a:off x="0" y="0"/>
                      <a:ext cx="36576" cy="41148"/>
                    </a:xfrm>
                    <a:prstGeom prst="rect">
                      <a:avLst/>
                    </a:prstGeom>
                  </pic:spPr>
                </pic:pic>
              </a:graphicData>
            </a:graphic>
          </wp:anchor>
        </w:drawing>
      </w:r>
      <w:r>
        <w:rPr>
          <w:sz w:val="26"/>
        </w:rPr>
        <w:t xml:space="preserve">1 condiciones, regulaciones, precio, lugar de destino predeterminado y tiempo estipulado en su oferta, las bases del proceso y las Especificaciones Técnicas 1 requeridas, a entera satisfacción de "LA DIGEF". SÉPTIMA. DEL PLAZO, LUGAR Y FORMA DE ENTREGA. a) PLAZO: "LA CONTRATISTA" deberá realizar la prestación del servicio objeto de este contrato dentro de las fechas establecidas </w:t>
      </w:r>
      <w:r>
        <w:rPr>
          <w:noProof/>
        </w:rPr>
        <mc:AlternateContent>
          <mc:Choice Requires="wpg">
            <w:drawing>
              <wp:inline distT="0" distB="0" distL="0" distR="0" wp14:anchorId="1C943254" wp14:editId="7C5B7CAE">
                <wp:extent cx="118872" cy="301752"/>
                <wp:effectExtent l="0" t="0" r="0" b="0"/>
                <wp:docPr id="2456731" name="Group 2456731"/>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906330" name="Rectangle 906330"/>
                        <wps:cNvSpPr/>
                        <wps:spPr>
                          <a:xfrm>
                            <a:off x="0" y="0"/>
                            <a:ext cx="158100" cy="401330"/>
                          </a:xfrm>
                          <a:prstGeom prst="rect">
                            <a:avLst/>
                          </a:prstGeom>
                          <a:ln>
                            <a:noFill/>
                          </a:ln>
                        </wps:spPr>
                        <wps:txbx>
                          <w:txbxContent>
                            <w:p w14:paraId="5DFBF9A0"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1C943254" id="Group 2456731" o:spid="_x0000_s1482"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">
                <v:rect id="Rectangle 906330" o:spid="_x0000_s1483"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" filled="f" stroked="f">
                  <v:textbox inset="0,0,0,0">
                    <w:txbxContent>
                      <w:p w14:paraId="5DFBF9A0" w14:textId="77777777" w:rsidR="00053D93" w:rsidRDefault="00260B75">
                        <w:r>
                          <w:rPr>
                            <w:sz w:val="70"/>
                          </w:rPr>
                          <w:t>1</w:t>
                        </w:r>
                      </w:p>
                    </w:txbxContent>
                  </v:textbox>
                </v:rect>
                <w10:anchorlock/>
              </v:group>
            </w:pict>
          </mc:Fallback>
        </mc:AlternateContent>
      </w:r>
      <w:r>
        <w:rPr>
          <w:sz w:val="26"/>
        </w:rPr>
        <w:t xml:space="preserve"> en el calendario detallado en las Especificaciones Técnicas, en el entendido de que, en caso de incumplimiento total o parcial, "LA DIGEF" podrá imponer las sanciones o tomar las medidas que estime convenientes. b) LUGAR Y FORMA DE </w:t>
      </w:r>
      <w:r>
        <w:rPr>
          <w:noProof/>
        </w:rPr>
        <mc:AlternateContent>
          <mc:Choice Requires="wpg">
            <w:drawing>
              <wp:inline distT="0" distB="0" distL="0" distR="0" wp14:anchorId="5CCB19F1" wp14:editId="76AF20C4">
                <wp:extent cx="118872" cy="301752"/>
                <wp:effectExtent l="0" t="0" r="0" b="0"/>
                <wp:docPr id="2456732" name="Group 2456732"/>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906331" name="Rectangle 906331"/>
                        <wps:cNvSpPr/>
                        <wps:spPr>
                          <a:xfrm>
                            <a:off x="0" y="0"/>
                            <a:ext cx="158100" cy="401330"/>
                          </a:xfrm>
                          <a:prstGeom prst="rect">
                            <a:avLst/>
                          </a:prstGeom>
                          <a:ln>
                            <a:noFill/>
                          </a:ln>
                        </wps:spPr>
                        <wps:txbx>
                          <w:txbxContent>
                            <w:p w14:paraId="097E6729"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5CCB19F1" id="Group 2456732" o:spid="_x0000_s1484"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">
                <v:rect id="Rectangle 906331" o:spid="_x0000_s1485"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" filled="f" stroked="f">
                  <v:textbox inset="0,0,0,0">
                    <w:txbxContent>
                      <w:p w14:paraId="097E6729" w14:textId="77777777" w:rsidR="00053D93" w:rsidRDefault="00260B75">
                        <w:r>
                          <w:rPr>
                            <w:sz w:val="70"/>
                          </w:rPr>
                          <w:t>1</w:t>
                        </w:r>
                      </w:p>
                    </w:txbxContent>
                  </v:textbox>
                </v:rect>
                <w10:anchorlock/>
              </v:group>
            </w:pict>
          </mc:Fallback>
        </mc:AlternateContent>
      </w:r>
      <w:r>
        <w:rPr>
          <w:sz w:val="26"/>
        </w:rPr>
        <w:t xml:space="preserve"> ENTREGA: El lugar de cumplimiento del objeto de este contrato y de entrega de los boletos aéreos y de cualquier otro documento requerido es en la Dirección 1 General de Educación Física -DIGEF-, ubicada en la treinta y dos (32) calle nueve guion diez (9-10) zona once (11) Colonia Granai l; Guatemala, Guatemala, en un horario de nueve (9:00) a diecisiete treinta horas (17:30), directamente a la </w:t>
      </w:r>
      <w:r>
        <w:rPr>
          <w:noProof/>
        </w:rPr>
        <mc:AlternateContent>
          <mc:Choice Requires="wpg">
            <w:drawing>
              <wp:inline distT="0" distB="0" distL="0" distR="0" wp14:anchorId="378906D3" wp14:editId="1ED79DCD">
                <wp:extent cx="114300" cy="301752"/>
                <wp:effectExtent l="0" t="0" r="0" b="0"/>
                <wp:docPr id="2456733" name="Group 2456733"/>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906333" name="Rectangle 906333"/>
                        <wps:cNvSpPr/>
                        <wps:spPr>
                          <a:xfrm>
                            <a:off x="0" y="0"/>
                            <a:ext cx="152019" cy="401330"/>
                          </a:xfrm>
                          <a:prstGeom prst="rect">
                            <a:avLst/>
                          </a:prstGeom>
                          <a:ln>
                            <a:noFill/>
                          </a:ln>
                        </wps:spPr>
                        <wps:txbx>
                          <w:txbxContent>
                            <w:p w14:paraId="5F3E834C"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378906D3" id="Group 2456733" o:spid="_x0000_s1486"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">
                <v:rect id="Rectangle 906333" o:spid="_x0000_s1487"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" filled="f" stroked="f">
                  <v:textbox inset="0,0,0,0">
                    <w:txbxContent>
                      <w:p w14:paraId="5F3E834C" w14:textId="77777777" w:rsidR="00053D93" w:rsidRDefault="00260B75">
                        <w:r>
                          <w:rPr>
                            <w:sz w:val="70"/>
                          </w:rPr>
                          <w:t>1</w:t>
                        </w:r>
                      </w:p>
                    </w:txbxContent>
                  </v:textbox>
                </v:rect>
                <w10:anchorlock/>
              </v:group>
            </w:pict>
          </mc:Fallback>
        </mc:AlternateContent>
      </w:r>
      <w:r>
        <w:rPr>
          <w:sz w:val="26"/>
        </w:rPr>
        <w:t xml:space="preserve"> Comisión Receptora y Liquidadora nombrada para el efecto...</w:t>
      </w:r>
    </w:p>
    <w:p w14:paraId="3BEB4A3B" w14:textId="77777777" w:rsidR="00053D93" w:rsidRDefault="00260B75">
      <w:pPr>
        <w:spacing w:after="3" w:line="216" w:lineRule="auto"/>
        <w:ind w:left="21" w:firstLine="1685"/>
      </w:pPr>
      <w:r>
        <w:rPr>
          <w:sz w:val="26"/>
        </w:rPr>
        <w:t>La Resolución No. 3434-2024, del Viceministro de Educación, Resuelve: "l) 1</w:t>
      </w:r>
      <w:r>
        <w:rPr>
          <w:sz w:val="26"/>
        </w:rPr>
        <w:tab/>
        <w:t>Aprobar los documentos del proceso de Cotización identificado como C-33/2024-MlNEDUC, SERVICIO DE TRASPORTE AÉREO PARA LA 1</w:t>
      </w:r>
      <w:r>
        <w:rPr>
          <w:sz w:val="26"/>
        </w:rPr>
        <w:tab/>
        <w:t>DELEGACIÓN DEPORTIVA ESCOLAR DE GUATEMALA QUE PARTICIPARÁ EN</w:t>
      </w:r>
    </w:p>
    <w:tbl>
      <w:tblPr>
        <w:tblStyle w:val="TableGrid"/>
        <w:tblpPr w:vertAnchor="page" w:horzAnchor="page" w:tblpX="2867" w:tblpY="14652"/>
        <w:tblOverlap w:val="never"/>
        <w:tblW w:w="7660" w:type="dxa"/>
        <w:tblInd w:w="0" w:type="dxa"/>
        <w:tblCellMar>
          <w:top w:w="29" w:type="dxa"/>
          <w:left w:w="1770" w:type="dxa"/>
          <w:right w:w="115" w:type="dxa"/>
        </w:tblCellMar>
        <w:tblLook w:val="04A0" w:firstRow="1" w:lastRow="0" w:firstColumn="1" w:lastColumn="0" w:noHBand="0" w:noVBand="1"/>
      </w:tblPr>
      <w:tblGrid>
        <w:gridCol w:w="7660"/>
      </w:tblGrid>
      <w:tr w:rsidR="00053D93" w14:paraId="48DCC093" w14:textId="77777777">
        <w:trPr>
          <w:trHeight w:val="612"/>
        </w:trPr>
        <w:tc>
          <w:tcPr>
            <w:tcW w:w="7660" w:type="dxa"/>
            <w:tcBorders>
              <w:top w:val="single" w:sz="2" w:space="0" w:color="000000"/>
              <w:left w:val="single" w:sz="2" w:space="0" w:color="000000"/>
              <w:bottom w:val="nil"/>
              <w:right w:val="nil"/>
            </w:tcBorders>
          </w:tcPr>
          <w:p w14:paraId="4C8B833D" w14:textId="77777777" w:rsidR="00053D93" w:rsidRDefault="00260B75">
            <w:pPr>
              <w:ind w:left="828"/>
            </w:pPr>
            <w:r>
              <w:rPr>
                <w:sz w:val="14"/>
              </w:rPr>
              <w:t>MINISTERIO OE EDUCACION</w:t>
            </w:r>
          </w:p>
          <w:p w14:paraId="1F3691C8" w14:textId="77777777" w:rsidR="00053D93" w:rsidRDefault="00260B75">
            <w:pPr>
              <w:ind w:left="338"/>
            </w:pPr>
            <w:r>
              <w:rPr>
                <w:sz w:val="14"/>
              </w:rPr>
              <w:t>AUDITORIA FINANCIERA Y DE CUMPLIMIENTO</w:t>
            </w:r>
          </w:p>
          <w:p w14:paraId="0B83583D" w14:textId="77777777" w:rsidR="00053D93" w:rsidRDefault="00260B75">
            <w:r>
              <w:rPr>
                <w:sz w:val="14"/>
              </w:rPr>
              <w:t>PERIODO DEL 01 DE ENERO AL 31 DE DICIEMBRE OE 2024</w:t>
            </w:r>
          </w:p>
        </w:tc>
      </w:tr>
    </w:tbl>
    <w:p w14:paraId="57D4ABE1" w14:textId="77777777" w:rsidR="00053D93" w:rsidRDefault="00260B75">
      <w:pPr>
        <w:spacing w:after="55" w:line="269" w:lineRule="auto"/>
        <w:ind w:left="57" w:right="14" w:firstLine="1670"/>
        <w:jc w:val="both"/>
      </w:pPr>
      <w:r>
        <w:rPr>
          <w:noProof/>
        </w:rPr>
        <w:drawing>
          <wp:anchor distT="0" distB="0" distL="114300" distR="114300" simplePos="0" relativeHeight="252128256" behindDoc="0" locked="0" layoutInCell="1" allowOverlap="0" wp14:anchorId="50CD9072" wp14:editId="792B507C">
            <wp:simplePos x="0" y="0"/>
            <wp:positionH relativeFrom="page">
              <wp:posOffset>694944</wp:posOffset>
            </wp:positionH>
            <wp:positionV relativeFrom="page">
              <wp:posOffset>9285732</wp:posOffset>
            </wp:positionV>
            <wp:extent cx="1069848" cy="411481"/>
            <wp:effectExtent l="0" t="0" r="0" b="0"/>
            <wp:wrapTopAndBottom/>
            <wp:docPr id="909194" name="Picture 909194"/>
            <wp:cNvGraphicFramePr/>
            <a:graphic xmlns:a="http://schemas.openxmlformats.org/drawingml/2006/main">
              <a:graphicData uri="http://schemas.openxmlformats.org/drawingml/2006/picture">
                <pic:pic xmlns:pic="http://schemas.openxmlformats.org/drawingml/2006/picture">
                  <pic:nvPicPr>
                    <pic:cNvPr id="909194" name="Picture 909194"/>
                    <pic:cNvPicPr/>
                  </pic:nvPicPr>
                  <pic:blipFill>
                    <a:blip r:embed="rId1250"/>
                    <a:stretch>
                      <a:fillRect/>
                    </a:stretch>
                  </pic:blipFill>
                  <pic:spPr>
                    <a:xfrm>
                      <a:off x="0" y="0"/>
                      <a:ext cx="1069848" cy="411481"/>
                    </a:xfrm>
                    <a:prstGeom prst="rect">
                      <a:avLst/>
                    </a:prstGeom>
                  </pic:spPr>
                </pic:pic>
              </a:graphicData>
            </a:graphic>
          </wp:anchor>
        </w:drawing>
      </w:r>
      <w:r>
        <w:rPr>
          <w:sz w:val="26"/>
        </w:rPr>
        <w:t>LOS JUEGOS DEPORTIVOS ESCOLARES CENTROAMERICANOS DEL CODICADER, PARA ESTUDIANTES CON DISCAPACIDAD, A REALIZARSE EN 1 PANAMÁ, PANAMÁ; A SOLICITUD DE LA DIGEF, consistentes en Bases de Cotización, Especificaciones Técnicas, Disposiciones Especiales, Especificaciones Generales y Formulario de Cotización..."</w:t>
      </w:r>
    </w:p>
    <w:p w14:paraId="14D2C6D5" w14:textId="77777777" w:rsidR="00053D93" w:rsidRDefault="00260B75">
      <w:pPr>
        <w:spacing w:after="3"/>
        <w:ind w:left="74" w:right="3485" w:hanging="10"/>
      </w:pPr>
      <w:r>
        <w:rPr>
          <w:sz w:val="70"/>
        </w:rPr>
        <w:t>1</w:t>
      </w:r>
    </w:p>
    <w:p w14:paraId="7522A906" w14:textId="77777777" w:rsidR="00053D93" w:rsidRDefault="00260B75">
      <w:pPr>
        <w:spacing w:after="257" w:line="269" w:lineRule="auto"/>
        <w:ind w:left="57" w:right="14" w:firstLine="1649"/>
        <w:jc w:val="both"/>
      </w:pPr>
      <w:r>
        <w:rPr>
          <w:sz w:val="26"/>
        </w:rPr>
        <w:t>Las Especificaciones Técnicas del Proceso de Cotización C-033/2024-MlNEDUC 1 "SERVICIO DE TRASPORTE AÉREO PARA LA DELEGACIÓN DEPORTIVA ESCOLAR DE GUATEMALA QUE PARTICIPARÁ EN LOS JUEGOS DEPORTIVOS ESCOLARES CENTROAMERICANOS DEL CODICADER, PARA 1 ESTUDIANTES CON DISCAPACIDAD, A REALIZARSE EN PANAMÁ, PANAMÁ; A SOLICITUD DE LA DIGEF", el numeral 1, establece: "El número de boletos aéreos que se adjudicará es de hasta ciento ochenta y ocho (188) boletos aéreos.</w:t>
      </w:r>
    </w:p>
    <w:p w14:paraId="4DBB4E9A" w14:textId="77777777" w:rsidR="00053D93" w:rsidRDefault="00260B75">
      <w:pPr>
        <w:spacing w:after="4" w:line="269" w:lineRule="auto"/>
        <w:ind w:left="125" w:right="14" w:hanging="3"/>
        <w:jc w:val="both"/>
      </w:pPr>
      <w:r>
        <w:rPr>
          <w:sz w:val="26"/>
        </w:rPr>
        <w:t>1 La cantidad y los nombres de los participantes para los servicios de transporte aéreo serán definidos cuando se tenga concretada la ficha de inscripción de 1 participación nominal por la Sección de Alto Rendimiento Deportivo Escolar del Departamento de Desarrollo Deportivo Escolar de la Dirección General de Educación Física -DIGEF-, cuando se tengan las nóminas por parte del 1 Departamento de Torneos Deportivos Escolares, de acuerdo con la cantidad convocada en el Reglamento y Bases de Competencia del CODICADER, las bases técnicas específicas de cada disciplina deportiva y la logística de la DIGEF 1 para el evento... " el numeral 2, establece: "Consideraciones específicas para la emisión de los boletos aéreos: a) La cantidad de boletos aéreos podría disminuir al momento de la confirmación final, de acuerdo con la inscripción nominal definitiva</w:t>
      </w:r>
    </w:p>
    <w:p w14:paraId="25C35ADD" w14:textId="77777777" w:rsidR="00053D93" w:rsidRDefault="00053D93">
      <w:pPr>
        <w:sectPr w:rsidR="00053D93">
          <w:headerReference w:type="even" r:id="rId1251"/>
          <w:headerReference w:type="default" r:id="rId1252"/>
          <w:footerReference w:type="even" r:id="rId1253"/>
          <w:footerReference w:type="default" r:id="rId1254"/>
          <w:headerReference w:type="first" r:id="rId1255"/>
          <w:footerReference w:type="first" r:id="rId1256"/>
          <w:pgSz w:w="12290" w:h="15883"/>
          <w:pgMar w:top="886" w:right="1757" w:bottom="655" w:left="288" w:header="353" w:footer="1166" w:gutter="0"/>
          <w:cols w:space="720"/>
        </w:sectPr>
      </w:pPr>
    </w:p>
    <w:p w14:paraId="52819FDC" w14:textId="77777777" w:rsidR="00053D93" w:rsidRDefault="00260B75">
      <w:pPr>
        <w:spacing w:after="332"/>
        <w:ind w:left="1721"/>
        <w:jc w:val="center"/>
      </w:pPr>
      <w:r>
        <w:rPr>
          <w:sz w:val="14"/>
        </w:rPr>
        <w:t>193</w:t>
      </w:r>
    </w:p>
    <w:tbl>
      <w:tblPr>
        <w:tblStyle w:val="TableGrid"/>
        <w:tblpPr w:vertAnchor="page" w:horzAnchor="page" w:tblpX="2874" w:tblpY="14621"/>
        <w:tblOverlap w:val="never"/>
        <w:tblW w:w="7653" w:type="dxa"/>
        <w:tblInd w:w="0" w:type="dxa"/>
        <w:tblCellMar>
          <w:top w:w="53" w:type="dxa"/>
          <w:left w:w="1777" w:type="dxa"/>
          <w:right w:w="115" w:type="dxa"/>
        </w:tblCellMar>
        <w:tblLook w:val="04A0" w:firstRow="1" w:lastRow="0" w:firstColumn="1" w:lastColumn="0" w:noHBand="0" w:noVBand="1"/>
      </w:tblPr>
      <w:tblGrid>
        <w:gridCol w:w="7653"/>
      </w:tblGrid>
      <w:tr w:rsidR="00053D93" w14:paraId="6F8FD145" w14:textId="77777777">
        <w:trPr>
          <w:trHeight w:val="608"/>
        </w:trPr>
        <w:tc>
          <w:tcPr>
            <w:tcW w:w="7653" w:type="dxa"/>
            <w:tcBorders>
              <w:top w:val="single" w:sz="2" w:space="0" w:color="000000"/>
              <w:left w:val="single" w:sz="2" w:space="0" w:color="000000"/>
              <w:bottom w:val="nil"/>
              <w:right w:val="nil"/>
            </w:tcBorders>
          </w:tcPr>
          <w:p w14:paraId="51DE9104" w14:textId="77777777" w:rsidR="00053D93" w:rsidRDefault="00260B75">
            <w:pPr>
              <w:ind w:left="828"/>
            </w:pPr>
            <w:r>
              <w:rPr>
                <w:sz w:val="14"/>
              </w:rPr>
              <w:t>MINISTERIO DE EDUCACION</w:t>
            </w:r>
          </w:p>
          <w:p w14:paraId="626E14FA" w14:textId="77777777" w:rsidR="00053D93" w:rsidRDefault="00260B75">
            <w:pPr>
              <w:ind w:left="331"/>
            </w:pPr>
            <w:r>
              <w:rPr>
                <w:sz w:val="14"/>
              </w:rPr>
              <w:t>AUDITORIA F'NANCIERA Y DE CUMPLIMIENTO</w:t>
            </w:r>
          </w:p>
          <w:p w14:paraId="3427A272" w14:textId="77777777" w:rsidR="00053D93" w:rsidRDefault="00260B75">
            <w:r>
              <w:rPr>
                <w:sz w:val="14"/>
              </w:rPr>
              <w:t>PERIODO DEI. 01 DE ENERO AL 31 DE DICIEMBRE OE 2024</w:t>
            </w:r>
          </w:p>
        </w:tc>
      </w:tr>
    </w:tbl>
    <w:p w14:paraId="7B5C2672" w14:textId="77777777" w:rsidR="00053D93" w:rsidRDefault="00260B75">
      <w:pPr>
        <w:spacing w:after="12" w:line="250" w:lineRule="auto"/>
        <w:ind w:left="31" w:right="14" w:hanging="3"/>
        <w:jc w:val="both"/>
      </w:pPr>
      <w:r>
        <w:rPr>
          <w:noProof/>
        </w:rPr>
        <w:drawing>
          <wp:anchor distT="0" distB="0" distL="114300" distR="114300" simplePos="0" relativeHeight="252129280" behindDoc="0" locked="0" layoutInCell="1" allowOverlap="0" wp14:anchorId="0DBB948B" wp14:editId="703E56C2">
            <wp:simplePos x="0" y="0"/>
            <wp:positionH relativeFrom="page">
              <wp:posOffset>694944</wp:posOffset>
            </wp:positionH>
            <wp:positionV relativeFrom="page">
              <wp:posOffset>9262873</wp:posOffset>
            </wp:positionV>
            <wp:extent cx="1074420" cy="406908"/>
            <wp:effectExtent l="0" t="0" r="0" b="0"/>
            <wp:wrapTopAndBottom/>
            <wp:docPr id="913122" name="Picture 913122"/>
            <wp:cNvGraphicFramePr/>
            <a:graphic xmlns:a="http://schemas.openxmlformats.org/drawingml/2006/main">
              <a:graphicData uri="http://schemas.openxmlformats.org/drawingml/2006/picture">
                <pic:pic xmlns:pic="http://schemas.openxmlformats.org/drawingml/2006/picture">
                  <pic:nvPicPr>
                    <pic:cNvPr id="913122" name="Picture 913122"/>
                    <pic:cNvPicPr/>
                  </pic:nvPicPr>
                  <pic:blipFill>
                    <a:blip r:embed="rId1257"/>
                    <a:stretch>
                      <a:fillRect/>
                    </a:stretch>
                  </pic:blipFill>
                  <pic:spPr>
                    <a:xfrm>
                      <a:off x="0" y="0"/>
                      <a:ext cx="1074420" cy="406908"/>
                    </a:xfrm>
                    <a:prstGeom prst="rect">
                      <a:avLst/>
                    </a:prstGeom>
                  </pic:spPr>
                </pic:pic>
              </a:graphicData>
            </a:graphic>
          </wp:anchor>
        </w:drawing>
      </w:r>
      <w:r>
        <w:rPr>
          <w:noProof/>
        </w:rPr>
        <mc:AlternateContent>
          <mc:Choice Requires="wpg">
            <w:drawing>
              <wp:anchor distT="0" distB="0" distL="114300" distR="114300" simplePos="0" relativeHeight="252130304" behindDoc="0" locked="0" layoutInCell="1" allowOverlap="1" wp14:anchorId="22934E82" wp14:editId="083798C9">
                <wp:simplePos x="0" y="0"/>
                <wp:positionH relativeFrom="column">
                  <wp:posOffset>1014984</wp:posOffset>
                </wp:positionH>
                <wp:positionV relativeFrom="paragraph">
                  <wp:posOffset>18288</wp:posOffset>
                </wp:positionV>
                <wp:extent cx="5509260" cy="13716"/>
                <wp:effectExtent l="0" t="0" r="0" b="0"/>
                <wp:wrapSquare wrapText="bothSides"/>
                <wp:docPr id="2458681" name="Group 2458681"/>
                <wp:cNvGraphicFramePr/>
                <a:graphic xmlns:a="http://schemas.openxmlformats.org/drawingml/2006/main">
                  <a:graphicData uri="http://schemas.microsoft.com/office/word/2010/wordprocessingGroup">
                    <wpg:wgp>
                      <wpg:cNvGrpSpPr/>
                      <wpg:grpSpPr>
                        <a:xfrm>
                          <a:off x="0" y="0"/>
                          <a:ext cx="5509260" cy="13716"/>
                          <a:chOff x="0" y="0"/>
                          <a:chExt cx="5509260" cy="13716"/>
                        </a:xfrm>
                      </wpg:grpSpPr>
                      <wps:wsp>
                        <wps:cNvPr id="2458680" name="Shape 2458680"/>
                        <wps:cNvSpPr/>
                        <wps:spPr>
                          <a:xfrm>
                            <a:off x="0" y="0"/>
                            <a:ext cx="5509260" cy="13716"/>
                          </a:xfrm>
                          <a:custGeom>
                            <a:avLst/>
                            <a:gdLst/>
                            <a:ahLst/>
                            <a:cxnLst/>
                            <a:rect l="0" t="0" r="0" b="0"/>
                            <a:pathLst>
                              <a:path w="5509260" h="13716">
                                <a:moveTo>
                                  <a:pt x="0" y="6858"/>
                                </a:moveTo>
                                <a:lnTo>
                                  <a:pt x="550926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681" style="width:433.8pt;height:1.07999pt;position:absolute;mso-position-horizontal-relative:text;mso-position-horizontal:absolute;margin-left:79.92pt;mso-position-vertical-relative:text;margin-top:1.44pt;" coordsize="55092,137">
                <v:shape id="Shape 2458680" style="position:absolute;width:55092;height:137;left:0;top:0;" coordsize="5509260,13716" path="m0,6858l5509260,6858">
                  <v:stroke weight="1.07999pt" endcap="flat" joinstyle="miter" miterlimit="1" on="true" color="#000000"/>
                  <v:fill on="false" color="#000000"/>
                </v:shape>
                <w10:wrap type="square"/>
              </v:group>
            </w:pict>
          </mc:Fallback>
        </mc:AlternateContent>
      </w:r>
      <w:r>
        <w:rPr>
          <w:noProof/>
        </w:rPr>
        <mc:AlternateContent>
          <mc:Choice Requires="wpg">
            <w:drawing>
              <wp:anchor distT="0" distB="0" distL="114300" distR="114300" simplePos="0" relativeHeight="252131328" behindDoc="0" locked="0" layoutInCell="1" allowOverlap="1" wp14:anchorId="57ED1C67" wp14:editId="3E677CE6">
                <wp:simplePos x="0" y="0"/>
                <wp:positionH relativeFrom="column">
                  <wp:posOffset>32004</wp:posOffset>
                </wp:positionH>
                <wp:positionV relativeFrom="paragraph">
                  <wp:posOffset>2075688</wp:posOffset>
                </wp:positionV>
                <wp:extent cx="118872" cy="297180"/>
                <wp:effectExtent l="0" t="0" r="0" b="0"/>
                <wp:wrapSquare wrapText="bothSides"/>
                <wp:docPr id="2456742" name="Group 2456742"/>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909845" name="Rectangle 909845"/>
                        <wps:cNvSpPr/>
                        <wps:spPr>
                          <a:xfrm>
                            <a:off x="0" y="0"/>
                            <a:ext cx="158100" cy="395249"/>
                          </a:xfrm>
                          <a:prstGeom prst="rect">
                            <a:avLst/>
                          </a:prstGeom>
                          <a:ln>
                            <a:noFill/>
                          </a:ln>
                        </wps:spPr>
                        <wps:txbx>
                          <w:txbxContent>
                            <w:p w14:paraId="3C9FD995"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57ED1C67" id="Group 2456742" o:spid="_x0000_s1488" style="position:absolute;left:0;text-align:left;margin-left:2.5pt;margin-top:163.45pt;width:9.35pt;height:23.4pt;z-index:252131328;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">
                <v:rect id="Rectangle 909845" o:spid="_x0000_s1489"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" filled="f" stroked="f">
                  <v:textbox inset="0,0,0,0">
                    <w:txbxContent>
                      <w:p w14:paraId="3C9FD995" w14:textId="77777777" w:rsidR="00053D93" w:rsidRDefault="00260B75">
                        <w:r>
                          <w:rPr>
                            <w:sz w:val="70"/>
                          </w:rPr>
                          <w:t>1</w:t>
                        </w:r>
                      </w:p>
                    </w:txbxContent>
                  </v:textbox>
                </v:rect>
                <w10:wrap type="square"/>
              </v:group>
            </w:pict>
          </mc:Fallback>
        </mc:AlternateContent>
      </w:r>
      <w:r>
        <w:rPr>
          <w:noProof/>
        </w:rPr>
        <mc:AlternateContent>
          <mc:Choice Requires="wpg">
            <w:drawing>
              <wp:anchor distT="0" distB="0" distL="114300" distR="114300" simplePos="0" relativeHeight="252132352" behindDoc="0" locked="0" layoutInCell="1" allowOverlap="1" wp14:anchorId="232F6976" wp14:editId="6CED888A">
                <wp:simplePos x="0" y="0"/>
                <wp:positionH relativeFrom="column">
                  <wp:posOffset>54864</wp:posOffset>
                </wp:positionH>
                <wp:positionV relativeFrom="paragraph">
                  <wp:posOffset>3630168</wp:posOffset>
                </wp:positionV>
                <wp:extent cx="114300" cy="297180"/>
                <wp:effectExtent l="0" t="0" r="0" b="0"/>
                <wp:wrapSquare wrapText="bothSides"/>
                <wp:docPr id="2456745" name="Group 2456745"/>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909848" name="Rectangle 909848"/>
                        <wps:cNvSpPr/>
                        <wps:spPr>
                          <a:xfrm>
                            <a:off x="0" y="0"/>
                            <a:ext cx="152019" cy="395249"/>
                          </a:xfrm>
                          <a:prstGeom prst="rect">
                            <a:avLst/>
                          </a:prstGeom>
                          <a:ln>
                            <a:noFill/>
                          </a:ln>
                        </wps:spPr>
                        <wps:txbx>
                          <w:txbxContent>
                            <w:p w14:paraId="30FC512F"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232F6976" id="Group 2456745" o:spid="_x0000_s1490" style="position:absolute;left:0;text-align:left;margin-left:4.3pt;margin-top:285.85pt;width:9pt;height:23.4pt;z-index:252132352;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">
                <v:rect id="Rectangle 909848" o:spid="_x0000_s1491"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" filled="f" stroked="f">
                  <v:textbox inset="0,0,0,0">
                    <w:txbxContent>
                      <w:p w14:paraId="30FC512F" w14:textId="77777777" w:rsidR="00053D93" w:rsidRDefault="00260B75">
                        <w:r>
                          <w:rPr>
                            <w:sz w:val="70"/>
                          </w:rPr>
                          <w:t>1</w:t>
                        </w:r>
                      </w:p>
                    </w:txbxContent>
                  </v:textbox>
                </v:rect>
                <w10:wrap type="square"/>
              </v:group>
            </w:pict>
          </mc:Fallback>
        </mc:AlternateContent>
      </w:r>
      <w:r>
        <w:rPr>
          <w:noProof/>
        </w:rPr>
        <mc:AlternateContent>
          <mc:Choice Requires="wpg">
            <w:drawing>
              <wp:anchor distT="0" distB="0" distL="114300" distR="114300" simplePos="0" relativeHeight="252133376" behindDoc="0" locked="0" layoutInCell="1" allowOverlap="1" wp14:anchorId="6F9C0A92" wp14:editId="504E675E">
                <wp:simplePos x="0" y="0"/>
                <wp:positionH relativeFrom="column">
                  <wp:posOffset>86868</wp:posOffset>
                </wp:positionH>
                <wp:positionV relativeFrom="paragraph">
                  <wp:posOffset>6729984</wp:posOffset>
                </wp:positionV>
                <wp:extent cx="118872" cy="297180"/>
                <wp:effectExtent l="0" t="0" r="0" b="0"/>
                <wp:wrapSquare wrapText="bothSides"/>
                <wp:docPr id="2456747" name="Group 2456747"/>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909854" name="Rectangle 909854"/>
                        <wps:cNvSpPr/>
                        <wps:spPr>
                          <a:xfrm>
                            <a:off x="0" y="0"/>
                            <a:ext cx="158100" cy="395250"/>
                          </a:xfrm>
                          <a:prstGeom prst="rect">
                            <a:avLst/>
                          </a:prstGeom>
                          <a:ln>
                            <a:noFill/>
                          </a:ln>
                        </wps:spPr>
                        <wps:txbx>
                          <w:txbxContent>
                            <w:p w14:paraId="10CB9F76"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6F9C0A92" id="Group 2456747" o:spid="_x0000_s1492" style="position:absolute;left:0;text-align:left;margin-left:6.85pt;margin-top:529.9pt;width:9.35pt;height:23.4pt;z-index:252133376;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">
                <v:rect id="Rectangle 909854" o:spid="_x0000_s1493"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" filled="f" stroked="f">
                  <v:textbox inset="0,0,0,0">
                    <w:txbxContent>
                      <w:p w14:paraId="10CB9F76" w14:textId="77777777" w:rsidR="00053D93" w:rsidRDefault="00260B75">
                        <w:r>
                          <w:rPr>
                            <w:sz w:val="70"/>
                          </w:rPr>
                          <w:t>1</w:t>
                        </w:r>
                      </w:p>
                    </w:txbxContent>
                  </v:textbox>
                </v:rect>
                <w10:wrap type="square"/>
              </v:group>
            </w:pict>
          </mc:Fallback>
        </mc:AlternateContent>
      </w:r>
      <w:r>
        <w:rPr>
          <w:noProof/>
        </w:rPr>
        <mc:AlternateContent>
          <mc:Choice Requires="wpg">
            <w:drawing>
              <wp:inline distT="0" distB="0" distL="0" distR="0" wp14:anchorId="6AE06361" wp14:editId="3D515F19">
                <wp:extent cx="118872" cy="306324"/>
                <wp:effectExtent l="0" t="0" r="0" b="0"/>
                <wp:docPr id="2456739" name="Group 2456739"/>
                <wp:cNvGraphicFramePr/>
                <a:graphic xmlns:a="http://schemas.openxmlformats.org/drawingml/2006/main">
                  <a:graphicData uri="http://schemas.microsoft.com/office/word/2010/wordprocessingGroup">
                    <wpg:wgp>
                      <wpg:cNvGrpSpPr/>
                      <wpg:grpSpPr>
                        <a:xfrm>
                          <a:off x="0" y="0"/>
                          <a:ext cx="118872" cy="306324"/>
                          <a:chOff x="0" y="0"/>
                          <a:chExt cx="118872" cy="306324"/>
                        </a:xfrm>
                      </wpg:grpSpPr>
                      <wps:wsp>
                        <wps:cNvPr id="909841" name="Rectangle 909841"/>
                        <wps:cNvSpPr/>
                        <wps:spPr>
                          <a:xfrm>
                            <a:off x="0" y="0"/>
                            <a:ext cx="158100" cy="407411"/>
                          </a:xfrm>
                          <a:prstGeom prst="rect">
                            <a:avLst/>
                          </a:prstGeom>
                          <a:ln>
                            <a:noFill/>
                          </a:ln>
                        </wps:spPr>
                        <wps:txbx>
                          <w:txbxContent>
                            <w:p w14:paraId="1D7C6C6F"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AE06361" id="Group 2456739" o:spid="_x0000_s1494" style="width:9.35pt;height:24.1pt;mso-position-horizontal-relative:char;mso-position-vertical-relative:line" coordsize="11887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">
                <v:rect id="Rectangle 909841" o:spid="_x0000_s1495" style="position:absolute;width:158100;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" filled="f" stroked="f">
                  <v:textbox inset="0,0,0,0">
                    <w:txbxContent>
                      <w:p w14:paraId="1D7C6C6F" w14:textId="77777777" w:rsidR="00053D93" w:rsidRDefault="00260B75">
                        <w:r>
                          <w:rPr>
                            <w:sz w:val="70"/>
                          </w:rPr>
                          <w:t>1</w:t>
                        </w:r>
                      </w:p>
                    </w:txbxContent>
                  </v:textbox>
                </v:rect>
                <w10:anchorlock/>
              </v:group>
            </w:pict>
          </mc:Fallback>
        </mc:AlternateContent>
      </w:r>
      <w:r>
        <w:rPr>
          <w:sz w:val="26"/>
        </w:rPr>
        <w:t xml:space="preserve"> de los Juegos Deportivos Escolares Centroamericanos del CODICADER, para estudiantes con discapacidad..." el numeral 3, establece: "Condiciones especiales 1 para ei servicio de transporte aéreo... 3.2.2 Los cambios serán autorizados única y exclusivamente por la Dirección General de Educación Física -DIGEF-. 3.2.3 Las razones para solicitar los cambios son: a) Por lesión o enfermedad de un miembro </w:t>
      </w:r>
      <w:r>
        <w:rPr>
          <w:noProof/>
        </w:rPr>
        <mc:AlternateContent>
          <mc:Choice Requires="wpg">
            <w:drawing>
              <wp:inline distT="0" distB="0" distL="0" distR="0" wp14:anchorId="75BA1A6B" wp14:editId="7F9480FD">
                <wp:extent cx="118872" cy="301752"/>
                <wp:effectExtent l="0" t="0" r="0" b="0"/>
                <wp:docPr id="2456740" name="Group 2456740"/>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909843" name="Rectangle 909843"/>
                        <wps:cNvSpPr/>
                        <wps:spPr>
                          <a:xfrm>
                            <a:off x="0" y="0"/>
                            <a:ext cx="158100" cy="401330"/>
                          </a:xfrm>
                          <a:prstGeom prst="rect">
                            <a:avLst/>
                          </a:prstGeom>
                          <a:ln>
                            <a:noFill/>
                          </a:ln>
                        </wps:spPr>
                        <wps:txbx>
                          <w:txbxContent>
                            <w:p w14:paraId="6AAC7FCA"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5BA1A6B" id="Group 2456740" o:spid="_x0000_s1496"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">
                <v:rect id="Rectangle 909843" o:spid="_x0000_s1497"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" filled="f" stroked="f">
                  <v:textbox inset="0,0,0,0">
                    <w:txbxContent>
                      <w:p w14:paraId="6AAC7FCA" w14:textId="77777777" w:rsidR="00053D93" w:rsidRDefault="00260B75">
                        <w:r>
                          <w:rPr>
                            <w:sz w:val="70"/>
                          </w:rPr>
                          <w:t>1</w:t>
                        </w:r>
                      </w:p>
                    </w:txbxContent>
                  </v:textbox>
                </v:rect>
                <w10:anchorlock/>
              </v:group>
            </w:pict>
          </mc:Fallback>
        </mc:AlternateContent>
      </w:r>
      <w:r>
        <w:rPr>
          <w:sz w:val="26"/>
        </w:rPr>
        <w:t xml:space="preserve"> de la Delegación Deportiva Escolar y que deba ser sustituido, sin tener penalización para el pasajero ni para la DIGEF. b) Cambio de fecha por causas de fuerza mayor (fenómenos climáticos, epidemias, cambio de programación por </w:t>
      </w:r>
      <w:r>
        <w:rPr>
          <w:noProof/>
        </w:rPr>
        <mc:AlternateContent>
          <mc:Choice Requires="wpg">
            <w:drawing>
              <wp:inline distT="0" distB="0" distL="0" distR="0" wp14:anchorId="7F256F81" wp14:editId="5A33A2F8">
                <wp:extent cx="118872" cy="301752"/>
                <wp:effectExtent l="0" t="0" r="0" b="0"/>
                <wp:docPr id="2456741" name="Group 2456741"/>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909844" name="Rectangle 909844"/>
                        <wps:cNvSpPr/>
                        <wps:spPr>
                          <a:xfrm>
                            <a:off x="0" y="0"/>
                            <a:ext cx="158100" cy="401330"/>
                          </a:xfrm>
                          <a:prstGeom prst="rect">
                            <a:avLst/>
                          </a:prstGeom>
                          <a:ln>
                            <a:noFill/>
                          </a:ln>
                        </wps:spPr>
                        <wps:txbx>
                          <w:txbxContent>
                            <w:p w14:paraId="425D5363"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F256F81" id="Group 2456741" o:spid="_x0000_s1498"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">
                <v:rect id="Rectangle 909844" o:spid="_x0000_s1499"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" filled="f" stroked="f">
                  <v:textbox inset="0,0,0,0">
                    <w:txbxContent>
                      <w:p w14:paraId="425D5363" w14:textId="77777777" w:rsidR="00053D93" w:rsidRDefault="00260B75">
                        <w:r>
                          <w:rPr>
                            <w:sz w:val="70"/>
                          </w:rPr>
                          <w:t>1</w:t>
                        </w:r>
                      </w:p>
                    </w:txbxContent>
                  </v:textbox>
                </v:rect>
                <w10:anchorlock/>
              </v:group>
            </w:pict>
          </mc:Fallback>
        </mc:AlternateContent>
      </w:r>
      <w:r>
        <w:rPr>
          <w:sz w:val="26"/>
        </w:rPr>
        <w:t xml:space="preserve"> parte del Comité Organizador del país que organiza el evento), sin tener penalización para el pasajero ni para la DIGEF. c) En caso de fallecimiento del padre, madre o hermanos de los atletas escolares y del cuerpo técnico... </w:t>
      </w:r>
      <w:r>
        <w:rPr>
          <w:noProof/>
        </w:rPr>
        <w:drawing>
          <wp:inline distT="0" distB="0" distL="0" distR="0" wp14:anchorId="09FFEEB8" wp14:editId="3A75CE87">
            <wp:extent cx="228600" cy="118872"/>
            <wp:effectExtent l="0" t="0" r="0" b="0"/>
            <wp:docPr id="2458678" name="Picture 2458678"/>
            <wp:cNvGraphicFramePr/>
            <a:graphic xmlns:a="http://schemas.openxmlformats.org/drawingml/2006/main">
              <a:graphicData uri="http://schemas.openxmlformats.org/drawingml/2006/picture">
                <pic:pic xmlns:pic="http://schemas.openxmlformats.org/drawingml/2006/picture">
                  <pic:nvPicPr>
                    <pic:cNvPr id="2458678" name="Picture 2458678"/>
                    <pic:cNvPicPr/>
                  </pic:nvPicPr>
                  <pic:blipFill>
                    <a:blip r:embed="rId1258"/>
                    <a:stretch>
                      <a:fillRect/>
                    </a:stretch>
                  </pic:blipFill>
                  <pic:spPr>
                    <a:xfrm>
                      <a:off x="0" y="0"/>
                      <a:ext cx="228600" cy="118872"/>
                    </a:xfrm>
                    <a:prstGeom prst="rect">
                      <a:avLst/>
                    </a:prstGeom>
                  </pic:spPr>
                </pic:pic>
              </a:graphicData>
            </a:graphic>
          </wp:inline>
        </w:drawing>
      </w:r>
      <w:r>
        <w:rPr>
          <w:sz w:val="26"/>
        </w:rPr>
        <w:t xml:space="preserve">numeral 6, establece: "El precio de los servicios de transporte aéreo no podrá variar a una tarifa mayor. Si al momento de la emisión el costo es mayor al </w:t>
      </w:r>
      <w:r>
        <w:rPr>
          <w:noProof/>
        </w:rPr>
        <mc:AlternateContent>
          <mc:Choice Requires="wpg">
            <w:drawing>
              <wp:inline distT="0" distB="0" distL="0" distR="0" wp14:anchorId="5480E809" wp14:editId="705276AF">
                <wp:extent cx="123444" cy="297180"/>
                <wp:effectExtent l="0" t="0" r="0" b="0"/>
                <wp:docPr id="2456743" name="Group 2456743"/>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909846" name="Rectangle 909846"/>
                        <wps:cNvSpPr/>
                        <wps:spPr>
                          <a:xfrm>
                            <a:off x="0" y="0"/>
                            <a:ext cx="164181" cy="395249"/>
                          </a:xfrm>
                          <a:prstGeom prst="rect">
                            <a:avLst/>
                          </a:prstGeom>
                          <a:ln>
                            <a:noFill/>
                          </a:ln>
                        </wps:spPr>
                        <wps:txbx>
                          <w:txbxContent>
                            <w:p w14:paraId="00BB57C0"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5480E809" id="Group 2456743" o:spid="_x0000_s1500" style="width:9.7pt;height:23.4pt;mso-position-horizontal-relative:char;mso-position-vertical-relative:line"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">
                <v:rect id="Rectangle 909846" o:spid="_x0000_s1501"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" filled="f" stroked="f">
                  <v:textbox inset="0,0,0,0">
                    <w:txbxContent>
                      <w:p w14:paraId="00BB57C0" w14:textId="77777777" w:rsidR="00053D93" w:rsidRDefault="00260B75">
                        <w:r>
                          <w:rPr>
                            <w:sz w:val="72"/>
                          </w:rPr>
                          <w:t>1</w:t>
                        </w:r>
                      </w:p>
                    </w:txbxContent>
                  </v:textbox>
                </v:rect>
                <w10:anchorlock/>
              </v:group>
            </w:pict>
          </mc:Fallback>
        </mc:AlternateContent>
      </w:r>
      <w:r>
        <w:rPr>
          <w:sz w:val="26"/>
        </w:rPr>
        <w:t xml:space="preserve"> ofertado, se debe mantener el precio bajo en beneficio de los intereses del Estado." El numeral 7, establece: "La fecha de salida y retorno de los grupos de la Delegación Deportiva Escolar podría sufrir cambios de acuerdo con la </w:t>
      </w:r>
      <w:r>
        <w:rPr>
          <w:noProof/>
        </w:rPr>
        <mc:AlternateContent>
          <mc:Choice Requires="wpg">
            <w:drawing>
              <wp:inline distT="0" distB="0" distL="0" distR="0" wp14:anchorId="26A01A7A" wp14:editId="67247A62">
                <wp:extent cx="109728" cy="297180"/>
                <wp:effectExtent l="0" t="0" r="0" b="0"/>
                <wp:docPr id="2456744" name="Group 2456744"/>
                <wp:cNvGraphicFramePr/>
                <a:graphic xmlns:a="http://schemas.openxmlformats.org/drawingml/2006/main">
                  <a:graphicData uri="http://schemas.microsoft.com/office/word/2010/wordprocessingGroup">
                    <wpg:wgp>
                      <wpg:cNvGrpSpPr/>
                      <wpg:grpSpPr>
                        <a:xfrm>
                          <a:off x="0" y="0"/>
                          <a:ext cx="109728" cy="297180"/>
                          <a:chOff x="0" y="0"/>
                          <a:chExt cx="109728" cy="297180"/>
                        </a:xfrm>
                      </wpg:grpSpPr>
                      <wps:wsp>
                        <wps:cNvPr id="909847" name="Rectangle 909847"/>
                        <wps:cNvSpPr/>
                        <wps:spPr>
                          <a:xfrm>
                            <a:off x="0" y="0"/>
                            <a:ext cx="145938" cy="395249"/>
                          </a:xfrm>
                          <a:prstGeom prst="rect">
                            <a:avLst/>
                          </a:prstGeom>
                          <a:ln>
                            <a:noFill/>
                          </a:ln>
                        </wps:spPr>
                        <wps:txbx>
                          <w:txbxContent>
                            <w:p w14:paraId="6CE7814F"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26A01A7A" id="Group 2456744" o:spid="_x0000_s1502" style="width:8.65pt;height:23.4pt;mso-position-horizontal-relative:char;mso-position-vertical-relative:line" coordsize="109728,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">
                <v:rect id="Rectangle 909847" o:spid="_x0000_s1503" style="position:absolute;width:145938;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" filled="f" stroked="f">
                  <v:textbox inset="0,0,0,0">
                    <w:txbxContent>
                      <w:p w14:paraId="6CE7814F" w14:textId="77777777" w:rsidR="00053D93" w:rsidRDefault="00260B75">
                        <w:r>
                          <w:rPr>
                            <w:sz w:val="66"/>
                          </w:rPr>
                          <w:t>1</w:t>
                        </w:r>
                      </w:p>
                    </w:txbxContent>
                  </v:textbox>
                </v:rect>
                <w10:anchorlock/>
              </v:group>
            </w:pict>
          </mc:Fallback>
        </mc:AlternateContent>
      </w:r>
      <w:r>
        <w:rPr>
          <w:sz w:val="26"/>
        </w:rPr>
        <w:t xml:space="preserve"> programación general del evento, debido a disposiciones del Comité Organizador de los Juegos Deportivos Escolares Centroamericanos del CODICADER, para estudiantes con discapacidad. Los cambios, si los hubiere, no deben representar ningún costo adicional para la DIGEF." El numeral 8, establece: "La agencia deberá ofertar en tarifa grupal y si el grupo se reduce, la tarifa individual debe </w:t>
      </w:r>
      <w:r>
        <w:rPr>
          <w:noProof/>
        </w:rPr>
        <mc:AlternateContent>
          <mc:Choice Requires="wpg">
            <w:drawing>
              <wp:inline distT="0" distB="0" distL="0" distR="0" wp14:anchorId="7D77E70D" wp14:editId="7BE7DBAC">
                <wp:extent cx="118872" cy="297180"/>
                <wp:effectExtent l="0" t="0" r="0" b="0"/>
                <wp:docPr id="2456746" name="Group 2456746"/>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909849" name="Rectangle 909849"/>
                        <wps:cNvSpPr/>
                        <wps:spPr>
                          <a:xfrm>
                            <a:off x="0" y="0"/>
                            <a:ext cx="158100" cy="395250"/>
                          </a:xfrm>
                          <a:prstGeom prst="rect">
                            <a:avLst/>
                          </a:prstGeom>
                          <a:ln>
                            <a:noFill/>
                          </a:ln>
                        </wps:spPr>
                        <wps:txbx>
                          <w:txbxContent>
                            <w:p w14:paraId="4CB15582"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7D77E70D" id="Group 2456746" o:spid="_x0000_s1504"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">
                <v:rect id="Rectangle 909849" o:spid="_x0000_s1505"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" filled="f" stroked="f">
                  <v:textbox inset="0,0,0,0">
                    <w:txbxContent>
                      <w:p w14:paraId="4CB15582" w14:textId="77777777" w:rsidR="00053D93" w:rsidRDefault="00260B75">
                        <w:r>
                          <w:rPr>
                            <w:sz w:val="72"/>
                          </w:rPr>
                          <w:t>1</w:t>
                        </w:r>
                      </w:p>
                    </w:txbxContent>
                  </v:textbox>
                </v:rect>
                <w10:anchorlock/>
              </v:group>
            </w:pict>
          </mc:Fallback>
        </mc:AlternateContent>
      </w:r>
      <w:r>
        <w:rPr>
          <w:sz w:val="26"/>
        </w:rPr>
        <w:t xml:space="preserve"> mantenerse." El numeral 1 1 , establece: "Calendario: todas las disciplinas deportivas y jefatura de misión deben viajar en las fechas establecidas en el calendario, el mismo día en la ida y en el retorno, en grupos por disciplina -1 deportiva. De no ser posible viajar todos los grupos en las fechas establecidas en el calendario, por la logística de las líneas aéreas, podrán viajar un día antes del -1 arribo oficial establecido, teniendo en cuenta que la agencia que oferte deberá cubrir los gastos de hospedaje, alimentación y traslados internos del día anterior al arribo oficial, así como el desayuno del día oficial de llegada y el transporte hacia -1 el hotel oficial del evento. Asimismo, si no hubiera disponibilidad de vuelo para los días del retorno, podrán viajar un día posterior a la fecha oficial de salida, debiendo cubrir, la agencia de viajes, alimentación, hospedaje y traslado al -1 aeropuerto." El numeral 12, establece: "El(la) contratista deberá entregar los boletos aéreos para la Delegación Deportiva Escolar de Guatemala que participará en los Juegos Deportivos Escolares Centroamericanos del CODICADER, para estudiantes con discapacidad, a realizarse en Panamá, Panamá en la Dirección General de Educación Física -DIGEF-, ubicada en la 32 calle 9-10 Zona 1 1</w:t>
      </w:r>
    </w:p>
    <w:p w14:paraId="193BD04A" w14:textId="77777777" w:rsidR="00053D93" w:rsidRDefault="00260B75">
      <w:pPr>
        <w:spacing w:after="12" w:line="250" w:lineRule="auto"/>
        <w:ind w:left="1771" w:right="14" w:hanging="1620"/>
        <w:jc w:val="both"/>
      </w:pPr>
      <w:r>
        <w:rPr>
          <w:noProof/>
        </w:rPr>
        <mc:AlternateContent>
          <mc:Choice Requires="wpg">
            <w:drawing>
              <wp:anchor distT="0" distB="0" distL="114300" distR="114300" simplePos="0" relativeHeight="252134400" behindDoc="0" locked="0" layoutInCell="1" allowOverlap="1" wp14:anchorId="08E362BA" wp14:editId="164F3C2F">
                <wp:simplePos x="0" y="0"/>
                <wp:positionH relativeFrom="column">
                  <wp:posOffset>100584</wp:posOffset>
                </wp:positionH>
                <wp:positionV relativeFrom="paragraph">
                  <wp:posOffset>507492</wp:posOffset>
                </wp:positionV>
                <wp:extent cx="118872" cy="297180"/>
                <wp:effectExtent l="0" t="0" r="0" b="0"/>
                <wp:wrapSquare wrapText="bothSides"/>
                <wp:docPr id="2456749" name="Group 2456749"/>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909856" name="Rectangle 909856"/>
                        <wps:cNvSpPr/>
                        <wps:spPr>
                          <a:xfrm>
                            <a:off x="0" y="0"/>
                            <a:ext cx="158100" cy="395250"/>
                          </a:xfrm>
                          <a:prstGeom prst="rect">
                            <a:avLst/>
                          </a:prstGeom>
                          <a:ln>
                            <a:noFill/>
                          </a:ln>
                        </wps:spPr>
                        <wps:txbx>
                          <w:txbxContent>
                            <w:p w14:paraId="53A1F6BB"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08E362BA" id="Group 2456749" o:spid="_x0000_s1506" style="position:absolute;left:0;text-align:left;margin-left:7.9pt;margin-top:39.95pt;width:9.35pt;height:23.4pt;z-index:252134400;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">
                <v:rect id="Rectangle 909856" o:spid="_x0000_s1507"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" filled="f" stroked="f">
                  <v:textbox inset="0,0,0,0">
                    <w:txbxContent>
                      <w:p w14:paraId="53A1F6BB" w14:textId="77777777" w:rsidR="00053D93" w:rsidRDefault="00260B75">
                        <w:r>
                          <w:rPr>
                            <w:sz w:val="70"/>
                          </w:rPr>
                          <w:t>1</w:t>
                        </w:r>
                      </w:p>
                    </w:txbxContent>
                  </v:textbox>
                </v:rect>
                <w10:wrap type="square"/>
              </v:group>
            </w:pict>
          </mc:Fallback>
        </mc:AlternateContent>
      </w:r>
      <w:r>
        <w:rPr>
          <w:noProof/>
        </w:rPr>
        <mc:AlternateContent>
          <mc:Choice Requires="wpg">
            <w:drawing>
              <wp:inline distT="0" distB="0" distL="0" distR="0" wp14:anchorId="78C49CE7" wp14:editId="29C45536">
                <wp:extent cx="114300" cy="297180"/>
                <wp:effectExtent l="0" t="0" r="0" b="0"/>
                <wp:docPr id="2456748" name="Group 2456748"/>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909855" name="Rectangle 909855"/>
                        <wps:cNvSpPr/>
                        <wps:spPr>
                          <a:xfrm>
                            <a:off x="0" y="0"/>
                            <a:ext cx="152019" cy="395250"/>
                          </a:xfrm>
                          <a:prstGeom prst="rect">
                            <a:avLst/>
                          </a:prstGeom>
                          <a:ln>
                            <a:noFill/>
                          </a:ln>
                        </wps:spPr>
                        <wps:txbx>
                          <w:txbxContent>
                            <w:p w14:paraId="51CE7C20"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78C49CE7" id="Group 2456748" o:spid="_x0000_s1508"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AE25xQDgIAAJYE&#10;AAAOAAAAAAAAAAAAAAAAAC4CAABkcnMvZTJvRG9jLnhtbFBLAQItABQABgAIAAAAIQDLw3M32gAA&#10;AAMBAAAPAAAAAAAAAAAAAAAAAGgEAABkcnMvZG93bnJldi54bWxQSwUGAAAAAAQABADzAAAAbwUA&#10;AAAA&#10;">
                <v:rect id="Rectangle 909855" o:spid="_x0000_s1509"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" filled="f" stroked="f">
                  <v:textbox inset="0,0,0,0">
                    <w:txbxContent>
                      <w:p w14:paraId="51CE7C20" w14:textId="77777777" w:rsidR="00053D93" w:rsidRDefault="00260B75">
                        <w:r>
                          <w:rPr>
                            <w:sz w:val="66"/>
                          </w:rPr>
                          <w:t>1</w:t>
                        </w:r>
                      </w:p>
                    </w:txbxContent>
                  </v:textbox>
                </v:rect>
                <w10:anchorlock/>
              </v:group>
            </w:pict>
          </mc:Fallback>
        </mc:AlternateContent>
      </w:r>
      <w:r>
        <w:rPr>
          <w:sz w:val="26"/>
        </w:rPr>
        <w:t xml:space="preserve"> Colonia Granai l; Guatemala, Guatemala; directamente a la Comisión Receptora y Liquidadora nombrada para el efecto, al momento de la confirmación final, de acuerdo con la inscripción nominal definitiva de los Juegos Deportivos Escolares Centroamericanos del CODICADER, para estudiantes con discapacidad."</w:t>
      </w:r>
    </w:p>
    <w:p w14:paraId="26B25783" w14:textId="77777777" w:rsidR="00053D93" w:rsidRDefault="00260B75">
      <w:pPr>
        <w:spacing w:after="3"/>
        <w:ind w:left="24" w:hanging="10"/>
      </w:pPr>
      <w:r>
        <w:rPr>
          <w:sz w:val="72"/>
        </w:rPr>
        <w:t>1</w:t>
      </w:r>
      <w:r>
        <w:rPr>
          <w:noProof/>
        </w:rPr>
        <w:drawing>
          <wp:inline distT="0" distB="0" distL="0" distR="0" wp14:anchorId="6C05C5DE" wp14:editId="3484B9E7">
            <wp:extent cx="13716" cy="22860"/>
            <wp:effectExtent l="0" t="0" r="0" b="0"/>
            <wp:docPr id="916847" name="Picture 916847"/>
            <wp:cNvGraphicFramePr/>
            <a:graphic xmlns:a="http://schemas.openxmlformats.org/drawingml/2006/main">
              <a:graphicData uri="http://schemas.openxmlformats.org/drawingml/2006/picture">
                <pic:pic xmlns:pic="http://schemas.openxmlformats.org/drawingml/2006/picture">
                  <pic:nvPicPr>
                    <pic:cNvPr id="916847" name="Picture 916847"/>
                    <pic:cNvPicPr/>
                  </pic:nvPicPr>
                  <pic:blipFill>
                    <a:blip r:embed="rId1259"/>
                    <a:stretch>
                      <a:fillRect/>
                    </a:stretch>
                  </pic:blipFill>
                  <pic:spPr>
                    <a:xfrm>
                      <a:off x="0" y="0"/>
                      <a:ext cx="13716" cy="22860"/>
                    </a:xfrm>
                    <a:prstGeom prst="rect">
                      <a:avLst/>
                    </a:prstGeom>
                  </pic:spPr>
                </pic:pic>
              </a:graphicData>
            </a:graphic>
          </wp:inline>
        </w:drawing>
      </w:r>
    </w:p>
    <w:p w14:paraId="22D41203" w14:textId="77777777" w:rsidR="00053D93" w:rsidRDefault="00260B75">
      <w:pPr>
        <w:spacing w:after="95" w:line="265" w:lineRule="auto"/>
        <w:ind w:left="1846" w:right="202" w:hanging="10"/>
        <w:jc w:val="center"/>
      </w:pPr>
      <w:r>
        <w:rPr>
          <w:sz w:val="14"/>
        </w:rPr>
        <w:t>197</w:t>
      </w:r>
    </w:p>
    <w:p w14:paraId="3CC3B343" w14:textId="77777777" w:rsidR="00053D93" w:rsidRDefault="00260B75">
      <w:pPr>
        <w:spacing w:after="18"/>
        <w:ind w:left="1721"/>
      </w:pPr>
      <w:r>
        <w:rPr>
          <w:noProof/>
        </w:rPr>
        <mc:AlternateContent>
          <mc:Choice Requires="wpg">
            <w:drawing>
              <wp:inline distT="0" distB="0" distL="0" distR="0" wp14:anchorId="62DCAE41" wp14:editId="4715DD90">
                <wp:extent cx="5394960" cy="13716"/>
                <wp:effectExtent l="0" t="0" r="0" b="0"/>
                <wp:docPr id="2458685" name="Group 2458685"/>
                <wp:cNvGraphicFramePr/>
                <a:graphic xmlns:a="http://schemas.openxmlformats.org/drawingml/2006/main">
                  <a:graphicData uri="http://schemas.microsoft.com/office/word/2010/wordprocessingGroup">
                    <wpg:wgp>
                      <wpg:cNvGrpSpPr/>
                      <wpg:grpSpPr>
                        <a:xfrm>
                          <a:off x="0" y="0"/>
                          <a:ext cx="5394960" cy="13716"/>
                          <a:chOff x="0" y="0"/>
                          <a:chExt cx="5394960" cy="13716"/>
                        </a:xfrm>
                      </wpg:grpSpPr>
                      <wps:wsp>
                        <wps:cNvPr id="2458684" name="Shape 2458684"/>
                        <wps:cNvSpPr/>
                        <wps:spPr>
                          <a:xfrm>
                            <a:off x="0" y="0"/>
                            <a:ext cx="5394960" cy="13716"/>
                          </a:xfrm>
                          <a:custGeom>
                            <a:avLst/>
                            <a:gdLst/>
                            <a:ahLst/>
                            <a:cxnLst/>
                            <a:rect l="0" t="0" r="0" b="0"/>
                            <a:pathLst>
                              <a:path w="5394960" h="13716">
                                <a:moveTo>
                                  <a:pt x="0" y="6858"/>
                                </a:moveTo>
                                <a:lnTo>
                                  <a:pt x="539496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85" style="width:424.8pt;height:1.08001pt;mso-position-horizontal-relative:char;mso-position-vertical-relative:line" coordsize="53949,137">
                <v:shape id="Shape 2458684" style="position:absolute;width:53949;height:137;left:0;top:0;" coordsize="5394960,13716" path="m0,6858l5394960,6858">
                  <v:stroke weight="1.08001pt" endcap="flat" joinstyle="miter" miterlimit="1" on="true" color="#000000"/>
                  <v:fill on="false" color="#000000"/>
                </v:shape>
              </v:group>
            </w:pict>
          </mc:Fallback>
        </mc:AlternateContent>
      </w:r>
    </w:p>
    <w:p w14:paraId="3AC0F7B1" w14:textId="77777777" w:rsidR="00053D93" w:rsidRDefault="00260B75">
      <w:pPr>
        <w:pStyle w:val="Ttulo3"/>
        <w:spacing w:after="4" w:line="253" w:lineRule="auto"/>
        <w:ind w:left="1738" w:right="0" w:hanging="3"/>
      </w:pPr>
      <w:r>
        <w:t>Causa</w:t>
      </w:r>
    </w:p>
    <w:p w14:paraId="17EB1FCA" w14:textId="77777777" w:rsidR="00053D93" w:rsidRDefault="00260B75">
      <w:pPr>
        <w:spacing w:after="4" w:line="216" w:lineRule="auto"/>
        <w:ind w:left="57" w:right="14" w:firstLine="1721"/>
        <w:jc w:val="both"/>
      </w:pPr>
      <w:r>
        <w:rPr>
          <w:sz w:val="26"/>
        </w:rPr>
        <w:t>El Director General en Funciones, abusando de su cargo, autorizó los cambios 1 indicados por la entidad LAX TRAVEL, S.A., en cuanto a la cantidad de boletos</w:t>
      </w:r>
    </w:p>
    <w:p w14:paraId="322F3DBC" w14:textId="77777777" w:rsidR="00053D93" w:rsidRDefault="00260B75">
      <w:pPr>
        <w:spacing w:after="3" w:line="269" w:lineRule="auto"/>
        <w:ind w:left="67" w:right="14" w:hanging="10"/>
        <w:jc w:val="right"/>
      </w:pPr>
      <w:r>
        <w:rPr>
          <w:sz w:val="26"/>
        </w:rPr>
        <w:t>contratados y las fechas establecidas en el calendario de salidas y retornos, de las</w:t>
      </w:r>
    </w:p>
    <w:p w14:paraId="5960155C" w14:textId="77777777" w:rsidR="00053D93" w:rsidRDefault="00260B75">
      <w:pPr>
        <w:spacing w:after="4" w:line="269" w:lineRule="auto"/>
        <w:ind w:left="60" w:right="14" w:hanging="3"/>
        <w:jc w:val="both"/>
      </w:pPr>
      <w:r>
        <w:rPr>
          <w:sz w:val="26"/>
        </w:rPr>
        <w:t xml:space="preserve">Especificaciones Técnicas de las bases del evento denominado "Servicio de </w:t>
      </w:r>
      <w:r>
        <w:rPr>
          <w:noProof/>
        </w:rPr>
        <mc:AlternateContent>
          <mc:Choice Requires="wpg">
            <w:drawing>
              <wp:inline distT="0" distB="0" distL="0" distR="0" wp14:anchorId="2CE1B102" wp14:editId="69506F71">
                <wp:extent cx="118872" cy="297180"/>
                <wp:effectExtent l="0" t="0" r="0" b="0"/>
                <wp:docPr id="2456757" name="Group 2456757"/>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913775" name="Rectangle 913775"/>
                        <wps:cNvSpPr/>
                        <wps:spPr>
                          <a:xfrm>
                            <a:off x="0" y="0"/>
                            <a:ext cx="158100" cy="395249"/>
                          </a:xfrm>
                          <a:prstGeom prst="rect">
                            <a:avLst/>
                          </a:prstGeom>
                          <a:ln>
                            <a:noFill/>
                          </a:ln>
                        </wps:spPr>
                        <wps:txbx>
                          <w:txbxContent>
                            <w:p w14:paraId="415780E4"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2CE1B102" id="Group 2456757" o:spid="_x0000_s1510"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">
                <v:rect id="Rectangle 913775" o:spid="_x0000_s1511"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" filled="f" stroked="f">
                  <v:textbox inset="0,0,0,0">
                    <w:txbxContent>
                      <w:p w14:paraId="415780E4" w14:textId="77777777" w:rsidR="00053D93" w:rsidRDefault="00260B75">
                        <w:r>
                          <w:rPr>
                            <w:sz w:val="70"/>
                          </w:rPr>
                          <w:t>1</w:t>
                        </w:r>
                      </w:p>
                    </w:txbxContent>
                  </v:textbox>
                </v:rect>
                <w10:anchorlock/>
              </v:group>
            </w:pict>
          </mc:Fallback>
        </mc:AlternateContent>
      </w:r>
      <w:r>
        <w:rPr>
          <w:sz w:val="26"/>
        </w:rPr>
        <w:t xml:space="preserve"> Transporte Aéreo para la delegación deportiva escolar de Guatemala que participará en los Juegos Deportivos Escolares Centroamericanos del CODICADER, para estudiantes con discapacidad, a realizarse en panamá, 1 panamá, a solicitud de la DIGEF", mediante la modalidad de compra directa por ausencia de ofertas en el Proceso de Cotización C-033/2024-MlNEDUC; 1 asimismo, autorizó viáticos en el exterior a 15 empleados de la DIGEF, (Renglón presupuestario 011 personal permanente), para que participaran en el evento mencionado, derivado de los cambios autorizados en el evento adjudicado, por 1 solicitud del contratista, los cuales se terminaron adquiriendo a la empresa LAX</w:t>
      </w:r>
    </w:p>
    <w:p w14:paraId="56204FE0" w14:textId="77777777" w:rsidR="00053D93" w:rsidRDefault="00260B75">
      <w:pPr>
        <w:spacing w:after="3" w:line="269" w:lineRule="auto"/>
        <w:ind w:left="67" w:right="14" w:hanging="10"/>
        <w:jc w:val="right"/>
      </w:pPr>
      <w:r>
        <w:rPr>
          <w:sz w:val="26"/>
        </w:rPr>
        <w:t>TRAVEL, S.A. a un precio mayor al ofertado en el evento adjudicado y publicado</w:t>
      </w:r>
    </w:p>
    <w:tbl>
      <w:tblPr>
        <w:tblStyle w:val="TableGrid"/>
        <w:tblpPr w:vertAnchor="page" w:horzAnchor="page" w:tblpX="2906" w:tblpY="14642"/>
        <w:tblOverlap w:val="never"/>
        <w:tblW w:w="7620" w:type="dxa"/>
        <w:tblInd w:w="0" w:type="dxa"/>
        <w:tblCellMar>
          <w:top w:w="30" w:type="dxa"/>
          <w:left w:w="1738" w:type="dxa"/>
          <w:right w:w="115" w:type="dxa"/>
        </w:tblCellMar>
        <w:tblLook w:val="04A0" w:firstRow="1" w:lastRow="0" w:firstColumn="1" w:lastColumn="0" w:noHBand="0" w:noVBand="1"/>
      </w:tblPr>
      <w:tblGrid>
        <w:gridCol w:w="7620"/>
      </w:tblGrid>
      <w:tr w:rsidR="00053D93" w14:paraId="61656497" w14:textId="77777777">
        <w:trPr>
          <w:trHeight w:val="608"/>
        </w:trPr>
        <w:tc>
          <w:tcPr>
            <w:tcW w:w="7620" w:type="dxa"/>
            <w:tcBorders>
              <w:top w:val="single" w:sz="2" w:space="0" w:color="000000"/>
              <w:left w:val="single" w:sz="2" w:space="0" w:color="000000"/>
              <w:bottom w:val="nil"/>
              <w:right w:val="nil"/>
            </w:tcBorders>
          </w:tcPr>
          <w:p w14:paraId="30A51BF8" w14:textId="77777777" w:rsidR="00053D93" w:rsidRDefault="00260B75">
            <w:pPr>
              <w:ind w:left="835"/>
            </w:pPr>
            <w:r>
              <w:rPr>
                <w:sz w:val="14"/>
              </w:rPr>
              <w:t>MINISTERIO DE EDUCACION</w:t>
            </w:r>
          </w:p>
          <w:p w14:paraId="492EB988" w14:textId="77777777" w:rsidR="00053D93" w:rsidRDefault="00260B75">
            <w:pPr>
              <w:ind w:left="338"/>
            </w:pPr>
            <w:r>
              <w:rPr>
                <w:sz w:val="14"/>
              </w:rPr>
              <w:t>AUDITORIA FINANCIERA Y DE CUMPLIMIENTO</w:t>
            </w:r>
          </w:p>
          <w:p w14:paraId="20907857" w14:textId="77777777" w:rsidR="00053D93" w:rsidRDefault="00260B75">
            <w:r>
              <w:rPr>
                <w:sz w:val="14"/>
              </w:rPr>
              <w:t>PERIODO DEL 01 DE ENERO AL 31 DE DICIEMBRE OE 2024</w:t>
            </w:r>
          </w:p>
        </w:tc>
      </w:tr>
    </w:tbl>
    <w:p w14:paraId="09D0DD89" w14:textId="77777777" w:rsidR="00053D93" w:rsidRDefault="00260B75">
      <w:pPr>
        <w:spacing w:after="4" w:line="269" w:lineRule="auto"/>
        <w:ind w:left="60" w:right="14" w:hanging="3"/>
        <w:jc w:val="both"/>
      </w:pPr>
      <w:r>
        <w:rPr>
          <w:noProof/>
        </w:rPr>
        <w:drawing>
          <wp:anchor distT="0" distB="0" distL="114300" distR="114300" simplePos="0" relativeHeight="252135424" behindDoc="0" locked="0" layoutInCell="1" allowOverlap="0" wp14:anchorId="4DD03A76" wp14:editId="485F96BC">
            <wp:simplePos x="0" y="0"/>
            <wp:positionH relativeFrom="page">
              <wp:posOffset>694944</wp:posOffset>
            </wp:positionH>
            <wp:positionV relativeFrom="page">
              <wp:posOffset>9281161</wp:posOffset>
            </wp:positionV>
            <wp:extent cx="1129284" cy="411480"/>
            <wp:effectExtent l="0" t="0" r="0" b="0"/>
            <wp:wrapTopAndBottom/>
            <wp:docPr id="916906" name="Picture 916906"/>
            <wp:cNvGraphicFramePr/>
            <a:graphic xmlns:a="http://schemas.openxmlformats.org/drawingml/2006/main">
              <a:graphicData uri="http://schemas.openxmlformats.org/drawingml/2006/picture">
                <pic:pic xmlns:pic="http://schemas.openxmlformats.org/drawingml/2006/picture">
                  <pic:nvPicPr>
                    <pic:cNvPr id="916906" name="Picture 916906"/>
                    <pic:cNvPicPr/>
                  </pic:nvPicPr>
                  <pic:blipFill>
                    <a:blip r:embed="rId1260"/>
                    <a:stretch>
                      <a:fillRect/>
                    </a:stretch>
                  </pic:blipFill>
                  <pic:spPr>
                    <a:xfrm>
                      <a:off x="0" y="0"/>
                      <a:ext cx="1129284" cy="411480"/>
                    </a:xfrm>
                    <a:prstGeom prst="rect">
                      <a:avLst/>
                    </a:prstGeom>
                  </pic:spPr>
                </pic:pic>
              </a:graphicData>
            </a:graphic>
          </wp:anchor>
        </w:drawing>
      </w:r>
      <w:r>
        <w:rPr>
          <w:noProof/>
        </w:rPr>
        <mc:AlternateContent>
          <mc:Choice Requires="wpg">
            <w:drawing>
              <wp:anchor distT="0" distB="0" distL="114300" distR="114300" simplePos="0" relativeHeight="252136448" behindDoc="0" locked="0" layoutInCell="1" allowOverlap="1" wp14:anchorId="16268A48" wp14:editId="5F93B9C8">
                <wp:simplePos x="0" y="0"/>
                <wp:positionH relativeFrom="column">
                  <wp:posOffset>45720</wp:posOffset>
                </wp:positionH>
                <wp:positionV relativeFrom="paragraph">
                  <wp:posOffset>52961</wp:posOffset>
                </wp:positionV>
                <wp:extent cx="114300" cy="301752"/>
                <wp:effectExtent l="0" t="0" r="0" b="0"/>
                <wp:wrapSquare wrapText="bothSides"/>
                <wp:docPr id="2456758" name="Group 2456758"/>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913779" name="Rectangle 913779"/>
                        <wps:cNvSpPr/>
                        <wps:spPr>
                          <a:xfrm>
                            <a:off x="0" y="0"/>
                            <a:ext cx="152019" cy="401330"/>
                          </a:xfrm>
                          <a:prstGeom prst="rect">
                            <a:avLst/>
                          </a:prstGeom>
                          <a:ln>
                            <a:noFill/>
                          </a:ln>
                        </wps:spPr>
                        <wps:txbx>
                          <w:txbxContent>
                            <w:p w14:paraId="5E2B989A"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16268A48" id="Group 2456758" o:spid="_x0000_s1512" style="position:absolute;left:0;text-align:left;margin-left:3.6pt;margin-top:4.15pt;width:9pt;height:23.75pt;z-index:252136448;mso-position-horizontal-relative:text;mso-position-vertical-relative:text"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">
                <v:rect id="Rectangle 913779" o:spid="_x0000_s1513"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" filled="f" stroked="f">
                  <v:textbox inset="0,0,0,0">
                    <w:txbxContent>
                      <w:p w14:paraId="5E2B989A" w14:textId="77777777" w:rsidR="00053D93" w:rsidRDefault="00260B75">
                        <w:r>
                          <w:rPr>
                            <w:sz w:val="66"/>
                          </w:rPr>
                          <w:t>1</w:t>
                        </w:r>
                      </w:p>
                    </w:txbxContent>
                  </v:textbox>
                </v:rect>
                <w10:wrap type="square"/>
              </v:group>
            </w:pict>
          </mc:Fallback>
        </mc:AlternateContent>
      </w:r>
      <w:r>
        <w:rPr>
          <w:sz w:val="26"/>
        </w:rPr>
        <w:t>en Sistema GUATECOMPRAS en el NOG 24709395; asimismo, abusando de su función, solicitó el nombramiento de una nueva comisión receptora y liquidadora, omitiendo realizar el seguimiento correspondiente a las inconsistencias e 1 incumplimientos observados por parte de la primera Comisión de Recepción y liquidación, nombrada mediante la Resolución No. 4295-2024, de la Ministra y el</w:t>
      </w:r>
    </w:p>
    <w:p w14:paraId="2CCF7ABB" w14:textId="77777777" w:rsidR="00053D93" w:rsidRDefault="00260B75">
      <w:pPr>
        <w:spacing w:after="211" w:line="216" w:lineRule="auto"/>
        <w:ind w:left="60" w:right="14" w:hanging="3"/>
        <w:jc w:val="both"/>
      </w:pPr>
      <w:r>
        <w:rPr>
          <w:sz w:val="26"/>
        </w:rPr>
        <w:t>Viceministro de Educación, las cuales eran de su conocimiento mediante el Acta</w:t>
      </w:r>
    </w:p>
    <w:p w14:paraId="2EA426FC" w14:textId="77777777" w:rsidR="00053D93" w:rsidRDefault="00260B75">
      <w:pPr>
        <w:spacing w:after="211" w:line="216" w:lineRule="auto"/>
        <w:ind w:left="60" w:right="14" w:hanging="3"/>
        <w:jc w:val="both"/>
      </w:pPr>
      <w:r>
        <w:rPr>
          <w:noProof/>
        </w:rPr>
        <mc:AlternateContent>
          <mc:Choice Requires="wpg">
            <w:drawing>
              <wp:inline distT="0" distB="0" distL="0" distR="0" wp14:anchorId="414B0E64" wp14:editId="7773D8E8">
                <wp:extent cx="114300" cy="301752"/>
                <wp:effectExtent l="0" t="0" r="0" b="0"/>
                <wp:docPr id="2456759" name="Group 2456759"/>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913781" name="Rectangle 913781"/>
                        <wps:cNvSpPr/>
                        <wps:spPr>
                          <a:xfrm>
                            <a:off x="0" y="0"/>
                            <a:ext cx="152019" cy="401330"/>
                          </a:xfrm>
                          <a:prstGeom prst="rect">
                            <a:avLst/>
                          </a:prstGeom>
                          <a:ln>
                            <a:noFill/>
                          </a:ln>
                        </wps:spPr>
                        <wps:txbx>
                          <w:txbxContent>
                            <w:p w14:paraId="54065F9F"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14B0E64" id="Group 2456759" o:spid="_x0000_s1514"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">
                <v:rect id="Rectangle 913781" o:spid="_x0000_s1515"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" filled="f" stroked="f">
                  <v:textbox inset="0,0,0,0">
                    <w:txbxContent>
                      <w:p w14:paraId="54065F9F" w14:textId="77777777" w:rsidR="00053D93" w:rsidRDefault="00260B75">
                        <w:r>
                          <w:rPr>
                            <w:sz w:val="70"/>
                          </w:rPr>
                          <w:t>1</w:t>
                        </w:r>
                      </w:p>
                    </w:txbxContent>
                  </v:textbox>
                </v:rect>
                <w10:anchorlock/>
              </v:group>
            </w:pict>
          </mc:Fallback>
        </mc:AlternateContent>
      </w:r>
      <w:r>
        <w:rPr>
          <w:sz w:val="24"/>
        </w:rPr>
        <w:t xml:space="preserve"> Administrativa número 01-2024, del 13 de noviembre de 2024.</w:t>
      </w:r>
    </w:p>
    <w:p w14:paraId="6A785D39" w14:textId="77777777" w:rsidR="00053D93" w:rsidRDefault="00260B75">
      <w:pPr>
        <w:spacing w:after="4" w:line="269" w:lineRule="auto"/>
        <w:ind w:left="57" w:right="14" w:firstLine="1678"/>
        <w:jc w:val="both"/>
      </w:pPr>
      <w:r>
        <w:rPr>
          <w:noProof/>
        </w:rPr>
        <mc:AlternateContent>
          <mc:Choice Requires="wpg">
            <w:drawing>
              <wp:anchor distT="0" distB="0" distL="114300" distR="114300" simplePos="0" relativeHeight="252137472" behindDoc="0" locked="0" layoutInCell="1" allowOverlap="1" wp14:anchorId="32554088" wp14:editId="0B996BD0">
                <wp:simplePos x="0" y="0"/>
                <wp:positionH relativeFrom="column">
                  <wp:posOffset>68580</wp:posOffset>
                </wp:positionH>
                <wp:positionV relativeFrom="paragraph">
                  <wp:posOffset>570115</wp:posOffset>
                </wp:positionV>
                <wp:extent cx="118872" cy="301752"/>
                <wp:effectExtent l="0" t="0" r="0" b="0"/>
                <wp:wrapSquare wrapText="bothSides"/>
                <wp:docPr id="2456760" name="Group 2456760"/>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913783" name="Rectangle 913783"/>
                        <wps:cNvSpPr/>
                        <wps:spPr>
                          <a:xfrm>
                            <a:off x="0" y="0"/>
                            <a:ext cx="158100" cy="401330"/>
                          </a:xfrm>
                          <a:prstGeom prst="rect">
                            <a:avLst/>
                          </a:prstGeom>
                          <a:ln>
                            <a:noFill/>
                          </a:ln>
                        </wps:spPr>
                        <wps:txbx>
                          <w:txbxContent>
                            <w:p w14:paraId="78D503C4"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32554088" id="Group 2456760" o:spid="_x0000_s1516" style="position:absolute;left:0;text-align:left;margin-left:5.4pt;margin-top:44.9pt;width:9.35pt;height:23.75pt;z-index:252137472;mso-position-horizontal-relative:text;mso-position-vertical-relative:text"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">
                <v:rect id="Rectangle 913783" o:spid="_x0000_s1517"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" filled="f" stroked="f">
                  <v:textbox inset="0,0,0,0">
                    <w:txbxContent>
                      <w:p w14:paraId="78D503C4" w14:textId="77777777" w:rsidR="00053D93" w:rsidRDefault="00260B75">
                        <w:r>
                          <w:rPr>
                            <w:sz w:val="70"/>
                          </w:rPr>
                          <w:t>1</w:t>
                        </w:r>
                      </w:p>
                    </w:txbxContent>
                  </v:textbox>
                </v:rect>
                <w10:wrap type="square"/>
              </v:group>
            </w:pict>
          </mc:Fallback>
        </mc:AlternateContent>
      </w:r>
      <w:r>
        <w:rPr>
          <w:sz w:val="26"/>
        </w:rPr>
        <w:t>El Jefe Sección Alto Rendimiento Deportivo Escolar, abusando de su cargo, el 07 1 de noviembre de 2024, envió anticipadamente un correo electrónico a la entidad LAX TRAVEL, SOCIEDAD ANÓNIMA, con información de la nómina de los participantes inscritos para participar en los Juegos Deportivos Escolares Centroamericanos del CODICADER, para estudiantes con discapacidad, antes de la fecha de presentación de ofertas (08 de noviembre de 2024), según -1 convocatoria realizada por la Jefe de Compras, A.l. a los tres posibles oferentes, ejerciendo así, funciones que no le competen al cargo ocupado en la Dirección</w:t>
      </w:r>
    </w:p>
    <w:p w14:paraId="269D3F15" w14:textId="77777777" w:rsidR="00053D93" w:rsidRDefault="00260B75">
      <w:pPr>
        <w:spacing w:after="4" w:line="216" w:lineRule="auto"/>
        <w:ind w:left="57" w:right="4363" w:firstLine="1678"/>
        <w:jc w:val="both"/>
      </w:pPr>
      <w:r>
        <w:rPr>
          <w:sz w:val="26"/>
        </w:rPr>
        <w:t>General de Educación Física -DIGEF-. -1</w:t>
      </w:r>
    </w:p>
    <w:p w14:paraId="7989C744" w14:textId="77777777" w:rsidR="00053D93" w:rsidRDefault="00260B75">
      <w:pPr>
        <w:spacing w:after="4" w:line="269" w:lineRule="auto"/>
        <w:ind w:left="144" w:right="14" w:firstLine="1620"/>
        <w:jc w:val="both"/>
      </w:pPr>
      <w:r>
        <w:rPr>
          <w:sz w:val="26"/>
        </w:rPr>
        <w:t>El Coordinador Administrativo, A.l., el Asistente de Acciones de Personal y el Jefe 1 de Sección de Transportes, A.l., quienes fungieron como miembros de la Comisión Receptora y Liquidadora del Contrato Administrativo Número 01-2024-DIGEF-CD, según Resolución No. 4686-2024 del 17 de diciembre de 2024, emitido por la Ministra de Educación, omitieron realizar un acto propio de sus funciones, al recibir mediante Acta Administrativa 127-2024, del 20 de diciembre de 2024, los 107</w:t>
      </w:r>
    </w:p>
    <w:p w14:paraId="35AE7636" w14:textId="77777777" w:rsidR="00053D93" w:rsidRDefault="00260B75">
      <w:pPr>
        <w:spacing w:after="4" w:line="269" w:lineRule="auto"/>
        <w:ind w:left="144" w:right="14" w:firstLine="1620"/>
        <w:jc w:val="both"/>
      </w:pPr>
      <w:r>
        <w:rPr>
          <w:sz w:val="24"/>
        </w:rPr>
        <w:t>boletos aéreos emitidos por la entidad LAX TRAVEL, S.A. posterior a las fechas</w:t>
      </w:r>
    </w:p>
    <w:p w14:paraId="00F9CEDC" w14:textId="77777777" w:rsidR="00053D93" w:rsidRDefault="00260B75">
      <w:pPr>
        <w:spacing w:after="0"/>
        <w:ind w:left="101"/>
      </w:pPr>
      <w:r>
        <w:rPr>
          <w:noProof/>
        </w:rPr>
        <w:drawing>
          <wp:inline distT="0" distB="0" distL="0" distR="0" wp14:anchorId="17C9CC34" wp14:editId="33AB9EDD">
            <wp:extent cx="27432" cy="13716"/>
            <wp:effectExtent l="0" t="0" r="0" b="0"/>
            <wp:docPr id="2458682" name="Picture 2458682"/>
            <wp:cNvGraphicFramePr/>
            <a:graphic xmlns:a="http://schemas.openxmlformats.org/drawingml/2006/main">
              <a:graphicData uri="http://schemas.openxmlformats.org/drawingml/2006/picture">
                <pic:pic xmlns:pic="http://schemas.openxmlformats.org/drawingml/2006/picture">
                  <pic:nvPicPr>
                    <pic:cNvPr id="2458682" name="Picture 2458682"/>
                    <pic:cNvPicPr/>
                  </pic:nvPicPr>
                  <pic:blipFill>
                    <a:blip r:embed="rId1261"/>
                    <a:stretch>
                      <a:fillRect/>
                    </a:stretch>
                  </pic:blipFill>
                  <pic:spPr>
                    <a:xfrm>
                      <a:off x="0" y="0"/>
                      <a:ext cx="27432" cy="13716"/>
                    </a:xfrm>
                    <a:prstGeom prst="rect">
                      <a:avLst/>
                    </a:prstGeom>
                  </pic:spPr>
                </pic:pic>
              </a:graphicData>
            </a:graphic>
          </wp:inline>
        </w:drawing>
      </w:r>
    </w:p>
    <w:p w14:paraId="0A818E37" w14:textId="77777777" w:rsidR="00053D93" w:rsidRDefault="00260B75">
      <w:pPr>
        <w:spacing w:after="4" w:line="269" w:lineRule="auto"/>
        <w:ind w:left="1670" w:right="14" w:hanging="1613"/>
        <w:jc w:val="both"/>
      </w:pPr>
      <w:r>
        <w:rPr>
          <w:sz w:val="26"/>
        </w:rPr>
        <w:t>1 en que fueron utilizados por los participantes en los Juegos Deportivos Escolares Centroamericanos del CODICADER, para estudiantes con discapacidad, que se llevó a cabo en Panamá, Panamá del 12 al 17 de noviembre de 2024; es decir</w:t>
      </w:r>
    </w:p>
    <w:p w14:paraId="2739819D" w14:textId="77777777" w:rsidR="00053D93" w:rsidRDefault="00260B75">
      <w:pPr>
        <w:spacing w:after="3"/>
        <w:ind w:left="10" w:right="43" w:hanging="10"/>
      </w:pPr>
      <w:r>
        <w:rPr>
          <w:sz w:val="74"/>
        </w:rPr>
        <w:t>1</w:t>
      </w:r>
      <w:r>
        <w:rPr>
          <w:noProof/>
        </w:rPr>
        <w:drawing>
          <wp:inline distT="0" distB="0" distL="0" distR="0" wp14:anchorId="59FA520F" wp14:editId="732AF81E">
            <wp:extent cx="4572" cy="9144"/>
            <wp:effectExtent l="0" t="0" r="0" b="0"/>
            <wp:docPr id="920242" name="Picture 920242"/>
            <wp:cNvGraphicFramePr/>
            <a:graphic xmlns:a="http://schemas.openxmlformats.org/drawingml/2006/main">
              <a:graphicData uri="http://schemas.openxmlformats.org/drawingml/2006/picture">
                <pic:pic xmlns:pic="http://schemas.openxmlformats.org/drawingml/2006/picture">
                  <pic:nvPicPr>
                    <pic:cNvPr id="920242" name="Picture 920242"/>
                    <pic:cNvPicPr/>
                  </pic:nvPicPr>
                  <pic:blipFill>
                    <a:blip r:embed="rId1262"/>
                    <a:stretch>
                      <a:fillRect/>
                    </a:stretch>
                  </pic:blipFill>
                  <pic:spPr>
                    <a:xfrm>
                      <a:off x="0" y="0"/>
                      <a:ext cx="4572" cy="9144"/>
                    </a:xfrm>
                    <a:prstGeom prst="rect">
                      <a:avLst/>
                    </a:prstGeom>
                  </pic:spPr>
                </pic:pic>
              </a:graphicData>
            </a:graphic>
          </wp:inline>
        </w:drawing>
      </w:r>
    </w:p>
    <w:p w14:paraId="642E3AC3" w14:textId="77777777" w:rsidR="00053D93" w:rsidRDefault="00260B75">
      <w:pPr>
        <w:spacing w:after="88" w:line="265" w:lineRule="auto"/>
        <w:ind w:left="1846" w:right="194" w:hanging="10"/>
        <w:jc w:val="center"/>
      </w:pPr>
      <w:r>
        <w:rPr>
          <w:sz w:val="14"/>
        </w:rPr>
        <w:t>198</w:t>
      </w:r>
    </w:p>
    <w:p w14:paraId="5C91416A" w14:textId="77777777" w:rsidR="00053D93" w:rsidRDefault="00260B75">
      <w:pPr>
        <w:spacing w:after="44"/>
        <w:ind w:left="1332" w:right="-439"/>
      </w:pPr>
      <w:r>
        <w:rPr>
          <w:noProof/>
        </w:rPr>
        <w:drawing>
          <wp:inline distT="0" distB="0" distL="0" distR="0" wp14:anchorId="527D7B9A" wp14:editId="32FBA195">
            <wp:extent cx="5939028" cy="82296"/>
            <wp:effectExtent l="0" t="0" r="0" b="0"/>
            <wp:docPr id="2458686" name="Picture 2458686"/>
            <wp:cNvGraphicFramePr/>
            <a:graphic xmlns:a="http://schemas.openxmlformats.org/drawingml/2006/main">
              <a:graphicData uri="http://schemas.openxmlformats.org/drawingml/2006/picture">
                <pic:pic xmlns:pic="http://schemas.openxmlformats.org/drawingml/2006/picture">
                  <pic:nvPicPr>
                    <pic:cNvPr id="2458686" name="Picture 2458686"/>
                    <pic:cNvPicPr/>
                  </pic:nvPicPr>
                  <pic:blipFill>
                    <a:blip r:embed="rId1263"/>
                    <a:stretch>
                      <a:fillRect/>
                    </a:stretch>
                  </pic:blipFill>
                  <pic:spPr>
                    <a:xfrm>
                      <a:off x="0" y="0"/>
                      <a:ext cx="5939028" cy="82296"/>
                    </a:xfrm>
                    <a:prstGeom prst="rect">
                      <a:avLst/>
                    </a:prstGeom>
                  </pic:spPr>
                </pic:pic>
              </a:graphicData>
            </a:graphic>
          </wp:inline>
        </w:drawing>
      </w:r>
    </w:p>
    <w:p w14:paraId="4B875753" w14:textId="77777777" w:rsidR="00053D93" w:rsidRDefault="00260B75">
      <w:pPr>
        <w:tabs>
          <w:tab w:val="right" w:pos="10253"/>
        </w:tabs>
        <w:spacing w:after="4" w:line="269" w:lineRule="auto"/>
      </w:pPr>
      <w:r>
        <w:rPr>
          <w:sz w:val="26"/>
        </w:rPr>
        <w:t>1</w:t>
      </w:r>
      <w:r>
        <w:rPr>
          <w:sz w:val="26"/>
        </w:rPr>
        <w:tab/>
        <w:t>que, mediante la formalización del documento público (Acta Administrativa</w:t>
      </w:r>
    </w:p>
    <w:p w14:paraId="222DE07F" w14:textId="77777777" w:rsidR="00053D93" w:rsidRDefault="00260B75">
      <w:pPr>
        <w:spacing w:after="161" w:line="269" w:lineRule="auto"/>
        <w:ind w:left="57" w:right="14" w:firstLine="1728"/>
        <w:jc w:val="both"/>
      </w:pPr>
      <w:r>
        <w:rPr>
          <w:sz w:val="26"/>
        </w:rPr>
        <w:t xml:space="preserve">127-2024), declararon falsamente el hecho de recibir los boletos aéreos, 1 resultando un perjuicio al Ministerio de Educación; así como tampoco cumplieron con su responsabilidad de verificar que la entidad LAX TRAVEL, S.A. cumpliera con [as obligaciones contraídas en el Contrato Administrativo Número </w:t>
      </w:r>
      <w:r>
        <w:rPr>
          <w:noProof/>
        </w:rPr>
        <mc:AlternateContent>
          <mc:Choice Requires="wpg">
            <w:drawing>
              <wp:inline distT="0" distB="0" distL="0" distR="0" wp14:anchorId="7A729469" wp14:editId="18B484B2">
                <wp:extent cx="118872" cy="301752"/>
                <wp:effectExtent l="0" t="0" r="0" b="0"/>
                <wp:docPr id="2456768" name="Group 2456768"/>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917575" name="Rectangle 917575"/>
                        <wps:cNvSpPr/>
                        <wps:spPr>
                          <a:xfrm>
                            <a:off x="0" y="0"/>
                            <a:ext cx="158100" cy="401330"/>
                          </a:xfrm>
                          <a:prstGeom prst="rect">
                            <a:avLst/>
                          </a:prstGeom>
                          <a:ln>
                            <a:noFill/>
                          </a:ln>
                        </wps:spPr>
                        <wps:txbx>
                          <w:txbxContent>
                            <w:p w14:paraId="2402BAAB"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A729469" id="Group 2456768" o:spid="_x0000_s1518"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">
                <v:rect id="Rectangle 917575" o:spid="_x0000_s1519"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" filled="f" stroked="f">
                  <v:textbox inset="0,0,0,0">
                    <w:txbxContent>
                      <w:p w14:paraId="2402BAAB" w14:textId="77777777" w:rsidR="00053D93" w:rsidRDefault="00260B75">
                        <w:r>
                          <w:rPr>
                            <w:sz w:val="70"/>
                          </w:rPr>
                          <w:t>1</w:t>
                        </w:r>
                      </w:p>
                    </w:txbxContent>
                  </v:textbox>
                </v:rect>
                <w10:anchorlock/>
              </v:group>
            </w:pict>
          </mc:Fallback>
        </mc:AlternateContent>
      </w:r>
      <w:r>
        <w:rPr>
          <w:sz w:val="26"/>
        </w:rPr>
        <w:t xml:space="preserve"> 01-2024-DIGEF-CD, para el que fueron nombrados, ni gestionaron los cobros adicionales o sanciones correspondientes, por los incumplimientos por parte del Contratista en dicho contrato, de conformidad con las Especificaciones Técnicas y 1 las características generales y específicas establecidas en las bases del evento denominado "Servicio de Transporte Aéreo para la delegación deportiva escolar 1 de Guatemala que participará en los Juegos Deportivos Escolares Centroamericanos del CODICADER, para estudiantes con discapacidad, a realizarse en panamá, panamá, a solicitud de la DIGEF" mediante la modalidad de</w:t>
      </w:r>
    </w:p>
    <w:p w14:paraId="550A3DB4" w14:textId="77777777" w:rsidR="00053D93" w:rsidRDefault="00260B75">
      <w:pPr>
        <w:tabs>
          <w:tab w:val="center" w:pos="5234"/>
        </w:tabs>
        <w:spacing w:after="4" w:line="269" w:lineRule="auto"/>
      </w:pPr>
      <w:r>
        <w:rPr>
          <w:sz w:val="26"/>
        </w:rPr>
        <w:t>1</w:t>
      </w:r>
      <w:r>
        <w:rPr>
          <w:sz w:val="26"/>
        </w:rPr>
        <w:tab/>
        <w:t>Compra Directa por Ausencia de Oferta del NOG original: 23723718.</w:t>
      </w:r>
    </w:p>
    <w:p w14:paraId="04EE0CDE" w14:textId="77777777" w:rsidR="00053D93" w:rsidRDefault="00260B75">
      <w:pPr>
        <w:spacing w:after="4" w:line="266" w:lineRule="auto"/>
        <w:ind w:left="24" w:hanging="10"/>
      </w:pPr>
      <w:r>
        <w:rPr>
          <w:noProof/>
        </w:rPr>
        <mc:AlternateContent>
          <mc:Choice Requires="wpg">
            <w:drawing>
              <wp:anchor distT="0" distB="0" distL="114300" distR="114300" simplePos="0" relativeHeight="252138496" behindDoc="0" locked="0" layoutInCell="1" allowOverlap="1" wp14:anchorId="60536094" wp14:editId="79ACE547">
                <wp:simplePos x="0" y="0"/>
                <wp:positionH relativeFrom="column">
                  <wp:posOffset>45720</wp:posOffset>
                </wp:positionH>
                <wp:positionV relativeFrom="paragraph">
                  <wp:posOffset>45720</wp:posOffset>
                </wp:positionV>
                <wp:extent cx="118872" cy="301752"/>
                <wp:effectExtent l="0" t="0" r="0" b="0"/>
                <wp:wrapSquare wrapText="bothSides"/>
                <wp:docPr id="2456769" name="Group 2456769"/>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917579" name="Rectangle 917579"/>
                        <wps:cNvSpPr/>
                        <wps:spPr>
                          <a:xfrm>
                            <a:off x="0" y="0"/>
                            <a:ext cx="158100" cy="401330"/>
                          </a:xfrm>
                          <a:prstGeom prst="rect">
                            <a:avLst/>
                          </a:prstGeom>
                          <a:ln>
                            <a:noFill/>
                          </a:ln>
                        </wps:spPr>
                        <wps:txbx>
                          <w:txbxContent>
                            <w:p w14:paraId="38AF868E"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60536094" id="Group 2456769" o:spid="_x0000_s1520" style="position:absolute;left:0;text-align:left;margin-left:3.6pt;margin-top:3.6pt;width:9.35pt;height:23.75pt;z-index:252138496;mso-position-horizontal-relative:text;mso-position-vertical-relative:text"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">
                <v:rect id="Rectangle 917579" o:spid="_x0000_s1521"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" filled="f" stroked="f">
                  <v:textbox inset="0,0,0,0">
                    <w:txbxContent>
                      <w:p w14:paraId="38AF868E" w14:textId="77777777" w:rsidR="00053D93" w:rsidRDefault="00260B75">
                        <w:r>
                          <w:rPr>
                            <w:sz w:val="70"/>
                          </w:rPr>
                          <w:t>1</w:t>
                        </w:r>
                      </w:p>
                    </w:txbxContent>
                  </v:textbox>
                </v:rect>
                <w10:wrap type="square"/>
              </v:group>
            </w:pict>
          </mc:Fallback>
        </mc:AlternateContent>
      </w:r>
      <w:r>
        <w:rPr>
          <w:sz w:val="28"/>
        </w:rPr>
        <w:t>Efecto</w:t>
      </w:r>
    </w:p>
    <w:p w14:paraId="3B705865" w14:textId="77777777" w:rsidR="00053D93" w:rsidRDefault="00260B75">
      <w:pPr>
        <w:spacing w:after="285" w:line="269" w:lineRule="auto"/>
        <w:ind w:left="60" w:right="14" w:hanging="3"/>
        <w:jc w:val="both"/>
      </w:pPr>
      <w:r>
        <w:rPr>
          <w:noProof/>
        </w:rPr>
        <mc:AlternateContent>
          <mc:Choice Requires="wpg">
            <w:drawing>
              <wp:anchor distT="0" distB="0" distL="114300" distR="114300" simplePos="0" relativeHeight="252139520" behindDoc="0" locked="0" layoutInCell="1" allowOverlap="1" wp14:anchorId="78E4DAFD" wp14:editId="7EB20209">
                <wp:simplePos x="0" y="0"/>
                <wp:positionH relativeFrom="column">
                  <wp:posOffset>50292</wp:posOffset>
                </wp:positionH>
                <wp:positionV relativeFrom="paragraph">
                  <wp:posOffset>367386</wp:posOffset>
                </wp:positionV>
                <wp:extent cx="141732" cy="301752"/>
                <wp:effectExtent l="0" t="0" r="0" b="0"/>
                <wp:wrapSquare wrapText="bothSides"/>
                <wp:docPr id="2456770" name="Group 2456770"/>
                <wp:cNvGraphicFramePr/>
                <a:graphic xmlns:a="http://schemas.openxmlformats.org/drawingml/2006/main">
                  <a:graphicData uri="http://schemas.microsoft.com/office/word/2010/wordprocessingGroup">
                    <wpg:wgp>
                      <wpg:cNvGrpSpPr/>
                      <wpg:grpSpPr>
                        <a:xfrm>
                          <a:off x="0" y="0"/>
                          <a:ext cx="141732" cy="301752"/>
                          <a:chOff x="0" y="0"/>
                          <a:chExt cx="141732" cy="301752"/>
                        </a:xfrm>
                      </wpg:grpSpPr>
                      <wps:wsp>
                        <wps:cNvPr id="917580" name="Rectangle 917580"/>
                        <wps:cNvSpPr/>
                        <wps:spPr>
                          <a:xfrm>
                            <a:off x="0" y="0"/>
                            <a:ext cx="188504" cy="401330"/>
                          </a:xfrm>
                          <a:prstGeom prst="rect">
                            <a:avLst/>
                          </a:prstGeom>
                          <a:ln>
                            <a:noFill/>
                          </a:ln>
                        </wps:spPr>
                        <wps:txbx>
                          <w:txbxContent>
                            <w:p w14:paraId="18C2BECC" w14:textId="77777777" w:rsidR="00053D93" w:rsidRDefault="00260B75">
                              <w:r>
                                <w:rPr>
                                  <w:sz w:val="82"/>
                                </w:rPr>
                                <w:t>1</w:t>
                              </w:r>
                            </w:p>
                          </w:txbxContent>
                        </wps:txbx>
                        <wps:bodyPr horzOverflow="overflow" vert="horz" lIns="0" tIns="0" rIns="0" bIns="0" rtlCol="0">
                          <a:noAutofit/>
                        </wps:bodyPr>
                      </wps:wsp>
                    </wpg:wgp>
                  </a:graphicData>
                </a:graphic>
              </wp:anchor>
            </w:drawing>
          </mc:Choice>
          <mc:Fallback>
            <w:pict>
              <v:group w14:anchorId="78E4DAFD" id="Group 2456770" o:spid="_x0000_s1522" style="position:absolute;left:0;text-align:left;margin-left:3.95pt;margin-top:28.95pt;width:11.15pt;height:23.75pt;z-index:252139520;mso-position-horizontal-relative:text;mso-position-vertical-relative:text" coordsize="14173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">
                <v:rect id="Rectangle 917580" o:spid="_x0000_s1523" style="position:absolute;width:188504;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" filled="f" stroked="f">
                  <v:textbox inset="0,0,0,0">
                    <w:txbxContent>
                      <w:p w14:paraId="18C2BECC" w14:textId="77777777" w:rsidR="00053D93" w:rsidRDefault="00260B75">
                        <w:r>
                          <w:rPr>
                            <w:sz w:val="82"/>
                          </w:rPr>
                          <w:t>1</w:t>
                        </w:r>
                      </w:p>
                    </w:txbxContent>
                  </v:textbox>
                </v:rect>
                <w10:wrap type="square"/>
              </v:group>
            </w:pict>
          </mc:Fallback>
        </mc:AlternateContent>
      </w:r>
      <w:r>
        <w:rPr>
          <w:sz w:val="26"/>
        </w:rPr>
        <w:t>Falta al principio de transparencia en la ejecución de [os procesos de cotización y compra directa por ausencia de ofertas, en la adquisición de boletos aéreos para la participación en los Juegos Deportivos Escolares Centroamericanos del CODICADER para estudiantes con discapacidad, durante el ejercicio fiscal 2024, que produjo una contratación irregular que compromete la legalidad y transparencia del gasto público.</w:t>
      </w:r>
    </w:p>
    <w:p w14:paraId="5FFBF9EC" w14:textId="77777777" w:rsidR="00053D93" w:rsidRDefault="00260B75">
      <w:pPr>
        <w:spacing w:after="59" w:line="269" w:lineRule="auto"/>
        <w:ind w:left="57" w:right="14" w:firstLine="1656"/>
        <w:jc w:val="both"/>
      </w:pPr>
      <w:r>
        <w:rPr>
          <w:sz w:val="26"/>
        </w:rPr>
        <w:t>Es decir que, mediante [a adquisición de boletos aéreos a la entidad LAX 1 TRAVEL, S.A., realizaron y permitieron actos arbitrarios en perjuicio de la administración de la Dirección General de Educación Física -DIGEF-, por la 1 cantidad de Q443,901.19.</w:t>
      </w:r>
    </w:p>
    <w:p w14:paraId="60AFCDC4" w14:textId="77777777" w:rsidR="00053D93" w:rsidRDefault="00260B75">
      <w:pPr>
        <w:spacing w:after="219" w:line="266" w:lineRule="auto"/>
        <w:ind w:left="1781" w:hanging="10"/>
      </w:pPr>
      <w:r>
        <w:rPr>
          <w:sz w:val="28"/>
        </w:rPr>
        <w:t>Recomendación</w:t>
      </w:r>
    </w:p>
    <w:p w14:paraId="5375BBC8" w14:textId="77777777" w:rsidR="00053D93" w:rsidRDefault="00260B75">
      <w:pPr>
        <w:spacing w:after="266" w:line="269" w:lineRule="auto"/>
        <w:ind w:left="133" w:right="14" w:hanging="3"/>
        <w:jc w:val="both"/>
      </w:pPr>
      <w:r>
        <w:rPr>
          <w:sz w:val="26"/>
        </w:rPr>
        <w:t>1 La Ministra de Educación, debe girar instrucciones al Director General de la Unidad Ejecutora 109 Dirección General de Educación Física —DIGEF-, para que antes de firmar los contratos administrativos, verifique que se realicen los procesos de cotización con la debida anticipación, respetando lo establecido en las Especificaciones Técnicas de las bases del evento y para que se apliquen 1 mecanismos de control más eficientes, que garanticen la transparencia en la ejecución de los recursos públicos en los procesos de cotización y compra directa por ausencia de ofertas.</w:t>
      </w:r>
    </w:p>
    <w:p w14:paraId="66B1D0DB" w14:textId="77777777" w:rsidR="00053D93" w:rsidRDefault="00260B75">
      <w:pPr>
        <w:spacing w:after="4" w:line="216" w:lineRule="auto"/>
        <w:ind w:left="173" w:right="14" w:firstLine="1606"/>
        <w:jc w:val="both"/>
      </w:pPr>
      <w:r>
        <w:rPr>
          <w:sz w:val="26"/>
        </w:rPr>
        <w:t>El Director General, debe girar instrucciones al Jefe Sección Alto Rendimiento 1 Deportivo Escolar, para que no envié información de forma anticipada a los</w:t>
      </w:r>
    </w:p>
    <w:p w14:paraId="4EA63C4C" w14:textId="77777777" w:rsidR="00053D93" w:rsidRDefault="00260B75">
      <w:pPr>
        <w:spacing w:after="47"/>
        <w:ind w:left="130"/>
      </w:pPr>
      <w:r>
        <w:rPr>
          <w:noProof/>
        </w:rPr>
        <w:drawing>
          <wp:inline distT="0" distB="0" distL="0" distR="0" wp14:anchorId="0E05034A" wp14:editId="715BF6A3">
            <wp:extent cx="13716" cy="9144"/>
            <wp:effectExtent l="0" t="0" r="0" b="0"/>
            <wp:docPr id="920245" name="Picture 920245"/>
            <wp:cNvGraphicFramePr/>
            <a:graphic xmlns:a="http://schemas.openxmlformats.org/drawingml/2006/main">
              <a:graphicData uri="http://schemas.openxmlformats.org/drawingml/2006/picture">
                <pic:pic xmlns:pic="http://schemas.openxmlformats.org/drawingml/2006/picture">
                  <pic:nvPicPr>
                    <pic:cNvPr id="920245" name="Picture 920245"/>
                    <pic:cNvPicPr/>
                  </pic:nvPicPr>
                  <pic:blipFill>
                    <a:blip r:embed="rId1264"/>
                    <a:stretch>
                      <a:fillRect/>
                    </a:stretch>
                  </pic:blipFill>
                  <pic:spPr>
                    <a:xfrm>
                      <a:off x="0" y="0"/>
                      <a:ext cx="13716" cy="9144"/>
                    </a:xfrm>
                    <a:prstGeom prst="rect">
                      <a:avLst/>
                    </a:prstGeom>
                  </pic:spPr>
                </pic:pic>
              </a:graphicData>
            </a:graphic>
          </wp:inline>
        </w:drawing>
      </w:r>
    </w:p>
    <w:p w14:paraId="5A64082C" w14:textId="77777777" w:rsidR="00053D93" w:rsidRDefault="00260B75">
      <w:pPr>
        <w:spacing w:after="4" w:line="269" w:lineRule="auto"/>
        <w:ind w:left="1774" w:right="14" w:hanging="3"/>
        <w:jc w:val="both"/>
      </w:pPr>
      <w:r>
        <w:rPr>
          <w:sz w:val="26"/>
        </w:rPr>
        <w:t>posibles oferentes, con el objetivo de garantizar la transparencia en los procesos de adquisición realizados en la Dirección General de Educación Física -DIGEF-.</w:t>
      </w:r>
    </w:p>
    <w:p w14:paraId="4A9A74A6" w14:textId="77777777" w:rsidR="00053D93" w:rsidRDefault="00053D93">
      <w:pPr>
        <w:sectPr w:rsidR="00053D93">
          <w:headerReference w:type="even" r:id="rId1265"/>
          <w:headerReference w:type="default" r:id="rId1266"/>
          <w:footerReference w:type="even" r:id="rId1267"/>
          <w:footerReference w:type="default" r:id="rId1268"/>
          <w:headerReference w:type="first" r:id="rId1269"/>
          <w:footerReference w:type="first" r:id="rId1270"/>
          <w:pgSz w:w="12290" w:h="15883"/>
          <w:pgMar w:top="396" w:right="1757" w:bottom="670" w:left="281" w:header="655" w:footer="1166" w:gutter="0"/>
          <w:cols w:space="720"/>
          <w:titlePg/>
        </w:sectPr>
      </w:pPr>
    </w:p>
    <w:tbl>
      <w:tblPr>
        <w:tblStyle w:val="TableGrid"/>
        <w:tblpPr w:vertAnchor="text" w:tblpX="1772" w:tblpY="26"/>
        <w:tblOverlap w:val="never"/>
        <w:tblW w:w="7660" w:type="dxa"/>
        <w:tblInd w:w="0" w:type="dxa"/>
        <w:tblCellMar>
          <w:top w:w="49" w:type="dxa"/>
          <w:left w:w="1785" w:type="dxa"/>
          <w:right w:w="115" w:type="dxa"/>
        </w:tblCellMar>
        <w:tblLook w:val="04A0" w:firstRow="1" w:lastRow="0" w:firstColumn="1" w:lastColumn="0" w:noHBand="0" w:noVBand="1"/>
      </w:tblPr>
      <w:tblGrid>
        <w:gridCol w:w="7660"/>
      </w:tblGrid>
      <w:tr w:rsidR="00053D93" w14:paraId="5348B70F" w14:textId="77777777">
        <w:trPr>
          <w:trHeight w:val="615"/>
        </w:trPr>
        <w:tc>
          <w:tcPr>
            <w:tcW w:w="7660" w:type="dxa"/>
            <w:tcBorders>
              <w:top w:val="single" w:sz="2" w:space="0" w:color="000000"/>
              <w:left w:val="single" w:sz="2" w:space="0" w:color="000000"/>
              <w:bottom w:val="nil"/>
              <w:right w:val="nil"/>
            </w:tcBorders>
          </w:tcPr>
          <w:p w14:paraId="2279D707" w14:textId="77777777" w:rsidR="00053D93" w:rsidRDefault="00260B75">
            <w:pPr>
              <w:ind w:left="828"/>
            </w:pPr>
            <w:r>
              <w:rPr>
                <w:sz w:val="14"/>
              </w:rPr>
              <w:t>MINISTERIO DE EDUCACION</w:t>
            </w:r>
          </w:p>
          <w:p w14:paraId="373AEF66" w14:textId="77777777" w:rsidR="00053D93" w:rsidRDefault="00260B75">
            <w:pPr>
              <w:ind w:left="338"/>
            </w:pPr>
            <w:r>
              <w:rPr>
                <w:sz w:val="14"/>
              </w:rPr>
              <w:t>AUDITORIA FINANCIERA Y DE CUMPLIMIENTO</w:t>
            </w:r>
          </w:p>
          <w:p w14:paraId="6AFEFD4F" w14:textId="77777777" w:rsidR="00053D93" w:rsidRDefault="00260B75">
            <w:r>
              <w:rPr>
                <w:sz w:val="14"/>
              </w:rPr>
              <w:t>PERIODO DEL 01 DE ENERO AL 31 DE DICIEMBRE DE 2024</w:t>
            </w:r>
          </w:p>
        </w:tc>
      </w:tr>
    </w:tbl>
    <w:p w14:paraId="27A3A1ED" w14:textId="77777777" w:rsidR="00053D93" w:rsidRDefault="00260B75">
      <w:pPr>
        <w:spacing w:after="3"/>
        <w:ind w:left="-5" w:right="-1490" w:hanging="10"/>
      </w:pPr>
      <w:r>
        <w:rPr>
          <w:sz w:val="34"/>
        </w:rPr>
        <w:t>III</w:t>
      </w:r>
      <w:r>
        <w:rPr>
          <w:noProof/>
        </w:rPr>
        <w:drawing>
          <wp:inline distT="0" distB="0" distL="0" distR="0" wp14:anchorId="7011B35D" wp14:editId="721AE334">
            <wp:extent cx="937260" cy="411481"/>
            <wp:effectExtent l="0" t="0" r="0" b="0"/>
            <wp:docPr id="920299" name="Picture 920299"/>
            <wp:cNvGraphicFramePr/>
            <a:graphic xmlns:a="http://schemas.openxmlformats.org/drawingml/2006/main">
              <a:graphicData uri="http://schemas.openxmlformats.org/drawingml/2006/picture">
                <pic:pic xmlns:pic="http://schemas.openxmlformats.org/drawingml/2006/picture">
                  <pic:nvPicPr>
                    <pic:cNvPr id="920299" name="Picture 920299"/>
                    <pic:cNvPicPr/>
                  </pic:nvPicPr>
                  <pic:blipFill>
                    <a:blip r:embed="rId1271"/>
                    <a:stretch>
                      <a:fillRect/>
                    </a:stretch>
                  </pic:blipFill>
                  <pic:spPr>
                    <a:xfrm>
                      <a:off x="0" y="0"/>
                      <a:ext cx="937260" cy="411481"/>
                    </a:xfrm>
                    <a:prstGeom prst="rect">
                      <a:avLst/>
                    </a:prstGeom>
                  </pic:spPr>
                </pic:pic>
              </a:graphicData>
            </a:graphic>
          </wp:inline>
        </w:drawing>
      </w:r>
    </w:p>
    <w:p w14:paraId="4B87D504" w14:textId="77777777" w:rsidR="00053D93" w:rsidRDefault="00053D93">
      <w:pPr>
        <w:sectPr w:rsidR="00053D93">
          <w:type w:val="continuous"/>
          <w:pgSz w:w="12290" w:h="15883"/>
          <w:pgMar w:top="396" w:right="10987" w:bottom="626" w:left="1102" w:header="720" w:footer="720" w:gutter="0"/>
          <w:cols w:space="720"/>
        </w:sectPr>
      </w:pPr>
    </w:p>
    <w:p w14:paraId="3503E514" w14:textId="77777777" w:rsidR="00053D93" w:rsidRDefault="00260B75">
      <w:pPr>
        <w:spacing w:after="36"/>
        <w:ind w:left="1706"/>
      </w:pPr>
      <w:r>
        <w:rPr>
          <w:noProof/>
        </w:rPr>
        <mc:AlternateContent>
          <mc:Choice Requires="wpg">
            <w:drawing>
              <wp:inline distT="0" distB="0" distL="0" distR="0" wp14:anchorId="0C8B3BCD" wp14:editId="5481EF54">
                <wp:extent cx="5381244" cy="13716"/>
                <wp:effectExtent l="0" t="0" r="0" b="0"/>
                <wp:docPr id="2458692" name="Group 2458692"/>
                <wp:cNvGraphicFramePr/>
                <a:graphic xmlns:a="http://schemas.openxmlformats.org/drawingml/2006/main">
                  <a:graphicData uri="http://schemas.microsoft.com/office/word/2010/wordprocessingGroup">
                    <wpg:wgp>
                      <wpg:cNvGrpSpPr/>
                      <wpg:grpSpPr>
                        <a:xfrm>
                          <a:off x="0" y="0"/>
                          <a:ext cx="5381244" cy="13716"/>
                          <a:chOff x="0" y="0"/>
                          <a:chExt cx="5381244" cy="13716"/>
                        </a:xfrm>
                      </wpg:grpSpPr>
                      <wps:wsp>
                        <wps:cNvPr id="2458691" name="Shape 2458691"/>
                        <wps:cNvSpPr/>
                        <wps:spPr>
                          <a:xfrm>
                            <a:off x="0" y="0"/>
                            <a:ext cx="5381244" cy="13716"/>
                          </a:xfrm>
                          <a:custGeom>
                            <a:avLst/>
                            <a:gdLst/>
                            <a:ahLst/>
                            <a:cxnLst/>
                            <a:rect l="0" t="0" r="0" b="0"/>
                            <a:pathLst>
                              <a:path w="5381244" h="13716">
                                <a:moveTo>
                                  <a:pt x="0" y="6858"/>
                                </a:moveTo>
                                <a:lnTo>
                                  <a:pt x="53812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92" style="width:423.72pt;height:1.07999pt;mso-position-horizontal-relative:char;mso-position-vertical-relative:line" coordsize="53812,137">
                <v:shape id="Shape 2458691" style="position:absolute;width:53812;height:137;left:0;top:0;" coordsize="5381244,13716" path="m0,6858l5381244,6858">
                  <v:stroke weight="1.07999pt" endcap="flat" joinstyle="miter" miterlimit="1" on="true" color="#000000"/>
                  <v:fill on="false" color="#000000"/>
                </v:shape>
              </v:group>
            </w:pict>
          </mc:Fallback>
        </mc:AlternateContent>
      </w:r>
    </w:p>
    <w:p w14:paraId="7177F5F2" w14:textId="77777777" w:rsidR="00053D93" w:rsidRDefault="00260B75">
      <w:pPr>
        <w:spacing w:after="308" w:line="250" w:lineRule="auto"/>
        <w:ind w:left="28" w:right="14" w:firstLine="1750"/>
        <w:jc w:val="both"/>
      </w:pPr>
      <w:r>
        <w:rPr>
          <w:noProof/>
        </w:rPr>
        <mc:AlternateContent>
          <mc:Choice Requires="wpg">
            <w:drawing>
              <wp:anchor distT="0" distB="0" distL="114300" distR="114300" simplePos="0" relativeHeight="252140544" behindDoc="0" locked="0" layoutInCell="1" allowOverlap="1" wp14:anchorId="17C74AC6" wp14:editId="538C5EED">
                <wp:simplePos x="0" y="0"/>
                <wp:positionH relativeFrom="column">
                  <wp:posOffset>-18287</wp:posOffset>
                </wp:positionH>
                <wp:positionV relativeFrom="paragraph">
                  <wp:posOffset>370242</wp:posOffset>
                </wp:positionV>
                <wp:extent cx="146304" cy="297180"/>
                <wp:effectExtent l="0" t="0" r="0" b="0"/>
                <wp:wrapSquare wrapText="bothSides"/>
                <wp:docPr id="2456776" name="Group 2456776"/>
                <wp:cNvGraphicFramePr/>
                <a:graphic xmlns:a="http://schemas.openxmlformats.org/drawingml/2006/main">
                  <a:graphicData uri="http://schemas.microsoft.com/office/word/2010/wordprocessingGroup">
                    <wpg:wgp>
                      <wpg:cNvGrpSpPr/>
                      <wpg:grpSpPr>
                        <a:xfrm>
                          <a:off x="0" y="0"/>
                          <a:ext cx="146304" cy="297180"/>
                          <a:chOff x="0" y="0"/>
                          <a:chExt cx="146304" cy="297180"/>
                        </a:xfrm>
                      </wpg:grpSpPr>
                      <wps:wsp>
                        <wps:cNvPr id="920905" name="Rectangle 920905"/>
                        <wps:cNvSpPr/>
                        <wps:spPr>
                          <a:xfrm>
                            <a:off x="0" y="0"/>
                            <a:ext cx="194584" cy="395249"/>
                          </a:xfrm>
                          <a:prstGeom prst="rect">
                            <a:avLst/>
                          </a:prstGeom>
                          <a:ln>
                            <a:noFill/>
                          </a:ln>
                        </wps:spPr>
                        <wps:txbx>
                          <w:txbxContent>
                            <w:p w14:paraId="639379A1" w14:textId="77777777" w:rsidR="00053D93" w:rsidRDefault="00260B75">
                              <w:r>
                                <w:rPr>
                                  <w:sz w:val="86"/>
                                </w:rPr>
                                <w:t>1</w:t>
                              </w:r>
                            </w:p>
                          </w:txbxContent>
                        </wps:txbx>
                        <wps:bodyPr horzOverflow="overflow" vert="horz" lIns="0" tIns="0" rIns="0" bIns="0" rtlCol="0">
                          <a:noAutofit/>
                        </wps:bodyPr>
                      </wps:wsp>
                    </wpg:wgp>
                  </a:graphicData>
                </a:graphic>
              </wp:anchor>
            </w:drawing>
          </mc:Choice>
          <mc:Fallback>
            <w:pict>
              <v:group w14:anchorId="17C74AC6" id="Group 2456776" o:spid="_x0000_s1524" style="position:absolute;left:0;text-align:left;margin-left:-1.45pt;margin-top:29.15pt;width:11.5pt;height:23.4pt;z-index:252140544;mso-position-horizontal-relative:text;mso-position-vertical-relative:text" coordsize="14630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">
                <v:rect id="Rectangle 920905" o:spid="_x0000_s1525" style="position:absolute;width:194584;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" filled="f" stroked="f">
                  <v:textbox inset="0,0,0,0">
                    <w:txbxContent>
                      <w:p w14:paraId="639379A1" w14:textId="77777777" w:rsidR="00053D93" w:rsidRDefault="00260B75">
                        <w:r>
                          <w:rPr>
                            <w:sz w:val="86"/>
                          </w:rPr>
                          <w:t>1</w:t>
                        </w:r>
                      </w:p>
                    </w:txbxContent>
                  </v:textbox>
                </v:rect>
                <w10:wrap type="square"/>
              </v:group>
            </w:pict>
          </mc:Fallback>
        </mc:AlternateContent>
      </w:r>
      <w:r>
        <w:rPr>
          <w:sz w:val="26"/>
        </w:rPr>
        <w:t xml:space="preserve">El Director General, debe girar instrucciones a los miembros de las Comisión Receptora y Liquidadoras nombradas en los procesos de cotización, pará que aseguren que los contratistas cumplan con tas obligaciones contraídas en los contratos suscritos y adjudicados en los eventos de cotización, de conformidad con las Especificaciones Técnicas y las características generales y específicas </w:t>
      </w:r>
      <w:r>
        <w:rPr>
          <w:noProof/>
        </w:rPr>
        <mc:AlternateContent>
          <mc:Choice Requires="wpg">
            <w:drawing>
              <wp:inline distT="0" distB="0" distL="0" distR="0" wp14:anchorId="4B229180" wp14:editId="0834A875">
                <wp:extent cx="137160" cy="297180"/>
                <wp:effectExtent l="0" t="0" r="0" b="0"/>
                <wp:docPr id="2456777" name="Group 2456777"/>
                <wp:cNvGraphicFramePr/>
                <a:graphic xmlns:a="http://schemas.openxmlformats.org/drawingml/2006/main">
                  <a:graphicData uri="http://schemas.microsoft.com/office/word/2010/wordprocessingGroup">
                    <wpg:wgp>
                      <wpg:cNvGrpSpPr/>
                      <wpg:grpSpPr>
                        <a:xfrm>
                          <a:off x="0" y="0"/>
                          <a:ext cx="137160" cy="297180"/>
                          <a:chOff x="0" y="0"/>
                          <a:chExt cx="137160" cy="297180"/>
                        </a:xfrm>
                      </wpg:grpSpPr>
                      <wps:wsp>
                        <wps:cNvPr id="920906" name="Rectangle 920906"/>
                        <wps:cNvSpPr/>
                        <wps:spPr>
                          <a:xfrm>
                            <a:off x="0" y="0"/>
                            <a:ext cx="182423" cy="395249"/>
                          </a:xfrm>
                          <a:prstGeom prst="rect">
                            <a:avLst/>
                          </a:prstGeom>
                          <a:ln>
                            <a:noFill/>
                          </a:ln>
                        </wps:spPr>
                        <wps:txbx>
                          <w:txbxContent>
                            <w:p w14:paraId="4F9FFA31" w14:textId="77777777" w:rsidR="00053D93" w:rsidRDefault="00260B75">
                              <w:r>
                                <w:rPr>
                                  <w:sz w:val="80"/>
                                </w:rPr>
                                <w:t>1</w:t>
                              </w:r>
                            </w:p>
                          </w:txbxContent>
                        </wps:txbx>
                        <wps:bodyPr horzOverflow="overflow" vert="horz" lIns="0" tIns="0" rIns="0" bIns="0" rtlCol="0">
                          <a:noAutofit/>
                        </wps:bodyPr>
                      </wps:wsp>
                    </wpg:wgp>
                  </a:graphicData>
                </a:graphic>
              </wp:inline>
            </w:drawing>
          </mc:Choice>
          <mc:Fallback>
            <w:pict>
              <v:group w14:anchorId="4B229180" id="Group 2456777" o:spid="_x0000_s1526" style="width:10.8pt;height:23.4pt;mso-position-horizontal-relative:char;mso-position-vertical-relative:line" coordsize="13716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">
                <v:rect id="Rectangle 920906" o:spid="_x0000_s1527" style="position:absolute;width:182423;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" filled="f" stroked="f">
                  <v:textbox inset="0,0,0,0">
                    <w:txbxContent>
                      <w:p w14:paraId="4F9FFA31" w14:textId="77777777" w:rsidR="00053D93" w:rsidRDefault="00260B75">
                        <w:r>
                          <w:rPr>
                            <w:sz w:val="80"/>
                          </w:rPr>
                          <w:t>1</w:t>
                        </w:r>
                      </w:p>
                    </w:txbxContent>
                  </v:textbox>
                </v:rect>
                <w10:anchorlock/>
              </v:group>
            </w:pict>
          </mc:Fallback>
        </mc:AlternateContent>
      </w:r>
      <w:r>
        <w:rPr>
          <w:sz w:val="26"/>
        </w:rPr>
        <w:t xml:space="preserve"> establecidas en las bases de los eventos de cotización adjudicados por la Dirección General de Educación Física -DIGEF-.</w:t>
      </w:r>
    </w:p>
    <w:p w14:paraId="22234245" w14:textId="77777777" w:rsidR="00053D93" w:rsidRDefault="00260B75">
      <w:pPr>
        <w:spacing w:after="14" w:line="251" w:lineRule="auto"/>
        <w:ind w:left="1731" w:hanging="3"/>
        <w:jc w:val="both"/>
      </w:pPr>
      <w:r>
        <w:rPr>
          <w:sz w:val="28"/>
        </w:rPr>
        <w:t>Comentario de los responsables</w:t>
      </w:r>
    </w:p>
    <w:tbl>
      <w:tblPr>
        <w:tblStyle w:val="TableGrid"/>
        <w:tblpPr w:vertAnchor="page" w:horzAnchor="page" w:tblpX="2894" w:tblpY="14693"/>
        <w:tblOverlap w:val="never"/>
        <w:tblW w:w="7668" w:type="dxa"/>
        <w:tblInd w:w="0" w:type="dxa"/>
        <w:tblCellMar>
          <w:top w:w="28" w:type="dxa"/>
          <w:left w:w="1786" w:type="dxa"/>
          <w:right w:w="115" w:type="dxa"/>
        </w:tblCellMar>
        <w:tblLook w:val="04A0" w:firstRow="1" w:lastRow="0" w:firstColumn="1" w:lastColumn="0" w:noHBand="0" w:noVBand="1"/>
      </w:tblPr>
      <w:tblGrid>
        <w:gridCol w:w="7668"/>
      </w:tblGrid>
      <w:tr w:rsidR="00053D93" w14:paraId="3A1B2672" w14:textId="77777777">
        <w:trPr>
          <w:trHeight w:val="615"/>
        </w:trPr>
        <w:tc>
          <w:tcPr>
            <w:tcW w:w="7668" w:type="dxa"/>
            <w:tcBorders>
              <w:top w:val="single" w:sz="2" w:space="0" w:color="000000"/>
              <w:left w:val="single" w:sz="2" w:space="0" w:color="000000"/>
              <w:bottom w:val="nil"/>
              <w:right w:val="nil"/>
            </w:tcBorders>
          </w:tcPr>
          <w:p w14:paraId="3DB2268F" w14:textId="77777777" w:rsidR="00053D93" w:rsidRDefault="00260B75">
            <w:pPr>
              <w:ind w:left="828"/>
            </w:pPr>
            <w:r>
              <w:rPr>
                <w:sz w:val="14"/>
              </w:rPr>
              <w:t>MINISTERIO DE EDUCACION</w:t>
            </w:r>
          </w:p>
          <w:p w14:paraId="767E1F73" w14:textId="77777777" w:rsidR="00053D93" w:rsidRDefault="00260B75">
            <w:pPr>
              <w:ind w:left="331"/>
            </w:pPr>
            <w:r>
              <w:rPr>
                <w:sz w:val="14"/>
              </w:rPr>
              <w:t>AUDITORIA FINANCIERA Y DE CUMPLIMIENTO</w:t>
            </w:r>
          </w:p>
          <w:p w14:paraId="5F89875F" w14:textId="77777777" w:rsidR="00053D93" w:rsidRDefault="00260B75">
            <w:r>
              <w:rPr>
                <w:sz w:val="14"/>
              </w:rPr>
              <w:t>PERIODO DEL 01 DE ENERO AL 31 OE DICiEM3RE DE 2024</w:t>
            </w:r>
          </w:p>
        </w:tc>
      </w:tr>
    </w:tbl>
    <w:p w14:paraId="3E9EC293" w14:textId="77777777" w:rsidR="00053D93" w:rsidRDefault="00260B75">
      <w:pPr>
        <w:spacing w:after="63" w:line="250" w:lineRule="auto"/>
        <w:ind w:left="28" w:right="14" w:firstLine="1728"/>
        <w:jc w:val="both"/>
      </w:pPr>
      <w:r>
        <w:rPr>
          <w:noProof/>
        </w:rPr>
        <w:drawing>
          <wp:anchor distT="0" distB="0" distL="114300" distR="114300" simplePos="0" relativeHeight="252141568" behindDoc="0" locked="0" layoutInCell="1" allowOverlap="0" wp14:anchorId="672F3285" wp14:editId="18B203FE">
            <wp:simplePos x="0" y="0"/>
            <wp:positionH relativeFrom="page">
              <wp:posOffset>717804</wp:posOffset>
            </wp:positionH>
            <wp:positionV relativeFrom="page">
              <wp:posOffset>9313164</wp:posOffset>
            </wp:positionV>
            <wp:extent cx="1065276" cy="411480"/>
            <wp:effectExtent l="0" t="0" r="0" b="0"/>
            <wp:wrapTopAndBottom/>
            <wp:docPr id="924246" name="Picture 924246"/>
            <wp:cNvGraphicFramePr/>
            <a:graphic xmlns:a="http://schemas.openxmlformats.org/drawingml/2006/main">
              <a:graphicData uri="http://schemas.openxmlformats.org/drawingml/2006/picture">
                <pic:pic xmlns:pic="http://schemas.openxmlformats.org/drawingml/2006/picture">
                  <pic:nvPicPr>
                    <pic:cNvPr id="924246" name="Picture 924246"/>
                    <pic:cNvPicPr/>
                  </pic:nvPicPr>
                  <pic:blipFill>
                    <a:blip r:embed="rId1272"/>
                    <a:stretch>
                      <a:fillRect/>
                    </a:stretch>
                  </pic:blipFill>
                  <pic:spPr>
                    <a:xfrm>
                      <a:off x="0" y="0"/>
                      <a:ext cx="1065276" cy="411480"/>
                    </a:xfrm>
                    <a:prstGeom prst="rect">
                      <a:avLst/>
                    </a:prstGeom>
                  </pic:spPr>
                </pic:pic>
              </a:graphicData>
            </a:graphic>
          </wp:anchor>
        </w:drawing>
      </w:r>
      <w:r>
        <w:rPr>
          <w:sz w:val="26"/>
        </w:rPr>
        <w:t>En nota s/n del 25 de abril de 2025, el licenciado Edgar Estuardo Rodríguez 1 López, quien fungió como Director General en Funciones, por el período comprendido del 01 de octubre al 31 de diciembre de 2024, manifiesta: "...Condición En el Ministerio de Educación, Unidad Ejecutora 109 Dirección 1 General de Educación Física -DIGEF- al evaluar ei evento publicado en el Sistema GUATECOMPRAS, con número de NOG: 24709395, denominado "Servicio de 1 transporte aéreo para la delegación deportiva escolar de Guatemala que participará en los Juegos Deportivos Escolares Centroamericanos del CODICADER, para estudiantes con discapacidad, a realizarse en Panamá, 1 Panamá; a solicitud de la DIGEF" mediante la modalidad de compra directa por ausencia de ofertas del evento original de cotización C-33/2024-MlNEDUC, NOG: 23723718. Dichos juegos deportivos se llevaron a cabo del 12 al 17 de noviembre 1 de 2024, donde se determinaron las siguientes irregularidades:</w:t>
      </w:r>
    </w:p>
    <w:p w14:paraId="6B9B4F1A" w14:textId="77777777" w:rsidR="00053D93" w:rsidRDefault="00260B75">
      <w:pPr>
        <w:pStyle w:val="Ttulo3"/>
        <w:tabs>
          <w:tab w:val="center" w:pos="2203"/>
          <w:tab w:val="center" w:pos="3863"/>
          <w:tab w:val="center" w:pos="5713"/>
          <w:tab w:val="center" w:pos="7092"/>
          <w:tab w:val="center" w:pos="8046"/>
          <w:tab w:val="right" w:pos="10224"/>
        </w:tabs>
        <w:spacing w:after="0" w:line="259" w:lineRule="auto"/>
        <w:ind w:left="0" w:right="0" w:firstLine="0"/>
        <w:jc w:val="left"/>
      </w:pPr>
      <w:r>
        <w:t>1</w:t>
      </w:r>
      <w:r>
        <w:tab/>
        <w:t xml:space="preserve">PRIMER </w:t>
      </w:r>
      <w:r>
        <w:tab/>
        <w:t xml:space="preserve">ENUNCIADO </w:t>
      </w:r>
      <w:r>
        <w:tab/>
        <w:t xml:space="preserve">SEÑALADO </w:t>
      </w:r>
      <w:r>
        <w:tab/>
        <w:t>POR</w:t>
      </w:r>
      <w:r>
        <w:tab/>
        <w:t xml:space="preserve">LOS </w:t>
      </w:r>
      <w:r>
        <w:tab/>
        <w:t>AUDITORES</w:t>
      </w:r>
    </w:p>
    <w:p w14:paraId="40368025" w14:textId="77777777" w:rsidR="00053D93" w:rsidRDefault="00260B75">
      <w:pPr>
        <w:spacing w:after="12" w:line="250" w:lineRule="auto"/>
        <w:ind w:left="28" w:right="14" w:firstLine="1728"/>
        <w:jc w:val="both"/>
      </w:pPr>
      <w:r>
        <w:rPr>
          <w:sz w:val="26"/>
        </w:rPr>
        <w:t xml:space="preserve">GUBERNAMENTALES. "Posteriormente, el mismo 1 1 de noviembre de 2024, la Gerente y Representante legal de la entidad LAX TRAVEL, S.A. indicó mediante </w:t>
      </w:r>
      <w:r>
        <w:rPr>
          <w:noProof/>
        </w:rPr>
        <w:drawing>
          <wp:inline distT="0" distB="0" distL="0" distR="0" wp14:anchorId="004FDB6E" wp14:editId="12A1A843">
            <wp:extent cx="4572" cy="4572"/>
            <wp:effectExtent l="0" t="0" r="0" b="0"/>
            <wp:docPr id="924136" name="Picture 924136"/>
            <wp:cNvGraphicFramePr/>
            <a:graphic xmlns:a="http://schemas.openxmlformats.org/drawingml/2006/main">
              <a:graphicData uri="http://schemas.openxmlformats.org/drawingml/2006/picture">
                <pic:pic xmlns:pic="http://schemas.openxmlformats.org/drawingml/2006/picture">
                  <pic:nvPicPr>
                    <pic:cNvPr id="924136" name="Picture 924136"/>
                    <pic:cNvPicPr/>
                  </pic:nvPicPr>
                  <pic:blipFill>
                    <a:blip r:embed="rId1240"/>
                    <a:stretch>
                      <a:fillRect/>
                    </a:stretch>
                  </pic:blipFill>
                  <pic:spPr>
                    <a:xfrm>
                      <a:off x="0" y="0"/>
                      <a:ext cx="4572" cy="4572"/>
                    </a:xfrm>
                    <a:prstGeom prst="rect">
                      <a:avLst/>
                    </a:prstGeom>
                  </pic:spPr>
                </pic:pic>
              </a:graphicData>
            </a:graphic>
          </wp:inline>
        </w:drawing>
      </w:r>
      <w:r>
        <w:rPr>
          <w:sz w:val="26"/>
        </w:rPr>
        <w:t xml:space="preserve">1 oficio sin número, al Director General en Funciones de la Dirección General de Educación Física -DIGEF-, que por causas de fuerza mayor ajenas a la institución, se realizaron cambios de última hora por falta de disponibilidad dentro de [a </w:t>
      </w:r>
      <w:r>
        <w:rPr>
          <w:noProof/>
        </w:rPr>
        <w:drawing>
          <wp:inline distT="0" distB="0" distL="0" distR="0" wp14:anchorId="5EC0C6A4" wp14:editId="2491618B">
            <wp:extent cx="4572" cy="4572"/>
            <wp:effectExtent l="0" t="0" r="0" b="0"/>
            <wp:docPr id="924137" name="Picture 924137"/>
            <wp:cNvGraphicFramePr/>
            <a:graphic xmlns:a="http://schemas.openxmlformats.org/drawingml/2006/main">
              <a:graphicData uri="http://schemas.openxmlformats.org/drawingml/2006/picture">
                <pic:pic xmlns:pic="http://schemas.openxmlformats.org/drawingml/2006/picture">
                  <pic:nvPicPr>
                    <pic:cNvPr id="924137" name="Picture 924137"/>
                    <pic:cNvPicPr/>
                  </pic:nvPicPr>
                  <pic:blipFill>
                    <a:blip r:embed="rId1273"/>
                    <a:stretch>
                      <a:fillRect/>
                    </a:stretch>
                  </pic:blipFill>
                  <pic:spPr>
                    <a:xfrm>
                      <a:off x="0" y="0"/>
                      <a:ext cx="4572" cy="4572"/>
                    </a:xfrm>
                    <a:prstGeom prst="rect">
                      <a:avLst/>
                    </a:prstGeom>
                  </pic:spPr>
                </pic:pic>
              </a:graphicData>
            </a:graphic>
          </wp:inline>
        </w:drawing>
      </w:r>
      <w:r>
        <w:rPr>
          <w:sz w:val="26"/>
        </w:rPr>
        <w:t xml:space="preserve">1 aerolínea, fechas y horarios, en donde se modificó la adquisición prevista de 188 a 107 boletos aéreos, así como las fechas establecidas en el calendario... las Especificaciones Técnicas de las bases del evento, cuyos cambios fueron autorizados por el Director General en Funciones de la DIGEF, mediante Oficio No. DG-2107-2024 del 1 1 de noviembre de 2024, dejando así a 81 participantes inscritos, fuera del evento adjudicado, [o cual contraviene el numeral 2, literal "a" con relación a la modificación de la cantidad de los boletos aéreos; así como, el numeral 3.2.3, literal "b" y el numeral 7, con relación a la modificación del -1 calendario de salidas y retornos establecido en las Especificaciones Técnicas del proceso de cotización C-33/2024-MlNEDUC; ya que la cantidad de los boletos </w:t>
      </w:r>
      <w:r>
        <w:rPr>
          <w:noProof/>
        </w:rPr>
        <w:drawing>
          <wp:inline distT="0" distB="0" distL="0" distR="0" wp14:anchorId="7857E6FC" wp14:editId="5F455B6A">
            <wp:extent cx="13716" cy="13715"/>
            <wp:effectExtent l="0" t="0" r="0" b="0"/>
            <wp:docPr id="924138" name="Picture 924138"/>
            <wp:cNvGraphicFramePr/>
            <a:graphic xmlns:a="http://schemas.openxmlformats.org/drawingml/2006/main">
              <a:graphicData uri="http://schemas.openxmlformats.org/drawingml/2006/picture">
                <pic:pic xmlns:pic="http://schemas.openxmlformats.org/drawingml/2006/picture">
                  <pic:nvPicPr>
                    <pic:cNvPr id="924138" name="Picture 924138"/>
                    <pic:cNvPicPr/>
                  </pic:nvPicPr>
                  <pic:blipFill>
                    <a:blip r:embed="rId1274"/>
                    <a:stretch>
                      <a:fillRect/>
                    </a:stretch>
                  </pic:blipFill>
                  <pic:spPr>
                    <a:xfrm>
                      <a:off x="0" y="0"/>
                      <a:ext cx="13716" cy="13715"/>
                    </a:xfrm>
                    <a:prstGeom prst="rect">
                      <a:avLst/>
                    </a:prstGeom>
                  </pic:spPr>
                </pic:pic>
              </a:graphicData>
            </a:graphic>
          </wp:inline>
        </w:drawing>
      </w:r>
      <w:r>
        <w:rPr>
          <w:sz w:val="26"/>
        </w:rPr>
        <w:t xml:space="preserve"> aéreos podía disminuir a solicitud de la Dirección General de Educación Física, con base en la nómina definitiva de los participantes inscritos en los Juegos Deportivos Escolares Centroamericanos del CODICADER, para estudiantes con </w:t>
      </w:r>
      <w:r>
        <w:rPr>
          <w:noProof/>
        </w:rPr>
        <w:drawing>
          <wp:inline distT="0" distB="0" distL="0" distR="0" wp14:anchorId="02D0D3BE" wp14:editId="2057D886">
            <wp:extent cx="54864" cy="4572"/>
            <wp:effectExtent l="0" t="0" r="0" b="0"/>
            <wp:docPr id="2458689" name="Picture 2458689"/>
            <wp:cNvGraphicFramePr/>
            <a:graphic xmlns:a="http://schemas.openxmlformats.org/drawingml/2006/main">
              <a:graphicData uri="http://schemas.openxmlformats.org/drawingml/2006/picture">
                <pic:pic xmlns:pic="http://schemas.openxmlformats.org/drawingml/2006/picture">
                  <pic:nvPicPr>
                    <pic:cNvPr id="2458689" name="Picture 2458689"/>
                    <pic:cNvPicPr/>
                  </pic:nvPicPr>
                  <pic:blipFill>
                    <a:blip r:embed="rId1275"/>
                    <a:stretch>
                      <a:fillRect/>
                    </a:stretch>
                  </pic:blipFill>
                  <pic:spPr>
                    <a:xfrm>
                      <a:off x="0" y="0"/>
                      <a:ext cx="54864" cy="4572"/>
                    </a:xfrm>
                    <a:prstGeom prst="rect">
                      <a:avLst/>
                    </a:prstGeom>
                  </pic:spPr>
                </pic:pic>
              </a:graphicData>
            </a:graphic>
          </wp:inline>
        </w:drawing>
      </w:r>
      <w:r>
        <w:rPr>
          <w:sz w:val="26"/>
        </w:rPr>
        <w:t>1 discapacidad y no por solicitud del contratista, así como las razones para solicitar</w:t>
      </w:r>
    </w:p>
    <w:p w14:paraId="05DEF445" w14:textId="77777777" w:rsidR="00053D93" w:rsidRDefault="00260B75">
      <w:pPr>
        <w:spacing w:after="3" w:line="265" w:lineRule="auto"/>
        <w:ind w:left="60" w:right="65" w:hanging="10"/>
      </w:pPr>
      <w:r>
        <w:rPr>
          <w:sz w:val="66"/>
        </w:rPr>
        <w:t>1</w:t>
      </w:r>
    </w:p>
    <w:p w14:paraId="554DB2F6" w14:textId="77777777" w:rsidR="00053D93" w:rsidRDefault="00260B75">
      <w:pPr>
        <w:spacing w:after="156" w:line="265" w:lineRule="auto"/>
        <w:ind w:left="1767" w:right="151" w:hanging="10"/>
        <w:jc w:val="center"/>
      </w:pPr>
      <w:r>
        <w:rPr>
          <w:sz w:val="12"/>
        </w:rPr>
        <w:t>200</w:t>
      </w:r>
    </w:p>
    <w:p w14:paraId="20D7748A" w14:textId="77777777" w:rsidR="00053D93" w:rsidRDefault="00260B75">
      <w:pPr>
        <w:spacing w:after="47"/>
        <w:ind w:left="1663" w:right="-43"/>
      </w:pPr>
      <w:r>
        <w:rPr>
          <w:noProof/>
        </w:rPr>
        <w:drawing>
          <wp:inline distT="0" distB="0" distL="0" distR="0" wp14:anchorId="651A3E82" wp14:editId="3ADCEA0D">
            <wp:extent cx="5463541" cy="54864"/>
            <wp:effectExtent l="0" t="0" r="0" b="0"/>
            <wp:docPr id="2458694" name="Picture 2458694"/>
            <wp:cNvGraphicFramePr/>
            <a:graphic xmlns:a="http://schemas.openxmlformats.org/drawingml/2006/main">
              <a:graphicData uri="http://schemas.openxmlformats.org/drawingml/2006/picture">
                <pic:pic xmlns:pic="http://schemas.openxmlformats.org/drawingml/2006/picture">
                  <pic:nvPicPr>
                    <pic:cNvPr id="2458694" name="Picture 2458694"/>
                    <pic:cNvPicPr/>
                  </pic:nvPicPr>
                  <pic:blipFill>
                    <a:blip r:embed="rId1276"/>
                    <a:stretch>
                      <a:fillRect/>
                    </a:stretch>
                  </pic:blipFill>
                  <pic:spPr>
                    <a:xfrm>
                      <a:off x="0" y="0"/>
                      <a:ext cx="5463541" cy="54864"/>
                    </a:xfrm>
                    <a:prstGeom prst="rect">
                      <a:avLst/>
                    </a:prstGeom>
                  </pic:spPr>
                </pic:pic>
              </a:graphicData>
            </a:graphic>
          </wp:inline>
        </w:drawing>
      </w:r>
    </w:p>
    <w:p w14:paraId="049E9E90" w14:textId="77777777" w:rsidR="00053D93" w:rsidRDefault="00260B75">
      <w:pPr>
        <w:spacing w:after="145" w:line="347" w:lineRule="auto"/>
        <w:ind w:left="60" w:right="79" w:hanging="3"/>
        <w:jc w:val="both"/>
      </w:pPr>
      <w:r>
        <w:rPr>
          <w:sz w:val="26"/>
        </w:rPr>
        <w:t>1 cambio de fecha por causas de fuerza mayor se contemplaban únicamente los fenómenos climáticos, epidemias o cambios en la programación general del 1 evento; por lo que la entidad LAX TRAVEL, S.A. debió cumplir con el servicio ofertado"</w:t>
      </w:r>
      <w:r>
        <w:rPr>
          <w:noProof/>
        </w:rPr>
        <w:drawing>
          <wp:inline distT="0" distB="0" distL="0" distR="0" wp14:anchorId="480BD2FB" wp14:editId="08A9D45C">
            <wp:extent cx="109728" cy="22860"/>
            <wp:effectExtent l="0" t="0" r="0" b="0"/>
            <wp:docPr id="2458696" name="Picture 2458696"/>
            <wp:cNvGraphicFramePr/>
            <a:graphic xmlns:a="http://schemas.openxmlformats.org/drawingml/2006/main">
              <a:graphicData uri="http://schemas.openxmlformats.org/drawingml/2006/picture">
                <pic:pic xmlns:pic="http://schemas.openxmlformats.org/drawingml/2006/picture">
                  <pic:nvPicPr>
                    <pic:cNvPr id="2458696" name="Picture 2458696"/>
                    <pic:cNvPicPr/>
                  </pic:nvPicPr>
                  <pic:blipFill>
                    <a:blip r:embed="rId1277"/>
                    <a:stretch>
                      <a:fillRect/>
                    </a:stretch>
                  </pic:blipFill>
                  <pic:spPr>
                    <a:xfrm>
                      <a:off x="0" y="0"/>
                      <a:ext cx="109728" cy="22860"/>
                    </a:xfrm>
                    <a:prstGeom prst="rect">
                      <a:avLst/>
                    </a:prstGeom>
                  </pic:spPr>
                </pic:pic>
              </a:graphicData>
            </a:graphic>
          </wp:inline>
        </w:drawing>
      </w:r>
    </w:p>
    <w:p w14:paraId="5435B847" w14:textId="77777777" w:rsidR="00053D93" w:rsidRDefault="00260B75">
      <w:pPr>
        <w:spacing w:after="254" w:line="216" w:lineRule="auto"/>
        <w:ind w:left="60" w:right="79" w:hanging="3"/>
        <w:jc w:val="both"/>
      </w:pPr>
      <w:r>
        <w:rPr>
          <w:noProof/>
        </w:rPr>
        <mc:AlternateContent>
          <mc:Choice Requires="wpg">
            <w:drawing>
              <wp:inline distT="0" distB="0" distL="0" distR="0" wp14:anchorId="7644737C" wp14:editId="3B0F4060">
                <wp:extent cx="118872" cy="292608"/>
                <wp:effectExtent l="0" t="0" r="0" b="0"/>
                <wp:docPr id="2456782" name="Group 2456782"/>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924938" name="Rectangle 924938"/>
                        <wps:cNvSpPr/>
                        <wps:spPr>
                          <a:xfrm>
                            <a:off x="0" y="0"/>
                            <a:ext cx="158100" cy="389169"/>
                          </a:xfrm>
                          <a:prstGeom prst="rect">
                            <a:avLst/>
                          </a:prstGeom>
                          <a:ln>
                            <a:noFill/>
                          </a:ln>
                        </wps:spPr>
                        <wps:txbx>
                          <w:txbxContent>
                            <w:p w14:paraId="184D2C7A"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644737C" id="Group 2456782" o:spid="_x0000_s1528"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">
                <v:rect id="Rectangle 924938" o:spid="_x0000_s1529"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" filled="f" stroked="f">
                  <v:textbox inset="0,0,0,0">
                    <w:txbxContent>
                      <w:p w14:paraId="184D2C7A" w14:textId="77777777" w:rsidR="00053D93" w:rsidRDefault="00260B75">
                        <w:r>
                          <w:rPr>
                            <w:sz w:val="70"/>
                          </w:rPr>
                          <w:t>1</w:t>
                        </w:r>
                      </w:p>
                    </w:txbxContent>
                  </v:textbox>
                </v:rect>
                <w10:anchorlock/>
              </v:group>
            </w:pict>
          </mc:Fallback>
        </mc:AlternateContent>
      </w:r>
      <w:r>
        <w:rPr>
          <w:sz w:val="26"/>
        </w:rPr>
        <w:t xml:space="preserve"> PLANTEAMIENTO DE LA DEFENSA: De conformidad con la condición indicada en cada uno de los enunciados anteriormente, me permito ir planteando la defensa en cada uno de ellos de la siguiente manera: 1 . Defensa al primer enunciado:</w:t>
      </w:r>
    </w:p>
    <w:p w14:paraId="2BEB5DF3" w14:textId="77777777" w:rsidR="00053D93" w:rsidRDefault="00260B75">
      <w:pPr>
        <w:tabs>
          <w:tab w:val="center" w:pos="2894"/>
          <w:tab w:val="center" w:pos="5191"/>
          <w:tab w:val="center" w:pos="6815"/>
          <w:tab w:val="center" w:pos="7988"/>
          <w:tab w:val="right" w:pos="10224"/>
        </w:tabs>
        <w:spacing w:after="0" w:line="265" w:lineRule="auto"/>
      </w:pPr>
      <w:r>
        <w:rPr>
          <w:sz w:val="26"/>
        </w:rPr>
        <w:t>1</w:t>
      </w:r>
      <w:r>
        <w:rPr>
          <w:sz w:val="26"/>
        </w:rPr>
        <w:tab/>
        <w:t>ESPECIFICACIONES</w:t>
      </w:r>
      <w:r>
        <w:rPr>
          <w:sz w:val="26"/>
        </w:rPr>
        <w:tab/>
        <w:t>TÉCNICAS</w:t>
      </w:r>
      <w:r>
        <w:rPr>
          <w:sz w:val="26"/>
        </w:rPr>
        <w:tab/>
        <w:t>pROCES</w:t>
      </w:r>
      <w:r>
        <w:rPr>
          <w:sz w:val="26"/>
        </w:rPr>
        <w:tab/>
        <w:t>DE</w:t>
      </w:r>
      <w:r>
        <w:rPr>
          <w:sz w:val="26"/>
        </w:rPr>
        <w:tab/>
        <w:t>COTIZACIÓN</w:t>
      </w:r>
    </w:p>
    <w:p w14:paraId="7F800B2A" w14:textId="77777777" w:rsidR="00053D93" w:rsidRDefault="00260B75">
      <w:pPr>
        <w:spacing w:after="226" w:line="269" w:lineRule="auto"/>
        <w:ind w:left="57" w:right="14" w:firstLine="1714"/>
        <w:jc w:val="both"/>
      </w:pPr>
      <w:r>
        <w:rPr>
          <w:sz w:val="26"/>
        </w:rPr>
        <w:t xml:space="preserve">C-033/2024-MlNEDUC SERVICIO DE TRANSPORTE AÉREO PARA LA 1 DELEGACIÓN DEPORTIVA ESCOLAR DE GUATEMALA QUE PARTICIPARÁ EN LOS JUEGOS DEPORTIVOS ESCOLARES CENTROAMERICANOS DEL CODICADERI PARA ESTUDIANTES CON DISCAPACIDAD, A REALIZARSE EN </w:t>
      </w:r>
      <w:r>
        <w:rPr>
          <w:noProof/>
        </w:rPr>
        <w:drawing>
          <wp:inline distT="0" distB="0" distL="0" distR="0" wp14:anchorId="5325851B" wp14:editId="61703BAB">
            <wp:extent cx="13716" cy="13716"/>
            <wp:effectExtent l="0" t="0" r="0" b="0"/>
            <wp:docPr id="928027" name="Picture 928027"/>
            <wp:cNvGraphicFramePr/>
            <a:graphic xmlns:a="http://schemas.openxmlformats.org/drawingml/2006/main">
              <a:graphicData uri="http://schemas.openxmlformats.org/drawingml/2006/picture">
                <pic:pic xmlns:pic="http://schemas.openxmlformats.org/drawingml/2006/picture">
                  <pic:nvPicPr>
                    <pic:cNvPr id="928027" name="Picture 928027"/>
                    <pic:cNvPicPr/>
                  </pic:nvPicPr>
                  <pic:blipFill>
                    <a:blip r:embed="rId1278"/>
                    <a:stretch>
                      <a:fillRect/>
                    </a:stretch>
                  </pic:blipFill>
                  <pic:spPr>
                    <a:xfrm>
                      <a:off x="0" y="0"/>
                      <a:ext cx="13716" cy="13716"/>
                    </a:xfrm>
                    <a:prstGeom prst="rect">
                      <a:avLst/>
                    </a:prstGeom>
                  </pic:spPr>
                </pic:pic>
              </a:graphicData>
            </a:graphic>
          </wp:inline>
        </w:drawing>
      </w:r>
      <w:r>
        <w:rPr>
          <w:sz w:val="26"/>
        </w:rPr>
        <w:t xml:space="preserve">1 PANAMÁ, PANAMÁ; A SOLICITUD DE LA DIGEF * Numeral: 3. Condiciones especiales para el servicio de transporte aéreo: *Numeral: 3.2.2 Los cambios serán autorizados única y exclusivamente por la Dirección General de Educación </w:t>
      </w:r>
      <w:r>
        <w:rPr>
          <w:noProof/>
        </w:rPr>
        <mc:AlternateContent>
          <mc:Choice Requires="wpg">
            <w:drawing>
              <wp:inline distT="0" distB="0" distL="0" distR="0" wp14:anchorId="29ADE750" wp14:editId="0F8FB9E3">
                <wp:extent cx="109728" cy="288036"/>
                <wp:effectExtent l="0" t="0" r="0" b="0"/>
                <wp:docPr id="2456783" name="Group 2456783"/>
                <wp:cNvGraphicFramePr/>
                <a:graphic xmlns:a="http://schemas.openxmlformats.org/drawingml/2006/main">
                  <a:graphicData uri="http://schemas.microsoft.com/office/word/2010/wordprocessingGroup">
                    <wpg:wgp>
                      <wpg:cNvGrpSpPr/>
                      <wpg:grpSpPr>
                        <a:xfrm>
                          <a:off x="0" y="0"/>
                          <a:ext cx="109728" cy="288036"/>
                          <a:chOff x="0" y="0"/>
                          <a:chExt cx="109728" cy="288036"/>
                        </a:xfrm>
                      </wpg:grpSpPr>
                      <wps:wsp>
                        <wps:cNvPr id="924942" name="Rectangle 924942"/>
                        <wps:cNvSpPr/>
                        <wps:spPr>
                          <a:xfrm>
                            <a:off x="0" y="0"/>
                            <a:ext cx="145938" cy="383088"/>
                          </a:xfrm>
                          <a:prstGeom prst="rect">
                            <a:avLst/>
                          </a:prstGeom>
                          <a:ln>
                            <a:noFill/>
                          </a:ln>
                        </wps:spPr>
                        <wps:txbx>
                          <w:txbxContent>
                            <w:p w14:paraId="7015A68A" w14:textId="77777777" w:rsidR="00053D93" w:rsidRDefault="00260B75">
                              <w:r>
                                <w:rPr>
                                  <w:sz w:val="64"/>
                                </w:rPr>
                                <w:t>1</w:t>
                              </w:r>
                            </w:p>
                          </w:txbxContent>
                        </wps:txbx>
                        <wps:bodyPr horzOverflow="overflow" vert="horz" lIns="0" tIns="0" rIns="0" bIns="0" rtlCol="0">
                          <a:noAutofit/>
                        </wps:bodyPr>
                      </wps:wsp>
                    </wpg:wgp>
                  </a:graphicData>
                </a:graphic>
              </wp:inline>
            </w:drawing>
          </mc:Choice>
          <mc:Fallback>
            <w:pict>
              <v:group w14:anchorId="29ADE750" id="Group 2456783" o:spid="_x0000_s1530" style="width:8.65pt;height:22.7pt;mso-position-horizontal-relative:char;mso-position-vertical-relative:line" coordsize="10972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">
                <v:rect id="Rectangle 924942" o:spid="_x0000_s1531" style="position:absolute;width:145938;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" filled="f" stroked="f">
                  <v:textbox inset="0,0,0,0">
                    <w:txbxContent>
                      <w:p w14:paraId="7015A68A" w14:textId="77777777" w:rsidR="00053D93" w:rsidRDefault="00260B75">
                        <w:r>
                          <w:rPr>
                            <w:sz w:val="64"/>
                          </w:rPr>
                          <w:t>1</w:t>
                        </w:r>
                      </w:p>
                    </w:txbxContent>
                  </v:textbox>
                </v:rect>
                <w10:anchorlock/>
              </v:group>
            </w:pict>
          </mc:Fallback>
        </mc:AlternateContent>
      </w:r>
      <w:r>
        <w:rPr>
          <w:sz w:val="26"/>
        </w:rPr>
        <w:t xml:space="preserve"> Física -DIGEF-.</w:t>
      </w:r>
    </w:p>
    <w:tbl>
      <w:tblPr>
        <w:tblStyle w:val="TableGrid"/>
        <w:tblpPr w:vertAnchor="page" w:horzAnchor="page" w:tblpX="2881" w:tblpY="14616"/>
        <w:tblOverlap w:val="never"/>
        <w:tblW w:w="7660" w:type="dxa"/>
        <w:tblInd w:w="0" w:type="dxa"/>
        <w:tblCellMar>
          <w:top w:w="35" w:type="dxa"/>
          <w:left w:w="1778" w:type="dxa"/>
          <w:right w:w="115" w:type="dxa"/>
        </w:tblCellMar>
        <w:tblLook w:val="04A0" w:firstRow="1" w:lastRow="0" w:firstColumn="1" w:lastColumn="0" w:noHBand="0" w:noVBand="1"/>
      </w:tblPr>
      <w:tblGrid>
        <w:gridCol w:w="7660"/>
      </w:tblGrid>
      <w:tr w:rsidR="00053D93" w14:paraId="13931678" w14:textId="77777777">
        <w:trPr>
          <w:trHeight w:val="612"/>
        </w:trPr>
        <w:tc>
          <w:tcPr>
            <w:tcW w:w="7660" w:type="dxa"/>
            <w:tcBorders>
              <w:top w:val="single" w:sz="2" w:space="0" w:color="000000"/>
              <w:left w:val="single" w:sz="2" w:space="0" w:color="000000"/>
              <w:bottom w:val="nil"/>
              <w:right w:val="nil"/>
            </w:tcBorders>
          </w:tcPr>
          <w:p w14:paraId="6E394CEE" w14:textId="77777777" w:rsidR="00053D93" w:rsidRDefault="00260B75">
            <w:pPr>
              <w:ind w:left="828"/>
            </w:pPr>
            <w:r>
              <w:rPr>
                <w:sz w:val="14"/>
              </w:rPr>
              <w:t>MINISTERIO DE EDUCACION</w:t>
            </w:r>
          </w:p>
          <w:p w14:paraId="27493E46" w14:textId="77777777" w:rsidR="00053D93" w:rsidRDefault="00260B75">
            <w:pPr>
              <w:ind w:left="331"/>
            </w:pPr>
            <w:r>
              <w:rPr>
                <w:sz w:val="14"/>
              </w:rPr>
              <w:t>AUDITORIA FINANCIERA Y DE CUMPLIMIENTO</w:t>
            </w:r>
          </w:p>
          <w:p w14:paraId="3FE6C7FD" w14:textId="77777777" w:rsidR="00053D93" w:rsidRDefault="00260B75">
            <w:r>
              <w:rPr>
                <w:sz w:val="14"/>
              </w:rPr>
              <w:t>PERIODO DEI. 01 OE ENERO AL 31 DE DICIEMBRE DE 2024</w:t>
            </w:r>
          </w:p>
        </w:tc>
      </w:tr>
    </w:tbl>
    <w:p w14:paraId="0CD1C01B" w14:textId="77777777" w:rsidR="00053D93" w:rsidRDefault="00260B75">
      <w:pPr>
        <w:spacing w:after="224" w:line="269" w:lineRule="auto"/>
        <w:ind w:left="57" w:right="14" w:firstLine="1656"/>
        <w:jc w:val="both"/>
      </w:pPr>
      <w:r>
        <w:rPr>
          <w:noProof/>
        </w:rPr>
        <w:drawing>
          <wp:anchor distT="0" distB="0" distL="114300" distR="114300" simplePos="0" relativeHeight="252142592" behindDoc="0" locked="0" layoutInCell="1" allowOverlap="0" wp14:anchorId="17DAFA6E" wp14:editId="46C613F2">
            <wp:simplePos x="0" y="0"/>
            <wp:positionH relativeFrom="page">
              <wp:posOffset>708660</wp:posOffset>
            </wp:positionH>
            <wp:positionV relativeFrom="page">
              <wp:posOffset>9262872</wp:posOffset>
            </wp:positionV>
            <wp:extent cx="1065276" cy="416052"/>
            <wp:effectExtent l="0" t="0" r="0" b="0"/>
            <wp:wrapTopAndBottom/>
            <wp:docPr id="928025" name="Picture 928025"/>
            <wp:cNvGraphicFramePr/>
            <a:graphic xmlns:a="http://schemas.openxmlformats.org/drawingml/2006/main">
              <a:graphicData uri="http://schemas.openxmlformats.org/drawingml/2006/picture">
                <pic:pic xmlns:pic="http://schemas.openxmlformats.org/drawingml/2006/picture">
                  <pic:nvPicPr>
                    <pic:cNvPr id="928025" name="Picture 928025"/>
                    <pic:cNvPicPr/>
                  </pic:nvPicPr>
                  <pic:blipFill>
                    <a:blip r:embed="rId1279"/>
                    <a:stretch>
                      <a:fillRect/>
                    </a:stretch>
                  </pic:blipFill>
                  <pic:spPr>
                    <a:xfrm>
                      <a:off x="0" y="0"/>
                      <a:ext cx="1065276" cy="416052"/>
                    </a:xfrm>
                    <a:prstGeom prst="rect">
                      <a:avLst/>
                    </a:prstGeom>
                  </pic:spPr>
                </pic:pic>
              </a:graphicData>
            </a:graphic>
          </wp:anchor>
        </w:drawing>
      </w:r>
      <w:r>
        <w:rPr>
          <w:noProof/>
        </w:rPr>
        <w:drawing>
          <wp:anchor distT="0" distB="0" distL="114300" distR="114300" simplePos="0" relativeHeight="252143616" behindDoc="0" locked="0" layoutInCell="1" allowOverlap="0" wp14:anchorId="37F7F76B" wp14:editId="3EDB88CE">
            <wp:simplePos x="0" y="0"/>
            <wp:positionH relativeFrom="page">
              <wp:posOffset>155448</wp:posOffset>
            </wp:positionH>
            <wp:positionV relativeFrom="page">
              <wp:posOffset>850392</wp:posOffset>
            </wp:positionV>
            <wp:extent cx="32004" cy="4572"/>
            <wp:effectExtent l="0" t="0" r="0" b="0"/>
            <wp:wrapTopAndBottom/>
            <wp:docPr id="927969" name="Picture 927969"/>
            <wp:cNvGraphicFramePr/>
            <a:graphic xmlns:a="http://schemas.openxmlformats.org/drawingml/2006/main">
              <a:graphicData uri="http://schemas.openxmlformats.org/drawingml/2006/picture">
                <pic:pic xmlns:pic="http://schemas.openxmlformats.org/drawingml/2006/picture">
                  <pic:nvPicPr>
                    <pic:cNvPr id="927969" name="Picture 927969"/>
                    <pic:cNvPicPr/>
                  </pic:nvPicPr>
                  <pic:blipFill>
                    <a:blip r:embed="rId1280"/>
                    <a:stretch>
                      <a:fillRect/>
                    </a:stretch>
                  </pic:blipFill>
                  <pic:spPr>
                    <a:xfrm>
                      <a:off x="0" y="0"/>
                      <a:ext cx="32004" cy="4572"/>
                    </a:xfrm>
                    <a:prstGeom prst="rect">
                      <a:avLst/>
                    </a:prstGeom>
                  </pic:spPr>
                </pic:pic>
              </a:graphicData>
            </a:graphic>
          </wp:anchor>
        </w:drawing>
      </w:r>
      <w:r>
        <w:rPr>
          <w:sz w:val="26"/>
        </w:rPr>
        <w:t>COMENTARIO: Tal como quedó establecido tanto fáctica como legalmente, en las especificaciones técnicas del evento, así como en el contrato administrativo objeto del posible hallazgo, la Dirección General de Educación Física -DIGEF- es la única 1 que está facultada legalmente para "AUTORIZAR' los cambios realizados para la disminución de boletos a adquirir, lo cual se encuentra dentro del contrato, ya que las cantidades si podían variar, así mismo, era [a unidad ejecutora la única capaz 1 de autorizar las modificaciones o cambios, por lo cual, en mi ejercicio de Director General en funciones, era el representante legal de la entidad, por lo cual era la única persona legalmente para emitir la autorización, mediante oficio administrativo; por lo cual, se comprueba que legalmente nunca me excedí de mis facultades legales ni de mi competencia, pues el mismo contrato indica que era factible autorizar los cambios, nunca se tomaron decisiones arbitrarias basadas en afectar negativamente a los atletas escolares, al contrario. En todo caso, la obligación legal establecida en el contrato de no variar el precio en más, de los 1 boletos aéreos recae exclusivamente dentro de las obligaciones del contratista, situación que no autoricé y que no liquidé, pues dichas acciones y facultades 1 administrativas no eran propias de mi cargo, si no dentro del proceso de liquidación correspondiente. Siendo evidente que no incurrí en acciones ni en decisiones arbitrarias fuera del alcance de mis competencias y facultades inherentes a mi cargo en ese momento.</w:t>
      </w:r>
    </w:p>
    <w:p w14:paraId="65C37C5C" w14:textId="77777777" w:rsidR="00053D93" w:rsidRDefault="00260B75">
      <w:pPr>
        <w:spacing w:after="4" w:line="269" w:lineRule="auto"/>
        <w:ind w:left="130" w:right="14" w:firstLine="1598"/>
        <w:jc w:val="both"/>
      </w:pPr>
      <w:r>
        <w:rPr>
          <w:sz w:val="26"/>
        </w:rPr>
        <w:t>Cabe considerar que el criterio utilizado por los honorables señores auditores no 1 consideró los aspectos materiales como lo son que, las especificaciones y contrato administrativo respectivo contemplan la condición o posibilidad de tomar la decisión de autorizar cambios, ello, por parte de la unidad ejecutora, la cual</w:t>
      </w:r>
    </w:p>
    <w:p w14:paraId="1786CA3D" w14:textId="77777777" w:rsidR="00053D93" w:rsidRDefault="00260B75">
      <w:pPr>
        <w:spacing w:after="48"/>
        <w:ind w:left="1706"/>
      </w:pPr>
      <w:r>
        <w:rPr>
          <w:noProof/>
        </w:rPr>
        <mc:AlternateContent>
          <mc:Choice Requires="wpg">
            <w:drawing>
              <wp:inline distT="0" distB="0" distL="0" distR="0" wp14:anchorId="071C24E0" wp14:editId="5DBF5747">
                <wp:extent cx="5385816" cy="18288"/>
                <wp:effectExtent l="0" t="0" r="0" b="0"/>
                <wp:docPr id="2458699" name="Group 2458699"/>
                <wp:cNvGraphicFramePr/>
                <a:graphic xmlns:a="http://schemas.openxmlformats.org/drawingml/2006/main">
                  <a:graphicData uri="http://schemas.microsoft.com/office/word/2010/wordprocessingGroup">
                    <wpg:wgp>
                      <wpg:cNvGrpSpPr/>
                      <wpg:grpSpPr>
                        <a:xfrm>
                          <a:off x="0" y="0"/>
                          <a:ext cx="5385816" cy="18288"/>
                          <a:chOff x="0" y="0"/>
                          <a:chExt cx="5385816" cy="18288"/>
                        </a:xfrm>
                      </wpg:grpSpPr>
                      <wps:wsp>
                        <wps:cNvPr id="2458698" name="Shape 2458698"/>
                        <wps:cNvSpPr/>
                        <wps:spPr>
                          <a:xfrm>
                            <a:off x="0" y="0"/>
                            <a:ext cx="5385816" cy="18288"/>
                          </a:xfrm>
                          <a:custGeom>
                            <a:avLst/>
                            <a:gdLst/>
                            <a:ahLst/>
                            <a:cxnLst/>
                            <a:rect l="0" t="0" r="0" b="0"/>
                            <a:pathLst>
                              <a:path w="5385816" h="18288">
                                <a:moveTo>
                                  <a:pt x="0" y="9144"/>
                                </a:moveTo>
                                <a:lnTo>
                                  <a:pt x="538581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699" style="width:424.08pt;height:1.44pt;mso-position-horizontal-relative:char;mso-position-vertical-relative:line" coordsize="53858,182">
                <v:shape id="Shape 2458698" style="position:absolute;width:53858;height:182;left:0;top:0;" coordsize="5385816,18288" path="m0,9144l5385816,9144">
                  <v:stroke weight="1.44pt" endcap="flat" joinstyle="miter" miterlimit="1" on="true" color="#000000"/>
                  <v:fill on="false" color="#000000"/>
                </v:shape>
              </v:group>
            </w:pict>
          </mc:Fallback>
        </mc:AlternateContent>
      </w:r>
    </w:p>
    <w:p w14:paraId="29094075" w14:textId="77777777" w:rsidR="00053D93" w:rsidRDefault="00260B75">
      <w:pPr>
        <w:spacing w:after="12" w:line="250" w:lineRule="auto"/>
        <w:ind w:left="31" w:right="14" w:hanging="3"/>
        <w:jc w:val="both"/>
      </w:pPr>
      <w:r>
        <w:rPr>
          <w:sz w:val="26"/>
        </w:rPr>
        <w:t xml:space="preserve">1 únicamente podría tomar decisiones por medio de actos administrativos realizador por el Director General en funciones, investido de la representación legal de la 1 entidad. Por lo cual el criterio y condición planteados son improcedentes, además mencionar el término abuso de autoridad, es grave, atentando contra la idoneidad de mi persona, sin que se haya determinado o declarado legal y judicialmente por órgano competente, por ello, el posible hallazgo es no solo improcedente, sino que además excede el ámbito administrativo, declarando y determinando otras 1 posibles responsabilidades sin agotar el debido proceso y posiblemente vulnerándose el derecho de defensa y debido proceso que constitucionalmente </w:t>
      </w:r>
      <w:r>
        <w:rPr>
          <w:noProof/>
        </w:rPr>
        <w:drawing>
          <wp:inline distT="0" distB="0" distL="0" distR="0" wp14:anchorId="10841796" wp14:editId="36899256">
            <wp:extent cx="4572" cy="4572"/>
            <wp:effectExtent l="0" t="0" r="0" b="0"/>
            <wp:docPr id="931604" name="Picture 931604"/>
            <wp:cNvGraphicFramePr/>
            <a:graphic xmlns:a="http://schemas.openxmlformats.org/drawingml/2006/main">
              <a:graphicData uri="http://schemas.openxmlformats.org/drawingml/2006/picture">
                <pic:pic xmlns:pic="http://schemas.openxmlformats.org/drawingml/2006/picture">
                  <pic:nvPicPr>
                    <pic:cNvPr id="931604" name="Picture 931604"/>
                    <pic:cNvPicPr/>
                  </pic:nvPicPr>
                  <pic:blipFill>
                    <a:blip r:embed="rId1281"/>
                    <a:stretch>
                      <a:fillRect/>
                    </a:stretch>
                  </pic:blipFill>
                  <pic:spPr>
                    <a:xfrm>
                      <a:off x="0" y="0"/>
                      <a:ext cx="4572" cy="4572"/>
                    </a:xfrm>
                    <a:prstGeom prst="rect">
                      <a:avLst/>
                    </a:prstGeom>
                  </pic:spPr>
                </pic:pic>
              </a:graphicData>
            </a:graphic>
          </wp:inline>
        </w:drawing>
      </w:r>
      <w:r>
        <w:rPr>
          <w:sz w:val="26"/>
        </w:rPr>
        <w:t>1</w:t>
      </w:r>
    </w:p>
    <w:tbl>
      <w:tblPr>
        <w:tblStyle w:val="TableGrid"/>
        <w:tblpPr w:vertAnchor="page" w:horzAnchor="page" w:tblpX="2898" w:tblpY="14659"/>
        <w:tblOverlap w:val="never"/>
        <w:tblW w:w="7657" w:type="dxa"/>
        <w:tblInd w:w="0" w:type="dxa"/>
        <w:tblCellMar>
          <w:top w:w="28" w:type="dxa"/>
          <w:left w:w="1775" w:type="dxa"/>
          <w:right w:w="115" w:type="dxa"/>
        </w:tblCellMar>
        <w:tblLook w:val="04A0" w:firstRow="1" w:lastRow="0" w:firstColumn="1" w:lastColumn="0" w:noHBand="0" w:noVBand="1"/>
      </w:tblPr>
      <w:tblGrid>
        <w:gridCol w:w="7657"/>
      </w:tblGrid>
      <w:tr w:rsidR="00053D93" w14:paraId="0019805B" w14:textId="77777777">
        <w:trPr>
          <w:trHeight w:val="612"/>
        </w:trPr>
        <w:tc>
          <w:tcPr>
            <w:tcW w:w="7657" w:type="dxa"/>
            <w:tcBorders>
              <w:top w:val="single" w:sz="2" w:space="0" w:color="000000"/>
              <w:left w:val="single" w:sz="2" w:space="0" w:color="000000"/>
              <w:bottom w:val="nil"/>
              <w:right w:val="nil"/>
            </w:tcBorders>
          </w:tcPr>
          <w:p w14:paraId="62FA881E" w14:textId="77777777" w:rsidR="00053D93" w:rsidRDefault="00260B75">
            <w:pPr>
              <w:ind w:left="828"/>
            </w:pPr>
            <w:r>
              <w:rPr>
                <w:sz w:val="14"/>
              </w:rPr>
              <w:t>MINISTERIO DE EDUCACION</w:t>
            </w:r>
          </w:p>
          <w:p w14:paraId="4044C8E8" w14:textId="77777777" w:rsidR="00053D93" w:rsidRDefault="00260B75">
            <w:pPr>
              <w:ind w:left="338"/>
            </w:pPr>
            <w:r>
              <w:rPr>
                <w:sz w:val="14"/>
              </w:rPr>
              <w:t>AUDITORIA FINANCIERA Y DE CUMPLIMIENTO</w:t>
            </w:r>
          </w:p>
          <w:p w14:paraId="29DC363D" w14:textId="77777777" w:rsidR="00053D93" w:rsidRDefault="00260B75">
            <w:r>
              <w:rPr>
                <w:sz w:val="14"/>
              </w:rPr>
              <w:t>PERIODO DEL 01 DE ENERO AL 31 DE DICIEMBRE OE 2024</w:t>
            </w:r>
          </w:p>
        </w:tc>
      </w:tr>
    </w:tbl>
    <w:p w14:paraId="6D5DCD64" w14:textId="77777777" w:rsidR="00053D93" w:rsidRDefault="00260B75">
      <w:pPr>
        <w:spacing w:after="12" w:line="250" w:lineRule="auto"/>
        <w:ind w:left="28" w:right="14" w:firstLine="1692"/>
        <w:jc w:val="both"/>
      </w:pPr>
      <w:r>
        <w:rPr>
          <w:noProof/>
        </w:rPr>
        <w:drawing>
          <wp:anchor distT="0" distB="0" distL="114300" distR="114300" simplePos="0" relativeHeight="252144640" behindDoc="0" locked="0" layoutInCell="1" allowOverlap="0" wp14:anchorId="56BFB399" wp14:editId="1359E3EE">
            <wp:simplePos x="0" y="0"/>
            <wp:positionH relativeFrom="page">
              <wp:posOffset>713232</wp:posOffset>
            </wp:positionH>
            <wp:positionV relativeFrom="page">
              <wp:posOffset>9290304</wp:posOffset>
            </wp:positionV>
            <wp:extent cx="1069848" cy="411480"/>
            <wp:effectExtent l="0" t="0" r="0" b="0"/>
            <wp:wrapTopAndBottom/>
            <wp:docPr id="931725" name="Picture 931725"/>
            <wp:cNvGraphicFramePr/>
            <a:graphic xmlns:a="http://schemas.openxmlformats.org/drawingml/2006/main">
              <a:graphicData uri="http://schemas.openxmlformats.org/drawingml/2006/picture">
                <pic:pic xmlns:pic="http://schemas.openxmlformats.org/drawingml/2006/picture">
                  <pic:nvPicPr>
                    <pic:cNvPr id="931725" name="Picture 931725"/>
                    <pic:cNvPicPr/>
                  </pic:nvPicPr>
                  <pic:blipFill>
                    <a:blip r:embed="rId1282"/>
                    <a:stretch>
                      <a:fillRect/>
                    </a:stretch>
                  </pic:blipFill>
                  <pic:spPr>
                    <a:xfrm>
                      <a:off x="0" y="0"/>
                      <a:ext cx="1069848" cy="411480"/>
                    </a:xfrm>
                    <a:prstGeom prst="rect">
                      <a:avLst/>
                    </a:prstGeom>
                  </pic:spPr>
                </pic:pic>
              </a:graphicData>
            </a:graphic>
          </wp:anchor>
        </w:drawing>
      </w:r>
      <w:r>
        <w:rPr>
          <w:sz w:val="26"/>
        </w:rPr>
        <w:t xml:space="preserve">El 6 de octubre de 1992, en la ciudad de Guatemala, se constituyó mediante un acta intergubernamental el Consejo del Istmo Centroamericano de Deportes y 1 Recreación -CODICADER-. Este consejo reúne a los organismos gubernamentales del deporte de los países del istmo centroamericano, con los 1 siguientes objetivos generales: a) Contribuir al fortalecimiento de la integración, la solidaridad y la paz entre los pueblos centroamericanos a través del deporte. b) Apoyar a los países miembros en ei desarrollo efectivo de sus organismos 1 deportivos estatales, garantizando la igualdad de oportunidades para la práctica y recreación deportiva de la población. c) Promover iniciativas orientadas a mejorar la calidad de las actividades deportivas y a incrementar de manera significativa el </w:t>
      </w:r>
      <w:r>
        <w:rPr>
          <w:noProof/>
        </w:rPr>
        <w:drawing>
          <wp:inline distT="0" distB="0" distL="0" distR="0" wp14:anchorId="7A89D1C9" wp14:editId="1442124B">
            <wp:extent cx="9144" cy="9144"/>
            <wp:effectExtent l="0" t="0" r="0" b="0"/>
            <wp:docPr id="931605" name="Picture 931605"/>
            <wp:cNvGraphicFramePr/>
            <a:graphic xmlns:a="http://schemas.openxmlformats.org/drawingml/2006/main">
              <a:graphicData uri="http://schemas.openxmlformats.org/drawingml/2006/picture">
                <pic:pic xmlns:pic="http://schemas.openxmlformats.org/drawingml/2006/picture">
                  <pic:nvPicPr>
                    <pic:cNvPr id="931605" name="Picture 931605"/>
                    <pic:cNvPicPr/>
                  </pic:nvPicPr>
                  <pic:blipFill>
                    <a:blip r:embed="rId1283"/>
                    <a:stretch>
                      <a:fillRect/>
                    </a:stretch>
                  </pic:blipFill>
                  <pic:spPr>
                    <a:xfrm>
                      <a:off x="0" y="0"/>
                      <a:ext cx="9144" cy="9144"/>
                    </a:xfrm>
                    <a:prstGeom prst="rect">
                      <a:avLst/>
                    </a:prstGeom>
                  </pic:spPr>
                </pic:pic>
              </a:graphicData>
            </a:graphic>
          </wp:inline>
        </w:drawing>
      </w:r>
      <w:r>
        <w:rPr>
          <w:sz w:val="26"/>
        </w:rPr>
        <w:t>1 número de practicantes. d) Fomentar la práctica deportiva como un instrumento esencial para la construcción y el mantenimiento de la paz. e) Impulsar la 1 formulación y ejecución de programas de cooperación horizontal entre los Estados</w:t>
      </w:r>
    </w:p>
    <w:p w14:paraId="429D6738" w14:textId="77777777" w:rsidR="00053D93" w:rsidRDefault="00260B75">
      <w:pPr>
        <w:spacing w:after="24"/>
        <w:ind w:left="50"/>
      </w:pPr>
      <w:r>
        <w:rPr>
          <w:noProof/>
        </w:rPr>
        <w:drawing>
          <wp:inline distT="0" distB="0" distL="0" distR="0" wp14:anchorId="45C48DE7" wp14:editId="2084BBC6">
            <wp:extent cx="13716" cy="4572"/>
            <wp:effectExtent l="0" t="0" r="0" b="0"/>
            <wp:docPr id="931606" name="Picture 931606"/>
            <wp:cNvGraphicFramePr/>
            <a:graphic xmlns:a="http://schemas.openxmlformats.org/drawingml/2006/main">
              <a:graphicData uri="http://schemas.openxmlformats.org/drawingml/2006/picture">
                <pic:pic xmlns:pic="http://schemas.openxmlformats.org/drawingml/2006/picture">
                  <pic:nvPicPr>
                    <pic:cNvPr id="931606" name="Picture 931606"/>
                    <pic:cNvPicPr/>
                  </pic:nvPicPr>
                  <pic:blipFill>
                    <a:blip r:embed="rId1284"/>
                    <a:stretch>
                      <a:fillRect/>
                    </a:stretch>
                  </pic:blipFill>
                  <pic:spPr>
                    <a:xfrm>
                      <a:off x="0" y="0"/>
                      <a:ext cx="13716" cy="4572"/>
                    </a:xfrm>
                    <a:prstGeom prst="rect">
                      <a:avLst/>
                    </a:prstGeom>
                  </pic:spPr>
                </pic:pic>
              </a:graphicData>
            </a:graphic>
          </wp:inline>
        </w:drawing>
      </w:r>
    </w:p>
    <w:p w14:paraId="2B8DBA91" w14:textId="77777777" w:rsidR="00053D93" w:rsidRDefault="00260B75">
      <w:pPr>
        <w:spacing w:after="190" w:line="250" w:lineRule="auto"/>
        <w:ind w:left="101" w:right="14" w:firstLine="1634"/>
        <w:jc w:val="both"/>
      </w:pPr>
      <w:r>
        <w:rPr>
          <w:sz w:val="26"/>
        </w:rPr>
        <w:t>Miembros, así como con otros países y organismos deportivos o de cooperación internacional. La participación de la Delegación Deportiva Escolar de Guatemala 1 en fos Juegos Deportivos Estudiantiles del CODICADER tiene como objetivo principal dar cumplimiento a los lineamientos establecidos por el Comité Directivo de dicho consejo en materia de deporte escolar en la región centroamericana.</w:t>
      </w:r>
    </w:p>
    <w:p w14:paraId="773B23BD" w14:textId="77777777" w:rsidR="00053D93" w:rsidRDefault="00260B75">
      <w:pPr>
        <w:spacing w:after="444" w:line="370" w:lineRule="auto"/>
        <w:ind w:left="1735" w:right="14" w:hanging="1627"/>
        <w:jc w:val="both"/>
      </w:pPr>
      <w:r>
        <w:rPr>
          <w:sz w:val="26"/>
        </w:rPr>
        <w:t>1 Asimismo, se enmarca en lo estipulado en el artículo 42 del Decreto 76-97, Ley para el Desarrollo de la Cultura Física y el Deporte.</w:t>
      </w:r>
    </w:p>
    <w:p w14:paraId="32D70C69" w14:textId="77777777" w:rsidR="00053D93" w:rsidRDefault="00260B75">
      <w:pPr>
        <w:spacing w:after="39" w:line="250" w:lineRule="auto"/>
        <w:ind w:left="125" w:right="14" w:hanging="3"/>
        <w:jc w:val="both"/>
      </w:pPr>
      <w:r>
        <w:rPr>
          <w:sz w:val="26"/>
        </w:rPr>
        <w:t>1 Las selecciones deportivas escolares que representan a Guatemala en estos juegos son clasificadas a través de los Juegos Deportivos Escolares Nacionales, 1 organizados por la Dirección General de Educación Física. Este proceso constituye un requisito indispensable para la participación en los Juegos del CODICADER. Estos juegos representan una competencia clave para el desarrollo 1 deportivo de los atletas escolares, y constituyen una plataforma estratégica dentro de la estructura deportiva nacional para su proyección hacia el alto rendimiento.</w:t>
      </w:r>
    </w:p>
    <w:p w14:paraId="7F03F0A2" w14:textId="77777777" w:rsidR="00053D93" w:rsidRDefault="00260B75">
      <w:pPr>
        <w:spacing w:after="12" w:line="337" w:lineRule="auto"/>
        <w:ind w:left="1742" w:right="14" w:hanging="1591"/>
        <w:jc w:val="both"/>
      </w:pPr>
      <w:r>
        <w:rPr>
          <w:sz w:val="26"/>
        </w:rPr>
        <w:t>1 Además, permiten el intercambio con atletas escolares de toda Centroamérica, promoviendo valores fundamentales como la integración, [a solidaridad y [a paz, en concordancia con los principios del CODICADER.</w:t>
      </w:r>
    </w:p>
    <w:p w14:paraId="5533648C" w14:textId="77777777" w:rsidR="00053D93" w:rsidRDefault="00053D93">
      <w:pPr>
        <w:sectPr w:rsidR="00053D93">
          <w:headerReference w:type="even" r:id="rId1285"/>
          <w:headerReference w:type="default" r:id="rId1286"/>
          <w:footerReference w:type="even" r:id="rId1287"/>
          <w:footerReference w:type="default" r:id="rId1288"/>
          <w:headerReference w:type="first" r:id="rId1289"/>
          <w:footerReference w:type="first" r:id="rId1290"/>
          <w:pgSz w:w="12290" w:h="15883"/>
          <w:pgMar w:top="396" w:right="1735" w:bottom="590" w:left="331" w:header="662" w:footer="720" w:gutter="0"/>
          <w:cols w:space="720"/>
          <w:titlePg/>
        </w:sectPr>
      </w:pPr>
    </w:p>
    <w:p w14:paraId="2FA525B4" w14:textId="77777777" w:rsidR="00053D93" w:rsidRDefault="00260B75">
      <w:pPr>
        <w:spacing w:after="38"/>
        <w:ind w:left="1426"/>
      </w:pPr>
      <w:r>
        <w:rPr>
          <w:noProof/>
        </w:rPr>
        <mc:AlternateContent>
          <mc:Choice Requires="wpg">
            <w:drawing>
              <wp:inline distT="0" distB="0" distL="0" distR="0" wp14:anchorId="1F246124" wp14:editId="51AF5D1F">
                <wp:extent cx="5564125" cy="13716"/>
                <wp:effectExtent l="0" t="0" r="0" b="0"/>
                <wp:docPr id="2458701" name="Group 2458701"/>
                <wp:cNvGraphicFramePr/>
                <a:graphic xmlns:a="http://schemas.openxmlformats.org/drawingml/2006/main">
                  <a:graphicData uri="http://schemas.microsoft.com/office/word/2010/wordprocessingGroup">
                    <wpg:wgp>
                      <wpg:cNvGrpSpPr/>
                      <wpg:grpSpPr>
                        <a:xfrm>
                          <a:off x="0" y="0"/>
                          <a:ext cx="5564125" cy="13716"/>
                          <a:chOff x="0" y="0"/>
                          <a:chExt cx="5564125" cy="13716"/>
                        </a:xfrm>
                      </wpg:grpSpPr>
                      <wps:wsp>
                        <wps:cNvPr id="2458700" name="Shape 2458700"/>
                        <wps:cNvSpPr/>
                        <wps:spPr>
                          <a:xfrm>
                            <a:off x="0" y="0"/>
                            <a:ext cx="5564125" cy="13716"/>
                          </a:xfrm>
                          <a:custGeom>
                            <a:avLst/>
                            <a:gdLst/>
                            <a:ahLst/>
                            <a:cxnLst/>
                            <a:rect l="0" t="0" r="0" b="0"/>
                            <a:pathLst>
                              <a:path w="5564125" h="13716">
                                <a:moveTo>
                                  <a:pt x="0" y="6858"/>
                                </a:moveTo>
                                <a:lnTo>
                                  <a:pt x="5564125"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701" style="width:438.12pt;height:1.07999pt;mso-position-horizontal-relative:char;mso-position-vertical-relative:line" coordsize="55641,137">
                <v:shape id="Shape 2458700" style="position:absolute;width:55641;height:137;left:0;top:0;" coordsize="5564125,13716" path="m0,6858l5564125,6858">
                  <v:stroke weight="1.07999pt" endcap="flat" joinstyle="miter" miterlimit="1" on="true" color="#000000"/>
                  <v:fill on="false" color="#000000"/>
                </v:shape>
              </v:group>
            </w:pict>
          </mc:Fallback>
        </mc:AlternateContent>
      </w:r>
    </w:p>
    <w:p w14:paraId="6DA431DF" w14:textId="77777777" w:rsidR="00053D93" w:rsidRDefault="00260B75">
      <w:pPr>
        <w:spacing w:after="126" w:line="250" w:lineRule="auto"/>
        <w:ind w:left="31" w:right="14" w:hanging="3"/>
        <w:jc w:val="both"/>
      </w:pPr>
      <w:r>
        <w:rPr>
          <w:sz w:val="26"/>
        </w:rPr>
        <w:t xml:space="preserve">1 De acuerdo a la breve explicación sobre la importancia de la participación de los niños, niñas con discapacidad La Dirección General de Educación Física por años 1 lleva a cabo eventos de Juegos Deportivos Escolares Nacionales y Juegos Deportivos Escolares Regionales derivado a las clasificaciones que se obtienen de lo anterior de ese resultado es donde se hace una selección, preparación y 1 competitividad deportiva de estos procesos deportivos para dar cumplimiento a lo que es la razón de ser de la Unidad Ejecutora 109 conforme al Decreto 76-97 Ley Nacional para el Desarrollo de la Cultura Física y el Deporte. Es por ello que cuando se lleva a cabo un Evento dependiendo su modalidad de compra en el caso específico de boletos aéreos la cantidad de participantes puede variar y cabe 1 mencionar que este evento inicio su proceso en el año 2024 y la cantidad de participantes es estimada por que con un año de anticipación no se tiene específica la cantidad de participantes que viajaran al exterior, es importante </w:t>
      </w:r>
      <w:r>
        <w:rPr>
          <w:noProof/>
        </w:rPr>
        <w:drawing>
          <wp:inline distT="0" distB="0" distL="0" distR="0" wp14:anchorId="4F944D32" wp14:editId="07625654">
            <wp:extent cx="9144" cy="18288"/>
            <wp:effectExtent l="0" t="0" r="0" b="0"/>
            <wp:docPr id="935591" name="Picture 935591"/>
            <wp:cNvGraphicFramePr/>
            <a:graphic xmlns:a="http://schemas.openxmlformats.org/drawingml/2006/main">
              <a:graphicData uri="http://schemas.openxmlformats.org/drawingml/2006/picture">
                <pic:pic xmlns:pic="http://schemas.openxmlformats.org/drawingml/2006/picture">
                  <pic:nvPicPr>
                    <pic:cNvPr id="935591" name="Picture 935591"/>
                    <pic:cNvPicPr/>
                  </pic:nvPicPr>
                  <pic:blipFill>
                    <a:blip r:embed="rId1291"/>
                    <a:stretch>
                      <a:fillRect/>
                    </a:stretch>
                  </pic:blipFill>
                  <pic:spPr>
                    <a:xfrm>
                      <a:off x="0" y="0"/>
                      <a:ext cx="9144" cy="18288"/>
                    </a:xfrm>
                    <a:prstGeom prst="rect">
                      <a:avLst/>
                    </a:prstGeom>
                  </pic:spPr>
                </pic:pic>
              </a:graphicData>
            </a:graphic>
          </wp:inline>
        </w:drawing>
      </w:r>
      <w:r>
        <w:rPr>
          <w:sz w:val="26"/>
        </w:rPr>
        <w:t>1 mencionar que el suscrito le dio continuidad a un evento de vital importancia para niños con discapacidad y que las bases y especificaciones técnicas ya habían sido dadas, elevadas a Guatecompras antes de ser nombrado Director General en 1 Funciones. Por lo anterior, es pertinente solicitar dejar sin efecto el posible hallazgo considerando no solo mis argumentos, si no los elementos fácticos y 1 legales del presente expediente administrativo.</w:t>
      </w:r>
    </w:p>
    <w:p w14:paraId="4F1A1CCA" w14:textId="77777777" w:rsidR="00053D93" w:rsidRDefault="00260B75">
      <w:pPr>
        <w:spacing w:after="12" w:line="250" w:lineRule="auto"/>
        <w:ind w:left="28" w:right="14" w:firstLine="1649"/>
        <w:jc w:val="both"/>
      </w:pPr>
      <w:r>
        <w:rPr>
          <w:noProof/>
        </w:rPr>
        <w:drawing>
          <wp:anchor distT="0" distB="0" distL="114300" distR="114300" simplePos="0" relativeHeight="252145664" behindDoc="0" locked="0" layoutInCell="1" allowOverlap="0" wp14:anchorId="62967BDA" wp14:editId="421A41E5">
            <wp:simplePos x="0" y="0"/>
            <wp:positionH relativeFrom="page">
              <wp:posOffset>137160</wp:posOffset>
            </wp:positionH>
            <wp:positionV relativeFrom="page">
              <wp:posOffset>864108</wp:posOffset>
            </wp:positionV>
            <wp:extent cx="50292" cy="9144"/>
            <wp:effectExtent l="0" t="0" r="0" b="0"/>
            <wp:wrapTopAndBottom/>
            <wp:docPr id="935590" name="Picture 935590"/>
            <wp:cNvGraphicFramePr/>
            <a:graphic xmlns:a="http://schemas.openxmlformats.org/drawingml/2006/main">
              <a:graphicData uri="http://schemas.openxmlformats.org/drawingml/2006/picture">
                <pic:pic xmlns:pic="http://schemas.openxmlformats.org/drawingml/2006/picture">
                  <pic:nvPicPr>
                    <pic:cNvPr id="935590" name="Picture 935590"/>
                    <pic:cNvPicPr/>
                  </pic:nvPicPr>
                  <pic:blipFill>
                    <a:blip r:embed="rId1292"/>
                    <a:stretch>
                      <a:fillRect/>
                    </a:stretch>
                  </pic:blipFill>
                  <pic:spPr>
                    <a:xfrm>
                      <a:off x="0" y="0"/>
                      <a:ext cx="50292" cy="9144"/>
                    </a:xfrm>
                    <a:prstGeom prst="rect">
                      <a:avLst/>
                    </a:prstGeom>
                  </pic:spPr>
                </pic:pic>
              </a:graphicData>
            </a:graphic>
          </wp:anchor>
        </w:drawing>
      </w:r>
      <w:r>
        <w:rPr>
          <w:sz w:val="26"/>
        </w:rPr>
        <w:t>SEGUNDO ENUNCIADO SEÑALADO POR LOS RESPETABLES AUDITORES GUBERNAMENTALES. "Es importante mencionar que, derivado de la disminución en la cantidad de boletos aéreos adquiridos, el Director General en Funciones de la Dirección General de Educación Física -DIGEF-, realizó un acto arbitrario en 1 perjuicio de la DIGEF, al autorizar viáticos al exterior a 15 empleados de la DIGEF,</w:t>
      </w:r>
    </w:p>
    <w:p w14:paraId="37CF5710" w14:textId="77777777" w:rsidR="00053D93" w:rsidRDefault="00260B75">
      <w:pPr>
        <w:spacing w:after="229" w:line="250" w:lineRule="auto"/>
        <w:ind w:left="108" w:right="14" w:firstLine="1642"/>
        <w:jc w:val="both"/>
      </w:pPr>
      <w:r>
        <w:rPr>
          <w:sz w:val="26"/>
        </w:rPr>
        <w:t>(01 1 Personal permanente), por la cantidad total de Q127 ,061.19, mediante el 1 CUR No. 5582 del 12 de diciembre de 2024, con cargo en el renglón presupuestario 133 Viáticos en el exterior; para que participaran en el evento, los cuales fueron adquiridos mediante la entidad LAX TRAVEL, S.A., viajando incluso 1 en las fechas planificadas para el evento, a pesar de que dicha entidad había indicado mediante oficio sin número, del 1 1 de noviembre de 2024, que no había sido posible adquirir la totalidad de los boletos aéreos, debido a la falta de 1 disponibilidad dentro de la aerolínea; además, dichos boletos aéreos tienen fecha de emisión el 1 1 de noviembre de 2024"...</w:t>
      </w:r>
    </w:p>
    <w:p w14:paraId="284BC6F2" w14:textId="77777777" w:rsidR="00053D93" w:rsidRDefault="00260B75">
      <w:pPr>
        <w:spacing w:after="0"/>
        <w:ind w:left="147" w:right="22" w:hanging="10"/>
      </w:pPr>
      <w:r>
        <w:rPr>
          <w:sz w:val="70"/>
        </w:rPr>
        <w:t>1</w:t>
      </w:r>
    </w:p>
    <w:p w14:paraId="7E1C0C59" w14:textId="77777777" w:rsidR="00053D93" w:rsidRDefault="00260B75">
      <w:pPr>
        <w:spacing w:after="172" w:line="250" w:lineRule="auto"/>
        <w:ind w:left="1745" w:right="14" w:hanging="3"/>
        <w:jc w:val="both"/>
      </w:pPr>
      <w:r>
        <w:rPr>
          <w:sz w:val="26"/>
        </w:rPr>
        <w:t>2. Defensa al Segundo enunciado: Acuerdo Gubernativo 106-2016, Reglamento General de viáticos y Gastos conexos... ARTÍCULO 2. GASTOS DE VIÁTICOS.</w:t>
      </w:r>
    </w:p>
    <w:p w14:paraId="1512BBC1" w14:textId="77777777" w:rsidR="00053D93" w:rsidRDefault="00260B75">
      <w:pPr>
        <w:spacing w:after="12" w:line="250" w:lineRule="auto"/>
        <w:ind w:left="154" w:right="14" w:hanging="3"/>
        <w:jc w:val="both"/>
      </w:pPr>
      <w:r>
        <w:rPr>
          <w:sz w:val="26"/>
        </w:rPr>
        <w:t>1 Son gastos de viáticos, las asignaciones destinadas a cubrir los desembolsos por hospedaje, alimentación y otros gastos conexos, en que se incurre, para el cumplimiento de comisiones oficiales, fuera del lugar ordinario de trabajo, en el 1 interior 0 exterior del pars. ARTfCULO 3. OTROS GASTOS CONEXOS. se entiende por otros gastos conexos, los que en cumplimiento de comisiones oficiales se ocasionan por concepto de: a) pasajes; b) Transporte de equipo de</w:t>
      </w:r>
    </w:p>
    <w:p w14:paraId="0AB993B0" w14:textId="77777777" w:rsidR="00053D93" w:rsidRDefault="00053D93">
      <w:pPr>
        <w:sectPr w:rsidR="00053D93">
          <w:headerReference w:type="even" r:id="rId1293"/>
          <w:headerReference w:type="default" r:id="rId1294"/>
          <w:footerReference w:type="even" r:id="rId1295"/>
          <w:footerReference w:type="default" r:id="rId1296"/>
          <w:headerReference w:type="first" r:id="rId1297"/>
          <w:footerReference w:type="first" r:id="rId1298"/>
          <w:pgSz w:w="12290" w:h="15883"/>
          <w:pgMar w:top="1246" w:right="1757" w:bottom="662" w:left="324" w:header="662" w:footer="720" w:gutter="0"/>
          <w:cols w:space="720"/>
          <w:titlePg/>
        </w:sectPr>
      </w:pPr>
    </w:p>
    <w:tbl>
      <w:tblPr>
        <w:tblStyle w:val="TableGrid"/>
        <w:tblpPr w:vertAnchor="text" w:tblpX="2624" w:tblpY="26"/>
        <w:tblOverlap w:val="never"/>
        <w:tblW w:w="7636" w:type="dxa"/>
        <w:tblInd w:w="0" w:type="dxa"/>
        <w:tblCellMar>
          <w:top w:w="44" w:type="dxa"/>
          <w:left w:w="1747" w:type="dxa"/>
          <w:right w:w="115" w:type="dxa"/>
        </w:tblCellMar>
        <w:tblLook w:val="04A0" w:firstRow="1" w:lastRow="0" w:firstColumn="1" w:lastColumn="0" w:noHBand="0" w:noVBand="1"/>
      </w:tblPr>
      <w:tblGrid>
        <w:gridCol w:w="7636"/>
      </w:tblGrid>
      <w:tr w:rsidR="00053D93" w14:paraId="1349AE12" w14:textId="77777777">
        <w:trPr>
          <w:trHeight w:val="615"/>
        </w:trPr>
        <w:tc>
          <w:tcPr>
            <w:tcW w:w="7636" w:type="dxa"/>
            <w:tcBorders>
              <w:top w:val="single" w:sz="2" w:space="0" w:color="000000"/>
              <w:left w:val="single" w:sz="2" w:space="0" w:color="000000"/>
              <w:bottom w:val="nil"/>
              <w:right w:val="nil"/>
            </w:tcBorders>
          </w:tcPr>
          <w:p w14:paraId="0C637FBD" w14:textId="77777777" w:rsidR="00053D93" w:rsidRDefault="00260B75">
            <w:pPr>
              <w:spacing w:after="15"/>
              <w:ind w:left="842"/>
            </w:pPr>
            <w:r>
              <w:rPr>
                <w:sz w:val="14"/>
              </w:rPr>
              <w:t>MINISTERIO DE Y EDUCACION</w:t>
            </w:r>
          </w:p>
          <w:p w14:paraId="60281CFF" w14:textId="77777777" w:rsidR="00053D93" w:rsidRDefault="00260B75">
            <w:pPr>
              <w:ind w:left="338"/>
            </w:pPr>
            <w:r>
              <w:rPr>
                <w:sz w:val="14"/>
              </w:rPr>
              <w:t>AUDITORIA FINANCIERA DE CUMPLIMIENTO</w:t>
            </w:r>
          </w:p>
          <w:p w14:paraId="7DED4A56" w14:textId="77777777" w:rsidR="00053D93" w:rsidRDefault="00260B75">
            <w:r>
              <w:rPr>
                <w:sz w:val="14"/>
              </w:rPr>
              <w:t>PERIODO DEL 01 DE ENERO AL 31 DE DICIEMBRE OE 2024</w:t>
            </w:r>
          </w:p>
        </w:tc>
      </w:tr>
    </w:tbl>
    <w:p w14:paraId="0CA7A084" w14:textId="77777777" w:rsidR="00053D93" w:rsidRDefault="00260B75">
      <w:pPr>
        <w:pStyle w:val="Ttulo2"/>
        <w:ind w:left="824" w:right="0"/>
      </w:pPr>
      <w:r>
        <w:t xml:space="preserve">III </w:t>
      </w:r>
      <w:r>
        <w:rPr>
          <w:noProof/>
        </w:rPr>
        <w:drawing>
          <wp:inline distT="0" distB="0" distL="0" distR="0" wp14:anchorId="045ED705" wp14:editId="456B92B7">
            <wp:extent cx="868680" cy="411480"/>
            <wp:effectExtent l="0" t="0" r="0" b="0"/>
            <wp:docPr id="935635" name="Picture 935635"/>
            <wp:cNvGraphicFramePr/>
            <a:graphic xmlns:a="http://schemas.openxmlformats.org/drawingml/2006/main">
              <a:graphicData uri="http://schemas.openxmlformats.org/drawingml/2006/picture">
                <pic:pic xmlns:pic="http://schemas.openxmlformats.org/drawingml/2006/picture">
                  <pic:nvPicPr>
                    <pic:cNvPr id="935635" name="Picture 935635"/>
                    <pic:cNvPicPr/>
                  </pic:nvPicPr>
                  <pic:blipFill>
                    <a:blip r:embed="rId1299"/>
                    <a:stretch>
                      <a:fillRect/>
                    </a:stretch>
                  </pic:blipFill>
                  <pic:spPr>
                    <a:xfrm>
                      <a:off x="0" y="0"/>
                      <a:ext cx="868680" cy="411480"/>
                    </a:xfrm>
                    <a:prstGeom prst="rect">
                      <a:avLst/>
                    </a:prstGeom>
                  </pic:spPr>
                </pic:pic>
              </a:graphicData>
            </a:graphic>
          </wp:inline>
        </w:drawing>
      </w:r>
      <w:r>
        <w:t>II</w:t>
      </w:r>
    </w:p>
    <w:p w14:paraId="15C58F5E" w14:textId="77777777" w:rsidR="00053D93" w:rsidRDefault="00260B75">
      <w:pPr>
        <w:spacing w:after="3" w:line="265" w:lineRule="auto"/>
        <w:ind w:left="60" w:right="65" w:hanging="10"/>
      </w:pPr>
      <w:r>
        <w:rPr>
          <w:sz w:val="66"/>
        </w:rPr>
        <w:t>1</w:t>
      </w:r>
    </w:p>
    <w:p w14:paraId="5719D174" w14:textId="77777777" w:rsidR="00053D93" w:rsidRDefault="00260B75">
      <w:pPr>
        <w:spacing w:after="44"/>
        <w:ind w:left="792"/>
      </w:pPr>
      <w:r>
        <w:rPr>
          <w:noProof/>
        </w:rPr>
        <mc:AlternateContent>
          <mc:Choice Requires="wpg">
            <w:drawing>
              <wp:inline distT="0" distB="0" distL="0" distR="0" wp14:anchorId="4AE83D4A" wp14:editId="4A840C4F">
                <wp:extent cx="5971032" cy="13716"/>
                <wp:effectExtent l="0" t="0" r="0" b="0"/>
                <wp:docPr id="2458703" name="Group 2458703"/>
                <wp:cNvGraphicFramePr/>
                <a:graphic xmlns:a="http://schemas.openxmlformats.org/drawingml/2006/main">
                  <a:graphicData uri="http://schemas.microsoft.com/office/word/2010/wordprocessingGroup">
                    <wpg:wgp>
                      <wpg:cNvGrpSpPr/>
                      <wpg:grpSpPr>
                        <a:xfrm>
                          <a:off x="0" y="0"/>
                          <a:ext cx="5971032" cy="13716"/>
                          <a:chOff x="0" y="0"/>
                          <a:chExt cx="5971032" cy="13716"/>
                        </a:xfrm>
                      </wpg:grpSpPr>
                      <wps:wsp>
                        <wps:cNvPr id="2458702" name="Shape 2458702"/>
                        <wps:cNvSpPr/>
                        <wps:spPr>
                          <a:xfrm>
                            <a:off x="0" y="0"/>
                            <a:ext cx="5971032" cy="13716"/>
                          </a:xfrm>
                          <a:custGeom>
                            <a:avLst/>
                            <a:gdLst/>
                            <a:ahLst/>
                            <a:cxnLst/>
                            <a:rect l="0" t="0" r="0" b="0"/>
                            <a:pathLst>
                              <a:path w="5971032" h="13716">
                                <a:moveTo>
                                  <a:pt x="0" y="6858"/>
                                </a:moveTo>
                                <a:lnTo>
                                  <a:pt x="597103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703" style="width:470.16pt;height:1.08pt;mso-position-horizontal-relative:char;mso-position-vertical-relative:line" coordsize="59710,137">
                <v:shape id="Shape 2458702" style="position:absolute;width:59710;height:137;left:0;top:0;" coordsize="5971032,13716" path="m0,6858l5971032,6858">
                  <v:stroke weight="1.08pt" endcap="flat" joinstyle="miter" miterlimit="1" on="true" color="#000000"/>
                  <v:fill on="false" color="#000000"/>
                </v:shape>
              </v:group>
            </w:pict>
          </mc:Fallback>
        </mc:AlternateContent>
      </w:r>
    </w:p>
    <w:p w14:paraId="148533D9" w14:textId="77777777" w:rsidR="00053D93" w:rsidRDefault="00260B75">
      <w:pPr>
        <w:spacing w:after="109" w:line="269" w:lineRule="auto"/>
        <w:ind w:left="60" w:right="14" w:hanging="3"/>
        <w:jc w:val="both"/>
      </w:pPr>
      <w:r>
        <w:rPr>
          <w:sz w:val="26"/>
        </w:rPr>
        <w:t xml:space="preserve">1 trabajo; c) Reparación de vehículos del Estado, así como sus repuestos, combustibles y lubricantes. . Estos se reconocerán en casos debidamente 1 justificados y hasta por un máximo de quinientos quetzales (Q500,00); si fueren mayores de esa cantidad se debe obtener autorización, por la vía más rápida, de la autoridad que hubiere ordenado la comisión; d) Pago documentado de derecho </w:t>
      </w:r>
      <w:r>
        <w:rPr>
          <w:noProof/>
        </w:rPr>
        <mc:AlternateContent>
          <mc:Choice Requires="wpg">
            <w:drawing>
              <wp:inline distT="0" distB="0" distL="0" distR="0" wp14:anchorId="46D91707" wp14:editId="115549B4">
                <wp:extent cx="114300" cy="292608"/>
                <wp:effectExtent l="0" t="0" r="0" b="0"/>
                <wp:docPr id="2456794" name="Group 2456794"/>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936298" name="Rectangle 936298"/>
                        <wps:cNvSpPr/>
                        <wps:spPr>
                          <a:xfrm>
                            <a:off x="0" y="0"/>
                            <a:ext cx="152019" cy="389169"/>
                          </a:xfrm>
                          <a:prstGeom prst="rect">
                            <a:avLst/>
                          </a:prstGeom>
                          <a:ln>
                            <a:noFill/>
                          </a:ln>
                        </wps:spPr>
                        <wps:txbx>
                          <w:txbxContent>
                            <w:p w14:paraId="4975A67E"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46D91707" id="Group 2456794" o:spid="_x0000_s1532"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">
                <v:rect id="Rectangle 936298" o:spid="_x0000_s1533"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" filled="f" stroked="f">
                  <v:textbox inset="0,0,0,0">
                    <w:txbxContent>
                      <w:p w14:paraId="4975A67E" w14:textId="77777777" w:rsidR="00053D93" w:rsidRDefault="00260B75">
                        <w:r>
                          <w:rPr>
                            <w:sz w:val="66"/>
                          </w:rPr>
                          <w:t>1</w:t>
                        </w:r>
                      </w:p>
                    </w:txbxContent>
                  </v:textbox>
                </v:rect>
                <w10:anchorlock/>
              </v:group>
            </w:pict>
          </mc:Fallback>
        </mc:AlternateContent>
      </w:r>
      <w:r>
        <w:rPr>
          <w:sz w:val="26"/>
        </w:rPr>
        <w:t xml:space="preserve"> de salida tanto de Guatemala como de otros países; e) Gastos debidamente comprobados que se ocasionen por caso fortuito o fuerza mayor en el desempeño de comisiones en el interior o en el exterior del país. Estos gastos deben ser 1 aprobados por la autoridad máxima de la dependencia de que se trate.</w:t>
      </w:r>
    </w:p>
    <w:p w14:paraId="5522C41A" w14:textId="77777777" w:rsidR="00053D93" w:rsidRDefault="00260B75">
      <w:pPr>
        <w:spacing w:after="58" w:line="269" w:lineRule="auto"/>
        <w:ind w:left="60" w:right="14" w:hanging="3"/>
        <w:jc w:val="both"/>
      </w:pPr>
      <w:r>
        <w:rPr>
          <w:noProof/>
        </w:rPr>
        <w:drawing>
          <wp:anchor distT="0" distB="0" distL="114300" distR="114300" simplePos="0" relativeHeight="252146688" behindDoc="0" locked="0" layoutInCell="1" allowOverlap="0" wp14:anchorId="0FF92FEC" wp14:editId="65B026AE">
            <wp:simplePos x="0" y="0"/>
            <wp:positionH relativeFrom="column">
              <wp:posOffset>32004</wp:posOffset>
            </wp:positionH>
            <wp:positionV relativeFrom="paragraph">
              <wp:posOffset>1685169</wp:posOffset>
            </wp:positionV>
            <wp:extent cx="9144" cy="9144"/>
            <wp:effectExtent l="0" t="0" r="0" b="0"/>
            <wp:wrapSquare wrapText="bothSides"/>
            <wp:docPr id="939553" name="Picture 939553"/>
            <wp:cNvGraphicFramePr/>
            <a:graphic xmlns:a="http://schemas.openxmlformats.org/drawingml/2006/main">
              <a:graphicData uri="http://schemas.openxmlformats.org/drawingml/2006/picture">
                <pic:pic xmlns:pic="http://schemas.openxmlformats.org/drawingml/2006/picture">
                  <pic:nvPicPr>
                    <pic:cNvPr id="939553" name="Picture 939553"/>
                    <pic:cNvPicPr/>
                  </pic:nvPicPr>
                  <pic:blipFill>
                    <a:blip r:embed="rId1300"/>
                    <a:stretch>
                      <a:fillRect/>
                    </a:stretch>
                  </pic:blipFill>
                  <pic:spPr>
                    <a:xfrm>
                      <a:off x="0" y="0"/>
                      <a:ext cx="9144" cy="9144"/>
                    </a:xfrm>
                    <a:prstGeom prst="rect">
                      <a:avLst/>
                    </a:prstGeom>
                  </pic:spPr>
                </pic:pic>
              </a:graphicData>
            </a:graphic>
          </wp:anchor>
        </w:drawing>
      </w:r>
      <w:r>
        <w:rPr>
          <w:sz w:val="26"/>
        </w:rPr>
        <w:t xml:space="preserve">1 COMENTARIO: Como bien se describe en el articulo número dos y tres del citado acuerdo gubernativo que delimita y enmarca los gastos conexos susceptibles de ser ejecutados bajo este apartado y principalmente lo que dicta el artículo 3, en 1 sus literales a, b, c, d y e, se pueden considerar como gastos conexos los pasajes aéreos, transporte de equipo de trabajo, documento de derecho de salida tanto de Guatemala como de otros países y lo enunciado en el último párrafo en la literal 1 "e" donde se dicta que estos gastos deberán de ser aprobados por la máxima autoridad de la dependencia que se trate, que para el presente caso es el Director 1 en funciones de la dirección General de Educación Física -DIGEF-, por lo tanto no estoy de acuerdo con el señalamiento imputado hacia mi persona por los honorables auditores gubernamentales principalmente cuando se dice realizó un 1 acto arbitrario en perjuicio de la DIGEF, al autorizar viáticos al exterior a 15 empleados de la DIGEF, (011 Personal permanente), toda vez que Reglamento General de viáticos y Gastos conexos, lo contempla dentro del procedimiento, por </w:t>
      </w:r>
      <w:r>
        <w:rPr>
          <w:noProof/>
        </w:rPr>
        <w:drawing>
          <wp:inline distT="0" distB="0" distL="0" distR="0" wp14:anchorId="31C8D906" wp14:editId="013A7FAB">
            <wp:extent cx="18288" cy="9144"/>
            <wp:effectExtent l="0" t="0" r="0" b="0"/>
            <wp:docPr id="939554" name="Picture 939554"/>
            <wp:cNvGraphicFramePr/>
            <a:graphic xmlns:a="http://schemas.openxmlformats.org/drawingml/2006/main">
              <a:graphicData uri="http://schemas.openxmlformats.org/drawingml/2006/picture">
                <pic:pic xmlns:pic="http://schemas.openxmlformats.org/drawingml/2006/picture">
                  <pic:nvPicPr>
                    <pic:cNvPr id="939554" name="Picture 939554"/>
                    <pic:cNvPicPr/>
                  </pic:nvPicPr>
                  <pic:blipFill>
                    <a:blip r:embed="rId1301"/>
                    <a:stretch>
                      <a:fillRect/>
                    </a:stretch>
                  </pic:blipFill>
                  <pic:spPr>
                    <a:xfrm>
                      <a:off x="0" y="0"/>
                      <a:ext cx="18288" cy="9144"/>
                    </a:xfrm>
                    <a:prstGeom prst="rect">
                      <a:avLst/>
                    </a:prstGeom>
                  </pic:spPr>
                </pic:pic>
              </a:graphicData>
            </a:graphic>
          </wp:inline>
        </w:drawing>
      </w:r>
      <w:r>
        <w:rPr>
          <w:sz w:val="26"/>
        </w:rPr>
        <w:t>1 lo tanto no se cometió ningún perjuicio en contra de la DIGEF, como se pretende señalar pues esta acción tiene como respaldo el citado Acuerdo Gubernativo, así -1 mismo la autorización de viáticos y sus gastos conexos, son acciones independientes del evento de cotización, por lo que mezclar los costos de pasajes, de los 15 funcionarios no es vinculante pues pertenecen a un evento, actividad, 1 insumo y reglón distinto, así también es de considerar que los boletos aéreos de estos funcionarios no forman parte del evento de cotización objeto de este presunto hallazgo, identificado con el NOG: 24709395 pues como el mismo equipo 1 de auditoria lo delimita existen diferentes precios por cada boleto comprado toda vez que estos tienen costos muy oscilantes y dependerán en gran manera de la 1 disposición del día y hora que se programe el viaje, así será el costo de cada boleto, por lo reitero no haber realizado ningún acto arbitrario en perjuicio de la DIGEF, como se está pretendiendo señalar.</w:t>
      </w:r>
    </w:p>
    <w:p w14:paraId="31CA0318" w14:textId="77777777" w:rsidR="00053D93" w:rsidRDefault="00260B75">
      <w:pPr>
        <w:spacing w:after="3" w:line="265" w:lineRule="auto"/>
        <w:ind w:left="168" w:right="65" w:hanging="10"/>
      </w:pPr>
      <w:r>
        <w:rPr>
          <w:sz w:val="66"/>
        </w:rPr>
        <w:t>1</w:t>
      </w:r>
    </w:p>
    <w:p w14:paraId="2DE58DE8" w14:textId="77777777" w:rsidR="00053D93" w:rsidRDefault="00260B75">
      <w:pPr>
        <w:spacing w:after="4" w:line="269" w:lineRule="auto"/>
        <w:ind w:left="173" w:right="14" w:firstLine="1591"/>
        <w:jc w:val="both"/>
      </w:pPr>
      <w:r>
        <w:rPr>
          <w:sz w:val="26"/>
        </w:rPr>
        <w:t>Cabe recordar, que de conformidad con el principio de especialidad de la normativa legal, los viáticos y gastos conexos son un derecho de los servidores 1 públicos, para el cumplimiento de sus funciones, se encuentra normado por la el Reglamento de Viáticos y Gastos conexos vigente; en cuanto a la adquisición de boletos aéreos para Atletas escolares, se realizó por medio del evento de Compra</w:t>
      </w:r>
    </w:p>
    <w:tbl>
      <w:tblPr>
        <w:tblStyle w:val="TableGrid"/>
        <w:tblW w:w="9425" w:type="dxa"/>
        <w:tblInd w:w="821" w:type="dxa"/>
        <w:tblLook w:val="04A0" w:firstRow="1" w:lastRow="0" w:firstColumn="1" w:lastColumn="0" w:noHBand="0" w:noVBand="1"/>
      </w:tblPr>
      <w:tblGrid>
        <w:gridCol w:w="1677"/>
        <w:gridCol w:w="10548"/>
      </w:tblGrid>
      <w:tr w:rsidR="00053D93" w14:paraId="2039FFC9" w14:textId="77777777">
        <w:trPr>
          <w:trHeight w:val="655"/>
        </w:trPr>
        <w:tc>
          <w:tcPr>
            <w:tcW w:w="1721" w:type="dxa"/>
            <w:tcBorders>
              <w:top w:val="nil"/>
              <w:left w:val="nil"/>
              <w:bottom w:val="nil"/>
              <w:right w:val="nil"/>
            </w:tcBorders>
          </w:tcPr>
          <w:p w14:paraId="5A81BD1E" w14:textId="77777777" w:rsidR="00053D93" w:rsidRDefault="00260B75">
            <w:r>
              <w:rPr>
                <w:noProof/>
              </w:rPr>
              <w:drawing>
                <wp:inline distT="0" distB="0" distL="0" distR="0" wp14:anchorId="3C407759" wp14:editId="102F5BF7">
                  <wp:extent cx="1065276" cy="416051"/>
                  <wp:effectExtent l="0" t="0" r="0" b="0"/>
                  <wp:docPr id="939582" name="Picture 939582"/>
                  <wp:cNvGraphicFramePr/>
                  <a:graphic xmlns:a="http://schemas.openxmlformats.org/drawingml/2006/main">
                    <a:graphicData uri="http://schemas.openxmlformats.org/drawingml/2006/picture">
                      <pic:pic xmlns:pic="http://schemas.openxmlformats.org/drawingml/2006/picture">
                        <pic:nvPicPr>
                          <pic:cNvPr id="939582" name="Picture 939582"/>
                          <pic:cNvPicPr/>
                        </pic:nvPicPr>
                        <pic:blipFill>
                          <a:blip r:embed="rId1302"/>
                          <a:stretch>
                            <a:fillRect/>
                          </a:stretch>
                        </pic:blipFill>
                        <pic:spPr>
                          <a:xfrm>
                            <a:off x="0" y="0"/>
                            <a:ext cx="1065276" cy="416051"/>
                          </a:xfrm>
                          <a:prstGeom prst="rect">
                            <a:avLst/>
                          </a:prstGeom>
                        </pic:spPr>
                      </pic:pic>
                    </a:graphicData>
                  </a:graphic>
                </wp:inline>
              </w:drawing>
            </w:r>
          </w:p>
        </w:tc>
        <w:tc>
          <w:tcPr>
            <w:tcW w:w="7704" w:type="dxa"/>
            <w:tcBorders>
              <w:top w:val="nil"/>
              <w:left w:val="nil"/>
              <w:bottom w:val="nil"/>
              <w:right w:val="nil"/>
            </w:tcBorders>
          </w:tcPr>
          <w:p w14:paraId="3E411ECF" w14:textId="77777777" w:rsidR="00053D93" w:rsidRDefault="00053D93">
            <w:pPr>
              <w:ind w:left="-2844" w:right="10548"/>
            </w:pPr>
          </w:p>
          <w:tbl>
            <w:tblPr>
              <w:tblStyle w:val="TableGrid"/>
              <w:tblW w:w="7660" w:type="dxa"/>
              <w:tblInd w:w="44" w:type="dxa"/>
              <w:tblCellMar>
                <w:top w:w="27" w:type="dxa"/>
                <w:left w:w="1785" w:type="dxa"/>
                <w:right w:w="115" w:type="dxa"/>
              </w:tblCellMar>
              <w:tblLook w:val="04A0" w:firstRow="1" w:lastRow="0" w:firstColumn="1" w:lastColumn="0" w:noHBand="0" w:noVBand="1"/>
            </w:tblPr>
            <w:tblGrid>
              <w:gridCol w:w="7660"/>
            </w:tblGrid>
            <w:tr w:rsidR="00053D93" w14:paraId="7500302A" w14:textId="77777777">
              <w:trPr>
                <w:trHeight w:val="615"/>
              </w:trPr>
              <w:tc>
                <w:tcPr>
                  <w:tcW w:w="7660" w:type="dxa"/>
                  <w:tcBorders>
                    <w:top w:val="single" w:sz="2" w:space="0" w:color="000000"/>
                    <w:left w:val="single" w:sz="2" w:space="0" w:color="000000"/>
                    <w:bottom w:val="nil"/>
                    <w:right w:val="nil"/>
                  </w:tcBorders>
                </w:tcPr>
                <w:p w14:paraId="6347CF27" w14:textId="77777777" w:rsidR="00053D93" w:rsidRDefault="00260B75">
                  <w:pPr>
                    <w:ind w:left="828"/>
                  </w:pPr>
                  <w:r>
                    <w:rPr>
                      <w:sz w:val="14"/>
                    </w:rPr>
                    <w:t>MINISTERIO DE EDUCACION</w:t>
                  </w:r>
                </w:p>
                <w:p w14:paraId="54E2F0D8" w14:textId="77777777" w:rsidR="00053D93" w:rsidRDefault="00260B75">
                  <w:pPr>
                    <w:ind w:left="331"/>
                  </w:pPr>
                  <w:r>
                    <w:rPr>
                      <w:sz w:val="14"/>
                    </w:rPr>
                    <w:t>AUDITORIA FINANCIERA Y DE CUMPLIMIENTO</w:t>
                  </w:r>
                </w:p>
                <w:p w14:paraId="213E7AF8" w14:textId="77777777" w:rsidR="00053D93" w:rsidRDefault="00260B75">
                  <w:r>
                    <w:rPr>
                      <w:sz w:val="14"/>
                    </w:rPr>
                    <w:t>PEREODO DEL 01 DE ENERO At. 31 DE DICIEMBRE DE 2024</w:t>
                  </w:r>
                </w:p>
              </w:tc>
            </w:tr>
          </w:tbl>
          <w:p w14:paraId="2344C4AE" w14:textId="77777777" w:rsidR="00053D93" w:rsidRDefault="00053D93"/>
        </w:tc>
      </w:tr>
    </w:tbl>
    <w:p w14:paraId="6C167AD0" w14:textId="77777777" w:rsidR="00053D93" w:rsidRDefault="00260B75">
      <w:pPr>
        <w:spacing w:after="3"/>
        <w:ind w:left="74" w:right="43" w:hanging="10"/>
      </w:pPr>
      <w:r>
        <w:rPr>
          <w:sz w:val="74"/>
        </w:rPr>
        <w:t>1</w:t>
      </w:r>
    </w:p>
    <w:p w14:paraId="357271A1" w14:textId="77777777" w:rsidR="00053D93" w:rsidRDefault="00260B75">
      <w:pPr>
        <w:spacing w:after="43"/>
        <w:ind w:left="1130" w:right="-130"/>
      </w:pPr>
      <w:r>
        <w:rPr>
          <w:noProof/>
        </w:rPr>
        <w:drawing>
          <wp:inline distT="0" distB="0" distL="0" distR="0" wp14:anchorId="03E7CE61" wp14:editId="6EE502D4">
            <wp:extent cx="5865876" cy="86868"/>
            <wp:effectExtent l="0" t="0" r="0" b="0"/>
            <wp:docPr id="2458704" name="Picture 2458704"/>
            <wp:cNvGraphicFramePr/>
            <a:graphic xmlns:a="http://schemas.openxmlformats.org/drawingml/2006/main">
              <a:graphicData uri="http://schemas.openxmlformats.org/drawingml/2006/picture">
                <pic:pic xmlns:pic="http://schemas.openxmlformats.org/drawingml/2006/picture">
                  <pic:nvPicPr>
                    <pic:cNvPr id="2458704" name="Picture 2458704"/>
                    <pic:cNvPicPr/>
                  </pic:nvPicPr>
                  <pic:blipFill>
                    <a:blip r:embed="rId1303"/>
                    <a:stretch>
                      <a:fillRect/>
                    </a:stretch>
                  </pic:blipFill>
                  <pic:spPr>
                    <a:xfrm>
                      <a:off x="0" y="0"/>
                      <a:ext cx="5865876" cy="86868"/>
                    </a:xfrm>
                    <a:prstGeom prst="rect">
                      <a:avLst/>
                    </a:prstGeom>
                  </pic:spPr>
                </pic:pic>
              </a:graphicData>
            </a:graphic>
          </wp:inline>
        </w:drawing>
      </w:r>
    </w:p>
    <w:p w14:paraId="027DEEE8" w14:textId="77777777" w:rsidR="00053D93" w:rsidRDefault="00260B75">
      <w:pPr>
        <w:spacing w:after="207" w:line="269" w:lineRule="auto"/>
        <w:ind w:left="60" w:right="14" w:hanging="3"/>
        <w:jc w:val="both"/>
      </w:pPr>
      <w:r>
        <w:rPr>
          <w:sz w:val="26"/>
        </w:rPr>
        <w:t xml:space="preserve">1 Directa, normado en la Ley de Contrataciones del Estado, por lo cual, son </w:t>
      </w:r>
      <w:r>
        <w:rPr>
          <w:noProof/>
        </w:rPr>
        <w:drawing>
          <wp:inline distT="0" distB="0" distL="0" distR="0" wp14:anchorId="62AA6391" wp14:editId="3DBAA8E3">
            <wp:extent cx="18288" cy="13716"/>
            <wp:effectExtent l="0" t="0" r="0" b="0"/>
            <wp:docPr id="943413" name="Picture 943413"/>
            <wp:cNvGraphicFramePr/>
            <a:graphic xmlns:a="http://schemas.openxmlformats.org/drawingml/2006/main">
              <a:graphicData uri="http://schemas.openxmlformats.org/drawingml/2006/picture">
                <pic:pic xmlns:pic="http://schemas.openxmlformats.org/drawingml/2006/picture">
                  <pic:nvPicPr>
                    <pic:cNvPr id="943413" name="Picture 943413"/>
                    <pic:cNvPicPr/>
                  </pic:nvPicPr>
                  <pic:blipFill>
                    <a:blip r:embed="rId1304"/>
                    <a:stretch>
                      <a:fillRect/>
                    </a:stretch>
                  </pic:blipFill>
                  <pic:spPr>
                    <a:xfrm>
                      <a:off x="0" y="0"/>
                      <a:ext cx="18288" cy="13716"/>
                    </a:xfrm>
                    <a:prstGeom prst="rect">
                      <a:avLst/>
                    </a:prstGeom>
                  </pic:spPr>
                </pic:pic>
              </a:graphicData>
            </a:graphic>
          </wp:inline>
        </w:drawing>
      </w:r>
      <w:r>
        <w:rPr>
          <w:sz w:val="26"/>
        </w:rPr>
        <w:t xml:space="preserve"> procesos y procedimientos distintos a los enunciados por los respetables 1 auditores, no siendo procedente por carecer de asidero legal que haga sustentable el posible hallazgo, por lo cual debe dejarse sin efecto, por ser improcedente. Esto de conformidad con ta naturaleza legal y financiera de la adquisición de boleos 1 aéreos y los viáticos entregados, de conformidad con la ley, los cuales además fueron debidamente documentados y respaldados en su ejecución y destino para el cual fueron proporcionados. En consecuencia, no existe responsabilidad por 1 parte de mi persona en calidad de Director General en funciones en ese momento, pues se tomaron decisiones dentro del marco legal de mis funciones, en apego a 1 los procesos legales, en observancia del interés superior de los atletas escolares, para el logro de los objetivos institucionales, en un unos transparente y eficiente del gasto.</w:t>
      </w:r>
    </w:p>
    <w:p w14:paraId="3442DD59" w14:textId="77777777" w:rsidR="00053D93" w:rsidRDefault="00260B75">
      <w:pPr>
        <w:spacing w:after="3"/>
        <w:ind w:left="74" w:right="3485" w:hanging="10"/>
      </w:pPr>
      <w:r>
        <w:rPr>
          <w:sz w:val="70"/>
        </w:rPr>
        <w:t>1</w:t>
      </w:r>
    </w:p>
    <w:p w14:paraId="0432797A" w14:textId="77777777" w:rsidR="00053D93" w:rsidRDefault="00260B75">
      <w:pPr>
        <w:spacing w:after="90" w:line="269" w:lineRule="auto"/>
        <w:ind w:left="57" w:right="14" w:firstLine="1692"/>
        <w:jc w:val="both"/>
      </w:pPr>
      <w:r>
        <w:rPr>
          <w:sz w:val="26"/>
        </w:rPr>
        <w:t>TERCER ENUNCIADO SEÑALADO POR LOS RESPETABLES AUDITORES GUBERNAMENTALES. "Asimismo, los miembros de la Comisión receptora y 1 liquidadora, nombrados mediante la Resolución No. 4295-2024 del 1 1 de noviembre de 2024, emitida por la Ministra y el Viceministro de Educación,</w:t>
      </w:r>
    </w:p>
    <w:p w14:paraId="1F6AF525" w14:textId="77777777" w:rsidR="00053D93" w:rsidRDefault="00260B75">
      <w:pPr>
        <w:tabs>
          <w:tab w:val="right" w:pos="10231"/>
        </w:tabs>
        <w:spacing w:after="4" w:line="269" w:lineRule="auto"/>
      </w:pPr>
      <w:r>
        <w:rPr>
          <w:sz w:val="26"/>
        </w:rPr>
        <w:t>1</w:t>
      </w:r>
      <w:r>
        <w:rPr>
          <w:sz w:val="26"/>
        </w:rPr>
        <w:tab/>
        <w:t>trasladaron ai Director General en Funciones de la DIGEF, mediante Oficio</w:t>
      </w:r>
    </w:p>
    <w:p w14:paraId="654B4C47" w14:textId="77777777" w:rsidR="00053D93" w:rsidRDefault="00260B75">
      <w:pPr>
        <w:spacing w:after="3" w:line="269" w:lineRule="auto"/>
        <w:ind w:left="67" w:right="14" w:hanging="10"/>
        <w:jc w:val="right"/>
      </w:pPr>
      <w:r>
        <w:rPr>
          <w:sz w:val="26"/>
        </w:rPr>
        <w:t>Comisión Receptora y Liquidadora 02-2024 del 13 de noviembre de 2024, el acta</w:t>
      </w:r>
    </w:p>
    <w:p w14:paraId="14BA36B5" w14:textId="77777777" w:rsidR="00053D93" w:rsidRDefault="00260B75">
      <w:pPr>
        <w:spacing w:after="4" w:line="269" w:lineRule="auto"/>
        <w:ind w:left="57" w:right="14" w:firstLine="1706"/>
        <w:jc w:val="both"/>
      </w:pPr>
      <w:r>
        <w:rPr>
          <w:sz w:val="26"/>
        </w:rPr>
        <w:t xml:space="preserve">No. 01-2024 del 13 de noviembre de 2024, en donde dicha comisión no recibió a </w:t>
      </w:r>
      <w:r>
        <w:rPr>
          <w:noProof/>
        </w:rPr>
        <w:drawing>
          <wp:inline distT="0" distB="0" distL="0" distR="0" wp14:anchorId="3CEDE5EE" wp14:editId="0D9AB0A8">
            <wp:extent cx="4572" cy="4572"/>
            <wp:effectExtent l="0" t="0" r="0" b="0"/>
            <wp:docPr id="943414" name="Picture 943414"/>
            <wp:cNvGraphicFramePr/>
            <a:graphic xmlns:a="http://schemas.openxmlformats.org/drawingml/2006/main">
              <a:graphicData uri="http://schemas.openxmlformats.org/drawingml/2006/picture">
                <pic:pic xmlns:pic="http://schemas.openxmlformats.org/drawingml/2006/picture">
                  <pic:nvPicPr>
                    <pic:cNvPr id="943414" name="Picture 943414"/>
                    <pic:cNvPicPr/>
                  </pic:nvPicPr>
                  <pic:blipFill>
                    <a:blip r:embed="rId1305"/>
                    <a:stretch>
                      <a:fillRect/>
                    </a:stretch>
                  </pic:blipFill>
                  <pic:spPr>
                    <a:xfrm>
                      <a:off x="0" y="0"/>
                      <a:ext cx="4572" cy="4572"/>
                    </a:xfrm>
                    <a:prstGeom prst="rect">
                      <a:avLst/>
                    </a:prstGeom>
                  </pic:spPr>
                </pic:pic>
              </a:graphicData>
            </a:graphic>
          </wp:inline>
        </w:drawing>
      </w:r>
      <w:r>
        <w:rPr>
          <w:sz w:val="26"/>
        </w:rPr>
        <w:t>1 entera conformidad y satisfacción el objeto del Contrato Administrativo No. 01-2024-DIGEF-CD, para el que habían sido nombrados, ya que desconocían la cantidad de boletos aéreos adquiridos, la nómina de atletas y cuerpo técnico 1 inscrito, así como tampoco recibieron los boletos aéreos por parte de la entidad</w:t>
      </w:r>
    </w:p>
    <w:p w14:paraId="46D17B58" w14:textId="77777777" w:rsidR="00053D93" w:rsidRDefault="00260B75">
      <w:pPr>
        <w:spacing w:after="248" w:line="216" w:lineRule="auto"/>
        <w:ind w:left="57" w:right="14" w:firstLine="1670"/>
        <w:jc w:val="both"/>
      </w:pPr>
      <w:r>
        <w:rPr>
          <w:sz w:val="26"/>
        </w:rPr>
        <w:t>LAX TRAVEL, S.A., tal como lo establecía dicho contrato administrativo, por lo que 1 se abstuvieron de elaborar el acta de liquidación correspondiente." ...</w:t>
      </w:r>
    </w:p>
    <w:p w14:paraId="6D75C4A5" w14:textId="77777777" w:rsidR="00053D93" w:rsidRDefault="00260B75">
      <w:pPr>
        <w:spacing w:after="4" w:line="269" w:lineRule="auto"/>
        <w:ind w:left="57" w:right="14" w:firstLine="1656"/>
        <w:jc w:val="both"/>
      </w:pPr>
      <w:r>
        <w:rPr>
          <w:sz w:val="26"/>
        </w:rPr>
        <w:t>3. Defensa al Tercer enunciado: Incumplimiento de la Junta Receptora y 1 liquidadora, del CONTRATO ADMINISTRATIVO NÚMERO: 01-2024-DIGEF-CD. COMENTARIO: Derivado de que la junta receptora y Liquidadora nombrada para liquidar el Contrato Administrativo NÚMERO: 01-2024-DIGEF-CD, de fecha 1 1 de 1 noviembre del año 2024, no cumplió con la función encomendada por no entender el proceso administrativo entre lo que es la cotización y la entrega final de los 1 boletos aéreos efectivamente emitidos, en donde no emitieron el Acta correspondiente como se cita en el postulado de los auditores gubernamentales, se hizo necesario solicitar el nombramiento de una nueva como lo estipula la 1 cláusula quinta del referido contrato y dada la cercanía del evento se procedió a emitir el oficio Junta Receptora y liquidadora, para poder proseguir con el proceso 1 según correspondía toda vez que ya se acercaba el cierre del ejercicio fiscal 2024. Es de indicar que según el artículo 55 del decreto 57-92 Ley de Contrataciones del estado y el artículo 46 de su reglamento, en se considera la recepción parcial del 1 bien o servicio, podría haber aplicado para liquidación de este sin embargo la junta</w:t>
      </w:r>
    </w:p>
    <w:tbl>
      <w:tblPr>
        <w:tblStyle w:val="TableGrid"/>
        <w:tblW w:w="9425" w:type="dxa"/>
        <w:tblInd w:w="842" w:type="dxa"/>
        <w:tblLook w:val="04A0" w:firstRow="1" w:lastRow="0" w:firstColumn="1" w:lastColumn="0" w:noHBand="0" w:noVBand="1"/>
      </w:tblPr>
      <w:tblGrid>
        <w:gridCol w:w="1771"/>
        <w:gridCol w:w="10570"/>
      </w:tblGrid>
      <w:tr w:rsidR="00053D93" w14:paraId="5B64DAF0" w14:textId="77777777">
        <w:trPr>
          <w:trHeight w:val="641"/>
        </w:trPr>
        <w:tc>
          <w:tcPr>
            <w:tcW w:w="1787" w:type="dxa"/>
            <w:tcBorders>
              <w:top w:val="nil"/>
              <w:left w:val="nil"/>
              <w:bottom w:val="nil"/>
              <w:right w:val="nil"/>
            </w:tcBorders>
          </w:tcPr>
          <w:p w14:paraId="5A05DA70" w14:textId="77777777" w:rsidR="00053D93" w:rsidRDefault="00260B75">
            <w:r>
              <w:rPr>
                <w:noProof/>
              </w:rPr>
              <w:drawing>
                <wp:inline distT="0" distB="0" distL="0" distR="0" wp14:anchorId="0277E4AB" wp14:editId="4C8C1A1C">
                  <wp:extent cx="1124712" cy="406908"/>
                  <wp:effectExtent l="0" t="0" r="0" b="0"/>
                  <wp:docPr id="943508" name="Picture 943508"/>
                  <wp:cNvGraphicFramePr/>
                  <a:graphic xmlns:a="http://schemas.openxmlformats.org/drawingml/2006/main">
                    <a:graphicData uri="http://schemas.openxmlformats.org/drawingml/2006/picture">
                      <pic:pic xmlns:pic="http://schemas.openxmlformats.org/drawingml/2006/picture">
                        <pic:nvPicPr>
                          <pic:cNvPr id="943508" name="Picture 943508"/>
                          <pic:cNvPicPr/>
                        </pic:nvPicPr>
                        <pic:blipFill>
                          <a:blip r:embed="rId1306"/>
                          <a:stretch>
                            <a:fillRect/>
                          </a:stretch>
                        </pic:blipFill>
                        <pic:spPr>
                          <a:xfrm>
                            <a:off x="0" y="0"/>
                            <a:ext cx="1124712" cy="406908"/>
                          </a:xfrm>
                          <a:prstGeom prst="rect">
                            <a:avLst/>
                          </a:prstGeom>
                        </pic:spPr>
                      </pic:pic>
                    </a:graphicData>
                  </a:graphic>
                </wp:inline>
              </w:drawing>
            </w:r>
          </w:p>
        </w:tc>
        <w:tc>
          <w:tcPr>
            <w:tcW w:w="7637" w:type="dxa"/>
            <w:tcBorders>
              <w:top w:val="nil"/>
              <w:left w:val="nil"/>
              <w:bottom w:val="nil"/>
              <w:right w:val="nil"/>
            </w:tcBorders>
          </w:tcPr>
          <w:p w14:paraId="2D99D521" w14:textId="77777777" w:rsidR="00053D93" w:rsidRDefault="00053D93">
            <w:pPr>
              <w:ind w:left="-2932" w:right="10570"/>
            </w:pPr>
          </w:p>
          <w:tbl>
            <w:tblPr>
              <w:tblStyle w:val="TableGrid"/>
              <w:tblW w:w="7621" w:type="dxa"/>
              <w:tblInd w:w="16" w:type="dxa"/>
              <w:tblCellMar>
                <w:top w:w="47" w:type="dxa"/>
                <w:left w:w="1739" w:type="dxa"/>
                <w:right w:w="115" w:type="dxa"/>
              </w:tblCellMar>
              <w:tblLook w:val="04A0" w:firstRow="1" w:lastRow="0" w:firstColumn="1" w:lastColumn="0" w:noHBand="0" w:noVBand="1"/>
            </w:tblPr>
            <w:tblGrid>
              <w:gridCol w:w="7621"/>
            </w:tblGrid>
            <w:tr w:rsidR="00053D93" w14:paraId="70D3E853" w14:textId="77777777">
              <w:trPr>
                <w:trHeight w:val="608"/>
              </w:trPr>
              <w:tc>
                <w:tcPr>
                  <w:tcW w:w="7621" w:type="dxa"/>
                  <w:tcBorders>
                    <w:top w:val="single" w:sz="2" w:space="0" w:color="000000"/>
                    <w:left w:val="single" w:sz="2" w:space="0" w:color="000000"/>
                    <w:bottom w:val="nil"/>
                    <w:right w:val="nil"/>
                  </w:tcBorders>
                </w:tcPr>
                <w:p w14:paraId="01920FAF" w14:textId="77777777" w:rsidR="00053D93" w:rsidRDefault="00260B75">
                  <w:pPr>
                    <w:ind w:left="842"/>
                  </w:pPr>
                  <w:r>
                    <w:rPr>
                      <w:sz w:val="14"/>
                    </w:rPr>
                    <w:t>MINISTERIO DE EDUCACION</w:t>
                  </w:r>
                </w:p>
                <w:p w14:paraId="5B7064FE" w14:textId="77777777" w:rsidR="00053D93" w:rsidRDefault="00260B75">
                  <w:pPr>
                    <w:ind w:left="338"/>
                  </w:pPr>
                  <w:r>
                    <w:rPr>
                      <w:sz w:val="14"/>
                    </w:rPr>
                    <w:t>AUDITORfA FINANCIERA Y DE CUMPLIMIENTO</w:t>
                  </w:r>
                </w:p>
                <w:p w14:paraId="01DF5BDD" w14:textId="77777777" w:rsidR="00053D93" w:rsidRDefault="00260B75">
                  <w:r>
                    <w:rPr>
                      <w:sz w:val="14"/>
                    </w:rPr>
                    <w:t>PERIODO DEL Dl OE ENERO AL 31 DE DICIEMBRE DE 2024</w:t>
                  </w:r>
                </w:p>
              </w:tc>
            </w:tr>
          </w:tbl>
          <w:p w14:paraId="0C84BD75" w14:textId="77777777" w:rsidR="00053D93" w:rsidRDefault="00053D93"/>
        </w:tc>
      </w:tr>
    </w:tbl>
    <w:p w14:paraId="4730142F" w14:textId="77777777" w:rsidR="00053D93" w:rsidRDefault="00053D93">
      <w:pPr>
        <w:sectPr w:rsidR="00053D93">
          <w:type w:val="continuous"/>
          <w:pgSz w:w="12290" w:h="15883"/>
          <w:pgMar w:top="410" w:right="1757" w:bottom="605" w:left="302" w:header="720" w:footer="720" w:gutter="0"/>
          <w:cols w:space="720"/>
        </w:sectPr>
      </w:pPr>
    </w:p>
    <w:p w14:paraId="1A83379A" w14:textId="77777777" w:rsidR="00053D93" w:rsidRDefault="00260B75">
      <w:pPr>
        <w:spacing w:after="47"/>
        <w:ind w:left="1735"/>
      </w:pPr>
      <w:r>
        <w:rPr>
          <w:noProof/>
        </w:rPr>
        <mc:AlternateContent>
          <mc:Choice Requires="wpg">
            <w:drawing>
              <wp:inline distT="0" distB="0" distL="0" distR="0" wp14:anchorId="35D28189" wp14:editId="67C03BAF">
                <wp:extent cx="5417820" cy="18288"/>
                <wp:effectExtent l="0" t="0" r="0" b="0"/>
                <wp:docPr id="2458707" name="Group 2458707"/>
                <wp:cNvGraphicFramePr/>
                <a:graphic xmlns:a="http://schemas.openxmlformats.org/drawingml/2006/main">
                  <a:graphicData uri="http://schemas.microsoft.com/office/word/2010/wordprocessingGroup">
                    <wpg:wgp>
                      <wpg:cNvGrpSpPr/>
                      <wpg:grpSpPr>
                        <a:xfrm>
                          <a:off x="0" y="0"/>
                          <a:ext cx="5417820" cy="18288"/>
                          <a:chOff x="0" y="0"/>
                          <a:chExt cx="5417820" cy="18288"/>
                        </a:xfrm>
                      </wpg:grpSpPr>
                      <wps:wsp>
                        <wps:cNvPr id="2458706" name="Shape 2458706"/>
                        <wps:cNvSpPr/>
                        <wps:spPr>
                          <a:xfrm>
                            <a:off x="0" y="0"/>
                            <a:ext cx="5417820" cy="18288"/>
                          </a:xfrm>
                          <a:custGeom>
                            <a:avLst/>
                            <a:gdLst/>
                            <a:ahLst/>
                            <a:cxnLst/>
                            <a:rect l="0" t="0" r="0" b="0"/>
                            <a:pathLst>
                              <a:path w="5417820" h="18288">
                                <a:moveTo>
                                  <a:pt x="0" y="9144"/>
                                </a:moveTo>
                                <a:lnTo>
                                  <a:pt x="5417820"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707" style="width:426.6pt;height:1.43999pt;mso-position-horizontal-relative:char;mso-position-vertical-relative:line" coordsize="54178,182">
                <v:shape id="Shape 2458706" style="position:absolute;width:54178;height:182;left:0;top:0;" coordsize="5417820,18288" path="m0,9144l5417820,9144">
                  <v:stroke weight="1.43999pt" endcap="flat" joinstyle="miter" miterlimit="1" on="true" color="#000000"/>
                  <v:fill on="false" color="#000000"/>
                </v:shape>
              </v:group>
            </w:pict>
          </mc:Fallback>
        </mc:AlternateContent>
      </w:r>
    </w:p>
    <w:p w14:paraId="36F8D155" w14:textId="77777777" w:rsidR="00053D93" w:rsidRDefault="00260B75">
      <w:pPr>
        <w:spacing w:after="61" w:line="256" w:lineRule="auto"/>
        <w:ind w:left="14" w:firstLine="1757"/>
      </w:pPr>
      <w:r>
        <w:rPr>
          <w:sz w:val="26"/>
        </w:rPr>
        <w:t>se negó a continuar con delegación efectuada Io que motivo a realizar el oficio DG No. 2300-2024, para poder continuar con el proceso y no entorpecer la realización 1</w:t>
      </w:r>
      <w:r>
        <w:rPr>
          <w:sz w:val="26"/>
        </w:rPr>
        <w:tab/>
        <w:t>del mismo.</w:t>
      </w:r>
    </w:p>
    <w:p w14:paraId="0283812D" w14:textId="77777777" w:rsidR="00053D93" w:rsidRDefault="00260B75">
      <w:pPr>
        <w:spacing w:after="12" w:line="250" w:lineRule="auto"/>
        <w:ind w:left="28" w:right="14" w:firstLine="1735"/>
        <w:jc w:val="both"/>
      </w:pPr>
      <w:r>
        <w:rPr>
          <w:noProof/>
        </w:rPr>
        <mc:AlternateContent>
          <mc:Choice Requires="wpg">
            <w:drawing>
              <wp:anchor distT="0" distB="0" distL="114300" distR="114300" simplePos="0" relativeHeight="252147712" behindDoc="0" locked="0" layoutInCell="1" allowOverlap="1" wp14:anchorId="54BE9D63" wp14:editId="2FA8BFA0">
                <wp:simplePos x="0" y="0"/>
                <wp:positionH relativeFrom="column">
                  <wp:posOffset>18288</wp:posOffset>
                </wp:positionH>
                <wp:positionV relativeFrom="paragraph">
                  <wp:posOffset>1152478</wp:posOffset>
                </wp:positionV>
                <wp:extent cx="114300" cy="292608"/>
                <wp:effectExtent l="0" t="0" r="0" b="0"/>
                <wp:wrapSquare wrapText="bothSides"/>
                <wp:docPr id="2456829" name="Group 2456829"/>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944319" name="Rectangle 944319"/>
                        <wps:cNvSpPr/>
                        <wps:spPr>
                          <a:xfrm>
                            <a:off x="0" y="0"/>
                            <a:ext cx="152019" cy="389169"/>
                          </a:xfrm>
                          <a:prstGeom prst="rect">
                            <a:avLst/>
                          </a:prstGeom>
                          <a:ln>
                            <a:noFill/>
                          </a:ln>
                        </wps:spPr>
                        <wps:txbx>
                          <w:txbxContent>
                            <w:p w14:paraId="1034E85F"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54BE9D63" id="Group 2456829" o:spid="_x0000_s1534" style="position:absolute;left:0;text-align:left;margin-left:1.45pt;margin-top:90.75pt;width:9pt;height:23.05pt;z-index:252147712;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">
                <v:rect id="Rectangle 944319" o:spid="_x0000_s1535"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" filled="f" stroked="f">
                  <v:textbox inset="0,0,0,0">
                    <w:txbxContent>
                      <w:p w14:paraId="1034E85F" w14:textId="77777777" w:rsidR="00053D93" w:rsidRDefault="00260B75">
                        <w:r>
                          <w:rPr>
                            <w:sz w:val="66"/>
                          </w:rPr>
                          <w:t>1</w:t>
                        </w:r>
                      </w:p>
                    </w:txbxContent>
                  </v:textbox>
                </v:rect>
                <w10:wrap type="square"/>
              </v:group>
            </w:pict>
          </mc:Fallback>
        </mc:AlternateContent>
      </w:r>
      <w:r>
        <w:rPr>
          <w:sz w:val="26"/>
        </w:rPr>
        <w:t>"Cláusula QUINTA. FORMA DE PAGO Y PARTIDA PRESUPUESTARIA. A) 1 FORMA DE PAGO: El monto del presente contrato será cubierto por "LA DIGEF" mediante un único pago en quetzales, contra entrega de la cantidad final de boletos aéreos requeridos, a entera satisfacción del Ministerio de Educación, 1 mediante acreditamiento en la cuenta de depósitos monetarios que "LA CONTRATISTA" tenga registrada en la Tesorería Nacional, dentro del plazo establecido en el Artículo 62 del Decreto número 57-92 del Congreso de la República de Guatemala, Ley de Contrataciones del Estado y Artículo 47 del Acuerdo Gubernativo número 122-2016, Reglamento de la Ley de Contrataciones 1 del Estado, previa presentación de la Factura Electrónica en Línea -FELcorrespondientes, emitida con las formalidades de ley, que en ningún caso excederá el valor del presente contrato y los demás documentos indicados en las 1 bases del proceso de cotización indicado o las especificaciones de la Compra</w:t>
      </w:r>
    </w:p>
    <w:p w14:paraId="09FF3FEB" w14:textId="77777777" w:rsidR="00053D93" w:rsidRDefault="00260B75">
      <w:pPr>
        <w:spacing w:after="221" w:line="263" w:lineRule="auto"/>
        <w:ind w:left="1781" w:hanging="10"/>
      </w:pPr>
      <w:r>
        <w:rPr>
          <w:sz w:val="24"/>
        </w:rPr>
        <w:t>Directa." ...</w:t>
      </w:r>
    </w:p>
    <w:p w14:paraId="2043C011" w14:textId="77777777" w:rsidR="00053D93" w:rsidRDefault="00260B75">
      <w:pPr>
        <w:spacing w:after="3"/>
        <w:ind w:left="125" w:hanging="10"/>
      </w:pPr>
      <w:r>
        <w:rPr>
          <w:sz w:val="66"/>
        </w:rPr>
        <w:t>1</w:t>
      </w:r>
    </w:p>
    <w:p w14:paraId="622BFE4B" w14:textId="77777777" w:rsidR="00053D93" w:rsidRDefault="00260B75">
      <w:pPr>
        <w:spacing w:after="0"/>
        <w:ind w:right="72"/>
        <w:jc w:val="right"/>
      </w:pPr>
      <w:r>
        <w:rPr>
          <w:sz w:val="30"/>
        </w:rPr>
        <w:t>CUARTO ENUNCIADO SEÑALADO POR LOS RESPETABLES AUDITORES</w:t>
      </w:r>
    </w:p>
    <w:p w14:paraId="4CC761B1" w14:textId="77777777" w:rsidR="00053D93" w:rsidRDefault="00260B75">
      <w:pPr>
        <w:spacing w:after="214" w:line="250" w:lineRule="auto"/>
        <w:ind w:left="28" w:right="14" w:firstLine="1706"/>
        <w:jc w:val="both"/>
      </w:pPr>
      <w:r>
        <w:rPr>
          <w:sz w:val="26"/>
        </w:rPr>
        <w:t xml:space="preserve">GUBERNAMENTALES. Derivado de lo anterior, el Director General en Funciones 1 de la DIGEF, le solicitó a la Ministra de Educación mediante Oficio DG No. 2300-2024, del 11 de diciembre de 2024, que nombrada a una nueva comisión receptora y liquidadora para el Contrato Administrativo Número 1 01-2024-DIGEF-CD, por incumplimiento de la primera comisión nombrada, el cual fue aprobado mediante Resolución No. 4686-2024 del 17 de diciembre de 2024, </w:t>
      </w:r>
      <w:r>
        <w:rPr>
          <w:noProof/>
        </w:rPr>
        <w:drawing>
          <wp:inline distT="0" distB="0" distL="0" distR="0" wp14:anchorId="77CC1CBC" wp14:editId="6C7760AA">
            <wp:extent cx="13716" cy="13716"/>
            <wp:effectExtent l="0" t="0" r="0" b="0"/>
            <wp:docPr id="947179" name="Picture 947179"/>
            <wp:cNvGraphicFramePr/>
            <a:graphic xmlns:a="http://schemas.openxmlformats.org/drawingml/2006/main">
              <a:graphicData uri="http://schemas.openxmlformats.org/drawingml/2006/picture">
                <pic:pic xmlns:pic="http://schemas.openxmlformats.org/drawingml/2006/picture">
                  <pic:nvPicPr>
                    <pic:cNvPr id="947179" name="Picture 947179"/>
                    <pic:cNvPicPr/>
                  </pic:nvPicPr>
                  <pic:blipFill>
                    <a:blip r:embed="rId1307"/>
                    <a:stretch>
                      <a:fillRect/>
                    </a:stretch>
                  </pic:blipFill>
                  <pic:spPr>
                    <a:xfrm>
                      <a:off x="0" y="0"/>
                      <a:ext cx="13716" cy="13716"/>
                    </a:xfrm>
                    <a:prstGeom prst="rect">
                      <a:avLst/>
                    </a:prstGeom>
                  </pic:spPr>
                </pic:pic>
              </a:graphicData>
            </a:graphic>
          </wp:inline>
        </w:drawing>
      </w:r>
      <w:r>
        <w:rPr>
          <w:sz w:val="26"/>
        </w:rPr>
        <w:t>1 emitido por la Ministra y el Viceministro de Educación. Mediante el Acta Administrativa Número 127-2024, del 20 de diciembre de 2024, la nueva comisión receptora y liquidadora, manifestó haber recibido de conformidad y a entera 1 satisfacción 107 boletos aéreos para la Dirección General de Educación Física -DIGEF-, a pesar que el contratista no les entregó dichos boletos aéreos, tal como lo establecen las especificaciones técnicas del evento, ya que dicho evento se 1 llevó a cabo del 12 al 17 de noviembre de 2024 y la comisión receptora y liquidadora fue nombrada el 17 de diciembre de 2024...</w:t>
      </w:r>
    </w:p>
    <w:p w14:paraId="17FBAEC0" w14:textId="77777777" w:rsidR="00053D93" w:rsidRDefault="00260B75">
      <w:pPr>
        <w:spacing w:after="3"/>
        <w:ind w:left="147" w:hanging="10"/>
      </w:pPr>
      <w:r>
        <w:rPr>
          <w:sz w:val="72"/>
        </w:rPr>
        <w:t>1</w:t>
      </w:r>
    </w:p>
    <w:p w14:paraId="2D6BC15C" w14:textId="77777777" w:rsidR="00053D93" w:rsidRDefault="00260B75">
      <w:pPr>
        <w:spacing w:after="159" w:line="250" w:lineRule="auto"/>
        <w:ind w:left="151" w:right="14" w:firstLine="1620"/>
        <w:jc w:val="both"/>
      </w:pPr>
      <w:r>
        <w:rPr>
          <w:sz w:val="26"/>
        </w:rPr>
        <w:t>Asimismo, mediante el Acta mencionada anteriormente, la nueva comisión receptora y liquidadora, estableció el monto que debe pagarse a la entidad LAX 1 TRAVEL, S.A. por la cantidad de Q511,460.00, derivado de la adquisición de 107 boletos aéreos a un precio unitario de Q4, 780.00, de conformidad con la oferta 1 adjudicada en el evento; cabe mencionar que en dicha acta, no hicieron mención sobre la recepción y liquidación del servicio de flete contratado por la cantidad de Q1 ,360.00 y no aplicaron cobros ni sanciones ai contratista, a pesar de los</w:t>
      </w:r>
    </w:p>
    <w:p w14:paraId="19E5B673" w14:textId="77777777" w:rsidR="00053D93" w:rsidRDefault="00260B75">
      <w:pPr>
        <w:tabs>
          <w:tab w:val="right" w:pos="10282"/>
        </w:tabs>
        <w:spacing w:after="189" w:line="263" w:lineRule="auto"/>
      </w:pPr>
      <w:r>
        <w:rPr>
          <w:sz w:val="24"/>
        </w:rPr>
        <w:t>1</w:t>
      </w:r>
      <w:r>
        <w:rPr>
          <w:sz w:val="24"/>
        </w:rPr>
        <w:tab/>
        <w:t>siguientes incumplimientos al Contrato Administrativo Número 01-2024-DIGEF-CD</w:t>
      </w:r>
    </w:p>
    <w:tbl>
      <w:tblPr>
        <w:tblStyle w:val="TableGrid"/>
        <w:tblpPr w:vertAnchor="text" w:tblpX="2638" w:tblpY="26"/>
        <w:tblOverlap w:val="never"/>
        <w:tblW w:w="7622" w:type="dxa"/>
        <w:tblInd w:w="0" w:type="dxa"/>
        <w:tblCellMar>
          <w:top w:w="53" w:type="dxa"/>
          <w:left w:w="1733" w:type="dxa"/>
          <w:right w:w="115" w:type="dxa"/>
        </w:tblCellMar>
        <w:tblLook w:val="04A0" w:firstRow="1" w:lastRow="0" w:firstColumn="1" w:lastColumn="0" w:noHBand="0" w:noVBand="1"/>
      </w:tblPr>
      <w:tblGrid>
        <w:gridCol w:w="7622"/>
      </w:tblGrid>
      <w:tr w:rsidR="00053D93" w14:paraId="42D3050F" w14:textId="77777777">
        <w:trPr>
          <w:trHeight w:val="615"/>
        </w:trPr>
        <w:tc>
          <w:tcPr>
            <w:tcW w:w="7622" w:type="dxa"/>
            <w:tcBorders>
              <w:top w:val="single" w:sz="2" w:space="0" w:color="000000"/>
              <w:left w:val="single" w:sz="2" w:space="0" w:color="000000"/>
              <w:bottom w:val="nil"/>
              <w:right w:val="nil"/>
            </w:tcBorders>
          </w:tcPr>
          <w:p w14:paraId="1C950CF5" w14:textId="77777777" w:rsidR="00053D93" w:rsidRDefault="00260B75">
            <w:pPr>
              <w:ind w:left="850"/>
            </w:pPr>
            <w:r>
              <w:rPr>
                <w:sz w:val="14"/>
              </w:rPr>
              <w:t>MINISTERIO DE EDUCACION</w:t>
            </w:r>
          </w:p>
          <w:p w14:paraId="1D1EC8CE" w14:textId="77777777" w:rsidR="00053D93" w:rsidRDefault="00260B75">
            <w:pPr>
              <w:ind w:left="338"/>
            </w:pPr>
            <w:r>
              <w:rPr>
                <w:sz w:val="14"/>
              </w:rPr>
              <w:t>AUDITORIA FINANCIERA Y DE CUMPLIMIENTO</w:t>
            </w:r>
          </w:p>
          <w:p w14:paraId="410A4A59" w14:textId="77777777" w:rsidR="00053D93" w:rsidRDefault="00260B75">
            <w:r>
              <w:rPr>
                <w:sz w:val="14"/>
              </w:rPr>
              <w:t>PERIODO DEL 01 DE ENERO AL 31 OE DICIEMBRE OE 2024</w:t>
            </w:r>
          </w:p>
        </w:tc>
      </w:tr>
    </w:tbl>
    <w:p w14:paraId="3475EA4A" w14:textId="77777777" w:rsidR="00053D93" w:rsidRDefault="00260B75">
      <w:pPr>
        <w:pStyle w:val="Ttulo3"/>
        <w:spacing w:after="80" w:line="259" w:lineRule="auto"/>
        <w:ind w:left="204" w:right="-7654"/>
        <w:jc w:val="left"/>
      </w:pPr>
      <w:r>
        <w:rPr>
          <w:sz w:val="32"/>
        </w:rPr>
        <w:t xml:space="preserve">I III </w:t>
      </w:r>
      <w:r>
        <w:rPr>
          <w:noProof/>
        </w:rPr>
        <w:drawing>
          <wp:inline distT="0" distB="0" distL="0" distR="0" wp14:anchorId="3AC44A13" wp14:editId="175A9F89">
            <wp:extent cx="909828" cy="411480"/>
            <wp:effectExtent l="0" t="0" r="0" b="0"/>
            <wp:docPr id="947300" name="Picture 947300"/>
            <wp:cNvGraphicFramePr/>
            <a:graphic xmlns:a="http://schemas.openxmlformats.org/drawingml/2006/main">
              <a:graphicData uri="http://schemas.openxmlformats.org/drawingml/2006/picture">
                <pic:pic xmlns:pic="http://schemas.openxmlformats.org/drawingml/2006/picture">
                  <pic:nvPicPr>
                    <pic:cNvPr id="947300" name="Picture 947300"/>
                    <pic:cNvPicPr/>
                  </pic:nvPicPr>
                  <pic:blipFill>
                    <a:blip r:embed="rId1308"/>
                    <a:stretch>
                      <a:fillRect/>
                    </a:stretch>
                  </pic:blipFill>
                  <pic:spPr>
                    <a:xfrm>
                      <a:off x="0" y="0"/>
                      <a:ext cx="909828" cy="411480"/>
                    </a:xfrm>
                    <a:prstGeom prst="rect">
                      <a:avLst/>
                    </a:prstGeom>
                  </pic:spPr>
                </pic:pic>
              </a:graphicData>
            </a:graphic>
          </wp:inline>
        </w:drawing>
      </w:r>
      <w:r>
        <w:rPr>
          <w:sz w:val="32"/>
        </w:rPr>
        <w:t>I</w:t>
      </w:r>
    </w:p>
    <w:p w14:paraId="2AA9EA8E" w14:textId="77777777" w:rsidR="00053D93" w:rsidRDefault="00260B75">
      <w:pPr>
        <w:pStyle w:val="Ttulo4"/>
        <w:spacing w:after="0" w:line="259" w:lineRule="auto"/>
        <w:ind w:left="89" w:hanging="10"/>
        <w:jc w:val="left"/>
      </w:pPr>
      <w:r>
        <w:rPr>
          <w:sz w:val="34"/>
        </w:rPr>
        <w:t>1-</w:t>
      </w:r>
    </w:p>
    <w:p w14:paraId="539822F9" w14:textId="77777777" w:rsidR="00053D93" w:rsidRDefault="00260B75">
      <w:pPr>
        <w:tabs>
          <w:tab w:val="center" w:pos="3330"/>
          <w:tab w:val="center" w:pos="5976"/>
        </w:tabs>
        <w:spacing w:after="317" w:line="265" w:lineRule="auto"/>
      </w:pPr>
      <w:r>
        <w:rPr>
          <w:sz w:val="14"/>
        </w:rPr>
        <w:tab/>
        <w:t xml:space="preserve">OE </w:t>
      </w:r>
      <w:r>
        <w:rPr>
          <w:sz w:val="14"/>
        </w:rPr>
        <w:tab/>
      </w:r>
      <w:r>
        <w:rPr>
          <w:noProof/>
        </w:rPr>
        <w:drawing>
          <wp:inline distT="0" distB="0" distL="0" distR="0" wp14:anchorId="0AA6FC13" wp14:editId="43212C4F">
            <wp:extent cx="36576" cy="36576"/>
            <wp:effectExtent l="0" t="0" r="0" b="0"/>
            <wp:docPr id="950785" name="Picture 950785"/>
            <wp:cNvGraphicFramePr/>
            <a:graphic xmlns:a="http://schemas.openxmlformats.org/drawingml/2006/main">
              <a:graphicData uri="http://schemas.openxmlformats.org/drawingml/2006/picture">
                <pic:pic xmlns:pic="http://schemas.openxmlformats.org/drawingml/2006/picture">
                  <pic:nvPicPr>
                    <pic:cNvPr id="950785" name="Picture 950785"/>
                    <pic:cNvPicPr/>
                  </pic:nvPicPr>
                  <pic:blipFill>
                    <a:blip r:embed="rId1309"/>
                    <a:stretch>
                      <a:fillRect/>
                    </a:stretch>
                  </pic:blipFill>
                  <pic:spPr>
                    <a:xfrm>
                      <a:off x="0" y="0"/>
                      <a:ext cx="36576" cy="36576"/>
                    </a:xfrm>
                    <a:prstGeom prst="rect">
                      <a:avLst/>
                    </a:prstGeom>
                  </pic:spPr>
                </pic:pic>
              </a:graphicData>
            </a:graphic>
          </wp:inline>
        </w:drawing>
      </w:r>
    </w:p>
    <w:p w14:paraId="0E829F0C" w14:textId="77777777" w:rsidR="00053D93" w:rsidRDefault="00260B75">
      <w:pPr>
        <w:tabs>
          <w:tab w:val="right" w:pos="10282"/>
        </w:tabs>
        <w:spacing w:before="6" w:after="4" w:line="269" w:lineRule="auto"/>
      </w:pPr>
      <w:r>
        <w:rPr>
          <w:noProof/>
        </w:rPr>
        <w:drawing>
          <wp:anchor distT="0" distB="0" distL="114300" distR="114300" simplePos="0" relativeHeight="252148736" behindDoc="0" locked="0" layoutInCell="1" allowOverlap="0" wp14:anchorId="6AADB082" wp14:editId="245954F4">
            <wp:simplePos x="0" y="0"/>
            <wp:positionH relativeFrom="column">
              <wp:posOffset>-13715</wp:posOffset>
            </wp:positionH>
            <wp:positionV relativeFrom="paragraph">
              <wp:posOffset>-86017</wp:posOffset>
            </wp:positionV>
            <wp:extent cx="22860" cy="9144"/>
            <wp:effectExtent l="0" t="0" r="0" b="0"/>
            <wp:wrapSquare wrapText="bothSides"/>
            <wp:docPr id="950786" name="Picture 950786"/>
            <wp:cNvGraphicFramePr/>
            <a:graphic xmlns:a="http://schemas.openxmlformats.org/drawingml/2006/main">
              <a:graphicData uri="http://schemas.openxmlformats.org/drawingml/2006/picture">
                <pic:pic xmlns:pic="http://schemas.openxmlformats.org/drawingml/2006/picture">
                  <pic:nvPicPr>
                    <pic:cNvPr id="950786" name="Picture 950786"/>
                    <pic:cNvPicPr/>
                  </pic:nvPicPr>
                  <pic:blipFill>
                    <a:blip r:embed="rId894"/>
                    <a:stretch>
                      <a:fillRect/>
                    </a:stretch>
                  </pic:blipFill>
                  <pic:spPr>
                    <a:xfrm>
                      <a:off x="0" y="0"/>
                      <a:ext cx="22860" cy="9144"/>
                    </a:xfrm>
                    <a:prstGeom prst="rect">
                      <a:avLst/>
                    </a:prstGeom>
                  </pic:spPr>
                </pic:pic>
              </a:graphicData>
            </a:graphic>
          </wp:anchor>
        </w:drawing>
      </w:r>
      <w:r>
        <w:rPr>
          <w:noProof/>
        </w:rPr>
        <w:drawing>
          <wp:anchor distT="0" distB="0" distL="114300" distR="114300" simplePos="0" relativeHeight="252149760" behindDoc="0" locked="0" layoutInCell="1" allowOverlap="0" wp14:anchorId="121CD36F" wp14:editId="76E8050A">
            <wp:simplePos x="0" y="0"/>
            <wp:positionH relativeFrom="column">
              <wp:posOffset>1152144</wp:posOffset>
            </wp:positionH>
            <wp:positionV relativeFrom="paragraph">
              <wp:posOffset>-86017</wp:posOffset>
            </wp:positionV>
            <wp:extent cx="5408675" cy="82296"/>
            <wp:effectExtent l="0" t="0" r="0" b="0"/>
            <wp:wrapSquare wrapText="bothSides"/>
            <wp:docPr id="2458708" name="Picture 2458708"/>
            <wp:cNvGraphicFramePr/>
            <a:graphic xmlns:a="http://schemas.openxmlformats.org/drawingml/2006/main">
              <a:graphicData uri="http://schemas.openxmlformats.org/drawingml/2006/picture">
                <pic:pic xmlns:pic="http://schemas.openxmlformats.org/drawingml/2006/picture">
                  <pic:nvPicPr>
                    <pic:cNvPr id="2458708" name="Picture 2458708"/>
                    <pic:cNvPicPr/>
                  </pic:nvPicPr>
                  <pic:blipFill>
                    <a:blip r:embed="rId1310"/>
                    <a:stretch>
                      <a:fillRect/>
                    </a:stretch>
                  </pic:blipFill>
                  <pic:spPr>
                    <a:xfrm>
                      <a:off x="0" y="0"/>
                      <a:ext cx="5408675" cy="82296"/>
                    </a:xfrm>
                    <a:prstGeom prst="rect">
                      <a:avLst/>
                    </a:prstGeom>
                  </pic:spPr>
                </pic:pic>
              </a:graphicData>
            </a:graphic>
          </wp:anchor>
        </w:drawing>
      </w:r>
      <w:r>
        <w:rPr>
          <w:sz w:val="26"/>
        </w:rPr>
        <w:t>1</w:t>
      </w:r>
      <w:r>
        <w:rPr>
          <w:sz w:val="26"/>
        </w:rPr>
        <w:tab/>
        <w:t>y a las Especificaciones Técnicas de las bases del Proceso de Cotización C-33/</w:t>
      </w:r>
    </w:p>
    <w:p w14:paraId="441C5B1D" w14:textId="77777777" w:rsidR="00053D93" w:rsidRDefault="00260B75">
      <w:pPr>
        <w:spacing w:after="110" w:line="269" w:lineRule="auto"/>
        <w:ind w:left="57" w:right="14" w:firstLine="1742"/>
        <w:jc w:val="both"/>
      </w:pPr>
      <w:r>
        <w:rPr>
          <w:sz w:val="26"/>
        </w:rPr>
        <w:t>2024-MINEDUC: no se emitió la cantidad total de boletos aéreos adjudicados, los 1 boletos aéreos emitidos no fueron entregados a [a Comisión Receptora y Liquidadora, de conformidad con lo establecido y se cambiaron las fechas planificadas en el calendario de salidas y retornos, anexo a las especificaciones 1 técnicas del evento...</w:t>
      </w:r>
    </w:p>
    <w:p w14:paraId="0EE03384" w14:textId="77777777" w:rsidR="00053D93" w:rsidRDefault="00260B75">
      <w:pPr>
        <w:spacing w:after="66" w:line="269" w:lineRule="auto"/>
        <w:ind w:left="60" w:right="14" w:hanging="3"/>
        <w:jc w:val="both"/>
      </w:pPr>
      <w:r>
        <w:rPr>
          <w:sz w:val="26"/>
        </w:rPr>
        <w:t>1 4. Defensa al CUARTO enunciado: liquidación efectuada por la nueva Junta Receptora y liquidadora del CONTRATO ADMINISTRATIVO NÚMERO: 01-2024-DIGEF-CD. Comentario: Es de poner especial atención a la cláusula 1 quinta del CONTRATO ADMINISTRATIVO NÚMERO: 01-2024-DIGEF-CD., y lo indicado en el evento de Cotización, y las especificaciones técnicas mínimas en su cita textual de gestión de cotización así: ESPECIFICACIONES TÉCNICAS 1 MÍNIMAS 1. El número de boletos aéreos que se adjudicará es de "hasta" ciento ochenta y ocho (188) boletos aéreos. La cantidad y los nombres de los 1 participantes para los servicios de transporte aéreo serán definidos cuando se tenga concretada la ficha de inscripción de participación nominal por la Sección de Alto Rendimiento Deportivo Escolar del Departamento de Desarrollo Deportivo 1 Escolar de la Dirección General de Educación Física -DIGEF-, cuando se tengan las nóminas por parte del Departamento de Torneos Deportivos Escolares, de acuerdo con la cantidad convocada en el Reglamento y Bases de Competencia 1 del CODICADER, las bases técnicas específicas de cada disciplina deportiva y la logística de la DIGEF para el evento. 1 .1 Ciudad de Origen: Guatemala,</w:t>
      </w:r>
    </w:p>
    <w:p w14:paraId="4A250979" w14:textId="77777777" w:rsidR="00053D93" w:rsidRDefault="00260B75">
      <w:pPr>
        <w:spacing w:after="162" w:line="520" w:lineRule="auto"/>
        <w:ind w:left="1735" w:right="14" w:hanging="1678"/>
        <w:jc w:val="both"/>
      </w:pPr>
      <w:r>
        <w:rPr>
          <w:sz w:val="26"/>
        </w:rPr>
        <w:t>1 Guatemala. 1.2 Ciudad de Destino: Panamá, Panamá Cláusula Segunda del Contrato Administrativo 01-2024-DIGEF-CD.</w:t>
      </w:r>
    </w:p>
    <w:p w14:paraId="09E93B7B" w14:textId="77777777" w:rsidR="00053D93" w:rsidRDefault="00260B75">
      <w:pPr>
        <w:spacing w:after="4" w:line="269" w:lineRule="auto"/>
        <w:ind w:left="60" w:right="14" w:hanging="3"/>
        <w:jc w:val="both"/>
      </w:pPr>
      <w:r>
        <w:rPr>
          <w:sz w:val="26"/>
        </w:rPr>
        <w:t xml:space="preserve">1 "B) MONTO: El monto total del presente contrato es de hasta NOVECIENTOS MIL QUETZALES </w:t>
      </w:r>
      <w:r>
        <w:rPr>
          <w:noProof/>
        </w:rPr>
        <w:drawing>
          <wp:inline distT="0" distB="0" distL="0" distR="0" wp14:anchorId="3E1647EB" wp14:editId="77D1E2CD">
            <wp:extent cx="964692" cy="141732"/>
            <wp:effectExtent l="0" t="0" r="0" b="0"/>
            <wp:docPr id="950864" name="Picture 950864"/>
            <wp:cNvGraphicFramePr/>
            <a:graphic xmlns:a="http://schemas.openxmlformats.org/drawingml/2006/main">
              <a:graphicData uri="http://schemas.openxmlformats.org/drawingml/2006/picture">
                <pic:pic xmlns:pic="http://schemas.openxmlformats.org/drawingml/2006/picture">
                  <pic:nvPicPr>
                    <pic:cNvPr id="950864" name="Picture 950864"/>
                    <pic:cNvPicPr/>
                  </pic:nvPicPr>
                  <pic:blipFill>
                    <a:blip r:embed="rId1311"/>
                    <a:stretch>
                      <a:fillRect/>
                    </a:stretch>
                  </pic:blipFill>
                  <pic:spPr>
                    <a:xfrm>
                      <a:off x="0" y="0"/>
                      <a:ext cx="964692" cy="141732"/>
                    </a:xfrm>
                    <a:prstGeom prst="rect">
                      <a:avLst/>
                    </a:prstGeom>
                  </pic:spPr>
                </pic:pic>
              </a:graphicData>
            </a:graphic>
          </wp:inline>
        </w:drawing>
      </w:r>
      <w:r>
        <w:rPr>
          <w:sz w:val="26"/>
        </w:rPr>
        <w:t xml:space="preserve"> integrado de la siguiente forma: 8.1 BOLETOS: El monto por el servicio de transporte aéreo ida y vuelta GUATEMALA-PANAMA 1 para la Delegación Deportiva Escolar de Guatemala que participara en los Juegos</w:t>
      </w:r>
    </w:p>
    <w:p w14:paraId="539B8CF6" w14:textId="77777777" w:rsidR="00053D93" w:rsidRDefault="00260B75">
      <w:pPr>
        <w:spacing w:after="255" w:line="269" w:lineRule="auto"/>
        <w:ind w:left="57" w:right="14" w:firstLine="1649"/>
        <w:jc w:val="both"/>
      </w:pPr>
      <w:r>
        <w:rPr>
          <w:sz w:val="26"/>
        </w:rPr>
        <w:t>Deportivos Escolares Centroamericanos del CODICADER, para estudiantes con 1 discapacidad, es de hasta OCHOCIENTOS NOVENTA Y OCHO MIL SEISCIENTOS CUARENTA QUETZALES EXACTOS (Q.898,640.OO), siendo un total de ciento ochenta y ocho (188) boletos aéreos adjudicados, pudiendo ser</w:t>
      </w:r>
    </w:p>
    <w:p w14:paraId="117BAAD0" w14:textId="77777777" w:rsidR="00053D93" w:rsidRDefault="00260B75">
      <w:pPr>
        <w:tabs>
          <w:tab w:val="center" w:pos="2142"/>
        </w:tabs>
        <w:spacing w:after="4" w:line="269" w:lineRule="auto"/>
      </w:pPr>
      <w:r>
        <w:rPr>
          <w:sz w:val="26"/>
        </w:rPr>
        <w:t>1</w:t>
      </w:r>
      <w:r>
        <w:rPr>
          <w:sz w:val="26"/>
        </w:rPr>
        <w:tab/>
        <w:t>menos."</w:t>
      </w:r>
    </w:p>
    <w:p w14:paraId="5054A130" w14:textId="77777777" w:rsidR="00053D93" w:rsidRDefault="00260B75">
      <w:pPr>
        <w:spacing w:after="4" w:line="269" w:lineRule="auto"/>
        <w:ind w:left="57" w:right="86" w:firstLine="1642"/>
        <w:jc w:val="both"/>
      </w:pPr>
      <w:r>
        <w:rPr>
          <w:sz w:val="26"/>
        </w:rPr>
        <w:t>El enunciado "se adjudicará es de hasta ciento ochenta y ocho (188) boletos 1 aéreos" o sea que será el máximo de boletos aéreos que se podrán adjudicar, si se hace la interpretación del término "hasta", ese es el límite máximo, pero queda 1 abierto un límite menor, que es el de la cláusula segunda del contrato administrativo ya citado y corresponde a la integración BI . BOLETOS, donde claramente dice que son 188 boletos pudiendo ser menos y es exactamente lo que sucedió en el presente caso, toda vez que al presentar la lista definitiva Mediante</w:t>
      </w:r>
    </w:p>
    <w:tbl>
      <w:tblPr>
        <w:tblStyle w:val="TableGrid"/>
        <w:tblW w:w="9432" w:type="dxa"/>
        <w:tblInd w:w="763" w:type="dxa"/>
        <w:tblLook w:val="04A0" w:firstRow="1" w:lastRow="0" w:firstColumn="1" w:lastColumn="0" w:noHBand="0" w:noVBand="1"/>
      </w:tblPr>
      <w:tblGrid>
        <w:gridCol w:w="1304"/>
        <w:gridCol w:w="8214"/>
      </w:tblGrid>
      <w:tr w:rsidR="00053D93" w14:paraId="39D8D827" w14:textId="77777777">
        <w:trPr>
          <w:trHeight w:val="641"/>
        </w:trPr>
        <w:tc>
          <w:tcPr>
            <w:tcW w:w="1791" w:type="dxa"/>
            <w:tcBorders>
              <w:top w:val="nil"/>
              <w:left w:val="nil"/>
              <w:bottom w:val="nil"/>
              <w:right w:val="nil"/>
            </w:tcBorders>
          </w:tcPr>
          <w:p w14:paraId="59B88E0B" w14:textId="77777777" w:rsidR="00053D93" w:rsidRDefault="00260B75">
            <w:r>
              <w:rPr>
                <w:noProof/>
              </w:rPr>
              <w:drawing>
                <wp:inline distT="0" distB="0" distL="0" distR="0" wp14:anchorId="49F6C9E8" wp14:editId="1BACB7CE">
                  <wp:extent cx="1124712" cy="406908"/>
                  <wp:effectExtent l="0" t="0" r="0" b="0"/>
                  <wp:docPr id="950865" name="Picture 950865"/>
                  <wp:cNvGraphicFramePr/>
                  <a:graphic xmlns:a="http://schemas.openxmlformats.org/drawingml/2006/main">
                    <a:graphicData uri="http://schemas.openxmlformats.org/drawingml/2006/picture">
                      <pic:pic xmlns:pic="http://schemas.openxmlformats.org/drawingml/2006/picture">
                        <pic:nvPicPr>
                          <pic:cNvPr id="950865" name="Picture 950865"/>
                          <pic:cNvPicPr/>
                        </pic:nvPicPr>
                        <pic:blipFill>
                          <a:blip r:embed="rId1312"/>
                          <a:stretch>
                            <a:fillRect/>
                          </a:stretch>
                        </pic:blipFill>
                        <pic:spPr>
                          <a:xfrm>
                            <a:off x="0" y="0"/>
                            <a:ext cx="1124712" cy="406908"/>
                          </a:xfrm>
                          <a:prstGeom prst="rect">
                            <a:avLst/>
                          </a:prstGeom>
                        </pic:spPr>
                      </pic:pic>
                    </a:graphicData>
                  </a:graphic>
                </wp:inline>
              </w:drawing>
            </w:r>
          </w:p>
        </w:tc>
        <w:tc>
          <w:tcPr>
            <w:tcW w:w="7641" w:type="dxa"/>
            <w:tcBorders>
              <w:top w:val="nil"/>
              <w:left w:val="nil"/>
              <w:bottom w:val="nil"/>
              <w:right w:val="nil"/>
            </w:tcBorders>
          </w:tcPr>
          <w:p w14:paraId="182E3382" w14:textId="77777777" w:rsidR="00053D93" w:rsidRDefault="00053D93">
            <w:pPr>
              <w:ind w:left="-2843" w:right="10483"/>
            </w:pPr>
          </w:p>
          <w:tbl>
            <w:tblPr>
              <w:tblStyle w:val="TableGrid"/>
              <w:tblW w:w="7620" w:type="dxa"/>
              <w:tblInd w:w="20" w:type="dxa"/>
              <w:tblCellMar>
                <w:top w:w="24" w:type="dxa"/>
                <w:left w:w="1731" w:type="dxa"/>
                <w:right w:w="115" w:type="dxa"/>
              </w:tblCellMar>
              <w:tblLook w:val="04A0" w:firstRow="1" w:lastRow="0" w:firstColumn="1" w:lastColumn="0" w:noHBand="0" w:noVBand="1"/>
            </w:tblPr>
            <w:tblGrid>
              <w:gridCol w:w="7620"/>
            </w:tblGrid>
            <w:tr w:rsidR="00053D93" w14:paraId="65B87C99" w14:textId="77777777">
              <w:trPr>
                <w:trHeight w:val="62"/>
              </w:trPr>
              <w:tc>
                <w:tcPr>
                  <w:tcW w:w="7620" w:type="dxa"/>
                  <w:tcBorders>
                    <w:top w:val="nil"/>
                    <w:left w:val="single" w:sz="2" w:space="0" w:color="000000"/>
                    <w:bottom w:val="single" w:sz="2" w:space="0" w:color="000000"/>
                    <w:right w:val="nil"/>
                  </w:tcBorders>
                </w:tcPr>
                <w:p w14:paraId="3F7AD134" w14:textId="77777777" w:rsidR="00053D93" w:rsidRDefault="00053D93"/>
              </w:tc>
            </w:tr>
            <w:tr w:rsidR="00053D93" w14:paraId="3E5B272E" w14:textId="77777777">
              <w:trPr>
                <w:trHeight w:val="572"/>
              </w:trPr>
              <w:tc>
                <w:tcPr>
                  <w:tcW w:w="7620" w:type="dxa"/>
                  <w:tcBorders>
                    <w:top w:val="single" w:sz="2" w:space="0" w:color="000000"/>
                    <w:left w:val="single" w:sz="2" w:space="0" w:color="000000"/>
                    <w:bottom w:val="nil"/>
                    <w:right w:val="nil"/>
                  </w:tcBorders>
                </w:tcPr>
                <w:p w14:paraId="7190E913" w14:textId="77777777" w:rsidR="00053D93" w:rsidRDefault="00260B75">
                  <w:pPr>
                    <w:ind w:left="835"/>
                  </w:pPr>
                  <w:r>
                    <w:rPr>
                      <w:sz w:val="14"/>
                    </w:rPr>
                    <w:t>MINISTERIO OE EDUCACION</w:t>
                  </w:r>
                </w:p>
                <w:p w14:paraId="5F4A6288" w14:textId="77777777" w:rsidR="00053D93" w:rsidRDefault="00260B75">
                  <w:pPr>
                    <w:ind w:left="338"/>
                  </w:pPr>
                  <w:r>
                    <w:rPr>
                      <w:sz w:val="14"/>
                    </w:rPr>
                    <w:t>AUDITORIA FINANCIERA Y DE CUMPLIMIENTO</w:t>
                  </w:r>
                </w:p>
                <w:p w14:paraId="43B2D326" w14:textId="77777777" w:rsidR="00053D93" w:rsidRDefault="00260B75">
                  <w:r>
                    <w:rPr>
                      <w:sz w:val="14"/>
                    </w:rPr>
                    <w:t>PERIODO DEL 01 DE ENERO AL 31 DE DiClEMBRE DE 2024</w:t>
                  </w:r>
                </w:p>
              </w:tc>
            </w:tr>
          </w:tbl>
          <w:p w14:paraId="49FAE966" w14:textId="77777777" w:rsidR="00053D93" w:rsidRDefault="00053D93"/>
        </w:tc>
      </w:tr>
    </w:tbl>
    <w:p w14:paraId="4EE931CD" w14:textId="77777777" w:rsidR="00053D93" w:rsidRDefault="00260B75">
      <w:pPr>
        <w:spacing w:after="0"/>
        <w:ind w:left="17" w:hanging="10"/>
      </w:pPr>
      <w:r>
        <w:rPr>
          <w:sz w:val="80"/>
        </w:rPr>
        <w:t>1</w:t>
      </w:r>
    </w:p>
    <w:p w14:paraId="632852F2" w14:textId="77777777" w:rsidR="00053D93" w:rsidRDefault="00260B75">
      <w:pPr>
        <w:spacing w:after="33"/>
        <w:ind w:left="324" w:right="-605"/>
      </w:pPr>
      <w:r>
        <w:rPr>
          <w:noProof/>
        </w:rPr>
        <w:drawing>
          <wp:inline distT="0" distB="0" distL="0" distR="0" wp14:anchorId="4C140A3D" wp14:editId="37D9AD0A">
            <wp:extent cx="6702552" cy="68580"/>
            <wp:effectExtent l="0" t="0" r="0" b="0"/>
            <wp:docPr id="2458710" name="Picture 2458710"/>
            <wp:cNvGraphicFramePr/>
            <a:graphic xmlns:a="http://schemas.openxmlformats.org/drawingml/2006/main">
              <a:graphicData uri="http://schemas.openxmlformats.org/drawingml/2006/picture">
                <pic:pic xmlns:pic="http://schemas.openxmlformats.org/drawingml/2006/picture">
                  <pic:nvPicPr>
                    <pic:cNvPr id="2458710" name="Picture 2458710"/>
                    <pic:cNvPicPr/>
                  </pic:nvPicPr>
                  <pic:blipFill>
                    <a:blip r:embed="rId1313"/>
                    <a:stretch>
                      <a:fillRect/>
                    </a:stretch>
                  </pic:blipFill>
                  <pic:spPr>
                    <a:xfrm>
                      <a:off x="0" y="0"/>
                      <a:ext cx="6702552" cy="68580"/>
                    </a:xfrm>
                    <a:prstGeom prst="rect">
                      <a:avLst/>
                    </a:prstGeom>
                  </pic:spPr>
                </pic:pic>
              </a:graphicData>
            </a:graphic>
          </wp:inline>
        </w:drawing>
      </w:r>
    </w:p>
    <w:p w14:paraId="1D030713" w14:textId="77777777" w:rsidR="00053D93" w:rsidRDefault="00260B75">
      <w:pPr>
        <w:spacing w:after="284" w:line="216" w:lineRule="auto"/>
        <w:ind w:left="60" w:right="79" w:hanging="3"/>
        <w:jc w:val="both"/>
      </w:pPr>
      <w:r>
        <w:rPr>
          <w:noProof/>
        </w:rPr>
        <mc:AlternateContent>
          <mc:Choice Requires="wpg">
            <w:drawing>
              <wp:anchor distT="0" distB="0" distL="114300" distR="114300" simplePos="0" relativeHeight="252150784" behindDoc="0" locked="0" layoutInCell="1" allowOverlap="1" wp14:anchorId="34D01B2C" wp14:editId="2EAF25DA">
                <wp:simplePos x="0" y="0"/>
                <wp:positionH relativeFrom="column">
                  <wp:posOffset>9144</wp:posOffset>
                </wp:positionH>
                <wp:positionV relativeFrom="paragraph">
                  <wp:posOffset>422307</wp:posOffset>
                </wp:positionV>
                <wp:extent cx="123444" cy="297180"/>
                <wp:effectExtent l="0" t="0" r="0" b="0"/>
                <wp:wrapSquare wrapText="bothSides"/>
                <wp:docPr id="2456848" name="Group 2456848"/>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951633" name="Rectangle 951633"/>
                        <wps:cNvSpPr/>
                        <wps:spPr>
                          <a:xfrm>
                            <a:off x="0" y="0"/>
                            <a:ext cx="164181" cy="395249"/>
                          </a:xfrm>
                          <a:prstGeom prst="rect">
                            <a:avLst/>
                          </a:prstGeom>
                          <a:ln>
                            <a:noFill/>
                          </a:ln>
                        </wps:spPr>
                        <wps:txbx>
                          <w:txbxContent>
                            <w:p w14:paraId="55CBC51F"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34D01B2C" id="Group 2456848" o:spid="_x0000_s1536" style="position:absolute;left:0;text-align:left;margin-left:.7pt;margin-top:33.25pt;width:9.7pt;height:23.4pt;z-index:252150784;mso-position-horizontal-relative:text;mso-position-vertical-relative:text"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">
                <v:rect id="Rectangle 951633" o:spid="_x0000_s1537"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" filled="f" stroked="f">
                  <v:textbox inset="0,0,0,0">
                    <w:txbxContent>
                      <w:p w14:paraId="55CBC51F" w14:textId="77777777" w:rsidR="00053D93" w:rsidRDefault="00260B75">
                        <w:r>
                          <w:rPr>
                            <w:sz w:val="72"/>
                          </w:rPr>
                          <w:t>1</w:t>
                        </w:r>
                      </w:p>
                    </w:txbxContent>
                  </v:textbox>
                </v:rect>
                <w10:wrap type="square"/>
              </v:group>
            </w:pict>
          </mc:Fallback>
        </mc:AlternateContent>
      </w:r>
      <w:r>
        <w:rPr>
          <w:noProof/>
        </w:rPr>
        <mc:AlternateContent>
          <mc:Choice Requires="wpg">
            <w:drawing>
              <wp:anchor distT="0" distB="0" distL="114300" distR="114300" simplePos="0" relativeHeight="252151808" behindDoc="0" locked="0" layoutInCell="1" allowOverlap="1" wp14:anchorId="104BDEE2" wp14:editId="49B250E7">
                <wp:simplePos x="0" y="0"/>
                <wp:positionH relativeFrom="column">
                  <wp:posOffset>22860</wp:posOffset>
                </wp:positionH>
                <wp:positionV relativeFrom="paragraph">
                  <wp:posOffset>1972215</wp:posOffset>
                </wp:positionV>
                <wp:extent cx="118872" cy="297180"/>
                <wp:effectExtent l="0" t="0" r="0" b="0"/>
                <wp:wrapSquare wrapText="bothSides"/>
                <wp:docPr id="2456851" name="Group 2456851"/>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951636" name="Rectangle 951636"/>
                        <wps:cNvSpPr/>
                        <wps:spPr>
                          <a:xfrm>
                            <a:off x="0" y="0"/>
                            <a:ext cx="158100" cy="395249"/>
                          </a:xfrm>
                          <a:prstGeom prst="rect">
                            <a:avLst/>
                          </a:prstGeom>
                          <a:ln>
                            <a:noFill/>
                          </a:ln>
                        </wps:spPr>
                        <wps:txbx>
                          <w:txbxContent>
                            <w:p w14:paraId="548046EA"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104BDEE2" id="Group 2456851" o:spid="_x0000_s1538" style="position:absolute;left:0;text-align:left;margin-left:1.8pt;margin-top:155.3pt;width:9.35pt;height:23.4pt;z-index:252151808;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">
                <v:rect id="Rectangle 951636" o:spid="_x0000_s1539"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" filled="f" stroked="f">
                  <v:textbox inset="0,0,0,0">
                    <w:txbxContent>
                      <w:p w14:paraId="548046EA" w14:textId="77777777" w:rsidR="00053D93" w:rsidRDefault="00260B75">
                        <w:r>
                          <w:rPr>
                            <w:sz w:val="70"/>
                          </w:rPr>
                          <w:t>1</w:t>
                        </w:r>
                      </w:p>
                    </w:txbxContent>
                  </v:textbox>
                </v:rect>
                <w10:wrap type="square"/>
              </v:group>
            </w:pict>
          </mc:Fallback>
        </mc:AlternateContent>
      </w:r>
      <w:r>
        <w:rPr>
          <w:sz w:val="26"/>
        </w:rPr>
        <w:t xml:space="preserve">1 el Acta Administrativa Número 127-2024, del 20 de diciembre de 2024, la nueva comisión receptora y liquidadora, manifestó haber recibido de conformidad y a entera satisfacción 107 boletos aéreos para la Dirección General de Educación Física -DIGEF-, así mismo estableció que el monto que debe pagarse a la entidad LAX TRAVEL, S.A. por la cantidad de Q51 1 ,460.00, derivado de la adquisición de </w:t>
      </w:r>
      <w:r>
        <w:rPr>
          <w:noProof/>
        </w:rPr>
        <mc:AlternateContent>
          <mc:Choice Requires="wpg">
            <w:drawing>
              <wp:inline distT="0" distB="0" distL="0" distR="0" wp14:anchorId="58D68EB9" wp14:editId="3A2E431F">
                <wp:extent cx="123444" cy="297180"/>
                <wp:effectExtent l="0" t="0" r="0" b="0"/>
                <wp:docPr id="2456849" name="Group 2456849"/>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951634" name="Rectangle 951634"/>
                        <wps:cNvSpPr/>
                        <wps:spPr>
                          <a:xfrm>
                            <a:off x="0" y="0"/>
                            <a:ext cx="164181" cy="395249"/>
                          </a:xfrm>
                          <a:prstGeom prst="rect">
                            <a:avLst/>
                          </a:prstGeom>
                          <a:ln>
                            <a:noFill/>
                          </a:ln>
                        </wps:spPr>
                        <wps:txbx>
                          <w:txbxContent>
                            <w:p w14:paraId="6017DE98"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58D68EB9" id="Group 2456849" o:spid="_x0000_s1540" style="width:9.7pt;height:23.4pt;mso-position-horizontal-relative:char;mso-position-vertical-relative:line"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">
                <v:rect id="Rectangle 951634" o:spid="_x0000_s1541"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" filled="f" stroked="f">
                  <v:textbox inset="0,0,0,0">
                    <w:txbxContent>
                      <w:p w14:paraId="6017DE98" w14:textId="77777777" w:rsidR="00053D93" w:rsidRDefault="00260B75">
                        <w:r>
                          <w:rPr>
                            <w:sz w:val="72"/>
                          </w:rPr>
                          <w:t>1</w:t>
                        </w:r>
                      </w:p>
                    </w:txbxContent>
                  </v:textbox>
                </v:rect>
                <w10:anchorlock/>
              </v:group>
            </w:pict>
          </mc:Fallback>
        </mc:AlternateContent>
      </w:r>
      <w:r>
        <w:rPr>
          <w:sz w:val="26"/>
        </w:rPr>
        <w:t xml:space="preserve"> 107 boletos aéreos a un precio unitario de Q4, 780.00, de conformidad con la oferta adjudicada en el evento, el no haber incluido en el acta de liquidación los Ahora analicemos lo que dice la cláusula quinta del Contrato Administrativo </w:t>
      </w:r>
      <w:r>
        <w:rPr>
          <w:noProof/>
        </w:rPr>
        <mc:AlternateContent>
          <mc:Choice Requires="wpg">
            <w:drawing>
              <wp:inline distT="0" distB="0" distL="0" distR="0" wp14:anchorId="1BD1D607" wp14:editId="5C0C953F">
                <wp:extent cx="118872" cy="297180"/>
                <wp:effectExtent l="0" t="0" r="0" b="0"/>
                <wp:docPr id="2456850" name="Group 2456850"/>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951635" name="Rectangle 951635"/>
                        <wps:cNvSpPr/>
                        <wps:spPr>
                          <a:xfrm>
                            <a:off x="0" y="0"/>
                            <a:ext cx="158100" cy="395249"/>
                          </a:xfrm>
                          <a:prstGeom prst="rect">
                            <a:avLst/>
                          </a:prstGeom>
                          <a:ln>
                            <a:noFill/>
                          </a:ln>
                        </wps:spPr>
                        <wps:txbx>
                          <w:txbxContent>
                            <w:p w14:paraId="78FF08C7"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1BD1D607" id="Group 2456850" o:spid="_x0000_s1542"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">
                <v:rect id="Rectangle 951635" o:spid="_x0000_s1543"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" filled="f" stroked="f">
                  <v:textbox inset="0,0,0,0">
                    <w:txbxContent>
                      <w:p w14:paraId="78FF08C7" w14:textId="77777777" w:rsidR="00053D93" w:rsidRDefault="00260B75">
                        <w:r>
                          <w:rPr>
                            <w:sz w:val="70"/>
                          </w:rPr>
                          <w:t>1</w:t>
                        </w:r>
                      </w:p>
                    </w:txbxContent>
                  </v:textbox>
                </v:rect>
                <w10:anchorlock/>
              </v:group>
            </w:pict>
          </mc:Fallback>
        </mc:AlternateContent>
      </w:r>
      <w:r>
        <w:rPr>
          <w:sz w:val="26"/>
        </w:rPr>
        <w:t xml:space="preserve"> 01-2024-DIGEF-CD. "Cláusula QUINTA. FORMA DE PAGO Y PARTIDA PRESUPUESTARIA. FORMA DE PAGO: El monto del presente contrato será cubierto por "LA DIGEF" mediante un único pago en quetzales, contra entrega de la cantidad final de boletos aéreos requeridos, a entera satisfacción del Ministerio de Educación a entera satisfacción del Ministerio de Educación" Io que implica que </w:t>
      </w:r>
      <w:r>
        <w:rPr>
          <w:noProof/>
        </w:rPr>
        <mc:AlternateContent>
          <mc:Choice Requires="wpg">
            <w:drawing>
              <wp:inline distT="0" distB="0" distL="0" distR="0" wp14:anchorId="69C66F65" wp14:editId="7CAC69E7">
                <wp:extent cx="128016" cy="297180"/>
                <wp:effectExtent l="0" t="0" r="0" b="0"/>
                <wp:docPr id="2456852" name="Group 2456852"/>
                <wp:cNvGraphicFramePr/>
                <a:graphic xmlns:a="http://schemas.openxmlformats.org/drawingml/2006/main">
                  <a:graphicData uri="http://schemas.microsoft.com/office/word/2010/wordprocessingGroup">
                    <wpg:wgp>
                      <wpg:cNvGrpSpPr/>
                      <wpg:grpSpPr>
                        <a:xfrm>
                          <a:off x="0" y="0"/>
                          <a:ext cx="128016" cy="297180"/>
                          <a:chOff x="0" y="0"/>
                          <a:chExt cx="128016" cy="297180"/>
                        </a:xfrm>
                      </wpg:grpSpPr>
                      <wps:wsp>
                        <wps:cNvPr id="951637" name="Rectangle 951637"/>
                        <wps:cNvSpPr/>
                        <wps:spPr>
                          <a:xfrm>
                            <a:off x="0" y="0"/>
                            <a:ext cx="170261" cy="395249"/>
                          </a:xfrm>
                          <a:prstGeom prst="rect">
                            <a:avLst/>
                          </a:prstGeom>
                          <a:ln>
                            <a:noFill/>
                          </a:ln>
                        </wps:spPr>
                        <wps:txbx>
                          <w:txbxContent>
                            <w:p w14:paraId="1236B78B"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69C66F65" id="Group 2456852" o:spid="_x0000_s1544" style="width:10.1pt;height:23.4pt;mso-position-horizontal-relative:char;mso-position-vertical-relative:line" coordsize="128016,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">
                <v:rect id="Rectangle 951637" o:spid="_x0000_s1545" style="position:absolute;width:17026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" filled="f" stroked="f">
                  <v:textbox inset="0,0,0,0">
                    <w:txbxContent>
                      <w:p w14:paraId="1236B78B" w14:textId="77777777" w:rsidR="00053D93" w:rsidRDefault="00260B75">
                        <w:r>
                          <w:rPr>
                            <w:sz w:val="74"/>
                          </w:rPr>
                          <w:t>1</w:t>
                        </w:r>
                      </w:p>
                    </w:txbxContent>
                  </v:textbox>
                </v:rect>
                <w10:anchorlock/>
              </v:group>
            </w:pict>
          </mc:Fallback>
        </mc:AlternateContent>
      </w:r>
      <w:r>
        <w:rPr>
          <w:sz w:val="26"/>
        </w:rPr>
        <w:t xml:space="preserve"> al final, del monto cotizado es uno por la implicación del término hasta, y lo requerido fue solamente la cantidad de 107 boletos, mismos que según indica la comisión receptora y liquidadora, manifestó haber recibido de conformidad y a </w:t>
      </w:r>
      <w:r>
        <w:rPr>
          <w:noProof/>
        </w:rPr>
        <mc:AlternateContent>
          <mc:Choice Requires="wpg">
            <w:drawing>
              <wp:inline distT="0" distB="0" distL="0" distR="0" wp14:anchorId="7D67B88D" wp14:editId="0F200052">
                <wp:extent cx="118872" cy="297180"/>
                <wp:effectExtent l="0" t="0" r="0" b="0"/>
                <wp:docPr id="2456853" name="Group 2456853"/>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951638" name="Rectangle 951638"/>
                        <wps:cNvSpPr/>
                        <wps:spPr>
                          <a:xfrm>
                            <a:off x="0" y="0"/>
                            <a:ext cx="158100" cy="395250"/>
                          </a:xfrm>
                          <a:prstGeom prst="rect">
                            <a:avLst/>
                          </a:prstGeom>
                          <a:ln>
                            <a:noFill/>
                          </a:ln>
                        </wps:spPr>
                        <wps:txbx>
                          <w:txbxContent>
                            <w:p w14:paraId="2EAB3767"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D67B88D" id="Group 2456853" o:spid="_x0000_s1546"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">
                <v:rect id="Rectangle 951638" o:spid="_x0000_s1547"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" filled="f" stroked="f">
                  <v:textbox inset="0,0,0,0">
                    <w:txbxContent>
                      <w:p w14:paraId="2EAB3767" w14:textId="77777777" w:rsidR="00053D93" w:rsidRDefault="00260B75">
                        <w:r>
                          <w:rPr>
                            <w:sz w:val="70"/>
                          </w:rPr>
                          <w:t>1</w:t>
                        </w:r>
                      </w:p>
                    </w:txbxContent>
                  </v:textbox>
                </v:rect>
                <w10:anchorlock/>
              </v:group>
            </w:pict>
          </mc:Fallback>
        </mc:AlternateContent>
      </w:r>
      <w:r>
        <w:rPr>
          <w:sz w:val="26"/>
        </w:rPr>
        <w:t xml:space="preserve"> entera satisfacción.</w:t>
      </w:r>
    </w:p>
    <w:p w14:paraId="183332BB" w14:textId="77777777" w:rsidR="00053D93" w:rsidRDefault="00260B75">
      <w:pPr>
        <w:spacing w:after="3" w:line="216" w:lineRule="auto"/>
        <w:ind w:left="86" w:firstLine="1498"/>
      </w:pPr>
      <w:r>
        <w:rPr>
          <w:noProof/>
        </w:rPr>
        <mc:AlternateContent>
          <mc:Choice Requires="wpg">
            <w:drawing>
              <wp:anchor distT="0" distB="0" distL="114300" distR="114300" simplePos="0" relativeHeight="252152832" behindDoc="0" locked="0" layoutInCell="1" allowOverlap="1" wp14:anchorId="59B91072" wp14:editId="2BB8CA45">
                <wp:simplePos x="0" y="0"/>
                <wp:positionH relativeFrom="column">
                  <wp:posOffset>50292</wp:posOffset>
                </wp:positionH>
                <wp:positionV relativeFrom="paragraph">
                  <wp:posOffset>6895</wp:posOffset>
                </wp:positionV>
                <wp:extent cx="114300" cy="297180"/>
                <wp:effectExtent l="0" t="0" r="0" b="0"/>
                <wp:wrapSquare wrapText="bothSides"/>
                <wp:docPr id="2456854" name="Group 2456854"/>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951639" name="Rectangle 951639"/>
                        <wps:cNvSpPr/>
                        <wps:spPr>
                          <a:xfrm>
                            <a:off x="0" y="0"/>
                            <a:ext cx="152019" cy="395250"/>
                          </a:xfrm>
                          <a:prstGeom prst="rect">
                            <a:avLst/>
                          </a:prstGeom>
                          <a:ln>
                            <a:noFill/>
                          </a:ln>
                        </wps:spPr>
                        <wps:txbx>
                          <w:txbxContent>
                            <w:p w14:paraId="393FCC0D"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59B91072" id="Group 2456854" o:spid="_x0000_s1548" style="position:absolute;left:0;text-align:left;margin-left:3.95pt;margin-top:.55pt;width:9pt;height:23.4pt;z-index:252152832;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">
                <v:rect id="Rectangle 951639" o:spid="_x0000_s1549"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" filled="f" stroked="f">
                  <v:textbox inset="0,0,0,0">
                    <w:txbxContent>
                      <w:p w14:paraId="393FCC0D" w14:textId="77777777" w:rsidR="00053D93" w:rsidRDefault="00260B75">
                        <w:r>
                          <w:rPr>
                            <w:sz w:val="70"/>
                          </w:rPr>
                          <w:t>1</w:t>
                        </w:r>
                      </w:p>
                    </w:txbxContent>
                  </v:textbox>
                </v:rect>
                <w10:wrap type="square"/>
              </v:group>
            </w:pict>
          </mc:Fallback>
        </mc:AlternateContent>
      </w:r>
      <w:r>
        <w:rPr>
          <w:sz w:val="26"/>
        </w:rPr>
        <w:t>En síntesis, se cotizaron y adjudicaron 188 boletos, en el evento de cotización identificado con NOG: 24709395, y descripción: SERVICIO DE TRANSPORTE AÉREO PARA LA DELEGACIÓN DEPORTIVA ESCOLAR DE GUATEMALA QUE 1</w:t>
      </w:r>
      <w:r>
        <w:rPr>
          <w:sz w:val="26"/>
        </w:rPr>
        <w:tab/>
        <w:t>PARTICIPARÁ EN LOS JUEGOS DEPORTIVOS ESCOLARES</w:t>
      </w:r>
    </w:p>
    <w:p w14:paraId="7F2DE6B4" w14:textId="77777777" w:rsidR="00053D93" w:rsidRDefault="00260B75">
      <w:pPr>
        <w:pStyle w:val="Ttulo4"/>
        <w:spacing w:after="261"/>
        <w:ind w:left="1753"/>
      </w:pPr>
      <w:r>
        <w:t>CENTROAMERICANOS DEL CODICADER, PARA ESTUDIANTES CON DISCAPACIDAD, A REALIZARSE EN PANAMÁ, PANAMÁ; A SOLICITUD DE LA</w:t>
      </w:r>
    </w:p>
    <w:p w14:paraId="1EF87F21" w14:textId="77777777" w:rsidR="00053D93" w:rsidRDefault="00260B75">
      <w:pPr>
        <w:spacing w:after="118" w:line="269" w:lineRule="auto"/>
        <w:ind w:left="60" w:right="14" w:hanging="3"/>
        <w:jc w:val="both"/>
      </w:pPr>
      <w:r>
        <w:rPr>
          <w:sz w:val="26"/>
        </w:rPr>
        <w:t xml:space="preserve">1 DIGEF. De esos 188 boletos, el listado final fue de solamente 107 boletos necesarios, mismos que según indica la comisión receptora y liquidadora, 1 manifestó haber recibido de conformidad y a entera satisfacción y se apega a lo estipulado en la cláusula segunda del contrato administrativo " MONTO: El monto total del presente contrato es de hasta NOVECIENTOS MIL QUETZALES 1 </w:t>
      </w:r>
      <w:r>
        <w:rPr>
          <w:noProof/>
        </w:rPr>
        <w:drawing>
          <wp:inline distT="0" distB="0" distL="0" distR="0" wp14:anchorId="6B347F46" wp14:editId="580381D6">
            <wp:extent cx="978408" cy="150876"/>
            <wp:effectExtent l="0" t="0" r="0" b="0"/>
            <wp:docPr id="954650" name="Picture 954650"/>
            <wp:cNvGraphicFramePr/>
            <a:graphic xmlns:a="http://schemas.openxmlformats.org/drawingml/2006/main">
              <a:graphicData uri="http://schemas.openxmlformats.org/drawingml/2006/picture">
                <pic:pic xmlns:pic="http://schemas.openxmlformats.org/drawingml/2006/picture">
                  <pic:nvPicPr>
                    <pic:cNvPr id="954650" name="Picture 954650"/>
                    <pic:cNvPicPr/>
                  </pic:nvPicPr>
                  <pic:blipFill>
                    <a:blip r:embed="rId1314"/>
                    <a:stretch>
                      <a:fillRect/>
                    </a:stretch>
                  </pic:blipFill>
                  <pic:spPr>
                    <a:xfrm>
                      <a:off x="0" y="0"/>
                      <a:ext cx="978408" cy="150876"/>
                    </a:xfrm>
                    <a:prstGeom prst="rect">
                      <a:avLst/>
                    </a:prstGeom>
                  </pic:spPr>
                </pic:pic>
              </a:graphicData>
            </a:graphic>
          </wp:inline>
        </w:drawing>
      </w:r>
      <w:r>
        <w:rPr>
          <w:sz w:val="26"/>
        </w:rPr>
        <w:t xml:space="preserve"> integrado de la siguiente forma: B. 1 BOLETOS: El monto por el servicio de transporte aéreo ida y vuelta GUATEMALA-PANAMA para la Delegación Deportiva Escolar de Guatemala que participara en los Juegos 1 Deportivos Escolares Centroamericanos del CODICADER, para estudiantes con discapacidad, es de hasta OCHOCIENTOS NOVENTA Y OCHO MIL 1 SEISCIENTOS CUARENTA QUETZALES EXACTOS (Q.898,640.OO), siendo un total de ciento ochenta y ocho (188) boletos aéreos adjudicados, pudiendo ser menos."</w:t>
      </w:r>
    </w:p>
    <w:p w14:paraId="3E31D2A8" w14:textId="77777777" w:rsidR="00053D93" w:rsidRDefault="00260B75">
      <w:pPr>
        <w:spacing w:after="3"/>
        <w:ind w:left="147" w:right="43" w:hanging="10"/>
      </w:pPr>
      <w:r>
        <w:rPr>
          <w:sz w:val="74"/>
        </w:rPr>
        <w:t>1</w:t>
      </w:r>
    </w:p>
    <w:p w14:paraId="186B3D51" w14:textId="77777777" w:rsidR="00053D93" w:rsidRDefault="00260B75">
      <w:pPr>
        <w:spacing w:after="4" w:line="269" w:lineRule="auto"/>
        <w:ind w:left="166" w:right="14" w:firstLine="1606"/>
        <w:jc w:val="both"/>
      </w:pPr>
      <w:r>
        <w:rPr>
          <w:sz w:val="26"/>
        </w:rPr>
        <w:t>Por lo tanto, si se toma en cuenta lo estipulado en el Contrato Administrativo 01-2024-DIGEF-CD. "Cláusula QUINTA. FORMA DE PAGO Y PARTIDA 1 PRESUPUESTARIA. FORMA DE PAGO: El monto del presente contrato será cubierto por 'LA DIGEF", mediante un único pago en quetzales, contra entrega de la cantidad final de boletos aéreos requeridos, a entera satisfacción del Ministerio</w:t>
      </w:r>
    </w:p>
    <w:tbl>
      <w:tblPr>
        <w:tblStyle w:val="TableGrid"/>
        <w:tblW w:w="9439" w:type="dxa"/>
        <w:tblInd w:w="821" w:type="dxa"/>
        <w:tblLook w:val="04A0" w:firstRow="1" w:lastRow="0" w:firstColumn="1" w:lastColumn="0" w:noHBand="0" w:noVBand="1"/>
      </w:tblPr>
      <w:tblGrid>
        <w:gridCol w:w="1226"/>
        <w:gridCol w:w="8234"/>
      </w:tblGrid>
      <w:tr w:rsidR="00053D93" w14:paraId="05181043" w14:textId="77777777">
        <w:trPr>
          <w:trHeight w:val="648"/>
        </w:trPr>
        <w:tc>
          <w:tcPr>
            <w:tcW w:w="1724" w:type="dxa"/>
            <w:tcBorders>
              <w:top w:val="nil"/>
              <w:left w:val="nil"/>
              <w:bottom w:val="nil"/>
              <w:right w:val="nil"/>
            </w:tcBorders>
          </w:tcPr>
          <w:p w14:paraId="651C0E70" w14:textId="77777777" w:rsidR="00053D93" w:rsidRDefault="00260B75">
            <w:r>
              <w:rPr>
                <w:noProof/>
              </w:rPr>
              <w:drawing>
                <wp:inline distT="0" distB="0" distL="0" distR="0" wp14:anchorId="1998CDAE" wp14:editId="16174502">
                  <wp:extent cx="1065276" cy="411480"/>
                  <wp:effectExtent l="0" t="0" r="0" b="0"/>
                  <wp:docPr id="954651" name="Picture 954651"/>
                  <wp:cNvGraphicFramePr/>
                  <a:graphic xmlns:a="http://schemas.openxmlformats.org/drawingml/2006/main">
                    <a:graphicData uri="http://schemas.openxmlformats.org/drawingml/2006/picture">
                      <pic:pic xmlns:pic="http://schemas.openxmlformats.org/drawingml/2006/picture">
                        <pic:nvPicPr>
                          <pic:cNvPr id="954651" name="Picture 954651"/>
                          <pic:cNvPicPr/>
                        </pic:nvPicPr>
                        <pic:blipFill>
                          <a:blip r:embed="rId1315"/>
                          <a:stretch>
                            <a:fillRect/>
                          </a:stretch>
                        </pic:blipFill>
                        <pic:spPr>
                          <a:xfrm>
                            <a:off x="0" y="0"/>
                            <a:ext cx="1065276" cy="411480"/>
                          </a:xfrm>
                          <a:prstGeom prst="rect">
                            <a:avLst/>
                          </a:prstGeom>
                        </pic:spPr>
                      </pic:pic>
                    </a:graphicData>
                  </a:graphic>
                </wp:inline>
              </w:drawing>
            </w:r>
          </w:p>
        </w:tc>
        <w:tc>
          <w:tcPr>
            <w:tcW w:w="7715" w:type="dxa"/>
            <w:tcBorders>
              <w:top w:val="nil"/>
              <w:left w:val="nil"/>
              <w:bottom w:val="nil"/>
              <w:right w:val="nil"/>
            </w:tcBorders>
          </w:tcPr>
          <w:p w14:paraId="0062B981" w14:textId="77777777" w:rsidR="00053D93" w:rsidRDefault="00053D93">
            <w:pPr>
              <w:ind w:left="-2833" w:right="10548"/>
            </w:pPr>
          </w:p>
          <w:tbl>
            <w:tblPr>
              <w:tblStyle w:val="TableGrid"/>
              <w:tblW w:w="7668" w:type="dxa"/>
              <w:tblInd w:w="47" w:type="dxa"/>
              <w:tblCellMar>
                <w:top w:w="33" w:type="dxa"/>
                <w:left w:w="1778" w:type="dxa"/>
                <w:right w:w="115" w:type="dxa"/>
              </w:tblCellMar>
              <w:tblLook w:val="04A0" w:firstRow="1" w:lastRow="0" w:firstColumn="1" w:lastColumn="0" w:noHBand="0" w:noVBand="1"/>
            </w:tblPr>
            <w:tblGrid>
              <w:gridCol w:w="7668"/>
            </w:tblGrid>
            <w:tr w:rsidR="00053D93" w14:paraId="7DDE1CF3" w14:textId="77777777">
              <w:trPr>
                <w:trHeight w:val="615"/>
              </w:trPr>
              <w:tc>
                <w:tcPr>
                  <w:tcW w:w="7668" w:type="dxa"/>
                  <w:tcBorders>
                    <w:top w:val="single" w:sz="2" w:space="0" w:color="000000"/>
                    <w:left w:val="single" w:sz="2" w:space="0" w:color="000000"/>
                    <w:bottom w:val="nil"/>
                    <w:right w:val="nil"/>
                  </w:tcBorders>
                </w:tcPr>
                <w:p w14:paraId="66734308" w14:textId="77777777" w:rsidR="00053D93" w:rsidRDefault="00260B75">
                  <w:pPr>
                    <w:ind w:left="828"/>
                  </w:pPr>
                  <w:r>
                    <w:rPr>
                      <w:sz w:val="14"/>
                    </w:rPr>
                    <w:t>MINISTERIO DE EDUCACION</w:t>
                  </w:r>
                </w:p>
                <w:p w14:paraId="6EDF7A73" w14:textId="77777777" w:rsidR="00053D93" w:rsidRDefault="00260B75">
                  <w:pPr>
                    <w:ind w:left="331"/>
                  </w:pPr>
                  <w:r>
                    <w:rPr>
                      <w:sz w:val="14"/>
                    </w:rPr>
                    <w:t>AUDITORIA FINANCIERA Y DE CUMPLIMIENTO</w:t>
                  </w:r>
                </w:p>
                <w:p w14:paraId="0E696F43" w14:textId="77777777" w:rsidR="00053D93" w:rsidRDefault="00260B75">
                  <w:r>
                    <w:rPr>
                      <w:sz w:val="14"/>
                    </w:rPr>
                    <w:t>PERIODO DEL 01 OE ENERO AL 31 DE DICIEMBRE DE 2024</w:t>
                  </w:r>
                </w:p>
              </w:tc>
            </w:tr>
          </w:tbl>
          <w:p w14:paraId="4D099EA5" w14:textId="77777777" w:rsidR="00053D93" w:rsidRDefault="00053D93"/>
        </w:tc>
      </w:tr>
    </w:tbl>
    <w:p w14:paraId="07349889" w14:textId="77777777" w:rsidR="00053D93" w:rsidRDefault="00053D93">
      <w:pPr>
        <w:sectPr w:rsidR="00053D93">
          <w:headerReference w:type="even" r:id="rId1316"/>
          <w:headerReference w:type="default" r:id="rId1317"/>
          <w:footerReference w:type="even" r:id="rId1318"/>
          <w:footerReference w:type="default" r:id="rId1319"/>
          <w:headerReference w:type="first" r:id="rId1320"/>
          <w:footerReference w:type="first" r:id="rId1321"/>
          <w:pgSz w:w="12290" w:h="15883"/>
          <w:pgMar w:top="353" w:right="1721" w:bottom="532" w:left="288" w:header="641" w:footer="720" w:gutter="0"/>
          <w:cols w:space="720"/>
        </w:sectPr>
      </w:pPr>
    </w:p>
    <w:p w14:paraId="07CC6A1C" w14:textId="77777777" w:rsidR="00053D93" w:rsidRDefault="00260B75">
      <w:pPr>
        <w:spacing w:after="3"/>
        <w:ind w:left="10" w:right="3485" w:hanging="10"/>
      </w:pPr>
      <w:r>
        <w:rPr>
          <w:sz w:val="70"/>
        </w:rPr>
        <w:t>1</w:t>
      </w:r>
    </w:p>
    <w:p w14:paraId="480F5956" w14:textId="77777777" w:rsidR="00053D93" w:rsidRDefault="00260B75">
      <w:pPr>
        <w:spacing w:after="102" w:line="265" w:lineRule="auto"/>
        <w:ind w:left="3105" w:hanging="10"/>
      </w:pPr>
      <w:r>
        <w:rPr>
          <w:sz w:val="16"/>
        </w:rPr>
        <w:t xml:space="preserve">DE </w:t>
      </w:r>
    </w:p>
    <w:p w14:paraId="0FE315AE" w14:textId="77777777" w:rsidR="00053D93" w:rsidRDefault="00260B75">
      <w:pPr>
        <w:spacing w:after="20"/>
        <w:ind w:left="799" w:right="-533"/>
      </w:pPr>
      <w:r>
        <w:rPr>
          <w:noProof/>
        </w:rPr>
        <w:drawing>
          <wp:inline distT="0" distB="0" distL="0" distR="0" wp14:anchorId="15BF2B6E" wp14:editId="61F1DC4C">
            <wp:extent cx="6291071" cy="73152"/>
            <wp:effectExtent l="0" t="0" r="0" b="0"/>
            <wp:docPr id="2458712" name="Picture 2458712"/>
            <wp:cNvGraphicFramePr/>
            <a:graphic xmlns:a="http://schemas.openxmlformats.org/drawingml/2006/main">
              <a:graphicData uri="http://schemas.openxmlformats.org/drawingml/2006/picture">
                <pic:pic xmlns:pic="http://schemas.openxmlformats.org/drawingml/2006/picture">
                  <pic:nvPicPr>
                    <pic:cNvPr id="2458712" name="Picture 2458712"/>
                    <pic:cNvPicPr/>
                  </pic:nvPicPr>
                  <pic:blipFill>
                    <a:blip r:embed="rId1322"/>
                    <a:stretch>
                      <a:fillRect/>
                    </a:stretch>
                  </pic:blipFill>
                  <pic:spPr>
                    <a:xfrm>
                      <a:off x="0" y="0"/>
                      <a:ext cx="6291071" cy="73152"/>
                    </a:xfrm>
                    <a:prstGeom prst="rect">
                      <a:avLst/>
                    </a:prstGeom>
                  </pic:spPr>
                </pic:pic>
              </a:graphicData>
            </a:graphic>
          </wp:inline>
        </w:drawing>
      </w:r>
    </w:p>
    <w:p w14:paraId="15C37B19" w14:textId="77777777" w:rsidR="00053D93" w:rsidRDefault="00260B75">
      <w:pPr>
        <w:tabs>
          <w:tab w:val="right" w:pos="10181"/>
        </w:tabs>
        <w:spacing w:after="4" w:line="269" w:lineRule="auto"/>
      </w:pPr>
      <w:r>
        <w:rPr>
          <w:sz w:val="26"/>
        </w:rPr>
        <w:t>1</w:t>
      </w:r>
      <w:r>
        <w:rPr>
          <w:sz w:val="26"/>
        </w:rPr>
        <w:tab/>
        <w:t>de Educación", se puede concluir que el procedimiento está apegado a lo regulado</w:t>
      </w:r>
    </w:p>
    <w:p w14:paraId="07561B1E" w14:textId="77777777" w:rsidR="00053D93" w:rsidRDefault="00260B75">
      <w:pPr>
        <w:spacing w:after="4" w:line="216" w:lineRule="auto"/>
        <w:ind w:left="57" w:right="14" w:firstLine="1714"/>
        <w:jc w:val="both"/>
      </w:pPr>
      <w:r>
        <w:rPr>
          <w:sz w:val="26"/>
        </w:rPr>
        <w:t>en el citado evento identificado con el NOG. 4709395. Contrato que fue firmado y 1 aceptado por los signatarios de este en su parte conducente. En el postulado de</w:t>
      </w:r>
    </w:p>
    <w:p w14:paraId="0D5B07BF" w14:textId="77777777" w:rsidR="00053D93" w:rsidRDefault="00260B75">
      <w:pPr>
        <w:spacing w:after="233" w:line="269" w:lineRule="auto"/>
        <w:ind w:left="1709" w:right="14" w:hanging="3"/>
        <w:jc w:val="both"/>
      </w:pPr>
      <w:r>
        <w:rPr>
          <w:sz w:val="26"/>
        </w:rPr>
        <w:t>los señores auditores indican que no se mencionó lo que corresponde al servicio de flete contratado por la cantidad de Q1 ,360.00 y no aplicaron cobros ni</w:t>
      </w:r>
    </w:p>
    <w:p w14:paraId="7844E68D" w14:textId="77777777" w:rsidR="00053D93" w:rsidRDefault="00260B75">
      <w:pPr>
        <w:spacing w:after="202" w:line="269" w:lineRule="auto"/>
        <w:ind w:left="60" w:right="14" w:hanging="3"/>
        <w:jc w:val="both"/>
      </w:pPr>
      <w:r>
        <w:rPr>
          <w:sz w:val="26"/>
        </w:rPr>
        <w:t>1 sanciones al contratista; en cuanto a esto el evento aún se encuentra en su fase de liquidación y la Junta Receptora y Liquidadora podrá ampliar su acta correspondiente tomando en consideración lo estipulado en el artículo 56 y 57 de 1 la Ley de Contrataciones del Estado, haciendo las observaciones y ajustes que consideren aplicables.</w:t>
      </w:r>
    </w:p>
    <w:p w14:paraId="064DA9F6" w14:textId="77777777" w:rsidR="00053D93" w:rsidRDefault="00260B75">
      <w:pPr>
        <w:spacing w:after="3"/>
        <w:ind w:left="74" w:right="3485" w:hanging="10"/>
      </w:pPr>
      <w:r>
        <w:rPr>
          <w:sz w:val="70"/>
        </w:rPr>
        <w:t>1</w:t>
      </w:r>
    </w:p>
    <w:p w14:paraId="6C7DE3DC" w14:textId="77777777" w:rsidR="00053D93" w:rsidRDefault="00260B75">
      <w:pPr>
        <w:spacing w:after="0"/>
        <w:ind w:right="36"/>
        <w:jc w:val="right"/>
      </w:pPr>
      <w:r>
        <w:rPr>
          <w:sz w:val="28"/>
        </w:rPr>
        <w:t>Contrato Administrativo 01-2024-DIGEF-CD. "Cláusula QUINTA. FORMA DE</w:t>
      </w:r>
    </w:p>
    <w:p w14:paraId="349B502E" w14:textId="77777777" w:rsidR="00053D93" w:rsidRDefault="00260B75">
      <w:pPr>
        <w:spacing w:after="4" w:line="269" w:lineRule="auto"/>
        <w:ind w:left="-7" w:right="14" w:firstLine="1706"/>
        <w:jc w:val="both"/>
      </w:pPr>
      <w:r>
        <w:rPr>
          <w:sz w:val="26"/>
        </w:rPr>
        <w:t xml:space="preserve">PAGO Y PARTIDA PRESUPUESTARIA. FORMA DE PAGO: El monto del </w:t>
      </w:r>
      <w:r>
        <w:rPr>
          <w:noProof/>
        </w:rPr>
        <w:drawing>
          <wp:inline distT="0" distB="0" distL="0" distR="0" wp14:anchorId="169D3870" wp14:editId="288AD896">
            <wp:extent cx="4572" cy="4572"/>
            <wp:effectExtent l="0" t="0" r="0" b="0"/>
            <wp:docPr id="958324" name="Picture 958324"/>
            <wp:cNvGraphicFramePr/>
            <a:graphic xmlns:a="http://schemas.openxmlformats.org/drawingml/2006/main">
              <a:graphicData uri="http://schemas.openxmlformats.org/drawingml/2006/picture">
                <pic:pic xmlns:pic="http://schemas.openxmlformats.org/drawingml/2006/picture">
                  <pic:nvPicPr>
                    <pic:cNvPr id="958324" name="Picture 958324"/>
                    <pic:cNvPicPr/>
                  </pic:nvPicPr>
                  <pic:blipFill>
                    <a:blip r:embed="rId845"/>
                    <a:stretch>
                      <a:fillRect/>
                    </a:stretch>
                  </pic:blipFill>
                  <pic:spPr>
                    <a:xfrm>
                      <a:off x="0" y="0"/>
                      <a:ext cx="4572" cy="4572"/>
                    </a:xfrm>
                    <a:prstGeom prst="rect">
                      <a:avLst/>
                    </a:prstGeom>
                  </pic:spPr>
                </pic:pic>
              </a:graphicData>
            </a:graphic>
          </wp:inline>
        </w:drawing>
      </w:r>
      <w:r>
        <w:rPr>
          <w:sz w:val="26"/>
        </w:rPr>
        <w:t>1 presente contrato será cubierto por "LA DIGEF" mediante un único pago en quetzales, contra entrega de la cantidad final de boletos aéreos requeridos, a entera satisfacción del Ministerio de Educación, mediante acreditamiento en la 1 cuenta de depósitos monetarios que 'LA CONTRATISTA" tenga registrada en la</w:t>
      </w:r>
    </w:p>
    <w:p w14:paraId="455FC5DC" w14:textId="77777777" w:rsidR="00053D93" w:rsidRDefault="00260B75">
      <w:pPr>
        <w:spacing w:after="4" w:line="216" w:lineRule="auto"/>
        <w:ind w:left="57" w:right="14" w:firstLine="1670"/>
        <w:jc w:val="both"/>
      </w:pPr>
      <w:r>
        <w:rPr>
          <w:sz w:val="26"/>
        </w:rPr>
        <w:t>Tesorería Nacional, dentro del plazo establecido en el Artículo 62 del Decreto 1 número 57-92 del Congreso de la República de Guatemala, Ley de Contrataciones</w:t>
      </w:r>
    </w:p>
    <w:p w14:paraId="063657E6" w14:textId="77777777" w:rsidR="00053D93" w:rsidRDefault="00260B75">
      <w:pPr>
        <w:spacing w:after="426" w:line="269" w:lineRule="auto"/>
        <w:ind w:left="-14" w:right="14" w:firstLine="1699"/>
        <w:jc w:val="both"/>
      </w:pPr>
      <w:r>
        <w:rPr>
          <w:noProof/>
        </w:rPr>
        <w:drawing>
          <wp:anchor distT="0" distB="0" distL="114300" distR="114300" simplePos="0" relativeHeight="252153856" behindDoc="0" locked="0" layoutInCell="1" allowOverlap="0" wp14:anchorId="71A3B94C" wp14:editId="31088B67">
            <wp:simplePos x="0" y="0"/>
            <wp:positionH relativeFrom="page">
              <wp:posOffset>7155179</wp:posOffset>
            </wp:positionH>
            <wp:positionV relativeFrom="page">
              <wp:posOffset>4073652</wp:posOffset>
            </wp:positionV>
            <wp:extent cx="13717" cy="13717"/>
            <wp:effectExtent l="0" t="0" r="0" b="0"/>
            <wp:wrapSquare wrapText="bothSides"/>
            <wp:docPr id="958325" name="Picture 958325"/>
            <wp:cNvGraphicFramePr/>
            <a:graphic xmlns:a="http://schemas.openxmlformats.org/drawingml/2006/main">
              <a:graphicData uri="http://schemas.openxmlformats.org/drawingml/2006/picture">
                <pic:pic xmlns:pic="http://schemas.openxmlformats.org/drawingml/2006/picture">
                  <pic:nvPicPr>
                    <pic:cNvPr id="958325" name="Picture 958325"/>
                    <pic:cNvPicPr/>
                  </pic:nvPicPr>
                  <pic:blipFill>
                    <a:blip r:embed="rId1323"/>
                    <a:stretch>
                      <a:fillRect/>
                    </a:stretch>
                  </pic:blipFill>
                  <pic:spPr>
                    <a:xfrm>
                      <a:off x="0" y="0"/>
                      <a:ext cx="13717" cy="13717"/>
                    </a:xfrm>
                    <a:prstGeom prst="rect">
                      <a:avLst/>
                    </a:prstGeom>
                  </pic:spPr>
                </pic:pic>
              </a:graphicData>
            </a:graphic>
          </wp:anchor>
        </w:drawing>
      </w:r>
      <w:r>
        <w:rPr>
          <w:noProof/>
        </w:rPr>
        <mc:AlternateContent>
          <mc:Choice Requires="wpg">
            <w:drawing>
              <wp:anchor distT="0" distB="0" distL="114300" distR="114300" simplePos="0" relativeHeight="252154880" behindDoc="0" locked="0" layoutInCell="1" allowOverlap="1" wp14:anchorId="2FD8AC63" wp14:editId="265A0DC2">
                <wp:simplePos x="0" y="0"/>
                <wp:positionH relativeFrom="column">
                  <wp:posOffset>9144</wp:posOffset>
                </wp:positionH>
                <wp:positionV relativeFrom="paragraph">
                  <wp:posOffset>800769</wp:posOffset>
                </wp:positionV>
                <wp:extent cx="118872" cy="297180"/>
                <wp:effectExtent l="0" t="0" r="0" b="0"/>
                <wp:wrapSquare wrapText="bothSides"/>
                <wp:docPr id="2456878" name="Group 2456878"/>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955312" name="Rectangle 955312"/>
                        <wps:cNvSpPr/>
                        <wps:spPr>
                          <a:xfrm>
                            <a:off x="0" y="0"/>
                            <a:ext cx="158100" cy="395250"/>
                          </a:xfrm>
                          <a:prstGeom prst="rect">
                            <a:avLst/>
                          </a:prstGeom>
                          <a:ln>
                            <a:noFill/>
                          </a:ln>
                        </wps:spPr>
                        <wps:txbx>
                          <w:txbxContent>
                            <w:p w14:paraId="5FF9CAF4"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2FD8AC63" id="Group 2456878" o:spid="_x0000_s1550" style="position:absolute;left:0;text-align:left;margin-left:.7pt;margin-top:63.05pt;width:9.35pt;height:23.4pt;z-index:252154880;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">
                <v:rect id="Rectangle 955312" o:spid="_x0000_s1551"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" filled="f" stroked="f">
                  <v:textbox inset="0,0,0,0">
                    <w:txbxContent>
                      <w:p w14:paraId="5FF9CAF4" w14:textId="77777777" w:rsidR="00053D93" w:rsidRDefault="00260B75">
                        <w:r>
                          <w:rPr>
                            <w:sz w:val="72"/>
                          </w:rPr>
                          <w:t>1</w:t>
                        </w:r>
                      </w:p>
                    </w:txbxContent>
                  </v:textbox>
                </v:rect>
                <w10:wrap type="square"/>
              </v:group>
            </w:pict>
          </mc:Fallback>
        </mc:AlternateContent>
      </w:r>
      <w:r>
        <w:rPr>
          <w:sz w:val="26"/>
        </w:rPr>
        <w:t xml:space="preserve">del Estado y Artículo 47 del Acuerdo Gubernativo número 122-2016, Reglamento de la Ley de Contrataciones del Estado, previa presentación de la Factura </w:t>
      </w:r>
      <w:r>
        <w:rPr>
          <w:noProof/>
        </w:rPr>
        <w:drawing>
          <wp:inline distT="0" distB="0" distL="0" distR="0" wp14:anchorId="67CEA35E" wp14:editId="7D5E2975">
            <wp:extent cx="9144" cy="9144"/>
            <wp:effectExtent l="0" t="0" r="0" b="0"/>
            <wp:docPr id="958326" name="Picture 958326"/>
            <wp:cNvGraphicFramePr/>
            <a:graphic xmlns:a="http://schemas.openxmlformats.org/drawingml/2006/main">
              <a:graphicData uri="http://schemas.openxmlformats.org/drawingml/2006/picture">
                <pic:pic xmlns:pic="http://schemas.openxmlformats.org/drawingml/2006/picture">
                  <pic:nvPicPr>
                    <pic:cNvPr id="958326" name="Picture 958326"/>
                    <pic:cNvPicPr/>
                  </pic:nvPicPr>
                  <pic:blipFill>
                    <a:blip r:embed="rId93"/>
                    <a:stretch>
                      <a:fillRect/>
                    </a:stretch>
                  </pic:blipFill>
                  <pic:spPr>
                    <a:xfrm>
                      <a:off x="0" y="0"/>
                      <a:ext cx="9144" cy="9144"/>
                    </a:xfrm>
                    <a:prstGeom prst="rect">
                      <a:avLst/>
                    </a:prstGeom>
                  </pic:spPr>
                </pic:pic>
              </a:graphicData>
            </a:graphic>
          </wp:inline>
        </w:drawing>
      </w:r>
      <w:r>
        <w:rPr>
          <w:sz w:val="26"/>
        </w:rPr>
        <w:t>1 Electrónica en Línea -FEL- correspondientes, emitida con las formalidades de ley, que en ningún caso excederá el valor del presente contrato y los demás documentos indicados en las bases del proceso de cotización indicado o las especificaciones de la Compra Directa."</w:t>
      </w:r>
    </w:p>
    <w:p w14:paraId="6DD6D743" w14:textId="77777777" w:rsidR="00053D93" w:rsidRDefault="00260B75">
      <w:pPr>
        <w:spacing w:after="128" w:line="339" w:lineRule="auto"/>
        <w:ind w:left="1670" w:hanging="1649"/>
      </w:pPr>
      <w:r>
        <w:rPr>
          <w:sz w:val="26"/>
        </w:rPr>
        <w:t>1</w:t>
      </w:r>
      <w:r>
        <w:rPr>
          <w:sz w:val="26"/>
        </w:rPr>
        <w:tab/>
        <w:t xml:space="preserve">QUINTO </w:t>
      </w:r>
      <w:r>
        <w:rPr>
          <w:sz w:val="26"/>
        </w:rPr>
        <w:tab/>
        <w:t xml:space="preserve">ENUNCIADO </w:t>
      </w:r>
      <w:r>
        <w:rPr>
          <w:sz w:val="26"/>
        </w:rPr>
        <w:tab/>
        <w:t xml:space="preserve">SEÑALADO </w:t>
      </w:r>
      <w:r>
        <w:rPr>
          <w:sz w:val="26"/>
        </w:rPr>
        <w:tab/>
        <w:t xml:space="preserve">POR </w:t>
      </w:r>
      <w:r>
        <w:rPr>
          <w:sz w:val="26"/>
        </w:rPr>
        <w:tab/>
        <w:t xml:space="preserve">LOS </w:t>
      </w:r>
      <w:r>
        <w:rPr>
          <w:sz w:val="26"/>
        </w:rPr>
        <w:tab/>
        <w:t>AUDITORES GUBERNAMENTALES. Se confirmó que no se ha realizado el pago correspondiente al monto determinado por la Comisión receptora y liquidadora,</w:t>
      </w:r>
    </w:p>
    <w:p w14:paraId="660D14D5" w14:textId="77777777" w:rsidR="00053D93" w:rsidRDefault="00260B75">
      <w:pPr>
        <w:tabs>
          <w:tab w:val="right" w:pos="10181"/>
        </w:tabs>
        <w:spacing w:after="4" w:line="269" w:lineRule="auto"/>
      </w:pPr>
      <w:r>
        <w:rPr>
          <w:sz w:val="26"/>
        </w:rPr>
        <w:t>1</w:t>
      </w:r>
      <w:r>
        <w:rPr>
          <w:sz w:val="26"/>
        </w:rPr>
        <w:tab/>
        <w:t>debido a que la entidad LAX TRAVEL, S.A. envió el Documento Tributario</w:t>
      </w:r>
    </w:p>
    <w:p w14:paraId="1EE51403" w14:textId="77777777" w:rsidR="00053D93" w:rsidRDefault="00260B75">
      <w:pPr>
        <w:spacing w:after="197" w:line="269" w:lineRule="auto"/>
        <w:ind w:left="57" w:right="14" w:firstLine="1642"/>
        <w:jc w:val="both"/>
      </w:pPr>
      <w:r>
        <w:rPr>
          <w:sz w:val="26"/>
        </w:rPr>
        <w:t>Electrónico Número: 2490581832, serie: 18F821 DD, del 16 de diciembre de 2024, 1 al Viceministro Técnico del Ministerio de Educación, mediante oficio sin número, del 16 de diciembre de 2024 por la cantidad de Q900,000.00, por concepto de servicio de transporte aéreo por 107 pasajeros y un servicio de flete, en donde le</w:t>
      </w:r>
    </w:p>
    <w:p w14:paraId="553D6864" w14:textId="77777777" w:rsidR="00053D93" w:rsidRDefault="00260B75">
      <w:pPr>
        <w:spacing w:after="27" w:line="269" w:lineRule="auto"/>
        <w:ind w:left="-14" w:right="14" w:firstLine="43"/>
        <w:jc w:val="both"/>
      </w:pPr>
      <w:r>
        <w:rPr>
          <w:sz w:val="26"/>
        </w:rPr>
        <w:t xml:space="preserve">1 manifestó hago de su conocimiento que sostuvimos una reunión con el señor Director de DIGEF y el señor Director de DIDECO, sin embargo la solución propuesta por ellos no es viable para nosotros. Nosotros necesitamos el pago total </w:t>
      </w:r>
      <w:r>
        <w:rPr>
          <w:noProof/>
        </w:rPr>
        <w:drawing>
          <wp:inline distT="0" distB="0" distL="0" distR="0" wp14:anchorId="20696551" wp14:editId="066098FD">
            <wp:extent cx="9144" cy="9144"/>
            <wp:effectExtent l="0" t="0" r="0" b="0"/>
            <wp:docPr id="958327" name="Picture 958327"/>
            <wp:cNvGraphicFramePr/>
            <a:graphic xmlns:a="http://schemas.openxmlformats.org/drawingml/2006/main">
              <a:graphicData uri="http://schemas.openxmlformats.org/drawingml/2006/picture">
                <pic:pic xmlns:pic="http://schemas.openxmlformats.org/drawingml/2006/picture">
                  <pic:nvPicPr>
                    <pic:cNvPr id="958327" name="Picture 958327"/>
                    <pic:cNvPicPr/>
                  </pic:nvPicPr>
                  <pic:blipFill>
                    <a:blip r:embed="rId93"/>
                    <a:stretch>
                      <a:fillRect/>
                    </a:stretch>
                  </pic:blipFill>
                  <pic:spPr>
                    <a:xfrm>
                      <a:off x="0" y="0"/>
                      <a:ext cx="9144" cy="9144"/>
                    </a:xfrm>
                    <a:prstGeom prst="rect">
                      <a:avLst/>
                    </a:prstGeom>
                  </pic:spPr>
                </pic:pic>
              </a:graphicData>
            </a:graphic>
          </wp:inline>
        </w:drawing>
      </w:r>
      <w:r>
        <w:rPr>
          <w:sz w:val="26"/>
        </w:rPr>
        <w:t>1 de [os servicios prestados a los cuales fueron por (Q900,000.00) novecientos mil</w:t>
      </w:r>
    </w:p>
    <w:p w14:paraId="2FDAB219" w14:textId="77777777" w:rsidR="00053D93" w:rsidRDefault="00260B75">
      <w:pPr>
        <w:spacing w:after="39" w:line="269" w:lineRule="auto"/>
        <w:ind w:left="57" w:right="14" w:firstLine="1606"/>
        <w:jc w:val="both"/>
      </w:pPr>
      <w:r>
        <w:rPr>
          <w:sz w:val="26"/>
        </w:rPr>
        <w:t>quetzales exactos. Por concepto de 107 boletos aéreos ida y vuelta Guatemala1 Panamá- Guatemala para llevar a todos los niños con discapacidad, chaperones y demás delegación para los juegos CODICADER 2024. Por lo anterior enviamos...</w:t>
      </w:r>
    </w:p>
    <w:p w14:paraId="73EF46E4" w14:textId="77777777" w:rsidR="00053D93" w:rsidRDefault="00260B75">
      <w:pPr>
        <w:spacing w:after="4" w:line="269" w:lineRule="auto"/>
        <w:ind w:left="57" w:right="14" w:firstLine="1613"/>
        <w:jc w:val="both"/>
      </w:pPr>
      <w:r>
        <w:rPr>
          <w:sz w:val="26"/>
        </w:rPr>
        <w:t>la factura fel por el valor correcto...". "Lo anterior, contraviene a los intereses del 1 Estado, ya que aumenta el valor de los boletos aéreos de Q4, 780.00 a Q8,398.51</w:t>
      </w:r>
    </w:p>
    <w:tbl>
      <w:tblPr>
        <w:tblStyle w:val="TableGrid"/>
        <w:tblW w:w="9425" w:type="dxa"/>
        <w:tblInd w:w="698" w:type="dxa"/>
        <w:tblLook w:val="04A0" w:firstRow="1" w:lastRow="0" w:firstColumn="1" w:lastColumn="0" w:noHBand="0" w:noVBand="1"/>
      </w:tblPr>
      <w:tblGrid>
        <w:gridCol w:w="1293"/>
        <w:gridCol w:w="8190"/>
      </w:tblGrid>
      <w:tr w:rsidR="00053D93" w14:paraId="74D057A9" w14:textId="77777777">
        <w:trPr>
          <w:trHeight w:val="648"/>
        </w:trPr>
        <w:tc>
          <w:tcPr>
            <w:tcW w:w="1780" w:type="dxa"/>
            <w:tcBorders>
              <w:top w:val="nil"/>
              <w:left w:val="nil"/>
              <w:bottom w:val="nil"/>
              <w:right w:val="nil"/>
            </w:tcBorders>
          </w:tcPr>
          <w:p w14:paraId="3D7F828D" w14:textId="77777777" w:rsidR="00053D93" w:rsidRDefault="00260B75">
            <w:r>
              <w:rPr>
                <w:noProof/>
              </w:rPr>
              <w:drawing>
                <wp:inline distT="0" distB="0" distL="0" distR="0" wp14:anchorId="42D9DD1B" wp14:editId="3B041B51">
                  <wp:extent cx="1120140" cy="411480"/>
                  <wp:effectExtent l="0" t="0" r="0" b="0"/>
                  <wp:docPr id="958377" name="Picture 958377"/>
                  <wp:cNvGraphicFramePr/>
                  <a:graphic xmlns:a="http://schemas.openxmlformats.org/drawingml/2006/main">
                    <a:graphicData uri="http://schemas.openxmlformats.org/drawingml/2006/picture">
                      <pic:pic xmlns:pic="http://schemas.openxmlformats.org/drawingml/2006/picture">
                        <pic:nvPicPr>
                          <pic:cNvPr id="958377" name="Picture 958377"/>
                          <pic:cNvPicPr/>
                        </pic:nvPicPr>
                        <pic:blipFill>
                          <a:blip r:embed="rId1324"/>
                          <a:stretch>
                            <a:fillRect/>
                          </a:stretch>
                        </pic:blipFill>
                        <pic:spPr>
                          <a:xfrm>
                            <a:off x="0" y="0"/>
                            <a:ext cx="1120140" cy="411480"/>
                          </a:xfrm>
                          <a:prstGeom prst="rect">
                            <a:avLst/>
                          </a:prstGeom>
                        </pic:spPr>
                      </pic:pic>
                    </a:graphicData>
                  </a:graphic>
                </wp:inline>
              </w:drawing>
            </w:r>
          </w:p>
        </w:tc>
        <w:tc>
          <w:tcPr>
            <w:tcW w:w="7645" w:type="dxa"/>
            <w:tcBorders>
              <w:top w:val="nil"/>
              <w:left w:val="nil"/>
              <w:bottom w:val="nil"/>
              <w:right w:val="nil"/>
            </w:tcBorders>
          </w:tcPr>
          <w:p w14:paraId="5FC04073" w14:textId="77777777" w:rsidR="00053D93" w:rsidRDefault="00053D93">
            <w:pPr>
              <w:ind w:left="-2845" w:right="10490"/>
            </w:pPr>
          </w:p>
          <w:tbl>
            <w:tblPr>
              <w:tblStyle w:val="TableGrid"/>
              <w:tblW w:w="7629" w:type="dxa"/>
              <w:tblInd w:w="16" w:type="dxa"/>
              <w:tblCellMar>
                <w:top w:w="33" w:type="dxa"/>
                <w:left w:w="1747" w:type="dxa"/>
                <w:right w:w="115" w:type="dxa"/>
              </w:tblCellMar>
              <w:tblLook w:val="04A0" w:firstRow="1" w:lastRow="0" w:firstColumn="1" w:lastColumn="0" w:noHBand="0" w:noVBand="1"/>
            </w:tblPr>
            <w:tblGrid>
              <w:gridCol w:w="7629"/>
            </w:tblGrid>
            <w:tr w:rsidR="00053D93" w14:paraId="4BA9E5D1" w14:textId="77777777">
              <w:trPr>
                <w:trHeight w:val="55"/>
              </w:trPr>
              <w:tc>
                <w:tcPr>
                  <w:tcW w:w="7629" w:type="dxa"/>
                  <w:tcBorders>
                    <w:top w:val="nil"/>
                    <w:left w:val="single" w:sz="2" w:space="0" w:color="000000"/>
                    <w:bottom w:val="single" w:sz="2" w:space="0" w:color="000000"/>
                    <w:right w:val="nil"/>
                  </w:tcBorders>
                </w:tcPr>
                <w:p w14:paraId="6D7564D3" w14:textId="77777777" w:rsidR="00053D93" w:rsidRDefault="00053D93"/>
              </w:tc>
            </w:tr>
            <w:tr w:rsidR="00053D93" w14:paraId="19A39E7E" w14:textId="77777777">
              <w:trPr>
                <w:trHeight w:val="579"/>
              </w:trPr>
              <w:tc>
                <w:tcPr>
                  <w:tcW w:w="7629" w:type="dxa"/>
                  <w:tcBorders>
                    <w:top w:val="single" w:sz="2" w:space="0" w:color="000000"/>
                    <w:left w:val="single" w:sz="2" w:space="0" w:color="000000"/>
                    <w:bottom w:val="nil"/>
                    <w:right w:val="nil"/>
                  </w:tcBorders>
                </w:tcPr>
                <w:p w14:paraId="4FE263CF" w14:textId="77777777" w:rsidR="00053D93" w:rsidRDefault="00260B75">
                  <w:pPr>
                    <w:ind w:left="835"/>
                  </w:pPr>
                  <w:r>
                    <w:rPr>
                      <w:sz w:val="14"/>
                    </w:rPr>
                    <w:t>MINISTERIO DE EDUCACION</w:t>
                  </w:r>
                </w:p>
                <w:p w14:paraId="3B1BD0B8" w14:textId="77777777" w:rsidR="00053D93" w:rsidRDefault="00260B75">
                  <w:pPr>
                    <w:ind w:left="338"/>
                  </w:pPr>
                  <w:r>
                    <w:rPr>
                      <w:sz w:val="14"/>
                    </w:rPr>
                    <w:t>AUDITORIA FINANCIERA Y DE CUMPLIMIENTO</w:t>
                  </w:r>
                </w:p>
                <w:p w14:paraId="3522F87D" w14:textId="77777777" w:rsidR="00053D93" w:rsidRDefault="00260B75">
                  <w:r>
                    <w:rPr>
                      <w:sz w:val="14"/>
                    </w:rPr>
                    <w:t>PERÍODO DEL 01 DE ENERO AL 31 OE DICIEMBRE OE 2024</w:t>
                  </w:r>
                </w:p>
              </w:tc>
            </w:tr>
          </w:tbl>
          <w:p w14:paraId="3503FB66" w14:textId="77777777" w:rsidR="00053D93" w:rsidRDefault="00053D93"/>
        </w:tc>
      </w:tr>
    </w:tbl>
    <w:p w14:paraId="77BFE5E7" w14:textId="77777777" w:rsidR="00053D93" w:rsidRDefault="00260B75">
      <w:pPr>
        <w:spacing w:after="42"/>
        <w:ind w:left="1548" w:right="-238"/>
      </w:pPr>
      <w:r>
        <w:rPr>
          <w:noProof/>
        </w:rPr>
        <mc:AlternateContent>
          <mc:Choice Requires="wpg">
            <w:drawing>
              <wp:inline distT="0" distB="0" distL="0" distR="0" wp14:anchorId="2798C958" wp14:editId="2B71036C">
                <wp:extent cx="5628132" cy="18288"/>
                <wp:effectExtent l="0" t="0" r="0" b="0"/>
                <wp:docPr id="2458715" name="Group 2458715"/>
                <wp:cNvGraphicFramePr/>
                <a:graphic xmlns:a="http://schemas.openxmlformats.org/drawingml/2006/main">
                  <a:graphicData uri="http://schemas.microsoft.com/office/word/2010/wordprocessingGroup">
                    <wpg:wgp>
                      <wpg:cNvGrpSpPr/>
                      <wpg:grpSpPr>
                        <a:xfrm>
                          <a:off x="0" y="0"/>
                          <a:ext cx="5628132" cy="18288"/>
                          <a:chOff x="0" y="0"/>
                          <a:chExt cx="5628132" cy="18288"/>
                        </a:xfrm>
                      </wpg:grpSpPr>
                      <wps:wsp>
                        <wps:cNvPr id="2458714" name="Shape 2458714"/>
                        <wps:cNvSpPr/>
                        <wps:spPr>
                          <a:xfrm>
                            <a:off x="0" y="0"/>
                            <a:ext cx="5628132" cy="18288"/>
                          </a:xfrm>
                          <a:custGeom>
                            <a:avLst/>
                            <a:gdLst/>
                            <a:ahLst/>
                            <a:cxnLst/>
                            <a:rect l="0" t="0" r="0" b="0"/>
                            <a:pathLst>
                              <a:path w="5628132" h="18288">
                                <a:moveTo>
                                  <a:pt x="0" y="9144"/>
                                </a:moveTo>
                                <a:lnTo>
                                  <a:pt x="5628132"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715" style="width:443.16pt;height:1.43999pt;mso-position-horizontal-relative:char;mso-position-vertical-relative:line" coordsize="56281,182">
                <v:shape id="Shape 2458714" style="position:absolute;width:56281;height:182;left:0;top:0;" coordsize="5628132,18288" path="m0,9144l5628132,9144">
                  <v:stroke weight="1.43999pt" endcap="flat" joinstyle="miter" miterlimit="1" on="true" color="#000000"/>
                  <v:fill on="false" color="#000000"/>
                </v:shape>
              </v:group>
            </w:pict>
          </mc:Fallback>
        </mc:AlternateContent>
      </w:r>
    </w:p>
    <w:p w14:paraId="17E3C455" w14:textId="77777777" w:rsidR="00053D93" w:rsidRDefault="00260B75">
      <w:pPr>
        <w:spacing w:after="275" w:line="263" w:lineRule="auto"/>
        <w:ind w:left="1665" w:hanging="10"/>
      </w:pPr>
      <w:r>
        <w:rPr>
          <w:sz w:val="24"/>
        </w:rPr>
        <w:t>cada uno, lo que equivale a un incremento del 56.91% del valor originalmente ofertado por el contratista."...</w:t>
      </w:r>
    </w:p>
    <w:p w14:paraId="17EFBCA2" w14:textId="77777777" w:rsidR="00053D93" w:rsidRDefault="00260B75">
      <w:pPr>
        <w:spacing w:after="0" w:line="263" w:lineRule="auto"/>
        <w:ind w:left="1665" w:hanging="10"/>
      </w:pPr>
      <w:r>
        <w:rPr>
          <w:sz w:val="24"/>
        </w:rPr>
        <w:t>A continuación, se detalla el pago requerido por la entidad LAX TRAVEL, S.A:</w:t>
      </w:r>
    </w:p>
    <w:tbl>
      <w:tblPr>
        <w:tblStyle w:val="TableGrid"/>
        <w:tblW w:w="8453" w:type="dxa"/>
        <w:tblInd w:w="1670" w:type="dxa"/>
        <w:tblCellMar>
          <w:top w:w="46" w:type="dxa"/>
          <w:left w:w="67" w:type="dxa"/>
        </w:tblCellMar>
        <w:tblLook w:val="04A0" w:firstRow="1" w:lastRow="0" w:firstColumn="1" w:lastColumn="0" w:noHBand="0" w:noVBand="1"/>
      </w:tblPr>
      <w:tblGrid>
        <w:gridCol w:w="518"/>
        <w:gridCol w:w="4573"/>
        <w:gridCol w:w="888"/>
        <w:gridCol w:w="1334"/>
        <w:gridCol w:w="1140"/>
      </w:tblGrid>
      <w:tr w:rsidR="00053D93" w14:paraId="72EE02FE" w14:textId="77777777">
        <w:trPr>
          <w:trHeight w:val="504"/>
        </w:trPr>
        <w:tc>
          <w:tcPr>
            <w:tcW w:w="518" w:type="dxa"/>
            <w:tcBorders>
              <w:top w:val="single" w:sz="2" w:space="0" w:color="000000"/>
              <w:left w:val="single" w:sz="2" w:space="0" w:color="000000"/>
              <w:bottom w:val="single" w:sz="2" w:space="0" w:color="000000"/>
              <w:right w:val="single" w:sz="2" w:space="0" w:color="000000"/>
            </w:tcBorders>
            <w:vAlign w:val="bottom"/>
          </w:tcPr>
          <w:p w14:paraId="63245ED4" w14:textId="77777777" w:rsidR="00053D93" w:rsidRDefault="00260B75">
            <w:pPr>
              <w:ind w:right="75"/>
              <w:jc w:val="center"/>
            </w:pPr>
            <w:r>
              <w:rPr>
                <w:sz w:val="20"/>
              </w:rPr>
              <w:t>No.</w:t>
            </w:r>
          </w:p>
        </w:tc>
        <w:tc>
          <w:tcPr>
            <w:tcW w:w="4572" w:type="dxa"/>
            <w:tcBorders>
              <w:top w:val="single" w:sz="2" w:space="0" w:color="000000"/>
              <w:left w:val="single" w:sz="2" w:space="0" w:color="000000"/>
              <w:bottom w:val="single" w:sz="2" w:space="0" w:color="000000"/>
              <w:right w:val="single" w:sz="2" w:space="0" w:color="000000"/>
            </w:tcBorders>
            <w:vAlign w:val="bottom"/>
          </w:tcPr>
          <w:p w14:paraId="0556CBE7" w14:textId="77777777" w:rsidR="00053D93" w:rsidRDefault="00260B75">
            <w:pPr>
              <w:ind w:left="876"/>
            </w:pPr>
            <w:r>
              <w:rPr>
                <w:sz w:val="20"/>
              </w:rPr>
              <w:t>Descripción del bien o servicio</w:t>
            </w:r>
          </w:p>
        </w:tc>
        <w:tc>
          <w:tcPr>
            <w:tcW w:w="888" w:type="dxa"/>
            <w:tcBorders>
              <w:top w:val="single" w:sz="2" w:space="0" w:color="000000"/>
              <w:left w:val="single" w:sz="2" w:space="0" w:color="000000"/>
              <w:bottom w:val="single" w:sz="2" w:space="0" w:color="000000"/>
              <w:right w:val="single" w:sz="2" w:space="0" w:color="000000"/>
            </w:tcBorders>
            <w:vAlign w:val="bottom"/>
          </w:tcPr>
          <w:p w14:paraId="6DD90B12" w14:textId="77777777" w:rsidR="00053D93" w:rsidRDefault="00260B75">
            <w:pPr>
              <w:ind w:left="48"/>
            </w:pPr>
            <w:r>
              <w:rPr>
                <w:sz w:val="20"/>
              </w:rPr>
              <w:t>Cantidad</w:t>
            </w:r>
          </w:p>
        </w:tc>
        <w:tc>
          <w:tcPr>
            <w:tcW w:w="1334" w:type="dxa"/>
            <w:tcBorders>
              <w:top w:val="single" w:sz="2" w:space="0" w:color="000000"/>
              <w:left w:val="single" w:sz="2" w:space="0" w:color="000000"/>
              <w:bottom w:val="single" w:sz="2" w:space="0" w:color="000000"/>
              <w:right w:val="single" w:sz="2" w:space="0" w:color="000000"/>
            </w:tcBorders>
          </w:tcPr>
          <w:p w14:paraId="3A8AAD8C" w14:textId="77777777" w:rsidR="00053D93" w:rsidRDefault="00260B75">
            <w:pPr>
              <w:ind w:right="89"/>
              <w:jc w:val="center"/>
            </w:pPr>
            <w:r>
              <w:rPr>
                <w:sz w:val="20"/>
              </w:rPr>
              <w:t>Precio</w:t>
            </w:r>
          </w:p>
          <w:p w14:paraId="75309F02" w14:textId="77777777" w:rsidR="00053D93" w:rsidRDefault="00260B75">
            <w:pPr>
              <w:ind w:right="111"/>
              <w:jc w:val="center"/>
            </w:pPr>
            <w:r>
              <w:rPr>
                <w:sz w:val="18"/>
              </w:rPr>
              <w:t>Unitario</w:t>
            </w:r>
          </w:p>
        </w:tc>
        <w:tc>
          <w:tcPr>
            <w:tcW w:w="1140" w:type="dxa"/>
            <w:tcBorders>
              <w:top w:val="single" w:sz="2" w:space="0" w:color="000000"/>
              <w:left w:val="single" w:sz="2" w:space="0" w:color="000000"/>
              <w:bottom w:val="single" w:sz="2" w:space="0" w:color="000000"/>
              <w:right w:val="single" w:sz="2" w:space="0" w:color="000000"/>
            </w:tcBorders>
            <w:vAlign w:val="bottom"/>
          </w:tcPr>
          <w:p w14:paraId="6551170C" w14:textId="77777777" w:rsidR="00053D93" w:rsidRDefault="00260B75">
            <w:pPr>
              <w:ind w:right="108"/>
              <w:jc w:val="center"/>
            </w:pPr>
            <w:r>
              <w:rPr>
                <w:sz w:val="20"/>
              </w:rPr>
              <w:t>Total</w:t>
            </w:r>
          </w:p>
        </w:tc>
      </w:tr>
      <w:tr w:rsidR="00053D93" w14:paraId="1899BF8F" w14:textId="77777777">
        <w:trPr>
          <w:trHeight w:val="939"/>
        </w:trPr>
        <w:tc>
          <w:tcPr>
            <w:tcW w:w="518" w:type="dxa"/>
            <w:tcBorders>
              <w:top w:val="single" w:sz="2" w:space="0" w:color="000000"/>
              <w:left w:val="single" w:sz="2" w:space="0" w:color="000000"/>
              <w:bottom w:val="single" w:sz="2" w:space="0" w:color="000000"/>
              <w:right w:val="single" w:sz="2" w:space="0" w:color="000000"/>
            </w:tcBorders>
          </w:tcPr>
          <w:p w14:paraId="2FF5D019" w14:textId="77777777" w:rsidR="00053D93" w:rsidRDefault="00053D93"/>
        </w:tc>
        <w:tc>
          <w:tcPr>
            <w:tcW w:w="4572" w:type="dxa"/>
            <w:tcBorders>
              <w:top w:val="single" w:sz="2" w:space="0" w:color="000000"/>
              <w:left w:val="single" w:sz="2" w:space="0" w:color="000000"/>
              <w:bottom w:val="single" w:sz="2" w:space="0" w:color="000000"/>
              <w:right w:val="single" w:sz="2" w:space="0" w:color="000000"/>
            </w:tcBorders>
          </w:tcPr>
          <w:p w14:paraId="043D1272" w14:textId="77777777" w:rsidR="00053D93" w:rsidRDefault="00260B75">
            <w:pPr>
              <w:spacing w:after="26" w:line="241" w:lineRule="auto"/>
              <w:ind w:left="26" w:right="22"/>
              <w:jc w:val="both"/>
            </w:pPr>
            <w:r>
              <w:rPr>
                <w:sz w:val="20"/>
              </w:rPr>
              <w:t>Servicio de transporte aéreo por 107 pasajeros para la delegación deportiva escolar de Guatemala que participó en los Juegos Deportivos Escolares Centroamericanos del</w:t>
            </w:r>
          </w:p>
          <w:p w14:paraId="35F95E34" w14:textId="77777777" w:rsidR="00053D93" w:rsidRDefault="00260B75">
            <w:pPr>
              <w:ind w:left="33"/>
            </w:pPr>
            <w:r>
              <w:rPr>
                <w:sz w:val="16"/>
              </w:rPr>
              <w:t>CODICADER para estudiantes con Discapacidad a realizarse en Panamá</w:t>
            </w:r>
          </w:p>
        </w:tc>
        <w:tc>
          <w:tcPr>
            <w:tcW w:w="888" w:type="dxa"/>
            <w:tcBorders>
              <w:top w:val="single" w:sz="2" w:space="0" w:color="000000"/>
              <w:left w:val="single" w:sz="2" w:space="0" w:color="000000"/>
              <w:bottom w:val="single" w:sz="2" w:space="0" w:color="000000"/>
              <w:right w:val="single" w:sz="2" w:space="0" w:color="000000"/>
            </w:tcBorders>
            <w:vAlign w:val="bottom"/>
          </w:tcPr>
          <w:p w14:paraId="3A9FD2F9" w14:textId="77777777" w:rsidR="00053D93" w:rsidRDefault="00260B75">
            <w:pPr>
              <w:ind w:right="24"/>
              <w:jc w:val="right"/>
            </w:pPr>
            <w:r>
              <w:rPr>
                <w:sz w:val="20"/>
              </w:rPr>
              <w:t>107</w:t>
            </w:r>
          </w:p>
        </w:tc>
        <w:tc>
          <w:tcPr>
            <w:tcW w:w="1334" w:type="dxa"/>
            <w:tcBorders>
              <w:top w:val="single" w:sz="2" w:space="0" w:color="000000"/>
              <w:left w:val="single" w:sz="2" w:space="0" w:color="000000"/>
              <w:bottom w:val="single" w:sz="2" w:space="0" w:color="000000"/>
              <w:right w:val="single" w:sz="2" w:space="0" w:color="000000"/>
            </w:tcBorders>
            <w:vAlign w:val="bottom"/>
          </w:tcPr>
          <w:p w14:paraId="206D6B62" w14:textId="77777777" w:rsidR="00053D93" w:rsidRDefault="00260B75">
            <w:pPr>
              <w:ind w:right="84"/>
              <w:jc w:val="right"/>
            </w:pPr>
            <w:r>
              <w:rPr>
                <w:sz w:val="16"/>
              </w:rPr>
              <w:t xml:space="preserve">Q8,398.505 </w:t>
            </w:r>
          </w:p>
        </w:tc>
        <w:tc>
          <w:tcPr>
            <w:tcW w:w="1140" w:type="dxa"/>
            <w:tcBorders>
              <w:top w:val="single" w:sz="2" w:space="0" w:color="000000"/>
              <w:left w:val="single" w:sz="2" w:space="0" w:color="000000"/>
              <w:bottom w:val="single" w:sz="2" w:space="0" w:color="000000"/>
              <w:right w:val="single" w:sz="2" w:space="0" w:color="000000"/>
            </w:tcBorders>
            <w:vAlign w:val="bottom"/>
          </w:tcPr>
          <w:p w14:paraId="20BD48AC" w14:textId="77777777" w:rsidR="00053D93" w:rsidRDefault="00260B75">
            <w:r>
              <w:rPr>
                <w:sz w:val="16"/>
              </w:rPr>
              <w:t>Q898.640.00</w:t>
            </w:r>
          </w:p>
        </w:tc>
      </w:tr>
      <w:tr w:rsidR="00053D93" w14:paraId="7C43F604" w14:textId="77777777">
        <w:trPr>
          <w:trHeight w:val="708"/>
        </w:trPr>
        <w:tc>
          <w:tcPr>
            <w:tcW w:w="518" w:type="dxa"/>
            <w:tcBorders>
              <w:top w:val="single" w:sz="2" w:space="0" w:color="000000"/>
              <w:left w:val="single" w:sz="2" w:space="0" w:color="000000"/>
              <w:bottom w:val="single" w:sz="2" w:space="0" w:color="000000"/>
              <w:right w:val="single" w:sz="2" w:space="0" w:color="000000"/>
            </w:tcBorders>
          </w:tcPr>
          <w:p w14:paraId="5D5698F4" w14:textId="77777777" w:rsidR="00053D93" w:rsidRDefault="00260B75">
            <w:pPr>
              <w:ind w:right="60"/>
              <w:jc w:val="center"/>
            </w:pPr>
            <w:r>
              <w:rPr>
                <w:sz w:val="18"/>
              </w:rPr>
              <w:t>2</w:t>
            </w:r>
          </w:p>
        </w:tc>
        <w:tc>
          <w:tcPr>
            <w:tcW w:w="4572" w:type="dxa"/>
            <w:tcBorders>
              <w:top w:val="single" w:sz="2" w:space="0" w:color="000000"/>
              <w:left w:val="single" w:sz="2" w:space="0" w:color="000000"/>
              <w:bottom w:val="single" w:sz="2" w:space="0" w:color="000000"/>
              <w:right w:val="single" w:sz="2" w:space="0" w:color="000000"/>
            </w:tcBorders>
          </w:tcPr>
          <w:p w14:paraId="5E36B7D5" w14:textId="77777777" w:rsidR="00053D93" w:rsidRDefault="00260B75">
            <w:pPr>
              <w:ind w:left="33" w:right="22"/>
              <w:jc w:val="both"/>
            </w:pPr>
            <w:r>
              <w:rPr>
                <w:sz w:val="20"/>
              </w:rPr>
              <w:t>Un servicio de flete para traslado de equipo de prensa, equipamiento médico de Ciudad de Guatemala hacia Panamá y viceversa.</w:t>
            </w:r>
          </w:p>
        </w:tc>
        <w:tc>
          <w:tcPr>
            <w:tcW w:w="888" w:type="dxa"/>
            <w:tcBorders>
              <w:top w:val="single" w:sz="2" w:space="0" w:color="000000"/>
              <w:left w:val="single" w:sz="2" w:space="0" w:color="000000"/>
              <w:bottom w:val="single" w:sz="2" w:space="0" w:color="000000"/>
              <w:right w:val="single" w:sz="2" w:space="0" w:color="000000"/>
            </w:tcBorders>
            <w:vAlign w:val="bottom"/>
          </w:tcPr>
          <w:p w14:paraId="7437557F" w14:textId="77777777" w:rsidR="00053D93" w:rsidRDefault="00260B75">
            <w:pPr>
              <w:ind w:right="39"/>
              <w:jc w:val="right"/>
            </w:pPr>
            <w:r>
              <w:rPr>
                <w:sz w:val="20"/>
              </w:rPr>
              <w:t>1</w:t>
            </w:r>
          </w:p>
        </w:tc>
        <w:tc>
          <w:tcPr>
            <w:tcW w:w="1334" w:type="dxa"/>
            <w:tcBorders>
              <w:top w:val="single" w:sz="2" w:space="0" w:color="000000"/>
              <w:left w:val="single" w:sz="2" w:space="0" w:color="000000"/>
              <w:bottom w:val="single" w:sz="2" w:space="0" w:color="000000"/>
              <w:right w:val="single" w:sz="2" w:space="0" w:color="000000"/>
            </w:tcBorders>
            <w:vAlign w:val="bottom"/>
          </w:tcPr>
          <w:p w14:paraId="09D7D14A" w14:textId="77777777" w:rsidR="00053D93" w:rsidRDefault="00260B75">
            <w:pPr>
              <w:ind w:right="84"/>
              <w:jc w:val="right"/>
            </w:pPr>
            <w:r>
              <w:rPr>
                <w:sz w:val="20"/>
              </w:rPr>
              <w:t xml:space="preserve">Q1.360.00 </w:t>
            </w:r>
          </w:p>
        </w:tc>
        <w:tc>
          <w:tcPr>
            <w:tcW w:w="1140" w:type="dxa"/>
            <w:tcBorders>
              <w:top w:val="single" w:sz="2" w:space="0" w:color="000000"/>
              <w:left w:val="single" w:sz="2" w:space="0" w:color="000000"/>
              <w:bottom w:val="single" w:sz="2" w:space="0" w:color="000000"/>
              <w:right w:val="single" w:sz="2" w:space="0" w:color="000000"/>
            </w:tcBorders>
            <w:vAlign w:val="bottom"/>
          </w:tcPr>
          <w:p w14:paraId="3784C9F1" w14:textId="77777777" w:rsidR="00053D93" w:rsidRDefault="00260B75">
            <w:pPr>
              <w:ind w:left="194"/>
            </w:pPr>
            <w:r>
              <w:rPr>
                <w:sz w:val="18"/>
              </w:rPr>
              <w:t>Q1 ,360.oo</w:t>
            </w:r>
          </w:p>
        </w:tc>
      </w:tr>
      <w:tr w:rsidR="00053D93" w14:paraId="043BD820" w14:textId="77777777">
        <w:trPr>
          <w:trHeight w:val="275"/>
        </w:trPr>
        <w:tc>
          <w:tcPr>
            <w:tcW w:w="518" w:type="dxa"/>
            <w:tcBorders>
              <w:top w:val="single" w:sz="2" w:space="0" w:color="000000"/>
              <w:left w:val="single" w:sz="2" w:space="0" w:color="000000"/>
              <w:bottom w:val="single" w:sz="2" w:space="0" w:color="000000"/>
              <w:right w:val="single" w:sz="2" w:space="0" w:color="000000"/>
            </w:tcBorders>
          </w:tcPr>
          <w:p w14:paraId="564204FE" w14:textId="77777777" w:rsidR="00053D93" w:rsidRDefault="00053D93"/>
        </w:tc>
        <w:tc>
          <w:tcPr>
            <w:tcW w:w="4572" w:type="dxa"/>
            <w:tcBorders>
              <w:top w:val="single" w:sz="2" w:space="0" w:color="000000"/>
              <w:left w:val="single" w:sz="2" w:space="0" w:color="000000"/>
              <w:bottom w:val="single" w:sz="2" w:space="0" w:color="000000"/>
              <w:right w:val="single" w:sz="2" w:space="0" w:color="000000"/>
            </w:tcBorders>
          </w:tcPr>
          <w:p w14:paraId="3DC662C2" w14:textId="77777777" w:rsidR="00053D93" w:rsidRDefault="00260B75">
            <w:pPr>
              <w:ind w:left="26"/>
            </w:pPr>
            <w:r>
              <w:rPr>
                <w:sz w:val="18"/>
              </w:rPr>
              <w:t>Total</w:t>
            </w:r>
          </w:p>
        </w:tc>
        <w:tc>
          <w:tcPr>
            <w:tcW w:w="888" w:type="dxa"/>
            <w:tcBorders>
              <w:top w:val="single" w:sz="2" w:space="0" w:color="000000"/>
              <w:left w:val="single" w:sz="2" w:space="0" w:color="000000"/>
              <w:bottom w:val="single" w:sz="2" w:space="0" w:color="000000"/>
              <w:right w:val="single" w:sz="2" w:space="0" w:color="000000"/>
            </w:tcBorders>
          </w:tcPr>
          <w:p w14:paraId="7EC7882F" w14:textId="77777777" w:rsidR="00053D93" w:rsidRDefault="00053D93"/>
        </w:tc>
        <w:tc>
          <w:tcPr>
            <w:tcW w:w="1334" w:type="dxa"/>
            <w:tcBorders>
              <w:top w:val="single" w:sz="2" w:space="0" w:color="000000"/>
              <w:left w:val="single" w:sz="2" w:space="0" w:color="000000"/>
              <w:bottom w:val="single" w:sz="2" w:space="0" w:color="000000"/>
              <w:right w:val="single" w:sz="2" w:space="0" w:color="000000"/>
            </w:tcBorders>
          </w:tcPr>
          <w:p w14:paraId="47C07FDD" w14:textId="77777777" w:rsidR="00053D93" w:rsidRDefault="00053D93"/>
        </w:tc>
        <w:tc>
          <w:tcPr>
            <w:tcW w:w="1140" w:type="dxa"/>
            <w:tcBorders>
              <w:top w:val="single" w:sz="2" w:space="0" w:color="000000"/>
              <w:left w:val="single" w:sz="2" w:space="0" w:color="000000"/>
              <w:bottom w:val="single" w:sz="2" w:space="0" w:color="000000"/>
              <w:right w:val="single" w:sz="2" w:space="0" w:color="000000"/>
            </w:tcBorders>
          </w:tcPr>
          <w:p w14:paraId="3EF626D0" w14:textId="77777777" w:rsidR="00053D93" w:rsidRDefault="00260B75">
            <w:pPr>
              <w:ind w:left="7"/>
            </w:pPr>
            <w:r>
              <w:rPr>
                <w:sz w:val="16"/>
              </w:rPr>
              <w:t>Q9001000.00</w:t>
            </w:r>
          </w:p>
        </w:tc>
      </w:tr>
    </w:tbl>
    <w:p w14:paraId="06DEFFF2" w14:textId="77777777" w:rsidR="00053D93" w:rsidRDefault="00260B75">
      <w:pPr>
        <w:spacing w:after="460" w:line="265" w:lineRule="auto"/>
        <w:ind w:left="1673" w:hanging="10"/>
      </w:pPr>
      <w:r>
        <w:rPr>
          <w:sz w:val="18"/>
        </w:rPr>
        <w:t>Fuente: Documento Tributario Electrónico Serie: 18F821DD, Número: 2490581832 del 16 de diciembre de</w:t>
      </w:r>
    </w:p>
    <w:p w14:paraId="340DA2DC" w14:textId="77777777" w:rsidR="00053D93" w:rsidRDefault="00260B75">
      <w:pPr>
        <w:spacing w:after="298" w:line="250" w:lineRule="auto"/>
        <w:ind w:left="1681" w:right="14" w:hanging="3"/>
        <w:jc w:val="both"/>
      </w:pPr>
      <w:r>
        <w:rPr>
          <w:sz w:val="26"/>
        </w:rPr>
        <w:t>5. Defensa al Quinto enunciado: presentación de oficio por parte de la empresa contratada en donde está reclamando un adeudo total de Q900,000.00</w:t>
      </w:r>
    </w:p>
    <w:p w14:paraId="0A2D9164" w14:textId="77777777" w:rsidR="00053D93" w:rsidRDefault="00260B75">
      <w:pPr>
        <w:spacing w:after="0" w:line="263" w:lineRule="auto"/>
        <w:ind w:left="1665" w:hanging="10"/>
      </w:pPr>
      <w:r>
        <w:rPr>
          <w:sz w:val="24"/>
        </w:rPr>
        <w:t>A continuación, se detalla el pago requerido por la entidad LAX TRAVEL, S.A:</w:t>
      </w:r>
    </w:p>
    <w:tbl>
      <w:tblPr>
        <w:tblStyle w:val="TableGrid"/>
        <w:tblW w:w="8465" w:type="dxa"/>
        <w:tblInd w:w="1678" w:type="dxa"/>
        <w:tblCellMar>
          <w:top w:w="39" w:type="dxa"/>
          <w:left w:w="68" w:type="dxa"/>
        </w:tblCellMar>
        <w:tblLook w:val="04A0" w:firstRow="1" w:lastRow="0" w:firstColumn="1" w:lastColumn="0" w:noHBand="0" w:noVBand="1"/>
      </w:tblPr>
      <w:tblGrid>
        <w:gridCol w:w="521"/>
        <w:gridCol w:w="4575"/>
        <w:gridCol w:w="888"/>
        <w:gridCol w:w="1336"/>
        <w:gridCol w:w="1145"/>
      </w:tblGrid>
      <w:tr w:rsidR="00053D93" w14:paraId="299E07EC" w14:textId="77777777">
        <w:trPr>
          <w:trHeight w:val="492"/>
        </w:trPr>
        <w:tc>
          <w:tcPr>
            <w:tcW w:w="521" w:type="dxa"/>
            <w:tcBorders>
              <w:top w:val="single" w:sz="2" w:space="0" w:color="000000"/>
              <w:left w:val="single" w:sz="2" w:space="0" w:color="000000"/>
              <w:bottom w:val="single" w:sz="2" w:space="0" w:color="000000"/>
              <w:right w:val="single" w:sz="2" w:space="0" w:color="000000"/>
            </w:tcBorders>
            <w:vAlign w:val="bottom"/>
          </w:tcPr>
          <w:p w14:paraId="112F570A" w14:textId="77777777" w:rsidR="00053D93" w:rsidRDefault="00260B75">
            <w:pPr>
              <w:ind w:right="63"/>
              <w:jc w:val="center"/>
            </w:pPr>
            <w:r>
              <w:rPr>
                <w:sz w:val="20"/>
              </w:rPr>
              <w:t>No.</w:t>
            </w:r>
          </w:p>
        </w:tc>
        <w:tc>
          <w:tcPr>
            <w:tcW w:w="4574" w:type="dxa"/>
            <w:tcBorders>
              <w:top w:val="single" w:sz="2" w:space="0" w:color="000000"/>
              <w:left w:val="single" w:sz="2" w:space="0" w:color="000000"/>
              <w:bottom w:val="single" w:sz="2" w:space="0" w:color="000000"/>
              <w:right w:val="single" w:sz="2" w:space="0" w:color="000000"/>
            </w:tcBorders>
            <w:vAlign w:val="bottom"/>
          </w:tcPr>
          <w:p w14:paraId="602AC677" w14:textId="77777777" w:rsidR="00053D93" w:rsidRDefault="00260B75">
            <w:pPr>
              <w:ind w:left="880"/>
            </w:pPr>
            <w:r>
              <w:rPr>
                <w:sz w:val="20"/>
              </w:rPr>
              <w:t>Descripción del bien o servicio</w:t>
            </w:r>
          </w:p>
        </w:tc>
        <w:tc>
          <w:tcPr>
            <w:tcW w:w="888" w:type="dxa"/>
            <w:tcBorders>
              <w:top w:val="single" w:sz="2" w:space="0" w:color="000000"/>
              <w:left w:val="single" w:sz="2" w:space="0" w:color="000000"/>
              <w:bottom w:val="single" w:sz="2" w:space="0" w:color="000000"/>
              <w:right w:val="single" w:sz="2" w:space="0" w:color="000000"/>
            </w:tcBorders>
            <w:vAlign w:val="bottom"/>
          </w:tcPr>
          <w:p w14:paraId="640CA708" w14:textId="77777777" w:rsidR="00053D93" w:rsidRDefault="00260B75">
            <w:pPr>
              <w:ind w:left="43"/>
            </w:pPr>
            <w:r>
              <w:rPr>
                <w:sz w:val="20"/>
              </w:rPr>
              <w:t>Cantidad</w:t>
            </w:r>
          </w:p>
        </w:tc>
        <w:tc>
          <w:tcPr>
            <w:tcW w:w="1336" w:type="dxa"/>
            <w:tcBorders>
              <w:top w:val="single" w:sz="2" w:space="0" w:color="000000"/>
              <w:left w:val="single" w:sz="2" w:space="0" w:color="000000"/>
              <w:bottom w:val="single" w:sz="2" w:space="0" w:color="000000"/>
              <w:right w:val="single" w:sz="2" w:space="0" w:color="000000"/>
            </w:tcBorders>
          </w:tcPr>
          <w:p w14:paraId="5470DC02" w14:textId="77777777" w:rsidR="00053D93" w:rsidRDefault="00260B75">
            <w:pPr>
              <w:ind w:left="285" w:firstLine="72"/>
            </w:pPr>
            <w:r>
              <w:rPr>
                <w:sz w:val="18"/>
              </w:rPr>
              <w:t>Precio Unitario</w:t>
            </w:r>
          </w:p>
        </w:tc>
        <w:tc>
          <w:tcPr>
            <w:tcW w:w="1145" w:type="dxa"/>
            <w:tcBorders>
              <w:top w:val="single" w:sz="2" w:space="0" w:color="000000"/>
              <w:left w:val="single" w:sz="2" w:space="0" w:color="000000"/>
              <w:bottom w:val="single" w:sz="2" w:space="0" w:color="000000"/>
              <w:right w:val="single" w:sz="2" w:space="0" w:color="000000"/>
            </w:tcBorders>
            <w:vAlign w:val="bottom"/>
          </w:tcPr>
          <w:p w14:paraId="08B52D78" w14:textId="77777777" w:rsidR="00053D93" w:rsidRDefault="00260B75">
            <w:pPr>
              <w:ind w:right="127"/>
              <w:jc w:val="center"/>
            </w:pPr>
            <w:r>
              <w:rPr>
                <w:sz w:val="20"/>
              </w:rPr>
              <w:t>Total</w:t>
            </w:r>
          </w:p>
        </w:tc>
      </w:tr>
      <w:tr w:rsidR="00053D93" w14:paraId="5D450B1C" w14:textId="77777777">
        <w:trPr>
          <w:trHeight w:val="936"/>
        </w:trPr>
        <w:tc>
          <w:tcPr>
            <w:tcW w:w="521" w:type="dxa"/>
            <w:tcBorders>
              <w:top w:val="single" w:sz="2" w:space="0" w:color="000000"/>
              <w:left w:val="single" w:sz="2" w:space="0" w:color="000000"/>
              <w:bottom w:val="single" w:sz="2" w:space="0" w:color="000000"/>
              <w:right w:val="single" w:sz="2" w:space="0" w:color="000000"/>
            </w:tcBorders>
          </w:tcPr>
          <w:p w14:paraId="2EA2AC79" w14:textId="77777777" w:rsidR="00053D93" w:rsidRDefault="00053D93"/>
        </w:tc>
        <w:tc>
          <w:tcPr>
            <w:tcW w:w="4574" w:type="dxa"/>
            <w:tcBorders>
              <w:top w:val="single" w:sz="2" w:space="0" w:color="000000"/>
              <w:left w:val="single" w:sz="2" w:space="0" w:color="000000"/>
              <w:bottom w:val="single" w:sz="2" w:space="0" w:color="000000"/>
              <w:right w:val="single" w:sz="2" w:space="0" w:color="000000"/>
            </w:tcBorders>
          </w:tcPr>
          <w:p w14:paraId="31BF593A" w14:textId="77777777" w:rsidR="00053D93" w:rsidRDefault="00260B75">
            <w:pPr>
              <w:spacing w:after="35" w:line="242" w:lineRule="auto"/>
              <w:ind w:left="31" w:right="19"/>
              <w:jc w:val="both"/>
            </w:pPr>
            <w:r>
              <w:rPr>
                <w:sz w:val="20"/>
              </w:rPr>
              <w:t>Servicio de transporte aéreo por 107 pasajeros para la delegación deportiva escolar de Guatemala que participó en los Juegos Deportivos Escolares Centroamericanos del</w:t>
            </w:r>
          </w:p>
          <w:p w14:paraId="14CED38D" w14:textId="77777777" w:rsidR="00053D93" w:rsidRDefault="00260B75">
            <w:pPr>
              <w:ind w:left="31"/>
            </w:pPr>
            <w:r>
              <w:rPr>
                <w:sz w:val="16"/>
              </w:rPr>
              <w:t>CODICADER para estudiantes con Discapacidad a realizarse en Panamá</w:t>
            </w:r>
          </w:p>
        </w:tc>
        <w:tc>
          <w:tcPr>
            <w:tcW w:w="888" w:type="dxa"/>
            <w:tcBorders>
              <w:top w:val="single" w:sz="2" w:space="0" w:color="000000"/>
              <w:left w:val="single" w:sz="2" w:space="0" w:color="000000"/>
              <w:bottom w:val="single" w:sz="2" w:space="0" w:color="000000"/>
              <w:right w:val="single" w:sz="2" w:space="0" w:color="000000"/>
            </w:tcBorders>
            <w:vAlign w:val="bottom"/>
          </w:tcPr>
          <w:p w14:paraId="5D9674A7" w14:textId="77777777" w:rsidR="00053D93" w:rsidRDefault="00260B75">
            <w:pPr>
              <w:ind w:right="22"/>
              <w:jc w:val="right"/>
            </w:pPr>
            <w:r>
              <w:rPr>
                <w:sz w:val="20"/>
              </w:rPr>
              <w:t>107</w:t>
            </w:r>
          </w:p>
        </w:tc>
        <w:tc>
          <w:tcPr>
            <w:tcW w:w="1336" w:type="dxa"/>
            <w:tcBorders>
              <w:top w:val="single" w:sz="2" w:space="0" w:color="000000"/>
              <w:left w:val="single" w:sz="2" w:space="0" w:color="000000"/>
              <w:bottom w:val="single" w:sz="2" w:space="0" w:color="000000"/>
              <w:right w:val="single" w:sz="2" w:space="0" w:color="000000"/>
            </w:tcBorders>
            <w:vAlign w:val="bottom"/>
          </w:tcPr>
          <w:p w14:paraId="70061FDA" w14:textId="77777777" w:rsidR="00053D93" w:rsidRDefault="00260B75">
            <w:pPr>
              <w:ind w:right="84"/>
              <w:jc w:val="right"/>
            </w:pPr>
            <w:r>
              <w:rPr>
                <w:sz w:val="16"/>
              </w:rPr>
              <w:t xml:space="preserve">Q8,398.505 </w:t>
            </w:r>
          </w:p>
        </w:tc>
        <w:tc>
          <w:tcPr>
            <w:tcW w:w="1145" w:type="dxa"/>
            <w:tcBorders>
              <w:top w:val="single" w:sz="2" w:space="0" w:color="000000"/>
              <w:left w:val="single" w:sz="2" w:space="0" w:color="000000"/>
              <w:bottom w:val="single" w:sz="2" w:space="0" w:color="000000"/>
              <w:right w:val="single" w:sz="2" w:space="0" w:color="000000"/>
            </w:tcBorders>
            <w:vAlign w:val="bottom"/>
          </w:tcPr>
          <w:p w14:paraId="3600F1B2" w14:textId="77777777" w:rsidR="00053D93" w:rsidRDefault="00260B75">
            <w:r>
              <w:rPr>
                <w:sz w:val="16"/>
              </w:rPr>
              <w:t>Q898.640.00</w:t>
            </w:r>
          </w:p>
        </w:tc>
      </w:tr>
      <w:tr w:rsidR="00053D93" w14:paraId="7C5BAEB1" w14:textId="77777777">
        <w:trPr>
          <w:trHeight w:val="706"/>
        </w:trPr>
        <w:tc>
          <w:tcPr>
            <w:tcW w:w="521" w:type="dxa"/>
            <w:tcBorders>
              <w:top w:val="single" w:sz="2" w:space="0" w:color="000000"/>
              <w:left w:val="single" w:sz="2" w:space="0" w:color="000000"/>
              <w:bottom w:val="single" w:sz="2" w:space="0" w:color="000000"/>
              <w:right w:val="single" w:sz="2" w:space="0" w:color="000000"/>
            </w:tcBorders>
          </w:tcPr>
          <w:p w14:paraId="3CC81C05" w14:textId="77777777" w:rsidR="00053D93" w:rsidRDefault="00260B75">
            <w:pPr>
              <w:ind w:right="49"/>
              <w:jc w:val="center"/>
            </w:pPr>
            <w:r>
              <w:rPr>
                <w:sz w:val="18"/>
              </w:rPr>
              <w:t>2</w:t>
            </w:r>
          </w:p>
        </w:tc>
        <w:tc>
          <w:tcPr>
            <w:tcW w:w="4574" w:type="dxa"/>
            <w:tcBorders>
              <w:top w:val="single" w:sz="2" w:space="0" w:color="000000"/>
              <w:left w:val="single" w:sz="2" w:space="0" w:color="000000"/>
              <w:bottom w:val="single" w:sz="2" w:space="0" w:color="000000"/>
              <w:right w:val="single" w:sz="2" w:space="0" w:color="000000"/>
            </w:tcBorders>
          </w:tcPr>
          <w:p w14:paraId="63E7C667" w14:textId="77777777" w:rsidR="00053D93" w:rsidRDefault="00260B75">
            <w:pPr>
              <w:ind w:left="31" w:right="26" w:firstLine="14"/>
              <w:jc w:val="both"/>
            </w:pPr>
            <w:r>
              <w:rPr>
                <w:sz w:val="20"/>
              </w:rPr>
              <w:t>Un servicio de flete para traslado de equipo de prensa, equipamiento médico de Ciudad de Guatemala hacia Panamá y viceversa.</w:t>
            </w:r>
          </w:p>
        </w:tc>
        <w:tc>
          <w:tcPr>
            <w:tcW w:w="888" w:type="dxa"/>
            <w:tcBorders>
              <w:top w:val="single" w:sz="2" w:space="0" w:color="000000"/>
              <w:left w:val="single" w:sz="2" w:space="0" w:color="000000"/>
              <w:bottom w:val="single" w:sz="2" w:space="0" w:color="000000"/>
              <w:right w:val="single" w:sz="2" w:space="0" w:color="000000"/>
            </w:tcBorders>
          </w:tcPr>
          <w:p w14:paraId="4DB34E69" w14:textId="77777777" w:rsidR="00053D93" w:rsidRDefault="00053D93"/>
        </w:tc>
        <w:tc>
          <w:tcPr>
            <w:tcW w:w="1336" w:type="dxa"/>
            <w:tcBorders>
              <w:top w:val="single" w:sz="2" w:space="0" w:color="000000"/>
              <w:left w:val="single" w:sz="2" w:space="0" w:color="000000"/>
              <w:bottom w:val="single" w:sz="2" w:space="0" w:color="000000"/>
              <w:right w:val="single" w:sz="2" w:space="0" w:color="000000"/>
            </w:tcBorders>
            <w:vAlign w:val="bottom"/>
          </w:tcPr>
          <w:p w14:paraId="72D3E8AF" w14:textId="77777777" w:rsidR="00053D93" w:rsidRDefault="00260B75">
            <w:pPr>
              <w:ind w:right="84"/>
              <w:jc w:val="right"/>
            </w:pPr>
            <w:r>
              <w:rPr>
                <w:sz w:val="16"/>
              </w:rPr>
              <w:t xml:space="preserve">Q11360.00 </w:t>
            </w:r>
          </w:p>
        </w:tc>
        <w:tc>
          <w:tcPr>
            <w:tcW w:w="1145" w:type="dxa"/>
            <w:tcBorders>
              <w:top w:val="single" w:sz="2" w:space="0" w:color="000000"/>
              <w:left w:val="single" w:sz="2" w:space="0" w:color="000000"/>
              <w:bottom w:val="single" w:sz="2" w:space="0" w:color="000000"/>
              <w:right w:val="single" w:sz="2" w:space="0" w:color="000000"/>
            </w:tcBorders>
            <w:vAlign w:val="bottom"/>
          </w:tcPr>
          <w:p w14:paraId="469279E9" w14:textId="77777777" w:rsidR="00053D93" w:rsidRDefault="00260B75">
            <w:pPr>
              <w:ind w:left="194"/>
            </w:pPr>
            <w:r>
              <w:rPr>
                <w:sz w:val="16"/>
              </w:rPr>
              <w:t>Q1.360.00</w:t>
            </w:r>
          </w:p>
        </w:tc>
      </w:tr>
      <w:tr w:rsidR="00053D93" w14:paraId="330B51A2" w14:textId="77777777">
        <w:trPr>
          <w:trHeight w:val="278"/>
        </w:trPr>
        <w:tc>
          <w:tcPr>
            <w:tcW w:w="521" w:type="dxa"/>
            <w:tcBorders>
              <w:top w:val="single" w:sz="2" w:space="0" w:color="000000"/>
              <w:left w:val="single" w:sz="2" w:space="0" w:color="000000"/>
              <w:bottom w:val="single" w:sz="2" w:space="0" w:color="000000"/>
              <w:right w:val="single" w:sz="2" w:space="0" w:color="000000"/>
            </w:tcBorders>
          </w:tcPr>
          <w:p w14:paraId="6449AE57" w14:textId="77777777" w:rsidR="00053D93" w:rsidRDefault="00053D93"/>
        </w:tc>
        <w:tc>
          <w:tcPr>
            <w:tcW w:w="4574" w:type="dxa"/>
            <w:tcBorders>
              <w:top w:val="single" w:sz="2" w:space="0" w:color="000000"/>
              <w:left w:val="single" w:sz="2" w:space="0" w:color="000000"/>
              <w:bottom w:val="single" w:sz="2" w:space="0" w:color="000000"/>
              <w:right w:val="single" w:sz="2" w:space="0" w:color="000000"/>
            </w:tcBorders>
          </w:tcPr>
          <w:p w14:paraId="79B22B20" w14:textId="77777777" w:rsidR="00053D93" w:rsidRDefault="00260B75">
            <w:pPr>
              <w:ind w:left="23"/>
            </w:pPr>
            <w:r>
              <w:rPr>
                <w:sz w:val="20"/>
              </w:rPr>
              <w:t>Total</w:t>
            </w:r>
          </w:p>
        </w:tc>
        <w:tc>
          <w:tcPr>
            <w:tcW w:w="888" w:type="dxa"/>
            <w:tcBorders>
              <w:top w:val="single" w:sz="2" w:space="0" w:color="000000"/>
              <w:left w:val="single" w:sz="2" w:space="0" w:color="000000"/>
              <w:bottom w:val="single" w:sz="2" w:space="0" w:color="000000"/>
              <w:right w:val="single" w:sz="2" w:space="0" w:color="000000"/>
            </w:tcBorders>
          </w:tcPr>
          <w:p w14:paraId="432D5D91" w14:textId="77777777" w:rsidR="00053D93" w:rsidRDefault="00053D93"/>
        </w:tc>
        <w:tc>
          <w:tcPr>
            <w:tcW w:w="1336" w:type="dxa"/>
            <w:tcBorders>
              <w:top w:val="single" w:sz="2" w:space="0" w:color="000000"/>
              <w:left w:val="single" w:sz="2" w:space="0" w:color="000000"/>
              <w:bottom w:val="single" w:sz="2" w:space="0" w:color="000000"/>
              <w:right w:val="single" w:sz="2" w:space="0" w:color="000000"/>
            </w:tcBorders>
          </w:tcPr>
          <w:p w14:paraId="3E6B4FBA" w14:textId="77777777" w:rsidR="00053D93" w:rsidRDefault="00053D93"/>
        </w:tc>
        <w:tc>
          <w:tcPr>
            <w:tcW w:w="1145" w:type="dxa"/>
            <w:tcBorders>
              <w:top w:val="single" w:sz="2" w:space="0" w:color="000000"/>
              <w:left w:val="single" w:sz="2" w:space="0" w:color="000000"/>
              <w:bottom w:val="single" w:sz="2" w:space="0" w:color="000000"/>
              <w:right w:val="single" w:sz="2" w:space="0" w:color="000000"/>
            </w:tcBorders>
          </w:tcPr>
          <w:p w14:paraId="35DE7A6C" w14:textId="77777777" w:rsidR="00053D93" w:rsidRDefault="00260B75">
            <w:pPr>
              <w:ind w:left="7"/>
            </w:pPr>
            <w:r>
              <w:rPr>
                <w:sz w:val="18"/>
              </w:rPr>
              <w:t>Q900,000.OO</w:t>
            </w:r>
          </w:p>
        </w:tc>
      </w:tr>
    </w:tbl>
    <w:p w14:paraId="544789DE" w14:textId="77777777" w:rsidR="00053D93" w:rsidRDefault="00260B75">
      <w:pPr>
        <w:spacing w:after="324" w:line="265" w:lineRule="auto"/>
        <w:ind w:left="1673" w:hanging="10"/>
      </w:pPr>
      <w:r>
        <w:rPr>
          <w:sz w:val="18"/>
        </w:rPr>
        <w:t>Fuente: Documento Tributario Electrónico Serie: 18F821DD, Número: 2490581832 del 16 de diciembre de</w:t>
      </w:r>
    </w:p>
    <w:p w14:paraId="5780F791" w14:textId="77777777" w:rsidR="00053D93" w:rsidRDefault="00260B75">
      <w:pPr>
        <w:spacing w:after="438" w:line="250" w:lineRule="auto"/>
        <w:ind w:left="1695" w:right="14" w:hanging="3"/>
        <w:jc w:val="both"/>
      </w:pPr>
      <w:r>
        <w:rPr>
          <w:sz w:val="26"/>
        </w:rPr>
        <w:t>"Lo anterior, contraviene a los intereses del Estado, ya que aumenta el valor de los boletos aéreos de Q4, 780.00 a Q8,398.51 cada uno, lo que equivale a un incremento del 56.91% del valor originalmente ofertado por el contratista." (El subrayado y negrita es propio). Con respecto a este postulado de los señores auditores gubernamentales he de indicar que estoy completamente en desacuerdo en la formulación del mismo principalmente cuando se dice que contraviene a los intereses del Estado, ya que aumenta el valor de los boletos aéreos de Q4, 780.00 a Q8,398.51 cada uno. Digo esto por las siguientes razones:</w:t>
      </w:r>
    </w:p>
    <w:p w14:paraId="09A6616D" w14:textId="77777777" w:rsidR="00053D93" w:rsidRDefault="00260B75">
      <w:pPr>
        <w:spacing w:after="335" w:line="250" w:lineRule="auto"/>
        <w:ind w:left="1702" w:right="14" w:hanging="3"/>
        <w:jc w:val="both"/>
      </w:pPr>
      <w:r>
        <w:rPr>
          <w:sz w:val="26"/>
        </w:rPr>
        <w:t>a) El postulado indica claramente citado por los mismos Auditores Gubernamentales indican claramente que no se ha pagado el servicio de boletos aéreos contratado a la entidad LAX TRAVEL, S.A. por consiguiente es inaudito plantear una situación que esta fuera de contexto, toda vez se tendrá que respetar</w:t>
      </w:r>
    </w:p>
    <w:tbl>
      <w:tblPr>
        <w:tblStyle w:val="TableGrid"/>
        <w:tblpPr w:vertAnchor="text" w:tblpX="2521" w:tblpY="19"/>
        <w:tblOverlap w:val="never"/>
        <w:tblW w:w="7660" w:type="dxa"/>
        <w:tblInd w:w="0" w:type="dxa"/>
        <w:tblCellMar>
          <w:top w:w="53" w:type="dxa"/>
          <w:left w:w="1770" w:type="dxa"/>
          <w:right w:w="115" w:type="dxa"/>
        </w:tblCellMar>
        <w:tblLook w:val="04A0" w:firstRow="1" w:lastRow="0" w:firstColumn="1" w:lastColumn="0" w:noHBand="0" w:noVBand="1"/>
      </w:tblPr>
      <w:tblGrid>
        <w:gridCol w:w="7660"/>
      </w:tblGrid>
      <w:tr w:rsidR="00053D93" w14:paraId="2DC266A8" w14:textId="77777777">
        <w:trPr>
          <w:trHeight w:val="615"/>
        </w:trPr>
        <w:tc>
          <w:tcPr>
            <w:tcW w:w="7660" w:type="dxa"/>
            <w:tcBorders>
              <w:top w:val="single" w:sz="2" w:space="0" w:color="000000"/>
              <w:left w:val="single" w:sz="2" w:space="0" w:color="000000"/>
              <w:bottom w:val="nil"/>
              <w:right w:val="nil"/>
            </w:tcBorders>
          </w:tcPr>
          <w:p w14:paraId="4EF44DB7" w14:textId="77777777" w:rsidR="00053D93" w:rsidRDefault="00260B75">
            <w:pPr>
              <w:ind w:left="835"/>
            </w:pPr>
            <w:r>
              <w:rPr>
                <w:sz w:val="14"/>
              </w:rPr>
              <w:t>MINISTERIO DE EDUCACION</w:t>
            </w:r>
          </w:p>
          <w:p w14:paraId="0D564B63" w14:textId="77777777" w:rsidR="00053D93" w:rsidRDefault="00260B75">
            <w:pPr>
              <w:ind w:left="338"/>
            </w:pPr>
            <w:r>
              <w:rPr>
                <w:sz w:val="14"/>
              </w:rPr>
              <w:t>AUDITORIA FINANCIERA Y DE CUMPLIMIENTO</w:t>
            </w:r>
          </w:p>
          <w:p w14:paraId="4296C9A4" w14:textId="77777777" w:rsidR="00053D93" w:rsidRDefault="00260B75">
            <w:r>
              <w:rPr>
                <w:sz w:val="14"/>
              </w:rPr>
              <w:t>PERIODO DEL 01 DE ENERO AL 31 DE DICIEMBRE DE 2024</w:t>
            </w:r>
          </w:p>
        </w:tc>
      </w:tr>
    </w:tbl>
    <w:p w14:paraId="15E8F8DA" w14:textId="77777777" w:rsidR="00053D93" w:rsidRDefault="00260B75">
      <w:pPr>
        <w:pStyle w:val="Ttulo2"/>
        <w:ind w:left="118" w:right="0"/>
      </w:pPr>
      <w:r>
        <w:t>I III</w:t>
      </w:r>
      <w:r>
        <w:rPr>
          <w:noProof/>
        </w:rPr>
        <w:drawing>
          <wp:inline distT="0" distB="0" distL="0" distR="0" wp14:anchorId="299D0088" wp14:editId="072A2106">
            <wp:extent cx="937260" cy="406909"/>
            <wp:effectExtent l="0" t="0" r="0" b="0"/>
            <wp:docPr id="963802" name="Picture 963802"/>
            <wp:cNvGraphicFramePr/>
            <a:graphic xmlns:a="http://schemas.openxmlformats.org/drawingml/2006/main">
              <a:graphicData uri="http://schemas.openxmlformats.org/drawingml/2006/picture">
                <pic:pic xmlns:pic="http://schemas.openxmlformats.org/drawingml/2006/picture">
                  <pic:nvPicPr>
                    <pic:cNvPr id="963802" name="Picture 963802"/>
                    <pic:cNvPicPr/>
                  </pic:nvPicPr>
                  <pic:blipFill>
                    <a:blip r:embed="rId1325"/>
                    <a:stretch>
                      <a:fillRect/>
                    </a:stretch>
                  </pic:blipFill>
                  <pic:spPr>
                    <a:xfrm>
                      <a:off x="0" y="0"/>
                      <a:ext cx="937260" cy="406909"/>
                    </a:xfrm>
                    <a:prstGeom prst="rect">
                      <a:avLst/>
                    </a:prstGeom>
                  </pic:spPr>
                </pic:pic>
              </a:graphicData>
            </a:graphic>
          </wp:inline>
        </w:drawing>
      </w:r>
    </w:p>
    <w:p w14:paraId="259F710E" w14:textId="77777777" w:rsidR="00053D93" w:rsidRDefault="00260B75">
      <w:pPr>
        <w:spacing w:after="0" w:line="265" w:lineRule="auto"/>
        <w:ind w:left="4589" w:right="1116" w:hanging="10"/>
        <w:jc w:val="center"/>
      </w:pPr>
      <w:r>
        <w:rPr>
          <w:sz w:val="14"/>
        </w:rPr>
        <w:t xml:space="preserve">OE </w:t>
      </w:r>
    </w:p>
    <w:p w14:paraId="70C0DFDA" w14:textId="77777777" w:rsidR="00053D93" w:rsidRDefault="00260B75">
      <w:pPr>
        <w:spacing w:after="114" w:line="265" w:lineRule="auto"/>
        <w:ind w:left="3084" w:hanging="10"/>
      </w:pPr>
      <w:r>
        <w:rPr>
          <w:sz w:val="14"/>
        </w:rPr>
        <w:t xml:space="preserve">OE </w:t>
      </w:r>
    </w:p>
    <w:p w14:paraId="3258B01F" w14:textId="77777777" w:rsidR="00053D93" w:rsidRDefault="00260B75">
      <w:pPr>
        <w:spacing w:after="34"/>
        <w:ind w:left="1339" w:right="-43"/>
      </w:pPr>
      <w:r>
        <w:rPr>
          <w:noProof/>
        </w:rPr>
        <mc:AlternateContent>
          <mc:Choice Requires="wpg">
            <w:drawing>
              <wp:inline distT="0" distB="0" distL="0" distR="0" wp14:anchorId="76419ED2" wp14:editId="4E76CE9B">
                <wp:extent cx="5632704" cy="13716"/>
                <wp:effectExtent l="0" t="0" r="0" b="0"/>
                <wp:docPr id="2458717" name="Group 2458717"/>
                <wp:cNvGraphicFramePr/>
                <a:graphic xmlns:a="http://schemas.openxmlformats.org/drawingml/2006/main">
                  <a:graphicData uri="http://schemas.microsoft.com/office/word/2010/wordprocessingGroup">
                    <wpg:wgp>
                      <wpg:cNvGrpSpPr/>
                      <wpg:grpSpPr>
                        <a:xfrm>
                          <a:off x="0" y="0"/>
                          <a:ext cx="5632704" cy="13716"/>
                          <a:chOff x="0" y="0"/>
                          <a:chExt cx="5632704" cy="13716"/>
                        </a:xfrm>
                      </wpg:grpSpPr>
                      <wps:wsp>
                        <wps:cNvPr id="2458716" name="Shape 2458716"/>
                        <wps:cNvSpPr/>
                        <wps:spPr>
                          <a:xfrm>
                            <a:off x="0" y="0"/>
                            <a:ext cx="5632704" cy="13716"/>
                          </a:xfrm>
                          <a:custGeom>
                            <a:avLst/>
                            <a:gdLst/>
                            <a:ahLst/>
                            <a:cxnLst/>
                            <a:rect l="0" t="0" r="0" b="0"/>
                            <a:pathLst>
                              <a:path w="5632704" h="13716">
                                <a:moveTo>
                                  <a:pt x="0" y="6858"/>
                                </a:moveTo>
                                <a:lnTo>
                                  <a:pt x="563270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717" style="width:443.52pt;height:1.07999pt;mso-position-horizontal-relative:char;mso-position-vertical-relative:line" coordsize="56327,137">
                <v:shape id="Shape 2458716" style="position:absolute;width:56327;height:137;left:0;top:0;" coordsize="5632704,13716" path="m0,6858l5632704,6858">
                  <v:stroke weight="1.07999pt" endcap="flat" joinstyle="miter" miterlimit="1" on="true" color="#000000"/>
                  <v:fill on="false" color="#000000"/>
                </v:shape>
              </v:group>
            </w:pict>
          </mc:Fallback>
        </mc:AlternateContent>
      </w:r>
    </w:p>
    <w:p w14:paraId="0F696DE8" w14:textId="77777777" w:rsidR="00053D93" w:rsidRDefault="00260B75">
      <w:pPr>
        <w:spacing w:after="313" w:line="263" w:lineRule="auto"/>
        <w:ind w:left="1665" w:hanging="10"/>
      </w:pPr>
      <w:r>
        <w:rPr>
          <w:sz w:val="24"/>
        </w:rPr>
        <w:t>lo indicado en el contrato administrativo firmado por los representantes en su momento.</w:t>
      </w:r>
    </w:p>
    <w:p w14:paraId="5AAA0C2F" w14:textId="77777777" w:rsidR="00053D93" w:rsidRDefault="00260B75">
      <w:pPr>
        <w:numPr>
          <w:ilvl w:val="0"/>
          <w:numId w:val="10"/>
        </w:numPr>
        <w:spacing w:after="319" w:line="250" w:lineRule="auto"/>
        <w:ind w:right="14" w:hanging="3"/>
        <w:jc w:val="both"/>
      </w:pPr>
      <w:r>
        <w:rPr>
          <w:sz w:val="26"/>
        </w:rPr>
        <w:t xml:space="preserve">Si para el presente caso ya se hubiera efectuado algún pago en donde se reflejará un monto superior al indicado en el evento objeto de posible hallazgo </w:t>
      </w:r>
      <w:r>
        <w:rPr>
          <w:noProof/>
        </w:rPr>
        <w:drawing>
          <wp:inline distT="0" distB="0" distL="0" distR="0" wp14:anchorId="3EE0F4F0" wp14:editId="572172DA">
            <wp:extent cx="13717" cy="18288"/>
            <wp:effectExtent l="0" t="0" r="0" b="0"/>
            <wp:docPr id="968434" name="Picture 968434"/>
            <wp:cNvGraphicFramePr/>
            <a:graphic xmlns:a="http://schemas.openxmlformats.org/drawingml/2006/main">
              <a:graphicData uri="http://schemas.openxmlformats.org/drawingml/2006/picture">
                <pic:pic xmlns:pic="http://schemas.openxmlformats.org/drawingml/2006/picture">
                  <pic:nvPicPr>
                    <pic:cNvPr id="968434" name="Picture 968434"/>
                    <pic:cNvPicPr/>
                  </pic:nvPicPr>
                  <pic:blipFill>
                    <a:blip r:embed="rId1326"/>
                    <a:stretch>
                      <a:fillRect/>
                    </a:stretch>
                  </pic:blipFill>
                  <pic:spPr>
                    <a:xfrm>
                      <a:off x="0" y="0"/>
                      <a:ext cx="13717" cy="18288"/>
                    </a:xfrm>
                    <a:prstGeom prst="rect">
                      <a:avLst/>
                    </a:prstGeom>
                  </pic:spPr>
                </pic:pic>
              </a:graphicData>
            </a:graphic>
          </wp:inline>
        </w:drawing>
      </w:r>
      <w:r>
        <w:rPr>
          <w:sz w:val="26"/>
        </w:rPr>
        <w:t>sería razonable indicarlo; a ta presente fecha se deberá de respetar el contrato administrativo Contrato Administrativo 01-2024-DIGEF-CD. Firmado por el representante legal de la entidad LAX TRAVEL, S.A. y el Director en funciones de la Dirección General de Educación Física -DIGEF-, considerando la cláusula Segunda y Quinta de dicho contrato.</w:t>
      </w:r>
    </w:p>
    <w:p w14:paraId="48A25C09" w14:textId="77777777" w:rsidR="00053D93" w:rsidRDefault="00260B75">
      <w:pPr>
        <w:numPr>
          <w:ilvl w:val="0"/>
          <w:numId w:val="10"/>
        </w:numPr>
        <w:spacing w:after="331" w:line="250" w:lineRule="auto"/>
        <w:ind w:right="14" w:hanging="3"/>
        <w:jc w:val="both"/>
      </w:pPr>
      <w:r>
        <w:rPr>
          <w:sz w:val="26"/>
        </w:rPr>
        <w:t>No se puede aceptar un incremento de precio como lo pretende sugerir la entidad LAX TRAVEL, S.A. pues esos montos no forman parte del contrato contractual firmado.</w:t>
      </w:r>
    </w:p>
    <w:p w14:paraId="17B1B3DE" w14:textId="77777777" w:rsidR="00053D93" w:rsidRDefault="00260B75">
      <w:pPr>
        <w:numPr>
          <w:ilvl w:val="0"/>
          <w:numId w:val="10"/>
        </w:numPr>
        <w:spacing w:after="365" w:line="250" w:lineRule="auto"/>
        <w:ind w:right="14" w:hanging="3"/>
        <w:jc w:val="both"/>
      </w:pPr>
      <w:r>
        <w:rPr>
          <w:noProof/>
        </w:rPr>
        <w:drawing>
          <wp:anchor distT="0" distB="0" distL="114300" distR="114300" simplePos="0" relativeHeight="252155904" behindDoc="0" locked="0" layoutInCell="1" allowOverlap="0" wp14:anchorId="394002F7" wp14:editId="67BE9B8A">
            <wp:simplePos x="0" y="0"/>
            <wp:positionH relativeFrom="page">
              <wp:posOffset>7159752</wp:posOffset>
            </wp:positionH>
            <wp:positionV relativeFrom="page">
              <wp:posOffset>795528</wp:posOffset>
            </wp:positionV>
            <wp:extent cx="365761" cy="18288"/>
            <wp:effectExtent l="0" t="0" r="0" b="0"/>
            <wp:wrapTopAndBottom/>
            <wp:docPr id="968564" name="Picture 968564"/>
            <wp:cNvGraphicFramePr/>
            <a:graphic xmlns:a="http://schemas.openxmlformats.org/drawingml/2006/main">
              <a:graphicData uri="http://schemas.openxmlformats.org/drawingml/2006/picture">
                <pic:pic xmlns:pic="http://schemas.openxmlformats.org/drawingml/2006/picture">
                  <pic:nvPicPr>
                    <pic:cNvPr id="968564" name="Picture 968564"/>
                    <pic:cNvPicPr/>
                  </pic:nvPicPr>
                  <pic:blipFill>
                    <a:blip r:embed="rId1327"/>
                    <a:stretch>
                      <a:fillRect/>
                    </a:stretch>
                  </pic:blipFill>
                  <pic:spPr>
                    <a:xfrm>
                      <a:off x="0" y="0"/>
                      <a:ext cx="365761" cy="18288"/>
                    </a:xfrm>
                    <a:prstGeom prst="rect">
                      <a:avLst/>
                    </a:prstGeom>
                  </pic:spPr>
                </pic:pic>
              </a:graphicData>
            </a:graphic>
          </wp:anchor>
        </w:drawing>
      </w:r>
      <w:r>
        <w:rPr>
          <w:sz w:val="26"/>
        </w:rPr>
        <w:t>Los 107 boletos aéreos fueron cotizados en el evento de cotización realizado a un costo de un precio unitario de Q4, 780.00, de conformidad con la oferta adjudicada, por lo tanto es y será el monto que se tiene que pagar respetando lo indicado en la cláusula segunda literal B y BI, donde claramente indica que pueden ser menos boletos y la cláusula quinta que nos indica que ser pagaran conforme a boletos efectivamente recibidos, toso según el contrato administrativo 01-2024-DIGEF-CD.</w:t>
      </w:r>
    </w:p>
    <w:p w14:paraId="174E0306" w14:textId="77777777" w:rsidR="00053D93" w:rsidRDefault="00260B75">
      <w:pPr>
        <w:spacing w:after="12" w:line="250" w:lineRule="auto"/>
        <w:ind w:left="1659" w:right="14" w:hanging="3"/>
        <w:jc w:val="both"/>
      </w:pPr>
      <w:r>
        <w:rPr>
          <w:sz w:val="26"/>
        </w:rPr>
        <w:t>SEXTO ENUNCIADO SEÑALADO POR LOS AUDITORES GUBERNAMENTALES. Por lo anteriormente descrito, se establecieron varias irregularidades en el evento publicado en el Sistema GUATECOMPRAS en el NOG: 24709395, mediante la modalidad de compra directa por ausencia de ofertas en el evento de cotización C-33/2024-MlNEDUC, publicado en el NOG original: 23723718, denominado "Servicio de transporte aéreo para la delegación deportiva escolar de Guatemala que participará en los Juegos Deportivos Escolares Centroamericanos del CODICADER, para estudiantes con discapacidad, a realizarse en Panamá, Panamá; a solicitud de la DIGEF", por la cantidad de Q443,901.19, integrado de [a siguiente forma:</w:t>
      </w:r>
    </w:p>
    <w:tbl>
      <w:tblPr>
        <w:tblStyle w:val="TableGrid"/>
        <w:tblW w:w="9415" w:type="dxa"/>
        <w:tblInd w:w="720" w:type="dxa"/>
        <w:tblLook w:val="04A0" w:firstRow="1" w:lastRow="0" w:firstColumn="1" w:lastColumn="0" w:noHBand="0" w:noVBand="1"/>
      </w:tblPr>
      <w:tblGrid>
        <w:gridCol w:w="830"/>
        <w:gridCol w:w="8631"/>
      </w:tblGrid>
      <w:tr w:rsidR="00053D93" w14:paraId="639A7A16" w14:textId="77777777">
        <w:trPr>
          <w:trHeight w:val="3442"/>
        </w:trPr>
        <w:tc>
          <w:tcPr>
            <w:tcW w:w="1019" w:type="dxa"/>
            <w:tcBorders>
              <w:top w:val="nil"/>
              <w:left w:val="nil"/>
              <w:bottom w:val="nil"/>
              <w:right w:val="nil"/>
            </w:tcBorders>
            <w:vAlign w:val="bottom"/>
          </w:tcPr>
          <w:p w14:paraId="26D6B993" w14:textId="77777777" w:rsidR="00053D93" w:rsidRDefault="00260B75">
            <w:r>
              <w:rPr>
                <w:noProof/>
              </w:rPr>
              <w:drawing>
                <wp:inline distT="0" distB="0" distL="0" distR="0" wp14:anchorId="1661E6DC" wp14:editId="44E244B6">
                  <wp:extent cx="644652" cy="411480"/>
                  <wp:effectExtent l="0" t="0" r="0" b="0"/>
                  <wp:docPr id="968566" name="Picture 968566"/>
                  <wp:cNvGraphicFramePr/>
                  <a:graphic xmlns:a="http://schemas.openxmlformats.org/drawingml/2006/main">
                    <a:graphicData uri="http://schemas.openxmlformats.org/drawingml/2006/picture">
                      <pic:pic xmlns:pic="http://schemas.openxmlformats.org/drawingml/2006/picture">
                        <pic:nvPicPr>
                          <pic:cNvPr id="968566" name="Picture 968566"/>
                          <pic:cNvPicPr/>
                        </pic:nvPicPr>
                        <pic:blipFill>
                          <a:blip r:embed="rId1328"/>
                          <a:stretch>
                            <a:fillRect/>
                          </a:stretch>
                        </pic:blipFill>
                        <pic:spPr>
                          <a:xfrm>
                            <a:off x="0" y="0"/>
                            <a:ext cx="644652" cy="411480"/>
                          </a:xfrm>
                          <a:prstGeom prst="rect">
                            <a:avLst/>
                          </a:prstGeom>
                        </pic:spPr>
                      </pic:pic>
                    </a:graphicData>
                  </a:graphic>
                </wp:inline>
              </w:drawing>
            </w:r>
          </w:p>
        </w:tc>
        <w:tc>
          <w:tcPr>
            <w:tcW w:w="8396" w:type="dxa"/>
            <w:tcBorders>
              <w:top w:val="nil"/>
              <w:left w:val="nil"/>
              <w:bottom w:val="nil"/>
              <w:right w:val="nil"/>
            </w:tcBorders>
          </w:tcPr>
          <w:p w14:paraId="1699FF51" w14:textId="77777777" w:rsidR="00053D93" w:rsidRDefault="00053D93">
            <w:pPr>
              <w:ind w:left="-2106" w:right="10502"/>
            </w:pPr>
          </w:p>
          <w:tbl>
            <w:tblPr>
              <w:tblStyle w:val="TableGrid"/>
              <w:tblW w:w="8393" w:type="dxa"/>
              <w:tblInd w:w="4" w:type="dxa"/>
              <w:tblCellMar>
                <w:top w:w="25" w:type="dxa"/>
                <w:bottom w:w="12" w:type="dxa"/>
                <w:right w:w="29" w:type="dxa"/>
              </w:tblCellMar>
              <w:tblLook w:val="04A0" w:firstRow="1" w:lastRow="0" w:firstColumn="1" w:lastColumn="0" w:noHBand="0" w:noVBand="1"/>
            </w:tblPr>
            <w:tblGrid>
              <w:gridCol w:w="282"/>
              <w:gridCol w:w="305"/>
              <w:gridCol w:w="181"/>
              <w:gridCol w:w="3977"/>
              <w:gridCol w:w="1041"/>
              <w:gridCol w:w="1486"/>
              <w:gridCol w:w="1121"/>
            </w:tblGrid>
            <w:tr w:rsidR="00053D93" w14:paraId="6A5CC4E8" w14:textId="77777777">
              <w:trPr>
                <w:trHeight w:val="274"/>
              </w:trPr>
              <w:tc>
                <w:tcPr>
                  <w:tcW w:w="587" w:type="dxa"/>
                  <w:gridSpan w:val="2"/>
                  <w:tcBorders>
                    <w:top w:val="single" w:sz="2" w:space="0" w:color="000000"/>
                    <w:left w:val="single" w:sz="2" w:space="0" w:color="000000"/>
                    <w:bottom w:val="single" w:sz="2" w:space="0" w:color="000000"/>
                    <w:right w:val="single" w:sz="2" w:space="0" w:color="000000"/>
                  </w:tcBorders>
                </w:tcPr>
                <w:p w14:paraId="2CE481C5" w14:textId="77777777" w:rsidR="00053D93" w:rsidRDefault="00053D93"/>
              </w:tc>
              <w:tc>
                <w:tcPr>
                  <w:tcW w:w="4158" w:type="dxa"/>
                  <w:gridSpan w:val="2"/>
                  <w:tcBorders>
                    <w:top w:val="single" w:sz="2" w:space="0" w:color="000000"/>
                    <w:left w:val="single" w:sz="2" w:space="0" w:color="000000"/>
                    <w:bottom w:val="single" w:sz="2" w:space="0" w:color="000000"/>
                    <w:right w:val="single" w:sz="2" w:space="0" w:color="000000"/>
                  </w:tcBorders>
                </w:tcPr>
                <w:p w14:paraId="55533702" w14:textId="77777777" w:rsidR="00053D93" w:rsidRDefault="00260B75">
                  <w:pPr>
                    <w:ind w:right="47"/>
                    <w:jc w:val="center"/>
                  </w:pPr>
                  <w:r>
                    <w:rPr>
                      <w:sz w:val="20"/>
                    </w:rPr>
                    <w:t>Descripción</w:t>
                  </w:r>
                </w:p>
              </w:tc>
              <w:tc>
                <w:tcPr>
                  <w:tcW w:w="1041" w:type="dxa"/>
                  <w:tcBorders>
                    <w:top w:val="single" w:sz="2" w:space="0" w:color="000000"/>
                    <w:left w:val="single" w:sz="2" w:space="0" w:color="000000"/>
                    <w:bottom w:val="single" w:sz="2" w:space="0" w:color="000000"/>
                    <w:right w:val="single" w:sz="2" w:space="0" w:color="000000"/>
                  </w:tcBorders>
                </w:tcPr>
                <w:p w14:paraId="74723CC3" w14:textId="77777777" w:rsidR="00053D93" w:rsidRDefault="00260B75">
                  <w:pPr>
                    <w:ind w:left="46"/>
                    <w:jc w:val="center"/>
                  </w:pPr>
                  <w:r>
                    <w:rPr>
                      <w:sz w:val="20"/>
                    </w:rPr>
                    <w:t>Cantidad</w:t>
                  </w:r>
                </w:p>
              </w:tc>
              <w:tc>
                <w:tcPr>
                  <w:tcW w:w="1486" w:type="dxa"/>
                  <w:tcBorders>
                    <w:top w:val="single" w:sz="2" w:space="0" w:color="000000"/>
                    <w:left w:val="single" w:sz="2" w:space="0" w:color="000000"/>
                    <w:bottom w:val="single" w:sz="2" w:space="0" w:color="000000"/>
                    <w:right w:val="single" w:sz="2" w:space="0" w:color="000000"/>
                  </w:tcBorders>
                </w:tcPr>
                <w:p w14:paraId="5D91FA67" w14:textId="77777777" w:rsidR="00053D93" w:rsidRDefault="00260B75">
                  <w:pPr>
                    <w:ind w:left="355"/>
                  </w:pPr>
                  <w:r>
                    <w:rPr>
                      <w:sz w:val="16"/>
                    </w:rPr>
                    <w:t>Precio unitario</w:t>
                  </w:r>
                </w:p>
              </w:tc>
              <w:tc>
                <w:tcPr>
                  <w:tcW w:w="1121" w:type="dxa"/>
                  <w:tcBorders>
                    <w:top w:val="single" w:sz="2" w:space="0" w:color="000000"/>
                    <w:left w:val="single" w:sz="2" w:space="0" w:color="000000"/>
                    <w:bottom w:val="single" w:sz="2" w:space="0" w:color="000000"/>
                    <w:right w:val="single" w:sz="2" w:space="0" w:color="000000"/>
                  </w:tcBorders>
                </w:tcPr>
                <w:p w14:paraId="44401B1B" w14:textId="77777777" w:rsidR="00053D93" w:rsidRDefault="00260B75">
                  <w:pPr>
                    <w:ind w:left="96"/>
                    <w:jc w:val="center"/>
                  </w:pPr>
                  <w:r>
                    <w:rPr>
                      <w:sz w:val="20"/>
                    </w:rPr>
                    <w:t>Total</w:t>
                  </w:r>
                </w:p>
              </w:tc>
            </w:tr>
            <w:tr w:rsidR="00053D93" w14:paraId="587C6DF9" w14:textId="77777777">
              <w:trPr>
                <w:trHeight w:val="473"/>
              </w:trPr>
              <w:tc>
                <w:tcPr>
                  <w:tcW w:w="587" w:type="dxa"/>
                  <w:gridSpan w:val="2"/>
                  <w:tcBorders>
                    <w:top w:val="single" w:sz="2" w:space="0" w:color="000000"/>
                    <w:left w:val="single" w:sz="2" w:space="0" w:color="000000"/>
                    <w:bottom w:val="single" w:sz="2" w:space="0" w:color="000000"/>
                    <w:right w:val="single" w:sz="2" w:space="0" w:color="000000"/>
                  </w:tcBorders>
                </w:tcPr>
                <w:p w14:paraId="03FAD9EB" w14:textId="77777777" w:rsidR="00053D93" w:rsidRDefault="00053D93"/>
              </w:tc>
              <w:tc>
                <w:tcPr>
                  <w:tcW w:w="4158" w:type="dxa"/>
                  <w:gridSpan w:val="2"/>
                  <w:tcBorders>
                    <w:top w:val="single" w:sz="2" w:space="0" w:color="000000"/>
                    <w:left w:val="single" w:sz="2" w:space="0" w:color="000000"/>
                    <w:bottom w:val="single" w:sz="2" w:space="0" w:color="000000"/>
                    <w:right w:val="single" w:sz="2" w:space="0" w:color="000000"/>
                  </w:tcBorders>
                </w:tcPr>
                <w:p w14:paraId="4986B37C" w14:textId="77777777" w:rsidR="00053D93" w:rsidRDefault="00260B75">
                  <w:pPr>
                    <w:ind w:left="-4" w:firstLine="7"/>
                    <w:jc w:val="both"/>
                  </w:pPr>
                  <w:r>
                    <w:rPr>
                      <w:sz w:val="20"/>
                    </w:rPr>
                    <w:t>Cantidad de boletos aéreos ofertados por LAX TRAVEL, S.A.</w:t>
                  </w:r>
                </w:p>
              </w:tc>
              <w:tc>
                <w:tcPr>
                  <w:tcW w:w="1041" w:type="dxa"/>
                  <w:tcBorders>
                    <w:top w:val="single" w:sz="2" w:space="0" w:color="000000"/>
                    <w:left w:val="single" w:sz="2" w:space="0" w:color="000000"/>
                    <w:bottom w:val="single" w:sz="2" w:space="0" w:color="000000"/>
                    <w:right w:val="single" w:sz="2" w:space="0" w:color="000000"/>
                  </w:tcBorders>
                  <w:vAlign w:val="bottom"/>
                </w:tcPr>
                <w:p w14:paraId="4FA06ED8" w14:textId="77777777" w:rsidR="00053D93" w:rsidRDefault="00260B75">
                  <w:pPr>
                    <w:ind w:left="60"/>
                    <w:jc w:val="center"/>
                  </w:pPr>
                  <w:r>
                    <w:rPr>
                      <w:sz w:val="20"/>
                    </w:rPr>
                    <w:t>188</w:t>
                  </w:r>
                </w:p>
              </w:tc>
              <w:tc>
                <w:tcPr>
                  <w:tcW w:w="1486" w:type="dxa"/>
                  <w:tcBorders>
                    <w:top w:val="single" w:sz="2" w:space="0" w:color="000000"/>
                    <w:left w:val="single" w:sz="2" w:space="0" w:color="000000"/>
                    <w:bottom w:val="single" w:sz="2" w:space="0" w:color="000000"/>
                    <w:right w:val="single" w:sz="2" w:space="0" w:color="000000"/>
                  </w:tcBorders>
                  <w:vAlign w:val="bottom"/>
                </w:tcPr>
                <w:p w14:paraId="58C9234B" w14:textId="77777777" w:rsidR="00053D93" w:rsidRDefault="00260B75">
                  <w:pPr>
                    <w:ind w:right="43"/>
                    <w:jc w:val="right"/>
                  </w:pPr>
                  <w:r>
                    <w:rPr>
                      <w:sz w:val="14"/>
                    </w:rPr>
                    <w:t>Q4.780.00</w:t>
                  </w:r>
                </w:p>
              </w:tc>
              <w:tc>
                <w:tcPr>
                  <w:tcW w:w="1121" w:type="dxa"/>
                  <w:tcBorders>
                    <w:top w:val="single" w:sz="2" w:space="0" w:color="000000"/>
                    <w:left w:val="single" w:sz="2" w:space="0" w:color="000000"/>
                    <w:bottom w:val="single" w:sz="2" w:space="0" w:color="000000"/>
                    <w:right w:val="single" w:sz="2" w:space="0" w:color="000000"/>
                  </w:tcBorders>
                  <w:vAlign w:val="bottom"/>
                </w:tcPr>
                <w:p w14:paraId="375BD162" w14:textId="77777777" w:rsidR="00053D93" w:rsidRDefault="00260B75">
                  <w:pPr>
                    <w:ind w:left="101"/>
                  </w:pPr>
                  <w:r>
                    <w:rPr>
                      <w:sz w:val="14"/>
                    </w:rPr>
                    <w:t>Q898.640.00</w:t>
                  </w:r>
                </w:p>
              </w:tc>
            </w:tr>
            <w:tr w:rsidR="00053D93" w14:paraId="30C297D4" w14:textId="77777777">
              <w:trPr>
                <w:trHeight w:val="456"/>
              </w:trPr>
              <w:tc>
                <w:tcPr>
                  <w:tcW w:w="587" w:type="dxa"/>
                  <w:gridSpan w:val="2"/>
                  <w:tcBorders>
                    <w:top w:val="single" w:sz="2" w:space="0" w:color="000000"/>
                    <w:left w:val="single" w:sz="2" w:space="0" w:color="000000"/>
                    <w:bottom w:val="single" w:sz="2" w:space="0" w:color="000000"/>
                    <w:right w:val="single" w:sz="2" w:space="0" w:color="000000"/>
                  </w:tcBorders>
                </w:tcPr>
                <w:p w14:paraId="3893CD56" w14:textId="77777777" w:rsidR="00053D93" w:rsidRDefault="00053D93"/>
              </w:tc>
              <w:tc>
                <w:tcPr>
                  <w:tcW w:w="4158" w:type="dxa"/>
                  <w:gridSpan w:val="2"/>
                  <w:tcBorders>
                    <w:top w:val="single" w:sz="2" w:space="0" w:color="000000"/>
                    <w:left w:val="single" w:sz="2" w:space="0" w:color="000000"/>
                    <w:bottom w:val="single" w:sz="2" w:space="0" w:color="000000"/>
                    <w:right w:val="single" w:sz="2" w:space="0" w:color="000000"/>
                  </w:tcBorders>
                  <w:vAlign w:val="bottom"/>
                </w:tcPr>
                <w:p w14:paraId="19393AF4" w14:textId="77777777" w:rsidR="00053D93" w:rsidRDefault="00260B75">
                  <w:pPr>
                    <w:ind w:left="11"/>
                  </w:pPr>
                  <w:r>
                    <w:rPr>
                      <w:sz w:val="20"/>
                    </w:rPr>
                    <w:t>Cantidad de boletos aéreos entregados a DIGEF</w:t>
                  </w:r>
                </w:p>
              </w:tc>
              <w:tc>
                <w:tcPr>
                  <w:tcW w:w="1041" w:type="dxa"/>
                  <w:tcBorders>
                    <w:top w:val="single" w:sz="2" w:space="0" w:color="000000"/>
                    <w:left w:val="single" w:sz="2" w:space="0" w:color="000000"/>
                    <w:bottom w:val="single" w:sz="2" w:space="0" w:color="000000"/>
                    <w:right w:val="single" w:sz="2" w:space="0" w:color="000000"/>
                  </w:tcBorders>
                  <w:vAlign w:val="bottom"/>
                </w:tcPr>
                <w:p w14:paraId="43976CE5" w14:textId="77777777" w:rsidR="00053D93" w:rsidRDefault="00260B75">
                  <w:pPr>
                    <w:ind w:left="60"/>
                    <w:jc w:val="center"/>
                  </w:pPr>
                  <w:r>
                    <w:rPr>
                      <w:sz w:val="18"/>
                    </w:rPr>
                    <w:t>107</w:t>
                  </w:r>
                </w:p>
              </w:tc>
              <w:tc>
                <w:tcPr>
                  <w:tcW w:w="1486" w:type="dxa"/>
                  <w:tcBorders>
                    <w:top w:val="single" w:sz="2" w:space="0" w:color="000000"/>
                    <w:left w:val="single" w:sz="2" w:space="0" w:color="000000"/>
                    <w:bottom w:val="single" w:sz="2" w:space="0" w:color="000000"/>
                    <w:right w:val="single" w:sz="2" w:space="0" w:color="000000"/>
                  </w:tcBorders>
                  <w:vAlign w:val="bottom"/>
                </w:tcPr>
                <w:p w14:paraId="23396742" w14:textId="77777777" w:rsidR="00053D93" w:rsidRDefault="00260B75">
                  <w:pPr>
                    <w:ind w:right="36"/>
                    <w:jc w:val="right"/>
                  </w:pPr>
                  <w:r>
                    <w:rPr>
                      <w:sz w:val="14"/>
                    </w:rPr>
                    <w:t>Q4.780.00</w:t>
                  </w:r>
                </w:p>
              </w:tc>
              <w:tc>
                <w:tcPr>
                  <w:tcW w:w="1121" w:type="dxa"/>
                  <w:tcBorders>
                    <w:top w:val="single" w:sz="2" w:space="0" w:color="000000"/>
                    <w:left w:val="single" w:sz="2" w:space="0" w:color="000000"/>
                    <w:bottom w:val="single" w:sz="2" w:space="0" w:color="000000"/>
                    <w:right w:val="single" w:sz="2" w:space="0" w:color="000000"/>
                  </w:tcBorders>
                  <w:vAlign w:val="bottom"/>
                </w:tcPr>
                <w:p w14:paraId="6C3B0F30" w14:textId="77777777" w:rsidR="00053D93" w:rsidRDefault="00260B75">
                  <w:pPr>
                    <w:ind w:left="108"/>
                  </w:pPr>
                  <w:r>
                    <w:rPr>
                      <w:sz w:val="16"/>
                    </w:rPr>
                    <w:t>Q511 ,460.OO</w:t>
                  </w:r>
                </w:p>
              </w:tc>
            </w:tr>
            <w:tr w:rsidR="00053D93" w14:paraId="16F201DA" w14:textId="77777777">
              <w:trPr>
                <w:trHeight w:val="677"/>
              </w:trPr>
              <w:tc>
                <w:tcPr>
                  <w:tcW w:w="587" w:type="dxa"/>
                  <w:gridSpan w:val="2"/>
                  <w:tcBorders>
                    <w:top w:val="single" w:sz="2" w:space="0" w:color="000000"/>
                    <w:left w:val="single" w:sz="2" w:space="0" w:color="000000"/>
                    <w:bottom w:val="single" w:sz="2" w:space="0" w:color="000000"/>
                    <w:right w:val="single" w:sz="2" w:space="0" w:color="000000"/>
                  </w:tcBorders>
                </w:tcPr>
                <w:p w14:paraId="34476F5E" w14:textId="77777777" w:rsidR="00053D93" w:rsidRDefault="00053D93"/>
              </w:tc>
              <w:tc>
                <w:tcPr>
                  <w:tcW w:w="4158" w:type="dxa"/>
                  <w:gridSpan w:val="2"/>
                  <w:tcBorders>
                    <w:top w:val="single" w:sz="2" w:space="0" w:color="000000"/>
                    <w:left w:val="single" w:sz="2" w:space="0" w:color="000000"/>
                    <w:bottom w:val="single" w:sz="2" w:space="0" w:color="000000"/>
                    <w:right w:val="single" w:sz="2" w:space="0" w:color="000000"/>
                  </w:tcBorders>
                </w:tcPr>
                <w:p w14:paraId="33882A56" w14:textId="77777777" w:rsidR="00053D93" w:rsidRDefault="00260B75">
                  <w:pPr>
                    <w:ind w:left="11"/>
                    <w:jc w:val="both"/>
                  </w:pPr>
                  <w:r>
                    <w:rPr>
                      <w:sz w:val="20"/>
                    </w:rPr>
                    <w:t>Cantidad de boletos no emitidos en el evento adjudicado y exigido en pago por LM TRAVEL, S.A.</w:t>
                  </w:r>
                </w:p>
              </w:tc>
              <w:tc>
                <w:tcPr>
                  <w:tcW w:w="1041" w:type="dxa"/>
                  <w:tcBorders>
                    <w:top w:val="single" w:sz="2" w:space="0" w:color="000000"/>
                    <w:left w:val="single" w:sz="2" w:space="0" w:color="000000"/>
                    <w:bottom w:val="single" w:sz="2" w:space="0" w:color="000000"/>
                    <w:right w:val="single" w:sz="2" w:space="0" w:color="000000"/>
                  </w:tcBorders>
                  <w:vAlign w:val="bottom"/>
                </w:tcPr>
                <w:p w14:paraId="09CD0022" w14:textId="77777777" w:rsidR="00053D93" w:rsidRDefault="00260B75">
                  <w:pPr>
                    <w:ind w:left="46"/>
                    <w:jc w:val="center"/>
                  </w:pPr>
                  <w:r>
                    <w:rPr>
                      <w:sz w:val="18"/>
                    </w:rPr>
                    <w:t>81</w:t>
                  </w:r>
                </w:p>
              </w:tc>
              <w:tc>
                <w:tcPr>
                  <w:tcW w:w="1486" w:type="dxa"/>
                  <w:tcBorders>
                    <w:top w:val="single" w:sz="2" w:space="0" w:color="000000"/>
                    <w:left w:val="single" w:sz="2" w:space="0" w:color="000000"/>
                    <w:bottom w:val="single" w:sz="2" w:space="0" w:color="000000"/>
                    <w:right w:val="single" w:sz="2" w:space="0" w:color="000000"/>
                  </w:tcBorders>
                  <w:vAlign w:val="bottom"/>
                </w:tcPr>
                <w:p w14:paraId="188AD87E" w14:textId="77777777" w:rsidR="00053D93" w:rsidRDefault="00260B75">
                  <w:pPr>
                    <w:ind w:right="29"/>
                    <w:jc w:val="right"/>
                  </w:pPr>
                  <w:r>
                    <w:rPr>
                      <w:sz w:val="14"/>
                    </w:rPr>
                    <w:t>Q4.780.00</w:t>
                  </w:r>
                </w:p>
              </w:tc>
              <w:tc>
                <w:tcPr>
                  <w:tcW w:w="1121" w:type="dxa"/>
                  <w:tcBorders>
                    <w:top w:val="single" w:sz="2" w:space="0" w:color="000000"/>
                    <w:left w:val="single" w:sz="2" w:space="0" w:color="000000"/>
                    <w:bottom w:val="single" w:sz="2" w:space="0" w:color="000000"/>
                    <w:right w:val="single" w:sz="2" w:space="0" w:color="000000"/>
                  </w:tcBorders>
                  <w:vAlign w:val="bottom"/>
                </w:tcPr>
                <w:p w14:paraId="21A01FD5" w14:textId="77777777" w:rsidR="00053D93" w:rsidRDefault="00260B75">
                  <w:pPr>
                    <w:ind w:left="122"/>
                  </w:pPr>
                  <w:r>
                    <w:rPr>
                      <w:sz w:val="14"/>
                    </w:rPr>
                    <w:t>Q387.180.00</w:t>
                  </w:r>
                </w:p>
              </w:tc>
            </w:tr>
            <w:tr w:rsidR="00053D93" w14:paraId="175788AA" w14:textId="77777777">
              <w:trPr>
                <w:trHeight w:val="482"/>
              </w:trPr>
              <w:tc>
                <w:tcPr>
                  <w:tcW w:w="587" w:type="dxa"/>
                  <w:gridSpan w:val="2"/>
                  <w:tcBorders>
                    <w:top w:val="single" w:sz="2" w:space="0" w:color="000000"/>
                    <w:left w:val="single" w:sz="2" w:space="0" w:color="000000"/>
                    <w:bottom w:val="single" w:sz="2" w:space="0" w:color="000000"/>
                    <w:right w:val="single" w:sz="2" w:space="0" w:color="000000"/>
                  </w:tcBorders>
                </w:tcPr>
                <w:p w14:paraId="5D3DC902" w14:textId="77777777" w:rsidR="00053D93" w:rsidRDefault="00053D93"/>
              </w:tc>
              <w:tc>
                <w:tcPr>
                  <w:tcW w:w="4158" w:type="dxa"/>
                  <w:gridSpan w:val="2"/>
                  <w:tcBorders>
                    <w:top w:val="single" w:sz="2" w:space="0" w:color="000000"/>
                    <w:left w:val="single" w:sz="2" w:space="0" w:color="000000"/>
                    <w:bottom w:val="single" w:sz="2" w:space="0" w:color="000000"/>
                    <w:right w:val="single" w:sz="2" w:space="0" w:color="000000"/>
                  </w:tcBorders>
                </w:tcPr>
                <w:p w14:paraId="26553023" w14:textId="77777777" w:rsidR="00053D93" w:rsidRDefault="00260B75">
                  <w:pPr>
                    <w:ind w:left="11"/>
                  </w:pPr>
                  <w:r>
                    <w:rPr>
                      <w:sz w:val="20"/>
                    </w:rPr>
                    <w:t>Servicio de flete no recibido por DIGEF Y exigido en pago por LAX TRAVEL, S.A.</w:t>
                  </w:r>
                </w:p>
              </w:tc>
              <w:tc>
                <w:tcPr>
                  <w:tcW w:w="1041" w:type="dxa"/>
                  <w:tcBorders>
                    <w:top w:val="single" w:sz="2" w:space="0" w:color="000000"/>
                    <w:left w:val="single" w:sz="2" w:space="0" w:color="000000"/>
                    <w:bottom w:val="single" w:sz="2" w:space="0" w:color="000000"/>
                    <w:right w:val="single" w:sz="2" w:space="0" w:color="000000"/>
                  </w:tcBorders>
                </w:tcPr>
                <w:p w14:paraId="2D248376" w14:textId="77777777" w:rsidR="00053D93" w:rsidRDefault="00260B75">
                  <w:pPr>
                    <w:ind w:left="60"/>
                    <w:jc w:val="center"/>
                  </w:pPr>
                  <w:r>
                    <w:rPr>
                      <w:sz w:val="20"/>
                    </w:rPr>
                    <w:t>1</w:t>
                  </w:r>
                </w:p>
              </w:tc>
              <w:tc>
                <w:tcPr>
                  <w:tcW w:w="1486" w:type="dxa"/>
                  <w:tcBorders>
                    <w:top w:val="single" w:sz="2" w:space="0" w:color="000000"/>
                    <w:left w:val="single" w:sz="2" w:space="0" w:color="000000"/>
                    <w:bottom w:val="single" w:sz="2" w:space="0" w:color="000000"/>
                    <w:right w:val="single" w:sz="2" w:space="0" w:color="000000"/>
                  </w:tcBorders>
                  <w:vAlign w:val="bottom"/>
                </w:tcPr>
                <w:p w14:paraId="6CD40A0D" w14:textId="77777777" w:rsidR="00053D93" w:rsidRDefault="00260B75">
                  <w:pPr>
                    <w:ind w:right="36"/>
                    <w:jc w:val="right"/>
                  </w:pPr>
                  <w:r>
                    <w:rPr>
                      <w:sz w:val="16"/>
                    </w:rPr>
                    <w:t>Q1 ,360.OO</w:t>
                  </w:r>
                </w:p>
              </w:tc>
              <w:tc>
                <w:tcPr>
                  <w:tcW w:w="1121" w:type="dxa"/>
                  <w:tcBorders>
                    <w:top w:val="single" w:sz="2" w:space="0" w:color="000000"/>
                    <w:left w:val="single" w:sz="2" w:space="0" w:color="000000"/>
                    <w:bottom w:val="single" w:sz="2" w:space="0" w:color="000000"/>
                    <w:right w:val="single" w:sz="2" w:space="0" w:color="000000"/>
                  </w:tcBorders>
                  <w:vAlign w:val="bottom"/>
                </w:tcPr>
                <w:p w14:paraId="1D9279CE" w14:textId="77777777" w:rsidR="00053D93" w:rsidRDefault="00260B75">
                  <w:pPr>
                    <w:ind w:left="302"/>
                  </w:pPr>
                  <w:r>
                    <w:rPr>
                      <w:sz w:val="16"/>
                    </w:rPr>
                    <w:t>Q1 ,360.OO</w:t>
                  </w:r>
                </w:p>
              </w:tc>
            </w:tr>
            <w:tr w:rsidR="00053D93" w14:paraId="05FA1F97" w14:textId="77777777">
              <w:trPr>
                <w:trHeight w:val="461"/>
              </w:trPr>
              <w:tc>
                <w:tcPr>
                  <w:tcW w:w="282" w:type="dxa"/>
                  <w:vMerge w:val="restart"/>
                  <w:tcBorders>
                    <w:top w:val="single" w:sz="2" w:space="0" w:color="000000"/>
                    <w:left w:val="single" w:sz="2" w:space="0" w:color="000000"/>
                    <w:bottom w:val="nil"/>
                    <w:right w:val="nil"/>
                  </w:tcBorders>
                </w:tcPr>
                <w:p w14:paraId="14229769" w14:textId="77777777" w:rsidR="00053D93" w:rsidRDefault="00053D93"/>
              </w:tc>
              <w:tc>
                <w:tcPr>
                  <w:tcW w:w="305" w:type="dxa"/>
                  <w:vMerge w:val="restart"/>
                  <w:tcBorders>
                    <w:top w:val="single" w:sz="2" w:space="0" w:color="000000"/>
                    <w:left w:val="nil"/>
                    <w:bottom w:val="nil"/>
                    <w:right w:val="single" w:sz="2" w:space="0" w:color="000000"/>
                  </w:tcBorders>
                </w:tcPr>
                <w:p w14:paraId="0E174CB9" w14:textId="77777777" w:rsidR="00053D93" w:rsidRDefault="00053D93"/>
              </w:tc>
              <w:tc>
                <w:tcPr>
                  <w:tcW w:w="4158" w:type="dxa"/>
                  <w:gridSpan w:val="2"/>
                  <w:tcBorders>
                    <w:top w:val="single" w:sz="2" w:space="0" w:color="000000"/>
                    <w:left w:val="single" w:sz="2" w:space="0" w:color="000000"/>
                    <w:bottom w:val="single" w:sz="2" w:space="0" w:color="000000"/>
                    <w:right w:val="single" w:sz="2" w:space="0" w:color="000000"/>
                  </w:tcBorders>
                </w:tcPr>
                <w:p w14:paraId="2EE703D0" w14:textId="77777777" w:rsidR="00053D93" w:rsidRDefault="00260B75">
                  <w:pPr>
                    <w:ind w:left="18"/>
                  </w:pPr>
                  <w:r>
                    <w:rPr>
                      <w:sz w:val="20"/>
                    </w:rPr>
                    <w:t>Diferencia pagada de más por los 15 boletos aéreos</w:t>
                  </w:r>
                </w:p>
              </w:tc>
              <w:tc>
                <w:tcPr>
                  <w:tcW w:w="1041" w:type="dxa"/>
                  <w:tcBorders>
                    <w:top w:val="single" w:sz="2" w:space="0" w:color="000000"/>
                    <w:left w:val="single" w:sz="2" w:space="0" w:color="000000"/>
                    <w:bottom w:val="single" w:sz="2" w:space="0" w:color="000000"/>
                    <w:right w:val="single" w:sz="2" w:space="0" w:color="000000"/>
                  </w:tcBorders>
                </w:tcPr>
                <w:p w14:paraId="6F8A1BA6" w14:textId="77777777" w:rsidR="00053D93" w:rsidRDefault="00053D93"/>
              </w:tc>
              <w:tc>
                <w:tcPr>
                  <w:tcW w:w="1486" w:type="dxa"/>
                  <w:tcBorders>
                    <w:top w:val="single" w:sz="2" w:space="0" w:color="000000"/>
                    <w:left w:val="single" w:sz="2" w:space="0" w:color="000000"/>
                    <w:bottom w:val="single" w:sz="2" w:space="0" w:color="000000"/>
                    <w:right w:val="single" w:sz="2" w:space="0" w:color="000000"/>
                  </w:tcBorders>
                </w:tcPr>
                <w:p w14:paraId="2053AE63" w14:textId="77777777" w:rsidR="00053D93" w:rsidRDefault="00053D93"/>
              </w:tc>
              <w:tc>
                <w:tcPr>
                  <w:tcW w:w="1121" w:type="dxa"/>
                  <w:tcBorders>
                    <w:top w:val="single" w:sz="2" w:space="0" w:color="000000"/>
                    <w:left w:val="single" w:sz="2" w:space="0" w:color="000000"/>
                    <w:bottom w:val="single" w:sz="2" w:space="0" w:color="000000"/>
                    <w:right w:val="single" w:sz="2" w:space="0" w:color="000000"/>
                  </w:tcBorders>
                </w:tcPr>
                <w:p w14:paraId="4555C1D7" w14:textId="77777777" w:rsidR="00053D93" w:rsidRDefault="00053D93"/>
              </w:tc>
            </w:tr>
            <w:tr w:rsidR="00053D93" w14:paraId="65BC8190" w14:textId="77777777">
              <w:trPr>
                <w:trHeight w:val="619"/>
              </w:trPr>
              <w:tc>
                <w:tcPr>
                  <w:tcW w:w="0" w:type="auto"/>
                  <w:vMerge/>
                  <w:tcBorders>
                    <w:top w:val="nil"/>
                    <w:left w:val="single" w:sz="2" w:space="0" w:color="000000"/>
                    <w:bottom w:val="nil"/>
                    <w:right w:val="nil"/>
                  </w:tcBorders>
                </w:tcPr>
                <w:p w14:paraId="679A8618" w14:textId="77777777" w:rsidR="00053D93" w:rsidRDefault="00053D93"/>
              </w:tc>
              <w:tc>
                <w:tcPr>
                  <w:tcW w:w="0" w:type="auto"/>
                  <w:vMerge/>
                  <w:tcBorders>
                    <w:top w:val="nil"/>
                    <w:left w:val="nil"/>
                    <w:bottom w:val="nil"/>
                    <w:right w:val="single" w:sz="2" w:space="0" w:color="000000"/>
                  </w:tcBorders>
                </w:tcPr>
                <w:p w14:paraId="2E17474C" w14:textId="77777777" w:rsidR="00053D93" w:rsidRDefault="00053D93"/>
              </w:tc>
              <w:tc>
                <w:tcPr>
                  <w:tcW w:w="181" w:type="dxa"/>
                  <w:tcBorders>
                    <w:top w:val="nil"/>
                    <w:left w:val="single" w:sz="2" w:space="0" w:color="000000"/>
                    <w:bottom w:val="nil"/>
                    <w:right w:val="single" w:sz="2" w:space="0" w:color="000000"/>
                  </w:tcBorders>
                </w:tcPr>
                <w:p w14:paraId="4E16FCC2" w14:textId="77777777" w:rsidR="00053D93" w:rsidRDefault="00053D93"/>
              </w:tc>
              <w:tc>
                <w:tcPr>
                  <w:tcW w:w="6504" w:type="dxa"/>
                  <w:gridSpan w:val="3"/>
                  <w:tcBorders>
                    <w:top w:val="single" w:sz="2" w:space="0" w:color="000000"/>
                    <w:left w:val="single" w:sz="2" w:space="0" w:color="000000"/>
                    <w:bottom w:val="nil"/>
                    <w:right w:val="nil"/>
                  </w:tcBorders>
                </w:tcPr>
                <w:p w14:paraId="62EB899F" w14:textId="77777777" w:rsidR="00053D93" w:rsidRDefault="00260B75">
                  <w:pPr>
                    <w:ind w:left="284"/>
                    <w:jc w:val="center"/>
                  </w:pPr>
                  <w:r>
                    <w:rPr>
                      <w:sz w:val="14"/>
                    </w:rPr>
                    <w:t>MINISTERIO DE EDUCACION</w:t>
                  </w:r>
                </w:p>
                <w:p w14:paraId="010B8F3A" w14:textId="77777777" w:rsidR="00053D93" w:rsidRDefault="00260B75">
                  <w:pPr>
                    <w:ind w:left="269"/>
                    <w:jc w:val="center"/>
                  </w:pPr>
                  <w:r>
                    <w:rPr>
                      <w:sz w:val="14"/>
                    </w:rPr>
                    <w:t>AUDITORIA FINANCIERA Y DE CUMPLIMIENTO</w:t>
                  </w:r>
                </w:p>
                <w:p w14:paraId="33825E37" w14:textId="77777777" w:rsidR="00053D93" w:rsidRDefault="00260B75">
                  <w:pPr>
                    <w:ind w:left="269"/>
                    <w:jc w:val="center"/>
                  </w:pPr>
                  <w:r>
                    <w:rPr>
                      <w:sz w:val="14"/>
                    </w:rPr>
                    <w:t>PERIODO DEI. 01 DE ENERO AL 31 DE DICIEMBRE DE 2024</w:t>
                  </w:r>
                </w:p>
              </w:tc>
              <w:tc>
                <w:tcPr>
                  <w:tcW w:w="1121" w:type="dxa"/>
                  <w:tcBorders>
                    <w:top w:val="single" w:sz="2" w:space="0" w:color="000000"/>
                    <w:left w:val="nil"/>
                    <w:bottom w:val="nil"/>
                    <w:right w:val="nil"/>
                  </w:tcBorders>
                </w:tcPr>
                <w:p w14:paraId="2B653C06" w14:textId="77777777" w:rsidR="00053D93" w:rsidRDefault="00053D93"/>
              </w:tc>
            </w:tr>
          </w:tbl>
          <w:p w14:paraId="0BC36F88" w14:textId="77777777" w:rsidR="00053D93" w:rsidRDefault="00053D93"/>
        </w:tc>
      </w:tr>
    </w:tbl>
    <w:p w14:paraId="384A9B59" w14:textId="77777777" w:rsidR="00053D93" w:rsidRDefault="00053D93">
      <w:pPr>
        <w:sectPr w:rsidR="00053D93">
          <w:headerReference w:type="even" r:id="rId1329"/>
          <w:headerReference w:type="default" r:id="rId1330"/>
          <w:footerReference w:type="even" r:id="rId1331"/>
          <w:footerReference w:type="default" r:id="rId1332"/>
          <w:headerReference w:type="first" r:id="rId1333"/>
          <w:footerReference w:type="first" r:id="rId1334"/>
          <w:pgSz w:w="12290" w:h="15883"/>
          <w:pgMar w:top="346" w:right="1742" w:bottom="499" w:left="367" w:header="648" w:footer="720" w:gutter="0"/>
          <w:cols w:space="720"/>
          <w:titlePg/>
        </w:sectPr>
      </w:pPr>
    </w:p>
    <w:tbl>
      <w:tblPr>
        <w:tblStyle w:val="TableGrid"/>
        <w:tblW w:w="8460" w:type="dxa"/>
        <w:tblInd w:w="1706" w:type="dxa"/>
        <w:tblCellMar>
          <w:top w:w="28" w:type="dxa"/>
          <w:left w:w="65" w:type="dxa"/>
          <w:bottom w:w="40" w:type="dxa"/>
          <w:right w:w="72" w:type="dxa"/>
        </w:tblCellMar>
        <w:tblLook w:val="04A0" w:firstRow="1" w:lastRow="0" w:firstColumn="1" w:lastColumn="0" w:noHBand="0" w:noVBand="1"/>
      </w:tblPr>
      <w:tblGrid>
        <w:gridCol w:w="593"/>
        <w:gridCol w:w="4188"/>
        <w:gridCol w:w="1040"/>
        <w:gridCol w:w="1456"/>
        <w:gridCol w:w="1183"/>
      </w:tblGrid>
      <w:tr w:rsidR="00053D93" w14:paraId="0E8D7522" w14:textId="77777777">
        <w:trPr>
          <w:trHeight w:val="500"/>
        </w:trPr>
        <w:tc>
          <w:tcPr>
            <w:tcW w:w="594" w:type="dxa"/>
            <w:tcBorders>
              <w:top w:val="single" w:sz="2" w:space="0" w:color="000000"/>
              <w:left w:val="single" w:sz="2" w:space="0" w:color="000000"/>
              <w:bottom w:val="single" w:sz="2" w:space="0" w:color="000000"/>
              <w:right w:val="single" w:sz="2" w:space="0" w:color="000000"/>
            </w:tcBorders>
          </w:tcPr>
          <w:p w14:paraId="21367AC1" w14:textId="77777777" w:rsidR="00053D93" w:rsidRDefault="00260B75">
            <w:pPr>
              <w:ind w:left="11"/>
              <w:jc w:val="center"/>
            </w:pPr>
            <w:r>
              <w:rPr>
                <w:sz w:val="24"/>
              </w:rPr>
              <w:t xml:space="preserve">(+) </w:t>
            </w:r>
          </w:p>
        </w:tc>
        <w:tc>
          <w:tcPr>
            <w:tcW w:w="4223" w:type="dxa"/>
            <w:tcBorders>
              <w:top w:val="single" w:sz="2" w:space="0" w:color="000000"/>
              <w:left w:val="single" w:sz="2" w:space="0" w:color="000000"/>
              <w:bottom w:val="single" w:sz="2" w:space="0" w:color="000000"/>
              <w:right w:val="single" w:sz="2" w:space="0" w:color="000000"/>
            </w:tcBorders>
          </w:tcPr>
          <w:p w14:paraId="420FF449" w14:textId="77777777" w:rsidR="00053D93" w:rsidRDefault="00260B75">
            <w:pPr>
              <w:ind w:left="11" w:firstLine="14"/>
            </w:pPr>
            <w:r>
              <w:rPr>
                <w:sz w:val="18"/>
              </w:rPr>
              <w:t>adquiridos mediante viáticos al exterior a la entidad LAX TRAVELI S.A.</w:t>
            </w:r>
          </w:p>
        </w:tc>
        <w:tc>
          <w:tcPr>
            <w:tcW w:w="1048" w:type="dxa"/>
            <w:tcBorders>
              <w:top w:val="single" w:sz="2" w:space="0" w:color="000000"/>
              <w:left w:val="single" w:sz="2" w:space="0" w:color="000000"/>
              <w:bottom w:val="single" w:sz="2" w:space="0" w:color="000000"/>
              <w:right w:val="single" w:sz="2" w:space="0" w:color="000000"/>
            </w:tcBorders>
          </w:tcPr>
          <w:p w14:paraId="791B7ADE" w14:textId="77777777" w:rsidR="00053D93" w:rsidRDefault="00260B75">
            <w:pPr>
              <w:ind w:left="53"/>
              <w:jc w:val="center"/>
            </w:pPr>
            <w:r>
              <w:rPr>
                <w:sz w:val="20"/>
              </w:rPr>
              <w:t>15</w:t>
            </w:r>
          </w:p>
        </w:tc>
        <w:tc>
          <w:tcPr>
            <w:tcW w:w="1472" w:type="dxa"/>
            <w:tcBorders>
              <w:top w:val="single" w:sz="2" w:space="0" w:color="000000"/>
              <w:left w:val="single" w:sz="2" w:space="0" w:color="000000"/>
              <w:bottom w:val="single" w:sz="2" w:space="0" w:color="000000"/>
              <w:right w:val="single" w:sz="2" w:space="0" w:color="000000"/>
            </w:tcBorders>
          </w:tcPr>
          <w:p w14:paraId="2E459B7F" w14:textId="77777777" w:rsidR="00053D93" w:rsidRDefault="00053D93"/>
        </w:tc>
        <w:tc>
          <w:tcPr>
            <w:tcW w:w="1123" w:type="dxa"/>
            <w:tcBorders>
              <w:top w:val="single" w:sz="2" w:space="0" w:color="000000"/>
              <w:left w:val="single" w:sz="2" w:space="0" w:color="000000"/>
              <w:bottom w:val="single" w:sz="2" w:space="0" w:color="000000"/>
              <w:right w:val="single" w:sz="2" w:space="0" w:color="000000"/>
            </w:tcBorders>
          </w:tcPr>
          <w:p w14:paraId="3F6B32ED" w14:textId="77777777" w:rsidR="00053D93" w:rsidRDefault="00260B75">
            <w:pPr>
              <w:ind w:left="130"/>
              <w:jc w:val="center"/>
            </w:pPr>
            <w:r>
              <w:rPr>
                <w:sz w:val="14"/>
              </w:rPr>
              <w:t>Q551361.19</w:t>
            </w:r>
          </w:p>
        </w:tc>
      </w:tr>
      <w:tr w:rsidR="00053D93" w14:paraId="486FE7EA" w14:textId="77777777">
        <w:trPr>
          <w:trHeight w:val="475"/>
        </w:trPr>
        <w:tc>
          <w:tcPr>
            <w:tcW w:w="594" w:type="dxa"/>
            <w:tcBorders>
              <w:top w:val="single" w:sz="2" w:space="0" w:color="000000"/>
              <w:left w:val="single" w:sz="2" w:space="0" w:color="000000"/>
              <w:bottom w:val="single" w:sz="2" w:space="0" w:color="000000"/>
              <w:right w:val="single" w:sz="2" w:space="0" w:color="000000"/>
            </w:tcBorders>
          </w:tcPr>
          <w:p w14:paraId="63D35451" w14:textId="77777777" w:rsidR="00053D93" w:rsidRDefault="00053D93"/>
        </w:tc>
        <w:tc>
          <w:tcPr>
            <w:tcW w:w="4223" w:type="dxa"/>
            <w:tcBorders>
              <w:top w:val="single" w:sz="2" w:space="0" w:color="000000"/>
              <w:left w:val="single" w:sz="2" w:space="0" w:color="000000"/>
              <w:bottom w:val="single" w:sz="2" w:space="0" w:color="000000"/>
              <w:right w:val="single" w:sz="2" w:space="0" w:color="000000"/>
            </w:tcBorders>
            <w:vAlign w:val="bottom"/>
          </w:tcPr>
          <w:p w14:paraId="3D56A5C1" w14:textId="77777777" w:rsidR="00053D93" w:rsidRDefault="00260B75">
            <w:pPr>
              <w:ind w:left="11"/>
            </w:pPr>
            <w:r>
              <w:rPr>
                <w:sz w:val="18"/>
              </w:rPr>
              <w:t>Total de irregularidades identificadas</w:t>
            </w:r>
          </w:p>
        </w:tc>
        <w:tc>
          <w:tcPr>
            <w:tcW w:w="1048" w:type="dxa"/>
            <w:tcBorders>
              <w:top w:val="single" w:sz="2" w:space="0" w:color="000000"/>
              <w:left w:val="single" w:sz="2" w:space="0" w:color="000000"/>
              <w:bottom w:val="single" w:sz="2" w:space="0" w:color="000000"/>
              <w:right w:val="single" w:sz="2" w:space="0" w:color="000000"/>
            </w:tcBorders>
          </w:tcPr>
          <w:p w14:paraId="4021C065" w14:textId="77777777" w:rsidR="00053D93" w:rsidRDefault="00053D93"/>
        </w:tc>
        <w:tc>
          <w:tcPr>
            <w:tcW w:w="1472" w:type="dxa"/>
            <w:tcBorders>
              <w:top w:val="single" w:sz="2" w:space="0" w:color="000000"/>
              <w:left w:val="single" w:sz="2" w:space="0" w:color="000000"/>
              <w:bottom w:val="single" w:sz="2" w:space="0" w:color="000000"/>
              <w:right w:val="single" w:sz="2" w:space="0" w:color="000000"/>
            </w:tcBorders>
          </w:tcPr>
          <w:p w14:paraId="69DEB004" w14:textId="77777777" w:rsidR="00053D93" w:rsidRDefault="00053D93"/>
        </w:tc>
        <w:tc>
          <w:tcPr>
            <w:tcW w:w="1123" w:type="dxa"/>
            <w:tcBorders>
              <w:top w:val="single" w:sz="2" w:space="0" w:color="000000"/>
              <w:left w:val="single" w:sz="2" w:space="0" w:color="000000"/>
              <w:bottom w:val="single" w:sz="2" w:space="0" w:color="000000"/>
              <w:right w:val="single" w:sz="2" w:space="0" w:color="000000"/>
            </w:tcBorders>
            <w:vAlign w:val="bottom"/>
          </w:tcPr>
          <w:p w14:paraId="1F1374AE" w14:textId="77777777" w:rsidR="00053D93" w:rsidRDefault="00260B75">
            <w:r>
              <w:rPr>
                <w:sz w:val="20"/>
              </w:rPr>
              <w:t>Q443,901.19</w:t>
            </w:r>
          </w:p>
        </w:tc>
      </w:tr>
    </w:tbl>
    <w:p w14:paraId="0820D866" w14:textId="77777777" w:rsidR="00053D93" w:rsidRDefault="00260B75">
      <w:pPr>
        <w:spacing w:after="343" w:line="271" w:lineRule="auto"/>
        <w:ind w:left="1677" w:right="7" w:firstLine="4"/>
        <w:jc w:val="both"/>
      </w:pPr>
      <w:r>
        <w:rPr>
          <w:sz w:val="20"/>
        </w:rPr>
        <w:t>Fuente: Elaboración propia con base en la documentación de soporte presentada por la Dirección General de Educación Asica -DIGEF-.</w:t>
      </w:r>
    </w:p>
    <w:p w14:paraId="6F1A731B" w14:textId="77777777" w:rsidR="00053D93" w:rsidRDefault="00260B75">
      <w:pPr>
        <w:spacing w:after="263" w:line="250" w:lineRule="auto"/>
        <w:ind w:left="1469" w:right="14" w:firstLine="238"/>
        <w:jc w:val="both"/>
      </w:pPr>
      <w:r>
        <w:rPr>
          <w:sz w:val="26"/>
        </w:rPr>
        <w:t xml:space="preserve">6. Defensa al SEXTO enunciado: Por lo anteriormente descrito, se establecieron varias irregularidades en el evento publicado en el Sistema GUATECOMPRAS en el NOG: 24709395. Con el señalamiento del sexto postulado de [os señores </w:t>
      </w:r>
      <w:r>
        <w:rPr>
          <w:noProof/>
        </w:rPr>
        <w:drawing>
          <wp:inline distT="0" distB="0" distL="0" distR="0" wp14:anchorId="3772DC33" wp14:editId="4C766173">
            <wp:extent cx="9144" cy="13716"/>
            <wp:effectExtent l="0" t="0" r="0" b="0"/>
            <wp:docPr id="973524" name="Picture 973524"/>
            <wp:cNvGraphicFramePr/>
            <a:graphic xmlns:a="http://schemas.openxmlformats.org/drawingml/2006/main">
              <a:graphicData uri="http://schemas.openxmlformats.org/drawingml/2006/picture">
                <pic:pic xmlns:pic="http://schemas.openxmlformats.org/drawingml/2006/picture">
                  <pic:nvPicPr>
                    <pic:cNvPr id="973524" name="Picture 973524"/>
                    <pic:cNvPicPr/>
                  </pic:nvPicPr>
                  <pic:blipFill>
                    <a:blip r:embed="rId627"/>
                    <a:stretch>
                      <a:fillRect/>
                    </a:stretch>
                  </pic:blipFill>
                  <pic:spPr>
                    <a:xfrm>
                      <a:off x="0" y="0"/>
                      <a:ext cx="9144" cy="13716"/>
                    </a:xfrm>
                    <a:prstGeom prst="rect">
                      <a:avLst/>
                    </a:prstGeom>
                  </pic:spPr>
                </pic:pic>
              </a:graphicData>
            </a:graphic>
          </wp:inline>
        </w:drawing>
      </w:r>
      <w:r>
        <w:rPr>
          <w:sz w:val="26"/>
        </w:rPr>
        <w:t xml:space="preserve"> auditores gubernamentales he de indicar que estoy en completo desacuerdo con el señalamiento indicado, toda vez los proceso del evento con el NOG: 24709395, cumplió con los requisitos establecidos en la El Decreto Número 57-92, del Congreso de la República de Guatemala, Ley de Contrataciones del Estado y su Reglamento. Así mismo indicar que existe una irregularidad por la cantidad de Q443,901.19, es completamente incorrecto y manifiesto mi inconformidad con dicho señalamiento toda vez en el proceso que se viene haciendo en defensa de los postulados en donde se pretende señalar irregularidades en los procesos pues al momento de realizar los señores auditores no consideraron aspectos valiosos y dignos de valorar en el procedimiento como debe de ser por lo que a la tabla elaborada por los señores auditores se les agrego una columna en donde se hace una breve señalamiento de cada reglón, mismo que ya fue aclarado en el desarrollo de ia presente señalamiento de posible hallazgo...</w:t>
      </w:r>
    </w:p>
    <w:p w14:paraId="64BEB989" w14:textId="77777777" w:rsidR="00053D93" w:rsidRDefault="00260B75">
      <w:pPr>
        <w:spacing w:after="0"/>
        <w:ind w:left="1781" w:right="180" w:hanging="10"/>
        <w:jc w:val="center"/>
      </w:pPr>
      <w:r>
        <w:t>TABLA COMENTADA EN RELACION A LA IRREGULARIDAD SEÑALADA.</w:t>
      </w:r>
    </w:p>
    <w:tbl>
      <w:tblPr>
        <w:tblStyle w:val="TableGrid"/>
        <w:tblW w:w="9446" w:type="dxa"/>
        <w:tblInd w:w="670" w:type="dxa"/>
        <w:tblLook w:val="04A0" w:firstRow="1" w:lastRow="0" w:firstColumn="1" w:lastColumn="0" w:noHBand="0" w:noVBand="1"/>
      </w:tblPr>
      <w:tblGrid>
        <w:gridCol w:w="310"/>
        <w:gridCol w:w="532"/>
        <w:gridCol w:w="352"/>
        <w:gridCol w:w="2681"/>
        <w:gridCol w:w="705"/>
        <w:gridCol w:w="953"/>
        <w:gridCol w:w="1353"/>
        <w:gridCol w:w="2624"/>
      </w:tblGrid>
      <w:tr w:rsidR="00053D93" w14:paraId="5A461E39" w14:textId="77777777">
        <w:trPr>
          <w:trHeight w:val="6610"/>
        </w:trPr>
        <w:tc>
          <w:tcPr>
            <w:tcW w:w="1022" w:type="dxa"/>
            <w:gridSpan w:val="2"/>
            <w:tcBorders>
              <w:top w:val="nil"/>
              <w:left w:val="nil"/>
              <w:bottom w:val="nil"/>
              <w:right w:val="nil"/>
            </w:tcBorders>
            <w:vAlign w:val="bottom"/>
          </w:tcPr>
          <w:p w14:paraId="03E097D0" w14:textId="77777777" w:rsidR="00053D93" w:rsidRDefault="00260B75">
            <w:r>
              <w:rPr>
                <w:noProof/>
              </w:rPr>
              <w:drawing>
                <wp:inline distT="0" distB="0" distL="0" distR="0" wp14:anchorId="74855935" wp14:editId="3ABC3DB1">
                  <wp:extent cx="644652" cy="493775"/>
                  <wp:effectExtent l="0" t="0" r="0" b="0"/>
                  <wp:docPr id="973682" name="Picture 973682"/>
                  <wp:cNvGraphicFramePr/>
                  <a:graphic xmlns:a="http://schemas.openxmlformats.org/drawingml/2006/main">
                    <a:graphicData uri="http://schemas.openxmlformats.org/drawingml/2006/picture">
                      <pic:pic xmlns:pic="http://schemas.openxmlformats.org/drawingml/2006/picture">
                        <pic:nvPicPr>
                          <pic:cNvPr id="973682" name="Picture 973682"/>
                          <pic:cNvPicPr/>
                        </pic:nvPicPr>
                        <pic:blipFill>
                          <a:blip r:embed="rId1335"/>
                          <a:stretch>
                            <a:fillRect/>
                          </a:stretch>
                        </pic:blipFill>
                        <pic:spPr>
                          <a:xfrm>
                            <a:off x="0" y="0"/>
                            <a:ext cx="644652" cy="493775"/>
                          </a:xfrm>
                          <a:prstGeom prst="rect">
                            <a:avLst/>
                          </a:prstGeom>
                        </pic:spPr>
                      </pic:pic>
                    </a:graphicData>
                  </a:graphic>
                </wp:inline>
              </w:drawing>
            </w:r>
          </w:p>
        </w:tc>
        <w:tc>
          <w:tcPr>
            <w:tcW w:w="8424" w:type="dxa"/>
            <w:gridSpan w:val="6"/>
            <w:tcBorders>
              <w:top w:val="nil"/>
              <w:left w:val="nil"/>
              <w:bottom w:val="nil"/>
              <w:right w:val="nil"/>
            </w:tcBorders>
          </w:tcPr>
          <w:p w14:paraId="5A2CAE46" w14:textId="77777777" w:rsidR="00053D93" w:rsidRDefault="00053D93">
            <w:pPr>
              <w:ind w:left="-2045" w:right="10469"/>
            </w:pPr>
          </w:p>
          <w:tbl>
            <w:tblPr>
              <w:tblStyle w:val="TableGrid"/>
              <w:tblW w:w="8417" w:type="dxa"/>
              <w:tblInd w:w="7" w:type="dxa"/>
              <w:tblCellMar>
                <w:top w:w="31" w:type="dxa"/>
              </w:tblCellMar>
              <w:tblLook w:val="04A0" w:firstRow="1" w:lastRow="0" w:firstColumn="1" w:lastColumn="0" w:noHBand="0" w:noVBand="1"/>
            </w:tblPr>
            <w:tblGrid>
              <w:gridCol w:w="308"/>
              <w:gridCol w:w="268"/>
              <w:gridCol w:w="1983"/>
              <w:gridCol w:w="911"/>
              <w:gridCol w:w="847"/>
              <w:gridCol w:w="1707"/>
              <w:gridCol w:w="2393"/>
            </w:tblGrid>
            <w:tr w:rsidR="00053D93" w14:paraId="53A54687" w14:textId="77777777">
              <w:trPr>
                <w:trHeight w:val="696"/>
              </w:trPr>
              <w:tc>
                <w:tcPr>
                  <w:tcW w:w="346" w:type="dxa"/>
                  <w:tcBorders>
                    <w:top w:val="single" w:sz="2" w:space="0" w:color="000000"/>
                    <w:left w:val="single" w:sz="2" w:space="0" w:color="000000"/>
                    <w:bottom w:val="single" w:sz="2" w:space="0" w:color="000000"/>
                    <w:right w:val="single" w:sz="2" w:space="0" w:color="000000"/>
                  </w:tcBorders>
                </w:tcPr>
                <w:p w14:paraId="7F26979B" w14:textId="77777777" w:rsidR="00053D93" w:rsidRDefault="00053D93"/>
              </w:tc>
              <w:tc>
                <w:tcPr>
                  <w:tcW w:w="2675" w:type="dxa"/>
                  <w:gridSpan w:val="2"/>
                  <w:tcBorders>
                    <w:top w:val="single" w:sz="2" w:space="0" w:color="000000"/>
                    <w:left w:val="single" w:sz="2" w:space="0" w:color="000000"/>
                    <w:bottom w:val="single" w:sz="2" w:space="0" w:color="000000"/>
                    <w:right w:val="single" w:sz="2" w:space="0" w:color="000000"/>
                  </w:tcBorders>
                </w:tcPr>
                <w:p w14:paraId="06930FE5" w14:textId="77777777" w:rsidR="00053D93" w:rsidRDefault="00260B75">
                  <w:pPr>
                    <w:ind w:right="34"/>
                    <w:jc w:val="center"/>
                  </w:pPr>
                  <w:r>
                    <w:rPr>
                      <w:sz w:val="18"/>
                    </w:rPr>
                    <w:t>Descripción</w:t>
                  </w:r>
                </w:p>
              </w:tc>
              <w:tc>
                <w:tcPr>
                  <w:tcW w:w="953" w:type="dxa"/>
                  <w:tcBorders>
                    <w:top w:val="single" w:sz="2" w:space="0" w:color="000000"/>
                    <w:left w:val="single" w:sz="2" w:space="0" w:color="000000"/>
                    <w:bottom w:val="single" w:sz="2" w:space="0" w:color="000000"/>
                    <w:right w:val="single" w:sz="2" w:space="0" w:color="000000"/>
                  </w:tcBorders>
                </w:tcPr>
                <w:p w14:paraId="52D57DF6" w14:textId="77777777" w:rsidR="00053D93" w:rsidRDefault="00260B75">
                  <w:pPr>
                    <w:ind w:right="122"/>
                    <w:jc w:val="right"/>
                  </w:pPr>
                  <w:r>
                    <w:rPr>
                      <w:sz w:val="18"/>
                    </w:rPr>
                    <w:t xml:space="preserve">Cantidad </w:t>
                  </w:r>
                </w:p>
              </w:tc>
              <w:tc>
                <w:tcPr>
                  <w:tcW w:w="864" w:type="dxa"/>
                  <w:tcBorders>
                    <w:top w:val="single" w:sz="2" w:space="0" w:color="000000"/>
                    <w:left w:val="single" w:sz="2" w:space="0" w:color="000000"/>
                    <w:bottom w:val="single" w:sz="2" w:space="0" w:color="000000"/>
                    <w:right w:val="single" w:sz="2" w:space="0" w:color="000000"/>
                  </w:tcBorders>
                </w:tcPr>
                <w:p w14:paraId="634E21ED" w14:textId="77777777" w:rsidR="00053D93" w:rsidRDefault="00260B75">
                  <w:pPr>
                    <w:ind w:left="173"/>
                  </w:pPr>
                  <w:r>
                    <w:rPr>
                      <w:sz w:val="18"/>
                    </w:rPr>
                    <w:t>Precio</w:t>
                  </w:r>
                </w:p>
                <w:p w14:paraId="47787FF3" w14:textId="77777777" w:rsidR="00053D93" w:rsidRDefault="00260B75">
                  <w:pPr>
                    <w:ind w:right="29"/>
                    <w:jc w:val="center"/>
                  </w:pPr>
                  <w:r>
                    <w:rPr>
                      <w:sz w:val="14"/>
                    </w:rPr>
                    <w:t>unitario</w:t>
                  </w:r>
                </w:p>
              </w:tc>
              <w:tc>
                <w:tcPr>
                  <w:tcW w:w="1052" w:type="dxa"/>
                  <w:tcBorders>
                    <w:top w:val="single" w:sz="2" w:space="0" w:color="000000"/>
                    <w:left w:val="single" w:sz="2" w:space="0" w:color="000000"/>
                    <w:bottom w:val="single" w:sz="2" w:space="0" w:color="000000"/>
                    <w:right w:val="single" w:sz="2" w:space="0" w:color="000000"/>
                  </w:tcBorders>
                </w:tcPr>
                <w:p w14:paraId="74D17AF8" w14:textId="77777777" w:rsidR="00053D93" w:rsidRDefault="00260B75">
                  <w:pPr>
                    <w:ind w:left="562"/>
                  </w:pPr>
                  <w:r>
                    <w:rPr>
                      <w:sz w:val="18"/>
                    </w:rPr>
                    <w:t>Total</w:t>
                  </w:r>
                </w:p>
              </w:tc>
              <w:tc>
                <w:tcPr>
                  <w:tcW w:w="2526" w:type="dxa"/>
                  <w:tcBorders>
                    <w:top w:val="single" w:sz="2" w:space="0" w:color="000000"/>
                    <w:left w:val="single" w:sz="2" w:space="0" w:color="000000"/>
                    <w:bottom w:val="single" w:sz="2" w:space="0" w:color="000000"/>
                    <w:right w:val="single" w:sz="2" w:space="0" w:color="000000"/>
                  </w:tcBorders>
                </w:tcPr>
                <w:p w14:paraId="2367794D" w14:textId="77777777" w:rsidR="00053D93" w:rsidRDefault="00260B75">
                  <w:pPr>
                    <w:ind w:left="690" w:right="50" w:hanging="209"/>
                    <w:jc w:val="both"/>
                  </w:pPr>
                  <w:r>
                    <w:rPr>
                      <w:sz w:val="20"/>
                    </w:rPr>
                    <w:t>COMENTARIOS PROPIOS A LA TABLA DE LOS AUDITORES.</w:t>
                  </w:r>
                </w:p>
              </w:tc>
            </w:tr>
            <w:tr w:rsidR="00053D93" w14:paraId="670868C4" w14:textId="77777777">
              <w:trPr>
                <w:trHeight w:val="756"/>
              </w:trPr>
              <w:tc>
                <w:tcPr>
                  <w:tcW w:w="346" w:type="dxa"/>
                  <w:tcBorders>
                    <w:top w:val="single" w:sz="2" w:space="0" w:color="000000"/>
                    <w:left w:val="single" w:sz="2" w:space="0" w:color="000000"/>
                    <w:bottom w:val="single" w:sz="2" w:space="0" w:color="000000"/>
                    <w:right w:val="single" w:sz="2" w:space="0" w:color="000000"/>
                  </w:tcBorders>
                </w:tcPr>
                <w:p w14:paraId="068F94CB" w14:textId="77777777" w:rsidR="00053D93" w:rsidRDefault="00053D93"/>
              </w:tc>
              <w:tc>
                <w:tcPr>
                  <w:tcW w:w="2675" w:type="dxa"/>
                  <w:gridSpan w:val="2"/>
                  <w:tcBorders>
                    <w:top w:val="single" w:sz="2" w:space="0" w:color="000000"/>
                    <w:left w:val="single" w:sz="2" w:space="0" w:color="000000"/>
                    <w:bottom w:val="single" w:sz="2" w:space="0" w:color="000000"/>
                    <w:right w:val="single" w:sz="2" w:space="0" w:color="000000"/>
                  </w:tcBorders>
                </w:tcPr>
                <w:p w14:paraId="4D4BEADD" w14:textId="77777777" w:rsidR="00053D93" w:rsidRDefault="00260B75">
                  <w:pPr>
                    <w:ind w:left="6"/>
                    <w:jc w:val="both"/>
                  </w:pPr>
                  <w:r>
                    <w:rPr>
                      <w:sz w:val="20"/>
                    </w:rPr>
                    <w:t>Cantidad de boletos aéreos ofertados por LAX TRAVEL, S.A.</w:t>
                  </w:r>
                </w:p>
              </w:tc>
              <w:tc>
                <w:tcPr>
                  <w:tcW w:w="953" w:type="dxa"/>
                  <w:tcBorders>
                    <w:top w:val="single" w:sz="2" w:space="0" w:color="000000"/>
                    <w:left w:val="single" w:sz="2" w:space="0" w:color="000000"/>
                    <w:bottom w:val="single" w:sz="2" w:space="0" w:color="000000"/>
                    <w:right w:val="single" w:sz="2" w:space="0" w:color="000000"/>
                  </w:tcBorders>
                </w:tcPr>
                <w:p w14:paraId="747E062F" w14:textId="77777777" w:rsidR="00053D93" w:rsidRDefault="00260B75">
                  <w:pPr>
                    <w:ind w:left="75"/>
                    <w:jc w:val="center"/>
                  </w:pPr>
                  <w:r>
                    <w:rPr>
                      <w:sz w:val="20"/>
                    </w:rPr>
                    <w:t>188</w:t>
                  </w:r>
                </w:p>
              </w:tc>
              <w:tc>
                <w:tcPr>
                  <w:tcW w:w="864" w:type="dxa"/>
                  <w:tcBorders>
                    <w:top w:val="single" w:sz="2" w:space="0" w:color="000000"/>
                    <w:left w:val="single" w:sz="2" w:space="0" w:color="000000"/>
                    <w:bottom w:val="single" w:sz="2" w:space="0" w:color="000000"/>
                    <w:right w:val="single" w:sz="2" w:space="0" w:color="000000"/>
                  </w:tcBorders>
                  <w:vAlign w:val="center"/>
                </w:tcPr>
                <w:p w14:paraId="21C03A7A" w14:textId="77777777" w:rsidR="00053D93" w:rsidRDefault="00260B75">
                  <w:pPr>
                    <w:ind w:left="65"/>
                    <w:jc w:val="both"/>
                  </w:pPr>
                  <w:r>
                    <w:rPr>
                      <w:sz w:val="14"/>
                    </w:rPr>
                    <w:t>Q4.780.00</w:t>
                  </w:r>
                </w:p>
              </w:tc>
              <w:tc>
                <w:tcPr>
                  <w:tcW w:w="1052" w:type="dxa"/>
                  <w:tcBorders>
                    <w:top w:val="single" w:sz="2" w:space="0" w:color="000000"/>
                    <w:left w:val="single" w:sz="2" w:space="0" w:color="000000"/>
                    <w:bottom w:val="single" w:sz="2" w:space="0" w:color="000000"/>
                    <w:right w:val="nil"/>
                  </w:tcBorders>
                  <w:vAlign w:val="center"/>
                </w:tcPr>
                <w:p w14:paraId="66902878" w14:textId="77777777" w:rsidR="00053D93" w:rsidRDefault="00260B75">
                  <w:pPr>
                    <w:ind w:left="108" w:right="-568"/>
                  </w:pPr>
                  <w:r>
                    <w:rPr>
                      <w:sz w:val="18"/>
                    </w:rPr>
                    <w:t>Q898,640.OOevento</w:t>
                  </w:r>
                </w:p>
              </w:tc>
              <w:tc>
                <w:tcPr>
                  <w:tcW w:w="2526" w:type="dxa"/>
                  <w:tcBorders>
                    <w:top w:val="single" w:sz="2" w:space="0" w:color="000000"/>
                    <w:left w:val="nil"/>
                    <w:bottom w:val="single" w:sz="2" w:space="0" w:color="000000"/>
                    <w:right w:val="single" w:sz="2" w:space="0" w:color="000000"/>
                  </w:tcBorders>
                </w:tcPr>
                <w:p w14:paraId="436D6EBE" w14:textId="77777777" w:rsidR="00053D93" w:rsidRDefault="00260B75">
                  <w:pPr>
                    <w:ind w:left="942" w:hanging="914"/>
                  </w:pPr>
                  <w:r>
                    <w:rPr>
                      <w:sz w:val="20"/>
                    </w:rPr>
                    <w:t>Cotización y adjudicación según realizado</w:t>
                  </w:r>
                  <w:r>
                    <w:rPr>
                      <w:sz w:val="20"/>
                    </w:rPr>
                    <w:tab/>
                    <w:t>NOG.</w:t>
                  </w:r>
                </w:p>
                <w:p w14:paraId="583E3F1F" w14:textId="77777777" w:rsidR="00053D93" w:rsidRDefault="00260B75">
                  <w:pPr>
                    <w:ind w:left="71"/>
                  </w:pPr>
                  <w:r>
                    <w:rPr>
                      <w:sz w:val="20"/>
                    </w:rPr>
                    <w:t>24709395.</w:t>
                  </w:r>
                </w:p>
              </w:tc>
            </w:tr>
            <w:tr w:rsidR="00053D93" w14:paraId="36A5ADE6" w14:textId="77777777">
              <w:trPr>
                <w:trHeight w:val="1440"/>
              </w:trPr>
              <w:tc>
                <w:tcPr>
                  <w:tcW w:w="346" w:type="dxa"/>
                  <w:tcBorders>
                    <w:top w:val="single" w:sz="2" w:space="0" w:color="000000"/>
                    <w:left w:val="single" w:sz="2" w:space="0" w:color="000000"/>
                    <w:bottom w:val="single" w:sz="2" w:space="0" w:color="000000"/>
                    <w:right w:val="single" w:sz="2" w:space="0" w:color="000000"/>
                  </w:tcBorders>
                </w:tcPr>
                <w:p w14:paraId="48A8259B" w14:textId="77777777" w:rsidR="00053D93" w:rsidRDefault="00260B75">
                  <w:pPr>
                    <w:ind w:left="36"/>
                  </w:pPr>
                  <w:r>
                    <w:rPr>
                      <w:sz w:val="20"/>
                    </w:rPr>
                    <w:t xml:space="preserve">(-) </w:t>
                  </w:r>
                </w:p>
              </w:tc>
              <w:tc>
                <w:tcPr>
                  <w:tcW w:w="2675" w:type="dxa"/>
                  <w:gridSpan w:val="2"/>
                  <w:tcBorders>
                    <w:top w:val="single" w:sz="2" w:space="0" w:color="000000"/>
                    <w:left w:val="single" w:sz="2" w:space="0" w:color="000000"/>
                    <w:bottom w:val="single" w:sz="2" w:space="0" w:color="000000"/>
                    <w:right w:val="single" w:sz="2" w:space="0" w:color="000000"/>
                  </w:tcBorders>
                </w:tcPr>
                <w:p w14:paraId="75B7958E" w14:textId="77777777" w:rsidR="00053D93" w:rsidRDefault="00260B75">
                  <w:pPr>
                    <w:ind w:left="-1" w:firstLine="7"/>
                    <w:jc w:val="both"/>
                  </w:pPr>
                  <w:r>
                    <w:rPr>
                      <w:sz w:val="20"/>
                    </w:rPr>
                    <w:t>Cantidad de boletos aéreos entregados a DIGEF</w:t>
                  </w:r>
                </w:p>
              </w:tc>
              <w:tc>
                <w:tcPr>
                  <w:tcW w:w="953" w:type="dxa"/>
                  <w:tcBorders>
                    <w:top w:val="single" w:sz="2" w:space="0" w:color="000000"/>
                    <w:left w:val="single" w:sz="2" w:space="0" w:color="000000"/>
                    <w:bottom w:val="single" w:sz="2" w:space="0" w:color="000000"/>
                    <w:right w:val="single" w:sz="2" w:space="0" w:color="000000"/>
                  </w:tcBorders>
                </w:tcPr>
                <w:p w14:paraId="1EF15828" w14:textId="77777777" w:rsidR="00053D93" w:rsidRDefault="00260B75">
                  <w:pPr>
                    <w:ind w:left="68"/>
                    <w:jc w:val="center"/>
                  </w:pPr>
                  <w:r>
                    <w:rPr>
                      <w:sz w:val="18"/>
                    </w:rPr>
                    <w:t>107</w:t>
                  </w:r>
                </w:p>
              </w:tc>
              <w:tc>
                <w:tcPr>
                  <w:tcW w:w="864" w:type="dxa"/>
                  <w:tcBorders>
                    <w:top w:val="single" w:sz="2" w:space="0" w:color="000000"/>
                    <w:left w:val="single" w:sz="2" w:space="0" w:color="000000"/>
                    <w:bottom w:val="single" w:sz="2" w:space="0" w:color="000000"/>
                    <w:right w:val="single" w:sz="2" w:space="0" w:color="000000"/>
                  </w:tcBorders>
                </w:tcPr>
                <w:p w14:paraId="2BCFBBD7" w14:textId="77777777" w:rsidR="00053D93" w:rsidRDefault="00260B75">
                  <w:pPr>
                    <w:ind w:left="65"/>
                    <w:jc w:val="both"/>
                  </w:pPr>
                  <w:r>
                    <w:rPr>
                      <w:sz w:val="16"/>
                    </w:rPr>
                    <w:t>Q4,780.OO</w:t>
                  </w:r>
                </w:p>
              </w:tc>
              <w:tc>
                <w:tcPr>
                  <w:tcW w:w="1052" w:type="dxa"/>
                  <w:tcBorders>
                    <w:top w:val="single" w:sz="2" w:space="0" w:color="000000"/>
                    <w:left w:val="single" w:sz="2" w:space="0" w:color="000000"/>
                    <w:bottom w:val="single" w:sz="2" w:space="0" w:color="000000"/>
                    <w:right w:val="single" w:sz="2" w:space="0" w:color="000000"/>
                  </w:tcBorders>
                </w:tcPr>
                <w:p w14:paraId="5B66019E" w14:textId="77777777" w:rsidR="00053D93" w:rsidRDefault="00260B75">
                  <w:pPr>
                    <w:ind w:left="108"/>
                  </w:pPr>
                  <w:r>
                    <w:rPr>
                      <w:sz w:val="18"/>
                    </w:rPr>
                    <w:t xml:space="preserve">Q51 1 ,460.00 </w:t>
                  </w:r>
                </w:p>
              </w:tc>
              <w:tc>
                <w:tcPr>
                  <w:tcW w:w="2526" w:type="dxa"/>
                  <w:tcBorders>
                    <w:top w:val="single" w:sz="2" w:space="0" w:color="000000"/>
                    <w:left w:val="single" w:sz="2" w:space="0" w:color="000000"/>
                    <w:bottom w:val="single" w:sz="2" w:space="0" w:color="000000"/>
                    <w:right w:val="single" w:sz="2" w:space="0" w:color="000000"/>
                  </w:tcBorders>
                </w:tcPr>
                <w:p w14:paraId="7358F46B" w14:textId="77777777" w:rsidR="00053D93" w:rsidRDefault="00260B75">
                  <w:pPr>
                    <w:ind w:left="21" w:right="7" w:firstLine="115"/>
                    <w:jc w:val="both"/>
                  </w:pPr>
                  <w:r>
                    <w:rPr>
                      <w:sz w:val="20"/>
                    </w:rPr>
                    <w:t>alor confirmado por la junta receptora y liquidadora del evento. En función de la cláusula segunda y quinta que indica que puede ser menor la cantidad de boletos. (</w:t>
                  </w:r>
                  <w:r>
                    <w:rPr>
                      <w:sz w:val="20"/>
                      <w:vertAlign w:val="superscript"/>
                    </w:rPr>
                    <w:t>t</w:t>
                  </w:r>
                  <w:r>
                    <w:rPr>
                      <w:sz w:val="20"/>
                    </w:rPr>
                    <w:t>)</w:t>
                  </w:r>
                </w:p>
              </w:tc>
            </w:tr>
            <w:tr w:rsidR="00053D93" w14:paraId="3A462B6E" w14:textId="77777777">
              <w:trPr>
                <w:trHeight w:val="2775"/>
              </w:trPr>
              <w:tc>
                <w:tcPr>
                  <w:tcW w:w="346" w:type="dxa"/>
                  <w:tcBorders>
                    <w:top w:val="single" w:sz="2" w:space="0" w:color="000000"/>
                    <w:left w:val="single" w:sz="2" w:space="0" w:color="000000"/>
                    <w:bottom w:val="single" w:sz="2" w:space="0" w:color="000000"/>
                    <w:right w:val="single" w:sz="2" w:space="0" w:color="000000"/>
                  </w:tcBorders>
                </w:tcPr>
                <w:p w14:paraId="0D0D224E" w14:textId="77777777" w:rsidR="00053D93" w:rsidRDefault="00053D93"/>
              </w:tc>
              <w:tc>
                <w:tcPr>
                  <w:tcW w:w="2675" w:type="dxa"/>
                  <w:gridSpan w:val="2"/>
                  <w:tcBorders>
                    <w:top w:val="single" w:sz="2" w:space="0" w:color="000000"/>
                    <w:left w:val="single" w:sz="2" w:space="0" w:color="000000"/>
                    <w:bottom w:val="single" w:sz="2" w:space="0" w:color="000000"/>
                    <w:right w:val="single" w:sz="2" w:space="0" w:color="000000"/>
                  </w:tcBorders>
                </w:tcPr>
                <w:p w14:paraId="4BE9C454" w14:textId="77777777" w:rsidR="00053D93" w:rsidRDefault="00260B75">
                  <w:pPr>
                    <w:ind w:left="-15" w:right="76" w:firstLine="7"/>
                    <w:jc w:val="both"/>
                  </w:pPr>
                  <w:r>
                    <w:rPr>
                      <w:sz w:val="18"/>
                    </w:rPr>
                    <w:t>Cantidad de boletos no emitidos en el evento adjudicado y exigido en pago por LM TRAVEL, S.A.</w:t>
                  </w:r>
                </w:p>
              </w:tc>
              <w:tc>
                <w:tcPr>
                  <w:tcW w:w="953" w:type="dxa"/>
                  <w:tcBorders>
                    <w:top w:val="single" w:sz="2" w:space="0" w:color="000000"/>
                    <w:left w:val="single" w:sz="2" w:space="0" w:color="000000"/>
                    <w:bottom w:val="single" w:sz="2" w:space="0" w:color="000000"/>
                    <w:right w:val="single" w:sz="2" w:space="0" w:color="000000"/>
                  </w:tcBorders>
                </w:tcPr>
                <w:p w14:paraId="621DBAFB" w14:textId="77777777" w:rsidR="00053D93" w:rsidRDefault="00260B75">
                  <w:pPr>
                    <w:ind w:left="24"/>
                    <w:jc w:val="center"/>
                  </w:pPr>
                  <w:r>
                    <w:rPr>
                      <w:sz w:val="18"/>
                    </w:rPr>
                    <w:t>81</w:t>
                  </w:r>
                </w:p>
              </w:tc>
              <w:tc>
                <w:tcPr>
                  <w:tcW w:w="864" w:type="dxa"/>
                  <w:tcBorders>
                    <w:top w:val="single" w:sz="2" w:space="0" w:color="000000"/>
                    <w:left w:val="single" w:sz="2" w:space="0" w:color="000000"/>
                    <w:bottom w:val="single" w:sz="2" w:space="0" w:color="000000"/>
                    <w:right w:val="single" w:sz="2" w:space="0" w:color="000000"/>
                  </w:tcBorders>
                </w:tcPr>
                <w:p w14:paraId="299B21AD" w14:textId="77777777" w:rsidR="00053D93" w:rsidRDefault="00260B75">
                  <w:pPr>
                    <w:ind w:left="58"/>
                    <w:jc w:val="both"/>
                  </w:pPr>
                  <w:r>
                    <w:rPr>
                      <w:sz w:val="14"/>
                    </w:rPr>
                    <w:t>Q4.780.00</w:t>
                  </w:r>
                </w:p>
              </w:tc>
              <w:tc>
                <w:tcPr>
                  <w:tcW w:w="1052" w:type="dxa"/>
                  <w:tcBorders>
                    <w:top w:val="single" w:sz="2" w:space="0" w:color="000000"/>
                    <w:left w:val="single" w:sz="2" w:space="0" w:color="000000"/>
                    <w:bottom w:val="single" w:sz="2" w:space="0" w:color="000000"/>
                    <w:right w:val="single" w:sz="2" w:space="0" w:color="000000"/>
                  </w:tcBorders>
                </w:tcPr>
                <w:p w14:paraId="3F67B24E" w14:textId="77777777" w:rsidR="00053D93" w:rsidRDefault="00260B75">
                  <w:pPr>
                    <w:ind w:left="94" w:right="-676"/>
                  </w:pPr>
                  <w:r>
                    <w:rPr>
                      <w:sz w:val="18"/>
                    </w:rPr>
                    <w:t xml:space="preserve">Q387,180.OOClausula </w:t>
                  </w:r>
                </w:p>
              </w:tc>
              <w:tc>
                <w:tcPr>
                  <w:tcW w:w="2526" w:type="dxa"/>
                  <w:tcBorders>
                    <w:top w:val="single" w:sz="2" w:space="0" w:color="000000"/>
                    <w:left w:val="single" w:sz="2" w:space="0" w:color="000000"/>
                    <w:bottom w:val="single" w:sz="2" w:space="0" w:color="000000"/>
                    <w:right w:val="single" w:sz="2" w:space="0" w:color="000000"/>
                  </w:tcBorders>
                </w:tcPr>
                <w:p w14:paraId="0830269E" w14:textId="77777777" w:rsidR="00053D93" w:rsidRDefault="00260B75">
                  <w:pPr>
                    <w:ind w:left="6" w:firstLine="14"/>
                  </w:pPr>
                  <w:r>
                    <w:rPr>
                      <w:sz w:val="20"/>
                    </w:rPr>
                    <w:t>Regulado</w:t>
                  </w:r>
                  <w:r>
                    <w:rPr>
                      <w:sz w:val="20"/>
                    </w:rPr>
                    <w:tab/>
                    <w:t xml:space="preserve">contrato administrativo 01-2024-digef-cd. segunda y quinta que indica que puede ser menor ia cantidad de boletos. </w:t>
                  </w:r>
                  <w:r>
                    <w:rPr>
                      <w:sz w:val="20"/>
                    </w:rPr>
                    <w:tab/>
                    <w:t>tiene la calidad de exigencia toda vez están regulado en la cláusula egunda y quinta del contrato administrativo,</w:t>
                  </w:r>
                  <w:r>
                    <w:rPr>
                      <w:sz w:val="20"/>
                    </w:rPr>
                    <w:tab/>
                    <w:t>aceptado Y Irmado por la representante de la entidad LAX TRAVEL. Por lo anto, no corresponde.</w:t>
                  </w:r>
                </w:p>
              </w:tc>
            </w:tr>
            <w:tr w:rsidR="00053D93" w14:paraId="23F0B3BA" w14:textId="77777777">
              <w:trPr>
                <w:trHeight w:val="242"/>
              </w:trPr>
              <w:tc>
                <w:tcPr>
                  <w:tcW w:w="346" w:type="dxa"/>
                  <w:vMerge w:val="restart"/>
                  <w:tcBorders>
                    <w:top w:val="single" w:sz="2" w:space="0" w:color="000000"/>
                    <w:left w:val="single" w:sz="2" w:space="0" w:color="000000"/>
                    <w:bottom w:val="nil"/>
                    <w:right w:val="single" w:sz="2" w:space="0" w:color="000000"/>
                  </w:tcBorders>
                  <w:vAlign w:val="center"/>
                </w:tcPr>
                <w:p w14:paraId="30FCDEFF" w14:textId="77777777" w:rsidR="00053D93" w:rsidRDefault="00260B75">
                  <w:pPr>
                    <w:ind w:left="166"/>
                  </w:pPr>
                  <w:r>
                    <w:rPr>
                      <w:noProof/>
                    </w:rPr>
                    <w:drawing>
                      <wp:inline distT="0" distB="0" distL="0" distR="0" wp14:anchorId="62977774" wp14:editId="67CE9A45">
                        <wp:extent cx="9144" cy="128016"/>
                        <wp:effectExtent l="0" t="0" r="0" b="0"/>
                        <wp:docPr id="2458718" name="Picture 2458718"/>
                        <wp:cNvGraphicFramePr/>
                        <a:graphic xmlns:a="http://schemas.openxmlformats.org/drawingml/2006/main">
                          <a:graphicData uri="http://schemas.openxmlformats.org/drawingml/2006/picture">
                            <pic:pic xmlns:pic="http://schemas.openxmlformats.org/drawingml/2006/picture">
                              <pic:nvPicPr>
                                <pic:cNvPr id="2458718" name="Picture 2458718"/>
                                <pic:cNvPicPr/>
                              </pic:nvPicPr>
                              <pic:blipFill>
                                <a:blip r:embed="rId1336"/>
                                <a:stretch>
                                  <a:fillRect/>
                                </a:stretch>
                              </pic:blipFill>
                              <pic:spPr>
                                <a:xfrm>
                                  <a:off x="0" y="0"/>
                                  <a:ext cx="9144" cy="128016"/>
                                </a:xfrm>
                                <a:prstGeom prst="rect">
                                  <a:avLst/>
                                </a:prstGeom>
                              </pic:spPr>
                            </pic:pic>
                          </a:graphicData>
                        </a:graphic>
                      </wp:inline>
                    </w:drawing>
                  </w:r>
                </w:p>
              </w:tc>
              <w:tc>
                <w:tcPr>
                  <w:tcW w:w="2675" w:type="dxa"/>
                  <w:gridSpan w:val="2"/>
                  <w:tcBorders>
                    <w:top w:val="single" w:sz="2" w:space="0" w:color="000000"/>
                    <w:left w:val="single" w:sz="2" w:space="0" w:color="000000"/>
                    <w:bottom w:val="nil"/>
                    <w:right w:val="single" w:sz="2" w:space="0" w:color="000000"/>
                  </w:tcBorders>
                </w:tcPr>
                <w:p w14:paraId="7003B3C7" w14:textId="77777777" w:rsidR="00053D93" w:rsidRDefault="00053D93"/>
              </w:tc>
              <w:tc>
                <w:tcPr>
                  <w:tcW w:w="953" w:type="dxa"/>
                  <w:tcBorders>
                    <w:top w:val="single" w:sz="2" w:space="0" w:color="000000"/>
                    <w:left w:val="single" w:sz="2" w:space="0" w:color="000000"/>
                    <w:bottom w:val="single" w:sz="2" w:space="0" w:color="000000"/>
                    <w:right w:val="single" w:sz="2" w:space="0" w:color="000000"/>
                  </w:tcBorders>
                </w:tcPr>
                <w:p w14:paraId="5914BCA6" w14:textId="77777777" w:rsidR="00053D93" w:rsidRDefault="00053D93"/>
              </w:tc>
              <w:tc>
                <w:tcPr>
                  <w:tcW w:w="864" w:type="dxa"/>
                  <w:tcBorders>
                    <w:top w:val="single" w:sz="2" w:space="0" w:color="000000"/>
                    <w:left w:val="single" w:sz="2" w:space="0" w:color="000000"/>
                    <w:bottom w:val="single" w:sz="2" w:space="0" w:color="000000"/>
                    <w:right w:val="single" w:sz="2" w:space="0" w:color="000000"/>
                  </w:tcBorders>
                </w:tcPr>
                <w:p w14:paraId="0B9600C1" w14:textId="77777777" w:rsidR="00053D93" w:rsidRDefault="00053D93"/>
              </w:tc>
              <w:tc>
                <w:tcPr>
                  <w:tcW w:w="1052" w:type="dxa"/>
                  <w:tcBorders>
                    <w:top w:val="single" w:sz="2" w:space="0" w:color="000000"/>
                    <w:left w:val="single" w:sz="2" w:space="0" w:color="000000"/>
                    <w:bottom w:val="single" w:sz="2" w:space="0" w:color="000000"/>
                    <w:right w:val="single" w:sz="2" w:space="0" w:color="000000"/>
                  </w:tcBorders>
                </w:tcPr>
                <w:p w14:paraId="14A7946D" w14:textId="77777777" w:rsidR="00053D93" w:rsidRDefault="00053D93"/>
              </w:tc>
              <w:tc>
                <w:tcPr>
                  <w:tcW w:w="2526" w:type="dxa"/>
                  <w:tcBorders>
                    <w:top w:val="single" w:sz="2" w:space="0" w:color="000000"/>
                    <w:left w:val="single" w:sz="2" w:space="0" w:color="000000"/>
                    <w:bottom w:val="single" w:sz="2" w:space="0" w:color="000000"/>
                    <w:right w:val="single" w:sz="2" w:space="0" w:color="000000"/>
                  </w:tcBorders>
                </w:tcPr>
                <w:p w14:paraId="7BF5E8CB" w14:textId="77777777" w:rsidR="00053D93" w:rsidRDefault="00053D93"/>
              </w:tc>
            </w:tr>
            <w:tr w:rsidR="00053D93" w14:paraId="5ED13467" w14:textId="77777777">
              <w:trPr>
                <w:trHeight w:val="572"/>
              </w:trPr>
              <w:tc>
                <w:tcPr>
                  <w:tcW w:w="0" w:type="auto"/>
                  <w:vMerge/>
                  <w:tcBorders>
                    <w:top w:val="nil"/>
                    <w:left w:val="single" w:sz="2" w:space="0" w:color="000000"/>
                    <w:bottom w:val="nil"/>
                    <w:right w:val="single" w:sz="2" w:space="0" w:color="000000"/>
                  </w:tcBorders>
                </w:tcPr>
                <w:p w14:paraId="642BA356" w14:textId="77777777" w:rsidR="00053D93" w:rsidRDefault="00053D93"/>
              </w:tc>
              <w:tc>
                <w:tcPr>
                  <w:tcW w:w="302" w:type="dxa"/>
                  <w:tcBorders>
                    <w:top w:val="nil"/>
                    <w:left w:val="single" w:sz="2" w:space="0" w:color="000000"/>
                    <w:bottom w:val="nil"/>
                    <w:right w:val="single" w:sz="2" w:space="0" w:color="000000"/>
                  </w:tcBorders>
                </w:tcPr>
                <w:p w14:paraId="7925FFFE" w14:textId="77777777" w:rsidR="00053D93" w:rsidRDefault="00053D93"/>
              </w:tc>
              <w:tc>
                <w:tcPr>
                  <w:tcW w:w="7769" w:type="dxa"/>
                  <w:gridSpan w:val="5"/>
                  <w:tcBorders>
                    <w:top w:val="single" w:sz="2" w:space="0" w:color="000000"/>
                    <w:left w:val="single" w:sz="2" w:space="0" w:color="000000"/>
                    <w:bottom w:val="nil"/>
                    <w:right w:val="nil"/>
                  </w:tcBorders>
                </w:tcPr>
                <w:p w14:paraId="41DAA6BD" w14:textId="77777777" w:rsidR="00053D93" w:rsidRDefault="00260B75">
                  <w:pPr>
                    <w:ind w:right="785"/>
                    <w:jc w:val="center"/>
                  </w:pPr>
                  <w:r>
                    <w:rPr>
                      <w:sz w:val="14"/>
                    </w:rPr>
                    <w:t>MINISTERIO DE EDUCACION</w:t>
                  </w:r>
                </w:p>
                <w:p w14:paraId="7C3B770D" w14:textId="77777777" w:rsidR="00053D93" w:rsidRDefault="00260B75">
                  <w:pPr>
                    <w:ind w:left="2203"/>
                  </w:pPr>
                  <w:r>
                    <w:rPr>
                      <w:sz w:val="14"/>
                    </w:rPr>
                    <w:t>AUDITORIA FINANCIERA Y DE CUMPLIMIENTO</w:t>
                  </w:r>
                </w:p>
                <w:p w14:paraId="10531820" w14:textId="77777777" w:rsidR="00053D93" w:rsidRDefault="00260B75">
                  <w:pPr>
                    <w:ind w:left="1865"/>
                  </w:pPr>
                  <w:r>
                    <w:rPr>
                      <w:sz w:val="14"/>
                    </w:rPr>
                    <w:t>PERIODO DEL 01 DE ENERO AL 31 OE DICIEMBRE OE 2024</w:t>
                  </w:r>
                </w:p>
              </w:tc>
            </w:tr>
          </w:tbl>
          <w:p w14:paraId="1AD436C7" w14:textId="77777777" w:rsidR="00053D93" w:rsidRDefault="00053D93"/>
        </w:tc>
      </w:tr>
      <w:tr w:rsidR="00053D93" w14:paraId="21F80E6E" w14:textId="77777777">
        <w:tblPrEx>
          <w:tblCellMar>
            <w:top w:w="35" w:type="dxa"/>
            <w:left w:w="14" w:type="dxa"/>
          </w:tblCellMar>
        </w:tblPrEx>
        <w:trPr>
          <w:gridBefore w:val="1"/>
          <w:wBefore w:w="374" w:type="dxa"/>
          <w:trHeight w:val="1235"/>
        </w:trPr>
        <w:tc>
          <w:tcPr>
            <w:tcW w:w="645" w:type="dxa"/>
            <w:vMerge w:val="restart"/>
            <w:tcBorders>
              <w:top w:val="single" w:sz="2" w:space="0" w:color="000000"/>
              <w:left w:val="nil"/>
              <w:bottom w:val="nil"/>
              <w:right w:val="single" w:sz="2" w:space="0" w:color="000000"/>
            </w:tcBorders>
          </w:tcPr>
          <w:p w14:paraId="4F0257CF" w14:textId="77777777" w:rsidR="00053D93" w:rsidRDefault="00053D93"/>
        </w:tc>
        <w:tc>
          <w:tcPr>
            <w:tcW w:w="275" w:type="dxa"/>
            <w:tcBorders>
              <w:top w:val="single" w:sz="2" w:space="0" w:color="000000"/>
              <w:left w:val="single" w:sz="2" w:space="0" w:color="000000"/>
              <w:bottom w:val="single" w:sz="2" w:space="0" w:color="000000"/>
              <w:right w:val="single" w:sz="2" w:space="0" w:color="000000"/>
            </w:tcBorders>
          </w:tcPr>
          <w:p w14:paraId="27EF77A4" w14:textId="77777777" w:rsidR="00053D93" w:rsidRDefault="00260B75">
            <w:pPr>
              <w:ind w:left="17"/>
              <w:jc w:val="both"/>
            </w:pPr>
            <w:r>
              <w:rPr>
                <w:sz w:val="20"/>
              </w:rPr>
              <w:t xml:space="preserve">(+) </w:t>
            </w:r>
          </w:p>
        </w:tc>
        <w:tc>
          <w:tcPr>
            <w:tcW w:w="2792" w:type="dxa"/>
            <w:tcBorders>
              <w:top w:val="single" w:sz="2" w:space="0" w:color="000000"/>
              <w:left w:val="single" w:sz="2" w:space="0" w:color="000000"/>
              <w:bottom w:val="single" w:sz="2" w:space="0" w:color="000000"/>
              <w:right w:val="single" w:sz="2" w:space="0" w:color="000000"/>
            </w:tcBorders>
          </w:tcPr>
          <w:p w14:paraId="28CDA772" w14:textId="77777777" w:rsidR="00053D93" w:rsidRDefault="00260B75">
            <w:pPr>
              <w:ind w:left="80" w:right="76"/>
              <w:jc w:val="both"/>
            </w:pPr>
            <w:r>
              <w:rPr>
                <w:sz w:val="20"/>
              </w:rPr>
              <w:t>Servicio de flete no recibido por DIGEF Y exigido en pago por LAX TRAVEL, S.A.</w:t>
            </w:r>
          </w:p>
        </w:tc>
        <w:tc>
          <w:tcPr>
            <w:tcW w:w="946" w:type="dxa"/>
            <w:tcBorders>
              <w:top w:val="single" w:sz="2" w:space="0" w:color="000000"/>
              <w:left w:val="single" w:sz="2" w:space="0" w:color="000000"/>
              <w:bottom w:val="single" w:sz="2" w:space="0" w:color="000000"/>
              <w:right w:val="single" w:sz="2" w:space="0" w:color="000000"/>
            </w:tcBorders>
          </w:tcPr>
          <w:p w14:paraId="749D8439" w14:textId="77777777" w:rsidR="00053D93" w:rsidRDefault="00260B75">
            <w:pPr>
              <w:ind w:right="12"/>
              <w:jc w:val="center"/>
            </w:pPr>
            <w:r>
              <w:rPr>
                <w:sz w:val="20"/>
              </w:rPr>
              <w:t>1</w:t>
            </w:r>
          </w:p>
        </w:tc>
        <w:tc>
          <w:tcPr>
            <w:tcW w:w="869" w:type="dxa"/>
            <w:tcBorders>
              <w:top w:val="single" w:sz="2" w:space="0" w:color="000000"/>
              <w:left w:val="single" w:sz="2" w:space="0" w:color="000000"/>
              <w:bottom w:val="single" w:sz="2" w:space="0" w:color="000000"/>
              <w:right w:val="single" w:sz="2" w:space="0" w:color="000000"/>
            </w:tcBorders>
          </w:tcPr>
          <w:p w14:paraId="59E6674E" w14:textId="77777777" w:rsidR="00053D93" w:rsidRDefault="00260B75">
            <w:pPr>
              <w:ind w:left="29"/>
              <w:jc w:val="both"/>
            </w:pPr>
            <w:r>
              <w:rPr>
                <w:sz w:val="18"/>
              </w:rPr>
              <w:t xml:space="preserve">Q1 ,360.00 </w:t>
            </w:r>
          </w:p>
        </w:tc>
        <w:tc>
          <w:tcPr>
            <w:tcW w:w="1039" w:type="dxa"/>
            <w:tcBorders>
              <w:top w:val="single" w:sz="2" w:space="0" w:color="000000"/>
              <w:left w:val="single" w:sz="2" w:space="0" w:color="000000"/>
              <w:bottom w:val="single" w:sz="2" w:space="0" w:color="000000"/>
              <w:right w:val="single" w:sz="2" w:space="0" w:color="000000"/>
            </w:tcBorders>
          </w:tcPr>
          <w:p w14:paraId="77160B0D" w14:textId="77777777" w:rsidR="00053D93" w:rsidRDefault="00260B75">
            <w:pPr>
              <w:ind w:right="14"/>
              <w:jc w:val="right"/>
            </w:pPr>
            <w:r>
              <w:rPr>
                <w:sz w:val="18"/>
              </w:rPr>
              <w:t xml:space="preserve">Q1.360.00 </w:t>
            </w:r>
          </w:p>
        </w:tc>
        <w:tc>
          <w:tcPr>
            <w:tcW w:w="2532" w:type="dxa"/>
            <w:tcBorders>
              <w:top w:val="single" w:sz="2" w:space="0" w:color="000000"/>
              <w:left w:val="single" w:sz="2" w:space="0" w:color="000000"/>
              <w:bottom w:val="single" w:sz="2" w:space="0" w:color="000000"/>
              <w:right w:val="single" w:sz="2" w:space="0" w:color="000000"/>
            </w:tcBorders>
          </w:tcPr>
          <w:p w14:paraId="23B2EB42" w14:textId="77777777" w:rsidR="00053D93" w:rsidRDefault="00260B75">
            <w:pPr>
              <w:ind w:firstLine="7"/>
            </w:pPr>
            <w:r>
              <w:rPr>
                <w:sz w:val="20"/>
              </w:rPr>
              <w:t>Corresponde a ta Junta receptora y liquidadora realiza ajuste</w:t>
            </w:r>
            <w:r>
              <w:rPr>
                <w:sz w:val="20"/>
              </w:rPr>
              <w:tab/>
              <w:t>en correspondiente</w:t>
            </w:r>
            <w:r>
              <w:rPr>
                <w:sz w:val="20"/>
              </w:rPr>
              <w:tab/>
              <w:t>según corresponda.</w:t>
            </w:r>
          </w:p>
        </w:tc>
      </w:tr>
      <w:tr w:rsidR="00053D93" w14:paraId="3161E2AF" w14:textId="77777777">
        <w:tblPrEx>
          <w:tblCellMar>
            <w:top w:w="35" w:type="dxa"/>
            <w:left w:w="14" w:type="dxa"/>
          </w:tblCellMar>
        </w:tblPrEx>
        <w:trPr>
          <w:gridBefore w:val="1"/>
          <w:wBefore w:w="374" w:type="dxa"/>
          <w:trHeight w:val="1868"/>
        </w:trPr>
        <w:tc>
          <w:tcPr>
            <w:tcW w:w="0" w:type="auto"/>
            <w:vMerge/>
            <w:tcBorders>
              <w:top w:val="nil"/>
              <w:left w:val="nil"/>
              <w:bottom w:val="nil"/>
              <w:right w:val="single" w:sz="2" w:space="0" w:color="000000"/>
            </w:tcBorders>
          </w:tcPr>
          <w:p w14:paraId="444E686E" w14:textId="77777777" w:rsidR="00053D93" w:rsidRDefault="00053D93"/>
        </w:tc>
        <w:tc>
          <w:tcPr>
            <w:tcW w:w="275" w:type="dxa"/>
            <w:tcBorders>
              <w:top w:val="single" w:sz="2" w:space="0" w:color="000000"/>
              <w:left w:val="single" w:sz="2" w:space="0" w:color="000000"/>
              <w:bottom w:val="single" w:sz="2" w:space="0" w:color="000000"/>
              <w:right w:val="single" w:sz="2" w:space="0" w:color="000000"/>
            </w:tcBorders>
          </w:tcPr>
          <w:p w14:paraId="0F090EF8" w14:textId="77777777" w:rsidR="00053D93" w:rsidRDefault="00053D93"/>
        </w:tc>
        <w:tc>
          <w:tcPr>
            <w:tcW w:w="2792" w:type="dxa"/>
            <w:tcBorders>
              <w:top w:val="single" w:sz="2" w:space="0" w:color="000000"/>
              <w:left w:val="single" w:sz="2" w:space="0" w:color="000000"/>
              <w:bottom w:val="single" w:sz="2" w:space="0" w:color="000000"/>
              <w:right w:val="single" w:sz="2" w:space="0" w:color="000000"/>
            </w:tcBorders>
          </w:tcPr>
          <w:p w14:paraId="698FECC0" w14:textId="77777777" w:rsidR="00053D93" w:rsidRDefault="00260B75">
            <w:pPr>
              <w:ind w:left="80" w:right="76" w:firstLine="7"/>
              <w:jc w:val="both"/>
            </w:pPr>
            <w:r>
              <w:rPr>
                <w:sz w:val="20"/>
              </w:rPr>
              <w:t>Diferencia pagada de más por los 15 boletos aéreos adquiridos mediante viáticos exterior a la entidad LAX TRAVEL, S.A.</w:t>
            </w:r>
          </w:p>
        </w:tc>
        <w:tc>
          <w:tcPr>
            <w:tcW w:w="946" w:type="dxa"/>
            <w:tcBorders>
              <w:top w:val="single" w:sz="2" w:space="0" w:color="000000"/>
              <w:left w:val="single" w:sz="2" w:space="0" w:color="000000"/>
              <w:bottom w:val="single" w:sz="2" w:space="0" w:color="000000"/>
              <w:right w:val="single" w:sz="2" w:space="0" w:color="000000"/>
            </w:tcBorders>
          </w:tcPr>
          <w:p w14:paraId="517A657B" w14:textId="77777777" w:rsidR="00053D93" w:rsidRDefault="00260B75">
            <w:pPr>
              <w:ind w:left="17"/>
              <w:jc w:val="center"/>
            </w:pPr>
            <w:r>
              <w:rPr>
                <w:sz w:val="20"/>
              </w:rPr>
              <w:t>1 5</w:t>
            </w:r>
          </w:p>
        </w:tc>
        <w:tc>
          <w:tcPr>
            <w:tcW w:w="869" w:type="dxa"/>
            <w:tcBorders>
              <w:top w:val="single" w:sz="2" w:space="0" w:color="000000"/>
              <w:left w:val="single" w:sz="2" w:space="0" w:color="000000"/>
              <w:bottom w:val="single" w:sz="2" w:space="0" w:color="000000"/>
              <w:right w:val="single" w:sz="2" w:space="0" w:color="000000"/>
            </w:tcBorders>
          </w:tcPr>
          <w:p w14:paraId="5F93F074" w14:textId="77777777" w:rsidR="00053D93" w:rsidRDefault="00053D93"/>
        </w:tc>
        <w:tc>
          <w:tcPr>
            <w:tcW w:w="1039" w:type="dxa"/>
            <w:tcBorders>
              <w:top w:val="single" w:sz="2" w:space="0" w:color="000000"/>
              <w:left w:val="single" w:sz="2" w:space="0" w:color="000000"/>
              <w:bottom w:val="single" w:sz="2" w:space="0" w:color="000000"/>
              <w:right w:val="single" w:sz="2" w:space="0" w:color="000000"/>
            </w:tcBorders>
          </w:tcPr>
          <w:p w14:paraId="497C8B00" w14:textId="77777777" w:rsidR="00053D93" w:rsidRDefault="00260B75">
            <w:pPr>
              <w:ind w:right="14"/>
              <w:jc w:val="right"/>
            </w:pPr>
            <w:r>
              <w:rPr>
                <w:sz w:val="14"/>
              </w:rPr>
              <w:t>Q55,361.19</w:t>
            </w:r>
          </w:p>
        </w:tc>
        <w:tc>
          <w:tcPr>
            <w:tcW w:w="2532" w:type="dxa"/>
            <w:tcBorders>
              <w:top w:val="single" w:sz="2" w:space="0" w:color="000000"/>
              <w:left w:val="single" w:sz="2" w:space="0" w:color="000000"/>
              <w:bottom w:val="single" w:sz="2" w:space="0" w:color="000000"/>
              <w:right w:val="single" w:sz="2" w:space="0" w:color="000000"/>
            </w:tcBorders>
          </w:tcPr>
          <w:p w14:paraId="49ED5850" w14:textId="77777777" w:rsidR="00053D93" w:rsidRDefault="00260B75">
            <w:pPr>
              <w:ind w:left="7" w:right="12" w:firstLine="7"/>
              <w:jc w:val="both"/>
            </w:pPr>
            <w:r>
              <w:rPr>
                <w:sz w:val="20"/>
              </w:rPr>
              <w:t>No existe diferencia pagada de mas toda vez este pago correspondió al de viáticos y gastos conexos que se respaldan con el acuerdo gubernativo 106-2016 reglamento de viáticos artículos dos y tres.</w:t>
            </w:r>
          </w:p>
        </w:tc>
      </w:tr>
      <w:tr w:rsidR="00053D93" w14:paraId="0D89169C" w14:textId="77777777">
        <w:tblPrEx>
          <w:tblCellMar>
            <w:top w:w="35" w:type="dxa"/>
            <w:left w:w="14" w:type="dxa"/>
          </w:tblCellMar>
        </w:tblPrEx>
        <w:trPr>
          <w:gridBefore w:val="1"/>
          <w:wBefore w:w="374" w:type="dxa"/>
          <w:trHeight w:val="1661"/>
        </w:trPr>
        <w:tc>
          <w:tcPr>
            <w:tcW w:w="0" w:type="auto"/>
            <w:vMerge/>
            <w:tcBorders>
              <w:top w:val="nil"/>
              <w:left w:val="nil"/>
              <w:bottom w:val="nil"/>
              <w:right w:val="single" w:sz="2" w:space="0" w:color="000000"/>
            </w:tcBorders>
          </w:tcPr>
          <w:p w14:paraId="13422373" w14:textId="77777777" w:rsidR="00053D93" w:rsidRDefault="00053D93"/>
        </w:tc>
        <w:tc>
          <w:tcPr>
            <w:tcW w:w="275" w:type="dxa"/>
            <w:tcBorders>
              <w:top w:val="single" w:sz="2" w:space="0" w:color="000000"/>
              <w:left w:val="single" w:sz="2" w:space="0" w:color="000000"/>
              <w:bottom w:val="single" w:sz="2" w:space="0" w:color="000000"/>
              <w:right w:val="single" w:sz="2" w:space="0" w:color="000000"/>
            </w:tcBorders>
          </w:tcPr>
          <w:p w14:paraId="6B56BE61" w14:textId="77777777" w:rsidR="00053D93" w:rsidRDefault="00053D93"/>
        </w:tc>
        <w:tc>
          <w:tcPr>
            <w:tcW w:w="2792" w:type="dxa"/>
            <w:tcBorders>
              <w:top w:val="single" w:sz="2" w:space="0" w:color="000000"/>
              <w:left w:val="single" w:sz="2" w:space="0" w:color="000000"/>
              <w:bottom w:val="single" w:sz="2" w:space="0" w:color="000000"/>
              <w:right w:val="single" w:sz="2" w:space="0" w:color="000000"/>
            </w:tcBorders>
          </w:tcPr>
          <w:p w14:paraId="79D273A4" w14:textId="77777777" w:rsidR="00053D93" w:rsidRDefault="00260B75">
            <w:pPr>
              <w:ind w:left="80"/>
            </w:pPr>
            <w:r>
              <w:rPr>
                <w:sz w:val="20"/>
              </w:rPr>
              <w:t>Total de irregularidades identificadas</w:t>
            </w:r>
          </w:p>
        </w:tc>
        <w:tc>
          <w:tcPr>
            <w:tcW w:w="946" w:type="dxa"/>
            <w:tcBorders>
              <w:top w:val="single" w:sz="2" w:space="0" w:color="000000"/>
              <w:left w:val="single" w:sz="2" w:space="0" w:color="000000"/>
              <w:bottom w:val="single" w:sz="2" w:space="0" w:color="000000"/>
              <w:right w:val="single" w:sz="2" w:space="0" w:color="000000"/>
            </w:tcBorders>
          </w:tcPr>
          <w:p w14:paraId="19AB43B5" w14:textId="77777777" w:rsidR="00053D93" w:rsidRDefault="00053D93"/>
        </w:tc>
        <w:tc>
          <w:tcPr>
            <w:tcW w:w="869" w:type="dxa"/>
            <w:tcBorders>
              <w:top w:val="single" w:sz="2" w:space="0" w:color="000000"/>
              <w:left w:val="single" w:sz="2" w:space="0" w:color="000000"/>
              <w:bottom w:val="single" w:sz="2" w:space="0" w:color="000000"/>
              <w:right w:val="single" w:sz="2" w:space="0" w:color="000000"/>
            </w:tcBorders>
          </w:tcPr>
          <w:p w14:paraId="5A51243C" w14:textId="77777777" w:rsidR="00053D93" w:rsidRDefault="00053D93"/>
        </w:tc>
        <w:tc>
          <w:tcPr>
            <w:tcW w:w="1039" w:type="dxa"/>
            <w:tcBorders>
              <w:top w:val="single" w:sz="2" w:space="0" w:color="000000"/>
              <w:left w:val="single" w:sz="2" w:space="0" w:color="000000"/>
              <w:bottom w:val="single" w:sz="2" w:space="0" w:color="000000"/>
              <w:right w:val="single" w:sz="2" w:space="0" w:color="000000"/>
            </w:tcBorders>
          </w:tcPr>
          <w:p w14:paraId="75E7F573" w14:textId="77777777" w:rsidR="00053D93" w:rsidRDefault="00260B75">
            <w:pPr>
              <w:ind w:left="32"/>
            </w:pPr>
            <w:r>
              <w:rPr>
                <w:sz w:val="18"/>
              </w:rPr>
              <w:t xml:space="preserve">Q4431901.19 </w:t>
            </w:r>
          </w:p>
        </w:tc>
        <w:tc>
          <w:tcPr>
            <w:tcW w:w="2532" w:type="dxa"/>
            <w:tcBorders>
              <w:top w:val="single" w:sz="2" w:space="0" w:color="000000"/>
              <w:left w:val="single" w:sz="2" w:space="0" w:color="000000"/>
              <w:bottom w:val="single" w:sz="2" w:space="0" w:color="000000"/>
              <w:right w:val="single" w:sz="2" w:space="0" w:color="000000"/>
            </w:tcBorders>
          </w:tcPr>
          <w:p w14:paraId="5EC02CF2" w14:textId="77777777" w:rsidR="00053D93" w:rsidRDefault="00260B75">
            <w:pPr>
              <w:ind w:left="7" w:right="12" w:firstLine="7"/>
              <w:jc w:val="both"/>
            </w:pPr>
            <w:r>
              <w:rPr>
                <w:sz w:val="20"/>
              </w:rPr>
              <w:t>No procede el monto indicado oda vez está mal formulado la conceptualización del planteamiento pues los 15 boletos no forman parte del evento objeto del presunto hallazgo.</w:t>
            </w:r>
          </w:p>
        </w:tc>
      </w:tr>
    </w:tbl>
    <w:p w14:paraId="5F351837" w14:textId="77777777" w:rsidR="00053D93" w:rsidRDefault="00260B75">
      <w:pPr>
        <w:spacing w:after="325" w:line="250" w:lineRule="auto"/>
        <w:ind w:left="1673" w:right="14" w:hanging="3"/>
        <w:jc w:val="both"/>
      </w:pPr>
      <w:r>
        <w:rPr>
          <w:sz w:val="26"/>
        </w:rPr>
        <w:t xml:space="preserve">(*) Cláusula Segunda del Contrato Administrativo 01-2024-DIGEF-CD. "B) MONTO: El monto total del presente contrato es de hasta NOVECIENTOS MIL QUETZALES </w:t>
      </w:r>
      <w:r>
        <w:rPr>
          <w:noProof/>
        </w:rPr>
        <w:drawing>
          <wp:inline distT="0" distB="0" distL="0" distR="0" wp14:anchorId="7C012FF1" wp14:editId="54991973">
            <wp:extent cx="973836" cy="141732"/>
            <wp:effectExtent l="0" t="0" r="0" b="0"/>
            <wp:docPr id="978444" name="Picture 978444"/>
            <wp:cNvGraphicFramePr/>
            <a:graphic xmlns:a="http://schemas.openxmlformats.org/drawingml/2006/main">
              <a:graphicData uri="http://schemas.openxmlformats.org/drawingml/2006/picture">
                <pic:pic xmlns:pic="http://schemas.openxmlformats.org/drawingml/2006/picture">
                  <pic:nvPicPr>
                    <pic:cNvPr id="978444" name="Picture 978444"/>
                    <pic:cNvPicPr/>
                  </pic:nvPicPr>
                  <pic:blipFill>
                    <a:blip r:embed="rId1337"/>
                    <a:stretch>
                      <a:fillRect/>
                    </a:stretch>
                  </pic:blipFill>
                  <pic:spPr>
                    <a:xfrm>
                      <a:off x="0" y="0"/>
                      <a:ext cx="973836" cy="141732"/>
                    </a:xfrm>
                    <a:prstGeom prst="rect">
                      <a:avLst/>
                    </a:prstGeom>
                  </pic:spPr>
                </pic:pic>
              </a:graphicData>
            </a:graphic>
          </wp:inline>
        </w:drawing>
      </w:r>
      <w:r>
        <w:rPr>
          <w:sz w:val="26"/>
        </w:rPr>
        <w:t xml:space="preserve"> integrado de la siguiente forma: B.l BOLETOS: El monto por el servicio de transporte aéreo ida y vuelta GUATEMALA-PANAMA para la Delegación Deportiva Escolar de Guatemala que participara en los Juegos Deportivos Escolares Centroamericanos del CODICADER, para estudiantes con discapacidad, es de hasta OCHOCIENTOS NOVENTA Y OCHO MIL SEISCIENTOS CUARENTA QUETZALES EXACTOS (Q.898,640.OO), siendo un total de ciento ochenta y ocho (188) boletos aéreos adjudicados, pudiendo ser menos."</w:t>
      </w:r>
    </w:p>
    <w:p w14:paraId="12EEE301" w14:textId="77777777" w:rsidR="00053D93" w:rsidRDefault="00260B75">
      <w:pPr>
        <w:spacing w:after="318" w:line="250" w:lineRule="auto"/>
        <w:ind w:left="1673" w:right="14" w:hanging="3"/>
        <w:jc w:val="both"/>
      </w:pPr>
      <w:r>
        <w:rPr>
          <w:noProof/>
        </w:rPr>
        <w:drawing>
          <wp:inline distT="0" distB="0" distL="0" distR="0" wp14:anchorId="10723602" wp14:editId="088EAD6B">
            <wp:extent cx="137160" cy="146304"/>
            <wp:effectExtent l="0" t="0" r="0" b="0"/>
            <wp:docPr id="2458721" name="Picture 2458721"/>
            <wp:cNvGraphicFramePr/>
            <a:graphic xmlns:a="http://schemas.openxmlformats.org/drawingml/2006/main">
              <a:graphicData uri="http://schemas.openxmlformats.org/drawingml/2006/picture">
                <pic:pic xmlns:pic="http://schemas.openxmlformats.org/drawingml/2006/picture">
                  <pic:nvPicPr>
                    <pic:cNvPr id="2458721" name="Picture 2458721"/>
                    <pic:cNvPicPr/>
                  </pic:nvPicPr>
                  <pic:blipFill>
                    <a:blip r:embed="rId1338"/>
                    <a:stretch>
                      <a:fillRect/>
                    </a:stretch>
                  </pic:blipFill>
                  <pic:spPr>
                    <a:xfrm>
                      <a:off x="0" y="0"/>
                      <a:ext cx="137160" cy="146304"/>
                    </a:xfrm>
                    <a:prstGeom prst="rect">
                      <a:avLst/>
                    </a:prstGeom>
                  </pic:spPr>
                </pic:pic>
              </a:graphicData>
            </a:graphic>
          </wp:inline>
        </w:drawing>
      </w:r>
      <w:r>
        <w:rPr>
          <w:sz w:val="26"/>
        </w:rPr>
        <w:t>"Cláusula QUINTA. FORMA DE PAGO Y PARTIDA PRESUPUESTARIA. A) FORMA DE PAGO: El monto del presente contrato será cubierto por "LA DIGEF" mediante un único pago en quetzales, contra entrega de la cantidad final de boletos aéreos requeridos, a entera satisfacción del Ministerio de Educación, mediante acreditamiento en la cuenta de depósitos monetarios que "LA CONTRATISTA" tenga registrada en la Tesorería Nacional, dentro del plazo establecido en el Artículo 62 del Decreto número 57-92 del Congreso de la República de Guatemala, Ley de Contrataciones del Estado y Artículo 47 del Acuerdo Gubernativo número 122-2016, Reglamento de la Ley de Contrataciones del Estado, previa presentación de la Factura Electrónica en Línea -FELcorrespondientes, emitida con las formalidades de ley, que en ningún caso excederá el valor del presente contrato y los demás documentos indicados en las bases del proceso de cotización indicado o las especificaciones de la Compra Directa."</w:t>
      </w:r>
    </w:p>
    <w:p w14:paraId="71875BDA" w14:textId="77777777" w:rsidR="00053D93" w:rsidRDefault="00260B75">
      <w:pPr>
        <w:spacing w:after="332"/>
        <w:ind w:left="24" w:right="35" w:hanging="10"/>
        <w:jc w:val="right"/>
      </w:pPr>
      <w:r>
        <w:rPr>
          <w:sz w:val="26"/>
        </w:rPr>
        <w:t>(**) Base legal que sustenta la erogación de los viáticos y gastos conexos de los</w:t>
      </w:r>
    </w:p>
    <w:tbl>
      <w:tblPr>
        <w:tblStyle w:val="TableGrid"/>
        <w:tblpPr w:vertAnchor="text" w:tblpX="2495"/>
        <w:tblOverlap w:val="never"/>
        <w:tblW w:w="7672" w:type="dxa"/>
        <w:tblInd w:w="0" w:type="dxa"/>
        <w:tblCellMar>
          <w:top w:w="46" w:type="dxa"/>
          <w:left w:w="1782" w:type="dxa"/>
          <w:right w:w="115" w:type="dxa"/>
        </w:tblCellMar>
        <w:tblLook w:val="04A0" w:firstRow="1" w:lastRow="0" w:firstColumn="1" w:lastColumn="0" w:noHBand="0" w:noVBand="1"/>
      </w:tblPr>
      <w:tblGrid>
        <w:gridCol w:w="7672"/>
      </w:tblGrid>
      <w:tr w:rsidR="00053D93" w14:paraId="35998EB0" w14:textId="77777777">
        <w:trPr>
          <w:trHeight w:val="41"/>
        </w:trPr>
        <w:tc>
          <w:tcPr>
            <w:tcW w:w="7672" w:type="dxa"/>
            <w:tcBorders>
              <w:top w:val="nil"/>
              <w:left w:val="single" w:sz="2" w:space="0" w:color="000000"/>
              <w:bottom w:val="single" w:sz="2" w:space="0" w:color="000000"/>
              <w:right w:val="nil"/>
            </w:tcBorders>
          </w:tcPr>
          <w:p w14:paraId="70DBA6C4" w14:textId="77777777" w:rsidR="00053D93" w:rsidRDefault="00053D93"/>
        </w:tc>
      </w:tr>
      <w:tr w:rsidR="00053D93" w14:paraId="3E431B85" w14:textId="77777777">
        <w:trPr>
          <w:trHeight w:val="600"/>
        </w:trPr>
        <w:tc>
          <w:tcPr>
            <w:tcW w:w="7672" w:type="dxa"/>
            <w:tcBorders>
              <w:top w:val="single" w:sz="2" w:space="0" w:color="000000"/>
              <w:left w:val="single" w:sz="2" w:space="0" w:color="000000"/>
              <w:bottom w:val="nil"/>
              <w:right w:val="nil"/>
            </w:tcBorders>
          </w:tcPr>
          <w:p w14:paraId="5F03B58D" w14:textId="77777777" w:rsidR="00053D93" w:rsidRDefault="00260B75">
            <w:pPr>
              <w:ind w:left="835"/>
            </w:pPr>
            <w:r>
              <w:rPr>
                <w:sz w:val="14"/>
              </w:rPr>
              <w:t>MINISTERIO DE EDUCACION</w:t>
            </w:r>
          </w:p>
          <w:p w14:paraId="2C58C43B" w14:textId="77777777" w:rsidR="00053D93" w:rsidRDefault="00260B75">
            <w:pPr>
              <w:ind w:left="338"/>
            </w:pPr>
            <w:r>
              <w:rPr>
                <w:sz w:val="14"/>
              </w:rPr>
              <w:t>AUDITORIA FINANCIERA Y DE CUMPLIMIENTO</w:t>
            </w:r>
          </w:p>
          <w:p w14:paraId="646CD563" w14:textId="77777777" w:rsidR="00053D93" w:rsidRDefault="00260B75">
            <w:r>
              <w:rPr>
                <w:sz w:val="14"/>
              </w:rPr>
              <w:t>PERIODO DEL 01 DE ENERO AL 31 DE DICIEMBRE DE 2024</w:t>
            </w:r>
          </w:p>
        </w:tc>
      </w:tr>
    </w:tbl>
    <w:p w14:paraId="2F838E04" w14:textId="77777777" w:rsidR="00053D93" w:rsidRDefault="00260B75">
      <w:pPr>
        <w:pStyle w:val="Ttulo2"/>
        <w:ind w:left="730" w:right="79"/>
      </w:pPr>
      <w:r>
        <w:t>III</w:t>
      </w:r>
      <w:r>
        <w:rPr>
          <w:noProof/>
        </w:rPr>
        <w:drawing>
          <wp:inline distT="0" distB="0" distL="0" distR="0" wp14:anchorId="649F884F" wp14:editId="573D1F81">
            <wp:extent cx="941832" cy="406908"/>
            <wp:effectExtent l="0" t="0" r="0" b="0"/>
            <wp:docPr id="978445" name="Picture 978445"/>
            <wp:cNvGraphicFramePr/>
            <a:graphic xmlns:a="http://schemas.openxmlformats.org/drawingml/2006/main">
              <a:graphicData uri="http://schemas.openxmlformats.org/drawingml/2006/picture">
                <pic:pic xmlns:pic="http://schemas.openxmlformats.org/drawingml/2006/picture">
                  <pic:nvPicPr>
                    <pic:cNvPr id="978445" name="Picture 978445"/>
                    <pic:cNvPicPr/>
                  </pic:nvPicPr>
                  <pic:blipFill>
                    <a:blip r:embed="rId1339"/>
                    <a:stretch>
                      <a:fillRect/>
                    </a:stretch>
                  </pic:blipFill>
                  <pic:spPr>
                    <a:xfrm>
                      <a:off x="0" y="0"/>
                      <a:ext cx="941832" cy="406908"/>
                    </a:xfrm>
                    <a:prstGeom prst="rect">
                      <a:avLst/>
                    </a:prstGeom>
                  </pic:spPr>
                </pic:pic>
              </a:graphicData>
            </a:graphic>
          </wp:inline>
        </w:drawing>
      </w:r>
    </w:p>
    <w:p w14:paraId="64EBFAFB" w14:textId="77777777" w:rsidR="00053D93" w:rsidRDefault="00260B75">
      <w:pPr>
        <w:tabs>
          <w:tab w:val="right" w:pos="10181"/>
        </w:tabs>
        <w:spacing w:after="4" w:line="269" w:lineRule="auto"/>
      </w:pPr>
      <w:r>
        <w:rPr>
          <w:sz w:val="26"/>
        </w:rPr>
        <w:t>1</w:t>
      </w:r>
      <w:r>
        <w:rPr>
          <w:sz w:val="26"/>
        </w:rPr>
        <w:tab/>
        <w:t>15 funcionarios, ACUERDO GUBERNATIVO 106-2016 REGLAMENTE DE</w:t>
      </w:r>
    </w:p>
    <w:p w14:paraId="4C084C9E" w14:textId="77777777" w:rsidR="00053D93" w:rsidRDefault="00260B75">
      <w:pPr>
        <w:spacing w:after="239" w:line="269" w:lineRule="auto"/>
        <w:ind w:left="57" w:right="14" w:firstLine="1699"/>
        <w:jc w:val="both"/>
      </w:pPr>
      <w:r>
        <w:rPr>
          <w:sz w:val="26"/>
        </w:rPr>
        <w:t>VIATICOS ARTICULOS DOS Y TRES ARTÍCULO 2. GASTOS DE VIÁTICOS. son 1 gastos de viáticos, [as asignaciones destinadas a cubrir los desembolsos por hospedaje, alimentación y otros gastos conexos, 4en que se incurre, para el cumplimiento de comisiones oficiales, fuera del lugar ordinario de trabajo, en el 1 interior 0 exterior del país. ARTÍCULO 3. OTROS GASTOS CONEXOS. se entiende por otros gastos conexos, los que en cumplimiento de comisiones oficiales se ocasionan por concepto de: a) Pasajes; b) Transporte de equipo de trabajo; c) Reparación de vehículos del Estado, así como sus respuestas, combustibles y lubricantes. Estos se reconocerán en casos debidamente justificados y hasta por un máximo de quinientos quetzales (Q500.00); si fueren mayores de esa cantidad se debe obtener autorización, por la vía más rápida, de la autoridad que hubiere ordenado la comisión; d) Pago documentado de derecho</w:t>
      </w:r>
    </w:p>
    <w:p w14:paraId="757036A4" w14:textId="77777777" w:rsidR="00053D93" w:rsidRDefault="00260B75">
      <w:pPr>
        <w:spacing w:after="27" w:line="269" w:lineRule="auto"/>
        <w:ind w:left="60" w:right="14" w:hanging="3"/>
        <w:jc w:val="both"/>
      </w:pPr>
      <w:r>
        <w:rPr>
          <w:sz w:val="26"/>
        </w:rPr>
        <w:t>1 de salida tanto de Guatemala como de otros países; e) Gastos debidamente comprobados que se ocasionen por caso fortuito o fuerza mayor en el desempeño de comisiones en el interior o en el exterior del país. Estos gastos deben ser 1 aprobados por la autoridad máxima de la dependencia de que se trate.</w:t>
      </w:r>
    </w:p>
    <w:p w14:paraId="6CED2B56" w14:textId="77777777" w:rsidR="00053D93" w:rsidRDefault="00260B75">
      <w:pPr>
        <w:spacing w:after="4" w:line="269" w:lineRule="auto"/>
        <w:ind w:left="60" w:right="14" w:hanging="3"/>
        <w:jc w:val="both"/>
      </w:pPr>
      <w:r>
        <w:rPr>
          <w:noProof/>
        </w:rPr>
        <w:drawing>
          <wp:anchor distT="0" distB="0" distL="114300" distR="114300" simplePos="0" relativeHeight="252156928" behindDoc="0" locked="0" layoutInCell="1" allowOverlap="0" wp14:anchorId="5EEE8BC7" wp14:editId="00752B10">
            <wp:simplePos x="0" y="0"/>
            <wp:positionH relativeFrom="page">
              <wp:posOffset>347472</wp:posOffset>
            </wp:positionH>
            <wp:positionV relativeFrom="page">
              <wp:posOffset>365760</wp:posOffset>
            </wp:positionV>
            <wp:extent cx="9144" cy="9144"/>
            <wp:effectExtent l="0" t="0" r="0" b="0"/>
            <wp:wrapTopAndBottom/>
            <wp:docPr id="982154" name="Picture 982154"/>
            <wp:cNvGraphicFramePr/>
            <a:graphic xmlns:a="http://schemas.openxmlformats.org/drawingml/2006/main">
              <a:graphicData uri="http://schemas.openxmlformats.org/drawingml/2006/picture">
                <pic:pic xmlns:pic="http://schemas.openxmlformats.org/drawingml/2006/picture">
                  <pic:nvPicPr>
                    <pic:cNvPr id="982154" name="Picture 982154"/>
                    <pic:cNvPicPr/>
                  </pic:nvPicPr>
                  <pic:blipFill>
                    <a:blip r:embed="rId1340"/>
                    <a:stretch>
                      <a:fillRect/>
                    </a:stretch>
                  </pic:blipFill>
                  <pic:spPr>
                    <a:xfrm>
                      <a:off x="0" y="0"/>
                      <a:ext cx="9144" cy="9144"/>
                    </a:xfrm>
                    <a:prstGeom prst="rect">
                      <a:avLst/>
                    </a:prstGeom>
                  </pic:spPr>
                </pic:pic>
              </a:graphicData>
            </a:graphic>
          </wp:anchor>
        </w:drawing>
      </w:r>
      <w:r>
        <w:rPr>
          <w:noProof/>
        </w:rPr>
        <mc:AlternateContent>
          <mc:Choice Requires="wpg">
            <w:drawing>
              <wp:anchor distT="0" distB="0" distL="114300" distR="114300" simplePos="0" relativeHeight="252157952" behindDoc="0" locked="0" layoutInCell="1" allowOverlap="1" wp14:anchorId="2A01A928" wp14:editId="1CC31AAF">
                <wp:simplePos x="0" y="0"/>
                <wp:positionH relativeFrom="page">
                  <wp:posOffset>1106424</wp:posOffset>
                </wp:positionH>
                <wp:positionV relativeFrom="page">
                  <wp:posOffset>818388</wp:posOffset>
                </wp:positionV>
                <wp:extent cx="5577840" cy="13716"/>
                <wp:effectExtent l="0" t="0" r="0" b="0"/>
                <wp:wrapTopAndBottom/>
                <wp:docPr id="2458724" name="Group 2458724"/>
                <wp:cNvGraphicFramePr/>
                <a:graphic xmlns:a="http://schemas.openxmlformats.org/drawingml/2006/main">
                  <a:graphicData uri="http://schemas.microsoft.com/office/word/2010/wordprocessingGroup">
                    <wpg:wgp>
                      <wpg:cNvGrpSpPr/>
                      <wpg:grpSpPr>
                        <a:xfrm>
                          <a:off x="0" y="0"/>
                          <a:ext cx="5577840" cy="13716"/>
                          <a:chOff x="0" y="0"/>
                          <a:chExt cx="5577840" cy="13716"/>
                        </a:xfrm>
                      </wpg:grpSpPr>
                      <wps:wsp>
                        <wps:cNvPr id="2458723" name="Shape 2458723"/>
                        <wps:cNvSpPr/>
                        <wps:spPr>
                          <a:xfrm>
                            <a:off x="0" y="0"/>
                            <a:ext cx="5577840" cy="13716"/>
                          </a:xfrm>
                          <a:custGeom>
                            <a:avLst/>
                            <a:gdLst/>
                            <a:ahLst/>
                            <a:cxnLst/>
                            <a:rect l="0" t="0" r="0" b="0"/>
                            <a:pathLst>
                              <a:path w="5577840" h="13716">
                                <a:moveTo>
                                  <a:pt x="0" y="6858"/>
                                </a:moveTo>
                                <a:lnTo>
                                  <a:pt x="55778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724" style="width:439.2pt;height:1.08pt;position:absolute;mso-position-horizontal-relative:page;mso-position-horizontal:absolute;margin-left:87.12pt;mso-position-vertical-relative:page;margin-top:64.44pt;" coordsize="55778,137">
                <v:shape id="Shape 2458723" style="position:absolute;width:55778;height:137;left:0;top:0;" coordsize="5577840,13716" path="m0,6858l5577840,6858">
                  <v:stroke weight="1.08pt" endcap="flat" joinstyle="miter" miterlimit="1" on="true" color="#000000"/>
                  <v:fill on="false" color="#000000"/>
                </v:shape>
                <w10:wrap type="topAndBottom"/>
              </v:group>
            </w:pict>
          </mc:Fallback>
        </mc:AlternateContent>
      </w:r>
      <w:r>
        <w:rPr>
          <w:noProof/>
        </w:rPr>
        <w:drawing>
          <wp:anchor distT="0" distB="0" distL="114300" distR="114300" simplePos="0" relativeHeight="252158976" behindDoc="0" locked="0" layoutInCell="1" allowOverlap="0" wp14:anchorId="03E35E91" wp14:editId="44AF983C">
            <wp:simplePos x="0" y="0"/>
            <wp:positionH relativeFrom="page">
              <wp:posOffset>173736</wp:posOffset>
            </wp:positionH>
            <wp:positionV relativeFrom="page">
              <wp:posOffset>850392</wp:posOffset>
            </wp:positionV>
            <wp:extent cx="41148" cy="4572"/>
            <wp:effectExtent l="0" t="0" r="0" b="0"/>
            <wp:wrapTopAndBottom/>
            <wp:docPr id="982155" name="Picture 982155"/>
            <wp:cNvGraphicFramePr/>
            <a:graphic xmlns:a="http://schemas.openxmlformats.org/drawingml/2006/main">
              <a:graphicData uri="http://schemas.openxmlformats.org/drawingml/2006/picture">
                <pic:pic xmlns:pic="http://schemas.openxmlformats.org/drawingml/2006/picture">
                  <pic:nvPicPr>
                    <pic:cNvPr id="982155" name="Picture 982155"/>
                    <pic:cNvPicPr/>
                  </pic:nvPicPr>
                  <pic:blipFill>
                    <a:blip r:embed="rId1341"/>
                    <a:stretch>
                      <a:fillRect/>
                    </a:stretch>
                  </pic:blipFill>
                  <pic:spPr>
                    <a:xfrm>
                      <a:off x="0" y="0"/>
                      <a:ext cx="41148" cy="4572"/>
                    </a:xfrm>
                    <a:prstGeom prst="rect">
                      <a:avLst/>
                    </a:prstGeom>
                  </pic:spPr>
                </pic:pic>
              </a:graphicData>
            </a:graphic>
          </wp:anchor>
        </w:drawing>
      </w:r>
      <w:r>
        <w:rPr>
          <w:sz w:val="26"/>
        </w:rPr>
        <w:t>1 Por lo anteriormente expuesto, solicito que el posible hallazgo que me están indilgando sea desvanecido, pues como se indicó anteriormente me permito manifestar Io siguiente: Fungí como director de la Dirección de General de 1 Educación Física -DIGEF-, hasta el mes de febrero del año 2025, por lo que luego</w:t>
      </w:r>
    </w:p>
    <w:p w14:paraId="61A46286" w14:textId="77777777" w:rsidR="00053D93" w:rsidRDefault="00260B75">
      <w:pPr>
        <w:spacing w:after="120" w:line="269" w:lineRule="auto"/>
        <w:ind w:left="57" w:right="14" w:firstLine="1649"/>
        <w:jc w:val="both"/>
      </w:pPr>
      <w:r>
        <w:rPr>
          <w:sz w:val="26"/>
        </w:rPr>
        <w:t>de analizar cada uno de los postulados en donde se indica la posibilidad de un posible hallazgo número 10, atentamente solicito sea analizado a fondo lo 1 concerniente al contrato administrativo toda vez en la cláusula segunda y quinta existen lineamientos muy importantes a considerar y por consiguiente del porque 1 no corresponde la formulación realizada de este posible hallazgo toda vez se cumplió con los proceso establecido según la ley de contrataciones del Estado y su reglamento... "</w:t>
      </w:r>
    </w:p>
    <w:p w14:paraId="7A649840" w14:textId="77777777" w:rsidR="00053D93" w:rsidRDefault="00260B75">
      <w:pPr>
        <w:spacing w:after="3" w:line="265" w:lineRule="auto"/>
        <w:ind w:left="60" w:right="65" w:hanging="10"/>
      </w:pPr>
      <w:r>
        <w:rPr>
          <w:sz w:val="66"/>
        </w:rPr>
        <w:t>1</w:t>
      </w:r>
    </w:p>
    <w:p w14:paraId="0031CCD6" w14:textId="77777777" w:rsidR="00053D93" w:rsidRDefault="00260B75">
      <w:pPr>
        <w:spacing w:after="29" w:line="269" w:lineRule="auto"/>
        <w:ind w:left="67" w:right="79" w:hanging="10"/>
        <w:jc w:val="right"/>
      </w:pPr>
      <w:r>
        <w:rPr>
          <w:sz w:val="26"/>
        </w:rPr>
        <w:t>En nota s/n del 24 de abril de 2025, el licenciado Carlos Leonel Gatica Chajón,</w:t>
      </w:r>
    </w:p>
    <w:p w14:paraId="118BCB58" w14:textId="77777777" w:rsidR="00053D93" w:rsidRDefault="00260B75">
      <w:pPr>
        <w:spacing w:after="4" w:line="269" w:lineRule="auto"/>
        <w:ind w:left="57" w:right="14" w:firstLine="1620"/>
        <w:jc w:val="both"/>
      </w:pPr>
      <w:r>
        <w:rPr>
          <w:sz w:val="26"/>
        </w:rPr>
        <w:t>Jefe Sección Alto Rendimiento Deportivo Escolar, manifiesta: 1. Como Alto Rendimiento Deportivo Escolar, se me señala de abuso de mi cargo, por enviar un correo electrónico a [a empresa LAX TRAVEL, S.A.; Se hace constar que, el jueves 7 de noviembre de 2024 a las 12:40 horas, se recibió un correo por parte de la Agencia de Viajes Lax Travel, en el cual se adjuntaban grupos de atletas organizados para tos vuelos. A revisar dicho documento, se evidenció que varios 1 de estos grupos incluían a atletas escolares menores de edad con discapacidad</w:t>
      </w:r>
    </w:p>
    <w:p w14:paraId="3B0498C8" w14:textId="77777777" w:rsidR="00053D93" w:rsidRDefault="00260B75">
      <w:pPr>
        <w:spacing w:after="4" w:line="216" w:lineRule="auto"/>
        <w:ind w:left="57" w:right="14" w:firstLine="1613"/>
        <w:jc w:val="both"/>
      </w:pPr>
      <w:r>
        <w:rPr>
          <w:sz w:val="26"/>
        </w:rPr>
        <w:t>(discapacidades física, intelectual y sensorial) que aparecían viajando sin 1 acompañamiento adulto, y que algunos adultos responsables habían sido</w:t>
      </w:r>
    </w:p>
    <w:p w14:paraId="3A660023" w14:textId="77777777" w:rsidR="00053D93" w:rsidRDefault="00260B75">
      <w:pPr>
        <w:spacing w:after="449" w:line="269" w:lineRule="auto"/>
        <w:ind w:left="67" w:right="79" w:hanging="10"/>
        <w:jc w:val="right"/>
      </w:pPr>
      <w:r>
        <w:rPr>
          <w:sz w:val="26"/>
        </w:rPr>
        <w:t>ubicados en vuelos distintos. Esta situación resultaba incompatible con los</w:t>
      </w:r>
    </w:p>
    <w:p w14:paraId="762015B4" w14:textId="77777777" w:rsidR="00053D93" w:rsidRDefault="00260B75">
      <w:pPr>
        <w:spacing w:after="3"/>
        <w:ind w:left="74" w:right="3485" w:hanging="10"/>
      </w:pPr>
      <w:r>
        <w:rPr>
          <w:sz w:val="70"/>
        </w:rPr>
        <w:t>1</w:t>
      </w:r>
    </w:p>
    <w:tbl>
      <w:tblPr>
        <w:tblStyle w:val="TableGrid"/>
        <w:tblW w:w="9410" w:type="dxa"/>
        <w:tblInd w:w="691" w:type="dxa"/>
        <w:tblLook w:val="04A0" w:firstRow="1" w:lastRow="0" w:firstColumn="1" w:lastColumn="0" w:noHBand="0" w:noVBand="1"/>
      </w:tblPr>
      <w:tblGrid>
        <w:gridCol w:w="1233"/>
        <w:gridCol w:w="8256"/>
      </w:tblGrid>
      <w:tr w:rsidR="00053D93" w14:paraId="36C716F5" w14:textId="77777777">
        <w:trPr>
          <w:trHeight w:val="648"/>
        </w:trPr>
        <w:tc>
          <w:tcPr>
            <w:tcW w:w="1708" w:type="dxa"/>
            <w:tcBorders>
              <w:top w:val="nil"/>
              <w:left w:val="nil"/>
              <w:bottom w:val="nil"/>
              <w:right w:val="nil"/>
            </w:tcBorders>
          </w:tcPr>
          <w:p w14:paraId="47ED962C" w14:textId="77777777" w:rsidR="00053D93" w:rsidRDefault="00260B75">
            <w:r>
              <w:rPr>
                <w:noProof/>
              </w:rPr>
              <w:drawing>
                <wp:inline distT="0" distB="0" distL="0" distR="0" wp14:anchorId="1F7016CB" wp14:editId="2A273593">
                  <wp:extent cx="1056132" cy="411480"/>
                  <wp:effectExtent l="0" t="0" r="0" b="0"/>
                  <wp:docPr id="982220" name="Picture 982220"/>
                  <wp:cNvGraphicFramePr/>
                  <a:graphic xmlns:a="http://schemas.openxmlformats.org/drawingml/2006/main">
                    <a:graphicData uri="http://schemas.openxmlformats.org/drawingml/2006/picture">
                      <pic:pic xmlns:pic="http://schemas.openxmlformats.org/drawingml/2006/picture">
                        <pic:nvPicPr>
                          <pic:cNvPr id="982220" name="Picture 982220"/>
                          <pic:cNvPicPr/>
                        </pic:nvPicPr>
                        <pic:blipFill>
                          <a:blip r:embed="rId1342"/>
                          <a:stretch>
                            <a:fillRect/>
                          </a:stretch>
                        </pic:blipFill>
                        <pic:spPr>
                          <a:xfrm>
                            <a:off x="0" y="0"/>
                            <a:ext cx="1056132" cy="411480"/>
                          </a:xfrm>
                          <a:prstGeom prst="rect">
                            <a:avLst/>
                          </a:prstGeom>
                        </pic:spPr>
                      </pic:pic>
                    </a:graphicData>
                  </a:graphic>
                </wp:inline>
              </w:drawing>
            </w:r>
          </w:p>
        </w:tc>
        <w:tc>
          <w:tcPr>
            <w:tcW w:w="7702" w:type="dxa"/>
            <w:tcBorders>
              <w:top w:val="nil"/>
              <w:left w:val="nil"/>
              <w:bottom w:val="nil"/>
              <w:right w:val="nil"/>
            </w:tcBorders>
          </w:tcPr>
          <w:p w14:paraId="00A6F286" w14:textId="77777777" w:rsidR="00053D93" w:rsidRDefault="00053D93">
            <w:pPr>
              <w:ind w:left="-2752" w:right="10454"/>
            </w:pPr>
          </w:p>
          <w:tbl>
            <w:tblPr>
              <w:tblStyle w:val="TableGrid"/>
              <w:tblW w:w="7657" w:type="dxa"/>
              <w:tblInd w:w="45" w:type="dxa"/>
              <w:tblCellMar>
                <w:top w:w="44" w:type="dxa"/>
                <w:left w:w="1782" w:type="dxa"/>
                <w:right w:w="115" w:type="dxa"/>
              </w:tblCellMar>
              <w:tblLook w:val="04A0" w:firstRow="1" w:lastRow="0" w:firstColumn="1" w:lastColumn="0" w:noHBand="0" w:noVBand="1"/>
            </w:tblPr>
            <w:tblGrid>
              <w:gridCol w:w="7657"/>
            </w:tblGrid>
            <w:tr w:rsidR="00053D93" w14:paraId="2749849C" w14:textId="77777777">
              <w:trPr>
                <w:trHeight w:val="65"/>
              </w:trPr>
              <w:tc>
                <w:tcPr>
                  <w:tcW w:w="7657" w:type="dxa"/>
                  <w:tcBorders>
                    <w:top w:val="nil"/>
                    <w:left w:val="single" w:sz="2" w:space="0" w:color="000000"/>
                    <w:bottom w:val="single" w:sz="2" w:space="0" w:color="000000"/>
                    <w:right w:val="nil"/>
                  </w:tcBorders>
                </w:tcPr>
                <w:p w14:paraId="1FB2BEAC" w14:textId="77777777" w:rsidR="00053D93" w:rsidRDefault="00053D93"/>
              </w:tc>
            </w:tr>
            <w:tr w:rsidR="00053D93" w14:paraId="24C97079" w14:textId="77777777">
              <w:trPr>
                <w:trHeight w:val="569"/>
              </w:trPr>
              <w:tc>
                <w:tcPr>
                  <w:tcW w:w="7657" w:type="dxa"/>
                  <w:tcBorders>
                    <w:top w:val="single" w:sz="2" w:space="0" w:color="000000"/>
                    <w:left w:val="single" w:sz="2" w:space="0" w:color="000000"/>
                    <w:bottom w:val="nil"/>
                    <w:right w:val="nil"/>
                  </w:tcBorders>
                </w:tcPr>
                <w:p w14:paraId="4A711586" w14:textId="77777777" w:rsidR="00053D93" w:rsidRDefault="00260B75">
                  <w:pPr>
                    <w:ind w:left="835"/>
                  </w:pPr>
                  <w:r>
                    <w:rPr>
                      <w:sz w:val="14"/>
                    </w:rPr>
                    <w:t>MINISTERIO DE EDUCACION</w:t>
                  </w:r>
                </w:p>
                <w:p w14:paraId="6F538464" w14:textId="77777777" w:rsidR="00053D93" w:rsidRDefault="00260B75">
                  <w:pPr>
                    <w:ind w:left="338"/>
                  </w:pPr>
                  <w:r>
                    <w:rPr>
                      <w:sz w:val="14"/>
                    </w:rPr>
                    <w:t>AUDITORIA FINANCIERA Y DE CUMPLIMIENTO</w:t>
                  </w:r>
                </w:p>
                <w:p w14:paraId="720AD63A" w14:textId="77777777" w:rsidR="00053D93" w:rsidRDefault="00260B75">
                  <w:r>
                    <w:rPr>
                      <w:sz w:val="14"/>
                    </w:rPr>
                    <w:t>PERIODO DEL 01 DE ENERO AL 31 OE DICIEMBRE DE 2024</w:t>
                  </w:r>
                </w:p>
              </w:tc>
            </w:tr>
          </w:tbl>
          <w:p w14:paraId="5EECA01B" w14:textId="77777777" w:rsidR="00053D93" w:rsidRDefault="00053D93"/>
        </w:tc>
      </w:tr>
    </w:tbl>
    <w:p w14:paraId="0EC8851B" w14:textId="77777777" w:rsidR="00053D93" w:rsidRDefault="00053D93">
      <w:pPr>
        <w:sectPr w:rsidR="00053D93">
          <w:headerReference w:type="even" r:id="rId1343"/>
          <w:headerReference w:type="default" r:id="rId1344"/>
          <w:footerReference w:type="even" r:id="rId1345"/>
          <w:footerReference w:type="default" r:id="rId1346"/>
          <w:headerReference w:type="first" r:id="rId1347"/>
          <w:footerReference w:type="first" r:id="rId1348"/>
          <w:pgSz w:w="12290" w:h="15883"/>
          <w:pgMar w:top="1340" w:right="1757" w:bottom="583" w:left="353" w:header="360" w:footer="720" w:gutter="0"/>
          <w:cols w:space="720"/>
          <w:titlePg/>
        </w:sectPr>
      </w:pPr>
    </w:p>
    <w:p w14:paraId="3DA716F4" w14:textId="77777777" w:rsidR="00053D93" w:rsidRDefault="00260B75">
      <w:pPr>
        <w:spacing w:after="30"/>
        <w:ind w:left="1289"/>
      </w:pPr>
      <w:r>
        <w:rPr>
          <w:noProof/>
        </w:rPr>
        <mc:AlternateContent>
          <mc:Choice Requires="wpg">
            <w:drawing>
              <wp:inline distT="0" distB="0" distL="0" distR="0" wp14:anchorId="3D3F1B59" wp14:editId="39090218">
                <wp:extent cx="5664708" cy="18288"/>
                <wp:effectExtent l="0" t="0" r="0" b="0"/>
                <wp:docPr id="2458726" name="Group 2458726"/>
                <wp:cNvGraphicFramePr/>
                <a:graphic xmlns:a="http://schemas.openxmlformats.org/drawingml/2006/main">
                  <a:graphicData uri="http://schemas.microsoft.com/office/word/2010/wordprocessingGroup">
                    <wpg:wgp>
                      <wpg:cNvGrpSpPr/>
                      <wpg:grpSpPr>
                        <a:xfrm>
                          <a:off x="0" y="0"/>
                          <a:ext cx="5664708" cy="18288"/>
                          <a:chOff x="0" y="0"/>
                          <a:chExt cx="5664708" cy="18288"/>
                        </a:xfrm>
                      </wpg:grpSpPr>
                      <wps:wsp>
                        <wps:cNvPr id="2458725" name="Shape 2458725"/>
                        <wps:cNvSpPr/>
                        <wps:spPr>
                          <a:xfrm>
                            <a:off x="0" y="0"/>
                            <a:ext cx="5664708" cy="18288"/>
                          </a:xfrm>
                          <a:custGeom>
                            <a:avLst/>
                            <a:gdLst/>
                            <a:ahLst/>
                            <a:cxnLst/>
                            <a:rect l="0" t="0" r="0" b="0"/>
                            <a:pathLst>
                              <a:path w="5664708" h="18288">
                                <a:moveTo>
                                  <a:pt x="0" y="9144"/>
                                </a:moveTo>
                                <a:lnTo>
                                  <a:pt x="5664708"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726" style="width:446.04pt;height:1.44pt;mso-position-horizontal-relative:char;mso-position-vertical-relative:line" coordsize="56647,182">
                <v:shape id="Shape 2458725" style="position:absolute;width:56647;height:182;left:0;top:0;" coordsize="5664708,18288" path="m0,9144l5664708,9144">
                  <v:stroke weight="1.44pt" endcap="flat" joinstyle="miter" miterlimit="1" on="true" color="#000000"/>
                  <v:fill on="false" color="#000000"/>
                </v:shape>
              </v:group>
            </w:pict>
          </mc:Fallback>
        </mc:AlternateContent>
      </w:r>
    </w:p>
    <w:p w14:paraId="4E2866AE" w14:textId="77777777" w:rsidR="00053D93" w:rsidRDefault="00260B75">
      <w:pPr>
        <w:spacing w:after="4" w:line="269" w:lineRule="auto"/>
        <w:ind w:left="60" w:right="14" w:hanging="3"/>
        <w:jc w:val="both"/>
      </w:pPr>
      <w:r>
        <w:rPr>
          <w:sz w:val="26"/>
        </w:rPr>
        <w:t>1 lineamientos técnicos y de seguridad establecidos, que requieren que los menores viajen acompañados por adultos debidamente autorizados mediante cartas de 1 poder firmadas por los padres.</w:t>
      </w:r>
    </w:p>
    <w:p w14:paraId="7EF80B75" w14:textId="77777777" w:rsidR="00053D93" w:rsidRDefault="00260B75">
      <w:pPr>
        <w:spacing w:after="202" w:line="269" w:lineRule="auto"/>
        <w:ind w:left="57" w:right="14" w:firstLine="1728"/>
        <w:jc w:val="both"/>
      </w:pPr>
      <w:r>
        <w:rPr>
          <w:sz w:val="26"/>
        </w:rPr>
        <w:t>El hecho de que la agencia ya hubiese conformado dichos grupos evidencia que, 1 con anterioridad a ese correo, habían recibido un listado de participantes por parte de otra persona ajena a la Sección de Alto Rendimiento Deportivo Escolar, quien se tomó la atribución de remitirlo sin contar con la debida autorización ni con el respaldo técnico correspondiente. Esta acción generó una serie de errores en la conformación de los grupos de viaje, ya que el listado enviado no había sido validado conforme a los criterios establecidos por las bases técnicas del evento.</w:t>
      </w:r>
    </w:p>
    <w:p w14:paraId="0CDC7713" w14:textId="77777777" w:rsidR="00053D93" w:rsidRDefault="00260B75">
      <w:pPr>
        <w:spacing w:after="53" w:line="269" w:lineRule="auto"/>
        <w:ind w:left="57" w:right="14" w:firstLine="1706"/>
        <w:jc w:val="both"/>
      </w:pPr>
      <w:r>
        <w:rPr>
          <w:sz w:val="26"/>
        </w:rPr>
        <w:t>Derivado de este envío me vi en la necesidad de comunicarme directamente con 1 el Director General en funciones de esta institución, para informarle lo que estaba ocurriendo, así como el riesgo que implicaba permitir que menores de edad con discapacidad viajaran solos por vía aérea, sin el acompañamiento de adultos 1 debidamente facultados. Ante esta situación, el Director General en funciones, me indicó verbalmente que procediera a enviar la nómina oficial a ta agencia de viajes.</w:t>
      </w:r>
    </w:p>
    <w:p w14:paraId="00D0D937" w14:textId="77777777" w:rsidR="00053D93" w:rsidRDefault="00260B75">
      <w:pPr>
        <w:spacing w:after="4" w:line="269" w:lineRule="auto"/>
        <w:ind w:left="60" w:right="14" w:hanging="3"/>
        <w:jc w:val="both"/>
      </w:pPr>
      <w:r>
        <w:rPr>
          <w:noProof/>
        </w:rPr>
        <w:drawing>
          <wp:anchor distT="0" distB="0" distL="114300" distR="114300" simplePos="0" relativeHeight="252160000" behindDoc="0" locked="0" layoutInCell="1" allowOverlap="0" wp14:anchorId="29A2279D" wp14:editId="4CD68428">
            <wp:simplePos x="0" y="0"/>
            <wp:positionH relativeFrom="page">
              <wp:posOffset>7082027</wp:posOffset>
            </wp:positionH>
            <wp:positionV relativeFrom="page">
              <wp:posOffset>809244</wp:posOffset>
            </wp:positionV>
            <wp:extent cx="27432" cy="9144"/>
            <wp:effectExtent l="0" t="0" r="0" b="0"/>
            <wp:wrapTopAndBottom/>
            <wp:docPr id="985989" name="Picture 985989"/>
            <wp:cNvGraphicFramePr/>
            <a:graphic xmlns:a="http://schemas.openxmlformats.org/drawingml/2006/main">
              <a:graphicData uri="http://schemas.openxmlformats.org/drawingml/2006/picture">
                <pic:pic xmlns:pic="http://schemas.openxmlformats.org/drawingml/2006/picture">
                  <pic:nvPicPr>
                    <pic:cNvPr id="985989" name="Picture 985989"/>
                    <pic:cNvPicPr/>
                  </pic:nvPicPr>
                  <pic:blipFill>
                    <a:blip r:embed="rId1349"/>
                    <a:stretch>
                      <a:fillRect/>
                    </a:stretch>
                  </pic:blipFill>
                  <pic:spPr>
                    <a:xfrm>
                      <a:off x="0" y="0"/>
                      <a:ext cx="27432" cy="9144"/>
                    </a:xfrm>
                    <a:prstGeom prst="rect">
                      <a:avLst/>
                    </a:prstGeom>
                  </pic:spPr>
                </pic:pic>
              </a:graphicData>
            </a:graphic>
          </wp:anchor>
        </w:drawing>
      </w:r>
      <w:r>
        <w:rPr>
          <w:noProof/>
        </w:rPr>
        <w:drawing>
          <wp:anchor distT="0" distB="0" distL="114300" distR="114300" simplePos="0" relativeHeight="252161024" behindDoc="0" locked="0" layoutInCell="1" allowOverlap="0" wp14:anchorId="5C98CF5E" wp14:editId="6D582502">
            <wp:simplePos x="0" y="0"/>
            <wp:positionH relativeFrom="page">
              <wp:posOffset>128016</wp:posOffset>
            </wp:positionH>
            <wp:positionV relativeFrom="page">
              <wp:posOffset>896112</wp:posOffset>
            </wp:positionV>
            <wp:extent cx="54864" cy="9144"/>
            <wp:effectExtent l="0" t="0" r="0" b="0"/>
            <wp:wrapTopAndBottom/>
            <wp:docPr id="985990" name="Picture 985990"/>
            <wp:cNvGraphicFramePr/>
            <a:graphic xmlns:a="http://schemas.openxmlformats.org/drawingml/2006/main">
              <a:graphicData uri="http://schemas.openxmlformats.org/drawingml/2006/picture">
                <pic:pic xmlns:pic="http://schemas.openxmlformats.org/drawingml/2006/picture">
                  <pic:nvPicPr>
                    <pic:cNvPr id="985990" name="Picture 985990"/>
                    <pic:cNvPicPr/>
                  </pic:nvPicPr>
                  <pic:blipFill>
                    <a:blip r:embed="rId1350"/>
                    <a:stretch>
                      <a:fillRect/>
                    </a:stretch>
                  </pic:blipFill>
                  <pic:spPr>
                    <a:xfrm>
                      <a:off x="0" y="0"/>
                      <a:ext cx="54864" cy="9144"/>
                    </a:xfrm>
                    <a:prstGeom prst="rect">
                      <a:avLst/>
                    </a:prstGeom>
                  </pic:spPr>
                </pic:pic>
              </a:graphicData>
            </a:graphic>
          </wp:anchor>
        </w:drawing>
      </w:r>
      <w:r>
        <w:rPr>
          <w:sz w:val="26"/>
        </w:rPr>
        <w:t>1 Cabe resaltar que dicho envío se realizó no con el motivo de sobrepasar funciones ni de asumir atribuciones indebidas, como se sugiere en el posible hallazgo de la Contraloría General de Cuentas, sino en cumplimiento de una instrucción verbal 1 superior y con el objetivo primordial de resguardar la seguridad e integridad de los menores de edad con discapacidad. Además, se reitera que, conforme al numeral 1 de las bases técnicas del evento de cotización, la única unidad facultada para 1 confirmar oficialmente las nóminas es la Sección de Ato Rendimiento Deportivo Escolar, por lo que esta acción se llevó a cabo de forma justificada ante una 1 situación de emergencia administrativa y de resguardo humano...</w:t>
      </w:r>
    </w:p>
    <w:p w14:paraId="6729C721" w14:textId="77777777" w:rsidR="00053D93" w:rsidRDefault="00260B75">
      <w:pPr>
        <w:spacing w:after="283" w:line="269" w:lineRule="auto"/>
        <w:ind w:left="1738" w:right="14" w:hanging="3"/>
        <w:jc w:val="both"/>
      </w:pPr>
      <w:r>
        <w:rPr>
          <w:sz w:val="26"/>
        </w:rPr>
        <w:t>2. Con el objetivo de establecer un procedimiento técnico claro para la emisión de boletos aéreos en el marco del evento deportivo, [a Sección de Alto Rendimiento Deportivo Escolar había elaborado un documento de especificaciones técnicas mínimas, debidamente firmado por el director de DIGEF de ese momento y por los</w:t>
      </w:r>
    </w:p>
    <w:p w14:paraId="48C92703" w14:textId="77777777" w:rsidR="00053D93" w:rsidRDefault="00260B75">
      <w:pPr>
        <w:spacing w:after="99" w:line="350" w:lineRule="auto"/>
        <w:ind w:left="1691" w:right="14" w:hanging="1634"/>
        <w:jc w:val="both"/>
      </w:pPr>
      <w:r>
        <w:rPr>
          <w:sz w:val="26"/>
        </w:rPr>
        <w:t>1</w:t>
      </w:r>
      <w:r>
        <w:rPr>
          <w:sz w:val="26"/>
        </w:rPr>
        <w:tab/>
        <w:t>jefes de área correspondientes. En dicho documento, se definieron dos numerales clave:</w:t>
      </w:r>
    </w:p>
    <w:p w14:paraId="67EA8437" w14:textId="77777777" w:rsidR="00053D93" w:rsidRDefault="00260B75">
      <w:pPr>
        <w:spacing w:after="3"/>
        <w:ind w:left="74" w:right="3485" w:hanging="10"/>
      </w:pPr>
      <w:r>
        <w:rPr>
          <w:sz w:val="70"/>
        </w:rPr>
        <w:t>1</w:t>
      </w:r>
    </w:p>
    <w:p w14:paraId="2ADF21ED" w14:textId="77777777" w:rsidR="00053D93" w:rsidRDefault="00260B75">
      <w:pPr>
        <w:spacing w:after="619" w:line="269" w:lineRule="auto"/>
        <w:ind w:left="57" w:right="14" w:firstLine="1627"/>
        <w:jc w:val="both"/>
      </w:pPr>
      <w:r>
        <w:rPr>
          <w:sz w:val="26"/>
        </w:rPr>
        <w:t>* El numeral 1 establece que los nombres de los participantes, para efectos del servicio de transporte, serían definidos únicamente cuando se contara con la ficha 1 de inscripción nominal definitiva, y dicha validación sería realizada por la Sección de Alto Rendimiento Deportivo Escolar.</w:t>
      </w:r>
    </w:p>
    <w:p w14:paraId="4D2542CF" w14:textId="77777777" w:rsidR="00053D93" w:rsidRDefault="00260B75">
      <w:pPr>
        <w:spacing w:after="248" w:line="269" w:lineRule="auto"/>
        <w:ind w:left="125" w:right="14" w:hanging="3"/>
        <w:jc w:val="both"/>
      </w:pPr>
      <w:r>
        <w:rPr>
          <w:sz w:val="26"/>
        </w:rPr>
        <w:t>1 * El numeral 14 establece que la agencia de viajes debía confirmar la cantidad definitiva de boletos con el Departamento de Compras y la Sección de Alto 1 Rendimiento, antes de realizar la compra, garantizando así la coherencia entre</w:t>
      </w:r>
    </w:p>
    <w:tbl>
      <w:tblPr>
        <w:tblStyle w:val="TableGrid"/>
        <w:tblpPr w:vertAnchor="text" w:tblpX="2592" w:tblpY="7"/>
        <w:tblOverlap w:val="never"/>
        <w:tblW w:w="7618" w:type="dxa"/>
        <w:tblInd w:w="0" w:type="dxa"/>
        <w:tblCellMar>
          <w:top w:w="55" w:type="dxa"/>
          <w:left w:w="1742" w:type="dxa"/>
          <w:right w:w="115" w:type="dxa"/>
        </w:tblCellMar>
        <w:tblLook w:val="04A0" w:firstRow="1" w:lastRow="0" w:firstColumn="1" w:lastColumn="0" w:noHBand="0" w:noVBand="1"/>
      </w:tblPr>
      <w:tblGrid>
        <w:gridCol w:w="7618"/>
      </w:tblGrid>
      <w:tr w:rsidR="00053D93" w14:paraId="50CAF284" w14:textId="77777777">
        <w:trPr>
          <w:trHeight w:val="32"/>
        </w:trPr>
        <w:tc>
          <w:tcPr>
            <w:tcW w:w="7618" w:type="dxa"/>
            <w:tcBorders>
              <w:top w:val="nil"/>
              <w:left w:val="single" w:sz="2" w:space="0" w:color="000000"/>
              <w:bottom w:val="single" w:sz="2" w:space="0" w:color="000000"/>
              <w:right w:val="nil"/>
            </w:tcBorders>
          </w:tcPr>
          <w:p w14:paraId="2980E481" w14:textId="77777777" w:rsidR="00053D93" w:rsidRDefault="00053D93"/>
        </w:tc>
      </w:tr>
      <w:tr w:rsidR="00053D93" w14:paraId="3CF237F3" w14:textId="77777777">
        <w:trPr>
          <w:trHeight w:val="602"/>
        </w:trPr>
        <w:tc>
          <w:tcPr>
            <w:tcW w:w="7618" w:type="dxa"/>
            <w:tcBorders>
              <w:top w:val="single" w:sz="2" w:space="0" w:color="000000"/>
              <w:left w:val="single" w:sz="2" w:space="0" w:color="000000"/>
              <w:bottom w:val="nil"/>
              <w:right w:val="nil"/>
            </w:tcBorders>
          </w:tcPr>
          <w:p w14:paraId="14C6A100" w14:textId="77777777" w:rsidR="00053D93" w:rsidRDefault="00260B75">
            <w:pPr>
              <w:ind w:left="835"/>
            </w:pPr>
            <w:r>
              <w:rPr>
                <w:sz w:val="14"/>
              </w:rPr>
              <w:t>MINISTERIO DE EDUCACION</w:t>
            </w:r>
          </w:p>
          <w:p w14:paraId="231B37D2" w14:textId="77777777" w:rsidR="00053D93" w:rsidRDefault="00260B75">
            <w:pPr>
              <w:ind w:left="338"/>
            </w:pPr>
            <w:r>
              <w:rPr>
                <w:sz w:val="14"/>
              </w:rPr>
              <w:t>AUDITORIA FINANCIERA Y DE CUMPLIMIENTO</w:t>
            </w:r>
          </w:p>
          <w:p w14:paraId="66393D51" w14:textId="77777777" w:rsidR="00053D93" w:rsidRDefault="00260B75">
            <w:pPr>
              <w:tabs>
                <w:tab w:val="center" w:pos="2027"/>
              </w:tabs>
            </w:pPr>
            <w:r>
              <w:rPr>
                <w:sz w:val="14"/>
              </w:rPr>
              <w:t xml:space="preserve">PERIODO </w:t>
            </w:r>
            <w:r>
              <w:rPr>
                <w:sz w:val="14"/>
              </w:rPr>
              <w:tab/>
              <w:t>01 DE ENERO AL 31 DE DICIEMBRE DE 2024</w:t>
            </w:r>
          </w:p>
        </w:tc>
      </w:tr>
    </w:tbl>
    <w:p w14:paraId="335931DB" w14:textId="77777777" w:rsidR="00053D93" w:rsidRDefault="00260B75">
      <w:pPr>
        <w:pStyle w:val="Ttulo3"/>
        <w:spacing w:after="175" w:line="259" w:lineRule="auto"/>
        <w:ind w:left="146" w:right="-7646"/>
        <w:jc w:val="left"/>
      </w:pPr>
      <w:r>
        <w:rPr>
          <w:sz w:val="32"/>
        </w:rPr>
        <w:t xml:space="preserve">, III </w:t>
      </w:r>
      <w:r>
        <w:rPr>
          <w:noProof/>
        </w:rPr>
        <w:drawing>
          <wp:inline distT="0" distB="0" distL="0" distR="0" wp14:anchorId="6990B217" wp14:editId="6F0CF9A3">
            <wp:extent cx="868680" cy="406909"/>
            <wp:effectExtent l="0" t="0" r="0" b="0"/>
            <wp:docPr id="986041" name="Picture 986041"/>
            <wp:cNvGraphicFramePr/>
            <a:graphic xmlns:a="http://schemas.openxmlformats.org/drawingml/2006/main">
              <a:graphicData uri="http://schemas.openxmlformats.org/drawingml/2006/picture">
                <pic:pic xmlns:pic="http://schemas.openxmlformats.org/drawingml/2006/picture">
                  <pic:nvPicPr>
                    <pic:cNvPr id="986041" name="Picture 986041"/>
                    <pic:cNvPicPr/>
                  </pic:nvPicPr>
                  <pic:blipFill>
                    <a:blip r:embed="rId1351"/>
                    <a:stretch>
                      <a:fillRect/>
                    </a:stretch>
                  </pic:blipFill>
                  <pic:spPr>
                    <a:xfrm>
                      <a:off x="0" y="0"/>
                      <a:ext cx="868680" cy="406909"/>
                    </a:xfrm>
                    <a:prstGeom prst="rect">
                      <a:avLst/>
                    </a:prstGeom>
                  </pic:spPr>
                </pic:pic>
              </a:graphicData>
            </a:graphic>
          </wp:inline>
        </w:drawing>
      </w:r>
      <w:r>
        <w:rPr>
          <w:sz w:val="32"/>
        </w:rPr>
        <w:t>II</w:t>
      </w:r>
    </w:p>
    <w:p w14:paraId="7FDA6A75" w14:textId="77777777" w:rsidR="00053D93" w:rsidRDefault="00260B75">
      <w:pPr>
        <w:spacing w:after="24"/>
        <w:ind w:left="1361" w:right="-22"/>
      </w:pPr>
      <w:r>
        <w:rPr>
          <w:noProof/>
        </w:rPr>
        <mc:AlternateContent>
          <mc:Choice Requires="wpg">
            <w:drawing>
              <wp:inline distT="0" distB="0" distL="0" distR="0" wp14:anchorId="5FD1E7E3" wp14:editId="12B9CB1B">
                <wp:extent cx="5641849" cy="9144"/>
                <wp:effectExtent l="0" t="0" r="0" b="0"/>
                <wp:docPr id="2458730" name="Group 2458730"/>
                <wp:cNvGraphicFramePr/>
                <a:graphic xmlns:a="http://schemas.openxmlformats.org/drawingml/2006/main">
                  <a:graphicData uri="http://schemas.microsoft.com/office/word/2010/wordprocessingGroup">
                    <wpg:wgp>
                      <wpg:cNvGrpSpPr/>
                      <wpg:grpSpPr>
                        <a:xfrm>
                          <a:off x="0" y="0"/>
                          <a:ext cx="5641849" cy="9144"/>
                          <a:chOff x="0" y="0"/>
                          <a:chExt cx="5641849" cy="9144"/>
                        </a:xfrm>
                      </wpg:grpSpPr>
                      <wps:wsp>
                        <wps:cNvPr id="2458729" name="Shape 2458729"/>
                        <wps:cNvSpPr/>
                        <wps:spPr>
                          <a:xfrm>
                            <a:off x="0" y="0"/>
                            <a:ext cx="5641849" cy="9144"/>
                          </a:xfrm>
                          <a:custGeom>
                            <a:avLst/>
                            <a:gdLst/>
                            <a:ahLst/>
                            <a:cxnLst/>
                            <a:rect l="0" t="0" r="0" b="0"/>
                            <a:pathLst>
                              <a:path w="5641849" h="9144">
                                <a:moveTo>
                                  <a:pt x="0" y="4572"/>
                                </a:moveTo>
                                <a:lnTo>
                                  <a:pt x="5641849"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730" style="width:444.24pt;height:0.720001pt;mso-position-horizontal-relative:char;mso-position-vertical-relative:line" coordsize="56418,91">
                <v:shape id="Shape 2458729" style="position:absolute;width:56418;height:91;left:0;top:0;" coordsize="5641849,9144" path="m0,4572l5641849,4572">
                  <v:stroke weight="0.720001pt" endcap="flat" joinstyle="miter" miterlimit="1" on="true" color="#000000"/>
                  <v:fill on="false" color="#000000"/>
                </v:shape>
              </v:group>
            </w:pict>
          </mc:Fallback>
        </mc:AlternateContent>
      </w:r>
    </w:p>
    <w:p w14:paraId="79330AC7" w14:textId="77777777" w:rsidR="00053D93" w:rsidRDefault="00260B75">
      <w:pPr>
        <w:tabs>
          <w:tab w:val="center" w:pos="4576"/>
        </w:tabs>
        <w:spacing w:after="87" w:line="265" w:lineRule="auto"/>
        <w:ind w:left="-1"/>
      </w:pPr>
      <w:r>
        <w:rPr>
          <w:sz w:val="24"/>
        </w:rPr>
        <w:t>1</w:t>
      </w:r>
      <w:r>
        <w:rPr>
          <w:sz w:val="24"/>
        </w:rPr>
        <w:tab/>
        <w:t>logística, disponibilidad y documentación respaldatoria.</w:t>
      </w:r>
    </w:p>
    <w:p w14:paraId="3631734C" w14:textId="77777777" w:rsidR="00053D93" w:rsidRDefault="00260B75">
      <w:pPr>
        <w:tabs>
          <w:tab w:val="right" w:pos="10238"/>
        </w:tabs>
        <w:spacing w:after="4" w:line="269" w:lineRule="auto"/>
      </w:pPr>
      <w:r>
        <w:rPr>
          <w:sz w:val="26"/>
        </w:rPr>
        <w:t>1</w:t>
      </w:r>
      <w:r>
        <w:rPr>
          <w:sz w:val="26"/>
        </w:rPr>
        <w:tab/>
        <w:t>No obstante, durante la revisión del proceso de contratación</w:t>
      </w:r>
    </w:p>
    <w:p w14:paraId="2220FFF4" w14:textId="77777777" w:rsidR="00053D93" w:rsidRDefault="00260B75">
      <w:pPr>
        <w:spacing w:after="290" w:line="269" w:lineRule="auto"/>
        <w:ind w:left="1781" w:right="14" w:hanging="3"/>
        <w:jc w:val="both"/>
      </w:pPr>
      <w:r>
        <w:rPr>
          <w:sz w:val="26"/>
        </w:rPr>
        <w:t>C-1033-2024-MINEDUC, la Dirección de Compras del Ministerio de Educación (DIDECO) incorporó una nueva versión del documento de especificaciones técnicas. En esta versión, se conservó el numeral 1 , manteniendo tácitamente el rol de la Sección de Alto Rendimiento como responsable de definir las nóminas. Sin embargo, el numeral 14 fue eliminado, y en su lugar, se introdujo un nuevo numeral 12, en el que se hace referencia a que el contratista debe entregar los boletos a la Comisión Receptora y Liquidadora, pero sin precisar quién es el responsable de confirmar la nómina definitiva.</w:t>
      </w:r>
    </w:p>
    <w:p w14:paraId="67080935" w14:textId="77777777" w:rsidR="00053D93" w:rsidRDefault="00260B75">
      <w:pPr>
        <w:spacing w:after="307" w:line="269" w:lineRule="auto"/>
        <w:ind w:left="57" w:right="14" w:firstLine="1714"/>
        <w:jc w:val="both"/>
      </w:pPr>
      <w:r>
        <w:rPr>
          <w:sz w:val="26"/>
        </w:rPr>
        <w:t>Esta omisión resulta significativa, ya que la palabra "confirmación final", incluida en 1 el nuevo numeral 12, es exactamente la misma utilizada originalmente en el numeral 14 de las especificaciones técnicas de la Sección de Alto Rendimiento, donde sí se indicaba con claridad que la confirmación debía ser coordinada con dicha sección. Sin embargo, en esta nueva versión no se menciona expresamente a la unidad, lo cual genera una ambigüedad que ha podido inducir a error, al hacer 1 parecer que la Sección de Alto Rendimiento asumió una función que ya no le correspondía.</w:t>
      </w:r>
    </w:p>
    <w:p w14:paraId="3A5620BA" w14:textId="77777777" w:rsidR="00053D93" w:rsidRDefault="00260B75">
      <w:pPr>
        <w:spacing w:after="82" w:line="269" w:lineRule="auto"/>
        <w:ind w:left="57" w:right="14" w:firstLine="1678"/>
        <w:jc w:val="both"/>
      </w:pPr>
      <w:r>
        <w:rPr>
          <w:noProof/>
        </w:rPr>
        <w:drawing>
          <wp:anchor distT="0" distB="0" distL="114300" distR="114300" simplePos="0" relativeHeight="252162048" behindDoc="0" locked="0" layoutInCell="1" allowOverlap="0" wp14:anchorId="7CB183E7" wp14:editId="411E1E7E">
            <wp:simplePos x="0" y="0"/>
            <wp:positionH relativeFrom="page">
              <wp:posOffset>155448</wp:posOffset>
            </wp:positionH>
            <wp:positionV relativeFrom="page">
              <wp:posOffset>859536</wp:posOffset>
            </wp:positionV>
            <wp:extent cx="22860" cy="4572"/>
            <wp:effectExtent l="0" t="0" r="0" b="0"/>
            <wp:wrapTopAndBottom/>
            <wp:docPr id="989753" name="Picture 989753"/>
            <wp:cNvGraphicFramePr/>
            <a:graphic xmlns:a="http://schemas.openxmlformats.org/drawingml/2006/main">
              <a:graphicData uri="http://schemas.openxmlformats.org/drawingml/2006/picture">
                <pic:pic xmlns:pic="http://schemas.openxmlformats.org/drawingml/2006/picture">
                  <pic:nvPicPr>
                    <pic:cNvPr id="989753" name="Picture 989753"/>
                    <pic:cNvPicPr/>
                  </pic:nvPicPr>
                  <pic:blipFill>
                    <a:blip r:embed="rId808"/>
                    <a:stretch>
                      <a:fillRect/>
                    </a:stretch>
                  </pic:blipFill>
                  <pic:spPr>
                    <a:xfrm>
                      <a:off x="0" y="0"/>
                      <a:ext cx="22860" cy="4572"/>
                    </a:xfrm>
                    <a:prstGeom prst="rect">
                      <a:avLst/>
                    </a:prstGeom>
                  </pic:spPr>
                </pic:pic>
              </a:graphicData>
            </a:graphic>
          </wp:anchor>
        </w:drawing>
      </w:r>
      <w:r>
        <w:rPr>
          <w:sz w:val="26"/>
        </w:rPr>
        <w:t>Asimismo, en el documento denominado "Disposiciones Especiales", elaborado también por DIDECO, se establece en su numeral 23 que la Dirección General de 1 Educación Física confirmará por escrito con ta agencia de viajes —a través de la Comisión Receptora y Liquidadora— la cantidad definitiva de boletos, considerando posibles reducciones por causas de fuerza mayor. Sin embargo, 1 tampoco en este documento se aclara quién es el responsable de proporcionar o validar la nómina, lo cual refuerza la ausencia de una línea de responsabilidad clara en los documentos finales del proceso.</w:t>
      </w:r>
    </w:p>
    <w:p w14:paraId="15325DAF" w14:textId="77777777" w:rsidR="00053D93" w:rsidRDefault="00260B75">
      <w:pPr>
        <w:spacing w:after="3"/>
        <w:ind w:left="74" w:right="3485" w:hanging="10"/>
      </w:pPr>
      <w:r>
        <w:rPr>
          <w:sz w:val="70"/>
        </w:rPr>
        <w:t>1</w:t>
      </w:r>
    </w:p>
    <w:p w14:paraId="4840BB72" w14:textId="77777777" w:rsidR="00053D93" w:rsidRDefault="00260B75">
      <w:pPr>
        <w:spacing w:after="4" w:line="269" w:lineRule="auto"/>
        <w:ind w:left="57" w:right="14" w:firstLine="1670"/>
        <w:jc w:val="both"/>
      </w:pPr>
      <w:r>
        <w:rPr>
          <w:sz w:val="26"/>
        </w:rPr>
        <w:t>Pese a esta omisión, es importante subrayar que la Sección de Alto Rendimiento 1 Deportivo Escolar es la única unidad mencionada de forma explícita en las tres versiones de especificaciones técnicas como responsable de definir los nombres de los participantes. Por tanto, cualquier actuación realizada por esta sección en 1 relación con el envío de nóminas respondía al cumplimiento de los procedimientos técnicos inicialmente establecidos y con la instrucción verbal de la autoridad de la institución, y no a una usurpación de funciones, como sugiere el posible hallazgo.</w:t>
      </w:r>
    </w:p>
    <w:p w14:paraId="7663D914" w14:textId="77777777" w:rsidR="00053D93" w:rsidRDefault="00260B75">
      <w:pPr>
        <w:spacing w:after="3" w:line="265" w:lineRule="auto"/>
        <w:ind w:left="60" w:right="65" w:hanging="10"/>
      </w:pPr>
      <w:r>
        <w:rPr>
          <w:sz w:val="66"/>
        </w:rPr>
        <w:t>1</w:t>
      </w:r>
    </w:p>
    <w:p w14:paraId="6F8BDE35" w14:textId="77777777" w:rsidR="00053D93" w:rsidRDefault="00260B75">
      <w:pPr>
        <w:spacing w:after="4" w:line="269" w:lineRule="auto"/>
        <w:ind w:left="57" w:right="14" w:firstLine="1642"/>
        <w:jc w:val="both"/>
      </w:pPr>
      <w:r>
        <w:rPr>
          <w:sz w:val="26"/>
        </w:rPr>
        <w:t>Cabe destacar que el único facultado por las bases es Alto Rendimiento Escolar 1 en su numeral 1. "El número de boletos aéreos que se adjudicará es de hasta ciento ochenta y ocho (188) boletos aéreos. La cantidad y los nombres de los participantes para los servicios de transporte aéreo serán definidos cuando se tenga concretada la ficha de inscripción de participación nominal por la Sección de</w:t>
      </w:r>
    </w:p>
    <w:p w14:paraId="63D88087" w14:textId="77777777" w:rsidR="00053D93" w:rsidRDefault="00260B75">
      <w:pPr>
        <w:spacing w:after="0"/>
        <w:ind w:left="756"/>
      </w:pPr>
      <w:r>
        <w:rPr>
          <w:noProof/>
        </w:rPr>
        <w:drawing>
          <wp:inline distT="0" distB="0" distL="0" distR="0" wp14:anchorId="3B849F11" wp14:editId="69D71A1A">
            <wp:extent cx="5980176" cy="411480"/>
            <wp:effectExtent l="0" t="0" r="0" b="0"/>
            <wp:docPr id="2458727" name="Picture 2458727"/>
            <wp:cNvGraphicFramePr/>
            <a:graphic xmlns:a="http://schemas.openxmlformats.org/drawingml/2006/main">
              <a:graphicData uri="http://schemas.openxmlformats.org/drawingml/2006/picture">
                <pic:pic xmlns:pic="http://schemas.openxmlformats.org/drawingml/2006/picture">
                  <pic:nvPicPr>
                    <pic:cNvPr id="2458727" name="Picture 2458727"/>
                    <pic:cNvPicPr/>
                  </pic:nvPicPr>
                  <pic:blipFill>
                    <a:blip r:embed="rId1352"/>
                    <a:stretch>
                      <a:fillRect/>
                    </a:stretch>
                  </pic:blipFill>
                  <pic:spPr>
                    <a:xfrm>
                      <a:off x="0" y="0"/>
                      <a:ext cx="5980176" cy="411480"/>
                    </a:xfrm>
                    <a:prstGeom prst="rect">
                      <a:avLst/>
                    </a:prstGeom>
                  </pic:spPr>
                </pic:pic>
              </a:graphicData>
            </a:graphic>
          </wp:inline>
        </w:drawing>
      </w:r>
    </w:p>
    <w:p w14:paraId="03C79CD4" w14:textId="77777777" w:rsidR="00053D93" w:rsidRDefault="00260B75">
      <w:pPr>
        <w:spacing w:after="38"/>
        <w:ind w:left="1166" w:right="-180"/>
      </w:pPr>
      <w:r>
        <w:rPr>
          <w:noProof/>
        </w:rPr>
        <w:drawing>
          <wp:inline distT="0" distB="0" distL="0" distR="0" wp14:anchorId="7C1149DC" wp14:editId="3E4B64C6">
            <wp:extent cx="5865876" cy="45720"/>
            <wp:effectExtent l="0" t="0" r="0" b="0"/>
            <wp:docPr id="2458731" name="Picture 2458731"/>
            <wp:cNvGraphicFramePr/>
            <a:graphic xmlns:a="http://schemas.openxmlformats.org/drawingml/2006/main">
              <a:graphicData uri="http://schemas.openxmlformats.org/drawingml/2006/picture">
                <pic:pic xmlns:pic="http://schemas.openxmlformats.org/drawingml/2006/picture">
                  <pic:nvPicPr>
                    <pic:cNvPr id="2458731" name="Picture 2458731"/>
                    <pic:cNvPicPr/>
                  </pic:nvPicPr>
                  <pic:blipFill>
                    <a:blip r:embed="rId1353"/>
                    <a:stretch>
                      <a:fillRect/>
                    </a:stretch>
                  </pic:blipFill>
                  <pic:spPr>
                    <a:xfrm>
                      <a:off x="0" y="0"/>
                      <a:ext cx="5865876" cy="45720"/>
                    </a:xfrm>
                    <a:prstGeom prst="rect">
                      <a:avLst/>
                    </a:prstGeom>
                  </pic:spPr>
                </pic:pic>
              </a:graphicData>
            </a:graphic>
          </wp:inline>
        </w:drawing>
      </w:r>
    </w:p>
    <w:p w14:paraId="1BD82611" w14:textId="77777777" w:rsidR="00053D93" w:rsidRDefault="00260B75">
      <w:pPr>
        <w:tabs>
          <w:tab w:val="right" w:pos="10238"/>
        </w:tabs>
        <w:spacing w:after="4" w:line="269" w:lineRule="auto"/>
      </w:pPr>
      <w:r>
        <w:rPr>
          <w:sz w:val="26"/>
        </w:rPr>
        <w:t>1</w:t>
      </w:r>
      <w:r>
        <w:rPr>
          <w:sz w:val="26"/>
        </w:rPr>
        <w:tab/>
        <w:t>Alto Rendimiento Deportivo Escolar del Departamento de Desarrollo Deportivo</w:t>
      </w:r>
    </w:p>
    <w:p w14:paraId="4E3924BB" w14:textId="77777777" w:rsidR="00053D93" w:rsidRDefault="00260B75">
      <w:pPr>
        <w:spacing w:after="4" w:line="269" w:lineRule="auto"/>
        <w:ind w:left="57" w:right="14" w:firstLine="1721"/>
        <w:jc w:val="both"/>
      </w:pPr>
      <w:r>
        <w:rPr>
          <w:sz w:val="26"/>
        </w:rPr>
        <w:t>Escolar de la Dirección General de Educación Física -DIGEF-, cuando se tengan 1 las nóminas por parte del Departamento de Torneos Deportivos Escolares, de acuerdo con la cantidad convocada en el Reglamento y Bases de Competencia del CODICADER, las bases técnicas específicas de cada disciplina deportiva y la 1 logística de la DIGEF para el evento."... Criterio Cabe mencionar que, en la literal b) de funciones del Manual de Funciones y Procedimientos del Jefe de Alto Rendimiento Deportivo Escolar, establece en otros: "Planificar, organizar y dirigir 1 las diferentes actividades a realizar en el área de Alto Rendimiento Deportivo</w:t>
      </w:r>
    </w:p>
    <w:p w14:paraId="0142E983" w14:textId="77777777" w:rsidR="00053D93" w:rsidRDefault="00260B75">
      <w:pPr>
        <w:spacing w:after="199" w:line="266" w:lineRule="auto"/>
        <w:ind w:left="1796" w:hanging="10"/>
      </w:pPr>
      <w:r>
        <w:rPr>
          <w:sz w:val="28"/>
        </w:rPr>
        <w:t>Escolar... '</w:t>
      </w:r>
      <w:r>
        <w:rPr>
          <w:noProof/>
        </w:rPr>
        <w:drawing>
          <wp:inline distT="0" distB="0" distL="0" distR="0" wp14:anchorId="6D65D07A" wp14:editId="75FBBC46">
            <wp:extent cx="9144" cy="36576"/>
            <wp:effectExtent l="0" t="0" r="0" b="0"/>
            <wp:docPr id="993528" name="Picture 993528"/>
            <wp:cNvGraphicFramePr/>
            <a:graphic xmlns:a="http://schemas.openxmlformats.org/drawingml/2006/main">
              <a:graphicData uri="http://schemas.openxmlformats.org/drawingml/2006/picture">
                <pic:pic xmlns:pic="http://schemas.openxmlformats.org/drawingml/2006/picture">
                  <pic:nvPicPr>
                    <pic:cNvPr id="993528" name="Picture 993528"/>
                    <pic:cNvPicPr/>
                  </pic:nvPicPr>
                  <pic:blipFill>
                    <a:blip r:embed="rId1354"/>
                    <a:stretch>
                      <a:fillRect/>
                    </a:stretch>
                  </pic:blipFill>
                  <pic:spPr>
                    <a:xfrm>
                      <a:off x="0" y="0"/>
                      <a:ext cx="9144" cy="36576"/>
                    </a:xfrm>
                    <a:prstGeom prst="rect">
                      <a:avLst/>
                    </a:prstGeom>
                  </pic:spPr>
                </pic:pic>
              </a:graphicData>
            </a:graphic>
          </wp:inline>
        </w:drawing>
      </w:r>
    </w:p>
    <w:p w14:paraId="7F04F651" w14:textId="77777777" w:rsidR="00053D93" w:rsidRDefault="00260B75">
      <w:pPr>
        <w:spacing w:after="3" w:line="265" w:lineRule="auto"/>
        <w:ind w:left="60" w:right="65" w:hanging="10"/>
      </w:pPr>
      <w:r>
        <w:rPr>
          <w:noProof/>
        </w:rPr>
        <w:drawing>
          <wp:inline distT="0" distB="0" distL="0" distR="0" wp14:anchorId="5572AF42" wp14:editId="2BBA4B1F">
            <wp:extent cx="4572" cy="4572"/>
            <wp:effectExtent l="0" t="0" r="0" b="0"/>
            <wp:docPr id="993529" name="Picture 993529"/>
            <wp:cNvGraphicFramePr/>
            <a:graphic xmlns:a="http://schemas.openxmlformats.org/drawingml/2006/main">
              <a:graphicData uri="http://schemas.openxmlformats.org/drawingml/2006/picture">
                <pic:pic xmlns:pic="http://schemas.openxmlformats.org/drawingml/2006/picture">
                  <pic:nvPicPr>
                    <pic:cNvPr id="993529" name="Picture 993529"/>
                    <pic:cNvPicPr/>
                  </pic:nvPicPr>
                  <pic:blipFill>
                    <a:blip r:embed="rId845"/>
                    <a:stretch>
                      <a:fillRect/>
                    </a:stretch>
                  </pic:blipFill>
                  <pic:spPr>
                    <a:xfrm>
                      <a:off x="0" y="0"/>
                      <a:ext cx="4572" cy="4572"/>
                    </a:xfrm>
                    <a:prstGeom prst="rect">
                      <a:avLst/>
                    </a:prstGeom>
                  </pic:spPr>
                </pic:pic>
              </a:graphicData>
            </a:graphic>
          </wp:inline>
        </w:drawing>
      </w:r>
      <w:r>
        <w:rPr>
          <w:sz w:val="66"/>
        </w:rPr>
        <w:t>1</w:t>
      </w:r>
    </w:p>
    <w:p w14:paraId="7C6A7650" w14:textId="77777777" w:rsidR="00053D93" w:rsidRDefault="00260B75">
      <w:pPr>
        <w:spacing w:after="4" w:line="269" w:lineRule="auto"/>
        <w:ind w:left="1774" w:right="14" w:hanging="3"/>
        <w:jc w:val="both"/>
      </w:pPr>
      <w:r>
        <w:rPr>
          <w:sz w:val="26"/>
        </w:rPr>
        <w:t>Es decir que, dentro de mis atribuciones y funciones, no me corresponde ninguna de las leyes citadas en el Criterio del posible Hallazgo... ya que como, Jefe de Alto Rendimiento Deportivo Escolar, al haber enviado la nómina no firmo ni autorizo ningún gasto asignado al presupuesto a la Dirección General de Educación Física</w:t>
      </w:r>
    </w:p>
    <w:p w14:paraId="1B49CE3B" w14:textId="77777777" w:rsidR="00053D93" w:rsidRDefault="00260B75">
      <w:pPr>
        <w:spacing w:after="3" w:line="269" w:lineRule="auto"/>
        <w:ind w:left="67" w:right="14" w:hanging="10"/>
        <w:jc w:val="right"/>
      </w:pPr>
      <w:r>
        <w:rPr>
          <w:sz w:val="26"/>
        </w:rPr>
        <w:t>-DIGEF-; las funciones de la Jefatura en mención se encuentran enmarcadas en el</w:t>
      </w:r>
    </w:p>
    <w:p w14:paraId="797967F3" w14:textId="77777777" w:rsidR="00053D93" w:rsidRDefault="00260B75">
      <w:pPr>
        <w:spacing w:after="36"/>
        <w:ind w:left="58"/>
      </w:pPr>
      <w:r>
        <w:rPr>
          <w:noProof/>
        </w:rPr>
        <w:drawing>
          <wp:inline distT="0" distB="0" distL="0" distR="0" wp14:anchorId="24E0BD6E" wp14:editId="5CCFDE48">
            <wp:extent cx="13716" cy="9144"/>
            <wp:effectExtent l="0" t="0" r="0" b="0"/>
            <wp:docPr id="993530" name="Picture 993530"/>
            <wp:cNvGraphicFramePr/>
            <a:graphic xmlns:a="http://schemas.openxmlformats.org/drawingml/2006/main">
              <a:graphicData uri="http://schemas.openxmlformats.org/drawingml/2006/picture">
                <pic:pic xmlns:pic="http://schemas.openxmlformats.org/drawingml/2006/picture">
                  <pic:nvPicPr>
                    <pic:cNvPr id="993530" name="Picture 993530"/>
                    <pic:cNvPicPr/>
                  </pic:nvPicPr>
                  <pic:blipFill>
                    <a:blip r:embed="rId49"/>
                    <a:stretch>
                      <a:fillRect/>
                    </a:stretch>
                  </pic:blipFill>
                  <pic:spPr>
                    <a:xfrm>
                      <a:off x="0" y="0"/>
                      <a:ext cx="13716" cy="9144"/>
                    </a:xfrm>
                    <a:prstGeom prst="rect">
                      <a:avLst/>
                    </a:prstGeom>
                  </pic:spPr>
                </pic:pic>
              </a:graphicData>
            </a:graphic>
          </wp:inline>
        </w:drawing>
      </w:r>
    </w:p>
    <w:p w14:paraId="4195D029" w14:textId="77777777" w:rsidR="00053D93" w:rsidRDefault="00260B75">
      <w:pPr>
        <w:spacing w:after="65" w:line="269" w:lineRule="auto"/>
        <w:ind w:left="60" w:right="14" w:hanging="3"/>
        <w:jc w:val="both"/>
      </w:pPr>
      <w:r>
        <w:rPr>
          <w:sz w:val="26"/>
        </w:rPr>
        <w:t xml:space="preserve">1 Manual de Funciones... SOLICITUD Con base en los antecedentes y fundamentos expuestos, puede afirmarse que el actuar de mi parte, en calidad de Jefe de la </w:t>
      </w:r>
      <w:r>
        <w:rPr>
          <w:noProof/>
        </w:rPr>
        <w:drawing>
          <wp:inline distT="0" distB="0" distL="0" distR="0" wp14:anchorId="2D8F4846" wp14:editId="6CD47048">
            <wp:extent cx="4572" cy="4572"/>
            <wp:effectExtent l="0" t="0" r="0" b="0"/>
            <wp:docPr id="993531" name="Picture 993531"/>
            <wp:cNvGraphicFramePr/>
            <a:graphic xmlns:a="http://schemas.openxmlformats.org/drawingml/2006/main">
              <a:graphicData uri="http://schemas.openxmlformats.org/drawingml/2006/picture">
                <pic:pic xmlns:pic="http://schemas.openxmlformats.org/drawingml/2006/picture">
                  <pic:nvPicPr>
                    <pic:cNvPr id="993531" name="Picture 993531"/>
                    <pic:cNvPicPr/>
                  </pic:nvPicPr>
                  <pic:blipFill>
                    <a:blip r:embed="rId845"/>
                    <a:stretch>
                      <a:fillRect/>
                    </a:stretch>
                  </pic:blipFill>
                  <pic:spPr>
                    <a:xfrm>
                      <a:off x="0" y="0"/>
                      <a:ext cx="4572" cy="4572"/>
                    </a:xfrm>
                    <a:prstGeom prst="rect">
                      <a:avLst/>
                    </a:prstGeom>
                  </pic:spPr>
                </pic:pic>
              </a:graphicData>
            </a:graphic>
          </wp:inline>
        </w:drawing>
      </w:r>
      <w:r>
        <w:rPr>
          <w:sz w:val="26"/>
        </w:rPr>
        <w:t>1 Sección de Alto Rendimiento Deportivo Escolar, se ha desarrollado dentro del marco de las competencias y procedimientos establecidos, sin contravenir en ningún momento disposición legal alguna que justifique un hallazgo...'</w:t>
      </w:r>
      <w:r>
        <w:rPr>
          <w:noProof/>
        </w:rPr>
        <w:drawing>
          <wp:inline distT="0" distB="0" distL="0" distR="0" wp14:anchorId="2CE4659B" wp14:editId="511AB111">
            <wp:extent cx="13716" cy="41148"/>
            <wp:effectExtent l="0" t="0" r="0" b="0"/>
            <wp:docPr id="993532" name="Picture 993532"/>
            <wp:cNvGraphicFramePr/>
            <a:graphic xmlns:a="http://schemas.openxmlformats.org/drawingml/2006/main">
              <a:graphicData uri="http://schemas.openxmlformats.org/drawingml/2006/picture">
                <pic:pic xmlns:pic="http://schemas.openxmlformats.org/drawingml/2006/picture">
                  <pic:nvPicPr>
                    <pic:cNvPr id="993532" name="Picture 993532"/>
                    <pic:cNvPicPr/>
                  </pic:nvPicPr>
                  <pic:blipFill>
                    <a:blip r:embed="rId1355"/>
                    <a:stretch>
                      <a:fillRect/>
                    </a:stretch>
                  </pic:blipFill>
                  <pic:spPr>
                    <a:xfrm>
                      <a:off x="0" y="0"/>
                      <a:ext cx="13716" cy="41148"/>
                    </a:xfrm>
                    <a:prstGeom prst="rect">
                      <a:avLst/>
                    </a:prstGeom>
                  </pic:spPr>
                </pic:pic>
              </a:graphicData>
            </a:graphic>
          </wp:inline>
        </w:drawing>
      </w:r>
    </w:p>
    <w:p w14:paraId="2B5F8A8A" w14:textId="77777777" w:rsidR="00053D93" w:rsidRDefault="00260B75">
      <w:pPr>
        <w:spacing w:after="3"/>
        <w:ind w:left="24" w:hanging="10"/>
      </w:pPr>
      <w:r>
        <w:rPr>
          <w:noProof/>
        </w:rPr>
        <w:drawing>
          <wp:anchor distT="0" distB="0" distL="114300" distR="114300" simplePos="0" relativeHeight="252163072" behindDoc="0" locked="0" layoutInCell="1" allowOverlap="0" wp14:anchorId="0807B724" wp14:editId="2B098B03">
            <wp:simplePos x="0" y="0"/>
            <wp:positionH relativeFrom="page">
              <wp:posOffset>173736</wp:posOffset>
            </wp:positionH>
            <wp:positionV relativeFrom="page">
              <wp:posOffset>864108</wp:posOffset>
            </wp:positionV>
            <wp:extent cx="54864" cy="9144"/>
            <wp:effectExtent l="0" t="0" r="0" b="0"/>
            <wp:wrapTopAndBottom/>
            <wp:docPr id="993527" name="Picture 993527"/>
            <wp:cNvGraphicFramePr/>
            <a:graphic xmlns:a="http://schemas.openxmlformats.org/drawingml/2006/main">
              <a:graphicData uri="http://schemas.openxmlformats.org/drawingml/2006/picture">
                <pic:pic xmlns:pic="http://schemas.openxmlformats.org/drawingml/2006/picture">
                  <pic:nvPicPr>
                    <pic:cNvPr id="993527" name="Picture 993527"/>
                    <pic:cNvPicPr/>
                  </pic:nvPicPr>
                  <pic:blipFill>
                    <a:blip r:embed="rId1356"/>
                    <a:stretch>
                      <a:fillRect/>
                    </a:stretch>
                  </pic:blipFill>
                  <pic:spPr>
                    <a:xfrm>
                      <a:off x="0" y="0"/>
                      <a:ext cx="54864" cy="9144"/>
                    </a:xfrm>
                    <a:prstGeom prst="rect">
                      <a:avLst/>
                    </a:prstGeom>
                  </pic:spPr>
                </pic:pic>
              </a:graphicData>
            </a:graphic>
          </wp:anchor>
        </w:drawing>
      </w:r>
      <w:r>
        <w:rPr>
          <w:noProof/>
        </w:rPr>
        <w:drawing>
          <wp:anchor distT="0" distB="0" distL="114300" distR="114300" simplePos="0" relativeHeight="252164096" behindDoc="0" locked="0" layoutInCell="1" allowOverlap="0" wp14:anchorId="2826CF01" wp14:editId="73E015D4">
            <wp:simplePos x="0" y="0"/>
            <wp:positionH relativeFrom="page">
              <wp:posOffset>7191755</wp:posOffset>
            </wp:positionH>
            <wp:positionV relativeFrom="page">
              <wp:posOffset>836676</wp:posOffset>
            </wp:positionV>
            <wp:extent cx="480061" cy="4572"/>
            <wp:effectExtent l="0" t="0" r="0" b="0"/>
            <wp:wrapTopAndBottom/>
            <wp:docPr id="2458733" name="Picture 2458733"/>
            <wp:cNvGraphicFramePr/>
            <a:graphic xmlns:a="http://schemas.openxmlformats.org/drawingml/2006/main">
              <a:graphicData uri="http://schemas.openxmlformats.org/drawingml/2006/picture">
                <pic:pic xmlns:pic="http://schemas.openxmlformats.org/drawingml/2006/picture">
                  <pic:nvPicPr>
                    <pic:cNvPr id="2458733" name="Picture 2458733"/>
                    <pic:cNvPicPr/>
                  </pic:nvPicPr>
                  <pic:blipFill>
                    <a:blip r:embed="rId1357"/>
                    <a:stretch>
                      <a:fillRect/>
                    </a:stretch>
                  </pic:blipFill>
                  <pic:spPr>
                    <a:xfrm>
                      <a:off x="0" y="0"/>
                      <a:ext cx="480061" cy="4572"/>
                    </a:xfrm>
                    <a:prstGeom prst="rect">
                      <a:avLst/>
                    </a:prstGeom>
                  </pic:spPr>
                </pic:pic>
              </a:graphicData>
            </a:graphic>
          </wp:anchor>
        </w:drawing>
      </w:r>
      <w:r>
        <w:rPr>
          <w:sz w:val="86"/>
        </w:rPr>
        <w:t>1</w:t>
      </w:r>
    </w:p>
    <w:p w14:paraId="0B529B37" w14:textId="77777777" w:rsidR="00053D93" w:rsidRDefault="00260B75">
      <w:pPr>
        <w:spacing w:after="4" w:line="269" w:lineRule="auto"/>
        <w:ind w:left="57" w:right="14" w:firstLine="1728"/>
        <w:jc w:val="both"/>
      </w:pPr>
      <w:r>
        <w:rPr>
          <w:sz w:val="26"/>
        </w:rPr>
        <w:t xml:space="preserve">En nota s/n del 24 de abril de 2025, el licenciado Julio Waldemar Jiménez Back, Coordinador Administrativo A.l., el señor Ricardo Javier Espinoza Cano, Asistente -1 de Acciones de Personal y el señor Jorge Aaron Quevedo López, Jefe de Sección de Transportes, A.l.; quienes fungieron como miembros de la Comisión Receptora </w:t>
      </w:r>
      <w:r>
        <w:rPr>
          <w:noProof/>
        </w:rPr>
        <w:drawing>
          <wp:inline distT="0" distB="0" distL="0" distR="0" wp14:anchorId="76B25641" wp14:editId="32A3FFB7">
            <wp:extent cx="18288" cy="9144"/>
            <wp:effectExtent l="0" t="0" r="0" b="0"/>
            <wp:docPr id="993533" name="Picture 993533"/>
            <wp:cNvGraphicFramePr/>
            <a:graphic xmlns:a="http://schemas.openxmlformats.org/drawingml/2006/main">
              <a:graphicData uri="http://schemas.openxmlformats.org/drawingml/2006/picture">
                <pic:pic xmlns:pic="http://schemas.openxmlformats.org/drawingml/2006/picture">
                  <pic:nvPicPr>
                    <pic:cNvPr id="993533" name="Picture 993533"/>
                    <pic:cNvPicPr/>
                  </pic:nvPicPr>
                  <pic:blipFill>
                    <a:blip r:embed="rId1358"/>
                    <a:stretch>
                      <a:fillRect/>
                    </a:stretch>
                  </pic:blipFill>
                  <pic:spPr>
                    <a:xfrm>
                      <a:off x="0" y="0"/>
                      <a:ext cx="18288" cy="9144"/>
                    </a:xfrm>
                    <a:prstGeom prst="rect">
                      <a:avLst/>
                    </a:prstGeom>
                  </pic:spPr>
                </pic:pic>
              </a:graphicData>
            </a:graphic>
          </wp:inline>
        </w:drawing>
      </w:r>
      <w:r>
        <w:rPr>
          <w:sz w:val="26"/>
        </w:rPr>
        <w:t>1 y Liquidadora del Contrato Administrativo Número 01-2024-DIGEF-CD, según</w:t>
      </w:r>
    </w:p>
    <w:p w14:paraId="7B19409A" w14:textId="77777777" w:rsidR="00053D93" w:rsidRDefault="00260B75">
      <w:pPr>
        <w:spacing w:after="274" w:line="273" w:lineRule="auto"/>
        <w:ind w:left="21" w:firstLine="1706"/>
      </w:pPr>
      <w:r>
        <w:rPr>
          <w:sz w:val="26"/>
        </w:rPr>
        <w:t>Resolución No. 4686-2024, del 17 de diciembre de 2024, emitido por la Ministra de Educación, manifiestan: "...Sobre este hallazgo nos permitimos manifestar lo -1</w:t>
      </w:r>
      <w:r>
        <w:rPr>
          <w:sz w:val="26"/>
        </w:rPr>
        <w:tab/>
        <w:t>siguiente:</w:t>
      </w:r>
    </w:p>
    <w:p w14:paraId="12D059EC" w14:textId="77777777" w:rsidR="00053D93" w:rsidRDefault="00260B75">
      <w:pPr>
        <w:spacing w:after="145" w:line="269" w:lineRule="auto"/>
        <w:ind w:left="57" w:right="14" w:firstLine="1620"/>
        <w:jc w:val="both"/>
      </w:pPr>
      <w:r>
        <w:rPr>
          <w:sz w:val="26"/>
        </w:rPr>
        <w:t>Que lo manifestado en la Causa del presente hallazgo en el que se lee: "...omitieron realizar un acto propio de sus funciones...' nos permitimos manifestarles que únicamente dimos cumplimiento al nombramiento como 1 integrantes de la Comisión Receptora y Liquidadora, nombrada a través de la Resolución No.4686-2024 de fecha 17 de diciembre de 2024, emitida por la máxima autoridad del Ministerio de Educación. Por lo que de acuerdo con el</w:t>
      </w:r>
    </w:p>
    <w:p w14:paraId="5E165D84" w14:textId="77777777" w:rsidR="00053D93" w:rsidRDefault="00260B75">
      <w:pPr>
        <w:spacing w:after="230" w:line="326" w:lineRule="auto"/>
        <w:ind w:left="1735" w:right="14" w:hanging="1678"/>
        <w:jc w:val="both"/>
      </w:pPr>
      <w:r>
        <w:rPr>
          <w:sz w:val="26"/>
        </w:rPr>
        <w:t>-1 nombramiento emitido para el efecto procedimos como Comisión a realizar las acciones siguientes:</w:t>
      </w:r>
    </w:p>
    <w:p w14:paraId="1B0E864B" w14:textId="77777777" w:rsidR="00053D93" w:rsidRDefault="00260B75">
      <w:pPr>
        <w:numPr>
          <w:ilvl w:val="0"/>
          <w:numId w:val="11"/>
        </w:numPr>
        <w:spacing w:after="4" w:line="269" w:lineRule="auto"/>
        <w:ind w:left="878" w:right="47" w:hanging="3"/>
        <w:jc w:val="both"/>
      </w:pPr>
      <w:r>
        <w:rPr>
          <w:sz w:val="26"/>
        </w:rPr>
        <w:t>Mediante oficio sin número de fecha 18 de diciembre de 2024 se solicitó al encargado de la Sección de Alto Rendimiento "un informe de la documentación de soporte que nos sirvió de base para realizar el acta de recepción</w:t>
      </w:r>
    </w:p>
    <w:tbl>
      <w:tblPr>
        <w:tblStyle w:val="TableGrid"/>
        <w:tblW w:w="9432" w:type="dxa"/>
        <w:tblInd w:w="734" w:type="dxa"/>
        <w:tblLook w:val="04A0" w:firstRow="1" w:lastRow="0" w:firstColumn="1" w:lastColumn="0" w:noHBand="0" w:noVBand="1"/>
      </w:tblPr>
      <w:tblGrid>
        <w:gridCol w:w="1308"/>
        <w:gridCol w:w="8196"/>
      </w:tblGrid>
      <w:tr w:rsidR="00053D93" w14:paraId="5B7172B5" w14:textId="77777777">
        <w:trPr>
          <w:trHeight w:val="648"/>
        </w:trPr>
        <w:tc>
          <w:tcPr>
            <w:tcW w:w="1795" w:type="dxa"/>
            <w:tcBorders>
              <w:top w:val="nil"/>
              <w:left w:val="nil"/>
              <w:bottom w:val="nil"/>
              <w:right w:val="nil"/>
            </w:tcBorders>
          </w:tcPr>
          <w:p w14:paraId="1742AFF5" w14:textId="77777777" w:rsidR="00053D93" w:rsidRDefault="00260B75">
            <w:r>
              <w:rPr>
                <w:noProof/>
              </w:rPr>
              <w:drawing>
                <wp:inline distT="0" distB="0" distL="0" distR="0" wp14:anchorId="5895CBF2" wp14:editId="05BDF329">
                  <wp:extent cx="1129284" cy="411480"/>
                  <wp:effectExtent l="0" t="0" r="0" b="0"/>
                  <wp:docPr id="993606" name="Picture 993606"/>
                  <wp:cNvGraphicFramePr/>
                  <a:graphic xmlns:a="http://schemas.openxmlformats.org/drawingml/2006/main">
                    <a:graphicData uri="http://schemas.openxmlformats.org/drawingml/2006/picture">
                      <pic:pic xmlns:pic="http://schemas.openxmlformats.org/drawingml/2006/picture">
                        <pic:nvPicPr>
                          <pic:cNvPr id="993606" name="Picture 993606"/>
                          <pic:cNvPicPr/>
                        </pic:nvPicPr>
                        <pic:blipFill>
                          <a:blip r:embed="rId1359"/>
                          <a:stretch>
                            <a:fillRect/>
                          </a:stretch>
                        </pic:blipFill>
                        <pic:spPr>
                          <a:xfrm>
                            <a:off x="0" y="0"/>
                            <a:ext cx="1129284" cy="411480"/>
                          </a:xfrm>
                          <a:prstGeom prst="rect">
                            <a:avLst/>
                          </a:prstGeom>
                        </pic:spPr>
                      </pic:pic>
                    </a:graphicData>
                  </a:graphic>
                </wp:inline>
              </w:drawing>
            </w:r>
          </w:p>
        </w:tc>
        <w:tc>
          <w:tcPr>
            <w:tcW w:w="7637" w:type="dxa"/>
            <w:tcBorders>
              <w:top w:val="nil"/>
              <w:left w:val="nil"/>
              <w:bottom w:val="nil"/>
              <w:right w:val="nil"/>
            </w:tcBorders>
          </w:tcPr>
          <w:p w14:paraId="74651322" w14:textId="77777777" w:rsidR="00053D93" w:rsidRDefault="00053D93">
            <w:pPr>
              <w:ind w:left="-2832" w:right="10469"/>
            </w:pPr>
          </w:p>
          <w:tbl>
            <w:tblPr>
              <w:tblStyle w:val="TableGrid"/>
              <w:tblW w:w="7620" w:type="dxa"/>
              <w:tblInd w:w="17" w:type="dxa"/>
              <w:tblCellMar>
                <w:top w:w="27" w:type="dxa"/>
                <w:left w:w="1738" w:type="dxa"/>
                <w:right w:w="115" w:type="dxa"/>
              </w:tblCellMar>
              <w:tblLook w:val="04A0" w:firstRow="1" w:lastRow="0" w:firstColumn="1" w:lastColumn="0" w:noHBand="0" w:noVBand="1"/>
            </w:tblPr>
            <w:tblGrid>
              <w:gridCol w:w="7620"/>
            </w:tblGrid>
            <w:tr w:rsidR="00053D93" w14:paraId="4B85EBED" w14:textId="77777777">
              <w:trPr>
                <w:trHeight w:val="62"/>
              </w:trPr>
              <w:tc>
                <w:tcPr>
                  <w:tcW w:w="7620" w:type="dxa"/>
                  <w:tcBorders>
                    <w:top w:val="nil"/>
                    <w:left w:val="single" w:sz="2" w:space="0" w:color="000000"/>
                    <w:bottom w:val="single" w:sz="2" w:space="0" w:color="000000"/>
                    <w:right w:val="nil"/>
                  </w:tcBorders>
                </w:tcPr>
                <w:p w14:paraId="649BE3FA" w14:textId="77777777" w:rsidR="00053D93" w:rsidRDefault="00053D93"/>
              </w:tc>
            </w:tr>
            <w:tr w:rsidR="00053D93" w14:paraId="459B5D23" w14:textId="77777777">
              <w:trPr>
                <w:trHeight w:val="572"/>
              </w:trPr>
              <w:tc>
                <w:tcPr>
                  <w:tcW w:w="7620" w:type="dxa"/>
                  <w:tcBorders>
                    <w:top w:val="single" w:sz="2" w:space="0" w:color="000000"/>
                    <w:left w:val="single" w:sz="2" w:space="0" w:color="000000"/>
                    <w:bottom w:val="nil"/>
                    <w:right w:val="nil"/>
                  </w:tcBorders>
                </w:tcPr>
                <w:p w14:paraId="6BB8B178" w14:textId="77777777" w:rsidR="00053D93" w:rsidRDefault="00260B75">
                  <w:pPr>
                    <w:ind w:left="835"/>
                  </w:pPr>
                  <w:r>
                    <w:rPr>
                      <w:sz w:val="14"/>
                    </w:rPr>
                    <w:t>MINISTERIO OE EDUCAC'ON</w:t>
                  </w:r>
                </w:p>
                <w:p w14:paraId="277D48A6" w14:textId="77777777" w:rsidR="00053D93" w:rsidRDefault="00260B75">
                  <w:pPr>
                    <w:ind w:left="338"/>
                  </w:pPr>
                  <w:r>
                    <w:rPr>
                      <w:sz w:val="14"/>
                    </w:rPr>
                    <w:t>AUDITORIA FINANCIERA Y DE CUMPLIMIENTO</w:t>
                  </w:r>
                </w:p>
                <w:p w14:paraId="0C58CC1E" w14:textId="77777777" w:rsidR="00053D93" w:rsidRDefault="00260B75">
                  <w:r>
                    <w:rPr>
                      <w:sz w:val="14"/>
                    </w:rPr>
                    <w:t>PERÍODO DEL 01 DE ENERO AL 31 DE DICIEMBRE DE 2024</w:t>
                  </w:r>
                </w:p>
              </w:tc>
            </w:tr>
          </w:tbl>
          <w:p w14:paraId="7450D111" w14:textId="77777777" w:rsidR="00053D93" w:rsidRDefault="00053D93"/>
        </w:tc>
      </w:tr>
    </w:tbl>
    <w:p w14:paraId="2A4A7B92" w14:textId="77777777" w:rsidR="00053D93" w:rsidRDefault="00260B75">
      <w:pPr>
        <w:spacing w:after="286" w:line="265" w:lineRule="auto"/>
        <w:ind w:left="1810" w:hanging="10"/>
        <w:jc w:val="both"/>
      </w:pPr>
      <w:r>
        <w:rPr>
          <w:sz w:val="24"/>
        </w:rPr>
        <w:t>correspondiente" ...</w:t>
      </w:r>
    </w:p>
    <w:p w14:paraId="06736683" w14:textId="77777777" w:rsidR="00053D93" w:rsidRDefault="00260B75">
      <w:pPr>
        <w:numPr>
          <w:ilvl w:val="0"/>
          <w:numId w:val="11"/>
        </w:numPr>
        <w:spacing w:after="83" w:line="269" w:lineRule="auto"/>
        <w:ind w:left="878" w:right="47" w:hanging="3"/>
        <w:jc w:val="both"/>
      </w:pPr>
      <w:r>
        <w:rPr>
          <w:sz w:val="26"/>
        </w:rPr>
        <w:t xml:space="preserve">Mediante oficio No. 1 1 18-2024 de fecha 18 de diciembre de 2024, firmado por el Lic, Carlos Leonel Gatica, Jefe de la Sección de Alto Rendimiento, Lic, Edwar José Godínez, Jefe de Desarrollo deportivo Escolar a.i.; Licda. Gladys Maite </w:t>
      </w:r>
      <w:r>
        <w:rPr>
          <w:noProof/>
        </w:rPr>
        <w:drawing>
          <wp:inline distT="0" distB="0" distL="0" distR="0" wp14:anchorId="6326231D" wp14:editId="491E0AB8">
            <wp:extent cx="9144" cy="18288"/>
            <wp:effectExtent l="0" t="0" r="0" b="0"/>
            <wp:docPr id="996948" name="Picture 996948"/>
            <wp:cNvGraphicFramePr/>
            <a:graphic xmlns:a="http://schemas.openxmlformats.org/drawingml/2006/main">
              <a:graphicData uri="http://schemas.openxmlformats.org/drawingml/2006/picture">
                <pic:pic xmlns:pic="http://schemas.openxmlformats.org/drawingml/2006/picture">
                  <pic:nvPicPr>
                    <pic:cNvPr id="996948" name="Picture 996948"/>
                    <pic:cNvPicPr/>
                  </pic:nvPicPr>
                  <pic:blipFill>
                    <a:blip r:embed="rId1360"/>
                    <a:stretch>
                      <a:fillRect/>
                    </a:stretch>
                  </pic:blipFill>
                  <pic:spPr>
                    <a:xfrm>
                      <a:off x="0" y="0"/>
                      <a:ext cx="9144" cy="18288"/>
                    </a:xfrm>
                    <a:prstGeom prst="rect">
                      <a:avLst/>
                    </a:prstGeom>
                  </pic:spPr>
                </pic:pic>
              </a:graphicData>
            </a:graphic>
          </wp:inline>
        </w:drawing>
      </w:r>
      <w:r>
        <w:rPr>
          <w:sz w:val="26"/>
        </w:rPr>
        <w:t>1 Rojas, Coordinadora Extracurricular; recibimos un informe de la participación de la Delegación Guatemalteca que participó en los Juegos Deportivos Escolares</w:t>
      </w:r>
    </w:p>
    <w:p w14:paraId="1430543C" w14:textId="77777777" w:rsidR="00053D93" w:rsidRDefault="00260B75">
      <w:pPr>
        <w:tabs>
          <w:tab w:val="right" w:pos="10238"/>
        </w:tabs>
        <w:spacing w:after="4" w:line="269" w:lineRule="auto"/>
      </w:pPr>
      <w:r>
        <w:rPr>
          <w:sz w:val="26"/>
        </w:rPr>
        <w:t>1</w:t>
      </w:r>
      <w:r>
        <w:rPr>
          <w:sz w:val="26"/>
        </w:rPr>
        <w:tab/>
        <w:t>Centroamericanos del CODICADER. En el informe manifiestan la utilización de</w:t>
      </w:r>
    </w:p>
    <w:p w14:paraId="1D1C2E75" w14:textId="77777777" w:rsidR="00053D93" w:rsidRDefault="00260B75">
      <w:pPr>
        <w:spacing w:after="51"/>
        <w:ind w:left="94"/>
      </w:pPr>
      <w:r>
        <w:rPr>
          <w:noProof/>
        </w:rPr>
        <w:drawing>
          <wp:inline distT="0" distB="0" distL="0" distR="0" wp14:anchorId="208E0000" wp14:editId="02A2BA99">
            <wp:extent cx="4572" cy="9144"/>
            <wp:effectExtent l="0" t="0" r="0" b="0"/>
            <wp:docPr id="996949" name="Picture 996949"/>
            <wp:cNvGraphicFramePr/>
            <a:graphic xmlns:a="http://schemas.openxmlformats.org/drawingml/2006/main">
              <a:graphicData uri="http://schemas.openxmlformats.org/drawingml/2006/picture">
                <pic:pic xmlns:pic="http://schemas.openxmlformats.org/drawingml/2006/picture">
                  <pic:nvPicPr>
                    <pic:cNvPr id="996949" name="Picture 996949"/>
                    <pic:cNvPicPr/>
                  </pic:nvPicPr>
                  <pic:blipFill>
                    <a:blip r:embed="rId24"/>
                    <a:stretch>
                      <a:fillRect/>
                    </a:stretch>
                  </pic:blipFill>
                  <pic:spPr>
                    <a:xfrm>
                      <a:off x="0" y="0"/>
                      <a:ext cx="4572" cy="9144"/>
                    </a:xfrm>
                    <a:prstGeom prst="rect">
                      <a:avLst/>
                    </a:prstGeom>
                  </pic:spPr>
                </pic:pic>
              </a:graphicData>
            </a:graphic>
          </wp:inline>
        </w:drawing>
      </w:r>
    </w:p>
    <w:p w14:paraId="5D2EFBDE" w14:textId="77777777" w:rsidR="00053D93" w:rsidRDefault="00260B75">
      <w:pPr>
        <w:spacing w:after="4" w:line="269" w:lineRule="auto"/>
        <w:ind w:left="1803" w:right="14" w:hanging="3"/>
        <w:jc w:val="both"/>
      </w:pPr>
      <w:r>
        <w:rPr>
          <w:sz w:val="26"/>
        </w:rPr>
        <w:t>107 boletos aéreos, con destino hacia Ciudad de Panamá, Fecha de la Actividad</w:t>
      </w:r>
    </w:p>
    <w:p w14:paraId="6E816AC8" w14:textId="77777777" w:rsidR="00053D93" w:rsidRDefault="00260B75">
      <w:pPr>
        <w:spacing w:after="222" w:line="269" w:lineRule="auto"/>
        <w:ind w:left="1796" w:right="14" w:hanging="3"/>
        <w:jc w:val="both"/>
      </w:pPr>
      <w:r>
        <w:rPr>
          <w:sz w:val="26"/>
        </w:rPr>
        <w:t>1 1-18 de noviembre de 2024...</w:t>
      </w:r>
    </w:p>
    <w:p w14:paraId="75EA7383" w14:textId="77777777" w:rsidR="00053D93" w:rsidRDefault="00260B75">
      <w:pPr>
        <w:spacing w:after="3"/>
        <w:ind w:left="89" w:hanging="10"/>
      </w:pPr>
      <w:r>
        <w:rPr>
          <w:noProof/>
        </w:rPr>
        <w:drawing>
          <wp:inline distT="0" distB="0" distL="0" distR="0" wp14:anchorId="37DD34B5" wp14:editId="3C3BD547">
            <wp:extent cx="18288" cy="9144"/>
            <wp:effectExtent l="0" t="0" r="0" b="0"/>
            <wp:docPr id="996950" name="Picture 996950"/>
            <wp:cNvGraphicFramePr/>
            <a:graphic xmlns:a="http://schemas.openxmlformats.org/drawingml/2006/main">
              <a:graphicData uri="http://schemas.openxmlformats.org/drawingml/2006/picture">
                <pic:pic xmlns:pic="http://schemas.openxmlformats.org/drawingml/2006/picture">
                  <pic:nvPicPr>
                    <pic:cNvPr id="996950" name="Picture 996950"/>
                    <pic:cNvPicPr/>
                  </pic:nvPicPr>
                  <pic:blipFill>
                    <a:blip r:embed="rId1360"/>
                    <a:stretch>
                      <a:fillRect/>
                    </a:stretch>
                  </pic:blipFill>
                  <pic:spPr>
                    <a:xfrm>
                      <a:off x="0" y="0"/>
                      <a:ext cx="18288" cy="9144"/>
                    </a:xfrm>
                    <a:prstGeom prst="rect">
                      <a:avLst/>
                    </a:prstGeom>
                  </pic:spPr>
                </pic:pic>
              </a:graphicData>
            </a:graphic>
          </wp:inline>
        </w:drawing>
      </w:r>
      <w:r>
        <w:rPr>
          <w:sz w:val="64"/>
        </w:rPr>
        <w:t>1</w:t>
      </w:r>
    </w:p>
    <w:p w14:paraId="3E5E6858" w14:textId="77777777" w:rsidR="00053D93" w:rsidRDefault="00260B75">
      <w:pPr>
        <w:spacing w:after="4" w:line="269" w:lineRule="auto"/>
        <w:ind w:left="1774" w:right="14" w:hanging="3"/>
        <w:jc w:val="both"/>
      </w:pPr>
      <w:r>
        <w:rPr>
          <w:sz w:val="26"/>
        </w:rPr>
        <w:t>3) Se procedió a realizar un cotejo del listado proporcionado por la unidad requirente, contra la copia de los pasaportes, y copia de los boletos aéreos, de las personas que hicieron uso de los boletos proporcionados por la empresa LAX TRAVEL, S.A.</w:t>
      </w:r>
    </w:p>
    <w:p w14:paraId="46D5C645" w14:textId="77777777" w:rsidR="00053D93" w:rsidRDefault="00260B75">
      <w:pPr>
        <w:spacing w:after="51"/>
        <w:ind w:left="79"/>
      </w:pPr>
      <w:r>
        <w:rPr>
          <w:noProof/>
        </w:rPr>
        <w:drawing>
          <wp:inline distT="0" distB="0" distL="0" distR="0" wp14:anchorId="5E71E73F" wp14:editId="52C14FA6">
            <wp:extent cx="13716" cy="9144"/>
            <wp:effectExtent l="0" t="0" r="0" b="0"/>
            <wp:docPr id="996951" name="Picture 996951"/>
            <wp:cNvGraphicFramePr/>
            <a:graphic xmlns:a="http://schemas.openxmlformats.org/drawingml/2006/main">
              <a:graphicData uri="http://schemas.openxmlformats.org/drawingml/2006/picture">
                <pic:pic xmlns:pic="http://schemas.openxmlformats.org/drawingml/2006/picture">
                  <pic:nvPicPr>
                    <pic:cNvPr id="996951" name="Picture 996951"/>
                    <pic:cNvPicPr/>
                  </pic:nvPicPr>
                  <pic:blipFill>
                    <a:blip r:embed="rId1361"/>
                    <a:stretch>
                      <a:fillRect/>
                    </a:stretch>
                  </pic:blipFill>
                  <pic:spPr>
                    <a:xfrm>
                      <a:off x="0" y="0"/>
                      <a:ext cx="13716" cy="9144"/>
                    </a:xfrm>
                    <a:prstGeom prst="rect">
                      <a:avLst/>
                    </a:prstGeom>
                  </pic:spPr>
                </pic:pic>
              </a:graphicData>
            </a:graphic>
          </wp:inline>
        </w:drawing>
      </w:r>
    </w:p>
    <w:p w14:paraId="122417CA" w14:textId="77777777" w:rsidR="00053D93" w:rsidRDefault="00260B75">
      <w:pPr>
        <w:spacing w:after="143" w:line="269" w:lineRule="auto"/>
        <w:ind w:left="1706" w:right="14" w:hanging="1649"/>
        <w:jc w:val="both"/>
      </w:pPr>
      <w:r>
        <w:rPr>
          <w:sz w:val="26"/>
        </w:rPr>
        <w:t>1 4) Se procedió a analizar la fianza de sostenimiento de la oferta presentada por la empresa LaxTravel S.A..</w:t>
      </w:r>
      <w:r>
        <w:rPr>
          <w:noProof/>
        </w:rPr>
        <w:drawing>
          <wp:inline distT="0" distB="0" distL="0" distR="0" wp14:anchorId="5D19857E" wp14:editId="37232C15">
            <wp:extent cx="18288" cy="13716"/>
            <wp:effectExtent l="0" t="0" r="0" b="0"/>
            <wp:docPr id="996952" name="Picture 996952"/>
            <wp:cNvGraphicFramePr/>
            <a:graphic xmlns:a="http://schemas.openxmlformats.org/drawingml/2006/main">
              <a:graphicData uri="http://schemas.openxmlformats.org/drawingml/2006/picture">
                <pic:pic xmlns:pic="http://schemas.openxmlformats.org/drawingml/2006/picture">
                  <pic:nvPicPr>
                    <pic:cNvPr id="996952" name="Picture 996952"/>
                    <pic:cNvPicPr/>
                  </pic:nvPicPr>
                  <pic:blipFill>
                    <a:blip r:embed="rId1362"/>
                    <a:stretch>
                      <a:fillRect/>
                    </a:stretch>
                  </pic:blipFill>
                  <pic:spPr>
                    <a:xfrm>
                      <a:off x="0" y="0"/>
                      <a:ext cx="18288" cy="13716"/>
                    </a:xfrm>
                    <a:prstGeom prst="rect">
                      <a:avLst/>
                    </a:prstGeom>
                  </pic:spPr>
                </pic:pic>
              </a:graphicData>
            </a:graphic>
          </wp:inline>
        </w:drawing>
      </w:r>
    </w:p>
    <w:p w14:paraId="0DB1683E" w14:textId="77777777" w:rsidR="00053D93" w:rsidRDefault="00260B75">
      <w:pPr>
        <w:spacing w:after="3"/>
        <w:ind w:left="74" w:right="3485" w:hanging="10"/>
      </w:pPr>
      <w:r>
        <w:rPr>
          <w:noProof/>
        </w:rPr>
        <w:drawing>
          <wp:inline distT="0" distB="0" distL="0" distR="0" wp14:anchorId="5B5EFE64" wp14:editId="66521738">
            <wp:extent cx="13716" cy="9144"/>
            <wp:effectExtent l="0" t="0" r="0" b="0"/>
            <wp:docPr id="996953" name="Picture 996953"/>
            <wp:cNvGraphicFramePr/>
            <a:graphic xmlns:a="http://schemas.openxmlformats.org/drawingml/2006/main">
              <a:graphicData uri="http://schemas.openxmlformats.org/drawingml/2006/picture">
                <pic:pic xmlns:pic="http://schemas.openxmlformats.org/drawingml/2006/picture">
                  <pic:nvPicPr>
                    <pic:cNvPr id="996953" name="Picture 996953"/>
                    <pic:cNvPicPr/>
                  </pic:nvPicPr>
                  <pic:blipFill>
                    <a:blip r:embed="rId937"/>
                    <a:stretch>
                      <a:fillRect/>
                    </a:stretch>
                  </pic:blipFill>
                  <pic:spPr>
                    <a:xfrm>
                      <a:off x="0" y="0"/>
                      <a:ext cx="13716" cy="9144"/>
                    </a:xfrm>
                    <a:prstGeom prst="rect">
                      <a:avLst/>
                    </a:prstGeom>
                  </pic:spPr>
                </pic:pic>
              </a:graphicData>
            </a:graphic>
          </wp:inline>
        </w:drawing>
      </w:r>
      <w:r>
        <w:rPr>
          <w:sz w:val="70"/>
        </w:rPr>
        <w:t>1</w:t>
      </w:r>
    </w:p>
    <w:p w14:paraId="69F8CD6A" w14:textId="77777777" w:rsidR="00053D93" w:rsidRDefault="00260B75">
      <w:pPr>
        <w:spacing w:after="500" w:line="265" w:lineRule="auto"/>
        <w:ind w:left="1774" w:hanging="10"/>
        <w:jc w:val="both"/>
      </w:pPr>
      <w:r>
        <w:rPr>
          <w:sz w:val="24"/>
        </w:rPr>
        <w:t>5) Se procedió a analizar el Contrato Administrativo No. 01- 2024-DIGEF-CD.</w:t>
      </w:r>
    </w:p>
    <w:p w14:paraId="08ED52DF" w14:textId="77777777" w:rsidR="00053D93" w:rsidRDefault="00260B75">
      <w:pPr>
        <w:pStyle w:val="Ttulo4"/>
        <w:ind w:left="1749" w:right="86" w:hanging="1627"/>
      </w:pPr>
      <w:r>
        <w:rPr>
          <w:noProof/>
        </w:rPr>
        <w:drawing>
          <wp:anchor distT="0" distB="0" distL="114300" distR="114300" simplePos="0" relativeHeight="252165120" behindDoc="0" locked="0" layoutInCell="1" allowOverlap="0" wp14:anchorId="7651B7D3" wp14:editId="38061CDA">
            <wp:simplePos x="0" y="0"/>
            <wp:positionH relativeFrom="page">
              <wp:posOffset>256032</wp:posOffset>
            </wp:positionH>
            <wp:positionV relativeFrom="page">
              <wp:posOffset>342900</wp:posOffset>
            </wp:positionV>
            <wp:extent cx="4572" cy="4572"/>
            <wp:effectExtent l="0" t="0" r="0" b="0"/>
            <wp:wrapTopAndBottom/>
            <wp:docPr id="996947" name="Picture 996947"/>
            <wp:cNvGraphicFramePr/>
            <a:graphic xmlns:a="http://schemas.openxmlformats.org/drawingml/2006/main">
              <a:graphicData uri="http://schemas.openxmlformats.org/drawingml/2006/picture">
                <pic:pic xmlns:pic="http://schemas.openxmlformats.org/drawingml/2006/picture">
                  <pic:nvPicPr>
                    <pic:cNvPr id="996947" name="Picture 996947"/>
                    <pic:cNvPicPr/>
                  </pic:nvPicPr>
                  <pic:blipFill>
                    <a:blip r:embed="rId84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2166144" behindDoc="0" locked="0" layoutInCell="1" allowOverlap="0" wp14:anchorId="5D8DB321" wp14:editId="201DF453">
            <wp:simplePos x="0" y="0"/>
            <wp:positionH relativeFrom="page">
              <wp:posOffset>1033272</wp:posOffset>
            </wp:positionH>
            <wp:positionV relativeFrom="page">
              <wp:posOffset>809244</wp:posOffset>
            </wp:positionV>
            <wp:extent cx="6633972" cy="59436"/>
            <wp:effectExtent l="0" t="0" r="0" b="0"/>
            <wp:wrapTopAndBottom/>
            <wp:docPr id="2458735" name="Picture 2458735"/>
            <wp:cNvGraphicFramePr/>
            <a:graphic xmlns:a="http://schemas.openxmlformats.org/drawingml/2006/main">
              <a:graphicData uri="http://schemas.openxmlformats.org/drawingml/2006/picture">
                <pic:pic xmlns:pic="http://schemas.openxmlformats.org/drawingml/2006/picture">
                  <pic:nvPicPr>
                    <pic:cNvPr id="2458735" name="Picture 2458735"/>
                    <pic:cNvPicPr/>
                  </pic:nvPicPr>
                  <pic:blipFill>
                    <a:blip r:embed="rId1363"/>
                    <a:stretch>
                      <a:fillRect/>
                    </a:stretch>
                  </pic:blipFill>
                  <pic:spPr>
                    <a:xfrm>
                      <a:off x="0" y="0"/>
                      <a:ext cx="6633972" cy="59436"/>
                    </a:xfrm>
                    <a:prstGeom prst="rect">
                      <a:avLst/>
                    </a:prstGeom>
                  </pic:spPr>
                </pic:pic>
              </a:graphicData>
            </a:graphic>
          </wp:anchor>
        </w:drawing>
      </w:r>
      <w:r>
        <w:t>1 6) Se analizó la información proporcionada por la unidad requirente determinando que toda vez la empresa LaxTravel, S.A., cumplió con el SERVICIO DE TRANSPORTE AÉREO PARA LA DELEGACIÓN DEPORTIVA ESCOLAR DE</w:t>
      </w:r>
    </w:p>
    <w:p w14:paraId="1390F60D" w14:textId="77777777" w:rsidR="00053D93" w:rsidRDefault="00260B75">
      <w:pPr>
        <w:spacing w:after="61"/>
        <w:ind w:left="94"/>
      </w:pPr>
      <w:r>
        <w:rPr>
          <w:noProof/>
        </w:rPr>
        <w:drawing>
          <wp:inline distT="0" distB="0" distL="0" distR="0" wp14:anchorId="3832C6E1" wp14:editId="0F047E75">
            <wp:extent cx="4572" cy="4572"/>
            <wp:effectExtent l="0" t="0" r="0" b="0"/>
            <wp:docPr id="996954" name="Picture 996954"/>
            <wp:cNvGraphicFramePr/>
            <a:graphic xmlns:a="http://schemas.openxmlformats.org/drawingml/2006/main">
              <a:graphicData uri="http://schemas.openxmlformats.org/drawingml/2006/picture">
                <pic:pic xmlns:pic="http://schemas.openxmlformats.org/drawingml/2006/picture">
                  <pic:nvPicPr>
                    <pic:cNvPr id="996954" name="Picture 996954"/>
                    <pic:cNvPicPr/>
                  </pic:nvPicPr>
                  <pic:blipFill>
                    <a:blip r:embed="rId845"/>
                    <a:stretch>
                      <a:fillRect/>
                    </a:stretch>
                  </pic:blipFill>
                  <pic:spPr>
                    <a:xfrm>
                      <a:off x="0" y="0"/>
                      <a:ext cx="4572" cy="4572"/>
                    </a:xfrm>
                    <a:prstGeom prst="rect">
                      <a:avLst/>
                    </a:prstGeom>
                  </pic:spPr>
                </pic:pic>
              </a:graphicData>
            </a:graphic>
          </wp:inline>
        </w:drawing>
      </w:r>
    </w:p>
    <w:p w14:paraId="3B3C1DAD" w14:textId="77777777" w:rsidR="00053D93" w:rsidRDefault="00260B75">
      <w:pPr>
        <w:pStyle w:val="Ttulo4"/>
        <w:tabs>
          <w:tab w:val="right" w:pos="10238"/>
        </w:tabs>
        <w:ind w:left="0" w:firstLine="0"/>
        <w:jc w:val="left"/>
      </w:pPr>
      <w:r>
        <w:t>1</w:t>
      </w:r>
      <w:r>
        <w:tab/>
        <w:t>GUATEMALA QUE PARTICIPÓ EN LOS JUEGOS DEPORTIVOS ESCOLARES</w:t>
      </w:r>
    </w:p>
    <w:p w14:paraId="0C4B3E3B" w14:textId="77777777" w:rsidR="00053D93" w:rsidRDefault="00260B75">
      <w:pPr>
        <w:spacing w:after="663" w:line="269" w:lineRule="auto"/>
        <w:ind w:left="57" w:right="94" w:firstLine="1692"/>
        <w:jc w:val="both"/>
      </w:pPr>
      <w:r>
        <w:rPr>
          <w:sz w:val="26"/>
        </w:rPr>
        <w:t>CENTROAMERICANOS DEL CODICADER, PARA ESTUDIANTES CON 1 DISCAPACIDAD, el cual proporcionó la cantidad de 107 boletos para los participantes en los Juegos Deportivos Escolares Centroamericanos del CODICADER, se determinó realizar el acta administrativa correspondiente, -1 basados en el hecho que la entidad LAX TRAVEL S.A., cumplió con el servicio anteriormente descrito.</w:t>
      </w:r>
    </w:p>
    <w:p w14:paraId="3D9F22BE" w14:textId="77777777" w:rsidR="00053D93" w:rsidRDefault="00260B75">
      <w:pPr>
        <w:spacing w:after="101" w:line="269" w:lineRule="auto"/>
        <w:ind w:left="1735" w:right="14" w:hanging="1613"/>
        <w:jc w:val="both"/>
      </w:pPr>
      <w:r>
        <w:rPr>
          <w:sz w:val="26"/>
        </w:rPr>
        <w:t>1 7) Se realizó el acta de recepción y liquidación con base a la documentación proporcionada por la Unidad requiriente, la cual se citó en el punto 2, dentro del</w:t>
      </w:r>
    </w:p>
    <w:p w14:paraId="1D04AD8A" w14:textId="77777777" w:rsidR="00053D93" w:rsidRDefault="00260B75">
      <w:pPr>
        <w:spacing w:after="162" w:line="269" w:lineRule="auto"/>
        <w:ind w:left="60" w:right="108" w:hanging="3"/>
        <w:jc w:val="both"/>
      </w:pPr>
      <w:r>
        <w:rPr>
          <w:sz w:val="26"/>
        </w:rPr>
        <w:t>1 acta administrativa No. 127-2024 de fecha 20 de diciembre de 2024, donde se manifestó la documentación que se tuvo a la vista, y que en cumplimiento al nombramiento recaído sobre nosotros determinamos RECIBIR el Servicio de 1 Transporte aéreo, que proporcionó la empresa LAX TRAVEL, S.A., toda vez que cumplió con el servicio de transporte aéreo para la delegación de Guatemala que 1 participó en los Juegos Deportivos Escolares Centroamericanos del CODICADER.</w:t>
      </w:r>
    </w:p>
    <w:p w14:paraId="57824ACB" w14:textId="77777777" w:rsidR="00053D93" w:rsidRDefault="00260B75">
      <w:pPr>
        <w:spacing w:after="215" w:line="269" w:lineRule="auto"/>
        <w:ind w:left="67" w:right="115" w:hanging="10"/>
        <w:jc w:val="right"/>
      </w:pPr>
      <w:r>
        <w:rPr>
          <w:sz w:val="26"/>
        </w:rPr>
        <w:t>Las acciones antes descritas forman parte de las actividades realizadas propias</w:t>
      </w:r>
    </w:p>
    <w:p w14:paraId="3C7C2869" w14:textId="77777777" w:rsidR="00053D93" w:rsidRDefault="00260B75">
      <w:pPr>
        <w:tabs>
          <w:tab w:val="right" w:pos="10238"/>
        </w:tabs>
        <w:spacing w:after="4" w:line="269" w:lineRule="auto"/>
      </w:pPr>
      <w:r>
        <w:rPr>
          <w:sz w:val="26"/>
        </w:rPr>
        <w:t>1</w:t>
      </w:r>
      <w:r>
        <w:rPr>
          <w:sz w:val="26"/>
        </w:rPr>
        <w:tab/>
        <w:t>del nombramiento recaído sobre nosotros. En cuanto al enunciado que</w:t>
      </w:r>
    </w:p>
    <w:tbl>
      <w:tblPr>
        <w:tblStyle w:val="TableGrid"/>
        <w:tblW w:w="9425" w:type="dxa"/>
        <w:tblInd w:w="756" w:type="dxa"/>
        <w:tblLook w:val="04A0" w:firstRow="1" w:lastRow="0" w:firstColumn="1" w:lastColumn="0" w:noHBand="0" w:noVBand="1"/>
      </w:tblPr>
      <w:tblGrid>
        <w:gridCol w:w="1242"/>
        <w:gridCol w:w="8240"/>
      </w:tblGrid>
      <w:tr w:rsidR="00053D93" w14:paraId="094A2BD9" w14:textId="77777777">
        <w:trPr>
          <w:trHeight w:val="641"/>
        </w:trPr>
        <w:tc>
          <w:tcPr>
            <w:tcW w:w="1727" w:type="dxa"/>
            <w:tcBorders>
              <w:top w:val="nil"/>
              <w:left w:val="nil"/>
              <w:bottom w:val="nil"/>
              <w:right w:val="nil"/>
            </w:tcBorders>
          </w:tcPr>
          <w:p w14:paraId="022715BF" w14:textId="77777777" w:rsidR="00053D93" w:rsidRDefault="00260B75">
            <w:r>
              <w:rPr>
                <w:noProof/>
              </w:rPr>
              <w:drawing>
                <wp:inline distT="0" distB="0" distL="0" distR="0" wp14:anchorId="3A740461" wp14:editId="0FD8C7B8">
                  <wp:extent cx="1069848" cy="406909"/>
                  <wp:effectExtent l="0" t="0" r="0" b="0"/>
                  <wp:docPr id="997009" name="Picture 997009"/>
                  <wp:cNvGraphicFramePr/>
                  <a:graphic xmlns:a="http://schemas.openxmlformats.org/drawingml/2006/main">
                    <a:graphicData uri="http://schemas.openxmlformats.org/drawingml/2006/picture">
                      <pic:pic xmlns:pic="http://schemas.openxmlformats.org/drawingml/2006/picture">
                        <pic:nvPicPr>
                          <pic:cNvPr id="997009" name="Picture 997009"/>
                          <pic:cNvPicPr/>
                        </pic:nvPicPr>
                        <pic:blipFill>
                          <a:blip r:embed="rId1364"/>
                          <a:stretch>
                            <a:fillRect/>
                          </a:stretch>
                        </pic:blipFill>
                        <pic:spPr>
                          <a:xfrm>
                            <a:off x="0" y="0"/>
                            <a:ext cx="1069848" cy="406909"/>
                          </a:xfrm>
                          <a:prstGeom prst="rect">
                            <a:avLst/>
                          </a:prstGeom>
                        </pic:spPr>
                      </pic:pic>
                    </a:graphicData>
                  </a:graphic>
                </wp:inline>
              </w:drawing>
            </w:r>
          </w:p>
        </w:tc>
        <w:tc>
          <w:tcPr>
            <w:tcW w:w="7698" w:type="dxa"/>
            <w:tcBorders>
              <w:top w:val="nil"/>
              <w:left w:val="nil"/>
              <w:bottom w:val="nil"/>
              <w:right w:val="nil"/>
            </w:tcBorders>
          </w:tcPr>
          <w:p w14:paraId="3079EC72" w14:textId="77777777" w:rsidR="00053D93" w:rsidRDefault="00053D93">
            <w:pPr>
              <w:ind w:left="-2785" w:right="10483"/>
            </w:pPr>
          </w:p>
          <w:tbl>
            <w:tblPr>
              <w:tblStyle w:val="TableGrid"/>
              <w:tblW w:w="7656" w:type="dxa"/>
              <w:tblInd w:w="42" w:type="dxa"/>
              <w:tblCellMar>
                <w:top w:w="21" w:type="dxa"/>
                <w:left w:w="1774" w:type="dxa"/>
                <w:right w:w="115" w:type="dxa"/>
              </w:tblCellMar>
              <w:tblLook w:val="04A0" w:firstRow="1" w:lastRow="0" w:firstColumn="1" w:lastColumn="0" w:noHBand="0" w:noVBand="1"/>
            </w:tblPr>
            <w:tblGrid>
              <w:gridCol w:w="7656"/>
            </w:tblGrid>
            <w:tr w:rsidR="00053D93" w14:paraId="0C475239" w14:textId="77777777">
              <w:trPr>
                <w:trHeight w:val="62"/>
              </w:trPr>
              <w:tc>
                <w:tcPr>
                  <w:tcW w:w="7656" w:type="dxa"/>
                  <w:tcBorders>
                    <w:top w:val="nil"/>
                    <w:left w:val="single" w:sz="2" w:space="0" w:color="000000"/>
                    <w:bottom w:val="single" w:sz="2" w:space="0" w:color="000000"/>
                    <w:right w:val="nil"/>
                  </w:tcBorders>
                </w:tcPr>
                <w:p w14:paraId="5070A3C3" w14:textId="77777777" w:rsidR="00053D93" w:rsidRDefault="00053D93"/>
              </w:tc>
            </w:tr>
            <w:tr w:rsidR="00053D93" w14:paraId="258C5FD2" w14:textId="77777777">
              <w:trPr>
                <w:trHeight w:val="571"/>
              </w:trPr>
              <w:tc>
                <w:tcPr>
                  <w:tcW w:w="7656" w:type="dxa"/>
                  <w:tcBorders>
                    <w:top w:val="single" w:sz="2" w:space="0" w:color="000000"/>
                    <w:left w:val="single" w:sz="2" w:space="0" w:color="000000"/>
                    <w:bottom w:val="nil"/>
                    <w:right w:val="nil"/>
                  </w:tcBorders>
                </w:tcPr>
                <w:p w14:paraId="272A1B24" w14:textId="77777777" w:rsidR="00053D93" w:rsidRDefault="00260B75">
                  <w:pPr>
                    <w:ind w:left="842"/>
                  </w:pPr>
                  <w:r>
                    <w:rPr>
                      <w:sz w:val="14"/>
                    </w:rPr>
                    <w:t>MINISTERIO DE EDUCACION</w:t>
                  </w:r>
                </w:p>
                <w:p w14:paraId="15600408" w14:textId="77777777" w:rsidR="00053D93" w:rsidRDefault="00260B75">
                  <w:pPr>
                    <w:ind w:left="338"/>
                  </w:pPr>
                  <w:r>
                    <w:rPr>
                      <w:sz w:val="14"/>
                    </w:rPr>
                    <w:t>AUDITORIA FINANCIERA Y DE CUMPLIMIENTO</w:t>
                  </w:r>
                </w:p>
                <w:p w14:paraId="1F87531E" w14:textId="77777777" w:rsidR="00053D93" w:rsidRDefault="00260B75">
                  <w:r>
                    <w:rPr>
                      <w:sz w:val="14"/>
                    </w:rPr>
                    <w:t>PERIODO DEL Dl OE ENERO AL 31 DE DICIEMBRE DE 2024</w:t>
                  </w:r>
                </w:p>
              </w:tc>
            </w:tr>
          </w:tbl>
          <w:p w14:paraId="1544BE6E" w14:textId="77777777" w:rsidR="00053D93" w:rsidRDefault="00053D93"/>
        </w:tc>
      </w:tr>
    </w:tbl>
    <w:p w14:paraId="7D80EBE9" w14:textId="77777777" w:rsidR="00053D93" w:rsidRDefault="00053D93">
      <w:pPr>
        <w:sectPr w:rsidR="00053D93">
          <w:headerReference w:type="even" r:id="rId1365"/>
          <w:headerReference w:type="default" r:id="rId1366"/>
          <w:footerReference w:type="even" r:id="rId1367"/>
          <w:footerReference w:type="default" r:id="rId1368"/>
          <w:headerReference w:type="first" r:id="rId1369"/>
          <w:footerReference w:type="first" r:id="rId1370"/>
          <w:pgSz w:w="12290" w:h="15883"/>
          <w:pgMar w:top="1282" w:right="1750" w:bottom="548" w:left="302" w:header="360" w:footer="720" w:gutter="0"/>
          <w:cols w:space="720"/>
        </w:sectPr>
      </w:pPr>
    </w:p>
    <w:p w14:paraId="55E73FCE" w14:textId="77777777" w:rsidR="00053D93" w:rsidRDefault="00260B75">
      <w:pPr>
        <w:spacing w:after="320" w:line="265" w:lineRule="auto"/>
        <w:ind w:left="3177" w:hanging="10"/>
      </w:pPr>
      <w:r>
        <w:rPr>
          <w:sz w:val="14"/>
        </w:rPr>
        <w:t xml:space="preserve">OE </w:t>
      </w:r>
    </w:p>
    <w:p w14:paraId="2387ACE9" w14:textId="77777777" w:rsidR="00053D93" w:rsidRDefault="00260B75">
      <w:pPr>
        <w:spacing w:before="41" w:after="38" w:line="269" w:lineRule="auto"/>
        <w:ind w:left="60" w:right="14" w:hanging="3"/>
        <w:jc w:val="both"/>
      </w:pPr>
      <w:r>
        <w:rPr>
          <w:noProof/>
        </w:rPr>
        <w:drawing>
          <wp:anchor distT="0" distB="0" distL="114300" distR="114300" simplePos="0" relativeHeight="252167168" behindDoc="0" locked="0" layoutInCell="1" allowOverlap="0" wp14:anchorId="0A72A674" wp14:editId="6B6863FD">
            <wp:simplePos x="0" y="0"/>
            <wp:positionH relativeFrom="column">
              <wp:posOffset>1051560</wp:posOffset>
            </wp:positionH>
            <wp:positionV relativeFrom="paragraph">
              <wp:posOffset>-67444</wp:posOffset>
            </wp:positionV>
            <wp:extent cx="5989319" cy="41148"/>
            <wp:effectExtent l="0" t="0" r="0" b="0"/>
            <wp:wrapSquare wrapText="bothSides"/>
            <wp:docPr id="2458737" name="Picture 2458737"/>
            <wp:cNvGraphicFramePr/>
            <a:graphic xmlns:a="http://schemas.openxmlformats.org/drawingml/2006/main">
              <a:graphicData uri="http://schemas.openxmlformats.org/drawingml/2006/picture">
                <pic:pic xmlns:pic="http://schemas.openxmlformats.org/drawingml/2006/picture">
                  <pic:nvPicPr>
                    <pic:cNvPr id="2458737" name="Picture 2458737"/>
                    <pic:cNvPicPr/>
                  </pic:nvPicPr>
                  <pic:blipFill>
                    <a:blip r:embed="rId1371"/>
                    <a:stretch>
                      <a:fillRect/>
                    </a:stretch>
                  </pic:blipFill>
                  <pic:spPr>
                    <a:xfrm>
                      <a:off x="0" y="0"/>
                      <a:ext cx="5989319" cy="41148"/>
                    </a:xfrm>
                    <a:prstGeom prst="rect">
                      <a:avLst/>
                    </a:prstGeom>
                  </pic:spPr>
                </pic:pic>
              </a:graphicData>
            </a:graphic>
          </wp:anchor>
        </w:drawing>
      </w:r>
      <w:r>
        <w:rPr>
          <w:noProof/>
        </w:rPr>
        <w:drawing>
          <wp:anchor distT="0" distB="0" distL="114300" distR="114300" simplePos="0" relativeHeight="252168192" behindDoc="0" locked="0" layoutInCell="1" allowOverlap="0" wp14:anchorId="1ED0D56D" wp14:editId="4C987B75">
            <wp:simplePos x="0" y="0"/>
            <wp:positionH relativeFrom="column">
              <wp:posOffset>-36575</wp:posOffset>
            </wp:positionH>
            <wp:positionV relativeFrom="paragraph">
              <wp:posOffset>-49156</wp:posOffset>
            </wp:positionV>
            <wp:extent cx="59436" cy="4572"/>
            <wp:effectExtent l="0" t="0" r="0" b="0"/>
            <wp:wrapSquare wrapText="bothSides"/>
            <wp:docPr id="2458739" name="Picture 2458739"/>
            <wp:cNvGraphicFramePr/>
            <a:graphic xmlns:a="http://schemas.openxmlformats.org/drawingml/2006/main">
              <a:graphicData uri="http://schemas.openxmlformats.org/drawingml/2006/picture">
                <pic:pic xmlns:pic="http://schemas.openxmlformats.org/drawingml/2006/picture">
                  <pic:nvPicPr>
                    <pic:cNvPr id="2458739" name="Picture 2458739"/>
                    <pic:cNvPicPr/>
                  </pic:nvPicPr>
                  <pic:blipFill>
                    <a:blip r:embed="rId1372"/>
                    <a:stretch>
                      <a:fillRect/>
                    </a:stretch>
                  </pic:blipFill>
                  <pic:spPr>
                    <a:xfrm>
                      <a:off x="0" y="0"/>
                      <a:ext cx="59436" cy="4572"/>
                    </a:xfrm>
                    <a:prstGeom prst="rect">
                      <a:avLst/>
                    </a:prstGeom>
                  </pic:spPr>
                </pic:pic>
              </a:graphicData>
            </a:graphic>
          </wp:anchor>
        </w:drawing>
      </w:r>
      <w:r>
        <w:rPr>
          <w:sz w:val="26"/>
        </w:rPr>
        <w:t xml:space="preserve">1 manifiestan en la Causa del presente hallazgo que dice "...declararon falsamente el hecho de recibir los boletos aéreos, resultando un perjuicio al Ministerio de </w:t>
      </w:r>
      <w:r>
        <w:rPr>
          <w:noProof/>
        </w:rPr>
        <w:drawing>
          <wp:inline distT="0" distB="0" distL="0" distR="0" wp14:anchorId="10C50E93" wp14:editId="72CCD36C">
            <wp:extent cx="4572" cy="4572"/>
            <wp:effectExtent l="0" t="0" r="0" b="0"/>
            <wp:docPr id="1000343" name="Picture 1000343"/>
            <wp:cNvGraphicFramePr/>
            <a:graphic xmlns:a="http://schemas.openxmlformats.org/drawingml/2006/main">
              <a:graphicData uri="http://schemas.openxmlformats.org/drawingml/2006/picture">
                <pic:pic xmlns:pic="http://schemas.openxmlformats.org/drawingml/2006/picture">
                  <pic:nvPicPr>
                    <pic:cNvPr id="1000343" name="Picture 1000343"/>
                    <pic:cNvPicPr/>
                  </pic:nvPicPr>
                  <pic:blipFill>
                    <a:blip r:embed="rId845"/>
                    <a:stretch>
                      <a:fillRect/>
                    </a:stretch>
                  </pic:blipFill>
                  <pic:spPr>
                    <a:xfrm>
                      <a:off x="0" y="0"/>
                      <a:ext cx="4572" cy="4572"/>
                    </a:xfrm>
                    <a:prstGeom prst="rect">
                      <a:avLst/>
                    </a:prstGeom>
                  </pic:spPr>
                </pic:pic>
              </a:graphicData>
            </a:graphic>
          </wp:inline>
        </w:drawing>
      </w:r>
      <w:r>
        <w:rPr>
          <w:sz w:val="26"/>
        </w:rPr>
        <w:t>1 Educación;..." manifestamos que:</w:t>
      </w:r>
    </w:p>
    <w:p w14:paraId="27012FC7" w14:textId="77777777" w:rsidR="00053D93" w:rsidRDefault="00260B75">
      <w:pPr>
        <w:numPr>
          <w:ilvl w:val="0"/>
          <w:numId w:val="12"/>
        </w:numPr>
        <w:spacing w:after="4" w:line="269" w:lineRule="auto"/>
        <w:ind w:right="14" w:firstLine="1699"/>
        <w:jc w:val="both"/>
      </w:pPr>
      <w:r>
        <w:rPr>
          <w:sz w:val="26"/>
        </w:rPr>
        <w:t>Como integrante de la comisión receptora y liquidadora determinamos RECIBIR 1 el servicio de transporte aéreo, con base a la documentación e informe que nos proporcionó la Sección de Alto Rendimiento, derivado que el nombramiento recaído sobre nosotros tuvo vigencia posterior a la fecha de utilización del servicio.</w:t>
      </w:r>
    </w:p>
    <w:p w14:paraId="7392A38E" w14:textId="77777777" w:rsidR="00053D93" w:rsidRDefault="00260B75">
      <w:pPr>
        <w:spacing w:after="3" w:line="265" w:lineRule="auto"/>
        <w:ind w:left="60" w:right="65" w:hanging="10"/>
      </w:pPr>
      <w:r>
        <w:rPr>
          <w:noProof/>
        </w:rPr>
        <w:drawing>
          <wp:inline distT="0" distB="0" distL="0" distR="0" wp14:anchorId="36D7D504" wp14:editId="1113BAD2">
            <wp:extent cx="9144" cy="9144"/>
            <wp:effectExtent l="0" t="0" r="0" b="0"/>
            <wp:docPr id="1000344" name="Picture 1000344"/>
            <wp:cNvGraphicFramePr/>
            <a:graphic xmlns:a="http://schemas.openxmlformats.org/drawingml/2006/main">
              <a:graphicData uri="http://schemas.openxmlformats.org/drawingml/2006/picture">
                <pic:pic xmlns:pic="http://schemas.openxmlformats.org/drawingml/2006/picture">
                  <pic:nvPicPr>
                    <pic:cNvPr id="1000344" name="Picture 1000344"/>
                    <pic:cNvPicPr/>
                  </pic:nvPicPr>
                  <pic:blipFill>
                    <a:blip r:embed="rId117"/>
                    <a:stretch>
                      <a:fillRect/>
                    </a:stretch>
                  </pic:blipFill>
                  <pic:spPr>
                    <a:xfrm>
                      <a:off x="0" y="0"/>
                      <a:ext cx="9144" cy="9144"/>
                    </a:xfrm>
                    <a:prstGeom prst="rect">
                      <a:avLst/>
                    </a:prstGeom>
                  </pic:spPr>
                </pic:pic>
              </a:graphicData>
            </a:graphic>
          </wp:inline>
        </w:drawing>
      </w:r>
      <w:r>
        <w:rPr>
          <w:sz w:val="66"/>
        </w:rPr>
        <w:t>1</w:t>
      </w:r>
    </w:p>
    <w:p w14:paraId="5B997C9D" w14:textId="77777777" w:rsidR="00053D93" w:rsidRDefault="00260B75">
      <w:pPr>
        <w:numPr>
          <w:ilvl w:val="0"/>
          <w:numId w:val="12"/>
        </w:numPr>
        <w:spacing w:after="199" w:line="269" w:lineRule="auto"/>
        <w:ind w:right="14" w:firstLine="1699"/>
        <w:jc w:val="both"/>
      </w:pPr>
      <w:r>
        <w:rPr>
          <w:sz w:val="26"/>
        </w:rPr>
        <w:t>Al determinar mediante el informe proporcionado por la unidad requirente que la</w:t>
      </w:r>
    </w:p>
    <w:p w14:paraId="2A4E80F5" w14:textId="77777777" w:rsidR="00053D93" w:rsidRDefault="00260B75">
      <w:pPr>
        <w:spacing w:after="591" w:line="328" w:lineRule="auto"/>
        <w:ind w:left="107" w:right="14" w:hanging="50"/>
        <w:jc w:val="both"/>
      </w:pPr>
      <w:r>
        <w:rPr>
          <w:sz w:val="26"/>
        </w:rPr>
        <w:t>1 empresa LAX TRAVEL S.A., brindó el servicio de transporte aéreo con un total de 107 boletos, se concluyó que ÚNICAMENTE, se cancelen los boletos que proporcionó la empresa, y que los boletos restantes y el flete no eran objetos de 1 pago alguno, derivado que en el informe de la Sección de Alto Rendimiento no se manifiesta su utilización.</w:t>
      </w:r>
    </w:p>
    <w:tbl>
      <w:tblPr>
        <w:tblStyle w:val="TableGrid"/>
        <w:tblpPr w:vertAnchor="page" w:horzAnchor="page" w:tblpX="2858" w:tblpY="14515"/>
        <w:tblOverlap w:val="never"/>
        <w:tblW w:w="7625" w:type="dxa"/>
        <w:tblInd w:w="0" w:type="dxa"/>
        <w:tblCellMar>
          <w:top w:w="41" w:type="dxa"/>
          <w:left w:w="1742" w:type="dxa"/>
          <w:right w:w="115" w:type="dxa"/>
        </w:tblCellMar>
        <w:tblLook w:val="04A0" w:firstRow="1" w:lastRow="0" w:firstColumn="1" w:lastColumn="0" w:noHBand="0" w:noVBand="1"/>
      </w:tblPr>
      <w:tblGrid>
        <w:gridCol w:w="7625"/>
      </w:tblGrid>
      <w:tr w:rsidR="00053D93" w14:paraId="00A04373" w14:textId="77777777">
        <w:trPr>
          <w:trHeight w:val="50"/>
        </w:trPr>
        <w:tc>
          <w:tcPr>
            <w:tcW w:w="7625" w:type="dxa"/>
            <w:tcBorders>
              <w:top w:val="nil"/>
              <w:left w:val="single" w:sz="2" w:space="0" w:color="000000"/>
              <w:bottom w:val="single" w:sz="2" w:space="0" w:color="000000"/>
              <w:right w:val="nil"/>
            </w:tcBorders>
          </w:tcPr>
          <w:p w14:paraId="20B5FC64" w14:textId="77777777" w:rsidR="00053D93" w:rsidRDefault="00053D93"/>
        </w:tc>
      </w:tr>
      <w:tr w:rsidR="00053D93" w14:paraId="71C40FA9" w14:textId="77777777">
        <w:trPr>
          <w:trHeight w:val="583"/>
        </w:trPr>
        <w:tc>
          <w:tcPr>
            <w:tcW w:w="7625" w:type="dxa"/>
            <w:tcBorders>
              <w:top w:val="single" w:sz="2" w:space="0" w:color="000000"/>
              <w:left w:val="single" w:sz="2" w:space="0" w:color="000000"/>
              <w:bottom w:val="nil"/>
              <w:right w:val="nil"/>
            </w:tcBorders>
          </w:tcPr>
          <w:p w14:paraId="1F485252" w14:textId="77777777" w:rsidR="00053D93" w:rsidRDefault="00260B75">
            <w:pPr>
              <w:ind w:left="828"/>
            </w:pPr>
            <w:r>
              <w:rPr>
                <w:sz w:val="14"/>
              </w:rPr>
              <w:t>MINISTERIO DE EDUCACION</w:t>
            </w:r>
          </w:p>
          <w:p w14:paraId="348AC877" w14:textId="77777777" w:rsidR="00053D93" w:rsidRDefault="00260B75">
            <w:pPr>
              <w:ind w:left="338"/>
            </w:pPr>
            <w:r>
              <w:rPr>
                <w:sz w:val="14"/>
              </w:rPr>
              <w:t>AUDITORÍA FINANCIERA Y DE CUMPLIMIENTO</w:t>
            </w:r>
          </w:p>
          <w:p w14:paraId="4B3956CF" w14:textId="77777777" w:rsidR="00053D93" w:rsidRDefault="00260B75">
            <w:r>
              <w:rPr>
                <w:sz w:val="14"/>
              </w:rPr>
              <w:t>PERIODO DEL 01 DE ENERO AL 31 DE OtClEMeRê DE 2024</w:t>
            </w:r>
          </w:p>
        </w:tc>
      </w:tr>
    </w:tbl>
    <w:p w14:paraId="0999C16E" w14:textId="77777777" w:rsidR="00053D93" w:rsidRDefault="00260B75">
      <w:pPr>
        <w:spacing w:after="129" w:line="269" w:lineRule="auto"/>
        <w:ind w:left="60" w:right="14" w:hanging="3"/>
        <w:jc w:val="both"/>
      </w:pPr>
      <w:r>
        <w:rPr>
          <w:noProof/>
        </w:rPr>
        <w:drawing>
          <wp:anchor distT="0" distB="0" distL="114300" distR="114300" simplePos="0" relativeHeight="252169216" behindDoc="0" locked="0" layoutInCell="1" allowOverlap="0" wp14:anchorId="3CF2BEE4" wp14:editId="4791F7EF">
            <wp:simplePos x="0" y="0"/>
            <wp:positionH relativeFrom="page">
              <wp:posOffset>667512</wp:posOffset>
            </wp:positionH>
            <wp:positionV relativeFrom="page">
              <wp:posOffset>9212580</wp:posOffset>
            </wp:positionV>
            <wp:extent cx="1124712" cy="406908"/>
            <wp:effectExtent l="0" t="0" r="0" b="0"/>
            <wp:wrapTopAndBottom/>
            <wp:docPr id="1000408" name="Picture 1000408"/>
            <wp:cNvGraphicFramePr/>
            <a:graphic xmlns:a="http://schemas.openxmlformats.org/drawingml/2006/main">
              <a:graphicData uri="http://schemas.openxmlformats.org/drawingml/2006/picture">
                <pic:pic xmlns:pic="http://schemas.openxmlformats.org/drawingml/2006/picture">
                  <pic:nvPicPr>
                    <pic:cNvPr id="1000408" name="Picture 1000408"/>
                    <pic:cNvPicPr/>
                  </pic:nvPicPr>
                  <pic:blipFill>
                    <a:blip r:embed="rId1373"/>
                    <a:stretch>
                      <a:fillRect/>
                    </a:stretch>
                  </pic:blipFill>
                  <pic:spPr>
                    <a:xfrm>
                      <a:off x="0" y="0"/>
                      <a:ext cx="1124712" cy="406908"/>
                    </a:xfrm>
                    <a:prstGeom prst="rect">
                      <a:avLst/>
                    </a:prstGeom>
                  </pic:spPr>
                </pic:pic>
              </a:graphicData>
            </a:graphic>
          </wp:anchor>
        </w:drawing>
      </w:r>
      <w:r>
        <w:rPr>
          <w:sz w:val="26"/>
        </w:rPr>
        <w:t xml:space="preserve">1 3) Se determinó que el costo del boleto se debe mantener según la oferta presentada por la empresa LAX TRAVEL, S.A., y la fianza de sostenimiento de la </w:t>
      </w:r>
      <w:r>
        <w:rPr>
          <w:noProof/>
        </w:rPr>
        <w:drawing>
          <wp:inline distT="0" distB="0" distL="0" distR="0" wp14:anchorId="45E17420" wp14:editId="7530C378">
            <wp:extent cx="18288" cy="9144"/>
            <wp:effectExtent l="0" t="0" r="0" b="0"/>
            <wp:docPr id="1000345" name="Picture 1000345"/>
            <wp:cNvGraphicFramePr/>
            <a:graphic xmlns:a="http://schemas.openxmlformats.org/drawingml/2006/main">
              <a:graphicData uri="http://schemas.openxmlformats.org/drawingml/2006/picture">
                <pic:pic xmlns:pic="http://schemas.openxmlformats.org/drawingml/2006/picture">
                  <pic:nvPicPr>
                    <pic:cNvPr id="1000345" name="Picture 1000345"/>
                    <pic:cNvPicPr/>
                  </pic:nvPicPr>
                  <pic:blipFill>
                    <a:blip r:embed="rId655"/>
                    <a:stretch>
                      <a:fillRect/>
                    </a:stretch>
                  </pic:blipFill>
                  <pic:spPr>
                    <a:xfrm>
                      <a:off x="0" y="0"/>
                      <a:ext cx="18288" cy="9144"/>
                    </a:xfrm>
                    <a:prstGeom prst="rect">
                      <a:avLst/>
                    </a:prstGeom>
                  </pic:spPr>
                </pic:pic>
              </a:graphicData>
            </a:graphic>
          </wp:inline>
        </w:drawing>
      </w:r>
      <w:r>
        <w:rPr>
          <w:sz w:val="26"/>
        </w:rPr>
        <w:t>1 oferta No. 0401-195969, por un monto unitario de Q. 4,780.00 cada uno, y un monto total de Q 51 1,460.00, mismo que se consignó en el acta administrativa correspondiente.</w:t>
      </w:r>
    </w:p>
    <w:p w14:paraId="6A9E5653" w14:textId="77777777" w:rsidR="00053D93" w:rsidRDefault="00260B75">
      <w:pPr>
        <w:spacing w:after="3" w:line="265" w:lineRule="auto"/>
        <w:ind w:left="60" w:right="65" w:hanging="10"/>
      </w:pPr>
      <w:r>
        <w:rPr>
          <w:sz w:val="66"/>
        </w:rPr>
        <w:t>1</w:t>
      </w:r>
    </w:p>
    <w:p w14:paraId="5762A54A" w14:textId="77777777" w:rsidR="00053D93" w:rsidRDefault="00260B75">
      <w:pPr>
        <w:spacing w:after="264" w:line="269" w:lineRule="auto"/>
        <w:ind w:left="1738" w:right="14" w:hanging="3"/>
        <w:jc w:val="both"/>
      </w:pPr>
      <w:r>
        <w:rPr>
          <w:sz w:val="26"/>
        </w:rPr>
        <w:t>Con relación al enunciado manifestado en la Causa donde indica "ni gestionaron los cobros adicionales o sanciones correspondientes, por los incumplimientos por</w:t>
      </w:r>
    </w:p>
    <w:p w14:paraId="7E6BDA60" w14:textId="77777777" w:rsidR="00053D93" w:rsidRDefault="00260B75">
      <w:pPr>
        <w:spacing w:after="132" w:line="341" w:lineRule="auto"/>
        <w:ind w:left="1677" w:right="14" w:hanging="1620"/>
        <w:jc w:val="both"/>
      </w:pPr>
      <w:r>
        <w:rPr>
          <w:sz w:val="26"/>
        </w:rPr>
        <w:t>1 parte del Contratista en dicho contrato", como integrantes de la comisión determinamos lo siguiente:</w:t>
      </w:r>
    </w:p>
    <w:p w14:paraId="0AA5948E" w14:textId="77777777" w:rsidR="00053D93" w:rsidRDefault="00260B75">
      <w:pPr>
        <w:spacing w:after="3"/>
        <w:ind w:left="74" w:right="3485" w:hanging="10"/>
      </w:pPr>
      <w:r>
        <w:rPr>
          <w:noProof/>
        </w:rPr>
        <w:drawing>
          <wp:inline distT="0" distB="0" distL="0" distR="0" wp14:anchorId="6AC7B63F" wp14:editId="0AA77F35">
            <wp:extent cx="13716" cy="4572"/>
            <wp:effectExtent l="0" t="0" r="0" b="0"/>
            <wp:docPr id="1000346" name="Picture 1000346"/>
            <wp:cNvGraphicFramePr/>
            <a:graphic xmlns:a="http://schemas.openxmlformats.org/drawingml/2006/main">
              <a:graphicData uri="http://schemas.openxmlformats.org/drawingml/2006/picture">
                <pic:pic xmlns:pic="http://schemas.openxmlformats.org/drawingml/2006/picture">
                  <pic:nvPicPr>
                    <pic:cNvPr id="1000346" name="Picture 1000346"/>
                    <pic:cNvPicPr/>
                  </pic:nvPicPr>
                  <pic:blipFill>
                    <a:blip r:embed="rId114"/>
                    <a:stretch>
                      <a:fillRect/>
                    </a:stretch>
                  </pic:blipFill>
                  <pic:spPr>
                    <a:xfrm>
                      <a:off x="0" y="0"/>
                      <a:ext cx="13716" cy="4572"/>
                    </a:xfrm>
                    <a:prstGeom prst="rect">
                      <a:avLst/>
                    </a:prstGeom>
                  </pic:spPr>
                </pic:pic>
              </a:graphicData>
            </a:graphic>
          </wp:inline>
        </w:drawing>
      </w:r>
      <w:r>
        <w:rPr>
          <w:sz w:val="70"/>
        </w:rPr>
        <w:t>1</w:t>
      </w:r>
    </w:p>
    <w:p w14:paraId="0D40D2D9" w14:textId="77777777" w:rsidR="00053D93" w:rsidRDefault="00260B75">
      <w:pPr>
        <w:spacing w:after="4" w:line="269" w:lineRule="auto"/>
        <w:ind w:left="1738" w:right="14" w:hanging="3"/>
        <w:jc w:val="both"/>
      </w:pPr>
      <w:r>
        <w:rPr>
          <w:sz w:val="26"/>
        </w:rPr>
        <w:t>1) Toda vez que mediante oficio DG-2107-2024 de fecha 1 1 de noviembre de</w:t>
      </w:r>
    </w:p>
    <w:p w14:paraId="0AE57859" w14:textId="77777777" w:rsidR="00053D93" w:rsidRDefault="00260B75">
      <w:pPr>
        <w:spacing w:after="159" w:line="269" w:lineRule="auto"/>
        <w:ind w:left="1724" w:right="14" w:hanging="3"/>
        <w:jc w:val="both"/>
      </w:pPr>
      <w:r>
        <w:rPr>
          <w:sz w:val="26"/>
        </w:rPr>
        <w:t>2024 se autoriza los cambios según numeral 3, 3.2.2 "los cambios serán</w:t>
      </w:r>
    </w:p>
    <w:p w14:paraId="20469393" w14:textId="77777777" w:rsidR="00053D93" w:rsidRDefault="00260B75">
      <w:pPr>
        <w:spacing w:after="240" w:line="269" w:lineRule="auto"/>
        <w:ind w:left="1706" w:right="14" w:hanging="1649"/>
        <w:jc w:val="both"/>
      </w:pPr>
      <w:r>
        <w:rPr>
          <w:noProof/>
        </w:rPr>
        <w:drawing>
          <wp:inline distT="0" distB="0" distL="0" distR="0" wp14:anchorId="56C7D285" wp14:editId="4AE40FFB">
            <wp:extent cx="13716" cy="4572"/>
            <wp:effectExtent l="0" t="0" r="0" b="0"/>
            <wp:docPr id="1000347" name="Picture 1000347"/>
            <wp:cNvGraphicFramePr/>
            <a:graphic xmlns:a="http://schemas.openxmlformats.org/drawingml/2006/main">
              <a:graphicData uri="http://schemas.openxmlformats.org/drawingml/2006/picture">
                <pic:pic xmlns:pic="http://schemas.openxmlformats.org/drawingml/2006/picture">
                  <pic:nvPicPr>
                    <pic:cNvPr id="1000347" name="Picture 1000347"/>
                    <pic:cNvPicPr/>
                  </pic:nvPicPr>
                  <pic:blipFill>
                    <a:blip r:embed="rId114"/>
                    <a:stretch>
                      <a:fillRect/>
                    </a:stretch>
                  </pic:blipFill>
                  <pic:spPr>
                    <a:xfrm>
                      <a:off x="0" y="0"/>
                      <a:ext cx="13716" cy="4572"/>
                    </a:xfrm>
                    <a:prstGeom prst="rect">
                      <a:avLst/>
                    </a:prstGeom>
                  </pic:spPr>
                </pic:pic>
              </a:graphicData>
            </a:graphic>
          </wp:inline>
        </w:drawing>
      </w:r>
      <w:r>
        <w:rPr>
          <w:sz w:val="26"/>
        </w:rPr>
        <w:t>1 autorizados única y exclusivamente por la Dirección General de Educación Física -DIGEF-", se autorizó la cantidad de 107 boletos aéreos para la delegación deportiva que participó en los Juegos Deportivos Escolares Centroamericanos del</w:t>
      </w:r>
    </w:p>
    <w:p w14:paraId="4E982C71" w14:textId="77777777" w:rsidR="00053D93" w:rsidRDefault="00260B75">
      <w:pPr>
        <w:spacing w:after="177" w:line="269" w:lineRule="auto"/>
        <w:ind w:left="1663" w:right="14" w:hanging="1606"/>
        <w:jc w:val="both"/>
      </w:pPr>
      <w:r>
        <w:rPr>
          <w:sz w:val="26"/>
        </w:rPr>
        <w:t>1 CODICADER, esta comisión realizó el acta de recepción y liquidación únicamente por los boletos recibidos.</w:t>
      </w:r>
    </w:p>
    <w:p w14:paraId="3EEDD42D" w14:textId="77777777" w:rsidR="00053D93" w:rsidRDefault="00260B75">
      <w:pPr>
        <w:spacing w:after="3" w:line="265" w:lineRule="auto"/>
        <w:ind w:left="125" w:right="65" w:hanging="10"/>
      </w:pPr>
      <w:r>
        <w:rPr>
          <w:sz w:val="66"/>
        </w:rPr>
        <w:t>1</w:t>
      </w:r>
    </w:p>
    <w:p w14:paraId="44F1961E" w14:textId="77777777" w:rsidR="00053D93" w:rsidRDefault="00260B75">
      <w:pPr>
        <w:numPr>
          <w:ilvl w:val="0"/>
          <w:numId w:val="13"/>
        </w:numPr>
        <w:spacing w:after="217" w:line="269" w:lineRule="auto"/>
        <w:ind w:right="14" w:firstLine="1598"/>
        <w:jc w:val="both"/>
      </w:pPr>
      <w:r>
        <w:rPr>
          <w:sz w:val="26"/>
        </w:rPr>
        <w:t>También es importante hacer de su conocimiento que el Decreto 76-97 Ley Nacional para el Desarrollo de la Cultura Física y del Deporte faculta al Director 1 General de la Dirección General de Educación Física en el artículo 40 y los incisos del a) al i) para la toma de decisiones para garantizar el buen funcionamiento de la 1 DIGEF y sus diversas actividades.</w:t>
      </w:r>
    </w:p>
    <w:p w14:paraId="0318D997" w14:textId="77777777" w:rsidR="00053D93" w:rsidRDefault="00260B75">
      <w:pPr>
        <w:numPr>
          <w:ilvl w:val="0"/>
          <w:numId w:val="13"/>
        </w:numPr>
        <w:spacing w:after="170" w:line="269" w:lineRule="auto"/>
        <w:ind w:right="14" w:firstLine="1598"/>
        <w:jc w:val="both"/>
      </w:pPr>
      <w:r>
        <w:rPr>
          <w:sz w:val="26"/>
        </w:rPr>
        <w:t>Por último es importante resaltar que todas las acciones que se realizaron por</w:t>
      </w:r>
    </w:p>
    <w:p w14:paraId="6B601D6A" w14:textId="77777777" w:rsidR="00053D93" w:rsidRDefault="00260B75">
      <w:pPr>
        <w:tabs>
          <w:tab w:val="right" w:pos="10224"/>
        </w:tabs>
        <w:spacing w:after="4" w:line="269" w:lineRule="auto"/>
      </w:pPr>
      <w:r>
        <w:rPr>
          <w:sz w:val="26"/>
        </w:rPr>
        <w:t>1</w:t>
      </w:r>
      <w:r>
        <w:rPr>
          <w:sz w:val="26"/>
        </w:rPr>
        <w:tab/>
        <w:t>parte de esta comisión receptora y liquidadora fueron posterior al evento antes</w:t>
      </w:r>
    </w:p>
    <w:p w14:paraId="6155681D" w14:textId="77777777" w:rsidR="00053D93" w:rsidRDefault="00260B75">
      <w:pPr>
        <w:spacing w:after="40"/>
        <w:ind w:left="1318" w:right="-821"/>
      </w:pPr>
      <w:r>
        <w:rPr>
          <w:noProof/>
        </w:rPr>
        <w:drawing>
          <wp:inline distT="0" distB="0" distL="0" distR="0" wp14:anchorId="2A45FDF5" wp14:editId="5A2C5773">
            <wp:extent cx="6172199" cy="100584"/>
            <wp:effectExtent l="0" t="0" r="0" b="0"/>
            <wp:docPr id="2458741" name="Picture 2458741"/>
            <wp:cNvGraphicFramePr/>
            <a:graphic xmlns:a="http://schemas.openxmlformats.org/drawingml/2006/main">
              <a:graphicData uri="http://schemas.openxmlformats.org/drawingml/2006/picture">
                <pic:pic xmlns:pic="http://schemas.openxmlformats.org/drawingml/2006/picture">
                  <pic:nvPicPr>
                    <pic:cNvPr id="2458741" name="Picture 2458741"/>
                    <pic:cNvPicPr/>
                  </pic:nvPicPr>
                  <pic:blipFill>
                    <a:blip r:embed="rId1374"/>
                    <a:stretch>
                      <a:fillRect/>
                    </a:stretch>
                  </pic:blipFill>
                  <pic:spPr>
                    <a:xfrm>
                      <a:off x="0" y="0"/>
                      <a:ext cx="6172199" cy="100584"/>
                    </a:xfrm>
                    <a:prstGeom prst="rect">
                      <a:avLst/>
                    </a:prstGeom>
                  </pic:spPr>
                </pic:pic>
              </a:graphicData>
            </a:graphic>
          </wp:inline>
        </w:drawing>
      </w:r>
    </w:p>
    <w:p w14:paraId="24881400" w14:textId="77777777" w:rsidR="00053D93" w:rsidRDefault="00260B75">
      <w:pPr>
        <w:spacing w:after="120" w:line="269" w:lineRule="auto"/>
        <w:ind w:left="60" w:right="14" w:hanging="3"/>
        <w:jc w:val="both"/>
      </w:pPr>
      <w:r>
        <w:rPr>
          <w:sz w:val="26"/>
        </w:rPr>
        <w:t>1 descrito, y con el propósito de cumplir con el nombramiento recaido sobre nosotros, se tomaron las acciones antes descritas concluyendo en el acta 1 administrativa No. 127-2024 de fecha 20 de diciembre de 2024, con el fin de que la Dirección General de Educación Física, cancele ÚNICAMENTE, los servicios que fueron recibidos al precio ofertado en la formalización del contrato</w:t>
      </w:r>
    </w:p>
    <w:p w14:paraId="13741A52" w14:textId="77777777" w:rsidR="00053D93" w:rsidRDefault="00260B75">
      <w:pPr>
        <w:spacing w:after="411" w:line="365" w:lineRule="auto"/>
        <w:ind w:left="1763" w:right="14" w:hanging="1706"/>
        <w:jc w:val="both"/>
      </w:pPr>
      <w:r>
        <w:rPr>
          <w:noProof/>
        </w:rPr>
        <w:drawing>
          <wp:anchor distT="0" distB="0" distL="114300" distR="114300" simplePos="0" relativeHeight="252170240" behindDoc="0" locked="0" layoutInCell="1" allowOverlap="0" wp14:anchorId="7223C080" wp14:editId="609CD3A7">
            <wp:simplePos x="0" y="0"/>
            <wp:positionH relativeFrom="column">
              <wp:posOffset>4096512</wp:posOffset>
            </wp:positionH>
            <wp:positionV relativeFrom="paragraph">
              <wp:posOffset>194254</wp:posOffset>
            </wp:positionV>
            <wp:extent cx="36576" cy="41148"/>
            <wp:effectExtent l="0" t="0" r="0" b="0"/>
            <wp:wrapSquare wrapText="bothSides"/>
            <wp:docPr id="1004118" name="Picture 1004118"/>
            <wp:cNvGraphicFramePr/>
            <a:graphic xmlns:a="http://schemas.openxmlformats.org/drawingml/2006/main">
              <a:graphicData uri="http://schemas.openxmlformats.org/drawingml/2006/picture">
                <pic:pic xmlns:pic="http://schemas.openxmlformats.org/drawingml/2006/picture">
                  <pic:nvPicPr>
                    <pic:cNvPr id="1004118" name="Picture 1004118"/>
                    <pic:cNvPicPr/>
                  </pic:nvPicPr>
                  <pic:blipFill>
                    <a:blip r:embed="rId1375"/>
                    <a:stretch>
                      <a:fillRect/>
                    </a:stretch>
                  </pic:blipFill>
                  <pic:spPr>
                    <a:xfrm>
                      <a:off x="0" y="0"/>
                      <a:ext cx="36576" cy="41148"/>
                    </a:xfrm>
                    <a:prstGeom prst="rect">
                      <a:avLst/>
                    </a:prstGeom>
                  </pic:spPr>
                </pic:pic>
              </a:graphicData>
            </a:graphic>
          </wp:anchor>
        </w:drawing>
      </w:r>
      <w:r>
        <w:rPr>
          <w:sz w:val="26"/>
        </w:rPr>
        <w:t>1 administrativo correspondiente, y de esta manera evitar menoscabo para los intereses del estado y por ende para DIGEF...</w:t>
      </w:r>
    </w:p>
    <w:p w14:paraId="682278DA" w14:textId="77777777" w:rsidR="00053D93" w:rsidRDefault="00260B75">
      <w:pPr>
        <w:tabs>
          <w:tab w:val="center" w:pos="3046"/>
        </w:tabs>
        <w:spacing w:after="4" w:line="269" w:lineRule="auto"/>
      </w:pPr>
      <w:r>
        <w:rPr>
          <w:sz w:val="26"/>
        </w:rPr>
        <w:t>1</w:t>
      </w:r>
      <w:r>
        <w:rPr>
          <w:sz w:val="26"/>
        </w:rPr>
        <w:tab/>
        <w:t>Comentario de auditoría</w:t>
      </w:r>
    </w:p>
    <w:p w14:paraId="0D8344D3" w14:textId="77777777" w:rsidR="00053D93" w:rsidRDefault="00260B75">
      <w:pPr>
        <w:spacing w:after="4" w:line="269" w:lineRule="auto"/>
        <w:ind w:left="57" w:right="14" w:firstLine="1692"/>
        <w:jc w:val="both"/>
      </w:pPr>
      <w:r>
        <w:rPr>
          <w:sz w:val="26"/>
        </w:rPr>
        <w:t>Se confirma el hallazgo para el licenciado Edgar Estuardo Rodríguez López, quien 1 fungió como Director General en Funciones, por el período comprendido del 01 de octubre de 2024 al 31 de diciembre de 2024; en virtud que, las pruebas presentadas no son suficientes, a pesar que, el responsable manifiesta que de 1 conformidad con lo establecido en el numeral 3.2.2 de las Especificaciones</w:t>
      </w:r>
    </w:p>
    <w:tbl>
      <w:tblPr>
        <w:tblStyle w:val="TableGrid"/>
        <w:tblpPr w:vertAnchor="page" w:horzAnchor="page" w:tblpX="2869" w:tblpY="14671"/>
        <w:tblOverlap w:val="never"/>
        <w:tblW w:w="7650" w:type="dxa"/>
        <w:tblInd w:w="0" w:type="dxa"/>
        <w:tblCellMar>
          <w:top w:w="35" w:type="dxa"/>
          <w:left w:w="1775" w:type="dxa"/>
          <w:right w:w="115" w:type="dxa"/>
        </w:tblCellMar>
        <w:tblLook w:val="04A0" w:firstRow="1" w:lastRow="0" w:firstColumn="1" w:lastColumn="0" w:noHBand="0" w:noVBand="1"/>
      </w:tblPr>
      <w:tblGrid>
        <w:gridCol w:w="7650"/>
      </w:tblGrid>
      <w:tr w:rsidR="00053D93" w14:paraId="264C5AFC" w14:textId="77777777">
        <w:trPr>
          <w:trHeight w:val="600"/>
        </w:trPr>
        <w:tc>
          <w:tcPr>
            <w:tcW w:w="7650" w:type="dxa"/>
            <w:tcBorders>
              <w:top w:val="single" w:sz="2" w:space="0" w:color="000000"/>
              <w:left w:val="single" w:sz="2" w:space="0" w:color="000000"/>
              <w:bottom w:val="nil"/>
              <w:right w:val="nil"/>
            </w:tcBorders>
          </w:tcPr>
          <w:p w14:paraId="7FF40F44" w14:textId="77777777" w:rsidR="00053D93" w:rsidRDefault="00260B75">
            <w:pPr>
              <w:ind w:left="835"/>
            </w:pPr>
            <w:r>
              <w:rPr>
                <w:sz w:val="14"/>
              </w:rPr>
              <w:t>MINISTERIO DE EDUCACION</w:t>
            </w:r>
          </w:p>
          <w:p w14:paraId="50FAA1E2" w14:textId="77777777" w:rsidR="00053D93" w:rsidRDefault="00260B75">
            <w:pPr>
              <w:ind w:left="346"/>
            </w:pPr>
            <w:r>
              <w:rPr>
                <w:sz w:val="14"/>
              </w:rPr>
              <w:t>AUDITORIA FINANCIERA Y DE CUMPLIMIENTO</w:t>
            </w:r>
          </w:p>
          <w:p w14:paraId="3A213072" w14:textId="77777777" w:rsidR="00053D93" w:rsidRDefault="00260B75">
            <w:r>
              <w:rPr>
                <w:sz w:val="14"/>
              </w:rPr>
              <w:t>PERIODO DEL 01 DE ENERO AL 31 DE DICIEMBRE DE 2024</w:t>
            </w:r>
          </w:p>
        </w:tc>
      </w:tr>
    </w:tbl>
    <w:p w14:paraId="5A4B39A8" w14:textId="77777777" w:rsidR="00053D93" w:rsidRDefault="00260B75">
      <w:pPr>
        <w:spacing w:after="511" w:line="269" w:lineRule="auto"/>
        <w:ind w:left="57" w:right="14" w:firstLine="1678"/>
        <w:jc w:val="both"/>
      </w:pPr>
      <w:r>
        <w:rPr>
          <w:noProof/>
        </w:rPr>
        <w:drawing>
          <wp:anchor distT="0" distB="0" distL="114300" distR="114300" simplePos="0" relativeHeight="252171264" behindDoc="0" locked="0" layoutInCell="1" allowOverlap="0" wp14:anchorId="7B708FE5" wp14:editId="284D496A">
            <wp:simplePos x="0" y="0"/>
            <wp:positionH relativeFrom="page">
              <wp:posOffset>699516</wp:posOffset>
            </wp:positionH>
            <wp:positionV relativeFrom="page">
              <wp:posOffset>9294875</wp:posOffset>
            </wp:positionV>
            <wp:extent cx="1065276" cy="406909"/>
            <wp:effectExtent l="0" t="0" r="0" b="0"/>
            <wp:wrapTopAndBottom/>
            <wp:docPr id="1004169" name="Picture 1004169"/>
            <wp:cNvGraphicFramePr/>
            <a:graphic xmlns:a="http://schemas.openxmlformats.org/drawingml/2006/main">
              <a:graphicData uri="http://schemas.openxmlformats.org/drawingml/2006/picture">
                <pic:pic xmlns:pic="http://schemas.openxmlformats.org/drawingml/2006/picture">
                  <pic:nvPicPr>
                    <pic:cNvPr id="1004169" name="Picture 1004169"/>
                    <pic:cNvPicPr/>
                  </pic:nvPicPr>
                  <pic:blipFill>
                    <a:blip r:embed="rId1376"/>
                    <a:stretch>
                      <a:fillRect/>
                    </a:stretch>
                  </pic:blipFill>
                  <pic:spPr>
                    <a:xfrm>
                      <a:off x="0" y="0"/>
                      <a:ext cx="1065276" cy="406909"/>
                    </a:xfrm>
                    <a:prstGeom prst="rect">
                      <a:avLst/>
                    </a:prstGeom>
                  </pic:spPr>
                </pic:pic>
              </a:graphicData>
            </a:graphic>
          </wp:anchor>
        </w:drawing>
      </w:r>
      <w:r>
        <w:rPr>
          <w:noProof/>
        </w:rPr>
        <w:drawing>
          <wp:anchor distT="0" distB="0" distL="114300" distR="114300" simplePos="0" relativeHeight="252172288" behindDoc="0" locked="0" layoutInCell="1" allowOverlap="0" wp14:anchorId="38063FD9" wp14:editId="62CC4797">
            <wp:simplePos x="0" y="0"/>
            <wp:positionH relativeFrom="page">
              <wp:posOffset>114300</wp:posOffset>
            </wp:positionH>
            <wp:positionV relativeFrom="page">
              <wp:posOffset>877824</wp:posOffset>
            </wp:positionV>
            <wp:extent cx="73152" cy="9144"/>
            <wp:effectExtent l="0" t="0" r="0" b="0"/>
            <wp:wrapTopAndBottom/>
            <wp:docPr id="2458743" name="Picture 2458743"/>
            <wp:cNvGraphicFramePr/>
            <a:graphic xmlns:a="http://schemas.openxmlformats.org/drawingml/2006/main">
              <a:graphicData uri="http://schemas.openxmlformats.org/drawingml/2006/picture">
                <pic:pic xmlns:pic="http://schemas.openxmlformats.org/drawingml/2006/picture">
                  <pic:nvPicPr>
                    <pic:cNvPr id="2458743" name="Picture 2458743"/>
                    <pic:cNvPicPr/>
                  </pic:nvPicPr>
                  <pic:blipFill>
                    <a:blip r:embed="rId1377"/>
                    <a:stretch>
                      <a:fillRect/>
                    </a:stretch>
                  </pic:blipFill>
                  <pic:spPr>
                    <a:xfrm>
                      <a:off x="0" y="0"/>
                      <a:ext cx="73152" cy="9144"/>
                    </a:xfrm>
                    <a:prstGeom prst="rect">
                      <a:avLst/>
                    </a:prstGeom>
                  </pic:spPr>
                </pic:pic>
              </a:graphicData>
            </a:graphic>
          </wp:anchor>
        </w:drawing>
      </w:r>
      <w:r>
        <w:rPr>
          <w:sz w:val="26"/>
        </w:rPr>
        <w:t xml:space="preserve">Técnicas de las bases del evento de cotización C-33/2024-MlNEDUC; los cambios 1 debían ser autorizados única y exclusivamente por la Dirección General de Educación Física DIGEF; sin embargo, el responsable debió tomar en cuenta lo establecido en las mismas Especificaciones Técnicas de las bases del evento de 1 cotización C-33/2024-MlNEDUC, numeral 2, literal a, que establece: "La cantidad de boletos aéreos podría disminuir al momento de la confirmación final, de acuerdo con la inscripción nominal definitiva de los Juegos Deportivos Escolares 1 Centroamericanos del CODICADER, para estudiantes con discapacidad." y no a solicitud del contratista, así como también debió considera lo establecido en el 1 numeral 3.2.3, literal "b" de las mismas Especificaciones Técnicas, en donde indican que los cambios de fecha por causas de fuerza mayor se limita únicamente a fenómenos climáticos, epidemias o cambios en programación del </w:t>
      </w:r>
      <w:r>
        <w:rPr>
          <w:noProof/>
        </w:rPr>
        <w:drawing>
          <wp:inline distT="0" distB="0" distL="0" distR="0" wp14:anchorId="51E34AF0" wp14:editId="17BEC649">
            <wp:extent cx="13716" cy="13715"/>
            <wp:effectExtent l="0" t="0" r="0" b="0"/>
            <wp:docPr id="1004170" name="Picture 1004170"/>
            <wp:cNvGraphicFramePr/>
            <a:graphic xmlns:a="http://schemas.openxmlformats.org/drawingml/2006/main">
              <a:graphicData uri="http://schemas.openxmlformats.org/drawingml/2006/picture">
                <pic:pic xmlns:pic="http://schemas.openxmlformats.org/drawingml/2006/picture">
                  <pic:nvPicPr>
                    <pic:cNvPr id="1004170" name="Picture 1004170"/>
                    <pic:cNvPicPr/>
                  </pic:nvPicPr>
                  <pic:blipFill>
                    <a:blip r:embed="rId1378"/>
                    <a:stretch>
                      <a:fillRect/>
                    </a:stretch>
                  </pic:blipFill>
                  <pic:spPr>
                    <a:xfrm>
                      <a:off x="0" y="0"/>
                      <a:ext cx="13716" cy="13715"/>
                    </a:xfrm>
                    <a:prstGeom prst="rect">
                      <a:avLst/>
                    </a:prstGeom>
                  </pic:spPr>
                </pic:pic>
              </a:graphicData>
            </a:graphic>
          </wp:inline>
        </w:drawing>
      </w:r>
      <w:r>
        <w:rPr>
          <w:sz w:val="26"/>
        </w:rPr>
        <w:t xml:space="preserve">1 evento por parte del Comité Organizador del país que organiza el evento, y la justificación presentada por el contratista, indica que fue por falta de espacio en aerolínea, lo cual no es coherente en las causas admitidas, cuyos cambios fueron </w:t>
      </w:r>
      <w:r>
        <w:rPr>
          <w:noProof/>
        </w:rPr>
        <mc:AlternateContent>
          <mc:Choice Requires="wpg">
            <w:drawing>
              <wp:inline distT="0" distB="0" distL="0" distR="0" wp14:anchorId="0CC9A3FB" wp14:editId="2EA49646">
                <wp:extent cx="114300" cy="288036"/>
                <wp:effectExtent l="0" t="0" r="0" b="0"/>
                <wp:docPr id="2456988" name="Group 2456988"/>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001062" name="Rectangle 1001062"/>
                        <wps:cNvSpPr/>
                        <wps:spPr>
                          <a:xfrm>
                            <a:off x="0" y="0"/>
                            <a:ext cx="152019" cy="383088"/>
                          </a:xfrm>
                          <a:prstGeom prst="rect">
                            <a:avLst/>
                          </a:prstGeom>
                          <a:ln>
                            <a:noFill/>
                          </a:ln>
                        </wps:spPr>
                        <wps:txbx>
                          <w:txbxContent>
                            <w:p w14:paraId="4D5B18FE"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0CC9A3FB" id="Group 2456988" o:spid="_x0000_s1552" style="width:9pt;height:22.7pt;mso-position-horizontal-relative:char;mso-position-vertical-relative:line"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">
                <v:rect id="Rectangle 1001062" o:spid="_x0000_s1553"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" filled="f" stroked="f">
                  <v:textbox inset="0,0,0,0">
                    <w:txbxContent>
                      <w:p w14:paraId="4D5B18FE" w14:textId="77777777" w:rsidR="00053D93" w:rsidRDefault="00260B75">
                        <w:r>
                          <w:rPr>
                            <w:sz w:val="70"/>
                          </w:rPr>
                          <w:t>1</w:t>
                        </w:r>
                      </w:p>
                    </w:txbxContent>
                  </v:textbox>
                </v:rect>
                <w10:anchorlock/>
              </v:group>
            </w:pict>
          </mc:Fallback>
        </mc:AlternateContent>
      </w:r>
      <w:r>
        <w:rPr>
          <w:sz w:val="26"/>
        </w:rPr>
        <w:t xml:space="preserve"> solicitados por [a entidad LAX TRAVEL, S.A., mediante nota y oficio sin número del 11 de noviembre de 2024 y fueron autorizados por el responsable mediante 1 oficio DG-2106A-2024 y Oficio No. DG 2107-2024, ambos del 1 1 de noviembre de 2024, en donde el responsable trasladó el listado de los participantes a los XI Juegos Deportivos, considerando la disponibilidad de 107 boletos aéreos que 1 manifestaba la entidad LAX TRAVEL, S.A., con el fin de que se continuara con los trámites internos; sin embargo, dicho listado difiere de la nómina de inscritos para el evento deportivo del CODICADER; dejando así evidencia de que el responsable 1 redujo la cantidad de boletos aéreos debido a la disponibilidad manifestada por la Agencia de Viajes y no de conformidad con el listado de participantes inscritos 1 para el evento, tal como lo establecen las Especificaciones Técnicas del evento de cotización C-33/2024-MlNEDUC.</w:t>
      </w:r>
    </w:p>
    <w:p w14:paraId="12EFC025" w14:textId="77777777" w:rsidR="00053D93" w:rsidRDefault="00260B75">
      <w:pPr>
        <w:tabs>
          <w:tab w:val="right" w:pos="10224"/>
        </w:tabs>
        <w:spacing w:after="4" w:line="269" w:lineRule="auto"/>
      </w:pPr>
      <w:r>
        <w:rPr>
          <w:sz w:val="26"/>
        </w:rPr>
        <w:t>1</w:t>
      </w:r>
      <w:r>
        <w:rPr>
          <w:sz w:val="26"/>
        </w:rPr>
        <w:tab/>
        <w:t>Asimismo, es importante mencionar que los 107 boletos aéreos fueron emitidos el</w:t>
      </w:r>
    </w:p>
    <w:p w14:paraId="12AB0451" w14:textId="77777777" w:rsidR="00053D93" w:rsidRDefault="00260B75">
      <w:pPr>
        <w:tabs>
          <w:tab w:val="center" w:pos="6890"/>
          <w:tab w:val="center" w:pos="7736"/>
        </w:tabs>
        <w:spacing w:after="113" w:line="313" w:lineRule="auto"/>
      </w:pPr>
      <w:r>
        <w:rPr>
          <w:sz w:val="16"/>
        </w:rPr>
        <w:tab/>
        <w:t xml:space="preserve">DE </w:t>
      </w:r>
      <w:r>
        <w:rPr>
          <w:sz w:val="16"/>
        </w:rPr>
        <w:tab/>
        <w:t xml:space="preserve">At </w:t>
      </w:r>
    </w:p>
    <w:p w14:paraId="45D145BB" w14:textId="77777777" w:rsidR="00053D93" w:rsidRDefault="00260B75">
      <w:pPr>
        <w:spacing w:after="28"/>
        <w:ind w:left="994" w:right="-50"/>
      </w:pPr>
      <w:r>
        <w:rPr>
          <w:noProof/>
        </w:rPr>
        <mc:AlternateContent>
          <mc:Choice Requires="wpg">
            <w:drawing>
              <wp:inline distT="0" distB="0" distL="0" distR="0" wp14:anchorId="7B25B6D8" wp14:editId="70E47E3E">
                <wp:extent cx="5879593" cy="18288"/>
                <wp:effectExtent l="0" t="0" r="0" b="0"/>
                <wp:docPr id="2458746" name="Group 2458746"/>
                <wp:cNvGraphicFramePr/>
                <a:graphic xmlns:a="http://schemas.openxmlformats.org/drawingml/2006/main">
                  <a:graphicData uri="http://schemas.microsoft.com/office/word/2010/wordprocessingGroup">
                    <wpg:wgp>
                      <wpg:cNvGrpSpPr/>
                      <wpg:grpSpPr>
                        <a:xfrm>
                          <a:off x="0" y="0"/>
                          <a:ext cx="5879593" cy="18288"/>
                          <a:chOff x="0" y="0"/>
                          <a:chExt cx="5879593" cy="18288"/>
                        </a:xfrm>
                      </wpg:grpSpPr>
                      <wps:wsp>
                        <wps:cNvPr id="2458745" name="Shape 2458745"/>
                        <wps:cNvSpPr/>
                        <wps:spPr>
                          <a:xfrm>
                            <a:off x="0" y="0"/>
                            <a:ext cx="5879593" cy="18288"/>
                          </a:xfrm>
                          <a:custGeom>
                            <a:avLst/>
                            <a:gdLst/>
                            <a:ahLst/>
                            <a:cxnLst/>
                            <a:rect l="0" t="0" r="0" b="0"/>
                            <a:pathLst>
                              <a:path w="5879593" h="18288">
                                <a:moveTo>
                                  <a:pt x="0" y="9144"/>
                                </a:moveTo>
                                <a:lnTo>
                                  <a:pt x="5879593"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746" style="width:462.96pt;height:1.43999pt;mso-position-horizontal-relative:char;mso-position-vertical-relative:line" coordsize="58795,182">
                <v:shape id="Shape 2458745" style="position:absolute;width:58795;height:182;left:0;top:0;" coordsize="5879593,18288" path="m0,9144l5879593,9144">
                  <v:stroke weight="1.43999pt" endcap="flat" joinstyle="miter" miterlimit="1" on="true" color="#000000"/>
                  <v:fill on="false" color="#000000"/>
                </v:shape>
              </v:group>
            </w:pict>
          </mc:Fallback>
        </mc:AlternateContent>
      </w:r>
    </w:p>
    <w:p w14:paraId="086CFA84" w14:textId="77777777" w:rsidR="00053D93" w:rsidRDefault="00260B75">
      <w:pPr>
        <w:spacing w:after="4" w:line="269" w:lineRule="auto"/>
        <w:ind w:left="60" w:right="14" w:hanging="3"/>
        <w:jc w:val="both"/>
      </w:pPr>
      <w:r>
        <w:rPr>
          <w:sz w:val="26"/>
        </w:rPr>
        <w:t>1 09 de noviembre de 2024, dos días antes que se aprobara la Adjudicación y el Contrato Administrativo Número 01-2024-DIGEF-CD, mediante el Acuerdo 1 Ministerial Número 3370-2024 del 1 1 de noviembre de 2024 y dos días antes del cruce de cartas entre el Director General en Funciones y la entidad LAX TRAVEL, S.A., en donde el contratista manifestó que solo se podía adquirir 107 de los 188 1 boletos aéreos previstos y en respuesta, el responsable ese mismo 1 1 de noviembre de 2024, envió al contratista el listado de los 107 participantes; incumpliendo así lo establecido en las Disposiciones Especiales del Proceso de 1 Cotización C-03312024-MlNEDUC, numeral 23, que establece: "La Dirección</w:t>
      </w:r>
    </w:p>
    <w:p w14:paraId="57D35CCA" w14:textId="77777777" w:rsidR="00053D93" w:rsidRDefault="00260B75">
      <w:pPr>
        <w:spacing w:after="3" w:line="273" w:lineRule="auto"/>
        <w:ind w:left="21" w:firstLine="1714"/>
      </w:pPr>
      <w:r>
        <w:rPr>
          <w:noProof/>
        </w:rPr>
        <w:drawing>
          <wp:anchor distT="0" distB="0" distL="114300" distR="114300" simplePos="0" relativeHeight="252173312" behindDoc="0" locked="0" layoutInCell="1" allowOverlap="0" wp14:anchorId="08CC0172" wp14:editId="15601BB4">
            <wp:simplePos x="0" y="0"/>
            <wp:positionH relativeFrom="column">
              <wp:posOffset>772668</wp:posOffset>
            </wp:positionH>
            <wp:positionV relativeFrom="paragraph">
              <wp:posOffset>724725</wp:posOffset>
            </wp:positionV>
            <wp:extent cx="18288" cy="13716"/>
            <wp:effectExtent l="0" t="0" r="0" b="0"/>
            <wp:wrapSquare wrapText="bothSides"/>
            <wp:docPr id="1008077" name="Picture 1008077"/>
            <wp:cNvGraphicFramePr/>
            <a:graphic xmlns:a="http://schemas.openxmlformats.org/drawingml/2006/main">
              <a:graphicData uri="http://schemas.openxmlformats.org/drawingml/2006/picture">
                <pic:pic xmlns:pic="http://schemas.openxmlformats.org/drawingml/2006/picture">
                  <pic:nvPicPr>
                    <pic:cNvPr id="1008077" name="Picture 1008077"/>
                    <pic:cNvPicPr/>
                  </pic:nvPicPr>
                  <pic:blipFill>
                    <a:blip r:embed="rId1379"/>
                    <a:stretch>
                      <a:fillRect/>
                    </a:stretch>
                  </pic:blipFill>
                  <pic:spPr>
                    <a:xfrm>
                      <a:off x="0" y="0"/>
                      <a:ext cx="18288" cy="13716"/>
                    </a:xfrm>
                    <a:prstGeom prst="rect">
                      <a:avLst/>
                    </a:prstGeom>
                  </pic:spPr>
                </pic:pic>
              </a:graphicData>
            </a:graphic>
          </wp:anchor>
        </w:drawing>
      </w:r>
      <w:r>
        <w:rPr>
          <w:sz w:val="26"/>
        </w:rPr>
        <w:t>General de Educación Física confirmará por escrito a la Agencia de Viajes, a 1</w:t>
      </w:r>
      <w:r>
        <w:rPr>
          <w:sz w:val="26"/>
        </w:rPr>
        <w:tab/>
        <w:t>través de la Comisión Receptora y Liquidadora del Ministerio de Educación, la cantidad definitiva de boletos aéreos previo a su emisión; ya que la misma podría reducirse por caso de fuerza mayor" por lo que, para que la empresa pudiera 1</w:t>
      </w:r>
      <w:r>
        <w:rPr>
          <w:sz w:val="26"/>
        </w:rPr>
        <w:tab/>
        <w:t>emitir los boletos aéreos el 09 de noviembre de 2024, debió contar con el listado definitivo de forma anticipada a la fecha de aprobación de la adjudicación y del Contrato Administrativo el 1 1 de noviembre de 2024; sin dejar de lado que la 1</w:t>
      </w:r>
      <w:r>
        <w:rPr>
          <w:sz w:val="26"/>
        </w:rPr>
        <w:tab/>
        <w:t>comisión receptora y liquidadora fue nombrada hasta el 1 1 de noviembre de 2024, mediante la Resolución No. 4295-2024, emitida por la Ministra y el Viceministro de 1</w:t>
      </w:r>
      <w:r>
        <w:rPr>
          <w:sz w:val="26"/>
        </w:rPr>
        <w:tab/>
        <w:t>Educación.</w:t>
      </w:r>
    </w:p>
    <w:tbl>
      <w:tblPr>
        <w:tblStyle w:val="TableGrid"/>
        <w:tblpPr w:vertAnchor="page" w:horzAnchor="page" w:tblpX="2867" w:tblpY="14642"/>
        <w:tblOverlap w:val="never"/>
        <w:tblW w:w="7645" w:type="dxa"/>
        <w:tblInd w:w="0" w:type="dxa"/>
        <w:tblCellMar>
          <w:top w:w="42" w:type="dxa"/>
          <w:left w:w="1778" w:type="dxa"/>
          <w:right w:w="115" w:type="dxa"/>
        </w:tblCellMar>
        <w:tblLook w:val="04A0" w:firstRow="1" w:lastRow="0" w:firstColumn="1" w:lastColumn="0" w:noHBand="0" w:noVBand="1"/>
      </w:tblPr>
      <w:tblGrid>
        <w:gridCol w:w="7645"/>
      </w:tblGrid>
      <w:tr w:rsidR="00053D93" w14:paraId="5B8A3E25" w14:textId="77777777">
        <w:trPr>
          <w:trHeight w:val="608"/>
        </w:trPr>
        <w:tc>
          <w:tcPr>
            <w:tcW w:w="7645" w:type="dxa"/>
            <w:tcBorders>
              <w:top w:val="single" w:sz="2" w:space="0" w:color="000000"/>
              <w:left w:val="single" w:sz="2" w:space="0" w:color="000000"/>
              <w:bottom w:val="nil"/>
              <w:right w:val="nil"/>
            </w:tcBorders>
          </w:tcPr>
          <w:p w14:paraId="629B8C1F" w14:textId="77777777" w:rsidR="00053D93" w:rsidRDefault="00260B75">
            <w:pPr>
              <w:ind w:left="835"/>
            </w:pPr>
            <w:r>
              <w:rPr>
                <w:sz w:val="14"/>
              </w:rPr>
              <w:t>MINISTERIO OE EDUCACION</w:t>
            </w:r>
          </w:p>
          <w:p w14:paraId="045B59D5" w14:textId="77777777" w:rsidR="00053D93" w:rsidRDefault="00260B75">
            <w:pPr>
              <w:ind w:left="338"/>
            </w:pPr>
            <w:r>
              <w:rPr>
                <w:sz w:val="14"/>
              </w:rPr>
              <w:t>AUDITORIA FINANCIERA Y DE CUMPLIMIENTO</w:t>
            </w:r>
          </w:p>
          <w:p w14:paraId="3F91E851" w14:textId="77777777" w:rsidR="00053D93" w:rsidRDefault="00260B75">
            <w:r>
              <w:rPr>
                <w:sz w:val="14"/>
              </w:rPr>
              <w:t>PERIODO DEL 01 DE ENERO AL 31 OE DICIEMBRE OE 2024</w:t>
            </w:r>
          </w:p>
        </w:tc>
      </w:tr>
    </w:tbl>
    <w:p w14:paraId="617EFFA9" w14:textId="77777777" w:rsidR="00053D93" w:rsidRDefault="00260B75">
      <w:pPr>
        <w:spacing w:after="105" w:line="269" w:lineRule="auto"/>
        <w:ind w:left="57" w:right="14" w:firstLine="1678"/>
        <w:jc w:val="both"/>
      </w:pPr>
      <w:r>
        <w:rPr>
          <w:noProof/>
        </w:rPr>
        <w:drawing>
          <wp:anchor distT="0" distB="0" distL="114300" distR="114300" simplePos="0" relativeHeight="252174336" behindDoc="0" locked="0" layoutInCell="1" allowOverlap="0" wp14:anchorId="23137F17" wp14:editId="3DFF5FC2">
            <wp:simplePos x="0" y="0"/>
            <wp:positionH relativeFrom="page">
              <wp:posOffset>694944</wp:posOffset>
            </wp:positionH>
            <wp:positionV relativeFrom="page">
              <wp:posOffset>9276588</wp:posOffset>
            </wp:positionV>
            <wp:extent cx="1069848" cy="406908"/>
            <wp:effectExtent l="0" t="0" r="0" b="0"/>
            <wp:wrapTopAndBottom/>
            <wp:docPr id="1008126" name="Picture 1008126"/>
            <wp:cNvGraphicFramePr/>
            <a:graphic xmlns:a="http://schemas.openxmlformats.org/drawingml/2006/main">
              <a:graphicData uri="http://schemas.openxmlformats.org/drawingml/2006/picture">
                <pic:pic xmlns:pic="http://schemas.openxmlformats.org/drawingml/2006/picture">
                  <pic:nvPicPr>
                    <pic:cNvPr id="1008126" name="Picture 1008126"/>
                    <pic:cNvPicPr/>
                  </pic:nvPicPr>
                  <pic:blipFill>
                    <a:blip r:embed="rId1380"/>
                    <a:stretch>
                      <a:fillRect/>
                    </a:stretch>
                  </pic:blipFill>
                  <pic:spPr>
                    <a:xfrm>
                      <a:off x="0" y="0"/>
                      <a:ext cx="1069848" cy="406908"/>
                    </a:xfrm>
                    <a:prstGeom prst="rect">
                      <a:avLst/>
                    </a:prstGeom>
                  </pic:spPr>
                </pic:pic>
              </a:graphicData>
            </a:graphic>
          </wp:anchor>
        </w:drawing>
      </w:r>
      <w:r>
        <w:rPr>
          <w:noProof/>
        </w:rPr>
        <w:drawing>
          <wp:anchor distT="0" distB="0" distL="114300" distR="114300" simplePos="0" relativeHeight="252175360" behindDoc="0" locked="0" layoutInCell="1" allowOverlap="0" wp14:anchorId="09097D7B" wp14:editId="4C1F8FA8">
            <wp:simplePos x="0" y="0"/>
            <wp:positionH relativeFrom="page">
              <wp:posOffset>114300</wp:posOffset>
            </wp:positionH>
            <wp:positionV relativeFrom="page">
              <wp:posOffset>873252</wp:posOffset>
            </wp:positionV>
            <wp:extent cx="27432" cy="13716"/>
            <wp:effectExtent l="0" t="0" r="0" b="0"/>
            <wp:wrapTopAndBottom/>
            <wp:docPr id="1008076" name="Picture 1008076"/>
            <wp:cNvGraphicFramePr/>
            <a:graphic xmlns:a="http://schemas.openxmlformats.org/drawingml/2006/main">
              <a:graphicData uri="http://schemas.openxmlformats.org/drawingml/2006/picture">
                <pic:pic xmlns:pic="http://schemas.openxmlformats.org/drawingml/2006/picture">
                  <pic:nvPicPr>
                    <pic:cNvPr id="1008076" name="Picture 1008076"/>
                    <pic:cNvPicPr/>
                  </pic:nvPicPr>
                  <pic:blipFill>
                    <a:blip r:embed="rId1381"/>
                    <a:stretch>
                      <a:fillRect/>
                    </a:stretch>
                  </pic:blipFill>
                  <pic:spPr>
                    <a:xfrm>
                      <a:off x="0" y="0"/>
                      <a:ext cx="27432" cy="13716"/>
                    </a:xfrm>
                    <a:prstGeom prst="rect">
                      <a:avLst/>
                    </a:prstGeom>
                  </pic:spPr>
                </pic:pic>
              </a:graphicData>
            </a:graphic>
          </wp:anchor>
        </w:drawing>
      </w:r>
      <w:r>
        <w:rPr>
          <w:sz w:val="26"/>
        </w:rPr>
        <w:t>De igual forma, a pesar de que el licenciado Rodríguez, manifiesta que no realizó 1 un acto arbitrario en perjuicio de la DIGEF, al autorizar viáticos al exterior a 15 empleados de la DIGEF (01 1 personal permanente), asegurando que los boletos aéreos de los funcionarios no formaban parte del evento de cotización identificado 1 con el NOG 24709395; sin embargo, dichos funcionarios sí formaban parte del listado de participantes inscritos en los XI Juegos Deportivos Centroamericanos 1 para estudiantes con Discapacidad del CODICADER, que se llevó a cabo en la ciudad de Panamá del 12 al 17 de noviembre de 2024; cuyo listado se redujo debido a lo manifestado por la entidad LAX TRAVEL, S.A., mediante nota y oficio 1 sin número del 1 1 de noviembre de 2024, cuyos cambios fueron autorizados por el licenciado Rodríguez, mediante oficio DG-2106A-2024 y Oficio No. DG 2107-2024, ambos del 1 1 de noviembre de 2024. Cabe mencionar que, dentro del listado de 1 los 107 participantes al evento adjudicado que el responsable envío al contratista, no se incluyó a los 15 funcionarios mencionados, pero si formaban parte del 1 personal inscrito y contemplado para participar en el evento deportivo del CODICADER; Además, es importante mencionar que, los 15 boletos aéreos fueron adquiridos a la entidad LAX TRAVEL, S.A. y emitidos el 1 1 de noviembre 1 de 2024, mismo día que el contratista indicó que no era posible adquirir la totalidad de 188 boletos aéreos previstos, otorgándolos a la DIGEF, mediante la compra de viáticos al exterior, a un precio mayor al ofertado en el evento de Compra directa 1 por ausencia de ofertas del Proceso de Cotización C-03312024-MlNEDUC.</w:t>
      </w:r>
    </w:p>
    <w:p w14:paraId="6022D7A6" w14:textId="77777777" w:rsidR="00053D93" w:rsidRDefault="00260B75">
      <w:pPr>
        <w:tabs>
          <w:tab w:val="right" w:pos="10224"/>
        </w:tabs>
        <w:spacing w:after="4" w:line="269" w:lineRule="auto"/>
      </w:pPr>
      <w:r>
        <w:rPr>
          <w:sz w:val="26"/>
        </w:rPr>
        <w:t>1</w:t>
      </w:r>
      <w:r>
        <w:rPr>
          <w:sz w:val="26"/>
        </w:rPr>
        <w:tab/>
        <w:t>Cabe mencionar que, el responsable manifiesta que, la primera comisión</w:t>
      </w:r>
    </w:p>
    <w:p w14:paraId="33B7F2AB" w14:textId="77777777" w:rsidR="00053D93" w:rsidRDefault="00053D93">
      <w:pPr>
        <w:sectPr w:rsidR="00053D93">
          <w:headerReference w:type="even" r:id="rId1382"/>
          <w:headerReference w:type="default" r:id="rId1383"/>
          <w:footerReference w:type="even" r:id="rId1384"/>
          <w:footerReference w:type="default" r:id="rId1385"/>
          <w:headerReference w:type="first" r:id="rId1386"/>
          <w:footerReference w:type="first" r:id="rId1387"/>
          <w:pgSz w:w="12290" w:h="15883"/>
          <w:pgMar w:top="785" w:right="1771" w:bottom="662" w:left="295" w:header="331" w:footer="720" w:gutter="0"/>
          <w:cols w:space="720"/>
          <w:titlePg/>
        </w:sectPr>
      </w:pPr>
    </w:p>
    <w:p w14:paraId="32E54B29" w14:textId="77777777" w:rsidR="00053D93" w:rsidRDefault="00260B75">
      <w:pPr>
        <w:spacing w:after="179" w:line="339" w:lineRule="auto"/>
        <w:ind w:left="5280" w:right="1620" w:hanging="10"/>
        <w:jc w:val="center"/>
      </w:pPr>
      <w:r>
        <w:rPr>
          <w:sz w:val="14"/>
        </w:rPr>
        <w:t xml:space="preserve">OE </w:t>
      </w:r>
    </w:p>
    <w:p w14:paraId="218130D9" w14:textId="77777777" w:rsidR="00053D93" w:rsidRDefault="00260B75">
      <w:pPr>
        <w:spacing w:after="34"/>
        <w:ind w:left="1735" w:right="-598"/>
      </w:pPr>
      <w:r>
        <w:rPr>
          <w:noProof/>
        </w:rPr>
        <w:drawing>
          <wp:inline distT="0" distB="0" distL="0" distR="0" wp14:anchorId="71D6EDCE" wp14:editId="5D6DE681">
            <wp:extent cx="5769864" cy="36576"/>
            <wp:effectExtent l="0" t="0" r="0" b="0"/>
            <wp:docPr id="2458747" name="Picture 2458747"/>
            <wp:cNvGraphicFramePr/>
            <a:graphic xmlns:a="http://schemas.openxmlformats.org/drawingml/2006/main">
              <a:graphicData uri="http://schemas.openxmlformats.org/drawingml/2006/picture">
                <pic:pic xmlns:pic="http://schemas.openxmlformats.org/drawingml/2006/picture">
                  <pic:nvPicPr>
                    <pic:cNvPr id="2458747" name="Picture 2458747"/>
                    <pic:cNvPicPr/>
                  </pic:nvPicPr>
                  <pic:blipFill>
                    <a:blip r:embed="rId1388"/>
                    <a:stretch>
                      <a:fillRect/>
                    </a:stretch>
                  </pic:blipFill>
                  <pic:spPr>
                    <a:xfrm>
                      <a:off x="0" y="0"/>
                      <a:ext cx="5769864" cy="36576"/>
                    </a:xfrm>
                    <a:prstGeom prst="rect">
                      <a:avLst/>
                    </a:prstGeom>
                  </pic:spPr>
                </pic:pic>
              </a:graphicData>
            </a:graphic>
          </wp:inline>
        </w:drawing>
      </w:r>
    </w:p>
    <w:p w14:paraId="743BBD36" w14:textId="77777777" w:rsidR="00053D93" w:rsidRDefault="00260B75">
      <w:pPr>
        <w:tabs>
          <w:tab w:val="right" w:pos="10238"/>
        </w:tabs>
        <w:spacing w:after="4" w:line="269" w:lineRule="auto"/>
      </w:pPr>
      <w:r>
        <w:rPr>
          <w:sz w:val="26"/>
        </w:rPr>
        <w:t>1</w:t>
      </w:r>
      <w:r>
        <w:rPr>
          <w:sz w:val="26"/>
        </w:rPr>
        <w:tab/>
        <w:t>receptora y liquidadora nombrada para liquidar el Contrato Administrativo Número</w:t>
      </w:r>
    </w:p>
    <w:p w14:paraId="32D6AC4A" w14:textId="77777777" w:rsidR="00053D93" w:rsidRDefault="00260B75">
      <w:pPr>
        <w:spacing w:after="152" w:line="269" w:lineRule="auto"/>
        <w:ind w:left="57" w:right="14" w:firstLine="1728"/>
        <w:jc w:val="both"/>
      </w:pPr>
      <w:r>
        <w:rPr>
          <w:sz w:val="26"/>
        </w:rPr>
        <w:t xml:space="preserve">01-2024-DIGEF-CD, no cumplió con la función encomendada, procedió a solicitar 1 a la Ministra de Educación mediante el oficio DG No. 2300-2024 del 1 1 de diciembre de 2024, el nombramiento de una nueva comisión receptora y liquidadora; sin embargo, dentro de los comentarios realizados no hizo mención al 1 seguimiento que debió realizar con respecto a las razones por las cuales la primera comisión receptora y liquidadora no recibió el objeto del contrato administrativo y se abstuvo de liquidarlo, mismos que se encuentran detallados en 1 el Acta Administrativa Número 01-2024 del 13 de noviembre de 2024, en donde los miembros de la primera comisión receptora y liquidadora, manifestaron en el 1 punto Sexto de dicha acta, que no recibían de conformidad y a entera satisfacción el objeto del Contrato Administrativo 01-2024-DIGEF-CD, por lo que abstuvieron de elaborar el acta de liquidación por no haber recibido la compra realizada de 1 boletos aéreos, ya que en el punto Cuarto de la misma acta, manifestaron que al 13 de noviembre de 2024, dicha comisión desconocía la cantidad de boletos aéreos adquiridos, la nómina de atletas y cuerpo técnico, por lo que no habían 1 recibido los boletos aéreos por parte de la entidad LAX TRAVEL, S.A. y en el punto Quinto, manifiestan que a la fecha del acta, desconocen quién recepcionó </w:t>
      </w:r>
      <w:r>
        <w:rPr>
          <w:noProof/>
        </w:rPr>
        <w:drawing>
          <wp:inline distT="0" distB="0" distL="0" distR="0" wp14:anchorId="5C30C7A4" wp14:editId="5667C42E">
            <wp:extent cx="9144" cy="9144"/>
            <wp:effectExtent l="0" t="0" r="0" b="0"/>
            <wp:docPr id="1011925" name="Picture 1011925"/>
            <wp:cNvGraphicFramePr/>
            <a:graphic xmlns:a="http://schemas.openxmlformats.org/drawingml/2006/main">
              <a:graphicData uri="http://schemas.openxmlformats.org/drawingml/2006/picture">
                <pic:pic xmlns:pic="http://schemas.openxmlformats.org/drawingml/2006/picture">
                  <pic:nvPicPr>
                    <pic:cNvPr id="1011925" name="Picture 1011925"/>
                    <pic:cNvPicPr/>
                  </pic:nvPicPr>
                  <pic:blipFill>
                    <a:blip r:embed="rId117"/>
                    <a:stretch>
                      <a:fillRect/>
                    </a:stretch>
                  </pic:blipFill>
                  <pic:spPr>
                    <a:xfrm>
                      <a:off x="0" y="0"/>
                      <a:ext cx="9144" cy="9144"/>
                    </a:xfrm>
                    <a:prstGeom prst="rect">
                      <a:avLst/>
                    </a:prstGeom>
                  </pic:spPr>
                </pic:pic>
              </a:graphicData>
            </a:graphic>
          </wp:inline>
        </w:drawing>
      </w:r>
      <w:r>
        <w:rPr>
          <w:sz w:val="26"/>
        </w:rPr>
        <w:t>1 dichos boletos aéreos; por lo que el responsable debió dar el seguimiento necesario a las observaciones manifestadas por la primera Comisión receptora y liquidadora nombrada.</w:t>
      </w:r>
    </w:p>
    <w:p w14:paraId="709C6D78" w14:textId="77777777" w:rsidR="00053D93" w:rsidRDefault="00260B75">
      <w:pPr>
        <w:spacing w:after="3"/>
        <w:ind w:left="74" w:right="3485" w:hanging="10"/>
      </w:pPr>
      <w:r>
        <w:rPr>
          <w:sz w:val="70"/>
        </w:rPr>
        <w:t>1</w:t>
      </w:r>
    </w:p>
    <w:p w14:paraId="3C208596" w14:textId="77777777" w:rsidR="00053D93" w:rsidRDefault="00260B75">
      <w:pPr>
        <w:spacing w:after="4" w:line="269" w:lineRule="auto"/>
        <w:ind w:left="57" w:right="14" w:firstLine="1714"/>
        <w:jc w:val="both"/>
      </w:pPr>
      <w:r>
        <w:rPr>
          <w:sz w:val="26"/>
        </w:rPr>
        <w:t>De igual forma, el responsable manifiesta que, la nueva comisión receptora y liquidadora recibió únicamente 107 boletos aéreos de los 188 adjudicados, en 1 virtud de que la cantidad de boletos aéreos podía disminuir; sin embargo dicha disminución debía ser por confirmación final de acuerdo con la inscripción nominal -1 definitiva de los Juegos Deportivos Escolares Centroamericanos del CODICADER, para estudiantes con discapacidad y no por falta de disponibilidad de la aerolínea, como ocurrió en el evento adjudicado, objeto del presente hallazgo. Cabe 1 mencionar que, a pesar que, los nuevos miembros de la comisión receptora y liquidadora recibieron los 107 boletos aéreos emitidos por la entidad LAX TRAVEL, S.A., mediante el Acta Administrativa Número 127-2024, del 20 de 1 diciembre de 2024, en dicha acta en el punto Sexto, indicaron que el contratista había cumplido a cabalidad dentro del plazo establecido, no habiendo cobros o 1 sanciones que aplicar; sin embargo, se puede observar claramente que la entidad</w:t>
      </w:r>
    </w:p>
    <w:p w14:paraId="46B1A209" w14:textId="77777777" w:rsidR="00053D93" w:rsidRDefault="00260B75">
      <w:pPr>
        <w:spacing w:after="3" w:line="269" w:lineRule="auto"/>
        <w:ind w:left="67" w:right="14" w:hanging="10"/>
        <w:jc w:val="right"/>
      </w:pPr>
      <w:r>
        <w:rPr>
          <w:sz w:val="26"/>
        </w:rPr>
        <w:t>LAX TRAVEL, S.A., no cumplió a cabalidad con lo establecido en el Contrato</w:t>
      </w:r>
    </w:p>
    <w:p w14:paraId="27A2053E" w14:textId="77777777" w:rsidR="00053D93" w:rsidRDefault="00260B75">
      <w:pPr>
        <w:spacing w:after="4" w:line="269" w:lineRule="auto"/>
        <w:ind w:left="57" w:right="79" w:firstLine="1606"/>
        <w:jc w:val="both"/>
      </w:pPr>
      <w:r>
        <w:rPr>
          <w:sz w:val="26"/>
        </w:rPr>
        <w:t>Administrativo Número No. 01-2024-DIGEF-CD, del 1 1 de noviembre de 2024 y en 1 las Especificaciones Técnicas de las bases del evento de cotización C-33/2024-MlNEDUC; los cuales se detallan a continuación: 1) Se realizaron y aprobaron cambios de última hora, en la cantidad de boletos aéreos a adquirir y en 1 el calendario de viajes, el mismo día que se celebró el Contrato Administrativo</w:t>
      </w:r>
    </w:p>
    <w:p w14:paraId="0DAFEA6D" w14:textId="77777777" w:rsidR="00053D93" w:rsidRDefault="00260B75">
      <w:pPr>
        <w:spacing w:after="117" w:line="269" w:lineRule="auto"/>
        <w:ind w:left="67" w:right="79" w:hanging="10"/>
        <w:jc w:val="right"/>
      </w:pPr>
      <w:r>
        <w:rPr>
          <w:sz w:val="26"/>
        </w:rPr>
        <w:t>Número 01-2024-DIGEF-CD, contraviniendo a lo establecido para el efecto en las</w:t>
      </w:r>
    </w:p>
    <w:p w14:paraId="30C11557" w14:textId="77777777" w:rsidR="00053D93" w:rsidRDefault="00260B75">
      <w:pPr>
        <w:tabs>
          <w:tab w:val="right" w:pos="10238"/>
        </w:tabs>
        <w:spacing w:after="4" w:line="266" w:lineRule="auto"/>
      </w:pPr>
      <w:r>
        <w:rPr>
          <w:sz w:val="28"/>
        </w:rPr>
        <w:t>1</w:t>
      </w:r>
      <w:r>
        <w:rPr>
          <w:sz w:val="28"/>
        </w:rPr>
        <w:tab/>
        <w:t>Especificaciones Técnicas de las bases del Proceso de Cotización</w:t>
      </w:r>
    </w:p>
    <w:tbl>
      <w:tblPr>
        <w:tblStyle w:val="TableGrid"/>
        <w:tblW w:w="9432" w:type="dxa"/>
        <w:tblInd w:w="720" w:type="dxa"/>
        <w:tblLook w:val="04A0" w:firstRow="1" w:lastRow="0" w:firstColumn="1" w:lastColumn="0" w:noHBand="0" w:noVBand="1"/>
      </w:tblPr>
      <w:tblGrid>
        <w:gridCol w:w="1312"/>
        <w:gridCol w:w="8206"/>
      </w:tblGrid>
      <w:tr w:rsidR="00053D93" w14:paraId="5235DA51" w14:textId="77777777">
        <w:trPr>
          <w:trHeight w:val="648"/>
        </w:trPr>
        <w:tc>
          <w:tcPr>
            <w:tcW w:w="1796" w:type="dxa"/>
            <w:tcBorders>
              <w:top w:val="nil"/>
              <w:left w:val="nil"/>
              <w:bottom w:val="nil"/>
              <w:right w:val="nil"/>
            </w:tcBorders>
          </w:tcPr>
          <w:p w14:paraId="7A5C77DA" w14:textId="77777777" w:rsidR="00053D93" w:rsidRDefault="00260B75">
            <w:r>
              <w:rPr>
                <w:noProof/>
              </w:rPr>
              <w:drawing>
                <wp:inline distT="0" distB="0" distL="0" distR="0" wp14:anchorId="65DDFE3D" wp14:editId="106F48B9">
                  <wp:extent cx="1129284" cy="411480"/>
                  <wp:effectExtent l="0" t="0" r="0" b="0"/>
                  <wp:docPr id="1011976" name="Picture 1011976"/>
                  <wp:cNvGraphicFramePr/>
                  <a:graphic xmlns:a="http://schemas.openxmlformats.org/drawingml/2006/main">
                    <a:graphicData uri="http://schemas.openxmlformats.org/drawingml/2006/picture">
                      <pic:pic xmlns:pic="http://schemas.openxmlformats.org/drawingml/2006/picture">
                        <pic:nvPicPr>
                          <pic:cNvPr id="1011976" name="Picture 1011976"/>
                          <pic:cNvPicPr/>
                        </pic:nvPicPr>
                        <pic:blipFill>
                          <a:blip r:embed="rId1389"/>
                          <a:stretch>
                            <a:fillRect/>
                          </a:stretch>
                        </pic:blipFill>
                        <pic:spPr>
                          <a:xfrm>
                            <a:off x="0" y="0"/>
                            <a:ext cx="1129284" cy="411480"/>
                          </a:xfrm>
                          <a:prstGeom prst="rect">
                            <a:avLst/>
                          </a:prstGeom>
                        </pic:spPr>
                      </pic:pic>
                    </a:graphicData>
                  </a:graphic>
                </wp:inline>
              </w:drawing>
            </w:r>
          </w:p>
        </w:tc>
        <w:tc>
          <w:tcPr>
            <w:tcW w:w="7636" w:type="dxa"/>
            <w:tcBorders>
              <w:top w:val="nil"/>
              <w:left w:val="nil"/>
              <w:bottom w:val="nil"/>
              <w:right w:val="nil"/>
            </w:tcBorders>
          </w:tcPr>
          <w:p w14:paraId="486EF0D0" w14:textId="77777777" w:rsidR="00053D93" w:rsidRDefault="00053D93">
            <w:pPr>
              <w:ind w:left="-2819" w:right="10454"/>
            </w:pPr>
          </w:p>
          <w:tbl>
            <w:tblPr>
              <w:tblStyle w:val="TableGrid"/>
              <w:tblW w:w="7618" w:type="dxa"/>
              <w:tblInd w:w="18" w:type="dxa"/>
              <w:tblCellMar>
                <w:top w:w="44" w:type="dxa"/>
                <w:left w:w="1742" w:type="dxa"/>
                <w:right w:w="115" w:type="dxa"/>
              </w:tblCellMar>
              <w:tblLook w:val="04A0" w:firstRow="1" w:lastRow="0" w:firstColumn="1" w:lastColumn="0" w:noHBand="0" w:noVBand="1"/>
            </w:tblPr>
            <w:tblGrid>
              <w:gridCol w:w="7618"/>
            </w:tblGrid>
            <w:tr w:rsidR="00053D93" w14:paraId="595BFF81" w14:textId="77777777">
              <w:trPr>
                <w:trHeight w:val="58"/>
              </w:trPr>
              <w:tc>
                <w:tcPr>
                  <w:tcW w:w="7618" w:type="dxa"/>
                  <w:tcBorders>
                    <w:top w:val="nil"/>
                    <w:left w:val="single" w:sz="2" w:space="0" w:color="000000"/>
                    <w:bottom w:val="single" w:sz="2" w:space="0" w:color="000000"/>
                    <w:right w:val="nil"/>
                  </w:tcBorders>
                </w:tcPr>
                <w:p w14:paraId="631936E6" w14:textId="77777777" w:rsidR="00053D93" w:rsidRDefault="00053D93"/>
              </w:tc>
            </w:tr>
            <w:tr w:rsidR="00053D93" w14:paraId="39E9437D" w14:textId="77777777">
              <w:trPr>
                <w:trHeight w:val="576"/>
              </w:trPr>
              <w:tc>
                <w:tcPr>
                  <w:tcW w:w="7618" w:type="dxa"/>
                  <w:tcBorders>
                    <w:top w:val="single" w:sz="2" w:space="0" w:color="000000"/>
                    <w:left w:val="single" w:sz="2" w:space="0" w:color="000000"/>
                    <w:bottom w:val="nil"/>
                    <w:right w:val="nil"/>
                  </w:tcBorders>
                </w:tcPr>
                <w:p w14:paraId="3965CB8F" w14:textId="77777777" w:rsidR="00053D93" w:rsidRDefault="00260B75">
                  <w:pPr>
                    <w:ind w:left="835"/>
                  </w:pPr>
                  <w:r>
                    <w:rPr>
                      <w:sz w:val="14"/>
                    </w:rPr>
                    <w:t>MINISTERIO DE EDUCACION</w:t>
                  </w:r>
                </w:p>
                <w:p w14:paraId="113F02AC" w14:textId="77777777" w:rsidR="00053D93" w:rsidRDefault="00260B75">
                  <w:pPr>
                    <w:ind w:left="331"/>
                  </w:pPr>
                  <w:r>
                    <w:rPr>
                      <w:sz w:val="14"/>
                    </w:rPr>
                    <w:t>AUDITORIA FINANCIERA Y OE CUMPLIMIENTO</w:t>
                  </w:r>
                </w:p>
                <w:p w14:paraId="39562C2B" w14:textId="77777777" w:rsidR="00053D93" w:rsidRDefault="00260B75">
                  <w:r>
                    <w:rPr>
                      <w:sz w:val="14"/>
                    </w:rPr>
                    <w:t>PERIODO DEL 01 DE ENERO AL 31 DE DICIEMBRE DE 2024</w:t>
                  </w:r>
                </w:p>
              </w:tc>
            </w:tr>
          </w:tbl>
          <w:p w14:paraId="44CEF265" w14:textId="77777777" w:rsidR="00053D93" w:rsidRDefault="00053D93"/>
        </w:tc>
      </w:tr>
    </w:tbl>
    <w:p w14:paraId="77053628" w14:textId="77777777" w:rsidR="00053D93" w:rsidRDefault="00260B75">
      <w:pPr>
        <w:spacing w:after="31"/>
        <w:ind w:left="1008" w:right="-360"/>
      </w:pPr>
      <w:r>
        <w:rPr>
          <w:noProof/>
        </w:rPr>
        <w:drawing>
          <wp:inline distT="0" distB="0" distL="0" distR="0" wp14:anchorId="18459D87" wp14:editId="41B8FFFC">
            <wp:extent cx="6080759" cy="54864"/>
            <wp:effectExtent l="0" t="0" r="0" b="0"/>
            <wp:docPr id="2458751" name="Picture 2458751"/>
            <wp:cNvGraphicFramePr/>
            <a:graphic xmlns:a="http://schemas.openxmlformats.org/drawingml/2006/main">
              <a:graphicData uri="http://schemas.openxmlformats.org/drawingml/2006/picture">
                <pic:pic xmlns:pic="http://schemas.openxmlformats.org/drawingml/2006/picture">
                  <pic:nvPicPr>
                    <pic:cNvPr id="2458751" name="Picture 2458751"/>
                    <pic:cNvPicPr/>
                  </pic:nvPicPr>
                  <pic:blipFill>
                    <a:blip r:embed="rId1390"/>
                    <a:stretch>
                      <a:fillRect/>
                    </a:stretch>
                  </pic:blipFill>
                  <pic:spPr>
                    <a:xfrm>
                      <a:off x="0" y="0"/>
                      <a:ext cx="6080759" cy="54864"/>
                    </a:xfrm>
                    <a:prstGeom prst="rect">
                      <a:avLst/>
                    </a:prstGeom>
                  </pic:spPr>
                </pic:pic>
              </a:graphicData>
            </a:graphic>
          </wp:inline>
        </w:drawing>
      </w:r>
    </w:p>
    <w:p w14:paraId="1DFB897B" w14:textId="77777777" w:rsidR="00053D93" w:rsidRDefault="00260B75">
      <w:pPr>
        <w:tabs>
          <w:tab w:val="right" w:pos="10238"/>
        </w:tabs>
        <w:spacing w:after="4" w:line="269" w:lineRule="auto"/>
      </w:pPr>
      <w:r>
        <w:rPr>
          <w:sz w:val="26"/>
        </w:rPr>
        <w:t>1</w:t>
      </w:r>
      <w:r>
        <w:rPr>
          <w:sz w:val="26"/>
        </w:rPr>
        <w:tab/>
        <w:t>C-33/2024-MlNEDUC, numeral 2, literal "a", numeral 3.2.3, literal "b" y numeral 7.</w:t>
      </w:r>
    </w:p>
    <w:p w14:paraId="55D5EB5B" w14:textId="77777777" w:rsidR="00053D93" w:rsidRDefault="00260B75">
      <w:pPr>
        <w:spacing w:after="4" w:line="269" w:lineRule="auto"/>
        <w:ind w:left="57" w:right="14" w:firstLine="1685"/>
        <w:jc w:val="both"/>
      </w:pPr>
      <w:r>
        <w:rPr>
          <w:sz w:val="26"/>
        </w:rPr>
        <w:t>2) Los boletos aéreos emitidos por el contratista y utilizados por la DIGEF en el 1 evento adjudicado, no fueron entregados a las personas establecidas en el lugar y hora indicados en el Contrato Administrativo Número 01-2024-DIGEF-CD, del 1 1 de noviembre de 2024 y según lo indicado en el numeral 12 de las 1 Especificaciones Técnicas de las bases del Proceso de Cotización C-33/2024-MlNEDUC; así como tampoco se tiene certeza de quién recepcionó los boleto aéreos adquiridos mediante la entidad LAX TRAVEL, S.A., los cuales 1 debían ser entregados directamente a la primera Comisión Receptora y liquidadora nombrada para el efecto, quienes mediante Acta Administrativa 1 Número 01-2024, del 13 de noviembre de 2024, en el Punto Sexto, no recibieron a entera conformidad el objeto del Contrato Administrativo Número 01-2024-DIGEF-CD, del 1 1 de noviembre de 2024, por no haber recibido la 1 compra realizada de los boletos aéreos. 3) Los 107 boletos aéreos fueron emitidos el 09 de noviembre de 2024, dos días antes que se aprobara la adjudicación del 1 evento y el Contrato Administrativo Número 01-2024-DIGEF-CD, mediante Acuerdo Ministerial Número 3370-2024, del 1 1 de noviembre de 2024, emitido por la Ministra y el Viceministro de Educación. 4) No se tiene certeza si la entidad LAX 1 TRAVEL, S.A. prestó el servicio de flete adjudicado, para el transporte de equipo de prensa y equipo médico, el cual no se recibió por parte de la nueva Comisión receptora y liquidadora; sin embargo la entidad LAX TRAVEL, S.A., lo requiere en 1 pago, de conformidad con lo manifestado por la entidad mediante el oficio sin número del 16 de diciembre de 2024, dirigido al Viceministro Técnico del Ministerio 1 de Educación y el Documento Tributario Electrónico serie: 18F821 DD, número:</w:t>
      </w:r>
    </w:p>
    <w:p w14:paraId="0AB2DA54" w14:textId="77777777" w:rsidR="00053D93" w:rsidRDefault="00260B75">
      <w:pPr>
        <w:spacing w:after="62"/>
        <w:ind w:left="43"/>
      </w:pPr>
      <w:r>
        <w:rPr>
          <w:noProof/>
        </w:rPr>
        <w:drawing>
          <wp:inline distT="0" distB="0" distL="0" distR="0" wp14:anchorId="71414C5F" wp14:editId="711BD2F1">
            <wp:extent cx="9144" cy="4572"/>
            <wp:effectExtent l="0" t="0" r="0" b="0"/>
            <wp:docPr id="1015953" name="Picture 1015953"/>
            <wp:cNvGraphicFramePr/>
            <a:graphic xmlns:a="http://schemas.openxmlformats.org/drawingml/2006/main">
              <a:graphicData uri="http://schemas.openxmlformats.org/drawingml/2006/picture">
                <pic:pic xmlns:pic="http://schemas.openxmlformats.org/drawingml/2006/picture">
                  <pic:nvPicPr>
                    <pic:cNvPr id="1015953" name="Picture 1015953"/>
                    <pic:cNvPicPr/>
                  </pic:nvPicPr>
                  <pic:blipFill>
                    <a:blip r:embed="rId24"/>
                    <a:stretch>
                      <a:fillRect/>
                    </a:stretch>
                  </pic:blipFill>
                  <pic:spPr>
                    <a:xfrm>
                      <a:off x="0" y="0"/>
                      <a:ext cx="9144" cy="4572"/>
                    </a:xfrm>
                    <a:prstGeom prst="rect">
                      <a:avLst/>
                    </a:prstGeom>
                  </pic:spPr>
                </pic:pic>
              </a:graphicData>
            </a:graphic>
          </wp:inline>
        </w:drawing>
      </w:r>
    </w:p>
    <w:p w14:paraId="0A6E7AF2" w14:textId="77777777" w:rsidR="00053D93" w:rsidRDefault="00260B75">
      <w:pPr>
        <w:spacing w:after="4" w:line="269" w:lineRule="auto"/>
        <w:ind w:left="57" w:right="14" w:firstLine="1685"/>
        <w:jc w:val="both"/>
      </w:pPr>
      <w:r>
        <w:rPr>
          <w:sz w:val="26"/>
        </w:rPr>
        <w:t>2490581832, del 16 de diciembre de 2024. 5) Se adquirieron 15 boletos aéreos a la entidad LAX TRAVEL, S.A. mediante viáticos al exterior, de personal que 1 formaba parte de los participantes inscritos para los Juegos Deportivos Escolares Centroamericanos del CODICADER, para estudiantes con discapacidad, que se llevó a cabo en la ciudad de Panamá, con fecha de emisión el 1 1 de noviembre de -1 2024, mismo día en que el contratista le indicó al Director General en Funciones de la DIGEF, mediante nota y oficio sin número, que no había sido posible adquirir 1 la totalidad de los boletos aéreos previstos, debido a falta de disponibilidad y variación en los precios de los boletos aéreos, adquiriéndolos a un precio mayor al adjudicado en el evento de Compra Directa por Ausencia de Ofertas del Evento 1 original de Cotización C-33/2024-MlNEDUC.</w:t>
      </w:r>
    </w:p>
    <w:p w14:paraId="4B6F52C1" w14:textId="77777777" w:rsidR="00053D93" w:rsidRDefault="00260B75">
      <w:pPr>
        <w:spacing w:after="39" w:line="269" w:lineRule="auto"/>
        <w:ind w:left="57" w:right="14" w:firstLine="1620"/>
        <w:jc w:val="both"/>
      </w:pPr>
      <w:r>
        <w:rPr>
          <w:sz w:val="26"/>
        </w:rPr>
        <w:t>Es importante mencionar que, el Equipo de Auditoría de la Contraloría General de 1 Cuentas ha realizado los procesos establecidos para la determinación de las deficiencias identificadas en la Unidad Ejecutora 109 Dirección General de 1 Educación Física -DIGEF-, en cada una de las etapas del proceso de la auditoría, respetando ei derecho de defensa y el debido proceso, establecidos en el artículo</w:t>
      </w:r>
    </w:p>
    <w:p w14:paraId="08C6A2D7" w14:textId="77777777" w:rsidR="00053D93" w:rsidRDefault="00260B75">
      <w:pPr>
        <w:spacing w:after="194" w:line="269" w:lineRule="auto"/>
        <w:ind w:left="67" w:right="79" w:hanging="10"/>
        <w:jc w:val="right"/>
      </w:pPr>
      <w:r>
        <w:rPr>
          <w:sz w:val="26"/>
        </w:rPr>
        <w:t>12 de la Constitución Política de la República de Guatemala, mediante la práctica</w:t>
      </w:r>
    </w:p>
    <w:p w14:paraId="4761B4B9" w14:textId="77777777" w:rsidR="00053D93" w:rsidRDefault="00260B75">
      <w:pPr>
        <w:tabs>
          <w:tab w:val="right" w:pos="10238"/>
        </w:tabs>
        <w:spacing w:after="4" w:line="269" w:lineRule="auto"/>
      </w:pPr>
      <w:r>
        <w:rPr>
          <w:sz w:val="26"/>
        </w:rPr>
        <w:t>1</w:t>
      </w:r>
      <w:r>
        <w:rPr>
          <w:sz w:val="26"/>
        </w:rPr>
        <w:tab/>
        <w:t>del principio de contradicción, establecido en el Acuerdo Gubernativo No. 96-2019,</w:t>
      </w:r>
    </w:p>
    <w:p w14:paraId="0A5EF3E7" w14:textId="77777777" w:rsidR="00053D93" w:rsidRDefault="00260B75">
      <w:pPr>
        <w:spacing w:after="0"/>
        <w:ind w:left="720"/>
      </w:pPr>
      <w:r>
        <w:rPr>
          <w:noProof/>
        </w:rPr>
        <w:drawing>
          <wp:inline distT="0" distB="0" distL="0" distR="0" wp14:anchorId="53786042" wp14:editId="4C11B5CB">
            <wp:extent cx="5993892" cy="406908"/>
            <wp:effectExtent l="0" t="0" r="0" b="0"/>
            <wp:docPr id="2458753" name="Picture 2458753"/>
            <wp:cNvGraphicFramePr/>
            <a:graphic xmlns:a="http://schemas.openxmlformats.org/drawingml/2006/main">
              <a:graphicData uri="http://schemas.openxmlformats.org/drawingml/2006/picture">
                <pic:pic xmlns:pic="http://schemas.openxmlformats.org/drawingml/2006/picture">
                  <pic:nvPicPr>
                    <pic:cNvPr id="2458753" name="Picture 2458753"/>
                    <pic:cNvPicPr/>
                  </pic:nvPicPr>
                  <pic:blipFill>
                    <a:blip r:embed="rId1391"/>
                    <a:stretch>
                      <a:fillRect/>
                    </a:stretch>
                  </pic:blipFill>
                  <pic:spPr>
                    <a:xfrm>
                      <a:off x="0" y="0"/>
                      <a:ext cx="5993892" cy="406908"/>
                    </a:xfrm>
                    <a:prstGeom prst="rect">
                      <a:avLst/>
                    </a:prstGeom>
                  </pic:spPr>
                </pic:pic>
              </a:graphicData>
            </a:graphic>
          </wp:inline>
        </w:drawing>
      </w:r>
    </w:p>
    <w:p w14:paraId="77BF9E76" w14:textId="77777777" w:rsidR="00053D93" w:rsidRDefault="00260B75">
      <w:pPr>
        <w:spacing w:after="10"/>
        <w:ind w:left="670" w:right="-554"/>
      </w:pPr>
      <w:r>
        <w:rPr>
          <w:noProof/>
        </w:rPr>
        <w:drawing>
          <wp:inline distT="0" distB="0" distL="0" distR="0" wp14:anchorId="5E780336" wp14:editId="3D201FFC">
            <wp:extent cx="6423659" cy="82296"/>
            <wp:effectExtent l="0" t="0" r="0" b="0"/>
            <wp:docPr id="2458755" name="Picture 2458755"/>
            <wp:cNvGraphicFramePr/>
            <a:graphic xmlns:a="http://schemas.openxmlformats.org/drawingml/2006/main">
              <a:graphicData uri="http://schemas.openxmlformats.org/drawingml/2006/picture">
                <pic:pic xmlns:pic="http://schemas.openxmlformats.org/drawingml/2006/picture">
                  <pic:nvPicPr>
                    <pic:cNvPr id="2458755" name="Picture 2458755"/>
                    <pic:cNvPicPr/>
                  </pic:nvPicPr>
                  <pic:blipFill>
                    <a:blip r:embed="rId1392"/>
                    <a:stretch>
                      <a:fillRect/>
                    </a:stretch>
                  </pic:blipFill>
                  <pic:spPr>
                    <a:xfrm>
                      <a:off x="0" y="0"/>
                      <a:ext cx="6423659" cy="82296"/>
                    </a:xfrm>
                    <a:prstGeom prst="rect">
                      <a:avLst/>
                    </a:prstGeom>
                  </pic:spPr>
                </pic:pic>
              </a:graphicData>
            </a:graphic>
          </wp:inline>
        </w:drawing>
      </w:r>
    </w:p>
    <w:p w14:paraId="0D2F01E4" w14:textId="77777777" w:rsidR="00053D93" w:rsidRDefault="00260B75">
      <w:pPr>
        <w:tabs>
          <w:tab w:val="right" w:pos="10238"/>
        </w:tabs>
        <w:spacing w:after="12" w:line="250" w:lineRule="auto"/>
      </w:pPr>
      <w:r>
        <w:rPr>
          <w:sz w:val="26"/>
        </w:rPr>
        <w:t>1</w:t>
      </w:r>
      <w:r>
        <w:rPr>
          <w:sz w:val="26"/>
        </w:rPr>
        <w:tab/>
        <w:t>Reglamento de [a Ley Orgánica de la Contraloría General de Cuentas, artículo 63.</w:t>
      </w:r>
    </w:p>
    <w:p w14:paraId="5F684664" w14:textId="77777777" w:rsidR="00053D93" w:rsidRDefault="00260B75">
      <w:pPr>
        <w:spacing w:after="12" w:line="250" w:lineRule="auto"/>
        <w:ind w:left="28" w:right="14" w:firstLine="1699"/>
        <w:jc w:val="both"/>
      </w:pPr>
      <w:r>
        <w:rPr>
          <w:sz w:val="26"/>
        </w:rPr>
        <w:t>Discusión, que establece: "Para el cumplimiento de lo establecido en el artículo 28 1 de la Ley y el principio de contradicción, por ser el desarrollo de los hallazgos el proceso más importante de la ejecución de la auditoría, antes de confirmar los mismos, el equipo de auditoría deberá discutir los posibles hallazgos o deficiencias 1 detectadas, con los responsables del área evaluada, así como con el personal técnico, con el objeto de corroborar los mismos y evaluar si las evidencias reúnen las calidades de suficientes, competentes y pertinentes. Una vez discutidos los 1 posibles hallazgos, obtenidos los comentarios de los responsables de la entidad auditada, el equipo de auditoría procederá a analizarlos y si procediere su 1 confirmación como hallazgo, determinará la acción legal y administrativa que deba iniciarse. Para iniciar una acción legal y administrativa debe haberse discutido los posibles hallazgos de acuerdo a las normativas respectivas."</w:t>
      </w:r>
    </w:p>
    <w:p w14:paraId="3E615DDE" w14:textId="77777777" w:rsidR="00053D93" w:rsidRDefault="00260B75">
      <w:pPr>
        <w:spacing w:after="0"/>
        <w:ind w:left="50"/>
      </w:pPr>
      <w:r>
        <w:rPr>
          <w:noProof/>
        </w:rPr>
        <mc:AlternateContent>
          <mc:Choice Requires="wpg">
            <w:drawing>
              <wp:inline distT="0" distB="0" distL="0" distR="0" wp14:anchorId="1477D992" wp14:editId="54E27368">
                <wp:extent cx="118872" cy="301752"/>
                <wp:effectExtent l="0" t="0" r="0" b="0"/>
                <wp:docPr id="2457016" name="Group 2457016"/>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1016846" name="Rectangle 1016846"/>
                        <wps:cNvSpPr/>
                        <wps:spPr>
                          <a:xfrm>
                            <a:off x="0" y="0"/>
                            <a:ext cx="158100" cy="401330"/>
                          </a:xfrm>
                          <a:prstGeom prst="rect">
                            <a:avLst/>
                          </a:prstGeom>
                          <a:ln>
                            <a:noFill/>
                          </a:ln>
                        </wps:spPr>
                        <wps:txbx>
                          <w:txbxContent>
                            <w:p w14:paraId="71A97746"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1477D992" id="Group 2457016" o:spid="_x0000_s1554"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">
                <v:rect id="Rectangle 1016846" o:spid="_x0000_s1555"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" filled="f" stroked="f">
                  <v:textbox inset="0,0,0,0">
                    <w:txbxContent>
                      <w:p w14:paraId="71A97746" w14:textId="77777777" w:rsidR="00053D93" w:rsidRDefault="00260B75">
                        <w:r>
                          <w:rPr>
                            <w:sz w:val="70"/>
                          </w:rPr>
                          <w:t>1</w:t>
                        </w:r>
                      </w:p>
                    </w:txbxContent>
                  </v:textbox>
                </v:rect>
                <w10:anchorlock/>
              </v:group>
            </w:pict>
          </mc:Fallback>
        </mc:AlternateContent>
      </w:r>
    </w:p>
    <w:p w14:paraId="385AEAEF" w14:textId="77777777" w:rsidR="00053D93" w:rsidRDefault="00260B75">
      <w:pPr>
        <w:spacing w:after="202" w:line="250" w:lineRule="auto"/>
        <w:ind w:left="28" w:right="14" w:firstLine="1483"/>
        <w:jc w:val="both"/>
      </w:pPr>
      <w:r>
        <w:rPr>
          <w:noProof/>
        </w:rPr>
        <w:drawing>
          <wp:anchor distT="0" distB="0" distL="114300" distR="114300" simplePos="0" relativeHeight="252176384" behindDoc="0" locked="0" layoutInCell="1" allowOverlap="0" wp14:anchorId="0E722D8F" wp14:editId="4D4A7315">
            <wp:simplePos x="0" y="0"/>
            <wp:positionH relativeFrom="page">
              <wp:posOffset>118872</wp:posOffset>
            </wp:positionH>
            <wp:positionV relativeFrom="page">
              <wp:posOffset>873252</wp:posOffset>
            </wp:positionV>
            <wp:extent cx="64008" cy="9144"/>
            <wp:effectExtent l="0" t="0" r="0" b="0"/>
            <wp:wrapTopAndBottom/>
            <wp:docPr id="1019954" name="Picture 1019954"/>
            <wp:cNvGraphicFramePr/>
            <a:graphic xmlns:a="http://schemas.openxmlformats.org/drawingml/2006/main">
              <a:graphicData uri="http://schemas.openxmlformats.org/drawingml/2006/picture">
                <pic:pic xmlns:pic="http://schemas.openxmlformats.org/drawingml/2006/picture">
                  <pic:nvPicPr>
                    <pic:cNvPr id="1019954" name="Picture 1019954"/>
                    <pic:cNvPicPr/>
                  </pic:nvPicPr>
                  <pic:blipFill>
                    <a:blip r:embed="rId1393"/>
                    <a:stretch>
                      <a:fillRect/>
                    </a:stretch>
                  </pic:blipFill>
                  <pic:spPr>
                    <a:xfrm>
                      <a:off x="0" y="0"/>
                      <a:ext cx="64008" cy="9144"/>
                    </a:xfrm>
                    <a:prstGeom prst="rect">
                      <a:avLst/>
                    </a:prstGeom>
                  </pic:spPr>
                </pic:pic>
              </a:graphicData>
            </a:graphic>
          </wp:anchor>
        </w:drawing>
      </w:r>
      <w:r>
        <w:rPr>
          <w:noProof/>
        </w:rPr>
        <mc:AlternateContent>
          <mc:Choice Requires="wpg">
            <w:drawing>
              <wp:anchor distT="0" distB="0" distL="114300" distR="114300" simplePos="0" relativeHeight="252177408" behindDoc="0" locked="0" layoutInCell="1" allowOverlap="1" wp14:anchorId="3C2DC5F2" wp14:editId="430F9C2C">
                <wp:simplePos x="0" y="0"/>
                <wp:positionH relativeFrom="column">
                  <wp:posOffset>32004</wp:posOffset>
                </wp:positionH>
                <wp:positionV relativeFrom="paragraph">
                  <wp:posOffset>252631</wp:posOffset>
                </wp:positionV>
                <wp:extent cx="118872" cy="301752"/>
                <wp:effectExtent l="0" t="0" r="0" b="0"/>
                <wp:wrapSquare wrapText="bothSides"/>
                <wp:docPr id="2457017" name="Group 2457017"/>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1016847" name="Rectangle 1016847"/>
                        <wps:cNvSpPr/>
                        <wps:spPr>
                          <a:xfrm>
                            <a:off x="0" y="0"/>
                            <a:ext cx="158100" cy="401330"/>
                          </a:xfrm>
                          <a:prstGeom prst="rect">
                            <a:avLst/>
                          </a:prstGeom>
                          <a:ln>
                            <a:noFill/>
                          </a:ln>
                        </wps:spPr>
                        <wps:txbx>
                          <w:txbxContent>
                            <w:p w14:paraId="0ECF6285"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3C2DC5F2" id="Group 2457017" o:spid="_x0000_s1556" style="position:absolute;left:0;text-align:left;margin-left:2.5pt;margin-top:19.9pt;width:9.35pt;height:23.75pt;z-index:252177408;mso-position-horizontal-relative:text;mso-position-vertical-relative:text"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">
                <v:rect id="Rectangle 1016847" o:spid="_x0000_s1557"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" filled="f" stroked="f">
                  <v:textbox inset="0,0,0,0">
                    <w:txbxContent>
                      <w:p w14:paraId="0ECF6285" w14:textId="77777777" w:rsidR="00053D93" w:rsidRDefault="00260B75">
                        <w:r>
                          <w:rPr>
                            <w:sz w:val="70"/>
                          </w:rPr>
                          <w:t>1</w:t>
                        </w:r>
                      </w:p>
                    </w:txbxContent>
                  </v:textbox>
                </v:rect>
                <w10:wrap type="square"/>
              </v:group>
            </w:pict>
          </mc:Fallback>
        </mc:AlternateContent>
      </w:r>
      <w:r>
        <w:rPr>
          <w:noProof/>
        </w:rPr>
        <mc:AlternateContent>
          <mc:Choice Requires="wpg">
            <w:drawing>
              <wp:anchor distT="0" distB="0" distL="114300" distR="114300" simplePos="0" relativeHeight="252178432" behindDoc="0" locked="0" layoutInCell="1" allowOverlap="1" wp14:anchorId="48E713DC" wp14:editId="63F1AA86">
                <wp:simplePos x="0" y="0"/>
                <wp:positionH relativeFrom="column">
                  <wp:posOffset>54864</wp:posOffset>
                </wp:positionH>
                <wp:positionV relativeFrom="paragraph">
                  <wp:posOffset>2319176</wp:posOffset>
                </wp:positionV>
                <wp:extent cx="123444" cy="297180"/>
                <wp:effectExtent l="0" t="0" r="0" b="0"/>
                <wp:wrapSquare wrapText="bothSides"/>
                <wp:docPr id="2457019" name="Group 2457019"/>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1016851" name="Rectangle 1016851"/>
                        <wps:cNvSpPr/>
                        <wps:spPr>
                          <a:xfrm>
                            <a:off x="0" y="0"/>
                            <a:ext cx="164181" cy="395249"/>
                          </a:xfrm>
                          <a:prstGeom prst="rect">
                            <a:avLst/>
                          </a:prstGeom>
                          <a:ln>
                            <a:noFill/>
                          </a:ln>
                        </wps:spPr>
                        <wps:txbx>
                          <w:txbxContent>
                            <w:p w14:paraId="2BBFE263"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48E713DC" id="Group 2457019" o:spid="_x0000_s1558" style="position:absolute;left:0;text-align:left;margin-left:4.3pt;margin-top:182.6pt;width:9.7pt;height:23.4pt;z-index:252178432;mso-position-horizontal-relative:text;mso-position-vertical-relative:text"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">
                <v:rect id="Rectangle 1016851" o:spid="_x0000_s1559"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" filled="f" stroked="f">
                  <v:textbox inset="0,0,0,0">
                    <w:txbxContent>
                      <w:p w14:paraId="2BBFE263" w14:textId="77777777" w:rsidR="00053D93" w:rsidRDefault="00260B75">
                        <w:r>
                          <w:rPr>
                            <w:sz w:val="72"/>
                          </w:rPr>
                          <w:t>1</w:t>
                        </w:r>
                      </w:p>
                    </w:txbxContent>
                  </v:textbox>
                </v:rect>
                <w10:wrap type="square"/>
              </v:group>
            </w:pict>
          </mc:Fallback>
        </mc:AlternateContent>
      </w:r>
      <w:r>
        <w:rPr>
          <w:sz w:val="26"/>
        </w:rPr>
        <w:t xml:space="preserve">Se confirma el hallazgo para el licenciado Carlos Leonel Gatica Chajón, Jefe Sección Alto Rendimiento Deportivo Escolar; en virtud que, las pruebas presentadas no son suficientes, a pesar que el responsable manifiesta que envió el correo electrónico con la nómina de los que participarían en los Juegos 1 Deportivos Escolares del CODICADER, para estudiantes con discapacidad que se llevó a cabo en la ciudad de Panamá, debido a un correo recibido por la entidad LAX TRAVEL, S.A., el 07 de noviembre de 2024 a las 12:40 horas, eh el cual </w:t>
      </w:r>
      <w:r>
        <w:rPr>
          <w:noProof/>
        </w:rPr>
        <mc:AlternateContent>
          <mc:Choice Requires="wpg">
            <w:drawing>
              <wp:inline distT="0" distB="0" distL="0" distR="0" wp14:anchorId="4927BB15" wp14:editId="1440FDC2">
                <wp:extent cx="114300" cy="297180"/>
                <wp:effectExtent l="0" t="0" r="0" b="0"/>
                <wp:docPr id="2457018" name="Group 2457018"/>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016849" name="Rectangle 1016849"/>
                        <wps:cNvSpPr/>
                        <wps:spPr>
                          <a:xfrm>
                            <a:off x="0" y="0"/>
                            <a:ext cx="152019" cy="395249"/>
                          </a:xfrm>
                          <a:prstGeom prst="rect">
                            <a:avLst/>
                          </a:prstGeom>
                          <a:ln>
                            <a:noFill/>
                          </a:ln>
                        </wps:spPr>
                        <wps:txbx>
                          <w:txbxContent>
                            <w:p w14:paraId="3226D077"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927BB15" id="Group 2457018" o:spid="_x0000_s1560"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ApYH1lDgIAAJgE&#10;AAAOAAAAAAAAAAAAAAAAAC4CAABkcnMvZTJvRG9jLnhtbFBLAQItABQABgAIAAAAIQDLw3M32gAA&#10;AAMBAAAPAAAAAAAAAAAAAAAAAGgEAABkcnMvZG93bnJldi54bWxQSwUGAAAAAAQABADzAAAAbwUA&#10;AAAA&#10;">
                <v:rect id="Rectangle 1016849" o:spid="_x0000_s1561"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" filled="f" stroked="f">
                  <v:textbox inset="0,0,0,0">
                    <w:txbxContent>
                      <w:p w14:paraId="3226D077" w14:textId="77777777" w:rsidR="00053D93" w:rsidRDefault="00260B75">
                        <w:r>
                          <w:rPr>
                            <w:sz w:val="70"/>
                          </w:rPr>
                          <w:t>1</w:t>
                        </w:r>
                      </w:p>
                    </w:txbxContent>
                  </v:textbox>
                </v:rect>
                <w10:anchorlock/>
              </v:group>
            </w:pict>
          </mc:Fallback>
        </mc:AlternateContent>
      </w:r>
      <w:r>
        <w:rPr>
          <w:sz w:val="26"/>
        </w:rPr>
        <w:t xml:space="preserve"> adjuntaban grupos de atletas organizados para los vuelos en donde el responsable evidenció que varios menores de edad con discapacidad iban a viajar sin acompañamiento de un adulto, por lo que, le comentó dicha situación al 1 Director General de la DIGEF y manifiesta que le indicaron de forma verbal que procediera a enviar la nómina oficial a la Agencia de viajes; sin embargo, no presentó documentación para comprobar dicha instrucción; además, a pesar de que el listado definitivo lo tenía el responsable por ser el Jefe de la Unidad Administrativa que solicitó el evento; el licenciado Gatica, debió averiguar el 1 proceso en que se encontraba la adquisición de los boletos aéreos mediante la modalidad de Compra Directa por Ausencia de Ofertas del evento original de cotización C-33/2024-MINEDUC; derivado a que, el día en que envió el correo 1 electrónico (07 de noviembre de 2024), aún no se había seleccionado a un proveedor para la compra de dichos boletos aéreos, ya que ese mismo día (07 de 1 noviembre de 2024) la Jefe de Compras, envió un correo electrónico a los tres posibles oferentes (LAX TRAVEL, S.A.; VIAJES TIVOLI y MAXITRAVEL) para que presentaran sus ofertas el 08 de noviembre de 2024, del cual se aprobó la 1 adjudicación y se suscribió y aprobó el Contrato Administrativo No. 01-2024-DIGEF-CD, mediante el Acuerdo Ministerial Número 3370-2024 el 1 1 de noviembre de 2024; por lo que, el licenciado Gatica, sin tener facultades legales, 1 remitió anticipadamente información reservada (nómina de participantes) al</w:t>
      </w:r>
    </w:p>
    <w:p w14:paraId="12F3B223" w14:textId="77777777" w:rsidR="00053D93" w:rsidRDefault="00260B75">
      <w:pPr>
        <w:spacing w:after="0"/>
        <w:ind w:left="161" w:right="22" w:hanging="10"/>
      </w:pPr>
      <w:r>
        <w:rPr>
          <w:sz w:val="70"/>
        </w:rPr>
        <w:t>1</w:t>
      </w:r>
    </w:p>
    <w:tbl>
      <w:tblPr>
        <w:tblStyle w:val="TableGrid"/>
        <w:tblW w:w="9439" w:type="dxa"/>
        <w:tblInd w:w="770" w:type="dxa"/>
        <w:tblLook w:val="04A0" w:firstRow="1" w:lastRow="0" w:firstColumn="1" w:lastColumn="0" w:noHBand="0" w:noVBand="1"/>
      </w:tblPr>
      <w:tblGrid>
        <w:gridCol w:w="1236"/>
        <w:gridCol w:w="8232"/>
      </w:tblGrid>
      <w:tr w:rsidR="00053D93" w14:paraId="280EDC04" w14:textId="77777777">
        <w:trPr>
          <w:trHeight w:val="641"/>
        </w:trPr>
        <w:tc>
          <w:tcPr>
            <w:tcW w:w="1728" w:type="dxa"/>
            <w:tcBorders>
              <w:top w:val="nil"/>
              <w:left w:val="nil"/>
              <w:bottom w:val="nil"/>
              <w:right w:val="nil"/>
            </w:tcBorders>
          </w:tcPr>
          <w:p w14:paraId="2A059DFE" w14:textId="77777777" w:rsidR="00053D93" w:rsidRDefault="00260B75">
            <w:r>
              <w:rPr>
                <w:noProof/>
              </w:rPr>
              <w:drawing>
                <wp:inline distT="0" distB="0" distL="0" distR="0" wp14:anchorId="1C53A8E3" wp14:editId="5082C2CA">
                  <wp:extent cx="1069848" cy="406908"/>
                  <wp:effectExtent l="0" t="0" r="0" b="0"/>
                  <wp:docPr id="1020024" name="Picture 1020024"/>
                  <wp:cNvGraphicFramePr/>
                  <a:graphic xmlns:a="http://schemas.openxmlformats.org/drawingml/2006/main">
                    <a:graphicData uri="http://schemas.openxmlformats.org/drawingml/2006/picture">
                      <pic:pic xmlns:pic="http://schemas.openxmlformats.org/drawingml/2006/picture">
                        <pic:nvPicPr>
                          <pic:cNvPr id="1020024" name="Picture 1020024"/>
                          <pic:cNvPicPr/>
                        </pic:nvPicPr>
                        <pic:blipFill>
                          <a:blip r:embed="rId1394"/>
                          <a:stretch>
                            <a:fillRect/>
                          </a:stretch>
                        </pic:blipFill>
                        <pic:spPr>
                          <a:xfrm>
                            <a:off x="0" y="0"/>
                            <a:ext cx="1069848" cy="406908"/>
                          </a:xfrm>
                          <a:prstGeom prst="rect">
                            <a:avLst/>
                          </a:prstGeom>
                        </pic:spPr>
                      </pic:pic>
                    </a:graphicData>
                  </a:graphic>
                </wp:inline>
              </w:drawing>
            </w:r>
          </w:p>
        </w:tc>
        <w:tc>
          <w:tcPr>
            <w:tcW w:w="7711" w:type="dxa"/>
            <w:tcBorders>
              <w:top w:val="nil"/>
              <w:left w:val="nil"/>
              <w:bottom w:val="nil"/>
              <w:right w:val="nil"/>
            </w:tcBorders>
          </w:tcPr>
          <w:p w14:paraId="348AD25F" w14:textId="77777777" w:rsidR="00053D93" w:rsidRDefault="00053D93">
            <w:pPr>
              <w:ind w:left="-2801" w:right="10512"/>
            </w:pPr>
          </w:p>
          <w:tbl>
            <w:tblPr>
              <w:tblStyle w:val="TableGrid"/>
              <w:tblW w:w="7667" w:type="dxa"/>
              <w:tblInd w:w="44" w:type="dxa"/>
              <w:tblCellMar>
                <w:top w:w="58" w:type="dxa"/>
                <w:left w:w="1777" w:type="dxa"/>
                <w:right w:w="115" w:type="dxa"/>
              </w:tblCellMar>
              <w:tblLook w:val="04A0" w:firstRow="1" w:lastRow="0" w:firstColumn="1" w:lastColumn="0" w:noHBand="0" w:noVBand="1"/>
            </w:tblPr>
            <w:tblGrid>
              <w:gridCol w:w="7667"/>
            </w:tblGrid>
            <w:tr w:rsidR="00053D93" w14:paraId="61DA156C" w14:textId="77777777">
              <w:trPr>
                <w:trHeight w:val="36"/>
              </w:trPr>
              <w:tc>
                <w:tcPr>
                  <w:tcW w:w="7667" w:type="dxa"/>
                  <w:tcBorders>
                    <w:top w:val="nil"/>
                    <w:left w:val="single" w:sz="2" w:space="0" w:color="000000"/>
                    <w:bottom w:val="single" w:sz="2" w:space="0" w:color="000000"/>
                    <w:right w:val="nil"/>
                  </w:tcBorders>
                </w:tcPr>
                <w:p w14:paraId="4CB549B9" w14:textId="77777777" w:rsidR="00053D93" w:rsidRDefault="00053D93"/>
              </w:tc>
            </w:tr>
            <w:tr w:rsidR="00053D93" w14:paraId="02915295" w14:textId="77777777">
              <w:trPr>
                <w:trHeight w:val="605"/>
              </w:trPr>
              <w:tc>
                <w:tcPr>
                  <w:tcW w:w="7667" w:type="dxa"/>
                  <w:tcBorders>
                    <w:top w:val="single" w:sz="2" w:space="0" w:color="000000"/>
                    <w:left w:val="single" w:sz="2" w:space="0" w:color="000000"/>
                    <w:bottom w:val="nil"/>
                    <w:right w:val="nil"/>
                  </w:tcBorders>
                </w:tcPr>
                <w:p w14:paraId="0674BA90" w14:textId="77777777" w:rsidR="00053D93" w:rsidRDefault="00260B75">
                  <w:pPr>
                    <w:ind w:left="828"/>
                  </w:pPr>
                  <w:r>
                    <w:rPr>
                      <w:sz w:val="14"/>
                    </w:rPr>
                    <w:t>MINISTERIO DE EDUCACION</w:t>
                  </w:r>
                </w:p>
                <w:p w14:paraId="4725D01F" w14:textId="77777777" w:rsidR="00053D93" w:rsidRDefault="00260B75">
                  <w:pPr>
                    <w:ind w:left="331"/>
                  </w:pPr>
                  <w:r>
                    <w:rPr>
                      <w:sz w:val="14"/>
                    </w:rPr>
                    <w:t>AUDITORIA FINANCIERA Y DE CUMPLIMIENTO</w:t>
                  </w:r>
                </w:p>
                <w:p w14:paraId="10AE1CBE" w14:textId="77777777" w:rsidR="00053D93" w:rsidRDefault="00260B75">
                  <w:r>
                    <w:rPr>
                      <w:sz w:val="14"/>
                    </w:rPr>
                    <w:t>PERIODO DEL 01 DE ENERO AL 31 OE DICIEMBRE OE 2024</w:t>
                  </w:r>
                </w:p>
              </w:tc>
            </w:tr>
          </w:tbl>
          <w:p w14:paraId="1C19E264" w14:textId="77777777" w:rsidR="00053D93" w:rsidRDefault="00053D93"/>
        </w:tc>
      </w:tr>
    </w:tbl>
    <w:p w14:paraId="5D1B4D15" w14:textId="77777777" w:rsidR="00053D93" w:rsidRDefault="00053D93">
      <w:pPr>
        <w:sectPr w:rsidR="00053D93">
          <w:headerReference w:type="even" r:id="rId1395"/>
          <w:headerReference w:type="default" r:id="rId1396"/>
          <w:footerReference w:type="even" r:id="rId1397"/>
          <w:footerReference w:type="default" r:id="rId1398"/>
          <w:headerReference w:type="first" r:id="rId1399"/>
          <w:footerReference w:type="first" r:id="rId1400"/>
          <w:pgSz w:w="12290" w:h="15883"/>
          <w:pgMar w:top="756" w:right="1750" w:bottom="677" w:left="302" w:header="396" w:footer="720" w:gutter="0"/>
          <w:cols w:space="720"/>
          <w:titlePg/>
        </w:sectPr>
      </w:pPr>
    </w:p>
    <w:p w14:paraId="7B691157" w14:textId="77777777" w:rsidR="00053D93" w:rsidRDefault="00260B75">
      <w:pPr>
        <w:spacing w:after="243" w:line="269" w:lineRule="auto"/>
        <w:ind w:left="1771" w:right="14" w:hanging="1714"/>
        <w:jc w:val="both"/>
      </w:pPr>
      <w:r>
        <w:rPr>
          <w:sz w:val="26"/>
        </w:rPr>
        <w:t>1 oferente LAX TRAVEL, S.A., antes de la recepción de ofertas, afectando así los principios de transparencia e igualdad de los procesos de contratación pública, por favorecer a un solo participante.</w:t>
      </w:r>
    </w:p>
    <w:p w14:paraId="08CB3A55" w14:textId="77777777" w:rsidR="00053D93" w:rsidRDefault="00260B75">
      <w:pPr>
        <w:spacing w:after="4" w:line="216" w:lineRule="auto"/>
        <w:ind w:left="57" w:right="14" w:firstLine="1714"/>
        <w:jc w:val="both"/>
      </w:pPr>
      <w:r>
        <w:rPr>
          <w:sz w:val="26"/>
        </w:rPr>
        <w:t>Se confirma el hallazgo para el licenciado Julio Waldemar Jiménez Back, 1 Coordinador Administrativo A.l., para el señor Ricardo Javier Espinoza Cano,</w:t>
      </w:r>
    </w:p>
    <w:p w14:paraId="77898EF1" w14:textId="77777777" w:rsidR="00053D93" w:rsidRDefault="00260B75">
      <w:pPr>
        <w:spacing w:after="4" w:line="269" w:lineRule="auto"/>
        <w:ind w:left="57" w:right="14" w:firstLine="1692"/>
        <w:jc w:val="both"/>
      </w:pPr>
      <w:r>
        <w:rPr>
          <w:sz w:val="26"/>
        </w:rPr>
        <w:t>Asistente de Acciones de Personal y para el señor Jorge Aaron Quevedo López, Jefe de Sección de Transportes, A.l.; quienes fungieron como miembros de la 1 Comisión Receptora y Liquidadora del Contrato Administrativo Número</w:t>
      </w:r>
    </w:p>
    <w:p w14:paraId="733D9900" w14:textId="77777777" w:rsidR="00053D93" w:rsidRDefault="00260B75">
      <w:pPr>
        <w:spacing w:after="157" w:line="269" w:lineRule="auto"/>
        <w:ind w:left="57" w:right="14" w:firstLine="1699"/>
        <w:jc w:val="both"/>
      </w:pPr>
      <w:r>
        <w:rPr>
          <w:sz w:val="26"/>
        </w:rPr>
        <w:t>01-2024-DIGEF-CD, según Resolución No. 4686-2024, del 17 de diciembre de 1 2024, emitido por la Ministra de Educación; en virtud que, las pruebas presentadas no son suficientes, a pesar que los miembros de dicha comisión receptora y liquidadora, manifiestan haber recibido mediante el Acta Administrativa Número 1 127-2024, del 20 de diciembre de 2024, la cantidad de 107 boletos aéreos emitidos por la entidad LAX TRAVEL, S.A.; con base en el documento "Informe 1 Ejecutivo Transporte Aéreo para la Delegación Deportiva Escolar de Guatemala que participó en los Juegos Deportivos Escolares Centroamericanos del CODICADER, para estudiantes con discapacidad realizado en Panamá",</w:t>
      </w:r>
    </w:p>
    <w:tbl>
      <w:tblPr>
        <w:tblStyle w:val="TableGrid"/>
        <w:tblpPr w:vertAnchor="page" w:horzAnchor="page" w:tblpX="2791" w:tblpY="14580"/>
        <w:tblOverlap w:val="never"/>
        <w:tblW w:w="7664" w:type="dxa"/>
        <w:tblInd w:w="0" w:type="dxa"/>
        <w:tblCellMar>
          <w:top w:w="31" w:type="dxa"/>
          <w:left w:w="1781" w:type="dxa"/>
          <w:right w:w="115" w:type="dxa"/>
        </w:tblCellMar>
        <w:tblLook w:val="04A0" w:firstRow="1" w:lastRow="0" w:firstColumn="1" w:lastColumn="0" w:noHBand="0" w:noVBand="1"/>
      </w:tblPr>
      <w:tblGrid>
        <w:gridCol w:w="7664"/>
      </w:tblGrid>
      <w:tr w:rsidR="00053D93" w14:paraId="78CF4141" w14:textId="77777777">
        <w:trPr>
          <w:trHeight w:val="72"/>
        </w:trPr>
        <w:tc>
          <w:tcPr>
            <w:tcW w:w="7664" w:type="dxa"/>
            <w:tcBorders>
              <w:top w:val="nil"/>
              <w:left w:val="single" w:sz="2" w:space="0" w:color="000000"/>
              <w:bottom w:val="single" w:sz="2" w:space="0" w:color="000000"/>
              <w:right w:val="nil"/>
            </w:tcBorders>
          </w:tcPr>
          <w:p w14:paraId="1D23931B" w14:textId="77777777" w:rsidR="00053D93" w:rsidRDefault="00053D93"/>
        </w:tc>
      </w:tr>
      <w:tr w:rsidR="00053D93" w14:paraId="0E359FEB" w14:textId="77777777">
        <w:trPr>
          <w:trHeight w:val="576"/>
        </w:trPr>
        <w:tc>
          <w:tcPr>
            <w:tcW w:w="7664" w:type="dxa"/>
            <w:tcBorders>
              <w:top w:val="single" w:sz="2" w:space="0" w:color="000000"/>
              <w:left w:val="single" w:sz="2" w:space="0" w:color="000000"/>
              <w:bottom w:val="nil"/>
              <w:right w:val="nil"/>
            </w:tcBorders>
          </w:tcPr>
          <w:p w14:paraId="420761A2" w14:textId="77777777" w:rsidR="00053D93" w:rsidRDefault="00260B75">
            <w:pPr>
              <w:ind w:left="835"/>
            </w:pPr>
            <w:r>
              <w:rPr>
                <w:sz w:val="14"/>
              </w:rPr>
              <w:t>MINISTERIO DE EOuCACiON</w:t>
            </w:r>
          </w:p>
          <w:p w14:paraId="303969FB" w14:textId="77777777" w:rsidR="00053D93" w:rsidRDefault="00260B75">
            <w:pPr>
              <w:ind w:left="338"/>
            </w:pPr>
            <w:r>
              <w:rPr>
                <w:sz w:val="14"/>
              </w:rPr>
              <w:t>AUDITORIA FINANCIERA Y DE CUMPLIMIENTO</w:t>
            </w:r>
          </w:p>
          <w:p w14:paraId="25A38BC4" w14:textId="77777777" w:rsidR="00053D93" w:rsidRDefault="00260B75">
            <w:r>
              <w:rPr>
                <w:sz w:val="14"/>
              </w:rPr>
              <w:t>PERIODO DEI 01 DE ENERO Af- 31 OE DICIEMBRE DE 2024</w:t>
            </w:r>
          </w:p>
        </w:tc>
      </w:tr>
    </w:tbl>
    <w:p w14:paraId="3A44B950" w14:textId="77777777" w:rsidR="00053D93" w:rsidRDefault="00260B75">
      <w:pPr>
        <w:spacing w:after="4" w:line="321" w:lineRule="auto"/>
        <w:ind w:left="60" w:right="14" w:hanging="3"/>
        <w:jc w:val="both"/>
      </w:pPr>
      <w:r>
        <w:rPr>
          <w:noProof/>
        </w:rPr>
        <w:drawing>
          <wp:anchor distT="0" distB="0" distL="114300" distR="114300" simplePos="0" relativeHeight="252179456" behindDoc="0" locked="0" layoutInCell="1" allowOverlap="0" wp14:anchorId="43778D4F" wp14:editId="5C74E5F1">
            <wp:simplePos x="0" y="0"/>
            <wp:positionH relativeFrom="page">
              <wp:posOffset>653796</wp:posOffset>
            </wp:positionH>
            <wp:positionV relativeFrom="page">
              <wp:posOffset>9253728</wp:posOffset>
            </wp:positionV>
            <wp:extent cx="1065276" cy="411480"/>
            <wp:effectExtent l="0" t="0" r="0" b="0"/>
            <wp:wrapTopAndBottom/>
            <wp:docPr id="1023780" name="Picture 1023780"/>
            <wp:cNvGraphicFramePr/>
            <a:graphic xmlns:a="http://schemas.openxmlformats.org/drawingml/2006/main">
              <a:graphicData uri="http://schemas.openxmlformats.org/drawingml/2006/picture">
                <pic:pic xmlns:pic="http://schemas.openxmlformats.org/drawingml/2006/picture">
                  <pic:nvPicPr>
                    <pic:cNvPr id="1023780" name="Picture 1023780"/>
                    <pic:cNvPicPr/>
                  </pic:nvPicPr>
                  <pic:blipFill>
                    <a:blip r:embed="rId1401"/>
                    <a:stretch>
                      <a:fillRect/>
                    </a:stretch>
                  </pic:blipFill>
                  <pic:spPr>
                    <a:xfrm>
                      <a:off x="0" y="0"/>
                      <a:ext cx="1065276" cy="411480"/>
                    </a:xfrm>
                    <a:prstGeom prst="rect">
                      <a:avLst/>
                    </a:prstGeom>
                  </pic:spPr>
                </pic:pic>
              </a:graphicData>
            </a:graphic>
          </wp:anchor>
        </w:drawing>
      </w:r>
      <w:r>
        <w:rPr>
          <w:noProof/>
        </w:rPr>
        <w:drawing>
          <wp:anchor distT="0" distB="0" distL="114300" distR="114300" simplePos="0" relativeHeight="252180480" behindDoc="0" locked="0" layoutInCell="1" allowOverlap="0" wp14:anchorId="0BA62B04" wp14:editId="00CCF17A">
            <wp:simplePos x="0" y="0"/>
            <wp:positionH relativeFrom="page">
              <wp:posOffset>164592</wp:posOffset>
            </wp:positionH>
            <wp:positionV relativeFrom="page">
              <wp:posOffset>845820</wp:posOffset>
            </wp:positionV>
            <wp:extent cx="50292" cy="9144"/>
            <wp:effectExtent l="0" t="0" r="0" b="0"/>
            <wp:wrapTopAndBottom/>
            <wp:docPr id="1023721" name="Picture 1023721"/>
            <wp:cNvGraphicFramePr/>
            <a:graphic xmlns:a="http://schemas.openxmlformats.org/drawingml/2006/main">
              <a:graphicData uri="http://schemas.openxmlformats.org/drawingml/2006/picture">
                <pic:pic xmlns:pic="http://schemas.openxmlformats.org/drawingml/2006/picture">
                  <pic:nvPicPr>
                    <pic:cNvPr id="1023721" name="Picture 1023721"/>
                    <pic:cNvPicPr/>
                  </pic:nvPicPr>
                  <pic:blipFill>
                    <a:blip r:embed="rId1402"/>
                    <a:stretch>
                      <a:fillRect/>
                    </a:stretch>
                  </pic:blipFill>
                  <pic:spPr>
                    <a:xfrm>
                      <a:off x="0" y="0"/>
                      <a:ext cx="50292" cy="9144"/>
                    </a:xfrm>
                    <a:prstGeom prst="rect">
                      <a:avLst/>
                    </a:prstGeom>
                  </pic:spPr>
                </pic:pic>
              </a:graphicData>
            </a:graphic>
          </wp:anchor>
        </w:drawing>
      </w:r>
      <w:r>
        <w:rPr>
          <w:noProof/>
        </w:rPr>
        <w:drawing>
          <wp:anchor distT="0" distB="0" distL="114300" distR="114300" simplePos="0" relativeHeight="252181504" behindDoc="0" locked="0" layoutInCell="1" allowOverlap="0" wp14:anchorId="51589190" wp14:editId="4DD51CA7">
            <wp:simplePos x="0" y="0"/>
            <wp:positionH relativeFrom="page">
              <wp:posOffset>809244</wp:posOffset>
            </wp:positionH>
            <wp:positionV relativeFrom="page">
              <wp:posOffset>827532</wp:posOffset>
            </wp:positionV>
            <wp:extent cx="6446520" cy="64008"/>
            <wp:effectExtent l="0" t="0" r="0" b="0"/>
            <wp:wrapTopAndBottom/>
            <wp:docPr id="2458758" name="Picture 2458758"/>
            <wp:cNvGraphicFramePr/>
            <a:graphic xmlns:a="http://schemas.openxmlformats.org/drawingml/2006/main">
              <a:graphicData uri="http://schemas.openxmlformats.org/drawingml/2006/picture">
                <pic:pic xmlns:pic="http://schemas.openxmlformats.org/drawingml/2006/picture">
                  <pic:nvPicPr>
                    <pic:cNvPr id="2458758" name="Picture 2458758"/>
                    <pic:cNvPicPr/>
                  </pic:nvPicPr>
                  <pic:blipFill>
                    <a:blip r:embed="rId1403"/>
                    <a:stretch>
                      <a:fillRect/>
                    </a:stretch>
                  </pic:blipFill>
                  <pic:spPr>
                    <a:xfrm>
                      <a:off x="0" y="0"/>
                      <a:ext cx="6446520" cy="64008"/>
                    </a:xfrm>
                    <a:prstGeom prst="rect">
                      <a:avLst/>
                    </a:prstGeom>
                  </pic:spPr>
                </pic:pic>
              </a:graphicData>
            </a:graphic>
          </wp:anchor>
        </w:drawing>
      </w:r>
      <w:r>
        <w:rPr>
          <w:sz w:val="26"/>
        </w:rPr>
        <w:t>1 trasladado a dicha comisión, mediante el oficio No. 1 1 18-2024, del 18 de diciembre de 2024, por la Sección de Alto Rendimiento Deportivo Escolar (Unidad Administrativa de la DIGEF que solicitó el evento), en donde les indicaron que 1 para dicha actividad se utilizó la cantidad de 107 boletos aéreos; sin embargo, dicha comisión no cumplió con su función de verificar que la entidad LAX TRAVEL,</w:t>
      </w:r>
    </w:p>
    <w:p w14:paraId="7985FBB7" w14:textId="77777777" w:rsidR="00053D93" w:rsidRDefault="00260B75">
      <w:pPr>
        <w:spacing w:after="3" w:line="273" w:lineRule="auto"/>
        <w:ind w:left="101" w:firstLine="1663"/>
      </w:pPr>
      <w:r>
        <w:rPr>
          <w:sz w:val="26"/>
        </w:rPr>
        <w:t>S.A., cumpliera con lo establecido en el Contrato Administrativo 1</w:t>
      </w:r>
      <w:r>
        <w:rPr>
          <w:sz w:val="26"/>
        </w:rPr>
        <w:tab/>
        <w:t>01-2024-DIGEF-CD del 1 1 de noviembre de 2024 y en las Especificaciones Técnicas de las bases del evento de cotización C-33/2024-MlNEDUC, con 1</w:t>
      </w:r>
      <w:r>
        <w:rPr>
          <w:sz w:val="26"/>
        </w:rPr>
        <w:tab/>
        <w:t>respecto al plazo, lugar y forma de entrega de los servicios contratados; en virtud</w:t>
      </w:r>
    </w:p>
    <w:p w14:paraId="24168A87" w14:textId="77777777" w:rsidR="00053D93" w:rsidRDefault="00260B75">
      <w:pPr>
        <w:spacing w:after="132" w:line="269" w:lineRule="auto"/>
        <w:ind w:left="57" w:right="14" w:firstLine="1642"/>
        <w:jc w:val="both"/>
      </w:pPr>
      <w:r>
        <w:rPr>
          <w:sz w:val="26"/>
        </w:rPr>
        <w:t>que, ne se tiene certeza de quién recibió físicamente los boletos aéreos emitidos por el contratista, los cuales debían ser entregados directamente a la comisión 1 receptora y liquidadora en la Dirección General de Educación Física -DIGEF- en horario de 9:00 a 17:30 horas; lo cual se puede corroborar mediante el oficio DG 1 No. 513-2025 del 07 de abril de 2025, emitido por la Directora General de la DIGEF, en donde manifiesta "... En la Dirección no obra información y/o documento donde se evidencie la recepción de los boletos aéreos recibidos...</w:t>
      </w:r>
      <w:r>
        <w:rPr>
          <w:noProof/>
        </w:rPr>
        <w:drawing>
          <wp:inline distT="0" distB="0" distL="0" distR="0" wp14:anchorId="03B901B9" wp14:editId="6B83BB85">
            <wp:extent cx="36576" cy="41148"/>
            <wp:effectExtent l="0" t="0" r="0" b="0"/>
            <wp:docPr id="2458760" name="Picture 2458760"/>
            <wp:cNvGraphicFramePr/>
            <a:graphic xmlns:a="http://schemas.openxmlformats.org/drawingml/2006/main">
              <a:graphicData uri="http://schemas.openxmlformats.org/drawingml/2006/picture">
                <pic:pic xmlns:pic="http://schemas.openxmlformats.org/drawingml/2006/picture">
                  <pic:nvPicPr>
                    <pic:cNvPr id="2458760" name="Picture 2458760"/>
                    <pic:cNvPicPr/>
                  </pic:nvPicPr>
                  <pic:blipFill>
                    <a:blip r:embed="rId1404"/>
                    <a:stretch>
                      <a:fillRect/>
                    </a:stretch>
                  </pic:blipFill>
                  <pic:spPr>
                    <a:xfrm>
                      <a:off x="0" y="0"/>
                      <a:ext cx="36576" cy="41148"/>
                    </a:xfrm>
                    <a:prstGeom prst="rect">
                      <a:avLst/>
                    </a:prstGeom>
                  </pic:spPr>
                </pic:pic>
              </a:graphicData>
            </a:graphic>
          </wp:inline>
        </w:drawing>
      </w:r>
    </w:p>
    <w:p w14:paraId="0FCD1804" w14:textId="77777777" w:rsidR="00053D93" w:rsidRDefault="00260B75">
      <w:pPr>
        <w:spacing w:after="300" w:line="431" w:lineRule="auto"/>
        <w:ind w:left="1677" w:right="14" w:hanging="1620"/>
        <w:jc w:val="both"/>
      </w:pPr>
      <w:r>
        <w:rPr>
          <w:sz w:val="26"/>
        </w:rPr>
        <w:t>1 manifestando así la recepción formal de los boletos aéreos adquiridos por la DIGEF, sin tener certeza de quién realmente los recibió.</w:t>
      </w:r>
    </w:p>
    <w:p w14:paraId="4A1F030E" w14:textId="77777777" w:rsidR="00053D93" w:rsidRDefault="00260B75">
      <w:pPr>
        <w:spacing w:after="4" w:line="269" w:lineRule="auto"/>
        <w:ind w:left="60" w:right="79" w:hanging="3"/>
        <w:jc w:val="both"/>
      </w:pPr>
      <w:r>
        <w:rPr>
          <w:sz w:val="26"/>
        </w:rPr>
        <w:t>1 Asimismo, la comisión receptora y liquidadora, manifiesta que, al determinar mediante el informe mencionado anteriormente, trasladado por la Sección de Alto 1 Rendimiento Deportivo Escolar, concluyeron que la DIGEF debía pagar únicamente los boletos aéreos proporcionados por la entidad LAX TRAVEL, S.A. y no por los boletos restantes ni el flete para el transporte de equipo de prensa y 1 equipo médico adjudicado, derivado que en dicho informe no se indicó su -1 utilización; asumiendo dicha afirmación, sin realizar las gestiones suficientes y necesarias que evidenciaran el efectivo cumplimiento de la prestación del servicio 1 por parte del contratista, lo cual representa un incumplimiento a los deberes de la comisión receptora y liquidadora con respecto a la verificación del cumplimiento al Contrato Administrativo No. 01-2024-DIGEF-CD, del 1 1 de noviembre de 2024, ya 1 que el servicio de flete, debía ser prestado por el contratista, según Io establecido en la cláusula SEGUNDA, B.2 del Contrato Administrativo Número 1 01-2024-DIGEF-CD; en virtud que, las únicas modificaciones que podían</w:t>
      </w:r>
    </w:p>
    <w:p w14:paraId="22C5135E" w14:textId="77777777" w:rsidR="00053D93" w:rsidRDefault="00260B75">
      <w:pPr>
        <w:spacing w:after="614" w:line="269" w:lineRule="auto"/>
        <w:ind w:left="57" w:right="14" w:firstLine="1706"/>
        <w:jc w:val="both"/>
      </w:pPr>
      <w:r>
        <w:rPr>
          <w:sz w:val="26"/>
        </w:rPr>
        <w:t>realizarse estaban relacionadas con la cantidad de los boletos aéreos a adquirir a solicitud de la DIGEF, con base en la nómina definitiva de los participantes 1 inscritos en los Juegos Deportivos Escolares Centroamericanos del CODICADER y no sobre la prestación del servicio de flete para el transporte de equipo de prensa y equipo médico; sin embargo, dicha comisión receptora y liquidadora no 1 hizo mención sobre la recepción o no recepción del servicio de flete, en el Acta Administrativa Número 127-2024, del 20 de diciembre de 2024.</w:t>
      </w:r>
    </w:p>
    <w:p w14:paraId="7D84CA79" w14:textId="77777777" w:rsidR="00053D93" w:rsidRDefault="00260B75">
      <w:pPr>
        <w:spacing w:after="235" w:line="269" w:lineRule="auto"/>
        <w:ind w:left="60" w:right="14" w:hanging="3"/>
        <w:jc w:val="both"/>
      </w:pPr>
      <w:r>
        <w:rPr>
          <w:sz w:val="26"/>
        </w:rPr>
        <w:t>1 Además, a pesar de que tos miembros de la comisión receptora y liquidadora, manifiestan que los cambios realizados en la adquisición de los boletos aéreos 1 fueron aprobados por el Director General de la DIGEF, mediante oficio DG-2107-2024 del 1 1 de noviembre de 2024, estos cambios debieron realizarse a solicitud de la DIGEF y no a solicitud de la entidad LAX TRAVEL, S.A., quien los</w:t>
      </w:r>
    </w:p>
    <w:tbl>
      <w:tblPr>
        <w:tblStyle w:val="TableGrid"/>
        <w:tblpPr w:vertAnchor="page" w:horzAnchor="page" w:tblpX="2841" w:tblpY="14587"/>
        <w:tblOverlap w:val="never"/>
        <w:tblW w:w="7620" w:type="dxa"/>
        <w:tblInd w:w="0" w:type="dxa"/>
        <w:tblCellMar>
          <w:top w:w="30" w:type="dxa"/>
          <w:left w:w="1745" w:type="dxa"/>
          <w:right w:w="115" w:type="dxa"/>
        </w:tblCellMar>
        <w:tblLook w:val="04A0" w:firstRow="1" w:lastRow="0" w:firstColumn="1" w:lastColumn="0" w:noHBand="0" w:noVBand="1"/>
      </w:tblPr>
      <w:tblGrid>
        <w:gridCol w:w="7620"/>
      </w:tblGrid>
      <w:tr w:rsidR="00053D93" w14:paraId="5DAE0EDA" w14:textId="77777777">
        <w:trPr>
          <w:trHeight w:val="69"/>
        </w:trPr>
        <w:tc>
          <w:tcPr>
            <w:tcW w:w="7620" w:type="dxa"/>
            <w:tcBorders>
              <w:top w:val="nil"/>
              <w:left w:val="single" w:sz="2" w:space="0" w:color="000000"/>
              <w:bottom w:val="single" w:sz="2" w:space="0" w:color="000000"/>
              <w:right w:val="nil"/>
            </w:tcBorders>
          </w:tcPr>
          <w:p w14:paraId="6A586F2D" w14:textId="77777777" w:rsidR="00053D93" w:rsidRDefault="00053D93"/>
        </w:tc>
      </w:tr>
      <w:tr w:rsidR="00053D93" w14:paraId="6604F465" w14:textId="77777777">
        <w:trPr>
          <w:trHeight w:val="564"/>
        </w:trPr>
        <w:tc>
          <w:tcPr>
            <w:tcW w:w="7620" w:type="dxa"/>
            <w:tcBorders>
              <w:top w:val="single" w:sz="2" w:space="0" w:color="000000"/>
              <w:left w:val="single" w:sz="2" w:space="0" w:color="000000"/>
              <w:bottom w:val="nil"/>
              <w:right w:val="nil"/>
            </w:tcBorders>
          </w:tcPr>
          <w:p w14:paraId="797CA48C" w14:textId="77777777" w:rsidR="00053D93" w:rsidRDefault="00260B75">
            <w:pPr>
              <w:ind w:left="828"/>
            </w:pPr>
            <w:r>
              <w:rPr>
                <w:sz w:val="14"/>
              </w:rPr>
              <w:t>MINISTERIO DE EDuCAClON</w:t>
            </w:r>
          </w:p>
          <w:p w14:paraId="3DC18984" w14:textId="77777777" w:rsidR="00053D93" w:rsidRDefault="00260B75">
            <w:pPr>
              <w:ind w:left="338"/>
            </w:pPr>
            <w:r>
              <w:rPr>
                <w:sz w:val="14"/>
              </w:rPr>
              <w:t>AUDITORIA FINANCIERA Y DE CUMPLIMIENTO</w:t>
            </w:r>
          </w:p>
          <w:p w14:paraId="44C57421" w14:textId="77777777" w:rsidR="00053D93" w:rsidRDefault="00260B75">
            <w:pPr>
              <w:tabs>
                <w:tab w:val="center" w:pos="3020"/>
              </w:tabs>
            </w:pPr>
            <w:r>
              <w:rPr>
                <w:sz w:val="14"/>
              </w:rPr>
              <w:t xml:space="preserve">PERIODO DEL 01 DE ENERO AL 31 OE </w:t>
            </w:r>
            <w:r>
              <w:rPr>
                <w:sz w:val="14"/>
              </w:rPr>
              <w:tab/>
              <w:t>DE 2024</w:t>
            </w:r>
          </w:p>
        </w:tc>
      </w:tr>
    </w:tbl>
    <w:p w14:paraId="6720C1CC" w14:textId="77777777" w:rsidR="00053D93" w:rsidRDefault="00260B75">
      <w:pPr>
        <w:tabs>
          <w:tab w:val="right" w:pos="10296"/>
        </w:tabs>
        <w:spacing w:after="4" w:line="269" w:lineRule="auto"/>
      </w:pPr>
      <w:r>
        <w:rPr>
          <w:noProof/>
        </w:rPr>
        <w:drawing>
          <wp:anchor distT="0" distB="0" distL="114300" distR="114300" simplePos="0" relativeHeight="252182528" behindDoc="0" locked="0" layoutInCell="1" allowOverlap="0" wp14:anchorId="37BDC8B1" wp14:editId="06C8ED05">
            <wp:simplePos x="0" y="0"/>
            <wp:positionH relativeFrom="page">
              <wp:posOffset>658368</wp:posOffset>
            </wp:positionH>
            <wp:positionV relativeFrom="page">
              <wp:posOffset>9258300</wp:posOffset>
            </wp:positionV>
            <wp:extent cx="1124712" cy="406908"/>
            <wp:effectExtent l="0" t="0" r="0" b="0"/>
            <wp:wrapTopAndBottom/>
            <wp:docPr id="1027860" name="Picture 1027860"/>
            <wp:cNvGraphicFramePr/>
            <a:graphic xmlns:a="http://schemas.openxmlformats.org/drawingml/2006/main">
              <a:graphicData uri="http://schemas.openxmlformats.org/drawingml/2006/picture">
                <pic:pic xmlns:pic="http://schemas.openxmlformats.org/drawingml/2006/picture">
                  <pic:nvPicPr>
                    <pic:cNvPr id="1027860" name="Picture 1027860"/>
                    <pic:cNvPicPr/>
                  </pic:nvPicPr>
                  <pic:blipFill>
                    <a:blip r:embed="rId1405"/>
                    <a:stretch>
                      <a:fillRect/>
                    </a:stretch>
                  </pic:blipFill>
                  <pic:spPr>
                    <a:xfrm>
                      <a:off x="0" y="0"/>
                      <a:ext cx="1124712" cy="406908"/>
                    </a:xfrm>
                    <a:prstGeom prst="rect">
                      <a:avLst/>
                    </a:prstGeom>
                  </pic:spPr>
                </pic:pic>
              </a:graphicData>
            </a:graphic>
          </wp:anchor>
        </w:drawing>
      </w:r>
      <w:r>
        <w:rPr>
          <w:noProof/>
        </w:rPr>
        <w:drawing>
          <wp:anchor distT="0" distB="0" distL="114300" distR="114300" simplePos="0" relativeHeight="252183552" behindDoc="0" locked="0" layoutInCell="1" allowOverlap="0" wp14:anchorId="65398D90" wp14:editId="6BF8C8B8">
            <wp:simplePos x="0" y="0"/>
            <wp:positionH relativeFrom="page">
              <wp:posOffset>795528</wp:posOffset>
            </wp:positionH>
            <wp:positionV relativeFrom="page">
              <wp:posOffset>822960</wp:posOffset>
            </wp:positionV>
            <wp:extent cx="6318504" cy="59436"/>
            <wp:effectExtent l="0" t="0" r="0" b="0"/>
            <wp:wrapTopAndBottom/>
            <wp:docPr id="2458762" name="Picture 2458762"/>
            <wp:cNvGraphicFramePr/>
            <a:graphic xmlns:a="http://schemas.openxmlformats.org/drawingml/2006/main">
              <a:graphicData uri="http://schemas.openxmlformats.org/drawingml/2006/picture">
                <pic:pic xmlns:pic="http://schemas.openxmlformats.org/drawingml/2006/picture">
                  <pic:nvPicPr>
                    <pic:cNvPr id="2458762" name="Picture 2458762"/>
                    <pic:cNvPicPr/>
                  </pic:nvPicPr>
                  <pic:blipFill>
                    <a:blip r:embed="rId1406"/>
                    <a:stretch>
                      <a:fillRect/>
                    </a:stretch>
                  </pic:blipFill>
                  <pic:spPr>
                    <a:xfrm>
                      <a:off x="0" y="0"/>
                      <a:ext cx="6318504" cy="59436"/>
                    </a:xfrm>
                    <a:prstGeom prst="rect">
                      <a:avLst/>
                    </a:prstGeom>
                  </pic:spPr>
                </pic:pic>
              </a:graphicData>
            </a:graphic>
          </wp:anchor>
        </w:drawing>
      </w:r>
      <w:r>
        <w:rPr>
          <w:sz w:val="26"/>
        </w:rPr>
        <w:t>1</w:t>
      </w:r>
      <w:r>
        <w:rPr>
          <w:sz w:val="26"/>
        </w:rPr>
        <w:tab/>
        <w:t>solicitó mediante nota sin número y oficio sin número del 1 1 de noviembre de</w:t>
      </w:r>
    </w:p>
    <w:p w14:paraId="6EB799A8" w14:textId="77777777" w:rsidR="00053D93" w:rsidRDefault="00260B75">
      <w:pPr>
        <w:spacing w:after="489" w:line="269" w:lineRule="auto"/>
        <w:ind w:left="57" w:right="14" w:firstLine="1721"/>
        <w:jc w:val="both"/>
      </w:pPr>
      <w:r>
        <w:rPr>
          <w:sz w:val="26"/>
        </w:rPr>
        <w:t>2024, manifestando que se debió a la premura de la presentación de la oferta y a 1 causas de fuerza mayor ajenas a la institución, en donde indican que solo pudieron adquirir 107 boletos aéreos de los 188 boletos aéreos previstos, por falta de disponibilidad y variación en los precios en los boletos; lo cual contraviene a lo 1 establecido en el numeral 2, literal "a", numeral 3.2.3, literal "b" y numeral 7 de las Especificaciones Técnicas del Proceso de Cotización C-33/2024-MlNEDUC; en virtud que, los cambios debían realizarse a solicitud de la DIGEF y únicamente con 1 relación a la cantidad de boletos aéreos a emitir, como confirmación de las personas que participarían en los Juegos Deportivos Escolares Centroamericanos 1 del CODICADER, para estudiantes con discapacidad que se llevó a cabo en la ciudad de Panamá y no por falta de disponibilidad de la aerolínea.</w:t>
      </w:r>
    </w:p>
    <w:p w14:paraId="148EA71D" w14:textId="77777777" w:rsidR="00053D93" w:rsidRDefault="00260B75">
      <w:pPr>
        <w:spacing w:after="4" w:line="269" w:lineRule="auto"/>
        <w:ind w:left="60" w:right="14" w:hanging="3"/>
        <w:jc w:val="both"/>
      </w:pPr>
      <w:r>
        <w:rPr>
          <w:sz w:val="26"/>
        </w:rPr>
        <w:t>1 Cabe mencionar que, en el Punto SEXTO del Acta Administrativa Número 127-2024, del 20 de diciembre de 2024, la Comisión receptora y liquidadora, manifestó que el contratista cumplió a cabalidad dentro del plazo establecido, por 1 lo que no hay cobros o sanciones que aplicar; sin embargo, se puede observar claramente que la entidad LAX TRAVEL, S.A., no cumplió a cabalidad con lo 1 establecido en el Contrato Administrativo Número No. 01-2024-DIGEF-CD, del 1 1 de noviembre de 2024 y en las Especificaciones Técnicas de las bases del evento de cotización C-33/2024-MlNEDUC; los cuales se detallan a continuación: 1) Se 1 realizaron y aprobaron cambios de última hora, en la cantidad de boletos aéreos a 1</w:t>
      </w:r>
      <w:r>
        <w:rPr>
          <w:sz w:val="26"/>
        </w:rPr>
        <w:tab/>
        <w:t>adquirir y en el calendario de viajes, el mismo día que se celebró el Contrato</w:t>
      </w:r>
    </w:p>
    <w:p w14:paraId="3FADB85C" w14:textId="77777777" w:rsidR="00053D93" w:rsidRDefault="00260B75">
      <w:pPr>
        <w:spacing w:after="4" w:line="269" w:lineRule="auto"/>
        <w:ind w:left="57" w:right="14" w:firstLine="1699"/>
        <w:jc w:val="both"/>
      </w:pPr>
      <w:r>
        <w:rPr>
          <w:sz w:val="26"/>
        </w:rPr>
        <w:t>Administrativo Número 01-2024-DIGEF-CD, contraviniendo a lo establecido para 1 el efecto en las Especificaciones Técnicas de las bases del Proceso de Cotización C-33/2024-MlNEDUC, numeral 2, literal "a", numeral 3.2.3, literal "b" y numeral 7. 2) Los boletos aéreos emitidos por el contratista y utilizados por [a DIGEF en el 1 evento adjudicado, no fueron entregados a las personas establecidas en el lugar y hora indicados en el Contrato Administrativo Número 01-2024-DIGEF-CD, del 1 1 de noviembre de 2024 y según lo indicado en el numeral 1 2 de las 1 Especificaciones Técnicas de las bases del Proceso de Cotización</w:t>
      </w:r>
    </w:p>
    <w:p w14:paraId="06867D70" w14:textId="77777777" w:rsidR="00053D93" w:rsidRDefault="00260B75">
      <w:pPr>
        <w:spacing w:after="4" w:line="269" w:lineRule="auto"/>
        <w:ind w:left="57" w:right="14" w:firstLine="1692"/>
        <w:jc w:val="both"/>
      </w:pPr>
      <w:r>
        <w:rPr>
          <w:sz w:val="26"/>
        </w:rPr>
        <w:t>C-33/2024-MlNEDUC; así como tampoco se tiene certeza de quién recepcionó los 1 boleto aéreos adquiridos mediante la entidad LAX TRAVELI S.A., los cuales debían ser entregados directamente a la primera Comisión Receptora y liquidadora nombrada para el efecto, quienes mediante Acta Administrativa 1 Número 01-2024, del 13 de noviembre de 2024, en el Punto Sexto, no recibieron a</w:t>
      </w:r>
    </w:p>
    <w:tbl>
      <w:tblPr>
        <w:tblStyle w:val="TableGrid"/>
        <w:tblpPr w:vertAnchor="page" w:horzAnchor="page" w:tblpX="2834" w:tblpY="14580"/>
        <w:tblOverlap w:val="never"/>
        <w:tblW w:w="7635" w:type="dxa"/>
        <w:tblInd w:w="0" w:type="dxa"/>
        <w:tblCellMar>
          <w:top w:w="31" w:type="dxa"/>
          <w:left w:w="1745" w:type="dxa"/>
          <w:right w:w="115" w:type="dxa"/>
        </w:tblCellMar>
        <w:tblLook w:val="04A0" w:firstRow="1" w:lastRow="0" w:firstColumn="1" w:lastColumn="0" w:noHBand="0" w:noVBand="1"/>
      </w:tblPr>
      <w:tblGrid>
        <w:gridCol w:w="7635"/>
      </w:tblGrid>
      <w:tr w:rsidR="00053D93" w14:paraId="0262CA50" w14:textId="77777777">
        <w:trPr>
          <w:trHeight w:val="58"/>
        </w:trPr>
        <w:tc>
          <w:tcPr>
            <w:tcW w:w="7635" w:type="dxa"/>
            <w:tcBorders>
              <w:top w:val="nil"/>
              <w:left w:val="single" w:sz="2" w:space="0" w:color="000000"/>
              <w:bottom w:val="single" w:sz="2" w:space="0" w:color="000000"/>
              <w:right w:val="nil"/>
            </w:tcBorders>
          </w:tcPr>
          <w:p w14:paraId="7086E742" w14:textId="77777777" w:rsidR="00053D93" w:rsidRDefault="00053D93"/>
        </w:tc>
      </w:tr>
      <w:tr w:rsidR="00053D93" w14:paraId="7C4F5EF8" w14:textId="77777777">
        <w:trPr>
          <w:trHeight w:val="576"/>
        </w:trPr>
        <w:tc>
          <w:tcPr>
            <w:tcW w:w="7635" w:type="dxa"/>
            <w:tcBorders>
              <w:top w:val="single" w:sz="2" w:space="0" w:color="000000"/>
              <w:left w:val="single" w:sz="2" w:space="0" w:color="000000"/>
              <w:bottom w:val="nil"/>
              <w:right w:val="nil"/>
            </w:tcBorders>
          </w:tcPr>
          <w:p w14:paraId="22F811F1" w14:textId="77777777" w:rsidR="00053D93" w:rsidRDefault="00260B75">
            <w:pPr>
              <w:ind w:left="835"/>
            </w:pPr>
            <w:r>
              <w:rPr>
                <w:sz w:val="14"/>
              </w:rPr>
              <w:t>MINISTERIO DE EDUCACION</w:t>
            </w:r>
          </w:p>
          <w:p w14:paraId="21D50AD8" w14:textId="77777777" w:rsidR="00053D93" w:rsidRDefault="00260B75">
            <w:pPr>
              <w:ind w:left="338"/>
            </w:pPr>
            <w:r>
              <w:rPr>
                <w:sz w:val="14"/>
              </w:rPr>
              <w:t>AUDITORIA FINANCIERA Y DE CUMPLIMIENTO</w:t>
            </w:r>
          </w:p>
          <w:p w14:paraId="050DC51B" w14:textId="77777777" w:rsidR="00053D93" w:rsidRDefault="00260B75">
            <w:r>
              <w:rPr>
                <w:sz w:val="14"/>
              </w:rPr>
              <w:t>PERIODO DEL 01 DE ENERO AL 31 DE DICIEMBRE OE 2024</w:t>
            </w:r>
          </w:p>
        </w:tc>
      </w:tr>
    </w:tbl>
    <w:p w14:paraId="0BFB38D9" w14:textId="77777777" w:rsidR="00053D93" w:rsidRDefault="00260B75">
      <w:pPr>
        <w:spacing w:after="4" w:line="269" w:lineRule="auto"/>
        <w:ind w:left="57" w:right="14" w:firstLine="1685"/>
        <w:jc w:val="both"/>
      </w:pPr>
      <w:r>
        <w:rPr>
          <w:noProof/>
        </w:rPr>
        <w:drawing>
          <wp:anchor distT="0" distB="0" distL="114300" distR="114300" simplePos="0" relativeHeight="252184576" behindDoc="0" locked="0" layoutInCell="1" allowOverlap="0" wp14:anchorId="42391AE7" wp14:editId="23C9E4AA">
            <wp:simplePos x="0" y="0"/>
            <wp:positionH relativeFrom="page">
              <wp:posOffset>658368</wp:posOffset>
            </wp:positionH>
            <wp:positionV relativeFrom="page">
              <wp:posOffset>9249156</wp:posOffset>
            </wp:positionV>
            <wp:extent cx="1120140" cy="406908"/>
            <wp:effectExtent l="0" t="0" r="0" b="0"/>
            <wp:wrapTopAndBottom/>
            <wp:docPr id="1031877" name="Picture 1031877"/>
            <wp:cNvGraphicFramePr/>
            <a:graphic xmlns:a="http://schemas.openxmlformats.org/drawingml/2006/main">
              <a:graphicData uri="http://schemas.openxmlformats.org/drawingml/2006/picture">
                <pic:pic xmlns:pic="http://schemas.openxmlformats.org/drawingml/2006/picture">
                  <pic:nvPicPr>
                    <pic:cNvPr id="1031877" name="Picture 1031877"/>
                    <pic:cNvPicPr/>
                  </pic:nvPicPr>
                  <pic:blipFill>
                    <a:blip r:embed="rId1407"/>
                    <a:stretch>
                      <a:fillRect/>
                    </a:stretch>
                  </pic:blipFill>
                  <pic:spPr>
                    <a:xfrm>
                      <a:off x="0" y="0"/>
                      <a:ext cx="1120140" cy="406908"/>
                    </a:xfrm>
                    <a:prstGeom prst="rect">
                      <a:avLst/>
                    </a:prstGeom>
                  </pic:spPr>
                </pic:pic>
              </a:graphicData>
            </a:graphic>
          </wp:anchor>
        </w:drawing>
      </w:r>
      <w:r>
        <w:rPr>
          <w:noProof/>
        </w:rPr>
        <w:drawing>
          <wp:anchor distT="0" distB="0" distL="114300" distR="114300" simplePos="0" relativeHeight="252185600" behindDoc="0" locked="0" layoutInCell="1" allowOverlap="0" wp14:anchorId="135611F2" wp14:editId="67FB2FA0">
            <wp:simplePos x="0" y="0"/>
            <wp:positionH relativeFrom="page">
              <wp:posOffset>164592</wp:posOffset>
            </wp:positionH>
            <wp:positionV relativeFrom="page">
              <wp:posOffset>841248</wp:posOffset>
            </wp:positionV>
            <wp:extent cx="36576" cy="4572"/>
            <wp:effectExtent l="0" t="0" r="0" b="0"/>
            <wp:wrapTopAndBottom/>
            <wp:docPr id="1031833" name="Picture 1031833"/>
            <wp:cNvGraphicFramePr/>
            <a:graphic xmlns:a="http://schemas.openxmlformats.org/drawingml/2006/main">
              <a:graphicData uri="http://schemas.openxmlformats.org/drawingml/2006/picture">
                <pic:pic xmlns:pic="http://schemas.openxmlformats.org/drawingml/2006/picture">
                  <pic:nvPicPr>
                    <pic:cNvPr id="1031833" name="Picture 1031833"/>
                    <pic:cNvPicPr/>
                  </pic:nvPicPr>
                  <pic:blipFill>
                    <a:blip r:embed="rId844"/>
                    <a:stretch>
                      <a:fillRect/>
                    </a:stretch>
                  </pic:blipFill>
                  <pic:spPr>
                    <a:xfrm>
                      <a:off x="0" y="0"/>
                      <a:ext cx="36576" cy="4572"/>
                    </a:xfrm>
                    <a:prstGeom prst="rect">
                      <a:avLst/>
                    </a:prstGeom>
                  </pic:spPr>
                </pic:pic>
              </a:graphicData>
            </a:graphic>
          </wp:anchor>
        </w:drawing>
      </w:r>
      <w:r>
        <w:rPr>
          <w:noProof/>
        </w:rPr>
        <w:drawing>
          <wp:anchor distT="0" distB="0" distL="114300" distR="114300" simplePos="0" relativeHeight="252186624" behindDoc="0" locked="0" layoutInCell="1" allowOverlap="0" wp14:anchorId="2A5F0E9A" wp14:editId="1BBFFEFE">
            <wp:simplePos x="0" y="0"/>
            <wp:positionH relativeFrom="page">
              <wp:posOffset>969264</wp:posOffset>
            </wp:positionH>
            <wp:positionV relativeFrom="page">
              <wp:posOffset>827532</wp:posOffset>
            </wp:positionV>
            <wp:extent cx="5888735" cy="45720"/>
            <wp:effectExtent l="0" t="0" r="0" b="0"/>
            <wp:wrapTopAndBottom/>
            <wp:docPr id="2458764" name="Picture 2458764"/>
            <wp:cNvGraphicFramePr/>
            <a:graphic xmlns:a="http://schemas.openxmlformats.org/drawingml/2006/main">
              <a:graphicData uri="http://schemas.openxmlformats.org/drawingml/2006/picture">
                <pic:pic xmlns:pic="http://schemas.openxmlformats.org/drawingml/2006/picture">
                  <pic:nvPicPr>
                    <pic:cNvPr id="2458764" name="Picture 2458764"/>
                    <pic:cNvPicPr/>
                  </pic:nvPicPr>
                  <pic:blipFill>
                    <a:blip r:embed="rId1408"/>
                    <a:stretch>
                      <a:fillRect/>
                    </a:stretch>
                  </pic:blipFill>
                  <pic:spPr>
                    <a:xfrm>
                      <a:off x="0" y="0"/>
                      <a:ext cx="5888735" cy="45720"/>
                    </a:xfrm>
                    <a:prstGeom prst="rect">
                      <a:avLst/>
                    </a:prstGeom>
                  </pic:spPr>
                </pic:pic>
              </a:graphicData>
            </a:graphic>
          </wp:anchor>
        </w:drawing>
      </w:r>
      <w:r>
        <w:rPr>
          <w:sz w:val="26"/>
        </w:rPr>
        <w:t>entera conformidad el objeto del Contrato Administrativo Número 01-2024-DIGEF-CD, del 1 1 de noviembre de 2024, por no haber recibido la 1 compra realizada de los boletos aéreos. 3) Los 107 boletos aéreos fueron emitidos ei 09 de noviembre de 2024, dos días antes que se aprobara la adjudicación del 1 evento y el Contrato Administrativo Número 01-2024-DIGEF-CD, mediante Acuerdo Ministerial Número 3370-2024, del 1 1 de noviembre de 2024, emitido por la Ministra y et Viceministro de Educación. 4) No se tiene certeza si la entidad LAX 1 TRAVEL, S.A. prestó el servicio de flete adjudicado, para el transporte de equipo de prensa y equipo médico, el cual no se recibió por parte de la nueva Comisión receptora y liquidadora; sin embargo la entidad LAX TRAVEL, S.A., Io requiere en 1 pago, de conformidad con lo manifestado por la entidad mediante el oficio sin número del 16 de diciembre de 2024, dirigido al Viceministro Técnico del Ministerio 1 de Educación y el Documento Tributario Electrónico serie: 18F821 DD, número: 2490581832, del 16 de diciembre de 2024. 5) Se adquirieron 15 boletos aéreos a la entidad LAX TRAVEL, S.A. mediante viáticos al exterior, de personal que 1 formaba parte de los participantes inscritos para los Juegos Deportivos Escolares Centroamericanos del CODICADER, para estudiantes con discapacidad, que se</w:t>
      </w:r>
    </w:p>
    <w:p w14:paraId="3FC08DE9" w14:textId="77777777" w:rsidR="00053D93" w:rsidRDefault="00260B75">
      <w:pPr>
        <w:spacing w:after="221" w:line="269" w:lineRule="auto"/>
        <w:ind w:left="60" w:right="79" w:hanging="3"/>
        <w:jc w:val="both"/>
      </w:pPr>
      <w:r>
        <w:rPr>
          <w:sz w:val="26"/>
        </w:rPr>
        <w:t>1 llevó a cabo en la ciudad de Panamá, con fecha de emisión el 1 1 de noviembre de 2024, mismo día en que el contratista le indicó al Director General en Funciones de la DIGEF, mediante nota y oficio sin número, que no había sido posible adquirir 1 la totalidad de los boletos aéreos previstos, debido a falta de disponibilidad y variación en los precios de los boletos aéreos, adquiriéndolos a un precio mayor al adjudicado en el evento de Compra Directa por Ausencia de Ofertas del Evento</w:t>
      </w:r>
    </w:p>
    <w:p w14:paraId="5910FC82" w14:textId="77777777" w:rsidR="00053D93" w:rsidRDefault="00260B75">
      <w:pPr>
        <w:tabs>
          <w:tab w:val="center" w:pos="3985"/>
        </w:tabs>
        <w:spacing w:after="110" w:line="269" w:lineRule="auto"/>
      </w:pPr>
      <w:r>
        <w:rPr>
          <w:sz w:val="26"/>
        </w:rPr>
        <w:t>1</w:t>
      </w:r>
      <w:r>
        <w:rPr>
          <w:sz w:val="26"/>
        </w:rPr>
        <w:tab/>
        <w:t>original de Cotización C-33/2024-MlNEDUC.</w:t>
      </w:r>
    </w:p>
    <w:p w14:paraId="7BB3F166" w14:textId="77777777" w:rsidR="00053D93" w:rsidRDefault="00260B75">
      <w:pPr>
        <w:spacing w:after="47" w:line="269" w:lineRule="auto"/>
        <w:ind w:left="60" w:right="86" w:hanging="3"/>
        <w:jc w:val="both"/>
      </w:pPr>
      <w:r>
        <w:rPr>
          <w:sz w:val="26"/>
        </w:rPr>
        <w:t>1 Por lo que, la comisión receptora y liquidadora, recibió a entera conformidad el objeto det Contrato Administrativo Número No. 01-2024-D[GEF-CD, del 1 1 de noviembre de 2024, omitiendo aplicar las sanciones correspondientes; sin realizar 1 las gestiones y averiguaciones suficientes y necesarias para verificar el adecuado</w:t>
      </w:r>
    </w:p>
    <w:p w14:paraId="4140BEA8" w14:textId="77777777" w:rsidR="00053D93" w:rsidRDefault="00053D93">
      <w:pPr>
        <w:sectPr w:rsidR="00053D93">
          <w:headerReference w:type="even" r:id="rId1409"/>
          <w:headerReference w:type="default" r:id="rId1410"/>
          <w:footerReference w:type="even" r:id="rId1411"/>
          <w:footerReference w:type="default" r:id="rId1412"/>
          <w:headerReference w:type="first" r:id="rId1413"/>
          <w:footerReference w:type="first" r:id="rId1414"/>
          <w:pgSz w:w="12290" w:h="15883"/>
          <w:pgMar w:top="1407" w:right="1728" w:bottom="662" w:left="266" w:header="360" w:footer="720" w:gutter="0"/>
          <w:cols w:space="720"/>
        </w:sectPr>
      </w:pPr>
    </w:p>
    <w:p w14:paraId="6BDEFC62" w14:textId="77777777" w:rsidR="00053D93" w:rsidRDefault="00260B75">
      <w:pPr>
        <w:spacing w:after="288" w:line="250" w:lineRule="auto"/>
        <w:ind w:left="917" w:right="14" w:hanging="3"/>
        <w:jc w:val="both"/>
      </w:pPr>
      <w:r>
        <w:rPr>
          <w:sz w:val="26"/>
        </w:rPr>
        <w:t>cumplimiento a dicho contrato administrativo, así como aclarar fas inconsistencias e irregularidades presentadas en el evento con NOG 24709395, denominado "Servicio de transporte aéreo para la delegación deportiva escolar de Guatemala que participará en los Juegos Deportivos Escolares Centroamericanos del CODICADER, para estudiantes con discapacidad, a realizarse en Panamá, Panamá, a solicitud de la DIGEF", mediante la modalidad de Compra Directa por Ausencia de Ofertas del evento original de cotización C-33/2024-MlNEDUC con NOG 23723718, para lo cual fueron nombrados.</w:t>
      </w:r>
    </w:p>
    <w:p w14:paraId="64853522" w14:textId="77777777" w:rsidR="00053D93" w:rsidRDefault="00260B75">
      <w:pPr>
        <w:spacing w:after="316" w:line="250" w:lineRule="auto"/>
        <w:ind w:left="939" w:right="14" w:hanging="3"/>
        <w:jc w:val="both"/>
      </w:pPr>
      <w:r>
        <w:rPr>
          <w:sz w:val="26"/>
        </w:rPr>
        <w:t>El hallazgo se notificó con el número 10 y en el presente informe le corresponde el número 9.</w:t>
      </w:r>
    </w:p>
    <w:p w14:paraId="65544B2A" w14:textId="77777777" w:rsidR="00053D93" w:rsidRDefault="00260B75">
      <w:pPr>
        <w:spacing w:after="14" w:line="251" w:lineRule="auto"/>
        <w:ind w:left="932" w:hanging="3"/>
        <w:jc w:val="both"/>
      </w:pPr>
      <w:r>
        <w:rPr>
          <w:sz w:val="28"/>
        </w:rPr>
        <w:t>Acciones legales</w:t>
      </w:r>
    </w:p>
    <w:p w14:paraId="6DD48716" w14:textId="77777777" w:rsidR="00053D93" w:rsidRDefault="00260B75">
      <w:pPr>
        <w:spacing w:after="12" w:line="250" w:lineRule="auto"/>
        <w:ind w:left="939" w:right="14" w:hanging="3"/>
        <w:jc w:val="both"/>
      </w:pPr>
      <w:r>
        <w:rPr>
          <w:noProof/>
        </w:rPr>
        <mc:AlternateContent>
          <mc:Choice Requires="wpg">
            <w:drawing>
              <wp:anchor distT="0" distB="0" distL="114300" distR="114300" simplePos="0" relativeHeight="252187648" behindDoc="0" locked="0" layoutInCell="1" allowOverlap="1" wp14:anchorId="2FA60FF8" wp14:editId="10BF71B1">
                <wp:simplePos x="0" y="0"/>
                <wp:positionH relativeFrom="page">
                  <wp:posOffset>882396</wp:posOffset>
                </wp:positionH>
                <wp:positionV relativeFrom="page">
                  <wp:posOffset>768096</wp:posOffset>
                </wp:positionV>
                <wp:extent cx="5916169" cy="13716"/>
                <wp:effectExtent l="0" t="0" r="0" b="0"/>
                <wp:wrapTopAndBottom/>
                <wp:docPr id="2458769" name="Group 2458769"/>
                <wp:cNvGraphicFramePr/>
                <a:graphic xmlns:a="http://schemas.openxmlformats.org/drawingml/2006/main">
                  <a:graphicData uri="http://schemas.microsoft.com/office/word/2010/wordprocessingGroup">
                    <wpg:wgp>
                      <wpg:cNvGrpSpPr/>
                      <wpg:grpSpPr>
                        <a:xfrm>
                          <a:off x="0" y="0"/>
                          <a:ext cx="5916169" cy="13716"/>
                          <a:chOff x="0" y="0"/>
                          <a:chExt cx="5916169" cy="13716"/>
                        </a:xfrm>
                      </wpg:grpSpPr>
                      <wps:wsp>
                        <wps:cNvPr id="2458768" name="Shape 2458768"/>
                        <wps:cNvSpPr/>
                        <wps:spPr>
                          <a:xfrm>
                            <a:off x="0" y="0"/>
                            <a:ext cx="5916169" cy="13716"/>
                          </a:xfrm>
                          <a:custGeom>
                            <a:avLst/>
                            <a:gdLst/>
                            <a:ahLst/>
                            <a:cxnLst/>
                            <a:rect l="0" t="0" r="0" b="0"/>
                            <a:pathLst>
                              <a:path w="5916169" h="13716">
                                <a:moveTo>
                                  <a:pt x="0" y="6858"/>
                                </a:moveTo>
                                <a:lnTo>
                                  <a:pt x="591616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769" style="width:465.84pt;height:1.08pt;position:absolute;mso-position-horizontal-relative:page;mso-position-horizontal:absolute;margin-left:69.48pt;mso-position-vertical-relative:page;margin-top:60.48pt;" coordsize="59161,137">
                <v:shape id="Shape 2458768" style="position:absolute;width:59161;height:137;left:0;top:0;" coordsize="5916169,13716" path="m0,6858l5916169,6858">
                  <v:stroke weight="1.08pt" endcap="flat" joinstyle="miter" miterlimit="1" on="true" color="#000000"/>
                  <v:fill on="false" color="#000000"/>
                </v:shape>
                <w10:wrap type="topAndBottom"/>
              </v:group>
            </w:pict>
          </mc:Fallback>
        </mc:AlternateContent>
      </w:r>
      <w:r>
        <w:rPr>
          <w:noProof/>
        </w:rPr>
        <w:drawing>
          <wp:anchor distT="0" distB="0" distL="114300" distR="114300" simplePos="0" relativeHeight="252188672" behindDoc="0" locked="0" layoutInCell="1" allowOverlap="0" wp14:anchorId="1B79498D" wp14:editId="17076D2F">
            <wp:simplePos x="0" y="0"/>
            <wp:positionH relativeFrom="page">
              <wp:posOffset>6967728</wp:posOffset>
            </wp:positionH>
            <wp:positionV relativeFrom="page">
              <wp:posOffset>3712464</wp:posOffset>
            </wp:positionV>
            <wp:extent cx="18287" cy="22860"/>
            <wp:effectExtent l="0" t="0" r="0" b="0"/>
            <wp:wrapSquare wrapText="bothSides"/>
            <wp:docPr id="1035707" name="Picture 1035707"/>
            <wp:cNvGraphicFramePr/>
            <a:graphic xmlns:a="http://schemas.openxmlformats.org/drawingml/2006/main">
              <a:graphicData uri="http://schemas.openxmlformats.org/drawingml/2006/picture">
                <pic:pic xmlns:pic="http://schemas.openxmlformats.org/drawingml/2006/picture">
                  <pic:nvPicPr>
                    <pic:cNvPr id="1035707" name="Picture 1035707"/>
                    <pic:cNvPicPr/>
                  </pic:nvPicPr>
                  <pic:blipFill>
                    <a:blip r:embed="rId1415"/>
                    <a:stretch>
                      <a:fillRect/>
                    </a:stretch>
                  </pic:blipFill>
                  <pic:spPr>
                    <a:xfrm>
                      <a:off x="0" y="0"/>
                      <a:ext cx="18287" cy="22860"/>
                    </a:xfrm>
                    <a:prstGeom prst="rect">
                      <a:avLst/>
                    </a:prstGeom>
                  </pic:spPr>
                </pic:pic>
              </a:graphicData>
            </a:graphic>
          </wp:anchor>
        </w:drawing>
      </w:r>
      <w:r>
        <w:rPr>
          <w:sz w:val="26"/>
        </w:rPr>
        <w:t>Denuncia número DAJ-D-59-2025, presentada al Ministerio Público, de conformidad con el Decreto Número 31-2002, del Congreso de la República, Ley Orgánica de la Contralorra General de Cuentas, Artículo 30, en contra de:</w:t>
      </w:r>
    </w:p>
    <w:tbl>
      <w:tblPr>
        <w:tblStyle w:val="TableGrid"/>
        <w:tblW w:w="8438" w:type="dxa"/>
        <w:tblInd w:w="943" w:type="dxa"/>
        <w:tblLook w:val="04A0" w:firstRow="1" w:lastRow="0" w:firstColumn="1" w:lastColumn="0" w:noHBand="0" w:noVBand="1"/>
      </w:tblPr>
      <w:tblGrid>
        <w:gridCol w:w="4248"/>
        <w:gridCol w:w="2930"/>
        <w:gridCol w:w="1260"/>
      </w:tblGrid>
      <w:tr w:rsidR="00053D93" w14:paraId="2C4F6152" w14:textId="77777777">
        <w:trPr>
          <w:trHeight w:val="157"/>
        </w:trPr>
        <w:tc>
          <w:tcPr>
            <w:tcW w:w="4248" w:type="dxa"/>
            <w:tcBorders>
              <w:top w:val="nil"/>
              <w:left w:val="nil"/>
              <w:bottom w:val="nil"/>
              <w:right w:val="nil"/>
            </w:tcBorders>
          </w:tcPr>
          <w:p w14:paraId="0D4F485D" w14:textId="77777777" w:rsidR="00053D93" w:rsidRDefault="00260B75">
            <w:pPr>
              <w:ind w:left="7"/>
            </w:pPr>
            <w:r>
              <w:rPr>
                <w:sz w:val="16"/>
              </w:rPr>
              <w:t>Cargo</w:t>
            </w:r>
          </w:p>
        </w:tc>
        <w:tc>
          <w:tcPr>
            <w:tcW w:w="2930" w:type="dxa"/>
            <w:tcBorders>
              <w:top w:val="nil"/>
              <w:left w:val="nil"/>
              <w:bottom w:val="nil"/>
              <w:right w:val="nil"/>
            </w:tcBorders>
          </w:tcPr>
          <w:p w14:paraId="3597C485" w14:textId="77777777" w:rsidR="00053D93" w:rsidRDefault="00260B75">
            <w:r>
              <w:rPr>
                <w:sz w:val="16"/>
              </w:rPr>
              <w:t>Nombre</w:t>
            </w:r>
          </w:p>
        </w:tc>
        <w:tc>
          <w:tcPr>
            <w:tcW w:w="1260" w:type="dxa"/>
            <w:tcBorders>
              <w:top w:val="nil"/>
              <w:left w:val="nil"/>
              <w:bottom w:val="nil"/>
              <w:right w:val="nil"/>
            </w:tcBorders>
          </w:tcPr>
          <w:p w14:paraId="1A5AE6A7" w14:textId="77777777" w:rsidR="00053D93" w:rsidRDefault="00260B75">
            <w:pPr>
              <w:ind w:left="50"/>
              <w:jc w:val="both"/>
            </w:pPr>
            <w:r>
              <w:rPr>
                <w:sz w:val="16"/>
              </w:rPr>
              <w:t>Valor en Quetzales</w:t>
            </w:r>
          </w:p>
        </w:tc>
      </w:tr>
      <w:tr w:rsidR="00053D93" w14:paraId="7552A3D4" w14:textId="77777777">
        <w:trPr>
          <w:trHeight w:val="216"/>
        </w:trPr>
        <w:tc>
          <w:tcPr>
            <w:tcW w:w="4248" w:type="dxa"/>
            <w:tcBorders>
              <w:top w:val="nil"/>
              <w:left w:val="nil"/>
              <w:bottom w:val="nil"/>
              <w:right w:val="nil"/>
            </w:tcBorders>
          </w:tcPr>
          <w:p w14:paraId="7C5559A8" w14:textId="77777777" w:rsidR="00053D93" w:rsidRDefault="00260B75">
            <w:pPr>
              <w:ind w:left="14"/>
            </w:pPr>
            <w:r>
              <w:rPr>
                <w:sz w:val="18"/>
              </w:rPr>
              <w:t>RESPONSABILIDAD MANCOMUNADA</w:t>
            </w:r>
          </w:p>
        </w:tc>
        <w:tc>
          <w:tcPr>
            <w:tcW w:w="2930" w:type="dxa"/>
            <w:tcBorders>
              <w:top w:val="nil"/>
              <w:left w:val="nil"/>
              <w:bottom w:val="nil"/>
              <w:right w:val="nil"/>
            </w:tcBorders>
          </w:tcPr>
          <w:p w14:paraId="715D7E2F" w14:textId="77777777" w:rsidR="00053D93" w:rsidRDefault="00053D93"/>
        </w:tc>
        <w:tc>
          <w:tcPr>
            <w:tcW w:w="1260" w:type="dxa"/>
            <w:tcBorders>
              <w:top w:val="nil"/>
              <w:left w:val="nil"/>
              <w:bottom w:val="nil"/>
              <w:right w:val="nil"/>
            </w:tcBorders>
          </w:tcPr>
          <w:p w14:paraId="2ABED087" w14:textId="77777777" w:rsidR="00053D93" w:rsidRDefault="00260B75">
            <w:pPr>
              <w:jc w:val="right"/>
            </w:pPr>
            <w:r>
              <w:rPr>
                <w:rFonts w:ascii="Times New Roman" w:eastAsia="Times New Roman" w:hAnsi="Times New Roman" w:cs="Times New Roman"/>
                <w:sz w:val="14"/>
              </w:rPr>
              <w:t>443,901.19</w:t>
            </w:r>
          </w:p>
        </w:tc>
      </w:tr>
      <w:tr w:rsidR="00053D93" w14:paraId="099AF1EA" w14:textId="77777777">
        <w:trPr>
          <w:trHeight w:val="205"/>
        </w:trPr>
        <w:tc>
          <w:tcPr>
            <w:tcW w:w="4248" w:type="dxa"/>
            <w:tcBorders>
              <w:top w:val="nil"/>
              <w:left w:val="nil"/>
              <w:bottom w:val="nil"/>
              <w:right w:val="nil"/>
            </w:tcBorders>
          </w:tcPr>
          <w:p w14:paraId="7E640595" w14:textId="77777777" w:rsidR="00053D93" w:rsidRDefault="00260B75">
            <w:pPr>
              <w:ind w:left="7"/>
            </w:pPr>
            <w:r>
              <w:rPr>
                <w:sz w:val="16"/>
              </w:rPr>
              <w:t>JEFE SECCION ALTO RENDIMIENTO DEPORTIVO ESCOLAR</w:t>
            </w:r>
          </w:p>
        </w:tc>
        <w:tc>
          <w:tcPr>
            <w:tcW w:w="2930" w:type="dxa"/>
            <w:tcBorders>
              <w:top w:val="nil"/>
              <w:left w:val="nil"/>
              <w:bottom w:val="nil"/>
              <w:right w:val="nil"/>
            </w:tcBorders>
          </w:tcPr>
          <w:p w14:paraId="5E3711D9" w14:textId="77777777" w:rsidR="00053D93" w:rsidRDefault="00260B75">
            <w:pPr>
              <w:ind w:left="7"/>
            </w:pPr>
            <w:r>
              <w:rPr>
                <w:sz w:val="18"/>
              </w:rPr>
              <w:t>CARLOS LEONEL GATICA CHAJÓN</w:t>
            </w:r>
          </w:p>
        </w:tc>
        <w:tc>
          <w:tcPr>
            <w:tcW w:w="1260" w:type="dxa"/>
            <w:tcBorders>
              <w:top w:val="nil"/>
              <w:left w:val="nil"/>
              <w:bottom w:val="nil"/>
              <w:right w:val="nil"/>
            </w:tcBorders>
          </w:tcPr>
          <w:p w14:paraId="01B4A141" w14:textId="77777777" w:rsidR="00053D93" w:rsidRDefault="00053D93"/>
        </w:tc>
      </w:tr>
      <w:tr w:rsidR="00053D93" w14:paraId="46AF6383" w14:textId="77777777">
        <w:trPr>
          <w:trHeight w:val="206"/>
        </w:trPr>
        <w:tc>
          <w:tcPr>
            <w:tcW w:w="4248" w:type="dxa"/>
            <w:tcBorders>
              <w:top w:val="nil"/>
              <w:left w:val="nil"/>
              <w:bottom w:val="nil"/>
              <w:right w:val="nil"/>
            </w:tcBorders>
          </w:tcPr>
          <w:p w14:paraId="183F5370" w14:textId="77777777" w:rsidR="00053D93" w:rsidRDefault="00260B75">
            <w:pPr>
              <w:ind w:left="7"/>
            </w:pPr>
            <w:r>
              <w:rPr>
                <w:sz w:val="16"/>
              </w:rPr>
              <w:t>DIRECTOR GENERAL EN FUNCIONES</w:t>
            </w:r>
          </w:p>
        </w:tc>
        <w:tc>
          <w:tcPr>
            <w:tcW w:w="2930" w:type="dxa"/>
            <w:tcBorders>
              <w:top w:val="nil"/>
              <w:left w:val="nil"/>
              <w:bottom w:val="nil"/>
              <w:right w:val="nil"/>
            </w:tcBorders>
          </w:tcPr>
          <w:p w14:paraId="5070A759" w14:textId="77777777" w:rsidR="00053D93" w:rsidRDefault="00260B75">
            <w:pPr>
              <w:ind w:left="7"/>
            </w:pPr>
            <w:r>
              <w:rPr>
                <w:sz w:val="18"/>
              </w:rPr>
              <w:t>EDGAR ESTUARDO ROORíGUEZ LÓPEZ</w:t>
            </w:r>
          </w:p>
        </w:tc>
        <w:tc>
          <w:tcPr>
            <w:tcW w:w="1260" w:type="dxa"/>
            <w:tcBorders>
              <w:top w:val="nil"/>
              <w:left w:val="nil"/>
              <w:bottom w:val="nil"/>
              <w:right w:val="nil"/>
            </w:tcBorders>
          </w:tcPr>
          <w:p w14:paraId="0CD0F0B7" w14:textId="77777777" w:rsidR="00053D93" w:rsidRDefault="00053D93"/>
        </w:tc>
      </w:tr>
      <w:tr w:rsidR="00053D93" w14:paraId="11BBBC07" w14:textId="77777777">
        <w:trPr>
          <w:trHeight w:val="214"/>
        </w:trPr>
        <w:tc>
          <w:tcPr>
            <w:tcW w:w="4248" w:type="dxa"/>
            <w:tcBorders>
              <w:top w:val="nil"/>
              <w:left w:val="nil"/>
              <w:bottom w:val="nil"/>
              <w:right w:val="nil"/>
            </w:tcBorders>
          </w:tcPr>
          <w:p w14:paraId="518979EC" w14:textId="77777777" w:rsidR="00053D93" w:rsidRDefault="00260B75">
            <w:pPr>
              <w:ind w:left="7"/>
            </w:pPr>
            <w:r>
              <w:rPr>
                <w:sz w:val="18"/>
              </w:rPr>
              <w:t>JEFE DE SECCION DE TRANSPORTES A.l.</w:t>
            </w:r>
          </w:p>
        </w:tc>
        <w:tc>
          <w:tcPr>
            <w:tcW w:w="2930" w:type="dxa"/>
            <w:tcBorders>
              <w:top w:val="nil"/>
              <w:left w:val="nil"/>
              <w:bottom w:val="nil"/>
              <w:right w:val="nil"/>
            </w:tcBorders>
          </w:tcPr>
          <w:p w14:paraId="22172AB4" w14:textId="77777777" w:rsidR="00053D93" w:rsidRDefault="00260B75">
            <w:r>
              <w:rPr>
                <w:sz w:val="16"/>
              </w:rPr>
              <w:t>JORGE AARON QUEVEDO LOPEZ</w:t>
            </w:r>
          </w:p>
        </w:tc>
        <w:tc>
          <w:tcPr>
            <w:tcW w:w="1260" w:type="dxa"/>
            <w:tcBorders>
              <w:top w:val="nil"/>
              <w:left w:val="nil"/>
              <w:bottom w:val="nil"/>
              <w:right w:val="nil"/>
            </w:tcBorders>
          </w:tcPr>
          <w:p w14:paraId="6DCDF84E" w14:textId="77777777" w:rsidR="00053D93" w:rsidRDefault="00053D93"/>
        </w:tc>
      </w:tr>
      <w:tr w:rsidR="00053D93" w14:paraId="1BA60EBE" w14:textId="77777777">
        <w:trPr>
          <w:trHeight w:val="192"/>
        </w:trPr>
        <w:tc>
          <w:tcPr>
            <w:tcW w:w="4248" w:type="dxa"/>
            <w:tcBorders>
              <w:top w:val="nil"/>
              <w:left w:val="nil"/>
              <w:bottom w:val="nil"/>
              <w:right w:val="nil"/>
            </w:tcBorders>
          </w:tcPr>
          <w:p w14:paraId="6A291D66" w14:textId="77777777" w:rsidR="00053D93" w:rsidRDefault="00260B75">
            <w:pPr>
              <w:ind w:left="14"/>
            </w:pPr>
            <w:r>
              <w:rPr>
                <w:sz w:val="16"/>
              </w:rPr>
              <w:t>COORDINADOR ADMINISTRATIVO Al.</w:t>
            </w:r>
          </w:p>
        </w:tc>
        <w:tc>
          <w:tcPr>
            <w:tcW w:w="2930" w:type="dxa"/>
            <w:tcBorders>
              <w:top w:val="nil"/>
              <w:left w:val="nil"/>
              <w:bottom w:val="nil"/>
              <w:right w:val="nil"/>
            </w:tcBorders>
          </w:tcPr>
          <w:p w14:paraId="4659CF7C" w14:textId="77777777" w:rsidR="00053D93" w:rsidRDefault="00260B75">
            <w:r>
              <w:rPr>
                <w:sz w:val="16"/>
              </w:rPr>
              <w:t>JULIO WALDEMAR JIMENEZ BACK</w:t>
            </w:r>
          </w:p>
        </w:tc>
        <w:tc>
          <w:tcPr>
            <w:tcW w:w="1260" w:type="dxa"/>
            <w:tcBorders>
              <w:top w:val="nil"/>
              <w:left w:val="nil"/>
              <w:bottom w:val="nil"/>
              <w:right w:val="nil"/>
            </w:tcBorders>
          </w:tcPr>
          <w:p w14:paraId="7E79A46E" w14:textId="77777777" w:rsidR="00053D93" w:rsidRDefault="00053D93"/>
        </w:tc>
      </w:tr>
      <w:tr w:rsidR="00053D93" w14:paraId="0FB86AFB" w14:textId="77777777">
        <w:trPr>
          <w:trHeight w:val="224"/>
        </w:trPr>
        <w:tc>
          <w:tcPr>
            <w:tcW w:w="4248" w:type="dxa"/>
            <w:tcBorders>
              <w:top w:val="nil"/>
              <w:left w:val="nil"/>
              <w:bottom w:val="nil"/>
              <w:right w:val="nil"/>
            </w:tcBorders>
          </w:tcPr>
          <w:p w14:paraId="4C904F63" w14:textId="77777777" w:rsidR="00053D93" w:rsidRDefault="00260B75">
            <w:pPr>
              <w:ind w:left="7"/>
            </w:pPr>
            <w:r>
              <w:rPr>
                <w:sz w:val="18"/>
              </w:rPr>
              <w:t>ASISTENTE DE ACCIONES OE PERSONAL</w:t>
            </w:r>
          </w:p>
        </w:tc>
        <w:tc>
          <w:tcPr>
            <w:tcW w:w="2930" w:type="dxa"/>
            <w:tcBorders>
              <w:top w:val="nil"/>
              <w:left w:val="nil"/>
              <w:bottom w:val="nil"/>
              <w:right w:val="nil"/>
            </w:tcBorders>
          </w:tcPr>
          <w:p w14:paraId="574263ED" w14:textId="77777777" w:rsidR="00053D93" w:rsidRDefault="00260B75">
            <w:pPr>
              <w:ind w:left="7"/>
            </w:pPr>
            <w:r>
              <w:rPr>
                <w:sz w:val="18"/>
              </w:rPr>
              <w:t>RICARDO JAVIER ESPINOZA CANO</w:t>
            </w:r>
          </w:p>
        </w:tc>
        <w:tc>
          <w:tcPr>
            <w:tcW w:w="1260" w:type="dxa"/>
            <w:tcBorders>
              <w:top w:val="nil"/>
              <w:left w:val="nil"/>
              <w:bottom w:val="nil"/>
              <w:right w:val="nil"/>
            </w:tcBorders>
          </w:tcPr>
          <w:p w14:paraId="29006892" w14:textId="77777777" w:rsidR="00053D93" w:rsidRDefault="00053D93"/>
        </w:tc>
      </w:tr>
      <w:tr w:rsidR="00053D93" w14:paraId="54D350AE" w14:textId="77777777">
        <w:trPr>
          <w:trHeight w:val="170"/>
        </w:trPr>
        <w:tc>
          <w:tcPr>
            <w:tcW w:w="4248" w:type="dxa"/>
            <w:tcBorders>
              <w:top w:val="nil"/>
              <w:left w:val="nil"/>
              <w:bottom w:val="nil"/>
              <w:right w:val="nil"/>
            </w:tcBorders>
          </w:tcPr>
          <w:p w14:paraId="30ECCCAB" w14:textId="77777777" w:rsidR="00053D93" w:rsidRDefault="00260B75">
            <w:r>
              <w:rPr>
                <w:sz w:val="16"/>
              </w:rPr>
              <w:t>Tota'</w:t>
            </w:r>
          </w:p>
        </w:tc>
        <w:tc>
          <w:tcPr>
            <w:tcW w:w="2930" w:type="dxa"/>
            <w:tcBorders>
              <w:top w:val="nil"/>
              <w:left w:val="nil"/>
              <w:bottom w:val="nil"/>
              <w:right w:val="nil"/>
            </w:tcBorders>
          </w:tcPr>
          <w:p w14:paraId="0774796B" w14:textId="77777777" w:rsidR="00053D93" w:rsidRDefault="00053D93"/>
        </w:tc>
        <w:tc>
          <w:tcPr>
            <w:tcW w:w="1260" w:type="dxa"/>
            <w:tcBorders>
              <w:top w:val="nil"/>
              <w:left w:val="nil"/>
              <w:bottom w:val="nil"/>
              <w:right w:val="nil"/>
            </w:tcBorders>
          </w:tcPr>
          <w:p w14:paraId="1A62A151" w14:textId="77777777" w:rsidR="00053D93" w:rsidRDefault="00260B75">
            <w:pPr>
              <w:jc w:val="right"/>
            </w:pPr>
            <w:r>
              <w:rPr>
                <w:sz w:val="16"/>
              </w:rPr>
              <w:t>Q. 443,901.19</w:t>
            </w:r>
          </w:p>
        </w:tc>
      </w:tr>
    </w:tbl>
    <w:p w14:paraId="49CAFC27" w14:textId="77777777" w:rsidR="00053D93" w:rsidRDefault="00260B75">
      <w:pPr>
        <w:pStyle w:val="Ttulo5"/>
        <w:spacing w:after="255"/>
        <w:ind w:left="936"/>
      </w:pPr>
      <w:r>
        <w:t>DIRECCION GENERAL DE PARTICIPACION COMUNITARIA Y SERVICIOS DE APOYO -DIGEPSA-</w:t>
      </w:r>
    </w:p>
    <w:p w14:paraId="0B382EF3" w14:textId="77777777" w:rsidR="00053D93" w:rsidRDefault="00260B75">
      <w:pPr>
        <w:spacing w:after="273" w:line="251" w:lineRule="auto"/>
        <w:ind w:left="953" w:hanging="3"/>
        <w:jc w:val="both"/>
      </w:pPr>
      <w:r>
        <w:rPr>
          <w:sz w:val="28"/>
        </w:rPr>
        <w:t>Hallazgo No. 1</w:t>
      </w:r>
    </w:p>
    <w:p w14:paraId="056DDE66" w14:textId="77777777" w:rsidR="00053D93" w:rsidRDefault="00260B75">
      <w:pPr>
        <w:spacing w:after="300" w:line="251" w:lineRule="auto"/>
        <w:ind w:left="953" w:hanging="3"/>
        <w:jc w:val="both"/>
      </w:pPr>
      <w:r>
        <w:rPr>
          <w:sz w:val="28"/>
        </w:rPr>
        <w:t>Falta de respaldo de sistemas informáticos</w:t>
      </w:r>
    </w:p>
    <w:p w14:paraId="62F9926B" w14:textId="77777777" w:rsidR="00053D93" w:rsidRDefault="00260B75">
      <w:pPr>
        <w:spacing w:after="14" w:line="251" w:lineRule="auto"/>
        <w:ind w:left="946" w:hanging="3"/>
        <w:jc w:val="both"/>
      </w:pPr>
      <w:r>
        <w:rPr>
          <w:sz w:val="28"/>
        </w:rPr>
        <w:t>Condición</w:t>
      </w:r>
    </w:p>
    <w:p w14:paraId="1B7308E3" w14:textId="77777777" w:rsidR="00053D93" w:rsidRDefault="00260B75">
      <w:pPr>
        <w:spacing w:after="298" w:line="250" w:lineRule="auto"/>
        <w:ind w:left="939" w:right="14" w:hanging="3"/>
        <w:jc w:val="both"/>
      </w:pPr>
      <w:r>
        <w:rPr>
          <w:sz w:val="26"/>
        </w:rPr>
        <w:t>En el Ministerio de Educación, Unidad Ejecutora 123, Dirección General de Participación Comunitaria y Servicios de Apoyo -DIGEPSA-, al evaluar el cumplimiento del registro de la información, de las compras realizadas según facturas del programa de alimentación escolar y los porcentajes de adquisición, de los insumos priorizados a proveedores que practiquen la agricultura familiar de [a localidad, en la que se encuentre los centros educativos, se detectaron las siguientes deficiencias:</w:t>
      </w:r>
    </w:p>
    <w:p w14:paraId="2728A32A" w14:textId="77777777" w:rsidR="00053D93" w:rsidRDefault="00260B75">
      <w:pPr>
        <w:spacing w:after="382" w:line="250" w:lineRule="auto"/>
        <w:ind w:left="953" w:right="14" w:hanging="3"/>
        <w:jc w:val="both"/>
      </w:pPr>
      <w:r>
        <w:rPr>
          <w:sz w:val="26"/>
        </w:rPr>
        <w:t>1. Se evidenció que [a aplicación "Mis Compras del PAE" registrada en la dirección electrónica https://pae.mineduc.gob.gt, se perdió la información de los datos del período del 28/02/2024 al 18/09/2024, correspondiente a la información de</w:t>
      </w:r>
    </w:p>
    <w:tbl>
      <w:tblPr>
        <w:tblStyle w:val="TableGrid"/>
        <w:tblpPr w:vertAnchor="text" w:tblpX="1805" w:tblpY="33"/>
        <w:tblOverlap w:val="never"/>
        <w:tblW w:w="7635" w:type="dxa"/>
        <w:tblInd w:w="0" w:type="dxa"/>
        <w:tblCellMar>
          <w:top w:w="46" w:type="dxa"/>
          <w:left w:w="1738" w:type="dxa"/>
          <w:right w:w="115" w:type="dxa"/>
        </w:tblCellMar>
        <w:tblLook w:val="04A0" w:firstRow="1" w:lastRow="0" w:firstColumn="1" w:lastColumn="0" w:noHBand="0" w:noVBand="1"/>
      </w:tblPr>
      <w:tblGrid>
        <w:gridCol w:w="7635"/>
      </w:tblGrid>
      <w:tr w:rsidR="00053D93" w14:paraId="1C7D0652" w14:textId="77777777">
        <w:trPr>
          <w:trHeight w:val="600"/>
        </w:trPr>
        <w:tc>
          <w:tcPr>
            <w:tcW w:w="7635" w:type="dxa"/>
            <w:tcBorders>
              <w:top w:val="single" w:sz="2" w:space="0" w:color="000000"/>
              <w:left w:val="single" w:sz="2" w:space="0" w:color="000000"/>
              <w:bottom w:val="nil"/>
              <w:right w:val="nil"/>
            </w:tcBorders>
          </w:tcPr>
          <w:p w14:paraId="5D084CA9" w14:textId="77777777" w:rsidR="00053D93" w:rsidRDefault="00260B75">
            <w:pPr>
              <w:ind w:left="842"/>
            </w:pPr>
            <w:r>
              <w:rPr>
                <w:sz w:val="14"/>
              </w:rPr>
              <w:t>MINISTERIO DE EDUCACION</w:t>
            </w:r>
          </w:p>
          <w:p w14:paraId="2271D766" w14:textId="77777777" w:rsidR="00053D93" w:rsidRDefault="00260B75">
            <w:pPr>
              <w:ind w:left="338"/>
            </w:pPr>
            <w:r>
              <w:rPr>
                <w:sz w:val="14"/>
              </w:rPr>
              <w:t>AUDITORIA FINANCIERA Y DE CUMPLIMIENTO</w:t>
            </w:r>
          </w:p>
          <w:p w14:paraId="04611C08" w14:textId="77777777" w:rsidR="00053D93" w:rsidRDefault="00260B75">
            <w:r>
              <w:rPr>
                <w:sz w:val="16"/>
              </w:rPr>
              <w:t>PERIODO DEL 01 DE ENERO AL 31 DE DICIEM*E DE 2024</w:t>
            </w:r>
          </w:p>
        </w:tc>
      </w:tr>
    </w:tbl>
    <w:p w14:paraId="03684019" w14:textId="77777777" w:rsidR="00053D93" w:rsidRDefault="00260B75">
      <w:pPr>
        <w:pStyle w:val="Ttulo3"/>
        <w:spacing w:after="80" w:line="259" w:lineRule="auto"/>
        <w:ind w:right="-7654"/>
        <w:jc w:val="left"/>
      </w:pPr>
      <w:r>
        <w:rPr>
          <w:sz w:val="32"/>
        </w:rPr>
        <w:t xml:space="preserve">III </w:t>
      </w:r>
      <w:r>
        <w:rPr>
          <w:noProof/>
        </w:rPr>
        <w:drawing>
          <wp:inline distT="0" distB="0" distL="0" distR="0" wp14:anchorId="12F45814" wp14:editId="42E3ACFD">
            <wp:extent cx="937260" cy="406908"/>
            <wp:effectExtent l="0" t="0" r="0" b="0"/>
            <wp:docPr id="2458766" name="Picture 2458766"/>
            <wp:cNvGraphicFramePr/>
            <a:graphic xmlns:a="http://schemas.openxmlformats.org/drawingml/2006/main">
              <a:graphicData uri="http://schemas.openxmlformats.org/drawingml/2006/picture">
                <pic:pic xmlns:pic="http://schemas.openxmlformats.org/drawingml/2006/picture">
                  <pic:nvPicPr>
                    <pic:cNvPr id="2458766" name="Picture 2458766"/>
                    <pic:cNvPicPr/>
                  </pic:nvPicPr>
                  <pic:blipFill>
                    <a:blip r:embed="rId1416"/>
                    <a:stretch>
                      <a:fillRect/>
                    </a:stretch>
                  </pic:blipFill>
                  <pic:spPr>
                    <a:xfrm>
                      <a:off x="0" y="0"/>
                      <a:ext cx="937260" cy="406908"/>
                    </a:xfrm>
                    <a:prstGeom prst="rect">
                      <a:avLst/>
                    </a:prstGeom>
                  </pic:spPr>
                </pic:pic>
              </a:graphicData>
            </a:graphic>
          </wp:inline>
        </w:drawing>
      </w:r>
    </w:p>
    <w:p w14:paraId="516FBD6C" w14:textId="77777777" w:rsidR="00053D93" w:rsidRDefault="00260B75">
      <w:pPr>
        <w:spacing w:after="301" w:line="250" w:lineRule="auto"/>
        <w:ind w:left="953" w:right="14" w:hanging="3"/>
        <w:jc w:val="both"/>
      </w:pPr>
      <w:r>
        <w:rPr>
          <w:sz w:val="26"/>
        </w:rPr>
        <w:t>facturas de compra, del programa de alimentación escolar de los primeros 05 desembolsos durante el año 2024, ejecutados por 10,000 Organizaciones de Padres de Familia —OPF-.</w:t>
      </w:r>
    </w:p>
    <w:p w14:paraId="46C2B6DE" w14:textId="77777777" w:rsidR="00053D93" w:rsidRDefault="00260B75">
      <w:pPr>
        <w:numPr>
          <w:ilvl w:val="0"/>
          <w:numId w:val="14"/>
        </w:numPr>
        <w:spacing w:after="12" w:line="250" w:lineRule="auto"/>
        <w:ind w:right="14" w:hanging="3"/>
        <w:jc w:val="both"/>
      </w:pPr>
      <w:r>
        <w:rPr>
          <w:sz w:val="26"/>
        </w:rPr>
        <w:t>Derivado de un incidente informático ocurrido el 21 de agosto de 2024, resultó en la perdida de datos de varios sistemas y plataformas utilizadas por el Ministerio de Educación. A continuación, se detalla el mapeo de las áreas e información afectada considerada de mayor relevancia por el uso y volumen:</w:t>
      </w:r>
    </w:p>
    <w:tbl>
      <w:tblPr>
        <w:tblStyle w:val="TableGrid"/>
        <w:tblW w:w="9436" w:type="dxa"/>
        <w:tblInd w:w="-50" w:type="dxa"/>
        <w:tblLook w:val="04A0" w:firstRow="1" w:lastRow="0" w:firstColumn="1" w:lastColumn="0" w:noHBand="0" w:noVBand="1"/>
      </w:tblPr>
      <w:tblGrid>
        <w:gridCol w:w="103"/>
        <w:gridCol w:w="662"/>
        <w:gridCol w:w="209"/>
        <w:gridCol w:w="792"/>
        <w:gridCol w:w="1102"/>
        <w:gridCol w:w="1722"/>
        <w:gridCol w:w="1537"/>
        <w:gridCol w:w="1535"/>
        <w:gridCol w:w="1800"/>
        <w:gridCol w:w="27"/>
      </w:tblGrid>
      <w:tr w:rsidR="00053D93" w14:paraId="248696E8" w14:textId="77777777">
        <w:trPr>
          <w:trHeight w:val="11084"/>
        </w:trPr>
        <w:tc>
          <w:tcPr>
            <w:tcW w:w="1035" w:type="dxa"/>
            <w:gridSpan w:val="3"/>
            <w:tcBorders>
              <w:top w:val="nil"/>
              <w:left w:val="nil"/>
              <w:bottom w:val="nil"/>
              <w:right w:val="nil"/>
            </w:tcBorders>
            <w:vAlign w:val="bottom"/>
          </w:tcPr>
          <w:p w14:paraId="36EE4C4C" w14:textId="77777777" w:rsidR="00053D93" w:rsidRDefault="00260B75">
            <w:r>
              <w:rPr>
                <w:noProof/>
              </w:rPr>
              <w:drawing>
                <wp:inline distT="0" distB="0" distL="0" distR="0" wp14:anchorId="337048D1" wp14:editId="75A64AC5">
                  <wp:extent cx="635508" cy="406909"/>
                  <wp:effectExtent l="0" t="0" r="0" b="0"/>
                  <wp:docPr id="2458772" name="Picture 2458772"/>
                  <wp:cNvGraphicFramePr/>
                  <a:graphic xmlns:a="http://schemas.openxmlformats.org/drawingml/2006/main">
                    <a:graphicData uri="http://schemas.openxmlformats.org/drawingml/2006/picture">
                      <pic:pic xmlns:pic="http://schemas.openxmlformats.org/drawingml/2006/picture">
                        <pic:nvPicPr>
                          <pic:cNvPr id="2458772" name="Picture 2458772"/>
                          <pic:cNvPicPr/>
                        </pic:nvPicPr>
                        <pic:blipFill>
                          <a:blip r:embed="rId1417"/>
                          <a:stretch>
                            <a:fillRect/>
                          </a:stretch>
                        </pic:blipFill>
                        <pic:spPr>
                          <a:xfrm>
                            <a:off x="0" y="0"/>
                            <a:ext cx="635508" cy="406909"/>
                          </a:xfrm>
                          <a:prstGeom prst="rect">
                            <a:avLst/>
                          </a:prstGeom>
                        </pic:spPr>
                      </pic:pic>
                    </a:graphicData>
                  </a:graphic>
                </wp:inline>
              </w:drawing>
            </w:r>
          </w:p>
        </w:tc>
        <w:tc>
          <w:tcPr>
            <w:tcW w:w="8401" w:type="dxa"/>
            <w:gridSpan w:val="7"/>
            <w:tcBorders>
              <w:top w:val="nil"/>
              <w:left w:val="nil"/>
              <w:bottom w:val="nil"/>
              <w:right w:val="nil"/>
            </w:tcBorders>
          </w:tcPr>
          <w:p w14:paraId="6EF1DDCB" w14:textId="77777777" w:rsidR="00053D93" w:rsidRDefault="00053D93">
            <w:pPr>
              <w:ind w:left="-2065" w:right="10466"/>
            </w:pPr>
          </w:p>
          <w:tbl>
            <w:tblPr>
              <w:tblStyle w:val="TableGrid"/>
              <w:tblW w:w="8367" w:type="dxa"/>
              <w:tblInd w:w="34" w:type="dxa"/>
              <w:tblCellMar>
                <w:right w:w="94" w:type="dxa"/>
              </w:tblCellMar>
              <w:tblLook w:val="04A0" w:firstRow="1" w:lastRow="0" w:firstColumn="1" w:lastColumn="0" w:noHBand="0" w:noVBand="1"/>
            </w:tblPr>
            <w:tblGrid>
              <w:gridCol w:w="288"/>
              <w:gridCol w:w="307"/>
              <w:gridCol w:w="790"/>
              <w:gridCol w:w="636"/>
              <w:gridCol w:w="1677"/>
              <w:gridCol w:w="1381"/>
              <w:gridCol w:w="1571"/>
              <w:gridCol w:w="1717"/>
            </w:tblGrid>
            <w:tr w:rsidR="00053D93" w14:paraId="5BE64CC2" w14:textId="77777777">
              <w:trPr>
                <w:trHeight w:val="396"/>
              </w:trPr>
              <w:tc>
                <w:tcPr>
                  <w:tcW w:w="600" w:type="dxa"/>
                  <w:gridSpan w:val="2"/>
                  <w:tcBorders>
                    <w:top w:val="single" w:sz="2" w:space="0" w:color="000000"/>
                    <w:left w:val="single" w:sz="2" w:space="0" w:color="000000"/>
                    <w:bottom w:val="single" w:sz="2" w:space="0" w:color="000000"/>
                    <w:right w:val="single" w:sz="2" w:space="0" w:color="000000"/>
                  </w:tcBorders>
                </w:tcPr>
                <w:p w14:paraId="4FD69AF3" w14:textId="77777777" w:rsidR="00053D93" w:rsidRDefault="00053D93"/>
              </w:tc>
              <w:tc>
                <w:tcPr>
                  <w:tcW w:w="1383" w:type="dxa"/>
                  <w:gridSpan w:val="2"/>
                  <w:tcBorders>
                    <w:top w:val="single" w:sz="2" w:space="0" w:color="000000"/>
                    <w:left w:val="single" w:sz="2" w:space="0" w:color="000000"/>
                    <w:bottom w:val="single" w:sz="2" w:space="0" w:color="000000"/>
                    <w:right w:val="single" w:sz="2" w:space="0" w:color="000000"/>
                  </w:tcBorders>
                </w:tcPr>
                <w:p w14:paraId="77032CD2" w14:textId="77777777" w:rsidR="00053D93" w:rsidRDefault="00260B75">
                  <w:pPr>
                    <w:spacing w:after="10"/>
                    <w:ind w:left="87"/>
                    <w:jc w:val="center"/>
                  </w:pPr>
                  <w:r>
                    <w:rPr>
                      <w:sz w:val="14"/>
                    </w:rPr>
                    <w:t>Aptlcación</w:t>
                  </w:r>
                </w:p>
                <w:p w14:paraId="4FDB7E9B" w14:textId="77777777" w:rsidR="00053D93" w:rsidRDefault="00260B75">
                  <w:pPr>
                    <w:ind w:left="87"/>
                    <w:jc w:val="center"/>
                  </w:pPr>
                  <w:r>
                    <w:rPr>
                      <w:sz w:val="14"/>
                    </w:rPr>
                    <w:t>Informátlca/Portal</w:t>
                  </w:r>
                </w:p>
              </w:tc>
              <w:tc>
                <w:tcPr>
                  <w:tcW w:w="1689" w:type="dxa"/>
                  <w:tcBorders>
                    <w:top w:val="single" w:sz="2" w:space="0" w:color="000000"/>
                    <w:left w:val="single" w:sz="2" w:space="0" w:color="000000"/>
                    <w:bottom w:val="single" w:sz="2" w:space="0" w:color="000000"/>
                    <w:right w:val="single" w:sz="2" w:space="0" w:color="000000"/>
                  </w:tcBorders>
                </w:tcPr>
                <w:p w14:paraId="3294E623" w14:textId="77777777" w:rsidR="00053D93" w:rsidRDefault="00260B75">
                  <w:pPr>
                    <w:ind w:left="132"/>
                    <w:jc w:val="center"/>
                  </w:pPr>
                  <w:r>
                    <w:rPr>
                      <w:sz w:val="14"/>
                    </w:rPr>
                    <w:t>Descripcldn</w:t>
                  </w:r>
                </w:p>
              </w:tc>
              <w:tc>
                <w:tcPr>
                  <w:tcW w:w="1390" w:type="dxa"/>
                  <w:tcBorders>
                    <w:top w:val="single" w:sz="2" w:space="0" w:color="000000"/>
                    <w:left w:val="single" w:sz="2" w:space="0" w:color="000000"/>
                    <w:bottom w:val="single" w:sz="2" w:space="0" w:color="000000"/>
                    <w:right w:val="single" w:sz="2" w:space="0" w:color="000000"/>
                  </w:tcBorders>
                </w:tcPr>
                <w:p w14:paraId="154DA0CA" w14:textId="77777777" w:rsidR="00053D93" w:rsidRDefault="00260B75">
                  <w:pPr>
                    <w:ind w:left="128"/>
                    <w:jc w:val="center"/>
                  </w:pPr>
                  <w:r>
                    <w:rPr>
                      <w:sz w:val="14"/>
                    </w:rPr>
                    <w:t>Unldad Rectora</w:t>
                  </w:r>
                </w:p>
              </w:tc>
              <w:tc>
                <w:tcPr>
                  <w:tcW w:w="1572" w:type="dxa"/>
                  <w:tcBorders>
                    <w:top w:val="single" w:sz="2" w:space="0" w:color="000000"/>
                    <w:left w:val="single" w:sz="2" w:space="0" w:color="000000"/>
                    <w:bottom w:val="single" w:sz="2" w:space="0" w:color="000000"/>
                    <w:right w:val="single" w:sz="2" w:space="0" w:color="000000"/>
                  </w:tcBorders>
                </w:tcPr>
                <w:p w14:paraId="5E1E1137" w14:textId="77777777" w:rsidR="00053D93" w:rsidRDefault="00260B75">
                  <w:pPr>
                    <w:ind w:left="132"/>
                    <w:jc w:val="center"/>
                  </w:pPr>
                  <w:r>
                    <w:rPr>
                      <w:sz w:val="12"/>
                    </w:rPr>
                    <w:t>Infor•maclón pérdida</w:t>
                  </w:r>
                </w:p>
              </w:tc>
              <w:tc>
                <w:tcPr>
                  <w:tcW w:w="1732" w:type="dxa"/>
                  <w:tcBorders>
                    <w:top w:val="single" w:sz="2" w:space="0" w:color="000000"/>
                    <w:left w:val="single" w:sz="2" w:space="0" w:color="000000"/>
                    <w:bottom w:val="single" w:sz="2" w:space="0" w:color="000000"/>
                    <w:right w:val="single" w:sz="2" w:space="0" w:color="000000"/>
                  </w:tcBorders>
                </w:tcPr>
                <w:p w14:paraId="42874EC9" w14:textId="77777777" w:rsidR="00053D93" w:rsidRDefault="00260B75">
                  <w:pPr>
                    <w:jc w:val="center"/>
                  </w:pPr>
                  <w:r>
                    <w:rPr>
                      <w:sz w:val="14"/>
                    </w:rPr>
                    <w:t>Propuesta estrategla de recuperación</w:t>
                  </w:r>
                </w:p>
              </w:tc>
            </w:tr>
            <w:tr w:rsidR="00053D93" w14:paraId="3D38D010" w14:textId="77777777">
              <w:trPr>
                <w:trHeight w:val="1094"/>
              </w:trPr>
              <w:tc>
                <w:tcPr>
                  <w:tcW w:w="600" w:type="dxa"/>
                  <w:gridSpan w:val="2"/>
                  <w:tcBorders>
                    <w:top w:val="single" w:sz="2" w:space="0" w:color="000000"/>
                    <w:left w:val="single" w:sz="2" w:space="0" w:color="000000"/>
                    <w:bottom w:val="single" w:sz="2" w:space="0" w:color="000000"/>
                    <w:right w:val="single" w:sz="2" w:space="0" w:color="000000"/>
                  </w:tcBorders>
                </w:tcPr>
                <w:p w14:paraId="2D1BA337" w14:textId="77777777" w:rsidR="00053D93" w:rsidRDefault="00053D93"/>
              </w:tc>
              <w:tc>
                <w:tcPr>
                  <w:tcW w:w="1383" w:type="dxa"/>
                  <w:gridSpan w:val="2"/>
                  <w:tcBorders>
                    <w:top w:val="single" w:sz="2" w:space="0" w:color="000000"/>
                    <w:left w:val="single" w:sz="2" w:space="0" w:color="000000"/>
                    <w:bottom w:val="single" w:sz="2" w:space="0" w:color="000000"/>
                    <w:right w:val="single" w:sz="2" w:space="0" w:color="000000"/>
                  </w:tcBorders>
                </w:tcPr>
                <w:p w14:paraId="18514EAC" w14:textId="77777777" w:rsidR="00053D93" w:rsidRDefault="00260B75">
                  <w:pPr>
                    <w:ind w:left="94"/>
                  </w:pPr>
                  <w:r>
                    <w:rPr>
                      <w:sz w:val="14"/>
                    </w:rPr>
                    <w:t>Sistema de Becas escolares</w:t>
                  </w:r>
                </w:p>
              </w:tc>
              <w:tc>
                <w:tcPr>
                  <w:tcW w:w="1689" w:type="dxa"/>
                  <w:tcBorders>
                    <w:top w:val="single" w:sz="2" w:space="0" w:color="000000"/>
                    <w:left w:val="single" w:sz="2" w:space="0" w:color="000000"/>
                    <w:bottom w:val="single" w:sz="2" w:space="0" w:color="000000"/>
                    <w:right w:val="single" w:sz="2" w:space="0" w:color="000000"/>
                  </w:tcBorders>
                </w:tcPr>
                <w:p w14:paraId="0243E039" w14:textId="77777777" w:rsidR="00053D93" w:rsidRDefault="00260B75">
                  <w:pPr>
                    <w:ind w:left="137" w:right="4" w:firstLine="7"/>
                    <w:jc w:val="both"/>
                  </w:pPr>
                  <w:r>
                    <w:rPr>
                      <w:sz w:val="14"/>
                    </w:rPr>
                    <w:t>Sistema que lleva el control de tas becas escolares que se dan a los alumnos de los diferentes niveles educativos del MINEDUC de forma anual</w:t>
                  </w:r>
                </w:p>
              </w:tc>
              <w:tc>
                <w:tcPr>
                  <w:tcW w:w="1390" w:type="dxa"/>
                  <w:tcBorders>
                    <w:top w:val="single" w:sz="2" w:space="0" w:color="000000"/>
                    <w:left w:val="single" w:sz="2" w:space="0" w:color="000000"/>
                    <w:bottom w:val="single" w:sz="2" w:space="0" w:color="000000"/>
                    <w:right w:val="single" w:sz="2" w:space="0" w:color="000000"/>
                  </w:tcBorders>
                </w:tcPr>
                <w:p w14:paraId="00FDA5FB" w14:textId="77777777" w:rsidR="00053D93" w:rsidRDefault="00260B75">
                  <w:pPr>
                    <w:tabs>
                      <w:tab w:val="right" w:pos="1296"/>
                    </w:tabs>
                  </w:pPr>
                  <w:r>
                    <w:rPr>
                      <w:sz w:val="16"/>
                    </w:rPr>
                    <w:t>Dirección</w:t>
                  </w:r>
                  <w:r>
                    <w:rPr>
                      <w:sz w:val="16"/>
                    </w:rPr>
                    <w:tab/>
                    <w:t>de</w:t>
                  </w:r>
                </w:p>
                <w:p w14:paraId="1DD5354D" w14:textId="77777777" w:rsidR="00053D93" w:rsidRDefault="00260B75">
                  <w:pPr>
                    <w:ind w:left="132"/>
                  </w:pPr>
                  <w:r>
                    <w:rPr>
                      <w:sz w:val="16"/>
                    </w:rPr>
                    <w:t>Planificación</w:t>
                  </w:r>
                </w:p>
                <w:p w14:paraId="176A8E68" w14:textId="77777777" w:rsidR="00053D93" w:rsidRDefault="00260B75">
                  <w:pPr>
                    <w:ind w:left="140"/>
                  </w:pPr>
                  <w:r>
                    <w:rPr>
                      <w:sz w:val="14"/>
                    </w:rPr>
                    <w:t>Educativa -DIPLAN-</w:t>
                  </w:r>
                </w:p>
              </w:tc>
              <w:tc>
                <w:tcPr>
                  <w:tcW w:w="1572" w:type="dxa"/>
                  <w:tcBorders>
                    <w:top w:val="single" w:sz="2" w:space="0" w:color="000000"/>
                    <w:left w:val="single" w:sz="2" w:space="0" w:color="000000"/>
                    <w:bottom w:val="single" w:sz="2" w:space="0" w:color="000000"/>
                    <w:right w:val="single" w:sz="2" w:space="0" w:color="000000"/>
                  </w:tcBorders>
                </w:tcPr>
                <w:p w14:paraId="6DE5DE65" w14:textId="77777777" w:rsidR="00053D93" w:rsidRDefault="00260B75">
                  <w:pPr>
                    <w:ind w:left="132" w:right="14" w:firstLine="7"/>
                    <w:jc w:val="both"/>
                  </w:pPr>
                  <w:r>
                    <w:rPr>
                      <w:sz w:val="12"/>
                    </w:rPr>
                    <w:t>Documentos digitalizados de expediente de beca completo, de marzo a la fecha del inddente</w:t>
                  </w:r>
                </w:p>
              </w:tc>
              <w:tc>
                <w:tcPr>
                  <w:tcW w:w="1732" w:type="dxa"/>
                  <w:tcBorders>
                    <w:top w:val="single" w:sz="2" w:space="0" w:color="000000"/>
                    <w:left w:val="single" w:sz="2" w:space="0" w:color="000000"/>
                    <w:bottom w:val="single" w:sz="2" w:space="0" w:color="000000"/>
                    <w:right w:val="single" w:sz="2" w:space="0" w:color="000000"/>
                  </w:tcBorders>
                </w:tcPr>
                <w:p w14:paraId="2691AA23" w14:textId="77777777" w:rsidR="00053D93" w:rsidRDefault="00260B75">
                  <w:pPr>
                    <w:ind w:left="130" w:right="5" w:firstLine="7"/>
                    <w:jc w:val="both"/>
                  </w:pPr>
                  <w:r>
                    <w:rPr>
                      <w:sz w:val="14"/>
                    </w:rPr>
                    <w:t>Coordinar con las DIDEDIJC para que se vuelva a Incorporar tos expedientes digitalizados al sistema</w:t>
                  </w:r>
                </w:p>
              </w:tc>
            </w:tr>
            <w:tr w:rsidR="00053D93" w14:paraId="174986F1" w14:textId="77777777">
              <w:trPr>
                <w:trHeight w:val="3990"/>
              </w:trPr>
              <w:tc>
                <w:tcPr>
                  <w:tcW w:w="600" w:type="dxa"/>
                  <w:gridSpan w:val="2"/>
                  <w:tcBorders>
                    <w:top w:val="single" w:sz="2" w:space="0" w:color="000000"/>
                    <w:left w:val="single" w:sz="2" w:space="0" w:color="000000"/>
                    <w:bottom w:val="single" w:sz="2" w:space="0" w:color="000000"/>
                    <w:right w:val="single" w:sz="2" w:space="0" w:color="000000"/>
                  </w:tcBorders>
                </w:tcPr>
                <w:p w14:paraId="4792DD5D" w14:textId="77777777" w:rsidR="00053D93" w:rsidRDefault="00260B75">
                  <w:pPr>
                    <w:ind w:left="212"/>
                  </w:pPr>
                  <w:r>
                    <w:rPr>
                      <w:sz w:val="14"/>
                    </w:rPr>
                    <w:t>2</w:t>
                  </w:r>
                </w:p>
              </w:tc>
              <w:tc>
                <w:tcPr>
                  <w:tcW w:w="793" w:type="dxa"/>
                  <w:tcBorders>
                    <w:top w:val="single" w:sz="2" w:space="0" w:color="000000"/>
                    <w:left w:val="single" w:sz="2" w:space="0" w:color="000000"/>
                    <w:bottom w:val="single" w:sz="2" w:space="0" w:color="000000"/>
                    <w:right w:val="nil"/>
                  </w:tcBorders>
                </w:tcPr>
                <w:p w14:paraId="684313AC" w14:textId="77777777" w:rsidR="00053D93" w:rsidRDefault="00260B75">
                  <w:pPr>
                    <w:ind w:left="87"/>
                  </w:pPr>
                  <w:r>
                    <w:rPr>
                      <w:sz w:val="14"/>
                    </w:rPr>
                    <w:t xml:space="preserve">Sistema </w:t>
                  </w:r>
                </w:p>
                <w:p w14:paraId="705693FC" w14:textId="77777777" w:rsidR="00053D93" w:rsidRDefault="00260B75">
                  <w:pPr>
                    <w:ind w:left="87"/>
                  </w:pPr>
                  <w:r>
                    <w:rPr>
                      <w:sz w:val="14"/>
                    </w:rPr>
                    <w:t xml:space="preserve">Recursos </w:t>
                  </w:r>
                </w:p>
                <w:p w14:paraId="447816F8" w14:textId="77777777" w:rsidR="00053D93" w:rsidRDefault="00260B75">
                  <w:pPr>
                    <w:ind w:left="87"/>
                  </w:pPr>
                  <w:r>
                    <w:rPr>
                      <w:sz w:val="14"/>
                    </w:rPr>
                    <w:t>(Eslrfi)</w:t>
                  </w:r>
                </w:p>
              </w:tc>
              <w:tc>
                <w:tcPr>
                  <w:tcW w:w="590" w:type="dxa"/>
                  <w:tcBorders>
                    <w:top w:val="single" w:sz="2" w:space="0" w:color="000000"/>
                    <w:left w:val="nil"/>
                    <w:bottom w:val="single" w:sz="2" w:space="0" w:color="000000"/>
                    <w:right w:val="single" w:sz="2" w:space="0" w:color="000000"/>
                  </w:tcBorders>
                </w:tcPr>
                <w:p w14:paraId="4E15FBA3" w14:textId="77777777" w:rsidR="00053D93" w:rsidRDefault="00260B75">
                  <w:pPr>
                    <w:ind w:hanging="151"/>
                  </w:pPr>
                  <w:r>
                    <w:rPr>
                      <w:sz w:val="14"/>
                    </w:rPr>
                    <w:t>Integral de Humanos</w:t>
                  </w:r>
                </w:p>
              </w:tc>
              <w:tc>
                <w:tcPr>
                  <w:tcW w:w="1689" w:type="dxa"/>
                  <w:tcBorders>
                    <w:top w:val="single" w:sz="2" w:space="0" w:color="000000"/>
                    <w:left w:val="single" w:sz="2" w:space="0" w:color="000000"/>
                    <w:bottom w:val="single" w:sz="2" w:space="0" w:color="000000"/>
                    <w:right w:val="single" w:sz="2" w:space="0" w:color="000000"/>
                  </w:tcBorders>
                </w:tcPr>
                <w:p w14:paraId="3C638A5C" w14:textId="77777777" w:rsidR="00053D93" w:rsidRDefault="00260B75">
                  <w:pPr>
                    <w:spacing w:after="41"/>
                    <w:ind w:left="125"/>
                    <w:jc w:val="center"/>
                  </w:pPr>
                  <w:r>
                    <w:rPr>
                      <w:sz w:val="14"/>
                    </w:rPr>
                    <w:t>Gestión de procesos de</w:t>
                  </w:r>
                </w:p>
                <w:p w14:paraId="51BFC5B6" w14:textId="77777777" w:rsidR="00053D93" w:rsidRDefault="00260B75">
                  <w:pPr>
                    <w:tabs>
                      <w:tab w:val="right" w:pos="1596"/>
                    </w:tabs>
                    <w:spacing w:after="12"/>
                  </w:pPr>
                  <w:r>
                    <w:rPr>
                      <w:sz w:val="14"/>
                    </w:rPr>
                    <w:t>recursos</w:t>
                  </w:r>
                  <w:r>
                    <w:rPr>
                      <w:sz w:val="14"/>
                    </w:rPr>
                    <w:tab/>
                    <w:t>humanos</w:t>
                  </w:r>
                </w:p>
                <w:p w14:paraId="4510AC3C" w14:textId="77777777" w:rsidR="00053D93" w:rsidRDefault="00260B75">
                  <w:pPr>
                    <w:ind w:left="137"/>
                  </w:pPr>
                  <w:r>
                    <w:rPr>
                      <w:sz w:val="14"/>
                    </w:rPr>
                    <w:t>integrados en una sola plataforma</w:t>
                  </w:r>
                </w:p>
              </w:tc>
              <w:tc>
                <w:tcPr>
                  <w:tcW w:w="1390" w:type="dxa"/>
                  <w:tcBorders>
                    <w:top w:val="single" w:sz="2" w:space="0" w:color="000000"/>
                    <w:left w:val="single" w:sz="2" w:space="0" w:color="000000"/>
                    <w:bottom w:val="single" w:sz="2" w:space="0" w:color="000000"/>
                    <w:right w:val="single" w:sz="2" w:space="0" w:color="000000"/>
                  </w:tcBorders>
                </w:tcPr>
                <w:p w14:paraId="2BAC60D3" w14:textId="77777777" w:rsidR="00053D93" w:rsidRDefault="00260B75">
                  <w:pPr>
                    <w:ind w:left="121"/>
                    <w:jc w:val="center"/>
                  </w:pPr>
                  <w:r>
                    <w:rPr>
                      <w:sz w:val="14"/>
                    </w:rPr>
                    <w:t>Direcdón de Recursos</w:t>
                  </w:r>
                </w:p>
                <w:p w14:paraId="0F0B4F21" w14:textId="77777777" w:rsidR="00053D93" w:rsidRDefault="00260B75">
                  <w:pPr>
                    <w:ind w:left="132"/>
                  </w:pPr>
                  <w:r>
                    <w:rPr>
                      <w:sz w:val="14"/>
                    </w:rPr>
                    <w:t>Humanos -DIREH-</w:t>
                  </w:r>
                </w:p>
              </w:tc>
              <w:tc>
                <w:tcPr>
                  <w:tcW w:w="1572" w:type="dxa"/>
                  <w:tcBorders>
                    <w:top w:val="single" w:sz="2" w:space="0" w:color="000000"/>
                    <w:left w:val="single" w:sz="2" w:space="0" w:color="000000"/>
                    <w:bottom w:val="single" w:sz="2" w:space="0" w:color="000000"/>
                    <w:right w:val="single" w:sz="2" w:space="0" w:color="000000"/>
                  </w:tcBorders>
                </w:tcPr>
                <w:p w14:paraId="3FE75B9D" w14:textId="77777777" w:rsidR="00053D93" w:rsidRDefault="00260B75">
                  <w:pPr>
                    <w:spacing w:after="33" w:line="266" w:lineRule="auto"/>
                    <w:ind w:left="132" w:right="14"/>
                    <w:jc w:val="both"/>
                  </w:pPr>
                  <w:r>
                    <w:rPr>
                      <w:sz w:val="12"/>
                    </w:rPr>
                    <w:t>Documentos fftgitalizados (de marzo a la fecha del incidente) de convocatoria</w:t>
                  </w:r>
                </w:p>
                <w:p w14:paraId="29B25979" w14:textId="77777777" w:rsidR="00053D93" w:rsidRDefault="00260B75">
                  <w:pPr>
                    <w:spacing w:line="270" w:lineRule="auto"/>
                    <w:ind w:left="118" w:right="22" w:firstLine="7"/>
                    <w:jc w:val="both"/>
                  </w:pPr>
                  <w:r>
                    <w:rPr>
                      <w:sz w:val="14"/>
                    </w:rPr>
                    <w:t>021. fotos dé docentes de Junta Calificadora. contratos 021 y 022 digitalizados que son enviados a la CGC. Acuerdos de nombramiento 021. que son digitalizados para envio a la CGC, expediente digitalizados de prestaciones laborales. digitalización de expedientes disciplinarios, digitalización de</w:t>
                  </w:r>
                </w:p>
                <w:p w14:paraId="3A1F3CB7" w14:textId="77777777" w:rsidR="00053D93" w:rsidRDefault="00260B75">
                  <w:pPr>
                    <w:ind w:left="118"/>
                    <w:jc w:val="both"/>
                  </w:pPr>
                  <w:r>
                    <w:rPr>
                      <w:sz w:val="12"/>
                    </w:rPr>
                    <w:t>constancia de evaluacEón de desempeño.</w:t>
                  </w:r>
                </w:p>
              </w:tc>
              <w:tc>
                <w:tcPr>
                  <w:tcW w:w="1732" w:type="dxa"/>
                  <w:tcBorders>
                    <w:top w:val="single" w:sz="2" w:space="0" w:color="000000"/>
                    <w:left w:val="single" w:sz="2" w:space="0" w:color="000000"/>
                    <w:bottom w:val="single" w:sz="2" w:space="0" w:color="000000"/>
                    <w:right w:val="single" w:sz="2" w:space="0" w:color="000000"/>
                  </w:tcBorders>
                </w:tcPr>
                <w:p w14:paraId="5B691670" w14:textId="77777777" w:rsidR="00053D93" w:rsidRDefault="00260B75">
                  <w:pPr>
                    <w:ind w:left="118"/>
                    <w:jc w:val="center"/>
                  </w:pPr>
                  <w:r>
                    <w:rPr>
                      <w:sz w:val="14"/>
                    </w:rPr>
                    <w:t>Coordinar con DIREH y</w:t>
                  </w:r>
                </w:p>
                <w:p w14:paraId="698EBE59" w14:textId="77777777" w:rsidR="00053D93" w:rsidRDefault="00260B75">
                  <w:pPr>
                    <w:spacing w:after="58" w:line="263" w:lineRule="auto"/>
                    <w:ind w:left="122" w:right="5" w:firstLine="7"/>
                    <w:jc w:val="both"/>
                  </w:pPr>
                  <w:r>
                    <w:rPr>
                      <w:sz w:val="14"/>
                    </w:rPr>
                    <w:t>solicita subir de nuevo tos Erchivcs. Según el proceso la dependencia debe tener tos archlvos digitalizados para volver a subir.</w:t>
                  </w:r>
                </w:p>
                <w:p w14:paraId="2429393F" w14:textId="77777777" w:rsidR="00053D93" w:rsidRDefault="00260B75">
                  <w:pPr>
                    <w:spacing w:line="245" w:lineRule="auto"/>
                    <w:ind w:left="122" w:firstLine="7"/>
                    <w:jc w:val="both"/>
                  </w:pPr>
                  <w:r>
                    <w:rPr>
                      <w:sz w:val="14"/>
                    </w:rPr>
                    <w:t>Los documentos digitalizados de la</w:t>
                  </w:r>
                </w:p>
                <w:p w14:paraId="5C85E25A" w14:textId="77777777" w:rsidR="00053D93" w:rsidRDefault="00260B75">
                  <w:pPr>
                    <w:ind w:left="115" w:right="12" w:firstLine="7"/>
                    <w:jc w:val="both"/>
                  </w:pPr>
                  <w:r>
                    <w:rPr>
                      <w:sz w:val="14"/>
                    </w:rPr>
                    <w:t>convocatoria 021 fueron subidos por los docentes que aplicaban a un contrato: las demás documentos digitalizados (fotos de docentes, contratos 021 y 022. acuerdos de nombramiento. expedientes disciplinarios. expedientes de prestaciones 'aborales, constancia evaluación de desempeño) pueden ser subidos de nuevo por cada dependencia</w:t>
                  </w:r>
                </w:p>
              </w:tc>
            </w:tr>
            <w:tr w:rsidR="00053D93" w14:paraId="43E56873" w14:textId="77777777">
              <w:trPr>
                <w:trHeight w:val="1943"/>
              </w:trPr>
              <w:tc>
                <w:tcPr>
                  <w:tcW w:w="600" w:type="dxa"/>
                  <w:gridSpan w:val="2"/>
                  <w:tcBorders>
                    <w:top w:val="single" w:sz="2" w:space="0" w:color="000000"/>
                    <w:left w:val="single" w:sz="2" w:space="0" w:color="000000"/>
                    <w:bottom w:val="single" w:sz="2" w:space="0" w:color="000000"/>
                    <w:right w:val="single" w:sz="2" w:space="0" w:color="000000"/>
                  </w:tcBorders>
                </w:tcPr>
                <w:p w14:paraId="7ACA82C5" w14:textId="77777777" w:rsidR="00053D93" w:rsidRDefault="00053D93"/>
              </w:tc>
              <w:tc>
                <w:tcPr>
                  <w:tcW w:w="1383" w:type="dxa"/>
                  <w:gridSpan w:val="2"/>
                  <w:tcBorders>
                    <w:top w:val="single" w:sz="2" w:space="0" w:color="000000"/>
                    <w:left w:val="single" w:sz="2" w:space="0" w:color="000000"/>
                    <w:bottom w:val="single" w:sz="2" w:space="0" w:color="000000"/>
                    <w:right w:val="single" w:sz="2" w:space="0" w:color="000000"/>
                  </w:tcBorders>
                </w:tcPr>
                <w:p w14:paraId="4607BAC0" w14:textId="77777777" w:rsidR="00053D93" w:rsidRDefault="00053D93"/>
              </w:tc>
              <w:tc>
                <w:tcPr>
                  <w:tcW w:w="1689" w:type="dxa"/>
                  <w:tcBorders>
                    <w:top w:val="single" w:sz="2" w:space="0" w:color="000000"/>
                    <w:left w:val="single" w:sz="2" w:space="0" w:color="000000"/>
                    <w:bottom w:val="single" w:sz="2" w:space="0" w:color="000000"/>
                    <w:right w:val="single" w:sz="2" w:space="0" w:color="000000"/>
                  </w:tcBorders>
                </w:tcPr>
                <w:p w14:paraId="319422E7" w14:textId="77777777" w:rsidR="00053D93" w:rsidRDefault="00260B75">
                  <w:pPr>
                    <w:tabs>
                      <w:tab w:val="center" w:pos="810"/>
                      <w:tab w:val="right" w:pos="1596"/>
                    </w:tabs>
                    <w:spacing w:after="34"/>
                  </w:pPr>
                  <w:r>
                    <w:rPr>
                      <w:sz w:val="14"/>
                    </w:rPr>
                    <w:t>revisión</w:t>
                  </w:r>
                  <w:r>
                    <w:rPr>
                      <w:sz w:val="14"/>
                    </w:rPr>
                    <w:tab/>
                    <w:t xml:space="preserve">de </w:t>
                  </w:r>
                  <w:r>
                    <w:rPr>
                      <w:sz w:val="14"/>
                    </w:rPr>
                    <w:tab/>
                    <w:t>Proyecto</w:t>
                  </w:r>
                </w:p>
                <w:p w14:paraId="1B0BD8E1" w14:textId="77777777" w:rsidR="00053D93" w:rsidRDefault="00260B75">
                  <w:pPr>
                    <w:ind w:left="108" w:right="33" w:firstLine="7"/>
                    <w:jc w:val="both"/>
                  </w:pPr>
                  <w:r>
                    <w:rPr>
                      <w:sz w:val="14"/>
                    </w:rPr>
                    <w:t>Educativo Institucional —PEL para establecimientos del MINEDUC</w:t>
                  </w:r>
                </w:p>
              </w:tc>
              <w:tc>
                <w:tcPr>
                  <w:tcW w:w="1390" w:type="dxa"/>
                  <w:tcBorders>
                    <w:top w:val="single" w:sz="2" w:space="0" w:color="000000"/>
                    <w:left w:val="single" w:sz="2" w:space="0" w:color="000000"/>
                    <w:bottom w:val="single" w:sz="2" w:space="0" w:color="000000"/>
                    <w:right w:val="single" w:sz="2" w:space="0" w:color="000000"/>
                  </w:tcBorders>
                </w:tcPr>
                <w:p w14:paraId="308BE4DD" w14:textId="77777777" w:rsidR="00053D93" w:rsidRDefault="00260B75">
                  <w:pPr>
                    <w:tabs>
                      <w:tab w:val="right" w:pos="1296"/>
                    </w:tabs>
                    <w:spacing w:after="8"/>
                  </w:pPr>
                  <w:r>
                    <w:rPr>
                      <w:sz w:val="14"/>
                    </w:rPr>
                    <w:t>Acreditación</w:t>
                  </w:r>
                  <w:r>
                    <w:rPr>
                      <w:sz w:val="14"/>
                    </w:rPr>
                    <w:tab/>
                    <w:t>Y</w:t>
                  </w:r>
                </w:p>
                <w:p w14:paraId="01D7C3D0" w14:textId="77777777" w:rsidR="00053D93" w:rsidRDefault="00260B75">
                  <w:pPr>
                    <w:ind w:left="111"/>
                  </w:pPr>
                  <w:r>
                    <w:rPr>
                      <w:sz w:val="16"/>
                    </w:rPr>
                    <w:t>Certificación DIGEACE</w:t>
                  </w:r>
                </w:p>
              </w:tc>
              <w:tc>
                <w:tcPr>
                  <w:tcW w:w="1572" w:type="dxa"/>
                  <w:tcBorders>
                    <w:top w:val="single" w:sz="2" w:space="0" w:color="000000"/>
                    <w:left w:val="single" w:sz="2" w:space="0" w:color="000000"/>
                    <w:bottom w:val="single" w:sz="2" w:space="0" w:color="000000"/>
                    <w:right w:val="single" w:sz="2" w:space="0" w:color="000000"/>
                  </w:tcBorders>
                </w:tcPr>
                <w:p w14:paraId="4D7FA7A7" w14:textId="77777777" w:rsidR="00053D93" w:rsidRDefault="00260B75">
                  <w:pPr>
                    <w:spacing w:line="283" w:lineRule="auto"/>
                    <w:ind w:left="111" w:firstLine="878"/>
                  </w:pPr>
                  <w:r>
                    <w:rPr>
                      <w:sz w:val="12"/>
                    </w:rPr>
                    <w:t>proyecto educativo</w:t>
                  </w:r>
                  <w:r>
                    <w:rPr>
                      <w:sz w:val="12"/>
                    </w:rPr>
                    <w:tab/>
                    <w:t>institucionaT (PEI) elaborado par et establecimiento y enviado</w:t>
                  </w:r>
                </w:p>
                <w:p w14:paraId="354F8823" w14:textId="77777777" w:rsidR="00053D93" w:rsidRDefault="00260B75">
                  <w:pPr>
                    <w:spacing w:line="241" w:lineRule="auto"/>
                    <w:ind w:left="111" w:right="29"/>
                    <w:jc w:val="both"/>
                  </w:pPr>
                  <w:r>
                    <w:rPr>
                      <w:sz w:val="14"/>
                    </w:rPr>
                    <w:t>a los técnicos de DICEACE en formato Pdt para que DIGEACE</w:t>
                  </w:r>
                </w:p>
                <w:p w14:paraId="472688B9" w14:textId="77777777" w:rsidR="00053D93" w:rsidRDefault="00260B75">
                  <w:pPr>
                    <w:ind w:left="103" w:right="36" w:firstLine="7"/>
                    <w:jc w:val="both"/>
                  </w:pPr>
                  <w:r>
                    <w:rPr>
                      <w:sz w:val="14"/>
                    </w:rPr>
                    <w:t>subiera e! archivo como histórico. Del 29 de febrero a la fecha del incidente.</w:t>
                  </w:r>
                </w:p>
              </w:tc>
              <w:tc>
                <w:tcPr>
                  <w:tcW w:w="1732" w:type="dxa"/>
                  <w:tcBorders>
                    <w:top w:val="single" w:sz="2" w:space="0" w:color="000000"/>
                    <w:left w:val="single" w:sz="2" w:space="0" w:color="000000"/>
                    <w:bottom w:val="single" w:sz="2" w:space="0" w:color="000000"/>
                    <w:right w:val="single" w:sz="2" w:space="0" w:color="000000"/>
                  </w:tcBorders>
                </w:tcPr>
                <w:p w14:paraId="2C57EB2A" w14:textId="77777777" w:rsidR="00053D93" w:rsidRDefault="00260B75">
                  <w:pPr>
                    <w:ind w:left="108" w:right="19" w:firstLine="7"/>
                    <w:jc w:val="both"/>
                  </w:pPr>
                  <w:r>
                    <w:rPr>
                      <w:sz w:val="14"/>
                    </w:rPr>
                    <w:t>Coordinar con DIGEACE para que en las DIDEDUC soliciten nuevamente los documentos y subidos al repositorio.</w:t>
                  </w:r>
                </w:p>
              </w:tc>
            </w:tr>
            <w:tr w:rsidR="00053D93" w14:paraId="77831017" w14:textId="77777777">
              <w:trPr>
                <w:trHeight w:val="1263"/>
              </w:trPr>
              <w:tc>
                <w:tcPr>
                  <w:tcW w:w="600" w:type="dxa"/>
                  <w:gridSpan w:val="2"/>
                  <w:tcBorders>
                    <w:top w:val="single" w:sz="2" w:space="0" w:color="000000"/>
                    <w:left w:val="single" w:sz="2" w:space="0" w:color="000000"/>
                    <w:bottom w:val="single" w:sz="2" w:space="0" w:color="000000"/>
                    <w:right w:val="single" w:sz="2" w:space="0" w:color="000000"/>
                  </w:tcBorders>
                </w:tcPr>
                <w:p w14:paraId="52E4D479" w14:textId="77777777" w:rsidR="00053D93" w:rsidRDefault="00053D93"/>
              </w:tc>
              <w:tc>
                <w:tcPr>
                  <w:tcW w:w="1383" w:type="dxa"/>
                  <w:gridSpan w:val="2"/>
                  <w:tcBorders>
                    <w:top w:val="single" w:sz="2" w:space="0" w:color="000000"/>
                    <w:left w:val="single" w:sz="2" w:space="0" w:color="000000"/>
                    <w:bottom w:val="single" w:sz="2" w:space="0" w:color="000000"/>
                    <w:right w:val="single" w:sz="2" w:space="0" w:color="000000"/>
                  </w:tcBorders>
                </w:tcPr>
                <w:p w14:paraId="2FB817D9" w14:textId="77777777" w:rsidR="00053D93" w:rsidRDefault="00260B75">
                  <w:pPr>
                    <w:ind w:left="58"/>
                  </w:pPr>
                  <w:r>
                    <w:rPr>
                      <w:sz w:val="14"/>
                    </w:rPr>
                    <w:t>Sistema de Becas de</w:t>
                  </w:r>
                </w:p>
              </w:tc>
              <w:tc>
                <w:tcPr>
                  <w:tcW w:w="1689" w:type="dxa"/>
                  <w:tcBorders>
                    <w:top w:val="single" w:sz="2" w:space="0" w:color="000000"/>
                    <w:left w:val="single" w:sz="2" w:space="0" w:color="000000"/>
                    <w:bottom w:val="single" w:sz="2" w:space="0" w:color="000000"/>
                    <w:right w:val="single" w:sz="2" w:space="0" w:color="000000"/>
                  </w:tcBorders>
                </w:tcPr>
                <w:p w14:paraId="4477BD45" w14:textId="77777777" w:rsidR="00053D93" w:rsidRDefault="00260B75">
                  <w:pPr>
                    <w:ind w:left="101"/>
                  </w:pPr>
                  <w:r>
                    <w:rPr>
                      <w:sz w:val="12"/>
                    </w:rPr>
                    <w:t>Administra los expedientes docentes</w:t>
                  </w:r>
                  <w:r>
                    <w:rPr>
                      <w:sz w:val="12"/>
                    </w:rPr>
                    <w:tab/>
                    <w:t>y estudiantes posturantes a becas en inglés .</w:t>
                  </w:r>
                </w:p>
              </w:tc>
              <w:tc>
                <w:tcPr>
                  <w:tcW w:w="1390" w:type="dxa"/>
                  <w:tcBorders>
                    <w:top w:val="single" w:sz="2" w:space="0" w:color="000000"/>
                    <w:left w:val="single" w:sz="2" w:space="0" w:color="000000"/>
                    <w:bottom w:val="single" w:sz="2" w:space="0" w:color="000000"/>
                    <w:right w:val="single" w:sz="2" w:space="0" w:color="000000"/>
                  </w:tcBorders>
                </w:tcPr>
                <w:p w14:paraId="40A4C6F3" w14:textId="77777777" w:rsidR="00053D93" w:rsidRDefault="00260B75">
                  <w:pPr>
                    <w:ind w:left="104"/>
                  </w:pPr>
                  <w:r>
                    <w:rPr>
                      <w:sz w:val="14"/>
                    </w:rPr>
                    <w:t>Vicedespacho</w:t>
                  </w:r>
                </w:p>
                <w:p w14:paraId="0C712BAD" w14:textId="77777777" w:rsidR="00053D93" w:rsidRDefault="00260B75">
                  <w:pPr>
                    <w:spacing w:after="4"/>
                    <w:ind w:left="63"/>
                    <w:jc w:val="center"/>
                  </w:pPr>
                  <w:r>
                    <w:rPr>
                      <w:sz w:val="12"/>
                    </w:rPr>
                    <w:t>Biling0e Intercultural</w:t>
                  </w:r>
                </w:p>
                <w:p w14:paraId="6CA545B1" w14:textId="77777777" w:rsidR="00053D93" w:rsidRDefault="00260B75">
                  <w:pPr>
                    <w:ind w:left="104"/>
                  </w:pPr>
                  <w:r>
                    <w:rPr>
                      <w:sz w:val="14"/>
                    </w:rPr>
                    <w:t>VEBI</w:t>
                  </w:r>
                </w:p>
              </w:tc>
              <w:tc>
                <w:tcPr>
                  <w:tcW w:w="1572" w:type="dxa"/>
                  <w:tcBorders>
                    <w:top w:val="single" w:sz="2" w:space="0" w:color="000000"/>
                    <w:left w:val="single" w:sz="2" w:space="0" w:color="000000"/>
                    <w:bottom w:val="single" w:sz="2" w:space="0" w:color="000000"/>
                    <w:right w:val="single" w:sz="2" w:space="0" w:color="000000"/>
                  </w:tcBorders>
                </w:tcPr>
                <w:p w14:paraId="1B6F79D6" w14:textId="77777777" w:rsidR="00053D93" w:rsidRDefault="00260B75">
                  <w:pPr>
                    <w:spacing w:line="277" w:lineRule="auto"/>
                    <w:ind w:left="103" w:firstLine="7"/>
                    <w:jc w:val="both"/>
                  </w:pPr>
                  <w:r>
                    <w:rPr>
                      <w:sz w:val="14"/>
                    </w:rPr>
                    <w:t>Documentos digitalizados de Convenios.</w:t>
                  </w:r>
                </w:p>
                <w:p w14:paraId="1EA1B4D3" w14:textId="77777777" w:rsidR="00053D93" w:rsidRDefault="00260B75">
                  <w:pPr>
                    <w:spacing w:line="226" w:lineRule="auto"/>
                    <w:ind w:left="103"/>
                  </w:pPr>
                  <w:r>
                    <w:rPr>
                      <w:sz w:val="16"/>
                    </w:rPr>
                    <w:t>documentos</w:t>
                  </w:r>
                  <w:r>
                    <w:rPr>
                      <w:sz w:val="16"/>
                    </w:rPr>
                    <w:tab/>
                    <w:t>de expedientes.</w:t>
                  </w:r>
                </w:p>
                <w:p w14:paraId="3CA2D154" w14:textId="77777777" w:rsidR="00053D93" w:rsidRDefault="00260B75">
                  <w:pPr>
                    <w:ind w:left="103" w:right="43"/>
                    <w:jc w:val="both"/>
                  </w:pPr>
                  <w:r>
                    <w:rPr>
                      <w:sz w:val="14"/>
                    </w:rPr>
                    <w:t>declinaciones constancias; de febrero e la fecha del incidente</w:t>
                  </w:r>
                </w:p>
              </w:tc>
              <w:tc>
                <w:tcPr>
                  <w:tcW w:w="1732" w:type="dxa"/>
                  <w:tcBorders>
                    <w:top w:val="single" w:sz="2" w:space="0" w:color="000000"/>
                    <w:left w:val="single" w:sz="2" w:space="0" w:color="000000"/>
                    <w:bottom w:val="single" w:sz="2" w:space="0" w:color="000000"/>
                    <w:right w:val="single" w:sz="2" w:space="0" w:color="000000"/>
                  </w:tcBorders>
                </w:tcPr>
                <w:p w14:paraId="4D4552B7" w14:textId="77777777" w:rsidR="00053D93" w:rsidRDefault="00260B75">
                  <w:pPr>
                    <w:ind w:left="108"/>
                    <w:jc w:val="both"/>
                  </w:pPr>
                  <w:r>
                    <w:rPr>
                      <w:sz w:val="14"/>
                    </w:rPr>
                    <w:t>Personal de DIGEBI debe escanear y subír archivos</w:t>
                  </w:r>
                </w:p>
              </w:tc>
            </w:tr>
            <w:tr w:rsidR="00053D93" w14:paraId="30CB4746" w14:textId="77777777">
              <w:trPr>
                <w:trHeight w:val="914"/>
              </w:trPr>
              <w:tc>
                <w:tcPr>
                  <w:tcW w:w="600" w:type="dxa"/>
                  <w:gridSpan w:val="2"/>
                  <w:tcBorders>
                    <w:top w:val="single" w:sz="2" w:space="0" w:color="000000"/>
                    <w:left w:val="single" w:sz="2" w:space="0" w:color="000000"/>
                    <w:bottom w:val="single" w:sz="2" w:space="0" w:color="000000"/>
                    <w:right w:val="single" w:sz="2" w:space="0" w:color="000000"/>
                  </w:tcBorders>
                </w:tcPr>
                <w:p w14:paraId="7A0D4BD8" w14:textId="77777777" w:rsidR="00053D93" w:rsidRDefault="00260B75">
                  <w:pPr>
                    <w:ind w:left="176"/>
                  </w:pPr>
                  <w:r>
                    <w:rPr>
                      <w:sz w:val="14"/>
                    </w:rPr>
                    <w:t>5</w:t>
                  </w:r>
                </w:p>
              </w:tc>
              <w:tc>
                <w:tcPr>
                  <w:tcW w:w="1383" w:type="dxa"/>
                  <w:gridSpan w:val="2"/>
                  <w:tcBorders>
                    <w:top w:val="single" w:sz="2" w:space="0" w:color="000000"/>
                    <w:left w:val="single" w:sz="2" w:space="0" w:color="000000"/>
                    <w:bottom w:val="single" w:sz="2" w:space="0" w:color="000000"/>
                    <w:right w:val="single" w:sz="2" w:space="0" w:color="000000"/>
                  </w:tcBorders>
                </w:tcPr>
                <w:p w14:paraId="6B23A9A8" w14:textId="77777777" w:rsidR="00053D93" w:rsidRDefault="00260B75">
                  <w:pPr>
                    <w:tabs>
                      <w:tab w:val="right" w:pos="1290"/>
                    </w:tabs>
                  </w:pPr>
                  <w:r>
                    <w:rPr>
                      <w:sz w:val="16"/>
                    </w:rPr>
                    <w:t>Sistema</w:t>
                  </w:r>
                  <w:r>
                    <w:rPr>
                      <w:sz w:val="16"/>
                    </w:rPr>
                    <w:tab/>
                    <w:t>de</w:t>
                  </w:r>
                </w:p>
                <w:p w14:paraId="52308C8A" w14:textId="77777777" w:rsidR="00053D93" w:rsidRDefault="00260B75">
                  <w:pPr>
                    <w:ind w:left="51"/>
                  </w:pPr>
                  <w:r>
                    <w:rPr>
                      <w:sz w:val="12"/>
                    </w:rPr>
                    <w:t>Correlativos</w:t>
                  </w:r>
                </w:p>
              </w:tc>
              <w:tc>
                <w:tcPr>
                  <w:tcW w:w="1689" w:type="dxa"/>
                  <w:tcBorders>
                    <w:top w:val="single" w:sz="2" w:space="0" w:color="000000"/>
                    <w:left w:val="single" w:sz="2" w:space="0" w:color="000000"/>
                    <w:bottom w:val="single" w:sz="2" w:space="0" w:color="000000"/>
                    <w:right w:val="single" w:sz="2" w:space="0" w:color="000000"/>
                  </w:tcBorders>
                </w:tcPr>
                <w:p w14:paraId="2B8C6360" w14:textId="77777777" w:rsidR="00053D93" w:rsidRDefault="00260B75">
                  <w:pPr>
                    <w:ind w:left="101" w:right="40"/>
                    <w:jc w:val="both"/>
                  </w:pPr>
                  <w:r>
                    <w:rPr>
                      <w:sz w:val="12"/>
                    </w:rPr>
                    <w:t>Permite llevar el control de documentos internos por dependencia del MINEDUC</w:t>
                  </w:r>
                </w:p>
              </w:tc>
              <w:tc>
                <w:tcPr>
                  <w:tcW w:w="1390" w:type="dxa"/>
                  <w:tcBorders>
                    <w:top w:val="single" w:sz="2" w:space="0" w:color="000000"/>
                    <w:left w:val="single" w:sz="2" w:space="0" w:color="000000"/>
                    <w:bottom w:val="single" w:sz="2" w:space="0" w:color="000000"/>
                    <w:right w:val="single" w:sz="2" w:space="0" w:color="000000"/>
                  </w:tcBorders>
                </w:tcPr>
                <w:p w14:paraId="43CD1A2A" w14:textId="77777777" w:rsidR="00053D93" w:rsidRDefault="00260B75">
                  <w:pPr>
                    <w:tabs>
                      <w:tab w:val="right" w:pos="1296"/>
                    </w:tabs>
                  </w:pPr>
                  <w:r>
                    <w:rPr>
                      <w:sz w:val="16"/>
                    </w:rPr>
                    <w:t>Dirección</w:t>
                  </w:r>
                  <w:r>
                    <w:rPr>
                      <w:sz w:val="16"/>
                    </w:rPr>
                    <w:tab/>
                    <w:t>de</w:t>
                  </w:r>
                </w:p>
                <w:p w14:paraId="2E719141" w14:textId="77777777" w:rsidR="00053D93" w:rsidRDefault="00260B75">
                  <w:pPr>
                    <w:ind w:left="104"/>
                  </w:pPr>
                  <w:r>
                    <w:rPr>
                      <w:sz w:val="12"/>
                    </w:rPr>
                    <w:t>Informática DINFO</w:t>
                  </w:r>
                </w:p>
              </w:tc>
              <w:tc>
                <w:tcPr>
                  <w:tcW w:w="1572" w:type="dxa"/>
                  <w:tcBorders>
                    <w:top w:val="single" w:sz="2" w:space="0" w:color="000000"/>
                    <w:left w:val="single" w:sz="2" w:space="0" w:color="000000"/>
                    <w:bottom w:val="single" w:sz="2" w:space="0" w:color="000000"/>
                    <w:right w:val="single" w:sz="2" w:space="0" w:color="000000"/>
                  </w:tcBorders>
                </w:tcPr>
                <w:p w14:paraId="55DE35D7" w14:textId="77777777" w:rsidR="00053D93" w:rsidRDefault="00260B75">
                  <w:pPr>
                    <w:ind w:left="96" w:right="43" w:firstLine="7"/>
                    <w:jc w:val="both"/>
                  </w:pPr>
                  <w:r>
                    <w:rPr>
                      <w:sz w:val="12"/>
                    </w:rPr>
                    <w:t>Registro de informacfón del 29 de febrero a ta fecha del incidente</w:t>
                  </w:r>
                </w:p>
              </w:tc>
              <w:tc>
                <w:tcPr>
                  <w:tcW w:w="1732" w:type="dxa"/>
                  <w:tcBorders>
                    <w:top w:val="single" w:sz="2" w:space="0" w:color="000000"/>
                    <w:left w:val="single" w:sz="2" w:space="0" w:color="000000"/>
                    <w:bottom w:val="single" w:sz="2" w:space="0" w:color="000000"/>
                    <w:right w:val="single" w:sz="2" w:space="0" w:color="000000"/>
                  </w:tcBorders>
                </w:tcPr>
                <w:p w14:paraId="48C46108" w14:textId="77777777" w:rsidR="00053D93" w:rsidRDefault="00260B75">
                  <w:pPr>
                    <w:ind w:left="101" w:right="26"/>
                    <w:jc w:val="both"/>
                  </w:pPr>
                  <w:r>
                    <w:rPr>
                      <w:sz w:val="14"/>
                    </w:rPr>
                    <w:t>Coordinar con dependencia que utilizan et sistema. para revisar si es necesario el registro de información nuevamente</w:t>
                  </w:r>
                </w:p>
              </w:tc>
            </w:tr>
            <w:tr w:rsidR="00053D93" w14:paraId="3DF7B5E0" w14:textId="77777777">
              <w:trPr>
                <w:trHeight w:val="906"/>
              </w:trPr>
              <w:tc>
                <w:tcPr>
                  <w:tcW w:w="600" w:type="dxa"/>
                  <w:gridSpan w:val="2"/>
                  <w:tcBorders>
                    <w:top w:val="single" w:sz="2" w:space="0" w:color="000000"/>
                    <w:left w:val="single" w:sz="2" w:space="0" w:color="000000"/>
                    <w:bottom w:val="nil"/>
                    <w:right w:val="single" w:sz="2" w:space="0" w:color="000000"/>
                  </w:tcBorders>
                </w:tcPr>
                <w:p w14:paraId="017A1A55" w14:textId="77777777" w:rsidR="00053D93" w:rsidRDefault="00260B75">
                  <w:pPr>
                    <w:ind w:left="169"/>
                  </w:pPr>
                  <w:r>
                    <w:rPr>
                      <w:sz w:val="14"/>
                    </w:rPr>
                    <w:t>S</w:t>
                  </w:r>
                </w:p>
              </w:tc>
              <w:tc>
                <w:tcPr>
                  <w:tcW w:w="1383" w:type="dxa"/>
                  <w:gridSpan w:val="2"/>
                  <w:tcBorders>
                    <w:top w:val="single" w:sz="2" w:space="0" w:color="000000"/>
                    <w:left w:val="single" w:sz="2" w:space="0" w:color="000000"/>
                    <w:bottom w:val="single" w:sz="2" w:space="0" w:color="000000"/>
                    <w:right w:val="single" w:sz="2" w:space="0" w:color="000000"/>
                  </w:tcBorders>
                </w:tcPr>
                <w:p w14:paraId="4450D072" w14:textId="77777777" w:rsidR="00053D93" w:rsidRDefault="00260B75">
                  <w:pPr>
                    <w:ind w:left="37" w:firstLine="7"/>
                    <w:jc w:val="both"/>
                  </w:pPr>
                  <w:r>
                    <w:rPr>
                      <w:sz w:val="14"/>
                    </w:rPr>
                    <w:t>Sistema de Asignación y dotadón de recursos</w:t>
                  </w:r>
                </w:p>
              </w:tc>
              <w:tc>
                <w:tcPr>
                  <w:tcW w:w="1689" w:type="dxa"/>
                  <w:tcBorders>
                    <w:top w:val="single" w:sz="2" w:space="0" w:color="000000"/>
                    <w:left w:val="single" w:sz="2" w:space="0" w:color="000000"/>
                    <w:bottom w:val="single" w:sz="2" w:space="0" w:color="000000"/>
                    <w:right w:val="single" w:sz="2" w:space="0" w:color="000000"/>
                  </w:tcBorders>
                </w:tcPr>
                <w:p w14:paraId="6B598DA3" w14:textId="77777777" w:rsidR="00053D93" w:rsidRDefault="00260B75">
                  <w:pPr>
                    <w:ind w:left="94" w:right="48"/>
                    <w:jc w:val="both"/>
                  </w:pPr>
                  <w:r>
                    <w:rPr>
                      <w:sz w:val="14"/>
                    </w:rPr>
                    <w:t>Sistema</w:t>
                  </w:r>
                  <w:r>
                    <w:rPr>
                      <w:sz w:val="14"/>
                    </w:rPr>
                    <w:tab/>
                    <w:t>la administración da los programas de apoyo, registro de organizaciones</w:t>
                  </w:r>
                </w:p>
              </w:tc>
              <w:tc>
                <w:tcPr>
                  <w:tcW w:w="1390" w:type="dxa"/>
                  <w:tcBorders>
                    <w:top w:val="single" w:sz="2" w:space="0" w:color="000000"/>
                    <w:left w:val="single" w:sz="2" w:space="0" w:color="000000"/>
                    <w:bottom w:val="single" w:sz="2" w:space="0" w:color="000000"/>
                    <w:right w:val="single" w:sz="2" w:space="0" w:color="000000"/>
                  </w:tcBorders>
                </w:tcPr>
                <w:p w14:paraId="659BA4EB" w14:textId="77777777" w:rsidR="00053D93" w:rsidRDefault="00260B75">
                  <w:pPr>
                    <w:ind w:left="96"/>
                  </w:pPr>
                  <w:r>
                    <w:rPr>
                      <w:sz w:val="14"/>
                    </w:rPr>
                    <w:t>Dirección General de Participación</w:t>
                  </w:r>
                </w:p>
              </w:tc>
              <w:tc>
                <w:tcPr>
                  <w:tcW w:w="1572" w:type="dxa"/>
                  <w:tcBorders>
                    <w:top w:val="single" w:sz="2" w:space="0" w:color="000000"/>
                    <w:left w:val="single" w:sz="2" w:space="0" w:color="000000"/>
                    <w:bottom w:val="single" w:sz="2" w:space="0" w:color="000000"/>
                    <w:right w:val="single" w:sz="2" w:space="0" w:color="000000"/>
                  </w:tcBorders>
                </w:tcPr>
                <w:p w14:paraId="1F12AB35" w14:textId="77777777" w:rsidR="00053D93" w:rsidRDefault="00260B75">
                  <w:pPr>
                    <w:ind w:left="96" w:firstLine="7"/>
                    <w:jc w:val="both"/>
                  </w:pPr>
                  <w:r>
                    <w:rPr>
                      <w:sz w:val="12"/>
                    </w:rPr>
                    <w:t>Documentos digitalizados de Convenlos firmados y</w:t>
                  </w:r>
                </w:p>
              </w:tc>
              <w:tc>
                <w:tcPr>
                  <w:tcW w:w="1732" w:type="dxa"/>
                  <w:tcBorders>
                    <w:top w:val="single" w:sz="2" w:space="0" w:color="000000"/>
                    <w:left w:val="single" w:sz="2" w:space="0" w:color="000000"/>
                    <w:bottom w:val="single" w:sz="2" w:space="0" w:color="000000"/>
                    <w:right w:val="single" w:sz="2" w:space="0" w:color="000000"/>
                  </w:tcBorders>
                </w:tcPr>
                <w:p w14:paraId="2A3ECFF2" w14:textId="77777777" w:rsidR="00053D93" w:rsidRDefault="00260B75">
                  <w:pPr>
                    <w:spacing w:line="331" w:lineRule="auto"/>
                    <w:ind w:left="101"/>
                    <w:jc w:val="both"/>
                  </w:pPr>
                  <w:r>
                    <w:rPr>
                      <w:sz w:val="14"/>
                    </w:rPr>
                    <w:t>Personal de cada departamental debe</w:t>
                  </w:r>
                </w:p>
                <w:p w14:paraId="46BC3986" w14:textId="77777777" w:rsidR="00053D93" w:rsidRDefault="00260B75">
                  <w:pPr>
                    <w:ind w:left="101"/>
                  </w:pPr>
                  <w:r>
                    <w:rPr>
                      <w:sz w:val="14"/>
                    </w:rPr>
                    <w:t>escanear y subir archivos</w:t>
                  </w:r>
                </w:p>
              </w:tc>
            </w:tr>
            <w:tr w:rsidR="00053D93" w14:paraId="17195FF8" w14:textId="77777777">
              <w:trPr>
                <w:trHeight w:val="577"/>
              </w:trPr>
              <w:tc>
                <w:tcPr>
                  <w:tcW w:w="292" w:type="dxa"/>
                  <w:tcBorders>
                    <w:top w:val="nil"/>
                    <w:left w:val="single" w:sz="2" w:space="0" w:color="000000"/>
                    <w:bottom w:val="nil"/>
                    <w:right w:val="single" w:sz="2" w:space="0" w:color="000000"/>
                  </w:tcBorders>
                </w:tcPr>
                <w:p w14:paraId="6309374D" w14:textId="77777777" w:rsidR="00053D93" w:rsidRDefault="00053D93"/>
              </w:tc>
              <w:tc>
                <w:tcPr>
                  <w:tcW w:w="308" w:type="dxa"/>
                  <w:tcBorders>
                    <w:top w:val="nil"/>
                    <w:left w:val="single" w:sz="2" w:space="0" w:color="000000"/>
                    <w:bottom w:val="nil"/>
                    <w:right w:val="single" w:sz="2" w:space="0" w:color="000000"/>
                  </w:tcBorders>
                </w:tcPr>
                <w:p w14:paraId="739B7882" w14:textId="77777777" w:rsidR="00053D93" w:rsidRDefault="00260B75">
                  <w:pPr>
                    <w:ind w:left="-30"/>
                  </w:pPr>
                  <w:r>
                    <w:rPr>
                      <w:noProof/>
                    </w:rPr>
                    <w:drawing>
                      <wp:inline distT="0" distB="0" distL="0" distR="0" wp14:anchorId="078F6766" wp14:editId="237E6309">
                        <wp:extent cx="118872" cy="370332"/>
                        <wp:effectExtent l="0" t="0" r="0" b="0"/>
                        <wp:docPr id="1042344" name="Picture 1042344"/>
                        <wp:cNvGraphicFramePr/>
                        <a:graphic xmlns:a="http://schemas.openxmlformats.org/drawingml/2006/main">
                          <a:graphicData uri="http://schemas.openxmlformats.org/drawingml/2006/picture">
                            <pic:pic xmlns:pic="http://schemas.openxmlformats.org/drawingml/2006/picture">
                              <pic:nvPicPr>
                                <pic:cNvPr id="1042344" name="Picture 1042344"/>
                                <pic:cNvPicPr/>
                              </pic:nvPicPr>
                              <pic:blipFill>
                                <a:blip r:embed="rId1418"/>
                                <a:stretch>
                                  <a:fillRect/>
                                </a:stretch>
                              </pic:blipFill>
                              <pic:spPr>
                                <a:xfrm>
                                  <a:off x="0" y="0"/>
                                  <a:ext cx="118872" cy="370332"/>
                                </a:xfrm>
                                <a:prstGeom prst="rect">
                                  <a:avLst/>
                                </a:prstGeom>
                              </pic:spPr>
                            </pic:pic>
                          </a:graphicData>
                        </a:graphic>
                      </wp:inline>
                    </w:drawing>
                  </w:r>
                </w:p>
              </w:tc>
              <w:tc>
                <w:tcPr>
                  <w:tcW w:w="7767" w:type="dxa"/>
                  <w:gridSpan w:val="6"/>
                  <w:tcBorders>
                    <w:top w:val="single" w:sz="2" w:space="0" w:color="000000"/>
                    <w:left w:val="single" w:sz="2" w:space="0" w:color="000000"/>
                    <w:bottom w:val="nil"/>
                    <w:right w:val="nil"/>
                  </w:tcBorders>
                </w:tcPr>
                <w:p w14:paraId="2E6B16E1" w14:textId="77777777" w:rsidR="00053D93" w:rsidRDefault="00260B75">
                  <w:pPr>
                    <w:ind w:right="680"/>
                    <w:jc w:val="center"/>
                  </w:pPr>
                  <w:r>
                    <w:rPr>
                      <w:sz w:val="14"/>
                    </w:rPr>
                    <w:t>MINISTERIO DE EDUCACION</w:t>
                  </w:r>
                </w:p>
                <w:p w14:paraId="5D596EC2" w14:textId="77777777" w:rsidR="00053D93" w:rsidRDefault="00260B75">
                  <w:pPr>
                    <w:ind w:left="2211"/>
                  </w:pPr>
                  <w:r>
                    <w:rPr>
                      <w:sz w:val="14"/>
                    </w:rPr>
                    <w:t>AUDITORIA FINANCIERA Y DE CUMPLIMIENTO</w:t>
                  </w:r>
                </w:p>
                <w:p w14:paraId="4AFAEB15" w14:textId="77777777" w:rsidR="00053D93" w:rsidRDefault="00260B75">
                  <w:pPr>
                    <w:ind w:left="1873"/>
                  </w:pPr>
                  <w:r>
                    <w:rPr>
                      <w:sz w:val="14"/>
                    </w:rPr>
                    <w:t>PERÍODO DEL 01 DE ENERO AL 31 DE DICIEMBRE DE 2024</w:t>
                  </w:r>
                </w:p>
              </w:tc>
            </w:tr>
          </w:tbl>
          <w:p w14:paraId="438370AE" w14:textId="77777777" w:rsidR="00053D93" w:rsidRDefault="00053D93"/>
        </w:tc>
      </w:tr>
      <w:tr w:rsidR="00053D93" w14:paraId="60508659" w14:textId="77777777">
        <w:tblPrEx>
          <w:tblCellMar>
            <w:top w:w="40" w:type="dxa"/>
            <w:left w:w="101" w:type="dxa"/>
            <w:right w:w="108" w:type="dxa"/>
          </w:tblCellMar>
        </w:tblPrEx>
        <w:trPr>
          <w:gridBefore w:val="1"/>
          <w:gridAfter w:val="1"/>
          <w:wBefore w:w="130" w:type="dxa"/>
          <w:wAfter w:w="41" w:type="dxa"/>
          <w:trHeight w:val="769"/>
        </w:trPr>
        <w:tc>
          <w:tcPr>
            <w:tcW w:w="804" w:type="dxa"/>
            <w:vMerge w:val="restart"/>
            <w:tcBorders>
              <w:top w:val="single" w:sz="2" w:space="0" w:color="000000"/>
              <w:left w:val="nil"/>
              <w:bottom w:val="nil"/>
              <w:right w:val="single" w:sz="2" w:space="0" w:color="000000"/>
            </w:tcBorders>
          </w:tcPr>
          <w:p w14:paraId="5A5817FF" w14:textId="77777777" w:rsidR="00053D93" w:rsidRDefault="00053D93"/>
        </w:tc>
        <w:tc>
          <w:tcPr>
            <w:tcW w:w="651" w:type="dxa"/>
            <w:gridSpan w:val="2"/>
            <w:tcBorders>
              <w:top w:val="single" w:sz="2" w:space="0" w:color="000000"/>
              <w:left w:val="single" w:sz="2" w:space="0" w:color="000000"/>
              <w:bottom w:val="single" w:sz="2" w:space="0" w:color="000000"/>
              <w:right w:val="single" w:sz="2" w:space="0" w:color="000000"/>
            </w:tcBorders>
          </w:tcPr>
          <w:p w14:paraId="009D8A0D" w14:textId="77777777" w:rsidR="00053D93" w:rsidRDefault="00053D93"/>
        </w:tc>
        <w:tc>
          <w:tcPr>
            <w:tcW w:w="1440" w:type="dxa"/>
            <w:tcBorders>
              <w:top w:val="single" w:sz="2" w:space="0" w:color="000000"/>
              <w:left w:val="single" w:sz="2" w:space="0" w:color="000000"/>
              <w:bottom w:val="single" w:sz="2" w:space="0" w:color="000000"/>
              <w:right w:val="single" w:sz="2" w:space="0" w:color="000000"/>
            </w:tcBorders>
          </w:tcPr>
          <w:p w14:paraId="36C5C43A" w14:textId="77777777" w:rsidR="00053D93" w:rsidRDefault="00053D93"/>
        </w:tc>
        <w:tc>
          <w:tcPr>
            <w:tcW w:w="1678" w:type="dxa"/>
            <w:tcBorders>
              <w:top w:val="single" w:sz="2" w:space="0" w:color="000000"/>
              <w:left w:val="single" w:sz="2" w:space="0" w:color="000000"/>
              <w:bottom w:val="single" w:sz="2" w:space="0" w:color="000000"/>
              <w:right w:val="single" w:sz="2" w:space="0" w:color="000000"/>
            </w:tcBorders>
          </w:tcPr>
          <w:p w14:paraId="5C05C50E" w14:textId="77777777" w:rsidR="00053D93" w:rsidRDefault="00260B75">
            <w:pPr>
              <w:ind w:right="14"/>
              <w:jc w:val="both"/>
            </w:pPr>
            <w:r>
              <w:rPr>
                <w:sz w:val="14"/>
              </w:rPr>
              <w:t>de padres de familia. convenios. generación de nómina y gestión de traslado de fondos</w:t>
            </w:r>
          </w:p>
        </w:tc>
        <w:tc>
          <w:tcPr>
            <w:tcW w:w="1390" w:type="dxa"/>
            <w:tcBorders>
              <w:top w:val="single" w:sz="2" w:space="0" w:color="000000"/>
              <w:left w:val="single" w:sz="2" w:space="0" w:color="000000"/>
              <w:bottom w:val="single" w:sz="2" w:space="0" w:color="000000"/>
              <w:right w:val="single" w:sz="2" w:space="0" w:color="000000"/>
            </w:tcBorders>
          </w:tcPr>
          <w:p w14:paraId="6465832C" w14:textId="77777777" w:rsidR="00053D93" w:rsidRDefault="00260B75">
            <w:pPr>
              <w:tabs>
                <w:tab w:val="right" w:pos="1181"/>
              </w:tabs>
              <w:spacing w:after="11"/>
            </w:pPr>
            <w:r>
              <w:rPr>
                <w:sz w:val="14"/>
              </w:rPr>
              <w:t>Comunitaria</w:t>
            </w:r>
            <w:r>
              <w:rPr>
                <w:sz w:val="14"/>
              </w:rPr>
              <w:tab/>
              <w:t>Y</w:t>
            </w:r>
          </w:p>
          <w:p w14:paraId="25662E11" w14:textId="77777777" w:rsidR="00053D93" w:rsidRDefault="00260B75">
            <w:pPr>
              <w:spacing w:after="6"/>
              <w:ind w:left="7"/>
            </w:pPr>
            <w:r>
              <w:rPr>
                <w:sz w:val="14"/>
              </w:rPr>
              <w:t>Servicios de Apoyo</w:t>
            </w:r>
          </w:p>
          <w:p w14:paraId="5C01F80C" w14:textId="77777777" w:rsidR="00053D93" w:rsidRDefault="00260B75">
            <w:pPr>
              <w:ind w:left="14"/>
            </w:pPr>
            <w:r>
              <w:rPr>
                <w:sz w:val="14"/>
              </w:rPr>
              <w:t>OIGEPSA</w:t>
            </w:r>
          </w:p>
        </w:tc>
        <w:tc>
          <w:tcPr>
            <w:tcW w:w="1570" w:type="dxa"/>
            <w:tcBorders>
              <w:top w:val="single" w:sz="2" w:space="0" w:color="000000"/>
              <w:left w:val="single" w:sz="2" w:space="0" w:color="000000"/>
              <w:bottom w:val="single" w:sz="2" w:space="0" w:color="000000"/>
              <w:right w:val="single" w:sz="2" w:space="0" w:color="000000"/>
            </w:tcBorders>
          </w:tcPr>
          <w:p w14:paraId="5295D533" w14:textId="77777777" w:rsidR="00053D93" w:rsidRDefault="00260B75">
            <w:pPr>
              <w:ind w:right="14" w:firstLine="7"/>
              <w:jc w:val="both"/>
            </w:pPr>
            <w:r>
              <w:rPr>
                <w:sz w:val="12"/>
              </w:rPr>
              <w:t>rediciones de Qlenta. de febrero a 'a fecha de incidente</w:t>
            </w:r>
          </w:p>
        </w:tc>
        <w:tc>
          <w:tcPr>
            <w:tcW w:w="1732" w:type="dxa"/>
            <w:tcBorders>
              <w:top w:val="single" w:sz="2" w:space="0" w:color="000000"/>
              <w:left w:val="single" w:sz="2" w:space="0" w:color="000000"/>
              <w:bottom w:val="single" w:sz="2" w:space="0" w:color="000000"/>
              <w:right w:val="single" w:sz="2" w:space="0" w:color="000000"/>
            </w:tcBorders>
          </w:tcPr>
          <w:p w14:paraId="5920F47F" w14:textId="77777777" w:rsidR="00053D93" w:rsidRDefault="00053D93"/>
        </w:tc>
      </w:tr>
      <w:tr w:rsidR="00053D93" w14:paraId="22F648D0" w14:textId="77777777">
        <w:tblPrEx>
          <w:tblCellMar>
            <w:top w:w="40" w:type="dxa"/>
            <w:left w:w="101" w:type="dxa"/>
            <w:right w:w="108" w:type="dxa"/>
          </w:tblCellMar>
        </w:tblPrEx>
        <w:trPr>
          <w:gridBefore w:val="1"/>
          <w:gridAfter w:val="1"/>
          <w:wBefore w:w="130" w:type="dxa"/>
          <w:wAfter w:w="41" w:type="dxa"/>
          <w:trHeight w:val="1454"/>
        </w:trPr>
        <w:tc>
          <w:tcPr>
            <w:tcW w:w="0" w:type="auto"/>
            <w:vMerge/>
            <w:tcBorders>
              <w:top w:val="nil"/>
              <w:left w:val="nil"/>
              <w:bottom w:val="nil"/>
              <w:right w:val="single" w:sz="2" w:space="0" w:color="000000"/>
            </w:tcBorders>
          </w:tcPr>
          <w:p w14:paraId="0C3EF8D9" w14:textId="77777777" w:rsidR="00053D93" w:rsidRDefault="00053D93"/>
        </w:tc>
        <w:tc>
          <w:tcPr>
            <w:tcW w:w="651" w:type="dxa"/>
            <w:gridSpan w:val="2"/>
            <w:tcBorders>
              <w:top w:val="single" w:sz="2" w:space="0" w:color="000000"/>
              <w:left w:val="single" w:sz="2" w:space="0" w:color="000000"/>
              <w:bottom w:val="single" w:sz="2" w:space="0" w:color="000000"/>
              <w:right w:val="single" w:sz="2" w:space="0" w:color="000000"/>
            </w:tcBorders>
          </w:tcPr>
          <w:p w14:paraId="66DD619D" w14:textId="77777777" w:rsidR="00053D93" w:rsidRDefault="00053D93"/>
        </w:tc>
        <w:tc>
          <w:tcPr>
            <w:tcW w:w="1440" w:type="dxa"/>
            <w:tcBorders>
              <w:top w:val="single" w:sz="2" w:space="0" w:color="000000"/>
              <w:left w:val="single" w:sz="2" w:space="0" w:color="000000"/>
              <w:bottom w:val="single" w:sz="2" w:space="0" w:color="000000"/>
              <w:right w:val="single" w:sz="2" w:space="0" w:color="000000"/>
            </w:tcBorders>
          </w:tcPr>
          <w:p w14:paraId="55F6BA7F" w14:textId="77777777" w:rsidR="00053D93" w:rsidRDefault="00053D93"/>
        </w:tc>
        <w:tc>
          <w:tcPr>
            <w:tcW w:w="1678" w:type="dxa"/>
            <w:tcBorders>
              <w:top w:val="single" w:sz="2" w:space="0" w:color="000000"/>
              <w:left w:val="single" w:sz="2" w:space="0" w:color="000000"/>
              <w:bottom w:val="single" w:sz="2" w:space="0" w:color="000000"/>
              <w:right w:val="single" w:sz="2" w:space="0" w:color="000000"/>
            </w:tcBorders>
          </w:tcPr>
          <w:p w14:paraId="755D7AA4" w14:textId="77777777" w:rsidR="00053D93" w:rsidRDefault="00260B75">
            <w:pPr>
              <w:spacing w:after="43"/>
              <w:ind w:right="22"/>
              <w:jc w:val="right"/>
            </w:pPr>
            <w:r>
              <w:rPr>
                <w:sz w:val="12"/>
              </w:rPr>
              <w:t>el</w:t>
            </w:r>
          </w:p>
          <w:p w14:paraId="1E36E3FC" w14:textId="77777777" w:rsidR="00053D93" w:rsidRDefault="00260B75">
            <w:pPr>
              <w:spacing w:line="281" w:lineRule="auto"/>
              <w:ind w:left="7" w:right="7"/>
              <w:jc w:val="both"/>
            </w:pPr>
            <w:r>
              <w:rPr>
                <w:sz w:val="12"/>
              </w:rPr>
              <w:t>seguimiento de los documentos oficiares tanto intemo como extemo del</w:t>
            </w:r>
          </w:p>
          <w:p w14:paraId="3AD4FE82" w14:textId="77777777" w:rsidR="00053D93" w:rsidRDefault="00260B75">
            <w:pPr>
              <w:ind w:left="14"/>
            </w:pPr>
            <w:r>
              <w:rPr>
                <w:sz w:val="14"/>
              </w:rPr>
              <w:t>MINEOUC</w:t>
            </w:r>
          </w:p>
        </w:tc>
        <w:tc>
          <w:tcPr>
            <w:tcW w:w="1390" w:type="dxa"/>
            <w:tcBorders>
              <w:top w:val="single" w:sz="2" w:space="0" w:color="000000"/>
              <w:left w:val="single" w:sz="2" w:space="0" w:color="000000"/>
              <w:bottom w:val="single" w:sz="2" w:space="0" w:color="000000"/>
              <w:right w:val="single" w:sz="2" w:space="0" w:color="000000"/>
            </w:tcBorders>
          </w:tcPr>
          <w:p w14:paraId="18349167" w14:textId="77777777" w:rsidR="00053D93" w:rsidRDefault="00260B75">
            <w:pPr>
              <w:spacing w:after="6"/>
              <w:ind w:right="7"/>
              <w:jc w:val="center"/>
            </w:pPr>
            <w:r>
              <w:rPr>
                <w:sz w:val="14"/>
              </w:rPr>
              <w:t>Dirección de Servicios</w:t>
            </w:r>
          </w:p>
          <w:p w14:paraId="33BADD88" w14:textId="77777777" w:rsidR="00053D93" w:rsidRDefault="00260B75">
            <w:pPr>
              <w:ind w:left="7"/>
            </w:pPr>
            <w:r>
              <w:rPr>
                <w:sz w:val="14"/>
              </w:rPr>
              <w:t>Administrativos</w:t>
            </w:r>
          </w:p>
          <w:p w14:paraId="22D17E54" w14:textId="77777777" w:rsidR="00053D93" w:rsidRDefault="00260B75">
            <w:pPr>
              <w:ind w:left="7"/>
            </w:pPr>
            <w:r>
              <w:rPr>
                <w:sz w:val="16"/>
              </w:rPr>
              <w:t>DISERSA</w:t>
            </w:r>
          </w:p>
        </w:tc>
        <w:tc>
          <w:tcPr>
            <w:tcW w:w="1570" w:type="dxa"/>
            <w:tcBorders>
              <w:top w:val="single" w:sz="2" w:space="0" w:color="000000"/>
              <w:left w:val="single" w:sz="2" w:space="0" w:color="000000"/>
              <w:bottom w:val="single" w:sz="2" w:space="0" w:color="000000"/>
              <w:right w:val="single" w:sz="2" w:space="0" w:color="000000"/>
            </w:tcBorders>
          </w:tcPr>
          <w:p w14:paraId="59E820C6" w14:textId="77777777" w:rsidR="00053D93" w:rsidRDefault="00260B75">
            <w:pPr>
              <w:ind w:right="14" w:firstLine="7"/>
              <w:jc w:val="both"/>
            </w:pPr>
            <w:r>
              <w:rPr>
                <w:sz w:val="12"/>
              </w:rPr>
              <w:t>Registro de información a' 29 de febrero a ta fecha der Incidente</w:t>
            </w:r>
          </w:p>
        </w:tc>
        <w:tc>
          <w:tcPr>
            <w:tcW w:w="1732" w:type="dxa"/>
            <w:tcBorders>
              <w:top w:val="single" w:sz="2" w:space="0" w:color="000000"/>
              <w:left w:val="single" w:sz="2" w:space="0" w:color="000000"/>
              <w:bottom w:val="single" w:sz="2" w:space="0" w:color="000000"/>
              <w:right w:val="single" w:sz="2" w:space="0" w:color="000000"/>
            </w:tcBorders>
          </w:tcPr>
          <w:p w14:paraId="393E37FA" w14:textId="77777777" w:rsidR="00053D93" w:rsidRDefault="00260B75">
            <w:pPr>
              <w:ind w:left="7" w:right="12" w:firstLine="7"/>
              <w:jc w:val="both"/>
            </w:pPr>
            <w:r>
              <w:rPr>
                <w:sz w:val="14"/>
              </w:rPr>
              <w:t>Coordinar con DISERSA pera solicitar apoyo para realizar la carga de tos archivos digitalizados. coordinar con DISERSA. para que en los enlaces puedan actualizar el último movimiento.</w:t>
            </w:r>
          </w:p>
        </w:tc>
      </w:tr>
      <w:tr w:rsidR="00053D93" w14:paraId="10BA4B20" w14:textId="77777777">
        <w:tblPrEx>
          <w:tblCellMar>
            <w:top w:w="40" w:type="dxa"/>
            <w:left w:w="101" w:type="dxa"/>
            <w:right w:w="108" w:type="dxa"/>
          </w:tblCellMar>
        </w:tblPrEx>
        <w:trPr>
          <w:gridBefore w:val="1"/>
          <w:gridAfter w:val="1"/>
          <w:wBefore w:w="130" w:type="dxa"/>
          <w:wAfter w:w="41" w:type="dxa"/>
          <w:trHeight w:val="1454"/>
        </w:trPr>
        <w:tc>
          <w:tcPr>
            <w:tcW w:w="0" w:type="auto"/>
            <w:vMerge/>
            <w:tcBorders>
              <w:top w:val="nil"/>
              <w:left w:val="nil"/>
              <w:bottom w:val="nil"/>
              <w:right w:val="single" w:sz="2" w:space="0" w:color="000000"/>
            </w:tcBorders>
          </w:tcPr>
          <w:p w14:paraId="5D5428FB" w14:textId="77777777" w:rsidR="00053D93" w:rsidRDefault="00053D93"/>
        </w:tc>
        <w:tc>
          <w:tcPr>
            <w:tcW w:w="651" w:type="dxa"/>
            <w:gridSpan w:val="2"/>
            <w:tcBorders>
              <w:top w:val="single" w:sz="2" w:space="0" w:color="000000"/>
              <w:left w:val="single" w:sz="2" w:space="0" w:color="000000"/>
              <w:bottom w:val="single" w:sz="2" w:space="0" w:color="000000"/>
              <w:right w:val="single" w:sz="2" w:space="0" w:color="000000"/>
            </w:tcBorders>
          </w:tcPr>
          <w:p w14:paraId="00B501B9" w14:textId="77777777" w:rsidR="00053D93" w:rsidRDefault="00260B75">
            <w:pPr>
              <w:ind w:right="5"/>
              <w:jc w:val="center"/>
            </w:pPr>
            <w:r>
              <w:rPr>
                <w:sz w:val="14"/>
              </w:rPr>
              <w:t>B</w:t>
            </w:r>
          </w:p>
        </w:tc>
        <w:tc>
          <w:tcPr>
            <w:tcW w:w="1440" w:type="dxa"/>
            <w:tcBorders>
              <w:top w:val="single" w:sz="2" w:space="0" w:color="000000"/>
              <w:left w:val="single" w:sz="2" w:space="0" w:color="000000"/>
              <w:bottom w:val="single" w:sz="2" w:space="0" w:color="000000"/>
              <w:right w:val="single" w:sz="2" w:space="0" w:color="000000"/>
            </w:tcBorders>
          </w:tcPr>
          <w:p w14:paraId="3B0FD632" w14:textId="77777777" w:rsidR="00053D93" w:rsidRDefault="00260B75">
            <w:pPr>
              <w:spacing w:after="43"/>
              <w:jc w:val="center"/>
            </w:pPr>
            <w:r>
              <w:rPr>
                <w:sz w:val="14"/>
              </w:rPr>
              <w:t>Slstema de Quejas.</w:t>
            </w:r>
          </w:p>
          <w:p w14:paraId="69991AA6" w14:textId="77777777" w:rsidR="00053D93" w:rsidRDefault="00260B75">
            <w:pPr>
              <w:ind w:left="14"/>
            </w:pPr>
            <w:r>
              <w:rPr>
                <w:sz w:val="14"/>
              </w:rPr>
              <w:t>comentarios</w:t>
            </w:r>
            <w:r>
              <w:rPr>
                <w:sz w:val="14"/>
              </w:rPr>
              <w:tab/>
              <w:t>Y sugerencias</w:t>
            </w:r>
          </w:p>
        </w:tc>
        <w:tc>
          <w:tcPr>
            <w:tcW w:w="1678" w:type="dxa"/>
            <w:tcBorders>
              <w:top w:val="single" w:sz="2" w:space="0" w:color="000000"/>
              <w:left w:val="single" w:sz="2" w:space="0" w:color="000000"/>
              <w:bottom w:val="single" w:sz="2" w:space="0" w:color="000000"/>
              <w:right w:val="single" w:sz="2" w:space="0" w:color="000000"/>
            </w:tcBorders>
          </w:tcPr>
          <w:p w14:paraId="31A0397B" w14:textId="77777777" w:rsidR="00053D93" w:rsidRDefault="00260B75">
            <w:pPr>
              <w:ind w:left="7" w:right="7" w:firstLine="7"/>
              <w:jc w:val="both"/>
            </w:pPr>
            <w:r>
              <w:rPr>
                <w:sz w:val="14"/>
              </w:rPr>
              <w:t>Permite registrar y gestjonar tos comentar'os. sugerencias y quejas que vienen hacia ei MINEOUC</w:t>
            </w:r>
          </w:p>
        </w:tc>
        <w:tc>
          <w:tcPr>
            <w:tcW w:w="1390" w:type="dxa"/>
            <w:tcBorders>
              <w:top w:val="single" w:sz="2" w:space="0" w:color="000000"/>
              <w:left w:val="single" w:sz="2" w:space="0" w:color="000000"/>
              <w:bottom w:val="single" w:sz="2" w:space="0" w:color="000000"/>
              <w:right w:val="single" w:sz="2" w:space="0" w:color="000000"/>
            </w:tcBorders>
          </w:tcPr>
          <w:p w14:paraId="6ACA0217" w14:textId="77777777" w:rsidR="00053D93" w:rsidRDefault="00260B75">
            <w:pPr>
              <w:ind w:right="7"/>
              <w:jc w:val="center"/>
            </w:pPr>
            <w:r>
              <w:rPr>
                <w:sz w:val="14"/>
              </w:rPr>
              <w:t>Dirección de Servicios</w:t>
            </w:r>
          </w:p>
          <w:p w14:paraId="62BF2776" w14:textId="77777777" w:rsidR="00053D93" w:rsidRDefault="00260B75">
            <w:pPr>
              <w:ind w:left="7"/>
            </w:pPr>
            <w:r>
              <w:rPr>
                <w:sz w:val="14"/>
              </w:rPr>
              <w:t>Administrativos</w:t>
            </w:r>
          </w:p>
          <w:p w14:paraId="5A59C47D" w14:textId="77777777" w:rsidR="00053D93" w:rsidRDefault="00260B75">
            <w:pPr>
              <w:ind w:left="14"/>
            </w:pPr>
            <w:r>
              <w:rPr>
                <w:sz w:val="14"/>
              </w:rPr>
              <w:t>DTSERSA</w:t>
            </w:r>
          </w:p>
        </w:tc>
        <w:tc>
          <w:tcPr>
            <w:tcW w:w="1570" w:type="dxa"/>
            <w:tcBorders>
              <w:top w:val="single" w:sz="2" w:space="0" w:color="000000"/>
              <w:left w:val="single" w:sz="2" w:space="0" w:color="000000"/>
              <w:bottom w:val="single" w:sz="2" w:space="0" w:color="000000"/>
              <w:right w:val="single" w:sz="2" w:space="0" w:color="000000"/>
            </w:tcBorders>
          </w:tcPr>
          <w:p w14:paraId="40D3DB75" w14:textId="77777777" w:rsidR="00053D93" w:rsidRDefault="00260B75">
            <w:pPr>
              <w:ind w:left="7" w:right="14" w:firstLine="7"/>
              <w:jc w:val="both"/>
            </w:pPr>
            <w:r>
              <w:rPr>
                <w:sz w:val="12"/>
              </w:rPr>
              <w:t>Registro de información al 29 de febrero a la fecha del incidente</w:t>
            </w:r>
          </w:p>
        </w:tc>
        <w:tc>
          <w:tcPr>
            <w:tcW w:w="1732" w:type="dxa"/>
            <w:tcBorders>
              <w:top w:val="single" w:sz="2" w:space="0" w:color="000000"/>
              <w:left w:val="single" w:sz="2" w:space="0" w:color="000000"/>
              <w:bottom w:val="single" w:sz="2" w:space="0" w:color="000000"/>
              <w:right w:val="single" w:sz="2" w:space="0" w:color="000000"/>
            </w:tcBorders>
          </w:tcPr>
          <w:p w14:paraId="1A96EE80" w14:textId="77777777" w:rsidR="00053D93" w:rsidRDefault="00260B75">
            <w:pPr>
              <w:spacing w:after="19" w:line="268" w:lineRule="auto"/>
              <w:ind w:left="14" w:right="12"/>
              <w:jc w:val="both"/>
            </w:pPr>
            <w:r>
              <w:rPr>
                <w:sz w:val="14"/>
              </w:rPr>
              <w:t>Coordinar con DISERSA pera solicitar apoyo para realizar la carga de los archivos digitalizados, coordinar can DTSERSA, para que los enlaces puedan</w:t>
            </w:r>
          </w:p>
          <w:p w14:paraId="2B48538E" w14:textId="77777777" w:rsidR="00053D93" w:rsidRDefault="00260B75">
            <w:pPr>
              <w:ind w:left="22"/>
            </w:pPr>
            <w:r>
              <w:rPr>
                <w:sz w:val="14"/>
              </w:rPr>
              <w:t>actualizar</w:t>
            </w:r>
            <w:r>
              <w:rPr>
                <w:sz w:val="14"/>
              </w:rPr>
              <w:tab/>
              <w:t>el</w:t>
            </w:r>
            <w:r>
              <w:rPr>
                <w:sz w:val="14"/>
              </w:rPr>
              <w:tab/>
              <w:t>último movimiento</w:t>
            </w:r>
          </w:p>
        </w:tc>
      </w:tr>
      <w:tr w:rsidR="00053D93" w14:paraId="3167A790" w14:textId="77777777">
        <w:tblPrEx>
          <w:tblCellMar>
            <w:top w:w="40" w:type="dxa"/>
            <w:left w:w="101" w:type="dxa"/>
            <w:right w:w="108" w:type="dxa"/>
          </w:tblCellMar>
        </w:tblPrEx>
        <w:trPr>
          <w:gridBefore w:val="1"/>
          <w:gridAfter w:val="1"/>
          <w:wBefore w:w="130" w:type="dxa"/>
          <w:wAfter w:w="41" w:type="dxa"/>
          <w:trHeight w:val="1274"/>
        </w:trPr>
        <w:tc>
          <w:tcPr>
            <w:tcW w:w="0" w:type="auto"/>
            <w:vMerge/>
            <w:tcBorders>
              <w:top w:val="nil"/>
              <w:left w:val="nil"/>
              <w:bottom w:val="nil"/>
              <w:right w:val="single" w:sz="2" w:space="0" w:color="000000"/>
            </w:tcBorders>
          </w:tcPr>
          <w:p w14:paraId="55E0CA9D" w14:textId="77777777" w:rsidR="00053D93" w:rsidRDefault="00053D93"/>
        </w:tc>
        <w:tc>
          <w:tcPr>
            <w:tcW w:w="651" w:type="dxa"/>
            <w:gridSpan w:val="2"/>
            <w:tcBorders>
              <w:top w:val="single" w:sz="2" w:space="0" w:color="000000"/>
              <w:left w:val="single" w:sz="2" w:space="0" w:color="000000"/>
              <w:bottom w:val="single" w:sz="2" w:space="0" w:color="000000"/>
              <w:right w:val="single" w:sz="2" w:space="0" w:color="000000"/>
            </w:tcBorders>
          </w:tcPr>
          <w:p w14:paraId="2BC9C785" w14:textId="77777777" w:rsidR="00053D93" w:rsidRDefault="00053D93"/>
        </w:tc>
        <w:tc>
          <w:tcPr>
            <w:tcW w:w="1440" w:type="dxa"/>
            <w:tcBorders>
              <w:top w:val="single" w:sz="2" w:space="0" w:color="000000"/>
              <w:left w:val="single" w:sz="2" w:space="0" w:color="000000"/>
              <w:bottom w:val="single" w:sz="2" w:space="0" w:color="000000"/>
              <w:right w:val="single" w:sz="2" w:space="0" w:color="000000"/>
            </w:tcBorders>
          </w:tcPr>
          <w:p w14:paraId="76F81507" w14:textId="77777777" w:rsidR="00053D93" w:rsidRDefault="00260B75">
            <w:pPr>
              <w:spacing w:line="216" w:lineRule="auto"/>
              <w:ind w:left="14" w:firstLine="7"/>
              <w:jc w:val="both"/>
            </w:pPr>
            <w:r>
              <w:rPr>
                <w:sz w:val="14"/>
              </w:rPr>
              <w:t>Porta' Web de Acceso a la Información</w:t>
            </w:r>
          </w:p>
          <w:p w14:paraId="264B93F9" w14:textId="77777777" w:rsidR="00053D93" w:rsidRDefault="00260B75">
            <w:pPr>
              <w:ind w:left="14"/>
            </w:pPr>
            <w:r>
              <w:rPr>
                <w:sz w:val="14"/>
              </w:rPr>
              <w:t>Pública</w:t>
            </w:r>
          </w:p>
        </w:tc>
        <w:tc>
          <w:tcPr>
            <w:tcW w:w="1678" w:type="dxa"/>
            <w:tcBorders>
              <w:top w:val="single" w:sz="2" w:space="0" w:color="000000"/>
              <w:left w:val="single" w:sz="2" w:space="0" w:color="000000"/>
              <w:bottom w:val="single" w:sz="2" w:space="0" w:color="000000"/>
              <w:right w:val="single" w:sz="2" w:space="0" w:color="000000"/>
            </w:tcBorders>
          </w:tcPr>
          <w:p w14:paraId="3C78769F" w14:textId="77777777" w:rsidR="00053D93" w:rsidRDefault="00260B75">
            <w:pPr>
              <w:ind w:left="14"/>
              <w:jc w:val="both"/>
            </w:pPr>
            <w:r>
              <w:rPr>
                <w:sz w:val="14"/>
              </w:rPr>
              <w:t>Portal Web para brindar información de acceso público requerida por ta ley.</w:t>
            </w:r>
          </w:p>
        </w:tc>
        <w:tc>
          <w:tcPr>
            <w:tcW w:w="1390" w:type="dxa"/>
            <w:tcBorders>
              <w:top w:val="single" w:sz="2" w:space="0" w:color="000000"/>
              <w:left w:val="single" w:sz="2" w:space="0" w:color="000000"/>
              <w:bottom w:val="single" w:sz="2" w:space="0" w:color="000000"/>
              <w:right w:val="single" w:sz="2" w:space="0" w:color="000000"/>
            </w:tcBorders>
          </w:tcPr>
          <w:p w14:paraId="746B9051" w14:textId="77777777" w:rsidR="00053D93" w:rsidRDefault="00260B75">
            <w:pPr>
              <w:spacing w:after="2"/>
              <w:ind w:left="7"/>
              <w:jc w:val="center"/>
            </w:pPr>
            <w:r>
              <w:rPr>
                <w:sz w:val="14"/>
              </w:rPr>
              <w:t>Dirección de Asesoría</w:t>
            </w:r>
          </w:p>
          <w:p w14:paraId="5D8C7C78" w14:textId="77777777" w:rsidR="00053D93" w:rsidRDefault="00260B75">
            <w:pPr>
              <w:ind w:left="14"/>
            </w:pPr>
            <w:r>
              <w:rPr>
                <w:sz w:val="16"/>
              </w:rPr>
              <w:t>Juidica DIAJ</w:t>
            </w:r>
          </w:p>
        </w:tc>
        <w:tc>
          <w:tcPr>
            <w:tcW w:w="1570" w:type="dxa"/>
            <w:tcBorders>
              <w:top w:val="single" w:sz="2" w:space="0" w:color="000000"/>
              <w:left w:val="single" w:sz="2" w:space="0" w:color="000000"/>
              <w:bottom w:val="single" w:sz="2" w:space="0" w:color="000000"/>
              <w:right w:val="single" w:sz="2" w:space="0" w:color="000000"/>
            </w:tcBorders>
          </w:tcPr>
          <w:p w14:paraId="718FE9F9" w14:textId="77777777" w:rsidR="00053D93" w:rsidRDefault="00260B75">
            <w:pPr>
              <w:ind w:left="14" w:right="14"/>
              <w:jc w:val="both"/>
            </w:pPr>
            <w:r>
              <w:rPr>
                <w:sz w:val="14"/>
              </w:rPr>
              <w:t>Registro de información de julio 2024 a la fecha del incidente</w:t>
            </w:r>
          </w:p>
        </w:tc>
        <w:tc>
          <w:tcPr>
            <w:tcW w:w="1732" w:type="dxa"/>
            <w:tcBorders>
              <w:top w:val="single" w:sz="2" w:space="0" w:color="000000"/>
              <w:left w:val="single" w:sz="2" w:space="0" w:color="000000"/>
              <w:bottom w:val="single" w:sz="2" w:space="0" w:color="000000"/>
              <w:right w:val="single" w:sz="2" w:space="0" w:color="000000"/>
            </w:tcBorders>
          </w:tcPr>
          <w:p w14:paraId="390FE241" w14:textId="77777777" w:rsidR="00053D93" w:rsidRDefault="00260B75">
            <w:pPr>
              <w:ind w:left="14" w:right="5" w:firstLine="7"/>
              <w:jc w:val="both"/>
            </w:pPr>
            <w:r>
              <w:rPr>
                <w:sz w:val="14"/>
              </w:rPr>
              <w:t>Coordinar con DIA'. el Ingreso de información por parte de cada enlace de las distintas dependencias, Crear pos usuarios por parte de DINFO, que se hubieran solicitado de lulio a la fecha</w:t>
            </w:r>
          </w:p>
        </w:tc>
      </w:tr>
      <w:tr w:rsidR="00053D93" w14:paraId="06F1C463" w14:textId="77777777">
        <w:tblPrEx>
          <w:tblCellMar>
            <w:top w:w="40" w:type="dxa"/>
            <w:left w:w="101" w:type="dxa"/>
            <w:right w:w="108" w:type="dxa"/>
          </w:tblCellMar>
        </w:tblPrEx>
        <w:trPr>
          <w:gridBefore w:val="1"/>
          <w:gridAfter w:val="1"/>
          <w:wBefore w:w="130" w:type="dxa"/>
          <w:wAfter w:w="41" w:type="dxa"/>
          <w:trHeight w:val="914"/>
        </w:trPr>
        <w:tc>
          <w:tcPr>
            <w:tcW w:w="0" w:type="auto"/>
            <w:vMerge/>
            <w:tcBorders>
              <w:top w:val="nil"/>
              <w:left w:val="nil"/>
              <w:bottom w:val="nil"/>
              <w:right w:val="single" w:sz="2" w:space="0" w:color="000000"/>
            </w:tcBorders>
          </w:tcPr>
          <w:p w14:paraId="709411E1" w14:textId="77777777" w:rsidR="00053D93" w:rsidRDefault="00053D93"/>
        </w:tc>
        <w:tc>
          <w:tcPr>
            <w:tcW w:w="651" w:type="dxa"/>
            <w:gridSpan w:val="2"/>
            <w:tcBorders>
              <w:top w:val="single" w:sz="2" w:space="0" w:color="000000"/>
              <w:left w:val="single" w:sz="2" w:space="0" w:color="000000"/>
              <w:bottom w:val="single" w:sz="2" w:space="0" w:color="000000"/>
              <w:right w:val="single" w:sz="2" w:space="0" w:color="000000"/>
            </w:tcBorders>
          </w:tcPr>
          <w:p w14:paraId="7B7EEB62" w14:textId="77777777" w:rsidR="00053D93" w:rsidRDefault="00260B75">
            <w:pPr>
              <w:ind w:left="17"/>
              <w:jc w:val="center"/>
            </w:pPr>
            <w:r>
              <w:rPr>
                <w:sz w:val="12"/>
              </w:rPr>
              <w:t>10</w:t>
            </w:r>
          </w:p>
        </w:tc>
        <w:tc>
          <w:tcPr>
            <w:tcW w:w="1440" w:type="dxa"/>
            <w:tcBorders>
              <w:top w:val="single" w:sz="2" w:space="0" w:color="000000"/>
              <w:left w:val="single" w:sz="2" w:space="0" w:color="000000"/>
              <w:bottom w:val="single" w:sz="2" w:space="0" w:color="000000"/>
              <w:right w:val="single" w:sz="2" w:space="0" w:color="000000"/>
            </w:tcBorders>
          </w:tcPr>
          <w:p w14:paraId="4F18F82D" w14:textId="77777777" w:rsidR="00053D93" w:rsidRDefault="00260B75">
            <w:pPr>
              <w:ind w:left="14"/>
              <w:jc w:val="center"/>
            </w:pPr>
            <w:r>
              <w:rPr>
                <w:sz w:val="14"/>
              </w:rPr>
              <w:t>PAE Programa de</w:t>
            </w:r>
          </w:p>
          <w:p w14:paraId="0BF5ADA5" w14:textId="77777777" w:rsidR="00053D93" w:rsidRDefault="00260B75">
            <w:pPr>
              <w:ind w:left="14"/>
            </w:pPr>
            <w:r>
              <w:rPr>
                <w:sz w:val="14"/>
              </w:rPr>
              <w:t>Rimentación Escolar</w:t>
            </w:r>
          </w:p>
        </w:tc>
        <w:tc>
          <w:tcPr>
            <w:tcW w:w="1678" w:type="dxa"/>
            <w:tcBorders>
              <w:top w:val="single" w:sz="2" w:space="0" w:color="000000"/>
              <w:left w:val="single" w:sz="2" w:space="0" w:color="000000"/>
              <w:bottom w:val="single" w:sz="2" w:space="0" w:color="000000"/>
              <w:right w:val="single" w:sz="2" w:space="0" w:color="000000"/>
            </w:tcBorders>
          </w:tcPr>
          <w:p w14:paraId="6B133781" w14:textId="77777777" w:rsidR="00053D93" w:rsidRDefault="00260B75">
            <w:pPr>
              <w:ind w:left="14" w:right="7" w:firstLine="7"/>
              <w:jc w:val="both"/>
            </w:pPr>
            <w:r>
              <w:rPr>
                <w:sz w:val="14"/>
              </w:rPr>
              <w:t>Registro de facturas de gastos realizadas por las OrganTzaciones de Padres de Famitia -OFF.</w:t>
            </w:r>
          </w:p>
        </w:tc>
        <w:tc>
          <w:tcPr>
            <w:tcW w:w="1390" w:type="dxa"/>
            <w:tcBorders>
              <w:top w:val="single" w:sz="2" w:space="0" w:color="000000"/>
              <w:left w:val="single" w:sz="2" w:space="0" w:color="000000"/>
              <w:bottom w:val="single" w:sz="2" w:space="0" w:color="000000"/>
              <w:right w:val="single" w:sz="2" w:space="0" w:color="000000"/>
            </w:tcBorders>
          </w:tcPr>
          <w:p w14:paraId="5B454247" w14:textId="77777777" w:rsidR="00053D93" w:rsidRDefault="00260B75">
            <w:pPr>
              <w:ind w:left="29"/>
            </w:pPr>
            <w:r>
              <w:rPr>
                <w:sz w:val="14"/>
              </w:rPr>
              <w:t>Dirección General de</w:t>
            </w:r>
          </w:p>
          <w:p w14:paraId="0B0C85B9" w14:textId="77777777" w:rsidR="00053D93" w:rsidRDefault="00260B75">
            <w:pPr>
              <w:ind w:left="22"/>
            </w:pPr>
            <w:r>
              <w:rPr>
                <w:sz w:val="14"/>
              </w:rPr>
              <w:t>Participación</w:t>
            </w:r>
          </w:p>
          <w:p w14:paraId="7A72BB35" w14:textId="77777777" w:rsidR="00053D93" w:rsidRDefault="00260B75">
            <w:pPr>
              <w:ind w:left="22"/>
            </w:pPr>
            <w:r>
              <w:rPr>
                <w:sz w:val="14"/>
              </w:rPr>
              <w:t>Comunitaria</w:t>
            </w:r>
          </w:p>
          <w:p w14:paraId="1E84D884" w14:textId="77777777" w:rsidR="00053D93" w:rsidRDefault="00260B75">
            <w:pPr>
              <w:spacing w:after="9"/>
              <w:ind w:left="22"/>
            </w:pPr>
            <w:r>
              <w:rPr>
                <w:sz w:val="14"/>
              </w:rPr>
              <w:t>Servicios de Apoyo</w:t>
            </w:r>
          </w:p>
          <w:p w14:paraId="697307F5" w14:textId="77777777" w:rsidR="00053D93" w:rsidRDefault="00260B75">
            <w:pPr>
              <w:ind w:left="22"/>
            </w:pPr>
            <w:r>
              <w:rPr>
                <w:sz w:val="16"/>
              </w:rPr>
              <w:t>-DECEPSA-</w:t>
            </w:r>
          </w:p>
        </w:tc>
        <w:tc>
          <w:tcPr>
            <w:tcW w:w="1570" w:type="dxa"/>
            <w:tcBorders>
              <w:top w:val="single" w:sz="2" w:space="0" w:color="000000"/>
              <w:left w:val="single" w:sz="2" w:space="0" w:color="000000"/>
              <w:bottom w:val="single" w:sz="2" w:space="0" w:color="000000"/>
              <w:right w:val="single" w:sz="2" w:space="0" w:color="000000"/>
            </w:tcBorders>
          </w:tcPr>
          <w:p w14:paraId="7D053132" w14:textId="77777777" w:rsidR="00053D93" w:rsidRDefault="00260B75">
            <w:pPr>
              <w:ind w:left="22"/>
            </w:pPr>
            <w:r>
              <w:rPr>
                <w:sz w:val="14"/>
              </w:rPr>
              <w:t>Febrero a agosto 2024</w:t>
            </w:r>
          </w:p>
        </w:tc>
        <w:tc>
          <w:tcPr>
            <w:tcW w:w="1732" w:type="dxa"/>
            <w:tcBorders>
              <w:top w:val="single" w:sz="2" w:space="0" w:color="000000"/>
              <w:left w:val="single" w:sz="2" w:space="0" w:color="000000"/>
              <w:bottom w:val="single" w:sz="2" w:space="0" w:color="000000"/>
              <w:right w:val="single" w:sz="2" w:space="0" w:color="000000"/>
            </w:tcBorders>
          </w:tcPr>
          <w:p w14:paraId="4B3D3A48" w14:textId="77777777" w:rsidR="00053D93" w:rsidRDefault="00260B75">
            <w:pPr>
              <w:ind w:left="22" w:right="5" w:firstLine="7"/>
              <w:jc w:val="both"/>
            </w:pPr>
            <w:r>
              <w:rPr>
                <w:sz w:val="12"/>
              </w:rPr>
              <w:t>Las OPFs deben realizar el proceso de carga de las facturas correspondientes en el perlodo de referencia.</w:t>
            </w:r>
          </w:p>
        </w:tc>
      </w:tr>
    </w:tbl>
    <w:p w14:paraId="0407B07B" w14:textId="77777777" w:rsidR="00053D93" w:rsidRDefault="00260B75">
      <w:pPr>
        <w:spacing w:after="287" w:line="472" w:lineRule="auto"/>
        <w:ind w:left="943"/>
      </w:pPr>
      <w:r>
        <w:rPr>
          <w:sz w:val="12"/>
        </w:rPr>
        <w:t>Fuente: Resumen extraido del Ofido DiNFO 170-2025 del 06 de febrero de 2025. Anexo 2 Listado de aplicaciones afectadas por el incidente informático del 21 de agosto 2024,</w:t>
      </w:r>
    </w:p>
    <w:p w14:paraId="360A2019" w14:textId="77777777" w:rsidR="00053D93" w:rsidRDefault="00260B75">
      <w:pPr>
        <w:numPr>
          <w:ilvl w:val="0"/>
          <w:numId w:val="14"/>
        </w:numPr>
        <w:spacing w:after="280" w:line="250" w:lineRule="auto"/>
        <w:ind w:right="14" w:hanging="3"/>
        <w:jc w:val="both"/>
      </w:pPr>
      <w:r>
        <w:rPr>
          <w:sz w:val="26"/>
        </w:rPr>
        <w:t>Falta de respaldos informáticos, la Dirección de Informática —DINFO-, en su "Propuesta Estrategia de Recuperación" expone solicitar que se digitalice nuevamente parte de los diferentes actores, la información para volverla a subir a las distintas aplicaciones o portales. Derivado que al 31 de diciembre de 2024, no fue recuperada la información.</w:t>
      </w:r>
    </w:p>
    <w:p w14:paraId="3D7E2883" w14:textId="77777777" w:rsidR="00053D93" w:rsidRDefault="00260B75">
      <w:pPr>
        <w:numPr>
          <w:ilvl w:val="0"/>
          <w:numId w:val="14"/>
        </w:numPr>
        <w:spacing w:after="280" w:line="250" w:lineRule="auto"/>
        <w:ind w:right="14" w:hanging="3"/>
        <w:jc w:val="both"/>
      </w:pPr>
      <w:r>
        <w:rPr>
          <w:sz w:val="26"/>
        </w:rPr>
        <w:t>Se evidenció la tardanza en la gestión y publicación de eventos para la adquisición de dispositivos de respaldo de la información. Según el oficio DINFO 170-2025 del 06 de febrero de 2025; los eventos de adquisición NOG 20259840 del 07 de junio de 2024 y NOG 2332671 9 del 12 de julio de 2024, no se concretaron debido a fallas en el proceso de compra, lo que impidió contar con los dispositivos necesarios a tiempo, es importante señalar que por la relevancia e importancia de la adquisición debió gestionarse desde el inicio del período.</w:t>
      </w:r>
    </w:p>
    <w:p w14:paraId="2BE503BB" w14:textId="77777777" w:rsidR="00053D93" w:rsidRDefault="00260B75">
      <w:pPr>
        <w:numPr>
          <w:ilvl w:val="0"/>
          <w:numId w:val="14"/>
        </w:numPr>
        <w:spacing w:after="12" w:line="250" w:lineRule="auto"/>
        <w:ind w:right="14" w:hanging="3"/>
        <w:jc w:val="both"/>
      </w:pPr>
      <w:r>
        <w:rPr>
          <w:sz w:val="26"/>
        </w:rPr>
        <w:t xml:space="preserve">No se puso a la vista los formularios "DES-FOR-15 Inventario de Hardware y Licencias de software de la dependencia" los cuales sirven de constancia de la revisión mensual de antivirus y la identificación del tipo de aplicaciones instaladas en los equipos, según muestra seleccionada de los sistemas o trazos de ambiente </w:t>
      </w:r>
      <w:r>
        <w:rPr>
          <w:noProof/>
        </w:rPr>
        <w:drawing>
          <wp:inline distT="0" distB="0" distL="0" distR="0" wp14:anchorId="42AA25D6" wp14:editId="147A6D38">
            <wp:extent cx="265176" cy="132588"/>
            <wp:effectExtent l="0" t="0" r="0" b="0"/>
            <wp:docPr id="2458775" name="Picture 2458775"/>
            <wp:cNvGraphicFramePr/>
            <a:graphic xmlns:a="http://schemas.openxmlformats.org/drawingml/2006/main">
              <a:graphicData uri="http://schemas.openxmlformats.org/drawingml/2006/picture">
                <pic:pic xmlns:pic="http://schemas.openxmlformats.org/drawingml/2006/picture">
                  <pic:nvPicPr>
                    <pic:cNvPr id="2458775" name="Picture 2458775"/>
                    <pic:cNvPicPr/>
                  </pic:nvPicPr>
                  <pic:blipFill>
                    <a:blip r:embed="rId1419"/>
                    <a:stretch>
                      <a:fillRect/>
                    </a:stretch>
                  </pic:blipFill>
                  <pic:spPr>
                    <a:xfrm>
                      <a:off x="0" y="0"/>
                      <a:ext cx="265176" cy="132588"/>
                    </a:xfrm>
                    <a:prstGeom prst="rect">
                      <a:avLst/>
                    </a:prstGeom>
                  </pic:spPr>
                </pic:pic>
              </a:graphicData>
            </a:graphic>
          </wp:inline>
        </w:drawing>
      </w:r>
      <w:r>
        <w:rPr>
          <w:sz w:val="26"/>
        </w:rPr>
        <w:t>IP 192.168.130.37, 192.168.130.1 12, 192.168.187.1 1 1 , 1 72.20. 1 1 .2. DCI 7GYSY8N2 y DESKTOP-T3-GRRGB.</w:t>
      </w:r>
    </w:p>
    <w:tbl>
      <w:tblPr>
        <w:tblStyle w:val="TableGrid"/>
        <w:tblW w:w="9425" w:type="dxa"/>
        <w:tblInd w:w="14" w:type="dxa"/>
        <w:tblLook w:val="04A0" w:firstRow="1" w:lastRow="0" w:firstColumn="1" w:lastColumn="0" w:noHBand="0" w:noVBand="1"/>
      </w:tblPr>
      <w:tblGrid>
        <w:gridCol w:w="1224"/>
        <w:gridCol w:w="8201"/>
      </w:tblGrid>
      <w:tr w:rsidR="00053D93" w14:paraId="28A853CC" w14:textId="77777777">
        <w:trPr>
          <w:trHeight w:val="648"/>
        </w:trPr>
        <w:tc>
          <w:tcPr>
            <w:tcW w:w="1721" w:type="dxa"/>
            <w:tcBorders>
              <w:top w:val="nil"/>
              <w:left w:val="nil"/>
              <w:bottom w:val="nil"/>
              <w:right w:val="nil"/>
            </w:tcBorders>
          </w:tcPr>
          <w:p w14:paraId="0BCCE41E" w14:textId="77777777" w:rsidR="00053D93" w:rsidRDefault="00260B75">
            <w:r>
              <w:rPr>
                <w:noProof/>
              </w:rPr>
              <w:drawing>
                <wp:inline distT="0" distB="0" distL="0" distR="0" wp14:anchorId="37BCB517" wp14:editId="5D7C1296">
                  <wp:extent cx="1065276" cy="411480"/>
                  <wp:effectExtent l="0" t="0" r="0" b="0"/>
                  <wp:docPr id="1049300" name="Picture 1049300"/>
                  <wp:cNvGraphicFramePr/>
                  <a:graphic xmlns:a="http://schemas.openxmlformats.org/drawingml/2006/main">
                    <a:graphicData uri="http://schemas.openxmlformats.org/drawingml/2006/picture">
                      <pic:pic xmlns:pic="http://schemas.openxmlformats.org/drawingml/2006/picture">
                        <pic:nvPicPr>
                          <pic:cNvPr id="1049300" name="Picture 1049300"/>
                          <pic:cNvPicPr/>
                        </pic:nvPicPr>
                        <pic:blipFill>
                          <a:blip r:embed="rId1420"/>
                          <a:stretch>
                            <a:fillRect/>
                          </a:stretch>
                        </pic:blipFill>
                        <pic:spPr>
                          <a:xfrm>
                            <a:off x="0" y="0"/>
                            <a:ext cx="1065276" cy="411480"/>
                          </a:xfrm>
                          <a:prstGeom prst="rect">
                            <a:avLst/>
                          </a:prstGeom>
                        </pic:spPr>
                      </pic:pic>
                    </a:graphicData>
                  </a:graphic>
                </wp:inline>
              </w:drawing>
            </w:r>
          </w:p>
        </w:tc>
        <w:tc>
          <w:tcPr>
            <w:tcW w:w="7704" w:type="dxa"/>
            <w:tcBorders>
              <w:top w:val="nil"/>
              <w:left w:val="nil"/>
              <w:bottom w:val="nil"/>
              <w:right w:val="nil"/>
            </w:tcBorders>
          </w:tcPr>
          <w:p w14:paraId="4E581BCE" w14:textId="77777777" w:rsidR="00053D93" w:rsidRDefault="00053D93">
            <w:pPr>
              <w:ind w:left="-2815" w:right="10519"/>
            </w:pPr>
          </w:p>
          <w:tbl>
            <w:tblPr>
              <w:tblStyle w:val="TableGrid"/>
              <w:tblW w:w="7661" w:type="dxa"/>
              <w:tblInd w:w="43" w:type="dxa"/>
              <w:tblCellMar>
                <w:top w:w="47" w:type="dxa"/>
                <w:left w:w="1786" w:type="dxa"/>
                <w:right w:w="115" w:type="dxa"/>
              </w:tblCellMar>
              <w:tblLook w:val="04A0" w:firstRow="1" w:lastRow="0" w:firstColumn="1" w:lastColumn="0" w:noHBand="0" w:noVBand="1"/>
            </w:tblPr>
            <w:tblGrid>
              <w:gridCol w:w="7661"/>
            </w:tblGrid>
            <w:tr w:rsidR="00053D93" w14:paraId="6472BE9B" w14:textId="77777777">
              <w:trPr>
                <w:trHeight w:val="612"/>
              </w:trPr>
              <w:tc>
                <w:tcPr>
                  <w:tcW w:w="7661" w:type="dxa"/>
                  <w:tcBorders>
                    <w:top w:val="single" w:sz="2" w:space="0" w:color="000000"/>
                    <w:left w:val="single" w:sz="2" w:space="0" w:color="000000"/>
                    <w:bottom w:val="nil"/>
                    <w:right w:val="nil"/>
                  </w:tcBorders>
                </w:tcPr>
                <w:p w14:paraId="252F7D90" w14:textId="77777777" w:rsidR="00053D93" w:rsidRDefault="00260B75">
                  <w:pPr>
                    <w:ind w:left="821"/>
                  </w:pPr>
                  <w:r>
                    <w:rPr>
                      <w:sz w:val="16"/>
                    </w:rPr>
                    <w:t>MIMSTERIO DE EDUCACON</w:t>
                  </w:r>
                </w:p>
                <w:p w14:paraId="29F0BAFB" w14:textId="77777777" w:rsidR="00053D93" w:rsidRDefault="00260B75">
                  <w:pPr>
                    <w:ind w:left="331"/>
                  </w:pPr>
                  <w:r>
                    <w:rPr>
                      <w:sz w:val="14"/>
                    </w:rPr>
                    <w:t>AUDITORÍA FINANCIERA Y DE CUMPLIMIENTO</w:t>
                  </w:r>
                </w:p>
                <w:p w14:paraId="1341F578" w14:textId="77777777" w:rsidR="00053D93" w:rsidRDefault="00260B75">
                  <w:r>
                    <w:rPr>
                      <w:sz w:val="14"/>
                    </w:rPr>
                    <w:t>PERIODO DEL 01 DE ENERO AL 31 DE DICIEMBRE DE 2024</w:t>
                  </w:r>
                </w:p>
              </w:tc>
            </w:tr>
          </w:tbl>
          <w:p w14:paraId="21071B20" w14:textId="77777777" w:rsidR="00053D93" w:rsidRDefault="00053D93"/>
        </w:tc>
      </w:tr>
    </w:tbl>
    <w:p w14:paraId="5CA38349" w14:textId="77777777" w:rsidR="00053D93" w:rsidRDefault="00053D93">
      <w:pPr>
        <w:sectPr w:rsidR="00053D93">
          <w:headerReference w:type="even" r:id="rId1421"/>
          <w:headerReference w:type="default" r:id="rId1422"/>
          <w:footerReference w:type="even" r:id="rId1423"/>
          <w:footerReference w:type="default" r:id="rId1424"/>
          <w:headerReference w:type="first" r:id="rId1425"/>
          <w:footerReference w:type="first" r:id="rId1426"/>
          <w:pgSz w:w="12290" w:h="15883"/>
          <w:pgMar w:top="1305" w:right="1771" w:bottom="626" w:left="1080" w:header="742" w:footer="720" w:gutter="0"/>
          <w:cols w:space="720"/>
        </w:sectPr>
      </w:pPr>
    </w:p>
    <w:p w14:paraId="07F080FB" w14:textId="77777777" w:rsidR="00053D93" w:rsidRDefault="00260B75">
      <w:pPr>
        <w:spacing w:after="3" w:line="265" w:lineRule="auto"/>
        <w:ind w:left="60" w:right="65" w:hanging="10"/>
      </w:pPr>
      <w:r>
        <w:rPr>
          <w:sz w:val="66"/>
        </w:rPr>
        <w:t>1</w:t>
      </w:r>
    </w:p>
    <w:p w14:paraId="3090E185" w14:textId="77777777" w:rsidR="00053D93" w:rsidRDefault="00260B75">
      <w:pPr>
        <w:spacing w:after="23"/>
        <w:ind w:left="1181" w:right="-295"/>
      </w:pPr>
      <w:r>
        <w:rPr>
          <w:noProof/>
        </w:rPr>
        <mc:AlternateContent>
          <mc:Choice Requires="wpg">
            <w:drawing>
              <wp:inline distT="0" distB="0" distL="0" distR="0" wp14:anchorId="7BE1FF85" wp14:editId="28149B43">
                <wp:extent cx="5897880" cy="13716"/>
                <wp:effectExtent l="0" t="0" r="0" b="0"/>
                <wp:docPr id="2458782" name="Group 2458782"/>
                <wp:cNvGraphicFramePr/>
                <a:graphic xmlns:a="http://schemas.openxmlformats.org/drawingml/2006/main">
                  <a:graphicData uri="http://schemas.microsoft.com/office/word/2010/wordprocessingGroup">
                    <wpg:wgp>
                      <wpg:cNvGrpSpPr/>
                      <wpg:grpSpPr>
                        <a:xfrm>
                          <a:off x="0" y="0"/>
                          <a:ext cx="5897880" cy="13716"/>
                          <a:chOff x="0" y="0"/>
                          <a:chExt cx="5897880" cy="13716"/>
                        </a:xfrm>
                      </wpg:grpSpPr>
                      <wps:wsp>
                        <wps:cNvPr id="2458781" name="Shape 2458781"/>
                        <wps:cNvSpPr/>
                        <wps:spPr>
                          <a:xfrm>
                            <a:off x="0" y="0"/>
                            <a:ext cx="5897880" cy="13716"/>
                          </a:xfrm>
                          <a:custGeom>
                            <a:avLst/>
                            <a:gdLst/>
                            <a:ahLst/>
                            <a:cxnLst/>
                            <a:rect l="0" t="0" r="0" b="0"/>
                            <a:pathLst>
                              <a:path w="5897880" h="13716">
                                <a:moveTo>
                                  <a:pt x="0" y="6858"/>
                                </a:moveTo>
                                <a:lnTo>
                                  <a:pt x="589788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782" style="width:464.4pt;height:1.07999pt;mso-position-horizontal-relative:char;mso-position-vertical-relative:line" coordsize="58978,137">
                <v:shape id="Shape 2458781" style="position:absolute;width:58978;height:137;left:0;top:0;" coordsize="5897880,13716" path="m0,6858l5897880,6858">
                  <v:stroke weight="1.07999pt" endcap="flat" joinstyle="miter" miterlimit="1" on="true" color="#000000"/>
                  <v:fill on="false" color="#000000"/>
                </v:shape>
              </v:group>
            </w:pict>
          </mc:Fallback>
        </mc:AlternateContent>
      </w:r>
    </w:p>
    <w:p w14:paraId="412877F8" w14:textId="77777777" w:rsidR="00053D93" w:rsidRDefault="00260B75">
      <w:pPr>
        <w:spacing w:after="4" w:line="269" w:lineRule="auto"/>
        <w:ind w:left="60" w:right="14" w:hanging="3"/>
        <w:jc w:val="both"/>
      </w:pPr>
      <w:r>
        <w:rPr>
          <w:sz w:val="26"/>
        </w:rPr>
        <w:t>1 6. En oficio DINFO 348-2025 del 28 de febrero de 2025, el Jefe Departamento de Redes y Telecomunicaciones, Jefe Departamento de Infraestructura y Director en 1 Funciones, todos de la Dirección de Informática —DINFO- del Ministerio de Educación confirmaron que "...Manual de Procedimientos técnico DES-MAN-OI alojado en la página de la IS09000 nosotros como Departamento de Redes y Telecomunicaciones, obedecemos al manual de procedimientos "MANUAL DE</w:t>
      </w:r>
    </w:p>
    <w:p w14:paraId="488F37F7" w14:textId="77777777" w:rsidR="00053D93" w:rsidRDefault="00260B75">
      <w:pPr>
        <w:spacing w:after="0"/>
        <w:ind w:left="10" w:right="-1" w:hanging="10"/>
        <w:jc w:val="right"/>
      </w:pPr>
      <w:r>
        <w:rPr>
          <w:sz w:val="30"/>
        </w:rPr>
        <w:t>NORMAS Y PROCEDIMIENTOS, DEPARTAMENTO DE REDES Y</w:t>
      </w:r>
    </w:p>
    <w:p w14:paraId="3962D486" w14:textId="77777777" w:rsidR="00053D93" w:rsidRDefault="00260B75">
      <w:pPr>
        <w:spacing w:after="281" w:line="218" w:lineRule="auto"/>
        <w:ind w:left="57" w:right="14" w:firstLine="1649"/>
        <w:jc w:val="both"/>
      </w:pPr>
      <w:r>
        <w:rPr>
          <w:sz w:val="26"/>
        </w:rPr>
        <w:t>TELECOMUNICACIONES DEL MINISTERIO DE EDUCACIÓN" que está a lo 1 interno de la direccion . sin embargo, el manual utilizado por la DINFO no está aprobado por las autoridades competentes, esta situación pone en duda la 1 efectividad de los procedimientos implementados en dicha Dirección.</w:t>
      </w:r>
    </w:p>
    <w:p w14:paraId="1F7FF1B2" w14:textId="77777777" w:rsidR="00053D93" w:rsidRDefault="00260B75">
      <w:pPr>
        <w:spacing w:after="4" w:line="269" w:lineRule="auto"/>
        <w:ind w:left="57" w:right="14" w:firstLine="1678"/>
        <w:jc w:val="both"/>
      </w:pPr>
      <w:r>
        <w:rPr>
          <w:sz w:val="26"/>
        </w:rPr>
        <w:t xml:space="preserve">Respecto al "Manual de Procedimientos de soporte técnico de la Dirección de </w:t>
      </w:r>
      <w:r>
        <w:rPr>
          <w:noProof/>
        </w:rPr>
        <w:drawing>
          <wp:inline distT="0" distB="0" distL="0" distR="0" wp14:anchorId="39951C40" wp14:editId="2869A4F5">
            <wp:extent cx="9144" cy="9144"/>
            <wp:effectExtent l="0" t="0" r="0" b="0"/>
            <wp:docPr id="1052743" name="Picture 1052743"/>
            <wp:cNvGraphicFramePr/>
            <a:graphic xmlns:a="http://schemas.openxmlformats.org/drawingml/2006/main">
              <a:graphicData uri="http://schemas.openxmlformats.org/drawingml/2006/picture">
                <pic:pic xmlns:pic="http://schemas.openxmlformats.org/drawingml/2006/picture">
                  <pic:nvPicPr>
                    <pic:cNvPr id="1052743" name="Picture 1052743"/>
                    <pic:cNvPicPr/>
                  </pic:nvPicPr>
                  <pic:blipFill>
                    <a:blip r:embed="rId1427"/>
                    <a:stretch>
                      <a:fillRect/>
                    </a:stretch>
                  </pic:blipFill>
                  <pic:spPr>
                    <a:xfrm>
                      <a:off x="0" y="0"/>
                      <a:ext cx="9144" cy="9144"/>
                    </a:xfrm>
                    <a:prstGeom prst="rect">
                      <a:avLst/>
                    </a:prstGeom>
                  </pic:spPr>
                </pic:pic>
              </a:graphicData>
            </a:graphic>
          </wp:inline>
        </w:drawing>
      </w:r>
      <w:r>
        <w:rPr>
          <w:sz w:val="26"/>
        </w:rPr>
        <w:t xml:space="preserve">1 Informática DES-MAN-OI Versión 3.0" y el formulario 'DES-FOR-15 Inventario de Hardware y Licencias de Software de la Dependencia" ambos documentos oficiales, también manifestaron: "son obsoletos a las nuevas formas de verificación 1 del status del antivirus en los equipos, por lo cual utilizamos el manual de procedimientos mencionado". No se presentó ningún manual reciente que haya </w:t>
      </w:r>
      <w:r>
        <w:rPr>
          <w:noProof/>
        </w:rPr>
        <w:drawing>
          <wp:inline distT="0" distB="0" distL="0" distR="0" wp14:anchorId="77EA1F72" wp14:editId="6BC54D73">
            <wp:extent cx="13716" cy="4572"/>
            <wp:effectExtent l="0" t="0" r="0" b="0"/>
            <wp:docPr id="1052744" name="Picture 1052744"/>
            <wp:cNvGraphicFramePr/>
            <a:graphic xmlns:a="http://schemas.openxmlformats.org/drawingml/2006/main">
              <a:graphicData uri="http://schemas.openxmlformats.org/drawingml/2006/picture">
                <pic:pic xmlns:pic="http://schemas.openxmlformats.org/drawingml/2006/picture">
                  <pic:nvPicPr>
                    <pic:cNvPr id="1052744" name="Picture 1052744"/>
                    <pic:cNvPicPr/>
                  </pic:nvPicPr>
                  <pic:blipFill>
                    <a:blip r:embed="rId1428"/>
                    <a:stretch>
                      <a:fillRect/>
                    </a:stretch>
                  </pic:blipFill>
                  <pic:spPr>
                    <a:xfrm>
                      <a:off x="0" y="0"/>
                      <a:ext cx="13716" cy="4572"/>
                    </a:xfrm>
                    <a:prstGeom prst="rect">
                      <a:avLst/>
                    </a:prstGeom>
                  </pic:spPr>
                </pic:pic>
              </a:graphicData>
            </a:graphic>
          </wp:inline>
        </w:drawing>
      </w:r>
      <w:r>
        <w:rPr>
          <w:sz w:val="26"/>
        </w:rPr>
        <w:t>1 sido oficializado y que pueda ser utilizado por la DINFO.</w:t>
      </w:r>
    </w:p>
    <w:p w14:paraId="0A680B6A" w14:textId="77777777" w:rsidR="00053D93" w:rsidRDefault="00260B75">
      <w:pPr>
        <w:spacing w:after="359"/>
        <w:ind w:left="7430"/>
      </w:pPr>
      <w:r>
        <w:rPr>
          <w:noProof/>
        </w:rPr>
        <w:drawing>
          <wp:inline distT="0" distB="0" distL="0" distR="0" wp14:anchorId="0B392A7E" wp14:editId="2B1FE50A">
            <wp:extent cx="13716" cy="18288"/>
            <wp:effectExtent l="0" t="0" r="0" b="0"/>
            <wp:docPr id="1052745" name="Picture 1052745"/>
            <wp:cNvGraphicFramePr/>
            <a:graphic xmlns:a="http://schemas.openxmlformats.org/drawingml/2006/main">
              <a:graphicData uri="http://schemas.openxmlformats.org/drawingml/2006/picture">
                <pic:pic xmlns:pic="http://schemas.openxmlformats.org/drawingml/2006/picture">
                  <pic:nvPicPr>
                    <pic:cNvPr id="1052745" name="Picture 1052745"/>
                    <pic:cNvPicPr/>
                  </pic:nvPicPr>
                  <pic:blipFill>
                    <a:blip r:embed="rId1429"/>
                    <a:stretch>
                      <a:fillRect/>
                    </a:stretch>
                  </pic:blipFill>
                  <pic:spPr>
                    <a:xfrm>
                      <a:off x="0" y="0"/>
                      <a:ext cx="13716" cy="18288"/>
                    </a:xfrm>
                    <a:prstGeom prst="rect">
                      <a:avLst/>
                    </a:prstGeom>
                  </pic:spPr>
                </pic:pic>
              </a:graphicData>
            </a:graphic>
          </wp:inline>
        </w:drawing>
      </w:r>
    </w:p>
    <w:p w14:paraId="548A9B80" w14:textId="77777777" w:rsidR="00053D93" w:rsidRDefault="00260B75">
      <w:pPr>
        <w:spacing w:after="185" w:line="269" w:lineRule="auto"/>
        <w:ind w:left="57" w:right="14" w:firstLine="1642"/>
        <w:jc w:val="both"/>
      </w:pPr>
      <w:r>
        <w:rPr>
          <w:sz w:val="26"/>
        </w:rPr>
        <w:t xml:space="preserve">7. En los oficios DINFO 0412-2025 y 0418-2025, ambos del 12 de marzo de 2025, </w:t>
      </w:r>
      <w:r>
        <w:rPr>
          <w:noProof/>
        </w:rPr>
        <w:drawing>
          <wp:inline distT="0" distB="0" distL="0" distR="0" wp14:anchorId="01A26C21" wp14:editId="4F1AEA01">
            <wp:extent cx="9144" cy="9144"/>
            <wp:effectExtent l="0" t="0" r="0" b="0"/>
            <wp:docPr id="1052746" name="Picture 1052746"/>
            <wp:cNvGraphicFramePr/>
            <a:graphic xmlns:a="http://schemas.openxmlformats.org/drawingml/2006/main">
              <a:graphicData uri="http://schemas.openxmlformats.org/drawingml/2006/picture">
                <pic:pic xmlns:pic="http://schemas.openxmlformats.org/drawingml/2006/picture">
                  <pic:nvPicPr>
                    <pic:cNvPr id="1052746" name="Picture 1052746"/>
                    <pic:cNvPicPr/>
                  </pic:nvPicPr>
                  <pic:blipFill>
                    <a:blip r:embed="rId1430"/>
                    <a:stretch>
                      <a:fillRect/>
                    </a:stretch>
                  </pic:blipFill>
                  <pic:spPr>
                    <a:xfrm>
                      <a:off x="0" y="0"/>
                      <a:ext cx="9144" cy="9144"/>
                    </a:xfrm>
                    <a:prstGeom prst="rect">
                      <a:avLst/>
                    </a:prstGeom>
                  </pic:spPr>
                </pic:pic>
              </a:graphicData>
            </a:graphic>
          </wp:inline>
        </w:drawing>
      </w:r>
      <w:r>
        <w:rPr>
          <w:sz w:val="26"/>
        </w:rPr>
        <w:t>1 confirmaron algunos puestos que tienen responsabilidad directa respecto al almacenaje, protección, recuperación y transmisión de la información del Ministerio de Educación a través de los sistemas, los cuales no se encuentran</w:t>
      </w:r>
    </w:p>
    <w:p w14:paraId="647C6DF7" w14:textId="77777777" w:rsidR="00053D93" w:rsidRDefault="00260B75">
      <w:pPr>
        <w:spacing w:after="396" w:line="365" w:lineRule="auto"/>
        <w:ind w:left="1677" w:right="14" w:hanging="1620"/>
        <w:jc w:val="both"/>
      </w:pPr>
      <w:r>
        <w:rPr>
          <w:sz w:val="26"/>
        </w:rPr>
        <w:t>1 detallados en el "Manual de Funciones, Organización y Puestos de la Dirección de Informática -DINFO-, VDE-MAN-5 versión 01</w:t>
      </w:r>
      <w:r>
        <w:rPr>
          <w:noProof/>
        </w:rPr>
        <w:drawing>
          <wp:inline distT="0" distB="0" distL="0" distR="0" wp14:anchorId="56901529" wp14:editId="7088A14E">
            <wp:extent cx="73152" cy="118872"/>
            <wp:effectExtent l="0" t="0" r="0" b="0"/>
            <wp:docPr id="2458777" name="Picture 2458777"/>
            <wp:cNvGraphicFramePr/>
            <a:graphic xmlns:a="http://schemas.openxmlformats.org/drawingml/2006/main">
              <a:graphicData uri="http://schemas.openxmlformats.org/drawingml/2006/picture">
                <pic:pic xmlns:pic="http://schemas.openxmlformats.org/drawingml/2006/picture">
                  <pic:nvPicPr>
                    <pic:cNvPr id="2458777" name="Picture 2458777"/>
                    <pic:cNvPicPr/>
                  </pic:nvPicPr>
                  <pic:blipFill>
                    <a:blip r:embed="rId1431"/>
                    <a:stretch>
                      <a:fillRect/>
                    </a:stretch>
                  </pic:blipFill>
                  <pic:spPr>
                    <a:xfrm>
                      <a:off x="0" y="0"/>
                      <a:ext cx="73152" cy="118872"/>
                    </a:xfrm>
                    <a:prstGeom prst="rect">
                      <a:avLst/>
                    </a:prstGeom>
                  </pic:spPr>
                </pic:pic>
              </a:graphicData>
            </a:graphic>
          </wp:inline>
        </w:drawing>
      </w:r>
    </w:p>
    <w:p w14:paraId="14938F39" w14:textId="77777777" w:rsidR="00053D93" w:rsidRDefault="00260B75">
      <w:pPr>
        <w:tabs>
          <w:tab w:val="center" w:pos="4259"/>
        </w:tabs>
        <w:spacing w:after="4" w:line="269" w:lineRule="auto"/>
      </w:pPr>
      <w:r>
        <w:rPr>
          <w:sz w:val="26"/>
        </w:rPr>
        <w:t>1</w:t>
      </w:r>
      <w:r>
        <w:rPr>
          <w:sz w:val="26"/>
        </w:rPr>
        <w:tab/>
        <w:t>a. Jefe de Infraestructura y Servicios Críticos</w:t>
      </w:r>
    </w:p>
    <w:p w14:paraId="7BEA4629" w14:textId="77777777" w:rsidR="00053D93" w:rsidRDefault="00260B75">
      <w:pPr>
        <w:numPr>
          <w:ilvl w:val="0"/>
          <w:numId w:val="15"/>
        </w:numPr>
        <w:spacing w:after="4" w:line="269" w:lineRule="auto"/>
        <w:ind w:right="14" w:hanging="317"/>
        <w:jc w:val="both"/>
      </w:pPr>
      <w:r>
        <w:rPr>
          <w:sz w:val="26"/>
        </w:rPr>
        <w:t>Administrador de Servidores y respaldos</w:t>
      </w:r>
    </w:p>
    <w:p w14:paraId="65928588" w14:textId="77777777" w:rsidR="00053D93" w:rsidRDefault="00260B75">
      <w:pPr>
        <w:numPr>
          <w:ilvl w:val="0"/>
          <w:numId w:val="15"/>
        </w:numPr>
        <w:spacing w:after="4" w:line="269" w:lineRule="auto"/>
        <w:ind w:right="14" w:hanging="317"/>
        <w:jc w:val="both"/>
      </w:pPr>
      <w:r>
        <w:rPr>
          <w:sz w:val="26"/>
        </w:rPr>
        <w:t>Administrador de Servidores y SAN</w:t>
      </w:r>
    </w:p>
    <w:p w14:paraId="4119AF50" w14:textId="77777777" w:rsidR="00053D93" w:rsidRDefault="00260B75">
      <w:pPr>
        <w:numPr>
          <w:ilvl w:val="0"/>
          <w:numId w:val="15"/>
        </w:numPr>
        <w:spacing w:after="0" w:line="265" w:lineRule="auto"/>
        <w:ind w:right="14" w:hanging="317"/>
        <w:jc w:val="both"/>
      </w:pPr>
      <w:r>
        <w:rPr>
          <w:sz w:val="24"/>
        </w:rPr>
        <w:t>Administrador de antivirus y firewall</w:t>
      </w:r>
    </w:p>
    <w:p w14:paraId="1167620A" w14:textId="77777777" w:rsidR="00053D93" w:rsidRDefault="00260B75">
      <w:pPr>
        <w:numPr>
          <w:ilvl w:val="0"/>
          <w:numId w:val="15"/>
        </w:numPr>
        <w:spacing w:after="4" w:line="269" w:lineRule="auto"/>
        <w:ind w:right="14" w:hanging="317"/>
        <w:jc w:val="both"/>
      </w:pPr>
      <w:r>
        <w:rPr>
          <w:sz w:val="26"/>
        </w:rPr>
        <w:t>Técnico en seguridad y monitoreo</w:t>
      </w:r>
    </w:p>
    <w:p w14:paraId="4628C22B" w14:textId="77777777" w:rsidR="00053D93" w:rsidRDefault="00260B75">
      <w:pPr>
        <w:numPr>
          <w:ilvl w:val="0"/>
          <w:numId w:val="15"/>
        </w:numPr>
        <w:spacing w:after="243" w:line="269" w:lineRule="auto"/>
        <w:ind w:right="14" w:hanging="317"/>
        <w:jc w:val="both"/>
      </w:pPr>
      <w:r>
        <w:rPr>
          <w:sz w:val="26"/>
        </w:rPr>
        <w:t>Técnico de Compras y planificador</w:t>
      </w:r>
    </w:p>
    <w:p w14:paraId="24ADCFBA" w14:textId="77777777" w:rsidR="00053D93" w:rsidRDefault="00260B75">
      <w:pPr>
        <w:spacing w:after="172" w:line="269" w:lineRule="auto"/>
        <w:ind w:left="67" w:right="14" w:hanging="10"/>
        <w:jc w:val="right"/>
      </w:pPr>
      <w:r>
        <w:rPr>
          <w:sz w:val="26"/>
        </w:rPr>
        <w:t>Evidenciando que el manual vigente, no atienden a los puestos necesarios de la</w:t>
      </w:r>
    </w:p>
    <w:p w14:paraId="3B06DFD2" w14:textId="77777777" w:rsidR="00053D93" w:rsidRDefault="00260B75">
      <w:pPr>
        <w:spacing w:after="119" w:line="326" w:lineRule="auto"/>
        <w:ind w:left="1707" w:right="14" w:hanging="1570"/>
        <w:jc w:val="both"/>
      </w:pPr>
      <w:r>
        <w:rPr>
          <w:sz w:val="26"/>
        </w:rPr>
        <w:t>1 Dirección y la ausencia de un instrumento oficial que responsabilice al personal contratado bajo los puestos descritos.</w:t>
      </w:r>
    </w:p>
    <w:p w14:paraId="11C55F8C" w14:textId="77777777" w:rsidR="00053D93" w:rsidRDefault="00260B75">
      <w:pPr>
        <w:spacing w:after="3" w:line="265" w:lineRule="auto"/>
        <w:ind w:left="154" w:right="65" w:hanging="10"/>
      </w:pPr>
      <w:r>
        <w:rPr>
          <w:sz w:val="66"/>
        </w:rPr>
        <w:t>1</w:t>
      </w:r>
    </w:p>
    <w:p w14:paraId="5BEF32AF" w14:textId="77777777" w:rsidR="00053D93" w:rsidRDefault="00260B75">
      <w:pPr>
        <w:spacing w:after="4" w:line="269" w:lineRule="auto"/>
        <w:ind w:left="1709" w:right="14" w:hanging="3"/>
        <w:jc w:val="both"/>
      </w:pPr>
      <w:r>
        <w:rPr>
          <w:sz w:val="26"/>
        </w:rPr>
        <w:t>Criterio</w:t>
      </w:r>
    </w:p>
    <w:p w14:paraId="02783F97" w14:textId="77777777" w:rsidR="00053D93" w:rsidRDefault="00260B75">
      <w:pPr>
        <w:spacing w:after="4" w:line="220" w:lineRule="auto"/>
        <w:ind w:left="1717" w:right="14" w:hanging="3"/>
        <w:jc w:val="both"/>
      </w:pPr>
      <w:r>
        <w:rPr>
          <w:sz w:val="26"/>
        </w:rPr>
        <w:t>El Acuerdo Ministerial No. 1003-2009 de la Ministra de Educación, Reglamento Interno de la Dirección de Informática -DINFO-, Artículo 1. Naturaleza, establece:</w:t>
      </w:r>
    </w:p>
    <w:tbl>
      <w:tblPr>
        <w:tblStyle w:val="TableGrid"/>
        <w:tblpPr w:vertAnchor="text" w:tblpX="2561" w:tblpY="705"/>
        <w:tblOverlap w:val="never"/>
        <w:tblW w:w="7613" w:type="dxa"/>
        <w:tblInd w:w="0" w:type="dxa"/>
        <w:tblCellMar>
          <w:top w:w="46" w:type="dxa"/>
          <w:left w:w="1745" w:type="dxa"/>
          <w:right w:w="115" w:type="dxa"/>
        </w:tblCellMar>
        <w:tblLook w:val="04A0" w:firstRow="1" w:lastRow="0" w:firstColumn="1" w:lastColumn="0" w:noHBand="0" w:noVBand="1"/>
      </w:tblPr>
      <w:tblGrid>
        <w:gridCol w:w="7613"/>
      </w:tblGrid>
      <w:tr w:rsidR="00053D93" w14:paraId="6DA405EE" w14:textId="77777777">
        <w:trPr>
          <w:trHeight w:val="41"/>
        </w:trPr>
        <w:tc>
          <w:tcPr>
            <w:tcW w:w="7613" w:type="dxa"/>
            <w:tcBorders>
              <w:top w:val="nil"/>
              <w:left w:val="single" w:sz="2" w:space="0" w:color="000000"/>
              <w:bottom w:val="single" w:sz="2" w:space="0" w:color="000000"/>
              <w:right w:val="nil"/>
            </w:tcBorders>
          </w:tcPr>
          <w:p w14:paraId="5A2C396E" w14:textId="77777777" w:rsidR="00053D93" w:rsidRDefault="00053D93"/>
        </w:tc>
      </w:tr>
      <w:tr w:rsidR="00053D93" w14:paraId="61671A53" w14:textId="77777777">
        <w:trPr>
          <w:trHeight w:val="600"/>
        </w:trPr>
        <w:tc>
          <w:tcPr>
            <w:tcW w:w="7613" w:type="dxa"/>
            <w:tcBorders>
              <w:top w:val="single" w:sz="2" w:space="0" w:color="000000"/>
              <w:left w:val="single" w:sz="2" w:space="0" w:color="000000"/>
              <w:bottom w:val="nil"/>
              <w:right w:val="nil"/>
            </w:tcBorders>
          </w:tcPr>
          <w:p w14:paraId="48846B8E" w14:textId="77777777" w:rsidR="00053D93" w:rsidRDefault="00260B75">
            <w:pPr>
              <w:ind w:left="828"/>
            </w:pPr>
            <w:r>
              <w:rPr>
                <w:sz w:val="14"/>
              </w:rPr>
              <w:t>MINISTERIO DE EDUCACION</w:t>
            </w:r>
          </w:p>
          <w:p w14:paraId="1B1EF63D" w14:textId="77777777" w:rsidR="00053D93" w:rsidRDefault="00260B75">
            <w:pPr>
              <w:ind w:left="331"/>
            </w:pPr>
            <w:r>
              <w:rPr>
                <w:sz w:val="14"/>
              </w:rPr>
              <w:t>AUDITORIA FINANCIERA Y DE CUMPLIMIENTO</w:t>
            </w:r>
          </w:p>
          <w:p w14:paraId="0DD938DC" w14:textId="77777777" w:rsidR="00053D93" w:rsidRDefault="00260B75">
            <w:r>
              <w:rPr>
                <w:sz w:val="14"/>
              </w:rPr>
              <w:t>PERIODO DEL 01 DE ENERO AL 31 DE DICIEMBRE DE 2024</w:t>
            </w:r>
          </w:p>
        </w:tc>
      </w:tr>
    </w:tbl>
    <w:p w14:paraId="4B69CA27" w14:textId="77777777" w:rsidR="00053D93" w:rsidRDefault="00260B75">
      <w:pPr>
        <w:spacing w:after="3" w:line="216" w:lineRule="auto"/>
        <w:ind w:left="166" w:firstLine="1541"/>
      </w:pPr>
      <w:r>
        <w:rPr>
          <w:sz w:val="26"/>
        </w:rPr>
        <w:t>"La Dirección de Informática es el órgano administrativo que tiene a su cargo la 1</w:t>
      </w:r>
      <w:r>
        <w:rPr>
          <w:sz w:val="26"/>
        </w:rPr>
        <w:tab/>
        <w:t xml:space="preserve">prestación de servicios relacionados con las tecnologías de la Información y la , III </w:t>
      </w:r>
      <w:r>
        <w:rPr>
          <w:noProof/>
        </w:rPr>
        <w:drawing>
          <wp:inline distT="0" distB="0" distL="0" distR="0" wp14:anchorId="44A11E41" wp14:editId="74127342">
            <wp:extent cx="928116" cy="402336"/>
            <wp:effectExtent l="0" t="0" r="0" b="0"/>
            <wp:docPr id="2458779" name="Picture 2458779"/>
            <wp:cNvGraphicFramePr/>
            <a:graphic xmlns:a="http://schemas.openxmlformats.org/drawingml/2006/main">
              <a:graphicData uri="http://schemas.openxmlformats.org/drawingml/2006/picture">
                <pic:pic xmlns:pic="http://schemas.openxmlformats.org/drawingml/2006/picture">
                  <pic:nvPicPr>
                    <pic:cNvPr id="2458779" name="Picture 2458779"/>
                    <pic:cNvPicPr/>
                  </pic:nvPicPr>
                  <pic:blipFill>
                    <a:blip r:embed="rId1432"/>
                    <a:stretch>
                      <a:fillRect/>
                    </a:stretch>
                  </pic:blipFill>
                  <pic:spPr>
                    <a:xfrm>
                      <a:off x="0" y="0"/>
                      <a:ext cx="928116" cy="402336"/>
                    </a:xfrm>
                    <a:prstGeom prst="rect">
                      <a:avLst/>
                    </a:prstGeom>
                  </pic:spPr>
                </pic:pic>
              </a:graphicData>
            </a:graphic>
          </wp:inline>
        </w:drawing>
      </w:r>
    </w:p>
    <w:p w14:paraId="347D1881" w14:textId="77777777" w:rsidR="00053D93" w:rsidRDefault="00260B75">
      <w:pPr>
        <w:spacing w:after="98" w:line="269" w:lineRule="auto"/>
        <w:ind w:left="144" w:right="14" w:hanging="87"/>
        <w:jc w:val="right"/>
      </w:pPr>
      <w:r>
        <w:rPr>
          <w:noProof/>
        </w:rPr>
        <w:drawing>
          <wp:anchor distT="0" distB="0" distL="114300" distR="114300" simplePos="0" relativeHeight="252189696" behindDoc="0" locked="0" layoutInCell="1" allowOverlap="0" wp14:anchorId="02DCAE68" wp14:editId="671B6FF8">
            <wp:simplePos x="0" y="0"/>
            <wp:positionH relativeFrom="column">
              <wp:posOffset>-36575</wp:posOffset>
            </wp:positionH>
            <wp:positionV relativeFrom="paragraph">
              <wp:posOffset>-62830</wp:posOffset>
            </wp:positionV>
            <wp:extent cx="6524245" cy="45720"/>
            <wp:effectExtent l="0" t="0" r="0" b="0"/>
            <wp:wrapSquare wrapText="bothSides"/>
            <wp:docPr id="2458787" name="Picture 2458787"/>
            <wp:cNvGraphicFramePr/>
            <a:graphic xmlns:a="http://schemas.openxmlformats.org/drawingml/2006/main">
              <a:graphicData uri="http://schemas.openxmlformats.org/drawingml/2006/picture">
                <pic:pic xmlns:pic="http://schemas.openxmlformats.org/drawingml/2006/picture">
                  <pic:nvPicPr>
                    <pic:cNvPr id="2458787" name="Picture 2458787"/>
                    <pic:cNvPicPr/>
                  </pic:nvPicPr>
                  <pic:blipFill>
                    <a:blip r:embed="rId1433"/>
                    <a:stretch>
                      <a:fillRect/>
                    </a:stretch>
                  </pic:blipFill>
                  <pic:spPr>
                    <a:xfrm>
                      <a:off x="0" y="0"/>
                      <a:ext cx="6524245" cy="45720"/>
                    </a:xfrm>
                    <a:prstGeom prst="rect">
                      <a:avLst/>
                    </a:prstGeom>
                  </pic:spPr>
                </pic:pic>
              </a:graphicData>
            </a:graphic>
          </wp:anchor>
        </w:drawing>
      </w:r>
      <w:r>
        <w:rPr>
          <w:sz w:val="26"/>
        </w:rPr>
        <w:t>1</w:t>
      </w:r>
      <w:r>
        <w:rPr>
          <w:sz w:val="26"/>
        </w:rPr>
        <w:tab/>
        <w:t>comunicación, que garanticen la satisfacción de necesidades en la gestión y transformación de la información, particularmente en el uso de ordenadores, 1</w:t>
      </w:r>
      <w:r>
        <w:rPr>
          <w:sz w:val="26"/>
        </w:rPr>
        <w:tab/>
        <w:t>programas de computación que permiten crear, modificar, almacenar, proteger, recuperar y trasmitir esa información, principalmente como una herramienta que contribuya a mejorar el desarrollo de los procesos administrativos del Ministerio.</w:t>
      </w:r>
      <w:r>
        <w:rPr>
          <w:noProof/>
        </w:rPr>
        <w:drawing>
          <wp:inline distT="0" distB="0" distL="0" distR="0" wp14:anchorId="22A37309" wp14:editId="7380E700">
            <wp:extent cx="36576" cy="41148"/>
            <wp:effectExtent l="0" t="0" r="0" b="0"/>
            <wp:docPr id="2458785" name="Picture 2458785"/>
            <wp:cNvGraphicFramePr/>
            <a:graphic xmlns:a="http://schemas.openxmlformats.org/drawingml/2006/main">
              <a:graphicData uri="http://schemas.openxmlformats.org/drawingml/2006/picture">
                <pic:pic xmlns:pic="http://schemas.openxmlformats.org/drawingml/2006/picture">
                  <pic:nvPicPr>
                    <pic:cNvPr id="2458785" name="Picture 2458785"/>
                    <pic:cNvPicPr/>
                  </pic:nvPicPr>
                  <pic:blipFill>
                    <a:blip r:embed="rId1434"/>
                    <a:stretch>
                      <a:fillRect/>
                    </a:stretch>
                  </pic:blipFill>
                  <pic:spPr>
                    <a:xfrm>
                      <a:off x="0" y="0"/>
                      <a:ext cx="36576" cy="41148"/>
                    </a:xfrm>
                    <a:prstGeom prst="rect">
                      <a:avLst/>
                    </a:prstGeom>
                  </pic:spPr>
                </pic:pic>
              </a:graphicData>
            </a:graphic>
          </wp:inline>
        </w:drawing>
      </w:r>
    </w:p>
    <w:p w14:paraId="3E21DAA4" w14:textId="77777777" w:rsidR="00053D93" w:rsidRDefault="00260B75">
      <w:pPr>
        <w:spacing w:after="28" w:line="269" w:lineRule="auto"/>
        <w:ind w:left="120" w:right="14" w:hanging="63"/>
        <w:jc w:val="right"/>
      </w:pPr>
      <w:r>
        <w:rPr>
          <w:sz w:val="26"/>
        </w:rPr>
        <w:t>1</w:t>
      </w:r>
      <w:r>
        <w:rPr>
          <w:sz w:val="26"/>
        </w:rPr>
        <w:tab/>
        <w:t>Articulo 5. Autoridades Superiores, establece: "La Dirección de Informática estará a cargo de un Director y un Subdirector. Al Director le corresponde originalmente la representación, trámite y resolución de los asuntos de la competencia de la 1</w:t>
      </w:r>
      <w:r>
        <w:rPr>
          <w:sz w:val="26"/>
        </w:rPr>
        <w:tab/>
        <w:t>misma, y quien podrá, para la mejor distribución y desarrollo del trabajo, conferir sus facultades delegables a servidores públicos subalternos, sin perjuicio de su 1</w:t>
      </w:r>
      <w:r>
        <w:rPr>
          <w:sz w:val="26"/>
        </w:rPr>
        <w:tab/>
        <w:t>ejercicio directo." Artículo 7. Atribuciones Específicas de la Dirección, establece: "Las atribuciones específicas de la Dirección de Informática, son las siguientes: a)</w:t>
      </w:r>
    </w:p>
    <w:p w14:paraId="33CD8DE3" w14:textId="77777777" w:rsidR="00053D93" w:rsidRDefault="00260B75">
      <w:pPr>
        <w:spacing w:after="3" w:line="269" w:lineRule="auto"/>
        <w:ind w:left="67" w:right="14" w:hanging="10"/>
        <w:jc w:val="right"/>
      </w:pPr>
      <w:r>
        <w:rPr>
          <w:sz w:val="26"/>
        </w:rPr>
        <w:t xml:space="preserve">Aprobar las políticas, estándares, procesos y reglamentos, para asegurar que se </w:t>
      </w:r>
      <w:r>
        <w:rPr>
          <w:noProof/>
        </w:rPr>
        <w:drawing>
          <wp:inline distT="0" distB="0" distL="0" distR="0" wp14:anchorId="332AD6D3" wp14:editId="0D801ED1">
            <wp:extent cx="13716" cy="9144"/>
            <wp:effectExtent l="0" t="0" r="0" b="0"/>
            <wp:docPr id="1056405" name="Picture 1056405"/>
            <wp:cNvGraphicFramePr/>
            <a:graphic xmlns:a="http://schemas.openxmlformats.org/drawingml/2006/main">
              <a:graphicData uri="http://schemas.openxmlformats.org/drawingml/2006/picture">
                <pic:pic xmlns:pic="http://schemas.openxmlformats.org/drawingml/2006/picture">
                  <pic:nvPicPr>
                    <pic:cNvPr id="1056405" name="Picture 1056405"/>
                    <pic:cNvPicPr/>
                  </pic:nvPicPr>
                  <pic:blipFill>
                    <a:blip r:embed="rId76"/>
                    <a:stretch>
                      <a:fillRect/>
                    </a:stretch>
                  </pic:blipFill>
                  <pic:spPr>
                    <a:xfrm>
                      <a:off x="0" y="0"/>
                      <a:ext cx="13716" cy="9144"/>
                    </a:xfrm>
                    <a:prstGeom prst="rect">
                      <a:avLst/>
                    </a:prstGeom>
                  </pic:spPr>
                </pic:pic>
              </a:graphicData>
            </a:graphic>
          </wp:inline>
        </w:drawing>
      </w:r>
      <w:r>
        <w:rPr>
          <w:sz w:val="26"/>
        </w:rPr>
        <w:t>1</w:t>
      </w:r>
      <w:r>
        <w:rPr>
          <w:sz w:val="26"/>
        </w:rPr>
        <w:tab/>
        <w:t>presten los servicios relacionados con el respaldo de la información, seguridad y control de acceso a los datos, servicios y capacitación de usuarios, administración de aplicaciones, procesamiento de datos, especificaciones técnicas de equipo y</w:t>
      </w:r>
    </w:p>
    <w:p w14:paraId="6FC8FBCD" w14:textId="77777777" w:rsidR="00053D93" w:rsidRDefault="00260B75">
      <w:pPr>
        <w:spacing w:after="50"/>
        <w:ind w:left="43"/>
      </w:pPr>
      <w:r>
        <w:rPr>
          <w:noProof/>
        </w:rPr>
        <w:drawing>
          <wp:inline distT="0" distB="0" distL="0" distR="0" wp14:anchorId="072AFA51" wp14:editId="16D1A65B">
            <wp:extent cx="18288" cy="9144"/>
            <wp:effectExtent l="0" t="0" r="0" b="0"/>
            <wp:docPr id="2458789" name="Picture 2458789"/>
            <wp:cNvGraphicFramePr/>
            <a:graphic xmlns:a="http://schemas.openxmlformats.org/drawingml/2006/main">
              <a:graphicData uri="http://schemas.openxmlformats.org/drawingml/2006/picture">
                <pic:pic xmlns:pic="http://schemas.openxmlformats.org/drawingml/2006/picture">
                  <pic:nvPicPr>
                    <pic:cNvPr id="2458789" name="Picture 2458789"/>
                    <pic:cNvPicPr/>
                  </pic:nvPicPr>
                  <pic:blipFill>
                    <a:blip r:embed="rId1435"/>
                    <a:stretch>
                      <a:fillRect/>
                    </a:stretch>
                  </pic:blipFill>
                  <pic:spPr>
                    <a:xfrm>
                      <a:off x="0" y="0"/>
                      <a:ext cx="18288" cy="9144"/>
                    </a:xfrm>
                    <a:prstGeom prst="rect">
                      <a:avLst/>
                    </a:prstGeom>
                  </pic:spPr>
                </pic:pic>
              </a:graphicData>
            </a:graphic>
          </wp:inline>
        </w:drawing>
      </w:r>
    </w:p>
    <w:p w14:paraId="0C70EC79" w14:textId="77777777" w:rsidR="00053D93" w:rsidRDefault="00260B75">
      <w:pPr>
        <w:spacing w:after="275" w:line="269" w:lineRule="auto"/>
        <w:ind w:left="259" w:right="14" w:hanging="202"/>
        <w:jc w:val="right"/>
      </w:pPr>
      <w:r>
        <w:rPr>
          <w:sz w:val="26"/>
        </w:rPr>
        <w:t>1</w:t>
      </w:r>
      <w:r>
        <w:rPr>
          <w:sz w:val="26"/>
        </w:rPr>
        <w:tab/>
        <w:t>sistemas de cómputo. b) Monitorear la implantación de las políticas, estrategias y normas de la prestación de servicios del Departamento de Desarrollo e Integración 1</w:t>
      </w:r>
      <w:r>
        <w:rPr>
          <w:sz w:val="26"/>
        </w:rPr>
        <w:tab/>
        <w:t>de Soluciones y el Departamento de Procesamiento de Datos..." Artículo 8. Atribuciones Específicas de la Subdirección, establece: '*Las atribuciones específicas de la Subdirección son las siguientes: .</w:t>
      </w:r>
      <w:r>
        <w:rPr>
          <w:sz w:val="26"/>
        </w:rPr>
        <w:tab/>
        <w:t>e) Desarrollar y mantener 1</w:t>
      </w:r>
      <w:r>
        <w:rPr>
          <w:sz w:val="26"/>
        </w:rPr>
        <w:tab/>
        <w:t>vigente un código sobre los temas de tecnologías de la información y comunicaciones que incluya los temas de propiedad intelectual, privacidad individual y acceso a la información." Artículo 9. Atribuciones del Departamento de 1</w:t>
      </w:r>
      <w:r>
        <w:rPr>
          <w:sz w:val="26"/>
        </w:rPr>
        <w:tab/>
        <w:t>Desarrollo e Integración de Soluciones, establece: "Las atribuciones específicas del Departamento de Desarrollo e Integración de Soluciones, son las siguientes: a) 1</w:t>
      </w:r>
      <w:r>
        <w:rPr>
          <w:sz w:val="26"/>
        </w:rPr>
        <w:tab/>
        <w:t>Elaborar y mantener actualizadas las políticas y estándares de desarrollo de programas computacionales, plataforma tecnológica, metodologías de desarrollo, operación de sistemas, registros documentales técnicos y administrativos que 1</w:t>
      </w:r>
      <w:r>
        <w:rPr>
          <w:sz w:val="26"/>
        </w:rPr>
        <w:tab/>
        <w:t>aseguren la integración de tecnología e información. b) Elaborar y mantener actualizadas las políticas y estrategias de seguridad para accesos a la base de datos, procedimientos de copias de seguridad y resguardo de las mismas...</w:t>
      </w:r>
      <w:r>
        <w:rPr>
          <w:noProof/>
        </w:rPr>
        <w:drawing>
          <wp:inline distT="0" distB="0" distL="0" distR="0" wp14:anchorId="03E7BBFE" wp14:editId="6C23A4F6">
            <wp:extent cx="36576" cy="41148"/>
            <wp:effectExtent l="0" t="0" r="0" b="0"/>
            <wp:docPr id="2458791" name="Picture 2458791"/>
            <wp:cNvGraphicFramePr/>
            <a:graphic xmlns:a="http://schemas.openxmlformats.org/drawingml/2006/main">
              <a:graphicData uri="http://schemas.openxmlformats.org/drawingml/2006/picture">
                <pic:pic xmlns:pic="http://schemas.openxmlformats.org/drawingml/2006/picture">
                  <pic:nvPicPr>
                    <pic:cNvPr id="2458791" name="Picture 2458791"/>
                    <pic:cNvPicPr/>
                  </pic:nvPicPr>
                  <pic:blipFill>
                    <a:blip r:embed="rId1436"/>
                    <a:stretch>
                      <a:fillRect/>
                    </a:stretch>
                  </pic:blipFill>
                  <pic:spPr>
                    <a:xfrm>
                      <a:off x="0" y="0"/>
                      <a:ext cx="36576" cy="41148"/>
                    </a:xfrm>
                    <a:prstGeom prst="rect">
                      <a:avLst/>
                    </a:prstGeom>
                  </pic:spPr>
                </pic:pic>
              </a:graphicData>
            </a:graphic>
          </wp:inline>
        </w:drawing>
      </w:r>
    </w:p>
    <w:p w14:paraId="632CA151" w14:textId="77777777" w:rsidR="00053D93" w:rsidRDefault="00260B75">
      <w:pPr>
        <w:spacing w:after="3" w:line="269" w:lineRule="auto"/>
        <w:ind w:left="67" w:right="14" w:hanging="10"/>
        <w:jc w:val="right"/>
      </w:pPr>
      <w:r>
        <w:rPr>
          <w:sz w:val="26"/>
        </w:rPr>
        <w:t>1</w:t>
      </w:r>
      <w:r>
        <w:rPr>
          <w:sz w:val="26"/>
        </w:rPr>
        <w:tab/>
        <w:t>Artículo 10. Atribuciones del Departamento de Comunicaciones y Soporte Técnico, establece: "Las atribuciones específicas del Departamento de Comunicaciones y 1</w:t>
      </w:r>
      <w:r>
        <w:rPr>
          <w:sz w:val="26"/>
        </w:rPr>
        <w:tab/>
        <w:t>Soporte Técnico son las siguientes: a) Elaborar e implementar las políticas, estrategias y normas que permitan garantizar la prestación y acceso a los servicios de red, para los usuarios administrativos del Ministerio de Educación, a 1</w:t>
      </w:r>
      <w:r>
        <w:rPr>
          <w:sz w:val="26"/>
        </w:rPr>
        <w:tab/>
        <w:t>través de la infraestructura física de telecomunicaciones. b) Prestar servicio de apoyo informático para instalación, mantenimiento, revisión de equipo de cómputo, 1</w:t>
      </w:r>
      <w:r>
        <w:rPr>
          <w:sz w:val="26"/>
        </w:rPr>
        <w:tab/>
        <w:t>a nivel de componentes físicos y programas computacionales a los usuarios del Ministerio de Educación, de forma directa en la Planta Central y de forma desconcentrada en las Direcciones Departamentales de Educación a través de la 1</w:t>
      </w:r>
      <w:r>
        <w:rPr>
          <w:sz w:val="26"/>
        </w:rPr>
        <w:tab/>
        <w:t>Unidad de Informática... d) Elaborar y actualizar con base a [a tecnología</w:t>
      </w:r>
    </w:p>
    <w:p w14:paraId="42358594" w14:textId="77777777" w:rsidR="00053D93" w:rsidRDefault="00260B75">
      <w:pPr>
        <w:spacing w:after="0"/>
        <w:ind w:left="706"/>
      </w:pPr>
      <w:r>
        <w:rPr>
          <w:noProof/>
        </w:rPr>
        <w:drawing>
          <wp:inline distT="0" distB="0" distL="0" distR="0" wp14:anchorId="2E7C5938" wp14:editId="737789E4">
            <wp:extent cx="5984749" cy="411480"/>
            <wp:effectExtent l="0" t="0" r="0" b="0"/>
            <wp:docPr id="2458793" name="Picture 2458793"/>
            <wp:cNvGraphicFramePr/>
            <a:graphic xmlns:a="http://schemas.openxmlformats.org/drawingml/2006/main">
              <a:graphicData uri="http://schemas.openxmlformats.org/drawingml/2006/picture">
                <pic:pic xmlns:pic="http://schemas.openxmlformats.org/drawingml/2006/picture">
                  <pic:nvPicPr>
                    <pic:cNvPr id="2458793" name="Picture 2458793"/>
                    <pic:cNvPicPr/>
                  </pic:nvPicPr>
                  <pic:blipFill>
                    <a:blip r:embed="rId1437"/>
                    <a:stretch>
                      <a:fillRect/>
                    </a:stretch>
                  </pic:blipFill>
                  <pic:spPr>
                    <a:xfrm>
                      <a:off x="0" y="0"/>
                      <a:ext cx="5984749" cy="411480"/>
                    </a:xfrm>
                    <a:prstGeom prst="rect">
                      <a:avLst/>
                    </a:prstGeom>
                  </pic:spPr>
                </pic:pic>
              </a:graphicData>
            </a:graphic>
          </wp:inline>
        </w:drawing>
      </w:r>
    </w:p>
    <w:p w14:paraId="1A5260D9" w14:textId="77777777" w:rsidR="00053D93" w:rsidRDefault="00260B75">
      <w:pPr>
        <w:spacing w:after="100" w:line="265" w:lineRule="auto"/>
        <w:ind w:left="3142" w:hanging="10"/>
      </w:pPr>
      <w:r>
        <w:rPr>
          <w:sz w:val="14"/>
        </w:rPr>
        <w:t xml:space="preserve">OE </w:t>
      </w:r>
    </w:p>
    <w:p w14:paraId="655A35C1" w14:textId="77777777" w:rsidR="00053D93" w:rsidRDefault="00260B75">
      <w:pPr>
        <w:spacing w:after="34"/>
        <w:ind w:left="1512" w:right="-14"/>
      </w:pPr>
      <w:r>
        <w:rPr>
          <w:noProof/>
        </w:rPr>
        <mc:AlternateContent>
          <mc:Choice Requires="wpg">
            <w:drawing>
              <wp:inline distT="0" distB="0" distL="0" distR="0" wp14:anchorId="4BF1D3C8" wp14:editId="1756857D">
                <wp:extent cx="5550408" cy="13716"/>
                <wp:effectExtent l="0" t="0" r="0" b="0"/>
                <wp:docPr id="2458801" name="Group 2458801"/>
                <wp:cNvGraphicFramePr/>
                <a:graphic xmlns:a="http://schemas.openxmlformats.org/drawingml/2006/main">
                  <a:graphicData uri="http://schemas.microsoft.com/office/word/2010/wordprocessingGroup">
                    <wpg:wgp>
                      <wpg:cNvGrpSpPr/>
                      <wpg:grpSpPr>
                        <a:xfrm>
                          <a:off x="0" y="0"/>
                          <a:ext cx="5550408" cy="13716"/>
                          <a:chOff x="0" y="0"/>
                          <a:chExt cx="5550408" cy="13716"/>
                        </a:xfrm>
                      </wpg:grpSpPr>
                      <wps:wsp>
                        <wps:cNvPr id="2458800" name="Shape 2458800"/>
                        <wps:cNvSpPr/>
                        <wps:spPr>
                          <a:xfrm>
                            <a:off x="0" y="0"/>
                            <a:ext cx="5550408" cy="13716"/>
                          </a:xfrm>
                          <a:custGeom>
                            <a:avLst/>
                            <a:gdLst/>
                            <a:ahLst/>
                            <a:cxnLst/>
                            <a:rect l="0" t="0" r="0" b="0"/>
                            <a:pathLst>
                              <a:path w="5550408" h="13716">
                                <a:moveTo>
                                  <a:pt x="0" y="6858"/>
                                </a:moveTo>
                                <a:lnTo>
                                  <a:pt x="555040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01" style="width:437.04pt;height:1.08pt;mso-position-horizontal-relative:char;mso-position-vertical-relative:line" coordsize="55504,137">
                <v:shape id="Shape 2458800" style="position:absolute;width:55504;height:137;left:0;top:0;" coordsize="5550408,13716" path="m0,6858l5550408,6858">
                  <v:stroke weight="1.08pt" endcap="flat" joinstyle="miter" miterlimit="1" on="true" color="#000000"/>
                  <v:fill on="false" color="#000000"/>
                </v:shape>
              </v:group>
            </w:pict>
          </mc:Fallback>
        </mc:AlternateContent>
      </w:r>
    </w:p>
    <w:p w14:paraId="50CD0D8C" w14:textId="77777777" w:rsidR="00053D93" w:rsidRDefault="00260B75">
      <w:pPr>
        <w:spacing w:after="481" w:line="250" w:lineRule="auto"/>
        <w:ind w:left="1677" w:right="86" w:hanging="1649"/>
        <w:jc w:val="both"/>
      </w:pPr>
      <w:r>
        <w:rPr>
          <w:noProof/>
        </w:rPr>
        <mc:AlternateContent>
          <mc:Choice Requires="wpg">
            <w:drawing>
              <wp:anchor distT="0" distB="0" distL="114300" distR="114300" simplePos="0" relativeHeight="252190720" behindDoc="0" locked="0" layoutInCell="1" allowOverlap="1" wp14:anchorId="6D4BBA1D" wp14:editId="0D2FE319">
                <wp:simplePos x="0" y="0"/>
                <wp:positionH relativeFrom="column">
                  <wp:posOffset>36576</wp:posOffset>
                </wp:positionH>
                <wp:positionV relativeFrom="paragraph">
                  <wp:posOffset>417256</wp:posOffset>
                </wp:positionV>
                <wp:extent cx="114300" cy="288036"/>
                <wp:effectExtent l="0" t="0" r="0" b="0"/>
                <wp:wrapSquare wrapText="bothSides"/>
                <wp:docPr id="2457074" name="Group 2457074"/>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057253" name="Rectangle 1057253"/>
                        <wps:cNvSpPr/>
                        <wps:spPr>
                          <a:xfrm>
                            <a:off x="0" y="0"/>
                            <a:ext cx="152019" cy="383088"/>
                          </a:xfrm>
                          <a:prstGeom prst="rect">
                            <a:avLst/>
                          </a:prstGeom>
                          <a:ln>
                            <a:noFill/>
                          </a:ln>
                        </wps:spPr>
                        <wps:txbx>
                          <w:txbxContent>
                            <w:p w14:paraId="3A133467"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6D4BBA1D" id="Group 2457074" o:spid="_x0000_s1562" style="position:absolute;left:0;text-align:left;margin-left:2.9pt;margin-top:32.85pt;width:9pt;height:22.7pt;z-index:252190720;mso-position-horizontal-relative:text;mso-position-vertical-relative:text"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">
                <v:rect id="Rectangle 1057253" o:spid="_x0000_s1563"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" filled="f" stroked="f">
                  <v:textbox inset="0,0,0,0">
                    <w:txbxContent>
                      <w:p w14:paraId="3A133467" w14:textId="77777777" w:rsidR="00053D93" w:rsidRDefault="00260B75">
                        <w:r>
                          <w:rPr>
                            <w:sz w:val="70"/>
                          </w:rPr>
                          <w:t>1</w:t>
                        </w:r>
                      </w:p>
                    </w:txbxContent>
                  </v:textbox>
                </v:rect>
                <w10:wrap type="square"/>
              </v:group>
            </w:pict>
          </mc:Fallback>
        </mc:AlternateContent>
      </w:r>
      <w:r>
        <w:rPr>
          <w:sz w:val="26"/>
        </w:rPr>
        <w:t>1 disponible en el país las especificaciones técnicas de hardware y software para documentar la solicitud de compra de equipo de cómputo y programas computacionales existentes en el mercado, que sean compatibles con los utilizados en el MINEDUC..."</w:t>
      </w:r>
    </w:p>
    <w:p w14:paraId="658D84EE" w14:textId="77777777" w:rsidR="00053D93" w:rsidRDefault="00260B75">
      <w:pPr>
        <w:tabs>
          <w:tab w:val="right" w:pos="10195"/>
        </w:tabs>
        <w:spacing w:after="12" w:line="250" w:lineRule="auto"/>
      </w:pPr>
      <w:r>
        <w:rPr>
          <w:sz w:val="26"/>
        </w:rPr>
        <w:t>1</w:t>
      </w:r>
      <w:r>
        <w:rPr>
          <w:sz w:val="26"/>
        </w:rPr>
        <w:tab/>
        <w:t>El Acuerdo Ministerial No. 1063-2009 de la Ministra de Educación, Reglamento</w:t>
      </w:r>
    </w:p>
    <w:p w14:paraId="01318CD6" w14:textId="77777777" w:rsidR="00053D93" w:rsidRDefault="00260B75">
      <w:pPr>
        <w:spacing w:after="12" w:line="250" w:lineRule="auto"/>
        <w:ind w:left="28" w:right="79" w:firstLine="1642"/>
        <w:jc w:val="both"/>
      </w:pPr>
      <w:r>
        <w:rPr>
          <w:sz w:val="26"/>
        </w:rPr>
        <w:t>Interno de la Dirección de Desarrollo y Fortalecimiento Institucional (DIDEFI), Artículo 1. Naturaleza, establece: "La Dirección de Desarrollo y Fortalecimiento 1 Institucional del Ministerio de Educación -DIDEFI-, es ef órgano responsable de establecer, documentar, implementar y mantener un Sistema de Gestión de la 1 Calidad en el Ministerio de Educación, así como coordinar la elaboración de los manuales de organización, organigramas, procedimientos, instructivos de trabajo y cualquier otro que se considere necesario para el adecuado funcionamiento de la 1 institucion." ...Artículo 8. Atribuciones de la Subdirección de Desarrollo y Fortalecimiento Institucional, establece: "Las funciones específicas de la Subdirección de Desarrollo y Fortalecimientos Institucional, son las siguientes:</w:t>
      </w:r>
      <w:r>
        <w:rPr>
          <w:noProof/>
        </w:rPr>
        <w:drawing>
          <wp:inline distT="0" distB="0" distL="0" distR="0" wp14:anchorId="0127F39A" wp14:editId="74B9134A">
            <wp:extent cx="105155" cy="22860"/>
            <wp:effectExtent l="0" t="0" r="0" b="0"/>
            <wp:docPr id="2458796" name="Picture 2458796"/>
            <wp:cNvGraphicFramePr/>
            <a:graphic xmlns:a="http://schemas.openxmlformats.org/drawingml/2006/main">
              <a:graphicData uri="http://schemas.openxmlformats.org/drawingml/2006/picture">
                <pic:pic xmlns:pic="http://schemas.openxmlformats.org/drawingml/2006/picture">
                  <pic:nvPicPr>
                    <pic:cNvPr id="2458796" name="Picture 2458796"/>
                    <pic:cNvPicPr/>
                  </pic:nvPicPr>
                  <pic:blipFill>
                    <a:blip r:embed="rId1438"/>
                    <a:stretch>
                      <a:fillRect/>
                    </a:stretch>
                  </pic:blipFill>
                  <pic:spPr>
                    <a:xfrm>
                      <a:off x="0" y="0"/>
                      <a:ext cx="105155" cy="22860"/>
                    </a:xfrm>
                    <a:prstGeom prst="rect">
                      <a:avLst/>
                    </a:prstGeom>
                  </pic:spPr>
                </pic:pic>
              </a:graphicData>
            </a:graphic>
          </wp:inline>
        </w:drawing>
      </w:r>
    </w:p>
    <w:p w14:paraId="64F49035" w14:textId="77777777" w:rsidR="00053D93" w:rsidRDefault="00260B75">
      <w:pPr>
        <w:spacing w:after="1"/>
        <w:ind w:left="65"/>
      </w:pPr>
      <w:r>
        <w:rPr>
          <w:noProof/>
        </w:rPr>
        <w:drawing>
          <wp:inline distT="0" distB="0" distL="0" distR="0" wp14:anchorId="7B25EE7F" wp14:editId="793B8A2D">
            <wp:extent cx="13716" cy="4572"/>
            <wp:effectExtent l="0" t="0" r="0" b="0"/>
            <wp:docPr id="1060121" name="Picture 1060121"/>
            <wp:cNvGraphicFramePr/>
            <a:graphic xmlns:a="http://schemas.openxmlformats.org/drawingml/2006/main">
              <a:graphicData uri="http://schemas.openxmlformats.org/drawingml/2006/picture">
                <pic:pic xmlns:pic="http://schemas.openxmlformats.org/drawingml/2006/picture">
                  <pic:nvPicPr>
                    <pic:cNvPr id="1060121" name="Picture 1060121"/>
                    <pic:cNvPicPr/>
                  </pic:nvPicPr>
                  <pic:blipFill>
                    <a:blip r:embed="rId1439"/>
                    <a:stretch>
                      <a:fillRect/>
                    </a:stretch>
                  </pic:blipFill>
                  <pic:spPr>
                    <a:xfrm>
                      <a:off x="0" y="0"/>
                      <a:ext cx="13716" cy="4572"/>
                    </a:xfrm>
                    <a:prstGeom prst="rect">
                      <a:avLst/>
                    </a:prstGeom>
                  </pic:spPr>
                </pic:pic>
              </a:graphicData>
            </a:graphic>
          </wp:inline>
        </w:drawing>
      </w:r>
    </w:p>
    <w:p w14:paraId="154D3060" w14:textId="77777777" w:rsidR="00053D93" w:rsidRDefault="00260B75">
      <w:pPr>
        <w:spacing w:after="12" w:line="250" w:lineRule="auto"/>
        <w:ind w:left="1699" w:right="79" w:hanging="1598"/>
        <w:jc w:val="both"/>
      </w:pPr>
      <w:r>
        <w:rPr>
          <w:noProof/>
        </w:rPr>
        <mc:AlternateContent>
          <mc:Choice Requires="wpg">
            <w:drawing>
              <wp:anchor distT="0" distB="0" distL="114300" distR="114300" simplePos="0" relativeHeight="252191744" behindDoc="0" locked="0" layoutInCell="1" allowOverlap="1" wp14:anchorId="7C30CCEA" wp14:editId="773234DA">
                <wp:simplePos x="0" y="0"/>
                <wp:positionH relativeFrom="column">
                  <wp:posOffset>68580</wp:posOffset>
                </wp:positionH>
                <wp:positionV relativeFrom="paragraph">
                  <wp:posOffset>401559</wp:posOffset>
                </wp:positionV>
                <wp:extent cx="114300" cy="288036"/>
                <wp:effectExtent l="0" t="0" r="0" b="0"/>
                <wp:wrapSquare wrapText="bothSides"/>
                <wp:docPr id="2457075" name="Group 2457075"/>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057259" name="Rectangle 1057259"/>
                        <wps:cNvSpPr/>
                        <wps:spPr>
                          <a:xfrm>
                            <a:off x="0" y="0"/>
                            <a:ext cx="152019" cy="383088"/>
                          </a:xfrm>
                          <a:prstGeom prst="rect">
                            <a:avLst/>
                          </a:prstGeom>
                          <a:ln>
                            <a:noFill/>
                          </a:ln>
                        </wps:spPr>
                        <wps:txbx>
                          <w:txbxContent>
                            <w:p w14:paraId="395A9245"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7C30CCEA" id="Group 2457075" o:spid="_x0000_s1564" style="position:absolute;left:0;text-align:left;margin-left:5.4pt;margin-top:31.6pt;width:9pt;height:22.7pt;z-index:252191744;mso-position-horizontal-relative:text;mso-position-vertical-relative:text"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">
                <v:rect id="Rectangle 1057259" o:spid="_x0000_s1565"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" filled="f" stroked="f">
                  <v:textbox inset="0,0,0,0">
                    <w:txbxContent>
                      <w:p w14:paraId="395A9245" w14:textId="77777777" w:rsidR="00053D93" w:rsidRDefault="00260B75">
                        <w:r>
                          <w:rPr>
                            <w:sz w:val="66"/>
                          </w:rPr>
                          <w:t>1</w:t>
                        </w:r>
                      </w:p>
                    </w:txbxContent>
                  </v:textbox>
                </v:rect>
                <w10:wrap type="square"/>
              </v:group>
            </w:pict>
          </mc:Fallback>
        </mc:AlternateContent>
      </w:r>
      <w:r>
        <w:rPr>
          <w:sz w:val="26"/>
        </w:rPr>
        <w:t xml:space="preserve">1 Literal e) Evaluar y aprobar planes de trabajo para la elaboración de manuales de funciones, estructura organizacional de las Dependencias del MINEDUC.. </w:t>
      </w:r>
      <w:r>
        <w:rPr>
          <w:noProof/>
        </w:rPr>
        <w:drawing>
          <wp:inline distT="0" distB="0" distL="0" distR="0" wp14:anchorId="5C22752C" wp14:editId="30F5FB11">
            <wp:extent cx="86868" cy="114300"/>
            <wp:effectExtent l="0" t="0" r="0" b="0"/>
            <wp:docPr id="2458798" name="Picture 2458798"/>
            <wp:cNvGraphicFramePr/>
            <a:graphic xmlns:a="http://schemas.openxmlformats.org/drawingml/2006/main">
              <a:graphicData uri="http://schemas.openxmlformats.org/drawingml/2006/picture">
                <pic:pic xmlns:pic="http://schemas.openxmlformats.org/drawingml/2006/picture">
                  <pic:nvPicPr>
                    <pic:cNvPr id="2458798" name="Picture 2458798"/>
                    <pic:cNvPicPr/>
                  </pic:nvPicPr>
                  <pic:blipFill>
                    <a:blip r:embed="rId1440"/>
                    <a:stretch>
                      <a:fillRect/>
                    </a:stretch>
                  </pic:blipFill>
                  <pic:spPr>
                    <a:xfrm>
                      <a:off x="0" y="0"/>
                      <a:ext cx="86868" cy="114300"/>
                    </a:xfrm>
                    <a:prstGeom prst="rect">
                      <a:avLst/>
                    </a:prstGeom>
                  </pic:spPr>
                </pic:pic>
              </a:graphicData>
            </a:graphic>
          </wp:inline>
        </w:drawing>
      </w:r>
      <w:r>
        <w:rPr>
          <w:sz w:val="26"/>
        </w:rPr>
        <w:t>Artículo 9. Atribuciones específicas de los Departamentos, establece: "Las funciones específicas de los Departamentos, son los siguientes: Literal a)</w:t>
      </w:r>
    </w:p>
    <w:p w14:paraId="4D45A020" w14:textId="77777777" w:rsidR="00053D93" w:rsidRDefault="00260B75">
      <w:pPr>
        <w:spacing w:after="227" w:line="250" w:lineRule="auto"/>
        <w:ind w:left="115" w:right="14" w:firstLine="1606"/>
        <w:jc w:val="both"/>
      </w:pPr>
      <w:r>
        <w:rPr>
          <w:sz w:val="26"/>
        </w:rPr>
        <w:t>Planificar y coordinar [as rutinas de inducción al Sistema de Gestión de Calidad 1 (SGC), interpretación de la Norma ISO 9001, talleres de documentación, mejora continua.. Literal b) Asesorar a los equipos de trabajo en la realización de actividades para la identificación de procesos y su interrelación como un sistema...</w:t>
      </w:r>
    </w:p>
    <w:p w14:paraId="031CCFE2" w14:textId="77777777" w:rsidR="00053D93" w:rsidRDefault="00260B75">
      <w:pPr>
        <w:spacing w:after="177" w:line="250" w:lineRule="auto"/>
        <w:ind w:left="125" w:right="14" w:hanging="3"/>
        <w:jc w:val="both"/>
      </w:pPr>
      <w:r>
        <w:rPr>
          <w:sz w:val="26"/>
        </w:rPr>
        <w:t>1 Literal d) Coordinar y supervisar las actividades necesarias para mantener actualizados los organigramas funcionales de las dependencias del Ministerio de 1 Educación. Literal e) Coordinar y supervisar las actividades necesarias para mantener actualizados los Manuales de funciones, de acuerdo a la dinámica operativa del Ministerio de Educación... "</w:t>
      </w:r>
    </w:p>
    <w:p w14:paraId="035FC5EE" w14:textId="77777777" w:rsidR="00053D93" w:rsidRDefault="00260B75">
      <w:pPr>
        <w:spacing w:after="3"/>
        <w:ind w:left="125" w:hanging="10"/>
      </w:pPr>
      <w:r>
        <w:rPr>
          <w:sz w:val="66"/>
        </w:rPr>
        <w:t>1</w:t>
      </w:r>
    </w:p>
    <w:p w14:paraId="0C38F11E" w14:textId="77777777" w:rsidR="00053D93" w:rsidRDefault="00260B75">
      <w:pPr>
        <w:spacing w:after="268" w:line="250" w:lineRule="auto"/>
        <w:ind w:left="137" w:right="14" w:firstLine="1584"/>
        <w:jc w:val="both"/>
      </w:pPr>
      <w:r>
        <w:rPr>
          <w:sz w:val="26"/>
        </w:rPr>
        <w:t>La Resolución No. 1 113, del Ministerio de Educación, Resuelve: "l) Aprobar la publicación y utilización de los documentos que encuentran en el Sitio Web del 1 Sistema de Gestión de la Calidad del Ministerio de Educación, los cuales son los actualizados y aprobados por las autoridades correspondientes para uso oficial en el desarrollo de los procesos administrativos..."</w:t>
      </w:r>
    </w:p>
    <w:p w14:paraId="7F86B219" w14:textId="77777777" w:rsidR="00053D93" w:rsidRDefault="00260B75">
      <w:pPr>
        <w:spacing w:after="93"/>
        <w:ind w:left="24" w:right="35" w:hanging="10"/>
        <w:jc w:val="right"/>
      </w:pPr>
      <w:r>
        <w:rPr>
          <w:sz w:val="26"/>
        </w:rPr>
        <w:t>El Manual de Procedimientos de Soporte Técnico, Código DES-MAN-OI, Versión</w:t>
      </w:r>
    </w:p>
    <w:p w14:paraId="6D6B7274" w14:textId="77777777" w:rsidR="00053D93" w:rsidRDefault="00260B75">
      <w:pPr>
        <w:spacing w:after="12" w:line="250" w:lineRule="auto"/>
        <w:ind w:left="169" w:right="14" w:hanging="3"/>
        <w:jc w:val="both"/>
      </w:pPr>
      <w:r>
        <w:rPr>
          <w:sz w:val="26"/>
        </w:rPr>
        <w:t>1 3.0, de la Dirección de Informática, Sección Procedimientos Generales de la Dirección de Informática, Literal A. Prestación de Servicios de Telecomunicaciones y Seguridad. Antivirus, establece: "Procedimiento para verificar el correcto 1 funcionamiento: Desde la consola central de antivirus se realizará una revisión por mes en cada equipo de cómputo de la dependencia... Al finalizar, se debe 1 actualizar el inventario de equipo de cómputo con las fechas de revisión de</w:t>
      </w:r>
    </w:p>
    <w:tbl>
      <w:tblPr>
        <w:tblStyle w:val="TableGrid"/>
        <w:tblW w:w="9432" w:type="dxa"/>
        <w:tblInd w:w="763" w:type="dxa"/>
        <w:tblLook w:val="04A0" w:firstRow="1" w:lastRow="0" w:firstColumn="1" w:lastColumn="0" w:noHBand="0" w:noVBand="1"/>
      </w:tblPr>
      <w:tblGrid>
        <w:gridCol w:w="1232"/>
        <w:gridCol w:w="8200"/>
      </w:tblGrid>
      <w:tr w:rsidR="00053D93" w14:paraId="0EFDD044" w14:textId="77777777">
        <w:trPr>
          <w:trHeight w:val="655"/>
        </w:trPr>
        <w:tc>
          <w:tcPr>
            <w:tcW w:w="1728" w:type="dxa"/>
            <w:tcBorders>
              <w:top w:val="nil"/>
              <w:left w:val="nil"/>
              <w:bottom w:val="nil"/>
              <w:right w:val="nil"/>
            </w:tcBorders>
          </w:tcPr>
          <w:p w14:paraId="4E12AB60" w14:textId="77777777" w:rsidR="00053D93" w:rsidRDefault="00260B75">
            <w:r>
              <w:rPr>
                <w:noProof/>
              </w:rPr>
              <w:drawing>
                <wp:inline distT="0" distB="0" distL="0" distR="0" wp14:anchorId="67AD8C19" wp14:editId="07E47B85">
                  <wp:extent cx="1069848" cy="416053"/>
                  <wp:effectExtent l="0" t="0" r="0" b="0"/>
                  <wp:docPr id="1060183" name="Picture 1060183"/>
                  <wp:cNvGraphicFramePr/>
                  <a:graphic xmlns:a="http://schemas.openxmlformats.org/drawingml/2006/main">
                    <a:graphicData uri="http://schemas.openxmlformats.org/drawingml/2006/picture">
                      <pic:pic xmlns:pic="http://schemas.openxmlformats.org/drawingml/2006/picture">
                        <pic:nvPicPr>
                          <pic:cNvPr id="1060183" name="Picture 1060183"/>
                          <pic:cNvPicPr/>
                        </pic:nvPicPr>
                        <pic:blipFill>
                          <a:blip r:embed="rId1441"/>
                          <a:stretch>
                            <a:fillRect/>
                          </a:stretch>
                        </pic:blipFill>
                        <pic:spPr>
                          <a:xfrm>
                            <a:off x="0" y="0"/>
                            <a:ext cx="1069848" cy="416053"/>
                          </a:xfrm>
                          <a:prstGeom prst="rect">
                            <a:avLst/>
                          </a:prstGeom>
                        </pic:spPr>
                      </pic:pic>
                    </a:graphicData>
                  </a:graphic>
                </wp:inline>
              </w:drawing>
            </w:r>
          </w:p>
        </w:tc>
        <w:tc>
          <w:tcPr>
            <w:tcW w:w="7704" w:type="dxa"/>
            <w:tcBorders>
              <w:top w:val="nil"/>
              <w:left w:val="nil"/>
              <w:bottom w:val="nil"/>
              <w:right w:val="nil"/>
            </w:tcBorders>
          </w:tcPr>
          <w:p w14:paraId="3D45569F" w14:textId="77777777" w:rsidR="00053D93" w:rsidRDefault="00053D93">
            <w:pPr>
              <w:ind w:left="-2794" w:right="10498"/>
            </w:pPr>
          </w:p>
          <w:tbl>
            <w:tblPr>
              <w:tblStyle w:val="TableGrid"/>
              <w:tblW w:w="7660" w:type="dxa"/>
              <w:tblInd w:w="44" w:type="dxa"/>
              <w:tblCellMar>
                <w:top w:w="31" w:type="dxa"/>
                <w:left w:w="1778" w:type="dxa"/>
                <w:right w:w="115" w:type="dxa"/>
              </w:tblCellMar>
              <w:tblLook w:val="04A0" w:firstRow="1" w:lastRow="0" w:firstColumn="1" w:lastColumn="0" w:noHBand="0" w:noVBand="1"/>
            </w:tblPr>
            <w:tblGrid>
              <w:gridCol w:w="7660"/>
            </w:tblGrid>
            <w:tr w:rsidR="00053D93" w14:paraId="5BD489FE" w14:textId="77777777">
              <w:trPr>
                <w:trHeight w:val="36"/>
              </w:trPr>
              <w:tc>
                <w:tcPr>
                  <w:tcW w:w="7660" w:type="dxa"/>
                  <w:tcBorders>
                    <w:top w:val="nil"/>
                    <w:left w:val="single" w:sz="2" w:space="0" w:color="000000"/>
                    <w:bottom w:val="single" w:sz="2" w:space="0" w:color="000000"/>
                    <w:right w:val="nil"/>
                  </w:tcBorders>
                </w:tcPr>
                <w:p w14:paraId="2818D5F3" w14:textId="77777777" w:rsidR="00053D93" w:rsidRDefault="00053D93"/>
              </w:tc>
            </w:tr>
            <w:tr w:rsidR="00053D93" w14:paraId="4AADA29D" w14:textId="77777777">
              <w:trPr>
                <w:trHeight w:val="605"/>
              </w:trPr>
              <w:tc>
                <w:tcPr>
                  <w:tcW w:w="7660" w:type="dxa"/>
                  <w:tcBorders>
                    <w:top w:val="single" w:sz="2" w:space="0" w:color="000000"/>
                    <w:left w:val="single" w:sz="2" w:space="0" w:color="000000"/>
                    <w:bottom w:val="nil"/>
                    <w:right w:val="nil"/>
                  </w:tcBorders>
                </w:tcPr>
                <w:p w14:paraId="03BEB064" w14:textId="77777777" w:rsidR="00053D93" w:rsidRDefault="00260B75">
                  <w:pPr>
                    <w:ind w:left="828"/>
                  </w:pPr>
                  <w:r>
                    <w:rPr>
                      <w:sz w:val="14"/>
                    </w:rPr>
                    <w:t>MINISTERIO DE EDUCACION</w:t>
                  </w:r>
                </w:p>
                <w:p w14:paraId="45819B02" w14:textId="77777777" w:rsidR="00053D93" w:rsidRDefault="00260B75">
                  <w:pPr>
                    <w:ind w:left="331"/>
                  </w:pPr>
                  <w:r>
                    <w:rPr>
                      <w:sz w:val="14"/>
                    </w:rPr>
                    <w:t>AUDITORIA FINANCIERA Y DE CUMPLIMIENTO</w:t>
                  </w:r>
                </w:p>
                <w:p w14:paraId="18247BCA" w14:textId="77777777" w:rsidR="00053D93" w:rsidRDefault="00260B75">
                  <w:r>
                    <w:rPr>
                      <w:sz w:val="16"/>
                    </w:rPr>
                    <w:t>PERIODO DEL 01 DE ENERO AL 31 DE DCEMBRE DE 2024</w:t>
                  </w:r>
                </w:p>
              </w:tc>
            </w:tr>
          </w:tbl>
          <w:p w14:paraId="02443DA7" w14:textId="77777777" w:rsidR="00053D93" w:rsidRDefault="00053D93"/>
        </w:tc>
      </w:tr>
    </w:tbl>
    <w:p w14:paraId="3A2B74B5" w14:textId="77777777" w:rsidR="00053D93" w:rsidRDefault="00053D93">
      <w:pPr>
        <w:sectPr w:rsidR="00053D93">
          <w:headerReference w:type="even" r:id="rId1442"/>
          <w:headerReference w:type="default" r:id="rId1443"/>
          <w:footerReference w:type="even" r:id="rId1444"/>
          <w:footerReference w:type="default" r:id="rId1445"/>
          <w:headerReference w:type="first" r:id="rId1446"/>
          <w:footerReference w:type="first" r:id="rId1447"/>
          <w:pgSz w:w="12290" w:h="15883"/>
          <w:pgMar w:top="432" w:right="1793" w:bottom="567" w:left="302" w:header="360" w:footer="720" w:gutter="0"/>
          <w:cols w:space="720"/>
          <w:titlePg/>
        </w:sectPr>
      </w:pPr>
    </w:p>
    <w:p w14:paraId="3029107B" w14:textId="77777777" w:rsidR="00053D93" w:rsidRDefault="00260B75">
      <w:pPr>
        <w:spacing w:after="136" w:line="339" w:lineRule="auto"/>
        <w:ind w:left="5280" w:right="1850" w:hanging="10"/>
        <w:jc w:val="center"/>
      </w:pPr>
      <w:r>
        <w:rPr>
          <w:sz w:val="14"/>
        </w:rPr>
        <w:t xml:space="preserve">OE </w:t>
      </w:r>
    </w:p>
    <w:p w14:paraId="326A1886" w14:textId="77777777" w:rsidR="00053D93" w:rsidRDefault="00260B75">
      <w:pPr>
        <w:spacing w:after="46"/>
        <w:ind w:left="1634" w:right="-86"/>
      </w:pPr>
      <w:r>
        <w:rPr>
          <w:noProof/>
        </w:rPr>
        <w:drawing>
          <wp:inline distT="0" distB="0" distL="0" distR="0" wp14:anchorId="63634806" wp14:editId="72CEFC8C">
            <wp:extent cx="5513833" cy="50292"/>
            <wp:effectExtent l="0" t="0" r="0" b="0"/>
            <wp:docPr id="2458802" name="Picture 2458802"/>
            <wp:cNvGraphicFramePr/>
            <a:graphic xmlns:a="http://schemas.openxmlformats.org/drawingml/2006/main">
              <a:graphicData uri="http://schemas.openxmlformats.org/drawingml/2006/picture">
                <pic:pic xmlns:pic="http://schemas.openxmlformats.org/drawingml/2006/picture">
                  <pic:nvPicPr>
                    <pic:cNvPr id="2458802" name="Picture 2458802"/>
                    <pic:cNvPicPr/>
                  </pic:nvPicPr>
                  <pic:blipFill>
                    <a:blip r:embed="rId1448"/>
                    <a:stretch>
                      <a:fillRect/>
                    </a:stretch>
                  </pic:blipFill>
                  <pic:spPr>
                    <a:xfrm>
                      <a:off x="0" y="0"/>
                      <a:ext cx="5513833" cy="50292"/>
                    </a:xfrm>
                    <a:prstGeom prst="rect">
                      <a:avLst/>
                    </a:prstGeom>
                  </pic:spPr>
                </pic:pic>
              </a:graphicData>
            </a:graphic>
          </wp:inline>
        </w:drawing>
      </w:r>
    </w:p>
    <w:p w14:paraId="2B3B9E5A" w14:textId="77777777" w:rsidR="00053D93" w:rsidRDefault="00260B75">
      <w:pPr>
        <w:spacing w:after="86" w:line="265" w:lineRule="auto"/>
        <w:ind w:left="9" w:right="130" w:hanging="10"/>
        <w:jc w:val="both"/>
      </w:pPr>
      <w:r>
        <w:rPr>
          <w:sz w:val="24"/>
        </w:rPr>
        <w:t>1 antivirus, el control de inventario se lleva con el documento que se encuentra en el sitio de intranet IS09000 bajo el nombre "DES-FOR-15 Inventario de Hardware y 1 Licencias de Software de la Dependencia."</w:t>
      </w:r>
    </w:p>
    <w:p w14:paraId="2936BC16" w14:textId="77777777" w:rsidR="00053D93" w:rsidRDefault="00260B75">
      <w:pPr>
        <w:spacing w:after="4" w:line="269" w:lineRule="auto"/>
        <w:ind w:left="57" w:right="130" w:firstLine="1634"/>
        <w:jc w:val="both"/>
      </w:pPr>
      <w:r>
        <w:rPr>
          <w:sz w:val="26"/>
        </w:rPr>
        <w:t>Sección Mantenimiento de Infraestructura. ...Sub Sección Administración de 1 Licenciamiento de Software, establece: "Por medio del formato "DES-FOR-15 Inventario de Hardware y Licencias de Software de la Dependencia", se lleva control de las siguientes licencias de software de Oficina, para todos Jos equipos 1 de la dependencia, indicando por cada equipo que tipo de aplicaciones tiene instaladas. .. "</w:t>
      </w:r>
    </w:p>
    <w:p w14:paraId="33DA6638" w14:textId="77777777" w:rsidR="00053D93" w:rsidRDefault="00260B75">
      <w:pPr>
        <w:spacing w:after="102"/>
        <w:ind w:left="14"/>
      </w:pPr>
      <w:r>
        <w:rPr>
          <w:noProof/>
        </w:rPr>
        <w:drawing>
          <wp:inline distT="0" distB="0" distL="0" distR="0" wp14:anchorId="09BB760E" wp14:editId="77ACBFD7">
            <wp:extent cx="4572" cy="4572"/>
            <wp:effectExtent l="0" t="0" r="0" b="0"/>
            <wp:docPr id="1063189" name="Picture 1063189"/>
            <wp:cNvGraphicFramePr/>
            <a:graphic xmlns:a="http://schemas.openxmlformats.org/drawingml/2006/main">
              <a:graphicData uri="http://schemas.openxmlformats.org/drawingml/2006/picture">
                <pic:pic xmlns:pic="http://schemas.openxmlformats.org/drawingml/2006/picture">
                  <pic:nvPicPr>
                    <pic:cNvPr id="1063189" name="Picture 1063189"/>
                    <pic:cNvPicPr/>
                  </pic:nvPicPr>
                  <pic:blipFill>
                    <a:blip r:embed="rId1449"/>
                    <a:stretch>
                      <a:fillRect/>
                    </a:stretch>
                  </pic:blipFill>
                  <pic:spPr>
                    <a:xfrm>
                      <a:off x="0" y="0"/>
                      <a:ext cx="4572" cy="4572"/>
                    </a:xfrm>
                    <a:prstGeom prst="rect">
                      <a:avLst/>
                    </a:prstGeom>
                  </pic:spPr>
                </pic:pic>
              </a:graphicData>
            </a:graphic>
          </wp:inline>
        </w:drawing>
      </w:r>
    </w:p>
    <w:p w14:paraId="5C903E18" w14:textId="77777777" w:rsidR="00053D93" w:rsidRDefault="00260B75">
      <w:pPr>
        <w:tabs>
          <w:tab w:val="right" w:pos="10188"/>
        </w:tabs>
        <w:spacing w:after="4" w:line="269" w:lineRule="auto"/>
      </w:pPr>
      <w:r>
        <w:rPr>
          <w:sz w:val="26"/>
        </w:rPr>
        <w:t>1</w:t>
      </w:r>
      <w:r>
        <w:rPr>
          <w:sz w:val="26"/>
        </w:rPr>
        <w:tab/>
        <w:t>El Instructivo Transferencias Corrientes a Organizaciones de Padres de Familia</w:t>
      </w:r>
    </w:p>
    <w:p w14:paraId="24AB1110" w14:textId="77777777" w:rsidR="00053D93" w:rsidRDefault="00260B75">
      <w:pPr>
        <w:spacing w:after="291" w:line="218" w:lineRule="auto"/>
        <w:ind w:left="57" w:right="122" w:firstLine="1642"/>
        <w:jc w:val="both"/>
      </w:pPr>
      <w:r>
        <w:rPr>
          <w:sz w:val="26"/>
        </w:rPr>
        <w:t xml:space="preserve">-OPF-, Del proceso: Programas de Apoyo, Código PRA-lNS-03, Versión 13, Literal </w:t>
      </w:r>
      <w:r>
        <w:rPr>
          <w:noProof/>
        </w:rPr>
        <w:drawing>
          <wp:inline distT="0" distB="0" distL="0" distR="0" wp14:anchorId="39488342" wp14:editId="2DE04109">
            <wp:extent cx="4572" cy="9144"/>
            <wp:effectExtent l="0" t="0" r="0" b="0"/>
            <wp:docPr id="1063190" name="Picture 1063190"/>
            <wp:cNvGraphicFramePr/>
            <a:graphic xmlns:a="http://schemas.openxmlformats.org/drawingml/2006/main">
              <a:graphicData uri="http://schemas.openxmlformats.org/drawingml/2006/picture">
                <pic:pic xmlns:pic="http://schemas.openxmlformats.org/drawingml/2006/picture">
                  <pic:nvPicPr>
                    <pic:cNvPr id="1063190" name="Picture 1063190"/>
                    <pic:cNvPicPr/>
                  </pic:nvPicPr>
                  <pic:blipFill>
                    <a:blip r:embed="rId1450"/>
                    <a:stretch>
                      <a:fillRect/>
                    </a:stretch>
                  </pic:blipFill>
                  <pic:spPr>
                    <a:xfrm>
                      <a:off x="0" y="0"/>
                      <a:ext cx="4572" cy="9144"/>
                    </a:xfrm>
                    <a:prstGeom prst="rect">
                      <a:avLst/>
                    </a:prstGeom>
                  </pic:spPr>
                </pic:pic>
              </a:graphicData>
            </a:graphic>
          </wp:inline>
        </w:drawing>
      </w:r>
      <w:r>
        <w:rPr>
          <w:sz w:val="26"/>
        </w:rPr>
        <w:t xml:space="preserve">1 I, Ejecución de los recursos financieros transferidos, Actividad 57. Registrar las compras del Programa de Aimentación Escolar, Responsable, Junta Directiva de la OPF, Descripción de las Actividades, establece: "Registra la información de las </w:t>
      </w:r>
      <w:r>
        <w:rPr>
          <w:noProof/>
        </w:rPr>
        <mc:AlternateContent>
          <mc:Choice Requires="wpg">
            <w:drawing>
              <wp:inline distT="0" distB="0" distL="0" distR="0" wp14:anchorId="0F2BC9BE" wp14:editId="1DE73ED7">
                <wp:extent cx="114300" cy="288036"/>
                <wp:effectExtent l="0" t="0" r="0" b="0"/>
                <wp:docPr id="2457095" name="Group 2457095"/>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060780" name="Rectangle 1060780"/>
                        <wps:cNvSpPr/>
                        <wps:spPr>
                          <a:xfrm>
                            <a:off x="0" y="0"/>
                            <a:ext cx="152019" cy="383088"/>
                          </a:xfrm>
                          <a:prstGeom prst="rect">
                            <a:avLst/>
                          </a:prstGeom>
                          <a:ln>
                            <a:noFill/>
                          </a:ln>
                        </wps:spPr>
                        <wps:txbx>
                          <w:txbxContent>
                            <w:p w14:paraId="379CE836"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0F2BC9BE" id="Group 2457095" o:spid="_x0000_s1566" style="width:9pt;height:22.7pt;mso-position-horizontal-relative:char;mso-position-vertical-relative:line"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">
                <v:rect id="Rectangle 1060780" o:spid="_x0000_s1567"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" filled="f" stroked="f">
                  <v:textbox inset="0,0,0,0">
                    <w:txbxContent>
                      <w:p w14:paraId="379CE836" w14:textId="77777777" w:rsidR="00053D93" w:rsidRDefault="00260B75">
                        <w:r>
                          <w:rPr>
                            <w:sz w:val="66"/>
                          </w:rPr>
                          <w:t>1</w:t>
                        </w:r>
                      </w:p>
                    </w:txbxContent>
                  </v:textbox>
                </v:rect>
                <w10:anchorlock/>
              </v:group>
            </w:pict>
          </mc:Fallback>
        </mc:AlternateContent>
      </w:r>
      <w:r>
        <w:rPr>
          <w:sz w:val="26"/>
        </w:rPr>
        <w:t xml:space="preserve"> compras realizadas en el enlace https://pae.mineduc.gob.gt según facturas del programa de alimentación escotar. Así como el saldo bancario a' momento del</w:t>
      </w:r>
    </w:p>
    <w:p w14:paraId="51BA4D55" w14:textId="77777777" w:rsidR="00053D93" w:rsidRDefault="00260B75">
      <w:pPr>
        <w:tabs>
          <w:tab w:val="center" w:pos="2084"/>
        </w:tabs>
        <w:spacing w:after="0" w:line="265" w:lineRule="auto"/>
        <w:ind w:left="-1"/>
      </w:pPr>
      <w:r>
        <w:rPr>
          <w:sz w:val="24"/>
        </w:rPr>
        <w:t>1</w:t>
      </w:r>
      <w:r>
        <w:rPr>
          <w:sz w:val="24"/>
        </w:rPr>
        <w:tab/>
        <w:t>registro"</w:t>
      </w:r>
    </w:p>
    <w:p w14:paraId="73358A65" w14:textId="77777777" w:rsidR="00053D93" w:rsidRDefault="00260B75">
      <w:pPr>
        <w:pStyle w:val="Ttulo4"/>
        <w:spacing w:after="208"/>
        <w:ind w:left="1673"/>
      </w:pPr>
      <w:r>
        <w:rPr>
          <w:noProof/>
        </w:rPr>
        <w:drawing>
          <wp:anchor distT="0" distB="0" distL="114300" distR="114300" simplePos="0" relativeHeight="252192768" behindDoc="0" locked="0" layoutInCell="1" allowOverlap="0" wp14:anchorId="4B627627" wp14:editId="1B5B8AEA">
            <wp:simplePos x="0" y="0"/>
            <wp:positionH relativeFrom="page">
              <wp:posOffset>132588</wp:posOffset>
            </wp:positionH>
            <wp:positionV relativeFrom="page">
              <wp:posOffset>841248</wp:posOffset>
            </wp:positionV>
            <wp:extent cx="73152" cy="13716"/>
            <wp:effectExtent l="0" t="0" r="0" b="0"/>
            <wp:wrapTopAndBottom/>
            <wp:docPr id="1063188" name="Picture 1063188"/>
            <wp:cNvGraphicFramePr/>
            <a:graphic xmlns:a="http://schemas.openxmlformats.org/drawingml/2006/main">
              <a:graphicData uri="http://schemas.openxmlformats.org/drawingml/2006/picture">
                <pic:pic xmlns:pic="http://schemas.openxmlformats.org/drawingml/2006/picture">
                  <pic:nvPicPr>
                    <pic:cNvPr id="1063188" name="Picture 1063188"/>
                    <pic:cNvPicPr/>
                  </pic:nvPicPr>
                  <pic:blipFill>
                    <a:blip r:embed="rId1451"/>
                    <a:stretch>
                      <a:fillRect/>
                    </a:stretch>
                  </pic:blipFill>
                  <pic:spPr>
                    <a:xfrm>
                      <a:off x="0" y="0"/>
                      <a:ext cx="73152" cy="13716"/>
                    </a:xfrm>
                    <a:prstGeom prst="rect">
                      <a:avLst/>
                    </a:prstGeom>
                  </pic:spPr>
                </pic:pic>
              </a:graphicData>
            </a:graphic>
          </wp:anchor>
        </w:drawing>
      </w:r>
      <w:r>
        <w:t>Causa</w:t>
      </w:r>
    </w:p>
    <w:p w14:paraId="680B40B2" w14:textId="77777777" w:rsidR="00053D93" w:rsidRDefault="00260B75">
      <w:pPr>
        <w:spacing w:after="80" w:line="269" w:lineRule="auto"/>
        <w:ind w:left="60" w:right="101" w:hanging="3"/>
        <w:jc w:val="both"/>
      </w:pPr>
      <w:r>
        <w:rPr>
          <w:noProof/>
        </w:rPr>
        <mc:AlternateContent>
          <mc:Choice Requires="wpg">
            <w:drawing>
              <wp:anchor distT="0" distB="0" distL="114300" distR="114300" simplePos="0" relativeHeight="252193792" behindDoc="0" locked="0" layoutInCell="1" allowOverlap="1" wp14:anchorId="21ECF732" wp14:editId="1AD3F7E2">
                <wp:simplePos x="0" y="0"/>
                <wp:positionH relativeFrom="column">
                  <wp:posOffset>50292</wp:posOffset>
                </wp:positionH>
                <wp:positionV relativeFrom="paragraph">
                  <wp:posOffset>442938</wp:posOffset>
                </wp:positionV>
                <wp:extent cx="109728" cy="288036"/>
                <wp:effectExtent l="0" t="0" r="0" b="0"/>
                <wp:wrapSquare wrapText="bothSides"/>
                <wp:docPr id="2457096" name="Group 2457096"/>
                <wp:cNvGraphicFramePr/>
                <a:graphic xmlns:a="http://schemas.openxmlformats.org/drawingml/2006/main">
                  <a:graphicData uri="http://schemas.microsoft.com/office/word/2010/wordprocessingGroup">
                    <wpg:wgp>
                      <wpg:cNvGrpSpPr/>
                      <wpg:grpSpPr>
                        <a:xfrm>
                          <a:off x="0" y="0"/>
                          <a:ext cx="109728" cy="288036"/>
                          <a:chOff x="0" y="0"/>
                          <a:chExt cx="109728" cy="288036"/>
                        </a:xfrm>
                      </wpg:grpSpPr>
                      <wps:wsp>
                        <wps:cNvPr id="1060783" name="Rectangle 1060783"/>
                        <wps:cNvSpPr/>
                        <wps:spPr>
                          <a:xfrm>
                            <a:off x="0" y="0"/>
                            <a:ext cx="145938" cy="383088"/>
                          </a:xfrm>
                          <a:prstGeom prst="rect">
                            <a:avLst/>
                          </a:prstGeom>
                          <a:ln>
                            <a:noFill/>
                          </a:ln>
                        </wps:spPr>
                        <wps:txbx>
                          <w:txbxContent>
                            <w:p w14:paraId="282501BA"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21ECF732" id="Group 2457096" o:spid="_x0000_s1568" style="position:absolute;left:0;text-align:left;margin-left:3.95pt;margin-top:34.9pt;width:8.65pt;height:22.7pt;z-index:252193792;mso-position-horizontal-relative:text;mso-position-vertical-relative:text" coordsize="10972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">
                <v:rect id="Rectangle 1060783" o:spid="_x0000_s1569" style="position:absolute;width:145938;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" filled="f" stroked="f">
                  <v:textbox inset="0,0,0,0">
                    <w:txbxContent>
                      <w:p w14:paraId="282501BA" w14:textId="77777777" w:rsidR="00053D93" w:rsidRDefault="00260B75">
                        <w:r>
                          <w:rPr>
                            <w:sz w:val="66"/>
                          </w:rPr>
                          <w:t>1</w:t>
                        </w:r>
                      </w:p>
                    </w:txbxContent>
                  </v:textbox>
                </v:rect>
                <w10:wrap type="square"/>
              </v:group>
            </w:pict>
          </mc:Fallback>
        </mc:AlternateContent>
      </w:r>
      <w:r>
        <w:rPr>
          <w:sz w:val="26"/>
        </w:rPr>
        <w:t>1 Incumplimiento por parte del Director, Subdirector, Jefe de Desarrollo e Integración de Soluciones, Jefe de Redes y Telecomunicaciones, Jefe en funciones de Infraestructura y Servicios Críticos, para segregar y supervisar las funciones del Administrador de Servidores y Backups, Administrador de Base de Datos, Administrador de Servidores y SAN, Administrador de Antivirus y Firewall, y -1 Técnico de Compras y Planificador, respecto a la administración de la seguridad, protección, estrategias de respaldo y recuperación de la información, así como la deficiente gobernanza de las actividades propias de la Dirección de Informática.</w:t>
      </w:r>
    </w:p>
    <w:p w14:paraId="12BDDE2F" w14:textId="77777777" w:rsidR="00053D93" w:rsidRDefault="00260B75">
      <w:pPr>
        <w:spacing w:after="3"/>
        <w:ind w:left="74" w:right="3485" w:hanging="10"/>
      </w:pPr>
      <w:r>
        <w:rPr>
          <w:noProof/>
        </w:rPr>
        <w:drawing>
          <wp:inline distT="0" distB="0" distL="0" distR="0" wp14:anchorId="50D94DDA" wp14:editId="3B8C793D">
            <wp:extent cx="9144" cy="9144"/>
            <wp:effectExtent l="0" t="0" r="0" b="0"/>
            <wp:docPr id="1063191" name="Picture 1063191"/>
            <wp:cNvGraphicFramePr/>
            <a:graphic xmlns:a="http://schemas.openxmlformats.org/drawingml/2006/main">
              <a:graphicData uri="http://schemas.openxmlformats.org/drawingml/2006/picture">
                <pic:pic xmlns:pic="http://schemas.openxmlformats.org/drawingml/2006/picture">
                  <pic:nvPicPr>
                    <pic:cNvPr id="1063191" name="Picture 1063191"/>
                    <pic:cNvPicPr/>
                  </pic:nvPicPr>
                  <pic:blipFill>
                    <a:blip r:embed="rId1452"/>
                    <a:stretch>
                      <a:fillRect/>
                    </a:stretch>
                  </pic:blipFill>
                  <pic:spPr>
                    <a:xfrm>
                      <a:off x="0" y="0"/>
                      <a:ext cx="9144" cy="9144"/>
                    </a:xfrm>
                    <a:prstGeom prst="rect">
                      <a:avLst/>
                    </a:prstGeom>
                  </pic:spPr>
                </pic:pic>
              </a:graphicData>
            </a:graphic>
          </wp:inline>
        </w:drawing>
      </w:r>
      <w:r>
        <w:rPr>
          <w:sz w:val="70"/>
        </w:rPr>
        <w:t>1</w:t>
      </w:r>
    </w:p>
    <w:p w14:paraId="19016BAC" w14:textId="77777777" w:rsidR="00053D93" w:rsidRDefault="00260B75">
      <w:pPr>
        <w:spacing w:after="64" w:line="266" w:lineRule="auto"/>
        <w:ind w:left="1688" w:hanging="10"/>
      </w:pPr>
      <w:r>
        <w:rPr>
          <w:sz w:val="28"/>
        </w:rPr>
        <w:t>Efecto</w:t>
      </w:r>
    </w:p>
    <w:p w14:paraId="668C5A9B" w14:textId="77777777" w:rsidR="00053D93" w:rsidRDefault="00260B75">
      <w:pPr>
        <w:spacing w:after="29" w:line="358" w:lineRule="auto"/>
        <w:ind w:left="1634" w:right="101" w:hanging="1577"/>
        <w:jc w:val="both"/>
      </w:pPr>
      <w:r>
        <w:rPr>
          <w:sz w:val="26"/>
        </w:rPr>
        <w:t>1 Falta de respaldo adecuado de la información oportuna y la tardanza en la gestión o trámites del Ministerio de Educación, lo cual eleva el riesgo del incumplimiento de los objetivos institucionales.</w:t>
      </w:r>
    </w:p>
    <w:p w14:paraId="317CE432" w14:textId="77777777" w:rsidR="00053D93" w:rsidRDefault="00260B75">
      <w:pPr>
        <w:spacing w:after="3" w:line="265" w:lineRule="auto"/>
        <w:ind w:left="60" w:right="65" w:hanging="10"/>
      </w:pPr>
      <w:r>
        <w:rPr>
          <w:sz w:val="66"/>
        </w:rPr>
        <w:t>1</w:t>
      </w:r>
    </w:p>
    <w:p w14:paraId="1F4B1D9F" w14:textId="77777777" w:rsidR="00053D93" w:rsidRDefault="00260B75">
      <w:pPr>
        <w:spacing w:after="138" w:line="216" w:lineRule="auto"/>
        <w:ind w:left="122" w:right="94" w:firstLine="1541"/>
        <w:jc w:val="both"/>
      </w:pPr>
      <w:r>
        <w:rPr>
          <w:sz w:val="26"/>
        </w:rPr>
        <w:t>Además, genera demoras en los procesos administrativos e incrementa los costos operativos debido a la necesidad de rehacer los procesos de digitalización e 1 ingreso de datos en los sistemas informáticos afectados.</w:t>
      </w:r>
    </w:p>
    <w:p w14:paraId="1FBC0CDE" w14:textId="77777777" w:rsidR="00053D93" w:rsidRDefault="00260B75">
      <w:pPr>
        <w:spacing w:after="4" w:line="266" w:lineRule="auto"/>
        <w:ind w:left="147" w:hanging="10"/>
      </w:pPr>
      <w:r>
        <w:rPr>
          <w:noProof/>
        </w:rPr>
        <mc:AlternateContent>
          <mc:Choice Requires="wpg">
            <w:drawing>
              <wp:anchor distT="0" distB="0" distL="114300" distR="114300" simplePos="0" relativeHeight="252194816" behindDoc="0" locked="0" layoutInCell="1" allowOverlap="1" wp14:anchorId="1713F939" wp14:editId="744CADEF">
                <wp:simplePos x="0" y="0"/>
                <wp:positionH relativeFrom="column">
                  <wp:posOffset>86868</wp:posOffset>
                </wp:positionH>
                <wp:positionV relativeFrom="paragraph">
                  <wp:posOffset>9144</wp:posOffset>
                </wp:positionV>
                <wp:extent cx="109728" cy="288036"/>
                <wp:effectExtent l="0" t="0" r="0" b="0"/>
                <wp:wrapSquare wrapText="bothSides"/>
                <wp:docPr id="2457097" name="Group 2457097"/>
                <wp:cNvGraphicFramePr/>
                <a:graphic xmlns:a="http://schemas.openxmlformats.org/drawingml/2006/main">
                  <a:graphicData uri="http://schemas.microsoft.com/office/word/2010/wordprocessingGroup">
                    <wpg:wgp>
                      <wpg:cNvGrpSpPr/>
                      <wpg:grpSpPr>
                        <a:xfrm>
                          <a:off x="0" y="0"/>
                          <a:ext cx="109728" cy="288036"/>
                          <a:chOff x="0" y="0"/>
                          <a:chExt cx="109728" cy="288036"/>
                        </a:xfrm>
                      </wpg:grpSpPr>
                      <wps:wsp>
                        <wps:cNvPr id="1060789" name="Rectangle 1060789"/>
                        <wps:cNvSpPr/>
                        <wps:spPr>
                          <a:xfrm>
                            <a:off x="0" y="0"/>
                            <a:ext cx="145938" cy="383088"/>
                          </a:xfrm>
                          <a:prstGeom prst="rect">
                            <a:avLst/>
                          </a:prstGeom>
                          <a:ln>
                            <a:noFill/>
                          </a:ln>
                        </wps:spPr>
                        <wps:txbx>
                          <w:txbxContent>
                            <w:p w14:paraId="191A57FA"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1713F939" id="Group 2457097" o:spid="_x0000_s1570" style="position:absolute;left:0;text-align:left;margin-left:6.85pt;margin-top:.7pt;width:8.65pt;height:22.7pt;z-index:252194816;mso-position-horizontal-relative:text;mso-position-vertical-relative:text" coordsize="10972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">
                <v:rect id="Rectangle 1060789" o:spid="_x0000_s1571" style="position:absolute;width:145938;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" filled="f" stroked="f">
                  <v:textbox inset="0,0,0,0">
                    <w:txbxContent>
                      <w:p w14:paraId="191A57FA" w14:textId="77777777" w:rsidR="00053D93" w:rsidRDefault="00260B75">
                        <w:r>
                          <w:rPr>
                            <w:sz w:val="66"/>
                          </w:rPr>
                          <w:t>1</w:t>
                        </w:r>
                      </w:p>
                    </w:txbxContent>
                  </v:textbox>
                </v:rect>
                <w10:wrap type="square"/>
              </v:group>
            </w:pict>
          </mc:Fallback>
        </mc:AlternateContent>
      </w:r>
      <w:r>
        <w:rPr>
          <w:sz w:val="28"/>
        </w:rPr>
        <w:t>Recomendación</w:t>
      </w:r>
    </w:p>
    <w:p w14:paraId="0C466BA8" w14:textId="77777777" w:rsidR="00053D93" w:rsidRDefault="00260B75">
      <w:pPr>
        <w:spacing w:after="4" w:line="269" w:lineRule="auto"/>
        <w:ind w:left="144" w:right="86" w:firstLine="1368"/>
        <w:jc w:val="both"/>
      </w:pPr>
      <w:r>
        <w:rPr>
          <w:sz w:val="26"/>
        </w:rPr>
        <w:t>La Ministra de Educación debe girar instrucciones a la Dirección de Desarrollo y Fortalecimiento Institucional (Didefi), para evaluar el Sistema de Gestión de 1 Calidad en el Departamento de Informática y coordinar con el Director junto con el</w:t>
      </w:r>
    </w:p>
    <w:tbl>
      <w:tblPr>
        <w:tblStyle w:val="TableGrid"/>
        <w:tblW w:w="9425" w:type="dxa"/>
        <w:tblInd w:w="734" w:type="dxa"/>
        <w:tblLook w:val="04A0" w:firstRow="1" w:lastRow="0" w:firstColumn="1" w:lastColumn="0" w:noHBand="0" w:noVBand="1"/>
      </w:tblPr>
      <w:tblGrid>
        <w:gridCol w:w="1291"/>
        <w:gridCol w:w="8163"/>
      </w:tblGrid>
      <w:tr w:rsidR="00053D93" w14:paraId="129DA82C" w14:textId="77777777">
        <w:trPr>
          <w:trHeight w:val="648"/>
        </w:trPr>
        <w:tc>
          <w:tcPr>
            <w:tcW w:w="1788" w:type="dxa"/>
            <w:tcBorders>
              <w:top w:val="nil"/>
              <w:left w:val="nil"/>
              <w:bottom w:val="nil"/>
              <w:right w:val="nil"/>
            </w:tcBorders>
          </w:tcPr>
          <w:p w14:paraId="049CB8B1" w14:textId="77777777" w:rsidR="00053D93" w:rsidRDefault="00260B75">
            <w:r>
              <w:rPr>
                <w:noProof/>
              </w:rPr>
              <w:drawing>
                <wp:inline distT="0" distB="0" distL="0" distR="0" wp14:anchorId="3CB9ACCD" wp14:editId="3A26FB6E">
                  <wp:extent cx="1124712" cy="406908"/>
                  <wp:effectExtent l="0" t="0" r="0" b="0"/>
                  <wp:docPr id="1063244" name="Picture 1063244"/>
                  <wp:cNvGraphicFramePr/>
                  <a:graphic xmlns:a="http://schemas.openxmlformats.org/drawingml/2006/main">
                    <a:graphicData uri="http://schemas.openxmlformats.org/drawingml/2006/picture">
                      <pic:pic xmlns:pic="http://schemas.openxmlformats.org/drawingml/2006/picture">
                        <pic:nvPicPr>
                          <pic:cNvPr id="1063244" name="Picture 1063244"/>
                          <pic:cNvPicPr/>
                        </pic:nvPicPr>
                        <pic:blipFill>
                          <a:blip r:embed="rId1453"/>
                          <a:stretch>
                            <a:fillRect/>
                          </a:stretch>
                        </pic:blipFill>
                        <pic:spPr>
                          <a:xfrm>
                            <a:off x="0" y="0"/>
                            <a:ext cx="1124712" cy="406908"/>
                          </a:xfrm>
                          <a:prstGeom prst="rect">
                            <a:avLst/>
                          </a:prstGeom>
                        </pic:spPr>
                      </pic:pic>
                    </a:graphicData>
                  </a:graphic>
                </wp:inline>
              </w:drawing>
            </w:r>
          </w:p>
        </w:tc>
        <w:tc>
          <w:tcPr>
            <w:tcW w:w="7637" w:type="dxa"/>
            <w:tcBorders>
              <w:top w:val="nil"/>
              <w:left w:val="nil"/>
              <w:bottom w:val="nil"/>
              <w:right w:val="nil"/>
            </w:tcBorders>
          </w:tcPr>
          <w:p w14:paraId="0B661BAC" w14:textId="77777777" w:rsidR="00053D93" w:rsidRDefault="00053D93">
            <w:pPr>
              <w:ind w:left="-2861" w:right="10498"/>
            </w:pPr>
          </w:p>
          <w:tbl>
            <w:tblPr>
              <w:tblStyle w:val="TableGrid"/>
              <w:tblW w:w="7620" w:type="dxa"/>
              <w:tblInd w:w="17" w:type="dxa"/>
              <w:tblCellMar>
                <w:top w:w="38" w:type="dxa"/>
                <w:left w:w="1738" w:type="dxa"/>
                <w:right w:w="115" w:type="dxa"/>
              </w:tblCellMar>
              <w:tblLook w:val="04A0" w:firstRow="1" w:lastRow="0" w:firstColumn="1" w:lastColumn="0" w:noHBand="0" w:noVBand="1"/>
            </w:tblPr>
            <w:tblGrid>
              <w:gridCol w:w="7620"/>
            </w:tblGrid>
            <w:tr w:rsidR="00053D93" w14:paraId="26E006B0" w14:textId="77777777">
              <w:trPr>
                <w:trHeight w:val="36"/>
              </w:trPr>
              <w:tc>
                <w:tcPr>
                  <w:tcW w:w="7620" w:type="dxa"/>
                  <w:tcBorders>
                    <w:top w:val="nil"/>
                    <w:left w:val="single" w:sz="2" w:space="0" w:color="000000"/>
                    <w:bottom w:val="single" w:sz="2" w:space="0" w:color="000000"/>
                    <w:right w:val="nil"/>
                  </w:tcBorders>
                </w:tcPr>
                <w:p w14:paraId="67403FE4" w14:textId="77777777" w:rsidR="00053D93" w:rsidRDefault="00053D93"/>
              </w:tc>
            </w:tr>
            <w:tr w:rsidR="00053D93" w14:paraId="7E5568EF" w14:textId="77777777">
              <w:trPr>
                <w:trHeight w:val="605"/>
              </w:trPr>
              <w:tc>
                <w:tcPr>
                  <w:tcW w:w="7620" w:type="dxa"/>
                  <w:tcBorders>
                    <w:top w:val="single" w:sz="2" w:space="0" w:color="000000"/>
                    <w:left w:val="single" w:sz="2" w:space="0" w:color="000000"/>
                    <w:bottom w:val="nil"/>
                    <w:right w:val="nil"/>
                  </w:tcBorders>
                </w:tcPr>
                <w:p w14:paraId="7B6D6740" w14:textId="77777777" w:rsidR="00053D93" w:rsidRDefault="00260B75">
                  <w:pPr>
                    <w:ind w:left="835"/>
                  </w:pPr>
                  <w:r>
                    <w:rPr>
                      <w:sz w:val="14"/>
                    </w:rPr>
                    <w:t>MINISTERIO DE EDUCACION</w:t>
                  </w:r>
                </w:p>
                <w:p w14:paraId="2F1EEFDF" w14:textId="77777777" w:rsidR="00053D93" w:rsidRDefault="00260B75">
                  <w:pPr>
                    <w:ind w:left="338"/>
                  </w:pPr>
                  <w:r>
                    <w:rPr>
                      <w:sz w:val="14"/>
                    </w:rPr>
                    <w:t>AUDITORIA FINANCIERA Y DE CUMPLIMIENTO</w:t>
                  </w:r>
                </w:p>
                <w:p w14:paraId="50E50DF6" w14:textId="77777777" w:rsidR="00053D93" w:rsidRDefault="00260B75">
                  <w:r>
                    <w:rPr>
                      <w:sz w:val="14"/>
                    </w:rPr>
                    <w:t>PERIODO DEL 01 DE ENERO AL 31 DE DICIEMBRE OE 2024</w:t>
                  </w:r>
                </w:p>
              </w:tc>
            </w:tr>
          </w:tbl>
          <w:p w14:paraId="2DA79F79" w14:textId="77777777" w:rsidR="00053D93" w:rsidRDefault="00053D93"/>
        </w:tc>
      </w:tr>
    </w:tbl>
    <w:p w14:paraId="454950D6" w14:textId="77777777" w:rsidR="00053D93" w:rsidRDefault="00260B75">
      <w:pPr>
        <w:spacing w:after="31"/>
        <w:ind w:left="281"/>
      </w:pPr>
      <w:r>
        <w:rPr>
          <w:noProof/>
        </w:rPr>
        <w:drawing>
          <wp:inline distT="0" distB="0" distL="0" distR="0" wp14:anchorId="04888554" wp14:editId="046F9D3E">
            <wp:extent cx="6263641" cy="146304"/>
            <wp:effectExtent l="0" t="0" r="0" b="0"/>
            <wp:docPr id="2458804" name="Picture 2458804"/>
            <wp:cNvGraphicFramePr/>
            <a:graphic xmlns:a="http://schemas.openxmlformats.org/drawingml/2006/main">
              <a:graphicData uri="http://schemas.openxmlformats.org/drawingml/2006/picture">
                <pic:pic xmlns:pic="http://schemas.openxmlformats.org/drawingml/2006/picture">
                  <pic:nvPicPr>
                    <pic:cNvPr id="2458804" name="Picture 2458804"/>
                    <pic:cNvPicPr/>
                  </pic:nvPicPr>
                  <pic:blipFill>
                    <a:blip r:embed="rId1454"/>
                    <a:stretch>
                      <a:fillRect/>
                    </a:stretch>
                  </pic:blipFill>
                  <pic:spPr>
                    <a:xfrm>
                      <a:off x="0" y="0"/>
                      <a:ext cx="6263641" cy="146304"/>
                    </a:xfrm>
                    <a:prstGeom prst="rect">
                      <a:avLst/>
                    </a:prstGeom>
                  </pic:spPr>
                </pic:pic>
              </a:graphicData>
            </a:graphic>
          </wp:inline>
        </w:drawing>
      </w:r>
    </w:p>
    <w:p w14:paraId="28AF0C11" w14:textId="77777777" w:rsidR="00053D93" w:rsidRDefault="00260B75">
      <w:pPr>
        <w:spacing w:after="115" w:line="269" w:lineRule="auto"/>
        <w:ind w:left="60" w:right="14" w:hanging="3"/>
        <w:jc w:val="both"/>
      </w:pPr>
      <w:r>
        <w:rPr>
          <w:sz w:val="26"/>
        </w:rPr>
        <w:t>1 Subdirector, Jefe de Desarrollo e Integración de Soluciones, Jefe de Redes y Telecomunicaciones, Jefe en funciones de Infraestructura y Servicios Críticos, 1 reevalúen los manuales de procedimientos, funciones y perfiles con el fin establecer instrumentos administrativos efectivos faciliten la gobernanza en la DINFO, para delegar y delimitar responsabilidades a todos los puestos, incluyendo</w:t>
      </w:r>
    </w:p>
    <w:p w14:paraId="5E6EB859" w14:textId="77777777" w:rsidR="00053D93" w:rsidRDefault="00260B75">
      <w:pPr>
        <w:tabs>
          <w:tab w:val="right" w:pos="10188"/>
        </w:tabs>
        <w:spacing w:after="4" w:line="269" w:lineRule="auto"/>
      </w:pPr>
      <w:r>
        <w:rPr>
          <w:sz w:val="26"/>
        </w:rPr>
        <w:t>1</w:t>
      </w:r>
      <w:r>
        <w:rPr>
          <w:sz w:val="26"/>
        </w:rPr>
        <w:tab/>
        <w:t>los puestos operativos de Administrador de Servidores y Backups,</w:t>
      </w:r>
    </w:p>
    <w:p w14:paraId="58A315CF" w14:textId="77777777" w:rsidR="00053D93" w:rsidRDefault="00260B75">
      <w:pPr>
        <w:spacing w:after="4" w:line="269" w:lineRule="auto"/>
        <w:ind w:left="1673" w:right="14" w:hanging="3"/>
        <w:jc w:val="both"/>
      </w:pPr>
      <w:r>
        <w:rPr>
          <w:sz w:val="26"/>
        </w:rPr>
        <w:t>Administradores de Servidores y SAN, Administrador de base de datos,</w:t>
      </w:r>
    </w:p>
    <w:p w14:paraId="03887A1F" w14:textId="77777777" w:rsidR="00053D93" w:rsidRDefault="00260B75">
      <w:pPr>
        <w:spacing w:after="4" w:line="269" w:lineRule="auto"/>
        <w:ind w:left="57" w:right="14" w:firstLine="1634"/>
        <w:jc w:val="both"/>
      </w:pPr>
      <w:r>
        <w:rPr>
          <w:noProof/>
        </w:rPr>
        <mc:AlternateContent>
          <mc:Choice Requires="wpg">
            <w:drawing>
              <wp:anchor distT="0" distB="0" distL="114300" distR="114300" simplePos="0" relativeHeight="252195840" behindDoc="0" locked="0" layoutInCell="1" allowOverlap="1" wp14:anchorId="48F01011" wp14:editId="3CA52D06">
                <wp:simplePos x="0" y="0"/>
                <wp:positionH relativeFrom="column">
                  <wp:posOffset>13716</wp:posOffset>
                </wp:positionH>
                <wp:positionV relativeFrom="paragraph">
                  <wp:posOffset>592352</wp:posOffset>
                </wp:positionV>
                <wp:extent cx="123444" cy="283464"/>
                <wp:effectExtent l="0" t="0" r="0" b="0"/>
                <wp:wrapSquare wrapText="bothSides"/>
                <wp:docPr id="2457117" name="Group 2457117"/>
                <wp:cNvGraphicFramePr/>
                <a:graphic xmlns:a="http://schemas.openxmlformats.org/drawingml/2006/main">
                  <a:graphicData uri="http://schemas.microsoft.com/office/word/2010/wordprocessingGroup">
                    <wpg:wgp>
                      <wpg:cNvGrpSpPr/>
                      <wpg:grpSpPr>
                        <a:xfrm>
                          <a:off x="0" y="0"/>
                          <a:ext cx="123444" cy="283464"/>
                          <a:chOff x="0" y="0"/>
                          <a:chExt cx="123444" cy="283464"/>
                        </a:xfrm>
                      </wpg:grpSpPr>
                      <wps:wsp>
                        <wps:cNvPr id="1063790" name="Rectangle 1063790"/>
                        <wps:cNvSpPr/>
                        <wps:spPr>
                          <a:xfrm>
                            <a:off x="0" y="0"/>
                            <a:ext cx="164181" cy="377007"/>
                          </a:xfrm>
                          <a:prstGeom prst="rect">
                            <a:avLst/>
                          </a:prstGeom>
                          <a:ln>
                            <a:noFill/>
                          </a:ln>
                        </wps:spPr>
                        <wps:txbx>
                          <w:txbxContent>
                            <w:p w14:paraId="7FF54096"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48F01011" id="Group 2457117" o:spid="_x0000_s1572" style="position:absolute;left:0;text-align:left;margin-left:1.1pt;margin-top:46.65pt;width:9.7pt;height:22.3pt;z-index:252195840;mso-position-horizontal-relative:text;mso-position-vertical-relative:text" coordsize="123444,283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">
                <v:rect id="Rectangle 1063790" o:spid="_x0000_s1573" style="position:absolute;width:164181;height:377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" filled="f" stroked="f">
                  <v:textbox inset="0,0,0,0">
                    <w:txbxContent>
                      <w:p w14:paraId="7FF54096" w14:textId="77777777" w:rsidR="00053D93" w:rsidRDefault="00260B75">
                        <w:r>
                          <w:rPr>
                            <w:sz w:val="74"/>
                          </w:rPr>
                          <w:t>1</w:t>
                        </w:r>
                      </w:p>
                    </w:txbxContent>
                  </v:textbox>
                </v:rect>
                <w10:wrap type="square"/>
              </v:group>
            </w:pict>
          </mc:Fallback>
        </mc:AlternateContent>
      </w:r>
      <w:r>
        <w:rPr>
          <w:sz w:val="26"/>
        </w:rPr>
        <w:t>Administrador de Antivirus y Firewall y Técnico de Compras y Planificador, 1 permitiendo la administración de la seguridad, protección, estrategias de respaldo y recuperación de la información, reduciendo así los riesgos de perdida de informáticos futuros, con el objeto de facilitar la recuperación de la información del</w:t>
      </w:r>
    </w:p>
    <w:p w14:paraId="25C1BB86" w14:textId="77777777" w:rsidR="00053D93" w:rsidRDefault="00260B75">
      <w:pPr>
        <w:spacing w:after="532" w:line="269" w:lineRule="auto"/>
        <w:ind w:left="60" w:right="14" w:hanging="3"/>
        <w:jc w:val="both"/>
      </w:pPr>
      <w:r>
        <w:rPr>
          <w:sz w:val="26"/>
        </w:rPr>
        <w:t>Ministerio de Educación.</w:t>
      </w:r>
    </w:p>
    <w:p w14:paraId="1443C95E" w14:textId="77777777" w:rsidR="00053D93" w:rsidRDefault="00260B75">
      <w:pPr>
        <w:tabs>
          <w:tab w:val="center" w:pos="3424"/>
        </w:tabs>
        <w:spacing w:after="4" w:line="266" w:lineRule="auto"/>
      </w:pPr>
      <w:r>
        <w:rPr>
          <w:noProof/>
        </w:rPr>
        <w:drawing>
          <wp:inline distT="0" distB="0" distL="0" distR="0" wp14:anchorId="27BD18A5" wp14:editId="1C674723">
            <wp:extent cx="9144" cy="9144"/>
            <wp:effectExtent l="0" t="0" r="0" b="0"/>
            <wp:docPr id="1066370" name="Picture 1066370"/>
            <wp:cNvGraphicFramePr/>
            <a:graphic xmlns:a="http://schemas.openxmlformats.org/drawingml/2006/main">
              <a:graphicData uri="http://schemas.openxmlformats.org/drawingml/2006/picture">
                <pic:pic xmlns:pic="http://schemas.openxmlformats.org/drawingml/2006/picture">
                  <pic:nvPicPr>
                    <pic:cNvPr id="1066370" name="Picture 1066370"/>
                    <pic:cNvPicPr/>
                  </pic:nvPicPr>
                  <pic:blipFill>
                    <a:blip r:embed="rId93"/>
                    <a:stretch>
                      <a:fillRect/>
                    </a:stretch>
                  </pic:blipFill>
                  <pic:spPr>
                    <a:xfrm>
                      <a:off x="0" y="0"/>
                      <a:ext cx="9144" cy="9144"/>
                    </a:xfrm>
                    <a:prstGeom prst="rect">
                      <a:avLst/>
                    </a:prstGeom>
                  </pic:spPr>
                </pic:pic>
              </a:graphicData>
            </a:graphic>
          </wp:inline>
        </w:drawing>
      </w:r>
      <w:r>
        <w:rPr>
          <w:sz w:val="28"/>
        </w:rPr>
        <w:t>1</w:t>
      </w:r>
      <w:r>
        <w:rPr>
          <w:sz w:val="28"/>
        </w:rPr>
        <w:tab/>
        <w:t>Comentario de los responsables</w:t>
      </w:r>
    </w:p>
    <w:p w14:paraId="0790CBC8" w14:textId="77777777" w:rsidR="00053D93" w:rsidRDefault="00260B75">
      <w:pPr>
        <w:spacing w:after="4" w:line="269" w:lineRule="auto"/>
        <w:ind w:left="1681" w:right="14" w:hanging="3"/>
        <w:jc w:val="both"/>
      </w:pPr>
      <w:r>
        <w:rPr>
          <w:sz w:val="26"/>
        </w:rPr>
        <w:t>En memorial del 10 de abril de 2025, el licenciado Walter Camilo Vásquez</w:t>
      </w:r>
    </w:p>
    <w:p w14:paraId="58E666B6" w14:textId="77777777" w:rsidR="00053D93" w:rsidRDefault="00260B75">
      <w:pPr>
        <w:spacing w:after="4" w:line="269" w:lineRule="auto"/>
        <w:ind w:left="1673" w:right="14" w:hanging="3"/>
        <w:jc w:val="both"/>
      </w:pPr>
      <w:r>
        <w:rPr>
          <w:sz w:val="26"/>
        </w:rPr>
        <w:t>Calderón, Director, manifiesta: "Gestiones de adquisición de soluciones de</w:t>
      </w:r>
    </w:p>
    <w:p w14:paraId="19FF30A8" w14:textId="77777777" w:rsidR="00053D93" w:rsidRDefault="00260B75">
      <w:pPr>
        <w:spacing w:after="76"/>
        <w:ind w:left="22"/>
      </w:pPr>
      <w:r>
        <w:rPr>
          <w:noProof/>
        </w:rPr>
        <w:drawing>
          <wp:inline distT="0" distB="0" distL="0" distR="0" wp14:anchorId="4120D159" wp14:editId="230C0FB0">
            <wp:extent cx="4572" cy="9144"/>
            <wp:effectExtent l="0" t="0" r="0" b="0"/>
            <wp:docPr id="1066371" name="Picture 1066371"/>
            <wp:cNvGraphicFramePr/>
            <a:graphic xmlns:a="http://schemas.openxmlformats.org/drawingml/2006/main">
              <a:graphicData uri="http://schemas.openxmlformats.org/drawingml/2006/picture">
                <pic:pic xmlns:pic="http://schemas.openxmlformats.org/drawingml/2006/picture">
                  <pic:nvPicPr>
                    <pic:cNvPr id="1066371" name="Picture 1066371"/>
                    <pic:cNvPicPr/>
                  </pic:nvPicPr>
                  <pic:blipFill>
                    <a:blip r:embed="rId24"/>
                    <a:stretch>
                      <a:fillRect/>
                    </a:stretch>
                  </pic:blipFill>
                  <pic:spPr>
                    <a:xfrm>
                      <a:off x="0" y="0"/>
                      <a:ext cx="4572" cy="9144"/>
                    </a:xfrm>
                    <a:prstGeom prst="rect">
                      <a:avLst/>
                    </a:prstGeom>
                  </pic:spPr>
                </pic:pic>
              </a:graphicData>
            </a:graphic>
          </wp:inline>
        </w:drawing>
      </w:r>
    </w:p>
    <w:p w14:paraId="6DFA5D04" w14:textId="77777777" w:rsidR="00053D93" w:rsidRDefault="00260B75">
      <w:pPr>
        <w:spacing w:after="84" w:line="269" w:lineRule="auto"/>
        <w:ind w:left="60" w:right="14" w:hanging="3"/>
        <w:jc w:val="both"/>
      </w:pPr>
      <w:r>
        <w:rPr>
          <w:sz w:val="26"/>
        </w:rPr>
        <w:t xml:space="preserve">1 respaldo. Se informa que según acuerdo acreditado por medio del Acuerdo Ministerial DIREH-0906-2023- de fecha 27 de enero 2023 tome posesión desde el </w:t>
      </w:r>
      <w:r>
        <w:rPr>
          <w:noProof/>
        </w:rPr>
        <w:drawing>
          <wp:inline distT="0" distB="0" distL="0" distR="0" wp14:anchorId="20C289F0" wp14:editId="62327C19">
            <wp:extent cx="9144" cy="9144"/>
            <wp:effectExtent l="0" t="0" r="0" b="0"/>
            <wp:docPr id="1066372" name="Picture 1066372"/>
            <wp:cNvGraphicFramePr/>
            <a:graphic xmlns:a="http://schemas.openxmlformats.org/drawingml/2006/main">
              <a:graphicData uri="http://schemas.openxmlformats.org/drawingml/2006/picture">
                <pic:pic xmlns:pic="http://schemas.openxmlformats.org/drawingml/2006/picture">
                  <pic:nvPicPr>
                    <pic:cNvPr id="1066372" name="Picture 1066372"/>
                    <pic:cNvPicPr/>
                  </pic:nvPicPr>
                  <pic:blipFill>
                    <a:blip r:embed="rId93"/>
                    <a:stretch>
                      <a:fillRect/>
                    </a:stretch>
                  </pic:blipFill>
                  <pic:spPr>
                    <a:xfrm>
                      <a:off x="0" y="0"/>
                      <a:ext cx="9144" cy="9144"/>
                    </a:xfrm>
                    <a:prstGeom prst="rect">
                      <a:avLst/>
                    </a:prstGeom>
                  </pic:spPr>
                </pic:pic>
              </a:graphicData>
            </a:graphic>
          </wp:inline>
        </w:drawing>
      </w:r>
      <w:r>
        <w:rPr>
          <w:sz w:val="26"/>
        </w:rPr>
        <w:t>1 uno de febrero del 2023.</w:t>
      </w:r>
    </w:p>
    <w:p w14:paraId="38CF674D" w14:textId="77777777" w:rsidR="00053D93" w:rsidRDefault="00260B75">
      <w:pPr>
        <w:spacing w:after="4" w:line="269" w:lineRule="auto"/>
        <w:ind w:left="57" w:right="79" w:firstLine="1634"/>
        <w:jc w:val="both"/>
      </w:pPr>
      <w:r>
        <w:rPr>
          <w:noProof/>
        </w:rPr>
        <w:drawing>
          <wp:anchor distT="0" distB="0" distL="114300" distR="114300" simplePos="0" relativeHeight="252196864" behindDoc="0" locked="0" layoutInCell="1" allowOverlap="0" wp14:anchorId="45CFC8F6" wp14:editId="4F5D6533">
            <wp:simplePos x="0" y="0"/>
            <wp:positionH relativeFrom="page">
              <wp:posOffset>7187183</wp:posOffset>
            </wp:positionH>
            <wp:positionV relativeFrom="page">
              <wp:posOffset>809244</wp:posOffset>
            </wp:positionV>
            <wp:extent cx="22861" cy="9144"/>
            <wp:effectExtent l="0" t="0" r="0" b="0"/>
            <wp:wrapTopAndBottom/>
            <wp:docPr id="1066369" name="Picture 1066369"/>
            <wp:cNvGraphicFramePr/>
            <a:graphic xmlns:a="http://schemas.openxmlformats.org/drawingml/2006/main">
              <a:graphicData uri="http://schemas.openxmlformats.org/drawingml/2006/picture">
                <pic:pic xmlns:pic="http://schemas.openxmlformats.org/drawingml/2006/picture">
                  <pic:nvPicPr>
                    <pic:cNvPr id="1066369" name="Picture 1066369"/>
                    <pic:cNvPicPr/>
                  </pic:nvPicPr>
                  <pic:blipFill>
                    <a:blip r:embed="rId768"/>
                    <a:stretch>
                      <a:fillRect/>
                    </a:stretch>
                  </pic:blipFill>
                  <pic:spPr>
                    <a:xfrm>
                      <a:off x="0" y="0"/>
                      <a:ext cx="22861" cy="9144"/>
                    </a:xfrm>
                    <a:prstGeom prst="rect">
                      <a:avLst/>
                    </a:prstGeom>
                  </pic:spPr>
                </pic:pic>
              </a:graphicData>
            </a:graphic>
          </wp:anchor>
        </w:drawing>
      </w:r>
      <w:r>
        <w:rPr>
          <w:sz w:val="26"/>
        </w:rPr>
        <w:t>El proceso fue iniciado mediante el oficio DINFO No. 0202-2023 de fecha 28 de 1 febrero de 2023 en el cual se gestionó la compra de una solución de respaldo identificada como "Derechos de uso para respaldo y recuperación de información del Centro de Datos del Ministerio de Educación",• bajo NOG 20259840,</w:t>
      </w:r>
    </w:p>
    <w:p w14:paraId="07BAD0C3" w14:textId="77777777" w:rsidR="00053D93" w:rsidRDefault="00260B75">
      <w:pPr>
        <w:spacing w:after="83"/>
        <w:ind w:left="14"/>
      </w:pPr>
      <w:r>
        <w:rPr>
          <w:noProof/>
        </w:rPr>
        <w:drawing>
          <wp:inline distT="0" distB="0" distL="0" distR="0" wp14:anchorId="4D003B94" wp14:editId="1CFA85BE">
            <wp:extent cx="9144" cy="9144"/>
            <wp:effectExtent l="0" t="0" r="0" b="0"/>
            <wp:docPr id="1066373" name="Picture 1066373"/>
            <wp:cNvGraphicFramePr/>
            <a:graphic xmlns:a="http://schemas.openxmlformats.org/drawingml/2006/main">
              <a:graphicData uri="http://schemas.openxmlformats.org/drawingml/2006/picture">
                <pic:pic xmlns:pic="http://schemas.openxmlformats.org/drawingml/2006/picture">
                  <pic:nvPicPr>
                    <pic:cNvPr id="1066373" name="Picture 1066373"/>
                    <pic:cNvPicPr/>
                  </pic:nvPicPr>
                  <pic:blipFill>
                    <a:blip r:embed="rId93"/>
                    <a:stretch>
                      <a:fillRect/>
                    </a:stretch>
                  </pic:blipFill>
                  <pic:spPr>
                    <a:xfrm>
                      <a:off x="0" y="0"/>
                      <a:ext cx="9144" cy="9144"/>
                    </a:xfrm>
                    <a:prstGeom prst="rect">
                      <a:avLst/>
                    </a:prstGeom>
                  </pic:spPr>
                </pic:pic>
              </a:graphicData>
            </a:graphic>
          </wp:inline>
        </w:drawing>
      </w:r>
    </w:p>
    <w:p w14:paraId="24E78FE0" w14:textId="77777777" w:rsidR="00053D93" w:rsidRDefault="00260B75">
      <w:pPr>
        <w:spacing w:after="104" w:line="336" w:lineRule="auto"/>
        <w:ind w:left="1670" w:right="14" w:hanging="1613"/>
        <w:jc w:val="both"/>
      </w:pPr>
      <w:r>
        <w:rPr>
          <w:sz w:val="26"/>
        </w:rPr>
        <w:t>1</w:t>
      </w:r>
      <w:r>
        <w:rPr>
          <w:sz w:val="26"/>
        </w:rPr>
        <w:tab/>
        <w:t>adjudicada el 28 de junio de 2023., pero no fue adjudicado por incumplimientos en la presentación de la oferta requisito fundamental.</w:t>
      </w:r>
    </w:p>
    <w:p w14:paraId="62873F57" w14:textId="77777777" w:rsidR="00053D93" w:rsidRDefault="00260B75">
      <w:pPr>
        <w:spacing w:after="0"/>
        <w:ind w:left="17" w:hanging="10"/>
      </w:pPr>
      <w:r>
        <w:rPr>
          <w:sz w:val="80"/>
        </w:rPr>
        <w:t>1</w:t>
      </w:r>
    </w:p>
    <w:p w14:paraId="7995EAEE" w14:textId="77777777" w:rsidR="00053D93" w:rsidRDefault="00260B75">
      <w:pPr>
        <w:spacing w:after="4" w:line="216" w:lineRule="auto"/>
        <w:ind w:left="57" w:right="86" w:firstLine="1613"/>
        <w:jc w:val="both"/>
      </w:pPr>
      <w:r>
        <w:rPr>
          <w:noProof/>
        </w:rPr>
        <w:drawing>
          <wp:anchor distT="0" distB="0" distL="114300" distR="114300" simplePos="0" relativeHeight="252197888" behindDoc="0" locked="0" layoutInCell="1" allowOverlap="0" wp14:anchorId="51E98FDB" wp14:editId="0840A97E">
            <wp:simplePos x="0" y="0"/>
            <wp:positionH relativeFrom="column">
              <wp:posOffset>9144</wp:posOffset>
            </wp:positionH>
            <wp:positionV relativeFrom="paragraph">
              <wp:posOffset>386899</wp:posOffset>
            </wp:positionV>
            <wp:extent cx="9144" cy="4572"/>
            <wp:effectExtent l="0" t="0" r="0" b="0"/>
            <wp:wrapSquare wrapText="bothSides"/>
            <wp:docPr id="1066374" name="Picture 1066374"/>
            <wp:cNvGraphicFramePr/>
            <a:graphic xmlns:a="http://schemas.openxmlformats.org/drawingml/2006/main">
              <a:graphicData uri="http://schemas.openxmlformats.org/drawingml/2006/picture">
                <pic:pic xmlns:pic="http://schemas.openxmlformats.org/drawingml/2006/picture">
                  <pic:nvPicPr>
                    <pic:cNvPr id="1066374" name="Picture 1066374"/>
                    <pic:cNvPicPr/>
                  </pic:nvPicPr>
                  <pic:blipFill>
                    <a:blip r:embed="rId24"/>
                    <a:stretch>
                      <a:fillRect/>
                    </a:stretch>
                  </pic:blipFill>
                  <pic:spPr>
                    <a:xfrm>
                      <a:off x="0" y="0"/>
                      <a:ext cx="9144" cy="4572"/>
                    </a:xfrm>
                    <a:prstGeom prst="rect">
                      <a:avLst/>
                    </a:prstGeom>
                  </pic:spPr>
                </pic:pic>
              </a:graphicData>
            </a:graphic>
          </wp:anchor>
        </w:drawing>
      </w:r>
      <w:r>
        <w:rPr>
          <w:sz w:val="26"/>
        </w:rPr>
        <w:t>Por lo anterior, se inició un nuevo proceso, NOG 23326719, denominado "Sistema y dispositivo de respaldos para la infraestructura de computación virtual y física del 1 Centro de Datos del Ministerio de Educación", con fecha de adjudicación 2 de</w:t>
      </w:r>
    </w:p>
    <w:p w14:paraId="0762B61C" w14:textId="77777777" w:rsidR="00053D93" w:rsidRDefault="00260B75">
      <w:pPr>
        <w:spacing w:after="4" w:line="269" w:lineRule="auto"/>
        <w:ind w:left="57" w:right="79" w:firstLine="1591"/>
        <w:jc w:val="both"/>
      </w:pPr>
      <w:r>
        <w:rPr>
          <w:noProof/>
        </w:rPr>
        <w:drawing>
          <wp:anchor distT="0" distB="0" distL="114300" distR="114300" simplePos="0" relativeHeight="252198912" behindDoc="0" locked="0" layoutInCell="1" allowOverlap="0" wp14:anchorId="33B2ED96" wp14:editId="725170C6">
            <wp:simplePos x="0" y="0"/>
            <wp:positionH relativeFrom="column">
              <wp:posOffset>9144</wp:posOffset>
            </wp:positionH>
            <wp:positionV relativeFrom="paragraph">
              <wp:posOffset>315402</wp:posOffset>
            </wp:positionV>
            <wp:extent cx="13716" cy="9144"/>
            <wp:effectExtent l="0" t="0" r="0" b="0"/>
            <wp:wrapSquare wrapText="bothSides"/>
            <wp:docPr id="1066375" name="Picture 1066375"/>
            <wp:cNvGraphicFramePr/>
            <a:graphic xmlns:a="http://schemas.openxmlformats.org/drawingml/2006/main">
              <a:graphicData uri="http://schemas.openxmlformats.org/drawingml/2006/picture">
                <pic:pic xmlns:pic="http://schemas.openxmlformats.org/drawingml/2006/picture">
                  <pic:nvPicPr>
                    <pic:cNvPr id="1066375" name="Picture 1066375"/>
                    <pic:cNvPicPr/>
                  </pic:nvPicPr>
                  <pic:blipFill>
                    <a:blip r:embed="rId49"/>
                    <a:stretch>
                      <a:fillRect/>
                    </a:stretch>
                  </pic:blipFill>
                  <pic:spPr>
                    <a:xfrm>
                      <a:off x="0" y="0"/>
                      <a:ext cx="13716" cy="9144"/>
                    </a:xfrm>
                    <a:prstGeom prst="rect">
                      <a:avLst/>
                    </a:prstGeom>
                  </pic:spPr>
                </pic:pic>
              </a:graphicData>
            </a:graphic>
          </wp:anchor>
        </w:drawing>
      </w:r>
      <w:r>
        <w:rPr>
          <w:sz w:val="26"/>
        </w:rPr>
        <w:t>agosto de 2024. Dicho proceso fue iniciado mediante el oficio DINFO No. 0447-2024 del 8 de abril de 2024, pero tampoco fue adjudicado por 1 incumplimientos en requisitos fundamentales.</w:t>
      </w:r>
    </w:p>
    <w:p w14:paraId="70F0F735" w14:textId="77777777" w:rsidR="00053D93" w:rsidRDefault="00260B75">
      <w:pPr>
        <w:spacing w:after="157" w:line="269" w:lineRule="auto"/>
        <w:ind w:left="1637" w:right="14" w:hanging="3"/>
        <w:jc w:val="both"/>
      </w:pPr>
      <w:r>
        <w:rPr>
          <w:sz w:val="26"/>
        </w:rPr>
        <w:t>Cabe destacar que ambos eventos fueron gestionados de manera oportuna, pero su adjudicación escapa de las competencias de la Dirección de informática.</w:t>
      </w:r>
    </w:p>
    <w:p w14:paraId="67489E71" w14:textId="77777777" w:rsidR="00053D93" w:rsidRDefault="00260B75">
      <w:pPr>
        <w:tabs>
          <w:tab w:val="center" w:pos="3434"/>
        </w:tabs>
        <w:spacing w:after="4" w:line="269" w:lineRule="auto"/>
      </w:pPr>
      <w:r>
        <w:rPr>
          <w:noProof/>
        </w:rPr>
        <mc:AlternateContent>
          <mc:Choice Requires="wpg">
            <w:drawing>
              <wp:inline distT="0" distB="0" distL="0" distR="0" wp14:anchorId="3960619A" wp14:editId="418D2C95">
                <wp:extent cx="114300" cy="288036"/>
                <wp:effectExtent l="0" t="0" r="0" b="0"/>
                <wp:docPr id="2457118" name="Group 2457118"/>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063799" name="Rectangle 1063799"/>
                        <wps:cNvSpPr/>
                        <wps:spPr>
                          <a:xfrm>
                            <a:off x="0" y="0"/>
                            <a:ext cx="152019" cy="383088"/>
                          </a:xfrm>
                          <a:prstGeom prst="rect">
                            <a:avLst/>
                          </a:prstGeom>
                          <a:ln>
                            <a:noFill/>
                          </a:ln>
                        </wps:spPr>
                        <wps:txbx>
                          <w:txbxContent>
                            <w:p w14:paraId="04773F16"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3960619A" id="Group 2457118" o:spid="_x0000_s1574" style="width:9pt;height:22.7pt;mso-position-horizontal-relative:char;mso-position-vertical-relative:line"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">
                <v:rect id="Rectangle 1063799" o:spid="_x0000_s1575"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" filled="f" stroked="f">
                  <v:textbox inset="0,0,0,0">
                    <w:txbxContent>
                      <w:p w14:paraId="04773F16" w14:textId="77777777" w:rsidR="00053D93" w:rsidRDefault="00260B75">
                        <w:r>
                          <w:rPr>
                            <w:sz w:val="70"/>
                          </w:rPr>
                          <w:t>1</w:t>
                        </w:r>
                      </w:p>
                    </w:txbxContent>
                  </v:textbox>
                </v:rect>
                <w10:anchorlock/>
              </v:group>
            </w:pict>
          </mc:Fallback>
        </mc:AlternateContent>
      </w:r>
      <w:r>
        <w:rPr>
          <w:sz w:val="26"/>
        </w:rPr>
        <w:tab/>
        <w:t>Sobre el Manual de Procedimientos</w:t>
      </w:r>
    </w:p>
    <w:p w14:paraId="67F34E5C" w14:textId="77777777" w:rsidR="00053D93" w:rsidRDefault="00260B75">
      <w:pPr>
        <w:spacing w:after="4" w:line="216" w:lineRule="auto"/>
        <w:ind w:left="57" w:right="14" w:firstLine="1570"/>
        <w:jc w:val="both"/>
      </w:pPr>
      <w:r>
        <w:rPr>
          <w:sz w:val="26"/>
        </w:rPr>
        <w:t>El Acuerdo Ministerial No. 1003-2009 de la Ministra de Educación, Reglamento 1 Interno de la Dirección de Informática -DINFO-, Articulo 12. Naturaleza, establece:</w:t>
      </w:r>
    </w:p>
    <w:p w14:paraId="7C11FC2E" w14:textId="77777777" w:rsidR="00053D93" w:rsidRDefault="00260B75">
      <w:pPr>
        <w:spacing w:after="404"/>
        <w:ind w:left="-22"/>
      </w:pPr>
      <w:r>
        <w:rPr>
          <w:noProof/>
        </w:rPr>
        <w:drawing>
          <wp:inline distT="0" distB="0" distL="0" distR="0" wp14:anchorId="5FF42F96" wp14:editId="35D27711">
            <wp:extent cx="45720" cy="9144"/>
            <wp:effectExtent l="0" t="0" r="0" b="0"/>
            <wp:docPr id="2458806" name="Picture 2458806"/>
            <wp:cNvGraphicFramePr/>
            <a:graphic xmlns:a="http://schemas.openxmlformats.org/drawingml/2006/main">
              <a:graphicData uri="http://schemas.openxmlformats.org/drawingml/2006/picture">
                <pic:pic xmlns:pic="http://schemas.openxmlformats.org/drawingml/2006/picture">
                  <pic:nvPicPr>
                    <pic:cNvPr id="2458806" name="Picture 2458806"/>
                    <pic:cNvPicPr/>
                  </pic:nvPicPr>
                  <pic:blipFill>
                    <a:blip r:embed="rId1455"/>
                    <a:stretch>
                      <a:fillRect/>
                    </a:stretch>
                  </pic:blipFill>
                  <pic:spPr>
                    <a:xfrm>
                      <a:off x="0" y="0"/>
                      <a:ext cx="45720" cy="9144"/>
                    </a:xfrm>
                    <a:prstGeom prst="rect">
                      <a:avLst/>
                    </a:prstGeom>
                  </pic:spPr>
                </pic:pic>
              </a:graphicData>
            </a:graphic>
          </wp:inline>
        </w:drawing>
      </w:r>
    </w:p>
    <w:p w14:paraId="59046BF7" w14:textId="77777777" w:rsidR="00053D93" w:rsidRDefault="00260B75">
      <w:pPr>
        <w:spacing w:after="4" w:line="269" w:lineRule="auto"/>
        <w:ind w:left="57" w:right="14" w:firstLine="1548"/>
        <w:jc w:val="both"/>
      </w:pPr>
      <w:r>
        <w:rPr>
          <w:sz w:val="26"/>
        </w:rPr>
        <w:t>Aplicación del presente reglamento. La estructura orgánica establecida, si como 1 las funciones señaladas en este reglamento, se establecen para hacerse efectivas</w:t>
      </w:r>
    </w:p>
    <w:tbl>
      <w:tblPr>
        <w:tblStyle w:val="TableGrid"/>
        <w:tblW w:w="9410" w:type="dxa"/>
        <w:tblInd w:w="677" w:type="dxa"/>
        <w:tblLook w:val="04A0" w:firstRow="1" w:lastRow="0" w:firstColumn="1" w:lastColumn="0" w:noHBand="0" w:noVBand="1"/>
      </w:tblPr>
      <w:tblGrid>
        <w:gridCol w:w="1305"/>
        <w:gridCol w:w="8206"/>
      </w:tblGrid>
      <w:tr w:rsidR="00053D93" w14:paraId="703292E1" w14:textId="77777777">
        <w:trPr>
          <w:trHeight w:val="648"/>
        </w:trPr>
        <w:tc>
          <w:tcPr>
            <w:tcW w:w="1780" w:type="dxa"/>
            <w:tcBorders>
              <w:top w:val="nil"/>
              <w:left w:val="nil"/>
              <w:bottom w:val="nil"/>
              <w:right w:val="nil"/>
            </w:tcBorders>
          </w:tcPr>
          <w:p w14:paraId="19AEDB4B" w14:textId="77777777" w:rsidR="00053D93" w:rsidRDefault="00260B75">
            <w:r>
              <w:rPr>
                <w:noProof/>
              </w:rPr>
              <w:drawing>
                <wp:inline distT="0" distB="0" distL="0" distR="0" wp14:anchorId="662E9E64" wp14:editId="257F4CA7">
                  <wp:extent cx="1120140" cy="411480"/>
                  <wp:effectExtent l="0" t="0" r="0" b="0"/>
                  <wp:docPr id="1066418" name="Picture 1066418"/>
                  <wp:cNvGraphicFramePr/>
                  <a:graphic xmlns:a="http://schemas.openxmlformats.org/drawingml/2006/main">
                    <a:graphicData uri="http://schemas.openxmlformats.org/drawingml/2006/picture">
                      <pic:pic xmlns:pic="http://schemas.openxmlformats.org/drawingml/2006/picture">
                        <pic:nvPicPr>
                          <pic:cNvPr id="1066418" name="Picture 1066418"/>
                          <pic:cNvPicPr/>
                        </pic:nvPicPr>
                        <pic:blipFill>
                          <a:blip r:embed="rId1456"/>
                          <a:stretch>
                            <a:fillRect/>
                          </a:stretch>
                        </pic:blipFill>
                        <pic:spPr>
                          <a:xfrm>
                            <a:off x="0" y="0"/>
                            <a:ext cx="1120140" cy="411480"/>
                          </a:xfrm>
                          <a:prstGeom prst="rect">
                            <a:avLst/>
                          </a:prstGeom>
                        </pic:spPr>
                      </pic:pic>
                    </a:graphicData>
                  </a:graphic>
                </wp:inline>
              </w:drawing>
            </w:r>
          </w:p>
        </w:tc>
        <w:tc>
          <w:tcPr>
            <w:tcW w:w="7631" w:type="dxa"/>
            <w:tcBorders>
              <w:top w:val="nil"/>
              <w:left w:val="nil"/>
              <w:bottom w:val="nil"/>
              <w:right w:val="nil"/>
            </w:tcBorders>
          </w:tcPr>
          <w:p w14:paraId="641F89AF" w14:textId="77777777" w:rsidR="00053D93" w:rsidRDefault="00053D93">
            <w:pPr>
              <w:ind w:left="-2795" w:right="10426"/>
            </w:pPr>
          </w:p>
          <w:tbl>
            <w:tblPr>
              <w:tblStyle w:val="TableGrid"/>
              <w:tblW w:w="7615" w:type="dxa"/>
              <w:tblInd w:w="16" w:type="dxa"/>
              <w:tblCellMar>
                <w:top w:w="50" w:type="dxa"/>
                <w:left w:w="1747" w:type="dxa"/>
                <w:right w:w="115" w:type="dxa"/>
              </w:tblCellMar>
              <w:tblLook w:val="04A0" w:firstRow="1" w:lastRow="0" w:firstColumn="1" w:lastColumn="0" w:noHBand="0" w:noVBand="1"/>
            </w:tblPr>
            <w:tblGrid>
              <w:gridCol w:w="7615"/>
            </w:tblGrid>
            <w:tr w:rsidR="00053D93" w14:paraId="66776D95" w14:textId="77777777">
              <w:trPr>
                <w:trHeight w:val="58"/>
              </w:trPr>
              <w:tc>
                <w:tcPr>
                  <w:tcW w:w="7615" w:type="dxa"/>
                  <w:tcBorders>
                    <w:top w:val="nil"/>
                    <w:left w:val="single" w:sz="2" w:space="0" w:color="000000"/>
                    <w:bottom w:val="single" w:sz="2" w:space="0" w:color="000000"/>
                    <w:right w:val="nil"/>
                  </w:tcBorders>
                </w:tcPr>
                <w:p w14:paraId="28F1FCAE" w14:textId="77777777" w:rsidR="00053D93" w:rsidRDefault="00053D93"/>
              </w:tc>
            </w:tr>
            <w:tr w:rsidR="00053D93" w14:paraId="4391A5DB" w14:textId="77777777">
              <w:trPr>
                <w:trHeight w:val="576"/>
              </w:trPr>
              <w:tc>
                <w:tcPr>
                  <w:tcW w:w="7615" w:type="dxa"/>
                  <w:tcBorders>
                    <w:top w:val="single" w:sz="2" w:space="0" w:color="000000"/>
                    <w:left w:val="single" w:sz="2" w:space="0" w:color="000000"/>
                    <w:bottom w:val="nil"/>
                    <w:right w:val="nil"/>
                  </w:tcBorders>
                </w:tcPr>
                <w:p w14:paraId="0EB3ED2F" w14:textId="77777777" w:rsidR="00053D93" w:rsidRDefault="00260B75">
                  <w:pPr>
                    <w:ind w:left="835"/>
                  </w:pPr>
                  <w:r>
                    <w:rPr>
                      <w:sz w:val="12"/>
                    </w:rPr>
                    <w:t>MINTSTEREO DE EDUCACION</w:t>
                  </w:r>
                </w:p>
                <w:p w14:paraId="279EE7D0" w14:textId="77777777" w:rsidR="00053D93" w:rsidRDefault="00260B75">
                  <w:pPr>
                    <w:ind w:left="338"/>
                  </w:pPr>
                  <w:r>
                    <w:rPr>
                      <w:sz w:val="14"/>
                    </w:rPr>
                    <w:t>AUDITORIA FINANCIERA Y DE CUMPLIMIENTO</w:t>
                  </w:r>
                </w:p>
                <w:p w14:paraId="162FD1D5" w14:textId="77777777" w:rsidR="00053D93" w:rsidRDefault="00260B75">
                  <w:r>
                    <w:rPr>
                      <w:sz w:val="14"/>
                    </w:rPr>
                    <w:t>PERIODO DEL 01 DE ENERO AL 3' OE DICIEMBRE DE 2024</w:t>
                  </w:r>
                </w:p>
              </w:tc>
            </w:tr>
          </w:tbl>
          <w:p w14:paraId="4594955B" w14:textId="77777777" w:rsidR="00053D93" w:rsidRDefault="00053D93"/>
        </w:tc>
      </w:tr>
    </w:tbl>
    <w:p w14:paraId="5F39C53C" w14:textId="77777777" w:rsidR="00053D93" w:rsidRDefault="00260B75">
      <w:pPr>
        <w:spacing w:after="367"/>
        <w:ind w:left="5832"/>
      </w:pPr>
      <w:r>
        <w:rPr>
          <w:noProof/>
        </w:rPr>
        <w:drawing>
          <wp:inline distT="0" distB="0" distL="0" distR="0" wp14:anchorId="1FAC72D8" wp14:editId="35BE8995">
            <wp:extent cx="68580" cy="36576"/>
            <wp:effectExtent l="0" t="0" r="0" b="0"/>
            <wp:docPr id="2458809" name="Picture 2458809"/>
            <wp:cNvGraphicFramePr/>
            <a:graphic xmlns:a="http://schemas.openxmlformats.org/drawingml/2006/main">
              <a:graphicData uri="http://schemas.openxmlformats.org/drawingml/2006/picture">
                <pic:pic xmlns:pic="http://schemas.openxmlformats.org/drawingml/2006/picture">
                  <pic:nvPicPr>
                    <pic:cNvPr id="2458809" name="Picture 2458809"/>
                    <pic:cNvPicPr/>
                  </pic:nvPicPr>
                  <pic:blipFill>
                    <a:blip r:embed="rId1457"/>
                    <a:stretch>
                      <a:fillRect/>
                    </a:stretch>
                  </pic:blipFill>
                  <pic:spPr>
                    <a:xfrm>
                      <a:off x="0" y="0"/>
                      <a:ext cx="68580" cy="36576"/>
                    </a:xfrm>
                    <a:prstGeom prst="rect">
                      <a:avLst/>
                    </a:prstGeom>
                  </pic:spPr>
                </pic:pic>
              </a:graphicData>
            </a:graphic>
          </wp:inline>
        </w:drawing>
      </w:r>
    </w:p>
    <w:p w14:paraId="4650869B" w14:textId="77777777" w:rsidR="00053D93" w:rsidRDefault="00260B75">
      <w:pPr>
        <w:spacing w:after="19"/>
        <w:ind w:left="612" w:right="-806"/>
      </w:pPr>
      <w:r>
        <w:rPr>
          <w:noProof/>
        </w:rPr>
        <w:drawing>
          <wp:inline distT="0" distB="0" distL="0" distR="0" wp14:anchorId="69B0ED0C" wp14:editId="4382CFFC">
            <wp:extent cx="6574535" cy="54864"/>
            <wp:effectExtent l="0" t="0" r="0" b="0"/>
            <wp:docPr id="2458811" name="Picture 2458811"/>
            <wp:cNvGraphicFramePr/>
            <a:graphic xmlns:a="http://schemas.openxmlformats.org/drawingml/2006/main">
              <a:graphicData uri="http://schemas.openxmlformats.org/drawingml/2006/picture">
                <pic:pic xmlns:pic="http://schemas.openxmlformats.org/drawingml/2006/picture">
                  <pic:nvPicPr>
                    <pic:cNvPr id="2458811" name="Picture 2458811"/>
                    <pic:cNvPicPr/>
                  </pic:nvPicPr>
                  <pic:blipFill>
                    <a:blip r:embed="rId1458"/>
                    <a:stretch>
                      <a:fillRect/>
                    </a:stretch>
                  </pic:blipFill>
                  <pic:spPr>
                    <a:xfrm>
                      <a:off x="0" y="0"/>
                      <a:ext cx="6574535" cy="54864"/>
                    </a:xfrm>
                    <a:prstGeom prst="rect">
                      <a:avLst/>
                    </a:prstGeom>
                  </pic:spPr>
                </pic:pic>
              </a:graphicData>
            </a:graphic>
          </wp:inline>
        </w:drawing>
      </w:r>
    </w:p>
    <w:p w14:paraId="1A48D329" w14:textId="77777777" w:rsidR="00053D93" w:rsidRDefault="00260B75">
      <w:pPr>
        <w:spacing w:after="98" w:line="269" w:lineRule="auto"/>
        <w:ind w:left="60" w:right="14" w:hanging="3"/>
        <w:jc w:val="both"/>
      </w:pPr>
      <w:r>
        <w:rPr>
          <w:sz w:val="26"/>
        </w:rPr>
        <w:t>1 y sin perjuicio de las disposiciones legales y reglamentarias correspondientes, por lo que tienen carácter general y no limitativo. A cada Dependencia organizacional 1 establecida corresponden las funciones aquí señaladas y las que en el futuro sea necesario adicionar, por cambios en la normativa legal y reglamentaria aplicable o en la estructura funcional de la DINFO para mejorar el trabajo que realiza.</w:t>
      </w:r>
    </w:p>
    <w:p w14:paraId="76D9801E" w14:textId="77777777" w:rsidR="00053D93" w:rsidRDefault="00260B75">
      <w:pPr>
        <w:spacing w:after="3"/>
        <w:ind w:left="74" w:right="3485" w:hanging="10"/>
      </w:pPr>
      <w:r>
        <w:rPr>
          <w:sz w:val="70"/>
        </w:rPr>
        <w:t>1</w:t>
      </w:r>
    </w:p>
    <w:p w14:paraId="1114EFE5" w14:textId="77777777" w:rsidR="00053D93" w:rsidRDefault="00260B75">
      <w:pPr>
        <w:spacing w:after="3" w:line="269" w:lineRule="auto"/>
        <w:ind w:left="67" w:right="14" w:hanging="10"/>
        <w:jc w:val="right"/>
      </w:pPr>
      <w:r>
        <w:rPr>
          <w:sz w:val="26"/>
        </w:rPr>
        <w:t>Por ello es que funcionalmente crearon el departamento de Redes y</w:t>
      </w:r>
    </w:p>
    <w:p w14:paraId="6B43D45E" w14:textId="77777777" w:rsidR="00053D93" w:rsidRDefault="00260B75">
      <w:pPr>
        <w:spacing w:after="351" w:line="269" w:lineRule="auto"/>
        <w:ind w:left="67" w:right="14" w:hanging="10"/>
        <w:jc w:val="right"/>
      </w:pPr>
      <w:r>
        <w:rPr>
          <w:sz w:val="26"/>
        </w:rPr>
        <w:t>Telecomunicaciones, "Manual de normas y procedimientos, departamento de</w:t>
      </w:r>
    </w:p>
    <w:p w14:paraId="2437127C" w14:textId="77777777" w:rsidR="00053D93" w:rsidRDefault="00260B75">
      <w:pPr>
        <w:spacing w:after="496" w:line="345" w:lineRule="auto"/>
        <w:ind w:left="1677" w:hanging="1678"/>
        <w:jc w:val="both"/>
      </w:pPr>
      <w:r>
        <w:rPr>
          <w:sz w:val="24"/>
        </w:rPr>
        <w:t>1 redes y telecomunicaciones del ministerio de educación" de 14 de octubre de 2021 autorizado por el Director de Informática, en su momento.</w:t>
      </w:r>
    </w:p>
    <w:p w14:paraId="6FCCEE18" w14:textId="77777777" w:rsidR="00053D93" w:rsidRDefault="00260B75">
      <w:pPr>
        <w:tabs>
          <w:tab w:val="center" w:pos="2268"/>
        </w:tabs>
        <w:spacing w:after="4" w:line="269" w:lineRule="auto"/>
      </w:pPr>
      <w:r>
        <w:rPr>
          <w:sz w:val="26"/>
        </w:rPr>
        <w:t>1</w:t>
      </w:r>
      <w:r>
        <w:rPr>
          <w:sz w:val="26"/>
        </w:rPr>
        <w:tab/>
        <w:t>Conclusión:</w:t>
      </w:r>
    </w:p>
    <w:p w14:paraId="23D700C3" w14:textId="77777777" w:rsidR="00053D93" w:rsidRDefault="00260B75">
      <w:pPr>
        <w:spacing w:after="227" w:line="269" w:lineRule="auto"/>
        <w:ind w:left="57" w:right="14" w:firstLine="1678"/>
        <w:jc w:val="both"/>
      </w:pPr>
      <w:r>
        <w:rPr>
          <w:sz w:val="26"/>
        </w:rPr>
        <w:t>Por lo anteriormente expuesto, se deja constancia de que las deficiencias 1 señaladas en el hallazgo se realizaron las gestiones administrativas para la adquisición y para mitigar las necesidades de respaldos. mediante oficios que 1 evidencian una gestión activa y responsable. En virtud de lo anterior, y tomando en cuenta las evidencias presentadas, se considera que el hallazgo puede ser desvanecido. "</w:t>
      </w:r>
    </w:p>
    <w:p w14:paraId="0A44FE01" w14:textId="77777777" w:rsidR="00053D93" w:rsidRDefault="00260B75">
      <w:pPr>
        <w:spacing w:after="3"/>
        <w:ind w:left="74" w:right="3485" w:hanging="10"/>
      </w:pPr>
      <w:r>
        <w:rPr>
          <w:sz w:val="70"/>
        </w:rPr>
        <w:t>1</w:t>
      </w:r>
    </w:p>
    <w:p w14:paraId="13D11294" w14:textId="77777777" w:rsidR="00053D93" w:rsidRDefault="00260B75">
      <w:pPr>
        <w:spacing w:after="558" w:line="269" w:lineRule="auto"/>
        <w:ind w:left="57" w:right="14" w:firstLine="1649"/>
        <w:jc w:val="both"/>
      </w:pPr>
      <w:r>
        <w:rPr>
          <w:noProof/>
        </w:rPr>
        <w:drawing>
          <wp:anchor distT="0" distB="0" distL="114300" distR="114300" simplePos="0" relativeHeight="252199936" behindDoc="0" locked="0" layoutInCell="1" allowOverlap="0" wp14:anchorId="0C71BC3C" wp14:editId="024EFA6E">
            <wp:simplePos x="0" y="0"/>
            <wp:positionH relativeFrom="page">
              <wp:posOffset>155448</wp:posOffset>
            </wp:positionH>
            <wp:positionV relativeFrom="page">
              <wp:posOffset>822960</wp:posOffset>
            </wp:positionV>
            <wp:extent cx="32004" cy="4572"/>
            <wp:effectExtent l="0" t="0" r="0" b="0"/>
            <wp:wrapTopAndBottom/>
            <wp:docPr id="1069610" name="Picture 1069610"/>
            <wp:cNvGraphicFramePr/>
            <a:graphic xmlns:a="http://schemas.openxmlformats.org/drawingml/2006/main">
              <a:graphicData uri="http://schemas.openxmlformats.org/drawingml/2006/picture">
                <pic:pic xmlns:pic="http://schemas.openxmlformats.org/drawingml/2006/picture">
                  <pic:nvPicPr>
                    <pic:cNvPr id="1069610" name="Picture 1069610"/>
                    <pic:cNvPicPr/>
                  </pic:nvPicPr>
                  <pic:blipFill>
                    <a:blip r:embed="rId905"/>
                    <a:stretch>
                      <a:fillRect/>
                    </a:stretch>
                  </pic:blipFill>
                  <pic:spPr>
                    <a:xfrm>
                      <a:off x="0" y="0"/>
                      <a:ext cx="32004" cy="4572"/>
                    </a:xfrm>
                    <a:prstGeom prst="rect">
                      <a:avLst/>
                    </a:prstGeom>
                  </pic:spPr>
                </pic:pic>
              </a:graphicData>
            </a:graphic>
          </wp:anchor>
        </w:drawing>
      </w:r>
      <w:r>
        <w:rPr>
          <w:sz w:val="26"/>
        </w:rPr>
        <w:t>En memorial- del 10 de abril de 2025, el señor Abraham Rivera Rosemberg, Subdirector, manifiesta: "En cumplimiento de mis funciones, realicé diversas 1 acciones y advertencias que fueron notificadas oportunamente a las autoridades competentes, como se detalla a continuación:</w:t>
      </w:r>
    </w:p>
    <w:p w14:paraId="56C283AB" w14:textId="77777777" w:rsidR="00053D93" w:rsidRDefault="00260B75">
      <w:pPr>
        <w:tabs>
          <w:tab w:val="center" w:pos="3694"/>
        </w:tabs>
        <w:spacing w:after="4" w:line="269" w:lineRule="auto"/>
      </w:pPr>
      <w:r>
        <w:rPr>
          <w:sz w:val="26"/>
        </w:rPr>
        <w:t>1</w:t>
      </w:r>
      <w:r>
        <w:rPr>
          <w:sz w:val="26"/>
        </w:rPr>
        <w:tab/>
        <w:t>Análisis de Riesgos del Centro de Datos</w:t>
      </w:r>
    </w:p>
    <w:p w14:paraId="7F421108" w14:textId="77777777" w:rsidR="00053D93" w:rsidRDefault="00260B75">
      <w:pPr>
        <w:spacing w:after="537" w:line="269" w:lineRule="auto"/>
        <w:ind w:left="57" w:right="14" w:firstLine="1627"/>
        <w:jc w:val="both"/>
      </w:pPr>
      <w:r>
        <w:rPr>
          <w:sz w:val="26"/>
        </w:rPr>
        <w:t>Mediante Oficio DINFO No. 0438-2022 de fecha 30 de marzo de 2022, se remitió 1 el Análisis de Riesgos del Centro de Datos del Ministerio de Educación, elaborado en colaboración por el personal del Departamento de Infraestructura.</w:t>
      </w:r>
    </w:p>
    <w:p w14:paraId="24945EE9" w14:textId="77777777" w:rsidR="00053D93" w:rsidRDefault="00260B75">
      <w:pPr>
        <w:spacing w:after="3" w:line="273" w:lineRule="auto"/>
        <w:ind w:left="24" w:hanging="3"/>
      </w:pPr>
      <w:r>
        <w:rPr>
          <w:sz w:val="26"/>
        </w:rPr>
        <w:t>1</w:t>
      </w:r>
      <w:r>
        <w:rPr>
          <w:sz w:val="26"/>
        </w:rPr>
        <w:tab/>
        <w:t>En el riesgo No. 3 del análisis, se advirtió que la solución de respaldos "Data Protector" contaba con soporte de fábrica únicamente hasta enero de 2023. Se 1</w:t>
      </w:r>
      <w:r>
        <w:rPr>
          <w:sz w:val="26"/>
        </w:rPr>
        <w:tab/>
        <w:t xml:space="preserve">indicó que, al no contar con soporte ni actualizaciones posteriores, no podía </w:t>
      </w:r>
      <w:r>
        <w:rPr>
          <w:noProof/>
        </w:rPr>
        <w:drawing>
          <wp:inline distT="0" distB="0" distL="0" distR="0" wp14:anchorId="2AE9FD04" wp14:editId="6D9C5EFD">
            <wp:extent cx="13716" cy="27432"/>
            <wp:effectExtent l="0" t="0" r="0" b="0"/>
            <wp:docPr id="2458813" name="Picture 2458813"/>
            <wp:cNvGraphicFramePr/>
            <a:graphic xmlns:a="http://schemas.openxmlformats.org/drawingml/2006/main">
              <a:graphicData uri="http://schemas.openxmlformats.org/drawingml/2006/picture">
                <pic:pic xmlns:pic="http://schemas.openxmlformats.org/drawingml/2006/picture">
                  <pic:nvPicPr>
                    <pic:cNvPr id="2458813" name="Picture 2458813"/>
                    <pic:cNvPicPr/>
                  </pic:nvPicPr>
                  <pic:blipFill>
                    <a:blip r:embed="rId1459"/>
                    <a:stretch>
                      <a:fillRect/>
                    </a:stretch>
                  </pic:blipFill>
                  <pic:spPr>
                    <a:xfrm>
                      <a:off x="0" y="0"/>
                      <a:ext cx="13716" cy="27432"/>
                    </a:xfrm>
                    <a:prstGeom prst="rect">
                      <a:avLst/>
                    </a:prstGeom>
                  </pic:spPr>
                </pic:pic>
              </a:graphicData>
            </a:graphic>
          </wp:inline>
        </w:drawing>
      </w:r>
      <w:r>
        <w:rPr>
          <w:sz w:val="26"/>
        </w:rPr>
        <w:t>garantizarse su correcto funcionamiento ante un incidente. Se recomendó ampliar el soporte del fabricante, contratar soporte local y gestionar su inclusión en el POA 1</w:t>
      </w:r>
      <w:r>
        <w:rPr>
          <w:sz w:val="26"/>
        </w:rPr>
        <w:tab/>
        <w:t>2023.</w:t>
      </w:r>
    </w:p>
    <w:p w14:paraId="6B09E5FC" w14:textId="77777777" w:rsidR="00053D93" w:rsidRDefault="00260B75">
      <w:pPr>
        <w:spacing w:after="254" w:line="269" w:lineRule="auto"/>
        <w:ind w:left="1637" w:right="14" w:hanging="3"/>
        <w:jc w:val="both"/>
      </w:pPr>
      <w:r>
        <w:rPr>
          <w:sz w:val="26"/>
        </w:rPr>
        <w:t>Falta de personal especializado e inversión insuficiente</w:t>
      </w:r>
    </w:p>
    <w:p w14:paraId="75C8F07A" w14:textId="77777777" w:rsidR="00053D93" w:rsidRDefault="00260B75">
      <w:pPr>
        <w:spacing w:after="150" w:line="269" w:lineRule="auto"/>
        <w:ind w:left="60" w:right="79" w:hanging="3"/>
        <w:jc w:val="both"/>
      </w:pPr>
      <w:r>
        <w:rPr>
          <w:sz w:val="26"/>
        </w:rPr>
        <w:t>1 En el riesgo No. 7 del mismo análisis, se documentó la insuficiencia de personal en el área de infraestructura, indicando que el equipo existente solo atendía los 1 requerimientos diarios, sin capacidad para implementar nuevas soluciones.</w:t>
      </w:r>
    </w:p>
    <w:tbl>
      <w:tblPr>
        <w:tblStyle w:val="TableGrid"/>
        <w:tblpPr w:vertAnchor="text" w:tblpX="2462" w:tblpY="608"/>
        <w:tblOverlap w:val="never"/>
        <w:tblW w:w="7625" w:type="dxa"/>
        <w:tblInd w:w="0" w:type="dxa"/>
        <w:tblCellMar>
          <w:top w:w="46" w:type="dxa"/>
          <w:left w:w="1750" w:type="dxa"/>
          <w:right w:w="115" w:type="dxa"/>
        </w:tblCellMar>
        <w:tblLook w:val="04A0" w:firstRow="1" w:lastRow="0" w:firstColumn="1" w:lastColumn="0" w:noHBand="0" w:noVBand="1"/>
      </w:tblPr>
      <w:tblGrid>
        <w:gridCol w:w="7625"/>
      </w:tblGrid>
      <w:tr w:rsidR="00053D93" w14:paraId="7AE6A3AB" w14:textId="77777777">
        <w:trPr>
          <w:trHeight w:val="69"/>
        </w:trPr>
        <w:tc>
          <w:tcPr>
            <w:tcW w:w="7625" w:type="dxa"/>
            <w:tcBorders>
              <w:top w:val="nil"/>
              <w:left w:val="single" w:sz="2" w:space="0" w:color="000000"/>
              <w:bottom w:val="single" w:sz="2" w:space="0" w:color="000000"/>
              <w:right w:val="nil"/>
            </w:tcBorders>
          </w:tcPr>
          <w:p w14:paraId="38BE62F2" w14:textId="77777777" w:rsidR="00053D93" w:rsidRDefault="00053D93"/>
        </w:tc>
      </w:tr>
      <w:tr w:rsidR="00053D93" w14:paraId="276D3707" w14:textId="77777777">
        <w:trPr>
          <w:trHeight w:val="572"/>
        </w:trPr>
        <w:tc>
          <w:tcPr>
            <w:tcW w:w="7625" w:type="dxa"/>
            <w:tcBorders>
              <w:top w:val="single" w:sz="2" w:space="0" w:color="000000"/>
              <w:left w:val="single" w:sz="2" w:space="0" w:color="000000"/>
              <w:bottom w:val="nil"/>
              <w:right w:val="nil"/>
            </w:tcBorders>
          </w:tcPr>
          <w:p w14:paraId="7D21DB71" w14:textId="77777777" w:rsidR="00053D93" w:rsidRDefault="00260B75">
            <w:pPr>
              <w:ind w:left="835"/>
            </w:pPr>
            <w:r>
              <w:rPr>
                <w:sz w:val="14"/>
              </w:rPr>
              <w:t>MINISTERIO DE EDUCACION</w:t>
            </w:r>
          </w:p>
          <w:p w14:paraId="16EC75DD" w14:textId="77777777" w:rsidR="00053D93" w:rsidRDefault="00260B75">
            <w:pPr>
              <w:ind w:left="338"/>
            </w:pPr>
            <w:r>
              <w:rPr>
                <w:sz w:val="14"/>
              </w:rPr>
              <w:t>AUDITORIA FINANCIERA Y DE CUMPLIMIENTO</w:t>
            </w:r>
          </w:p>
          <w:p w14:paraId="087263D9" w14:textId="77777777" w:rsidR="00053D93" w:rsidRDefault="00260B75">
            <w:r>
              <w:rPr>
                <w:sz w:val="14"/>
              </w:rPr>
              <w:t>PERIODO DEL 01 DE ENERO AL 31 DE DICIEMBRE DE 2024</w:t>
            </w:r>
          </w:p>
        </w:tc>
      </w:tr>
    </w:tbl>
    <w:p w14:paraId="23E4CE0D" w14:textId="77777777" w:rsidR="00053D93" w:rsidRDefault="00260B75">
      <w:pPr>
        <w:spacing w:after="3" w:line="216" w:lineRule="auto"/>
        <w:ind w:left="21" w:firstLine="1562"/>
      </w:pPr>
      <w:r>
        <w:rPr>
          <w:sz w:val="26"/>
        </w:rPr>
        <w:t>Se señaló que el personal no recibía ingresos acordes a sus funciones y que [a 1</w:t>
      </w:r>
      <w:r>
        <w:rPr>
          <w:sz w:val="26"/>
        </w:rPr>
        <w:tab/>
        <w:t>demanda superaba la capacidad instalada. Además, se destacó la ausencia de I III</w:t>
      </w:r>
      <w:r>
        <w:rPr>
          <w:noProof/>
        </w:rPr>
        <w:drawing>
          <wp:inline distT="0" distB="0" distL="0" distR="0" wp14:anchorId="22F50D44" wp14:editId="2E0ABF33">
            <wp:extent cx="996696" cy="411480"/>
            <wp:effectExtent l="0" t="0" r="0" b="0"/>
            <wp:docPr id="1069667" name="Picture 1069667"/>
            <wp:cNvGraphicFramePr/>
            <a:graphic xmlns:a="http://schemas.openxmlformats.org/drawingml/2006/main">
              <a:graphicData uri="http://schemas.openxmlformats.org/drawingml/2006/picture">
                <pic:pic xmlns:pic="http://schemas.openxmlformats.org/drawingml/2006/picture">
                  <pic:nvPicPr>
                    <pic:cNvPr id="1069667" name="Picture 1069667"/>
                    <pic:cNvPicPr/>
                  </pic:nvPicPr>
                  <pic:blipFill>
                    <a:blip r:embed="rId1460"/>
                    <a:stretch>
                      <a:fillRect/>
                    </a:stretch>
                  </pic:blipFill>
                  <pic:spPr>
                    <a:xfrm>
                      <a:off x="0" y="0"/>
                      <a:ext cx="996696" cy="411480"/>
                    </a:xfrm>
                    <a:prstGeom prst="rect">
                      <a:avLst/>
                    </a:prstGeom>
                  </pic:spPr>
                </pic:pic>
              </a:graphicData>
            </a:graphic>
          </wp:inline>
        </w:drawing>
      </w:r>
    </w:p>
    <w:p w14:paraId="1BC19FA4" w14:textId="77777777" w:rsidR="00053D93" w:rsidRDefault="00053D93">
      <w:pPr>
        <w:sectPr w:rsidR="00053D93">
          <w:headerReference w:type="even" r:id="rId1461"/>
          <w:headerReference w:type="default" r:id="rId1462"/>
          <w:footerReference w:type="even" r:id="rId1463"/>
          <w:footerReference w:type="default" r:id="rId1464"/>
          <w:headerReference w:type="first" r:id="rId1465"/>
          <w:footerReference w:type="first" r:id="rId1466"/>
          <w:pgSz w:w="12290" w:h="15883"/>
          <w:pgMar w:top="720" w:right="1764" w:bottom="597" w:left="338" w:header="353" w:footer="720" w:gutter="0"/>
          <w:cols w:space="720"/>
          <w:titlePg/>
        </w:sectPr>
      </w:pPr>
    </w:p>
    <w:p w14:paraId="6E162507" w14:textId="77777777" w:rsidR="00053D93" w:rsidRDefault="00260B75">
      <w:pPr>
        <w:spacing w:after="46"/>
        <w:ind w:left="1692" w:right="-101"/>
      </w:pPr>
      <w:r>
        <w:rPr>
          <w:noProof/>
        </w:rPr>
        <mc:AlternateContent>
          <mc:Choice Requires="wpg">
            <w:drawing>
              <wp:inline distT="0" distB="0" distL="0" distR="0" wp14:anchorId="6D55C4AB" wp14:editId="0E66B65B">
                <wp:extent cx="5454396" cy="13716"/>
                <wp:effectExtent l="0" t="0" r="0" b="0"/>
                <wp:docPr id="2458816" name="Group 2458816"/>
                <wp:cNvGraphicFramePr/>
                <a:graphic xmlns:a="http://schemas.openxmlformats.org/drawingml/2006/main">
                  <a:graphicData uri="http://schemas.microsoft.com/office/word/2010/wordprocessingGroup">
                    <wpg:wgp>
                      <wpg:cNvGrpSpPr/>
                      <wpg:grpSpPr>
                        <a:xfrm>
                          <a:off x="0" y="0"/>
                          <a:ext cx="5454396" cy="13716"/>
                          <a:chOff x="0" y="0"/>
                          <a:chExt cx="5454396" cy="13716"/>
                        </a:xfrm>
                      </wpg:grpSpPr>
                      <wps:wsp>
                        <wps:cNvPr id="2458815" name="Shape 2458815"/>
                        <wps:cNvSpPr/>
                        <wps:spPr>
                          <a:xfrm>
                            <a:off x="0" y="0"/>
                            <a:ext cx="5454396" cy="13716"/>
                          </a:xfrm>
                          <a:custGeom>
                            <a:avLst/>
                            <a:gdLst/>
                            <a:ahLst/>
                            <a:cxnLst/>
                            <a:rect l="0" t="0" r="0" b="0"/>
                            <a:pathLst>
                              <a:path w="5454396" h="13716">
                                <a:moveTo>
                                  <a:pt x="0" y="6858"/>
                                </a:moveTo>
                                <a:lnTo>
                                  <a:pt x="54543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16" style="width:429.48pt;height:1.08pt;mso-position-horizontal-relative:char;mso-position-vertical-relative:line" coordsize="54543,137">
                <v:shape id="Shape 2458815" style="position:absolute;width:54543;height:137;left:0;top:0;" coordsize="5454396,13716" path="m0,6858l5454396,6858">
                  <v:stroke weight="1.08pt" endcap="flat" joinstyle="miter" miterlimit="1" on="true" color="#000000"/>
                  <v:fill on="false" color="#000000"/>
                </v:shape>
              </v:group>
            </w:pict>
          </mc:Fallback>
        </mc:AlternateContent>
      </w:r>
    </w:p>
    <w:p w14:paraId="62975E33" w14:textId="77777777" w:rsidR="00053D93" w:rsidRDefault="00260B75">
      <w:pPr>
        <w:tabs>
          <w:tab w:val="center" w:pos="4540"/>
        </w:tabs>
        <w:spacing w:after="4" w:line="269" w:lineRule="auto"/>
      </w:pPr>
      <w:r>
        <w:rPr>
          <w:sz w:val="26"/>
        </w:rPr>
        <w:t>1</w:t>
      </w:r>
      <w:r>
        <w:rPr>
          <w:sz w:val="26"/>
        </w:rPr>
        <w:tab/>
        <w:t>profesionales especializados en Seguridad y Monitoreo.</w:t>
      </w:r>
    </w:p>
    <w:p w14:paraId="6405B0A7" w14:textId="77777777" w:rsidR="00053D93" w:rsidRDefault="00260B75">
      <w:pPr>
        <w:spacing w:after="4" w:line="269" w:lineRule="auto"/>
        <w:ind w:left="1724" w:right="14" w:hanging="3"/>
        <w:jc w:val="both"/>
      </w:pPr>
      <w:r>
        <w:rPr>
          <w:sz w:val="26"/>
        </w:rPr>
        <w:t>Plataforma Mis Compras del PAE</w:t>
      </w:r>
    </w:p>
    <w:p w14:paraId="4956E69C" w14:textId="77777777" w:rsidR="00053D93" w:rsidRDefault="00260B75">
      <w:pPr>
        <w:spacing w:after="597" w:line="216" w:lineRule="auto"/>
        <w:ind w:left="57" w:right="14" w:firstLine="1692"/>
        <w:jc w:val="both"/>
      </w:pPr>
      <w:r>
        <w:rPr>
          <w:sz w:val="26"/>
        </w:rPr>
        <w:t xml:space="preserve">Con oficio No. DIGEPSA-343-2021, de fecha 25 de febrero de 2021, la Directora de DIGEPSA solicitó habilitar la plataforma "Mis Compras del PAE", diseñada para </w:t>
      </w:r>
      <w:r>
        <w:rPr>
          <w:noProof/>
        </w:rPr>
        <mc:AlternateContent>
          <mc:Choice Requires="wpg">
            <w:drawing>
              <wp:inline distT="0" distB="0" distL="0" distR="0" wp14:anchorId="156E79A2" wp14:editId="4A3CF4A6">
                <wp:extent cx="123444" cy="292608"/>
                <wp:effectExtent l="0" t="0" r="0" b="0"/>
                <wp:docPr id="2457147" name="Group 2457147"/>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1070376" name="Rectangle 1070376"/>
                        <wps:cNvSpPr/>
                        <wps:spPr>
                          <a:xfrm>
                            <a:off x="0" y="0"/>
                            <a:ext cx="164181" cy="389169"/>
                          </a:xfrm>
                          <a:prstGeom prst="rect">
                            <a:avLst/>
                          </a:prstGeom>
                          <a:ln>
                            <a:noFill/>
                          </a:ln>
                        </wps:spPr>
                        <wps:txbx>
                          <w:txbxContent>
                            <w:p w14:paraId="5AA43602"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156E79A2" id="Group 2457147" o:spid="_x0000_s1576" style="width:9.7pt;height:23.05pt;mso-position-horizontal-relative:char;mso-position-vertical-relative:line"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">
                <v:rect id="Rectangle 1070376" o:spid="_x0000_s1577" style="position:absolute;width:16418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" filled="f" stroked="f">
                  <v:textbox inset="0,0,0,0">
                    <w:txbxContent>
                      <w:p w14:paraId="5AA43602" w14:textId="77777777" w:rsidR="00053D93" w:rsidRDefault="00260B75">
                        <w:r>
                          <w:rPr>
                            <w:sz w:val="74"/>
                          </w:rPr>
                          <w:t>1</w:t>
                        </w:r>
                      </w:p>
                    </w:txbxContent>
                  </v:textbox>
                </v:rect>
                <w10:anchorlock/>
              </v:group>
            </w:pict>
          </mc:Fallback>
        </mc:AlternateContent>
      </w:r>
      <w:r>
        <w:rPr>
          <w:sz w:val="26"/>
        </w:rPr>
        <w:t xml:space="preserve"> operar únicamente durante el ciclo escolar 2021, hasta nuevas disposiciones ministeriales.</w:t>
      </w:r>
    </w:p>
    <w:p w14:paraId="25D9D6C0" w14:textId="77777777" w:rsidR="00053D93" w:rsidRDefault="00260B75">
      <w:pPr>
        <w:spacing w:after="330" w:line="325" w:lineRule="auto"/>
        <w:ind w:left="60" w:right="14" w:hanging="3"/>
        <w:jc w:val="both"/>
      </w:pPr>
      <w:r>
        <w:rPr>
          <w:sz w:val="26"/>
        </w:rPr>
        <w:t>1 En respuesta, mediante oficio DINFO 851-2021 del 13 de agosto de 2021, se informó que el sistema fue habilitado para dicho ciclo escolar 2021. Esto evidencia 1 que el sistema fue concebido como una solución temporal, y que posteriormente sería migrado a una versión más segura.</w:t>
      </w:r>
    </w:p>
    <w:p w14:paraId="311042B1" w14:textId="77777777" w:rsidR="00053D93" w:rsidRDefault="00260B75">
      <w:pPr>
        <w:spacing w:after="215" w:line="269" w:lineRule="auto"/>
        <w:ind w:left="60" w:right="14" w:hanging="3"/>
        <w:jc w:val="both"/>
      </w:pPr>
      <w:r>
        <w:rPr>
          <w:sz w:val="26"/>
        </w:rPr>
        <w:t>1 El 1 1 de marzo de 2021, se enviaron por correo electrónico los sitios creados para mejorar la seguridad de la aplicación (asunto: "RE: Requerimientos Pendientes"). Asimismo, en correo del 26 de febrero de 2021 (asunto: "RE: Manual para 1 activación del sistema Mis Compras del PAE"), el Ing. Juan José Hernández Siguantay confirmó que el sistema estaba diseñado únicamente para dos 1 entregas. A la fecha, la Dirección de DIGEPSA no ha concluido la migración, a pesar de haber sido informada oportunamente.</w:t>
      </w:r>
    </w:p>
    <w:p w14:paraId="57DB49F4" w14:textId="77777777" w:rsidR="00053D93" w:rsidRDefault="00260B75">
      <w:pPr>
        <w:tabs>
          <w:tab w:val="center" w:pos="4356"/>
        </w:tabs>
        <w:spacing w:after="4" w:line="269" w:lineRule="auto"/>
      </w:pPr>
      <w:r>
        <w:rPr>
          <w:noProof/>
        </w:rPr>
        <w:drawing>
          <wp:anchor distT="0" distB="0" distL="114300" distR="114300" simplePos="0" relativeHeight="252200960" behindDoc="0" locked="0" layoutInCell="1" allowOverlap="0" wp14:anchorId="1F825202" wp14:editId="6590D810">
            <wp:simplePos x="0" y="0"/>
            <wp:positionH relativeFrom="page">
              <wp:posOffset>301752</wp:posOffset>
            </wp:positionH>
            <wp:positionV relativeFrom="page">
              <wp:posOffset>361188</wp:posOffset>
            </wp:positionV>
            <wp:extent cx="18288" cy="13716"/>
            <wp:effectExtent l="0" t="0" r="0" b="0"/>
            <wp:wrapTopAndBottom/>
            <wp:docPr id="1073014" name="Picture 1073014"/>
            <wp:cNvGraphicFramePr/>
            <a:graphic xmlns:a="http://schemas.openxmlformats.org/drawingml/2006/main">
              <a:graphicData uri="http://schemas.openxmlformats.org/drawingml/2006/picture">
                <pic:pic xmlns:pic="http://schemas.openxmlformats.org/drawingml/2006/picture">
                  <pic:nvPicPr>
                    <pic:cNvPr id="1073014" name="Picture 1073014"/>
                    <pic:cNvPicPr/>
                  </pic:nvPicPr>
                  <pic:blipFill>
                    <a:blip r:embed="rId1467"/>
                    <a:stretch>
                      <a:fillRect/>
                    </a:stretch>
                  </pic:blipFill>
                  <pic:spPr>
                    <a:xfrm>
                      <a:off x="0" y="0"/>
                      <a:ext cx="18288" cy="13716"/>
                    </a:xfrm>
                    <a:prstGeom prst="rect">
                      <a:avLst/>
                    </a:prstGeom>
                  </pic:spPr>
                </pic:pic>
              </a:graphicData>
            </a:graphic>
          </wp:anchor>
        </w:drawing>
      </w:r>
      <w:r>
        <w:rPr>
          <w:noProof/>
        </w:rPr>
        <w:drawing>
          <wp:anchor distT="0" distB="0" distL="114300" distR="114300" simplePos="0" relativeHeight="252201984" behindDoc="0" locked="0" layoutInCell="1" allowOverlap="0" wp14:anchorId="00BDC6A4" wp14:editId="0B7A397A">
            <wp:simplePos x="0" y="0"/>
            <wp:positionH relativeFrom="page">
              <wp:posOffset>109728</wp:posOffset>
            </wp:positionH>
            <wp:positionV relativeFrom="page">
              <wp:posOffset>864108</wp:posOffset>
            </wp:positionV>
            <wp:extent cx="41148" cy="9144"/>
            <wp:effectExtent l="0" t="0" r="0" b="0"/>
            <wp:wrapTopAndBottom/>
            <wp:docPr id="1073015" name="Picture 1073015"/>
            <wp:cNvGraphicFramePr/>
            <a:graphic xmlns:a="http://schemas.openxmlformats.org/drawingml/2006/main">
              <a:graphicData uri="http://schemas.openxmlformats.org/drawingml/2006/picture">
                <pic:pic xmlns:pic="http://schemas.openxmlformats.org/drawingml/2006/picture">
                  <pic:nvPicPr>
                    <pic:cNvPr id="1073015" name="Picture 1073015"/>
                    <pic:cNvPicPr/>
                  </pic:nvPicPr>
                  <pic:blipFill>
                    <a:blip r:embed="rId1468"/>
                    <a:stretch>
                      <a:fillRect/>
                    </a:stretch>
                  </pic:blipFill>
                  <pic:spPr>
                    <a:xfrm>
                      <a:off x="0" y="0"/>
                      <a:ext cx="41148" cy="9144"/>
                    </a:xfrm>
                    <a:prstGeom prst="rect">
                      <a:avLst/>
                    </a:prstGeom>
                  </pic:spPr>
                </pic:pic>
              </a:graphicData>
            </a:graphic>
          </wp:anchor>
        </w:drawing>
      </w:r>
      <w:r>
        <w:rPr>
          <w:noProof/>
        </w:rPr>
        <mc:AlternateContent>
          <mc:Choice Requires="wpg">
            <w:drawing>
              <wp:inline distT="0" distB="0" distL="0" distR="0" wp14:anchorId="6AFBC420" wp14:editId="579FFDEA">
                <wp:extent cx="114300" cy="301752"/>
                <wp:effectExtent l="0" t="0" r="0" b="0"/>
                <wp:docPr id="2457148" name="Group 2457148"/>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1070382" name="Rectangle 1070382"/>
                        <wps:cNvSpPr/>
                        <wps:spPr>
                          <a:xfrm>
                            <a:off x="0" y="0"/>
                            <a:ext cx="152019" cy="401330"/>
                          </a:xfrm>
                          <a:prstGeom prst="rect">
                            <a:avLst/>
                          </a:prstGeom>
                          <a:ln>
                            <a:noFill/>
                          </a:ln>
                        </wps:spPr>
                        <wps:txbx>
                          <w:txbxContent>
                            <w:p w14:paraId="14B2B0D5"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AFBC420" id="Group 2457148" o:spid="_x0000_s1578"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">
                <v:rect id="Rectangle 1070382" o:spid="_x0000_s1579"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" filled="f" stroked="f">
                  <v:textbox inset="0,0,0,0">
                    <w:txbxContent>
                      <w:p w14:paraId="14B2B0D5" w14:textId="77777777" w:rsidR="00053D93" w:rsidRDefault="00260B75">
                        <w:r>
                          <w:rPr>
                            <w:sz w:val="70"/>
                          </w:rPr>
                          <w:t>1</w:t>
                        </w:r>
                      </w:p>
                    </w:txbxContent>
                  </v:textbox>
                </v:rect>
                <w10:anchorlock/>
              </v:group>
            </w:pict>
          </mc:Fallback>
        </mc:AlternateContent>
      </w:r>
      <w:r>
        <w:rPr>
          <w:sz w:val="26"/>
        </w:rPr>
        <w:tab/>
        <w:t>Gestiones de adquisición de soluciones de respaldo</w:t>
      </w:r>
    </w:p>
    <w:p w14:paraId="12B104B0" w14:textId="77777777" w:rsidR="00053D93" w:rsidRDefault="00260B75">
      <w:pPr>
        <w:spacing w:after="471" w:line="269" w:lineRule="auto"/>
        <w:ind w:left="57" w:right="14" w:firstLine="1454"/>
        <w:jc w:val="both"/>
      </w:pPr>
      <w:r>
        <w:rPr>
          <w:sz w:val="26"/>
        </w:rPr>
        <w:t>Se gestionó la compra de una solución de respaldo identificada como "Derechos de uso para respaldo y recuperación de información del Centro de Datos del 1 Ministerio de Educación", bajo NOG 20259840, adjudicada el 28 de junio de 2023. El proceso fue iniciado mediante el oficio DINFO No. 0202-2023 de fecha 28 de -1 febrero de 2023, pero no fue adjudicado por incumplimientos en la presentación de la oferta requisito fundamental.</w:t>
      </w:r>
    </w:p>
    <w:p w14:paraId="2C0D8EC2" w14:textId="77777777" w:rsidR="00053D93" w:rsidRDefault="00260B75">
      <w:pPr>
        <w:spacing w:after="4" w:line="269" w:lineRule="auto"/>
        <w:ind w:left="60" w:right="14" w:hanging="3"/>
        <w:jc w:val="both"/>
      </w:pPr>
      <w:r>
        <w:rPr>
          <w:sz w:val="26"/>
        </w:rPr>
        <w:t>1 Por lo anterior, se inició un nuevo proceso, NOG 23326719, denominado "Sistema y dispositivo de respaldos para la infraestructura de computación virtual y física del Centro de Datos del Ministerio de Educación", con fecha de adjudicación 2 de 1 agosto de 2024. Dicho proceso fue iniciado mediante el oficio DINFO No.</w:t>
      </w:r>
    </w:p>
    <w:p w14:paraId="1F2A7282" w14:textId="77777777" w:rsidR="00053D93" w:rsidRDefault="00260B75">
      <w:pPr>
        <w:spacing w:after="193" w:line="216" w:lineRule="auto"/>
        <w:ind w:left="137" w:right="14" w:firstLine="1584"/>
        <w:jc w:val="both"/>
      </w:pPr>
      <w:r>
        <w:rPr>
          <w:sz w:val="26"/>
        </w:rPr>
        <w:t>0447-2024 del 8 de abril de 2024, pero tampoco fue adjudicado por 1 incumplimientos en requisitos fundamentales.</w:t>
      </w:r>
    </w:p>
    <w:p w14:paraId="3A77AA63" w14:textId="77777777" w:rsidR="00053D93" w:rsidRDefault="00260B75">
      <w:pPr>
        <w:spacing w:after="171" w:line="216" w:lineRule="auto"/>
        <w:ind w:left="57" w:right="14" w:firstLine="1663"/>
        <w:jc w:val="both"/>
      </w:pPr>
      <w:r>
        <w:rPr>
          <w:sz w:val="26"/>
        </w:rPr>
        <w:t xml:space="preserve">Cabe destacar que ambos eventos fueron gestionados de manera oportuna, pero </w:t>
      </w:r>
      <w:r>
        <w:rPr>
          <w:noProof/>
        </w:rPr>
        <w:drawing>
          <wp:inline distT="0" distB="0" distL="0" distR="0" wp14:anchorId="2FDCED06" wp14:editId="497DD20D">
            <wp:extent cx="36576" cy="13716"/>
            <wp:effectExtent l="0" t="0" r="0" b="0"/>
            <wp:docPr id="1073016" name="Picture 1073016"/>
            <wp:cNvGraphicFramePr/>
            <a:graphic xmlns:a="http://schemas.openxmlformats.org/drawingml/2006/main">
              <a:graphicData uri="http://schemas.openxmlformats.org/drawingml/2006/picture">
                <pic:pic xmlns:pic="http://schemas.openxmlformats.org/drawingml/2006/picture">
                  <pic:nvPicPr>
                    <pic:cNvPr id="1073016" name="Picture 1073016"/>
                    <pic:cNvPicPr/>
                  </pic:nvPicPr>
                  <pic:blipFill>
                    <a:blip r:embed="rId1469"/>
                    <a:stretch>
                      <a:fillRect/>
                    </a:stretch>
                  </pic:blipFill>
                  <pic:spPr>
                    <a:xfrm>
                      <a:off x="0" y="0"/>
                      <a:ext cx="36576" cy="13716"/>
                    </a:xfrm>
                    <a:prstGeom prst="rect">
                      <a:avLst/>
                    </a:prstGeom>
                  </pic:spPr>
                </pic:pic>
              </a:graphicData>
            </a:graphic>
          </wp:inline>
        </w:drawing>
      </w:r>
      <w:r>
        <w:rPr>
          <w:sz w:val="26"/>
        </w:rPr>
        <w:t>1 su adjudicación escapaba a las competencias de la Dirección de informática.</w:t>
      </w:r>
    </w:p>
    <w:p w14:paraId="1BD0648B" w14:textId="77777777" w:rsidR="00053D93" w:rsidRDefault="00260B75">
      <w:pPr>
        <w:spacing w:after="205" w:line="269" w:lineRule="auto"/>
        <w:ind w:left="1731" w:right="14" w:hanging="3"/>
        <w:jc w:val="both"/>
      </w:pPr>
      <w:r>
        <w:rPr>
          <w:sz w:val="26"/>
        </w:rPr>
        <w:t>El Manual de Procedimientos de soporte Técnico</w:t>
      </w:r>
    </w:p>
    <w:p w14:paraId="24ADF467" w14:textId="77777777" w:rsidR="00053D93" w:rsidRDefault="00260B75">
      <w:pPr>
        <w:spacing w:after="4" w:line="269" w:lineRule="auto"/>
        <w:ind w:left="176" w:right="14" w:hanging="3"/>
        <w:jc w:val="both"/>
      </w:pPr>
      <w:r>
        <w:rPr>
          <w:sz w:val="26"/>
        </w:rPr>
        <w:t>1 El Manual de Procedimientos de Soporte Técnico DES-MAN-OI Versión 3.0 corresponde al Departamento de Redes y Telecomunicaciones, por Io que como 1 se indicó en el oficio DINFO 348-2025 el manual nominal está obsoleto por Io que</w:t>
      </w:r>
    </w:p>
    <w:tbl>
      <w:tblPr>
        <w:tblStyle w:val="TableGrid"/>
        <w:tblW w:w="9425" w:type="dxa"/>
        <w:tblInd w:w="778" w:type="dxa"/>
        <w:tblLook w:val="04A0" w:firstRow="1" w:lastRow="0" w:firstColumn="1" w:lastColumn="0" w:noHBand="0" w:noVBand="1"/>
      </w:tblPr>
      <w:tblGrid>
        <w:gridCol w:w="1677"/>
        <w:gridCol w:w="10483"/>
      </w:tblGrid>
      <w:tr w:rsidR="00053D93" w14:paraId="57DCB60F" w14:textId="77777777">
        <w:trPr>
          <w:trHeight w:val="648"/>
        </w:trPr>
        <w:tc>
          <w:tcPr>
            <w:tcW w:w="1719" w:type="dxa"/>
            <w:tcBorders>
              <w:top w:val="nil"/>
              <w:left w:val="nil"/>
              <w:bottom w:val="nil"/>
              <w:right w:val="nil"/>
            </w:tcBorders>
          </w:tcPr>
          <w:p w14:paraId="4085C6F8" w14:textId="77777777" w:rsidR="00053D93" w:rsidRDefault="00260B75">
            <w:r>
              <w:rPr>
                <w:noProof/>
              </w:rPr>
              <w:drawing>
                <wp:inline distT="0" distB="0" distL="0" distR="0" wp14:anchorId="7AF01283" wp14:editId="67032AF7">
                  <wp:extent cx="1065276" cy="411480"/>
                  <wp:effectExtent l="0" t="0" r="0" b="0"/>
                  <wp:docPr id="1073088" name="Picture 1073088"/>
                  <wp:cNvGraphicFramePr/>
                  <a:graphic xmlns:a="http://schemas.openxmlformats.org/drawingml/2006/main">
                    <a:graphicData uri="http://schemas.openxmlformats.org/drawingml/2006/picture">
                      <pic:pic xmlns:pic="http://schemas.openxmlformats.org/drawingml/2006/picture">
                        <pic:nvPicPr>
                          <pic:cNvPr id="1073088" name="Picture 1073088"/>
                          <pic:cNvPicPr/>
                        </pic:nvPicPr>
                        <pic:blipFill>
                          <a:blip r:embed="rId1470"/>
                          <a:stretch>
                            <a:fillRect/>
                          </a:stretch>
                        </pic:blipFill>
                        <pic:spPr>
                          <a:xfrm>
                            <a:off x="0" y="0"/>
                            <a:ext cx="1065276" cy="411480"/>
                          </a:xfrm>
                          <a:prstGeom prst="rect">
                            <a:avLst/>
                          </a:prstGeom>
                        </pic:spPr>
                      </pic:pic>
                    </a:graphicData>
                  </a:graphic>
                </wp:inline>
              </w:drawing>
            </w:r>
          </w:p>
        </w:tc>
        <w:tc>
          <w:tcPr>
            <w:tcW w:w="7705" w:type="dxa"/>
            <w:tcBorders>
              <w:top w:val="nil"/>
              <w:left w:val="nil"/>
              <w:bottom w:val="nil"/>
              <w:right w:val="nil"/>
            </w:tcBorders>
          </w:tcPr>
          <w:p w14:paraId="672EF0BB" w14:textId="77777777" w:rsidR="00053D93" w:rsidRDefault="00053D93">
            <w:pPr>
              <w:ind w:left="-2778" w:right="10483"/>
            </w:pPr>
          </w:p>
          <w:tbl>
            <w:tblPr>
              <w:tblStyle w:val="TableGrid"/>
              <w:tblW w:w="7664" w:type="dxa"/>
              <w:tblInd w:w="42" w:type="dxa"/>
              <w:tblCellMar>
                <w:top w:w="38" w:type="dxa"/>
                <w:left w:w="1781" w:type="dxa"/>
                <w:right w:w="115" w:type="dxa"/>
              </w:tblCellMar>
              <w:tblLook w:val="04A0" w:firstRow="1" w:lastRow="0" w:firstColumn="1" w:lastColumn="0" w:noHBand="0" w:noVBand="1"/>
            </w:tblPr>
            <w:tblGrid>
              <w:gridCol w:w="7664"/>
            </w:tblGrid>
            <w:tr w:rsidR="00053D93" w14:paraId="745185EA" w14:textId="77777777">
              <w:trPr>
                <w:trHeight w:val="608"/>
              </w:trPr>
              <w:tc>
                <w:tcPr>
                  <w:tcW w:w="7664" w:type="dxa"/>
                  <w:tcBorders>
                    <w:top w:val="single" w:sz="2" w:space="0" w:color="000000"/>
                    <w:left w:val="single" w:sz="2" w:space="0" w:color="000000"/>
                    <w:bottom w:val="nil"/>
                    <w:right w:val="nil"/>
                  </w:tcBorders>
                </w:tcPr>
                <w:p w14:paraId="0ED63192" w14:textId="77777777" w:rsidR="00053D93" w:rsidRDefault="00260B75">
                  <w:pPr>
                    <w:ind w:left="835"/>
                  </w:pPr>
                  <w:r>
                    <w:rPr>
                      <w:sz w:val="14"/>
                    </w:rPr>
                    <w:t>MINISTERIO DE EDUCACION</w:t>
                  </w:r>
                </w:p>
                <w:p w14:paraId="4A385646" w14:textId="77777777" w:rsidR="00053D93" w:rsidRDefault="00260B75">
                  <w:pPr>
                    <w:ind w:left="338"/>
                  </w:pPr>
                  <w:r>
                    <w:rPr>
                      <w:sz w:val="14"/>
                    </w:rPr>
                    <w:t>AUDITORIA FINANCIERA Y OE CUMPLIMIENTO</w:t>
                  </w:r>
                </w:p>
                <w:p w14:paraId="6E52AA05" w14:textId="77777777" w:rsidR="00053D93" w:rsidRDefault="00260B75">
                  <w:r>
                    <w:rPr>
                      <w:sz w:val="14"/>
                    </w:rPr>
                    <w:t>PERÍODO DEL 01 DE ENERO AL 31 DE DiClEMaRE DE 2024</w:t>
                  </w:r>
                </w:p>
              </w:tc>
            </w:tr>
          </w:tbl>
          <w:p w14:paraId="768B44D6" w14:textId="77777777" w:rsidR="00053D93" w:rsidRDefault="00053D93"/>
        </w:tc>
      </w:tr>
    </w:tbl>
    <w:p w14:paraId="49414214" w14:textId="77777777" w:rsidR="00053D93" w:rsidRDefault="00260B75">
      <w:pPr>
        <w:tabs>
          <w:tab w:val="center" w:pos="5936"/>
          <w:tab w:val="center" w:pos="7733"/>
        </w:tabs>
        <w:spacing w:after="142" w:line="313" w:lineRule="auto"/>
      </w:pPr>
      <w:r>
        <w:rPr>
          <w:sz w:val="12"/>
        </w:rPr>
        <w:tab/>
        <w:t>237</w:t>
      </w:r>
      <w:r>
        <w:rPr>
          <w:sz w:val="12"/>
        </w:rPr>
        <w:tab/>
        <w:t xml:space="preserve">Al. </w:t>
      </w:r>
    </w:p>
    <w:p w14:paraId="6790D0EE" w14:textId="77777777" w:rsidR="00053D93" w:rsidRDefault="00260B75">
      <w:pPr>
        <w:spacing w:after="0"/>
        <w:ind w:left="1512"/>
      </w:pPr>
      <w:r>
        <w:rPr>
          <w:noProof/>
        </w:rPr>
        <mc:AlternateContent>
          <mc:Choice Requires="wpg">
            <w:drawing>
              <wp:inline distT="0" distB="0" distL="0" distR="0" wp14:anchorId="7F943DD6" wp14:editId="75154176">
                <wp:extent cx="5513832" cy="13716"/>
                <wp:effectExtent l="0" t="0" r="0" b="0"/>
                <wp:docPr id="2458818" name="Group 2458818"/>
                <wp:cNvGraphicFramePr/>
                <a:graphic xmlns:a="http://schemas.openxmlformats.org/drawingml/2006/main">
                  <a:graphicData uri="http://schemas.microsoft.com/office/word/2010/wordprocessingGroup">
                    <wpg:wgp>
                      <wpg:cNvGrpSpPr/>
                      <wpg:grpSpPr>
                        <a:xfrm>
                          <a:off x="0" y="0"/>
                          <a:ext cx="5513832" cy="13716"/>
                          <a:chOff x="0" y="0"/>
                          <a:chExt cx="5513832" cy="13716"/>
                        </a:xfrm>
                      </wpg:grpSpPr>
                      <wps:wsp>
                        <wps:cNvPr id="2458817" name="Shape 2458817"/>
                        <wps:cNvSpPr/>
                        <wps:spPr>
                          <a:xfrm>
                            <a:off x="0" y="0"/>
                            <a:ext cx="5513832" cy="13716"/>
                          </a:xfrm>
                          <a:custGeom>
                            <a:avLst/>
                            <a:gdLst/>
                            <a:ahLst/>
                            <a:cxnLst/>
                            <a:rect l="0" t="0" r="0" b="0"/>
                            <a:pathLst>
                              <a:path w="5513832" h="13716">
                                <a:moveTo>
                                  <a:pt x="0" y="6858"/>
                                </a:moveTo>
                                <a:lnTo>
                                  <a:pt x="551383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18" style="width:434.16pt;height:1.08001pt;mso-position-horizontal-relative:char;mso-position-vertical-relative:line" coordsize="55138,137">
                <v:shape id="Shape 2458817" style="position:absolute;width:55138;height:137;left:0;top:0;" coordsize="5513832,13716" path="m0,6858l5513832,6858">
                  <v:stroke weight="1.08001pt" endcap="flat" joinstyle="miter" miterlimit="1" on="true" color="#000000"/>
                  <v:fill on="false" color="#000000"/>
                </v:shape>
              </v:group>
            </w:pict>
          </mc:Fallback>
        </mc:AlternateContent>
      </w:r>
    </w:p>
    <w:p w14:paraId="39AC283B" w14:textId="77777777" w:rsidR="00053D93" w:rsidRDefault="00260B75">
      <w:pPr>
        <w:spacing w:after="39" w:line="269" w:lineRule="auto"/>
        <w:ind w:left="1721" w:right="14" w:hanging="1764"/>
        <w:jc w:val="both"/>
      </w:pPr>
      <w:r>
        <w:rPr>
          <w:noProof/>
        </w:rPr>
        <w:drawing>
          <wp:inline distT="0" distB="0" distL="0" distR="0" wp14:anchorId="4B7D3C7C" wp14:editId="1E863B30">
            <wp:extent cx="41148" cy="13716"/>
            <wp:effectExtent l="0" t="0" r="0" b="0"/>
            <wp:docPr id="1076361" name="Picture 1076361"/>
            <wp:cNvGraphicFramePr/>
            <a:graphic xmlns:a="http://schemas.openxmlformats.org/drawingml/2006/main">
              <a:graphicData uri="http://schemas.openxmlformats.org/drawingml/2006/picture">
                <pic:pic xmlns:pic="http://schemas.openxmlformats.org/drawingml/2006/picture">
                  <pic:nvPicPr>
                    <pic:cNvPr id="1076361" name="Picture 1076361"/>
                    <pic:cNvPicPr/>
                  </pic:nvPicPr>
                  <pic:blipFill>
                    <a:blip r:embed="rId1471"/>
                    <a:stretch>
                      <a:fillRect/>
                    </a:stretch>
                  </pic:blipFill>
                  <pic:spPr>
                    <a:xfrm>
                      <a:off x="0" y="0"/>
                      <a:ext cx="41148" cy="13716"/>
                    </a:xfrm>
                    <a:prstGeom prst="rect">
                      <a:avLst/>
                    </a:prstGeom>
                  </pic:spPr>
                </pic:pic>
              </a:graphicData>
            </a:graphic>
          </wp:inline>
        </w:drawing>
      </w:r>
      <w:r>
        <w:rPr>
          <w:sz w:val="26"/>
        </w:rPr>
        <w:t>1 Se -a-dõót6 ¿r hiSnual funcional denominado "Manual de Normas y procedimientos, Departamento de Redes y Telecomunicaciones del Ministerio de Educación que está a lo interno de la Dirección y que tiene fecha de aprobación el 14-10-2021.</w:t>
      </w:r>
    </w:p>
    <w:p w14:paraId="1C903D3F" w14:textId="77777777" w:rsidR="00053D93" w:rsidRDefault="00260B75">
      <w:pPr>
        <w:spacing w:after="3"/>
        <w:ind w:left="24" w:hanging="10"/>
      </w:pPr>
      <w:r>
        <w:rPr>
          <w:sz w:val="72"/>
        </w:rPr>
        <w:t>1</w:t>
      </w:r>
    </w:p>
    <w:p w14:paraId="648A5D3F" w14:textId="77777777" w:rsidR="00053D93" w:rsidRDefault="00260B75">
      <w:pPr>
        <w:spacing w:after="154" w:line="269" w:lineRule="auto"/>
        <w:ind w:left="1724" w:right="14" w:hanging="3"/>
        <w:jc w:val="both"/>
      </w:pPr>
      <w:r>
        <w:rPr>
          <w:sz w:val="26"/>
        </w:rPr>
        <w:t>Conclusión:</w:t>
      </w:r>
    </w:p>
    <w:p w14:paraId="2B281F0B" w14:textId="77777777" w:rsidR="00053D93" w:rsidRDefault="00260B75">
      <w:pPr>
        <w:spacing w:after="26" w:line="269" w:lineRule="auto"/>
        <w:ind w:left="60" w:right="14" w:hanging="3"/>
        <w:jc w:val="both"/>
      </w:pPr>
      <w:r>
        <w:rPr>
          <w:sz w:val="26"/>
        </w:rPr>
        <w:t>1 Por lo anteriormente expuesto, se deja constancia de que las deficiencias señaladas en el hallazgo fueron anticipadamente advertidas, comunicadas y programadas para mitigarlas, mediante análisis técnicos, oficios y reportes que 1 evidencian una gestión activa y responsable."</w:t>
      </w:r>
    </w:p>
    <w:p w14:paraId="3D3BA4B7" w14:textId="77777777" w:rsidR="00053D93" w:rsidRDefault="00260B75">
      <w:pPr>
        <w:spacing w:after="647" w:line="269" w:lineRule="auto"/>
        <w:ind w:left="60" w:right="14" w:hanging="3"/>
        <w:jc w:val="both"/>
      </w:pPr>
      <w:r>
        <w:rPr>
          <w:noProof/>
        </w:rPr>
        <w:drawing>
          <wp:anchor distT="0" distB="0" distL="114300" distR="114300" simplePos="0" relativeHeight="252203008" behindDoc="0" locked="0" layoutInCell="1" allowOverlap="0" wp14:anchorId="1E99679F" wp14:editId="7E2907AA">
            <wp:simplePos x="0" y="0"/>
            <wp:positionH relativeFrom="page">
              <wp:posOffset>329184</wp:posOffset>
            </wp:positionH>
            <wp:positionV relativeFrom="page">
              <wp:posOffset>320040</wp:posOffset>
            </wp:positionV>
            <wp:extent cx="4572" cy="9144"/>
            <wp:effectExtent l="0" t="0" r="0" b="0"/>
            <wp:wrapTopAndBottom/>
            <wp:docPr id="1076360" name="Picture 1076360"/>
            <wp:cNvGraphicFramePr/>
            <a:graphic xmlns:a="http://schemas.openxmlformats.org/drawingml/2006/main">
              <a:graphicData uri="http://schemas.openxmlformats.org/drawingml/2006/picture">
                <pic:pic xmlns:pic="http://schemas.openxmlformats.org/drawingml/2006/picture">
                  <pic:nvPicPr>
                    <pic:cNvPr id="1076360" name="Picture 1076360"/>
                    <pic:cNvPicPr/>
                  </pic:nvPicPr>
                  <pic:blipFill>
                    <a:blip r:embed="rId1472"/>
                    <a:stretch>
                      <a:fillRect/>
                    </a:stretch>
                  </pic:blipFill>
                  <pic:spPr>
                    <a:xfrm>
                      <a:off x="0" y="0"/>
                      <a:ext cx="4572" cy="9144"/>
                    </a:xfrm>
                    <a:prstGeom prst="rect">
                      <a:avLst/>
                    </a:prstGeom>
                  </pic:spPr>
                </pic:pic>
              </a:graphicData>
            </a:graphic>
          </wp:anchor>
        </w:drawing>
      </w:r>
      <w:r>
        <w:rPr>
          <w:sz w:val="26"/>
        </w:rPr>
        <w:t xml:space="preserve">1 En memorial del 10 de abril de 2025, el señor Carlos Antonio Guzmán Coroy, Jefe de Desarrollo e Integración de Soluciones, manifiesta: "Se hace de conocimiento que desde el año 201 1 el director de la Dirección de Informática creo el 1 Departamento de Infraestructura y Servicios Críticos indicando dentro sus argumentos, que debe existir segregación de funciones en la administración de servidores, por lo que el Departamento de Desarrollo e Integración de Soluciones </w:t>
      </w:r>
      <w:r>
        <w:rPr>
          <w:noProof/>
        </w:rPr>
        <mc:AlternateContent>
          <mc:Choice Requires="wpg">
            <w:drawing>
              <wp:inline distT="0" distB="0" distL="0" distR="0" wp14:anchorId="0717FAD9" wp14:editId="3DFF1480">
                <wp:extent cx="118872" cy="292608"/>
                <wp:effectExtent l="0" t="0" r="0" b="0"/>
                <wp:docPr id="2457167" name="Group 2457167"/>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073645" name="Rectangle 1073645"/>
                        <wps:cNvSpPr/>
                        <wps:spPr>
                          <a:xfrm>
                            <a:off x="0" y="0"/>
                            <a:ext cx="158100" cy="389168"/>
                          </a:xfrm>
                          <a:prstGeom prst="rect">
                            <a:avLst/>
                          </a:prstGeom>
                          <a:ln>
                            <a:noFill/>
                          </a:ln>
                        </wps:spPr>
                        <wps:txbx>
                          <w:txbxContent>
                            <w:p w14:paraId="16A2F2C4"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0717FAD9" id="Group 2457167" o:spid="_x0000_s1580"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">
                <v:rect id="Rectangle 1073645" o:spid="_x0000_s1581" style="position:absolute;width:158100;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" filled="f" stroked="f">
                  <v:textbox inset="0,0,0,0">
                    <w:txbxContent>
                      <w:p w14:paraId="16A2F2C4" w14:textId="77777777" w:rsidR="00053D93" w:rsidRDefault="00260B75">
                        <w:r>
                          <w:rPr>
                            <w:sz w:val="70"/>
                          </w:rPr>
                          <w:t>1</w:t>
                        </w:r>
                      </w:p>
                    </w:txbxContent>
                  </v:textbox>
                </v:rect>
                <w10:anchorlock/>
              </v:group>
            </w:pict>
          </mc:Fallback>
        </mc:AlternateContent>
      </w:r>
      <w:r>
        <w:rPr>
          <w:sz w:val="26"/>
        </w:rPr>
        <w:t xml:space="preserve"> no debe tener acceso a administración de servidores, dando la instrucción de asegurar que nadie de dicho departamento tenga permisos de acceso de 1 administración a equipos en centro de datos institucional, de tal forma que el departamento de Desarrollo e Integración de Soluciones no cuenta con acceso a administración de servidores, ni equipos en centro de datos institucional, 1 asimismo, no cuenta con información de configuraciones y actividades de administración del centro de datos, toda vez que esta administración se asignó a otro departamento que a la fecha la Dirección de Informática sigue manteniendo, </w:t>
      </w:r>
      <w:r>
        <w:rPr>
          <w:noProof/>
        </w:rPr>
        <mc:AlternateContent>
          <mc:Choice Requires="wpg">
            <w:drawing>
              <wp:inline distT="0" distB="0" distL="0" distR="0" wp14:anchorId="7DC238C7" wp14:editId="1F093909">
                <wp:extent cx="114300" cy="301752"/>
                <wp:effectExtent l="0" t="0" r="0" b="0"/>
                <wp:docPr id="2457168" name="Group 2457168"/>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1073648" name="Rectangle 1073648"/>
                        <wps:cNvSpPr/>
                        <wps:spPr>
                          <a:xfrm>
                            <a:off x="0" y="0"/>
                            <a:ext cx="152019" cy="401330"/>
                          </a:xfrm>
                          <a:prstGeom prst="rect">
                            <a:avLst/>
                          </a:prstGeom>
                          <a:ln>
                            <a:noFill/>
                          </a:ln>
                        </wps:spPr>
                        <wps:txbx>
                          <w:txbxContent>
                            <w:p w14:paraId="5C41C804"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DC238C7" id="Group 2457168" o:spid="_x0000_s1582"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">
                <v:rect id="Rectangle 1073648" o:spid="_x0000_s1583"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" filled="f" stroked="f">
                  <v:textbox inset="0,0,0,0">
                    <w:txbxContent>
                      <w:p w14:paraId="5C41C804" w14:textId="77777777" w:rsidR="00053D93" w:rsidRDefault="00260B75">
                        <w:r>
                          <w:rPr>
                            <w:sz w:val="70"/>
                          </w:rPr>
                          <w:t>1</w:t>
                        </w:r>
                      </w:p>
                    </w:txbxContent>
                  </v:textbox>
                </v:rect>
                <w10:anchorlock/>
              </v:group>
            </w:pict>
          </mc:Fallback>
        </mc:AlternateContent>
      </w:r>
      <w:r>
        <w:rPr>
          <w:sz w:val="26"/>
        </w:rPr>
        <w:t xml:space="preserve"> según consta en Oficio DINFO No. 0015-2025 que reitera nombramiento de jefatura para dicho departamento.</w:t>
      </w:r>
    </w:p>
    <w:p w14:paraId="342AD167" w14:textId="77777777" w:rsidR="00053D93" w:rsidRDefault="00260B75">
      <w:pPr>
        <w:spacing w:after="574" w:line="216" w:lineRule="auto"/>
        <w:ind w:left="133" w:right="14" w:hanging="3"/>
        <w:jc w:val="both"/>
      </w:pPr>
      <w:r>
        <w:rPr>
          <w:sz w:val="26"/>
        </w:rPr>
        <w:t xml:space="preserve">1 Como se evidencia en las condiciones expuestas, mi puesto no se encuentra dentro de los descritos que tienen responsabilidad directa respecto al almacenaje, </w:t>
      </w:r>
      <w:r>
        <w:rPr>
          <w:noProof/>
        </w:rPr>
        <mc:AlternateContent>
          <mc:Choice Requires="wpg">
            <w:drawing>
              <wp:inline distT="0" distB="0" distL="0" distR="0" wp14:anchorId="3FDDC2CB" wp14:editId="3986CC40">
                <wp:extent cx="118872" cy="292608"/>
                <wp:effectExtent l="0" t="0" r="0" b="0"/>
                <wp:docPr id="2457169" name="Group 2457169"/>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073650" name="Rectangle 1073650"/>
                        <wps:cNvSpPr/>
                        <wps:spPr>
                          <a:xfrm>
                            <a:off x="0" y="0"/>
                            <a:ext cx="158100" cy="389168"/>
                          </a:xfrm>
                          <a:prstGeom prst="rect">
                            <a:avLst/>
                          </a:prstGeom>
                          <a:ln>
                            <a:noFill/>
                          </a:ln>
                        </wps:spPr>
                        <wps:txbx>
                          <w:txbxContent>
                            <w:p w14:paraId="269A1B13"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3FDDC2CB" id="Group 2457169" o:spid="_x0000_s1584"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">
                <v:rect id="Rectangle 1073650" o:spid="_x0000_s1585" style="position:absolute;width:158100;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" filled="f" stroked="f">
                  <v:textbox inset="0,0,0,0">
                    <w:txbxContent>
                      <w:p w14:paraId="269A1B13" w14:textId="77777777" w:rsidR="00053D93" w:rsidRDefault="00260B75">
                        <w:r>
                          <w:rPr>
                            <w:sz w:val="70"/>
                          </w:rPr>
                          <w:t>1</w:t>
                        </w:r>
                      </w:p>
                    </w:txbxContent>
                  </v:textbox>
                </v:rect>
                <w10:anchorlock/>
              </v:group>
            </w:pict>
          </mc:Fallback>
        </mc:AlternateContent>
      </w:r>
      <w:r>
        <w:rPr>
          <w:sz w:val="26"/>
        </w:rPr>
        <w:t xml:space="preserve"> protección, recuperación y transmisión de la información del Ministerio de Educación a través de los sistemas.</w:t>
      </w:r>
    </w:p>
    <w:p w14:paraId="69B03CD9" w14:textId="77777777" w:rsidR="00053D93" w:rsidRDefault="00260B75">
      <w:pPr>
        <w:spacing w:after="42" w:line="269" w:lineRule="auto"/>
        <w:ind w:left="147" w:right="14" w:hanging="3"/>
        <w:jc w:val="both"/>
      </w:pPr>
      <w:r>
        <w:rPr>
          <w:sz w:val="26"/>
        </w:rPr>
        <w:t>1 De igual forma, al revisar los expedientes de compra descritos como eventos para la adquisición de dispositivos de respaldo de la información, se evidencia en el 1 sitio web de Guatecompras los eventos de adquisición NOG 20259840 del 07 de junio de 2024 y NOG 23326719 del 12 de Julio de 2024, son parte del Departamento de Infraestructura y Servicios Críticos de la Dirección de 1 Informática, como consta en requerimientos de compra, y de igual forma se puede evidenciar dentro de los expedientes de dichos procesos que no tengo intervención ni responsabilidad alguna sobre los mismos.</w:t>
      </w:r>
    </w:p>
    <w:p w14:paraId="291B4845" w14:textId="77777777" w:rsidR="00053D93" w:rsidRDefault="00260B75">
      <w:pPr>
        <w:spacing w:after="3"/>
        <w:ind w:left="190" w:right="3485" w:hanging="10"/>
      </w:pPr>
      <w:r>
        <w:rPr>
          <w:sz w:val="70"/>
        </w:rPr>
        <w:t>1</w:t>
      </w:r>
    </w:p>
    <w:p w14:paraId="16B04713" w14:textId="77777777" w:rsidR="00053D93" w:rsidRDefault="00260B75">
      <w:pPr>
        <w:spacing w:after="94" w:line="269" w:lineRule="auto"/>
        <w:ind w:left="67" w:right="14" w:hanging="10"/>
        <w:jc w:val="right"/>
      </w:pPr>
      <w:r>
        <w:rPr>
          <w:sz w:val="26"/>
        </w:rPr>
        <w:t>Se tiene que en el año 2024 de dio un incidente de ataque cibernético, en donde el</w:t>
      </w:r>
    </w:p>
    <w:p w14:paraId="03A36CBD" w14:textId="77777777" w:rsidR="00053D93" w:rsidRDefault="00260B75">
      <w:pPr>
        <w:tabs>
          <w:tab w:val="center" w:pos="281"/>
          <w:tab w:val="right" w:pos="10195"/>
        </w:tabs>
        <w:spacing w:after="4" w:line="269" w:lineRule="auto"/>
      </w:pPr>
      <w:r>
        <w:rPr>
          <w:sz w:val="26"/>
        </w:rPr>
        <w:tab/>
        <w:t>1</w:t>
      </w:r>
      <w:r>
        <w:rPr>
          <w:sz w:val="26"/>
        </w:rPr>
        <w:tab/>
        <w:t>Departamento de Infraestructura y Servicios Críticos, no pudo completar</w:t>
      </w:r>
    </w:p>
    <w:tbl>
      <w:tblPr>
        <w:tblStyle w:val="TableGrid"/>
        <w:tblW w:w="9439" w:type="dxa"/>
        <w:tblInd w:w="785" w:type="dxa"/>
        <w:tblLook w:val="04A0" w:firstRow="1" w:lastRow="0" w:firstColumn="1" w:lastColumn="0" w:noHBand="0" w:noVBand="1"/>
      </w:tblPr>
      <w:tblGrid>
        <w:gridCol w:w="1684"/>
        <w:gridCol w:w="10505"/>
      </w:tblGrid>
      <w:tr w:rsidR="00053D93" w14:paraId="48A364E2" w14:textId="77777777">
        <w:trPr>
          <w:trHeight w:val="648"/>
        </w:trPr>
        <w:tc>
          <w:tcPr>
            <w:tcW w:w="1726" w:type="dxa"/>
            <w:tcBorders>
              <w:top w:val="nil"/>
              <w:left w:val="nil"/>
              <w:bottom w:val="nil"/>
              <w:right w:val="nil"/>
            </w:tcBorders>
          </w:tcPr>
          <w:p w14:paraId="2F8F310E" w14:textId="77777777" w:rsidR="00053D93" w:rsidRDefault="00260B75">
            <w:r>
              <w:rPr>
                <w:noProof/>
              </w:rPr>
              <w:drawing>
                <wp:inline distT="0" distB="0" distL="0" distR="0" wp14:anchorId="03567950" wp14:editId="27789F2C">
                  <wp:extent cx="1069848" cy="411480"/>
                  <wp:effectExtent l="0" t="0" r="0" b="0"/>
                  <wp:docPr id="1076394" name="Picture 1076394"/>
                  <wp:cNvGraphicFramePr/>
                  <a:graphic xmlns:a="http://schemas.openxmlformats.org/drawingml/2006/main">
                    <a:graphicData uri="http://schemas.openxmlformats.org/drawingml/2006/picture">
                      <pic:pic xmlns:pic="http://schemas.openxmlformats.org/drawingml/2006/picture">
                        <pic:nvPicPr>
                          <pic:cNvPr id="1076394" name="Picture 1076394"/>
                          <pic:cNvPicPr/>
                        </pic:nvPicPr>
                        <pic:blipFill>
                          <a:blip r:embed="rId1473"/>
                          <a:stretch>
                            <a:fillRect/>
                          </a:stretch>
                        </pic:blipFill>
                        <pic:spPr>
                          <a:xfrm>
                            <a:off x="0" y="0"/>
                            <a:ext cx="1069848" cy="411480"/>
                          </a:xfrm>
                          <a:prstGeom prst="rect">
                            <a:avLst/>
                          </a:prstGeom>
                        </pic:spPr>
                      </pic:pic>
                    </a:graphicData>
                  </a:graphic>
                </wp:inline>
              </w:drawing>
            </w:r>
          </w:p>
        </w:tc>
        <w:tc>
          <w:tcPr>
            <w:tcW w:w="7713" w:type="dxa"/>
            <w:tcBorders>
              <w:top w:val="nil"/>
              <w:left w:val="nil"/>
              <w:bottom w:val="nil"/>
              <w:right w:val="nil"/>
            </w:tcBorders>
          </w:tcPr>
          <w:p w14:paraId="2359A7E0" w14:textId="77777777" w:rsidR="00053D93" w:rsidRDefault="00053D93">
            <w:pPr>
              <w:ind w:left="-2792" w:right="10505"/>
            </w:pPr>
          </w:p>
          <w:tbl>
            <w:tblPr>
              <w:tblStyle w:val="TableGrid"/>
              <w:tblW w:w="7672" w:type="dxa"/>
              <w:tblInd w:w="41" w:type="dxa"/>
              <w:tblCellMar>
                <w:top w:w="40" w:type="dxa"/>
                <w:left w:w="1782" w:type="dxa"/>
                <w:right w:w="115" w:type="dxa"/>
              </w:tblCellMar>
              <w:tblLook w:val="04A0" w:firstRow="1" w:lastRow="0" w:firstColumn="1" w:lastColumn="0" w:noHBand="0" w:noVBand="1"/>
            </w:tblPr>
            <w:tblGrid>
              <w:gridCol w:w="7672"/>
            </w:tblGrid>
            <w:tr w:rsidR="00053D93" w14:paraId="75444CBC" w14:textId="77777777">
              <w:trPr>
                <w:trHeight w:val="608"/>
              </w:trPr>
              <w:tc>
                <w:tcPr>
                  <w:tcW w:w="7672" w:type="dxa"/>
                  <w:tcBorders>
                    <w:top w:val="single" w:sz="2" w:space="0" w:color="000000"/>
                    <w:left w:val="single" w:sz="2" w:space="0" w:color="000000"/>
                    <w:bottom w:val="nil"/>
                    <w:right w:val="nil"/>
                  </w:tcBorders>
                </w:tcPr>
                <w:p w14:paraId="418A0249" w14:textId="77777777" w:rsidR="00053D93" w:rsidRDefault="00260B75">
                  <w:pPr>
                    <w:ind w:left="842"/>
                  </w:pPr>
                  <w:r>
                    <w:rPr>
                      <w:sz w:val="14"/>
                    </w:rPr>
                    <w:t>MINISTERIO DE EDUCACON</w:t>
                  </w:r>
                </w:p>
                <w:p w14:paraId="6686700D" w14:textId="77777777" w:rsidR="00053D93" w:rsidRDefault="00260B75">
                  <w:pPr>
                    <w:ind w:left="338"/>
                  </w:pPr>
                  <w:r>
                    <w:rPr>
                      <w:sz w:val="14"/>
                    </w:rPr>
                    <w:t>AUDITORIA FINANCIERA Y DE CUMPLTMIENTO</w:t>
                  </w:r>
                </w:p>
                <w:p w14:paraId="4E859224" w14:textId="77777777" w:rsidR="00053D93" w:rsidRDefault="00260B75">
                  <w:r>
                    <w:rPr>
                      <w:sz w:val="14"/>
                    </w:rPr>
                    <w:t>PERIODO DEI. 01 DE ENERO AL 31 DE DICIEMBRE OE 2024</w:t>
                  </w:r>
                </w:p>
              </w:tc>
            </w:tr>
          </w:tbl>
          <w:p w14:paraId="5840CA72" w14:textId="77777777" w:rsidR="00053D93" w:rsidRDefault="00053D93"/>
        </w:tc>
      </w:tr>
    </w:tbl>
    <w:p w14:paraId="3F621A67" w14:textId="77777777" w:rsidR="00053D93" w:rsidRDefault="00260B75">
      <w:pPr>
        <w:spacing w:after="12"/>
        <w:ind w:left="1426"/>
      </w:pPr>
      <w:r>
        <w:rPr>
          <w:noProof/>
        </w:rPr>
        <mc:AlternateContent>
          <mc:Choice Requires="wpg">
            <w:drawing>
              <wp:inline distT="0" distB="0" distL="0" distR="0" wp14:anchorId="597F1BCC" wp14:editId="7C5A3F84">
                <wp:extent cx="5554980" cy="13716"/>
                <wp:effectExtent l="0" t="0" r="0" b="0"/>
                <wp:docPr id="2458825" name="Group 2458825"/>
                <wp:cNvGraphicFramePr/>
                <a:graphic xmlns:a="http://schemas.openxmlformats.org/drawingml/2006/main">
                  <a:graphicData uri="http://schemas.microsoft.com/office/word/2010/wordprocessingGroup">
                    <wpg:wgp>
                      <wpg:cNvGrpSpPr/>
                      <wpg:grpSpPr>
                        <a:xfrm>
                          <a:off x="0" y="0"/>
                          <a:ext cx="5554980" cy="13716"/>
                          <a:chOff x="0" y="0"/>
                          <a:chExt cx="5554980" cy="13716"/>
                        </a:xfrm>
                      </wpg:grpSpPr>
                      <wps:wsp>
                        <wps:cNvPr id="2458824" name="Shape 2458824"/>
                        <wps:cNvSpPr/>
                        <wps:spPr>
                          <a:xfrm>
                            <a:off x="0" y="0"/>
                            <a:ext cx="5554980" cy="13716"/>
                          </a:xfrm>
                          <a:custGeom>
                            <a:avLst/>
                            <a:gdLst/>
                            <a:ahLst/>
                            <a:cxnLst/>
                            <a:rect l="0" t="0" r="0" b="0"/>
                            <a:pathLst>
                              <a:path w="5554980" h="13716">
                                <a:moveTo>
                                  <a:pt x="0" y="6858"/>
                                </a:moveTo>
                                <a:lnTo>
                                  <a:pt x="555498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25" style="width:437.4pt;height:1.08pt;mso-position-horizontal-relative:char;mso-position-vertical-relative:line" coordsize="55549,137">
                <v:shape id="Shape 2458824" style="position:absolute;width:55549;height:137;left:0;top:0;" coordsize="5554980,13716" path="m0,6858l5554980,6858">
                  <v:stroke weight="1.08pt" endcap="flat" joinstyle="miter" miterlimit="1" on="true" color="#000000"/>
                  <v:fill on="false" color="#000000"/>
                </v:shape>
              </v:group>
            </w:pict>
          </mc:Fallback>
        </mc:AlternateContent>
      </w:r>
    </w:p>
    <w:p w14:paraId="319BB544" w14:textId="77777777" w:rsidR="00053D93" w:rsidRDefault="00260B75">
      <w:pPr>
        <w:tabs>
          <w:tab w:val="center" w:pos="4993"/>
        </w:tabs>
        <w:spacing w:after="128" w:line="265" w:lineRule="auto"/>
        <w:ind w:left="-1"/>
      </w:pPr>
      <w:r>
        <w:rPr>
          <w:sz w:val="24"/>
        </w:rPr>
        <w:t>1</w:t>
      </w:r>
      <w:r>
        <w:rPr>
          <w:sz w:val="24"/>
        </w:rPr>
        <w:tab/>
        <w:t>reestablecer completamente la información contenido en backup.</w:t>
      </w:r>
    </w:p>
    <w:p w14:paraId="3D85AEFF" w14:textId="77777777" w:rsidR="00053D93" w:rsidRDefault="00260B75">
      <w:pPr>
        <w:spacing w:after="3" w:line="269" w:lineRule="auto"/>
        <w:ind w:left="67" w:right="14" w:hanging="10"/>
        <w:jc w:val="right"/>
      </w:pPr>
      <w:r>
        <w:rPr>
          <w:sz w:val="26"/>
        </w:rPr>
        <w:t>El comunicado oficial del incidente fue publicado en redes sociales Según lo</w:t>
      </w:r>
    </w:p>
    <w:p w14:paraId="4C973671" w14:textId="77777777" w:rsidR="00053D93" w:rsidRDefault="00260B75">
      <w:pPr>
        <w:spacing w:after="27"/>
        <w:ind w:left="216"/>
      </w:pPr>
      <w:r>
        <w:rPr>
          <w:noProof/>
        </w:rPr>
        <w:drawing>
          <wp:inline distT="0" distB="0" distL="0" distR="0" wp14:anchorId="2D43A610" wp14:editId="17467813">
            <wp:extent cx="4572" cy="9144"/>
            <wp:effectExtent l="0" t="0" r="0" b="0"/>
            <wp:docPr id="1079698" name="Picture 1079698"/>
            <wp:cNvGraphicFramePr/>
            <a:graphic xmlns:a="http://schemas.openxmlformats.org/drawingml/2006/main">
              <a:graphicData uri="http://schemas.openxmlformats.org/drawingml/2006/picture">
                <pic:pic xmlns:pic="http://schemas.openxmlformats.org/drawingml/2006/picture">
                  <pic:nvPicPr>
                    <pic:cNvPr id="1079698" name="Picture 1079698"/>
                    <pic:cNvPicPr/>
                  </pic:nvPicPr>
                  <pic:blipFill>
                    <a:blip r:embed="rId1474"/>
                    <a:stretch>
                      <a:fillRect/>
                    </a:stretch>
                  </pic:blipFill>
                  <pic:spPr>
                    <a:xfrm>
                      <a:off x="0" y="0"/>
                      <a:ext cx="4572" cy="9144"/>
                    </a:xfrm>
                    <a:prstGeom prst="rect">
                      <a:avLst/>
                    </a:prstGeom>
                  </pic:spPr>
                </pic:pic>
              </a:graphicData>
            </a:graphic>
          </wp:inline>
        </w:drawing>
      </w:r>
    </w:p>
    <w:p w14:paraId="601063AB" w14:textId="77777777" w:rsidR="00053D93" w:rsidRDefault="00260B75">
      <w:pPr>
        <w:spacing w:after="278" w:line="269" w:lineRule="auto"/>
        <w:ind w:left="60" w:right="14" w:hanging="3"/>
        <w:jc w:val="both"/>
      </w:pPr>
      <w:r>
        <w:rPr>
          <w:sz w:val="26"/>
        </w:rPr>
        <w:t>1 indicado anteriormente, las atribuciones de políticas, procedimientos y funciones relacionadas con el centro de datos institucional se asignaron al Departamento de 1 Infraestructura y Servicios Críticos, por parte de la Dirección de Informática. Al respecto, dicho departamento con la aprobación de Director de la Dirección de Informática mantiene actualizadas las políticas y procedimientos, como por 1 ejemplo Manual de políticas generales para la gestión de tecnologías de información, Ministerio de Educación. Guatemala. C. A., que contiene Políticas de servidores, seguridad, así como Políticas de respaldos para servidores de bases</w:t>
      </w:r>
    </w:p>
    <w:p w14:paraId="6FCC700F" w14:textId="77777777" w:rsidR="00053D93" w:rsidRDefault="00260B75">
      <w:pPr>
        <w:spacing w:after="613" w:line="332" w:lineRule="auto"/>
        <w:ind w:left="1713" w:right="14" w:hanging="1656"/>
        <w:jc w:val="both"/>
      </w:pPr>
      <w:r>
        <w:rPr>
          <w:sz w:val="26"/>
        </w:rPr>
        <w:t>1</w:t>
      </w:r>
      <w:r>
        <w:rPr>
          <w:sz w:val="26"/>
        </w:rPr>
        <w:tab/>
        <w:t>de datos. También dicho departamento cuenta con Procedimientos de Backup/Restauración.</w:t>
      </w:r>
    </w:p>
    <w:p w14:paraId="10F3E098" w14:textId="77777777" w:rsidR="00053D93" w:rsidRDefault="00260B75">
      <w:pPr>
        <w:spacing w:after="220" w:line="269" w:lineRule="auto"/>
        <w:ind w:left="1699" w:right="14" w:hanging="1642"/>
        <w:jc w:val="both"/>
      </w:pPr>
      <w:r>
        <w:rPr>
          <w:sz w:val="26"/>
        </w:rPr>
        <w:t>1 CONCLUSIONES relacionadas con el hallazgo No. 1 Falta de respaldo de sistemas informáticos</w:t>
      </w:r>
    </w:p>
    <w:p w14:paraId="76FBE57B" w14:textId="77777777" w:rsidR="00053D93" w:rsidRDefault="00260B75">
      <w:pPr>
        <w:spacing w:after="185" w:line="269" w:lineRule="auto"/>
        <w:ind w:left="60" w:right="14" w:hanging="3"/>
        <w:jc w:val="both"/>
      </w:pPr>
      <w:r>
        <w:rPr>
          <w:sz w:val="26"/>
        </w:rPr>
        <w:t>1 1.- Según se hace constar, mi puesto como Jefe del departamento de Desarrollo e Integración de Soluciones, según directrices de la Dirección de informática, no 1 tiene relación alguna con respaldo adecuado de la información oportuna y la tardanza en la gestión o tramites del Ministerio de Educación relacionados con dicho tema.</w:t>
      </w:r>
    </w:p>
    <w:p w14:paraId="389F9DB7" w14:textId="77777777" w:rsidR="00053D93" w:rsidRDefault="00260B75">
      <w:pPr>
        <w:spacing w:after="3"/>
        <w:ind w:left="74" w:right="3485" w:hanging="10"/>
      </w:pPr>
      <w:r>
        <w:rPr>
          <w:sz w:val="70"/>
        </w:rPr>
        <w:t>1</w:t>
      </w:r>
    </w:p>
    <w:p w14:paraId="5E723D09" w14:textId="77777777" w:rsidR="00053D93" w:rsidRDefault="00260B75">
      <w:pPr>
        <w:spacing w:after="236" w:line="248" w:lineRule="auto"/>
        <w:ind w:left="1256" w:right="112" w:hanging="10"/>
        <w:jc w:val="center"/>
      </w:pPr>
      <w:r>
        <w:rPr>
          <w:noProof/>
        </w:rPr>
        <w:drawing>
          <wp:anchor distT="0" distB="0" distL="114300" distR="114300" simplePos="0" relativeHeight="252204032" behindDoc="0" locked="0" layoutInCell="1" allowOverlap="0" wp14:anchorId="05793697" wp14:editId="162FEF7D">
            <wp:simplePos x="0" y="0"/>
            <wp:positionH relativeFrom="page">
              <wp:posOffset>297180</wp:posOffset>
            </wp:positionH>
            <wp:positionV relativeFrom="page">
              <wp:posOffset>356616</wp:posOffset>
            </wp:positionV>
            <wp:extent cx="9144" cy="9144"/>
            <wp:effectExtent l="0" t="0" r="0" b="0"/>
            <wp:wrapTopAndBottom/>
            <wp:docPr id="1079692" name="Picture 1079692"/>
            <wp:cNvGraphicFramePr/>
            <a:graphic xmlns:a="http://schemas.openxmlformats.org/drawingml/2006/main">
              <a:graphicData uri="http://schemas.openxmlformats.org/drawingml/2006/picture">
                <pic:pic xmlns:pic="http://schemas.openxmlformats.org/drawingml/2006/picture">
                  <pic:nvPicPr>
                    <pic:cNvPr id="1079692" name="Picture 1079692"/>
                    <pic:cNvPicPr/>
                  </pic:nvPicPr>
                  <pic:blipFill>
                    <a:blip r:embed="rId1475"/>
                    <a:stretch>
                      <a:fillRect/>
                    </a:stretch>
                  </pic:blipFill>
                  <pic:spPr>
                    <a:xfrm>
                      <a:off x="0" y="0"/>
                      <a:ext cx="9144" cy="9144"/>
                    </a:xfrm>
                    <a:prstGeom prst="rect">
                      <a:avLst/>
                    </a:prstGeom>
                  </pic:spPr>
                </pic:pic>
              </a:graphicData>
            </a:graphic>
          </wp:anchor>
        </w:drawing>
      </w:r>
      <w:r>
        <w:rPr>
          <w:sz w:val="26"/>
        </w:rPr>
        <w:t>2.- Según se hace constar, la Dirección de Informática cuenta con políticas y estrategias de seguridad para accesos a la base de datos, procedimientos de</w:t>
      </w:r>
    </w:p>
    <w:p w14:paraId="5F9C6E04" w14:textId="77777777" w:rsidR="00053D93" w:rsidRDefault="00260B75">
      <w:pPr>
        <w:spacing w:after="4" w:line="403" w:lineRule="auto"/>
        <w:ind w:left="1663" w:right="14" w:hanging="1606"/>
        <w:jc w:val="both"/>
      </w:pPr>
      <w:r>
        <w:rPr>
          <w:sz w:val="26"/>
        </w:rPr>
        <w:t>1 copia de seguridad y resguardo de las mismas, a cargo del Departamento de Infraestructura y Servicios Críticos.</w:t>
      </w:r>
    </w:p>
    <w:p w14:paraId="0F3570F0" w14:textId="77777777" w:rsidR="00053D93" w:rsidRDefault="00260B75">
      <w:pPr>
        <w:spacing w:after="62"/>
        <w:ind w:left="79"/>
      </w:pPr>
      <w:r>
        <w:rPr>
          <w:noProof/>
        </w:rPr>
        <w:drawing>
          <wp:inline distT="0" distB="0" distL="0" distR="0" wp14:anchorId="48033D77" wp14:editId="3F59DAC4">
            <wp:extent cx="18288" cy="13716"/>
            <wp:effectExtent l="0" t="0" r="0" b="0"/>
            <wp:docPr id="1079699" name="Picture 1079699"/>
            <wp:cNvGraphicFramePr/>
            <a:graphic xmlns:a="http://schemas.openxmlformats.org/drawingml/2006/main">
              <a:graphicData uri="http://schemas.openxmlformats.org/drawingml/2006/picture">
                <pic:pic xmlns:pic="http://schemas.openxmlformats.org/drawingml/2006/picture">
                  <pic:nvPicPr>
                    <pic:cNvPr id="1079699" name="Picture 1079699"/>
                    <pic:cNvPicPr/>
                  </pic:nvPicPr>
                  <pic:blipFill>
                    <a:blip r:embed="rId1476"/>
                    <a:stretch>
                      <a:fillRect/>
                    </a:stretch>
                  </pic:blipFill>
                  <pic:spPr>
                    <a:xfrm>
                      <a:off x="0" y="0"/>
                      <a:ext cx="18288" cy="13716"/>
                    </a:xfrm>
                    <a:prstGeom prst="rect">
                      <a:avLst/>
                    </a:prstGeom>
                  </pic:spPr>
                </pic:pic>
              </a:graphicData>
            </a:graphic>
          </wp:inline>
        </w:drawing>
      </w:r>
    </w:p>
    <w:p w14:paraId="103A66BB" w14:textId="77777777" w:rsidR="00053D93" w:rsidRDefault="00260B75">
      <w:pPr>
        <w:spacing w:after="48" w:line="269" w:lineRule="auto"/>
        <w:ind w:left="1706" w:right="14" w:hanging="1584"/>
        <w:jc w:val="both"/>
      </w:pPr>
      <w:r>
        <w:rPr>
          <w:sz w:val="26"/>
        </w:rPr>
        <w:t>1 En memorial del 10 de abril de 2025, el licenciado Andrés Alejandro Úbeda Rosales, Jefe de Redes y Telecomunicaciones, manifiesta: "Como jefe del Depto.</w:t>
      </w:r>
    </w:p>
    <w:p w14:paraId="2B83C89C" w14:textId="77777777" w:rsidR="00053D93" w:rsidRDefault="00260B75">
      <w:pPr>
        <w:spacing w:after="53" w:line="269" w:lineRule="auto"/>
        <w:ind w:left="122" w:right="14" w:hanging="65"/>
        <w:jc w:val="both"/>
      </w:pPr>
      <w:r>
        <w:rPr>
          <w:sz w:val="26"/>
        </w:rPr>
        <w:t>-1 de Redes y Telecomunicaciones mi función es velar que la parte administrativa pueda llevarse a cabo correctamente pero también, velar porque la parte técnica funcione al 100% en este caso particular sobre la herramienta de ANTIVIRUS y de 1 quien la esté operando.</w:t>
      </w:r>
    </w:p>
    <w:p w14:paraId="79B3D6BE" w14:textId="77777777" w:rsidR="00053D93" w:rsidRDefault="00260B75">
      <w:pPr>
        <w:spacing w:after="3" w:line="269" w:lineRule="auto"/>
        <w:ind w:left="67" w:right="14" w:hanging="10"/>
        <w:jc w:val="right"/>
      </w:pPr>
      <w:r>
        <w:rPr>
          <w:sz w:val="26"/>
        </w:rPr>
        <w:t>La constante verificación de la consola de antivirus, es parte vital del</w:t>
      </w:r>
    </w:p>
    <w:p w14:paraId="03424192" w14:textId="77777777" w:rsidR="00053D93" w:rsidRDefault="00260B75">
      <w:pPr>
        <w:spacing w:after="3" w:line="265" w:lineRule="auto"/>
        <w:ind w:left="176" w:right="65" w:hanging="10"/>
      </w:pPr>
      <w:r>
        <w:rPr>
          <w:sz w:val="66"/>
        </w:rPr>
        <w:t>1</w:t>
      </w:r>
    </w:p>
    <w:p w14:paraId="1FDA2BF9" w14:textId="77777777" w:rsidR="00053D93" w:rsidRDefault="00260B75">
      <w:pPr>
        <w:spacing w:after="67" w:line="269" w:lineRule="auto"/>
        <w:ind w:left="130" w:right="14" w:firstLine="1570"/>
        <w:jc w:val="both"/>
      </w:pPr>
      <w:r>
        <w:rPr>
          <w:sz w:val="26"/>
        </w:rPr>
        <w:t xml:space="preserve">departamento de Redes y Telecomunicaciones entre otras actividades propias del </w:t>
      </w:r>
      <w:r>
        <w:rPr>
          <w:noProof/>
        </w:rPr>
        <w:drawing>
          <wp:inline distT="0" distB="0" distL="0" distR="0" wp14:anchorId="752A778D" wp14:editId="79396111">
            <wp:extent cx="4572" cy="13716"/>
            <wp:effectExtent l="0" t="0" r="0" b="0"/>
            <wp:docPr id="1079700" name="Picture 1079700"/>
            <wp:cNvGraphicFramePr/>
            <a:graphic xmlns:a="http://schemas.openxmlformats.org/drawingml/2006/main">
              <a:graphicData uri="http://schemas.openxmlformats.org/drawingml/2006/picture">
                <pic:pic xmlns:pic="http://schemas.openxmlformats.org/drawingml/2006/picture">
                  <pic:nvPicPr>
                    <pic:cNvPr id="1079700" name="Picture 1079700"/>
                    <pic:cNvPicPr/>
                  </pic:nvPicPr>
                  <pic:blipFill>
                    <a:blip r:embed="rId1477"/>
                    <a:stretch>
                      <a:fillRect/>
                    </a:stretch>
                  </pic:blipFill>
                  <pic:spPr>
                    <a:xfrm>
                      <a:off x="0" y="0"/>
                      <a:ext cx="4572" cy="13716"/>
                    </a:xfrm>
                    <a:prstGeom prst="rect">
                      <a:avLst/>
                    </a:prstGeom>
                  </pic:spPr>
                </pic:pic>
              </a:graphicData>
            </a:graphic>
          </wp:inline>
        </w:drawing>
      </w:r>
      <w:r>
        <w:rPr>
          <w:sz w:val="26"/>
        </w:rPr>
        <w:t xml:space="preserve">mismo que también son importantes, pero particularmente respecto al antivirus, se </w:t>
      </w:r>
      <w:r>
        <w:rPr>
          <w:noProof/>
        </w:rPr>
        <w:drawing>
          <wp:inline distT="0" distB="0" distL="0" distR="0" wp14:anchorId="294DCB54" wp14:editId="287E1CA0">
            <wp:extent cx="13716" cy="13716"/>
            <wp:effectExtent l="0" t="0" r="0" b="0"/>
            <wp:docPr id="1079701" name="Picture 1079701"/>
            <wp:cNvGraphicFramePr/>
            <a:graphic xmlns:a="http://schemas.openxmlformats.org/drawingml/2006/main">
              <a:graphicData uri="http://schemas.openxmlformats.org/drawingml/2006/picture">
                <pic:pic xmlns:pic="http://schemas.openxmlformats.org/drawingml/2006/picture">
                  <pic:nvPicPr>
                    <pic:cNvPr id="1079701" name="Picture 1079701"/>
                    <pic:cNvPicPr/>
                  </pic:nvPicPr>
                  <pic:blipFill>
                    <a:blip r:embed="rId1478"/>
                    <a:stretch>
                      <a:fillRect/>
                    </a:stretch>
                  </pic:blipFill>
                  <pic:spPr>
                    <a:xfrm>
                      <a:off x="0" y="0"/>
                      <a:ext cx="13716" cy="13716"/>
                    </a:xfrm>
                    <a:prstGeom prst="rect">
                      <a:avLst/>
                    </a:prstGeom>
                  </pic:spPr>
                </pic:pic>
              </a:graphicData>
            </a:graphic>
          </wp:inline>
        </w:drawing>
      </w:r>
      <w:r>
        <w:rPr>
          <w:sz w:val="26"/>
        </w:rPr>
        <w:t xml:space="preserve">1 tiene una consola en donde el actor principal es el que opera pero también la desconcentración de los servicios en donde el involucramiento de los coordinadores de informática en las distintas sedes departamentales juegan un </w:t>
      </w:r>
      <w:r>
        <w:rPr>
          <w:noProof/>
        </w:rPr>
        <w:drawing>
          <wp:inline distT="0" distB="0" distL="0" distR="0" wp14:anchorId="091CE811" wp14:editId="34FF81A9">
            <wp:extent cx="13716" cy="13715"/>
            <wp:effectExtent l="0" t="0" r="0" b="0"/>
            <wp:docPr id="1079702" name="Picture 1079702"/>
            <wp:cNvGraphicFramePr/>
            <a:graphic xmlns:a="http://schemas.openxmlformats.org/drawingml/2006/main">
              <a:graphicData uri="http://schemas.openxmlformats.org/drawingml/2006/picture">
                <pic:pic xmlns:pic="http://schemas.openxmlformats.org/drawingml/2006/picture">
                  <pic:nvPicPr>
                    <pic:cNvPr id="1079702" name="Picture 1079702"/>
                    <pic:cNvPicPr/>
                  </pic:nvPicPr>
                  <pic:blipFill>
                    <a:blip r:embed="rId1479"/>
                    <a:stretch>
                      <a:fillRect/>
                    </a:stretch>
                  </pic:blipFill>
                  <pic:spPr>
                    <a:xfrm>
                      <a:off x="0" y="0"/>
                      <a:ext cx="13716" cy="13715"/>
                    </a:xfrm>
                    <a:prstGeom prst="rect">
                      <a:avLst/>
                    </a:prstGeom>
                  </pic:spPr>
                </pic:pic>
              </a:graphicData>
            </a:graphic>
          </wp:inline>
        </w:drawing>
      </w:r>
      <w:r>
        <w:rPr>
          <w:sz w:val="26"/>
        </w:rPr>
        <w:t>1 papel de importante porque ellos son nuestros ojos en cada sitio.</w:t>
      </w:r>
    </w:p>
    <w:p w14:paraId="0FD5B033" w14:textId="77777777" w:rsidR="00053D93" w:rsidRDefault="00260B75">
      <w:pPr>
        <w:tabs>
          <w:tab w:val="center" w:pos="299"/>
          <w:tab w:val="right" w:pos="10195"/>
        </w:tabs>
        <w:spacing w:after="237" w:line="269" w:lineRule="auto"/>
      </w:pPr>
      <w:r>
        <w:rPr>
          <w:sz w:val="26"/>
        </w:rPr>
        <w:tab/>
        <w:t>1</w:t>
      </w:r>
      <w:r>
        <w:rPr>
          <w:sz w:val="26"/>
        </w:rPr>
        <w:tab/>
        <w:t>Diariamente, se entra a la consola, se envían correos por el administrador de la</w:t>
      </w:r>
    </w:p>
    <w:tbl>
      <w:tblPr>
        <w:tblStyle w:val="TableGrid"/>
        <w:tblpPr w:vertAnchor="text" w:tblpX="2568" w:tblpY="-7"/>
        <w:tblOverlap w:val="never"/>
        <w:tblW w:w="7628" w:type="dxa"/>
        <w:tblInd w:w="0" w:type="dxa"/>
        <w:tblCellMar>
          <w:top w:w="46" w:type="dxa"/>
          <w:left w:w="1745" w:type="dxa"/>
          <w:right w:w="115" w:type="dxa"/>
        </w:tblCellMar>
        <w:tblLook w:val="04A0" w:firstRow="1" w:lastRow="0" w:firstColumn="1" w:lastColumn="0" w:noHBand="0" w:noVBand="1"/>
      </w:tblPr>
      <w:tblGrid>
        <w:gridCol w:w="7628"/>
      </w:tblGrid>
      <w:tr w:rsidR="00053D93" w14:paraId="7B4E9C78" w14:textId="77777777">
        <w:trPr>
          <w:trHeight w:val="41"/>
        </w:trPr>
        <w:tc>
          <w:tcPr>
            <w:tcW w:w="7628" w:type="dxa"/>
            <w:tcBorders>
              <w:top w:val="nil"/>
              <w:left w:val="single" w:sz="2" w:space="0" w:color="000000"/>
              <w:bottom w:val="single" w:sz="2" w:space="0" w:color="000000"/>
              <w:right w:val="nil"/>
            </w:tcBorders>
          </w:tcPr>
          <w:p w14:paraId="13D55C9D" w14:textId="77777777" w:rsidR="00053D93" w:rsidRDefault="00053D93"/>
        </w:tc>
      </w:tr>
      <w:tr w:rsidR="00053D93" w14:paraId="52383933" w14:textId="77777777">
        <w:trPr>
          <w:trHeight w:val="600"/>
        </w:trPr>
        <w:tc>
          <w:tcPr>
            <w:tcW w:w="7628" w:type="dxa"/>
            <w:tcBorders>
              <w:top w:val="single" w:sz="2" w:space="0" w:color="000000"/>
              <w:left w:val="single" w:sz="2" w:space="0" w:color="000000"/>
              <w:bottom w:val="nil"/>
              <w:right w:val="nil"/>
            </w:tcBorders>
          </w:tcPr>
          <w:p w14:paraId="11D59298" w14:textId="77777777" w:rsidR="00053D93" w:rsidRDefault="00260B75">
            <w:pPr>
              <w:ind w:left="828"/>
            </w:pPr>
            <w:r>
              <w:rPr>
                <w:sz w:val="14"/>
              </w:rPr>
              <w:t>MINISTERIO DE EDUCACION</w:t>
            </w:r>
          </w:p>
          <w:p w14:paraId="49659361" w14:textId="77777777" w:rsidR="00053D93" w:rsidRDefault="00260B75">
            <w:pPr>
              <w:ind w:left="338"/>
            </w:pPr>
            <w:r>
              <w:rPr>
                <w:sz w:val="14"/>
              </w:rPr>
              <w:t>AUDITORIA FINANCIERA Y DE CUMPL(MIENTO</w:t>
            </w:r>
          </w:p>
          <w:p w14:paraId="58D3D8FD" w14:textId="77777777" w:rsidR="00053D93" w:rsidRDefault="00260B75">
            <w:r>
              <w:rPr>
                <w:sz w:val="14"/>
              </w:rPr>
              <w:t>PERIODO OEt. 01 OE ENERO AL 31 DE DICIEMBRE DE 2024</w:t>
            </w:r>
          </w:p>
        </w:tc>
      </w:tr>
    </w:tbl>
    <w:p w14:paraId="51F74AD1" w14:textId="77777777" w:rsidR="00053D93" w:rsidRDefault="00260B75">
      <w:pPr>
        <w:pStyle w:val="Ttulo1"/>
        <w:spacing w:after="175" w:line="259" w:lineRule="auto"/>
        <w:ind w:left="226" w:right="-7646"/>
        <w:jc w:val="left"/>
      </w:pPr>
      <w:r>
        <w:rPr>
          <w:sz w:val="32"/>
        </w:rPr>
        <w:t xml:space="preserve">I III </w:t>
      </w:r>
      <w:r>
        <w:rPr>
          <w:noProof/>
        </w:rPr>
        <w:drawing>
          <wp:inline distT="0" distB="0" distL="0" distR="0" wp14:anchorId="491DEDB0" wp14:editId="1C3442BF">
            <wp:extent cx="877824" cy="406908"/>
            <wp:effectExtent l="0" t="0" r="0" b="0"/>
            <wp:docPr id="2458822" name="Picture 2458822"/>
            <wp:cNvGraphicFramePr/>
            <a:graphic xmlns:a="http://schemas.openxmlformats.org/drawingml/2006/main">
              <a:graphicData uri="http://schemas.openxmlformats.org/drawingml/2006/picture">
                <pic:pic xmlns:pic="http://schemas.openxmlformats.org/drawingml/2006/picture">
                  <pic:nvPicPr>
                    <pic:cNvPr id="2458822" name="Picture 2458822"/>
                    <pic:cNvPicPr/>
                  </pic:nvPicPr>
                  <pic:blipFill>
                    <a:blip r:embed="rId1480"/>
                    <a:stretch>
                      <a:fillRect/>
                    </a:stretch>
                  </pic:blipFill>
                  <pic:spPr>
                    <a:xfrm>
                      <a:off x="0" y="0"/>
                      <a:ext cx="877824" cy="406908"/>
                    </a:xfrm>
                    <a:prstGeom prst="rect">
                      <a:avLst/>
                    </a:prstGeom>
                  </pic:spPr>
                </pic:pic>
              </a:graphicData>
            </a:graphic>
          </wp:inline>
        </w:drawing>
      </w:r>
      <w:r>
        <w:rPr>
          <w:sz w:val="32"/>
        </w:rPr>
        <w:t>II</w:t>
      </w:r>
    </w:p>
    <w:p w14:paraId="16FE2658" w14:textId="77777777" w:rsidR="00053D93" w:rsidRDefault="00053D93">
      <w:pPr>
        <w:sectPr w:rsidR="00053D93">
          <w:headerReference w:type="even" r:id="rId1481"/>
          <w:headerReference w:type="default" r:id="rId1482"/>
          <w:footerReference w:type="even" r:id="rId1483"/>
          <w:footerReference w:type="default" r:id="rId1484"/>
          <w:headerReference w:type="first" r:id="rId1485"/>
          <w:footerReference w:type="first" r:id="rId1486"/>
          <w:pgSz w:w="12290" w:h="15883"/>
          <w:pgMar w:top="745" w:right="1814" w:bottom="541" w:left="281" w:header="353" w:footer="720" w:gutter="0"/>
          <w:cols w:space="720"/>
          <w:titlePg/>
        </w:sectPr>
      </w:pPr>
    </w:p>
    <w:p w14:paraId="2F11BF75" w14:textId="77777777" w:rsidR="00053D93" w:rsidRDefault="00260B75">
      <w:pPr>
        <w:spacing w:after="0" w:line="265" w:lineRule="auto"/>
        <w:ind w:left="1716" w:hanging="10"/>
        <w:jc w:val="center"/>
      </w:pPr>
      <w:r>
        <w:rPr>
          <w:rFonts w:ascii="Courier New" w:eastAsia="Courier New" w:hAnsi="Courier New" w:cs="Courier New"/>
          <w:sz w:val="12"/>
        </w:rPr>
        <w:t>23g</w:t>
      </w:r>
    </w:p>
    <w:p w14:paraId="56EABBE7" w14:textId="77777777" w:rsidR="00053D93" w:rsidRDefault="00260B75">
      <w:pPr>
        <w:spacing w:after="0"/>
        <w:ind w:left="1325" w:right="-7"/>
      </w:pPr>
      <w:r>
        <w:rPr>
          <w:noProof/>
        </w:rPr>
        <w:drawing>
          <wp:inline distT="0" distB="0" distL="0" distR="0" wp14:anchorId="1BF149A5" wp14:editId="12A2F185">
            <wp:extent cx="5641848" cy="182880"/>
            <wp:effectExtent l="0" t="0" r="0" b="0"/>
            <wp:docPr id="2458826" name="Picture 2458826"/>
            <wp:cNvGraphicFramePr/>
            <a:graphic xmlns:a="http://schemas.openxmlformats.org/drawingml/2006/main">
              <a:graphicData uri="http://schemas.openxmlformats.org/drawingml/2006/picture">
                <pic:pic xmlns:pic="http://schemas.openxmlformats.org/drawingml/2006/picture">
                  <pic:nvPicPr>
                    <pic:cNvPr id="2458826" name="Picture 2458826"/>
                    <pic:cNvPicPr/>
                  </pic:nvPicPr>
                  <pic:blipFill>
                    <a:blip r:embed="rId1487"/>
                    <a:stretch>
                      <a:fillRect/>
                    </a:stretch>
                  </pic:blipFill>
                  <pic:spPr>
                    <a:xfrm>
                      <a:off x="0" y="0"/>
                      <a:ext cx="5641848" cy="182880"/>
                    </a:xfrm>
                    <a:prstGeom prst="rect">
                      <a:avLst/>
                    </a:prstGeom>
                  </pic:spPr>
                </pic:pic>
              </a:graphicData>
            </a:graphic>
          </wp:inline>
        </w:drawing>
      </w:r>
    </w:p>
    <w:p w14:paraId="063762F1" w14:textId="77777777" w:rsidR="00053D93" w:rsidRDefault="00260B75">
      <w:pPr>
        <w:spacing w:after="285" w:line="269" w:lineRule="auto"/>
        <w:ind w:left="1736" w:right="14" w:hanging="58"/>
        <w:jc w:val="both"/>
      </w:pPr>
      <w:r>
        <w:rPr>
          <w:sz w:val="26"/>
        </w:rPr>
        <w:t>her-ràfiiiéñtã ¿-ridoñde siehhó?õ se -notifica a-los usuarios finales que deben reiniciar sus equipos o bien, el paquete está mal instalado y necesita ser intervenido para evitar malos funcionamientos de la herramienta. Todo esto aplica para direcciones departamentales y planta central.</w:t>
      </w:r>
    </w:p>
    <w:p w14:paraId="15DB58BF" w14:textId="77777777" w:rsidR="00053D93" w:rsidRDefault="00260B75">
      <w:pPr>
        <w:spacing w:after="4" w:line="269" w:lineRule="auto"/>
        <w:ind w:left="1745" w:right="14" w:hanging="3"/>
        <w:jc w:val="both"/>
      </w:pPr>
      <w:r>
        <w:rPr>
          <w:sz w:val="26"/>
        </w:rPr>
        <w:t>Respecto a los equipos: IP 192.168.130.37, 192.168.130.1 12, 192.168.187.1 1 1, 172.20.1 1.2. DG17GYSY8N2 y DESKTOP-T3-GRRGB en el oficio DINFO</w:t>
      </w:r>
    </w:p>
    <w:p w14:paraId="1AE85CC6" w14:textId="77777777" w:rsidR="00053D93" w:rsidRDefault="00260B75">
      <w:pPr>
        <w:spacing w:after="172" w:line="269" w:lineRule="auto"/>
        <w:ind w:left="57" w:right="14" w:firstLine="1656"/>
        <w:jc w:val="both"/>
      </w:pPr>
      <w:r>
        <w:rPr>
          <w:sz w:val="26"/>
        </w:rPr>
        <w:t>348-2025 de fecha 28 de febrero del 2025 se describe que los equipos siempre 1 fueron escaneados y siempre tuvieron el antivirus instalado como habitualmente se realiza, sin embargo, es necesario entender que por el tipo de ataque 1 denominado como RANSOMWARE HUB lo que busca inicialmente es escalar privilegios o bien, buscar usuarios con perfil de administrador y realizar el ataque dentro de la red.</w:t>
      </w:r>
    </w:p>
    <w:p w14:paraId="5F3BD30C" w14:textId="77777777" w:rsidR="00053D93" w:rsidRDefault="00260B75">
      <w:pPr>
        <w:spacing w:after="3"/>
        <w:ind w:left="89" w:hanging="10"/>
      </w:pPr>
      <w:r>
        <w:rPr>
          <w:sz w:val="72"/>
        </w:rPr>
        <w:t>1</w:t>
      </w:r>
    </w:p>
    <w:p w14:paraId="151C5944" w14:textId="77777777" w:rsidR="00053D93" w:rsidRDefault="00260B75">
      <w:pPr>
        <w:spacing w:after="125" w:line="269" w:lineRule="auto"/>
        <w:ind w:left="57" w:right="14" w:firstLine="1649"/>
        <w:jc w:val="both"/>
      </w:pPr>
      <w:r>
        <w:rPr>
          <w:sz w:val="26"/>
        </w:rPr>
        <w:t>Indistintamente la solución de antivirus que tenga un equipo o servidor, si el atacante tiene decomisado el usuario de la institución con perfil de administrador 1 puede desinstalar el paquete y realizar modificaciones sin problema alguno que básicamente es lo que realizó el atacante remotamente y trata de buscar un medio 1 o vehículo para atacar y su forma de realizarlo fue: usurpar los usuarios de dominio con perfil de administrador y posteriormente realizar la encriptación de los equipos de la institución para después solicitar " RESCATE " de la información.</w:t>
      </w:r>
    </w:p>
    <w:p w14:paraId="7B993A60" w14:textId="77777777" w:rsidR="00053D93" w:rsidRDefault="00260B75">
      <w:pPr>
        <w:spacing w:after="3"/>
        <w:ind w:left="89" w:hanging="10"/>
      </w:pPr>
      <w:r>
        <w:rPr>
          <w:sz w:val="72"/>
        </w:rPr>
        <w:t>1</w:t>
      </w:r>
    </w:p>
    <w:p w14:paraId="40616950" w14:textId="77777777" w:rsidR="00053D93" w:rsidRDefault="00260B75">
      <w:pPr>
        <w:spacing w:after="182" w:line="269" w:lineRule="auto"/>
        <w:ind w:left="57" w:right="14" w:firstLine="1627"/>
        <w:jc w:val="both"/>
      </w:pPr>
      <w:r>
        <w:rPr>
          <w:sz w:val="26"/>
        </w:rPr>
        <w:t>Por otra parte, el tema de antivirus es ajeno a la política de backups de los sistemas o bases de datos que es una actividad propiamente del Depto. de 1 Infraestructura y Servicios Críticos, esto debido a que la única relación que tiene la perdida de información o de datos, es la parte administrativa y seguimiento para 1 adquirir [a solución de respaldos nuevamente.</w:t>
      </w:r>
    </w:p>
    <w:p w14:paraId="74120663" w14:textId="77777777" w:rsidR="00053D93" w:rsidRDefault="00260B75">
      <w:pPr>
        <w:spacing w:after="38" w:line="269" w:lineRule="auto"/>
        <w:ind w:left="57" w:right="14" w:firstLine="1606"/>
        <w:jc w:val="both"/>
      </w:pPr>
      <w:r>
        <w:rPr>
          <w:sz w:val="26"/>
        </w:rPr>
        <w:t>En conclusión, la premisa de trabajo de mi departamento como Redes y 1 Telecomunicaciones es OJOS EN TODOS LADOS y parte de configurar la consola de antivirus es velar porque esté en buen funcionamiento y Io mas importante, notificar a las áreas involucradas por ejemplo: Soporte técnico, 1 Direcciones departamentales e Infraestructura que el antivirus presenta o necesita ser intervenido por cualquier situación que esté pasando en ese momento. La</w:t>
      </w:r>
    </w:p>
    <w:p w14:paraId="728C0C7B" w14:textId="77777777" w:rsidR="00053D93" w:rsidRDefault="00260B75">
      <w:pPr>
        <w:spacing w:after="171" w:line="480" w:lineRule="auto"/>
        <w:ind w:left="1684" w:right="14" w:hanging="1627"/>
        <w:jc w:val="both"/>
      </w:pPr>
      <w:r>
        <w:rPr>
          <w:noProof/>
        </w:rPr>
        <w:drawing>
          <wp:inline distT="0" distB="0" distL="0" distR="0" wp14:anchorId="10184619" wp14:editId="0E45EB33">
            <wp:extent cx="18288" cy="4572"/>
            <wp:effectExtent l="0" t="0" r="0" b="0"/>
            <wp:docPr id="1083192" name="Picture 1083192"/>
            <wp:cNvGraphicFramePr/>
            <a:graphic xmlns:a="http://schemas.openxmlformats.org/drawingml/2006/main">
              <a:graphicData uri="http://schemas.openxmlformats.org/drawingml/2006/picture">
                <pic:pic xmlns:pic="http://schemas.openxmlformats.org/drawingml/2006/picture">
                  <pic:nvPicPr>
                    <pic:cNvPr id="1083192" name="Picture 1083192"/>
                    <pic:cNvPicPr/>
                  </pic:nvPicPr>
                  <pic:blipFill>
                    <a:blip r:embed="rId93"/>
                    <a:stretch>
                      <a:fillRect/>
                    </a:stretch>
                  </pic:blipFill>
                  <pic:spPr>
                    <a:xfrm>
                      <a:off x="0" y="0"/>
                      <a:ext cx="18288" cy="4572"/>
                    </a:xfrm>
                    <a:prstGeom prst="rect">
                      <a:avLst/>
                    </a:prstGeom>
                  </pic:spPr>
                </pic:pic>
              </a:graphicData>
            </a:graphic>
          </wp:inline>
        </w:drawing>
      </w:r>
      <w:r>
        <w:rPr>
          <w:sz w:val="26"/>
        </w:rPr>
        <w:t>1 instalación del paquete de antivirus en las maquinas es por parte de soporte técnico y del área de servidores es Infraestructura."</w:t>
      </w:r>
    </w:p>
    <w:p w14:paraId="01C7C917" w14:textId="77777777" w:rsidR="00053D93" w:rsidRDefault="00260B75">
      <w:pPr>
        <w:spacing w:after="362" w:line="269" w:lineRule="auto"/>
        <w:ind w:left="60" w:right="14" w:hanging="3"/>
        <w:jc w:val="both"/>
      </w:pPr>
      <w:r>
        <w:rPr>
          <w:sz w:val="26"/>
        </w:rPr>
        <w:t>1 En memorial del 10 de abril de 2025, la ingeniera Beisy Gabriela García Corado, Jefe en Funciones de Infraestructura y Servicios Críticos, manifiesta: "Durante el período señalado, me desempeñé como jefe en funciones de la Dirección de 1 Infraestructura y Servicios Críticos. Sin embargo, no fui nombrada oficialmente como titular del cargo, por lo que no había persona asignada formalmente a las responsabilidades correspondientes.</w:t>
      </w:r>
    </w:p>
    <w:tbl>
      <w:tblPr>
        <w:tblStyle w:val="TableGrid"/>
        <w:tblpPr w:vertAnchor="text" w:tblpX="2520" w:tblpY="7"/>
        <w:tblOverlap w:val="never"/>
        <w:tblW w:w="7618" w:type="dxa"/>
        <w:tblInd w:w="0" w:type="dxa"/>
        <w:tblCellMar>
          <w:top w:w="25" w:type="dxa"/>
          <w:left w:w="1742" w:type="dxa"/>
          <w:right w:w="115" w:type="dxa"/>
        </w:tblCellMar>
        <w:tblLook w:val="04A0" w:firstRow="1" w:lastRow="0" w:firstColumn="1" w:lastColumn="0" w:noHBand="0" w:noVBand="1"/>
      </w:tblPr>
      <w:tblGrid>
        <w:gridCol w:w="7618"/>
      </w:tblGrid>
      <w:tr w:rsidR="00053D93" w14:paraId="3442629A" w14:textId="77777777">
        <w:trPr>
          <w:trHeight w:val="58"/>
        </w:trPr>
        <w:tc>
          <w:tcPr>
            <w:tcW w:w="7618" w:type="dxa"/>
            <w:tcBorders>
              <w:top w:val="nil"/>
              <w:left w:val="single" w:sz="2" w:space="0" w:color="000000"/>
              <w:bottom w:val="single" w:sz="2" w:space="0" w:color="000000"/>
              <w:right w:val="nil"/>
            </w:tcBorders>
          </w:tcPr>
          <w:p w14:paraId="687A3B50" w14:textId="77777777" w:rsidR="00053D93" w:rsidRDefault="00053D93"/>
        </w:tc>
      </w:tr>
      <w:tr w:rsidR="00053D93" w14:paraId="2C1895CF" w14:textId="77777777">
        <w:trPr>
          <w:trHeight w:val="576"/>
        </w:trPr>
        <w:tc>
          <w:tcPr>
            <w:tcW w:w="7618" w:type="dxa"/>
            <w:tcBorders>
              <w:top w:val="single" w:sz="2" w:space="0" w:color="000000"/>
              <w:left w:val="single" w:sz="2" w:space="0" w:color="000000"/>
              <w:bottom w:val="nil"/>
              <w:right w:val="nil"/>
            </w:tcBorders>
          </w:tcPr>
          <w:p w14:paraId="71CD860F" w14:textId="77777777" w:rsidR="00053D93" w:rsidRDefault="00260B75">
            <w:pPr>
              <w:ind w:left="835"/>
            </w:pPr>
            <w:r>
              <w:rPr>
                <w:sz w:val="14"/>
              </w:rPr>
              <w:t>MINISTERIO DE EDUCACION</w:t>
            </w:r>
          </w:p>
          <w:p w14:paraId="749CDEAA" w14:textId="77777777" w:rsidR="00053D93" w:rsidRDefault="00260B75">
            <w:pPr>
              <w:ind w:left="338"/>
            </w:pPr>
            <w:r>
              <w:rPr>
                <w:sz w:val="14"/>
              </w:rPr>
              <w:t>AUDITORIA FINANCIERA Y DE CUMPLIMIENTO</w:t>
            </w:r>
          </w:p>
          <w:p w14:paraId="41170B48" w14:textId="77777777" w:rsidR="00053D93" w:rsidRDefault="00260B75">
            <w:r>
              <w:rPr>
                <w:sz w:val="14"/>
              </w:rPr>
              <w:t>PERÍODO DEL 01 DE ENERO AL 31 OE DICIEMERE DE 2024</w:t>
            </w:r>
          </w:p>
        </w:tc>
      </w:tr>
    </w:tbl>
    <w:p w14:paraId="4637F912" w14:textId="77777777" w:rsidR="00053D93" w:rsidRDefault="00260B75">
      <w:pPr>
        <w:spacing w:after="3"/>
        <w:ind w:left="74" w:right="3485" w:hanging="10"/>
      </w:pPr>
      <w:r>
        <w:rPr>
          <w:sz w:val="70"/>
        </w:rPr>
        <w:t xml:space="preserve">1 </w:t>
      </w:r>
      <w:r>
        <w:rPr>
          <w:noProof/>
        </w:rPr>
        <w:drawing>
          <wp:inline distT="0" distB="0" distL="0" distR="0" wp14:anchorId="2B5CCD42" wp14:editId="223B2CA1">
            <wp:extent cx="1120140" cy="406908"/>
            <wp:effectExtent l="0" t="0" r="0" b="0"/>
            <wp:docPr id="1083250" name="Picture 1083250"/>
            <wp:cNvGraphicFramePr/>
            <a:graphic xmlns:a="http://schemas.openxmlformats.org/drawingml/2006/main">
              <a:graphicData uri="http://schemas.openxmlformats.org/drawingml/2006/picture">
                <pic:pic xmlns:pic="http://schemas.openxmlformats.org/drawingml/2006/picture">
                  <pic:nvPicPr>
                    <pic:cNvPr id="1083250" name="Picture 1083250"/>
                    <pic:cNvPicPr/>
                  </pic:nvPicPr>
                  <pic:blipFill>
                    <a:blip r:embed="rId1488"/>
                    <a:stretch>
                      <a:fillRect/>
                    </a:stretch>
                  </pic:blipFill>
                  <pic:spPr>
                    <a:xfrm>
                      <a:off x="0" y="0"/>
                      <a:ext cx="1120140" cy="406908"/>
                    </a:xfrm>
                    <a:prstGeom prst="rect">
                      <a:avLst/>
                    </a:prstGeom>
                  </pic:spPr>
                </pic:pic>
              </a:graphicData>
            </a:graphic>
          </wp:inline>
        </w:drawing>
      </w:r>
    </w:p>
    <w:p w14:paraId="6C5AFD54" w14:textId="77777777" w:rsidR="00053D93" w:rsidRDefault="00260B75">
      <w:pPr>
        <w:spacing w:after="339"/>
        <w:ind w:left="1375" w:right="-14"/>
      </w:pPr>
      <w:r>
        <w:rPr>
          <w:noProof/>
        </w:rPr>
        <mc:AlternateContent>
          <mc:Choice Requires="wpg">
            <w:drawing>
              <wp:inline distT="0" distB="0" distL="0" distR="0" wp14:anchorId="532BD32F" wp14:editId="5351A2D7">
                <wp:extent cx="5609844" cy="13716"/>
                <wp:effectExtent l="0" t="0" r="0" b="0"/>
                <wp:docPr id="2458829" name="Group 2458829"/>
                <wp:cNvGraphicFramePr/>
                <a:graphic xmlns:a="http://schemas.openxmlformats.org/drawingml/2006/main">
                  <a:graphicData uri="http://schemas.microsoft.com/office/word/2010/wordprocessingGroup">
                    <wpg:wgp>
                      <wpg:cNvGrpSpPr/>
                      <wpg:grpSpPr>
                        <a:xfrm>
                          <a:off x="0" y="0"/>
                          <a:ext cx="5609844" cy="13716"/>
                          <a:chOff x="0" y="0"/>
                          <a:chExt cx="5609844" cy="13716"/>
                        </a:xfrm>
                      </wpg:grpSpPr>
                      <wps:wsp>
                        <wps:cNvPr id="2458828" name="Shape 2458828"/>
                        <wps:cNvSpPr/>
                        <wps:spPr>
                          <a:xfrm>
                            <a:off x="0" y="0"/>
                            <a:ext cx="5609844" cy="13716"/>
                          </a:xfrm>
                          <a:custGeom>
                            <a:avLst/>
                            <a:gdLst/>
                            <a:ahLst/>
                            <a:cxnLst/>
                            <a:rect l="0" t="0" r="0" b="0"/>
                            <a:pathLst>
                              <a:path w="5609844" h="13716">
                                <a:moveTo>
                                  <a:pt x="0" y="6858"/>
                                </a:moveTo>
                                <a:lnTo>
                                  <a:pt x="56098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29" style="width:441.72pt;height:1.08001pt;mso-position-horizontal-relative:char;mso-position-vertical-relative:line" coordsize="56098,137">
                <v:shape id="Shape 2458828" style="position:absolute;width:56098;height:137;left:0;top:0;" coordsize="5609844,13716" path="m0,6858l5609844,6858">
                  <v:stroke weight="1.08001pt" endcap="flat" joinstyle="miter" miterlimit="1" on="true" color="#000000"/>
                  <v:fill on="false" color="#000000"/>
                </v:shape>
              </v:group>
            </w:pict>
          </mc:Fallback>
        </mc:AlternateContent>
      </w:r>
    </w:p>
    <w:p w14:paraId="79B57EE4" w14:textId="77777777" w:rsidR="00053D93" w:rsidRDefault="00260B75">
      <w:pPr>
        <w:spacing w:after="12" w:line="250" w:lineRule="auto"/>
        <w:ind w:left="28" w:right="14" w:firstLine="1670"/>
        <w:jc w:val="both"/>
      </w:pPr>
      <w:r>
        <w:rPr>
          <w:sz w:val="26"/>
        </w:rPr>
        <w:t>Asimismo, es necesario aclarar que, en calidad de jefe en funciones, no tenía control directo sobre la totalidad de acciones o decisiones, ya que muchas de 1 estas eran tomadas de forma exclusiva por el Director de la Dirección de</w:t>
      </w:r>
    </w:p>
    <w:p w14:paraId="42D1E8F0" w14:textId="77777777" w:rsidR="00053D93" w:rsidRDefault="00260B75">
      <w:pPr>
        <w:spacing w:after="511" w:line="250" w:lineRule="auto"/>
        <w:ind w:left="28" w:right="14" w:firstLine="1678"/>
        <w:jc w:val="both"/>
      </w:pPr>
      <w:r>
        <w:rPr>
          <w:sz w:val="26"/>
        </w:rPr>
        <w:t xml:space="preserve">Informática. No obstante, en cumplimiento de mis funciones, realicé diversas 1 acciones y advertencias que fueron notificadas oportunamente a las autoridades </w:t>
      </w:r>
      <w:r>
        <w:rPr>
          <w:noProof/>
        </w:rPr>
        <w:drawing>
          <wp:inline distT="0" distB="0" distL="0" distR="0" wp14:anchorId="7DE0FA1A" wp14:editId="3AE7BC25">
            <wp:extent cx="13716" cy="22860"/>
            <wp:effectExtent l="0" t="0" r="0" b="0"/>
            <wp:docPr id="1086624" name="Picture 1086624"/>
            <wp:cNvGraphicFramePr/>
            <a:graphic xmlns:a="http://schemas.openxmlformats.org/drawingml/2006/main">
              <a:graphicData uri="http://schemas.openxmlformats.org/drawingml/2006/picture">
                <pic:pic xmlns:pic="http://schemas.openxmlformats.org/drawingml/2006/picture">
                  <pic:nvPicPr>
                    <pic:cNvPr id="1086624" name="Picture 1086624"/>
                    <pic:cNvPicPr/>
                  </pic:nvPicPr>
                  <pic:blipFill>
                    <a:blip r:embed="rId1489"/>
                    <a:stretch>
                      <a:fillRect/>
                    </a:stretch>
                  </pic:blipFill>
                  <pic:spPr>
                    <a:xfrm>
                      <a:off x="0" y="0"/>
                      <a:ext cx="13716" cy="22860"/>
                    </a:xfrm>
                    <a:prstGeom prst="rect">
                      <a:avLst/>
                    </a:prstGeom>
                  </pic:spPr>
                </pic:pic>
              </a:graphicData>
            </a:graphic>
          </wp:inline>
        </w:drawing>
      </w:r>
      <w:r>
        <w:rPr>
          <w:sz w:val="26"/>
        </w:rPr>
        <w:t xml:space="preserve"> competentes, como se detalla a continuación:</w:t>
      </w:r>
    </w:p>
    <w:p w14:paraId="09E21FA0" w14:textId="77777777" w:rsidR="00053D93" w:rsidRDefault="00260B75">
      <w:pPr>
        <w:tabs>
          <w:tab w:val="center" w:pos="3726"/>
        </w:tabs>
        <w:spacing w:after="12" w:line="250" w:lineRule="auto"/>
      </w:pPr>
      <w:r>
        <w:rPr>
          <w:sz w:val="26"/>
        </w:rPr>
        <w:t>1</w:t>
      </w:r>
      <w:r>
        <w:rPr>
          <w:sz w:val="26"/>
        </w:rPr>
        <w:tab/>
        <w:t>Análisis de Riesgos del Centro de Datos</w:t>
      </w:r>
    </w:p>
    <w:p w14:paraId="42E3E7D6" w14:textId="77777777" w:rsidR="00053D93" w:rsidRDefault="00260B75">
      <w:pPr>
        <w:spacing w:after="222" w:line="250" w:lineRule="auto"/>
        <w:ind w:left="28" w:right="14" w:firstLine="1663"/>
        <w:jc w:val="both"/>
      </w:pPr>
      <w:r>
        <w:rPr>
          <w:sz w:val="26"/>
        </w:rPr>
        <w:t>Mediante Oficio DINFO No. 0438-2022 de fecha 30 de marzo de 2022, se remitió 1 el Análisis de Riesgos del Centro de Datos del Ministerio de Educación, elaborado por mi persona, Beisy Gabriela García Corado, en colaboración con personal del departamento.</w:t>
      </w:r>
    </w:p>
    <w:p w14:paraId="3C41C4C0" w14:textId="77777777" w:rsidR="00053D93" w:rsidRDefault="00260B75">
      <w:pPr>
        <w:spacing w:after="3"/>
        <w:ind w:left="45" w:hanging="10"/>
      </w:pPr>
      <w:r>
        <w:rPr>
          <w:sz w:val="72"/>
        </w:rPr>
        <w:t>1</w:t>
      </w:r>
    </w:p>
    <w:p w14:paraId="4225C295" w14:textId="77777777" w:rsidR="00053D93" w:rsidRDefault="00260B75">
      <w:pPr>
        <w:spacing w:after="12" w:line="250" w:lineRule="auto"/>
        <w:ind w:left="28" w:right="14" w:firstLine="1634"/>
        <w:jc w:val="both"/>
      </w:pPr>
      <w:r>
        <w:rPr>
          <w:noProof/>
        </w:rPr>
        <mc:AlternateContent>
          <mc:Choice Requires="wpg">
            <w:drawing>
              <wp:anchor distT="0" distB="0" distL="114300" distR="114300" simplePos="0" relativeHeight="252205056" behindDoc="0" locked="0" layoutInCell="1" allowOverlap="1" wp14:anchorId="6729A54A" wp14:editId="43B6FD85">
                <wp:simplePos x="0" y="0"/>
                <wp:positionH relativeFrom="column">
                  <wp:posOffset>45720</wp:posOffset>
                </wp:positionH>
                <wp:positionV relativeFrom="paragraph">
                  <wp:posOffset>806069</wp:posOffset>
                </wp:positionV>
                <wp:extent cx="118872" cy="292608"/>
                <wp:effectExtent l="0" t="0" r="0" b="0"/>
                <wp:wrapSquare wrapText="bothSides"/>
                <wp:docPr id="2457198" name="Group 2457198"/>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083983" name="Rectangle 1083983"/>
                        <wps:cNvSpPr/>
                        <wps:spPr>
                          <a:xfrm>
                            <a:off x="0" y="0"/>
                            <a:ext cx="158100" cy="389168"/>
                          </a:xfrm>
                          <a:prstGeom prst="rect">
                            <a:avLst/>
                          </a:prstGeom>
                          <a:ln>
                            <a:noFill/>
                          </a:ln>
                        </wps:spPr>
                        <wps:txbx>
                          <w:txbxContent>
                            <w:p w14:paraId="7C0F4086"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6729A54A" id="Group 2457198" o:spid="_x0000_s1586" style="position:absolute;left:0;text-align:left;margin-left:3.6pt;margin-top:63.45pt;width:9.35pt;height:23.05pt;z-index:252205056;mso-position-horizontal-relative:text;mso-position-vertical-relative:text"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">
                <v:rect id="Rectangle 1083983" o:spid="_x0000_s1587" style="position:absolute;width:158100;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" filled="f" stroked="f">
                  <v:textbox inset="0,0,0,0">
                    <w:txbxContent>
                      <w:p w14:paraId="7C0F4086" w14:textId="77777777" w:rsidR="00053D93" w:rsidRDefault="00260B75">
                        <w:r>
                          <w:rPr>
                            <w:sz w:val="70"/>
                          </w:rPr>
                          <w:t>1</w:t>
                        </w:r>
                      </w:p>
                    </w:txbxContent>
                  </v:textbox>
                </v:rect>
                <w10:wrap type="square"/>
              </v:group>
            </w:pict>
          </mc:Fallback>
        </mc:AlternateContent>
      </w:r>
      <w:r>
        <w:rPr>
          <w:sz w:val="26"/>
        </w:rPr>
        <w:t xml:space="preserve">En el riesgo No. 3 del análisis, se advirtió que la solución de respaldos "Data </w:t>
      </w:r>
      <w:r>
        <w:rPr>
          <w:noProof/>
        </w:rPr>
        <w:drawing>
          <wp:inline distT="0" distB="0" distL="0" distR="0" wp14:anchorId="5E28B7E6" wp14:editId="5B23D190">
            <wp:extent cx="13716" cy="13716"/>
            <wp:effectExtent l="0" t="0" r="0" b="0"/>
            <wp:docPr id="1086625" name="Picture 1086625"/>
            <wp:cNvGraphicFramePr/>
            <a:graphic xmlns:a="http://schemas.openxmlformats.org/drawingml/2006/main">
              <a:graphicData uri="http://schemas.openxmlformats.org/drawingml/2006/picture">
                <pic:pic xmlns:pic="http://schemas.openxmlformats.org/drawingml/2006/picture">
                  <pic:nvPicPr>
                    <pic:cNvPr id="1086625" name="Picture 1086625"/>
                    <pic:cNvPicPr/>
                  </pic:nvPicPr>
                  <pic:blipFill>
                    <a:blip r:embed="rId1490"/>
                    <a:stretch>
                      <a:fillRect/>
                    </a:stretch>
                  </pic:blipFill>
                  <pic:spPr>
                    <a:xfrm>
                      <a:off x="0" y="0"/>
                      <a:ext cx="13716" cy="13716"/>
                    </a:xfrm>
                    <a:prstGeom prst="rect">
                      <a:avLst/>
                    </a:prstGeom>
                  </pic:spPr>
                </pic:pic>
              </a:graphicData>
            </a:graphic>
          </wp:inline>
        </w:drawing>
      </w:r>
      <w:r>
        <w:rPr>
          <w:sz w:val="26"/>
        </w:rPr>
        <w:t xml:space="preserve"> Protector" contaba con soporte de fábrica únicamente hasta enero de 2023. Se 1 indicó que, al no contar con soporte ni actualizaciones posteriores, no podía garantizarse su correcto funcionamiento ante un incidente. Se recomendó ampliar el soporte del fabricante, contratar soporte local y gestionar su inclusión en el POA</w:t>
      </w:r>
    </w:p>
    <w:p w14:paraId="3DA696E2" w14:textId="77777777" w:rsidR="00053D93" w:rsidRDefault="00260B75">
      <w:pPr>
        <w:spacing w:after="257"/>
        <w:ind w:left="72"/>
      </w:pPr>
      <w:r>
        <w:rPr>
          <w:sz w:val="26"/>
        </w:rPr>
        <w:t>2023.</w:t>
      </w:r>
    </w:p>
    <w:p w14:paraId="3AF74441" w14:textId="77777777" w:rsidR="00053D93" w:rsidRDefault="00260B75">
      <w:pPr>
        <w:tabs>
          <w:tab w:val="center" w:pos="4496"/>
        </w:tabs>
        <w:spacing w:after="12" w:line="250" w:lineRule="auto"/>
      </w:pPr>
      <w:r>
        <w:rPr>
          <w:noProof/>
        </w:rPr>
        <mc:AlternateContent>
          <mc:Choice Requires="wpg">
            <w:drawing>
              <wp:inline distT="0" distB="0" distL="0" distR="0" wp14:anchorId="082B6772" wp14:editId="042C23A2">
                <wp:extent cx="114300" cy="297180"/>
                <wp:effectExtent l="0" t="0" r="0" b="0"/>
                <wp:docPr id="2457199" name="Group 2457199"/>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083984" name="Rectangle 1083984"/>
                        <wps:cNvSpPr/>
                        <wps:spPr>
                          <a:xfrm>
                            <a:off x="0" y="0"/>
                            <a:ext cx="152019" cy="395249"/>
                          </a:xfrm>
                          <a:prstGeom prst="rect">
                            <a:avLst/>
                          </a:prstGeom>
                          <a:ln>
                            <a:noFill/>
                          </a:ln>
                        </wps:spPr>
                        <wps:txbx>
                          <w:txbxContent>
                            <w:p w14:paraId="472B18FE"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082B6772" id="Group 2457199" o:spid="_x0000_s1588"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">
                <v:rect id="Rectangle 1083984" o:spid="_x0000_s1589"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" filled="f" stroked="f">
                  <v:textbox inset="0,0,0,0">
                    <w:txbxContent>
                      <w:p w14:paraId="472B18FE" w14:textId="77777777" w:rsidR="00053D93" w:rsidRDefault="00260B75">
                        <w:r>
                          <w:rPr>
                            <w:sz w:val="70"/>
                          </w:rPr>
                          <w:t>1</w:t>
                        </w:r>
                      </w:p>
                    </w:txbxContent>
                  </v:textbox>
                </v:rect>
                <w10:anchorlock/>
              </v:group>
            </w:pict>
          </mc:Fallback>
        </mc:AlternateContent>
      </w:r>
      <w:r>
        <w:rPr>
          <w:sz w:val="26"/>
        </w:rPr>
        <w:tab/>
        <w:t>Falta de personal especializado e inversión insuficiente</w:t>
      </w:r>
    </w:p>
    <w:p w14:paraId="3B023786" w14:textId="77777777" w:rsidR="00053D93" w:rsidRDefault="00260B75">
      <w:pPr>
        <w:spacing w:after="196" w:line="250" w:lineRule="auto"/>
        <w:ind w:left="94" w:right="14" w:firstLine="1440"/>
        <w:jc w:val="both"/>
      </w:pPr>
      <w:r>
        <w:rPr>
          <w:sz w:val="26"/>
        </w:rPr>
        <w:t>En el riesgo No. 7 del mismo análisis, se documentó la insuficiencia de personal en el área de infraestructura, indicando que el equipo existente solo atendía los 1 requerimientos diarios, sin capacidad para implementar nuevas soluciones.</w:t>
      </w:r>
    </w:p>
    <w:p w14:paraId="5F18D536" w14:textId="77777777" w:rsidR="00053D93" w:rsidRDefault="00260B75">
      <w:pPr>
        <w:spacing w:after="3" w:line="256" w:lineRule="auto"/>
        <w:ind w:left="133" w:hanging="32"/>
      </w:pPr>
      <w:r>
        <w:rPr>
          <w:sz w:val="26"/>
        </w:rPr>
        <w:t>1</w:t>
      </w:r>
      <w:r>
        <w:rPr>
          <w:sz w:val="26"/>
        </w:rPr>
        <w:tab/>
        <w:t>Se señaló que el personal no recibía ingresos acordes a sus funciones y que la demanda superaba la capacidad instalada. Además, se destacó la ausencia de profesionales especializados en Seguridad y Monitoreo, así como el alto riesgo por 1</w:t>
      </w:r>
      <w:r>
        <w:rPr>
          <w:sz w:val="26"/>
        </w:rPr>
        <w:tab/>
        <w:t xml:space="preserve">no contar con un sitio alterno para respaldos. Esta situación fue notificada al Director de Informática, a quien se solicitó realizar las gestiones necesarias. A ta fecha, la falta de personal persiste, lo que ha afectado la capacidad de respuesta y </w:t>
      </w:r>
      <w:r>
        <w:rPr>
          <w:noProof/>
        </w:rPr>
        <mc:AlternateContent>
          <mc:Choice Requires="wpg">
            <w:drawing>
              <wp:inline distT="0" distB="0" distL="0" distR="0" wp14:anchorId="2C5FBF91" wp14:editId="7044DC9D">
                <wp:extent cx="118872" cy="297180"/>
                <wp:effectExtent l="0" t="0" r="0" b="0"/>
                <wp:docPr id="2457200" name="Group 2457200"/>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083988" name="Rectangle 1083988"/>
                        <wps:cNvSpPr/>
                        <wps:spPr>
                          <a:xfrm>
                            <a:off x="0" y="0"/>
                            <a:ext cx="158100" cy="395249"/>
                          </a:xfrm>
                          <a:prstGeom prst="rect">
                            <a:avLst/>
                          </a:prstGeom>
                          <a:ln>
                            <a:noFill/>
                          </a:ln>
                        </wps:spPr>
                        <wps:txbx>
                          <w:txbxContent>
                            <w:p w14:paraId="273B68CB"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2C5FBF91" id="Group 2457200" o:spid="_x0000_s1590"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">
                <v:rect id="Rectangle 1083988" o:spid="_x0000_s1591"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" filled="f" stroked="f">
                  <v:textbox inset="0,0,0,0">
                    <w:txbxContent>
                      <w:p w14:paraId="273B68CB" w14:textId="77777777" w:rsidR="00053D93" w:rsidRDefault="00260B75">
                        <w:r>
                          <w:rPr>
                            <w:sz w:val="70"/>
                          </w:rPr>
                          <w:t>1</w:t>
                        </w:r>
                      </w:p>
                    </w:txbxContent>
                  </v:textbox>
                </v:rect>
                <w10:anchorlock/>
              </v:group>
            </w:pict>
          </mc:Fallback>
        </mc:AlternateContent>
      </w:r>
      <w:r>
        <w:rPr>
          <w:sz w:val="26"/>
        </w:rPr>
        <w:tab/>
        <w:t>sostenibilidad del servicio. Cabe destacar que, al momento del incidente, la plaza del técnico en Seguridad y Monitoreo en el área de Infraestructura se encontraba 1</w:t>
      </w:r>
      <w:r>
        <w:rPr>
          <w:sz w:val="26"/>
        </w:rPr>
        <w:tab/>
        <w:t>vacante.</w:t>
      </w:r>
    </w:p>
    <w:p w14:paraId="56B86809" w14:textId="77777777" w:rsidR="00053D93" w:rsidRDefault="00260B75">
      <w:pPr>
        <w:spacing w:after="200"/>
        <w:ind w:left="2578"/>
      </w:pPr>
      <w:r>
        <w:rPr>
          <w:noProof/>
        </w:rPr>
        <w:drawing>
          <wp:inline distT="0" distB="0" distL="0" distR="0" wp14:anchorId="1CD0630E" wp14:editId="0174D8D8">
            <wp:extent cx="22860" cy="18288"/>
            <wp:effectExtent l="0" t="0" r="0" b="0"/>
            <wp:docPr id="1086626" name="Picture 1086626"/>
            <wp:cNvGraphicFramePr/>
            <a:graphic xmlns:a="http://schemas.openxmlformats.org/drawingml/2006/main">
              <a:graphicData uri="http://schemas.openxmlformats.org/drawingml/2006/picture">
                <pic:pic xmlns:pic="http://schemas.openxmlformats.org/drawingml/2006/picture">
                  <pic:nvPicPr>
                    <pic:cNvPr id="1086626" name="Picture 1086626"/>
                    <pic:cNvPicPr/>
                  </pic:nvPicPr>
                  <pic:blipFill>
                    <a:blip r:embed="rId1491"/>
                    <a:stretch>
                      <a:fillRect/>
                    </a:stretch>
                  </pic:blipFill>
                  <pic:spPr>
                    <a:xfrm>
                      <a:off x="0" y="0"/>
                      <a:ext cx="22860" cy="18288"/>
                    </a:xfrm>
                    <a:prstGeom prst="rect">
                      <a:avLst/>
                    </a:prstGeom>
                  </pic:spPr>
                </pic:pic>
              </a:graphicData>
            </a:graphic>
          </wp:inline>
        </w:drawing>
      </w:r>
    </w:p>
    <w:p w14:paraId="7B7BFEED" w14:textId="77777777" w:rsidR="00053D93" w:rsidRDefault="00260B75">
      <w:pPr>
        <w:spacing w:after="104" w:line="250" w:lineRule="auto"/>
        <w:ind w:left="1709" w:right="14" w:hanging="3"/>
        <w:jc w:val="both"/>
      </w:pPr>
      <w:r>
        <w:rPr>
          <w:sz w:val="26"/>
        </w:rPr>
        <w:t>Plataforma Mis Compras del PAE</w:t>
      </w:r>
    </w:p>
    <w:p w14:paraId="5EEFCC3F" w14:textId="77777777" w:rsidR="00053D93" w:rsidRDefault="00260B75">
      <w:pPr>
        <w:spacing w:after="383" w:line="250" w:lineRule="auto"/>
        <w:ind w:left="161" w:right="14" w:hanging="3"/>
        <w:jc w:val="both"/>
      </w:pPr>
      <w:r>
        <w:rPr>
          <w:sz w:val="26"/>
        </w:rPr>
        <w:t xml:space="preserve">1 Con oficio No. DIGEPSA-343-2021, de fecha 25 de febrero de 2021, la Directora de DIGEPSA solicitó habilitar la plataforma "Mis Compras del PAE", diseñada para operar únicamente durante el ciclo escolar 2021, hasta nuevas disposiciones </w:t>
      </w:r>
      <w:r>
        <w:rPr>
          <w:noProof/>
        </w:rPr>
        <mc:AlternateContent>
          <mc:Choice Requires="wpg">
            <w:drawing>
              <wp:inline distT="0" distB="0" distL="0" distR="0" wp14:anchorId="7AAF9841" wp14:editId="3D70E1E3">
                <wp:extent cx="118872" cy="292609"/>
                <wp:effectExtent l="0" t="0" r="0" b="0"/>
                <wp:docPr id="2457201" name="Group 2457201"/>
                <wp:cNvGraphicFramePr/>
                <a:graphic xmlns:a="http://schemas.openxmlformats.org/drawingml/2006/main">
                  <a:graphicData uri="http://schemas.microsoft.com/office/word/2010/wordprocessingGroup">
                    <wpg:wgp>
                      <wpg:cNvGrpSpPr/>
                      <wpg:grpSpPr>
                        <a:xfrm>
                          <a:off x="0" y="0"/>
                          <a:ext cx="118872" cy="292609"/>
                          <a:chOff x="0" y="0"/>
                          <a:chExt cx="118872" cy="292609"/>
                        </a:xfrm>
                      </wpg:grpSpPr>
                      <wps:wsp>
                        <wps:cNvPr id="1083991" name="Rectangle 1083991"/>
                        <wps:cNvSpPr/>
                        <wps:spPr>
                          <a:xfrm>
                            <a:off x="0" y="0"/>
                            <a:ext cx="158100" cy="389169"/>
                          </a:xfrm>
                          <a:prstGeom prst="rect">
                            <a:avLst/>
                          </a:prstGeom>
                          <a:ln>
                            <a:noFill/>
                          </a:ln>
                        </wps:spPr>
                        <wps:txbx>
                          <w:txbxContent>
                            <w:p w14:paraId="23027928"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AAF9841" id="Group 2457201" o:spid="_x0000_s1592" style="width:9.35pt;height:23.05pt;mso-position-horizontal-relative:char;mso-position-vertical-relative:line" coordsize="118872,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">
                <v:rect id="Rectangle 1083991" o:spid="_x0000_s1593"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" filled="f" stroked="f">
                  <v:textbox inset="0,0,0,0">
                    <w:txbxContent>
                      <w:p w14:paraId="23027928" w14:textId="77777777" w:rsidR="00053D93" w:rsidRDefault="00260B75">
                        <w:r>
                          <w:rPr>
                            <w:sz w:val="70"/>
                          </w:rPr>
                          <w:t>1</w:t>
                        </w:r>
                      </w:p>
                    </w:txbxContent>
                  </v:textbox>
                </v:rect>
                <w10:anchorlock/>
              </v:group>
            </w:pict>
          </mc:Fallback>
        </mc:AlternateContent>
      </w:r>
      <w:r>
        <w:rPr>
          <w:sz w:val="26"/>
        </w:rPr>
        <w:t xml:space="preserve"> ministeriales.</w:t>
      </w:r>
    </w:p>
    <w:p w14:paraId="307B7A5C" w14:textId="77777777" w:rsidR="00053D93" w:rsidRDefault="00260B75">
      <w:pPr>
        <w:tabs>
          <w:tab w:val="right" w:pos="10217"/>
        </w:tabs>
        <w:spacing w:after="295" w:line="250" w:lineRule="auto"/>
      </w:pPr>
      <w:r>
        <w:rPr>
          <w:sz w:val="26"/>
        </w:rPr>
        <w:t>1</w:t>
      </w:r>
      <w:r>
        <w:rPr>
          <w:sz w:val="26"/>
        </w:rPr>
        <w:tab/>
        <w:t>En respuesta, mediante oficio DINFO 851-2021 del 13 de agosto de 2021, se</w:t>
      </w:r>
    </w:p>
    <w:tbl>
      <w:tblPr>
        <w:tblStyle w:val="TableGrid"/>
        <w:tblpPr w:vertAnchor="text" w:tblpX="2539" w:tblpY="33"/>
        <w:tblOverlap w:val="never"/>
        <w:tblW w:w="7642" w:type="dxa"/>
        <w:tblInd w:w="0" w:type="dxa"/>
        <w:tblCellMar>
          <w:top w:w="53" w:type="dxa"/>
          <w:left w:w="1760" w:type="dxa"/>
          <w:right w:w="115" w:type="dxa"/>
        </w:tblCellMar>
        <w:tblLook w:val="04A0" w:firstRow="1" w:lastRow="0" w:firstColumn="1" w:lastColumn="0" w:noHBand="0" w:noVBand="1"/>
      </w:tblPr>
      <w:tblGrid>
        <w:gridCol w:w="7642"/>
      </w:tblGrid>
      <w:tr w:rsidR="00053D93" w14:paraId="48446D3A" w14:textId="77777777">
        <w:trPr>
          <w:trHeight w:val="608"/>
        </w:trPr>
        <w:tc>
          <w:tcPr>
            <w:tcW w:w="7642" w:type="dxa"/>
            <w:tcBorders>
              <w:top w:val="single" w:sz="2" w:space="0" w:color="000000"/>
              <w:left w:val="single" w:sz="2" w:space="0" w:color="000000"/>
              <w:bottom w:val="nil"/>
              <w:right w:val="nil"/>
            </w:tcBorders>
          </w:tcPr>
          <w:p w14:paraId="0C11DD5D" w14:textId="77777777" w:rsidR="00053D93" w:rsidRDefault="00260B75">
            <w:pPr>
              <w:ind w:left="842"/>
            </w:pPr>
            <w:r>
              <w:rPr>
                <w:sz w:val="14"/>
              </w:rPr>
              <w:t>MINISTERIO DE EDUCACION</w:t>
            </w:r>
          </w:p>
          <w:p w14:paraId="2465E645" w14:textId="77777777" w:rsidR="00053D93" w:rsidRDefault="00260B75">
            <w:pPr>
              <w:ind w:left="338"/>
            </w:pPr>
            <w:r>
              <w:rPr>
                <w:sz w:val="14"/>
              </w:rPr>
              <w:t>AUDITORIA FINANCE•RA Y DE CUMPLIMIENTO</w:t>
            </w:r>
          </w:p>
          <w:p w14:paraId="743FA25B" w14:textId="77777777" w:rsidR="00053D93" w:rsidRDefault="00260B75">
            <w:r>
              <w:rPr>
                <w:sz w:val="14"/>
              </w:rPr>
              <w:t>PERIODO DEL 01 DE ENERO AL 31 DE DICIEMBRE OE 2024</w:t>
            </w:r>
          </w:p>
        </w:tc>
      </w:tr>
    </w:tbl>
    <w:p w14:paraId="041F20C4" w14:textId="77777777" w:rsidR="00053D93" w:rsidRDefault="00260B75">
      <w:pPr>
        <w:pStyle w:val="Ttulo2"/>
        <w:ind w:left="773" w:right="79"/>
      </w:pPr>
      <w:r>
        <w:t xml:space="preserve">III </w:t>
      </w:r>
      <w:r>
        <w:rPr>
          <w:noProof/>
        </w:rPr>
        <w:drawing>
          <wp:inline distT="0" distB="0" distL="0" distR="0" wp14:anchorId="2E96929D" wp14:editId="61836002">
            <wp:extent cx="841248" cy="406908"/>
            <wp:effectExtent l="0" t="0" r="0" b="0"/>
            <wp:docPr id="1086694" name="Picture 1086694"/>
            <wp:cNvGraphicFramePr/>
            <a:graphic xmlns:a="http://schemas.openxmlformats.org/drawingml/2006/main">
              <a:graphicData uri="http://schemas.openxmlformats.org/drawingml/2006/picture">
                <pic:pic xmlns:pic="http://schemas.openxmlformats.org/drawingml/2006/picture">
                  <pic:nvPicPr>
                    <pic:cNvPr id="1086694" name="Picture 1086694"/>
                    <pic:cNvPicPr/>
                  </pic:nvPicPr>
                  <pic:blipFill>
                    <a:blip r:embed="rId1492"/>
                    <a:stretch>
                      <a:fillRect/>
                    </a:stretch>
                  </pic:blipFill>
                  <pic:spPr>
                    <a:xfrm>
                      <a:off x="0" y="0"/>
                      <a:ext cx="841248" cy="406908"/>
                    </a:xfrm>
                    <a:prstGeom prst="rect">
                      <a:avLst/>
                    </a:prstGeom>
                  </pic:spPr>
                </pic:pic>
              </a:graphicData>
            </a:graphic>
          </wp:inline>
        </w:drawing>
      </w:r>
      <w:r>
        <w:t>I I</w:t>
      </w:r>
    </w:p>
    <w:p w14:paraId="3938B8C0" w14:textId="77777777" w:rsidR="00053D93" w:rsidRDefault="00260B75">
      <w:pPr>
        <w:tabs>
          <w:tab w:val="right" w:pos="10476"/>
        </w:tabs>
        <w:spacing w:after="3"/>
        <w:ind w:right="-259"/>
      </w:pPr>
      <w:r>
        <w:rPr>
          <w:sz w:val="70"/>
        </w:rPr>
        <w:t>1</w:t>
      </w:r>
      <w:r>
        <w:rPr>
          <w:sz w:val="70"/>
        </w:rPr>
        <w:tab/>
      </w:r>
      <w:r>
        <w:rPr>
          <w:noProof/>
        </w:rPr>
        <mc:AlternateContent>
          <mc:Choice Requires="wpg">
            <w:drawing>
              <wp:inline distT="0" distB="0" distL="0" distR="0" wp14:anchorId="080717CE" wp14:editId="1328DC9B">
                <wp:extent cx="6039612" cy="342900"/>
                <wp:effectExtent l="0" t="0" r="0" b="0"/>
                <wp:docPr id="2396898" name="Group 2396898"/>
                <wp:cNvGraphicFramePr/>
                <a:graphic xmlns:a="http://schemas.openxmlformats.org/drawingml/2006/main">
                  <a:graphicData uri="http://schemas.microsoft.com/office/word/2010/wordprocessingGroup">
                    <wpg:wgp>
                      <wpg:cNvGrpSpPr/>
                      <wpg:grpSpPr>
                        <a:xfrm>
                          <a:off x="0" y="0"/>
                          <a:ext cx="6039612" cy="342900"/>
                          <a:chOff x="0" y="0"/>
                          <a:chExt cx="6039612" cy="342900"/>
                        </a:xfrm>
                      </wpg:grpSpPr>
                      <pic:pic xmlns:pic="http://schemas.openxmlformats.org/drawingml/2006/picture">
                        <pic:nvPicPr>
                          <pic:cNvPr id="2458830" name="Picture 2458830"/>
                          <pic:cNvPicPr/>
                        </pic:nvPicPr>
                        <pic:blipFill>
                          <a:blip r:embed="rId1493"/>
                          <a:stretch>
                            <a:fillRect/>
                          </a:stretch>
                        </pic:blipFill>
                        <pic:spPr>
                          <a:xfrm>
                            <a:off x="0" y="0"/>
                            <a:ext cx="6039612" cy="310896"/>
                          </a:xfrm>
                          <a:prstGeom prst="rect">
                            <a:avLst/>
                          </a:prstGeom>
                        </pic:spPr>
                      </pic:pic>
                      <wps:wsp>
                        <wps:cNvPr id="1087299" name="Rectangle 1087299"/>
                        <wps:cNvSpPr/>
                        <wps:spPr>
                          <a:xfrm>
                            <a:off x="489204" y="178308"/>
                            <a:ext cx="693207" cy="212827"/>
                          </a:xfrm>
                          <a:prstGeom prst="rect">
                            <a:avLst/>
                          </a:prstGeom>
                          <a:ln>
                            <a:noFill/>
                          </a:ln>
                        </wps:spPr>
                        <wps:txbx>
                          <w:txbxContent>
                            <w:p w14:paraId="4F86BE04" w14:textId="77777777" w:rsidR="00053D93" w:rsidRDefault="00260B75">
                              <w:r>
                                <w:rPr>
                                  <w:sz w:val="18"/>
                                </w:rPr>
                                <w:t xml:space="preserve">ihTo-frf16 </w:t>
                              </w:r>
                            </w:p>
                          </w:txbxContent>
                        </wps:txbx>
                        <wps:bodyPr horzOverflow="overflow" vert="horz" lIns="0" tIns="0" rIns="0" bIns="0" rtlCol="0">
                          <a:noAutofit/>
                        </wps:bodyPr>
                      </wps:wsp>
                      <wps:wsp>
                        <wps:cNvPr id="1087300" name="Rectangle 1087300"/>
                        <wps:cNvSpPr/>
                        <wps:spPr>
                          <a:xfrm>
                            <a:off x="1010412" y="178308"/>
                            <a:ext cx="393977" cy="212827"/>
                          </a:xfrm>
                          <a:prstGeom prst="rect">
                            <a:avLst/>
                          </a:prstGeom>
                          <a:ln>
                            <a:noFill/>
                          </a:ln>
                        </wps:spPr>
                        <wps:txbx>
                          <w:txbxContent>
                            <w:p w14:paraId="1E31A07C" w14:textId="77777777" w:rsidR="00053D93" w:rsidRDefault="00260B75">
                              <w:r>
                                <w:rPr>
                                  <w:sz w:val="26"/>
                                </w:rPr>
                                <w:t xml:space="preserve">áüé </w:t>
                              </w:r>
                            </w:p>
                          </w:txbxContent>
                        </wps:txbx>
                        <wps:bodyPr horzOverflow="overflow" vert="horz" lIns="0" tIns="0" rIns="0" bIns="0" rtlCol="0">
                          <a:noAutofit/>
                        </wps:bodyPr>
                      </wps:wsp>
                      <wps:wsp>
                        <wps:cNvPr id="1087301" name="Rectangle 1087301"/>
                        <wps:cNvSpPr/>
                        <wps:spPr>
                          <a:xfrm>
                            <a:off x="1993392" y="178308"/>
                            <a:ext cx="310119" cy="203705"/>
                          </a:xfrm>
                          <a:prstGeom prst="rect">
                            <a:avLst/>
                          </a:prstGeom>
                          <a:ln>
                            <a:noFill/>
                          </a:ln>
                        </wps:spPr>
                        <wps:txbx>
                          <w:txbxContent>
                            <w:p w14:paraId="5575099F" w14:textId="77777777" w:rsidR="00053D93" w:rsidRDefault="00260B75">
                              <w:r>
                                <w:rPr>
                                  <w:sz w:val="24"/>
                                </w:rPr>
                                <w:t xml:space="preserve">fué </w:t>
                              </w:r>
                            </w:p>
                          </w:txbxContent>
                        </wps:txbx>
                        <wps:bodyPr horzOverflow="overflow" vert="horz" lIns="0" tIns="0" rIns="0" bIns="0" rtlCol="0">
                          <a:noAutofit/>
                        </wps:bodyPr>
                      </wps:wsp>
                      <wps:wsp>
                        <wps:cNvPr id="1087302" name="Rectangle 1087302"/>
                        <wps:cNvSpPr/>
                        <wps:spPr>
                          <a:xfrm>
                            <a:off x="2226564" y="178308"/>
                            <a:ext cx="918194" cy="218907"/>
                          </a:xfrm>
                          <a:prstGeom prst="rect">
                            <a:avLst/>
                          </a:prstGeom>
                          <a:ln>
                            <a:noFill/>
                          </a:ln>
                        </wps:spPr>
                        <wps:txbx>
                          <w:txbxContent>
                            <w:p w14:paraId="2376AF8C" w14:textId="77777777" w:rsidR="00053D93" w:rsidRDefault="00260B75">
                              <w:r>
                                <w:rPr>
                                  <w:sz w:val="26"/>
                                </w:rPr>
                                <w:t xml:space="preserve">hábÍlitado </w:t>
                              </w:r>
                            </w:p>
                          </w:txbxContent>
                        </wps:txbx>
                        <wps:bodyPr horzOverflow="overflow" vert="horz" lIns="0" tIns="0" rIns="0" bIns="0" rtlCol="0">
                          <a:noAutofit/>
                        </wps:bodyPr>
                      </wps:wsp>
                      <wps:wsp>
                        <wps:cNvPr id="1087303" name="Rectangle 1087303"/>
                        <wps:cNvSpPr/>
                        <wps:spPr>
                          <a:xfrm>
                            <a:off x="2916936" y="178308"/>
                            <a:ext cx="443896" cy="218907"/>
                          </a:xfrm>
                          <a:prstGeom prst="rect">
                            <a:avLst/>
                          </a:prstGeom>
                          <a:ln>
                            <a:noFill/>
                          </a:ln>
                        </wps:spPr>
                        <wps:txbx>
                          <w:txbxContent>
                            <w:p w14:paraId="008BFAE6" w14:textId="77777777" w:rsidR="00053D93" w:rsidRDefault="00260B75">
                              <w:r>
                                <w:rPr>
                                  <w:sz w:val="28"/>
                                </w:rPr>
                                <w:t xml:space="preserve">pafa </w:t>
                              </w:r>
                            </w:p>
                          </w:txbxContent>
                        </wps:txbx>
                        <wps:bodyPr horzOverflow="overflow" vert="horz" lIns="0" tIns="0" rIns="0" bIns="0" rtlCol="0">
                          <a:noAutofit/>
                        </wps:bodyPr>
                      </wps:wsp>
                      <wps:wsp>
                        <wps:cNvPr id="1087304" name="Rectangle 1087304"/>
                        <wps:cNvSpPr/>
                        <wps:spPr>
                          <a:xfrm>
                            <a:off x="3250692" y="205740"/>
                            <a:ext cx="522945" cy="179382"/>
                          </a:xfrm>
                          <a:prstGeom prst="rect">
                            <a:avLst/>
                          </a:prstGeom>
                          <a:ln>
                            <a:noFill/>
                          </a:ln>
                        </wps:spPr>
                        <wps:txbx>
                          <w:txbxContent>
                            <w:p w14:paraId="46487660" w14:textId="77777777" w:rsidR="00053D93" w:rsidRDefault="00260B75">
                              <w:r>
                                <w:rPr>
                                  <w:sz w:val="24"/>
                                </w:rPr>
                                <w:t xml:space="preserve">dicho </w:t>
                              </w:r>
                            </w:p>
                          </w:txbxContent>
                        </wps:txbx>
                        <wps:bodyPr horzOverflow="overflow" vert="horz" lIns="0" tIns="0" rIns="0" bIns="0" rtlCol="0">
                          <a:noAutofit/>
                        </wps:bodyPr>
                      </wps:wsp>
                      <wps:wsp>
                        <wps:cNvPr id="1087305" name="Rectangle 1087305"/>
                        <wps:cNvSpPr/>
                        <wps:spPr>
                          <a:xfrm>
                            <a:off x="3643884" y="205740"/>
                            <a:ext cx="443896" cy="158100"/>
                          </a:xfrm>
                          <a:prstGeom prst="rect">
                            <a:avLst/>
                          </a:prstGeom>
                          <a:ln>
                            <a:noFill/>
                          </a:ln>
                        </wps:spPr>
                        <wps:txbx>
                          <w:txbxContent>
                            <w:p w14:paraId="34A05B28" w14:textId="77777777" w:rsidR="00053D93" w:rsidRDefault="00260B75">
                              <w:r>
                                <w:rPr>
                                  <w:sz w:val="26"/>
                                </w:rPr>
                                <w:t xml:space="preserve">ciclo </w:t>
                              </w:r>
                            </w:p>
                          </w:txbxContent>
                        </wps:txbx>
                        <wps:bodyPr horzOverflow="overflow" vert="horz" lIns="0" tIns="0" rIns="0" bIns="0" rtlCol="0">
                          <a:noAutofit/>
                        </wps:bodyPr>
                      </wps:wsp>
                      <wps:wsp>
                        <wps:cNvPr id="1087306" name="Rectangle 1087306"/>
                        <wps:cNvSpPr/>
                        <wps:spPr>
                          <a:xfrm>
                            <a:off x="3977640" y="210312"/>
                            <a:ext cx="693206" cy="152019"/>
                          </a:xfrm>
                          <a:prstGeom prst="rect">
                            <a:avLst/>
                          </a:prstGeom>
                          <a:ln>
                            <a:noFill/>
                          </a:ln>
                        </wps:spPr>
                        <wps:txbx>
                          <w:txbxContent>
                            <w:p w14:paraId="54179BD8" w14:textId="77777777" w:rsidR="00053D93" w:rsidRDefault="00260B75">
                              <w:r>
                                <w:rPr>
                                  <w:sz w:val="26"/>
                                </w:rPr>
                                <w:t xml:space="preserve">escolar </w:t>
                              </w:r>
                            </w:p>
                          </w:txbxContent>
                        </wps:txbx>
                        <wps:bodyPr horzOverflow="overflow" vert="horz" lIns="0" tIns="0" rIns="0" bIns="0" rtlCol="0">
                          <a:noAutofit/>
                        </wps:bodyPr>
                      </wps:wsp>
                      <wps:wsp>
                        <wps:cNvPr id="1087307" name="Rectangle 1087307"/>
                        <wps:cNvSpPr/>
                        <wps:spPr>
                          <a:xfrm>
                            <a:off x="4498848" y="214884"/>
                            <a:ext cx="545997" cy="152019"/>
                          </a:xfrm>
                          <a:prstGeom prst="rect">
                            <a:avLst/>
                          </a:prstGeom>
                          <a:ln>
                            <a:noFill/>
                          </a:ln>
                        </wps:spPr>
                        <wps:txbx>
                          <w:txbxContent>
                            <w:p w14:paraId="4886021D" w14:textId="77777777" w:rsidR="00053D93" w:rsidRDefault="00260B75">
                              <w:r>
                                <w:rPr>
                                  <w:sz w:val="26"/>
                                </w:rPr>
                                <w:t xml:space="preserve">2021. </w:t>
                              </w:r>
                            </w:p>
                          </w:txbxContent>
                        </wps:txbx>
                        <wps:bodyPr horzOverflow="overflow" vert="horz" lIns="0" tIns="0" rIns="0" bIns="0" rtlCol="0">
                          <a:noAutofit/>
                        </wps:bodyPr>
                      </wps:wsp>
                      <wps:wsp>
                        <wps:cNvPr id="1087308" name="Rectangle 1087308"/>
                        <wps:cNvSpPr/>
                        <wps:spPr>
                          <a:xfrm>
                            <a:off x="4910328" y="214884"/>
                            <a:ext cx="443895" cy="170261"/>
                          </a:xfrm>
                          <a:prstGeom prst="rect">
                            <a:avLst/>
                          </a:prstGeom>
                          <a:ln>
                            <a:noFill/>
                          </a:ln>
                        </wps:spPr>
                        <wps:txbx>
                          <w:txbxContent>
                            <w:p w14:paraId="5DD0E107" w14:textId="77777777" w:rsidR="00053D93" w:rsidRDefault="00260B75">
                              <w:r>
                                <w:rPr>
                                  <w:sz w:val="28"/>
                                </w:rPr>
                                <w:t xml:space="preserve">Esto </w:t>
                              </w:r>
                            </w:p>
                          </w:txbxContent>
                        </wps:txbx>
                        <wps:bodyPr horzOverflow="overflow" vert="horz" lIns="0" tIns="0" rIns="0" bIns="0" rtlCol="0">
                          <a:noAutofit/>
                        </wps:bodyPr>
                      </wps:wsp>
                      <wps:wsp>
                        <wps:cNvPr id="1087309" name="Rectangle 1087309"/>
                        <wps:cNvSpPr/>
                        <wps:spPr>
                          <a:xfrm>
                            <a:off x="5244084" y="219456"/>
                            <a:ext cx="808741" cy="152019"/>
                          </a:xfrm>
                          <a:prstGeom prst="rect">
                            <a:avLst/>
                          </a:prstGeom>
                          <a:ln>
                            <a:noFill/>
                          </a:ln>
                        </wps:spPr>
                        <wps:txbx>
                          <w:txbxContent>
                            <w:p w14:paraId="3DF971CF" w14:textId="77777777" w:rsidR="00053D93" w:rsidRDefault="00260B75">
                              <w:r>
                                <w:rPr>
                                  <w:sz w:val="26"/>
                                </w:rPr>
                                <w:t>evidencia</w:t>
                              </w:r>
                            </w:p>
                          </w:txbxContent>
                        </wps:txbx>
                        <wps:bodyPr horzOverflow="overflow" vert="horz" lIns="0" tIns="0" rIns="0" bIns="0" rtlCol="0">
                          <a:noAutofit/>
                        </wps:bodyPr>
                      </wps:wsp>
                    </wpg:wgp>
                  </a:graphicData>
                </a:graphic>
              </wp:inline>
            </w:drawing>
          </mc:Choice>
          <mc:Fallback>
            <w:pict>
              <v:group w14:anchorId="080717CE" id="Group 2396898" o:spid="_x0000_s1594" style="width:475.55pt;height:27pt;mso-position-horizontal-relative:char;mso-position-vertical-relative:line" coordsize="60396,34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yfE3hbS/GGn&#10;Q2Gr2v2u0hvbTUEj8xkxPbXEdzA+VIPyzQxtjoduCCCQda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">
                <v:shape id="Picture 2458830" o:spid="_x0000_s1595" type="#_x0000_t75" style="position:absolute;width:60396;height:3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">
                  <v:imagedata r:id="rId1494" o:title=""/>
                </v:shape>
                <v:rect id="Rectangle 1087299" o:spid="_x0000_s1596" style="position:absolute;left:4892;top:1783;width:6932;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" filled="f" stroked="f">
                  <v:textbox inset="0,0,0,0">
                    <w:txbxContent>
                      <w:p w14:paraId="4F86BE04" w14:textId="77777777" w:rsidR="00053D93" w:rsidRDefault="00260B75">
                        <w:r>
                          <w:rPr>
                            <w:sz w:val="18"/>
                          </w:rPr>
                          <w:t xml:space="preserve">ihTo-frf16 </w:t>
                        </w:r>
                      </w:p>
                    </w:txbxContent>
                  </v:textbox>
                </v:rect>
                <v:rect id="Rectangle 1087300" o:spid="_x0000_s1597" style="position:absolute;left:10104;top:1783;width:3939;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" filled="f" stroked="f">
                  <v:textbox inset="0,0,0,0">
                    <w:txbxContent>
                      <w:p w14:paraId="1E31A07C" w14:textId="77777777" w:rsidR="00053D93" w:rsidRDefault="00260B75">
                        <w:r>
                          <w:rPr>
                            <w:sz w:val="26"/>
                          </w:rPr>
                          <w:t xml:space="preserve">áüé </w:t>
                        </w:r>
                      </w:p>
                    </w:txbxContent>
                  </v:textbox>
                </v:rect>
                <v:rect id="Rectangle 1087301" o:spid="_x0000_s1598" style="position:absolute;left:19933;top:1783;width:3102;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" filled="f" stroked="f">
                  <v:textbox inset="0,0,0,0">
                    <w:txbxContent>
                      <w:p w14:paraId="5575099F" w14:textId="77777777" w:rsidR="00053D93" w:rsidRDefault="00260B75">
                        <w:r>
                          <w:rPr>
                            <w:sz w:val="24"/>
                          </w:rPr>
                          <w:t xml:space="preserve">fué </w:t>
                        </w:r>
                      </w:p>
                    </w:txbxContent>
                  </v:textbox>
                </v:rect>
                <v:rect id="Rectangle 1087302" o:spid="_x0000_s1599" style="position:absolute;left:22265;top:1783;width:9182;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" filled="f" stroked="f">
                  <v:textbox inset="0,0,0,0">
                    <w:txbxContent>
                      <w:p w14:paraId="2376AF8C" w14:textId="77777777" w:rsidR="00053D93" w:rsidRDefault="00260B75">
                        <w:r>
                          <w:rPr>
                            <w:sz w:val="26"/>
                          </w:rPr>
                          <w:t xml:space="preserve">hábÍlitado </w:t>
                        </w:r>
                      </w:p>
                    </w:txbxContent>
                  </v:textbox>
                </v:rect>
                <v:rect id="Rectangle 1087303" o:spid="_x0000_s1600" style="position:absolute;left:29169;top:1783;width:4439;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" filled="f" stroked="f">
                  <v:textbox inset="0,0,0,0">
                    <w:txbxContent>
                      <w:p w14:paraId="008BFAE6" w14:textId="77777777" w:rsidR="00053D93" w:rsidRDefault="00260B75">
                        <w:r>
                          <w:rPr>
                            <w:sz w:val="28"/>
                          </w:rPr>
                          <w:t xml:space="preserve">pafa </w:t>
                        </w:r>
                      </w:p>
                    </w:txbxContent>
                  </v:textbox>
                </v:rect>
                <v:rect id="Rectangle 1087304" o:spid="_x0000_s1601" style="position:absolute;left:32506;top:2057;width:5230;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" filled="f" stroked="f">
                  <v:textbox inset="0,0,0,0">
                    <w:txbxContent>
                      <w:p w14:paraId="46487660" w14:textId="77777777" w:rsidR="00053D93" w:rsidRDefault="00260B75">
                        <w:r>
                          <w:rPr>
                            <w:sz w:val="24"/>
                          </w:rPr>
                          <w:t xml:space="preserve">dicho </w:t>
                        </w:r>
                      </w:p>
                    </w:txbxContent>
                  </v:textbox>
                </v:rect>
                <v:rect id="Rectangle 1087305" o:spid="_x0000_s1602" style="position:absolute;left:36438;top:2057;width:443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" filled="f" stroked="f">
                  <v:textbox inset="0,0,0,0">
                    <w:txbxContent>
                      <w:p w14:paraId="34A05B28" w14:textId="77777777" w:rsidR="00053D93" w:rsidRDefault="00260B75">
                        <w:r>
                          <w:rPr>
                            <w:sz w:val="26"/>
                          </w:rPr>
                          <w:t xml:space="preserve">ciclo </w:t>
                        </w:r>
                      </w:p>
                    </w:txbxContent>
                  </v:textbox>
                </v:rect>
                <v:rect id="Rectangle 1087306" o:spid="_x0000_s1603" style="position:absolute;left:39776;top:2103;width:693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" filled="f" stroked="f">
                  <v:textbox inset="0,0,0,0">
                    <w:txbxContent>
                      <w:p w14:paraId="54179BD8" w14:textId="77777777" w:rsidR="00053D93" w:rsidRDefault="00260B75">
                        <w:r>
                          <w:rPr>
                            <w:sz w:val="26"/>
                          </w:rPr>
                          <w:t xml:space="preserve">escolar </w:t>
                        </w:r>
                      </w:p>
                    </w:txbxContent>
                  </v:textbox>
                </v:rect>
                <v:rect id="Rectangle 1087307" o:spid="_x0000_s1604" style="position:absolute;left:44988;top:2148;width:5460;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" filled="f" stroked="f">
                  <v:textbox inset="0,0,0,0">
                    <w:txbxContent>
                      <w:p w14:paraId="4886021D" w14:textId="77777777" w:rsidR="00053D93" w:rsidRDefault="00260B75">
                        <w:r>
                          <w:rPr>
                            <w:sz w:val="26"/>
                          </w:rPr>
                          <w:t xml:space="preserve">2021. </w:t>
                        </w:r>
                      </w:p>
                    </w:txbxContent>
                  </v:textbox>
                </v:rect>
                <v:rect id="Rectangle 1087308" o:spid="_x0000_s1605" style="position:absolute;left:49103;top:2148;width:443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" filled="f" stroked="f">
                  <v:textbox inset="0,0,0,0">
                    <w:txbxContent>
                      <w:p w14:paraId="5DD0E107" w14:textId="77777777" w:rsidR="00053D93" w:rsidRDefault="00260B75">
                        <w:r>
                          <w:rPr>
                            <w:sz w:val="28"/>
                          </w:rPr>
                          <w:t xml:space="preserve">Esto </w:t>
                        </w:r>
                      </w:p>
                    </w:txbxContent>
                  </v:textbox>
                </v:rect>
                <v:rect id="Rectangle 1087309" o:spid="_x0000_s1606" style="position:absolute;left:52440;top:2194;width:8088;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" filled="f" stroked="f">
                  <v:textbox inset="0,0,0,0">
                    <w:txbxContent>
                      <w:p w14:paraId="3DF971CF" w14:textId="77777777" w:rsidR="00053D93" w:rsidRDefault="00260B75">
                        <w:r>
                          <w:rPr>
                            <w:sz w:val="26"/>
                          </w:rPr>
                          <w:t>evidencia</w:t>
                        </w:r>
                      </w:p>
                    </w:txbxContent>
                  </v:textbox>
                </v:rect>
                <w10:anchorlock/>
              </v:group>
            </w:pict>
          </mc:Fallback>
        </mc:AlternateContent>
      </w:r>
    </w:p>
    <w:p w14:paraId="50146468" w14:textId="77777777" w:rsidR="00053D93" w:rsidRDefault="00260B75">
      <w:pPr>
        <w:spacing w:after="304" w:line="216" w:lineRule="auto"/>
        <w:ind w:left="57" w:right="14" w:firstLine="1656"/>
        <w:jc w:val="both"/>
      </w:pPr>
      <w:r>
        <w:rPr>
          <w:sz w:val="26"/>
        </w:rPr>
        <w:t>que el sistema fue concebido como una solución temporal, y que posteriormente 1 sería migrado a una versión más segura.</w:t>
      </w:r>
    </w:p>
    <w:p w14:paraId="395CCEA3" w14:textId="77777777" w:rsidR="00053D93" w:rsidRDefault="00260B75">
      <w:pPr>
        <w:spacing w:after="4" w:line="269" w:lineRule="auto"/>
        <w:ind w:left="57" w:right="14" w:firstLine="1670"/>
        <w:jc w:val="both"/>
      </w:pPr>
      <w:r>
        <w:rPr>
          <w:sz w:val="26"/>
        </w:rPr>
        <w:t xml:space="preserve">El 15 de marzo de 2021, se enviaron por correo electrónico los sitios creados para 1 mejorar la seguridad de la aplicación (asunto: "RE: Requerimientos Pendientes"). </w:t>
      </w:r>
      <w:r>
        <w:rPr>
          <w:noProof/>
        </w:rPr>
        <w:drawing>
          <wp:inline distT="0" distB="0" distL="0" distR="0" wp14:anchorId="21A3E494" wp14:editId="2784B312">
            <wp:extent cx="9144" cy="9144"/>
            <wp:effectExtent l="0" t="0" r="0" b="0"/>
            <wp:docPr id="1089728" name="Picture 1089728"/>
            <wp:cNvGraphicFramePr/>
            <a:graphic xmlns:a="http://schemas.openxmlformats.org/drawingml/2006/main">
              <a:graphicData uri="http://schemas.openxmlformats.org/drawingml/2006/picture">
                <pic:pic xmlns:pic="http://schemas.openxmlformats.org/drawingml/2006/picture">
                  <pic:nvPicPr>
                    <pic:cNvPr id="1089728" name="Picture 1089728"/>
                    <pic:cNvPicPr/>
                  </pic:nvPicPr>
                  <pic:blipFill>
                    <a:blip r:embed="rId93"/>
                    <a:stretch>
                      <a:fillRect/>
                    </a:stretch>
                  </pic:blipFill>
                  <pic:spPr>
                    <a:xfrm>
                      <a:off x="0" y="0"/>
                      <a:ext cx="9144" cy="9144"/>
                    </a:xfrm>
                    <a:prstGeom prst="rect">
                      <a:avLst/>
                    </a:prstGeom>
                  </pic:spPr>
                </pic:pic>
              </a:graphicData>
            </a:graphic>
          </wp:inline>
        </w:drawing>
      </w:r>
      <w:r>
        <w:rPr>
          <w:sz w:val="26"/>
        </w:rPr>
        <w:t xml:space="preserve"> Asimismo, en correo del 26 de febrero de 2021 (asunto: "RE: Manual para activación del sistema Mis Compras del PAE"), el Ing. Juan José Hernández 1 Siguantay confirmó que el sistema estaba diseñado únicamente para dos entregas. A la fecha, la Dirección de DIGEPSA no ha concluido la migración, a 1 pesar de haber sido informada oportunamente.</w:t>
      </w:r>
    </w:p>
    <w:p w14:paraId="3870096C" w14:textId="77777777" w:rsidR="00053D93" w:rsidRDefault="00260B75">
      <w:pPr>
        <w:spacing w:after="284" w:line="269" w:lineRule="auto"/>
        <w:ind w:left="1717" w:right="14" w:hanging="3"/>
        <w:jc w:val="both"/>
      </w:pPr>
      <w:r>
        <w:rPr>
          <w:sz w:val="26"/>
        </w:rPr>
        <w:t>Gestiones de adquisición de soluciones de respaldo</w:t>
      </w:r>
    </w:p>
    <w:p w14:paraId="3D2655A4" w14:textId="77777777" w:rsidR="00053D93" w:rsidRDefault="00260B75">
      <w:pPr>
        <w:tabs>
          <w:tab w:val="right" w:pos="10217"/>
        </w:tabs>
        <w:spacing w:after="4" w:line="269" w:lineRule="auto"/>
      </w:pPr>
      <w:r>
        <w:rPr>
          <w:sz w:val="26"/>
        </w:rPr>
        <w:t>1</w:t>
      </w:r>
      <w:r>
        <w:rPr>
          <w:sz w:val="26"/>
        </w:rPr>
        <w:tab/>
        <w:t>Se gestionó la compra de una solución de respaldo identificada como "Derechos</w:t>
      </w:r>
    </w:p>
    <w:p w14:paraId="02B05384" w14:textId="77777777" w:rsidR="00053D93" w:rsidRDefault="00260B75">
      <w:pPr>
        <w:spacing w:after="232" w:line="216" w:lineRule="auto"/>
        <w:ind w:left="57" w:right="14" w:firstLine="1649"/>
        <w:jc w:val="both"/>
      </w:pPr>
      <w:r>
        <w:rPr>
          <w:sz w:val="26"/>
        </w:rPr>
        <w:t xml:space="preserve">de uso para respaldo y recuperación de información del Centro de Datos del Ministerio de Educación", bajo NOG 20259840, adjudicada el 28 de junio de 2023. El proceso fue iniciado mediante el oficio DINFO No. 0202-2023 de fecha 28 de febrero de 2023, pero no fue adjudicado por incumplimientos en la presentación de </w:t>
      </w:r>
      <w:r>
        <w:rPr>
          <w:noProof/>
        </w:rPr>
        <w:drawing>
          <wp:inline distT="0" distB="0" distL="0" distR="0" wp14:anchorId="28D680F3" wp14:editId="481DA1B9">
            <wp:extent cx="9144" cy="9144"/>
            <wp:effectExtent l="0" t="0" r="0" b="0"/>
            <wp:docPr id="1089729" name="Picture 1089729"/>
            <wp:cNvGraphicFramePr/>
            <a:graphic xmlns:a="http://schemas.openxmlformats.org/drawingml/2006/main">
              <a:graphicData uri="http://schemas.openxmlformats.org/drawingml/2006/picture">
                <pic:pic xmlns:pic="http://schemas.openxmlformats.org/drawingml/2006/picture">
                  <pic:nvPicPr>
                    <pic:cNvPr id="1089729" name="Picture 1089729"/>
                    <pic:cNvPicPr/>
                  </pic:nvPicPr>
                  <pic:blipFill>
                    <a:blip r:embed="rId117"/>
                    <a:stretch>
                      <a:fillRect/>
                    </a:stretch>
                  </pic:blipFill>
                  <pic:spPr>
                    <a:xfrm>
                      <a:off x="0" y="0"/>
                      <a:ext cx="9144" cy="9144"/>
                    </a:xfrm>
                    <a:prstGeom prst="rect">
                      <a:avLst/>
                    </a:prstGeom>
                  </pic:spPr>
                </pic:pic>
              </a:graphicData>
            </a:graphic>
          </wp:inline>
        </w:drawing>
      </w:r>
      <w:r>
        <w:rPr>
          <w:sz w:val="26"/>
        </w:rPr>
        <w:t>1 la oferta requisito fundamental.</w:t>
      </w:r>
    </w:p>
    <w:p w14:paraId="4180A7C0" w14:textId="77777777" w:rsidR="00053D93" w:rsidRDefault="00260B75">
      <w:pPr>
        <w:spacing w:after="252" w:line="269" w:lineRule="auto"/>
        <w:ind w:left="57" w:right="14" w:firstLine="1649"/>
        <w:jc w:val="both"/>
      </w:pPr>
      <w:r>
        <w:rPr>
          <w:sz w:val="26"/>
        </w:rPr>
        <w:t xml:space="preserve">Por lo anterior, se inició un nuevo proceso, NOG 23326719, denominado "Sistema </w:t>
      </w:r>
      <w:r>
        <w:rPr>
          <w:noProof/>
        </w:rPr>
        <w:drawing>
          <wp:inline distT="0" distB="0" distL="0" distR="0" wp14:anchorId="33D21FEF" wp14:editId="1F1FD29E">
            <wp:extent cx="9144" cy="4572"/>
            <wp:effectExtent l="0" t="0" r="0" b="0"/>
            <wp:docPr id="1089730" name="Picture 1089730"/>
            <wp:cNvGraphicFramePr/>
            <a:graphic xmlns:a="http://schemas.openxmlformats.org/drawingml/2006/main">
              <a:graphicData uri="http://schemas.openxmlformats.org/drawingml/2006/picture">
                <pic:pic xmlns:pic="http://schemas.openxmlformats.org/drawingml/2006/picture">
                  <pic:nvPicPr>
                    <pic:cNvPr id="1089730" name="Picture 1089730"/>
                    <pic:cNvPicPr/>
                  </pic:nvPicPr>
                  <pic:blipFill>
                    <a:blip r:embed="rId24"/>
                    <a:stretch>
                      <a:fillRect/>
                    </a:stretch>
                  </pic:blipFill>
                  <pic:spPr>
                    <a:xfrm>
                      <a:off x="0" y="0"/>
                      <a:ext cx="9144" cy="4572"/>
                    </a:xfrm>
                    <a:prstGeom prst="rect">
                      <a:avLst/>
                    </a:prstGeom>
                  </pic:spPr>
                </pic:pic>
              </a:graphicData>
            </a:graphic>
          </wp:inline>
        </w:drawing>
      </w:r>
      <w:r>
        <w:rPr>
          <w:sz w:val="26"/>
        </w:rPr>
        <w:t>1 y dispositivo de respaldos para [a infraestructura de computación virtual y física del Centro de Datos del Ministerio de Educación", con fecha de adjudicación 2 de agosto de 2024. Dicho proceso fue iniciado mediante el oficio DINFO No.</w:t>
      </w:r>
    </w:p>
    <w:p w14:paraId="7FB03E73" w14:textId="77777777" w:rsidR="00053D93" w:rsidRDefault="00260B75">
      <w:pPr>
        <w:spacing w:after="374" w:line="393" w:lineRule="auto"/>
        <w:ind w:left="1663" w:right="14" w:hanging="1606"/>
        <w:jc w:val="both"/>
      </w:pPr>
      <w:r>
        <w:rPr>
          <w:sz w:val="26"/>
        </w:rPr>
        <w:t>1</w:t>
      </w:r>
      <w:r>
        <w:rPr>
          <w:sz w:val="26"/>
        </w:rPr>
        <w:tab/>
        <w:t>0447-2024 del 8 de abril de 2024, pero tampoco fue adjudicado por incumplimientos en requisitos fundamentales.</w:t>
      </w:r>
    </w:p>
    <w:p w14:paraId="2758C07C" w14:textId="77777777" w:rsidR="00053D93" w:rsidRDefault="00260B75">
      <w:pPr>
        <w:spacing w:after="196" w:line="216" w:lineRule="auto"/>
        <w:ind w:left="107" w:right="14" w:hanging="50"/>
        <w:jc w:val="both"/>
      </w:pPr>
      <w:r>
        <w:rPr>
          <w:sz w:val="26"/>
        </w:rPr>
        <w:t>-1 Cabe destacar que ambos eventos fueron gestionados de manera oportuna, pero su adjudicación escapaba a las competencias del Departamento de Infraestructura 1 y Servicios Críticos.</w:t>
      </w:r>
    </w:p>
    <w:p w14:paraId="12DD0E85" w14:textId="77777777" w:rsidR="00053D93" w:rsidRDefault="00260B75">
      <w:pPr>
        <w:spacing w:after="4" w:line="269" w:lineRule="auto"/>
        <w:ind w:left="60" w:right="14" w:hanging="3"/>
        <w:jc w:val="both"/>
      </w:pPr>
      <w:r>
        <w:rPr>
          <w:sz w:val="26"/>
        </w:rPr>
        <w:t>Competencia sobre el Manual de Procedimientos</w:t>
      </w:r>
    </w:p>
    <w:p w14:paraId="4582C401" w14:textId="77777777" w:rsidR="00053D93" w:rsidRDefault="00260B75">
      <w:pPr>
        <w:spacing w:after="170" w:line="216" w:lineRule="auto"/>
        <w:ind w:left="1634" w:right="14" w:hanging="1577"/>
        <w:jc w:val="both"/>
      </w:pPr>
      <w:r>
        <w:rPr>
          <w:noProof/>
        </w:rPr>
        <mc:AlternateContent>
          <mc:Choice Requires="wpg">
            <w:drawing>
              <wp:inline distT="0" distB="0" distL="0" distR="0" wp14:anchorId="22DFB31E" wp14:editId="7AE756D1">
                <wp:extent cx="114300" cy="297180"/>
                <wp:effectExtent l="0" t="0" r="0" b="0"/>
                <wp:docPr id="2457211" name="Group 2457211"/>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087279" name="Rectangle 1087279"/>
                        <wps:cNvSpPr/>
                        <wps:spPr>
                          <a:xfrm>
                            <a:off x="0" y="0"/>
                            <a:ext cx="152019" cy="395250"/>
                          </a:xfrm>
                          <a:prstGeom prst="rect">
                            <a:avLst/>
                          </a:prstGeom>
                          <a:ln>
                            <a:noFill/>
                          </a:ln>
                        </wps:spPr>
                        <wps:txbx>
                          <w:txbxContent>
                            <w:p w14:paraId="1B2BA6A8"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22DFB31E" id="Group 2457211" o:spid="_x0000_s1607"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">
                <v:rect id="Rectangle 1087279" o:spid="_x0000_s1608"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" filled="f" stroked="f">
                  <v:textbox inset="0,0,0,0">
                    <w:txbxContent>
                      <w:p w14:paraId="1B2BA6A8" w14:textId="77777777" w:rsidR="00053D93" w:rsidRDefault="00260B75">
                        <w:r>
                          <w:rPr>
                            <w:sz w:val="70"/>
                          </w:rPr>
                          <w:t>1</w:t>
                        </w:r>
                      </w:p>
                    </w:txbxContent>
                  </v:textbox>
                </v:rect>
                <w10:anchorlock/>
              </v:group>
            </w:pict>
          </mc:Fallback>
        </mc:AlternateContent>
      </w:r>
      <w:r>
        <w:rPr>
          <w:sz w:val="26"/>
        </w:rPr>
        <w:t xml:space="preserve"> El Manual de Procedimientos de Soporte Técnico DES-MAN-OI Versión 3.0 corresponde al Departamento de Redes y Telecomunicaciones, por lo que su</w:t>
      </w:r>
    </w:p>
    <w:p w14:paraId="44A64356" w14:textId="77777777" w:rsidR="00053D93" w:rsidRDefault="00260B75">
      <w:pPr>
        <w:tabs>
          <w:tab w:val="center" w:pos="4730"/>
        </w:tabs>
        <w:spacing w:after="100" w:line="269" w:lineRule="auto"/>
      </w:pPr>
      <w:r>
        <w:rPr>
          <w:noProof/>
        </w:rPr>
        <w:drawing>
          <wp:inline distT="0" distB="0" distL="0" distR="0" wp14:anchorId="17FA96B9" wp14:editId="0375085C">
            <wp:extent cx="13716" cy="9144"/>
            <wp:effectExtent l="0" t="0" r="0" b="0"/>
            <wp:docPr id="1089731" name="Picture 1089731"/>
            <wp:cNvGraphicFramePr/>
            <a:graphic xmlns:a="http://schemas.openxmlformats.org/drawingml/2006/main">
              <a:graphicData uri="http://schemas.openxmlformats.org/drawingml/2006/picture">
                <pic:pic xmlns:pic="http://schemas.openxmlformats.org/drawingml/2006/picture">
                  <pic:nvPicPr>
                    <pic:cNvPr id="1089731" name="Picture 1089731"/>
                    <pic:cNvPicPr/>
                  </pic:nvPicPr>
                  <pic:blipFill>
                    <a:blip r:embed="rId937"/>
                    <a:stretch>
                      <a:fillRect/>
                    </a:stretch>
                  </pic:blipFill>
                  <pic:spPr>
                    <a:xfrm>
                      <a:off x="0" y="0"/>
                      <a:ext cx="13716" cy="9144"/>
                    </a:xfrm>
                    <a:prstGeom prst="rect">
                      <a:avLst/>
                    </a:prstGeom>
                  </pic:spPr>
                </pic:pic>
              </a:graphicData>
            </a:graphic>
          </wp:inline>
        </w:drawing>
      </w:r>
      <w:r>
        <w:rPr>
          <w:sz w:val="26"/>
        </w:rPr>
        <w:t>1</w:t>
      </w:r>
      <w:r>
        <w:rPr>
          <w:sz w:val="26"/>
        </w:rPr>
        <w:tab/>
        <w:t>actualización no es competencia del área de Infraestructura.</w:t>
      </w:r>
    </w:p>
    <w:p w14:paraId="39722670" w14:textId="77777777" w:rsidR="00053D93" w:rsidRDefault="00260B75">
      <w:pPr>
        <w:spacing w:after="200" w:line="269" w:lineRule="auto"/>
        <w:ind w:left="1688" w:right="14" w:hanging="3"/>
        <w:jc w:val="both"/>
      </w:pPr>
      <w:r>
        <w:rPr>
          <w:sz w:val="26"/>
        </w:rPr>
        <w:t>Incidente de seguridad informática (agosto 2024)</w:t>
      </w:r>
    </w:p>
    <w:p w14:paraId="6B397B9D" w14:textId="77777777" w:rsidR="00053D93" w:rsidRDefault="00260B75">
      <w:pPr>
        <w:spacing w:after="0" w:line="400" w:lineRule="auto"/>
        <w:ind w:left="1678" w:hanging="1570"/>
        <w:jc w:val="both"/>
      </w:pPr>
      <w:r>
        <w:rPr>
          <w:sz w:val="24"/>
        </w:rPr>
        <w:t>1 El incidente informático ocurrido en agosto de 2024 fue detectado en conjunto con la empresa SEGA el 19 de agosto, según el informe "Informe Ministerio de</w:t>
      </w:r>
    </w:p>
    <w:p w14:paraId="17482994" w14:textId="77777777" w:rsidR="00053D93" w:rsidRDefault="00260B75">
      <w:pPr>
        <w:spacing w:after="4" w:line="269" w:lineRule="auto"/>
        <w:ind w:left="1681" w:right="14" w:hanging="3"/>
        <w:jc w:val="both"/>
      </w:pPr>
      <w:r>
        <w:rPr>
          <w:sz w:val="26"/>
        </w:rPr>
        <w:t>Educación - MINEDUC".</w:t>
      </w:r>
    </w:p>
    <w:p w14:paraId="466FC9D6" w14:textId="77777777" w:rsidR="00053D93" w:rsidRDefault="00260B75">
      <w:pPr>
        <w:spacing w:after="3"/>
        <w:ind w:left="74" w:right="3485" w:hanging="10"/>
      </w:pPr>
      <w:r>
        <w:rPr>
          <w:sz w:val="70"/>
        </w:rPr>
        <w:t>1</w:t>
      </w:r>
    </w:p>
    <w:p w14:paraId="499F03FD" w14:textId="77777777" w:rsidR="00053D93" w:rsidRDefault="00260B75">
      <w:pPr>
        <w:spacing w:after="350" w:line="216" w:lineRule="auto"/>
        <w:ind w:left="57" w:right="14" w:firstLine="1562"/>
        <w:jc w:val="both"/>
      </w:pPr>
      <w:r>
        <w:rPr>
          <w:sz w:val="26"/>
        </w:rPr>
        <w:t>Dicho incidente fue reportado al departamento de Redes y Telecomunicaciones 1 mediante correo el 19 de agosto de 2024 con asunto "Bloqueos", enviado por</w:t>
      </w:r>
    </w:p>
    <w:tbl>
      <w:tblPr>
        <w:tblStyle w:val="TableGrid"/>
        <w:tblpPr w:vertAnchor="text" w:tblpX="2513" w:tblpY="7"/>
        <w:tblOverlap w:val="never"/>
        <w:tblW w:w="7625" w:type="dxa"/>
        <w:tblInd w:w="0" w:type="dxa"/>
        <w:tblCellMar>
          <w:top w:w="27" w:type="dxa"/>
          <w:left w:w="1742" w:type="dxa"/>
          <w:right w:w="115" w:type="dxa"/>
        </w:tblCellMar>
        <w:tblLook w:val="04A0" w:firstRow="1" w:lastRow="0" w:firstColumn="1" w:lastColumn="0" w:noHBand="0" w:noVBand="1"/>
      </w:tblPr>
      <w:tblGrid>
        <w:gridCol w:w="7625"/>
      </w:tblGrid>
      <w:tr w:rsidR="00053D93" w14:paraId="74A5948A" w14:textId="77777777">
        <w:trPr>
          <w:trHeight w:val="48"/>
        </w:trPr>
        <w:tc>
          <w:tcPr>
            <w:tcW w:w="7625" w:type="dxa"/>
            <w:tcBorders>
              <w:top w:val="nil"/>
              <w:left w:val="single" w:sz="2" w:space="0" w:color="000000"/>
              <w:bottom w:val="single" w:sz="2" w:space="0" w:color="000000"/>
              <w:right w:val="nil"/>
            </w:tcBorders>
          </w:tcPr>
          <w:p w14:paraId="7468D44D" w14:textId="77777777" w:rsidR="00053D93" w:rsidRDefault="00053D93"/>
        </w:tc>
      </w:tr>
      <w:tr w:rsidR="00053D93" w14:paraId="2D7F68B1" w14:textId="77777777">
        <w:trPr>
          <w:trHeight w:val="586"/>
        </w:trPr>
        <w:tc>
          <w:tcPr>
            <w:tcW w:w="7625" w:type="dxa"/>
            <w:tcBorders>
              <w:top w:val="single" w:sz="2" w:space="0" w:color="000000"/>
              <w:left w:val="single" w:sz="2" w:space="0" w:color="000000"/>
              <w:bottom w:val="nil"/>
              <w:right w:val="nil"/>
            </w:tcBorders>
          </w:tcPr>
          <w:p w14:paraId="0F407B08" w14:textId="77777777" w:rsidR="00053D93" w:rsidRDefault="00260B75">
            <w:pPr>
              <w:ind w:left="835"/>
            </w:pPr>
            <w:r>
              <w:rPr>
                <w:sz w:val="14"/>
              </w:rPr>
              <w:t>MINISTERIO DE EDUCACION</w:t>
            </w:r>
          </w:p>
          <w:p w14:paraId="37BC8FFD" w14:textId="77777777" w:rsidR="00053D93" w:rsidRDefault="00260B75">
            <w:pPr>
              <w:ind w:left="338"/>
            </w:pPr>
            <w:r>
              <w:rPr>
                <w:sz w:val="14"/>
              </w:rPr>
              <w:t>AUDITORIA FINANCIERA Y DE CUMPLIMIENTO</w:t>
            </w:r>
          </w:p>
          <w:p w14:paraId="57ECAB95" w14:textId="77777777" w:rsidR="00053D93" w:rsidRDefault="00260B75">
            <w:r>
              <w:rPr>
                <w:sz w:val="14"/>
              </w:rPr>
              <w:t>PERIODO DEL 01 DE ENERO AL 31 DE DICIEMBRE DE 2024</w:t>
            </w:r>
          </w:p>
        </w:tc>
      </w:tr>
    </w:tbl>
    <w:p w14:paraId="0BE027EB" w14:textId="77777777" w:rsidR="00053D93" w:rsidRDefault="00260B75">
      <w:pPr>
        <w:spacing w:after="3"/>
        <w:ind w:left="125" w:right="72" w:hanging="10"/>
      </w:pPr>
      <w:r>
        <w:rPr>
          <w:sz w:val="72"/>
        </w:rPr>
        <w:t xml:space="preserve">1 </w:t>
      </w:r>
      <w:r>
        <w:rPr>
          <w:noProof/>
        </w:rPr>
        <w:drawing>
          <wp:inline distT="0" distB="0" distL="0" distR="0" wp14:anchorId="3BCE5A09" wp14:editId="7660CFFA">
            <wp:extent cx="1120140" cy="406908"/>
            <wp:effectExtent l="0" t="0" r="0" b="0"/>
            <wp:docPr id="1089801" name="Picture 1089801"/>
            <wp:cNvGraphicFramePr/>
            <a:graphic xmlns:a="http://schemas.openxmlformats.org/drawingml/2006/main">
              <a:graphicData uri="http://schemas.openxmlformats.org/drawingml/2006/picture">
                <pic:pic xmlns:pic="http://schemas.openxmlformats.org/drawingml/2006/picture">
                  <pic:nvPicPr>
                    <pic:cNvPr id="1089801" name="Picture 1089801"/>
                    <pic:cNvPicPr/>
                  </pic:nvPicPr>
                  <pic:blipFill>
                    <a:blip r:embed="rId1495"/>
                    <a:stretch>
                      <a:fillRect/>
                    </a:stretch>
                  </pic:blipFill>
                  <pic:spPr>
                    <a:xfrm>
                      <a:off x="0" y="0"/>
                      <a:ext cx="1120140" cy="406908"/>
                    </a:xfrm>
                    <a:prstGeom prst="rect">
                      <a:avLst/>
                    </a:prstGeom>
                  </pic:spPr>
                </pic:pic>
              </a:graphicData>
            </a:graphic>
          </wp:inline>
        </w:drawing>
      </w:r>
    </w:p>
    <w:p w14:paraId="31681F24" w14:textId="77777777" w:rsidR="00053D93" w:rsidRDefault="00053D93">
      <w:pPr>
        <w:sectPr w:rsidR="00053D93">
          <w:headerReference w:type="even" r:id="rId1496"/>
          <w:headerReference w:type="default" r:id="rId1497"/>
          <w:footerReference w:type="even" r:id="rId1498"/>
          <w:footerReference w:type="default" r:id="rId1499"/>
          <w:headerReference w:type="first" r:id="rId1500"/>
          <w:footerReference w:type="first" r:id="rId1501"/>
          <w:pgSz w:w="12290" w:h="15883"/>
          <w:pgMar w:top="778" w:right="1786" w:bottom="468" w:left="288" w:header="360" w:footer="720" w:gutter="0"/>
          <w:cols w:space="720"/>
          <w:titlePg/>
        </w:sectPr>
      </w:pPr>
    </w:p>
    <w:p w14:paraId="027F6779" w14:textId="77777777" w:rsidR="00053D93" w:rsidRDefault="00260B75">
      <w:pPr>
        <w:tabs>
          <w:tab w:val="center" w:pos="6908"/>
        </w:tabs>
        <w:spacing w:after="0" w:line="265" w:lineRule="auto"/>
      </w:pPr>
      <w:r>
        <w:rPr>
          <w:sz w:val="14"/>
        </w:rPr>
        <w:t>1</w:t>
      </w:r>
      <w:r>
        <w:rPr>
          <w:sz w:val="14"/>
        </w:rPr>
        <w:tab/>
        <w:t xml:space="preserve">OE </w:t>
      </w:r>
    </w:p>
    <w:p w14:paraId="6CB133B1" w14:textId="77777777" w:rsidR="00053D93" w:rsidRDefault="00260B75">
      <w:pPr>
        <w:spacing w:after="13"/>
        <w:ind w:left="1217" w:right="-14"/>
      </w:pPr>
      <w:r>
        <w:rPr>
          <w:noProof/>
        </w:rPr>
        <w:drawing>
          <wp:inline distT="0" distB="0" distL="0" distR="0" wp14:anchorId="7B17994F" wp14:editId="536176B1">
            <wp:extent cx="5705856" cy="45720"/>
            <wp:effectExtent l="0" t="0" r="0" b="0"/>
            <wp:docPr id="2458831" name="Picture 2458831"/>
            <wp:cNvGraphicFramePr/>
            <a:graphic xmlns:a="http://schemas.openxmlformats.org/drawingml/2006/main">
              <a:graphicData uri="http://schemas.openxmlformats.org/drawingml/2006/picture">
                <pic:pic xmlns:pic="http://schemas.openxmlformats.org/drawingml/2006/picture">
                  <pic:nvPicPr>
                    <pic:cNvPr id="2458831" name="Picture 2458831"/>
                    <pic:cNvPicPr/>
                  </pic:nvPicPr>
                  <pic:blipFill>
                    <a:blip r:embed="rId1502"/>
                    <a:stretch>
                      <a:fillRect/>
                    </a:stretch>
                  </pic:blipFill>
                  <pic:spPr>
                    <a:xfrm>
                      <a:off x="0" y="0"/>
                      <a:ext cx="5705856" cy="45720"/>
                    </a:xfrm>
                    <a:prstGeom prst="rect">
                      <a:avLst/>
                    </a:prstGeom>
                  </pic:spPr>
                </pic:pic>
              </a:graphicData>
            </a:graphic>
          </wp:inline>
        </w:drawing>
      </w:r>
    </w:p>
    <w:p w14:paraId="651909FB" w14:textId="77777777" w:rsidR="00053D93" w:rsidRDefault="00260B75">
      <w:pPr>
        <w:spacing w:after="572" w:line="320" w:lineRule="auto"/>
        <w:ind w:left="1735" w:right="14" w:hanging="1678"/>
        <w:jc w:val="both"/>
      </w:pPr>
      <w:r>
        <w:rPr>
          <w:sz w:val="26"/>
        </w:rPr>
        <w:t>1</w:t>
      </w:r>
      <w:r>
        <w:rPr>
          <w:sz w:val="26"/>
        </w:rPr>
        <w:tab/>
        <w:t>admihisfñadcñ de servidores y backup y dirigido al Administrador de Antivirus y Fi reWall.</w:t>
      </w:r>
    </w:p>
    <w:p w14:paraId="0CA0DCB2" w14:textId="77777777" w:rsidR="00053D93" w:rsidRDefault="00260B75">
      <w:pPr>
        <w:tabs>
          <w:tab w:val="right" w:pos="10181"/>
        </w:tabs>
        <w:spacing w:after="4" w:line="269" w:lineRule="auto"/>
      </w:pPr>
      <w:r>
        <w:rPr>
          <w:sz w:val="26"/>
        </w:rPr>
        <w:t>1</w:t>
      </w:r>
      <w:r>
        <w:rPr>
          <w:sz w:val="26"/>
        </w:rPr>
        <w:tab/>
        <w:t>Sin embargo, el personal de redes no respondió oportunamente, ni el antivirus</w:t>
      </w:r>
    </w:p>
    <w:p w14:paraId="123F4B78" w14:textId="77777777" w:rsidR="00053D93" w:rsidRDefault="00260B75">
      <w:pPr>
        <w:spacing w:after="198" w:line="216" w:lineRule="auto"/>
        <w:ind w:left="57" w:right="14" w:firstLine="1656"/>
        <w:jc w:val="both"/>
      </w:pPr>
      <w:r>
        <w:rPr>
          <w:sz w:val="26"/>
        </w:rPr>
        <w:t>institucional logró contener el incidente. A ello se suma que el Director de 1 Informática no realizó las gestiones necesarias para mitigar sus consecuencias.</w:t>
      </w:r>
    </w:p>
    <w:p w14:paraId="213EF3EB" w14:textId="77777777" w:rsidR="00053D93" w:rsidRDefault="00260B75">
      <w:pPr>
        <w:spacing w:after="266" w:line="269" w:lineRule="auto"/>
        <w:ind w:left="1745" w:right="14" w:hanging="3"/>
        <w:jc w:val="both"/>
      </w:pPr>
      <w:r>
        <w:rPr>
          <w:sz w:val="26"/>
        </w:rPr>
        <w:t>Base de datos Oracle (agosto 2024)</w:t>
      </w:r>
    </w:p>
    <w:p w14:paraId="07203021" w14:textId="77777777" w:rsidR="00053D93" w:rsidRDefault="00260B75">
      <w:pPr>
        <w:spacing w:after="580" w:line="387" w:lineRule="auto"/>
        <w:ind w:left="1706" w:right="14" w:hanging="1649"/>
        <w:jc w:val="both"/>
      </w:pPr>
      <w:r>
        <w:rPr>
          <w:sz w:val="26"/>
        </w:rPr>
        <w:t>1 Con fecha 30 de agosto de 2,024 se recibe Informe de incidente relacionado al punto anterior. Donde se indica lo siguiente:</w:t>
      </w:r>
    </w:p>
    <w:p w14:paraId="78E3067A" w14:textId="77777777" w:rsidR="00053D93" w:rsidRDefault="00260B75">
      <w:pPr>
        <w:tabs>
          <w:tab w:val="right" w:pos="10181"/>
        </w:tabs>
        <w:spacing w:after="4" w:line="269" w:lineRule="auto"/>
      </w:pPr>
      <w:r>
        <w:rPr>
          <w:sz w:val="26"/>
        </w:rPr>
        <w:t>1</w:t>
      </w:r>
      <w:r>
        <w:rPr>
          <w:sz w:val="26"/>
        </w:rPr>
        <w:tab/>
        <w:t>La primera revisión de la base de datos en ta nube indica que se encuentra</w:t>
      </w:r>
    </w:p>
    <w:p w14:paraId="387C61C5" w14:textId="77777777" w:rsidR="00053D93" w:rsidRDefault="00260B75">
      <w:pPr>
        <w:spacing w:after="155" w:line="265" w:lineRule="auto"/>
        <w:ind w:left="1738" w:hanging="10"/>
        <w:jc w:val="both"/>
      </w:pPr>
      <w:r>
        <w:rPr>
          <w:sz w:val="24"/>
        </w:rPr>
        <w:t>correcta desde 2024-08-21 00:00 horas hasta las 07:20.</w:t>
      </w:r>
    </w:p>
    <w:p w14:paraId="16BF8854" w14:textId="77777777" w:rsidR="00053D93" w:rsidRDefault="00260B75">
      <w:pPr>
        <w:spacing w:after="0"/>
        <w:ind w:left="17" w:hanging="10"/>
      </w:pPr>
      <w:r>
        <w:rPr>
          <w:sz w:val="80"/>
        </w:rPr>
        <w:t>1</w:t>
      </w:r>
    </w:p>
    <w:p w14:paraId="4CDDB61D" w14:textId="77777777" w:rsidR="00053D93" w:rsidRDefault="00260B75">
      <w:pPr>
        <w:spacing w:after="42" w:line="269" w:lineRule="auto"/>
        <w:ind w:left="1709" w:right="14" w:hanging="3"/>
        <w:jc w:val="both"/>
      </w:pPr>
      <w:r>
        <w:rPr>
          <w:sz w:val="26"/>
        </w:rPr>
        <w:t>A las 07:20 se reporta un error de desconexión con la base de datos primaria, pero continúa funcionando sin inconvenientes la replica:</w:t>
      </w:r>
    </w:p>
    <w:p w14:paraId="70A047D4" w14:textId="77777777" w:rsidR="00053D93" w:rsidRDefault="00260B75">
      <w:pPr>
        <w:spacing w:after="3"/>
        <w:ind w:left="74" w:right="3485" w:hanging="10"/>
      </w:pPr>
      <w:r>
        <w:rPr>
          <w:noProof/>
        </w:rPr>
        <w:drawing>
          <wp:inline distT="0" distB="0" distL="0" distR="0" wp14:anchorId="5D133C0A" wp14:editId="45F3405F">
            <wp:extent cx="13716" cy="13716"/>
            <wp:effectExtent l="0" t="0" r="0" b="0"/>
            <wp:docPr id="1092821" name="Picture 1092821"/>
            <wp:cNvGraphicFramePr/>
            <a:graphic xmlns:a="http://schemas.openxmlformats.org/drawingml/2006/main">
              <a:graphicData uri="http://schemas.openxmlformats.org/drawingml/2006/picture">
                <pic:pic xmlns:pic="http://schemas.openxmlformats.org/drawingml/2006/picture">
                  <pic:nvPicPr>
                    <pic:cNvPr id="1092821" name="Picture 1092821"/>
                    <pic:cNvPicPr/>
                  </pic:nvPicPr>
                  <pic:blipFill>
                    <a:blip r:embed="rId1503"/>
                    <a:stretch>
                      <a:fillRect/>
                    </a:stretch>
                  </pic:blipFill>
                  <pic:spPr>
                    <a:xfrm>
                      <a:off x="0" y="0"/>
                      <a:ext cx="13716" cy="13716"/>
                    </a:xfrm>
                    <a:prstGeom prst="rect">
                      <a:avLst/>
                    </a:prstGeom>
                  </pic:spPr>
                </pic:pic>
              </a:graphicData>
            </a:graphic>
          </wp:inline>
        </w:drawing>
      </w:r>
      <w:r>
        <w:rPr>
          <w:sz w:val="70"/>
        </w:rPr>
        <w:t>1</w:t>
      </w:r>
    </w:p>
    <w:tbl>
      <w:tblPr>
        <w:tblStyle w:val="TableGrid"/>
        <w:tblpPr w:vertAnchor="page" w:horzAnchor="page" w:tblpX="2762" w:tblpY="14530"/>
        <w:tblOverlap w:val="never"/>
        <w:tblW w:w="7671" w:type="dxa"/>
        <w:tblInd w:w="0" w:type="dxa"/>
        <w:tblCellMar>
          <w:top w:w="28" w:type="dxa"/>
          <w:left w:w="1781" w:type="dxa"/>
          <w:right w:w="115" w:type="dxa"/>
        </w:tblCellMar>
        <w:tblLook w:val="04A0" w:firstRow="1" w:lastRow="0" w:firstColumn="1" w:lastColumn="0" w:noHBand="0" w:noVBand="1"/>
      </w:tblPr>
      <w:tblGrid>
        <w:gridCol w:w="7671"/>
      </w:tblGrid>
      <w:tr w:rsidR="00053D93" w14:paraId="5B4F60B6" w14:textId="77777777">
        <w:trPr>
          <w:trHeight w:val="65"/>
        </w:trPr>
        <w:tc>
          <w:tcPr>
            <w:tcW w:w="7671" w:type="dxa"/>
            <w:tcBorders>
              <w:top w:val="nil"/>
              <w:left w:val="single" w:sz="2" w:space="0" w:color="000000"/>
              <w:bottom w:val="single" w:sz="2" w:space="0" w:color="000000"/>
              <w:right w:val="nil"/>
            </w:tcBorders>
          </w:tcPr>
          <w:p w14:paraId="4FF0934A" w14:textId="77777777" w:rsidR="00053D93" w:rsidRDefault="00053D93"/>
        </w:tc>
      </w:tr>
      <w:tr w:rsidR="00053D93" w14:paraId="5F6B5003" w14:textId="77777777">
        <w:trPr>
          <w:trHeight w:val="576"/>
        </w:trPr>
        <w:tc>
          <w:tcPr>
            <w:tcW w:w="7671" w:type="dxa"/>
            <w:tcBorders>
              <w:top w:val="single" w:sz="2" w:space="0" w:color="000000"/>
              <w:left w:val="single" w:sz="2" w:space="0" w:color="000000"/>
              <w:bottom w:val="nil"/>
              <w:right w:val="nil"/>
            </w:tcBorders>
          </w:tcPr>
          <w:p w14:paraId="0F3E165D" w14:textId="77777777" w:rsidR="00053D93" w:rsidRDefault="00260B75">
            <w:pPr>
              <w:ind w:left="835"/>
            </w:pPr>
            <w:r>
              <w:rPr>
                <w:sz w:val="14"/>
              </w:rPr>
              <w:t>MINISTERIO DE EDUCACION</w:t>
            </w:r>
          </w:p>
          <w:p w14:paraId="5BECA502" w14:textId="77777777" w:rsidR="00053D93" w:rsidRDefault="00260B75">
            <w:pPr>
              <w:ind w:left="338"/>
            </w:pPr>
            <w:r>
              <w:rPr>
                <w:sz w:val="14"/>
              </w:rPr>
              <w:t>AUDITORÍA FINANCIERA Y DE CUMPLIMIENTO</w:t>
            </w:r>
          </w:p>
          <w:p w14:paraId="2083128C" w14:textId="77777777" w:rsidR="00053D93" w:rsidRDefault="00260B75">
            <w:r>
              <w:rPr>
                <w:sz w:val="14"/>
              </w:rPr>
              <w:t>PERÍODO DEL 01 OE ENERO AL 31 DE DICIEMBRE DE 2024</w:t>
            </w:r>
          </w:p>
        </w:tc>
      </w:tr>
    </w:tbl>
    <w:p w14:paraId="32E9640C" w14:textId="77777777" w:rsidR="00053D93" w:rsidRDefault="00260B75">
      <w:pPr>
        <w:spacing w:after="271" w:line="216" w:lineRule="auto"/>
        <w:ind w:left="57" w:right="14" w:firstLine="1634"/>
        <w:jc w:val="both"/>
      </w:pPr>
      <w:r>
        <w:rPr>
          <w:noProof/>
        </w:rPr>
        <w:drawing>
          <wp:anchor distT="0" distB="0" distL="114300" distR="114300" simplePos="0" relativeHeight="252206080" behindDoc="0" locked="0" layoutInCell="1" allowOverlap="0" wp14:anchorId="1FF95634" wp14:editId="3B6CCCA0">
            <wp:simplePos x="0" y="0"/>
            <wp:positionH relativeFrom="page">
              <wp:posOffset>635508</wp:posOffset>
            </wp:positionH>
            <wp:positionV relativeFrom="page">
              <wp:posOffset>9217152</wp:posOffset>
            </wp:positionV>
            <wp:extent cx="1065276" cy="411480"/>
            <wp:effectExtent l="0" t="0" r="0" b="0"/>
            <wp:wrapTopAndBottom/>
            <wp:docPr id="1092874" name="Picture 1092874"/>
            <wp:cNvGraphicFramePr/>
            <a:graphic xmlns:a="http://schemas.openxmlformats.org/drawingml/2006/main">
              <a:graphicData uri="http://schemas.openxmlformats.org/drawingml/2006/picture">
                <pic:pic xmlns:pic="http://schemas.openxmlformats.org/drawingml/2006/picture">
                  <pic:nvPicPr>
                    <pic:cNvPr id="1092874" name="Picture 1092874"/>
                    <pic:cNvPicPr/>
                  </pic:nvPicPr>
                  <pic:blipFill>
                    <a:blip r:embed="rId1504"/>
                    <a:stretch>
                      <a:fillRect/>
                    </a:stretch>
                  </pic:blipFill>
                  <pic:spPr>
                    <a:xfrm>
                      <a:off x="0" y="0"/>
                      <a:ext cx="1065276" cy="411480"/>
                    </a:xfrm>
                    <a:prstGeom prst="rect">
                      <a:avLst/>
                    </a:prstGeom>
                  </pic:spPr>
                </pic:pic>
              </a:graphicData>
            </a:graphic>
          </wp:anchor>
        </w:drawing>
      </w:r>
      <w:r>
        <w:rPr>
          <w:sz w:val="26"/>
        </w:rPr>
        <w:t>En este punto se ejecutó un comando para verificar integridad de la información. 1 Comando ejecutado rman validate database.</w:t>
      </w:r>
    </w:p>
    <w:p w14:paraId="3EAFFBD9" w14:textId="77777777" w:rsidR="00053D93" w:rsidRDefault="00260B75">
      <w:pPr>
        <w:spacing w:after="63" w:line="269" w:lineRule="auto"/>
        <w:ind w:left="57" w:right="14" w:firstLine="1627"/>
        <w:jc w:val="both"/>
      </w:pPr>
      <w:r>
        <w:rPr>
          <w:sz w:val="26"/>
        </w:rPr>
        <w:t>La base de datos no reporto problemas de integridad por lo que se bajó la 1 instancia y el host por seguridad a [as 1 1:10. La base de datos se volvió a iniciar el día 23-08 a las 14:38, ya que se ha confirmado que la integridad de la base de datos local esta correcta.</w:t>
      </w:r>
    </w:p>
    <w:p w14:paraId="005D855C" w14:textId="77777777" w:rsidR="00053D93" w:rsidRDefault="00260B75">
      <w:pPr>
        <w:spacing w:after="3"/>
        <w:ind w:left="74" w:right="3485" w:hanging="10"/>
      </w:pPr>
      <w:r>
        <w:rPr>
          <w:sz w:val="70"/>
        </w:rPr>
        <w:t>1</w:t>
      </w:r>
    </w:p>
    <w:p w14:paraId="1ED1BF84" w14:textId="77777777" w:rsidR="00053D93" w:rsidRDefault="00260B75">
      <w:pPr>
        <w:spacing w:after="143" w:line="269" w:lineRule="auto"/>
        <w:ind w:left="1695" w:right="14" w:hanging="3"/>
        <w:jc w:val="both"/>
      </w:pPr>
      <w:r>
        <w:rPr>
          <w:sz w:val="26"/>
        </w:rPr>
        <w:t>Conclusión:</w:t>
      </w:r>
    </w:p>
    <w:p w14:paraId="6FACDB0E" w14:textId="77777777" w:rsidR="00053D93" w:rsidRDefault="00260B75">
      <w:pPr>
        <w:spacing w:after="30" w:line="269" w:lineRule="auto"/>
        <w:ind w:left="60" w:right="14" w:hanging="3"/>
        <w:jc w:val="both"/>
      </w:pPr>
      <w:r>
        <w:rPr>
          <w:sz w:val="26"/>
        </w:rPr>
        <w:t>1 Por lo anteriormente expuesto, se deja constancia de que las deficiencias señaladas en el hallazgo fueron anticipadamente advertidas y comunicadas a las autoridades competentes, mediante análisis técnicos, oficios y reportes que 1 evidencian una gestión activa y responsable.</w:t>
      </w:r>
    </w:p>
    <w:p w14:paraId="555CA7D6" w14:textId="77777777" w:rsidR="00053D93" w:rsidRDefault="00260B75">
      <w:pPr>
        <w:spacing w:after="4" w:line="216" w:lineRule="auto"/>
        <w:ind w:left="57" w:right="14" w:firstLine="1598"/>
        <w:jc w:val="both"/>
      </w:pPr>
      <w:r>
        <w:rPr>
          <w:sz w:val="26"/>
        </w:rPr>
        <w:t>Las limitaciones de infraestructura fueron reiteradamente señaladas desde el 1 Departamento de Infraestructura y Servicios Críticos. En virtud de lo anterior, y</w:t>
      </w:r>
    </w:p>
    <w:p w14:paraId="5E9FB167" w14:textId="77777777" w:rsidR="00053D93" w:rsidRDefault="00260B75">
      <w:pPr>
        <w:spacing w:after="259" w:line="216" w:lineRule="auto"/>
        <w:ind w:left="57" w:right="14" w:firstLine="1577"/>
        <w:jc w:val="both"/>
      </w:pPr>
      <w:r>
        <w:rPr>
          <w:sz w:val="26"/>
        </w:rPr>
        <w:t>tomando en cuenta las evidencias presentadas, las situaciones señaladas en el 1 hallazgo fueron debidamente gestionadas y comunicadas.</w:t>
      </w:r>
    </w:p>
    <w:p w14:paraId="2F65B581" w14:textId="77777777" w:rsidR="00053D93" w:rsidRDefault="00260B75">
      <w:pPr>
        <w:spacing w:after="4" w:line="269" w:lineRule="auto"/>
        <w:ind w:left="57" w:right="14" w:firstLine="1584"/>
        <w:jc w:val="both"/>
      </w:pPr>
      <w:r>
        <w:rPr>
          <w:sz w:val="26"/>
        </w:rPr>
        <w:t>De acuerdo con los oficios y correos electrónicos citados, la Plataforma "Mis 1 Compras del PAE" fue concebida y habilitada como una solución temporal, específicamente diseñada para operar durante el ciclo escolar 2021 . Esta naturaleza transitoria fue claramente comunicada desde su implementación. Sin 1 embargo, la Dirección de DIGEPSA continuó utilizando la herramienta más allá del período originalmente previsto, sin haber finalizado el proceso de migración a una plataforma más segura. Esto evidencia una falta de atención a las</w:t>
      </w:r>
    </w:p>
    <w:p w14:paraId="6BF0DDB8" w14:textId="77777777" w:rsidR="00053D93" w:rsidRDefault="00260B75">
      <w:pPr>
        <w:spacing w:after="0"/>
        <w:ind w:left="1642"/>
      </w:pPr>
      <w:r>
        <w:rPr>
          <w:noProof/>
        </w:rPr>
        <mc:AlternateContent>
          <mc:Choice Requires="wpg">
            <w:drawing>
              <wp:inline distT="0" distB="0" distL="0" distR="0" wp14:anchorId="57F2F7C1" wp14:editId="1F179AF4">
                <wp:extent cx="5385816" cy="18288"/>
                <wp:effectExtent l="0" t="0" r="0" b="0"/>
                <wp:docPr id="2458834" name="Group 2458834"/>
                <wp:cNvGraphicFramePr/>
                <a:graphic xmlns:a="http://schemas.openxmlformats.org/drawingml/2006/main">
                  <a:graphicData uri="http://schemas.microsoft.com/office/word/2010/wordprocessingGroup">
                    <wpg:wgp>
                      <wpg:cNvGrpSpPr/>
                      <wpg:grpSpPr>
                        <a:xfrm>
                          <a:off x="0" y="0"/>
                          <a:ext cx="5385816" cy="18288"/>
                          <a:chOff x="0" y="0"/>
                          <a:chExt cx="5385816" cy="18288"/>
                        </a:xfrm>
                      </wpg:grpSpPr>
                      <wps:wsp>
                        <wps:cNvPr id="2458833" name="Shape 2458833"/>
                        <wps:cNvSpPr/>
                        <wps:spPr>
                          <a:xfrm>
                            <a:off x="0" y="0"/>
                            <a:ext cx="5385816" cy="18288"/>
                          </a:xfrm>
                          <a:custGeom>
                            <a:avLst/>
                            <a:gdLst/>
                            <a:ahLst/>
                            <a:cxnLst/>
                            <a:rect l="0" t="0" r="0" b="0"/>
                            <a:pathLst>
                              <a:path w="5385816" h="18288">
                                <a:moveTo>
                                  <a:pt x="0" y="9144"/>
                                </a:moveTo>
                                <a:lnTo>
                                  <a:pt x="5385816"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34" style="width:424.08pt;height:1.44pt;mso-position-horizontal-relative:char;mso-position-vertical-relative:line" coordsize="53858,182">
                <v:shape id="Shape 2458833" style="position:absolute;width:53858;height:182;left:0;top:0;" coordsize="5385816,18288" path="m0,9144l5385816,9144">
                  <v:stroke weight="1.44pt" endcap="flat" joinstyle="miter" miterlimit="1" on="true" color="#000000"/>
                  <v:fill on="false" color="#000000"/>
                </v:shape>
              </v:group>
            </w:pict>
          </mc:Fallback>
        </mc:AlternateContent>
      </w:r>
    </w:p>
    <w:p w14:paraId="1276BD1B" w14:textId="77777777" w:rsidR="00053D93" w:rsidRDefault="00260B75">
      <w:pPr>
        <w:spacing w:after="231" w:line="250" w:lineRule="auto"/>
        <w:ind w:left="31" w:right="14" w:hanging="3"/>
        <w:jc w:val="both"/>
      </w:pPr>
      <w:r>
        <w:rPr>
          <w:noProof/>
        </w:rPr>
        <mc:AlternateContent>
          <mc:Choice Requires="wpg">
            <w:drawing>
              <wp:inline distT="0" distB="0" distL="0" distR="0" wp14:anchorId="67A0556F" wp14:editId="0CFA7884">
                <wp:extent cx="114300" cy="301752"/>
                <wp:effectExtent l="0" t="0" r="0" b="0"/>
                <wp:docPr id="2457218" name="Group 2457218"/>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1093537" name="Rectangle 1093537"/>
                        <wps:cNvSpPr/>
                        <wps:spPr>
                          <a:xfrm>
                            <a:off x="0" y="0"/>
                            <a:ext cx="152019" cy="401330"/>
                          </a:xfrm>
                          <a:prstGeom prst="rect">
                            <a:avLst/>
                          </a:prstGeom>
                          <a:ln>
                            <a:noFill/>
                          </a:ln>
                        </wps:spPr>
                        <wps:txbx>
                          <w:txbxContent>
                            <w:p w14:paraId="0035400F"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7A0556F" id="Group 2457218" o:spid="_x0000_s1609"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">
                <v:rect id="Rectangle 1093537" o:spid="_x0000_s1610"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" filled="f" stroked="f">
                  <v:textbox inset="0,0,0,0">
                    <w:txbxContent>
                      <w:p w14:paraId="0035400F" w14:textId="77777777" w:rsidR="00053D93" w:rsidRDefault="00260B75">
                        <w:r>
                          <w:rPr>
                            <w:sz w:val="70"/>
                          </w:rPr>
                          <w:t>1</w:t>
                        </w:r>
                      </w:p>
                    </w:txbxContent>
                  </v:textbox>
                </v:rect>
                <w10:anchorlock/>
              </v:group>
            </w:pict>
          </mc:Fallback>
        </mc:AlternateContent>
      </w:r>
      <w:r>
        <w:rPr>
          <w:sz w:val="26"/>
        </w:rPr>
        <w:t xml:space="preserve"> recomendaciones técnicas emitidas, así como la prolongación de un sistema que no fue diseñado para una operación sostenida, lo cual contrasta con los 1 lineamientos de seguridad y funcionalidad recomendados.</w:t>
      </w:r>
    </w:p>
    <w:p w14:paraId="70415F97" w14:textId="77777777" w:rsidR="00053D93" w:rsidRDefault="00260B75">
      <w:pPr>
        <w:spacing w:after="700" w:line="250" w:lineRule="auto"/>
        <w:ind w:left="28" w:right="14" w:firstLine="1649"/>
        <w:jc w:val="both"/>
      </w:pPr>
      <w:r>
        <w:rPr>
          <w:sz w:val="26"/>
        </w:rPr>
        <w:t>Adicionalmente, se debe resaltar que la base de datos no fue afectada durante el 1 incidente reportado en agosto de 2024. Se cuenta con una réplica de la base de datos en la nube, lo cual proporciona una protección adicional de los datos y garantiza su disponibilidad en caso de cualquier eventualidad, demostrando que el sistema de respaldo y recuperación de la base de datos operó correctamente en todo momento."</w:t>
      </w:r>
    </w:p>
    <w:p w14:paraId="16FD1932" w14:textId="77777777" w:rsidR="00053D93" w:rsidRDefault="00260B75">
      <w:pPr>
        <w:tabs>
          <w:tab w:val="right" w:pos="10181"/>
        </w:tabs>
        <w:spacing w:after="12" w:line="250" w:lineRule="auto"/>
      </w:pPr>
      <w:r>
        <w:rPr>
          <w:sz w:val="26"/>
        </w:rPr>
        <w:t>1</w:t>
      </w:r>
      <w:r>
        <w:rPr>
          <w:sz w:val="26"/>
        </w:rPr>
        <w:tab/>
        <w:t>En memorial del 03 de abril de 2025, el señor Hugo Ronaldo Reyes</w:t>
      </w:r>
    </w:p>
    <w:p w14:paraId="06BC5807" w14:textId="77777777" w:rsidR="00053D93" w:rsidRDefault="00260B75">
      <w:pPr>
        <w:spacing w:after="12" w:line="250" w:lineRule="auto"/>
        <w:ind w:left="28" w:right="14" w:firstLine="1670"/>
        <w:jc w:val="both"/>
      </w:pPr>
      <w:r>
        <w:rPr>
          <w:sz w:val="26"/>
        </w:rPr>
        <w:t>Hernández, Administrador de Servidores y Backups, manifiesta: "Antecedentes 1 Inicio presentando mi nombramiento y funciones de fecha 15 de enero de 2024, por medio del oficio Dinfo No. 62-2024 el que establece que estaría como el Administrador de Servidores y Backups. Y mi contrato 022-DlNFO-1-2024.</w:t>
      </w:r>
    </w:p>
    <w:p w14:paraId="0289B540" w14:textId="77777777" w:rsidR="00053D93" w:rsidRDefault="00260B75">
      <w:pPr>
        <w:spacing w:after="0"/>
        <w:ind w:left="38" w:right="22" w:hanging="10"/>
      </w:pPr>
      <w:r>
        <w:rPr>
          <w:noProof/>
        </w:rPr>
        <w:drawing>
          <wp:inline distT="0" distB="0" distL="0" distR="0" wp14:anchorId="7FEE16B9" wp14:editId="6BEAAEF1">
            <wp:extent cx="4572" cy="4572"/>
            <wp:effectExtent l="0" t="0" r="0" b="0"/>
            <wp:docPr id="1096183" name="Picture 1096183"/>
            <wp:cNvGraphicFramePr/>
            <a:graphic xmlns:a="http://schemas.openxmlformats.org/drawingml/2006/main">
              <a:graphicData uri="http://schemas.openxmlformats.org/drawingml/2006/picture">
                <pic:pic xmlns:pic="http://schemas.openxmlformats.org/drawingml/2006/picture">
                  <pic:nvPicPr>
                    <pic:cNvPr id="1096183" name="Picture 1096183"/>
                    <pic:cNvPicPr/>
                  </pic:nvPicPr>
                  <pic:blipFill>
                    <a:blip r:embed="rId1505"/>
                    <a:stretch>
                      <a:fillRect/>
                    </a:stretch>
                  </pic:blipFill>
                  <pic:spPr>
                    <a:xfrm>
                      <a:off x="0" y="0"/>
                      <a:ext cx="4572" cy="4572"/>
                    </a:xfrm>
                    <a:prstGeom prst="rect">
                      <a:avLst/>
                    </a:prstGeom>
                  </pic:spPr>
                </pic:pic>
              </a:graphicData>
            </a:graphic>
          </wp:inline>
        </w:drawing>
      </w:r>
      <w:r>
        <w:rPr>
          <w:sz w:val="70"/>
        </w:rPr>
        <w:t>1</w:t>
      </w:r>
    </w:p>
    <w:p w14:paraId="77FB0E45" w14:textId="77777777" w:rsidR="00053D93" w:rsidRDefault="00260B75">
      <w:pPr>
        <w:spacing w:after="5"/>
        <w:ind w:left="24" w:right="35" w:hanging="10"/>
        <w:jc w:val="right"/>
      </w:pPr>
      <w:r>
        <w:rPr>
          <w:sz w:val="26"/>
        </w:rPr>
        <w:t>Y con fecha de 19 de noviembre de 2024, por medio de OFICIO DINFO No.</w:t>
      </w:r>
    </w:p>
    <w:p w14:paraId="755F6BD8" w14:textId="77777777" w:rsidR="00053D93" w:rsidRDefault="00260B75">
      <w:pPr>
        <w:spacing w:after="12" w:line="467" w:lineRule="auto"/>
        <w:ind w:left="1648" w:right="14" w:hanging="1620"/>
        <w:jc w:val="both"/>
      </w:pPr>
      <w:r>
        <w:rPr>
          <w:sz w:val="26"/>
        </w:rPr>
        <w:t>1 1280-2024, fui nombrado como Analista de Procesos de Infraestructura y Tecnología, con sus funciones correspondientes.</w:t>
      </w:r>
    </w:p>
    <w:p w14:paraId="68B93B45" w14:textId="77777777" w:rsidR="00053D93" w:rsidRDefault="00260B75">
      <w:pPr>
        <w:spacing w:after="79" w:line="250" w:lineRule="auto"/>
        <w:ind w:left="1673" w:right="14" w:hanging="3"/>
        <w:jc w:val="both"/>
      </w:pPr>
      <w:r>
        <w:rPr>
          <w:sz w:val="26"/>
        </w:rPr>
        <w:t>Cabe mencionar que según acta No. 178-2024 de fecha 27 de diciembre de 2024 y efectos a partir del 01 de enero de 2025, indica que no sería prorrogado el contrato para el año fiscal 2025.</w:t>
      </w:r>
    </w:p>
    <w:p w14:paraId="2523C55F" w14:textId="77777777" w:rsidR="00053D93" w:rsidRDefault="00260B75">
      <w:pPr>
        <w:spacing w:after="0"/>
        <w:ind w:left="38" w:right="22" w:hanging="10"/>
      </w:pPr>
      <w:r>
        <w:rPr>
          <w:sz w:val="70"/>
        </w:rPr>
        <w:t>1</w:t>
      </w:r>
    </w:p>
    <w:p w14:paraId="6857984A" w14:textId="77777777" w:rsidR="00053D93" w:rsidRDefault="00260B75">
      <w:pPr>
        <w:spacing w:after="312" w:line="250" w:lineRule="auto"/>
        <w:ind w:left="1673" w:right="14" w:hanging="3"/>
        <w:jc w:val="both"/>
      </w:pPr>
      <w:r>
        <w:rPr>
          <w:sz w:val="26"/>
        </w:rPr>
        <w:t>Los nombramientos de Administrador de Servidores y Backups y el de Analista de Procesos de Infraestructura y Tecnología fueron en el departamento de Infraestructura y Servicios Críticos. En ambos casos recibí las instrucciones, orientaciones y acompañamiento a fin de cumplir con responsabilidad y eficiencia las funciones que fueron encomendadas.</w:t>
      </w:r>
    </w:p>
    <w:p w14:paraId="037A335E" w14:textId="77777777" w:rsidR="00053D93" w:rsidRDefault="00260B75">
      <w:pPr>
        <w:spacing w:after="183" w:line="250" w:lineRule="auto"/>
        <w:ind w:left="101" w:right="14" w:firstLine="1584"/>
        <w:jc w:val="both"/>
      </w:pPr>
      <w:r>
        <w:rPr>
          <w:sz w:val="26"/>
        </w:rPr>
        <w:t>La principal herramienta de trabajo para administración de 204 servidores era el 1 vmware y esxi.</w:t>
      </w:r>
    </w:p>
    <w:p w14:paraId="02114085" w14:textId="77777777" w:rsidR="00053D93" w:rsidRDefault="00260B75">
      <w:pPr>
        <w:spacing w:after="207" w:line="492" w:lineRule="auto"/>
        <w:ind w:left="1670" w:right="14" w:hanging="1562"/>
        <w:jc w:val="both"/>
      </w:pPr>
      <w:r>
        <w:rPr>
          <w:sz w:val="26"/>
        </w:rPr>
        <w:t>1 Todos los servidores en funcionamiento eran importantes para cada uno de los sistemas y servicios.</w:t>
      </w:r>
    </w:p>
    <w:p w14:paraId="6AE4D799" w14:textId="77777777" w:rsidR="00053D93" w:rsidRDefault="00260B75">
      <w:pPr>
        <w:spacing w:after="34" w:line="250" w:lineRule="auto"/>
        <w:ind w:left="118" w:right="14" w:hanging="3"/>
        <w:jc w:val="both"/>
      </w:pPr>
      <w:r>
        <w:rPr>
          <w:sz w:val="26"/>
        </w:rPr>
        <w:t>1 Acá se puede evidenciar la cantidad de servidores que se tenía que trabajar uno por uno a fin de poder actualizarlos. Los más antiguos representaban doble, triple o cuádruple de esfuerzo derivado que era necesario buscar drivers o 1 controladores. En todo caso no se podrían reiniciar por el tipo de servicios, así que se buscaba un horario adecuado.</w:t>
      </w:r>
    </w:p>
    <w:p w14:paraId="68300C02" w14:textId="77777777" w:rsidR="00053D93" w:rsidRDefault="00053D93">
      <w:pPr>
        <w:sectPr w:rsidR="00053D93">
          <w:headerReference w:type="even" r:id="rId1506"/>
          <w:headerReference w:type="default" r:id="rId1507"/>
          <w:footerReference w:type="even" r:id="rId1508"/>
          <w:footerReference w:type="default" r:id="rId1509"/>
          <w:headerReference w:type="first" r:id="rId1510"/>
          <w:footerReference w:type="first" r:id="rId1511"/>
          <w:pgSz w:w="12290" w:h="15883"/>
          <w:pgMar w:top="572" w:right="1807" w:bottom="749" w:left="302" w:header="691" w:footer="720" w:gutter="0"/>
          <w:cols w:space="720"/>
          <w:titlePg/>
        </w:sectPr>
      </w:pPr>
    </w:p>
    <w:tbl>
      <w:tblPr>
        <w:tblStyle w:val="TableGrid"/>
        <w:tblpPr w:vertAnchor="text" w:tblpX="2467"/>
        <w:tblOverlap w:val="never"/>
        <w:tblW w:w="7649" w:type="dxa"/>
        <w:tblInd w:w="0" w:type="dxa"/>
        <w:tblCellMar>
          <w:top w:w="50" w:type="dxa"/>
          <w:left w:w="1752" w:type="dxa"/>
          <w:right w:w="115" w:type="dxa"/>
        </w:tblCellMar>
        <w:tblLook w:val="04A0" w:firstRow="1" w:lastRow="0" w:firstColumn="1" w:lastColumn="0" w:noHBand="0" w:noVBand="1"/>
      </w:tblPr>
      <w:tblGrid>
        <w:gridCol w:w="7649"/>
      </w:tblGrid>
      <w:tr w:rsidR="00053D93" w14:paraId="1E47F929" w14:textId="77777777">
        <w:trPr>
          <w:trHeight w:val="43"/>
        </w:trPr>
        <w:tc>
          <w:tcPr>
            <w:tcW w:w="7649" w:type="dxa"/>
            <w:tcBorders>
              <w:top w:val="nil"/>
              <w:left w:val="single" w:sz="2" w:space="0" w:color="000000"/>
              <w:bottom w:val="single" w:sz="2" w:space="0" w:color="000000"/>
              <w:right w:val="nil"/>
            </w:tcBorders>
          </w:tcPr>
          <w:p w14:paraId="16498A36" w14:textId="77777777" w:rsidR="00053D93" w:rsidRDefault="00053D93"/>
        </w:tc>
      </w:tr>
      <w:tr w:rsidR="00053D93" w14:paraId="6398F9C6" w14:textId="77777777">
        <w:trPr>
          <w:trHeight w:val="598"/>
        </w:trPr>
        <w:tc>
          <w:tcPr>
            <w:tcW w:w="7649" w:type="dxa"/>
            <w:tcBorders>
              <w:top w:val="single" w:sz="2" w:space="0" w:color="000000"/>
              <w:left w:val="single" w:sz="2" w:space="0" w:color="000000"/>
              <w:bottom w:val="nil"/>
              <w:right w:val="nil"/>
            </w:tcBorders>
          </w:tcPr>
          <w:p w14:paraId="4A2E4E92" w14:textId="77777777" w:rsidR="00053D93" w:rsidRDefault="00260B75">
            <w:pPr>
              <w:ind w:left="835"/>
            </w:pPr>
            <w:r>
              <w:rPr>
                <w:sz w:val="14"/>
              </w:rPr>
              <w:t>MINISTERIO DE EDUCACION</w:t>
            </w:r>
          </w:p>
          <w:p w14:paraId="6D89051D" w14:textId="77777777" w:rsidR="00053D93" w:rsidRDefault="00260B75">
            <w:pPr>
              <w:ind w:left="338"/>
            </w:pPr>
            <w:r>
              <w:rPr>
                <w:sz w:val="14"/>
              </w:rPr>
              <w:t>AUDITORÍA FINANCIERA Y OE CUMPLIMIENTO</w:t>
            </w:r>
          </w:p>
          <w:p w14:paraId="3C960DB7" w14:textId="77777777" w:rsidR="00053D93" w:rsidRDefault="00260B75">
            <w:r>
              <w:rPr>
                <w:sz w:val="14"/>
              </w:rPr>
              <w:t>PERIODO DEL 01 DE ENERO AL 31 DE DICIEMBRE DE 2024</w:t>
            </w:r>
          </w:p>
        </w:tc>
      </w:tr>
    </w:tbl>
    <w:p w14:paraId="7EB30807" w14:textId="77777777" w:rsidR="00053D93" w:rsidRDefault="00260B75">
      <w:pPr>
        <w:pStyle w:val="Ttulo3"/>
        <w:spacing w:after="80" w:line="259" w:lineRule="auto"/>
        <w:ind w:left="693" w:right="-7654"/>
        <w:jc w:val="left"/>
      </w:pPr>
      <w:r>
        <w:rPr>
          <w:sz w:val="32"/>
        </w:rPr>
        <w:t xml:space="preserve">III </w:t>
      </w:r>
      <w:r>
        <w:rPr>
          <w:noProof/>
        </w:rPr>
        <w:drawing>
          <wp:inline distT="0" distB="0" distL="0" distR="0" wp14:anchorId="25463795" wp14:editId="11CF157D">
            <wp:extent cx="841248" cy="406909"/>
            <wp:effectExtent l="0" t="0" r="0" b="0"/>
            <wp:docPr id="1096234" name="Picture 1096234"/>
            <wp:cNvGraphicFramePr/>
            <a:graphic xmlns:a="http://schemas.openxmlformats.org/drawingml/2006/main">
              <a:graphicData uri="http://schemas.openxmlformats.org/drawingml/2006/picture">
                <pic:pic xmlns:pic="http://schemas.openxmlformats.org/drawingml/2006/picture">
                  <pic:nvPicPr>
                    <pic:cNvPr id="1096234" name="Picture 1096234"/>
                    <pic:cNvPicPr/>
                  </pic:nvPicPr>
                  <pic:blipFill>
                    <a:blip r:embed="rId1512"/>
                    <a:stretch>
                      <a:fillRect/>
                    </a:stretch>
                  </pic:blipFill>
                  <pic:spPr>
                    <a:xfrm>
                      <a:off x="0" y="0"/>
                      <a:ext cx="841248" cy="406909"/>
                    </a:xfrm>
                    <a:prstGeom prst="rect">
                      <a:avLst/>
                    </a:prstGeom>
                  </pic:spPr>
                </pic:pic>
              </a:graphicData>
            </a:graphic>
          </wp:inline>
        </w:drawing>
      </w:r>
      <w:r>
        <w:rPr>
          <w:sz w:val="32"/>
        </w:rPr>
        <w:t>I I</w:t>
      </w:r>
    </w:p>
    <w:p w14:paraId="3547F259" w14:textId="77777777" w:rsidR="00053D93" w:rsidRDefault="00260B75">
      <w:pPr>
        <w:spacing w:after="280" w:line="250" w:lineRule="auto"/>
        <w:ind w:left="1630" w:right="14" w:hanging="3"/>
        <w:jc w:val="both"/>
      </w:pPr>
      <w:r>
        <w:rPr>
          <w:sz w:val="26"/>
        </w:rPr>
        <w:t>También están los servidores en la nube en aws que no fueron afectados. Se hace mención porque también representaban tareas de publicaciones y actualizaciones per se.</w:t>
      </w:r>
    </w:p>
    <w:p w14:paraId="24291946" w14:textId="77777777" w:rsidR="00053D93" w:rsidRDefault="00260B75">
      <w:pPr>
        <w:spacing w:after="12" w:line="250" w:lineRule="auto"/>
        <w:ind w:left="1637" w:right="14" w:hanging="3"/>
        <w:jc w:val="both"/>
      </w:pPr>
      <w:r>
        <w:rPr>
          <w:sz w:val="26"/>
        </w:rPr>
        <w:t>Resumen de la capacidad de los servidores:</w:t>
      </w:r>
    </w:p>
    <w:p w14:paraId="57BB5D35" w14:textId="77777777" w:rsidR="00053D93" w:rsidRDefault="00260B75">
      <w:pPr>
        <w:tabs>
          <w:tab w:val="center" w:pos="2826"/>
          <w:tab w:val="center" w:pos="6840"/>
        </w:tabs>
        <w:spacing w:after="81" w:line="250" w:lineRule="auto"/>
      </w:pPr>
      <w:r>
        <w:rPr>
          <w:sz w:val="26"/>
        </w:rPr>
        <w:tab/>
        <w:t>Cantidad de servidores:</w:t>
      </w:r>
      <w:r>
        <w:rPr>
          <w:sz w:val="26"/>
        </w:rPr>
        <w:tab/>
        <w:t>204</w:t>
      </w:r>
    </w:p>
    <w:p w14:paraId="49F39EBC" w14:textId="77777777" w:rsidR="00053D93" w:rsidRDefault="00260B75">
      <w:pPr>
        <w:tabs>
          <w:tab w:val="center" w:pos="2621"/>
          <w:tab w:val="center" w:pos="6862"/>
        </w:tabs>
        <w:spacing w:after="12" w:line="250" w:lineRule="auto"/>
      </w:pPr>
      <w:r>
        <w:rPr>
          <w:sz w:val="26"/>
        </w:rPr>
        <w:tab/>
        <w:t>Cantidad de CPU's:</w:t>
      </w:r>
      <w:r>
        <w:rPr>
          <w:sz w:val="26"/>
        </w:rPr>
        <w:tab/>
        <w:t>931</w:t>
      </w:r>
    </w:p>
    <w:p w14:paraId="221D5C07" w14:textId="77777777" w:rsidR="00053D93" w:rsidRDefault="00260B75">
      <w:pPr>
        <w:spacing w:after="0" w:line="263" w:lineRule="auto"/>
        <w:ind w:left="1665" w:hanging="10"/>
      </w:pPr>
      <w:r>
        <w:rPr>
          <w:sz w:val="24"/>
        </w:rPr>
        <w:t>Memoria Ram:</w:t>
      </w:r>
      <w:r>
        <w:rPr>
          <w:noProof/>
        </w:rPr>
        <w:drawing>
          <wp:inline distT="0" distB="0" distL="0" distR="0" wp14:anchorId="50782564" wp14:editId="2C3F4406">
            <wp:extent cx="438912" cy="109728"/>
            <wp:effectExtent l="0" t="0" r="0" b="0"/>
            <wp:docPr id="2458837" name="Picture 2458837"/>
            <wp:cNvGraphicFramePr/>
            <a:graphic xmlns:a="http://schemas.openxmlformats.org/drawingml/2006/main">
              <a:graphicData uri="http://schemas.openxmlformats.org/drawingml/2006/picture">
                <pic:pic xmlns:pic="http://schemas.openxmlformats.org/drawingml/2006/picture">
                  <pic:nvPicPr>
                    <pic:cNvPr id="2458837" name="Picture 2458837"/>
                    <pic:cNvPicPr/>
                  </pic:nvPicPr>
                  <pic:blipFill>
                    <a:blip r:embed="rId1513"/>
                    <a:stretch>
                      <a:fillRect/>
                    </a:stretch>
                  </pic:blipFill>
                  <pic:spPr>
                    <a:xfrm>
                      <a:off x="0" y="0"/>
                      <a:ext cx="438912" cy="109728"/>
                    </a:xfrm>
                    <a:prstGeom prst="rect">
                      <a:avLst/>
                    </a:prstGeom>
                  </pic:spPr>
                </pic:pic>
              </a:graphicData>
            </a:graphic>
          </wp:inline>
        </w:drawing>
      </w:r>
      <w:r>
        <w:rPr>
          <w:sz w:val="24"/>
        </w:rPr>
        <w:t>Mb</w:t>
      </w:r>
    </w:p>
    <w:p w14:paraId="5B604831" w14:textId="77777777" w:rsidR="00053D93" w:rsidRDefault="00260B75">
      <w:pPr>
        <w:tabs>
          <w:tab w:val="center" w:pos="2333"/>
          <w:tab w:val="center" w:pos="6858"/>
        </w:tabs>
        <w:spacing w:after="14" w:line="251" w:lineRule="auto"/>
      </w:pPr>
      <w:r>
        <w:rPr>
          <w:sz w:val="26"/>
        </w:rPr>
        <w:tab/>
        <w:t>Discos Duros:</w:t>
      </w:r>
      <w:r>
        <w:rPr>
          <w:sz w:val="26"/>
        </w:rPr>
        <w:tab/>
        <w:t>402</w:t>
      </w:r>
    </w:p>
    <w:p w14:paraId="17BE5CDD" w14:textId="77777777" w:rsidR="00053D93" w:rsidRDefault="00260B75">
      <w:pPr>
        <w:tabs>
          <w:tab w:val="center" w:pos="3096"/>
          <w:tab w:val="center" w:pos="7456"/>
        </w:tabs>
        <w:spacing w:after="275" w:line="250" w:lineRule="auto"/>
      </w:pPr>
      <w:r>
        <w:rPr>
          <w:sz w:val="26"/>
        </w:rPr>
        <w:tab/>
        <w:t>Almacenamiento Disco Duro:</w:t>
      </w:r>
      <w:r>
        <w:rPr>
          <w:sz w:val="26"/>
        </w:rPr>
        <w:tab/>
      </w:r>
      <w:r>
        <w:rPr>
          <w:noProof/>
        </w:rPr>
        <w:drawing>
          <wp:inline distT="0" distB="0" distL="0" distR="0" wp14:anchorId="122153BA" wp14:editId="2395CD3B">
            <wp:extent cx="704088" cy="137160"/>
            <wp:effectExtent l="0" t="0" r="0" b="0"/>
            <wp:docPr id="1099260" name="Picture 1099260"/>
            <wp:cNvGraphicFramePr/>
            <a:graphic xmlns:a="http://schemas.openxmlformats.org/drawingml/2006/main">
              <a:graphicData uri="http://schemas.openxmlformats.org/drawingml/2006/picture">
                <pic:pic xmlns:pic="http://schemas.openxmlformats.org/drawingml/2006/picture">
                  <pic:nvPicPr>
                    <pic:cNvPr id="1099260" name="Picture 1099260"/>
                    <pic:cNvPicPr/>
                  </pic:nvPicPr>
                  <pic:blipFill>
                    <a:blip r:embed="rId1514"/>
                    <a:stretch>
                      <a:fillRect/>
                    </a:stretch>
                  </pic:blipFill>
                  <pic:spPr>
                    <a:xfrm>
                      <a:off x="0" y="0"/>
                      <a:ext cx="704088" cy="137160"/>
                    </a:xfrm>
                    <a:prstGeom prst="rect">
                      <a:avLst/>
                    </a:prstGeom>
                  </pic:spPr>
                </pic:pic>
              </a:graphicData>
            </a:graphic>
          </wp:inline>
        </w:drawing>
      </w:r>
      <w:r>
        <w:rPr>
          <w:sz w:val="26"/>
        </w:rPr>
        <w:t xml:space="preserve"> Mb</w:t>
      </w:r>
    </w:p>
    <w:p w14:paraId="7CFD54B0" w14:textId="77777777" w:rsidR="00053D93" w:rsidRDefault="00260B75">
      <w:pPr>
        <w:spacing w:after="252" w:line="250" w:lineRule="auto"/>
        <w:ind w:left="1645" w:right="14" w:hanging="3"/>
        <w:jc w:val="both"/>
      </w:pPr>
      <w:r>
        <w:rPr>
          <w:sz w:val="26"/>
        </w:rPr>
        <w:t>Los sistemas operativos a los que tuve acceso fueron Windows Server y Linux.</w:t>
      </w:r>
    </w:p>
    <w:p w14:paraId="1DA6CBF1" w14:textId="77777777" w:rsidR="00053D93" w:rsidRDefault="00260B75">
      <w:pPr>
        <w:spacing w:after="59" w:line="250" w:lineRule="auto"/>
        <w:ind w:left="1645" w:right="14" w:hanging="3"/>
        <w:jc w:val="both"/>
      </w:pPr>
      <w:r>
        <w:rPr>
          <w:sz w:val="26"/>
        </w:rPr>
        <w:t>Los retos que se tuvieron según la tecnología era la obsolescencia, por Io que se recurría a asistencia de especialistas de Microsoft, vmware y otros para la instalación de configuración wsus y desligar de SCCM.</w:t>
      </w:r>
    </w:p>
    <w:p w14:paraId="22EA9486" w14:textId="77777777" w:rsidR="00053D93" w:rsidRDefault="00260B75">
      <w:pPr>
        <w:spacing w:after="3"/>
        <w:ind w:left="17" w:hanging="10"/>
      </w:pPr>
      <w:r>
        <w:rPr>
          <w:noProof/>
        </w:rPr>
        <w:drawing>
          <wp:inline distT="0" distB="0" distL="0" distR="0" wp14:anchorId="44EF0EEC" wp14:editId="221C604F">
            <wp:extent cx="4572" cy="4572"/>
            <wp:effectExtent l="0" t="0" r="0" b="0"/>
            <wp:docPr id="1099129" name="Picture 1099129"/>
            <wp:cNvGraphicFramePr/>
            <a:graphic xmlns:a="http://schemas.openxmlformats.org/drawingml/2006/main">
              <a:graphicData uri="http://schemas.openxmlformats.org/drawingml/2006/picture">
                <pic:pic xmlns:pic="http://schemas.openxmlformats.org/drawingml/2006/picture">
                  <pic:nvPicPr>
                    <pic:cNvPr id="1099129" name="Picture 1099129"/>
                    <pic:cNvPicPr/>
                  </pic:nvPicPr>
                  <pic:blipFill>
                    <a:blip r:embed="rId1515"/>
                    <a:stretch>
                      <a:fillRect/>
                    </a:stretch>
                  </pic:blipFill>
                  <pic:spPr>
                    <a:xfrm>
                      <a:off x="0" y="0"/>
                      <a:ext cx="4572" cy="4572"/>
                    </a:xfrm>
                    <a:prstGeom prst="rect">
                      <a:avLst/>
                    </a:prstGeom>
                  </pic:spPr>
                </pic:pic>
              </a:graphicData>
            </a:graphic>
          </wp:inline>
        </w:drawing>
      </w:r>
      <w:r>
        <w:rPr>
          <w:sz w:val="66"/>
        </w:rPr>
        <w:t>1</w:t>
      </w:r>
    </w:p>
    <w:p w14:paraId="1C50A675" w14:textId="77777777" w:rsidR="00053D93" w:rsidRDefault="00260B75">
      <w:pPr>
        <w:spacing w:after="417" w:line="341" w:lineRule="auto"/>
        <w:ind w:left="28" w:right="14" w:firstLine="1606"/>
        <w:jc w:val="both"/>
      </w:pPr>
      <w:r>
        <w:rPr>
          <w:noProof/>
        </w:rPr>
        <mc:AlternateContent>
          <mc:Choice Requires="wpg">
            <w:drawing>
              <wp:anchor distT="0" distB="0" distL="114300" distR="114300" simplePos="0" relativeHeight="252207104" behindDoc="0" locked="0" layoutInCell="1" allowOverlap="1" wp14:anchorId="35A771BE" wp14:editId="73C364F4">
                <wp:simplePos x="0" y="0"/>
                <wp:positionH relativeFrom="page">
                  <wp:posOffset>1161288</wp:posOffset>
                </wp:positionH>
                <wp:positionV relativeFrom="page">
                  <wp:posOffset>786384</wp:posOffset>
                </wp:positionV>
                <wp:extent cx="5468112" cy="13716"/>
                <wp:effectExtent l="0" t="0" r="0" b="0"/>
                <wp:wrapTopAndBottom/>
                <wp:docPr id="2458841" name="Group 2458841"/>
                <wp:cNvGraphicFramePr/>
                <a:graphic xmlns:a="http://schemas.openxmlformats.org/drawingml/2006/main">
                  <a:graphicData uri="http://schemas.microsoft.com/office/word/2010/wordprocessingGroup">
                    <wpg:wgp>
                      <wpg:cNvGrpSpPr/>
                      <wpg:grpSpPr>
                        <a:xfrm>
                          <a:off x="0" y="0"/>
                          <a:ext cx="5468112" cy="13716"/>
                          <a:chOff x="0" y="0"/>
                          <a:chExt cx="5468112" cy="13716"/>
                        </a:xfrm>
                      </wpg:grpSpPr>
                      <wps:wsp>
                        <wps:cNvPr id="2458840" name="Shape 2458840"/>
                        <wps:cNvSpPr/>
                        <wps:spPr>
                          <a:xfrm>
                            <a:off x="0" y="0"/>
                            <a:ext cx="5468112" cy="13716"/>
                          </a:xfrm>
                          <a:custGeom>
                            <a:avLst/>
                            <a:gdLst/>
                            <a:ahLst/>
                            <a:cxnLst/>
                            <a:rect l="0" t="0" r="0" b="0"/>
                            <a:pathLst>
                              <a:path w="5468112" h="13716">
                                <a:moveTo>
                                  <a:pt x="0" y="6858"/>
                                </a:moveTo>
                                <a:lnTo>
                                  <a:pt x="546811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841" style="width:430.56pt;height:1.07999pt;position:absolute;mso-position-horizontal-relative:page;mso-position-horizontal:absolute;margin-left:91.44pt;mso-position-vertical-relative:page;margin-top:61.92pt;" coordsize="54681,137">
                <v:shape id="Shape 2458840" style="position:absolute;width:54681;height:137;left:0;top:0;" coordsize="5468112,13716" path="m0,6858l5468112,6858">
                  <v:stroke weight="1.07999pt" endcap="flat" joinstyle="miter" miterlimit="1" on="true" color="#000000"/>
                  <v:fill on="false" color="#000000"/>
                </v:shape>
                <w10:wrap type="topAndBottom"/>
              </v:group>
            </w:pict>
          </mc:Fallback>
        </mc:AlternateContent>
      </w:r>
      <w:r>
        <w:rPr>
          <w:noProof/>
        </w:rPr>
        <w:drawing>
          <wp:anchor distT="0" distB="0" distL="114300" distR="114300" simplePos="0" relativeHeight="252208128" behindDoc="0" locked="0" layoutInCell="1" allowOverlap="0" wp14:anchorId="2A04EA2A" wp14:editId="19981B1C">
            <wp:simplePos x="0" y="0"/>
            <wp:positionH relativeFrom="page">
              <wp:posOffset>6867144</wp:posOffset>
            </wp:positionH>
            <wp:positionV relativeFrom="page">
              <wp:posOffset>8435340</wp:posOffset>
            </wp:positionV>
            <wp:extent cx="18289" cy="27432"/>
            <wp:effectExtent l="0" t="0" r="0" b="0"/>
            <wp:wrapSquare wrapText="bothSides"/>
            <wp:docPr id="1099262" name="Picture 1099262"/>
            <wp:cNvGraphicFramePr/>
            <a:graphic xmlns:a="http://schemas.openxmlformats.org/drawingml/2006/main">
              <a:graphicData uri="http://schemas.openxmlformats.org/drawingml/2006/picture">
                <pic:pic xmlns:pic="http://schemas.openxmlformats.org/drawingml/2006/picture">
                  <pic:nvPicPr>
                    <pic:cNvPr id="1099262" name="Picture 1099262"/>
                    <pic:cNvPicPr/>
                  </pic:nvPicPr>
                  <pic:blipFill>
                    <a:blip r:embed="rId1516"/>
                    <a:stretch>
                      <a:fillRect/>
                    </a:stretch>
                  </pic:blipFill>
                  <pic:spPr>
                    <a:xfrm>
                      <a:off x="0" y="0"/>
                      <a:ext cx="18289" cy="27432"/>
                    </a:xfrm>
                    <a:prstGeom prst="rect">
                      <a:avLst/>
                    </a:prstGeom>
                  </pic:spPr>
                </pic:pic>
              </a:graphicData>
            </a:graphic>
          </wp:anchor>
        </w:drawing>
      </w:r>
      <w:r>
        <w:rPr>
          <w:noProof/>
        </w:rPr>
        <w:drawing>
          <wp:anchor distT="0" distB="0" distL="114300" distR="114300" simplePos="0" relativeHeight="252209152" behindDoc="0" locked="0" layoutInCell="1" allowOverlap="0" wp14:anchorId="7B54D071" wp14:editId="7FCD85FE">
            <wp:simplePos x="0" y="0"/>
            <wp:positionH relativeFrom="column">
              <wp:posOffset>9144</wp:posOffset>
            </wp:positionH>
            <wp:positionV relativeFrom="paragraph">
              <wp:posOffset>313046</wp:posOffset>
            </wp:positionV>
            <wp:extent cx="4572" cy="9144"/>
            <wp:effectExtent l="0" t="0" r="0" b="0"/>
            <wp:wrapSquare wrapText="bothSides"/>
            <wp:docPr id="1099130" name="Picture 1099130"/>
            <wp:cNvGraphicFramePr/>
            <a:graphic xmlns:a="http://schemas.openxmlformats.org/drawingml/2006/main">
              <a:graphicData uri="http://schemas.openxmlformats.org/drawingml/2006/picture">
                <pic:pic xmlns:pic="http://schemas.openxmlformats.org/drawingml/2006/picture">
                  <pic:nvPicPr>
                    <pic:cNvPr id="1099130" name="Picture 1099130"/>
                    <pic:cNvPicPr/>
                  </pic:nvPicPr>
                  <pic:blipFill>
                    <a:blip r:embed="rId1517"/>
                    <a:stretch>
                      <a:fillRect/>
                    </a:stretch>
                  </pic:blipFill>
                  <pic:spPr>
                    <a:xfrm>
                      <a:off x="0" y="0"/>
                      <a:ext cx="4572" cy="9144"/>
                    </a:xfrm>
                    <a:prstGeom prst="rect">
                      <a:avLst/>
                    </a:prstGeom>
                  </pic:spPr>
                </pic:pic>
              </a:graphicData>
            </a:graphic>
          </wp:anchor>
        </w:drawing>
      </w:r>
      <w:r>
        <w:rPr>
          <w:sz w:val="26"/>
        </w:rPr>
        <w:t>Otra de las tareas por que se estuvo trabajando fuerte la perdida de relación de 1 confianza en el que se vio la administración de los Controladores de Dominio 5 de lectura y escritura y 14 de lectura.</w:t>
      </w:r>
    </w:p>
    <w:p w14:paraId="5D0E9ECF" w14:textId="77777777" w:rsidR="00053D93" w:rsidRDefault="00260B75">
      <w:pPr>
        <w:spacing w:after="12" w:line="300" w:lineRule="auto"/>
        <w:ind w:left="1655" w:right="14" w:hanging="1627"/>
        <w:jc w:val="both"/>
      </w:pPr>
      <w:r>
        <w:rPr>
          <w:noProof/>
        </w:rPr>
        <w:drawing>
          <wp:inline distT="0" distB="0" distL="0" distR="0" wp14:anchorId="0A9A66B9" wp14:editId="60638E03">
            <wp:extent cx="13716" cy="9144"/>
            <wp:effectExtent l="0" t="0" r="0" b="0"/>
            <wp:docPr id="1099131" name="Picture 1099131"/>
            <wp:cNvGraphicFramePr/>
            <a:graphic xmlns:a="http://schemas.openxmlformats.org/drawingml/2006/main">
              <a:graphicData uri="http://schemas.openxmlformats.org/drawingml/2006/picture">
                <pic:pic xmlns:pic="http://schemas.openxmlformats.org/drawingml/2006/picture">
                  <pic:nvPicPr>
                    <pic:cNvPr id="1099131" name="Picture 1099131"/>
                    <pic:cNvPicPr/>
                  </pic:nvPicPr>
                  <pic:blipFill>
                    <a:blip r:embed="rId1518"/>
                    <a:stretch>
                      <a:fillRect/>
                    </a:stretch>
                  </pic:blipFill>
                  <pic:spPr>
                    <a:xfrm>
                      <a:off x="0" y="0"/>
                      <a:ext cx="13716" cy="9144"/>
                    </a:xfrm>
                    <a:prstGeom prst="rect">
                      <a:avLst/>
                    </a:prstGeom>
                  </pic:spPr>
                </pic:pic>
              </a:graphicData>
            </a:graphic>
          </wp:inline>
        </w:drawing>
      </w:r>
      <w:r>
        <w:rPr>
          <w:sz w:val="26"/>
        </w:rPr>
        <w:t>1 En el departamento de infraestructura y servicios críticos cuando las tareas superaban los conocimientos se acudía a soporte de los proveedores para subsanar inconvenientes, tal es el caso de:</w:t>
      </w:r>
    </w:p>
    <w:p w14:paraId="14EF4FE8" w14:textId="77777777" w:rsidR="00053D93" w:rsidRDefault="00260B75">
      <w:pPr>
        <w:spacing w:after="3"/>
        <w:ind w:left="39" w:hanging="10"/>
      </w:pPr>
      <w:r>
        <w:rPr>
          <w:noProof/>
        </w:rPr>
        <w:drawing>
          <wp:inline distT="0" distB="0" distL="0" distR="0" wp14:anchorId="664BFBE1" wp14:editId="0C0ACB12">
            <wp:extent cx="13716" cy="9144"/>
            <wp:effectExtent l="0" t="0" r="0" b="0"/>
            <wp:docPr id="1099132" name="Picture 1099132"/>
            <wp:cNvGraphicFramePr/>
            <a:graphic xmlns:a="http://schemas.openxmlformats.org/drawingml/2006/main">
              <a:graphicData uri="http://schemas.openxmlformats.org/drawingml/2006/picture">
                <pic:pic xmlns:pic="http://schemas.openxmlformats.org/drawingml/2006/picture">
                  <pic:nvPicPr>
                    <pic:cNvPr id="1099132" name="Picture 1099132"/>
                    <pic:cNvPicPr/>
                  </pic:nvPicPr>
                  <pic:blipFill>
                    <a:blip r:embed="rId1519"/>
                    <a:stretch>
                      <a:fillRect/>
                    </a:stretch>
                  </pic:blipFill>
                  <pic:spPr>
                    <a:xfrm>
                      <a:off x="0" y="0"/>
                      <a:ext cx="13716" cy="9144"/>
                    </a:xfrm>
                    <a:prstGeom prst="rect">
                      <a:avLst/>
                    </a:prstGeom>
                  </pic:spPr>
                </pic:pic>
              </a:graphicData>
            </a:graphic>
          </wp:inline>
        </w:drawing>
      </w:r>
      <w:r>
        <w:rPr>
          <w:sz w:val="66"/>
        </w:rPr>
        <w:t>1</w:t>
      </w:r>
    </w:p>
    <w:p w14:paraId="3BD92F8E" w14:textId="77777777" w:rsidR="00053D93" w:rsidRDefault="00260B75">
      <w:pPr>
        <w:numPr>
          <w:ilvl w:val="0"/>
          <w:numId w:val="16"/>
        </w:numPr>
        <w:spacing w:after="14" w:line="322" w:lineRule="auto"/>
        <w:ind w:right="2318" w:hanging="317"/>
      </w:pPr>
      <w:r>
        <w:rPr>
          <w:sz w:val="26"/>
        </w:rPr>
        <w:t>Vmware - GRUPO QUATRO -1</w:t>
      </w:r>
      <w:r>
        <w:rPr>
          <w:sz w:val="26"/>
        </w:rPr>
        <w:tab/>
        <w:t>Ssl - SYSESA</w:t>
      </w:r>
    </w:p>
    <w:p w14:paraId="16021DE0" w14:textId="77777777" w:rsidR="00053D93" w:rsidRDefault="00260B75">
      <w:pPr>
        <w:numPr>
          <w:ilvl w:val="0"/>
          <w:numId w:val="16"/>
        </w:numPr>
        <w:spacing w:after="0" w:line="263" w:lineRule="auto"/>
        <w:ind w:right="2318" w:hanging="317"/>
      </w:pPr>
      <w:r>
        <w:rPr>
          <w:sz w:val="24"/>
        </w:rPr>
        <w:t>Microsoft — SEGA</w:t>
      </w:r>
    </w:p>
    <w:p w14:paraId="6A40D232" w14:textId="77777777" w:rsidR="00053D93" w:rsidRDefault="00260B75">
      <w:pPr>
        <w:spacing w:after="12" w:line="250" w:lineRule="auto"/>
        <w:ind w:left="31" w:right="14" w:hanging="3"/>
        <w:jc w:val="both"/>
      </w:pPr>
      <w:r>
        <w:rPr>
          <w:noProof/>
        </w:rPr>
        <mc:AlternateContent>
          <mc:Choice Requires="wpg">
            <w:drawing>
              <wp:inline distT="0" distB="0" distL="0" distR="0" wp14:anchorId="151D2D56" wp14:editId="1B60EDC6">
                <wp:extent cx="1225296" cy="283464"/>
                <wp:effectExtent l="0" t="0" r="0" b="0"/>
                <wp:docPr id="2458836" name="Group 2458836"/>
                <wp:cNvGraphicFramePr/>
                <a:graphic xmlns:a="http://schemas.openxmlformats.org/drawingml/2006/main">
                  <a:graphicData uri="http://schemas.microsoft.com/office/word/2010/wordprocessingGroup">
                    <wpg:wgp>
                      <wpg:cNvGrpSpPr/>
                      <wpg:grpSpPr>
                        <a:xfrm>
                          <a:off x="0" y="0"/>
                          <a:ext cx="1225296" cy="283464"/>
                          <a:chOff x="0" y="0"/>
                          <a:chExt cx="1225296" cy="283464"/>
                        </a:xfrm>
                      </wpg:grpSpPr>
                      <pic:pic xmlns:pic="http://schemas.openxmlformats.org/drawingml/2006/picture">
                        <pic:nvPicPr>
                          <pic:cNvPr id="2458839" name="Picture 2458839"/>
                          <pic:cNvPicPr/>
                        </pic:nvPicPr>
                        <pic:blipFill>
                          <a:blip r:embed="rId1520"/>
                          <a:stretch>
                            <a:fillRect/>
                          </a:stretch>
                        </pic:blipFill>
                        <pic:spPr>
                          <a:xfrm>
                            <a:off x="1156716" y="32004"/>
                            <a:ext cx="68580" cy="68580"/>
                          </a:xfrm>
                          <a:prstGeom prst="rect">
                            <a:avLst/>
                          </a:prstGeom>
                        </pic:spPr>
                      </pic:pic>
                      <wps:wsp>
                        <wps:cNvPr id="1096840" name="Rectangle 1096840"/>
                        <wps:cNvSpPr/>
                        <wps:spPr>
                          <a:xfrm>
                            <a:off x="0" y="0"/>
                            <a:ext cx="152019" cy="377007"/>
                          </a:xfrm>
                          <a:prstGeom prst="rect">
                            <a:avLst/>
                          </a:prstGeom>
                          <a:ln>
                            <a:noFill/>
                          </a:ln>
                        </wps:spPr>
                        <wps:txbx>
                          <w:txbxContent>
                            <w:p w14:paraId="5F71989A"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151D2D56" id="Group 2458836" o:spid="_x0000_s1611" style="width:96.5pt;height:22.3pt;mso-position-horizontal-relative:char;mso-position-vertical-relative:line" coordsize="12252,28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">
                <v:shape id="Picture 2458839" o:spid="_x0000_s1612" type="#_x0000_t75" style="position:absolute;left:11567;top:320;width:685;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">
                  <v:imagedata r:id="rId1521" o:title=""/>
                </v:shape>
                <v:rect id="Rectangle 1096840" o:spid="_x0000_s1613" style="position:absolute;width:1520;height:3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" filled="f" stroked="f">
                  <v:textbox inset="0,0,0,0">
                    <w:txbxContent>
                      <w:p w14:paraId="5F71989A" w14:textId="77777777" w:rsidR="00053D93" w:rsidRDefault="00260B75">
                        <w:r>
                          <w:rPr>
                            <w:sz w:val="66"/>
                          </w:rPr>
                          <w:t>1</w:t>
                        </w:r>
                      </w:p>
                    </w:txbxContent>
                  </v:textbox>
                </v:rect>
                <w10:anchorlock/>
              </v:group>
            </w:pict>
          </mc:Fallback>
        </mc:AlternateContent>
      </w:r>
      <w:r>
        <w:rPr>
          <w:sz w:val="26"/>
        </w:rPr>
        <w:t>Planta eléctrica — Solutec</w:t>
      </w:r>
    </w:p>
    <w:p w14:paraId="53CCAE5E" w14:textId="77777777" w:rsidR="00053D93" w:rsidRDefault="00260B75">
      <w:pPr>
        <w:pStyle w:val="Ttulo4"/>
        <w:spacing w:after="47" w:line="259" w:lineRule="auto"/>
        <w:ind w:left="86" w:firstLine="0"/>
        <w:jc w:val="left"/>
      </w:pPr>
      <w:r>
        <w:rPr>
          <w:noProof/>
        </w:rPr>
        <w:drawing>
          <wp:inline distT="0" distB="0" distL="0" distR="0" wp14:anchorId="708E7AE0" wp14:editId="250CDB30">
            <wp:extent cx="64008" cy="68581"/>
            <wp:effectExtent l="0" t="0" r="0" b="0"/>
            <wp:docPr id="1099136" name="Picture 1099136"/>
            <wp:cNvGraphicFramePr/>
            <a:graphic xmlns:a="http://schemas.openxmlformats.org/drawingml/2006/main">
              <a:graphicData uri="http://schemas.openxmlformats.org/drawingml/2006/picture">
                <pic:pic xmlns:pic="http://schemas.openxmlformats.org/drawingml/2006/picture">
                  <pic:nvPicPr>
                    <pic:cNvPr id="1099136" name="Picture 1099136"/>
                    <pic:cNvPicPr/>
                  </pic:nvPicPr>
                  <pic:blipFill>
                    <a:blip r:embed="rId1522"/>
                    <a:stretch>
                      <a:fillRect/>
                    </a:stretch>
                  </pic:blipFill>
                  <pic:spPr>
                    <a:xfrm>
                      <a:off x="0" y="0"/>
                      <a:ext cx="64008" cy="68581"/>
                    </a:xfrm>
                    <a:prstGeom prst="rect">
                      <a:avLst/>
                    </a:prstGeom>
                  </pic:spPr>
                </pic:pic>
              </a:graphicData>
            </a:graphic>
          </wp:inline>
        </w:drawing>
      </w:r>
      <w:r>
        <w:t xml:space="preserve"> AWS - SYSESA</w:t>
      </w:r>
    </w:p>
    <w:p w14:paraId="6E4A1CB2" w14:textId="77777777" w:rsidR="00053D93" w:rsidRDefault="00260B75">
      <w:pPr>
        <w:spacing w:after="97" w:line="250" w:lineRule="auto"/>
        <w:ind w:left="1911" w:right="14" w:hanging="3"/>
        <w:jc w:val="both"/>
      </w:pPr>
      <w:r>
        <w:rPr>
          <w:noProof/>
        </w:rPr>
        <w:drawing>
          <wp:inline distT="0" distB="0" distL="0" distR="0" wp14:anchorId="794184FE" wp14:editId="61980C31">
            <wp:extent cx="68580" cy="68580"/>
            <wp:effectExtent l="0" t="0" r="0" b="0"/>
            <wp:docPr id="1099137" name="Picture 1099137"/>
            <wp:cNvGraphicFramePr/>
            <a:graphic xmlns:a="http://schemas.openxmlformats.org/drawingml/2006/main">
              <a:graphicData uri="http://schemas.openxmlformats.org/drawingml/2006/picture">
                <pic:pic xmlns:pic="http://schemas.openxmlformats.org/drawingml/2006/picture">
                  <pic:nvPicPr>
                    <pic:cNvPr id="1099137" name="Picture 1099137"/>
                    <pic:cNvPicPr/>
                  </pic:nvPicPr>
                  <pic:blipFill>
                    <a:blip r:embed="rId1523"/>
                    <a:stretch>
                      <a:fillRect/>
                    </a:stretch>
                  </pic:blipFill>
                  <pic:spPr>
                    <a:xfrm>
                      <a:off x="0" y="0"/>
                      <a:ext cx="68580" cy="68580"/>
                    </a:xfrm>
                    <a:prstGeom prst="rect">
                      <a:avLst/>
                    </a:prstGeom>
                  </pic:spPr>
                </pic:pic>
              </a:graphicData>
            </a:graphic>
          </wp:inline>
        </w:drawing>
      </w:r>
      <w:r>
        <w:rPr>
          <w:sz w:val="26"/>
        </w:rPr>
        <w:t xml:space="preserve"> Fireware - SEFISA</w:t>
      </w:r>
    </w:p>
    <w:p w14:paraId="2C3BBC9F" w14:textId="77777777" w:rsidR="00053D93" w:rsidRDefault="00260B75">
      <w:pPr>
        <w:spacing w:after="3"/>
        <w:ind w:left="125" w:hanging="10"/>
      </w:pPr>
      <w:r>
        <w:rPr>
          <w:sz w:val="66"/>
        </w:rPr>
        <w:t>1</w:t>
      </w:r>
    </w:p>
    <w:p w14:paraId="0ABFDF3B" w14:textId="77777777" w:rsidR="00053D93" w:rsidRDefault="00260B75">
      <w:pPr>
        <w:spacing w:after="276" w:line="250" w:lineRule="auto"/>
        <w:ind w:left="1652" w:right="14" w:hanging="3"/>
        <w:jc w:val="both"/>
      </w:pPr>
      <w:r>
        <w:rPr>
          <w:sz w:val="26"/>
        </w:rPr>
        <w:t>Se hace mención de lo anterior ya que, si se hubiera tenido el servicio de backup se hubiera dado uso, y se hubiera atendido con inmediatez el suceso acontecido.</w:t>
      </w:r>
    </w:p>
    <w:p w14:paraId="7DE38823" w14:textId="77777777" w:rsidR="00053D93" w:rsidRDefault="00260B75">
      <w:pPr>
        <w:spacing w:after="12" w:line="250" w:lineRule="auto"/>
        <w:ind w:left="133" w:right="14" w:hanging="3"/>
        <w:jc w:val="both"/>
      </w:pPr>
      <w:r>
        <w:rPr>
          <w:noProof/>
        </w:rPr>
        <mc:AlternateContent>
          <mc:Choice Requires="wpg">
            <w:drawing>
              <wp:anchor distT="0" distB="0" distL="114300" distR="114300" simplePos="0" relativeHeight="252210176" behindDoc="0" locked="0" layoutInCell="1" allowOverlap="1" wp14:anchorId="2118A0D3" wp14:editId="48DE7D24">
                <wp:simplePos x="0" y="0"/>
                <wp:positionH relativeFrom="column">
                  <wp:posOffset>82296</wp:posOffset>
                </wp:positionH>
                <wp:positionV relativeFrom="paragraph">
                  <wp:posOffset>-13715</wp:posOffset>
                </wp:positionV>
                <wp:extent cx="109728" cy="288036"/>
                <wp:effectExtent l="0" t="0" r="0" b="0"/>
                <wp:wrapSquare wrapText="bothSides"/>
                <wp:docPr id="2457223" name="Group 2457223"/>
                <wp:cNvGraphicFramePr/>
                <a:graphic xmlns:a="http://schemas.openxmlformats.org/drawingml/2006/main">
                  <a:graphicData uri="http://schemas.microsoft.com/office/word/2010/wordprocessingGroup">
                    <wpg:wgp>
                      <wpg:cNvGrpSpPr/>
                      <wpg:grpSpPr>
                        <a:xfrm>
                          <a:off x="0" y="0"/>
                          <a:ext cx="109728" cy="288036"/>
                          <a:chOff x="0" y="0"/>
                          <a:chExt cx="109728" cy="288036"/>
                        </a:xfrm>
                      </wpg:grpSpPr>
                      <wps:wsp>
                        <wps:cNvPr id="1096842" name="Rectangle 1096842"/>
                        <wps:cNvSpPr/>
                        <wps:spPr>
                          <a:xfrm>
                            <a:off x="0" y="0"/>
                            <a:ext cx="145938" cy="383088"/>
                          </a:xfrm>
                          <a:prstGeom prst="rect">
                            <a:avLst/>
                          </a:prstGeom>
                          <a:ln>
                            <a:noFill/>
                          </a:ln>
                        </wps:spPr>
                        <wps:txbx>
                          <w:txbxContent>
                            <w:p w14:paraId="01BC6A86"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2118A0D3" id="Group 2457223" o:spid="_x0000_s1614" style="position:absolute;left:0;text-align:left;margin-left:6.5pt;margin-top:-1.1pt;width:8.65pt;height:22.7pt;z-index:252210176;mso-position-horizontal-relative:text;mso-position-vertical-relative:text" coordsize="10972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">
                <v:rect id="Rectangle 1096842" o:spid="_x0000_s1615" style="position:absolute;width:145938;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" filled="f" stroked="f">
                  <v:textbox inset="0,0,0,0">
                    <w:txbxContent>
                      <w:p w14:paraId="01BC6A86" w14:textId="77777777" w:rsidR="00053D93" w:rsidRDefault="00260B75">
                        <w:r>
                          <w:rPr>
                            <w:sz w:val="66"/>
                          </w:rPr>
                          <w:t>1</w:t>
                        </w:r>
                      </w:p>
                    </w:txbxContent>
                  </v:textbox>
                </v:rect>
                <w10:wrap type="square"/>
              </v:group>
            </w:pict>
          </mc:Fallback>
        </mc:AlternateContent>
      </w:r>
      <w:r>
        <w:rPr>
          <w:sz w:val="26"/>
        </w:rPr>
        <w:t>Herramientas tecnológicas:</w:t>
      </w:r>
    </w:p>
    <w:p w14:paraId="1CEA9F47" w14:textId="77777777" w:rsidR="00053D93" w:rsidRDefault="00260B75">
      <w:pPr>
        <w:spacing w:after="205" w:line="250" w:lineRule="auto"/>
        <w:ind w:left="133" w:right="14" w:hanging="3"/>
        <w:jc w:val="both"/>
      </w:pPr>
      <w:r>
        <w:rPr>
          <w:sz w:val="26"/>
        </w:rPr>
        <w:t xml:space="preserve">Cuando ingrese al departamento de Infraestructura y Servicios Críticos la Dirección de Informática del Ministerio de Educación no se contaba con una </w:t>
      </w:r>
      <w:r>
        <w:rPr>
          <w:noProof/>
        </w:rPr>
        <mc:AlternateContent>
          <mc:Choice Requires="wpg">
            <w:drawing>
              <wp:inline distT="0" distB="0" distL="0" distR="0" wp14:anchorId="1A73BAA7" wp14:editId="64CC53B6">
                <wp:extent cx="114300" cy="288036"/>
                <wp:effectExtent l="0" t="0" r="0" b="0"/>
                <wp:docPr id="2457224" name="Group 2457224"/>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096843" name="Rectangle 1096843"/>
                        <wps:cNvSpPr/>
                        <wps:spPr>
                          <a:xfrm>
                            <a:off x="0" y="0"/>
                            <a:ext cx="152019" cy="383088"/>
                          </a:xfrm>
                          <a:prstGeom prst="rect">
                            <a:avLst/>
                          </a:prstGeom>
                          <a:ln>
                            <a:noFill/>
                          </a:ln>
                        </wps:spPr>
                        <wps:txbx>
                          <w:txbxContent>
                            <w:p w14:paraId="5F2AA5BB"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1A73BAA7" id="Group 2457224" o:spid="_x0000_s1616" style="width:9pt;height:22.7pt;mso-position-horizontal-relative:char;mso-position-vertical-relative:line"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">
                <v:rect id="Rectangle 1096843" o:spid="_x0000_s1617"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" filled="f" stroked="f">
                  <v:textbox inset="0,0,0,0">
                    <w:txbxContent>
                      <w:p w14:paraId="5F2AA5BB" w14:textId="77777777" w:rsidR="00053D93" w:rsidRDefault="00260B75">
                        <w:r>
                          <w:rPr>
                            <w:sz w:val="66"/>
                          </w:rPr>
                          <w:t>1</w:t>
                        </w:r>
                      </w:p>
                    </w:txbxContent>
                  </v:textbox>
                </v:rect>
                <w10:anchorlock/>
              </v:group>
            </w:pict>
          </mc:Fallback>
        </mc:AlternateContent>
      </w:r>
      <w:r>
        <w:rPr>
          <w:sz w:val="26"/>
        </w:rPr>
        <w:t xml:space="preserve"> solución tecnología para el backup de los servidores. El mismo había vencido en enero 2023. Un año antes de mi ingreso.</w:t>
      </w:r>
    </w:p>
    <w:tbl>
      <w:tblPr>
        <w:tblStyle w:val="TableGrid"/>
        <w:tblW w:w="9425" w:type="dxa"/>
        <w:tblInd w:w="706" w:type="dxa"/>
        <w:tblLook w:val="04A0" w:firstRow="1" w:lastRow="0" w:firstColumn="1" w:lastColumn="0" w:noHBand="0" w:noVBand="1"/>
      </w:tblPr>
      <w:tblGrid>
        <w:gridCol w:w="1684"/>
        <w:gridCol w:w="10477"/>
      </w:tblGrid>
      <w:tr w:rsidR="00053D93" w14:paraId="37204B56" w14:textId="77777777">
        <w:trPr>
          <w:trHeight w:val="648"/>
        </w:trPr>
        <w:tc>
          <w:tcPr>
            <w:tcW w:w="1726" w:type="dxa"/>
            <w:tcBorders>
              <w:top w:val="nil"/>
              <w:left w:val="nil"/>
              <w:bottom w:val="nil"/>
              <w:right w:val="nil"/>
            </w:tcBorders>
          </w:tcPr>
          <w:p w14:paraId="6FED244E" w14:textId="77777777" w:rsidR="00053D93" w:rsidRDefault="00260B75">
            <w:r>
              <w:rPr>
                <w:noProof/>
              </w:rPr>
              <w:drawing>
                <wp:inline distT="0" distB="0" distL="0" distR="0" wp14:anchorId="0DB44C0E" wp14:editId="58D66DE1">
                  <wp:extent cx="1069848" cy="411480"/>
                  <wp:effectExtent l="0" t="0" r="0" b="0"/>
                  <wp:docPr id="1099261" name="Picture 1099261"/>
                  <wp:cNvGraphicFramePr/>
                  <a:graphic xmlns:a="http://schemas.openxmlformats.org/drawingml/2006/main">
                    <a:graphicData uri="http://schemas.openxmlformats.org/drawingml/2006/picture">
                      <pic:pic xmlns:pic="http://schemas.openxmlformats.org/drawingml/2006/picture">
                        <pic:nvPicPr>
                          <pic:cNvPr id="1099261" name="Picture 1099261"/>
                          <pic:cNvPicPr/>
                        </pic:nvPicPr>
                        <pic:blipFill>
                          <a:blip r:embed="rId1524"/>
                          <a:stretch>
                            <a:fillRect/>
                          </a:stretch>
                        </pic:blipFill>
                        <pic:spPr>
                          <a:xfrm>
                            <a:off x="0" y="0"/>
                            <a:ext cx="1069848" cy="411480"/>
                          </a:xfrm>
                          <a:prstGeom prst="rect">
                            <a:avLst/>
                          </a:prstGeom>
                        </pic:spPr>
                      </pic:pic>
                    </a:graphicData>
                  </a:graphic>
                </wp:inline>
              </w:drawing>
            </w:r>
          </w:p>
        </w:tc>
        <w:tc>
          <w:tcPr>
            <w:tcW w:w="7699" w:type="dxa"/>
            <w:tcBorders>
              <w:top w:val="nil"/>
              <w:left w:val="nil"/>
              <w:bottom w:val="nil"/>
              <w:right w:val="nil"/>
            </w:tcBorders>
          </w:tcPr>
          <w:p w14:paraId="7796C968" w14:textId="77777777" w:rsidR="00053D93" w:rsidRDefault="00053D93">
            <w:pPr>
              <w:ind w:left="-2777" w:right="10476"/>
            </w:pPr>
          </w:p>
          <w:tbl>
            <w:tblPr>
              <w:tblStyle w:val="TableGrid"/>
              <w:tblW w:w="7657" w:type="dxa"/>
              <w:tblInd w:w="41" w:type="dxa"/>
              <w:tblCellMar>
                <w:top w:w="50" w:type="dxa"/>
                <w:left w:w="1775" w:type="dxa"/>
                <w:right w:w="115" w:type="dxa"/>
              </w:tblCellMar>
              <w:tblLook w:val="04A0" w:firstRow="1" w:lastRow="0" w:firstColumn="1" w:lastColumn="0" w:noHBand="0" w:noVBand="1"/>
            </w:tblPr>
            <w:tblGrid>
              <w:gridCol w:w="7657"/>
            </w:tblGrid>
            <w:tr w:rsidR="00053D93" w14:paraId="4EDE421B" w14:textId="77777777">
              <w:trPr>
                <w:trHeight w:val="605"/>
              </w:trPr>
              <w:tc>
                <w:tcPr>
                  <w:tcW w:w="7657" w:type="dxa"/>
                  <w:tcBorders>
                    <w:top w:val="single" w:sz="2" w:space="0" w:color="000000"/>
                    <w:left w:val="single" w:sz="2" w:space="0" w:color="000000"/>
                    <w:bottom w:val="nil"/>
                    <w:right w:val="nil"/>
                  </w:tcBorders>
                </w:tcPr>
                <w:p w14:paraId="6EB98B65" w14:textId="77777777" w:rsidR="00053D93" w:rsidRDefault="00260B75">
                  <w:pPr>
                    <w:ind w:left="835"/>
                  </w:pPr>
                  <w:r>
                    <w:rPr>
                      <w:sz w:val="14"/>
                    </w:rPr>
                    <w:t>MINISTERIO EOUCACTON</w:t>
                  </w:r>
                </w:p>
                <w:p w14:paraId="5F25A231" w14:textId="77777777" w:rsidR="00053D93" w:rsidRDefault="00260B75">
                  <w:pPr>
                    <w:ind w:left="331"/>
                  </w:pPr>
                  <w:r>
                    <w:rPr>
                      <w:sz w:val="14"/>
                    </w:rPr>
                    <w:t>AUDITORIA FINANCIERA Y DE CUMPLIMIENTO</w:t>
                  </w:r>
                </w:p>
                <w:p w14:paraId="41CC1F6C" w14:textId="77777777" w:rsidR="00053D93" w:rsidRDefault="00260B75">
                  <w:r>
                    <w:rPr>
                      <w:sz w:val="14"/>
                    </w:rPr>
                    <w:t>PERIODO DEL 01 OE ENERO AL 31 DE DICIEMBRE DE 2024</w:t>
                  </w:r>
                </w:p>
              </w:tc>
            </w:tr>
          </w:tbl>
          <w:p w14:paraId="3F9AF7C6" w14:textId="77777777" w:rsidR="00053D93" w:rsidRDefault="00053D93"/>
        </w:tc>
      </w:tr>
    </w:tbl>
    <w:p w14:paraId="6CF6E500" w14:textId="77777777" w:rsidR="00053D93" w:rsidRDefault="00053D93">
      <w:pPr>
        <w:sectPr w:rsidR="00053D93">
          <w:type w:val="continuous"/>
          <w:pgSz w:w="12290" w:h="15883"/>
          <w:pgMar w:top="1405" w:right="1822" w:bottom="677" w:left="346" w:header="720" w:footer="720" w:gutter="0"/>
          <w:cols w:space="720"/>
        </w:sectPr>
      </w:pPr>
    </w:p>
    <w:p w14:paraId="56BC2B22" w14:textId="77777777" w:rsidR="00053D93" w:rsidRDefault="00260B75">
      <w:pPr>
        <w:spacing w:after="3"/>
        <w:ind w:left="24" w:hanging="10"/>
      </w:pPr>
      <w:r>
        <w:rPr>
          <w:sz w:val="72"/>
        </w:rPr>
        <w:t>1</w:t>
      </w:r>
    </w:p>
    <w:p w14:paraId="0BCF9431" w14:textId="77777777" w:rsidR="00053D93" w:rsidRDefault="00260B75">
      <w:pPr>
        <w:spacing w:after="418"/>
        <w:ind w:left="5450"/>
      </w:pPr>
      <w:r>
        <w:rPr>
          <w:noProof/>
        </w:rPr>
        <w:drawing>
          <wp:inline distT="0" distB="0" distL="0" distR="0" wp14:anchorId="354244CE" wp14:editId="4A56542C">
            <wp:extent cx="9144" cy="9144"/>
            <wp:effectExtent l="0" t="0" r="0" b="0"/>
            <wp:docPr id="1102373" name="Picture 1102373"/>
            <wp:cNvGraphicFramePr/>
            <a:graphic xmlns:a="http://schemas.openxmlformats.org/drawingml/2006/main">
              <a:graphicData uri="http://schemas.openxmlformats.org/drawingml/2006/picture">
                <pic:pic xmlns:pic="http://schemas.openxmlformats.org/drawingml/2006/picture">
                  <pic:nvPicPr>
                    <pic:cNvPr id="1102373" name="Picture 1102373"/>
                    <pic:cNvPicPr/>
                  </pic:nvPicPr>
                  <pic:blipFill>
                    <a:blip r:embed="rId93"/>
                    <a:stretch>
                      <a:fillRect/>
                    </a:stretch>
                  </pic:blipFill>
                  <pic:spPr>
                    <a:xfrm>
                      <a:off x="0" y="0"/>
                      <a:ext cx="9144" cy="9144"/>
                    </a:xfrm>
                    <a:prstGeom prst="rect">
                      <a:avLst/>
                    </a:prstGeom>
                  </pic:spPr>
                </pic:pic>
              </a:graphicData>
            </a:graphic>
          </wp:inline>
        </w:drawing>
      </w:r>
    </w:p>
    <w:p w14:paraId="3574D14D" w14:textId="77777777" w:rsidR="00053D93" w:rsidRDefault="00260B75">
      <w:pPr>
        <w:spacing w:after="40"/>
        <w:ind w:left="1692" w:right="-14"/>
      </w:pPr>
      <w:r>
        <w:rPr>
          <w:noProof/>
        </w:rPr>
        <mc:AlternateContent>
          <mc:Choice Requires="wpg">
            <w:drawing>
              <wp:inline distT="0" distB="0" distL="0" distR="0" wp14:anchorId="6CE804CE" wp14:editId="1C0D5776">
                <wp:extent cx="5376673" cy="9144"/>
                <wp:effectExtent l="0" t="0" r="0" b="0"/>
                <wp:docPr id="2458843" name="Group 2458843"/>
                <wp:cNvGraphicFramePr/>
                <a:graphic xmlns:a="http://schemas.openxmlformats.org/drawingml/2006/main">
                  <a:graphicData uri="http://schemas.microsoft.com/office/word/2010/wordprocessingGroup">
                    <wpg:wgp>
                      <wpg:cNvGrpSpPr/>
                      <wpg:grpSpPr>
                        <a:xfrm>
                          <a:off x="0" y="0"/>
                          <a:ext cx="5376673" cy="9144"/>
                          <a:chOff x="0" y="0"/>
                          <a:chExt cx="5376673" cy="9144"/>
                        </a:xfrm>
                      </wpg:grpSpPr>
                      <wps:wsp>
                        <wps:cNvPr id="2458842" name="Shape 2458842"/>
                        <wps:cNvSpPr/>
                        <wps:spPr>
                          <a:xfrm>
                            <a:off x="0" y="0"/>
                            <a:ext cx="5376673" cy="9144"/>
                          </a:xfrm>
                          <a:custGeom>
                            <a:avLst/>
                            <a:gdLst/>
                            <a:ahLst/>
                            <a:cxnLst/>
                            <a:rect l="0" t="0" r="0" b="0"/>
                            <a:pathLst>
                              <a:path w="5376673" h="9144">
                                <a:moveTo>
                                  <a:pt x="0" y="4572"/>
                                </a:moveTo>
                                <a:lnTo>
                                  <a:pt x="5376673"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43" style="width:423.36pt;height:0.719994pt;mso-position-horizontal-relative:char;mso-position-vertical-relative:line" coordsize="53766,91">
                <v:shape id="Shape 2458842" style="position:absolute;width:53766;height:91;left:0;top:0;" coordsize="5376673,9144" path="m0,4572l5376673,4572">
                  <v:stroke weight="0.719994pt" endcap="flat" joinstyle="miter" miterlimit="1" on="true" color="#000000"/>
                  <v:fill on="false" color="#000000"/>
                </v:shape>
              </v:group>
            </w:pict>
          </mc:Fallback>
        </mc:AlternateContent>
      </w:r>
    </w:p>
    <w:p w14:paraId="5D8E44F9" w14:textId="77777777" w:rsidR="00053D93" w:rsidRDefault="00260B75">
      <w:pPr>
        <w:spacing w:after="241" w:line="269" w:lineRule="auto"/>
        <w:ind w:left="57" w:right="14" w:firstLine="1663"/>
        <w:jc w:val="both"/>
      </w:pPr>
      <w:r>
        <w:rPr>
          <w:sz w:val="26"/>
        </w:rPr>
        <w:t>La gestión para la adquisición de la solución tecnología para backup para el año 2024 se gestionó. Sin embargo, no se logró concretar, ya que la adjudicación tal 1 como se evidencia el NOG 23326719 de Guatecompras, el oferente no presentó los documentos de rigor.</w:t>
      </w:r>
    </w:p>
    <w:p w14:paraId="35F8E1AB" w14:textId="77777777" w:rsidR="00053D93" w:rsidRDefault="00260B75">
      <w:pPr>
        <w:tabs>
          <w:tab w:val="center" w:pos="3078"/>
        </w:tabs>
        <w:spacing w:after="4" w:line="269" w:lineRule="auto"/>
      </w:pPr>
      <w:r>
        <w:rPr>
          <w:noProof/>
        </w:rPr>
        <mc:AlternateContent>
          <mc:Choice Requires="wpg">
            <w:drawing>
              <wp:inline distT="0" distB="0" distL="0" distR="0" wp14:anchorId="46E110D3" wp14:editId="434F4904">
                <wp:extent cx="109728" cy="288036"/>
                <wp:effectExtent l="0" t="0" r="0" b="0"/>
                <wp:docPr id="2457251" name="Group 2457251"/>
                <wp:cNvGraphicFramePr/>
                <a:graphic xmlns:a="http://schemas.openxmlformats.org/drawingml/2006/main">
                  <a:graphicData uri="http://schemas.microsoft.com/office/word/2010/wordprocessingGroup">
                    <wpg:wgp>
                      <wpg:cNvGrpSpPr/>
                      <wpg:grpSpPr>
                        <a:xfrm>
                          <a:off x="0" y="0"/>
                          <a:ext cx="109728" cy="288036"/>
                          <a:chOff x="0" y="0"/>
                          <a:chExt cx="109728" cy="288036"/>
                        </a:xfrm>
                      </wpg:grpSpPr>
                      <wps:wsp>
                        <wps:cNvPr id="1099780" name="Rectangle 1099780"/>
                        <wps:cNvSpPr/>
                        <wps:spPr>
                          <a:xfrm>
                            <a:off x="0" y="0"/>
                            <a:ext cx="145938" cy="383088"/>
                          </a:xfrm>
                          <a:prstGeom prst="rect">
                            <a:avLst/>
                          </a:prstGeom>
                          <a:ln>
                            <a:noFill/>
                          </a:ln>
                        </wps:spPr>
                        <wps:txbx>
                          <w:txbxContent>
                            <w:p w14:paraId="5E10180F"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46E110D3" id="Group 2457251" o:spid="_x0000_s1618" style="width:8.65pt;height:22.7pt;mso-position-horizontal-relative:char;mso-position-vertical-relative:line" coordsize="10972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">
                <v:rect id="Rectangle 1099780" o:spid="_x0000_s1619" style="position:absolute;width:145938;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" filled="f" stroked="f">
                  <v:textbox inset="0,0,0,0">
                    <w:txbxContent>
                      <w:p w14:paraId="5E10180F" w14:textId="77777777" w:rsidR="00053D93" w:rsidRDefault="00260B75">
                        <w:r>
                          <w:rPr>
                            <w:sz w:val="66"/>
                          </w:rPr>
                          <w:t>1</w:t>
                        </w:r>
                      </w:p>
                    </w:txbxContent>
                  </v:textbox>
                </v:rect>
                <w10:anchorlock/>
              </v:group>
            </w:pict>
          </mc:Fallback>
        </mc:AlternateContent>
      </w:r>
      <w:r>
        <w:rPr>
          <w:sz w:val="26"/>
        </w:rPr>
        <w:tab/>
        <w:t>Análisis de las condiciones:</w:t>
      </w:r>
    </w:p>
    <w:p w14:paraId="27F63577" w14:textId="77777777" w:rsidR="00053D93" w:rsidRDefault="00260B75">
      <w:pPr>
        <w:spacing w:after="4" w:line="269" w:lineRule="auto"/>
        <w:ind w:left="1706" w:right="14" w:hanging="1649"/>
        <w:jc w:val="both"/>
      </w:pPr>
      <w:r>
        <w:rPr>
          <w:sz w:val="26"/>
        </w:rPr>
        <w:t>1. Aplicación "Mis Compras del PAE" se encontraba en servidores administrados por la unidad requirente. Para la administración del servidor se reportaba al</w:t>
      </w:r>
    </w:p>
    <w:p w14:paraId="2B6DCFA1" w14:textId="77777777" w:rsidR="00053D93" w:rsidRDefault="00260B75">
      <w:pPr>
        <w:spacing w:after="44"/>
        <w:ind w:left="36"/>
      </w:pPr>
      <w:r>
        <w:rPr>
          <w:noProof/>
        </w:rPr>
        <w:drawing>
          <wp:inline distT="0" distB="0" distL="0" distR="0" wp14:anchorId="53B0FA8A" wp14:editId="4788630A">
            <wp:extent cx="4572" cy="9144"/>
            <wp:effectExtent l="0" t="0" r="0" b="0"/>
            <wp:docPr id="1102374" name="Picture 1102374"/>
            <wp:cNvGraphicFramePr/>
            <a:graphic xmlns:a="http://schemas.openxmlformats.org/drawingml/2006/main">
              <a:graphicData uri="http://schemas.openxmlformats.org/drawingml/2006/picture">
                <pic:pic xmlns:pic="http://schemas.openxmlformats.org/drawingml/2006/picture">
                  <pic:nvPicPr>
                    <pic:cNvPr id="1102374" name="Picture 1102374"/>
                    <pic:cNvPicPr/>
                  </pic:nvPicPr>
                  <pic:blipFill>
                    <a:blip r:embed="rId24"/>
                    <a:stretch>
                      <a:fillRect/>
                    </a:stretch>
                  </pic:blipFill>
                  <pic:spPr>
                    <a:xfrm>
                      <a:off x="0" y="0"/>
                      <a:ext cx="4572" cy="9144"/>
                    </a:xfrm>
                    <a:prstGeom prst="rect">
                      <a:avLst/>
                    </a:prstGeom>
                  </pic:spPr>
                </pic:pic>
              </a:graphicData>
            </a:graphic>
          </wp:inline>
        </w:drawing>
      </w:r>
    </w:p>
    <w:p w14:paraId="2EC30C36" w14:textId="77777777" w:rsidR="00053D93" w:rsidRDefault="00260B75">
      <w:pPr>
        <w:spacing w:after="549" w:line="339" w:lineRule="auto"/>
        <w:ind w:left="60" w:right="14" w:hanging="3"/>
        <w:jc w:val="both"/>
      </w:pPr>
      <w:r>
        <w:rPr>
          <w:sz w:val="26"/>
        </w:rPr>
        <w:t>1 ingeniero Juan José Hernández Siguantay, al momento que se requería el reinicio de los servidores por el tema de la actualización. Por [o que nuestra participación 1 como administrador de servidores era de que tuviera el vmware actualizado y los parches de Windows.</w:t>
      </w:r>
    </w:p>
    <w:p w14:paraId="0BB83A5A" w14:textId="77777777" w:rsidR="00053D93" w:rsidRDefault="00260B75">
      <w:pPr>
        <w:spacing w:after="74" w:line="346" w:lineRule="auto"/>
        <w:ind w:left="1735" w:right="14" w:hanging="1678"/>
        <w:jc w:val="both"/>
      </w:pPr>
      <w:r>
        <w:rPr>
          <w:sz w:val="26"/>
        </w:rPr>
        <w:t>1 2. Incidente 21 de agosto de 2024, al Departamento de Infraestructura y Servicios Críticos fue reportado el 19 de agosto de 2024 48 horas antes del incidente por medio de los encargados de informática de Alta Verapaz y Sacatepéquez</w:t>
      </w:r>
    </w:p>
    <w:p w14:paraId="35A35428" w14:textId="77777777" w:rsidR="00053D93" w:rsidRDefault="00260B75">
      <w:pPr>
        <w:tabs>
          <w:tab w:val="center" w:pos="4619"/>
        </w:tabs>
        <w:spacing w:after="283" w:line="269" w:lineRule="auto"/>
      </w:pPr>
      <w:r>
        <w:rPr>
          <w:sz w:val="26"/>
        </w:rPr>
        <w:t>-1</w:t>
      </w:r>
      <w:r>
        <w:rPr>
          <w:sz w:val="26"/>
        </w:rPr>
        <w:tab/>
        <w:t>indicando que los servidores estaban siendo escaneados.</w:t>
      </w:r>
    </w:p>
    <w:p w14:paraId="55E0449E" w14:textId="77777777" w:rsidR="00053D93" w:rsidRDefault="00260B75">
      <w:pPr>
        <w:spacing w:after="120" w:line="265" w:lineRule="auto"/>
        <w:ind w:left="60" w:hanging="10"/>
      </w:pPr>
      <w:r>
        <w:rPr>
          <w:noProof/>
        </w:rPr>
        <mc:AlternateContent>
          <mc:Choice Requires="wpg">
            <w:drawing>
              <wp:anchor distT="0" distB="0" distL="114300" distR="114300" simplePos="0" relativeHeight="252211200" behindDoc="0" locked="0" layoutInCell="1" allowOverlap="1" wp14:anchorId="564C477B" wp14:editId="475F1326">
                <wp:simplePos x="0" y="0"/>
                <wp:positionH relativeFrom="column">
                  <wp:posOffset>41148</wp:posOffset>
                </wp:positionH>
                <wp:positionV relativeFrom="paragraph">
                  <wp:posOffset>-4571</wp:posOffset>
                </wp:positionV>
                <wp:extent cx="109728" cy="288036"/>
                <wp:effectExtent l="0" t="0" r="0" b="0"/>
                <wp:wrapSquare wrapText="bothSides"/>
                <wp:docPr id="2457252" name="Group 2457252"/>
                <wp:cNvGraphicFramePr/>
                <a:graphic xmlns:a="http://schemas.openxmlformats.org/drawingml/2006/main">
                  <a:graphicData uri="http://schemas.microsoft.com/office/word/2010/wordprocessingGroup">
                    <wpg:wgp>
                      <wpg:cNvGrpSpPr/>
                      <wpg:grpSpPr>
                        <a:xfrm>
                          <a:off x="0" y="0"/>
                          <a:ext cx="109728" cy="288036"/>
                          <a:chOff x="0" y="0"/>
                          <a:chExt cx="109728" cy="288036"/>
                        </a:xfrm>
                      </wpg:grpSpPr>
                      <wps:wsp>
                        <wps:cNvPr id="1099785" name="Rectangle 1099785"/>
                        <wps:cNvSpPr/>
                        <wps:spPr>
                          <a:xfrm>
                            <a:off x="0" y="0"/>
                            <a:ext cx="145938" cy="383088"/>
                          </a:xfrm>
                          <a:prstGeom prst="rect">
                            <a:avLst/>
                          </a:prstGeom>
                          <a:ln>
                            <a:noFill/>
                          </a:ln>
                        </wps:spPr>
                        <wps:txbx>
                          <w:txbxContent>
                            <w:p w14:paraId="549BCA6A"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564C477B" id="Group 2457252" o:spid="_x0000_s1620" style="position:absolute;left:0;text-align:left;margin-left:3.25pt;margin-top:-.35pt;width:8.65pt;height:22.7pt;z-index:252211200;mso-position-horizontal-relative:text;mso-position-vertical-relative:text" coordsize="10972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">
                <v:rect id="Rectangle 1099785" o:spid="_x0000_s1621" style="position:absolute;width:145938;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" filled="f" stroked="f">
                  <v:textbox inset="0,0,0,0">
                    <w:txbxContent>
                      <w:p w14:paraId="549BCA6A" w14:textId="77777777" w:rsidR="00053D93" w:rsidRDefault="00260B75">
                        <w:r>
                          <w:rPr>
                            <w:sz w:val="66"/>
                          </w:rPr>
                          <w:t>1</w:t>
                        </w:r>
                      </w:p>
                    </w:txbxContent>
                  </v:textbox>
                </v:rect>
                <w10:wrap type="square"/>
              </v:group>
            </w:pict>
          </mc:Fallback>
        </mc:AlternateContent>
      </w:r>
      <w:r>
        <w:rPr>
          <w:rFonts w:ascii="Courier New" w:eastAsia="Courier New" w:hAnsi="Courier New" w:cs="Courier New"/>
          <w:sz w:val="18"/>
        </w:rPr>
        <w:t>Acciones:</w:t>
      </w:r>
    </w:p>
    <w:tbl>
      <w:tblPr>
        <w:tblStyle w:val="TableGrid"/>
        <w:tblpPr w:vertAnchor="page" w:horzAnchor="page" w:tblpX="2776" w:tblpY="14537"/>
        <w:tblOverlap w:val="never"/>
        <w:tblW w:w="7650" w:type="dxa"/>
        <w:tblInd w:w="0" w:type="dxa"/>
        <w:tblCellMar>
          <w:top w:w="41" w:type="dxa"/>
          <w:left w:w="1782" w:type="dxa"/>
          <w:right w:w="115" w:type="dxa"/>
        </w:tblCellMar>
        <w:tblLook w:val="04A0" w:firstRow="1" w:lastRow="0" w:firstColumn="1" w:lastColumn="0" w:noHBand="0" w:noVBand="1"/>
      </w:tblPr>
      <w:tblGrid>
        <w:gridCol w:w="7650"/>
      </w:tblGrid>
      <w:tr w:rsidR="00053D93" w14:paraId="1FDF1720" w14:textId="77777777">
        <w:trPr>
          <w:trHeight w:val="58"/>
        </w:trPr>
        <w:tc>
          <w:tcPr>
            <w:tcW w:w="7650" w:type="dxa"/>
            <w:tcBorders>
              <w:top w:val="nil"/>
              <w:left w:val="single" w:sz="2" w:space="0" w:color="000000"/>
              <w:bottom w:val="single" w:sz="2" w:space="0" w:color="000000"/>
              <w:right w:val="nil"/>
            </w:tcBorders>
          </w:tcPr>
          <w:p w14:paraId="17B5432F" w14:textId="77777777" w:rsidR="00053D93" w:rsidRDefault="00053D93"/>
        </w:tc>
      </w:tr>
      <w:tr w:rsidR="00053D93" w14:paraId="22724CA3" w14:textId="77777777">
        <w:trPr>
          <w:trHeight w:val="576"/>
        </w:trPr>
        <w:tc>
          <w:tcPr>
            <w:tcW w:w="7650" w:type="dxa"/>
            <w:tcBorders>
              <w:top w:val="single" w:sz="2" w:space="0" w:color="000000"/>
              <w:left w:val="single" w:sz="2" w:space="0" w:color="000000"/>
              <w:bottom w:val="nil"/>
              <w:right w:val="nil"/>
            </w:tcBorders>
          </w:tcPr>
          <w:p w14:paraId="4C86F12E" w14:textId="77777777" w:rsidR="00053D93" w:rsidRDefault="00260B75">
            <w:pPr>
              <w:ind w:left="828"/>
            </w:pPr>
            <w:r>
              <w:rPr>
                <w:sz w:val="14"/>
              </w:rPr>
              <w:t>MENISTER[O DE EDUCACION</w:t>
            </w:r>
          </w:p>
          <w:p w14:paraId="6FDF4148" w14:textId="77777777" w:rsidR="00053D93" w:rsidRDefault="00260B75">
            <w:pPr>
              <w:ind w:left="338"/>
            </w:pPr>
            <w:r>
              <w:rPr>
                <w:sz w:val="14"/>
              </w:rPr>
              <w:t>AUDITORIA FINANCIERA Y DE CUMPLIMIENTO</w:t>
            </w:r>
          </w:p>
          <w:p w14:paraId="62D8639C" w14:textId="77777777" w:rsidR="00053D93" w:rsidRDefault="00260B75">
            <w:r>
              <w:rPr>
                <w:sz w:val="14"/>
              </w:rPr>
              <w:t>PERIODO DEL 01 DE ENERO AL 31 DE DICIEMBRE OE 2024</w:t>
            </w:r>
          </w:p>
        </w:tc>
      </w:tr>
    </w:tbl>
    <w:p w14:paraId="15F2D173" w14:textId="77777777" w:rsidR="00053D93" w:rsidRDefault="00260B75">
      <w:pPr>
        <w:spacing w:after="323" w:line="269" w:lineRule="auto"/>
        <w:ind w:left="57" w:right="14" w:firstLine="43"/>
        <w:jc w:val="both"/>
      </w:pPr>
      <w:r>
        <w:rPr>
          <w:noProof/>
        </w:rPr>
        <w:drawing>
          <wp:anchor distT="0" distB="0" distL="114300" distR="114300" simplePos="0" relativeHeight="252212224" behindDoc="0" locked="0" layoutInCell="1" allowOverlap="0" wp14:anchorId="256E6E00" wp14:editId="187EBDA2">
            <wp:simplePos x="0" y="0"/>
            <wp:positionH relativeFrom="page">
              <wp:posOffset>644652</wp:posOffset>
            </wp:positionH>
            <wp:positionV relativeFrom="page">
              <wp:posOffset>9226296</wp:posOffset>
            </wp:positionV>
            <wp:extent cx="1065276" cy="406908"/>
            <wp:effectExtent l="0" t="0" r="0" b="0"/>
            <wp:wrapTopAndBottom/>
            <wp:docPr id="1102425" name="Picture 1102425"/>
            <wp:cNvGraphicFramePr/>
            <a:graphic xmlns:a="http://schemas.openxmlformats.org/drawingml/2006/main">
              <a:graphicData uri="http://schemas.openxmlformats.org/drawingml/2006/picture">
                <pic:pic xmlns:pic="http://schemas.openxmlformats.org/drawingml/2006/picture">
                  <pic:nvPicPr>
                    <pic:cNvPr id="1102425" name="Picture 1102425"/>
                    <pic:cNvPicPr/>
                  </pic:nvPicPr>
                  <pic:blipFill>
                    <a:blip r:embed="rId1525"/>
                    <a:stretch>
                      <a:fillRect/>
                    </a:stretch>
                  </pic:blipFill>
                  <pic:spPr>
                    <a:xfrm>
                      <a:off x="0" y="0"/>
                      <a:ext cx="1065276" cy="406908"/>
                    </a:xfrm>
                    <a:prstGeom prst="rect">
                      <a:avLst/>
                    </a:prstGeom>
                  </pic:spPr>
                </pic:pic>
              </a:graphicData>
            </a:graphic>
          </wp:anchor>
        </w:drawing>
      </w:r>
      <w:r>
        <w:rPr>
          <w:sz w:val="26"/>
        </w:rPr>
        <w:t xml:space="preserve">Se reportó vía correo electrónico al departamento de Redes y Telecomunicaciones y ser se recibió respuesta de dicho departamento. Por un lado, se encuentra las </w:t>
      </w:r>
      <w:r>
        <w:rPr>
          <w:noProof/>
        </w:rPr>
        <w:drawing>
          <wp:inline distT="0" distB="0" distL="0" distR="0" wp14:anchorId="513DBC34" wp14:editId="4869F440">
            <wp:extent cx="18288" cy="9144"/>
            <wp:effectExtent l="0" t="0" r="0" b="0"/>
            <wp:docPr id="1102375" name="Picture 1102375"/>
            <wp:cNvGraphicFramePr/>
            <a:graphic xmlns:a="http://schemas.openxmlformats.org/drawingml/2006/main">
              <a:graphicData uri="http://schemas.openxmlformats.org/drawingml/2006/picture">
                <pic:pic xmlns:pic="http://schemas.openxmlformats.org/drawingml/2006/picture">
                  <pic:nvPicPr>
                    <pic:cNvPr id="1102375" name="Picture 1102375"/>
                    <pic:cNvPicPr/>
                  </pic:nvPicPr>
                  <pic:blipFill>
                    <a:blip r:embed="rId151"/>
                    <a:stretch>
                      <a:fillRect/>
                    </a:stretch>
                  </pic:blipFill>
                  <pic:spPr>
                    <a:xfrm>
                      <a:off x="0" y="0"/>
                      <a:ext cx="18288" cy="9144"/>
                    </a:xfrm>
                    <a:prstGeom prst="rect">
                      <a:avLst/>
                    </a:prstGeom>
                  </pic:spPr>
                </pic:pic>
              </a:graphicData>
            </a:graphic>
          </wp:inline>
        </w:drawing>
      </w:r>
      <w:r>
        <w:rPr>
          <w:sz w:val="26"/>
        </w:rPr>
        <w:t>1 capacidades de los compañeros con respecto a la seguridad. Pero también está el de la aplicación de antivirus, el esquema de vLan y otros factores de configuración para hacer una red segura.</w:t>
      </w:r>
    </w:p>
    <w:p w14:paraId="1F59E027" w14:textId="77777777" w:rsidR="00053D93" w:rsidRDefault="00260B75">
      <w:pPr>
        <w:spacing w:after="85" w:line="269" w:lineRule="auto"/>
        <w:ind w:left="67" w:right="14" w:hanging="10"/>
        <w:jc w:val="right"/>
      </w:pPr>
      <w:r>
        <w:rPr>
          <w:sz w:val="26"/>
        </w:rPr>
        <w:t>Se trabajó con especialistas de Microsoft por medio de la empresa SEGA para</w:t>
      </w:r>
    </w:p>
    <w:p w14:paraId="55F8F48F" w14:textId="77777777" w:rsidR="00053D93" w:rsidRDefault="00260B75">
      <w:pPr>
        <w:spacing w:after="4" w:line="319" w:lineRule="auto"/>
        <w:ind w:left="1720" w:right="14" w:hanging="1663"/>
        <w:jc w:val="both"/>
      </w:pPr>
      <w:r>
        <w:rPr>
          <w:noProof/>
        </w:rPr>
        <w:drawing>
          <wp:inline distT="0" distB="0" distL="0" distR="0" wp14:anchorId="23CC2187" wp14:editId="692F0F8F">
            <wp:extent cx="32004" cy="4572"/>
            <wp:effectExtent l="0" t="0" r="0" b="0"/>
            <wp:docPr id="1102376" name="Picture 1102376"/>
            <wp:cNvGraphicFramePr/>
            <a:graphic xmlns:a="http://schemas.openxmlformats.org/drawingml/2006/main">
              <a:graphicData uri="http://schemas.openxmlformats.org/drawingml/2006/picture">
                <pic:pic xmlns:pic="http://schemas.openxmlformats.org/drawingml/2006/picture">
                  <pic:nvPicPr>
                    <pic:cNvPr id="1102376" name="Picture 1102376"/>
                    <pic:cNvPicPr/>
                  </pic:nvPicPr>
                  <pic:blipFill>
                    <a:blip r:embed="rId905"/>
                    <a:stretch>
                      <a:fillRect/>
                    </a:stretch>
                  </pic:blipFill>
                  <pic:spPr>
                    <a:xfrm>
                      <a:off x="0" y="0"/>
                      <a:ext cx="32004" cy="4572"/>
                    </a:xfrm>
                    <a:prstGeom prst="rect">
                      <a:avLst/>
                    </a:prstGeom>
                  </pic:spPr>
                </pic:pic>
              </a:graphicData>
            </a:graphic>
          </wp:inline>
        </w:drawing>
      </w:r>
      <w:r>
        <w:rPr>
          <w:sz w:val="26"/>
        </w:rPr>
        <w:t>1 determinar lo que estaba sucediendo en la red de las departamentales de educación y en la planta central. En el servidor se puedo observar a nivel del editor de registros la creación de usuarios uno tras otro.</w:t>
      </w:r>
    </w:p>
    <w:p w14:paraId="4ACAFB39" w14:textId="77777777" w:rsidR="00053D93" w:rsidRDefault="00260B75">
      <w:pPr>
        <w:spacing w:after="3" w:line="265" w:lineRule="auto"/>
        <w:ind w:left="60" w:right="65" w:hanging="10"/>
      </w:pPr>
      <w:r>
        <w:rPr>
          <w:sz w:val="66"/>
        </w:rPr>
        <w:t>1</w:t>
      </w:r>
    </w:p>
    <w:p w14:paraId="68149B69" w14:textId="77777777" w:rsidR="00053D93" w:rsidRDefault="00260B75">
      <w:pPr>
        <w:spacing w:after="0"/>
        <w:ind w:left="10" w:right="35" w:hanging="10"/>
        <w:jc w:val="right"/>
      </w:pPr>
      <w:r>
        <w:rPr>
          <w:sz w:val="24"/>
        </w:rPr>
        <w:t>El día del incidente fui contactado a las 07:45 am por la Jefa del Departamento de</w:t>
      </w:r>
    </w:p>
    <w:p w14:paraId="799B05F3" w14:textId="77777777" w:rsidR="00053D93" w:rsidRDefault="00260B75">
      <w:pPr>
        <w:spacing w:after="4" w:line="216" w:lineRule="auto"/>
        <w:ind w:left="57" w:right="14" w:firstLine="1598"/>
        <w:jc w:val="both"/>
      </w:pPr>
      <w:r>
        <w:rPr>
          <w:sz w:val="26"/>
        </w:rPr>
        <w:t>Infraestructura y servicio críticos para que me presentara a la oficina y ver si había 1 problemas con electricidad u otro que impidiera el acceso a internet y los sistemas.</w:t>
      </w:r>
    </w:p>
    <w:p w14:paraId="4B403051" w14:textId="77777777" w:rsidR="00053D93" w:rsidRDefault="00260B75">
      <w:pPr>
        <w:spacing w:after="249" w:line="216" w:lineRule="auto"/>
        <w:ind w:left="-7" w:right="14" w:firstLine="1670"/>
        <w:jc w:val="both"/>
      </w:pPr>
      <w:r>
        <w:rPr>
          <w:sz w:val="26"/>
        </w:rPr>
        <w:t xml:space="preserve">Hasta que se presentaron los demás profesionales en su horario regular para el </w:t>
      </w:r>
      <w:r>
        <w:rPr>
          <w:noProof/>
        </w:rPr>
        <w:drawing>
          <wp:inline distT="0" distB="0" distL="0" distR="0" wp14:anchorId="4D74C0C8" wp14:editId="13149EB6">
            <wp:extent cx="13716" cy="9144"/>
            <wp:effectExtent l="0" t="0" r="0" b="0"/>
            <wp:docPr id="1102377" name="Picture 1102377"/>
            <wp:cNvGraphicFramePr/>
            <a:graphic xmlns:a="http://schemas.openxmlformats.org/drawingml/2006/main">
              <a:graphicData uri="http://schemas.openxmlformats.org/drawingml/2006/picture">
                <pic:pic xmlns:pic="http://schemas.openxmlformats.org/drawingml/2006/picture">
                  <pic:nvPicPr>
                    <pic:cNvPr id="1102377" name="Picture 1102377"/>
                    <pic:cNvPicPr/>
                  </pic:nvPicPr>
                  <pic:blipFill>
                    <a:blip r:embed="rId1526"/>
                    <a:stretch>
                      <a:fillRect/>
                    </a:stretch>
                  </pic:blipFill>
                  <pic:spPr>
                    <a:xfrm>
                      <a:off x="0" y="0"/>
                      <a:ext cx="13716" cy="9144"/>
                    </a:xfrm>
                    <a:prstGeom prst="rect">
                      <a:avLst/>
                    </a:prstGeom>
                  </pic:spPr>
                </pic:pic>
              </a:graphicData>
            </a:graphic>
          </wp:inline>
        </w:drawing>
      </w:r>
      <w:r>
        <w:rPr>
          <w:sz w:val="26"/>
        </w:rPr>
        <w:t>1 seguimiento y asistencia de los proveedores.</w:t>
      </w:r>
    </w:p>
    <w:p w14:paraId="788A62C6" w14:textId="77777777" w:rsidR="00053D93" w:rsidRDefault="00260B75">
      <w:pPr>
        <w:spacing w:after="208" w:line="216" w:lineRule="auto"/>
        <w:ind w:left="-22" w:right="14" w:firstLine="1678"/>
        <w:jc w:val="both"/>
      </w:pPr>
      <w:r>
        <w:rPr>
          <w:sz w:val="26"/>
        </w:rPr>
        <w:t xml:space="preserve">Por medio de la Jefa del departamento de infraestructura le dimos seguimiento a </w:t>
      </w:r>
      <w:r>
        <w:rPr>
          <w:noProof/>
        </w:rPr>
        <w:drawing>
          <wp:inline distT="0" distB="0" distL="0" distR="0" wp14:anchorId="19196EBB" wp14:editId="7FB9C1C3">
            <wp:extent cx="27432" cy="4572"/>
            <wp:effectExtent l="0" t="0" r="0" b="0"/>
            <wp:docPr id="1102378" name="Picture 1102378"/>
            <wp:cNvGraphicFramePr/>
            <a:graphic xmlns:a="http://schemas.openxmlformats.org/drawingml/2006/main">
              <a:graphicData uri="http://schemas.openxmlformats.org/drawingml/2006/picture">
                <pic:pic xmlns:pic="http://schemas.openxmlformats.org/drawingml/2006/picture">
                  <pic:nvPicPr>
                    <pic:cNvPr id="1102378" name="Picture 1102378"/>
                    <pic:cNvPicPr/>
                  </pic:nvPicPr>
                  <pic:blipFill>
                    <a:blip r:embed="rId49"/>
                    <a:stretch>
                      <a:fillRect/>
                    </a:stretch>
                  </pic:blipFill>
                  <pic:spPr>
                    <a:xfrm>
                      <a:off x="0" y="0"/>
                      <a:ext cx="27432" cy="4572"/>
                    </a:xfrm>
                    <a:prstGeom prst="rect">
                      <a:avLst/>
                    </a:prstGeom>
                  </pic:spPr>
                </pic:pic>
              </a:graphicData>
            </a:graphic>
          </wp:inline>
        </w:drawing>
      </w:r>
      <w:r>
        <w:rPr>
          <w:sz w:val="26"/>
        </w:rPr>
        <w:t>1 este reporte y realizando las acciones necesarias.</w:t>
      </w:r>
    </w:p>
    <w:p w14:paraId="6FFC2D7A" w14:textId="77777777" w:rsidR="00053D93" w:rsidRDefault="00260B75">
      <w:pPr>
        <w:spacing w:after="3" w:line="269" w:lineRule="auto"/>
        <w:ind w:left="67" w:right="14" w:hanging="10"/>
        <w:jc w:val="right"/>
      </w:pPr>
      <w:r>
        <w:rPr>
          <w:sz w:val="26"/>
        </w:rPr>
        <w:t>3. Respaldos informáticos, la Dirección de Informática -DINFO- como se ha</w:t>
      </w:r>
    </w:p>
    <w:p w14:paraId="3869A2B9" w14:textId="77777777" w:rsidR="00053D93" w:rsidRDefault="00260B75">
      <w:pPr>
        <w:spacing w:after="79"/>
      </w:pPr>
      <w:r>
        <w:rPr>
          <w:noProof/>
        </w:rPr>
        <w:drawing>
          <wp:inline distT="0" distB="0" distL="0" distR="0" wp14:anchorId="144B6122" wp14:editId="2ADA229B">
            <wp:extent cx="27432" cy="4572"/>
            <wp:effectExtent l="0" t="0" r="0" b="0"/>
            <wp:docPr id="1102379" name="Picture 1102379"/>
            <wp:cNvGraphicFramePr/>
            <a:graphic xmlns:a="http://schemas.openxmlformats.org/drawingml/2006/main">
              <a:graphicData uri="http://schemas.openxmlformats.org/drawingml/2006/picture">
                <pic:pic xmlns:pic="http://schemas.openxmlformats.org/drawingml/2006/picture">
                  <pic:nvPicPr>
                    <pic:cNvPr id="1102379" name="Picture 1102379"/>
                    <pic:cNvPicPr/>
                  </pic:nvPicPr>
                  <pic:blipFill>
                    <a:blip r:embed="rId49"/>
                    <a:stretch>
                      <a:fillRect/>
                    </a:stretch>
                  </pic:blipFill>
                  <pic:spPr>
                    <a:xfrm>
                      <a:off x="0" y="0"/>
                      <a:ext cx="27432" cy="4572"/>
                    </a:xfrm>
                    <a:prstGeom prst="rect">
                      <a:avLst/>
                    </a:prstGeom>
                  </pic:spPr>
                </pic:pic>
              </a:graphicData>
            </a:graphic>
          </wp:inline>
        </w:drawing>
      </w:r>
    </w:p>
    <w:p w14:paraId="4794615B" w14:textId="77777777" w:rsidR="00053D93" w:rsidRDefault="00260B75">
      <w:pPr>
        <w:spacing w:after="4" w:line="335" w:lineRule="auto"/>
        <w:ind w:left="1619" w:right="14" w:hanging="1562"/>
        <w:jc w:val="both"/>
      </w:pPr>
      <w:r>
        <w:rPr>
          <w:sz w:val="26"/>
        </w:rPr>
        <w:t>1 planteado en el presente documento, no se contaba con la solución tecnológica para realizar los respaldos correspondientes.</w:t>
      </w:r>
    </w:p>
    <w:p w14:paraId="2267CB35" w14:textId="77777777" w:rsidR="00053D93" w:rsidRDefault="00260B75">
      <w:pPr>
        <w:spacing w:after="3" w:line="265" w:lineRule="auto"/>
        <w:ind w:left="60" w:right="65" w:hanging="10"/>
      </w:pPr>
      <w:r>
        <w:rPr>
          <w:sz w:val="66"/>
        </w:rPr>
        <w:t>1</w:t>
      </w:r>
    </w:p>
    <w:p w14:paraId="02EB805B" w14:textId="77777777" w:rsidR="00053D93" w:rsidRDefault="00260B75">
      <w:pPr>
        <w:spacing w:after="145" w:line="265" w:lineRule="auto"/>
        <w:ind w:left="1846" w:right="166" w:hanging="10"/>
        <w:jc w:val="center"/>
      </w:pPr>
      <w:r>
        <w:rPr>
          <w:sz w:val="14"/>
        </w:rPr>
        <w:t>248</w:t>
      </w:r>
    </w:p>
    <w:p w14:paraId="1FA7DD35" w14:textId="77777777" w:rsidR="00053D93" w:rsidRDefault="00260B75">
      <w:pPr>
        <w:spacing w:after="30"/>
        <w:ind w:left="1692" w:right="-403"/>
      </w:pPr>
      <w:r>
        <w:rPr>
          <w:noProof/>
        </w:rPr>
        <mc:AlternateContent>
          <mc:Choice Requires="wpg">
            <w:drawing>
              <wp:inline distT="0" distB="0" distL="0" distR="0" wp14:anchorId="0D6E5234" wp14:editId="5C5449B7">
                <wp:extent cx="5628132" cy="13716"/>
                <wp:effectExtent l="0" t="0" r="0" b="0"/>
                <wp:docPr id="2458845" name="Group 2458845"/>
                <wp:cNvGraphicFramePr/>
                <a:graphic xmlns:a="http://schemas.openxmlformats.org/drawingml/2006/main">
                  <a:graphicData uri="http://schemas.microsoft.com/office/word/2010/wordprocessingGroup">
                    <wpg:wgp>
                      <wpg:cNvGrpSpPr/>
                      <wpg:grpSpPr>
                        <a:xfrm>
                          <a:off x="0" y="0"/>
                          <a:ext cx="5628132" cy="13716"/>
                          <a:chOff x="0" y="0"/>
                          <a:chExt cx="5628132" cy="13716"/>
                        </a:xfrm>
                      </wpg:grpSpPr>
                      <wps:wsp>
                        <wps:cNvPr id="2458844" name="Shape 2458844"/>
                        <wps:cNvSpPr/>
                        <wps:spPr>
                          <a:xfrm>
                            <a:off x="0" y="0"/>
                            <a:ext cx="5628132" cy="13716"/>
                          </a:xfrm>
                          <a:custGeom>
                            <a:avLst/>
                            <a:gdLst/>
                            <a:ahLst/>
                            <a:cxnLst/>
                            <a:rect l="0" t="0" r="0" b="0"/>
                            <a:pathLst>
                              <a:path w="5628132" h="13716">
                                <a:moveTo>
                                  <a:pt x="0" y="6858"/>
                                </a:moveTo>
                                <a:lnTo>
                                  <a:pt x="562813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45" style="width:443.16pt;height:1.08pt;mso-position-horizontal-relative:char;mso-position-vertical-relative:line" coordsize="56281,137">
                <v:shape id="Shape 2458844" style="position:absolute;width:56281;height:137;left:0;top:0;" coordsize="5628132,13716" path="m0,6858l5628132,6858">
                  <v:stroke weight="1.08pt" endcap="flat" joinstyle="miter" miterlimit="1" on="true" color="#000000"/>
                  <v:fill on="false" color="#000000"/>
                </v:shape>
              </v:group>
            </w:pict>
          </mc:Fallback>
        </mc:AlternateContent>
      </w:r>
    </w:p>
    <w:p w14:paraId="05DDEBF0" w14:textId="77777777" w:rsidR="00053D93" w:rsidRDefault="00260B75">
      <w:pPr>
        <w:spacing w:after="271" w:line="216" w:lineRule="auto"/>
        <w:ind w:left="1709" w:right="14" w:hanging="3"/>
        <w:jc w:val="both"/>
      </w:pPr>
      <w:r>
        <w:rPr>
          <w:sz w:val="26"/>
        </w:rPr>
        <w:t>Cabe mencionar que se trabajaba con los recursos asignados por el Ministerio de Educación por medio de la dirección de informática.</w:t>
      </w:r>
    </w:p>
    <w:p w14:paraId="2DB10AB7" w14:textId="77777777" w:rsidR="00053D93" w:rsidRDefault="00260B75">
      <w:pPr>
        <w:spacing w:after="3" w:line="265" w:lineRule="auto"/>
        <w:ind w:left="60" w:right="65" w:hanging="10"/>
      </w:pPr>
      <w:r>
        <w:rPr>
          <w:sz w:val="66"/>
        </w:rPr>
        <w:t>1</w:t>
      </w:r>
    </w:p>
    <w:p w14:paraId="7BF4CE9E" w14:textId="77777777" w:rsidR="00053D93" w:rsidRDefault="00260B75">
      <w:pPr>
        <w:spacing w:after="136" w:line="269" w:lineRule="auto"/>
        <w:ind w:left="1702" w:right="14" w:hanging="3"/>
        <w:jc w:val="both"/>
      </w:pPr>
      <w:r>
        <w:rPr>
          <w:sz w:val="26"/>
        </w:rPr>
        <w:t>Nuestras funciones y roles no tenían el alcance para el tema presupuestario ni colocarlo como un tema de prioridad.</w:t>
      </w:r>
    </w:p>
    <w:p w14:paraId="79A76FD1" w14:textId="77777777" w:rsidR="00053D93" w:rsidRDefault="00260B75">
      <w:pPr>
        <w:spacing w:after="3"/>
        <w:ind w:left="24" w:hanging="10"/>
      </w:pPr>
      <w:r>
        <w:rPr>
          <w:sz w:val="72"/>
        </w:rPr>
        <w:t>1</w:t>
      </w:r>
    </w:p>
    <w:p w14:paraId="27799ED6" w14:textId="77777777" w:rsidR="00053D93" w:rsidRDefault="00260B75">
      <w:pPr>
        <w:spacing w:after="4" w:line="269" w:lineRule="auto"/>
        <w:ind w:left="1695" w:right="14" w:hanging="3"/>
        <w:jc w:val="both"/>
      </w:pPr>
      <w:r>
        <w:rPr>
          <w:sz w:val="26"/>
        </w:rPr>
        <w:t>El departamento de Redes y Telecomucaciones cuenta con fecha de 20 de agosto de 2024 con el registro de la versión del antivirus de los servidores.</w:t>
      </w:r>
    </w:p>
    <w:p w14:paraId="7FCF3F98" w14:textId="77777777" w:rsidR="00053D93" w:rsidRDefault="00260B75">
      <w:pPr>
        <w:spacing w:after="0"/>
        <w:ind w:left="9" w:right="9619" w:hanging="10"/>
      </w:pPr>
      <w:r>
        <w:rPr>
          <w:sz w:val="78"/>
        </w:rPr>
        <w:t>1</w:t>
      </w:r>
    </w:p>
    <w:p w14:paraId="4CC7B1D7" w14:textId="77777777" w:rsidR="00053D93" w:rsidRDefault="00260B75">
      <w:pPr>
        <w:spacing w:after="4" w:line="269" w:lineRule="auto"/>
        <w:ind w:left="57" w:right="14" w:firstLine="1678"/>
        <w:jc w:val="both"/>
      </w:pPr>
      <w:r>
        <w:rPr>
          <w:sz w:val="26"/>
        </w:rPr>
        <w:t>4. Tardanza en la gestión y publicación de eventos para la adquisición de 1 dispositivos de respaldo de la información. Al respecto, la asignación de presupuesto, y la concreción de [a adquisición de la cotización se encontraba más enfocada en la parte directiva. Como se mencionó antes, el Ministerio de 1 Educación no contaba con dicho servicio desde enero 2023.</w:t>
      </w:r>
    </w:p>
    <w:p w14:paraId="23FE5641" w14:textId="77777777" w:rsidR="00053D93" w:rsidRDefault="00260B75">
      <w:pPr>
        <w:spacing w:after="187" w:line="360" w:lineRule="auto"/>
        <w:ind w:left="57" w:right="14" w:firstLine="1678"/>
        <w:jc w:val="both"/>
      </w:pPr>
      <w:r>
        <w:rPr>
          <w:sz w:val="26"/>
        </w:rPr>
        <w:t>El servicio aún sigue siendo necesario, asi como, otras opciones como un sitio -1 alterno, bunker u otros que permitan garantizar la continuidad de [os servicios.</w:t>
      </w:r>
    </w:p>
    <w:tbl>
      <w:tblPr>
        <w:tblStyle w:val="TableGrid"/>
        <w:tblpPr w:vertAnchor="page" w:horzAnchor="page" w:tblpX="2776" w:tblpY="14602"/>
        <w:tblOverlap w:val="never"/>
        <w:tblW w:w="7657" w:type="dxa"/>
        <w:tblInd w:w="0" w:type="dxa"/>
        <w:tblCellMar>
          <w:top w:w="49" w:type="dxa"/>
          <w:left w:w="1782" w:type="dxa"/>
          <w:right w:w="115" w:type="dxa"/>
        </w:tblCellMar>
        <w:tblLook w:val="04A0" w:firstRow="1" w:lastRow="0" w:firstColumn="1" w:lastColumn="0" w:noHBand="0" w:noVBand="1"/>
      </w:tblPr>
      <w:tblGrid>
        <w:gridCol w:w="7657"/>
      </w:tblGrid>
      <w:tr w:rsidR="00053D93" w14:paraId="7D4BC790" w14:textId="77777777">
        <w:trPr>
          <w:trHeight w:val="55"/>
        </w:trPr>
        <w:tc>
          <w:tcPr>
            <w:tcW w:w="7657" w:type="dxa"/>
            <w:tcBorders>
              <w:top w:val="nil"/>
              <w:left w:val="single" w:sz="2" w:space="0" w:color="000000"/>
              <w:bottom w:val="single" w:sz="2" w:space="0" w:color="000000"/>
              <w:right w:val="nil"/>
            </w:tcBorders>
          </w:tcPr>
          <w:p w14:paraId="6F3FCA96" w14:textId="77777777" w:rsidR="00053D93" w:rsidRDefault="00053D93"/>
        </w:tc>
      </w:tr>
      <w:tr w:rsidR="00053D93" w14:paraId="34B4960E" w14:textId="77777777">
        <w:trPr>
          <w:trHeight w:val="579"/>
        </w:trPr>
        <w:tc>
          <w:tcPr>
            <w:tcW w:w="7657" w:type="dxa"/>
            <w:tcBorders>
              <w:top w:val="single" w:sz="2" w:space="0" w:color="000000"/>
              <w:left w:val="single" w:sz="2" w:space="0" w:color="000000"/>
              <w:bottom w:val="nil"/>
              <w:right w:val="nil"/>
            </w:tcBorders>
          </w:tcPr>
          <w:p w14:paraId="5F33CEE1" w14:textId="77777777" w:rsidR="00053D93" w:rsidRDefault="00260B75">
            <w:pPr>
              <w:ind w:left="835"/>
            </w:pPr>
            <w:r>
              <w:rPr>
                <w:sz w:val="14"/>
              </w:rPr>
              <w:t>MINISTERIO DE EDUCACION</w:t>
            </w:r>
          </w:p>
          <w:p w14:paraId="61947969" w14:textId="77777777" w:rsidR="00053D93" w:rsidRDefault="00260B75">
            <w:pPr>
              <w:ind w:left="338"/>
            </w:pPr>
            <w:r>
              <w:rPr>
                <w:sz w:val="14"/>
              </w:rPr>
              <w:t>AUDITORIA FINANCIERA Y DE CUMPLIMIENTO</w:t>
            </w:r>
          </w:p>
          <w:p w14:paraId="18028BA9" w14:textId="77777777" w:rsidR="00053D93" w:rsidRDefault="00260B75">
            <w:r>
              <w:rPr>
                <w:sz w:val="14"/>
              </w:rPr>
              <w:t>PERIODO DEL 01 OE ENERO AL 31 DE DICIEMBRE 2024</w:t>
            </w:r>
          </w:p>
        </w:tc>
      </w:tr>
    </w:tbl>
    <w:p w14:paraId="0EED71C1" w14:textId="77777777" w:rsidR="00053D93" w:rsidRDefault="00260B75">
      <w:pPr>
        <w:spacing w:after="3" w:line="273" w:lineRule="auto"/>
        <w:ind w:left="71" w:hanging="50"/>
      </w:pPr>
      <w:r>
        <w:rPr>
          <w:noProof/>
        </w:rPr>
        <w:drawing>
          <wp:anchor distT="0" distB="0" distL="114300" distR="114300" simplePos="0" relativeHeight="252213248" behindDoc="0" locked="0" layoutInCell="1" allowOverlap="0" wp14:anchorId="289CCD7F" wp14:editId="228436B6">
            <wp:simplePos x="0" y="0"/>
            <wp:positionH relativeFrom="page">
              <wp:posOffset>649224</wp:posOffset>
            </wp:positionH>
            <wp:positionV relativeFrom="page">
              <wp:posOffset>9267444</wp:posOffset>
            </wp:positionV>
            <wp:extent cx="1056132" cy="406909"/>
            <wp:effectExtent l="0" t="0" r="0" b="0"/>
            <wp:wrapTopAndBottom/>
            <wp:docPr id="1105563" name="Picture 1105563"/>
            <wp:cNvGraphicFramePr/>
            <a:graphic xmlns:a="http://schemas.openxmlformats.org/drawingml/2006/main">
              <a:graphicData uri="http://schemas.openxmlformats.org/drawingml/2006/picture">
                <pic:pic xmlns:pic="http://schemas.openxmlformats.org/drawingml/2006/picture">
                  <pic:nvPicPr>
                    <pic:cNvPr id="1105563" name="Picture 1105563"/>
                    <pic:cNvPicPr/>
                  </pic:nvPicPr>
                  <pic:blipFill>
                    <a:blip r:embed="rId1527"/>
                    <a:stretch>
                      <a:fillRect/>
                    </a:stretch>
                  </pic:blipFill>
                  <pic:spPr>
                    <a:xfrm>
                      <a:off x="0" y="0"/>
                      <a:ext cx="1056132" cy="406909"/>
                    </a:xfrm>
                    <a:prstGeom prst="rect">
                      <a:avLst/>
                    </a:prstGeom>
                  </pic:spPr>
                </pic:pic>
              </a:graphicData>
            </a:graphic>
          </wp:anchor>
        </w:drawing>
      </w:r>
      <w:r>
        <w:rPr>
          <w:sz w:val="26"/>
        </w:rPr>
        <w:t>-1</w:t>
      </w:r>
      <w:r>
        <w:rPr>
          <w:sz w:val="26"/>
        </w:rPr>
        <w:tab/>
        <w:t>Además, el proceso de adjudicación estaba sujeta a la norma de Adquisiciones del Estado, por lo se debía de culminar el proceso para proceder con la configuración y administración correspondiente de dicho recurso; una vez se adquiriera el 1</w:t>
      </w:r>
      <w:r>
        <w:rPr>
          <w:sz w:val="26"/>
        </w:rPr>
        <w:tab/>
        <w:t>mismo.</w:t>
      </w:r>
    </w:p>
    <w:p w14:paraId="4631A459" w14:textId="77777777" w:rsidR="00053D93" w:rsidRDefault="00260B75">
      <w:pPr>
        <w:spacing w:after="4" w:line="269" w:lineRule="auto"/>
        <w:ind w:left="1673" w:right="14" w:hanging="3"/>
        <w:jc w:val="both"/>
      </w:pPr>
      <w:r>
        <w:rPr>
          <w:sz w:val="26"/>
        </w:rPr>
        <w:t>5. "DES-FOR-15 Inventario de Hardware y Licencias de software de la</w:t>
      </w:r>
    </w:p>
    <w:p w14:paraId="797ABCC0" w14:textId="77777777" w:rsidR="00053D93" w:rsidRDefault="00260B75">
      <w:pPr>
        <w:spacing w:after="44"/>
        <w:ind w:left="14"/>
      </w:pPr>
      <w:r>
        <w:rPr>
          <w:noProof/>
        </w:rPr>
        <w:drawing>
          <wp:inline distT="0" distB="0" distL="0" distR="0" wp14:anchorId="4533B916" wp14:editId="6C505A14">
            <wp:extent cx="18288" cy="9144"/>
            <wp:effectExtent l="0" t="0" r="0" b="0"/>
            <wp:docPr id="1105519" name="Picture 1105519"/>
            <wp:cNvGraphicFramePr/>
            <a:graphic xmlns:a="http://schemas.openxmlformats.org/drawingml/2006/main">
              <a:graphicData uri="http://schemas.openxmlformats.org/drawingml/2006/picture">
                <pic:pic xmlns:pic="http://schemas.openxmlformats.org/drawingml/2006/picture">
                  <pic:nvPicPr>
                    <pic:cNvPr id="1105519" name="Picture 1105519"/>
                    <pic:cNvPicPr/>
                  </pic:nvPicPr>
                  <pic:blipFill>
                    <a:blip r:embed="rId655"/>
                    <a:stretch>
                      <a:fillRect/>
                    </a:stretch>
                  </pic:blipFill>
                  <pic:spPr>
                    <a:xfrm>
                      <a:off x="0" y="0"/>
                      <a:ext cx="18288" cy="9144"/>
                    </a:xfrm>
                    <a:prstGeom prst="rect">
                      <a:avLst/>
                    </a:prstGeom>
                  </pic:spPr>
                </pic:pic>
              </a:graphicData>
            </a:graphic>
          </wp:inline>
        </w:drawing>
      </w:r>
    </w:p>
    <w:p w14:paraId="74A80A75" w14:textId="77777777" w:rsidR="00053D93" w:rsidRDefault="00260B75">
      <w:pPr>
        <w:spacing w:after="112" w:line="269" w:lineRule="auto"/>
        <w:ind w:left="57" w:right="14" w:firstLine="43"/>
        <w:jc w:val="both"/>
      </w:pPr>
      <w:r>
        <w:rPr>
          <w:sz w:val="26"/>
        </w:rPr>
        <w:t xml:space="preserve">1 dependencia" ...reporte de servidores que se administraban con vmware y exs. En el que se puede visualizar la cantidad de servidores. Mismo que se obtuvo con la </w:t>
      </w:r>
      <w:r>
        <w:rPr>
          <w:noProof/>
        </w:rPr>
        <w:drawing>
          <wp:inline distT="0" distB="0" distL="0" distR="0" wp14:anchorId="619CB058" wp14:editId="5325FC34">
            <wp:extent cx="13716" cy="4572"/>
            <wp:effectExtent l="0" t="0" r="0" b="0"/>
            <wp:docPr id="1105520" name="Picture 1105520"/>
            <wp:cNvGraphicFramePr/>
            <a:graphic xmlns:a="http://schemas.openxmlformats.org/drawingml/2006/main">
              <a:graphicData uri="http://schemas.openxmlformats.org/drawingml/2006/picture">
                <pic:pic xmlns:pic="http://schemas.openxmlformats.org/drawingml/2006/picture">
                  <pic:nvPicPr>
                    <pic:cNvPr id="1105520" name="Picture 1105520"/>
                    <pic:cNvPicPr/>
                  </pic:nvPicPr>
                  <pic:blipFill>
                    <a:blip r:embed="rId114"/>
                    <a:stretch>
                      <a:fillRect/>
                    </a:stretch>
                  </pic:blipFill>
                  <pic:spPr>
                    <a:xfrm>
                      <a:off x="0" y="0"/>
                      <a:ext cx="13716" cy="4572"/>
                    </a:xfrm>
                    <a:prstGeom prst="rect">
                      <a:avLst/>
                    </a:prstGeom>
                  </pic:spPr>
                </pic:pic>
              </a:graphicData>
            </a:graphic>
          </wp:inline>
        </w:drawing>
      </w:r>
      <w:r>
        <w:rPr>
          <w:sz w:val="26"/>
        </w:rPr>
        <w:t>1 empresa QUATRO para determinar ta actualización de la plataforma vmware.</w:t>
      </w:r>
    </w:p>
    <w:p w14:paraId="6DA61C51" w14:textId="77777777" w:rsidR="00053D93" w:rsidRDefault="00260B75">
      <w:pPr>
        <w:spacing w:after="288" w:line="269" w:lineRule="auto"/>
        <w:ind w:left="57" w:right="14" w:firstLine="1656"/>
        <w:jc w:val="both"/>
      </w:pPr>
      <w:r>
        <w:rPr>
          <w:sz w:val="26"/>
        </w:rPr>
        <w:t>6. Manual de Procedimientos técnico DES-MAN-OI corresponde al departamento -1 de Redes y Telecomunicaciones.</w:t>
      </w:r>
    </w:p>
    <w:p w14:paraId="18994C55" w14:textId="77777777" w:rsidR="00053D93" w:rsidRDefault="00260B75">
      <w:pPr>
        <w:spacing w:after="355" w:line="269" w:lineRule="auto"/>
        <w:ind w:left="1666" w:right="14" w:hanging="3"/>
        <w:jc w:val="both"/>
      </w:pPr>
      <w:r>
        <w:rPr>
          <w:sz w:val="26"/>
        </w:rPr>
        <w:t>Conclusión:</w:t>
      </w:r>
    </w:p>
    <w:p w14:paraId="4C122AED" w14:textId="77777777" w:rsidR="00053D93" w:rsidRDefault="00260B75">
      <w:pPr>
        <w:spacing w:after="211" w:line="269" w:lineRule="auto"/>
        <w:ind w:left="60" w:right="14" w:hanging="3"/>
        <w:jc w:val="both"/>
      </w:pPr>
      <w:r>
        <w:rPr>
          <w:sz w:val="26"/>
        </w:rPr>
        <w:t>1 El departamento de infraestructura y servicio críticos opera con poco personal, además no figura dentro del organigrama oficial de la Dirección de Informática, por 1 lo que se debe hacer una reestruccturación y asignarle los especialistas para administrar, el centro de datos físico, la planta eléctrica, mantener actualizado los servidores con las distintas aplicaciones (antivirus, vmware, Windows, Linux,</w:t>
      </w:r>
    </w:p>
    <w:p w14:paraId="70059BF6" w14:textId="77777777" w:rsidR="00053D93" w:rsidRDefault="00260B75">
      <w:pPr>
        <w:spacing w:after="530" w:line="319" w:lineRule="auto"/>
        <w:ind w:left="1627" w:right="14" w:hanging="1570"/>
        <w:jc w:val="both"/>
      </w:pPr>
      <w:r>
        <w:rPr>
          <w:sz w:val="26"/>
        </w:rPr>
        <w:t>1 certicados SSL/TLS, herramientas de monitoreo), y en el mejor de los casos hacer mejoras a los manuales de manera permanente.</w:t>
      </w:r>
    </w:p>
    <w:p w14:paraId="223D32B7" w14:textId="77777777" w:rsidR="00053D93" w:rsidRDefault="00260B75">
      <w:pPr>
        <w:tabs>
          <w:tab w:val="right" w:pos="10174"/>
        </w:tabs>
        <w:spacing w:after="4" w:line="269" w:lineRule="auto"/>
      </w:pPr>
      <w:r>
        <w:rPr>
          <w:sz w:val="26"/>
        </w:rPr>
        <w:t>1</w:t>
      </w:r>
      <w:r>
        <w:rPr>
          <w:sz w:val="26"/>
        </w:rPr>
        <w:tab/>
        <w:t>Es necesario que el servicio de backup y otros sean planteado y agregados en el</w:t>
      </w:r>
    </w:p>
    <w:p w14:paraId="20CF642F" w14:textId="77777777" w:rsidR="00053D93" w:rsidRDefault="00260B75">
      <w:pPr>
        <w:spacing w:after="4" w:line="269" w:lineRule="auto"/>
        <w:ind w:left="1652" w:right="14" w:hanging="3"/>
        <w:jc w:val="both"/>
      </w:pPr>
      <w:r>
        <w:rPr>
          <w:sz w:val="26"/>
        </w:rPr>
        <w:t>Plan Operativo Anual y su asignación financiera.</w:t>
      </w:r>
    </w:p>
    <w:p w14:paraId="4F432069" w14:textId="77777777" w:rsidR="00053D93" w:rsidRDefault="00260B75">
      <w:pPr>
        <w:tabs>
          <w:tab w:val="right" w:pos="10174"/>
        </w:tabs>
        <w:spacing w:after="132" w:line="250" w:lineRule="auto"/>
      </w:pPr>
      <w:r>
        <w:rPr>
          <w:sz w:val="26"/>
        </w:rPr>
        <w:t>1</w:t>
      </w:r>
      <w:r>
        <w:rPr>
          <w:sz w:val="26"/>
        </w:rPr>
        <w:tab/>
        <w:t>También es importante fortalecer el departamento de redes y telecomunicaciones.</w:t>
      </w:r>
    </w:p>
    <w:p w14:paraId="5D3F44F8" w14:textId="77777777" w:rsidR="00053D93" w:rsidRDefault="00260B75">
      <w:pPr>
        <w:spacing w:after="51" w:line="250" w:lineRule="auto"/>
        <w:ind w:left="31" w:right="14" w:hanging="3"/>
        <w:jc w:val="both"/>
      </w:pPr>
      <w:r>
        <w:rPr>
          <w:sz w:val="26"/>
        </w:rPr>
        <w:t>1 En memorial del 10 de abril de 2025, el ingeniero Carlos Amilcar Tezo Palencia, Administrador de Base de Datos, manifiesta: "en mi calidad de Administrador de Base de Datos del área de Infraestructura y Servicios Crfticos, se realizaban las 1 tareas de respaldo y resguardo de información de base de datos.</w:t>
      </w:r>
    </w:p>
    <w:p w14:paraId="5F45BC5A" w14:textId="77777777" w:rsidR="00053D93" w:rsidRDefault="00260B75">
      <w:pPr>
        <w:pStyle w:val="Ttulo4"/>
        <w:spacing w:after="254" w:line="259" w:lineRule="auto"/>
        <w:ind w:left="1691" w:firstLine="4"/>
        <w:jc w:val="left"/>
      </w:pPr>
      <w:r>
        <w:t>1 PLAN DE RECUPERACIÓN ANTE DESASTRES</w:t>
      </w:r>
    </w:p>
    <w:p w14:paraId="1157B5DE" w14:textId="77777777" w:rsidR="00053D93" w:rsidRDefault="00260B75">
      <w:pPr>
        <w:spacing w:after="12" w:line="250" w:lineRule="auto"/>
        <w:ind w:left="31" w:right="14" w:hanging="3"/>
        <w:jc w:val="both"/>
      </w:pPr>
      <w:r>
        <w:rPr>
          <w:sz w:val="26"/>
        </w:rPr>
        <w:t xml:space="preserve">1 Con documento PLAN DE RECUPERACIÓN ANTE DESASTRES de [a Dirección de informática, Ministerio de Educación vigente desde diciembre 2023, se </w:t>
      </w:r>
      <w:r>
        <w:rPr>
          <w:noProof/>
        </w:rPr>
        <w:drawing>
          <wp:inline distT="0" distB="0" distL="0" distR="0" wp14:anchorId="734947BB" wp14:editId="5D51BFE7">
            <wp:extent cx="4572" cy="18288"/>
            <wp:effectExtent l="0" t="0" r="0" b="0"/>
            <wp:docPr id="1108580" name="Picture 1108580"/>
            <wp:cNvGraphicFramePr/>
            <a:graphic xmlns:a="http://schemas.openxmlformats.org/drawingml/2006/main">
              <a:graphicData uri="http://schemas.openxmlformats.org/drawingml/2006/picture">
                <pic:pic xmlns:pic="http://schemas.openxmlformats.org/drawingml/2006/picture">
                  <pic:nvPicPr>
                    <pic:cNvPr id="1108580" name="Picture 1108580"/>
                    <pic:cNvPicPr/>
                  </pic:nvPicPr>
                  <pic:blipFill>
                    <a:blip r:embed="rId1528"/>
                    <a:stretch>
                      <a:fillRect/>
                    </a:stretch>
                  </pic:blipFill>
                  <pic:spPr>
                    <a:xfrm>
                      <a:off x="0" y="0"/>
                      <a:ext cx="4572" cy="18288"/>
                    </a:xfrm>
                    <a:prstGeom prst="rect">
                      <a:avLst/>
                    </a:prstGeom>
                  </pic:spPr>
                </pic:pic>
              </a:graphicData>
            </a:graphic>
          </wp:inline>
        </w:drawing>
      </w:r>
      <w:r>
        <w:rPr>
          <w:sz w:val="26"/>
        </w:rPr>
        <w:t>1 evidencia que como administrador de base de datos se estipula un mecanismo de</w:t>
      </w:r>
    </w:p>
    <w:p w14:paraId="6CE8D213" w14:textId="77777777" w:rsidR="00053D93" w:rsidRDefault="00260B75">
      <w:pPr>
        <w:spacing w:after="575" w:line="250" w:lineRule="auto"/>
        <w:ind w:left="1688" w:right="14" w:hanging="3"/>
        <w:jc w:val="both"/>
      </w:pPr>
      <w:r>
        <w:rPr>
          <w:sz w:val="26"/>
        </w:rPr>
        <w:t>Respaldo de las bases de datos de MINEDUC el cual se describe. Específicamente en los puntos siguientes:</w:t>
      </w:r>
    </w:p>
    <w:p w14:paraId="3AD0073B" w14:textId="77777777" w:rsidR="00053D93" w:rsidRDefault="00260B75">
      <w:pPr>
        <w:numPr>
          <w:ilvl w:val="0"/>
          <w:numId w:val="17"/>
        </w:numPr>
        <w:spacing w:after="12" w:line="250" w:lineRule="auto"/>
        <w:ind w:right="14" w:hanging="317"/>
        <w:jc w:val="both"/>
      </w:pPr>
      <w:r>
        <w:rPr>
          <w:sz w:val="26"/>
        </w:rPr>
        <w:t>Procedimiento para realizar los respaldos de la base datos Oracle</w:t>
      </w:r>
    </w:p>
    <w:p w14:paraId="59B244AA" w14:textId="77777777" w:rsidR="00053D93" w:rsidRDefault="00260B75">
      <w:pPr>
        <w:tabs>
          <w:tab w:val="center" w:pos="2819"/>
        </w:tabs>
        <w:spacing w:after="12" w:line="250" w:lineRule="auto"/>
      </w:pPr>
      <w:r>
        <w:rPr>
          <w:noProof/>
        </w:rPr>
        <mc:AlternateContent>
          <mc:Choice Requires="wpg">
            <w:drawing>
              <wp:inline distT="0" distB="0" distL="0" distR="0" wp14:anchorId="243BDB35" wp14:editId="27555560">
                <wp:extent cx="109728" cy="288036"/>
                <wp:effectExtent l="0" t="0" r="0" b="0"/>
                <wp:docPr id="2457266" name="Group 2457266"/>
                <wp:cNvGraphicFramePr/>
                <a:graphic xmlns:a="http://schemas.openxmlformats.org/drawingml/2006/main">
                  <a:graphicData uri="http://schemas.microsoft.com/office/word/2010/wordprocessingGroup">
                    <wpg:wgp>
                      <wpg:cNvGrpSpPr/>
                      <wpg:grpSpPr>
                        <a:xfrm>
                          <a:off x="0" y="0"/>
                          <a:ext cx="109728" cy="288036"/>
                          <a:chOff x="0" y="0"/>
                          <a:chExt cx="109728" cy="288036"/>
                        </a:xfrm>
                      </wpg:grpSpPr>
                      <wps:wsp>
                        <wps:cNvPr id="1106184" name="Rectangle 1106184"/>
                        <wps:cNvSpPr/>
                        <wps:spPr>
                          <a:xfrm>
                            <a:off x="0" y="0"/>
                            <a:ext cx="145938" cy="383088"/>
                          </a:xfrm>
                          <a:prstGeom prst="rect">
                            <a:avLst/>
                          </a:prstGeom>
                          <a:ln>
                            <a:noFill/>
                          </a:ln>
                        </wps:spPr>
                        <wps:txbx>
                          <w:txbxContent>
                            <w:p w14:paraId="6327D402"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243BDB35" id="Group 2457266" o:spid="_x0000_s1622" style="width:8.65pt;height:22.7pt;mso-position-horizontal-relative:char;mso-position-vertical-relative:line" coordsize="10972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">
                <v:rect id="Rectangle 1106184" o:spid="_x0000_s1623" style="position:absolute;width:145938;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" filled="f" stroked="f">
                  <v:textbox inset="0,0,0,0">
                    <w:txbxContent>
                      <w:p w14:paraId="6327D402" w14:textId="77777777" w:rsidR="00053D93" w:rsidRDefault="00260B75">
                        <w:r>
                          <w:rPr>
                            <w:sz w:val="66"/>
                          </w:rPr>
                          <w:t>1</w:t>
                        </w:r>
                      </w:p>
                    </w:txbxContent>
                  </v:textbox>
                </v:rect>
                <w10:anchorlock/>
              </v:group>
            </w:pict>
          </mc:Fallback>
        </mc:AlternateContent>
      </w:r>
      <w:r>
        <w:rPr>
          <w:sz w:val="26"/>
        </w:rPr>
        <w:tab/>
        <w:t>Producción</w:t>
      </w:r>
    </w:p>
    <w:p w14:paraId="27010C9E" w14:textId="77777777" w:rsidR="00053D93" w:rsidRDefault="00260B75">
      <w:pPr>
        <w:numPr>
          <w:ilvl w:val="0"/>
          <w:numId w:val="17"/>
        </w:numPr>
        <w:spacing w:after="12" w:line="250" w:lineRule="auto"/>
        <w:ind w:right="14" w:hanging="317"/>
        <w:jc w:val="both"/>
      </w:pPr>
      <w:r>
        <w:rPr>
          <w:sz w:val="26"/>
        </w:rPr>
        <w:t>Procedimiento para los respaldos de la base de datos SQL Server</w:t>
      </w:r>
    </w:p>
    <w:p w14:paraId="6E4DE196" w14:textId="77777777" w:rsidR="00053D93" w:rsidRDefault="00260B75">
      <w:pPr>
        <w:spacing w:after="199" w:line="256" w:lineRule="auto"/>
        <w:ind w:left="14" w:firstLine="2203"/>
      </w:pPr>
      <w:r>
        <w:rPr>
          <w:sz w:val="26"/>
        </w:rPr>
        <w:t>Producción 1</w:t>
      </w:r>
      <w:r>
        <w:rPr>
          <w:sz w:val="26"/>
        </w:rPr>
        <w:tab/>
      </w:r>
      <w:r>
        <w:rPr>
          <w:noProof/>
        </w:rPr>
        <w:drawing>
          <wp:inline distT="0" distB="0" distL="0" distR="0" wp14:anchorId="0FB9048B" wp14:editId="47EFF29B">
            <wp:extent cx="59436" cy="64008"/>
            <wp:effectExtent l="0" t="0" r="0" b="0"/>
            <wp:docPr id="1108583" name="Picture 1108583"/>
            <wp:cNvGraphicFramePr/>
            <a:graphic xmlns:a="http://schemas.openxmlformats.org/drawingml/2006/main">
              <a:graphicData uri="http://schemas.openxmlformats.org/drawingml/2006/picture">
                <pic:pic xmlns:pic="http://schemas.openxmlformats.org/drawingml/2006/picture">
                  <pic:nvPicPr>
                    <pic:cNvPr id="1108583" name="Picture 1108583"/>
                    <pic:cNvPicPr/>
                  </pic:nvPicPr>
                  <pic:blipFill>
                    <a:blip r:embed="rId1529"/>
                    <a:stretch>
                      <a:fillRect/>
                    </a:stretch>
                  </pic:blipFill>
                  <pic:spPr>
                    <a:xfrm>
                      <a:off x="0" y="0"/>
                      <a:ext cx="59436" cy="64008"/>
                    </a:xfrm>
                    <a:prstGeom prst="rect">
                      <a:avLst/>
                    </a:prstGeom>
                  </pic:spPr>
                </pic:pic>
              </a:graphicData>
            </a:graphic>
          </wp:inline>
        </w:drawing>
      </w:r>
      <w:r>
        <w:rPr>
          <w:sz w:val="26"/>
        </w:rPr>
        <w:t xml:space="preserve"> Procedimiento para realizar respaldo de la base de datos MariaBD producción</w:t>
      </w:r>
    </w:p>
    <w:tbl>
      <w:tblPr>
        <w:tblStyle w:val="TableGrid"/>
        <w:tblpPr w:vertAnchor="page" w:horzAnchor="page" w:tblpX="2826" w:tblpY="14566"/>
        <w:tblOverlap w:val="never"/>
        <w:tblW w:w="7664" w:type="dxa"/>
        <w:tblInd w:w="0" w:type="dxa"/>
        <w:tblCellMar>
          <w:top w:w="29" w:type="dxa"/>
          <w:left w:w="1782" w:type="dxa"/>
          <w:right w:w="115" w:type="dxa"/>
        </w:tblCellMar>
        <w:tblLook w:val="04A0" w:firstRow="1" w:lastRow="0" w:firstColumn="1" w:lastColumn="0" w:noHBand="0" w:noVBand="1"/>
      </w:tblPr>
      <w:tblGrid>
        <w:gridCol w:w="7664"/>
      </w:tblGrid>
      <w:tr w:rsidR="00053D93" w14:paraId="3335E72D" w14:textId="77777777">
        <w:trPr>
          <w:trHeight w:val="36"/>
        </w:trPr>
        <w:tc>
          <w:tcPr>
            <w:tcW w:w="7664" w:type="dxa"/>
            <w:tcBorders>
              <w:top w:val="nil"/>
              <w:left w:val="single" w:sz="2" w:space="0" w:color="000000"/>
              <w:bottom w:val="single" w:sz="2" w:space="0" w:color="000000"/>
              <w:right w:val="nil"/>
            </w:tcBorders>
          </w:tcPr>
          <w:p w14:paraId="3CD42FAD" w14:textId="77777777" w:rsidR="00053D93" w:rsidRDefault="00053D93"/>
        </w:tc>
      </w:tr>
      <w:tr w:rsidR="00053D93" w14:paraId="50F845CE" w14:textId="77777777">
        <w:trPr>
          <w:trHeight w:val="612"/>
        </w:trPr>
        <w:tc>
          <w:tcPr>
            <w:tcW w:w="7664" w:type="dxa"/>
            <w:tcBorders>
              <w:top w:val="single" w:sz="2" w:space="0" w:color="000000"/>
              <w:left w:val="single" w:sz="2" w:space="0" w:color="000000"/>
              <w:bottom w:val="nil"/>
              <w:right w:val="nil"/>
            </w:tcBorders>
          </w:tcPr>
          <w:p w14:paraId="35F26F55" w14:textId="77777777" w:rsidR="00053D93" w:rsidRDefault="00260B75">
            <w:pPr>
              <w:ind w:left="835"/>
            </w:pPr>
            <w:r>
              <w:rPr>
                <w:sz w:val="14"/>
              </w:rPr>
              <w:t>MINISTERIO DE EDUCACION</w:t>
            </w:r>
          </w:p>
          <w:p w14:paraId="30A5DC62" w14:textId="77777777" w:rsidR="00053D93" w:rsidRDefault="00260B75">
            <w:pPr>
              <w:ind w:left="338"/>
            </w:pPr>
            <w:r>
              <w:rPr>
                <w:sz w:val="14"/>
              </w:rPr>
              <w:t>AUDITORIA FINANCIERA Y DE CUMPLIMIENTO</w:t>
            </w:r>
          </w:p>
          <w:p w14:paraId="66046089" w14:textId="77777777" w:rsidR="00053D93" w:rsidRDefault="00260B75">
            <w:r>
              <w:rPr>
                <w:sz w:val="14"/>
              </w:rPr>
              <w:t>PERIODO DEL 01 DE ENERO AL 31 OE DICIEMBRE OE 2024</w:t>
            </w:r>
          </w:p>
        </w:tc>
      </w:tr>
    </w:tbl>
    <w:p w14:paraId="5F9AC81A" w14:textId="77777777" w:rsidR="00053D93" w:rsidRDefault="00260B75">
      <w:pPr>
        <w:spacing w:after="0"/>
        <w:ind w:left="38" w:right="22" w:hanging="10"/>
      </w:pPr>
      <w:r>
        <w:rPr>
          <w:noProof/>
        </w:rPr>
        <w:drawing>
          <wp:anchor distT="0" distB="0" distL="114300" distR="114300" simplePos="0" relativeHeight="252214272" behindDoc="0" locked="0" layoutInCell="1" allowOverlap="0" wp14:anchorId="5B3B014B" wp14:editId="01AD840D">
            <wp:simplePos x="0" y="0"/>
            <wp:positionH relativeFrom="page">
              <wp:posOffset>672084</wp:posOffset>
            </wp:positionH>
            <wp:positionV relativeFrom="page">
              <wp:posOffset>9249156</wp:posOffset>
            </wp:positionV>
            <wp:extent cx="1069848" cy="411480"/>
            <wp:effectExtent l="0" t="0" r="0" b="0"/>
            <wp:wrapTopAndBottom/>
            <wp:docPr id="1108646" name="Picture 1108646"/>
            <wp:cNvGraphicFramePr/>
            <a:graphic xmlns:a="http://schemas.openxmlformats.org/drawingml/2006/main">
              <a:graphicData uri="http://schemas.openxmlformats.org/drawingml/2006/picture">
                <pic:pic xmlns:pic="http://schemas.openxmlformats.org/drawingml/2006/picture">
                  <pic:nvPicPr>
                    <pic:cNvPr id="1108646" name="Picture 1108646"/>
                    <pic:cNvPicPr/>
                  </pic:nvPicPr>
                  <pic:blipFill>
                    <a:blip r:embed="rId1530"/>
                    <a:stretch>
                      <a:fillRect/>
                    </a:stretch>
                  </pic:blipFill>
                  <pic:spPr>
                    <a:xfrm>
                      <a:off x="0" y="0"/>
                      <a:ext cx="1069848" cy="411480"/>
                    </a:xfrm>
                    <a:prstGeom prst="rect">
                      <a:avLst/>
                    </a:prstGeom>
                  </pic:spPr>
                </pic:pic>
              </a:graphicData>
            </a:graphic>
          </wp:anchor>
        </w:drawing>
      </w:r>
      <w:r>
        <w:rPr>
          <w:noProof/>
        </w:rPr>
        <w:drawing>
          <wp:anchor distT="0" distB="0" distL="114300" distR="114300" simplePos="0" relativeHeight="252215296" behindDoc="0" locked="0" layoutInCell="1" allowOverlap="0" wp14:anchorId="78AF861D" wp14:editId="00B90ADD">
            <wp:simplePos x="0" y="0"/>
            <wp:positionH relativeFrom="page">
              <wp:posOffset>141732</wp:posOffset>
            </wp:positionH>
            <wp:positionV relativeFrom="page">
              <wp:posOffset>859536</wp:posOffset>
            </wp:positionV>
            <wp:extent cx="27432" cy="13716"/>
            <wp:effectExtent l="0" t="0" r="0" b="0"/>
            <wp:wrapTopAndBottom/>
            <wp:docPr id="1108647" name="Picture 1108647"/>
            <wp:cNvGraphicFramePr/>
            <a:graphic xmlns:a="http://schemas.openxmlformats.org/drawingml/2006/main">
              <a:graphicData uri="http://schemas.openxmlformats.org/drawingml/2006/picture">
                <pic:pic xmlns:pic="http://schemas.openxmlformats.org/drawingml/2006/picture">
                  <pic:nvPicPr>
                    <pic:cNvPr id="1108647" name="Picture 1108647"/>
                    <pic:cNvPicPr/>
                  </pic:nvPicPr>
                  <pic:blipFill>
                    <a:blip r:embed="rId1531"/>
                    <a:stretch>
                      <a:fillRect/>
                    </a:stretch>
                  </pic:blipFill>
                  <pic:spPr>
                    <a:xfrm>
                      <a:off x="0" y="0"/>
                      <a:ext cx="27432" cy="13716"/>
                    </a:xfrm>
                    <a:prstGeom prst="rect">
                      <a:avLst/>
                    </a:prstGeom>
                  </pic:spPr>
                </pic:pic>
              </a:graphicData>
            </a:graphic>
          </wp:anchor>
        </w:drawing>
      </w:r>
      <w:r>
        <w:rPr>
          <w:noProof/>
        </w:rPr>
        <w:drawing>
          <wp:inline distT="0" distB="0" distL="0" distR="0" wp14:anchorId="55E2824C" wp14:editId="6DAD786C">
            <wp:extent cx="4572" cy="9144"/>
            <wp:effectExtent l="0" t="0" r="0" b="0"/>
            <wp:docPr id="1108584" name="Picture 1108584"/>
            <wp:cNvGraphicFramePr/>
            <a:graphic xmlns:a="http://schemas.openxmlformats.org/drawingml/2006/main">
              <a:graphicData uri="http://schemas.openxmlformats.org/drawingml/2006/picture">
                <pic:pic xmlns:pic="http://schemas.openxmlformats.org/drawingml/2006/picture">
                  <pic:nvPicPr>
                    <pic:cNvPr id="1108584" name="Picture 1108584"/>
                    <pic:cNvPicPr/>
                  </pic:nvPicPr>
                  <pic:blipFill>
                    <a:blip r:embed="rId1532"/>
                    <a:stretch>
                      <a:fillRect/>
                    </a:stretch>
                  </pic:blipFill>
                  <pic:spPr>
                    <a:xfrm>
                      <a:off x="0" y="0"/>
                      <a:ext cx="4572" cy="9144"/>
                    </a:xfrm>
                    <a:prstGeom prst="rect">
                      <a:avLst/>
                    </a:prstGeom>
                  </pic:spPr>
                </pic:pic>
              </a:graphicData>
            </a:graphic>
          </wp:inline>
        </w:drawing>
      </w:r>
      <w:r>
        <w:rPr>
          <w:sz w:val="70"/>
        </w:rPr>
        <w:t>1</w:t>
      </w:r>
    </w:p>
    <w:p w14:paraId="4FFB663C" w14:textId="77777777" w:rsidR="00053D93" w:rsidRDefault="00260B75">
      <w:pPr>
        <w:spacing w:after="52" w:line="250" w:lineRule="auto"/>
        <w:ind w:left="28" w:right="14" w:firstLine="1613"/>
        <w:jc w:val="both"/>
      </w:pPr>
      <w:r>
        <w:rPr>
          <w:sz w:val="26"/>
        </w:rPr>
        <w:t>Los cuales se evidencia una estrategia de respaldos y retención de base de datos 1 propuesta por mi persona la cual fue revisada y aprobada por el director de la dirección de informática.</w:t>
      </w:r>
    </w:p>
    <w:p w14:paraId="7A8DEF00" w14:textId="77777777" w:rsidR="00053D93" w:rsidRDefault="00260B75">
      <w:pPr>
        <w:spacing w:after="19"/>
        <w:ind w:left="43"/>
      </w:pPr>
      <w:r>
        <w:rPr>
          <w:noProof/>
        </w:rPr>
        <w:drawing>
          <wp:inline distT="0" distB="0" distL="0" distR="0" wp14:anchorId="32F1B23C" wp14:editId="7D4F69F5">
            <wp:extent cx="9144" cy="9144"/>
            <wp:effectExtent l="0" t="0" r="0" b="0"/>
            <wp:docPr id="1108585" name="Picture 1108585"/>
            <wp:cNvGraphicFramePr/>
            <a:graphic xmlns:a="http://schemas.openxmlformats.org/drawingml/2006/main">
              <a:graphicData uri="http://schemas.openxmlformats.org/drawingml/2006/picture">
                <pic:pic xmlns:pic="http://schemas.openxmlformats.org/drawingml/2006/picture">
                  <pic:nvPicPr>
                    <pic:cNvPr id="1108585" name="Picture 1108585"/>
                    <pic:cNvPicPr/>
                  </pic:nvPicPr>
                  <pic:blipFill>
                    <a:blip r:embed="rId1533"/>
                    <a:stretch>
                      <a:fillRect/>
                    </a:stretch>
                  </pic:blipFill>
                  <pic:spPr>
                    <a:xfrm>
                      <a:off x="0" y="0"/>
                      <a:ext cx="9144" cy="9144"/>
                    </a:xfrm>
                    <a:prstGeom prst="rect">
                      <a:avLst/>
                    </a:prstGeom>
                  </pic:spPr>
                </pic:pic>
              </a:graphicData>
            </a:graphic>
          </wp:inline>
        </w:drawing>
      </w:r>
    </w:p>
    <w:p w14:paraId="3216BFB9" w14:textId="77777777" w:rsidR="00053D93" w:rsidRDefault="00260B75">
      <w:pPr>
        <w:tabs>
          <w:tab w:val="center" w:pos="4572"/>
        </w:tabs>
        <w:spacing w:after="0" w:line="263" w:lineRule="auto"/>
      </w:pPr>
      <w:r>
        <w:rPr>
          <w:sz w:val="24"/>
        </w:rPr>
        <w:t>1</w:t>
      </w:r>
      <w:r>
        <w:rPr>
          <w:sz w:val="24"/>
        </w:rPr>
        <w:tab/>
        <w:t>2 Incidente informático ocurrido el 21 de agosto de 2024</w:t>
      </w:r>
    </w:p>
    <w:p w14:paraId="2DC5E543" w14:textId="77777777" w:rsidR="00053D93" w:rsidRDefault="00260B75">
      <w:pPr>
        <w:spacing w:after="5"/>
        <w:ind w:left="24" w:right="35" w:hanging="10"/>
        <w:jc w:val="right"/>
      </w:pPr>
      <w:r>
        <w:rPr>
          <w:sz w:val="26"/>
        </w:rPr>
        <w:t>El presente hallazgo informa que según Oficio DINFO 170-2025 se confirma</w:t>
      </w:r>
    </w:p>
    <w:p w14:paraId="1BF91901" w14:textId="77777777" w:rsidR="00053D93" w:rsidRDefault="00260B75">
      <w:pPr>
        <w:spacing w:after="12" w:line="465" w:lineRule="auto"/>
        <w:ind w:left="1626" w:right="14" w:hanging="1598"/>
        <w:jc w:val="both"/>
      </w:pPr>
      <w:r>
        <w:rPr>
          <w:noProof/>
        </w:rPr>
        <w:drawing>
          <wp:anchor distT="0" distB="0" distL="114300" distR="114300" simplePos="0" relativeHeight="252216320" behindDoc="0" locked="0" layoutInCell="1" allowOverlap="0" wp14:anchorId="6AA0C4C0" wp14:editId="34A8F78E">
            <wp:simplePos x="0" y="0"/>
            <wp:positionH relativeFrom="column">
              <wp:posOffset>6396228</wp:posOffset>
            </wp:positionH>
            <wp:positionV relativeFrom="paragraph">
              <wp:posOffset>191303</wp:posOffset>
            </wp:positionV>
            <wp:extent cx="36576" cy="45720"/>
            <wp:effectExtent l="0" t="0" r="0" b="0"/>
            <wp:wrapSquare wrapText="bothSides"/>
            <wp:docPr id="2458848" name="Picture 2458848"/>
            <wp:cNvGraphicFramePr/>
            <a:graphic xmlns:a="http://schemas.openxmlformats.org/drawingml/2006/main">
              <a:graphicData uri="http://schemas.openxmlformats.org/drawingml/2006/picture">
                <pic:pic xmlns:pic="http://schemas.openxmlformats.org/drawingml/2006/picture">
                  <pic:nvPicPr>
                    <pic:cNvPr id="2458848" name="Picture 2458848"/>
                    <pic:cNvPicPr/>
                  </pic:nvPicPr>
                  <pic:blipFill>
                    <a:blip r:embed="rId1534"/>
                    <a:stretch>
                      <a:fillRect/>
                    </a:stretch>
                  </pic:blipFill>
                  <pic:spPr>
                    <a:xfrm>
                      <a:off x="0" y="0"/>
                      <a:ext cx="36576" cy="45720"/>
                    </a:xfrm>
                    <a:prstGeom prst="rect">
                      <a:avLst/>
                    </a:prstGeom>
                  </pic:spPr>
                </pic:pic>
              </a:graphicData>
            </a:graphic>
          </wp:anchor>
        </w:drawing>
      </w:r>
      <w:r>
        <w:rPr>
          <w:sz w:val="26"/>
        </w:rPr>
        <w:t>1 "Incidente informático ocurrido el 21 de agosto de 2024, resultó en la perdida de datos de varios sistemas y plataformas utilizadas por el Ministerio de Educación.</w:t>
      </w:r>
    </w:p>
    <w:p w14:paraId="3E40F0CA" w14:textId="77777777" w:rsidR="00053D93" w:rsidRDefault="00260B75">
      <w:pPr>
        <w:spacing w:after="12" w:line="250" w:lineRule="auto"/>
        <w:ind w:left="28" w:right="14" w:firstLine="1634"/>
        <w:jc w:val="both"/>
      </w:pPr>
      <w:r>
        <w:rPr>
          <w:sz w:val="26"/>
        </w:rPr>
        <w:t xml:space="preserve">Por lo que el documento PLAN DE RECUPERACIÓN ANTE DESASTRES era el </w:t>
      </w:r>
      <w:r>
        <w:rPr>
          <w:noProof/>
        </w:rPr>
        <w:drawing>
          <wp:inline distT="0" distB="0" distL="0" distR="0" wp14:anchorId="512DDB73" wp14:editId="6748B4F3">
            <wp:extent cx="13716" cy="9144"/>
            <wp:effectExtent l="0" t="0" r="0" b="0"/>
            <wp:docPr id="1108588" name="Picture 1108588"/>
            <wp:cNvGraphicFramePr/>
            <a:graphic xmlns:a="http://schemas.openxmlformats.org/drawingml/2006/main">
              <a:graphicData uri="http://schemas.openxmlformats.org/drawingml/2006/picture">
                <pic:pic xmlns:pic="http://schemas.openxmlformats.org/drawingml/2006/picture">
                  <pic:nvPicPr>
                    <pic:cNvPr id="1108588" name="Picture 1108588"/>
                    <pic:cNvPicPr/>
                  </pic:nvPicPr>
                  <pic:blipFill>
                    <a:blip r:embed="rId1535"/>
                    <a:stretch>
                      <a:fillRect/>
                    </a:stretch>
                  </pic:blipFill>
                  <pic:spPr>
                    <a:xfrm>
                      <a:off x="0" y="0"/>
                      <a:ext cx="13716" cy="9144"/>
                    </a:xfrm>
                    <a:prstGeom prst="rect">
                      <a:avLst/>
                    </a:prstGeom>
                  </pic:spPr>
                </pic:pic>
              </a:graphicData>
            </a:graphic>
          </wp:inline>
        </w:drawing>
      </w:r>
      <w:r>
        <w:rPr>
          <w:sz w:val="26"/>
        </w:rPr>
        <w:t>1 vigente actual y aprobado en ese momento por Director de DINFO, por lo que en mi calidad del cargo de Administrador de base de datos si existían estrategia de respaldos y retención de base de datos.</w:t>
      </w:r>
    </w:p>
    <w:p w14:paraId="5C623C6A" w14:textId="77777777" w:rsidR="00053D93" w:rsidRDefault="00260B75">
      <w:pPr>
        <w:spacing w:after="3"/>
        <w:ind w:left="125" w:hanging="10"/>
      </w:pPr>
      <w:r>
        <w:rPr>
          <w:sz w:val="66"/>
        </w:rPr>
        <w:t>1</w:t>
      </w:r>
    </w:p>
    <w:p w14:paraId="3FB48FD7" w14:textId="77777777" w:rsidR="00053D93" w:rsidRDefault="00260B75">
      <w:pPr>
        <w:spacing w:after="607" w:line="250" w:lineRule="auto"/>
        <w:ind w:left="1688" w:right="14" w:hanging="3"/>
        <w:jc w:val="both"/>
      </w:pPr>
      <w:r>
        <w:rPr>
          <w:sz w:val="26"/>
        </w:rPr>
        <w:t>3 Gestión del Incidente informático ocurrido el 21 de agosto de 2024</w:t>
      </w:r>
    </w:p>
    <w:p w14:paraId="0CFF0313" w14:textId="77777777" w:rsidR="00053D93" w:rsidRDefault="00260B75">
      <w:pPr>
        <w:spacing w:after="12" w:line="250" w:lineRule="auto"/>
        <w:ind w:left="111" w:right="14" w:hanging="3"/>
        <w:jc w:val="both"/>
      </w:pPr>
      <w:r>
        <w:rPr>
          <w:sz w:val="26"/>
        </w:rPr>
        <w:t>1 El incidente informático ocurrido en agosto de 2024 fue detectado en conjunto con la empresa SEGA, según el informe "Informe Ministerio de 1 Educación - MINEDUC" en documento 02. Informe Ministerio de Educación MINEDUC Eminito por la empresa SEGA, de fecha 19 de agosto de 2024.</w:t>
      </w:r>
    </w:p>
    <w:p w14:paraId="2E25ACD2" w14:textId="77777777" w:rsidR="00053D93" w:rsidRDefault="00260B75">
      <w:pPr>
        <w:spacing w:after="5"/>
        <w:ind w:left="24" w:right="35" w:hanging="10"/>
        <w:jc w:val="right"/>
      </w:pPr>
      <w:r>
        <w:rPr>
          <w:noProof/>
        </w:rPr>
        <w:drawing>
          <wp:inline distT="0" distB="0" distL="0" distR="0" wp14:anchorId="6B52B6E0" wp14:editId="5F3E9F17">
            <wp:extent cx="59436" cy="59436"/>
            <wp:effectExtent l="0" t="0" r="0" b="0"/>
            <wp:docPr id="1108589" name="Picture 1108589"/>
            <wp:cNvGraphicFramePr/>
            <a:graphic xmlns:a="http://schemas.openxmlformats.org/drawingml/2006/main">
              <a:graphicData uri="http://schemas.openxmlformats.org/drawingml/2006/picture">
                <pic:pic xmlns:pic="http://schemas.openxmlformats.org/drawingml/2006/picture">
                  <pic:nvPicPr>
                    <pic:cNvPr id="1108589" name="Picture 1108589"/>
                    <pic:cNvPicPr/>
                  </pic:nvPicPr>
                  <pic:blipFill>
                    <a:blip r:embed="rId1536"/>
                    <a:stretch>
                      <a:fillRect/>
                    </a:stretch>
                  </pic:blipFill>
                  <pic:spPr>
                    <a:xfrm>
                      <a:off x="0" y="0"/>
                      <a:ext cx="59436" cy="59436"/>
                    </a:xfrm>
                    <a:prstGeom prst="rect">
                      <a:avLst/>
                    </a:prstGeom>
                  </pic:spPr>
                </pic:pic>
              </a:graphicData>
            </a:graphic>
          </wp:inline>
        </w:drawing>
      </w:r>
      <w:r>
        <w:rPr>
          <w:sz w:val="26"/>
        </w:rPr>
        <w:t xml:space="preserve"> Dicho incidente fue reportado al Área de Redes y Telecomunicaciones</w:t>
      </w:r>
    </w:p>
    <w:p w14:paraId="7663C19D" w14:textId="77777777" w:rsidR="00053D93" w:rsidRDefault="00053D93">
      <w:pPr>
        <w:sectPr w:rsidR="00053D93">
          <w:headerReference w:type="even" r:id="rId1537"/>
          <w:headerReference w:type="default" r:id="rId1538"/>
          <w:footerReference w:type="even" r:id="rId1539"/>
          <w:footerReference w:type="default" r:id="rId1540"/>
          <w:headerReference w:type="first" r:id="rId1541"/>
          <w:footerReference w:type="first" r:id="rId1542"/>
          <w:pgSz w:w="12290" w:h="15883"/>
          <w:pgMar w:top="353" w:right="1793" w:bottom="691" w:left="324" w:header="662" w:footer="1166" w:gutter="0"/>
          <w:cols w:space="720"/>
        </w:sectPr>
      </w:pPr>
    </w:p>
    <w:p w14:paraId="6C078F41" w14:textId="77777777" w:rsidR="00053D93" w:rsidRDefault="00260B75">
      <w:pPr>
        <w:spacing w:after="47"/>
        <w:ind w:left="1332"/>
      </w:pPr>
      <w:r>
        <w:rPr>
          <w:noProof/>
        </w:rPr>
        <mc:AlternateContent>
          <mc:Choice Requires="wpg">
            <w:drawing>
              <wp:inline distT="0" distB="0" distL="0" distR="0" wp14:anchorId="006A2EF8" wp14:editId="04988C01">
                <wp:extent cx="5591557" cy="13716"/>
                <wp:effectExtent l="0" t="0" r="0" b="0"/>
                <wp:docPr id="2458851" name="Group 2458851"/>
                <wp:cNvGraphicFramePr/>
                <a:graphic xmlns:a="http://schemas.openxmlformats.org/drawingml/2006/main">
                  <a:graphicData uri="http://schemas.microsoft.com/office/word/2010/wordprocessingGroup">
                    <wpg:wgp>
                      <wpg:cNvGrpSpPr/>
                      <wpg:grpSpPr>
                        <a:xfrm>
                          <a:off x="0" y="0"/>
                          <a:ext cx="5591557" cy="13716"/>
                          <a:chOff x="0" y="0"/>
                          <a:chExt cx="5591557" cy="13716"/>
                        </a:xfrm>
                      </wpg:grpSpPr>
                      <wps:wsp>
                        <wps:cNvPr id="2458850" name="Shape 2458850"/>
                        <wps:cNvSpPr/>
                        <wps:spPr>
                          <a:xfrm>
                            <a:off x="0" y="0"/>
                            <a:ext cx="5591557" cy="13716"/>
                          </a:xfrm>
                          <a:custGeom>
                            <a:avLst/>
                            <a:gdLst/>
                            <a:ahLst/>
                            <a:cxnLst/>
                            <a:rect l="0" t="0" r="0" b="0"/>
                            <a:pathLst>
                              <a:path w="5591557" h="13716">
                                <a:moveTo>
                                  <a:pt x="0" y="6858"/>
                                </a:moveTo>
                                <a:lnTo>
                                  <a:pt x="5591557"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51" style="width:440.28pt;height:1.08pt;mso-position-horizontal-relative:char;mso-position-vertical-relative:line" coordsize="55915,137">
                <v:shape id="Shape 2458850" style="position:absolute;width:55915;height:137;left:0;top:0;" coordsize="5591557,13716" path="m0,6858l5591557,6858">
                  <v:stroke weight="1.08pt" endcap="flat" joinstyle="miter" miterlimit="1" on="true" color="#000000"/>
                  <v:fill on="false" color="#000000"/>
                </v:shape>
              </v:group>
            </w:pict>
          </mc:Fallback>
        </mc:AlternateContent>
      </w:r>
    </w:p>
    <w:p w14:paraId="790FAE1D" w14:textId="77777777" w:rsidR="00053D93" w:rsidRDefault="00260B75">
      <w:pPr>
        <w:spacing w:after="47" w:line="250" w:lineRule="auto"/>
        <w:ind w:left="31" w:right="14" w:hanging="3"/>
        <w:jc w:val="both"/>
      </w:pPr>
      <w:r>
        <w:rPr>
          <w:noProof/>
        </w:rPr>
        <mc:AlternateContent>
          <mc:Choice Requires="wpg">
            <w:drawing>
              <wp:anchor distT="0" distB="0" distL="114300" distR="114300" simplePos="0" relativeHeight="252217344" behindDoc="0" locked="0" layoutInCell="1" allowOverlap="1" wp14:anchorId="6B3FC6C6" wp14:editId="08B9790D">
                <wp:simplePos x="0" y="0"/>
                <wp:positionH relativeFrom="column">
                  <wp:posOffset>4572</wp:posOffset>
                </wp:positionH>
                <wp:positionV relativeFrom="paragraph">
                  <wp:posOffset>395444</wp:posOffset>
                </wp:positionV>
                <wp:extent cx="123444" cy="292608"/>
                <wp:effectExtent l="0" t="0" r="0" b="0"/>
                <wp:wrapSquare wrapText="bothSides"/>
                <wp:docPr id="2457275" name="Group 2457275"/>
                <wp:cNvGraphicFramePr/>
                <a:graphic xmlns:a="http://schemas.openxmlformats.org/drawingml/2006/main">
                  <a:graphicData uri="http://schemas.microsoft.com/office/word/2010/wordprocessingGroup">
                    <wpg:wgp>
                      <wpg:cNvGrpSpPr/>
                      <wpg:grpSpPr>
                        <a:xfrm>
                          <a:off x="0" y="0"/>
                          <a:ext cx="123444" cy="292608"/>
                          <a:chOff x="0" y="0"/>
                          <a:chExt cx="123444" cy="292608"/>
                        </a:xfrm>
                      </wpg:grpSpPr>
                      <wps:wsp>
                        <wps:cNvPr id="1109242" name="Rectangle 1109242"/>
                        <wps:cNvSpPr/>
                        <wps:spPr>
                          <a:xfrm>
                            <a:off x="0" y="0"/>
                            <a:ext cx="164181" cy="389168"/>
                          </a:xfrm>
                          <a:prstGeom prst="rect">
                            <a:avLst/>
                          </a:prstGeom>
                          <a:ln>
                            <a:noFill/>
                          </a:ln>
                        </wps:spPr>
                        <wps:txbx>
                          <w:txbxContent>
                            <w:p w14:paraId="52A133F7"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6B3FC6C6" id="Group 2457275" o:spid="_x0000_s1624" style="position:absolute;left:0;text-align:left;margin-left:.35pt;margin-top:31.15pt;width:9.7pt;height:23.05pt;z-index:252217344;mso-position-horizontal-relative:text;mso-position-vertical-relative:text" coordsize="123444,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">
                <v:rect id="Rectangle 1109242" o:spid="_x0000_s1625" style="position:absolute;width:164181;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" filled="f" stroked="f">
                  <v:textbox inset="0,0,0,0">
                    <w:txbxContent>
                      <w:p w14:paraId="52A133F7" w14:textId="77777777" w:rsidR="00053D93" w:rsidRDefault="00260B75">
                        <w:r>
                          <w:rPr>
                            <w:sz w:val="72"/>
                          </w:rPr>
                          <w:t>1</w:t>
                        </w:r>
                      </w:p>
                    </w:txbxContent>
                  </v:textbox>
                </v:rect>
                <w10:wrap type="square"/>
              </v:group>
            </w:pict>
          </mc:Fallback>
        </mc:AlternateContent>
      </w:r>
      <w:r>
        <w:rPr>
          <w:sz w:val="26"/>
        </w:rPr>
        <w:t>1 mediante correo del mismo día con asunto "Bloqueos", enviado por (administrador de servidores y backup) y dirigido al Administrador de Antivirus y Firewall.</w:t>
      </w:r>
    </w:p>
    <w:p w14:paraId="69979853" w14:textId="77777777" w:rsidR="00053D93" w:rsidRDefault="00260B75">
      <w:pPr>
        <w:numPr>
          <w:ilvl w:val="0"/>
          <w:numId w:val="18"/>
        </w:numPr>
        <w:spacing w:after="149" w:line="250" w:lineRule="auto"/>
        <w:ind w:right="14" w:hanging="3"/>
        <w:jc w:val="both"/>
      </w:pPr>
      <w:r>
        <w:rPr>
          <w:sz w:val="26"/>
        </w:rPr>
        <w:t xml:space="preserve">Sin embargo, el personal de redes no respondió oportunamente, ni el antivirus institucional logró contener el incidente. A ello se suma que ef </w:t>
      </w:r>
      <w:r>
        <w:rPr>
          <w:noProof/>
        </w:rPr>
        <mc:AlternateContent>
          <mc:Choice Requires="wpg">
            <w:drawing>
              <wp:inline distT="0" distB="0" distL="0" distR="0" wp14:anchorId="4E659727" wp14:editId="2A648C2F">
                <wp:extent cx="118872" cy="288036"/>
                <wp:effectExtent l="0" t="0" r="0" b="0"/>
                <wp:docPr id="2457276" name="Group 2457276"/>
                <wp:cNvGraphicFramePr/>
                <a:graphic xmlns:a="http://schemas.openxmlformats.org/drawingml/2006/main">
                  <a:graphicData uri="http://schemas.microsoft.com/office/word/2010/wordprocessingGroup">
                    <wpg:wgp>
                      <wpg:cNvGrpSpPr/>
                      <wpg:grpSpPr>
                        <a:xfrm>
                          <a:off x="0" y="0"/>
                          <a:ext cx="118872" cy="288036"/>
                          <a:chOff x="0" y="0"/>
                          <a:chExt cx="118872" cy="288036"/>
                        </a:xfrm>
                      </wpg:grpSpPr>
                      <wps:wsp>
                        <wps:cNvPr id="1109243" name="Rectangle 1109243"/>
                        <wps:cNvSpPr/>
                        <wps:spPr>
                          <a:xfrm>
                            <a:off x="0" y="0"/>
                            <a:ext cx="158100" cy="383088"/>
                          </a:xfrm>
                          <a:prstGeom prst="rect">
                            <a:avLst/>
                          </a:prstGeom>
                          <a:ln>
                            <a:noFill/>
                          </a:ln>
                        </wps:spPr>
                        <wps:txbx>
                          <w:txbxContent>
                            <w:p w14:paraId="53B341CC"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E659727" id="Group 2457276" o:spid="_x0000_s1626" style="width:9.35pt;height:22.7pt;mso-position-horizontal-relative:char;mso-position-vertical-relative:line" coordsize="118872,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">
                <v:rect id="Rectangle 1109243" o:spid="_x0000_s1627" style="position:absolute;width:158100;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" filled="f" stroked="f">
                  <v:textbox inset="0,0,0,0">
                    <w:txbxContent>
                      <w:p w14:paraId="53B341CC" w14:textId="77777777" w:rsidR="00053D93" w:rsidRDefault="00260B75">
                        <w:r>
                          <w:rPr>
                            <w:sz w:val="70"/>
                          </w:rPr>
                          <w:t>1</w:t>
                        </w:r>
                      </w:p>
                    </w:txbxContent>
                  </v:textbox>
                </v:rect>
                <w10:anchorlock/>
              </v:group>
            </w:pict>
          </mc:Fallback>
        </mc:AlternateContent>
      </w:r>
      <w:r>
        <w:rPr>
          <w:sz w:val="26"/>
        </w:rPr>
        <w:t xml:space="preserve"> Director de Informática no realizó las gestiones necesarias para mitigar sus consecuencias.</w:t>
      </w:r>
    </w:p>
    <w:p w14:paraId="77BBA9DA" w14:textId="77777777" w:rsidR="00053D93" w:rsidRDefault="00260B75">
      <w:pPr>
        <w:numPr>
          <w:ilvl w:val="0"/>
          <w:numId w:val="18"/>
        </w:numPr>
        <w:spacing w:after="301" w:line="250" w:lineRule="auto"/>
        <w:ind w:right="14" w:hanging="3"/>
        <w:jc w:val="both"/>
      </w:pPr>
      <w:r>
        <w:rPr>
          <w:sz w:val="26"/>
        </w:rPr>
        <w:t>Es importante dejar constancia que, en mi calidad de Administrador de Base 1 de Datos, no se encuentra dentro de mis funciones la gestión de la seguridad perimetral tecnológica ni antivirus de la Dirección de Informática (DINFO), ni 1 es de mi competencia la administración de servidores ni la ejecución de respaldos a nivel de sistema operativo o infraestructura, tareas que corresponden al personal (administrador de servidores y backup) asignado 1 específicamente a esas funciones. Mi responsabilidad se limita a los respaldos y resguardo de información a nivel de base de datos, tal como lo establece el Plan de Recuperación ante Desastres vigente, aprobado por el</w:t>
      </w:r>
    </w:p>
    <w:p w14:paraId="756FFA24" w14:textId="77777777" w:rsidR="00053D93" w:rsidRDefault="00260B75">
      <w:pPr>
        <w:tabs>
          <w:tab w:val="center" w:pos="3233"/>
        </w:tabs>
        <w:spacing w:after="516" w:line="263" w:lineRule="auto"/>
      </w:pPr>
      <w:r>
        <w:rPr>
          <w:sz w:val="24"/>
        </w:rPr>
        <w:t>1</w:t>
      </w:r>
      <w:r>
        <w:rPr>
          <w:sz w:val="24"/>
        </w:rPr>
        <w:tab/>
        <w:t>Director de DINFO.</w:t>
      </w:r>
    </w:p>
    <w:tbl>
      <w:tblPr>
        <w:tblStyle w:val="TableGrid"/>
        <w:tblpPr w:vertAnchor="page" w:horzAnchor="page" w:tblpX="2827" w:tblpY="14642"/>
        <w:tblOverlap w:val="never"/>
        <w:tblW w:w="7656" w:type="dxa"/>
        <w:tblInd w:w="0" w:type="dxa"/>
        <w:tblCellMar>
          <w:top w:w="52" w:type="dxa"/>
          <w:left w:w="1774" w:type="dxa"/>
          <w:right w:w="115" w:type="dxa"/>
        </w:tblCellMar>
        <w:tblLook w:val="04A0" w:firstRow="1" w:lastRow="0" w:firstColumn="1" w:lastColumn="0" w:noHBand="0" w:noVBand="1"/>
      </w:tblPr>
      <w:tblGrid>
        <w:gridCol w:w="7656"/>
      </w:tblGrid>
      <w:tr w:rsidR="00053D93" w14:paraId="2B6FE9AD" w14:textId="77777777">
        <w:trPr>
          <w:trHeight w:val="608"/>
        </w:trPr>
        <w:tc>
          <w:tcPr>
            <w:tcW w:w="7656" w:type="dxa"/>
            <w:tcBorders>
              <w:top w:val="single" w:sz="2" w:space="0" w:color="000000"/>
              <w:left w:val="single" w:sz="2" w:space="0" w:color="000000"/>
              <w:bottom w:val="nil"/>
              <w:right w:val="nil"/>
            </w:tcBorders>
          </w:tcPr>
          <w:p w14:paraId="63DC3149" w14:textId="77777777" w:rsidR="00053D93" w:rsidRDefault="00260B75">
            <w:pPr>
              <w:ind w:left="835"/>
            </w:pPr>
            <w:r>
              <w:rPr>
                <w:sz w:val="14"/>
              </w:rPr>
              <w:t>MINISTERtO DE EDUCACION</w:t>
            </w:r>
          </w:p>
          <w:p w14:paraId="115BA141" w14:textId="77777777" w:rsidR="00053D93" w:rsidRDefault="00260B75">
            <w:pPr>
              <w:ind w:left="338"/>
            </w:pPr>
            <w:r>
              <w:rPr>
                <w:sz w:val="14"/>
              </w:rPr>
              <w:t>AUDITORIA FINANCIERA Y DE CUMPLIMIENTO</w:t>
            </w:r>
          </w:p>
          <w:p w14:paraId="0345E507" w14:textId="77777777" w:rsidR="00053D93" w:rsidRDefault="00260B75">
            <w:r>
              <w:rPr>
                <w:sz w:val="14"/>
              </w:rPr>
              <w:t>PERIODO DEL 01 DE ENERO AL 31 DE DICIEM3RE DE 2024</w:t>
            </w:r>
          </w:p>
        </w:tc>
      </w:tr>
    </w:tbl>
    <w:p w14:paraId="7F646B29" w14:textId="77777777" w:rsidR="00053D93" w:rsidRDefault="00260B75">
      <w:pPr>
        <w:tabs>
          <w:tab w:val="center" w:pos="3856"/>
        </w:tabs>
        <w:spacing w:after="12" w:line="250" w:lineRule="auto"/>
      </w:pPr>
      <w:r>
        <w:rPr>
          <w:noProof/>
        </w:rPr>
        <w:drawing>
          <wp:anchor distT="0" distB="0" distL="114300" distR="114300" simplePos="0" relativeHeight="252218368" behindDoc="0" locked="0" layoutInCell="1" allowOverlap="0" wp14:anchorId="6E62B8D2" wp14:editId="5C5930A5">
            <wp:simplePos x="0" y="0"/>
            <wp:positionH relativeFrom="page">
              <wp:posOffset>672084</wp:posOffset>
            </wp:positionH>
            <wp:positionV relativeFrom="page">
              <wp:posOffset>9276587</wp:posOffset>
            </wp:positionV>
            <wp:extent cx="1065276" cy="416052"/>
            <wp:effectExtent l="0" t="0" r="0" b="0"/>
            <wp:wrapTopAndBottom/>
            <wp:docPr id="1112008" name="Picture 1112008"/>
            <wp:cNvGraphicFramePr/>
            <a:graphic xmlns:a="http://schemas.openxmlformats.org/drawingml/2006/main">
              <a:graphicData uri="http://schemas.openxmlformats.org/drawingml/2006/picture">
                <pic:pic xmlns:pic="http://schemas.openxmlformats.org/drawingml/2006/picture">
                  <pic:nvPicPr>
                    <pic:cNvPr id="1112008" name="Picture 1112008"/>
                    <pic:cNvPicPr/>
                  </pic:nvPicPr>
                  <pic:blipFill>
                    <a:blip r:embed="rId1543"/>
                    <a:stretch>
                      <a:fillRect/>
                    </a:stretch>
                  </pic:blipFill>
                  <pic:spPr>
                    <a:xfrm>
                      <a:off x="0" y="0"/>
                      <a:ext cx="1065276" cy="416052"/>
                    </a:xfrm>
                    <a:prstGeom prst="rect">
                      <a:avLst/>
                    </a:prstGeom>
                  </pic:spPr>
                </pic:pic>
              </a:graphicData>
            </a:graphic>
          </wp:anchor>
        </w:drawing>
      </w:r>
      <w:r>
        <w:rPr>
          <w:noProof/>
        </w:rPr>
        <w:drawing>
          <wp:anchor distT="0" distB="0" distL="114300" distR="114300" simplePos="0" relativeHeight="252219392" behindDoc="0" locked="0" layoutInCell="1" allowOverlap="0" wp14:anchorId="64AC1A8F" wp14:editId="3983BA04">
            <wp:simplePos x="0" y="0"/>
            <wp:positionH relativeFrom="page">
              <wp:posOffset>118872</wp:posOffset>
            </wp:positionH>
            <wp:positionV relativeFrom="page">
              <wp:posOffset>845820</wp:posOffset>
            </wp:positionV>
            <wp:extent cx="41148" cy="13716"/>
            <wp:effectExtent l="0" t="0" r="0" b="0"/>
            <wp:wrapTopAndBottom/>
            <wp:docPr id="1112009" name="Picture 1112009"/>
            <wp:cNvGraphicFramePr/>
            <a:graphic xmlns:a="http://schemas.openxmlformats.org/drawingml/2006/main">
              <a:graphicData uri="http://schemas.openxmlformats.org/drawingml/2006/picture">
                <pic:pic xmlns:pic="http://schemas.openxmlformats.org/drawingml/2006/picture">
                  <pic:nvPicPr>
                    <pic:cNvPr id="1112009" name="Picture 1112009"/>
                    <pic:cNvPicPr/>
                  </pic:nvPicPr>
                  <pic:blipFill>
                    <a:blip r:embed="rId1544"/>
                    <a:stretch>
                      <a:fillRect/>
                    </a:stretch>
                  </pic:blipFill>
                  <pic:spPr>
                    <a:xfrm>
                      <a:off x="0" y="0"/>
                      <a:ext cx="41148" cy="13716"/>
                    </a:xfrm>
                    <a:prstGeom prst="rect">
                      <a:avLst/>
                    </a:prstGeom>
                  </pic:spPr>
                </pic:pic>
              </a:graphicData>
            </a:graphic>
          </wp:anchor>
        </w:drawing>
      </w:r>
      <w:r>
        <w:rPr>
          <w:sz w:val="26"/>
        </w:rPr>
        <w:t>1</w:t>
      </w:r>
      <w:r>
        <w:rPr>
          <w:sz w:val="26"/>
        </w:rPr>
        <w:tab/>
        <w:t>4 Análisis de Riesgos del Centro de Datos</w:t>
      </w:r>
    </w:p>
    <w:p w14:paraId="4A700884" w14:textId="77777777" w:rsidR="00053D93" w:rsidRDefault="00260B75">
      <w:pPr>
        <w:spacing w:after="104" w:line="354" w:lineRule="auto"/>
        <w:ind w:left="2224" w:right="14" w:hanging="2196"/>
        <w:jc w:val="both"/>
      </w:pPr>
      <w:r>
        <w:rPr>
          <w:sz w:val="26"/>
        </w:rPr>
        <w:t xml:space="preserve">1 </w:t>
      </w:r>
      <w:r>
        <w:rPr>
          <w:noProof/>
        </w:rPr>
        <w:drawing>
          <wp:inline distT="0" distB="0" distL="0" distR="0" wp14:anchorId="0D83EBAC" wp14:editId="18F4CC26">
            <wp:extent cx="68580" cy="68580"/>
            <wp:effectExtent l="0" t="0" r="0" b="0"/>
            <wp:docPr id="1111897" name="Picture 1111897"/>
            <wp:cNvGraphicFramePr/>
            <a:graphic xmlns:a="http://schemas.openxmlformats.org/drawingml/2006/main">
              <a:graphicData uri="http://schemas.openxmlformats.org/drawingml/2006/picture">
                <pic:pic xmlns:pic="http://schemas.openxmlformats.org/drawingml/2006/picture">
                  <pic:nvPicPr>
                    <pic:cNvPr id="1111897" name="Picture 1111897"/>
                    <pic:cNvPicPr/>
                  </pic:nvPicPr>
                  <pic:blipFill>
                    <a:blip r:embed="rId1545"/>
                    <a:stretch>
                      <a:fillRect/>
                    </a:stretch>
                  </pic:blipFill>
                  <pic:spPr>
                    <a:xfrm>
                      <a:off x="0" y="0"/>
                      <a:ext cx="68580" cy="68580"/>
                    </a:xfrm>
                    <a:prstGeom prst="rect">
                      <a:avLst/>
                    </a:prstGeom>
                  </pic:spPr>
                </pic:pic>
              </a:graphicData>
            </a:graphic>
          </wp:inline>
        </w:drawing>
      </w:r>
      <w:r>
        <w:rPr>
          <w:sz w:val="26"/>
        </w:rPr>
        <w:t xml:space="preserve"> Mediante Oficio DINFO No. 0438-2022 de fecha 30 de marzo de 2022, se remitió el Análisis de Riesgos del Centro de Datos del Ministerio de Educación, elaborado por el área de infraestructura y servicios críticos.</w:t>
      </w:r>
    </w:p>
    <w:p w14:paraId="47039D46" w14:textId="77777777" w:rsidR="00053D93" w:rsidRDefault="00260B75">
      <w:pPr>
        <w:spacing w:after="146" w:line="250" w:lineRule="auto"/>
        <w:ind w:left="31" w:right="14" w:hanging="3"/>
        <w:jc w:val="both"/>
      </w:pPr>
      <w:r>
        <w:rPr>
          <w:noProof/>
        </w:rPr>
        <w:drawing>
          <wp:inline distT="0" distB="0" distL="0" distR="0" wp14:anchorId="02489D28" wp14:editId="36C1C8B8">
            <wp:extent cx="4572" cy="4572"/>
            <wp:effectExtent l="0" t="0" r="0" b="0"/>
            <wp:docPr id="1111898" name="Picture 1111898"/>
            <wp:cNvGraphicFramePr/>
            <a:graphic xmlns:a="http://schemas.openxmlformats.org/drawingml/2006/main">
              <a:graphicData uri="http://schemas.openxmlformats.org/drawingml/2006/picture">
                <pic:pic xmlns:pic="http://schemas.openxmlformats.org/drawingml/2006/picture">
                  <pic:nvPicPr>
                    <pic:cNvPr id="1111898" name="Picture 1111898"/>
                    <pic:cNvPicPr/>
                  </pic:nvPicPr>
                  <pic:blipFill>
                    <a:blip r:embed="rId1546"/>
                    <a:stretch>
                      <a:fillRect/>
                    </a:stretch>
                  </pic:blipFill>
                  <pic:spPr>
                    <a:xfrm>
                      <a:off x="0" y="0"/>
                      <a:ext cx="4572" cy="4572"/>
                    </a:xfrm>
                    <a:prstGeom prst="rect">
                      <a:avLst/>
                    </a:prstGeom>
                  </pic:spPr>
                </pic:pic>
              </a:graphicData>
            </a:graphic>
          </wp:inline>
        </w:drawing>
      </w:r>
      <w:r>
        <w:rPr>
          <w:sz w:val="26"/>
        </w:rPr>
        <w:t>1 En el riesgo No. 3 del análisis, se advirtió que la solución de respaldos "Data Protector" contaba con soporte de fábrica únicamente hasta enero de 2023. Se indicó que, al no contar con soporte ni actualizaciones posteriores, no -1 podía garantizarse su correcto funcionamiento ante un incidente. Se recomendó ampliar el soporte del fabricante, contratar soporte local y -1 gestionar su inclusión en el POA 2023.</w:t>
      </w:r>
    </w:p>
    <w:p w14:paraId="70B560CA" w14:textId="77777777" w:rsidR="00053D93" w:rsidRDefault="00260B75">
      <w:pPr>
        <w:numPr>
          <w:ilvl w:val="0"/>
          <w:numId w:val="19"/>
        </w:numPr>
        <w:spacing w:after="12" w:line="250" w:lineRule="auto"/>
        <w:ind w:right="14" w:firstLine="1829"/>
        <w:jc w:val="both"/>
      </w:pPr>
      <w:r>
        <w:rPr>
          <w:sz w:val="26"/>
        </w:rPr>
        <w:t>En el riesgo No. 7 del mismo análisis, se documentó la insuficiencia de personal en el área de infraestructura, indicando que el equipo existente solo 1 atendía los requerimientos diarios, sin capacidad para implementar nuevas soluciones.</w:t>
      </w:r>
    </w:p>
    <w:p w14:paraId="794F27D4" w14:textId="77777777" w:rsidR="00053D93" w:rsidRDefault="00260B75">
      <w:pPr>
        <w:numPr>
          <w:ilvl w:val="0"/>
          <w:numId w:val="19"/>
        </w:numPr>
        <w:spacing w:after="220" w:line="250" w:lineRule="auto"/>
        <w:ind w:right="14" w:firstLine="1829"/>
        <w:jc w:val="both"/>
      </w:pPr>
      <w:r>
        <w:rPr>
          <w:sz w:val="26"/>
        </w:rPr>
        <w:t>Se señaló que el personal no recibía ingresos acordes a sus funciones y que 1 la demanda superaba la capacidad instalada. Además, se destacó la ausencia de profesionales especializados en Seguridad y Monitoreo, así 1 como el alto riesgo por no contar con un sitio alterno para respaldos. Esta situación fue notificada al Director de Informática, a quien se solicitó realizar las gestiones necesarias. A la fecha, la falta de personal persiste, lo que ha</w:t>
      </w:r>
    </w:p>
    <w:p w14:paraId="6CB7F95B" w14:textId="77777777" w:rsidR="00053D93" w:rsidRDefault="00260B75">
      <w:pPr>
        <w:tabs>
          <w:tab w:val="center" w:pos="5540"/>
        </w:tabs>
        <w:spacing w:after="12" w:line="250" w:lineRule="auto"/>
      </w:pPr>
      <w:r>
        <w:rPr>
          <w:sz w:val="26"/>
        </w:rPr>
        <w:t>1</w:t>
      </w:r>
      <w:r>
        <w:rPr>
          <w:sz w:val="26"/>
        </w:rPr>
        <w:tab/>
        <w:t>afectado la capacidad de respuesta y sostenibilidad del servicio.</w:t>
      </w:r>
    </w:p>
    <w:p w14:paraId="68E61650" w14:textId="77777777" w:rsidR="00053D93" w:rsidRDefault="00260B75">
      <w:pPr>
        <w:spacing w:after="3"/>
        <w:ind w:left="74" w:right="-907" w:hanging="10"/>
      </w:pPr>
      <w:r>
        <w:rPr>
          <w:sz w:val="70"/>
        </w:rPr>
        <w:t>1</w:t>
      </w:r>
      <w:r>
        <w:rPr>
          <w:noProof/>
        </w:rPr>
        <w:drawing>
          <wp:inline distT="0" distB="0" distL="0" distR="0" wp14:anchorId="433E15BC" wp14:editId="3FD4A470">
            <wp:extent cx="5966460" cy="86868"/>
            <wp:effectExtent l="0" t="0" r="0" b="0"/>
            <wp:docPr id="2458853" name="Picture 2458853"/>
            <wp:cNvGraphicFramePr/>
            <a:graphic xmlns:a="http://schemas.openxmlformats.org/drawingml/2006/main">
              <a:graphicData uri="http://schemas.openxmlformats.org/drawingml/2006/picture">
                <pic:pic xmlns:pic="http://schemas.openxmlformats.org/drawingml/2006/picture">
                  <pic:nvPicPr>
                    <pic:cNvPr id="2458853" name="Picture 2458853"/>
                    <pic:cNvPicPr/>
                  </pic:nvPicPr>
                  <pic:blipFill>
                    <a:blip r:embed="rId1547"/>
                    <a:stretch>
                      <a:fillRect/>
                    </a:stretch>
                  </pic:blipFill>
                  <pic:spPr>
                    <a:xfrm>
                      <a:off x="0" y="0"/>
                      <a:ext cx="5966460" cy="86868"/>
                    </a:xfrm>
                    <a:prstGeom prst="rect">
                      <a:avLst/>
                    </a:prstGeom>
                  </pic:spPr>
                </pic:pic>
              </a:graphicData>
            </a:graphic>
          </wp:inline>
        </w:drawing>
      </w:r>
    </w:p>
    <w:p w14:paraId="5DF2D773" w14:textId="77777777" w:rsidR="00053D93" w:rsidRDefault="00260B75">
      <w:pPr>
        <w:spacing w:after="469" w:line="269" w:lineRule="auto"/>
        <w:ind w:left="1731" w:right="14" w:hanging="3"/>
        <w:jc w:val="both"/>
      </w:pPr>
      <w:r>
        <w:rPr>
          <w:sz w:val="26"/>
        </w:rPr>
        <w:t>5 Gestiones de adquisición de soluciones de respaldo</w:t>
      </w:r>
    </w:p>
    <w:p w14:paraId="48402F31" w14:textId="77777777" w:rsidR="00053D93" w:rsidRDefault="00260B75">
      <w:pPr>
        <w:spacing w:after="32" w:line="269" w:lineRule="auto"/>
        <w:ind w:left="60" w:right="14" w:hanging="3"/>
        <w:jc w:val="both"/>
      </w:pPr>
      <w:r>
        <w:rPr>
          <w:sz w:val="26"/>
        </w:rPr>
        <w:t xml:space="preserve">1 </w:t>
      </w:r>
      <w:r>
        <w:rPr>
          <w:noProof/>
        </w:rPr>
        <w:drawing>
          <wp:inline distT="0" distB="0" distL="0" distR="0" wp14:anchorId="5BB5400B" wp14:editId="5366BA4A">
            <wp:extent cx="64008" cy="64008"/>
            <wp:effectExtent l="0" t="0" r="0" b="0"/>
            <wp:docPr id="1115145" name="Picture 1115145"/>
            <wp:cNvGraphicFramePr/>
            <a:graphic xmlns:a="http://schemas.openxmlformats.org/drawingml/2006/main">
              <a:graphicData uri="http://schemas.openxmlformats.org/drawingml/2006/picture">
                <pic:pic xmlns:pic="http://schemas.openxmlformats.org/drawingml/2006/picture">
                  <pic:nvPicPr>
                    <pic:cNvPr id="1115145" name="Picture 1115145"/>
                    <pic:cNvPicPr/>
                  </pic:nvPicPr>
                  <pic:blipFill>
                    <a:blip r:embed="rId1548"/>
                    <a:stretch>
                      <a:fillRect/>
                    </a:stretch>
                  </pic:blipFill>
                  <pic:spPr>
                    <a:xfrm>
                      <a:off x="0" y="0"/>
                      <a:ext cx="64008" cy="64008"/>
                    </a:xfrm>
                    <a:prstGeom prst="rect">
                      <a:avLst/>
                    </a:prstGeom>
                  </pic:spPr>
                </pic:pic>
              </a:graphicData>
            </a:graphic>
          </wp:inline>
        </w:drawing>
      </w:r>
      <w:r>
        <w:rPr>
          <w:sz w:val="26"/>
        </w:rPr>
        <w:t xml:space="preserve"> Se gestionó la compra de una solución de respaldo identificada como "Derechos de uso para respaldo y recuperación de información del Centro de Datos del Ministerio de Educación", bajo NOG 20259840, adjudicada el 28 1 de junio de 2023. El proceso fue iniciado mediante el oficio DINFO No.</w:t>
      </w:r>
    </w:p>
    <w:p w14:paraId="615F5187" w14:textId="77777777" w:rsidR="00053D93" w:rsidRDefault="00260B75">
      <w:pPr>
        <w:spacing w:after="4" w:line="216" w:lineRule="auto"/>
        <w:ind w:left="57" w:right="14" w:firstLine="2225"/>
        <w:jc w:val="both"/>
      </w:pPr>
      <w:r>
        <w:rPr>
          <w:sz w:val="26"/>
        </w:rPr>
        <w:t>0202-2023 de fecha 28 de febrero de 2023, pero no fue adjudicado por 1 incumplimientos en la presentación de la oferta requisito fundamental.</w:t>
      </w:r>
    </w:p>
    <w:p w14:paraId="20C78302" w14:textId="77777777" w:rsidR="00053D93" w:rsidRDefault="00260B75">
      <w:pPr>
        <w:numPr>
          <w:ilvl w:val="1"/>
          <w:numId w:val="20"/>
        </w:numPr>
        <w:spacing w:after="4" w:line="269" w:lineRule="auto"/>
        <w:ind w:right="14" w:firstLine="1897"/>
        <w:jc w:val="both"/>
      </w:pPr>
      <w:r>
        <w:rPr>
          <w:sz w:val="26"/>
        </w:rPr>
        <w:t>Por lo anterior, se inició un nuevo proceso, NOG 23326719, denominado "Sistema y dispositivo de respaldos para la infraestructura de computación 1 virtual y física del Centro de Datos del Ministerio de Educación", con fecha de adjudicación 2 de agosto de 2024. Dicho proceso fue iniciado mediante el oficio DINFO No. 0447-2024 del 8 de abril de 2024, pero tampoco fue 1 adjudicado por incumplimientos en requisitos fundamentales.</w:t>
      </w:r>
    </w:p>
    <w:p w14:paraId="20F9AAD6" w14:textId="77777777" w:rsidR="00053D93" w:rsidRDefault="00260B75">
      <w:pPr>
        <w:numPr>
          <w:ilvl w:val="1"/>
          <w:numId w:val="20"/>
        </w:numPr>
        <w:spacing w:after="111" w:line="269" w:lineRule="auto"/>
        <w:ind w:right="14" w:firstLine="1897"/>
        <w:jc w:val="both"/>
      </w:pPr>
      <w:r>
        <w:rPr>
          <w:sz w:val="26"/>
        </w:rPr>
        <w:t>Cabe destacar que ambos eventos fueron gestionados de manera oportuna, 1 pero su adjudicación escapaba a las competencias del Departamento de Infraestructura y Servicios Críticos y de mi persona como administrador de base de datos.</w:t>
      </w:r>
    </w:p>
    <w:p w14:paraId="251B95AE" w14:textId="77777777" w:rsidR="00053D93" w:rsidRDefault="00260B75">
      <w:pPr>
        <w:spacing w:after="3"/>
        <w:ind w:left="89" w:hanging="10"/>
      </w:pPr>
      <w:r>
        <w:rPr>
          <w:sz w:val="72"/>
        </w:rPr>
        <w:t>1</w:t>
      </w:r>
    </w:p>
    <w:p w14:paraId="2E4A080F" w14:textId="77777777" w:rsidR="00053D93" w:rsidRDefault="00260B75">
      <w:pPr>
        <w:spacing w:after="46" w:line="269" w:lineRule="auto"/>
        <w:ind w:left="1709" w:right="14" w:hanging="3"/>
        <w:jc w:val="both"/>
      </w:pPr>
      <w:r>
        <w:rPr>
          <w:sz w:val="26"/>
        </w:rPr>
        <w:t>6 Plataforma Mis Compras del PAE</w:t>
      </w:r>
    </w:p>
    <w:tbl>
      <w:tblPr>
        <w:tblStyle w:val="TableGrid"/>
        <w:tblpPr w:vertAnchor="page" w:horzAnchor="page" w:tblpX="2832" w:tblpY="14609"/>
        <w:tblOverlap w:val="never"/>
        <w:tblW w:w="7622" w:type="dxa"/>
        <w:tblInd w:w="0" w:type="dxa"/>
        <w:tblCellMar>
          <w:top w:w="37" w:type="dxa"/>
          <w:left w:w="1740" w:type="dxa"/>
          <w:right w:w="115" w:type="dxa"/>
        </w:tblCellMar>
        <w:tblLook w:val="04A0" w:firstRow="1" w:lastRow="0" w:firstColumn="1" w:lastColumn="0" w:noHBand="0" w:noVBand="1"/>
      </w:tblPr>
      <w:tblGrid>
        <w:gridCol w:w="7622"/>
      </w:tblGrid>
      <w:tr w:rsidR="00053D93" w14:paraId="210B16D4" w14:textId="77777777">
        <w:trPr>
          <w:trHeight w:val="48"/>
        </w:trPr>
        <w:tc>
          <w:tcPr>
            <w:tcW w:w="7622" w:type="dxa"/>
            <w:tcBorders>
              <w:top w:val="nil"/>
              <w:left w:val="single" w:sz="2" w:space="0" w:color="000000"/>
              <w:bottom w:val="single" w:sz="2" w:space="0" w:color="000000"/>
              <w:right w:val="nil"/>
            </w:tcBorders>
          </w:tcPr>
          <w:p w14:paraId="6923E4BD" w14:textId="77777777" w:rsidR="00053D93" w:rsidRDefault="00053D93"/>
        </w:tc>
      </w:tr>
      <w:tr w:rsidR="00053D93" w14:paraId="0EBDEB29" w14:textId="77777777">
        <w:trPr>
          <w:trHeight w:val="586"/>
        </w:trPr>
        <w:tc>
          <w:tcPr>
            <w:tcW w:w="7622" w:type="dxa"/>
            <w:tcBorders>
              <w:top w:val="single" w:sz="2" w:space="0" w:color="000000"/>
              <w:left w:val="single" w:sz="2" w:space="0" w:color="000000"/>
              <w:bottom w:val="nil"/>
              <w:right w:val="nil"/>
            </w:tcBorders>
          </w:tcPr>
          <w:p w14:paraId="417799A2" w14:textId="77777777" w:rsidR="00053D93" w:rsidRDefault="00260B75">
            <w:pPr>
              <w:ind w:left="835"/>
            </w:pPr>
            <w:r>
              <w:rPr>
                <w:sz w:val="14"/>
              </w:rPr>
              <w:t>MINISTERIO DE EDUCACION</w:t>
            </w:r>
          </w:p>
          <w:p w14:paraId="244DB4CB" w14:textId="77777777" w:rsidR="00053D93" w:rsidRDefault="00260B75">
            <w:pPr>
              <w:ind w:left="338"/>
            </w:pPr>
            <w:r>
              <w:rPr>
                <w:sz w:val="14"/>
              </w:rPr>
              <w:t>AUDITORIA FINANCIERA Y DE CUMPLIMIENTO</w:t>
            </w:r>
          </w:p>
          <w:p w14:paraId="541D9A86" w14:textId="77777777" w:rsidR="00053D93" w:rsidRDefault="00260B75">
            <w:r>
              <w:rPr>
                <w:sz w:val="14"/>
              </w:rPr>
              <w:t>PERIODO DEL 01 DE ENERO AL 31 DE DICIEMBRE DE 2024</w:t>
            </w:r>
          </w:p>
        </w:tc>
      </w:tr>
    </w:tbl>
    <w:p w14:paraId="26F34DA0" w14:textId="77777777" w:rsidR="00053D93" w:rsidRDefault="00260B75">
      <w:pPr>
        <w:spacing w:after="3"/>
        <w:ind w:left="89" w:right="8136" w:hanging="10"/>
      </w:pPr>
      <w:r>
        <w:rPr>
          <w:noProof/>
        </w:rPr>
        <w:drawing>
          <wp:anchor distT="0" distB="0" distL="114300" distR="114300" simplePos="0" relativeHeight="252220416" behindDoc="0" locked="0" layoutInCell="1" allowOverlap="0" wp14:anchorId="27058FFC" wp14:editId="1B718DFE">
            <wp:simplePos x="0" y="0"/>
            <wp:positionH relativeFrom="page">
              <wp:posOffset>653796</wp:posOffset>
            </wp:positionH>
            <wp:positionV relativeFrom="page">
              <wp:posOffset>9272015</wp:posOffset>
            </wp:positionV>
            <wp:extent cx="1124712" cy="406908"/>
            <wp:effectExtent l="0" t="0" r="0" b="0"/>
            <wp:wrapTopAndBottom/>
            <wp:docPr id="1115251" name="Picture 1115251"/>
            <wp:cNvGraphicFramePr/>
            <a:graphic xmlns:a="http://schemas.openxmlformats.org/drawingml/2006/main">
              <a:graphicData uri="http://schemas.openxmlformats.org/drawingml/2006/picture">
                <pic:pic xmlns:pic="http://schemas.openxmlformats.org/drawingml/2006/picture">
                  <pic:nvPicPr>
                    <pic:cNvPr id="1115251" name="Picture 1115251"/>
                    <pic:cNvPicPr/>
                  </pic:nvPicPr>
                  <pic:blipFill>
                    <a:blip r:embed="rId1549"/>
                    <a:stretch>
                      <a:fillRect/>
                    </a:stretch>
                  </pic:blipFill>
                  <pic:spPr>
                    <a:xfrm>
                      <a:off x="0" y="0"/>
                      <a:ext cx="1124712" cy="406908"/>
                    </a:xfrm>
                    <a:prstGeom prst="rect">
                      <a:avLst/>
                    </a:prstGeom>
                  </pic:spPr>
                </pic:pic>
              </a:graphicData>
            </a:graphic>
          </wp:anchor>
        </w:drawing>
      </w:r>
      <w:r>
        <w:rPr>
          <w:sz w:val="72"/>
        </w:rPr>
        <w:t>1</w:t>
      </w:r>
    </w:p>
    <w:p w14:paraId="5EF5C2C6" w14:textId="77777777" w:rsidR="00053D93" w:rsidRDefault="00260B75">
      <w:pPr>
        <w:spacing w:after="262" w:line="269" w:lineRule="auto"/>
        <w:ind w:left="1969" w:right="14" w:hanging="3"/>
        <w:jc w:val="both"/>
      </w:pPr>
      <w:r>
        <w:rPr>
          <w:noProof/>
        </w:rPr>
        <w:drawing>
          <wp:anchor distT="0" distB="0" distL="114300" distR="114300" simplePos="0" relativeHeight="252221440" behindDoc="0" locked="0" layoutInCell="1" allowOverlap="0" wp14:anchorId="6E60FBC6" wp14:editId="19A7C51B">
            <wp:simplePos x="0" y="0"/>
            <wp:positionH relativeFrom="column">
              <wp:posOffset>1248156</wp:posOffset>
            </wp:positionH>
            <wp:positionV relativeFrom="paragraph">
              <wp:posOffset>764</wp:posOffset>
            </wp:positionV>
            <wp:extent cx="64008" cy="64008"/>
            <wp:effectExtent l="0" t="0" r="0" b="0"/>
            <wp:wrapSquare wrapText="bothSides"/>
            <wp:docPr id="1115148" name="Picture 1115148"/>
            <wp:cNvGraphicFramePr/>
            <a:graphic xmlns:a="http://schemas.openxmlformats.org/drawingml/2006/main">
              <a:graphicData uri="http://schemas.openxmlformats.org/drawingml/2006/picture">
                <pic:pic xmlns:pic="http://schemas.openxmlformats.org/drawingml/2006/picture">
                  <pic:nvPicPr>
                    <pic:cNvPr id="1115148" name="Picture 1115148"/>
                    <pic:cNvPicPr/>
                  </pic:nvPicPr>
                  <pic:blipFill>
                    <a:blip r:embed="rId1550"/>
                    <a:stretch>
                      <a:fillRect/>
                    </a:stretch>
                  </pic:blipFill>
                  <pic:spPr>
                    <a:xfrm>
                      <a:off x="0" y="0"/>
                      <a:ext cx="64008" cy="64008"/>
                    </a:xfrm>
                    <a:prstGeom prst="rect">
                      <a:avLst/>
                    </a:prstGeom>
                  </pic:spPr>
                </pic:pic>
              </a:graphicData>
            </a:graphic>
          </wp:anchor>
        </w:drawing>
      </w:r>
      <w:r>
        <w:rPr>
          <w:sz w:val="26"/>
        </w:rPr>
        <w:t>Con oficio No. DIGEPSA-343-2021, de fecha 25 de febrero de 2021 , la Directora de DIGEPSA solicitó habilitar la plataforma "Mis Compras del</w:t>
      </w:r>
    </w:p>
    <w:p w14:paraId="153E02FE" w14:textId="77777777" w:rsidR="00053D93" w:rsidRDefault="00260B75">
      <w:pPr>
        <w:spacing w:after="4" w:line="352" w:lineRule="auto"/>
        <w:ind w:left="2253" w:right="14" w:hanging="2196"/>
        <w:jc w:val="both"/>
      </w:pPr>
      <w:r>
        <w:rPr>
          <w:sz w:val="26"/>
        </w:rPr>
        <w:t>1 PAE", diseñada para operar únicamente durante el ciclo escolar 2021, hasta nuevas disposiciones ministeriales.</w:t>
      </w:r>
    </w:p>
    <w:p w14:paraId="070594AE" w14:textId="77777777" w:rsidR="00053D93" w:rsidRDefault="00260B75">
      <w:pPr>
        <w:spacing w:after="28" w:line="269" w:lineRule="auto"/>
        <w:ind w:left="60" w:right="14" w:hanging="3"/>
        <w:jc w:val="both"/>
      </w:pPr>
      <w:r>
        <w:rPr>
          <w:sz w:val="26"/>
        </w:rPr>
        <w:t xml:space="preserve">1 </w:t>
      </w:r>
      <w:r>
        <w:rPr>
          <w:noProof/>
        </w:rPr>
        <w:drawing>
          <wp:inline distT="0" distB="0" distL="0" distR="0" wp14:anchorId="54415F1F" wp14:editId="6AEAF895">
            <wp:extent cx="64008" cy="59436"/>
            <wp:effectExtent l="0" t="0" r="0" b="0"/>
            <wp:docPr id="1115149" name="Picture 1115149"/>
            <wp:cNvGraphicFramePr/>
            <a:graphic xmlns:a="http://schemas.openxmlformats.org/drawingml/2006/main">
              <a:graphicData uri="http://schemas.openxmlformats.org/drawingml/2006/picture">
                <pic:pic xmlns:pic="http://schemas.openxmlformats.org/drawingml/2006/picture">
                  <pic:nvPicPr>
                    <pic:cNvPr id="1115149" name="Picture 1115149"/>
                    <pic:cNvPicPr/>
                  </pic:nvPicPr>
                  <pic:blipFill>
                    <a:blip r:embed="rId1551"/>
                    <a:stretch>
                      <a:fillRect/>
                    </a:stretch>
                  </pic:blipFill>
                  <pic:spPr>
                    <a:xfrm>
                      <a:off x="0" y="0"/>
                      <a:ext cx="64008" cy="59436"/>
                    </a:xfrm>
                    <a:prstGeom prst="rect">
                      <a:avLst/>
                    </a:prstGeom>
                  </pic:spPr>
                </pic:pic>
              </a:graphicData>
            </a:graphic>
          </wp:inline>
        </w:drawing>
      </w:r>
      <w:r>
        <w:rPr>
          <w:sz w:val="26"/>
        </w:rPr>
        <w:t xml:space="preserve"> En respuesta, mediante oficio DINFO 851-2021 del 13 de agosto de 2021 , se informó que el sistema fue habilitado para dicho ciclo escolar. Esto evidencia que el sistema fue concebido como una solución temporal, y que 1 posteriormente sería migrado a una versión más segura.</w:t>
      </w:r>
    </w:p>
    <w:p w14:paraId="7C2598D8" w14:textId="77777777" w:rsidR="00053D93" w:rsidRDefault="00260B75">
      <w:pPr>
        <w:spacing w:after="4" w:line="216" w:lineRule="auto"/>
        <w:ind w:left="57" w:right="14" w:firstLine="2182"/>
        <w:jc w:val="both"/>
      </w:pPr>
      <w:r>
        <w:rPr>
          <w:sz w:val="26"/>
        </w:rPr>
        <w:t>El 15 de marzo de 2021, se enviaron por correo electrónico los sitios creados para mejorar la seguridad de la aplicación (asunto: 'RE: Requerimientos 1 Pendientes"). Asimismo, en correo del 26 de febrero de 2021 (asunto: "RE:</w:t>
      </w:r>
    </w:p>
    <w:p w14:paraId="49659B2B" w14:textId="77777777" w:rsidR="00053D93" w:rsidRDefault="00260B75">
      <w:pPr>
        <w:spacing w:after="145" w:line="269" w:lineRule="auto"/>
        <w:ind w:left="57" w:right="14" w:firstLine="2174"/>
        <w:jc w:val="both"/>
      </w:pPr>
      <w:r>
        <w:rPr>
          <w:sz w:val="26"/>
        </w:rPr>
        <w:t>Manual para activación del sistema Mis Compras del PAE"), confirmó que el 1 sistema estaba diseñado únicamente para dos entregas. A la fecha, la Dirección de DIGEPSA no ha concluido la migración, a pesar de haber sido informada oportunamente.</w:t>
      </w:r>
    </w:p>
    <w:p w14:paraId="59FE8E78" w14:textId="77777777" w:rsidR="00053D93" w:rsidRDefault="00260B75">
      <w:pPr>
        <w:spacing w:after="3"/>
        <w:ind w:left="104" w:hanging="10"/>
      </w:pPr>
      <w:r>
        <w:rPr>
          <w:sz w:val="72"/>
        </w:rPr>
        <w:t>1</w:t>
      </w:r>
    </w:p>
    <w:p w14:paraId="15AC873C" w14:textId="77777777" w:rsidR="00053D93" w:rsidRDefault="00260B75">
      <w:pPr>
        <w:spacing w:after="61" w:line="269" w:lineRule="auto"/>
        <w:ind w:left="1688" w:right="14" w:hanging="3"/>
        <w:jc w:val="both"/>
      </w:pPr>
      <w:r>
        <w:rPr>
          <w:sz w:val="26"/>
        </w:rPr>
        <w:t>7 Competencia sobre el Manual de Procedimientos</w:t>
      </w:r>
    </w:p>
    <w:p w14:paraId="16CCC305" w14:textId="77777777" w:rsidR="00053D93" w:rsidRDefault="00260B75">
      <w:pPr>
        <w:spacing w:after="3"/>
        <w:ind w:left="74" w:right="8158" w:hanging="10"/>
      </w:pPr>
      <w:r>
        <w:rPr>
          <w:sz w:val="70"/>
        </w:rPr>
        <w:t>1</w:t>
      </w:r>
    </w:p>
    <w:p w14:paraId="48624F76" w14:textId="77777777" w:rsidR="00053D93" w:rsidRDefault="00260B75">
      <w:pPr>
        <w:spacing w:after="302" w:line="269" w:lineRule="auto"/>
        <w:ind w:left="2254" w:right="14" w:hanging="310"/>
        <w:jc w:val="both"/>
      </w:pPr>
      <w:r>
        <w:rPr>
          <w:noProof/>
        </w:rPr>
        <w:drawing>
          <wp:inline distT="0" distB="0" distL="0" distR="0" wp14:anchorId="534F618A" wp14:editId="275DDD40">
            <wp:extent cx="64008" cy="64008"/>
            <wp:effectExtent l="0" t="0" r="0" b="0"/>
            <wp:docPr id="1115150" name="Picture 1115150"/>
            <wp:cNvGraphicFramePr/>
            <a:graphic xmlns:a="http://schemas.openxmlformats.org/drawingml/2006/main">
              <a:graphicData uri="http://schemas.openxmlformats.org/drawingml/2006/picture">
                <pic:pic xmlns:pic="http://schemas.openxmlformats.org/drawingml/2006/picture">
                  <pic:nvPicPr>
                    <pic:cNvPr id="1115150" name="Picture 1115150"/>
                    <pic:cNvPicPr/>
                  </pic:nvPicPr>
                  <pic:blipFill>
                    <a:blip r:embed="rId1552"/>
                    <a:stretch>
                      <a:fillRect/>
                    </a:stretch>
                  </pic:blipFill>
                  <pic:spPr>
                    <a:xfrm>
                      <a:off x="0" y="0"/>
                      <a:ext cx="64008" cy="64008"/>
                    </a:xfrm>
                    <a:prstGeom prst="rect">
                      <a:avLst/>
                    </a:prstGeom>
                  </pic:spPr>
                </pic:pic>
              </a:graphicData>
            </a:graphic>
          </wp:inline>
        </w:drawing>
      </w:r>
      <w:r>
        <w:rPr>
          <w:sz w:val="26"/>
        </w:rPr>
        <w:t xml:space="preserve"> El Manual de Procedimientos de Soporte Técnico DES-MAN-OI Versión 3.0 corresponde al Departamento de Redes y Telecomunicaciones, por lo que su</w:t>
      </w:r>
    </w:p>
    <w:p w14:paraId="7E8F47FE" w14:textId="77777777" w:rsidR="00053D93" w:rsidRDefault="00260B75">
      <w:pPr>
        <w:tabs>
          <w:tab w:val="center" w:pos="5317"/>
        </w:tabs>
        <w:spacing w:after="4" w:line="269" w:lineRule="auto"/>
      </w:pPr>
      <w:r>
        <w:rPr>
          <w:sz w:val="26"/>
        </w:rPr>
        <w:t>1</w:t>
      </w:r>
      <w:r>
        <w:rPr>
          <w:sz w:val="26"/>
        </w:rPr>
        <w:tab/>
        <w:t>actualización no es competencia del área de Infraestructura.</w:t>
      </w:r>
    </w:p>
    <w:p w14:paraId="59C9CB37" w14:textId="77777777" w:rsidR="00053D93" w:rsidRDefault="00260B75">
      <w:pPr>
        <w:tabs>
          <w:tab w:val="right" w:pos="10210"/>
        </w:tabs>
        <w:spacing w:after="3"/>
        <w:ind w:right="-22"/>
      </w:pPr>
      <w:r>
        <w:rPr>
          <w:sz w:val="70"/>
        </w:rPr>
        <w:t>1</w:t>
      </w:r>
      <w:r>
        <w:rPr>
          <w:sz w:val="70"/>
        </w:rPr>
        <w:tab/>
      </w:r>
      <w:r>
        <w:rPr>
          <w:noProof/>
        </w:rPr>
        <mc:AlternateContent>
          <mc:Choice Requires="wpg">
            <w:drawing>
              <wp:inline distT="0" distB="0" distL="0" distR="0" wp14:anchorId="56FDAC3A" wp14:editId="5CC50DF3">
                <wp:extent cx="5385816" cy="9144"/>
                <wp:effectExtent l="0" t="0" r="0" b="0"/>
                <wp:docPr id="2458856" name="Group 2458856"/>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855" name="Shape 2458855"/>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56" style="width:424.08pt;height:0.720009pt;mso-position-horizontal-relative:char;mso-position-vertical-relative:line" coordsize="53858,91">
                <v:shape id="Shape 2458855" style="position:absolute;width:53858;height:91;left:0;top:0;" coordsize="5385816,9144" path="m0,4572l5385816,4572">
                  <v:stroke weight="0.720009pt" endcap="flat" joinstyle="miter" miterlimit="1" on="true" color="#000000"/>
                  <v:fill on="false" color="#000000"/>
                </v:shape>
              </v:group>
            </w:pict>
          </mc:Fallback>
        </mc:AlternateContent>
      </w:r>
    </w:p>
    <w:p w14:paraId="2D85E535" w14:textId="77777777" w:rsidR="00053D93" w:rsidRDefault="00260B75">
      <w:pPr>
        <w:spacing w:after="335" w:line="269" w:lineRule="auto"/>
        <w:ind w:left="1753" w:right="14" w:hanging="3"/>
        <w:jc w:val="both"/>
      </w:pPr>
      <w:r>
        <w:rPr>
          <w:sz w:val="26"/>
        </w:rPr>
        <w:t>8 Base de datos Oracle (agosto 2024)</w:t>
      </w:r>
    </w:p>
    <w:p w14:paraId="04B6EF22" w14:textId="77777777" w:rsidR="00053D93" w:rsidRDefault="00260B75">
      <w:pPr>
        <w:spacing w:after="500" w:line="335" w:lineRule="auto"/>
        <w:ind w:left="1720" w:right="14" w:hanging="1663"/>
        <w:jc w:val="both"/>
      </w:pPr>
      <w:r>
        <w:rPr>
          <w:sz w:val="26"/>
        </w:rPr>
        <w:t>1 Con fecha 30 de agosto de 2,024 se recibe Informe de incidente relacionado al punto 3 Incidente informático ocurrido el 21 de agosto de 2024</w:t>
      </w:r>
    </w:p>
    <w:p w14:paraId="7900ACC3" w14:textId="77777777" w:rsidR="00053D93" w:rsidRDefault="00260B75">
      <w:pPr>
        <w:tabs>
          <w:tab w:val="center" w:pos="3827"/>
        </w:tabs>
        <w:spacing w:after="4" w:line="269" w:lineRule="auto"/>
      </w:pPr>
      <w:r>
        <w:rPr>
          <w:sz w:val="26"/>
        </w:rPr>
        <w:t>1</w:t>
      </w:r>
      <w:r>
        <w:rPr>
          <w:sz w:val="26"/>
        </w:rPr>
        <w:tab/>
        <w:t>. Donde se indica lo siguiente:</w:t>
      </w:r>
    </w:p>
    <w:tbl>
      <w:tblPr>
        <w:tblStyle w:val="TableGrid"/>
        <w:tblpPr w:vertAnchor="text" w:tblpX="72" w:tblpY="612"/>
        <w:tblOverlap w:val="never"/>
        <w:tblW w:w="10116" w:type="dxa"/>
        <w:tblInd w:w="0" w:type="dxa"/>
        <w:tblCellMar>
          <w:top w:w="18" w:type="dxa"/>
        </w:tblCellMar>
        <w:tblLook w:val="04A0" w:firstRow="1" w:lastRow="0" w:firstColumn="1" w:lastColumn="0" w:noHBand="0" w:noVBand="1"/>
      </w:tblPr>
      <w:tblGrid>
        <w:gridCol w:w="670"/>
        <w:gridCol w:w="9446"/>
      </w:tblGrid>
      <w:tr w:rsidR="00053D93" w14:paraId="56D397C7" w14:textId="77777777">
        <w:trPr>
          <w:trHeight w:val="9814"/>
        </w:trPr>
        <w:tc>
          <w:tcPr>
            <w:tcW w:w="670" w:type="dxa"/>
            <w:tcBorders>
              <w:top w:val="nil"/>
              <w:left w:val="nil"/>
              <w:bottom w:val="nil"/>
              <w:right w:val="nil"/>
            </w:tcBorders>
            <w:vAlign w:val="bottom"/>
          </w:tcPr>
          <w:p w14:paraId="29F0A4A2" w14:textId="77777777" w:rsidR="00053D93" w:rsidRDefault="00260B75">
            <w:pPr>
              <w:spacing w:line="237" w:lineRule="auto"/>
              <w:ind w:left="14" w:right="295" w:hanging="14"/>
            </w:pPr>
            <w:r>
              <w:rPr>
                <w:sz w:val="70"/>
              </w:rPr>
              <w:t>1 1 1</w:t>
            </w:r>
          </w:p>
          <w:p w14:paraId="0FE8B4FE" w14:textId="77777777" w:rsidR="00053D93" w:rsidRDefault="00260B75">
            <w:pPr>
              <w:ind w:left="14"/>
            </w:pPr>
            <w:r>
              <w:rPr>
                <w:sz w:val="72"/>
              </w:rPr>
              <w:t>1</w:t>
            </w:r>
          </w:p>
          <w:p w14:paraId="6D743B74" w14:textId="77777777" w:rsidR="00053D93" w:rsidRDefault="00260B75">
            <w:pPr>
              <w:ind w:left="7"/>
            </w:pPr>
            <w:r>
              <w:rPr>
                <w:sz w:val="72"/>
              </w:rPr>
              <w:t>1</w:t>
            </w:r>
          </w:p>
          <w:p w14:paraId="1F19C069" w14:textId="77777777" w:rsidR="00053D93" w:rsidRDefault="00260B75">
            <w:pPr>
              <w:ind w:left="14"/>
            </w:pPr>
            <w:r>
              <w:rPr>
                <w:sz w:val="72"/>
              </w:rPr>
              <w:t>1</w:t>
            </w:r>
          </w:p>
          <w:p w14:paraId="39F74BF2" w14:textId="77777777" w:rsidR="00053D93" w:rsidRDefault="00260B75">
            <w:pPr>
              <w:ind w:left="14"/>
            </w:pPr>
            <w:r>
              <w:rPr>
                <w:sz w:val="72"/>
              </w:rPr>
              <w:t>1</w:t>
            </w:r>
          </w:p>
          <w:p w14:paraId="5F29478C" w14:textId="77777777" w:rsidR="00053D93" w:rsidRDefault="00260B75">
            <w:pPr>
              <w:ind w:left="22"/>
            </w:pPr>
            <w:r>
              <w:rPr>
                <w:sz w:val="66"/>
              </w:rPr>
              <w:t>1</w:t>
            </w:r>
          </w:p>
          <w:p w14:paraId="4DAAAE62" w14:textId="77777777" w:rsidR="00053D93" w:rsidRDefault="00260B75">
            <w:pPr>
              <w:ind w:left="22"/>
            </w:pPr>
            <w:r>
              <w:rPr>
                <w:sz w:val="70"/>
              </w:rPr>
              <w:t>1</w:t>
            </w:r>
          </w:p>
          <w:p w14:paraId="27F0CE5A" w14:textId="77777777" w:rsidR="00053D93" w:rsidRDefault="00260B75">
            <w:pPr>
              <w:ind w:left="29"/>
            </w:pPr>
            <w:r>
              <w:rPr>
                <w:sz w:val="66"/>
              </w:rPr>
              <w:t>1</w:t>
            </w:r>
          </w:p>
          <w:p w14:paraId="5C2929FC" w14:textId="77777777" w:rsidR="00053D93" w:rsidRDefault="00260B75">
            <w:pPr>
              <w:ind w:left="22"/>
            </w:pPr>
            <w:r>
              <w:rPr>
                <w:sz w:val="72"/>
              </w:rPr>
              <w:t>1</w:t>
            </w:r>
          </w:p>
          <w:p w14:paraId="323C99D7" w14:textId="77777777" w:rsidR="00053D93" w:rsidRDefault="00260B75">
            <w:pPr>
              <w:ind w:left="36"/>
            </w:pPr>
            <w:r>
              <w:rPr>
                <w:sz w:val="70"/>
              </w:rPr>
              <w:t>1</w:t>
            </w:r>
          </w:p>
        </w:tc>
        <w:tc>
          <w:tcPr>
            <w:tcW w:w="9446" w:type="dxa"/>
            <w:tcBorders>
              <w:top w:val="nil"/>
              <w:left w:val="nil"/>
              <w:bottom w:val="nil"/>
              <w:right w:val="nil"/>
            </w:tcBorders>
          </w:tcPr>
          <w:p w14:paraId="59E69928" w14:textId="77777777" w:rsidR="00053D93" w:rsidRDefault="00260B75">
            <w:pPr>
              <w:spacing w:line="226" w:lineRule="auto"/>
              <w:ind w:left="2138" w:hanging="14"/>
              <w:jc w:val="both"/>
            </w:pPr>
            <w:r>
              <w:rPr>
                <w:sz w:val="26"/>
              </w:rPr>
              <w:t>A las 07:20 se reporta un error de desconexión con la base de datos primaria, pero continúa funcionando sin inconvenientes la replica:</w:t>
            </w:r>
          </w:p>
          <w:p w14:paraId="7E8E7B61" w14:textId="77777777" w:rsidR="00053D93" w:rsidRDefault="00260B75">
            <w:pPr>
              <w:spacing w:line="254" w:lineRule="auto"/>
              <w:ind w:left="2138"/>
              <w:jc w:val="both"/>
            </w:pPr>
            <w:r>
              <w:rPr>
                <w:sz w:val="26"/>
              </w:rPr>
              <w:t>En este punto se ejecutó un comando para verificar integridad de la información. Comando ejecutado rman validate database.</w:t>
            </w:r>
          </w:p>
          <w:p w14:paraId="3B202F00" w14:textId="77777777" w:rsidR="00053D93" w:rsidRDefault="00260B75">
            <w:pPr>
              <w:spacing w:after="543" w:line="216" w:lineRule="auto"/>
              <w:ind w:left="2124" w:right="7" w:firstLine="14"/>
              <w:jc w:val="both"/>
            </w:pPr>
            <w:r>
              <w:rPr>
                <w:sz w:val="26"/>
              </w:rPr>
              <w:t>La base de datos no reporto problemas de integridad por lo que se bajó la instancia y el host por seguridad a las 1 1:10. La base de datos se volvió a iniciar el día 23-08 a las 14:38, ya que se ha confirmado que la integridad de la base de datos local esta correcta.</w:t>
            </w:r>
          </w:p>
          <w:p w14:paraId="5CB7E917" w14:textId="77777777" w:rsidR="00053D93" w:rsidRDefault="00260B75">
            <w:pPr>
              <w:ind w:left="986"/>
            </w:pPr>
            <w:r>
              <w:rPr>
                <w:sz w:val="26"/>
              </w:rPr>
              <w:t>Conclusión:</w:t>
            </w:r>
          </w:p>
          <w:p w14:paraId="16760C3F" w14:textId="77777777" w:rsidR="00053D93" w:rsidRDefault="00260B75">
            <w:pPr>
              <w:numPr>
                <w:ilvl w:val="0"/>
                <w:numId w:val="30"/>
              </w:numPr>
              <w:ind w:hanging="194"/>
            </w:pPr>
            <w:r>
              <w:rPr>
                <w:sz w:val="26"/>
              </w:rPr>
              <w:t>Existencia de una Estrategia de Respaldo y Retención de Información</w:t>
            </w:r>
          </w:p>
          <w:p w14:paraId="49C08E26" w14:textId="77777777" w:rsidR="00053D93" w:rsidRDefault="00260B75">
            <w:pPr>
              <w:spacing w:after="312" w:line="238" w:lineRule="auto"/>
              <w:ind w:left="965" w:right="7" w:firstLine="14"/>
              <w:jc w:val="both"/>
            </w:pPr>
            <w:r>
              <w:rPr>
                <w:sz w:val="26"/>
              </w:rPr>
              <w:t>Como Administrador de Base de Datos del área de Infraestructura y Servicios Críticos, contaba con una estrategia formal y documentada de respaldo y retención de bases de datos, tal como se evidencia en el Plan de Recuperación ante Desastres vigente desde diciembre de 2023. Dicha estrategia fue propuesta por mi persona, revisada y aprobada por el Director de la Dirección de Informática, y comprendía procedimientos específicos para bases de datos Oracle, SQL Server y MariaDB.</w:t>
            </w:r>
          </w:p>
          <w:p w14:paraId="7B1A29A8" w14:textId="77777777" w:rsidR="00053D93" w:rsidRDefault="00260B75">
            <w:pPr>
              <w:numPr>
                <w:ilvl w:val="0"/>
                <w:numId w:val="30"/>
              </w:numPr>
              <w:ind w:hanging="194"/>
            </w:pPr>
            <w:r>
              <w:rPr>
                <w:sz w:val="26"/>
              </w:rPr>
              <w:t>Delimitación de Competencias y Funciones Técnicas</w:t>
            </w:r>
          </w:p>
          <w:p w14:paraId="35BD1AC7" w14:textId="77777777" w:rsidR="00053D93" w:rsidRDefault="00260B75">
            <w:pPr>
              <w:spacing w:after="314" w:line="227" w:lineRule="auto"/>
              <w:ind w:left="958" w:right="22" w:firstLine="14"/>
              <w:jc w:val="both"/>
            </w:pPr>
            <w:r>
              <w:rPr>
                <w:sz w:val="26"/>
              </w:rPr>
              <w:t>No se encuentra dentro de mis atribuciones la administración, configuración ni supervisión de la seguridad perimetral del Centro de Datos, incluyendo seguridad de red, antivirus, ni los sistemas de respaldo a nivel de infraestructura o sistema operativo. Tampoco es de mi competencia la gestión de [os servidores o controladores de dominio del Ministerio de Educación. Estas responsabilidades recaen en el personal específicamente asignado para dichas funciones, como consta en los manuales y descripciones de cargo institucionales.</w:t>
            </w:r>
          </w:p>
          <w:p w14:paraId="32B90ACD" w14:textId="77777777" w:rsidR="00053D93" w:rsidRDefault="00260B75">
            <w:pPr>
              <w:numPr>
                <w:ilvl w:val="0"/>
                <w:numId w:val="30"/>
              </w:numPr>
              <w:ind w:hanging="194"/>
            </w:pPr>
            <w:r>
              <w:rPr>
                <w:sz w:val="26"/>
              </w:rPr>
              <w:t>Naturaleza y Gravedad del Incidente Informático</w:t>
            </w:r>
          </w:p>
          <w:p w14:paraId="7FE03163" w14:textId="77777777" w:rsidR="00053D93" w:rsidRDefault="00260B75">
            <w:pPr>
              <w:ind w:left="943" w:firstLine="14"/>
              <w:jc w:val="both"/>
            </w:pPr>
            <w:r>
              <w:rPr>
                <w:sz w:val="26"/>
              </w:rPr>
              <w:t>El incidente ocurrido el 21 de agosto de 2024 fue producto de un ataque grave de tipo ransomware, según lo establece el informe emitido por la empresa SEGA.</w:t>
            </w:r>
          </w:p>
        </w:tc>
      </w:tr>
    </w:tbl>
    <w:p w14:paraId="0E728E07" w14:textId="77777777" w:rsidR="00053D93" w:rsidRDefault="00260B75">
      <w:pPr>
        <w:spacing w:after="80" w:line="216" w:lineRule="auto"/>
        <w:ind w:left="57" w:right="14" w:firstLine="2491"/>
        <w:jc w:val="both"/>
      </w:pPr>
      <w:r>
        <w:rPr>
          <w:noProof/>
        </w:rPr>
        <w:drawing>
          <wp:anchor distT="0" distB="0" distL="114300" distR="114300" simplePos="0" relativeHeight="252222464" behindDoc="0" locked="0" layoutInCell="1" allowOverlap="0" wp14:anchorId="0EB51E2A" wp14:editId="5552E089">
            <wp:simplePos x="0" y="0"/>
            <wp:positionH relativeFrom="page">
              <wp:posOffset>3918204</wp:posOffset>
            </wp:positionH>
            <wp:positionV relativeFrom="page">
              <wp:posOffset>548640</wp:posOffset>
            </wp:positionV>
            <wp:extent cx="32004" cy="36576"/>
            <wp:effectExtent l="0" t="0" r="0" b="0"/>
            <wp:wrapTopAndBottom/>
            <wp:docPr id="1118396" name="Picture 1118396"/>
            <wp:cNvGraphicFramePr/>
            <a:graphic xmlns:a="http://schemas.openxmlformats.org/drawingml/2006/main">
              <a:graphicData uri="http://schemas.openxmlformats.org/drawingml/2006/picture">
                <pic:pic xmlns:pic="http://schemas.openxmlformats.org/drawingml/2006/picture">
                  <pic:nvPicPr>
                    <pic:cNvPr id="1118396" name="Picture 1118396"/>
                    <pic:cNvPicPr/>
                  </pic:nvPicPr>
                  <pic:blipFill>
                    <a:blip r:embed="rId1553"/>
                    <a:stretch>
                      <a:fillRect/>
                    </a:stretch>
                  </pic:blipFill>
                  <pic:spPr>
                    <a:xfrm>
                      <a:off x="0" y="0"/>
                      <a:ext cx="32004" cy="36576"/>
                    </a:xfrm>
                    <a:prstGeom prst="rect">
                      <a:avLst/>
                    </a:prstGeom>
                  </pic:spPr>
                </pic:pic>
              </a:graphicData>
            </a:graphic>
          </wp:anchor>
        </w:drawing>
      </w:r>
      <w:r>
        <w:rPr>
          <w:noProof/>
        </w:rPr>
        <w:drawing>
          <wp:anchor distT="0" distB="0" distL="114300" distR="114300" simplePos="0" relativeHeight="252223488" behindDoc="0" locked="0" layoutInCell="1" allowOverlap="0" wp14:anchorId="677CD935" wp14:editId="3BA5C69B">
            <wp:simplePos x="0" y="0"/>
            <wp:positionH relativeFrom="column">
              <wp:posOffset>1632204</wp:posOffset>
            </wp:positionH>
            <wp:positionV relativeFrom="paragraph">
              <wp:posOffset>393192</wp:posOffset>
            </wp:positionV>
            <wp:extent cx="59436" cy="59436"/>
            <wp:effectExtent l="0" t="0" r="0" b="0"/>
            <wp:wrapSquare wrapText="bothSides"/>
            <wp:docPr id="1118334" name="Picture 1118334"/>
            <wp:cNvGraphicFramePr/>
            <a:graphic xmlns:a="http://schemas.openxmlformats.org/drawingml/2006/main">
              <a:graphicData uri="http://schemas.openxmlformats.org/drawingml/2006/picture">
                <pic:pic xmlns:pic="http://schemas.openxmlformats.org/drawingml/2006/picture">
                  <pic:nvPicPr>
                    <pic:cNvPr id="1118334" name="Picture 1118334"/>
                    <pic:cNvPicPr/>
                  </pic:nvPicPr>
                  <pic:blipFill>
                    <a:blip r:embed="rId1554"/>
                    <a:stretch>
                      <a:fillRect/>
                    </a:stretch>
                  </pic:blipFill>
                  <pic:spPr>
                    <a:xfrm>
                      <a:off x="0" y="0"/>
                      <a:ext cx="59436" cy="59436"/>
                    </a:xfrm>
                    <a:prstGeom prst="rect">
                      <a:avLst/>
                    </a:prstGeom>
                  </pic:spPr>
                </pic:pic>
              </a:graphicData>
            </a:graphic>
          </wp:anchor>
        </w:drawing>
      </w:r>
      <w:r>
        <w:rPr>
          <w:noProof/>
        </w:rPr>
        <w:drawing>
          <wp:anchor distT="0" distB="0" distL="114300" distR="114300" simplePos="0" relativeHeight="252224512" behindDoc="0" locked="0" layoutInCell="1" allowOverlap="0" wp14:anchorId="61C107EA" wp14:editId="45599385">
            <wp:simplePos x="0" y="0"/>
            <wp:positionH relativeFrom="column">
              <wp:posOffset>32004</wp:posOffset>
            </wp:positionH>
            <wp:positionV relativeFrom="paragraph">
              <wp:posOffset>3360420</wp:posOffset>
            </wp:positionV>
            <wp:extent cx="13716" cy="9144"/>
            <wp:effectExtent l="0" t="0" r="0" b="0"/>
            <wp:wrapSquare wrapText="bothSides"/>
            <wp:docPr id="1118335" name="Picture 1118335"/>
            <wp:cNvGraphicFramePr/>
            <a:graphic xmlns:a="http://schemas.openxmlformats.org/drawingml/2006/main">
              <a:graphicData uri="http://schemas.openxmlformats.org/drawingml/2006/picture">
                <pic:pic xmlns:pic="http://schemas.openxmlformats.org/drawingml/2006/picture">
                  <pic:nvPicPr>
                    <pic:cNvPr id="1118335" name="Picture 1118335"/>
                    <pic:cNvPicPr/>
                  </pic:nvPicPr>
                  <pic:blipFill>
                    <a:blip r:embed="rId76"/>
                    <a:stretch>
                      <a:fillRect/>
                    </a:stretch>
                  </pic:blipFill>
                  <pic:spPr>
                    <a:xfrm>
                      <a:off x="0" y="0"/>
                      <a:ext cx="13716" cy="9144"/>
                    </a:xfrm>
                    <a:prstGeom prst="rect">
                      <a:avLst/>
                    </a:prstGeom>
                  </pic:spPr>
                </pic:pic>
              </a:graphicData>
            </a:graphic>
          </wp:anchor>
        </w:drawing>
      </w:r>
      <w:r>
        <w:rPr>
          <w:noProof/>
        </w:rPr>
        <w:drawing>
          <wp:anchor distT="0" distB="0" distL="114300" distR="114300" simplePos="0" relativeHeight="252225536" behindDoc="0" locked="0" layoutInCell="1" allowOverlap="0" wp14:anchorId="187D244B" wp14:editId="13E615F5">
            <wp:simplePos x="0" y="0"/>
            <wp:positionH relativeFrom="column">
              <wp:posOffset>32004</wp:posOffset>
            </wp:positionH>
            <wp:positionV relativeFrom="paragraph">
              <wp:posOffset>4398264</wp:posOffset>
            </wp:positionV>
            <wp:extent cx="18288" cy="9144"/>
            <wp:effectExtent l="0" t="0" r="0" b="0"/>
            <wp:wrapSquare wrapText="bothSides"/>
            <wp:docPr id="1118336" name="Picture 1118336"/>
            <wp:cNvGraphicFramePr/>
            <a:graphic xmlns:a="http://schemas.openxmlformats.org/drawingml/2006/main">
              <a:graphicData uri="http://schemas.openxmlformats.org/drawingml/2006/picture">
                <pic:pic xmlns:pic="http://schemas.openxmlformats.org/drawingml/2006/picture">
                  <pic:nvPicPr>
                    <pic:cNvPr id="1118336" name="Picture 1118336"/>
                    <pic:cNvPicPr/>
                  </pic:nvPicPr>
                  <pic:blipFill>
                    <a:blip r:embed="rId844"/>
                    <a:stretch>
                      <a:fillRect/>
                    </a:stretch>
                  </pic:blipFill>
                  <pic:spPr>
                    <a:xfrm>
                      <a:off x="0" y="0"/>
                      <a:ext cx="18288" cy="9144"/>
                    </a:xfrm>
                    <a:prstGeom prst="rect">
                      <a:avLst/>
                    </a:prstGeom>
                  </pic:spPr>
                </pic:pic>
              </a:graphicData>
            </a:graphic>
          </wp:anchor>
        </w:drawing>
      </w:r>
      <w:r>
        <w:rPr>
          <w:noProof/>
        </w:rPr>
        <w:drawing>
          <wp:inline distT="0" distB="0" distL="0" distR="0" wp14:anchorId="7CE52121" wp14:editId="7D34F9FA">
            <wp:extent cx="64008" cy="64008"/>
            <wp:effectExtent l="0" t="0" r="0" b="0"/>
            <wp:docPr id="1118333" name="Picture 1118333"/>
            <wp:cNvGraphicFramePr/>
            <a:graphic xmlns:a="http://schemas.openxmlformats.org/drawingml/2006/main">
              <a:graphicData uri="http://schemas.openxmlformats.org/drawingml/2006/picture">
                <pic:pic xmlns:pic="http://schemas.openxmlformats.org/drawingml/2006/picture">
                  <pic:nvPicPr>
                    <pic:cNvPr id="1118333" name="Picture 1118333"/>
                    <pic:cNvPicPr/>
                  </pic:nvPicPr>
                  <pic:blipFill>
                    <a:blip r:embed="rId1555"/>
                    <a:stretch>
                      <a:fillRect/>
                    </a:stretch>
                  </pic:blipFill>
                  <pic:spPr>
                    <a:xfrm>
                      <a:off x="0" y="0"/>
                      <a:ext cx="64008" cy="64008"/>
                    </a:xfrm>
                    <a:prstGeom prst="rect">
                      <a:avLst/>
                    </a:prstGeom>
                  </pic:spPr>
                </pic:pic>
              </a:graphicData>
            </a:graphic>
          </wp:inline>
        </w:drawing>
      </w:r>
      <w:r>
        <w:rPr>
          <w:sz w:val="26"/>
        </w:rPr>
        <w:t xml:space="preserve"> La primera revisión de la base de datos en la nube indica que se 1 encuentra correcta desde 2024-08-21 00:00 horas hasta las 07:20.</w:t>
      </w:r>
    </w:p>
    <w:p w14:paraId="5BBF6920" w14:textId="77777777" w:rsidR="00053D93" w:rsidRDefault="00260B75">
      <w:pPr>
        <w:spacing w:before="9641" w:after="223"/>
        <w:ind w:left="10" w:right="35" w:hanging="10"/>
        <w:jc w:val="right"/>
      </w:pPr>
      <w:r>
        <w:rPr>
          <w:sz w:val="24"/>
        </w:rPr>
        <w:t>Este ataque comprometió el entorno de infraestructura tecnológica del Ministerio,</w:t>
      </w:r>
    </w:p>
    <w:tbl>
      <w:tblPr>
        <w:tblStyle w:val="TableGrid"/>
        <w:tblW w:w="9432" w:type="dxa"/>
        <w:tblInd w:w="742" w:type="dxa"/>
        <w:tblLook w:val="04A0" w:firstRow="1" w:lastRow="0" w:firstColumn="1" w:lastColumn="0" w:noHBand="0" w:noVBand="1"/>
      </w:tblPr>
      <w:tblGrid>
        <w:gridCol w:w="1292"/>
        <w:gridCol w:w="8175"/>
      </w:tblGrid>
      <w:tr w:rsidR="00053D93" w14:paraId="4EE208D7" w14:textId="77777777">
        <w:trPr>
          <w:trHeight w:val="648"/>
        </w:trPr>
        <w:tc>
          <w:tcPr>
            <w:tcW w:w="1781" w:type="dxa"/>
            <w:tcBorders>
              <w:top w:val="nil"/>
              <w:left w:val="nil"/>
              <w:bottom w:val="nil"/>
              <w:right w:val="nil"/>
            </w:tcBorders>
          </w:tcPr>
          <w:p w14:paraId="5930CE82" w14:textId="77777777" w:rsidR="00053D93" w:rsidRDefault="00260B75">
            <w:r>
              <w:rPr>
                <w:noProof/>
              </w:rPr>
              <w:drawing>
                <wp:inline distT="0" distB="0" distL="0" distR="0" wp14:anchorId="7466E9EC" wp14:editId="2B28F78D">
                  <wp:extent cx="1120140" cy="411480"/>
                  <wp:effectExtent l="0" t="0" r="0" b="0"/>
                  <wp:docPr id="1118394" name="Picture 1118394"/>
                  <wp:cNvGraphicFramePr/>
                  <a:graphic xmlns:a="http://schemas.openxmlformats.org/drawingml/2006/main">
                    <a:graphicData uri="http://schemas.openxmlformats.org/drawingml/2006/picture">
                      <pic:pic xmlns:pic="http://schemas.openxmlformats.org/drawingml/2006/picture">
                        <pic:nvPicPr>
                          <pic:cNvPr id="1118394" name="Picture 1118394"/>
                          <pic:cNvPicPr/>
                        </pic:nvPicPr>
                        <pic:blipFill>
                          <a:blip r:embed="rId1556"/>
                          <a:stretch>
                            <a:fillRect/>
                          </a:stretch>
                        </pic:blipFill>
                        <pic:spPr>
                          <a:xfrm>
                            <a:off x="0" y="0"/>
                            <a:ext cx="1120140" cy="411480"/>
                          </a:xfrm>
                          <a:prstGeom prst="rect">
                            <a:avLst/>
                          </a:prstGeom>
                        </pic:spPr>
                      </pic:pic>
                    </a:graphicData>
                  </a:graphic>
                </wp:inline>
              </w:drawing>
            </w:r>
          </w:p>
        </w:tc>
        <w:tc>
          <w:tcPr>
            <w:tcW w:w="7651" w:type="dxa"/>
            <w:tcBorders>
              <w:top w:val="nil"/>
              <w:left w:val="nil"/>
              <w:bottom w:val="nil"/>
              <w:right w:val="nil"/>
            </w:tcBorders>
          </w:tcPr>
          <w:p w14:paraId="406F41EB" w14:textId="77777777" w:rsidR="00053D93" w:rsidRDefault="00053D93">
            <w:pPr>
              <w:ind w:left="-2817" w:right="10469"/>
            </w:pPr>
          </w:p>
          <w:tbl>
            <w:tblPr>
              <w:tblStyle w:val="TableGrid"/>
              <w:tblW w:w="7635" w:type="dxa"/>
              <w:tblInd w:w="17" w:type="dxa"/>
              <w:tblCellMar>
                <w:top w:w="29" w:type="dxa"/>
                <w:left w:w="1752" w:type="dxa"/>
                <w:right w:w="115" w:type="dxa"/>
              </w:tblCellMar>
              <w:tblLook w:val="04A0" w:firstRow="1" w:lastRow="0" w:firstColumn="1" w:lastColumn="0" w:noHBand="0" w:noVBand="1"/>
            </w:tblPr>
            <w:tblGrid>
              <w:gridCol w:w="7635"/>
            </w:tblGrid>
            <w:tr w:rsidR="00053D93" w14:paraId="587C12DF" w14:textId="77777777">
              <w:trPr>
                <w:trHeight w:val="50"/>
              </w:trPr>
              <w:tc>
                <w:tcPr>
                  <w:tcW w:w="7635" w:type="dxa"/>
                  <w:tcBorders>
                    <w:top w:val="nil"/>
                    <w:left w:val="single" w:sz="2" w:space="0" w:color="000000"/>
                    <w:bottom w:val="single" w:sz="2" w:space="0" w:color="000000"/>
                    <w:right w:val="nil"/>
                  </w:tcBorders>
                </w:tcPr>
                <w:p w14:paraId="0740B568" w14:textId="77777777" w:rsidR="00053D93" w:rsidRDefault="00053D93"/>
              </w:tc>
            </w:tr>
            <w:tr w:rsidR="00053D93" w14:paraId="5939FC04" w14:textId="77777777">
              <w:trPr>
                <w:trHeight w:val="590"/>
              </w:trPr>
              <w:tc>
                <w:tcPr>
                  <w:tcW w:w="7635" w:type="dxa"/>
                  <w:tcBorders>
                    <w:top w:val="single" w:sz="2" w:space="0" w:color="000000"/>
                    <w:left w:val="single" w:sz="2" w:space="0" w:color="000000"/>
                    <w:bottom w:val="nil"/>
                    <w:right w:val="nil"/>
                  </w:tcBorders>
                </w:tcPr>
                <w:p w14:paraId="2AECE8C7" w14:textId="77777777" w:rsidR="00053D93" w:rsidRDefault="00260B75">
                  <w:pPr>
                    <w:ind w:left="835"/>
                  </w:pPr>
                  <w:r>
                    <w:rPr>
                      <w:sz w:val="14"/>
                    </w:rPr>
                    <w:t>MINISTERIO DE EDUCACION</w:t>
                  </w:r>
                </w:p>
                <w:p w14:paraId="5DAAE61E" w14:textId="77777777" w:rsidR="00053D93" w:rsidRDefault="00260B75">
                  <w:pPr>
                    <w:ind w:left="338"/>
                  </w:pPr>
                  <w:r>
                    <w:rPr>
                      <w:sz w:val="14"/>
                    </w:rPr>
                    <w:t>AUDITORIA FINANCIERA Y DE CUMPLIMIENTO</w:t>
                  </w:r>
                </w:p>
                <w:p w14:paraId="004B0636" w14:textId="77777777" w:rsidR="00053D93" w:rsidRDefault="00260B75">
                  <w:r>
                    <w:rPr>
                      <w:sz w:val="14"/>
                    </w:rPr>
                    <w:t>PERIODO DEL 01 DE ENERO AL 31 DE DICIEMBRE 2024</w:t>
                  </w:r>
                </w:p>
              </w:tc>
            </w:tr>
          </w:tbl>
          <w:p w14:paraId="2085FA5A" w14:textId="77777777" w:rsidR="00053D93" w:rsidRDefault="00053D93"/>
        </w:tc>
      </w:tr>
    </w:tbl>
    <w:p w14:paraId="5079F825" w14:textId="77777777" w:rsidR="00053D93" w:rsidRDefault="00053D93">
      <w:pPr>
        <w:sectPr w:rsidR="00053D93">
          <w:headerReference w:type="even" r:id="rId1557"/>
          <w:headerReference w:type="default" r:id="rId1558"/>
          <w:footerReference w:type="even" r:id="rId1559"/>
          <w:footerReference w:type="default" r:id="rId1560"/>
          <w:headerReference w:type="first" r:id="rId1561"/>
          <w:footerReference w:type="first" r:id="rId1562"/>
          <w:pgSz w:w="12290" w:h="15883"/>
          <w:pgMar w:top="1109" w:right="1786" w:bottom="598" w:left="295" w:header="353" w:footer="720" w:gutter="0"/>
          <w:cols w:space="720"/>
          <w:titlePg/>
        </w:sectPr>
      </w:pPr>
    </w:p>
    <w:p w14:paraId="72318DB0" w14:textId="77777777" w:rsidR="00053D93" w:rsidRDefault="00260B75">
      <w:pPr>
        <w:spacing w:after="42"/>
        <w:ind w:left="1656" w:right="-7"/>
      </w:pPr>
      <w:r>
        <w:rPr>
          <w:noProof/>
        </w:rPr>
        <mc:AlternateContent>
          <mc:Choice Requires="wpg">
            <w:drawing>
              <wp:inline distT="0" distB="0" distL="0" distR="0" wp14:anchorId="5DAD9697" wp14:editId="67770BCD">
                <wp:extent cx="5381244" cy="9144"/>
                <wp:effectExtent l="0" t="0" r="0" b="0"/>
                <wp:docPr id="2458858" name="Group 2458858"/>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857" name="Shape 2458857"/>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58" style="width:423.72pt;height:0.720001pt;mso-position-horizontal-relative:char;mso-position-vertical-relative:line" coordsize="53812,91">
                <v:shape id="Shape 2458857" style="position:absolute;width:53812;height:91;left:0;top:0;" coordsize="5381244,9144" path="m0,4572l5381244,4572">
                  <v:stroke weight="0.720001pt" endcap="flat" joinstyle="miter" miterlimit="1" on="true" color="#000000"/>
                  <v:fill on="false" color="#000000"/>
                </v:shape>
              </v:group>
            </w:pict>
          </mc:Fallback>
        </mc:AlternateContent>
      </w:r>
    </w:p>
    <w:p w14:paraId="72158881" w14:textId="77777777" w:rsidR="00053D93" w:rsidRDefault="00260B75">
      <w:pPr>
        <w:spacing w:after="3" w:line="273" w:lineRule="auto"/>
        <w:ind w:left="24" w:hanging="3"/>
      </w:pPr>
      <w:r>
        <w:rPr>
          <w:sz w:val="26"/>
        </w:rPr>
        <w:t>1</w:t>
      </w:r>
      <w:r>
        <w:rPr>
          <w:sz w:val="26"/>
        </w:rPr>
        <w:tab/>
        <w:t>incluyendo sistemas operativos, servicios de red y controladores de dominio, lo cual excede el alcance técnico y operativo de mi cargo de administración de bases 1</w:t>
      </w:r>
      <w:r>
        <w:rPr>
          <w:sz w:val="26"/>
        </w:rPr>
        <w:tab/>
        <w:t>de datos.</w:t>
      </w:r>
    </w:p>
    <w:p w14:paraId="3F22A889" w14:textId="77777777" w:rsidR="00053D93" w:rsidRDefault="00260B75">
      <w:pPr>
        <w:spacing w:after="220" w:line="269" w:lineRule="auto"/>
        <w:ind w:left="1659" w:right="14" w:hanging="3"/>
        <w:jc w:val="both"/>
      </w:pPr>
      <w:r>
        <w:rPr>
          <w:sz w:val="26"/>
        </w:rPr>
        <w:t>4 Imposibilidad Técnica de Restaurar</w:t>
      </w:r>
    </w:p>
    <w:p w14:paraId="2FA86A5C" w14:textId="77777777" w:rsidR="00053D93" w:rsidRDefault="00260B75">
      <w:pPr>
        <w:spacing w:after="114" w:line="269" w:lineRule="auto"/>
        <w:ind w:left="60" w:right="14" w:hanging="3"/>
        <w:jc w:val="both"/>
      </w:pPr>
      <w:r>
        <w:rPr>
          <w:noProof/>
        </w:rPr>
        <mc:AlternateContent>
          <mc:Choice Requires="wpg">
            <w:drawing>
              <wp:anchor distT="0" distB="0" distL="114300" distR="114300" simplePos="0" relativeHeight="252226560" behindDoc="0" locked="0" layoutInCell="1" allowOverlap="1" wp14:anchorId="5D0C955B" wp14:editId="46CAB4C0">
                <wp:simplePos x="0" y="0"/>
                <wp:positionH relativeFrom="column">
                  <wp:posOffset>9144</wp:posOffset>
                </wp:positionH>
                <wp:positionV relativeFrom="paragraph">
                  <wp:posOffset>449256</wp:posOffset>
                </wp:positionV>
                <wp:extent cx="114300" cy="292608"/>
                <wp:effectExtent l="0" t="0" r="0" b="0"/>
                <wp:wrapSquare wrapText="bothSides"/>
                <wp:docPr id="2457312" name="Group 2457312"/>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119016" name="Rectangle 1119016"/>
                        <wps:cNvSpPr/>
                        <wps:spPr>
                          <a:xfrm>
                            <a:off x="0" y="0"/>
                            <a:ext cx="152019" cy="389169"/>
                          </a:xfrm>
                          <a:prstGeom prst="rect">
                            <a:avLst/>
                          </a:prstGeom>
                          <a:ln>
                            <a:noFill/>
                          </a:ln>
                        </wps:spPr>
                        <wps:txbx>
                          <w:txbxContent>
                            <w:p w14:paraId="790A2A27"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5D0C955B" id="Group 2457312" o:spid="_x0000_s1628" style="position:absolute;left:0;text-align:left;margin-left:.7pt;margin-top:35.35pt;width:9pt;height:23.05pt;z-index:252226560;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">
                <v:rect id="Rectangle 1119016" o:spid="_x0000_s1629"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" filled="f" stroked="f">
                  <v:textbox inset="0,0,0,0">
                    <w:txbxContent>
                      <w:p w14:paraId="790A2A27" w14:textId="77777777" w:rsidR="00053D93" w:rsidRDefault="00260B75">
                        <w:r>
                          <w:rPr>
                            <w:sz w:val="70"/>
                          </w:rPr>
                          <w:t>1</w:t>
                        </w:r>
                      </w:p>
                    </w:txbxContent>
                  </v:textbox>
                </v:rect>
                <w10:wrap type="square"/>
              </v:group>
            </w:pict>
          </mc:Fallback>
        </mc:AlternateContent>
      </w:r>
      <w:r>
        <w:rPr>
          <w:noProof/>
        </w:rPr>
        <mc:AlternateContent>
          <mc:Choice Requires="wpg">
            <w:drawing>
              <wp:anchor distT="0" distB="0" distL="114300" distR="114300" simplePos="0" relativeHeight="252227584" behindDoc="0" locked="0" layoutInCell="1" allowOverlap="1" wp14:anchorId="69850AC8" wp14:editId="2FFB7D1D">
                <wp:simplePos x="0" y="0"/>
                <wp:positionH relativeFrom="column">
                  <wp:posOffset>4572</wp:posOffset>
                </wp:positionH>
                <wp:positionV relativeFrom="paragraph">
                  <wp:posOffset>965892</wp:posOffset>
                </wp:positionV>
                <wp:extent cx="118872" cy="292608"/>
                <wp:effectExtent l="0" t="0" r="0" b="0"/>
                <wp:wrapSquare wrapText="bothSides"/>
                <wp:docPr id="2457313" name="Group 2457313"/>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119017" name="Rectangle 1119017"/>
                        <wps:cNvSpPr/>
                        <wps:spPr>
                          <a:xfrm>
                            <a:off x="0" y="0"/>
                            <a:ext cx="158100" cy="389169"/>
                          </a:xfrm>
                          <a:prstGeom prst="rect">
                            <a:avLst/>
                          </a:prstGeom>
                          <a:ln>
                            <a:noFill/>
                          </a:ln>
                        </wps:spPr>
                        <wps:txbx>
                          <w:txbxContent>
                            <w:p w14:paraId="1DD536B1"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69850AC8" id="Group 2457313" o:spid="_x0000_s1630" style="position:absolute;left:0;text-align:left;margin-left:.35pt;margin-top:76.05pt;width:9.35pt;height:23.05pt;z-index:252227584;mso-position-horizontal-relative:text;mso-position-vertical-relative:text"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">
                <v:rect id="Rectangle 1119017" o:spid="_x0000_s1631"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" filled="f" stroked="f">
                  <v:textbox inset="0,0,0,0">
                    <w:txbxContent>
                      <w:p w14:paraId="1DD536B1" w14:textId="77777777" w:rsidR="00053D93" w:rsidRDefault="00260B75">
                        <w:r>
                          <w:rPr>
                            <w:sz w:val="72"/>
                          </w:rPr>
                          <w:t>1</w:t>
                        </w:r>
                      </w:p>
                    </w:txbxContent>
                  </v:textbox>
                </v:rect>
                <w10:wrap type="square"/>
              </v:group>
            </w:pict>
          </mc:Fallback>
        </mc:AlternateContent>
      </w:r>
      <w:r>
        <w:rPr>
          <w:sz w:val="26"/>
        </w:rPr>
        <w:t xml:space="preserve">1 A pesar de que los respaldos de bases de datos se generaban conforme a los lineamientos técnicos definidos en el Plan de Recuperación, los servidores fueron afectados y comprometidos por el ransomware, lo que imposibilitó su uso en el proceso de restauración. Cabe señalar que la gestión de la seguridad de dichos respaldos a nivel de infraestructura y la implementación de medidas de protección contra ransomware recaen en otras unidades técnicas especializadas en ese momento del Administrador de Servidores y Backups y no en la administración de bases de datos, donde salió seriamente afectado el sistema de aplicación "Mis </w:t>
      </w:r>
      <w:r>
        <w:rPr>
          <w:noProof/>
        </w:rPr>
        <mc:AlternateContent>
          <mc:Choice Requires="wpg">
            <w:drawing>
              <wp:inline distT="0" distB="0" distL="0" distR="0" wp14:anchorId="5DFB8EEF" wp14:editId="16A75905">
                <wp:extent cx="114300" cy="297180"/>
                <wp:effectExtent l="0" t="0" r="0" b="0"/>
                <wp:docPr id="2457314" name="Group 2457314"/>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119018" name="Rectangle 1119018"/>
                        <wps:cNvSpPr/>
                        <wps:spPr>
                          <a:xfrm>
                            <a:off x="0" y="0"/>
                            <a:ext cx="152019" cy="395249"/>
                          </a:xfrm>
                          <a:prstGeom prst="rect">
                            <a:avLst/>
                          </a:prstGeom>
                          <a:ln>
                            <a:noFill/>
                          </a:ln>
                        </wps:spPr>
                        <wps:txbx>
                          <w:txbxContent>
                            <w:p w14:paraId="6B6A9059"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5DFB8EEF" id="Group 2457314" o:spid="_x0000_s1632"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">
                <v:rect id="Rectangle 1119018" o:spid="_x0000_s1633"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" filled="f" stroked="f">
                  <v:textbox inset="0,0,0,0">
                    <w:txbxContent>
                      <w:p w14:paraId="6B6A9059" w14:textId="77777777" w:rsidR="00053D93" w:rsidRDefault="00260B75">
                        <w:r>
                          <w:rPr>
                            <w:sz w:val="70"/>
                          </w:rPr>
                          <w:t>1</w:t>
                        </w:r>
                      </w:p>
                    </w:txbxContent>
                  </v:textbox>
                </v:rect>
                <w10:anchorlock/>
              </v:group>
            </w:pict>
          </mc:Fallback>
        </mc:AlternateContent>
      </w:r>
      <w:r>
        <w:rPr>
          <w:sz w:val="26"/>
        </w:rPr>
        <w:t xml:space="preserve"> Compras del PAE"</w:t>
      </w:r>
    </w:p>
    <w:p w14:paraId="6B05160C" w14:textId="77777777" w:rsidR="00053D93" w:rsidRDefault="00260B75">
      <w:pPr>
        <w:spacing w:after="311" w:line="269" w:lineRule="auto"/>
        <w:ind w:left="1673" w:right="14" w:hanging="3"/>
        <w:jc w:val="both"/>
      </w:pPr>
      <w:r>
        <w:rPr>
          <w:sz w:val="26"/>
        </w:rPr>
        <w:t>5 Responsabilidad Técnica Cumplida</w:t>
      </w:r>
    </w:p>
    <w:tbl>
      <w:tblPr>
        <w:tblStyle w:val="TableGrid"/>
        <w:tblpPr w:vertAnchor="page" w:horzAnchor="page" w:tblpX="2840" w:tblpY="14566"/>
        <w:tblOverlap w:val="never"/>
        <w:tblW w:w="7664" w:type="dxa"/>
        <w:tblInd w:w="0" w:type="dxa"/>
        <w:tblCellMar>
          <w:top w:w="27" w:type="dxa"/>
          <w:left w:w="1782" w:type="dxa"/>
          <w:right w:w="115" w:type="dxa"/>
        </w:tblCellMar>
        <w:tblLook w:val="04A0" w:firstRow="1" w:lastRow="0" w:firstColumn="1" w:lastColumn="0" w:noHBand="0" w:noVBand="1"/>
      </w:tblPr>
      <w:tblGrid>
        <w:gridCol w:w="7664"/>
      </w:tblGrid>
      <w:tr w:rsidR="00053D93" w14:paraId="53884DC0" w14:textId="77777777">
        <w:trPr>
          <w:trHeight w:val="33"/>
        </w:trPr>
        <w:tc>
          <w:tcPr>
            <w:tcW w:w="7664" w:type="dxa"/>
            <w:tcBorders>
              <w:top w:val="nil"/>
              <w:left w:val="single" w:sz="2" w:space="0" w:color="000000"/>
              <w:bottom w:val="single" w:sz="2" w:space="0" w:color="000000"/>
              <w:right w:val="nil"/>
            </w:tcBorders>
          </w:tcPr>
          <w:p w14:paraId="3D2BC744" w14:textId="77777777" w:rsidR="00053D93" w:rsidRDefault="00053D93"/>
        </w:tc>
      </w:tr>
      <w:tr w:rsidR="00053D93" w14:paraId="7A9593CD" w14:textId="77777777">
        <w:trPr>
          <w:trHeight w:val="600"/>
        </w:trPr>
        <w:tc>
          <w:tcPr>
            <w:tcW w:w="7664" w:type="dxa"/>
            <w:tcBorders>
              <w:top w:val="single" w:sz="2" w:space="0" w:color="000000"/>
              <w:left w:val="single" w:sz="2" w:space="0" w:color="000000"/>
              <w:bottom w:val="nil"/>
              <w:right w:val="nil"/>
            </w:tcBorders>
          </w:tcPr>
          <w:p w14:paraId="2F1B949F" w14:textId="77777777" w:rsidR="00053D93" w:rsidRDefault="00260B75">
            <w:pPr>
              <w:ind w:left="835"/>
            </w:pPr>
            <w:r>
              <w:rPr>
                <w:sz w:val="14"/>
              </w:rPr>
              <w:t>MiN'STERtO OE EDUCACION</w:t>
            </w:r>
          </w:p>
          <w:p w14:paraId="50215162" w14:textId="77777777" w:rsidR="00053D93" w:rsidRDefault="00260B75">
            <w:pPr>
              <w:ind w:left="338"/>
            </w:pPr>
            <w:r>
              <w:rPr>
                <w:sz w:val="14"/>
              </w:rPr>
              <w:t>AUDITORIA FINANCtERA Y DE CUMPLIMIENTO</w:t>
            </w:r>
          </w:p>
          <w:p w14:paraId="293BEA3B" w14:textId="77777777" w:rsidR="00053D93" w:rsidRDefault="00260B75">
            <w:r>
              <w:rPr>
                <w:sz w:val="14"/>
              </w:rPr>
              <w:t>PERIODO DEL 01 ENERO AL 31 DE DICIEMaRE OE 2024</w:t>
            </w:r>
          </w:p>
        </w:tc>
      </w:tr>
    </w:tbl>
    <w:p w14:paraId="57540C6B" w14:textId="77777777" w:rsidR="00053D93" w:rsidRDefault="00260B75">
      <w:pPr>
        <w:spacing w:after="74" w:line="216" w:lineRule="auto"/>
        <w:ind w:left="60" w:right="14" w:hanging="3"/>
        <w:jc w:val="both"/>
      </w:pPr>
      <w:r>
        <w:rPr>
          <w:noProof/>
        </w:rPr>
        <w:drawing>
          <wp:anchor distT="0" distB="0" distL="114300" distR="114300" simplePos="0" relativeHeight="252228608" behindDoc="0" locked="0" layoutInCell="1" allowOverlap="0" wp14:anchorId="2D0EC166" wp14:editId="2A1E42D1">
            <wp:simplePos x="0" y="0"/>
            <wp:positionH relativeFrom="page">
              <wp:posOffset>685800</wp:posOffset>
            </wp:positionH>
            <wp:positionV relativeFrom="page">
              <wp:posOffset>9249156</wp:posOffset>
            </wp:positionV>
            <wp:extent cx="1060704" cy="402336"/>
            <wp:effectExtent l="0" t="0" r="0" b="0"/>
            <wp:wrapTopAndBottom/>
            <wp:docPr id="1121558" name="Picture 1121558"/>
            <wp:cNvGraphicFramePr/>
            <a:graphic xmlns:a="http://schemas.openxmlformats.org/drawingml/2006/main">
              <a:graphicData uri="http://schemas.openxmlformats.org/drawingml/2006/picture">
                <pic:pic xmlns:pic="http://schemas.openxmlformats.org/drawingml/2006/picture">
                  <pic:nvPicPr>
                    <pic:cNvPr id="1121558" name="Picture 1121558"/>
                    <pic:cNvPicPr/>
                  </pic:nvPicPr>
                  <pic:blipFill>
                    <a:blip r:embed="rId1563"/>
                    <a:stretch>
                      <a:fillRect/>
                    </a:stretch>
                  </pic:blipFill>
                  <pic:spPr>
                    <a:xfrm>
                      <a:off x="0" y="0"/>
                      <a:ext cx="1060704" cy="402336"/>
                    </a:xfrm>
                    <a:prstGeom prst="rect">
                      <a:avLst/>
                    </a:prstGeom>
                  </pic:spPr>
                </pic:pic>
              </a:graphicData>
            </a:graphic>
          </wp:anchor>
        </w:drawing>
      </w:r>
      <w:r>
        <w:rPr>
          <w:sz w:val="26"/>
        </w:rPr>
        <w:t xml:space="preserve">1 Finalmente, queda demostrado que, en el ámbito de mis funciones y competencias, actué conforme a los procedimientos establecidos, implementando medidas de respaldo y recuperación para las bases de datos bajo mi administración. No puede atribuirse responsabilidad directa a mi persona sobre las consecuencias derivadas de un ataque de ciberseguridad que afectó a toda la </w:t>
      </w:r>
      <w:r>
        <w:rPr>
          <w:noProof/>
        </w:rPr>
        <mc:AlternateContent>
          <mc:Choice Requires="wpg">
            <w:drawing>
              <wp:inline distT="0" distB="0" distL="0" distR="0" wp14:anchorId="65F620D1" wp14:editId="2E55EA69">
                <wp:extent cx="118872" cy="297180"/>
                <wp:effectExtent l="0" t="0" r="0" b="0"/>
                <wp:docPr id="2457315" name="Group 2457315"/>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119020" name="Rectangle 1119020"/>
                        <wps:cNvSpPr/>
                        <wps:spPr>
                          <a:xfrm>
                            <a:off x="0" y="0"/>
                            <a:ext cx="158100" cy="395249"/>
                          </a:xfrm>
                          <a:prstGeom prst="rect">
                            <a:avLst/>
                          </a:prstGeom>
                          <a:ln>
                            <a:noFill/>
                          </a:ln>
                        </wps:spPr>
                        <wps:txbx>
                          <w:txbxContent>
                            <w:p w14:paraId="4E94518C"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65F620D1" id="Group 2457315" o:spid="_x0000_s1634"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">
                <v:rect id="Rectangle 1119020" o:spid="_x0000_s1635"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" filled="f" stroked="f">
                  <v:textbox inset="0,0,0,0">
                    <w:txbxContent>
                      <w:p w14:paraId="4E94518C" w14:textId="77777777" w:rsidR="00053D93" w:rsidRDefault="00260B75">
                        <w:r>
                          <w:rPr>
                            <w:sz w:val="72"/>
                          </w:rPr>
                          <w:t>1</w:t>
                        </w:r>
                      </w:p>
                    </w:txbxContent>
                  </v:textbox>
                </v:rect>
                <w10:anchorlock/>
              </v:group>
            </w:pict>
          </mc:Fallback>
        </mc:AlternateContent>
      </w:r>
      <w:r>
        <w:rPr>
          <w:sz w:val="26"/>
        </w:rPr>
        <w:t xml:space="preserve"> infraestructura institucional, más allá del alcance de las bases de datos, ni por la falta de acciones efectivas por parte de las áreas responsables de la seguridad y respaldo del centro de datos."</w:t>
      </w:r>
    </w:p>
    <w:p w14:paraId="4E6D42E8" w14:textId="77777777" w:rsidR="00053D93" w:rsidRDefault="00260B75">
      <w:pPr>
        <w:spacing w:after="3"/>
        <w:ind w:left="24" w:hanging="10"/>
      </w:pPr>
      <w:r>
        <w:rPr>
          <w:sz w:val="72"/>
        </w:rPr>
        <w:t>1</w:t>
      </w:r>
    </w:p>
    <w:p w14:paraId="50AC968C" w14:textId="77777777" w:rsidR="00053D93" w:rsidRDefault="00260B75">
      <w:pPr>
        <w:spacing w:after="86" w:line="269" w:lineRule="auto"/>
        <w:ind w:left="57" w:right="14" w:firstLine="1642"/>
        <w:jc w:val="both"/>
      </w:pPr>
      <w:r>
        <w:rPr>
          <w:sz w:val="26"/>
        </w:rPr>
        <w:t>En memorial del 10 de abril de 2025, el señor José Leonardo Xuyá 1 Rejopachí, Administrador de Servidores y SAN, manifiesta: "Durante el tiempo que desempeñe en el Departamento de Infraestructura y Servicios Críticos de la Dirección de Informática, el puesto y funciones asignadas fueron los siguientes:</w:t>
      </w:r>
    </w:p>
    <w:p w14:paraId="081851A7" w14:textId="77777777" w:rsidR="00053D93" w:rsidRDefault="00260B75">
      <w:pPr>
        <w:spacing w:after="3"/>
        <w:ind w:left="74" w:right="3485" w:hanging="10"/>
      </w:pPr>
      <w:r>
        <w:rPr>
          <w:sz w:val="70"/>
        </w:rPr>
        <w:t>1</w:t>
      </w:r>
    </w:p>
    <w:p w14:paraId="28013083" w14:textId="77777777" w:rsidR="00053D93" w:rsidRDefault="00260B75">
      <w:pPr>
        <w:spacing w:after="4" w:line="269" w:lineRule="auto"/>
        <w:ind w:left="1681" w:right="1937" w:hanging="3"/>
        <w:jc w:val="both"/>
      </w:pPr>
      <w:r>
        <w:rPr>
          <w:sz w:val="26"/>
        </w:rPr>
        <w:t>Puesto Funcional: Administrador De Servidores Y San Funciones y Responsabilidades.</w:t>
      </w:r>
    </w:p>
    <w:p w14:paraId="50AED7F2" w14:textId="77777777" w:rsidR="00053D93" w:rsidRDefault="00260B75">
      <w:pPr>
        <w:spacing w:after="3" w:line="265" w:lineRule="auto"/>
        <w:ind w:left="60" w:right="65" w:hanging="10"/>
      </w:pPr>
      <w:r>
        <w:rPr>
          <w:sz w:val="66"/>
        </w:rPr>
        <w:t>1</w:t>
      </w:r>
    </w:p>
    <w:p w14:paraId="5E9F4E42" w14:textId="77777777" w:rsidR="00053D93" w:rsidRDefault="00053D93">
      <w:pPr>
        <w:sectPr w:rsidR="00053D93">
          <w:headerReference w:type="even" r:id="rId1564"/>
          <w:headerReference w:type="default" r:id="rId1565"/>
          <w:footerReference w:type="even" r:id="rId1566"/>
          <w:footerReference w:type="default" r:id="rId1567"/>
          <w:headerReference w:type="first" r:id="rId1568"/>
          <w:footerReference w:type="first" r:id="rId1569"/>
          <w:pgSz w:w="12290" w:h="15883"/>
          <w:pgMar w:top="1289" w:right="1807" w:bottom="713" w:left="353" w:header="324" w:footer="720" w:gutter="0"/>
          <w:cols w:space="720"/>
          <w:titlePg/>
        </w:sectPr>
      </w:pPr>
    </w:p>
    <w:p w14:paraId="208A10AC" w14:textId="77777777" w:rsidR="00053D93" w:rsidRDefault="00260B75">
      <w:pPr>
        <w:numPr>
          <w:ilvl w:val="0"/>
          <w:numId w:val="21"/>
        </w:numPr>
        <w:spacing w:after="4" w:line="269" w:lineRule="auto"/>
        <w:ind w:right="14" w:hanging="324"/>
        <w:jc w:val="both"/>
      </w:pPr>
      <w:r>
        <w:rPr>
          <w:noProof/>
        </w:rPr>
        <mc:AlternateContent>
          <mc:Choice Requires="wpg">
            <w:drawing>
              <wp:anchor distT="0" distB="0" distL="114300" distR="114300" simplePos="0" relativeHeight="252229632" behindDoc="0" locked="0" layoutInCell="1" allowOverlap="1" wp14:anchorId="310E9AFB" wp14:editId="185C6B0C">
                <wp:simplePos x="0" y="0"/>
                <wp:positionH relativeFrom="column">
                  <wp:posOffset>22860</wp:posOffset>
                </wp:positionH>
                <wp:positionV relativeFrom="paragraph">
                  <wp:posOffset>195791</wp:posOffset>
                </wp:positionV>
                <wp:extent cx="109728" cy="297180"/>
                <wp:effectExtent l="0" t="0" r="0" b="0"/>
                <wp:wrapSquare wrapText="bothSides"/>
                <wp:docPr id="2457316" name="Group 2457316"/>
                <wp:cNvGraphicFramePr/>
                <a:graphic xmlns:a="http://schemas.openxmlformats.org/drawingml/2006/main">
                  <a:graphicData uri="http://schemas.microsoft.com/office/word/2010/wordprocessingGroup">
                    <wpg:wgp>
                      <wpg:cNvGrpSpPr/>
                      <wpg:grpSpPr>
                        <a:xfrm>
                          <a:off x="0" y="0"/>
                          <a:ext cx="109728" cy="297180"/>
                          <a:chOff x="0" y="0"/>
                          <a:chExt cx="109728" cy="297180"/>
                        </a:xfrm>
                      </wpg:grpSpPr>
                      <wps:wsp>
                        <wps:cNvPr id="1119025" name="Rectangle 1119025"/>
                        <wps:cNvSpPr/>
                        <wps:spPr>
                          <a:xfrm>
                            <a:off x="0" y="0"/>
                            <a:ext cx="145938" cy="395249"/>
                          </a:xfrm>
                          <a:prstGeom prst="rect">
                            <a:avLst/>
                          </a:prstGeom>
                          <a:ln>
                            <a:noFill/>
                          </a:ln>
                        </wps:spPr>
                        <wps:txbx>
                          <w:txbxContent>
                            <w:p w14:paraId="20C21851"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310E9AFB" id="Group 2457316" o:spid="_x0000_s1636" style="position:absolute;left:0;text-align:left;margin-left:1.8pt;margin-top:15.4pt;width:8.65pt;height:23.4pt;z-index:252229632;mso-position-horizontal-relative:text;mso-position-vertical-relative:text" coordsize="109728,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">
                <v:rect id="Rectangle 1119025" o:spid="_x0000_s1637" style="position:absolute;width:145938;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" filled="f" stroked="f">
                  <v:textbox inset="0,0,0,0">
                    <w:txbxContent>
                      <w:p w14:paraId="20C21851" w14:textId="77777777" w:rsidR="00053D93" w:rsidRDefault="00260B75">
                        <w:r>
                          <w:rPr>
                            <w:sz w:val="66"/>
                          </w:rPr>
                          <w:t>1</w:t>
                        </w:r>
                      </w:p>
                    </w:txbxContent>
                  </v:textbox>
                </v:rect>
                <w10:wrap type="square"/>
              </v:group>
            </w:pict>
          </mc:Fallback>
        </mc:AlternateContent>
      </w:r>
      <w:r>
        <w:rPr>
          <w:sz w:val="26"/>
        </w:rPr>
        <w:t>. Mantener en buen estado el equipo utilizado en el centro de datos de la Dirección de Informática.</w:t>
      </w:r>
    </w:p>
    <w:p w14:paraId="6BAE5007" w14:textId="77777777" w:rsidR="00053D93" w:rsidRDefault="00260B75">
      <w:pPr>
        <w:numPr>
          <w:ilvl w:val="0"/>
          <w:numId w:val="21"/>
        </w:numPr>
        <w:spacing w:after="231" w:line="269" w:lineRule="auto"/>
        <w:ind w:right="14" w:hanging="324"/>
        <w:jc w:val="both"/>
      </w:pPr>
      <w:r>
        <w:rPr>
          <w:sz w:val="26"/>
        </w:rPr>
        <w:t>Monitorear el estado de funcionamiento de los servidores y almacenamiento de datos.</w:t>
      </w:r>
    </w:p>
    <w:p w14:paraId="19410991" w14:textId="77777777" w:rsidR="00053D93" w:rsidRDefault="00260B75">
      <w:pPr>
        <w:spacing w:after="4" w:line="447" w:lineRule="auto"/>
        <w:ind w:left="2260" w:right="14" w:hanging="2203"/>
        <w:jc w:val="both"/>
      </w:pPr>
      <w:r>
        <w:rPr>
          <w:sz w:val="26"/>
        </w:rPr>
        <w:t>1 3. Administrar los sistemas operativos de los servidores instalados en el centro de datos.</w:t>
      </w:r>
    </w:p>
    <w:p w14:paraId="6F18BE3D" w14:textId="77777777" w:rsidR="00053D93" w:rsidRDefault="00260B75">
      <w:pPr>
        <w:numPr>
          <w:ilvl w:val="0"/>
          <w:numId w:val="22"/>
        </w:numPr>
        <w:spacing w:after="4" w:line="216" w:lineRule="auto"/>
        <w:ind w:right="14" w:hanging="317"/>
        <w:jc w:val="both"/>
      </w:pPr>
      <w:r>
        <w:rPr>
          <w:sz w:val="26"/>
        </w:rPr>
        <w:t>Analizar y proponer las características de los equipos tipo servidor y sistema 1</w:t>
      </w:r>
      <w:r>
        <w:rPr>
          <w:sz w:val="26"/>
        </w:rPr>
        <w:tab/>
        <w:t>de almacenamiento que deben utilizarse en el Ministerio de Educación.</w:t>
      </w:r>
    </w:p>
    <w:p w14:paraId="23471DB4" w14:textId="77777777" w:rsidR="00053D93" w:rsidRDefault="00260B75">
      <w:pPr>
        <w:numPr>
          <w:ilvl w:val="0"/>
          <w:numId w:val="22"/>
        </w:numPr>
        <w:spacing w:after="4" w:line="269" w:lineRule="auto"/>
        <w:ind w:right="14" w:hanging="317"/>
        <w:jc w:val="both"/>
      </w:pPr>
      <w:r>
        <w:rPr>
          <w:sz w:val="26"/>
        </w:rPr>
        <w:t>Monitorear el estado y funcionamiento de los servicios informáticos prestados por la Dirección de Informática.</w:t>
      </w:r>
    </w:p>
    <w:p w14:paraId="7A4B3976" w14:textId="77777777" w:rsidR="00053D93" w:rsidRDefault="00260B75">
      <w:pPr>
        <w:tabs>
          <w:tab w:val="right" w:pos="10130"/>
        </w:tabs>
        <w:spacing w:after="3"/>
      </w:pPr>
      <w:r>
        <w:rPr>
          <w:sz w:val="72"/>
        </w:rPr>
        <w:t>1</w:t>
      </w:r>
      <w:r>
        <w:rPr>
          <w:sz w:val="72"/>
        </w:rPr>
        <w:tab/>
      </w:r>
      <w:r>
        <w:rPr>
          <w:noProof/>
        </w:rPr>
        <mc:AlternateContent>
          <mc:Choice Requires="wpg">
            <w:drawing>
              <wp:inline distT="0" distB="0" distL="0" distR="0" wp14:anchorId="2C83795C" wp14:editId="4AD39BA2">
                <wp:extent cx="5385816" cy="9144"/>
                <wp:effectExtent l="0" t="0" r="0" b="0"/>
                <wp:docPr id="2458860" name="Group 2458860"/>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859" name="Shape 2458859"/>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60" style="width:424.08pt;height:0.720001pt;mso-position-horizontal-relative:char;mso-position-vertical-relative:line" coordsize="53858,91">
                <v:shape id="Shape 2458859" style="position:absolute;width:53858;height:91;left:0;top:0;" coordsize="5385816,9144" path="m0,4572l5385816,4572">
                  <v:stroke weight="0.720001pt" endcap="flat" joinstyle="miter" miterlimit="1" on="true" color="#000000"/>
                  <v:fill on="false" color="#000000"/>
                </v:shape>
              </v:group>
            </w:pict>
          </mc:Fallback>
        </mc:AlternateContent>
      </w:r>
    </w:p>
    <w:p w14:paraId="32E8511D" w14:textId="77777777" w:rsidR="00053D93" w:rsidRDefault="00260B75">
      <w:pPr>
        <w:spacing w:after="609" w:line="269" w:lineRule="auto"/>
        <w:ind w:left="57" w:right="14" w:firstLine="1642"/>
        <w:jc w:val="both"/>
      </w:pPr>
      <w:r>
        <w:rPr>
          <w:sz w:val="26"/>
        </w:rPr>
        <w:t>En base a lo anterior descrito; se demuestra que el Administrador de Servidores y 1 San en base a sus funciones, No tenía responsabilidad directa respecto a la falta de Respaldos para los Sistemas Informáticos, también se demuestra que No tenía atribuciones para la gestión, trámites y agilización para los procesos 1 administrativos de compras de la -Dinfo- del Mineduc, así mismo no tenía atribuciones para la elaboración y/o actualización de Manuales.</w:t>
      </w:r>
    </w:p>
    <w:p w14:paraId="157C9915" w14:textId="77777777" w:rsidR="00053D93" w:rsidRDefault="00260B75">
      <w:pPr>
        <w:pStyle w:val="Ttulo4"/>
        <w:tabs>
          <w:tab w:val="center" w:pos="2243"/>
        </w:tabs>
        <w:ind w:left="0" w:firstLine="0"/>
        <w:jc w:val="left"/>
      </w:pPr>
      <w:r>
        <w:t>1</w:t>
      </w:r>
      <w:r>
        <w:tab/>
        <w:t>RESPALDO</w:t>
      </w:r>
    </w:p>
    <w:p w14:paraId="68098268" w14:textId="77777777" w:rsidR="00053D93" w:rsidRDefault="00260B75">
      <w:pPr>
        <w:spacing w:after="650" w:line="216" w:lineRule="auto"/>
        <w:ind w:left="60" w:right="14" w:hanging="3"/>
        <w:jc w:val="both"/>
      </w:pPr>
      <w:r>
        <w:rPr>
          <w:sz w:val="26"/>
        </w:rPr>
        <w:t xml:space="preserve">...nombramiento según OFICIO DINFO No. 1224-2018, de fecha 12 de noviembre </w:t>
      </w:r>
      <w:r>
        <w:rPr>
          <w:noProof/>
        </w:rPr>
        <mc:AlternateContent>
          <mc:Choice Requires="wpg">
            <w:drawing>
              <wp:inline distT="0" distB="0" distL="0" distR="0" wp14:anchorId="33066E31" wp14:editId="18BE2D90">
                <wp:extent cx="118872" cy="301752"/>
                <wp:effectExtent l="0" t="0" r="0" b="0"/>
                <wp:docPr id="2457321" name="Group 2457321"/>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1122103" name="Rectangle 1122103"/>
                        <wps:cNvSpPr/>
                        <wps:spPr>
                          <a:xfrm>
                            <a:off x="0" y="0"/>
                            <a:ext cx="158100" cy="401330"/>
                          </a:xfrm>
                          <a:prstGeom prst="rect">
                            <a:avLst/>
                          </a:prstGeom>
                          <a:ln>
                            <a:noFill/>
                          </a:ln>
                        </wps:spPr>
                        <wps:txbx>
                          <w:txbxContent>
                            <w:p w14:paraId="129C9CFC"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33066E31" id="Group 2457321" o:spid="_x0000_s1638"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">
                <v:rect id="Rectangle 1122103" o:spid="_x0000_s1639"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" filled="f" stroked="f">
                  <v:textbox inset="0,0,0,0">
                    <w:txbxContent>
                      <w:p w14:paraId="129C9CFC" w14:textId="77777777" w:rsidR="00053D93" w:rsidRDefault="00260B75">
                        <w:r>
                          <w:rPr>
                            <w:sz w:val="72"/>
                          </w:rPr>
                          <w:t>1</w:t>
                        </w:r>
                      </w:p>
                    </w:txbxContent>
                  </v:textbox>
                </v:rect>
                <w10:anchorlock/>
              </v:group>
            </w:pict>
          </mc:Fallback>
        </mc:AlternateContent>
      </w:r>
      <w:r>
        <w:rPr>
          <w:sz w:val="26"/>
        </w:rPr>
        <w:t xml:space="preserve"> del 2018, describiendo las funciones asignadas para puesto de Administrador de servidores y SAN.</w:t>
      </w:r>
    </w:p>
    <w:p w14:paraId="4FDCD06F" w14:textId="77777777" w:rsidR="00053D93" w:rsidRDefault="00260B75">
      <w:pPr>
        <w:tabs>
          <w:tab w:val="center" w:pos="2264"/>
        </w:tabs>
        <w:spacing w:after="4" w:line="266" w:lineRule="auto"/>
      </w:pPr>
      <w:r>
        <w:rPr>
          <w:noProof/>
        </w:rPr>
        <w:drawing>
          <wp:inline distT="0" distB="0" distL="0" distR="0" wp14:anchorId="52E6A608" wp14:editId="757C6E00">
            <wp:extent cx="9144" cy="9144"/>
            <wp:effectExtent l="0" t="0" r="0" b="0"/>
            <wp:docPr id="1124559" name="Picture 1124559"/>
            <wp:cNvGraphicFramePr/>
            <a:graphic xmlns:a="http://schemas.openxmlformats.org/drawingml/2006/main">
              <a:graphicData uri="http://schemas.openxmlformats.org/drawingml/2006/picture">
                <pic:pic xmlns:pic="http://schemas.openxmlformats.org/drawingml/2006/picture">
                  <pic:nvPicPr>
                    <pic:cNvPr id="1124559" name="Picture 1124559"/>
                    <pic:cNvPicPr/>
                  </pic:nvPicPr>
                  <pic:blipFill>
                    <a:blip r:embed="rId117"/>
                    <a:stretch>
                      <a:fillRect/>
                    </a:stretch>
                  </pic:blipFill>
                  <pic:spPr>
                    <a:xfrm>
                      <a:off x="0" y="0"/>
                      <a:ext cx="9144" cy="9144"/>
                    </a:xfrm>
                    <a:prstGeom prst="rect">
                      <a:avLst/>
                    </a:prstGeom>
                  </pic:spPr>
                </pic:pic>
              </a:graphicData>
            </a:graphic>
          </wp:inline>
        </w:drawing>
      </w:r>
      <w:r>
        <w:rPr>
          <w:sz w:val="28"/>
        </w:rPr>
        <w:t>1</w:t>
      </w:r>
      <w:r>
        <w:rPr>
          <w:sz w:val="28"/>
        </w:rPr>
        <w:tab/>
        <w:t>CONCLUYO</w:t>
      </w:r>
    </w:p>
    <w:p w14:paraId="65350771" w14:textId="77777777" w:rsidR="00053D93" w:rsidRDefault="00260B75">
      <w:pPr>
        <w:spacing w:after="4" w:line="269" w:lineRule="auto"/>
        <w:ind w:left="-7" w:right="14" w:firstLine="1642"/>
        <w:jc w:val="both"/>
      </w:pPr>
      <w:r>
        <w:rPr>
          <w:noProof/>
        </w:rPr>
        <mc:AlternateContent>
          <mc:Choice Requires="wpg">
            <w:drawing>
              <wp:anchor distT="0" distB="0" distL="114300" distR="114300" simplePos="0" relativeHeight="252230656" behindDoc="0" locked="0" layoutInCell="1" allowOverlap="1" wp14:anchorId="4194E1D2" wp14:editId="07A81DD1">
                <wp:simplePos x="0" y="0"/>
                <wp:positionH relativeFrom="column">
                  <wp:posOffset>9144</wp:posOffset>
                </wp:positionH>
                <wp:positionV relativeFrom="paragraph">
                  <wp:posOffset>190105</wp:posOffset>
                </wp:positionV>
                <wp:extent cx="114300" cy="297180"/>
                <wp:effectExtent l="0" t="0" r="0" b="0"/>
                <wp:wrapSquare wrapText="bothSides"/>
                <wp:docPr id="2457322" name="Group 2457322"/>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122105" name="Rectangle 1122105"/>
                        <wps:cNvSpPr/>
                        <wps:spPr>
                          <a:xfrm>
                            <a:off x="0" y="0"/>
                            <a:ext cx="152019" cy="395250"/>
                          </a:xfrm>
                          <a:prstGeom prst="rect">
                            <a:avLst/>
                          </a:prstGeom>
                          <a:ln>
                            <a:noFill/>
                          </a:ln>
                        </wps:spPr>
                        <wps:txbx>
                          <w:txbxContent>
                            <w:p w14:paraId="1BAADDC8"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4194E1D2" id="Group 2457322" o:spid="_x0000_s1640" style="position:absolute;left:0;text-align:left;margin-left:.7pt;margin-top:14.95pt;width:9pt;height:23.4pt;z-index:252230656;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">
                <v:rect id="Rectangle 1122105" o:spid="_x0000_s1641"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" filled="f" stroked="f">
                  <v:textbox inset="0,0,0,0">
                    <w:txbxContent>
                      <w:p w14:paraId="1BAADDC8" w14:textId="77777777" w:rsidR="00053D93" w:rsidRDefault="00260B75">
                        <w:r>
                          <w:rPr>
                            <w:sz w:val="70"/>
                          </w:rPr>
                          <w:t>1</w:t>
                        </w:r>
                      </w:p>
                    </w:txbxContent>
                  </v:textbox>
                </v:rect>
                <w10:wrap type="square"/>
              </v:group>
            </w:pict>
          </mc:Fallback>
        </mc:AlternateContent>
      </w:r>
      <w:r>
        <w:rPr>
          <w:sz w:val="26"/>
        </w:rPr>
        <w:t xml:space="preserve">Por Io expuesto anteriormente, solicito se tomen en cuenta mis comentarios </w:t>
      </w:r>
      <w:r>
        <w:rPr>
          <w:noProof/>
        </w:rPr>
        <w:drawing>
          <wp:inline distT="0" distB="0" distL="0" distR="0" wp14:anchorId="578C9D50" wp14:editId="487BDD5B">
            <wp:extent cx="4572" cy="4572"/>
            <wp:effectExtent l="0" t="0" r="0" b="0"/>
            <wp:docPr id="1124560" name="Picture 1124560"/>
            <wp:cNvGraphicFramePr/>
            <a:graphic xmlns:a="http://schemas.openxmlformats.org/drawingml/2006/main">
              <a:graphicData uri="http://schemas.openxmlformats.org/drawingml/2006/picture">
                <pic:pic xmlns:pic="http://schemas.openxmlformats.org/drawingml/2006/picture">
                  <pic:nvPicPr>
                    <pic:cNvPr id="1124560" name="Picture 1124560"/>
                    <pic:cNvPicPr/>
                  </pic:nvPicPr>
                  <pic:blipFill>
                    <a:blip r:embed="rId845"/>
                    <a:stretch>
                      <a:fillRect/>
                    </a:stretch>
                  </pic:blipFill>
                  <pic:spPr>
                    <a:xfrm>
                      <a:off x="0" y="0"/>
                      <a:ext cx="4572" cy="4572"/>
                    </a:xfrm>
                    <a:prstGeom prst="rect">
                      <a:avLst/>
                    </a:prstGeom>
                  </pic:spPr>
                </pic:pic>
              </a:graphicData>
            </a:graphic>
          </wp:inline>
        </w:drawing>
      </w:r>
      <w:r>
        <w:rPr>
          <w:sz w:val="26"/>
        </w:rPr>
        <w:t xml:space="preserve"> presentados para mi legítimo derecho de defensa, los argumentos y documentos presentados, solicitando que este posible hallazgo sea desvanecido para el Administrador de Servidores y San, ya que se demuestra que entre [as funciones </w:t>
      </w:r>
      <w:r>
        <w:rPr>
          <w:noProof/>
        </w:rPr>
        <mc:AlternateContent>
          <mc:Choice Requires="wpg">
            <w:drawing>
              <wp:inline distT="0" distB="0" distL="0" distR="0" wp14:anchorId="52E7B6FC" wp14:editId="1E63D3F7">
                <wp:extent cx="109728" cy="292608"/>
                <wp:effectExtent l="0" t="0" r="0" b="0"/>
                <wp:docPr id="2457323" name="Group 2457323"/>
                <wp:cNvGraphicFramePr/>
                <a:graphic xmlns:a="http://schemas.openxmlformats.org/drawingml/2006/main">
                  <a:graphicData uri="http://schemas.microsoft.com/office/word/2010/wordprocessingGroup">
                    <wpg:wgp>
                      <wpg:cNvGrpSpPr/>
                      <wpg:grpSpPr>
                        <a:xfrm>
                          <a:off x="0" y="0"/>
                          <a:ext cx="109728" cy="292608"/>
                          <a:chOff x="0" y="0"/>
                          <a:chExt cx="109728" cy="292608"/>
                        </a:xfrm>
                      </wpg:grpSpPr>
                      <wps:wsp>
                        <wps:cNvPr id="1122106" name="Rectangle 1122106"/>
                        <wps:cNvSpPr/>
                        <wps:spPr>
                          <a:xfrm>
                            <a:off x="0" y="0"/>
                            <a:ext cx="145938" cy="389168"/>
                          </a:xfrm>
                          <a:prstGeom prst="rect">
                            <a:avLst/>
                          </a:prstGeom>
                          <a:ln>
                            <a:noFill/>
                          </a:ln>
                        </wps:spPr>
                        <wps:txbx>
                          <w:txbxContent>
                            <w:p w14:paraId="1510F57C"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52E7B6FC" id="Group 2457323" o:spid="_x0000_s1642" style="width:8.65pt;height:23.05pt;mso-position-horizontal-relative:char;mso-position-vertical-relative:line" coordsize="109728,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">
                <v:rect id="Rectangle 1122106" o:spid="_x0000_s1643" style="position:absolute;width:145938;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" filled="f" stroked="f">
                  <v:textbox inset="0,0,0,0">
                    <w:txbxContent>
                      <w:p w14:paraId="1510F57C" w14:textId="77777777" w:rsidR="00053D93" w:rsidRDefault="00260B75">
                        <w:r>
                          <w:rPr>
                            <w:sz w:val="66"/>
                          </w:rPr>
                          <w:t>1</w:t>
                        </w:r>
                      </w:p>
                    </w:txbxContent>
                  </v:textbox>
                </v:rect>
                <w10:anchorlock/>
              </v:group>
            </w:pict>
          </mc:Fallback>
        </mc:AlternateContent>
      </w:r>
      <w:r>
        <w:rPr>
          <w:sz w:val="26"/>
        </w:rPr>
        <w:t xml:space="preserve"> no existe responsabilidades respecto a los respaldos de los sistemas</w:t>
      </w:r>
    </w:p>
    <w:p w14:paraId="3E6B6114" w14:textId="77777777" w:rsidR="00053D93" w:rsidRDefault="00260B75">
      <w:pPr>
        <w:spacing w:after="653" w:line="265" w:lineRule="auto"/>
        <w:ind w:left="9" w:hanging="10"/>
        <w:jc w:val="both"/>
      </w:pPr>
      <w:r>
        <w:rPr>
          <w:noProof/>
        </w:rPr>
        <w:drawing>
          <wp:anchor distT="0" distB="0" distL="114300" distR="114300" simplePos="0" relativeHeight="252231680" behindDoc="0" locked="0" layoutInCell="1" allowOverlap="0" wp14:anchorId="76C76C37" wp14:editId="5B8F70BE">
            <wp:simplePos x="0" y="0"/>
            <wp:positionH relativeFrom="page">
              <wp:posOffset>219456</wp:posOffset>
            </wp:positionH>
            <wp:positionV relativeFrom="page">
              <wp:posOffset>854964</wp:posOffset>
            </wp:positionV>
            <wp:extent cx="4572" cy="9144"/>
            <wp:effectExtent l="0" t="0" r="0" b="0"/>
            <wp:wrapSquare wrapText="bothSides"/>
            <wp:docPr id="1124558" name="Picture 1124558"/>
            <wp:cNvGraphicFramePr/>
            <a:graphic xmlns:a="http://schemas.openxmlformats.org/drawingml/2006/main">
              <a:graphicData uri="http://schemas.openxmlformats.org/drawingml/2006/picture">
                <pic:pic xmlns:pic="http://schemas.openxmlformats.org/drawingml/2006/picture">
                  <pic:nvPicPr>
                    <pic:cNvPr id="1124558" name="Picture 1124558"/>
                    <pic:cNvPicPr/>
                  </pic:nvPicPr>
                  <pic:blipFill>
                    <a:blip r:embed="rId24"/>
                    <a:stretch>
                      <a:fillRect/>
                    </a:stretch>
                  </pic:blipFill>
                  <pic:spPr>
                    <a:xfrm>
                      <a:off x="0" y="0"/>
                      <a:ext cx="4572" cy="9144"/>
                    </a:xfrm>
                    <a:prstGeom prst="rect">
                      <a:avLst/>
                    </a:prstGeom>
                  </pic:spPr>
                </pic:pic>
              </a:graphicData>
            </a:graphic>
          </wp:anchor>
        </w:drawing>
      </w:r>
      <w:r>
        <w:rPr>
          <w:noProof/>
        </w:rPr>
        <w:drawing>
          <wp:anchor distT="0" distB="0" distL="114300" distR="114300" simplePos="0" relativeHeight="252232704" behindDoc="0" locked="0" layoutInCell="1" allowOverlap="0" wp14:anchorId="28E4FF1E" wp14:editId="741BF06C">
            <wp:simplePos x="0" y="0"/>
            <wp:positionH relativeFrom="page">
              <wp:posOffset>224028</wp:posOffset>
            </wp:positionH>
            <wp:positionV relativeFrom="page">
              <wp:posOffset>4992624</wp:posOffset>
            </wp:positionV>
            <wp:extent cx="4572" cy="9144"/>
            <wp:effectExtent l="0" t="0" r="0" b="0"/>
            <wp:wrapTopAndBottom/>
            <wp:docPr id="1124562" name="Picture 1124562"/>
            <wp:cNvGraphicFramePr/>
            <a:graphic xmlns:a="http://schemas.openxmlformats.org/drawingml/2006/main">
              <a:graphicData uri="http://schemas.openxmlformats.org/drawingml/2006/picture">
                <pic:pic xmlns:pic="http://schemas.openxmlformats.org/drawingml/2006/picture">
                  <pic:nvPicPr>
                    <pic:cNvPr id="1124562" name="Picture 1124562"/>
                    <pic:cNvPicPr/>
                  </pic:nvPicPr>
                  <pic:blipFill>
                    <a:blip r:embed="rId24"/>
                    <a:stretch>
                      <a:fillRect/>
                    </a:stretch>
                  </pic:blipFill>
                  <pic:spPr>
                    <a:xfrm>
                      <a:off x="0" y="0"/>
                      <a:ext cx="4572" cy="9144"/>
                    </a:xfrm>
                    <a:prstGeom prst="rect">
                      <a:avLst/>
                    </a:prstGeom>
                  </pic:spPr>
                </pic:pic>
              </a:graphicData>
            </a:graphic>
          </wp:anchor>
        </w:drawing>
      </w:r>
      <w:r>
        <w:rPr>
          <w:sz w:val="24"/>
        </w:rPr>
        <w:t>informáticos.'</w:t>
      </w:r>
      <w:r>
        <w:rPr>
          <w:noProof/>
        </w:rPr>
        <w:drawing>
          <wp:inline distT="0" distB="0" distL="0" distR="0" wp14:anchorId="6EE346DC" wp14:editId="202247DB">
            <wp:extent cx="13716" cy="41148"/>
            <wp:effectExtent l="0" t="0" r="0" b="0"/>
            <wp:docPr id="1124561" name="Picture 1124561"/>
            <wp:cNvGraphicFramePr/>
            <a:graphic xmlns:a="http://schemas.openxmlformats.org/drawingml/2006/main">
              <a:graphicData uri="http://schemas.openxmlformats.org/drawingml/2006/picture">
                <pic:pic xmlns:pic="http://schemas.openxmlformats.org/drawingml/2006/picture">
                  <pic:nvPicPr>
                    <pic:cNvPr id="1124561" name="Picture 1124561"/>
                    <pic:cNvPicPr/>
                  </pic:nvPicPr>
                  <pic:blipFill>
                    <a:blip r:embed="rId1355"/>
                    <a:stretch>
                      <a:fillRect/>
                    </a:stretch>
                  </pic:blipFill>
                  <pic:spPr>
                    <a:xfrm>
                      <a:off x="0" y="0"/>
                      <a:ext cx="13716" cy="41148"/>
                    </a:xfrm>
                    <a:prstGeom prst="rect">
                      <a:avLst/>
                    </a:prstGeom>
                  </pic:spPr>
                </pic:pic>
              </a:graphicData>
            </a:graphic>
          </wp:inline>
        </w:drawing>
      </w:r>
    </w:p>
    <w:p w14:paraId="38780CBD" w14:textId="77777777" w:rsidR="00053D93" w:rsidRDefault="00260B75">
      <w:pPr>
        <w:spacing w:after="584" w:line="269" w:lineRule="auto"/>
        <w:ind w:left="60" w:right="14" w:hanging="3"/>
        <w:jc w:val="both"/>
      </w:pPr>
      <w:r>
        <w:rPr>
          <w:noProof/>
        </w:rPr>
        <mc:AlternateContent>
          <mc:Choice Requires="wpg">
            <w:drawing>
              <wp:anchor distT="0" distB="0" distL="114300" distR="114300" simplePos="0" relativeHeight="252233728" behindDoc="0" locked="0" layoutInCell="1" allowOverlap="1" wp14:anchorId="5E2B5F9E" wp14:editId="4100200B">
                <wp:simplePos x="0" y="0"/>
                <wp:positionH relativeFrom="column">
                  <wp:posOffset>9144</wp:posOffset>
                </wp:positionH>
                <wp:positionV relativeFrom="paragraph">
                  <wp:posOffset>379130</wp:posOffset>
                </wp:positionV>
                <wp:extent cx="118872" cy="297180"/>
                <wp:effectExtent l="0" t="0" r="0" b="0"/>
                <wp:wrapSquare wrapText="bothSides"/>
                <wp:docPr id="2457324" name="Group 2457324"/>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122108" name="Rectangle 1122108"/>
                        <wps:cNvSpPr/>
                        <wps:spPr>
                          <a:xfrm>
                            <a:off x="0" y="0"/>
                            <a:ext cx="158100" cy="395250"/>
                          </a:xfrm>
                          <a:prstGeom prst="rect">
                            <a:avLst/>
                          </a:prstGeom>
                          <a:ln>
                            <a:noFill/>
                          </a:ln>
                        </wps:spPr>
                        <wps:txbx>
                          <w:txbxContent>
                            <w:p w14:paraId="77564935"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5E2B5F9E" id="Group 2457324" o:spid="_x0000_s1644" style="position:absolute;left:0;text-align:left;margin-left:.7pt;margin-top:29.85pt;width:9.35pt;height:23.4pt;z-index:252233728;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">
                <v:rect id="Rectangle 1122108" o:spid="_x0000_s1645"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" filled="f" stroked="f">
                  <v:textbox inset="0,0,0,0">
                    <w:txbxContent>
                      <w:p w14:paraId="77564935" w14:textId="77777777" w:rsidR="00053D93" w:rsidRDefault="00260B75">
                        <w:r>
                          <w:rPr>
                            <w:sz w:val="72"/>
                          </w:rPr>
                          <w:t>1</w:t>
                        </w:r>
                      </w:p>
                    </w:txbxContent>
                  </v:textbox>
                </v:rect>
                <w10:wrap type="square"/>
              </v:group>
            </w:pict>
          </mc:Fallback>
        </mc:AlternateContent>
      </w:r>
      <w:r>
        <w:rPr>
          <w:sz w:val="26"/>
        </w:rPr>
        <w:t xml:space="preserve">1 En nota del IO de abril de 2025, el señor Eduardo José Villagrán Orellana, Administrador de Antivirus y Firewall, manifiesta: "Hago de su conocimiento que mi puesto es Técnico Profesional de Informática IV; y en relación al posible hallazgo manifiesto que no se encuentra dentro de mi competencia: 1 . Realizar funciones de dirección, 2. Realizar respaldos de sistemas informáticos, 3. </w:t>
      </w:r>
      <w:r>
        <w:rPr>
          <w:noProof/>
        </w:rPr>
        <mc:AlternateContent>
          <mc:Choice Requires="wpg">
            <w:drawing>
              <wp:inline distT="0" distB="0" distL="0" distR="0" wp14:anchorId="3CDA1233" wp14:editId="14F8FDF4">
                <wp:extent cx="123444" cy="297180"/>
                <wp:effectExtent l="0" t="0" r="0" b="0"/>
                <wp:docPr id="2457325" name="Group 2457325"/>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1122109" name="Rectangle 1122109"/>
                        <wps:cNvSpPr/>
                        <wps:spPr>
                          <a:xfrm>
                            <a:off x="0" y="0"/>
                            <a:ext cx="164181" cy="395249"/>
                          </a:xfrm>
                          <a:prstGeom prst="rect">
                            <a:avLst/>
                          </a:prstGeom>
                          <a:ln>
                            <a:noFill/>
                          </a:ln>
                        </wps:spPr>
                        <wps:txbx>
                          <w:txbxContent>
                            <w:p w14:paraId="690210D2"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3CDA1233" id="Group 2457325" o:spid="_x0000_s1646" style="width:9.7pt;height:23.4pt;mso-position-horizontal-relative:char;mso-position-vertical-relative:line"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">
                <v:rect id="Rectangle 1122109" o:spid="_x0000_s1647"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" filled="f" stroked="f">
                  <v:textbox inset="0,0,0,0">
                    <w:txbxContent>
                      <w:p w14:paraId="690210D2" w14:textId="77777777" w:rsidR="00053D93" w:rsidRDefault="00260B75">
                        <w:r>
                          <w:rPr>
                            <w:sz w:val="74"/>
                          </w:rPr>
                          <w:t>1</w:t>
                        </w:r>
                      </w:p>
                    </w:txbxContent>
                  </v:textbox>
                </v:rect>
                <w10:anchorlock/>
              </v:group>
            </w:pict>
          </mc:Fallback>
        </mc:AlternateContent>
      </w:r>
      <w:r>
        <w:rPr>
          <w:sz w:val="26"/>
        </w:rPr>
        <w:t xml:space="preserve"> Supervisar que el personal informático realice respaldos, 4. Actualizar los manuales de normas y procedimientos.</w:t>
      </w:r>
    </w:p>
    <w:p w14:paraId="708D8BA5" w14:textId="77777777" w:rsidR="00053D93" w:rsidRDefault="00260B75">
      <w:pPr>
        <w:spacing w:after="544" w:line="269" w:lineRule="auto"/>
        <w:ind w:left="60" w:right="14" w:hanging="3"/>
        <w:jc w:val="both"/>
      </w:pPr>
      <w:r>
        <w:rPr>
          <w:noProof/>
        </w:rPr>
        <mc:AlternateContent>
          <mc:Choice Requires="wpg">
            <w:drawing>
              <wp:anchor distT="0" distB="0" distL="114300" distR="114300" simplePos="0" relativeHeight="252234752" behindDoc="0" locked="0" layoutInCell="1" allowOverlap="1" wp14:anchorId="2F3341CC" wp14:editId="5C7005E0">
                <wp:simplePos x="0" y="0"/>
                <wp:positionH relativeFrom="column">
                  <wp:posOffset>13716</wp:posOffset>
                </wp:positionH>
                <wp:positionV relativeFrom="paragraph">
                  <wp:posOffset>379461</wp:posOffset>
                </wp:positionV>
                <wp:extent cx="114300" cy="301751"/>
                <wp:effectExtent l="0" t="0" r="0" b="0"/>
                <wp:wrapSquare wrapText="bothSides"/>
                <wp:docPr id="2457326" name="Group 2457326"/>
                <wp:cNvGraphicFramePr/>
                <a:graphic xmlns:a="http://schemas.openxmlformats.org/drawingml/2006/main">
                  <a:graphicData uri="http://schemas.microsoft.com/office/word/2010/wordprocessingGroup">
                    <wpg:wgp>
                      <wpg:cNvGrpSpPr/>
                      <wpg:grpSpPr>
                        <a:xfrm>
                          <a:off x="0" y="0"/>
                          <a:ext cx="114300" cy="301751"/>
                          <a:chOff x="0" y="0"/>
                          <a:chExt cx="114300" cy="301751"/>
                        </a:xfrm>
                      </wpg:grpSpPr>
                      <wps:wsp>
                        <wps:cNvPr id="1122111" name="Rectangle 1122111"/>
                        <wps:cNvSpPr/>
                        <wps:spPr>
                          <a:xfrm>
                            <a:off x="0" y="0"/>
                            <a:ext cx="152019" cy="401329"/>
                          </a:xfrm>
                          <a:prstGeom prst="rect">
                            <a:avLst/>
                          </a:prstGeom>
                          <a:ln>
                            <a:noFill/>
                          </a:ln>
                        </wps:spPr>
                        <wps:txbx>
                          <w:txbxContent>
                            <w:p w14:paraId="7A1BD73F"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2F3341CC" id="Group 2457326" o:spid="_x0000_s1648" style="position:absolute;left:0;text-align:left;margin-left:1.1pt;margin-top:29.9pt;width:9pt;height:23.75pt;z-index:252234752;mso-position-horizontal-relative:text;mso-position-vertical-relative:text" coordsize="114300,30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">
                <v:rect id="Rectangle 1122111" o:spid="_x0000_s1649" style="position:absolute;width:152019;height:40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" filled="f" stroked="f">
                  <v:textbox inset="0,0,0,0">
                    <w:txbxContent>
                      <w:p w14:paraId="7A1BD73F" w14:textId="77777777" w:rsidR="00053D93" w:rsidRDefault="00260B75">
                        <w:r>
                          <w:rPr>
                            <w:sz w:val="70"/>
                          </w:rPr>
                          <w:t>1</w:t>
                        </w:r>
                      </w:p>
                    </w:txbxContent>
                  </v:textbox>
                </v:rect>
                <w10:wrap type="square"/>
              </v:group>
            </w:pict>
          </mc:Fallback>
        </mc:AlternateContent>
      </w:r>
      <w:r>
        <w:rPr>
          <w:sz w:val="26"/>
        </w:rPr>
        <w:t>1 Es función de los jefes inmediatos [a segregación de funciones y la supervisión del trabajo del personal a su cargo, así mismo velar por que dicho personal cuente con las herramientas y las normativas necesarias que permitan desarrollar su trabajo de manera eficiente y oportuna.</w:t>
      </w:r>
    </w:p>
    <w:p w14:paraId="013322BF" w14:textId="77777777" w:rsidR="00053D93" w:rsidRDefault="00260B75">
      <w:pPr>
        <w:spacing w:after="4" w:line="399" w:lineRule="auto"/>
        <w:ind w:left="1648" w:right="14" w:hanging="1591"/>
        <w:jc w:val="both"/>
      </w:pPr>
      <w:r>
        <w:rPr>
          <w:sz w:val="26"/>
        </w:rPr>
        <w:t>1 Por dicho motivo y con base a los argumentos expuestos, solicito que se me desvanezca el posible hallazgo de control interno denominado: Falta de respaldo</w:t>
      </w:r>
    </w:p>
    <w:p w14:paraId="21C898C9" w14:textId="77777777" w:rsidR="00053D93" w:rsidRDefault="00260B75">
      <w:pPr>
        <w:spacing w:after="0" w:line="265" w:lineRule="auto"/>
        <w:ind w:left="1630" w:hanging="10"/>
        <w:jc w:val="both"/>
      </w:pPr>
      <w:r>
        <w:rPr>
          <w:sz w:val="24"/>
        </w:rPr>
        <w:t>de sistemas informáticos."</w:t>
      </w:r>
    </w:p>
    <w:p w14:paraId="279A0E9F" w14:textId="77777777" w:rsidR="00053D93" w:rsidRDefault="00260B75">
      <w:pPr>
        <w:spacing w:after="3"/>
        <w:ind w:left="74" w:right="3485" w:hanging="10"/>
      </w:pPr>
      <w:r>
        <w:rPr>
          <w:sz w:val="70"/>
        </w:rPr>
        <w:t>1</w:t>
      </w:r>
    </w:p>
    <w:p w14:paraId="5C2FA032" w14:textId="77777777" w:rsidR="00053D93" w:rsidRDefault="00260B75">
      <w:pPr>
        <w:spacing w:after="4" w:line="269" w:lineRule="auto"/>
        <w:ind w:left="57" w:right="14" w:firstLine="1598"/>
        <w:jc w:val="both"/>
      </w:pPr>
      <w:r>
        <w:rPr>
          <w:sz w:val="26"/>
        </w:rPr>
        <w:t>En memorial del 10 de abril de 2025, el señor Rubén Darío Delcompare 1 Navarrete, Técnico de Compras y Planificador, manifiesta: "4. Se evidenció la tardanza en la gestión y publicación de eventos para la adquisición de dispositivos de respaldo de la información. Según el oficio DINFO 170-2025 del 06 de febrero de 2025; los eventos de adquisición NOG 20259840 del 07 de junio de 2024 y</w:t>
      </w:r>
    </w:p>
    <w:tbl>
      <w:tblPr>
        <w:tblStyle w:val="TableGrid"/>
        <w:tblW w:w="9432" w:type="dxa"/>
        <w:tblInd w:w="677" w:type="dxa"/>
        <w:tblLook w:val="04A0" w:firstRow="1" w:lastRow="0" w:firstColumn="1" w:lastColumn="0" w:noHBand="0" w:noVBand="1"/>
      </w:tblPr>
      <w:tblGrid>
        <w:gridCol w:w="1285"/>
        <w:gridCol w:w="8168"/>
      </w:tblGrid>
      <w:tr w:rsidR="00053D93" w14:paraId="55E178B3" w14:textId="77777777">
        <w:trPr>
          <w:trHeight w:val="641"/>
        </w:trPr>
        <w:tc>
          <w:tcPr>
            <w:tcW w:w="1777" w:type="dxa"/>
            <w:tcBorders>
              <w:top w:val="nil"/>
              <w:left w:val="nil"/>
              <w:bottom w:val="nil"/>
              <w:right w:val="nil"/>
            </w:tcBorders>
          </w:tcPr>
          <w:p w14:paraId="2A2189BA" w14:textId="77777777" w:rsidR="00053D93" w:rsidRDefault="00260B75">
            <w:r>
              <w:rPr>
                <w:noProof/>
              </w:rPr>
              <w:drawing>
                <wp:inline distT="0" distB="0" distL="0" distR="0" wp14:anchorId="509E4940" wp14:editId="636D0526">
                  <wp:extent cx="1115568" cy="406909"/>
                  <wp:effectExtent l="0" t="0" r="0" b="0"/>
                  <wp:docPr id="1124608" name="Picture 1124608"/>
                  <wp:cNvGraphicFramePr/>
                  <a:graphic xmlns:a="http://schemas.openxmlformats.org/drawingml/2006/main">
                    <a:graphicData uri="http://schemas.openxmlformats.org/drawingml/2006/picture">
                      <pic:pic xmlns:pic="http://schemas.openxmlformats.org/drawingml/2006/picture">
                        <pic:nvPicPr>
                          <pic:cNvPr id="1124608" name="Picture 1124608"/>
                          <pic:cNvPicPr/>
                        </pic:nvPicPr>
                        <pic:blipFill>
                          <a:blip r:embed="rId1570"/>
                          <a:stretch>
                            <a:fillRect/>
                          </a:stretch>
                        </pic:blipFill>
                        <pic:spPr>
                          <a:xfrm>
                            <a:off x="0" y="0"/>
                            <a:ext cx="1115568" cy="406909"/>
                          </a:xfrm>
                          <a:prstGeom prst="rect">
                            <a:avLst/>
                          </a:prstGeom>
                        </pic:spPr>
                      </pic:pic>
                    </a:graphicData>
                  </a:graphic>
                </wp:inline>
              </w:drawing>
            </w:r>
          </w:p>
        </w:tc>
        <w:tc>
          <w:tcPr>
            <w:tcW w:w="7655" w:type="dxa"/>
            <w:tcBorders>
              <w:top w:val="nil"/>
              <w:left w:val="nil"/>
              <w:bottom w:val="nil"/>
              <w:right w:val="nil"/>
            </w:tcBorders>
          </w:tcPr>
          <w:p w14:paraId="63AD6169" w14:textId="77777777" w:rsidR="00053D93" w:rsidRDefault="00053D93">
            <w:pPr>
              <w:ind w:left="-2821" w:right="10476"/>
            </w:pPr>
          </w:p>
          <w:tbl>
            <w:tblPr>
              <w:tblStyle w:val="TableGrid"/>
              <w:tblW w:w="7635" w:type="dxa"/>
              <w:tblInd w:w="20" w:type="dxa"/>
              <w:tblCellMar>
                <w:top w:w="41" w:type="dxa"/>
                <w:left w:w="1738" w:type="dxa"/>
                <w:right w:w="115" w:type="dxa"/>
              </w:tblCellMar>
              <w:tblLook w:val="04A0" w:firstRow="1" w:lastRow="0" w:firstColumn="1" w:lastColumn="0" w:noHBand="0" w:noVBand="1"/>
            </w:tblPr>
            <w:tblGrid>
              <w:gridCol w:w="7635"/>
            </w:tblGrid>
            <w:tr w:rsidR="00053D93" w14:paraId="58453EA1" w14:textId="77777777">
              <w:trPr>
                <w:trHeight w:val="43"/>
              </w:trPr>
              <w:tc>
                <w:tcPr>
                  <w:tcW w:w="7635" w:type="dxa"/>
                  <w:tcBorders>
                    <w:top w:val="nil"/>
                    <w:left w:val="single" w:sz="2" w:space="0" w:color="000000"/>
                    <w:bottom w:val="single" w:sz="2" w:space="0" w:color="000000"/>
                    <w:right w:val="nil"/>
                  </w:tcBorders>
                </w:tcPr>
                <w:p w14:paraId="0D7EE5DE" w14:textId="77777777" w:rsidR="00053D93" w:rsidRDefault="00053D93"/>
              </w:tc>
            </w:tr>
            <w:tr w:rsidR="00053D93" w14:paraId="26A834BA" w14:textId="77777777">
              <w:trPr>
                <w:trHeight w:val="598"/>
              </w:trPr>
              <w:tc>
                <w:tcPr>
                  <w:tcW w:w="7635" w:type="dxa"/>
                  <w:tcBorders>
                    <w:top w:val="single" w:sz="2" w:space="0" w:color="000000"/>
                    <w:left w:val="single" w:sz="2" w:space="0" w:color="000000"/>
                    <w:bottom w:val="nil"/>
                    <w:right w:val="nil"/>
                  </w:tcBorders>
                </w:tcPr>
                <w:p w14:paraId="73807D2D" w14:textId="77777777" w:rsidR="00053D93" w:rsidRDefault="00260B75">
                  <w:pPr>
                    <w:ind w:left="842"/>
                  </w:pPr>
                  <w:r>
                    <w:rPr>
                      <w:sz w:val="16"/>
                    </w:rPr>
                    <w:t>MINSTERto DE EDUCACION</w:t>
                  </w:r>
                </w:p>
                <w:p w14:paraId="234F2D9F" w14:textId="77777777" w:rsidR="00053D93" w:rsidRDefault="00260B75">
                  <w:pPr>
                    <w:ind w:left="346"/>
                  </w:pPr>
                  <w:r>
                    <w:rPr>
                      <w:sz w:val="14"/>
                    </w:rPr>
                    <w:t>AUDITORIA FINANCIERA Y DE CUMPLIMIENTO</w:t>
                  </w:r>
                </w:p>
                <w:p w14:paraId="2F95F36C" w14:textId="77777777" w:rsidR="00053D93" w:rsidRDefault="00260B75">
                  <w:r>
                    <w:rPr>
                      <w:sz w:val="14"/>
                    </w:rPr>
                    <w:t>PERIODO DEL 01 DE ENERO AL 31 DE DICIEMBRE DE 2024</w:t>
                  </w:r>
                </w:p>
              </w:tc>
            </w:tr>
          </w:tbl>
          <w:p w14:paraId="1DFB89C8" w14:textId="77777777" w:rsidR="00053D93" w:rsidRDefault="00053D93"/>
        </w:tc>
      </w:tr>
    </w:tbl>
    <w:p w14:paraId="45E049F6" w14:textId="77777777" w:rsidR="00053D93" w:rsidRDefault="00260B75">
      <w:pPr>
        <w:tabs>
          <w:tab w:val="center" w:pos="5850"/>
          <w:tab w:val="center" w:pos="8622"/>
        </w:tabs>
        <w:spacing w:after="143" w:line="353" w:lineRule="auto"/>
      </w:pPr>
      <w:r>
        <w:rPr>
          <w:sz w:val="14"/>
        </w:rPr>
        <w:tab/>
        <w:t>250</w:t>
      </w:r>
      <w:r>
        <w:rPr>
          <w:sz w:val="14"/>
        </w:rPr>
        <w:tab/>
        <w:t xml:space="preserve">EDUCAC(ÓN. </w:t>
      </w:r>
    </w:p>
    <w:p w14:paraId="48824187" w14:textId="77777777" w:rsidR="00053D93" w:rsidRDefault="00260B75">
      <w:pPr>
        <w:spacing w:after="29"/>
        <w:ind w:left="1627"/>
      </w:pPr>
      <w:r>
        <w:rPr>
          <w:noProof/>
        </w:rPr>
        <mc:AlternateContent>
          <mc:Choice Requires="wpg">
            <w:drawing>
              <wp:inline distT="0" distB="0" distL="0" distR="0" wp14:anchorId="686B6808" wp14:editId="7B82E3F4">
                <wp:extent cx="5381244" cy="9144"/>
                <wp:effectExtent l="0" t="0" r="0" b="0"/>
                <wp:docPr id="2458862" name="Group 2458862"/>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861" name="Shape 2458861"/>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62" style="width:423.72pt;height:0.720001pt;mso-position-horizontal-relative:char;mso-position-vertical-relative:line" coordsize="53812,91">
                <v:shape id="Shape 2458861" style="position:absolute;width:53812;height:91;left:0;top:0;" coordsize="5381244,9144" path="m0,4572l5381244,4572">
                  <v:stroke weight="0.720001pt" endcap="flat" joinstyle="miter" miterlimit="1" on="true" color="#000000"/>
                  <v:fill on="false" color="#000000"/>
                </v:shape>
              </v:group>
            </w:pict>
          </mc:Fallback>
        </mc:AlternateContent>
      </w:r>
    </w:p>
    <w:p w14:paraId="4818A5BE" w14:textId="77777777" w:rsidR="00053D93" w:rsidRDefault="00260B75">
      <w:pPr>
        <w:spacing w:after="118" w:line="269" w:lineRule="auto"/>
        <w:ind w:left="67" w:right="14" w:hanging="10"/>
        <w:jc w:val="right"/>
      </w:pPr>
      <w:r>
        <w:rPr>
          <w:sz w:val="26"/>
        </w:rPr>
        <w:t>1</w:t>
      </w:r>
      <w:r>
        <w:rPr>
          <w:sz w:val="26"/>
        </w:rPr>
        <w:tab/>
        <w:t>NOG 23326719 del 12 de julio de 2024, no se concretaron debido a las fallas en el proceso de compra, lo que impidió contar con los dispositivos necesarios a tiempo,</w:t>
      </w:r>
    </w:p>
    <w:p w14:paraId="749B51B9" w14:textId="77777777" w:rsidR="00053D93" w:rsidRDefault="00260B75">
      <w:pPr>
        <w:spacing w:after="301" w:line="477" w:lineRule="auto"/>
        <w:ind w:left="1691" w:right="14" w:hanging="1634"/>
        <w:jc w:val="both"/>
      </w:pPr>
      <w:r>
        <w:rPr>
          <w:sz w:val="26"/>
        </w:rPr>
        <w:t>1 es importante señalar que por la relevancia e importancia de la adquisición debió gestionarse desde el inicio del período.</w:t>
      </w:r>
    </w:p>
    <w:p w14:paraId="059B0F09" w14:textId="77777777" w:rsidR="00053D93" w:rsidRDefault="00260B75">
      <w:pPr>
        <w:tabs>
          <w:tab w:val="center" w:pos="3420"/>
        </w:tabs>
        <w:spacing w:after="4" w:line="253" w:lineRule="auto"/>
      </w:pPr>
      <w:r>
        <w:rPr>
          <w:sz w:val="30"/>
        </w:rPr>
        <w:t>1</w:t>
      </w:r>
      <w:r>
        <w:rPr>
          <w:sz w:val="30"/>
        </w:rPr>
        <w:tab/>
        <w:t>DESCARGO DE LA IMPUTACIÓN:</w:t>
      </w:r>
    </w:p>
    <w:p w14:paraId="289C843E" w14:textId="77777777" w:rsidR="00053D93" w:rsidRDefault="00260B75">
      <w:pPr>
        <w:spacing w:after="4" w:line="216" w:lineRule="auto"/>
        <w:ind w:left="57" w:right="14" w:firstLine="1613"/>
        <w:jc w:val="both"/>
      </w:pPr>
      <w:r>
        <w:rPr>
          <w:sz w:val="26"/>
        </w:rPr>
        <w:t>Argumento: Como Técnico de compras de la Dirección de Informática, mis 1 funciones se limitan a las establecidas en el ACUERDO MINISTERIAL No.</w:t>
      </w:r>
    </w:p>
    <w:tbl>
      <w:tblPr>
        <w:tblStyle w:val="TableGrid"/>
        <w:tblpPr w:vertAnchor="page" w:horzAnchor="page" w:tblpX="2815" w:tblpY="14573"/>
        <w:tblOverlap w:val="never"/>
        <w:tblW w:w="7632" w:type="dxa"/>
        <w:tblInd w:w="0" w:type="dxa"/>
        <w:tblCellMar>
          <w:top w:w="31" w:type="dxa"/>
          <w:left w:w="1742" w:type="dxa"/>
          <w:right w:w="115" w:type="dxa"/>
        </w:tblCellMar>
        <w:tblLook w:val="04A0" w:firstRow="1" w:lastRow="0" w:firstColumn="1" w:lastColumn="0" w:noHBand="0" w:noVBand="1"/>
      </w:tblPr>
      <w:tblGrid>
        <w:gridCol w:w="7632"/>
      </w:tblGrid>
      <w:tr w:rsidR="00053D93" w14:paraId="2606AE48" w14:textId="77777777">
        <w:trPr>
          <w:trHeight w:val="50"/>
        </w:trPr>
        <w:tc>
          <w:tcPr>
            <w:tcW w:w="7632" w:type="dxa"/>
            <w:tcBorders>
              <w:top w:val="nil"/>
              <w:left w:val="single" w:sz="2" w:space="0" w:color="000000"/>
              <w:bottom w:val="single" w:sz="2" w:space="0" w:color="000000"/>
              <w:right w:val="nil"/>
            </w:tcBorders>
          </w:tcPr>
          <w:p w14:paraId="178A0C4D" w14:textId="77777777" w:rsidR="00053D93" w:rsidRDefault="00053D93"/>
        </w:tc>
      </w:tr>
      <w:tr w:rsidR="00053D93" w14:paraId="35FEBB2B" w14:textId="77777777">
        <w:trPr>
          <w:trHeight w:val="583"/>
        </w:trPr>
        <w:tc>
          <w:tcPr>
            <w:tcW w:w="7632" w:type="dxa"/>
            <w:tcBorders>
              <w:top w:val="single" w:sz="2" w:space="0" w:color="000000"/>
              <w:left w:val="single" w:sz="2" w:space="0" w:color="000000"/>
              <w:bottom w:val="nil"/>
              <w:right w:val="nil"/>
            </w:tcBorders>
          </w:tcPr>
          <w:p w14:paraId="6958BE7F" w14:textId="77777777" w:rsidR="00053D93" w:rsidRDefault="00260B75">
            <w:pPr>
              <w:ind w:left="835"/>
            </w:pPr>
            <w:r>
              <w:rPr>
                <w:sz w:val="14"/>
              </w:rPr>
              <w:t>MINISTERIO DE EDUCACION</w:t>
            </w:r>
          </w:p>
          <w:p w14:paraId="0C90ECC6" w14:textId="77777777" w:rsidR="00053D93" w:rsidRDefault="00260B75">
            <w:pPr>
              <w:ind w:left="338"/>
            </w:pPr>
            <w:r>
              <w:rPr>
                <w:sz w:val="14"/>
              </w:rPr>
              <w:t>AUDITORIA FINANCIERA Y DE CUMPLIMIENTO</w:t>
            </w:r>
          </w:p>
          <w:p w14:paraId="2ED82B37" w14:textId="77777777" w:rsidR="00053D93" w:rsidRDefault="00260B75">
            <w:r>
              <w:rPr>
                <w:sz w:val="14"/>
              </w:rPr>
              <w:t>PERIODO DEL 01 DE ENERO AL 31 DE DICIEMBRE DE 2024</w:t>
            </w:r>
          </w:p>
        </w:tc>
      </w:tr>
    </w:tbl>
    <w:p w14:paraId="085F2077" w14:textId="77777777" w:rsidR="00053D93" w:rsidRDefault="00260B75">
      <w:pPr>
        <w:spacing w:after="4" w:line="269" w:lineRule="auto"/>
        <w:ind w:left="57" w:right="14" w:firstLine="1642"/>
        <w:jc w:val="both"/>
      </w:pPr>
      <w:r>
        <w:rPr>
          <w:noProof/>
        </w:rPr>
        <w:drawing>
          <wp:anchor distT="0" distB="0" distL="114300" distR="114300" simplePos="0" relativeHeight="252235776" behindDoc="0" locked="0" layoutInCell="1" allowOverlap="0" wp14:anchorId="676FFACE" wp14:editId="4DF591B8">
            <wp:simplePos x="0" y="0"/>
            <wp:positionH relativeFrom="page">
              <wp:posOffset>644652</wp:posOffset>
            </wp:positionH>
            <wp:positionV relativeFrom="page">
              <wp:posOffset>9249156</wp:posOffset>
            </wp:positionV>
            <wp:extent cx="1120140" cy="406909"/>
            <wp:effectExtent l="0" t="0" r="0" b="0"/>
            <wp:wrapTopAndBottom/>
            <wp:docPr id="1128088" name="Picture 1128088"/>
            <wp:cNvGraphicFramePr/>
            <a:graphic xmlns:a="http://schemas.openxmlformats.org/drawingml/2006/main">
              <a:graphicData uri="http://schemas.openxmlformats.org/drawingml/2006/picture">
                <pic:pic xmlns:pic="http://schemas.openxmlformats.org/drawingml/2006/picture">
                  <pic:nvPicPr>
                    <pic:cNvPr id="1128088" name="Picture 1128088"/>
                    <pic:cNvPicPr/>
                  </pic:nvPicPr>
                  <pic:blipFill>
                    <a:blip r:embed="rId1571"/>
                    <a:stretch>
                      <a:fillRect/>
                    </a:stretch>
                  </pic:blipFill>
                  <pic:spPr>
                    <a:xfrm>
                      <a:off x="0" y="0"/>
                      <a:ext cx="1120140" cy="406909"/>
                    </a:xfrm>
                    <a:prstGeom prst="rect">
                      <a:avLst/>
                    </a:prstGeom>
                  </pic:spPr>
                </pic:pic>
              </a:graphicData>
            </a:graphic>
          </wp:anchor>
        </w:drawing>
      </w:r>
      <w:r>
        <w:rPr>
          <w:noProof/>
        </w:rPr>
        <w:drawing>
          <wp:anchor distT="0" distB="0" distL="114300" distR="114300" simplePos="0" relativeHeight="252236800" behindDoc="0" locked="0" layoutInCell="1" allowOverlap="0" wp14:anchorId="60E4145C" wp14:editId="28EE096E">
            <wp:simplePos x="0" y="0"/>
            <wp:positionH relativeFrom="page">
              <wp:posOffset>224028</wp:posOffset>
            </wp:positionH>
            <wp:positionV relativeFrom="page">
              <wp:posOffset>3461004</wp:posOffset>
            </wp:positionV>
            <wp:extent cx="4572" cy="4572"/>
            <wp:effectExtent l="0" t="0" r="0" b="0"/>
            <wp:wrapSquare wrapText="bothSides"/>
            <wp:docPr id="1128055" name="Picture 1128055"/>
            <wp:cNvGraphicFramePr/>
            <a:graphic xmlns:a="http://schemas.openxmlformats.org/drawingml/2006/main">
              <a:graphicData uri="http://schemas.openxmlformats.org/drawingml/2006/picture">
                <pic:pic xmlns:pic="http://schemas.openxmlformats.org/drawingml/2006/picture">
                  <pic:nvPicPr>
                    <pic:cNvPr id="1128055" name="Picture 1128055"/>
                    <pic:cNvPicPr/>
                  </pic:nvPicPr>
                  <pic:blipFill>
                    <a:blip r:embed="rId84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2237824" behindDoc="0" locked="0" layoutInCell="1" allowOverlap="0" wp14:anchorId="4EEC8C0A" wp14:editId="63C5359F">
            <wp:simplePos x="0" y="0"/>
            <wp:positionH relativeFrom="page">
              <wp:posOffset>224028</wp:posOffset>
            </wp:positionH>
            <wp:positionV relativeFrom="page">
              <wp:posOffset>4489704</wp:posOffset>
            </wp:positionV>
            <wp:extent cx="4572" cy="9144"/>
            <wp:effectExtent l="0" t="0" r="0" b="0"/>
            <wp:wrapSquare wrapText="bothSides"/>
            <wp:docPr id="1128056" name="Picture 1128056"/>
            <wp:cNvGraphicFramePr/>
            <a:graphic xmlns:a="http://schemas.openxmlformats.org/drawingml/2006/main">
              <a:graphicData uri="http://schemas.openxmlformats.org/drawingml/2006/picture">
                <pic:pic xmlns:pic="http://schemas.openxmlformats.org/drawingml/2006/picture">
                  <pic:nvPicPr>
                    <pic:cNvPr id="1128056" name="Picture 1128056"/>
                    <pic:cNvPicPr/>
                  </pic:nvPicPr>
                  <pic:blipFill>
                    <a:blip r:embed="rId24"/>
                    <a:stretch>
                      <a:fillRect/>
                    </a:stretch>
                  </pic:blipFill>
                  <pic:spPr>
                    <a:xfrm>
                      <a:off x="0" y="0"/>
                      <a:ext cx="4572" cy="9144"/>
                    </a:xfrm>
                    <a:prstGeom prst="rect">
                      <a:avLst/>
                    </a:prstGeom>
                  </pic:spPr>
                </pic:pic>
              </a:graphicData>
            </a:graphic>
          </wp:anchor>
        </w:drawing>
      </w:r>
      <w:r>
        <w:rPr>
          <w:noProof/>
        </w:rPr>
        <w:drawing>
          <wp:anchor distT="0" distB="0" distL="114300" distR="114300" simplePos="0" relativeHeight="252238848" behindDoc="0" locked="0" layoutInCell="1" allowOverlap="0" wp14:anchorId="1FA6F45F" wp14:editId="62F9B1A8">
            <wp:simplePos x="0" y="0"/>
            <wp:positionH relativeFrom="page">
              <wp:posOffset>219456</wp:posOffset>
            </wp:positionH>
            <wp:positionV relativeFrom="page">
              <wp:posOffset>5006340</wp:posOffset>
            </wp:positionV>
            <wp:extent cx="4572" cy="9144"/>
            <wp:effectExtent l="0" t="0" r="0" b="0"/>
            <wp:wrapSquare wrapText="bothSides"/>
            <wp:docPr id="1128057" name="Picture 1128057"/>
            <wp:cNvGraphicFramePr/>
            <a:graphic xmlns:a="http://schemas.openxmlformats.org/drawingml/2006/main">
              <a:graphicData uri="http://schemas.openxmlformats.org/drawingml/2006/picture">
                <pic:pic xmlns:pic="http://schemas.openxmlformats.org/drawingml/2006/picture">
                  <pic:nvPicPr>
                    <pic:cNvPr id="1128057" name="Picture 1128057"/>
                    <pic:cNvPicPr/>
                  </pic:nvPicPr>
                  <pic:blipFill>
                    <a:blip r:embed="rId24"/>
                    <a:stretch>
                      <a:fillRect/>
                    </a:stretch>
                  </pic:blipFill>
                  <pic:spPr>
                    <a:xfrm>
                      <a:off x="0" y="0"/>
                      <a:ext cx="4572" cy="9144"/>
                    </a:xfrm>
                    <a:prstGeom prst="rect">
                      <a:avLst/>
                    </a:prstGeom>
                  </pic:spPr>
                </pic:pic>
              </a:graphicData>
            </a:graphic>
          </wp:anchor>
        </w:drawing>
      </w:r>
      <w:r>
        <w:rPr>
          <w:sz w:val="26"/>
        </w:rPr>
        <w:t>17-20214, que establece en el "Artículo 3, literal c. Realizar las COMPRAS DIRECTAS de conformidad con los montos establecidos en la Ley de 1 Contrataciones del Estado y su Reglamento, así como en las reformas a dicha normativa legal." "Artículo 3, literal d. Gestionar ante la Dirección de Adquisiciones y Contrataciones -DIDECO- los eventos de cotización y licitación en las fases que 1 les correspondan". Derivado de lo anterior no tengo ninguna responsabilidad por el trámite de los procesos de compras en la modalidades de cotización y licitación, 1 toda vez que su tramitación están delegadas a la Dirección de Adquisiciones y Contrataciones -DIDECO- y las solicitudes de proceso ante esta dependencia son hechas por las personas que detentan la autoridad y representación legal de la 1 Dirección de Informática. Sin embargo, para los casos citados las causas de falla en los procesos de compra son externos y no imputables a los operadores internos del Ministerio de Educación que diligenciaron los trámites administrativos 1 necesarios, dado que la falla que impidió contar con la con la oportuna adquisición estuvo en la documentación presentada por los proveedores en la parte de 1 requisitos fundamentales los cuales por fundamento de ley no son subsanables y las juntas de cotización rechazaran sin responsabilidad de su parte la oferta.</w:t>
      </w:r>
    </w:p>
    <w:p w14:paraId="446D1F6A" w14:textId="77777777" w:rsidR="00053D93" w:rsidRDefault="00260B75">
      <w:pPr>
        <w:spacing w:after="28" w:line="266" w:lineRule="auto"/>
        <w:ind w:left="14" w:firstLine="1613"/>
      </w:pPr>
      <w:r>
        <w:rPr>
          <w:sz w:val="28"/>
        </w:rPr>
        <w:t>Documentos de respaldo, certificación del "ACTA DE MODIFICACIÓN DE LA 1</w:t>
      </w:r>
      <w:r>
        <w:rPr>
          <w:sz w:val="28"/>
        </w:rPr>
        <w:tab/>
        <w:t>DECISIÓN ORIGINAL DEL PROCESO DE COTIZACIÓN IDENTIFICADO COMO C-031/2024-MlNEDUC,</w:t>
      </w:r>
      <w:r>
        <w:rPr>
          <w:sz w:val="28"/>
        </w:rPr>
        <w:tab/>
        <w:t>SISTEMA DE RESPALDOS PARA LA</w:t>
      </w:r>
    </w:p>
    <w:p w14:paraId="295B0977" w14:textId="77777777" w:rsidR="00053D93" w:rsidRDefault="00260B75">
      <w:pPr>
        <w:pStyle w:val="Ttulo4"/>
        <w:ind w:left="21" w:firstLine="1613"/>
      </w:pPr>
      <w:r>
        <w:t>INFRAESTRUCTURA DE COMPUTACIÓN VIRTUAL Y FÍSICA DEL CENTRO DE 1 DATOS DEL MINISTERIO DE EDUCACIÓN, A SOLICITUD DE LA DIRECCIÓN</w:t>
      </w:r>
    </w:p>
    <w:p w14:paraId="2486D98C" w14:textId="77777777" w:rsidR="00053D93" w:rsidRDefault="00260B75">
      <w:pPr>
        <w:spacing w:after="4" w:line="216" w:lineRule="auto"/>
        <w:ind w:left="57" w:right="14" w:firstLine="1598"/>
        <w:jc w:val="both"/>
      </w:pPr>
      <w:r>
        <w:rPr>
          <w:sz w:val="26"/>
        </w:rPr>
        <w:t>DE INFORMÁTICA -DINFO-" Acta No. 100-2024 de fecha veinte de agosto de 1 2024, puntos CUARTO y QUINTO. NOG 23326719 y RESOLUCIÓN No.</w:t>
      </w:r>
    </w:p>
    <w:p w14:paraId="645495FE" w14:textId="77777777" w:rsidR="00053D93" w:rsidRDefault="00260B75">
      <w:pPr>
        <w:spacing w:after="134" w:line="216" w:lineRule="auto"/>
        <w:ind w:left="1609" w:right="14" w:hanging="3"/>
        <w:jc w:val="both"/>
      </w:pPr>
      <w:r>
        <w:rPr>
          <w:sz w:val="26"/>
        </w:rPr>
        <w:t>3415-2023 que prescinde del proceso C-019/2023-MlNEDUC, DERECHOS DE USO DE RESPALDO Y RECUPERACIÓN DE INFORMACIÓN DEL CENTRO DE</w:t>
      </w:r>
    </w:p>
    <w:p w14:paraId="1C0B0BB7" w14:textId="77777777" w:rsidR="00053D93" w:rsidRDefault="00260B75">
      <w:pPr>
        <w:tabs>
          <w:tab w:val="right" w:pos="10130"/>
        </w:tabs>
        <w:spacing w:after="4" w:line="266" w:lineRule="auto"/>
      </w:pPr>
      <w:r>
        <w:rPr>
          <w:sz w:val="28"/>
        </w:rPr>
        <w:t>1</w:t>
      </w:r>
      <w:r>
        <w:rPr>
          <w:sz w:val="28"/>
        </w:rPr>
        <w:tab/>
        <w:t>DATOS DEL MINISTERIO DE EDUCACIÓN, A SOLICITUD DE LA DIRECCIÓN</w:t>
      </w:r>
    </w:p>
    <w:p w14:paraId="6ECD282B" w14:textId="77777777" w:rsidR="00053D93" w:rsidRDefault="00260B75">
      <w:pPr>
        <w:spacing w:after="573" w:line="266" w:lineRule="auto"/>
        <w:ind w:left="1623" w:hanging="10"/>
      </w:pPr>
      <w:r>
        <w:rPr>
          <w:sz w:val="28"/>
        </w:rPr>
        <w:t>DE INFORMÁTICA -DINFO-. NOG 20259840; OFICIO DINFO No. 0447-2024."</w:t>
      </w:r>
    </w:p>
    <w:p w14:paraId="4F8AFEC5" w14:textId="77777777" w:rsidR="00053D93" w:rsidRDefault="00260B75">
      <w:pPr>
        <w:tabs>
          <w:tab w:val="center" w:pos="2909"/>
        </w:tabs>
        <w:spacing w:after="4" w:line="266" w:lineRule="auto"/>
      </w:pPr>
      <w:r>
        <w:rPr>
          <w:sz w:val="28"/>
        </w:rPr>
        <w:t>1</w:t>
      </w:r>
      <w:r>
        <w:rPr>
          <w:sz w:val="28"/>
        </w:rPr>
        <w:tab/>
        <w:t>Comentario de auditoría</w:t>
      </w:r>
    </w:p>
    <w:p w14:paraId="225C9CDE" w14:textId="77777777" w:rsidR="00053D93" w:rsidRDefault="00260B75">
      <w:pPr>
        <w:spacing w:after="4" w:line="269" w:lineRule="auto"/>
        <w:ind w:left="57" w:right="14" w:firstLine="1584"/>
        <w:jc w:val="both"/>
      </w:pPr>
      <w:r>
        <w:rPr>
          <w:sz w:val="26"/>
        </w:rPr>
        <w:t>Se confirma el hallazgo para el licenciado Walter Camilo Vásquez Calderón, 1 Director, en virtud que, sus comentarios y pruebas de descargo relacionadas con la deficiencia notificada, no son suficientes para desvanecer el hallazgo, derivado que presentó el oficio DINFO No. 0447-2024 del 08 de abril de 2024 firmado por el 1 responsable, en el cual solicita inicio del proceso de cotización del Sistema y</w:t>
      </w:r>
    </w:p>
    <w:p w14:paraId="55FAA732" w14:textId="77777777" w:rsidR="00053D93" w:rsidRDefault="00053D93">
      <w:pPr>
        <w:sectPr w:rsidR="00053D93">
          <w:type w:val="continuous"/>
          <w:pgSz w:w="12290" w:h="15883"/>
          <w:pgMar w:top="801" w:right="1793" w:bottom="670" w:left="367" w:header="720" w:footer="720" w:gutter="0"/>
          <w:cols w:space="720"/>
        </w:sectPr>
      </w:pPr>
    </w:p>
    <w:p w14:paraId="0BED0BFF" w14:textId="77777777" w:rsidR="00053D93" w:rsidRDefault="00260B75">
      <w:pPr>
        <w:spacing w:after="588" w:line="269" w:lineRule="auto"/>
        <w:ind w:left="60" w:right="14" w:hanging="3"/>
        <w:jc w:val="both"/>
      </w:pPr>
      <w:r>
        <w:rPr>
          <w:sz w:val="26"/>
        </w:rPr>
        <w:t>1 dispositivo de respaldos para la infraestructura de computación virtual y física del Centro de Datos del Ministerio de Educación, justificando que la solución de 1 respaldo del Centro de Datos del Ministerio de Educación, se encontraba fuera del plazo de garantía cubierta por el fabricante, derivado que desde enero de 2023 no contaba con respaldo de soporte técnico por haber llegado a su vida útil y era la herramienta que respaldaba [as bases de datos, aplicaciones, infraestructura virtual, sistemas y documentación de aplicaciones.</w:t>
      </w:r>
    </w:p>
    <w:p w14:paraId="1FF1FF85" w14:textId="77777777" w:rsidR="00053D93" w:rsidRDefault="00260B75">
      <w:pPr>
        <w:spacing w:after="4" w:line="269" w:lineRule="auto"/>
        <w:ind w:left="60" w:right="14" w:hanging="3"/>
        <w:jc w:val="both"/>
      </w:pPr>
      <w:r>
        <w:rPr>
          <w:sz w:val="26"/>
        </w:rPr>
        <w:t>1 Respecto a [o anterior se evidencia que un servicio indispensable se solicitó posteriormente a la fecha de vencimiento del mismo, es importante señalar que la 1 Dirección de Adquisiciones y Contrataciones del Ministerio de Educación emitió circular informando a todas las dependencias que desde el día 29 de septiembre de 2023, se recepcionaban expedientes para los eventos a ejecutar en el ejercicio 1 fiscal 2024 y el responsable no justifica o presenta documentos por la demora del</w:t>
      </w:r>
    </w:p>
    <w:p w14:paraId="21E4488A" w14:textId="77777777" w:rsidR="00053D93" w:rsidRDefault="00260B75">
      <w:pPr>
        <w:spacing w:after="715" w:line="265" w:lineRule="auto"/>
        <w:ind w:left="1673" w:hanging="10"/>
      </w:pPr>
      <w:r>
        <w:rPr>
          <w:rFonts w:ascii="Courier New" w:eastAsia="Courier New" w:hAnsi="Courier New" w:cs="Courier New"/>
          <w:sz w:val="18"/>
        </w:rPr>
        <w:t>proceso.</w:t>
      </w:r>
    </w:p>
    <w:p w14:paraId="4DBFAAF3" w14:textId="77777777" w:rsidR="00053D93" w:rsidRDefault="00260B75">
      <w:pPr>
        <w:spacing w:after="73" w:line="269" w:lineRule="auto"/>
        <w:ind w:left="60" w:right="14" w:hanging="3"/>
        <w:jc w:val="both"/>
      </w:pPr>
      <w:r>
        <w:rPr>
          <w:noProof/>
        </w:rPr>
        <mc:AlternateContent>
          <mc:Choice Requires="wpg">
            <w:drawing>
              <wp:anchor distT="0" distB="0" distL="114300" distR="114300" simplePos="0" relativeHeight="252239872" behindDoc="0" locked="0" layoutInCell="1" allowOverlap="1" wp14:anchorId="20216F5F" wp14:editId="3DBA5439">
                <wp:simplePos x="0" y="0"/>
                <wp:positionH relativeFrom="page">
                  <wp:posOffset>1266444</wp:posOffset>
                </wp:positionH>
                <wp:positionV relativeFrom="page">
                  <wp:posOffset>795528</wp:posOffset>
                </wp:positionV>
                <wp:extent cx="5385816" cy="9144"/>
                <wp:effectExtent l="0" t="0" r="0" b="0"/>
                <wp:wrapTopAndBottom/>
                <wp:docPr id="2458864" name="Group 2458864"/>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863" name="Shape 2458863"/>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864" style="width:424.08pt;height:0.719994pt;position:absolute;mso-position-horizontal-relative:page;mso-position-horizontal:absolute;margin-left:99.72pt;mso-position-vertical-relative:page;margin-top:62.64pt;" coordsize="53858,91">
                <v:shape id="Shape 2458863" style="position:absolute;width:53858;height:91;left:0;top:0;" coordsize="5385816,9144" path="m0,4572l5385816,4572">
                  <v:stroke weight="0.719994pt" endcap="flat" joinstyle="miter" miterlimit="1" on="true" color="#000000"/>
                  <v:fill on="false" color="#000000"/>
                </v:shape>
                <w10:wrap type="topAndBottom"/>
              </v:group>
            </w:pict>
          </mc:Fallback>
        </mc:AlternateContent>
      </w:r>
      <w:r>
        <w:rPr>
          <w:sz w:val="26"/>
        </w:rPr>
        <w:t>1 Con relación al "Manual de normas y procedimientos, departamento de redes y telecomunicaciones del ministerio de educación" que hace referencia el 1 responsable, no es de carácter oficial por no estar aprobado por las Autoridades correspondientes, trámite que debió realizar el responsable por ser el Director, a quien [e corresponde la representación de la Dirección de Informática, según el 1 Acuerdo Ministerial que menciona en su comentario, asimismo, no evidenció con pruebas la recuperación de la información pérdida que se señala en la condición del hallazgo, confirmando el incumplimiento de las funciones de [a Dirección de 1 Informática de almacenar, proteger, recuperar y transmitir la información que contribuya a mejorar el desarrollo de los procesos administrativos del Ministerio.</w:t>
      </w:r>
    </w:p>
    <w:p w14:paraId="4D0E1DCB" w14:textId="77777777" w:rsidR="00053D93" w:rsidRDefault="00260B75">
      <w:pPr>
        <w:spacing w:after="194" w:line="269" w:lineRule="auto"/>
        <w:ind w:left="60" w:right="14" w:hanging="3"/>
        <w:jc w:val="both"/>
      </w:pPr>
      <w:r>
        <w:rPr>
          <w:sz w:val="26"/>
        </w:rPr>
        <w:t xml:space="preserve">1 En consecuencia, como máxima autoridad de la DINFO, de acuerdo con el artículo 5 del Acuerdo Ministerial No. 1003-2009, le corresponde la representación y resolución de los asuntos de la dirección, incluyendo la aprobación y gestión </w:t>
      </w:r>
      <w:r>
        <w:rPr>
          <w:noProof/>
        </w:rPr>
        <mc:AlternateContent>
          <mc:Choice Requires="wpg">
            <w:drawing>
              <wp:inline distT="0" distB="0" distL="0" distR="0" wp14:anchorId="303DD7D7" wp14:editId="4F8E115F">
                <wp:extent cx="114300" cy="301751"/>
                <wp:effectExtent l="0" t="0" r="0" b="0"/>
                <wp:docPr id="2457348" name="Group 2457348"/>
                <wp:cNvGraphicFramePr/>
                <a:graphic xmlns:a="http://schemas.openxmlformats.org/drawingml/2006/main">
                  <a:graphicData uri="http://schemas.microsoft.com/office/word/2010/wordprocessingGroup">
                    <wpg:wgp>
                      <wpg:cNvGrpSpPr/>
                      <wpg:grpSpPr>
                        <a:xfrm>
                          <a:off x="0" y="0"/>
                          <a:ext cx="114300" cy="301751"/>
                          <a:chOff x="0" y="0"/>
                          <a:chExt cx="114300" cy="301751"/>
                        </a:xfrm>
                      </wpg:grpSpPr>
                      <wps:wsp>
                        <wps:cNvPr id="1128803" name="Rectangle 1128803"/>
                        <wps:cNvSpPr/>
                        <wps:spPr>
                          <a:xfrm>
                            <a:off x="0" y="0"/>
                            <a:ext cx="152019" cy="401329"/>
                          </a:xfrm>
                          <a:prstGeom prst="rect">
                            <a:avLst/>
                          </a:prstGeom>
                          <a:ln>
                            <a:noFill/>
                          </a:ln>
                        </wps:spPr>
                        <wps:txbx>
                          <w:txbxContent>
                            <w:p w14:paraId="1E0FBA9E"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303DD7D7" id="Group 2457348" o:spid="_x0000_s1650" style="width:9pt;height:23.75pt;mso-position-horizontal-relative:char;mso-position-vertical-relative:line" coordsize="114300,30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">
                <v:rect id="Rectangle 1128803" o:spid="_x0000_s1651" style="position:absolute;width:152019;height:40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" filled="f" stroked="f">
                  <v:textbox inset="0,0,0,0">
                    <w:txbxContent>
                      <w:p w14:paraId="1E0FBA9E" w14:textId="77777777" w:rsidR="00053D93" w:rsidRDefault="00260B75">
                        <w:r>
                          <w:rPr>
                            <w:sz w:val="70"/>
                          </w:rPr>
                          <w:t>1</w:t>
                        </w:r>
                      </w:p>
                    </w:txbxContent>
                  </v:textbox>
                </v:rect>
                <w10:anchorlock/>
              </v:group>
            </w:pict>
          </mc:Fallback>
        </mc:AlternateContent>
      </w:r>
      <w:r>
        <w:rPr>
          <w:sz w:val="26"/>
        </w:rPr>
        <w:t xml:space="preserve"> oportuna de soluciones de respaldo informático.</w:t>
      </w:r>
    </w:p>
    <w:p w14:paraId="3199D5B4" w14:textId="77777777" w:rsidR="00053D93" w:rsidRDefault="00260B75">
      <w:pPr>
        <w:spacing w:after="236" w:line="269" w:lineRule="auto"/>
        <w:ind w:left="57" w:right="14" w:firstLine="1224"/>
        <w:jc w:val="both"/>
      </w:pPr>
      <w:r>
        <w:rPr>
          <w:noProof/>
        </w:rPr>
        <w:drawing>
          <wp:inline distT="0" distB="0" distL="0" distR="0" wp14:anchorId="183D412E" wp14:editId="00FA491F">
            <wp:extent cx="13716" cy="18287"/>
            <wp:effectExtent l="0" t="0" r="0" b="0"/>
            <wp:docPr id="1131764" name="Picture 1131764"/>
            <wp:cNvGraphicFramePr/>
            <a:graphic xmlns:a="http://schemas.openxmlformats.org/drawingml/2006/main">
              <a:graphicData uri="http://schemas.openxmlformats.org/drawingml/2006/picture">
                <pic:pic xmlns:pic="http://schemas.openxmlformats.org/drawingml/2006/picture">
                  <pic:nvPicPr>
                    <pic:cNvPr id="1131764" name="Picture 1131764"/>
                    <pic:cNvPicPr/>
                  </pic:nvPicPr>
                  <pic:blipFill>
                    <a:blip r:embed="rId1572"/>
                    <a:stretch>
                      <a:fillRect/>
                    </a:stretch>
                  </pic:blipFill>
                  <pic:spPr>
                    <a:xfrm>
                      <a:off x="0" y="0"/>
                      <a:ext cx="13716" cy="18287"/>
                    </a:xfrm>
                    <a:prstGeom prst="rect">
                      <a:avLst/>
                    </a:prstGeom>
                  </pic:spPr>
                </pic:pic>
              </a:graphicData>
            </a:graphic>
          </wp:inline>
        </w:drawing>
      </w:r>
      <w:r>
        <w:rPr>
          <w:sz w:val="26"/>
        </w:rPr>
        <w:t xml:space="preserve"> Se confirma el hallazgo al señor Abraham Rivera Rosemberg, Subirector, en virtud 1 que, sus comentarios y pruebas de descargo relacionadas con la deficiencia notificada, no son suficientes para desvanecer el hallazgo, derivado que los 1 argumentos y pruebas presentados expone que dio a conocer sobre riesgos del centro de datos para ser incluido en el POA 2023, sin embargo, en la ejecución de la auditoría se estableció que el riesgo mencionado, fue mitigado a través de la 1 contratación "DERECHOS DE USO DE SITIO ALTERNO PARA CENTRO DE DATOS, DEL MINISTERIO DE EDUCACIÓN", únicamente para los meses de noviembre y diciembre 2023, en seguimiento a la falta de servicios a partir de 1 enero de 2024, presentó como prueba el oficio DINFO No. 0447-2024 del 08 de abril de 2024 firmado por el responsable, en el cual solicita inicio del proceso de 1 cotización de los Sistema y dispositivo de respaldos para la infraestructura de</w:t>
      </w:r>
    </w:p>
    <w:tbl>
      <w:tblPr>
        <w:tblStyle w:val="TableGrid"/>
        <w:tblpPr w:vertAnchor="text" w:tblpX="2517"/>
        <w:tblOverlap w:val="never"/>
        <w:tblW w:w="7628" w:type="dxa"/>
        <w:tblInd w:w="0" w:type="dxa"/>
        <w:tblCellMar>
          <w:top w:w="53" w:type="dxa"/>
          <w:left w:w="1738" w:type="dxa"/>
          <w:right w:w="115" w:type="dxa"/>
        </w:tblCellMar>
        <w:tblLook w:val="04A0" w:firstRow="1" w:lastRow="0" w:firstColumn="1" w:lastColumn="0" w:noHBand="0" w:noVBand="1"/>
      </w:tblPr>
      <w:tblGrid>
        <w:gridCol w:w="7628"/>
      </w:tblGrid>
      <w:tr w:rsidR="00053D93" w14:paraId="5127CA42" w14:textId="77777777">
        <w:trPr>
          <w:trHeight w:val="41"/>
        </w:trPr>
        <w:tc>
          <w:tcPr>
            <w:tcW w:w="7628" w:type="dxa"/>
            <w:tcBorders>
              <w:top w:val="nil"/>
              <w:left w:val="single" w:sz="2" w:space="0" w:color="000000"/>
              <w:bottom w:val="single" w:sz="2" w:space="0" w:color="000000"/>
              <w:right w:val="nil"/>
            </w:tcBorders>
          </w:tcPr>
          <w:p w14:paraId="75A835E0" w14:textId="77777777" w:rsidR="00053D93" w:rsidRDefault="00053D93"/>
        </w:tc>
      </w:tr>
      <w:tr w:rsidR="00053D93" w14:paraId="04592350" w14:textId="77777777">
        <w:trPr>
          <w:trHeight w:val="600"/>
        </w:trPr>
        <w:tc>
          <w:tcPr>
            <w:tcW w:w="7628" w:type="dxa"/>
            <w:tcBorders>
              <w:top w:val="single" w:sz="2" w:space="0" w:color="000000"/>
              <w:left w:val="single" w:sz="2" w:space="0" w:color="000000"/>
              <w:bottom w:val="nil"/>
              <w:right w:val="nil"/>
            </w:tcBorders>
          </w:tcPr>
          <w:p w14:paraId="7E8737CA" w14:textId="77777777" w:rsidR="00053D93" w:rsidRDefault="00260B75">
            <w:pPr>
              <w:ind w:left="835"/>
            </w:pPr>
            <w:r>
              <w:rPr>
                <w:sz w:val="14"/>
              </w:rPr>
              <w:t>MINISTERIO DE EDUCACf0N</w:t>
            </w:r>
          </w:p>
          <w:p w14:paraId="24743D37" w14:textId="77777777" w:rsidR="00053D93" w:rsidRDefault="00260B75">
            <w:pPr>
              <w:ind w:left="338"/>
            </w:pPr>
            <w:r>
              <w:rPr>
                <w:sz w:val="14"/>
              </w:rPr>
              <w:t>AUDITORIA FINANCIERA Y DE CUMPLIMIENTO</w:t>
            </w:r>
          </w:p>
          <w:p w14:paraId="1A5D3223" w14:textId="77777777" w:rsidR="00053D93" w:rsidRDefault="00260B75">
            <w:r>
              <w:rPr>
                <w:sz w:val="14"/>
              </w:rPr>
              <w:t>PERIODO DEL DE ENERO AL 31 DICIEMBRE DE 2024</w:t>
            </w:r>
          </w:p>
        </w:tc>
      </w:tr>
    </w:tbl>
    <w:p w14:paraId="6AAC692F" w14:textId="77777777" w:rsidR="00053D93" w:rsidRDefault="00260B75">
      <w:pPr>
        <w:pStyle w:val="Ttulo1"/>
        <w:tabs>
          <w:tab w:val="center" w:pos="1753"/>
        </w:tabs>
        <w:spacing w:after="175" w:line="259" w:lineRule="auto"/>
        <w:ind w:left="0" w:right="-7646" w:firstLine="0"/>
        <w:jc w:val="left"/>
      </w:pPr>
      <w:r>
        <w:rPr>
          <w:sz w:val="32"/>
        </w:rPr>
        <w:t xml:space="preserve">I III </w:t>
      </w:r>
      <w:r>
        <w:rPr>
          <w:sz w:val="32"/>
        </w:rPr>
        <w:tab/>
      </w:r>
      <w:r>
        <w:rPr>
          <w:noProof/>
        </w:rPr>
        <w:drawing>
          <wp:inline distT="0" distB="0" distL="0" distR="0" wp14:anchorId="1CD3E1B6" wp14:editId="0786C67C">
            <wp:extent cx="928116" cy="406909"/>
            <wp:effectExtent l="0" t="0" r="0" b="0"/>
            <wp:docPr id="1131805" name="Picture 1131805"/>
            <wp:cNvGraphicFramePr/>
            <a:graphic xmlns:a="http://schemas.openxmlformats.org/drawingml/2006/main">
              <a:graphicData uri="http://schemas.openxmlformats.org/drawingml/2006/picture">
                <pic:pic xmlns:pic="http://schemas.openxmlformats.org/drawingml/2006/picture">
                  <pic:nvPicPr>
                    <pic:cNvPr id="1131805" name="Picture 1131805"/>
                    <pic:cNvPicPr/>
                  </pic:nvPicPr>
                  <pic:blipFill>
                    <a:blip r:embed="rId1573"/>
                    <a:stretch>
                      <a:fillRect/>
                    </a:stretch>
                  </pic:blipFill>
                  <pic:spPr>
                    <a:xfrm>
                      <a:off x="0" y="0"/>
                      <a:ext cx="928116" cy="406909"/>
                    </a:xfrm>
                    <a:prstGeom prst="rect">
                      <a:avLst/>
                    </a:prstGeom>
                  </pic:spPr>
                </pic:pic>
              </a:graphicData>
            </a:graphic>
          </wp:inline>
        </w:drawing>
      </w:r>
      <w:r>
        <w:rPr>
          <w:sz w:val="32"/>
        </w:rPr>
        <w:t>I</w:t>
      </w:r>
    </w:p>
    <w:p w14:paraId="734C27F5" w14:textId="77777777" w:rsidR="00053D93" w:rsidRDefault="00260B75">
      <w:pPr>
        <w:spacing w:after="41"/>
        <w:ind w:left="1692"/>
      </w:pPr>
      <w:r>
        <w:rPr>
          <w:noProof/>
        </w:rPr>
        <mc:AlternateContent>
          <mc:Choice Requires="wpg">
            <w:drawing>
              <wp:inline distT="0" distB="0" distL="0" distR="0" wp14:anchorId="587926F9" wp14:editId="3AD90F30">
                <wp:extent cx="5385816" cy="9144"/>
                <wp:effectExtent l="0" t="0" r="0" b="0"/>
                <wp:docPr id="2458866" name="Group 2458866"/>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865" name="Shape 2458865"/>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66" style="width:424.08pt;height:0.720001pt;mso-position-horizontal-relative:char;mso-position-vertical-relative:line" coordsize="53858,91">
                <v:shape id="Shape 2458865" style="position:absolute;width:53858;height:91;left:0;top:0;" coordsize="5385816,9144" path="m0,4572l5385816,4572">
                  <v:stroke weight="0.720001pt" endcap="flat" joinstyle="miter" miterlimit="1" on="true" color="#000000"/>
                  <v:fill on="false" color="#000000"/>
                </v:shape>
              </v:group>
            </w:pict>
          </mc:Fallback>
        </mc:AlternateContent>
      </w:r>
    </w:p>
    <w:p w14:paraId="4BA5D3D2" w14:textId="77777777" w:rsidR="00053D93" w:rsidRDefault="00260B75">
      <w:pPr>
        <w:spacing w:after="581" w:line="269" w:lineRule="auto"/>
        <w:ind w:left="1713" w:right="14" w:hanging="1656"/>
        <w:jc w:val="both"/>
      </w:pPr>
      <w:r>
        <w:rPr>
          <w:noProof/>
        </w:rPr>
        <mc:AlternateContent>
          <mc:Choice Requires="wpg">
            <w:drawing>
              <wp:anchor distT="0" distB="0" distL="114300" distR="114300" simplePos="0" relativeHeight="252240896" behindDoc="0" locked="0" layoutInCell="1" allowOverlap="1" wp14:anchorId="342875D0" wp14:editId="0F3C6A15">
                <wp:simplePos x="0" y="0"/>
                <wp:positionH relativeFrom="column">
                  <wp:posOffset>27432</wp:posOffset>
                </wp:positionH>
                <wp:positionV relativeFrom="paragraph">
                  <wp:posOffset>376238</wp:posOffset>
                </wp:positionV>
                <wp:extent cx="123444" cy="297180"/>
                <wp:effectExtent l="0" t="0" r="0" b="0"/>
                <wp:wrapSquare wrapText="bothSides"/>
                <wp:docPr id="2457351" name="Group 2457351"/>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1132442" name="Rectangle 1132442"/>
                        <wps:cNvSpPr/>
                        <wps:spPr>
                          <a:xfrm>
                            <a:off x="0" y="0"/>
                            <a:ext cx="164181" cy="395250"/>
                          </a:xfrm>
                          <a:prstGeom prst="rect">
                            <a:avLst/>
                          </a:prstGeom>
                          <a:ln>
                            <a:noFill/>
                          </a:ln>
                        </wps:spPr>
                        <wps:txbx>
                          <w:txbxContent>
                            <w:p w14:paraId="5E863C8C"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342875D0" id="Group 2457351" o:spid="_x0000_s1652" style="position:absolute;left:0;text-align:left;margin-left:2.15pt;margin-top:29.65pt;width:9.7pt;height:23.4pt;z-index:252240896;mso-position-horizontal-relative:text;mso-position-vertical-relative:text"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">
                <v:rect id="Rectangle 1132442" o:spid="_x0000_s1653" style="position:absolute;width:164181;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" filled="f" stroked="f">
                  <v:textbox inset="0,0,0,0">
                    <w:txbxContent>
                      <w:p w14:paraId="5E863C8C" w14:textId="77777777" w:rsidR="00053D93" w:rsidRDefault="00260B75">
                        <w:r>
                          <w:rPr>
                            <w:sz w:val="74"/>
                          </w:rPr>
                          <w:t>1</w:t>
                        </w:r>
                      </w:p>
                    </w:txbxContent>
                  </v:textbox>
                </v:rect>
                <w10:wrap type="square"/>
              </v:group>
            </w:pict>
          </mc:Fallback>
        </mc:AlternateContent>
      </w:r>
      <w:r>
        <w:rPr>
          <w:sz w:val="26"/>
        </w:rPr>
        <w:t>1 computación virtual y física del Centro de Datos, justificando que la solución de respaldos del Centro de Datos del Ministerio de Educación, se encontraba fuera del plazo de garantía cubierta por el fabricante, evidenciando la tardanza en la gestión administrativa.</w:t>
      </w:r>
    </w:p>
    <w:p w14:paraId="33BBF5D5" w14:textId="77777777" w:rsidR="00053D93" w:rsidRDefault="00260B75">
      <w:pPr>
        <w:spacing w:after="4" w:line="338" w:lineRule="auto"/>
        <w:ind w:left="60" w:right="14" w:hanging="3"/>
        <w:jc w:val="both"/>
      </w:pPr>
      <w:r>
        <w:rPr>
          <w:sz w:val="26"/>
        </w:rPr>
        <w:t>1 Asimismo, manifiesta que notificó la falta de personal especializado e inversión insuficiente en el área de infraestructura, sin embargo, se evidenció en la 1 condición el hallazgo, personal contratado y nombrado para puestos de Jefe de Infraestructura y Servicios Críticos, Administrador de Servidores y SAN,</w:t>
      </w:r>
    </w:p>
    <w:p w14:paraId="4CD2BE5A" w14:textId="77777777" w:rsidR="00053D93" w:rsidRDefault="00260B75">
      <w:pPr>
        <w:spacing w:after="114" w:line="269" w:lineRule="auto"/>
        <w:ind w:left="57" w:right="14" w:firstLine="1649"/>
        <w:jc w:val="both"/>
      </w:pPr>
      <w:r>
        <w:rPr>
          <w:sz w:val="26"/>
        </w:rPr>
        <w:t>Administrador de Servidores y soportes Backups, Técnico en Seguridad y 1 Monitoreo, no detallados dentro del mismo manual de funciones, que describieran las funciones específicas, propósitos del puesto y perfil de los mismos que evidenciaran la necesidad de puestos en Departamento de Infraestructura y 1 Servicios Críticos de la Dirección de Informática.</w:t>
      </w:r>
    </w:p>
    <w:p w14:paraId="4BDD5198" w14:textId="77777777" w:rsidR="00053D93" w:rsidRDefault="00260B75">
      <w:pPr>
        <w:spacing w:after="4" w:line="269" w:lineRule="auto"/>
        <w:ind w:left="60" w:right="14" w:hanging="3"/>
        <w:jc w:val="both"/>
      </w:pPr>
      <w:r>
        <w:rPr>
          <w:sz w:val="26"/>
        </w:rPr>
        <w:t xml:space="preserve">1 Además, el responsable confirma el oficio DINFO 348-2025 a través del cual indica que el Manual de Procedimientos de Soporte Técnico DES-MAN-OI Versión 3.0 corresponde al Departamento de Redes y Telecomunicaciones, está obsoleto 1 por lo que se adoptó el manual funcional denominado "Manual de Normas y procedimientos, Departamento de Redes y Telecomunicaciones del Ministerio de Educación", dicho manual no es de carácter oficial por no estar aprobado por las </w:t>
      </w:r>
      <w:r>
        <w:rPr>
          <w:noProof/>
        </w:rPr>
        <w:drawing>
          <wp:inline distT="0" distB="0" distL="0" distR="0" wp14:anchorId="1BBE5FFA" wp14:editId="7174C412">
            <wp:extent cx="4572" cy="4572"/>
            <wp:effectExtent l="0" t="0" r="0" b="0"/>
            <wp:docPr id="1135221" name="Picture 1135221"/>
            <wp:cNvGraphicFramePr/>
            <a:graphic xmlns:a="http://schemas.openxmlformats.org/drawingml/2006/main">
              <a:graphicData uri="http://schemas.openxmlformats.org/drawingml/2006/picture">
                <pic:pic xmlns:pic="http://schemas.openxmlformats.org/drawingml/2006/picture">
                  <pic:nvPicPr>
                    <pic:cNvPr id="1135221" name="Picture 1135221"/>
                    <pic:cNvPicPr/>
                  </pic:nvPicPr>
                  <pic:blipFill>
                    <a:blip r:embed="rId845"/>
                    <a:stretch>
                      <a:fillRect/>
                    </a:stretch>
                  </pic:blipFill>
                  <pic:spPr>
                    <a:xfrm>
                      <a:off x="0" y="0"/>
                      <a:ext cx="4572" cy="4572"/>
                    </a:xfrm>
                    <a:prstGeom prst="rect">
                      <a:avLst/>
                    </a:prstGeom>
                  </pic:spPr>
                </pic:pic>
              </a:graphicData>
            </a:graphic>
          </wp:inline>
        </w:drawing>
      </w:r>
      <w:r>
        <w:rPr>
          <w:sz w:val="26"/>
        </w:rPr>
        <w:t xml:space="preserve">1 Autoridades correspondientes, igualmente, no evidenció pruebas de la recuperación de la información pérdida que se señala en la condición del hallazgo, 1 confirmando el incumplimiento de las funciones de la Dirección de Informática de almacenar, proteger, recuperar y transmitir la información que contribuya a mejorar el desarrollo de los procesos administrativos del Ministerio. Asimismo, de 1 conformidad con el artículo 8 del Acuerdo Ministerial No. 1003-2009 le asigna atribuciones específicas para el desarrollo y mantenimiento de un código en temas de TIC, incluyendo el acceso a la información. Si bien advirtió riesgos, no presentó </w:t>
      </w:r>
      <w:r>
        <w:rPr>
          <w:noProof/>
        </w:rPr>
        <w:drawing>
          <wp:inline distT="0" distB="0" distL="0" distR="0" wp14:anchorId="2792E6F8" wp14:editId="49B37875">
            <wp:extent cx="9144" cy="4572"/>
            <wp:effectExtent l="0" t="0" r="0" b="0"/>
            <wp:docPr id="1135222" name="Picture 1135222"/>
            <wp:cNvGraphicFramePr/>
            <a:graphic xmlns:a="http://schemas.openxmlformats.org/drawingml/2006/main">
              <a:graphicData uri="http://schemas.openxmlformats.org/drawingml/2006/picture">
                <pic:pic xmlns:pic="http://schemas.openxmlformats.org/drawingml/2006/picture">
                  <pic:nvPicPr>
                    <pic:cNvPr id="1135222" name="Picture 1135222"/>
                    <pic:cNvPicPr/>
                  </pic:nvPicPr>
                  <pic:blipFill>
                    <a:blip r:embed="rId24"/>
                    <a:stretch>
                      <a:fillRect/>
                    </a:stretch>
                  </pic:blipFill>
                  <pic:spPr>
                    <a:xfrm>
                      <a:off x="0" y="0"/>
                      <a:ext cx="9144" cy="4572"/>
                    </a:xfrm>
                    <a:prstGeom prst="rect">
                      <a:avLst/>
                    </a:prstGeom>
                  </pic:spPr>
                </pic:pic>
              </a:graphicData>
            </a:graphic>
          </wp:inline>
        </w:drawing>
      </w:r>
      <w:r>
        <w:rPr>
          <w:sz w:val="26"/>
        </w:rPr>
        <w:t>1 evidencia de acciones correctivas ni documentación que demostrara una gestión eficaz para evitar la pérdida de información, ni promovió la actualización del marco 1 normativo institucional.</w:t>
      </w:r>
    </w:p>
    <w:p w14:paraId="04901854" w14:textId="77777777" w:rsidR="00053D93" w:rsidRDefault="00260B75">
      <w:pPr>
        <w:spacing w:after="4" w:line="269" w:lineRule="auto"/>
        <w:ind w:left="57" w:right="79" w:firstLine="1620"/>
        <w:jc w:val="both"/>
      </w:pPr>
      <w:r>
        <w:rPr>
          <w:sz w:val="26"/>
        </w:rPr>
        <w:t>Se confirma el hallazgo al señor Carlos Antonio Guzmán Coroy, Jefe de Desarrollo 1 e Integración de Soluciones, en virtud que, sus comentarios y pruebas de descargo relacionadas con la deficiencia notificada, no son suficientes para desvanecer el hallazgo, derivado que argumenta que existe segregación de 1 funciones respecto a la administración de servidores y que el Director de la Dirección de Informática creo el Departamento de Infraestructura y Servicios 1 Críticos para realizar la administración de los mismos, sin embargo, en el manual oficial vigente de funciones, organizaciones y puestos no contempla el Departamento de Infraestructura y Servicios Críticos, asimismo, detalla funciones 1 del Jefe de Desarrollo e Integración de soluciones en las que se pueden destacar:</w:t>
      </w:r>
    </w:p>
    <w:tbl>
      <w:tblPr>
        <w:tblStyle w:val="TableGrid"/>
        <w:tblW w:w="9410" w:type="dxa"/>
        <w:tblInd w:w="713" w:type="dxa"/>
        <w:tblLook w:val="04A0" w:firstRow="1" w:lastRow="0" w:firstColumn="1" w:lastColumn="0" w:noHBand="0" w:noVBand="1"/>
      </w:tblPr>
      <w:tblGrid>
        <w:gridCol w:w="1278"/>
        <w:gridCol w:w="8160"/>
      </w:tblGrid>
      <w:tr w:rsidR="00053D93" w14:paraId="0C0C8E3D" w14:textId="77777777">
        <w:trPr>
          <w:trHeight w:val="648"/>
        </w:trPr>
        <w:tc>
          <w:tcPr>
            <w:tcW w:w="1768" w:type="dxa"/>
            <w:tcBorders>
              <w:top w:val="nil"/>
              <w:left w:val="nil"/>
              <w:bottom w:val="nil"/>
              <w:right w:val="nil"/>
            </w:tcBorders>
          </w:tcPr>
          <w:p w14:paraId="2701F568" w14:textId="77777777" w:rsidR="00053D93" w:rsidRDefault="00260B75">
            <w:r>
              <w:rPr>
                <w:noProof/>
              </w:rPr>
              <w:drawing>
                <wp:inline distT="0" distB="0" distL="0" distR="0" wp14:anchorId="0520FB79" wp14:editId="5D5BF1B3">
                  <wp:extent cx="1110996" cy="411480"/>
                  <wp:effectExtent l="0" t="0" r="0" b="0"/>
                  <wp:docPr id="1135267" name="Picture 1135267"/>
                  <wp:cNvGraphicFramePr/>
                  <a:graphic xmlns:a="http://schemas.openxmlformats.org/drawingml/2006/main">
                    <a:graphicData uri="http://schemas.openxmlformats.org/drawingml/2006/picture">
                      <pic:pic xmlns:pic="http://schemas.openxmlformats.org/drawingml/2006/picture">
                        <pic:nvPicPr>
                          <pic:cNvPr id="1135267" name="Picture 1135267"/>
                          <pic:cNvPicPr/>
                        </pic:nvPicPr>
                        <pic:blipFill>
                          <a:blip r:embed="rId1574"/>
                          <a:stretch>
                            <a:fillRect/>
                          </a:stretch>
                        </pic:blipFill>
                        <pic:spPr>
                          <a:xfrm>
                            <a:off x="0" y="0"/>
                            <a:ext cx="1110996" cy="411480"/>
                          </a:xfrm>
                          <a:prstGeom prst="rect">
                            <a:avLst/>
                          </a:prstGeom>
                        </pic:spPr>
                      </pic:pic>
                    </a:graphicData>
                  </a:graphic>
                </wp:inline>
              </w:drawing>
            </w:r>
          </w:p>
        </w:tc>
        <w:tc>
          <w:tcPr>
            <w:tcW w:w="7643" w:type="dxa"/>
            <w:tcBorders>
              <w:top w:val="nil"/>
              <w:left w:val="nil"/>
              <w:bottom w:val="nil"/>
              <w:right w:val="nil"/>
            </w:tcBorders>
          </w:tcPr>
          <w:p w14:paraId="113054AD" w14:textId="77777777" w:rsidR="00053D93" w:rsidRDefault="00053D93">
            <w:pPr>
              <w:ind w:left="-2833" w:right="10476"/>
            </w:pPr>
          </w:p>
          <w:tbl>
            <w:tblPr>
              <w:tblStyle w:val="TableGrid"/>
              <w:tblW w:w="7625" w:type="dxa"/>
              <w:tblInd w:w="18" w:type="dxa"/>
              <w:tblCellMar>
                <w:top w:w="24" w:type="dxa"/>
                <w:left w:w="1742" w:type="dxa"/>
                <w:right w:w="115" w:type="dxa"/>
              </w:tblCellMar>
              <w:tblLook w:val="04A0" w:firstRow="1" w:lastRow="0" w:firstColumn="1" w:lastColumn="0" w:noHBand="0" w:noVBand="1"/>
            </w:tblPr>
            <w:tblGrid>
              <w:gridCol w:w="7625"/>
            </w:tblGrid>
            <w:tr w:rsidR="00053D93" w14:paraId="0D0B1380" w14:textId="77777777">
              <w:trPr>
                <w:trHeight w:val="55"/>
              </w:trPr>
              <w:tc>
                <w:tcPr>
                  <w:tcW w:w="7625" w:type="dxa"/>
                  <w:tcBorders>
                    <w:top w:val="nil"/>
                    <w:left w:val="single" w:sz="2" w:space="0" w:color="000000"/>
                    <w:bottom w:val="single" w:sz="2" w:space="0" w:color="000000"/>
                    <w:right w:val="nil"/>
                  </w:tcBorders>
                </w:tcPr>
                <w:p w14:paraId="062D25AD" w14:textId="77777777" w:rsidR="00053D93" w:rsidRDefault="00053D93"/>
              </w:tc>
            </w:tr>
            <w:tr w:rsidR="00053D93" w14:paraId="1673FDE8" w14:textId="77777777">
              <w:trPr>
                <w:trHeight w:val="586"/>
              </w:trPr>
              <w:tc>
                <w:tcPr>
                  <w:tcW w:w="7625" w:type="dxa"/>
                  <w:tcBorders>
                    <w:top w:val="single" w:sz="2" w:space="0" w:color="000000"/>
                    <w:left w:val="single" w:sz="2" w:space="0" w:color="000000"/>
                    <w:bottom w:val="nil"/>
                    <w:right w:val="nil"/>
                  </w:tcBorders>
                </w:tcPr>
                <w:p w14:paraId="7CF7CB12" w14:textId="77777777" w:rsidR="00053D93" w:rsidRDefault="00260B75">
                  <w:pPr>
                    <w:ind w:left="835"/>
                  </w:pPr>
                  <w:r>
                    <w:rPr>
                      <w:sz w:val="14"/>
                    </w:rPr>
                    <w:t>MINISTERIO DE EDUCACION</w:t>
                  </w:r>
                </w:p>
                <w:p w14:paraId="49366CDF" w14:textId="77777777" w:rsidR="00053D93" w:rsidRDefault="00260B75">
                  <w:pPr>
                    <w:ind w:left="338"/>
                  </w:pPr>
                  <w:r>
                    <w:rPr>
                      <w:sz w:val="14"/>
                    </w:rPr>
                    <w:t>AUDITORÍA FINANCERA Y DE CUMPLIMIENTO</w:t>
                  </w:r>
                </w:p>
                <w:p w14:paraId="47FB8040" w14:textId="77777777" w:rsidR="00053D93" w:rsidRDefault="00260B75">
                  <w:r>
                    <w:rPr>
                      <w:sz w:val="14"/>
                    </w:rPr>
                    <w:t>PERIODO DEL 01 DE ENERO AL 31 DE DICIEMBRE DE 2024</w:t>
                  </w:r>
                </w:p>
              </w:tc>
            </w:tr>
          </w:tbl>
          <w:p w14:paraId="7AE05AE9" w14:textId="77777777" w:rsidR="00053D93" w:rsidRDefault="00053D93"/>
        </w:tc>
      </w:tr>
    </w:tbl>
    <w:p w14:paraId="58B97BB9" w14:textId="77777777" w:rsidR="00053D93" w:rsidRDefault="00260B75">
      <w:pPr>
        <w:spacing w:after="42"/>
        <w:ind w:left="1642"/>
      </w:pPr>
      <w:r>
        <w:rPr>
          <w:noProof/>
        </w:rPr>
        <mc:AlternateContent>
          <mc:Choice Requires="wpg">
            <w:drawing>
              <wp:inline distT="0" distB="0" distL="0" distR="0" wp14:anchorId="2B544854" wp14:editId="5B67925C">
                <wp:extent cx="5376672" cy="9144"/>
                <wp:effectExtent l="0" t="0" r="0" b="0"/>
                <wp:docPr id="2458868" name="Group 2458868"/>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867" name="Shape 2458867"/>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68" style="width:423.36pt;height:0.719994pt;mso-position-horizontal-relative:char;mso-position-vertical-relative:line" coordsize="53766,91">
                <v:shape id="Shape 2458867" style="position:absolute;width:53766;height:91;left:0;top:0;" coordsize="5376672,9144" path="m0,4572l5376672,4572">
                  <v:stroke weight="0.719994pt" endcap="flat" joinstyle="miter" miterlimit="1" on="true" color="#000000"/>
                  <v:fill on="false" color="#000000"/>
                </v:shape>
              </v:group>
            </w:pict>
          </mc:Fallback>
        </mc:AlternateContent>
      </w:r>
    </w:p>
    <w:p w14:paraId="5ECC3F92" w14:textId="77777777" w:rsidR="00053D93" w:rsidRDefault="00260B75">
      <w:pPr>
        <w:spacing w:after="32" w:line="269" w:lineRule="auto"/>
        <w:ind w:left="60" w:right="14" w:hanging="3"/>
        <w:jc w:val="both"/>
      </w:pPr>
      <w:r>
        <w:rPr>
          <w:sz w:val="26"/>
        </w:rPr>
        <w:t>1 Definir, publicar, y actualizar las políticas de administración de seguridad y respaldo en aplicación de software; definir, publicar, y actualizar las políticas y 1 estándares de desarrollo de programas de computación, plataforma tecnológica, metodologías de desarrollo, políticas de administración y mantenimiento, operación de sistemas, registro documentales técnicos y administrativos que 1 aseguren la integración de tecnología e información. Por Io que se evidencia que el responsable si tiene funciones vitales institucionales para la seguridad y respaldos de los sistemas informáticos.</w:t>
      </w:r>
    </w:p>
    <w:p w14:paraId="5CAFBC4C" w14:textId="77777777" w:rsidR="00053D93" w:rsidRDefault="00260B75">
      <w:pPr>
        <w:spacing w:after="3"/>
        <w:ind w:left="74" w:right="3485" w:hanging="10"/>
      </w:pPr>
      <w:r>
        <w:rPr>
          <w:sz w:val="70"/>
        </w:rPr>
        <w:t>1</w:t>
      </w:r>
    </w:p>
    <w:p w14:paraId="5CD79DE7" w14:textId="77777777" w:rsidR="00053D93" w:rsidRDefault="00260B75">
      <w:pPr>
        <w:spacing w:after="619" w:line="216" w:lineRule="auto"/>
        <w:ind w:left="57" w:right="14" w:firstLine="1649"/>
        <w:jc w:val="both"/>
      </w:pPr>
      <w:r>
        <w:rPr>
          <w:noProof/>
        </w:rPr>
        <mc:AlternateContent>
          <mc:Choice Requires="wpg">
            <w:drawing>
              <wp:anchor distT="0" distB="0" distL="114300" distR="114300" simplePos="0" relativeHeight="252241920" behindDoc="0" locked="0" layoutInCell="1" allowOverlap="1" wp14:anchorId="2F66B714" wp14:editId="128A4413">
                <wp:simplePos x="0" y="0"/>
                <wp:positionH relativeFrom="column">
                  <wp:posOffset>4572</wp:posOffset>
                </wp:positionH>
                <wp:positionV relativeFrom="paragraph">
                  <wp:posOffset>181242</wp:posOffset>
                </wp:positionV>
                <wp:extent cx="123444" cy="301752"/>
                <wp:effectExtent l="0" t="0" r="0" b="0"/>
                <wp:wrapSquare wrapText="bothSides"/>
                <wp:docPr id="2457368" name="Group 2457368"/>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1135963" name="Rectangle 1135963"/>
                        <wps:cNvSpPr/>
                        <wps:spPr>
                          <a:xfrm>
                            <a:off x="0" y="0"/>
                            <a:ext cx="164181" cy="401330"/>
                          </a:xfrm>
                          <a:prstGeom prst="rect">
                            <a:avLst/>
                          </a:prstGeom>
                          <a:ln>
                            <a:noFill/>
                          </a:ln>
                        </wps:spPr>
                        <wps:txbx>
                          <w:txbxContent>
                            <w:p w14:paraId="15A87604"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2F66B714" id="Group 2457368" o:spid="_x0000_s1654" style="position:absolute;left:0;text-align:left;margin-left:.35pt;margin-top:14.25pt;width:9.7pt;height:23.75pt;z-index:252241920;mso-position-horizontal-relative:text;mso-position-vertical-relative:text"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">
                <v:rect id="Rectangle 1135963" o:spid="_x0000_s1655"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" filled="f" stroked="f">
                  <v:textbox inset="0,0,0,0">
                    <w:txbxContent>
                      <w:p w14:paraId="15A87604" w14:textId="77777777" w:rsidR="00053D93" w:rsidRDefault="00260B75">
                        <w:r>
                          <w:rPr>
                            <w:sz w:val="74"/>
                          </w:rPr>
                          <w:t>1</w:t>
                        </w:r>
                      </w:p>
                    </w:txbxContent>
                  </v:textbox>
                </v:rect>
                <w10:wrap type="square"/>
              </v:group>
            </w:pict>
          </mc:Fallback>
        </mc:AlternateContent>
      </w:r>
      <w:r>
        <w:rPr>
          <w:noProof/>
        </w:rPr>
        <mc:AlternateContent>
          <mc:Choice Requires="wpg">
            <w:drawing>
              <wp:anchor distT="0" distB="0" distL="114300" distR="114300" simplePos="0" relativeHeight="252242944" behindDoc="0" locked="0" layoutInCell="1" allowOverlap="1" wp14:anchorId="5D623D28" wp14:editId="1CD10079">
                <wp:simplePos x="0" y="0"/>
                <wp:positionH relativeFrom="column">
                  <wp:posOffset>9144</wp:posOffset>
                </wp:positionH>
                <wp:positionV relativeFrom="paragraph">
                  <wp:posOffset>1223659</wp:posOffset>
                </wp:positionV>
                <wp:extent cx="118872" cy="297180"/>
                <wp:effectExtent l="0" t="0" r="0" b="0"/>
                <wp:wrapSquare wrapText="bothSides"/>
                <wp:docPr id="2457370" name="Group 2457370"/>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135965" name="Rectangle 1135965"/>
                        <wps:cNvSpPr/>
                        <wps:spPr>
                          <a:xfrm>
                            <a:off x="0" y="0"/>
                            <a:ext cx="158100" cy="395249"/>
                          </a:xfrm>
                          <a:prstGeom prst="rect">
                            <a:avLst/>
                          </a:prstGeom>
                          <a:ln>
                            <a:noFill/>
                          </a:ln>
                        </wps:spPr>
                        <wps:txbx>
                          <w:txbxContent>
                            <w:p w14:paraId="53E3504B"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5D623D28" id="Group 2457370" o:spid="_x0000_s1656" style="position:absolute;left:0;text-align:left;margin-left:.7pt;margin-top:96.35pt;width:9.35pt;height:23.4pt;z-index:252242944;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">
                <v:rect id="Rectangle 1135965" o:spid="_x0000_s1657"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" filled="f" stroked="f">
                  <v:textbox inset="0,0,0,0">
                    <w:txbxContent>
                      <w:p w14:paraId="53E3504B" w14:textId="77777777" w:rsidR="00053D93" w:rsidRDefault="00260B75">
                        <w:r>
                          <w:rPr>
                            <w:sz w:val="72"/>
                          </w:rPr>
                          <w:t>1</w:t>
                        </w:r>
                      </w:p>
                    </w:txbxContent>
                  </v:textbox>
                </v:rect>
                <w10:wrap type="square"/>
              </v:group>
            </w:pict>
          </mc:Fallback>
        </mc:AlternateContent>
      </w:r>
      <w:r>
        <w:rPr>
          <w:noProof/>
        </w:rPr>
        <mc:AlternateContent>
          <mc:Choice Requires="wpg">
            <w:drawing>
              <wp:anchor distT="0" distB="0" distL="114300" distR="114300" simplePos="0" relativeHeight="252243968" behindDoc="0" locked="0" layoutInCell="1" allowOverlap="1" wp14:anchorId="190BECBD" wp14:editId="7985CCC6">
                <wp:simplePos x="0" y="0"/>
                <wp:positionH relativeFrom="column">
                  <wp:posOffset>9144</wp:posOffset>
                </wp:positionH>
                <wp:positionV relativeFrom="paragraph">
                  <wp:posOffset>1726578</wp:posOffset>
                </wp:positionV>
                <wp:extent cx="118872" cy="301752"/>
                <wp:effectExtent l="0" t="0" r="0" b="0"/>
                <wp:wrapSquare wrapText="bothSides"/>
                <wp:docPr id="2457371" name="Group 2457371"/>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1135966" name="Rectangle 1135966"/>
                        <wps:cNvSpPr/>
                        <wps:spPr>
                          <a:xfrm>
                            <a:off x="0" y="0"/>
                            <a:ext cx="158100" cy="401330"/>
                          </a:xfrm>
                          <a:prstGeom prst="rect">
                            <a:avLst/>
                          </a:prstGeom>
                          <a:ln>
                            <a:noFill/>
                          </a:ln>
                        </wps:spPr>
                        <wps:txbx>
                          <w:txbxContent>
                            <w:p w14:paraId="689E67D0"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190BECBD" id="Group 2457371" o:spid="_x0000_s1658" style="position:absolute;left:0;text-align:left;margin-left:.7pt;margin-top:135.95pt;width:9.35pt;height:23.75pt;z-index:252243968;mso-position-horizontal-relative:text;mso-position-vertical-relative:text"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">
                <v:rect id="Rectangle 1135966" o:spid="_x0000_s1659"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" filled="f" stroked="f">
                  <v:textbox inset="0,0,0,0">
                    <w:txbxContent>
                      <w:p w14:paraId="689E67D0" w14:textId="77777777" w:rsidR="00053D93" w:rsidRDefault="00260B75">
                        <w:r>
                          <w:rPr>
                            <w:sz w:val="72"/>
                          </w:rPr>
                          <w:t>1</w:t>
                        </w:r>
                      </w:p>
                    </w:txbxContent>
                  </v:textbox>
                </v:rect>
                <w10:wrap type="square"/>
              </v:group>
            </w:pict>
          </mc:Fallback>
        </mc:AlternateContent>
      </w:r>
      <w:r>
        <w:rPr>
          <w:sz w:val="26"/>
        </w:rPr>
        <w:t xml:space="preserve">Es importante señalar que el Jefe de Desarrollo e Integración de Soluciones debe supervisar al Administrador de base de datos quien es responsable de monitorear y administrar la seguridad de la base de datos; proteger [os datos de la base mediante estrategias de respaldos y recuperación de la información; cooperar con </w:t>
      </w:r>
      <w:r>
        <w:rPr>
          <w:noProof/>
        </w:rPr>
        <mc:AlternateContent>
          <mc:Choice Requires="wpg">
            <w:drawing>
              <wp:inline distT="0" distB="0" distL="0" distR="0" wp14:anchorId="1D0DB806" wp14:editId="32598DD4">
                <wp:extent cx="114300" cy="306324"/>
                <wp:effectExtent l="0" t="0" r="0" b="0"/>
                <wp:docPr id="2457369" name="Group 2457369"/>
                <wp:cNvGraphicFramePr/>
                <a:graphic xmlns:a="http://schemas.openxmlformats.org/drawingml/2006/main">
                  <a:graphicData uri="http://schemas.microsoft.com/office/word/2010/wordprocessingGroup">
                    <wpg:wgp>
                      <wpg:cNvGrpSpPr/>
                      <wpg:grpSpPr>
                        <a:xfrm>
                          <a:off x="0" y="0"/>
                          <a:ext cx="114300" cy="306324"/>
                          <a:chOff x="0" y="0"/>
                          <a:chExt cx="114300" cy="306324"/>
                        </a:xfrm>
                      </wpg:grpSpPr>
                      <wps:wsp>
                        <wps:cNvPr id="1135964" name="Rectangle 1135964"/>
                        <wps:cNvSpPr/>
                        <wps:spPr>
                          <a:xfrm>
                            <a:off x="0" y="0"/>
                            <a:ext cx="152019" cy="407411"/>
                          </a:xfrm>
                          <a:prstGeom prst="rect">
                            <a:avLst/>
                          </a:prstGeom>
                          <a:ln>
                            <a:noFill/>
                          </a:ln>
                        </wps:spPr>
                        <wps:txbx>
                          <w:txbxContent>
                            <w:p w14:paraId="764CC288"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1D0DB806" id="Group 2457369" o:spid="_x0000_s1660" style="width:9pt;height:24.1pt;mso-position-horizontal-relative:char;mso-position-vertical-relative:line" coordsize="114300,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">
                <v:rect id="Rectangle 1135964" o:spid="_x0000_s1661" style="position:absolute;width:152019;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" filled="f" stroked="f">
                  <v:textbox inset="0,0,0,0">
                    <w:txbxContent>
                      <w:p w14:paraId="764CC288" w14:textId="77777777" w:rsidR="00053D93" w:rsidRDefault="00260B75">
                        <w:r>
                          <w:rPr>
                            <w:sz w:val="70"/>
                          </w:rPr>
                          <w:t>1</w:t>
                        </w:r>
                      </w:p>
                    </w:txbxContent>
                  </v:textbox>
                </v:rect>
                <w10:anchorlock/>
              </v:group>
            </w:pict>
          </mc:Fallback>
        </mc:AlternateContent>
      </w:r>
      <w:r>
        <w:rPr>
          <w:sz w:val="26"/>
        </w:rPr>
        <w:t xml:space="preserve"> personal de soporte durante mantenimientos preventivos y correctivos a servidores de base de datos, evidenciando el incumplimiento del Departamento de Desarrollo e Integración de soluciones respecto a una respuesta inmediata para la recuperación de la información y la seguridad de respaldos posterior al incidente informático ocurrido el 21 de agosto de 2024, y poder transmitir la información continua que contribuya a mejorar el desarrollo de [os procesos administrativos del Ministerio.</w:t>
      </w:r>
    </w:p>
    <w:p w14:paraId="56D18F24" w14:textId="77777777" w:rsidR="00053D93" w:rsidRDefault="00260B75">
      <w:pPr>
        <w:spacing w:after="212" w:line="216" w:lineRule="auto"/>
        <w:ind w:left="60" w:right="14" w:hanging="3"/>
        <w:jc w:val="both"/>
      </w:pPr>
      <w:r>
        <w:rPr>
          <w:noProof/>
        </w:rPr>
        <w:drawing>
          <wp:anchor distT="0" distB="0" distL="114300" distR="114300" simplePos="0" relativeHeight="252244992" behindDoc="0" locked="0" layoutInCell="1" allowOverlap="0" wp14:anchorId="30A2DB14" wp14:editId="72BB58AB">
            <wp:simplePos x="0" y="0"/>
            <wp:positionH relativeFrom="page">
              <wp:posOffset>205740</wp:posOffset>
            </wp:positionH>
            <wp:positionV relativeFrom="page">
              <wp:posOffset>374904</wp:posOffset>
            </wp:positionV>
            <wp:extent cx="4572" cy="9144"/>
            <wp:effectExtent l="0" t="0" r="0" b="0"/>
            <wp:wrapTopAndBottom/>
            <wp:docPr id="1138852" name="Picture 1138852"/>
            <wp:cNvGraphicFramePr/>
            <a:graphic xmlns:a="http://schemas.openxmlformats.org/drawingml/2006/main">
              <a:graphicData uri="http://schemas.openxmlformats.org/drawingml/2006/picture">
                <pic:pic xmlns:pic="http://schemas.openxmlformats.org/drawingml/2006/picture">
                  <pic:nvPicPr>
                    <pic:cNvPr id="1138852" name="Picture 1138852"/>
                    <pic:cNvPicPr/>
                  </pic:nvPicPr>
                  <pic:blipFill>
                    <a:blip r:embed="rId24"/>
                    <a:stretch>
                      <a:fillRect/>
                    </a:stretch>
                  </pic:blipFill>
                  <pic:spPr>
                    <a:xfrm>
                      <a:off x="0" y="0"/>
                      <a:ext cx="4572" cy="9144"/>
                    </a:xfrm>
                    <a:prstGeom prst="rect">
                      <a:avLst/>
                    </a:prstGeom>
                  </pic:spPr>
                </pic:pic>
              </a:graphicData>
            </a:graphic>
          </wp:anchor>
        </w:drawing>
      </w:r>
      <w:r>
        <w:rPr>
          <w:noProof/>
        </w:rPr>
        <w:drawing>
          <wp:anchor distT="0" distB="0" distL="114300" distR="114300" simplePos="0" relativeHeight="252246016" behindDoc="0" locked="0" layoutInCell="1" allowOverlap="0" wp14:anchorId="18458020" wp14:editId="3D510399">
            <wp:simplePos x="0" y="0"/>
            <wp:positionH relativeFrom="page">
              <wp:posOffset>210312</wp:posOffset>
            </wp:positionH>
            <wp:positionV relativeFrom="page">
              <wp:posOffset>900684</wp:posOffset>
            </wp:positionV>
            <wp:extent cx="4572" cy="9144"/>
            <wp:effectExtent l="0" t="0" r="0" b="0"/>
            <wp:wrapSquare wrapText="bothSides"/>
            <wp:docPr id="1138853" name="Picture 1138853"/>
            <wp:cNvGraphicFramePr/>
            <a:graphic xmlns:a="http://schemas.openxmlformats.org/drawingml/2006/main">
              <a:graphicData uri="http://schemas.openxmlformats.org/drawingml/2006/picture">
                <pic:pic xmlns:pic="http://schemas.openxmlformats.org/drawingml/2006/picture">
                  <pic:nvPicPr>
                    <pic:cNvPr id="1138853" name="Picture 1138853"/>
                    <pic:cNvPicPr/>
                  </pic:nvPicPr>
                  <pic:blipFill>
                    <a:blip r:embed="rId24"/>
                    <a:stretch>
                      <a:fillRect/>
                    </a:stretch>
                  </pic:blipFill>
                  <pic:spPr>
                    <a:xfrm>
                      <a:off x="0" y="0"/>
                      <a:ext cx="4572" cy="9144"/>
                    </a:xfrm>
                    <a:prstGeom prst="rect">
                      <a:avLst/>
                    </a:prstGeom>
                  </pic:spPr>
                </pic:pic>
              </a:graphicData>
            </a:graphic>
          </wp:anchor>
        </w:drawing>
      </w:r>
      <w:r>
        <w:rPr>
          <w:noProof/>
        </w:rPr>
        <mc:AlternateContent>
          <mc:Choice Requires="wpg">
            <w:drawing>
              <wp:anchor distT="0" distB="0" distL="114300" distR="114300" simplePos="0" relativeHeight="252247040" behindDoc="0" locked="0" layoutInCell="1" allowOverlap="1" wp14:anchorId="6803D25B" wp14:editId="75A9DBBA">
                <wp:simplePos x="0" y="0"/>
                <wp:positionH relativeFrom="column">
                  <wp:posOffset>13716</wp:posOffset>
                </wp:positionH>
                <wp:positionV relativeFrom="paragraph">
                  <wp:posOffset>961812</wp:posOffset>
                </wp:positionV>
                <wp:extent cx="118872" cy="297180"/>
                <wp:effectExtent l="0" t="0" r="0" b="0"/>
                <wp:wrapSquare wrapText="bothSides"/>
                <wp:docPr id="2457372" name="Group 2457372"/>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135968" name="Rectangle 1135968"/>
                        <wps:cNvSpPr/>
                        <wps:spPr>
                          <a:xfrm>
                            <a:off x="0" y="0"/>
                            <a:ext cx="158100" cy="395249"/>
                          </a:xfrm>
                          <a:prstGeom prst="rect">
                            <a:avLst/>
                          </a:prstGeom>
                          <a:ln>
                            <a:noFill/>
                          </a:ln>
                        </wps:spPr>
                        <wps:txbx>
                          <w:txbxContent>
                            <w:p w14:paraId="323AAEAF"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6803D25B" id="Group 2457372" o:spid="_x0000_s1662" style="position:absolute;left:0;text-align:left;margin-left:1.1pt;margin-top:75.75pt;width:9.35pt;height:23.4pt;z-index:252247040;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">
                <v:rect id="Rectangle 1135968" o:spid="_x0000_s1663"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" filled="f" stroked="f">
                  <v:textbox inset="0,0,0,0">
                    <w:txbxContent>
                      <w:p w14:paraId="323AAEAF" w14:textId="77777777" w:rsidR="00053D93" w:rsidRDefault="00260B75">
                        <w:r>
                          <w:rPr>
                            <w:sz w:val="72"/>
                          </w:rPr>
                          <w:t>1</w:t>
                        </w:r>
                      </w:p>
                    </w:txbxContent>
                  </v:textbox>
                </v:rect>
                <w10:wrap type="square"/>
              </v:group>
            </w:pict>
          </mc:Fallback>
        </mc:AlternateContent>
      </w:r>
      <w:r>
        <w:rPr>
          <w:noProof/>
        </w:rPr>
        <mc:AlternateContent>
          <mc:Choice Requires="wpg">
            <w:drawing>
              <wp:anchor distT="0" distB="0" distL="114300" distR="114300" simplePos="0" relativeHeight="252248064" behindDoc="0" locked="0" layoutInCell="1" allowOverlap="1" wp14:anchorId="105F5347" wp14:editId="340A8311">
                <wp:simplePos x="0" y="0"/>
                <wp:positionH relativeFrom="column">
                  <wp:posOffset>13716</wp:posOffset>
                </wp:positionH>
                <wp:positionV relativeFrom="paragraph">
                  <wp:posOffset>1990512</wp:posOffset>
                </wp:positionV>
                <wp:extent cx="118872" cy="301752"/>
                <wp:effectExtent l="0" t="0" r="0" b="0"/>
                <wp:wrapSquare wrapText="bothSides"/>
                <wp:docPr id="2457374" name="Group 2457374"/>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1135970" name="Rectangle 1135970"/>
                        <wps:cNvSpPr/>
                        <wps:spPr>
                          <a:xfrm>
                            <a:off x="0" y="0"/>
                            <a:ext cx="158100" cy="401330"/>
                          </a:xfrm>
                          <a:prstGeom prst="rect">
                            <a:avLst/>
                          </a:prstGeom>
                          <a:ln>
                            <a:noFill/>
                          </a:ln>
                        </wps:spPr>
                        <wps:txbx>
                          <w:txbxContent>
                            <w:p w14:paraId="58560870"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105F5347" id="Group 2457374" o:spid="_x0000_s1664" style="position:absolute;left:0;text-align:left;margin-left:1.1pt;margin-top:156.75pt;width:9.35pt;height:23.75pt;z-index:252248064;mso-position-horizontal-relative:text;mso-position-vertical-relative:text"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">
                <v:rect id="Rectangle 1135970" o:spid="_x0000_s1665"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" filled="f" stroked="f">
                  <v:textbox inset="0,0,0,0">
                    <w:txbxContent>
                      <w:p w14:paraId="58560870" w14:textId="77777777" w:rsidR="00053D93" w:rsidRDefault="00260B75">
                        <w:r>
                          <w:rPr>
                            <w:sz w:val="72"/>
                          </w:rPr>
                          <w:t>1</w:t>
                        </w:r>
                      </w:p>
                    </w:txbxContent>
                  </v:textbox>
                </v:rect>
                <w10:wrap type="square"/>
              </v:group>
            </w:pict>
          </mc:Fallback>
        </mc:AlternateContent>
      </w:r>
      <w:r>
        <w:rPr>
          <w:noProof/>
        </w:rPr>
        <mc:AlternateContent>
          <mc:Choice Requires="wpg">
            <w:drawing>
              <wp:anchor distT="0" distB="0" distL="114300" distR="114300" simplePos="0" relativeHeight="252249088" behindDoc="0" locked="0" layoutInCell="1" allowOverlap="1" wp14:anchorId="1252E677" wp14:editId="11601B0E">
                <wp:simplePos x="0" y="0"/>
                <wp:positionH relativeFrom="column">
                  <wp:posOffset>18288</wp:posOffset>
                </wp:positionH>
                <wp:positionV relativeFrom="paragraph">
                  <wp:posOffset>2511720</wp:posOffset>
                </wp:positionV>
                <wp:extent cx="114300" cy="301753"/>
                <wp:effectExtent l="0" t="0" r="0" b="0"/>
                <wp:wrapSquare wrapText="bothSides"/>
                <wp:docPr id="2457375" name="Group 2457375"/>
                <wp:cNvGraphicFramePr/>
                <a:graphic xmlns:a="http://schemas.openxmlformats.org/drawingml/2006/main">
                  <a:graphicData uri="http://schemas.microsoft.com/office/word/2010/wordprocessingGroup">
                    <wpg:wgp>
                      <wpg:cNvGrpSpPr/>
                      <wpg:grpSpPr>
                        <a:xfrm>
                          <a:off x="0" y="0"/>
                          <a:ext cx="114300" cy="301753"/>
                          <a:chOff x="0" y="0"/>
                          <a:chExt cx="114300" cy="301753"/>
                        </a:xfrm>
                      </wpg:grpSpPr>
                      <wps:wsp>
                        <wps:cNvPr id="1135971" name="Rectangle 1135971"/>
                        <wps:cNvSpPr/>
                        <wps:spPr>
                          <a:xfrm>
                            <a:off x="0" y="0"/>
                            <a:ext cx="152019" cy="401331"/>
                          </a:xfrm>
                          <a:prstGeom prst="rect">
                            <a:avLst/>
                          </a:prstGeom>
                          <a:ln>
                            <a:noFill/>
                          </a:ln>
                        </wps:spPr>
                        <wps:txbx>
                          <w:txbxContent>
                            <w:p w14:paraId="363682BF"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1252E677" id="Group 2457375" o:spid="_x0000_s1666" style="position:absolute;left:0;text-align:left;margin-left:1.45pt;margin-top:197.75pt;width:9pt;height:23.75pt;z-index:252249088;mso-position-horizontal-relative:text;mso-position-vertical-relative:text" coordsize="114300,30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">
                <v:rect id="Rectangle 1135971" o:spid="_x0000_s1667" style="position:absolute;width:152019;height:401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" filled="f" stroked="f">
                  <v:textbox inset="0,0,0,0">
                    <w:txbxContent>
                      <w:p w14:paraId="363682BF" w14:textId="77777777" w:rsidR="00053D93" w:rsidRDefault="00260B75">
                        <w:r>
                          <w:rPr>
                            <w:sz w:val="70"/>
                          </w:rPr>
                          <w:t>1</w:t>
                        </w:r>
                      </w:p>
                    </w:txbxContent>
                  </v:textbox>
                </v:rect>
                <w10:wrap type="square"/>
              </v:group>
            </w:pict>
          </mc:Fallback>
        </mc:AlternateContent>
      </w:r>
      <w:r>
        <w:rPr>
          <w:sz w:val="26"/>
        </w:rPr>
        <w:t xml:space="preserve">1 Se confirma el hallazgo al licenciado Andrés Alejandro Úbeda Rosales, Jefe de Redes y Telecomunicaciones, en virtud que, sus comentarios y pruebas de descargo relacionadas con la deficiencia notificada, no son suficientes para desvanecer el hallazgo, derivado que el responsable confirma que la verificación de la consola de antivirus es parte vital del departamento bajo su supervisión, asi como velar porque la parte administrativa pueda llevarse a cabo correctamente y que funcione la parte técnica en el caso particular sobre la herramienta de Antivirus y de quién la esté operando, sin embargo, se tuvo a la vista el informe de </w:t>
      </w:r>
      <w:r>
        <w:rPr>
          <w:noProof/>
        </w:rPr>
        <mc:AlternateContent>
          <mc:Choice Requires="wpg">
            <w:drawing>
              <wp:inline distT="0" distB="0" distL="0" distR="0" wp14:anchorId="2EFAA7ED" wp14:editId="6108FFA5">
                <wp:extent cx="114300" cy="297180"/>
                <wp:effectExtent l="0" t="0" r="0" b="0"/>
                <wp:docPr id="2457373" name="Group 2457373"/>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135969" name="Rectangle 1135969"/>
                        <wps:cNvSpPr/>
                        <wps:spPr>
                          <a:xfrm>
                            <a:off x="0" y="0"/>
                            <a:ext cx="152019" cy="395249"/>
                          </a:xfrm>
                          <a:prstGeom prst="rect">
                            <a:avLst/>
                          </a:prstGeom>
                          <a:ln>
                            <a:noFill/>
                          </a:ln>
                        </wps:spPr>
                        <wps:txbx>
                          <w:txbxContent>
                            <w:p w14:paraId="6AD4ACEB"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2EFAA7ED" id="Group 2457373" o:spid="_x0000_s1668"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">
                <v:rect id="Rectangle 1135969" o:spid="_x0000_s1669"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" filled="f" stroked="f">
                  <v:textbox inset="0,0,0,0">
                    <w:txbxContent>
                      <w:p w14:paraId="6AD4ACEB" w14:textId="77777777" w:rsidR="00053D93" w:rsidRDefault="00260B75">
                        <w:r>
                          <w:rPr>
                            <w:sz w:val="70"/>
                          </w:rPr>
                          <w:t>1</w:t>
                        </w:r>
                      </w:p>
                    </w:txbxContent>
                  </v:textbox>
                </v:rect>
                <w10:anchorlock/>
              </v:group>
            </w:pict>
          </mc:Fallback>
        </mc:AlternateContent>
      </w:r>
      <w:r>
        <w:rPr>
          <w:sz w:val="26"/>
        </w:rPr>
        <w:t xml:space="preserve"> la DIDAI del Ministerio de Educación en el cual se establece que hubo equipos atacados que no contaban con protección ESE T, respecto a la cual la empresa proveedora se desliga de cualquier responsabilidad, asimismo, continúan informando que la investigación de ESET reveló que equipos a cargo del Jefe del Departamento de Redes y Telecomunicaciones aportaban datos de investigación resaltables, ya que aportaban directamente dos IP de origen relacionadas al incidente de seguridad, ocurrido el 21 de agosto de 2024.</w:t>
      </w:r>
    </w:p>
    <w:p w14:paraId="406D4B51" w14:textId="77777777" w:rsidR="00053D93" w:rsidRDefault="00260B75">
      <w:pPr>
        <w:spacing w:after="4" w:line="269" w:lineRule="auto"/>
        <w:ind w:left="-14" w:right="14" w:firstLine="43"/>
        <w:jc w:val="both"/>
      </w:pPr>
      <w:r>
        <w:rPr>
          <w:noProof/>
        </w:rPr>
        <mc:AlternateContent>
          <mc:Choice Requires="wpg">
            <w:drawing>
              <wp:anchor distT="0" distB="0" distL="114300" distR="114300" simplePos="0" relativeHeight="252250112" behindDoc="0" locked="0" layoutInCell="1" allowOverlap="1" wp14:anchorId="314440E6" wp14:editId="227A76DF">
                <wp:simplePos x="0" y="0"/>
                <wp:positionH relativeFrom="column">
                  <wp:posOffset>22860</wp:posOffset>
                </wp:positionH>
                <wp:positionV relativeFrom="paragraph">
                  <wp:posOffset>516635</wp:posOffset>
                </wp:positionV>
                <wp:extent cx="114300" cy="292609"/>
                <wp:effectExtent l="0" t="0" r="0" b="0"/>
                <wp:wrapSquare wrapText="bothSides"/>
                <wp:docPr id="2457377" name="Group 2457377"/>
                <wp:cNvGraphicFramePr/>
                <a:graphic xmlns:a="http://schemas.openxmlformats.org/drawingml/2006/main">
                  <a:graphicData uri="http://schemas.microsoft.com/office/word/2010/wordprocessingGroup">
                    <wpg:wgp>
                      <wpg:cNvGrpSpPr/>
                      <wpg:grpSpPr>
                        <a:xfrm>
                          <a:off x="0" y="0"/>
                          <a:ext cx="114300" cy="292609"/>
                          <a:chOff x="0" y="0"/>
                          <a:chExt cx="114300" cy="292609"/>
                        </a:xfrm>
                      </wpg:grpSpPr>
                      <wps:wsp>
                        <wps:cNvPr id="1135973" name="Rectangle 1135973"/>
                        <wps:cNvSpPr/>
                        <wps:spPr>
                          <a:xfrm>
                            <a:off x="0" y="0"/>
                            <a:ext cx="152019" cy="389169"/>
                          </a:xfrm>
                          <a:prstGeom prst="rect">
                            <a:avLst/>
                          </a:prstGeom>
                          <a:ln>
                            <a:noFill/>
                          </a:ln>
                        </wps:spPr>
                        <wps:txbx>
                          <w:txbxContent>
                            <w:p w14:paraId="5738D4A8"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314440E6" id="Group 2457377" o:spid="_x0000_s1670" style="position:absolute;left:0;text-align:left;margin-left:1.8pt;margin-top:40.7pt;width:9pt;height:23.05pt;z-index:252250112;mso-position-horizontal-relative:text;mso-position-vertical-relative:text" coordsize="114300,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">
                <v:rect id="Rectangle 1135973" o:spid="_x0000_s1671"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" filled="f" stroked="f">
                  <v:textbox inset="0,0,0,0">
                    <w:txbxContent>
                      <w:p w14:paraId="5738D4A8" w14:textId="77777777" w:rsidR="00053D93" w:rsidRDefault="00260B75">
                        <w:r>
                          <w:rPr>
                            <w:sz w:val="70"/>
                          </w:rPr>
                          <w:t>1</w:t>
                        </w:r>
                      </w:p>
                    </w:txbxContent>
                  </v:textbox>
                </v:rect>
                <w10:wrap type="square"/>
              </v:group>
            </w:pict>
          </mc:Fallback>
        </mc:AlternateContent>
      </w:r>
      <w:r>
        <w:rPr>
          <w:noProof/>
        </w:rPr>
        <mc:AlternateContent>
          <mc:Choice Requires="wpg">
            <w:drawing>
              <wp:inline distT="0" distB="0" distL="0" distR="0" wp14:anchorId="4F2F0F25" wp14:editId="5B64D8E1">
                <wp:extent cx="114300" cy="297180"/>
                <wp:effectExtent l="0" t="0" r="0" b="0"/>
                <wp:docPr id="2457376" name="Group 2457376"/>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135972" name="Rectangle 1135972"/>
                        <wps:cNvSpPr/>
                        <wps:spPr>
                          <a:xfrm>
                            <a:off x="0" y="0"/>
                            <a:ext cx="152019" cy="395249"/>
                          </a:xfrm>
                          <a:prstGeom prst="rect">
                            <a:avLst/>
                          </a:prstGeom>
                          <a:ln>
                            <a:noFill/>
                          </a:ln>
                        </wps:spPr>
                        <wps:txbx>
                          <w:txbxContent>
                            <w:p w14:paraId="37C8ACE9"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F2F0F25" id="Group 2457376" o:spid="_x0000_s1672"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">
                <v:rect id="Rectangle 1135972" o:spid="_x0000_s1673"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" filled="f" stroked="f">
                  <v:textbox inset="0,0,0,0">
                    <w:txbxContent>
                      <w:p w14:paraId="37C8ACE9" w14:textId="77777777" w:rsidR="00053D93" w:rsidRDefault="00260B75">
                        <w:r>
                          <w:rPr>
                            <w:sz w:val="70"/>
                          </w:rPr>
                          <w:t>1</w:t>
                        </w:r>
                      </w:p>
                    </w:txbxContent>
                  </v:textbox>
                </v:rect>
                <w10:anchorlock/>
              </v:group>
            </w:pict>
          </mc:Fallback>
        </mc:AlternateContent>
      </w:r>
      <w:r>
        <w:rPr>
          <w:sz w:val="26"/>
        </w:rPr>
        <w:t xml:space="preserve"> Asimismo, se solicitó la presentación de [os formularios DES-FOR-15 como se detalló en los numerales 5 y 6 de la condición del hallazgo, como lo establece el manual oficial vigente de procedimientos de soporte técnico, para dejar constancias de la actualización del inventario de equipo de cómputo y las fechas de revisión del antivirus previas al incidente informático, los cuales no fueron </w:t>
      </w:r>
      <w:r>
        <w:rPr>
          <w:noProof/>
        </w:rPr>
        <w:drawing>
          <wp:inline distT="0" distB="0" distL="0" distR="0" wp14:anchorId="46E112CB" wp14:editId="439AD488">
            <wp:extent cx="9144" cy="4572"/>
            <wp:effectExtent l="0" t="0" r="0" b="0"/>
            <wp:docPr id="1138854" name="Picture 1138854"/>
            <wp:cNvGraphicFramePr/>
            <a:graphic xmlns:a="http://schemas.openxmlformats.org/drawingml/2006/main">
              <a:graphicData uri="http://schemas.openxmlformats.org/drawingml/2006/picture">
                <pic:pic xmlns:pic="http://schemas.openxmlformats.org/drawingml/2006/picture">
                  <pic:nvPicPr>
                    <pic:cNvPr id="1138854" name="Picture 1138854"/>
                    <pic:cNvPicPr/>
                  </pic:nvPicPr>
                  <pic:blipFill>
                    <a:blip r:embed="rId24"/>
                    <a:stretch>
                      <a:fillRect/>
                    </a:stretch>
                  </pic:blipFill>
                  <pic:spPr>
                    <a:xfrm>
                      <a:off x="0" y="0"/>
                      <a:ext cx="9144" cy="4572"/>
                    </a:xfrm>
                    <a:prstGeom prst="rect">
                      <a:avLst/>
                    </a:prstGeom>
                  </pic:spPr>
                </pic:pic>
              </a:graphicData>
            </a:graphic>
          </wp:inline>
        </w:drawing>
      </w:r>
      <w:r>
        <w:rPr>
          <w:sz w:val="26"/>
        </w:rPr>
        <w:t>1 presentados en ninguna etapa de la auditoría. Dentro del manual de funciones,</w:t>
      </w:r>
    </w:p>
    <w:tbl>
      <w:tblPr>
        <w:tblStyle w:val="TableGrid"/>
        <w:tblW w:w="9418" w:type="dxa"/>
        <w:tblInd w:w="698" w:type="dxa"/>
        <w:tblLook w:val="04A0" w:firstRow="1" w:lastRow="0" w:firstColumn="1" w:lastColumn="0" w:noHBand="0" w:noVBand="1"/>
      </w:tblPr>
      <w:tblGrid>
        <w:gridCol w:w="1290"/>
        <w:gridCol w:w="8163"/>
      </w:tblGrid>
      <w:tr w:rsidR="00053D93" w14:paraId="0A22381F" w14:textId="77777777">
        <w:trPr>
          <w:trHeight w:val="641"/>
        </w:trPr>
        <w:tc>
          <w:tcPr>
            <w:tcW w:w="1782" w:type="dxa"/>
            <w:tcBorders>
              <w:top w:val="nil"/>
              <w:left w:val="nil"/>
              <w:bottom w:val="nil"/>
              <w:right w:val="nil"/>
            </w:tcBorders>
          </w:tcPr>
          <w:p w14:paraId="3BEF4A34" w14:textId="77777777" w:rsidR="00053D93" w:rsidRDefault="00260B75">
            <w:r>
              <w:rPr>
                <w:noProof/>
              </w:rPr>
              <w:drawing>
                <wp:inline distT="0" distB="0" distL="0" distR="0" wp14:anchorId="25D836A1" wp14:editId="72B4946E">
                  <wp:extent cx="1120140" cy="406908"/>
                  <wp:effectExtent l="0" t="0" r="0" b="0"/>
                  <wp:docPr id="1138898" name="Picture 1138898"/>
                  <wp:cNvGraphicFramePr/>
                  <a:graphic xmlns:a="http://schemas.openxmlformats.org/drawingml/2006/main">
                    <a:graphicData uri="http://schemas.openxmlformats.org/drawingml/2006/picture">
                      <pic:pic xmlns:pic="http://schemas.openxmlformats.org/drawingml/2006/picture">
                        <pic:nvPicPr>
                          <pic:cNvPr id="1138898" name="Picture 1138898"/>
                          <pic:cNvPicPr/>
                        </pic:nvPicPr>
                        <pic:blipFill>
                          <a:blip r:embed="rId1575"/>
                          <a:stretch>
                            <a:fillRect/>
                          </a:stretch>
                        </pic:blipFill>
                        <pic:spPr>
                          <a:xfrm>
                            <a:off x="0" y="0"/>
                            <a:ext cx="1120140" cy="406908"/>
                          </a:xfrm>
                          <a:prstGeom prst="rect">
                            <a:avLst/>
                          </a:prstGeom>
                        </pic:spPr>
                      </pic:pic>
                    </a:graphicData>
                  </a:graphic>
                </wp:inline>
              </w:drawing>
            </w:r>
          </w:p>
        </w:tc>
        <w:tc>
          <w:tcPr>
            <w:tcW w:w="7636" w:type="dxa"/>
            <w:tcBorders>
              <w:top w:val="nil"/>
              <w:left w:val="nil"/>
              <w:bottom w:val="nil"/>
              <w:right w:val="nil"/>
            </w:tcBorders>
          </w:tcPr>
          <w:p w14:paraId="65FE7652" w14:textId="77777777" w:rsidR="00053D93" w:rsidRDefault="00053D93">
            <w:pPr>
              <w:ind w:left="-2833" w:right="10469"/>
            </w:pPr>
          </w:p>
          <w:tbl>
            <w:tblPr>
              <w:tblStyle w:val="TableGrid"/>
              <w:tblW w:w="7618" w:type="dxa"/>
              <w:tblInd w:w="18" w:type="dxa"/>
              <w:tblCellMar>
                <w:top w:w="44" w:type="dxa"/>
                <w:left w:w="1742" w:type="dxa"/>
                <w:right w:w="115" w:type="dxa"/>
              </w:tblCellMar>
              <w:tblLook w:val="04A0" w:firstRow="1" w:lastRow="0" w:firstColumn="1" w:lastColumn="0" w:noHBand="0" w:noVBand="1"/>
            </w:tblPr>
            <w:tblGrid>
              <w:gridCol w:w="7618"/>
            </w:tblGrid>
            <w:tr w:rsidR="00053D93" w14:paraId="2A6CCEA5" w14:textId="77777777">
              <w:trPr>
                <w:trHeight w:val="36"/>
              </w:trPr>
              <w:tc>
                <w:tcPr>
                  <w:tcW w:w="7618" w:type="dxa"/>
                  <w:tcBorders>
                    <w:top w:val="nil"/>
                    <w:left w:val="single" w:sz="2" w:space="0" w:color="000000"/>
                    <w:bottom w:val="single" w:sz="2" w:space="0" w:color="000000"/>
                    <w:right w:val="nil"/>
                  </w:tcBorders>
                </w:tcPr>
                <w:p w14:paraId="6E0E01ED" w14:textId="77777777" w:rsidR="00053D93" w:rsidRDefault="00053D93"/>
              </w:tc>
            </w:tr>
            <w:tr w:rsidR="00053D93" w14:paraId="2E255F17" w14:textId="77777777">
              <w:trPr>
                <w:trHeight w:val="598"/>
              </w:trPr>
              <w:tc>
                <w:tcPr>
                  <w:tcW w:w="7618" w:type="dxa"/>
                  <w:tcBorders>
                    <w:top w:val="single" w:sz="2" w:space="0" w:color="000000"/>
                    <w:left w:val="single" w:sz="2" w:space="0" w:color="000000"/>
                    <w:bottom w:val="nil"/>
                    <w:right w:val="nil"/>
                  </w:tcBorders>
                </w:tcPr>
                <w:p w14:paraId="2B405900" w14:textId="77777777" w:rsidR="00053D93" w:rsidRDefault="00260B75">
                  <w:pPr>
                    <w:ind w:left="842"/>
                  </w:pPr>
                  <w:r>
                    <w:rPr>
                      <w:sz w:val="14"/>
                    </w:rPr>
                    <w:t>MINISTERIO DE EDUCACION</w:t>
                  </w:r>
                </w:p>
                <w:p w14:paraId="5EA30C4C" w14:textId="77777777" w:rsidR="00053D93" w:rsidRDefault="00260B75">
                  <w:pPr>
                    <w:ind w:left="346"/>
                  </w:pPr>
                  <w:r>
                    <w:rPr>
                      <w:sz w:val="14"/>
                    </w:rPr>
                    <w:t>AUDITORIA FINANCIERA Y OE CUMPLIMIENTO</w:t>
                  </w:r>
                </w:p>
                <w:p w14:paraId="301B9B66" w14:textId="77777777" w:rsidR="00053D93" w:rsidRDefault="00260B75">
                  <w:r>
                    <w:rPr>
                      <w:sz w:val="14"/>
                    </w:rPr>
                    <w:t>PERIODO DEL 01 DE ENERO AL 31 DE DICIEMBRE DE 2024</w:t>
                  </w:r>
                </w:p>
              </w:tc>
            </w:tr>
          </w:tbl>
          <w:p w14:paraId="6ABDB052" w14:textId="77777777" w:rsidR="00053D93" w:rsidRDefault="00053D93"/>
        </w:tc>
      </w:tr>
    </w:tbl>
    <w:p w14:paraId="5DCFBA2D" w14:textId="77777777" w:rsidR="00053D93" w:rsidRDefault="00053D93">
      <w:pPr>
        <w:sectPr w:rsidR="00053D93">
          <w:headerReference w:type="even" r:id="rId1576"/>
          <w:headerReference w:type="default" r:id="rId1577"/>
          <w:footerReference w:type="even" r:id="rId1578"/>
          <w:footerReference w:type="default" r:id="rId1579"/>
          <w:headerReference w:type="first" r:id="rId1580"/>
          <w:footerReference w:type="first" r:id="rId1581"/>
          <w:pgSz w:w="12290" w:h="15883"/>
          <w:pgMar w:top="1303" w:right="1786" w:bottom="601" w:left="353" w:header="360" w:footer="720" w:gutter="0"/>
          <w:cols w:space="720"/>
          <w:titlePg/>
        </w:sectPr>
      </w:pPr>
    </w:p>
    <w:p w14:paraId="0526440A" w14:textId="77777777" w:rsidR="00053D93" w:rsidRDefault="00260B75">
      <w:pPr>
        <w:spacing w:after="3"/>
        <w:ind w:left="-12" w:right="3485" w:hanging="10"/>
      </w:pPr>
      <w:r>
        <w:rPr>
          <w:noProof/>
        </w:rPr>
        <w:drawing>
          <wp:inline distT="0" distB="0" distL="0" distR="0" wp14:anchorId="14AF26EA" wp14:editId="1E74A8AA">
            <wp:extent cx="18288" cy="18288"/>
            <wp:effectExtent l="0" t="0" r="0" b="0"/>
            <wp:docPr id="1142492" name="Picture 1142492"/>
            <wp:cNvGraphicFramePr/>
            <a:graphic xmlns:a="http://schemas.openxmlformats.org/drawingml/2006/main">
              <a:graphicData uri="http://schemas.openxmlformats.org/drawingml/2006/picture">
                <pic:pic xmlns:pic="http://schemas.openxmlformats.org/drawingml/2006/picture">
                  <pic:nvPicPr>
                    <pic:cNvPr id="1142492" name="Picture 1142492"/>
                    <pic:cNvPicPr/>
                  </pic:nvPicPr>
                  <pic:blipFill>
                    <a:blip r:embed="rId1582"/>
                    <a:stretch>
                      <a:fillRect/>
                    </a:stretch>
                  </pic:blipFill>
                  <pic:spPr>
                    <a:xfrm>
                      <a:off x="0" y="0"/>
                      <a:ext cx="18288" cy="18288"/>
                    </a:xfrm>
                    <a:prstGeom prst="rect">
                      <a:avLst/>
                    </a:prstGeom>
                  </pic:spPr>
                </pic:pic>
              </a:graphicData>
            </a:graphic>
          </wp:inline>
        </w:drawing>
      </w:r>
      <w:r>
        <w:rPr>
          <w:sz w:val="70"/>
        </w:rPr>
        <w:t>1</w:t>
      </w:r>
    </w:p>
    <w:p w14:paraId="280CF87E" w14:textId="77777777" w:rsidR="00053D93" w:rsidRDefault="00260B75">
      <w:pPr>
        <w:spacing w:after="49"/>
        <w:ind w:left="1634"/>
      </w:pPr>
      <w:r>
        <w:rPr>
          <w:noProof/>
        </w:rPr>
        <mc:AlternateContent>
          <mc:Choice Requires="wpg">
            <w:drawing>
              <wp:inline distT="0" distB="0" distL="0" distR="0" wp14:anchorId="7C774A6F" wp14:editId="076F8BE0">
                <wp:extent cx="5381243" cy="9144"/>
                <wp:effectExtent l="0" t="0" r="0" b="0"/>
                <wp:docPr id="2458874" name="Group 2458874"/>
                <wp:cNvGraphicFramePr/>
                <a:graphic xmlns:a="http://schemas.openxmlformats.org/drawingml/2006/main">
                  <a:graphicData uri="http://schemas.microsoft.com/office/word/2010/wordprocessingGroup">
                    <wpg:wgp>
                      <wpg:cNvGrpSpPr/>
                      <wpg:grpSpPr>
                        <a:xfrm>
                          <a:off x="0" y="0"/>
                          <a:ext cx="5381243" cy="9144"/>
                          <a:chOff x="0" y="0"/>
                          <a:chExt cx="5381243" cy="9144"/>
                        </a:xfrm>
                      </wpg:grpSpPr>
                      <wps:wsp>
                        <wps:cNvPr id="2458873" name="Shape 2458873"/>
                        <wps:cNvSpPr/>
                        <wps:spPr>
                          <a:xfrm>
                            <a:off x="0" y="0"/>
                            <a:ext cx="5381243" cy="9144"/>
                          </a:xfrm>
                          <a:custGeom>
                            <a:avLst/>
                            <a:gdLst/>
                            <a:ahLst/>
                            <a:cxnLst/>
                            <a:rect l="0" t="0" r="0" b="0"/>
                            <a:pathLst>
                              <a:path w="5381243" h="9144">
                                <a:moveTo>
                                  <a:pt x="0" y="4572"/>
                                </a:moveTo>
                                <a:lnTo>
                                  <a:pt x="5381243"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74" style="width:423.72pt;height:0.720001pt;mso-position-horizontal-relative:char;mso-position-vertical-relative:line" coordsize="53812,91">
                <v:shape id="Shape 2458873" style="position:absolute;width:53812;height:91;left:0;top:0;" coordsize="5381243,9144" path="m0,4572l5381243,4572">
                  <v:stroke weight="0.720001pt" endcap="flat" joinstyle="miter" miterlimit="1" on="true" color="#000000"/>
                  <v:fill on="false" color="#000000"/>
                </v:shape>
              </v:group>
            </w:pict>
          </mc:Fallback>
        </mc:AlternateContent>
      </w:r>
    </w:p>
    <w:p w14:paraId="14A5D0D8" w14:textId="77777777" w:rsidR="00053D93" w:rsidRDefault="00260B75">
      <w:pPr>
        <w:spacing w:after="115" w:line="269" w:lineRule="auto"/>
        <w:ind w:left="60" w:right="14" w:hanging="3"/>
        <w:jc w:val="both"/>
      </w:pPr>
      <w:r>
        <w:rPr>
          <w:noProof/>
        </w:rPr>
        <mc:AlternateContent>
          <mc:Choice Requires="wpg">
            <w:drawing>
              <wp:anchor distT="0" distB="0" distL="114300" distR="114300" simplePos="0" relativeHeight="252251136" behindDoc="0" locked="0" layoutInCell="1" allowOverlap="1" wp14:anchorId="5D55B41D" wp14:editId="3BEBAF07">
                <wp:simplePos x="0" y="0"/>
                <wp:positionH relativeFrom="column">
                  <wp:posOffset>18288</wp:posOffset>
                </wp:positionH>
                <wp:positionV relativeFrom="paragraph">
                  <wp:posOffset>393931</wp:posOffset>
                </wp:positionV>
                <wp:extent cx="118872" cy="297180"/>
                <wp:effectExtent l="0" t="0" r="0" b="0"/>
                <wp:wrapSquare wrapText="bothSides"/>
                <wp:docPr id="2457397" name="Group 2457397"/>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139530" name="Rectangle 1139530"/>
                        <wps:cNvSpPr/>
                        <wps:spPr>
                          <a:xfrm>
                            <a:off x="0" y="0"/>
                            <a:ext cx="158100" cy="395249"/>
                          </a:xfrm>
                          <a:prstGeom prst="rect">
                            <a:avLst/>
                          </a:prstGeom>
                          <a:ln>
                            <a:noFill/>
                          </a:ln>
                        </wps:spPr>
                        <wps:txbx>
                          <w:txbxContent>
                            <w:p w14:paraId="58FD33A6"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5D55B41D" id="Group 2457397" o:spid="_x0000_s1674" style="position:absolute;left:0;text-align:left;margin-left:1.45pt;margin-top:31pt;width:9.35pt;height:23.4pt;z-index:252251136;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">
                <v:rect id="Rectangle 1139530" o:spid="_x0000_s1675"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" filled="f" stroked="f">
                  <v:textbox inset="0,0,0,0">
                    <w:txbxContent>
                      <w:p w14:paraId="58FD33A6" w14:textId="77777777" w:rsidR="00053D93" w:rsidRDefault="00260B75">
                        <w:r>
                          <w:rPr>
                            <w:sz w:val="72"/>
                          </w:rPr>
                          <w:t>1</w:t>
                        </w:r>
                      </w:p>
                    </w:txbxContent>
                  </v:textbox>
                </v:rect>
                <w10:wrap type="square"/>
              </v:group>
            </w:pict>
          </mc:Fallback>
        </mc:AlternateContent>
      </w:r>
      <w:r>
        <w:rPr>
          <w:noProof/>
        </w:rPr>
        <w:drawing>
          <wp:inline distT="0" distB="0" distL="0" distR="0" wp14:anchorId="5BA667FF" wp14:editId="19F09448">
            <wp:extent cx="4572" cy="4572"/>
            <wp:effectExtent l="0" t="0" r="0" b="0"/>
            <wp:docPr id="1142493" name="Picture 1142493"/>
            <wp:cNvGraphicFramePr/>
            <a:graphic xmlns:a="http://schemas.openxmlformats.org/drawingml/2006/main">
              <a:graphicData uri="http://schemas.openxmlformats.org/drawingml/2006/picture">
                <pic:pic xmlns:pic="http://schemas.openxmlformats.org/drawingml/2006/picture">
                  <pic:nvPicPr>
                    <pic:cNvPr id="1142493" name="Picture 1142493"/>
                    <pic:cNvPicPr/>
                  </pic:nvPicPr>
                  <pic:blipFill>
                    <a:blip r:embed="rId845"/>
                    <a:stretch>
                      <a:fillRect/>
                    </a:stretch>
                  </pic:blipFill>
                  <pic:spPr>
                    <a:xfrm>
                      <a:off x="0" y="0"/>
                      <a:ext cx="4572" cy="4572"/>
                    </a:xfrm>
                    <a:prstGeom prst="rect">
                      <a:avLst/>
                    </a:prstGeom>
                  </pic:spPr>
                </pic:pic>
              </a:graphicData>
            </a:graphic>
          </wp:inline>
        </w:drawing>
      </w:r>
      <w:r>
        <w:rPr>
          <w:sz w:val="26"/>
        </w:rPr>
        <w:t xml:space="preserve">1 organización y puestos no incluye el puesto de Administrador de Antivirus y Firewall quien está subordinado al Jefe de Redes y Telecomunicaciones, determinándose el incumplimiento de funciones administrativas y técnicas respecto a la protección de la información y evitar pérdidas o minimizar riesgos ante contingencias. Su responsabilidad en el monitoreo de antivirus no fue </w:t>
      </w:r>
      <w:r>
        <w:rPr>
          <w:noProof/>
        </w:rPr>
        <mc:AlternateContent>
          <mc:Choice Requires="wpg">
            <w:drawing>
              <wp:inline distT="0" distB="0" distL="0" distR="0" wp14:anchorId="3D753E30" wp14:editId="55DF7B79">
                <wp:extent cx="484632" cy="297180"/>
                <wp:effectExtent l="0" t="0" r="0" b="0"/>
                <wp:docPr id="2458869" name="Group 2458869"/>
                <wp:cNvGraphicFramePr/>
                <a:graphic xmlns:a="http://schemas.openxmlformats.org/drawingml/2006/main">
                  <a:graphicData uri="http://schemas.microsoft.com/office/word/2010/wordprocessingGroup">
                    <wpg:wgp>
                      <wpg:cNvGrpSpPr/>
                      <wpg:grpSpPr>
                        <a:xfrm>
                          <a:off x="0" y="0"/>
                          <a:ext cx="484632" cy="297180"/>
                          <a:chOff x="0" y="0"/>
                          <a:chExt cx="484632" cy="297180"/>
                        </a:xfrm>
                      </wpg:grpSpPr>
                      <pic:pic xmlns:pic="http://schemas.openxmlformats.org/drawingml/2006/picture">
                        <pic:nvPicPr>
                          <pic:cNvPr id="2458870" name="Picture 2458870"/>
                          <pic:cNvPicPr/>
                        </pic:nvPicPr>
                        <pic:blipFill>
                          <a:blip r:embed="rId579"/>
                          <a:stretch>
                            <a:fillRect/>
                          </a:stretch>
                        </pic:blipFill>
                        <pic:spPr>
                          <a:xfrm>
                            <a:off x="470916" y="182880"/>
                            <a:ext cx="13716" cy="9144"/>
                          </a:xfrm>
                          <a:prstGeom prst="rect">
                            <a:avLst/>
                          </a:prstGeom>
                        </pic:spPr>
                      </pic:pic>
                      <wps:wsp>
                        <wps:cNvPr id="1139531" name="Rectangle 1139531"/>
                        <wps:cNvSpPr/>
                        <wps:spPr>
                          <a:xfrm>
                            <a:off x="0" y="0"/>
                            <a:ext cx="158100" cy="395249"/>
                          </a:xfrm>
                          <a:prstGeom prst="rect">
                            <a:avLst/>
                          </a:prstGeom>
                          <a:ln>
                            <a:noFill/>
                          </a:ln>
                        </wps:spPr>
                        <wps:txbx>
                          <w:txbxContent>
                            <w:p w14:paraId="700A09BE"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3D753E30" id="Group 2458869" o:spid="_x0000_s1676" style="width:38.15pt;height:23.4pt;mso-position-horizontal-relative:char;mso-position-vertical-relative:line" coordsize="484632,2971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">
                <v:shape id="Picture 2458870" o:spid="_x0000_s1677" type="#_x0000_t75" style="position:absolute;left:470916;top:182880;width:13716;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">
                  <v:imagedata r:id="rId1583" o:title=""/>
                </v:shape>
                <v:rect id="Rectangle 1139531" o:spid="_x0000_s1678"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" filled="f" stroked="f">
                  <v:textbox inset="0,0,0,0">
                    <w:txbxContent>
                      <w:p w14:paraId="700A09BE" w14:textId="77777777" w:rsidR="00053D93" w:rsidRDefault="00260B75">
                        <w:r>
                          <w:rPr>
                            <w:sz w:val="72"/>
                          </w:rPr>
                          <w:t>1</w:t>
                        </w:r>
                      </w:p>
                    </w:txbxContent>
                  </v:textbox>
                </v:rect>
                <w10:anchorlock/>
              </v:group>
            </w:pict>
          </mc:Fallback>
        </mc:AlternateContent>
      </w:r>
      <w:r>
        <w:rPr>
          <w:sz w:val="26"/>
        </w:rPr>
        <w:t>suficiente para prevenir el ataque cibernético.</w:t>
      </w:r>
    </w:p>
    <w:p w14:paraId="3849A47E" w14:textId="77777777" w:rsidR="00053D93" w:rsidRDefault="00260B75">
      <w:pPr>
        <w:spacing w:after="4" w:line="216" w:lineRule="auto"/>
        <w:ind w:left="60" w:right="14" w:hanging="3"/>
        <w:jc w:val="both"/>
      </w:pPr>
      <w:r>
        <w:rPr>
          <w:noProof/>
        </w:rPr>
        <mc:AlternateContent>
          <mc:Choice Requires="wpg">
            <w:drawing>
              <wp:anchor distT="0" distB="0" distL="114300" distR="114300" simplePos="0" relativeHeight="252252160" behindDoc="0" locked="0" layoutInCell="1" allowOverlap="1" wp14:anchorId="7990A818" wp14:editId="3D8DAA70">
                <wp:simplePos x="0" y="0"/>
                <wp:positionH relativeFrom="column">
                  <wp:posOffset>22860</wp:posOffset>
                </wp:positionH>
                <wp:positionV relativeFrom="paragraph">
                  <wp:posOffset>54229</wp:posOffset>
                </wp:positionV>
                <wp:extent cx="114300" cy="292608"/>
                <wp:effectExtent l="0" t="0" r="0" b="0"/>
                <wp:wrapSquare wrapText="bothSides"/>
                <wp:docPr id="2457399" name="Group 2457399"/>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139532" name="Rectangle 1139532"/>
                        <wps:cNvSpPr/>
                        <wps:spPr>
                          <a:xfrm>
                            <a:off x="0" y="0"/>
                            <a:ext cx="152019" cy="389169"/>
                          </a:xfrm>
                          <a:prstGeom prst="rect">
                            <a:avLst/>
                          </a:prstGeom>
                          <a:ln>
                            <a:noFill/>
                          </a:ln>
                        </wps:spPr>
                        <wps:txbx>
                          <w:txbxContent>
                            <w:p w14:paraId="378E953C"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7990A818" id="Group 2457399" o:spid="_x0000_s1679" style="position:absolute;left:0;text-align:left;margin-left:1.8pt;margin-top:4.25pt;width:9pt;height:23.05pt;z-index:252252160;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">
                <v:rect id="Rectangle 1139532" o:spid="_x0000_s1680"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" filled="f" stroked="f">
                  <v:textbox inset="0,0,0,0">
                    <w:txbxContent>
                      <w:p w14:paraId="378E953C" w14:textId="77777777" w:rsidR="00053D93" w:rsidRDefault="00260B75">
                        <w:r>
                          <w:rPr>
                            <w:sz w:val="70"/>
                          </w:rPr>
                          <w:t>1</w:t>
                        </w:r>
                      </w:p>
                    </w:txbxContent>
                  </v:textbox>
                </v:rect>
                <w10:wrap type="square"/>
              </v:group>
            </w:pict>
          </mc:Fallback>
        </mc:AlternateContent>
      </w:r>
      <w:r>
        <w:rPr>
          <w:noProof/>
        </w:rPr>
        <mc:AlternateContent>
          <mc:Choice Requires="wpg">
            <w:drawing>
              <wp:anchor distT="0" distB="0" distL="114300" distR="114300" simplePos="0" relativeHeight="252253184" behindDoc="0" locked="0" layoutInCell="1" allowOverlap="1" wp14:anchorId="7ED05F21" wp14:editId="1ADE6A07">
                <wp:simplePos x="0" y="0"/>
                <wp:positionH relativeFrom="column">
                  <wp:posOffset>22860</wp:posOffset>
                </wp:positionH>
                <wp:positionV relativeFrom="paragraph">
                  <wp:posOffset>561721</wp:posOffset>
                </wp:positionV>
                <wp:extent cx="118872" cy="297180"/>
                <wp:effectExtent l="0" t="0" r="0" b="0"/>
                <wp:wrapSquare wrapText="bothSides"/>
                <wp:docPr id="2457400" name="Group 2457400"/>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139533" name="Rectangle 1139533"/>
                        <wps:cNvSpPr/>
                        <wps:spPr>
                          <a:xfrm>
                            <a:off x="0" y="0"/>
                            <a:ext cx="158100" cy="395249"/>
                          </a:xfrm>
                          <a:prstGeom prst="rect">
                            <a:avLst/>
                          </a:prstGeom>
                          <a:ln>
                            <a:noFill/>
                          </a:ln>
                        </wps:spPr>
                        <wps:txbx>
                          <w:txbxContent>
                            <w:p w14:paraId="3AF89929"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7ED05F21" id="Group 2457400" o:spid="_x0000_s1681" style="position:absolute;left:0;text-align:left;margin-left:1.8pt;margin-top:44.25pt;width:9.35pt;height:23.4pt;z-index:252253184;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">
                <v:rect id="Rectangle 1139533" o:spid="_x0000_s1682"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" filled="f" stroked="f">
                  <v:textbox inset="0,0,0,0">
                    <w:txbxContent>
                      <w:p w14:paraId="3AF89929" w14:textId="77777777" w:rsidR="00053D93" w:rsidRDefault="00260B75">
                        <w:r>
                          <w:rPr>
                            <w:sz w:val="72"/>
                          </w:rPr>
                          <w:t>1</w:t>
                        </w:r>
                      </w:p>
                    </w:txbxContent>
                  </v:textbox>
                </v:rect>
                <w10:wrap type="square"/>
              </v:group>
            </w:pict>
          </mc:Fallback>
        </mc:AlternateContent>
      </w:r>
      <w:r>
        <w:rPr>
          <w:sz w:val="26"/>
        </w:rPr>
        <w:t xml:space="preserve">Se confirma el hallazgo a la ingeniera Beisy Gabriela García Corado, Jefe en Funciones de Infraestructura y Servicios Críticos, en virtud que, sus comentarios y pruebas de descargo relacionadas con la deficiencia notificada, no son suficientes para desvanecer el hallazgo, derivado que los argumentos y pruebas presentados expone que dio a conocer sobre riesgos del centro de datos para ser incluido en el POA 2023, sin embargo, en la ejecución de la auditoría se estableció que el riesgo </w:t>
      </w:r>
      <w:r>
        <w:rPr>
          <w:noProof/>
        </w:rPr>
        <mc:AlternateContent>
          <mc:Choice Requires="wpg">
            <w:drawing>
              <wp:inline distT="0" distB="0" distL="0" distR="0" wp14:anchorId="61965DE4" wp14:editId="609CDB61">
                <wp:extent cx="114300" cy="297180"/>
                <wp:effectExtent l="0" t="0" r="0" b="0"/>
                <wp:docPr id="2457401" name="Group 2457401"/>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139534" name="Rectangle 1139534"/>
                        <wps:cNvSpPr/>
                        <wps:spPr>
                          <a:xfrm>
                            <a:off x="0" y="0"/>
                            <a:ext cx="152019" cy="395249"/>
                          </a:xfrm>
                          <a:prstGeom prst="rect">
                            <a:avLst/>
                          </a:prstGeom>
                          <a:ln>
                            <a:noFill/>
                          </a:ln>
                        </wps:spPr>
                        <wps:txbx>
                          <w:txbxContent>
                            <w:p w14:paraId="3CC948EC"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1965DE4" id="Group 2457401" o:spid="_x0000_s1683"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D2TXoyDgIAAJgE&#10;AAAOAAAAAAAAAAAAAAAAAC4CAABkcnMvZTJvRG9jLnhtbFBLAQItABQABgAIAAAAIQDLw3M32gAA&#10;AAMBAAAPAAAAAAAAAAAAAAAAAGgEAABkcnMvZG93bnJldi54bWxQSwUGAAAAAAQABADzAAAAbwUA&#10;AAAA&#10;">
                <v:rect id="Rectangle 1139534" o:spid="_x0000_s1684"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" filled="f" stroked="f">
                  <v:textbox inset="0,0,0,0">
                    <w:txbxContent>
                      <w:p w14:paraId="3CC948EC" w14:textId="77777777" w:rsidR="00053D93" w:rsidRDefault="00260B75">
                        <w:r>
                          <w:rPr>
                            <w:sz w:val="70"/>
                          </w:rPr>
                          <w:t>1</w:t>
                        </w:r>
                      </w:p>
                    </w:txbxContent>
                  </v:textbox>
                </v:rect>
                <w10:anchorlock/>
              </v:group>
            </w:pict>
          </mc:Fallback>
        </mc:AlternateContent>
      </w:r>
      <w:r>
        <w:rPr>
          <w:sz w:val="26"/>
        </w:rPr>
        <w:t xml:space="preserve"> mencionado, fue mitigado a través de la contratación "DERECHOS DE USO DE </w:t>
      </w:r>
      <w:r>
        <w:rPr>
          <w:noProof/>
        </w:rPr>
        <w:drawing>
          <wp:inline distT="0" distB="0" distL="0" distR="0" wp14:anchorId="7C98F31F" wp14:editId="12B3F921">
            <wp:extent cx="4572" cy="4572"/>
            <wp:effectExtent l="0" t="0" r="0" b="0"/>
            <wp:docPr id="1142495" name="Picture 1142495"/>
            <wp:cNvGraphicFramePr/>
            <a:graphic xmlns:a="http://schemas.openxmlformats.org/drawingml/2006/main">
              <a:graphicData uri="http://schemas.openxmlformats.org/drawingml/2006/picture">
                <pic:pic xmlns:pic="http://schemas.openxmlformats.org/drawingml/2006/picture">
                  <pic:nvPicPr>
                    <pic:cNvPr id="1142495" name="Picture 1142495"/>
                    <pic:cNvPicPr/>
                  </pic:nvPicPr>
                  <pic:blipFill>
                    <a:blip r:embed="rId845"/>
                    <a:stretch>
                      <a:fillRect/>
                    </a:stretch>
                  </pic:blipFill>
                  <pic:spPr>
                    <a:xfrm>
                      <a:off x="0" y="0"/>
                      <a:ext cx="4572" cy="4572"/>
                    </a:xfrm>
                    <a:prstGeom prst="rect">
                      <a:avLst/>
                    </a:prstGeom>
                  </pic:spPr>
                </pic:pic>
              </a:graphicData>
            </a:graphic>
          </wp:inline>
        </w:drawing>
      </w:r>
      <w:r>
        <w:rPr>
          <w:sz w:val="26"/>
        </w:rPr>
        <w:t>SITIO ALTERNO PARA CENTRO DE DATOS, DEL MINISTERIO DE</w:t>
      </w:r>
    </w:p>
    <w:p w14:paraId="7C384E2F" w14:textId="77777777" w:rsidR="00053D93" w:rsidRDefault="00260B75">
      <w:pPr>
        <w:spacing w:after="3" w:line="269" w:lineRule="auto"/>
        <w:ind w:left="67" w:right="14" w:hanging="10"/>
        <w:jc w:val="right"/>
      </w:pPr>
      <w:r>
        <w:rPr>
          <w:sz w:val="26"/>
        </w:rPr>
        <w:t>EDUCACIÓN", únicamente para los meses de noviembre y diciembre 2023, en</w:t>
      </w:r>
    </w:p>
    <w:p w14:paraId="171C6E2B" w14:textId="77777777" w:rsidR="00053D93" w:rsidRDefault="00260B75">
      <w:pPr>
        <w:spacing w:after="1"/>
        <w:ind w:left="7"/>
      </w:pPr>
      <w:r>
        <w:rPr>
          <w:noProof/>
        </w:rPr>
        <w:drawing>
          <wp:inline distT="0" distB="0" distL="0" distR="0" wp14:anchorId="1D692D0C" wp14:editId="66F1F8D4">
            <wp:extent cx="13716" cy="4572"/>
            <wp:effectExtent l="0" t="0" r="0" b="0"/>
            <wp:docPr id="1142496" name="Picture 1142496"/>
            <wp:cNvGraphicFramePr/>
            <a:graphic xmlns:a="http://schemas.openxmlformats.org/drawingml/2006/main">
              <a:graphicData uri="http://schemas.openxmlformats.org/drawingml/2006/picture">
                <pic:pic xmlns:pic="http://schemas.openxmlformats.org/drawingml/2006/picture">
                  <pic:nvPicPr>
                    <pic:cNvPr id="1142496" name="Picture 1142496"/>
                    <pic:cNvPicPr/>
                  </pic:nvPicPr>
                  <pic:blipFill>
                    <a:blip r:embed="rId114"/>
                    <a:stretch>
                      <a:fillRect/>
                    </a:stretch>
                  </pic:blipFill>
                  <pic:spPr>
                    <a:xfrm>
                      <a:off x="0" y="0"/>
                      <a:ext cx="13716" cy="4572"/>
                    </a:xfrm>
                    <a:prstGeom prst="rect">
                      <a:avLst/>
                    </a:prstGeom>
                  </pic:spPr>
                </pic:pic>
              </a:graphicData>
            </a:graphic>
          </wp:inline>
        </w:drawing>
      </w:r>
    </w:p>
    <w:p w14:paraId="38BB1C4C" w14:textId="77777777" w:rsidR="00053D93" w:rsidRDefault="00260B75">
      <w:pPr>
        <w:spacing w:after="609" w:line="269" w:lineRule="auto"/>
        <w:ind w:left="60" w:right="14" w:hanging="3"/>
        <w:jc w:val="both"/>
      </w:pPr>
      <w:r>
        <w:rPr>
          <w:noProof/>
        </w:rPr>
        <w:drawing>
          <wp:anchor distT="0" distB="0" distL="114300" distR="114300" simplePos="0" relativeHeight="252254208" behindDoc="0" locked="0" layoutInCell="1" allowOverlap="0" wp14:anchorId="6BE3C431" wp14:editId="1BEA6A37">
            <wp:simplePos x="0" y="0"/>
            <wp:positionH relativeFrom="page">
              <wp:posOffset>649224</wp:posOffset>
            </wp:positionH>
            <wp:positionV relativeFrom="page">
              <wp:posOffset>9240012</wp:posOffset>
            </wp:positionV>
            <wp:extent cx="5980176" cy="406908"/>
            <wp:effectExtent l="0" t="0" r="0" b="0"/>
            <wp:wrapTopAndBottom/>
            <wp:docPr id="2458871" name="Picture 2458871"/>
            <wp:cNvGraphicFramePr/>
            <a:graphic xmlns:a="http://schemas.openxmlformats.org/drawingml/2006/main">
              <a:graphicData uri="http://schemas.openxmlformats.org/drawingml/2006/picture">
                <pic:pic xmlns:pic="http://schemas.openxmlformats.org/drawingml/2006/picture">
                  <pic:nvPicPr>
                    <pic:cNvPr id="2458871" name="Picture 2458871"/>
                    <pic:cNvPicPr/>
                  </pic:nvPicPr>
                  <pic:blipFill>
                    <a:blip r:embed="rId1584"/>
                    <a:stretch>
                      <a:fillRect/>
                    </a:stretch>
                  </pic:blipFill>
                  <pic:spPr>
                    <a:xfrm>
                      <a:off x="0" y="0"/>
                      <a:ext cx="5980176" cy="406908"/>
                    </a:xfrm>
                    <a:prstGeom prst="rect">
                      <a:avLst/>
                    </a:prstGeom>
                  </pic:spPr>
                </pic:pic>
              </a:graphicData>
            </a:graphic>
          </wp:anchor>
        </w:drawing>
      </w:r>
      <w:r>
        <w:rPr>
          <w:sz w:val="26"/>
        </w:rPr>
        <w:t xml:space="preserve">1 seguimiento a la falta de servicios a partir de enero de 2024, presentó como prueba el oficio DINFO No. 0447-2024 del 08 de abril de 2024 firmado por la </w:t>
      </w:r>
      <w:r>
        <w:rPr>
          <w:noProof/>
        </w:rPr>
        <w:drawing>
          <wp:inline distT="0" distB="0" distL="0" distR="0" wp14:anchorId="0AF96E5D" wp14:editId="1E0BA9F9">
            <wp:extent cx="13716" cy="4572"/>
            <wp:effectExtent l="0" t="0" r="0" b="0"/>
            <wp:docPr id="1142497" name="Picture 1142497"/>
            <wp:cNvGraphicFramePr/>
            <a:graphic xmlns:a="http://schemas.openxmlformats.org/drawingml/2006/main">
              <a:graphicData uri="http://schemas.openxmlformats.org/drawingml/2006/picture">
                <pic:pic xmlns:pic="http://schemas.openxmlformats.org/drawingml/2006/picture">
                  <pic:nvPicPr>
                    <pic:cNvPr id="1142497" name="Picture 1142497"/>
                    <pic:cNvPicPr/>
                  </pic:nvPicPr>
                  <pic:blipFill>
                    <a:blip r:embed="rId114"/>
                    <a:stretch>
                      <a:fillRect/>
                    </a:stretch>
                  </pic:blipFill>
                  <pic:spPr>
                    <a:xfrm>
                      <a:off x="0" y="0"/>
                      <a:ext cx="13716" cy="4572"/>
                    </a:xfrm>
                    <a:prstGeom prst="rect">
                      <a:avLst/>
                    </a:prstGeom>
                  </pic:spPr>
                </pic:pic>
              </a:graphicData>
            </a:graphic>
          </wp:inline>
        </w:drawing>
      </w:r>
      <w:r>
        <w:rPr>
          <w:sz w:val="26"/>
        </w:rPr>
        <w:t>1 responsable, en el cual solicita inicio del proceso de cotización de los Sistema y dispositivo de respaldos para la infraestructura de computación virtual y física del Centro de Datos, justificando que la solución de respaldos del Centro de Datos del 1 Ministerio de Educación, se encontraba fuera del plazo de garantía cubierta por el fabricante, evidenciando la tardanza en la gestión administrativa.</w:t>
      </w:r>
    </w:p>
    <w:p w14:paraId="7D395DAE" w14:textId="77777777" w:rsidR="00053D93" w:rsidRDefault="00260B75">
      <w:pPr>
        <w:spacing w:after="4" w:line="269" w:lineRule="auto"/>
        <w:ind w:left="60" w:right="14" w:hanging="3"/>
        <w:jc w:val="both"/>
      </w:pPr>
      <w:r>
        <w:rPr>
          <w:sz w:val="26"/>
        </w:rPr>
        <w:t>1 Asimismo, manifiesta que notificó la falta de personal especializado e inversión insuficiente en el área de infraestructura, sin embargo, se evidenció en la 1 condición ei hallazgo, personal contratado y nombrado para puestos de</w:t>
      </w:r>
    </w:p>
    <w:p w14:paraId="1CCBE6C1" w14:textId="77777777" w:rsidR="00053D93" w:rsidRDefault="00260B75">
      <w:pPr>
        <w:spacing w:after="259" w:line="216" w:lineRule="auto"/>
        <w:ind w:left="57" w:right="14" w:firstLine="1591"/>
        <w:jc w:val="both"/>
      </w:pPr>
      <w:r>
        <w:rPr>
          <w:sz w:val="26"/>
        </w:rPr>
        <w:t xml:space="preserve">Administrador de Servidores y SAN, Administrador de Servidores y soportes Backups, Técnico en Seguridad y Monitoreo quienes están subordinados al Jefe </w:t>
      </w:r>
      <w:r>
        <w:rPr>
          <w:noProof/>
        </w:rPr>
        <mc:AlternateContent>
          <mc:Choice Requires="wpg">
            <w:drawing>
              <wp:inline distT="0" distB="0" distL="0" distR="0" wp14:anchorId="4084742C" wp14:editId="34699719">
                <wp:extent cx="114300" cy="301751"/>
                <wp:effectExtent l="0" t="0" r="0" b="0"/>
                <wp:docPr id="2457402" name="Group 2457402"/>
                <wp:cNvGraphicFramePr/>
                <a:graphic xmlns:a="http://schemas.openxmlformats.org/drawingml/2006/main">
                  <a:graphicData uri="http://schemas.microsoft.com/office/word/2010/wordprocessingGroup">
                    <wpg:wgp>
                      <wpg:cNvGrpSpPr/>
                      <wpg:grpSpPr>
                        <a:xfrm>
                          <a:off x="0" y="0"/>
                          <a:ext cx="114300" cy="301751"/>
                          <a:chOff x="0" y="0"/>
                          <a:chExt cx="114300" cy="301751"/>
                        </a:xfrm>
                      </wpg:grpSpPr>
                      <wps:wsp>
                        <wps:cNvPr id="1139540" name="Rectangle 1139540"/>
                        <wps:cNvSpPr/>
                        <wps:spPr>
                          <a:xfrm>
                            <a:off x="0" y="0"/>
                            <a:ext cx="152019" cy="401329"/>
                          </a:xfrm>
                          <a:prstGeom prst="rect">
                            <a:avLst/>
                          </a:prstGeom>
                          <a:ln>
                            <a:noFill/>
                          </a:ln>
                        </wps:spPr>
                        <wps:txbx>
                          <w:txbxContent>
                            <w:p w14:paraId="2F27E5E8"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084742C" id="Group 2457402" o:spid="_x0000_s1685" style="width:9pt;height:23.75pt;mso-position-horizontal-relative:char;mso-position-vertical-relative:line" coordsize="114300,30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">
                <v:rect id="Rectangle 1139540" o:spid="_x0000_s1686" style="position:absolute;width:152019;height:40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" filled="f" stroked="f">
                  <v:textbox inset="0,0,0,0">
                    <w:txbxContent>
                      <w:p w14:paraId="2F27E5E8" w14:textId="77777777" w:rsidR="00053D93" w:rsidRDefault="00260B75">
                        <w:r>
                          <w:rPr>
                            <w:sz w:val="70"/>
                          </w:rPr>
                          <w:t>1</w:t>
                        </w:r>
                      </w:p>
                    </w:txbxContent>
                  </v:textbox>
                </v:rect>
                <w10:anchorlock/>
              </v:group>
            </w:pict>
          </mc:Fallback>
        </mc:AlternateContent>
      </w:r>
      <w:r>
        <w:rPr>
          <w:sz w:val="26"/>
        </w:rPr>
        <w:t xml:space="preserve"> en Funciones de Infraestructura y Servicios críticos, sin estar detallados dentro del mismo manual de funciones, que describieran las funciones especificas, propósitos del puesto y perfil de los mismos, que justificaran la necesidad de puestos en el Departamento de Infraestructura y Servicios Críticos de la Dirección de Informática, los cuales son de vital importancia.</w:t>
      </w:r>
    </w:p>
    <w:p w14:paraId="55604E68" w14:textId="77777777" w:rsidR="00053D93" w:rsidRDefault="00260B75">
      <w:pPr>
        <w:spacing w:after="3"/>
        <w:ind w:left="74" w:right="3485" w:hanging="10"/>
      </w:pPr>
      <w:r>
        <w:rPr>
          <w:sz w:val="70"/>
        </w:rPr>
        <w:t>1</w:t>
      </w:r>
    </w:p>
    <w:p w14:paraId="6AACD2E1" w14:textId="77777777" w:rsidR="00053D93" w:rsidRDefault="00260B75">
      <w:pPr>
        <w:spacing w:after="4" w:line="217" w:lineRule="auto"/>
        <w:ind w:left="57" w:right="14" w:firstLine="1634"/>
        <w:jc w:val="both"/>
      </w:pPr>
      <w:r>
        <w:rPr>
          <w:sz w:val="26"/>
        </w:rPr>
        <w:t xml:space="preserve">Derivado que los puestos antes descritos no se encuentran detallados en el manual de funciones, mediante oficio 0418-2025 descrito en la condición del </w:t>
      </w:r>
      <w:r>
        <w:rPr>
          <w:noProof/>
        </w:rPr>
        <mc:AlternateContent>
          <mc:Choice Requires="wpg">
            <w:drawing>
              <wp:inline distT="0" distB="0" distL="0" distR="0" wp14:anchorId="51D66F20" wp14:editId="2A71FEAF">
                <wp:extent cx="114300" cy="297180"/>
                <wp:effectExtent l="0" t="0" r="0" b="0"/>
                <wp:docPr id="2457403" name="Group 2457403"/>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139542" name="Rectangle 1139542"/>
                        <wps:cNvSpPr/>
                        <wps:spPr>
                          <a:xfrm>
                            <a:off x="0" y="0"/>
                            <a:ext cx="152019" cy="395249"/>
                          </a:xfrm>
                          <a:prstGeom prst="rect">
                            <a:avLst/>
                          </a:prstGeom>
                          <a:ln>
                            <a:noFill/>
                          </a:ln>
                        </wps:spPr>
                        <wps:txbx>
                          <w:txbxContent>
                            <w:p w14:paraId="5D56220F"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51D66F20" id="Group 2457403" o:spid="_x0000_s1687"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">
                <v:rect id="Rectangle 1139542" o:spid="_x0000_s1688"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" filled="f" stroked="f">
                  <v:textbox inset="0,0,0,0">
                    <w:txbxContent>
                      <w:p w14:paraId="5D56220F" w14:textId="77777777" w:rsidR="00053D93" w:rsidRDefault="00260B75">
                        <w:r>
                          <w:rPr>
                            <w:sz w:val="70"/>
                          </w:rPr>
                          <w:t>1</w:t>
                        </w:r>
                      </w:p>
                    </w:txbxContent>
                  </v:textbox>
                </v:rect>
                <w10:anchorlock/>
              </v:group>
            </w:pict>
          </mc:Fallback>
        </mc:AlternateContent>
      </w:r>
      <w:r>
        <w:rPr>
          <w:sz w:val="26"/>
        </w:rPr>
        <w:t xml:space="preserve"> hallazgo, se amplió la información de [as funciones del personal de Infraestructura y Servicios Críticos, destacando las siguientes funciones de la Jefatura -1 relacionadas con la protección de la información almacenada, estrategias de respaldo y recuperación de la información: Preparación del Presupuesto orientado a las necesidades del departamento, Iniciar y dar seguimiento a los procesos de 1 compras programados, Iniciar y dar seguimiento a los procesos de contratación</w:t>
      </w:r>
    </w:p>
    <w:p w14:paraId="0322FF8C" w14:textId="77777777" w:rsidR="00053D93" w:rsidRDefault="00260B75">
      <w:pPr>
        <w:spacing w:after="45"/>
        <w:ind w:left="1649" w:right="-7"/>
      </w:pPr>
      <w:r>
        <w:rPr>
          <w:noProof/>
        </w:rPr>
        <mc:AlternateContent>
          <mc:Choice Requires="wpg">
            <w:drawing>
              <wp:inline distT="0" distB="0" distL="0" distR="0" wp14:anchorId="7244542A" wp14:editId="425DD23C">
                <wp:extent cx="5376672" cy="9144"/>
                <wp:effectExtent l="0" t="0" r="0" b="0"/>
                <wp:docPr id="2458876" name="Group 2458876"/>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875" name="Shape 2458875"/>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76" style="width:423.36pt;height:0.720001pt;mso-position-horizontal-relative:char;mso-position-vertical-relative:line" coordsize="53766,91">
                <v:shape id="Shape 2458875" style="position:absolute;width:53766;height:91;left:0;top:0;" coordsize="5376672,9144" path="m0,4572l5376672,4572">
                  <v:stroke weight="0.720001pt" endcap="flat" joinstyle="miter" miterlimit="1" on="true" color="#000000"/>
                  <v:fill on="false" color="#000000"/>
                </v:shape>
              </v:group>
            </w:pict>
          </mc:Fallback>
        </mc:AlternateContent>
      </w:r>
    </w:p>
    <w:p w14:paraId="70B2505C" w14:textId="77777777" w:rsidR="00053D93" w:rsidRDefault="00260B75">
      <w:pPr>
        <w:spacing w:after="4" w:line="269" w:lineRule="auto"/>
        <w:ind w:left="60" w:right="14" w:hanging="3"/>
        <w:jc w:val="both"/>
      </w:pPr>
      <w:r>
        <w:rPr>
          <w:noProof/>
        </w:rPr>
        <w:drawing>
          <wp:inline distT="0" distB="0" distL="0" distR="0" wp14:anchorId="24570EC2" wp14:editId="3ADDDC7A">
            <wp:extent cx="4572" cy="4572"/>
            <wp:effectExtent l="0" t="0" r="0" b="0"/>
            <wp:docPr id="1146143" name="Picture 1146143"/>
            <wp:cNvGraphicFramePr/>
            <a:graphic xmlns:a="http://schemas.openxmlformats.org/drawingml/2006/main">
              <a:graphicData uri="http://schemas.openxmlformats.org/drawingml/2006/picture">
                <pic:pic xmlns:pic="http://schemas.openxmlformats.org/drawingml/2006/picture">
                  <pic:nvPicPr>
                    <pic:cNvPr id="1146143" name="Picture 1146143"/>
                    <pic:cNvPicPr/>
                  </pic:nvPicPr>
                  <pic:blipFill>
                    <a:blip r:embed="rId845"/>
                    <a:stretch>
                      <a:fillRect/>
                    </a:stretch>
                  </pic:blipFill>
                  <pic:spPr>
                    <a:xfrm>
                      <a:off x="0" y="0"/>
                      <a:ext cx="4572" cy="4572"/>
                    </a:xfrm>
                    <a:prstGeom prst="rect">
                      <a:avLst/>
                    </a:prstGeom>
                  </pic:spPr>
                </pic:pic>
              </a:graphicData>
            </a:graphic>
          </wp:inline>
        </w:drawing>
      </w:r>
      <w:r>
        <w:rPr>
          <w:sz w:val="26"/>
        </w:rPr>
        <w:t xml:space="preserve">1 del persona' para el departamento, gestión para ia compra de recursos informáticos, gestión de proyectos de creación e implementación de sistemas </w:t>
      </w:r>
      <w:r>
        <w:rPr>
          <w:noProof/>
        </w:rPr>
        <w:drawing>
          <wp:inline distT="0" distB="0" distL="0" distR="0" wp14:anchorId="6C601068" wp14:editId="3C6248B0">
            <wp:extent cx="4572" cy="9144"/>
            <wp:effectExtent l="0" t="0" r="0" b="0"/>
            <wp:docPr id="1146144" name="Picture 1146144"/>
            <wp:cNvGraphicFramePr/>
            <a:graphic xmlns:a="http://schemas.openxmlformats.org/drawingml/2006/main">
              <a:graphicData uri="http://schemas.openxmlformats.org/drawingml/2006/picture">
                <pic:pic xmlns:pic="http://schemas.openxmlformats.org/drawingml/2006/picture">
                  <pic:nvPicPr>
                    <pic:cNvPr id="1146144" name="Picture 1146144"/>
                    <pic:cNvPicPr/>
                  </pic:nvPicPr>
                  <pic:blipFill>
                    <a:blip r:embed="rId24"/>
                    <a:stretch>
                      <a:fillRect/>
                    </a:stretch>
                  </pic:blipFill>
                  <pic:spPr>
                    <a:xfrm>
                      <a:off x="0" y="0"/>
                      <a:ext cx="4572" cy="9144"/>
                    </a:xfrm>
                    <a:prstGeom prst="rect">
                      <a:avLst/>
                    </a:prstGeom>
                  </pic:spPr>
                </pic:pic>
              </a:graphicData>
            </a:graphic>
          </wp:inline>
        </w:drawing>
      </w:r>
      <w:r>
        <w:rPr>
          <w:sz w:val="26"/>
        </w:rPr>
        <w:t xml:space="preserve">1 informáticos y centro de datos, aunque sin nombramiento formal, ejerció atribuciones clave como la planificación de compras y gestión de personal, según el Oficio DINFO 0418-2025 describe funciones relacionadas con estrategias de </w:t>
      </w:r>
      <w:r>
        <w:rPr>
          <w:noProof/>
        </w:rPr>
        <w:drawing>
          <wp:inline distT="0" distB="0" distL="0" distR="0" wp14:anchorId="218B58CA" wp14:editId="79D9F07B">
            <wp:extent cx="9144" cy="4572"/>
            <wp:effectExtent l="0" t="0" r="0" b="0"/>
            <wp:docPr id="1146145" name="Picture 1146145"/>
            <wp:cNvGraphicFramePr/>
            <a:graphic xmlns:a="http://schemas.openxmlformats.org/drawingml/2006/main">
              <a:graphicData uri="http://schemas.openxmlformats.org/drawingml/2006/picture">
                <pic:pic xmlns:pic="http://schemas.openxmlformats.org/drawingml/2006/picture">
                  <pic:nvPicPr>
                    <pic:cNvPr id="1146145" name="Picture 1146145"/>
                    <pic:cNvPicPr/>
                  </pic:nvPicPr>
                  <pic:blipFill>
                    <a:blip r:embed="rId24"/>
                    <a:stretch>
                      <a:fillRect/>
                    </a:stretch>
                  </pic:blipFill>
                  <pic:spPr>
                    <a:xfrm>
                      <a:off x="0" y="0"/>
                      <a:ext cx="9144" cy="4572"/>
                    </a:xfrm>
                    <a:prstGeom prst="rect">
                      <a:avLst/>
                    </a:prstGeom>
                  </pic:spPr>
                </pic:pic>
              </a:graphicData>
            </a:graphic>
          </wp:inline>
        </w:drawing>
      </w:r>
      <w:r>
        <w:rPr>
          <w:sz w:val="26"/>
        </w:rPr>
        <w:t>1 respaldo, lo cual evidencia su responsabilidad directa.</w:t>
      </w:r>
    </w:p>
    <w:p w14:paraId="03C1C39A" w14:textId="77777777" w:rsidR="00053D93" w:rsidRDefault="00260B75">
      <w:pPr>
        <w:spacing w:after="3" w:line="269" w:lineRule="auto"/>
        <w:ind w:left="67" w:right="14" w:hanging="10"/>
        <w:jc w:val="right"/>
      </w:pPr>
      <w:r>
        <w:rPr>
          <w:sz w:val="26"/>
        </w:rPr>
        <w:t>La responsable manifiesta en su conclusión que "la base de datos no fue afectada</w:t>
      </w:r>
    </w:p>
    <w:p w14:paraId="3B799DD2" w14:textId="77777777" w:rsidR="00053D93" w:rsidRDefault="00260B75">
      <w:pPr>
        <w:spacing w:after="8"/>
        <w:ind w:left="7"/>
      </w:pPr>
      <w:r>
        <w:rPr>
          <w:noProof/>
        </w:rPr>
        <w:drawing>
          <wp:inline distT="0" distB="0" distL="0" distR="0" wp14:anchorId="38EB9A3E" wp14:editId="4189043B">
            <wp:extent cx="9144" cy="4572"/>
            <wp:effectExtent l="0" t="0" r="0" b="0"/>
            <wp:docPr id="1146146" name="Picture 1146146"/>
            <wp:cNvGraphicFramePr/>
            <a:graphic xmlns:a="http://schemas.openxmlformats.org/drawingml/2006/main">
              <a:graphicData uri="http://schemas.openxmlformats.org/drawingml/2006/picture">
                <pic:pic xmlns:pic="http://schemas.openxmlformats.org/drawingml/2006/picture">
                  <pic:nvPicPr>
                    <pic:cNvPr id="1146146" name="Picture 1146146"/>
                    <pic:cNvPicPr/>
                  </pic:nvPicPr>
                  <pic:blipFill>
                    <a:blip r:embed="rId24"/>
                    <a:stretch>
                      <a:fillRect/>
                    </a:stretch>
                  </pic:blipFill>
                  <pic:spPr>
                    <a:xfrm>
                      <a:off x="0" y="0"/>
                      <a:ext cx="9144" cy="4572"/>
                    </a:xfrm>
                    <a:prstGeom prst="rect">
                      <a:avLst/>
                    </a:prstGeom>
                  </pic:spPr>
                </pic:pic>
              </a:graphicData>
            </a:graphic>
          </wp:inline>
        </w:drawing>
      </w:r>
    </w:p>
    <w:p w14:paraId="43A867F1" w14:textId="77777777" w:rsidR="00053D93" w:rsidRDefault="00260B75">
      <w:pPr>
        <w:spacing w:after="44" w:line="269" w:lineRule="auto"/>
        <w:ind w:left="-7" w:right="14" w:firstLine="43"/>
        <w:jc w:val="both"/>
      </w:pPr>
      <w:r>
        <w:rPr>
          <w:sz w:val="26"/>
        </w:rPr>
        <w:t xml:space="preserve">1 durante el incidente reportado en agosto de 2024. Se cuenta con una réplica de la base de datos en la nube, lo cual proporciona una protección adicional de los </w:t>
      </w:r>
      <w:r>
        <w:rPr>
          <w:noProof/>
        </w:rPr>
        <w:drawing>
          <wp:inline distT="0" distB="0" distL="0" distR="0" wp14:anchorId="40741EC1" wp14:editId="41CCAB5A">
            <wp:extent cx="13716" cy="9144"/>
            <wp:effectExtent l="0" t="0" r="0" b="0"/>
            <wp:docPr id="1146147" name="Picture 1146147"/>
            <wp:cNvGraphicFramePr/>
            <a:graphic xmlns:a="http://schemas.openxmlformats.org/drawingml/2006/main">
              <a:graphicData uri="http://schemas.openxmlformats.org/drawingml/2006/picture">
                <pic:pic xmlns:pic="http://schemas.openxmlformats.org/drawingml/2006/picture">
                  <pic:nvPicPr>
                    <pic:cNvPr id="1146147" name="Picture 1146147"/>
                    <pic:cNvPicPr/>
                  </pic:nvPicPr>
                  <pic:blipFill>
                    <a:blip r:embed="rId898"/>
                    <a:stretch>
                      <a:fillRect/>
                    </a:stretch>
                  </pic:blipFill>
                  <pic:spPr>
                    <a:xfrm>
                      <a:off x="0" y="0"/>
                      <a:ext cx="13716" cy="9144"/>
                    </a:xfrm>
                    <a:prstGeom prst="rect">
                      <a:avLst/>
                    </a:prstGeom>
                  </pic:spPr>
                </pic:pic>
              </a:graphicData>
            </a:graphic>
          </wp:inline>
        </w:drawing>
      </w:r>
      <w:r>
        <w:rPr>
          <w:sz w:val="26"/>
        </w:rPr>
        <w:t xml:space="preserve">1 datos y garantiza su disponibilidad en caso de cualquier eventualidad", sin embargo, no evidenció pruebas de la recuperación de la información pérdida que se señala en numeral 2 de la condición del hallazgo respecto a los 10 sistemas </w:t>
      </w:r>
      <w:r>
        <w:rPr>
          <w:noProof/>
        </w:rPr>
        <w:drawing>
          <wp:inline distT="0" distB="0" distL="0" distR="0" wp14:anchorId="63D68258" wp14:editId="37536454">
            <wp:extent cx="13716" cy="13716"/>
            <wp:effectExtent l="0" t="0" r="0" b="0"/>
            <wp:docPr id="1146148" name="Picture 1146148"/>
            <wp:cNvGraphicFramePr/>
            <a:graphic xmlns:a="http://schemas.openxmlformats.org/drawingml/2006/main">
              <a:graphicData uri="http://schemas.openxmlformats.org/drawingml/2006/picture">
                <pic:pic xmlns:pic="http://schemas.openxmlformats.org/drawingml/2006/picture">
                  <pic:nvPicPr>
                    <pic:cNvPr id="1146148" name="Picture 1146148"/>
                    <pic:cNvPicPr/>
                  </pic:nvPicPr>
                  <pic:blipFill>
                    <a:blip r:embed="rId895"/>
                    <a:stretch>
                      <a:fillRect/>
                    </a:stretch>
                  </pic:blipFill>
                  <pic:spPr>
                    <a:xfrm>
                      <a:off x="0" y="0"/>
                      <a:ext cx="13716" cy="13716"/>
                    </a:xfrm>
                    <a:prstGeom prst="rect">
                      <a:avLst/>
                    </a:prstGeom>
                  </pic:spPr>
                </pic:pic>
              </a:graphicData>
            </a:graphic>
          </wp:inline>
        </w:drawing>
      </w:r>
      <w:r>
        <w:rPr>
          <w:sz w:val="26"/>
        </w:rPr>
        <w:t>1 afectados y descritos, confirmando el incumplimiento de las funciones de la Dirección de Informática de almacenar, proteger, recuperar y transmitir la información que contribuya a mejorar el desarrollo de [os procesos administrativos 1 del Ministerio. La falta de una estructura formal y actualizada de funciones y la omisión de medidas preventivas reflejan un incumplimiento de los deberes 1 asignados según el Acuerdo Ministerial No. 1063-2009.</w:t>
      </w:r>
    </w:p>
    <w:tbl>
      <w:tblPr>
        <w:tblStyle w:val="TableGrid"/>
        <w:tblpPr w:vertAnchor="page" w:horzAnchor="page" w:tblpX="2801" w:tblpY="14566"/>
        <w:tblOverlap w:val="never"/>
        <w:tblW w:w="7625" w:type="dxa"/>
        <w:tblInd w:w="0" w:type="dxa"/>
        <w:tblCellMar>
          <w:top w:w="29" w:type="dxa"/>
          <w:left w:w="1742" w:type="dxa"/>
          <w:right w:w="115" w:type="dxa"/>
        </w:tblCellMar>
        <w:tblLook w:val="04A0" w:firstRow="1" w:lastRow="0" w:firstColumn="1" w:lastColumn="0" w:noHBand="0" w:noVBand="1"/>
      </w:tblPr>
      <w:tblGrid>
        <w:gridCol w:w="7625"/>
      </w:tblGrid>
      <w:tr w:rsidR="00053D93" w14:paraId="0BF33217" w14:textId="77777777">
        <w:trPr>
          <w:trHeight w:val="50"/>
        </w:trPr>
        <w:tc>
          <w:tcPr>
            <w:tcW w:w="7625" w:type="dxa"/>
            <w:tcBorders>
              <w:top w:val="nil"/>
              <w:left w:val="single" w:sz="2" w:space="0" w:color="000000"/>
              <w:bottom w:val="single" w:sz="2" w:space="0" w:color="000000"/>
              <w:right w:val="nil"/>
            </w:tcBorders>
          </w:tcPr>
          <w:p w14:paraId="2EA85C8C" w14:textId="77777777" w:rsidR="00053D93" w:rsidRDefault="00053D93"/>
        </w:tc>
      </w:tr>
      <w:tr w:rsidR="00053D93" w14:paraId="6C5018E1" w14:textId="77777777">
        <w:trPr>
          <w:trHeight w:val="583"/>
        </w:trPr>
        <w:tc>
          <w:tcPr>
            <w:tcW w:w="7625" w:type="dxa"/>
            <w:tcBorders>
              <w:top w:val="single" w:sz="2" w:space="0" w:color="000000"/>
              <w:left w:val="single" w:sz="2" w:space="0" w:color="000000"/>
              <w:bottom w:val="nil"/>
              <w:right w:val="nil"/>
            </w:tcBorders>
          </w:tcPr>
          <w:p w14:paraId="0BD55DEC" w14:textId="77777777" w:rsidR="00053D93" w:rsidRDefault="00260B75">
            <w:pPr>
              <w:ind w:left="835"/>
            </w:pPr>
            <w:r>
              <w:rPr>
                <w:sz w:val="14"/>
              </w:rPr>
              <w:t>MINISTERIO DE EDUCACION</w:t>
            </w:r>
          </w:p>
          <w:p w14:paraId="1380D7BE" w14:textId="77777777" w:rsidR="00053D93" w:rsidRDefault="00260B75">
            <w:pPr>
              <w:ind w:left="338"/>
            </w:pPr>
            <w:r>
              <w:rPr>
                <w:sz w:val="14"/>
              </w:rPr>
              <w:t>AUDITORIA FINANCIERA Y DE CUMPLIMIENTO</w:t>
            </w:r>
          </w:p>
          <w:p w14:paraId="50E13F8E" w14:textId="77777777" w:rsidR="00053D93" w:rsidRDefault="00260B75">
            <w:r>
              <w:rPr>
                <w:sz w:val="14"/>
              </w:rPr>
              <w:t>PERIODO DEL 01 DE ENERO AL 31 DE DICIEMBRE OE 2024</w:t>
            </w:r>
          </w:p>
        </w:tc>
      </w:tr>
    </w:tbl>
    <w:p w14:paraId="57D757F6" w14:textId="77777777" w:rsidR="00053D93" w:rsidRDefault="00260B75">
      <w:pPr>
        <w:spacing w:after="4" w:line="269" w:lineRule="auto"/>
        <w:ind w:left="57" w:right="14" w:firstLine="1606"/>
        <w:jc w:val="both"/>
      </w:pPr>
      <w:r>
        <w:rPr>
          <w:noProof/>
        </w:rPr>
        <w:drawing>
          <wp:anchor distT="0" distB="0" distL="114300" distR="114300" simplePos="0" relativeHeight="252255232" behindDoc="0" locked="0" layoutInCell="1" allowOverlap="0" wp14:anchorId="153CB5BF" wp14:editId="551521F3">
            <wp:simplePos x="0" y="0"/>
            <wp:positionH relativeFrom="page">
              <wp:posOffset>635508</wp:posOffset>
            </wp:positionH>
            <wp:positionV relativeFrom="page">
              <wp:posOffset>9244584</wp:posOffset>
            </wp:positionV>
            <wp:extent cx="1120140" cy="406909"/>
            <wp:effectExtent l="0" t="0" r="0" b="0"/>
            <wp:wrapTopAndBottom/>
            <wp:docPr id="1146189" name="Picture 1146189"/>
            <wp:cNvGraphicFramePr/>
            <a:graphic xmlns:a="http://schemas.openxmlformats.org/drawingml/2006/main">
              <a:graphicData uri="http://schemas.openxmlformats.org/drawingml/2006/picture">
                <pic:pic xmlns:pic="http://schemas.openxmlformats.org/drawingml/2006/picture">
                  <pic:nvPicPr>
                    <pic:cNvPr id="1146189" name="Picture 1146189"/>
                    <pic:cNvPicPr/>
                  </pic:nvPicPr>
                  <pic:blipFill>
                    <a:blip r:embed="rId1585"/>
                    <a:stretch>
                      <a:fillRect/>
                    </a:stretch>
                  </pic:blipFill>
                  <pic:spPr>
                    <a:xfrm>
                      <a:off x="0" y="0"/>
                      <a:ext cx="1120140" cy="406909"/>
                    </a:xfrm>
                    <a:prstGeom prst="rect">
                      <a:avLst/>
                    </a:prstGeom>
                  </pic:spPr>
                </pic:pic>
              </a:graphicData>
            </a:graphic>
          </wp:anchor>
        </w:drawing>
      </w:r>
      <w:r>
        <w:rPr>
          <w:sz w:val="26"/>
        </w:rPr>
        <w:t>Se confirma el hallazgo al señor Hugo Ronaldo Reyes Hernández, Administrador 1 de Servidores y Backups, en virtud que, sus comentarios y pruebas de descargo relacionadas con la deficiencia notificada, no son suficientes para desvanecer el hallazgo, derivado que entre sus argumentos confirma que no contaba con 1 servicio de backup para atender con inmediatez la continuidad de los servicios ante el incidente informático ocurrido. A pesar de contar con conocimiento de los 1 servidores afectados y haber detectado irregularidades previas al incidente del 21 de agosto de 2024, no ejecutó acciones preventivas eficaces. Se solicitó al Director la confirmación del responsable de llenar el DES-FOR-15 respecto 1 Inventario de Hardware y licenciamiento de software para dejar constancia de las licencias de software instaladas, confirmando por medio del oficio 348-2025 que el responsable del proceso era el Administrador de Servidores y Backups, sin 1 embargo, entre sus pruebas de descargo únicamente presentó reporte en formato Excel y no el formulario descrito en el manual oficial y vigente para dicho proceso. 1 También confirma que el departamento de infraestructura y servicios críticos no figura dentro del organigrama oficial de la Dirección de Informática. El mismo manual técnico le atribuye responsabilidades sobre los respaldos, cuya omisión 1 incidió directamente en la pérdida de información crítica.</w:t>
      </w:r>
    </w:p>
    <w:p w14:paraId="7B566BAE" w14:textId="77777777" w:rsidR="00053D93" w:rsidRDefault="00260B75">
      <w:pPr>
        <w:spacing w:after="4" w:line="269" w:lineRule="auto"/>
        <w:ind w:left="57" w:right="14" w:firstLine="1555"/>
        <w:jc w:val="both"/>
      </w:pPr>
      <w:r>
        <w:rPr>
          <w:sz w:val="26"/>
        </w:rPr>
        <w:t>Se confirma el hallazgo al ingeniero Carlos Amilcar Tezo Palencia, Administrador 1 de Base de Datos, en virtud que, sus comentarios y pruebas de descargo relacionadas con la deficiencia notificada, no son suficientes para desvanecer el hallazgo, derivado que, el responsable manifiesta que es Administrador de la Base</w:t>
      </w:r>
    </w:p>
    <w:p w14:paraId="3D6DE0F5" w14:textId="77777777" w:rsidR="00053D93" w:rsidRDefault="00260B75">
      <w:pPr>
        <w:spacing w:after="51"/>
        <w:ind w:left="1649" w:right="-14"/>
      </w:pPr>
      <w:r>
        <w:rPr>
          <w:noProof/>
        </w:rPr>
        <mc:AlternateContent>
          <mc:Choice Requires="wpg">
            <w:drawing>
              <wp:inline distT="0" distB="0" distL="0" distR="0" wp14:anchorId="26C43EA5" wp14:editId="51A411D6">
                <wp:extent cx="5376672" cy="9144"/>
                <wp:effectExtent l="0" t="0" r="0" b="0"/>
                <wp:docPr id="2458878" name="Group 2458878"/>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877" name="Shape 2458877"/>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78" style="width:423.36pt;height:0.720001pt;mso-position-horizontal-relative:char;mso-position-vertical-relative:line" coordsize="53766,91">
                <v:shape id="Shape 2458877" style="position:absolute;width:53766;height:91;left:0;top:0;" coordsize="5376672,9144" path="m0,4572l5376672,4572">
                  <v:stroke weight="0.720001pt" endcap="flat" joinstyle="miter" miterlimit="1" on="true" color="#000000"/>
                  <v:fill on="false" color="#000000"/>
                </v:shape>
              </v:group>
            </w:pict>
          </mc:Fallback>
        </mc:AlternateContent>
      </w:r>
    </w:p>
    <w:p w14:paraId="3B5BDC77" w14:textId="77777777" w:rsidR="00053D93" w:rsidRDefault="00260B75">
      <w:pPr>
        <w:spacing w:after="171" w:line="216" w:lineRule="auto"/>
        <w:ind w:left="-4" w:right="14" w:hanging="3"/>
        <w:jc w:val="both"/>
      </w:pPr>
      <w:r>
        <w:rPr>
          <w:noProof/>
        </w:rPr>
        <mc:AlternateContent>
          <mc:Choice Requires="wpg">
            <w:drawing>
              <wp:anchor distT="0" distB="0" distL="114300" distR="114300" simplePos="0" relativeHeight="252256256" behindDoc="0" locked="0" layoutInCell="1" allowOverlap="1" wp14:anchorId="1E4D2D0A" wp14:editId="11C59A7F">
                <wp:simplePos x="0" y="0"/>
                <wp:positionH relativeFrom="column">
                  <wp:posOffset>9144</wp:posOffset>
                </wp:positionH>
                <wp:positionV relativeFrom="paragraph">
                  <wp:posOffset>434144</wp:posOffset>
                </wp:positionV>
                <wp:extent cx="114300" cy="292608"/>
                <wp:effectExtent l="0" t="0" r="0" b="0"/>
                <wp:wrapSquare wrapText="bothSides"/>
                <wp:docPr id="2457417" name="Group 2457417"/>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146890" name="Rectangle 1146890"/>
                        <wps:cNvSpPr/>
                        <wps:spPr>
                          <a:xfrm>
                            <a:off x="0" y="0"/>
                            <a:ext cx="152019" cy="389168"/>
                          </a:xfrm>
                          <a:prstGeom prst="rect">
                            <a:avLst/>
                          </a:prstGeom>
                          <a:ln>
                            <a:noFill/>
                          </a:ln>
                        </wps:spPr>
                        <wps:txbx>
                          <w:txbxContent>
                            <w:p w14:paraId="6E858734"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1E4D2D0A" id="Group 2457417" o:spid="_x0000_s1689" style="position:absolute;left:0;text-align:left;margin-left:.7pt;margin-top:34.2pt;width:9pt;height:23.05pt;z-index:252256256;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">
                <v:rect id="Rectangle 1146890" o:spid="_x0000_s1690" style="position:absolute;width:152019;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" filled="f" stroked="f">
                  <v:textbox inset="0,0,0,0">
                    <w:txbxContent>
                      <w:p w14:paraId="6E858734" w14:textId="77777777" w:rsidR="00053D93" w:rsidRDefault="00260B75">
                        <w:r>
                          <w:rPr>
                            <w:sz w:val="70"/>
                          </w:rPr>
                          <w:t>1</w:t>
                        </w:r>
                      </w:p>
                    </w:txbxContent>
                  </v:textbox>
                </v:rect>
                <w10:wrap type="square"/>
              </v:group>
            </w:pict>
          </mc:Fallback>
        </mc:AlternateContent>
      </w:r>
      <w:r>
        <w:rPr>
          <w:sz w:val="26"/>
        </w:rPr>
        <w:t xml:space="preserve">1 de Datos del Área de Infraestructura y Servicios Críticos, sin embargo, en el manual de funciones, organizaciones y puestos, hace referencia que el jefe inmediato es el Jefe de Desarrollo e Integración de Soluciones, teniendo como propósito administrar los objetos, seguridad y consistencia de base de datos principal del Ministerio de Educación y su respectivo mantenimiento para su </w:t>
      </w:r>
      <w:r>
        <w:rPr>
          <w:noProof/>
        </w:rPr>
        <mc:AlternateContent>
          <mc:Choice Requires="wpg">
            <w:drawing>
              <wp:inline distT="0" distB="0" distL="0" distR="0" wp14:anchorId="64C4C703" wp14:editId="6C13A5DD">
                <wp:extent cx="114300" cy="297180"/>
                <wp:effectExtent l="0" t="0" r="0" b="0"/>
                <wp:docPr id="2457418" name="Group 2457418"/>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146891" name="Rectangle 1146891"/>
                        <wps:cNvSpPr/>
                        <wps:spPr>
                          <a:xfrm>
                            <a:off x="0" y="0"/>
                            <a:ext cx="152019" cy="395249"/>
                          </a:xfrm>
                          <a:prstGeom prst="rect">
                            <a:avLst/>
                          </a:prstGeom>
                          <a:ln>
                            <a:noFill/>
                          </a:ln>
                        </wps:spPr>
                        <wps:txbx>
                          <w:txbxContent>
                            <w:p w14:paraId="193A0B63"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4C4C703" id="Group 2457418" o:spid="_x0000_s1691"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B+KpdHDgIAAJgE&#10;AAAOAAAAAAAAAAAAAAAAAC4CAABkcnMvZTJvRG9jLnhtbFBLAQItABQABgAIAAAAIQDLw3M32gAA&#10;AAMBAAAPAAAAAAAAAAAAAAAAAGgEAABkcnMvZG93bnJldi54bWxQSwUGAAAAAAQABADzAAAAbwUA&#10;AAAA&#10;">
                <v:rect id="Rectangle 1146891" o:spid="_x0000_s1692"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" filled="f" stroked="f">
                  <v:textbox inset="0,0,0,0">
                    <w:txbxContent>
                      <w:p w14:paraId="193A0B63" w14:textId="77777777" w:rsidR="00053D93" w:rsidRDefault="00260B75">
                        <w:r>
                          <w:rPr>
                            <w:sz w:val="70"/>
                          </w:rPr>
                          <w:t>1</w:t>
                        </w:r>
                      </w:p>
                    </w:txbxContent>
                  </v:textbox>
                </v:rect>
                <w10:anchorlock/>
              </v:group>
            </w:pict>
          </mc:Fallback>
        </mc:AlternateContent>
      </w:r>
      <w:r>
        <w:rPr>
          <w:sz w:val="26"/>
        </w:rPr>
        <w:t xml:space="preserve"> correcto funcionamiento, dentro del cual describe [as siguientes funciones principales: mantener la estructura física y lógica de la base de datos; monitorear y administrar la seguridad de la base de datos; proteger los datos de la base </w:t>
      </w:r>
      <w:r>
        <w:rPr>
          <w:noProof/>
        </w:rPr>
        <mc:AlternateContent>
          <mc:Choice Requires="wpg">
            <w:drawing>
              <wp:inline distT="0" distB="0" distL="0" distR="0" wp14:anchorId="48CEFF14" wp14:editId="481C7C67">
                <wp:extent cx="114300" cy="292608"/>
                <wp:effectExtent l="0" t="0" r="0" b="0"/>
                <wp:docPr id="2457419" name="Group 2457419"/>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146892" name="Rectangle 1146892"/>
                        <wps:cNvSpPr/>
                        <wps:spPr>
                          <a:xfrm>
                            <a:off x="0" y="0"/>
                            <a:ext cx="152019" cy="389169"/>
                          </a:xfrm>
                          <a:prstGeom prst="rect">
                            <a:avLst/>
                          </a:prstGeom>
                          <a:ln>
                            <a:noFill/>
                          </a:ln>
                        </wps:spPr>
                        <wps:txbx>
                          <w:txbxContent>
                            <w:p w14:paraId="6925FD36"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8CEFF14" id="Group 2457419" o:spid="_x0000_s1693"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">
                <v:rect id="Rectangle 1146892" o:spid="_x0000_s1694"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" filled="f" stroked="f">
                  <v:textbox inset="0,0,0,0">
                    <w:txbxContent>
                      <w:p w14:paraId="6925FD36" w14:textId="77777777" w:rsidR="00053D93" w:rsidRDefault="00260B75">
                        <w:r>
                          <w:rPr>
                            <w:sz w:val="70"/>
                          </w:rPr>
                          <w:t>1</w:t>
                        </w:r>
                      </w:p>
                    </w:txbxContent>
                  </v:textbox>
                </v:rect>
                <w10:anchorlock/>
              </v:group>
            </w:pict>
          </mc:Fallback>
        </mc:AlternateContent>
      </w:r>
      <w:r>
        <w:rPr>
          <w:sz w:val="26"/>
        </w:rPr>
        <w:t xml:space="preserve"> mediante estrategias de respaldo y recuperación de información; manejar la seguridad de accesos; administrar básicamente el sistema operativo de los 1 servidores de base de datos: cooperar con personal de soporte durante mantenimiento preventivos y correctivos a servidores de base de datos, evidenciando que si tiene relación con la seguridad y recuperación de la </w:t>
      </w:r>
      <w:r>
        <w:rPr>
          <w:noProof/>
        </w:rPr>
        <w:drawing>
          <wp:inline distT="0" distB="0" distL="0" distR="0" wp14:anchorId="07DD68F8" wp14:editId="541094A3">
            <wp:extent cx="9144" cy="13716"/>
            <wp:effectExtent l="0" t="0" r="0" b="0"/>
            <wp:docPr id="1149895" name="Picture 1149895"/>
            <wp:cNvGraphicFramePr/>
            <a:graphic xmlns:a="http://schemas.openxmlformats.org/drawingml/2006/main">
              <a:graphicData uri="http://schemas.openxmlformats.org/drawingml/2006/picture">
                <pic:pic xmlns:pic="http://schemas.openxmlformats.org/drawingml/2006/picture">
                  <pic:nvPicPr>
                    <pic:cNvPr id="1149895" name="Picture 1149895"/>
                    <pic:cNvPicPr/>
                  </pic:nvPicPr>
                  <pic:blipFill>
                    <a:blip r:embed="rId920"/>
                    <a:stretch>
                      <a:fillRect/>
                    </a:stretch>
                  </pic:blipFill>
                  <pic:spPr>
                    <a:xfrm>
                      <a:off x="0" y="0"/>
                      <a:ext cx="9144" cy="13716"/>
                    </a:xfrm>
                    <a:prstGeom prst="rect">
                      <a:avLst/>
                    </a:prstGeom>
                  </pic:spPr>
                </pic:pic>
              </a:graphicData>
            </a:graphic>
          </wp:inline>
        </w:drawing>
      </w:r>
      <w:r>
        <w:rPr>
          <w:sz w:val="26"/>
        </w:rPr>
        <w:t>1 información posterior al incidente informático del 21 de agosto de 2024.</w:t>
      </w:r>
    </w:p>
    <w:tbl>
      <w:tblPr>
        <w:tblStyle w:val="TableGrid"/>
        <w:tblpPr w:vertAnchor="page" w:horzAnchor="page" w:tblpX="2820" w:tblpY="14558"/>
        <w:tblOverlap w:val="never"/>
        <w:tblW w:w="7606" w:type="dxa"/>
        <w:tblInd w:w="0" w:type="dxa"/>
        <w:tblCellMar>
          <w:top w:w="38" w:type="dxa"/>
          <w:left w:w="1731" w:type="dxa"/>
          <w:right w:w="115" w:type="dxa"/>
        </w:tblCellMar>
        <w:tblLook w:val="04A0" w:firstRow="1" w:lastRow="0" w:firstColumn="1" w:lastColumn="0" w:noHBand="0" w:noVBand="1"/>
      </w:tblPr>
      <w:tblGrid>
        <w:gridCol w:w="7606"/>
      </w:tblGrid>
      <w:tr w:rsidR="00053D93" w14:paraId="102B9C36" w14:textId="77777777">
        <w:trPr>
          <w:trHeight w:val="43"/>
        </w:trPr>
        <w:tc>
          <w:tcPr>
            <w:tcW w:w="7606" w:type="dxa"/>
            <w:tcBorders>
              <w:top w:val="nil"/>
              <w:left w:val="single" w:sz="2" w:space="0" w:color="000000"/>
              <w:bottom w:val="single" w:sz="2" w:space="0" w:color="000000"/>
              <w:right w:val="nil"/>
            </w:tcBorders>
          </w:tcPr>
          <w:p w14:paraId="4E258351" w14:textId="77777777" w:rsidR="00053D93" w:rsidRDefault="00053D93"/>
        </w:tc>
      </w:tr>
      <w:tr w:rsidR="00053D93" w14:paraId="25ABC333" w14:textId="77777777">
        <w:trPr>
          <w:trHeight w:val="590"/>
        </w:trPr>
        <w:tc>
          <w:tcPr>
            <w:tcW w:w="7606" w:type="dxa"/>
            <w:tcBorders>
              <w:top w:val="single" w:sz="2" w:space="0" w:color="000000"/>
              <w:left w:val="single" w:sz="2" w:space="0" w:color="000000"/>
              <w:bottom w:val="nil"/>
              <w:right w:val="nil"/>
            </w:tcBorders>
          </w:tcPr>
          <w:p w14:paraId="741478AA" w14:textId="77777777" w:rsidR="00053D93" w:rsidRDefault="00260B75">
            <w:pPr>
              <w:ind w:left="835"/>
            </w:pPr>
            <w:r>
              <w:rPr>
                <w:sz w:val="12"/>
              </w:rPr>
              <w:t>MENISTE-RIO DE EDUCACION</w:t>
            </w:r>
          </w:p>
          <w:p w14:paraId="506602AD" w14:textId="77777777" w:rsidR="00053D93" w:rsidRDefault="00260B75">
            <w:pPr>
              <w:ind w:left="338"/>
            </w:pPr>
            <w:r>
              <w:rPr>
                <w:sz w:val="14"/>
              </w:rPr>
              <w:t>AUDITORIA FINANCIERA Y OE CUMPLIMIENTO</w:t>
            </w:r>
          </w:p>
          <w:p w14:paraId="7481767E" w14:textId="77777777" w:rsidR="00053D93" w:rsidRDefault="00260B75">
            <w:r>
              <w:rPr>
                <w:sz w:val="14"/>
              </w:rPr>
              <w:t>PERIODO DEL 01 DE ENERO AL 31 DE DICIEMBRE 2024</w:t>
            </w:r>
          </w:p>
        </w:tc>
      </w:tr>
    </w:tbl>
    <w:p w14:paraId="496C4615" w14:textId="77777777" w:rsidR="00053D93" w:rsidRDefault="00260B75">
      <w:pPr>
        <w:spacing w:after="137" w:line="269" w:lineRule="auto"/>
        <w:ind w:left="57" w:right="14" w:firstLine="1663"/>
        <w:jc w:val="both"/>
      </w:pPr>
      <w:r>
        <w:rPr>
          <w:noProof/>
        </w:rPr>
        <w:drawing>
          <wp:anchor distT="0" distB="0" distL="114300" distR="114300" simplePos="0" relativeHeight="252257280" behindDoc="0" locked="0" layoutInCell="1" allowOverlap="0" wp14:anchorId="1B2300F1" wp14:editId="28E7DB38">
            <wp:simplePos x="0" y="0"/>
            <wp:positionH relativeFrom="page">
              <wp:posOffset>644652</wp:posOffset>
            </wp:positionH>
            <wp:positionV relativeFrom="page">
              <wp:posOffset>9240012</wp:posOffset>
            </wp:positionV>
            <wp:extent cx="1124712" cy="406909"/>
            <wp:effectExtent l="0" t="0" r="0" b="0"/>
            <wp:wrapTopAndBottom/>
            <wp:docPr id="1149964" name="Picture 1149964"/>
            <wp:cNvGraphicFramePr/>
            <a:graphic xmlns:a="http://schemas.openxmlformats.org/drawingml/2006/main">
              <a:graphicData uri="http://schemas.openxmlformats.org/drawingml/2006/picture">
                <pic:pic xmlns:pic="http://schemas.openxmlformats.org/drawingml/2006/picture">
                  <pic:nvPicPr>
                    <pic:cNvPr id="1149964" name="Picture 1149964"/>
                    <pic:cNvPicPr/>
                  </pic:nvPicPr>
                  <pic:blipFill>
                    <a:blip r:embed="rId1586"/>
                    <a:stretch>
                      <a:fillRect/>
                    </a:stretch>
                  </pic:blipFill>
                  <pic:spPr>
                    <a:xfrm>
                      <a:off x="0" y="0"/>
                      <a:ext cx="1124712" cy="406909"/>
                    </a:xfrm>
                    <a:prstGeom prst="rect">
                      <a:avLst/>
                    </a:prstGeom>
                  </pic:spPr>
                </pic:pic>
              </a:graphicData>
            </a:graphic>
          </wp:anchor>
        </w:drawing>
      </w:r>
      <w:r>
        <w:rPr>
          <w:sz w:val="26"/>
        </w:rPr>
        <w:t xml:space="preserve">Respecto a lo mencionado anteriormente, el responsable argumenta que existía 1 un mecanismo de respaldo y retención de la base de datos del MINEDUC, el cual incluía el procedimiento para el respaldo de la base de datos MariaDB. Además, </w:t>
      </w:r>
      <w:r>
        <w:rPr>
          <w:noProof/>
        </w:rPr>
        <w:drawing>
          <wp:inline distT="0" distB="0" distL="0" distR="0" wp14:anchorId="61D1B9A0" wp14:editId="45CB1780">
            <wp:extent cx="9144" cy="9144"/>
            <wp:effectExtent l="0" t="0" r="0" b="0"/>
            <wp:docPr id="1149896" name="Picture 1149896"/>
            <wp:cNvGraphicFramePr/>
            <a:graphic xmlns:a="http://schemas.openxmlformats.org/drawingml/2006/main">
              <a:graphicData uri="http://schemas.openxmlformats.org/drawingml/2006/picture">
                <pic:pic xmlns:pic="http://schemas.openxmlformats.org/drawingml/2006/picture">
                  <pic:nvPicPr>
                    <pic:cNvPr id="1149896" name="Picture 1149896"/>
                    <pic:cNvPicPr/>
                  </pic:nvPicPr>
                  <pic:blipFill>
                    <a:blip r:embed="rId117"/>
                    <a:stretch>
                      <a:fillRect/>
                    </a:stretch>
                  </pic:blipFill>
                  <pic:spPr>
                    <a:xfrm>
                      <a:off x="0" y="0"/>
                      <a:ext cx="9144" cy="9144"/>
                    </a:xfrm>
                    <a:prstGeom prst="rect">
                      <a:avLst/>
                    </a:prstGeom>
                  </pic:spPr>
                </pic:pic>
              </a:graphicData>
            </a:graphic>
          </wp:inline>
        </w:drawing>
      </w:r>
      <w:r>
        <w:rPr>
          <w:sz w:val="26"/>
        </w:rPr>
        <w:t xml:space="preserve">1 en el oficio 170-2025, descrito en la condición del hallazgo y señalado por el responsable, se informa que la base de datos de la aplicación Mis Compras PAE se aloja en un servidor MariaDB. Sin embargo, en ninguna fase de la 1 auditoría se presentó la información cargada en la aplicación mencionada. En el mismo oficio, se señala como responsable directo del incumplimiento en la recuperación de la información al Administrador de la Base de Datos, lo cual se 1 evidenció por la falta de presentación de la información a la comisión de auditoría. A pesar de haber desarrollado estrategias de respaldo, no presentó </w:t>
      </w:r>
      <w:r>
        <w:rPr>
          <w:noProof/>
        </w:rPr>
        <w:drawing>
          <wp:inline distT="0" distB="0" distL="0" distR="0" wp14:anchorId="1B516451" wp14:editId="1C823099">
            <wp:extent cx="4572" cy="4572"/>
            <wp:effectExtent l="0" t="0" r="0" b="0"/>
            <wp:docPr id="1149897" name="Picture 1149897"/>
            <wp:cNvGraphicFramePr/>
            <a:graphic xmlns:a="http://schemas.openxmlformats.org/drawingml/2006/main">
              <a:graphicData uri="http://schemas.openxmlformats.org/drawingml/2006/picture">
                <pic:pic xmlns:pic="http://schemas.openxmlformats.org/drawingml/2006/picture">
                  <pic:nvPicPr>
                    <pic:cNvPr id="1149897" name="Picture 1149897"/>
                    <pic:cNvPicPr/>
                  </pic:nvPicPr>
                  <pic:blipFill>
                    <a:blip r:embed="rId845"/>
                    <a:stretch>
                      <a:fillRect/>
                    </a:stretch>
                  </pic:blipFill>
                  <pic:spPr>
                    <a:xfrm>
                      <a:off x="0" y="0"/>
                      <a:ext cx="4572" cy="4572"/>
                    </a:xfrm>
                    <a:prstGeom prst="rect">
                      <a:avLst/>
                    </a:prstGeom>
                  </pic:spPr>
                </pic:pic>
              </a:graphicData>
            </a:graphic>
          </wp:inline>
        </w:drawing>
      </w:r>
      <w:r>
        <w:rPr>
          <w:sz w:val="26"/>
        </w:rPr>
        <w:t>1 evidencia de restauración efectiva de la información comprometida; lo cual, conforme al Plan de Recuperación ante Desastres y el Manual DES-MAN-OI, es parte de su responsabilidad funcional.</w:t>
      </w:r>
    </w:p>
    <w:p w14:paraId="59C96334" w14:textId="77777777" w:rsidR="00053D93" w:rsidRDefault="00260B75">
      <w:pPr>
        <w:spacing w:after="3"/>
        <w:ind w:left="74" w:right="3485" w:hanging="10"/>
      </w:pPr>
      <w:r>
        <w:rPr>
          <w:noProof/>
        </w:rPr>
        <w:drawing>
          <wp:inline distT="0" distB="0" distL="0" distR="0" wp14:anchorId="498F27C3" wp14:editId="13F536F0">
            <wp:extent cx="4572" cy="4571"/>
            <wp:effectExtent l="0" t="0" r="0" b="0"/>
            <wp:docPr id="1149898" name="Picture 1149898"/>
            <wp:cNvGraphicFramePr/>
            <a:graphic xmlns:a="http://schemas.openxmlformats.org/drawingml/2006/main">
              <a:graphicData uri="http://schemas.openxmlformats.org/drawingml/2006/picture">
                <pic:pic xmlns:pic="http://schemas.openxmlformats.org/drawingml/2006/picture">
                  <pic:nvPicPr>
                    <pic:cNvPr id="1149898" name="Picture 1149898"/>
                    <pic:cNvPicPr/>
                  </pic:nvPicPr>
                  <pic:blipFill>
                    <a:blip r:embed="rId845"/>
                    <a:stretch>
                      <a:fillRect/>
                    </a:stretch>
                  </pic:blipFill>
                  <pic:spPr>
                    <a:xfrm>
                      <a:off x="0" y="0"/>
                      <a:ext cx="4572" cy="4571"/>
                    </a:xfrm>
                    <a:prstGeom prst="rect">
                      <a:avLst/>
                    </a:prstGeom>
                  </pic:spPr>
                </pic:pic>
              </a:graphicData>
            </a:graphic>
          </wp:inline>
        </w:drawing>
      </w:r>
      <w:r>
        <w:rPr>
          <w:sz w:val="70"/>
        </w:rPr>
        <w:t>1</w:t>
      </w:r>
    </w:p>
    <w:p w14:paraId="1DEF97FC" w14:textId="77777777" w:rsidR="00053D93" w:rsidRDefault="00260B75">
      <w:pPr>
        <w:spacing w:after="124" w:line="269" w:lineRule="auto"/>
        <w:ind w:left="57" w:right="14" w:firstLine="1606"/>
        <w:jc w:val="both"/>
      </w:pPr>
      <w:r>
        <w:rPr>
          <w:sz w:val="26"/>
        </w:rPr>
        <w:t xml:space="preserve">Con relación a los riesgos señalados de la solución de respaldos, en la ejecución de la auditoría se estableció que el riesgo mencionado, fue mitigado a través de la </w:t>
      </w:r>
      <w:r>
        <w:rPr>
          <w:noProof/>
        </w:rPr>
        <mc:AlternateContent>
          <mc:Choice Requires="wpg">
            <w:drawing>
              <wp:inline distT="0" distB="0" distL="0" distR="0" wp14:anchorId="41495986" wp14:editId="35FC3655">
                <wp:extent cx="114300" cy="297180"/>
                <wp:effectExtent l="0" t="0" r="0" b="0"/>
                <wp:docPr id="2457420" name="Group 2457420"/>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146901" name="Rectangle 1146901"/>
                        <wps:cNvSpPr/>
                        <wps:spPr>
                          <a:xfrm>
                            <a:off x="0" y="0"/>
                            <a:ext cx="152019" cy="395249"/>
                          </a:xfrm>
                          <a:prstGeom prst="rect">
                            <a:avLst/>
                          </a:prstGeom>
                          <a:ln>
                            <a:noFill/>
                          </a:ln>
                        </wps:spPr>
                        <wps:txbx>
                          <w:txbxContent>
                            <w:p w14:paraId="6D920FDA"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1495986" id="Group 2457420" o:spid="_x0000_s1695"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Aoe7dSDgIAAJgE&#10;AAAOAAAAAAAAAAAAAAAAAC4CAABkcnMvZTJvRG9jLnhtbFBLAQItABQABgAIAAAAIQDLw3M32gAA&#10;AAMBAAAPAAAAAAAAAAAAAAAAAGgEAABkcnMvZG93bnJldi54bWxQSwUGAAAAAAQABADzAAAAbwUA&#10;AAAA&#10;">
                <v:rect id="Rectangle 1146901" o:spid="_x0000_s1696"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" filled="f" stroked="f">
                  <v:textbox inset="0,0,0,0">
                    <w:txbxContent>
                      <w:p w14:paraId="6D920FDA" w14:textId="77777777" w:rsidR="00053D93" w:rsidRDefault="00260B75">
                        <w:r>
                          <w:rPr>
                            <w:sz w:val="70"/>
                          </w:rPr>
                          <w:t>1</w:t>
                        </w:r>
                      </w:p>
                    </w:txbxContent>
                  </v:textbox>
                </v:rect>
                <w10:anchorlock/>
              </v:group>
            </w:pict>
          </mc:Fallback>
        </mc:AlternateContent>
      </w:r>
      <w:r>
        <w:rPr>
          <w:sz w:val="26"/>
        </w:rPr>
        <w:t xml:space="preserve"> contratación "DERECHOS DE USO DE SITIO ALTERNO PARA CENTRO DE DATOS, DEL MINISTERIO DE EDUCACIÓN", únicamente para los meses de 1 noviembre y diciembre 2023, en seguimiento a la falta de servicios a partir de enero de 2024, presentó como prueba el oficio DINFO No. 0447-2024 del 08 de abril de 2024, en el cual solicita inicio del proceso de cotización de [os Sistema y 1 dispositivo de respaldos para la infraestructura de computación virtual y física del Centro de Datos, justificando que la solución de respaldos del Centro de Datos del Ministerio de Educación, se encontraba fuera del plazo de garantía cubierta por el 1 fabricante, evidenciando la tardanza en la gestión administrativa.</w:t>
      </w:r>
    </w:p>
    <w:p w14:paraId="0BA66D13" w14:textId="77777777" w:rsidR="00053D93" w:rsidRDefault="00260B75">
      <w:pPr>
        <w:tabs>
          <w:tab w:val="right" w:pos="10123"/>
        </w:tabs>
        <w:spacing w:after="4" w:line="269" w:lineRule="auto"/>
      </w:pPr>
      <w:r>
        <w:rPr>
          <w:sz w:val="26"/>
        </w:rPr>
        <w:t>1</w:t>
      </w:r>
      <w:r>
        <w:rPr>
          <w:sz w:val="26"/>
        </w:rPr>
        <w:tab/>
        <w:t>Asimismo, señala la falta de personal especializado e insuficiente en el área de</w:t>
      </w:r>
    </w:p>
    <w:p w14:paraId="0AB3332B" w14:textId="77777777" w:rsidR="00053D93" w:rsidRDefault="00053D93">
      <w:pPr>
        <w:sectPr w:rsidR="00053D93">
          <w:headerReference w:type="even" r:id="rId1587"/>
          <w:headerReference w:type="default" r:id="rId1588"/>
          <w:footerReference w:type="even" r:id="rId1589"/>
          <w:footerReference w:type="default" r:id="rId1590"/>
          <w:headerReference w:type="first" r:id="rId1591"/>
          <w:footerReference w:type="first" r:id="rId1592"/>
          <w:pgSz w:w="12290" w:h="15883"/>
          <w:pgMar w:top="360" w:right="1836" w:bottom="720" w:left="331" w:header="374" w:footer="720" w:gutter="0"/>
          <w:cols w:space="720"/>
          <w:titlePg/>
        </w:sectPr>
      </w:pPr>
    </w:p>
    <w:p w14:paraId="17BEB41E" w14:textId="77777777" w:rsidR="00053D93" w:rsidRDefault="00260B75">
      <w:pPr>
        <w:spacing w:after="37"/>
        <w:ind w:left="1620"/>
      </w:pPr>
      <w:r>
        <w:rPr>
          <w:noProof/>
        </w:rPr>
        <mc:AlternateContent>
          <mc:Choice Requires="wpg">
            <w:drawing>
              <wp:inline distT="0" distB="0" distL="0" distR="0" wp14:anchorId="27BD2DC0" wp14:editId="1F90F48C">
                <wp:extent cx="5381244" cy="9144"/>
                <wp:effectExtent l="0" t="0" r="0" b="0"/>
                <wp:docPr id="2458880" name="Group 2458880"/>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879" name="Shape 2458879"/>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80" style="width:423.72pt;height:0.720001pt;mso-position-horizontal-relative:char;mso-position-vertical-relative:line" coordsize="53812,91">
                <v:shape id="Shape 2458879" style="position:absolute;width:53812;height:91;left:0;top:0;" coordsize="5381244,9144" path="m0,4572l5381244,4572">
                  <v:stroke weight="0.720001pt" endcap="flat" joinstyle="miter" miterlimit="1" on="true" color="#000000"/>
                  <v:fill on="false" color="#000000"/>
                </v:shape>
              </v:group>
            </w:pict>
          </mc:Fallback>
        </mc:AlternateContent>
      </w:r>
    </w:p>
    <w:p w14:paraId="0A109EEB" w14:textId="77777777" w:rsidR="00053D93" w:rsidRDefault="00260B75">
      <w:pPr>
        <w:spacing w:after="4" w:line="269" w:lineRule="auto"/>
        <w:ind w:left="60" w:right="14" w:hanging="3"/>
        <w:jc w:val="both"/>
      </w:pPr>
      <w:r>
        <w:rPr>
          <w:sz w:val="26"/>
        </w:rPr>
        <w:t>1 infraestructura, sin embargo, se evidenció en la condición el hallazgo, personal contratado y nombrado para puestos de Administrador de Servidores y SAN, 1 Administrador de Servidores y soportes Backups, Técnico en Seguridad y</w:t>
      </w:r>
    </w:p>
    <w:p w14:paraId="3AAD63CE" w14:textId="77777777" w:rsidR="00053D93" w:rsidRDefault="00260B75">
      <w:pPr>
        <w:spacing w:after="3" w:line="269" w:lineRule="auto"/>
        <w:ind w:left="67" w:right="14" w:hanging="10"/>
        <w:jc w:val="right"/>
      </w:pPr>
      <w:r>
        <w:rPr>
          <w:sz w:val="26"/>
        </w:rPr>
        <w:t>Monitoreo quienes están subordinados al Jefe en Funciones de Infraestructura y</w:t>
      </w:r>
    </w:p>
    <w:p w14:paraId="28DAA5C9" w14:textId="77777777" w:rsidR="00053D93" w:rsidRDefault="00260B75">
      <w:pPr>
        <w:spacing w:after="436" w:line="269" w:lineRule="auto"/>
        <w:ind w:left="57" w:right="14" w:firstLine="1634"/>
        <w:jc w:val="both"/>
      </w:pPr>
      <w:r>
        <w:rPr>
          <w:sz w:val="26"/>
        </w:rPr>
        <w:t>Servicios críticos, sin estar detallados dentro del mismo manual de funciones, que 1 describieran las funciones específicas, propósitos del puesto y perfil de los mismos, que justificaran la necesidad de puestos en el Departamento de Infraestructura y Servicios Críticos de la Dirección de Informática, los cuales son de vital importancia.</w:t>
      </w:r>
    </w:p>
    <w:p w14:paraId="6716E297" w14:textId="77777777" w:rsidR="00053D93" w:rsidRDefault="00260B75">
      <w:pPr>
        <w:spacing w:after="616" w:line="269" w:lineRule="auto"/>
        <w:ind w:left="60" w:right="14" w:hanging="3"/>
        <w:jc w:val="both"/>
      </w:pPr>
      <w:r>
        <w:rPr>
          <w:sz w:val="26"/>
        </w:rPr>
        <w:t>1 Se evidenció el incumplimiento en [a restauración o recuperación de la información de los sistemas informáticos, posteriormente al incidente informático, sin contar nuevamente con las bases de datos o soportes, lo que hace necesario subir 1 nuevamente la información a los diez sistemas detallados en el numeral 2 de la condición del hallazgo.</w:t>
      </w:r>
    </w:p>
    <w:tbl>
      <w:tblPr>
        <w:tblStyle w:val="TableGrid"/>
        <w:tblpPr w:vertAnchor="page" w:horzAnchor="page" w:tblpX="2856" w:tblpY="14573"/>
        <w:tblOverlap w:val="never"/>
        <w:tblW w:w="7613" w:type="dxa"/>
        <w:tblInd w:w="0" w:type="dxa"/>
        <w:tblCellMar>
          <w:top w:w="42" w:type="dxa"/>
          <w:left w:w="1738" w:type="dxa"/>
          <w:right w:w="115" w:type="dxa"/>
        </w:tblCellMar>
        <w:tblLook w:val="04A0" w:firstRow="1" w:lastRow="0" w:firstColumn="1" w:lastColumn="0" w:noHBand="0" w:noVBand="1"/>
      </w:tblPr>
      <w:tblGrid>
        <w:gridCol w:w="7613"/>
      </w:tblGrid>
      <w:tr w:rsidR="00053D93" w14:paraId="2FEF7737" w14:textId="77777777">
        <w:trPr>
          <w:trHeight w:val="40"/>
        </w:trPr>
        <w:tc>
          <w:tcPr>
            <w:tcW w:w="7613" w:type="dxa"/>
            <w:tcBorders>
              <w:top w:val="nil"/>
              <w:left w:val="single" w:sz="2" w:space="0" w:color="000000"/>
              <w:bottom w:val="single" w:sz="2" w:space="0" w:color="000000"/>
              <w:right w:val="nil"/>
            </w:tcBorders>
          </w:tcPr>
          <w:p w14:paraId="73FF9B23" w14:textId="77777777" w:rsidR="00053D93" w:rsidRDefault="00053D93"/>
        </w:tc>
      </w:tr>
      <w:tr w:rsidR="00053D93" w14:paraId="0781CFC0" w14:textId="77777777">
        <w:trPr>
          <w:trHeight w:val="600"/>
        </w:trPr>
        <w:tc>
          <w:tcPr>
            <w:tcW w:w="7613" w:type="dxa"/>
            <w:tcBorders>
              <w:top w:val="single" w:sz="2" w:space="0" w:color="000000"/>
              <w:left w:val="single" w:sz="2" w:space="0" w:color="000000"/>
              <w:bottom w:val="nil"/>
              <w:right w:val="nil"/>
            </w:tcBorders>
          </w:tcPr>
          <w:p w14:paraId="10BD493B" w14:textId="77777777" w:rsidR="00053D93" w:rsidRDefault="00260B75">
            <w:pPr>
              <w:ind w:left="835"/>
            </w:pPr>
            <w:r>
              <w:rPr>
                <w:sz w:val="14"/>
              </w:rPr>
              <w:t>MINISTERIO DE EDUCACION</w:t>
            </w:r>
          </w:p>
          <w:p w14:paraId="48AF2484" w14:textId="77777777" w:rsidR="00053D93" w:rsidRDefault="00260B75">
            <w:pPr>
              <w:ind w:left="338"/>
            </w:pPr>
            <w:r>
              <w:rPr>
                <w:sz w:val="14"/>
              </w:rPr>
              <w:t>AUDITORIA FINANCIERA Y DE CUMPLIMIENTO</w:t>
            </w:r>
          </w:p>
          <w:p w14:paraId="0218ABC2" w14:textId="77777777" w:rsidR="00053D93" w:rsidRDefault="00260B75">
            <w:r>
              <w:rPr>
                <w:sz w:val="14"/>
              </w:rPr>
              <w:t>PERIODO DEL 01 DE ENERO AL 31 OE DICIEMBRE DE 2024</w:t>
            </w:r>
          </w:p>
        </w:tc>
      </w:tr>
    </w:tbl>
    <w:p w14:paraId="1A0BBAEB" w14:textId="77777777" w:rsidR="00053D93" w:rsidRDefault="00260B75">
      <w:pPr>
        <w:spacing w:after="4" w:line="269" w:lineRule="auto"/>
        <w:ind w:left="60" w:right="14" w:hanging="3"/>
        <w:jc w:val="both"/>
      </w:pPr>
      <w:r>
        <w:rPr>
          <w:noProof/>
        </w:rPr>
        <w:drawing>
          <wp:anchor distT="0" distB="0" distL="114300" distR="114300" simplePos="0" relativeHeight="252258304" behindDoc="0" locked="0" layoutInCell="1" allowOverlap="0" wp14:anchorId="17025184" wp14:editId="4EFDE056">
            <wp:simplePos x="0" y="0"/>
            <wp:positionH relativeFrom="page">
              <wp:posOffset>662940</wp:posOffset>
            </wp:positionH>
            <wp:positionV relativeFrom="page">
              <wp:posOffset>9253728</wp:posOffset>
            </wp:positionV>
            <wp:extent cx="1124712" cy="406908"/>
            <wp:effectExtent l="0" t="0" r="0" b="0"/>
            <wp:wrapTopAndBottom/>
            <wp:docPr id="1153592" name="Picture 1153592"/>
            <wp:cNvGraphicFramePr/>
            <a:graphic xmlns:a="http://schemas.openxmlformats.org/drawingml/2006/main">
              <a:graphicData uri="http://schemas.openxmlformats.org/drawingml/2006/picture">
                <pic:pic xmlns:pic="http://schemas.openxmlformats.org/drawingml/2006/picture">
                  <pic:nvPicPr>
                    <pic:cNvPr id="1153592" name="Picture 1153592"/>
                    <pic:cNvPicPr/>
                  </pic:nvPicPr>
                  <pic:blipFill>
                    <a:blip r:embed="rId1593"/>
                    <a:stretch>
                      <a:fillRect/>
                    </a:stretch>
                  </pic:blipFill>
                  <pic:spPr>
                    <a:xfrm>
                      <a:off x="0" y="0"/>
                      <a:ext cx="1124712" cy="406908"/>
                    </a:xfrm>
                    <a:prstGeom prst="rect">
                      <a:avLst/>
                    </a:prstGeom>
                  </pic:spPr>
                </pic:pic>
              </a:graphicData>
            </a:graphic>
          </wp:anchor>
        </w:drawing>
      </w:r>
      <w:r>
        <w:rPr>
          <w:noProof/>
        </w:rPr>
        <w:drawing>
          <wp:anchor distT="0" distB="0" distL="114300" distR="114300" simplePos="0" relativeHeight="252259328" behindDoc="0" locked="0" layoutInCell="1" allowOverlap="0" wp14:anchorId="7C942399" wp14:editId="5A26950C">
            <wp:simplePos x="0" y="0"/>
            <wp:positionH relativeFrom="page">
              <wp:posOffset>205740</wp:posOffset>
            </wp:positionH>
            <wp:positionV relativeFrom="page">
              <wp:posOffset>374904</wp:posOffset>
            </wp:positionV>
            <wp:extent cx="18288" cy="13716"/>
            <wp:effectExtent l="0" t="0" r="0" b="0"/>
            <wp:wrapTopAndBottom/>
            <wp:docPr id="1153547" name="Picture 1153547"/>
            <wp:cNvGraphicFramePr/>
            <a:graphic xmlns:a="http://schemas.openxmlformats.org/drawingml/2006/main">
              <a:graphicData uri="http://schemas.openxmlformats.org/drawingml/2006/picture">
                <pic:pic xmlns:pic="http://schemas.openxmlformats.org/drawingml/2006/picture">
                  <pic:nvPicPr>
                    <pic:cNvPr id="1153547" name="Picture 1153547"/>
                    <pic:cNvPicPr/>
                  </pic:nvPicPr>
                  <pic:blipFill>
                    <a:blip r:embed="rId1594"/>
                    <a:stretch>
                      <a:fillRect/>
                    </a:stretch>
                  </pic:blipFill>
                  <pic:spPr>
                    <a:xfrm>
                      <a:off x="0" y="0"/>
                      <a:ext cx="18288" cy="13716"/>
                    </a:xfrm>
                    <a:prstGeom prst="rect">
                      <a:avLst/>
                    </a:prstGeom>
                  </pic:spPr>
                </pic:pic>
              </a:graphicData>
            </a:graphic>
          </wp:anchor>
        </w:drawing>
      </w:r>
      <w:r>
        <w:rPr>
          <w:sz w:val="26"/>
        </w:rPr>
        <w:t xml:space="preserve">1 Se confirma el hallazgo al señor José Leonardo Xuyá Rejopachí, Administrador de Servidores y SAN, en virtud que, sus comentarios y pruebas de descargo 1 relacionadas con la deficiencia notificada, no son suficientes para desvanecer el hallazgo, derivado que únicamente presentó el nombramiento correspondiente al puesto el cual no tiene detalle de las funciones que manifiesta en el memorial, sin 1 embargo, mediante oficio 0418-2025 descrito en [a condición del hallazgo, se amplió la información de las funciones del puesto de Administrador de Servidores y SAN, por medio del cual se indica que sus funciones abarcan la planificación de 1 la capacidad de almacenamiento, la configuración de volúmenes y la integración con los servidores para garantizar un acceso eficiente y seguro a los datos, entre 1 tas funciones se pueden destacar las de mayor relevancia relacionadas con la falta de conservación y acceso de la información almacenada en los sistemas informáticos: Mantener en buen estado el equipo utilizando en el centro de datos 1 de la Dirección de Informática, Administrar los sistemas operativos de los servidores instalados en el centro de datos, Analizar y proponer las características 1 de los equipo tipo servidor y sistemas de almacenamiento que deben utilizarse en el Ministerio, Desarrollar las actividades necesarias para la administración de los sistemas de almacenamiento de información del centro de datos, confirmando el 1 incumplimiento en el almacenaje de la información integra y segura, para su acceso respecto a los sistemas detallados que sufrieron pérdida de información. Asimismo, en el Manual DES-MAN-OI versión 3.0 establece que el </w:t>
      </w:r>
      <w:r>
        <w:rPr>
          <w:noProof/>
        </w:rPr>
        <mc:AlternateContent>
          <mc:Choice Requires="wpg">
            <w:drawing>
              <wp:inline distT="0" distB="0" distL="0" distR="0" wp14:anchorId="1530DFED" wp14:editId="0F0B5686">
                <wp:extent cx="114300" cy="297180"/>
                <wp:effectExtent l="0" t="0" r="0" b="0"/>
                <wp:docPr id="2457426" name="Group 2457426"/>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150681" name="Rectangle 1150681"/>
                        <wps:cNvSpPr/>
                        <wps:spPr>
                          <a:xfrm>
                            <a:off x="0" y="0"/>
                            <a:ext cx="152019" cy="395249"/>
                          </a:xfrm>
                          <a:prstGeom prst="rect">
                            <a:avLst/>
                          </a:prstGeom>
                          <a:ln>
                            <a:noFill/>
                          </a:ln>
                        </wps:spPr>
                        <wps:txbx>
                          <w:txbxContent>
                            <w:p w14:paraId="4CC2643C"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1530DFED" id="Group 2457426" o:spid="_x0000_s1697"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">
                <v:rect id="Rectangle 1150681" o:spid="_x0000_s1698"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" filled="f" stroked="f">
                  <v:textbox inset="0,0,0,0">
                    <w:txbxContent>
                      <w:p w14:paraId="4CC2643C" w14:textId="77777777" w:rsidR="00053D93" w:rsidRDefault="00260B75">
                        <w:r>
                          <w:rPr>
                            <w:sz w:val="70"/>
                          </w:rPr>
                          <w:t>1</w:t>
                        </w:r>
                      </w:p>
                    </w:txbxContent>
                  </v:textbox>
                </v:rect>
                <w10:anchorlock/>
              </v:group>
            </w:pict>
          </mc:Fallback>
        </mc:AlternateContent>
      </w:r>
      <w:r>
        <w:rPr>
          <w:sz w:val="26"/>
        </w:rPr>
        <w:t xml:space="preserve"> personal de infraestructura debe participar activamente en el monitoreo y respaldo de los sistemas, funciones que no se evidenció que fueran ejecutadas 1 adecuadamente.</w:t>
      </w:r>
    </w:p>
    <w:p w14:paraId="4F0E7C63" w14:textId="77777777" w:rsidR="00053D93" w:rsidRDefault="00260B75">
      <w:pPr>
        <w:spacing w:after="114" w:line="269" w:lineRule="auto"/>
        <w:ind w:left="67" w:right="14" w:hanging="10"/>
        <w:jc w:val="right"/>
      </w:pPr>
      <w:r>
        <w:rPr>
          <w:sz w:val="26"/>
        </w:rPr>
        <w:t>Se confirma el hallazgo al señor Eduardo José Villagrán Orellana, Administrador</w:t>
      </w:r>
    </w:p>
    <w:p w14:paraId="79C6C74D" w14:textId="77777777" w:rsidR="00053D93" w:rsidRDefault="00260B75">
      <w:pPr>
        <w:tabs>
          <w:tab w:val="right" w:pos="10109"/>
        </w:tabs>
        <w:spacing w:after="4" w:line="269" w:lineRule="auto"/>
      </w:pPr>
      <w:r>
        <w:rPr>
          <w:sz w:val="26"/>
        </w:rPr>
        <w:t>1</w:t>
      </w:r>
      <w:r>
        <w:rPr>
          <w:sz w:val="26"/>
        </w:rPr>
        <w:tab/>
        <w:t>de Antivirus y Firewall, en virtud que, sus comentarios y pruebas de descargo</w:t>
      </w:r>
    </w:p>
    <w:p w14:paraId="59D8DBB1" w14:textId="77777777" w:rsidR="00053D93" w:rsidRDefault="00260B75">
      <w:pPr>
        <w:tabs>
          <w:tab w:val="center" w:pos="3157"/>
          <w:tab w:val="center" w:pos="5850"/>
        </w:tabs>
        <w:spacing w:after="164"/>
      </w:pPr>
      <w:r>
        <w:rPr>
          <w:sz w:val="14"/>
        </w:rPr>
        <w:tab/>
        <w:t xml:space="preserve">OE </w:t>
      </w:r>
      <w:r>
        <w:rPr>
          <w:sz w:val="14"/>
        </w:rPr>
        <w:tab/>
        <w:t>261</w:t>
      </w:r>
    </w:p>
    <w:p w14:paraId="6F7105EA" w14:textId="77777777" w:rsidR="00053D93" w:rsidRDefault="00260B75">
      <w:pPr>
        <w:spacing w:after="41"/>
        <w:ind w:left="1642"/>
      </w:pPr>
      <w:r>
        <w:rPr>
          <w:noProof/>
        </w:rPr>
        <mc:AlternateContent>
          <mc:Choice Requires="wpg">
            <w:drawing>
              <wp:inline distT="0" distB="0" distL="0" distR="0" wp14:anchorId="41031AD6" wp14:editId="2F295A83">
                <wp:extent cx="5376672" cy="9144"/>
                <wp:effectExtent l="0" t="0" r="0" b="0"/>
                <wp:docPr id="2458882" name="Group 2458882"/>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881" name="Shape 2458881"/>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82" style="width:423.36pt;height:0.720001pt;mso-position-horizontal-relative:char;mso-position-vertical-relative:line" coordsize="53766,91">
                <v:shape id="Shape 2458881" style="position:absolute;width:53766;height:91;left:0;top:0;" coordsize="5376672,9144" path="m0,4572l5376672,4572">
                  <v:stroke weight="0.720001pt" endcap="flat" joinstyle="miter" miterlimit="1" on="true" color="#000000"/>
                  <v:fill on="false" color="#000000"/>
                </v:shape>
              </v:group>
            </w:pict>
          </mc:Fallback>
        </mc:AlternateContent>
      </w:r>
    </w:p>
    <w:p w14:paraId="5DFCE26F" w14:textId="77777777" w:rsidR="00053D93" w:rsidRDefault="00260B75">
      <w:pPr>
        <w:spacing w:after="288" w:line="250" w:lineRule="auto"/>
        <w:ind w:left="1652" w:right="14" w:hanging="3"/>
        <w:jc w:val="both"/>
      </w:pPr>
      <w:r>
        <w:rPr>
          <w:sz w:val="26"/>
        </w:rPr>
        <w:t>relacionadas con la deficiencia notificada, no son suficientes para desvanecer el hallazgo, argumentando que sus funciones no son de carácter de dirección, relacionadas con los respaldos de sistemas informáticos o la supervisión de los mismos, sin embargo, en el oficio 348-2025 descrito en la condición del hallazgo se solicitó e' detalle de las funciones asignadas, dentro de las que se pueden mencionar: Configurar y monitorear la solución de antivirus a nivel nacional, verificación del funcionamiento de la consola de antivirus, escaneo mensual a todos los equipos que tienen solución de antivirus, soporte técnico del antivirus cuando lo amerite, creación de alarmas y reportes. Es importante señalar que se tuvo a la vista el informe de la DIDAI del Ministerio de Educación en el cual se establece que hubo equipos atacados que no contaban con protección ESE T, respecto a la cual la empresa proveedora se desliga de cualquier responsabilidad, asimismo, continúan informando que la investigación de ESET reveló que equipos a cargo del Jefe del Departamento de Redes y Telecomunicaciones aportaban datos de investigación resa[tables, ya que aportaban directamente dos IP de origen relacionadas al incidente de seguridad, ocurrido el 21 de agosto de 2024.</w:t>
      </w:r>
    </w:p>
    <w:tbl>
      <w:tblPr>
        <w:tblStyle w:val="TableGrid"/>
        <w:tblpPr w:vertAnchor="page" w:horzAnchor="page" w:tblpX="2848" w:tblpY="14580"/>
        <w:tblOverlap w:val="never"/>
        <w:tblW w:w="7613" w:type="dxa"/>
        <w:tblInd w:w="0" w:type="dxa"/>
        <w:tblCellMar>
          <w:top w:w="22" w:type="dxa"/>
          <w:left w:w="1745" w:type="dxa"/>
          <w:right w:w="115" w:type="dxa"/>
        </w:tblCellMar>
        <w:tblLook w:val="04A0" w:firstRow="1" w:lastRow="0" w:firstColumn="1" w:lastColumn="0" w:noHBand="0" w:noVBand="1"/>
      </w:tblPr>
      <w:tblGrid>
        <w:gridCol w:w="7613"/>
      </w:tblGrid>
      <w:tr w:rsidR="00053D93" w14:paraId="738704AF" w14:textId="77777777">
        <w:trPr>
          <w:trHeight w:val="43"/>
        </w:trPr>
        <w:tc>
          <w:tcPr>
            <w:tcW w:w="7613" w:type="dxa"/>
            <w:tcBorders>
              <w:top w:val="nil"/>
              <w:left w:val="single" w:sz="2" w:space="0" w:color="000000"/>
              <w:bottom w:val="single" w:sz="2" w:space="0" w:color="000000"/>
              <w:right w:val="nil"/>
            </w:tcBorders>
          </w:tcPr>
          <w:p w14:paraId="4987A30D" w14:textId="77777777" w:rsidR="00053D93" w:rsidRDefault="00053D93"/>
        </w:tc>
      </w:tr>
      <w:tr w:rsidR="00053D93" w14:paraId="4FB02FAF" w14:textId="77777777">
        <w:trPr>
          <w:trHeight w:val="590"/>
        </w:trPr>
        <w:tc>
          <w:tcPr>
            <w:tcW w:w="7613" w:type="dxa"/>
            <w:tcBorders>
              <w:top w:val="single" w:sz="2" w:space="0" w:color="000000"/>
              <w:left w:val="single" w:sz="2" w:space="0" w:color="000000"/>
              <w:bottom w:val="nil"/>
              <w:right w:val="nil"/>
            </w:tcBorders>
          </w:tcPr>
          <w:p w14:paraId="1DCB9B0C" w14:textId="77777777" w:rsidR="00053D93" w:rsidRDefault="00260B75">
            <w:pPr>
              <w:ind w:left="828"/>
            </w:pPr>
            <w:r>
              <w:rPr>
                <w:sz w:val="14"/>
              </w:rPr>
              <w:t>MINISTERIO OE EDUCACION</w:t>
            </w:r>
          </w:p>
          <w:p w14:paraId="2707DD60" w14:textId="77777777" w:rsidR="00053D93" w:rsidRDefault="00260B75">
            <w:pPr>
              <w:ind w:left="331"/>
            </w:pPr>
            <w:r>
              <w:rPr>
                <w:sz w:val="14"/>
              </w:rPr>
              <w:t>AUDITORIA FINANCIERA Y DE CUMPLIMIENTO</w:t>
            </w:r>
          </w:p>
          <w:p w14:paraId="73C46052" w14:textId="77777777" w:rsidR="00053D93" w:rsidRDefault="00260B75">
            <w:r>
              <w:rPr>
                <w:sz w:val="14"/>
              </w:rPr>
              <w:t>PERIODO DEL 01 DE ENERO AL 31 OE DICIEM2RE DE 2024</w:t>
            </w:r>
          </w:p>
        </w:tc>
      </w:tr>
    </w:tbl>
    <w:p w14:paraId="35223D31" w14:textId="77777777" w:rsidR="00053D93" w:rsidRDefault="00260B75">
      <w:pPr>
        <w:spacing w:after="278" w:line="250" w:lineRule="auto"/>
        <w:ind w:left="1637" w:right="14" w:hanging="3"/>
        <w:jc w:val="both"/>
      </w:pPr>
      <w:r>
        <w:rPr>
          <w:noProof/>
        </w:rPr>
        <w:drawing>
          <wp:anchor distT="0" distB="0" distL="114300" distR="114300" simplePos="0" relativeHeight="252260352" behindDoc="0" locked="0" layoutInCell="1" allowOverlap="0" wp14:anchorId="6082141A" wp14:editId="794A1257">
            <wp:simplePos x="0" y="0"/>
            <wp:positionH relativeFrom="page">
              <wp:posOffset>662940</wp:posOffset>
            </wp:positionH>
            <wp:positionV relativeFrom="page">
              <wp:posOffset>9258300</wp:posOffset>
            </wp:positionV>
            <wp:extent cx="1124712" cy="402336"/>
            <wp:effectExtent l="0" t="0" r="0" b="0"/>
            <wp:wrapTopAndBottom/>
            <wp:docPr id="1157928" name="Picture 1157928"/>
            <wp:cNvGraphicFramePr/>
            <a:graphic xmlns:a="http://schemas.openxmlformats.org/drawingml/2006/main">
              <a:graphicData uri="http://schemas.openxmlformats.org/drawingml/2006/picture">
                <pic:pic xmlns:pic="http://schemas.openxmlformats.org/drawingml/2006/picture">
                  <pic:nvPicPr>
                    <pic:cNvPr id="1157928" name="Picture 1157928"/>
                    <pic:cNvPicPr/>
                  </pic:nvPicPr>
                  <pic:blipFill>
                    <a:blip r:embed="rId1595"/>
                    <a:stretch>
                      <a:fillRect/>
                    </a:stretch>
                  </pic:blipFill>
                  <pic:spPr>
                    <a:xfrm>
                      <a:off x="0" y="0"/>
                      <a:ext cx="1124712" cy="402336"/>
                    </a:xfrm>
                    <a:prstGeom prst="rect">
                      <a:avLst/>
                    </a:prstGeom>
                  </pic:spPr>
                </pic:pic>
              </a:graphicData>
            </a:graphic>
          </wp:anchor>
        </w:drawing>
      </w:r>
      <w:r>
        <w:rPr>
          <w:sz w:val="26"/>
        </w:rPr>
        <w:t>Asimismo, se solicitó la presentación de los formularios DES-FOR-15 como se detalló en los numerales 5 y 6 de la condición del hallazgo, como lo establece el manual oficial vigente de procedimientos de soporte técnico, para dejar constancias de la actualización del inventario de equipo de cómputo y las fechas de revisión del antivirus previas al incidente informático, los cuales no fueron presentados en ninguna etapa de la auditoría. Determinándose el incumplimiento de funciones y procesos establecidos de carácter oficial que no mitigaron el riesgo de [a pérdida ni se protegió la información de los sistemas informáticos en el incidente ocurrido, por cuanto sus funciones técnicas, conforme al Reglamento Interno, implican el mantenimiento y monitoreo continuo de los sistemas de seguridad informática. La incapacidad para contener la amenaza y la ausencia de documentación probatoria ratifican su responsabilidad operativa.</w:t>
      </w:r>
    </w:p>
    <w:p w14:paraId="7D925ADC" w14:textId="77777777" w:rsidR="00053D93" w:rsidRDefault="00260B75">
      <w:pPr>
        <w:spacing w:after="275" w:line="250" w:lineRule="auto"/>
        <w:ind w:left="1630" w:right="14" w:hanging="3"/>
        <w:jc w:val="both"/>
      </w:pPr>
      <w:r>
        <w:rPr>
          <w:sz w:val="26"/>
        </w:rPr>
        <w:t>Se desvanece el hallazgo al señor Rubén Darío Delcompare Navarrete, Técnico de Compras y Planificador, en virtud que, sus comentarios y pruebas de descargo relacionadas con la deficiencia notificada, confirman que su responsabilidad no tuvo incidencia en la tardanza de los procesos de cotización señalados en el numeral 4 de la condición del hallazgo.</w:t>
      </w:r>
    </w:p>
    <w:p w14:paraId="72B4B6DC" w14:textId="77777777" w:rsidR="00053D93" w:rsidRDefault="00260B75">
      <w:pPr>
        <w:spacing w:after="14" w:line="251" w:lineRule="auto"/>
        <w:ind w:left="1658" w:hanging="3"/>
        <w:jc w:val="both"/>
      </w:pPr>
      <w:r>
        <w:rPr>
          <w:sz w:val="28"/>
        </w:rPr>
        <w:t>Acciones legales</w:t>
      </w:r>
    </w:p>
    <w:p w14:paraId="19D80964" w14:textId="77777777" w:rsidR="00053D93" w:rsidRDefault="00260B75">
      <w:pPr>
        <w:spacing w:after="278" w:line="250" w:lineRule="auto"/>
        <w:ind w:left="1630" w:right="14" w:hanging="3"/>
        <w:jc w:val="both"/>
      </w:pPr>
      <w:r>
        <w:rPr>
          <w:sz w:val="26"/>
        </w:rPr>
        <w:t>Sanción económica de conformidad con el Decreto 31-2002, del Congreso de Ea República, Ley Orgánica de la Contraloría General de Cuentas, reformada por el Decreto 13-2013; artículo 39, Numeral 22, para:</w:t>
      </w:r>
    </w:p>
    <w:p w14:paraId="0FECF15C" w14:textId="77777777" w:rsidR="00053D93" w:rsidRDefault="00260B75">
      <w:pPr>
        <w:tabs>
          <w:tab w:val="center" w:pos="1822"/>
          <w:tab w:val="center" w:pos="6462"/>
          <w:tab w:val="right" w:pos="10109"/>
        </w:tabs>
        <w:spacing w:after="55" w:line="266" w:lineRule="auto"/>
      </w:pPr>
      <w:r>
        <w:rPr>
          <w:sz w:val="16"/>
        </w:rPr>
        <w:tab/>
        <w:t>Cargo</w:t>
      </w:r>
      <w:r>
        <w:rPr>
          <w:sz w:val="16"/>
        </w:rPr>
        <w:tab/>
        <w:t>Nombre</w:t>
      </w:r>
      <w:r>
        <w:rPr>
          <w:sz w:val="16"/>
        </w:rPr>
        <w:tab/>
        <w:t>Valor en Quetzales</w:t>
      </w:r>
    </w:p>
    <w:p w14:paraId="0FF41A76" w14:textId="77777777" w:rsidR="00053D93" w:rsidRDefault="00260B75">
      <w:pPr>
        <w:spacing w:after="146" w:line="266" w:lineRule="auto"/>
        <w:ind w:left="1680" w:hanging="10"/>
        <w:jc w:val="both"/>
      </w:pPr>
      <w:r>
        <w:rPr>
          <w:sz w:val="16"/>
        </w:rPr>
        <w:t xml:space="preserve">ADMINISTRADOR DE ANTIVIRUS Y FIREWALL EDUARDO JOSE VILLAGRAN ORELLANA 3.150.00 ADMINISTRADOR DE SERVIDORES Y SAN JOSÉ LEONARDO xuyA REJOPACHI 3.150.00 DE </w:t>
      </w:r>
      <w:r>
        <w:rPr>
          <w:sz w:val="16"/>
        </w:rPr>
        <w:tab/>
        <w:t>262</w:t>
      </w:r>
    </w:p>
    <w:p w14:paraId="22A7D1A6" w14:textId="77777777" w:rsidR="00053D93" w:rsidRDefault="00260B75">
      <w:pPr>
        <w:spacing w:after="22"/>
        <w:ind w:left="1620"/>
      </w:pPr>
      <w:r>
        <w:rPr>
          <w:noProof/>
        </w:rPr>
        <mc:AlternateContent>
          <mc:Choice Requires="wpg">
            <w:drawing>
              <wp:inline distT="0" distB="0" distL="0" distR="0" wp14:anchorId="29AE9F33" wp14:editId="2B1E2A4A">
                <wp:extent cx="5381244" cy="9144"/>
                <wp:effectExtent l="0" t="0" r="0" b="0"/>
                <wp:docPr id="2458886" name="Group 2458886"/>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885" name="Shape 2458885"/>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86" style="width:423.72pt;height:0.719994pt;mso-position-horizontal-relative:char;mso-position-vertical-relative:line" coordsize="53812,91">
                <v:shape id="Shape 2458885" style="position:absolute;width:53812;height:91;left:0;top:0;" coordsize="5381244,9144" path="m0,4572l5381244,4572">
                  <v:stroke weight="0.719994pt" endcap="flat" joinstyle="miter" miterlimit="1" on="true" color="#000000"/>
                  <v:fill on="false" color="#000000"/>
                </v:shape>
              </v:group>
            </w:pict>
          </mc:Fallback>
        </mc:AlternateContent>
      </w:r>
    </w:p>
    <w:tbl>
      <w:tblPr>
        <w:tblStyle w:val="TableGrid"/>
        <w:tblW w:w="8424" w:type="dxa"/>
        <w:tblInd w:w="1649" w:type="dxa"/>
        <w:tblCellMar>
          <w:top w:w="4" w:type="dxa"/>
        </w:tblCellMar>
        <w:tblLook w:val="04A0" w:firstRow="1" w:lastRow="0" w:firstColumn="1" w:lastColumn="0" w:noHBand="0" w:noVBand="1"/>
      </w:tblPr>
      <w:tblGrid>
        <w:gridCol w:w="7595"/>
        <w:gridCol w:w="829"/>
      </w:tblGrid>
      <w:tr w:rsidR="00053D93" w14:paraId="1619BF99" w14:textId="77777777">
        <w:trPr>
          <w:trHeight w:val="1613"/>
        </w:trPr>
        <w:tc>
          <w:tcPr>
            <w:tcW w:w="7661" w:type="dxa"/>
            <w:tcBorders>
              <w:top w:val="nil"/>
              <w:left w:val="nil"/>
              <w:bottom w:val="nil"/>
              <w:right w:val="nil"/>
            </w:tcBorders>
          </w:tcPr>
          <w:p w14:paraId="1B228A4D" w14:textId="77777777" w:rsidR="00053D93" w:rsidRDefault="00260B75">
            <w:pPr>
              <w:tabs>
                <w:tab w:val="center" w:pos="5850"/>
              </w:tabs>
              <w:spacing w:after="40"/>
            </w:pPr>
            <w:r>
              <w:rPr>
                <w:sz w:val="18"/>
              </w:rPr>
              <w:t>JEFE DE REDES Y TELECOMUNICACIONES</w:t>
            </w:r>
            <w:r>
              <w:rPr>
                <w:sz w:val="18"/>
              </w:rPr>
              <w:tab/>
              <w:t>ANDRES ALEJANDRO UBEDA ROSALES</w:t>
            </w:r>
          </w:p>
          <w:p w14:paraId="172059E8" w14:textId="77777777" w:rsidR="00053D93" w:rsidRDefault="00260B75">
            <w:pPr>
              <w:tabs>
                <w:tab w:val="center" w:pos="5742"/>
              </w:tabs>
            </w:pPr>
            <w:r>
              <w:rPr>
                <w:sz w:val="16"/>
              </w:rPr>
              <w:t>JEFE DE DESARROLLO E INTEGRACION DE SOLUCIONES</w:t>
            </w:r>
            <w:r>
              <w:rPr>
                <w:sz w:val="16"/>
              </w:rPr>
              <w:tab/>
              <w:t>CARLOS ANTONIO GUZMAN COROY</w:t>
            </w:r>
          </w:p>
          <w:p w14:paraId="4F25DA05" w14:textId="77777777" w:rsidR="00053D93" w:rsidRDefault="00260B75">
            <w:r>
              <w:rPr>
                <w:sz w:val="18"/>
              </w:rPr>
              <w:t>JEFE EN FUNCIONES DE INFRAESTRUCTURA Y SERVICIOS CRITICOS BEISY GABRIELA GARCIA CORADO</w:t>
            </w:r>
          </w:p>
          <w:p w14:paraId="7A29C941" w14:textId="77777777" w:rsidR="00053D93" w:rsidRDefault="00260B75">
            <w:pPr>
              <w:tabs>
                <w:tab w:val="center" w:pos="5710"/>
              </w:tabs>
              <w:spacing w:after="43"/>
            </w:pPr>
            <w:r>
              <w:rPr>
                <w:sz w:val="18"/>
              </w:rPr>
              <w:t>ADMINISTRADOR DE BASE DE DATOS</w:t>
            </w:r>
            <w:r>
              <w:rPr>
                <w:sz w:val="18"/>
              </w:rPr>
              <w:tab/>
              <w:t>CARLOS AMILCAR TEZO PALENCIA</w:t>
            </w:r>
          </w:p>
          <w:p w14:paraId="301AC1D8" w14:textId="77777777" w:rsidR="00053D93" w:rsidRDefault="00260B75">
            <w:pPr>
              <w:tabs>
                <w:tab w:val="center" w:pos="5807"/>
              </w:tabs>
              <w:spacing w:after="17"/>
            </w:pPr>
            <w:r>
              <w:rPr>
                <w:sz w:val="16"/>
              </w:rPr>
              <w:t>ADMINISTRADOR DE SERVIDORES Y BACKUPS</w:t>
            </w:r>
            <w:r>
              <w:rPr>
                <w:sz w:val="16"/>
              </w:rPr>
              <w:tab/>
              <w:t>HUGO RONALDO REYES HERNANDEZ</w:t>
            </w:r>
          </w:p>
          <w:p w14:paraId="0D8B3F6F" w14:textId="77777777" w:rsidR="00053D93" w:rsidRDefault="00260B75">
            <w:pPr>
              <w:tabs>
                <w:tab w:val="center" w:pos="5616"/>
              </w:tabs>
              <w:spacing w:after="53"/>
            </w:pPr>
            <w:r>
              <w:rPr>
                <w:sz w:val="18"/>
              </w:rPr>
              <w:t>SUBDIRECTOR</w:t>
            </w:r>
            <w:r>
              <w:rPr>
                <w:sz w:val="18"/>
              </w:rPr>
              <w:tab/>
              <w:t>ABRAHAM RIVERA ROSEMBERG</w:t>
            </w:r>
          </w:p>
          <w:p w14:paraId="320D2F23" w14:textId="77777777" w:rsidR="00053D93" w:rsidRDefault="00260B75">
            <w:pPr>
              <w:tabs>
                <w:tab w:val="center" w:pos="5850"/>
              </w:tabs>
              <w:spacing w:after="14"/>
            </w:pPr>
            <w:r>
              <w:rPr>
                <w:sz w:val="16"/>
              </w:rPr>
              <w:t>DIRECTOR</w:t>
            </w:r>
            <w:r>
              <w:rPr>
                <w:sz w:val="16"/>
              </w:rPr>
              <w:tab/>
              <w:t>WALTER CAMILO VASQUEZ CALDERON</w:t>
            </w:r>
          </w:p>
          <w:p w14:paraId="3ED612D4" w14:textId="77777777" w:rsidR="00053D93" w:rsidRDefault="00260B75">
            <w:r>
              <w:rPr>
                <w:sz w:val="16"/>
              </w:rPr>
              <w:t>Total</w:t>
            </w:r>
          </w:p>
        </w:tc>
        <w:tc>
          <w:tcPr>
            <w:tcW w:w="763" w:type="dxa"/>
            <w:tcBorders>
              <w:top w:val="nil"/>
              <w:left w:val="nil"/>
              <w:bottom w:val="nil"/>
              <w:right w:val="nil"/>
            </w:tcBorders>
          </w:tcPr>
          <w:p w14:paraId="359D22F0" w14:textId="77777777" w:rsidR="00053D93" w:rsidRDefault="00260B75">
            <w:pPr>
              <w:spacing w:after="24"/>
              <w:jc w:val="right"/>
            </w:pPr>
            <w:r>
              <w:rPr>
                <w:sz w:val="14"/>
              </w:rPr>
              <w:t>6.267.00</w:t>
            </w:r>
          </w:p>
          <w:p w14:paraId="68521572" w14:textId="77777777" w:rsidR="00053D93" w:rsidRDefault="00260B75">
            <w:pPr>
              <w:ind w:left="180"/>
            </w:pPr>
            <w:r>
              <w:rPr>
                <w:sz w:val="16"/>
              </w:rPr>
              <w:t>10.949.00</w:t>
            </w:r>
          </w:p>
          <w:p w14:paraId="300DA276" w14:textId="77777777" w:rsidR="00053D93" w:rsidRDefault="00260B75">
            <w:pPr>
              <w:spacing w:after="24"/>
              <w:ind w:left="187"/>
            </w:pPr>
            <w:r>
              <w:rPr>
                <w:sz w:val="14"/>
              </w:rPr>
              <w:t>1 1.300.00</w:t>
            </w:r>
          </w:p>
          <w:p w14:paraId="161E5FDD" w14:textId="77777777" w:rsidR="00053D93" w:rsidRDefault="00260B75">
            <w:pPr>
              <w:spacing w:after="31"/>
              <w:ind w:left="187"/>
            </w:pPr>
            <w:r>
              <w:rPr>
                <w:sz w:val="14"/>
              </w:rPr>
              <w:t>1 1.300.00</w:t>
            </w:r>
          </w:p>
          <w:p w14:paraId="26505058" w14:textId="77777777" w:rsidR="00053D93" w:rsidRDefault="00260B75">
            <w:pPr>
              <w:spacing w:after="24"/>
              <w:ind w:left="187"/>
            </w:pPr>
            <w:r>
              <w:rPr>
                <w:sz w:val="14"/>
              </w:rPr>
              <w:t>1 1.300.00</w:t>
            </w:r>
          </w:p>
          <w:p w14:paraId="7226F624" w14:textId="77777777" w:rsidR="00053D93" w:rsidRDefault="00260B75">
            <w:pPr>
              <w:spacing w:after="24"/>
              <w:ind w:left="187"/>
            </w:pPr>
            <w:r>
              <w:rPr>
                <w:sz w:val="14"/>
              </w:rPr>
              <w:t>16.000.00</w:t>
            </w:r>
          </w:p>
          <w:p w14:paraId="5BBDA96E" w14:textId="77777777" w:rsidR="00053D93" w:rsidRDefault="00260B75">
            <w:pPr>
              <w:jc w:val="right"/>
            </w:pPr>
            <w:r>
              <w:rPr>
                <w:sz w:val="14"/>
              </w:rPr>
              <w:t>20.000.00 Q. 93,416.OO</w:t>
            </w:r>
          </w:p>
        </w:tc>
      </w:tr>
    </w:tbl>
    <w:p w14:paraId="74D813DD" w14:textId="77777777" w:rsidR="00053D93" w:rsidRDefault="00260B75">
      <w:pPr>
        <w:spacing w:after="277" w:line="251" w:lineRule="auto"/>
        <w:ind w:left="1658" w:hanging="3"/>
        <w:jc w:val="both"/>
      </w:pPr>
      <w:r>
        <w:rPr>
          <w:sz w:val="28"/>
        </w:rPr>
        <w:t>Hallazgo No. 2</w:t>
      </w:r>
    </w:p>
    <w:p w14:paraId="207F09D6" w14:textId="77777777" w:rsidR="00053D93" w:rsidRDefault="00260B75">
      <w:pPr>
        <w:spacing w:after="279" w:line="251" w:lineRule="auto"/>
        <w:ind w:left="1658" w:hanging="3"/>
        <w:jc w:val="both"/>
      </w:pPr>
      <w:r>
        <w:rPr>
          <w:sz w:val="28"/>
        </w:rPr>
        <w:t>Deficiente supervisión y seguimiento a las regularizaciones de los programas de apoyo en la base de datos del Sistema de Asignación y Dotación de Recursos -SDR-</w:t>
      </w:r>
    </w:p>
    <w:p w14:paraId="44A916A8" w14:textId="77777777" w:rsidR="00053D93" w:rsidRDefault="00260B75">
      <w:pPr>
        <w:spacing w:after="14" w:line="251" w:lineRule="auto"/>
        <w:ind w:left="1658" w:hanging="3"/>
        <w:jc w:val="both"/>
      </w:pPr>
      <w:r>
        <w:rPr>
          <w:sz w:val="28"/>
        </w:rPr>
        <w:t>Condición</w:t>
      </w:r>
    </w:p>
    <w:p w14:paraId="25D7028D" w14:textId="77777777" w:rsidR="00053D93" w:rsidRDefault="00260B75">
      <w:pPr>
        <w:spacing w:after="290" w:line="250" w:lineRule="auto"/>
        <w:ind w:left="1630" w:right="14" w:hanging="3"/>
        <w:jc w:val="both"/>
      </w:pPr>
      <w:r>
        <w:rPr>
          <w:noProof/>
        </w:rPr>
        <w:drawing>
          <wp:anchor distT="0" distB="0" distL="114300" distR="114300" simplePos="0" relativeHeight="252261376" behindDoc="0" locked="0" layoutInCell="1" allowOverlap="0" wp14:anchorId="3F492CA7" wp14:editId="7542DF5A">
            <wp:simplePos x="0" y="0"/>
            <wp:positionH relativeFrom="page">
              <wp:posOffset>662940</wp:posOffset>
            </wp:positionH>
            <wp:positionV relativeFrom="page">
              <wp:posOffset>9253728</wp:posOffset>
            </wp:positionV>
            <wp:extent cx="644652" cy="406908"/>
            <wp:effectExtent l="0" t="0" r="0" b="0"/>
            <wp:wrapTopAndBottom/>
            <wp:docPr id="1162086" name="Picture 1162086"/>
            <wp:cNvGraphicFramePr/>
            <a:graphic xmlns:a="http://schemas.openxmlformats.org/drawingml/2006/main">
              <a:graphicData uri="http://schemas.openxmlformats.org/drawingml/2006/picture">
                <pic:pic xmlns:pic="http://schemas.openxmlformats.org/drawingml/2006/picture">
                  <pic:nvPicPr>
                    <pic:cNvPr id="1162086" name="Picture 1162086"/>
                    <pic:cNvPicPr/>
                  </pic:nvPicPr>
                  <pic:blipFill>
                    <a:blip r:embed="rId1596"/>
                    <a:stretch>
                      <a:fillRect/>
                    </a:stretch>
                  </pic:blipFill>
                  <pic:spPr>
                    <a:xfrm>
                      <a:off x="0" y="0"/>
                      <a:ext cx="644652" cy="406908"/>
                    </a:xfrm>
                    <a:prstGeom prst="rect">
                      <a:avLst/>
                    </a:prstGeom>
                  </pic:spPr>
                </pic:pic>
              </a:graphicData>
            </a:graphic>
          </wp:anchor>
        </w:drawing>
      </w:r>
      <w:r>
        <w:rPr>
          <w:sz w:val="26"/>
        </w:rPr>
        <w:t>En el Ministerio de Educación, Unidad Ejecutora 123 Dirección General de Participación Comunitaria y Servicios de Apoyo -DIGEPSA-, Programas de Apoyo: Alimentación escolar, Dotación de útiles escolares, Dotación de materiales y recursos de la enseñanza (valija didáctica), Gratuidad de la educación y Mantenimiento de edificios escolares públicos, al evaluar la base de datos del Sistema de Asignación y Dotación de Recursos -SDR- y por medio de oficio DIGEPSA 384-2025 del 03 de marzo de 2025, del Subdirector de Seguimiento y Evaluación -DIGEPSA-, se determinó que hay varios programas de apoyo pendientes de registrar las regularizaciones/liquidaciones en la base de datos del Sistema de Asignación y Dotación de Recursos -SDR-, tal como se presenta en los cuadros siguientes:</w:t>
      </w:r>
    </w:p>
    <w:p w14:paraId="448994B1" w14:textId="77777777" w:rsidR="00053D93" w:rsidRDefault="00260B75">
      <w:pPr>
        <w:spacing w:after="0"/>
        <w:ind w:left="1616" w:hanging="10"/>
        <w:jc w:val="center"/>
      </w:pPr>
      <w:r>
        <w:rPr>
          <w:sz w:val="28"/>
        </w:rPr>
        <w:t>PROGRAMAS DE APOYO</w:t>
      </w:r>
    </w:p>
    <w:p w14:paraId="6D1A305A" w14:textId="77777777" w:rsidR="00053D93" w:rsidRDefault="00260B75">
      <w:pPr>
        <w:pStyle w:val="Ttulo2"/>
        <w:spacing w:after="0"/>
        <w:ind w:left="1807" w:right="0" w:firstLine="4"/>
      </w:pPr>
      <w:r>
        <w:rPr>
          <w:sz w:val="30"/>
        </w:rPr>
        <w:t>PENDIENTES DE REGISTRAR LAS REGULARIZACIONESILIQUIDACIONES</w:t>
      </w:r>
    </w:p>
    <w:p w14:paraId="20BDD5AC" w14:textId="77777777" w:rsidR="00053D93" w:rsidRDefault="00260B75">
      <w:pPr>
        <w:spacing w:after="0" w:line="216" w:lineRule="auto"/>
        <w:ind w:left="3059" w:right="1429" w:hanging="10"/>
        <w:jc w:val="center"/>
      </w:pPr>
      <w:r>
        <w:rPr>
          <w:sz w:val="30"/>
        </w:rPr>
        <w:t>EN LA BASE DE DATOS -SDRCORRESPONDIENTE DEL AÑO 2020 AL AÑO 2024</w:t>
      </w:r>
    </w:p>
    <w:p w14:paraId="2DBAED65" w14:textId="77777777" w:rsidR="00053D93" w:rsidRDefault="00260B75">
      <w:pPr>
        <w:spacing w:after="283"/>
        <w:ind w:left="1616" w:hanging="10"/>
        <w:jc w:val="center"/>
      </w:pPr>
      <w:r>
        <w:rPr>
          <w:sz w:val="28"/>
        </w:rPr>
        <w:t>(Cifras expresadas en quetzales)</w:t>
      </w:r>
    </w:p>
    <w:tbl>
      <w:tblPr>
        <w:tblStyle w:val="TableGrid"/>
        <w:tblW w:w="8429" w:type="dxa"/>
        <w:tblInd w:w="1670" w:type="dxa"/>
        <w:tblCellMar>
          <w:left w:w="22" w:type="dxa"/>
          <w:right w:w="79" w:type="dxa"/>
        </w:tblCellMar>
        <w:tblLook w:val="04A0" w:firstRow="1" w:lastRow="0" w:firstColumn="1" w:lastColumn="0" w:noHBand="0" w:noVBand="1"/>
      </w:tblPr>
      <w:tblGrid>
        <w:gridCol w:w="372"/>
        <w:gridCol w:w="312"/>
        <w:gridCol w:w="2489"/>
        <w:gridCol w:w="2530"/>
        <w:gridCol w:w="2726"/>
      </w:tblGrid>
      <w:tr w:rsidR="00053D93" w14:paraId="4F06DC1A" w14:textId="77777777">
        <w:trPr>
          <w:trHeight w:val="1105"/>
        </w:trPr>
        <w:tc>
          <w:tcPr>
            <w:tcW w:w="3172" w:type="dxa"/>
            <w:gridSpan w:val="3"/>
            <w:tcBorders>
              <w:top w:val="single" w:sz="2" w:space="0" w:color="000000"/>
              <w:left w:val="single" w:sz="2" w:space="0" w:color="000000"/>
              <w:bottom w:val="single" w:sz="2" w:space="0" w:color="000000"/>
              <w:right w:val="single" w:sz="2" w:space="0" w:color="000000"/>
            </w:tcBorders>
          </w:tcPr>
          <w:p w14:paraId="77320139" w14:textId="77777777" w:rsidR="00053D93" w:rsidRDefault="00260B75">
            <w:pPr>
              <w:spacing w:after="688"/>
              <w:ind w:right="33"/>
              <w:jc w:val="center"/>
            </w:pPr>
            <w:r>
              <w:t>PROGRAMA</w:t>
            </w:r>
          </w:p>
          <w:p w14:paraId="5465D720" w14:textId="77777777" w:rsidR="00053D93" w:rsidRDefault="00260B75">
            <w:r>
              <w:rPr>
                <w:sz w:val="20"/>
              </w:rPr>
              <w:t>ALIMENTACIÓN ESCOLAR</w:t>
            </w:r>
          </w:p>
        </w:tc>
        <w:tc>
          <w:tcPr>
            <w:tcW w:w="2530" w:type="dxa"/>
            <w:tcBorders>
              <w:top w:val="single" w:sz="2" w:space="0" w:color="000000"/>
              <w:left w:val="single" w:sz="2" w:space="0" w:color="000000"/>
              <w:bottom w:val="single" w:sz="2" w:space="0" w:color="000000"/>
              <w:right w:val="single" w:sz="2" w:space="0" w:color="000000"/>
            </w:tcBorders>
          </w:tcPr>
          <w:p w14:paraId="61FAC45C" w14:textId="77777777" w:rsidR="00053D93" w:rsidRDefault="00260B75">
            <w:pPr>
              <w:ind w:left="46"/>
              <w:jc w:val="center"/>
            </w:pPr>
            <w:r>
              <w:rPr>
                <w:sz w:val="20"/>
              </w:rPr>
              <w:t>NÚMERO DE</w:t>
            </w:r>
          </w:p>
          <w:p w14:paraId="6C4BE02D" w14:textId="77777777" w:rsidR="00053D93" w:rsidRDefault="00260B75">
            <w:pPr>
              <w:ind w:left="39"/>
              <w:jc w:val="center"/>
            </w:pPr>
            <w:r>
              <w:t>TRANSFERENCIAS</w:t>
            </w:r>
          </w:p>
          <w:p w14:paraId="35E4079F" w14:textId="77777777" w:rsidR="00053D93" w:rsidRDefault="00260B75">
            <w:pPr>
              <w:ind w:left="46"/>
              <w:jc w:val="center"/>
            </w:pPr>
            <w:r>
              <w:t>PENDIENTE DE</w:t>
            </w:r>
          </w:p>
          <w:p w14:paraId="0805408C" w14:textId="77777777" w:rsidR="00053D93" w:rsidRDefault="00260B75">
            <w:pPr>
              <w:ind w:left="46"/>
              <w:jc w:val="center"/>
            </w:pPr>
            <w:r>
              <w:t>REGULARIZAR</w:t>
            </w:r>
          </w:p>
        </w:tc>
        <w:tc>
          <w:tcPr>
            <w:tcW w:w="2726" w:type="dxa"/>
            <w:tcBorders>
              <w:top w:val="single" w:sz="2" w:space="0" w:color="000000"/>
              <w:left w:val="single" w:sz="2" w:space="0" w:color="000000"/>
              <w:bottom w:val="single" w:sz="2" w:space="0" w:color="000000"/>
              <w:right w:val="single" w:sz="2" w:space="0" w:color="000000"/>
            </w:tcBorders>
          </w:tcPr>
          <w:p w14:paraId="4C89EFE8" w14:textId="77777777" w:rsidR="00053D93" w:rsidRDefault="00260B75">
            <w:pPr>
              <w:ind w:left="72"/>
            </w:pPr>
            <w:r>
              <w:t>MONTO DE TRANSFERENCIAS</w:t>
            </w:r>
          </w:p>
          <w:p w14:paraId="62C58832" w14:textId="77777777" w:rsidR="00053D93" w:rsidRDefault="00260B75">
            <w:pPr>
              <w:jc w:val="center"/>
            </w:pPr>
            <w:r>
              <w:t>PENDIENTE DE REGULARIZAR EN Q.</w:t>
            </w:r>
          </w:p>
        </w:tc>
      </w:tr>
      <w:tr w:rsidR="00053D93" w14:paraId="2A52F1E4" w14:textId="77777777">
        <w:trPr>
          <w:trHeight w:val="288"/>
        </w:trPr>
        <w:tc>
          <w:tcPr>
            <w:tcW w:w="3172" w:type="dxa"/>
            <w:gridSpan w:val="3"/>
            <w:tcBorders>
              <w:top w:val="single" w:sz="2" w:space="0" w:color="000000"/>
              <w:left w:val="single" w:sz="2" w:space="0" w:color="000000"/>
              <w:bottom w:val="single" w:sz="2" w:space="0" w:color="000000"/>
              <w:right w:val="single" w:sz="2" w:space="0" w:color="000000"/>
            </w:tcBorders>
            <w:vAlign w:val="bottom"/>
          </w:tcPr>
          <w:p w14:paraId="5536A789" w14:textId="77777777" w:rsidR="00053D93" w:rsidRDefault="00260B75">
            <w:pPr>
              <w:ind w:left="14"/>
            </w:pPr>
            <w:r>
              <w:t>GRATUIDAD DE LA EDUCACIÓN</w:t>
            </w:r>
          </w:p>
        </w:tc>
        <w:tc>
          <w:tcPr>
            <w:tcW w:w="2530" w:type="dxa"/>
            <w:tcBorders>
              <w:top w:val="single" w:sz="2" w:space="0" w:color="000000"/>
              <w:left w:val="single" w:sz="2" w:space="0" w:color="000000"/>
              <w:bottom w:val="single" w:sz="2" w:space="0" w:color="000000"/>
              <w:right w:val="single" w:sz="2" w:space="0" w:color="000000"/>
            </w:tcBorders>
          </w:tcPr>
          <w:p w14:paraId="2CC627A9" w14:textId="77777777" w:rsidR="00053D93" w:rsidRDefault="00260B75">
            <w:pPr>
              <w:ind w:right="7"/>
              <w:jc w:val="right"/>
            </w:pPr>
            <w:r>
              <w:rPr>
                <w:sz w:val="20"/>
              </w:rPr>
              <w:t>179,126</w:t>
            </w:r>
          </w:p>
        </w:tc>
        <w:tc>
          <w:tcPr>
            <w:tcW w:w="2726" w:type="dxa"/>
            <w:tcBorders>
              <w:top w:val="single" w:sz="2" w:space="0" w:color="000000"/>
              <w:left w:val="single" w:sz="2" w:space="0" w:color="000000"/>
              <w:bottom w:val="single" w:sz="2" w:space="0" w:color="000000"/>
              <w:right w:val="single" w:sz="2" w:space="0" w:color="000000"/>
            </w:tcBorders>
          </w:tcPr>
          <w:p w14:paraId="48EC3FA8" w14:textId="77777777" w:rsidR="00053D93" w:rsidRDefault="00053D93"/>
        </w:tc>
      </w:tr>
      <w:tr w:rsidR="00053D93" w14:paraId="62B7FB3D" w14:textId="77777777">
        <w:trPr>
          <w:trHeight w:val="533"/>
        </w:trPr>
        <w:tc>
          <w:tcPr>
            <w:tcW w:w="3172" w:type="dxa"/>
            <w:gridSpan w:val="3"/>
            <w:tcBorders>
              <w:top w:val="single" w:sz="2" w:space="0" w:color="000000"/>
              <w:left w:val="single" w:sz="2" w:space="0" w:color="000000"/>
              <w:bottom w:val="single" w:sz="2" w:space="0" w:color="000000"/>
              <w:right w:val="single" w:sz="2" w:space="0" w:color="000000"/>
            </w:tcBorders>
            <w:vAlign w:val="bottom"/>
          </w:tcPr>
          <w:p w14:paraId="4B1673D8" w14:textId="77777777" w:rsidR="00053D93" w:rsidRDefault="00260B75">
            <w:pPr>
              <w:ind w:left="14"/>
              <w:jc w:val="both"/>
            </w:pPr>
            <w:r>
              <w:t>MANTENIMIENTO DE EDIFICIOS ESCOLARES PÚBLICOS</w:t>
            </w:r>
          </w:p>
        </w:tc>
        <w:tc>
          <w:tcPr>
            <w:tcW w:w="2530" w:type="dxa"/>
            <w:tcBorders>
              <w:top w:val="single" w:sz="2" w:space="0" w:color="000000"/>
              <w:left w:val="single" w:sz="2" w:space="0" w:color="000000"/>
              <w:bottom w:val="single" w:sz="2" w:space="0" w:color="000000"/>
              <w:right w:val="single" w:sz="2" w:space="0" w:color="000000"/>
            </w:tcBorders>
            <w:vAlign w:val="bottom"/>
          </w:tcPr>
          <w:p w14:paraId="37671244" w14:textId="77777777" w:rsidR="00053D93" w:rsidRDefault="00260B75">
            <w:pPr>
              <w:ind w:right="7"/>
              <w:jc w:val="right"/>
            </w:pPr>
            <w:r>
              <w:rPr>
                <w:sz w:val="20"/>
              </w:rPr>
              <w:t>1 ,484</w:t>
            </w:r>
          </w:p>
        </w:tc>
        <w:tc>
          <w:tcPr>
            <w:tcW w:w="2726" w:type="dxa"/>
            <w:tcBorders>
              <w:top w:val="single" w:sz="2" w:space="0" w:color="000000"/>
              <w:left w:val="single" w:sz="2" w:space="0" w:color="000000"/>
              <w:bottom w:val="single" w:sz="2" w:space="0" w:color="000000"/>
              <w:right w:val="single" w:sz="2" w:space="0" w:color="000000"/>
            </w:tcBorders>
          </w:tcPr>
          <w:p w14:paraId="08348AA8" w14:textId="77777777" w:rsidR="00053D93" w:rsidRDefault="00053D93"/>
        </w:tc>
      </w:tr>
      <w:tr w:rsidR="00053D93" w14:paraId="2B2A6595" w14:textId="77777777">
        <w:trPr>
          <w:trHeight w:val="709"/>
        </w:trPr>
        <w:tc>
          <w:tcPr>
            <w:tcW w:w="3172" w:type="dxa"/>
            <w:gridSpan w:val="3"/>
            <w:tcBorders>
              <w:top w:val="single" w:sz="2" w:space="0" w:color="000000"/>
              <w:left w:val="single" w:sz="2" w:space="0" w:color="000000"/>
              <w:bottom w:val="single" w:sz="2" w:space="0" w:color="000000"/>
              <w:right w:val="single" w:sz="2" w:space="0" w:color="000000"/>
            </w:tcBorders>
            <w:vAlign w:val="bottom"/>
          </w:tcPr>
          <w:p w14:paraId="472E3371" w14:textId="77777777" w:rsidR="00053D93" w:rsidRDefault="00260B75">
            <w:pPr>
              <w:spacing w:line="216" w:lineRule="auto"/>
              <w:ind w:left="14"/>
              <w:jc w:val="both"/>
            </w:pPr>
            <w:r>
              <w:t>MANTENIMIENTO DE EDIFICIOS ESCOLARES PÚBLICOS ESTADO DE</w:t>
            </w:r>
          </w:p>
          <w:p w14:paraId="52785F8D" w14:textId="77777777" w:rsidR="00053D93" w:rsidRDefault="00260B75">
            <w:pPr>
              <w:ind w:left="14"/>
            </w:pPr>
            <w:r>
              <w:rPr>
                <w:sz w:val="20"/>
              </w:rPr>
              <w:t>CALAMIDAD</w:t>
            </w:r>
          </w:p>
        </w:tc>
        <w:tc>
          <w:tcPr>
            <w:tcW w:w="2530" w:type="dxa"/>
            <w:tcBorders>
              <w:top w:val="single" w:sz="2" w:space="0" w:color="000000"/>
              <w:left w:val="single" w:sz="2" w:space="0" w:color="000000"/>
              <w:bottom w:val="single" w:sz="2" w:space="0" w:color="000000"/>
              <w:right w:val="single" w:sz="2" w:space="0" w:color="000000"/>
            </w:tcBorders>
            <w:vAlign w:val="bottom"/>
          </w:tcPr>
          <w:p w14:paraId="6EF67478" w14:textId="77777777" w:rsidR="00053D93" w:rsidRDefault="00260B75">
            <w:pPr>
              <w:jc w:val="right"/>
            </w:pPr>
            <w:r>
              <w:rPr>
                <w:sz w:val="20"/>
              </w:rPr>
              <w:t>80</w:t>
            </w:r>
          </w:p>
        </w:tc>
        <w:tc>
          <w:tcPr>
            <w:tcW w:w="2726" w:type="dxa"/>
            <w:tcBorders>
              <w:top w:val="single" w:sz="2" w:space="0" w:color="000000"/>
              <w:left w:val="single" w:sz="2" w:space="0" w:color="000000"/>
              <w:bottom w:val="single" w:sz="2" w:space="0" w:color="000000"/>
              <w:right w:val="single" w:sz="2" w:space="0" w:color="000000"/>
            </w:tcBorders>
          </w:tcPr>
          <w:p w14:paraId="7FDF0E09" w14:textId="77777777" w:rsidR="00053D93" w:rsidRDefault="00053D93"/>
        </w:tc>
      </w:tr>
      <w:tr w:rsidR="00053D93" w14:paraId="2CA65BBF" w14:textId="77777777">
        <w:trPr>
          <w:trHeight w:val="552"/>
        </w:trPr>
        <w:tc>
          <w:tcPr>
            <w:tcW w:w="3172" w:type="dxa"/>
            <w:gridSpan w:val="3"/>
            <w:tcBorders>
              <w:top w:val="single" w:sz="2" w:space="0" w:color="000000"/>
              <w:left w:val="single" w:sz="2" w:space="0" w:color="000000"/>
              <w:bottom w:val="nil"/>
              <w:right w:val="single" w:sz="2" w:space="0" w:color="000000"/>
            </w:tcBorders>
          </w:tcPr>
          <w:p w14:paraId="1487D7C7" w14:textId="77777777" w:rsidR="00053D93" w:rsidRDefault="00260B75">
            <w:pPr>
              <w:tabs>
                <w:tab w:val="right" w:pos="3072"/>
              </w:tabs>
            </w:pPr>
            <w:r>
              <w:t>MANTENIMIENTO</w:t>
            </w:r>
            <w:r>
              <w:tab/>
              <w:t>EDIFICIOS</w:t>
            </w:r>
          </w:p>
          <w:p w14:paraId="3A6DAE2E" w14:textId="77777777" w:rsidR="00053D93" w:rsidRDefault="00260B75">
            <w:pPr>
              <w:ind w:left="14"/>
              <w:jc w:val="both"/>
            </w:pPr>
            <w:r>
              <w:t>ESCOLARES PÚBLICOS OPERACIÓN</w:t>
            </w:r>
          </w:p>
        </w:tc>
        <w:tc>
          <w:tcPr>
            <w:tcW w:w="2530" w:type="dxa"/>
            <w:tcBorders>
              <w:top w:val="single" w:sz="2" w:space="0" w:color="000000"/>
              <w:left w:val="single" w:sz="2" w:space="0" w:color="000000"/>
              <w:bottom w:val="single" w:sz="2" w:space="0" w:color="000000"/>
              <w:right w:val="single" w:sz="2" w:space="0" w:color="000000"/>
            </w:tcBorders>
          </w:tcPr>
          <w:p w14:paraId="1CC00017" w14:textId="77777777" w:rsidR="00053D93" w:rsidRDefault="00260B75">
            <w:pPr>
              <w:ind w:right="7"/>
              <w:jc w:val="right"/>
            </w:pPr>
            <w:r>
              <w:rPr>
                <w:sz w:val="20"/>
              </w:rPr>
              <w:t>312</w:t>
            </w:r>
          </w:p>
        </w:tc>
        <w:tc>
          <w:tcPr>
            <w:tcW w:w="2726" w:type="dxa"/>
            <w:tcBorders>
              <w:top w:val="single" w:sz="2" w:space="0" w:color="000000"/>
              <w:left w:val="single" w:sz="2" w:space="0" w:color="000000"/>
              <w:bottom w:val="single" w:sz="2" w:space="0" w:color="000000"/>
              <w:right w:val="single" w:sz="2" w:space="0" w:color="000000"/>
            </w:tcBorders>
          </w:tcPr>
          <w:p w14:paraId="0CD042FB" w14:textId="77777777" w:rsidR="00053D93" w:rsidRDefault="00260B75">
            <w:pPr>
              <w:tabs>
                <w:tab w:val="center" w:pos="1073"/>
                <w:tab w:val="right" w:pos="2625"/>
              </w:tabs>
            </w:pPr>
            <w:r>
              <w:rPr>
                <w:sz w:val="18"/>
              </w:rPr>
              <w:tab/>
              <w:t>Q</w:t>
            </w:r>
            <w:r>
              <w:rPr>
                <w:sz w:val="18"/>
              </w:rPr>
              <w:tab/>
              <w:t>2215481022.00</w:t>
            </w:r>
          </w:p>
        </w:tc>
      </w:tr>
      <w:tr w:rsidR="00053D93" w14:paraId="3901C5F7" w14:textId="77777777">
        <w:trPr>
          <w:trHeight w:val="593"/>
        </w:trPr>
        <w:tc>
          <w:tcPr>
            <w:tcW w:w="371" w:type="dxa"/>
            <w:tcBorders>
              <w:top w:val="nil"/>
              <w:left w:val="single" w:sz="2" w:space="0" w:color="000000"/>
              <w:bottom w:val="nil"/>
              <w:right w:val="single" w:sz="2" w:space="0" w:color="000000"/>
            </w:tcBorders>
          </w:tcPr>
          <w:p w14:paraId="051A6996" w14:textId="77777777" w:rsidR="00053D93" w:rsidRDefault="00260B75">
            <w:pPr>
              <w:ind w:left="94"/>
            </w:pPr>
            <w:r>
              <w:rPr>
                <w:noProof/>
              </w:rPr>
              <w:drawing>
                <wp:inline distT="0" distB="0" distL="0" distR="0" wp14:anchorId="217F73FC" wp14:editId="319160CA">
                  <wp:extent cx="64008" cy="164592"/>
                  <wp:effectExtent l="0" t="0" r="0" b="0"/>
                  <wp:docPr id="2458883" name="Picture 2458883"/>
                  <wp:cNvGraphicFramePr/>
                  <a:graphic xmlns:a="http://schemas.openxmlformats.org/drawingml/2006/main">
                    <a:graphicData uri="http://schemas.openxmlformats.org/drawingml/2006/picture">
                      <pic:pic xmlns:pic="http://schemas.openxmlformats.org/drawingml/2006/picture">
                        <pic:nvPicPr>
                          <pic:cNvPr id="2458883" name="Picture 2458883"/>
                          <pic:cNvPicPr/>
                        </pic:nvPicPr>
                        <pic:blipFill>
                          <a:blip r:embed="rId1597"/>
                          <a:stretch>
                            <a:fillRect/>
                          </a:stretch>
                        </pic:blipFill>
                        <pic:spPr>
                          <a:xfrm>
                            <a:off x="0" y="0"/>
                            <a:ext cx="64008" cy="164592"/>
                          </a:xfrm>
                          <a:prstGeom prst="rect">
                            <a:avLst/>
                          </a:prstGeom>
                        </pic:spPr>
                      </pic:pic>
                    </a:graphicData>
                  </a:graphic>
                </wp:inline>
              </w:drawing>
            </w:r>
          </w:p>
        </w:tc>
        <w:tc>
          <w:tcPr>
            <w:tcW w:w="312" w:type="dxa"/>
            <w:tcBorders>
              <w:top w:val="nil"/>
              <w:left w:val="single" w:sz="2" w:space="0" w:color="000000"/>
              <w:bottom w:val="nil"/>
              <w:right w:val="single" w:sz="2" w:space="0" w:color="000000"/>
            </w:tcBorders>
          </w:tcPr>
          <w:p w14:paraId="61513FA2" w14:textId="77777777" w:rsidR="00053D93" w:rsidRDefault="00053D93"/>
        </w:tc>
        <w:tc>
          <w:tcPr>
            <w:tcW w:w="7745" w:type="dxa"/>
            <w:gridSpan w:val="3"/>
            <w:tcBorders>
              <w:top w:val="single" w:sz="2" w:space="0" w:color="000000"/>
              <w:left w:val="single" w:sz="2" w:space="0" w:color="000000"/>
              <w:bottom w:val="nil"/>
              <w:right w:val="nil"/>
            </w:tcBorders>
          </w:tcPr>
          <w:p w14:paraId="05032723" w14:textId="77777777" w:rsidR="00053D93" w:rsidRDefault="00260B75">
            <w:pPr>
              <w:ind w:right="702"/>
              <w:jc w:val="center"/>
            </w:pPr>
            <w:r>
              <w:rPr>
                <w:sz w:val="14"/>
              </w:rPr>
              <w:t>MINISTERIO DE EDUCACION</w:t>
            </w:r>
          </w:p>
          <w:p w14:paraId="650111CD" w14:textId="77777777" w:rsidR="00053D93" w:rsidRDefault="00260B75">
            <w:pPr>
              <w:ind w:left="2190"/>
            </w:pPr>
            <w:r>
              <w:rPr>
                <w:sz w:val="14"/>
              </w:rPr>
              <w:t>AUDITORIA FINANCIERA Y DE CUMPLIMIENTO</w:t>
            </w:r>
          </w:p>
          <w:p w14:paraId="7514C621" w14:textId="77777777" w:rsidR="00053D93" w:rsidRDefault="00260B75">
            <w:pPr>
              <w:ind w:left="1859"/>
            </w:pPr>
            <w:r>
              <w:rPr>
                <w:sz w:val="14"/>
              </w:rPr>
              <w:t>PERIODO DEL 01 DE ENERO AL 31 DE DICIEMBRE DE 2024</w:t>
            </w:r>
          </w:p>
        </w:tc>
      </w:tr>
    </w:tbl>
    <w:p w14:paraId="141476D1" w14:textId="77777777" w:rsidR="00053D93" w:rsidRDefault="00260B75">
      <w:pPr>
        <w:spacing w:after="133" w:line="266" w:lineRule="auto"/>
        <w:ind w:left="3063" w:hanging="10"/>
        <w:jc w:val="both"/>
      </w:pPr>
      <w:r>
        <w:rPr>
          <w:sz w:val="16"/>
        </w:rPr>
        <w:t xml:space="preserve">DE </w:t>
      </w:r>
    </w:p>
    <w:tbl>
      <w:tblPr>
        <w:tblStyle w:val="TableGrid"/>
        <w:tblW w:w="8460" w:type="dxa"/>
        <w:tblInd w:w="1624" w:type="dxa"/>
        <w:tblCellMar>
          <w:left w:w="75" w:type="dxa"/>
          <w:right w:w="84" w:type="dxa"/>
        </w:tblCellMar>
        <w:tblLook w:val="04A0" w:firstRow="1" w:lastRow="0" w:firstColumn="1" w:lastColumn="0" w:noHBand="0" w:noVBand="1"/>
      </w:tblPr>
      <w:tblGrid>
        <w:gridCol w:w="3211"/>
        <w:gridCol w:w="2527"/>
        <w:gridCol w:w="2722"/>
      </w:tblGrid>
      <w:tr w:rsidR="00053D93" w14:paraId="61DEBC5A" w14:textId="77777777">
        <w:trPr>
          <w:trHeight w:val="335"/>
        </w:trPr>
        <w:tc>
          <w:tcPr>
            <w:tcW w:w="3211" w:type="dxa"/>
            <w:tcBorders>
              <w:top w:val="single" w:sz="2" w:space="0" w:color="000000"/>
              <w:left w:val="single" w:sz="2" w:space="0" w:color="000000"/>
              <w:bottom w:val="single" w:sz="2" w:space="0" w:color="000000"/>
              <w:right w:val="single" w:sz="2" w:space="0" w:color="000000"/>
            </w:tcBorders>
          </w:tcPr>
          <w:p w14:paraId="701EDA7C" w14:textId="77777777" w:rsidR="00053D93" w:rsidRDefault="00260B75">
            <w:pPr>
              <w:ind w:left="7"/>
            </w:pPr>
            <w:r>
              <w:t>ESCUELA</w:t>
            </w:r>
          </w:p>
        </w:tc>
        <w:tc>
          <w:tcPr>
            <w:tcW w:w="2527" w:type="dxa"/>
            <w:tcBorders>
              <w:top w:val="single" w:sz="2" w:space="0" w:color="000000"/>
              <w:left w:val="single" w:sz="2" w:space="0" w:color="000000"/>
              <w:bottom w:val="single" w:sz="2" w:space="0" w:color="000000"/>
              <w:right w:val="single" w:sz="2" w:space="0" w:color="000000"/>
            </w:tcBorders>
          </w:tcPr>
          <w:p w14:paraId="6AB0A77A" w14:textId="77777777" w:rsidR="00053D93" w:rsidRDefault="00053D93"/>
        </w:tc>
        <w:tc>
          <w:tcPr>
            <w:tcW w:w="2722" w:type="dxa"/>
            <w:tcBorders>
              <w:top w:val="single" w:sz="2" w:space="0" w:color="000000"/>
              <w:left w:val="single" w:sz="2" w:space="0" w:color="000000"/>
              <w:bottom w:val="single" w:sz="2" w:space="0" w:color="000000"/>
              <w:right w:val="single" w:sz="2" w:space="0" w:color="000000"/>
            </w:tcBorders>
          </w:tcPr>
          <w:p w14:paraId="1615EAD5" w14:textId="77777777" w:rsidR="00053D93" w:rsidRDefault="00053D93"/>
        </w:tc>
      </w:tr>
      <w:tr w:rsidR="00053D93" w14:paraId="140F9036" w14:textId="77777777">
        <w:trPr>
          <w:trHeight w:val="532"/>
        </w:trPr>
        <w:tc>
          <w:tcPr>
            <w:tcW w:w="3211" w:type="dxa"/>
            <w:tcBorders>
              <w:top w:val="single" w:sz="2" w:space="0" w:color="000000"/>
              <w:left w:val="single" w:sz="2" w:space="0" w:color="000000"/>
              <w:bottom w:val="single" w:sz="2" w:space="0" w:color="000000"/>
              <w:right w:val="single" w:sz="2" w:space="0" w:color="000000"/>
            </w:tcBorders>
          </w:tcPr>
          <w:p w14:paraId="38ECB3C5" w14:textId="77777777" w:rsidR="00053D93" w:rsidRDefault="00260B75">
            <w:pPr>
              <w:ind w:left="7"/>
              <w:jc w:val="both"/>
            </w:pPr>
            <w:r>
              <w:t>MATERIALES Y RECURSOS DE</w:t>
            </w:r>
          </w:p>
          <w:p w14:paraId="6BB955B2" w14:textId="77777777" w:rsidR="00053D93" w:rsidRDefault="00260B75">
            <w:pPr>
              <w:ind w:left="7"/>
            </w:pPr>
            <w:r>
              <w:t>ENSEÑANZA (VALIJA DIDÁCTICA)</w:t>
            </w:r>
          </w:p>
          <w:p w14:paraId="4019724B" w14:textId="77777777" w:rsidR="00053D93" w:rsidRDefault="00260B75">
            <w:pPr>
              <w:ind w:left="7"/>
            </w:pPr>
            <w:r>
              <w:t>ÚTILES ESCOLARES</w:t>
            </w:r>
          </w:p>
        </w:tc>
        <w:tc>
          <w:tcPr>
            <w:tcW w:w="2527" w:type="dxa"/>
            <w:tcBorders>
              <w:top w:val="single" w:sz="2" w:space="0" w:color="000000"/>
              <w:left w:val="single" w:sz="2" w:space="0" w:color="000000"/>
              <w:bottom w:val="single" w:sz="2" w:space="0" w:color="000000"/>
              <w:right w:val="single" w:sz="2" w:space="0" w:color="000000"/>
            </w:tcBorders>
          </w:tcPr>
          <w:p w14:paraId="2B427EFD" w14:textId="77777777" w:rsidR="00053D93" w:rsidRDefault="00260B75">
            <w:pPr>
              <w:jc w:val="right"/>
            </w:pPr>
            <w:r>
              <w:rPr>
                <w:sz w:val="20"/>
              </w:rPr>
              <w:t>39,248</w:t>
            </w:r>
          </w:p>
        </w:tc>
        <w:tc>
          <w:tcPr>
            <w:tcW w:w="2722" w:type="dxa"/>
            <w:tcBorders>
              <w:top w:val="single" w:sz="2" w:space="0" w:color="000000"/>
              <w:left w:val="single" w:sz="2" w:space="0" w:color="000000"/>
              <w:bottom w:val="single" w:sz="2" w:space="0" w:color="000000"/>
              <w:right w:val="single" w:sz="2" w:space="0" w:color="000000"/>
            </w:tcBorders>
          </w:tcPr>
          <w:p w14:paraId="310E7E49" w14:textId="77777777" w:rsidR="00053D93" w:rsidRDefault="00053D93"/>
        </w:tc>
      </w:tr>
      <w:tr w:rsidR="00053D93" w14:paraId="105C7F13" w14:textId="77777777">
        <w:trPr>
          <w:trHeight w:val="289"/>
        </w:trPr>
        <w:tc>
          <w:tcPr>
            <w:tcW w:w="3211" w:type="dxa"/>
            <w:tcBorders>
              <w:top w:val="single" w:sz="2" w:space="0" w:color="000000"/>
              <w:left w:val="single" w:sz="2" w:space="0" w:color="000000"/>
              <w:bottom w:val="single" w:sz="2" w:space="0" w:color="000000"/>
              <w:right w:val="single" w:sz="2" w:space="0" w:color="000000"/>
            </w:tcBorders>
            <w:vAlign w:val="bottom"/>
          </w:tcPr>
          <w:p w14:paraId="341C2B5A" w14:textId="77777777" w:rsidR="00053D93" w:rsidRDefault="00260B75">
            <w:r>
              <w:t>TOTAL</w:t>
            </w:r>
          </w:p>
        </w:tc>
        <w:tc>
          <w:tcPr>
            <w:tcW w:w="2527" w:type="dxa"/>
            <w:tcBorders>
              <w:top w:val="single" w:sz="2" w:space="0" w:color="000000"/>
              <w:left w:val="single" w:sz="2" w:space="0" w:color="000000"/>
              <w:bottom w:val="single" w:sz="2" w:space="0" w:color="000000"/>
              <w:right w:val="single" w:sz="2" w:space="0" w:color="000000"/>
            </w:tcBorders>
          </w:tcPr>
          <w:p w14:paraId="37B7FD54" w14:textId="77777777" w:rsidR="00053D93" w:rsidRDefault="00260B75">
            <w:pPr>
              <w:jc w:val="right"/>
            </w:pPr>
            <w:r>
              <w:rPr>
                <w:sz w:val="20"/>
              </w:rPr>
              <w:t>36,552</w:t>
            </w:r>
          </w:p>
        </w:tc>
        <w:tc>
          <w:tcPr>
            <w:tcW w:w="2722" w:type="dxa"/>
            <w:tcBorders>
              <w:top w:val="single" w:sz="2" w:space="0" w:color="000000"/>
              <w:left w:val="single" w:sz="2" w:space="0" w:color="000000"/>
              <w:bottom w:val="single" w:sz="2" w:space="0" w:color="000000"/>
              <w:right w:val="single" w:sz="2" w:space="0" w:color="000000"/>
            </w:tcBorders>
          </w:tcPr>
          <w:p w14:paraId="287E4CFE" w14:textId="77777777" w:rsidR="00053D93" w:rsidRDefault="00053D93"/>
        </w:tc>
      </w:tr>
    </w:tbl>
    <w:p w14:paraId="4783A45D" w14:textId="77777777" w:rsidR="00053D93" w:rsidRDefault="00260B75">
      <w:pPr>
        <w:spacing w:after="37"/>
        <w:ind w:left="3852"/>
        <w:jc w:val="center"/>
      </w:pPr>
      <w:r>
        <w:rPr>
          <w:sz w:val="20"/>
        </w:rPr>
        <w:t>316,990</w:t>
      </w:r>
    </w:p>
    <w:p w14:paraId="204560EC" w14:textId="77777777" w:rsidR="00053D93" w:rsidRDefault="00260B75">
      <w:pPr>
        <w:spacing w:after="329" w:line="388" w:lineRule="auto"/>
        <w:ind w:left="1637" w:hanging="10"/>
      </w:pPr>
      <w:r>
        <w:rPr>
          <w:sz w:val="14"/>
        </w:rPr>
        <w:t>Fuente: Sistema de Asignactón y Dotación de Recursos -SDR- y por medio de oficio DIGEPSA 384-2025 del Subdirector de Seguimiento y Evaluación .DtGEPSA-.</w:t>
      </w:r>
    </w:p>
    <w:p w14:paraId="20A40F1C" w14:textId="77777777" w:rsidR="00053D93" w:rsidRDefault="00260B75">
      <w:pPr>
        <w:spacing w:after="262" w:line="250" w:lineRule="auto"/>
        <w:ind w:left="1630" w:right="14" w:hanging="3"/>
        <w:jc w:val="both"/>
      </w:pPr>
      <w:r>
        <w:rPr>
          <w:noProof/>
        </w:rPr>
        <w:drawing>
          <wp:anchor distT="0" distB="0" distL="114300" distR="114300" simplePos="0" relativeHeight="252262400" behindDoc="0" locked="0" layoutInCell="1" allowOverlap="0" wp14:anchorId="313B01D8" wp14:editId="3FC29ADA">
            <wp:simplePos x="0" y="0"/>
            <wp:positionH relativeFrom="page">
              <wp:posOffset>662940</wp:posOffset>
            </wp:positionH>
            <wp:positionV relativeFrom="page">
              <wp:posOffset>9244584</wp:posOffset>
            </wp:positionV>
            <wp:extent cx="704088" cy="406908"/>
            <wp:effectExtent l="0" t="0" r="0" b="0"/>
            <wp:wrapTopAndBottom/>
            <wp:docPr id="1167088" name="Picture 1167088"/>
            <wp:cNvGraphicFramePr/>
            <a:graphic xmlns:a="http://schemas.openxmlformats.org/drawingml/2006/main">
              <a:graphicData uri="http://schemas.openxmlformats.org/drawingml/2006/picture">
                <pic:pic xmlns:pic="http://schemas.openxmlformats.org/drawingml/2006/picture">
                  <pic:nvPicPr>
                    <pic:cNvPr id="1167088" name="Picture 1167088"/>
                    <pic:cNvPicPr/>
                  </pic:nvPicPr>
                  <pic:blipFill>
                    <a:blip r:embed="rId1598"/>
                    <a:stretch>
                      <a:fillRect/>
                    </a:stretch>
                  </pic:blipFill>
                  <pic:spPr>
                    <a:xfrm>
                      <a:off x="0" y="0"/>
                      <a:ext cx="704088" cy="406908"/>
                    </a:xfrm>
                    <a:prstGeom prst="rect">
                      <a:avLst/>
                    </a:prstGeom>
                  </pic:spPr>
                </pic:pic>
              </a:graphicData>
            </a:graphic>
          </wp:anchor>
        </w:drawing>
      </w:r>
      <w:r>
        <w:rPr>
          <w:sz w:val="26"/>
        </w:rPr>
        <w:t>Del año 2020 al año 2024, se tienen 316,990 transferencias de recursos económicos entregados a las Organizaciones de Padres de Familia para la ejecución de los programas de apoyo de Alimentación escolar, Dotación de útiles escolares, Dotación de materiales y recursos de la enseñanza (valija didáctica), Gratuidad de la educación y Mantenimiento de edificios escolares públicos pendientes de registrar en la base de datos del Sistema de Asignación y Dotación de Recursos -SDR- las regularizaciones/[iquidaciones para un monto de dos mil quinientos setenta y ocho millones ochocientos noventa y ocho mil novecientos ochenta y seis con 93/1 OO</w:t>
      </w:r>
      <w:r>
        <w:rPr>
          <w:noProof/>
        </w:rPr>
        <w:drawing>
          <wp:inline distT="0" distB="0" distL="0" distR="0" wp14:anchorId="27BB7FCE" wp14:editId="5F22B6CF">
            <wp:extent cx="1357884" cy="141732"/>
            <wp:effectExtent l="0" t="0" r="0" b="0"/>
            <wp:docPr id="2458888" name="Picture 2458888"/>
            <wp:cNvGraphicFramePr/>
            <a:graphic xmlns:a="http://schemas.openxmlformats.org/drawingml/2006/main">
              <a:graphicData uri="http://schemas.openxmlformats.org/drawingml/2006/picture">
                <pic:pic xmlns:pic="http://schemas.openxmlformats.org/drawingml/2006/picture">
                  <pic:nvPicPr>
                    <pic:cNvPr id="2458888" name="Picture 2458888"/>
                    <pic:cNvPicPr/>
                  </pic:nvPicPr>
                  <pic:blipFill>
                    <a:blip r:embed="rId1599"/>
                    <a:stretch>
                      <a:fillRect/>
                    </a:stretch>
                  </pic:blipFill>
                  <pic:spPr>
                    <a:xfrm>
                      <a:off x="0" y="0"/>
                      <a:ext cx="1357884" cy="141732"/>
                    </a:xfrm>
                    <a:prstGeom prst="rect">
                      <a:avLst/>
                    </a:prstGeom>
                  </pic:spPr>
                </pic:pic>
              </a:graphicData>
            </a:graphic>
          </wp:inline>
        </w:drawing>
      </w:r>
    </w:p>
    <w:p w14:paraId="50E462B0" w14:textId="77777777" w:rsidR="00053D93" w:rsidRDefault="00260B75">
      <w:pPr>
        <w:spacing w:after="0"/>
        <w:ind w:left="1616" w:right="7" w:hanging="10"/>
        <w:jc w:val="center"/>
      </w:pPr>
      <w:r>
        <w:rPr>
          <w:sz w:val="28"/>
        </w:rPr>
        <w:t>PROGRAMAS DE APOYO</w:t>
      </w:r>
    </w:p>
    <w:p w14:paraId="64AAD8A5" w14:textId="77777777" w:rsidR="00053D93" w:rsidRDefault="00260B75">
      <w:pPr>
        <w:spacing w:after="14" w:line="251" w:lineRule="auto"/>
        <w:ind w:left="1803" w:hanging="3"/>
        <w:jc w:val="both"/>
      </w:pPr>
      <w:r>
        <w:rPr>
          <w:sz w:val="28"/>
        </w:rPr>
        <w:t>PENDIENTES DE REGISTRAR LAS REGULARIZACIONES/LIQUIDACIONES</w:t>
      </w:r>
    </w:p>
    <w:p w14:paraId="09462290" w14:textId="77777777" w:rsidR="00053D93" w:rsidRDefault="00260B75">
      <w:pPr>
        <w:spacing w:after="0" w:line="216" w:lineRule="auto"/>
        <w:ind w:left="3963" w:right="2347" w:hanging="10"/>
        <w:jc w:val="center"/>
      </w:pPr>
      <w:r>
        <w:rPr>
          <w:sz w:val="30"/>
        </w:rPr>
        <w:t>EN LA BASE DE DATOS -SDRPOR UNIDAD EJECUTORA</w:t>
      </w:r>
    </w:p>
    <w:p w14:paraId="62A8A203" w14:textId="77777777" w:rsidR="00053D93" w:rsidRDefault="00260B75">
      <w:pPr>
        <w:spacing w:after="54" w:line="216" w:lineRule="auto"/>
        <w:ind w:left="3059" w:right="1444" w:hanging="10"/>
        <w:jc w:val="center"/>
      </w:pPr>
      <w:r>
        <w:rPr>
          <w:sz w:val="30"/>
        </w:rPr>
        <w:t>CORRESPONDIENTE AL AÑO 2024</w:t>
      </w:r>
    </w:p>
    <w:p w14:paraId="7A5C33AA" w14:textId="77777777" w:rsidR="00053D93" w:rsidRDefault="00260B75">
      <w:pPr>
        <w:spacing w:after="0"/>
        <w:ind w:left="1616" w:right="7" w:hanging="10"/>
        <w:jc w:val="center"/>
      </w:pPr>
      <w:r>
        <w:rPr>
          <w:sz w:val="28"/>
        </w:rPr>
        <w:t>(Cifras expresadas en quetzales)</w:t>
      </w:r>
    </w:p>
    <w:tbl>
      <w:tblPr>
        <w:tblStyle w:val="TableGrid"/>
        <w:tblW w:w="8097" w:type="dxa"/>
        <w:tblInd w:w="1692" w:type="dxa"/>
        <w:tblCellMar>
          <w:right w:w="79" w:type="dxa"/>
        </w:tblCellMar>
        <w:tblLook w:val="04A0" w:firstRow="1" w:lastRow="0" w:firstColumn="1" w:lastColumn="0" w:noHBand="0" w:noVBand="1"/>
      </w:tblPr>
      <w:tblGrid>
        <w:gridCol w:w="349"/>
        <w:gridCol w:w="311"/>
        <w:gridCol w:w="3368"/>
        <w:gridCol w:w="1739"/>
        <w:gridCol w:w="652"/>
        <w:gridCol w:w="1678"/>
      </w:tblGrid>
      <w:tr w:rsidR="00053D93" w14:paraId="50EA6FB5" w14:textId="77777777">
        <w:trPr>
          <w:trHeight w:val="979"/>
        </w:trPr>
        <w:tc>
          <w:tcPr>
            <w:tcW w:w="4035" w:type="dxa"/>
            <w:gridSpan w:val="3"/>
            <w:tcBorders>
              <w:top w:val="single" w:sz="2" w:space="0" w:color="000000"/>
              <w:left w:val="single" w:sz="2" w:space="0" w:color="000000"/>
              <w:bottom w:val="single" w:sz="2" w:space="0" w:color="000000"/>
              <w:right w:val="single" w:sz="2" w:space="0" w:color="000000"/>
            </w:tcBorders>
          </w:tcPr>
          <w:p w14:paraId="3E36F426" w14:textId="77777777" w:rsidR="00053D93" w:rsidRDefault="00260B75">
            <w:pPr>
              <w:ind w:left="91"/>
              <w:jc w:val="center"/>
            </w:pPr>
            <w:r>
              <w:t>UNIDAD EJECUTORA</w:t>
            </w:r>
          </w:p>
        </w:tc>
        <w:tc>
          <w:tcPr>
            <w:tcW w:w="1725" w:type="dxa"/>
            <w:tcBorders>
              <w:top w:val="single" w:sz="2" w:space="0" w:color="000000"/>
              <w:left w:val="single" w:sz="2" w:space="0" w:color="000000"/>
              <w:bottom w:val="single" w:sz="2" w:space="0" w:color="000000"/>
              <w:right w:val="single" w:sz="2" w:space="0" w:color="000000"/>
            </w:tcBorders>
          </w:tcPr>
          <w:p w14:paraId="5D412527" w14:textId="77777777" w:rsidR="00053D93" w:rsidRDefault="00260B75">
            <w:pPr>
              <w:ind w:left="91"/>
              <w:jc w:val="center"/>
            </w:pPr>
            <w:r>
              <w:rPr>
                <w:sz w:val="20"/>
              </w:rPr>
              <w:t>NÚMERO DE</w:t>
            </w:r>
          </w:p>
          <w:p w14:paraId="273B30B9" w14:textId="77777777" w:rsidR="00053D93" w:rsidRDefault="00260B75">
            <w:pPr>
              <w:ind w:left="84"/>
              <w:jc w:val="both"/>
            </w:pPr>
            <w:r>
              <w:t>TRANSFERENCIAS</w:t>
            </w:r>
          </w:p>
          <w:p w14:paraId="24C8DDBC" w14:textId="77777777" w:rsidR="00053D93" w:rsidRDefault="00260B75">
            <w:pPr>
              <w:ind w:left="84"/>
              <w:jc w:val="center"/>
            </w:pPr>
            <w:r>
              <w:t>PENDIENTE DE</w:t>
            </w:r>
          </w:p>
          <w:p w14:paraId="48EF356F" w14:textId="77777777" w:rsidR="00053D93" w:rsidRDefault="00260B75">
            <w:pPr>
              <w:ind w:left="84"/>
              <w:jc w:val="center"/>
            </w:pPr>
            <w:r>
              <w:t>REGULARIZAR</w:t>
            </w:r>
          </w:p>
        </w:tc>
        <w:tc>
          <w:tcPr>
            <w:tcW w:w="2337" w:type="dxa"/>
            <w:gridSpan w:val="2"/>
            <w:tcBorders>
              <w:top w:val="single" w:sz="2" w:space="0" w:color="000000"/>
              <w:left w:val="single" w:sz="2" w:space="0" w:color="000000"/>
              <w:bottom w:val="single" w:sz="2" w:space="0" w:color="000000"/>
              <w:right w:val="single" w:sz="2" w:space="0" w:color="000000"/>
            </w:tcBorders>
          </w:tcPr>
          <w:p w14:paraId="1BE1CFBF" w14:textId="77777777" w:rsidR="00053D93" w:rsidRDefault="00260B75">
            <w:pPr>
              <w:ind w:left="82"/>
              <w:jc w:val="center"/>
            </w:pPr>
            <w:r>
              <w:rPr>
                <w:sz w:val="20"/>
              </w:rPr>
              <w:t>MONTO DE</w:t>
            </w:r>
          </w:p>
          <w:p w14:paraId="40EBA5DB" w14:textId="77777777" w:rsidR="00053D93" w:rsidRDefault="00260B75">
            <w:pPr>
              <w:spacing w:line="216" w:lineRule="auto"/>
              <w:jc w:val="center"/>
            </w:pPr>
            <w:r>
              <w:t>TRANSFERENCIAS PENDIENTE DE</w:t>
            </w:r>
          </w:p>
          <w:p w14:paraId="2B46A9BD" w14:textId="77777777" w:rsidR="00053D93" w:rsidRDefault="00260B75">
            <w:pPr>
              <w:ind w:left="75"/>
              <w:jc w:val="center"/>
            </w:pPr>
            <w:r>
              <w:t>REGULARIZAR EN Q.</w:t>
            </w:r>
          </w:p>
        </w:tc>
      </w:tr>
      <w:tr w:rsidR="00053D93" w14:paraId="6236C9B3" w14:textId="77777777">
        <w:trPr>
          <w:trHeight w:val="274"/>
        </w:trPr>
        <w:tc>
          <w:tcPr>
            <w:tcW w:w="4035" w:type="dxa"/>
            <w:gridSpan w:val="3"/>
            <w:tcBorders>
              <w:top w:val="single" w:sz="2" w:space="0" w:color="000000"/>
              <w:left w:val="single" w:sz="2" w:space="0" w:color="000000"/>
              <w:bottom w:val="single" w:sz="2" w:space="0" w:color="000000"/>
              <w:right w:val="single" w:sz="2" w:space="0" w:color="000000"/>
            </w:tcBorders>
          </w:tcPr>
          <w:p w14:paraId="4CCC477F" w14:textId="77777777" w:rsidR="00053D93" w:rsidRDefault="00260B75">
            <w:pPr>
              <w:ind w:left="72"/>
            </w:pPr>
            <w:r>
              <w:t>ALTA VERAPAZ</w:t>
            </w:r>
          </w:p>
        </w:tc>
        <w:tc>
          <w:tcPr>
            <w:tcW w:w="1725" w:type="dxa"/>
            <w:tcBorders>
              <w:top w:val="single" w:sz="2" w:space="0" w:color="000000"/>
              <w:left w:val="single" w:sz="2" w:space="0" w:color="000000"/>
              <w:bottom w:val="single" w:sz="2" w:space="0" w:color="000000"/>
              <w:right w:val="single" w:sz="2" w:space="0" w:color="000000"/>
            </w:tcBorders>
          </w:tcPr>
          <w:p w14:paraId="53DFBDAF" w14:textId="77777777" w:rsidR="00053D93" w:rsidRDefault="00260B75">
            <w:pPr>
              <w:ind w:right="7"/>
              <w:jc w:val="right"/>
            </w:pPr>
            <w:r>
              <w:rPr>
                <w:sz w:val="18"/>
              </w:rPr>
              <w:t>52</w:t>
            </w:r>
          </w:p>
        </w:tc>
        <w:tc>
          <w:tcPr>
            <w:tcW w:w="655" w:type="dxa"/>
            <w:tcBorders>
              <w:top w:val="single" w:sz="2" w:space="0" w:color="000000"/>
              <w:left w:val="single" w:sz="2" w:space="0" w:color="000000"/>
              <w:bottom w:val="single" w:sz="2" w:space="0" w:color="000000"/>
              <w:right w:val="nil"/>
            </w:tcBorders>
          </w:tcPr>
          <w:p w14:paraId="497CC7A7" w14:textId="77777777" w:rsidR="00053D93" w:rsidRDefault="00260B75">
            <w:pPr>
              <w:ind w:left="137"/>
            </w:pPr>
            <w:r>
              <w:rPr>
                <w:sz w:val="24"/>
              </w:rPr>
              <w:t>Q</w:t>
            </w:r>
          </w:p>
        </w:tc>
        <w:tc>
          <w:tcPr>
            <w:tcW w:w="1682" w:type="dxa"/>
            <w:tcBorders>
              <w:top w:val="single" w:sz="2" w:space="0" w:color="000000"/>
              <w:left w:val="nil"/>
              <w:bottom w:val="single" w:sz="2" w:space="0" w:color="000000"/>
              <w:right w:val="single" w:sz="2" w:space="0" w:color="000000"/>
            </w:tcBorders>
          </w:tcPr>
          <w:p w14:paraId="53042CC8" w14:textId="77777777" w:rsidR="00053D93" w:rsidRDefault="00260B75">
            <w:pPr>
              <w:ind w:left="94"/>
            </w:pPr>
            <w:r>
              <w:rPr>
                <w:sz w:val="18"/>
              </w:rPr>
              <w:t>212071586.00</w:t>
            </w:r>
          </w:p>
        </w:tc>
      </w:tr>
      <w:tr w:rsidR="00053D93" w14:paraId="77C61474" w14:textId="77777777">
        <w:trPr>
          <w:trHeight w:val="274"/>
        </w:trPr>
        <w:tc>
          <w:tcPr>
            <w:tcW w:w="4035" w:type="dxa"/>
            <w:gridSpan w:val="3"/>
            <w:tcBorders>
              <w:top w:val="single" w:sz="2" w:space="0" w:color="000000"/>
              <w:left w:val="single" w:sz="2" w:space="0" w:color="000000"/>
              <w:bottom w:val="single" w:sz="2" w:space="0" w:color="000000"/>
              <w:right w:val="single" w:sz="2" w:space="0" w:color="000000"/>
            </w:tcBorders>
          </w:tcPr>
          <w:p w14:paraId="6AE4B815" w14:textId="77777777" w:rsidR="00053D93" w:rsidRDefault="00260B75">
            <w:pPr>
              <w:ind w:left="86"/>
            </w:pPr>
            <w:r>
              <w:t>BAJA VERAPAZ</w:t>
            </w:r>
          </w:p>
        </w:tc>
        <w:tc>
          <w:tcPr>
            <w:tcW w:w="1725" w:type="dxa"/>
            <w:tcBorders>
              <w:top w:val="single" w:sz="2" w:space="0" w:color="000000"/>
              <w:left w:val="single" w:sz="2" w:space="0" w:color="000000"/>
              <w:bottom w:val="single" w:sz="2" w:space="0" w:color="000000"/>
              <w:right w:val="single" w:sz="2" w:space="0" w:color="000000"/>
            </w:tcBorders>
          </w:tcPr>
          <w:p w14:paraId="6376F896" w14:textId="77777777" w:rsidR="00053D93" w:rsidRDefault="00260B75">
            <w:pPr>
              <w:ind w:right="7"/>
              <w:jc w:val="right"/>
            </w:pPr>
            <w:r>
              <w:rPr>
                <w:sz w:val="20"/>
              </w:rPr>
              <w:t>1,092</w:t>
            </w:r>
          </w:p>
        </w:tc>
        <w:tc>
          <w:tcPr>
            <w:tcW w:w="655" w:type="dxa"/>
            <w:tcBorders>
              <w:top w:val="single" w:sz="2" w:space="0" w:color="000000"/>
              <w:left w:val="single" w:sz="2" w:space="0" w:color="000000"/>
              <w:bottom w:val="single" w:sz="2" w:space="0" w:color="000000"/>
              <w:right w:val="nil"/>
            </w:tcBorders>
          </w:tcPr>
          <w:p w14:paraId="662B6F2D" w14:textId="77777777" w:rsidR="00053D93" w:rsidRDefault="00260B75">
            <w:pPr>
              <w:ind w:left="137"/>
            </w:pPr>
            <w:r>
              <w:rPr>
                <w:sz w:val="24"/>
              </w:rPr>
              <w:t>Q</w:t>
            </w:r>
          </w:p>
        </w:tc>
        <w:tc>
          <w:tcPr>
            <w:tcW w:w="1682" w:type="dxa"/>
            <w:tcBorders>
              <w:top w:val="single" w:sz="2" w:space="0" w:color="000000"/>
              <w:left w:val="nil"/>
              <w:bottom w:val="single" w:sz="2" w:space="0" w:color="000000"/>
              <w:right w:val="single" w:sz="2" w:space="0" w:color="000000"/>
            </w:tcBorders>
          </w:tcPr>
          <w:p w14:paraId="2B5505A3" w14:textId="77777777" w:rsidR="00053D93" w:rsidRDefault="00260B75">
            <w:pPr>
              <w:ind w:left="94"/>
            </w:pPr>
            <w:r>
              <w:rPr>
                <w:sz w:val="18"/>
              </w:rPr>
              <w:t>3,4481930.oo</w:t>
            </w:r>
          </w:p>
        </w:tc>
      </w:tr>
      <w:tr w:rsidR="00053D93" w14:paraId="145A96DD" w14:textId="77777777">
        <w:trPr>
          <w:trHeight w:val="266"/>
        </w:trPr>
        <w:tc>
          <w:tcPr>
            <w:tcW w:w="4035" w:type="dxa"/>
            <w:gridSpan w:val="3"/>
            <w:tcBorders>
              <w:top w:val="single" w:sz="2" w:space="0" w:color="000000"/>
              <w:left w:val="single" w:sz="2" w:space="0" w:color="000000"/>
              <w:bottom w:val="single" w:sz="2" w:space="0" w:color="000000"/>
              <w:right w:val="single" w:sz="2" w:space="0" w:color="000000"/>
            </w:tcBorders>
          </w:tcPr>
          <w:p w14:paraId="050BA8F8" w14:textId="77777777" w:rsidR="00053D93" w:rsidRDefault="00260B75">
            <w:pPr>
              <w:ind w:left="79"/>
            </w:pPr>
            <w:r>
              <w:rPr>
                <w:sz w:val="20"/>
              </w:rPr>
              <w:t>CHIMALTENANGO</w:t>
            </w:r>
          </w:p>
        </w:tc>
        <w:tc>
          <w:tcPr>
            <w:tcW w:w="1725" w:type="dxa"/>
            <w:tcBorders>
              <w:top w:val="single" w:sz="2" w:space="0" w:color="000000"/>
              <w:left w:val="single" w:sz="2" w:space="0" w:color="000000"/>
              <w:bottom w:val="single" w:sz="2" w:space="0" w:color="000000"/>
              <w:right w:val="single" w:sz="2" w:space="0" w:color="000000"/>
            </w:tcBorders>
          </w:tcPr>
          <w:p w14:paraId="2B5DEB44" w14:textId="77777777" w:rsidR="00053D93" w:rsidRDefault="00260B75">
            <w:pPr>
              <w:ind w:right="7"/>
              <w:jc w:val="right"/>
            </w:pPr>
            <w:r>
              <w:rPr>
                <w:sz w:val="20"/>
              </w:rPr>
              <w:t>383</w:t>
            </w:r>
          </w:p>
        </w:tc>
        <w:tc>
          <w:tcPr>
            <w:tcW w:w="655" w:type="dxa"/>
            <w:tcBorders>
              <w:top w:val="single" w:sz="2" w:space="0" w:color="000000"/>
              <w:left w:val="single" w:sz="2" w:space="0" w:color="000000"/>
              <w:bottom w:val="single" w:sz="2" w:space="0" w:color="000000"/>
              <w:right w:val="nil"/>
            </w:tcBorders>
          </w:tcPr>
          <w:p w14:paraId="4D1759E2" w14:textId="77777777" w:rsidR="00053D93" w:rsidRDefault="00260B75">
            <w:pPr>
              <w:ind w:left="137"/>
            </w:pPr>
            <w:r>
              <w:rPr>
                <w:sz w:val="24"/>
              </w:rPr>
              <w:t>Q</w:t>
            </w:r>
          </w:p>
        </w:tc>
        <w:tc>
          <w:tcPr>
            <w:tcW w:w="1682" w:type="dxa"/>
            <w:tcBorders>
              <w:top w:val="single" w:sz="2" w:space="0" w:color="000000"/>
              <w:left w:val="nil"/>
              <w:bottom w:val="single" w:sz="2" w:space="0" w:color="000000"/>
              <w:right w:val="single" w:sz="2" w:space="0" w:color="000000"/>
            </w:tcBorders>
          </w:tcPr>
          <w:p w14:paraId="13E00633" w14:textId="77777777" w:rsidR="00053D93" w:rsidRDefault="00260B75">
            <w:pPr>
              <w:ind w:left="108"/>
            </w:pPr>
            <w:r>
              <w:rPr>
                <w:sz w:val="18"/>
              </w:rPr>
              <w:t>1,6861273.oo</w:t>
            </w:r>
          </w:p>
        </w:tc>
      </w:tr>
      <w:tr w:rsidR="00053D93" w14:paraId="03AE61AA" w14:textId="77777777">
        <w:trPr>
          <w:trHeight w:val="274"/>
        </w:trPr>
        <w:tc>
          <w:tcPr>
            <w:tcW w:w="4035" w:type="dxa"/>
            <w:gridSpan w:val="3"/>
            <w:tcBorders>
              <w:top w:val="single" w:sz="2" w:space="0" w:color="000000"/>
              <w:left w:val="single" w:sz="2" w:space="0" w:color="000000"/>
              <w:bottom w:val="single" w:sz="2" w:space="0" w:color="000000"/>
              <w:right w:val="single" w:sz="2" w:space="0" w:color="000000"/>
            </w:tcBorders>
          </w:tcPr>
          <w:p w14:paraId="725A68EF" w14:textId="77777777" w:rsidR="00053D93" w:rsidRDefault="00260B75">
            <w:pPr>
              <w:ind w:left="79"/>
            </w:pPr>
            <w:r>
              <w:rPr>
                <w:sz w:val="20"/>
              </w:rPr>
              <w:t>CHIQUIMULA</w:t>
            </w:r>
          </w:p>
        </w:tc>
        <w:tc>
          <w:tcPr>
            <w:tcW w:w="1725" w:type="dxa"/>
            <w:tcBorders>
              <w:top w:val="single" w:sz="2" w:space="0" w:color="000000"/>
              <w:left w:val="single" w:sz="2" w:space="0" w:color="000000"/>
              <w:bottom w:val="single" w:sz="2" w:space="0" w:color="000000"/>
              <w:right w:val="single" w:sz="2" w:space="0" w:color="000000"/>
            </w:tcBorders>
          </w:tcPr>
          <w:p w14:paraId="11789210" w14:textId="77777777" w:rsidR="00053D93" w:rsidRDefault="00260B75">
            <w:pPr>
              <w:ind w:right="29"/>
              <w:jc w:val="right"/>
            </w:pPr>
            <w:r>
              <w:rPr>
                <w:sz w:val="18"/>
              </w:rPr>
              <w:t>401</w:t>
            </w:r>
          </w:p>
        </w:tc>
        <w:tc>
          <w:tcPr>
            <w:tcW w:w="655" w:type="dxa"/>
            <w:tcBorders>
              <w:top w:val="single" w:sz="2" w:space="0" w:color="000000"/>
              <w:left w:val="single" w:sz="2" w:space="0" w:color="000000"/>
              <w:bottom w:val="single" w:sz="2" w:space="0" w:color="000000"/>
              <w:right w:val="nil"/>
            </w:tcBorders>
          </w:tcPr>
          <w:p w14:paraId="59881F64" w14:textId="77777777" w:rsidR="00053D93" w:rsidRDefault="00260B75">
            <w:pPr>
              <w:ind w:left="137"/>
            </w:pPr>
            <w:r>
              <w:rPr>
                <w:sz w:val="20"/>
              </w:rPr>
              <w:t>Q</w:t>
            </w:r>
          </w:p>
        </w:tc>
        <w:tc>
          <w:tcPr>
            <w:tcW w:w="1682" w:type="dxa"/>
            <w:tcBorders>
              <w:top w:val="single" w:sz="2" w:space="0" w:color="000000"/>
              <w:left w:val="nil"/>
              <w:bottom w:val="single" w:sz="2" w:space="0" w:color="000000"/>
              <w:right w:val="single" w:sz="2" w:space="0" w:color="000000"/>
            </w:tcBorders>
          </w:tcPr>
          <w:p w14:paraId="56292647" w14:textId="77777777" w:rsidR="00053D93" w:rsidRDefault="00260B75">
            <w:pPr>
              <w:ind w:left="108"/>
            </w:pPr>
            <w:r>
              <w:rPr>
                <w:sz w:val="18"/>
              </w:rPr>
              <w:t>1 ,0721898.oo</w:t>
            </w:r>
          </w:p>
        </w:tc>
      </w:tr>
      <w:tr w:rsidR="00053D93" w14:paraId="74CFC879" w14:textId="77777777">
        <w:trPr>
          <w:trHeight w:val="274"/>
        </w:trPr>
        <w:tc>
          <w:tcPr>
            <w:tcW w:w="4035" w:type="dxa"/>
            <w:gridSpan w:val="3"/>
            <w:tcBorders>
              <w:top w:val="single" w:sz="2" w:space="0" w:color="000000"/>
              <w:left w:val="single" w:sz="2" w:space="0" w:color="000000"/>
              <w:bottom w:val="single" w:sz="2" w:space="0" w:color="000000"/>
              <w:right w:val="single" w:sz="2" w:space="0" w:color="000000"/>
            </w:tcBorders>
          </w:tcPr>
          <w:p w14:paraId="53E57180" w14:textId="77777777" w:rsidR="00053D93" w:rsidRDefault="00260B75">
            <w:pPr>
              <w:ind w:left="86"/>
            </w:pPr>
            <w:r>
              <w:t>EL PROGRESO</w:t>
            </w:r>
          </w:p>
        </w:tc>
        <w:tc>
          <w:tcPr>
            <w:tcW w:w="1725" w:type="dxa"/>
            <w:tcBorders>
              <w:top w:val="single" w:sz="2" w:space="0" w:color="000000"/>
              <w:left w:val="single" w:sz="2" w:space="0" w:color="000000"/>
              <w:bottom w:val="single" w:sz="2" w:space="0" w:color="000000"/>
              <w:right w:val="single" w:sz="2" w:space="0" w:color="000000"/>
            </w:tcBorders>
          </w:tcPr>
          <w:p w14:paraId="244024ED" w14:textId="77777777" w:rsidR="00053D93" w:rsidRDefault="00053D93"/>
        </w:tc>
        <w:tc>
          <w:tcPr>
            <w:tcW w:w="655" w:type="dxa"/>
            <w:tcBorders>
              <w:top w:val="single" w:sz="2" w:space="0" w:color="000000"/>
              <w:left w:val="single" w:sz="2" w:space="0" w:color="000000"/>
              <w:bottom w:val="single" w:sz="2" w:space="0" w:color="000000"/>
              <w:right w:val="nil"/>
            </w:tcBorders>
          </w:tcPr>
          <w:p w14:paraId="4BD56161" w14:textId="77777777" w:rsidR="00053D93" w:rsidRDefault="00053D93"/>
        </w:tc>
        <w:tc>
          <w:tcPr>
            <w:tcW w:w="1682" w:type="dxa"/>
            <w:tcBorders>
              <w:top w:val="single" w:sz="2" w:space="0" w:color="000000"/>
              <w:left w:val="nil"/>
              <w:bottom w:val="single" w:sz="2" w:space="0" w:color="000000"/>
              <w:right w:val="single" w:sz="2" w:space="0" w:color="000000"/>
            </w:tcBorders>
          </w:tcPr>
          <w:p w14:paraId="54059271" w14:textId="77777777" w:rsidR="00053D93" w:rsidRDefault="00260B75">
            <w:pPr>
              <w:ind w:left="238"/>
            </w:pPr>
            <w:r>
              <w:rPr>
                <w:sz w:val="18"/>
              </w:rPr>
              <w:t>480,661 .oo</w:t>
            </w:r>
          </w:p>
        </w:tc>
      </w:tr>
      <w:tr w:rsidR="00053D93" w14:paraId="0F5F9E4B" w14:textId="77777777">
        <w:trPr>
          <w:trHeight w:val="274"/>
        </w:trPr>
        <w:tc>
          <w:tcPr>
            <w:tcW w:w="4035" w:type="dxa"/>
            <w:gridSpan w:val="3"/>
            <w:tcBorders>
              <w:top w:val="single" w:sz="2" w:space="0" w:color="000000"/>
              <w:left w:val="single" w:sz="2" w:space="0" w:color="000000"/>
              <w:bottom w:val="single" w:sz="2" w:space="0" w:color="000000"/>
              <w:right w:val="single" w:sz="2" w:space="0" w:color="000000"/>
            </w:tcBorders>
          </w:tcPr>
          <w:p w14:paraId="624AB879" w14:textId="77777777" w:rsidR="00053D93" w:rsidRDefault="00260B75">
            <w:pPr>
              <w:ind w:left="86"/>
            </w:pPr>
            <w:r>
              <w:t>ESCUINTLA</w:t>
            </w:r>
          </w:p>
        </w:tc>
        <w:tc>
          <w:tcPr>
            <w:tcW w:w="1725" w:type="dxa"/>
            <w:tcBorders>
              <w:top w:val="single" w:sz="2" w:space="0" w:color="000000"/>
              <w:left w:val="single" w:sz="2" w:space="0" w:color="000000"/>
              <w:bottom w:val="single" w:sz="2" w:space="0" w:color="000000"/>
              <w:right w:val="single" w:sz="2" w:space="0" w:color="000000"/>
            </w:tcBorders>
          </w:tcPr>
          <w:p w14:paraId="6793F729" w14:textId="77777777" w:rsidR="00053D93" w:rsidRDefault="00260B75">
            <w:pPr>
              <w:ind w:right="7"/>
              <w:jc w:val="right"/>
            </w:pPr>
            <w:r>
              <w:rPr>
                <w:sz w:val="18"/>
              </w:rPr>
              <w:t>2,722</w:t>
            </w:r>
          </w:p>
        </w:tc>
        <w:tc>
          <w:tcPr>
            <w:tcW w:w="655" w:type="dxa"/>
            <w:tcBorders>
              <w:top w:val="single" w:sz="2" w:space="0" w:color="000000"/>
              <w:left w:val="single" w:sz="2" w:space="0" w:color="000000"/>
              <w:bottom w:val="single" w:sz="2" w:space="0" w:color="000000"/>
              <w:right w:val="nil"/>
            </w:tcBorders>
          </w:tcPr>
          <w:p w14:paraId="327DCDBE" w14:textId="77777777" w:rsidR="00053D93" w:rsidRDefault="00260B75">
            <w:pPr>
              <w:ind w:left="137"/>
            </w:pPr>
            <w:r>
              <w:rPr>
                <w:sz w:val="24"/>
              </w:rPr>
              <w:t>Q</w:t>
            </w:r>
          </w:p>
        </w:tc>
        <w:tc>
          <w:tcPr>
            <w:tcW w:w="1682" w:type="dxa"/>
            <w:tcBorders>
              <w:top w:val="single" w:sz="2" w:space="0" w:color="000000"/>
              <w:left w:val="nil"/>
              <w:bottom w:val="single" w:sz="2" w:space="0" w:color="000000"/>
              <w:right w:val="single" w:sz="2" w:space="0" w:color="000000"/>
            </w:tcBorders>
          </w:tcPr>
          <w:p w14:paraId="1F4AB071" w14:textId="77777777" w:rsidR="00053D93" w:rsidRDefault="00260B75">
            <w:r>
              <w:rPr>
                <w:sz w:val="20"/>
              </w:rPr>
              <w:t>23,376, 198.00</w:t>
            </w:r>
          </w:p>
        </w:tc>
      </w:tr>
      <w:tr w:rsidR="00053D93" w14:paraId="0DEAC84D" w14:textId="77777777">
        <w:trPr>
          <w:trHeight w:val="274"/>
        </w:trPr>
        <w:tc>
          <w:tcPr>
            <w:tcW w:w="4035" w:type="dxa"/>
            <w:gridSpan w:val="3"/>
            <w:tcBorders>
              <w:top w:val="single" w:sz="2" w:space="0" w:color="000000"/>
              <w:left w:val="single" w:sz="2" w:space="0" w:color="000000"/>
              <w:bottom w:val="single" w:sz="2" w:space="0" w:color="000000"/>
              <w:right w:val="single" w:sz="2" w:space="0" w:color="000000"/>
            </w:tcBorders>
          </w:tcPr>
          <w:p w14:paraId="62486269" w14:textId="77777777" w:rsidR="00053D93" w:rsidRDefault="00260B75">
            <w:pPr>
              <w:ind w:left="79"/>
            </w:pPr>
            <w:r>
              <w:rPr>
                <w:sz w:val="20"/>
              </w:rPr>
              <w:t>GUATEMALA NORTE</w:t>
            </w:r>
          </w:p>
        </w:tc>
        <w:tc>
          <w:tcPr>
            <w:tcW w:w="1725" w:type="dxa"/>
            <w:tcBorders>
              <w:top w:val="single" w:sz="2" w:space="0" w:color="000000"/>
              <w:left w:val="single" w:sz="2" w:space="0" w:color="000000"/>
              <w:bottom w:val="single" w:sz="2" w:space="0" w:color="000000"/>
              <w:right w:val="single" w:sz="2" w:space="0" w:color="000000"/>
            </w:tcBorders>
          </w:tcPr>
          <w:p w14:paraId="0DF434B5" w14:textId="77777777" w:rsidR="00053D93" w:rsidRDefault="00260B75">
            <w:pPr>
              <w:ind w:right="7"/>
              <w:jc w:val="right"/>
            </w:pPr>
            <w:r>
              <w:rPr>
                <w:sz w:val="20"/>
              </w:rPr>
              <w:t>1,728</w:t>
            </w:r>
          </w:p>
        </w:tc>
        <w:tc>
          <w:tcPr>
            <w:tcW w:w="655" w:type="dxa"/>
            <w:tcBorders>
              <w:top w:val="single" w:sz="2" w:space="0" w:color="000000"/>
              <w:left w:val="single" w:sz="2" w:space="0" w:color="000000"/>
              <w:bottom w:val="single" w:sz="2" w:space="0" w:color="000000"/>
              <w:right w:val="nil"/>
            </w:tcBorders>
          </w:tcPr>
          <w:p w14:paraId="6C96C012" w14:textId="77777777" w:rsidR="00053D93" w:rsidRDefault="00260B75">
            <w:pPr>
              <w:ind w:left="137"/>
            </w:pPr>
            <w:r>
              <w:rPr>
                <w:sz w:val="24"/>
              </w:rPr>
              <w:t>Q</w:t>
            </w:r>
          </w:p>
        </w:tc>
        <w:tc>
          <w:tcPr>
            <w:tcW w:w="1682" w:type="dxa"/>
            <w:tcBorders>
              <w:top w:val="single" w:sz="2" w:space="0" w:color="000000"/>
              <w:left w:val="nil"/>
              <w:bottom w:val="single" w:sz="2" w:space="0" w:color="000000"/>
              <w:right w:val="single" w:sz="2" w:space="0" w:color="000000"/>
            </w:tcBorders>
          </w:tcPr>
          <w:p w14:paraId="6E5354D8" w14:textId="77777777" w:rsidR="00053D93" w:rsidRDefault="00260B75">
            <w:r>
              <w:rPr>
                <w:sz w:val="20"/>
              </w:rPr>
              <w:t>25,053, 792. oo</w:t>
            </w:r>
          </w:p>
        </w:tc>
      </w:tr>
      <w:tr w:rsidR="00053D93" w14:paraId="78A512D3" w14:textId="77777777">
        <w:trPr>
          <w:trHeight w:val="274"/>
        </w:trPr>
        <w:tc>
          <w:tcPr>
            <w:tcW w:w="4035" w:type="dxa"/>
            <w:gridSpan w:val="3"/>
            <w:tcBorders>
              <w:top w:val="single" w:sz="2" w:space="0" w:color="000000"/>
              <w:left w:val="single" w:sz="2" w:space="0" w:color="000000"/>
              <w:bottom w:val="single" w:sz="2" w:space="0" w:color="000000"/>
              <w:right w:val="single" w:sz="2" w:space="0" w:color="000000"/>
            </w:tcBorders>
          </w:tcPr>
          <w:p w14:paraId="0312DFC2" w14:textId="77777777" w:rsidR="00053D93" w:rsidRDefault="00260B75">
            <w:pPr>
              <w:ind w:left="79"/>
            </w:pPr>
            <w:r>
              <w:rPr>
                <w:sz w:val="20"/>
              </w:rPr>
              <w:t>GUATEMALA OCCIDENTE</w:t>
            </w:r>
          </w:p>
        </w:tc>
        <w:tc>
          <w:tcPr>
            <w:tcW w:w="1725" w:type="dxa"/>
            <w:tcBorders>
              <w:top w:val="single" w:sz="2" w:space="0" w:color="000000"/>
              <w:left w:val="single" w:sz="2" w:space="0" w:color="000000"/>
              <w:bottom w:val="single" w:sz="2" w:space="0" w:color="000000"/>
              <w:right w:val="single" w:sz="2" w:space="0" w:color="000000"/>
            </w:tcBorders>
          </w:tcPr>
          <w:p w14:paraId="061EC848" w14:textId="77777777" w:rsidR="00053D93" w:rsidRDefault="00260B75">
            <w:pPr>
              <w:ind w:right="7"/>
              <w:jc w:val="right"/>
            </w:pPr>
            <w:r>
              <w:rPr>
                <w:sz w:val="18"/>
              </w:rPr>
              <w:t>2,550</w:t>
            </w:r>
          </w:p>
        </w:tc>
        <w:tc>
          <w:tcPr>
            <w:tcW w:w="655" w:type="dxa"/>
            <w:tcBorders>
              <w:top w:val="single" w:sz="2" w:space="0" w:color="000000"/>
              <w:left w:val="single" w:sz="2" w:space="0" w:color="000000"/>
              <w:bottom w:val="single" w:sz="2" w:space="0" w:color="000000"/>
              <w:right w:val="nil"/>
            </w:tcBorders>
          </w:tcPr>
          <w:p w14:paraId="65F62B7A" w14:textId="77777777" w:rsidR="00053D93" w:rsidRDefault="00260B75">
            <w:pPr>
              <w:ind w:left="137"/>
            </w:pPr>
            <w:r>
              <w:rPr>
                <w:sz w:val="24"/>
              </w:rPr>
              <w:t>Q</w:t>
            </w:r>
          </w:p>
        </w:tc>
        <w:tc>
          <w:tcPr>
            <w:tcW w:w="1682" w:type="dxa"/>
            <w:tcBorders>
              <w:top w:val="single" w:sz="2" w:space="0" w:color="000000"/>
              <w:left w:val="nil"/>
              <w:bottom w:val="single" w:sz="2" w:space="0" w:color="000000"/>
              <w:right w:val="single" w:sz="2" w:space="0" w:color="000000"/>
            </w:tcBorders>
          </w:tcPr>
          <w:p w14:paraId="2FEED66E" w14:textId="77777777" w:rsidR="00053D93" w:rsidRDefault="00260B75">
            <w:r>
              <w:rPr>
                <w:sz w:val="20"/>
              </w:rPr>
              <w:t>35.654.508.00</w:t>
            </w:r>
          </w:p>
        </w:tc>
      </w:tr>
      <w:tr w:rsidR="00053D93" w14:paraId="0F712A1A" w14:textId="77777777">
        <w:trPr>
          <w:trHeight w:val="407"/>
        </w:trPr>
        <w:tc>
          <w:tcPr>
            <w:tcW w:w="4035" w:type="dxa"/>
            <w:gridSpan w:val="3"/>
            <w:tcBorders>
              <w:top w:val="single" w:sz="2" w:space="0" w:color="000000"/>
              <w:left w:val="single" w:sz="2" w:space="0" w:color="000000"/>
              <w:bottom w:val="single" w:sz="2" w:space="0" w:color="000000"/>
              <w:right w:val="single" w:sz="2" w:space="0" w:color="000000"/>
            </w:tcBorders>
            <w:vAlign w:val="bottom"/>
          </w:tcPr>
          <w:p w14:paraId="6FD012D3" w14:textId="77777777" w:rsidR="00053D93" w:rsidRDefault="00260B75">
            <w:pPr>
              <w:ind w:left="79" w:right="975"/>
            </w:pPr>
            <w:r>
              <w:rPr>
                <w:sz w:val="20"/>
              </w:rPr>
              <w:t>GUATEMALA ORIENTE GUATEMALA SUR</w:t>
            </w:r>
          </w:p>
        </w:tc>
        <w:tc>
          <w:tcPr>
            <w:tcW w:w="1725" w:type="dxa"/>
            <w:tcBorders>
              <w:top w:val="single" w:sz="2" w:space="0" w:color="000000"/>
              <w:left w:val="single" w:sz="2" w:space="0" w:color="000000"/>
              <w:bottom w:val="single" w:sz="2" w:space="0" w:color="000000"/>
              <w:right w:val="single" w:sz="2" w:space="0" w:color="000000"/>
            </w:tcBorders>
          </w:tcPr>
          <w:p w14:paraId="1C6F1154" w14:textId="77777777" w:rsidR="00053D93" w:rsidRDefault="00260B75">
            <w:pPr>
              <w:ind w:right="7"/>
              <w:jc w:val="right"/>
            </w:pPr>
            <w:r>
              <w:rPr>
                <w:sz w:val="20"/>
              </w:rPr>
              <w:t>887</w:t>
            </w:r>
          </w:p>
        </w:tc>
        <w:tc>
          <w:tcPr>
            <w:tcW w:w="655" w:type="dxa"/>
            <w:tcBorders>
              <w:top w:val="single" w:sz="2" w:space="0" w:color="000000"/>
              <w:left w:val="single" w:sz="2" w:space="0" w:color="000000"/>
              <w:bottom w:val="single" w:sz="2" w:space="0" w:color="000000"/>
              <w:right w:val="nil"/>
            </w:tcBorders>
          </w:tcPr>
          <w:p w14:paraId="6BF893E9" w14:textId="77777777" w:rsidR="00053D93" w:rsidRDefault="00260B75">
            <w:pPr>
              <w:ind w:left="137"/>
            </w:pPr>
            <w:r>
              <w:rPr>
                <w:sz w:val="24"/>
              </w:rPr>
              <w:t>Q</w:t>
            </w:r>
          </w:p>
        </w:tc>
        <w:tc>
          <w:tcPr>
            <w:tcW w:w="1682" w:type="dxa"/>
            <w:tcBorders>
              <w:top w:val="single" w:sz="2" w:space="0" w:color="000000"/>
              <w:left w:val="nil"/>
              <w:bottom w:val="single" w:sz="2" w:space="0" w:color="000000"/>
              <w:right w:val="single" w:sz="2" w:space="0" w:color="000000"/>
            </w:tcBorders>
          </w:tcPr>
          <w:p w14:paraId="3A4F4E07" w14:textId="77777777" w:rsidR="00053D93" w:rsidRDefault="00260B75">
            <w:pPr>
              <w:ind w:left="101"/>
            </w:pPr>
            <w:r>
              <w:rPr>
                <w:sz w:val="20"/>
              </w:rPr>
              <w:t>9.985.927.00</w:t>
            </w:r>
          </w:p>
        </w:tc>
      </w:tr>
      <w:tr w:rsidR="00053D93" w14:paraId="56146821" w14:textId="77777777">
        <w:trPr>
          <w:trHeight w:val="288"/>
        </w:trPr>
        <w:tc>
          <w:tcPr>
            <w:tcW w:w="4035" w:type="dxa"/>
            <w:gridSpan w:val="3"/>
            <w:tcBorders>
              <w:top w:val="single" w:sz="2" w:space="0" w:color="000000"/>
              <w:left w:val="single" w:sz="2" w:space="0" w:color="000000"/>
              <w:bottom w:val="single" w:sz="2" w:space="0" w:color="000000"/>
              <w:right w:val="single" w:sz="2" w:space="0" w:color="000000"/>
            </w:tcBorders>
            <w:vAlign w:val="bottom"/>
          </w:tcPr>
          <w:p w14:paraId="0368ECD5" w14:textId="77777777" w:rsidR="00053D93" w:rsidRDefault="00260B75">
            <w:pPr>
              <w:ind w:left="79"/>
            </w:pPr>
            <w:r>
              <w:rPr>
                <w:sz w:val="20"/>
              </w:rPr>
              <w:t>HUEHUETENANGO</w:t>
            </w:r>
          </w:p>
        </w:tc>
        <w:tc>
          <w:tcPr>
            <w:tcW w:w="1725" w:type="dxa"/>
            <w:tcBorders>
              <w:top w:val="single" w:sz="2" w:space="0" w:color="000000"/>
              <w:left w:val="single" w:sz="2" w:space="0" w:color="000000"/>
              <w:bottom w:val="single" w:sz="2" w:space="0" w:color="000000"/>
              <w:right w:val="single" w:sz="2" w:space="0" w:color="000000"/>
            </w:tcBorders>
          </w:tcPr>
          <w:p w14:paraId="6B52627F" w14:textId="77777777" w:rsidR="00053D93" w:rsidRDefault="00260B75">
            <w:pPr>
              <w:spacing w:after="10"/>
              <w:ind w:right="7"/>
              <w:jc w:val="right"/>
            </w:pPr>
            <w:r>
              <w:rPr>
                <w:sz w:val="18"/>
              </w:rPr>
              <w:t>1 ,784</w:t>
            </w:r>
          </w:p>
          <w:p w14:paraId="5299880A" w14:textId="77777777" w:rsidR="00053D93" w:rsidRDefault="00260B75">
            <w:pPr>
              <w:jc w:val="right"/>
            </w:pPr>
            <w:r>
              <w:rPr>
                <w:sz w:val="20"/>
              </w:rPr>
              <w:t>2,006</w:t>
            </w:r>
          </w:p>
        </w:tc>
        <w:tc>
          <w:tcPr>
            <w:tcW w:w="655" w:type="dxa"/>
            <w:tcBorders>
              <w:top w:val="single" w:sz="2" w:space="0" w:color="000000"/>
              <w:left w:val="single" w:sz="2" w:space="0" w:color="000000"/>
              <w:bottom w:val="single" w:sz="2" w:space="0" w:color="000000"/>
              <w:right w:val="nil"/>
            </w:tcBorders>
          </w:tcPr>
          <w:p w14:paraId="6704C2AB" w14:textId="77777777" w:rsidR="00053D93" w:rsidRDefault="00053D93"/>
        </w:tc>
        <w:tc>
          <w:tcPr>
            <w:tcW w:w="1682" w:type="dxa"/>
            <w:tcBorders>
              <w:top w:val="single" w:sz="2" w:space="0" w:color="000000"/>
              <w:left w:val="nil"/>
              <w:bottom w:val="single" w:sz="2" w:space="0" w:color="000000"/>
              <w:right w:val="single" w:sz="2" w:space="0" w:color="000000"/>
            </w:tcBorders>
          </w:tcPr>
          <w:p w14:paraId="3CAD0E8F" w14:textId="77777777" w:rsidR="00053D93" w:rsidRDefault="00053D93"/>
        </w:tc>
      </w:tr>
      <w:tr w:rsidR="00053D93" w14:paraId="1383322E" w14:textId="77777777">
        <w:trPr>
          <w:trHeight w:val="397"/>
        </w:trPr>
        <w:tc>
          <w:tcPr>
            <w:tcW w:w="4035" w:type="dxa"/>
            <w:gridSpan w:val="3"/>
            <w:tcBorders>
              <w:top w:val="single" w:sz="2" w:space="0" w:color="000000"/>
              <w:left w:val="single" w:sz="2" w:space="0" w:color="000000"/>
              <w:bottom w:val="single" w:sz="2" w:space="0" w:color="000000"/>
              <w:right w:val="single" w:sz="2" w:space="0" w:color="000000"/>
            </w:tcBorders>
          </w:tcPr>
          <w:p w14:paraId="67EB8E35" w14:textId="77777777" w:rsidR="00053D93" w:rsidRDefault="00260B75">
            <w:pPr>
              <w:ind w:left="79"/>
            </w:pPr>
            <w:r>
              <w:t>IZABAL</w:t>
            </w:r>
          </w:p>
        </w:tc>
        <w:tc>
          <w:tcPr>
            <w:tcW w:w="1725" w:type="dxa"/>
            <w:tcBorders>
              <w:top w:val="single" w:sz="2" w:space="0" w:color="000000"/>
              <w:left w:val="single" w:sz="2" w:space="0" w:color="000000"/>
              <w:bottom w:val="single" w:sz="2" w:space="0" w:color="000000"/>
              <w:right w:val="single" w:sz="2" w:space="0" w:color="000000"/>
            </w:tcBorders>
            <w:vAlign w:val="bottom"/>
          </w:tcPr>
          <w:p w14:paraId="52BB6763" w14:textId="77777777" w:rsidR="00053D93" w:rsidRDefault="00260B75">
            <w:pPr>
              <w:jc w:val="right"/>
            </w:pPr>
            <w:r>
              <w:rPr>
                <w:sz w:val="20"/>
              </w:rPr>
              <w:t>1 ,332</w:t>
            </w:r>
          </w:p>
        </w:tc>
        <w:tc>
          <w:tcPr>
            <w:tcW w:w="655" w:type="dxa"/>
            <w:tcBorders>
              <w:top w:val="single" w:sz="2" w:space="0" w:color="000000"/>
              <w:left w:val="single" w:sz="2" w:space="0" w:color="000000"/>
              <w:bottom w:val="single" w:sz="2" w:space="0" w:color="000000"/>
              <w:right w:val="nil"/>
            </w:tcBorders>
          </w:tcPr>
          <w:p w14:paraId="7A7A1C86" w14:textId="77777777" w:rsidR="00053D93" w:rsidRDefault="00053D93"/>
        </w:tc>
        <w:tc>
          <w:tcPr>
            <w:tcW w:w="1682" w:type="dxa"/>
            <w:tcBorders>
              <w:top w:val="single" w:sz="2" w:space="0" w:color="000000"/>
              <w:left w:val="nil"/>
              <w:bottom w:val="single" w:sz="2" w:space="0" w:color="000000"/>
              <w:right w:val="single" w:sz="2" w:space="0" w:color="000000"/>
            </w:tcBorders>
          </w:tcPr>
          <w:p w14:paraId="39A53F89" w14:textId="77777777" w:rsidR="00053D93" w:rsidRDefault="00053D93"/>
        </w:tc>
      </w:tr>
      <w:tr w:rsidR="00053D93" w14:paraId="0008BE85" w14:textId="77777777">
        <w:trPr>
          <w:trHeight w:val="269"/>
        </w:trPr>
        <w:tc>
          <w:tcPr>
            <w:tcW w:w="4035" w:type="dxa"/>
            <w:gridSpan w:val="3"/>
            <w:tcBorders>
              <w:top w:val="single" w:sz="2" w:space="0" w:color="000000"/>
              <w:left w:val="single" w:sz="2" w:space="0" w:color="000000"/>
              <w:bottom w:val="single" w:sz="2" w:space="0" w:color="000000"/>
              <w:right w:val="single" w:sz="2" w:space="0" w:color="000000"/>
            </w:tcBorders>
          </w:tcPr>
          <w:p w14:paraId="2B28C629" w14:textId="77777777" w:rsidR="00053D93" w:rsidRDefault="00260B75">
            <w:pPr>
              <w:ind w:left="72"/>
            </w:pPr>
            <w:r>
              <w:t>JALAPA</w:t>
            </w:r>
          </w:p>
        </w:tc>
        <w:tc>
          <w:tcPr>
            <w:tcW w:w="1725" w:type="dxa"/>
            <w:tcBorders>
              <w:top w:val="single" w:sz="2" w:space="0" w:color="000000"/>
              <w:left w:val="single" w:sz="2" w:space="0" w:color="000000"/>
              <w:bottom w:val="single" w:sz="2" w:space="0" w:color="000000"/>
              <w:right w:val="single" w:sz="2" w:space="0" w:color="000000"/>
            </w:tcBorders>
          </w:tcPr>
          <w:p w14:paraId="5646D641" w14:textId="77777777" w:rsidR="00053D93" w:rsidRDefault="00260B75">
            <w:pPr>
              <w:jc w:val="right"/>
            </w:pPr>
            <w:r>
              <w:rPr>
                <w:sz w:val="20"/>
              </w:rPr>
              <w:t>4,490</w:t>
            </w:r>
          </w:p>
        </w:tc>
        <w:tc>
          <w:tcPr>
            <w:tcW w:w="655" w:type="dxa"/>
            <w:tcBorders>
              <w:top w:val="single" w:sz="2" w:space="0" w:color="000000"/>
              <w:left w:val="single" w:sz="2" w:space="0" w:color="000000"/>
              <w:bottom w:val="single" w:sz="2" w:space="0" w:color="000000"/>
              <w:right w:val="nil"/>
            </w:tcBorders>
          </w:tcPr>
          <w:p w14:paraId="769660C3" w14:textId="77777777" w:rsidR="00053D93" w:rsidRDefault="00053D93"/>
        </w:tc>
        <w:tc>
          <w:tcPr>
            <w:tcW w:w="1682" w:type="dxa"/>
            <w:tcBorders>
              <w:top w:val="single" w:sz="2" w:space="0" w:color="000000"/>
              <w:left w:val="nil"/>
              <w:bottom w:val="single" w:sz="2" w:space="0" w:color="000000"/>
              <w:right w:val="single" w:sz="2" w:space="0" w:color="000000"/>
            </w:tcBorders>
          </w:tcPr>
          <w:p w14:paraId="020B214A" w14:textId="77777777" w:rsidR="00053D93" w:rsidRDefault="00053D93"/>
        </w:tc>
      </w:tr>
      <w:tr w:rsidR="00053D93" w14:paraId="62D02928" w14:textId="77777777">
        <w:trPr>
          <w:trHeight w:val="269"/>
        </w:trPr>
        <w:tc>
          <w:tcPr>
            <w:tcW w:w="4035" w:type="dxa"/>
            <w:gridSpan w:val="3"/>
            <w:tcBorders>
              <w:top w:val="single" w:sz="2" w:space="0" w:color="000000"/>
              <w:left w:val="single" w:sz="2" w:space="0" w:color="000000"/>
              <w:bottom w:val="single" w:sz="2" w:space="0" w:color="000000"/>
              <w:right w:val="single" w:sz="2" w:space="0" w:color="000000"/>
            </w:tcBorders>
          </w:tcPr>
          <w:p w14:paraId="6A81B55B" w14:textId="77777777" w:rsidR="00053D93" w:rsidRDefault="00260B75">
            <w:pPr>
              <w:ind w:left="72"/>
            </w:pPr>
            <w:r>
              <w:t>JUTIAPA</w:t>
            </w:r>
          </w:p>
        </w:tc>
        <w:tc>
          <w:tcPr>
            <w:tcW w:w="1725" w:type="dxa"/>
            <w:tcBorders>
              <w:top w:val="single" w:sz="2" w:space="0" w:color="000000"/>
              <w:left w:val="single" w:sz="2" w:space="0" w:color="000000"/>
              <w:bottom w:val="single" w:sz="2" w:space="0" w:color="000000"/>
              <w:right w:val="single" w:sz="2" w:space="0" w:color="000000"/>
            </w:tcBorders>
          </w:tcPr>
          <w:p w14:paraId="0D174803" w14:textId="77777777" w:rsidR="00053D93" w:rsidRDefault="00260B75">
            <w:pPr>
              <w:jc w:val="right"/>
            </w:pPr>
            <w:r>
              <w:rPr>
                <w:sz w:val="20"/>
              </w:rPr>
              <w:t>26</w:t>
            </w:r>
          </w:p>
        </w:tc>
        <w:tc>
          <w:tcPr>
            <w:tcW w:w="655" w:type="dxa"/>
            <w:tcBorders>
              <w:top w:val="single" w:sz="2" w:space="0" w:color="000000"/>
              <w:left w:val="single" w:sz="2" w:space="0" w:color="000000"/>
              <w:bottom w:val="single" w:sz="2" w:space="0" w:color="000000"/>
              <w:right w:val="nil"/>
            </w:tcBorders>
          </w:tcPr>
          <w:p w14:paraId="51324978" w14:textId="77777777" w:rsidR="00053D93" w:rsidRDefault="00053D93"/>
        </w:tc>
        <w:tc>
          <w:tcPr>
            <w:tcW w:w="1682" w:type="dxa"/>
            <w:tcBorders>
              <w:top w:val="single" w:sz="2" w:space="0" w:color="000000"/>
              <w:left w:val="nil"/>
              <w:bottom w:val="single" w:sz="2" w:space="0" w:color="000000"/>
              <w:right w:val="single" w:sz="2" w:space="0" w:color="000000"/>
            </w:tcBorders>
          </w:tcPr>
          <w:p w14:paraId="11396B25" w14:textId="77777777" w:rsidR="00053D93" w:rsidRDefault="00260B75">
            <w:pPr>
              <w:ind w:left="346"/>
            </w:pPr>
            <w:r>
              <w:rPr>
                <w:sz w:val="18"/>
              </w:rPr>
              <w:t>52,595.oo</w:t>
            </w:r>
          </w:p>
        </w:tc>
      </w:tr>
      <w:tr w:rsidR="00053D93" w14:paraId="1AA56F9B" w14:textId="77777777">
        <w:trPr>
          <w:trHeight w:val="274"/>
        </w:trPr>
        <w:tc>
          <w:tcPr>
            <w:tcW w:w="4035" w:type="dxa"/>
            <w:gridSpan w:val="3"/>
            <w:tcBorders>
              <w:top w:val="single" w:sz="2" w:space="0" w:color="000000"/>
              <w:left w:val="single" w:sz="2" w:space="0" w:color="000000"/>
              <w:bottom w:val="single" w:sz="2" w:space="0" w:color="000000"/>
              <w:right w:val="single" w:sz="2" w:space="0" w:color="000000"/>
            </w:tcBorders>
          </w:tcPr>
          <w:p w14:paraId="66C7BEA4" w14:textId="77777777" w:rsidR="00053D93" w:rsidRDefault="00260B75">
            <w:pPr>
              <w:ind w:left="79"/>
            </w:pPr>
            <w:r>
              <w:t>PETÉN</w:t>
            </w:r>
          </w:p>
        </w:tc>
        <w:tc>
          <w:tcPr>
            <w:tcW w:w="1725" w:type="dxa"/>
            <w:tcBorders>
              <w:top w:val="single" w:sz="2" w:space="0" w:color="000000"/>
              <w:left w:val="single" w:sz="2" w:space="0" w:color="000000"/>
              <w:bottom w:val="single" w:sz="2" w:space="0" w:color="000000"/>
              <w:right w:val="single" w:sz="2" w:space="0" w:color="000000"/>
            </w:tcBorders>
          </w:tcPr>
          <w:p w14:paraId="17E994FD" w14:textId="77777777" w:rsidR="00053D93" w:rsidRDefault="00260B75">
            <w:pPr>
              <w:jc w:val="right"/>
            </w:pPr>
            <w:r>
              <w:rPr>
                <w:sz w:val="20"/>
              </w:rPr>
              <w:t>I ,664</w:t>
            </w:r>
          </w:p>
        </w:tc>
        <w:tc>
          <w:tcPr>
            <w:tcW w:w="655" w:type="dxa"/>
            <w:tcBorders>
              <w:top w:val="single" w:sz="2" w:space="0" w:color="000000"/>
              <w:left w:val="single" w:sz="2" w:space="0" w:color="000000"/>
              <w:bottom w:val="single" w:sz="2" w:space="0" w:color="000000"/>
              <w:right w:val="nil"/>
            </w:tcBorders>
          </w:tcPr>
          <w:p w14:paraId="7705679A" w14:textId="77777777" w:rsidR="00053D93" w:rsidRDefault="00260B75">
            <w:pPr>
              <w:ind w:left="144"/>
            </w:pPr>
            <w:r>
              <w:rPr>
                <w:sz w:val="24"/>
              </w:rPr>
              <w:t>Q</w:t>
            </w:r>
          </w:p>
        </w:tc>
        <w:tc>
          <w:tcPr>
            <w:tcW w:w="1682" w:type="dxa"/>
            <w:tcBorders>
              <w:top w:val="single" w:sz="2" w:space="0" w:color="000000"/>
              <w:left w:val="nil"/>
              <w:bottom w:val="single" w:sz="2" w:space="0" w:color="000000"/>
              <w:right w:val="single" w:sz="2" w:space="0" w:color="000000"/>
            </w:tcBorders>
          </w:tcPr>
          <w:p w14:paraId="256479E8" w14:textId="77777777" w:rsidR="00053D93" w:rsidRDefault="00260B75">
            <w:pPr>
              <w:ind w:left="22"/>
            </w:pPr>
            <w:r>
              <w:rPr>
                <w:sz w:val="18"/>
              </w:rPr>
              <w:t>131053,21 1.00</w:t>
            </w:r>
          </w:p>
        </w:tc>
      </w:tr>
      <w:tr w:rsidR="00053D93" w14:paraId="0C36CD10" w14:textId="77777777">
        <w:trPr>
          <w:trHeight w:val="410"/>
        </w:trPr>
        <w:tc>
          <w:tcPr>
            <w:tcW w:w="4035" w:type="dxa"/>
            <w:gridSpan w:val="3"/>
            <w:tcBorders>
              <w:top w:val="single" w:sz="2" w:space="0" w:color="000000"/>
              <w:left w:val="single" w:sz="2" w:space="0" w:color="000000"/>
              <w:bottom w:val="single" w:sz="2" w:space="0" w:color="000000"/>
              <w:right w:val="single" w:sz="2" w:space="0" w:color="000000"/>
            </w:tcBorders>
          </w:tcPr>
          <w:p w14:paraId="57B75B3C" w14:textId="77777777" w:rsidR="00053D93" w:rsidRDefault="00260B75">
            <w:pPr>
              <w:ind w:left="79" w:right="1608"/>
            </w:pPr>
            <w:r>
              <w:t>QUETZALTENANGO QUICHÉ</w:t>
            </w:r>
          </w:p>
        </w:tc>
        <w:tc>
          <w:tcPr>
            <w:tcW w:w="1725" w:type="dxa"/>
            <w:tcBorders>
              <w:top w:val="single" w:sz="2" w:space="0" w:color="000000"/>
              <w:left w:val="single" w:sz="2" w:space="0" w:color="000000"/>
              <w:bottom w:val="single" w:sz="2" w:space="0" w:color="000000"/>
              <w:right w:val="single" w:sz="2" w:space="0" w:color="000000"/>
            </w:tcBorders>
            <w:vAlign w:val="bottom"/>
          </w:tcPr>
          <w:p w14:paraId="3033E30A" w14:textId="77777777" w:rsidR="00053D93" w:rsidRDefault="00260B75">
            <w:pPr>
              <w:spacing w:after="10"/>
              <w:jc w:val="right"/>
            </w:pPr>
            <w:r>
              <w:rPr>
                <w:sz w:val="20"/>
              </w:rPr>
              <w:t>25</w:t>
            </w:r>
          </w:p>
          <w:p w14:paraId="5199D318" w14:textId="77777777" w:rsidR="00053D93" w:rsidRDefault="00260B75">
            <w:pPr>
              <w:jc w:val="right"/>
            </w:pPr>
            <w:r>
              <w:rPr>
                <w:sz w:val="20"/>
              </w:rPr>
              <w:t>834</w:t>
            </w:r>
          </w:p>
        </w:tc>
        <w:tc>
          <w:tcPr>
            <w:tcW w:w="655" w:type="dxa"/>
            <w:tcBorders>
              <w:top w:val="single" w:sz="2" w:space="0" w:color="000000"/>
              <w:left w:val="single" w:sz="2" w:space="0" w:color="000000"/>
              <w:bottom w:val="single" w:sz="2" w:space="0" w:color="000000"/>
              <w:right w:val="nil"/>
            </w:tcBorders>
          </w:tcPr>
          <w:p w14:paraId="15441F1B" w14:textId="77777777" w:rsidR="00053D93" w:rsidRDefault="00053D93"/>
        </w:tc>
        <w:tc>
          <w:tcPr>
            <w:tcW w:w="1682" w:type="dxa"/>
            <w:tcBorders>
              <w:top w:val="single" w:sz="2" w:space="0" w:color="000000"/>
              <w:left w:val="nil"/>
              <w:bottom w:val="single" w:sz="2" w:space="0" w:color="000000"/>
              <w:right w:val="single" w:sz="2" w:space="0" w:color="000000"/>
            </w:tcBorders>
          </w:tcPr>
          <w:p w14:paraId="716A0B0C" w14:textId="77777777" w:rsidR="00053D93" w:rsidRDefault="00260B75">
            <w:pPr>
              <w:ind w:left="353"/>
            </w:pPr>
            <w:r>
              <w:rPr>
                <w:sz w:val="18"/>
              </w:rPr>
              <w:t>14,735.oo</w:t>
            </w:r>
          </w:p>
        </w:tc>
      </w:tr>
      <w:tr w:rsidR="00053D93" w14:paraId="66D492D7" w14:textId="77777777">
        <w:trPr>
          <w:trHeight w:val="340"/>
        </w:trPr>
        <w:tc>
          <w:tcPr>
            <w:tcW w:w="4035" w:type="dxa"/>
            <w:gridSpan w:val="3"/>
            <w:tcBorders>
              <w:top w:val="single" w:sz="2" w:space="0" w:color="000000"/>
              <w:left w:val="single" w:sz="2" w:space="0" w:color="000000"/>
              <w:bottom w:val="nil"/>
              <w:right w:val="single" w:sz="2" w:space="0" w:color="000000"/>
            </w:tcBorders>
          </w:tcPr>
          <w:p w14:paraId="2D65A279" w14:textId="77777777" w:rsidR="00053D93" w:rsidRDefault="00053D93"/>
        </w:tc>
        <w:tc>
          <w:tcPr>
            <w:tcW w:w="1725" w:type="dxa"/>
            <w:tcBorders>
              <w:top w:val="single" w:sz="2" w:space="0" w:color="000000"/>
              <w:left w:val="single" w:sz="2" w:space="0" w:color="000000"/>
              <w:bottom w:val="single" w:sz="2" w:space="0" w:color="000000"/>
              <w:right w:val="single" w:sz="2" w:space="0" w:color="000000"/>
            </w:tcBorders>
          </w:tcPr>
          <w:p w14:paraId="2F16D69F" w14:textId="77777777" w:rsidR="00053D93" w:rsidRDefault="00053D93"/>
        </w:tc>
        <w:tc>
          <w:tcPr>
            <w:tcW w:w="2337" w:type="dxa"/>
            <w:gridSpan w:val="2"/>
            <w:tcBorders>
              <w:top w:val="single" w:sz="2" w:space="0" w:color="000000"/>
              <w:left w:val="single" w:sz="2" w:space="0" w:color="000000"/>
              <w:bottom w:val="single" w:sz="2" w:space="0" w:color="000000"/>
              <w:right w:val="single" w:sz="2" w:space="0" w:color="000000"/>
            </w:tcBorders>
          </w:tcPr>
          <w:p w14:paraId="1A34635C" w14:textId="77777777" w:rsidR="00053D93" w:rsidRDefault="00053D93"/>
        </w:tc>
      </w:tr>
      <w:tr w:rsidR="00053D93" w14:paraId="63B5397F" w14:textId="77777777">
        <w:trPr>
          <w:trHeight w:val="600"/>
        </w:trPr>
        <w:tc>
          <w:tcPr>
            <w:tcW w:w="349" w:type="dxa"/>
            <w:tcBorders>
              <w:top w:val="nil"/>
              <w:left w:val="single" w:sz="2" w:space="0" w:color="000000"/>
              <w:bottom w:val="nil"/>
              <w:right w:val="single" w:sz="2" w:space="0" w:color="000000"/>
            </w:tcBorders>
          </w:tcPr>
          <w:p w14:paraId="04123AD2" w14:textId="77777777" w:rsidR="00053D93" w:rsidRDefault="00260B75">
            <w:pPr>
              <w:ind w:left="86"/>
            </w:pPr>
            <w:r>
              <w:rPr>
                <w:noProof/>
              </w:rPr>
              <w:drawing>
                <wp:inline distT="0" distB="0" distL="0" distR="0" wp14:anchorId="51CC0D26" wp14:editId="1C213E81">
                  <wp:extent cx="64008" cy="164592"/>
                  <wp:effectExtent l="0" t="0" r="0" b="0"/>
                  <wp:docPr id="2458890" name="Picture 2458890"/>
                  <wp:cNvGraphicFramePr/>
                  <a:graphic xmlns:a="http://schemas.openxmlformats.org/drawingml/2006/main">
                    <a:graphicData uri="http://schemas.openxmlformats.org/drawingml/2006/picture">
                      <pic:pic xmlns:pic="http://schemas.openxmlformats.org/drawingml/2006/picture">
                        <pic:nvPicPr>
                          <pic:cNvPr id="2458890" name="Picture 2458890"/>
                          <pic:cNvPicPr/>
                        </pic:nvPicPr>
                        <pic:blipFill>
                          <a:blip r:embed="rId1600"/>
                          <a:stretch>
                            <a:fillRect/>
                          </a:stretch>
                        </pic:blipFill>
                        <pic:spPr>
                          <a:xfrm>
                            <a:off x="0" y="0"/>
                            <a:ext cx="64008" cy="164592"/>
                          </a:xfrm>
                          <a:prstGeom prst="rect">
                            <a:avLst/>
                          </a:prstGeom>
                        </pic:spPr>
                      </pic:pic>
                    </a:graphicData>
                  </a:graphic>
                </wp:inline>
              </w:drawing>
            </w:r>
          </w:p>
        </w:tc>
        <w:tc>
          <w:tcPr>
            <w:tcW w:w="311" w:type="dxa"/>
            <w:tcBorders>
              <w:top w:val="nil"/>
              <w:left w:val="single" w:sz="2" w:space="0" w:color="000000"/>
              <w:bottom w:val="nil"/>
              <w:right w:val="single" w:sz="2" w:space="0" w:color="000000"/>
            </w:tcBorders>
          </w:tcPr>
          <w:p w14:paraId="4A672F4E" w14:textId="77777777" w:rsidR="00053D93" w:rsidRDefault="00053D93"/>
        </w:tc>
        <w:tc>
          <w:tcPr>
            <w:tcW w:w="7438" w:type="dxa"/>
            <w:gridSpan w:val="4"/>
            <w:tcBorders>
              <w:top w:val="single" w:sz="2" w:space="0" w:color="000000"/>
              <w:left w:val="single" w:sz="2" w:space="0" w:color="000000"/>
              <w:bottom w:val="nil"/>
              <w:right w:val="nil"/>
            </w:tcBorders>
          </w:tcPr>
          <w:p w14:paraId="738E92D5" w14:textId="77777777" w:rsidR="00053D93" w:rsidRDefault="00260B75">
            <w:pPr>
              <w:ind w:right="369"/>
              <w:jc w:val="center"/>
            </w:pPr>
            <w:r>
              <w:rPr>
                <w:sz w:val="14"/>
              </w:rPr>
              <w:t>MINISTERIO DE EDUCACION</w:t>
            </w:r>
          </w:p>
          <w:p w14:paraId="3FA3EADE" w14:textId="77777777" w:rsidR="00053D93" w:rsidRDefault="00260B75">
            <w:pPr>
              <w:ind w:right="376"/>
              <w:jc w:val="center"/>
            </w:pPr>
            <w:r>
              <w:rPr>
                <w:sz w:val="14"/>
              </w:rPr>
              <w:t>AUDITORIA FINANCIERA Y DE CUMPLIMIENTO</w:t>
            </w:r>
          </w:p>
          <w:p w14:paraId="0E76194C" w14:textId="77777777" w:rsidR="00053D93" w:rsidRDefault="00260B75">
            <w:pPr>
              <w:ind w:right="369"/>
              <w:jc w:val="center"/>
            </w:pPr>
            <w:r>
              <w:rPr>
                <w:sz w:val="14"/>
              </w:rPr>
              <w:t>PERIODO DEL 01 ENERO AL M DE DICIEMBRE DE 2024</w:t>
            </w:r>
          </w:p>
        </w:tc>
      </w:tr>
    </w:tbl>
    <w:p w14:paraId="3A6BA284" w14:textId="77777777" w:rsidR="00053D93" w:rsidRDefault="00260B75">
      <w:pPr>
        <w:tabs>
          <w:tab w:val="center" w:pos="3139"/>
          <w:tab w:val="center" w:pos="5839"/>
        </w:tabs>
        <w:spacing w:after="175"/>
      </w:pPr>
      <w:r>
        <w:rPr>
          <w:sz w:val="10"/>
        </w:rPr>
        <w:tab/>
        <w:t xml:space="preserve">OE </w:t>
      </w:r>
      <w:r>
        <w:rPr>
          <w:sz w:val="10"/>
        </w:rPr>
        <w:tab/>
        <w:t>25-4</w:t>
      </w:r>
    </w:p>
    <w:tbl>
      <w:tblPr>
        <w:tblStyle w:val="TableGrid"/>
        <w:tblW w:w="8172" w:type="dxa"/>
        <w:tblInd w:w="1613" w:type="dxa"/>
        <w:tblCellMar>
          <w:top w:w="10" w:type="dxa"/>
          <w:right w:w="77" w:type="dxa"/>
        </w:tblCellMar>
        <w:tblLook w:val="04A0" w:firstRow="1" w:lastRow="0" w:firstColumn="1" w:lastColumn="0" w:noHBand="0" w:noVBand="1"/>
      </w:tblPr>
      <w:tblGrid>
        <w:gridCol w:w="83"/>
        <w:gridCol w:w="4036"/>
        <w:gridCol w:w="1727"/>
        <w:gridCol w:w="542"/>
        <w:gridCol w:w="1784"/>
      </w:tblGrid>
      <w:tr w:rsidR="00053D93" w14:paraId="59EA523A" w14:textId="77777777">
        <w:trPr>
          <w:trHeight w:val="252"/>
        </w:trPr>
        <w:tc>
          <w:tcPr>
            <w:tcW w:w="76" w:type="dxa"/>
            <w:vMerge w:val="restart"/>
            <w:tcBorders>
              <w:top w:val="single" w:sz="2" w:space="0" w:color="000000"/>
              <w:left w:val="nil"/>
              <w:bottom w:val="nil"/>
              <w:right w:val="single" w:sz="2" w:space="0" w:color="000000"/>
            </w:tcBorders>
          </w:tcPr>
          <w:p w14:paraId="4E467293" w14:textId="77777777" w:rsidR="00053D93" w:rsidRDefault="00053D93"/>
        </w:tc>
        <w:tc>
          <w:tcPr>
            <w:tcW w:w="4038" w:type="dxa"/>
            <w:tcBorders>
              <w:top w:val="single" w:sz="2" w:space="0" w:color="000000"/>
              <w:left w:val="single" w:sz="2" w:space="0" w:color="000000"/>
              <w:bottom w:val="single" w:sz="2" w:space="0" w:color="000000"/>
              <w:right w:val="single" w:sz="2" w:space="0" w:color="000000"/>
            </w:tcBorders>
          </w:tcPr>
          <w:p w14:paraId="7FA65C52" w14:textId="77777777" w:rsidR="00053D93" w:rsidRDefault="00260B75">
            <w:pPr>
              <w:ind w:left="83"/>
            </w:pPr>
            <w:r>
              <w:t>QUICHÉ NORTE</w:t>
            </w:r>
          </w:p>
        </w:tc>
        <w:tc>
          <w:tcPr>
            <w:tcW w:w="1730" w:type="dxa"/>
            <w:tcBorders>
              <w:top w:val="single" w:sz="2" w:space="0" w:color="000000"/>
              <w:left w:val="single" w:sz="2" w:space="0" w:color="000000"/>
              <w:bottom w:val="single" w:sz="2" w:space="0" w:color="000000"/>
              <w:right w:val="single" w:sz="2" w:space="0" w:color="000000"/>
            </w:tcBorders>
          </w:tcPr>
          <w:p w14:paraId="2C30BDB6" w14:textId="77777777" w:rsidR="00053D93" w:rsidRDefault="00260B75">
            <w:pPr>
              <w:ind w:right="7"/>
              <w:jc w:val="right"/>
            </w:pPr>
            <w:r>
              <w:rPr>
                <w:sz w:val="18"/>
              </w:rPr>
              <w:t>28</w:t>
            </w:r>
          </w:p>
        </w:tc>
        <w:tc>
          <w:tcPr>
            <w:tcW w:w="543" w:type="dxa"/>
            <w:tcBorders>
              <w:top w:val="single" w:sz="2" w:space="0" w:color="000000"/>
              <w:left w:val="single" w:sz="2" w:space="0" w:color="000000"/>
              <w:bottom w:val="single" w:sz="2" w:space="0" w:color="000000"/>
              <w:right w:val="nil"/>
            </w:tcBorders>
          </w:tcPr>
          <w:p w14:paraId="64EAB5C6" w14:textId="77777777" w:rsidR="00053D93" w:rsidRDefault="00260B75">
            <w:pPr>
              <w:ind w:left="132"/>
            </w:pPr>
            <w:r>
              <w:rPr>
                <w:sz w:val="24"/>
              </w:rPr>
              <w:t>Q</w:t>
            </w:r>
          </w:p>
        </w:tc>
        <w:tc>
          <w:tcPr>
            <w:tcW w:w="1786" w:type="dxa"/>
            <w:tcBorders>
              <w:top w:val="single" w:sz="2" w:space="0" w:color="000000"/>
              <w:left w:val="nil"/>
              <w:bottom w:val="single" w:sz="2" w:space="0" w:color="000000"/>
              <w:right w:val="single" w:sz="2" w:space="0" w:color="000000"/>
            </w:tcBorders>
          </w:tcPr>
          <w:p w14:paraId="1B4C51C9" w14:textId="77777777" w:rsidR="00053D93" w:rsidRDefault="00260B75">
            <w:pPr>
              <w:ind w:left="353"/>
            </w:pPr>
            <w:r>
              <w:rPr>
                <w:sz w:val="18"/>
              </w:rPr>
              <w:t>2811295.00</w:t>
            </w:r>
          </w:p>
        </w:tc>
      </w:tr>
      <w:tr w:rsidR="00053D93" w14:paraId="0715E60C" w14:textId="77777777">
        <w:trPr>
          <w:trHeight w:val="278"/>
        </w:trPr>
        <w:tc>
          <w:tcPr>
            <w:tcW w:w="0" w:type="auto"/>
            <w:vMerge/>
            <w:tcBorders>
              <w:top w:val="nil"/>
              <w:left w:val="nil"/>
              <w:bottom w:val="nil"/>
              <w:right w:val="single" w:sz="2" w:space="0" w:color="000000"/>
            </w:tcBorders>
          </w:tcPr>
          <w:p w14:paraId="0D615C7B" w14:textId="77777777" w:rsidR="00053D93" w:rsidRDefault="00053D93"/>
        </w:tc>
        <w:tc>
          <w:tcPr>
            <w:tcW w:w="4038" w:type="dxa"/>
            <w:tcBorders>
              <w:top w:val="single" w:sz="2" w:space="0" w:color="000000"/>
              <w:left w:val="single" w:sz="2" w:space="0" w:color="000000"/>
              <w:bottom w:val="single" w:sz="2" w:space="0" w:color="000000"/>
              <w:right w:val="single" w:sz="2" w:space="0" w:color="000000"/>
            </w:tcBorders>
          </w:tcPr>
          <w:p w14:paraId="6B259341" w14:textId="77777777" w:rsidR="00053D93" w:rsidRDefault="00260B75">
            <w:pPr>
              <w:ind w:left="90"/>
            </w:pPr>
            <w:r>
              <w:t>RETALHULEU</w:t>
            </w:r>
          </w:p>
        </w:tc>
        <w:tc>
          <w:tcPr>
            <w:tcW w:w="1730" w:type="dxa"/>
            <w:tcBorders>
              <w:top w:val="single" w:sz="2" w:space="0" w:color="000000"/>
              <w:left w:val="single" w:sz="2" w:space="0" w:color="000000"/>
              <w:bottom w:val="single" w:sz="2" w:space="0" w:color="000000"/>
              <w:right w:val="single" w:sz="2" w:space="0" w:color="000000"/>
            </w:tcBorders>
          </w:tcPr>
          <w:p w14:paraId="1B8F03C6" w14:textId="77777777" w:rsidR="00053D93" w:rsidRDefault="00260B75">
            <w:pPr>
              <w:jc w:val="right"/>
            </w:pPr>
            <w:r>
              <w:rPr>
                <w:sz w:val="20"/>
              </w:rPr>
              <w:t>575</w:t>
            </w:r>
          </w:p>
        </w:tc>
        <w:tc>
          <w:tcPr>
            <w:tcW w:w="543" w:type="dxa"/>
            <w:tcBorders>
              <w:top w:val="single" w:sz="2" w:space="0" w:color="000000"/>
              <w:left w:val="single" w:sz="2" w:space="0" w:color="000000"/>
              <w:bottom w:val="single" w:sz="2" w:space="0" w:color="000000"/>
              <w:right w:val="nil"/>
            </w:tcBorders>
          </w:tcPr>
          <w:p w14:paraId="589090C7" w14:textId="77777777" w:rsidR="00053D93" w:rsidRDefault="00260B75">
            <w:pPr>
              <w:ind w:left="132"/>
            </w:pPr>
            <w:r>
              <w:rPr>
                <w:sz w:val="24"/>
              </w:rPr>
              <w:t>Q</w:t>
            </w:r>
          </w:p>
        </w:tc>
        <w:tc>
          <w:tcPr>
            <w:tcW w:w="1786" w:type="dxa"/>
            <w:tcBorders>
              <w:top w:val="single" w:sz="2" w:space="0" w:color="000000"/>
              <w:left w:val="nil"/>
              <w:bottom w:val="single" w:sz="2" w:space="0" w:color="000000"/>
              <w:right w:val="single" w:sz="2" w:space="0" w:color="000000"/>
            </w:tcBorders>
          </w:tcPr>
          <w:p w14:paraId="3D0F17EE" w14:textId="77777777" w:rsidR="00053D93" w:rsidRDefault="00260B75">
            <w:pPr>
              <w:ind w:left="202"/>
            </w:pPr>
            <w:r>
              <w:rPr>
                <w:sz w:val="20"/>
              </w:rPr>
              <w:t>6,1 13.719.00</w:t>
            </w:r>
          </w:p>
        </w:tc>
      </w:tr>
      <w:tr w:rsidR="00053D93" w14:paraId="17943460" w14:textId="77777777">
        <w:trPr>
          <w:trHeight w:val="406"/>
        </w:trPr>
        <w:tc>
          <w:tcPr>
            <w:tcW w:w="0" w:type="auto"/>
            <w:vMerge/>
            <w:tcBorders>
              <w:top w:val="nil"/>
              <w:left w:val="nil"/>
              <w:bottom w:val="nil"/>
              <w:right w:val="single" w:sz="2" w:space="0" w:color="000000"/>
            </w:tcBorders>
          </w:tcPr>
          <w:p w14:paraId="6E271301" w14:textId="77777777" w:rsidR="00053D93" w:rsidRDefault="00053D93"/>
        </w:tc>
        <w:tc>
          <w:tcPr>
            <w:tcW w:w="4038" w:type="dxa"/>
            <w:tcBorders>
              <w:top w:val="single" w:sz="2" w:space="0" w:color="000000"/>
              <w:left w:val="single" w:sz="2" w:space="0" w:color="000000"/>
              <w:bottom w:val="single" w:sz="2" w:space="0" w:color="000000"/>
              <w:right w:val="single" w:sz="2" w:space="0" w:color="000000"/>
            </w:tcBorders>
          </w:tcPr>
          <w:p w14:paraId="6C10F37D" w14:textId="77777777" w:rsidR="00053D93" w:rsidRDefault="00260B75">
            <w:pPr>
              <w:ind w:left="83" w:right="2158"/>
            </w:pPr>
            <w:r>
              <w:t>SACATEPÉQUEZ SAN MARCOS</w:t>
            </w:r>
          </w:p>
        </w:tc>
        <w:tc>
          <w:tcPr>
            <w:tcW w:w="1730" w:type="dxa"/>
            <w:tcBorders>
              <w:top w:val="single" w:sz="2" w:space="0" w:color="000000"/>
              <w:left w:val="single" w:sz="2" w:space="0" w:color="000000"/>
              <w:bottom w:val="single" w:sz="2" w:space="0" w:color="000000"/>
              <w:right w:val="single" w:sz="2" w:space="0" w:color="000000"/>
            </w:tcBorders>
            <w:vAlign w:val="bottom"/>
          </w:tcPr>
          <w:p w14:paraId="6159F26D" w14:textId="77777777" w:rsidR="00053D93" w:rsidRDefault="00260B75">
            <w:pPr>
              <w:spacing w:after="3"/>
              <w:ind w:right="7"/>
              <w:jc w:val="right"/>
            </w:pPr>
            <w:r>
              <w:rPr>
                <w:sz w:val="20"/>
              </w:rPr>
              <w:t>8</w:t>
            </w:r>
          </w:p>
          <w:p w14:paraId="52B62EB7" w14:textId="77777777" w:rsidR="00053D93" w:rsidRDefault="00260B75">
            <w:pPr>
              <w:ind w:left="833"/>
              <w:jc w:val="center"/>
            </w:pPr>
            <w:r>
              <w:rPr>
                <w:sz w:val="18"/>
              </w:rPr>
              <w:t>24,</w:t>
            </w:r>
          </w:p>
        </w:tc>
        <w:tc>
          <w:tcPr>
            <w:tcW w:w="543" w:type="dxa"/>
            <w:tcBorders>
              <w:top w:val="single" w:sz="2" w:space="0" w:color="000000"/>
              <w:left w:val="single" w:sz="2" w:space="0" w:color="000000"/>
              <w:bottom w:val="single" w:sz="2" w:space="0" w:color="000000"/>
              <w:right w:val="nil"/>
            </w:tcBorders>
          </w:tcPr>
          <w:p w14:paraId="322B0AA2" w14:textId="77777777" w:rsidR="00053D93" w:rsidRDefault="00260B75">
            <w:pPr>
              <w:ind w:left="132"/>
            </w:pPr>
            <w:r>
              <w:rPr>
                <w:sz w:val="24"/>
              </w:rPr>
              <w:t>Q</w:t>
            </w:r>
          </w:p>
        </w:tc>
        <w:tc>
          <w:tcPr>
            <w:tcW w:w="1786" w:type="dxa"/>
            <w:tcBorders>
              <w:top w:val="single" w:sz="2" w:space="0" w:color="000000"/>
              <w:left w:val="nil"/>
              <w:bottom w:val="single" w:sz="2" w:space="0" w:color="000000"/>
              <w:right w:val="single" w:sz="2" w:space="0" w:color="000000"/>
            </w:tcBorders>
          </w:tcPr>
          <w:p w14:paraId="3843AEC3" w14:textId="77777777" w:rsidR="00053D93" w:rsidRDefault="00260B75">
            <w:pPr>
              <w:ind w:left="360"/>
            </w:pPr>
            <w:r>
              <w:rPr>
                <w:sz w:val="20"/>
              </w:rPr>
              <w:t>123.946.00</w:t>
            </w:r>
          </w:p>
        </w:tc>
      </w:tr>
      <w:tr w:rsidR="00053D93" w14:paraId="13CA1762" w14:textId="77777777">
        <w:trPr>
          <w:trHeight w:val="155"/>
        </w:trPr>
        <w:tc>
          <w:tcPr>
            <w:tcW w:w="0" w:type="auto"/>
            <w:vMerge/>
            <w:tcBorders>
              <w:top w:val="nil"/>
              <w:left w:val="nil"/>
              <w:bottom w:val="nil"/>
              <w:right w:val="single" w:sz="2" w:space="0" w:color="000000"/>
            </w:tcBorders>
          </w:tcPr>
          <w:p w14:paraId="2BAA0FEF" w14:textId="77777777" w:rsidR="00053D93" w:rsidRDefault="00053D93"/>
        </w:tc>
        <w:tc>
          <w:tcPr>
            <w:tcW w:w="4038" w:type="dxa"/>
            <w:vMerge w:val="restart"/>
            <w:tcBorders>
              <w:top w:val="single" w:sz="2" w:space="0" w:color="000000"/>
              <w:left w:val="single" w:sz="2" w:space="0" w:color="000000"/>
              <w:bottom w:val="single" w:sz="2" w:space="0" w:color="000000"/>
              <w:right w:val="single" w:sz="2" w:space="0" w:color="000000"/>
            </w:tcBorders>
          </w:tcPr>
          <w:p w14:paraId="3631FB1F" w14:textId="77777777" w:rsidR="00053D93" w:rsidRDefault="00260B75">
            <w:pPr>
              <w:ind w:left="83"/>
            </w:pPr>
            <w:r>
              <w:t>SANTA ROSA</w:t>
            </w:r>
          </w:p>
        </w:tc>
        <w:tc>
          <w:tcPr>
            <w:tcW w:w="1730" w:type="dxa"/>
            <w:vMerge w:val="restart"/>
            <w:tcBorders>
              <w:top w:val="single" w:sz="2" w:space="0" w:color="000000"/>
              <w:left w:val="single" w:sz="2" w:space="0" w:color="000000"/>
              <w:bottom w:val="single" w:sz="2" w:space="0" w:color="000000"/>
              <w:right w:val="single" w:sz="2" w:space="0" w:color="000000"/>
            </w:tcBorders>
            <w:vAlign w:val="bottom"/>
          </w:tcPr>
          <w:p w14:paraId="367BB00D" w14:textId="77777777" w:rsidR="00053D93" w:rsidRDefault="00260B75">
            <w:pPr>
              <w:ind w:right="7"/>
              <w:jc w:val="right"/>
            </w:pPr>
            <w:r>
              <w:rPr>
                <w:sz w:val="20"/>
              </w:rPr>
              <w:t>2,062</w:t>
            </w:r>
          </w:p>
        </w:tc>
        <w:tc>
          <w:tcPr>
            <w:tcW w:w="543" w:type="dxa"/>
            <w:vMerge w:val="restart"/>
            <w:tcBorders>
              <w:top w:val="single" w:sz="2" w:space="0" w:color="000000"/>
              <w:left w:val="single" w:sz="2" w:space="0" w:color="000000"/>
              <w:bottom w:val="single" w:sz="2" w:space="0" w:color="000000"/>
              <w:right w:val="nil"/>
            </w:tcBorders>
            <w:vAlign w:val="bottom"/>
          </w:tcPr>
          <w:p w14:paraId="421DA9C1" w14:textId="77777777" w:rsidR="00053D93" w:rsidRDefault="00260B75">
            <w:pPr>
              <w:ind w:left="132"/>
            </w:pPr>
            <w:r>
              <w:rPr>
                <w:sz w:val="24"/>
              </w:rPr>
              <w:t>Q</w:t>
            </w:r>
          </w:p>
        </w:tc>
        <w:tc>
          <w:tcPr>
            <w:tcW w:w="1786" w:type="dxa"/>
            <w:tcBorders>
              <w:top w:val="single" w:sz="2" w:space="0" w:color="000000"/>
              <w:left w:val="nil"/>
              <w:bottom w:val="single" w:sz="2" w:space="0" w:color="000000"/>
              <w:right w:val="single" w:sz="2" w:space="0" w:color="000000"/>
            </w:tcBorders>
          </w:tcPr>
          <w:p w14:paraId="07063273" w14:textId="77777777" w:rsidR="00053D93" w:rsidRDefault="00053D93"/>
        </w:tc>
      </w:tr>
      <w:tr w:rsidR="00053D93" w14:paraId="2318F5A0" w14:textId="77777777">
        <w:trPr>
          <w:trHeight w:val="260"/>
        </w:trPr>
        <w:tc>
          <w:tcPr>
            <w:tcW w:w="0" w:type="auto"/>
            <w:vMerge/>
            <w:tcBorders>
              <w:top w:val="nil"/>
              <w:left w:val="nil"/>
              <w:bottom w:val="nil"/>
              <w:right w:val="single" w:sz="2" w:space="0" w:color="000000"/>
            </w:tcBorders>
          </w:tcPr>
          <w:p w14:paraId="4AEFC785" w14:textId="77777777" w:rsidR="00053D93" w:rsidRDefault="00053D93"/>
        </w:tc>
        <w:tc>
          <w:tcPr>
            <w:tcW w:w="0" w:type="auto"/>
            <w:vMerge/>
            <w:tcBorders>
              <w:top w:val="nil"/>
              <w:left w:val="single" w:sz="2" w:space="0" w:color="000000"/>
              <w:bottom w:val="single" w:sz="2" w:space="0" w:color="000000"/>
              <w:right w:val="single" w:sz="2" w:space="0" w:color="000000"/>
            </w:tcBorders>
          </w:tcPr>
          <w:p w14:paraId="6BC606A4" w14:textId="77777777" w:rsidR="00053D93" w:rsidRDefault="00053D93"/>
        </w:tc>
        <w:tc>
          <w:tcPr>
            <w:tcW w:w="0" w:type="auto"/>
            <w:vMerge/>
            <w:tcBorders>
              <w:top w:val="nil"/>
              <w:left w:val="single" w:sz="2" w:space="0" w:color="000000"/>
              <w:bottom w:val="single" w:sz="2" w:space="0" w:color="000000"/>
              <w:right w:val="single" w:sz="2" w:space="0" w:color="000000"/>
            </w:tcBorders>
          </w:tcPr>
          <w:p w14:paraId="26F9ACCD" w14:textId="77777777" w:rsidR="00053D93" w:rsidRDefault="00053D93"/>
        </w:tc>
        <w:tc>
          <w:tcPr>
            <w:tcW w:w="0" w:type="auto"/>
            <w:vMerge/>
            <w:tcBorders>
              <w:top w:val="nil"/>
              <w:left w:val="single" w:sz="2" w:space="0" w:color="000000"/>
              <w:bottom w:val="single" w:sz="2" w:space="0" w:color="000000"/>
              <w:right w:val="nil"/>
            </w:tcBorders>
          </w:tcPr>
          <w:p w14:paraId="53670B9D" w14:textId="77777777" w:rsidR="00053D93" w:rsidRDefault="00053D93"/>
        </w:tc>
        <w:tc>
          <w:tcPr>
            <w:tcW w:w="1786" w:type="dxa"/>
            <w:tcBorders>
              <w:top w:val="single" w:sz="2" w:space="0" w:color="000000"/>
              <w:left w:val="nil"/>
              <w:bottom w:val="single" w:sz="2" w:space="0" w:color="000000"/>
              <w:right w:val="single" w:sz="2" w:space="0" w:color="000000"/>
            </w:tcBorders>
          </w:tcPr>
          <w:p w14:paraId="33356964" w14:textId="77777777" w:rsidR="00053D93" w:rsidRDefault="00260B75">
            <w:pPr>
              <w:ind w:left="115"/>
            </w:pPr>
            <w:r>
              <w:rPr>
                <w:sz w:val="18"/>
              </w:rPr>
              <w:t>13,54011 14.00</w:t>
            </w:r>
          </w:p>
        </w:tc>
      </w:tr>
      <w:tr w:rsidR="00053D93" w14:paraId="12ADF405" w14:textId="77777777">
        <w:trPr>
          <w:trHeight w:val="276"/>
        </w:trPr>
        <w:tc>
          <w:tcPr>
            <w:tcW w:w="0" w:type="auto"/>
            <w:vMerge/>
            <w:tcBorders>
              <w:top w:val="nil"/>
              <w:left w:val="nil"/>
              <w:bottom w:val="nil"/>
              <w:right w:val="single" w:sz="2" w:space="0" w:color="000000"/>
            </w:tcBorders>
          </w:tcPr>
          <w:p w14:paraId="0F93BBDE" w14:textId="77777777" w:rsidR="00053D93" w:rsidRDefault="00053D93"/>
        </w:tc>
        <w:tc>
          <w:tcPr>
            <w:tcW w:w="4038" w:type="dxa"/>
            <w:tcBorders>
              <w:top w:val="single" w:sz="2" w:space="0" w:color="000000"/>
              <w:left w:val="single" w:sz="2" w:space="0" w:color="000000"/>
              <w:bottom w:val="single" w:sz="2" w:space="0" w:color="000000"/>
              <w:right w:val="single" w:sz="2" w:space="0" w:color="000000"/>
            </w:tcBorders>
          </w:tcPr>
          <w:p w14:paraId="319AE4BA" w14:textId="77777777" w:rsidR="00053D93" w:rsidRDefault="00260B75">
            <w:pPr>
              <w:ind w:left="83"/>
            </w:pPr>
            <w:r>
              <w:rPr>
                <w:sz w:val="20"/>
              </w:rPr>
              <w:t>SOLOLÁ</w:t>
            </w:r>
          </w:p>
        </w:tc>
        <w:tc>
          <w:tcPr>
            <w:tcW w:w="1730" w:type="dxa"/>
            <w:tcBorders>
              <w:top w:val="single" w:sz="2" w:space="0" w:color="000000"/>
              <w:left w:val="single" w:sz="2" w:space="0" w:color="000000"/>
              <w:bottom w:val="single" w:sz="2" w:space="0" w:color="000000"/>
              <w:right w:val="single" w:sz="2" w:space="0" w:color="000000"/>
            </w:tcBorders>
          </w:tcPr>
          <w:p w14:paraId="1E458C70" w14:textId="77777777" w:rsidR="00053D93" w:rsidRDefault="00260B75">
            <w:pPr>
              <w:ind w:right="7"/>
              <w:jc w:val="right"/>
            </w:pPr>
            <w:r>
              <w:rPr>
                <w:sz w:val="20"/>
              </w:rPr>
              <w:t>124</w:t>
            </w:r>
          </w:p>
        </w:tc>
        <w:tc>
          <w:tcPr>
            <w:tcW w:w="543" w:type="dxa"/>
            <w:tcBorders>
              <w:top w:val="single" w:sz="2" w:space="0" w:color="000000"/>
              <w:left w:val="single" w:sz="2" w:space="0" w:color="000000"/>
              <w:bottom w:val="single" w:sz="2" w:space="0" w:color="000000"/>
              <w:right w:val="nil"/>
            </w:tcBorders>
          </w:tcPr>
          <w:p w14:paraId="6D29687F" w14:textId="77777777" w:rsidR="00053D93" w:rsidRDefault="00260B75">
            <w:pPr>
              <w:ind w:left="132"/>
            </w:pPr>
            <w:r>
              <w:rPr>
                <w:sz w:val="24"/>
              </w:rPr>
              <w:t>Q</w:t>
            </w:r>
          </w:p>
        </w:tc>
        <w:tc>
          <w:tcPr>
            <w:tcW w:w="1786" w:type="dxa"/>
            <w:tcBorders>
              <w:top w:val="single" w:sz="2" w:space="0" w:color="000000"/>
              <w:left w:val="nil"/>
              <w:bottom w:val="single" w:sz="2" w:space="0" w:color="000000"/>
              <w:right w:val="single" w:sz="2" w:space="0" w:color="000000"/>
            </w:tcBorders>
          </w:tcPr>
          <w:p w14:paraId="689AB8BC" w14:textId="77777777" w:rsidR="00053D93" w:rsidRDefault="00260B75">
            <w:pPr>
              <w:ind w:left="360"/>
            </w:pPr>
            <w:r>
              <w:rPr>
                <w:sz w:val="18"/>
              </w:rPr>
              <w:t>143,910.OO</w:t>
            </w:r>
          </w:p>
        </w:tc>
      </w:tr>
      <w:tr w:rsidR="00053D93" w14:paraId="542187D3" w14:textId="77777777">
        <w:trPr>
          <w:trHeight w:val="410"/>
        </w:trPr>
        <w:tc>
          <w:tcPr>
            <w:tcW w:w="0" w:type="auto"/>
            <w:vMerge/>
            <w:tcBorders>
              <w:top w:val="nil"/>
              <w:left w:val="nil"/>
              <w:bottom w:val="nil"/>
              <w:right w:val="single" w:sz="2" w:space="0" w:color="000000"/>
            </w:tcBorders>
          </w:tcPr>
          <w:p w14:paraId="367710A0" w14:textId="77777777" w:rsidR="00053D93" w:rsidRDefault="00053D93"/>
        </w:tc>
        <w:tc>
          <w:tcPr>
            <w:tcW w:w="4038" w:type="dxa"/>
            <w:tcBorders>
              <w:top w:val="single" w:sz="2" w:space="0" w:color="000000"/>
              <w:left w:val="single" w:sz="2" w:space="0" w:color="000000"/>
              <w:bottom w:val="single" w:sz="2" w:space="0" w:color="000000"/>
              <w:right w:val="single" w:sz="2" w:space="0" w:color="000000"/>
            </w:tcBorders>
          </w:tcPr>
          <w:p w14:paraId="10C5956E" w14:textId="77777777" w:rsidR="00053D93" w:rsidRDefault="00260B75">
            <w:pPr>
              <w:ind w:left="76" w:right="1193" w:firstLine="7"/>
            </w:pPr>
            <w:r>
              <w:t>SUCHITEPÉQUEZ TOTONICAPÁN</w:t>
            </w:r>
          </w:p>
        </w:tc>
        <w:tc>
          <w:tcPr>
            <w:tcW w:w="1730" w:type="dxa"/>
            <w:tcBorders>
              <w:top w:val="single" w:sz="2" w:space="0" w:color="000000"/>
              <w:left w:val="single" w:sz="2" w:space="0" w:color="000000"/>
              <w:bottom w:val="single" w:sz="2" w:space="0" w:color="000000"/>
              <w:right w:val="single" w:sz="2" w:space="0" w:color="000000"/>
            </w:tcBorders>
            <w:vAlign w:val="bottom"/>
          </w:tcPr>
          <w:p w14:paraId="0702657F" w14:textId="77777777" w:rsidR="00053D93" w:rsidRDefault="00260B75">
            <w:pPr>
              <w:spacing w:after="10"/>
              <w:ind w:right="7"/>
              <w:jc w:val="right"/>
            </w:pPr>
            <w:r>
              <w:rPr>
                <w:sz w:val="20"/>
              </w:rPr>
              <w:t>6,210</w:t>
            </w:r>
          </w:p>
          <w:p w14:paraId="01FC6606" w14:textId="77777777" w:rsidR="00053D93" w:rsidRDefault="00260B75">
            <w:pPr>
              <w:ind w:right="29"/>
              <w:jc w:val="right"/>
            </w:pPr>
            <w:r>
              <w:rPr>
                <w:sz w:val="18"/>
              </w:rPr>
              <w:t>3,071</w:t>
            </w:r>
          </w:p>
        </w:tc>
        <w:tc>
          <w:tcPr>
            <w:tcW w:w="543" w:type="dxa"/>
            <w:tcBorders>
              <w:top w:val="single" w:sz="2" w:space="0" w:color="000000"/>
              <w:left w:val="single" w:sz="2" w:space="0" w:color="000000"/>
              <w:bottom w:val="single" w:sz="2" w:space="0" w:color="000000"/>
              <w:right w:val="nil"/>
            </w:tcBorders>
          </w:tcPr>
          <w:p w14:paraId="4AE2A016" w14:textId="77777777" w:rsidR="00053D93" w:rsidRDefault="00260B75">
            <w:pPr>
              <w:ind w:left="132"/>
            </w:pPr>
            <w:r>
              <w:rPr>
                <w:sz w:val="24"/>
              </w:rPr>
              <w:t>Q</w:t>
            </w:r>
          </w:p>
        </w:tc>
        <w:tc>
          <w:tcPr>
            <w:tcW w:w="1786" w:type="dxa"/>
            <w:tcBorders>
              <w:top w:val="single" w:sz="2" w:space="0" w:color="000000"/>
              <w:left w:val="nil"/>
              <w:bottom w:val="single" w:sz="2" w:space="0" w:color="000000"/>
              <w:right w:val="single" w:sz="2" w:space="0" w:color="000000"/>
            </w:tcBorders>
          </w:tcPr>
          <w:p w14:paraId="732456C4" w14:textId="77777777" w:rsidR="00053D93" w:rsidRDefault="00260B75">
            <w:pPr>
              <w:ind w:left="108"/>
            </w:pPr>
            <w:r>
              <w:rPr>
                <w:sz w:val="20"/>
              </w:rPr>
              <w:t>56.876,229.oo</w:t>
            </w:r>
          </w:p>
        </w:tc>
      </w:tr>
      <w:tr w:rsidR="00053D93" w14:paraId="2B15FDD4" w14:textId="77777777">
        <w:trPr>
          <w:trHeight w:val="155"/>
        </w:trPr>
        <w:tc>
          <w:tcPr>
            <w:tcW w:w="0" w:type="auto"/>
            <w:vMerge/>
            <w:tcBorders>
              <w:top w:val="nil"/>
              <w:left w:val="nil"/>
              <w:bottom w:val="nil"/>
              <w:right w:val="single" w:sz="2" w:space="0" w:color="000000"/>
            </w:tcBorders>
          </w:tcPr>
          <w:p w14:paraId="256495C7" w14:textId="77777777" w:rsidR="00053D93" w:rsidRDefault="00053D93"/>
        </w:tc>
        <w:tc>
          <w:tcPr>
            <w:tcW w:w="4038" w:type="dxa"/>
            <w:vMerge w:val="restart"/>
            <w:tcBorders>
              <w:top w:val="single" w:sz="2" w:space="0" w:color="000000"/>
              <w:left w:val="single" w:sz="2" w:space="0" w:color="000000"/>
              <w:bottom w:val="single" w:sz="2" w:space="0" w:color="000000"/>
              <w:right w:val="single" w:sz="2" w:space="0" w:color="000000"/>
            </w:tcBorders>
          </w:tcPr>
          <w:p w14:paraId="1ED2AAE4" w14:textId="77777777" w:rsidR="00053D93" w:rsidRDefault="00260B75">
            <w:pPr>
              <w:ind w:left="76"/>
            </w:pPr>
            <w:r>
              <w:t>ZACAPA</w:t>
            </w:r>
          </w:p>
        </w:tc>
        <w:tc>
          <w:tcPr>
            <w:tcW w:w="1730" w:type="dxa"/>
            <w:vMerge w:val="restart"/>
            <w:tcBorders>
              <w:top w:val="single" w:sz="2" w:space="0" w:color="000000"/>
              <w:left w:val="single" w:sz="2" w:space="0" w:color="000000"/>
              <w:bottom w:val="single" w:sz="2" w:space="0" w:color="000000"/>
              <w:right w:val="single" w:sz="2" w:space="0" w:color="000000"/>
            </w:tcBorders>
            <w:vAlign w:val="bottom"/>
          </w:tcPr>
          <w:p w14:paraId="12F2BE21" w14:textId="77777777" w:rsidR="00053D93" w:rsidRDefault="00260B75">
            <w:pPr>
              <w:ind w:right="7"/>
              <w:jc w:val="right"/>
            </w:pPr>
            <w:r>
              <w:rPr>
                <w:sz w:val="20"/>
              </w:rPr>
              <w:t>1,130</w:t>
            </w:r>
          </w:p>
        </w:tc>
        <w:tc>
          <w:tcPr>
            <w:tcW w:w="543" w:type="dxa"/>
            <w:vMerge w:val="restart"/>
            <w:tcBorders>
              <w:top w:val="single" w:sz="2" w:space="0" w:color="000000"/>
              <w:left w:val="single" w:sz="2" w:space="0" w:color="000000"/>
              <w:bottom w:val="single" w:sz="2" w:space="0" w:color="000000"/>
              <w:right w:val="nil"/>
            </w:tcBorders>
            <w:vAlign w:val="bottom"/>
          </w:tcPr>
          <w:p w14:paraId="0574AE8A" w14:textId="77777777" w:rsidR="00053D93" w:rsidRDefault="00260B75">
            <w:pPr>
              <w:ind w:left="132"/>
            </w:pPr>
            <w:r>
              <w:rPr>
                <w:sz w:val="24"/>
              </w:rPr>
              <w:t>Q</w:t>
            </w:r>
          </w:p>
        </w:tc>
        <w:tc>
          <w:tcPr>
            <w:tcW w:w="1786" w:type="dxa"/>
            <w:tcBorders>
              <w:top w:val="single" w:sz="2" w:space="0" w:color="000000"/>
              <w:left w:val="nil"/>
              <w:bottom w:val="nil"/>
              <w:right w:val="single" w:sz="2" w:space="0" w:color="000000"/>
            </w:tcBorders>
          </w:tcPr>
          <w:p w14:paraId="6858A099" w14:textId="77777777" w:rsidR="00053D93" w:rsidRDefault="00053D93"/>
        </w:tc>
      </w:tr>
      <w:tr w:rsidR="00053D93" w14:paraId="395C8FB8" w14:textId="77777777">
        <w:trPr>
          <w:trHeight w:val="260"/>
        </w:trPr>
        <w:tc>
          <w:tcPr>
            <w:tcW w:w="0" w:type="auto"/>
            <w:vMerge/>
            <w:tcBorders>
              <w:top w:val="nil"/>
              <w:left w:val="nil"/>
              <w:bottom w:val="nil"/>
              <w:right w:val="single" w:sz="2" w:space="0" w:color="000000"/>
            </w:tcBorders>
          </w:tcPr>
          <w:p w14:paraId="05B7653E" w14:textId="77777777" w:rsidR="00053D93" w:rsidRDefault="00053D93"/>
        </w:tc>
        <w:tc>
          <w:tcPr>
            <w:tcW w:w="0" w:type="auto"/>
            <w:vMerge/>
            <w:tcBorders>
              <w:top w:val="nil"/>
              <w:left w:val="single" w:sz="2" w:space="0" w:color="000000"/>
              <w:bottom w:val="single" w:sz="2" w:space="0" w:color="000000"/>
              <w:right w:val="single" w:sz="2" w:space="0" w:color="000000"/>
            </w:tcBorders>
          </w:tcPr>
          <w:p w14:paraId="67B3A9FA" w14:textId="77777777" w:rsidR="00053D93" w:rsidRDefault="00053D93"/>
        </w:tc>
        <w:tc>
          <w:tcPr>
            <w:tcW w:w="0" w:type="auto"/>
            <w:vMerge/>
            <w:tcBorders>
              <w:top w:val="nil"/>
              <w:left w:val="single" w:sz="2" w:space="0" w:color="000000"/>
              <w:bottom w:val="single" w:sz="2" w:space="0" w:color="000000"/>
              <w:right w:val="single" w:sz="2" w:space="0" w:color="000000"/>
            </w:tcBorders>
          </w:tcPr>
          <w:p w14:paraId="728CCD55" w14:textId="77777777" w:rsidR="00053D93" w:rsidRDefault="00053D93"/>
        </w:tc>
        <w:tc>
          <w:tcPr>
            <w:tcW w:w="0" w:type="auto"/>
            <w:vMerge/>
            <w:tcBorders>
              <w:top w:val="nil"/>
              <w:left w:val="single" w:sz="2" w:space="0" w:color="000000"/>
              <w:bottom w:val="single" w:sz="2" w:space="0" w:color="000000"/>
              <w:right w:val="nil"/>
            </w:tcBorders>
          </w:tcPr>
          <w:p w14:paraId="1EAE3D34" w14:textId="77777777" w:rsidR="00053D93" w:rsidRDefault="00053D93"/>
        </w:tc>
        <w:tc>
          <w:tcPr>
            <w:tcW w:w="1786" w:type="dxa"/>
            <w:tcBorders>
              <w:top w:val="nil"/>
              <w:left w:val="nil"/>
              <w:bottom w:val="single" w:sz="2" w:space="0" w:color="000000"/>
              <w:right w:val="single" w:sz="2" w:space="0" w:color="000000"/>
            </w:tcBorders>
          </w:tcPr>
          <w:p w14:paraId="1D6EA92B" w14:textId="77777777" w:rsidR="00053D93" w:rsidRDefault="00260B75">
            <w:pPr>
              <w:ind w:left="194"/>
            </w:pPr>
            <w:r>
              <w:rPr>
                <w:sz w:val="20"/>
              </w:rPr>
              <w:t>6.282,038.oo</w:t>
            </w:r>
          </w:p>
        </w:tc>
      </w:tr>
      <w:tr w:rsidR="00053D93" w14:paraId="30222046" w14:textId="77777777">
        <w:trPr>
          <w:trHeight w:val="274"/>
        </w:trPr>
        <w:tc>
          <w:tcPr>
            <w:tcW w:w="0" w:type="auto"/>
            <w:vMerge/>
            <w:tcBorders>
              <w:top w:val="nil"/>
              <w:left w:val="nil"/>
              <w:bottom w:val="nil"/>
              <w:right w:val="single" w:sz="2" w:space="0" w:color="000000"/>
            </w:tcBorders>
          </w:tcPr>
          <w:p w14:paraId="2F02490E" w14:textId="77777777" w:rsidR="00053D93" w:rsidRDefault="00053D93"/>
        </w:tc>
        <w:tc>
          <w:tcPr>
            <w:tcW w:w="4038" w:type="dxa"/>
            <w:tcBorders>
              <w:top w:val="single" w:sz="2" w:space="0" w:color="000000"/>
              <w:left w:val="single" w:sz="2" w:space="0" w:color="000000"/>
              <w:bottom w:val="single" w:sz="2" w:space="0" w:color="000000"/>
              <w:right w:val="single" w:sz="2" w:space="0" w:color="000000"/>
            </w:tcBorders>
          </w:tcPr>
          <w:p w14:paraId="05B9754E" w14:textId="77777777" w:rsidR="00053D93" w:rsidRDefault="00260B75">
            <w:pPr>
              <w:ind w:left="76"/>
            </w:pPr>
            <w:r>
              <w:t>TOTAL</w:t>
            </w:r>
          </w:p>
        </w:tc>
        <w:tc>
          <w:tcPr>
            <w:tcW w:w="1730" w:type="dxa"/>
            <w:tcBorders>
              <w:top w:val="single" w:sz="2" w:space="0" w:color="000000"/>
              <w:left w:val="single" w:sz="2" w:space="0" w:color="000000"/>
              <w:bottom w:val="single" w:sz="2" w:space="0" w:color="000000"/>
              <w:right w:val="single" w:sz="2" w:space="0" w:color="000000"/>
            </w:tcBorders>
          </w:tcPr>
          <w:p w14:paraId="36D5F54C" w14:textId="77777777" w:rsidR="00053D93" w:rsidRDefault="00260B75">
            <w:pPr>
              <w:ind w:right="7"/>
              <w:jc w:val="right"/>
            </w:pPr>
            <w:r>
              <w:rPr>
                <w:sz w:val="20"/>
              </w:rPr>
              <w:t>59,400</w:t>
            </w:r>
          </w:p>
        </w:tc>
        <w:tc>
          <w:tcPr>
            <w:tcW w:w="543" w:type="dxa"/>
            <w:tcBorders>
              <w:top w:val="single" w:sz="2" w:space="0" w:color="000000"/>
              <w:left w:val="single" w:sz="2" w:space="0" w:color="000000"/>
              <w:bottom w:val="single" w:sz="2" w:space="0" w:color="000000"/>
              <w:right w:val="nil"/>
            </w:tcBorders>
          </w:tcPr>
          <w:p w14:paraId="493034C8" w14:textId="77777777" w:rsidR="00053D93" w:rsidRDefault="00260B75">
            <w:pPr>
              <w:ind w:left="132"/>
            </w:pPr>
            <w:r>
              <w:rPr>
                <w:sz w:val="24"/>
              </w:rPr>
              <w:t>Q</w:t>
            </w:r>
          </w:p>
        </w:tc>
        <w:tc>
          <w:tcPr>
            <w:tcW w:w="1786" w:type="dxa"/>
            <w:tcBorders>
              <w:top w:val="single" w:sz="2" w:space="0" w:color="000000"/>
              <w:left w:val="nil"/>
              <w:bottom w:val="single" w:sz="2" w:space="0" w:color="000000"/>
              <w:right w:val="single" w:sz="2" w:space="0" w:color="000000"/>
            </w:tcBorders>
          </w:tcPr>
          <w:p w14:paraId="5965C422" w14:textId="77777777" w:rsidR="00053D93" w:rsidRDefault="00260B75">
            <w:r>
              <w:rPr>
                <w:sz w:val="20"/>
              </w:rPr>
              <w:t>487.131.087.00</w:t>
            </w:r>
          </w:p>
        </w:tc>
      </w:tr>
    </w:tbl>
    <w:p w14:paraId="283CE1B1" w14:textId="77777777" w:rsidR="00053D93" w:rsidRDefault="00260B75">
      <w:pPr>
        <w:spacing w:after="295" w:line="413" w:lineRule="auto"/>
        <w:ind w:left="1637" w:hanging="10"/>
      </w:pPr>
      <w:r>
        <w:rPr>
          <w:sz w:val="14"/>
        </w:rPr>
        <w:t>Fuente: Sistema de Asignación y Dotación de Recursos -SDR- y por medio de oficio DIGEPSA 384•2025 del Subdirector de Seguimlento y Eva'uación .DIGEPSA-.</w:t>
      </w:r>
    </w:p>
    <w:tbl>
      <w:tblPr>
        <w:tblStyle w:val="TableGrid"/>
        <w:tblpPr w:vertAnchor="page" w:horzAnchor="page" w:tblpX="2830" w:tblpY="14551"/>
        <w:tblOverlap w:val="never"/>
        <w:tblW w:w="7618" w:type="dxa"/>
        <w:tblInd w:w="0" w:type="dxa"/>
        <w:tblCellMar>
          <w:top w:w="25" w:type="dxa"/>
          <w:left w:w="1742" w:type="dxa"/>
          <w:right w:w="115" w:type="dxa"/>
        </w:tblCellMar>
        <w:tblLook w:val="04A0" w:firstRow="1" w:lastRow="0" w:firstColumn="1" w:lastColumn="0" w:noHBand="0" w:noVBand="1"/>
      </w:tblPr>
      <w:tblGrid>
        <w:gridCol w:w="7618"/>
      </w:tblGrid>
      <w:tr w:rsidR="00053D93" w14:paraId="3684828A" w14:textId="77777777">
        <w:trPr>
          <w:trHeight w:val="43"/>
        </w:trPr>
        <w:tc>
          <w:tcPr>
            <w:tcW w:w="7618" w:type="dxa"/>
            <w:tcBorders>
              <w:top w:val="nil"/>
              <w:left w:val="single" w:sz="2" w:space="0" w:color="000000"/>
              <w:bottom w:val="single" w:sz="2" w:space="0" w:color="000000"/>
              <w:right w:val="nil"/>
            </w:tcBorders>
          </w:tcPr>
          <w:p w14:paraId="42AB08FC" w14:textId="77777777" w:rsidR="00053D93" w:rsidRDefault="00053D93"/>
        </w:tc>
      </w:tr>
      <w:tr w:rsidR="00053D93" w14:paraId="1E301181" w14:textId="77777777">
        <w:trPr>
          <w:trHeight w:val="590"/>
        </w:trPr>
        <w:tc>
          <w:tcPr>
            <w:tcW w:w="7618" w:type="dxa"/>
            <w:tcBorders>
              <w:top w:val="single" w:sz="2" w:space="0" w:color="000000"/>
              <w:left w:val="single" w:sz="2" w:space="0" w:color="000000"/>
              <w:bottom w:val="nil"/>
              <w:right w:val="nil"/>
            </w:tcBorders>
          </w:tcPr>
          <w:p w14:paraId="1490BD8E" w14:textId="77777777" w:rsidR="00053D93" w:rsidRDefault="00260B75">
            <w:pPr>
              <w:ind w:left="835"/>
            </w:pPr>
            <w:r>
              <w:rPr>
                <w:sz w:val="14"/>
              </w:rPr>
              <w:t>MINISTERIO DE EDUCACION</w:t>
            </w:r>
          </w:p>
          <w:p w14:paraId="0FC4A6C3" w14:textId="77777777" w:rsidR="00053D93" w:rsidRDefault="00260B75">
            <w:pPr>
              <w:ind w:left="338"/>
            </w:pPr>
            <w:r>
              <w:rPr>
                <w:sz w:val="14"/>
              </w:rPr>
              <w:t>AUDITORIA FINANCIERA Y DE CUMPLIMIENTO</w:t>
            </w:r>
          </w:p>
          <w:p w14:paraId="063E46D5" w14:textId="77777777" w:rsidR="00053D93" w:rsidRDefault="00260B75">
            <w:r>
              <w:rPr>
                <w:sz w:val="14"/>
              </w:rPr>
              <w:t>PERIODO DEI 01 DE ENERO AL 31 DE DICIEMBRE DE 2024</w:t>
            </w:r>
          </w:p>
        </w:tc>
      </w:tr>
    </w:tbl>
    <w:p w14:paraId="351C3737" w14:textId="77777777" w:rsidR="00053D93" w:rsidRDefault="00260B75">
      <w:pPr>
        <w:spacing w:after="306" w:line="250" w:lineRule="auto"/>
        <w:ind w:left="1616" w:right="14" w:hanging="3"/>
        <w:jc w:val="both"/>
      </w:pPr>
      <w:r>
        <w:rPr>
          <w:noProof/>
        </w:rPr>
        <w:drawing>
          <wp:anchor distT="0" distB="0" distL="114300" distR="114300" simplePos="0" relativeHeight="252263424" behindDoc="0" locked="0" layoutInCell="1" allowOverlap="0" wp14:anchorId="42678A38" wp14:editId="192E5865">
            <wp:simplePos x="0" y="0"/>
            <wp:positionH relativeFrom="page">
              <wp:posOffset>653796</wp:posOffset>
            </wp:positionH>
            <wp:positionV relativeFrom="page">
              <wp:posOffset>9240012</wp:posOffset>
            </wp:positionV>
            <wp:extent cx="1120140" cy="402336"/>
            <wp:effectExtent l="0" t="0" r="0" b="0"/>
            <wp:wrapTopAndBottom/>
            <wp:docPr id="1171624" name="Picture 1171624"/>
            <wp:cNvGraphicFramePr/>
            <a:graphic xmlns:a="http://schemas.openxmlformats.org/drawingml/2006/main">
              <a:graphicData uri="http://schemas.openxmlformats.org/drawingml/2006/picture">
                <pic:pic xmlns:pic="http://schemas.openxmlformats.org/drawingml/2006/picture">
                  <pic:nvPicPr>
                    <pic:cNvPr id="1171624" name="Picture 1171624"/>
                    <pic:cNvPicPr/>
                  </pic:nvPicPr>
                  <pic:blipFill>
                    <a:blip r:embed="rId1601"/>
                    <a:stretch>
                      <a:fillRect/>
                    </a:stretch>
                  </pic:blipFill>
                  <pic:spPr>
                    <a:xfrm>
                      <a:off x="0" y="0"/>
                      <a:ext cx="1120140" cy="402336"/>
                    </a:xfrm>
                    <a:prstGeom prst="rect">
                      <a:avLst/>
                    </a:prstGeom>
                  </pic:spPr>
                </pic:pic>
              </a:graphicData>
            </a:graphic>
          </wp:anchor>
        </w:drawing>
      </w:r>
      <w:r>
        <w:rPr>
          <w:sz w:val="26"/>
        </w:rPr>
        <w:t>Del año 2024, se tienen 59,400 transferencias de recursos económicos entregados a las Organizaciones de Padres de Familia para la ejecución de los programas de apoyo de Alimentación escolar, Dotación de útiles escolares, Dotación de materiales y recursos de la enseñanza (valija didáctica), Gratuidad de la educación y Mantenimiento de edificios escolares públicos, pendientes de registrar en la base de datos del Sistema de Asignación y Dotación de Recursos -SDR- las regularizaciones/liquidaciones para un monto de cuatrocientos ochenta y siete millones ciento treinta y un mil ochenta y siete (Q487, 131 ,087.00).</w:t>
      </w:r>
    </w:p>
    <w:p w14:paraId="167EF90C" w14:textId="77777777" w:rsidR="00053D93" w:rsidRDefault="00260B75">
      <w:pPr>
        <w:spacing w:after="14" w:line="251" w:lineRule="auto"/>
        <w:ind w:left="1658" w:hanging="3"/>
        <w:jc w:val="both"/>
      </w:pPr>
      <w:r>
        <w:rPr>
          <w:sz w:val="28"/>
        </w:rPr>
        <w:t>Criterio</w:t>
      </w:r>
    </w:p>
    <w:p w14:paraId="20250074" w14:textId="77777777" w:rsidR="00053D93" w:rsidRDefault="00260B75">
      <w:pPr>
        <w:spacing w:after="297" w:line="250" w:lineRule="auto"/>
        <w:ind w:left="1080" w:right="14" w:firstLine="547"/>
        <w:jc w:val="both"/>
      </w:pPr>
      <w:r>
        <w:rPr>
          <w:sz w:val="26"/>
        </w:rPr>
        <w:t xml:space="preserve">El Acuerdo Gubernativo Número 225-2008, del Presidente de la República, Reglamento Orgánico Interno del Ministerio de Educación, artículo 15 Dirección General de Participación Comunitaria y Servicios de Apoyo, establece: "La Dirección General de Participación Comunitaria y Servicios de Apoyo, la que podrá denominarse con las siglas -DIGEPSA-, es la dependencia del Ministerio de Educación responsable de la prestación en forma descentralizada, de recursos </w:t>
      </w:r>
      <w:r>
        <w:rPr>
          <w:noProof/>
        </w:rPr>
        <w:drawing>
          <wp:inline distT="0" distB="0" distL="0" distR="0" wp14:anchorId="2201CA33" wp14:editId="39B6C026">
            <wp:extent cx="13716" cy="13716"/>
            <wp:effectExtent l="0" t="0" r="0" b="0"/>
            <wp:docPr id="1171536" name="Picture 1171536"/>
            <wp:cNvGraphicFramePr/>
            <a:graphic xmlns:a="http://schemas.openxmlformats.org/drawingml/2006/main">
              <a:graphicData uri="http://schemas.openxmlformats.org/drawingml/2006/picture">
                <pic:pic xmlns:pic="http://schemas.openxmlformats.org/drawingml/2006/picture">
                  <pic:nvPicPr>
                    <pic:cNvPr id="1171536" name="Picture 1171536"/>
                    <pic:cNvPicPr/>
                  </pic:nvPicPr>
                  <pic:blipFill>
                    <a:blip r:embed="rId1602"/>
                    <a:stretch>
                      <a:fillRect/>
                    </a:stretch>
                  </pic:blipFill>
                  <pic:spPr>
                    <a:xfrm>
                      <a:off x="0" y="0"/>
                      <a:ext cx="13716" cy="13716"/>
                    </a:xfrm>
                    <a:prstGeom prst="rect">
                      <a:avLst/>
                    </a:prstGeom>
                  </pic:spPr>
                </pic:pic>
              </a:graphicData>
            </a:graphic>
          </wp:inline>
        </w:drawing>
      </w:r>
      <w:r>
        <w:rPr>
          <w:sz w:val="26"/>
        </w:rPr>
        <w:t xml:space="preserve"> económicos para obtener servicios de apoyo educativo en las escuelas oficiales públicas, y de promover y organizar la autogestión educativa, de conformidad con lo dispuesto en el artículo 33 inciso f) del Decreto Número 114-97 del Congreso de la República, Ley del Organismo Ejecutivo. Tendrá las funciones siguientes: a) Dotar de recursos económicos, facilitar su adquisición y distribuir los servicios de apoyo, en forma descentralizada, para desarrollar los procesos educativos en las escuelas oficiales públicas en general."</w:t>
      </w:r>
    </w:p>
    <w:p w14:paraId="468F135E" w14:textId="77777777" w:rsidR="00053D93" w:rsidRDefault="00260B75">
      <w:pPr>
        <w:spacing w:after="309" w:line="250" w:lineRule="auto"/>
        <w:ind w:left="1609" w:right="14" w:hanging="3"/>
        <w:jc w:val="both"/>
      </w:pPr>
      <w:r>
        <w:rPr>
          <w:sz w:val="26"/>
        </w:rPr>
        <w:t>El Acuerdo Ministerial No. 303-2024, la Ministra de Educación, Acuerda, artículo 1, establece: "Aprobar el Manual de Organización y Funciones, de la Dirección General de Participación Comunitaria y Servicios de Apoyo —DIGEPSA-, del Ministerio de Educación".</w:t>
      </w:r>
    </w:p>
    <w:p w14:paraId="79E6E3F2" w14:textId="77777777" w:rsidR="00053D93" w:rsidRDefault="00260B75">
      <w:pPr>
        <w:spacing w:after="12" w:line="250" w:lineRule="auto"/>
        <w:ind w:left="1623" w:right="14" w:hanging="3"/>
        <w:jc w:val="both"/>
      </w:pPr>
      <w:r>
        <w:rPr>
          <w:sz w:val="26"/>
        </w:rPr>
        <w:t>El Manual de Organización y Funciones de la Dirección General de Participación</w:t>
      </w:r>
    </w:p>
    <w:p w14:paraId="29C3C336" w14:textId="77777777" w:rsidR="00053D93" w:rsidRDefault="00260B75">
      <w:pPr>
        <w:spacing w:after="12" w:line="250" w:lineRule="auto"/>
        <w:ind w:left="1616" w:right="14" w:hanging="3"/>
        <w:jc w:val="both"/>
      </w:pPr>
      <w:r>
        <w:rPr>
          <w:sz w:val="26"/>
        </w:rPr>
        <w:t>Comunitaria y Servicios de Apoyo —DIGEPSA-, Código VDE-MAN-08, Versión 2,</w:t>
      </w:r>
    </w:p>
    <w:p w14:paraId="5624B1AD" w14:textId="77777777" w:rsidR="00053D93" w:rsidRDefault="00053D93">
      <w:pPr>
        <w:sectPr w:rsidR="00053D93">
          <w:headerReference w:type="even" r:id="rId1603"/>
          <w:headerReference w:type="default" r:id="rId1604"/>
          <w:footerReference w:type="even" r:id="rId1605"/>
          <w:footerReference w:type="default" r:id="rId1606"/>
          <w:headerReference w:type="first" r:id="rId1607"/>
          <w:footerReference w:type="first" r:id="rId1608"/>
          <w:pgSz w:w="12290" w:h="15883"/>
          <w:pgMar w:top="821" w:right="1814" w:bottom="698" w:left="367" w:header="410" w:footer="720" w:gutter="0"/>
          <w:cols w:space="720"/>
          <w:titlePg/>
        </w:sectPr>
      </w:pPr>
    </w:p>
    <w:p w14:paraId="58C1297D" w14:textId="77777777" w:rsidR="00053D93" w:rsidRDefault="00260B75">
      <w:pPr>
        <w:tabs>
          <w:tab w:val="center" w:pos="3193"/>
          <w:tab w:val="center" w:pos="5908"/>
        </w:tabs>
        <w:spacing w:after="165" w:line="265" w:lineRule="auto"/>
      </w:pPr>
      <w:r>
        <w:rPr>
          <w:sz w:val="14"/>
        </w:rPr>
        <w:tab/>
        <w:t xml:space="preserve">OE </w:t>
      </w:r>
      <w:r>
        <w:rPr>
          <w:sz w:val="14"/>
        </w:rPr>
        <w:tab/>
        <w:t>265</w:t>
      </w:r>
    </w:p>
    <w:p w14:paraId="056192FB" w14:textId="77777777" w:rsidR="00053D93" w:rsidRDefault="00260B75">
      <w:pPr>
        <w:spacing w:after="29"/>
        <w:ind w:left="1670" w:right="-7"/>
      </w:pPr>
      <w:r>
        <w:rPr>
          <w:noProof/>
        </w:rPr>
        <mc:AlternateContent>
          <mc:Choice Requires="wpg">
            <w:drawing>
              <wp:inline distT="0" distB="0" distL="0" distR="0" wp14:anchorId="32F63F6E" wp14:editId="2BEC3FB2">
                <wp:extent cx="5390388" cy="9144"/>
                <wp:effectExtent l="0" t="0" r="0" b="0"/>
                <wp:docPr id="2458893" name="Group 2458893"/>
                <wp:cNvGraphicFramePr/>
                <a:graphic xmlns:a="http://schemas.openxmlformats.org/drawingml/2006/main">
                  <a:graphicData uri="http://schemas.microsoft.com/office/word/2010/wordprocessingGroup">
                    <wpg:wgp>
                      <wpg:cNvGrpSpPr/>
                      <wpg:grpSpPr>
                        <a:xfrm>
                          <a:off x="0" y="0"/>
                          <a:ext cx="5390388" cy="9144"/>
                          <a:chOff x="0" y="0"/>
                          <a:chExt cx="5390388" cy="9144"/>
                        </a:xfrm>
                      </wpg:grpSpPr>
                      <wps:wsp>
                        <wps:cNvPr id="2458892" name="Shape 2458892"/>
                        <wps:cNvSpPr/>
                        <wps:spPr>
                          <a:xfrm>
                            <a:off x="0" y="0"/>
                            <a:ext cx="5390388" cy="9144"/>
                          </a:xfrm>
                          <a:custGeom>
                            <a:avLst/>
                            <a:gdLst/>
                            <a:ahLst/>
                            <a:cxnLst/>
                            <a:rect l="0" t="0" r="0" b="0"/>
                            <a:pathLst>
                              <a:path w="5390388" h="9144">
                                <a:moveTo>
                                  <a:pt x="0" y="4572"/>
                                </a:moveTo>
                                <a:lnTo>
                                  <a:pt x="539038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93" style="width:424.44pt;height:0.720001pt;mso-position-horizontal-relative:char;mso-position-vertical-relative:line" coordsize="53903,91">
                <v:shape id="Shape 2458892" style="position:absolute;width:53903;height:91;left:0;top:0;" coordsize="5390388,9144" path="m0,4572l5390388,4572">
                  <v:stroke weight="0.720001pt" endcap="flat" joinstyle="miter" miterlimit="1" on="true" color="#000000"/>
                  <v:fill on="false" color="#000000"/>
                </v:shape>
              </v:group>
            </w:pict>
          </mc:Fallback>
        </mc:AlternateContent>
      </w:r>
    </w:p>
    <w:p w14:paraId="0B50503F" w14:textId="77777777" w:rsidR="00053D93" w:rsidRDefault="00260B75">
      <w:pPr>
        <w:spacing w:after="9"/>
        <w:ind w:left="22"/>
      </w:pPr>
      <w:r>
        <w:rPr>
          <w:noProof/>
        </w:rPr>
        <w:drawing>
          <wp:inline distT="0" distB="0" distL="0" distR="0" wp14:anchorId="21545640" wp14:editId="3B7D8CC6">
            <wp:extent cx="9144" cy="4572"/>
            <wp:effectExtent l="0" t="0" r="0" b="0"/>
            <wp:docPr id="1175139" name="Picture 1175139"/>
            <wp:cNvGraphicFramePr/>
            <a:graphic xmlns:a="http://schemas.openxmlformats.org/drawingml/2006/main">
              <a:graphicData uri="http://schemas.openxmlformats.org/drawingml/2006/picture">
                <pic:pic xmlns:pic="http://schemas.openxmlformats.org/drawingml/2006/picture">
                  <pic:nvPicPr>
                    <pic:cNvPr id="1175139" name="Picture 1175139"/>
                    <pic:cNvPicPr/>
                  </pic:nvPicPr>
                  <pic:blipFill>
                    <a:blip r:embed="rId24"/>
                    <a:stretch>
                      <a:fillRect/>
                    </a:stretch>
                  </pic:blipFill>
                  <pic:spPr>
                    <a:xfrm>
                      <a:off x="0" y="0"/>
                      <a:ext cx="9144" cy="4572"/>
                    </a:xfrm>
                    <a:prstGeom prst="rect">
                      <a:avLst/>
                    </a:prstGeom>
                  </pic:spPr>
                </pic:pic>
              </a:graphicData>
            </a:graphic>
          </wp:inline>
        </w:drawing>
      </w:r>
    </w:p>
    <w:p w14:paraId="2323490B" w14:textId="77777777" w:rsidR="00053D93" w:rsidRDefault="00260B75">
      <w:pPr>
        <w:spacing w:after="203" w:line="269" w:lineRule="auto"/>
        <w:ind w:left="60" w:right="14" w:hanging="3"/>
        <w:jc w:val="both"/>
      </w:pPr>
      <w:r>
        <w:rPr>
          <w:sz w:val="26"/>
        </w:rPr>
        <w:t>1 numeral 5, Descripción de Funciones de la Dirección General de Participación Comunitaria y Servicios de Apoyo -DIGEPSA-; numeral 4 Departamento de 1 Liquidación, Coordinador Financiero de los Programas de Apoyo 2. Naturaleza del puesto, establece: "Puesto profesional que consiste en planificar, organizar y dirigir las actividades asignadas a la planificación y ejecución financiera de los 1 programas de apoyo en las Direcciones Departamentales de Educación." 3. Tareas Permanentes, establece: "1. Coordinar con el personal a su cargo las actividades de seguimiento a la ejecución financiera de los programas de apoyo.</w:t>
      </w:r>
    </w:p>
    <w:p w14:paraId="1BB601C4" w14:textId="77777777" w:rsidR="00053D93" w:rsidRDefault="00260B75">
      <w:pPr>
        <w:spacing w:after="107" w:line="269" w:lineRule="auto"/>
        <w:ind w:left="57" w:right="14" w:firstLine="43"/>
        <w:jc w:val="both"/>
      </w:pPr>
      <w:r>
        <w:rPr>
          <w:sz w:val="26"/>
        </w:rPr>
        <w:t xml:space="preserve">1 2. Monitorear el ingreso de las entidades receptoras de transferencia correspondientes a las Organizaciones de Padres de Familia de los niveles de 1 educación inicial, preprimaria, primaria y nivel medio en el Sistema de Asignación y Dotación de Recursos, -SDR-. 3. Realizar informes sobre el avance de la ejecución financiera de los Programas de Apoyo en las Direcciones </w:t>
      </w:r>
      <w:r>
        <w:rPr>
          <w:noProof/>
        </w:rPr>
        <w:drawing>
          <wp:inline distT="0" distB="0" distL="0" distR="0" wp14:anchorId="5A8E5242" wp14:editId="20F68F03">
            <wp:extent cx="13716" cy="9144"/>
            <wp:effectExtent l="0" t="0" r="0" b="0"/>
            <wp:docPr id="1175140" name="Picture 1175140"/>
            <wp:cNvGraphicFramePr/>
            <a:graphic xmlns:a="http://schemas.openxmlformats.org/drawingml/2006/main">
              <a:graphicData uri="http://schemas.openxmlformats.org/drawingml/2006/picture">
                <pic:pic xmlns:pic="http://schemas.openxmlformats.org/drawingml/2006/picture">
                  <pic:nvPicPr>
                    <pic:cNvPr id="1175140" name="Picture 1175140"/>
                    <pic:cNvPicPr/>
                  </pic:nvPicPr>
                  <pic:blipFill>
                    <a:blip r:embed="rId76"/>
                    <a:stretch>
                      <a:fillRect/>
                    </a:stretch>
                  </pic:blipFill>
                  <pic:spPr>
                    <a:xfrm>
                      <a:off x="0" y="0"/>
                      <a:ext cx="13716" cy="9144"/>
                    </a:xfrm>
                    <a:prstGeom prst="rect">
                      <a:avLst/>
                    </a:prstGeom>
                  </pic:spPr>
                </pic:pic>
              </a:graphicData>
            </a:graphic>
          </wp:inline>
        </w:drawing>
      </w:r>
      <w:r>
        <w:rPr>
          <w:sz w:val="26"/>
        </w:rPr>
        <w:t>1 Departamentales de Educación. 4. Supervisar el acompañamiento y asesoría a las Direcciones Departamentales de Educación específicamente en ei proceso de preparación y manejo de base de datos Sistema de Asignación y Dotación de 1 Recursos, -SDR- y el pago de los Programas de Apoyo. 7. Coordinar la calendarización para la presentación de los formularios de reintegro ante el banco -1 del sistema, de los saldos no ejecutados por las Organizaciones de Padres de</w:t>
      </w:r>
    </w:p>
    <w:p w14:paraId="306E7CB8" w14:textId="77777777" w:rsidR="00053D93" w:rsidRDefault="00260B75">
      <w:pPr>
        <w:spacing w:after="3" w:line="269" w:lineRule="auto"/>
        <w:ind w:left="67" w:right="14" w:hanging="10"/>
        <w:jc w:val="right"/>
      </w:pPr>
      <w:r>
        <w:rPr>
          <w:sz w:val="26"/>
        </w:rPr>
        <w:t>Familia de años anteriores de los Programas de Apoyo." Analista Financiero de los</w:t>
      </w:r>
    </w:p>
    <w:p w14:paraId="19B36162" w14:textId="77777777" w:rsidR="00053D93" w:rsidRDefault="00260B75">
      <w:pPr>
        <w:spacing w:after="4" w:line="269" w:lineRule="auto"/>
        <w:ind w:left="57" w:right="14" w:firstLine="1627"/>
        <w:jc w:val="both"/>
      </w:pPr>
      <w:r>
        <w:rPr>
          <w:noProof/>
        </w:rPr>
        <w:drawing>
          <wp:anchor distT="0" distB="0" distL="114300" distR="114300" simplePos="0" relativeHeight="252264448" behindDoc="0" locked="0" layoutInCell="1" allowOverlap="0" wp14:anchorId="2DD9222F" wp14:editId="7E013279">
            <wp:simplePos x="0" y="0"/>
            <wp:positionH relativeFrom="page">
              <wp:posOffset>224028</wp:posOffset>
            </wp:positionH>
            <wp:positionV relativeFrom="page">
              <wp:posOffset>342900</wp:posOffset>
            </wp:positionV>
            <wp:extent cx="13716" cy="13716"/>
            <wp:effectExtent l="0" t="0" r="0" b="0"/>
            <wp:wrapTopAndBottom/>
            <wp:docPr id="1175138" name="Picture 1175138"/>
            <wp:cNvGraphicFramePr/>
            <a:graphic xmlns:a="http://schemas.openxmlformats.org/drawingml/2006/main">
              <a:graphicData uri="http://schemas.openxmlformats.org/drawingml/2006/picture">
                <pic:pic xmlns:pic="http://schemas.openxmlformats.org/drawingml/2006/picture">
                  <pic:nvPicPr>
                    <pic:cNvPr id="1175138" name="Picture 1175138"/>
                    <pic:cNvPicPr/>
                  </pic:nvPicPr>
                  <pic:blipFill>
                    <a:blip r:embed="rId1503"/>
                    <a:stretch>
                      <a:fillRect/>
                    </a:stretch>
                  </pic:blipFill>
                  <pic:spPr>
                    <a:xfrm>
                      <a:off x="0" y="0"/>
                      <a:ext cx="13716" cy="13716"/>
                    </a:xfrm>
                    <a:prstGeom prst="rect">
                      <a:avLst/>
                    </a:prstGeom>
                  </pic:spPr>
                </pic:pic>
              </a:graphicData>
            </a:graphic>
          </wp:anchor>
        </w:drawing>
      </w:r>
      <w:r>
        <w:rPr>
          <w:sz w:val="26"/>
        </w:rPr>
        <w:t>Programas de Apoyo, 2. Naturaleza del puesto, establece: "Puesto que consiste 1 en analizar y brindar seguimiento y asesoría financiera en la ejecución de los programas de apoyo que se realizan en las Direcciones Departamentales de Educación." 3. Tareas Permanentes, establece: "1 . Dar seguimiento a la ejecución 1 financiera en cada desembolso de los Programas de Apoyo, por medio del</w:t>
      </w:r>
    </w:p>
    <w:p w14:paraId="11ABAB78" w14:textId="77777777" w:rsidR="00053D93" w:rsidRDefault="00260B75">
      <w:pPr>
        <w:spacing w:after="509" w:line="269" w:lineRule="auto"/>
        <w:ind w:left="57" w:right="14" w:firstLine="1620"/>
        <w:jc w:val="both"/>
      </w:pPr>
      <w:r>
        <w:rPr>
          <w:sz w:val="26"/>
        </w:rPr>
        <w:t>Sistema de Asignación y Dotación de Recursos. 2. Verificar el reporte de cobertura 1 de los programas de apoyo en todas las modalidades. 3. Orientar a las Direcciones Departamentales de Educación en las gestiones financieras correspondientes de cada desembolso. 4. Brindar seguimiento a [os centros 1 educativos pendientes de pago de los programas de apoyo. 5. Verificar la presentación de regularizaciones que realizan las Direcciones Departamentales de Educación en el Sistema de Asignación y Dotación de Recursos -SDR-. 6. Revisar 1 el cumplimiento de las actividades del cronograma de ejecución financiera en las Direcciones Departamentales de Educación. 7. Realizar las actividades descritas en los procedimientos, instructivos, guías y cualquier otro documento oficial en las que esté involucrado el puesto."</w:t>
      </w:r>
    </w:p>
    <w:p w14:paraId="01DDDD49" w14:textId="77777777" w:rsidR="00053D93" w:rsidRDefault="00260B75">
      <w:pPr>
        <w:tabs>
          <w:tab w:val="right" w:pos="10166"/>
        </w:tabs>
        <w:spacing w:after="4" w:line="269" w:lineRule="auto"/>
      </w:pPr>
      <w:r>
        <w:rPr>
          <w:sz w:val="26"/>
        </w:rPr>
        <w:t>1</w:t>
      </w:r>
      <w:r>
        <w:rPr>
          <w:sz w:val="26"/>
        </w:rPr>
        <w:tab/>
        <w:t>El oficio DIGEPSA No. 76-2024, la Directora de -DIGEPSA-, Nombramiento para</w:t>
      </w:r>
    </w:p>
    <w:p w14:paraId="377EDFF5" w14:textId="77777777" w:rsidR="00053D93" w:rsidRDefault="00260B75">
      <w:pPr>
        <w:spacing w:after="4" w:line="269" w:lineRule="auto"/>
        <w:ind w:left="57" w:right="14" w:firstLine="1598"/>
        <w:jc w:val="both"/>
      </w:pPr>
      <w:r>
        <w:rPr>
          <w:sz w:val="26"/>
        </w:rPr>
        <w:t>Subdirectora de Análisis y Transferencia Financiera, Dirección General de Participación Comunitaria y Servicios de Apoyo -DIGEPSA-, establece: "...hacer 1 de su conocimiento que, con el objeto de dar cumplimiento a todos los procesos que conllevan los Programas de Apoyo en el tema Financiero, se le nombra para 1 que adicional a las funciones que tiene asignadas actualmente, apoye las</w:t>
      </w:r>
    </w:p>
    <w:tbl>
      <w:tblPr>
        <w:tblStyle w:val="TableGrid"/>
        <w:tblW w:w="9432" w:type="dxa"/>
        <w:tblInd w:w="713" w:type="dxa"/>
        <w:tblLook w:val="04A0" w:firstRow="1" w:lastRow="0" w:firstColumn="1" w:lastColumn="0" w:noHBand="0" w:noVBand="1"/>
      </w:tblPr>
      <w:tblGrid>
        <w:gridCol w:w="1293"/>
        <w:gridCol w:w="8160"/>
      </w:tblGrid>
      <w:tr w:rsidR="00053D93" w14:paraId="28A66173" w14:textId="77777777">
        <w:trPr>
          <w:trHeight w:val="641"/>
        </w:trPr>
        <w:tc>
          <w:tcPr>
            <w:tcW w:w="1788" w:type="dxa"/>
            <w:tcBorders>
              <w:top w:val="nil"/>
              <w:left w:val="nil"/>
              <w:bottom w:val="nil"/>
              <w:right w:val="nil"/>
            </w:tcBorders>
          </w:tcPr>
          <w:p w14:paraId="19629AD1" w14:textId="77777777" w:rsidR="00053D93" w:rsidRDefault="00260B75">
            <w:r>
              <w:rPr>
                <w:noProof/>
              </w:rPr>
              <w:drawing>
                <wp:inline distT="0" distB="0" distL="0" distR="0" wp14:anchorId="0EFA3E27" wp14:editId="312F0AC0">
                  <wp:extent cx="1124712" cy="406909"/>
                  <wp:effectExtent l="0" t="0" r="0" b="0"/>
                  <wp:docPr id="1175184" name="Picture 1175184"/>
                  <wp:cNvGraphicFramePr/>
                  <a:graphic xmlns:a="http://schemas.openxmlformats.org/drawingml/2006/main">
                    <a:graphicData uri="http://schemas.openxmlformats.org/drawingml/2006/picture">
                      <pic:pic xmlns:pic="http://schemas.openxmlformats.org/drawingml/2006/picture">
                        <pic:nvPicPr>
                          <pic:cNvPr id="1175184" name="Picture 1175184"/>
                          <pic:cNvPicPr/>
                        </pic:nvPicPr>
                        <pic:blipFill>
                          <a:blip r:embed="rId1609"/>
                          <a:stretch>
                            <a:fillRect/>
                          </a:stretch>
                        </pic:blipFill>
                        <pic:spPr>
                          <a:xfrm>
                            <a:off x="0" y="0"/>
                            <a:ext cx="1124712" cy="406909"/>
                          </a:xfrm>
                          <a:prstGeom prst="rect">
                            <a:avLst/>
                          </a:prstGeom>
                        </pic:spPr>
                      </pic:pic>
                    </a:graphicData>
                  </a:graphic>
                </wp:inline>
              </w:drawing>
            </w:r>
          </w:p>
        </w:tc>
        <w:tc>
          <w:tcPr>
            <w:tcW w:w="7644" w:type="dxa"/>
            <w:tcBorders>
              <w:top w:val="nil"/>
              <w:left w:val="nil"/>
              <w:bottom w:val="nil"/>
              <w:right w:val="nil"/>
            </w:tcBorders>
          </w:tcPr>
          <w:p w14:paraId="76DA021D" w14:textId="77777777" w:rsidR="00053D93" w:rsidRDefault="00053D93">
            <w:pPr>
              <w:ind w:left="-2839" w:right="10483"/>
            </w:pPr>
          </w:p>
          <w:tbl>
            <w:tblPr>
              <w:tblStyle w:val="TableGrid"/>
              <w:tblW w:w="7628" w:type="dxa"/>
              <w:tblInd w:w="17" w:type="dxa"/>
              <w:tblCellMar>
                <w:top w:w="51" w:type="dxa"/>
                <w:left w:w="1745" w:type="dxa"/>
                <w:right w:w="115" w:type="dxa"/>
              </w:tblCellMar>
              <w:tblLook w:val="04A0" w:firstRow="1" w:lastRow="0" w:firstColumn="1" w:lastColumn="0" w:noHBand="0" w:noVBand="1"/>
            </w:tblPr>
            <w:tblGrid>
              <w:gridCol w:w="7628"/>
            </w:tblGrid>
            <w:tr w:rsidR="00053D93" w14:paraId="44CCFE2F" w14:textId="77777777">
              <w:trPr>
                <w:trHeight w:val="41"/>
              </w:trPr>
              <w:tc>
                <w:tcPr>
                  <w:tcW w:w="7628" w:type="dxa"/>
                  <w:tcBorders>
                    <w:top w:val="nil"/>
                    <w:left w:val="single" w:sz="2" w:space="0" w:color="000000"/>
                    <w:bottom w:val="single" w:sz="2" w:space="0" w:color="000000"/>
                    <w:right w:val="nil"/>
                  </w:tcBorders>
                </w:tcPr>
                <w:p w14:paraId="24900999" w14:textId="77777777" w:rsidR="00053D93" w:rsidRDefault="00053D93"/>
              </w:tc>
            </w:tr>
            <w:tr w:rsidR="00053D93" w14:paraId="43DB0EC3" w14:textId="77777777">
              <w:trPr>
                <w:trHeight w:val="593"/>
              </w:trPr>
              <w:tc>
                <w:tcPr>
                  <w:tcW w:w="7628" w:type="dxa"/>
                  <w:tcBorders>
                    <w:top w:val="single" w:sz="2" w:space="0" w:color="000000"/>
                    <w:left w:val="single" w:sz="2" w:space="0" w:color="000000"/>
                    <w:bottom w:val="nil"/>
                    <w:right w:val="nil"/>
                  </w:tcBorders>
                </w:tcPr>
                <w:p w14:paraId="0740357B" w14:textId="77777777" w:rsidR="00053D93" w:rsidRDefault="00260B75">
                  <w:pPr>
                    <w:ind w:left="835"/>
                  </w:pPr>
                  <w:r>
                    <w:rPr>
                      <w:sz w:val="14"/>
                    </w:rPr>
                    <w:t>MINISTERtO DE EDUCACION</w:t>
                  </w:r>
                </w:p>
                <w:p w14:paraId="45507272" w14:textId="77777777" w:rsidR="00053D93" w:rsidRDefault="00260B75">
                  <w:pPr>
                    <w:ind w:left="331"/>
                  </w:pPr>
                  <w:r>
                    <w:rPr>
                      <w:sz w:val="14"/>
                    </w:rPr>
                    <w:t>AUDITORIA FINANCIERA Y DE CUMPLIMIENTO</w:t>
                  </w:r>
                </w:p>
                <w:p w14:paraId="3A43532F" w14:textId="77777777" w:rsidR="00053D93" w:rsidRDefault="00260B75">
                  <w:r>
                    <w:rPr>
                      <w:sz w:val="14"/>
                    </w:rPr>
                    <w:t>PERIODO DEL 01 DE ENERO AL 31 DE DICIEMBRE OE 2024</w:t>
                  </w:r>
                </w:p>
              </w:tc>
            </w:tr>
          </w:tbl>
          <w:p w14:paraId="45D21CC4" w14:textId="77777777" w:rsidR="00053D93" w:rsidRDefault="00053D93"/>
        </w:tc>
      </w:tr>
    </w:tbl>
    <w:p w14:paraId="11F52EE1" w14:textId="77777777" w:rsidR="00053D93" w:rsidRDefault="00260B75">
      <w:pPr>
        <w:spacing w:after="39"/>
        <w:ind w:left="1642"/>
      </w:pPr>
      <w:r>
        <w:rPr>
          <w:noProof/>
        </w:rPr>
        <mc:AlternateContent>
          <mc:Choice Requires="wpg">
            <w:drawing>
              <wp:inline distT="0" distB="0" distL="0" distR="0" wp14:anchorId="74BC4482" wp14:editId="759D2A7B">
                <wp:extent cx="5385816" cy="9144"/>
                <wp:effectExtent l="0" t="0" r="0" b="0"/>
                <wp:docPr id="2458898" name="Group 2458898"/>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897" name="Shape 2458897"/>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898" style="width:424.08pt;height:0.720001pt;mso-position-horizontal-relative:char;mso-position-vertical-relative:line" coordsize="53858,91">
                <v:shape id="Shape 2458897" style="position:absolute;width:53858;height:91;left:0;top:0;" coordsize="5385816,9144" path="m0,4572l5385816,4572">
                  <v:stroke weight="0.720001pt" endcap="flat" joinstyle="miter" miterlimit="1" on="true" color="#000000"/>
                  <v:fill on="false" color="#000000"/>
                </v:shape>
              </v:group>
            </w:pict>
          </mc:Fallback>
        </mc:AlternateContent>
      </w:r>
    </w:p>
    <w:p w14:paraId="061426C3" w14:textId="77777777" w:rsidR="00053D93" w:rsidRDefault="00260B75">
      <w:pPr>
        <w:spacing w:after="46" w:line="269" w:lineRule="auto"/>
        <w:ind w:left="60" w:right="14" w:hanging="3"/>
        <w:jc w:val="both"/>
      </w:pPr>
      <w:r>
        <w:rPr>
          <w:sz w:val="26"/>
        </w:rPr>
        <w:t xml:space="preserve">1 funciones que listo a continuación: 1. Coordinar con el personal a su cargo las actividades de seguimiento a la ejecución financiera de los programas de apoyo. 2. Monitorear el ingreso de las entidades receptoras de transferencia 1 correspondientes a las Organizaciones de Padres de Familia de los niveles de educación inicial, preprimaria, primaria y nivel medio en el Sistema de Asignación 1 y Dotación de Recursos, -SDR-. 3. Realizar informes sobre el avance de la ejecución financiera de los Programas de Apoyo en las Direcciones Departamentales de Educación. 4. Supervisar el acompañamiento y asesoría a las 1 Direcciones Departamentales de Educación específicamente en el proceso de preparación y manejo de base de datos Sistema de Asignación y Dotación de Recursos, -SDR- y el pago de los Programas de Apoyo 6. Coordinar la 1 calendarización para la presentación de los formularios de reintegro ante el banco del sistema, de los saldos no ejecutados por las Organizaciones de Padres de </w:t>
      </w:r>
      <w:r>
        <w:rPr>
          <w:noProof/>
        </w:rPr>
        <w:drawing>
          <wp:inline distT="0" distB="0" distL="0" distR="0" wp14:anchorId="2973A93F" wp14:editId="55309367">
            <wp:extent cx="9144" cy="13716"/>
            <wp:effectExtent l="0" t="0" r="0" b="0"/>
            <wp:docPr id="1178552" name="Picture 1178552"/>
            <wp:cNvGraphicFramePr/>
            <a:graphic xmlns:a="http://schemas.openxmlformats.org/drawingml/2006/main">
              <a:graphicData uri="http://schemas.openxmlformats.org/drawingml/2006/picture">
                <pic:pic xmlns:pic="http://schemas.openxmlformats.org/drawingml/2006/picture">
                  <pic:nvPicPr>
                    <pic:cNvPr id="1178552" name="Picture 1178552"/>
                    <pic:cNvPicPr/>
                  </pic:nvPicPr>
                  <pic:blipFill>
                    <a:blip r:embed="rId579"/>
                    <a:stretch>
                      <a:fillRect/>
                    </a:stretch>
                  </pic:blipFill>
                  <pic:spPr>
                    <a:xfrm>
                      <a:off x="0" y="0"/>
                      <a:ext cx="9144" cy="13716"/>
                    </a:xfrm>
                    <a:prstGeom prst="rect">
                      <a:avLst/>
                    </a:prstGeom>
                  </pic:spPr>
                </pic:pic>
              </a:graphicData>
            </a:graphic>
          </wp:inline>
        </w:drawing>
      </w:r>
      <w:r>
        <w:rPr>
          <w:sz w:val="26"/>
        </w:rPr>
        <w:t>1 Familia de años anteriores de los Programas de Apoyo .</w:t>
      </w:r>
      <w:r>
        <w:rPr>
          <w:noProof/>
        </w:rPr>
        <w:drawing>
          <wp:inline distT="0" distB="0" distL="0" distR="0" wp14:anchorId="4393B521" wp14:editId="14987D3F">
            <wp:extent cx="160020" cy="114300"/>
            <wp:effectExtent l="0" t="0" r="0" b="0"/>
            <wp:docPr id="2458895" name="Picture 2458895"/>
            <wp:cNvGraphicFramePr/>
            <a:graphic xmlns:a="http://schemas.openxmlformats.org/drawingml/2006/main">
              <a:graphicData uri="http://schemas.openxmlformats.org/drawingml/2006/picture">
                <pic:pic xmlns:pic="http://schemas.openxmlformats.org/drawingml/2006/picture">
                  <pic:nvPicPr>
                    <pic:cNvPr id="2458895" name="Picture 2458895"/>
                    <pic:cNvPicPr/>
                  </pic:nvPicPr>
                  <pic:blipFill>
                    <a:blip r:embed="rId1610"/>
                    <a:stretch>
                      <a:fillRect/>
                    </a:stretch>
                  </pic:blipFill>
                  <pic:spPr>
                    <a:xfrm>
                      <a:off x="0" y="0"/>
                      <a:ext cx="160020" cy="114300"/>
                    </a:xfrm>
                    <a:prstGeom prst="rect">
                      <a:avLst/>
                    </a:prstGeom>
                  </pic:spPr>
                </pic:pic>
              </a:graphicData>
            </a:graphic>
          </wp:inline>
        </w:drawing>
      </w:r>
    </w:p>
    <w:p w14:paraId="4E1FC315" w14:textId="77777777" w:rsidR="00053D93" w:rsidRDefault="00260B75">
      <w:pPr>
        <w:pStyle w:val="Ttulo3"/>
        <w:spacing w:after="202" w:line="253" w:lineRule="auto"/>
        <w:ind w:left="1652" w:right="0" w:hanging="3"/>
      </w:pPr>
      <w:r>
        <w:t>Causa</w:t>
      </w:r>
    </w:p>
    <w:p w14:paraId="338BD7F8" w14:textId="77777777" w:rsidR="00053D93" w:rsidRDefault="00260B75">
      <w:pPr>
        <w:spacing w:after="154" w:line="326" w:lineRule="auto"/>
        <w:ind w:left="60" w:right="14" w:hanging="3"/>
        <w:jc w:val="both"/>
      </w:pPr>
      <w:r>
        <w:rPr>
          <w:sz w:val="26"/>
        </w:rPr>
        <w:t>1 La Subdirectora de Análisis y Transferencia Financiera no supervisó, verificó y no monitoreó los registros de las regularizaciones/liquidaciones de los programas de 1 apoyo en el Sistema de Asignación y Dotación de Recursos -SDR-, esta omisión impidió el registro oportuno de las liquidaciones.</w:t>
      </w:r>
    </w:p>
    <w:p w14:paraId="16E908AF" w14:textId="77777777" w:rsidR="00053D93" w:rsidRDefault="00260B75">
      <w:pPr>
        <w:spacing w:after="4" w:line="266" w:lineRule="auto"/>
        <w:ind w:left="1659" w:hanging="10"/>
      </w:pPr>
      <w:r>
        <w:rPr>
          <w:noProof/>
        </w:rPr>
        <w:drawing>
          <wp:anchor distT="0" distB="0" distL="114300" distR="114300" simplePos="0" relativeHeight="252265472" behindDoc="0" locked="0" layoutInCell="1" allowOverlap="0" wp14:anchorId="39098D97" wp14:editId="3E899A12">
            <wp:simplePos x="0" y="0"/>
            <wp:positionH relativeFrom="page">
              <wp:posOffset>224028</wp:posOffset>
            </wp:positionH>
            <wp:positionV relativeFrom="page">
              <wp:posOffset>342900</wp:posOffset>
            </wp:positionV>
            <wp:extent cx="9144" cy="13716"/>
            <wp:effectExtent l="0" t="0" r="0" b="0"/>
            <wp:wrapTopAndBottom/>
            <wp:docPr id="1178549" name="Picture 1178549"/>
            <wp:cNvGraphicFramePr/>
            <a:graphic xmlns:a="http://schemas.openxmlformats.org/drawingml/2006/main">
              <a:graphicData uri="http://schemas.openxmlformats.org/drawingml/2006/picture">
                <pic:pic xmlns:pic="http://schemas.openxmlformats.org/drawingml/2006/picture">
                  <pic:nvPicPr>
                    <pic:cNvPr id="1178549" name="Picture 1178549"/>
                    <pic:cNvPicPr/>
                  </pic:nvPicPr>
                  <pic:blipFill>
                    <a:blip r:embed="rId579"/>
                    <a:stretch>
                      <a:fillRect/>
                    </a:stretch>
                  </pic:blipFill>
                  <pic:spPr>
                    <a:xfrm>
                      <a:off x="0" y="0"/>
                      <a:ext cx="9144" cy="13716"/>
                    </a:xfrm>
                    <a:prstGeom prst="rect">
                      <a:avLst/>
                    </a:prstGeom>
                  </pic:spPr>
                </pic:pic>
              </a:graphicData>
            </a:graphic>
          </wp:anchor>
        </w:drawing>
      </w:r>
      <w:r>
        <w:rPr>
          <w:sz w:val="28"/>
        </w:rPr>
        <w:t>Efecto</w:t>
      </w:r>
    </w:p>
    <w:p w14:paraId="04FECEE9" w14:textId="77777777" w:rsidR="00053D93" w:rsidRDefault="00260B75">
      <w:pPr>
        <w:spacing w:after="300" w:line="216" w:lineRule="auto"/>
        <w:ind w:left="1652" w:right="14" w:hanging="3"/>
        <w:jc w:val="both"/>
      </w:pPr>
      <w:r>
        <w:rPr>
          <w:sz w:val="26"/>
        </w:rPr>
        <w:t>No se cuenta con un control adecuado sobre los registros de las regularizaciones/liquidaciones de los programas de apoyo en la base de datos del</w:t>
      </w:r>
    </w:p>
    <w:p w14:paraId="3E547000" w14:textId="77777777" w:rsidR="00053D93" w:rsidRDefault="00260B75">
      <w:pPr>
        <w:spacing w:after="523" w:line="356" w:lineRule="auto"/>
        <w:ind w:left="1655" w:right="14" w:hanging="1598"/>
        <w:jc w:val="both"/>
      </w:pPr>
      <w:r>
        <w:rPr>
          <w:sz w:val="26"/>
        </w:rPr>
        <w:t>1 Sistema de Asignación y Dotación de Recursos -SDR- respecto a los saldos no ejecutados por las Organizaciones de Padres de Familia.</w:t>
      </w:r>
    </w:p>
    <w:p w14:paraId="4859820C" w14:textId="77777777" w:rsidR="00053D93" w:rsidRDefault="00260B75">
      <w:pPr>
        <w:tabs>
          <w:tab w:val="center" w:pos="2516"/>
        </w:tabs>
        <w:spacing w:after="4" w:line="266" w:lineRule="auto"/>
      </w:pPr>
      <w:r>
        <w:rPr>
          <w:sz w:val="28"/>
        </w:rPr>
        <w:t>1</w:t>
      </w:r>
      <w:r>
        <w:rPr>
          <w:sz w:val="28"/>
        </w:rPr>
        <w:tab/>
        <w:t>Recomendación</w:t>
      </w:r>
    </w:p>
    <w:p w14:paraId="2CDEDC3B" w14:textId="77777777" w:rsidR="00053D93" w:rsidRDefault="00260B75">
      <w:pPr>
        <w:spacing w:after="4" w:line="216" w:lineRule="auto"/>
        <w:ind w:left="57" w:right="14" w:firstLine="1598"/>
        <w:jc w:val="both"/>
      </w:pPr>
      <w:r>
        <w:rPr>
          <w:sz w:val="26"/>
        </w:rPr>
        <w:t>El Director General de ta Dirección General de Participación Comunitaria y 1 Servicios de Apoyo -DIGEPSA-, debe de girar instrucciones a la Subdirectora de</w:t>
      </w:r>
    </w:p>
    <w:p w14:paraId="7CB37D0D" w14:textId="77777777" w:rsidR="00053D93" w:rsidRDefault="00260B75">
      <w:pPr>
        <w:spacing w:after="4" w:line="269" w:lineRule="auto"/>
        <w:ind w:left="57" w:right="14" w:firstLine="1577"/>
        <w:jc w:val="both"/>
      </w:pPr>
      <w:r>
        <w:rPr>
          <w:noProof/>
        </w:rPr>
        <mc:AlternateContent>
          <mc:Choice Requires="wpg">
            <w:drawing>
              <wp:anchor distT="0" distB="0" distL="114300" distR="114300" simplePos="0" relativeHeight="252266496" behindDoc="0" locked="0" layoutInCell="1" allowOverlap="1" wp14:anchorId="3FE87191" wp14:editId="53599706">
                <wp:simplePos x="0" y="0"/>
                <wp:positionH relativeFrom="column">
                  <wp:posOffset>36576</wp:posOffset>
                </wp:positionH>
                <wp:positionV relativeFrom="paragraph">
                  <wp:posOffset>256032</wp:posOffset>
                </wp:positionV>
                <wp:extent cx="109728" cy="292609"/>
                <wp:effectExtent l="0" t="0" r="0" b="0"/>
                <wp:wrapSquare wrapText="bothSides"/>
                <wp:docPr id="2457454" name="Group 2457454"/>
                <wp:cNvGraphicFramePr/>
                <a:graphic xmlns:a="http://schemas.openxmlformats.org/drawingml/2006/main">
                  <a:graphicData uri="http://schemas.microsoft.com/office/word/2010/wordprocessingGroup">
                    <wpg:wgp>
                      <wpg:cNvGrpSpPr/>
                      <wpg:grpSpPr>
                        <a:xfrm>
                          <a:off x="0" y="0"/>
                          <a:ext cx="109728" cy="292609"/>
                          <a:chOff x="0" y="0"/>
                          <a:chExt cx="109728" cy="292609"/>
                        </a:xfrm>
                      </wpg:grpSpPr>
                      <wps:wsp>
                        <wps:cNvPr id="1175840" name="Rectangle 1175840"/>
                        <wps:cNvSpPr/>
                        <wps:spPr>
                          <a:xfrm>
                            <a:off x="0" y="0"/>
                            <a:ext cx="145938" cy="389170"/>
                          </a:xfrm>
                          <a:prstGeom prst="rect">
                            <a:avLst/>
                          </a:prstGeom>
                          <a:ln>
                            <a:noFill/>
                          </a:ln>
                        </wps:spPr>
                        <wps:txbx>
                          <w:txbxContent>
                            <w:p w14:paraId="17EB15EE"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3FE87191" id="Group 2457454" o:spid="_x0000_s1699" style="position:absolute;left:0;text-align:left;margin-left:2.9pt;margin-top:20.15pt;width:8.65pt;height:23.05pt;z-index:252266496;mso-position-horizontal-relative:text;mso-position-vertical-relative:text" coordsize="109728,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">
                <v:rect id="Rectangle 1175840" o:spid="_x0000_s1700" style="position:absolute;width:145938;height:389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" filled="f" stroked="f">
                  <v:textbox inset="0,0,0,0">
                    <w:txbxContent>
                      <w:p w14:paraId="17EB15EE" w14:textId="77777777" w:rsidR="00053D93" w:rsidRDefault="00260B75">
                        <w:r>
                          <w:rPr>
                            <w:sz w:val="66"/>
                          </w:rPr>
                          <w:t>1</w:t>
                        </w:r>
                      </w:p>
                    </w:txbxContent>
                  </v:textbox>
                </v:rect>
                <w10:wrap type="square"/>
              </v:group>
            </w:pict>
          </mc:Fallback>
        </mc:AlternateContent>
      </w:r>
      <w:r>
        <w:rPr>
          <w:sz w:val="26"/>
        </w:rPr>
        <w:t>Análisis y Transferencia Financiera para que, en colaboración con las Direcciones Departamentales de Educación, se implementen las acciones necesarias para registrar las regularizaciones/liquidaciones de los programas de apoyo pendientes en la base datos del Sistema de Asignación y Dotación de Recursos -SDR-, con el 1 fin de asegurar la correcta ejecución de las regularizaciones y la liquidación de los saldos no ejecutados, y así mejorar la eficiencia en la gestión de los programas de apoyo.</w:t>
      </w:r>
    </w:p>
    <w:p w14:paraId="0CD14FB7" w14:textId="77777777" w:rsidR="00053D93" w:rsidRDefault="00260B75">
      <w:pPr>
        <w:spacing w:after="0"/>
        <w:ind w:left="58"/>
      </w:pPr>
      <w:r>
        <w:rPr>
          <w:noProof/>
        </w:rPr>
        <mc:AlternateContent>
          <mc:Choice Requires="wpg">
            <w:drawing>
              <wp:inline distT="0" distB="0" distL="0" distR="0" wp14:anchorId="2F03A8BB" wp14:editId="3A6CE8D3">
                <wp:extent cx="114300" cy="292608"/>
                <wp:effectExtent l="0" t="0" r="0" b="0"/>
                <wp:docPr id="2457455" name="Group 2457455"/>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175842" name="Rectangle 1175842"/>
                        <wps:cNvSpPr/>
                        <wps:spPr>
                          <a:xfrm>
                            <a:off x="0" y="0"/>
                            <a:ext cx="152019" cy="389168"/>
                          </a:xfrm>
                          <a:prstGeom prst="rect">
                            <a:avLst/>
                          </a:prstGeom>
                          <a:ln>
                            <a:noFill/>
                          </a:ln>
                        </wps:spPr>
                        <wps:txbx>
                          <w:txbxContent>
                            <w:p w14:paraId="29773C71"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2F03A8BB" id="Group 2457455" o:spid="_x0000_s1701"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">
                <v:rect id="Rectangle 1175842" o:spid="_x0000_s1702" style="position:absolute;width:152019;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" filled="f" stroked="f">
                  <v:textbox inset="0,0,0,0">
                    <w:txbxContent>
                      <w:p w14:paraId="29773C71" w14:textId="77777777" w:rsidR="00053D93" w:rsidRDefault="00260B75">
                        <w:r>
                          <w:rPr>
                            <w:sz w:val="70"/>
                          </w:rPr>
                          <w:t>1</w:t>
                        </w:r>
                      </w:p>
                    </w:txbxContent>
                  </v:textbox>
                </v:rect>
                <w10:anchorlock/>
              </v:group>
            </w:pict>
          </mc:Fallback>
        </mc:AlternateContent>
      </w:r>
    </w:p>
    <w:p w14:paraId="54EBD9D9" w14:textId="77777777" w:rsidR="00053D93" w:rsidRDefault="00260B75">
      <w:pPr>
        <w:spacing w:after="4" w:line="266" w:lineRule="auto"/>
        <w:ind w:left="24" w:hanging="10"/>
      </w:pPr>
      <w:r>
        <w:rPr>
          <w:sz w:val="28"/>
        </w:rPr>
        <w:t>Comentario de los responsables</w:t>
      </w:r>
    </w:p>
    <w:p w14:paraId="771146C6" w14:textId="77777777" w:rsidR="00053D93" w:rsidRDefault="00260B75">
      <w:pPr>
        <w:spacing w:after="4" w:line="269" w:lineRule="auto"/>
        <w:ind w:left="1645" w:right="14" w:hanging="3"/>
        <w:jc w:val="both"/>
      </w:pPr>
      <w:r>
        <w:rPr>
          <w:sz w:val="26"/>
        </w:rPr>
        <w:t>En nota s/n de fecha 21 de abril de 2025, la licenciada Yoisi Carina Gómez Fuentes, Subdirectora de Análisis y Transferencia Financiera, manifiesta: El posible hallazgo hace mención de que no se supervisó, verificó y monitoreo los registros de las regularizaciones/liquidaciones de los programas de apoyo en el</w:t>
      </w:r>
    </w:p>
    <w:tbl>
      <w:tblPr>
        <w:tblStyle w:val="TableGrid"/>
        <w:tblW w:w="9425" w:type="dxa"/>
        <w:tblInd w:w="698" w:type="dxa"/>
        <w:tblLook w:val="04A0" w:firstRow="1" w:lastRow="0" w:firstColumn="1" w:lastColumn="0" w:noHBand="0" w:noVBand="1"/>
      </w:tblPr>
      <w:tblGrid>
        <w:gridCol w:w="1294"/>
        <w:gridCol w:w="8174"/>
      </w:tblGrid>
      <w:tr w:rsidR="00053D93" w14:paraId="186FFBAC" w14:textId="77777777">
        <w:trPr>
          <w:trHeight w:val="641"/>
        </w:trPr>
        <w:tc>
          <w:tcPr>
            <w:tcW w:w="1780" w:type="dxa"/>
            <w:tcBorders>
              <w:top w:val="nil"/>
              <w:left w:val="nil"/>
              <w:bottom w:val="nil"/>
              <w:right w:val="nil"/>
            </w:tcBorders>
          </w:tcPr>
          <w:p w14:paraId="6CD51E2D" w14:textId="77777777" w:rsidR="00053D93" w:rsidRDefault="00260B75">
            <w:r>
              <w:rPr>
                <w:noProof/>
              </w:rPr>
              <w:drawing>
                <wp:inline distT="0" distB="0" distL="0" distR="0" wp14:anchorId="7F2CA6CA" wp14:editId="6F077FCD">
                  <wp:extent cx="1120140" cy="406908"/>
                  <wp:effectExtent l="0" t="0" r="0" b="0"/>
                  <wp:docPr id="1178606" name="Picture 1178606"/>
                  <wp:cNvGraphicFramePr/>
                  <a:graphic xmlns:a="http://schemas.openxmlformats.org/drawingml/2006/main">
                    <a:graphicData uri="http://schemas.openxmlformats.org/drawingml/2006/picture">
                      <pic:pic xmlns:pic="http://schemas.openxmlformats.org/drawingml/2006/picture">
                        <pic:nvPicPr>
                          <pic:cNvPr id="1178606" name="Picture 1178606"/>
                          <pic:cNvPicPr/>
                        </pic:nvPicPr>
                        <pic:blipFill>
                          <a:blip r:embed="rId1611"/>
                          <a:stretch>
                            <a:fillRect/>
                          </a:stretch>
                        </pic:blipFill>
                        <pic:spPr>
                          <a:xfrm>
                            <a:off x="0" y="0"/>
                            <a:ext cx="1120140" cy="406908"/>
                          </a:xfrm>
                          <a:prstGeom prst="rect">
                            <a:avLst/>
                          </a:prstGeom>
                        </pic:spPr>
                      </pic:pic>
                    </a:graphicData>
                  </a:graphic>
                </wp:inline>
              </w:drawing>
            </w:r>
          </w:p>
        </w:tc>
        <w:tc>
          <w:tcPr>
            <w:tcW w:w="7645" w:type="dxa"/>
            <w:tcBorders>
              <w:top w:val="nil"/>
              <w:left w:val="nil"/>
              <w:bottom w:val="nil"/>
              <w:right w:val="nil"/>
            </w:tcBorders>
          </w:tcPr>
          <w:p w14:paraId="46F3951D" w14:textId="77777777" w:rsidR="00053D93" w:rsidRDefault="00053D93">
            <w:pPr>
              <w:ind w:left="-2817" w:right="10462"/>
            </w:pPr>
          </w:p>
          <w:tbl>
            <w:tblPr>
              <w:tblStyle w:val="TableGrid"/>
              <w:tblW w:w="7628" w:type="dxa"/>
              <w:tblInd w:w="16" w:type="dxa"/>
              <w:tblCellMar>
                <w:top w:w="30" w:type="dxa"/>
                <w:left w:w="1746" w:type="dxa"/>
                <w:right w:w="115" w:type="dxa"/>
              </w:tblCellMar>
              <w:tblLook w:val="04A0" w:firstRow="1" w:lastRow="0" w:firstColumn="1" w:lastColumn="0" w:noHBand="0" w:noVBand="1"/>
            </w:tblPr>
            <w:tblGrid>
              <w:gridCol w:w="7628"/>
            </w:tblGrid>
            <w:tr w:rsidR="00053D93" w14:paraId="352982FA" w14:textId="77777777">
              <w:trPr>
                <w:trHeight w:val="31"/>
              </w:trPr>
              <w:tc>
                <w:tcPr>
                  <w:tcW w:w="7628" w:type="dxa"/>
                  <w:tcBorders>
                    <w:top w:val="nil"/>
                    <w:left w:val="single" w:sz="2" w:space="0" w:color="000000"/>
                    <w:bottom w:val="single" w:sz="2" w:space="0" w:color="000000"/>
                    <w:right w:val="nil"/>
                  </w:tcBorders>
                </w:tcPr>
                <w:p w14:paraId="09AC619D" w14:textId="77777777" w:rsidR="00053D93" w:rsidRDefault="00053D93"/>
              </w:tc>
            </w:tr>
            <w:tr w:rsidR="00053D93" w14:paraId="26454D1B" w14:textId="77777777">
              <w:trPr>
                <w:trHeight w:val="602"/>
              </w:trPr>
              <w:tc>
                <w:tcPr>
                  <w:tcW w:w="7628" w:type="dxa"/>
                  <w:tcBorders>
                    <w:top w:val="single" w:sz="2" w:space="0" w:color="000000"/>
                    <w:left w:val="single" w:sz="2" w:space="0" w:color="000000"/>
                    <w:bottom w:val="nil"/>
                    <w:right w:val="nil"/>
                  </w:tcBorders>
                </w:tcPr>
                <w:p w14:paraId="14927A7A" w14:textId="77777777" w:rsidR="00053D93" w:rsidRDefault="00260B75">
                  <w:pPr>
                    <w:ind w:left="835"/>
                  </w:pPr>
                  <w:r>
                    <w:rPr>
                      <w:sz w:val="14"/>
                    </w:rPr>
                    <w:t>MINISTERIO DE EDUCACION</w:t>
                  </w:r>
                </w:p>
                <w:p w14:paraId="52716300" w14:textId="77777777" w:rsidR="00053D93" w:rsidRDefault="00260B75">
                  <w:pPr>
                    <w:ind w:left="338"/>
                  </w:pPr>
                  <w:r>
                    <w:rPr>
                      <w:sz w:val="14"/>
                    </w:rPr>
                    <w:t>AUDITORÍA FINANCIERA Y OE CUMPLIMIENTO</w:t>
                  </w:r>
                </w:p>
                <w:p w14:paraId="62EFD82E" w14:textId="77777777" w:rsidR="00053D93" w:rsidRDefault="00260B75">
                  <w:r>
                    <w:rPr>
                      <w:sz w:val="14"/>
                    </w:rPr>
                    <w:t>PERIODO DEL DE ENERO AL 31 DE DICIEMBRE DE 2024</w:t>
                  </w:r>
                </w:p>
              </w:tc>
            </w:tr>
          </w:tbl>
          <w:p w14:paraId="4BABC9F8" w14:textId="77777777" w:rsidR="00053D93" w:rsidRDefault="00053D93"/>
        </w:tc>
      </w:tr>
    </w:tbl>
    <w:p w14:paraId="1B16C164" w14:textId="77777777" w:rsidR="00053D93" w:rsidRDefault="00260B75">
      <w:pPr>
        <w:spacing w:after="396"/>
        <w:ind w:left="5846"/>
      </w:pPr>
      <w:r>
        <w:rPr>
          <w:noProof/>
        </w:rPr>
        <w:drawing>
          <wp:inline distT="0" distB="0" distL="0" distR="0" wp14:anchorId="0DBED562" wp14:editId="6D0CD875">
            <wp:extent cx="32004" cy="13716"/>
            <wp:effectExtent l="0" t="0" r="0" b="0"/>
            <wp:docPr id="1182165" name="Picture 1182165"/>
            <wp:cNvGraphicFramePr/>
            <a:graphic xmlns:a="http://schemas.openxmlformats.org/drawingml/2006/main">
              <a:graphicData uri="http://schemas.openxmlformats.org/drawingml/2006/picture">
                <pic:pic xmlns:pic="http://schemas.openxmlformats.org/drawingml/2006/picture">
                  <pic:nvPicPr>
                    <pic:cNvPr id="1182165" name="Picture 1182165"/>
                    <pic:cNvPicPr/>
                  </pic:nvPicPr>
                  <pic:blipFill>
                    <a:blip r:embed="rId1612"/>
                    <a:stretch>
                      <a:fillRect/>
                    </a:stretch>
                  </pic:blipFill>
                  <pic:spPr>
                    <a:xfrm>
                      <a:off x="0" y="0"/>
                      <a:ext cx="32004" cy="13716"/>
                    </a:xfrm>
                    <a:prstGeom prst="rect">
                      <a:avLst/>
                    </a:prstGeom>
                  </pic:spPr>
                </pic:pic>
              </a:graphicData>
            </a:graphic>
          </wp:inline>
        </w:drawing>
      </w:r>
    </w:p>
    <w:p w14:paraId="5305CCE1" w14:textId="77777777" w:rsidR="00053D93" w:rsidRDefault="00260B75">
      <w:pPr>
        <w:spacing w:after="52"/>
        <w:ind w:left="1649"/>
      </w:pPr>
      <w:r>
        <w:rPr>
          <w:noProof/>
        </w:rPr>
        <mc:AlternateContent>
          <mc:Choice Requires="wpg">
            <w:drawing>
              <wp:inline distT="0" distB="0" distL="0" distR="0" wp14:anchorId="20D8E1C3" wp14:editId="3B59C6FD">
                <wp:extent cx="5381244" cy="9144"/>
                <wp:effectExtent l="0" t="0" r="0" b="0"/>
                <wp:docPr id="2458903" name="Group 2458903"/>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902" name="Shape 2458902"/>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03" style="width:423.72pt;height:0.720001pt;mso-position-horizontal-relative:char;mso-position-vertical-relative:line" coordsize="53812,91">
                <v:shape id="Shape 2458902" style="position:absolute;width:53812;height:91;left:0;top:0;" coordsize="5381244,9144" path="m0,4572l5381244,4572">
                  <v:stroke weight="0.720001pt" endcap="flat" joinstyle="miter" miterlimit="1" on="true" color="#000000"/>
                  <v:fill on="false" color="#000000"/>
                </v:shape>
              </v:group>
            </w:pict>
          </mc:Fallback>
        </mc:AlternateContent>
      </w:r>
    </w:p>
    <w:p w14:paraId="2091AC61" w14:textId="77777777" w:rsidR="00053D93" w:rsidRDefault="00260B75">
      <w:pPr>
        <w:spacing w:after="3" w:line="273" w:lineRule="auto"/>
        <w:ind w:left="24" w:hanging="3"/>
      </w:pPr>
      <w:r>
        <w:rPr>
          <w:sz w:val="26"/>
        </w:rPr>
        <w:t>1</w:t>
      </w:r>
      <w:r>
        <w:rPr>
          <w:sz w:val="26"/>
        </w:rPr>
        <w:tab/>
        <w:t>Sistema de Asignación y Dotación de Recursos -SDR-, y que dicha omisión impidió el registro oportuno de las liquidaciones, en ese sentido me permito informar: 1 . Que, el Acuerdo Ministerial número 3667-2012 de fecha 09 de 1</w:t>
      </w:r>
      <w:r>
        <w:rPr>
          <w:sz w:val="26"/>
        </w:rPr>
        <w:tab/>
        <w:t>noviembre de 2012 DESCONCENTRAR EN LAS DIRECCIONES</w:t>
      </w:r>
    </w:p>
    <w:p w14:paraId="0F8EDA83" w14:textId="77777777" w:rsidR="00053D93" w:rsidRDefault="00260B75">
      <w:pPr>
        <w:spacing w:after="4" w:line="269" w:lineRule="auto"/>
        <w:ind w:left="57" w:right="14" w:firstLine="1634"/>
        <w:jc w:val="both"/>
      </w:pPr>
      <w:r>
        <w:rPr>
          <w:sz w:val="26"/>
        </w:rPr>
        <w:t xml:space="preserve">DEPARTAMENTALES DE EDUCACIÓN LA ASIGNACIÓN, ADMINISTRACIÓN, 1 EJECUCIÓN Y DOTACIÓN DE RECURSOS FINANCIEROS A LOS CENTROS EDUCATIVOS PÚBLICOS PARA IMPLEMENTAR COS SERVICIOS DE APOYO, establece los siguiente: Artículo 1. "El objetivo del presente Acuerdo Ministerial </w:t>
      </w:r>
      <w:r>
        <w:rPr>
          <w:noProof/>
        </w:rPr>
        <mc:AlternateContent>
          <mc:Choice Requires="wpg">
            <w:drawing>
              <wp:inline distT="0" distB="0" distL="0" distR="0" wp14:anchorId="7E33A6E2" wp14:editId="1E96172D">
                <wp:extent cx="114300" cy="288036"/>
                <wp:effectExtent l="0" t="0" r="0" b="0"/>
                <wp:docPr id="2457474" name="Group 2457474"/>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179211" name="Rectangle 1179211"/>
                        <wps:cNvSpPr/>
                        <wps:spPr>
                          <a:xfrm>
                            <a:off x="0" y="0"/>
                            <a:ext cx="152019" cy="383088"/>
                          </a:xfrm>
                          <a:prstGeom prst="rect">
                            <a:avLst/>
                          </a:prstGeom>
                          <a:ln>
                            <a:noFill/>
                          </a:ln>
                        </wps:spPr>
                        <wps:txbx>
                          <w:txbxContent>
                            <w:p w14:paraId="3664D100"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E33A6E2" id="Group 2457474" o:spid="_x0000_s1703" style="width:9pt;height:22.7pt;mso-position-horizontal-relative:char;mso-position-vertical-relative:line"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">
                <v:rect id="Rectangle 1179211" o:spid="_x0000_s1704"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" filled="f" stroked="f">
                  <v:textbox inset="0,0,0,0">
                    <w:txbxContent>
                      <w:p w14:paraId="3664D100" w14:textId="77777777" w:rsidR="00053D93" w:rsidRDefault="00260B75">
                        <w:r>
                          <w:rPr>
                            <w:sz w:val="70"/>
                          </w:rPr>
                          <w:t>1</w:t>
                        </w:r>
                      </w:p>
                    </w:txbxContent>
                  </v:textbox>
                </v:rect>
                <w10:anchorlock/>
              </v:group>
            </w:pict>
          </mc:Fallback>
        </mc:AlternateContent>
      </w:r>
      <w:r>
        <w:rPr>
          <w:sz w:val="26"/>
        </w:rPr>
        <w:t xml:space="preserve"> es desconcentrar la asignación, administración, ejecución y dotación de recursos financieros hacia las Direcciones Departamentales de Educación, con la finalidad de que dichas funciones se realicen lo más cerca posible del lugar donde se llevan 1 a cabo las transferencias y operaciones administrativas y financieras, ..." Artículo</w:t>
      </w:r>
    </w:p>
    <w:p w14:paraId="76617BD3" w14:textId="77777777" w:rsidR="00053D93" w:rsidRDefault="00260B75">
      <w:pPr>
        <w:spacing w:after="4" w:line="269" w:lineRule="auto"/>
        <w:ind w:left="57" w:right="14" w:firstLine="1656"/>
        <w:jc w:val="both"/>
      </w:pPr>
      <w:r>
        <w:rPr>
          <w:sz w:val="26"/>
        </w:rPr>
        <w:t xml:space="preserve">2. "Se entenderá como servicios de apoyo los programas de alimentación escolar, 1 dotación de útiles escolares, dotación de materiales y recursos de enseñanza, gratuidad de la educación, remozamiento escolar, . Artículo 7. Las Direcciones Departamentales de Educación como responsables de la planificación, 1 formulación y programación de la ejecución presupuestaria y financiera correspondiente a los servicios de apoyo, deberán cumplir con lo siguiente: b) </w:t>
      </w:r>
      <w:r>
        <w:rPr>
          <w:noProof/>
        </w:rPr>
        <w:drawing>
          <wp:inline distT="0" distB="0" distL="0" distR="0" wp14:anchorId="7F03E28D" wp14:editId="531726D2">
            <wp:extent cx="18288" cy="9144"/>
            <wp:effectExtent l="0" t="0" r="0" b="0"/>
            <wp:docPr id="1182166" name="Picture 1182166"/>
            <wp:cNvGraphicFramePr/>
            <a:graphic xmlns:a="http://schemas.openxmlformats.org/drawingml/2006/main">
              <a:graphicData uri="http://schemas.openxmlformats.org/drawingml/2006/picture">
                <pic:pic xmlns:pic="http://schemas.openxmlformats.org/drawingml/2006/picture">
                  <pic:nvPicPr>
                    <pic:cNvPr id="1182166" name="Picture 1182166"/>
                    <pic:cNvPicPr/>
                  </pic:nvPicPr>
                  <pic:blipFill>
                    <a:blip r:embed="rId787"/>
                    <a:stretch>
                      <a:fillRect/>
                    </a:stretch>
                  </pic:blipFill>
                  <pic:spPr>
                    <a:xfrm>
                      <a:off x="0" y="0"/>
                      <a:ext cx="18288" cy="9144"/>
                    </a:xfrm>
                    <a:prstGeom prst="rect">
                      <a:avLst/>
                    </a:prstGeom>
                  </pic:spPr>
                </pic:pic>
              </a:graphicData>
            </a:graphic>
          </wp:inline>
        </w:drawing>
      </w:r>
      <w:r>
        <w:rPr>
          <w:sz w:val="26"/>
        </w:rPr>
        <w:t>1 Realizar el control interno previo y concurrente en las operaciones de administración financiera que realicen. d) Diseñar e implementar una estructura efectiva de control interno coherente con los procesos de administración financiera que realicen. Artículo 13. Las Direcciones Departamentales de Educación a través del personal de apoyo, Franja de Supervisión y/o el Sistema de Supervisión que en el futuro se establezca por parte del Ministerio de Educación, con la finalidad de 1 dar seguimiento a que [a ejecución de los recursos materiales y financieros que se asigna a los Centros Educativos Públicos ya sea que cuenten o no con un Consejo 1 Educativo u otra Organización de Padres de Familia, se realice con transparencia, racionalidad, probidad y calidad del gasto, en beneficio de [a comunidad educativa, serán responsables de: a. Evaluar y analizar los expedientes por las compras y 1 registros que realicen los Centros Educativos Públicos y/o los Consejos Educativos u otra Organización de Padres de Familia, de conformidad con los recursos asignados, para garantizar que se cumpla con todos los requisitos legales y normativos establecidos previo y durante la ejecución del gasto. b. Control y traslado de las rendiciones de cuentas y documentación relacionada con 1 las mismas de los Centros Educativos Públicos y/o los Consejos Educativos u otra Organización de Padres de Familia, hacia las Direcciones Departamentales de</w:t>
      </w:r>
    </w:p>
    <w:p w14:paraId="14D83C40" w14:textId="77777777" w:rsidR="00053D93" w:rsidRDefault="00260B75">
      <w:pPr>
        <w:spacing w:after="144" w:line="269" w:lineRule="auto"/>
        <w:ind w:left="1659" w:right="14" w:hanging="3"/>
        <w:jc w:val="both"/>
      </w:pPr>
      <w:r>
        <w:rPr>
          <w:sz w:val="26"/>
        </w:rPr>
        <w:t>Educación.</w:t>
      </w:r>
    </w:p>
    <w:p w14:paraId="468C1A9F" w14:textId="77777777" w:rsidR="00053D93" w:rsidRDefault="00260B75">
      <w:pPr>
        <w:spacing w:after="3"/>
        <w:ind w:left="74" w:right="3485" w:hanging="10"/>
      </w:pPr>
      <w:r>
        <w:rPr>
          <w:sz w:val="70"/>
        </w:rPr>
        <w:t>1</w:t>
      </w:r>
    </w:p>
    <w:p w14:paraId="07E62885" w14:textId="77777777" w:rsidR="00053D93" w:rsidRDefault="00260B75">
      <w:pPr>
        <w:spacing w:after="313" w:line="269" w:lineRule="auto"/>
        <w:ind w:left="1645" w:right="14" w:hanging="3"/>
        <w:jc w:val="both"/>
      </w:pPr>
      <w:r>
        <w:rPr>
          <w:sz w:val="26"/>
        </w:rPr>
        <w:t>2. Que, el Acuerdo Ministerial número 17-2014 de fecha 02 de enero de 2014 Acuerda, Artículo 1. Autorizar la desconcentración de la administración financiera</w:t>
      </w:r>
    </w:p>
    <w:p w14:paraId="23AD393B" w14:textId="77777777" w:rsidR="00053D93" w:rsidRDefault="00260B75">
      <w:pPr>
        <w:spacing w:after="33" w:line="358" w:lineRule="auto"/>
        <w:ind w:left="1648" w:right="14" w:hanging="1591"/>
        <w:jc w:val="both"/>
      </w:pPr>
      <w:r>
        <w:rPr>
          <w:sz w:val="26"/>
        </w:rPr>
        <w:t>1 en las Direcciones que se encuentren constituidas como unidades ejecutoras dentro de la distribución analítica del presupuesto del Ministerio de Educación. .</w:t>
      </w:r>
      <w:r>
        <w:rPr>
          <w:noProof/>
        </w:rPr>
        <w:drawing>
          <wp:inline distT="0" distB="0" distL="0" distR="0" wp14:anchorId="3A3919D6" wp14:editId="3BA0EE86">
            <wp:extent cx="59437" cy="13717"/>
            <wp:effectExtent l="0" t="0" r="0" b="0"/>
            <wp:docPr id="2458900" name="Picture 2458900"/>
            <wp:cNvGraphicFramePr/>
            <a:graphic xmlns:a="http://schemas.openxmlformats.org/drawingml/2006/main">
              <a:graphicData uri="http://schemas.openxmlformats.org/drawingml/2006/picture">
                <pic:pic xmlns:pic="http://schemas.openxmlformats.org/drawingml/2006/picture">
                  <pic:nvPicPr>
                    <pic:cNvPr id="2458900" name="Picture 2458900"/>
                    <pic:cNvPicPr/>
                  </pic:nvPicPr>
                  <pic:blipFill>
                    <a:blip r:embed="rId1613"/>
                    <a:stretch>
                      <a:fillRect/>
                    </a:stretch>
                  </pic:blipFill>
                  <pic:spPr>
                    <a:xfrm>
                      <a:off x="0" y="0"/>
                      <a:ext cx="59437" cy="13717"/>
                    </a:xfrm>
                    <a:prstGeom prst="rect">
                      <a:avLst/>
                    </a:prstGeom>
                  </pic:spPr>
                </pic:pic>
              </a:graphicData>
            </a:graphic>
          </wp:inline>
        </w:drawing>
      </w:r>
    </w:p>
    <w:p w14:paraId="477947C7" w14:textId="77777777" w:rsidR="00053D93" w:rsidRDefault="00260B75">
      <w:pPr>
        <w:tabs>
          <w:tab w:val="right" w:pos="10166"/>
        </w:tabs>
        <w:spacing w:after="4" w:line="269" w:lineRule="auto"/>
      </w:pPr>
      <w:r>
        <w:rPr>
          <w:sz w:val="26"/>
        </w:rPr>
        <w:t>1</w:t>
      </w:r>
      <w:r>
        <w:rPr>
          <w:sz w:val="26"/>
        </w:rPr>
        <w:tab/>
        <w:t>Artículo 2. Las competencias, funciones y responsabilidades de las Direcciones</w:t>
      </w:r>
    </w:p>
    <w:tbl>
      <w:tblPr>
        <w:tblStyle w:val="TableGrid"/>
        <w:tblW w:w="9410" w:type="dxa"/>
        <w:tblInd w:w="698" w:type="dxa"/>
        <w:tblLook w:val="04A0" w:firstRow="1" w:lastRow="0" w:firstColumn="1" w:lastColumn="0" w:noHBand="0" w:noVBand="1"/>
      </w:tblPr>
      <w:tblGrid>
        <w:gridCol w:w="1290"/>
        <w:gridCol w:w="8178"/>
      </w:tblGrid>
      <w:tr w:rsidR="00053D93" w14:paraId="3211C1FC" w14:textId="77777777">
        <w:trPr>
          <w:trHeight w:val="641"/>
        </w:trPr>
        <w:tc>
          <w:tcPr>
            <w:tcW w:w="1775" w:type="dxa"/>
            <w:tcBorders>
              <w:top w:val="nil"/>
              <w:left w:val="nil"/>
              <w:bottom w:val="nil"/>
              <w:right w:val="nil"/>
            </w:tcBorders>
          </w:tcPr>
          <w:p w14:paraId="12C371BE" w14:textId="77777777" w:rsidR="00053D93" w:rsidRDefault="00260B75">
            <w:r>
              <w:rPr>
                <w:noProof/>
              </w:rPr>
              <w:drawing>
                <wp:inline distT="0" distB="0" distL="0" distR="0" wp14:anchorId="27EB64F8" wp14:editId="0C8D5337">
                  <wp:extent cx="1115568" cy="406908"/>
                  <wp:effectExtent l="0" t="0" r="0" b="0"/>
                  <wp:docPr id="1182240" name="Picture 1182240"/>
                  <wp:cNvGraphicFramePr/>
                  <a:graphic xmlns:a="http://schemas.openxmlformats.org/drawingml/2006/main">
                    <a:graphicData uri="http://schemas.openxmlformats.org/drawingml/2006/picture">
                      <pic:pic xmlns:pic="http://schemas.openxmlformats.org/drawingml/2006/picture">
                        <pic:nvPicPr>
                          <pic:cNvPr id="1182240" name="Picture 1182240"/>
                          <pic:cNvPicPr/>
                        </pic:nvPicPr>
                        <pic:blipFill>
                          <a:blip r:embed="rId1614"/>
                          <a:stretch>
                            <a:fillRect/>
                          </a:stretch>
                        </pic:blipFill>
                        <pic:spPr>
                          <a:xfrm>
                            <a:off x="0" y="0"/>
                            <a:ext cx="1115568" cy="406908"/>
                          </a:xfrm>
                          <a:prstGeom prst="rect">
                            <a:avLst/>
                          </a:prstGeom>
                        </pic:spPr>
                      </pic:pic>
                    </a:graphicData>
                  </a:graphic>
                </wp:inline>
              </w:drawing>
            </w:r>
          </w:p>
        </w:tc>
        <w:tc>
          <w:tcPr>
            <w:tcW w:w="7636" w:type="dxa"/>
            <w:tcBorders>
              <w:top w:val="nil"/>
              <w:left w:val="nil"/>
              <w:bottom w:val="nil"/>
              <w:right w:val="nil"/>
            </w:tcBorders>
          </w:tcPr>
          <w:p w14:paraId="6EEF2E55" w14:textId="77777777" w:rsidR="00053D93" w:rsidRDefault="00053D93">
            <w:pPr>
              <w:ind w:left="-2812" w:right="10447"/>
            </w:pPr>
          </w:p>
          <w:tbl>
            <w:tblPr>
              <w:tblStyle w:val="TableGrid"/>
              <w:tblW w:w="7618" w:type="dxa"/>
              <w:tblInd w:w="18" w:type="dxa"/>
              <w:tblCellMar>
                <w:top w:w="31" w:type="dxa"/>
                <w:left w:w="1750" w:type="dxa"/>
                <w:right w:w="115" w:type="dxa"/>
              </w:tblCellMar>
              <w:tblLook w:val="04A0" w:firstRow="1" w:lastRow="0" w:firstColumn="1" w:lastColumn="0" w:noHBand="0" w:noVBand="1"/>
            </w:tblPr>
            <w:tblGrid>
              <w:gridCol w:w="7618"/>
            </w:tblGrid>
            <w:tr w:rsidR="00053D93" w14:paraId="44A090BD" w14:textId="77777777">
              <w:trPr>
                <w:trHeight w:val="48"/>
              </w:trPr>
              <w:tc>
                <w:tcPr>
                  <w:tcW w:w="7618" w:type="dxa"/>
                  <w:tcBorders>
                    <w:top w:val="nil"/>
                    <w:left w:val="single" w:sz="2" w:space="0" w:color="000000"/>
                    <w:bottom w:val="single" w:sz="2" w:space="0" w:color="000000"/>
                    <w:right w:val="nil"/>
                  </w:tcBorders>
                </w:tcPr>
                <w:p w14:paraId="68D16870" w14:textId="77777777" w:rsidR="00053D93" w:rsidRDefault="00053D93"/>
              </w:tc>
            </w:tr>
            <w:tr w:rsidR="00053D93" w14:paraId="22F4A641" w14:textId="77777777">
              <w:trPr>
                <w:trHeight w:val="586"/>
              </w:trPr>
              <w:tc>
                <w:tcPr>
                  <w:tcW w:w="7618" w:type="dxa"/>
                  <w:tcBorders>
                    <w:top w:val="single" w:sz="2" w:space="0" w:color="000000"/>
                    <w:left w:val="single" w:sz="2" w:space="0" w:color="000000"/>
                    <w:bottom w:val="nil"/>
                    <w:right w:val="nil"/>
                  </w:tcBorders>
                </w:tcPr>
                <w:p w14:paraId="5EDD8CC2" w14:textId="77777777" w:rsidR="00053D93" w:rsidRDefault="00260B75">
                  <w:pPr>
                    <w:ind w:left="835"/>
                  </w:pPr>
                  <w:r>
                    <w:rPr>
                      <w:sz w:val="14"/>
                    </w:rPr>
                    <w:t>MINISTERIO DE EDUCACION</w:t>
                  </w:r>
                </w:p>
                <w:p w14:paraId="746DD01B" w14:textId="77777777" w:rsidR="00053D93" w:rsidRDefault="00260B75">
                  <w:pPr>
                    <w:ind w:left="338"/>
                  </w:pPr>
                  <w:r>
                    <w:rPr>
                      <w:sz w:val="14"/>
                    </w:rPr>
                    <w:t>AUDITORiA FINANCIERA Y DE CUMPLIMIENTO</w:t>
                  </w:r>
                </w:p>
                <w:p w14:paraId="33D58FA6" w14:textId="77777777" w:rsidR="00053D93" w:rsidRDefault="00260B75">
                  <w:r>
                    <w:rPr>
                      <w:sz w:val="14"/>
                    </w:rPr>
                    <w:t>PERIODO DEL 01 DE ENERO AL 31 DE DtClEM8RE DE 2024</w:t>
                  </w:r>
                </w:p>
              </w:tc>
            </w:tr>
          </w:tbl>
          <w:p w14:paraId="1E9AC203" w14:textId="77777777" w:rsidR="00053D93" w:rsidRDefault="00053D93"/>
        </w:tc>
      </w:tr>
    </w:tbl>
    <w:p w14:paraId="6E4BB2AA" w14:textId="77777777" w:rsidR="00053D93" w:rsidRDefault="00260B75">
      <w:pPr>
        <w:spacing w:after="43"/>
        <w:ind w:left="1663"/>
      </w:pPr>
      <w:r>
        <w:rPr>
          <w:noProof/>
        </w:rPr>
        <mc:AlternateContent>
          <mc:Choice Requires="wpg">
            <w:drawing>
              <wp:inline distT="0" distB="0" distL="0" distR="0" wp14:anchorId="24BE25A5" wp14:editId="2DB6FB6A">
                <wp:extent cx="5381244" cy="9144"/>
                <wp:effectExtent l="0" t="0" r="0" b="0"/>
                <wp:docPr id="2458905" name="Group 2458905"/>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904" name="Shape 2458904"/>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05" style="width:423.72pt;height:0.720001pt;mso-position-horizontal-relative:char;mso-position-vertical-relative:line" coordsize="53812,91">
                <v:shape id="Shape 2458904" style="position:absolute;width:53812;height:91;left:0;top:0;" coordsize="5381244,9144" path="m0,4572l5381244,4572">
                  <v:stroke weight="0.720001pt" endcap="flat" joinstyle="miter" miterlimit="1" on="true" color="#000000"/>
                  <v:fill on="false" color="#000000"/>
                </v:shape>
              </v:group>
            </w:pict>
          </mc:Fallback>
        </mc:AlternateContent>
      </w:r>
    </w:p>
    <w:p w14:paraId="691226F4" w14:textId="77777777" w:rsidR="00053D93" w:rsidRDefault="00260B75">
      <w:pPr>
        <w:spacing w:after="0"/>
        <w:ind w:left="7"/>
      </w:pPr>
      <w:r>
        <w:rPr>
          <w:noProof/>
        </w:rPr>
        <w:drawing>
          <wp:inline distT="0" distB="0" distL="0" distR="0" wp14:anchorId="5FD7EE7E" wp14:editId="79E54192">
            <wp:extent cx="9144" cy="9144"/>
            <wp:effectExtent l="0" t="0" r="0" b="0"/>
            <wp:docPr id="1185799" name="Picture 1185799"/>
            <wp:cNvGraphicFramePr/>
            <a:graphic xmlns:a="http://schemas.openxmlformats.org/drawingml/2006/main">
              <a:graphicData uri="http://schemas.openxmlformats.org/drawingml/2006/picture">
                <pic:pic xmlns:pic="http://schemas.openxmlformats.org/drawingml/2006/picture">
                  <pic:nvPicPr>
                    <pic:cNvPr id="1185799" name="Picture 1185799"/>
                    <pic:cNvPicPr/>
                  </pic:nvPicPr>
                  <pic:blipFill>
                    <a:blip r:embed="rId117"/>
                    <a:stretch>
                      <a:fillRect/>
                    </a:stretch>
                  </pic:blipFill>
                  <pic:spPr>
                    <a:xfrm>
                      <a:off x="0" y="0"/>
                      <a:ext cx="9144" cy="9144"/>
                    </a:xfrm>
                    <a:prstGeom prst="rect">
                      <a:avLst/>
                    </a:prstGeom>
                  </pic:spPr>
                </pic:pic>
              </a:graphicData>
            </a:graphic>
          </wp:inline>
        </w:drawing>
      </w:r>
    </w:p>
    <w:p w14:paraId="786D60F0" w14:textId="77777777" w:rsidR="00053D93" w:rsidRDefault="00260B75">
      <w:pPr>
        <w:spacing w:after="4" w:line="269" w:lineRule="auto"/>
        <w:ind w:left="60" w:right="14" w:hanging="3"/>
        <w:jc w:val="both"/>
      </w:pPr>
      <w:r>
        <w:rPr>
          <w:sz w:val="26"/>
        </w:rPr>
        <w:t>1 son: o. Ejercer [a custodia y resguardo de la documentación de respaldo para la respectiva rendición de cuentas de conformidad con los lineamientos que establezca el Ministerio de Educación. En ese contexto, para efectos de rendición 1 de cuentas, el Ministerio de Educación a través de la Dirección General de</w:t>
      </w:r>
    </w:p>
    <w:p w14:paraId="172CD286" w14:textId="77777777" w:rsidR="00053D93" w:rsidRDefault="00260B75">
      <w:pPr>
        <w:spacing w:after="4" w:line="269" w:lineRule="auto"/>
        <w:ind w:left="57" w:right="14" w:firstLine="1656"/>
        <w:jc w:val="both"/>
      </w:pPr>
      <w:r>
        <w:rPr>
          <w:sz w:val="26"/>
        </w:rPr>
        <w:t>Participación Comunitaria y Servicios de Apoyo -DIGEPSA-, emite lineamientos a 1 través de instructivos como instrumento de apoyo a los procesos que debe realizar personal de las Direcciones Departamentales de Educación, en el Sistema de Asignación y Dotación de Recursos -SDR-, derivado de las transferencias 1 realizadas de programas de apoyo, a las Organizaciones de Padres de Familia</w:t>
      </w:r>
    </w:p>
    <w:p w14:paraId="2D95118F" w14:textId="77777777" w:rsidR="00053D93" w:rsidRDefault="00260B75">
      <w:pPr>
        <w:spacing w:after="111" w:line="269" w:lineRule="auto"/>
        <w:ind w:left="67" w:right="14" w:hanging="10"/>
        <w:jc w:val="right"/>
      </w:pPr>
      <w:r>
        <w:rPr>
          <w:sz w:val="26"/>
        </w:rPr>
        <w:t>-OPF-, designando para el efecto al responsable de cada actividad según</w:t>
      </w:r>
    </w:p>
    <w:p w14:paraId="4ACF5B3D" w14:textId="77777777" w:rsidR="00053D93" w:rsidRDefault="00260B75">
      <w:pPr>
        <w:spacing w:after="120" w:line="269" w:lineRule="auto"/>
        <w:ind w:left="60" w:right="14" w:hanging="3"/>
        <w:jc w:val="both"/>
      </w:pPr>
      <w:r>
        <w:rPr>
          <w:sz w:val="26"/>
        </w:rPr>
        <w:t>1 corresponda. El instructivo PRA-lNS-03 Transferencias Corrientes a Organizaciones de Padres de Familia -OPF-, establece: Actividad 71. Regularizaciones de rendiciones de cuentas, establece como responsable al 1 Técnico de Servicios de Apoyo y/o Personal Designado DIDEDUC para el registro de dicha regularización, así mismo indica que realizada la regularización de la rendición de cuentas en el SDR. Le entrega al Asistente del 1 Departamento/Sección de Organización Escolar en la DIDEDUC los formularios de rendiciones de cuenta para su archivo. Actividad 73. Publicar Rendición de 1 Cuentas, corresponde al Jefe Departamento, Sección Organización Escolar o a quien delegue el Director Departamental de Educación de la DIDEDUC. Dicha actividad se realiza posterior al registro de regularizaciones en el SDR, por Io que corresponde al jefe inmediato del Técnico de Servicios de Apoyo, velar porque el mismo haya cumplido con el registro correspondiente previo a ser entregada la rendición para su posterior publicación. Artículo 3. Párrafo segundo, indica que las 1 autoridades superiores de las Direcciones y el personal que participe en [as gestiones administrativas-financieras serán solidariamente responsables de: a.</w:t>
      </w:r>
    </w:p>
    <w:p w14:paraId="0FEC0728" w14:textId="77777777" w:rsidR="00053D93" w:rsidRDefault="00260B75">
      <w:pPr>
        <w:spacing w:after="3" w:line="273" w:lineRule="auto"/>
        <w:ind w:left="24" w:hanging="3"/>
      </w:pPr>
      <w:r>
        <w:rPr>
          <w:sz w:val="26"/>
        </w:rPr>
        <w:t>1</w:t>
      </w:r>
      <w:r>
        <w:rPr>
          <w:sz w:val="26"/>
        </w:rPr>
        <w:tab/>
        <w:t>Realizar las distintas fases del ciclo presupuestario, que comprende la formulación, ejecución, evaluación, control y rendición de cuentas sobre las asignaciones presupuestarias a cargo de la Dirección que corresponda. Artículo 1</w:t>
      </w:r>
      <w:r>
        <w:rPr>
          <w:sz w:val="26"/>
        </w:rPr>
        <w:tab/>
        <w:t>6. Párrafo segundo, indica que las Direcciones rendirán cuentas sobre cada uno de los componentes, programas o proyectos que se incluyan dentro de su respectivo presupuesto de ingresos y egresos, según corresponda, 1</w:t>
      </w:r>
      <w:r>
        <w:rPr>
          <w:sz w:val="26"/>
        </w:rPr>
        <w:tab/>
        <w:t>independientemente de la fuente de financiamiento que se trate. Artículo 7. Literal c. Que la máxima autoridad de cada Dirección conjuntamente con los 1</w:t>
      </w:r>
      <w:r>
        <w:rPr>
          <w:sz w:val="26"/>
        </w:rPr>
        <w:tab/>
        <w:t>responsables de los programas y los encargados de las Unidades Ejecutoras, según corresponda, sean los responsables de rendir cuentas sobre los resultados obtenidos de conformidad al presupuesto asignado para determinado Ejercicio 1</w:t>
      </w:r>
      <w:r>
        <w:rPr>
          <w:sz w:val="26"/>
        </w:rPr>
        <w:tab/>
        <w:t>Fiscal.</w:t>
      </w:r>
    </w:p>
    <w:p w14:paraId="6CDB54C2" w14:textId="77777777" w:rsidR="00053D93" w:rsidRDefault="00260B75">
      <w:pPr>
        <w:spacing w:after="381" w:line="269" w:lineRule="auto"/>
        <w:ind w:left="57" w:right="14" w:firstLine="1584"/>
        <w:jc w:val="both"/>
      </w:pPr>
      <w:r>
        <w:rPr>
          <w:sz w:val="26"/>
        </w:rPr>
        <w:t>3. Que, de acuerdo al Manual de Funciones Organización y Puestos de las 1 Direcciones Departamentales de Educación, versión 3, aprobado a través de Acuerdo Ministerial número 1953-2021 de fecha 15/07/2025 establece los siguiente: Numeral 58. Técnico de Servicios de Apoyo. 2.B Funciones principales</w:t>
      </w:r>
    </w:p>
    <w:tbl>
      <w:tblPr>
        <w:tblStyle w:val="TableGrid"/>
        <w:tblpPr w:vertAnchor="text" w:tblpX="2477" w:tblpY="14"/>
        <w:tblOverlap w:val="never"/>
        <w:tblW w:w="7632" w:type="dxa"/>
        <w:tblInd w:w="0" w:type="dxa"/>
        <w:tblCellMar>
          <w:top w:w="29" w:type="dxa"/>
          <w:left w:w="1742" w:type="dxa"/>
          <w:right w:w="115" w:type="dxa"/>
        </w:tblCellMar>
        <w:tblLook w:val="04A0" w:firstRow="1" w:lastRow="0" w:firstColumn="1" w:lastColumn="0" w:noHBand="0" w:noVBand="1"/>
      </w:tblPr>
      <w:tblGrid>
        <w:gridCol w:w="7632"/>
      </w:tblGrid>
      <w:tr w:rsidR="00053D93" w14:paraId="45B10CDC" w14:textId="77777777">
        <w:trPr>
          <w:trHeight w:val="50"/>
        </w:trPr>
        <w:tc>
          <w:tcPr>
            <w:tcW w:w="7632" w:type="dxa"/>
            <w:tcBorders>
              <w:top w:val="nil"/>
              <w:left w:val="single" w:sz="2" w:space="0" w:color="000000"/>
              <w:bottom w:val="single" w:sz="2" w:space="0" w:color="000000"/>
              <w:right w:val="nil"/>
            </w:tcBorders>
          </w:tcPr>
          <w:p w14:paraId="354F7E67" w14:textId="77777777" w:rsidR="00053D93" w:rsidRDefault="00053D93"/>
        </w:tc>
      </w:tr>
      <w:tr w:rsidR="00053D93" w14:paraId="282A65C6" w14:textId="77777777">
        <w:trPr>
          <w:trHeight w:val="590"/>
        </w:trPr>
        <w:tc>
          <w:tcPr>
            <w:tcW w:w="7632" w:type="dxa"/>
            <w:tcBorders>
              <w:top w:val="single" w:sz="2" w:space="0" w:color="000000"/>
              <w:left w:val="single" w:sz="2" w:space="0" w:color="000000"/>
              <w:bottom w:val="nil"/>
              <w:right w:val="nil"/>
            </w:tcBorders>
          </w:tcPr>
          <w:p w14:paraId="34472CCA" w14:textId="77777777" w:rsidR="00053D93" w:rsidRDefault="00260B75">
            <w:pPr>
              <w:ind w:left="842"/>
            </w:pPr>
            <w:r>
              <w:rPr>
                <w:sz w:val="14"/>
              </w:rPr>
              <w:t>MINISTERIO DE EDUCACION</w:t>
            </w:r>
          </w:p>
          <w:p w14:paraId="298E0532" w14:textId="77777777" w:rsidR="00053D93" w:rsidRDefault="00260B75">
            <w:pPr>
              <w:ind w:left="346"/>
            </w:pPr>
            <w:r>
              <w:rPr>
                <w:sz w:val="14"/>
              </w:rPr>
              <w:t>AUDITORIA FINANCIERA Y DE CUMPLIMIENTO</w:t>
            </w:r>
          </w:p>
          <w:p w14:paraId="486A1167" w14:textId="77777777" w:rsidR="00053D93" w:rsidRDefault="00260B75">
            <w:r>
              <w:rPr>
                <w:sz w:val="16"/>
              </w:rPr>
              <w:t>PERIODO DEL 01 OE ENERO AL 31 OE DICEMBRE DE 2024</w:t>
            </w:r>
          </w:p>
        </w:tc>
      </w:tr>
    </w:tbl>
    <w:p w14:paraId="7D8F3019" w14:textId="77777777" w:rsidR="00053D93" w:rsidRDefault="00260B75">
      <w:pPr>
        <w:spacing w:after="3"/>
        <w:ind w:left="74" w:right="43" w:hanging="10"/>
      </w:pPr>
      <w:r>
        <w:rPr>
          <w:sz w:val="74"/>
        </w:rPr>
        <w:t xml:space="preserve">1 </w:t>
      </w:r>
      <w:r>
        <w:rPr>
          <w:noProof/>
        </w:rPr>
        <w:drawing>
          <wp:inline distT="0" distB="0" distL="0" distR="0" wp14:anchorId="6B116A29" wp14:editId="162284EF">
            <wp:extent cx="1115568" cy="416052"/>
            <wp:effectExtent l="0" t="0" r="0" b="0"/>
            <wp:docPr id="1185839" name="Picture 1185839"/>
            <wp:cNvGraphicFramePr/>
            <a:graphic xmlns:a="http://schemas.openxmlformats.org/drawingml/2006/main">
              <a:graphicData uri="http://schemas.openxmlformats.org/drawingml/2006/picture">
                <pic:pic xmlns:pic="http://schemas.openxmlformats.org/drawingml/2006/picture">
                  <pic:nvPicPr>
                    <pic:cNvPr id="1185839" name="Picture 1185839"/>
                    <pic:cNvPicPr/>
                  </pic:nvPicPr>
                  <pic:blipFill>
                    <a:blip r:embed="rId1615"/>
                    <a:stretch>
                      <a:fillRect/>
                    </a:stretch>
                  </pic:blipFill>
                  <pic:spPr>
                    <a:xfrm>
                      <a:off x="0" y="0"/>
                      <a:ext cx="1115568" cy="416052"/>
                    </a:xfrm>
                    <a:prstGeom prst="rect">
                      <a:avLst/>
                    </a:prstGeom>
                  </pic:spPr>
                </pic:pic>
              </a:graphicData>
            </a:graphic>
          </wp:inline>
        </w:drawing>
      </w:r>
    </w:p>
    <w:p w14:paraId="793520BF" w14:textId="77777777" w:rsidR="00053D93" w:rsidRDefault="00053D93">
      <w:pPr>
        <w:sectPr w:rsidR="00053D93">
          <w:headerReference w:type="even" r:id="rId1616"/>
          <w:headerReference w:type="default" r:id="rId1617"/>
          <w:footerReference w:type="even" r:id="rId1618"/>
          <w:footerReference w:type="default" r:id="rId1619"/>
          <w:headerReference w:type="first" r:id="rId1620"/>
          <w:footerReference w:type="first" r:id="rId1621"/>
          <w:pgSz w:w="12290" w:h="15883"/>
          <w:pgMar w:top="844" w:right="1786" w:bottom="403" w:left="338" w:header="353" w:footer="720" w:gutter="0"/>
          <w:cols w:space="720"/>
          <w:titlePg/>
        </w:sectPr>
      </w:pPr>
    </w:p>
    <w:p w14:paraId="06362E5C" w14:textId="77777777" w:rsidR="00053D93" w:rsidRDefault="00260B75">
      <w:pPr>
        <w:spacing w:after="168"/>
        <w:ind w:left="5220"/>
        <w:jc w:val="center"/>
      </w:pPr>
      <w:r>
        <w:rPr>
          <w:sz w:val="20"/>
        </w:rPr>
        <w:t xml:space="preserve">Al </w:t>
      </w:r>
    </w:p>
    <w:p w14:paraId="679D3358" w14:textId="77777777" w:rsidR="00053D93" w:rsidRDefault="00260B75">
      <w:pPr>
        <w:spacing w:after="38"/>
        <w:ind w:left="1469"/>
      </w:pPr>
      <w:r>
        <w:rPr>
          <w:noProof/>
        </w:rPr>
        <mc:AlternateContent>
          <mc:Choice Requires="wpg">
            <w:drawing>
              <wp:inline distT="0" distB="0" distL="0" distR="0" wp14:anchorId="455276CD" wp14:editId="07A4763C">
                <wp:extent cx="5509260" cy="9144"/>
                <wp:effectExtent l="0" t="0" r="0" b="0"/>
                <wp:docPr id="2458907" name="Group 2458907"/>
                <wp:cNvGraphicFramePr/>
                <a:graphic xmlns:a="http://schemas.openxmlformats.org/drawingml/2006/main">
                  <a:graphicData uri="http://schemas.microsoft.com/office/word/2010/wordprocessingGroup">
                    <wpg:wgp>
                      <wpg:cNvGrpSpPr/>
                      <wpg:grpSpPr>
                        <a:xfrm>
                          <a:off x="0" y="0"/>
                          <a:ext cx="5509260" cy="9144"/>
                          <a:chOff x="0" y="0"/>
                          <a:chExt cx="5509260" cy="9144"/>
                        </a:xfrm>
                      </wpg:grpSpPr>
                      <wps:wsp>
                        <wps:cNvPr id="2458906" name="Shape 2458906"/>
                        <wps:cNvSpPr/>
                        <wps:spPr>
                          <a:xfrm>
                            <a:off x="0" y="0"/>
                            <a:ext cx="5509260" cy="9144"/>
                          </a:xfrm>
                          <a:custGeom>
                            <a:avLst/>
                            <a:gdLst/>
                            <a:ahLst/>
                            <a:cxnLst/>
                            <a:rect l="0" t="0" r="0" b="0"/>
                            <a:pathLst>
                              <a:path w="5509260" h="9144">
                                <a:moveTo>
                                  <a:pt x="0" y="4572"/>
                                </a:moveTo>
                                <a:lnTo>
                                  <a:pt x="550926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07" style="width:433.8pt;height:0.719994pt;mso-position-horizontal-relative:char;mso-position-vertical-relative:line" coordsize="55092,91">
                <v:shape id="Shape 2458906" style="position:absolute;width:55092;height:91;left:0;top:0;" coordsize="5509260,9144" path="m0,4572l5509260,4572">
                  <v:stroke weight="0.719994pt" endcap="flat" joinstyle="miter" miterlimit="1" on="true" color="#000000"/>
                  <v:fill on="false" color="#000000"/>
                </v:shape>
              </v:group>
            </w:pict>
          </mc:Fallback>
        </mc:AlternateContent>
      </w:r>
    </w:p>
    <w:p w14:paraId="14C7B274" w14:textId="77777777" w:rsidR="00053D93" w:rsidRDefault="00260B75">
      <w:pPr>
        <w:spacing w:after="257" w:line="269" w:lineRule="auto"/>
        <w:ind w:left="60" w:right="14" w:hanging="3"/>
        <w:jc w:val="both"/>
      </w:pPr>
      <w:r>
        <w:rPr>
          <w:noProof/>
        </w:rPr>
        <mc:AlternateContent>
          <mc:Choice Requires="wpg">
            <w:drawing>
              <wp:anchor distT="0" distB="0" distL="114300" distR="114300" simplePos="0" relativeHeight="252267520" behindDoc="0" locked="0" layoutInCell="1" allowOverlap="1" wp14:anchorId="4B589484" wp14:editId="2046790D">
                <wp:simplePos x="0" y="0"/>
                <wp:positionH relativeFrom="column">
                  <wp:posOffset>22860</wp:posOffset>
                </wp:positionH>
                <wp:positionV relativeFrom="paragraph">
                  <wp:posOffset>410346</wp:posOffset>
                </wp:positionV>
                <wp:extent cx="118872" cy="288036"/>
                <wp:effectExtent l="0" t="0" r="0" b="0"/>
                <wp:wrapSquare wrapText="bothSides"/>
                <wp:docPr id="2457499" name="Group 2457499"/>
                <wp:cNvGraphicFramePr/>
                <a:graphic xmlns:a="http://schemas.openxmlformats.org/drawingml/2006/main">
                  <a:graphicData uri="http://schemas.microsoft.com/office/word/2010/wordprocessingGroup">
                    <wpg:wgp>
                      <wpg:cNvGrpSpPr/>
                      <wpg:grpSpPr>
                        <a:xfrm>
                          <a:off x="0" y="0"/>
                          <a:ext cx="118872" cy="288036"/>
                          <a:chOff x="0" y="0"/>
                          <a:chExt cx="118872" cy="288036"/>
                        </a:xfrm>
                      </wpg:grpSpPr>
                      <wps:wsp>
                        <wps:cNvPr id="1186529" name="Rectangle 1186529"/>
                        <wps:cNvSpPr/>
                        <wps:spPr>
                          <a:xfrm>
                            <a:off x="0" y="0"/>
                            <a:ext cx="158100" cy="383088"/>
                          </a:xfrm>
                          <a:prstGeom prst="rect">
                            <a:avLst/>
                          </a:prstGeom>
                          <a:ln>
                            <a:noFill/>
                          </a:ln>
                        </wps:spPr>
                        <wps:txbx>
                          <w:txbxContent>
                            <w:p w14:paraId="6552C804"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4B589484" id="Group 2457499" o:spid="_x0000_s1705" style="position:absolute;left:0;text-align:left;margin-left:1.8pt;margin-top:32.3pt;width:9.35pt;height:22.7pt;z-index:252267520;mso-position-horizontal-relative:text;mso-position-vertical-relative:text" coordsize="118872,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">
                <v:rect id="Rectangle 1186529" o:spid="_x0000_s1706" style="position:absolute;width:158100;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" filled="f" stroked="f">
                  <v:textbox inset="0,0,0,0">
                    <w:txbxContent>
                      <w:p w14:paraId="6552C804" w14:textId="77777777" w:rsidR="00053D93" w:rsidRDefault="00260B75">
                        <w:r>
                          <w:rPr>
                            <w:sz w:val="72"/>
                          </w:rPr>
                          <w:t>1</w:t>
                        </w:r>
                      </w:p>
                    </w:txbxContent>
                  </v:textbox>
                </v:rect>
                <w10:wrap type="square"/>
              </v:group>
            </w:pict>
          </mc:Fallback>
        </mc:AlternateContent>
      </w:r>
      <w:r>
        <w:rPr>
          <w:noProof/>
        </w:rPr>
        <w:drawing>
          <wp:anchor distT="0" distB="0" distL="114300" distR="114300" simplePos="0" relativeHeight="252268544" behindDoc="0" locked="0" layoutInCell="1" allowOverlap="0" wp14:anchorId="4A9EAD2E" wp14:editId="4466A629">
            <wp:simplePos x="0" y="0"/>
            <wp:positionH relativeFrom="column">
              <wp:posOffset>960120</wp:posOffset>
            </wp:positionH>
            <wp:positionV relativeFrom="paragraph">
              <wp:posOffset>2472318</wp:posOffset>
            </wp:positionV>
            <wp:extent cx="9144" cy="9144"/>
            <wp:effectExtent l="0" t="0" r="0" b="0"/>
            <wp:wrapSquare wrapText="bothSides"/>
            <wp:docPr id="1189683" name="Picture 1189683"/>
            <wp:cNvGraphicFramePr/>
            <a:graphic xmlns:a="http://schemas.openxmlformats.org/drawingml/2006/main">
              <a:graphicData uri="http://schemas.openxmlformats.org/drawingml/2006/picture">
                <pic:pic xmlns:pic="http://schemas.openxmlformats.org/drawingml/2006/picture">
                  <pic:nvPicPr>
                    <pic:cNvPr id="1189683" name="Picture 1189683"/>
                    <pic:cNvPicPr/>
                  </pic:nvPicPr>
                  <pic:blipFill>
                    <a:blip r:embed="rId93"/>
                    <a:stretch>
                      <a:fillRect/>
                    </a:stretch>
                  </pic:blipFill>
                  <pic:spPr>
                    <a:xfrm>
                      <a:off x="0" y="0"/>
                      <a:ext cx="9144" cy="9144"/>
                    </a:xfrm>
                    <a:prstGeom prst="rect">
                      <a:avLst/>
                    </a:prstGeom>
                  </pic:spPr>
                </pic:pic>
              </a:graphicData>
            </a:graphic>
          </wp:anchor>
        </w:drawing>
      </w:r>
      <w:r>
        <w:rPr>
          <w:sz w:val="26"/>
        </w:rPr>
        <w:t xml:space="preserve">1 del puesto. 17. Ejecutar actividades y/o roles en los sistemas informáticos de los procesos de su área, que estén desconcentrados o que se desconcentren a futuro, de acuerdo a las necesidades o asignaciones dadas a la Dirección, con el fin que dichos procesos se lleven a cabo en los tiempos establecidos y respondiendo a las necesidades... 19. Ejecutar las actividades descritas en [os procedimientos, </w:t>
      </w:r>
      <w:r>
        <w:rPr>
          <w:noProof/>
        </w:rPr>
        <mc:AlternateContent>
          <mc:Choice Requires="wpg">
            <w:drawing>
              <wp:inline distT="0" distB="0" distL="0" distR="0" wp14:anchorId="310154AD" wp14:editId="1B1A4C43">
                <wp:extent cx="123444" cy="297180"/>
                <wp:effectExtent l="0" t="0" r="0" b="0"/>
                <wp:docPr id="2457500" name="Group 2457500"/>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1186530" name="Rectangle 1186530"/>
                        <wps:cNvSpPr/>
                        <wps:spPr>
                          <a:xfrm>
                            <a:off x="0" y="0"/>
                            <a:ext cx="164181" cy="395249"/>
                          </a:xfrm>
                          <a:prstGeom prst="rect">
                            <a:avLst/>
                          </a:prstGeom>
                          <a:ln>
                            <a:noFill/>
                          </a:ln>
                        </wps:spPr>
                        <wps:txbx>
                          <w:txbxContent>
                            <w:p w14:paraId="52073A2B"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310154AD" id="Group 2457500" o:spid="_x0000_s1707" style="width:9.7pt;height:23.4pt;mso-position-horizontal-relative:char;mso-position-vertical-relative:line"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">
                <v:rect id="Rectangle 1186530" o:spid="_x0000_s1708"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" filled="f" stroked="f">
                  <v:textbox inset="0,0,0,0">
                    <w:txbxContent>
                      <w:p w14:paraId="52073A2B" w14:textId="77777777" w:rsidR="00053D93" w:rsidRDefault="00260B75">
                        <w:r>
                          <w:rPr>
                            <w:sz w:val="74"/>
                          </w:rPr>
                          <w:t>1</w:t>
                        </w:r>
                      </w:p>
                    </w:txbxContent>
                  </v:textbox>
                </v:rect>
                <w10:anchorlock/>
              </v:group>
            </w:pict>
          </mc:Fallback>
        </mc:AlternateContent>
      </w:r>
      <w:r>
        <w:rPr>
          <w:sz w:val="26"/>
        </w:rPr>
        <w:t xml:space="preserve"> instructivos, guías y cualquier otro documento oficial en las que esté involucrado el puesto. Numeral 56. Subdirector de Fortalecimiento a la Comunidad Educativa/Jefe del Departamento de Fortalecimiento a la Comunidad Educativa, el </w:t>
      </w:r>
      <w:r>
        <w:rPr>
          <w:noProof/>
        </w:rPr>
        <mc:AlternateContent>
          <mc:Choice Requires="wpg">
            <w:drawing>
              <wp:inline distT="0" distB="0" distL="0" distR="0" wp14:anchorId="5AEC70E4" wp14:editId="3BB3D0C4">
                <wp:extent cx="118872" cy="288036"/>
                <wp:effectExtent l="0" t="0" r="0" b="0"/>
                <wp:docPr id="2457501" name="Group 2457501"/>
                <wp:cNvGraphicFramePr/>
                <a:graphic xmlns:a="http://schemas.openxmlformats.org/drawingml/2006/main">
                  <a:graphicData uri="http://schemas.microsoft.com/office/word/2010/wordprocessingGroup">
                    <wpg:wgp>
                      <wpg:cNvGrpSpPr/>
                      <wpg:grpSpPr>
                        <a:xfrm>
                          <a:off x="0" y="0"/>
                          <a:ext cx="118872" cy="288036"/>
                          <a:chOff x="0" y="0"/>
                          <a:chExt cx="118872" cy="288036"/>
                        </a:xfrm>
                      </wpg:grpSpPr>
                      <wps:wsp>
                        <wps:cNvPr id="1186531" name="Rectangle 1186531"/>
                        <wps:cNvSpPr/>
                        <wps:spPr>
                          <a:xfrm>
                            <a:off x="0" y="0"/>
                            <a:ext cx="158100" cy="383088"/>
                          </a:xfrm>
                          <a:prstGeom prst="rect">
                            <a:avLst/>
                          </a:prstGeom>
                          <a:ln>
                            <a:noFill/>
                          </a:ln>
                        </wps:spPr>
                        <wps:txbx>
                          <w:txbxContent>
                            <w:p w14:paraId="510671F2"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5AEC70E4" id="Group 2457501" o:spid="_x0000_s1709" style="width:9.35pt;height:22.7pt;mso-position-horizontal-relative:char;mso-position-vertical-relative:line" coordsize="118872,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">
                <v:rect id="Rectangle 1186531" o:spid="_x0000_s1710" style="position:absolute;width:158100;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" filled="f" stroked="f">
                  <v:textbox inset="0,0,0,0">
                    <w:txbxContent>
                      <w:p w14:paraId="510671F2" w14:textId="77777777" w:rsidR="00053D93" w:rsidRDefault="00260B75">
                        <w:r>
                          <w:rPr>
                            <w:sz w:val="72"/>
                          </w:rPr>
                          <w:t>1</w:t>
                        </w:r>
                      </w:p>
                    </w:txbxContent>
                  </v:textbox>
                </v:rect>
                <w10:anchorlock/>
              </v:group>
            </w:pict>
          </mc:Fallback>
        </mc:AlternateContent>
      </w:r>
      <w:r>
        <w:rPr>
          <w:sz w:val="26"/>
        </w:rPr>
        <w:t xml:space="preserve"> propósito del puesto indica "Coordinar y dar seguimiento a [a ejecución de los procesos de fortalecimiento a la comunidad educativa (organización escolar y 1 administración de programas) asegurando el cumplimiento a la normativa legal vigente y documentación establecida." 2.B Funciones principales del puesto establece: 18. Coordinar las actividades de los técnicos de apoyo, de acuerdo al 1 volumen y estacionalidad de los programas de apoyo y organización escolar, para asegurar su cumplimiento. 20. Actualizar y verificar los sistemas informáticos inherentes a sus funciones, con el fin de mantener datos confiables de su área 1 para la toma de decisiones y rendición de cuentas. 30. Ejecutar las actividades descritas en [os procedimientos, instructivos, guías y cualquier otro documento 1 oficial en las que esté involucrado el puesto. Por lo expuesto, corresponde al jefe inmediato coordinar y supervisar que el Técnico de Servicios de Apoyo cumpla con las tareas asignadas según la naturaleza del puesto.</w:t>
      </w:r>
    </w:p>
    <w:p w14:paraId="4C15CCCE" w14:textId="77777777" w:rsidR="00053D93" w:rsidRDefault="00260B75">
      <w:pPr>
        <w:spacing w:after="3" w:line="269" w:lineRule="auto"/>
        <w:ind w:left="67" w:right="14" w:hanging="10"/>
        <w:jc w:val="right"/>
      </w:pPr>
      <w:r>
        <w:rPr>
          <w:sz w:val="26"/>
        </w:rPr>
        <w:t>4. De acuerdo a lo indicado en el CRITERIO hace referencia al Manual de</w:t>
      </w:r>
    </w:p>
    <w:p w14:paraId="7B5ECB4E" w14:textId="77777777" w:rsidR="00053D93" w:rsidRDefault="00260B75">
      <w:pPr>
        <w:spacing w:after="4" w:line="216" w:lineRule="auto"/>
        <w:ind w:left="57" w:right="14" w:firstLine="1627"/>
        <w:jc w:val="both"/>
      </w:pPr>
      <w:r>
        <w:rPr>
          <w:sz w:val="26"/>
        </w:rPr>
        <w:t>Organización y Funciones de la Dirección General de Participación Comunitaria y 1 Servicios de Apoyo -DIGEPSA-, Código VDE-MAN-08, Versión 2, numeral 5,</w:t>
      </w:r>
    </w:p>
    <w:p w14:paraId="7EAA72AF" w14:textId="77777777" w:rsidR="00053D93" w:rsidRDefault="00260B75">
      <w:pPr>
        <w:spacing w:after="4" w:line="269" w:lineRule="auto"/>
        <w:ind w:left="57" w:right="14" w:firstLine="1634"/>
        <w:jc w:val="both"/>
      </w:pPr>
      <w:r>
        <w:rPr>
          <w:noProof/>
        </w:rPr>
        <mc:AlternateContent>
          <mc:Choice Requires="wpg">
            <w:drawing>
              <wp:anchor distT="0" distB="0" distL="114300" distR="114300" simplePos="0" relativeHeight="252269568" behindDoc="0" locked="0" layoutInCell="1" allowOverlap="1" wp14:anchorId="7C5CC54B" wp14:editId="0E09C323">
                <wp:simplePos x="0" y="0"/>
                <wp:positionH relativeFrom="column">
                  <wp:posOffset>45720</wp:posOffset>
                </wp:positionH>
                <wp:positionV relativeFrom="paragraph">
                  <wp:posOffset>1213119</wp:posOffset>
                </wp:positionV>
                <wp:extent cx="118872" cy="292609"/>
                <wp:effectExtent l="0" t="0" r="0" b="0"/>
                <wp:wrapSquare wrapText="bothSides"/>
                <wp:docPr id="2457502" name="Group 2457502"/>
                <wp:cNvGraphicFramePr/>
                <a:graphic xmlns:a="http://schemas.openxmlformats.org/drawingml/2006/main">
                  <a:graphicData uri="http://schemas.microsoft.com/office/word/2010/wordprocessingGroup">
                    <wpg:wgp>
                      <wpg:cNvGrpSpPr/>
                      <wpg:grpSpPr>
                        <a:xfrm>
                          <a:off x="0" y="0"/>
                          <a:ext cx="118872" cy="292609"/>
                          <a:chOff x="0" y="0"/>
                          <a:chExt cx="118872" cy="292609"/>
                        </a:xfrm>
                      </wpg:grpSpPr>
                      <wps:wsp>
                        <wps:cNvPr id="1186539" name="Rectangle 1186539"/>
                        <wps:cNvSpPr/>
                        <wps:spPr>
                          <a:xfrm>
                            <a:off x="0" y="0"/>
                            <a:ext cx="158100" cy="389169"/>
                          </a:xfrm>
                          <a:prstGeom prst="rect">
                            <a:avLst/>
                          </a:prstGeom>
                          <a:ln>
                            <a:noFill/>
                          </a:ln>
                        </wps:spPr>
                        <wps:txbx>
                          <w:txbxContent>
                            <w:p w14:paraId="74A2C198"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7C5CC54B" id="Group 2457502" o:spid="_x0000_s1711" style="position:absolute;left:0;text-align:left;margin-left:3.6pt;margin-top:95.5pt;width:9.35pt;height:23.05pt;z-index:252269568;mso-position-horizontal-relative:text;mso-position-vertical-relative:text" coordsize="118872,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">
                <v:rect id="Rectangle 1186539" o:spid="_x0000_s1712"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" filled="f" stroked="f">
                  <v:textbox inset="0,0,0,0">
                    <w:txbxContent>
                      <w:p w14:paraId="74A2C198" w14:textId="77777777" w:rsidR="00053D93" w:rsidRDefault="00260B75">
                        <w:r>
                          <w:rPr>
                            <w:sz w:val="72"/>
                          </w:rPr>
                          <w:t>1</w:t>
                        </w:r>
                      </w:p>
                    </w:txbxContent>
                  </v:textbox>
                </v:rect>
                <w10:wrap type="square"/>
              </v:group>
            </w:pict>
          </mc:Fallback>
        </mc:AlternateContent>
      </w:r>
      <w:r>
        <w:rPr>
          <w:sz w:val="26"/>
        </w:rPr>
        <w:t>Descripción de Funciones de la Dirección General de Participación Comunitaria y 1 Servicios de Apoyo -DIGEPSA; numeral 4 Departamento de Liquidación, Coordinador Financiero de los Programas de Apoyo. El Oficio DIGEPSA No. 76-2024, a través del cual la Directora de -DIGEPSA-, emite Nombramiento a mi 1 persona indicando lo siguiente: "...hacer de su conocimiento que, con el objeto de dar cumplimiento a todos los procesos que conllevan [os Programas de Apoyo en el tema Financiero, se le nombra para que adicional a las funciones que tiene asignadas actualmente, apoye las funciones que listo a continuación: 1. Coordinar con el personal a su cargo las actividades de seguimiento a la ejecución financiera 1 de los programas de apoyo. . . Para el cumplimiento de esta actividad, se envía a las DIDEDUC los cronogramas de actividades que deben realizar durante el proceso de ejecución presupuestaria de las transferencias a Organizaciones de 1 Padres de Familia -OPF- de cada uno de los programas de apoyo, en cada uno de sus desembolsos y se brinda acompañamiento vía correo electrónico, telefónica y reunión vía teams al personal de DEFOCE y Financiero, como apoyo al proceso 1 de ejecución. ...correos electrónicos que respaldan el seguimiento a la ejecución financiera de los programas de apoyo. 2. Monitorear el ingreso de tas entidades 1 receptoras de transferencia correspondientes a las Organizaciones de Padres de</w:t>
      </w:r>
    </w:p>
    <w:tbl>
      <w:tblPr>
        <w:tblStyle w:val="TableGrid"/>
        <w:tblW w:w="9418" w:type="dxa"/>
        <w:tblInd w:w="727" w:type="dxa"/>
        <w:tblLook w:val="04A0" w:firstRow="1" w:lastRow="0" w:firstColumn="1" w:lastColumn="0" w:noHBand="0" w:noVBand="1"/>
      </w:tblPr>
      <w:tblGrid>
        <w:gridCol w:w="1290"/>
        <w:gridCol w:w="8156"/>
      </w:tblGrid>
      <w:tr w:rsidR="00053D93" w14:paraId="62EF0C56" w14:textId="77777777">
        <w:trPr>
          <w:trHeight w:val="641"/>
        </w:trPr>
        <w:tc>
          <w:tcPr>
            <w:tcW w:w="1781" w:type="dxa"/>
            <w:tcBorders>
              <w:top w:val="nil"/>
              <w:left w:val="nil"/>
              <w:bottom w:val="nil"/>
              <w:right w:val="nil"/>
            </w:tcBorders>
          </w:tcPr>
          <w:p w14:paraId="6BFE8D72" w14:textId="77777777" w:rsidR="00053D93" w:rsidRDefault="00260B75">
            <w:r>
              <w:rPr>
                <w:noProof/>
              </w:rPr>
              <w:drawing>
                <wp:inline distT="0" distB="0" distL="0" distR="0" wp14:anchorId="278FD6FB" wp14:editId="543716AD">
                  <wp:extent cx="1120140" cy="402337"/>
                  <wp:effectExtent l="0" t="0" r="0" b="0"/>
                  <wp:docPr id="1189738" name="Picture 1189738"/>
                  <wp:cNvGraphicFramePr/>
                  <a:graphic xmlns:a="http://schemas.openxmlformats.org/drawingml/2006/main">
                    <a:graphicData uri="http://schemas.openxmlformats.org/drawingml/2006/picture">
                      <pic:pic xmlns:pic="http://schemas.openxmlformats.org/drawingml/2006/picture">
                        <pic:nvPicPr>
                          <pic:cNvPr id="1189738" name="Picture 1189738"/>
                          <pic:cNvPicPr/>
                        </pic:nvPicPr>
                        <pic:blipFill>
                          <a:blip r:embed="rId1622"/>
                          <a:stretch>
                            <a:fillRect/>
                          </a:stretch>
                        </pic:blipFill>
                        <pic:spPr>
                          <a:xfrm>
                            <a:off x="0" y="0"/>
                            <a:ext cx="1120140" cy="402337"/>
                          </a:xfrm>
                          <a:prstGeom prst="rect">
                            <a:avLst/>
                          </a:prstGeom>
                        </pic:spPr>
                      </pic:pic>
                    </a:graphicData>
                  </a:graphic>
                </wp:inline>
              </w:drawing>
            </w:r>
          </w:p>
        </w:tc>
        <w:tc>
          <w:tcPr>
            <w:tcW w:w="7637" w:type="dxa"/>
            <w:tcBorders>
              <w:top w:val="nil"/>
              <w:left w:val="nil"/>
              <w:bottom w:val="nil"/>
              <w:right w:val="nil"/>
            </w:tcBorders>
          </w:tcPr>
          <w:p w14:paraId="1F854195" w14:textId="77777777" w:rsidR="00053D93" w:rsidRDefault="00053D93">
            <w:pPr>
              <w:ind w:left="-2825" w:right="10462"/>
            </w:pPr>
          </w:p>
          <w:tbl>
            <w:tblPr>
              <w:tblStyle w:val="TableGrid"/>
              <w:tblW w:w="7620" w:type="dxa"/>
              <w:tblInd w:w="17" w:type="dxa"/>
              <w:tblCellMar>
                <w:top w:w="44" w:type="dxa"/>
                <w:left w:w="1738" w:type="dxa"/>
                <w:right w:w="115" w:type="dxa"/>
              </w:tblCellMar>
              <w:tblLook w:val="04A0" w:firstRow="1" w:lastRow="0" w:firstColumn="1" w:lastColumn="0" w:noHBand="0" w:noVBand="1"/>
            </w:tblPr>
            <w:tblGrid>
              <w:gridCol w:w="7620"/>
            </w:tblGrid>
            <w:tr w:rsidR="00053D93" w14:paraId="4A92D3D3" w14:textId="77777777">
              <w:trPr>
                <w:trHeight w:val="50"/>
              </w:trPr>
              <w:tc>
                <w:tcPr>
                  <w:tcW w:w="7620" w:type="dxa"/>
                  <w:tcBorders>
                    <w:top w:val="nil"/>
                    <w:left w:val="single" w:sz="2" w:space="0" w:color="000000"/>
                    <w:bottom w:val="single" w:sz="2" w:space="0" w:color="000000"/>
                    <w:right w:val="nil"/>
                  </w:tcBorders>
                </w:tcPr>
                <w:p w14:paraId="5631ABA6" w14:textId="77777777" w:rsidR="00053D93" w:rsidRDefault="00053D93"/>
              </w:tc>
            </w:tr>
            <w:tr w:rsidR="00053D93" w14:paraId="701F7D85" w14:textId="77777777">
              <w:trPr>
                <w:trHeight w:val="590"/>
              </w:trPr>
              <w:tc>
                <w:tcPr>
                  <w:tcW w:w="7620" w:type="dxa"/>
                  <w:tcBorders>
                    <w:top w:val="single" w:sz="2" w:space="0" w:color="000000"/>
                    <w:left w:val="single" w:sz="2" w:space="0" w:color="000000"/>
                    <w:bottom w:val="nil"/>
                    <w:right w:val="nil"/>
                  </w:tcBorders>
                </w:tcPr>
                <w:p w14:paraId="7DD51B4B" w14:textId="77777777" w:rsidR="00053D93" w:rsidRDefault="00260B75">
                  <w:pPr>
                    <w:ind w:left="828"/>
                  </w:pPr>
                  <w:r>
                    <w:rPr>
                      <w:sz w:val="14"/>
                    </w:rPr>
                    <w:t>MINISTERIO DE EDUCACION</w:t>
                  </w:r>
                </w:p>
                <w:p w14:paraId="7384FDAF" w14:textId="77777777" w:rsidR="00053D93" w:rsidRDefault="00260B75">
                  <w:pPr>
                    <w:ind w:left="331"/>
                  </w:pPr>
                  <w:r>
                    <w:rPr>
                      <w:sz w:val="14"/>
                    </w:rPr>
                    <w:t>AUDITORIA FINANCIERA Y DE CUMPLIMIENTO</w:t>
                  </w:r>
                </w:p>
                <w:p w14:paraId="50052313" w14:textId="77777777" w:rsidR="00053D93" w:rsidRDefault="00260B75">
                  <w:r>
                    <w:rPr>
                      <w:sz w:val="14"/>
                    </w:rPr>
                    <w:t>PERIODO DEL 01 DE ENERO Al. 31 DE DICIEMERE DE 2024</w:t>
                  </w:r>
                </w:p>
              </w:tc>
            </w:tr>
          </w:tbl>
          <w:p w14:paraId="031F4D8F" w14:textId="77777777" w:rsidR="00053D93" w:rsidRDefault="00053D93"/>
        </w:tc>
      </w:tr>
    </w:tbl>
    <w:p w14:paraId="07B93197" w14:textId="77777777" w:rsidR="00053D93" w:rsidRDefault="00260B75">
      <w:pPr>
        <w:pStyle w:val="Ttulo2"/>
        <w:spacing w:after="0"/>
        <w:ind w:left="17" w:right="0"/>
      </w:pPr>
      <w:r>
        <w:t>-1</w:t>
      </w:r>
    </w:p>
    <w:p w14:paraId="66B01903" w14:textId="77777777" w:rsidR="00053D93" w:rsidRDefault="00260B75">
      <w:pPr>
        <w:spacing w:after="38"/>
        <w:ind w:left="1663"/>
      </w:pPr>
      <w:r>
        <w:rPr>
          <w:noProof/>
        </w:rPr>
        <mc:AlternateContent>
          <mc:Choice Requires="wpg">
            <w:drawing>
              <wp:inline distT="0" distB="0" distL="0" distR="0" wp14:anchorId="606DCD3A" wp14:editId="6F6716DD">
                <wp:extent cx="5381244" cy="9144"/>
                <wp:effectExtent l="0" t="0" r="0" b="0"/>
                <wp:docPr id="2458909" name="Group 2458909"/>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908" name="Shape 2458908"/>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09" style="width:423.72pt;height:0.720001pt;mso-position-horizontal-relative:char;mso-position-vertical-relative:line" coordsize="53812,91">
                <v:shape id="Shape 2458908" style="position:absolute;width:53812;height:91;left:0;top:0;" coordsize="5381244,9144" path="m0,4572l5381244,4572">
                  <v:stroke weight="0.720001pt" endcap="flat" joinstyle="miter" miterlimit="1" on="true" color="#000000"/>
                  <v:fill on="false" color="#000000"/>
                </v:shape>
              </v:group>
            </w:pict>
          </mc:Fallback>
        </mc:AlternateContent>
      </w:r>
    </w:p>
    <w:p w14:paraId="0CBC79E9" w14:textId="77777777" w:rsidR="00053D93" w:rsidRDefault="00260B75">
      <w:pPr>
        <w:spacing w:after="4" w:line="269" w:lineRule="auto"/>
        <w:ind w:left="60" w:right="14" w:hanging="3"/>
        <w:jc w:val="both"/>
      </w:pPr>
      <w:r>
        <w:rPr>
          <w:noProof/>
        </w:rPr>
        <mc:AlternateContent>
          <mc:Choice Requires="wpg">
            <w:drawing>
              <wp:anchor distT="0" distB="0" distL="114300" distR="114300" simplePos="0" relativeHeight="252270592" behindDoc="0" locked="0" layoutInCell="1" allowOverlap="1" wp14:anchorId="60E51298" wp14:editId="4F074A3A">
                <wp:simplePos x="0" y="0"/>
                <wp:positionH relativeFrom="column">
                  <wp:posOffset>27432</wp:posOffset>
                </wp:positionH>
                <wp:positionV relativeFrom="paragraph">
                  <wp:posOffset>1950779</wp:posOffset>
                </wp:positionV>
                <wp:extent cx="123444" cy="297180"/>
                <wp:effectExtent l="0" t="0" r="0" b="0"/>
                <wp:wrapSquare wrapText="bothSides"/>
                <wp:docPr id="2457521" name="Group 2457521"/>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1190428" name="Rectangle 1190428"/>
                        <wps:cNvSpPr/>
                        <wps:spPr>
                          <a:xfrm>
                            <a:off x="0" y="0"/>
                            <a:ext cx="164181" cy="395250"/>
                          </a:xfrm>
                          <a:prstGeom prst="rect">
                            <a:avLst/>
                          </a:prstGeom>
                          <a:ln>
                            <a:noFill/>
                          </a:ln>
                        </wps:spPr>
                        <wps:txbx>
                          <w:txbxContent>
                            <w:p w14:paraId="7F01769A"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60E51298" id="Group 2457521" o:spid="_x0000_s1713" style="position:absolute;left:0;text-align:left;margin-left:2.15pt;margin-top:153.6pt;width:9.7pt;height:23.4pt;z-index:252270592;mso-position-horizontal-relative:text;mso-position-vertical-relative:text"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">
                <v:rect id="Rectangle 1190428" o:spid="_x0000_s1714" style="position:absolute;width:164181;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" filled="f" stroked="f">
                  <v:textbox inset="0,0,0,0">
                    <w:txbxContent>
                      <w:p w14:paraId="7F01769A" w14:textId="77777777" w:rsidR="00053D93" w:rsidRDefault="00260B75">
                        <w:r>
                          <w:rPr>
                            <w:sz w:val="74"/>
                          </w:rPr>
                          <w:t>1</w:t>
                        </w:r>
                      </w:p>
                    </w:txbxContent>
                  </v:textbox>
                </v:rect>
                <w10:wrap type="square"/>
              </v:group>
            </w:pict>
          </mc:Fallback>
        </mc:AlternateContent>
      </w:r>
      <w:r>
        <w:rPr>
          <w:noProof/>
        </w:rPr>
        <mc:AlternateContent>
          <mc:Choice Requires="wpg">
            <w:drawing>
              <wp:anchor distT="0" distB="0" distL="114300" distR="114300" simplePos="0" relativeHeight="252271616" behindDoc="0" locked="0" layoutInCell="1" allowOverlap="1" wp14:anchorId="65B77A52" wp14:editId="4ADC812B">
                <wp:simplePos x="0" y="0"/>
                <wp:positionH relativeFrom="column">
                  <wp:posOffset>36576</wp:posOffset>
                </wp:positionH>
                <wp:positionV relativeFrom="paragraph">
                  <wp:posOffset>3491543</wp:posOffset>
                </wp:positionV>
                <wp:extent cx="118872" cy="297180"/>
                <wp:effectExtent l="0" t="0" r="0" b="0"/>
                <wp:wrapSquare wrapText="bothSides"/>
                <wp:docPr id="2457522" name="Group 2457522"/>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190431" name="Rectangle 1190431"/>
                        <wps:cNvSpPr/>
                        <wps:spPr>
                          <a:xfrm>
                            <a:off x="0" y="0"/>
                            <a:ext cx="158100" cy="395249"/>
                          </a:xfrm>
                          <a:prstGeom prst="rect">
                            <a:avLst/>
                          </a:prstGeom>
                          <a:ln>
                            <a:noFill/>
                          </a:ln>
                        </wps:spPr>
                        <wps:txbx>
                          <w:txbxContent>
                            <w:p w14:paraId="28FC0708"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65B77A52" id="Group 2457522" o:spid="_x0000_s1715" style="position:absolute;left:0;text-align:left;margin-left:2.9pt;margin-top:274.9pt;width:9.35pt;height:23.4pt;z-index:252271616;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">
                <v:rect id="Rectangle 1190431" o:spid="_x0000_s1716"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" filled="f" stroked="f">
                  <v:textbox inset="0,0,0,0">
                    <w:txbxContent>
                      <w:p w14:paraId="28FC0708" w14:textId="77777777" w:rsidR="00053D93" w:rsidRDefault="00260B75">
                        <w:r>
                          <w:rPr>
                            <w:sz w:val="72"/>
                          </w:rPr>
                          <w:t>1</w:t>
                        </w:r>
                      </w:p>
                    </w:txbxContent>
                  </v:textbox>
                </v:rect>
                <w10:wrap type="square"/>
              </v:group>
            </w:pict>
          </mc:Fallback>
        </mc:AlternateContent>
      </w:r>
      <w:r>
        <w:rPr>
          <w:noProof/>
        </w:rPr>
        <mc:AlternateContent>
          <mc:Choice Requires="wpg">
            <w:drawing>
              <wp:anchor distT="0" distB="0" distL="114300" distR="114300" simplePos="0" relativeHeight="252272640" behindDoc="0" locked="0" layoutInCell="1" allowOverlap="1" wp14:anchorId="08541F3F" wp14:editId="1E3F7873">
                <wp:simplePos x="0" y="0"/>
                <wp:positionH relativeFrom="column">
                  <wp:posOffset>36576</wp:posOffset>
                </wp:positionH>
                <wp:positionV relativeFrom="paragraph">
                  <wp:posOffset>4520243</wp:posOffset>
                </wp:positionV>
                <wp:extent cx="118872" cy="297180"/>
                <wp:effectExtent l="0" t="0" r="0" b="0"/>
                <wp:wrapSquare wrapText="bothSides"/>
                <wp:docPr id="2457523" name="Group 2457523"/>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190432" name="Rectangle 1190432"/>
                        <wps:cNvSpPr/>
                        <wps:spPr>
                          <a:xfrm>
                            <a:off x="0" y="0"/>
                            <a:ext cx="158100" cy="395249"/>
                          </a:xfrm>
                          <a:prstGeom prst="rect">
                            <a:avLst/>
                          </a:prstGeom>
                          <a:ln>
                            <a:noFill/>
                          </a:ln>
                        </wps:spPr>
                        <wps:txbx>
                          <w:txbxContent>
                            <w:p w14:paraId="7C605455"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08541F3F" id="Group 2457523" o:spid="_x0000_s1717" style="position:absolute;left:0;text-align:left;margin-left:2.9pt;margin-top:355.9pt;width:9.35pt;height:23.4pt;z-index:252272640;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">
                <v:rect id="Rectangle 1190432" o:spid="_x0000_s1718"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" filled="f" stroked="f">
                  <v:textbox inset="0,0,0,0">
                    <w:txbxContent>
                      <w:p w14:paraId="7C605455" w14:textId="77777777" w:rsidR="00053D93" w:rsidRDefault="00260B75">
                        <w:r>
                          <w:rPr>
                            <w:sz w:val="72"/>
                          </w:rPr>
                          <w:t>1</w:t>
                        </w:r>
                      </w:p>
                    </w:txbxContent>
                  </v:textbox>
                </v:rect>
                <w10:wrap type="square"/>
              </v:group>
            </w:pict>
          </mc:Fallback>
        </mc:AlternateContent>
      </w:r>
      <w:r>
        <w:rPr>
          <w:noProof/>
        </w:rPr>
        <mc:AlternateContent>
          <mc:Choice Requires="wpg">
            <w:drawing>
              <wp:anchor distT="0" distB="0" distL="114300" distR="114300" simplePos="0" relativeHeight="252273664" behindDoc="0" locked="0" layoutInCell="1" allowOverlap="1" wp14:anchorId="03FC8EFA" wp14:editId="0B05ACF8">
                <wp:simplePos x="0" y="0"/>
                <wp:positionH relativeFrom="column">
                  <wp:posOffset>36576</wp:posOffset>
                </wp:positionH>
                <wp:positionV relativeFrom="paragraph">
                  <wp:posOffset>5046023</wp:posOffset>
                </wp:positionV>
                <wp:extent cx="118872" cy="288036"/>
                <wp:effectExtent l="0" t="0" r="0" b="0"/>
                <wp:wrapSquare wrapText="bothSides"/>
                <wp:docPr id="2457524" name="Group 2457524"/>
                <wp:cNvGraphicFramePr/>
                <a:graphic xmlns:a="http://schemas.openxmlformats.org/drawingml/2006/main">
                  <a:graphicData uri="http://schemas.microsoft.com/office/word/2010/wordprocessingGroup">
                    <wpg:wgp>
                      <wpg:cNvGrpSpPr/>
                      <wpg:grpSpPr>
                        <a:xfrm>
                          <a:off x="0" y="0"/>
                          <a:ext cx="118872" cy="288036"/>
                          <a:chOff x="0" y="0"/>
                          <a:chExt cx="118872" cy="288036"/>
                        </a:xfrm>
                      </wpg:grpSpPr>
                      <wps:wsp>
                        <wps:cNvPr id="1190433" name="Rectangle 1190433"/>
                        <wps:cNvSpPr/>
                        <wps:spPr>
                          <a:xfrm>
                            <a:off x="0" y="0"/>
                            <a:ext cx="158100" cy="383088"/>
                          </a:xfrm>
                          <a:prstGeom prst="rect">
                            <a:avLst/>
                          </a:prstGeom>
                          <a:ln>
                            <a:noFill/>
                          </a:ln>
                        </wps:spPr>
                        <wps:txbx>
                          <w:txbxContent>
                            <w:p w14:paraId="36545D6E"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03FC8EFA" id="Group 2457524" o:spid="_x0000_s1719" style="position:absolute;left:0;text-align:left;margin-left:2.9pt;margin-top:397.3pt;width:9.35pt;height:22.7pt;z-index:252273664;mso-position-horizontal-relative:text;mso-position-vertical-relative:text" coordsize="118872,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">
                <v:rect id="Rectangle 1190433" o:spid="_x0000_s1720" style="position:absolute;width:158100;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" filled="f" stroked="f">
                  <v:textbox inset="0,0,0,0">
                    <w:txbxContent>
                      <w:p w14:paraId="36545D6E" w14:textId="77777777" w:rsidR="00053D93" w:rsidRDefault="00260B75">
                        <w:r>
                          <w:rPr>
                            <w:sz w:val="72"/>
                          </w:rPr>
                          <w:t>1</w:t>
                        </w:r>
                      </w:p>
                    </w:txbxContent>
                  </v:textbox>
                </v:rect>
                <w10:wrap type="square"/>
              </v:group>
            </w:pict>
          </mc:Fallback>
        </mc:AlternateContent>
      </w:r>
      <w:r>
        <w:rPr>
          <w:noProof/>
        </w:rPr>
        <mc:AlternateContent>
          <mc:Choice Requires="wpg">
            <w:drawing>
              <wp:anchor distT="0" distB="0" distL="114300" distR="114300" simplePos="0" relativeHeight="252274688" behindDoc="0" locked="0" layoutInCell="1" allowOverlap="1" wp14:anchorId="73C956A5" wp14:editId="0E0DECC2">
                <wp:simplePos x="0" y="0"/>
                <wp:positionH relativeFrom="column">
                  <wp:posOffset>50292</wp:posOffset>
                </wp:positionH>
                <wp:positionV relativeFrom="paragraph">
                  <wp:posOffset>7615487</wp:posOffset>
                </wp:positionV>
                <wp:extent cx="114300" cy="292608"/>
                <wp:effectExtent l="0" t="0" r="0" b="0"/>
                <wp:wrapSquare wrapText="bothSides"/>
                <wp:docPr id="2457526" name="Group 2457526"/>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190438" name="Rectangle 1190438"/>
                        <wps:cNvSpPr/>
                        <wps:spPr>
                          <a:xfrm>
                            <a:off x="0" y="0"/>
                            <a:ext cx="152019" cy="389168"/>
                          </a:xfrm>
                          <a:prstGeom prst="rect">
                            <a:avLst/>
                          </a:prstGeom>
                          <a:ln>
                            <a:noFill/>
                          </a:ln>
                        </wps:spPr>
                        <wps:txbx>
                          <w:txbxContent>
                            <w:p w14:paraId="218E64B6"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73C956A5" id="Group 2457526" o:spid="_x0000_s1721" style="position:absolute;left:0;text-align:left;margin-left:3.95pt;margin-top:599.65pt;width:9pt;height:23.05pt;z-index:252274688;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">
                <v:rect id="Rectangle 1190438" o:spid="_x0000_s1722" style="position:absolute;width:152019;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" filled="f" stroked="f">
                  <v:textbox inset="0,0,0,0">
                    <w:txbxContent>
                      <w:p w14:paraId="218E64B6" w14:textId="77777777" w:rsidR="00053D93" w:rsidRDefault="00260B75">
                        <w:r>
                          <w:rPr>
                            <w:sz w:val="70"/>
                          </w:rPr>
                          <w:t>1</w:t>
                        </w:r>
                      </w:p>
                    </w:txbxContent>
                  </v:textbox>
                </v:rect>
                <w10:wrap type="square"/>
              </v:group>
            </w:pict>
          </mc:Fallback>
        </mc:AlternateContent>
      </w:r>
      <w:r>
        <w:rPr>
          <w:noProof/>
        </w:rPr>
        <w:drawing>
          <wp:inline distT="0" distB="0" distL="0" distR="0" wp14:anchorId="474088D8" wp14:editId="11CEB36B">
            <wp:extent cx="9144" cy="9144"/>
            <wp:effectExtent l="0" t="0" r="0" b="0"/>
            <wp:docPr id="1193588" name="Picture 1193588"/>
            <wp:cNvGraphicFramePr/>
            <a:graphic xmlns:a="http://schemas.openxmlformats.org/drawingml/2006/main">
              <a:graphicData uri="http://schemas.openxmlformats.org/drawingml/2006/picture">
                <pic:pic xmlns:pic="http://schemas.openxmlformats.org/drawingml/2006/picture">
                  <pic:nvPicPr>
                    <pic:cNvPr id="1193588" name="Picture 1193588"/>
                    <pic:cNvPicPr/>
                  </pic:nvPicPr>
                  <pic:blipFill>
                    <a:blip r:embed="rId93"/>
                    <a:stretch>
                      <a:fillRect/>
                    </a:stretch>
                  </pic:blipFill>
                  <pic:spPr>
                    <a:xfrm>
                      <a:off x="0" y="0"/>
                      <a:ext cx="9144" cy="9144"/>
                    </a:xfrm>
                    <a:prstGeom prst="rect">
                      <a:avLst/>
                    </a:prstGeom>
                  </pic:spPr>
                </pic:pic>
              </a:graphicData>
            </a:graphic>
          </wp:inline>
        </w:drawing>
      </w:r>
      <w:r>
        <w:rPr>
          <w:sz w:val="26"/>
        </w:rPr>
        <w:t xml:space="preserve">1 Familia de los niveles de educación inicial, preprimaria, primaria y nivel medio en el Sistema de Asignación y Dotación de Recursos -SDR-. . Las entidades </w:t>
      </w:r>
      <w:r>
        <w:rPr>
          <w:noProof/>
        </w:rPr>
        <w:drawing>
          <wp:inline distT="0" distB="0" distL="0" distR="0" wp14:anchorId="41C5C765" wp14:editId="5B7F3805">
            <wp:extent cx="9144" cy="4572"/>
            <wp:effectExtent l="0" t="0" r="0" b="0"/>
            <wp:docPr id="1193589" name="Picture 1193589"/>
            <wp:cNvGraphicFramePr/>
            <a:graphic xmlns:a="http://schemas.openxmlformats.org/drawingml/2006/main">
              <a:graphicData uri="http://schemas.openxmlformats.org/drawingml/2006/picture">
                <pic:pic xmlns:pic="http://schemas.openxmlformats.org/drawingml/2006/picture">
                  <pic:nvPicPr>
                    <pic:cNvPr id="1193589" name="Picture 1193589"/>
                    <pic:cNvPicPr/>
                  </pic:nvPicPr>
                  <pic:blipFill>
                    <a:blip r:embed="rId24"/>
                    <a:stretch>
                      <a:fillRect/>
                    </a:stretch>
                  </pic:blipFill>
                  <pic:spPr>
                    <a:xfrm>
                      <a:off x="0" y="0"/>
                      <a:ext cx="9144" cy="4572"/>
                    </a:xfrm>
                    <a:prstGeom prst="rect">
                      <a:avLst/>
                    </a:prstGeom>
                  </pic:spPr>
                </pic:pic>
              </a:graphicData>
            </a:graphic>
          </wp:inline>
        </w:drawing>
      </w:r>
      <w:r>
        <w:rPr>
          <w:sz w:val="26"/>
        </w:rPr>
        <w:t xml:space="preserve">1 receptoras derivan de las constituciones de Organizaciones de Padres de Familia -OPF- que realizan en la Subdirección de Normas y Convenios de la DIGEPSA, mismas que para el año 2024 constituyeron 288 OPF, equivalentes a 288 1 entidades receptoras que fueron ingresadas de forma correcta al Sistema de Asignación y Dotación de Recursos -SDR-. reporte de entidades receptoras ingresadas en el SDR. 3. Realizar informes sobre el avance de la ejecución </w:t>
      </w:r>
      <w:r>
        <w:rPr>
          <w:noProof/>
        </w:rPr>
        <w:drawing>
          <wp:inline distT="0" distB="0" distL="0" distR="0" wp14:anchorId="3A94F8D9" wp14:editId="001B7F4B">
            <wp:extent cx="9144" cy="4572"/>
            <wp:effectExtent l="0" t="0" r="0" b="0"/>
            <wp:docPr id="1193590" name="Picture 1193590"/>
            <wp:cNvGraphicFramePr/>
            <a:graphic xmlns:a="http://schemas.openxmlformats.org/drawingml/2006/main">
              <a:graphicData uri="http://schemas.openxmlformats.org/drawingml/2006/picture">
                <pic:pic xmlns:pic="http://schemas.openxmlformats.org/drawingml/2006/picture">
                  <pic:nvPicPr>
                    <pic:cNvPr id="1193590" name="Picture 1193590"/>
                    <pic:cNvPicPr/>
                  </pic:nvPicPr>
                  <pic:blipFill>
                    <a:blip r:embed="rId24"/>
                    <a:stretch>
                      <a:fillRect/>
                    </a:stretch>
                  </pic:blipFill>
                  <pic:spPr>
                    <a:xfrm>
                      <a:off x="0" y="0"/>
                      <a:ext cx="9144" cy="4572"/>
                    </a:xfrm>
                    <a:prstGeom prst="rect">
                      <a:avLst/>
                    </a:prstGeom>
                  </pic:spPr>
                </pic:pic>
              </a:graphicData>
            </a:graphic>
          </wp:inline>
        </w:drawing>
      </w:r>
      <w:r>
        <w:rPr>
          <w:sz w:val="26"/>
        </w:rPr>
        <w:t xml:space="preserve">1 financiera de los Programas de Apoyo en las Direcciones Departamentales de Educación. Durante el proceso de ejecución de cada desembolso de los programas de apoyo, la DIGEPSA envía reporte de ejecución presupuestaria a las Direcciones Departamentales de Educación, sobre el porcentaje de avance de ejecución financiera, solicitando al personal involucrado realizar las acciones 1 correspondientes a efecto de concluir con la ejecución presupuestaria y financiera en el tiempo establecido. Así mismo basados en los datos de los referidos reportes, se procedió a contactar vía telefónica al personal de DEFOCE y 1 Financiero de las DIDEDUC para conocer los motivos del porcentaje de ejecución reportado. ...correos con informe de avance. 4. Supervisar el acompañamiento y asesoría a las Direcciones Departamentales de Educación específicamente en el proceso de preparación y manejo de base de datos Sistema de Asignación y Dotación de Recursos, SDR y el pago de los Programas de Apoyo. Durante el proceso de ejecución presupuestaria de los programas de apoyo, personal de DEFOCE y Financiero de las diferentes DIDEDUC envían correo electrónico a personal de la Subdirección de Análisis y Transferencia Financiera de [a DIGEPSA con copia a mi persona, notificando que tienen inconvenientes para realizar algunos procesos en el Sistema de Asignación y Dotación de Recursos -SDR-, para lo cual superviso dicho acompañamiento verificando la respuesta y solución a la problemática presentada que se devuelve a las DIDEDUC vía correo electrónico. . correos electrónicos como constancia de la solución brindada </w:t>
      </w:r>
      <w:r>
        <w:rPr>
          <w:noProof/>
        </w:rPr>
        <mc:AlternateContent>
          <mc:Choice Requires="wpg">
            <w:drawing>
              <wp:inline distT="0" distB="0" distL="0" distR="0" wp14:anchorId="39EF0749" wp14:editId="21F7475A">
                <wp:extent cx="123444" cy="292607"/>
                <wp:effectExtent l="0" t="0" r="0" b="0"/>
                <wp:docPr id="2457525" name="Group 2457525"/>
                <wp:cNvGraphicFramePr/>
                <a:graphic xmlns:a="http://schemas.openxmlformats.org/drawingml/2006/main">
                  <a:graphicData uri="http://schemas.microsoft.com/office/word/2010/wordprocessingGroup">
                    <wpg:wgp>
                      <wpg:cNvGrpSpPr/>
                      <wpg:grpSpPr>
                        <a:xfrm>
                          <a:off x="0" y="0"/>
                          <a:ext cx="123444" cy="292607"/>
                          <a:chOff x="0" y="0"/>
                          <a:chExt cx="123444" cy="292607"/>
                        </a:xfrm>
                      </wpg:grpSpPr>
                      <wps:wsp>
                        <wps:cNvPr id="1190434" name="Rectangle 1190434"/>
                        <wps:cNvSpPr/>
                        <wps:spPr>
                          <a:xfrm>
                            <a:off x="0" y="0"/>
                            <a:ext cx="164181" cy="389168"/>
                          </a:xfrm>
                          <a:prstGeom prst="rect">
                            <a:avLst/>
                          </a:prstGeom>
                          <a:ln>
                            <a:noFill/>
                          </a:ln>
                        </wps:spPr>
                        <wps:txbx>
                          <w:txbxContent>
                            <w:p w14:paraId="7CA42D5C"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39EF0749" id="Group 2457525" o:spid="_x0000_s1723" style="width:9.7pt;height:23.05pt;mso-position-horizontal-relative:char;mso-position-vertical-relative:line" coordsize="123444,292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">
                <v:rect id="Rectangle 1190434" o:spid="_x0000_s1724" style="position:absolute;width:164181;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" filled="f" stroked="f">
                  <v:textbox inset="0,0,0,0">
                    <w:txbxContent>
                      <w:p w14:paraId="7CA42D5C" w14:textId="77777777" w:rsidR="00053D93" w:rsidRDefault="00260B75">
                        <w:r>
                          <w:rPr>
                            <w:sz w:val="74"/>
                          </w:rPr>
                          <w:t>1</w:t>
                        </w:r>
                      </w:p>
                    </w:txbxContent>
                  </v:textbox>
                </v:rect>
                <w10:anchorlock/>
              </v:group>
            </w:pict>
          </mc:Fallback>
        </mc:AlternateContent>
      </w:r>
      <w:r>
        <w:rPr>
          <w:sz w:val="26"/>
        </w:rPr>
        <w:t xml:space="preserve"> durante el proceso de pago de los programas de apoyo. 6. Coordinar la calendarización para la presentación de los formularios de reintegro ante el banco 1 del sistema, de los saldos no ejecutados por las Organizaciones de Padres de Familia de años anteriores de los Programas de Apoyo...". De acuerdo con lo establecido en el instructivo PRA-lNS-33 literal E. Proceso Administrativo para el 1 reintegro de saldos no ejecutados en ejercicios fiscales anteriores, de los programas de apoyo Útiles Escolares, Valija Didáctica, Gratuidad de la Educación y Alimentación Escolar. Actividad 1. Nota 2: El reintegro del saldo no ejecutado lo 1 deben realizar a la cuenta del fondo común, de acuerdo a calendarización que para el efecto traslade la Dirección General de Participación Comunitaria y Servicios de Apoyo -DIGEPSA-. En cumplimiento de lo establecido en el instructivo, durante el ejercicio fiscal 2024, se emitieron lineamientos para el reintegro de saldos no ejecutados del ejercicio fiscal 2023 y años anteriores a 1 través de los siguientes oficios: Oficio No. DIGEPSA-1 153-2024 Oficio No.</w:t>
      </w:r>
    </w:p>
    <w:tbl>
      <w:tblPr>
        <w:tblStyle w:val="TableGrid"/>
        <w:tblW w:w="9425" w:type="dxa"/>
        <w:tblInd w:w="734" w:type="dxa"/>
        <w:tblLook w:val="04A0" w:firstRow="1" w:lastRow="0" w:firstColumn="1" w:lastColumn="0" w:noHBand="0" w:noVBand="1"/>
      </w:tblPr>
      <w:tblGrid>
        <w:gridCol w:w="1292"/>
        <w:gridCol w:w="8147"/>
      </w:tblGrid>
      <w:tr w:rsidR="00053D93" w14:paraId="31A7F19F" w14:textId="77777777">
        <w:trPr>
          <w:trHeight w:val="641"/>
        </w:trPr>
        <w:tc>
          <w:tcPr>
            <w:tcW w:w="1789" w:type="dxa"/>
            <w:tcBorders>
              <w:top w:val="nil"/>
              <w:left w:val="nil"/>
              <w:bottom w:val="nil"/>
              <w:right w:val="nil"/>
            </w:tcBorders>
          </w:tcPr>
          <w:p w14:paraId="359D8FC0" w14:textId="77777777" w:rsidR="00053D93" w:rsidRDefault="00260B75">
            <w:r>
              <w:rPr>
                <w:noProof/>
              </w:rPr>
              <w:drawing>
                <wp:inline distT="0" distB="0" distL="0" distR="0" wp14:anchorId="267902AA" wp14:editId="0B680BBA">
                  <wp:extent cx="1124712" cy="406909"/>
                  <wp:effectExtent l="0" t="0" r="0" b="0"/>
                  <wp:docPr id="1193663" name="Picture 1193663"/>
                  <wp:cNvGraphicFramePr/>
                  <a:graphic xmlns:a="http://schemas.openxmlformats.org/drawingml/2006/main">
                    <a:graphicData uri="http://schemas.openxmlformats.org/drawingml/2006/picture">
                      <pic:pic xmlns:pic="http://schemas.openxmlformats.org/drawingml/2006/picture">
                        <pic:nvPicPr>
                          <pic:cNvPr id="1193663" name="Picture 1193663"/>
                          <pic:cNvPicPr/>
                        </pic:nvPicPr>
                        <pic:blipFill>
                          <a:blip r:embed="rId1623"/>
                          <a:stretch>
                            <a:fillRect/>
                          </a:stretch>
                        </pic:blipFill>
                        <pic:spPr>
                          <a:xfrm>
                            <a:off x="0" y="0"/>
                            <a:ext cx="1124712" cy="406909"/>
                          </a:xfrm>
                          <a:prstGeom prst="rect">
                            <a:avLst/>
                          </a:prstGeom>
                        </pic:spPr>
                      </pic:pic>
                    </a:graphicData>
                  </a:graphic>
                </wp:inline>
              </w:drawing>
            </w:r>
          </w:p>
        </w:tc>
        <w:tc>
          <w:tcPr>
            <w:tcW w:w="7636" w:type="dxa"/>
            <w:tcBorders>
              <w:top w:val="nil"/>
              <w:left w:val="nil"/>
              <w:bottom w:val="nil"/>
              <w:right w:val="nil"/>
            </w:tcBorders>
          </w:tcPr>
          <w:p w14:paraId="78A083C0" w14:textId="77777777" w:rsidR="00053D93" w:rsidRDefault="00053D93">
            <w:pPr>
              <w:ind w:left="-2840" w:right="10476"/>
            </w:pPr>
          </w:p>
          <w:tbl>
            <w:tblPr>
              <w:tblStyle w:val="TableGrid"/>
              <w:tblW w:w="7618" w:type="dxa"/>
              <w:tblInd w:w="18" w:type="dxa"/>
              <w:tblCellMar>
                <w:top w:w="39" w:type="dxa"/>
                <w:left w:w="1735" w:type="dxa"/>
                <w:right w:w="115" w:type="dxa"/>
              </w:tblCellMar>
              <w:tblLook w:val="04A0" w:firstRow="1" w:lastRow="0" w:firstColumn="1" w:lastColumn="0" w:noHBand="0" w:noVBand="1"/>
            </w:tblPr>
            <w:tblGrid>
              <w:gridCol w:w="7618"/>
            </w:tblGrid>
            <w:tr w:rsidR="00053D93" w14:paraId="1F543A15" w14:textId="77777777">
              <w:trPr>
                <w:trHeight w:val="40"/>
              </w:trPr>
              <w:tc>
                <w:tcPr>
                  <w:tcW w:w="7618" w:type="dxa"/>
                  <w:tcBorders>
                    <w:top w:val="nil"/>
                    <w:left w:val="single" w:sz="2" w:space="0" w:color="000000"/>
                    <w:bottom w:val="single" w:sz="2" w:space="0" w:color="000000"/>
                    <w:right w:val="nil"/>
                  </w:tcBorders>
                </w:tcPr>
                <w:p w14:paraId="40EB5622" w14:textId="77777777" w:rsidR="00053D93" w:rsidRDefault="00053D93"/>
              </w:tc>
            </w:tr>
            <w:tr w:rsidR="00053D93" w14:paraId="35054A48" w14:textId="77777777">
              <w:trPr>
                <w:trHeight w:val="593"/>
              </w:trPr>
              <w:tc>
                <w:tcPr>
                  <w:tcW w:w="7618" w:type="dxa"/>
                  <w:tcBorders>
                    <w:top w:val="single" w:sz="2" w:space="0" w:color="000000"/>
                    <w:left w:val="single" w:sz="2" w:space="0" w:color="000000"/>
                    <w:bottom w:val="nil"/>
                    <w:right w:val="nil"/>
                  </w:tcBorders>
                </w:tcPr>
                <w:p w14:paraId="7D450866" w14:textId="77777777" w:rsidR="00053D93" w:rsidRDefault="00260B75">
                  <w:pPr>
                    <w:ind w:left="835"/>
                  </w:pPr>
                  <w:r>
                    <w:rPr>
                      <w:sz w:val="14"/>
                    </w:rPr>
                    <w:t>MINISTERIO DE EDUCACION</w:t>
                  </w:r>
                </w:p>
                <w:p w14:paraId="5C6029EA" w14:textId="77777777" w:rsidR="00053D93" w:rsidRDefault="00260B75">
                  <w:pPr>
                    <w:ind w:left="338"/>
                  </w:pPr>
                  <w:r>
                    <w:rPr>
                      <w:sz w:val="14"/>
                    </w:rPr>
                    <w:t>AUDITORÍA FINANCIERA Y DE CUMPLIMIENTO</w:t>
                  </w:r>
                </w:p>
                <w:p w14:paraId="7034CF65" w14:textId="77777777" w:rsidR="00053D93" w:rsidRDefault="00260B75">
                  <w:r>
                    <w:rPr>
                      <w:sz w:val="16"/>
                    </w:rPr>
                    <w:t>PERIODO DEL DE ENERO AL 31 DE DICIEMBRE DE 2024</w:t>
                  </w:r>
                </w:p>
              </w:tc>
            </w:tr>
          </w:tbl>
          <w:p w14:paraId="26FF77E9" w14:textId="77777777" w:rsidR="00053D93" w:rsidRDefault="00053D93"/>
        </w:tc>
      </w:tr>
    </w:tbl>
    <w:p w14:paraId="12ED41A6" w14:textId="77777777" w:rsidR="00053D93" w:rsidRDefault="00260B75">
      <w:pPr>
        <w:spacing w:after="3"/>
        <w:ind w:left="74" w:right="43" w:hanging="10"/>
      </w:pPr>
      <w:r>
        <w:rPr>
          <w:sz w:val="74"/>
        </w:rPr>
        <w:t>1</w:t>
      </w:r>
    </w:p>
    <w:p w14:paraId="32FC2B76" w14:textId="77777777" w:rsidR="00053D93" w:rsidRDefault="00260B75">
      <w:pPr>
        <w:spacing w:after="4" w:line="216" w:lineRule="auto"/>
        <w:ind w:left="1713" w:right="14" w:hanging="1656"/>
        <w:jc w:val="both"/>
      </w:pPr>
      <w:r>
        <w:rPr>
          <w:noProof/>
        </w:rPr>
        <mc:AlternateContent>
          <mc:Choice Requires="wpg">
            <w:drawing>
              <wp:anchor distT="0" distB="0" distL="114300" distR="114300" simplePos="0" relativeHeight="252275712" behindDoc="1" locked="0" layoutInCell="1" allowOverlap="1" wp14:anchorId="31969B7D" wp14:editId="79D7D7BC">
                <wp:simplePos x="0" y="0"/>
                <wp:positionH relativeFrom="column">
                  <wp:posOffset>1056132</wp:posOffset>
                </wp:positionH>
                <wp:positionV relativeFrom="paragraph">
                  <wp:posOffset>-51272</wp:posOffset>
                </wp:positionV>
                <wp:extent cx="5381244" cy="9144"/>
                <wp:effectExtent l="0" t="0" r="0" b="0"/>
                <wp:wrapNone/>
                <wp:docPr id="2458914" name="Group 2458914"/>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913" name="Shape 2458913"/>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914" style="width:423.72pt;height:0.720001pt;position:absolute;z-index:-2147483648;mso-position-horizontal-relative:text;mso-position-horizontal:absolute;margin-left:83.16pt;mso-position-vertical-relative:text;margin-top:-4.03724pt;" coordsize="53812,91">
                <v:shape id="Shape 2458913" style="position:absolute;width:53812;height:91;left:0;top:0;" coordsize="5381244,9144" path="m0,4572l5381244,4572">
                  <v:stroke weight="0.720001pt" endcap="flat" joinstyle="miter" miterlimit="1" on="true" color="#000000"/>
                  <v:fill on="false" color="#000000"/>
                </v:shape>
              </v:group>
            </w:pict>
          </mc:Fallback>
        </mc:AlternateContent>
      </w:r>
      <w:r>
        <w:rPr>
          <w:noProof/>
        </w:rPr>
        <mc:AlternateContent>
          <mc:Choice Requires="wpg">
            <w:drawing>
              <wp:inline distT="0" distB="0" distL="0" distR="0" wp14:anchorId="687C3284" wp14:editId="7FAAEF74">
                <wp:extent cx="118872" cy="306324"/>
                <wp:effectExtent l="0" t="0" r="0" b="0"/>
                <wp:docPr id="2457544" name="Group 2457544"/>
                <wp:cNvGraphicFramePr/>
                <a:graphic xmlns:a="http://schemas.openxmlformats.org/drawingml/2006/main">
                  <a:graphicData uri="http://schemas.microsoft.com/office/word/2010/wordprocessingGroup">
                    <wpg:wgp>
                      <wpg:cNvGrpSpPr/>
                      <wpg:grpSpPr>
                        <a:xfrm>
                          <a:off x="0" y="0"/>
                          <a:ext cx="118872" cy="306324"/>
                          <a:chOff x="0" y="0"/>
                          <a:chExt cx="118872" cy="306324"/>
                        </a:xfrm>
                      </wpg:grpSpPr>
                      <wps:wsp>
                        <wps:cNvPr id="1194341" name="Rectangle 1194341"/>
                        <wps:cNvSpPr/>
                        <wps:spPr>
                          <a:xfrm>
                            <a:off x="0" y="0"/>
                            <a:ext cx="158100" cy="407411"/>
                          </a:xfrm>
                          <a:prstGeom prst="rect">
                            <a:avLst/>
                          </a:prstGeom>
                          <a:ln>
                            <a:noFill/>
                          </a:ln>
                        </wps:spPr>
                        <wps:txbx>
                          <w:txbxContent>
                            <w:p w14:paraId="1429569D"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687C3284" id="Group 2457544" o:spid="_x0000_s1725" style="width:9.35pt;height:24.1pt;mso-position-horizontal-relative:char;mso-position-vertical-relative:line" coordsize="11887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">
                <v:rect id="Rectangle 1194341" o:spid="_x0000_s1726" style="position:absolute;width:158100;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" filled="f" stroked="f">
                  <v:textbox inset="0,0,0,0">
                    <w:txbxContent>
                      <w:p w14:paraId="1429569D" w14:textId="77777777" w:rsidR="00053D93" w:rsidRDefault="00260B75">
                        <w:r>
                          <w:rPr>
                            <w:sz w:val="72"/>
                          </w:rPr>
                          <w:t>1</w:t>
                        </w:r>
                      </w:p>
                    </w:txbxContent>
                  </v:textbox>
                </v:rect>
                <w10:anchorlock/>
              </v:group>
            </w:pict>
          </mc:Fallback>
        </mc:AlternateContent>
      </w:r>
      <w:r>
        <w:rPr>
          <w:sz w:val="26"/>
        </w:rPr>
        <w:t xml:space="preserve"> DIGEPSA-1832-2024. De acuerdo a lo descrito ., he dado cumplimiento a las actividades para las cuales fui designada a apoyar, según Oficio DIGEPSA No.</w:t>
      </w:r>
    </w:p>
    <w:p w14:paraId="0F1C2383" w14:textId="77777777" w:rsidR="00053D93" w:rsidRDefault="00260B75">
      <w:pPr>
        <w:spacing w:after="79" w:line="265" w:lineRule="auto"/>
        <w:ind w:left="1688" w:hanging="10"/>
      </w:pPr>
      <w:r>
        <w:rPr>
          <w:sz w:val="26"/>
        </w:rPr>
        <w:t>76-2024.</w:t>
      </w:r>
    </w:p>
    <w:p w14:paraId="458B23AB" w14:textId="77777777" w:rsidR="00053D93" w:rsidRDefault="00260B75">
      <w:pPr>
        <w:spacing w:after="3"/>
        <w:ind w:left="74" w:right="43" w:hanging="10"/>
      </w:pPr>
      <w:r>
        <w:rPr>
          <w:sz w:val="74"/>
        </w:rPr>
        <w:t>1</w:t>
      </w:r>
    </w:p>
    <w:p w14:paraId="05E4311D" w14:textId="77777777" w:rsidR="00053D93" w:rsidRDefault="00260B75">
      <w:pPr>
        <w:spacing w:after="4" w:line="269" w:lineRule="auto"/>
        <w:ind w:left="57" w:right="14" w:firstLine="1649"/>
        <w:jc w:val="both"/>
      </w:pPr>
      <w:r>
        <w:rPr>
          <w:noProof/>
        </w:rPr>
        <mc:AlternateContent>
          <mc:Choice Requires="wpg">
            <w:drawing>
              <wp:anchor distT="0" distB="0" distL="114300" distR="114300" simplePos="0" relativeHeight="252276736" behindDoc="0" locked="0" layoutInCell="1" allowOverlap="1" wp14:anchorId="5BB13EDC" wp14:editId="39C5525E">
                <wp:simplePos x="0" y="0"/>
                <wp:positionH relativeFrom="column">
                  <wp:posOffset>9144</wp:posOffset>
                </wp:positionH>
                <wp:positionV relativeFrom="paragraph">
                  <wp:posOffset>211291</wp:posOffset>
                </wp:positionV>
                <wp:extent cx="123444" cy="301752"/>
                <wp:effectExtent l="0" t="0" r="0" b="0"/>
                <wp:wrapSquare wrapText="bothSides"/>
                <wp:docPr id="2457545" name="Group 2457545"/>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1194343" name="Rectangle 1194343"/>
                        <wps:cNvSpPr/>
                        <wps:spPr>
                          <a:xfrm>
                            <a:off x="0" y="0"/>
                            <a:ext cx="164181" cy="401330"/>
                          </a:xfrm>
                          <a:prstGeom prst="rect">
                            <a:avLst/>
                          </a:prstGeom>
                          <a:ln>
                            <a:noFill/>
                          </a:ln>
                        </wps:spPr>
                        <wps:txbx>
                          <w:txbxContent>
                            <w:p w14:paraId="5DAF4A8A"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5BB13EDC" id="Group 2457545" o:spid="_x0000_s1727" style="position:absolute;left:0;text-align:left;margin-left:.7pt;margin-top:16.65pt;width:9.7pt;height:23.75pt;z-index:252276736;mso-position-horizontal-relative:text;mso-position-vertical-relative:text"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">
                <v:rect id="Rectangle 1194343" o:spid="_x0000_s1728"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" filled="f" stroked="f">
                  <v:textbox inset="0,0,0,0">
                    <w:txbxContent>
                      <w:p w14:paraId="5DAF4A8A" w14:textId="77777777" w:rsidR="00053D93" w:rsidRDefault="00260B75">
                        <w:r>
                          <w:rPr>
                            <w:sz w:val="74"/>
                          </w:rPr>
                          <w:t>1</w:t>
                        </w:r>
                      </w:p>
                    </w:txbxContent>
                  </v:textbox>
                </v:rect>
                <w10:wrap type="square"/>
              </v:group>
            </w:pict>
          </mc:Fallback>
        </mc:AlternateContent>
      </w:r>
      <w:r>
        <w:rPr>
          <w:sz w:val="26"/>
        </w:rPr>
        <w:t>5. De acuerdo a lo indicado en la CAUSA: La Subdirectora de Análisis y Transferencia Financiera no supervisó, verificó y no monitoreo los registros de las regularizaciones/liquidaciones de los programas de apoyo en el Sistema de Asignación y Dotación de Recursos -SDR-, esta omisión impidió el registro 1 oportuno de las liquidaciones. Respecto a la causa y el efecto me permito manifestar lo siguiente: La actividad de Verificar la presentación de regularizaciones que realizan las Direcciones Departamentales de Educación en el 1 Sistema de Asignación y Dotación de Recursos -SDR-, corresponde al Analista</w:t>
      </w:r>
    </w:p>
    <w:p w14:paraId="1E3CDEC8" w14:textId="77777777" w:rsidR="00053D93" w:rsidRDefault="00260B75">
      <w:pPr>
        <w:spacing w:after="4" w:line="269" w:lineRule="auto"/>
        <w:ind w:left="57" w:right="14" w:firstLine="1685"/>
        <w:jc w:val="both"/>
      </w:pPr>
      <w:r>
        <w:rPr>
          <w:sz w:val="26"/>
        </w:rPr>
        <w:t>Financiero de los Programas de Apoyo, a lo cual se indicó a través de oficio 1 DIGEPSA No. 451-2025 que dicha plaza se encuentra vacante en proceso de convocatoria. Que el oficio DIGEPSA No. 76-2024 de fecha 15 de enero de 2024, literalmente dice: Atentamente me dirijo a usted para hacer de su 1 conocimiento que, con ei objeto de dar cumplimiento a todos los procesos que conllevan los Programas de Apoyo en el tema Financiero, se le nombra para que adicional a las funciones que tiene asignadas como Subdirectora de Análisis y 1 Transferencia Financiera, apoye [as funciones que listo a continuación: 1.</w:t>
      </w:r>
    </w:p>
    <w:p w14:paraId="203B6FCE" w14:textId="77777777" w:rsidR="00053D93" w:rsidRDefault="00260B75">
      <w:pPr>
        <w:spacing w:after="4" w:line="269" w:lineRule="auto"/>
        <w:ind w:left="57" w:right="14" w:firstLine="1642"/>
        <w:jc w:val="both"/>
      </w:pPr>
      <w:r>
        <w:rPr>
          <w:noProof/>
        </w:rPr>
        <w:drawing>
          <wp:anchor distT="0" distB="0" distL="114300" distR="114300" simplePos="0" relativeHeight="252277760" behindDoc="0" locked="0" layoutInCell="1" allowOverlap="0" wp14:anchorId="61F5AED2" wp14:editId="2940A3DA">
            <wp:simplePos x="0" y="0"/>
            <wp:positionH relativeFrom="page">
              <wp:posOffset>6711696</wp:posOffset>
            </wp:positionH>
            <wp:positionV relativeFrom="page">
              <wp:posOffset>4407408</wp:posOffset>
            </wp:positionV>
            <wp:extent cx="18289" cy="18288"/>
            <wp:effectExtent l="0" t="0" r="0" b="0"/>
            <wp:wrapSquare wrapText="bothSides"/>
            <wp:docPr id="1197479" name="Picture 1197479"/>
            <wp:cNvGraphicFramePr/>
            <a:graphic xmlns:a="http://schemas.openxmlformats.org/drawingml/2006/main">
              <a:graphicData uri="http://schemas.openxmlformats.org/drawingml/2006/picture">
                <pic:pic xmlns:pic="http://schemas.openxmlformats.org/drawingml/2006/picture">
                  <pic:nvPicPr>
                    <pic:cNvPr id="1197479" name="Picture 1197479"/>
                    <pic:cNvPicPr/>
                  </pic:nvPicPr>
                  <pic:blipFill>
                    <a:blip r:embed="rId1624"/>
                    <a:stretch>
                      <a:fillRect/>
                    </a:stretch>
                  </pic:blipFill>
                  <pic:spPr>
                    <a:xfrm>
                      <a:off x="0" y="0"/>
                      <a:ext cx="18289" cy="18288"/>
                    </a:xfrm>
                    <a:prstGeom prst="rect">
                      <a:avLst/>
                    </a:prstGeom>
                  </pic:spPr>
                </pic:pic>
              </a:graphicData>
            </a:graphic>
          </wp:anchor>
        </w:drawing>
      </w:r>
      <w:r>
        <w:rPr>
          <w:sz w:val="26"/>
        </w:rPr>
        <w:t>Coordinar con el personal a su cargo las actividades de seguimiento a la ejecución 1 financiera de los programas de apoyo. 2 Monitorear el ingreso de las entidades receptoras de transferencia... 3... , como se puede observar ninguna de las 9 actividades detalladas en el referido oficio, indica Verificar la presentación de 1 regularizaciones que realizan las Direcciones Departamentales de Educación en el Sistema de Asignación y Dotación de Recursos -SDR-, y tampoco establece que debo cubrir las actividades del Analista Financiero de Programas de Apoyo, ni el 1 puesto como tal de Jefatura como Coordinador Financiero de los Programas de</w:t>
      </w:r>
    </w:p>
    <w:p w14:paraId="233D00D0" w14:textId="77777777" w:rsidR="00053D93" w:rsidRDefault="00260B75">
      <w:pPr>
        <w:spacing w:after="4" w:line="269" w:lineRule="auto"/>
        <w:ind w:left="57" w:right="14" w:firstLine="1627"/>
        <w:jc w:val="both"/>
      </w:pPr>
      <w:r>
        <w:rPr>
          <w:sz w:val="26"/>
        </w:rPr>
        <w:t xml:space="preserve">Apoyo, siendo esta la causa del posible hallazgo. En virtud de que el monitoreo 1 de los programas de apoyo corresponde dar seguimiento a la Subdirección de Seguimiento y Evaluación de la DIGEPSA, la misma envió los oficios siguientes: </w:t>
      </w:r>
      <w:r>
        <w:rPr>
          <w:noProof/>
        </w:rPr>
        <w:drawing>
          <wp:inline distT="0" distB="0" distL="0" distR="0" wp14:anchorId="2FDABBD0" wp14:editId="7563D754">
            <wp:extent cx="59436" cy="18289"/>
            <wp:effectExtent l="0" t="0" r="0" b="0"/>
            <wp:docPr id="2458911" name="Picture 2458911"/>
            <wp:cNvGraphicFramePr/>
            <a:graphic xmlns:a="http://schemas.openxmlformats.org/drawingml/2006/main">
              <a:graphicData uri="http://schemas.openxmlformats.org/drawingml/2006/picture">
                <pic:pic xmlns:pic="http://schemas.openxmlformats.org/drawingml/2006/picture">
                  <pic:nvPicPr>
                    <pic:cNvPr id="2458911" name="Picture 2458911"/>
                    <pic:cNvPicPr/>
                  </pic:nvPicPr>
                  <pic:blipFill>
                    <a:blip r:embed="rId1625"/>
                    <a:stretch>
                      <a:fillRect/>
                    </a:stretch>
                  </pic:blipFill>
                  <pic:spPr>
                    <a:xfrm>
                      <a:off x="0" y="0"/>
                      <a:ext cx="59436" cy="18289"/>
                    </a:xfrm>
                    <a:prstGeom prst="rect">
                      <a:avLst/>
                    </a:prstGeom>
                  </pic:spPr>
                </pic:pic>
              </a:graphicData>
            </a:graphic>
          </wp:inline>
        </w:drawing>
      </w:r>
      <w:r>
        <w:rPr>
          <w:sz w:val="26"/>
        </w:rPr>
        <w:t>. Oficio DIGEPSA SyE-546-2024 de fecha 04 de diciembre de 2024, mismo que 1 incluye reporte por DIDEDUC al 03/12/2024, con 195,074 regularizaciones pendiente en el SOR. Oficio DIGEPSA 8-2024 de fecha 02 de enero de 2025, mismo que incluye reporte por DIDEDUC al 02/01/2025, con 131 ,607 1 regularizaciones pendiente en el SDR. CONCLUSIONES 1 . Con base a la normativa legal citada en el presente documento, el personal en las Direcciones 1 Departamentales de Educación es responsable de realizar las actividades descritas en los procedimientos y la verificación del cumplimiento corresponde al jefe inmediato. 2. De acuerdo a muestra de .. este documento, he cumplido con el 1 apoyo a las actividades detalladas en oficio DIGEPSA No. 76-2024 de fecha 15 de enero de 2024. 3. Que el puesto de Coordinador Financiero de [os Programas de Apoyo está vacante, sin embargo, por considerar que las actividades asignadas al</w:t>
      </w:r>
    </w:p>
    <w:tbl>
      <w:tblPr>
        <w:tblStyle w:val="TableGrid"/>
        <w:tblW w:w="9425" w:type="dxa"/>
        <w:tblInd w:w="734" w:type="dxa"/>
        <w:tblLook w:val="04A0" w:firstRow="1" w:lastRow="0" w:firstColumn="1" w:lastColumn="0" w:noHBand="0" w:noVBand="1"/>
      </w:tblPr>
      <w:tblGrid>
        <w:gridCol w:w="1292"/>
        <w:gridCol w:w="8147"/>
      </w:tblGrid>
      <w:tr w:rsidR="00053D93" w14:paraId="16AB4BCC" w14:textId="77777777">
        <w:trPr>
          <w:trHeight w:val="641"/>
        </w:trPr>
        <w:tc>
          <w:tcPr>
            <w:tcW w:w="1789" w:type="dxa"/>
            <w:tcBorders>
              <w:top w:val="nil"/>
              <w:left w:val="nil"/>
              <w:bottom w:val="nil"/>
              <w:right w:val="nil"/>
            </w:tcBorders>
          </w:tcPr>
          <w:p w14:paraId="7654F045" w14:textId="77777777" w:rsidR="00053D93" w:rsidRDefault="00260B75">
            <w:r>
              <w:rPr>
                <w:noProof/>
              </w:rPr>
              <w:drawing>
                <wp:inline distT="0" distB="0" distL="0" distR="0" wp14:anchorId="12489745" wp14:editId="05DFFF52">
                  <wp:extent cx="1124712" cy="406908"/>
                  <wp:effectExtent l="0" t="0" r="0" b="0"/>
                  <wp:docPr id="1197565" name="Picture 1197565"/>
                  <wp:cNvGraphicFramePr/>
                  <a:graphic xmlns:a="http://schemas.openxmlformats.org/drawingml/2006/main">
                    <a:graphicData uri="http://schemas.openxmlformats.org/drawingml/2006/picture">
                      <pic:pic xmlns:pic="http://schemas.openxmlformats.org/drawingml/2006/picture">
                        <pic:nvPicPr>
                          <pic:cNvPr id="1197565" name="Picture 1197565"/>
                          <pic:cNvPicPr/>
                        </pic:nvPicPr>
                        <pic:blipFill>
                          <a:blip r:embed="rId1626"/>
                          <a:stretch>
                            <a:fillRect/>
                          </a:stretch>
                        </pic:blipFill>
                        <pic:spPr>
                          <a:xfrm>
                            <a:off x="0" y="0"/>
                            <a:ext cx="1124712" cy="406908"/>
                          </a:xfrm>
                          <a:prstGeom prst="rect">
                            <a:avLst/>
                          </a:prstGeom>
                        </pic:spPr>
                      </pic:pic>
                    </a:graphicData>
                  </a:graphic>
                </wp:inline>
              </w:drawing>
            </w:r>
          </w:p>
        </w:tc>
        <w:tc>
          <w:tcPr>
            <w:tcW w:w="7636" w:type="dxa"/>
            <w:tcBorders>
              <w:top w:val="nil"/>
              <w:left w:val="nil"/>
              <w:bottom w:val="nil"/>
              <w:right w:val="nil"/>
            </w:tcBorders>
          </w:tcPr>
          <w:p w14:paraId="33927690" w14:textId="77777777" w:rsidR="00053D93" w:rsidRDefault="00053D93">
            <w:pPr>
              <w:ind w:left="-2840" w:right="10476"/>
            </w:pPr>
          </w:p>
          <w:tbl>
            <w:tblPr>
              <w:tblStyle w:val="TableGrid"/>
              <w:tblW w:w="7618" w:type="dxa"/>
              <w:tblInd w:w="18" w:type="dxa"/>
              <w:tblCellMar>
                <w:top w:w="36" w:type="dxa"/>
                <w:left w:w="1735" w:type="dxa"/>
                <w:right w:w="115" w:type="dxa"/>
              </w:tblCellMar>
              <w:tblLook w:val="04A0" w:firstRow="1" w:lastRow="0" w:firstColumn="1" w:lastColumn="0" w:noHBand="0" w:noVBand="1"/>
            </w:tblPr>
            <w:tblGrid>
              <w:gridCol w:w="7618"/>
            </w:tblGrid>
            <w:tr w:rsidR="00053D93" w14:paraId="37E3756F" w14:textId="77777777">
              <w:trPr>
                <w:trHeight w:val="31"/>
              </w:trPr>
              <w:tc>
                <w:tcPr>
                  <w:tcW w:w="7618" w:type="dxa"/>
                  <w:tcBorders>
                    <w:top w:val="nil"/>
                    <w:left w:val="single" w:sz="2" w:space="0" w:color="000000"/>
                    <w:bottom w:val="single" w:sz="2" w:space="0" w:color="000000"/>
                    <w:right w:val="nil"/>
                  </w:tcBorders>
                </w:tcPr>
                <w:p w14:paraId="14DB3095" w14:textId="77777777" w:rsidR="00053D93" w:rsidRDefault="00053D93"/>
              </w:tc>
            </w:tr>
            <w:tr w:rsidR="00053D93" w14:paraId="4ECFEB9D" w14:textId="77777777">
              <w:trPr>
                <w:trHeight w:val="602"/>
              </w:trPr>
              <w:tc>
                <w:tcPr>
                  <w:tcW w:w="7618" w:type="dxa"/>
                  <w:tcBorders>
                    <w:top w:val="single" w:sz="2" w:space="0" w:color="000000"/>
                    <w:left w:val="single" w:sz="2" w:space="0" w:color="000000"/>
                    <w:bottom w:val="nil"/>
                    <w:right w:val="nil"/>
                  </w:tcBorders>
                </w:tcPr>
                <w:p w14:paraId="2C1CEABC" w14:textId="77777777" w:rsidR="00053D93" w:rsidRDefault="00260B75">
                  <w:pPr>
                    <w:ind w:left="835"/>
                  </w:pPr>
                  <w:r>
                    <w:rPr>
                      <w:sz w:val="14"/>
                    </w:rPr>
                    <w:t>MINISTERIO DE EDUCACION</w:t>
                  </w:r>
                </w:p>
                <w:p w14:paraId="6C65E5BE" w14:textId="77777777" w:rsidR="00053D93" w:rsidRDefault="00260B75">
                  <w:pPr>
                    <w:ind w:left="338"/>
                  </w:pPr>
                  <w:r>
                    <w:rPr>
                      <w:sz w:val="14"/>
                    </w:rPr>
                    <w:t>AUDITORIA FINANCIERA Y DE CUMPLIMIENTO</w:t>
                  </w:r>
                </w:p>
                <w:p w14:paraId="1C2B93C0" w14:textId="77777777" w:rsidR="00053D93" w:rsidRDefault="00260B75">
                  <w:r>
                    <w:rPr>
                      <w:sz w:val="14"/>
                    </w:rPr>
                    <w:t>PERIODO DEL 01 OE ENERO AL 31 DE DICIEMBRE OE 2024</w:t>
                  </w:r>
                </w:p>
              </w:tc>
            </w:tr>
          </w:tbl>
          <w:p w14:paraId="198ECF16" w14:textId="77777777" w:rsidR="00053D93" w:rsidRDefault="00053D93"/>
        </w:tc>
      </w:tr>
    </w:tbl>
    <w:p w14:paraId="44878B8E" w14:textId="77777777" w:rsidR="00053D93" w:rsidRDefault="00260B75">
      <w:pPr>
        <w:spacing w:after="3"/>
        <w:ind w:left="74" w:right="43" w:hanging="10"/>
      </w:pPr>
      <w:r>
        <w:rPr>
          <w:sz w:val="74"/>
        </w:rPr>
        <w:t>1</w:t>
      </w:r>
    </w:p>
    <w:p w14:paraId="1F019424" w14:textId="77777777" w:rsidR="00053D93" w:rsidRDefault="00260B75">
      <w:pPr>
        <w:spacing w:after="3"/>
        <w:ind w:left="24" w:hanging="10"/>
      </w:pPr>
      <w:r>
        <w:rPr>
          <w:noProof/>
        </w:rPr>
        <w:drawing>
          <wp:inline distT="0" distB="0" distL="0" distR="0" wp14:anchorId="7D52AAAD" wp14:editId="676AB066">
            <wp:extent cx="9144" cy="9144"/>
            <wp:effectExtent l="0" t="0" r="0" b="0"/>
            <wp:docPr id="1200983" name="Picture 1200983"/>
            <wp:cNvGraphicFramePr/>
            <a:graphic xmlns:a="http://schemas.openxmlformats.org/drawingml/2006/main">
              <a:graphicData uri="http://schemas.openxmlformats.org/drawingml/2006/picture">
                <pic:pic xmlns:pic="http://schemas.openxmlformats.org/drawingml/2006/picture">
                  <pic:nvPicPr>
                    <pic:cNvPr id="1200983" name="Picture 1200983"/>
                    <pic:cNvPicPr/>
                  </pic:nvPicPr>
                  <pic:blipFill>
                    <a:blip r:embed="rId93"/>
                    <a:stretch>
                      <a:fillRect/>
                    </a:stretch>
                  </pic:blipFill>
                  <pic:spPr>
                    <a:xfrm>
                      <a:off x="0" y="0"/>
                      <a:ext cx="9144" cy="9144"/>
                    </a:xfrm>
                    <a:prstGeom prst="rect">
                      <a:avLst/>
                    </a:prstGeom>
                  </pic:spPr>
                </pic:pic>
              </a:graphicData>
            </a:graphic>
          </wp:inline>
        </w:drawing>
      </w:r>
      <w:r>
        <w:rPr>
          <w:sz w:val="72"/>
        </w:rPr>
        <w:t>1</w:t>
      </w:r>
    </w:p>
    <w:p w14:paraId="1A9CDC7B" w14:textId="77777777" w:rsidR="00053D93" w:rsidRDefault="00260B75">
      <w:pPr>
        <w:spacing w:after="13"/>
        <w:ind w:left="1656"/>
      </w:pPr>
      <w:r>
        <w:rPr>
          <w:noProof/>
        </w:rPr>
        <mc:AlternateContent>
          <mc:Choice Requires="wpg">
            <w:drawing>
              <wp:inline distT="0" distB="0" distL="0" distR="0" wp14:anchorId="02FE1525" wp14:editId="687DE8FB">
                <wp:extent cx="5381245" cy="9144"/>
                <wp:effectExtent l="0" t="0" r="0" b="0"/>
                <wp:docPr id="2458918" name="Group 2458918"/>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917" name="Shape 2458917"/>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18" style="width:423.72pt;height:0.720005pt;mso-position-horizontal-relative:char;mso-position-vertical-relative:line" coordsize="53812,91">
                <v:shape id="Shape 2458917" style="position:absolute;width:53812;height:91;left:0;top:0;" coordsize="5381245,9144" path="m0,4572l5381245,4572">
                  <v:stroke weight="0.720005pt" endcap="flat" joinstyle="miter" miterlimit="1" on="true" color="#000000"/>
                  <v:fill on="false" color="#000000"/>
                </v:shape>
              </v:group>
            </w:pict>
          </mc:Fallback>
        </mc:AlternateContent>
      </w:r>
    </w:p>
    <w:p w14:paraId="0EC32564" w14:textId="77777777" w:rsidR="00053D93" w:rsidRDefault="00260B75">
      <w:pPr>
        <w:spacing w:after="561" w:line="269" w:lineRule="auto"/>
        <w:ind w:left="1699" w:right="14" w:hanging="1642"/>
        <w:jc w:val="both"/>
      </w:pPr>
      <w:r>
        <w:rPr>
          <w:noProof/>
        </w:rPr>
        <mc:AlternateContent>
          <mc:Choice Requires="wpg">
            <w:drawing>
              <wp:anchor distT="0" distB="0" distL="114300" distR="114300" simplePos="0" relativeHeight="252278784" behindDoc="0" locked="0" layoutInCell="1" allowOverlap="1" wp14:anchorId="415FDC66" wp14:editId="1596FF29">
                <wp:simplePos x="0" y="0"/>
                <wp:positionH relativeFrom="column">
                  <wp:posOffset>27432</wp:posOffset>
                </wp:positionH>
                <wp:positionV relativeFrom="paragraph">
                  <wp:posOffset>417103</wp:posOffset>
                </wp:positionV>
                <wp:extent cx="123444" cy="301752"/>
                <wp:effectExtent l="0" t="0" r="0" b="0"/>
                <wp:wrapSquare wrapText="bothSides"/>
                <wp:docPr id="2457561" name="Group 2457561"/>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1198230" name="Rectangle 1198230"/>
                        <wps:cNvSpPr/>
                        <wps:spPr>
                          <a:xfrm>
                            <a:off x="0" y="0"/>
                            <a:ext cx="164181" cy="401330"/>
                          </a:xfrm>
                          <a:prstGeom prst="rect">
                            <a:avLst/>
                          </a:prstGeom>
                          <a:ln>
                            <a:noFill/>
                          </a:ln>
                        </wps:spPr>
                        <wps:txbx>
                          <w:txbxContent>
                            <w:p w14:paraId="23563176"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415FDC66" id="Group 2457561" o:spid="_x0000_s1729" style="position:absolute;left:0;text-align:left;margin-left:2.15pt;margin-top:32.85pt;width:9.7pt;height:23.75pt;z-index:252278784;mso-position-horizontal-relative:text;mso-position-vertical-relative:text"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">
                <v:rect id="Rectangle 1198230" o:spid="_x0000_s1730"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" filled="f" stroked="f">
                  <v:textbox inset="0,0,0,0">
                    <w:txbxContent>
                      <w:p w14:paraId="23563176" w14:textId="77777777" w:rsidR="00053D93" w:rsidRDefault="00260B75">
                        <w:r>
                          <w:rPr>
                            <w:sz w:val="74"/>
                          </w:rPr>
                          <w:t>1</w:t>
                        </w:r>
                      </w:p>
                    </w:txbxContent>
                  </v:textbox>
                </v:rect>
                <w10:wrap type="square"/>
              </v:group>
            </w:pict>
          </mc:Fallback>
        </mc:AlternateContent>
      </w:r>
      <w:r>
        <w:rPr>
          <w:noProof/>
        </w:rPr>
        <w:drawing>
          <wp:inline distT="0" distB="0" distL="0" distR="0" wp14:anchorId="5CC79405" wp14:editId="6F8672A2">
            <wp:extent cx="4572" cy="9144"/>
            <wp:effectExtent l="0" t="0" r="0" b="0"/>
            <wp:docPr id="1200984" name="Picture 1200984"/>
            <wp:cNvGraphicFramePr/>
            <a:graphic xmlns:a="http://schemas.openxmlformats.org/drawingml/2006/main">
              <a:graphicData uri="http://schemas.openxmlformats.org/drawingml/2006/picture">
                <pic:pic xmlns:pic="http://schemas.openxmlformats.org/drawingml/2006/picture">
                  <pic:nvPicPr>
                    <pic:cNvPr id="1200984" name="Picture 1200984"/>
                    <pic:cNvPicPr/>
                  </pic:nvPicPr>
                  <pic:blipFill>
                    <a:blip r:embed="rId24"/>
                    <a:stretch>
                      <a:fillRect/>
                    </a:stretch>
                  </pic:blipFill>
                  <pic:spPr>
                    <a:xfrm>
                      <a:off x="0" y="0"/>
                      <a:ext cx="4572" cy="9144"/>
                    </a:xfrm>
                    <a:prstGeom prst="rect">
                      <a:avLst/>
                    </a:prstGeom>
                  </pic:spPr>
                </pic:pic>
              </a:graphicData>
            </a:graphic>
          </wp:inline>
        </w:drawing>
      </w:r>
      <w:r>
        <w:rPr>
          <w:sz w:val="26"/>
        </w:rPr>
        <w:t>1 puesho son necesarias para el proceso de ejecución presupuestaria de los programas de apoyo en cada desembolso, se priorizó por la Dirección General la atención de estas. 4. Que ei puesto de Analista Financiero de los Programas de Apoyo está vacante, en proceso de contratación .</w:t>
      </w:r>
      <w:r>
        <w:rPr>
          <w:noProof/>
        </w:rPr>
        <w:drawing>
          <wp:inline distT="0" distB="0" distL="0" distR="0" wp14:anchorId="13E8A37F" wp14:editId="5ED4EF50">
            <wp:extent cx="123444" cy="114300"/>
            <wp:effectExtent l="0" t="0" r="0" b="0"/>
            <wp:docPr id="2458915" name="Picture 2458915"/>
            <wp:cNvGraphicFramePr/>
            <a:graphic xmlns:a="http://schemas.openxmlformats.org/drawingml/2006/main">
              <a:graphicData uri="http://schemas.openxmlformats.org/drawingml/2006/picture">
                <pic:pic xmlns:pic="http://schemas.openxmlformats.org/drawingml/2006/picture">
                  <pic:nvPicPr>
                    <pic:cNvPr id="2458915" name="Picture 2458915"/>
                    <pic:cNvPicPr/>
                  </pic:nvPicPr>
                  <pic:blipFill>
                    <a:blip r:embed="rId1627"/>
                    <a:stretch>
                      <a:fillRect/>
                    </a:stretch>
                  </pic:blipFill>
                  <pic:spPr>
                    <a:xfrm>
                      <a:off x="0" y="0"/>
                      <a:ext cx="123444" cy="114300"/>
                    </a:xfrm>
                    <a:prstGeom prst="rect">
                      <a:avLst/>
                    </a:prstGeom>
                  </pic:spPr>
                </pic:pic>
              </a:graphicData>
            </a:graphic>
          </wp:inline>
        </w:drawing>
      </w:r>
    </w:p>
    <w:p w14:paraId="6F7E2479" w14:textId="77777777" w:rsidR="00053D93" w:rsidRDefault="00260B75">
      <w:pPr>
        <w:tabs>
          <w:tab w:val="center" w:pos="2981"/>
        </w:tabs>
        <w:spacing w:after="4" w:line="266" w:lineRule="auto"/>
      </w:pPr>
      <w:r>
        <w:rPr>
          <w:sz w:val="28"/>
        </w:rPr>
        <w:t>1</w:t>
      </w:r>
      <w:r>
        <w:rPr>
          <w:sz w:val="28"/>
        </w:rPr>
        <w:tab/>
        <w:t>Comentario de auditoría</w:t>
      </w:r>
    </w:p>
    <w:p w14:paraId="554A2A2B" w14:textId="77777777" w:rsidR="00053D93" w:rsidRDefault="00260B75">
      <w:pPr>
        <w:spacing w:after="209" w:line="269" w:lineRule="auto"/>
        <w:ind w:left="57" w:right="14" w:firstLine="1656"/>
        <w:jc w:val="both"/>
      </w:pPr>
      <w:r>
        <w:rPr>
          <w:sz w:val="26"/>
        </w:rPr>
        <w:t xml:space="preserve">Se confirma el hallazgo, para la licenciada Yoisi Carina Gómez Fuentes, Subdirectora de Análisis y Transferencia Financiera: en virtud que, en sus 1 comentarios y pruebas de descargo, no desvanecen los hechos que se le atribuyen, si bien es cierto que los Acuerdos Ministeriales 3667-2012 y 17-2014 1 desconcentran funciones hacia las Direcciones Departamentales de Educación (DIDEDUC), tal desconcentración no exime de responsabilidad a [as unidades centrales, en especial a [a Dirección General de Participación Comunitaria y </w:t>
      </w:r>
      <w:r>
        <w:rPr>
          <w:noProof/>
        </w:rPr>
        <w:drawing>
          <wp:inline distT="0" distB="0" distL="0" distR="0" wp14:anchorId="29EDC866" wp14:editId="222DBFF5">
            <wp:extent cx="4572" cy="13716"/>
            <wp:effectExtent l="0" t="0" r="0" b="0"/>
            <wp:docPr id="1200989" name="Picture 1200989"/>
            <wp:cNvGraphicFramePr/>
            <a:graphic xmlns:a="http://schemas.openxmlformats.org/drawingml/2006/main">
              <a:graphicData uri="http://schemas.openxmlformats.org/drawingml/2006/picture">
                <pic:pic xmlns:pic="http://schemas.openxmlformats.org/drawingml/2006/picture">
                  <pic:nvPicPr>
                    <pic:cNvPr id="1200989" name="Picture 1200989"/>
                    <pic:cNvPicPr/>
                  </pic:nvPicPr>
                  <pic:blipFill>
                    <a:blip r:embed="rId114"/>
                    <a:stretch>
                      <a:fillRect/>
                    </a:stretch>
                  </pic:blipFill>
                  <pic:spPr>
                    <a:xfrm>
                      <a:off x="0" y="0"/>
                      <a:ext cx="4572" cy="13716"/>
                    </a:xfrm>
                    <a:prstGeom prst="rect">
                      <a:avLst/>
                    </a:prstGeom>
                  </pic:spPr>
                </pic:pic>
              </a:graphicData>
            </a:graphic>
          </wp:inline>
        </w:drawing>
      </w:r>
      <w:r>
        <w:rPr>
          <w:sz w:val="26"/>
        </w:rPr>
        <w:t>1 Servicios de Apoyo -DIGEPSA- como ente rector de los programas de apoyo. En efecto, el artículo 15 del Acuerdo Gubernativo No. 225-2008, establece que, la DIGEPSA es responsable de la dotación de recursos económicos y de promover 1 la autogestión educativa, funciones que conllevan supervisión, control y aseguramiento de la ejecución adecuada de los programas, lo que incluye ei 1 seguimiento a la liquidación de fondos. El Manual VDE-MAN-08, versión 2, establece claramente que entre las funciones del puesto que ocupa se encuentra: supervisar el acompañamiento y asesoría a las Direcciones Departamentales de 1 Educación específicamente en el proceso de preparación y manejo de base de datos Sistema de Asignación y Dotación de Recursos, -SDR-; por su parte, el 1 oficio DIGEPSA No. 76-2024, en su numeral 4, le encomienda explícitamente supervisar dicho acompañamiento, lo que incluye el seguimiento a que las DIDEDUC realicen de manera oportuna el registro de las regularizaciones en el 1 SDR; sin embargo, su argumento de que dicha función no le corresponde por estar vacante el puesto de Analista Financiero de Programas de Apoyo, no es válido, dado que dicho cargo está subordinado funcionalmente a la Subdirección</w:t>
      </w:r>
    </w:p>
    <w:p w14:paraId="1940A956" w14:textId="77777777" w:rsidR="00053D93" w:rsidRDefault="00260B75">
      <w:pPr>
        <w:spacing w:after="441" w:line="344" w:lineRule="auto"/>
        <w:ind w:left="10" w:hanging="10"/>
        <w:jc w:val="center"/>
      </w:pPr>
      <w:r>
        <w:rPr>
          <w:sz w:val="26"/>
        </w:rPr>
        <w:t>1</w:t>
      </w:r>
      <w:r>
        <w:rPr>
          <w:sz w:val="26"/>
        </w:rPr>
        <w:tab/>
        <w:t>que ella encabeza, como jefa directa, le corresponde suplir, coordinar y garantizar el cumplimiento de esas actividades conforme a su nombramiento.</w:t>
      </w:r>
    </w:p>
    <w:p w14:paraId="60AD096E" w14:textId="77777777" w:rsidR="00053D93" w:rsidRDefault="00260B75">
      <w:pPr>
        <w:spacing w:after="4" w:line="269" w:lineRule="auto"/>
        <w:ind w:left="60" w:right="14" w:hanging="3"/>
        <w:jc w:val="both"/>
      </w:pPr>
      <w:r>
        <w:rPr>
          <w:sz w:val="26"/>
        </w:rPr>
        <w:t>1 En consecuencia, el argumento de que la responsabilidad recae exclusivamente en las DIDEDUC es improcedente, ya que, según la normativa vigente, el control, 1 la verificación y el monitoreo continuo forman parte inherente de las responsabilidades asignadas a su cargo, tal como lo estipulan el Acuerdo Gubernativo 225-2008, Reglamento Orgánico Interno del Ministerio de Educación, 1 el Manual de Organización y Funciones de la Dirección General de Participación</w:t>
      </w:r>
    </w:p>
    <w:p w14:paraId="694F9BD9" w14:textId="77777777" w:rsidR="00053D93" w:rsidRDefault="00260B75">
      <w:pPr>
        <w:spacing w:after="4" w:line="216" w:lineRule="auto"/>
        <w:ind w:left="1659" w:right="14" w:hanging="3"/>
        <w:jc w:val="both"/>
      </w:pPr>
      <w:r>
        <w:rPr>
          <w:sz w:val="26"/>
        </w:rPr>
        <w:t>Comunitaria y Servicios de Apoyo -DIGEPSA- y el oficio DIGEPSA No. 76-2024. La omisión de estas funciones ha contribuido directamente a que se acumulen</w:t>
      </w:r>
    </w:p>
    <w:p w14:paraId="2E1ABA56" w14:textId="77777777" w:rsidR="00053D93" w:rsidRDefault="00260B75">
      <w:pPr>
        <w:spacing w:after="459" w:line="269" w:lineRule="auto"/>
        <w:ind w:left="67" w:right="14" w:hanging="10"/>
        <w:jc w:val="right"/>
      </w:pPr>
      <w:r>
        <w:rPr>
          <w:sz w:val="26"/>
        </w:rPr>
        <w:t>316,990 transferencias pendientes de registrar [as regularizaciones/liquidaciones</w:t>
      </w:r>
    </w:p>
    <w:p w14:paraId="526B3B4D" w14:textId="77777777" w:rsidR="00053D93" w:rsidRDefault="00260B75">
      <w:pPr>
        <w:spacing w:after="3"/>
        <w:ind w:left="74" w:right="3485" w:hanging="10"/>
      </w:pPr>
      <w:r>
        <w:rPr>
          <w:sz w:val="70"/>
        </w:rPr>
        <w:t>1</w:t>
      </w:r>
    </w:p>
    <w:tbl>
      <w:tblPr>
        <w:tblStyle w:val="TableGrid"/>
        <w:tblW w:w="9425" w:type="dxa"/>
        <w:tblInd w:w="706" w:type="dxa"/>
        <w:tblLook w:val="04A0" w:firstRow="1" w:lastRow="0" w:firstColumn="1" w:lastColumn="0" w:noHBand="0" w:noVBand="1"/>
      </w:tblPr>
      <w:tblGrid>
        <w:gridCol w:w="1295"/>
        <w:gridCol w:w="8172"/>
      </w:tblGrid>
      <w:tr w:rsidR="00053D93" w14:paraId="57604CE8" w14:textId="77777777">
        <w:trPr>
          <w:trHeight w:val="641"/>
        </w:trPr>
        <w:tc>
          <w:tcPr>
            <w:tcW w:w="1782" w:type="dxa"/>
            <w:tcBorders>
              <w:top w:val="nil"/>
              <w:left w:val="nil"/>
              <w:bottom w:val="nil"/>
              <w:right w:val="nil"/>
            </w:tcBorders>
          </w:tcPr>
          <w:p w14:paraId="76CECC71" w14:textId="77777777" w:rsidR="00053D93" w:rsidRDefault="00260B75">
            <w:r>
              <w:rPr>
                <w:noProof/>
              </w:rPr>
              <w:drawing>
                <wp:inline distT="0" distB="0" distL="0" distR="0" wp14:anchorId="5029D7BF" wp14:editId="704687A3">
                  <wp:extent cx="1120140" cy="406908"/>
                  <wp:effectExtent l="0" t="0" r="0" b="0"/>
                  <wp:docPr id="1201059" name="Picture 1201059"/>
                  <wp:cNvGraphicFramePr/>
                  <a:graphic xmlns:a="http://schemas.openxmlformats.org/drawingml/2006/main">
                    <a:graphicData uri="http://schemas.openxmlformats.org/drawingml/2006/picture">
                      <pic:pic xmlns:pic="http://schemas.openxmlformats.org/drawingml/2006/picture">
                        <pic:nvPicPr>
                          <pic:cNvPr id="1201059" name="Picture 1201059"/>
                          <pic:cNvPicPr/>
                        </pic:nvPicPr>
                        <pic:blipFill>
                          <a:blip r:embed="rId1628"/>
                          <a:stretch>
                            <a:fillRect/>
                          </a:stretch>
                        </pic:blipFill>
                        <pic:spPr>
                          <a:xfrm>
                            <a:off x="0" y="0"/>
                            <a:ext cx="1120140" cy="406908"/>
                          </a:xfrm>
                          <a:prstGeom prst="rect">
                            <a:avLst/>
                          </a:prstGeom>
                        </pic:spPr>
                      </pic:pic>
                    </a:graphicData>
                  </a:graphic>
                </wp:inline>
              </w:drawing>
            </w:r>
          </w:p>
        </w:tc>
        <w:tc>
          <w:tcPr>
            <w:tcW w:w="7643" w:type="dxa"/>
            <w:tcBorders>
              <w:top w:val="nil"/>
              <w:left w:val="nil"/>
              <w:bottom w:val="nil"/>
              <w:right w:val="nil"/>
            </w:tcBorders>
          </w:tcPr>
          <w:p w14:paraId="7685F239" w14:textId="77777777" w:rsidR="00053D93" w:rsidRDefault="00053D93">
            <w:pPr>
              <w:ind w:left="-2804" w:right="10447"/>
            </w:pPr>
          </w:p>
          <w:tbl>
            <w:tblPr>
              <w:tblStyle w:val="TableGrid"/>
              <w:tblW w:w="7625" w:type="dxa"/>
              <w:tblInd w:w="18" w:type="dxa"/>
              <w:tblCellMar>
                <w:top w:w="50" w:type="dxa"/>
                <w:left w:w="1742" w:type="dxa"/>
                <w:right w:w="115" w:type="dxa"/>
              </w:tblCellMar>
              <w:tblLook w:val="04A0" w:firstRow="1" w:lastRow="0" w:firstColumn="1" w:lastColumn="0" w:noHBand="0" w:noVBand="1"/>
            </w:tblPr>
            <w:tblGrid>
              <w:gridCol w:w="7625"/>
            </w:tblGrid>
            <w:tr w:rsidR="00053D93" w14:paraId="26061860" w14:textId="77777777">
              <w:trPr>
                <w:trHeight w:val="43"/>
              </w:trPr>
              <w:tc>
                <w:tcPr>
                  <w:tcW w:w="7625" w:type="dxa"/>
                  <w:tcBorders>
                    <w:top w:val="nil"/>
                    <w:left w:val="single" w:sz="2" w:space="0" w:color="000000"/>
                    <w:bottom w:val="single" w:sz="2" w:space="0" w:color="000000"/>
                    <w:right w:val="nil"/>
                  </w:tcBorders>
                </w:tcPr>
                <w:p w14:paraId="0BAA798F" w14:textId="77777777" w:rsidR="00053D93" w:rsidRDefault="00053D93"/>
              </w:tc>
            </w:tr>
            <w:tr w:rsidR="00053D93" w14:paraId="06C85849" w14:textId="77777777">
              <w:trPr>
                <w:trHeight w:val="583"/>
              </w:trPr>
              <w:tc>
                <w:tcPr>
                  <w:tcW w:w="7625" w:type="dxa"/>
                  <w:tcBorders>
                    <w:top w:val="single" w:sz="2" w:space="0" w:color="000000"/>
                    <w:left w:val="single" w:sz="2" w:space="0" w:color="000000"/>
                    <w:bottom w:val="nil"/>
                    <w:right w:val="nil"/>
                  </w:tcBorders>
                </w:tcPr>
                <w:p w14:paraId="52E1E1E8" w14:textId="77777777" w:rsidR="00053D93" w:rsidRDefault="00260B75">
                  <w:pPr>
                    <w:ind w:left="828"/>
                  </w:pPr>
                  <w:r>
                    <w:rPr>
                      <w:sz w:val="14"/>
                    </w:rPr>
                    <w:t>MINISTERIO DE EDUCACtON</w:t>
                  </w:r>
                </w:p>
                <w:p w14:paraId="3EA4629D" w14:textId="77777777" w:rsidR="00053D93" w:rsidRDefault="00260B75">
                  <w:pPr>
                    <w:ind w:left="338"/>
                  </w:pPr>
                  <w:r>
                    <w:rPr>
                      <w:sz w:val="14"/>
                    </w:rPr>
                    <w:t>AUDITORIA FINANCIERA Y DE CUMPLIMENTO</w:t>
                  </w:r>
                </w:p>
                <w:p w14:paraId="4367F900" w14:textId="77777777" w:rsidR="00053D93" w:rsidRDefault="00260B75">
                  <w:r>
                    <w:rPr>
                      <w:sz w:val="14"/>
                    </w:rPr>
                    <w:t>PERIODO DEL 01 DE ENERO AL 31 DE DICIEMBRE DE 2024</w:t>
                  </w:r>
                </w:p>
              </w:tc>
            </w:tr>
          </w:tbl>
          <w:p w14:paraId="4EEF8F7B" w14:textId="77777777" w:rsidR="00053D93" w:rsidRDefault="00053D93"/>
        </w:tc>
      </w:tr>
    </w:tbl>
    <w:p w14:paraId="2473375A" w14:textId="77777777" w:rsidR="00053D93" w:rsidRDefault="00260B75">
      <w:pPr>
        <w:spacing w:after="42"/>
        <w:ind w:left="1303"/>
      </w:pPr>
      <w:r>
        <w:rPr>
          <w:noProof/>
        </w:rPr>
        <mc:AlternateContent>
          <mc:Choice Requires="wpg">
            <w:drawing>
              <wp:inline distT="0" distB="0" distL="0" distR="0" wp14:anchorId="5CCE5C78" wp14:editId="73BE42EE">
                <wp:extent cx="5605272" cy="9144"/>
                <wp:effectExtent l="0" t="0" r="0" b="0"/>
                <wp:docPr id="2458922" name="Group 2458922"/>
                <wp:cNvGraphicFramePr/>
                <a:graphic xmlns:a="http://schemas.openxmlformats.org/drawingml/2006/main">
                  <a:graphicData uri="http://schemas.microsoft.com/office/word/2010/wordprocessingGroup">
                    <wpg:wgp>
                      <wpg:cNvGrpSpPr/>
                      <wpg:grpSpPr>
                        <a:xfrm>
                          <a:off x="0" y="0"/>
                          <a:ext cx="5605272" cy="9144"/>
                          <a:chOff x="0" y="0"/>
                          <a:chExt cx="5605272" cy="9144"/>
                        </a:xfrm>
                      </wpg:grpSpPr>
                      <wps:wsp>
                        <wps:cNvPr id="2458921" name="Shape 2458921"/>
                        <wps:cNvSpPr/>
                        <wps:spPr>
                          <a:xfrm>
                            <a:off x="0" y="0"/>
                            <a:ext cx="5605272" cy="9144"/>
                          </a:xfrm>
                          <a:custGeom>
                            <a:avLst/>
                            <a:gdLst/>
                            <a:ahLst/>
                            <a:cxnLst/>
                            <a:rect l="0" t="0" r="0" b="0"/>
                            <a:pathLst>
                              <a:path w="5605272" h="9144">
                                <a:moveTo>
                                  <a:pt x="0" y="4572"/>
                                </a:moveTo>
                                <a:lnTo>
                                  <a:pt x="56052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22" style="width:441.36pt;height:0.719997pt;mso-position-horizontal-relative:char;mso-position-vertical-relative:line" coordsize="56052,91">
                <v:shape id="Shape 2458921" style="position:absolute;width:56052;height:91;left:0;top:0;" coordsize="5605272,9144" path="m0,4572l5605272,4572">
                  <v:stroke weight="0.719997pt" endcap="flat" joinstyle="miter" miterlimit="1" on="true" color="#000000"/>
                  <v:fill on="false" color="#000000"/>
                </v:shape>
              </v:group>
            </w:pict>
          </mc:Fallback>
        </mc:AlternateContent>
      </w:r>
    </w:p>
    <w:p w14:paraId="731F2DB7" w14:textId="77777777" w:rsidR="00053D93" w:rsidRDefault="00260B75">
      <w:pPr>
        <w:spacing w:after="280" w:line="250" w:lineRule="auto"/>
        <w:ind w:left="1673" w:right="14" w:hanging="3"/>
        <w:jc w:val="both"/>
      </w:pPr>
      <w:r>
        <w:rPr>
          <w:sz w:val="26"/>
        </w:rPr>
        <w:t>en Ea base de datos del Sistema de Asignación y Dotación de Recursos -SDR-, por un monto de Q2,578,898,986.93, generando falta de control en la administración financiera de los programas de apoyo.</w:t>
      </w:r>
    </w:p>
    <w:p w14:paraId="0E29C443" w14:textId="77777777" w:rsidR="00053D93" w:rsidRDefault="00260B75">
      <w:pPr>
        <w:spacing w:after="14" w:line="251" w:lineRule="auto"/>
        <w:ind w:left="1658" w:hanging="3"/>
        <w:jc w:val="both"/>
      </w:pPr>
      <w:r>
        <w:rPr>
          <w:sz w:val="28"/>
        </w:rPr>
        <w:t>Acciones legales</w:t>
      </w:r>
    </w:p>
    <w:p w14:paraId="735AFEB3" w14:textId="77777777" w:rsidR="00053D93" w:rsidRDefault="00260B75">
      <w:pPr>
        <w:spacing w:after="274" w:line="250" w:lineRule="auto"/>
        <w:ind w:left="1673" w:right="14" w:hanging="3"/>
        <w:jc w:val="both"/>
      </w:pPr>
      <w:r>
        <w:rPr>
          <w:sz w:val="26"/>
        </w:rPr>
        <w:t>Sanción económica de conformidad con el Decreto 31-2002, del Congreso de la República, Ley Orgánica de la Contraloría General de Cuentas, reformada por el Decreto 13-2013; artículo 39, Numeral 13, para:</w:t>
      </w:r>
    </w:p>
    <w:p w14:paraId="04EA1A5C" w14:textId="77777777" w:rsidR="00053D93" w:rsidRDefault="00260B75">
      <w:pPr>
        <w:tabs>
          <w:tab w:val="center" w:pos="6577"/>
          <w:tab w:val="right" w:pos="10174"/>
        </w:tabs>
        <w:spacing w:after="47" w:line="265" w:lineRule="auto"/>
      </w:pPr>
      <w:r>
        <w:rPr>
          <w:sz w:val="16"/>
        </w:rPr>
        <w:tab/>
        <w:t>Nombre</w:t>
      </w:r>
      <w:r>
        <w:rPr>
          <w:sz w:val="16"/>
        </w:rPr>
        <w:tab/>
        <w:t>Valor en Quetzales</w:t>
      </w:r>
    </w:p>
    <w:p w14:paraId="2401DC51" w14:textId="77777777" w:rsidR="00053D93" w:rsidRDefault="00260B75">
      <w:pPr>
        <w:tabs>
          <w:tab w:val="center" w:pos="3712"/>
          <w:tab w:val="center" w:pos="7373"/>
          <w:tab w:val="right" w:pos="10174"/>
        </w:tabs>
        <w:spacing w:after="3" w:line="266" w:lineRule="auto"/>
      </w:pPr>
      <w:r>
        <w:rPr>
          <w:sz w:val="16"/>
        </w:rPr>
        <w:tab/>
        <w:t>SUBDIRECTORA DE ANALISIS Y TRANSFERENCIA FINANCIERA</w:t>
      </w:r>
      <w:r>
        <w:rPr>
          <w:sz w:val="16"/>
        </w:rPr>
        <w:tab/>
        <w:t>YOISI CARINA GOMEZ FUENTES</w:t>
      </w:r>
      <w:r>
        <w:rPr>
          <w:sz w:val="16"/>
        </w:rPr>
        <w:tab/>
        <w:t>16.000.00</w:t>
      </w:r>
    </w:p>
    <w:p w14:paraId="766DDF4C" w14:textId="77777777" w:rsidR="00053D93" w:rsidRDefault="00260B75">
      <w:pPr>
        <w:spacing w:after="348" w:line="340" w:lineRule="auto"/>
        <w:ind w:left="10" w:right="43" w:hanging="10"/>
        <w:jc w:val="right"/>
      </w:pPr>
      <w:r>
        <w:rPr>
          <w:sz w:val="14"/>
        </w:rPr>
        <w:t>Q. 16,00D.oo</w:t>
      </w:r>
    </w:p>
    <w:p w14:paraId="701C5893" w14:textId="77777777" w:rsidR="00053D93" w:rsidRDefault="00260B75">
      <w:pPr>
        <w:pStyle w:val="Ttulo3"/>
        <w:spacing w:after="266" w:line="259" w:lineRule="auto"/>
        <w:ind w:left="1691" w:right="0" w:firstLine="4"/>
        <w:jc w:val="left"/>
      </w:pPr>
      <w:r>
        <w:t>DIRECCION GENERAL DE GESTION DE CALIDAD EDUCATIVA</w:t>
      </w:r>
    </w:p>
    <w:p w14:paraId="0A7EE3E3" w14:textId="77777777" w:rsidR="00053D93" w:rsidRDefault="00260B75">
      <w:pPr>
        <w:spacing w:after="289" w:line="251" w:lineRule="auto"/>
        <w:ind w:left="1658" w:hanging="3"/>
        <w:jc w:val="both"/>
      </w:pPr>
      <w:r>
        <w:rPr>
          <w:sz w:val="28"/>
        </w:rPr>
        <w:t>Hallazgo No. 1</w:t>
      </w:r>
    </w:p>
    <w:p w14:paraId="40F91EE8" w14:textId="77777777" w:rsidR="00053D93" w:rsidRDefault="00260B75">
      <w:pPr>
        <w:spacing w:after="280" w:line="251" w:lineRule="auto"/>
        <w:ind w:left="1658" w:hanging="3"/>
        <w:jc w:val="both"/>
      </w:pPr>
      <w:r>
        <w:rPr>
          <w:sz w:val="28"/>
        </w:rPr>
        <w:t>Falta de conciliación del Libro de Inventarios con el Sistema de Contabilidad Integrada -SICOIN-</w:t>
      </w:r>
    </w:p>
    <w:p w14:paraId="302380E6" w14:textId="77777777" w:rsidR="00053D93" w:rsidRDefault="00260B75">
      <w:pPr>
        <w:spacing w:after="14" w:line="251" w:lineRule="auto"/>
        <w:ind w:left="1658" w:hanging="3"/>
        <w:jc w:val="both"/>
      </w:pPr>
      <w:r>
        <w:rPr>
          <w:sz w:val="28"/>
        </w:rPr>
        <w:t>Condición</w:t>
      </w:r>
    </w:p>
    <w:p w14:paraId="5D14D07E" w14:textId="77777777" w:rsidR="00053D93" w:rsidRDefault="00260B75">
      <w:pPr>
        <w:spacing w:after="12" w:line="250" w:lineRule="auto"/>
        <w:ind w:left="1666" w:right="14" w:hanging="3"/>
        <w:jc w:val="both"/>
      </w:pPr>
      <w:r>
        <w:rPr>
          <w:sz w:val="26"/>
        </w:rPr>
        <w:t>En el Ministerio de Educación, Unidad Ejecutora 124 Dirección General de Gestión de Calidad Educativa -DIGECADE-, Cuentas contables 1232 Maquinaria y Equipo y 1237 Otros Activos Fijos, como procedimiento de auditoría, el 29 de octubre de 2024, se solicitó poner a la vista el Libro de Inventarios de Activos Fijos, autorizado por la Contraloría General de Cuentas, con registro L2, 28049, para realizar el análisis comparativo de los saldos que presenta el Libro de Inventarios de Activos Fijos, con los saldos que presentan estas cuentas contables en los Formularios FIN-OI "Formulario Resumen de Inventario Institucional" y FIN-02 "Formulario Detalle de Inventario por Cuenta", con corte al 31 de diciembre de 2023, presentados a la Dirección de Administración Financiera del Ministerio de Educación el 15 de enero de 2024; determinándose que existe una diferencia significativa de menor valor registrada en el Libro de Inventarios de Activos Fijos, por la cantidad de ciento treinta y cinco millones ochocientos trece mil ciento treinta y siete quetzales con ochenta y seis centavos Q135,813,137.86, como se detalla a continuación:</w:t>
      </w:r>
    </w:p>
    <w:tbl>
      <w:tblPr>
        <w:tblStyle w:val="TableGrid"/>
        <w:tblW w:w="9403" w:type="dxa"/>
        <w:tblInd w:w="727" w:type="dxa"/>
        <w:tblLook w:val="04A0" w:firstRow="1" w:lastRow="0" w:firstColumn="1" w:lastColumn="0" w:noHBand="0" w:noVBand="1"/>
      </w:tblPr>
      <w:tblGrid>
        <w:gridCol w:w="830"/>
        <w:gridCol w:w="8616"/>
      </w:tblGrid>
      <w:tr w:rsidR="00053D93" w14:paraId="288BE115" w14:textId="77777777">
        <w:trPr>
          <w:trHeight w:val="2674"/>
        </w:trPr>
        <w:tc>
          <w:tcPr>
            <w:tcW w:w="1013" w:type="dxa"/>
            <w:tcBorders>
              <w:top w:val="nil"/>
              <w:left w:val="nil"/>
              <w:bottom w:val="nil"/>
              <w:right w:val="nil"/>
            </w:tcBorders>
            <w:vAlign w:val="bottom"/>
          </w:tcPr>
          <w:p w14:paraId="028F62EB" w14:textId="77777777" w:rsidR="00053D93" w:rsidRDefault="00260B75">
            <w:r>
              <w:rPr>
                <w:noProof/>
              </w:rPr>
              <w:drawing>
                <wp:inline distT="0" distB="0" distL="0" distR="0" wp14:anchorId="651A8E68" wp14:editId="46D625FD">
                  <wp:extent cx="640080" cy="406908"/>
                  <wp:effectExtent l="0" t="0" r="0" b="0"/>
                  <wp:docPr id="1205090" name="Picture 1205090"/>
                  <wp:cNvGraphicFramePr/>
                  <a:graphic xmlns:a="http://schemas.openxmlformats.org/drawingml/2006/main">
                    <a:graphicData uri="http://schemas.openxmlformats.org/drawingml/2006/picture">
                      <pic:pic xmlns:pic="http://schemas.openxmlformats.org/drawingml/2006/picture">
                        <pic:nvPicPr>
                          <pic:cNvPr id="1205090" name="Picture 1205090"/>
                          <pic:cNvPicPr/>
                        </pic:nvPicPr>
                        <pic:blipFill>
                          <a:blip r:embed="rId1629"/>
                          <a:stretch>
                            <a:fillRect/>
                          </a:stretch>
                        </pic:blipFill>
                        <pic:spPr>
                          <a:xfrm>
                            <a:off x="0" y="0"/>
                            <a:ext cx="640080" cy="406908"/>
                          </a:xfrm>
                          <a:prstGeom prst="rect">
                            <a:avLst/>
                          </a:prstGeom>
                        </pic:spPr>
                      </pic:pic>
                    </a:graphicData>
                  </a:graphic>
                </wp:inline>
              </w:drawing>
            </w:r>
          </w:p>
        </w:tc>
        <w:tc>
          <w:tcPr>
            <w:tcW w:w="8390" w:type="dxa"/>
            <w:tcBorders>
              <w:top w:val="nil"/>
              <w:left w:val="nil"/>
              <w:bottom w:val="nil"/>
              <w:right w:val="nil"/>
            </w:tcBorders>
          </w:tcPr>
          <w:p w14:paraId="51D28F7C" w14:textId="77777777" w:rsidR="00053D93" w:rsidRDefault="00053D93">
            <w:pPr>
              <w:ind w:left="-2057" w:right="10447"/>
            </w:pPr>
          </w:p>
          <w:tbl>
            <w:tblPr>
              <w:tblStyle w:val="TableGrid"/>
              <w:tblW w:w="8384" w:type="dxa"/>
              <w:tblInd w:w="5" w:type="dxa"/>
              <w:tblCellMar>
                <w:top w:w="29" w:type="dxa"/>
                <w:right w:w="7" w:type="dxa"/>
              </w:tblCellMar>
              <w:tblLook w:val="04A0" w:firstRow="1" w:lastRow="0" w:firstColumn="1" w:lastColumn="0" w:noHBand="0" w:noVBand="1"/>
            </w:tblPr>
            <w:tblGrid>
              <w:gridCol w:w="338"/>
              <w:gridCol w:w="305"/>
              <w:gridCol w:w="2539"/>
              <w:gridCol w:w="2254"/>
              <w:gridCol w:w="327"/>
              <w:gridCol w:w="2621"/>
            </w:tblGrid>
            <w:tr w:rsidR="00053D93" w14:paraId="05A8B980" w14:textId="77777777">
              <w:trPr>
                <w:trHeight w:val="824"/>
              </w:trPr>
              <w:tc>
                <w:tcPr>
                  <w:tcW w:w="3182" w:type="dxa"/>
                  <w:gridSpan w:val="3"/>
                  <w:tcBorders>
                    <w:top w:val="single" w:sz="2" w:space="0" w:color="000000"/>
                    <w:left w:val="single" w:sz="2" w:space="0" w:color="000000"/>
                    <w:bottom w:val="single" w:sz="2" w:space="0" w:color="000000"/>
                    <w:right w:val="single" w:sz="2" w:space="0" w:color="000000"/>
                  </w:tcBorders>
                </w:tcPr>
                <w:p w14:paraId="15D77825" w14:textId="77777777" w:rsidR="00053D93" w:rsidRDefault="00260B75">
                  <w:pPr>
                    <w:ind w:right="86"/>
                    <w:jc w:val="center"/>
                  </w:pPr>
                  <w:r>
                    <w:rPr>
                      <w:sz w:val="24"/>
                    </w:rPr>
                    <w:t>Descripción</w:t>
                  </w:r>
                </w:p>
              </w:tc>
              <w:tc>
                <w:tcPr>
                  <w:tcW w:w="2254" w:type="dxa"/>
                  <w:tcBorders>
                    <w:top w:val="single" w:sz="2" w:space="0" w:color="000000"/>
                    <w:left w:val="single" w:sz="2" w:space="0" w:color="000000"/>
                    <w:bottom w:val="single" w:sz="2" w:space="0" w:color="000000"/>
                    <w:right w:val="single" w:sz="2" w:space="0" w:color="000000"/>
                  </w:tcBorders>
                </w:tcPr>
                <w:p w14:paraId="0628E3BC" w14:textId="77777777" w:rsidR="00053D93" w:rsidRDefault="00260B75">
                  <w:pPr>
                    <w:ind w:left="155"/>
                  </w:pPr>
                  <w:r>
                    <w:rPr>
                      <w:sz w:val="24"/>
                    </w:rPr>
                    <w:t>Saldo según Libro de</w:t>
                  </w:r>
                </w:p>
                <w:p w14:paraId="69B550ED" w14:textId="77777777" w:rsidR="00053D93" w:rsidRDefault="00260B75">
                  <w:pPr>
                    <w:ind w:right="1"/>
                    <w:jc w:val="center"/>
                  </w:pPr>
                  <w:r>
                    <w:t>Inventarios al</w:t>
                  </w:r>
                </w:p>
                <w:p w14:paraId="6BEE85B0" w14:textId="77777777" w:rsidR="00053D93" w:rsidRDefault="00260B75">
                  <w:pPr>
                    <w:ind w:right="1"/>
                    <w:jc w:val="center"/>
                  </w:pPr>
                  <w:r>
                    <w:rPr>
                      <w:sz w:val="20"/>
                    </w:rPr>
                    <w:t>3111212018</w:t>
                  </w:r>
                </w:p>
              </w:tc>
              <w:tc>
                <w:tcPr>
                  <w:tcW w:w="327" w:type="dxa"/>
                  <w:tcBorders>
                    <w:top w:val="single" w:sz="2" w:space="0" w:color="000000"/>
                    <w:left w:val="single" w:sz="2" w:space="0" w:color="000000"/>
                    <w:bottom w:val="single" w:sz="2" w:space="0" w:color="000000"/>
                    <w:right w:val="nil"/>
                  </w:tcBorders>
                </w:tcPr>
                <w:p w14:paraId="388B98DD" w14:textId="77777777" w:rsidR="00053D93" w:rsidRDefault="00053D93"/>
              </w:tc>
              <w:tc>
                <w:tcPr>
                  <w:tcW w:w="2621" w:type="dxa"/>
                  <w:tcBorders>
                    <w:top w:val="single" w:sz="2" w:space="0" w:color="000000"/>
                    <w:left w:val="nil"/>
                    <w:bottom w:val="single" w:sz="2" w:space="0" w:color="000000"/>
                    <w:right w:val="single" w:sz="2" w:space="0" w:color="000000"/>
                  </w:tcBorders>
                </w:tcPr>
                <w:p w14:paraId="5E742DBA" w14:textId="77777777" w:rsidR="00053D93" w:rsidRDefault="00260B75">
                  <w:r>
                    <w:rPr>
                      <w:sz w:val="24"/>
                    </w:rPr>
                    <w:t>Saldo según Formularios</w:t>
                  </w:r>
                </w:p>
                <w:p w14:paraId="2A0B1170" w14:textId="77777777" w:rsidR="00053D93" w:rsidRDefault="00260B75">
                  <w:pPr>
                    <w:ind w:left="569" w:right="634" w:hanging="101"/>
                    <w:jc w:val="both"/>
                  </w:pPr>
                  <w:r>
                    <w:rPr>
                      <w:sz w:val="20"/>
                    </w:rPr>
                    <w:t>FIN-OI y FIN-02 al 31/12/2023</w:t>
                  </w:r>
                </w:p>
              </w:tc>
            </w:tr>
            <w:tr w:rsidR="00053D93" w14:paraId="425C6291" w14:textId="77777777">
              <w:trPr>
                <w:trHeight w:val="778"/>
              </w:trPr>
              <w:tc>
                <w:tcPr>
                  <w:tcW w:w="3182" w:type="dxa"/>
                  <w:gridSpan w:val="3"/>
                  <w:tcBorders>
                    <w:top w:val="single" w:sz="2" w:space="0" w:color="000000"/>
                    <w:left w:val="single" w:sz="2" w:space="0" w:color="000000"/>
                    <w:bottom w:val="single" w:sz="2" w:space="0" w:color="000000"/>
                    <w:right w:val="single" w:sz="2" w:space="0" w:color="000000"/>
                  </w:tcBorders>
                </w:tcPr>
                <w:p w14:paraId="34E125BD" w14:textId="77777777" w:rsidR="00053D93" w:rsidRDefault="00260B75">
                  <w:pPr>
                    <w:ind w:left="25" w:right="112" w:firstLine="7"/>
                    <w:jc w:val="both"/>
                  </w:pPr>
                  <w:r>
                    <w:t>Saldo en Libros según Folio No.: 1084 Libro de Inventarios de Activos Fijos Registro No. L2 28049</w:t>
                  </w:r>
                </w:p>
              </w:tc>
              <w:tc>
                <w:tcPr>
                  <w:tcW w:w="2254" w:type="dxa"/>
                  <w:tcBorders>
                    <w:top w:val="single" w:sz="2" w:space="0" w:color="000000"/>
                    <w:left w:val="single" w:sz="2" w:space="0" w:color="000000"/>
                    <w:bottom w:val="single" w:sz="2" w:space="0" w:color="000000"/>
                    <w:right w:val="single" w:sz="2" w:space="0" w:color="000000"/>
                  </w:tcBorders>
                </w:tcPr>
                <w:p w14:paraId="3C718D04" w14:textId="77777777" w:rsidR="00053D93" w:rsidRDefault="00260B75">
                  <w:pPr>
                    <w:ind w:left="659"/>
                  </w:pPr>
                  <w:r>
                    <w:rPr>
                      <w:sz w:val="18"/>
                    </w:rPr>
                    <w:t>Q151</w:t>
                  </w:r>
                  <w:r>
                    <w:rPr>
                      <w:noProof/>
                    </w:rPr>
                    <w:drawing>
                      <wp:inline distT="0" distB="0" distL="0" distR="0" wp14:anchorId="207C3E91" wp14:editId="59790A7B">
                        <wp:extent cx="630936" cy="105156"/>
                        <wp:effectExtent l="0" t="0" r="0" b="0"/>
                        <wp:docPr id="1204961" name="Picture 1204961"/>
                        <wp:cNvGraphicFramePr/>
                        <a:graphic xmlns:a="http://schemas.openxmlformats.org/drawingml/2006/main">
                          <a:graphicData uri="http://schemas.openxmlformats.org/drawingml/2006/picture">
                            <pic:pic xmlns:pic="http://schemas.openxmlformats.org/drawingml/2006/picture">
                              <pic:nvPicPr>
                                <pic:cNvPr id="1204961" name="Picture 1204961"/>
                                <pic:cNvPicPr/>
                              </pic:nvPicPr>
                              <pic:blipFill>
                                <a:blip r:embed="rId1630"/>
                                <a:stretch>
                                  <a:fillRect/>
                                </a:stretch>
                              </pic:blipFill>
                              <pic:spPr>
                                <a:xfrm>
                                  <a:off x="0" y="0"/>
                                  <a:ext cx="630936" cy="105156"/>
                                </a:xfrm>
                                <a:prstGeom prst="rect">
                                  <a:avLst/>
                                </a:prstGeom>
                              </pic:spPr>
                            </pic:pic>
                          </a:graphicData>
                        </a:graphic>
                      </wp:inline>
                    </w:drawing>
                  </w:r>
                </w:p>
              </w:tc>
              <w:tc>
                <w:tcPr>
                  <w:tcW w:w="327" w:type="dxa"/>
                  <w:tcBorders>
                    <w:top w:val="single" w:sz="2" w:space="0" w:color="000000"/>
                    <w:left w:val="single" w:sz="2" w:space="0" w:color="000000"/>
                    <w:bottom w:val="single" w:sz="2" w:space="0" w:color="000000"/>
                    <w:right w:val="nil"/>
                  </w:tcBorders>
                </w:tcPr>
                <w:p w14:paraId="6B3BA59F" w14:textId="77777777" w:rsidR="00053D93" w:rsidRDefault="00053D93"/>
              </w:tc>
              <w:tc>
                <w:tcPr>
                  <w:tcW w:w="2621" w:type="dxa"/>
                  <w:tcBorders>
                    <w:top w:val="single" w:sz="2" w:space="0" w:color="000000"/>
                    <w:left w:val="nil"/>
                    <w:bottom w:val="single" w:sz="2" w:space="0" w:color="000000"/>
                    <w:right w:val="single" w:sz="2" w:space="0" w:color="000000"/>
                  </w:tcBorders>
                </w:tcPr>
                <w:p w14:paraId="6A4DB66D" w14:textId="77777777" w:rsidR="00053D93" w:rsidRDefault="00053D93"/>
              </w:tc>
            </w:tr>
            <w:tr w:rsidR="00053D93" w14:paraId="56BA0359" w14:textId="77777777">
              <w:trPr>
                <w:trHeight w:val="475"/>
              </w:trPr>
              <w:tc>
                <w:tcPr>
                  <w:tcW w:w="3182" w:type="dxa"/>
                  <w:gridSpan w:val="3"/>
                  <w:tcBorders>
                    <w:top w:val="single" w:sz="2" w:space="0" w:color="000000"/>
                    <w:left w:val="single" w:sz="2" w:space="0" w:color="000000"/>
                    <w:bottom w:val="nil"/>
                    <w:right w:val="single" w:sz="2" w:space="0" w:color="000000"/>
                  </w:tcBorders>
                </w:tcPr>
                <w:p w14:paraId="6D3E2EE3" w14:textId="77777777" w:rsidR="00053D93" w:rsidRDefault="00260B75">
                  <w:pPr>
                    <w:ind w:left="40"/>
                  </w:pPr>
                  <w:r>
                    <w:t>Saldo al 31 de diciembre de 2023</w:t>
                  </w:r>
                </w:p>
              </w:tc>
              <w:tc>
                <w:tcPr>
                  <w:tcW w:w="2254" w:type="dxa"/>
                  <w:tcBorders>
                    <w:top w:val="single" w:sz="2" w:space="0" w:color="000000"/>
                    <w:left w:val="single" w:sz="2" w:space="0" w:color="000000"/>
                    <w:bottom w:val="single" w:sz="2" w:space="0" w:color="000000"/>
                    <w:right w:val="single" w:sz="2" w:space="0" w:color="000000"/>
                  </w:tcBorders>
                </w:tcPr>
                <w:p w14:paraId="0599AEFB" w14:textId="77777777" w:rsidR="00053D93" w:rsidRDefault="00053D93"/>
              </w:tc>
              <w:tc>
                <w:tcPr>
                  <w:tcW w:w="327" w:type="dxa"/>
                  <w:tcBorders>
                    <w:top w:val="single" w:sz="2" w:space="0" w:color="000000"/>
                    <w:left w:val="single" w:sz="2" w:space="0" w:color="000000"/>
                    <w:bottom w:val="single" w:sz="2" w:space="0" w:color="000000"/>
                    <w:right w:val="nil"/>
                  </w:tcBorders>
                </w:tcPr>
                <w:p w14:paraId="73DA980A" w14:textId="77777777" w:rsidR="00053D93" w:rsidRDefault="00053D93"/>
              </w:tc>
              <w:tc>
                <w:tcPr>
                  <w:tcW w:w="2621" w:type="dxa"/>
                  <w:tcBorders>
                    <w:top w:val="single" w:sz="2" w:space="0" w:color="000000"/>
                    <w:left w:val="nil"/>
                    <w:bottom w:val="single" w:sz="2" w:space="0" w:color="000000"/>
                    <w:right w:val="single" w:sz="2" w:space="0" w:color="000000"/>
                  </w:tcBorders>
                </w:tcPr>
                <w:p w14:paraId="2407B511" w14:textId="77777777" w:rsidR="00053D93" w:rsidRDefault="00260B75">
                  <w:pPr>
                    <w:ind w:right="115"/>
                    <w:jc w:val="right"/>
                  </w:pPr>
                  <w:r>
                    <w:rPr>
                      <w:sz w:val="18"/>
                    </w:rPr>
                    <w:t>Q2711211 ,264.10</w:t>
                  </w:r>
                </w:p>
              </w:tc>
            </w:tr>
            <w:tr w:rsidR="00053D93" w14:paraId="3C8B11C5" w14:textId="77777777">
              <w:trPr>
                <w:trHeight w:val="598"/>
              </w:trPr>
              <w:tc>
                <w:tcPr>
                  <w:tcW w:w="338" w:type="dxa"/>
                  <w:tcBorders>
                    <w:top w:val="nil"/>
                    <w:left w:val="single" w:sz="2" w:space="0" w:color="000000"/>
                    <w:bottom w:val="nil"/>
                    <w:right w:val="single" w:sz="2" w:space="0" w:color="000000"/>
                  </w:tcBorders>
                </w:tcPr>
                <w:p w14:paraId="391F53AF" w14:textId="77777777" w:rsidR="00053D93" w:rsidRDefault="00260B75">
                  <w:pPr>
                    <w:ind w:left="162"/>
                  </w:pPr>
                  <w:r>
                    <w:rPr>
                      <w:noProof/>
                    </w:rPr>
                    <w:drawing>
                      <wp:inline distT="0" distB="0" distL="0" distR="0" wp14:anchorId="1393E74E" wp14:editId="2C1D4DEA">
                        <wp:extent cx="9144" cy="128016"/>
                        <wp:effectExtent l="0" t="0" r="0" b="0"/>
                        <wp:docPr id="2458919" name="Picture 2458919"/>
                        <wp:cNvGraphicFramePr/>
                        <a:graphic xmlns:a="http://schemas.openxmlformats.org/drawingml/2006/main">
                          <a:graphicData uri="http://schemas.openxmlformats.org/drawingml/2006/picture">
                            <pic:pic xmlns:pic="http://schemas.openxmlformats.org/drawingml/2006/picture">
                              <pic:nvPicPr>
                                <pic:cNvPr id="2458919" name="Picture 2458919"/>
                                <pic:cNvPicPr/>
                              </pic:nvPicPr>
                              <pic:blipFill>
                                <a:blip r:embed="rId1336"/>
                                <a:stretch>
                                  <a:fillRect/>
                                </a:stretch>
                              </pic:blipFill>
                              <pic:spPr>
                                <a:xfrm>
                                  <a:off x="0" y="0"/>
                                  <a:ext cx="9144" cy="128016"/>
                                </a:xfrm>
                                <a:prstGeom prst="rect">
                                  <a:avLst/>
                                </a:prstGeom>
                              </pic:spPr>
                            </pic:pic>
                          </a:graphicData>
                        </a:graphic>
                      </wp:inline>
                    </w:drawing>
                  </w:r>
                </w:p>
              </w:tc>
              <w:tc>
                <w:tcPr>
                  <w:tcW w:w="305" w:type="dxa"/>
                  <w:tcBorders>
                    <w:top w:val="nil"/>
                    <w:left w:val="single" w:sz="2" w:space="0" w:color="000000"/>
                    <w:bottom w:val="nil"/>
                    <w:right w:val="single" w:sz="2" w:space="0" w:color="000000"/>
                  </w:tcBorders>
                </w:tcPr>
                <w:p w14:paraId="01DA3F10" w14:textId="77777777" w:rsidR="00053D93" w:rsidRDefault="00053D93"/>
              </w:tc>
              <w:tc>
                <w:tcPr>
                  <w:tcW w:w="5120" w:type="dxa"/>
                  <w:gridSpan w:val="3"/>
                  <w:tcBorders>
                    <w:top w:val="single" w:sz="2" w:space="0" w:color="000000"/>
                    <w:left w:val="single" w:sz="2" w:space="0" w:color="000000"/>
                    <w:bottom w:val="nil"/>
                    <w:right w:val="nil"/>
                  </w:tcBorders>
                </w:tcPr>
                <w:p w14:paraId="2CB1FE2A" w14:textId="77777777" w:rsidR="00053D93" w:rsidRDefault="00260B75">
                  <w:pPr>
                    <w:ind w:left="2708"/>
                  </w:pPr>
                  <w:r>
                    <w:rPr>
                      <w:sz w:val="14"/>
                    </w:rPr>
                    <w:t>MINESTENO DE EDUCACION</w:t>
                  </w:r>
                </w:p>
                <w:p w14:paraId="43705153" w14:textId="77777777" w:rsidR="00053D93" w:rsidRDefault="00260B75">
                  <w:pPr>
                    <w:ind w:right="338"/>
                    <w:jc w:val="right"/>
                  </w:pPr>
                  <w:r>
                    <w:rPr>
                      <w:sz w:val="14"/>
                    </w:rPr>
                    <w:t>AUDITORIA FINANCIERA Y OE CUMPLIMIENTO</w:t>
                  </w:r>
                </w:p>
                <w:p w14:paraId="46ECB33F" w14:textId="77777777" w:rsidR="00053D93" w:rsidRDefault="00260B75">
                  <w:pPr>
                    <w:jc w:val="right"/>
                  </w:pPr>
                  <w:r>
                    <w:rPr>
                      <w:sz w:val="14"/>
                    </w:rPr>
                    <w:t>PERIODO DEL 01 DE ENERO AL 31 DE DICIEMBRE DE 2024</w:t>
                  </w:r>
                </w:p>
              </w:tc>
              <w:tc>
                <w:tcPr>
                  <w:tcW w:w="2621" w:type="dxa"/>
                  <w:tcBorders>
                    <w:top w:val="single" w:sz="2" w:space="0" w:color="000000"/>
                    <w:left w:val="nil"/>
                    <w:bottom w:val="nil"/>
                    <w:right w:val="nil"/>
                  </w:tcBorders>
                </w:tcPr>
                <w:p w14:paraId="01A5466A" w14:textId="77777777" w:rsidR="00053D93" w:rsidRDefault="00053D93"/>
              </w:tc>
            </w:tr>
          </w:tbl>
          <w:p w14:paraId="3E35946D" w14:textId="77777777" w:rsidR="00053D93" w:rsidRDefault="00053D93"/>
        </w:tc>
      </w:tr>
    </w:tbl>
    <w:p w14:paraId="1946A10C" w14:textId="77777777" w:rsidR="00053D93" w:rsidRDefault="00053D93">
      <w:pPr>
        <w:sectPr w:rsidR="00053D93">
          <w:headerReference w:type="even" r:id="rId1631"/>
          <w:headerReference w:type="default" r:id="rId1632"/>
          <w:footerReference w:type="even" r:id="rId1633"/>
          <w:footerReference w:type="default" r:id="rId1634"/>
          <w:headerReference w:type="first" r:id="rId1635"/>
          <w:footerReference w:type="first" r:id="rId1636"/>
          <w:pgSz w:w="12290" w:h="15883"/>
          <w:pgMar w:top="331" w:right="1800" w:bottom="367" w:left="317" w:header="403" w:footer="720" w:gutter="0"/>
          <w:cols w:space="720"/>
          <w:titlePg/>
        </w:sectPr>
      </w:pPr>
    </w:p>
    <w:p w14:paraId="459D0899" w14:textId="77777777" w:rsidR="00053D93" w:rsidRDefault="00260B75">
      <w:pPr>
        <w:spacing w:after="228" w:line="265" w:lineRule="auto"/>
        <w:ind w:left="1637" w:hanging="10"/>
        <w:jc w:val="center"/>
      </w:pPr>
      <w:r>
        <w:rPr>
          <w:sz w:val="12"/>
        </w:rPr>
        <w:t>074</w:t>
      </w:r>
    </w:p>
    <w:tbl>
      <w:tblPr>
        <w:tblStyle w:val="TableGrid"/>
        <w:tblW w:w="8453" w:type="dxa"/>
        <w:tblInd w:w="1653" w:type="dxa"/>
        <w:tblCellMar>
          <w:top w:w="22" w:type="dxa"/>
          <w:left w:w="111" w:type="dxa"/>
          <w:right w:w="120" w:type="dxa"/>
        </w:tblCellMar>
        <w:tblLook w:val="04A0" w:firstRow="1" w:lastRow="0" w:firstColumn="1" w:lastColumn="0" w:noHBand="0" w:noVBand="1"/>
      </w:tblPr>
      <w:tblGrid>
        <w:gridCol w:w="3262"/>
        <w:gridCol w:w="2242"/>
        <w:gridCol w:w="2949"/>
      </w:tblGrid>
      <w:tr w:rsidR="00053D93" w14:paraId="2F8A376F" w14:textId="77777777">
        <w:trPr>
          <w:trHeight w:val="540"/>
        </w:trPr>
        <w:tc>
          <w:tcPr>
            <w:tcW w:w="3262" w:type="dxa"/>
            <w:tcBorders>
              <w:top w:val="single" w:sz="2" w:space="0" w:color="000000"/>
              <w:left w:val="single" w:sz="2" w:space="0" w:color="000000"/>
              <w:bottom w:val="single" w:sz="2" w:space="0" w:color="000000"/>
              <w:right w:val="single" w:sz="2" w:space="0" w:color="000000"/>
            </w:tcBorders>
          </w:tcPr>
          <w:p w14:paraId="345FBB1C" w14:textId="77777777" w:rsidR="00053D93" w:rsidRDefault="00260B75">
            <w:r>
              <w:t>según FIN-OI y FIN-02.</w:t>
            </w:r>
          </w:p>
          <w:p w14:paraId="5799FFBB" w14:textId="77777777" w:rsidR="00053D93" w:rsidRDefault="00260B75">
            <w:r>
              <w:t>Cuenta 1232 Maquinaria y equipo</w:t>
            </w:r>
          </w:p>
        </w:tc>
        <w:tc>
          <w:tcPr>
            <w:tcW w:w="2242" w:type="dxa"/>
            <w:tcBorders>
              <w:top w:val="single" w:sz="2" w:space="0" w:color="000000"/>
              <w:left w:val="single" w:sz="2" w:space="0" w:color="000000"/>
              <w:bottom w:val="single" w:sz="2" w:space="0" w:color="000000"/>
              <w:right w:val="single" w:sz="2" w:space="0" w:color="000000"/>
            </w:tcBorders>
          </w:tcPr>
          <w:p w14:paraId="49F48B9D" w14:textId="77777777" w:rsidR="00053D93" w:rsidRDefault="00053D93"/>
        </w:tc>
        <w:tc>
          <w:tcPr>
            <w:tcW w:w="2949" w:type="dxa"/>
            <w:tcBorders>
              <w:top w:val="single" w:sz="2" w:space="0" w:color="000000"/>
              <w:left w:val="single" w:sz="2" w:space="0" w:color="000000"/>
              <w:bottom w:val="single" w:sz="2" w:space="0" w:color="000000"/>
              <w:right w:val="single" w:sz="2" w:space="0" w:color="000000"/>
            </w:tcBorders>
          </w:tcPr>
          <w:p w14:paraId="459CE857" w14:textId="77777777" w:rsidR="00053D93" w:rsidRDefault="00053D93"/>
        </w:tc>
      </w:tr>
      <w:tr w:rsidR="00053D93" w14:paraId="1193B6A7" w14:textId="77777777">
        <w:trPr>
          <w:trHeight w:val="799"/>
        </w:trPr>
        <w:tc>
          <w:tcPr>
            <w:tcW w:w="3262" w:type="dxa"/>
            <w:tcBorders>
              <w:top w:val="single" w:sz="2" w:space="0" w:color="000000"/>
              <w:left w:val="single" w:sz="2" w:space="0" w:color="000000"/>
              <w:bottom w:val="single" w:sz="2" w:space="0" w:color="000000"/>
              <w:right w:val="single" w:sz="2" w:space="0" w:color="000000"/>
            </w:tcBorders>
          </w:tcPr>
          <w:p w14:paraId="647D7164" w14:textId="77777777" w:rsidR="00053D93" w:rsidRDefault="00260B75">
            <w:pPr>
              <w:spacing w:line="230" w:lineRule="auto"/>
              <w:jc w:val="both"/>
            </w:pPr>
            <w:r>
              <w:t>Saldo al 31 de diciembre de 2023 según FIN-OI y FIN-02.</w:t>
            </w:r>
          </w:p>
          <w:p w14:paraId="3B7401E3" w14:textId="77777777" w:rsidR="00053D93" w:rsidRDefault="00260B75">
            <w:r>
              <w:t>Cuenta 1237 Otros activos fijos</w:t>
            </w:r>
          </w:p>
        </w:tc>
        <w:tc>
          <w:tcPr>
            <w:tcW w:w="2242" w:type="dxa"/>
            <w:tcBorders>
              <w:top w:val="single" w:sz="2" w:space="0" w:color="000000"/>
              <w:left w:val="single" w:sz="2" w:space="0" w:color="000000"/>
              <w:bottom w:val="single" w:sz="2" w:space="0" w:color="000000"/>
              <w:right w:val="single" w:sz="2" w:space="0" w:color="000000"/>
            </w:tcBorders>
          </w:tcPr>
          <w:p w14:paraId="6C794544" w14:textId="77777777" w:rsidR="00053D93" w:rsidRDefault="00053D93"/>
        </w:tc>
        <w:tc>
          <w:tcPr>
            <w:tcW w:w="2949" w:type="dxa"/>
            <w:tcBorders>
              <w:top w:val="single" w:sz="2" w:space="0" w:color="000000"/>
              <w:left w:val="single" w:sz="2" w:space="0" w:color="000000"/>
              <w:bottom w:val="single" w:sz="2" w:space="0" w:color="000000"/>
              <w:right w:val="single" w:sz="2" w:space="0" w:color="000000"/>
            </w:tcBorders>
          </w:tcPr>
          <w:p w14:paraId="03633FD0" w14:textId="77777777" w:rsidR="00053D93" w:rsidRDefault="00260B75">
            <w:pPr>
              <w:ind w:left="1365"/>
            </w:pPr>
            <w:r>
              <w:rPr>
                <w:noProof/>
              </w:rPr>
              <w:drawing>
                <wp:inline distT="0" distB="0" distL="0" distR="0" wp14:anchorId="7B42D4C8" wp14:editId="4DEA077F">
                  <wp:extent cx="859536" cy="109728"/>
                  <wp:effectExtent l="0" t="0" r="0" b="0"/>
                  <wp:docPr id="1209130" name="Picture 1209130"/>
                  <wp:cNvGraphicFramePr/>
                  <a:graphic xmlns:a="http://schemas.openxmlformats.org/drawingml/2006/main">
                    <a:graphicData uri="http://schemas.openxmlformats.org/drawingml/2006/picture">
                      <pic:pic xmlns:pic="http://schemas.openxmlformats.org/drawingml/2006/picture">
                        <pic:nvPicPr>
                          <pic:cNvPr id="1209130" name="Picture 1209130"/>
                          <pic:cNvPicPr/>
                        </pic:nvPicPr>
                        <pic:blipFill>
                          <a:blip r:embed="rId1637"/>
                          <a:stretch>
                            <a:fillRect/>
                          </a:stretch>
                        </pic:blipFill>
                        <pic:spPr>
                          <a:xfrm>
                            <a:off x="0" y="0"/>
                            <a:ext cx="859536" cy="109728"/>
                          </a:xfrm>
                          <a:prstGeom prst="rect">
                            <a:avLst/>
                          </a:prstGeom>
                        </pic:spPr>
                      </pic:pic>
                    </a:graphicData>
                  </a:graphic>
                </wp:inline>
              </w:drawing>
            </w:r>
          </w:p>
        </w:tc>
      </w:tr>
      <w:tr w:rsidR="00053D93" w14:paraId="33CABEA5" w14:textId="77777777">
        <w:trPr>
          <w:trHeight w:val="274"/>
        </w:trPr>
        <w:tc>
          <w:tcPr>
            <w:tcW w:w="3262" w:type="dxa"/>
            <w:tcBorders>
              <w:top w:val="single" w:sz="2" w:space="0" w:color="000000"/>
              <w:left w:val="single" w:sz="2" w:space="0" w:color="000000"/>
              <w:bottom w:val="single" w:sz="2" w:space="0" w:color="000000"/>
              <w:right w:val="single" w:sz="2" w:space="0" w:color="000000"/>
            </w:tcBorders>
          </w:tcPr>
          <w:p w14:paraId="6AD2DEF6" w14:textId="77777777" w:rsidR="00053D93" w:rsidRDefault="00260B75">
            <w:r>
              <w:t>Diferencia</w:t>
            </w:r>
          </w:p>
        </w:tc>
        <w:tc>
          <w:tcPr>
            <w:tcW w:w="2242" w:type="dxa"/>
            <w:tcBorders>
              <w:top w:val="single" w:sz="2" w:space="0" w:color="000000"/>
              <w:left w:val="single" w:sz="2" w:space="0" w:color="000000"/>
              <w:bottom w:val="single" w:sz="2" w:space="0" w:color="000000"/>
              <w:right w:val="single" w:sz="2" w:space="0" w:color="000000"/>
            </w:tcBorders>
          </w:tcPr>
          <w:p w14:paraId="36C06958" w14:textId="77777777" w:rsidR="00053D93" w:rsidRDefault="00260B75">
            <w:pPr>
              <w:ind w:left="547"/>
            </w:pPr>
            <w:r>
              <w:rPr>
                <w:noProof/>
              </w:rPr>
              <w:drawing>
                <wp:inline distT="0" distB="0" distL="0" distR="0" wp14:anchorId="262E834E" wp14:editId="61701DF4">
                  <wp:extent cx="928116" cy="114300"/>
                  <wp:effectExtent l="0" t="0" r="0" b="0"/>
                  <wp:docPr id="1209024" name="Picture 1209024"/>
                  <wp:cNvGraphicFramePr/>
                  <a:graphic xmlns:a="http://schemas.openxmlformats.org/drawingml/2006/main">
                    <a:graphicData uri="http://schemas.openxmlformats.org/drawingml/2006/picture">
                      <pic:pic xmlns:pic="http://schemas.openxmlformats.org/drawingml/2006/picture">
                        <pic:nvPicPr>
                          <pic:cNvPr id="1209024" name="Picture 1209024"/>
                          <pic:cNvPicPr/>
                        </pic:nvPicPr>
                        <pic:blipFill>
                          <a:blip r:embed="rId1638"/>
                          <a:stretch>
                            <a:fillRect/>
                          </a:stretch>
                        </pic:blipFill>
                        <pic:spPr>
                          <a:xfrm>
                            <a:off x="0" y="0"/>
                            <a:ext cx="928116" cy="114300"/>
                          </a:xfrm>
                          <a:prstGeom prst="rect">
                            <a:avLst/>
                          </a:prstGeom>
                        </pic:spPr>
                      </pic:pic>
                    </a:graphicData>
                  </a:graphic>
                </wp:inline>
              </w:drawing>
            </w:r>
          </w:p>
        </w:tc>
        <w:tc>
          <w:tcPr>
            <w:tcW w:w="2949" w:type="dxa"/>
            <w:tcBorders>
              <w:top w:val="single" w:sz="2" w:space="0" w:color="000000"/>
              <w:left w:val="single" w:sz="2" w:space="0" w:color="000000"/>
              <w:bottom w:val="single" w:sz="2" w:space="0" w:color="000000"/>
              <w:right w:val="single" w:sz="2" w:space="0" w:color="000000"/>
            </w:tcBorders>
          </w:tcPr>
          <w:p w14:paraId="0E96370E" w14:textId="77777777" w:rsidR="00053D93" w:rsidRDefault="00053D93"/>
        </w:tc>
      </w:tr>
      <w:tr w:rsidR="00053D93" w14:paraId="24680E5A" w14:textId="77777777">
        <w:trPr>
          <w:trHeight w:val="293"/>
        </w:trPr>
        <w:tc>
          <w:tcPr>
            <w:tcW w:w="3262" w:type="dxa"/>
            <w:tcBorders>
              <w:top w:val="single" w:sz="2" w:space="0" w:color="000000"/>
              <w:left w:val="single" w:sz="2" w:space="0" w:color="000000"/>
              <w:bottom w:val="single" w:sz="2" w:space="0" w:color="000000"/>
              <w:right w:val="single" w:sz="2" w:space="0" w:color="000000"/>
            </w:tcBorders>
          </w:tcPr>
          <w:p w14:paraId="0400A061" w14:textId="77777777" w:rsidR="00053D93" w:rsidRDefault="00260B75">
            <w:r>
              <w:rPr>
                <w:sz w:val="24"/>
              </w:rPr>
              <w:t>Saldos conciliados</w:t>
            </w:r>
          </w:p>
        </w:tc>
        <w:tc>
          <w:tcPr>
            <w:tcW w:w="2242" w:type="dxa"/>
            <w:tcBorders>
              <w:top w:val="single" w:sz="2" w:space="0" w:color="000000"/>
              <w:left w:val="single" w:sz="2" w:space="0" w:color="000000"/>
              <w:bottom w:val="single" w:sz="2" w:space="0" w:color="000000"/>
              <w:right w:val="single" w:sz="2" w:space="0" w:color="000000"/>
            </w:tcBorders>
          </w:tcPr>
          <w:p w14:paraId="271553F3" w14:textId="77777777" w:rsidR="00053D93" w:rsidRDefault="00260B75">
            <w:pPr>
              <w:ind w:left="547"/>
            </w:pPr>
            <w:r>
              <w:rPr>
                <w:noProof/>
              </w:rPr>
              <w:drawing>
                <wp:inline distT="0" distB="0" distL="0" distR="0" wp14:anchorId="2539F295" wp14:editId="3B1C08E8">
                  <wp:extent cx="928116" cy="114300"/>
                  <wp:effectExtent l="0" t="0" r="0" b="0"/>
                  <wp:docPr id="1209060" name="Picture 1209060"/>
                  <wp:cNvGraphicFramePr/>
                  <a:graphic xmlns:a="http://schemas.openxmlformats.org/drawingml/2006/main">
                    <a:graphicData uri="http://schemas.openxmlformats.org/drawingml/2006/picture">
                      <pic:pic xmlns:pic="http://schemas.openxmlformats.org/drawingml/2006/picture">
                        <pic:nvPicPr>
                          <pic:cNvPr id="1209060" name="Picture 1209060"/>
                          <pic:cNvPicPr/>
                        </pic:nvPicPr>
                        <pic:blipFill>
                          <a:blip r:embed="rId1639"/>
                          <a:stretch>
                            <a:fillRect/>
                          </a:stretch>
                        </pic:blipFill>
                        <pic:spPr>
                          <a:xfrm>
                            <a:off x="0" y="0"/>
                            <a:ext cx="928116" cy="114300"/>
                          </a:xfrm>
                          <a:prstGeom prst="rect">
                            <a:avLst/>
                          </a:prstGeom>
                        </pic:spPr>
                      </pic:pic>
                    </a:graphicData>
                  </a:graphic>
                </wp:inline>
              </w:drawing>
            </w:r>
          </w:p>
        </w:tc>
        <w:tc>
          <w:tcPr>
            <w:tcW w:w="2949" w:type="dxa"/>
            <w:tcBorders>
              <w:top w:val="single" w:sz="2" w:space="0" w:color="000000"/>
              <w:left w:val="single" w:sz="2" w:space="0" w:color="000000"/>
              <w:bottom w:val="single" w:sz="2" w:space="0" w:color="000000"/>
              <w:right w:val="single" w:sz="2" w:space="0" w:color="000000"/>
            </w:tcBorders>
          </w:tcPr>
          <w:p w14:paraId="78425948" w14:textId="77777777" w:rsidR="00053D93" w:rsidRDefault="00260B75">
            <w:pPr>
              <w:ind w:left="1250"/>
            </w:pPr>
            <w:r>
              <w:rPr>
                <w:noProof/>
              </w:rPr>
              <w:drawing>
                <wp:inline distT="0" distB="0" distL="0" distR="0" wp14:anchorId="3D8E90C3" wp14:editId="21545292">
                  <wp:extent cx="932688" cy="109728"/>
                  <wp:effectExtent l="0" t="0" r="0" b="0"/>
                  <wp:docPr id="1209098" name="Picture 1209098"/>
                  <wp:cNvGraphicFramePr/>
                  <a:graphic xmlns:a="http://schemas.openxmlformats.org/drawingml/2006/main">
                    <a:graphicData uri="http://schemas.openxmlformats.org/drawingml/2006/picture">
                      <pic:pic xmlns:pic="http://schemas.openxmlformats.org/drawingml/2006/picture">
                        <pic:nvPicPr>
                          <pic:cNvPr id="1209098" name="Picture 1209098"/>
                          <pic:cNvPicPr/>
                        </pic:nvPicPr>
                        <pic:blipFill>
                          <a:blip r:embed="rId1640"/>
                          <a:stretch>
                            <a:fillRect/>
                          </a:stretch>
                        </pic:blipFill>
                        <pic:spPr>
                          <a:xfrm>
                            <a:off x="0" y="0"/>
                            <a:ext cx="932688" cy="109728"/>
                          </a:xfrm>
                          <a:prstGeom prst="rect">
                            <a:avLst/>
                          </a:prstGeom>
                        </pic:spPr>
                      </pic:pic>
                    </a:graphicData>
                  </a:graphic>
                </wp:inline>
              </w:drawing>
            </w:r>
          </w:p>
        </w:tc>
      </w:tr>
    </w:tbl>
    <w:p w14:paraId="46FB5B73" w14:textId="77777777" w:rsidR="00053D93" w:rsidRDefault="00260B75">
      <w:pPr>
        <w:spacing w:after="398" w:line="265" w:lineRule="auto"/>
        <w:ind w:left="1673" w:hanging="10"/>
      </w:pPr>
      <w:r>
        <w:rPr>
          <w:sz w:val="18"/>
        </w:rPr>
        <w:t>Fuente: Libro de Inventarios de Activos Fijos y Formularios FIN-OI y FIN-02.</w:t>
      </w:r>
    </w:p>
    <w:tbl>
      <w:tblPr>
        <w:tblStyle w:val="TableGrid"/>
        <w:tblpPr w:vertAnchor="page" w:horzAnchor="page" w:tblpX="2783" w:tblpY="14508"/>
        <w:tblOverlap w:val="never"/>
        <w:tblW w:w="7657" w:type="dxa"/>
        <w:tblInd w:w="0" w:type="dxa"/>
        <w:tblCellMar>
          <w:top w:w="40" w:type="dxa"/>
          <w:left w:w="1775" w:type="dxa"/>
          <w:right w:w="115" w:type="dxa"/>
        </w:tblCellMar>
        <w:tblLook w:val="04A0" w:firstRow="1" w:lastRow="0" w:firstColumn="1" w:lastColumn="0" w:noHBand="0" w:noVBand="1"/>
      </w:tblPr>
      <w:tblGrid>
        <w:gridCol w:w="7657"/>
      </w:tblGrid>
      <w:tr w:rsidR="00053D93" w14:paraId="20DE9A5F" w14:textId="77777777">
        <w:trPr>
          <w:trHeight w:val="48"/>
        </w:trPr>
        <w:tc>
          <w:tcPr>
            <w:tcW w:w="7657" w:type="dxa"/>
            <w:tcBorders>
              <w:top w:val="nil"/>
              <w:left w:val="single" w:sz="2" w:space="0" w:color="000000"/>
              <w:bottom w:val="single" w:sz="2" w:space="0" w:color="000000"/>
              <w:right w:val="nil"/>
            </w:tcBorders>
          </w:tcPr>
          <w:p w14:paraId="33F032EE" w14:textId="77777777" w:rsidR="00053D93" w:rsidRDefault="00053D93"/>
        </w:tc>
      </w:tr>
      <w:tr w:rsidR="00053D93" w14:paraId="5341CE69" w14:textId="77777777">
        <w:trPr>
          <w:trHeight w:val="586"/>
        </w:trPr>
        <w:tc>
          <w:tcPr>
            <w:tcW w:w="7657" w:type="dxa"/>
            <w:tcBorders>
              <w:top w:val="single" w:sz="2" w:space="0" w:color="000000"/>
              <w:left w:val="single" w:sz="2" w:space="0" w:color="000000"/>
              <w:bottom w:val="nil"/>
              <w:right w:val="nil"/>
            </w:tcBorders>
          </w:tcPr>
          <w:p w14:paraId="16D4F40C" w14:textId="77777777" w:rsidR="00053D93" w:rsidRDefault="00260B75">
            <w:pPr>
              <w:ind w:left="835"/>
            </w:pPr>
            <w:r>
              <w:rPr>
                <w:sz w:val="14"/>
              </w:rPr>
              <w:t>MINISTERIO DE EDUCACION</w:t>
            </w:r>
          </w:p>
          <w:p w14:paraId="02A3396B" w14:textId="77777777" w:rsidR="00053D93" w:rsidRDefault="00260B75">
            <w:pPr>
              <w:ind w:left="338"/>
            </w:pPr>
            <w:r>
              <w:rPr>
                <w:sz w:val="14"/>
              </w:rPr>
              <w:t>AUDITORIA FINANCIERA Y OE CUMPLIMENTO</w:t>
            </w:r>
          </w:p>
          <w:p w14:paraId="4ADE752B" w14:textId="77777777" w:rsidR="00053D93" w:rsidRDefault="00260B75">
            <w:r>
              <w:rPr>
                <w:sz w:val="14"/>
              </w:rPr>
              <w:t>PERIODO DEL 01 DE ENERO AL 31 DE DICIEMBRE DE 2024</w:t>
            </w:r>
          </w:p>
        </w:tc>
      </w:tr>
    </w:tbl>
    <w:p w14:paraId="1E98702F" w14:textId="77777777" w:rsidR="00053D93" w:rsidRDefault="00260B75">
      <w:pPr>
        <w:spacing w:after="12" w:line="250" w:lineRule="auto"/>
        <w:ind w:left="1645" w:right="14" w:hanging="3"/>
        <w:jc w:val="both"/>
      </w:pPr>
      <w:r>
        <w:rPr>
          <w:noProof/>
        </w:rPr>
        <w:drawing>
          <wp:anchor distT="0" distB="0" distL="114300" distR="114300" simplePos="0" relativeHeight="252279808" behindDoc="0" locked="0" layoutInCell="1" allowOverlap="0" wp14:anchorId="3AF07AB0" wp14:editId="369F8F00">
            <wp:simplePos x="0" y="0"/>
            <wp:positionH relativeFrom="page">
              <wp:posOffset>649224</wp:posOffset>
            </wp:positionH>
            <wp:positionV relativeFrom="page">
              <wp:posOffset>9212580</wp:posOffset>
            </wp:positionV>
            <wp:extent cx="1060704" cy="402336"/>
            <wp:effectExtent l="0" t="0" r="0" b="0"/>
            <wp:wrapTopAndBottom/>
            <wp:docPr id="1209309" name="Picture 1209309"/>
            <wp:cNvGraphicFramePr/>
            <a:graphic xmlns:a="http://schemas.openxmlformats.org/drawingml/2006/main">
              <a:graphicData uri="http://schemas.openxmlformats.org/drawingml/2006/picture">
                <pic:pic xmlns:pic="http://schemas.openxmlformats.org/drawingml/2006/picture">
                  <pic:nvPicPr>
                    <pic:cNvPr id="1209309" name="Picture 1209309"/>
                    <pic:cNvPicPr/>
                  </pic:nvPicPr>
                  <pic:blipFill>
                    <a:blip r:embed="rId1641"/>
                    <a:stretch>
                      <a:fillRect/>
                    </a:stretch>
                  </pic:blipFill>
                  <pic:spPr>
                    <a:xfrm>
                      <a:off x="0" y="0"/>
                      <a:ext cx="1060704" cy="402336"/>
                    </a:xfrm>
                    <a:prstGeom prst="rect">
                      <a:avLst/>
                    </a:prstGeom>
                  </pic:spPr>
                </pic:pic>
              </a:graphicData>
            </a:graphic>
          </wp:anchor>
        </w:drawing>
      </w:r>
      <w:r>
        <w:rPr>
          <w:sz w:val="26"/>
        </w:rPr>
        <w:t>Asimismo, se realizó el análisis comparativo de los saldos de estas cuentas contables en el Libro de Inventarios de Activos Fijos y del Reporte del Sistema de Contabilidad Integrada Gubernamental -SICOIN-, Inventario de bienes muebles, publicado como información de oficio en la página del Ministerio de Educación, estableciéndose que, al 30 de septiembre de 2024, existe una diferencia significativa de menor valor registrada en el Libro de Inventarios de Activos Fijos, por la cantidad de ciento cuarenta y tres millones doscientos trece mil trescientos ochenta y nueve quetzales con treinta y cinco centavos (Q 143,213,389.35), como se describe en el cuadro siguiente:</w:t>
      </w:r>
    </w:p>
    <w:tbl>
      <w:tblPr>
        <w:tblStyle w:val="TableGrid"/>
        <w:tblW w:w="8457" w:type="dxa"/>
        <w:tblInd w:w="1634" w:type="dxa"/>
        <w:tblCellMar>
          <w:top w:w="22" w:type="dxa"/>
          <w:left w:w="108" w:type="dxa"/>
          <w:right w:w="120" w:type="dxa"/>
        </w:tblCellMar>
        <w:tblLook w:val="04A0" w:firstRow="1" w:lastRow="0" w:firstColumn="1" w:lastColumn="0" w:noHBand="0" w:noVBand="1"/>
      </w:tblPr>
      <w:tblGrid>
        <w:gridCol w:w="3657"/>
        <w:gridCol w:w="2222"/>
        <w:gridCol w:w="2578"/>
      </w:tblGrid>
      <w:tr w:rsidR="00053D93" w14:paraId="56E85CA7" w14:textId="77777777">
        <w:trPr>
          <w:trHeight w:val="2143"/>
        </w:trPr>
        <w:tc>
          <w:tcPr>
            <w:tcW w:w="3658" w:type="dxa"/>
            <w:tcBorders>
              <w:top w:val="single" w:sz="2" w:space="0" w:color="000000"/>
              <w:left w:val="single" w:sz="2" w:space="0" w:color="000000"/>
              <w:bottom w:val="single" w:sz="2" w:space="0" w:color="000000"/>
              <w:right w:val="single" w:sz="2" w:space="0" w:color="000000"/>
            </w:tcBorders>
          </w:tcPr>
          <w:p w14:paraId="59146CFA" w14:textId="77777777" w:rsidR="00053D93" w:rsidRDefault="00260B75">
            <w:pPr>
              <w:ind w:left="4"/>
              <w:jc w:val="center"/>
            </w:pPr>
            <w:r>
              <w:rPr>
                <w:sz w:val="24"/>
              </w:rPr>
              <w:t>Descripción</w:t>
            </w:r>
          </w:p>
        </w:tc>
        <w:tc>
          <w:tcPr>
            <w:tcW w:w="2222" w:type="dxa"/>
            <w:tcBorders>
              <w:top w:val="single" w:sz="2" w:space="0" w:color="000000"/>
              <w:left w:val="single" w:sz="2" w:space="0" w:color="000000"/>
              <w:bottom w:val="single" w:sz="2" w:space="0" w:color="000000"/>
              <w:right w:val="single" w:sz="2" w:space="0" w:color="000000"/>
            </w:tcBorders>
          </w:tcPr>
          <w:p w14:paraId="7FA58B9B" w14:textId="77777777" w:rsidR="00053D93" w:rsidRDefault="00260B75">
            <w:pPr>
              <w:ind w:left="43"/>
            </w:pPr>
            <w:r>
              <w:rPr>
                <w:sz w:val="24"/>
              </w:rPr>
              <w:t>Saldo según Libro de</w:t>
            </w:r>
          </w:p>
          <w:p w14:paraId="0CE9C2E1" w14:textId="77777777" w:rsidR="00053D93" w:rsidRDefault="00260B75">
            <w:pPr>
              <w:ind w:left="7"/>
              <w:jc w:val="center"/>
            </w:pPr>
            <w:r>
              <w:t>Inventarios al</w:t>
            </w:r>
          </w:p>
          <w:p w14:paraId="7EE5F818" w14:textId="77777777" w:rsidR="00053D93" w:rsidRDefault="00260B75">
            <w:pPr>
              <w:ind w:left="7"/>
              <w:jc w:val="center"/>
            </w:pPr>
            <w:r>
              <w:rPr>
                <w:sz w:val="20"/>
              </w:rPr>
              <w:t>30/1212018</w:t>
            </w:r>
          </w:p>
        </w:tc>
        <w:tc>
          <w:tcPr>
            <w:tcW w:w="2578" w:type="dxa"/>
            <w:tcBorders>
              <w:top w:val="single" w:sz="2" w:space="0" w:color="000000"/>
              <w:left w:val="single" w:sz="2" w:space="0" w:color="000000"/>
              <w:bottom w:val="single" w:sz="2" w:space="0" w:color="000000"/>
              <w:right w:val="single" w:sz="2" w:space="0" w:color="000000"/>
            </w:tcBorders>
          </w:tcPr>
          <w:p w14:paraId="576BA010" w14:textId="77777777" w:rsidR="00053D93" w:rsidRDefault="00260B75">
            <w:pPr>
              <w:ind w:left="82" w:right="72" w:firstLine="14"/>
              <w:jc w:val="both"/>
            </w:pPr>
            <w:r>
              <w:t>Saldo según Formulario Inventario de bienes muebles del SICOIN, publicado como información de oficio en la página del Ministerio de Educación al 3010912024</w:t>
            </w:r>
          </w:p>
        </w:tc>
      </w:tr>
      <w:tr w:rsidR="00053D93" w14:paraId="00C10988" w14:textId="77777777">
        <w:trPr>
          <w:trHeight w:val="780"/>
        </w:trPr>
        <w:tc>
          <w:tcPr>
            <w:tcW w:w="3658" w:type="dxa"/>
            <w:tcBorders>
              <w:top w:val="single" w:sz="2" w:space="0" w:color="000000"/>
              <w:left w:val="single" w:sz="2" w:space="0" w:color="000000"/>
              <w:bottom w:val="single" w:sz="2" w:space="0" w:color="000000"/>
              <w:right w:val="single" w:sz="2" w:space="0" w:color="000000"/>
            </w:tcBorders>
          </w:tcPr>
          <w:p w14:paraId="2B376084" w14:textId="77777777" w:rsidR="00053D93" w:rsidRDefault="00260B75">
            <w:pPr>
              <w:ind w:left="7"/>
            </w:pPr>
            <w:r>
              <w:t>Saldo en Libros según Folio No.: 1084</w:t>
            </w:r>
          </w:p>
          <w:p w14:paraId="067E665F" w14:textId="77777777" w:rsidR="00053D93" w:rsidRDefault="00260B75">
            <w:pPr>
              <w:ind w:left="7"/>
            </w:pPr>
            <w:r>
              <w:t>Libro de Inventarios de Activos Fijos L2</w:t>
            </w:r>
          </w:p>
          <w:p w14:paraId="3A2A09C0" w14:textId="77777777" w:rsidR="00053D93" w:rsidRDefault="00260B75">
            <w:r>
              <w:rPr>
                <w:sz w:val="20"/>
              </w:rPr>
              <w:t>28049</w:t>
            </w:r>
          </w:p>
        </w:tc>
        <w:tc>
          <w:tcPr>
            <w:tcW w:w="2222" w:type="dxa"/>
            <w:tcBorders>
              <w:top w:val="single" w:sz="2" w:space="0" w:color="000000"/>
              <w:left w:val="single" w:sz="2" w:space="0" w:color="000000"/>
              <w:bottom w:val="single" w:sz="2" w:space="0" w:color="000000"/>
              <w:right w:val="single" w:sz="2" w:space="0" w:color="000000"/>
            </w:tcBorders>
          </w:tcPr>
          <w:p w14:paraId="79C4F046" w14:textId="77777777" w:rsidR="00053D93" w:rsidRDefault="00260B75">
            <w:pPr>
              <w:ind w:right="7"/>
              <w:jc w:val="right"/>
            </w:pPr>
            <w:r>
              <w:rPr>
                <w:sz w:val="16"/>
              </w:rPr>
              <w:t>Q151 ,5361686.68</w:t>
            </w:r>
          </w:p>
        </w:tc>
        <w:tc>
          <w:tcPr>
            <w:tcW w:w="2578" w:type="dxa"/>
            <w:tcBorders>
              <w:top w:val="single" w:sz="2" w:space="0" w:color="000000"/>
              <w:left w:val="single" w:sz="2" w:space="0" w:color="000000"/>
              <w:bottom w:val="single" w:sz="2" w:space="0" w:color="000000"/>
              <w:right w:val="single" w:sz="2" w:space="0" w:color="000000"/>
            </w:tcBorders>
          </w:tcPr>
          <w:p w14:paraId="1342B25B" w14:textId="77777777" w:rsidR="00053D93" w:rsidRDefault="00053D93"/>
        </w:tc>
      </w:tr>
      <w:tr w:rsidR="00053D93" w14:paraId="2FDB0DFA" w14:textId="77777777">
        <w:trPr>
          <w:trHeight w:val="1555"/>
        </w:trPr>
        <w:tc>
          <w:tcPr>
            <w:tcW w:w="3658" w:type="dxa"/>
            <w:tcBorders>
              <w:top w:val="single" w:sz="2" w:space="0" w:color="000000"/>
              <w:left w:val="single" w:sz="2" w:space="0" w:color="000000"/>
              <w:bottom w:val="single" w:sz="2" w:space="0" w:color="000000"/>
              <w:right w:val="single" w:sz="2" w:space="0" w:color="000000"/>
            </w:tcBorders>
          </w:tcPr>
          <w:p w14:paraId="089749ED" w14:textId="77777777" w:rsidR="00053D93" w:rsidRDefault="00260B75">
            <w:pPr>
              <w:ind w:right="10" w:firstLine="7"/>
              <w:jc w:val="both"/>
            </w:pPr>
            <w:r>
              <w:t>Saldo al 30 de septiembre de 2024 según reporte Sistema de Contabilidad Integrada Gubernamental -SICOIN-, Inventario de bienes muebles, publicado como información de oficio en [a página del Ministerio de Educación.</w:t>
            </w:r>
          </w:p>
        </w:tc>
        <w:tc>
          <w:tcPr>
            <w:tcW w:w="2222" w:type="dxa"/>
            <w:tcBorders>
              <w:top w:val="single" w:sz="2" w:space="0" w:color="000000"/>
              <w:left w:val="single" w:sz="2" w:space="0" w:color="000000"/>
              <w:bottom w:val="single" w:sz="2" w:space="0" w:color="000000"/>
              <w:right w:val="single" w:sz="2" w:space="0" w:color="000000"/>
            </w:tcBorders>
          </w:tcPr>
          <w:p w14:paraId="2EFBC053" w14:textId="77777777" w:rsidR="00053D93" w:rsidRDefault="00053D93"/>
        </w:tc>
        <w:tc>
          <w:tcPr>
            <w:tcW w:w="2578" w:type="dxa"/>
            <w:tcBorders>
              <w:top w:val="single" w:sz="2" w:space="0" w:color="000000"/>
              <w:left w:val="single" w:sz="2" w:space="0" w:color="000000"/>
              <w:bottom w:val="single" w:sz="2" w:space="0" w:color="000000"/>
              <w:right w:val="single" w:sz="2" w:space="0" w:color="000000"/>
            </w:tcBorders>
          </w:tcPr>
          <w:p w14:paraId="0B0DEA1D" w14:textId="77777777" w:rsidR="00053D93" w:rsidRDefault="00260B75">
            <w:pPr>
              <w:ind w:left="881"/>
            </w:pPr>
            <w:r>
              <w:rPr>
                <w:noProof/>
              </w:rPr>
              <w:drawing>
                <wp:inline distT="0" distB="0" distL="0" distR="0" wp14:anchorId="223DBD68" wp14:editId="3598006B">
                  <wp:extent cx="932688" cy="109727"/>
                  <wp:effectExtent l="0" t="0" r="0" b="0"/>
                  <wp:docPr id="1209151" name="Picture 1209151"/>
                  <wp:cNvGraphicFramePr/>
                  <a:graphic xmlns:a="http://schemas.openxmlformats.org/drawingml/2006/main">
                    <a:graphicData uri="http://schemas.openxmlformats.org/drawingml/2006/picture">
                      <pic:pic xmlns:pic="http://schemas.openxmlformats.org/drawingml/2006/picture">
                        <pic:nvPicPr>
                          <pic:cNvPr id="1209151" name="Picture 1209151"/>
                          <pic:cNvPicPr/>
                        </pic:nvPicPr>
                        <pic:blipFill>
                          <a:blip r:embed="rId1642"/>
                          <a:stretch>
                            <a:fillRect/>
                          </a:stretch>
                        </pic:blipFill>
                        <pic:spPr>
                          <a:xfrm>
                            <a:off x="0" y="0"/>
                            <a:ext cx="932688" cy="109727"/>
                          </a:xfrm>
                          <a:prstGeom prst="rect">
                            <a:avLst/>
                          </a:prstGeom>
                        </pic:spPr>
                      </pic:pic>
                    </a:graphicData>
                  </a:graphic>
                </wp:inline>
              </w:drawing>
            </w:r>
          </w:p>
        </w:tc>
      </w:tr>
      <w:tr w:rsidR="00053D93" w14:paraId="5B5D9F94" w14:textId="77777777">
        <w:trPr>
          <w:trHeight w:val="274"/>
        </w:trPr>
        <w:tc>
          <w:tcPr>
            <w:tcW w:w="3658" w:type="dxa"/>
            <w:tcBorders>
              <w:top w:val="single" w:sz="2" w:space="0" w:color="000000"/>
              <w:left w:val="single" w:sz="2" w:space="0" w:color="000000"/>
              <w:bottom w:val="single" w:sz="2" w:space="0" w:color="000000"/>
              <w:right w:val="single" w:sz="2" w:space="0" w:color="000000"/>
            </w:tcBorders>
          </w:tcPr>
          <w:p w14:paraId="01B3EAD5" w14:textId="77777777" w:rsidR="00053D93" w:rsidRDefault="00260B75">
            <w:r>
              <w:t>Diferencia</w:t>
            </w:r>
          </w:p>
        </w:tc>
        <w:tc>
          <w:tcPr>
            <w:tcW w:w="2222" w:type="dxa"/>
            <w:tcBorders>
              <w:top w:val="single" w:sz="2" w:space="0" w:color="000000"/>
              <w:left w:val="single" w:sz="2" w:space="0" w:color="000000"/>
              <w:bottom w:val="single" w:sz="2" w:space="0" w:color="000000"/>
              <w:right w:val="single" w:sz="2" w:space="0" w:color="000000"/>
            </w:tcBorders>
          </w:tcPr>
          <w:p w14:paraId="6E448F48" w14:textId="77777777" w:rsidR="00053D93" w:rsidRDefault="00260B75">
            <w:pPr>
              <w:ind w:left="526"/>
            </w:pPr>
            <w:r>
              <w:rPr>
                <w:noProof/>
              </w:rPr>
              <w:drawing>
                <wp:inline distT="0" distB="0" distL="0" distR="0" wp14:anchorId="2354E735" wp14:editId="0B36AA08">
                  <wp:extent cx="928116" cy="114300"/>
                  <wp:effectExtent l="0" t="0" r="0" b="0"/>
                  <wp:docPr id="1209006" name="Picture 1209006"/>
                  <wp:cNvGraphicFramePr/>
                  <a:graphic xmlns:a="http://schemas.openxmlformats.org/drawingml/2006/main">
                    <a:graphicData uri="http://schemas.openxmlformats.org/drawingml/2006/picture">
                      <pic:pic xmlns:pic="http://schemas.openxmlformats.org/drawingml/2006/picture">
                        <pic:nvPicPr>
                          <pic:cNvPr id="1209006" name="Picture 1209006"/>
                          <pic:cNvPicPr/>
                        </pic:nvPicPr>
                        <pic:blipFill>
                          <a:blip r:embed="rId1643"/>
                          <a:stretch>
                            <a:fillRect/>
                          </a:stretch>
                        </pic:blipFill>
                        <pic:spPr>
                          <a:xfrm>
                            <a:off x="0" y="0"/>
                            <a:ext cx="928116" cy="114300"/>
                          </a:xfrm>
                          <a:prstGeom prst="rect">
                            <a:avLst/>
                          </a:prstGeom>
                        </pic:spPr>
                      </pic:pic>
                    </a:graphicData>
                  </a:graphic>
                </wp:inline>
              </w:drawing>
            </w:r>
          </w:p>
        </w:tc>
        <w:tc>
          <w:tcPr>
            <w:tcW w:w="2578" w:type="dxa"/>
            <w:tcBorders>
              <w:top w:val="single" w:sz="2" w:space="0" w:color="000000"/>
              <w:left w:val="single" w:sz="2" w:space="0" w:color="000000"/>
              <w:bottom w:val="single" w:sz="2" w:space="0" w:color="000000"/>
              <w:right w:val="single" w:sz="2" w:space="0" w:color="000000"/>
            </w:tcBorders>
          </w:tcPr>
          <w:p w14:paraId="5739B18F" w14:textId="77777777" w:rsidR="00053D93" w:rsidRDefault="00053D93"/>
        </w:tc>
      </w:tr>
      <w:tr w:rsidR="00053D93" w14:paraId="075132C0" w14:textId="77777777">
        <w:trPr>
          <w:trHeight w:val="293"/>
        </w:trPr>
        <w:tc>
          <w:tcPr>
            <w:tcW w:w="3658" w:type="dxa"/>
            <w:tcBorders>
              <w:top w:val="single" w:sz="2" w:space="0" w:color="000000"/>
              <w:left w:val="single" w:sz="2" w:space="0" w:color="000000"/>
              <w:bottom w:val="single" w:sz="2" w:space="0" w:color="000000"/>
              <w:right w:val="single" w:sz="2" w:space="0" w:color="000000"/>
            </w:tcBorders>
          </w:tcPr>
          <w:p w14:paraId="31BFC86F" w14:textId="77777777" w:rsidR="00053D93" w:rsidRDefault="00260B75">
            <w:r>
              <w:rPr>
                <w:sz w:val="24"/>
              </w:rPr>
              <w:t>Saldos conciliados</w:t>
            </w:r>
          </w:p>
        </w:tc>
        <w:tc>
          <w:tcPr>
            <w:tcW w:w="2222" w:type="dxa"/>
            <w:tcBorders>
              <w:top w:val="single" w:sz="2" w:space="0" w:color="000000"/>
              <w:left w:val="single" w:sz="2" w:space="0" w:color="000000"/>
              <w:bottom w:val="single" w:sz="2" w:space="0" w:color="000000"/>
              <w:right w:val="single" w:sz="2" w:space="0" w:color="000000"/>
            </w:tcBorders>
          </w:tcPr>
          <w:p w14:paraId="257911BC" w14:textId="77777777" w:rsidR="00053D93" w:rsidRDefault="00260B75">
            <w:pPr>
              <w:ind w:left="526"/>
            </w:pPr>
            <w:r>
              <w:rPr>
                <w:noProof/>
              </w:rPr>
              <w:drawing>
                <wp:inline distT="0" distB="0" distL="0" distR="0" wp14:anchorId="4B25BD36" wp14:editId="01D8A553">
                  <wp:extent cx="928116" cy="114300"/>
                  <wp:effectExtent l="0" t="0" r="0" b="0"/>
                  <wp:docPr id="1209042" name="Picture 1209042"/>
                  <wp:cNvGraphicFramePr/>
                  <a:graphic xmlns:a="http://schemas.openxmlformats.org/drawingml/2006/main">
                    <a:graphicData uri="http://schemas.openxmlformats.org/drawingml/2006/picture">
                      <pic:pic xmlns:pic="http://schemas.openxmlformats.org/drawingml/2006/picture">
                        <pic:nvPicPr>
                          <pic:cNvPr id="1209042" name="Picture 1209042"/>
                          <pic:cNvPicPr/>
                        </pic:nvPicPr>
                        <pic:blipFill>
                          <a:blip r:embed="rId1644"/>
                          <a:stretch>
                            <a:fillRect/>
                          </a:stretch>
                        </pic:blipFill>
                        <pic:spPr>
                          <a:xfrm>
                            <a:off x="0" y="0"/>
                            <a:ext cx="928116" cy="114300"/>
                          </a:xfrm>
                          <a:prstGeom prst="rect">
                            <a:avLst/>
                          </a:prstGeom>
                        </pic:spPr>
                      </pic:pic>
                    </a:graphicData>
                  </a:graphic>
                </wp:inline>
              </w:drawing>
            </w:r>
          </w:p>
        </w:tc>
        <w:tc>
          <w:tcPr>
            <w:tcW w:w="2578" w:type="dxa"/>
            <w:tcBorders>
              <w:top w:val="single" w:sz="2" w:space="0" w:color="000000"/>
              <w:left w:val="single" w:sz="2" w:space="0" w:color="000000"/>
              <w:bottom w:val="single" w:sz="2" w:space="0" w:color="000000"/>
              <w:right w:val="single" w:sz="2" w:space="0" w:color="000000"/>
            </w:tcBorders>
          </w:tcPr>
          <w:p w14:paraId="30AA10BF" w14:textId="77777777" w:rsidR="00053D93" w:rsidRDefault="00260B75">
            <w:pPr>
              <w:ind w:left="874"/>
            </w:pPr>
            <w:r>
              <w:rPr>
                <w:noProof/>
              </w:rPr>
              <w:drawing>
                <wp:inline distT="0" distB="0" distL="0" distR="0" wp14:anchorId="6F4B196C" wp14:editId="2F1B2DE3">
                  <wp:extent cx="932688" cy="114300"/>
                  <wp:effectExtent l="0" t="0" r="0" b="0"/>
                  <wp:docPr id="1209079" name="Picture 1209079"/>
                  <wp:cNvGraphicFramePr/>
                  <a:graphic xmlns:a="http://schemas.openxmlformats.org/drawingml/2006/main">
                    <a:graphicData uri="http://schemas.openxmlformats.org/drawingml/2006/picture">
                      <pic:pic xmlns:pic="http://schemas.openxmlformats.org/drawingml/2006/picture">
                        <pic:nvPicPr>
                          <pic:cNvPr id="1209079" name="Picture 1209079"/>
                          <pic:cNvPicPr/>
                        </pic:nvPicPr>
                        <pic:blipFill>
                          <a:blip r:embed="rId1645"/>
                          <a:stretch>
                            <a:fillRect/>
                          </a:stretch>
                        </pic:blipFill>
                        <pic:spPr>
                          <a:xfrm>
                            <a:off x="0" y="0"/>
                            <a:ext cx="932688" cy="114300"/>
                          </a:xfrm>
                          <a:prstGeom prst="rect">
                            <a:avLst/>
                          </a:prstGeom>
                        </pic:spPr>
                      </pic:pic>
                    </a:graphicData>
                  </a:graphic>
                </wp:inline>
              </w:drawing>
            </w:r>
          </w:p>
        </w:tc>
      </w:tr>
    </w:tbl>
    <w:p w14:paraId="5114AE8A" w14:textId="77777777" w:rsidR="00053D93" w:rsidRDefault="00260B75">
      <w:pPr>
        <w:spacing w:after="60" w:line="265" w:lineRule="auto"/>
        <w:ind w:left="1673" w:hanging="10"/>
      </w:pPr>
      <w:r>
        <w:rPr>
          <w:sz w:val="18"/>
        </w:rPr>
        <w:t>Fuente: Libro de Inventarios, Reporte Sistema de Contabilidad Integrada Gubernamental -SICOIN-, publicado como</w:t>
      </w:r>
    </w:p>
    <w:p w14:paraId="2178C637" w14:textId="77777777" w:rsidR="00053D93" w:rsidRDefault="00260B75">
      <w:pPr>
        <w:spacing w:after="474" w:line="265" w:lineRule="auto"/>
        <w:ind w:left="1673" w:hanging="10"/>
      </w:pPr>
      <w:r>
        <w:rPr>
          <w:sz w:val="18"/>
        </w:rPr>
        <w:t>Información de Oficio, en ta página del Ministerio de Educación.</w:t>
      </w:r>
    </w:p>
    <w:p w14:paraId="3158FCE7" w14:textId="77777777" w:rsidR="00053D93" w:rsidRDefault="00260B75">
      <w:pPr>
        <w:spacing w:after="3" w:line="256" w:lineRule="auto"/>
        <w:ind w:left="1620" w:firstLine="1080"/>
      </w:pPr>
      <w:r>
        <w:rPr>
          <w:noProof/>
        </w:rPr>
        <w:drawing>
          <wp:inline distT="0" distB="0" distL="0" distR="0" wp14:anchorId="40BC2C5D" wp14:editId="0DFECFE5">
            <wp:extent cx="201168" cy="105156"/>
            <wp:effectExtent l="0" t="0" r="0" b="0"/>
            <wp:docPr id="2458924" name="Picture 2458924"/>
            <wp:cNvGraphicFramePr/>
            <a:graphic xmlns:a="http://schemas.openxmlformats.org/drawingml/2006/main">
              <a:graphicData uri="http://schemas.openxmlformats.org/drawingml/2006/picture">
                <pic:pic xmlns:pic="http://schemas.openxmlformats.org/drawingml/2006/picture">
                  <pic:nvPicPr>
                    <pic:cNvPr id="2458924" name="Picture 2458924"/>
                    <pic:cNvPicPr/>
                  </pic:nvPicPr>
                  <pic:blipFill>
                    <a:blip r:embed="rId1646"/>
                    <a:stretch>
                      <a:fillRect/>
                    </a:stretch>
                  </pic:blipFill>
                  <pic:spPr>
                    <a:xfrm>
                      <a:off x="0" y="0"/>
                      <a:ext cx="201168" cy="105156"/>
                    </a:xfrm>
                    <a:prstGeom prst="rect">
                      <a:avLst/>
                    </a:prstGeom>
                  </pic:spPr>
                </pic:pic>
              </a:graphicData>
            </a:graphic>
          </wp:inline>
        </w:drawing>
      </w:r>
      <w:r>
        <w:rPr>
          <w:sz w:val="26"/>
        </w:rPr>
        <w:t>mismo</w:t>
      </w:r>
      <w:r>
        <w:rPr>
          <w:sz w:val="26"/>
        </w:rPr>
        <w:tab/>
        <w:t>contexto,</w:t>
      </w:r>
      <w:r>
        <w:rPr>
          <w:sz w:val="26"/>
        </w:rPr>
        <w:tab/>
        <w:t>a</w:t>
      </w:r>
      <w:r>
        <w:rPr>
          <w:sz w:val="26"/>
        </w:rPr>
        <w:tab/>
        <w:t>través</w:t>
      </w:r>
      <w:r>
        <w:rPr>
          <w:sz w:val="26"/>
        </w:rPr>
        <w:tab/>
        <w:t xml:space="preserve">del </w:t>
      </w:r>
      <w:r>
        <w:rPr>
          <w:sz w:val="26"/>
        </w:rPr>
        <w:tab/>
        <w:t>Oficio</w:t>
      </w:r>
      <w:r>
        <w:rPr>
          <w:sz w:val="26"/>
        </w:rPr>
        <w:tab/>
        <w:t>No. CGC-DAS-03-0037-AFC-MlNEDUC-DlGECADE-18-2024, del 29 de octubre de 2024; se solicitó lo siguiente: indicar los motivos, causas y razones del por qué existe esa diferencia y detallar los activos fijos que conforman esa diferencia en formato PDF y EXCEL. El 07 de noviembre de 2024 se recibió el Oficio No.</w:t>
      </w:r>
    </w:p>
    <w:p w14:paraId="3DEB0A5A" w14:textId="77777777" w:rsidR="00053D93" w:rsidRDefault="00260B75">
      <w:pPr>
        <w:spacing w:after="23"/>
        <w:ind w:left="1692" w:right="-230"/>
      </w:pPr>
      <w:r>
        <w:rPr>
          <w:noProof/>
        </w:rPr>
        <w:drawing>
          <wp:inline distT="0" distB="0" distL="0" distR="0" wp14:anchorId="037A2B15" wp14:editId="00D38286">
            <wp:extent cx="5513833" cy="36576"/>
            <wp:effectExtent l="0" t="0" r="0" b="0"/>
            <wp:docPr id="2458927" name="Picture 2458927"/>
            <wp:cNvGraphicFramePr/>
            <a:graphic xmlns:a="http://schemas.openxmlformats.org/drawingml/2006/main">
              <a:graphicData uri="http://schemas.openxmlformats.org/drawingml/2006/picture">
                <pic:pic xmlns:pic="http://schemas.openxmlformats.org/drawingml/2006/picture">
                  <pic:nvPicPr>
                    <pic:cNvPr id="2458927" name="Picture 2458927"/>
                    <pic:cNvPicPr/>
                  </pic:nvPicPr>
                  <pic:blipFill>
                    <a:blip r:embed="rId1647"/>
                    <a:stretch>
                      <a:fillRect/>
                    </a:stretch>
                  </pic:blipFill>
                  <pic:spPr>
                    <a:xfrm>
                      <a:off x="0" y="0"/>
                      <a:ext cx="5513833" cy="36576"/>
                    </a:xfrm>
                    <a:prstGeom prst="rect">
                      <a:avLst/>
                    </a:prstGeom>
                  </pic:spPr>
                </pic:pic>
              </a:graphicData>
            </a:graphic>
          </wp:inline>
        </w:drawing>
      </w:r>
    </w:p>
    <w:p w14:paraId="7CF8EFC4" w14:textId="77777777" w:rsidR="00053D93" w:rsidRDefault="00260B75">
      <w:pPr>
        <w:spacing w:after="662" w:line="269" w:lineRule="auto"/>
        <w:ind w:left="60" w:right="14" w:hanging="3"/>
        <w:jc w:val="both"/>
      </w:pPr>
      <w:r>
        <w:rPr>
          <w:sz w:val="26"/>
        </w:rPr>
        <w:t>1 DIGECADE-SAF/660-2024, en el que emiten respuesta a lo solicitado, manifestando que están haciendo la revisión en conjunto para identificar y 1 documentar los activos que generaron esta discrepancia y que están coordinado la verificación y conciliación de los registros para ajustar los saldos de manera precisa; asimismo, que se encuentran analizando y recopilando la información de 1 los activos fijos involucrados en la diferencia detectada, derivado que, el Libro de Inventarios cuenta con registros hasta el año 2018.</w:t>
      </w:r>
    </w:p>
    <w:p w14:paraId="75132092" w14:textId="77777777" w:rsidR="00053D93" w:rsidRDefault="00260B75">
      <w:pPr>
        <w:tabs>
          <w:tab w:val="center" w:pos="2099"/>
        </w:tabs>
        <w:spacing w:after="4" w:line="266" w:lineRule="auto"/>
      </w:pPr>
      <w:r>
        <w:rPr>
          <w:sz w:val="28"/>
        </w:rPr>
        <w:t>1</w:t>
      </w:r>
      <w:r>
        <w:rPr>
          <w:sz w:val="28"/>
        </w:rPr>
        <w:tab/>
        <w:t>Criterio</w:t>
      </w:r>
    </w:p>
    <w:p w14:paraId="79D5704E" w14:textId="77777777" w:rsidR="00053D93" w:rsidRDefault="00260B75">
      <w:pPr>
        <w:spacing w:after="4" w:line="216" w:lineRule="auto"/>
        <w:ind w:left="57" w:right="14" w:firstLine="1685"/>
        <w:jc w:val="both"/>
      </w:pPr>
      <w:r>
        <w:rPr>
          <w:sz w:val="26"/>
        </w:rPr>
        <w:t>El Decreto Número 101-97, del Congreso de la República de Guatemala, Ley 1 Orgánica del Presupuesto,... artículo 42 Bis. Uso de los Sistemas S[AF, establece:</w:t>
      </w:r>
    </w:p>
    <w:p w14:paraId="0C425680" w14:textId="77777777" w:rsidR="00053D93" w:rsidRDefault="00260B75">
      <w:pPr>
        <w:spacing w:after="4" w:line="216" w:lineRule="auto"/>
        <w:ind w:left="57" w:right="14" w:firstLine="1678"/>
        <w:jc w:val="both"/>
      </w:pPr>
      <w:r>
        <w:rPr>
          <w:sz w:val="26"/>
        </w:rPr>
        <w:t>"Todas tas entidades del sector público, incluyendo las de Administración Central, Descentralizadas, Autónomas y Empresas Públicas, particularmente las 1 Municipalidades, los Organismos del Estado, Federaciones y Confederaciones</w:t>
      </w:r>
    </w:p>
    <w:tbl>
      <w:tblPr>
        <w:tblStyle w:val="TableGrid"/>
        <w:tblpPr w:vertAnchor="page" w:horzAnchor="page" w:tblpX="2885" w:tblpY="14508"/>
        <w:tblOverlap w:val="never"/>
        <w:tblW w:w="7620" w:type="dxa"/>
        <w:tblInd w:w="0" w:type="dxa"/>
        <w:tblCellMar>
          <w:top w:w="31" w:type="dxa"/>
          <w:left w:w="1738" w:type="dxa"/>
          <w:right w:w="115" w:type="dxa"/>
        </w:tblCellMar>
        <w:tblLook w:val="04A0" w:firstRow="1" w:lastRow="0" w:firstColumn="1" w:lastColumn="0" w:noHBand="0" w:noVBand="1"/>
      </w:tblPr>
      <w:tblGrid>
        <w:gridCol w:w="7620"/>
      </w:tblGrid>
      <w:tr w:rsidR="00053D93" w14:paraId="7755ADBF" w14:textId="77777777">
        <w:trPr>
          <w:trHeight w:val="36"/>
        </w:trPr>
        <w:tc>
          <w:tcPr>
            <w:tcW w:w="7620" w:type="dxa"/>
            <w:tcBorders>
              <w:top w:val="nil"/>
              <w:left w:val="single" w:sz="2" w:space="0" w:color="000000"/>
              <w:bottom w:val="single" w:sz="2" w:space="0" w:color="000000"/>
              <w:right w:val="nil"/>
            </w:tcBorders>
          </w:tcPr>
          <w:p w14:paraId="67FD3135" w14:textId="77777777" w:rsidR="00053D93" w:rsidRDefault="00053D93"/>
        </w:tc>
      </w:tr>
      <w:tr w:rsidR="00053D93" w14:paraId="3640ADD3" w14:textId="77777777">
        <w:trPr>
          <w:trHeight w:val="605"/>
        </w:trPr>
        <w:tc>
          <w:tcPr>
            <w:tcW w:w="7620" w:type="dxa"/>
            <w:tcBorders>
              <w:top w:val="single" w:sz="2" w:space="0" w:color="000000"/>
              <w:left w:val="single" w:sz="2" w:space="0" w:color="000000"/>
              <w:bottom w:val="nil"/>
              <w:right w:val="nil"/>
            </w:tcBorders>
          </w:tcPr>
          <w:p w14:paraId="2CF75D04" w14:textId="77777777" w:rsidR="00053D93" w:rsidRDefault="00260B75">
            <w:pPr>
              <w:ind w:left="835"/>
            </w:pPr>
            <w:r>
              <w:rPr>
                <w:sz w:val="14"/>
              </w:rPr>
              <w:t>MINISTERIO DE EDUCACION</w:t>
            </w:r>
          </w:p>
          <w:p w14:paraId="28B83A32" w14:textId="77777777" w:rsidR="00053D93" w:rsidRDefault="00260B75">
            <w:pPr>
              <w:ind w:left="338"/>
            </w:pPr>
            <w:r>
              <w:rPr>
                <w:sz w:val="14"/>
              </w:rPr>
              <w:t>AUDITORfA FINANCIERA Y DE CUMPLIMIENTO</w:t>
            </w:r>
          </w:p>
          <w:p w14:paraId="3E9D5E8A" w14:textId="77777777" w:rsidR="00053D93" w:rsidRDefault="00260B75">
            <w:r>
              <w:rPr>
                <w:sz w:val="14"/>
              </w:rPr>
              <w:t>PERIODO DEL DE ENERO AL 31 DE DICIEMBRE DE 2024</w:t>
            </w:r>
          </w:p>
        </w:tc>
      </w:tr>
    </w:tbl>
    <w:p w14:paraId="6A593B63" w14:textId="77777777" w:rsidR="00053D93" w:rsidRDefault="00260B75">
      <w:pPr>
        <w:spacing w:after="196" w:line="269" w:lineRule="auto"/>
        <w:ind w:left="57" w:right="14" w:firstLine="1685"/>
        <w:jc w:val="both"/>
      </w:pPr>
      <w:r>
        <w:rPr>
          <w:noProof/>
        </w:rPr>
        <w:drawing>
          <wp:anchor distT="0" distB="0" distL="114300" distR="114300" simplePos="0" relativeHeight="252280832" behindDoc="0" locked="0" layoutInCell="1" allowOverlap="0" wp14:anchorId="4D430381" wp14:editId="1EEA47E1">
            <wp:simplePos x="0" y="0"/>
            <wp:positionH relativeFrom="page">
              <wp:posOffset>681228</wp:posOffset>
            </wp:positionH>
            <wp:positionV relativeFrom="page">
              <wp:posOffset>9212580</wp:posOffset>
            </wp:positionV>
            <wp:extent cx="1129284" cy="406907"/>
            <wp:effectExtent l="0" t="0" r="0" b="0"/>
            <wp:wrapTopAndBottom/>
            <wp:docPr id="1212594" name="Picture 1212594"/>
            <wp:cNvGraphicFramePr/>
            <a:graphic xmlns:a="http://schemas.openxmlformats.org/drawingml/2006/main">
              <a:graphicData uri="http://schemas.openxmlformats.org/drawingml/2006/picture">
                <pic:pic xmlns:pic="http://schemas.openxmlformats.org/drawingml/2006/picture">
                  <pic:nvPicPr>
                    <pic:cNvPr id="1212594" name="Picture 1212594"/>
                    <pic:cNvPicPr/>
                  </pic:nvPicPr>
                  <pic:blipFill>
                    <a:blip r:embed="rId1648"/>
                    <a:stretch>
                      <a:fillRect/>
                    </a:stretch>
                  </pic:blipFill>
                  <pic:spPr>
                    <a:xfrm>
                      <a:off x="0" y="0"/>
                      <a:ext cx="1129284" cy="406907"/>
                    </a:xfrm>
                    <a:prstGeom prst="rect">
                      <a:avLst/>
                    </a:prstGeom>
                  </pic:spPr>
                </pic:pic>
              </a:graphicData>
            </a:graphic>
          </wp:anchor>
        </w:drawing>
      </w:r>
      <w:r>
        <w:rPr>
          <w:noProof/>
        </w:rPr>
        <mc:AlternateContent>
          <mc:Choice Requires="wpg">
            <w:drawing>
              <wp:anchor distT="0" distB="0" distL="114300" distR="114300" simplePos="0" relativeHeight="252281856" behindDoc="0" locked="0" layoutInCell="1" allowOverlap="1" wp14:anchorId="1CD443C7" wp14:editId="1638F63F">
                <wp:simplePos x="0" y="0"/>
                <wp:positionH relativeFrom="column">
                  <wp:posOffset>13716</wp:posOffset>
                </wp:positionH>
                <wp:positionV relativeFrom="paragraph">
                  <wp:posOffset>229927</wp:posOffset>
                </wp:positionV>
                <wp:extent cx="137160" cy="310896"/>
                <wp:effectExtent l="0" t="0" r="0" b="0"/>
                <wp:wrapSquare wrapText="bothSides"/>
                <wp:docPr id="2457595" name="Group 2457595"/>
                <wp:cNvGraphicFramePr/>
                <a:graphic xmlns:a="http://schemas.openxmlformats.org/drawingml/2006/main">
                  <a:graphicData uri="http://schemas.microsoft.com/office/word/2010/wordprocessingGroup">
                    <wpg:wgp>
                      <wpg:cNvGrpSpPr/>
                      <wpg:grpSpPr>
                        <a:xfrm>
                          <a:off x="0" y="0"/>
                          <a:ext cx="137160" cy="310896"/>
                          <a:chOff x="0" y="0"/>
                          <a:chExt cx="137160" cy="310896"/>
                        </a:xfrm>
                      </wpg:grpSpPr>
                      <wps:wsp>
                        <wps:cNvPr id="1209841" name="Rectangle 1209841"/>
                        <wps:cNvSpPr/>
                        <wps:spPr>
                          <a:xfrm>
                            <a:off x="0" y="0"/>
                            <a:ext cx="182423" cy="413492"/>
                          </a:xfrm>
                          <a:prstGeom prst="rect">
                            <a:avLst/>
                          </a:prstGeom>
                          <a:ln>
                            <a:noFill/>
                          </a:ln>
                        </wps:spPr>
                        <wps:txbx>
                          <w:txbxContent>
                            <w:p w14:paraId="69E1D99C" w14:textId="77777777" w:rsidR="00053D93" w:rsidRDefault="00260B75">
                              <w:r>
                                <w:rPr>
                                  <w:sz w:val="82"/>
                                </w:rPr>
                                <w:t>1</w:t>
                              </w:r>
                            </w:p>
                          </w:txbxContent>
                        </wps:txbx>
                        <wps:bodyPr horzOverflow="overflow" vert="horz" lIns="0" tIns="0" rIns="0" bIns="0" rtlCol="0">
                          <a:noAutofit/>
                        </wps:bodyPr>
                      </wps:wsp>
                    </wpg:wgp>
                  </a:graphicData>
                </a:graphic>
              </wp:anchor>
            </w:drawing>
          </mc:Choice>
          <mc:Fallback>
            <w:pict>
              <v:group w14:anchorId="1CD443C7" id="Group 2457595" o:spid="_x0000_s1731" style="position:absolute;left:0;text-align:left;margin-left:1.1pt;margin-top:18.1pt;width:10.8pt;height:24.5pt;z-index:252281856;mso-position-horizontal-relative:text;mso-position-vertical-relative:text" coordsize="137160,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">
                <v:rect id="Rectangle 1209841" o:spid="_x0000_s1732" style="position:absolute;width:182423;height:41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" filled="f" stroked="f">
                  <v:textbox inset="0,0,0,0">
                    <w:txbxContent>
                      <w:p w14:paraId="69E1D99C" w14:textId="77777777" w:rsidR="00053D93" w:rsidRDefault="00260B75">
                        <w:r>
                          <w:rPr>
                            <w:sz w:val="82"/>
                          </w:rPr>
                          <w:t>1</w:t>
                        </w:r>
                      </w:p>
                    </w:txbxContent>
                  </v:textbox>
                </v:rect>
                <w10:wrap type="square"/>
              </v:group>
            </w:pict>
          </mc:Fallback>
        </mc:AlternateContent>
      </w:r>
      <w:r>
        <w:rPr>
          <w:sz w:val="26"/>
        </w:rPr>
        <w:t>Deportivas, Consejos de Desarrollo, Instituto de Fomento Municipal, Fideicomisos Constituidos con Fondos Públicos, Organismos Regionales e Internacionales, Organizaciones No Gubernamentales, entre otros, que ejecuten fondos públicos, están obligadas a usar los Sistemas Integrados de Administración Financiera 1 vigentes." ...Artículo 48. El sistema de contabilidad, establece: "El sistema de contabilidad integrada gubernamental lo constituyen el conjunto de principios, órganos, normas y procedimientos que permitan el registro de los hechos que tienen efectos presupuestarios, patrimoniales y en los flujos de fondos inherentes a las operaciones del Estado, con el objeto de satisfacer las necesidades de 1 información destinadas a apoyar el proceso de toma de decisiones de [a administración y el ejercicio del control, así como informar a terceros y a la comunidad sobre la marcha de la gestión pública."</w:t>
      </w:r>
    </w:p>
    <w:p w14:paraId="7C482698" w14:textId="77777777" w:rsidR="00053D93" w:rsidRDefault="00260B75">
      <w:pPr>
        <w:spacing w:after="3"/>
        <w:ind w:left="24" w:hanging="10"/>
      </w:pPr>
      <w:r>
        <w:rPr>
          <w:sz w:val="72"/>
        </w:rPr>
        <w:t>1</w:t>
      </w:r>
    </w:p>
    <w:p w14:paraId="76FD890E" w14:textId="77777777" w:rsidR="00053D93" w:rsidRDefault="00260B75">
      <w:pPr>
        <w:spacing w:after="373" w:line="216" w:lineRule="auto"/>
        <w:ind w:left="57" w:right="14" w:firstLine="1656"/>
        <w:jc w:val="both"/>
      </w:pPr>
      <w:r>
        <w:rPr>
          <w:noProof/>
        </w:rPr>
        <mc:AlternateContent>
          <mc:Choice Requires="wpg">
            <w:drawing>
              <wp:anchor distT="0" distB="0" distL="114300" distR="114300" simplePos="0" relativeHeight="252282880" behindDoc="0" locked="0" layoutInCell="1" allowOverlap="1" wp14:anchorId="224B9745" wp14:editId="48F6F760">
                <wp:simplePos x="0" y="0"/>
                <wp:positionH relativeFrom="column">
                  <wp:posOffset>36576</wp:posOffset>
                </wp:positionH>
                <wp:positionV relativeFrom="paragraph">
                  <wp:posOffset>813414</wp:posOffset>
                </wp:positionV>
                <wp:extent cx="114300" cy="301752"/>
                <wp:effectExtent l="0" t="0" r="0" b="0"/>
                <wp:wrapSquare wrapText="bothSides"/>
                <wp:docPr id="2457597" name="Group 2457597"/>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1209846" name="Rectangle 1209846"/>
                        <wps:cNvSpPr/>
                        <wps:spPr>
                          <a:xfrm>
                            <a:off x="0" y="0"/>
                            <a:ext cx="152019" cy="401330"/>
                          </a:xfrm>
                          <a:prstGeom prst="rect">
                            <a:avLst/>
                          </a:prstGeom>
                          <a:ln>
                            <a:noFill/>
                          </a:ln>
                        </wps:spPr>
                        <wps:txbx>
                          <w:txbxContent>
                            <w:p w14:paraId="218462B3"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224B9745" id="Group 2457597" o:spid="_x0000_s1733" style="position:absolute;left:0;text-align:left;margin-left:2.9pt;margin-top:64.05pt;width:9pt;height:23.75pt;z-index:252282880;mso-position-horizontal-relative:text;mso-position-vertical-relative:text"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">
                <v:rect id="Rectangle 1209846" o:spid="_x0000_s173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" filled="f" stroked="f">
                  <v:textbox inset="0,0,0,0">
                    <w:txbxContent>
                      <w:p w14:paraId="218462B3" w14:textId="77777777" w:rsidR="00053D93" w:rsidRDefault="00260B75">
                        <w:r>
                          <w:rPr>
                            <w:sz w:val="70"/>
                          </w:rPr>
                          <w:t>1</w:t>
                        </w:r>
                      </w:p>
                    </w:txbxContent>
                  </v:textbox>
                </v:rect>
                <w10:wrap type="square"/>
              </v:group>
            </w:pict>
          </mc:Fallback>
        </mc:AlternateContent>
      </w:r>
      <w:r>
        <w:rPr>
          <w:sz w:val="26"/>
        </w:rPr>
        <w:t xml:space="preserve">El Acuerdo Ministerial Número 50-2022, del Ministro de Finanzas Públicas, artículo 1 . Aprobación, establece: "Aprobar el Manual de Inventarios de Activos Fijos en el </w:t>
      </w:r>
      <w:r>
        <w:rPr>
          <w:noProof/>
        </w:rPr>
        <mc:AlternateContent>
          <mc:Choice Requires="wpg">
            <w:drawing>
              <wp:inline distT="0" distB="0" distL="0" distR="0" wp14:anchorId="457CF863" wp14:editId="6651D7FD">
                <wp:extent cx="118872" cy="301752"/>
                <wp:effectExtent l="0" t="0" r="0" b="0"/>
                <wp:docPr id="2457596" name="Group 2457596"/>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1209845" name="Rectangle 1209845"/>
                        <wps:cNvSpPr/>
                        <wps:spPr>
                          <a:xfrm>
                            <a:off x="0" y="0"/>
                            <a:ext cx="158100" cy="401330"/>
                          </a:xfrm>
                          <a:prstGeom prst="rect">
                            <a:avLst/>
                          </a:prstGeom>
                          <a:ln>
                            <a:noFill/>
                          </a:ln>
                        </wps:spPr>
                        <wps:txbx>
                          <w:txbxContent>
                            <w:p w14:paraId="043D08EC"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457CF863" id="Group 2457596" o:spid="_x0000_s1735"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">
                <v:rect id="Rectangle 1209845" o:spid="_x0000_s1736"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" filled="f" stroked="f">
                  <v:textbox inset="0,0,0,0">
                    <w:txbxContent>
                      <w:p w14:paraId="043D08EC" w14:textId="77777777" w:rsidR="00053D93" w:rsidRDefault="00260B75">
                        <w:r>
                          <w:rPr>
                            <w:sz w:val="72"/>
                          </w:rPr>
                          <w:t>1</w:t>
                        </w:r>
                      </w:p>
                    </w:txbxContent>
                  </v:textbox>
                </v:rect>
                <w10:anchorlock/>
              </v:group>
            </w:pict>
          </mc:Fallback>
        </mc:AlternateContent>
      </w:r>
      <w:r>
        <w:rPr>
          <w:sz w:val="26"/>
        </w:rPr>
        <w:t xml:space="preserve"> SICOIN WEB, que será utilizado a través del Sistema de Contabilidad Integrada SiCOIN WEB, para la Presidencia de la República, Ministerios de Estado, Secretarías y otras dependencias del Ejecutivo; Entidades Descentralizadas y Autónomas." Artículo 2. Obligatoriedad, establece: "Los procedimientos señalados en el Manual de Inventarios de Activos Fijos en el SICOIN WEB, serán de 1 cumplimiento obligatorio para la Presidencia de la República, Ministerios de Estado, Secretarías y otras dependencias del Ejecutivo; Entidades Descentralizadas y Autónomas, así como de las entidades que se adscriban al uso </w:t>
      </w:r>
      <w:r>
        <w:rPr>
          <w:noProof/>
        </w:rPr>
        <mc:AlternateContent>
          <mc:Choice Requires="wpg">
            <w:drawing>
              <wp:inline distT="0" distB="0" distL="0" distR="0" wp14:anchorId="6CD7DF92" wp14:editId="30A8DC00">
                <wp:extent cx="781812" cy="301752"/>
                <wp:effectExtent l="0" t="0" r="0" b="0"/>
                <wp:docPr id="2458926" name="Group 2458926"/>
                <wp:cNvGraphicFramePr/>
                <a:graphic xmlns:a="http://schemas.openxmlformats.org/drawingml/2006/main">
                  <a:graphicData uri="http://schemas.microsoft.com/office/word/2010/wordprocessingGroup">
                    <wpg:wgp>
                      <wpg:cNvGrpSpPr/>
                      <wpg:grpSpPr>
                        <a:xfrm>
                          <a:off x="0" y="0"/>
                          <a:ext cx="781812" cy="301752"/>
                          <a:chOff x="0" y="0"/>
                          <a:chExt cx="781812" cy="301752"/>
                        </a:xfrm>
                      </wpg:grpSpPr>
                      <pic:pic xmlns:pic="http://schemas.openxmlformats.org/drawingml/2006/picture">
                        <pic:nvPicPr>
                          <pic:cNvPr id="2458929" name="Picture 2458929"/>
                          <pic:cNvPicPr/>
                        </pic:nvPicPr>
                        <pic:blipFill>
                          <a:blip r:embed="rId93"/>
                          <a:stretch>
                            <a:fillRect/>
                          </a:stretch>
                        </pic:blipFill>
                        <pic:spPr>
                          <a:xfrm>
                            <a:off x="772668" y="128016"/>
                            <a:ext cx="9144" cy="9144"/>
                          </a:xfrm>
                          <a:prstGeom prst="rect">
                            <a:avLst/>
                          </a:prstGeom>
                        </pic:spPr>
                      </pic:pic>
                      <wps:wsp>
                        <wps:cNvPr id="1209848" name="Rectangle 1209848"/>
                        <wps:cNvSpPr/>
                        <wps:spPr>
                          <a:xfrm>
                            <a:off x="0" y="0"/>
                            <a:ext cx="158100" cy="401330"/>
                          </a:xfrm>
                          <a:prstGeom prst="rect">
                            <a:avLst/>
                          </a:prstGeom>
                          <a:ln>
                            <a:noFill/>
                          </a:ln>
                        </wps:spPr>
                        <wps:txbx>
                          <w:txbxContent>
                            <w:p w14:paraId="7B23446C"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6CD7DF92" id="Group 2458926" o:spid="_x0000_s1737" style="width:61.55pt;height:23.75pt;mso-position-horizontal-relative:char;mso-position-vertical-relative:line" coordsize="7818,30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">
                <v:shape id="Picture 2458929" o:spid="_x0000_s1738" type="#_x0000_t75" style="position:absolute;left:7726;top:1280;width:92;height: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">
                  <v:imagedata r:id="rId1649" o:title=""/>
                </v:shape>
                <v:rect id="Rectangle 1209848" o:spid="_x0000_s1739" style="position:absolute;width:1581;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" filled="f" stroked="f">
                  <v:textbox inset="0,0,0,0">
                    <w:txbxContent>
                      <w:p w14:paraId="7B23446C" w14:textId="77777777" w:rsidR="00053D93" w:rsidRDefault="00260B75">
                        <w:r>
                          <w:rPr>
                            <w:sz w:val="72"/>
                          </w:rPr>
                          <w:t>1</w:t>
                        </w:r>
                      </w:p>
                    </w:txbxContent>
                  </v:textbox>
                </v:rect>
                <w10:anchorlock/>
              </v:group>
            </w:pict>
          </mc:Fallback>
        </mc:AlternateContent>
      </w:r>
      <w:r>
        <w:rPr>
          <w:sz w:val="26"/>
        </w:rPr>
        <w:t>del SICOIN WEB."</w:t>
      </w:r>
    </w:p>
    <w:p w14:paraId="777FD764" w14:textId="77777777" w:rsidR="00053D93" w:rsidRDefault="00260B75">
      <w:pPr>
        <w:spacing w:after="4" w:line="482" w:lineRule="auto"/>
        <w:ind w:left="1684" w:right="14" w:hanging="1627"/>
        <w:jc w:val="both"/>
      </w:pPr>
      <w:r>
        <w:rPr>
          <w:sz w:val="26"/>
        </w:rPr>
        <w:t>1 Ei Manual de Inventarios Activos Fijos en el SICOIN WEB, de la Dirección de Contabilidad del Estado del Ministerio de Finanzas Públicas. Sección.</w:t>
      </w:r>
    </w:p>
    <w:p w14:paraId="7E771A86" w14:textId="77777777" w:rsidR="00053D93" w:rsidRDefault="00260B75">
      <w:pPr>
        <w:spacing w:after="3" w:line="269" w:lineRule="auto"/>
        <w:ind w:left="67" w:right="14" w:hanging="10"/>
        <w:jc w:val="right"/>
      </w:pPr>
      <w:r>
        <w:rPr>
          <w:sz w:val="26"/>
        </w:rPr>
        <w:t>Responsables, establece: "El Encargado de Inventario de cada Entidad, Unidad</w:t>
      </w:r>
    </w:p>
    <w:p w14:paraId="3A4188FB" w14:textId="77777777" w:rsidR="00053D93" w:rsidRDefault="00260B75">
      <w:pPr>
        <w:spacing w:after="3" w:line="269" w:lineRule="auto"/>
        <w:ind w:left="67" w:right="14" w:hanging="10"/>
        <w:jc w:val="right"/>
      </w:pPr>
      <w:r>
        <w:rPr>
          <w:sz w:val="26"/>
        </w:rPr>
        <w:t>Ejecutora o Unidad Desconcentrada, será el responsable del registro de los</w:t>
      </w:r>
    </w:p>
    <w:p w14:paraId="7F30DA39" w14:textId="77777777" w:rsidR="00053D93" w:rsidRDefault="00260B75">
      <w:pPr>
        <w:spacing w:after="43"/>
        <w:ind w:left="1649" w:right="-295"/>
      </w:pPr>
      <w:r>
        <w:rPr>
          <w:noProof/>
        </w:rPr>
        <w:drawing>
          <wp:inline distT="0" distB="0" distL="0" distR="0" wp14:anchorId="590CBE7F" wp14:editId="58F4E773">
            <wp:extent cx="5559552" cy="22860"/>
            <wp:effectExtent l="0" t="0" r="0" b="0"/>
            <wp:docPr id="2458930" name="Picture 2458930"/>
            <wp:cNvGraphicFramePr/>
            <a:graphic xmlns:a="http://schemas.openxmlformats.org/drawingml/2006/main">
              <a:graphicData uri="http://schemas.openxmlformats.org/drawingml/2006/picture">
                <pic:pic xmlns:pic="http://schemas.openxmlformats.org/drawingml/2006/picture">
                  <pic:nvPicPr>
                    <pic:cNvPr id="2458930" name="Picture 2458930"/>
                    <pic:cNvPicPr/>
                  </pic:nvPicPr>
                  <pic:blipFill>
                    <a:blip r:embed="rId1650"/>
                    <a:stretch>
                      <a:fillRect/>
                    </a:stretch>
                  </pic:blipFill>
                  <pic:spPr>
                    <a:xfrm>
                      <a:off x="0" y="0"/>
                      <a:ext cx="5559552" cy="22860"/>
                    </a:xfrm>
                    <a:prstGeom prst="rect">
                      <a:avLst/>
                    </a:prstGeom>
                  </pic:spPr>
                </pic:pic>
              </a:graphicData>
            </a:graphic>
          </wp:inline>
        </w:drawing>
      </w:r>
    </w:p>
    <w:p w14:paraId="1030C322" w14:textId="77777777" w:rsidR="00053D93" w:rsidRDefault="00260B75">
      <w:pPr>
        <w:spacing w:after="113" w:line="269" w:lineRule="auto"/>
        <w:ind w:left="1713" w:right="14" w:hanging="1656"/>
        <w:jc w:val="both"/>
      </w:pPr>
      <w:r>
        <w:rPr>
          <w:noProof/>
        </w:rPr>
        <mc:AlternateContent>
          <mc:Choice Requires="wpg">
            <w:drawing>
              <wp:anchor distT="0" distB="0" distL="114300" distR="114300" simplePos="0" relativeHeight="252283904" behindDoc="0" locked="0" layoutInCell="1" allowOverlap="1" wp14:anchorId="46601466" wp14:editId="6EFB5CED">
                <wp:simplePos x="0" y="0"/>
                <wp:positionH relativeFrom="column">
                  <wp:posOffset>4572</wp:posOffset>
                </wp:positionH>
                <wp:positionV relativeFrom="paragraph">
                  <wp:posOffset>393188</wp:posOffset>
                </wp:positionV>
                <wp:extent cx="123444" cy="301752"/>
                <wp:effectExtent l="0" t="0" r="0" b="0"/>
                <wp:wrapSquare wrapText="bothSides"/>
                <wp:docPr id="2457604" name="Group 2457604"/>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1213173" name="Rectangle 1213173"/>
                        <wps:cNvSpPr/>
                        <wps:spPr>
                          <a:xfrm>
                            <a:off x="0" y="0"/>
                            <a:ext cx="164181" cy="401330"/>
                          </a:xfrm>
                          <a:prstGeom prst="rect">
                            <a:avLst/>
                          </a:prstGeom>
                          <a:ln>
                            <a:noFill/>
                          </a:ln>
                        </wps:spPr>
                        <wps:txbx>
                          <w:txbxContent>
                            <w:p w14:paraId="3ABBF249"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46601466" id="Group 2457604" o:spid="_x0000_s1740" style="position:absolute;left:0;text-align:left;margin-left:.35pt;margin-top:30.95pt;width:9.7pt;height:23.75pt;z-index:252283904;mso-position-horizontal-relative:text;mso-position-vertical-relative:text"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">
                <v:rect id="Rectangle 1213173" o:spid="_x0000_s1741"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" filled="f" stroked="f">
                  <v:textbox inset="0,0,0,0">
                    <w:txbxContent>
                      <w:p w14:paraId="3ABBF249" w14:textId="77777777" w:rsidR="00053D93" w:rsidRDefault="00260B75">
                        <w:r>
                          <w:rPr>
                            <w:sz w:val="74"/>
                          </w:rPr>
                          <w:t>1</w:t>
                        </w:r>
                      </w:p>
                    </w:txbxContent>
                  </v:textbox>
                </v:rect>
                <w10:wrap type="square"/>
              </v:group>
            </w:pict>
          </mc:Fallback>
        </mc:AlternateContent>
      </w:r>
      <w:r>
        <w:rPr>
          <w:sz w:val="26"/>
        </w:rPr>
        <w:t>1 bienes, del Resguardo de Responsabilidad y de los bienes almacenados; y el Jefe Inmediato o [a persona que sea designada, será quien apruebe los registros ingresados por el Encargado de Inventario. La Unidad de Administración Financiera (UDAF) debe solicitar los usuarios y los perfiles que considere convenientes al Administrador de Usuarios de la Institución."</w:t>
      </w:r>
    </w:p>
    <w:p w14:paraId="39BA9DBC" w14:textId="77777777" w:rsidR="00053D93" w:rsidRDefault="00260B75">
      <w:pPr>
        <w:spacing w:after="3"/>
        <w:ind w:left="74" w:right="3485" w:hanging="10"/>
      </w:pPr>
      <w:r>
        <w:rPr>
          <w:sz w:val="70"/>
        </w:rPr>
        <w:t>1</w:t>
      </w:r>
    </w:p>
    <w:p w14:paraId="4741F97B" w14:textId="77777777" w:rsidR="00053D93" w:rsidRDefault="00260B75">
      <w:pPr>
        <w:spacing w:after="3" w:line="269" w:lineRule="auto"/>
        <w:ind w:left="67" w:right="14" w:hanging="10"/>
        <w:jc w:val="right"/>
      </w:pPr>
      <w:r>
        <w:rPr>
          <w:sz w:val="26"/>
        </w:rPr>
        <w:t>La Circular 3-57, de la Dirección de Contabilidad del Estado, Departamento de</w:t>
      </w:r>
    </w:p>
    <w:tbl>
      <w:tblPr>
        <w:tblStyle w:val="TableGrid"/>
        <w:tblpPr w:vertAnchor="page" w:horzAnchor="page" w:tblpX="2858" w:tblpY="14530"/>
        <w:tblOverlap w:val="never"/>
        <w:tblW w:w="7610" w:type="dxa"/>
        <w:tblInd w:w="0" w:type="dxa"/>
        <w:tblCellMar>
          <w:top w:w="53" w:type="dxa"/>
          <w:left w:w="1742" w:type="dxa"/>
          <w:right w:w="115" w:type="dxa"/>
        </w:tblCellMar>
        <w:tblLook w:val="04A0" w:firstRow="1" w:lastRow="0" w:firstColumn="1" w:lastColumn="0" w:noHBand="0" w:noVBand="1"/>
      </w:tblPr>
      <w:tblGrid>
        <w:gridCol w:w="7610"/>
      </w:tblGrid>
      <w:tr w:rsidR="00053D93" w14:paraId="0A7EBBF5" w14:textId="77777777">
        <w:trPr>
          <w:trHeight w:val="33"/>
        </w:trPr>
        <w:tc>
          <w:tcPr>
            <w:tcW w:w="7610" w:type="dxa"/>
            <w:tcBorders>
              <w:top w:val="nil"/>
              <w:left w:val="single" w:sz="2" w:space="0" w:color="000000"/>
              <w:bottom w:val="single" w:sz="2" w:space="0" w:color="000000"/>
              <w:right w:val="nil"/>
            </w:tcBorders>
          </w:tcPr>
          <w:p w14:paraId="490CC8C3" w14:textId="77777777" w:rsidR="00053D93" w:rsidRDefault="00053D93"/>
        </w:tc>
      </w:tr>
      <w:tr w:rsidR="00053D93" w14:paraId="1C550607" w14:textId="77777777">
        <w:trPr>
          <w:trHeight w:val="600"/>
        </w:trPr>
        <w:tc>
          <w:tcPr>
            <w:tcW w:w="7610" w:type="dxa"/>
            <w:tcBorders>
              <w:top w:val="single" w:sz="2" w:space="0" w:color="000000"/>
              <w:left w:val="single" w:sz="2" w:space="0" w:color="000000"/>
              <w:bottom w:val="nil"/>
              <w:right w:val="nil"/>
            </w:tcBorders>
          </w:tcPr>
          <w:p w14:paraId="3AFD54AF" w14:textId="77777777" w:rsidR="00053D93" w:rsidRDefault="00260B75">
            <w:pPr>
              <w:ind w:left="835"/>
            </w:pPr>
            <w:r>
              <w:rPr>
                <w:sz w:val="14"/>
              </w:rPr>
              <w:t>WNISTERIO DE EDUCACION</w:t>
            </w:r>
          </w:p>
          <w:p w14:paraId="23A69DA2" w14:textId="77777777" w:rsidR="00053D93" w:rsidRDefault="00260B75">
            <w:pPr>
              <w:ind w:left="338"/>
            </w:pPr>
            <w:r>
              <w:rPr>
                <w:sz w:val="14"/>
              </w:rPr>
              <w:t>AUDITORIA FINANCIERA Y DE CUMPLIMIENTO</w:t>
            </w:r>
          </w:p>
          <w:p w14:paraId="49FA2472" w14:textId="77777777" w:rsidR="00053D93" w:rsidRDefault="00260B75">
            <w:r>
              <w:rPr>
                <w:sz w:val="14"/>
              </w:rPr>
              <w:t>PERIODO DEL 01 DE ENERO AL 31 DE DICIEMBRE DE 2024</w:t>
            </w:r>
          </w:p>
        </w:tc>
      </w:tr>
    </w:tbl>
    <w:p w14:paraId="04D50181" w14:textId="77777777" w:rsidR="00053D93" w:rsidRDefault="00260B75">
      <w:pPr>
        <w:spacing w:after="4" w:line="269" w:lineRule="auto"/>
        <w:ind w:left="57" w:right="14" w:firstLine="1656"/>
        <w:jc w:val="both"/>
      </w:pPr>
      <w:r>
        <w:rPr>
          <w:noProof/>
        </w:rPr>
        <w:drawing>
          <wp:anchor distT="0" distB="0" distL="114300" distR="114300" simplePos="0" relativeHeight="252284928" behindDoc="0" locked="0" layoutInCell="1" allowOverlap="0" wp14:anchorId="3C28E210" wp14:editId="0775644C">
            <wp:simplePos x="0" y="0"/>
            <wp:positionH relativeFrom="page">
              <wp:posOffset>672084</wp:posOffset>
            </wp:positionH>
            <wp:positionV relativeFrom="page">
              <wp:posOffset>9221724</wp:posOffset>
            </wp:positionV>
            <wp:extent cx="1120140" cy="411480"/>
            <wp:effectExtent l="0" t="0" r="0" b="0"/>
            <wp:wrapTopAndBottom/>
            <wp:docPr id="1215975" name="Picture 1215975"/>
            <wp:cNvGraphicFramePr/>
            <a:graphic xmlns:a="http://schemas.openxmlformats.org/drawingml/2006/main">
              <a:graphicData uri="http://schemas.openxmlformats.org/drawingml/2006/picture">
                <pic:pic xmlns:pic="http://schemas.openxmlformats.org/drawingml/2006/picture">
                  <pic:nvPicPr>
                    <pic:cNvPr id="1215975" name="Picture 1215975"/>
                    <pic:cNvPicPr/>
                  </pic:nvPicPr>
                  <pic:blipFill>
                    <a:blip r:embed="rId1651"/>
                    <a:stretch>
                      <a:fillRect/>
                    </a:stretch>
                  </pic:blipFill>
                  <pic:spPr>
                    <a:xfrm>
                      <a:off x="0" y="0"/>
                      <a:ext cx="1120140" cy="411480"/>
                    </a:xfrm>
                    <a:prstGeom prst="rect">
                      <a:avLst/>
                    </a:prstGeom>
                  </pic:spPr>
                </pic:pic>
              </a:graphicData>
            </a:graphic>
          </wp:anchor>
        </w:drawing>
      </w:r>
      <w:r>
        <w:rPr>
          <w:noProof/>
        </w:rPr>
        <mc:AlternateContent>
          <mc:Choice Requires="wpg">
            <w:drawing>
              <wp:anchor distT="0" distB="0" distL="114300" distR="114300" simplePos="0" relativeHeight="252285952" behindDoc="0" locked="0" layoutInCell="1" allowOverlap="1" wp14:anchorId="3D955AFA" wp14:editId="25CFF879">
                <wp:simplePos x="0" y="0"/>
                <wp:positionH relativeFrom="column">
                  <wp:posOffset>4572</wp:posOffset>
                </wp:positionH>
                <wp:positionV relativeFrom="paragraph">
                  <wp:posOffset>572052</wp:posOffset>
                </wp:positionV>
                <wp:extent cx="123444" cy="297180"/>
                <wp:effectExtent l="0" t="0" r="0" b="0"/>
                <wp:wrapSquare wrapText="bothSides"/>
                <wp:docPr id="2457605" name="Group 2457605"/>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1213176" name="Rectangle 1213176"/>
                        <wps:cNvSpPr/>
                        <wps:spPr>
                          <a:xfrm>
                            <a:off x="0" y="0"/>
                            <a:ext cx="164181" cy="395250"/>
                          </a:xfrm>
                          <a:prstGeom prst="rect">
                            <a:avLst/>
                          </a:prstGeom>
                          <a:ln>
                            <a:noFill/>
                          </a:ln>
                        </wps:spPr>
                        <wps:txbx>
                          <w:txbxContent>
                            <w:p w14:paraId="64D4032C"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3D955AFA" id="Group 2457605" o:spid="_x0000_s1742" style="position:absolute;left:0;text-align:left;margin-left:.35pt;margin-top:45.05pt;width:9.7pt;height:23.4pt;z-index:252285952;mso-position-horizontal-relative:text;mso-position-vertical-relative:text"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">
                <v:rect id="Rectangle 1213176" o:spid="_x0000_s1743" style="position:absolute;width:164181;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" filled="f" stroked="f">
                  <v:textbox inset="0,0,0,0">
                    <w:txbxContent>
                      <w:p w14:paraId="64D4032C" w14:textId="77777777" w:rsidR="00053D93" w:rsidRDefault="00260B75">
                        <w:r>
                          <w:rPr>
                            <w:sz w:val="74"/>
                          </w:rPr>
                          <w:t>1</w:t>
                        </w:r>
                      </w:p>
                    </w:txbxContent>
                  </v:textbox>
                </v:rect>
                <w10:wrap type="square"/>
              </v:group>
            </w:pict>
          </mc:Fallback>
        </mc:AlternateContent>
      </w:r>
      <w:r>
        <w:rPr>
          <w:noProof/>
        </w:rPr>
        <mc:AlternateContent>
          <mc:Choice Requires="wpg">
            <w:drawing>
              <wp:anchor distT="0" distB="0" distL="114300" distR="114300" simplePos="0" relativeHeight="252286976" behindDoc="0" locked="0" layoutInCell="1" allowOverlap="1" wp14:anchorId="367BF0A8" wp14:editId="4BCC276F">
                <wp:simplePos x="0" y="0"/>
                <wp:positionH relativeFrom="column">
                  <wp:posOffset>9144</wp:posOffset>
                </wp:positionH>
                <wp:positionV relativeFrom="paragraph">
                  <wp:posOffset>1605324</wp:posOffset>
                </wp:positionV>
                <wp:extent cx="123444" cy="301752"/>
                <wp:effectExtent l="0" t="0" r="0" b="0"/>
                <wp:wrapSquare wrapText="bothSides"/>
                <wp:docPr id="2457607" name="Group 2457607"/>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1213178" name="Rectangle 1213178"/>
                        <wps:cNvSpPr/>
                        <wps:spPr>
                          <a:xfrm>
                            <a:off x="0" y="0"/>
                            <a:ext cx="164181" cy="401330"/>
                          </a:xfrm>
                          <a:prstGeom prst="rect">
                            <a:avLst/>
                          </a:prstGeom>
                          <a:ln>
                            <a:noFill/>
                          </a:ln>
                        </wps:spPr>
                        <wps:txbx>
                          <w:txbxContent>
                            <w:p w14:paraId="473338D3"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367BF0A8" id="Group 2457607" o:spid="_x0000_s1744" style="position:absolute;left:0;text-align:left;margin-left:.7pt;margin-top:126.4pt;width:9.7pt;height:23.75pt;z-index:252286976;mso-position-horizontal-relative:text;mso-position-vertical-relative:text"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">
                <v:rect id="Rectangle 1213178" o:spid="_x0000_s1745"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" filled="f" stroked="f">
                  <v:textbox inset="0,0,0,0">
                    <w:txbxContent>
                      <w:p w14:paraId="473338D3" w14:textId="77777777" w:rsidR="00053D93" w:rsidRDefault="00260B75">
                        <w:r>
                          <w:rPr>
                            <w:sz w:val="74"/>
                          </w:rPr>
                          <w:t>1</w:t>
                        </w:r>
                      </w:p>
                    </w:txbxContent>
                  </v:textbox>
                </v:rect>
                <w10:wrap type="square"/>
              </v:group>
            </w:pict>
          </mc:Fallback>
        </mc:AlternateContent>
      </w:r>
      <w:r>
        <w:rPr>
          <w:sz w:val="26"/>
        </w:rPr>
        <w:t xml:space="preserve">Contabilidad. Sección. Libro de Inventarios, establece: "Todas las oficinas públicas 1 deberán llevar un libro autorizado, ya sea empastado o en hojas movibles, para el registro del inventario a su cargo... Sección. Tiempo en que debe formarse el Inventario, establece: "Con la debida anticipación y de acuerdo con el volumen de los bienes, cada jefe de oficina bajo su responsabilidad deberá disponer la verificación física del inventario respectivo, a efecto de que esté terminado el día </w:t>
      </w:r>
      <w:r>
        <w:rPr>
          <w:noProof/>
        </w:rPr>
        <mc:AlternateContent>
          <mc:Choice Requires="wpg">
            <w:drawing>
              <wp:inline distT="0" distB="0" distL="0" distR="0" wp14:anchorId="7211B552" wp14:editId="2C660F7D">
                <wp:extent cx="123444" cy="301752"/>
                <wp:effectExtent l="0" t="0" r="0" b="0"/>
                <wp:docPr id="2457606" name="Group 2457606"/>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1213177" name="Rectangle 1213177"/>
                        <wps:cNvSpPr/>
                        <wps:spPr>
                          <a:xfrm>
                            <a:off x="0" y="0"/>
                            <a:ext cx="164181" cy="401330"/>
                          </a:xfrm>
                          <a:prstGeom prst="rect">
                            <a:avLst/>
                          </a:prstGeom>
                          <a:ln>
                            <a:noFill/>
                          </a:ln>
                        </wps:spPr>
                        <wps:txbx>
                          <w:txbxContent>
                            <w:p w14:paraId="150D9348"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7211B552" id="Group 2457606" o:spid="_x0000_s1746" style="width:9.7pt;height:23.75pt;mso-position-horizontal-relative:char;mso-position-vertical-relative:line"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">
                <v:rect id="Rectangle 1213177" o:spid="_x0000_s1747"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" filled="f" stroked="f">
                  <v:textbox inset="0,0,0,0">
                    <w:txbxContent>
                      <w:p w14:paraId="150D9348" w14:textId="77777777" w:rsidR="00053D93" w:rsidRDefault="00260B75">
                        <w:r>
                          <w:rPr>
                            <w:sz w:val="74"/>
                          </w:rPr>
                          <w:t>1</w:t>
                        </w:r>
                      </w:p>
                    </w:txbxContent>
                  </v:textbox>
                </v:rect>
                <w10:anchorlock/>
              </v:group>
            </w:pict>
          </mc:Fallback>
        </mc:AlternateContent>
      </w:r>
      <w:r>
        <w:rPr>
          <w:sz w:val="26"/>
        </w:rPr>
        <w:t xml:space="preserve"> 31 de diciembre de cada año, asentándolo enseguida en el libro destinado para el efecto, debiéndose tomar en cuenta las adquisiciones y bajas registradas durante el ejercicio, para su correcta actualización." Sección. Adiciones al Inventario, establece: "Toda adquisición de bienes no fungibles que ocurra en el transcurso del año y que constituya aumento al activo, deberá agregarse a continuación del 1 inventario anterior, previa reapertura del mismo en el libro autorizado, teniendo cuidado de hacerlo en las fechas precisas en que se lleve a cabo la adquisición... " Sección. Disminuciones o Bajas de Inventario, establece: ['Las bajas de inventario pueden ocurrir por cualquiera de los siguientes conceptos: 1) Por destrucción o incineración de los objetos; 2) Por pérdida o robo; 3) Por traslado a otra dependencia;4) Por desuso, venta o permuta; y 5) Baja por traslado... "</w:t>
      </w:r>
    </w:p>
    <w:p w14:paraId="7AA765DC" w14:textId="77777777" w:rsidR="00053D93" w:rsidRDefault="00260B75">
      <w:pPr>
        <w:spacing w:after="3"/>
        <w:ind w:left="24" w:hanging="10"/>
      </w:pPr>
      <w:r>
        <w:rPr>
          <w:sz w:val="72"/>
        </w:rPr>
        <w:t>1</w:t>
      </w:r>
    </w:p>
    <w:p w14:paraId="02FBAB60" w14:textId="77777777" w:rsidR="00053D93" w:rsidRDefault="00260B75">
      <w:pPr>
        <w:pStyle w:val="Ttulo4"/>
        <w:ind w:left="1666"/>
      </w:pPr>
      <w:r>
        <w:t>Causa</w:t>
      </w:r>
    </w:p>
    <w:p w14:paraId="0BEA3E7F" w14:textId="77777777" w:rsidR="00053D93" w:rsidRDefault="00260B75">
      <w:pPr>
        <w:spacing w:after="4" w:line="216" w:lineRule="auto"/>
        <w:ind w:left="57" w:right="14" w:firstLine="1447"/>
        <w:jc w:val="both"/>
      </w:pPr>
      <w:r>
        <w:rPr>
          <w:noProof/>
        </w:rPr>
        <mc:AlternateContent>
          <mc:Choice Requires="wpg">
            <w:drawing>
              <wp:anchor distT="0" distB="0" distL="114300" distR="114300" simplePos="0" relativeHeight="252288000" behindDoc="0" locked="0" layoutInCell="1" allowOverlap="1" wp14:anchorId="626CFC42" wp14:editId="0A16659E">
                <wp:simplePos x="0" y="0"/>
                <wp:positionH relativeFrom="column">
                  <wp:posOffset>13716</wp:posOffset>
                </wp:positionH>
                <wp:positionV relativeFrom="paragraph">
                  <wp:posOffset>-36739</wp:posOffset>
                </wp:positionV>
                <wp:extent cx="123444" cy="301752"/>
                <wp:effectExtent l="0" t="0" r="0" b="0"/>
                <wp:wrapSquare wrapText="bothSides"/>
                <wp:docPr id="2457608" name="Group 2457608"/>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1213181" name="Rectangle 1213181"/>
                        <wps:cNvSpPr/>
                        <wps:spPr>
                          <a:xfrm>
                            <a:off x="0" y="0"/>
                            <a:ext cx="164181" cy="401330"/>
                          </a:xfrm>
                          <a:prstGeom prst="rect">
                            <a:avLst/>
                          </a:prstGeom>
                          <a:ln>
                            <a:noFill/>
                          </a:ln>
                        </wps:spPr>
                        <wps:txbx>
                          <w:txbxContent>
                            <w:p w14:paraId="2CA3E769"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626CFC42" id="Group 2457608" o:spid="_x0000_s1748" style="position:absolute;left:0;text-align:left;margin-left:1.1pt;margin-top:-2.9pt;width:9.7pt;height:23.75pt;z-index:252288000;mso-position-horizontal-relative:text;mso-position-vertical-relative:text"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">
                <v:rect id="Rectangle 1213181" o:spid="_x0000_s1749"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" filled="f" stroked="f">
                  <v:textbox inset="0,0,0,0">
                    <w:txbxContent>
                      <w:p w14:paraId="2CA3E769" w14:textId="77777777" w:rsidR="00053D93" w:rsidRDefault="00260B75">
                        <w:r>
                          <w:rPr>
                            <w:sz w:val="74"/>
                          </w:rPr>
                          <w:t>1</w:t>
                        </w:r>
                      </w:p>
                    </w:txbxContent>
                  </v:textbox>
                </v:rect>
                <w10:wrap type="square"/>
              </v:group>
            </w:pict>
          </mc:Fallback>
        </mc:AlternateContent>
      </w:r>
      <w:r>
        <w:rPr>
          <w:sz w:val="26"/>
        </w:rPr>
        <w:t xml:space="preserve">El Encargado de Inventarios debido a la falta de información actualizada y documentación incompleta sobre el Inventario de Activos Fijos, no realizó las conciliaciones de saldos del Libro de Inventario de Activos Fijos con los </w:t>
      </w:r>
      <w:r>
        <w:rPr>
          <w:noProof/>
        </w:rPr>
        <mc:AlternateContent>
          <mc:Choice Requires="wpg">
            <w:drawing>
              <wp:inline distT="0" distB="0" distL="0" distR="0" wp14:anchorId="1845189F" wp14:editId="2DCE4469">
                <wp:extent cx="114300" cy="297180"/>
                <wp:effectExtent l="0" t="0" r="0" b="0"/>
                <wp:docPr id="2457609" name="Group 2457609"/>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213182" name="Rectangle 1213182"/>
                        <wps:cNvSpPr/>
                        <wps:spPr>
                          <a:xfrm>
                            <a:off x="0" y="0"/>
                            <a:ext cx="152019" cy="395249"/>
                          </a:xfrm>
                          <a:prstGeom prst="rect">
                            <a:avLst/>
                          </a:prstGeom>
                          <a:ln>
                            <a:noFill/>
                          </a:ln>
                        </wps:spPr>
                        <wps:txbx>
                          <w:txbxContent>
                            <w:p w14:paraId="15172CF6"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1845189F" id="Group 2457609" o:spid="_x0000_s1750"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">
                <v:rect id="Rectangle 1213182" o:spid="_x0000_s1751"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" filled="f" stroked="f">
                  <v:textbox inset="0,0,0,0">
                    <w:txbxContent>
                      <w:p w14:paraId="15172CF6" w14:textId="77777777" w:rsidR="00053D93" w:rsidRDefault="00260B75">
                        <w:r>
                          <w:rPr>
                            <w:sz w:val="70"/>
                          </w:rPr>
                          <w:t>1</w:t>
                        </w:r>
                      </w:p>
                    </w:txbxContent>
                  </v:textbox>
                </v:rect>
                <w10:anchorlock/>
              </v:group>
            </w:pict>
          </mc:Fallback>
        </mc:AlternateContent>
      </w:r>
      <w:r>
        <w:rPr>
          <w:sz w:val="26"/>
        </w:rPr>
        <w:t xml:space="preserve"> Formularios FIN-OI 'Formulario Resumen de Inventario Institucional' y FIN-02</w:t>
      </w:r>
    </w:p>
    <w:p w14:paraId="346C3F98" w14:textId="77777777" w:rsidR="00053D93" w:rsidRDefault="00260B75">
      <w:pPr>
        <w:spacing w:after="247" w:line="216" w:lineRule="auto"/>
        <w:ind w:left="57" w:right="14" w:firstLine="1447"/>
        <w:jc w:val="both"/>
      </w:pPr>
      <w:r>
        <w:rPr>
          <w:sz w:val="26"/>
        </w:rPr>
        <w:t>"Formulario Detalle de Inventario por Cuenta" del Sistema de Contabilidad 1 Integrada -SICOIN- desde el año 2018.</w:t>
      </w:r>
    </w:p>
    <w:p w14:paraId="37D07031" w14:textId="77777777" w:rsidR="00053D93" w:rsidRDefault="00260B75">
      <w:pPr>
        <w:spacing w:after="4" w:line="216" w:lineRule="auto"/>
        <w:ind w:left="57" w:right="14" w:firstLine="1634"/>
        <w:jc w:val="both"/>
      </w:pPr>
      <w:r>
        <w:rPr>
          <w:noProof/>
        </w:rPr>
        <mc:AlternateContent>
          <mc:Choice Requires="wpg">
            <w:drawing>
              <wp:anchor distT="0" distB="0" distL="114300" distR="114300" simplePos="0" relativeHeight="252289024" behindDoc="0" locked="0" layoutInCell="1" allowOverlap="1" wp14:anchorId="5D232FE8" wp14:editId="29F1C73A">
                <wp:simplePos x="0" y="0"/>
                <wp:positionH relativeFrom="column">
                  <wp:posOffset>18288</wp:posOffset>
                </wp:positionH>
                <wp:positionV relativeFrom="paragraph">
                  <wp:posOffset>1179577</wp:posOffset>
                </wp:positionV>
                <wp:extent cx="123444" cy="292607"/>
                <wp:effectExtent l="0" t="0" r="0" b="0"/>
                <wp:wrapSquare wrapText="bothSides"/>
                <wp:docPr id="2457612" name="Group 2457612"/>
                <wp:cNvGraphicFramePr/>
                <a:graphic xmlns:a="http://schemas.openxmlformats.org/drawingml/2006/main">
                  <a:graphicData uri="http://schemas.microsoft.com/office/word/2010/wordprocessingGroup">
                    <wpg:wgp>
                      <wpg:cNvGrpSpPr/>
                      <wpg:grpSpPr>
                        <a:xfrm>
                          <a:off x="0" y="0"/>
                          <a:ext cx="123444" cy="292607"/>
                          <a:chOff x="0" y="0"/>
                          <a:chExt cx="123444" cy="292607"/>
                        </a:xfrm>
                      </wpg:grpSpPr>
                      <wps:wsp>
                        <wps:cNvPr id="1213186" name="Rectangle 1213186"/>
                        <wps:cNvSpPr/>
                        <wps:spPr>
                          <a:xfrm>
                            <a:off x="0" y="0"/>
                            <a:ext cx="164181" cy="389167"/>
                          </a:xfrm>
                          <a:prstGeom prst="rect">
                            <a:avLst/>
                          </a:prstGeom>
                          <a:ln>
                            <a:noFill/>
                          </a:ln>
                        </wps:spPr>
                        <wps:txbx>
                          <w:txbxContent>
                            <w:p w14:paraId="57E29921"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5D232FE8" id="Group 2457612" o:spid="_x0000_s1752" style="position:absolute;left:0;text-align:left;margin-left:1.45pt;margin-top:92.9pt;width:9.7pt;height:23.05pt;z-index:252289024;mso-position-horizontal-relative:text;mso-position-vertical-relative:text" coordsize="123444,292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">
                <v:rect id="Rectangle 1213186" o:spid="_x0000_s1753" style="position:absolute;width:164181;height:389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" filled="f" stroked="f">
                  <v:textbox inset="0,0,0,0">
                    <w:txbxContent>
                      <w:p w14:paraId="57E29921" w14:textId="77777777" w:rsidR="00053D93" w:rsidRDefault="00260B75">
                        <w:r>
                          <w:rPr>
                            <w:sz w:val="74"/>
                          </w:rPr>
                          <w:t>1</w:t>
                        </w:r>
                      </w:p>
                    </w:txbxContent>
                  </v:textbox>
                </v:rect>
                <w10:wrap type="square"/>
              </v:group>
            </w:pict>
          </mc:Fallback>
        </mc:AlternateContent>
      </w:r>
      <w:r>
        <w:rPr>
          <w:sz w:val="26"/>
        </w:rPr>
        <w:t xml:space="preserve">El Subdirector Administrativo Financiero y el Encargado de la Subdirección </w:t>
      </w:r>
      <w:r>
        <w:rPr>
          <w:noProof/>
        </w:rPr>
        <mc:AlternateContent>
          <mc:Choice Requires="wpg">
            <w:drawing>
              <wp:inline distT="0" distB="0" distL="0" distR="0" wp14:anchorId="3B74BDC8" wp14:editId="08A186F7">
                <wp:extent cx="118872" cy="297180"/>
                <wp:effectExtent l="0" t="0" r="0" b="0"/>
                <wp:docPr id="2457610" name="Group 2457610"/>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213184" name="Rectangle 1213184"/>
                        <wps:cNvSpPr/>
                        <wps:spPr>
                          <a:xfrm>
                            <a:off x="0" y="0"/>
                            <a:ext cx="158100" cy="395249"/>
                          </a:xfrm>
                          <a:prstGeom prst="rect">
                            <a:avLst/>
                          </a:prstGeom>
                          <a:ln>
                            <a:noFill/>
                          </a:ln>
                        </wps:spPr>
                        <wps:txbx>
                          <w:txbxContent>
                            <w:p w14:paraId="08C6C9A1"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3B74BDC8" id="Group 2457610" o:spid="_x0000_s1754"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">
                <v:rect id="Rectangle 1213184" o:spid="_x0000_s1755"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" filled="f" stroked="f">
                  <v:textbox inset="0,0,0,0">
                    <w:txbxContent>
                      <w:p w14:paraId="08C6C9A1" w14:textId="77777777" w:rsidR="00053D93" w:rsidRDefault="00260B75">
                        <w:r>
                          <w:rPr>
                            <w:sz w:val="72"/>
                          </w:rPr>
                          <w:t>1</w:t>
                        </w:r>
                      </w:p>
                    </w:txbxContent>
                  </v:textbox>
                </v:rect>
                <w10:anchorlock/>
              </v:group>
            </w:pict>
          </mc:Fallback>
        </mc:AlternateContent>
      </w:r>
      <w:r>
        <w:rPr>
          <w:sz w:val="26"/>
        </w:rPr>
        <w:t xml:space="preserve"> Administrativo Financiero no velaron porque el Encargado de Inventarios realizara la conciliación de los saldos del Libro de Inventario de Activos Fijos con los Formularios FIN-OI "Formulario Resumen de Inventario Institucional" y FIN-02 </w:t>
      </w:r>
      <w:r>
        <w:rPr>
          <w:noProof/>
        </w:rPr>
        <mc:AlternateContent>
          <mc:Choice Requires="wpg">
            <w:drawing>
              <wp:inline distT="0" distB="0" distL="0" distR="0" wp14:anchorId="37C35506" wp14:editId="5BA18FDC">
                <wp:extent cx="114300" cy="297180"/>
                <wp:effectExtent l="0" t="0" r="0" b="0"/>
                <wp:docPr id="2457611" name="Group 2457611"/>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213185" name="Rectangle 1213185"/>
                        <wps:cNvSpPr/>
                        <wps:spPr>
                          <a:xfrm>
                            <a:off x="0" y="0"/>
                            <a:ext cx="152019" cy="395249"/>
                          </a:xfrm>
                          <a:prstGeom prst="rect">
                            <a:avLst/>
                          </a:prstGeom>
                          <a:ln>
                            <a:noFill/>
                          </a:ln>
                        </wps:spPr>
                        <wps:txbx>
                          <w:txbxContent>
                            <w:p w14:paraId="0D296439"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37C35506" id="Group 2457611" o:spid="_x0000_s1756"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">
                <v:rect id="Rectangle 1213185" o:spid="_x0000_s1757"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" filled="f" stroked="f">
                  <v:textbox inset="0,0,0,0">
                    <w:txbxContent>
                      <w:p w14:paraId="0D296439" w14:textId="77777777" w:rsidR="00053D93" w:rsidRDefault="00260B75">
                        <w:r>
                          <w:rPr>
                            <w:sz w:val="70"/>
                          </w:rPr>
                          <w:t>1</w:t>
                        </w:r>
                      </w:p>
                    </w:txbxContent>
                  </v:textbox>
                </v:rect>
                <w10:anchorlock/>
              </v:group>
            </w:pict>
          </mc:Fallback>
        </mc:AlternateContent>
      </w:r>
      <w:r>
        <w:rPr>
          <w:sz w:val="26"/>
        </w:rPr>
        <w:t xml:space="preserve"> "Formulario Detalle de Inventario por Cuenta" del Sistema de Contabilidad Integrada -SICOIN-, desde el año 2018; asimismo, no han supervisado el cumplimiento de los procedimientos de conciliación establecidos en las normativas vigentes.</w:t>
      </w:r>
    </w:p>
    <w:p w14:paraId="526CEB6B" w14:textId="77777777" w:rsidR="00053D93" w:rsidRDefault="00260B75">
      <w:pPr>
        <w:spacing w:after="0"/>
        <w:ind w:left="1613" w:right="-7"/>
      </w:pPr>
      <w:r>
        <w:rPr>
          <w:noProof/>
        </w:rPr>
        <mc:AlternateContent>
          <mc:Choice Requires="wpg">
            <w:drawing>
              <wp:inline distT="0" distB="0" distL="0" distR="0" wp14:anchorId="6018CC1A" wp14:editId="325AF1D7">
                <wp:extent cx="5399532" cy="9144"/>
                <wp:effectExtent l="0" t="0" r="0" b="0"/>
                <wp:docPr id="2458933" name="Group 2458933"/>
                <wp:cNvGraphicFramePr/>
                <a:graphic xmlns:a="http://schemas.openxmlformats.org/drawingml/2006/main">
                  <a:graphicData uri="http://schemas.microsoft.com/office/word/2010/wordprocessingGroup">
                    <wpg:wgp>
                      <wpg:cNvGrpSpPr/>
                      <wpg:grpSpPr>
                        <a:xfrm>
                          <a:off x="0" y="0"/>
                          <a:ext cx="5399532" cy="9144"/>
                          <a:chOff x="0" y="0"/>
                          <a:chExt cx="5399532" cy="9144"/>
                        </a:xfrm>
                      </wpg:grpSpPr>
                      <wps:wsp>
                        <wps:cNvPr id="2458932" name="Shape 2458932"/>
                        <wps:cNvSpPr/>
                        <wps:spPr>
                          <a:xfrm>
                            <a:off x="0" y="0"/>
                            <a:ext cx="5399532" cy="9144"/>
                          </a:xfrm>
                          <a:custGeom>
                            <a:avLst/>
                            <a:gdLst/>
                            <a:ahLst/>
                            <a:cxnLst/>
                            <a:rect l="0" t="0" r="0" b="0"/>
                            <a:pathLst>
                              <a:path w="5399532" h="9144">
                                <a:moveTo>
                                  <a:pt x="0" y="4572"/>
                                </a:moveTo>
                                <a:lnTo>
                                  <a:pt x="539953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33" style="width:425.16pt;height:0.720001pt;mso-position-horizontal-relative:char;mso-position-vertical-relative:line" coordsize="53995,91">
                <v:shape id="Shape 2458932" style="position:absolute;width:53995;height:91;left:0;top:0;" coordsize="5399532,9144" path="m0,4572l5399532,4572">
                  <v:stroke weight="0.720001pt" endcap="flat" joinstyle="miter" miterlimit="1" on="true" color="#000000"/>
                  <v:fill on="false" color="#000000"/>
                </v:shape>
              </v:group>
            </w:pict>
          </mc:Fallback>
        </mc:AlternateContent>
      </w:r>
    </w:p>
    <w:p w14:paraId="37904156" w14:textId="77777777" w:rsidR="00053D93" w:rsidRDefault="00260B75">
      <w:pPr>
        <w:tabs>
          <w:tab w:val="center" w:pos="1994"/>
        </w:tabs>
        <w:spacing w:after="4" w:line="266" w:lineRule="auto"/>
      </w:pPr>
      <w:r>
        <w:rPr>
          <w:sz w:val="28"/>
        </w:rPr>
        <w:t>1</w:t>
      </w:r>
      <w:r>
        <w:rPr>
          <w:sz w:val="28"/>
        </w:rPr>
        <w:tab/>
        <w:t>Efecto</w:t>
      </w:r>
    </w:p>
    <w:p w14:paraId="34275570" w14:textId="77777777" w:rsidR="00053D93" w:rsidRDefault="00260B75">
      <w:pPr>
        <w:spacing w:after="122" w:line="269" w:lineRule="auto"/>
        <w:ind w:left="67" w:right="14" w:hanging="10"/>
        <w:jc w:val="right"/>
      </w:pPr>
      <w:r>
        <w:rPr>
          <w:sz w:val="26"/>
        </w:rPr>
        <w:t>No se tiene certeza sobre la razonabilidad e integración de las cuentas contables</w:t>
      </w:r>
    </w:p>
    <w:p w14:paraId="64057151" w14:textId="77777777" w:rsidR="00053D93" w:rsidRDefault="00260B75">
      <w:pPr>
        <w:tabs>
          <w:tab w:val="center" w:pos="4864"/>
        </w:tabs>
        <w:spacing w:after="70" w:line="269" w:lineRule="auto"/>
      </w:pPr>
      <w:r>
        <w:rPr>
          <w:sz w:val="26"/>
        </w:rPr>
        <w:t>1</w:t>
      </w:r>
      <w:r>
        <w:rPr>
          <w:sz w:val="26"/>
        </w:rPr>
        <w:tab/>
        <w:t>de Maquinaria y equipo y Otros activos fijos desde el año 2018.</w:t>
      </w:r>
    </w:p>
    <w:p w14:paraId="3FD92324" w14:textId="77777777" w:rsidR="00053D93" w:rsidRDefault="00260B75">
      <w:pPr>
        <w:spacing w:after="4" w:line="266" w:lineRule="auto"/>
        <w:ind w:left="24" w:hanging="10"/>
      </w:pPr>
      <w:r>
        <w:rPr>
          <w:sz w:val="28"/>
        </w:rPr>
        <w:t>Recomendación</w:t>
      </w:r>
    </w:p>
    <w:p w14:paraId="0825F971" w14:textId="77777777" w:rsidR="00053D93" w:rsidRDefault="00260B75">
      <w:pPr>
        <w:spacing w:after="4" w:line="216" w:lineRule="auto"/>
        <w:ind w:left="60" w:right="14" w:hanging="3"/>
        <w:jc w:val="both"/>
      </w:pPr>
      <w:r>
        <w:rPr>
          <w:noProof/>
        </w:rPr>
        <mc:AlternateContent>
          <mc:Choice Requires="wpg">
            <w:drawing>
              <wp:inline distT="0" distB="0" distL="0" distR="0" wp14:anchorId="65FC8A43" wp14:editId="24511F48">
                <wp:extent cx="114300" cy="301752"/>
                <wp:effectExtent l="0" t="0" r="0" b="0"/>
                <wp:docPr id="2457619" name="Group 2457619"/>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1216544" name="Rectangle 1216544"/>
                        <wps:cNvSpPr/>
                        <wps:spPr>
                          <a:xfrm>
                            <a:off x="0" y="0"/>
                            <a:ext cx="152019" cy="401330"/>
                          </a:xfrm>
                          <a:prstGeom prst="rect">
                            <a:avLst/>
                          </a:prstGeom>
                          <a:ln>
                            <a:noFill/>
                          </a:ln>
                        </wps:spPr>
                        <wps:txbx>
                          <w:txbxContent>
                            <w:p w14:paraId="1B66AED3"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5FC8A43" id="Group 2457619" o:spid="_x0000_s1758"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">
                <v:rect id="Rectangle 1216544" o:spid="_x0000_s1759"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" filled="f" stroked="f">
                  <v:textbox inset="0,0,0,0">
                    <w:txbxContent>
                      <w:p w14:paraId="1B66AED3" w14:textId="77777777" w:rsidR="00053D93" w:rsidRDefault="00260B75">
                        <w:r>
                          <w:rPr>
                            <w:sz w:val="70"/>
                          </w:rPr>
                          <w:t>1</w:t>
                        </w:r>
                      </w:p>
                    </w:txbxContent>
                  </v:textbox>
                </v:rect>
                <w10:anchorlock/>
              </v:group>
            </w:pict>
          </mc:Fallback>
        </mc:AlternateContent>
      </w:r>
      <w:r>
        <w:rPr>
          <w:sz w:val="26"/>
        </w:rPr>
        <w:t xml:space="preserve"> La Directora General de Gestión de Calidad Educativa, debe girar instrucciones al Subdirector Administrativo Financiero y al Encargado de la Subdirección 1 Administrativa Financiera, a efecto que, velen y supervisen porque el Encargado</w:t>
      </w:r>
    </w:p>
    <w:p w14:paraId="33DF23F7" w14:textId="77777777" w:rsidR="00053D93" w:rsidRDefault="00260B75">
      <w:pPr>
        <w:spacing w:after="100" w:line="269" w:lineRule="auto"/>
        <w:ind w:left="57" w:right="14" w:firstLine="1642"/>
        <w:jc w:val="both"/>
      </w:pPr>
      <w:r>
        <w:rPr>
          <w:sz w:val="26"/>
        </w:rPr>
        <w:t>de Inventarios, proceda a realizar la conciliación de los saldos del Libro de Inventario y de los Formularios FIN-OI "Formulario Resumen de Inventario 1 Institucional" y FIN-02 "Formulario Detalle de Inventario por Cuenta" del Sistema de Contabilidad Integrada Gubernamental -SICOIN-, con el fin de subsanar las diferencias identificadas; además, deben establecerse procedimientos de 1 seguimiento y control para garantizar que estas conciliaciones se realicen de manera periódica y conforme a las normativas vigentes, y con ello cumplir con los 1 procesos administrativos de la unidad ejecutora.</w:t>
      </w:r>
    </w:p>
    <w:p w14:paraId="12739240" w14:textId="77777777" w:rsidR="00053D93" w:rsidRDefault="00260B75">
      <w:pPr>
        <w:spacing w:after="189" w:line="266" w:lineRule="auto"/>
        <w:ind w:left="1659" w:hanging="10"/>
      </w:pPr>
      <w:r>
        <w:rPr>
          <w:sz w:val="28"/>
        </w:rPr>
        <w:t>Comentario de los responsables</w:t>
      </w:r>
    </w:p>
    <w:tbl>
      <w:tblPr>
        <w:tblStyle w:val="TableGrid"/>
        <w:tblpPr w:vertAnchor="page" w:horzAnchor="page" w:tblpX="2822" w:tblpY="14515"/>
        <w:tblOverlap w:val="never"/>
        <w:tblW w:w="7618" w:type="dxa"/>
        <w:tblInd w:w="0" w:type="dxa"/>
        <w:tblCellMar>
          <w:top w:w="41" w:type="dxa"/>
          <w:left w:w="1742" w:type="dxa"/>
          <w:right w:w="115" w:type="dxa"/>
        </w:tblCellMar>
        <w:tblLook w:val="04A0" w:firstRow="1" w:lastRow="0" w:firstColumn="1" w:lastColumn="0" w:noHBand="0" w:noVBand="1"/>
      </w:tblPr>
      <w:tblGrid>
        <w:gridCol w:w="7618"/>
      </w:tblGrid>
      <w:tr w:rsidR="00053D93" w14:paraId="7FAB2AE4" w14:textId="77777777">
        <w:trPr>
          <w:trHeight w:val="50"/>
        </w:trPr>
        <w:tc>
          <w:tcPr>
            <w:tcW w:w="7618" w:type="dxa"/>
            <w:tcBorders>
              <w:top w:val="nil"/>
              <w:left w:val="single" w:sz="2" w:space="0" w:color="000000"/>
              <w:bottom w:val="single" w:sz="2" w:space="0" w:color="000000"/>
              <w:right w:val="nil"/>
            </w:tcBorders>
          </w:tcPr>
          <w:p w14:paraId="76BE5AB8" w14:textId="77777777" w:rsidR="00053D93" w:rsidRDefault="00053D93"/>
        </w:tc>
      </w:tr>
      <w:tr w:rsidR="00053D93" w14:paraId="7708F029" w14:textId="77777777">
        <w:trPr>
          <w:trHeight w:val="583"/>
        </w:trPr>
        <w:tc>
          <w:tcPr>
            <w:tcW w:w="7618" w:type="dxa"/>
            <w:tcBorders>
              <w:top w:val="single" w:sz="2" w:space="0" w:color="000000"/>
              <w:left w:val="single" w:sz="2" w:space="0" w:color="000000"/>
              <w:bottom w:val="nil"/>
              <w:right w:val="nil"/>
            </w:tcBorders>
          </w:tcPr>
          <w:p w14:paraId="64997C50" w14:textId="77777777" w:rsidR="00053D93" w:rsidRDefault="00260B75">
            <w:pPr>
              <w:ind w:left="835"/>
            </w:pPr>
            <w:r>
              <w:rPr>
                <w:sz w:val="14"/>
              </w:rPr>
              <w:t>MINISTERIO DE EDUCACION</w:t>
            </w:r>
          </w:p>
          <w:p w14:paraId="6F430345" w14:textId="77777777" w:rsidR="00053D93" w:rsidRDefault="00260B75">
            <w:pPr>
              <w:ind w:left="338"/>
            </w:pPr>
            <w:r>
              <w:rPr>
                <w:sz w:val="14"/>
              </w:rPr>
              <w:t>AUDITORIA FINANCIERA Y DE CUMPLIMIENTO</w:t>
            </w:r>
          </w:p>
          <w:p w14:paraId="78E151B8" w14:textId="77777777" w:rsidR="00053D93" w:rsidRDefault="00260B75">
            <w:r>
              <w:rPr>
                <w:sz w:val="14"/>
              </w:rPr>
              <w:t>PERIODO DEL 01 DE ENERO AL 31 DE DICIEMBRE DE 2024</w:t>
            </w:r>
          </w:p>
        </w:tc>
      </w:tr>
    </w:tbl>
    <w:p w14:paraId="2CF23986" w14:textId="77777777" w:rsidR="00053D93" w:rsidRDefault="00260B75">
      <w:pPr>
        <w:spacing w:after="257" w:line="337" w:lineRule="auto"/>
        <w:ind w:left="1677" w:right="14" w:hanging="1620"/>
        <w:jc w:val="both"/>
      </w:pPr>
      <w:r>
        <w:rPr>
          <w:noProof/>
        </w:rPr>
        <w:drawing>
          <wp:anchor distT="0" distB="0" distL="114300" distR="114300" simplePos="0" relativeHeight="252290048" behindDoc="0" locked="0" layoutInCell="1" allowOverlap="0" wp14:anchorId="5729D90F" wp14:editId="7B78EE5C">
            <wp:simplePos x="0" y="0"/>
            <wp:positionH relativeFrom="page">
              <wp:posOffset>653796</wp:posOffset>
            </wp:positionH>
            <wp:positionV relativeFrom="page">
              <wp:posOffset>9212580</wp:posOffset>
            </wp:positionV>
            <wp:extent cx="1115568" cy="406908"/>
            <wp:effectExtent l="0" t="0" r="0" b="0"/>
            <wp:wrapTopAndBottom/>
            <wp:docPr id="1219175" name="Picture 1219175"/>
            <wp:cNvGraphicFramePr/>
            <a:graphic xmlns:a="http://schemas.openxmlformats.org/drawingml/2006/main">
              <a:graphicData uri="http://schemas.openxmlformats.org/drawingml/2006/picture">
                <pic:pic xmlns:pic="http://schemas.openxmlformats.org/drawingml/2006/picture">
                  <pic:nvPicPr>
                    <pic:cNvPr id="1219175" name="Picture 1219175"/>
                    <pic:cNvPicPr/>
                  </pic:nvPicPr>
                  <pic:blipFill>
                    <a:blip r:embed="rId1652"/>
                    <a:stretch>
                      <a:fillRect/>
                    </a:stretch>
                  </pic:blipFill>
                  <pic:spPr>
                    <a:xfrm>
                      <a:off x="0" y="0"/>
                      <a:ext cx="1115568" cy="406908"/>
                    </a:xfrm>
                    <a:prstGeom prst="rect">
                      <a:avLst/>
                    </a:prstGeom>
                  </pic:spPr>
                </pic:pic>
              </a:graphicData>
            </a:graphic>
          </wp:anchor>
        </w:drawing>
      </w:r>
      <w:r>
        <w:rPr>
          <w:sz w:val="26"/>
        </w:rPr>
        <w:t>1 En Nota s/n, del 1 1 de abril de 2025, el licenciado Walfred Ramiro Vasquez Cataví, quien fungió como Subdirector Administrativo Financiero, por el período comprendido del 21 de enero de 2022 al 31 de diciembre de 2023, manifiesta:</w:t>
      </w:r>
    </w:p>
    <w:p w14:paraId="6395A16B" w14:textId="77777777" w:rsidR="00053D93" w:rsidRDefault="00260B75">
      <w:pPr>
        <w:spacing w:after="60" w:line="269" w:lineRule="auto"/>
        <w:ind w:left="60" w:right="14" w:hanging="3"/>
        <w:jc w:val="both"/>
      </w:pPr>
      <w:r>
        <w:rPr>
          <w:sz w:val="26"/>
        </w:rPr>
        <w:t>1 "...que con Acta No. 1 13-2023 de fecha 29 de diciembre de 2023, fui notificado que mi contrato no será prorrogado para el año 2024, por lo que la finalización del 1 contrato surte efectos a partir del 01 de enero 2024.</w:t>
      </w:r>
    </w:p>
    <w:p w14:paraId="7E5E7A9B" w14:textId="77777777" w:rsidR="00053D93" w:rsidRDefault="00260B75">
      <w:pPr>
        <w:spacing w:after="175" w:line="216" w:lineRule="auto"/>
        <w:ind w:left="57" w:right="14" w:firstLine="1613"/>
        <w:jc w:val="both"/>
      </w:pPr>
      <w:r>
        <w:rPr>
          <w:sz w:val="26"/>
        </w:rPr>
        <w:t>Por lo que con base a los artículos 4, 12, 14, 15 y 28 de la Constitución Política de 1</w:t>
      </w:r>
      <w:r>
        <w:rPr>
          <w:sz w:val="26"/>
        </w:rPr>
        <w:tab/>
        <w:t>la República de Guatemala, se me excluya de dicho proceso..."</w:t>
      </w:r>
    </w:p>
    <w:p w14:paraId="09928C5D" w14:textId="77777777" w:rsidR="00053D93" w:rsidRDefault="00260B75">
      <w:pPr>
        <w:spacing w:after="609" w:line="269" w:lineRule="auto"/>
        <w:ind w:left="57" w:right="14" w:firstLine="1613"/>
        <w:jc w:val="both"/>
      </w:pPr>
      <w:r>
        <w:rPr>
          <w:sz w:val="26"/>
        </w:rPr>
        <w:t xml:space="preserve">En Oficio No. DIGECADE-SAF/149-2025, del 1 1 de abril de 2025, el licenciado 1 Marcell Antonio Romero Aguilar, quien fungió como Encargado de la Subdirección Administrativa Financiera, por el período comprendido del 16 de enero de 2018 al 1 27 de abril de 2020, manifiesta: Para el desvanecimiento del hallazgo en mención, únicamente se cuenta con los oficios DIGECADE/261-2017, DIGECADE/062-2018 y DIGECADE-SAF-451-2022, mediante los cuales se 1 giraron instrucciones al señor Oscar René Cabrera García, quien fungía como </w:t>
      </w:r>
      <w:r>
        <w:rPr>
          <w:noProof/>
        </w:rPr>
        <w:drawing>
          <wp:inline distT="0" distB="0" distL="0" distR="0" wp14:anchorId="695D3E6C" wp14:editId="3930B0F1">
            <wp:extent cx="13716" cy="9144"/>
            <wp:effectExtent l="0" t="0" r="0" b="0"/>
            <wp:docPr id="1219098" name="Picture 1219098"/>
            <wp:cNvGraphicFramePr/>
            <a:graphic xmlns:a="http://schemas.openxmlformats.org/drawingml/2006/main">
              <a:graphicData uri="http://schemas.openxmlformats.org/drawingml/2006/picture">
                <pic:pic xmlns:pic="http://schemas.openxmlformats.org/drawingml/2006/picture">
                  <pic:nvPicPr>
                    <pic:cNvPr id="1219098" name="Picture 1219098"/>
                    <pic:cNvPicPr/>
                  </pic:nvPicPr>
                  <pic:blipFill>
                    <a:blip r:embed="rId1361"/>
                    <a:stretch>
                      <a:fillRect/>
                    </a:stretch>
                  </pic:blipFill>
                  <pic:spPr>
                    <a:xfrm>
                      <a:off x="0" y="0"/>
                      <a:ext cx="13716" cy="9144"/>
                    </a:xfrm>
                    <a:prstGeom prst="rect">
                      <a:avLst/>
                    </a:prstGeom>
                  </pic:spPr>
                </pic:pic>
              </a:graphicData>
            </a:graphic>
          </wp:inline>
        </w:drawing>
      </w:r>
      <w:r>
        <w:rPr>
          <w:sz w:val="26"/>
        </w:rPr>
        <w:t xml:space="preserve"> Encargado de Inventarios de la DIGECADE.</w:t>
      </w:r>
    </w:p>
    <w:p w14:paraId="561F8F98" w14:textId="77777777" w:rsidR="00053D93" w:rsidRDefault="00260B75">
      <w:pPr>
        <w:tabs>
          <w:tab w:val="right" w:pos="10123"/>
        </w:tabs>
        <w:spacing w:after="4" w:line="269" w:lineRule="auto"/>
      </w:pPr>
      <w:r>
        <w:rPr>
          <w:sz w:val="26"/>
        </w:rPr>
        <w:t>1</w:t>
      </w:r>
      <w:r>
        <w:rPr>
          <w:sz w:val="26"/>
        </w:rPr>
        <w:tab/>
        <w:t>Aunado a [o anterior, se informa que el archivo físico de la Subdirección</w:t>
      </w:r>
    </w:p>
    <w:p w14:paraId="13D4A2D2" w14:textId="77777777" w:rsidR="00053D93" w:rsidRDefault="00260B75">
      <w:pPr>
        <w:spacing w:after="4" w:line="319" w:lineRule="auto"/>
        <w:ind w:left="57" w:right="14" w:firstLine="1570"/>
        <w:jc w:val="both"/>
      </w:pPr>
      <w:r>
        <w:rPr>
          <w:sz w:val="26"/>
        </w:rPr>
        <w:t>Administrativa Financiera fue reubicado en el año 2022 a la bodega del Ministerio 1 de Educación, ubicada en la zona 1 1 de la Ciudad Capital. Dicha reubicación fue autorizada por el licenciado Walfred Ramiro Vásquez Cataví, en su calidad de</w:t>
      </w:r>
    </w:p>
    <w:p w14:paraId="5F771BA4" w14:textId="77777777" w:rsidR="00053D93" w:rsidRDefault="00260B75">
      <w:pPr>
        <w:spacing w:after="4" w:line="269" w:lineRule="auto"/>
        <w:ind w:left="1630" w:right="14" w:hanging="3"/>
        <w:jc w:val="both"/>
      </w:pPr>
      <w:r>
        <w:rPr>
          <w:sz w:val="26"/>
        </w:rPr>
        <w:t>Subdirector Administrativo Financiero.</w:t>
      </w:r>
    </w:p>
    <w:p w14:paraId="776C5C1C" w14:textId="77777777" w:rsidR="00053D93" w:rsidRDefault="00260B75">
      <w:pPr>
        <w:spacing w:after="0"/>
        <w:ind w:left="22"/>
      </w:pPr>
      <w:r>
        <w:rPr>
          <w:noProof/>
        </w:rPr>
        <w:drawing>
          <wp:inline distT="0" distB="0" distL="0" distR="0" wp14:anchorId="1C00E31F" wp14:editId="6915E05F">
            <wp:extent cx="9144" cy="4572"/>
            <wp:effectExtent l="0" t="0" r="0" b="0"/>
            <wp:docPr id="1219099" name="Picture 1219099"/>
            <wp:cNvGraphicFramePr/>
            <a:graphic xmlns:a="http://schemas.openxmlformats.org/drawingml/2006/main">
              <a:graphicData uri="http://schemas.openxmlformats.org/drawingml/2006/picture">
                <pic:pic xmlns:pic="http://schemas.openxmlformats.org/drawingml/2006/picture">
                  <pic:nvPicPr>
                    <pic:cNvPr id="1219099" name="Picture 1219099"/>
                    <pic:cNvPicPr/>
                  </pic:nvPicPr>
                  <pic:blipFill>
                    <a:blip r:embed="rId24"/>
                    <a:stretch>
                      <a:fillRect/>
                    </a:stretch>
                  </pic:blipFill>
                  <pic:spPr>
                    <a:xfrm>
                      <a:off x="0" y="0"/>
                      <a:ext cx="9144" cy="4572"/>
                    </a:xfrm>
                    <a:prstGeom prst="rect">
                      <a:avLst/>
                    </a:prstGeom>
                  </pic:spPr>
                </pic:pic>
              </a:graphicData>
            </a:graphic>
          </wp:inline>
        </w:drawing>
      </w:r>
    </w:p>
    <w:p w14:paraId="13168FD7" w14:textId="77777777" w:rsidR="00053D93" w:rsidRDefault="00053D93">
      <w:pPr>
        <w:sectPr w:rsidR="00053D93">
          <w:headerReference w:type="even" r:id="rId1653"/>
          <w:headerReference w:type="default" r:id="rId1654"/>
          <w:footerReference w:type="even" r:id="rId1655"/>
          <w:footerReference w:type="default" r:id="rId1656"/>
          <w:headerReference w:type="first" r:id="rId1657"/>
          <w:footerReference w:type="first" r:id="rId1658"/>
          <w:pgSz w:w="12290" w:h="15883"/>
          <w:pgMar w:top="792" w:right="1822" w:bottom="691" w:left="346" w:header="360" w:footer="720" w:gutter="0"/>
          <w:cols w:space="720"/>
          <w:titlePg/>
        </w:sectPr>
      </w:pPr>
    </w:p>
    <w:p w14:paraId="6398F3B6" w14:textId="77777777" w:rsidR="00053D93" w:rsidRDefault="00260B75">
      <w:pPr>
        <w:spacing w:after="171" w:line="353" w:lineRule="auto"/>
        <w:ind w:left="10" w:right="1130" w:hanging="10"/>
        <w:jc w:val="right"/>
      </w:pPr>
      <w:r>
        <w:rPr>
          <w:sz w:val="14"/>
        </w:rPr>
        <w:t xml:space="preserve">EDUCACtÓN. </w:t>
      </w:r>
    </w:p>
    <w:p w14:paraId="7DCA6754" w14:textId="77777777" w:rsidR="00053D93" w:rsidRDefault="00260B75">
      <w:pPr>
        <w:spacing w:after="42"/>
        <w:ind w:left="1642"/>
      </w:pPr>
      <w:r>
        <w:rPr>
          <w:noProof/>
        </w:rPr>
        <mc:AlternateContent>
          <mc:Choice Requires="wpg">
            <w:drawing>
              <wp:inline distT="0" distB="0" distL="0" distR="0" wp14:anchorId="074D7AA0" wp14:editId="426604FF">
                <wp:extent cx="5381244" cy="9144"/>
                <wp:effectExtent l="0" t="0" r="0" b="0"/>
                <wp:docPr id="2458935" name="Group 2458935"/>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934" name="Shape 2458934"/>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35" style="width:423.72pt;height:0.719994pt;mso-position-horizontal-relative:char;mso-position-vertical-relative:line" coordsize="53812,91">
                <v:shape id="Shape 2458934" style="position:absolute;width:53812;height:91;left:0;top:0;" coordsize="5381244,9144" path="m0,4572l5381244,4572">
                  <v:stroke weight="0.719994pt" endcap="flat" joinstyle="miter" miterlimit="1" on="true" color="#000000"/>
                  <v:fill on="false" color="#000000"/>
                </v:shape>
              </v:group>
            </w:pict>
          </mc:Fallback>
        </mc:AlternateContent>
      </w:r>
    </w:p>
    <w:p w14:paraId="58EAF607" w14:textId="77777777" w:rsidR="00053D93" w:rsidRDefault="00260B75">
      <w:pPr>
        <w:spacing w:after="117" w:line="269" w:lineRule="auto"/>
        <w:ind w:left="60" w:right="14" w:hanging="3"/>
        <w:jc w:val="both"/>
      </w:pPr>
      <w:r>
        <w:rPr>
          <w:noProof/>
        </w:rPr>
        <mc:AlternateContent>
          <mc:Choice Requires="wpg">
            <w:drawing>
              <wp:anchor distT="0" distB="0" distL="114300" distR="114300" simplePos="0" relativeHeight="252291072" behindDoc="0" locked="0" layoutInCell="1" allowOverlap="1" wp14:anchorId="5EDA7F4E" wp14:editId="7F52B6E9">
                <wp:simplePos x="0" y="0"/>
                <wp:positionH relativeFrom="column">
                  <wp:posOffset>0</wp:posOffset>
                </wp:positionH>
                <wp:positionV relativeFrom="paragraph">
                  <wp:posOffset>407387</wp:posOffset>
                </wp:positionV>
                <wp:extent cx="123444" cy="301752"/>
                <wp:effectExtent l="0" t="0" r="0" b="0"/>
                <wp:wrapSquare wrapText="bothSides"/>
                <wp:docPr id="2457626" name="Group 2457626"/>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1219797" name="Rectangle 1219797"/>
                        <wps:cNvSpPr/>
                        <wps:spPr>
                          <a:xfrm>
                            <a:off x="0" y="0"/>
                            <a:ext cx="164181" cy="401330"/>
                          </a:xfrm>
                          <a:prstGeom prst="rect">
                            <a:avLst/>
                          </a:prstGeom>
                          <a:ln>
                            <a:noFill/>
                          </a:ln>
                        </wps:spPr>
                        <wps:txbx>
                          <w:txbxContent>
                            <w:p w14:paraId="3315C408"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5EDA7F4E" id="Group 2457626" o:spid="_x0000_s1760" style="position:absolute;left:0;text-align:left;margin-left:0;margin-top:32.1pt;width:9.7pt;height:23.75pt;z-index:252291072;mso-position-horizontal-relative:text;mso-position-vertical-relative:text"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">
                <v:rect id="Rectangle 1219797" o:spid="_x0000_s1761"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" filled="f" stroked="f">
                  <v:textbox inset="0,0,0,0">
                    <w:txbxContent>
                      <w:p w14:paraId="3315C408" w14:textId="77777777" w:rsidR="00053D93" w:rsidRDefault="00260B75">
                        <w:r>
                          <w:rPr>
                            <w:sz w:val="74"/>
                          </w:rPr>
                          <w:t>1</w:t>
                        </w:r>
                      </w:p>
                    </w:txbxContent>
                  </v:textbox>
                </v:rect>
                <w10:wrap type="square"/>
              </v:group>
            </w:pict>
          </mc:Fallback>
        </mc:AlternateContent>
      </w:r>
      <w:r>
        <w:rPr>
          <w:sz w:val="26"/>
        </w:rPr>
        <w:t xml:space="preserve">1 Posteriormente, en diciembre de 2024, el archivo fue nuevamente trasladado, esta vez con autorización de la licenciada Claudia Elizabeth Morales García, Directora de DIGECADE. Sin embargo, esta segunda reubicación se realizó sin el debido control documental, [o que generó un desorden en el archivo, imposibilitando la localización de los documentos de soporte necesarios para el desvanecimiento del </w:t>
      </w:r>
      <w:r>
        <w:rPr>
          <w:noProof/>
        </w:rPr>
        <mc:AlternateContent>
          <mc:Choice Requires="wpg">
            <w:drawing>
              <wp:inline distT="0" distB="0" distL="0" distR="0" wp14:anchorId="23401836" wp14:editId="6CED83FD">
                <wp:extent cx="114300" cy="297180"/>
                <wp:effectExtent l="0" t="0" r="0" b="0"/>
                <wp:docPr id="2457627" name="Group 2457627"/>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219798" name="Rectangle 1219798"/>
                        <wps:cNvSpPr/>
                        <wps:spPr>
                          <a:xfrm>
                            <a:off x="0" y="0"/>
                            <a:ext cx="152019" cy="395250"/>
                          </a:xfrm>
                          <a:prstGeom prst="rect">
                            <a:avLst/>
                          </a:prstGeom>
                          <a:ln>
                            <a:noFill/>
                          </a:ln>
                        </wps:spPr>
                        <wps:txbx>
                          <w:txbxContent>
                            <w:p w14:paraId="6CD42835"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23401836" id="Group 2457627" o:spid="_x0000_s1762"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">
                <v:rect id="Rectangle 1219798" o:spid="_x0000_s1763"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" filled="f" stroked="f">
                  <v:textbox inset="0,0,0,0">
                    <w:txbxContent>
                      <w:p w14:paraId="6CD42835" w14:textId="77777777" w:rsidR="00053D93" w:rsidRDefault="00260B75">
                        <w:r>
                          <w:rPr>
                            <w:sz w:val="70"/>
                          </w:rPr>
                          <w:t>1</w:t>
                        </w:r>
                      </w:p>
                    </w:txbxContent>
                  </v:textbox>
                </v:rect>
                <w10:anchorlock/>
              </v:group>
            </w:pict>
          </mc:Fallback>
        </mc:AlternateContent>
      </w:r>
      <w:r>
        <w:rPr>
          <w:sz w:val="26"/>
        </w:rPr>
        <w:t xml:space="preserve"> referido hallazgo..."</w:t>
      </w:r>
    </w:p>
    <w:p w14:paraId="48ED55C4" w14:textId="77777777" w:rsidR="00053D93" w:rsidRDefault="00260B75">
      <w:pPr>
        <w:spacing w:after="4" w:line="216" w:lineRule="auto"/>
        <w:ind w:left="57" w:right="14" w:firstLine="1656"/>
        <w:jc w:val="both"/>
      </w:pPr>
      <w:r>
        <w:rPr>
          <w:sz w:val="26"/>
        </w:rPr>
        <w:t>El señor Oscar René Cabrera García, quien fungió como Encargado de 1 Inventarios, por el período comprendido del 01 de enero del 2018 al 26 de junio de</w:t>
      </w:r>
    </w:p>
    <w:p w14:paraId="54001745" w14:textId="77777777" w:rsidR="00053D93" w:rsidRDefault="00260B75">
      <w:pPr>
        <w:spacing w:after="230" w:line="269" w:lineRule="auto"/>
        <w:ind w:left="57" w:right="14" w:firstLine="1642"/>
        <w:jc w:val="both"/>
      </w:pPr>
      <w:r>
        <w:rPr>
          <w:sz w:val="26"/>
        </w:rPr>
        <w:t>2024, a quien se le notificó el Oficio No.: CGC-DAS-03-0037-AFC1 MINEDUC-DlGECADE-NOT[F-01-2025, de fecha 02 de Abril de 2025, el hallazgo para su discusión y presentación de pruebas de descargo para el 21 de abril de 2025, la notificación fue realizada por medio de Comunicaciones Electrónicas de la 1 Contraloría General de Cuentas, según constancia de comunicación electrónica No. 36079, de fecha 02 de abril de 2025; quien no se presentó a la reunión virtual para discusión de hallazgos, ni presentó pruebas de descargo por medio de 1 comunicación electrónica, ni otro medio electrónico, Io cual consta en la Videoconferencia del 21 de abril de 2025.</w:t>
      </w:r>
    </w:p>
    <w:p w14:paraId="22898E75" w14:textId="77777777" w:rsidR="00053D93" w:rsidRDefault="00260B75">
      <w:pPr>
        <w:spacing w:after="3"/>
        <w:ind w:left="24" w:hanging="10"/>
      </w:pPr>
      <w:r>
        <w:rPr>
          <w:sz w:val="72"/>
        </w:rPr>
        <w:t>1</w:t>
      </w:r>
    </w:p>
    <w:p w14:paraId="122AD08F" w14:textId="77777777" w:rsidR="00053D93" w:rsidRDefault="00260B75">
      <w:pPr>
        <w:spacing w:after="4" w:line="266" w:lineRule="auto"/>
        <w:ind w:left="1659" w:hanging="10"/>
      </w:pPr>
      <w:r>
        <w:rPr>
          <w:sz w:val="28"/>
        </w:rPr>
        <w:t>Comentario de auditoría</w:t>
      </w:r>
    </w:p>
    <w:tbl>
      <w:tblPr>
        <w:tblStyle w:val="TableGrid"/>
        <w:tblpPr w:vertAnchor="page" w:horzAnchor="page" w:tblpX="2830" w:tblpY="14566"/>
        <w:tblOverlap w:val="never"/>
        <w:tblW w:w="7625" w:type="dxa"/>
        <w:tblInd w:w="0" w:type="dxa"/>
        <w:tblCellMar>
          <w:top w:w="47" w:type="dxa"/>
          <w:left w:w="1757" w:type="dxa"/>
          <w:right w:w="115" w:type="dxa"/>
        </w:tblCellMar>
        <w:tblLook w:val="04A0" w:firstRow="1" w:lastRow="0" w:firstColumn="1" w:lastColumn="0" w:noHBand="0" w:noVBand="1"/>
      </w:tblPr>
      <w:tblGrid>
        <w:gridCol w:w="7625"/>
      </w:tblGrid>
      <w:tr w:rsidR="00053D93" w14:paraId="1884DE07" w14:textId="77777777">
        <w:trPr>
          <w:trHeight w:val="50"/>
        </w:trPr>
        <w:tc>
          <w:tcPr>
            <w:tcW w:w="7625" w:type="dxa"/>
            <w:tcBorders>
              <w:top w:val="nil"/>
              <w:left w:val="single" w:sz="2" w:space="0" w:color="000000"/>
              <w:bottom w:val="single" w:sz="2" w:space="0" w:color="000000"/>
              <w:right w:val="nil"/>
            </w:tcBorders>
          </w:tcPr>
          <w:p w14:paraId="0F8FBE51" w14:textId="77777777" w:rsidR="00053D93" w:rsidRDefault="00053D93"/>
        </w:tc>
      </w:tr>
      <w:tr w:rsidR="00053D93" w14:paraId="357A36E6" w14:textId="77777777">
        <w:trPr>
          <w:trHeight w:val="590"/>
        </w:trPr>
        <w:tc>
          <w:tcPr>
            <w:tcW w:w="7625" w:type="dxa"/>
            <w:tcBorders>
              <w:top w:val="single" w:sz="2" w:space="0" w:color="000000"/>
              <w:left w:val="single" w:sz="2" w:space="0" w:color="000000"/>
              <w:bottom w:val="nil"/>
              <w:right w:val="nil"/>
            </w:tcBorders>
          </w:tcPr>
          <w:p w14:paraId="3C4679A7" w14:textId="77777777" w:rsidR="00053D93" w:rsidRDefault="00260B75">
            <w:pPr>
              <w:ind w:left="828"/>
            </w:pPr>
            <w:r>
              <w:rPr>
                <w:sz w:val="14"/>
              </w:rPr>
              <w:t>MINISTERIO DE EDUCACION</w:t>
            </w:r>
          </w:p>
          <w:p w14:paraId="76B5BD9A" w14:textId="77777777" w:rsidR="00053D93" w:rsidRDefault="00260B75">
            <w:pPr>
              <w:ind w:left="331"/>
            </w:pPr>
            <w:r>
              <w:rPr>
                <w:sz w:val="14"/>
              </w:rPr>
              <w:t>AUDITORIA FINANCIERA Y DE CUMPLIMIENTO</w:t>
            </w:r>
          </w:p>
          <w:p w14:paraId="3537B728" w14:textId="77777777" w:rsidR="00053D93" w:rsidRDefault="00260B75">
            <w:r>
              <w:rPr>
                <w:sz w:val="14"/>
              </w:rPr>
              <w:t>PERIODO DEL DE ENERO AL 31 DE DICIEMBRE DE 2024</w:t>
            </w:r>
          </w:p>
        </w:tc>
      </w:tr>
    </w:tbl>
    <w:p w14:paraId="2C98E654" w14:textId="77777777" w:rsidR="00053D93" w:rsidRDefault="00260B75">
      <w:pPr>
        <w:spacing w:after="58" w:line="273" w:lineRule="auto"/>
        <w:ind w:left="21" w:firstLine="1627"/>
      </w:pPr>
      <w:r>
        <w:rPr>
          <w:noProof/>
        </w:rPr>
        <w:drawing>
          <wp:anchor distT="0" distB="0" distL="114300" distR="114300" simplePos="0" relativeHeight="252292096" behindDoc="0" locked="0" layoutInCell="1" allowOverlap="0" wp14:anchorId="6EED7FD6" wp14:editId="284E298F">
            <wp:simplePos x="0" y="0"/>
            <wp:positionH relativeFrom="page">
              <wp:posOffset>658368</wp:posOffset>
            </wp:positionH>
            <wp:positionV relativeFrom="page">
              <wp:posOffset>9244585</wp:posOffset>
            </wp:positionV>
            <wp:extent cx="1115568" cy="411480"/>
            <wp:effectExtent l="0" t="0" r="0" b="0"/>
            <wp:wrapTopAndBottom/>
            <wp:docPr id="1222842" name="Picture 1222842"/>
            <wp:cNvGraphicFramePr/>
            <a:graphic xmlns:a="http://schemas.openxmlformats.org/drawingml/2006/main">
              <a:graphicData uri="http://schemas.openxmlformats.org/drawingml/2006/picture">
                <pic:pic xmlns:pic="http://schemas.openxmlformats.org/drawingml/2006/picture">
                  <pic:nvPicPr>
                    <pic:cNvPr id="1222842" name="Picture 1222842"/>
                    <pic:cNvPicPr/>
                  </pic:nvPicPr>
                  <pic:blipFill>
                    <a:blip r:embed="rId1659"/>
                    <a:stretch>
                      <a:fillRect/>
                    </a:stretch>
                  </pic:blipFill>
                  <pic:spPr>
                    <a:xfrm>
                      <a:off x="0" y="0"/>
                      <a:ext cx="1115568" cy="411480"/>
                    </a:xfrm>
                    <a:prstGeom prst="rect">
                      <a:avLst/>
                    </a:prstGeom>
                  </pic:spPr>
                </pic:pic>
              </a:graphicData>
            </a:graphic>
          </wp:anchor>
        </w:drawing>
      </w:r>
      <w:r>
        <w:rPr>
          <w:noProof/>
        </w:rPr>
        <w:drawing>
          <wp:anchor distT="0" distB="0" distL="114300" distR="114300" simplePos="0" relativeHeight="252293120" behindDoc="0" locked="0" layoutInCell="1" allowOverlap="0" wp14:anchorId="599D0D51" wp14:editId="7914C95E">
            <wp:simplePos x="0" y="0"/>
            <wp:positionH relativeFrom="page">
              <wp:posOffset>201168</wp:posOffset>
            </wp:positionH>
            <wp:positionV relativeFrom="page">
              <wp:posOffset>850392</wp:posOffset>
            </wp:positionV>
            <wp:extent cx="9144" cy="4572"/>
            <wp:effectExtent l="0" t="0" r="0" b="0"/>
            <wp:wrapTopAndBottom/>
            <wp:docPr id="1222805" name="Picture 1222805"/>
            <wp:cNvGraphicFramePr/>
            <a:graphic xmlns:a="http://schemas.openxmlformats.org/drawingml/2006/main">
              <a:graphicData uri="http://schemas.openxmlformats.org/drawingml/2006/picture">
                <pic:pic xmlns:pic="http://schemas.openxmlformats.org/drawingml/2006/picture">
                  <pic:nvPicPr>
                    <pic:cNvPr id="1222805" name="Picture 1222805"/>
                    <pic:cNvPicPr/>
                  </pic:nvPicPr>
                  <pic:blipFill>
                    <a:blip r:embed="rId24"/>
                    <a:stretch>
                      <a:fillRect/>
                    </a:stretch>
                  </pic:blipFill>
                  <pic:spPr>
                    <a:xfrm>
                      <a:off x="0" y="0"/>
                      <a:ext cx="9144" cy="4572"/>
                    </a:xfrm>
                    <a:prstGeom prst="rect">
                      <a:avLst/>
                    </a:prstGeom>
                  </pic:spPr>
                </pic:pic>
              </a:graphicData>
            </a:graphic>
          </wp:anchor>
        </w:drawing>
      </w:r>
      <w:r>
        <w:rPr>
          <w:sz w:val="26"/>
        </w:rPr>
        <w:t>Se confirma el hallazgo, para el licenciado Walfred Ramiro Vasquez Cataví, quien 1</w:t>
      </w:r>
      <w:r>
        <w:rPr>
          <w:sz w:val="26"/>
        </w:rPr>
        <w:tab/>
        <w:t>fungió como Subdirector Administrativo Financiero, durante el período comprendido det 21 de enero de 2022 al 31 de diciembre de 2023, en virtud que,</w:t>
      </w:r>
    </w:p>
    <w:p w14:paraId="00C8F704" w14:textId="77777777" w:rsidR="00053D93" w:rsidRDefault="00260B75">
      <w:pPr>
        <w:spacing w:after="4" w:line="269" w:lineRule="auto"/>
        <w:ind w:left="60" w:right="14" w:hanging="3"/>
        <w:jc w:val="both"/>
      </w:pPr>
      <w:r>
        <w:rPr>
          <w:sz w:val="26"/>
        </w:rPr>
        <w:t>1 sus comentarios y pruebas de descargo, no desvanecen los hechos que se le atribuyen; derivado que, el responsable manifiesta que según Acta No. 1 13-2023 de fecha 29 de diciembre de 2023, fue notificado que su contrato no sería 1 prorrogado para el año 2024, si bien indica que su contrato finalizó el 01 de enero de 2024, esto no lo exime de su responsabilidad durante el período en que fungió como Subdirector Administrativo Financiero de enero de 2022 a diciembre de 1 2023; derivado que, existe falta de conciliación del libro de inventarios con el</w:t>
      </w:r>
    </w:p>
    <w:p w14:paraId="38B90768" w14:textId="77777777" w:rsidR="00053D93" w:rsidRDefault="00260B75">
      <w:pPr>
        <w:spacing w:after="305" w:line="216" w:lineRule="auto"/>
        <w:ind w:left="57" w:right="14" w:firstLine="1598"/>
        <w:jc w:val="both"/>
      </w:pPr>
      <w:r>
        <w:rPr>
          <w:sz w:val="26"/>
        </w:rPr>
        <w:t>Sistema de Contabilidad Integrada -SICOIN-, ya que, el 29 de octubre de 2024, se 1</w:t>
      </w:r>
      <w:r>
        <w:rPr>
          <w:sz w:val="26"/>
        </w:rPr>
        <w:tab/>
        <w:t>constató que el Libro de Inventarios cuenta con registros hasta el año 2018.</w:t>
      </w:r>
    </w:p>
    <w:p w14:paraId="2D5DE80A" w14:textId="77777777" w:rsidR="00053D93" w:rsidRDefault="00260B75">
      <w:pPr>
        <w:spacing w:after="4" w:line="269" w:lineRule="auto"/>
        <w:ind w:left="57" w:right="14" w:firstLine="1634"/>
        <w:jc w:val="both"/>
      </w:pPr>
      <w:r>
        <w:rPr>
          <w:sz w:val="26"/>
        </w:rPr>
        <w:t xml:space="preserve">Finalmente, el responsable exterioriza que se excluya de dicho proceso con base </w:t>
      </w:r>
      <w:r>
        <w:rPr>
          <w:noProof/>
        </w:rPr>
        <w:drawing>
          <wp:inline distT="0" distB="0" distL="0" distR="0" wp14:anchorId="2D7E1F66" wp14:editId="5A875675">
            <wp:extent cx="9144" cy="9144"/>
            <wp:effectExtent l="0" t="0" r="0" b="0"/>
            <wp:docPr id="1222806" name="Picture 1222806"/>
            <wp:cNvGraphicFramePr/>
            <a:graphic xmlns:a="http://schemas.openxmlformats.org/drawingml/2006/main">
              <a:graphicData uri="http://schemas.openxmlformats.org/drawingml/2006/picture">
                <pic:pic xmlns:pic="http://schemas.openxmlformats.org/drawingml/2006/picture">
                  <pic:nvPicPr>
                    <pic:cNvPr id="1222806" name="Picture 1222806"/>
                    <pic:cNvPicPr/>
                  </pic:nvPicPr>
                  <pic:blipFill>
                    <a:blip r:embed="rId93"/>
                    <a:stretch>
                      <a:fillRect/>
                    </a:stretch>
                  </pic:blipFill>
                  <pic:spPr>
                    <a:xfrm>
                      <a:off x="0" y="0"/>
                      <a:ext cx="9144" cy="9144"/>
                    </a:xfrm>
                    <a:prstGeom prst="rect">
                      <a:avLst/>
                    </a:prstGeom>
                  </pic:spPr>
                </pic:pic>
              </a:graphicData>
            </a:graphic>
          </wp:inline>
        </w:drawing>
      </w:r>
      <w:r>
        <w:rPr>
          <w:sz w:val="26"/>
        </w:rPr>
        <w:t>1 a los artículos 4, 12, 14, 15 y 28 de la Constitución Política de la República de Guatemala; sin embargo, dicho cuerpo legal en su articulo 155 Responsabilidad por infracción a la ley, indica que la responsabilidad civil de los funcionarios y 1 empleados públicos podrá deducirse mientras no se hubiere consumado la prescripción, cuyo término será de veinte años; por esa razón, no se [e puede 1 excluir de dicho proceso, derivado que, no ha prescrito la infracción a la ley cometida, relacionada con la obligación de velar, supervisar y garantizar el cumplimiento normativo; en virtud que, no veló porque el Encargado de Inventarios 1 realizara la conciliación de los saldos del Libro de Inventario de Activos Fijos con</w:t>
      </w:r>
    </w:p>
    <w:p w14:paraId="069BA2F9" w14:textId="77777777" w:rsidR="00053D93" w:rsidRDefault="00260B75">
      <w:pPr>
        <w:spacing w:after="34"/>
        <w:ind w:left="1289" w:right="-7"/>
      </w:pPr>
      <w:r>
        <w:rPr>
          <w:noProof/>
        </w:rPr>
        <mc:AlternateContent>
          <mc:Choice Requires="wpg">
            <w:drawing>
              <wp:inline distT="0" distB="0" distL="0" distR="0" wp14:anchorId="150CAE82" wp14:editId="228F6933">
                <wp:extent cx="5618988" cy="9144"/>
                <wp:effectExtent l="0" t="0" r="0" b="0"/>
                <wp:docPr id="2458937" name="Group 2458937"/>
                <wp:cNvGraphicFramePr/>
                <a:graphic xmlns:a="http://schemas.openxmlformats.org/drawingml/2006/main">
                  <a:graphicData uri="http://schemas.microsoft.com/office/word/2010/wordprocessingGroup">
                    <wpg:wgp>
                      <wpg:cNvGrpSpPr/>
                      <wpg:grpSpPr>
                        <a:xfrm>
                          <a:off x="0" y="0"/>
                          <a:ext cx="5618988" cy="9144"/>
                          <a:chOff x="0" y="0"/>
                          <a:chExt cx="5618988" cy="9144"/>
                        </a:xfrm>
                      </wpg:grpSpPr>
                      <wps:wsp>
                        <wps:cNvPr id="2458936" name="Shape 2458936"/>
                        <wps:cNvSpPr/>
                        <wps:spPr>
                          <a:xfrm>
                            <a:off x="0" y="0"/>
                            <a:ext cx="5618988" cy="9144"/>
                          </a:xfrm>
                          <a:custGeom>
                            <a:avLst/>
                            <a:gdLst/>
                            <a:ahLst/>
                            <a:cxnLst/>
                            <a:rect l="0" t="0" r="0" b="0"/>
                            <a:pathLst>
                              <a:path w="5618988" h="9144">
                                <a:moveTo>
                                  <a:pt x="0" y="4572"/>
                                </a:moveTo>
                                <a:lnTo>
                                  <a:pt x="561898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37" style="width:442.44pt;height:0.720005pt;mso-position-horizontal-relative:char;mso-position-vertical-relative:line" coordsize="56189,91">
                <v:shape id="Shape 2458936" style="position:absolute;width:56189;height:91;left:0;top:0;" coordsize="5618988,9144" path="m0,4572l5618988,4572">
                  <v:stroke weight="0.720005pt" endcap="flat" joinstyle="miter" miterlimit="1" on="true" color="#000000"/>
                  <v:fill on="false" color="#000000"/>
                </v:shape>
              </v:group>
            </w:pict>
          </mc:Fallback>
        </mc:AlternateContent>
      </w:r>
    </w:p>
    <w:p w14:paraId="1BC7EE0B" w14:textId="77777777" w:rsidR="00053D93" w:rsidRDefault="00260B75">
      <w:pPr>
        <w:spacing w:after="616" w:line="314" w:lineRule="auto"/>
        <w:ind w:left="46" w:hanging="32"/>
      </w:pPr>
      <w:r>
        <w:rPr>
          <w:sz w:val="26"/>
        </w:rPr>
        <w:t>1</w:t>
      </w:r>
      <w:r>
        <w:rPr>
          <w:sz w:val="26"/>
        </w:rPr>
        <w:tab/>
        <w:t>los Formularios FIN-OI "Formulario Resumen de Inventario Institucional" y FIN-02 "Formulario Detalle de Inventario por Cuenta" del Sistema de Contabilidad Integrada -SICOIN-; asimismo, no supervisó el cumplimiento de los 1</w:t>
      </w:r>
      <w:r>
        <w:rPr>
          <w:sz w:val="26"/>
        </w:rPr>
        <w:tab/>
        <w:t>procedimientos de conciliación establecidos en las normativas vigentes, durante el período que estuvo como Subdirector Administrativo Financiero.</w:t>
      </w:r>
    </w:p>
    <w:p w14:paraId="6003EFB0" w14:textId="77777777" w:rsidR="00053D93" w:rsidRDefault="00260B75">
      <w:pPr>
        <w:spacing w:after="234" w:line="250" w:lineRule="auto"/>
        <w:ind w:left="31" w:right="14" w:hanging="3"/>
        <w:jc w:val="both"/>
      </w:pPr>
      <w:r>
        <w:rPr>
          <w:sz w:val="26"/>
        </w:rPr>
        <w:t>1 Es preciso indicar que giró instrucciones para realizar la conciliación, registro y toma física de los inventarios, el 1 5 de junio de 2023, a través del 1 OFICIO-SAF-DlGECADE-317-2023 dirigido al encargado de inventarios; sin embargo, no presentó evidencia que demuestre que le dio seguimiento al cumplimiento de las instrucciones giradas, durante el período que estuvo como 1 Subdirector Administrativo Financiero, ya que, el 29 de octubre de 2024, se constató que el Libro de Inventarios cuenta con registros hasta el año 2018.</w:t>
      </w:r>
    </w:p>
    <w:p w14:paraId="120F2F06" w14:textId="77777777" w:rsidR="00053D93" w:rsidRDefault="00260B75">
      <w:pPr>
        <w:spacing w:after="3"/>
        <w:ind w:left="45" w:hanging="10"/>
      </w:pPr>
      <w:r>
        <w:rPr>
          <w:noProof/>
        </w:rPr>
        <w:drawing>
          <wp:inline distT="0" distB="0" distL="0" distR="0" wp14:anchorId="72C3974D" wp14:editId="549053A4">
            <wp:extent cx="4572" cy="9144"/>
            <wp:effectExtent l="0" t="0" r="0" b="0"/>
            <wp:docPr id="1226473" name="Picture 1226473"/>
            <wp:cNvGraphicFramePr/>
            <a:graphic xmlns:a="http://schemas.openxmlformats.org/drawingml/2006/main">
              <a:graphicData uri="http://schemas.openxmlformats.org/drawingml/2006/picture">
                <pic:pic xmlns:pic="http://schemas.openxmlformats.org/drawingml/2006/picture">
                  <pic:nvPicPr>
                    <pic:cNvPr id="1226473" name="Picture 1226473"/>
                    <pic:cNvPicPr/>
                  </pic:nvPicPr>
                  <pic:blipFill>
                    <a:blip r:embed="rId24"/>
                    <a:stretch>
                      <a:fillRect/>
                    </a:stretch>
                  </pic:blipFill>
                  <pic:spPr>
                    <a:xfrm>
                      <a:off x="0" y="0"/>
                      <a:ext cx="4572" cy="9144"/>
                    </a:xfrm>
                    <a:prstGeom prst="rect">
                      <a:avLst/>
                    </a:prstGeom>
                  </pic:spPr>
                </pic:pic>
              </a:graphicData>
            </a:graphic>
          </wp:inline>
        </w:drawing>
      </w:r>
      <w:r>
        <w:rPr>
          <w:sz w:val="72"/>
        </w:rPr>
        <w:t>1</w:t>
      </w:r>
    </w:p>
    <w:tbl>
      <w:tblPr>
        <w:tblStyle w:val="TableGrid"/>
        <w:tblpPr w:vertAnchor="page" w:horzAnchor="page" w:tblpX="2851" w:tblpY="14522"/>
        <w:tblOverlap w:val="never"/>
        <w:tblW w:w="7610" w:type="dxa"/>
        <w:tblInd w:w="0" w:type="dxa"/>
        <w:tblCellMar>
          <w:top w:w="31" w:type="dxa"/>
          <w:left w:w="1742" w:type="dxa"/>
          <w:right w:w="115" w:type="dxa"/>
        </w:tblCellMar>
        <w:tblLook w:val="04A0" w:firstRow="1" w:lastRow="0" w:firstColumn="1" w:lastColumn="0" w:noHBand="0" w:noVBand="1"/>
      </w:tblPr>
      <w:tblGrid>
        <w:gridCol w:w="7610"/>
      </w:tblGrid>
      <w:tr w:rsidR="00053D93" w14:paraId="67408827" w14:textId="77777777">
        <w:trPr>
          <w:trHeight w:val="43"/>
        </w:trPr>
        <w:tc>
          <w:tcPr>
            <w:tcW w:w="7610" w:type="dxa"/>
            <w:tcBorders>
              <w:top w:val="nil"/>
              <w:left w:val="single" w:sz="2" w:space="0" w:color="000000"/>
              <w:bottom w:val="single" w:sz="2" w:space="0" w:color="000000"/>
              <w:right w:val="nil"/>
            </w:tcBorders>
          </w:tcPr>
          <w:p w14:paraId="6B8BA4DC" w14:textId="77777777" w:rsidR="00053D93" w:rsidRDefault="00053D93"/>
        </w:tc>
      </w:tr>
      <w:tr w:rsidR="00053D93" w14:paraId="1FB39EAD" w14:textId="77777777">
        <w:trPr>
          <w:trHeight w:val="590"/>
        </w:trPr>
        <w:tc>
          <w:tcPr>
            <w:tcW w:w="7610" w:type="dxa"/>
            <w:tcBorders>
              <w:top w:val="single" w:sz="2" w:space="0" w:color="000000"/>
              <w:left w:val="single" w:sz="2" w:space="0" w:color="000000"/>
              <w:bottom w:val="nil"/>
              <w:right w:val="nil"/>
            </w:tcBorders>
          </w:tcPr>
          <w:p w14:paraId="31B4204D" w14:textId="77777777" w:rsidR="00053D93" w:rsidRDefault="00260B75">
            <w:pPr>
              <w:ind w:left="842"/>
            </w:pPr>
            <w:r>
              <w:rPr>
                <w:sz w:val="14"/>
              </w:rPr>
              <w:t>MINISTERIO DE EDUCACION</w:t>
            </w:r>
          </w:p>
          <w:p w14:paraId="66480588" w14:textId="77777777" w:rsidR="00053D93" w:rsidRDefault="00260B75">
            <w:pPr>
              <w:ind w:left="346"/>
            </w:pPr>
            <w:r>
              <w:rPr>
                <w:sz w:val="14"/>
              </w:rPr>
              <w:t>AUDITORÍA FINANCIERA Y OE CUMPLIMIENTO</w:t>
            </w:r>
          </w:p>
          <w:p w14:paraId="74093142" w14:textId="77777777" w:rsidR="00053D93" w:rsidRDefault="00260B75">
            <w:r>
              <w:rPr>
                <w:sz w:val="14"/>
              </w:rPr>
              <w:t>FEREODO DEL 01 DE ENERO Al. 31 DE DIC*EM3RE DE 2024</w:t>
            </w:r>
          </w:p>
        </w:tc>
      </w:tr>
    </w:tbl>
    <w:p w14:paraId="48DB0353" w14:textId="77777777" w:rsidR="00053D93" w:rsidRDefault="00260B75">
      <w:pPr>
        <w:spacing w:after="518" w:line="250" w:lineRule="auto"/>
        <w:ind w:left="28" w:right="14" w:firstLine="1634"/>
        <w:jc w:val="both"/>
      </w:pPr>
      <w:r>
        <w:rPr>
          <w:noProof/>
        </w:rPr>
        <w:drawing>
          <wp:anchor distT="0" distB="0" distL="114300" distR="114300" simplePos="0" relativeHeight="252294144" behindDoc="0" locked="0" layoutInCell="1" allowOverlap="0" wp14:anchorId="3FE59F5B" wp14:editId="671F4BA9">
            <wp:simplePos x="0" y="0"/>
            <wp:positionH relativeFrom="page">
              <wp:posOffset>676656</wp:posOffset>
            </wp:positionH>
            <wp:positionV relativeFrom="page">
              <wp:posOffset>9217151</wp:posOffset>
            </wp:positionV>
            <wp:extent cx="1110996" cy="502920"/>
            <wp:effectExtent l="0" t="0" r="0" b="0"/>
            <wp:wrapTopAndBottom/>
            <wp:docPr id="1226607" name="Picture 1226607"/>
            <wp:cNvGraphicFramePr/>
            <a:graphic xmlns:a="http://schemas.openxmlformats.org/drawingml/2006/main">
              <a:graphicData uri="http://schemas.openxmlformats.org/drawingml/2006/picture">
                <pic:pic xmlns:pic="http://schemas.openxmlformats.org/drawingml/2006/picture">
                  <pic:nvPicPr>
                    <pic:cNvPr id="1226607" name="Picture 1226607"/>
                    <pic:cNvPicPr/>
                  </pic:nvPicPr>
                  <pic:blipFill>
                    <a:blip r:embed="rId1660"/>
                    <a:stretch>
                      <a:fillRect/>
                    </a:stretch>
                  </pic:blipFill>
                  <pic:spPr>
                    <a:xfrm>
                      <a:off x="0" y="0"/>
                      <a:ext cx="1110996" cy="502920"/>
                    </a:xfrm>
                    <a:prstGeom prst="rect">
                      <a:avLst/>
                    </a:prstGeom>
                  </pic:spPr>
                </pic:pic>
              </a:graphicData>
            </a:graphic>
          </wp:anchor>
        </w:drawing>
      </w:r>
      <w:r>
        <w:rPr>
          <w:noProof/>
        </w:rPr>
        <mc:AlternateContent>
          <mc:Choice Requires="wpg">
            <w:drawing>
              <wp:anchor distT="0" distB="0" distL="114300" distR="114300" simplePos="0" relativeHeight="252295168" behindDoc="0" locked="0" layoutInCell="1" allowOverlap="1" wp14:anchorId="36A677EC" wp14:editId="2B53774C">
                <wp:simplePos x="0" y="0"/>
                <wp:positionH relativeFrom="column">
                  <wp:posOffset>27432</wp:posOffset>
                </wp:positionH>
                <wp:positionV relativeFrom="paragraph">
                  <wp:posOffset>826429</wp:posOffset>
                </wp:positionV>
                <wp:extent cx="118872" cy="306324"/>
                <wp:effectExtent l="0" t="0" r="0" b="0"/>
                <wp:wrapSquare wrapText="bothSides"/>
                <wp:docPr id="2457631" name="Group 2457631"/>
                <wp:cNvGraphicFramePr/>
                <a:graphic xmlns:a="http://schemas.openxmlformats.org/drawingml/2006/main">
                  <a:graphicData uri="http://schemas.microsoft.com/office/word/2010/wordprocessingGroup">
                    <wpg:wgp>
                      <wpg:cNvGrpSpPr/>
                      <wpg:grpSpPr>
                        <a:xfrm>
                          <a:off x="0" y="0"/>
                          <a:ext cx="118872" cy="306324"/>
                          <a:chOff x="0" y="0"/>
                          <a:chExt cx="118872" cy="306324"/>
                        </a:xfrm>
                      </wpg:grpSpPr>
                      <wps:wsp>
                        <wps:cNvPr id="1223562" name="Rectangle 1223562"/>
                        <wps:cNvSpPr/>
                        <wps:spPr>
                          <a:xfrm>
                            <a:off x="0" y="0"/>
                            <a:ext cx="158100" cy="407411"/>
                          </a:xfrm>
                          <a:prstGeom prst="rect">
                            <a:avLst/>
                          </a:prstGeom>
                          <a:ln>
                            <a:noFill/>
                          </a:ln>
                        </wps:spPr>
                        <wps:txbx>
                          <w:txbxContent>
                            <w:p w14:paraId="751AA32F"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36A677EC" id="Group 2457631" o:spid="_x0000_s1764" style="position:absolute;left:0;text-align:left;margin-left:2.15pt;margin-top:65.05pt;width:9.35pt;height:24.1pt;z-index:252295168;mso-position-horizontal-relative:text;mso-position-vertical-relative:text" coordsize="11887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">
                <v:rect id="Rectangle 1223562" o:spid="_x0000_s1765" style="position:absolute;width:158100;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" filled="f" stroked="f">
                  <v:textbox inset="0,0,0,0">
                    <w:txbxContent>
                      <w:p w14:paraId="751AA32F" w14:textId="77777777" w:rsidR="00053D93" w:rsidRDefault="00260B75">
                        <w:r>
                          <w:rPr>
                            <w:sz w:val="72"/>
                          </w:rPr>
                          <w:t>1</w:t>
                        </w:r>
                      </w:p>
                    </w:txbxContent>
                  </v:textbox>
                </v:rect>
                <w10:wrap type="square"/>
              </v:group>
            </w:pict>
          </mc:Fallback>
        </mc:AlternateContent>
      </w:r>
      <w:r>
        <w:rPr>
          <w:noProof/>
        </w:rPr>
        <mc:AlternateContent>
          <mc:Choice Requires="wpg">
            <w:drawing>
              <wp:anchor distT="0" distB="0" distL="114300" distR="114300" simplePos="0" relativeHeight="252296192" behindDoc="0" locked="0" layoutInCell="1" allowOverlap="1" wp14:anchorId="3C145AED" wp14:editId="73F11867">
                <wp:simplePos x="0" y="0"/>
                <wp:positionH relativeFrom="column">
                  <wp:posOffset>32004</wp:posOffset>
                </wp:positionH>
                <wp:positionV relativeFrom="paragraph">
                  <wp:posOffset>1347638</wp:posOffset>
                </wp:positionV>
                <wp:extent cx="114300" cy="301752"/>
                <wp:effectExtent l="0" t="0" r="0" b="0"/>
                <wp:wrapSquare wrapText="bothSides"/>
                <wp:docPr id="2457632" name="Group 2457632"/>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1223563" name="Rectangle 1223563"/>
                        <wps:cNvSpPr/>
                        <wps:spPr>
                          <a:xfrm>
                            <a:off x="0" y="0"/>
                            <a:ext cx="152019" cy="401330"/>
                          </a:xfrm>
                          <a:prstGeom prst="rect">
                            <a:avLst/>
                          </a:prstGeom>
                          <a:ln>
                            <a:noFill/>
                          </a:ln>
                        </wps:spPr>
                        <wps:txbx>
                          <w:txbxContent>
                            <w:p w14:paraId="20F83582"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3C145AED" id="Group 2457632" o:spid="_x0000_s1766" style="position:absolute;left:0;text-align:left;margin-left:2.5pt;margin-top:106.1pt;width:9pt;height:23.75pt;z-index:252296192;mso-position-horizontal-relative:text;mso-position-vertical-relative:text"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">
                <v:rect id="Rectangle 1223563" o:spid="_x0000_s1767"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" filled="f" stroked="f">
                  <v:textbox inset="0,0,0,0">
                    <w:txbxContent>
                      <w:p w14:paraId="20F83582" w14:textId="77777777" w:rsidR="00053D93" w:rsidRDefault="00260B75">
                        <w:r>
                          <w:rPr>
                            <w:sz w:val="70"/>
                          </w:rPr>
                          <w:t>1</w:t>
                        </w:r>
                      </w:p>
                    </w:txbxContent>
                  </v:textbox>
                </v:rect>
                <w10:wrap type="square"/>
              </v:group>
            </w:pict>
          </mc:Fallback>
        </mc:AlternateContent>
      </w:r>
      <w:r>
        <w:rPr>
          <w:noProof/>
        </w:rPr>
        <mc:AlternateContent>
          <mc:Choice Requires="wpg">
            <w:drawing>
              <wp:anchor distT="0" distB="0" distL="114300" distR="114300" simplePos="0" relativeHeight="252297216" behindDoc="0" locked="0" layoutInCell="1" allowOverlap="1" wp14:anchorId="03420D40" wp14:editId="1802FE09">
                <wp:simplePos x="0" y="0"/>
                <wp:positionH relativeFrom="column">
                  <wp:posOffset>32004</wp:posOffset>
                </wp:positionH>
                <wp:positionV relativeFrom="paragraph">
                  <wp:posOffset>2380909</wp:posOffset>
                </wp:positionV>
                <wp:extent cx="114300" cy="306324"/>
                <wp:effectExtent l="0" t="0" r="0" b="0"/>
                <wp:wrapSquare wrapText="bothSides"/>
                <wp:docPr id="2457633" name="Group 2457633"/>
                <wp:cNvGraphicFramePr/>
                <a:graphic xmlns:a="http://schemas.openxmlformats.org/drawingml/2006/main">
                  <a:graphicData uri="http://schemas.microsoft.com/office/word/2010/wordprocessingGroup">
                    <wpg:wgp>
                      <wpg:cNvGrpSpPr/>
                      <wpg:grpSpPr>
                        <a:xfrm>
                          <a:off x="0" y="0"/>
                          <a:ext cx="114300" cy="306324"/>
                          <a:chOff x="0" y="0"/>
                          <a:chExt cx="114300" cy="306324"/>
                        </a:xfrm>
                      </wpg:grpSpPr>
                      <wps:wsp>
                        <wps:cNvPr id="1223565" name="Rectangle 1223565"/>
                        <wps:cNvSpPr/>
                        <wps:spPr>
                          <a:xfrm>
                            <a:off x="0" y="0"/>
                            <a:ext cx="152019" cy="407411"/>
                          </a:xfrm>
                          <a:prstGeom prst="rect">
                            <a:avLst/>
                          </a:prstGeom>
                          <a:ln>
                            <a:noFill/>
                          </a:ln>
                        </wps:spPr>
                        <wps:txbx>
                          <w:txbxContent>
                            <w:p w14:paraId="6E6F075B"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03420D40" id="Group 2457633" o:spid="_x0000_s1768" style="position:absolute;left:0;text-align:left;margin-left:2.5pt;margin-top:187.45pt;width:9pt;height:24.1pt;z-index:252297216;mso-position-horizontal-relative:text;mso-position-vertical-relative:text" coordsize="114300,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">
                <v:rect id="Rectangle 1223565" o:spid="_x0000_s1769" style="position:absolute;width:152019;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" filled="f" stroked="f">
                  <v:textbox inset="0,0,0,0">
                    <w:txbxContent>
                      <w:p w14:paraId="6E6F075B" w14:textId="77777777" w:rsidR="00053D93" w:rsidRDefault="00260B75">
                        <w:r>
                          <w:rPr>
                            <w:sz w:val="70"/>
                          </w:rPr>
                          <w:t>1</w:t>
                        </w:r>
                      </w:p>
                    </w:txbxContent>
                  </v:textbox>
                </v:rect>
                <w10:wrap type="square"/>
              </v:group>
            </w:pict>
          </mc:Fallback>
        </mc:AlternateContent>
      </w:r>
      <w:r>
        <w:rPr>
          <w:noProof/>
        </w:rPr>
        <mc:AlternateContent>
          <mc:Choice Requires="wpg">
            <w:drawing>
              <wp:anchor distT="0" distB="0" distL="114300" distR="114300" simplePos="0" relativeHeight="252298240" behindDoc="0" locked="0" layoutInCell="1" allowOverlap="1" wp14:anchorId="45D85213" wp14:editId="16D1733A">
                <wp:simplePos x="0" y="0"/>
                <wp:positionH relativeFrom="column">
                  <wp:posOffset>32004</wp:posOffset>
                </wp:positionH>
                <wp:positionV relativeFrom="paragraph">
                  <wp:posOffset>2897545</wp:posOffset>
                </wp:positionV>
                <wp:extent cx="114300" cy="306324"/>
                <wp:effectExtent l="0" t="0" r="0" b="0"/>
                <wp:wrapSquare wrapText="bothSides"/>
                <wp:docPr id="2457634" name="Group 2457634"/>
                <wp:cNvGraphicFramePr/>
                <a:graphic xmlns:a="http://schemas.openxmlformats.org/drawingml/2006/main">
                  <a:graphicData uri="http://schemas.microsoft.com/office/word/2010/wordprocessingGroup">
                    <wpg:wgp>
                      <wpg:cNvGrpSpPr/>
                      <wpg:grpSpPr>
                        <a:xfrm>
                          <a:off x="0" y="0"/>
                          <a:ext cx="114300" cy="306324"/>
                          <a:chOff x="0" y="0"/>
                          <a:chExt cx="114300" cy="306324"/>
                        </a:xfrm>
                      </wpg:grpSpPr>
                      <wps:wsp>
                        <wps:cNvPr id="1223566" name="Rectangle 1223566"/>
                        <wps:cNvSpPr/>
                        <wps:spPr>
                          <a:xfrm>
                            <a:off x="0" y="0"/>
                            <a:ext cx="152019" cy="407411"/>
                          </a:xfrm>
                          <a:prstGeom prst="rect">
                            <a:avLst/>
                          </a:prstGeom>
                          <a:ln>
                            <a:noFill/>
                          </a:ln>
                        </wps:spPr>
                        <wps:txbx>
                          <w:txbxContent>
                            <w:p w14:paraId="4BB86FD5"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45D85213" id="Group 2457634" o:spid="_x0000_s1770" style="position:absolute;left:0;text-align:left;margin-left:2.5pt;margin-top:228.15pt;width:9pt;height:24.1pt;z-index:252298240;mso-position-horizontal-relative:text;mso-position-vertical-relative:text" coordsize="114300,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">
                <v:rect id="Rectangle 1223566" o:spid="_x0000_s1771" style="position:absolute;width:152019;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" filled="f" stroked="f">
                  <v:textbox inset="0,0,0,0">
                    <w:txbxContent>
                      <w:p w14:paraId="4BB86FD5" w14:textId="77777777" w:rsidR="00053D93" w:rsidRDefault="00260B75">
                        <w:r>
                          <w:rPr>
                            <w:sz w:val="70"/>
                          </w:rPr>
                          <w:t>1</w:t>
                        </w:r>
                      </w:p>
                    </w:txbxContent>
                  </v:textbox>
                </v:rect>
                <w10:wrap type="square"/>
              </v:group>
            </w:pict>
          </mc:Fallback>
        </mc:AlternateContent>
      </w:r>
      <w:r>
        <w:rPr>
          <w:sz w:val="26"/>
        </w:rPr>
        <w:t>Se confirma el hallazgo, para el licenciado Marcell Antonio Romero Aguilar, quien fungió como Encargado de la Subdirección Administrativa Financiera, durante el 1 período comprendido del 16 de enero de 2018 al 27 de abril de 2020, en virtud que, sus comentarios y pruebas de descargo, no desvanecen los hechos que se le atribuyen; derivado que, el responsable manifiesta que giró instrucciones al Encargado de Inventarios a través de oficios, para que de forma inmediata cumpliera con las recomendaciones indicadas por auditoría interna relacionado a bienes no contabilizados en el módulo de inventarios del sistema de contabilidad integrada -SICOIN-, además que el libro de inventarios no se encontraba actualizado; que si bien es cierto, giró instrucciones al encargado de inventarios 1 para que cumpliera con el proceso administrativo concerniente a las recomendaciones pertinentes por auditoría interna; sin embargo, no presentó evidencia que demuestre que le dio seguimiento para su cumplimiento, durante el período que estuvo como Encargado de la Subdirección Administrativa Financiera; derivado que, existe falta de conciliación del libro de inventarios con el Sistema de Contabilidad Integrada -SICOIN-, lo cual se evidencia en el hecho de que el Libro de Inventarios no fue actualizado ni conciliado con SICOIN desde el año 2018.</w:t>
      </w:r>
    </w:p>
    <w:p w14:paraId="151B7500" w14:textId="77777777" w:rsidR="00053D93" w:rsidRDefault="00260B75">
      <w:pPr>
        <w:spacing w:after="275" w:line="250" w:lineRule="auto"/>
        <w:ind w:left="31" w:right="14" w:hanging="3"/>
        <w:jc w:val="both"/>
      </w:pPr>
      <w:r>
        <w:rPr>
          <w:sz w:val="26"/>
        </w:rPr>
        <w:t>1 Adicionalmente, el responsable exterioriza que el archivo físico de la Subdirección Administrativa Financiera fue reubicado en el año 2022, a la bodega del Ministerio de Educación; sin embargo, su justificación basada en la reubicación del archivo, 1 tampoco exime su responsabilidad, debido que, el cargo que ocupó implica la obligación de velar, supervisar y garantizar el cumplimiento normativo, 1 independientemente de las condiciones internas de la unidad administrativa; con lo cual, se evidencia y confirma que existe falta de conciliación del libro de inventarios con el Sistema de Contabilidad Integrada -SICOIN-, ratificándose la deficiencia establecida por el Equipo de Auditoría.</w:t>
      </w:r>
    </w:p>
    <w:p w14:paraId="59643F6A" w14:textId="77777777" w:rsidR="00053D93" w:rsidRDefault="00260B75">
      <w:pPr>
        <w:spacing w:after="5"/>
        <w:ind w:left="24" w:right="35" w:hanging="10"/>
        <w:jc w:val="right"/>
      </w:pPr>
      <w:r>
        <w:rPr>
          <w:sz w:val="26"/>
        </w:rPr>
        <w:t>Finalmente, el responsable manifiesta que, nuevamente el archivo fue trasladado,</w:t>
      </w:r>
    </w:p>
    <w:p w14:paraId="75E1AB1C" w14:textId="77777777" w:rsidR="00053D93" w:rsidRDefault="00260B75">
      <w:pPr>
        <w:spacing w:after="43"/>
        <w:ind w:left="1555" w:right="-22"/>
      </w:pPr>
      <w:r>
        <w:rPr>
          <w:noProof/>
        </w:rPr>
        <mc:AlternateContent>
          <mc:Choice Requires="wpg">
            <w:drawing>
              <wp:inline distT="0" distB="0" distL="0" distR="0" wp14:anchorId="7C3E471E" wp14:editId="7C3B3BF0">
                <wp:extent cx="5449824" cy="9144"/>
                <wp:effectExtent l="0" t="0" r="0" b="0"/>
                <wp:docPr id="2458939" name="Group 2458939"/>
                <wp:cNvGraphicFramePr/>
                <a:graphic xmlns:a="http://schemas.openxmlformats.org/drawingml/2006/main">
                  <a:graphicData uri="http://schemas.microsoft.com/office/word/2010/wordprocessingGroup">
                    <wpg:wgp>
                      <wpg:cNvGrpSpPr/>
                      <wpg:grpSpPr>
                        <a:xfrm>
                          <a:off x="0" y="0"/>
                          <a:ext cx="5449824" cy="9144"/>
                          <a:chOff x="0" y="0"/>
                          <a:chExt cx="5449824" cy="9144"/>
                        </a:xfrm>
                      </wpg:grpSpPr>
                      <wps:wsp>
                        <wps:cNvPr id="2458938" name="Shape 2458938"/>
                        <wps:cNvSpPr/>
                        <wps:spPr>
                          <a:xfrm>
                            <a:off x="0" y="0"/>
                            <a:ext cx="5449824" cy="9144"/>
                          </a:xfrm>
                          <a:custGeom>
                            <a:avLst/>
                            <a:gdLst/>
                            <a:ahLst/>
                            <a:cxnLst/>
                            <a:rect l="0" t="0" r="0" b="0"/>
                            <a:pathLst>
                              <a:path w="5449824" h="9144">
                                <a:moveTo>
                                  <a:pt x="0" y="4572"/>
                                </a:moveTo>
                                <a:lnTo>
                                  <a:pt x="544982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39" style="width:429.12pt;height:0.719997pt;mso-position-horizontal-relative:char;mso-position-vertical-relative:line" coordsize="54498,91">
                <v:shape id="Shape 2458938" style="position:absolute;width:54498;height:91;left:0;top:0;" coordsize="5449824,9144" path="m0,4572l5449824,4572">
                  <v:stroke weight="0.719997pt" endcap="flat" joinstyle="miter" miterlimit="1" on="true" color="#000000"/>
                  <v:fill on="false" color="#000000"/>
                </v:shape>
              </v:group>
            </w:pict>
          </mc:Fallback>
        </mc:AlternateContent>
      </w:r>
    </w:p>
    <w:p w14:paraId="6D6E36B3" w14:textId="77777777" w:rsidR="00053D93" w:rsidRDefault="00260B75">
      <w:pPr>
        <w:spacing w:after="323" w:line="250" w:lineRule="auto"/>
        <w:ind w:left="1673" w:right="14" w:hanging="3"/>
        <w:jc w:val="both"/>
      </w:pPr>
      <w:r>
        <w:rPr>
          <w:sz w:val="26"/>
        </w:rPr>
        <w:t>y esta segunda reubicación se realizó sin el debido control documental, lo que generó un desorden en el archivo, imposibilitando la localización de los documentos de soporte necesarios para el desvanecimiento del referido hallazgo, con lo cual, se evidencia y confirma que existe falta de conciliación del libro de inventarios con el Sistema de Contabilidad Integrada -SICOIN-, ya que, el 29 de octubre de 2024, se constató que el Libro de Inventarios cuenta con registros hasta el año 2018, ratificándose la deficiencia establecida por el Equipo de Auditoría.</w:t>
      </w:r>
    </w:p>
    <w:p w14:paraId="38354FAA" w14:textId="77777777" w:rsidR="00053D93" w:rsidRDefault="00260B75">
      <w:pPr>
        <w:spacing w:after="302" w:line="250" w:lineRule="auto"/>
        <w:ind w:left="31" w:right="14" w:hanging="3"/>
        <w:jc w:val="both"/>
      </w:pPr>
      <w:r>
        <w:rPr>
          <w:noProof/>
        </w:rPr>
        <w:drawing>
          <wp:anchor distT="0" distB="0" distL="114300" distR="114300" simplePos="0" relativeHeight="252299264" behindDoc="0" locked="0" layoutInCell="1" allowOverlap="0" wp14:anchorId="077751B7" wp14:editId="07867FC6">
            <wp:simplePos x="0" y="0"/>
            <wp:positionH relativeFrom="column">
              <wp:posOffset>-4571</wp:posOffset>
            </wp:positionH>
            <wp:positionV relativeFrom="paragraph">
              <wp:posOffset>182687</wp:posOffset>
            </wp:positionV>
            <wp:extent cx="155448" cy="813816"/>
            <wp:effectExtent l="0" t="0" r="0" b="0"/>
            <wp:wrapSquare wrapText="bothSides"/>
            <wp:docPr id="1230556" name="Picture 1230556"/>
            <wp:cNvGraphicFramePr/>
            <a:graphic xmlns:a="http://schemas.openxmlformats.org/drawingml/2006/main">
              <a:graphicData uri="http://schemas.openxmlformats.org/drawingml/2006/picture">
                <pic:pic xmlns:pic="http://schemas.openxmlformats.org/drawingml/2006/picture">
                  <pic:nvPicPr>
                    <pic:cNvPr id="1230556" name="Picture 1230556"/>
                    <pic:cNvPicPr/>
                  </pic:nvPicPr>
                  <pic:blipFill>
                    <a:blip r:embed="rId1661"/>
                    <a:stretch>
                      <a:fillRect/>
                    </a:stretch>
                  </pic:blipFill>
                  <pic:spPr>
                    <a:xfrm>
                      <a:off x="0" y="0"/>
                      <a:ext cx="155448" cy="813816"/>
                    </a:xfrm>
                    <a:prstGeom prst="rect">
                      <a:avLst/>
                    </a:prstGeom>
                  </pic:spPr>
                </pic:pic>
              </a:graphicData>
            </a:graphic>
          </wp:anchor>
        </w:drawing>
      </w:r>
      <w:r>
        <w:rPr>
          <w:sz w:val="26"/>
        </w:rPr>
        <w:t>Se confirma el hallazgo, para el señor Oscar René Cabrera García, quien fungió como Encargado de Inventarios, por el período comprendido del 01 de enero del 2018 al 26 de junio de 2024; en virtud que, no se presentó a la reunión virtual para discusión de hallazgos, ni presentó pruebas de descargo por medio de comunicación electrónica, ni otro medio electrónico, lo cual consta en la Videoconferencia del 21 de abril de 2025.</w:t>
      </w:r>
    </w:p>
    <w:p w14:paraId="703DF01E" w14:textId="77777777" w:rsidR="00053D93" w:rsidRDefault="00260B75">
      <w:pPr>
        <w:spacing w:after="321" w:line="250" w:lineRule="auto"/>
        <w:ind w:left="1681" w:right="14" w:hanging="3"/>
        <w:jc w:val="both"/>
      </w:pPr>
      <w:r>
        <w:rPr>
          <w:sz w:val="26"/>
        </w:rPr>
        <w:t>El hallazgo se notificó con el número 3 y en el presente informe le corresponde el número 1.</w:t>
      </w:r>
    </w:p>
    <w:p w14:paraId="1331940E" w14:textId="77777777" w:rsidR="00053D93" w:rsidRDefault="00260B75">
      <w:pPr>
        <w:spacing w:after="14" w:line="251" w:lineRule="auto"/>
        <w:ind w:left="1658" w:hanging="3"/>
        <w:jc w:val="both"/>
      </w:pPr>
      <w:r>
        <w:rPr>
          <w:sz w:val="28"/>
        </w:rPr>
        <w:t>Acciones legales</w:t>
      </w:r>
    </w:p>
    <w:tbl>
      <w:tblPr>
        <w:tblStyle w:val="TableGrid"/>
        <w:tblpPr w:vertAnchor="page" w:horzAnchor="page" w:tblpX="2844" w:tblpY="14544"/>
        <w:tblOverlap w:val="never"/>
        <w:tblW w:w="7625" w:type="dxa"/>
        <w:tblInd w:w="0" w:type="dxa"/>
        <w:tblCellMar>
          <w:top w:w="31" w:type="dxa"/>
          <w:left w:w="1742" w:type="dxa"/>
          <w:right w:w="115" w:type="dxa"/>
        </w:tblCellMar>
        <w:tblLook w:val="04A0" w:firstRow="1" w:lastRow="0" w:firstColumn="1" w:lastColumn="0" w:noHBand="0" w:noVBand="1"/>
      </w:tblPr>
      <w:tblGrid>
        <w:gridCol w:w="7625"/>
      </w:tblGrid>
      <w:tr w:rsidR="00053D93" w14:paraId="3B3DA780" w14:textId="77777777">
        <w:trPr>
          <w:trHeight w:val="43"/>
        </w:trPr>
        <w:tc>
          <w:tcPr>
            <w:tcW w:w="7625" w:type="dxa"/>
            <w:tcBorders>
              <w:top w:val="nil"/>
              <w:left w:val="single" w:sz="2" w:space="0" w:color="000000"/>
              <w:bottom w:val="single" w:sz="2" w:space="0" w:color="000000"/>
              <w:right w:val="nil"/>
            </w:tcBorders>
          </w:tcPr>
          <w:p w14:paraId="700998F3" w14:textId="77777777" w:rsidR="00053D93" w:rsidRDefault="00053D93"/>
        </w:tc>
      </w:tr>
      <w:tr w:rsidR="00053D93" w14:paraId="2196703F" w14:textId="77777777">
        <w:trPr>
          <w:trHeight w:val="590"/>
        </w:trPr>
        <w:tc>
          <w:tcPr>
            <w:tcW w:w="7625" w:type="dxa"/>
            <w:tcBorders>
              <w:top w:val="single" w:sz="2" w:space="0" w:color="000000"/>
              <w:left w:val="single" w:sz="2" w:space="0" w:color="000000"/>
              <w:bottom w:val="nil"/>
              <w:right w:val="nil"/>
            </w:tcBorders>
          </w:tcPr>
          <w:p w14:paraId="474FB1D7" w14:textId="77777777" w:rsidR="00053D93" w:rsidRDefault="00260B75">
            <w:pPr>
              <w:ind w:left="842"/>
            </w:pPr>
            <w:r>
              <w:rPr>
                <w:sz w:val="14"/>
              </w:rPr>
              <w:t>MINISTERIO DE EDUCACION</w:t>
            </w:r>
          </w:p>
          <w:p w14:paraId="576664DD" w14:textId="77777777" w:rsidR="00053D93" w:rsidRDefault="00260B75">
            <w:pPr>
              <w:ind w:left="338"/>
            </w:pPr>
            <w:r>
              <w:rPr>
                <w:sz w:val="14"/>
              </w:rPr>
              <w:t>AUDITORIA FINANCIERA Y DE CUMPLIMIENTO</w:t>
            </w:r>
          </w:p>
          <w:p w14:paraId="0E38515F" w14:textId="77777777" w:rsidR="00053D93" w:rsidRDefault="00260B75">
            <w:r>
              <w:rPr>
                <w:sz w:val="14"/>
              </w:rPr>
              <w:t>PERIODO DEL 01 OE ENERO AL 31 DE DCIEMBRE DE 2024</w:t>
            </w:r>
          </w:p>
        </w:tc>
      </w:tr>
    </w:tbl>
    <w:p w14:paraId="235CE659" w14:textId="77777777" w:rsidR="00053D93" w:rsidRDefault="00260B75">
      <w:pPr>
        <w:spacing w:after="242" w:line="250" w:lineRule="auto"/>
        <w:ind w:left="1673" w:right="14" w:hanging="3"/>
        <w:jc w:val="both"/>
      </w:pPr>
      <w:r>
        <w:rPr>
          <w:noProof/>
        </w:rPr>
        <w:drawing>
          <wp:anchor distT="0" distB="0" distL="114300" distR="114300" simplePos="0" relativeHeight="252300288" behindDoc="0" locked="0" layoutInCell="1" allowOverlap="0" wp14:anchorId="4DE07B70" wp14:editId="37EC4D7B">
            <wp:simplePos x="0" y="0"/>
            <wp:positionH relativeFrom="page">
              <wp:posOffset>662940</wp:posOffset>
            </wp:positionH>
            <wp:positionV relativeFrom="page">
              <wp:posOffset>9230868</wp:posOffset>
            </wp:positionV>
            <wp:extent cx="1120140" cy="406909"/>
            <wp:effectExtent l="0" t="0" r="0" b="0"/>
            <wp:wrapTopAndBottom/>
            <wp:docPr id="1230557" name="Picture 1230557"/>
            <wp:cNvGraphicFramePr/>
            <a:graphic xmlns:a="http://schemas.openxmlformats.org/drawingml/2006/main">
              <a:graphicData uri="http://schemas.openxmlformats.org/drawingml/2006/picture">
                <pic:pic xmlns:pic="http://schemas.openxmlformats.org/drawingml/2006/picture">
                  <pic:nvPicPr>
                    <pic:cNvPr id="1230557" name="Picture 1230557"/>
                    <pic:cNvPicPr/>
                  </pic:nvPicPr>
                  <pic:blipFill>
                    <a:blip r:embed="rId1662"/>
                    <a:stretch>
                      <a:fillRect/>
                    </a:stretch>
                  </pic:blipFill>
                  <pic:spPr>
                    <a:xfrm>
                      <a:off x="0" y="0"/>
                      <a:ext cx="1120140" cy="406909"/>
                    </a:xfrm>
                    <a:prstGeom prst="rect">
                      <a:avLst/>
                    </a:prstGeom>
                  </pic:spPr>
                </pic:pic>
              </a:graphicData>
            </a:graphic>
          </wp:anchor>
        </w:drawing>
      </w:r>
      <w:r>
        <w:rPr>
          <w:sz w:val="26"/>
        </w:rPr>
        <w:t>Sanción económica de conformidad con el Decreto 31-2002, del Congreso de la República, Ley Orgánica de la Contraloría General de Cuentas, reformada por el Decreto 13-2013; artículo 39, Numeral IO, para:</w:t>
      </w:r>
    </w:p>
    <w:p w14:paraId="3DFDA66B" w14:textId="77777777" w:rsidR="00053D93" w:rsidRDefault="00260B75">
      <w:pPr>
        <w:tabs>
          <w:tab w:val="center" w:pos="1861"/>
          <w:tab w:val="center" w:pos="6448"/>
          <w:tab w:val="right" w:pos="10130"/>
        </w:tabs>
        <w:spacing w:after="57" w:line="266" w:lineRule="auto"/>
      </w:pPr>
      <w:r>
        <w:rPr>
          <w:sz w:val="16"/>
        </w:rPr>
        <w:tab/>
        <w:t>Cargo</w:t>
      </w:r>
      <w:r>
        <w:rPr>
          <w:sz w:val="16"/>
        </w:rPr>
        <w:tab/>
        <w:t>Nombre</w:t>
      </w:r>
      <w:r>
        <w:rPr>
          <w:sz w:val="16"/>
        </w:rPr>
        <w:tab/>
        <w:t>Valor en Quetzales</w:t>
      </w:r>
    </w:p>
    <w:p w14:paraId="46E638A7" w14:textId="77777777" w:rsidR="00053D93" w:rsidRDefault="00260B75">
      <w:pPr>
        <w:tabs>
          <w:tab w:val="center" w:pos="2678"/>
          <w:tab w:val="center" w:pos="7258"/>
          <w:tab w:val="right" w:pos="10130"/>
        </w:tabs>
        <w:spacing w:after="34" w:line="266" w:lineRule="auto"/>
      </w:pPr>
      <w:r>
        <w:rPr>
          <w:sz w:val="16"/>
        </w:rPr>
        <w:tab/>
        <w:t>ENCARGADO DE INVENTARIOS</w:t>
      </w:r>
      <w:r>
        <w:rPr>
          <w:sz w:val="16"/>
        </w:rPr>
        <w:tab/>
        <w:t>OSCAR RENE CABRERA GARCIA</w:t>
      </w:r>
      <w:r>
        <w:rPr>
          <w:sz w:val="16"/>
        </w:rPr>
        <w:tab/>
        <w:t>2.228.43</w:t>
      </w:r>
    </w:p>
    <w:p w14:paraId="09183A16" w14:textId="77777777" w:rsidR="00053D93" w:rsidRDefault="00260B75">
      <w:pPr>
        <w:tabs>
          <w:tab w:val="center" w:pos="5206"/>
          <w:tab w:val="right" w:pos="10130"/>
        </w:tabs>
        <w:spacing w:after="35" w:line="266" w:lineRule="auto"/>
      </w:pPr>
      <w:r>
        <w:rPr>
          <w:sz w:val="16"/>
        </w:rPr>
        <w:tab/>
        <w:t>ENCARGADO DE LA SUBDIRECCION ADMINISTRATIVA FINANCIERA MARCELL ANTONIO ROMERO AGUILAR</w:t>
      </w:r>
      <w:r>
        <w:rPr>
          <w:sz w:val="16"/>
        </w:rPr>
        <w:tab/>
        <w:t>7.474.65</w:t>
      </w:r>
    </w:p>
    <w:p w14:paraId="01790230" w14:textId="77777777" w:rsidR="00053D93" w:rsidRDefault="00260B75">
      <w:pPr>
        <w:tabs>
          <w:tab w:val="center" w:pos="3168"/>
          <w:tab w:val="center" w:pos="7402"/>
          <w:tab w:val="right" w:pos="10130"/>
        </w:tabs>
        <w:spacing w:after="3" w:line="266" w:lineRule="auto"/>
      </w:pPr>
      <w:r>
        <w:rPr>
          <w:sz w:val="16"/>
        </w:rPr>
        <w:tab/>
        <w:t>SUBDIRECTOR ADMINISTRATIVO FINANCIERO</w:t>
      </w:r>
      <w:r>
        <w:rPr>
          <w:sz w:val="16"/>
        </w:rPr>
        <w:tab/>
        <w:t>WALFRED RAMIRO VASQUEZ CATAVI</w:t>
      </w:r>
      <w:r>
        <w:rPr>
          <w:sz w:val="16"/>
        </w:rPr>
        <w:tab/>
        <w:t>13.719.73</w:t>
      </w:r>
    </w:p>
    <w:p w14:paraId="1A5594A7" w14:textId="77777777" w:rsidR="00053D93" w:rsidRDefault="00260B75">
      <w:pPr>
        <w:spacing w:after="426"/>
        <w:ind w:right="36"/>
        <w:jc w:val="right"/>
      </w:pPr>
      <w:r>
        <w:rPr>
          <w:sz w:val="10"/>
        </w:rPr>
        <w:t>Q. 23,422.81</w:t>
      </w:r>
    </w:p>
    <w:p w14:paraId="60347A66" w14:textId="77777777" w:rsidR="00053D93" w:rsidRDefault="00260B75">
      <w:pPr>
        <w:spacing w:after="271" w:line="251" w:lineRule="auto"/>
        <w:ind w:left="1658" w:hanging="3"/>
        <w:jc w:val="both"/>
      </w:pPr>
      <w:r>
        <w:rPr>
          <w:sz w:val="28"/>
        </w:rPr>
        <w:t>Hallazgo No. 2</w:t>
      </w:r>
    </w:p>
    <w:p w14:paraId="58487514" w14:textId="77777777" w:rsidR="00053D93" w:rsidRDefault="00260B75">
      <w:pPr>
        <w:spacing w:after="255" w:line="251" w:lineRule="auto"/>
        <w:ind w:left="1658" w:hanging="3"/>
        <w:jc w:val="both"/>
      </w:pPr>
      <w:r>
        <w:rPr>
          <w:sz w:val="28"/>
        </w:rPr>
        <w:t>Falta de realización de inventarios físicos anuales</w:t>
      </w:r>
    </w:p>
    <w:p w14:paraId="6EC07680" w14:textId="77777777" w:rsidR="00053D93" w:rsidRDefault="00260B75">
      <w:pPr>
        <w:spacing w:after="14" w:line="251" w:lineRule="auto"/>
        <w:ind w:left="1658" w:hanging="3"/>
        <w:jc w:val="both"/>
      </w:pPr>
      <w:r>
        <w:rPr>
          <w:sz w:val="28"/>
        </w:rPr>
        <w:t>Condición</w:t>
      </w:r>
    </w:p>
    <w:p w14:paraId="688EFE77" w14:textId="77777777" w:rsidR="00053D93" w:rsidRDefault="00260B75">
      <w:pPr>
        <w:spacing w:after="12" w:line="250" w:lineRule="auto"/>
        <w:ind w:left="1637" w:right="14" w:hanging="3"/>
        <w:jc w:val="both"/>
      </w:pPr>
      <w:r>
        <w:rPr>
          <w:sz w:val="26"/>
        </w:rPr>
        <w:t>En el Ministerio de Educación, Unidad Ejecutora 124 Dirección General de Gestión de Calidad Educativa -DIGECADE-, cuenta contable 1232 Maquinaria y equipo, como procedimiento de auditoría se evaluó el control, registro y custodia del inventario institucional, determinándose que, no se practicaron anualmente inventarios físicos, durante los años 201 8, 2019, 2020, 2021, 2022 y 2023, además se constató que las últimas operaciones de bienes fueron registradas en el año 2018, según consta en el Folio No. 1084 del Libro de Inventarios de Activos Fijos No. L2 28049 de la Dirección General de Gestión de Calidad Educativa -DIGECADE-.</w:t>
      </w:r>
    </w:p>
    <w:p w14:paraId="50C4FFB5" w14:textId="77777777" w:rsidR="00053D93" w:rsidRDefault="00053D93">
      <w:pPr>
        <w:sectPr w:rsidR="00053D93">
          <w:headerReference w:type="even" r:id="rId1663"/>
          <w:headerReference w:type="default" r:id="rId1664"/>
          <w:footerReference w:type="even" r:id="rId1665"/>
          <w:footerReference w:type="default" r:id="rId1666"/>
          <w:headerReference w:type="first" r:id="rId1667"/>
          <w:footerReference w:type="first" r:id="rId1668"/>
          <w:pgSz w:w="12290" w:h="15883"/>
          <w:pgMar w:top="763" w:right="1807" w:bottom="677" w:left="353" w:header="396" w:footer="720" w:gutter="0"/>
          <w:cols w:space="720"/>
          <w:titlePg/>
        </w:sectPr>
      </w:pPr>
    </w:p>
    <w:p w14:paraId="3092B2D9" w14:textId="77777777" w:rsidR="00053D93" w:rsidRDefault="00260B75">
      <w:pPr>
        <w:tabs>
          <w:tab w:val="right" w:pos="10138"/>
        </w:tabs>
        <w:spacing w:after="3"/>
      </w:pPr>
      <w:r>
        <w:rPr>
          <w:sz w:val="72"/>
        </w:rPr>
        <w:t>1</w:t>
      </w:r>
      <w:r>
        <w:rPr>
          <w:sz w:val="72"/>
        </w:rPr>
        <w:tab/>
      </w:r>
      <w:r>
        <w:rPr>
          <w:noProof/>
        </w:rPr>
        <mc:AlternateContent>
          <mc:Choice Requires="wpg">
            <w:drawing>
              <wp:inline distT="0" distB="0" distL="0" distR="0" wp14:anchorId="7F6540B2" wp14:editId="6A6FE4C6">
                <wp:extent cx="5381245" cy="9144"/>
                <wp:effectExtent l="0" t="0" r="0" b="0"/>
                <wp:docPr id="2458941" name="Group 2458941"/>
                <wp:cNvGraphicFramePr/>
                <a:graphic xmlns:a="http://schemas.openxmlformats.org/drawingml/2006/main">
                  <a:graphicData uri="http://schemas.microsoft.com/office/word/2010/wordprocessingGroup">
                    <wpg:wgp>
                      <wpg:cNvGrpSpPr/>
                      <wpg:grpSpPr>
                        <a:xfrm>
                          <a:off x="0" y="0"/>
                          <a:ext cx="5381245" cy="9144"/>
                          <a:chOff x="0" y="0"/>
                          <a:chExt cx="5381245" cy="9144"/>
                        </a:xfrm>
                      </wpg:grpSpPr>
                      <wps:wsp>
                        <wps:cNvPr id="2458940" name="Shape 2458940"/>
                        <wps:cNvSpPr/>
                        <wps:spPr>
                          <a:xfrm>
                            <a:off x="0" y="0"/>
                            <a:ext cx="5381245" cy="9144"/>
                          </a:xfrm>
                          <a:custGeom>
                            <a:avLst/>
                            <a:gdLst/>
                            <a:ahLst/>
                            <a:cxnLst/>
                            <a:rect l="0" t="0" r="0" b="0"/>
                            <a:pathLst>
                              <a:path w="5381245" h="9144">
                                <a:moveTo>
                                  <a:pt x="0" y="4572"/>
                                </a:moveTo>
                                <a:lnTo>
                                  <a:pt x="53812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41" style="width:423.72pt;height:0.720001pt;mso-position-horizontal-relative:char;mso-position-vertical-relative:line" coordsize="53812,91">
                <v:shape id="Shape 2458940" style="position:absolute;width:53812;height:91;left:0;top:0;" coordsize="5381245,9144" path="m0,4572l5381245,4572">
                  <v:stroke weight="0.720001pt" endcap="flat" joinstyle="miter" miterlimit="1" on="true" color="#000000"/>
                  <v:fill on="false" color="#000000"/>
                </v:shape>
              </v:group>
            </w:pict>
          </mc:Fallback>
        </mc:AlternateContent>
      </w:r>
    </w:p>
    <w:p w14:paraId="06E3FE7C" w14:textId="77777777" w:rsidR="00053D93" w:rsidRDefault="00260B75">
      <w:pPr>
        <w:spacing w:after="112" w:line="269" w:lineRule="auto"/>
        <w:ind w:left="67" w:right="14" w:hanging="10"/>
        <w:jc w:val="right"/>
      </w:pPr>
      <w:r>
        <w:rPr>
          <w:sz w:val="26"/>
        </w:rPr>
        <w:t>Para confirmar [o anterior, el 28 de febrero de 2025, a través del Oficio No.</w:t>
      </w:r>
    </w:p>
    <w:p w14:paraId="73A691BE" w14:textId="77777777" w:rsidR="00053D93" w:rsidRDefault="00260B75">
      <w:pPr>
        <w:spacing w:after="615" w:line="269" w:lineRule="auto"/>
        <w:ind w:left="60" w:right="14" w:hanging="3"/>
        <w:jc w:val="both"/>
      </w:pPr>
      <w:r>
        <w:rPr>
          <w:sz w:val="26"/>
        </w:rPr>
        <w:t xml:space="preserve">1 CGC-DAS-03-0037-AFC-MlNEDUC-DlGECADE-28-2025, se solicitó información para obtener evidencia documental sobre la realización de inventarios físicos anuales; y mediante Oficio No. DIGECADE-SAF/100-2025, del 03 de marzo de </w:t>
      </w:r>
      <w:r>
        <w:rPr>
          <w:noProof/>
        </w:rPr>
        <mc:AlternateContent>
          <mc:Choice Requires="wpg">
            <w:drawing>
              <wp:inline distT="0" distB="0" distL="0" distR="0" wp14:anchorId="61A8605C" wp14:editId="1385A0DC">
                <wp:extent cx="114300" cy="292608"/>
                <wp:effectExtent l="0" t="0" r="0" b="0"/>
                <wp:docPr id="2457639" name="Group 2457639"/>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231109" name="Rectangle 1231109"/>
                        <wps:cNvSpPr/>
                        <wps:spPr>
                          <a:xfrm>
                            <a:off x="0" y="0"/>
                            <a:ext cx="152019" cy="389169"/>
                          </a:xfrm>
                          <a:prstGeom prst="rect">
                            <a:avLst/>
                          </a:prstGeom>
                          <a:ln>
                            <a:noFill/>
                          </a:ln>
                        </wps:spPr>
                        <wps:txbx>
                          <w:txbxContent>
                            <w:p w14:paraId="0DA3D62B"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1A8605C" id="Group 2457639" o:spid="_x0000_s1772"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">
                <v:rect id="Rectangle 1231109" o:spid="_x0000_s1773"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" filled="f" stroked="f">
                  <v:textbox inset="0,0,0,0">
                    <w:txbxContent>
                      <w:p w14:paraId="0DA3D62B" w14:textId="77777777" w:rsidR="00053D93" w:rsidRDefault="00260B75">
                        <w:r>
                          <w:rPr>
                            <w:sz w:val="70"/>
                          </w:rPr>
                          <w:t>1</w:t>
                        </w:r>
                      </w:p>
                    </w:txbxContent>
                  </v:textbox>
                </v:rect>
                <w10:anchorlock/>
              </v:group>
            </w:pict>
          </mc:Fallback>
        </mc:AlternateContent>
      </w:r>
      <w:r>
        <w:rPr>
          <w:sz w:val="26"/>
        </w:rPr>
        <w:t xml:space="preserve"> 2025, la entidad fiscalizada indica que, no cuentan con copia de los inventarios realizados.</w:t>
      </w:r>
    </w:p>
    <w:p w14:paraId="583216CA" w14:textId="77777777" w:rsidR="00053D93" w:rsidRDefault="00260B75">
      <w:pPr>
        <w:tabs>
          <w:tab w:val="center" w:pos="2074"/>
        </w:tabs>
        <w:spacing w:after="4" w:line="266" w:lineRule="auto"/>
      </w:pPr>
      <w:r>
        <w:rPr>
          <w:sz w:val="28"/>
        </w:rPr>
        <w:t>1</w:t>
      </w:r>
      <w:r>
        <w:rPr>
          <w:sz w:val="28"/>
        </w:rPr>
        <w:tab/>
        <w:t>Criterio</w:t>
      </w:r>
    </w:p>
    <w:p w14:paraId="14A12B76" w14:textId="77777777" w:rsidR="00053D93" w:rsidRDefault="00260B75">
      <w:pPr>
        <w:spacing w:after="119" w:line="269" w:lineRule="auto"/>
        <w:ind w:left="57" w:right="14" w:firstLine="1685"/>
        <w:jc w:val="both"/>
      </w:pPr>
      <w:r>
        <w:rPr>
          <w:sz w:val="26"/>
        </w:rPr>
        <w:t xml:space="preserve">La Circular 3-57, de la Dirección de Contabilidad del Estado, Departamento de 1 Contabilidad. Sección. Libro de Inventarios, establece: "Todas las oficinas públicas deberán llevar un libro autorizado, ya sea empastado o en hojas movibles, para el registro del inventario a su cargo...' . Sección. Tiempo en que debe formarse el </w:t>
      </w:r>
      <w:r>
        <w:rPr>
          <w:noProof/>
        </w:rPr>
        <mc:AlternateContent>
          <mc:Choice Requires="wpg">
            <w:drawing>
              <wp:inline distT="0" distB="0" distL="0" distR="0" wp14:anchorId="0878DFEF" wp14:editId="2033764B">
                <wp:extent cx="128016" cy="297180"/>
                <wp:effectExtent l="0" t="0" r="0" b="0"/>
                <wp:docPr id="2457640" name="Group 2457640"/>
                <wp:cNvGraphicFramePr/>
                <a:graphic xmlns:a="http://schemas.openxmlformats.org/drawingml/2006/main">
                  <a:graphicData uri="http://schemas.microsoft.com/office/word/2010/wordprocessingGroup">
                    <wpg:wgp>
                      <wpg:cNvGrpSpPr/>
                      <wpg:grpSpPr>
                        <a:xfrm>
                          <a:off x="0" y="0"/>
                          <a:ext cx="128016" cy="297180"/>
                          <a:chOff x="0" y="0"/>
                          <a:chExt cx="128016" cy="297180"/>
                        </a:xfrm>
                      </wpg:grpSpPr>
                      <wps:wsp>
                        <wps:cNvPr id="1231112" name="Rectangle 1231112"/>
                        <wps:cNvSpPr/>
                        <wps:spPr>
                          <a:xfrm>
                            <a:off x="0" y="0"/>
                            <a:ext cx="170261" cy="395250"/>
                          </a:xfrm>
                          <a:prstGeom prst="rect">
                            <a:avLst/>
                          </a:prstGeom>
                          <a:ln>
                            <a:noFill/>
                          </a:ln>
                        </wps:spPr>
                        <wps:txbx>
                          <w:txbxContent>
                            <w:p w14:paraId="1BBF97CB" w14:textId="77777777" w:rsidR="00053D93" w:rsidRDefault="00260B75">
                              <w:r>
                                <w:rPr>
                                  <w:sz w:val="78"/>
                                </w:rPr>
                                <w:t>1</w:t>
                              </w:r>
                            </w:p>
                          </w:txbxContent>
                        </wps:txbx>
                        <wps:bodyPr horzOverflow="overflow" vert="horz" lIns="0" tIns="0" rIns="0" bIns="0" rtlCol="0">
                          <a:noAutofit/>
                        </wps:bodyPr>
                      </wps:wsp>
                    </wpg:wgp>
                  </a:graphicData>
                </a:graphic>
              </wp:inline>
            </w:drawing>
          </mc:Choice>
          <mc:Fallback>
            <w:pict>
              <v:group w14:anchorId="0878DFEF" id="Group 2457640" o:spid="_x0000_s1774" style="width:10.1pt;height:23.4pt;mso-position-horizontal-relative:char;mso-position-vertical-relative:line" coordsize="128016,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">
                <v:rect id="Rectangle 1231112" o:spid="_x0000_s1775" style="position:absolute;width:170261;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" filled="f" stroked="f">
                  <v:textbox inset="0,0,0,0">
                    <w:txbxContent>
                      <w:p w14:paraId="1BBF97CB" w14:textId="77777777" w:rsidR="00053D93" w:rsidRDefault="00260B75">
                        <w:r>
                          <w:rPr>
                            <w:sz w:val="78"/>
                          </w:rPr>
                          <w:t>1</w:t>
                        </w:r>
                      </w:p>
                    </w:txbxContent>
                  </v:textbox>
                </v:rect>
                <w10:anchorlock/>
              </v:group>
            </w:pict>
          </mc:Fallback>
        </mc:AlternateContent>
      </w:r>
      <w:r>
        <w:rPr>
          <w:sz w:val="26"/>
        </w:rPr>
        <w:t xml:space="preserve"> Inventario, establece: "Con la debida anticipación y de acuerdo con el volumen de los bienes, cada jefe de oficina bajo su responsabilidad deberá disponer la verificación física del inventario respectivo, a efecto de que esté terminado el día 1 31 de diciembre de cada año, asentándolo enseguida en el libro destinado para el efecto, debiéndose tomar en cuenta las adquisiciones y bajas registradas durante 1 el ejercicio, para su correcta actualización."</w:t>
      </w:r>
    </w:p>
    <w:p w14:paraId="060D0CD0" w14:textId="77777777" w:rsidR="00053D93" w:rsidRDefault="00260B75">
      <w:pPr>
        <w:spacing w:after="3" w:line="273" w:lineRule="auto"/>
        <w:ind w:left="21" w:firstLine="1656"/>
      </w:pPr>
      <w:r>
        <w:rPr>
          <w:sz w:val="26"/>
        </w:rPr>
        <w:t>La Resolución No. 1 1 13 del 30 de noviembre de 2010 del Ministerio de Educación, Resuelve: "l) Aprobar la publicación y utilización de los documentos que encuentran en el Sitio Web del Sistema de Gestión de la Calidad del Ministerio de Educación, [os cuales son los actualizados y aprobados por las autoridades 1</w:t>
      </w:r>
      <w:r>
        <w:rPr>
          <w:sz w:val="26"/>
        </w:rPr>
        <w:tab/>
        <w:t>correspondientes para uso oficial en el desarrollo de los procesos administrativos... " 1</w:t>
      </w:r>
    </w:p>
    <w:p w14:paraId="3DB12ADB" w14:textId="77777777" w:rsidR="00053D93" w:rsidRDefault="00260B75">
      <w:pPr>
        <w:spacing w:after="4" w:line="269" w:lineRule="auto"/>
        <w:ind w:left="57" w:right="14" w:firstLine="1642"/>
        <w:jc w:val="both"/>
      </w:pPr>
      <w:r>
        <w:rPr>
          <w:noProof/>
        </w:rPr>
        <mc:AlternateContent>
          <mc:Choice Requires="wpg">
            <w:drawing>
              <wp:anchor distT="0" distB="0" distL="114300" distR="114300" simplePos="0" relativeHeight="252301312" behindDoc="0" locked="0" layoutInCell="1" allowOverlap="1" wp14:anchorId="714DE400" wp14:editId="5430BC26">
                <wp:simplePos x="0" y="0"/>
                <wp:positionH relativeFrom="column">
                  <wp:posOffset>22860</wp:posOffset>
                </wp:positionH>
                <wp:positionV relativeFrom="paragraph">
                  <wp:posOffset>2357184</wp:posOffset>
                </wp:positionV>
                <wp:extent cx="114300" cy="292609"/>
                <wp:effectExtent l="0" t="0" r="0" b="0"/>
                <wp:wrapSquare wrapText="bothSides"/>
                <wp:docPr id="2457642" name="Group 2457642"/>
                <wp:cNvGraphicFramePr/>
                <a:graphic xmlns:a="http://schemas.openxmlformats.org/drawingml/2006/main">
                  <a:graphicData uri="http://schemas.microsoft.com/office/word/2010/wordprocessingGroup">
                    <wpg:wgp>
                      <wpg:cNvGrpSpPr/>
                      <wpg:grpSpPr>
                        <a:xfrm>
                          <a:off x="0" y="0"/>
                          <a:ext cx="114300" cy="292609"/>
                          <a:chOff x="0" y="0"/>
                          <a:chExt cx="114300" cy="292609"/>
                        </a:xfrm>
                      </wpg:grpSpPr>
                      <wps:wsp>
                        <wps:cNvPr id="1231119" name="Rectangle 1231119"/>
                        <wps:cNvSpPr/>
                        <wps:spPr>
                          <a:xfrm>
                            <a:off x="0" y="0"/>
                            <a:ext cx="152019" cy="389169"/>
                          </a:xfrm>
                          <a:prstGeom prst="rect">
                            <a:avLst/>
                          </a:prstGeom>
                          <a:ln>
                            <a:noFill/>
                          </a:ln>
                        </wps:spPr>
                        <wps:txbx>
                          <w:txbxContent>
                            <w:p w14:paraId="470859F2"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714DE400" id="Group 2457642" o:spid="_x0000_s1776" style="position:absolute;left:0;text-align:left;margin-left:1.8pt;margin-top:185.6pt;width:9pt;height:23.05pt;z-index:252301312;mso-position-horizontal-relative:text;mso-position-vertical-relative:text" coordsize="114300,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">
                <v:rect id="Rectangle 1231119" o:spid="_x0000_s1777"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" filled="f" stroked="f">
                  <v:textbox inset="0,0,0,0">
                    <w:txbxContent>
                      <w:p w14:paraId="470859F2" w14:textId="77777777" w:rsidR="00053D93" w:rsidRDefault="00260B75">
                        <w:r>
                          <w:rPr>
                            <w:sz w:val="70"/>
                          </w:rPr>
                          <w:t>1</w:t>
                        </w:r>
                      </w:p>
                    </w:txbxContent>
                  </v:textbox>
                </v:rect>
                <w10:wrap type="square"/>
              </v:group>
            </w:pict>
          </mc:Fallback>
        </mc:AlternateContent>
      </w:r>
      <w:r>
        <w:rPr>
          <w:sz w:val="26"/>
        </w:rPr>
        <w:t xml:space="preserve">El Instructivo Administración de Inventario, Del proceso: Inventarios, Código: INV-lNS-04, Versión: 1 , literal B. Propósito Alcance del Procedimiento, establece: 1 "El presente instructivo describe las actividades que deben seguir las distintas Dependencias del Ministerio de Educación -MINEDUC- para realizar el inventario físico de los bienes muebles que tienen bajo su responsabilidad, así como el registro y conciliaciones respectivas en el Sistema de Contabilidad Integrada -SICOIN WEB-." Literal C. Descripción de Actividades y Responsables, literal C.I . Realización de inventario físico anual, establece: "La realización del inventario físico debe hacerse cada año, y en el caso que no haya sido practicado con anterioridad, será necesario realizar un corte de operaciones para realizar la toma </w:t>
      </w:r>
      <w:r>
        <w:rPr>
          <w:noProof/>
        </w:rPr>
        <mc:AlternateContent>
          <mc:Choice Requires="wpg">
            <w:drawing>
              <wp:inline distT="0" distB="0" distL="0" distR="0" wp14:anchorId="6CAEEA39" wp14:editId="0D5C868B">
                <wp:extent cx="114300" cy="292608"/>
                <wp:effectExtent l="0" t="0" r="0" b="0"/>
                <wp:docPr id="2457641" name="Group 2457641"/>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231118" name="Rectangle 1231118"/>
                        <wps:cNvSpPr/>
                        <wps:spPr>
                          <a:xfrm>
                            <a:off x="0" y="0"/>
                            <a:ext cx="152019" cy="389168"/>
                          </a:xfrm>
                          <a:prstGeom prst="rect">
                            <a:avLst/>
                          </a:prstGeom>
                          <a:ln>
                            <a:noFill/>
                          </a:ln>
                        </wps:spPr>
                        <wps:txbx>
                          <w:txbxContent>
                            <w:p w14:paraId="1CA926C1"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CAEEA39" id="Group 2457641" o:spid="_x0000_s1778"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">
                <v:rect id="Rectangle 1231118" o:spid="_x0000_s1779" style="position:absolute;width:152019;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" filled="f" stroked="f">
                  <v:textbox inset="0,0,0,0">
                    <w:txbxContent>
                      <w:p w14:paraId="1CA926C1" w14:textId="77777777" w:rsidR="00053D93" w:rsidRDefault="00260B75">
                        <w:r>
                          <w:rPr>
                            <w:sz w:val="70"/>
                          </w:rPr>
                          <w:t>1</w:t>
                        </w:r>
                      </w:p>
                    </w:txbxContent>
                  </v:textbox>
                </v:rect>
                <w10:anchorlock/>
              </v:group>
            </w:pict>
          </mc:Fallback>
        </mc:AlternateContent>
      </w:r>
      <w:r>
        <w:rPr>
          <w:sz w:val="26"/>
        </w:rPr>
        <w:t xml:space="preserve"> de inventario físico respectivo, y en adelante realizarlo en forma anual tal como lo establece la circular 3-57 "Instrucciones sobre Inventarios de Oficinas Públicas". Actividad 1 . Preparación y Documentación a utilizar; Responsable: Encargado de Inventarios I Asistente de Inventarios; Descripción de las Actividades: Con base en la circular 3-57 "Instrucciones sobre Inventarios de Oficinas Públicas", de fecha 1 1 de diciembre 1969, emitida por la Contaduría General de la Nación, se deberá</w:t>
      </w:r>
    </w:p>
    <w:tbl>
      <w:tblPr>
        <w:tblStyle w:val="TableGrid"/>
        <w:tblW w:w="9425" w:type="dxa"/>
        <w:tblInd w:w="698" w:type="dxa"/>
        <w:tblLook w:val="04A0" w:firstRow="1" w:lastRow="0" w:firstColumn="1" w:lastColumn="0" w:noHBand="0" w:noVBand="1"/>
      </w:tblPr>
      <w:tblGrid>
        <w:gridCol w:w="1292"/>
        <w:gridCol w:w="8147"/>
      </w:tblGrid>
      <w:tr w:rsidR="00053D93" w14:paraId="05FBE6C4" w14:textId="77777777">
        <w:trPr>
          <w:trHeight w:val="641"/>
        </w:trPr>
        <w:tc>
          <w:tcPr>
            <w:tcW w:w="1789" w:type="dxa"/>
            <w:tcBorders>
              <w:top w:val="nil"/>
              <w:left w:val="nil"/>
              <w:bottom w:val="nil"/>
              <w:right w:val="nil"/>
            </w:tcBorders>
          </w:tcPr>
          <w:p w14:paraId="50C5DC3D" w14:textId="77777777" w:rsidR="00053D93" w:rsidRDefault="00260B75">
            <w:r>
              <w:rPr>
                <w:noProof/>
              </w:rPr>
              <w:drawing>
                <wp:inline distT="0" distB="0" distL="0" distR="0" wp14:anchorId="31A24376" wp14:editId="3902CBDA">
                  <wp:extent cx="1124712" cy="406908"/>
                  <wp:effectExtent l="0" t="0" r="0" b="0"/>
                  <wp:docPr id="1234024" name="Picture 1234024"/>
                  <wp:cNvGraphicFramePr/>
                  <a:graphic xmlns:a="http://schemas.openxmlformats.org/drawingml/2006/main">
                    <a:graphicData uri="http://schemas.openxmlformats.org/drawingml/2006/picture">
                      <pic:pic xmlns:pic="http://schemas.openxmlformats.org/drawingml/2006/picture">
                        <pic:nvPicPr>
                          <pic:cNvPr id="1234024" name="Picture 1234024"/>
                          <pic:cNvPicPr/>
                        </pic:nvPicPr>
                        <pic:blipFill>
                          <a:blip r:embed="rId1669"/>
                          <a:stretch>
                            <a:fillRect/>
                          </a:stretch>
                        </pic:blipFill>
                        <pic:spPr>
                          <a:xfrm>
                            <a:off x="0" y="0"/>
                            <a:ext cx="1124712" cy="406908"/>
                          </a:xfrm>
                          <a:prstGeom prst="rect">
                            <a:avLst/>
                          </a:prstGeom>
                        </pic:spPr>
                      </pic:pic>
                    </a:graphicData>
                  </a:graphic>
                </wp:inline>
              </w:drawing>
            </w:r>
          </w:p>
        </w:tc>
        <w:tc>
          <w:tcPr>
            <w:tcW w:w="7636" w:type="dxa"/>
            <w:tcBorders>
              <w:top w:val="nil"/>
              <w:left w:val="nil"/>
              <w:bottom w:val="nil"/>
              <w:right w:val="nil"/>
            </w:tcBorders>
          </w:tcPr>
          <w:p w14:paraId="519EF157" w14:textId="77777777" w:rsidR="00053D93" w:rsidRDefault="00053D93">
            <w:pPr>
              <w:ind w:left="-2833" w:right="10469"/>
            </w:pPr>
          </w:p>
          <w:tbl>
            <w:tblPr>
              <w:tblStyle w:val="TableGrid"/>
              <w:tblW w:w="7618" w:type="dxa"/>
              <w:tblInd w:w="18" w:type="dxa"/>
              <w:tblCellMar>
                <w:top w:w="50" w:type="dxa"/>
                <w:left w:w="1742" w:type="dxa"/>
                <w:right w:w="115" w:type="dxa"/>
              </w:tblCellMar>
              <w:tblLook w:val="04A0" w:firstRow="1" w:lastRow="0" w:firstColumn="1" w:lastColumn="0" w:noHBand="0" w:noVBand="1"/>
            </w:tblPr>
            <w:tblGrid>
              <w:gridCol w:w="7618"/>
            </w:tblGrid>
            <w:tr w:rsidR="00053D93" w14:paraId="0B50D02A" w14:textId="77777777">
              <w:trPr>
                <w:trHeight w:val="43"/>
              </w:trPr>
              <w:tc>
                <w:tcPr>
                  <w:tcW w:w="7618" w:type="dxa"/>
                  <w:tcBorders>
                    <w:top w:val="nil"/>
                    <w:left w:val="single" w:sz="2" w:space="0" w:color="000000"/>
                    <w:bottom w:val="single" w:sz="2" w:space="0" w:color="000000"/>
                    <w:right w:val="nil"/>
                  </w:tcBorders>
                </w:tcPr>
                <w:p w14:paraId="599D86FF" w14:textId="77777777" w:rsidR="00053D93" w:rsidRDefault="00053D93"/>
              </w:tc>
            </w:tr>
            <w:tr w:rsidR="00053D93" w14:paraId="72697161" w14:textId="77777777">
              <w:trPr>
                <w:trHeight w:val="590"/>
              </w:trPr>
              <w:tc>
                <w:tcPr>
                  <w:tcW w:w="7618" w:type="dxa"/>
                  <w:tcBorders>
                    <w:top w:val="single" w:sz="2" w:space="0" w:color="000000"/>
                    <w:left w:val="single" w:sz="2" w:space="0" w:color="000000"/>
                    <w:bottom w:val="nil"/>
                    <w:right w:val="nil"/>
                  </w:tcBorders>
                </w:tcPr>
                <w:p w14:paraId="364E8179" w14:textId="77777777" w:rsidR="00053D93" w:rsidRDefault="00260B75">
                  <w:pPr>
                    <w:ind w:left="835"/>
                  </w:pPr>
                  <w:r>
                    <w:rPr>
                      <w:sz w:val="14"/>
                    </w:rPr>
                    <w:t>MINISTERIO DE EDUCACION</w:t>
                  </w:r>
                </w:p>
                <w:p w14:paraId="7CC9CADB" w14:textId="77777777" w:rsidR="00053D93" w:rsidRDefault="00260B75">
                  <w:pPr>
                    <w:ind w:left="331"/>
                  </w:pPr>
                  <w:r>
                    <w:rPr>
                      <w:sz w:val="14"/>
                    </w:rPr>
                    <w:t>AUDITORIA FINANCIERA Y OE CUMPLIMIENTO</w:t>
                  </w:r>
                </w:p>
                <w:p w14:paraId="647833D5" w14:textId="77777777" w:rsidR="00053D93" w:rsidRDefault="00260B75">
                  <w:r>
                    <w:rPr>
                      <w:sz w:val="14"/>
                    </w:rPr>
                    <w:t>PERIODO DEL 01 OE ENERO AL 31 DE OICE-MBRE DE 2024</w:t>
                  </w:r>
                </w:p>
              </w:tc>
            </w:tr>
          </w:tbl>
          <w:p w14:paraId="522F91DF" w14:textId="77777777" w:rsidR="00053D93" w:rsidRDefault="00053D93"/>
        </w:tc>
      </w:tr>
    </w:tbl>
    <w:p w14:paraId="2BD09D02" w14:textId="77777777" w:rsidR="00053D93" w:rsidRDefault="00260B75">
      <w:pPr>
        <w:spacing w:after="43"/>
        <w:ind w:left="1656"/>
      </w:pPr>
      <w:r>
        <w:rPr>
          <w:noProof/>
        </w:rPr>
        <mc:AlternateContent>
          <mc:Choice Requires="wpg">
            <w:drawing>
              <wp:inline distT="0" distB="0" distL="0" distR="0" wp14:anchorId="3B5336B3" wp14:editId="026635F7">
                <wp:extent cx="5390388" cy="9144"/>
                <wp:effectExtent l="0" t="0" r="0" b="0"/>
                <wp:docPr id="2458946" name="Group 2458946"/>
                <wp:cNvGraphicFramePr/>
                <a:graphic xmlns:a="http://schemas.openxmlformats.org/drawingml/2006/main">
                  <a:graphicData uri="http://schemas.microsoft.com/office/word/2010/wordprocessingGroup">
                    <wpg:wgp>
                      <wpg:cNvGrpSpPr/>
                      <wpg:grpSpPr>
                        <a:xfrm>
                          <a:off x="0" y="0"/>
                          <a:ext cx="5390388" cy="9144"/>
                          <a:chOff x="0" y="0"/>
                          <a:chExt cx="5390388" cy="9144"/>
                        </a:xfrm>
                      </wpg:grpSpPr>
                      <wps:wsp>
                        <wps:cNvPr id="2458945" name="Shape 2458945"/>
                        <wps:cNvSpPr/>
                        <wps:spPr>
                          <a:xfrm>
                            <a:off x="0" y="0"/>
                            <a:ext cx="5390388" cy="9144"/>
                          </a:xfrm>
                          <a:custGeom>
                            <a:avLst/>
                            <a:gdLst/>
                            <a:ahLst/>
                            <a:cxnLst/>
                            <a:rect l="0" t="0" r="0" b="0"/>
                            <a:pathLst>
                              <a:path w="5390388" h="9144">
                                <a:moveTo>
                                  <a:pt x="0" y="4572"/>
                                </a:moveTo>
                                <a:lnTo>
                                  <a:pt x="539038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46" style="width:424.44pt;height:0.719997pt;mso-position-horizontal-relative:char;mso-position-vertical-relative:line" coordsize="53903,91">
                <v:shape id="Shape 2458945" style="position:absolute;width:53903;height:91;left:0;top:0;" coordsize="5390388,9144" path="m0,4572l5390388,4572">
                  <v:stroke weight="0.719997pt" endcap="flat" joinstyle="miter" miterlimit="1" on="true" color="#000000"/>
                  <v:fill on="false" color="#000000"/>
                </v:shape>
              </v:group>
            </w:pict>
          </mc:Fallback>
        </mc:AlternateContent>
      </w:r>
    </w:p>
    <w:p w14:paraId="7D242B37" w14:textId="77777777" w:rsidR="00053D93" w:rsidRDefault="00260B75">
      <w:pPr>
        <w:spacing w:after="4" w:line="321" w:lineRule="auto"/>
        <w:ind w:left="1677" w:right="14" w:hanging="1620"/>
        <w:jc w:val="both"/>
      </w:pPr>
      <w:r>
        <w:rPr>
          <w:sz w:val="26"/>
        </w:rPr>
        <w:t>1 realizar la verificación física del inventario respectivo, a efecto de que esté terminado el día 31 de diciembre de cada año, debiéndose tomar en cuenta las alzas y bajas registradas durante el ejercicio fiscal, para su correcta actualización.</w:t>
      </w:r>
    </w:p>
    <w:p w14:paraId="6F9AE6D9" w14:textId="77777777" w:rsidR="00053D93" w:rsidRDefault="00260B75">
      <w:pPr>
        <w:spacing w:after="213" w:line="269" w:lineRule="auto"/>
        <w:ind w:left="57" w:right="14" w:firstLine="1656"/>
        <w:jc w:val="both"/>
      </w:pPr>
      <w:r>
        <w:rPr>
          <w:noProof/>
        </w:rPr>
        <w:drawing>
          <wp:inline distT="0" distB="0" distL="0" distR="0" wp14:anchorId="2630FC67" wp14:editId="404FD3B0">
            <wp:extent cx="105156" cy="18288"/>
            <wp:effectExtent l="0" t="0" r="0" b="0"/>
            <wp:docPr id="2458943" name="Picture 2458943"/>
            <wp:cNvGraphicFramePr/>
            <a:graphic xmlns:a="http://schemas.openxmlformats.org/drawingml/2006/main">
              <a:graphicData uri="http://schemas.openxmlformats.org/drawingml/2006/picture">
                <pic:pic xmlns:pic="http://schemas.openxmlformats.org/drawingml/2006/picture">
                  <pic:nvPicPr>
                    <pic:cNvPr id="2458943" name="Picture 2458943"/>
                    <pic:cNvPicPr/>
                  </pic:nvPicPr>
                  <pic:blipFill>
                    <a:blip r:embed="rId1670"/>
                    <a:stretch>
                      <a:fillRect/>
                    </a:stretch>
                  </pic:blipFill>
                  <pic:spPr>
                    <a:xfrm>
                      <a:off x="0" y="0"/>
                      <a:ext cx="105156" cy="18288"/>
                    </a:xfrm>
                    <a:prstGeom prst="rect">
                      <a:avLst/>
                    </a:prstGeom>
                  </pic:spPr>
                </pic:pic>
              </a:graphicData>
            </a:graphic>
          </wp:inline>
        </w:drawing>
      </w:r>
      <w:r>
        <w:rPr>
          <w:sz w:val="26"/>
        </w:rPr>
        <w:t>NOTA: Se debe hacer un corte de operaciones para realizar la toma física de inventario sin necesidad de llegar a la fecha estipulada (31 de diciembre) con el 1 objeto de depurar y conciliar el libro de inventarios con los registros de los Módulos de Inventario y Contabilidad del SICOIN WEB. Actividad 8. Archiva Documento; Responsable: Encargado de Inventarios I Asistente de Inventarios; 1 Descripción de las Actividades: Archiva los registros y reportes utilizados como comprobante de que se han hecho los inventarios físicos." Literal C.2. Registro de 1 Inventario Físico anual en libro, establece: "Actividad 1. Transcribir inventario a Libro; Responsable: Encargado de Inventarios / Asistente de Inventarios; Descripción de las Actividades: Transcribe el Inventario Físico realizado en el Libro 1 de Inventarios después de la última operación registrada, por lo que se recomienda que el Libro de Inventario esté autorizado en la modalidad de Hojas Movibles (Ejemplo de encabezado: En la ciudad XXX se efectuó Inventario físico 1 de bienes muebles de la Dirección XXX al 31 de diciembre de XXX el cual se integra de la siguiente forma). Actividad 2. Elaboración de Resumen por cuenta 1 contable; Responsable: Encargado de Inventarios / Asistente de Inventarios; Descripción de las Actividades: Al final se debe elaborar el resumen por cuenta contable. De conformidad con la cantidad de bienes inventariados, el tiempo máximo para la transcripción del Inventario físico anual es de 10 días hábiles."</w:t>
      </w:r>
    </w:p>
    <w:p w14:paraId="2496F511" w14:textId="77777777" w:rsidR="00053D93" w:rsidRDefault="00260B75">
      <w:pPr>
        <w:pStyle w:val="Ttulo4"/>
        <w:spacing w:after="264"/>
        <w:ind w:left="1673"/>
      </w:pPr>
      <w:r>
        <w:rPr>
          <w:noProof/>
        </w:rPr>
        <w:drawing>
          <wp:anchor distT="0" distB="0" distL="114300" distR="114300" simplePos="0" relativeHeight="252302336" behindDoc="0" locked="0" layoutInCell="1" allowOverlap="0" wp14:anchorId="5178D05E" wp14:editId="22DE804A">
            <wp:simplePos x="0" y="0"/>
            <wp:positionH relativeFrom="page">
              <wp:posOffset>6798564</wp:posOffset>
            </wp:positionH>
            <wp:positionV relativeFrom="page">
              <wp:posOffset>6190488</wp:posOffset>
            </wp:positionV>
            <wp:extent cx="18289" cy="22860"/>
            <wp:effectExtent l="0" t="0" r="0" b="0"/>
            <wp:wrapSquare wrapText="bothSides"/>
            <wp:docPr id="1237474" name="Picture 1237474"/>
            <wp:cNvGraphicFramePr/>
            <a:graphic xmlns:a="http://schemas.openxmlformats.org/drawingml/2006/main">
              <a:graphicData uri="http://schemas.openxmlformats.org/drawingml/2006/picture">
                <pic:pic xmlns:pic="http://schemas.openxmlformats.org/drawingml/2006/picture">
                  <pic:nvPicPr>
                    <pic:cNvPr id="1237474" name="Picture 1237474"/>
                    <pic:cNvPicPr/>
                  </pic:nvPicPr>
                  <pic:blipFill>
                    <a:blip r:embed="rId1671"/>
                    <a:stretch>
                      <a:fillRect/>
                    </a:stretch>
                  </pic:blipFill>
                  <pic:spPr>
                    <a:xfrm>
                      <a:off x="0" y="0"/>
                      <a:ext cx="18289" cy="22860"/>
                    </a:xfrm>
                    <a:prstGeom prst="rect">
                      <a:avLst/>
                    </a:prstGeom>
                  </pic:spPr>
                </pic:pic>
              </a:graphicData>
            </a:graphic>
          </wp:anchor>
        </w:drawing>
      </w:r>
      <w:r>
        <w:t>Causa</w:t>
      </w:r>
    </w:p>
    <w:p w14:paraId="4E4445BF" w14:textId="77777777" w:rsidR="00053D93" w:rsidRDefault="00260B75">
      <w:pPr>
        <w:spacing w:after="4" w:line="320" w:lineRule="auto"/>
        <w:ind w:left="1655" w:right="14" w:hanging="1598"/>
        <w:jc w:val="both"/>
      </w:pPr>
      <w:r>
        <w:rPr>
          <w:sz w:val="26"/>
        </w:rPr>
        <w:t>1 El Encargado de Inventarios, no realizó inventarios físicos anuales, debido a la falta de control en la información y documentación de los activos fijos,</w:t>
      </w:r>
    </w:p>
    <w:p w14:paraId="2C348F8C" w14:textId="77777777" w:rsidR="00053D93" w:rsidRDefault="00260B75">
      <w:pPr>
        <w:spacing w:after="191" w:line="472" w:lineRule="auto"/>
        <w:ind w:left="1670" w:right="14" w:hanging="1613"/>
        <w:jc w:val="both"/>
      </w:pPr>
      <w:r>
        <w:rPr>
          <w:sz w:val="26"/>
        </w:rPr>
        <w:t>1</w:t>
      </w:r>
      <w:r>
        <w:rPr>
          <w:sz w:val="26"/>
        </w:rPr>
        <w:tab/>
        <w:t>incumpliendo con los procedimientos establecidos para el control y la actualización periódica de los registros de activos fijos en el libro de inventarios.</w:t>
      </w:r>
    </w:p>
    <w:p w14:paraId="7773BB8F" w14:textId="77777777" w:rsidR="00053D93" w:rsidRDefault="00260B75">
      <w:pPr>
        <w:spacing w:after="228" w:line="269" w:lineRule="auto"/>
        <w:ind w:left="60" w:right="14" w:hanging="3"/>
        <w:jc w:val="both"/>
      </w:pPr>
      <w:r>
        <w:rPr>
          <w:sz w:val="26"/>
        </w:rPr>
        <w:t>1 El Subdirector Administrativo Financiero y el Encargado de la Subdirección Administrativa Financiera, no velaron porque el Encargado de Inventarios realizara inventarios físicos anuales, para dar cumplimiento a los procedimientos 1 establecidos para el control y la actualización periódica de los registros de activos fijos en el libro de inventarios.</w:t>
      </w:r>
    </w:p>
    <w:p w14:paraId="2DEF44A7" w14:textId="77777777" w:rsidR="00053D93" w:rsidRDefault="00260B75">
      <w:pPr>
        <w:spacing w:after="4" w:line="266" w:lineRule="auto"/>
        <w:ind w:left="1666" w:hanging="10"/>
      </w:pPr>
      <w:r>
        <w:rPr>
          <w:sz w:val="28"/>
        </w:rPr>
        <w:t>Efecto</w:t>
      </w:r>
    </w:p>
    <w:p w14:paraId="4F297D21" w14:textId="77777777" w:rsidR="00053D93" w:rsidRDefault="00260B75">
      <w:pPr>
        <w:spacing w:after="635" w:line="269" w:lineRule="auto"/>
        <w:ind w:left="1659" w:right="14" w:hanging="3"/>
        <w:jc w:val="both"/>
      </w:pPr>
      <w:r>
        <w:rPr>
          <w:sz w:val="26"/>
        </w:rPr>
        <w:t>La falta de registros e información actualizada de inventarios físicos anuales; implica que, no se cuente con información confiable sobre los movimientos de alzas y bajas de bienes y el saldo del libro de inventarios, al final de cada año.</w:t>
      </w:r>
    </w:p>
    <w:p w14:paraId="05B23941" w14:textId="77777777" w:rsidR="00053D93" w:rsidRDefault="00260B75">
      <w:pPr>
        <w:tabs>
          <w:tab w:val="center" w:pos="2527"/>
        </w:tabs>
        <w:spacing w:after="4" w:line="266" w:lineRule="auto"/>
      </w:pPr>
      <w:r>
        <w:rPr>
          <w:sz w:val="28"/>
        </w:rPr>
        <w:t>1</w:t>
      </w:r>
      <w:r>
        <w:rPr>
          <w:sz w:val="28"/>
        </w:rPr>
        <w:tab/>
        <w:t>Recomendación</w:t>
      </w:r>
    </w:p>
    <w:tbl>
      <w:tblPr>
        <w:tblStyle w:val="TableGrid"/>
        <w:tblpPr w:vertAnchor="text" w:tblpX="2506" w:tblpY="551"/>
        <w:tblOverlap w:val="never"/>
        <w:tblW w:w="7618" w:type="dxa"/>
        <w:tblInd w:w="0" w:type="dxa"/>
        <w:tblCellMar>
          <w:top w:w="33" w:type="dxa"/>
          <w:left w:w="1735" w:type="dxa"/>
          <w:right w:w="115" w:type="dxa"/>
        </w:tblCellMar>
        <w:tblLook w:val="04A0" w:firstRow="1" w:lastRow="0" w:firstColumn="1" w:lastColumn="0" w:noHBand="0" w:noVBand="1"/>
      </w:tblPr>
      <w:tblGrid>
        <w:gridCol w:w="7618"/>
      </w:tblGrid>
      <w:tr w:rsidR="00053D93" w14:paraId="5826F2E0" w14:textId="77777777">
        <w:trPr>
          <w:trHeight w:val="48"/>
        </w:trPr>
        <w:tc>
          <w:tcPr>
            <w:tcW w:w="7618" w:type="dxa"/>
            <w:tcBorders>
              <w:top w:val="nil"/>
              <w:left w:val="single" w:sz="2" w:space="0" w:color="000000"/>
              <w:bottom w:val="single" w:sz="2" w:space="0" w:color="000000"/>
              <w:right w:val="nil"/>
            </w:tcBorders>
          </w:tcPr>
          <w:p w14:paraId="214B130F" w14:textId="77777777" w:rsidR="00053D93" w:rsidRDefault="00053D93"/>
        </w:tc>
      </w:tr>
      <w:tr w:rsidR="00053D93" w14:paraId="4512BA10" w14:textId="77777777">
        <w:trPr>
          <w:trHeight w:val="586"/>
        </w:trPr>
        <w:tc>
          <w:tcPr>
            <w:tcW w:w="7618" w:type="dxa"/>
            <w:tcBorders>
              <w:top w:val="single" w:sz="2" w:space="0" w:color="000000"/>
              <w:left w:val="single" w:sz="2" w:space="0" w:color="000000"/>
              <w:bottom w:val="nil"/>
              <w:right w:val="nil"/>
            </w:tcBorders>
          </w:tcPr>
          <w:p w14:paraId="69405FB4" w14:textId="77777777" w:rsidR="00053D93" w:rsidRDefault="00260B75">
            <w:pPr>
              <w:ind w:left="842"/>
            </w:pPr>
            <w:r>
              <w:rPr>
                <w:sz w:val="14"/>
              </w:rPr>
              <w:t>MINISTERIO DE EDUCACION</w:t>
            </w:r>
          </w:p>
          <w:p w14:paraId="65A45E8B" w14:textId="77777777" w:rsidR="00053D93" w:rsidRDefault="00260B75">
            <w:pPr>
              <w:ind w:left="346"/>
            </w:pPr>
            <w:r>
              <w:rPr>
                <w:sz w:val="14"/>
              </w:rPr>
              <w:t>AUDITORIA FINANCIERA Y OE CUMPLIMIENTO</w:t>
            </w:r>
          </w:p>
          <w:p w14:paraId="6DCBF8BF" w14:textId="77777777" w:rsidR="00053D93" w:rsidRDefault="00260B75">
            <w:r>
              <w:rPr>
                <w:sz w:val="14"/>
              </w:rPr>
              <w:t>PERIODO DEL 01 DE ENERO AL 31 DE DICIEMBRE DE 2024</w:t>
            </w:r>
          </w:p>
        </w:tc>
      </w:tr>
    </w:tbl>
    <w:p w14:paraId="7A78C942" w14:textId="77777777" w:rsidR="00053D93" w:rsidRDefault="00260B75">
      <w:pPr>
        <w:spacing w:after="4" w:line="219" w:lineRule="auto"/>
        <w:ind w:left="57" w:right="79" w:firstLine="1598"/>
        <w:jc w:val="both"/>
      </w:pPr>
      <w:r>
        <w:rPr>
          <w:sz w:val="26"/>
        </w:rPr>
        <w:t xml:space="preserve">La Directora General de Gestión de Calidad Educativa, debe girar instrucciones al 1 Subdirector Administrativo Financiero y al Encargado de la Subdirección 1 </w:t>
      </w:r>
      <w:r>
        <w:rPr>
          <w:noProof/>
        </w:rPr>
        <w:drawing>
          <wp:inline distT="0" distB="0" distL="0" distR="0" wp14:anchorId="4CEC5E10" wp14:editId="22E17B15">
            <wp:extent cx="1120140" cy="406908"/>
            <wp:effectExtent l="0" t="0" r="0" b="0"/>
            <wp:docPr id="1237537" name="Picture 1237537"/>
            <wp:cNvGraphicFramePr/>
            <a:graphic xmlns:a="http://schemas.openxmlformats.org/drawingml/2006/main">
              <a:graphicData uri="http://schemas.openxmlformats.org/drawingml/2006/picture">
                <pic:pic xmlns:pic="http://schemas.openxmlformats.org/drawingml/2006/picture">
                  <pic:nvPicPr>
                    <pic:cNvPr id="1237537" name="Picture 1237537"/>
                    <pic:cNvPicPr/>
                  </pic:nvPicPr>
                  <pic:blipFill>
                    <a:blip r:embed="rId1672"/>
                    <a:stretch>
                      <a:fillRect/>
                    </a:stretch>
                  </pic:blipFill>
                  <pic:spPr>
                    <a:xfrm>
                      <a:off x="0" y="0"/>
                      <a:ext cx="1120140" cy="406908"/>
                    </a:xfrm>
                    <a:prstGeom prst="rect">
                      <a:avLst/>
                    </a:prstGeom>
                  </pic:spPr>
                </pic:pic>
              </a:graphicData>
            </a:graphic>
          </wp:inline>
        </w:drawing>
      </w:r>
    </w:p>
    <w:p w14:paraId="06CDD3D4" w14:textId="77777777" w:rsidR="00053D93" w:rsidRDefault="00260B75">
      <w:pPr>
        <w:spacing w:after="341" w:line="353" w:lineRule="auto"/>
        <w:ind w:left="10" w:right="1130" w:hanging="10"/>
        <w:jc w:val="right"/>
      </w:pPr>
      <w:r>
        <w:rPr>
          <w:sz w:val="14"/>
        </w:rPr>
        <w:t xml:space="preserve">EDUCACÓN. </w:t>
      </w:r>
    </w:p>
    <w:p w14:paraId="21442065" w14:textId="77777777" w:rsidR="00053D93" w:rsidRDefault="00260B75">
      <w:pPr>
        <w:spacing w:before="60" w:after="80" w:line="269" w:lineRule="auto"/>
        <w:ind w:left="57" w:right="14" w:firstLine="43"/>
        <w:jc w:val="both"/>
      </w:pPr>
      <w:r>
        <w:rPr>
          <w:noProof/>
        </w:rPr>
        <mc:AlternateContent>
          <mc:Choice Requires="wpg">
            <w:drawing>
              <wp:anchor distT="0" distB="0" distL="114300" distR="114300" simplePos="0" relativeHeight="252303360" behindDoc="0" locked="0" layoutInCell="1" allowOverlap="1" wp14:anchorId="3F3BA45A" wp14:editId="6E1CF4B9">
                <wp:simplePos x="0" y="0"/>
                <wp:positionH relativeFrom="column">
                  <wp:posOffset>1065276</wp:posOffset>
                </wp:positionH>
                <wp:positionV relativeFrom="paragraph">
                  <wp:posOffset>-70016</wp:posOffset>
                </wp:positionV>
                <wp:extent cx="5381244" cy="9144"/>
                <wp:effectExtent l="0" t="0" r="0" b="0"/>
                <wp:wrapSquare wrapText="bothSides"/>
                <wp:docPr id="2458948" name="Group 2458948"/>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947" name="Shape 2458947"/>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948" style="width:423.72pt;height:0.720001pt;position:absolute;mso-position-horizontal-relative:text;mso-position-horizontal:absolute;margin-left:83.88pt;mso-position-vertical-relative:text;margin-top:-5.51316pt;" coordsize="53812,91">
                <v:shape id="Shape 2458947" style="position:absolute;width:53812;height:91;left:0;top:0;" coordsize="5381244,9144" path="m0,4572l5381244,4572">
                  <v:stroke weight="0.720001pt" endcap="flat" joinstyle="miter" miterlimit="1" on="true" color="#000000"/>
                  <v:fill on="false" color="#000000"/>
                </v:shape>
                <w10:wrap type="square"/>
              </v:group>
            </w:pict>
          </mc:Fallback>
        </mc:AlternateContent>
      </w:r>
      <w:r>
        <w:rPr>
          <w:noProof/>
        </w:rPr>
        <w:drawing>
          <wp:anchor distT="0" distB="0" distL="114300" distR="114300" simplePos="0" relativeHeight="252304384" behindDoc="0" locked="0" layoutInCell="1" allowOverlap="0" wp14:anchorId="67E549DA" wp14:editId="624F18B8">
            <wp:simplePos x="0" y="0"/>
            <wp:positionH relativeFrom="column">
              <wp:posOffset>22860</wp:posOffset>
            </wp:positionH>
            <wp:positionV relativeFrom="paragraph">
              <wp:posOffset>-19724</wp:posOffset>
            </wp:positionV>
            <wp:extent cx="13716" cy="9144"/>
            <wp:effectExtent l="0" t="0" r="0" b="0"/>
            <wp:wrapSquare wrapText="bothSides"/>
            <wp:docPr id="1241108" name="Picture 1241108"/>
            <wp:cNvGraphicFramePr/>
            <a:graphic xmlns:a="http://schemas.openxmlformats.org/drawingml/2006/main">
              <a:graphicData uri="http://schemas.openxmlformats.org/drawingml/2006/picture">
                <pic:pic xmlns:pic="http://schemas.openxmlformats.org/drawingml/2006/picture">
                  <pic:nvPicPr>
                    <pic:cNvPr id="1241108" name="Picture 1241108"/>
                    <pic:cNvPicPr/>
                  </pic:nvPicPr>
                  <pic:blipFill>
                    <a:blip r:embed="rId1186"/>
                    <a:stretch>
                      <a:fillRect/>
                    </a:stretch>
                  </pic:blipFill>
                  <pic:spPr>
                    <a:xfrm>
                      <a:off x="0" y="0"/>
                      <a:ext cx="13716" cy="9144"/>
                    </a:xfrm>
                    <a:prstGeom prst="rect">
                      <a:avLst/>
                    </a:prstGeom>
                  </pic:spPr>
                </pic:pic>
              </a:graphicData>
            </a:graphic>
          </wp:anchor>
        </w:drawing>
      </w:r>
      <w:r>
        <w:rPr>
          <w:sz w:val="26"/>
        </w:rPr>
        <w:t xml:space="preserve">1 Administrativa Financiera, a efecto que, velen porque el Encargado de Inventarios, mejore el control en la información y documentación de los activos fijos y realice </w:t>
      </w:r>
      <w:r>
        <w:rPr>
          <w:noProof/>
        </w:rPr>
        <w:drawing>
          <wp:inline distT="0" distB="0" distL="0" distR="0" wp14:anchorId="0F743399" wp14:editId="77EC2582">
            <wp:extent cx="13716" cy="18288"/>
            <wp:effectExtent l="0" t="0" r="0" b="0"/>
            <wp:docPr id="1241109" name="Picture 1241109"/>
            <wp:cNvGraphicFramePr/>
            <a:graphic xmlns:a="http://schemas.openxmlformats.org/drawingml/2006/main">
              <a:graphicData uri="http://schemas.openxmlformats.org/drawingml/2006/picture">
                <pic:pic xmlns:pic="http://schemas.openxmlformats.org/drawingml/2006/picture">
                  <pic:nvPicPr>
                    <pic:cNvPr id="1241109" name="Picture 1241109"/>
                    <pic:cNvPicPr/>
                  </pic:nvPicPr>
                  <pic:blipFill>
                    <a:blip r:embed="rId656"/>
                    <a:stretch>
                      <a:fillRect/>
                    </a:stretch>
                  </pic:blipFill>
                  <pic:spPr>
                    <a:xfrm>
                      <a:off x="0" y="0"/>
                      <a:ext cx="13716" cy="18288"/>
                    </a:xfrm>
                    <a:prstGeom prst="rect">
                      <a:avLst/>
                    </a:prstGeom>
                  </pic:spPr>
                </pic:pic>
              </a:graphicData>
            </a:graphic>
          </wp:inline>
        </w:drawing>
      </w:r>
      <w:r>
        <w:rPr>
          <w:sz w:val="26"/>
        </w:rPr>
        <w:t>1 anualmente inventarios físicos, así de esa manera, se asegurará que los registros en el libro de inventarios se encuentren actualizados, permitiendo una correcta gestión y control de los activos fijos de [a institución.</w:t>
      </w:r>
    </w:p>
    <w:p w14:paraId="4D9B74E5" w14:textId="77777777" w:rsidR="00053D93" w:rsidRDefault="00260B75">
      <w:pPr>
        <w:spacing w:after="3" w:line="265" w:lineRule="auto"/>
        <w:ind w:left="60" w:right="65" w:hanging="10"/>
      </w:pPr>
      <w:r>
        <w:rPr>
          <w:sz w:val="66"/>
        </w:rPr>
        <w:t>1</w:t>
      </w:r>
    </w:p>
    <w:p w14:paraId="5FE0437D" w14:textId="77777777" w:rsidR="00053D93" w:rsidRDefault="00260B75">
      <w:pPr>
        <w:spacing w:after="41" w:line="266" w:lineRule="auto"/>
        <w:ind w:left="1695" w:hanging="10"/>
      </w:pPr>
      <w:r>
        <w:rPr>
          <w:sz w:val="28"/>
        </w:rPr>
        <w:t>Comentario de los responsables</w:t>
      </w:r>
    </w:p>
    <w:p w14:paraId="398A0B7F" w14:textId="77777777" w:rsidR="00053D93" w:rsidRDefault="00260B75">
      <w:pPr>
        <w:tabs>
          <w:tab w:val="right" w:pos="10138"/>
        </w:tabs>
        <w:spacing w:after="4" w:line="269" w:lineRule="auto"/>
      </w:pPr>
      <w:r>
        <w:rPr>
          <w:sz w:val="26"/>
        </w:rPr>
        <w:t>1</w:t>
      </w:r>
      <w:r>
        <w:rPr>
          <w:sz w:val="26"/>
        </w:rPr>
        <w:tab/>
        <w:t>En Nota s/n, del 1 1 de abril de 2025, el licenciado Walfred Ramiro Vasquez</w:t>
      </w:r>
    </w:p>
    <w:p w14:paraId="7FE7CEFD" w14:textId="77777777" w:rsidR="00053D93" w:rsidRDefault="00260B75">
      <w:pPr>
        <w:spacing w:after="44"/>
        <w:ind w:left="29"/>
      </w:pPr>
      <w:r>
        <w:rPr>
          <w:noProof/>
        </w:rPr>
        <w:drawing>
          <wp:inline distT="0" distB="0" distL="0" distR="0" wp14:anchorId="3967DD85" wp14:editId="60AA035E">
            <wp:extent cx="13716" cy="13716"/>
            <wp:effectExtent l="0" t="0" r="0" b="0"/>
            <wp:docPr id="1241110" name="Picture 1241110"/>
            <wp:cNvGraphicFramePr/>
            <a:graphic xmlns:a="http://schemas.openxmlformats.org/drawingml/2006/main">
              <a:graphicData uri="http://schemas.openxmlformats.org/drawingml/2006/picture">
                <pic:pic xmlns:pic="http://schemas.openxmlformats.org/drawingml/2006/picture">
                  <pic:nvPicPr>
                    <pic:cNvPr id="1241110" name="Picture 1241110"/>
                    <pic:cNvPicPr/>
                  </pic:nvPicPr>
                  <pic:blipFill>
                    <a:blip r:embed="rId1673"/>
                    <a:stretch>
                      <a:fillRect/>
                    </a:stretch>
                  </pic:blipFill>
                  <pic:spPr>
                    <a:xfrm>
                      <a:off x="0" y="0"/>
                      <a:ext cx="13716" cy="13716"/>
                    </a:xfrm>
                    <a:prstGeom prst="rect">
                      <a:avLst/>
                    </a:prstGeom>
                  </pic:spPr>
                </pic:pic>
              </a:graphicData>
            </a:graphic>
          </wp:inline>
        </w:drawing>
      </w:r>
    </w:p>
    <w:p w14:paraId="7AFCC787" w14:textId="77777777" w:rsidR="00053D93" w:rsidRDefault="00260B75">
      <w:pPr>
        <w:spacing w:after="210" w:line="248" w:lineRule="auto"/>
        <w:ind w:left="1256" w:right="216" w:hanging="10"/>
        <w:jc w:val="center"/>
      </w:pPr>
      <w:r>
        <w:rPr>
          <w:sz w:val="26"/>
        </w:rPr>
        <w:t>Cataví, quien fungió como Subdirector Administrativo Financiero, por el período comprendido del 21 de enero de 2022 al 31 de diciembre de 2023, manifiesta:</w:t>
      </w:r>
    </w:p>
    <w:p w14:paraId="4E7F7D8E" w14:textId="77777777" w:rsidR="00053D93" w:rsidRDefault="00260B75">
      <w:pPr>
        <w:spacing w:after="4" w:line="322" w:lineRule="auto"/>
        <w:ind w:left="1713" w:right="14" w:hanging="1656"/>
        <w:jc w:val="both"/>
      </w:pPr>
      <w:r>
        <w:rPr>
          <w:noProof/>
        </w:rPr>
        <w:drawing>
          <wp:inline distT="0" distB="0" distL="0" distR="0" wp14:anchorId="755014FF" wp14:editId="1C427167">
            <wp:extent cx="18288" cy="18288"/>
            <wp:effectExtent l="0" t="0" r="0" b="0"/>
            <wp:docPr id="1241111" name="Picture 1241111"/>
            <wp:cNvGraphicFramePr/>
            <a:graphic xmlns:a="http://schemas.openxmlformats.org/drawingml/2006/main">
              <a:graphicData uri="http://schemas.openxmlformats.org/drawingml/2006/picture">
                <pic:pic xmlns:pic="http://schemas.openxmlformats.org/drawingml/2006/picture">
                  <pic:nvPicPr>
                    <pic:cNvPr id="1241111" name="Picture 1241111"/>
                    <pic:cNvPicPr/>
                  </pic:nvPicPr>
                  <pic:blipFill>
                    <a:blip r:embed="rId1674"/>
                    <a:stretch>
                      <a:fillRect/>
                    </a:stretch>
                  </pic:blipFill>
                  <pic:spPr>
                    <a:xfrm>
                      <a:off x="0" y="0"/>
                      <a:ext cx="18288" cy="18288"/>
                    </a:xfrm>
                    <a:prstGeom prst="rect">
                      <a:avLst/>
                    </a:prstGeom>
                  </pic:spPr>
                </pic:pic>
              </a:graphicData>
            </a:graphic>
          </wp:inline>
        </w:drawing>
      </w:r>
      <w:r>
        <w:rPr>
          <w:sz w:val="26"/>
        </w:rPr>
        <w:t>1 "...que con Acta No. 1 13-2023 de fecha 29 de diciembre de 2023, fui notificado que mi contrato no será prorrogado para el año 2024, por lo que la finalización del contrato surte efectos a partir del 01 de enero 2024.</w:t>
      </w:r>
    </w:p>
    <w:p w14:paraId="0C007FA4" w14:textId="77777777" w:rsidR="00053D93" w:rsidRDefault="00260B75">
      <w:pPr>
        <w:pStyle w:val="Ttulo2"/>
        <w:spacing w:after="0"/>
        <w:ind w:left="17" w:right="0"/>
      </w:pPr>
      <w:r>
        <w:t>-1</w:t>
      </w:r>
    </w:p>
    <w:p w14:paraId="0A2D5BE5" w14:textId="77777777" w:rsidR="00053D93" w:rsidRDefault="00260B75">
      <w:pPr>
        <w:spacing w:after="494" w:line="269" w:lineRule="auto"/>
        <w:ind w:left="57" w:right="14" w:firstLine="1663"/>
        <w:jc w:val="both"/>
      </w:pPr>
      <w:r>
        <w:rPr>
          <w:sz w:val="26"/>
        </w:rPr>
        <w:t>Por lo que con base a los artículos 4, 12, 14, 15 y 28 de la Constitución Política de -1 la República de Guatemala, se me excluya de dicho proceso..."</w:t>
      </w:r>
    </w:p>
    <w:p w14:paraId="092B2534" w14:textId="77777777" w:rsidR="00053D93" w:rsidRDefault="00260B75">
      <w:pPr>
        <w:spacing w:after="126" w:line="273" w:lineRule="auto"/>
        <w:ind w:left="21" w:firstLine="1656"/>
      </w:pPr>
      <w:r>
        <w:rPr>
          <w:sz w:val="26"/>
        </w:rPr>
        <w:t>En Oficio No. DIGECADE-SAF/149-2025, del 1 1 de abril de 2025, el licenciado -1</w:t>
      </w:r>
      <w:r>
        <w:rPr>
          <w:sz w:val="26"/>
        </w:rPr>
        <w:tab/>
        <w:t>Marcel Antonio Romero Aguilar, quien fungió como Encargado de la Subdirección Administrativa Financiera, por el período comprendido del 16 de enero de 2018 al 27 de abril de 2020, manifiesta: "...Se deja constancia de que se han realizado periódicamente inventarios de los bienes físicos de la DIGECADE, como consta en los siguientes oficios: DIGECADE/SUB-AF/476-2019, DIGECADE/SUB1</w:t>
      </w:r>
      <w:r>
        <w:rPr>
          <w:sz w:val="26"/>
        </w:rPr>
        <w:tab/>
        <w:t>AF1477-2019, DIGECADE/SUB-AF/478-2019, DIGECADE/SUB-AF/490-2019, DIGECADE-SAF-98-2022, DIGECADE-SAF-319-2022, OFICIO-SAE-N0. 142-202, SAE-N0. 289-202, DIGECADE-SAF-369-2022 y DIGECADE-SAF-413-2022.</w:t>
      </w:r>
    </w:p>
    <w:p w14:paraId="573EFA88" w14:textId="77777777" w:rsidR="00053D93" w:rsidRDefault="00260B75">
      <w:pPr>
        <w:spacing w:after="3"/>
        <w:ind w:left="89" w:hanging="10"/>
      </w:pPr>
      <w:r>
        <w:rPr>
          <w:sz w:val="64"/>
        </w:rPr>
        <w:t>1</w:t>
      </w:r>
    </w:p>
    <w:p w14:paraId="261E078D" w14:textId="77777777" w:rsidR="00053D93" w:rsidRDefault="00260B75">
      <w:pPr>
        <w:spacing w:after="261" w:line="269" w:lineRule="auto"/>
        <w:ind w:left="57" w:right="14" w:firstLine="1591"/>
        <w:jc w:val="both"/>
      </w:pPr>
      <w:r>
        <w:rPr>
          <w:sz w:val="26"/>
        </w:rPr>
        <w:t>No obstante, se hace la aclaración de que únicamente se cuenta con la información mencionada, debido a que el archivo fisico de la Subdirección 1 Administrativa Financiera fue reubicado en el año 2022 a la bodega del Ministerio de Educación, ubicada en la zona 1 1 de la Ciudad Capital. Dicha reubicación fue autorizada por el licenciado Walfred Ramiro Vásquez Cataví, quien se desempeñaba como Subdirector Administrativo Financiero en ese entonces.</w:t>
      </w:r>
    </w:p>
    <w:p w14:paraId="69148563" w14:textId="77777777" w:rsidR="00053D93" w:rsidRDefault="00260B75">
      <w:pPr>
        <w:spacing w:after="295" w:line="269" w:lineRule="auto"/>
        <w:ind w:left="1645" w:right="14" w:hanging="3"/>
        <w:jc w:val="both"/>
      </w:pPr>
      <w:r>
        <w:rPr>
          <w:sz w:val="26"/>
        </w:rPr>
        <w:t>Posteriormente, en diciembre del año 2024, el archivo fue nuevamente reubicado, esta vez con autorización de la licenciada Claudia Elizabeth Morales García, Directora de DIGECADE. Sin embargo, este último traslado se realizó sin llevar un control adecuado de los documentos trasladados, lo que generó un desorden en el archivo y ha imposibilitado la localización de los documentos de soporte necesarios para el desvanecimiento del hallazgo en mención.</w:t>
      </w:r>
    </w:p>
    <w:p w14:paraId="534E06A6" w14:textId="77777777" w:rsidR="00053D93" w:rsidRDefault="00260B75">
      <w:pPr>
        <w:spacing w:after="4" w:line="269" w:lineRule="auto"/>
        <w:ind w:left="1652" w:right="14" w:hanging="3"/>
        <w:jc w:val="both"/>
      </w:pPr>
      <w:r>
        <w:rPr>
          <w:sz w:val="26"/>
        </w:rPr>
        <w:t>Por lo tanto, la información proporcionada mediante el oficio No. DIGECADE-SAF/100-2025, de fecha 3 de marzo de 2025, resulta completamente</w:t>
      </w:r>
    </w:p>
    <w:tbl>
      <w:tblPr>
        <w:tblStyle w:val="TableGrid"/>
        <w:tblW w:w="9410" w:type="dxa"/>
        <w:tblInd w:w="691" w:type="dxa"/>
        <w:tblLook w:val="04A0" w:firstRow="1" w:lastRow="0" w:firstColumn="1" w:lastColumn="0" w:noHBand="0" w:noVBand="1"/>
      </w:tblPr>
      <w:tblGrid>
        <w:gridCol w:w="1227"/>
        <w:gridCol w:w="8219"/>
      </w:tblGrid>
      <w:tr w:rsidR="00053D93" w14:paraId="0B69F4BC" w14:textId="77777777">
        <w:trPr>
          <w:trHeight w:val="641"/>
        </w:trPr>
        <w:tc>
          <w:tcPr>
            <w:tcW w:w="1709" w:type="dxa"/>
            <w:tcBorders>
              <w:top w:val="nil"/>
              <w:left w:val="nil"/>
              <w:bottom w:val="nil"/>
              <w:right w:val="nil"/>
            </w:tcBorders>
          </w:tcPr>
          <w:p w14:paraId="7361E66B" w14:textId="77777777" w:rsidR="00053D93" w:rsidRDefault="00260B75">
            <w:r>
              <w:rPr>
                <w:noProof/>
              </w:rPr>
              <w:drawing>
                <wp:inline distT="0" distB="0" distL="0" distR="0" wp14:anchorId="3C052C26" wp14:editId="2D7B7C55">
                  <wp:extent cx="1056132" cy="406909"/>
                  <wp:effectExtent l="0" t="0" r="0" b="0"/>
                  <wp:docPr id="1241175" name="Picture 1241175"/>
                  <wp:cNvGraphicFramePr/>
                  <a:graphic xmlns:a="http://schemas.openxmlformats.org/drawingml/2006/main">
                    <a:graphicData uri="http://schemas.openxmlformats.org/drawingml/2006/picture">
                      <pic:pic xmlns:pic="http://schemas.openxmlformats.org/drawingml/2006/picture">
                        <pic:nvPicPr>
                          <pic:cNvPr id="1241175" name="Picture 1241175"/>
                          <pic:cNvPicPr/>
                        </pic:nvPicPr>
                        <pic:blipFill>
                          <a:blip r:embed="rId1675"/>
                          <a:stretch>
                            <a:fillRect/>
                          </a:stretch>
                        </pic:blipFill>
                        <pic:spPr>
                          <a:xfrm>
                            <a:off x="0" y="0"/>
                            <a:ext cx="1056132" cy="406909"/>
                          </a:xfrm>
                          <a:prstGeom prst="rect">
                            <a:avLst/>
                          </a:prstGeom>
                        </pic:spPr>
                      </pic:pic>
                    </a:graphicData>
                  </a:graphic>
                </wp:inline>
              </w:drawing>
            </w:r>
          </w:p>
        </w:tc>
        <w:tc>
          <w:tcPr>
            <w:tcW w:w="7702" w:type="dxa"/>
            <w:tcBorders>
              <w:top w:val="nil"/>
              <w:left w:val="nil"/>
              <w:bottom w:val="nil"/>
              <w:right w:val="nil"/>
            </w:tcBorders>
          </w:tcPr>
          <w:p w14:paraId="0DD18817" w14:textId="77777777" w:rsidR="00053D93" w:rsidRDefault="00053D93">
            <w:pPr>
              <w:ind w:left="-2745" w:right="10447"/>
            </w:pPr>
          </w:p>
          <w:tbl>
            <w:tblPr>
              <w:tblStyle w:val="TableGrid"/>
              <w:tblW w:w="7656" w:type="dxa"/>
              <w:tblInd w:w="45" w:type="dxa"/>
              <w:tblCellMar>
                <w:top w:w="46" w:type="dxa"/>
                <w:left w:w="1781" w:type="dxa"/>
                <w:right w:w="115" w:type="dxa"/>
              </w:tblCellMar>
              <w:tblLook w:val="04A0" w:firstRow="1" w:lastRow="0" w:firstColumn="1" w:lastColumn="0" w:noHBand="0" w:noVBand="1"/>
            </w:tblPr>
            <w:tblGrid>
              <w:gridCol w:w="7656"/>
            </w:tblGrid>
            <w:tr w:rsidR="00053D93" w14:paraId="5B1A5787" w14:textId="77777777">
              <w:trPr>
                <w:trHeight w:val="58"/>
              </w:trPr>
              <w:tc>
                <w:tcPr>
                  <w:tcW w:w="7656" w:type="dxa"/>
                  <w:tcBorders>
                    <w:top w:val="nil"/>
                    <w:left w:val="single" w:sz="2" w:space="0" w:color="000000"/>
                    <w:bottom w:val="single" w:sz="2" w:space="0" w:color="000000"/>
                    <w:right w:val="nil"/>
                  </w:tcBorders>
                </w:tcPr>
                <w:p w14:paraId="3A5E9F84" w14:textId="77777777" w:rsidR="00053D93" w:rsidRDefault="00053D93"/>
              </w:tc>
            </w:tr>
            <w:tr w:rsidR="00053D93" w14:paraId="11195D1F" w14:textId="77777777">
              <w:trPr>
                <w:trHeight w:val="583"/>
              </w:trPr>
              <w:tc>
                <w:tcPr>
                  <w:tcW w:w="7656" w:type="dxa"/>
                  <w:tcBorders>
                    <w:top w:val="single" w:sz="2" w:space="0" w:color="000000"/>
                    <w:left w:val="single" w:sz="2" w:space="0" w:color="000000"/>
                    <w:bottom w:val="nil"/>
                    <w:right w:val="nil"/>
                  </w:tcBorders>
                </w:tcPr>
                <w:p w14:paraId="1C9CC850" w14:textId="77777777" w:rsidR="00053D93" w:rsidRDefault="00260B75">
                  <w:pPr>
                    <w:ind w:left="835"/>
                  </w:pPr>
                  <w:r>
                    <w:rPr>
                      <w:sz w:val="14"/>
                    </w:rPr>
                    <w:t>MINISTERIO DE EDUCACION</w:t>
                  </w:r>
                </w:p>
                <w:p w14:paraId="45BD589D" w14:textId="77777777" w:rsidR="00053D93" w:rsidRDefault="00260B75">
                  <w:pPr>
                    <w:ind w:left="338"/>
                  </w:pPr>
                  <w:r>
                    <w:rPr>
                      <w:sz w:val="14"/>
                    </w:rPr>
                    <w:t>AUDITORÍA FINANCIERA Y DE CUMPLWIENTO</w:t>
                  </w:r>
                </w:p>
                <w:p w14:paraId="0BFD57AE" w14:textId="77777777" w:rsidR="00053D93" w:rsidRDefault="00260B75">
                  <w:pPr>
                    <w:tabs>
                      <w:tab w:val="center" w:pos="3035"/>
                    </w:tabs>
                  </w:pPr>
                  <w:r>
                    <w:rPr>
                      <w:sz w:val="14"/>
                    </w:rPr>
                    <w:t xml:space="preserve">PERIODO DEL 01 DE ENERO AL 31 DE </w:t>
                  </w:r>
                  <w:r>
                    <w:rPr>
                      <w:sz w:val="14"/>
                    </w:rPr>
                    <w:tab/>
                    <w:t>OS 2024</w:t>
                  </w:r>
                </w:p>
              </w:tc>
            </w:tr>
          </w:tbl>
          <w:p w14:paraId="15161680" w14:textId="77777777" w:rsidR="00053D93" w:rsidRDefault="00053D93"/>
        </w:tc>
      </w:tr>
    </w:tbl>
    <w:p w14:paraId="7ADE87AA" w14:textId="77777777" w:rsidR="00053D93" w:rsidRDefault="00260B75">
      <w:pPr>
        <w:spacing w:after="38"/>
        <w:ind w:left="1570" w:right="-7"/>
      </w:pPr>
      <w:r>
        <w:rPr>
          <w:noProof/>
        </w:rPr>
        <mc:AlternateContent>
          <mc:Choice Requires="wpg">
            <w:drawing>
              <wp:inline distT="0" distB="0" distL="0" distR="0" wp14:anchorId="755D8A23" wp14:editId="208968F0">
                <wp:extent cx="5431536" cy="9144"/>
                <wp:effectExtent l="0" t="0" r="0" b="0"/>
                <wp:docPr id="2458950" name="Group 2458950"/>
                <wp:cNvGraphicFramePr/>
                <a:graphic xmlns:a="http://schemas.openxmlformats.org/drawingml/2006/main">
                  <a:graphicData uri="http://schemas.microsoft.com/office/word/2010/wordprocessingGroup">
                    <wpg:wgp>
                      <wpg:cNvGrpSpPr/>
                      <wpg:grpSpPr>
                        <a:xfrm>
                          <a:off x="0" y="0"/>
                          <a:ext cx="5431536" cy="9144"/>
                          <a:chOff x="0" y="0"/>
                          <a:chExt cx="5431536" cy="9144"/>
                        </a:xfrm>
                      </wpg:grpSpPr>
                      <wps:wsp>
                        <wps:cNvPr id="2458949" name="Shape 2458949"/>
                        <wps:cNvSpPr/>
                        <wps:spPr>
                          <a:xfrm>
                            <a:off x="0" y="0"/>
                            <a:ext cx="5431536" cy="9144"/>
                          </a:xfrm>
                          <a:custGeom>
                            <a:avLst/>
                            <a:gdLst/>
                            <a:ahLst/>
                            <a:cxnLst/>
                            <a:rect l="0" t="0" r="0" b="0"/>
                            <a:pathLst>
                              <a:path w="5431536" h="9144">
                                <a:moveTo>
                                  <a:pt x="0" y="4572"/>
                                </a:moveTo>
                                <a:lnTo>
                                  <a:pt x="543153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50" style="width:427.68pt;height:0.720001pt;mso-position-horizontal-relative:char;mso-position-vertical-relative:line" coordsize="54315,91">
                <v:shape id="Shape 2458949" style="position:absolute;width:54315;height:91;left:0;top:0;" coordsize="5431536,9144" path="m0,4572l5431536,4572">
                  <v:stroke weight="0.720001pt" endcap="flat" joinstyle="miter" miterlimit="1" on="true" color="#000000"/>
                  <v:fill on="false" color="#000000"/>
                </v:shape>
              </v:group>
            </w:pict>
          </mc:Fallback>
        </mc:AlternateContent>
      </w:r>
    </w:p>
    <w:p w14:paraId="46078DE0" w14:textId="77777777" w:rsidR="00053D93" w:rsidRDefault="00260B75">
      <w:pPr>
        <w:spacing w:after="33" w:line="269" w:lineRule="auto"/>
        <w:ind w:left="1706" w:right="14" w:hanging="1649"/>
        <w:jc w:val="both"/>
      </w:pPr>
      <w:r>
        <w:rPr>
          <w:noProof/>
        </w:rPr>
        <w:drawing>
          <wp:inline distT="0" distB="0" distL="0" distR="0" wp14:anchorId="528B7B5B" wp14:editId="4C08266D">
            <wp:extent cx="4572" cy="9144"/>
            <wp:effectExtent l="0" t="0" r="0" b="0"/>
            <wp:docPr id="1244904" name="Picture 1244904"/>
            <wp:cNvGraphicFramePr/>
            <a:graphic xmlns:a="http://schemas.openxmlformats.org/drawingml/2006/main">
              <a:graphicData uri="http://schemas.openxmlformats.org/drawingml/2006/picture">
                <pic:pic xmlns:pic="http://schemas.openxmlformats.org/drawingml/2006/picture">
                  <pic:nvPicPr>
                    <pic:cNvPr id="1244904" name="Picture 1244904"/>
                    <pic:cNvPicPr/>
                  </pic:nvPicPr>
                  <pic:blipFill>
                    <a:blip r:embed="rId24"/>
                    <a:stretch>
                      <a:fillRect/>
                    </a:stretch>
                  </pic:blipFill>
                  <pic:spPr>
                    <a:xfrm>
                      <a:off x="0" y="0"/>
                      <a:ext cx="4572" cy="9144"/>
                    </a:xfrm>
                    <a:prstGeom prst="rect">
                      <a:avLst/>
                    </a:prstGeom>
                  </pic:spPr>
                </pic:pic>
              </a:graphicData>
            </a:graphic>
          </wp:inline>
        </w:drawing>
      </w:r>
      <w:r>
        <w:rPr>
          <w:sz w:val="26"/>
        </w:rPr>
        <w:t>1 errónea. En consecuencia, y conforme a lo señalado en el párrafo anterior, deberán llevarse a cabo las acciones administrativas correspondientes en contra de las personas firmantes de dicho oficio... "</w:t>
      </w:r>
    </w:p>
    <w:p w14:paraId="2ADAB3CD" w14:textId="77777777" w:rsidR="00053D93" w:rsidRDefault="00260B75">
      <w:pPr>
        <w:spacing w:after="3" w:line="265" w:lineRule="auto"/>
        <w:ind w:left="60" w:right="65" w:hanging="10"/>
      </w:pPr>
      <w:r>
        <w:rPr>
          <w:noProof/>
        </w:rPr>
        <w:drawing>
          <wp:inline distT="0" distB="0" distL="0" distR="0" wp14:anchorId="6FB711AA" wp14:editId="5D2DA071">
            <wp:extent cx="9144" cy="9144"/>
            <wp:effectExtent l="0" t="0" r="0" b="0"/>
            <wp:docPr id="1244905" name="Picture 1244905"/>
            <wp:cNvGraphicFramePr/>
            <a:graphic xmlns:a="http://schemas.openxmlformats.org/drawingml/2006/main">
              <a:graphicData uri="http://schemas.openxmlformats.org/drawingml/2006/picture">
                <pic:pic xmlns:pic="http://schemas.openxmlformats.org/drawingml/2006/picture">
                  <pic:nvPicPr>
                    <pic:cNvPr id="1244905" name="Picture 1244905"/>
                    <pic:cNvPicPr/>
                  </pic:nvPicPr>
                  <pic:blipFill>
                    <a:blip r:embed="rId73"/>
                    <a:stretch>
                      <a:fillRect/>
                    </a:stretch>
                  </pic:blipFill>
                  <pic:spPr>
                    <a:xfrm>
                      <a:off x="0" y="0"/>
                      <a:ext cx="9144" cy="9144"/>
                    </a:xfrm>
                    <a:prstGeom prst="rect">
                      <a:avLst/>
                    </a:prstGeom>
                  </pic:spPr>
                </pic:pic>
              </a:graphicData>
            </a:graphic>
          </wp:inline>
        </w:drawing>
      </w:r>
      <w:r>
        <w:rPr>
          <w:sz w:val="66"/>
        </w:rPr>
        <w:t>1</w:t>
      </w:r>
    </w:p>
    <w:p w14:paraId="233088C1" w14:textId="77777777" w:rsidR="00053D93" w:rsidRDefault="00260B75">
      <w:pPr>
        <w:spacing w:after="272" w:line="269" w:lineRule="auto"/>
        <w:ind w:left="57" w:right="14" w:firstLine="1670"/>
        <w:jc w:val="both"/>
      </w:pPr>
      <w:r>
        <w:rPr>
          <w:sz w:val="26"/>
        </w:rPr>
        <w:t xml:space="preserve">El señor Oscar René Cabrera García, quien fungió como Encargado de 1 Inventarios, por el período comprendido del 01 de enero del 2018 al 26 de junio de 2024, a quien se le notificó el Oficio No.: CGC-DAS-03-0037-AFC-MlNEDUCDIGECADE-NOTlF-01-2025, de fecha 02 de Abril de 2025, el hallazgo para su 1 discusión y presentación de pruebas de descargo para el 21 de abril de 2025, la notificación fue realizada por medio de Comunicaciones Electrónicas de la </w:t>
      </w:r>
      <w:r>
        <w:rPr>
          <w:noProof/>
        </w:rPr>
        <w:drawing>
          <wp:inline distT="0" distB="0" distL="0" distR="0" wp14:anchorId="3A70E84B" wp14:editId="188C458A">
            <wp:extent cx="13716" cy="13716"/>
            <wp:effectExtent l="0" t="0" r="0" b="0"/>
            <wp:docPr id="1244906" name="Picture 1244906"/>
            <wp:cNvGraphicFramePr/>
            <a:graphic xmlns:a="http://schemas.openxmlformats.org/drawingml/2006/main">
              <a:graphicData uri="http://schemas.openxmlformats.org/drawingml/2006/picture">
                <pic:pic xmlns:pic="http://schemas.openxmlformats.org/drawingml/2006/picture">
                  <pic:nvPicPr>
                    <pic:cNvPr id="1244906" name="Picture 1244906"/>
                    <pic:cNvPicPr/>
                  </pic:nvPicPr>
                  <pic:blipFill>
                    <a:blip r:embed="rId895"/>
                    <a:stretch>
                      <a:fillRect/>
                    </a:stretch>
                  </pic:blipFill>
                  <pic:spPr>
                    <a:xfrm>
                      <a:off x="0" y="0"/>
                      <a:ext cx="13716" cy="13716"/>
                    </a:xfrm>
                    <a:prstGeom prst="rect">
                      <a:avLst/>
                    </a:prstGeom>
                  </pic:spPr>
                </pic:pic>
              </a:graphicData>
            </a:graphic>
          </wp:inline>
        </w:drawing>
      </w:r>
      <w:r>
        <w:rPr>
          <w:sz w:val="26"/>
        </w:rPr>
        <w:t>1 Contraloría General de Cuentas, según constancia de comunicación electrónica No. 36079, de fecha 02 de abril de 2025; quien no se presentó a [a reunión virtual para discusión de hallazgos, ni presentó pruebas de descargo por medio de</w:t>
      </w:r>
    </w:p>
    <w:p w14:paraId="17FB2051" w14:textId="77777777" w:rsidR="00053D93" w:rsidRDefault="00260B75">
      <w:pPr>
        <w:spacing w:after="309" w:line="474" w:lineRule="auto"/>
        <w:ind w:left="1706" w:right="14" w:hanging="1649"/>
        <w:jc w:val="both"/>
      </w:pPr>
      <w:r>
        <w:rPr>
          <w:sz w:val="26"/>
        </w:rPr>
        <w:t>1 comunicación electrónica, ni otro medio electrónico, lo cual consta en la Videoconferencia del 21 de abril de 2025.</w:t>
      </w:r>
    </w:p>
    <w:p w14:paraId="181392DA" w14:textId="77777777" w:rsidR="00053D93" w:rsidRDefault="00260B75">
      <w:pPr>
        <w:tabs>
          <w:tab w:val="center" w:pos="2963"/>
        </w:tabs>
        <w:spacing w:after="4" w:line="269" w:lineRule="auto"/>
      </w:pPr>
      <w:r>
        <w:rPr>
          <w:sz w:val="26"/>
        </w:rPr>
        <w:t>1</w:t>
      </w:r>
      <w:r>
        <w:rPr>
          <w:sz w:val="26"/>
        </w:rPr>
        <w:tab/>
        <w:t>Comentario de auditoría</w:t>
      </w:r>
    </w:p>
    <w:p w14:paraId="41F57D5A" w14:textId="77777777" w:rsidR="00053D93" w:rsidRDefault="00260B75">
      <w:pPr>
        <w:spacing w:after="487" w:line="269" w:lineRule="auto"/>
        <w:ind w:left="57" w:right="14" w:firstLine="1598"/>
        <w:jc w:val="both"/>
      </w:pPr>
      <w:r>
        <w:rPr>
          <w:noProof/>
        </w:rPr>
        <w:drawing>
          <wp:anchor distT="0" distB="0" distL="114300" distR="114300" simplePos="0" relativeHeight="252305408" behindDoc="0" locked="0" layoutInCell="1" allowOverlap="0" wp14:anchorId="58546CC3" wp14:editId="39DD666F">
            <wp:simplePos x="0" y="0"/>
            <wp:positionH relativeFrom="page">
              <wp:posOffset>214884</wp:posOffset>
            </wp:positionH>
            <wp:positionV relativeFrom="page">
              <wp:posOffset>352044</wp:posOffset>
            </wp:positionV>
            <wp:extent cx="13716" cy="13716"/>
            <wp:effectExtent l="0" t="0" r="0" b="0"/>
            <wp:wrapTopAndBottom/>
            <wp:docPr id="1244903" name="Picture 1244903"/>
            <wp:cNvGraphicFramePr/>
            <a:graphic xmlns:a="http://schemas.openxmlformats.org/drawingml/2006/main">
              <a:graphicData uri="http://schemas.openxmlformats.org/drawingml/2006/picture">
                <pic:pic xmlns:pic="http://schemas.openxmlformats.org/drawingml/2006/picture">
                  <pic:nvPicPr>
                    <pic:cNvPr id="1244903" name="Picture 1244903"/>
                    <pic:cNvPicPr/>
                  </pic:nvPicPr>
                  <pic:blipFill>
                    <a:blip r:embed="rId1503"/>
                    <a:stretch>
                      <a:fillRect/>
                    </a:stretch>
                  </pic:blipFill>
                  <pic:spPr>
                    <a:xfrm>
                      <a:off x="0" y="0"/>
                      <a:ext cx="13716" cy="13716"/>
                    </a:xfrm>
                    <a:prstGeom prst="rect">
                      <a:avLst/>
                    </a:prstGeom>
                  </pic:spPr>
                </pic:pic>
              </a:graphicData>
            </a:graphic>
          </wp:anchor>
        </w:drawing>
      </w:r>
      <w:r>
        <w:rPr>
          <w:noProof/>
        </w:rPr>
        <mc:AlternateContent>
          <mc:Choice Requires="wpg">
            <w:drawing>
              <wp:anchor distT="0" distB="0" distL="114300" distR="114300" simplePos="0" relativeHeight="252306432" behindDoc="0" locked="0" layoutInCell="1" allowOverlap="1" wp14:anchorId="7DAF71E2" wp14:editId="4EB0E8D5">
                <wp:simplePos x="0" y="0"/>
                <wp:positionH relativeFrom="column">
                  <wp:posOffset>36576</wp:posOffset>
                </wp:positionH>
                <wp:positionV relativeFrom="paragraph">
                  <wp:posOffset>1728894</wp:posOffset>
                </wp:positionV>
                <wp:extent cx="105156" cy="292608"/>
                <wp:effectExtent l="0" t="0" r="0" b="0"/>
                <wp:wrapSquare wrapText="bothSides"/>
                <wp:docPr id="2457681" name="Group 2457681"/>
                <wp:cNvGraphicFramePr/>
                <a:graphic xmlns:a="http://schemas.openxmlformats.org/drawingml/2006/main">
                  <a:graphicData uri="http://schemas.microsoft.com/office/word/2010/wordprocessingGroup">
                    <wpg:wgp>
                      <wpg:cNvGrpSpPr/>
                      <wpg:grpSpPr>
                        <a:xfrm>
                          <a:off x="0" y="0"/>
                          <a:ext cx="105156" cy="292608"/>
                          <a:chOff x="0" y="0"/>
                          <a:chExt cx="105156" cy="292608"/>
                        </a:xfrm>
                      </wpg:grpSpPr>
                      <wps:wsp>
                        <wps:cNvPr id="1241857" name="Rectangle 1241857"/>
                        <wps:cNvSpPr/>
                        <wps:spPr>
                          <a:xfrm>
                            <a:off x="0" y="0"/>
                            <a:ext cx="139858" cy="389169"/>
                          </a:xfrm>
                          <a:prstGeom prst="rect">
                            <a:avLst/>
                          </a:prstGeom>
                          <a:ln>
                            <a:noFill/>
                          </a:ln>
                        </wps:spPr>
                        <wps:txbx>
                          <w:txbxContent>
                            <w:p w14:paraId="6376C2FD" w14:textId="77777777" w:rsidR="00053D93" w:rsidRDefault="00260B75">
                              <w:r>
                                <w:rPr>
                                  <w:sz w:val="64"/>
                                </w:rPr>
                                <w:t>1</w:t>
                              </w:r>
                            </w:p>
                          </w:txbxContent>
                        </wps:txbx>
                        <wps:bodyPr horzOverflow="overflow" vert="horz" lIns="0" tIns="0" rIns="0" bIns="0" rtlCol="0">
                          <a:noAutofit/>
                        </wps:bodyPr>
                      </wps:wsp>
                    </wpg:wgp>
                  </a:graphicData>
                </a:graphic>
              </wp:anchor>
            </w:drawing>
          </mc:Choice>
          <mc:Fallback>
            <w:pict>
              <v:group w14:anchorId="7DAF71E2" id="Group 2457681" o:spid="_x0000_s1780" style="position:absolute;left:0;text-align:left;margin-left:2.9pt;margin-top:136.15pt;width:8.3pt;height:23.05pt;z-index:252306432;mso-position-horizontal-relative:text;mso-position-vertical-relative:text" coordsize="10515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">
                <v:rect id="Rectangle 1241857" o:spid="_x0000_s1781" style="position:absolute;width:139858;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" filled="f" stroked="f">
                  <v:textbox inset="0,0,0,0">
                    <w:txbxContent>
                      <w:p w14:paraId="6376C2FD" w14:textId="77777777" w:rsidR="00053D93" w:rsidRDefault="00260B75">
                        <w:r>
                          <w:rPr>
                            <w:sz w:val="64"/>
                          </w:rPr>
                          <w:t>1</w:t>
                        </w:r>
                      </w:p>
                    </w:txbxContent>
                  </v:textbox>
                </v:rect>
                <w10:wrap type="square"/>
              </v:group>
            </w:pict>
          </mc:Fallback>
        </mc:AlternateContent>
      </w:r>
      <w:r>
        <w:rPr>
          <w:sz w:val="26"/>
        </w:rPr>
        <w:t>Se confirma el hallazgo, para el licenciado Walfred Ramiro Vasquez Cataví, quien fungió como Subdirector Administrativo Financiero, durante el período comprendido del 21 de enero de 2022 al 31 de diciembre de 2023, en virtud que, sus comentarios y pruebas de descargo, no desvanecen los hechos que se le atribuyen; derivado que, el responsable manifiesta que según Acta No. 1 13-2023 de fecha 29 de diciembre de 2023, fue notificado que su contrato no sería prorrogado para el año 2024, por lo que la finalización del contrato surtió efectos a 1 partir del 01 de enero 2024; sin embargo, no presentó evidencia que demuestre que le dio seguimiento a la realización de inventarios físicos anuales, durante el período que estuvo como Subdirector Administrativo Financiero; derivado que, no presentó copias de los inventarios realizados.</w:t>
      </w:r>
    </w:p>
    <w:p w14:paraId="01D6BC77" w14:textId="77777777" w:rsidR="00053D93" w:rsidRDefault="00260B75">
      <w:pPr>
        <w:spacing w:after="4" w:line="269" w:lineRule="auto"/>
        <w:ind w:left="60" w:right="14" w:hanging="3"/>
        <w:jc w:val="both"/>
      </w:pPr>
      <w:r>
        <w:rPr>
          <w:sz w:val="26"/>
        </w:rPr>
        <w:t>1 Finalmente, el responsable exterioriza que se excluya de dicho proceso con base a los artículos 4, 12, 14, 15 y 28 de la Constitución Política de la República de Guatemala; sin embargo, dicho cuerpo legal en su artículo 155 Responsabilidad 1 por infracción a la ley, indica que la responsabilidad civil de los funcionarios y empleados públicos podrá deducirse mientras no se hubiere consumado la 1 prescripción, cuyo término será de veinte años; por esa razón, no se le puede excluir de dicho proceso, derivado que, no ha prescrito la infracción a la ley cometida, relacionada con la obligación de velar, supervisar y garantizar el 1 cumplimiento normativo; en virtud que, durante el período que estuvo como Subdirector Administrativo Financiero, no veló porque el Encargado de Inventarios realizara el inventario físico anual; asimismo, no supervisó el cumplimiento de lo establecido en [a Circular 3-57, de la Dirección de Contabilidad del Estado, la que indica, con la debida anticipación y de acuerdo con el volumen de los bienes, cada 1 jefe de oficina bajo su responsabilidad deberá disponer [a verificación física del</w:t>
      </w:r>
    </w:p>
    <w:tbl>
      <w:tblPr>
        <w:tblStyle w:val="TableGrid"/>
        <w:tblW w:w="9410" w:type="dxa"/>
        <w:tblInd w:w="684" w:type="dxa"/>
        <w:tblLook w:val="04A0" w:firstRow="1" w:lastRow="0" w:firstColumn="1" w:lastColumn="0" w:noHBand="0" w:noVBand="1"/>
      </w:tblPr>
      <w:tblGrid>
        <w:gridCol w:w="1294"/>
        <w:gridCol w:w="8159"/>
      </w:tblGrid>
      <w:tr w:rsidR="00053D93" w14:paraId="5A72032B" w14:textId="77777777">
        <w:trPr>
          <w:trHeight w:val="648"/>
        </w:trPr>
        <w:tc>
          <w:tcPr>
            <w:tcW w:w="1781" w:type="dxa"/>
            <w:tcBorders>
              <w:top w:val="nil"/>
              <w:left w:val="nil"/>
              <w:bottom w:val="nil"/>
              <w:right w:val="nil"/>
            </w:tcBorders>
          </w:tcPr>
          <w:p w14:paraId="2608E1BF" w14:textId="77777777" w:rsidR="00053D93" w:rsidRDefault="00260B75">
            <w:r>
              <w:rPr>
                <w:noProof/>
              </w:rPr>
              <w:drawing>
                <wp:inline distT="0" distB="0" distL="0" distR="0" wp14:anchorId="73E1056C" wp14:editId="1A99FC78">
                  <wp:extent cx="1120140" cy="411480"/>
                  <wp:effectExtent l="0" t="0" r="0" b="0"/>
                  <wp:docPr id="1244959" name="Picture 1244959"/>
                  <wp:cNvGraphicFramePr/>
                  <a:graphic xmlns:a="http://schemas.openxmlformats.org/drawingml/2006/main">
                    <a:graphicData uri="http://schemas.openxmlformats.org/drawingml/2006/picture">
                      <pic:pic xmlns:pic="http://schemas.openxmlformats.org/drawingml/2006/picture">
                        <pic:nvPicPr>
                          <pic:cNvPr id="1244959" name="Picture 1244959"/>
                          <pic:cNvPicPr/>
                        </pic:nvPicPr>
                        <pic:blipFill>
                          <a:blip r:embed="rId1676"/>
                          <a:stretch>
                            <a:fillRect/>
                          </a:stretch>
                        </pic:blipFill>
                        <pic:spPr>
                          <a:xfrm>
                            <a:off x="0" y="0"/>
                            <a:ext cx="1120140" cy="411480"/>
                          </a:xfrm>
                          <a:prstGeom prst="rect">
                            <a:avLst/>
                          </a:prstGeom>
                        </pic:spPr>
                      </pic:pic>
                    </a:graphicData>
                  </a:graphic>
                </wp:inline>
              </w:drawing>
            </w:r>
          </w:p>
        </w:tc>
        <w:tc>
          <w:tcPr>
            <w:tcW w:w="7630" w:type="dxa"/>
            <w:tcBorders>
              <w:top w:val="nil"/>
              <w:left w:val="nil"/>
              <w:bottom w:val="nil"/>
              <w:right w:val="nil"/>
            </w:tcBorders>
          </w:tcPr>
          <w:p w14:paraId="3DC91EED" w14:textId="77777777" w:rsidR="00053D93" w:rsidRDefault="00053D93">
            <w:pPr>
              <w:ind w:left="-2810" w:right="10440"/>
            </w:pPr>
          </w:p>
          <w:tbl>
            <w:tblPr>
              <w:tblStyle w:val="TableGrid"/>
              <w:tblW w:w="7613" w:type="dxa"/>
              <w:tblInd w:w="17" w:type="dxa"/>
              <w:tblCellMar>
                <w:top w:w="31" w:type="dxa"/>
                <w:left w:w="1738" w:type="dxa"/>
                <w:right w:w="115" w:type="dxa"/>
              </w:tblCellMar>
              <w:tblLook w:val="04A0" w:firstRow="1" w:lastRow="0" w:firstColumn="1" w:lastColumn="0" w:noHBand="0" w:noVBand="1"/>
            </w:tblPr>
            <w:tblGrid>
              <w:gridCol w:w="7613"/>
            </w:tblGrid>
            <w:tr w:rsidR="00053D93" w14:paraId="0906C6B8" w14:textId="77777777">
              <w:trPr>
                <w:trHeight w:val="50"/>
              </w:trPr>
              <w:tc>
                <w:tcPr>
                  <w:tcW w:w="7613" w:type="dxa"/>
                  <w:tcBorders>
                    <w:top w:val="nil"/>
                    <w:left w:val="single" w:sz="2" w:space="0" w:color="000000"/>
                    <w:bottom w:val="single" w:sz="2" w:space="0" w:color="000000"/>
                    <w:right w:val="nil"/>
                  </w:tcBorders>
                </w:tcPr>
                <w:p w14:paraId="67B43FF7" w14:textId="77777777" w:rsidR="00053D93" w:rsidRDefault="00053D93"/>
              </w:tc>
            </w:tr>
            <w:tr w:rsidR="00053D93" w14:paraId="61174026" w14:textId="77777777">
              <w:trPr>
                <w:trHeight w:val="590"/>
              </w:trPr>
              <w:tc>
                <w:tcPr>
                  <w:tcW w:w="7613" w:type="dxa"/>
                  <w:tcBorders>
                    <w:top w:val="single" w:sz="2" w:space="0" w:color="000000"/>
                    <w:left w:val="single" w:sz="2" w:space="0" w:color="000000"/>
                    <w:bottom w:val="nil"/>
                    <w:right w:val="nil"/>
                  </w:tcBorders>
                </w:tcPr>
                <w:p w14:paraId="6402281B" w14:textId="77777777" w:rsidR="00053D93" w:rsidRDefault="00260B75">
                  <w:pPr>
                    <w:ind w:left="835"/>
                  </w:pPr>
                  <w:r>
                    <w:rPr>
                      <w:sz w:val="14"/>
                    </w:rPr>
                    <w:t>MINISTERIO DE EDUCACION</w:t>
                  </w:r>
                </w:p>
                <w:p w14:paraId="41C9748B" w14:textId="77777777" w:rsidR="00053D93" w:rsidRDefault="00260B75">
                  <w:pPr>
                    <w:ind w:left="338"/>
                  </w:pPr>
                  <w:r>
                    <w:rPr>
                      <w:sz w:val="14"/>
                    </w:rPr>
                    <w:t>AUDTORíA FINANCIERA Y OE CUMPLIMIENTO</w:t>
                  </w:r>
                </w:p>
                <w:p w14:paraId="6888BF14" w14:textId="77777777" w:rsidR="00053D93" w:rsidRDefault="00260B75">
                  <w:pPr>
                    <w:tabs>
                      <w:tab w:val="center" w:pos="2030"/>
                    </w:tabs>
                  </w:pPr>
                  <w:r>
                    <w:rPr>
                      <w:sz w:val="14"/>
                    </w:rPr>
                    <w:t xml:space="preserve">PERIODO </w:t>
                  </w:r>
                  <w:r>
                    <w:rPr>
                      <w:sz w:val="14"/>
                    </w:rPr>
                    <w:tab/>
                    <w:t>01 DE ENERO AL 31 DE DICIEMBRE DE 2024</w:t>
                  </w:r>
                </w:p>
              </w:tc>
            </w:tr>
          </w:tbl>
          <w:p w14:paraId="5404E27F" w14:textId="77777777" w:rsidR="00053D93" w:rsidRDefault="00053D93"/>
        </w:tc>
      </w:tr>
    </w:tbl>
    <w:p w14:paraId="62F06B13" w14:textId="77777777" w:rsidR="00053D93" w:rsidRDefault="00053D93">
      <w:pPr>
        <w:sectPr w:rsidR="00053D93">
          <w:headerReference w:type="even" r:id="rId1677"/>
          <w:headerReference w:type="default" r:id="rId1678"/>
          <w:footerReference w:type="even" r:id="rId1679"/>
          <w:footerReference w:type="default" r:id="rId1680"/>
          <w:headerReference w:type="first" r:id="rId1681"/>
          <w:footerReference w:type="first" r:id="rId1682"/>
          <w:pgSz w:w="12290" w:h="15883"/>
          <w:pgMar w:top="778" w:right="1807" w:bottom="410" w:left="346" w:header="360" w:footer="720" w:gutter="0"/>
          <w:cols w:space="720"/>
          <w:titlePg/>
        </w:sectPr>
      </w:pPr>
    </w:p>
    <w:p w14:paraId="3C48ABAB" w14:textId="77777777" w:rsidR="00053D93" w:rsidRDefault="00260B75">
      <w:pPr>
        <w:spacing w:after="179" w:line="339" w:lineRule="auto"/>
        <w:ind w:left="5280" w:right="1685" w:hanging="10"/>
        <w:jc w:val="center"/>
      </w:pPr>
      <w:r>
        <w:rPr>
          <w:sz w:val="14"/>
        </w:rPr>
        <w:t xml:space="preserve">OE </w:t>
      </w:r>
    </w:p>
    <w:p w14:paraId="4AEE8AF3" w14:textId="77777777" w:rsidR="00053D93" w:rsidRDefault="00260B75">
      <w:pPr>
        <w:spacing w:after="39"/>
        <w:ind w:left="1685" w:right="-22"/>
      </w:pPr>
      <w:r>
        <w:rPr>
          <w:noProof/>
        </w:rPr>
        <mc:AlternateContent>
          <mc:Choice Requires="wpg">
            <w:drawing>
              <wp:inline distT="0" distB="0" distL="0" distR="0" wp14:anchorId="2077415E" wp14:editId="1A13685A">
                <wp:extent cx="5381244" cy="9144"/>
                <wp:effectExtent l="0" t="0" r="0" b="0"/>
                <wp:docPr id="2458952" name="Group 2458952"/>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951" name="Shape 2458951"/>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52" style="width:423.72pt;height:0.720001pt;mso-position-horizontal-relative:char;mso-position-vertical-relative:line" coordsize="53812,91">
                <v:shape id="Shape 2458951" style="position:absolute;width:53812;height:91;left:0;top:0;" coordsize="5381244,9144" path="m0,4572l5381244,4572">
                  <v:stroke weight="0.720001pt" endcap="flat" joinstyle="miter" miterlimit="1" on="true" color="#000000"/>
                  <v:fill on="false" color="#000000"/>
                </v:shape>
              </v:group>
            </w:pict>
          </mc:Fallback>
        </mc:AlternateContent>
      </w:r>
    </w:p>
    <w:p w14:paraId="3C555F39" w14:textId="77777777" w:rsidR="00053D93" w:rsidRDefault="00260B75">
      <w:pPr>
        <w:spacing w:after="4" w:line="269" w:lineRule="auto"/>
        <w:ind w:left="60" w:right="14" w:hanging="3"/>
        <w:jc w:val="both"/>
      </w:pPr>
      <w:r>
        <w:rPr>
          <w:sz w:val="26"/>
        </w:rPr>
        <w:t>1 inventario respectivo, a efecto de que esté terminado el día 31 de diciembre de cada año, asentándolo enseguida en el libro destinado para el efecto, debiéndose tomar en cuenta las adquisiciones y bajas registradas durante el ejercicio, para su correcta actualización; en virtud que, las últimas operaciones de bienes fueron registradas en el año 2018, según consta en el Folio No. 1 084 del Libro de 1 Inventarios de Activos Fijos No. 1.2 28049 de la Dirección General de Gestión de Calidad Educativa -DIGECADE-, ratificándose la deficiencia establecida por el</w:t>
      </w:r>
    </w:p>
    <w:p w14:paraId="3232EA78" w14:textId="77777777" w:rsidR="00053D93" w:rsidRDefault="00260B75">
      <w:pPr>
        <w:spacing w:after="27" w:line="265" w:lineRule="auto"/>
        <w:ind w:left="1716" w:hanging="10"/>
        <w:jc w:val="both"/>
      </w:pPr>
      <w:r>
        <w:rPr>
          <w:sz w:val="24"/>
        </w:rPr>
        <w:t>Equipo de Auditoría.</w:t>
      </w:r>
    </w:p>
    <w:p w14:paraId="6659D27C" w14:textId="77777777" w:rsidR="00053D93" w:rsidRDefault="00260B75">
      <w:pPr>
        <w:spacing w:after="3"/>
        <w:ind w:left="74" w:right="3485" w:hanging="10"/>
      </w:pPr>
      <w:r>
        <w:rPr>
          <w:noProof/>
        </w:rPr>
        <w:drawing>
          <wp:inline distT="0" distB="0" distL="0" distR="0" wp14:anchorId="7596F6D2" wp14:editId="3B87C3FC">
            <wp:extent cx="13716" cy="9144"/>
            <wp:effectExtent l="0" t="0" r="0" b="0"/>
            <wp:docPr id="1248704" name="Picture 1248704"/>
            <wp:cNvGraphicFramePr/>
            <a:graphic xmlns:a="http://schemas.openxmlformats.org/drawingml/2006/main">
              <a:graphicData uri="http://schemas.openxmlformats.org/drawingml/2006/picture">
                <pic:pic xmlns:pic="http://schemas.openxmlformats.org/drawingml/2006/picture">
                  <pic:nvPicPr>
                    <pic:cNvPr id="1248704" name="Picture 1248704"/>
                    <pic:cNvPicPr/>
                  </pic:nvPicPr>
                  <pic:blipFill>
                    <a:blip r:embed="rId49"/>
                    <a:stretch>
                      <a:fillRect/>
                    </a:stretch>
                  </pic:blipFill>
                  <pic:spPr>
                    <a:xfrm>
                      <a:off x="0" y="0"/>
                      <a:ext cx="13716" cy="9144"/>
                    </a:xfrm>
                    <a:prstGeom prst="rect">
                      <a:avLst/>
                    </a:prstGeom>
                  </pic:spPr>
                </pic:pic>
              </a:graphicData>
            </a:graphic>
          </wp:inline>
        </w:drawing>
      </w:r>
      <w:r>
        <w:rPr>
          <w:sz w:val="70"/>
        </w:rPr>
        <w:t>1</w:t>
      </w:r>
    </w:p>
    <w:p w14:paraId="1EECD789" w14:textId="77777777" w:rsidR="00053D93" w:rsidRDefault="00260B75">
      <w:pPr>
        <w:spacing w:after="184" w:line="269" w:lineRule="auto"/>
        <w:ind w:left="57" w:right="14" w:firstLine="1692"/>
        <w:jc w:val="both"/>
      </w:pPr>
      <w:r>
        <w:rPr>
          <w:noProof/>
        </w:rPr>
        <w:drawing>
          <wp:anchor distT="0" distB="0" distL="114300" distR="114300" simplePos="0" relativeHeight="252307456" behindDoc="0" locked="0" layoutInCell="1" allowOverlap="0" wp14:anchorId="62767163" wp14:editId="74E8D0CF">
            <wp:simplePos x="0" y="0"/>
            <wp:positionH relativeFrom="page">
              <wp:posOffset>114300</wp:posOffset>
            </wp:positionH>
            <wp:positionV relativeFrom="page">
              <wp:posOffset>4946904</wp:posOffset>
            </wp:positionV>
            <wp:extent cx="13716" cy="13716"/>
            <wp:effectExtent l="0" t="0" r="0" b="0"/>
            <wp:wrapTopAndBottom/>
            <wp:docPr id="1248706" name="Picture 1248706"/>
            <wp:cNvGraphicFramePr/>
            <a:graphic xmlns:a="http://schemas.openxmlformats.org/drawingml/2006/main">
              <a:graphicData uri="http://schemas.openxmlformats.org/drawingml/2006/picture">
                <pic:pic xmlns:pic="http://schemas.openxmlformats.org/drawingml/2006/picture">
                  <pic:nvPicPr>
                    <pic:cNvPr id="1248706" name="Picture 1248706"/>
                    <pic:cNvPicPr/>
                  </pic:nvPicPr>
                  <pic:blipFill>
                    <a:blip r:embed="rId1683"/>
                    <a:stretch>
                      <a:fillRect/>
                    </a:stretch>
                  </pic:blipFill>
                  <pic:spPr>
                    <a:xfrm>
                      <a:off x="0" y="0"/>
                      <a:ext cx="13716" cy="13716"/>
                    </a:xfrm>
                    <a:prstGeom prst="rect">
                      <a:avLst/>
                    </a:prstGeom>
                  </pic:spPr>
                </pic:pic>
              </a:graphicData>
            </a:graphic>
          </wp:anchor>
        </w:drawing>
      </w:r>
      <w:r>
        <w:rPr>
          <w:sz w:val="26"/>
        </w:rPr>
        <w:t xml:space="preserve">Es preciso indicar que giró instrucciones para realizar inventarios físicos a </w:t>
      </w:r>
      <w:r>
        <w:rPr>
          <w:noProof/>
        </w:rPr>
        <w:drawing>
          <wp:inline distT="0" distB="0" distL="0" distR="0" wp14:anchorId="229F79FB" wp14:editId="5B17517F">
            <wp:extent cx="13716" cy="9144"/>
            <wp:effectExtent l="0" t="0" r="0" b="0"/>
            <wp:docPr id="1248705" name="Picture 1248705"/>
            <wp:cNvGraphicFramePr/>
            <a:graphic xmlns:a="http://schemas.openxmlformats.org/drawingml/2006/main">
              <a:graphicData uri="http://schemas.openxmlformats.org/drawingml/2006/picture">
                <pic:pic xmlns:pic="http://schemas.openxmlformats.org/drawingml/2006/picture">
                  <pic:nvPicPr>
                    <pic:cNvPr id="1248705" name="Picture 1248705"/>
                    <pic:cNvPicPr/>
                  </pic:nvPicPr>
                  <pic:blipFill>
                    <a:blip r:embed="rId76"/>
                    <a:stretch>
                      <a:fillRect/>
                    </a:stretch>
                  </pic:blipFill>
                  <pic:spPr>
                    <a:xfrm>
                      <a:off x="0" y="0"/>
                      <a:ext cx="13716" cy="9144"/>
                    </a:xfrm>
                    <a:prstGeom prst="rect">
                      <a:avLst/>
                    </a:prstGeom>
                  </pic:spPr>
                </pic:pic>
              </a:graphicData>
            </a:graphic>
          </wp:inline>
        </w:drawing>
      </w:r>
      <w:r>
        <w:rPr>
          <w:sz w:val="26"/>
        </w:rPr>
        <w:t>1 personal de DIGECADE el 1 de abril, 1 de junio y 12 de julio de 2022 a través de los oficios: OFICIO-SAE-N0. 142-2022, OFICIO-SAE-N0. 289-2022 y DIGECADE-SAF-369-2022; además, el 15 de junio de 2023, a través del -1 OFICIO-SAF-DlGECADE-317-2023 dirigido al encargado de inventarios, giró instrucciones para realizar la conciliación, registro y toma física de los inventarios; sin embargo, no presentó evidencia que demuestre que le dio seguimiento al 1 cumplimiento de las instrucciones giradas, durante ei período que estuvo como Subdirector Administrativo Financiero, ya que, no presentó copias de [os 1 inventarios realizados, incumpliendo, lo establecido en la Circular 3-57, de la Dirección de Contabilidad del Estado, la que indica, con la debida anticipación y de acuerdo con el volumen de los bienes, cada jefe de oficina bajo su responsabilidad</w:t>
      </w:r>
    </w:p>
    <w:p w14:paraId="7F15593D" w14:textId="77777777" w:rsidR="00053D93" w:rsidRDefault="00260B75">
      <w:pPr>
        <w:spacing w:after="81" w:line="269" w:lineRule="auto"/>
        <w:ind w:left="60" w:right="14" w:hanging="3"/>
        <w:jc w:val="both"/>
      </w:pPr>
      <w:r>
        <w:rPr>
          <w:sz w:val="26"/>
        </w:rPr>
        <w:t>1 deberá disponer la verificación física del inventario respectivo, a efecto de que esté terminado el día 31 de diciembre de cada año, asentándolo enseguida en el libro destinado para el efecto, debiéndose tomar en cuenta las adquisiciones y 1 bajas registradas durante el ejercicio, para su correcta actualización; en virtud que, el 29 de octubre de 2024, se constató que el Libro de Inventarios cuenta con 1 registros hasta el año 2018.</w:t>
      </w:r>
    </w:p>
    <w:p w14:paraId="710D7B62" w14:textId="77777777" w:rsidR="00053D93" w:rsidRDefault="00260B75">
      <w:pPr>
        <w:spacing w:after="176" w:line="269" w:lineRule="auto"/>
        <w:ind w:left="57" w:right="14" w:firstLine="1620"/>
        <w:jc w:val="both"/>
      </w:pPr>
      <w:r>
        <w:rPr>
          <w:sz w:val="26"/>
        </w:rPr>
        <w:t>Se confirma el hallazgo, para el licenciado Marcell Antonio Romero Aguilar, quien 1 fungió como Encargado de la Subdirección Administrativa Financiera, durante el período comprendido del 16 de enero de 2018 al 27 de abril de 2020, en virtud que, sus comentarios y pruebas de descargo, no desvanecen los hechos que se le 1 atribuyen; derivado que, el responsable indica que a través de oficios presentados como documentos de soporte, deja constancia que han realizado inventarios 1 periódicamente de los bienes físicos de la DIGECADE; que si bien es cierto, presentó los oficios como documentos de soporte de la realización de inventarios periódicos a [os bienes físicos de la DIGECADE, los mismos indican los nombres 1 de las personas a quienes se les realizaría el inventario de bienes físicos; sin embargo, dichos oficios fueron girados por la Directora y por el Subdirector 1 Administrativo Financiero, por consiguiente, no presentó evidencia que demuestre que le dio seguimiento a los inventarios realizados, durante el período que estuvo como Encargado de la Subdirección Administrativa Financiera; derivado que, no</w:t>
      </w:r>
    </w:p>
    <w:p w14:paraId="2D43531E" w14:textId="77777777" w:rsidR="00053D93" w:rsidRDefault="00260B75">
      <w:pPr>
        <w:tabs>
          <w:tab w:val="center" w:pos="3971"/>
        </w:tabs>
        <w:spacing w:after="4" w:line="269" w:lineRule="auto"/>
      </w:pPr>
      <w:r>
        <w:rPr>
          <w:sz w:val="26"/>
        </w:rPr>
        <w:t>1</w:t>
      </w:r>
      <w:r>
        <w:rPr>
          <w:sz w:val="26"/>
        </w:rPr>
        <w:tab/>
        <w:t>presentó copias de los inventarios realizados.</w:t>
      </w:r>
    </w:p>
    <w:tbl>
      <w:tblPr>
        <w:tblStyle w:val="TableGrid"/>
        <w:tblW w:w="9425" w:type="dxa"/>
        <w:tblInd w:w="713" w:type="dxa"/>
        <w:tblLook w:val="04A0" w:firstRow="1" w:lastRow="0" w:firstColumn="1" w:lastColumn="0" w:noHBand="0" w:noVBand="1"/>
      </w:tblPr>
      <w:tblGrid>
        <w:gridCol w:w="1293"/>
        <w:gridCol w:w="8146"/>
      </w:tblGrid>
      <w:tr w:rsidR="00053D93" w14:paraId="2D2446D9" w14:textId="77777777">
        <w:trPr>
          <w:trHeight w:val="634"/>
        </w:trPr>
        <w:tc>
          <w:tcPr>
            <w:tcW w:w="1789" w:type="dxa"/>
            <w:tcBorders>
              <w:top w:val="nil"/>
              <w:left w:val="nil"/>
              <w:bottom w:val="nil"/>
              <w:right w:val="nil"/>
            </w:tcBorders>
          </w:tcPr>
          <w:p w14:paraId="0AD86AC3" w14:textId="77777777" w:rsidR="00053D93" w:rsidRDefault="00260B75">
            <w:r>
              <w:rPr>
                <w:noProof/>
              </w:rPr>
              <w:drawing>
                <wp:inline distT="0" distB="0" distL="0" distR="0" wp14:anchorId="289E61A2" wp14:editId="5F145E4A">
                  <wp:extent cx="1124712" cy="402337"/>
                  <wp:effectExtent l="0" t="0" r="0" b="0"/>
                  <wp:docPr id="1248752" name="Picture 1248752"/>
                  <wp:cNvGraphicFramePr/>
                  <a:graphic xmlns:a="http://schemas.openxmlformats.org/drawingml/2006/main">
                    <a:graphicData uri="http://schemas.openxmlformats.org/drawingml/2006/picture">
                      <pic:pic xmlns:pic="http://schemas.openxmlformats.org/drawingml/2006/picture">
                        <pic:nvPicPr>
                          <pic:cNvPr id="1248752" name="Picture 1248752"/>
                          <pic:cNvPicPr/>
                        </pic:nvPicPr>
                        <pic:blipFill>
                          <a:blip r:embed="rId1684"/>
                          <a:stretch>
                            <a:fillRect/>
                          </a:stretch>
                        </pic:blipFill>
                        <pic:spPr>
                          <a:xfrm>
                            <a:off x="0" y="0"/>
                            <a:ext cx="1124712" cy="402337"/>
                          </a:xfrm>
                          <a:prstGeom prst="rect">
                            <a:avLst/>
                          </a:prstGeom>
                        </pic:spPr>
                      </pic:pic>
                    </a:graphicData>
                  </a:graphic>
                </wp:inline>
              </w:drawing>
            </w:r>
          </w:p>
        </w:tc>
        <w:tc>
          <w:tcPr>
            <w:tcW w:w="7636" w:type="dxa"/>
            <w:tcBorders>
              <w:top w:val="nil"/>
              <w:left w:val="nil"/>
              <w:bottom w:val="nil"/>
              <w:right w:val="nil"/>
            </w:tcBorders>
          </w:tcPr>
          <w:p w14:paraId="2B846B8B" w14:textId="77777777" w:rsidR="00053D93" w:rsidRDefault="00053D93">
            <w:pPr>
              <w:ind w:left="-2833" w:right="10469"/>
            </w:pPr>
          </w:p>
          <w:tbl>
            <w:tblPr>
              <w:tblStyle w:val="TableGrid"/>
              <w:tblW w:w="7618" w:type="dxa"/>
              <w:tblInd w:w="18" w:type="dxa"/>
              <w:tblCellMar>
                <w:top w:w="39" w:type="dxa"/>
                <w:left w:w="1735" w:type="dxa"/>
                <w:right w:w="115" w:type="dxa"/>
              </w:tblCellMar>
              <w:tblLook w:val="04A0" w:firstRow="1" w:lastRow="0" w:firstColumn="1" w:lastColumn="0" w:noHBand="0" w:noVBand="1"/>
            </w:tblPr>
            <w:tblGrid>
              <w:gridCol w:w="7618"/>
            </w:tblGrid>
            <w:tr w:rsidR="00053D93" w14:paraId="3982A985" w14:textId="77777777">
              <w:trPr>
                <w:trHeight w:val="43"/>
              </w:trPr>
              <w:tc>
                <w:tcPr>
                  <w:tcW w:w="7618" w:type="dxa"/>
                  <w:tcBorders>
                    <w:top w:val="nil"/>
                    <w:left w:val="single" w:sz="2" w:space="0" w:color="000000"/>
                    <w:bottom w:val="single" w:sz="2" w:space="0" w:color="000000"/>
                    <w:right w:val="nil"/>
                  </w:tcBorders>
                </w:tcPr>
                <w:p w14:paraId="121E8FE3" w14:textId="77777777" w:rsidR="00053D93" w:rsidRDefault="00053D93"/>
              </w:tc>
            </w:tr>
            <w:tr w:rsidR="00053D93" w14:paraId="1778D872" w14:textId="77777777">
              <w:trPr>
                <w:trHeight w:val="590"/>
              </w:trPr>
              <w:tc>
                <w:tcPr>
                  <w:tcW w:w="7618" w:type="dxa"/>
                  <w:tcBorders>
                    <w:top w:val="single" w:sz="2" w:space="0" w:color="000000"/>
                    <w:left w:val="single" w:sz="2" w:space="0" w:color="000000"/>
                    <w:bottom w:val="nil"/>
                    <w:right w:val="nil"/>
                  </w:tcBorders>
                </w:tcPr>
                <w:p w14:paraId="64AE13AE" w14:textId="77777777" w:rsidR="00053D93" w:rsidRDefault="00260B75">
                  <w:pPr>
                    <w:ind w:left="835"/>
                  </w:pPr>
                  <w:r>
                    <w:rPr>
                      <w:sz w:val="14"/>
                    </w:rPr>
                    <w:t>MINISTERIO DE EDUCACION</w:t>
                  </w:r>
                </w:p>
                <w:p w14:paraId="0535D52E" w14:textId="77777777" w:rsidR="00053D93" w:rsidRDefault="00260B75">
                  <w:pPr>
                    <w:ind w:left="338"/>
                  </w:pPr>
                  <w:r>
                    <w:rPr>
                      <w:sz w:val="14"/>
                    </w:rPr>
                    <w:t>AUDITORIA FINANCIERA Y DE CUMPLIMIENTO</w:t>
                  </w:r>
                </w:p>
                <w:p w14:paraId="7D3FE674" w14:textId="77777777" w:rsidR="00053D93" w:rsidRDefault="00260B75">
                  <w:r>
                    <w:rPr>
                      <w:sz w:val="14"/>
                    </w:rPr>
                    <w:t>PERIODO DEL 01 DE ENERO AL 31 DE DICIEMBRE DE 2024</w:t>
                  </w:r>
                </w:p>
              </w:tc>
            </w:tr>
          </w:tbl>
          <w:p w14:paraId="12143AE6" w14:textId="77777777" w:rsidR="00053D93" w:rsidRDefault="00053D93"/>
        </w:tc>
      </w:tr>
    </w:tbl>
    <w:p w14:paraId="63BEBCA2" w14:textId="77777777" w:rsidR="00053D93" w:rsidRDefault="00260B75">
      <w:pPr>
        <w:spacing w:after="469" w:line="265" w:lineRule="auto"/>
        <w:ind w:left="3105" w:hanging="10"/>
      </w:pPr>
      <w:r>
        <w:rPr>
          <w:sz w:val="16"/>
        </w:rPr>
        <w:t xml:space="preserve">OE </w:t>
      </w:r>
    </w:p>
    <w:p w14:paraId="27578FD5" w14:textId="77777777" w:rsidR="00053D93" w:rsidRDefault="00260B75">
      <w:pPr>
        <w:pStyle w:val="Ttulo2"/>
        <w:tabs>
          <w:tab w:val="right" w:pos="10152"/>
        </w:tabs>
        <w:spacing w:after="0"/>
        <w:ind w:left="0" w:right="0" w:firstLine="0"/>
      </w:pPr>
      <w:r>
        <w:t>-1</w:t>
      </w:r>
      <w:r>
        <w:tab/>
      </w:r>
      <w:r>
        <w:rPr>
          <w:noProof/>
        </w:rPr>
        <mc:AlternateContent>
          <mc:Choice Requires="wpg">
            <w:drawing>
              <wp:inline distT="0" distB="0" distL="0" distR="0" wp14:anchorId="2B721FF1" wp14:editId="544018F9">
                <wp:extent cx="5381244" cy="9144"/>
                <wp:effectExtent l="0" t="0" r="0" b="0"/>
                <wp:docPr id="2458954" name="Group 2458954"/>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8953" name="Shape 2458953"/>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54" style="width:423.72pt;height:0.720001pt;mso-position-horizontal-relative:char;mso-position-vertical-relative:line" coordsize="53812,91">
                <v:shape id="Shape 2458953" style="position:absolute;width:53812;height:91;left:0;top:0;" coordsize="5381244,9144" path="m0,4572l5381244,4572">
                  <v:stroke weight="0.720001pt" endcap="flat" joinstyle="miter" miterlimit="1" on="true" color="#000000"/>
                  <v:fill on="false" color="#000000"/>
                </v:shape>
              </v:group>
            </w:pict>
          </mc:Fallback>
        </mc:AlternateContent>
      </w:r>
    </w:p>
    <w:p w14:paraId="6535B751" w14:textId="77777777" w:rsidR="00053D93" w:rsidRDefault="00260B75">
      <w:pPr>
        <w:spacing w:after="434" w:line="220" w:lineRule="auto"/>
        <w:ind w:left="57" w:right="14" w:firstLine="1678"/>
        <w:jc w:val="both"/>
      </w:pPr>
      <w:r>
        <w:rPr>
          <w:noProof/>
        </w:rPr>
        <mc:AlternateContent>
          <mc:Choice Requires="wpg">
            <w:drawing>
              <wp:anchor distT="0" distB="0" distL="114300" distR="114300" simplePos="0" relativeHeight="252308480" behindDoc="0" locked="0" layoutInCell="1" allowOverlap="1" wp14:anchorId="3A0AD9AE" wp14:editId="4D4DBE27">
                <wp:simplePos x="0" y="0"/>
                <wp:positionH relativeFrom="column">
                  <wp:posOffset>27432</wp:posOffset>
                </wp:positionH>
                <wp:positionV relativeFrom="paragraph">
                  <wp:posOffset>185469</wp:posOffset>
                </wp:positionV>
                <wp:extent cx="114300" cy="292608"/>
                <wp:effectExtent l="0" t="0" r="0" b="0"/>
                <wp:wrapSquare wrapText="bothSides"/>
                <wp:docPr id="2457714" name="Group 2457714"/>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249429" name="Rectangle 1249429"/>
                        <wps:cNvSpPr/>
                        <wps:spPr>
                          <a:xfrm>
                            <a:off x="0" y="0"/>
                            <a:ext cx="152019" cy="389169"/>
                          </a:xfrm>
                          <a:prstGeom prst="rect">
                            <a:avLst/>
                          </a:prstGeom>
                          <a:ln>
                            <a:noFill/>
                          </a:ln>
                        </wps:spPr>
                        <wps:txbx>
                          <w:txbxContent>
                            <w:p w14:paraId="0E2F04EF"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3A0AD9AE" id="Group 2457714" o:spid="_x0000_s1782" style="position:absolute;left:0;text-align:left;margin-left:2.15pt;margin-top:14.6pt;width:9pt;height:23.05pt;z-index:252308480;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">
                <v:rect id="Rectangle 1249429" o:spid="_x0000_s1783"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" filled="f" stroked="f">
                  <v:textbox inset="0,0,0,0">
                    <w:txbxContent>
                      <w:p w14:paraId="0E2F04EF" w14:textId="77777777" w:rsidR="00053D93" w:rsidRDefault="00260B75">
                        <w:r>
                          <w:rPr>
                            <w:sz w:val="70"/>
                          </w:rPr>
                          <w:t>1</w:t>
                        </w:r>
                      </w:p>
                    </w:txbxContent>
                  </v:textbox>
                </v:rect>
                <w10:wrap type="square"/>
              </v:group>
            </w:pict>
          </mc:Fallback>
        </mc:AlternateContent>
      </w:r>
      <w:r>
        <w:rPr>
          <w:noProof/>
        </w:rPr>
        <mc:AlternateContent>
          <mc:Choice Requires="wpg">
            <w:drawing>
              <wp:anchor distT="0" distB="0" distL="114300" distR="114300" simplePos="0" relativeHeight="252309504" behindDoc="0" locked="0" layoutInCell="1" allowOverlap="1" wp14:anchorId="3A84C51F" wp14:editId="128AFFC5">
                <wp:simplePos x="0" y="0"/>
                <wp:positionH relativeFrom="column">
                  <wp:posOffset>32004</wp:posOffset>
                </wp:positionH>
                <wp:positionV relativeFrom="paragraph">
                  <wp:posOffset>1735377</wp:posOffset>
                </wp:positionV>
                <wp:extent cx="114300" cy="288036"/>
                <wp:effectExtent l="0" t="0" r="0" b="0"/>
                <wp:wrapSquare wrapText="bothSides"/>
                <wp:docPr id="2457716" name="Group 2457716"/>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249432" name="Rectangle 1249432"/>
                        <wps:cNvSpPr/>
                        <wps:spPr>
                          <a:xfrm>
                            <a:off x="0" y="0"/>
                            <a:ext cx="152019" cy="383088"/>
                          </a:xfrm>
                          <a:prstGeom prst="rect">
                            <a:avLst/>
                          </a:prstGeom>
                          <a:ln>
                            <a:noFill/>
                          </a:ln>
                        </wps:spPr>
                        <wps:txbx>
                          <w:txbxContent>
                            <w:p w14:paraId="077B8DA0"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3A84C51F" id="Group 2457716" o:spid="_x0000_s1784" style="position:absolute;left:0;text-align:left;margin-left:2.5pt;margin-top:136.65pt;width:9pt;height:22.7pt;z-index:252309504;mso-position-horizontal-relative:text;mso-position-vertical-relative:text"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">
                <v:rect id="Rectangle 1249432" o:spid="_x0000_s1785"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" filled="f" stroked="f">
                  <v:textbox inset="0,0,0,0">
                    <w:txbxContent>
                      <w:p w14:paraId="077B8DA0" w14:textId="77777777" w:rsidR="00053D93" w:rsidRDefault="00260B75">
                        <w:r>
                          <w:rPr>
                            <w:sz w:val="70"/>
                          </w:rPr>
                          <w:t>1</w:t>
                        </w:r>
                      </w:p>
                    </w:txbxContent>
                  </v:textbox>
                </v:rect>
                <w10:wrap type="square"/>
              </v:group>
            </w:pict>
          </mc:Fallback>
        </mc:AlternateContent>
      </w:r>
      <w:r>
        <w:rPr>
          <w:sz w:val="26"/>
        </w:rPr>
        <w:t xml:space="preserve">Además, el responsable exterioriza que, solo cuenta con los oficios presentados, ya que, el archivo físico de la Subdirección Administrativa Financiera fue reubicado en el año 2022, a la bodega del Ministerio de Educación; sin embargo, su justificación basada en la reubicación del archivo, tampoco exime su </w:t>
      </w:r>
      <w:r>
        <w:rPr>
          <w:noProof/>
        </w:rPr>
        <mc:AlternateContent>
          <mc:Choice Requires="wpg">
            <w:drawing>
              <wp:inline distT="0" distB="0" distL="0" distR="0" wp14:anchorId="7982E34F" wp14:editId="2D573720">
                <wp:extent cx="114300" cy="288036"/>
                <wp:effectExtent l="0" t="0" r="0" b="0"/>
                <wp:docPr id="2457715" name="Group 2457715"/>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249430" name="Rectangle 1249430"/>
                        <wps:cNvSpPr/>
                        <wps:spPr>
                          <a:xfrm>
                            <a:off x="0" y="0"/>
                            <a:ext cx="152019" cy="383088"/>
                          </a:xfrm>
                          <a:prstGeom prst="rect">
                            <a:avLst/>
                          </a:prstGeom>
                          <a:ln>
                            <a:noFill/>
                          </a:ln>
                        </wps:spPr>
                        <wps:txbx>
                          <w:txbxContent>
                            <w:p w14:paraId="359558B8"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982E34F" id="Group 2457715" o:spid="_x0000_s1786" style="width:9pt;height:22.7pt;mso-position-horizontal-relative:char;mso-position-vertical-relative:line"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">
                <v:rect id="Rectangle 1249430" o:spid="_x0000_s1787"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" filled="f" stroked="f">
                  <v:textbox inset="0,0,0,0">
                    <w:txbxContent>
                      <w:p w14:paraId="359558B8" w14:textId="77777777" w:rsidR="00053D93" w:rsidRDefault="00260B75">
                        <w:r>
                          <w:rPr>
                            <w:sz w:val="70"/>
                          </w:rPr>
                          <w:t>1</w:t>
                        </w:r>
                      </w:p>
                    </w:txbxContent>
                  </v:textbox>
                </v:rect>
                <w10:anchorlock/>
              </v:group>
            </w:pict>
          </mc:Fallback>
        </mc:AlternateContent>
      </w:r>
      <w:r>
        <w:rPr>
          <w:sz w:val="26"/>
        </w:rPr>
        <w:t xml:space="preserve"> responsabilidad, debido que, el cargo que ocupó implica la obligación de velar, supervisar y garantizar el cumplimiento normativo, independientemente de las condiciones internas de la unidad administrativa; con lo cual, se evidencia y 1 confirma que no se practicaron anualmente inventarios físicos, durante los años 2018, 2019, 2020, 2021, 2022 y 2023, ya que, las últimas operaciones de bienes fueron registradas en el año 2018, según consta en el Folio No. 1084 del Libro de Inventarios de Activos Fijos No. L2 28049 de la Dirección General de Gestión de Calidad Educativa -DIGECADE-, ratificándose la deficiencia establecida por el -1 Equipo de Auditoría.</w:t>
      </w:r>
    </w:p>
    <w:p w14:paraId="58C68F91" w14:textId="77777777" w:rsidR="00053D93" w:rsidRDefault="00260B75">
      <w:pPr>
        <w:spacing w:after="416" w:line="269" w:lineRule="auto"/>
        <w:ind w:left="115" w:right="14" w:hanging="58"/>
        <w:jc w:val="both"/>
      </w:pPr>
      <w:r>
        <w:rPr>
          <w:noProof/>
        </w:rPr>
        <mc:AlternateContent>
          <mc:Choice Requires="wpg">
            <w:drawing>
              <wp:anchor distT="0" distB="0" distL="114300" distR="114300" simplePos="0" relativeHeight="252310528" behindDoc="0" locked="0" layoutInCell="1" allowOverlap="1" wp14:anchorId="05EA8FFC" wp14:editId="12A2635B">
                <wp:simplePos x="0" y="0"/>
                <wp:positionH relativeFrom="column">
                  <wp:posOffset>36576</wp:posOffset>
                </wp:positionH>
                <wp:positionV relativeFrom="paragraph">
                  <wp:posOffset>1582949</wp:posOffset>
                </wp:positionV>
                <wp:extent cx="114300" cy="288036"/>
                <wp:effectExtent l="0" t="0" r="0" b="0"/>
                <wp:wrapSquare wrapText="bothSides"/>
                <wp:docPr id="2457717" name="Group 2457717"/>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249437" name="Rectangle 1249437"/>
                        <wps:cNvSpPr/>
                        <wps:spPr>
                          <a:xfrm>
                            <a:off x="0" y="0"/>
                            <a:ext cx="152019" cy="383088"/>
                          </a:xfrm>
                          <a:prstGeom prst="rect">
                            <a:avLst/>
                          </a:prstGeom>
                          <a:ln>
                            <a:noFill/>
                          </a:ln>
                        </wps:spPr>
                        <wps:txbx>
                          <w:txbxContent>
                            <w:p w14:paraId="730D36C8"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05EA8FFC" id="Group 2457717" o:spid="_x0000_s1788" style="position:absolute;left:0;text-align:left;margin-left:2.9pt;margin-top:124.65pt;width:9pt;height:22.7pt;z-index:252310528;mso-position-horizontal-relative:text;mso-position-vertical-relative:text"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">
                <v:rect id="Rectangle 1249437" o:spid="_x0000_s1789"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" filled="f" stroked="f">
                  <v:textbox inset="0,0,0,0">
                    <w:txbxContent>
                      <w:p w14:paraId="730D36C8" w14:textId="77777777" w:rsidR="00053D93" w:rsidRDefault="00260B75">
                        <w:r>
                          <w:rPr>
                            <w:sz w:val="70"/>
                          </w:rPr>
                          <w:t>1</w:t>
                        </w:r>
                      </w:p>
                    </w:txbxContent>
                  </v:textbox>
                </v:rect>
                <w10:wrap type="square"/>
              </v:group>
            </w:pict>
          </mc:Fallback>
        </mc:AlternateContent>
      </w:r>
      <w:r>
        <w:rPr>
          <w:sz w:val="26"/>
        </w:rPr>
        <w:t>-1 Adicionalmente, el responsable manifiesta que, nuevamente el archivo fue reubicado, y este último traslado se realizó sin llevar un control adecuado de los documentos trasladados, Io que generó un desorden en el archivo, imposibilitando 1 la localización de los documentos de soporte necesarios para el desvanecimiento del referido hallazgo, con Io cual, se evidencia y confirma que, no cuentan con documentos de soporte de inventarios físicos practicados anualmente, ya que, las 1 últimas operaciones de bienes fueron registradas en el año 2018, según consta en ei Folio No. 1084 del Libro de Inventarios de Activos Fijos No. L2 28049 de la Dirección General de Gestión de Calidad Educativa -DIGECADE-, ratificándose la deficiencia establecida por el Equipo de Auditoría.</w:t>
      </w:r>
    </w:p>
    <w:p w14:paraId="547E9227" w14:textId="77777777" w:rsidR="00053D93" w:rsidRDefault="00260B75">
      <w:pPr>
        <w:spacing w:after="96" w:line="269" w:lineRule="auto"/>
        <w:ind w:left="60" w:right="14" w:hanging="3"/>
        <w:jc w:val="both"/>
      </w:pPr>
      <w:r>
        <w:rPr>
          <w:sz w:val="26"/>
        </w:rPr>
        <w:t>1 Finalmente, el responsable revela que, la información proporcionada en el oficio No. DIGECADE-SAF/100-2025, del 3 de marzo de 2025, es errónea; sin embargo, en el referido oficio, indican que, no cuentan con -copia de los inventarios 1 realizados, con lo cual se confirma la deficiencia establecida; además, el responsable no presenta evidencia documental que demuestre lo contrario a lo 1 establecido por el Equipo de Auditoria.</w:t>
      </w:r>
    </w:p>
    <w:p w14:paraId="16B9D243" w14:textId="77777777" w:rsidR="00053D93" w:rsidRDefault="00260B75">
      <w:pPr>
        <w:spacing w:after="692" w:line="217" w:lineRule="auto"/>
        <w:ind w:left="57" w:right="14" w:firstLine="1613"/>
        <w:jc w:val="both"/>
      </w:pPr>
      <w:r>
        <w:rPr>
          <w:sz w:val="26"/>
        </w:rPr>
        <w:t xml:space="preserve">Se confirma el hallazgo, para el señor Oscar René Cabrera García, quien fungió 1 como Encargado de Inventarios, por el período comprendido del 01 de enero del 2018 al 26 de junio de 2024; en virtud que, no se presentó a la reunión virtual para discusión de hallazgos, ni presentó pruebas de descargo por medio de </w:t>
      </w:r>
      <w:r>
        <w:rPr>
          <w:noProof/>
        </w:rPr>
        <mc:AlternateContent>
          <mc:Choice Requires="wpg">
            <w:drawing>
              <wp:inline distT="0" distB="0" distL="0" distR="0" wp14:anchorId="7ACA655C" wp14:editId="419F6951">
                <wp:extent cx="109728" cy="288036"/>
                <wp:effectExtent l="0" t="0" r="0" b="0"/>
                <wp:docPr id="2457718" name="Group 2457718"/>
                <wp:cNvGraphicFramePr/>
                <a:graphic xmlns:a="http://schemas.openxmlformats.org/drawingml/2006/main">
                  <a:graphicData uri="http://schemas.microsoft.com/office/word/2010/wordprocessingGroup">
                    <wpg:wgp>
                      <wpg:cNvGrpSpPr/>
                      <wpg:grpSpPr>
                        <a:xfrm>
                          <a:off x="0" y="0"/>
                          <a:ext cx="109728" cy="288036"/>
                          <a:chOff x="0" y="0"/>
                          <a:chExt cx="109728" cy="288036"/>
                        </a:xfrm>
                      </wpg:grpSpPr>
                      <wps:wsp>
                        <wps:cNvPr id="1249442" name="Rectangle 1249442"/>
                        <wps:cNvSpPr/>
                        <wps:spPr>
                          <a:xfrm>
                            <a:off x="0" y="0"/>
                            <a:ext cx="145938" cy="383088"/>
                          </a:xfrm>
                          <a:prstGeom prst="rect">
                            <a:avLst/>
                          </a:prstGeom>
                          <a:ln>
                            <a:noFill/>
                          </a:ln>
                        </wps:spPr>
                        <wps:txbx>
                          <w:txbxContent>
                            <w:p w14:paraId="3830E631"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7ACA655C" id="Group 2457718" o:spid="_x0000_s1790" style="width:8.65pt;height:22.7pt;mso-position-horizontal-relative:char;mso-position-vertical-relative:line" coordsize="109728,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">
                <v:rect id="Rectangle 1249442" o:spid="_x0000_s1791" style="position:absolute;width:145938;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" filled="f" stroked="f">
                  <v:textbox inset="0,0,0,0">
                    <w:txbxContent>
                      <w:p w14:paraId="3830E631" w14:textId="77777777" w:rsidR="00053D93" w:rsidRDefault="00260B75">
                        <w:r>
                          <w:rPr>
                            <w:sz w:val="66"/>
                          </w:rPr>
                          <w:t>1</w:t>
                        </w:r>
                      </w:p>
                    </w:txbxContent>
                  </v:textbox>
                </v:rect>
                <w10:anchorlock/>
              </v:group>
            </w:pict>
          </mc:Fallback>
        </mc:AlternateContent>
      </w:r>
      <w:r>
        <w:rPr>
          <w:sz w:val="26"/>
        </w:rPr>
        <w:t xml:space="preserve"> comunicación electrónica, ni otro medio electrónico, lo cual consta en la Videoconferencia def 21 de abril de 2025.</w:t>
      </w:r>
    </w:p>
    <w:p w14:paraId="71C423FC" w14:textId="77777777" w:rsidR="00053D93" w:rsidRDefault="00260B75">
      <w:pPr>
        <w:tabs>
          <w:tab w:val="right" w:pos="10152"/>
        </w:tabs>
        <w:spacing w:after="4" w:line="269" w:lineRule="auto"/>
      </w:pPr>
      <w:r>
        <w:rPr>
          <w:sz w:val="26"/>
        </w:rPr>
        <w:t>1</w:t>
      </w:r>
      <w:r>
        <w:rPr>
          <w:sz w:val="26"/>
        </w:rPr>
        <w:tab/>
        <w:t>El hallazgo se notificó con el número 4 y en el presente informe le corresponde el</w:t>
      </w:r>
    </w:p>
    <w:p w14:paraId="0CA57DF9" w14:textId="77777777" w:rsidR="00053D93" w:rsidRDefault="00260B75">
      <w:pPr>
        <w:spacing w:after="163" w:line="265" w:lineRule="auto"/>
        <w:ind w:left="1680" w:hanging="10"/>
        <w:jc w:val="both"/>
      </w:pPr>
      <w:r>
        <w:rPr>
          <w:sz w:val="24"/>
        </w:rPr>
        <w:t>número 2.</w:t>
      </w:r>
    </w:p>
    <w:p w14:paraId="43DE8403" w14:textId="77777777" w:rsidR="00053D93" w:rsidRDefault="00260B75">
      <w:pPr>
        <w:spacing w:after="3"/>
        <w:ind w:left="24" w:hanging="10"/>
      </w:pPr>
      <w:r>
        <w:rPr>
          <w:sz w:val="72"/>
        </w:rPr>
        <w:t>1</w:t>
      </w:r>
    </w:p>
    <w:tbl>
      <w:tblPr>
        <w:tblStyle w:val="TableGrid"/>
        <w:tblW w:w="9425" w:type="dxa"/>
        <w:tblInd w:w="706" w:type="dxa"/>
        <w:tblLook w:val="04A0" w:firstRow="1" w:lastRow="0" w:firstColumn="1" w:lastColumn="0" w:noHBand="0" w:noVBand="1"/>
      </w:tblPr>
      <w:tblGrid>
        <w:gridCol w:w="1295"/>
        <w:gridCol w:w="8151"/>
      </w:tblGrid>
      <w:tr w:rsidR="00053D93" w14:paraId="12359A7F" w14:textId="77777777">
        <w:trPr>
          <w:trHeight w:val="634"/>
        </w:trPr>
        <w:tc>
          <w:tcPr>
            <w:tcW w:w="1789" w:type="dxa"/>
            <w:tcBorders>
              <w:top w:val="nil"/>
              <w:left w:val="nil"/>
              <w:bottom w:val="nil"/>
              <w:right w:val="nil"/>
            </w:tcBorders>
          </w:tcPr>
          <w:p w14:paraId="4A7B36AA" w14:textId="77777777" w:rsidR="00053D93" w:rsidRDefault="00260B75">
            <w:r>
              <w:rPr>
                <w:noProof/>
              </w:rPr>
              <w:drawing>
                <wp:inline distT="0" distB="0" distL="0" distR="0" wp14:anchorId="1B981BAC" wp14:editId="356A67C2">
                  <wp:extent cx="1124712" cy="402336"/>
                  <wp:effectExtent l="0" t="0" r="0" b="0"/>
                  <wp:docPr id="1252196" name="Picture 1252196"/>
                  <wp:cNvGraphicFramePr/>
                  <a:graphic xmlns:a="http://schemas.openxmlformats.org/drawingml/2006/main">
                    <a:graphicData uri="http://schemas.openxmlformats.org/drawingml/2006/picture">
                      <pic:pic xmlns:pic="http://schemas.openxmlformats.org/drawingml/2006/picture">
                        <pic:nvPicPr>
                          <pic:cNvPr id="1252196" name="Picture 1252196"/>
                          <pic:cNvPicPr/>
                        </pic:nvPicPr>
                        <pic:blipFill>
                          <a:blip r:embed="rId1685"/>
                          <a:stretch>
                            <a:fillRect/>
                          </a:stretch>
                        </pic:blipFill>
                        <pic:spPr>
                          <a:xfrm>
                            <a:off x="0" y="0"/>
                            <a:ext cx="1124712" cy="402336"/>
                          </a:xfrm>
                          <a:prstGeom prst="rect">
                            <a:avLst/>
                          </a:prstGeom>
                        </pic:spPr>
                      </pic:pic>
                    </a:graphicData>
                  </a:graphic>
                </wp:inline>
              </w:drawing>
            </w:r>
          </w:p>
        </w:tc>
        <w:tc>
          <w:tcPr>
            <w:tcW w:w="7636" w:type="dxa"/>
            <w:tcBorders>
              <w:top w:val="nil"/>
              <w:left w:val="nil"/>
              <w:bottom w:val="nil"/>
              <w:right w:val="nil"/>
            </w:tcBorders>
          </w:tcPr>
          <w:p w14:paraId="73ECEDD9" w14:textId="77777777" w:rsidR="00053D93" w:rsidRDefault="00053D93">
            <w:pPr>
              <w:ind w:left="-2826" w:right="10462"/>
            </w:pPr>
          </w:p>
          <w:tbl>
            <w:tblPr>
              <w:tblStyle w:val="TableGrid"/>
              <w:tblW w:w="7618" w:type="dxa"/>
              <w:tblInd w:w="18" w:type="dxa"/>
              <w:tblCellMar>
                <w:top w:w="35" w:type="dxa"/>
                <w:left w:w="1735" w:type="dxa"/>
                <w:right w:w="115" w:type="dxa"/>
              </w:tblCellMar>
              <w:tblLook w:val="04A0" w:firstRow="1" w:lastRow="0" w:firstColumn="1" w:lastColumn="0" w:noHBand="0" w:noVBand="1"/>
            </w:tblPr>
            <w:tblGrid>
              <w:gridCol w:w="7618"/>
            </w:tblGrid>
            <w:tr w:rsidR="00053D93" w14:paraId="7DA28477" w14:textId="77777777">
              <w:trPr>
                <w:trHeight w:val="40"/>
              </w:trPr>
              <w:tc>
                <w:tcPr>
                  <w:tcW w:w="7618" w:type="dxa"/>
                  <w:tcBorders>
                    <w:top w:val="nil"/>
                    <w:left w:val="single" w:sz="2" w:space="0" w:color="000000"/>
                    <w:bottom w:val="single" w:sz="2" w:space="0" w:color="000000"/>
                    <w:right w:val="nil"/>
                  </w:tcBorders>
                </w:tcPr>
                <w:p w14:paraId="636D92B8" w14:textId="77777777" w:rsidR="00053D93" w:rsidRDefault="00053D93"/>
              </w:tc>
            </w:tr>
            <w:tr w:rsidR="00053D93" w14:paraId="453F3C3F" w14:textId="77777777">
              <w:trPr>
                <w:trHeight w:val="593"/>
              </w:trPr>
              <w:tc>
                <w:tcPr>
                  <w:tcW w:w="7618" w:type="dxa"/>
                  <w:tcBorders>
                    <w:top w:val="single" w:sz="2" w:space="0" w:color="000000"/>
                    <w:left w:val="single" w:sz="2" w:space="0" w:color="000000"/>
                    <w:bottom w:val="nil"/>
                    <w:right w:val="nil"/>
                  </w:tcBorders>
                </w:tcPr>
                <w:p w14:paraId="5EC0D173" w14:textId="77777777" w:rsidR="00053D93" w:rsidRDefault="00260B75">
                  <w:pPr>
                    <w:ind w:left="835"/>
                  </w:pPr>
                  <w:r>
                    <w:rPr>
                      <w:sz w:val="14"/>
                    </w:rPr>
                    <w:t>MINTSTERIO DE EDUCACION</w:t>
                  </w:r>
                </w:p>
                <w:p w14:paraId="26300B4F" w14:textId="77777777" w:rsidR="00053D93" w:rsidRDefault="00260B75">
                  <w:pPr>
                    <w:ind w:left="338"/>
                  </w:pPr>
                  <w:r>
                    <w:rPr>
                      <w:sz w:val="14"/>
                    </w:rPr>
                    <w:t>AUDITORÍA FINANCIERA Y DE CUMPLIMIENTO</w:t>
                  </w:r>
                </w:p>
                <w:p w14:paraId="1C2EAA12" w14:textId="77777777" w:rsidR="00053D93" w:rsidRDefault="00260B75">
                  <w:r>
                    <w:rPr>
                      <w:sz w:val="14"/>
                    </w:rPr>
                    <w:t>PERIODO DEL 01 DE ENERO AL 31 DE DICIEMBRE OE 2024</w:t>
                  </w:r>
                </w:p>
              </w:tc>
            </w:tr>
          </w:tbl>
          <w:p w14:paraId="25F71035" w14:textId="77777777" w:rsidR="00053D93" w:rsidRDefault="00053D93"/>
        </w:tc>
      </w:tr>
    </w:tbl>
    <w:p w14:paraId="2D74BA6D" w14:textId="77777777" w:rsidR="00053D93" w:rsidRDefault="00260B75">
      <w:pPr>
        <w:spacing w:after="346"/>
        <w:ind w:left="1649"/>
      </w:pPr>
      <w:r>
        <w:rPr>
          <w:noProof/>
        </w:rPr>
        <mc:AlternateContent>
          <mc:Choice Requires="wpg">
            <w:drawing>
              <wp:inline distT="0" distB="0" distL="0" distR="0" wp14:anchorId="4E1B41E3" wp14:editId="06BB7517">
                <wp:extent cx="5385816" cy="9144"/>
                <wp:effectExtent l="0" t="0" r="0" b="0"/>
                <wp:docPr id="2458956" name="Group 2458956"/>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8955" name="Shape 2458955"/>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56" style="width:424.08pt;height:0.720009pt;mso-position-horizontal-relative:char;mso-position-vertical-relative:line" coordsize="53858,91">
                <v:shape id="Shape 2458955" style="position:absolute;width:53858;height:91;left:0;top:0;" coordsize="5385816,9144" path="m0,4572l5385816,4572">
                  <v:stroke weight="0.720009pt" endcap="flat" joinstyle="miter" miterlimit="1" on="true" color="#000000"/>
                  <v:fill on="false" color="#000000"/>
                </v:shape>
              </v:group>
            </w:pict>
          </mc:Fallback>
        </mc:AlternateContent>
      </w:r>
    </w:p>
    <w:p w14:paraId="7220BB97" w14:textId="77777777" w:rsidR="00053D93" w:rsidRDefault="00260B75">
      <w:pPr>
        <w:spacing w:after="14" w:line="251" w:lineRule="auto"/>
        <w:ind w:left="1658" w:hanging="3"/>
        <w:jc w:val="both"/>
      </w:pPr>
      <w:r>
        <w:rPr>
          <w:rFonts w:ascii="Courier New" w:eastAsia="Courier New" w:hAnsi="Courier New" w:cs="Courier New"/>
          <w:sz w:val="28"/>
        </w:rPr>
        <w:t>Acciones legales</w:t>
      </w:r>
    </w:p>
    <w:p w14:paraId="6CC98172" w14:textId="77777777" w:rsidR="00053D93" w:rsidRDefault="00260B75">
      <w:pPr>
        <w:spacing w:after="282" w:line="250" w:lineRule="auto"/>
        <w:ind w:left="1666" w:right="14" w:hanging="3"/>
        <w:jc w:val="both"/>
      </w:pPr>
      <w:r>
        <w:rPr>
          <w:rFonts w:ascii="Courier New" w:eastAsia="Courier New" w:hAnsi="Courier New" w:cs="Courier New"/>
          <w:sz w:val="26"/>
        </w:rPr>
        <w:t>Sanción económica de conformidad con el Decreto 31-2002, del Congreso de la República, Ley Orgánica de la Contraloría General de Cuentas, reformada por el Decreto 13-2013; artículo 39, Numeral 21, para:</w:t>
      </w:r>
    </w:p>
    <w:p w14:paraId="0977DA58" w14:textId="77777777" w:rsidR="00053D93" w:rsidRDefault="00260B75">
      <w:pPr>
        <w:tabs>
          <w:tab w:val="center" w:pos="1865"/>
          <w:tab w:val="center" w:pos="6448"/>
          <w:tab w:val="right" w:pos="10152"/>
        </w:tabs>
        <w:spacing w:after="55" w:line="266" w:lineRule="auto"/>
      </w:pPr>
      <w:r>
        <w:rPr>
          <w:sz w:val="16"/>
        </w:rPr>
        <w:tab/>
      </w:r>
      <w:r>
        <w:rPr>
          <w:rFonts w:ascii="Courier New" w:eastAsia="Courier New" w:hAnsi="Courier New" w:cs="Courier New"/>
          <w:sz w:val="16"/>
        </w:rPr>
        <w:t>Cargo</w:t>
      </w:r>
      <w:r>
        <w:rPr>
          <w:rFonts w:ascii="Courier New" w:eastAsia="Courier New" w:hAnsi="Courier New" w:cs="Courier New"/>
          <w:sz w:val="16"/>
        </w:rPr>
        <w:tab/>
        <w:t>Nombre</w:t>
      </w:r>
      <w:r>
        <w:rPr>
          <w:rFonts w:ascii="Courier New" w:eastAsia="Courier New" w:hAnsi="Courier New" w:cs="Courier New"/>
          <w:sz w:val="16"/>
        </w:rPr>
        <w:tab/>
        <w:t>Valor en Quetzales</w:t>
      </w:r>
    </w:p>
    <w:p w14:paraId="5600130C" w14:textId="77777777" w:rsidR="00053D93" w:rsidRDefault="00260B75">
      <w:pPr>
        <w:tabs>
          <w:tab w:val="center" w:pos="2686"/>
          <w:tab w:val="center" w:pos="7265"/>
          <w:tab w:val="right" w:pos="10152"/>
        </w:tabs>
        <w:spacing w:after="43" w:line="265" w:lineRule="auto"/>
      </w:pPr>
      <w:r>
        <w:rPr>
          <w:sz w:val="18"/>
        </w:rPr>
        <w:tab/>
      </w:r>
      <w:r>
        <w:rPr>
          <w:rFonts w:ascii="Courier New" w:eastAsia="Courier New" w:hAnsi="Courier New" w:cs="Courier New"/>
          <w:sz w:val="18"/>
        </w:rPr>
        <w:t>ENCARGADO DE INVENTARIOS</w:t>
      </w:r>
      <w:r>
        <w:rPr>
          <w:rFonts w:ascii="Courier New" w:eastAsia="Courier New" w:hAnsi="Courier New" w:cs="Courier New"/>
          <w:sz w:val="18"/>
        </w:rPr>
        <w:tab/>
        <w:t>OSCAR RENE CABRERA GARCIA</w:t>
      </w:r>
      <w:r>
        <w:rPr>
          <w:rFonts w:ascii="Courier New" w:eastAsia="Courier New" w:hAnsi="Courier New" w:cs="Courier New"/>
          <w:sz w:val="18"/>
        </w:rPr>
        <w:tab/>
      </w:r>
      <w:r>
        <w:rPr>
          <w:sz w:val="18"/>
        </w:rPr>
        <w:t>4.456.86</w:t>
      </w:r>
    </w:p>
    <w:p w14:paraId="5BE78C39" w14:textId="77777777" w:rsidR="00053D93" w:rsidRDefault="00260B75">
      <w:pPr>
        <w:tabs>
          <w:tab w:val="center" w:pos="5209"/>
          <w:tab w:val="right" w:pos="10152"/>
        </w:tabs>
        <w:spacing w:after="3" w:line="266" w:lineRule="auto"/>
      </w:pPr>
      <w:r>
        <w:rPr>
          <w:sz w:val="16"/>
        </w:rPr>
        <w:tab/>
      </w:r>
      <w:r>
        <w:rPr>
          <w:rFonts w:ascii="Courier New" w:eastAsia="Courier New" w:hAnsi="Courier New" w:cs="Courier New"/>
          <w:sz w:val="16"/>
        </w:rPr>
        <w:t>ENCARGADO DE LA SUBDIRECCION ADMINISTRATIVA FINANCIERA MARCELI ANTONIO ROMERO AGUILAR</w:t>
      </w:r>
      <w:r>
        <w:rPr>
          <w:rFonts w:ascii="Courier New" w:eastAsia="Courier New" w:hAnsi="Courier New" w:cs="Courier New"/>
          <w:sz w:val="16"/>
        </w:rPr>
        <w:tab/>
      </w:r>
      <w:r>
        <w:rPr>
          <w:sz w:val="16"/>
        </w:rPr>
        <w:t>14.949.31</w:t>
      </w:r>
    </w:p>
    <w:p w14:paraId="5CFB50E1" w14:textId="77777777" w:rsidR="00053D93" w:rsidRDefault="00260B75">
      <w:pPr>
        <w:spacing w:after="84"/>
        <w:ind w:left="1152"/>
      </w:pPr>
      <w:r>
        <w:rPr>
          <w:noProof/>
        </w:rPr>
        <w:drawing>
          <wp:inline distT="0" distB="0" distL="0" distR="0" wp14:anchorId="60879BBD" wp14:editId="4D6E9E31">
            <wp:extent cx="13716" cy="13716"/>
            <wp:effectExtent l="0" t="0" r="0" b="0"/>
            <wp:docPr id="1255873" name="Picture 1255873"/>
            <wp:cNvGraphicFramePr/>
            <a:graphic xmlns:a="http://schemas.openxmlformats.org/drawingml/2006/main">
              <a:graphicData uri="http://schemas.openxmlformats.org/drawingml/2006/picture">
                <pic:pic xmlns:pic="http://schemas.openxmlformats.org/drawingml/2006/picture">
                  <pic:nvPicPr>
                    <pic:cNvPr id="1255873" name="Picture 1255873"/>
                    <pic:cNvPicPr/>
                  </pic:nvPicPr>
                  <pic:blipFill>
                    <a:blip r:embed="rId31"/>
                    <a:stretch>
                      <a:fillRect/>
                    </a:stretch>
                  </pic:blipFill>
                  <pic:spPr>
                    <a:xfrm>
                      <a:off x="0" y="0"/>
                      <a:ext cx="13716" cy="13716"/>
                    </a:xfrm>
                    <a:prstGeom prst="rect">
                      <a:avLst/>
                    </a:prstGeom>
                  </pic:spPr>
                </pic:pic>
              </a:graphicData>
            </a:graphic>
          </wp:inline>
        </w:drawing>
      </w:r>
    </w:p>
    <w:p w14:paraId="305AB057" w14:textId="77777777" w:rsidR="00053D93" w:rsidRDefault="00260B75">
      <w:pPr>
        <w:tabs>
          <w:tab w:val="center" w:pos="3175"/>
          <w:tab w:val="center" w:pos="7405"/>
          <w:tab w:val="right" w:pos="10152"/>
        </w:tabs>
        <w:spacing w:after="49" w:line="266" w:lineRule="auto"/>
      </w:pPr>
      <w:r>
        <w:rPr>
          <w:sz w:val="16"/>
        </w:rPr>
        <w:tab/>
      </w:r>
      <w:r>
        <w:rPr>
          <w:rFonts w:ascii="Courier New" w:eastAsia="Courier New" w:hAnsi="Courier New" w:cs="Courier New"/>
          <w:sz w:val="16"/>
        </w:rPr>
        <w:t>SUBDIRECTOR ADMINISTRATIVO FINANCIERO</w:t>
      </w:r>
      <w:r>
        <w:rPr>
          <w:rFonts w:ascii="Courier New" w:eastAsia="Courier New" w:hAnsi="Courier New" w:cs="Courier New"/>
          <w:sz w:val="16"/>
        </w:rPr>
        <w:tab/>
        <w:t>WALFRED RAMIRO VASQUEZ CATAVI</w:t>
      </w:r>
      <w:r>
        <w:rPr>
          <w:rFonts w:ascii="Courier New" w:eastAsia="Courier New" w:hAnsi="Courier New" w:cs="Courier New"/>
          <w:sz w:val="16"/>
        </w:rPr>
        <w:tab/>
      </w:r>
      <w:r>
        <w:rPr>
          <w:sz w:val="16"/>
        </w:rPr>
        <w:t>27.439.46</w:t>
      </w:r>
    </w:p>
    <w:p w14:paraId="222BC2F6" w14:textId="77777777" w:rsidR="00053D93" w:rsidRDefault="00260B75">
      <w:pPr>
        <w:tabs>
          <w:tab w:val="center" w:pos="1825"/>
          <w:tab w:val="right" w:pos="10152"/>
        </w:tabs>
        <w:spacing w:after="376" w:line="328" w:lineRule="auto"/>
      </w:pPr>
      <w:r>
        <w:rPr>
          <w:sz w:val="12"/>
        </w:rPr>
        <w:tab/>
      </w:r>
      <w:r>
        <w:rPr>
          <w:rFonts w:ascii="Courier New" w:eastAsia="Courier New" w:hAnsi="Courier New" w:cs="Courier New"/>
          <w:sz w:val="12"/>
        </w:rPr>
        <w:t>Total</w:t>
      </w:r>
      <w:r>
        <w:rPr>
          <w:rFonts w:ascii="Courier New" w:eastAsia="Courier New" w:hAnsi="Courier New" w:cs="Courier New"/>
          <w:sz w:val="12"/>
        </w:rPr>
        <w:tab/>
        <w:t>Q. 46,845.63</w:t>
      </w:r>
    </w:p>
    <w:p w14:paraId="03E32A8B" w14:textId="77777777" w:rsidR="00053D93" w:rsidRDefault="00260B75">
      <w:pPr>
        <w:spacing w:after="469" w:line="251" w:lineRule="auto"/>
        <w:ind w:left="1658" w:hanging="3"/>
        <w:jc w:val="both"/>
      </w:pPr>
      <w:r>
        <w:rPr>
          <w:rFonts w:ascii="Courier New" w:eastAsia="Courier New" w:hAnsi="Courier New" w:cs="Courier New"/>
          <w:sz w:val="28"/>
        </w:rPr>
        <w:t>Hallazgo No. 3</w:t>
      </w:r>
    </w:p>
    <w:p w14:paraId="3CE3BB70" w14:textId="77777777" w:rsidR="00053D93" w:rsidRDefault="00260B75">
      <w:pPr>
        <w:spacing w:after="14" w:line="251" w:lineRule="auto"/>
        <w:ind w:left="1658" w:hanging="3"/>
        <w:jc w:val="both"/>
      </w:pPr>
      <w:r>
        <w:rPr>
          <w:rFonts w:ascii="Courier New" w:eastAsia="Courier New" w:hAnsi="Courier New" w:cs="Courier New"/>
          <w:sz w:val="28"/>
        </w:rPr>
        <w:t>Incumplimiento en las Metas Físicas y Financieras sobre la Provisión de</w:t>
      </w:r>
    </w:p>
    <w:p w14:paraId="079A8039" w14:textId="77777777" w:rsidR="00053D93" w:rsidRDefault="00260B75">
      <w:pPr>
        <w:spacing w:after="258" w:line="251" w:lineRule="auto"/>
        <w:ind w:left="1658" w:hanging="3"/>
        <w:jc w:val="both"/>
      </w:pPr>
      <w:r>
        <w:rPr>
          <w:rFonts w:ascii="Courier New" w:eastAsia="Courier New" w:hAnsi="Courier New" w:cs="Courier New"/>
          <w:sz w:val="28"/>
        </w:rPr>
        <w:t>Textos Escolares en los Niveles Educativos de Primaria y Preprimaria.</w:t>
      </w:r>
    </w:p>
    <w:p w14:paraId="4D35B797" w14:textId="77777777" w:rsidR="00053D93" w:rsidRDefault="00260B75">
      <w:pPr>
        <w:spacing w:after="14" w:line="251" w:lineRule="auto"/>
        <w:ind w:left="1658" w:hanging="3"/>
        <w:jc w:val="both"/>
      </w:pPr>
      <w:r>
        <w:rPr>
          <w:rFonts w:ascii="Courier New" w:eastAsia="Courier New" w:hAnsi="Courier New" w:cs="Courier New"/>
          <w:sz w:val="28"/>
        </w:rPr>
        <w:t>Condición</w:t>
      </w:r>
    </w:p>
    <w:p w14:paraId="20D0EE21" w14:textId="77777777" w:rsidR="00053D93" w:rsidRDefault="00260B75">
      <w:pPr>
        <w:spacing w:after="450" w:line="250" w:lineRule="auto"/>
        <w:ind w:left="1659" w:right="14" w:hanging="3"/>
        <w:jc w:val="both"/>
      </w:pPr>
      <w:r>
        <w:rPr>
          <w:rFonts w:ascii="Courier New" w:eastAsia="Courier New" w:hAnsi="Courier New" w:cs="Courier New"/>
          <w:sz w:val="26"/>
        </w:rPr>
        <w:t>En el Ministerio de Educación, Unidad Ejecutora 124 Dirección General de Gestión de Calidad Educativa -DIGECADE-, Programas: 1 1 Educación Escolar de Preprimaria, Actividad 003 Provisión de textos escolares, Metas 1 y 2 Cuadernos de trabajo impresos para estudiantes del nivel preprimario y 12 Educación Escolar de Primaria, Actividad 004 Provisión de textos escolares, Metas 1 y 3 Textos impresos para estudiantes del nivel primario; se determinó lo siguiente:</w:t>
      </w:r>
    </w:p>
    <w:p w14:paraId="0A4C2C67" w14:textId="77777777" w:rsidR="00053D93" w:rsidRDefault="00260B75">
      <w:pPr>
        <w:numPr>
          <w:ilvl w:val="0"/>
          <w:numId w:val="23"/>
        </w:numPr>
        <w:spacing w:after="477" w:line="250" w:lineRule="auto"/>
        <w:ind w:left="1645" w:right="14" w:hanging="3"/>
        <w:jc w:val="both"/>
      </w:pPr>
      <w:r>
        <w:rPr>
          <w:rFonts w:ascii="Courier New" w:eastAsia="Courier New" w:hAnsi="Courier New" w:cs="Courier New"/>
          <w:sz w:val="26"/>
        </w:rPr>
        <w:t>Programa 1 1 Educación Escolar de Preprimaria: El incumplimiento de metas físicas y financieras relacionadas con la provisión de textos escolares; derivado que, en el reporte número R0081561 1 .rpt, Analítico de Ejecución Físico y Financiera del Sistema de Contabilidad Integrada Gubernamental -SICOIN-, la ejecución de la meta física de provisión de textos escolares (Cuadernos de Trabajo) fue de 577,293 cuadernos de trabajo lo que representa un 50.62% de ejecución de la meta física con respecto a la vigente de 1, 140,534 cuadernos de trabajo, establecidas en el Plan Operativo Anual -POA-; asimismo, en la ejecución presupuestaria del mismo programa y actividad, según reporte número R00804768.rpt (Grupos Dinámicos), se registra un monto vigente de Q 19,763,590.00 y hasta el mes de diciembre se devengó un total de Q9,057,586.39, lo que representa una ejecución del 45.83%, confirmándose el incumplimiento de metas físicas y financieras en relación con la provisión de textos escolares (Cuadernos de Trabajo).</w:t>
      </w:r>
    </w:p>
    <w:p w14:paraId="275018AD" w14:textId="77777777" w:rsidR="00053D93" w:rsidRDefault="00260B75">
      <w:pPr>
        <w:numPr>
          <w:ilvl w:val="0"/>
          <w:numId w:val="23"/>
        </w:numPr>
        <w:spacing w:after="462" w:line="250" w:lineRule="auto"/>
        <w:ind w:left="1645" w:right="14" w:hanging="3"/>
        <w:jc w:val="both"/>
      </w:pPr>
      <w:r>
        <w:rPr>
          <w:rFonts w:ascii="Courier New" w:eastAsia="Courier New" w:hAnsi="Courier New" w:cs="Courier New"/>
          <w:sz w:val="26"/>
        </w:rPr>
        <w:t>Programa 12 Educación Escolar de Primaria: El incumplimiento de metas físicas y financieras relacionadas con la provisión de textos escolares; derivado que, en el reporte R0081561 1.rpt Analítico de Ejecución Física y Financiera del Sistema de Contabilidad Integrada -SICOIN-, la ejecución física de la meta de provisión de</w:t>
      </w:r>
    </w:p>
    <w:tbl>
      <w:tblPr>
        <w:tblStyle w:val="TableGrid"/>
        <w:tblpPr w:vertAnchor="text" w:tblpX="2498"/>
        <w:tblOverlap w:val="never"/>
        <w:tblW w:w="7625" w:type="dxa"/>
        <w:tblInd w:w="0" w:type="dxa"/>
        <w:tblCellMar>
          <w:top w:w="53" w:type="dxa"/>
          <w:left w:w="1742" w:type="dxa"/>
          <w:right w:w="115" w:type="dxa"/>
        </w:tblCellMar>
        <w:tblLook w:val="04A0" w:firstRow="1" w:lastRow="0" w:firstColumn="1" w:lastColumn="0" w:noHBand="0" w:noVBand="1"/>
      </w:tblPr>
      <w:tblGrid>
        <w:gridCol w:w="7625"/>
      </w:tblGrid>
      <w:tr w:rsidR="00053D93" w14:paraId="1F928AC0" w14:textId="77777777">
        <w:trPr>
          <w:trHeight w:val="48"/>
        </w:trPr>
        <w:tc>
          <w:tcPr>
            <w:tcW w:w="7625" w:type="dxa"/>
            <w:tcBorders>
              <w:top w:val="nil"/>
              <w:left w:val="single" w:sz="2" w:space="0" w:color="000000"/>
              <w:bottom w:val="single" w:sz="2" w:space="0" w:color="000000"/>
              <w:right w:val="nil"/>
            </w:tcBorders>
          </w:tcPr>
          <w:p w14:paraId="46CF7399" w14:textId="77777777" w:rsidR="00053D93" w:rsidRDefault="00053D93"/>
        </w:tc>
      </w:tr>
      <w:tr w:rsidR="00053D93" w14:paraId="3CFECFCA" w14:textId="77777777">
        <w:trPr>
          <w:trHeight w:val="593"/>
        </w:trPr>
        <w:tc>
          <w:tcPr>
            <w:tcW w:w="7625" w:type="dxa"/>
            <w:tcBorders>
              <w:top w:val="single" w:sz="2" w:space="0" w:color="000000"/>
              <w:left w:val="single" w:sz="2" w:space="0" w:color="000000"/>
              <w:bottom w:val="nil"/>
              <w:right w:val="nil"/>
            </w:tcBorders>
          </w:tcPr>
          <w:p w14:paraId="53E1BD3E" w14:textId="77777777" w:rsidR="00053D93" w:rsidRDefault="00260B75">
            <w:pPr>
              <w:ind w:left="828"/>
            </w:pPr>
            <w:r>
              <w:rPr>
                <w:rFonts w:ascii="Courier New" w:eastAsia="Courier New" w:hAnsi="Courier New" w:cs="Courier New"/>
                <w:sz w:val="14"/>
              </w:rPr>
              <w:t>MINISTERIO OE EDUCACION</w:t>
            </w:r>
          </w:p>
          <w:p w14:paraId="1625D708" w14:textId="77777777" w:rsidR="00053D93" w:rsidRDefault="00260B75">
            <w:pPr>
              <w:ind w:left="338"/>
            </w:pPr>
            <w:r>
              <w:rPr>
                <w:rFonts w:ascii="Courier New" w:eastAsia="Courier New" w:hAnsi="Courier New" w:cs="Courier New"/>
                <w:sz w:val="14"/>
              </w:rPr>
              <w:t>AUDITORIA FINANCIERA Y DE CUMPLIMIENTO</w:t>
            </w:r>
          </w:p>
          <w:p w14:paraId="44B709C6" w14:textId="77777777" w:rsidR="00053D93" w:rsidRDefault="00260B75">
            <w:r>
              <w:rPr>
                <w:rFonts w:ascii="Courier New" w:eastAsia="Courier New" w:hAnsi="Courier New" w:cs="Courier New"/>
                <w:sz w:val="14"/>
              </w:rPr>
              <w:t>PERIODO DEL 01 DE ENERO AL 31 DE DICIEMBRE OE 2024</w:t>
            </w:r>
          </w:p>
        </w:tc>
      </w:tr>
    </w:tbl>
    <w:p w14:paraId="16765094" w14:textId="77777777" w:rsidR="00053D93" w:rsidRDefault="00260B75">
      <w:pPr>
        <w:pStyle w:val="Ttulo2"/>
        <w:ind w:left="693" w:right="-7654"/>
      </w:pPr>
      <w:r>
        <w:rPr>
          <w:rFonts w:ascii="Courier New" w:eastAsia="Courier New" w:hAnsi="Courier New" w:cs="Courier New"/>
          <w:sz w:val="32"/>
        </w:rPr>
        <w:t xml:space="preserve">III </w:t>
      </w:r>
      <w:r>
        <w:rPr>
          <w:noProof/>
        </w:rPr>
        <w:drawing>
          <wp:inline distT="0" distB="0" distL="0" distR="0" wp14:anchorId="27B7934C" wp14:editId="489A87C0">
            <wp:extent cx="877824" cy="406909"/>
            <wp:effectExtent l="0" t="0" r="0" b="0"/>
            <wp:docPr id="1255973" name="Picture 1255973"/>
            <wp:cNvGraphicFramePr/>
            <a:graphic xmlns:a="http://schemas.openxmlformats.org/drawingml/2006/main">
              <a:graphicData uri="http://schemas.openxmlformats.org/drawingml/2006/picture">
                <pic:pic xmlns:pic="http://schemas.openxmlformats.org/drawingml/2006/picture">
                  <pic:nvPicPr>
                    <pic:cNvPr id="1255973" name="Picture 1255973"/>
                    <pic:cNvPicPr/>
                  </pic:nvPicPr>
                  <pic:blipFill>
                    <a:blip r:embed="rId1686"/>
                    <a:stretch>
                      <a:fillRect/>
                    </a:stretch>
                  </pic:blipFill>
                  <pic:spPr>
                    <a:xfrm>
                      <a:off x="0" y="0"/>
                      <a:ext cx="877824" cy="406909"/>
                    </a:xfrm>
                    <a:prstGeom prst="rect">
                      <a:avLst/>
                    </a:prstGeom>
                  </pic:spPr>
                </pic:pic>
              </a:graphicData>
            </a:graphic>
          </wp:inline>
        </w:drawing>
      </w:r>
      <w:r>
        <w:rPr>
          <w:rFonts w:ascii="Courier New" w:eastAsia="Courier New" w:hAnsi="Courier New" w:cs="Courier New"/>
          <w:sz w:val="32"/>
        </w:rPr>
        <w:t>II</w:t>
      </w:r>
    </w:p>
    <w:p w14:paraId="53FDE939" w14:textId="77777777" w:rsidR="00053D93" w:rsidRDefault="00053D93">
      <w:pPr>
        <w:sectPr w:rsidR="00053D93">
          <w:headerReference w:type="even" r:id="rId1687"/>
          <w:headerReference w:type="default" r:id="rId1688"/>
          <w:footerReference w:type="even" r:id="rId1689"/>
          <w:footerReference w:type="default" r:id="rId1690"/>
          <w:headerReference w:type="first" r:id="rId1691"/>
          <w:footerReference w:type="first" r:id="rId1692"/>
          <w:pgSz w:w="12290" w:h="15883"/>
          <w:pgMar w:top="756" w:right="1807" w:bottom="720" w:left="331" w:header="331" w:footer="720" w:gutter="0"/>
          <w:cols w:space="720"/>
          <w:titlePg/>
        </w:sectPr>
      </w:pPr>
    </w:p>
    <w:p w14:paraId="4EE91708" w14:textId="77777777" w:rsidR="00053D93" w:rsidRDefault="00260B75">
      <w:pPr>
        <w:spacing w:after="24"/>
        <w:ind w:left="763"/>
      </w:pPr>
      <w:r>
        <w:rPr>
          <w:noProof/>
        </w:rPr>
        <mc:AlternateContent>
          <mc:Choice Requires="wpg">
            <w:drawing>
              <wp:inline distT="0" distB="0" distL="0" distR="0" wp14:anchorId="6B56B2FB" wp14:editId="781D260A">
                <wp:extent cx="5490972" cy="9144"/>
                <wp:effectExtent l="0" t="0" r="0" b="0"/>
                <wp:docPr id="2458958" name="Group 2458958"/>
                <wp:cNvGraphicFramePr/>
                <a:graphic xmlns:a="http://schemas.openxmlformats.org/drawingml/2006/main">
                  <a:graphicData uri="http://schemas.microsoft.com/office/word/2010/wordprocessingGroup">
                    <wpg:wgp>
                      <wpg:cNvGrpSpPr/>
                      <wpg:grpSpPr>
                        <a:xfrm>
                          <a:off x="0" y="0"/>
                          <a:ext cx="5490972" cy="9144"/>
                          <a:chOff x="0" y="0"/>
                          <a:chExt cx="5490972" cy="9144"/>
                        </a:xfrm>
                      </wpg:grpSpPr>
                      <wps:wsp>
                        <wps:cNvPr id="2458957" name="Shape 2458957"/>
                        <wps:cNvSpPr/>
                        <wps:spPr>
                          <a:xfrm>
                            <a:off x="0" y="0"/>
                            <a:ext cx="5490972" cy="9144"/>
                          </a:xfrm>
                          <a:custGeom>
                            <a:avLst/>
                            <a:gdLst/>
                            <a:ahLst/>
                            <a:cxnLst/>
                            <a:rect l="0" t="0" r="0" b="0"/>
                            <a:pathLst>
                              <a:path w="5490972" h="9144">
                                <a:moveTo>
                                  <a:pt x="0" y="4572"/>
                                </a:moveTo>
                                <a:lnTo>
                                  <a:pt x="54909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58" style="width:432.36pt;height:0.720009pt;mso-position-horizontal-relative:char;mso-position-vertical-relative:line" coordsize="54909,91">
                <v:shape id="Shape 2458957" style="position:absolute;width:54909;height:91;left:0;top:0;" coordsize="5490972,9144" path="m0,4572l5490972,4572">
                  <v:stroke weight="0.720009pt" endcap="flat" joinstyle="miter" miterlimit="1" on="true" color="#000000"/>
                  <v:fill on="false" color="#000000"/>
                </v:shape>
              </v:group>
            </w:pict>
          </mc:Fallback>
        </mc:AlternateContent>
      </w:r>
    </w:p>
    <w:p w14:paraId="5F257A40" w14:textId="77777777" w:rsidR="00053D93" w:rsidRDefault="00260B75">
      <w:pPr>
        <w:spacing w:after="319" w:line="250" w:lineRule="auto"/>
        <w:ind w:left="939" w:right="14" w:hanging="3"/>
        <w:jc w:val="both"/>
      </w:pPr>
      <w:r>
        <w:rPr>
          <w:sz w:val="26"/>
        </w:rPr>
        <w:t>textos escolares para el ciclo escolar 2024 fue de 1,531 ,510 textos escolares lo que representa un 24.95% de ejecución de la meta fisica con respecto a la vigente de 6, 137,320 textos escolares, establecidas en el Plan Operativo Anual -POA-; asimismo, en la ejecución presupuestaria del mismo programa y actividad, según reporte número R00804768.rpt (Grupos Dinámicos), se registra un monto vigente de Q 1 16,516,160.00 y hasta el mes de diciembre se devengó un total de Q20,503,090.44, lo que representa una ejecución financiera del 17.60%; por esta razón, no tuvieron acceso a [os textos correspondientes, los estudiantes de segundo, tercero, cuarto, quinto y sexto primaria del ciclo escolar 2024 (alrededor de 1,682,898 estudiantes, según estadística oficial de la Dirección de Planificación -DIPLAN-, del Ministerio de Educación).</w:t>
      </w:r>
    </w:p>
    <w:p w14:paraId="3BCFDC1E" w14:textId="77777777" w:rsidR="00053D93" w:rsidRDefault="00260B75">
      <w:pPr>
        <w:spacing w:after="336" w:line="250" w:lineRule="auto"/>
        <w:ind w:left="939" w:right="14" w:hanging="3"/>
        <w:jc w:val="both"/>
      </w:pPr>
      <w:r>
        <w:rPr>
          <w:sz w:val="26"/>
        </w:rPr>
        <w:t>En este contexto, como procedimiento de auditoría, el 27 de enero del 2025, a través de los Oficios No. CGC-DAS-03-0037-AFC-MlNEDUC-DlGECADE-11-2025 y CGC-DAS-03-0037-AFC-MlNEDUC-DlGECADE-1 1-2025, se solicitó informe sobre la ejecución física y financiera de los Programas 1 1 Educación Escolar de Preprimaria y 12 Educación Escolar de Primaria; obteniéndose [o siguiente:</w:t>
      </w:r>
    </w:p>
    <w:p w14:paraId="303C2FD5" w14:textId="77777777" w:rsidR="00053D93" w:rsidRDefault="00260B75">
      <w:pPr>
        <w:spacing w:after="12" w:line="250" w:lineRule="auto"/>
        <w:ind w:left="925" w:right="14" w:hanging="3"/>
        <w:jc w:val="both"/>
      </w:pPr>
      <w:r>
        <w:rPr>
          <w:sz w:val="26"/>
        </w:rPr>
        <w:t>a. Programa 1 1 Educación Escolar de Preprimaria: El 07 de febrero de 2025, a través del Oficio DIGECADE/SEE N.0 81-2025; la Dirección General de Gestión de Calidad Educativa -DIGECADE- responde que, mediante la Licitación 1-028/2023-MINEDUC SERVICIO DE IMPRESIÓN DE LOS LIBROS DE LA SERIE "DESCUBRO Y APRENDO" PARA PÁRVULOS 1 ,2 Y 3 DEL NIVEL DE EDUCACIÓN PREPRIMARIA, A DISTRIBUIRSE PARA SU USO EN EL CICLO ESCOLAR 2024, A SOLICITUD DE LA DIGECADE, efectivamente lo ejecutado en el año 2024 fue de Q9,057,586.39, [o que refleja una ejecución financiera del 45.83% y una ejecución física del 50.62%, correspondiente a 577,293 libros (textos escolares); lo que se describe a continuación:</w:t>
      </w:r>
    </w:p>
    <w:tbl>
      <w:tblPr>
        <w:tblStyle w:val="TableGrid"/>
        <w:tblW w:w="8474" w:type="dxa"/>
        <w:tblInd w:w="922" w:type="dxa"/>
        <w:tblCellMar>
          <w:left w:w="115" w:type="dxa"/>
          <w:right w:w="115" w:type="dxa"/>
        </w:tblCellMar>
        <w:tblLook w:val="04A0" w:firstRow="1" w:lastRow="0" w:firstColumn="1" w:lastColumn="0" w:noHBand="0" w:noVBand="1"/>
      </w:tblPr>
      <w:tblGrid>
        <w:gridCol w:w="487"/>
        <w:gridCol w:w="3576"/>
        <w:gridCol w:w="1239"/>
        <w:gridCol w:w="892"/>
        <w:gridCol w:w="1184"/>
        <w:gridCol w:w="1096"/>
      </w:tblGrid>
      <w:tr w:rsidR="00053D93" w14:paraId="789819BF" w14:textId="77777777">
        <w:trPr>
          <w:trHeight w:val="734"/>
        </w:trPr>
        <w:tc>
          <w:tcPr>
            <w:tcW w:w="461" w:type="dxa"/>
            <w:tcBorders>
              <w:top w:val="single" w:sz="2" w:space="0" w:color="000000"/>
              <w:left w:val="single" w:sz="2" w:space="0" w:color="000000"/>
              <w:bottom w:val="single" w:sz="2" w:space="0" w:color="000000"/>
              <w:right w:val="single" w:sz="2" w:space="0" w:color="000000"/>
            </w:tcBorders>
          </w:tcPr>
          <w:p w14:paraId="1003DC6B" w14:textId="77777777" w:rsidR="00053D93" w:rsidRDefault="00260B75">
            <w:r>
              <w:rPr>
                <w:sz w:val="18"/>
              </w:rPr>
              <w:t>No.</w:t>
            </w:r>
          </w:p>
        </w:tc>
        <w:tc>
          <w:tcPr>
            <w:tcW w:w="3632" w:type="dxa"/>
            <w:tcBorders>
              <w:top w:val="single" w:sz="2" w:space="0" w:color="000000"/>
              <w:left w:val="single" w:sz="2" w:space="0" w:color="000000"/>
              <w:bottom w:val="single" w:sz="2" w:space="0" w:color="000000"/>
              <w:right w:val="single" w:sz="2" w:space="0" w:color="000000"/>
            </w:tcBorders>
          </w:tcPr>
          <w:p w14:paraId="7F2BA6C5" w14:textId="77777777" w:rsidR="00053D93" w:rsidRDefault="00260B75">
            <w:pPr>
              <w:ind w:left="12"/>
              <w:jc w:val="center"/>
            </w:pPr>
            <w:r>
              <w:rPr>
                <w:sz w:val="18"/>
              </w:rPr>
              <w:t>Proceso de Licitación</w:t>
            </w:r>
          </w:p>
        </w:tc>
        <w:tc>
          <w:tcPr>
            <w:tcW w:w="1247" w:type="dxa"/>
            <w:tcBorders>
              <w:top w:val="single" w:sz="2" w:space="0" w:color="000000"/>
              <w:left w:val="single" w:sz="2" w:space="0" w:color="000000"/>
              <w:bottom w:val="single" w:sz="2" w:space="0" w:color="000000"/>
              <w:right w:val="single" w:sz="2" w:space="0" w:color="000000"/>
            </w:tcBorders>
          </w:tcPr>
          <w:p w14:paraId="48A9D2B8" w14:textId="77777777" w:rsidR="00053D93" w:rsidRDefault="00260B75">
            <w:pPr>
              <w:ind w:left="7"/>
              <w:jc w:val="center"/>
            </w:pPr>
            <w:r>
              <w:rPr>
                <w:sz w:val="18"/>
              </w:rPr>
              <w:t>Meta</w:t>
            </w:r>
          </w:p>
          <w:p w14:paraId="3605C020" w14:textId="77777777" w:rsidR="00053D93" w:rsidRDefault="00260B75">
            <w:pPr>
              <w:ind w:left="7"/>
              <w:jc w:val="center"/>
            </w:pPr>
            <w:r>
              <w:rPr>
                <w:sz w:val="18"/>
              </w:rPr>
              <w:t>Financiera Q.</w:t>
            </w:r>
          </w:p>
        </w:tc>
        <w:tc>
          <w:tcPr>
            <w:tcW w:w="848" w:type="dxa"/>
            <w:tcBorders>
              <w:top w:val="single" w:sz="2" w:space="0" w:color="000000"/>
              <w:left w:val="single" w:sz="2" w:space="0" w:color="000000"/>
              <w:bottom w:val="single" w:sz="2" w:space="0" w:color="000000"/>
              <w:right w:val="single" w:sz="2" w:space="0" w:color="000000"/>
            </w:tcBorders>
          </w:tcPr>
          <w:p w14:paraId="15A858F4" w14:textId="77777777" w:rsidR="00053D93" w:rsidRDefault="00260B75">
            <w:pPr>
              <w:spacing w:after="5"/>
              <w:ind w:left="7"/>
              <w:jc w:val="center"/>
            </w:pPr>
            <w:r>
              <w:rPr>
                <w:sz w:val="16"/>
              </w:rPr>
              <w:t>Meta</w:t>
            </w:r>
          </w:p>
          <w:p w14:paraId="76694D7F" w14:textId="77777777" w:rsidR="00053D93" w:rsidRDefault="00260B75">
            <w:pPr>
              <w:ind w:left="7"/>
              <w:jc w:val="center"/>
            </w:pPr>
            <w:r>
              <w:rPr>
                <w:sz w:val="20"/>
              </w:rPr>
              <w:t>Física</w:t>
            </w:r>
          </w:p>
        </w:tc>
        <w:tc>
          <w:tcPr>
            <w:tcW w:w="1189" w:type="dxa"/>
            <w:tcBorders>
              <w:top w:val="single" w:sz="2" w:space="0" w:color="000000"/>
              <w:left w:val="single" w:sz="2" w:space="0" w:color="000000"/>
              <w:bottom w:val="single" w:sz="2" w:space="0" w:color="000000"/>
              <w:right w:val="single" w:sz="2" w:space="0" w:color="000000"/>
            </w:tcBorders>
          </w:tcPr>
          <w:p w14:paraId="40CEFE91" w14:textId="77777777" w:rsidR="00053D93" w:rsidRDefault="00260B75">
            <w:pPr>
              <w:ind w:left="8"/>
              <w:jc w:val="center"/>
            </w:pPr>
            <w:r>
              <w:rPr>
                <w:sz w:val="18"/>
              </w:rPr>
              <w:t>Porcentaje</w:t>
            </w:r>
          </w:p>
          <w:p w14:paraId="6008DD36" w14:textId="77777777" w:rsidR="00053D93" w:rsidRDefault="00260B75">
            <w:pPr>
              <w:ind w:left="1"/>
              <w:jc w:val="center"/>
            </w:pPr>
            <w:r>
              <w:rPr>
                <w:sz w:val="20"/>
              </w:rPr>
              <w:t>Ejecución</w:t>
            </w:r>
          </w:p>
          <w:p w14:paraId="4F1B46F8" w14:textId="77777777" w:rsidR="00053D93" w:rsidRDefault="00260B75">
            <w:pPr>
              <w:ind w:left="1"/>
              <w:jc w:val="center"/>
            </w:pPr>
            <w:r>
              <w:rPr>
                <w:sz w:val="18"/>
              </w:rPr>
              <w:t>Financiera</w:t>
            </w:r>
          </w:p>
        </w:tc>
        <w:tc>
          <w:tcPr>
            <w:tcW w:w="1098" w:type="dxa"/>
            <w:tcBorders>
              <w:top w:val="single" w:sz="2" w:space="0" w:color="000000"/>
              <w:left w:val="single" w:sz="2" w:space="0" w:color="000000"/>
              <w:bottom w:val="single" w:sz="2" w:space="0" w:color="000000"/>
              <w:right w:val="single" w:sz="2" w:space="0" w:color="000000"/>
            </w:tcBorders>
          </w:tcPr>
          <w:p w14:paraId="647E7694" w14:textId="77777777" w:rsidR="00053D93" w:rsidRDefault="00260B75">
            <w:pPr>
              <w:ind w:left="11"/>
              <w:jc w:val="center"/>
            </w:pPr>
            <w:r>
              <w:rPr>
                <w:sz w:val="18"/>
              </w:rPr>
              <w:t>Porcentaje</w:t>
            </w:r>
          </w:p>
          <w:p w14:paraId="6297E77A" w14:textId="77777777" w:rsidR="00053D93" w:rsidRDefault="00260B75">
            <w:pPr>
              <w:jc w:val="center"/>
            </w:pPr>
            <w:r>
              <w:rPr>
                <w:sz w:val="20"/>
              </w:rPr>
              <w:t>Ejecución Física</w:t>
            </w:r>
          </w:p>
        </w:tc>
      </w:tr>
      <w:tr w:rsidR="00053D93" w14:paraId="02226392" w14:textId="77777777">
        <w:trPr>
          <w:trHeight w:val="1896"/>
        </w:trPr>
        <w:tc>
          <w:tcPr>
            <w:tcW w:w="461" w:type="dxa"/>
            <w:tcBorders>
              <w:top w:val="single" w:sz="2" w:space="0" w:color="000000"/>
              <w:left w:val="single" w:sz="2" w:space="0" w:color="000000"/>
              <w:bottom w:val="single" w:sz="2" w:space="0" w:color="000000"/>
              <w:right w:val="single" w:sz="2" w:space="0" w:color="000000"/>
            </w:tcBorders>
          </w:tcPr>
          <w:p w14:paraId="7E2099D6" w14:textId="77777777" w:rsidR="00053D93" w:rsidRDefault="00053D93"/>
        </w:tc>
        <w:tc>
          <w:tcPr>
            <w:tcW w:w="3632" w:type="dxa"/>
            <w:tcBorders>
              <w:top w:val="single" w:sz="2" w:space="0" w:color="000000"/>
              <w:left w:val="single" w:sz="2" w:space="0" w:color="000000"/>
              <w:bottom w:val="single" w:sz="2" w:space="0" w:color="000000"/>
              <w:right w:val="single" w:sz="2" w:space="0" w:color="000000"/>
            </w:tcBorders>
          </w:tcPr>
          <w:p w14:paraId="43BAA4D9" w14:textId="77777777" w:rsidR="00053D93" w:rsidRDefault="00260B75">
            <w:pPr>
              <w:spacing w:line="216" w:lineRule="auto"/>
              <w:ind w:left="7" w:right="3" w:firstLine="7"/>
              <w:jc w:val="both"/>
            </w:pPr>
            <w:r>
              <w:t>1-028/2023-MINEDUC SERVICIO DE IMPRESIÓN DE LOS LIBROS DE LA SERIE "DESCUBRO Y APRENDO" PARA PÁRVULOS 1,2 Y 3 DEL NIVEL DE EDUCACIÓN PREPRIMARIA,</w:t>
            </w:r>
          </w:p>
          <w:p w14:paraId="6A52E748" w14:textId="77777777" w:rsidR="00053D93" w:rsidRDefault="00260B75">
            <w:pPr>
              <w:spacing w:line="216" w:lineRule="auto"/>
              <w:ind w:left="7" w:right="3"/>
              <w:jc w:val="both"/>
            </w:pPr>
            <w:r>
              <w:t>DISTRIBUIRSE PARA SU USO EN EL CICLO ESCOLAR 2024, A SOLICITUD DE LA DIGECADE.</w:t>
            </w:r>
          </w:p>
          <w:p w14:paraId="097F95D1" w14:textId="77777777" w:rsidR="00053D93" w:rsidRDefault="00260B75">
            <w:pPr>
              <w:ind w:left="1217"/>
            </w:pPr>
            <w:r>
              <w:rPr>
                <w:sz w:val="20"/>
              </w:rPr>
              <w:t>TOTAL</w:t>
            </w:r>
          </w:p>
        </w:tc>
        <w:tc>
          <w:tcPr>
            <w:tcW w:w="1247" w:type="dxa"/>
            <w:tcBorders>
              <w:top w:val="single" w:sz="2" w:space="0" w:color="000000"/>
              <w:left w:val="single" w:sz="2" w:space="0" w:color="000000"/>
              <w:bottom w:val="single" w:sz="2" w:space="0" w:color="000000"/>
              <w:right w:val="single" w:sz="2" w:space="0" w:color="000000"/>
            </w:tcBorders>
          </w:tcPr>
          <w:p w14:paraId="7EA33289" w14:textId="77777777" w:rsidR="00053D93" w:rsidRDefault="00053D93"/>
        </w:tc>
        <w:tc>
          <w:tcPr>
            <w:tcW w:w="848" w:type="dxa"/>
            <w:tcBorders>
              <w:top w:val="single" w:sz="2" w:space="0" w:color="000000"/>
              <w:left w:val="single" w:sz="2" w:space="0" w:color="000000"/>
              <w:bottom w:val="single" w:sz="2" w:space="0" w:color="000000"/>
              <w:right w:val="single" w:sz="2" w:space="0" w:color="000000"/>
            </w:tcBorders>
          </w:tcPr>
          <w:p w14:paraId="55D6BA23" w14:textId="77777777" w:rsidR="00053D93" w:rsidRDefault="00260B75">
            <w:pPr>
              <w:ind w:left="3"/>
            </w:pPr>
            <w:r>
              <w:rPr>
                <w:sz w:val="20"/>
              </w:rPr>
              <w:t>577.293</w:t>
            </w:r>
          </w:p>
        </w:tc>
        <w:tc>
          <w:tcPr>
            <w:tcW w:w="1189" w:type="dxa"/>
            <w:tcBorders>
              <w:top w:val="single" w:sz="2" w:space="0" w:color="000000"/>
              <w:left w:val="single" w:sz="2" w:space="0" w:color="000000"/>
              <w:bottom w:val="single" w:sz="2" w:space="0" w:color="000000"/>
              <w:right w:val="single" w:sz="2" w:space="0" w:color="000000"/>
            </w:tcBorders>
          </w:tcPr>
          <w:p w14:paraId="29AFC109" w14:textId="77777777" w:rsidR="00053D93" w:rsidRDefault="00260B75">
            <w:pPr>
              <w:ind w:right="6"/>
              <w:jc w:val="center"/>
            </w:pPr>
            <w:r>
              <w:rPr>
                <w:sz w:val="16"/>
              </w:rPr>
              <w:t>45.830/0</w:t>
            </w:r>
          </w:p>
        </w:tc>
        <w:tc>
          <w:tcPr>
            <w:tcW w:w="1098" w:type="dxa"/>
            <w:tcBorders>
              <w:top w:val="single" w:sz="2" w:space="0" w:color="000000"/>
              <w:left w:val="single" w:sz="2" w:space="0" w:color="000000"/>
              <w:bottom w:val="single" w:sz="2" w:space="0" w:color="000000"/>
              <w:right w:val="single" w:sz="2" w:space="0" w:color="000000"/>
            </w:tcBorders>
          </w:tcPr>
          <w:p w14:paraId="568D3475" w14:textId="77777777" w:rsidR="00053D93" w:rsidRDefault="00260B75">
            <w:pPr>
              <w:ind w:left="4"/>
              <w:jc w:val="center"/>
            </w:pPr>
            <w:r>
              <w:rPr>
                <w:sz w:val="16"/>
              </w:rPr>
              <w:t>50.620/0</w:t>
            </w:r>
          </w:p>
        </w:tc>
      </w:tr>
    </w:tbl>
    <w:p w14:paraId="7C527D33" w14:textId="77777777" w:rsidR="00053D93" w:rsidRDefault="00260B75">
      <w:pPr>
        <w:tabs>
          <w:tab w:val="center" w:pos="6682"/>
          <w:tab w:val="center" w:pos="7697"/>
          <w:tab w:val="center" w:pos="8845"/>
        </w:tabs>
        <w:spacing w:after="76"/>
      </w:pPr>
      <w:r>
        <w:rPr>
          <w:sz w:val="18"/>
        </w:rPr>
        <w:tab/>
        <w:t>577,293</w:t>
      </w:r>
      <w:r>
        <w:rPr>
          <w:sz w:val="18"/>
        </w:rPr>
        <w:tab/>
        <w:t>45.83%</w:t>
      </w:r>
      <w:r>
        <w:rPr>
          <w:sz w:val="18"/>
        </w:rPr>
        <w:tab/>
        <w:t>50.62%</w:t>
      </w:r>
    </w:p>
    <w:p w14:paraId="039A1155" w14:textId="77777777" w:rsidR="00053D93" w:rsidRDefault="00260B75">
      <w:pPr>
        <w:spacing w:after="449" w:line="265" w:lineRule="auto"/>
        <w:ind w:left="938" w:hanging="10"/>
      </w:pPr>
      <w:r>
        <w:rPr>
          <w:sz w:val="14"/>
        </w:rPr>
        <w:t xml:space="preserve">Fuente: Elaboración propia con información según Oficio DIGECADE/SEE N. </w:t>
      </w:r>
      <w:r>
        <w:rPr>
          <w:sz w:val="14"/>
          <w:vertAlign w:val="superscript"/>
        </w:rPr>
        <w:t xml:space="preserve">0 </w:t>
      </w:r>
      <w:r>
        <w:rPr>
          <w:sz w:val="14"/>
        </w:rPr>
        <w:t>90-2025.</w:t>
      </w:r>
    </w:p>
    <w:p w14:paraId="4897A167" w14:textId="77777777" w:rsidR="00053D93" w:rsidRDefault="00260B75">
      <w:pPr>
        <w:spacing w:after="12" w:line="250" w:lineRule="auto"/>
        <w:ind w:left="925" w:right="14" w:hanging="3"/>
        <w:jc w:val="both"/>
      </w:pPr>
      <w:r>
        <w:rPr>
          <w:sz w:val="26"/>
        </w:rPr>
        <w:t>En la misma línea del referido oficio, indicaron que, en el 2024 iniciaron el proceso de licitación identificado como: L-025/2024-MlNEDUC SERVICIO DE IMPRESIÓN DE LOS LIBROS DE LA SERIE "DESCUBRO Y APRENDO" PARA PÁRVULOS</w:t>
      </w:r>
    </w:p>
    <w:tbl>
      <w:tblPr>
        <w:tblStyle w:val="TableGrid"/>
        <w:tblW w:w="9425" w:type="dxa"/>
        <w:tblInd w:w="-29" w:type="dxa"/>
        <w:tblLook w:val="04A0" w:firstRow="1" w:lastRow="0" w:firstColumn="1" w:lastColumn="0" w:noHBand="0" w:noVBand="1"/>
      </w:tblPr>
      <w:tblGrid>
        <w:gridCol w:w="1235"/>
        <w:gridCol w:w="8218"/>
      </w:tblGrid>
      <w:tr w:rsidR="00053D93" w14:paraId="181CA96B" w14:textId="77777777">
        <w:trPr>
          <w:trHeight w:val="648"/>
        </w:trPr>
        <w:tc>
          <w:tcPr>
            <w:tcW w:w="1723" w:type="dxa"/>
            <w:tcBorders>
              <w:top w:val="nil"/>
              <w:left w:val="nil"/>
              <w:bottom w:val="nil"/>
              <w:right w:val="nil"/>
            </w:tcBorders>
          </w:tcPr>
          <w:p w14:paraId="7C17B6BE" w14:textId="77777777" w:rsidR="00053D93" w:rsidRDefault="00260B75">
            <w:r>
              <w:rPr>
                <w:noProof/>
              </w:rPr>
              <w:drawing>
                <wp:inline distT="0" distB="0" distL="0" distR="0" wp14:anchorId="11494C57" wp14:editId="44025F13">
                  <wp:extent cx="1065276" cy="411480"/>
                  <wp:effectExtent l="0" t="0" r="0" b="0"/>
                  <wp:docPr id="1260343" name="Picture 1260343"/>
                  <wp:cNvGraphicFramePr/>
                  <a:graphic xmlns:a="http://schemas.openxmlformats.org/drawingml/2006/main">
                    <a:graphicData uri="http://schemas.openxmlformats.org/drawingml/2006/picture">
                      <pic:pic xmlns:pic="http://schemas.openxmlformats.org/drawingml/2006/picture">
                        <pic:nvPicPr>
                          <pic:cNvPr id="1260343" name="Picture 1260343"/>
                          <pic:cNvPicPr/>
                        </pic:nvPicPr>
                        <pic:blipFill>
                          <a:blip r:embed="rId1693"/>
                          <a:stretch>
                            <a:fillRect/>
                          </a:stretch>
                        </pic:blipFill>
                        <pic:spPr>
                          <a:xfrm>
                            <a:off x="0" y="0"/>
                            <a:ext cx="1065276" cy="411480"/>
                          </a:xfrm>
                          <a:prstGeom prst="rect">
                            <a:avLst/>
                          </a:prstGeom>
                        </pic:spPr>
                      </pic:pic>
                    </a:graphicData>
                  </a:graphic>
                </wp:inline>
              </w:drawing>
            </w:r>
          </w:p>
        </w:tc>
        <w:tc>
          <w:tcPr>
            <w:tcW w:w="7702" w:type="dxa"/>
            <w:tcBorders>
              <w:top w:val="nil"/>
              <w:left w:val="nil"/>
              <w:bottom w:val="nil"/>
              <w:right w:val="nil"/>
            </w:tcBorders>
          </w:tcPr>
          <w:p w14:paraId="34CA9E6B" w14:textId="77777777" w:rsidR="00053D93" w:rsidRDefault="00053D93">
            <w:pPr>
              <w:ind w:left="-2759" w:right="10462"/>
            </w:pPr>
          </w:p>
          <w:tbl>
            <w:tblPr>
              <w:tblStyle w:val="TableGrid"/>
              <w:tblW w:w="7657" w:type="dxa"/>
              <w:tblInd w:w="45" w:type="dxa"/>
              <w:tblCellMar>
                <w:top w:w="21" w:type="dxa"/>
                <w:left w:w="1782" w:type="dxa"/>
                <w:right w:w="115" w:type="dxa"/>
              </w:tblCellMar>
              <w:tblLook w:val="04A0" w:firstRow="1" w:lastRow="0" w:firstColumn="1" w:lastColumn="0" w:noHBand="0" w:noVBand="1"/>
            </w:tblPr>
            <w:tblGrid>
              <w:gridCol w:w="7657"/>
            </w:tblGrid>
            <w:tr w:rsidR="00053D93" w14:paraId="2B3BB0CA" w14:textId="77777777">
              <w:trPr>
                <w:trHeight w:val="48"/>
              </w:trPr>
              <w:tc>
                <w:tcPr>
                  <w:tcW w:w="7657" w:type="dxa"/>
                  <w:tcBorders>
                    <w:top w:val="nil"/>
                    <w:left w:val="single" w:sz="2" w:space="0" w:color="000000"/>
                    <w:bottom w:val="single" w:sz="2" w:space="0" w:color="000000"/>
                    <w:right w:val="nil"/>
                  </w:tcBorders>
                </w:tcPr>
                <w:p w14:paraId="5C2C5167" w14:textId="77777777" w:rsidR="00053D93" w:rsidRDefault="00053D93"/>
              </w:tc>
            </w:tr>
            <w:tr w:rsidR="00053D93" w14:paraId="27CB3EA5" w14:textId="77777777">
              <w:trPr>
                <w:trHeight w:val="593"/>
              </w:trPr>
              <w:tc>
                <w:tcPr>
                  <w:tcW w:w="7657" w:type="dxa"/>
                  <w:tcBorders>
                    <w:top w:val="single" w:sz="2" w:space="0" w:color="000000"/>
                    <w:left w:val="single" w:sz="2" w:space="0" w:color="000000"/>
                    <w:bottom w:val="nil"/>
                    <w:right w:val="nil"/>
                  </w:tcBorders>
                </w:tcPr>
                <w:p w14:paraId="2BF9FD17" w14:textId="77777777" w:rsidR="00053D93" w:rsidRDefault="00260B75">
                  <w:pPr>
                    <w:ind w:left="828"/>
                  </w:pPr>
                  <w:r>
                    <w:rPr>
                      <w:sz w:val="14"/>
                    </w:rPr>
                    <w:t>MINISTERIO OE EDUCACION</w:t>
                  </w:r>
                </w:p>
                <w:p w14:paraId="306F2EAD" w14:textId="77777777" w:rsidR="00053D93" w:rsidRDefault="00260B75">
                  <w:pPr>
                    <w:ind w:left="338"/>
                  </w:pPr>
                  <w:r>
                    <w:rPr>
                      <w:sz w:val="14"/>
                    </w:rPr>
                    <w:t>AUDITORIA FINANCIERA Y DE CUMPLIMIENTO</w:t>
                  </w:r>
                </w:p>
                <w:p w14:paraId="345E7C17" w14:textId="77777777" w:rsidR="00053D93" w:rsidRDefault="00260B75">
                  <w:r>
                    <w:rPr>
                      <w:sz w:val="14"/>
                    </w:rPr>
                    <w:t>PERIODO DEL 01 DE ENERO AL 31 OE DICIEMBRE DE 2024</w:t>
                  </w:r>
                </w:p>
              </w:tc>
            </w:tr>
          </w:tbl>
          <w:p w14:paraId="3B2F13F0" w14:textId="77777777" w:rsidR="00053D93" w:rsidRDefault="00053D93"/>
        </w:tc>
      </w:tr>
    </w:tbl>
    <w:p w14:paraId="1E9C2F70" w14:textId="77777777" w:rsidR="00053D93" w:rsidRDefault="00260B75">
      <w:pPr>
        <w:spacing w:after="34"/>
        <w:ind w:left="1519"/>
      </w:pPr>
      <w:r>
        <w:rPr>
          <w:noProof/>
        </w:rPr>
        <mc:AlternateContent>
          <mc:Choice Requires="wpg">
            <w:drawing>
              <wp:inline distT="0" distB="0" distL="0" distR="0" wp14:anchorId="2A0641F5" wp14:editId="4D1D169D">
                <wp:extent cx="4983481" cy="13716"/>
                <wp:effectExtent l="0" t="0" r="0" b="0"/>
                <wp:docPr id="2458960" name="Group 2458960"/>
                <wp:cNvGraphicFramePr/>
                <a:graphic xmlns:a="http://schemas.openxmlformats.org/drawingml/2006/main">
                  <a:graphicData uri="http://schemas.microsoft.com/office/word/2010/wordprocessingGroup">
                    <wpg:wgp>
                      <wpg:cNvGrpSpPr/>
                      <wpg:grpSpPr>
                        <a:xfrm>
                          <a:off x="0" y="0"/>
                          <a:ext cx="4983481" cy="13716"/>
                          <a:chOff x="0" y="0"/>
                          <a:chExt cx="4983481" cy="13716"/>
                        </a:xfrm>
                      </wpg:grpSpPr>
                      <wps:wsp>
                        <wps:cNvPr id="2458959" name="Shape 2458959"/>
                        <wps:cNvSpPr/>
                        <wps:spPr>
                          <a:xfrm>
                            <a:off x="0" y="0"/>
                            <a:ext cx="4983481" cy="13716"/>
                          </a:xfrm>
                          <a:custGeom>
                            <a:avLst/>
                            <a:gdLst/>
                            <a:ahLst/>
                            <a:cxnLst/>
                            <a:rect l="0" t="0" r="0" b="0"/>
                            <a:pathLst>
                              <a:path w="4983481" h="13716">
                                <a:moveTo>
                                  <a:pt x="0" y="6858"/>
                                </a:moveTo>
                                <a:lnTo>
                                  <a:pt x="4983481"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60" style="width:392.4pt;height:1.07999pt;mso-position-horizontal-relative:char;mso-position-vertical-relative:line" coordsize="49834,137">
                <v:shape id="Shape 2458959" style="position:absolute;width:49834;height:137;left:0;top:0;" coordsize="4983481,13716" path="m0,6858l4983481,6858">
                  <v:stroke weight="1.07999pt" endcap="flat" joinstyle="miter" miterlimit="1" on="true" color="#000000"/>
                  <v:fill on="false" color="#000000"/>
                </v:shape>
              </v:group>
            </w:pict>
          </mc:Fallback>
        </mc:AlternateContent>
      </w:r>
    </w:p>
    <w:p w14:paraId="68D48CB0" w14:textId="77777777" w:rsidR="00053D93" w:rsidRDefault="00260B75">
      <w:pPr>
        <w:spacing w:after="301" w:line="250" w:lineRule="auto"/>
        <w:ind w:left="925" w:right="14" w:hanging="3"/>
        <w:jc w:val="both"/>
      </w:pPr>
      <w:r>
        <w:rPr>
          <w:sz w:val="26"/>
        </w:rPr>
        <w:t xml:space="preserve">1,2 Y 3 DEL NIVEL DE EDUCACIÓN PREPRIMARIA, A DISTRIBUIRSE PARA SU USO EN EL CICLO ESCOLAR 2025, A SOLICITUD DE LA DIGECADE, para la impresión de 563,241 libros, con un monto de Q9, 715,907.25; correspondiente a una meta física del 49.38%, sumado a la meta fisica del 50.62 </w:t>
      </w:r>
      <w:r>
        <w:rPr>
          <w:sz w:val="26"/>
          <w:vertAlign w:val="superscript"/>
        </w:rPr>
        <w:t>0</w:t>
      </w:r>
      <w:r>
        <w:rPr>
          <w:sz w:val="26"/>
        </w:rPr>
        <w:t>/0, de la licitación 1-028/2023-MINEDUC SERVICIO DE IMPRESIÓN DE LOS LIBROS DE LA SERIE "DESCUBRO Y APRENDO" PARA PÁRVULOS 1,2 Y 3 DEL NIVEL DE EDUCACIÓN PREPRIMARIA, A DISTRIBUIRSE PARA SU USO EN EL CICLO ESCOLAR 2024, A SOLICITUD DE LA DIGECADE, correspondiente a 577,293 libros, dan un total de 1, 140,534 libros, que significan el 100% de ia meta física anual establecida en el Plan Operativo Anual -POA-; asimismo, manifestaron que para la licitación 1--025/2024-MINEDUC contaban con un monto reservado de Q10, 138,338.00, relacionado con el servicio de impresión de libros y el monto de Q567 ,665.61 , estaba destinado como reserva para cubrir posibles sobrecostos en caso de que las ofertas superaran el presupuesto estimado de la licitación, evidenciando que existía disponibilidad presupuestaria; sin embargo, manifestaron que, la licitación L-02512024-MlNEDUC, tuvo un atraso ajeno a la Unidad Ejecutora, por lo que, el pago y liquidación fue trasladado para el año 2025, por lo tanto, afectó en el cumplimiento de las metas físicas y financieras establecidas.</w:t>
      </w:r>
    </w:p>
    <w:p w14:paraId="3D263433" w14:textId="77777777" w:rsidR="00053D93" w:rsidRDefault="00260B75">
      <w:pPr>
        <w:spacing w:after="12" w:line="250" w:lineRule="auto"/>
        <w:ind w:left="932" w:right="14" w:hanging="3"/>
        <w:jc w:val="both"/>
      </w:pPr>
      <w:r>
        <w:rPr>
          <w:sz w:val="26"/>
        </w:rPr>
        <w:t>b. Programa 12 Educación Escolar de Primaria: El 07 de febrero de 2025, a través del Oficio DIGECADE/SEE N.0 90-2025; la Dirección General de Gestión de Calidad Educativa -DIGECADE- responde que, mediante la Licitación L-03012023-MlNEDUC SERVICIO DE IMPRESIÓN DE TEXTOS PARA NIÑOS DE PRIMER GRADO DEL NIVEL DE EDUCACIÓN PRIMARIA Y TEXTOS DE Ml LIBRO DE LECTURAS PRIMER GRADO PRIMARIA, PARA USO EN 2024, A</w:t>
      </w:r>
    </w:p>
    <w:p w14:paraId="7DAD5074" w14:textId="77777777" w:rsidR="00053D93" w:rsidRDefault="00260B75">
      <w:pPr>
        <w:spacing w:after="12" w:line="250" w:lineRule="auto"/>
        <w:ind w:left="939" w:right="14" w:hanging="3"/>
        <w:jc w:val="both"/>
      </w:pPr>
      <w:r>
        <w:rPr>
          <w:sz w:val="26"/>
        </w:rPr>
        <w:t xml:space="preserve">SOLICITUD DE LA DIGECADE; efectivamente lo ejecutado en el año 2024 fue de Q20,305,140.44, lo que refleja una ejecución financiera del 1 7.60 </w:t>
      </w:r>
      <w:r>
        <w:rPr>
          <w:sz w:val="26"/>
          <w:vertAlign w:val="superscript"/>
        </w:rPr>
        <w:t>0</w:t>
      </w:r>
      <w:r>
        <w:rPr>
          <w:sz w:val="26"/>
        </w:rPr>
        <w:t>/0 y una ejecución física del 24.95%, correspondiente a 1,531 ,510 textos escolares; lo que se describe a continuación:</w:t>
      </w:r>
    </w:p>
    <w:tbl>
      <w:tblPr>
        <w:tblStyle w:val="TableGrid"/>
        <w:tblW w:w="8460" w:type="dxa"/>
        <w:tblInd w:w="936" w:type="dxa"/>
        <w:tblCellMar>
          <w:left w:w="122" w:type="dxa"/>
          <w:right w:w="111" w:type="dxa"/>
        </w:tblCellMar>
        <w:tblLook w:val="04A0" w:firstRow="1" w:lastRow="0" w:firstColumn="1" w:lastColumn="0" w:noHBand="0" w:noVBand="1"/>
      </w:tblPr>
      <w:tblGrid>
        <w:gridCol w:w="502"/>
        <w:gridCol w:w="3578"/>
        <w:gridCol w:w="1274"/>
        <w:gridCol w:w="905"/>
        <w:gridCol w:w="1103"/>
        <w:gridCol w:w="1098"/>
      </w:tblGrid>
      <w:tr w:rsidR="00053D93" w14:paraId="17B77C97" w14:textId="77777777">
        <w:trPr>
          <w:trHeight w:val="723"/>
        </w:trPr>
        <w:tc>
          <w:tcPr>
            <w:tcW w:w="461" w:type="dxa"/>
            <w:tcBorders>
              <w:top w:val="single" w:sz="2" w:space="0" w:color="000000"/>
              <w:left w:val="single" w:sz="2" w:space="0" w:color="000000"/>
              <w:bottom w:val="single" w:sz="2" w:space="0" w:color="000000"/>
              <w:right w:val="single" w:sz="2" w:space="0" w:color="000000"/>
            </w:tcBorders>
          </w:tcPr>
          <w:p w14:paraId="7CF480BA" w14:textId="77777777" w:rsidR="00053D93" w:rsidRDefault="00260B75">
            <w:pPr>
              <w:ind w:right="12"/>
              <w:jc w:val="center"/>
            </w:pPr>
            <w:r>
              <w:rPr>
                <w:sz w:val="18"/>
              </w:rPr>
              <w:t>No.</w:t>
            </w:r>
          </w:p>
        </w:tc>
        <w:tc>
          <w:tcPr>
            <w:tcW w:w="3653" w:type="dxa"/>
            <w:tcBorders>
              <w:top w:val="single" w:sz="2" w:space="0" w:color="000000"/>
              <w:left w:val="single" w:sz="2" w:space="0" w:color="000000"/>
              <w:bottom w:val="single" w:sz="2" w:space="0" w:color="000000"/>
              <w:right w:val="single" w:sz="2" w:space="0" w:color="000000"/>
            </w:tcBorders>
          </w:tcPr>
          <w:p w14:paraId="4AFB52E2" w14:textId="77777777" w:rsidR="00053D93" w:rsidRDefault="00260B75">
            <w:pPr>
              <w:ind w:right="7"/>
              <w:jc w:val="center"/>
            </w:pPr>
            <w:r>
              <w:rPr>
                <w:sz w:val="20"/>
              </w:rPr>
              <w:t>Proceso de Licitación</w:t>
            </w:r>
          </w:p>
        </w:tc>
        <w:tc>
          <w:tcPr>
            <w:tcW w:w="1211" w:type="dxa"/>
            <w:tcBorders>
              <w:top w:val="single" w:sz="2" w:space="0" w:color="000000"/>
              <w:left w:val="single" w:sz="2" w:space="0" w:color="000000"/>
              <w:bottom w:val="single" w:sz="2" w:space="0" w:color="000000"/>
              <w:right w:val="single" w:sz="2" w:space="0" w:color="000000"/>
            </w:tcBorders>
          </w:tcPr>
          <w:p w14:paraId="26A796EC" w14:textId="77777777" w:rsidR="00053D93" w:rsidRDefault="00260B75">
            <w:pPr>
              <w:spacing w:after="5"/>
              <w:ind w:right="19"/>
              <w:jc w:val="center"/>
            </w:pPr>
            <w:r>
              <w:rPr>
                <w:sz w:val="16"/>
              </w:rPr>
              <w:t>Meta</w:t>
            </w:r>
          </w:p>
          <w:p w14:paraId="0655A804" w14:textId="77777777" w:rsidR="00053D93" w:rsidRDefault="00260B75">
            <w:pPr>
              <w:ind w:right="19"/>
              <w:jc w:val="center"/>
            </w:pPr>
            <w:r>
              <w:rPr>
                <w:sz w:val="18"/>
              </w:rPr>
              <w:t>Financiera Q.</w:t>
            </w:r>
          </w:p>
        </w:tc>
        <w:tc>
          <w:tcPr>
            <w:tcW w:w="922" w:type="dxa"/>
            <w:tcBorders>
              <w:top w:val="single" w:sz="2" w:space="0" w:color="000000"/>
              <w:left w:val="single" w:sz="2" w:space="0" w:color="000000"/>
              <w:bottom w:val="single" w:sz="2" w:space="0" w:color="000000"/>
              <w:right w:val="single" w:sz="2" w:space="0" w:color="000000"/>
            </w:tcBorders>
          </w:tcPr>
          <w:p w14:paraId="1F1B517C" w14:textId="77777777" w:rsidR="00053D93" w:rsidRDefault="00260B75">
            <w:pPr>
              <w:ind w:right="13"/>
              <w:jc w:val="center"/>
            </w:pPr>
            <w:r>
              <w:rPr>
                <w:sz w:val="18"/>
              </w:rPr>
              <w:t>Meta</w:t>
            </w:r>
          </w:p>
          <w:p w14:paraId="7611C614" w14:textId="77777777" w:rsidR="00053D93" w:rsidRDefault="00260B75">
            <w:pPr>
              <w:ind w:right="21"/>
              <w:jc w:val="center"/>
            </w:pPr>
            <w:r>
              <w:rPr>
                <w:sz w:val="20"/>
              </w:rPr>
              <w:t>Física</w:t>
            </w:r>
          </w:p>
        </w:tc>
        <w:tc>
          <w:tcPr>
            <w:tcW w:w="1109" w:type="dxa"/>
            <w:tcBorders>
              <w:top w:val="single" w:sz="2" w:space="0" w:color="000000"/>
              <w:left w:val="single" w:sz="2" w:space="0" w:color="000000"/>
              <w:bottom w:val="single" w:sz="2" w:space="0" w:color="000000"/>
              <w:right w:val="single" w:sz="2" w:space="0" w:color="000000"/>
            </w:tcBorders>
          </w:tcPr>
          <w:p w14:paraId="22E8EAC6" w14:textId="77777777" w:rsidR="00053D93" w:rsidRDefault="00260B75">
            <w:pPr>
              <w:spacing w:line="216" w:lineRule="auto"/>
              <w:jc w:val="center"/>
            </w:pPr>
            <w:r>
              <w:rPr>
                <w:sz w:val="18"/>
              </w:rPr>
              <w:t>Porcentaje Ejecución</w:t>
            </w:r>
          </w:p>
          <w:p w14:paraId="5C836AFF" w14:textId="77777777" w:rsidR="00053D93" w:rsidRDefault="00260B75">
            <w:pPr>
              <w:ind w:right="21"/>
              <w:jc w:val="center"/>
            </w:pPr>
            <w:r>
              <w:rPr>
                <w:sz w:val="18"/>
              </w:rPr>
              <w:t>Financiera</w:t>
            </w:r>
          </w:p>
        </w:tc>
        <w:tc>
          <w:tcPr>
            <w:tcW w:w="1104" w:type="dxa"/>
            <w:tcBorders>
              <w:top w:val="single" w:sz="2" w:space="0" w:color="000000"/>
              <w:left w:val="single" w:sz="2" w:space="0" w:color="000000"/>
              <w:bottom w:val="single" w:sz="2" w:space="0" w:color="000000"/>
              <w:right w:val="single" w:sz="2" w:space="0" w:color="000000"/>
            </w:tcBorders>
          </w:tcPr>
          <w:p w14:paraId="38AC93E6" w14:textId="77777777" w:rsidR="00053D93" w:rsidRDefault="00260B75">
            <w:pPr>
              <w:ind w:right="2"/>
              <w:jc w:val="center"/>
            </w:pPr>
            <w:r>
              <w:rPr>
                <w:sz w:val="18"/>
              </w:rPr>
              <w:t>Porcentaje</w:t>
            </w:r>
          </w:p>
          <w:p w14:paraId="4FB2C189" w14:textId="77777777" w:rsidR="00053D93" w:rsidRDefault="00260B75">
            <w:pPr>
              <w:jc w:val="center"/>
            </w:pPr>
            <w:r>
              <w:rPr>
                <w:sz w:val="20"/>
              </w:rPr>
              <w:t>Ejecución Física</w:t>
            </w:r>
          </w:p>
        </w:tc>
      </w:tr>
      <w:tr w:rsidR="00053D93" w14:paraId="3536F9F3" w14:textId="77777777">
        <w:trPr>
          <w:trHeight w:val="1178"/>
        </w:trPr>
        <w:tc>
          <w:tcPr>
            <w:tcW w:w="461" w:type="dxa"/>
            <w:tcBorders>
              <w:top w:val="single" w:sz="2" w:space="0" w:color="000000"/>
              <w:left w:val="single" w:sz="2" w:space="0" w:color="000000"/>
              <w:bottom w:val="single" w:sz="2" w:space="0" w:color="000000"/>
              <w:right w:val="single" w:sz="2" w:space="0" w:color="000000"/>
            </w:tcBorders>
          </w:tcPr>
          <w:p w14:paraId="75335BD5" w14:textId="77777777" w:rsidR="00053D93" w:rsidRDefault="00053D93"/>
        </w:tc>
        <w:tc>
          <w:tcPr>
            <w:tcW w:w="3653" w:type="dxa"/>
            <w:tcBorders>
              <w:top w:val="single" w:sz="2" w:space="0" w:color="000000"/>
              <w:left w:val="single" w:sz="2" w:space="0" w:color="000000"/>
              <w:bottom w:val="single" w:sz="2" w:space="0" w:color="000000"/>
              <w:right w:val="single" w:sz="2" w:space="0" w:color="000000"/>
            </w:tcBorders>
          </w:tcPr>
          <w:p w14:paraId="4E56F64F" w14:textId="77777777" w:rsidR="00053D93" w:rsidRDefault="00260B75">
            <w:pPr>
              <w:ind w:firstLine="7"/>
              <w:jc w:val="both"/>
            </w:pPr>
            <w:r>
              <w:rPr>
                <w:sz w:val="20"/>
              </w:rPr>
              <w:t>1-030/2023-MINEDUC SERVICIO DE IMPRESIÓN DE TEXTOS PARA NIÑOS DE PRIMER GRADO DEL NIVEL DE EDUCACIÓN PRIMARIA Y TEXTOS DE MI LIBRO DE LECTURAS PRIMER GRADO PRIMARIA. PARA USO EN 2024, A SOLICITUD DE LA DIGECADE.</w:t>
            </w:r>
          </w:p>
        </w:tc>
        <w:tc>
          <w:tcPr>
            <w:tcW w:w="1211" w:type="dxa"/>
            <w:tcBorders>
              <w:top w:val="single" w:sz="2" w:space="0" w:color="000000"/>
              <w:left w:val="single" w:sz="2" w:space="0" w:color="000000"/>
              <w:bottom w:val="single" w:sz="2" w:space="0" w:color="000000"/>
              <w:right w:val="single" w:sz="2" w:space="0" w:color="000000"/>
            </w:tcBorders>
          </w:tcPr>
          <w:p w14:paraId="79341F52" w14:textId="77777777" w:rsidR="00053D93" w:rsidRDefault="00053D93"/>
        </w:tc>
        <w:tc>
          <w:tcPr>
            <w:tcW w:w="922" w:type="dxa"/>
            <w:tcBorders>
              <w:top w:val="single" w:sz="2" w:space="0" w:color="000000"/>
              <w:left w:val="single" w:sz="2" w:space="0" w:color="000000"/>
              <w:bottom w:val="single" w:sz="2" w:space="0" w:color="000000"/>
              <w:right w:val="single" w:sz="2" w:space="0" w:color="000000"/>
            </w:tcBorders>
          </w:tcPr>
          <w:p w14:paraId="5FA278D6" w14:textId="77777777" w:rsidR="00053D93" w:rsidRDefault="00260B75">
            <w:pPr>
              <w:ind w:right="6"/>
              <w:jc w:val="center"/>
            </w:pPr>
            <w:r>
              <w:rPr>
                <w:sz w:val="16"/>
              </w:rPr>
              <w:t>1 ,531 ,510</w:t>
            </w:r>
          </w:p>
        </w:tc>
        <w:tc>
          <w:tcPr>
            <w:tcW w:w="1109" w:type="dxa"/>
            <w:tcBorders>
              <w:top w:val="single" w:sz="2" w:space="0" w:color="000000"/>
              <w:left w:val="single" w:sz="2" w:space="0" w:color="000000"/>
              <w:bottom w:val="single" w:sz="2" w:space="0" w:color="000000"/>
              <w:right w:val="single" w:sz="2" w:space="0" w:color="000000"/>
            </w:tcBorders>
          </w:tcPr>
          <w:p w14:paraId="770280E1" w14:textId="77777777" w:rsidR="00053D93" w:rsidRDefault="00260B75">
            <w:pPr>
              <w:ind w:right="13"/>
              <w:jc w:val="center"/>
            </w:pPr>
            <w:r>
              <w:rPr>
                <w:sz w:val="16"/>
              </w:rPr>
              <w:t>17.60%</w:t>
            </w:r>
          </w:p>
        </w:tc>
        <w:tc>
          <w:tcPr>
            <w:tcW w:w="1104" w:type="dxa"/>
            <w:tcBorders>
              <w:top w:val="single" w:sz="2" w:space="0" w:color="000000"/>
              <w:left w:val="single" w:sz="2" w:space="0" w:color="000000"/>
              <w:bottom w:val="single" w:sz="2" w:space="0" w:color="000000"/>
              <w:right w:val="single" w:sz="2" w:space="0" w:color="000000"/>
            </w:tcBorders>
          </w:tcPr>
          <w:p w14:paraId="36174175" w14:textId="77777777" w:rsidR="00053D93" w:rsidRDefault="00260B75">
            <w:pPr>
              <w:ind w:right="2"/>
              <w:jc w:val="center"/>
            </w:pPr>
            <w:r>
              <w:rPr>
                <w:sz w:val="16"/>
              </w:rPr>
              <w:t>24.95%</w:t>
            </w:r>
          </w:p>
        </w:tc>
      </w:tr>
      <w:tr w:rsidR="00053D93" w14:paraId="461D0F0D" w14:textId="77777777">
        <w:trPr>
          <w:trHeight w:val="338"/>
        </w:trPr>
        <w:tc>
          <w:tcPr>
            <w:tcW w:w="461" w:type="dxa"/>
            <w:tcBorders>
              <w:top w:val="single" w:sz="2" w:space="0" w:color="000000"/>
              <w:left w:val="single" w:sz="2" w:space="0" w:color="000000"/>
              <w:bottom w:val="single" w:sz="2" w:space="0" w:color="000000"/>
              <w:right w:val="single" w:sz="2" w:space="0" w:color="000000"/>
            </w:tcBorders>
          </w:tcPr>
          <w:p w14:paraId="191FADF4" w14:textId="77777777" w:rsidR="00053D93" w:rsidRDefault="00260B75">
            <w:pPr>
              <w:ind w:right="12"/>
              <w:jc w:val="center"/>
            </w:pPr>
            <w:r>
              <w:rPr>
                <w:sz w:val="16"/>
              </w:rPr>
              <w:t>2</w:t>
            </w:r>
          </w:p>
        </w:tc>
        <w:tc>
          <w:tcPr>
            <w:tcW w:w="3653" w:type="dxa"/>
            <w:tcBorders>
              <w:top w:val="single" w:sz="2" w:space="0" w:color="000000"/>
              <w:left w:val="single" w:sz="2" w:space="0" w:color="000000"/>
              <w:bottom w:val="single" w:sz="2" w:space="0" w:color="000000"/>
              <w:right w:val="single" w:sz="2" w:space="0" w:color="000000"/>
            </w:tcBorders>
            <w:vAlign w:val="bottom"/>
          </w:tcPr>
          <w:p w14:paraId="6F6138D6" w14:textId="77777777" w:rsidR="00053D93" w:rsidRDefault="00260B75">
            <w:pPr>
              <w:ind w:left="1224" w:hanging="1224"/>
            </w:pPr>
            <w:r>
              <w:rPr>
                <w:sz w:val="18"/>
              </w:rPr>
              <w:t>PAGO DE INSTRUMENTOS DE EVALUACIÓN TOTAL</w:t>
            </w:r>
          </w:p>
        </w:tc>
        <w:tc>
          <w:tcPr>
            <w:tcW w:w="1211" w:type="dxa"/>
            <w:tcBorders>
              <w:top w:val="single" w:sz="2" w:space="0" w:color="000000"/>
              <w:left w:val="single" w:sz="2" w:space="0" w:color="000000"/>
              <w:bottom w:val="single" w:sz="2" w:space="0" w:color="000000"/>
              <w:right w:val="single" w:sz="2" w:space="0" w:color="000000"/>
            </w:tcBorders>
          </w:tcPr>
          <w:p w14:paraId="7FCE69B7" w14:textId="77777777" w:rsidR="00053D93" w:rsidRDefault="00260B75">
            <w:pPr>
              <w:ind w:left="220"/>
            </w:pPr>
            <w:r>
              <w:rPr>
                <w:sz w:val="18"/>
              </w:rPr>
              <w:t>197.950.00</w:t>
            </w:r>
          </w:p>
        </w:tc>
        <w:tc>
          <w:tcPr>
            <w:tcW w:w="922" w:type="dxa"/>
            <w:tcBorders>
              <w:top w:val="single" w:sz="2" w:space="0" w:color="000000"/>
              <w:left w:val="single" w:sz="2" w:space="0" w:color="000000"/>
              <w:bottom w:val="single" w:sz="2" w:space="0" w:color="000000"/>
              <w:right w:val="single" w:sz="2" w:space="0" w:color="000000"/>
            </w:tcBorders>
          </w:tcPr>
          <w:p w14:paraId="2CBA9AFA" w14:textId="77777777" w:rsidR="00053D93" w:rsidRDefault="00053D93"/>
        </w:tc>
        <w:tc>
          <w:tcPr>
            <w:tcW w:w="1109" w:type="dxa"/>
            <w:tcBorders>
              <w:top w:val="single" w:sz="2" w:space="0" w:color="000000"/>
              <w:left w:val="single" w:sz="2" w:space="0" w:color="000000"/>
              <w:bottom w:val="single" w:sz="2" w:space="0" w:color="000000"/>
              <w:right w:val="single" w:sz="2" w:space="0" w:color="000000"/>
            </w:tcBorders>
            <w:vAlign w:val="bottom"/>
          </w:tcPr>
          <w:p w14:paraId="0DD8284A" w14:textId="77777777" w:rsidR="00053D93" w:rsidRDefault="00260B75">
            <w:pPr>
              <w:ind w:left="1"/>
              <w:jc w:val="center"/>
            </w:pPr>
            <w:r>
              <w:rPr>
                <w:sz w:val="16"/>
              </w:rPr>
              <w:t>17.60%</w:t>
            </w:r>
          </w:p>
        </w:tc>
        <w:tc>
          <w:tcPr>
            <w:tcW w:w="1104" w:type="dxa"/>
            <w:tcBorders>
              <w:top w:val="single" w:sz="2" w:space="0" w:color="000000"/>
              <w:left w:val="single" w:sz="2" w:space="0" w:color="000000"/>
              <w:bottom w:val="single" w:sz="2" w:space="0" w:color="000000"/>
              <w:right w:val="single" w:sz="2" w:space="0" w:color="000000"/>
            </w:tcBorders>
            <w:vAlign w:val="bottom"/>
          </w:tcPr>
          <w:p w14:paraId="388E4C97" w14:textId="77777777" w:rsidR="00053D93" w:rsidRDefault="00260B75">
            <w:pPr>
              <w:ind w:left="13"/>
              <w:jc w:val="center"/>
            </w:pPr>
            <w:r>
              <w:rPr>
                <w:sz w:val="16"/>
              </w:rPr>
              <w:t>24.95%</w:t>
            </w:r>
          </w:p>
        </w:tc>
      </w:tr>
    </w:tbl>
    <w:p w14:paraId="63D74986" w14:textId="77777777" w:rsidR="00053D93" w:rsidRDefault="00260B75">
      <w:pPr>
        <w:spacing w:after="71"/>
        <w:ind w:left="4032"/>
        <w:jc w:val="center"/>
      </w:pPr>
      <w:r>
        <w:rPr>
          <w:sz w:val="18"/>
        </w:rPr>
        <w:t>1.531,510</w:t>
      </w:r>
    </w:p>
    <w:p w14:paraId="552C97C8" w14:textId="77777777" w:rsidR="00053D93" w:rsidRDefault="00260B75">
      <w:pPr>
        <w:spacing w:after="449" w:line="265" w:lineRule="auto"/>
        <w:ind w:left="938" w:hanging="10"/>
      </w:pPr>
      <w:r>
        <w:rPr>
          <w:sz w:val="14"/>
        </w:rPr>
        <w:t xml:space="preserve">Fuente: Elaboradón propia con Información según Oficio DtGECADElSEE N. </w:t>
      </w:r>
      <w:r>
        <w:rPr>
          <w:sz w:val="14"/>
          <w:vertAlign w:val="superscript"/>
        </w:rPr>
        <w:t xml:space="preserve">c </w:t>
      </w:r>
      <w:r>
        <w:rPr>
          <w:sz w:val="14"/>
        </w:rPr>
        <w:t>90-2025.</w:t>
      </w:r>
    </w:p>
    <w:p w14:paraId="2AC7C865" w14:textId="77777777" w:rsidR="00053D93" w:rsidRDefault="00260B75">
      <w:pPr>
        <w:spacing w:after="559" w:line="250" w:lineRule="auto"/>
        <w:ind w:left="953" w:right="14" w:hanging="3"/>
        <w:jc w:val="both"/>
      </w:pPr>
      <w:r>
        <w:rPr>
          <w:sz w:val="26"/>
        </w:rPr>
        <w:t xml:space="preserve">En la misma línea del referido oficio, indicaron que, los procesos de licitación y cotización 1--026/2024-MINEDUC, L-030/2024-MlNEDUC, L-37/2024-MlNEDUC y C-042/2024-MlNEDUC; contában con un monto reservado de </w:t>
      </w:r>
      <w:r>
        <w:rPr>
          <w:noProof/>
        </w:rPr>
        <w:drawing>
          <wp:inline distT="0" distB="0" distL="0" distR="0" wp14:anchorId="6FF9713B" wp14:editId="4F79C95D">
            <wp:extent cx="1019556" cy="132588"/>
            <wp:effectExtent l="0" t="0" r="0" b="0"/>
            <wp:docPr id="1265357" name="Picture 1265357"/>
            <wp:cNvGraphicFramePr/>
            <a:graphic xmlns:a="http://schemas.openxmlformats.org/drawingml/2006/main">
              <a:graphicData uri="http://schemas.openxmlformats.org/drawingml/2006/picture">
                <pic:pic xmlns:pic="http://schemas.openxmlformats.org/drawingml/2006/picture">
                  <pic:nvPicPr>
                    <pic:cNvPr id="1265357" name="Picture 1265357"/>
                    <pic:cNvPicPr/>
                  </pic:nvPicPr>
                  <pic:blipFill>
                    <a:blip r:embed="rId1694"/>
                    <a:stretch>
                      <a:fillRect/>
                    </a:stretch>
                  </pic:blipFill>
                  <pic:spPr>
                    <a:xfrm>
                      <a:off x="0" y="0"/>
                      <a:ext cx="1019556" cy="132588"/>
                    </a:xfrm>
                    <a:prstGeom prst="rect">
                      <a:avLst/>
                    </a:prstGeom>
                  </pic:spPr>
                </pic:pic>
              </a:graphicData>
            </a:graphic>
          </wp:inline>
        </w:drawing>
      </w:r>
      <w:r>
        <w:rPr>
          <w:sz w:val="26"/>
        </w:rPr>
        <w:t xml:space="preserve"> que</w:t>
      </w:r>
    </w:p>
    <w:tbl>
      <w:tblPr>
        <w:tblStyle w:val="TableGrid"/>
        <w:tblpPr w:vertAnchor="text" w:tblpX="1765" w:tblpY="29"/>
        <w:tblOverlap w:val="never"/>
        <w:tblW w:w="7653" w:type="dxa"/>
        <w:tblInd w:w="0" w:type="dxa"/>
        <w:tblCellMar>
          <w:top w:w="50" w:type="dxa"/>
          <w:left w:w="1785" w:type="dxa"/>
          <w:right w:w="115" w:type="dxa"/>
        </w:tblCellMar>
        <w:tblLook w:val="04A0" w:firstRow="1" w:lastRow="0" w:firstColumn="1" w:lastColumn="0" w:noHBand="0" w:noVBand="1"/>
      </w:tblPr>
      <w:tblGrid>
        <w:gridCol w:w="7653"/>
      </w:tblGrid>
      <w:tr w:rsidR="00053D93" w14:paraId="071511DB" w14:textId="77777777">
        <w:trPr>
          <w:trHeight w:val="612"/>
        </w:trPr>
        <w:tc>
          <w:tcPr>
            <w:tcW w:w="7653" w:type="dxa"/>
            <w:tcBorders>
              <w:top w:val="single" w:sz="2" w:space="0" w:color="000000"/>
              <w:left w:val="single" w:sz="2" w:space="0" w:color="000000"/>
              <w:bottom w:val="nil"/>
              <w:right w:val="nil"/>
            </w:tcBorders>
          </w:tcPr>
          <w:p w14:paraId="4D5FA461" w14:textId="77777777" w:rsidR="00053D93" w:rsidRDefault="00260B75">
            <w:pPr>
              <w:ind w:left="828"/>
            </w:pPr>
            <w:r>
              <w:rPr>
                <w:sz w:val="14"/>
              </w:rPr>
              <w:t>MINISTERIO DE EDUCACION</w:t>
            </w:r>
          </w:p>
          <w:p w14:paraId="69320756" w14:textId="77777777" w:rsidR="00053D93" w:rsidRDefault="00260B75">
            <w:pPr>
              <w:ind w:left="338"/>
            </w:pPr>
            <w:r>
              <w:rPr>
                <w:sz w:val="14"/>
              </w:rPr>
              <w:t>AUDITORIA FINANCIERA Y DE CUMPLIMIENTO</w:t>
            </w:r>
          </w:p>
          <w:p w14:paraId="3F504FE0" w14:textId="77777777" w:rsidR="00053D93" w:rsidRDefault="00260B75">
            <w:r>
              <w:rPr>
                <w:sz w:val="14"/>
              </w:rPr>
              <w:t>PERIODO DEL 01 DE ENERO AL 31 OE OICIEMBRE DE 2024</w:t>
            </w:r>
          </w:p>
        </w:tc>
      </w:tr>
    </w:tbl>
    <w:p w14:paraId="4E5AAAFE" w14:textId="77777777" w:rsidR="00053D93" w:rsidRDefault="00260B75">
      <w:pPr>
        <w:pStyle w:val="Ttulo2"/>
        <w:ind w:left="-5" w:right="79"/>
      </w:pPr>
      <w:r>
        <w:t>III</w:t>
      </w:r>
      <w:r>
        <w:rPr>
          <w:noProof/>
        </w:rPr>
        <w:drawing>
          <wp:inline distT="0" distB="0" distL="0" distR="0" wp14:anchorId="0E2EC20A" wp14:editId="32D6B786">
            <wp:extent cx="932688" cy="411480"/>
            <wp:effectExtent l="0" t="0" r="0" b="0"/>
            <wp:docPr id="1265358" name="Picture 1265358"/>
            <wp:cNvGraphicFramePr/>
            <a:graphic xmlns:a="http://schemas.openxmlformats.org/drawingml/2006/main">
              <a:graphicData uri="http://schemas.openxmlformats.org/drawingml/2006/picture">
                <pic:pic xmlns:pic="http://schemas.openxmlformats.org/drawingml/2006/picture">
                  <pic:nvPicPr>
                    <pic:cNvPr id="1265358" name="Picture 1265358"/>
                    <pic:cNvPicPr/>
                  </pic:nvPicPr>
                  <pic:blipFill>
                    <a:blip r:embed="rId1695"/>
                    <a:stretch>
                      <a:fillRect/>
                    </a:stretch>
                  </pic:blipFill>
                  <pic:spPr>
                    <a:xfrm>
                      <a:off x="0" y="0"/>
                      <a:ext cx="932688" cy="411480"/>
                    </a:xfrm>
                    <a:prstGeom prst="rect">
                      <a:avLst/>
                    </a:prstGeom>
                  </pic:spPr>
                </pic:pic>
              </a:graphicData>
            </a:graphic>
          </wp:inline>
        </w:drawing>
      </w:r>
    </w:p>
    <w:p w14:paraId="075EA11A" w14:textId="77777777" w:rsidR="00053D93" w:rsidRDefault="00260B75">
      <w:pPr>
        <w:spacing w:after="192" w:line="265" w:lineRule="auto"/>
        <w:ind w:left="1637" w:right="749" w:hanging="10"/>
        <w:jc w:val="center"/>
      </w:pPr>
      <w:r>
        <w:rPr>
          <w:sz w:val="12"/>
        </w:rPr>
        <w:t>220</w:t>
      </w:r>
    </w:p>
    <w:p w14:paraId="54571938" w14:textId="77777777" w:rsidR="00053D93" w:rsidRDefault="00260B75">
      <w:pPr>
        <w:spacing w:after="39"/>
        <w:ind w:left="922"/>
      </w:pPr>
      <w:r>
        <w:rPr>
          <w:noProof/>
        </w:rPr>
        <mc:AlternateContent>
          <mc:Choice Requires="wpg">
            <w:drawing>
              <wp:inline distT="0" distB="0" distL="0" distR="0" wp14:anchorId="724B6ADD" wp14:editId="524FA2A9">
                <wp:extent cx="5376672" cy="9144"/>
                <wp:effectExtent l="0" t="0" r="0" b="0"/>
                <wp:docPr id="2458964" name="Group 2458964"/>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8963" name="Shape 2458963"/>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8964" style="width:423.36pt;height:0.719994pt;mso-position-horizontal-relative:char;mso-position-vertical-relative:line" coordsize="53766,91">
                <v:shape id="Shape 2458963" style="position:absolute;width:53766;height:91;left:0;top:0;" coordsize="5376672,9144" path="m0,4572l5376672,4572">
                  <v:stroke weight="0.719994pt" endcap="flat" joinstyle="miter" miterlimit="1" on="true" color="#000000"/>
                  <v:fill on="false" color="#000000"/>
                </v:shape>
              </v:group>
            </w:pict>
          </mc:Fallback>
        </mc:AlternateContent>
      </w:r>
    </w:p>
    <w:p w14:paraId="2C6F4AB8" w14:textId="77777777" w:rsidR="00053D93" w:rsidRDefault="00260B75">
      <w:pPr>
        <w:spacing w:after="12" w:line="250" w:lineRule="auto"/>
        <w:ind w:left="939" w:right="14" w:hanging="3"/>
        <w:jc w:val="both"/>
      </w:pPr>
      <w:r>
        <w:rPr>
          <w:sz w:val="26"/>
        </w:rPr>
        <w:t xml:space="preserve">representa un 82.40 </w:t>
      </w:r>
      <w:r>
        <w:rPr>
          <w:sz w:val="26"/>
          <w:vertAlign w:val="superscript"/>
        </w:rPr>
        <w:t>0</w:t>
      </w:r>
      <w:r>
        <w:rPr>
          <w:sz w:val="26"/>
        </w:rPr>
        <w:t>/0 del presupuesto correspondiente al año 2024, evidenciando que existía disponibilidad presupuestaria; sin embargo, manifestaron que, existieron factores en los procesos de licitación en el Sistema de Información de Contrataciones y Adquisiciones del Estado -GUATECOMPRAS- que son ajenos a la Unidad Ejecutora, por lo que, el pago y liquidación de las licitaciones y cotización fueron trasladados para ei año 2025; como se detalla a continuación:</w:t>
      </w:r>
    </w:p>
    <w:tbl>
      <w:tblPr>
        <w:tblStyle w:val="TableGrid"/>
        <w:tblW w:w="8453" w:type="dxa"/>
        <w:tblInd w:w="941" w:type="dxa"/>
        <w:tblCellMar>
          <w:left w:w="118" w:type="dxa"/>
          <w:right w:w="120" w:type="dxa"/>
        </w:tblCellMar>
        <w:tblLook w:val="04A0" w:firstRow="1" w:lastRow="0" w:firstColumn="1" w:lastColumn="0" w:noHBand="0" w:noVBand="1"/>
      </w:tblPr>
      <w:tblGrid>
        <w:gridCol w:w="552"/>
        <w:gridCol w:w="3932"/>
        <w:gridCol w:w="1898"/>
        <w:gridCol w:w="2071"/>
      </w:tblGrid>
      <w:tr w:rsidR="00053D93" w14:paraId="4550F33D" w14:textId="77777777">
        <w:trPr>
          <w:trHeight w:val="259"/>
        </w:trPr>
        <w:tc>
          <w:tcPr>
            <w:tcW w:w="502" w:type="dxa"/>
            <w:tcBorders>
              <w:top w:val="single" w:sz="2" w:space="0" w:color="000000"/>
              <w:left w:val="single" w:sz="2" w:space="0" w:color="000000"/>
              <w:bottom w:val="single" w:sz="2" w:space="0" w:color="000000"/>
              <w:right w:val="single" w:sz="2" w:space="0" w:color="000000"/>
            </w:tcBorders>
          </w:tcPr>
          <w:p w14:paraId="4492325C" w14:textId="77777777" w:rsidR="00053D93" w:rsidRDefault="00260B75">
            <w:r>
              <w:t>No.</w:t>
            </w:r>
          </w:p>
        </w:tc>
        <w:tc>
          <w:tcPr>
            <w:tcW w:w="3964" w:type="dxa"/>
            <w:tcBorders>
              <w:top w:val="single" w:sz="2" w:space="0" w:color="000000"/>
              <w:left w:val="single" w:sz="2" w:space="0" w:color="000000"/>
              <w:bottom w:val="single" w:sz="2" w:space="0" w:color="000000"/>
              <w:right w:val="single" w:sz="2" w:space="0" w:color="000000"/>
            </w:tcBorders>
          </w:tcPr>
          <w:p w14:paraId="37A2D222" w14:textId="77777777" w:rsidR="00053D93" w:rsidRDefault="00260B75">
            <w:pPr>
              <w:ind w:right="1"/>
              <w:jc w:val="center"/>
            </w:pPr>
            <w:r>
              <w:t>Licitación I Cotización</w:t>
            </w:r>
          </w:p>
        </w:tc>
        <w:tc>
          <w:tcPr>
            <w:tcW w:w="1904" w:type="dxa"/>
            <w:tcBorders>
              <w:top w:val="single" w:sz="2" w:space="0" w:color="000000"/>
              <w:left w:val="single" w:sz="2" w:space="0" w:color="000000"/>
              <w:bottom w:val="single" w:sz="2" w:space="0" w:color="000000"/>
              <w:right w:val="single" w:sz="2" w:space="0" w:color="000000"/>
            </w:tcBorders>
          </w:tcPr>
          <w:p w14:paraId="7C642C9A" w14:textId="77777777" w:rsidR="00053D93" w:rsidRDefault="00260B75">
            <w:pPr>
              <w:ind w:right="8"/>
              <w:jc w:val="center"/>
            </w:pPr>
            <w:r>
              <w:rPr>
                <w:sz w:val="20"/>
              </w:rPr>
              <w:t>Monto Q.</w:t>
            </w:r>
          </w:p>
        </w:tc>
        <w:tc>
          <w:tcPr>
            <w:tcW w:w="2083" w:type="dxa"/>
            <w:tcBorders>
              <w:top w:val="single" w:sz="2" w:space="0" w:color="000000"/>
              <w:left w:val="single" w:sz="2" w:space="0" w:color="000000"/>
              <w:bottom w:val="single" w:sz="2" w:space="0" w:color="000000"/>
              <w:right w:val="single" w:sz="2" w:space="0" w:color="000000"/>
            </w:tcBorders>
          </w:tcPr>
          <w:p w14:paraId="2A101060" w14:textId="77777777" w:rsidR="00053D93" w:rsidRDefault="00260B75">
            <w:pPr>
              <w:ind w:left="2"/>
              <w:jc w:val="center"/>
            </w:pPr>
            <w:r>
              <w:rPr>
                <w:sz w:val="20"/>
              </w:rPr>
              <w:t>Cantidad de Textos</w:t>
            </w:r>
          </w:p>
        </w:tc>
      </w:tr>
      <w:tr w:rsidR="00053D93" w14:paraId="024C423D" w14:textId="77777777">
        <w:trPr>
          <w:trHeight w:val="372"/>
        </w:trPr>
        <w:tc>
          <w:tcPr>
            <w:tcW w:w="502" w:type="dxa"/>
            <w:tcBorders>
              <w:top w:val="single" w:sz="2" w:space="0" w:color="000000"/>
              <w:left w:val="single" w:sz="2" w:space="0" w:color="000000"/>
              <w:bottom w:val="single" w:sz="2" w:space="0" w:color="000000"/>
              <w:right w:val="single" w:sz="2" w:space="0" w:color="000000"/>
            </w:tcBorders>
          </w:tcPr>
          <w:p w14:paraId="4D90461F" w14:textId="77777777" w:rsidR="00053D93" w:rsidRDefault="00260B75">
            <w:pPr>
              <w:ind w:right="27"/>
              <w:jc w:val="center"/>
            </w:pPr>
            <w:r>
              <w:rPr>
                <w:sz w:val="20"/>
              </w:rPr>
              <w:t>1</w:t>
            </w:r>
          </w:p>
        </w:tc>
        <w:tc>
          <w:tcPr>
            <w:tcW w:w="3964" w:type="dxa"/>
            <w:tcBorders>
              <w:top w:val="single" w:sz="2" w:space="0" w:color="000000"/>
              <w:left w:val="single" w:sz="2" w:space="0" w:color="000000"/>
              <w:bottom w:val="single" w:sz="2" w:space="0" w:color="000000"/>
              <w:right w:val="single" w:sz="2" w:space="0" w:color="000000"/>
            </w:tcBorders>
          </w:tcPr>
          <w:p w14:paraId="32DF00BC" w14:textId="77777777" w:rsidR="00053D93" w:rsidRDefault="00260B75">
            <w:pPr>
              <w:ind w:left="9"/>
            </w:pPr>
            <w:r>
              <w:rPr>
                <w:sz w:val="20"/>
              </w:rPr>
              <w:t>1-026/2024-MINEDUC</w:t>
            </w:r>
          </w:p>
        </w:tc>
        <w:tc>
          <w:tcPr>
            <w:tcW w:w="1904" w:type="dxa"/>
            <w:tcBorders>
              <w:top w:val="single" w:sz="2" w:space="0" w:color="000000"/>
              <w:left w:val="single" w:sz="2" w:space="0" w:color="000000"/>
              <w:bottom w:val="single" w:sz="2" w:space="0" w:color="000000"/>
              <w:right w:val="single" w:sz="2" w:space="0" w:color="000000"/>
            </w:tcBorders>
          </w:tcPr>
          <w:p w14:paraId="302BEE3C" w14:textId="77777777" w:rsidR="00053D93" w:rsidRDefault="00260B75">
            <w:pPr>
              <w:ind w:right="5"/>
              <w:jc w:val="right"/>
            </w:pPr>
            <w:r>
              <w:rPr>
                <w:sz w:val="20"/>
              </w:rPr>
              <w:t>27,967.682.07</w:t>
            </w:r>
          </w:p>
        </w:tc>
        <w:tc>
          <w:tcPr>
            <w:tcW w:w="2083" w:type="dxa"/>
            <w:tcBorders>
              <w:top w:val="single" w:sz="2" w:space="0" w:color="000000"/>
              <w:left w:val="single" w:sz="2" w:space="0" w:color="000000"/>
              <w:bottom w:val="single" w:sz="2" w:space="0" w:color="000000"/>
              <w:right w:val="single" w:sz="2" w:space="0" w:color="000000"/>
            </w:tcBorders>
          </w:tcPr>
          <w:p w14:paraId="205F47A5" w14:textId="77777777" w:rsidR="00053D93" w:rsidRDefault="00260B75">
            <w:pPr>
              <w:jc w:val="right"/>
            </w:pPr>
            <w:r>
              <w:rPr>
                <w:sz w:val="20"/>
              </w:rPr>
              <w:t>3.444,024</w:t>
            </w:r>
          </w:p>
        </w:tc>
      </w:tr>
      <w:tr w:rsidR="00053D93" w14:paraId="44019664" w14:textId="77777777">
        <w:trPr>
          <w:trHeight w:val="370"/>
        </w:trPr>
        <w:tc>
          <w:tcPr>
            <w:tcW w:w="502" w:type="dxa"/>
            <w:tcBorders>
              <w:top w:val="single" w:sz="2" w:space="0" w:color="000000"/>
              <w:left w:val="single" w:sz="2" w:space="0" w:color="000000"/>
              <w:bottom w:val="single" w:sz="2" w:space="0" w:color="000000"/>
              <w:right w:val="single" w:sz="2" w:space="0" w:color="000000"/>
            </w:tcBorders>
          </w:tcPr>
          <w:p w14:paraId="4295C19A" w14:textId="77777777" w:rsidR="00053D93" w:rsidRDefault="00260B75">
            <w:pPr>
              <w:spacing w:after="7"/>
              <w:ind w:right="13"/>
              <w:jc w:val="center"/>
            </w:pPr>
            <w:r>
              <w:rPr>
                <w:sz w:val="18"/>
              </w:rPr>
              <w:t>2</w:t>
            </w:r>
          </w:p>
          <w:p w14:paraId="06310792" w14:textId="77777777" w:rsidR="00053D93" w:rsidRDefault="00260B75">
            <w:pPr>
              <w:ind w:right="13"/>
              <w:jc w:val="center"/>
            </w:pPr>
            <w:r>
              <w:t>3</w:t>
            </w:r>
          </w:p>
        </w:tc>
        <w:tc>
          <w:tcPr>
            <w:tcW w:w="3964" w:type="dxa"/>
            <w:tcBorders>
              <w:top w:val="single" w:sz="2" w:space="0" w:color="000000"/>
              <w:left w:val="single" w:sz="2" w:space="0" w:color="000000"/>
              <w:bottom w:val="single" w:sz="2" w:space="0" w:color="000000"/>
              <w:right w:val="single" w:sz="2" w:space="0" w:color="000000"/>
            </w:tcBorders>
          </w:tcPr>
          <w:p w14:paraId="21FC0F42" w14:textId="77777777" w:rsidR="00053D93" w:rsidRDefault="00260B75">
            <w:pPr>
              <w:ind w:left="9"/>
            </w:pPr>
            <w:r>
              <w:rPr>
                <w:sz w:val="20"/>
              </w:rPr>
              <w:t>1-030/2024-MINEDOC</w:t>
            </w:r>
          </w:p>
          <w:p w14:paraId="5DE218B0" w14:textId="77777777" w:rsidR="00053D93" w:rsidRDefault="00260B75">
            <w:pPr>
              <w:ind w:left="9"/>
            </w:pPr>
            <w:r>
              <w:rPr>
                <w:sz w:val="18"/>
              </w:rPr>
              <w:t>1-3712024-MINEDUC</w:t>
            </w:r>
          </w:p>
        </w:tc>
        <w:tc>
          <w:tcPr>
            <w:tcW w:w="1904" w:type="dxa"/>
            <w:tcBorders>
              <w:top w:val="single" w:sz="2" w:space="0" w:color="000000"/>
              <w:left w:val="single" w:sz="2" w:space="0" w:color="000000"/>
              <w:bottom w:val="single" w:sz="2" w:space="0" w:color="000000"/>
              <w:right w:val="single" w:sz="2" w:space="0" w:color="000000"/>
            </w:tcBorders>
            <w:vAlign w:val="bottom"/>
          </w:tcPr>
          <w:p w14:paraId="45D9FD3E" w14:textId="77777777" w:rsidR="00053D93" w:rsidRDefault="00260B75">
            <w:pPr>
              <w:ind w:right="5"/>
              <w:jc w:val="right"/>
            </w:pPr>
            <w:r>
              <w:rPr>
                <w:sz w:val="18"/>
              </w:rPr>
              <w:t>3,761 1832.82</w:t>
            </w:r>
          </w:p>
        </w:tc>
        <w:tc>
          <w:tcPr>
            <w:tcW w:w="2083" w:type="dxa"/>
            <w:tcBorders>
              <w:top w:val="single" w:sz="2" w:space="0" w:color="000000"/>
              <w:left w:val="single" w:sz="2" w:space="0" w:color="000000"/>
              <w:bottom w:val="single" w:sz="2" w:space="0" w:color="000000"/>
              <w:right w:val="single" w:sz="2" w:space="0" w:color="000000"/>
            </w:tcBorders>
            <w:vAlign w:val="bottom"/>
          </w:tcPr>
          <w:p w14:paraId="56D4FD2D" w14:textId="77777777" w:rsidR="00053D93" w:rsidRDefault="00260B75">
            <w:pPr>
              <w:jc w:val="right"/>
            </w:pPr>
            <w:r>
              <w:rPr>
                <w:sz w:val="20"/>
              </w:rPr>
              <w:t>766,276</w:t>
            </w:r>
          </w:p>
        </w:tc>
      </w:tr>
      <w:tr w:rsidR="00053D93" w14:paraId="76D011A4" w14:textId="77777777">
        <w:trPr>
          <w:trHeight w:val="379"/>
        </w:trPr>
        <w:tc>
          <w:tcPr>
            <w:tcW w:w="502" w:type="dxa"/>
            <w:tcBorders>
              <w:top w:val="single" w:sz="2" w:space="0" w:color="000000"/>
              <w:left w:val="single" w:sz="2" w:space="0" w:color="000000"/>
              <w:bottom w:val="single" w:sz="2" w:space="0" w:color="000000"/>
              <w:right w:val="single" w:sz="2" w:space="0" w:color="000000"/>
            </w:tcBorders>
          </w:tcPr>
          <w:p w14:paraId="0BF35B83" w14:textId="77777777" w:rsidR="00053D93" w:rsidRDefault="00260B75">
            <w:pPr>
              <w:ind w:right="20"/>
              <w:jc w:val="center"/>
            </w:pPr>
            <w:r>
              <w:rPr>
                <w:sz w:val="20"/>
              </w:rPr>
              <w:t>4</w:t>
            </w:r>
          </w:p>
        </w:tc>
        <w:tc>
          <w:tcPr>
            <w:tcW w:w="3964" w:type="dxa"/>
            <w:tcBorders>
              <w:top w:val="single" w:sz="2" w:space="0" w:color="000000"/>
              <w:left w:val="single" w:sz="2" w:space="0" w:color="000000"/>
              <w:bottom w:val="single" w:sz="2" w:space="0" w:color="000000"/>
              <w:right w:val="single" w:sz="2" w:space="0" w:color="000000"/>
            </w:tcBorders>
            <w:vAlign w:val="bottom"/>
          </w:tcPr>
          <w:p w14:paraId="120A7A9F" w14:textId="77777777" w:rsidR="00053D93" w:rsidRDefault="00260B75">
            <w:pPr>
              <w:ind w:left="2"/>
            </w:pPr>
            <w:r>
              <w:rPr>
                <w:sz w:val="20"/>
              </w:rPr>
              <w:t>C-042/2024-MINEDUC</w:t>
            </w:r>
          </w:p>
          <w:p w14:paraId="370EEAEC" w14:textId="77777777" w:rsidR="00053D93" w:rsidRDefault="00260B75">
            <w:pPr>
              <w:ind w:left="9"/>
            </w:pPr>
            <w:r>
              <w:rPr>
                <w:sz w:val="18"/>
              </w:rPr>
              <w:t xml:space="preserve">Monto </w:t>
            </w:r>
          </w:p>
        </w:tc>
        <w:tc>
          <w:tcPr>
            <w:tcW w:w="1904" w:type="dxa"/>
            <w:tcBorders>
              <w:top w:val="single" w:sz="2" w:space="0" w:color="000000"/>
              <w:left w:val="single" w:sz="2" w:space="0" w:color="000000"/>
              <w:bottom w:val="single" w:sz="2" w:space="0" w:color="000000"/>
              <w:right w:val="single" w:sz="2" w:space="0" w:color="000000"/>
            </w:tcBorders>
          </w:tcPr>
          <w:p w14:paraId="52572C4F" w14:textId="77777777" w:rsidR="00053D93" w:rsidRDefault="00260B75">
            <w:pPr>
              <w:ind w:right="5"/>
              <w:jc w:val="right"/>
            </w:pPr>
            <w:r>
              <w:rPr>
                <w:sz w:val="20"/>
              </w:rPr>
              <w:t>430.775.12</w:t>
            </w:r>
          </w:p>
        </w:tc>
        <w:tc>
          <w:tcPr>
            <w:tcW w:w="2083" w:type="dxa"/>
            <w:tcBorders>
              <w:top w:val="single" w:sz="2" w:space="0" w:color="000000"/>
              <w:left w:val="single" w:sz="2" w:space="0" w:color="000000"/>
              <w:bottom w:val="single" w:sz="2" w:space="0" w:color="000000"/>
              <w:right w:val="single" w:sz="2" w:space="0" w:color="000000"/>
            </w:tcBorders>
          </w:tcPr>
          <w:p w14:paraId="754BC4F6" w14:textId="77777777" w:rsidR="00053D93" w:rsidRDefault="00260B75">
            <w:pPr>
              <w:jc w:val="right"/>
            </w:pPr>
            <w:r>
              <w:rPr>
                <w:sz w:val="20"/>
              </w:rPr>
              <w:t>32,984</w:t>
            </w:r>
          </w:p>
        </w:tc>
      </w:tr>
      <w:tr w:rsidR="00053D93" w14:paraId="77D20446" w14:textId="77777777">
        <w:trPr>
          <w:trHeight w:val="388"/>
        </w:trPr>
        <w:tc>
          <w:tcPr>
            <w:tcW w:w="502" w:type="dxa"/>
            <w:tcBorders>
              <w:top w:val="single" w:sz="2" w:space="0" w:color="000000"/>
              <w:left w:val="single" w:sz="2" w:space="0" w:color="000000"/>
              <w:bottom w:val="single" w:sz="2" w:space="0" w:color="000000"/>
              <w:right w:val="single" w:sz="2" w:space="0" w:color="000000"/>
            </w:tcBorders>
          </w:tcPr>
          <w:p w14:paraId="2741BF95" w14:textId="77777777" w:rsidR="00053D93" w:rsidRDefault="00053D93"/>
        </w:tc>
        <w:tc>
          <w:tcPr>
            <w:tcW w:w="3964" w:type="dxa"/>
            <w:tcBorders>
              <w:top w:val="single" w:sz="2" w:space="0" w:color="000000"/>
              <w:left w:val="single" w:sz="2" w:space="0" w:color="000000"/>
              <w:bottom w:val="single" w:sz="2" w:space="0" w:color="000000"/>
              <w:right w:val="single" w:sz="2" w:space="0" w:color="000000"/>
            </w:tcBorders>
          </w:tcPr>
          <w:p w14:paraId="205F8C79" w14:textId="77777777" w:rsidR="00053D93" w:rsidRDefault="00260B75">
            <w:pPr>
              <w:ind w:left="9" w:right="39" w:firstLine="547"/>
            </w:pPr>
            <w:r>
              <w:rPr>
                <w:sz w:val="20"/>
              </w:rPr>
              <w:t>Total Licitaciones y Cotización Posibles sobrecostos</w:t>
            </w:r>
          </w:p>
        </w:tc>
        <w:tc>
          <w:tcPr>
            <w:tcW w:w="1904" w:type="dxa"/>
            <w:tcBorders>
              <w:top w:val="single" w:sz="2" w:space="0" w:color="000000"/>
              <w:left w:val="single" w:sz="2" w:space="0" w:color="000000"/>
              <w:bottom w:val="single" w:sz="2" w:space="0" w:color="000000"/>
              <w:right w:val="single" w:sz="2" w:space="0" w:color="000000"/>
            </w:tcBorders>
          </w:tcPr>
          <w:p w14:paraId="0C9CD387" w14:textId="77777777" w:rsidR="00053D93" w:rsidRDefault="00053D93"/>
        </w:tc>
        <w:tc>
          <w:tcPr>
            <w:tcW w:w="2083" w:type="dxa"/>
            <w:tcBorders>
              <w:top w:val="single" w:sz="2" w:space="0" w:color="000000"/>
              <w:left w:val="single" w:sz="2" w:space="0" w:color="000000"/>
              <w:bottom w:val="single" w:sz="2" w:space="0" w:color="000000"/>
              <w:right w:val="single" w:sz="2" w:space="0" w:color="000000"/>
            </w:tcBorders>
          </w:tcPr>
          <w:p w14:paraId="776BA626" w14:textId="77777777" w:rsidR="00053D93" w:rsidRDefault="00053D93"/>
        </w:tc>
      </w:tr>
      <w:tr w:rsidR="00053D93" w14:paraId="2834A4BA" w14:textId="77777777">
        <w:trPr>
          <w:trHeight w:val="256"/>
        </w:trPr>
        <w:tc>
          <w:tcPr>
            <w:tcW w:w="502" w:type="dxa"/>
            <w:tcBorders>
              <w:top w:val="single" w:sz="2" w:space="0" w:color="000000"/>
              <w:left w:val="single" w:sz="2" w:space="0" w:color="000000"/>
              <w:bottom w:val="single" w:sz="2" w:space="0" w:color="000000"/>
              <w:right w:val="single" w:sz="2" w:space="0" w:color="000000"/>
            </w:tcBorders>
          </w:tcPr>
          <w:p w14:paraId="4EFAF707" w14:textId="77777777" w:rsidR="00053D93" w:rsidRDefault="00053D93"/>
        </w:tc>
        <w:tc>
          <w:tcPr>
            <w:tcW w:w="3964" w:type="dxa"/>
            <w:tcBorders>
              <w:top w:val="single" w:sz="2" w:space="0" w:color="000000"/>
              <w:left w:val="single" w:sz="2" w:space="0" w:color="000000"/>
              <w:bottom w:val="single" w:sz="2" w:space="0" w:color="000000"/>
              <w:right w:val="single" w:sz="2" w:space="0" w:color="000000"/>
            </w:tcBorders>
          </w:tcPr>
          <w:p w14:paraId="0CE39C4A" w14:textId="77777777" w:rsidR="00053D93" w:rsidRDefault="00260B75">
            <w:pPr>
              <w:ind w:left="9"/>
            </w:pPr>
            <w:r>
              <w:rPr>
                <w:sz w:val="20"/>
              </w:rPr>
              <w:t>Presupuesto No Ejecutado</w:t>
            </w:r>
          </w:p>
        </w:tc>
        <w:tc>
          <w:tcPr>
            <w:tcW w:w="1904" w:type="dxa"/>
            <w:tcBorders>
              <w:top w:val="single" w:sz="2" w:space="0" w:color="000000"/>
              <w:left w:val="single" w:sz="2" w:space="0" w:color="000000"/>
              <w:bottom w:val="single" w:sz="2" w:space="0" w:color="000000"/>
              <w:right w:val="single" w:sz="2" w:space="0" w:color="000000"/>
            </w:tcBorders>
          </w:tcPr>
          <w:p w14:paraId="12EF8712" w14:textId="77777777" w:rsidR="00053D93" w:rsidRDefault="00053D93"/>
        </w:tc>
        <w:tc>
          <w:tcPr>
            <w:tcW w:w="2083" w:type="dxa"/>
            <w:tcBorders>
              <w:top w:val="single" w:sz="2" w:space="0" w:color="000000"/>
              <w:left w:val="single" w:sz="2" w:space="0" w:color="000000"/>
              <w:bottom w:val="single" w:sz="2" w:space="0" w:color="000000"/>
              <w:right w:val="single" w:sz="2" w:space="0" w:color="000000"/>
            </w:tcBorders>
          </w:tcPr>
          <w:p w14:paraId="0A1D7C42" w14:textId="77777777" w:rsidR="00053D93" w:rsidRDefault="00260B75">
            <w:pPr>
              <w:ind w:left="2"/>
              <w:jc w:val="center"/>
            </w:pPr>
            <w:r>
              <w:rPr>
                <w:sz w:val="16"/>
              </w:rPr>
              <w:t>82.400/0</w:t>
            </w:r>
          </w:p>
        </w:tc>
      </w:tr>
    </w:tbl>
    <w:p w14:paraId="06A0489E" w14:textId="77777777" w:rsidR="00053D93" w:rsidRDefault="00260B75">
      <w:pPr>
        <w:spacing w:after="449" w:line="265" w:lineRule="auto"/>
        <w:ind w:left="938" w:hanging="10"/>
      </w:pPr>
      <w:r>
        <w:rPr>
          <w:sz w:val="14"/>
        </w:rPr>
        <w:t xml:space="preserve">Fuente: Elaboración propla con información según Ofido DIGECADE/SEE N. </w:t>
      </w:r>
      <w:r>
        <w:rPr>
          <w:sz w:val="14"/>
          <w:vertAlign w:val="superscript"/>
        </w:rPr>
        <w:t xml:space="preserve">0 </w:t>
      </w:r>
      <w:r>
        <w:rPr>
          <w:sz w:val="14"/>
        </w:rPr>
        <w:t>90-2025.</w:t>
      </w:r>
    </w:p>
    <w:p w14:paraId="4E0E8F18" w14:textId="77777777" w:rsidR="00053D93" w:rsidRDefault="00260B75">
      <w:pPr>
        <w:spacing w:after="12" w:line="250" w:lineRule="auto"/>
        <w:ind w:left="939" w:right="14" w:hanging="3"/>
        <w:jc w:val="both"/>
      </w:pPr>
      <w:r>
        <w:rPr>
          <w:sz w:val="26"/>
        </w:rPr>
        <w:t xml:space="preserve">En seguimiento a la acción precedente, el 12 de marzo de 2025, a través del Oficio No. CGC-DAS-03-0037-AFC-MlNEDUC-DlGECADE-30-2025, se solicitó que indicaran si [os niños y niñas de segundo, tercero, cuarto, quinto y sexto primaria recibieron textos para el ciclo escolar 2024; asimismo, que informaran y justificaran por qué las Licitaciones y Cotizaciones realizadas en el 2024 para la Impresión de Libros y Textos se trasladaron para pagarse en el año 2025; por medio del Oficio DIGECADE/SEE N.0 170-2025 del 13 de marzo de 2025, indicaron que, para el ciclo escolar 2024, no se distribuyeron textos escolares de segundo a sexto grado de primaria debido a la designación presupuestaria, la cual estaba limitada; sin embargo, los procesos de licitación y cotización L-026/2024-MlNEDUC, L-030/2024-M[NEDUC, L-37/2024-MlNEDUC y C-042/2024-MlNEDUC; contaban con un monto reservado de </w:t>
      </w:r>
      <w:r>
        <w:rPr>
          <w:noProof/>
        </w:rPr>
        <w:drawing>
          <wp:inline distT="0" distB="0" distL="0" distR="0" wp14:anchorId="54200955" wp14:editId="6C12D6D8">
            <wp:extent cx="1028700" cy="128016"/>
            <wp:effectExtent l="0" t="0" r="0" b="0"/>
            <wp:docPr id="1270465" name="Picture 1270465"/>
            <wp:cNvGraphicFramePr/>
            <a:graphic xmlns:a="http://schemas.openxmlformats.org/drawingml/2006/main">
              <a:graphicData uri="http://schemas.openxmlformats.org/drawingml/2006/picture">
                <pic:pic xmlns:pic="http://schemas.openxmlformats.org/drawingml/2006/picture">
                  <pic:nvPicPr>
                    <pic:cNvPr id="1270465" name="Picture 1270465"/>
                    <pic:cNvPicPr/>
                  </pic:nvPicPr>
                  <pic:blipFill>
                    <a:blip r:embed="rId1696"/>
                    <a:stretch>
                      <a:fillRect/>
                    </a:stretch>
                  </pic:blipFill>
                  <pic:spPr>
                    <a:xfrm>
                      <a:off x="0" y="0"/>
                      <a:ext cx="1028700" cy="128016"/>
                    </a:xfrm>
                    <a:prstGeom prst="rect">
                      <a:avLst/>
                    </a:prstGeom>
                  </pic:spPr>
                </pic:pic>
              </a:graphicData>
            </a:graphic>
          </wp:inline>
        </w:drawing>
      </w:r>
      <w:r>
        <w:rPr>
          <w:sz w:val="26"/>
        </w:rPr>
        <w:t xml:space="preserve"> que representa un 82.40 </w:t>
      </w:r>
      <w:r>
        <w:rPr>
          <w:sz w:val="26"/>
          <w:vertAlign w:val="superscript"/>
        </w:rPr>
        <w:t>0</w:t>
      </w:r>
      <w:r>
        <w:rPr>
          <w:sz w:val="26"/>
        </w:rPr>
        <w:t>/0 del presupuesto correspondiente al año 2024; evidenciándose que existía disponibilidad presupuestaria y que no estaba limitada; asimismo, informaron que, dichas licitaciones y cotizaciones corresponden a la impresión de los libros y textos de los Niveles de Educación Preprimaria y Primaria para uso en el 2025, por Io tanto, el pago pertenece al ejercicio fiscal 2025. Lo anterior, confirma el incumplimiento de metas físicas y financieras en relación con la provisión de textos escolares en los niveles; asimismo, la Dirección General de Gestión de Calidad Educativa -DIGECADE-, programó dentro del Plan Operativo Anual -POA- la provisión de textos escolares como parte de su misión, como se describe a continuación:</w:t>
      </w:r>
    </w:p>
    <w:p w14:paraId="1F946051" w14:textId="77777777" w:rsidR="00053D93" w:rsidRDefault="00260B75">
      <w:pPr>
        <w:spacing w:after="0"/>
        <w:ind w:left="7" w:right="-22"/>
      </w:pPr>
      <w:r>
        <w:rPr>
          <w:noProof/>
        </w:rPr>
        <w:drawing>
          <wp:inline distT="0" distB="0" distL="0" distR="0" wp14:anchorId="29C91BEC" wp14:editId="23410587">
            <wp:extent cx="5984749" cy="1316736"/>
            <wp:effectExtent l="0" t="0" r="0" b="0"/>
            <wp:docPr id="2458961" name="Picture 2458961"/>
            <wp:cNvGraphicFramePr/>
            <a:graphic xmlns:a="http://schemas.openxmlformats.org/drawingml/2006/main">
              <a:graphicData uri="http://schemas.openxmlformats.org/drawingml/2006/picture">
                <pic:pic xmlns:pic="http://schemas.openxmlformats.org/drawingml/2006/picture">
                  <pic:nvPicPr>
                    <pic:cNvPr id="2458961" name="Picture 2458961"/>
                    <pic:cNvPicPr/>
                  </pic:nvPicPr>
                  <pic:blipFill>
                    <a:blip r:embed="rId1697"/>
                    <a:stretch>
                      <a:fillRect/>
                    </a:stretch>
                  </pic:blipFill>
                  <pic:spPr>
                    <a:xfrm>
                      <a:off x="0" y="0"/>
                      <a:ext cx="5984749" cy="1316736"/>
                    </a:xfrm>
                    <a:prstGeom prst="rect">
                      <a:avLst/>
                    </a:prstGeom>
                  </pic:spPr>
                </pic:pic>
              </a:graphicData>
            </a:graphic>
          </wp:inline>
        </w:drawing>
      </w:r>
    </w:p>
    <w:p w14:paraId="1A3FB9AD" w14:textId="77777777" w:rsidR="00053D93" w:rsidRDefault="00053D93">
      <w:pPr>
        <w:sectPr w:rsidR="00053D93">
          <w:headerReference w:type="even" r:id="rId1698"/>
          <w:headerReference w:type="default" r:id="rId1699"/>
          <w:footerReference w:type="even" r:id="rId1700"/>
          <w:footerReference w:type="default" r:id="rId1701"/>
          <w:headerReference w:type="first" r:id="rId1702"/>
          <w:footerReference w:type="first" r:id="rId1703"/>
          <w:pgSz w:w="12290" w:h="15883"/>
          <w:pgMar w:top="864" w:right="1800" w:bottom="634" w:left="1066" w:header="662" w:footer="720" w:gutter="0"/>
          <w:cols w:space="720"/>
          <w:titlePg/>
        </w:sectPr>
      </w:pPr>
    </w:p>
    <w:p w14:paraId="19C2E8CF" w14:textId="77777777" w:rsidR="00053D93" w:rsidRDefault="00260B75">
      <w:pPr>
        <w:spacing w:after="531" w:line="265" w:lineRule="auto"/>
        <w:ind w:left="1767" w:right="101" w:hanging="10"/>
        <w:jc w:val="center"/>
      </w:pPr>
      <w:r>
        <w:rPr>
          <w:sz w:val="12"/>
        </w:rPr>
        <w:t>221</w:t>
      </w:r>
    </w:p>
    <w:tbl>
      <w:tblPr>
        <w:tblStyle w:val="TableGrid"/>
        <w:tblpPr w:vertAnchor="text" w:tblpX="1692" w:tblpY="180"/>
        <w:tblOverlap w:val="never"/>
        <w:tblW w:w="8460" w:type="dxa"/>
        <w:tblInd w:w="0" w:type="dxa"/>
        <w:tblCellMar>
          <w:top w:w="29" w:type="dxa"/>
          <w:left w:w="115" w:type="dxa"/>
          <w:right w:w="115" w:type="dxa"/>
        </w:tblCellMar>
        <w:tblLook w:val="04A0" w:firstRow="1" w:lastRow="0" w:firstColumn="1" w:lastColumn="0" w:noHBand="0" w:noVBand="1"/>
      </w:tblPr>
      <w:tblGrid>
        <w:gridCol w:w="994"/>
        <w:gridCol w:w="996"/>
        <w:gridCol w:w="1088"/>
        <w:gridCol w:w="1087"/>
        <w:gridCol w:w="1158"/>
        <w:gridCol w:w="1092"/>
        <w:gridCol w:w="1026"/>
        <w:gridCol w:w="1019"/>
      </w:tblGrid>
      <w:tr w:rsidR="00053D93" w14:paraId="2C78F8A1" w14:textId="77777777">
        <w:trPr>
          <w:trHeight w:val="583"/>
        </w:trPr>
        <w:tc>
          <w:tcPr>
            <w:tcW w:w="994" w:type="dxa"/>
            <w:tcBorders>
              <w:top w:val="single" w:sz="2" w:space="0" w:color="000000"/>
              <w:left w:val="single" w:sz="2" w:space="0" w:color="000000"/>
              <w:bottom w:val="single" w:sz="2" w:space="0" w:color="000000"/>
              <w:right w:val="single" w:sz="2" w:space="0" w:color="000000"/>
            </w:tcBorders>
          </w:tcPr>
          <w:p w14:paraId="656A0133" w14:textId="77777777" w:rsidR="00053D93" w:rsidRDefault="00053D93"/>
        </w:tc>
        <w:tc>
          <w:tcPr>
            <w:tcW w:w="996" w:type="dxa"/>
            <w:tcBorders>
              <w:top w:val="single" w:sz="2" w:space="0" w:color="000000"/>
              <w:left w:val="single" w:sz="2" w:space="0" w:color="000000"/>
              <w:bottom w:val="single" w:sz="2" w:space="0" w:color="000000"/>
              <w:right w:val="single" w:sz="2" w:space="0" w:color="000000"/>
            </w:tcBorders>
          </w:tcPr>
          <w:p w14:paraId="2EBCDD9E" w14:textId="77777777" w:rsidR="00053D93" w:rsidRDefault="00260B75">
            <w:pPr>
              <w:spacing w:after="137"/>
              <w:ind w:left="4"/>
              <w:jc w:val="center"/>
            </w:pPr>
            <w:r>
              <w:rPr>
                <w:sz w:val="18"/>
              </w:rPr>
              <w:t>ESCOLAR</w:t>
            </w:r>
          </w:p>
          <w:p w14:paraId="1E8EB2F1" w14:textId="77777777" w:rsidR="00053D93" w:rsidRDefault="00260B75">
            <w:pPr>
              <w:ind w:left="12"/>
              <w:jc w:val="center"/>
            </w:pPr>
            <w:r>
              <w:rPr>
                <w:sz w:val="16"/>
              </w:rPr>
              <w:t>PRIMARIA</w:t>
            </w:r>
          </w:p>
        </w:tc>
        <w:tc>
          <w:tcPr>
            <w:tcW w:w="1088" w:type="dxa"/>
            <w:tcBorders>
              <w:top w:val="single" w:sz="2" w:space="0" w:color="000000"/>
              <w:left w:val="single" w:sz="2" w:space="0" w:color="000000"/>
              <w:bottom w:val="single" w:sz="2" w:space="0" w:color="000000"/>
              <w:right w:val="single" w:sz="2" w:space="0" w:color="000000"/>
            </w:tcBorders>
          </w:tcPr>
          <w:p w14:paraId="63739866" w14:textId="77777777" w:rsidR="00053D93" w:rsidRDefault="00053D93"/>
        </w:tc>
        <w:tc>
          <w:tcPr>
            <w:tcW w:w="1087" w:type="dxa"/>
            <w:tcBorders>
              <w:top w:val="single" w:sz="2" w:space="0" w:color="000000"/>
              <w:left w:val="single" w:sz="2" w:space="0" w:color="000000"/>
              <w:bottom w:val="single" w:sz="2" w:space="0" w:color="000000"/>
              <w:right w:val="single" w:sz="2" w:space="0" w:color="000000"/>
            </w:tcBorders>
          </w:tcPr>
          <w:p w14:paraId="64AA5A84" w14:textId="77777777" w:rsidR="00053D93" w:rsidRDefault="00053D93"/>
        </w:tc>
        <w:tc>
          <w:tcPr>
            <w:tcW w:w="1158" w:type="dxa"/>
            <w:tcBorders>
              <w:top w:val="single" w:sz="2" w:space="0" w:color="000000"/>
              <w:left w:val="single" w:sz="2" w:space="0" w:color="000000"/>
              <w:bottom w:val="single" w:sz="2" w:space="0" w:color="000000"/>
              <w:right w:val="single" w:sz="2" w:space="0" w:color="000000"/>
            </w:tcBorders>
          </w:tcPr>
          <w:p w14:paraId="765F7582" w14:textId="77777777" w:rsidR="00053D93" w:rsidRDefault="00053D93"/>
        </w:tc>
        <w:tc>
          <w:tcPr>
            <w:tcW w:w="1092" w:type="dxa"/>
            <w:tcBorders>
              <w:top w:val="single" w:sz="2" w:space="0" w:color="000000"/>
              <w:left w:val="single" w:sz="2" w:space="0" w:color="000000"/>
              <w:bottom w:val="single" w:sz="2" w:space="0" w:color="000000"/>
              <w:right w:val="single" w:sz="2" w:space="0" w:color="000000"/>
            </w:tcBorders>
          </w:tcPr>
          <w:p w14:paraId="472BEA39" w14:textId="77777777" w:rsidR="00053D93" w:rsidRDefault="00053D93"/>
        </w:tc>
        <w:tc>
          <w:tcPr>
            <w:tcW w:w="1026" w:type="dxa"/>
            <w:tcBorders>
              <w:top w:val="single" w:sz="2" w:space="0" w:color="000000"/>
              <w:left w:val="single" w:sz="2" w:space="0" w:color="000000"/>
              <w:bottom w:val="single" w:sz="2" w:space="0" w:color="000000"/>
              <w:right w:val="single" w:sz="2" w:space="0" w:color="000000"/>
            </w:tcBorders>
          </w:tcPr>
          <w:p w14:paraId="7AC5590E" w14:textId="77777777" w:rsidR="00053D93" w:rsidRDefault="00053D93"/>
        </w:tc>
        <w:tc>
          <w:tcPr>
            <w:tcW w:w="1019" w:type="dxa"/>
            <w:tcBorders>
              <w:top w:val="single" w:sz="2" w:space="0" w:color="000000"/>
              <w:left w:val="single" w:sz="2" w:space="0" w:color="000000"/>
              <w:bottom w:val="single" w:sz="2" w:space="0" w:color="000000"/>
              <w:right w:val="single" w:sz="2" w:space="0" w:color="000000"/>
            </w:tcBorders>
          </w:tcPr>
          <w:p w14:paraId="7FF671CE" w14:textId="77777777" w:rsidR="00053D93" w:rsidRDefault="00053D93"/>
        </w:tc>
      </w:tr>
    </w:tbl>
    <w:p w14:paraId="37E6F7A7" w14:textId="77777777" w:rsidR="00053D93" w:rsidRDefault="00260B75">
      <w:pPr>
        <w:spacing w:after="3"/>
        <w:ind w:left="-55" w:hanging="10"/>
      </w:pPr>
      <w:r>
        <w:rPr>
          <w:noProof/>
        </w:rPr>
        <w:drawing>
          <wp:inline distT="0" distB="0" distL="0" distR="0" wp14:anchorId="107DC8E3" wp14:editId="449072D3">
            <wp:extent cx="59436" cy="68580"/>
            <wp:effectExtent l="0" t="0" r="0" b="0"/>
            <wp:docPr id="2458967" name="Picture 2458967"/>
            <wp:cNvGraphicFramePr/>
            <a:graphic xmlns:a="http://schemas.openxmlformats.org/drawingml/2006/main">
              <a:graphicData uri="http://schemas.openxmlformats.org/drawingml/2006/picture">
                <pic:pic xmlns:pic="http://schemas.openxmlformats.org/drawingml/2006/picture">
                  <pic:nvPicPr>
                    <pic:cNvPr id="2458967" name="Picture 2458967"/>
                    <pic:cNvPicPr/>
                  </pic:nvPicPr>
                  <pic:blipFill>
                    <a:blip r:embed="rId1704"/>
                    <a:stretch>
                      <a:fillRect/>
                    </a:stretch>
                  </pic:blipFill>
                  <pic:spPr>
                    <a:xfrm>
                      <a:off x="0" y="0"/>
                      <a:ext cx="59436" cy="68580"/>
                    </a:xfrm>
                    <a:prstGeom prst="rect">
                      <a:avLst/>
                    </a:prstGeom>
                  </pic:spPr>
                </pic:pic>
              </a:graphicData>
            </a:graphic>
          </wp:inline>
        </w:drawing>
      </w:r>
      <w:r>
        <w:rPr>
          <w:sz w:val="72"/>
        </w:rPr>
        <w:t>1</w:t>
      </w:r>
      <w:r>
        <w:rPr>
          <w:noProof/>
        </w:rPr>
        <w:drawing>
          <wp:inline distT="0" distB="0" distL="0" distR="0" wp14:anchorId="7491D1A1" wp14:editId="19240A8C">
            <wp:extent cx="571500" cy="9144"/>
            <wp:effectExtent l="0" t="0" r="0" b="0"/>
            <wp:docPr id="1273817" name="Picture 1273817"/>
            <wp:cNvGraphicFramePr/>
            <a:graphic xmlns:a="http://schemas.openxmlformats.org/drawingml/2006/main">
              <a:graphicData uri="http://schemas.openxmlformats.org/drawingml/2006/picture">
                <pic:pic xmlns:pic="http://schemas.openxmlformats.org/drawingml/2006/picture">
                  <pic:nvPicPr>
                    <pic:cNvPr id="1273817" name="Picture 1273817"/>
                    <pic:cNvPicPr/>
                  </pic:nvPicPr>
                  <pic:blipFill>
                    <a:blip r:embed="rId1705"/>
                    <a:stretch>
                      <a:fillRect/>
                    </a:stretch>
                  </pic:blipFill>
                  <pic:spPr>
                    <a:xfrm>
                      <a:off x="0" y="0"/>
                      <a:ext cx="571500" cy="9144"/>
                    </a:xfrm>
                    <a:prstGeom prst="rect">
                      <a:avLst/>
                    </a:prstGeom>
                  </pic:spPr>
                </pic:pic>
              </a:graphicData>
            </a:graphic>
          </wp:inline>
        </w:drawing>
      </w:r>
    </w:p>
    <w:p w14:paraId="32B7A03B" w14:textId="77777777" w:rsidR="00053D93" w:rsidRDefault="00260B75">
      <w:pPr>
        <w:tabs>
          <w:tab w:val="center" w:pos="5314"/>
        </w:tabs>
        <w:spacing w:after="0"/>
      </w:pPr>
      <w:r>
        <w:rPr>
          <w:sz w:val="12"/>
        </w:rPr>
        <w:t>1</w:t>
      </w:r>
      <w:r>
        <w:rPr>
          <w:sz w:val="12"/>
        </w:rPr>
        <w:tab/>
        <w:t>Fuente: Elaboración propia con información del Reporte: R008047ee.rpt (Grupos Dinámicos) dei Sistema de Contabilidad Integrada -SICOIN..</w:t>
      </w:r>
    </w:p>
    <w:p w14:paraId="498AB3C0" w14:textId="77777777" w:rsidR="00053D93" w:rsidRDefault="00260B75">
      <w:pPr>
        <w:spacing w:after="392"/>
        <w:ind w:left="22"/>
      </w:pPr>
      <w:r>
        <w:rPr>
          <w:noProof/>
        </w:rPr>
        <w:drawing>
          <wp:inline distT="0" distB="0" distL="0" distR="0" wp14:anchorId="16B5567B" wp14:editId="45C37A4F">
            <wp:extent cx="4572" cy="9144"/>
            <wp:effectExtent l="0" t="0" r="0" b="0"/>
            <wp:docPr id="1273723" name="Picture 1273723"/>
            <wp:cNvGraphicFramePr/>
            <a:graphic xmlns:a="http://schemas.openxmlformats.org/drawingml/2006/main">
              <a:graphicData uri="http://schemas.openxmlformats.org/drawingml/2006/picture">
                <pic:pic xmlns:pic="http://schemas.openxmlformats.org/drawingml/2006/picture">
                  <pic:nvPicPr>
                    <pic:cNvPr id="1273723" name="Picture 1273723"/>
                    <pic:cNvPicPr/>
                  </pic:nvPicPr>
                  <pic:blipFill>
                    <a:blip r:embed="rId24"/>
                    <a:stretch>
                      <a:fillRect/>
                    </a:stretch>
                  </pic:blipFill>
                  <pic:spPr>
                    <a:xfrm>
                      <a:off x="0" y="0"/>
                      <a:ext cx="4572" cy="9144"/>
                    </a:xfrm>
                    <a:prstGeom prst="rect">
                      <a:avLst/>
                    </a:prstGeom>
                  </pic:spPr>
                </pic:pic>
              </a:graphicData>
            </a:graphic>
          </wp:inline>
        </w:drawing>
      </w:r>
    </w:p>
    <w:p w14:paraId="691EAF0E" w14:textId="77777777" w:rsidR="00053D93" w:rsidRDefault="00260B75">
      <w:pPr>
        <w:spacing w:after="275" w:line="269" w:lineRule="auto"/>
        <w:ind w:left="1702" w:right="14" w:hanging="3"/>
        <w:jc w:val="both"/>
      </w:pPr>
      <w:r>
        <w:rPr>
          <w:sz w:val="26"/>
        </w:rPr>
        <w:t>Criterio</w:t>
      </w:r>
    </w:p>
    <w:p w14:paraId="592E91EA" w14:textId="77777777" w:rsidR="00053D93" w:rsidRDefault="00260B75">
      <w:pPr>
        <w:spacing w:after="3" w:line="425" w:lineRule="auto"/>
        <w:ind w:left="67" w:right="14" w:hanging="10"/>
        <w:jc w:val="right"/>
      </w:pPr>
      <w:r>
        <w:rPr>
          <w:sz w:val="26"/>
        </w:rPr>
        <w:t>1</w:t>
      </w:r>
      <w:r>
        <w:rPr>
          <w:sz w:val="26"/>
        </w:rPr>
        <w:tab/>
        <w:t>El Decreto Número 101-97, del Congreso de la República de Guatemala, Ley Orgánica del Presupuesto, artículo 8. Vinculación Plan-Presupuesto, establece:</w:t>
      </w:r>
    </w:p>
    <w:p w14:paraId="6AA09213" w14:textId="77777777" w:rsidR="00053D93" w:rsidRDefault="00260B75">
      <w:pPr>
        <w:tabs>
          <w:tab w:val="right" w:pos="10159"/>
        </w:tabs>
        <w:spacing w:after="4" w:line="269" w:lineRule="auto"/>
      </w:pPr>
      <w:r>
        <w:rPr>
          <w:sz w:val="26"/>
        </w:rPr>
        <w:t>1</w:t>
      </w:r>
      <w:r>
        <w:rPr>
          <w:sz w:val="26"/>
        </w:rPr>
        <w:tab/>
        <w:t>"Los presupuestos públicos son la expresión anual de los planes del Estado,</w:t>
      </w:r>
    </w:p>
    <w:p w14:paraId="2D10DB77" w14:textId="77777777" w:rsidR="00053D93" w:rsidRDefault="00260B75">
      <w:pPr>
        <w:spacing w:after="117" w:line="216" w:lineRule="auto"/>
        <w:ind w:left="57" w:right="14" w:firstLine="1649"/>
        <w:jc w:val="both"/>
      </w:pPr>
      <w:r>
        <w:rPr>
          <w:sz w:val="26"/>
        </w:rPr>
        <w:t xml:space="preserve">elaborados en el marco de la estrategia de desarrollo económico y social, en aquellos aspectos que exigen por parte del sector público, captar y asignar los </w:t>
      </w:r>
      <w:r>
        <w:rPr>
          <w:noProof/>
        </w:rPr>
        <mc:AlternateContent>
          <mc:Choice Requires="wpg">
            <w:drawing>
              <wp:inline distT="0" distB="0" distL="0" distR="0" wp14:anchorId="7738096E" wp14:editId="3BCEADE8">
                <wp:extent cx="923544" cy="301752"/>
                <wp:effectExtent l="0" t="0" r="0" b="0"/>
                <wp:docPr id="2458966" name="Group 2458966"/>
                <wp:cNvGraphicFramePr/>
                <a:graphic xmlns:a="http://schemas.openxmlformats.org/drawingml/2006/main">
                  <a:graphicData uri="http://schemas.microsoft.com/office/word/2010/wordprocessingGroup">
                    <wpg:wgp>
                      <wpg:cNvGrpSpPr/>
                      <wpg:grpSpPr>
                        <a:xfrm>
                          <a:off x="0" y="0"/>
                          <a:ext cx="923544" cy="301752"/>
                          <a:chOff x="0" y="0"/>
                          <a:chExt cx="923544" cy="301752"/>
                        </a:xfrm>
                      </wpg:grpSpPr>
                      <pic:pic xmlns:pic="http://schemas.openxmlformats.org/drawingml/2006/picture">
                        <pic:nvPicPr>
                          <pic:cNvPr id="2458969" name="Picture 2458969"/>
                          <pic:cNvPicPr/>
                        </pic:nvPicPr>
                        <pic:blipFill>
                          <a:blip r:embed="rId49"/>
                          <a:stretch>
                            <a:fillRect/>
                          </a:stretch>
                        </pic:blipFill>
                        <pic:spPr>
                          <a:xfrm>
                            <a:off x="909828" y="155448"/>
                            <a:ext cx="13716" cy="9144"/>
                          </a:xfrm>
                          <a:prstGeom prst="rect">
                            <a:avLst/>
                          </a:prstGeom>
                        </pic:spPr>
                      </pic:pic>
                      <wps:wsp>
                        <wps:cNvPr id="1271107" name="Rectangle 1271107"/>
                        <wps:cNvSpPr/>
                        <wps:spPr>
                          <a:xfrm>
                            <a:off x="0" y="0"/>
                            <a:ext cx="152019" cy="401330"/>
                          </a:xfrm>
                          <a:prstGeom prst="rect">
                            <a:avLst/>
                          </a:prstGeom>
                          <a:ln>
                            <a:noFill/>
                          </a:ln>
                        </wps:spPr>
                        <wps:txbx>
                          <w:txbxContent>
                            <w:p w14:paraId="403387EF"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7738096E" id="Group 2458966" o:spid="_x0000_s1792" style="width:72.7pt;height:23.75pt;mso-position-horizontal-relative:char;mso-position-vertical-relative:line" coordsize="9235,30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">
                <v:shape id="Picture 2458969" o:spid="_x0000_s1793" type="#_x0000_t75" style="position:absolute;left:9098;top:1554;width:137;height: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">
                  <v:imagedata r:id="rId1706" o:title=""/>
                </v:shape>
                <v:rect id="Rectangle 1271107" o:spid="_x0000_s1794" style="position:absolute;width:1520;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" filled="f" stroked="f">
                  <v:textbox inset="0,0,0,0">
                    <w:txbxContent>
                      <w:p w14:paraId="403387EF" w14:textId="77777777" w:rsidR="00053D93" w:rsidRDefault="00260B75">
                        <w:r>
                          <w:rPr>
                            <w:sz w:val="70"/>
                          </w:rPr>
                          <w:t>1</w:t>
                        </w:r>
                      </w:p>
                    </w:txbxContent>
                  </v:textbox>
                </v:rect>
                <w10:anchorlock/>
              </v:group>
            </w:pict>
          </mc:Fallback>
        </mc:AlternateContent>
      </w:r>
      <w:r>
        <w:rPr>
          <w:sz w:val="26"/>
        </w:rPr>
        <w:t>recursos conducentes para su normal funcionamiento y para el cumplimiento de los programas y proyectos de inversión, a fin de alcanzar las metas y objetivos sectoriales, regionales e institucionales."</w:t>
      </w:r>
    </w:p>
    <w:p w14:paraId="7AC021AB" w14:textId="77777777" w:rsidR="00053D93" w:rsidRDefault="00260B75">
      <w:pPr>
        <w:spacing w:after="3"/>
        <w:ind w:left="74" w:right="3485" w:hanging="10"/>
      </w:pPr>
      <w:r>
        <w:rPr>
          <w:noProof/>
        </w:rPr>
        <w:drawing>
          <wp:inline distT="0" distB="0" distL="0" distR="0" wp14:anchorId="02F27B52" wp14:editId="2B71AAB1">
            <wp:extent cx="9144" cy="9144"/>
            <wp:effectExtent l="0" t="0" r="0" b="0"/>
            <wp:docPr id="1273725" name="Picture 1273725"/>
            <wp:cNvGraphicFramePr/>
            <a:graphic xmlns:a="http://schemas.openxmlformats.org/drawingml/2006/main">
              <a:graphicData uri="http://schemas.openxmlformats.org/drawingml/2006/picture">
                <pic:pic xmlns:pic="http://schemas.openxmlformats.org/drawingml/2006/picture">
                  <pic:nvPicPr>
                    <pic:cNvPr id="1273725" name="Picture 1273725"/>
                    <pic:cNvPicPr/>
                  </pic:nvPicPr>
                  <pic:blipFill>
                    <a:blip r:embed="rId117"/>
                    <a:stretch>
                      <a:fillRect/>
                    </a:stretch>
                  </pic:blipFill>
                  <pic:spPr>
                    <a:xfrm>
                      <a:off x="0" y="0"/>
                      <a:ext cx="9144" cy="9144"/>
                    </a:xfrm>
                    <a:prstGeom prst="rect">
                      <a:avLst/>
                    </a:prstGeom>
                  </pic:spPr>
                </pic:pic>
              </a:graphicData>
            </a:graphic>
          </wp:inline>
        </w:drawing>
      </w:r>
      <w:r>
        <w:rPr>
          <w:sz w:val="70"/>
        </w:rPr>
        <w:t>1</w:t>
      </w:r>
    </w:p>
    <w:p w14:paraId="37D89B3A" w14:textId="77777777" w:rsidR="00053D93" w:rsidRDefault="00260B75">
      <w:pPr>
        <w:spacing w:after="153" w:line="217" w:lineRule="auto"/>
        <w:ind w:left="57" w:right="14" w:firstLine="1649"/>
        <w:jc w:val="both"/>
      </w:pPr>
      <w:r>
        <w:rPr>
          <w:noProof/>
        </w:rPr>
        <mc:AlternateContent>
          <mc:Choice Requires="wpg">
            <w:drawing>
              <wp:anchor distT="0" distB="0" distL="114300" distR="114300" simplePos="0" relativeHeight="252311552" behindDoc="0" locked="0" layoutInCell="1" allowOverlap="1" wp14:anchorId="42AE2118" wp14:editId="2D386991">
                <wp:simplePos x="0" y="0"/>
                <wp:positionH relativeFrom="column">
                  <wp:posOffset>32004</wp:posOffset>
                </wp:positionH>
                <wp:positionV relativeFrom="paragraph">
                  <wp:posOffset>216495</wp:posOffset>
                </wp:positionV>
                <wp:extent cx="114300" cy="297180"/>
                <wp:effectExtent l="0" t="0" r="0" b="0"/>
                <wp:wrapSquare wrapText="bothSides"/>
                <wp:docPr id="2457765" name="Group 2457765"/>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271109" name="Rectangle 1271109"/>
                        <wps:cNvSpPr/>
                        <wps:spPr>
                          <a:xfrm>
                            <a:off x="0" y="0"/>
                            <a:ext cx="152019" cy="395250"/>
                          </a:xfrm>
                          <a:prstGeom prst="rect">
                            <a:avLst/>
                          </a:prstGeom>
                          <a:ln>
                            <a:noFill/>
                          </a:ln>
                        </wps:spPr>
                        <wps:txbx>
                          <w:txbxContent>
                            <w:p w14:paraId="62F35820"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42AE2118" id="Group 2457765" o:spid="_x0000_s1795" style="position:absolute;left:0;text-align:left;margin-left:2.5pt;margin-top:17.05pt;width:9pt;height:23.4pt;z-index:252311552;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">
                <v:rect id="Rectangle 1271109" o:spid="_x0000_s1796"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" filled="f" stroked="f">
                  <v:textbox inset="0,0,0,0">
                    <w:txbxContent>
                      <w:p w14:paraId="62F35820" w14:textId="77777777" w:rsidR="00053D93" w:rsidRDefault="00260B75">
                        <w:r>
                          <w:rPr>
                            <w:sz w:val="70"/>
                          </w:rPr>
                          <w:t>1</w:t>
                        </w:r>
                      </w:p>
                    </w:txbxContent>
                  </v:textbox>
                </v:rect>
                <w10:wrap type="square"/>
              </v:group>
            </w:pict>
          </mc:Fallback>
        </mc:AlternateContent>
      </w:r>
      <w:r>
        <w:rPr>
          <w:sz w:val="26"/>
        </w:rPr>
        <w:t xml:space="preserve">El Decreto Número 12-91 , del Congreso de la República, Ley de Educación Nacional, Artículo 81 </w:t>
      </w:r>
      <w:r>
        <w:rPr>
          <w:sz w:val="26"/>
          <w:vertAlign w:val="superscript"/>
        </w:rPr>
        <w:t xml:space="preserve">0 </w:t>
      </w:r>
      <w:r>
        <w:rPr>
          <w:sz w:val="26"/>
        </w:rPr>
        <w:t xml:space="preserve">. Textos Básicos, establece: "El Ministerio de Educación producirá, distribuirá y evaluará textos básicos para la Educación Preprimaria, Primaria y Media. Asimismo impulsará la producción de material de apoyo a la </w:t>
      </w:r>
      <w:r>
        <w:rPr>
          <w:noProof/>
        </w:rPr>
        <mc:AlternateContent>
          <mc:Choice Requires="wpg">
            <w:drawing>
              <wp:inline distT="0" distB="0" distL="0" distR="0" wp14:anchorId="68369CF7" wp14:editId="12309FE7">
                <wp:extent cx="114300" cy="310896"/>
                <wp:effectExtent l="0" t="0" r="0" b="0"/>
                <wp:docPr id="2457766" name="Group 2457766"/>
                <wp:cNvGraphicFramePr/>
                <a:graphic xmlns:a="http://schemas.openxmlformats.org/drawingml/2006/main">
                  <a:graphicData uri="http://schemas.microsoft.com/office/word/2010/wordprocessingGroup">
                    <wpg:wgp>
                      <wpg:cNvGrpSpPr/>
                      <wpg:grpSpPr>
                        <a:xfrm>
                          <a:off x="0" y="0"/>
                          <a:ext cx="114300" cy="310896"/>
                          <a:chOff x="0" y="0"/>
                          <a:chExt cx="114300" cy="310896"/>
                        </a:xfrm>
                      </wpg:grpSpPr>
                      <wps:wsp>
                        <wps:cNvPr id="1271110" name="Rectangle 1271110"/>
                        <wps:cNvSpPr/>
                        <wps:spPr>
                          <a:xfrm>
                            <a:off x="0" y="0"/>
                            <a:ext cx="152019" cy="413492"/>
                          </a:xfrm>
                          <a:prstGeom prst="rect">
                            <a:avLst/>
                          </a:prstGeom>
                          <a:ln>
                            <a:noFill/>
                          </a:ln>
                        </wps:spPr>
                        <wps:txbx>
                          <w:txbxContent>
                            <w:p w14:paraId="10C2C7C2"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8369CF7" id="Group 2457766" o:spid="_x0000_s1797" style="width:9pt;height:24.5pt;mso-position-horizontal-relative:char;mso-position-vertical-relative:line" coordsize="114300,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">
                <v:rect id="Rectangle 1271110" o:spid="_x0000_s1798" style="position:absolute;width:152019;height:41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" filled="f" stroked="f">
                  <v:textbox inset="0,0,0,0">
                    <w:txbxContent>
                      <w:p w14:paraId="10C2C7C2" w14:textId="77777777" w:rsidR="00053D93" w:rsidRDefault="00260B75">
                        <w:r>
                          <w:rPr>
                            <w:sz w:val="70"/>
                          </w:rPr>
                          <w:t>1</w:t>
                        </w:r>
                      </w:p>
                    </w:txbxContent>
                  </v:textbox>
                </v:rect>
                <w10:anchorlock/>
              </v:group>
            </w:pict>
          </mc:Fallback>
        </mc:AlternateContent>
      </w:r>
      <w:r>
        <w:rPr>
          <w:sz w:val="26"/>
        </w:rPr>
        <w:tab/>
        <w:t>enseñanza."</w:t>
      </w:r>
    </w:p>
    <w:tbl>
      <w:tblPr>
        <w:tblStyle w:val="TableGrid"/>
        <w:tblpPr w:vertAnchor="page" w:horzAnchor="page" w:tblpX="2851" w:tblpY="14580"/>
        <w:tblOverlap w:val="never"/>
        <w:tblW w:w="7618" w:type="dxa"/>
        <w:tblInd w:w="0" w:type="dxa"/>
        <w:tblCellMar>
          <w:top w:w="36" w:type="dxa"/>
          <w:left w:w="1742" w:type="dxa"/>
          <w:right w:w="115" w:type="dxa"/>
        </w:tblCellMar>
        <w:tblLook w:val="04A0" w:firstRow="1" w:lastRow="0" w:firstColumn="1" w:lastColumn="0" w:noHBand="0" w:noVBand="1"/>
      </w:tblPr>
      <w:tblGrid>
        <w:gridCol w:w="7618"/>
      </w:tblGrid>
      <w:tr w:rsidR="00053D93" w14:paraId="0B4AA4FA" w14:textId="77777777">
        <w:trPr>
          <w:trHeight w:val="31"/>
        </w:trPr>
        <w:tc>
          <w:tcPr>
            <w:tcW w:w="7618" w:type="dxa"/>
            <w:tcBorders>
              <w:top w:val="nil"/>
              <w:left w:val="single" w:sz="2" w:space="0" w:color="000000"/>
              <w:bottom w:val="single" w:sz="2" w:space="0" w:color="000000"/>
              <w:right w:val="nil"/>
            </w:tcBorders>
          </w:tcPr>
          <w:p w14:paraId="0BC7CE86" w14:textId="77777777" w:rsidR="00053D93" w:rsidRDefault="00053D93"/>
        </w:tc>
      </w:tr>
      <w:tr w:rsidR="00053D93" w14:paraId="520E13EF" w14:textId="77777777">
        <w:trPr>
          <w:trHeight w:val="602"/>
        </w:trPr>
        <w:tc>
          <w:tcPr>
            <w:tcW w:w="7618" w:type="dxa"/>
            <w:tcBorders>
              <w:top w:val="single" w:sz="2" w:space="0" w:color="000000"/>
              <w:left w:val="single" w:sz="2" w:space="0" w:color="000000"/>
              <w:bottom w:val="nil"/>
              <w:right w:val="nil"/>
            </w:tcBorders>
          </w:tcPr>
          <w:p w14:paraId="49A7CA6F" w14:textId="77777777" w:rsidR="00053D93" w:rsidRDefault="00260B75">
            <w:pPr>
              <w:ind w:left="835"/>
            </w:pPr>
            <w:r>
              <w:rPr>
                <w:sz w:val="14"/>
              </w:rPr>
              <w:t>MINISTERIO DE EDUCACION</w:t>
            </w:r>
          </w:p>
          <w:p w14:paraId="450DE655" w14:textId="77777777" w:rsidR="00053D93" w:rsidRDefault="00260B75">
            <w:pPr>
              <w:ind w:left="338"/>
            </w:pPr>
            <w:r>
              <w:rPr>
                <w:sz w:val="14"/>
              </w:rPr>
              <w:t>AUDtTORIA FINANCIERA Y DE CUMPLIMIENTO</w:t>
            </w:r>
          </w:p>
          <w:p w14:paraId="414A14D5" w14:textId="77777777" w:rsidR="00053D93" w:rsidRDefault="00260B75">
            <w:r>
              <w:rPr>
                <w:sz w:val="14"/>
              </w:rPr>
              <w:t>PERIODO DEL 01 DE ENERO AL 31 DE DICIEMBRE DE 2024</w:t>
            </w:r>
          </w:p>
        </w:tc>
      </w:tr>
    </w:tbl>
    <w:p w14:paraId="011F8887" w14:textId="77777777" w:rsidR="00053D93" w:rsidRDefault="00260B75">
      <w:pPr>
        <w:spacing w:after="4" w:line="216" w:lineRule="auto"/>
        <w:ind w:left="57" w:right="14" w:firstLine="1469"/>
        <w:jc w:val="both"/>
      </w:pPr>
      <w:r>
        <w:rPr>
          <w:noProof/>
        </w:rPr>
        <w:drawing>
          <wp:anchor distT="0" distB="0" distL="114300" distR="114300" simplePos="0" relativeHeight="252312576" behindDoc="0" locked="0" layoutInCell="1" allowOverlap="0" wp14:anchorId="6E73112B" wp14:editId="4F669DEC">
            <wp:simplePos x="0" y="0"/>
            <wp:positionH relativeFrom="page">
              <wp:posOffset>667512</wp:posOffset>
            </wp:positionH>
            <wp:positionV relativeFrom="page">
              <wp:posOffset>9253728</wp:posOffset>
            </wp:positionV>
            <wp:extent cx="1120140" cy="406908"/>
            <wp:effectExtent l="0" t="0" r="0" b="0"/>
            <wp:wrapTopAndBottom/>
            <wp:docPr id="1273819" name="Picture 1273819"/>
            <wp:cNvGraphicFramePr/>
            <a:graphic xmlns:a="http://schemas.openxmlformats.org/drawingml/2006/main">
              <a:graphicData uri="http://schemas.openxmlformats.org/drawingml/2006/picture">
                <pic:pic xmlns:pic="http://schemas.openxmlformats.org/drawingml/2006/picture">
                  <pic:nvPicPr>
                    <pic:cNvPr id="1273819" name="Picture 1273819"/>
                    <pic:cNvPicPr/>
                  </pic:nvPicPr>
                  <pic:blipFill>
                    <a:blip r:embed="rId1707"/>
                    <a:stretch>
                      <a:fillRect/>
                    </a:stretch>
                  </pic:blipFill>
                  <pic:spPr>
                    <a:xfrm>
                      <a:off x="0" y="0"/>
                      <a:ext cx="1120140" cy="406908"/>
                    </a:xfrm>
                    <a:prstGeom prst="rect">
                      <a:avLst/>
                    </a:prstGeom>
                  </pic:spPr>
                </pic:pic>
              </a:graphicData>
            </a:graphic>
          </wp:anchor>
        </w:drawing>
      </w:r>
      <w:r>
        <w:rPr>
          <w:sz w:val="26"/>
        </w:rPr>
        <w:t xml:space="preserve">El Acuerdo Gubernativo Número 225-2008, del Presidente de la República, </w:t>
      </w:r>
      <w:r>
        <w:rPr>
          <w:noProof/>
        </w:rPr>
        <mc:AlternateContent>
          <mc:Choice Requires="wpg">
            <w:drawing>
              <wp:inline distT="0" distB="0" distL="0" distR="0" wp14:anchorId="2EC557F4" wp14:editId="63CBF0B9">
                <wp:extent cx="118872" cy="306324"/>
                <wp:effectExtent l="0" t="0" r="0" b="0"/>
                <wp:docPr id="2457767" name="Group 2457767"/>
                <wp:cNvGraphicFramePr/>
                <a:graphic xmlns:a="http://schemas.openxmlformats.org/drawingml/2006/main">
                  <a:graphicData uri="http://schemas.microsoft.com/office/word/2010/wordprocessingGroup">
                    <wpg:wgp>
                      <wpg:cNvGrpSpPr/>
                      <wpg:grpSpPr>
                        <a:xfrm>
                          <a:off x="0" y="0"/>
                          <a:ext cx="118872" cy="306324"/>
                          <a:chOff x="0" y="0"/>
                          <a:chExt cx="118872" cy="306324"/>
                        </a:xfrm>
                      </wpg:grpSpPr>
                      <wps:wsp>
                        <wps:cNvPr id="1271111" name="Rectangle 1271111"/>
                        <wps:cNvSpPr/>
                        <wps:spPr>
                          <a:xfrm>
                            <a:off x="0" y="0"/>
                            <a:ext cx="158100" cy="407411"/>
                          </a:xfrm>
                          <a:prstGeom prst="rect">
                            <a:avLst/>
                          </a:prstGeom>
                          <a:ln>
                            <a:noFill/>
                          </a:ln>
                        </wps:spPr>
                        <wps:txbx>
                          <w:txbxContent>
                            <w:p w14:paraId="1CBA03B3"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2EC557F4" id="Group 2457767" o:spid="_x0000_s1799" style="width:9.35pt;height:24.1pt;mso-position-horizontal-relative:char;mso-position-vertical-relative:line" coordsize="11887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">
                <v:rect id="Rectangle 1271111" o:spid="_x0000_s1800" style="position:absolute;width:158100;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" filled="f" stroked="f">
                  <v:textbox inset="0,0,0,0">
                    <w:txbxContent>
                      <w:p w14:paraId="1CBA03B3" w14:textId="77777777" w:rsidR="00053D93" w:rsidRDefault="00260B75">
                        <w:r>
                          <w:rPr>
                            <w:sz w:val="72"/>
                          </w:rPr>
                          <w:t>1</w:t>
                        </w:r>
                      </w:p>
                    </w:txbxContent>
                  </v:textbox>
                </v:rect>
                <w10:anchorlock/>
              </v:group>
            </w:pict>
          </mc:Fallback>
        </mc:AlternateContent>
      </w:r>
      <w:r>
        <w:rPr>
          <w:sz w:val="26"/>
        </w:rPr>
        <w:t xml:space="preserve"> Reglamento Orgánico Interno del Ministerio de Educación, artículo 7. Dirección</w:t>
      </w:r>
    </w:p>
    <w:p w14:paraId="31C54835" w14:textId="77777777" w:rsidR="00053D93" w:rsidRDefault="00260B75">
      <w:pPr>
        <w:spacing w:after="212" w:line="269" w:lineRule="auto"/>
        <w:ind w:left="57" w:right="14" w:firstLine="1454"/>
        <w:jc w:val="both"/>
      </w:pPr>
      <w:r>
        <w:rPr>
          <w:sz w:val="26"/>
        </w:rPr>
        <w:t xml:space="preserve">General de Gestión de Calidad Educativa, establece: "La Dirección General de 1 Gestión de Calidad Educativa, la que podrá denominarse con las siglas -DIGECADE-, es la dependencia del Ministerio de Educación responsable de velar por la implementación del currículo nacional base, en cada uno de los niveles </w:t>
      </w:r>
      <w:r>
        <w:rPr>
          <w:noProof/>
        </w:rPr>
        <mc:AlternateContent>
          <mc:Choice Requires="wpg">
            <w:drawing>
              <wp:inline distT="0" distB="0" distL="0" distR="0" wp14:anchorId="21DED52E" wp14:editId="7CA515BB">
                <wp:extent cx="118872" cy="292608"/>
                <wp:effectExtent l="0" t="0" r="0" b="0"/>
                <wp:docPr id="2457768" name="Group 2457768"/>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271113" name="Rectangle 1271113"/>
                        <wps:cNvSpPr/>
                        <wps:spPr>
                          <a:xfrm>
                            <a:off x="0" y="0"/>
                            <a:ext cx="158100" cy="389169"/>
                          </a:xfrm>
                          <a:prstGeom prst="rect">
                            <a:avLst/>
                          </a:prstGeom>
                          <a:ln>
                            <a:noFill/>
                          </a:ln>
                        </wps:spPr>
                        <wps:txbx>
                          <w:txbxContent>
                            <w:p w14:paraId="7A859746"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21DED52E" id="Group 2457768" o:spid="_x0000_s1801"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">
                <v:rect id="Rectangle 1271113" o:spid="_x0000_s1802"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" filled="f" stroked="f">
                  <v:textbox inset="0,0,0,0">
                    <w:txbxContent>
                      <w:p w14:paraId="7A859746" w14:textId="77777777" w:rsidR="00053D93" w:rsidRDefault="00260B75">
                        <w:r>
                          <w:rPr>
                            <w:sz w:val="72"/>
                          </w:rPr>
                          <w:t>1</w:t>
                        </w:r>
                      </w:p>
                    </w:txbxContent>
                  </v:textbox>
                </v:rect>
                <w10:anchorlock/>
              </v:group>
            </w:pict>
          </mc:Fallback>
        </mc:AlternateContent>
      </w:r>
      <w:r>
        <w:rPr>
          <w:sz w:val="26"/>
        </w:rPr>
        <w:t xml:space="preserve"> educativos del subsistema escolar. Tendrá las funciones siguientes: a) Establecer y definir las modalidades de entrega pedagógica y de gestión del servicio educativo del subsistema escolar formal, de acuerdo con el currículo nacional </w:t>
      </w:r>
      <w:r>
        <w:rPr>
          <w:noProof/>
        </w:rPr>
        <mc:AlternateContent>
          <mc:Choice Requires="wpg">
            <w:drawing>
              <wp:inline distT="0" distB="0" distL="0" distR="0" wp14:anchorId="643FA6D6" wp14:editId="78F03BFA">
                <wp:extent cx="114300" cy="301752"/>
                <wp:effectExtent l="0" t="0" r="0" b="0"/>
                <wp:docPr id="2457769" name="Group 2457769"/>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1271114" name="Rectangle 1271114"/>
                        <wps:cNvSpPr/>
                        <wps:spPr>
                          <a:xfrm>
                            <a:off x="0" y="0"/>
                            <a:ext cx="152019" cy="401330"/>
                          </a:xfrm>
                          <a:prstGeom prst="rect">
                            <a:avLst/>
                          </a:prstGeom>
                          <a:ln>
                            <a:noFill/>
                          </a:ln>
                        </wps:spPr>
                        <wps:txbx>
                          <w:txbxContent>
                            <w:p w14:paraId="6D185F52"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643FA6D6" id="Group 2457769" o:spid="_x0000_s1803"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">
                <v:rect id="Rectangle 1271114" o:spid="_x0000_s180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" filled="f" stroked="f">
                  <v:textbox inset="0,0,0,0">
                    <w:txbxContent>
                      <w:p w14:paraId="6D185F52" w14:textId="77777777" w:rsidR="00053D93" w:rsidRDefault="00260B75">
                        <w:r>
                          <w:rPr>
                            <w:sz w:val="70"/>
                          </w:rPr>
                          <w:t>1</w:t>
                        </w:r>
                      </w:p>
                    </w:txbxContent>
                  </v:textbox>
                </v:rect>
                <w10:anchorlock/>
              </v:group>
            </w:pict>
          </mc:Fallback>
        </mc:AlternateContent>
      </w:r>
      <w:r>
        <w:rPr>
          <w:sz w:val="26"/>
        </w:rPr>
        <w:t xml:space="preserve"> base. ...d) Fomentar e impulsar las distintas modalidades de entrega educativa, metodologías de enseñanza aprendizaje, estrategias y programas de conectividad 1 tecnológica, integración de nuevas tecnologías en los procesos de aprendizaje, educación virtual, formación tecnológica y uso de la tecnología de la información para desarrollar competencias... "</w:t>
      </w:r>
    </w:p>
    <w:p w14:paraId="786FF6B0" w14:textId="77777777" w:rsidR="00053D93" w:rsidRDefault="00260B75">
      <w:pPr>
        <w:spacing w:after="3"/>
        <w:ind w:left="24" w:hanging="10"/>
      </w:pPr>
      <w:r>
        <w:rPr>
          <w:sz w:val="72"/>
        </w:rPr>
        <w:t>1</w:t>
      </w:r>
    </w:p>
    <w:p w14:paraId="7A57B6AE" w14:textId="77777777" w:rsidR="00053D93" w:rsidRDefault="00260B75">
      <w:pPr>
        <w:pStyle w:val="Ttulo3"/>
        <w:spacing w:after="4" w:line="253" w:lineRule="auto"/>
        <w:ind w:left="1681" w:right="0" w:hanging="3"/>
      </w:pPr>
      <w:r>
        <w:t>Causa</w:t>
      </w:r>
    </w:p>
    <w:p w14:paraId="120839A9" w14:textId="77777777" w:rsidR="00053D93" w:rsidRDefault="00260B75">
      <w:pPr>
        <w:spacing w:after="4" w:line="269" w:lineRule="auto"/>
        <w:ind w:left="57" w:right="14" w:firstLine="1670"/>
        <w:jc w:val="both"/>
      </w:pPr>
      <w:r>
        <w:rPr>
          <w:noProof/>
        </w:rPr>
        <mc:AlternateContent>
          <mc:Choice Requires="wpg">
            <w:drawing>
              <wp:anchor distT="0" distB="0" distL="114300" distR="114300" simplePos="0" relativeHeight="252313600" behindDoc="0" locked="0" layoutInCell="1" allowOverlap="1" wp14:anchorId="3339D6AA" wp14:editId="4CED0083">
                <wp:simplePos x="0" y="0"/>
                <wp:positionH relativeFrom="column">
                  <wp:posOffset>36576</wp:posOffset>
                </wp:positionH>
                <wp:positionV relativeFrom="paragraph">
                  <wp:posOffset>565080</wp:posOffset>
                </wp:positionV>
                <wp:extent cx="118872" cy="301752"/>
                <wp:effectExtent l="0" t="0" r="0" b="0"/>
                <wp:wrapSquare wrapText="bothSides"/>
                <wp:docPr id="2457770" name="Group 2457770"/>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1271118" name="Rectangle 1271118"/>
                        <wps:cNvSpPr/>
                        <wps:spPr>
                          <a:xfrm>
                            <a:off x="0" y="0"/>
                            <a:ext cx="158100" cy="401330"/>
                          </a:xfrm>
                          <a:prstGeom prst="rect">
                            <a:avLst/>
                          </a:prstGeom>
                          <a:ln>
                            <a:noFill/>
                          </a:ln>
                        </wps:spPr>
                        <wps:txbx>
                          <w:txbxContent>
                            <w:p w14:paraId="39C911AE"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3339D6AA" id="Group 2457770" o:spid="_x0000_s1805" style="position:absolute;left:0;text-align:left;margin-left:2.9pt;margin-top:44.5pt;width:9.35pt;height:23.75pt;z-index:252313600;mso-position-horizontal-relative:text;mso-position-vertical-relative:text"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">
                <v:rect id="Rectangle 1271118" o:spid="_x0000_s1806"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" filled="f" stroked="f">
                  <v:textbox inset="0,0,0,0">
                    <w:txbxContent>
                      <w:p w14:paraId="39C911AE" w14:textId="77777777" w:rsidR="00053D93" w:rsidRDefault="00260B75">
                        <w:r>
                          <w:rPr>
                            <w:sz w:val="72"/>
                          </w:rPr>
                          <w:t>1</w:t>
                        </w:r>
                      </w:p>
                    </w:txbxContent>
                  </v:textbox>
                </v:rect>
                <w10:wrap type="square"/>
              </v:group>
            </w:pict>
          </mc:Fallback>
        </mc:AlternateContent>
      </w:r>
      <w:r>
        <w:rPr>
          <w:sz w:val="26"/>
        </w:rPr>
        <w:t>El Subdirector Educación Escolar, [a Subdirectora Educación Escolar, la Jefa del 1 Nivel de Educación Primaria y la Coordinadora del Nivel de Educación Preprimaria, al no concretar los procesos de licitación y cotización para la elaboración, producción, impresión y distribución para [a provisión de textos escolares en el ciclo escolar 2024, afectaron la ejecución de las metas físicas y financieras de la entidad, relacionadas a la provisión de textos escolares en los -1 niveles educativos primaria y preprimaria.</w:t>
      </w:r>
    </w:p>
    <w:p w14:paraId="6098B307" w14:textId="77777777" w:rsidR="00053D93" w:rsidRDefault="00260B75">
      <w:pPr>
        <w:spacing w:after="610" w:line="265" w:lineRule="auto"/>
        <w:ind w:left="1767" w:right="122" w:hanging="10"/>
        <w:jc w:val="center"/>
      </w:pPr>
      <w:r>
        <w:rPr>
          <w:sz w:val="12"/>
        </w:rPr>
        <w:t>292</w:t>
      </w:r>
    </w:p>
    <w:p w14:paraId="5D18FAF1" w14:textId="77777777" w:rsidR="00053D93" w:rsidRDefault="00260B75">
      <w:pPr>
        <w:pStyle w:val="Ttulo3"/>
        <w:spacing w:after="0" w:line="259" w:lineRule="auto"/>
        <w:ind w:left="17" w:right="0"/>
        <w:jc w:val="left"/>
      </w:pPr>
      <w:r>
        <w:rPr>
          <w:sz w:val="34"/>
        </w:rPr>
        <w:t>-1</w:t>
      </w:r>
      <w:r>
        <w:rPr>
          <w:noProof/>
        </w:rPr>
        <w:drawing>
          <wp:inline distT="0" distB="0" distL="0" distR="0" wp14:anchorId="3B3989BE" wp14:editId="296603EF">
            <wp:extent cx="7004304" cy="59436"/>
            <wp:effectExtent l="0" t="0" r="0" b="0"/>
            <wp:docPr id="2458971" name="Picture 2458971"/>
            <wp:cNvGraphicFramePr/>
            <a:graphic xmlns:a="http://schemas.openxmlformats.org/drawingml/2006/main">
              <a:graphicData uri="http://schemas.openxmlformats.org/drawingml/2006/picture">
                <pic:pic xmlns:pic="http://schemas.openxmlformats.org/drawingml/2006/picture">
                  <pic:nvPicPr>
                    <pic:cNvPr id="2458971" name="Picture 2458971"/>
                    <pic:cNvPicPr/>
                  </pic:nvPicPr>
                  <pic:blipFill>
                    <a:blip r:embed="rId1708"/>
                    <a:stretch>
                      <a:fillRect/>
                    </a:stretch>
                  </pic:blipFill>
                  <pic:spPr>
                    <a:xfrm>
                      <a:off x="0" y="0"/>
                      <a:ext cx="7004304" cy="59436"/>
                    </a:xfrm>
                    <a:prstGeom prst="rect">
                      <a:avLst/>
                    </a:prstGeom>
                  </pic:spPr>
                </pic:pic>
              </a:graphicData>
            </a:graphic>
          </wp:inline>
        </w:drawing>
      </w:r>
    </w:p>
    <w:p w14:paraId="225FE2DE" w14:textId="77777777" w:rsidR="00053D93" w:rsidRDefault="00260B75">
      <w:pPr>
        <w:spacing w:after="228" w:line="269" w:lineRule="auto"/>
        <w:ind w:left="57" w:right="14" w:firstLine="1678"/>
        <w:jc w:val="both"/>
      </w:pPr>
      <w:r>
        <w:rPr>
          <w:noProof/>
        </w:rPr>
        <mc:AlternateContent>
          <mc:Choice Requires="wpg">
            <w:drawing>
              <wp:anchor distT="0" distB="0" distL="114300" distR="114300" simplePos="0" relativeHeight="252314624" behindDoc="0" locked="0" layoutInCell="1" allowOverlap="1" wp14:anchorId="49B1AD5B" wp14:editId="40546B7A">
                <wp:simplePos x="0" y="0"/>
                <wp:positionH relativeFrom="column">
                  <wp:posOffset>32004</wp:posOffset>
                </wp:positionH>
                <wp:positionV relativeFrom="paragraph">
                  <wp:posOffset>211006</wp:posOffset>
                </wp:positionV>
                <wp:extent cx="114300" cy="297180"/>
                <wp:effectExtent l="0" t="0" r="0" b="0"/>
                <wp:wrapSquare wrapText="bothSides"/>
                <wp:docPr id="2457779" name="Group 2457779"/>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274388" name="Rectangle 1274388"/>
                        <wps:cNvSpPr/>
                        <wps:spPr>
                          <a:xfrm>
                            <a:off x="0" y="0"/>
                            <a:ext cx="152019" cy="395249"/>
                          </a:xfrm>
                          <a:prstGeom prst="rect">
                            <a:avLst/>
                          </a:prstGeom>
                          <a:ln>
                            <a:noFill/>
                          </a:ln>
                        </wps:spPr>
                        <wps:txbx>
                          <w:txbxContent>
                            <w:p w14:paraId="3BE977A2"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49B1AD5B" id="Group 2457779" o:spid="_x0000_s1807" style="position:absolute;left:0;text-align:left;margin-left:2.5pt;margin-top:16.6pt;width:9pt;height:23.4pt;z-index:252314624;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">
                <v:rect id="Rectangle 1274388" o:spid="_x0000_s1808"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" filled="f" stroked="f">
                  <v:textbox inset="0,0,0,0">
                    <w:txbxContent>
                      <w:p w14:paraId="3BE977A2" w14:textId="77777777" w:rsidR="00053D93" w:rsidRDefault="00260B75">
                        <w:r>
                          <w:rPr>
                            <w:sz w:val="70"/>
                          </w:rPr>
                          <w:t>1</w:t>
                        </w:r>
                      </w:p>
                    </w:txbxContent>
                  </v:textbox>
                </v:rect>
                <w10:wrap type="square"/>
              </v:group>
            </w:pict>
          </mc:Fallback>
        </mc:AlternateContent>
      </w:r>
      <w:r>
        <w:rPr>
          <w:sz w:val="26"/>
        </w:rPr>
        <w:t xml:space="preserve">La Directora General de Gestión de Calidad Educativa, no veló y supervisó para que el Subdirector Educación Escolar, la Subdirectora Educación Escolar, la Jefa del Nivel de Educación Primaria y la Coordinadora del Nivel de Educación Preprimaria, realizaran los procesos de licitación y cotización para la elaboración, 1 producción, impresión y distribución para 'a provisión de textos escolares en el ciclo escolar 2024, y con ello, cumplir con la ejecución de las metas físicas y financieras de la entidad, relacionadas a la provisión de textos escolares en los </w:t>
      </w:r>
      <w:r>
        <w:rPr>
          <w:noProof/>
        </w:rPr>
        <mc:AlternateContent>
          <mc:Choice Requires="wpg">
            <w:drawing>
              <wp:inline distT="0" distB="0" distL="0" distR="0" wp14:anchorId="01AC04FC" wp14:editId="3F47ECF9">
                <wp:extent cx="146304" cy="297180"/>
                <wp:effectExtent l="0" t="0" r="0" b="0"/>
                <wp:docPr id="2457780" name="Group 2457780"/>
                <wp:cNvGraphicFramePr/>
                <a:graphic xmlns:a="http://schemas.openxmlformats.org/drawingml/2006/main">
                  <a:graphicData uri="http://schemas.microsoft.com/office/word/2010/wordprocessingGroup">
                    <wpg:wgp>
                      <wpg:cNvGrpSpPr/>
                      <wpg:grpSpPr>
                        <a:xfrm>
                          <a:off x="0" y="0"/>
                          <a:ext cx="146304" cy="297180"/>
                          <a:chOff x="0" y="0"/>
                          <a:chExt cx="146304" cy="297180"/>
                        </a:xfrm>
                      </wpg:grpSpPr>
                      <wps:wsp>
                        <wps:cNvPr id="1274390" name="Rectangle 1274390"/>
                        <wps:cNvSpPr/>
                        <wps:spPr>
                          <a:xfrm>
                            <a:off x="0" y="0"/>
                            <a:ext cx="194584" cy="395249"/>
                          </a:xfrm>
                          <a:prstGeom prst="rect">
                            <a:avLst/>
                          </a:prstGeom>
                          <a:ln>
                            <a:noFill/>
                          </a:ln>
                        </wps:spPr>
                        <wps:txbx>
                          <w:txbxContent>
                            <w:p w14:paraId="283D419E" w14:textId="77777777" w:rsidR="00053D93" w:rsidRDefault="00260B75">
                              <w:r>
                                <w:rPr>
                                  <w:sz w:val="88"/>
                                </w:rPr>
                                <w:t>1</w:t>
                              </w:r>
                            </w:p>
                          </w:txbxContent>
                        </wps:txbx>
                        <wps:bodyPr horzOverflow="overflow" vert="horz" lIns="0" tIns="0" rIns="0" bIns="0" rtlCol="0">
                          <a:noAutofit/>
                        </wps:bodyPr>
                      </wps:wsp>
                    </wpg:wgp>
                  </a:graphicData>
                </a:graphic>
              </wp:inline>
            </w:drawing>
          </mc:Choice>
          <mc:Fallback>
            <w:pict>
              <v:group w14:anchorId="01AC04FC" id="Group 2457780" o:spid="_x0000_s1809" style="width:11.5pt;height:23.4pt;mso-position-horizontal-relative:char;mso-position-vertical-relative:line" coordsize="14630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">
                <v:rect id="Rectangle 1274390" o:spid="_x0000_s1810" style="position:absolute;width:194584;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" filled="f" stroked="f">
                  <v:textbox inset="0,0,0,0">
                    <w:txbxContent>
                      <w:p w14:paraId="283D419E" w14:textId="77777777" w:rsidR="00053D93" w:rsidRDefault="00260B75">
                        <w:r>
                          <w:rPr>
                            <w:sz w:val="88"/>
                          </w:rPr>
                          <w:t>1</w:t>
                        </w:r>
                      </w:p>
                    </w:txbxContent>
                  </v:textbox>
                </v:rect>
                <w10:anchorlock/>
              </v:group>
            </w:pict>
          </mc:Fallback>
        </mc:AlternateContent>
      </w:r>
      <w:r>
        <w:rPr>
          <w:sz w:val="26"/>
        </w:rPr>
        <w:t xml:space="preserve"> niveles educativos primaria y preprimaria.</w:t>
      </w:r>
    </w:p>
    <w:p w14:paraId="538F2707" w14:textId="77777777" w:rsidR="00053D93" w:rsidRDefault="00260B75">
      <w:pPr>
        <w:spacing w:after="4" w:line="266" w:lineRule="auto"/>
        <w:ind w:left="1695" w:hanging="10"/>
      </w:pPr>
      <w:r>
        <w:rPr>
          <w:sz w:val="28"/>
        </w:rPr>
        <w:t>Efecto</w:t>
      </w:r>
    </w:p>
    <w:p w14:paraId="35D92337" w14:textId="77777777" w:rsidR="00053D93" w:rsidRDefault="00260B75">
      <w:pPr>
        <w:spacing w:after="380" w:line="219" w:lineRule="auto"/>
        <w:ind w:left="1681" w:right="14" w:hanging="3"/>
        <w:jc w:val="both"/>
      </w:pPr>
      <w:r>
        <w:rPr>
          <w:sz w:val="26"/>
        </w:rPr>
        <w:t>Que los niños de párvulos 1, 2 y 3 del nivel de educación preprimaria, y alrededor de 1,682,898 niños y niñas de segundo a sexto grado primaria, no tuvieron acceso a los textos correspondientes para el ciclo escolar 2024. Esta situación provocó el incumplimiento de las metas físicas y financieras del Ministerio de Educación, relacionadas a la provisión de textos escolares en los niveles educativos primaria y</w:t>
      </w:r>
    </w:p>
    <w:p w14:paraId="6628CF7E" w14:textId="77777777" w:rsidR="00053D93" w:rsidRDefault="00260B75">
      <w:pPr>
        <w:spacing w:after="91" w:line="361" w:lineRule="auto"/>
        <w:ind w:left="1677" w:right="14" w:hanging="1620"/>
        <w:jc w:val="both"/>
      </w:pPr>
      <w:r>
        <w:rPr>
          <w:sz w:val="26"/>
        </w:rPr>
        <w:t>1 preprimaria, lo que afectó directamente la calidad educativa de los estudiantes beneficiarios de dichos textos.</w:t>
      </w:r>
    </w:p>
    <w:p w14:paraId="46ACFECC" w14:textId="77777777" w:rsidR="00053D93" w:rsidRDefault="00260B75">
      <w:pPr>
        <w:spacing w:after="3"/>
        <w:ind w:left="74" w:right="3485" w:hanging="10"/>
      </w:pPr>
      <w:r>
        <w:rPr>
          <w:noProof/>
        </w:rPr>
        <w:drawing>
          <wp:inline distT="0" distB="0" distL="0" distR="0" wp14:anchorId="455AD37E" wp14:editId="48705ABF">
            <wp:extent cx="13716" cy="9144"/>
            <wp:effectExtent l="0" t="0" r="0" b="0"/>
            <wp:docPr id="1277246" name="Picture 1277246"/>
            <wp:cNvGraphicFramePr/>
            <a:graphic xmlns:a="http://schemas.openxmlformats.org/drawingml/2006/main">
              <a:graphicData uri="http://schemas.openxmlformats.org/drawingml/2006/picture">
                <pic:pic xmlns:pic="http://schemas.openxmlformats.org/drawingml/2006/picture">
                  <pic:nvPicPr>
                    <pic:cNvPr id="1277246" name="Picture 1277246"/>
                    <pic:cNvPicPr/>
                  </pic:nvPicPr>
                  <pic:blipFill>
                    <a:blip r:embed="rId891"/>
                    <a:stretch>
                      <a:fillRect/>
                    </a:stretch>
                  </pic:blipFill>
                  <pic:spPr>
                    <a:xfrm>
                      <a:off x="0" y="0"/>
                      <a:ext cx="13716" cy="9144"/>
                    </a:xfrm>
                    <a:prstGeom prst="rect">
                      <a:avLst/>
                    </a:prstGeom>
                  </pic:spPr>
                </pic:pic>
              </a:graphicData>
            </a:graphic>
          </wp:inline>
        </w:drawing>
      </w:r>
      <w:r>
        <w:rPr>
          <w:sz w:val="70"/>
        </w:rPr>
        <w:t>1</w:t>
      </w:r>
    </w:p>
    <w:p w14:paraId="75B7B2C5" w14:textId="77777777" w:rsidR="00053D93" w:rsidRDefault="00260B75">
      <w:pPr>
        <w:spacing w:after="4" w:line="266" w:lineRule="auto"/>
        <w:ind w:left="1688" w:hanging="10"/>
      </w:pPr>
      <w:r>
        <w:rPr>
          <w:sz w:val="28"/>
        </w:rPr>
        <w:t>Recomendación</w:t>
      </w:r>
    </w:p>
    <w:tbl>
      <w:tblPr>
        <w:tblStyle w:val="TableGrid"/>
        <w:tblpPr w:vertAnchor="page" w:horzAnchor="page" w:tblpX="2822" w:tblpY="14594"/>
        <w:tblOverlap w:val="never"/>
        <w:tblW w:w="7618" w:type="dxa"/>
        <w:tblInd w:w="0" w:type="dxa"/>
        <w:tblCellMar>
          <w:top w:w="49" w:type="dxa"/>
          <w:left w:w="1742" w:type="dxa"/>
          <w:right w:w="115" w:type="dxa"/>
        </w:tblCellMar>
        <w:tblLook w:val="04A0" w:firstRow="1" w:lastRow="0" w:firstColumn="1" w:lastColumn="0" w:noHBand="0" w:noVBand="1"/>
      </w:tblPr>
      <w:tblGrid>
        <w:gridCol w:w="7618"/>
      </w:tblGrid>
      <w:tr w:rsidR="00053D93" w14:paraId="21C3388B" w14:textId="77777777">
        <w:trPr>
          <w:trHeight w:val="55"/>
        </w:trPr>
        <w:tc>
          <w:tcPr>
            <w:tcW w:w="7618" w:type="dxa"/>
            <w:tcBorders>
              <w:top w:val="nil"/>
              <w:left w:val="single" w:sz="2" w:space="0" w:color="000000"/>
              <w:bottom w:val="single" w:sz="2" w:space="0" w:color="000000"/>
              <w:right w:val="nil"/>
            </w:tcBorders>
          </w:tcPr>
          <w:p w14:paraId="23522787" w14:textId="77777777" w:rsidR="00053D93" w:rsidRDefault="00053D93"/>
        </w:tc>
      </w:tr>
      <w:tr w:rsidR="00053D93" w14:paraId="531CF20B" w14:textId="77777777">
        <w:trPr>
          <w:trHeight w:val="579"/>
        </w:trPr>
        <w:tc>
          <w:tcPr>
            <w:tcW w:w="7618" w:type="dxa"/>
            <w:tcBorders>
              <w:top w:val="single" w:sz="2" w:space="0" w:color="000000"/>
              <w:left w:val="single" w:sz="2" w:space="0" w:color="000000"/>
              <w:bottom w:val="nil"/>
              <w:right w:val="nil"/>
            </w:tcBorders>
          </w:tcPr>
          <w:p w14:paraId="595CDF72" w14:textId="77777777" w:rsidR="00053D93" w:rsidRDefault="00260B75">
            <w:pPr>
              <w:ind w:left="835"/>
            </w:pPr>
            <w:r>
              <w:rPr>
                <w:sz w:val="14"/>
              </w:rPr>
              <w:t>MINISTERIO DE EDUCACION</w:t>
            </w:r>
          </w:p>
          <w:p w14:paraId="5AF50608" w14:textId="77777777" w:rsidR="00053D93" w:rsidRDefault="00260B75">
            <w:pPr>
              <w:ind w:left="338"/>
            </w:pPr>
            <w:r>
              <w:rPr>
                <w:sz w:val="14"/>
              </w:rPr>
              <w:t>AUDITORIA FINANCIERA Y DE CUMPLIMIENTO</w:t>
            </w:r>
          </w:p>
          <w:p w14:paraId="04F55726" w14:textId="77777777" w:rsidR="00053D93" w:rsidRDefault="00260B75">
            <w:r>
              <w:rPr>
                <w:sz w:val="14"/>
              </w:rPr>
              <w:t>PERIODO DEL 01 OE ENERO AL 31 DE DICIEMBRE DE 2024</w:t>
            </w:r>
          </w:p>
        </w:tc>
      </w:tr>
    </w:tbl>
    <w:p w14:paraId="187E7467" w14:textId="77777777" w:rsidR="00053D93" w:rsidRDefault="00260B75">
      <w:pPr>
        <w:spacing w:after="4" w:line="216" w:lineRule="auto"/>
        <w:ind w:left="57" w:right="14" w:firstLine="1620"/>
        <w:jc w:val="both"/>
      </w:pPr>
      <w:r>
        <w:rPr>
          <w:noProof/>
        </w:rPr>
        <w:drawing>
          <wp:anchor distT="0" distB="0" distL="114300" distR="114300" simplePos="0" relativeHeight="252315648" behindDoc="0" locked="0" layoutInCell="1" allowOverlap="0" wp14:anchorId="1956204A" wp14:editId="182174A0">
            <wp:simplePos x="0" y="0"/>
            <wp:positionH relativeFrom="page">
              <wp:posOffset>653796</wp:posOffset>
            </wp:positionH>
            <wp:positionV relativeFrom="page">
              <wp:posOffset>9262872</wp:posOffset>
            </wp:positionV>
            <wp:extent cx="1115568" cy="411480"/>
            <wp:effectExtent l="0" t="0" r="0" b="0"/>
            <wp:wrapTopAndBottom/>
            <wp:docPr id="1277363" name="Picture 1277363"/>
            <wp:cNvGraphicFramePr/>
            <a:graphic xmlns:a="http://schemas.openxmlformats.org/drawingml/2006/main">
              <a:graphicData uri="http://schemas.openxmlformats.org/drawingml/2006/picture">
                <pic:pic xmlns:pic="http://schemas.openxmlformats.org/drawingml/2006/picture">
                  <pic:nvPicPr>
                    <pic:cNvPr id="1277363" name="Picture 1277363"/>
                    <pic:cNvPicPr/>
                  </pic:nvPicPr>
                  <pic:blipFill>
                    <a:blip r:embed="rId1709"/>
                    <a:stretch>
                      <a:fillRect/>
                    </a:stretch>
                  </pic:blipFill>
                  <pic:spPr>
                    <a:xfrm>
                      <a:off x="0" y="0"/>
                      <a:ext cx="1115568" cy="411480"/>
                    </a:xfrm>
                    <a:prstGeom prst="rect">
                      <a:avLst/>
                    </a:prstGeom>
                  </pic:spPr>
                </pic:pic>
              </a:graphicData>
            </a:graphic>
          </wp:anchor>
        </w:drawing>
      </w:r>
      <w:r>
        <w:rPr>
          <w:noProof/>
        </w:rPr>
        <w:drawing>
          <wp:anchor distT="0" distB="0" distL="114300" distR="114300" simplePos="0" relativeHeight="252316672" behindDoc="0" locked="0" layoutInCell="1" allowOverlap="0" wp14:anchorId="5683EB60" wp14:editId="1DE9A622">
            <wp:simplePos x="0" y="0"/>
            <wp:positionH relativeFrom="page">
              <wp:posOffset>155448</wp:posOffset>
            </wp:positionH>
            <wp:positionV relativeFrom="page">
              <wp:posOffset>841248</wp:posOffset>
            </wp:positionV>
            <wp:extent cx="41148" cy="9144"/>
            <wp:effectExtent l="0" t="0" r="0" b="0"/>
            <wp:wrapSquare wrapText="bothSides"/>
            <wp:docPr id="1277243" name="Picture 1277243"/>
            <wp:cNvGraphicFramePr/>
            <a:graphic xmlns:a="http://schemas.openxmlformats.org/drawingml/2006/main">
              <a:graphicData uri="http://schemas.openxmlformats.org/drawingml/2006/picture">
                <pic:pic xmlns:pic="http://schemas.openxmlformats.org/drawingml/2006/picture">
                  <pic:nvPicPr>
                    <pic:cNvPr id="1277243" name="Picture 1277243"/>
                    <pic:cNvPicPr/>
                  </pic:nvPicPr>
                  <pic:blipFill>
                    <a:blip r:embed="rId846"/>
                    <a:stretch>
                      <a:fillRect/>
                    </a:stretch>
                  </pic:blipFill>
                  <pic:spPr>
                    <a:xfrm>
                      <a:off x="0" y="0"/>
                      <a:ext cx="41148" cy="9144"/>
                    </a:xfrm>
                    <a:prstGeom prst="rect">
                      <a:avLst/>
                    </a:prstGeom>
                  </pic:spPr>
                </pic:pic>
              </a:graphicData>
            </a:graphic>
          </wp:anchor>
        </w:drawing>
      </w:r>
      <w:r>
        <w:rPr>
          <w:sz w:val="26"/>
        </w:rPr>
        <w:t>La Ministra de Educación, debe girar instrucciones a la Directora General de 1 Gestión de Calidad Educativa, a efecto que, vele y supervise que el Subdirector</w:t>
      </w:r>
    </w:p>
    <w:p w14:paraId="4644562E" w14:textId="77777777" w:rsidR="00053D93" w:rsidRDefault="00260B75">
      <w:pPr>
        <w:spacing w:after="4" w:line="269" w:lineRule="auto"/>
        <w:ind w:left="57" w:right="14" w:firstLine="1613"/>
        <w:jc w:val="both"/>
      </w:pPr>
      <w:r>
        <w:rPr>
          <w:sz w:val="26"/>
        </w:rPr>
        <w:t>Educación Escolar, la Subdirectora Educación Escolar, la Jefa del Nivel de 1 Educación Primaria y la Coordinadora del Nivel de Educación Preprjmaria, realicen oportunamente los procesos de licitación y cotización para la elaboración, producción, impresión y distribución para la provisión de textos escolares en los 1 niveles educativos de primaria y preprimaria para los ciclos escolares siguientes, y con ello, cumplir con la ejecución de las metas físicas y financieras de la entidad, relacionadas a la provisión de textos escolares.</w:t>
      </w:r>
    </w:p>
    <w:p w14:paraId="46AAF67B" w14:textId="77777777" w:rsidR="00053D93" w:rsidRDefault="00260B75">
      <w:pPr>
        <w:spacing w:after="3"/>
        <w:ind w:left="74" w:right="3485" w:hanging="10"/>
      </w:pPr>
      <w:r>
        <w:rPr>
          <w:sz w:val="70"/>
        </w:rPr>
        <w:t>1</w:t>
      </w:r>
    </w:p>
    <w:p w14:paraId="27BEA95F" w14:textId="77777777" w:rsidR="00053D93" w:rsidRDefault="00260B75">
      <w:pPr>
        <w:spacing w:after="94" w:line="266" w:lineRule="auto"/>
        <w:ind w:left="1673" w:hanging="10"/>
      </w:pPr>
      <w:r>
        <w:rPr>
          <w:sz w:val="28"/>
        </w:rPr>
        <w:t>Comentario de los responsables</w:t>
      </w:r>
    </w:p>
    <w:p w14:paraId="58746F70" w14:textId="77777777" w:rsidR="00053D93" w:rsidRDefault="00260B75">
      <w:pPr>
        <w:spacing w:after="203" w:line="269" w:lineRule="auto"/>
        <w:ind w:left="60" w:right="14" w:hanging="3"/>
        <w:jc w:val="both"/>
      </w:pPr>
      <w:r>
        <w:rPr>
          <w:sz w:val="26"/>
        </w:rPr>
        <w:t>1 En Nota s/n, del 21 de abril de 2025, el licenciado Gabriel Ernesto Torres Solares, quien fungió como Subdirector Educación Escolar, por el período comprendido del 1 1 de enero de 2022 al 01 de junio de 2024, manifiesta: Informo que desde 1 mayo de 2024 deje de laborar para DIGECADE, por lo que ya no tengo acceso a documentos de soporte, sin embargo, puedo indicar que los textos de preprimaria programa 1 1 , para 2024 se concretó la compra y fueron distribuidos para su uso 1 en ese año y en el caso de lo adicional fue programado para 2025 como lo explicado por la unidad ejecutora.</w:t>
      </w:r>
    </w:p>
    <w:p w14:paraId="05E3F1EF" w14:textId="77777777" w:rsidR="00053D93" w:rsidRDefault="00260B75">
      <w:pPr>
        <w:spacing w:after="3"/>
        <w:ind w:left="74" w:right="43" w:hanging="10"/>
      </w:pPr>
      <w:r>
        <w:rPr>
          <w:sz w:val="74"/>
        </w:rPr>
        <w:t>1</w:t>
      </w:r>
    </w:p>
    <w:p w14:paraId="14C513ED" w14:textId="77777777" w:rsidR="00053D93" w:rsidRDefault="00260B75">
      <w:pPr>
        <w:spacing w:after="4" w:line="216" w:lineRule="auto"/>
        <w:ind w:left="57" w:right="14" w:firstLine="1577"/>
        <w:jc w:val="both"/>
      </w:pPr>
      <w:r>
        <w:rPr>
          <w:sz w:val="26"/>
        </w:rPr>
        <w:t>En el caso del Nivel de Educación Primaria, así como lo indicó la unidad ejecutora se realizó la entrega de los textos de primer grado y los demás grados no fueron 1 atendidos debido a que la designación presupuestaria se nos informo que era</w:t>
      </w:r>
    </w:p>
    <w:p w14:paraId="679A241E" w14:textId="77777777" w:rsidR="00053D93" w:rsidRDefault="00260B75">
      <w:pPr>
        <w:spacing w:after="3" w:line="265" w:lineRule="auto"/>
        <w:ind w:left="5842" w:hanging="10"/>
      </w:pPr>
      <w:r>
        <w:rPr>
          <w:sz w:val="12"/>
        </w:rPr>
        <w:t>293</w:t>
      </w:r>
    </w:p>
    <w:p w14:paraId="1F687582" w14:textId="77777777" w:rsidR="00053D93" w:rsidRDefault="00053D93">
      <w:pPr>
        <w:sectPr w:rsidR="00053D93">
          <w:headerReference w:type="even" r:id="rId1710"/>
          <w:headerReference w:type="default" r:id="rId1711"/>
          <w:footerReference w:type="even" r:id="rId1712"/>
          <w:footerReference w:type="default" r:id="rId1713"/>
          <w:headerReference w:type="first" r:id="rId1714"/>
          <w:footerReference w:type="first" r:id="rId1715"/>
          <w:pgSz w:w="12290" w:h="15883"/>
          <w:pgMar w:top="850" w:right="1807" w:bottom="698" w:left="324" w:header="353" w:footer="720" w:gutter="0"/>
          <w:cols w:space="720"/>
        </w:sectPr>
      </w:pPr>
    </w:p>
    <w:p w14:paraId="0570B134" w14:textId="77777777" w:rsidR="00053D93" w:rsidRDefault="00260B75">
      <w:pPr>
        <w:tabs>
          <w:tab w:val="center" w:pos="3452"/>
        </w:tabs>
        <w:spacing w:after="81" w:line="269" w:lineRule="auto"/>
      </w:pPr>
      <w:r>
        <w:rPr>
          <w:noProof/>
        </w:rPr>
        <w:drawing>
          <wp:anchor distT="0" distB="0" distL="114300" distR="114300" simplePos="0" relativeHeight="252317696" behindDoc="0" locked="0" layoutInCell="1" allowOverlap="0" wp14:anchorId="27971B2E" wp14:editId="6AFA695B">
            <wp:simplePos x="0" y="0"/>
            <wp:positionH relativeFrom="column">
              <wp:posOffset>-50291</wp:posOffset>
            </wp:positionH>
            <wp:positionV relativeFrom="paragraph">
              <wp:posOffset>-51386</wp:posOffset>
            </wp:positionV>
            <wp:extent cx="7470648" cy="32004"/>
            <wp:effectExtent l="0" t="0" r="0" b="0"/>
            <wp:wrapSquare wrapText="bothSides"/>
            <wp:docPr id="2458973" name="Picture 2458973"/>
            <wp:cNvGraphicFramePr/>
            <a:graphic xmlns:a="http://schemas.openxmlformats.org/drawingml/2006/main">
              <a:graphicData uri="http://schemas.openxmlformats.org/drawingml/2006/picture">
                <pic:pic xmlns:pic="http://schemas.openxmlformats.org/drawingml/2006/picture">
                  <pic:nvPicPr>
                    <pic:cNvPr id="2458973" name="Picture 2458973"/>
                    <pic:cNvPicPr/>
                  </pic:nvPicPr>
                  <pic:blipFill>
                    <a:blip r:embed="rId1716"/>
                    <a:stretch>
                      <a:fillRect/>
                    </a:stretch>
                  </pic:blipFill>
                  <pic:spPr>
                    <a:xfrm>
                      <a:off x="0" y="0"/>
                      <a:ext cx="7470648" cy="32004"/>
                    </a:xfrm>
                    <a:prstGeom prst="rect">
                      <a:avLst/>
                    </a:prstGeom>
                  </pic:spPr>
                </pic:pic>
              </a:graphicData>
            </a:graphic>
          </wp:anchor>
        </w:drawing>
      </w:r>
      <w:r>
        <w:rPr>
          <w:sz w:val="26"/>
        </w:rPr>
        <w:t>1</w:t>
      </w:r>
      <w:r>
        <w:rPr>
          <w:sz w:val="26"/>
        </w:rPr>
        <w:tab/>
        <w:t>limitada y por tal razón no procedía.</w:t>
      </w:r>
    </w:p>
    <w:p w14:paraId="4F4ADB7A" w14:textId="77777777" w:rsidR="00053D93" w:rsidRDefault="00260B75">
      <w:pPr>
        <w:spacing w:after="0" w:line="265" w:lineRule="auto"/>
        <w:ind w:left="1659" w:hanging="10"/>
        <w:jc w:val="both"/>
      </w:pPr>
      <w:r>
        <w:rPr>
          <w:sz w:val="24"/>
        </w:rPr>
        <w:t>La unidad ejecutora aportó la parte documental por lo ya informado... '</w:t>
      </w:r>
      <w:r>
        <w:rPr>
          <w:noProof/>
        </w:rPr>
        <w:drawing>
          <wp:inline distT="0" distB="0" distL="0" distR="0" wp14:anchorId="23A8CA5C" wp14:editId="1D680078">
            <wp:extent cx="13715" cy="41148"/>
            <wp:effectExtent l="0" t="0" r="0" b="0"/>
            <wp:docPr id="1280609" name="Picture 1280609"/>
            <wp:cNvGraphicFramePr/>
            <a:graphic xmlns:a="http://schemas.openxmlformats.org/drawingml/2006/main">
              <a:graphicData uri="http://schemas.openxmlformats.org/drawingml/2006/picture">
                <pic:pic xmlns:pic="http://schemas.openxmlformats.org/drawingml/2006/picture">
                  <pic:nvPicPr>
                    <pic:cNvPr id="1280609" name="Picture 1280609"/>
                    <pic:cNvPicPr/>
                  </pic:nvPicPr>
                  <pic:blipFill>
                    <a:blip r:embed="rId1717"/>
                    <a:stretch>
                      <a:fillRect/>
                    </a:stretch>
                  </pic:blipFill>
                  <pic:spPr>
                    <a:xfrm>
                      <a:off x="0" y="0"/>
                      <a:ext cx="13715" cy="41148"/>
                    </a:xfrm>
                    <a:prstGeom prst="rect">
                      <a:avLst/>
                    </a:prstGeom>
                  </pic:spPr>
                </pic:pic>
              </a:graphicData>
            </a:graphic>
          </wp:inline>
        </w:drawing>
      </w:r>
    </w:p>
    <w:p w14:paraId="05D2AB05" w14:textId="77777777" w:rsidR="00053D93" w:rsidRDefault="00260B75">
      <w:pPr>
        <w:spacing w:after="3"/>
        <w:ind w:left="74" w:right="3485" w:hanging="10"/>
      </w:pPr>
      <w:r>
        <w:rPr>
          <w:sz w:val="70"/>
        </w:rPr>
        <w:t>1</w:t>
      </w:r>
    </w:p>
    <w:p w14:paraId="7DF78E2B" w14:textId="77777777" w:rsidR="00053D93" w:rsidRDefault="00260B75">
      <w:pPr>
        <w:spacing w:after="515" w:line="269" w:lineRule="auto"/>
        <w:ind w:left="57" w:right="14" w:firstLine="1642"/>
        <w:jc w:val="both"/>
      </w:pPr>
      <w:r>
        <w:rPr>
          <w:sz w:val="26"/>
        </w:rPr>
        <w:t>En Nota s/n, del 21 de abril de 2025, la licenciada Vivian Arcelí Palencia Peralta, 1 quien fungió como Subdirectora Educación Escolar, por el período comprendido del 16 de julio al 31 de diciembre de 2024, manifiesta: "... 1. Proceso de adquisición de libros: El proceso para dotar de los libros de [a serie "Descubro y 1 aprendo" para Párvulos 1, 2 y 3 del Nivel de Educación Preprimaria y libros de lectura y textos para el desarrollo de las competencias manifestadas en el 1 Currículo Nacional Base -CNB-, a los estudiantes de primero a sexto grados del Nivel de Educación Primaria, se realiza de la forma siguiente:</w:t>
      </w:r>
    </w:p>
    <w:p w14:paraId="1D160009" w14:textId="77777777" w:rsidR="00053D93" w:rsidRDefault="00260B75">
      <w:pPr>
        <w:spacing w:after="4" w:line="397" w:lineRule="auto"/>
        <w:ind w:left="1691" w:right="14" w:hanging="1634"/>
        <w:jc w:val="both"/>
      </w:pPr>
      <w:r>
        <w:rPr>
          <w:sz w:val="26"/>
        </w:rPr>
        <w:t>1 a) Se solicita la estadística de la población estudiantil que están cursando [os grados de los Niveles de Educación Preprimaria y Primaria, a la Dirección de</w:t>
      </w:r>
    </w:p>
    <w:p w14:paraId="700C08D9" w14:textId="77777777" w:rsidR="00053D93" w:rsidRDefault="00260B75">
      <w:pPr>
        <w:spacing w:after="40" w:line="269" w:lineRule="auto"/>
        <w:ind w:left="1645" w:right="14" w:hanging="3"/>
        <w:jc w:val="both"/>
      </w:pPr>
      <w:r>
        <w:rPr>
          <w:sz w:val="26"/>
        </w:rPr>
        <w:t>Planificación -DIPLAN- del Ministerio de Educación.</w:t>
      </w:r>
    </w:p>
    <w:p w14:paraId="18BC53C9" w14:textId="77777777" w:rsidR="00053D93" w:rsidRDefault="00260B75">
      <w:pPr>
        <w:spacing w:after="3"/>
        <w:ind w:left="74" w:right="3485" w:hanging="10"/>
      </w:pPr>
      <w:r>
        <w:rPr>
          <w:sz w:val="70"/>
        </w:rPr>
        <w:t>1</w:t>
      </w:r>
    </w:p>
    <w:p w14:paraId="0BE70FAD" w14:textId="77777777" w:rsidR="00053D93" w:rsidRDefault="00260B75">
      <w:pPr>
        <w:spacing w:after="417" w:line="317" w:lineRule="auto"/>
        <w:ind w:left="57" w:right="14" w:firstLine="1620"/>
        <w:jc w:val="both"/>
      </w:pPr>
      <w:r>
        <w:rPr>
          <w:sz w:val="26"/>
        </w:rPr>
        <w:t>b) Con base en la estadística brindada por la Dirección de Planificación -DIPLAN1 se establece la cantidad de libros y textos a imprimir para cada uno de los niveles educativos y sus respectivos grados.</w:t>
      </w:r>
    </w:p>
    <w:p w14:paraId="3A512887" w14:textId="77777777" w:rsidR="00053D93" w:rsidRDefault="00260B75">
      <w:pPr>
        <w:spacing w:after="183" w:line="340" w:lineRule="auto"/>
        <w:ind w:left="1663" w:right="14" w:hanging="1606"/>
        <w:jc w:val="both"/>
      </w:pPr>
      <w:r>
        <w:rPr>
          <w:sz w:val="26"/>
        </w:rPr>
        <w:t>1 c) Se elaboran las especificaciones técnicas para el proceso de licitación de la adquisición del servicio de impresión de los textos. En el nombre del evento se indica claramente que el uso de los libros será en el año siguiente, ejemplo:</w:t>
      </w:r>
    </w:p>
    <w:p w14:paraId="568CA439" w14:textId="77777777" w:rsidR="00053D93" w:rsidRDefault="00260B75">
      <w:pPr>
        <w:spacing w:after="45" w:line="266" w:lineRule="auto"/>
        <w:ind w:left="1620" w:hanging="1606"/>
      </w:pPr>
      <w:r>
        <w:rPr>
          <w:sz w:val="28"/>
        </w:rPr>
        <w:t>1 (1-03012023-MINEDUC "SERVICIO DE IMPRESIÓN DE TEXTOS PARA NIÑOS DE PRIMER GRADO DEL NIVEL DE EDUCACIÓN PRIMARIA Y TEXTOS DE Ml</w:t>
      </w:r>
    </w:p>
    <w:p w14:paraId="6C850F19" w14:textId="77777777" w:rsidR="00053D93" w:rsidRDefault="00260B75">
      <w:pPr>
        <w:pStyle w:val="Ttulo3"/>
        <w:tabs>
          <w:tab w:val="right" w:pos="10073"/>
        </w:tabs>
        <w:spacing w:after="4" w:line="253" w:lineRule="auto"/>
        <w:ind w:left="0" w:right="0" w:firstLine="0"/>
        <w:jc w:val="left"/>
      </w:pPr>
      <w:r>
        <w:t>1</w:t>
      </w:r>
      <w:r>
        <w:tab/>
        <w:t>LIBRO DE LECTURAS PRIMER GRADO PRIMARIA, PARA USO EN 2024, A</w:t>
      </w:r>
    </w:p>
    <w:p w14:paraId="47A11D9B" w14:textId="77777777" w:rsidR="00053D93" w:rsidRDefault="00260B75">
      <w:pPr>
        <w:spacing w:after="473" w:line="266" w:lineRule="auto"/>
        <w:ind w:left="1623" w:hanging="10"/>
      </w:pPr>
      <w:r>
        <w:rPr>
          <w:sz w:val="28"/>
        </w:rPr>
        <w:t>SOLICITUD DE LA DIGECADE")</w:t>
      </w:r>
    </w:p>
    <w:p w14:paraId="0AF98FF7" w14:textId="77777777" w:rsidR="00053D93" w:rsidRDefault="00260B75">
      <w:pPr>
        <w:spacing w:after="187" w:line="334" w:lineRule="auto"/>
        <w:ind w:left="1648" w:right="14" w:hanging="1591"/>
        <w:jc w:val="both"/>
      </w:pPr>
      <w:r>
        <w:rPr>
          <w:sz w:val="26"/>
        </w:rPr>
        <w:t>1 d) El expediente que contiene las especificaciones técnicas y documentación legal de respaldo, se traslada a la Dirección de Adquisiciones y Contrataciones -DIDECO- del Ministerio de Educación, cuya competencia es ejercer la rectoría de</w:t>
      </w:r>
    </w:p>
    <w:p w14:paraId="2314A33D" w14:textId="77777777" w:rsidR="00053D93" w:rsidRDefault="00260B75">
      <w:pPr>
        <w:tabs>
          <w:tab w:val="right" w:pos="10073"/>
        </w:tabs>
        <w:spacing w:after="4" w:line="269" w:lineRule="auto"/>
      </w:pPr>
      <w:r>
        <w:rPr>
          <w:sz w:val="26"/>
        </w:rPr>
        <w:t>1</w:t>
      </w:r>
      <w:r>
        <w:rPr>
          <w:sz w:val="26"/>
        </w:rPr>
        <w:tab/>
        <w:t>los procesos de adquisiciones y contrataciones del Ministerio de Educación,</w:t>
      </w:r>
    </w:p>
    <w:p w14:paraId="69C730F3" w14:textId="77777777" w:rsidR="00053D93" w:rsidRDefault="00260B75">
      <w:pPr>
        <w:spacing w:after="32"/>
        <w:ind w:left="-58"/>
      </w:pPr>
      <w:r>
        <w:rPr>
          <w:noProof/>
        </w:rPr>
        <w:drawing>
          <wp:inline distT="0" distB="0" distL="0" distR="0" wp14:anchorId="39E6B54A" wp14:editId="62C5AC7A">
            <wp:extent cx="9144" cy="13716"/>
            <wp:effectExtent l="0" t="0" r="0" b="0"/>
            <wp:docPr id="1280610" name="Picture 1280610"/>
            <wp:cNvGraphicFramePr/>
            <a:graphic xmlns:a="http://schemas.openxmlformats.org/drawingml/2006/main">
              <a:graphicData uri="http://schemas.openxmlformats.org/drawingml/2006/picture">
                <pic:pic xmlns:pic="http://schemas.openxmlformats.org/drawingml/2006/picture">
                  <pic:nvPicPr>
                    <pic:cNvPr id="1280610" name="Picture 1280610"/>
                    <pic:cNvPicPr/>
                  </pic:nvPicPr>
                  <pic:blipFill>
                    <a:blip r:embed="rId49"/>
                    <a:stretch>
                      <a:fillRect/>
                    </a:stretch>
                  </pic:blipFill>
                  <pic:spPr>
                    <a:xfrm>
                      <a:off x="0" y="0"/>
                      <a:ext cx="9144" cy="13716"/>
                    </a:xfrm>
                    <a:prstGeom prst="rect">
                      <a:avLst/>
                    </a:prstGeom>
                  </pic:spPr>
                </pic:pic>
              </a:graphicData>
            </a:graphic>
          </wp:inline>
        </w:drawing>
      </w:r>
    </w:p>
    <w:p w14:paraId="19ADD9A8" w14:textId="77777777" w:rsidR="00053D93" w:rsidRDefault="00260B75">
      <w:pPr>
        <w:spacing w:after="681" w:line="269" w:lineRule="auto"/>
        <w:ind w:left="1601" w:right="14" w:hanging="3"/>
        <w:jc w:val="both"/>
      </w:pPr>
      <w:r>
        <w:rPr>
          <w:sz w:val="26"/>
        </w:rPr>
        <w:t>establecidos en la Ley de Contrataciones del Estado y su Reglamento.</w:t>
      </w:r>
    </w:p>
    <w:p w14:paraId="3D83D3C7" w14:textId="77777777" w:rsidR="00053D93" w:rsidRDefault="00260B75">
      <w:pPr>
        <w:tabs>
          <w:tab w:val="right" w:pos="10073"/>
        </w:tabs>
        <w:spacing w:after="4" w:line="269" w:lineRule="auto"/>
      </w:pPr>
      <w:r>
        <w:rPr>
          <w:sz w:val="26"/>
        </w:rPr>
        <w:t>1</w:t>
      </w:r>
      <w:r>
        <w:rPr>
          <w:sz w:val="26"/>
        </w:rPr>
        <w:tab/>
        <w:t>e) La Dirección de Adquisiciones y Contrataciones -DIDECO- del Ministerio de</w:t>
      </w:r>
    </w:p>
    <w:p w14:paraId="056059A8" w14:textId="77777777" w:rsidR="00053D93" w:rsidRDefault="00260B75">
      <w:pPr>
        <w:spacing w:after="190" w:line="216" w:lineRule="auto"/>
        <w:ind w:left="57" w:right="14" w:firstLine="1591"/>
        <w:jc w:val="both"/>
      </w:pPr>
      <w:r>
        <w:rPr>
          <w:sz w:val="26"/>
        </w:rPr>
        <w:t>Educación, inicia el proceso de publicación, creando el concurso en el Sistema de 1 Información de Contrataciones y Adquisiciones del Estado -GUATECOMPRAS-.</w:t>
      </w:r>
    </w:p>
    <w:p w14:paraId="5C5C25C5" w14:textId="77777777" w:rsidR="00053D93" w:rsidRDefault="00260B75">
      <w:pPr>
        <w:spacing w:after="149" w:line="269" w:lineRule="auto"/>
        <w:ind w:left="57" w:right="14" w:firstLine="1584"/>
        <w:jc w:val="both"/>
      </w:pPr>
      <w:r>
        <w:rPr>
          <w:sz w:val="26"/>
        </w:rPr>
        <w:t>Los incisos a), b) y c), son responsabilidad de la Dirección General de Gestión de 1 Calidad Educativa -DIGECADE-, a partir del inciso d), que se traslada el expediente para la publicación y creación del evento, es responsabilidad de la</w:t>
      </w:r>
    </w:p>
    <w:p w14:paraId="5621E90E" w14:textId="77777777" w:rsidR="00053D93" w:rsidRDefault="00260B75">
      <w:pPr>
        <w:tabs>
          <w:tab w:val="right" w:pos="10073"/>
        </w:tabs>
        <w:spacing w:after="153" w:line="269" w:lineRule="auto"/>
      </w:pPr>
      <w:r>
        <w:rPr>
          <w:sz w:val="26"/>
        </w:rPr>
        <w:t>1</w:t>
      </w:r>
      <w:r>
        <w:rPr>
          <w:sz w:val="26"/>
        </w:rPr>
        <w:tab/>
        <w:t>Dirección de Adquisiciones y Contrataciones -DIDECO- del Ministerio de</w:t>
      </w:r>
    </w:p>
    <w:tbl>
      <w:tblPr>
        <w:tblStyle w:val="TableGrid"/>
        <w:tblpPr w:vertAnchor="text" w:tblpX="2431" w:tblpY="14"/>
        <w:tblOverlap w:val="never"/>
        <w:tblW w:w="7620" w:type="dxa"/>
        <w:tblInd w:w="0" w:type="dxa"/>
        <w:tblCellMar>
          <w:top w:w="27" w:type="dxa"/>
          <w:left w:w="1745" w:type="dxa"/>
          <w:right w:w="115" w:type="dxa"/>
        </w:tblCellMar>
        <w:tblLook w:val="04A0" w:firstRow="1" w:lastRow="0" w:firstColumn="1" w:lastColumn="0" w:noHBand="0" w:noVBand="1"/>
      </w:tblPr>
      <w:tblGrid>
        <w:gridCol w:w="7620"/>
      </w:tblGrid>
      <w:tr w:rsidR="00053D93" w14:paraId="2B540C8F" w14:textId="77777777">
        <w:trPr>
          <w:trHeight w:val="62"/>
        </w:trPr>
        <w:tc>
          <w:tcPr>
            <w:tcW w:w="7620" w:type="dxa"/>
            <w:tcBorders>
              <w:top w:val="nil"/>
              <w:left w:val="single" w:sz="2" w:space="0" w:color="000000"/>
              <w:bottom w:val="single" w:sz="2" w:space="0" w:color="000000"/>
              <w:right w:val="nil"/>
            </w:tcBorders>
          </w:tcPr>
          <w:p w14:paraId="6DF6ACE7" w14:textId="77777777" w:rsidR="00053D93" w:rsidRDefault="00053D93"/>
        </w:tc>
      </w:tr>
      <w:tr w:rsidR="00053D93" w14:paraId="68C0759F" w14:textId="77777777">
        <w:trPr>
          <w:trHeight w:val="571"/>
        </w:trPr>
        <w:tc>
          <w:tcPr>
            <w:tcW w:w="7620" w:type="dxa"/>
            <w:tcBorders>
              <w:top w:val="single" w:sz="2" w:space="0" w:color="000000"/>
              <w:left w:val="single" w:sz="2" w:space="0" w:color="000000"/>
              <w:bottom w:val="nil"/>
              <w:right w:val="nil"/>
            </w:tcBorders>
          </w:tcPr>
          <w:p w14:paraId="5272A07E" w14:textId="77777777" w:rsidR="00053D93" w:rsidRDefault="00260B75">
            <w:pPr>
              <w:ind w:left="835"/>
            </w:pPr>
            <w:r>
              <w:rPr>
                <w:sz w:val="14"/>
              </w:rPr>
              <w:t>MINISTERIO DE EDUCACION</w:t>
            </w:r>
          </w:p>
          <w:p w14:paraId="1283D3C0" w14:textId="77777777" w:rsidR="00053D93" w:rsidRDefault="00260B75">
            <w:pPr>
              <w:ind w:left="338"/>
            </w:pPr>
            <w:r>
              <w:rPr>
                <w:sz w:val="14"/>
              </w:rPr>
              <w:t>AUDITORIA FINANCIERA Y DE CUMPLIMIENTO</w:t>
            </w:r>
          </w:p>
          <w:p w14:paraId="665F1549" w14:textId="77777777" w:rsidR="00053D93" w:rsidRDefault="00260B75">
            <w:r>
              <w:rPr>
                <w:sz w:val="14"/>
              </w:rPr>
              <w:t>PERIODO DEL 01 OE ENERO AL 31 DE DICIEMBRE DE 2024</w:t>
            </w:r>
          </w:p>
        </w:tc>
      </w:tr>
    </w:tbl>
    <w:p w14:paraId="3A6D4860" w14:textId="77777777" w:rsidR="00053D93" w:rsidRDefault="00260B75">
      <w:pPr>
        <w:spacing w:after="3"/>
        <w:ind w:left="24" w:hanging="10"/>
      </w:pPr>
      <w:r>
        <w:rPr>
          <w:sz w:val="72"/>
        </w:rPr>
        <w:t xml:space="preserve">1 </w:t>
      </w:r>
      <w:r>
        <w:rPr>
          <w:noProof/>
        </w:rPr>
        <w:drawing>
          <wp:inline distT="0" distB="0" distL="0" distR="0" wp14:anchorId="5476A0EE" wp14:editId="6608B7C8">
            <wp:extent cx="1120140" cy="411480"/>
            <wp:effectExtent l="0" t="0" r="0" b="0"/>
            <wp:docPr id="1280657" name="Picture 1280657"/>
            <wp:cNvGraphicFramePr/>
            <a:graphic xmlns:a="http://schemas.openxmlformats.org/drawingml/2006/main">
              <a:graphicData uri="http://schemas.openxmlformats.org/drawingml/2006/picture">
                <pic:pic xmlns:pic="http://schemas.openxmlformats.org/drawingml/2006/picture">
                  <pic:nvPicPr>
                    <pic:cNvPr id="1280657" name="Picture 1280657"/>
                    <pic:cNvPicPr/>
                  </pic:nvPicPr>
                  <pic:blipFill>
                    <a:blip r:embed="rId1718"/>
                    <a:stretch>
                      <a:fillRect/>
                    </a:stretch>
                  </pic:blipFill>
                  <pic:spPr>
                    <a:xfrm>
                      <a:off x="0" y="0"/>
                      <a:ext cx="1120140" cy="411480"/>
                    </a:xfrm>
                    <a:prstGeom prst="rect">
                      <a:avLst/>
                    </a:prstGeom>
                  </pic:spPr>
                </pic:pic>
              </a:graphicData>
            </a:graphic>
          </wp:inline>
        </w:drawing>
      </w:r>
    </w:p>
    <w:p w14:paraId="0D7E6F22" w14:textId="77777777" w:rsidR="00053D93" w:rsidRDefault="00053D93">
      <w:pPr>
        <w:sectPr w:rsidR="00053D93">
          <w:type w:val="continuous"/>
          <w:pgSz w:w="12290" w:h="15883"/>
          <w:pgMar w:top="850" w:right="1829" w:bottom="432" w:left="389" w:header="720" w:footer="720" w:gutter="0"/>
          <w:cols w:space="720"/>
        </w:sectPr>
      </w:pPr>
    </w:p>
    <w:p w14:paraId="467A202D" w14:textId="77777777" w:rsidR="00053D93" w:rsidRDefault="00260B75">
      <w:pPr>
        <w:spacing w:after="180" w:line="273" w:lineRule="auto"/>
        <w:ind w:left="24" w:hanging="3"/>
      </w:pPr>
      <w:r>
        <w:rPr>
          <w:noProof/>
        </w:rPr>
        <w:drawing>
          <wp:anchor distT="0" distB="0" distL="114300" distR="114300" simplePos="0" relativeHeight="252318720" behindDoc="0" locked="0" layoutInCell="1" allowOverlap="0" wp14:anchorId="777F4E04" wp14:editId="69E0F1E7">
            <wp:simplePos x="0" y="0"/>
            <wp:positionH relativeFrom="column">
              <wp:posOffset>544068</wp:posOffset>
            </wp:positionH>
            <wp:positionV relativeFrom="paragraph">
              <wp:posOffset>-61436</wp:posOffset>
            </wp:positionV>
            <wp:extent cx="6345936" cy="32004"/>
            <wp:effectExtent l="0" t="0" r="0" b="0"/>
            <wp:wrapSquare wrapText="bothSides"/>
            <wp:docPr id="2458975" name="Picture 2458975"/>
            <wp:cNvGraphicFramePr/>
            <a:graphic xmlns:a="http://schemas.openxmlformats.org/drawingml/2006/main">
              <a:graphicData uri="http://schemas.openxmlformats.org/drawingml/2006/picture">
                <pic:pic xmlns:pic="http://schemas.openxmlformats.org/drawingml/2006/picture">
                  <pic:nvPicPr>
                    <pic:cNvPr id="2458975" name="Picture 2458975"/>
                    <pic:cNvPicPr/>
                  </pic:nvPicPr>
                  <pic:blipFill>
                    <a:blip r:embed="rId1719"/>
                    <a:stretch>
                      <a:fillRect/>
                    </a:stretch>
                  </pic:blipFill>
                  <pic:spPr>
                    <a:xfrm>
                      <a:off x="0" y="0"/>
                      <a:ext cx="6345936" cy="32004"/>
                    </a:xfrm>
                    <a:prstGeom prst="rect">
                      <a:avLst/>
                    </a:prstGeom>
                  </pic:spPr>
                </pic:pic>
              </a:graphicData>
            </a:graphic>
          </wp:anchor>
        </w:drawing>
      </w:r>
      <w:r>
        <w:rPr>
          <w:noProof/>
        </w:rPr>
        <w:drawing>
          <wp:anchor distT="0" distB="0" distL="114300" distR="114300" simplePos="0" relativeHeight="252319744" behindDoc="0" locked="0" layoutInCell="1" allowOverlap="0" wp14:anchorId="75AD0DE5" wp14:editId="0AFB0860">
            <wp:simplePos x="0" y="0"/>
            <wp:positionH relativeFrom="column">
              <wp:posOffset>-32003</wp:posOffset>
            </wp:positionH>
            <wp:positionV relativeFrom="paragraph">
              <wp:posOffset>-38576</wp:posOffset>
            </wp:positionV>
            <wp:extent cx="41148" cy="45720"/>
            <wp:effectExtent l="0" t="0" r="0" b="0"/>
            <wp:wrapSquare wrapText="bothSides"/>
            <wp:docPr id="2458977" name="Picture 2458977"/>
            <wp:cNvGraphicFramePr/>
            <a:graphic xmlns:a="http://schemas.openxmlformats.org/drawingml/2006/main">
              <a:graphicData uri="http://schemas.openxmlformats.org/drawingml/2006/picture">
                <pic:pic xmlns:pic="http://schemas.openxmlformats.org/drawingml/2006/picture">
                  <pic:nvPicPr>
                    <pic:cNvPr id="2458977" name="Picture 2458977"/>
                    <pic:cNvPicPr/>
                  </pic:nvPicPr>
                  <pic:blipFill>
                    <a:blip r:embed="rId1720"/>
                    <a:stretch>
                      <a:fillRect/>
                    </a:stretch>
                  </pic:blipFill>
                  <pic:spPr>
                    <a:xfrm>
                      <a:off x="0" y="0"/>
                      <a:ext cx="41148" cy="45720"/>
                    </a:xfrm>
                    <a:prstGeom prst="rect">
                      <a:avLst/>
                    </a:prstGeom>
                  </pic:spPr>
                </pic:pic>
              </a:graphicData>
            </a:graphic>
          </wp:anchor>
        </w:drawing>
      </w:r>
      <w:r>
        <w:rPr>
          <w:sz w:val="26"/>
        </w:rPr>
        <w:t>1</w:t>
      </w:r>
      <w:r>
        <w:rPr>
          <w:sz w:val="26"/>
        </w:rPr>
        <w:tab/>
        <w:t>Educación y [as comisiones nombradas por la autoridad superior, para cumplir con [os procesos establecidos en [a Ley de Contrataciones del Estado y su 1</w:t>
      </w:r>
      <w:r>
        <w:rPr>
          <w:sz w:val="26"/>
        </w:rPr>
        <w:tab/>
        <w:t>Reglamento.</w:t>
      </w:r>
    </w:p>
    <w:p w14:paraId="56313A5C" w14:textId="77777777" w:rsidR="00053D93" w:rsidRDefault="00260B75">
      <w:pPr>
        <w:spacing w:after="149" w:line="216" w:lineRule="auto"/>
        <w:ind w:left="57" w:right="14" w:firstLine="1670"/>
        <w:jc w:val="both"/>
      </w:pPr>
      <w:r>
        <w:rPr>
          <w:sz w:val="26"/>
        </w:rPr>
        <w:t>2. Ejecución de la licitación 1--025/2024 , MINEDUC - NOG 23143320 1 correspondiente al Nivel de Educación Preprimaria</w:t>
      </w:r>
    </w:p>
    <w:p w14:paraId="3998B75C" w14:textId="77777777" w:rsidR="00053D93" w:rsidRDefault="00260B75">
      <w:pPr>
        <w:spacing w:after="629" w:line="273" w:lineRule="auto"/>
        <w:ind w:left="21" w:firstLine="1678"/>
      </w:pPr>
      <w:r>
        <w:rPr>
          <w:sz w:val="26"/>
        </w:rPr>
        <w:t>Con relación al proceso de licitación identificado como: "SERVICIO DE 1</w:t>
      </w:r>
      <w:r>
        <w:rPr>
          <w:sz w:val="26"/>
        </w:rPr>
        <w:tab/>
        <w:t>IMPRESIÓN DE LOS LIBROS DE LA SERIE 'DESCUBRO Y APRENDO' PARA PÁRVULOS 1 , 2 Y 3 DEL NIVEL DE EDUCACIÓN PREPRIMARIA, A 1</w:t>
      </w:r>
      <w:r>
        <w:rPr>
          <w:sz w:val="26"/>
        </w:rPr>
        <w:tab/>
        <w:t>DISTRIBUIRSE PARA SU USO EN EL CICLO ESCOLAR 2025, A SOLICITUD DE LA DIGECADE", de conformidad al historial de acciones registrado en el Sistema de Información de Contrataciones y Adquisiciones del Estado 1</w:t>
      </w:r>
      <w:r>
        <w:rPr>
          <w:sz w:val="26"/>
        </w:rPr>
        <w:tab/>
        <w:t>-GUATECOMPRAS-, CREACIÓN: se creó el concurso en el sistema el 21 de mayo de 2024.</w:t>
      </w:r>
    </w:p>
    <w:p w14:paraId="32BF1964" w14:textId="77777777" w:rsidR="00053D93" w:rsidRDefault="00260B75">
      <w:pPr>
        <w:tabs>
          <w:tab w:val="center" w:pos="4972"/>
        </w:tabs>
        <w:spacing w:after="4" w:line="269" w:lineRule="auto"/>
      </w:pPr>
      <w:r>
        <w:rPr>
          <w:sz w:val="26"/>
        </w:rPr>
        <w:t>1</w:t>
      </w:r>
      <w:r>
        <w:rPr>
          <w:sz w:val="26"/>
        </w:rPr>
        <w:tab/>
        <w:t>El proceso para la adjudicación, se realizó de la forma siguiente:</w:t>
      </w:r>
    </w:p>
    <w:p w14:paraId="683DEA6A" w14:textId="77777777" w:rsidR="00053D93" w:rsidRDefault="00260B75">
      <w:pPr>
        <w:spacing w:after="502" w:line="269" w:lineRule="auto"/>
        <w:ind w:left="60" w:right="14" w:hanging="3"/>
        <w:jc w:val="both"/>
      </w:pPr>
      <w:r>
        <w:rPr>
          <w:noProof/>
        </w:rPr>
        <mc:AlternateContent>
          <mc:Choice Requires="wpg">
            <w:drawing>
              <wp:anchor distT="0" distB="0" distL="114300" distR="114300" simplePos="0" relativeHeight="252320768" behindDoc="0" locked="0" layoutInCell="1" allowOverlap="1" wp14:anchorId="5B7CF9DB" wp14:editId="648A1C20">
                <wp:simplePos x="0" y="0"/>
                <wp:positionH relativeFrom="column">
                  <wp:posOffset>27432</wp:posOffset>
                </wp:positionH>
                <wp:positionV relativeFrom="paragraph">
                  <wp:posOffset>-20997</wp:posOffset>
                </wp:positionV>
                <wp:extent cx="114300" cy="292608"/>
                <wp:effectExtent l="0" t="0" r="0" b="0"/>
                <wp:wrapSquare wrapText="bothSides"/>
                <wp:docPr id="2457787" name="Group 2457787"/>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281347" name="Rectangle 1281347"/>
                        <wps:cNvSpPr/>
                        <wps:spPr>
                          <a:xfrm>
                            <a:off x="0" y="0"/>
                            <a:ext cx="152019" cy="389168"/>
                          </a:xfrm>
                          <a:prstGeom prst="rect">
                            <a:avLst/>
                          </a:prstGeom>
                          <a:ln>
                            <a:noFill/>
                          </a:ln>
                        </wps:spPr>
                        <wps:txbx>
                          <w:txbxContent>
                            <w:p w14:paraId="2E66C44A"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5B7CF9DB" id="Group 2457787" o:spid="_x0000_s1811" style="position:absolute;left:0;text-align:left;margin-left:2.15pt;margin-top:-1.65pt;width:9pt;height:23.05pt;z-index:252320768;mso-position-horizontal-relative:text;mso-position-vertical-relative:text"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">
                <v:rect id="Rectangle 1281347" o:spid="_x0000_s1812" style="position:absolute;width:152019;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" filled="f" stroked="f">
                  <v:textbox inset="0,0,0,0">
                    <w:txbxContent>
                      <w:p w14:paraId="2E66C44A" w14:textId="77777777" w:rsidR="00053D93" w:rsidRDefault="00260B75">
                        <w:r>
                          <w:rPr>
                            <w:sz w:val="70"/>
                          </w:rPr>
                          <w:t>1</w:t>
                        </w:r>
                      </w:p>
                    </w:txbxContent>
                  </v:textbox>
                </v:rect>
                <w10:wrap type="square"/>
              </v:group>
            </w:pict>
          </mc:Fallback>
        </mc:AlternateContent>
      </w:r>
      <w:r>
        <w:rPr>
          <w:sz w:val="26"/>
        </w:rPr>
        <w:t>a. El 27 de agosto de 2024, se publicó la adjudicación del proceso por medio del Acta No. 106-2024.</w:t>
      </w:r>
    </w:p>
    <w:p w14:paraId="2A56E396" w14:textId="77777777" w:rsidR="00053D93" w:rsidRDefault="00260B75">
      <w:pPr>
        <w:spacing w:after="408" w:line="396" w:lineRule="auto"/>
        <w:ind w:left="1699" w:right="14" w:hanging="1642"/>
        <w:jc w:val="both"/>
      </w:pPr>
      <w:r>
        <w:rPr>
          <w:sz w:val="26"/>
        </w:rPr>
        <w:t>1 b. El 10 de septiembre de 2024, el Despacho Superior improbó lo actuado por la junta de licitación (Resolución 3545-2024), publicado el 1 1 de septiembre de 2024.</w:t>
      </w:r>
    </w:p>
    <w:p w14:paraId="6265CDBA" w14:textId="77777777" w:rsidR="00053D93" w:rsidRDefault="00260B75">
      <w:pPr>
        <w:tabs>
          <w:tab w:val="right" w:pos="10174"/>
        </w:tabs>
        <w:spacing w:after="4" w:line="269" w:lineRule="auto"/>
      </w:pPr>
      <w:r>
        <w:rPr>
          <w:sz w:val="26"/>
        </w:rPr>
        <w:t>1</w:t>
      </w:r>
      <w:r>
        <w:rPr>
          <w:sz w:val="26"/>
        </w:rPr>
        <w:tab/>
        <w:t>c. El 18 de septiembre de 2024, [a junta de licitación solicitó aclaraciones a las</w:t>
      </w:r>
    </w:p>
    <w:p w14:paraId="76924969" w14:textId="77777777" w:rsidR="00053D93" w:rsidRDefault="00260B75">
      <w:pPr>
        <w:spacing w:after="224" w:line="269" w:lineRule="auto"/>
        <w:ind w:left="1702" w:right="14" w:hanging="3"/>
        <w:jc w:val="both"/>
      </w:pPr>
      <w:r>
        <w:rPr>
          <w:sz w:val="26"/>
        </w:rPr>
        <w:t>empresas participantes en el evento.</w:t>
      </w:r>
    </w:p>
    <w:p w14:paraId="6517301D" w14:textId="77777777" w:rsidR="00053D93" w:rsidRDefault="00260B75">
      <w:pPr>
        <w:spacing w:after="3"/>
        <w:ind w:left="74" w:right="3485" w:hanging="10"/>
      </w:pPr>
      <w:r>
        <w:rPr>
          <w:sz w:val="70"/>
        </w:rPr>
        <w:t>1</w:t>
      </w:r>
    </w:p>
    <w:p w14:paraId="459DA2D3" w14:textId="77777777" w:rsidR="00053D93" w:rsidRDefault="00260B75">
      <w:pPr>
        <w:numPr>
          <w:ilvl w:val="0"/>
          <w:numId w:val="24"/>
        </w:numPr>
        <w:spacing w:after="117" w:line="269" w:lineRule="auto"/>
        <w:ind w:right="14" w:hanging="3"/>
        <w:jc w:val="both"/>
      </w:pPr>
      <w:r>
        <w:rPr>
          <w:sz w:val="26"/>
        </w:rPr>
        <w:t>El 20 de septiembre de 2024 ta junta de licitación confirmó la adjudicación por medio del Acta 134-2024.</w:t>
      </w:r>
    </w:p>
    <w:p w14:paraId="4B7C4DC5" w14:textId="77777777" w:rsidR="00053D93" w:rsidRDefault="00260B75">
      <w:pPr>
        <w:spacing w:after="3"/>
        <w:ind w:left="74" w:right="3485" w:hanging="10"/>
      </w:pPr>
      <w:r>
        <w:rPr>
          <w:sz w:val="70"/>
        </w:rPr>
        <w:t>1</w:t>
      </w:r>
    </w:p>
    <w:p w14:paraId="7AC06597" w14:textId="77777777" w:rsidR="00053D93" w:rsidRDefault="00260B75">
      <w:pPr>
        <w:numPr>
          <w:ilvl w:val="0"/>
          <w:numId w:val="24"/>
        </w:numPr>
        <w:spacing w:after="460" w:line="269" w:lineRule="auto"/>
        <w:ind w:right="14" w:hanging="3"/>
        <w:jc w:val="both"/>
      </w:pPr>
      <w:r>
        <w:rPr>
          <w:noProof/>
        </w:rPr>
        <mc:AlternateContent>
          <mc:Choice Requires="wpg">
            <w:drawing>
              <wp:anchor distT="0" distB="0" distL="114300" distR="114300" simplePos="0" relativeHeight="252321792" behindDoc="0" locked="0" layoutInCell="1" allowOverlap="1" wp14:anchorId="2165E21A" wp14:editId="5C9FB731">
                <wp:simplePos x="0" y="0"/>
                <wp:positionH relativeFrom="column">
                  <wp:posOffset>32004</wp:posOffset>
                </wp:positionH>
                <wp:positionV relativeFrom="paragraph">
                  <wp:posOffset>238830</wp:posOffset>
                </wp:positionV>
                <wp:extent cx="114300" cy="292609"/>
                <wp:effectExtent l="0" t="0" r="0" b="0"/>
                <wp:wrapSquare wrapText="bothSides"/>
                <wp:docPr id="2457788" name="Group 2457788"/>
                <wp:cNvGraphicFramePr/>
                <a:graphic xmlns:a="http://schemas.openxmlformats.org/drawingml/2006/main">
                  <a:graphicData uri="http://schemas.microsoft.com/office/word/2010/wordprocessingGroup">
                    <wpg:wgp>
                      <wpg:cNvGrpSpPr/>
                      <wpg:grpSpPr>
                        <a:xfrm>
                          <a:off x="0" y="0"/>
                          <a:ext cx="114300" cy="292609"/>
                          <a:chOff x="0" y="0"/>
                          <a:chExt cx="114300" cy="292609"/>
                        </a:xfrm>
                      </wpg:grpSpPr>
                      <wps:wsp>
                        <wps:cNvPr id="1281352" name="Rectangle 1281352"/>
                        <wps:cNvSpPr/>
                        <wps:spPr>
                          <a:xfrm>
                            <a:off x="0" y="0"/>
                            <a:ext cx="152019" cy="389169"/>
                          </a:xfrm>
                          <a:prstGeom prst="rect">
                            <a:avLst/>
                          </a:prstGeom>
                          <a:ln>
                            <a:noFill/>
                          </a:ln>
                        </wps:spPr>
                        <wps:txbx>
                          <w:txbxContent>
                            <w:p w14:paraId="073DFD25"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2165E21A" id="Group 2457788" o:spid="_x0000_s1813" style="position:absolute;left:0;text-align:left;margin-left:2.5pt;margin-top:18.8pt;width:9pt;height:23.05pt;z-index:252321792;mso-position-horizontal-relative:text;mso-position-vertical-relative:text" coordsize="114300,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">
                <v:rect id="Rectangle 1281352" o:spid="_x0000_s1814"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" filled="f" stroked="f">
                  <v:textbox inset="0,0,0,0">
                    <w:txbxContent>
                      <w:p w14:paraId="073DFD25" w14:textId="77777777" w:rsidR="00053D93" w:rsidRDefault="00260B75">
                        <w:r>
                          <w:rPr>
                            <w:sz w:val="70"/>
                          </w:rPr>
                          <w:t>1</w:t>
                        </w:r>
                      </w:p>
                    </w:txbxContent>
                  </v:textbox>
                </v:rect>
                <w10:wrap type="square"/>
              </v:group>
            </w:pict>
          </mc:Fallback>
        </mc:AlternateContent>
      </w:r>
      <w:r>
        <w:rPr>
          <w:sz w:val="26"/>
        </w:rPr>
        <w:t>Por medio de la Resolución 3826-2024, de fecha 01 de octubre de 2024, las autoridades superiores aprueban la adjudicación realizada por la junta, publicada el 03 de octubre de 2024.</w:t>
      </w:r>
    </w:p>
    <w:p w14:paraId="420648B1" w14:textId="77777777" w:rsidR="00053D93" w:rsidRDefault="00260B75">
      <w:pPr>
        <w:tabs>
          <w:tab w:val="right" w:pos="10174"/>
        </w:tabs>
        <w:spacing w:after="0" w:line="265" w:lineRule="auto"/>
        <w:ind w:left="-1"/>
      </w:pPr>
      <w:r>
        <w:rPr>
          <w:sz w:val="24"/>
        </w:rPr>
        <w:t>1</w:t>
      </w:r>
      <w:r>
        <w:rPr>
          <w:sz w:val="24"/>
        </w:rPr>
        <w:tab/>
        <w:t>f. La firma del Contrato Administrativo NÚMERO 55-2024-DIGECADE-L, se realizó</w:t>
      </w:r>
    </w:p>
    <w:p w14:paraId="061F8B71" w14:textId="77777777" w:rsidR="00053D93" w:rsidRDefault="00260B75">
      <w:pPr>
        <w:spacing w:after="569" w:line="269" w:lineRule="auto"/>
        <w:ind w:left="1695" w:right="14" w:hanging="3"/>
        <w:jc w:val="both"/>
      </w:pPr>
      <w:r>
        <w:rPr>
          <w:sz w:val="26"/>
        </w:rPr>
        <w:t>el día 4 de noviembre de 2024.</w:t>
      </w:r>
    </w:p>
    <w:p w14:paraId="03351910" w14:textId="77777777" w:rsidR="00053D93" w:rsidRDefault="00260B75">
      <w:pPr>
        <w:spacing w:after="4" w:line="386" w:lineRule="auto"/>
        <w:ind w:left="1691" w:right="14" w:hanging="1634"/>
        <w:jc w:val="both"/>
      </w:pPr>
      <w:r>
        <w:rPr>
          <w:sz w:val="26"/>
        </w:rPr>
        <w:t>1 g. La aprobación del Contrato Administrativo No. 55-2024-DIGECADE-L por parte de las autoridades superiores fue por medio del Acuerdo Ministerial No.</w:t>
      </w:r>
    </w:p>
    <w:p w14:paraId="270F3855" w14:textId="77777777" w:rsidR="00053D93" w:rsidRDefault="00260B75">
      <w:pPr>
        <w:spacing w:after="135" w:line="513" w:lineRule="auto"/>
        <w:ind w:left="1691" w:right="14" w:hanging="1634"/>
        <w:jc w:val="both"/>
      </w:pPr>
      <w:r>
        <w:rPr>
          <w:sz w:val="26"/>
        </w:rPr>
        <w:t>1</w:t>
      </w:r>
      <w:r>
        <w:rPr>
          <w:sz w:val="26"/>
        </w:rPr>
        <w:tab/>
        <w:t>3637-2024, con fecha 6 de diciembre de 2024, publicado el día 10 de diciembre de 2024, surtiendo efectos el 1 1 de diciembre de 2024.</w:t>
      </w:r>
    </w:p>
    <w:p w14:paraId="0DF0CD3B" w14:textId="77777777" w:rsidR="00053D93" w:rsidRDefault="00260B75">
      <w:pPr>
        <w:tabs>
          <w:tab w:val="right" w:pos="10174"/>
        </w:tabs>
        <w:spacing w:after="4" w:line="269" w:lineRule="auto"/>
      </w:pPr>
      <w:r>
        <w:rPr>
          <w:sz w:val="26"/>
        </w:rPr>
        <w:t>1</w:t>
      </w:r>
      <w:r>
        <w:rPr>
          <w:sz w:val="26"/>
        </w:rPr>
        <w:tab/>
        <w:t>h. Por medio de la Resolución 423-2025, de fecha 1 1 de febrero de 2025, las</w:t>
      </w:r>
    </w:p>
    <w:p w14:paraId="69FE0B53" w14:textId="77777777" w:rsidR="00053D93" w:rsidRDefault="00260B75">
      <w:pPr>
        <w:spacing w:after="0"/>
        <w:ind w:left="742"/>
      </w:pPr>
      <w:r>
        <w:rPr>
          <w:noProof/>
        </w:rPr>
        <w:drawing>
          <wp:inline distT="0" distB="0" distL="0" distR="0" wp14:anchorId="7643B208" wp14:editId="1E11D7F1">
            <wp:extent cx="5975604" cy="406909"/>
            <wp:effectExtent l="0" t="0" r="0" b="0"/>
            <wp:docPr id="2458979" name="Picture 2458979"/>
            <wp:cNvGraphicFramePr/>
            <a:graphic xmlns:a="http://schemas.openxmlformats.org/drawingml/2006/main">
              <a:graphicData uri="http://schemas.openxmlformats.org/drawingml/2006/picture">
                <pic:pic xmlns:pic="http://schemas.openxmlformats.org/drawingml/2006/picture">
                  <pic:nvPicPr>
                    <pic:cNvPr id="2458979" name="Picture 2458979"/>
                    <pic:cNvPicPr/>
                  </pic:nvPicPr>
                  <pic:blipFill>
                    <a:blip r:embed="rId1721"/>
                    <a:stretch>
                      <a:fillRect/>
                    </a:stretch>
                  </pic:blipFill>
                  <pic:spPr>
                    <a:xfrm>
                      <a:off x="0" y="0"/>
                      <a:ext cx="5975604" cy="406909"/>
                    </a:xfrm>
                    <a:prstGeom prst="rect">
                      <a:avLst/>
                    </a:prstGeom>
                  </pic:spPr>
                </pic:pic>
              </a:graphicData>
            </a:graphic>
          </wp:inline>
        </w:drawing>
      </w:r>
    </w:p>
    <w:p w14:paraId="52056683" w14:textId="77777777" w:rsidR="00053D93" w:rsidRDefault="00260B75">
      <w:pPr>
        <w:spacing w:after="376" w:line="265" w:lineRule="auto"/>
        <w:ind w:left="1846" w:right="137" w:hanging="10"/>
        <w:jc w:val="center"/>
      </w:pPr>
      <w:r>
        <w:rPr>
          <w:sz w:val="14"/>
        </w:rPr>
        <w:t>295</w:t>
      </w:r>
    </w:p>
    <w:p w14:paraId="343A96FE" w14:textId="77777777" w:rsidR="00053D93" w:rsidRDefault="00260B75">
      <w:pPr>
        <w:spacing w:after="707" w:line="216" w:lineRule="auto"/>
        <w:ind w:left="1727" w:right="14" w:hanging="1670"/>
        <w:jc w:val="both"/>
      </w:pPr>
      <w:r>
        <w:rPr>
          <w:noProof/>
        </w:rPr>
        <mc:AlternateContent>
          <mc:Choice Requires="wpg">
            <w:drawing>
              <wp:anchor distT="0" distB="0" distL="114300" distR="114300" simplePos="0" relativeHeight="252322816" behindDoc="0" locked="0" layoutInCell="1" allowOverlap="1" wp14:anchorId="2D95F5EB" wp14:editId="6D080924">
                <wp:simplePos x="0" y="0"/>
                <wp:positionH relativeFrom="column">
                  <wp:posOffset>530352</wp:posOffset>
                </wp:positionH>
                <wp:positionV relativeFrom="paragraph">
                  <wp:posOffset>22860</wp:posOffset>
                </wp:positionV>
                <wp:extent cx="6185916" cy="9144"/>
                <wp:effectExtent l="0" t="0" r="0" b="0"/>
                <wp:wrapSquare wrapText="bothSides"/>
                <wp:docPr id="2458986" name="Group 2458986"/>
                <wp:cNvGraphicFramePr/>
                <a:graphic xmlns:a="http://schemas.openxmlformats.org/drawingml/2006/main">
                  <a:graphicData uri="http://schemas.microsoft.com/office/word/2010/wordprocessingGroup">
                    <wpg:wgp>
                      <wpg:cNvGrpSpPr/>
                      <wpg:grpSpPr>
                        <a:xfrm>
                          <a:off x="0" y="0"/>
                          <a:ext cx="6185916" cy="9144"/>
                          <a:chOff x="0" y="0"/>
                          <a:chExt cx="6185916" cy="9144"/>
                        </a:xfrm>
                      </wpg:grpSpPr>
                      <wps:wsp>
                        <wps:cNvPr id="2458985" name="Shape 2458985"/>
                        <wps:cNvSpPr/>
                        <wps:spPr>
                          <a:xfrm>
                            <a:off x="0" y="0"/>
                            <a:ext cx="6185916" cy="9144"/>
                          </a:xfrm>
                          <a:custGeom>
                            <a:avLst/>
                            <a:gdLst/>
                            <a:ahLst/>
                            <a:cxnLst/>
                            <a:rect l="0" t="0" r="0" b="0"/>
                            <a:pathLst>
                              <a:path w="6185916" h="9144">
                                <a:moveTo>
                                  <a:pt x="0" y="4572"/>
                                </a:moveTo>
                                <a:lnTo>
                                  <a:pt x="61859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986" style="width:487.08pt;height:0.720001pt;position:absolute;mso-position-horizontal-relative:text;mso-position-horizontal:absolute;margin-left:41.76pt;mso-position-vertical-relative:text;margin-top:1.80001pt;" coordsize="61859,91">
                <v:shape id="Shape 2458985" style="position:absolute;width:61859;height:91;left:0;top:0;" coordsize="6185916,9144" path="m0,4572l6185916,4572">
                  <v:stroke weight="0.720001pt" endcap="flat" joinstyle="miter" miterlimit="1" on="true" color="#000000"/>
                  <v:fill on="false" color="#000000"/>
                </v:shape>
                <w10:wrap type="square"/>
              </v:group>
            </w:pict>
          </mc:Fallback>
        </mc:AlternateContent>
      </w:r>
      <w:r>
        <w:rPr>
          <w:noProof/>
        </w:rPr>
        <mc:AlternateContent>
          <mc:Choice Requires="wpg">
            <w:drawing>
              <wp:inline distT="0" distB="0" distL="0" distR="0" wp14:anchorId="6853A2EF" wp14:editId="6B9EAA93">
                <wp:extent cx="118872" cy="301752"/>
                <wp:effectExtent l="0" t="0" r="0" b="0"/>
                <wp:docPr id="2457791" name="Group 2457791"/>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1284201" name="Rectangle 1284201"/>
                        <wps:cNvSpPr/>
                        <wps:spPr>
                          <a:xfrm>
                            <a:off x="0" y="0"/>
                            <a:ext cx="158100" cy="401330"/>
                          </a:xfrm>
                          <a:prstGeom prst="rect">
                            <a:avLst/>
                          </a:prstGeom>
                          <a:ln>
                            <a:noFill/>
                          </a:ln>
                        </wps:spPr>
                        <wps:txbx>
                          <w:txbxContent>
                            <w:p w14:paraId="5D312BC4"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6853A2EF" id="Group 2457791" o:spid="_x0000_s1815" style="width:9.35pt;height:23.75pt;mso-position-horizontal-relative:char;mso-position-vertical-relative:line"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">
                <v:rect id="Rectangle 1284201" o:spid="_x0000_s1816"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" filled="f" stroked="f">
                  <v:textbox inset="0,0,0,0">
                    <w:txbxContent>
                      <w:p w14:paraId="5D312BC4" w14:textId="77777777" w:rsidR="00053D93" w:rsidRDefault="00260B75">
                        <w:r>
                          <w:rPr>
                            <w:sz w:val="72"/>
                          </w:rPr>
                          <w:t>1</w:t>
                        </w:r>
                      </w:p>
                    </w:txbxContent>
                  </v:textbox>
                </v:rect>
                <w10:anchorlock/>
              </v:group>
            </w:pict>
          </mc:Fallback>
        </mc:AlternateContent>
      </w:r>
      <w:r>
        <w:rPr>
          <w:sz w:val="26"/>
        </w:rPr>
        <w:t xml:space="preserve"> autoridades superiores aprobaron una prórroga de 15 días al Contrato Administrativo No. 55-2024-DIGECADE-L.</w:t>
      </w:r>
    </w:p>
    <w:p w14:paraId="46BF5B3A" w14:textId="77777777" w:rsidR="00053D93" w:rsidRDefault="00260B75">
      <w:pPr>
        <w:spacing w:after="105" w:line="269" w:lineRule="auto"/>
        <w:ind w:left="1735" w:right="14" w:hanging="1678"/>
        <w:jc w:val="both"/>
      </w:pPr>
      <w:r>
        <w:rPr>
          <w:sz w:val="26"/>
        </w:rPr>
        <w:t>1 Proceso para el inicio de la licitación del año 2023, para uso de textos de segundo a sexto grados del nivel de educación primaria, en el año 2024:</w:t>
      </w:r>
    </w:p>
    <w:p w14:paraId="361B8874" w14:textId="77777777" w:rsidR="00053D93" w:rsidRDefault="00260B75">
      <w:pPr>
        <w:spacing w:after="3"/>
        <w:ind w:left="74" w:right="3485" w:hanging="10"/>
      </w:pPr>
      <w:r>
        <w:rPr>
          <w:sz w:val="70"/>
        </w:rPr>
        <w:t>1</w:t>
      </w:r>
    </w:p>
    <w:p w14:paraId="594E8F73" w14:textId="77777777" w:rsidR="00053D93" w:rsidRDefault="00260B75">
      <w:pPr>
        <w:spacing w:after="106" w:line="269" w:lineRule="auto"/>
        <w:ind w:left="57" w:right="14" w:firstLine="1685"/>
        <w:jc w:val="both"/>
      </w:pPr>
      <w:r>
        <w:rPr>
          <w:sz w:val="26"/>
        </w:rPr>
        <w:t xml:space="preserve">A través del oficio Digecade/SEE No. 332-2023 de fecha 24 de abril de 2023, el director en funciones de la Dirección General de Gestión de Calidad Educativa 1 -DIGECADE-, trasladó el expediente que contiene las especificaciones técnicas y documentos generales necesarios para iniciar el proceso de licitación para la 1 adquisición del: "SERVICIO DE IMPRESIÓN DE TEXTOS PARA NIÑOS DE </w:t>
      </w:r>
      <w:r>
        <w:rPr>
          <w:noProof/>
        </w:rPr>
        <w:drawing>
          <wp:inline distT="0" distB="0" distL="0" distR="0" wp14:anchorId="4102BDFE" wp14:editId="213F8507">
            <wp:extent cx="18288" cy="13716"/>
            <wp:effectExtent l="0" t="0" r="0" b="0"/>
            <wp:docPr id="1286812" name="Picture 1286812"/>
            <wp:cNvGraphicFramePr/>
            <a:graphic xmlns:a="http://schemas.openxmlformats.org/drawingml/2006/main">
              <a:graphicData uri="http://schemas.openxmlformats.org/drawingml/2006/picture">
                <pic:pic xmlns:pic="http://schemas.openxmlformats.org/drawingml/2006/picture">
                  <pic:nvPicPr>
                    <pic:cNvPr id="1286812" name="Picture 1286812"/>
                    <pic:cNvPicPr/>
                  </pic:nvPicPr>
                  <pic:blipFill>
                    <a:blip r:embed="rId624"/>
                    <a:stretch>
                      <a:fillRect/>
                    </a:stretch>
                  </pic:blipFill>
                  <pic:spPr>
                    <a:xfrm>
                      <a:off x="0" y="0"/>
                      <a:ext cx="18288" cy="13716"/>
                    </a:xfrm>
                    <a:prstGeom prst="rect">
                      <a:avLst/>
                    </a:prstGeom>
                  </pic:spPr>
                </pic:pic>
              </a:graphicData>
            </a:graphic>
          </wp:inline>
        </w:drawing>
      </w:r>
      <w:r>
        <w:rPr>
          <w:sz w:val="26"/>
        </w:rPr>
        <w:t xml:space="preserve"> SEGUNDO A SEXTO GRADO DEL NIVEL DE EDUCACIÓN PRIMARIA DE LAS ÁREAS DE MATEMÁTICAS Y COMUNICACIÓN Y LENGUAJE; DE SEGUNDO Y</w:t>
      </w:r>
    </w:p>
    <w:p w14:paraId="35E2094B" w14:textId="77777777" w:rsidR="00053D93" w:rsidRDefault="00260B75">
      <w:pPr>
        <w:tabs>
          <w:tab w:val="right" w:pos="10174"/>
        </w:tabs>
        <w:spacing w:after="4" w:line="266" w:lineRule="auto"/>
      </w:pPr>
      <w:r>
        <w:rPr>
          <w:sz w:val="28"/>
        </w:rPr>
        <w:t>1</w:t>
      </w:r>
      <w:r>
        <w:rPr>
          <w:sz w:val="28"/>
        </w:rPr>
        <w:tab/>
        <w:t>TERCER GRADO DEL AREA DE MEDIO SOCIAL Y NATURAL; DE CUARTO A</w:t>
      </w:r>
    </w:p>
    <w:p w14:paraId="3B8B45E8" w14:textId="77777777" w:rsidR="00053D93" w:rsidRDefault="00260B75">
      <w:pPr>
        <w:pStyle w:val="Ttulo3"/>
        <w:spacing w:after="241" w:line="253" w:lineRule="auto"/>
        <w:ind w:left="1724" w:right="0" w:hanging="3"/>
      </w:pPr>
      <w:r>
        <w:t>SEXTO GRADO DE LAS AREAS DE CIENCIAS NATURALES Y TECNOLOGÍA, CIENCIAS SOCIALES Y FORMACIÓN CIUDADANA Y TEXTOS Ml LIBRO DE</w:t>
      </w:r>
    </w:p>
    <w:p w14:paraId="6905AFF1" w14:textId="77777777" w:rsidR="00053D93" w:rsidRDefault="00260B75">
      <w:pPr>
        <w:spacing w:after="0" w:line="265" w:lineRule="auto"/>
        <w:ind w:left="64" w:right="22" w:hanging="14"/>
      </w:pPr>
      <w:r>
        <w:rPr>
          <w:sz w:val="30"/>
        </w:rPr>
        <w:t>1</w:t>
      </w:r>
      <w:r>
        <w:rPr>
          <w:sz w:val="30"/>
        </w:rPr>
        <w:tab/>
        <w:t xml:space="preserve">LECTURAS PARA CUARTO GRADO PRIMARIA, PARA USO EN 2024, A SOLICITUD DE LA DIGECADE", determinando que serán en total </w:t>
      </w:r>
      <w:r>
        <w:rPr>
          <w:noProof/>
        </w:rPr>
        <w:drawing>
          <wp:inline distT="0" distB="0" distL="0" distR="0" wp14:anchorId="1CDF2986" wp14:editId="3848B433">
            <wp:extent cx="489204" cy="128016"/>
            <wp:effectExtent l="0" t="0" r="0" b="0"/>
            <wp:docPr id="2458981" name="Picture 2458981"/>
            <wp:cNvGraphicFramePr/>
            <a:graphic xmlns:a="http://schemas.openxmlformats.org/drawingml/2006/main">
              <a:graphicData uri="http://schemas.openxmlformats.org/drawingml/2006/picture">
                <pic:pic xmlns:pic="http://schemas.openxmlformats.org/drawingml/2006/picture">
                  <pic:nvPicPr>
                    <pic:cNvPr id="2458981" name="Picture 2458981"/>
                    <pic:cNvPicPr/>
                  </pic:nvPicPr>
                  <pic:blipFill>
                    <a:blip r:embed="rId1722"/>
                    <a:stretch>
                      <a:fillRect/>
                    </a:stretch>
                  </pic:blipFill>
                  <pic:spPr>
                    <a:xfrm>
                      <a:off x="0" y="0"/>
                      <a:ext cx="489204" cy="128016"/>
                    </a:xfrm>
                    <a:prstGeom prst="rect">
                      <a:avLst/>
                    </a:prstGeom>
                  </pic:spPr>
                </pic:pic>
              </a:graphicData>
            </a:graphic>
          </wp:inline>
        </w:drawing>
      </w:r>
      <w:r>
        <w:rPr>
          <w:sz w:val="30"/>
        </w:rPr>
        <w:t>1</w:t>
      </w:r>
      <w:r>
        <w:rPr>
          <w:sz w:val="30"/>
        </w:rPr>
        <w:tab/>
        <w:t>textos.</w:t>
      </w:r>
    </w:p>
    <w:p w14:paraId="1A3BA883" w14:textId="77777777" w:rsidR="00053D93" w:rsidRDefault="00260B75">
      <w:pPr>
        <w:spacing w:after="45" w:line="269" w:lineRule="auto"/>
        <w:ind w:left="1702" w:right="14" w:hanging="3"/>
        <w:jc w:val="both"/>
      </w:pPr>
      <w:r>
        <w:rPr>
          <w:sz w:val="26"/>
        </w:rPr>
        <w:t>Por medio del oficio Digecade/SEE No. 434-2023 de fecha 22 de mayo de 2023, suscrito por el subdirector de Educación Escolar y el director en funciones de la Dirección General de Gestión de Calidad Educativa -DIGECADE-, dirigido al director de la Dideco; informan que el proceso queda sin efecto.</w:t>
      </w:r>
    </w:p>
    <w:p w14:paraId="7DBC7C02" w14:textId="77777777" w:rsidR="00053D93" w:rsidRDefault="00260B75">
      <w:pPr>
        <w:spacing w:after="3"/>
        <w:ind w:left="74" w:right="3485" w:hanging="10"/>
      </w:pPr>
      <w:r>
        <w:rPr>
          <w:noProof/>
        </w:rPr>
        <w:drawing>
          <wp:inline distT="0" distB="0" distL="0" distR="0" wp14:anchorId="5835DD0C" wp14:editId="256DEB01">
            <wp:extent cx="9144" cy="4572"/>
            <wp:effectExtent l="0" t="0" r="0" b="0"/>
            <wp:docPr id="1286738" name="Picture 1286738"/>
            <wp:cNvGraphicFramePr/>
            <a:graphic xmlns:a="http://schemas.openxmlformats.org/drawingml/2006/main">
              <a:graphicData uri="http://schemas.openxmlformats.org/drawingml/2006/picture">
                <pic:pic xmlns:pic="http://schemas.openxmlformats.org/drawingml/2006/picture">
                  <pic:nvPicPr>
                    <pic:cNvPr id="1286738" name="Picture 1286738"/>
                    <pic:cNvPicPr/>
                  </pic:nvPicPr>
                  <pic:blipFill>
                    <a:blip r:embed="rId24"/>
                    <a:stretch>
                      <a:fillRect/>
                    </a:stretch>
                  </pic:blipFill>
                  <pic:spPr>
                    <a:xfrm>
                      <a:off x="0" y="0"/>
                      <a:ext cx="9144" cy="4572"/>
                    </a:xfrm>
                    <a:prstGeom prst="rect">
                      <a:avLst/>
                    </a:prstGeom>
                  </pic:spPr>
                </pic:pic>
              </a:graphicData>
            </a:graphic>
          </wp:inline>
        </w:drawing>
      </w:r>
      <w:r>
        <w:rPr>
          <w:sz w:val="70"/>
        </w:rPr>
        <w:t>1</w:t>
      </w:r>
    </w:p>
    <w:p w14:paraId="42EE5170" w14:textId="77777777" w:rsidR="00053D93" w:rsidRDefault="00260B75">
      <w:pPr>
        <w:spacing w:after="83" w:line="269" w:lineRule="auto"/>
        <w:ind w:left="1709" w:right="14" w:hanging="3"/>
        <w:jc w:val="both"/>
      </w:pPr>
      <w:r>
        <w:rPr>
          <w:sz w:val="26"/>
        </w:rPr>
        <w:t>Esta meta física contribuye directamente a la ejecución de metas en el año 2024,</w:t>
      </w:r>
    </w:p>
    <w:p w14:paraId="4BB70124" w14:textId="77777777" w:rsidR="00053D93" w:rsidRDefault="00260B75">
      <w:pPr>
        <w:tabs>
          <w:tab w:val="right" w:pos="10174"/>
        </w:tabs>
        <w:spacing w:after="4" w:line="269" w:lineRule="auto"/>
      </w:pPr>
      <w:r>
        <w:rPr>
          <w:sz w:val="26"/>
        </w:rPr>
        <w:t>1</w:t>
      </w:r>
      <w:r>
        <w:rPr>
          <w:sz w:val="26"/>
        </w:rPr>
        <w:tab/>
        <w:t>derivado que fue incluida en Plan Operativo Anual -POA-, para ser ejecutado del</w:t>
      </w:r>
    </w:p>
    <w:p w14:paraId="46B3988C" w14:textId="77777777" w:rsidR="00053D93" w:rsidRDefault="00260B75">
      <w:pPr>
        <w:spacing w:after="484" w:line="269" w:lineRule="auto"/>
        <w:ind w:left="1702" w:right="14" w:hanging="3"/>
        <w:jc w:val="both"/>
      </w:pPr>
      <w:r>
        <w:rPr>
          <w:sz w:val="26"/>
        </w:rPr>
        <w:t>01 de enero al 31 de diciembre del año 2024.</w:t>
      </w:r>
    </w:p>
    <w:p w14:paraId="72EFFDDC" w14:textId="77777777" w:rsidR="00053D93" w:rsidRDefault="00260B75">
      <w:pPr>
        <w:tabs>
          <w:tab w:val="center" w:pos="4306"/>
        </w:tabs>
        <w:spacing w:after="59" w:line="269" w:lineRule="auto"/>
      </w:pPr>
      <w:r>
        <w:rPr>
          <w:sz w:val="26"/>
        </w:rPr>
        <w:t>1</w:t>
      </w:r>
      <w:r>
        <w:rPr>
          <w:sz w:val="26"/>
        </w:rPr>
        <w:tab/>
        <w:t>3. Funciones realizadas al 31 de diciembre de 2024</w:t>
      </w:r>
    </w:p>
    <w:p w14:paraId="7BEADA4D" w14:textId="77777777" w:rsidR="00053D93" w:rsidRDefault="00260B75">
      <w:pPr>
        <w:spacing w:after="278" w:line="269" w:lineRule="auto"/>
        <w:ind w:left="1695" w:right="14" w:hanging="3"/>
        <w:jc w:val="both"/>
      </w:pPr>
      <w:r>
        <w:rPr>
          <w:sz w:val="26"/>
        </w:rPr>
        <w:t>De conformidad al Manual de funciones, organización y puestos de la Dirección</w:t>
      </w:r>
    </w:p>
    <w:p w14:paraId="7BC5C610" w14:textId="77777777" w:rsidR="00053D93" w:rsidRDefault="00260B75">
      <w:pPr>
        <w:tabs>
          <w:tab w:val="right" w:pos="10174"/>
        </w:tabs>
        <w:spacing w:after="4" w:line="269" w:lineRule="auto"/>
      </w:pPr>
      <w:r>
        <w:rPr>
          <w:sz w:val="26"/>
        </w:rPr>
        <w:t>1</w:t>
      </w:r>
      <w:r>
        <w:rPr>
          <w:sz w:val="26"/>
        </w:rPr>
        <w:tab/>
        <w:t>General de Gestión de Calidad Educativa -DIGECADE-, el Subdirector de Niveles</w:t>
      </w:r>
    </w:p>
    <w:p w14:paraId="6D4C4B05" w14:textId="77777777" w:rsidR="00053D93" w:rsidRDefault="00260B75">
      <w:pPr>
        <w:spacing w:after="108" w:line="269" w:lineRule="auto"/>
        <w:ind w:left="57" w:right="14" w:firstLine="1642"/>
        <w:jc w:val="both"/>
      </w:pPr>
      <w:r>
        <w:rPr>
          <w:sz w:val="26"/>
        </w:rPr>
        <w:t xml:space="preserve">Educativos (Pág. 25), solo coordina la elaboración del plan operativo anual de los 1 diferentes niveles educativos y participa en la elaboración del plan operativo anual de la dirección, en sus funciones principales, no tiene establecido el seguimiento al cumplimiento de las metas físicas y financieras sobre la Provisión de Textos </w:t>
      </w:r>
      <w:r>
        <w:rPr>
          <w:noProof/>
        </w:rPr>
        <mc:AlternateContent>
          <mc:Choice Requires="wpg">
            <w:drawing>
              <wp:inline distT="0" distB="0" distL="0" distR="0" wp14:anchorId="04DD5072" wp14:editId="3963D90A">
                <wp:extent cx="118872" cy="292608"/>
                <wp:effectExtent l="0" t="0" r="0" b="0"/>
                <wp:docPr id="2457792" name="Group 2457792"/>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284214" name="Rectangle 1284214"/>
                        <wps:cNvSpPr/>
                        <wps:spPr>
                          <a:xfrm>
                            <a:off x="0" y="0"/>
                            <a:ext cx="158100" cy="389168"/>
                          </a:xfrm>
                          <a:prstGeom prst="rect">
                            <a:avLst/>
                          </a:prstGeom>
                          <a:ln>
                            <a:noFill/>
                          </a:ln>
                        </wps:spPr>
                        <wps:txbx>
                          <w:txbxContent>
                            <w:p w14:paraId="4BE167E8"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04DD5072" id="Group 2457792" o:spid="_x0000_s1817"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">
                <v:rect id="Rectangle 1284214" o:spid="_x0000_s1818" style="position:absolute;width:158100;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" filled="f" stroked="f">
                  <v:textbox inset="0,0,0,0">
                    <w:txbxContent>
                      <w:p w14:paraId="4BE167E8" w14:textId="77777777" w:rsidR="00053D93" w:rsidRDefault="00260B75">
                        <w:r>
                          <w:rPr>
                            <w:sz w:val="72"/>
                          </w:rPr>
                          <w:t>1</w:t>
                        </w:r>
                      </w:p>
                    </w:txbxContent>
                  </v:textbox>
                </v:rect>
                <w10:anchorlock/>
              </v:group>
            </w:pict>
          </mc:Fallback>
        </mc:AlternateContent>
      </w:r>
      <w:r>
        <w:rPr>
          <w:sz w:val="26"/>
        </w:rPr>
        <w:t xml:space="preserve"> Escolares en los Niveles Educativos.</w:t>
      </w:r>
    </w:p>
    <w:p w14:paraId="22E6FEB9" w14:textId="77777777" w:rsidR="00053D93" w:rsidRDefault="00260B75">
      <w:pPr>
        <w:spacing w:after="4" w:line="269" w:lineRule="auto"/>
        <w:ind w:left="1666" w:right="14" w:hanging="3"/>
        <w:jc w:val="both"/>
      </w:pPr>
      <w:r>
        <w:rPr>
          <w:sz w:val="26"/>
        </w:rPr>
        <w:t>4. De la causa del hallazgo</w:t>
      </w:r>
    </w:p>
    <w:p w14:paraId="12C6B515" w14:textId="77777777" w:rsidR="00053D93" w:rsidRDefault="00260B75">
      <w:pPr>
        <w:spacing w:after="3"/>
        <w:ind w:left="24" w:hanging="10"/>
      </w:pPr>
      <w:r>
        <w:rPr>
          <w:sz w:val="72"/>
        </w:rPr>
        <w:t>1</w:t>
      </w:r>
    </w:p>
    <w:p w14:paraId="6C1DB11B" w14:textId="77777777" w:rsidR="00053D93" w:rsidRDefault="00260B75">
      <w:pPr>
        <w:spacing w:after="139" w:line="269" w:lineRule="auto"/>
        <w:ind w:left="1681" w:right="14" w:hanging="3"/>
        <w:jc w:val="both"/>
      </w:pPr>
      <w:r>
        <w:rPr>
          <w:sz w:val="26"/>
        </w:rPr>
        <w:t>Para el Nivel de Educación Preprimaria, el concurso del proceso de licitación se</w:t>
      </w:r>
    </w:p>
    <w:p w14:paraId="4A2047C7" w14:textId="77777777" w:rsidR="00053D93" w:rsidRDefault="00260B75">
      <w:pPr>
        <w:tabs>
          <w:tab w:val="right" w:pos="10174"/>
        </w:tabs>
        <w:spacing w:after="4" w:line="269" w:lineRule="auto"/>
      </w:pPr>
      <w:r>
        <w:rPr>
          <w:sz w:val="26"/>
        </w:rPr>
        <w:t>1</w:t>
      </w:r>
      <w:r>
        <w:rPr>
          <w:sz w:val="26"/>
        </w:rPr>
        <w:tab/>
        <w:t>creó el 21 de mayo de 2024, fecha en la que no fungía como Subdirectora de</w:t>
      </w:r>
    </w:p>
    <w:p w14:paraId="536E7795" w14:textId="77777777" w:rsidR="00053D93" w:rsidRDefault="00260B75">
      <w:pPr>
        <w:spacing w:after="0"/>
        <w:ind w:left="713"/>
      </w:pPr>
      <w:r>
        <w:rPr>
          <w:noProof/>
        </w:rPr>
        <w:drawing>
          <wp:inline distT="0" distB="0" distL="0" distR="0" wp14:anchorId="468A343E" wp14:editId="3F02FFAC">
            <wp:extent cx="5980176" cy="406908"/>
            <wp:effectExtent l="0" t="0" r="0" b="0"/>
            <wp:docPr id="2458983" name="Picture 2458983"/>
            <wp:cNvGraphicFramePr/>
            <a:graphic xmlns:a="http://schemas.openxmlformats.org/drawingml/2006/main">
              <a:graphicData uri="http://schemas.openxmlformats.org/drawingml/2006/picture">
                <pic:pic xmlns:pic="http://schemas.openxmlformats.org/drawingml/2006/picture">
                  <pic:nvPicPr>
                    <pic:cNvPr id="2458983" name="Picture 2458983"/>
                    <pic:cNvPicPr/>
                  </pic:nvPicPr>
                  <pic:blipFill>
                    <a:blip r:embed="rId1723"/>
                    <a:stretch>
                      <a:fillRect/>
                    </a:stretch>
                  </pic:blipFill>
                  <pic:spPr>
                    <a:xfrm>
                      <a:off x="0" y="0"/>
                      <a:ext cx="5980176" cy="406908"/>
                    </a:xfrm>
                    <a:prstGeom prst="rect">
                      <a:avLst/>
                    </a:prstGeom>
                  </pic:spPr>
                </pic:pic>
              </a:graphicData>
            </a:graphic>
          </wp:inline>
        </w:drawing>
      </w:r>
    </w:p>
    <w:p w14:paraId="4FEE643F" w14:textId="77777777" w:rsidR="00053D93" w:rsidRDefault="00260B75">
      <w:pPr>
        <w:spacing w:after="4" w:line="269" w:lineRule="auto"/>
        <w:ind w:left="60" w:right="14" w:hanging="3"/>
        <w:jc w:val="both"/>
      </w:pPr>
      <w:r>
        <w:rPr>
          <w:noProof/>
        </w:rPr>
        <mc:AlternateContent>
          <mc:Choice Requires="wpg">
            <w:drawing>
              <wp:anchor distT="0" distB="0" distL="114300" distR="114300" simplePos="0" relativeHeight="252323840" behindDoc="0" locked="0" layoutInCell="1" allowOverlap="1" wp14:anchorId="71173875" wp14:editId="22DDCB94">
                <wp:simplePos x="0" y="0"/>
                <wp:positionH relativeFrom="column">
                  <wp:posOffset>580644</wp:posOffset>
                </wp:positionH>
                <wp:positionV relativeFrom="paragraph">
                  <wp:posOffset>32004</wp:posOffset>
                </wp:positionV>
                <wp:extent cx="6094476" cy="9144"/>
                <wp:effectExtent l="0" t="0" r="0" b="0"/>
                <wp:wrapSquare wrapText="bothSides"/>
                <wp:docPr id="2458988" name="Group 2458988"/>
                <wp:cNvGraphicFramePr/>
                <a:graphic xmlns:a="http://schemas.openxmlformats.org/drawingml/2006/main">
                  <a:graphicData uri="http://schemas.microsoft.com/office/word/2010/wordprocessingGroup">
                    <wpg:wgp>
                      <wpg:cNvGrpSpPr/>
                      <wpg:grpSpPr>
                        <a:xfrm>
                          <a:off x="0" y="0"/>
                          <a:ext cx="6094476" cy="9144"/>
                          <a:chOff x="0" y="0"/>
                          <a:chExt cx="6094476" cy="9144"/>
                        </a:xfrm>
                      </wpg:grpSpPr>
                      <wps:wsp>
                        <wps:cNvPr id="2458987" name="Shape 2458987"/>
                        <wps:cNvSpPr/>
                        <wps:spPr>
                          <a:xfrm>
                            <a:off x="0" y="0"/>
                            <a:ext cx="6094476" cy="9144"/>
                          </a:xfrm>
                          <a:custGeom>
                            <a:avLst/>
                            <a:gdLst/>
                            <a:ahLst/>
                            <a:cxnLst/>
                            <a:rect l="0" t="0" r="0" b="0"/>
                            <a:pathLst>
                              <a:path w="6094476" h="9144">
                                <a:moveTo>
                                  <a:pt x="0" y="4572"/>
                                </a:moveTo>
                                <a:lnTo>
                                  <a:pt x="609447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8988" style="width:479.88pt;height:0.720001pt;position:absolute;mso-position-horizontal-relative:text;mso-position-horizontal:absolute;margin-left:45.72pt;mso-position-vertical-relative:text;margin-top:2.52pt;" coordsize="60944,91">
                <v:shape id="Shape 2458987" style="position:absolute;width:60944;height:91;left:0;top:0;" coordsize="6094476,9144" path="m0,4572l6094476,4572">
                  <v:stroke weight="0.720001pt" endcap="flat" joinstyle="miter" miterlimit="1" on="true" color="#000000"/>
                  <v:fill on="false" color="#000000"/>
                </v:shape>
                <w10:wrap type="square"/>
              </v:group>
            </w:pict>
          </mc:Fallback>
        </mc:AlternateContent>
      </w:r>
      <w:r>
        <w:rPr>
          <w:noProof/>
        </w:rPr>
        <mc:AlternateContent>
          <mc:Choice Requires="wpg">
            <w:drawing>
              <wp:inline distT="0" distB="0" distL="0" distR="0" wp14:anchorId="31D7B5F9" wp14:editId="3B6CD6B1">
                <wp:extent cx="137160" cy="297180"/>
                <wp:effectExtent l="0" t="0" r="0" b="0"/>
                <wp:docPr id="2457800" name="Group 2457800"/>
                <wp:cNvGraphicFramePr/>
                <a:graphic xmlns:a="http://schemas.openxmlformats.org/drawingml/2006/main">
                  <a:graphicData uri="http://schemas.microsoft.com/office/word/2010/wordprocessingGroup">
                    <wpg:wgp>
                      <wpg:cNvGrpSpPr/>
                      <wpg:grpSpPr>
                        <a:xfrm>
                          <a:off x="0" y="0"/>
                          <a:ext cx="137160" cy="297180"/>
                          <a:chOff x="0" y="0"/>
                          <a:chExt cx="137160" cy="297180"/>
                        </a:xfrm>
                      </wpg:grpSpPr>
                      <wps:wsp>
                        <wps:cNvPr id="1287465" name="Rectangle 1287465"/>
                        <wps:cNvSpPr/>
                        <wps:spPr>
                          <a:xfrm>
                            <a:off x="0" y="0"/>
                            <a:ext cx="182423" cy="395249"/>
                          </a:xfrm>
                          <a:prstGeom prst="rect">
                            <a:avLst/>
                          </a:prstGeom>
                          <a:ln>
                            <a:noFill/>
                          </a:ln>
                        </wps:spPr>
                        <wps:txbx>
                          <w:txbxContent>
                            <w:p w14:paraId="65F5D7FB" w14:textId="77777777" w:rsidR="00053D93" w:rsidRDefault="00260B75">
                              <w:r>
                                <w:rPr>
                                  <w:sz w:val="82"/>
                                </w:rPr>
                                <w:t>1</w:t>
                              </w:r>
                            </w:p>
                          </w:txbxContent>
                        </wps:txbx>
                        <wps:bodyPr horzOverflow="overflow" vert="horz" lIns="0" tIns="0" rIns="0" bIns="0" rtlCol="0">
                          <a:noAutofit/>
                        </wps:bodyPr>
                      </wps:wsp>
                    </wpg:wgp>
                  </a:graphicData>
                </a:graphic>
              </wp:inline>
            </w:drawing>
          </mc:Choice>
          <mc:Fallback>
            <w:pict>
              <v:group w14:anchorId="31D7B5F9" id="Group 2457800" o:spid="_x0000_s1819" style="width:10.8pt;height:23.4pt;mso-position-horizontal-relative:char;mso-position-vertical-relative:line" coordsize="13716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">
                <v:rect id="Rectangle 1287465" o:spid="_x0000_s1820" style="position:absolute;width:182423;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" filled="f" stroked="f">
                  <v:textbox inset="0,0,0,0">
                    <w:txbxContent>
                      <w:p w14:paraId="65F5D7FB" w14:textId="77777777" w:rsidR="00053D93" w:rsidRDefault="00260B75">
                        <w:r>
                          <w:rPr>
                            <w:sz w:val="82"/>
                          </w:rPr>
                          <w:t>1</w:t>
                        </w:r>
                      </w:p>
                    </w:txbxContent>
                  </v:textbox>
                </v:rect>
                <w10:anchorlock/>
              </v:group>
            </w:pict>
          </mc:Fallback>
        </mc:AlternateContent>
      </w:r>
      <w:r>
        <w:rPr>
          <w:sz w:val="26"/>
        </w:rPr>
        <w:t xml:space="preserve"> Educación Escolar. A partir del 4 de junio de 2024, fecha en la que asumí el puesto como encargada de la Subdirección de Educación Escolar y a partir del 16 1 de julio de 2024 ya nombrada oficialmente en el puesto, se les dio seguimiento a las acciones propias del proceso de la licitación; siendo imposible concretar el proceso de licitación y cumplir con la ejecución de las metas físicas que están 1 concatenadas a las metas financieras.</w:t>
      </w:r>
    </w:p>
    <w:p w14:paraId="0788ABEB" w14:textId="77777777" w:rsidR="00053D93" w:rsidRDefault="00260B75">
      <w:pPr>
        <w:spacing w:after="4" w:line="269" w:lineRule="auto"/>
        <w:ind w:left="60" w:right="14" w:hanging="3"/>
        <w:jc w:val="both"/>
      </w:pPr>
      <w:r>
        <w:rPr>
          <w:sz w:val="26"/>
        </w:rPr>
        <w:t>Además, los plazos legales del proceso de la licitación ya están establecidos en el</w:t>
      </w:r>
    </w:p>
    <w:p w14:paraId="2138007C" w14:textId="77777777" w:rsidR="00053D93" w:rsidRDefault="00260B75">
      <w:pPr>
        <w:tabs>
          <w:tab w:val="right" w:pos="10174"/>
        </w:tabs>
        <w:spacing w:after="4" w:line="269" w:lineRule="auto"/>
      </w:pPr>
      <w:r>
        <w:rPr>
          <w:noProof/>
        </w:rPr>
        <mc:AlternateContent>
          <mc:Choice Requires="wpg">
            <w:drawing>
              <wp:inline distT="0" distB="0" distL="0" distR="0" wp14:anchorId="597517D8" wp14:editId="7C20A79C">
                <wp:extent cx="141732" cy="292608"/>
                <wp:effectExtent l="0" t="0" r="0" b="0"/>
                <wp:docPr id="2457801" name="Group 2457801"/>
                <wp:cNvGraphicFramePr/>
                <a:graphic xmlns:a="http://schemas.openxmlformats.org/drawingml/2006/main">
                  <a:graphicData uri="http://schemas.microsoft.com/office/word/2010/wordprocessingGroup">
                    <wpg:wgp>
                      <wpg:cNvGrpSpPr/>
                      <wpg:grpSpPr>
                        <a:xfrm>
                          <a:off x="0" y="0"/>
                          <a:ext cx="141732" cy="292608"/>
                          <a:chOff x="0" y="0"/>
                          <a:chExt cx="141732" cy="292608"/>
                        </a:xfrm>
                      </wpg:grpSpPr>
                      <wps:wsp>
                        <wps:cNvPr id="1287468" name="Rectangle 1287468"/>
                        <wps:cNvSpPr/>
                        <wps:spPr>
                          <a:xfrm>
                            <a:off x="0" y="0"/>
                            <a:ext cx="188504" cy="389169"/>
                          </a:xfrm>
                          <a:prstGeom prst="rect">
                            <a:avLst/>
                          </a:prstGeom>
                          <a:ln>
                            <a:noFill/>
                          </a:ln>
                        </wps:spPr>
                        <wps:txbx>
                          <w:txbxContent>
                            <w:p w14:paraId="7185B992" w14:textId="77777777" w:rsidR="00053D93" w:rsidRDefault="00260B75">
                              <w:r>
                                <w:rPr>
                                  <w:sz w:val="86"/>
                                </w:rPr>
                                <w:t>1</w:t>
                              </w:r>
                            </w:p>
                          </w:txbxContent>
                        </wps:txbx>
                        <wps:bodyPr horzOverflow="overflow" vert="horz" lIns="0" tIns="0" rIns="0" bIns="0" rtlCol="0">
                          <a:noAutofit/>
                        </wps:bodyPr>
                      </wps:wsp>
                    </wpg:wgp>
                  </a:graphicData>
                </a:graphic>
              </wp:inline>
            </w:drawing>
          </mc:Choice>
          <mc:Fallback>
            <w:pict>
              <v:group w14:anchorId="597517D8" id="Group 2457801" o:spid="_x0000_s1821" style="width:11.15pt;height:23.05pt;mso-position-horizontal-relative:char;mso-position-vertical-relative:line" coordsize="14173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">
                <v:rect id="Rectangle 1287468" o:spid="_x0000_s1822" style="position:absolute;width:188504;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" filled="f" stroked="f">
                  <v:textbox inset="0,0,0,0">
                    <w:txbxContent>
                      <w:p w14:paraId="7185B992" w14:textId="77777777" w:rsidR="00053D93" w:rsidRDefault="00260B75">
                        <w:r>
                          <w:rPr>
                            <w:sz w:val="86"/>
                          </w:rPr>
                          <w:t>1</w:t>
                        </w:r>
                      </w:p>
                    </w:txbxContent>
                  </v:textbox>
                </v:rect>
                <w10:anchorlock/>
              </v:group>
            </w:pict>
          </mc:Fallback>
        </mc:AlternateContent>
      </w:r>
      <w:r>
        <w:rPr>
          <w:sz w:val="26"/>
        </w:rPr>
        <w:tab/>
        <w:t>Decreto 57-92, del Congreso de la República de Guatemala, Ley de</w:t>
      </w:r>
    </w:p>
    <w:p w14:paraId="7C774BAB" w14:textId="77777777" w:rsidR="00053D93" w:rsidRDefault="00260B75">
      <w:pPr>
        <w:spacing w:after="287" w:line="269" w:lineRule="auto"/>
        <w:ind w:left="60" w:right="14" w:hanging="3"/>
        <w:jc w:val="both"/>
      </w:pPr>
      <w:r>
        <w:rPr>
          <w:noProof/>
        </w:rPr>
        <mc:AlternateContent>
          <mc:Choice Requires="wpg">
            <w:drawing>
              <wp:anchor distT="0" distB="0" distL="114300" distR="114300" simplePos="0" relativeHeight="252324864" behindDoc="0" locked="0" layoutInCell="1" allowOverlap="1" wp14:anchorId="0BCB0C54" wp14:editId="07A4A159">
                <wp:simplePos x="0" y="0"/>
                <wp:positionH relativeFrom="column">
                  <wp:posOffset>27432</wp:posOffset>
                </wp:positionH>
                <wp:positionV relativeFrom="paragraph">
                  <wp:posOffset>210455</wp:posOffset>
                </wp:positionV>
                <wp:extent cx="137160" cy="292608"/>
                <wp:effectExtent l="0" t="0" r="0" b="0"/>
                <wp:wrapSquare wrapText="bothSides"/>
                <wp:docPr id="2457802" name="Group 2457802"/>
                <wp:cNvGraphicFramePr/>
                <a:graphic xmlns:a="http://schemas.openxmlformats.org/drawingml/2006/main">
                  <a:graphicData uri="http://schemas.microsoft.com/office/word/2010/wordprocessingGroup">
                    <wpg:wgp>
                      <wpg:cNvGrpSpPr/>
                      <wpg:grpSpPr>
                        <a:xfrm>
                          <a:off x="0" y="0"/>
                          <a:ext cx="137160" cy="292608"/>
                          <a:chOff x="0" y="0"/>
                          <a:chExt cx="137160" cy="292608"/>
                        </a:xfrm>
                      </wpg:grpSpPr>
                      <wps:wsp>
                        <wps:cNvPr id="1287469" name="Rectangle 1287469"/>
                        <wps:cNvSpPr/>
                        <wps:spPr>
                          <a:xfrm>
                            <a:off x="0" y="0"/>
                            <a:ext cx="182423" cy="389168"/>
                          </a:xfrm>
                          <a:prstGeom prst="rect">
                            <a:avLst/>
                          </a:prstGeom>
                          <a:ln>
                            <a:noFill/>
                          </a:ln>
                        </wps:spPr>
                        <wps:txbx>
                          <w:txbxContent>
                            <w:p w14:paraId="0761D2C6" w14:textId="77777777" w:rsidR="00053D93" w:rsidRDefault="00260B75">
                              <w:r>
                                <w:rPr>
                                  <w:sz w:val="82"/>
                                </w:rPr>
                                <w:t>1</w:t>
                              </w:r>
                            </w:p>
                          </w:txbxContent>
                        </wps:txbx>
                        <wps:bodyPr horzOverflow="overflow" vert="horz" lIns="0" tIns="0" rIns="0" bIns="0" rtlCol="0">
                          <a:noAutofit/>
                        </wps:bodyPr>
                      </wps:wsp>
                    </wpg:wgp>
                  </a:graphicData>
                </a:graphic>
              </wp:anchor>
            </w:drawing>
          </mc:Choice>
          <mc:Fallback>
            <w:pict>
              <v:group w14:anchorId="0BCB0C54" id="Group 2457802" o:spid="_x0000_s1823" style="position:absolute;left:0;text-align:left;margin-left:2.15pt;margin-top:16.55pt;width:10.8pt;height:23.05pt;z-index:252324864;mso-position-horizontal-relative:text;mso-position-vertical-relative:text" coordsize="13716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">
                <v:rect id="Rectangle 1287469" o:spid="_x0000_s1824" style="position:absolute;width:182423;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" filled="f" stroked="f">
                  <v:textbox inset="0,0,0,0">
                    <w:txbxContent>
                      <w:p w14:paraId="0761D2C6" w14:textId="77777777" w:rsidR="00053D93" w:rsidRDefault="00260B75">
                        <w:r>
                          <w:rPr>
                            <w:sz w:val="82"/>
                          </w:rPr>
                          <w:t>1</w:t>
                        </w:r>
                      </w:p>
                    </w:txbxContent>
                  </v:textbox>
                </v:rect>
                <w10:wrap type="square"/>
              </v:group>
            </w:pict>
          </mc:Fallback>
        </mc:AlternateContent>
      </w:r>
      <w:r>
        <w:rPr>
          <w:sz w:val="26"/>
        </w:rPr>
        <w:t>Contrataciones del Estado; siendo la Dirección de Adquisiciones y Contrataciones -DIDECO- la dependencia cuya competencia es ejercer la rectoría de los procesos de adquisiciones y contrataciones dei Ministerio de Educación.</w:t>
      </w:r>
    </w:p>
    <w:p w14:paraId="079EC8EC" w14:textId="77777777" w:rsidR="00053D93" w:rsidRDefault="00260B75">
      <w:pPr>
        <w:spacing w:after="247" w:line="216" w:lineRule="auto"/>
        <w:ind w:left="60" w:right="14" w:hanging="3"/>
        <w:jc w:val="both"/>
      </w:pPr>
      <w:r>
        <w:rPr>
          <w:noProof/>
        </w:rPr>
        <mc:AlternateContent>
          <mc:Choice Requires="wpg">
            <w:drawing>
              <wp:inline distT="0" distB="0" distL="0" distR="0" wp14:anchorId="51CE9AF6" wp14:editId="7E1BC214">
                <wp:extent cx="132588" cy="292608"/>
                <wp:effectExtent l="0" t="0" r="0" b="0"/>
                <wp:docPr id="2457803" name="Group 2457803"/>
                <wp:cNvGraphicFramePr/>
                <a:graphic xmlns:a="http://schemas.openxmlformats.org/drawingml/2006/main">
                  <a:graphicData uri="http://schemas.microsoft.com/office/word/2010/wordprocessingGroup">
                    <wpg:wgp>
                      <wpg:cNvGrpSpPr/>
                      <wpg:grpSpPr>
                        <a:xfrm>
                          <a:off x="0" y="0"/>
                          <a:ext cx="132588" cy="292608"/>
                          <a:chOff x="0" y="0"/>
                          <a:chExt cx="132588" cy="292608"/>
                        </a:xfrm>
                      </wpg:grpSpPr>
                      <wps:wsp>
                        <wps:cNvPr id="1287470" name="Rectangle 1287470"/>
                        <wps:cNvSpPr/>
                        <wps:spPr>
                          <a:xfrm>
                            <a:off x="0" y="0"/>
                            <a:ext cx="176342" cy="389169"/>
                          </a:xfrm>
                          <a:prstGeom prst="rect">
                            <a:avLst/>
                          </a:prstGeom>
                          <a:ln>
                            <a:noFill/>
                          </a:ln>
                        </wps:spPr>
                        <wps:txbx>
                          <w:txbxContent>
                            <w:p w14:paraId="7519B076" w14:textId="77777777" w:rsidR="00053D93" w:rsidRDefault="00260B75">
                              <w:r>
                                <w:rPr>
                                  <w:sz w:val="80"/>
                                </w:rPr>
                                <w:t>1</w:t>
                              </w:r>
                            </w:p>
                          </w:txbxContent>
                        </wps:txbx>
                        <wps:bodyPr horzOverflow="overflow" vert="horz" lIns="0" tIns="0" rIns="0" bIns="0" rtlCol="0">
                          <a:noAutofit/>
                        </wps:bodyPr>
                      </wps:wsp>
                    </wpg:wgp>
                  </a:graphicData>
                </a:graphic>
              </wp:inline>
            </w:drawing>
          </mc:Choice>
          <mc:Fallback>
            <w:pict>
              <v:group w14:anchorId="51CE9AF6" id="Group 2457803" o:spid="_x0000_s1825" style="width:10.45pt;height:23.05pt;mso-position-horizontal-relative:char;mso-position-vertical-relative:line" coordsize="132588,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">
                <v:rect id="Rectangle 1287470" o:spid="_x0000_s1826" style="position:absolute;width:176342;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" filled="f" stroked="f">
                  <v:textbox inset="0,0,0,0">
                    <w:txbxContent>
                      <w:p w14:paraId="7519B076" w14:textId="77777777" w:rsidR="00053D93" w:rsidRDefault="00260B75">
                        <w:r>
                          <w:rPr>
                            <w:sz w:val="80"/>
                          </w:rPr>
                          <w:t>1</w:t>
                        </w:r>
                      </w:p>
                    </w:txbxContent>
                  </v:textbox>
                </v:rect>
                <w10:anchorlock/>
              </v:group>
            </w:pict>
          </mc:Fallback>
        </mc:AlternateContent>
      </w:r>
      <w:r>
        <w:rPr>
          <w:sz w:val="26"/>
        </w:rPr>
        <w:t xml:space="preserve"> En el caso del Nivel de Educación Primaria, como se evidencia en el punto 2, el proceso de licitación de los textos de segundo a sexto grados del nivel de educación primaria, que serían utilizados en el año 2024, quedó sin efecto; por lo 1 cual fue imposible concretar el proceso de licitación y cumplir con la ejecución de las metas físicas (6,347 ,291 textos) que están concatenadas a las metas </w:t>
      </w:r>
      <w:r>
        <w:rPr>
          <w:noProof/>
        </w:rPr>
        <w:drawing>
          <wp:inline distT="0" distB="0" distL="0" distR="0" wp14:anchorId="09F17CFE" wp14:editId="1054DC57">
            <wp:extent cx="9144" cy="9144"/>
            <wp:effectExtent l="0" t="0" r="0" b="0"/>
            <wp:docPr id="1290423" name="Picture 1290423"/>
            <wp:cNvGraphicFramePr/>
            <a:graphic xmlns:a="http://schemas.openxmlformats.org/drawingml/2006/main">
              <a:graphicData uri="http://schemas.openxmlformats.org/drawingml/2006/picture">
                <pic:pic xmlns:pic="http://schemas.openxmlformats.org/drawingml/2006/picture">
                  <pic:nvPicPr>
                    <pic:cNvPr id="1290423" name="Picture 1290423"/>
                    <pic:cNvPicPr/>
                  </pic:nvPicPr>
                  <pic:blipFill>
                    <a:blip r:embed="rId93"/>
                    <a:stretch>
                      <a:fillRect/>
                    </a:stretch>
                  </pic:blipFill>
                  <pic:spPr>
                    <a:xfrm>
                      <a:off x="0" y="0"/>
                      <a:ext cx="9144" cy="9144"/>
                    </a:xfrm>
                    <a:prstGeom prst="rect">
                      <a:avLst/>
                    </a:prstGeom>
                  </pic:spPr>
                </pic:pic>
              </a:graphicData>
            </a:graphic>
          </wp:inline>
        </w:drawing>
      </w:r>
      <w:r>
        <w:rPr>
          <w:sz w:val="26"/>
        </w:rPr>
        <w:t>1 financieras, al 31 de diciembre de 2024.</w:t>
      </w:r>
    </w:p>
    <w:p w14:paraId="718ECB7D" w14:textId="77777777" w:rsidR="00053D93" w:rsidRDefault="00260B75">
      <w:pPr>
        <w:spacing w:after="4" w:line="269" w:lineRule="auto"/>
        <w:ind w:left="1731" w:right="14" w:hanging="3"/>
        <w:jc w:val="both"/>
      </w:pPr>
      <w:r>
        <w:rPr>
          <w:sz w:val="26"/>
        </w:rPr>
        <w:t>5. Del efecto del hallazgo</w:t>
      </w:r>
    </w:p>
    <w:p w14:paraId="0E217EBD" w14:textId="77777777" w:rsidR="00053D93" w:rsidRDefault="00260B75">
      <w:pPr>
        <w:spacing w:after="0"/>
        <w:ind w:left="79"/>
      </w:pPr>
      <w:r>
        <w:rPr>
          <w:noProof/>
        </w:rPr>
        <mc:AlternateContent>
          <mc:Choice Requires="wpg">
            <w:drawing>
              <wp:inline distT="0" distB="0" distL="0" distR="0" wp14:anchorId="2295B4B2" wp14:editId="6441E841">
                <wp:extent cx="114300" cy="292608"/>
                <wp:effectExtent l="0" t="0" r="0" b="0"/>
                <wp:docPr id="2457799" name="Group 2457799"/>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287473" name="Rectangle 1287473"/>
                        <wps:cNvSpPr/>
                        <wps:spPr>
                          <a:xfrm>
                            <a:off x="0" y="0"/>
                            <a:ext cx="152019" cy="389169"/>
                          </a:xfrm>
                          <a:prstGeom prst="rect">
                            <a:avLst/>
                          </a:prstGeom>
                          <a:ln>
                            <a:noFill/>
                          </a:ln>
                        </wps:spPr>
                        <wps:txbx>
                          <w:txbxContent>
                            <w:p w14:paraId="375F147F"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2295B4B2" id="Group 2457799" o:spid="_x0000_s1827"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">
                <v:rect id="Rectangle 1287473" o:spid="_x0000_s1828"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" filled="f" stroked="f">
                  <v:textbox inset="0,0,0,0">
                    <w:txbxContent>
                      <w:p w14:paraId="375F147F" w14:textId="77777777" w:rsidR="00053D93" w:rsidRDefault="00260B75">
                        <w:r>
                          <w:rPr>
                            <w:sz w:val="70"/>
                          </w:rPr>
                          <w:t>1</w:t>
                        </w:r>
                      </w:p>
                    </w:txbxContent>
                  </v:textbox>
                </v:rect>
                <w10:anchorlock/>
              </v:group>
            </w:pict>
          </mc:Fallback>
        </mc:AlternateContent>
      </w:r>
    </w:p>
    <w:p w14:paraId="3607C3BF" w14:textId="77777777" w:rsidR="00053D93" w:rsidRDefault="00260B75">
      <w:pPr>
        <w:spacing w:after="4" w:line="216" w:lineRule="auto"/>
        <w:ind w:left="57" w:right="14" w:firstLine="1469"/>
        <w:jc w:val="both"/>
      </w:pPr>
      <w:r>
        <w:rPr>
          <w:noProof/>
        </w:rPr>
        <mc:AlternateContent>
          <mc:Choice Requires="wpg">
            <w:drawing>
              <wp:anchor distT="0" distB="0" distL="114300" distR="114300" simplePos="0" relativeHeight="252325888" behindDoc="0" locked="0" layoutInCell="1" allowOverlap="1" wp14:anchorId="4F77EC6A" wp14:editId="46B58070">
                <wp:simplePos x="0" y="0"/>
                <wp:positionH relativeFrom="column">
                  <wp:posOffset>50292</wp:posOffset>
                </wp:positionH>
                <wp:positionV relativeFrom="paragraph">
                  <wp:posOffset>775273</wp:posOffset>
                </wp:positionV>
                <wp:extent cx="114300" cy="297180"/>
                <wp:effectExtent l="0" t="0" r="0" b="0"/>
                <wp:wrapSquare wrapText="bothSides"/>
                <wp:docPr id="2457805" name="Group 2457805"/>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287475" name="Rectangle 1287475"/>
                        <wps:cNvSpPr/>
                        <wps:spPr>
                          <a:xfrm>
                            <a:off x="0" y="0"/>
                            <a:ext cx="152019" cy="395249"/>
                          </a:xfrm>
                          <a:prstGeom prst="rect">
                            <a:avLst/>
                          </a:prstGeom>
                          <a:ln>
                            <a:noFill/>
                          </a:ln>
                        </wps:spPr>
                        <wps:txbx>
                          <w:txbxContent>
                            <w:p w14:paraId="47B1C3D7"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4F77EC6A" id="Group 2457805" o:spid="_x0000_s1829" style="position:absolute;left:0;text-align:left;margin-left:3.95pt;margin-top:61.05pt;width:9pt;height:23.4pt;z-index:252325888;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">
                <v:rect id="Rectangle 1287475" o:spid="_x0000_s1830"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" filled="f" stroked="f">
                  <v:textbox inset="0,0,0,0">
                    <w:txbxContent>
                      <w:p w14:paraId="47B1C3D7" w14:textId="77777777" w:rsidR="00053D93" w:rsidRDefault="00260B75">
                        <w:r>
                          <w:rPr>
                            <w:sz w:val="70"/>
                          </w:rPr>
                          <w:t>1</w:t>
                        </w:r>
                      </w:p>
                    </w:txbxContent>
                  </v:textbox>
                </v:rect>
                <w10:wrap type="square"/>
              </v:group>
            </w:pict>
          </mc:Fallback>
        </mc:AlternateContent>
      </w:r>
      <w:r>
        <w:rPr>
          <w:sz w:val="26"/>
        </w:rPr>
        <w:t xml:space="preserve">Para el Nivel de Educación Preprimaria, por medio del oficio No. DIGECADE/SEE No. 170-2025, de fecha 13 de marzo de 2025, dirigido al Auditor Gubernamental </w:t>
      </w:r>
      <w:r>
        <w:rPr>
          <w:noProof/>
        </w:rPr>
        <mc:AlternateContent>
          <mc:Choice Requires="wpg">
            <w:drawing>
              <wp:inline distT="0" distB="0" distL="0" distR="0" wp14:anchorId="3C0D320A" wp14:editId="61456BF1">
                <wp:extent cx="114300" cy="297180"/>
                <wp:effectExtent l="0" t="0" r="0" b="0"/>
                <wp:docPr id="2457804" name="Group 2457804"/>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287474" name="Rectangle 1287474"/>
                        <wps:cNvSpPr/>
                        <wps:spPr>
                          <a:xfrm>
                            <a:off x="0" y="0"/>
                            <a:ext cx="152019" cy="395249"/>
                          </a:xfrm>
                          <a:prstGeom prst="rect">
                            <a:avLst/>
                          </a:prstGeom>
                          <a:ln>
                            <a:noFill/>
                          </a:ln>
                        </wps:spPr>
                        <wps:txbx>
                          <w:txbxContent>
                            <w:p w14:paraId="2D383943"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3C0D320A" id="Group 2457804" o:spid="_x0000_s1831"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A3OKhlDgIAAJgE&#10;AAAOAAAAAAAAAAAAAAAAAC4CAABkcnMvZTJvRG9jLnhtbFBLAQItABQABgAIAAAAIQDLw3M32gAA&#10;AAMBAAAPAAAAAAAAAAAAAAAAAGgEAABkcnMvZG93bnJldi54bWxQSwUGAAAAAAQABADzAAAAbwUA&#10;AAAA&#10;">
                <v:rect id="Rectangle 1287474" o:spid="_x0000_s1832"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" filled="f" stroked="f">
                  <v:textbox inset="0,0,0,0">
                    <w:txbxContent>
                      <w:p w14:paraId="2D383943" w14:textId="77777777" w:rsidR="00053D93" w:rsidRDefault="00260B75">
                        <w:r>
                          <w:rPr>
                            <w:sz w:val="70"/>
                          </w:rPr>
                          <w:t>1</w:t>
                        </w:r>
                      </w:p>
                    </w:txbxContent>
                  </v:textbox>
                </v:rect>
                <w10:anchorlock/>
              </v:group>
            </w:pict>
          </mc:Fallback>
        </mc:AlternateContent>
      </w:r>
      <w:r>
        <w:rPr>
          <w:sz w:val="26"/>
        </w:rPr>
        <w:t xml:space="preserve"> de la Contraloría General de Cuentas, se según inciso e, se trasladó en formato digital las nóminas de distribución de los libros de la serie "Descubro y aprendo" para párvulos 1, 2 y 3, a los centros educativos públicos del Nivel de Educación Preprimaria, correspondiente al ciclo escolar 2024; por lo tanto, los niños sí</w:t>
      </w:r>
    </w:p>
    <w:p w14:paraId="62ED3ADF" w14:textId="77777777" w:rsidR="00053D93" w:rsidRDefault="00260B75">
      <w:pPr>
        <w:spacing w:after="92" w:line="269" w:lineRule="auto"/>
        <w:ind w:left="1717" w:right="14" w:hanging="3"/>
        <w:jc w:val="both"/>
      </w:pPr>
      <w:r>
        <w:rPr>
          <w:sz w:val="26"/>
        </w:rPr>
        <w:t>tuvieron acceso a los libros en el año 2024.</w:t>
      </w:r>
    </w:p>
    <w:p w14:paraId="41F8579A" w14:textId="77777777" w:rsidR="00053D93" w:rsidRDefault="00260B75">
      <w:pPr>
        <w:spacing w:after="3"/>
        <w:ind w:left="74" w:right="3485" w:hanging="10"/>
      </w:pPr>
      <w:r>
        <w:rPr>
          <w:sz w:val="70"/>
        </w:rPr>
        <w:t>1</w:t>
      </w:r>
    </w:p>
    <w:p w14:paraId="6F457992" w14:textId="77777777" w:rsidR="00053D93" w:rsidRDefault="00260B75">
      <w:pPr>
        <w:spacing w:after="4" w:line="269" w:lineRule="auto"/>
        <w:ind w:left="1724" w:right="14" w:hanging="3"/>
        <w:jc w:val="both"/>
      </w:pPr>
      <w:r>
        <w:rPr>
          <w:sz w:val="26"/>
        </w:rPr>
        <w:t>Para el caso del Nivel de Educación Primaria, por medio del oficio No.</w:t>
      </w:r>
    </w:p>
    <w:p w14:paraId="5755D2F2" w14:textId="77777777" w:rsidR="00053D93" w:rsidRDefault="00260B75">
      <w:pPr>
        <w:spacing w:after="245" w:line="269" w:lineRule="auto"/>
        <w:ind w:left="57" w:right="14" w:firstLine="1642"/>
        <w:jc w:val="both"/>
      </w:pPr>
      <w:r>
        <w:rPr>
          <w:sz w:val="26"/>
        </w:rPr>
        <w:t>DIGECADE/SEE No. 190-2025, de fecha 21 de marzo de 2025, dirigido al Auditor 1 Gubernamental de la Contraloría General de Cuentas, inciso a., se informó que los textos para niños de Segundo, Tercero, Cuarto, Quinto y Sexto del nivel de educación primaria, se han considerado bienes fungibles, (los niños los utilizan cada año y los dejan para la siguiente promoción); por lo cual, los niños sí tuvieron acceso a libros en el año 2024.</w:t>
      </w:r>
    </w:p>
    <w:p w14:paraId="128A5FF7" w14:textId="77777777" w:rsidR="00053D93" w:rsidRDefault="00260B75">
      <w:pPr>
        <w:spacing w:after="4" w:line="269" w:lineRule="auto"/>
        <w:ind w:left="57" w:right="14" w:firstLine="1634"/>
        <w:jc w:val="both"/>
      </w:pPr>
      <w:r>
        <w:rPr>
          <w:sz w:val="26"/>
        </w:rPr>
        <w:t>Es importante destacar, que de conformidad al Currículo Nacional Base -CNB-, de los Niveles de Educación Preprimaria y Primaria indica que: "...se denomina 1 proceso E-A-E, (enseñanza, aprendizaje y evaluación) a la interrelación que se da entre la planificación, la ejecución y la evaluación de las acciones que realizan el 1 maestro o maestra y [os alumnos y alumnas. Este proceso orienta la formación</w:t>
      </w:r>
    </w:p>
    <w:tbl>
      <w:tblPr>
        <w:tblStyle w:val="TableGrid"/>
        <w:tblW w:w="9425" w:type="dxa"/>
        <w:tblInd w:w="749" w:type="dxa"/>
        <w:tblLook w:val="04A0" w:firstRow="1" w:lastRow="0" w:firstColumn="1" w:lastColumn="0" w:noHBand="0" w:noVBand="1"/>
      </w:tblPr>
      <w:tblGrid>
        <w:gridCol w:w="1771"/>
        <w:gridCol w:w="10498"/>
      </w:tblGrid>
      <w:tr w:rsidR="00053D93" w14:paraId="7C9FE35B" w14:textId="77777777">
        <w:trPr>
          <w:trHeight w:val="634"/>
        </w:trPr>
        <w:tc>
          <w:tcPr>
            <w:tcW w:w="1789" w:type="dxa"/>
            <w:tcBorders>
              <w:top w:val="nil"/>
              <w:left w:val="nil"/>
              <w:bottom w:val="nil"/>
              <w:right w:val="nil"/>
            </w:tcBorders>
          </w:tcPr>
          <w:p w14:paraId="6190363C" w14:textId="77777777" w:rsidR="00053D93" w:rsidRDefault="00260B75">
            <w:r>
              <w:rPr>
                <w:noProof/>
              </w:rPr>
              <w:drawing>
                <wp:inline distT="0" distB="0" distL="0" distR="0" wp14:anchorId="3F4AF33D" wp14:editId="39623A36">
                  <wp:extent cx="1124712" cy="402336"/>
                  <wp:effectExtent l="0" t="0" r="0" b="0"/>
                  <wp:docPr id="1290514" name="Picture 1290514"/>
                  <wp:cNvGraphicFramePr/>
                  <a:graphic xmlns:a="http://schemas.openxmlformats.org/drawingml/2006/main">
                    <a:graphicData uri="http://schemas.openxmlformats.org/drawingml/2006/picture">
                      <pic:pic xmlns:pic="http://schemas.openxmlformats.org/drawingml/2006/picture">
                        <pic:nvPicPr>
                          <pic:cNvPr id="1290514" name="Picture 1290514"/>
                          <pic:cNvPicPr/>
                        </pic:nvPicPr>
                        <pic:blipFill>
                          <a:blip r:embed="rId1724"/>
                          <a:stretch>
                            <a:fillRect/>
                          </a:stretch>
                        </pic:blipFill>
                        <pic:spPr>
                          <a:xfrm>
                            <a:off x="0" y="0"/>
                            <a:ext cx="1124712" cy="402336"/>
                          </a:xfrm>
                          <a:prstGeom prst="rect">
                            <a:avLst/>
                          </a:prstGeom>
                        </pic:spPr>
                      </pic:pic>
                    </a:graphicData>
                  </a:graphic>
                </wp:inline>
              </w:drawing>
            </w:r>
          </w:p>
        </w:tc>
        <w:tc>
          <w:tcPr>
            <w:tcW w:w="7636" w:type="dxa"/>
            <w:tcBorders>
              <w:top w:val="nil"/>
              <w:left w:val="nil"/>
              <w:bottom w:val="nil"/>
              <w:right w:val="nil"/>
            </w:tcBorders>
          </w:tcPr>
          <w:p w14:paraId="747D7BC7" w14:textId="77777777" w:rsidR="00053D93" w:rsidRDefault="00053D93">
            <w:pPr>
              <w:ind w:left="-2862" w:right="10498"/>
            </w:pPr>
          </w:p>
          <w:tbl>
            <w:tblPr>
              <w:tblStyle w:val="TableGrid"/>
              <w:tblW w:w="7618" w:type="dxa"/>
              <w:tblInd w:w="18" w:type="dxa"/>
              <w:tblCellMar>
                <w:top w:w="29" w:type="dxa"/>
                <w:left w:w="1735" w:type="dxa"/>
                <w:right w:w="115" w:type="dxa"/>
              </w:tblCellMar>
              <w:tblLook w:val="04A0" w:firstRow="1" w:lastRow="0" w:firstColumn="1" w:lastColumn="0" w:noHBand="0" w:noVBand="1"/>
            </w:tblPr>
            <w:tblGrid>
              <w:gridCol w:w="7618"/>
            </w:tblGrid>
            <w:tr w:rsidR="00053D93" w14:paraId="325A2BE4" w14:textId="77777777">
              <w:trPr>
                <w:trHeight w:val="43"/>
              </w:trPr>
              <w:tc>
                <w:tcPr>
                  <w:tcW w:w="7618" w:type="dxa"/>
                  <w:tcBorders>
                    <w:top w:val="nil"/>
                    <w:left w:val="single" w:sz="2" w:space="0" w:color="000000"/>
                    <w:bottom w:val="single" w:sz="2" w:space="0" w:color="000000"/>
                    <w:right w:val="nil"/>
                  </w:tcBorders>
                </w:tcPr>
                <w:p w14:paraId="0D027549" w14:textId="77777777" w:rsidR="00053D93" w:rsidRDefault="00053D93"/>
              </w:tc>
            </w:tr>
            <w:tr w:rsidR="00053D93" w14:paraId="69FC81D4" w14:textId="77777777">
              <w:trPr>
                <w:trHeight w:val="590"/>
              </w:trPr>
              <w:tc>
                <w:tcPr>
                  <w:tcW w:w="7618" w:type="dxa"/>
                  <w:tcBorders>
                    <w:top w:val="single" w:sz="2" w:space="0" w:color="000000"/>
                    <w:left w:val="single" w:sz="2" w:space="0" w:color="000000"/>
                    <w:bottom w:val="nil"/>
                    <w:right w:val="nil"/>
                  </w:tcBorders>
                </w:tcPr>
                <w:p w14:paraId="48529069" w14:textId="77777777" w:rsidR="00053D93" w:rsidRDefault="00260B75">
                  <w:pPr>
                    <w:ind w:left="835"/>
                  </w:pPr>
                  <w:r>
                    <w:rPr>
                      <w:sz w:val="14"/>
                    </w:rPr>
                    <w:t>MINISTERIO DE EDUCACION</w:t>
                  </w:r>
                </w:p>
                <w:p w14:paraId="227AEA08" w14:textId="77777777" w:rsidR="00053D93" w:rsidRDefault="00260B75">
                  <w:pPr>
                    <w:ind w:left="346"/>
                  </w:pPr>
                  <w:r>
                    <w:rPr>
                      <w:sz w:val="14"/>
                    </w:rPr>
                    <w:t>AUDITORIA FINANCIERA Y DE CUMPLIMIENTO</w:t>
                  </w:r>
                </w:p>
                <w:p w14:paraId="6070FF3C" w14:textId="77777777" w:rsidR="00053D93" w:rsidRDefault="00260B75">
                  <w:r>
                    <w:rPr>
                      <w:sz w:val="16"/>
                    </w:rPr>
                    <w:t>FERiODO DEL 01 DE ENERO AL 31 DE DICIEMBRE DE 2024</w:t>
                  </w:r>
                </w:p>
              </w:tc>
            </w:tr>
          </w:tbl>
          <w:p w14:paraId="170D8479" w14:textId="77777777" w:rsidR="00053D93" w:rsidRDefault="00053D93"/>
        </w:tc>
      </w:tr>
    </w:tbl>
    <w:p w14:paraId="1CE20C40" w14:textId="77777777" w:rsidR="00053D93" w:rsidRDefault="00260B75">
      <w:pPr>
        <w:spacing w:after="364" w:line="265" w:lineRule="auto"/>
        <w:ind w:left="1846" w:right="274" w:hanging="10"/>
        <w:jc w:val="center"/>
      </w:pPr>
      <w:r>
        <w:rPr>
          <w:sz w:val="14"/>
        </w:rPr>
        <w:t>221</w:t>
      </w:r>
    </w:p>
    <w:p w14:paraId="26FCC633" w14:textId="77777777" w:rsidR="00053D93" w:rsidRDefault="00260B75">
      <w:pPr>
        <w:spacing w:before="33" w:after="4" w:line="438" w:lineRule="auto"/>
        <w:ind w:left="1706" w:right="14" w:hanging="1649"/>
        <w:jc w:val="both"/>
      </w:pPr>
      <w:r>
        <w:rPr>
          <w:noProof/>
        </w:rPr>
        <w:drawing>
          <wp:anchor distT="0" distB="0" distL="114300" distR="114300" simplePos="0" relativeHeight="252326912" behindDoc="0" locked="0" layoutInCell="1" allowOverlap="0" wp14:anchorId="085FF54C" wp14:editId="6452299E">
            <wp:simplePos x="0" y="0"/>
            <wp:positionH relativeFrom="column">
              <wp:posOffset>-54863</wp:posOffset>
            </wp:positionH>
            <wp:positionV relativeFrom="paragraph">
              <wp:posOffset>-48540</wp:posOffset>
            </wp:positionV>
            <wp:extent cx="6483096" cy="27432"/>
            <wp:effectExtent l="0" t="0" r="0" b="0"/>
            <wp:wrapSquare wrapText="bothSides"/>
            <wp:docPr id="2458989" name="Picture 2458989"/>
            <wp:cNvGraphicFramePr/>
            <a:graphic xmlns:a="http://schemas.openxmlformats.org/drawingml/2006/main">
              <a:graphicData uri="http://schemas.openxmlformats.org/drawingml/2006/picture">
                <pic:pic xmlns:pic="http://schemas.openxmlformats.org/drawingml/2006/picture">
                  <pic:nvPicPr>
                    <pic:cNvPr id="2458989" name="Picture 2458989"/>
                    <pic:cNvPicPr/>
                  </pic:nvPicPr>
                  <pic:blipFill>
                    <a:blip r:embed="rId1725"/>
                    <a:stretch>
                      <a:fillRect/>
                    </a:stretch>
                  </pic:blipFill>
                  <pic:spPr>
                    <a:xfrm>
                      <a:off x="0" y="0"/>
                      <a:ext cx="6483096" cy="27432"/>
                    </a:xfrm>
                    <a:prstGeom prst="rect">
                      <a:avLst/>
                    </a:prstGeom>
                  </pic:spPr>
                </pic:pic>
              </a:graphicData>
            </a:graphic>
          </wp:anchor>
        </w:drawing>
      </w:r>
      <w:r>
        <w:rPr>
          <w:sz w:val="26"/>
        </w:rPr>
        <w:t>1 educativa de los educandos, auxiliándose de los materiales curriculares elaborados para el efecto...</w:t>
      </w:r>
    </w:p>
    <w:p w14:paraId="4A4C48ED" w14:textId="77777777" w:rsidR="00053D93" w:rsidRDefault="00260B75">
      <w:pPr>
        <w:spacing w:after="72"/>
      </w:pPr>
      <w:r>
        <w:rPr>
          <w:noProof/>
        </w:rPr>
        <w:drawing>
          <wp:inline distT="0" distB="0" distL="0" distR="0" wp14:anchorId="3F137767" wp14:editId="68D87E8F">
            <wp:extent cx="18288" cy="13716"/>
            <wp:effectExtent l="0" t="0" r="0" b="0"/>
            <wp:docPr id="1293990" name="Picture 1293990"/>
            <wp:cNvGraphicFramePr/>
            <a:graphic xmlns:a="http://schemas.openxmlformats.org/drawingml/2006/main">
              <a:graphicData uri="http://schemas.openxmlformats.org/drawingml/2006/picture">
                <pic:pic xmlns:pic="http://schemas.openxmlformats.org/drawingml/2006/picture">
                  <pic:nvPicPr>
                    <pic:cNvPr id="1293990" name="Picture 1293990"/>
                    <pic:cNvPicPr/>
                  </pic:nvPicPr>
                  <pic:blipFill>
                    <a:blip r:embed="rId1726"/>
                    <a:stretch>
                      <a:fillRect/>
                    </a:stretch>
                  </pic:blipFill>
                  <pic:spPr>
                    <a:xfrm>
                      <a:off x="0" y="0"/>
                      <a:ext cx="18288" cy="13716"/>
                    </a:xfrm>
                    <a:prstGeom prst="rect">
                      <a:avLst/>
                    </a:prstGeom>
                  </pic:spPr>
                </pic:pic>
              </a:graphicData>
            </a:graphic>
          </wp:inline>
        </w:drawing>
      </w:r>
    </w:p>
    <w:p w14:paraId="6B9680FD" w14:textId="77777777" w:rsidR="00053D93" w:rsidRDefault="00260B75">
      <w:pPr>
        <w:tabs>
          <w:tab w:val="right" w:pos="10174"/>
        </w:tabs>
        <w:spacing w:after="4" w:line="269" w:lineRule="auto"/>
      </w:pPr>
      <w:r>
        <w:rPr>
          <w:sz w:val="26"/>
        </w:rPr>
        <w:t>1</w:t>
      </w:r>
      <w:r>
        <w:rPr>
          <w:sz w:val="26"/>
        </w:rPr>
        <w:tab/>
        <w:t>Por lo indicado en el párrafo anterior, los docentes son los responsables de</w:t>
      </w:r>
    </w:p>
    <w:p w14:paraId="07DF6266" w14:textId="77777777" w:rsidR="00053D93" w:rsidRDefault="00260B75">
      <w:pPr>
        <w:spacing w:after="81" w:line="273" w:lineRule="auto"/>
        <w:ind w:left="21" w:firstLine="1606"/>
      </w:pPr>
      <w:r>
        <w:rPr>
          <w:sz w:val="26"/>
        </w:rPr>
        <w:t>desarrollar los procesos más elevados del</w:t>
      </w:r>
      <w:r>
        <w:rPr>
          <w:sz w:val="26"/>
        </w:rPr>
        <w:tab/>
        <w:t>razonamiento y de 1</w:t>
      </w:r>
      <w:r>
        <w:rPr>
          <w:sz w:val="26"/>
        </w:rPr>
        <w:tab/>
        <w:t>enseñanza-aprendizaje establecidos en el Currículo Nacional Base -CNB- y los textos (materiales curriculares) son auxiliares para el proceso de enseñanza-aprendizaje</w:t>
      </w:r>
    </w:p>
    <w:p w14:paraId="1FCE9988" w14:textId="77777777" w:rsidR="00053D93" w:rsidRDefault="00260B75">
      <w:pPr>
        <w:spacing w:after="3"/>
        <w:ind w:left="24" w:hanging="10"/>
      </w:pPr>
      <w:r>
        <w:rPr>
          <w:noProof/>
        </w:rPr>
        <w:drawing>
          <wp:inline distT="0" distB="0" distL="0" distR="0" wp14:anchorId="547C337A" wp14:editId="3BCFAF01">
            <wp:extent cx="13716" cy="13716"/>
            <wp:effectExtent l="0" t="0" r="0" b="0"/>
            <wp:docPr id="1293991" name="Picture 1293991"/>
            <wp:cNvGraphicFramePr/>
            <a:graphic xmlns:a="http://schemas.openxmlformats.org/drawingml/2006/main">
              <a:graphicData uri="http://schemas.openxmlformats.org/drawingml/2006/picture">
                <pic:pic xmlns:pic="http://schemas.openxmlformats.org/drawingml/2006/picture">
                  <pic:nvPicPr>
                    <pic:cNvPr id="1293991" name="Picture 1293991"/>
                    <pic:cNvPicPr/>
                  </pic:nvPicPr>
                  <pic:blipFill>
                    <a:blip r:embed="rId1673"/>
                    <a:stretch>
                      <a:fillRect/>
                    </a:stretch>
                  </pic:blipFill>
                  <pic:spPr>
                    <a:xfrm>
                      <a:off x="0" y="0"/>
                      <a:ext cx="13716" cy="13716"/>
                    </a:xfrm>
                    <a:prstGeom prst="rect">
                      <a:avLst/>
                    </a:prstGeom>
                  </pic:spPr>
                </pic:pic>
              </a:graphicData>
            </a:graphic>
          </wp:inline>
        </w:drawing>
      </w:r>
      <w:r>
        <w:rPr>
          <w:sz w:val="72"/>
        </w:rPr>
        <w:t>1</w:t>
      </w:r>
    </w:p>
    <w:p w14:paraId="53E4ABE7" w14:textId="77777777" w:rsidR="00053D93" w:rsidRDefault="00260B75">
      <w:pPr>
        <w:spacing w:after="3" w:line="273" w:lineRule="auto"/>
        <w:ind w:left="21" w:firstLine="1656"/>
      </w:pPr>
      <w:r>
        <w:rPr>
          <w:sz w:val="26"/>
        </w:rPr>
        <w:t>Para incrementar la calidad educativa, el docente es el responsable de desarrollar 1</w:t>
      </w:r>
      <w:r>
        <w:rPr>
          <w:sz w:val="26"/>
        </w:rPr>
        <w:tab/>
        <w:t xml:space="preserve">los procesos de enseñanza-aprendizaje establecidos en el Currículo Nacional Base -CNB-, además de contar con el apoyo de los textos; por [o que ambos contribuyen al desarrollo de las competencias y mejorar la calidad de vida de los </w:t>
      </w:r>
      <w:r>
        <w:rPr>
          <w:noProof/>
        </w:rPr>
        <w:drawing>
          <wp:inline distT="0" distB="0" distL="0" distR="0" wp14:anchorId="2979917B" wp14:editId="37CEE68A">
            <wp:extent cx="13716" cy="13716"/>
            <wp:effectExtent l="0" t="0" r="0" b="0"/>
            <wp:docPr id="1293992" name="Picture 1293992"/>
            <wp:cNvGraphicFramePr/>
            <a:graphic xmlns:a="http://schemas.openxmlformats.org/drawingml/2006/main">
              <a:graphicData uri="http://schemas.openxmlformats.org/drawingml/2006/picture">
                <pic:pic xmlns:pic="http://schemas.openxmlformats.org/drawingml/2006/picture">
                  <pic:nvPicPr>
                    <pic:cNvPr id="1293992" name="Picture 1293992"/>
                    <pic:cNvPicPr/>
                  </pic:nvPicPr>
                  <pic:blipFill>
                    <a:blip r:embed="rId895"/>
                    <a:stretch>
                      <a:fillRect/>
                    </a:stretch>
                  </pic:blipFill>
                  <pic:spPr>
                    <a:xfrm>
                      <a:off x="0" y="0"/>
                      <a:ext cx="13716" cy="13716"/>
                    </a:xfrm>
                    <a:prstGeom prst="rect">
                      <a:avLst/>
                    </a:prstGeom>
                  </pic:spPr>
                </pic:pic>
              </a:graphicData>
            </a:graphic>
          </wp:inline>
        </w:drawing>
      </w:r>
      <w:r>
        <w:rPr>
          <w:sz w:val="26"/>
        </w:rPr>
        <w:t>1</w:t>
      </w:r>
      <w:r>
        <w:rPr>
          <w:sz w:val="26"/>
        </w:rPr>
        <w:tab/>
        <w:t>estudiantes.</w:t>
      </w:r>
    </w:p>
    <w:p w14:paraId="06A3B149" w14:textId="77777777" w:rsidR="00053D93" w:rsidRDefault="00260B75">
      <w:pPr>
        <w:spacing w:after="4" w:line="266" w:lineRule="auto"/>
        <w:ind w:left="1680" w:hanging="10"/>
      </w:pPr>
      <w:r>
        <w:rPr>
          <w:sz w:val="28"/>
        </w:rPr>
        <w:t>CONCLUSIÓN Y PETICIÓN</w:t>
      </w:r>
    </w:p>
    <w:p w14:paraId="50D4F45E" w14:textId="77777777" w:rsidR="00053D93" w:rsidRDefault="00260B75">
      <w:pPr>
        <w:spacing w:after="3"/>
        <w:ind w:left="74" w:right="3485" w:hanging="10"/>
      </w:pPr>
      <w:r>
        <w:rPr>
          <w:noProof/>
        </w:rPr>
        <w:drawing>
          <wp:inline distT="0" distB="0" distL="0" distR="0" wp14:anchorId="176F0138" wp14:editId="188E86F4">
            <wp:extent cx="9144" cy="9144"/>
            <wp:effectExtent l="0" t="0" r="0" b="0"/>
            <wp:docPr id="1293993" name="Picture 1293993"/>
            <wp:cNvGraphicFramePr/>
            <a:graphic xmlns:a="http://schemas.openxmlformats.org/drawingml/2006/main">
              <a:graphicData uri="http://schemas.openxmlformats.org/drawingml/2006/picture">
                <pic:pic xmlns:pic="http://schemas.openxmlformats.org/drawingml/2006/picture">
                  <pic:nvPicPr>
                    <pic:cNvPr id="1293993" name="Picture 1293993"/>
                    <pic:cNvPicPr/>
                  </pic:nvPicPr>
                  <pic:blipFill>
                    <a:blip r:embed="rId93"/>
                    <a:stretch>
                      <a:fillRect/>
                    </a:stretch>
                  </pic:blipFill>
                  <pic:spPr>
                    <a:xfrm>
                      <a:off x="0" y="0"/>
                      <a:ext cx="9144" cy="9144"/>
                    </a:xfrm>
                    <a:prstGeom prst="rect">
                      <a:avLst/>
                    </a:prstGeom>
                  </pic:spPr>
                </pic:pic>
              </a:graphicData>
            </a:graphic>
          </wp:inline>
        </w:drawing>
      </w:r>
      <w:r>
        <w:rPr>
          <w:sz w:val="70"/>
        </w:rPr>
        <w:t>1</w:t>
      </w:r>
    </w:p>
    <w:p w14:paraId="14AF927E" w14:textId="77777777" w:rsidR="00053D93" w:rsidRDefault="00260B75">
      <w:pPr>
        <w:spacing w:after="4" w:line="269" w:lineRule="auto"/>
        <w:ind w:left="57" w:right="14" w:firstLine="1620"/>
        <w:jc w:val="both"/>
      </w:pPr>
      <w:r>
        <w:rPr>
          <w:noProof/>
        </w:rPr>
        <w:drawing>
          <wp:anchor distT="0" distB="0" distL="114300" distR="114300" simplePos="0" relativeHeight="252327936" behindDoc="0" locked="0" layoutInCell="1" allowOverlap="0" wp14:anchorId="2EDC0EAA" wp14:editId="4B2B694C">
            <wp:simplePos x="0" y="0"/>
            <wp:positionH relativeFrom="page">
              <wp:posOffset>7054596</wp:posOffset>
            </wp:positionH>
            <wp:positionV relativeFrom="page">
              <wp:posOffset>818388</wp:posOffset>
            </wp:positionV>
            <wp:extent cx="22861" cy="9144"/>
            <wp:effectExtent l="0" t="0" r="0" b="0"/>
            <wp:wrapTopAndBottom/>
            <wp:docPr id="1293988" name="Picture 1293988"/>
            <wp:cNvGraphicFramePr/>
            <a:graphic xmlns:a="http://schemas.openxmlformats.org/drawingml/2006/main">
              <a:graphicData uri="http://schemas.openxmlformats.org/drawingml/2006/picture">
                <pic:pic xmlns:pic="http://schemas.openxmlformats.org/drawingml/2006/picture">
                  <pic:nvPicPr>
                    <pic:cNvPr id="1293988" name="Picture 1293988"/>
                    <pic:cNvPicPr/>
                  </pic:nvPicPr>
                  <pic:blipFill>
                    <a:blip r:embed="rId894"/>
                    <a:stretch>
                      <a:fillRect/>
                    </a:stretch>
                  </pic:blipFill>
                  <pic:spPr>
                    <a:xfrm>
                      <a:off x="0" y="0"/>
                      <a:ext cx="22861" cy="9144"/>
                    </a:xfrm>
                    <a:prstGeom prst="rect">
                      <a:avLst/>
                    </a:prstGeom>
                  </pic:spPr>
                </pic:pic>
              </a:graphicData>
            </a:graphic>
          </wp:anchor>
        </w:drawing>
      </w:r>
      <w:r>
        <w:rPr>
          <w:sz w:val="26"/>
        </w:rPr>
        <w:t>El incumplimiento de metas físicas y financieras relacionadas con la provisión de 1 textos escolares en el Programa 1 1: Educación Escolar de Preprimaria, describe la condición del posible hallazgo, que se basó en el reporte número R0081561 1,rpt, Analftico de Ejecución Físico y Financiera del Sistema de Contabilidad Integrada Gubernamental -SICOIN- y R00804768.rpt (Grupos Dinámicos), del 01 de enero al 31 de diciembre de 2024; por lo cual la suscrita no tuvo participación en el establecimiento y seguimiento de las metas desde el inicio 1 del período, sino hasta el 04 de junio de 2024, donde se efectuó seguimiento a las acciones propias del proceso de la licitación.</w:t>
      </w:r>
    </w:p>
    <w:p w14:paraId="2E93A52B" w14:textId="77777777" w:rsidR="00053D93" w:rsidRDefault="00260B75">
      <w:pPr>
        <w:spacing w:after="119"/>
        <w:ind w:left="29"/>
      </w:pPr>
      <w:r>
        <w:rPr>
          <w:noProof/>
        </w:rPr>
        <w:drawing>
          <wp:inline distT="0" distB="0" distL="0" distR="0" wp14:anchorId="5B7364C5" wp14:editId="74EDC370">
            <wp:extent cx="9144" cy="4572"/>
            <wp:effectExtent l="0" t="0" r="0" b="0"/>
            <wp:docPr id="1293994" name="Picture 1293994"/>
            <wp:cNvGraphicFramePr/>
            <a:graphic xmlns:a="http://schemas.openxmlformats.org/drawingml/2006/main">
              <a:graphicData uri="http://schemas.openxmlformats.org/drawingml/2006/picture">
                <pic:pic xmlns:pic="http://schemas.openxmlformats.org/drawingml/2006/picture">
                  <pic:nvPicPr>
                    <pic:cNvPr id="1293994" name="Picture 1293994"/>
                    <pic:cNvPicPr/>
                  </pic:nvPicPr>
                  <pic:blipFill>
                    <a:blip r:embed="rId24"/>
                    <a:stretch>
                      <a:fillRect/>
                    </a:stretch>
                  </pic:blipFill>
                  <pic:spPr>
                    <a:xfrm>
                      <a:off x="0" y="0"/>
                      <a:ext cx="9144" cy="4572"/>
                    </a:xfrm>
                    <a:prstGeom prst="rect">
                      <a:avLst/>
                    </a:prstGeom>
                  </pic:spPr>
                </pic:pic>
              </a:graphicData>
            </a:graphic>
          </wp:inline>
        </w:drawing>
      </w:r>
    </w:p>
    <w:p w14:paraId="713441B4" w14:textId="77777777" w:rsidR="00053D93" w:rsidRDefault="00260B75">
      <w:pPr>
        <w:spacing w:after="233" w:line="269" w:lineRule="auto"/>
        <w:ind w:left="60" w:right="14" w:hanging="3"/>
        <w:jc w:val="both"/>
      </w:pPr>
      <w:r>
        <w:rPr>
          <w:sz w:val="26"/>
        </w:rPr>
        <w:t>1 En el caso del Programa 12: Educación Escolar de Primaria, el incumplimiento de metas físicas y financieras relacionadas con la provisión de textos escolares en el Nivel de Educación Primaria, describe la condición del posible hallazgo, que se basó en el reporte número R0081561 1 ,rpt, Analítico de Ejecución Físico y Financiera del Sistema de Contabilidad Integrada Gubernamental -SICOIN- y 1 R00804768.rpt (Grupos Dinámicos), del 01 de enero al 31 de diciembre de 2024, el cual incluye la impresión de textos para el año 2024; sin embargo, la suscrita no 1 tuvo participación en dejar sin efecto el proceso de licitación para la impresión de 6,347 ,291 textos para uso en el año 2024 y cumplir con la ejecución de las metas físicas que están concatenadas a las metas financieras, al 31 de diciembre de 2024; además los niños sí tuvieron acceso a libros en el ciclo escolar 2024... "</w:t>
      </w:r>
    </w:p>
    <w:tbl>
      <w:tblPr>
        <w:tblStyle w:val="TableGrid"/>
        <w:tblpPr w:vertAnchor="text" w:tblpX="2488" w:tblpY="1246"/>
        <w:tblOverlap w:val="never"/>
        <w:tblW w:w="7657" w:type="dxa"/>
        <w:tblInd w:w="0" w:type="dxa"/>
        <w:tblCellMar>
          <w:top w:w="33" w:type="dxa"/>
          <w:bottom w:w="137" w:type="dxa"/>
          <w:right w:w="197" w:type="dxa"/>
        </w:tblCellMar>
        <w:tblLook w:val="04A0" w:firstRow="1" w:lastRow="0" w:firstColumn="1" w:lastColumn="0" w:noHBand="0" w:noVBand="1"/>
      </w:tblPr>
      <w:tblGrid>
        <w:gridCol w:w="2596"/>
        <w:gridCol w:w="5061"/>
      </w:tblGrid>
      <w:tr w:rsidR="00053D93" w14:paraId="1F8E882D" w14:textId="77777777">
        <w:trPr>
          <w:trHeight w:val="39"/>
        </w:trPr>
        <w:tc>
          <w:tcPr>
            <w:tcW w:w="2596" w:type="dxa"/>
            <w:tcBorders>
              <w:top w:val="nil"/>
              <w:left w:val="single" w:sz="2" w:space="0" w:color="000000"/>
              <w:bottom w:val="single" w:sz="2" w:space="0" w:color="000000"/>
              <w:right w:val="nil"/>
            </w:tcBorders>
          </w:tcPr>
          <w:p w14:paraId="7CC9837C" w14:textId="77777777" w:rsidR="00053D93" w:rsidRDefault="00053D93"/>
        </w:tc>
        <w:tc>
          <w:tcPr>
            <w:tcW w:w="5062" w:type="dxa"/>
            <w:tcBorders>
              <w:top w:val="nil"/>
              <w:left w:val="nil"/>
              <w:bottom w:val="single" w:sz="2" w:space="0" w:color="000000"/>
              <w:right w:val="nil"/>
            </w:tcBorders>
          </w:tcPr>
          <w:p w14:paraId="59C617DE" w14:textId="77777777" w:rsidR="00053D93" w:rsidRDefault="00053D93"/>
        </w:tc>
      </w:tr>
      <w:tr w:rsidR="00053D93" w14:paraId="73BB7363" w14:textId="77777777">
        <w:trPr>
          <w:trHeight w:val="602"/>
        </w:trPr>
        <w:tc>
          <w:tcPr>
            <w:tcW w:w="2596" w:type="dxa"/>
            <w:tcBorders>
              <w:top w:val="single" w:sz="2" w:space="0" w:color="000000"/>
              <w:left w:val="single" w:sz="2" w:space="0" w:color="000000"/>
              <w:bottom w:val="nil"/>
              <w:right w:val="nil"/>
            </w:tcBorders>
            <w:vAlign w:val="bottom"/>
          </w:tcPr>
          <w:p w14:paraId="3A0AE8BC" w14:textId="77777777" w:rsidR="00053D93" w:rsidRDefault="00260B75">
            <w:pPr>
              <w:ind w:right="105"/>
              <w:jc w:val="right"/>
            </w:pPr>
            <w:r>
              <w:rPr>
                <w:sz w:val="14"/>
              </w:rPr>
              <w:t xml:space="preserve">PERIODO </w:t>
            </w:r>
          </w:p>
        </w:tc>
        <w:tc>
          <w:tcPr>
            <w:tcW w:w="5062" w:type="dxa"/>
            <w:tcBorders>
              <w:top w:val="single" w:sz="2" w:space="0" w:color="000000"/>
              <w:left w:val="nil"/>
              <w:bottom w:val="nil"/>
              <w:right w:val="nil"/>
            </w:tcBorders>
          </w:tcPr>
          <w:p w14:paraId="4F8F4B96" w14:textId="77777777" w:rsidR="00053D93" w:rsidRDefault="00260B75">
            <w:pPr>
              <w:ind w:left="14"/>
            </w:pPr>
            <w:r>
              <w:rPr>
                <w:sz w:val="14"/>
              </w:rPr>
              <w:t>MINISTERIO OE EDUCACFON</w:t>
            </w:r>
          </w:p>
          <w:p w14:paraId="4753AAC9" w14:textId="77777777" w:rsidR="00053D93" w:rsidRDefault="00260B75">
            <w:pPr>
              <w:ind w:left="180"/>
            </w:pPr>
            <w:r>
              <w:rPr>
                <w:sz w:val="14"/>
              </w:rPr>
              <w:t>FINANCIERA Y DE CUMPLIMIENTO</w:t>
            </w:r>
          </w:p>
          <w:p w14:paraId="6FCBAD12" w14:textId="77777777" w:rsidR="00053D93" w:rsidRDefault="00260B75">
            <w:r>
              <w:rPr>
                <w:sz w:val="14"/>
              </w:rPr>
              <w:t>01 DE ENERO AL 31 OE DICIEMBRE OE 2024</w:t>
            </w:r>
          </w:p>
        </w:tc>
      </w:tr>
    </w:tbl>
    <w:p w14:paraId="794693DF" w14:textId="77777777" w:rsidR="00053D93" w:rsidRDefault="00260B75">
      <w:pPr>
        <w:spacing w:after="4" w:line="217" w:lineRule="auto"/>
        <w:ind w:left="57" w:right="14" w:firstLine="950"/>
        <w:jc w:val="both"/>
      </w:pPr>
      <w:r>
        <w:rPr>
          <w:noProof/>
        </w:rPr>
        <mc:AlternateContent>
          <mc:Choice Requires="wpg">
            <w:drawing>
              <wp:anchor distT="0" distB="0" distL="114300" distR="114300" simplePos="0" relativeHeight="252328960" behindDoc="0" locked="0" layoutInCell="1" allowOverlap="1" wp14:anchorId="606F92C7" wp14:editId="335EB622">
                <wp:simplePos x="0" y="0"/>
                <wp:positionH relativeFrom="column">
                  <wp:posOffset>41148</wp:posOffset>
                </wp:positionH>
                <wp:positionV relativeFrom="paragraph">
                  <wp:posOffset>54936</wp:posOffset>
                </wp:positionV>
                <wp:extent cx="118872" cy="297180"/>
                <wp:effectExtent l="0" t="0" r="0" b="0"/>
                <wp:wrapSquare wrapText="bothSides"/>
                <wp:docPr id="2457826" name="Group 2457826"/>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291129" name="Rectangle 1291129"/>
                        <wps:cNvSpPr/>
                        <wps:spPr>
                          <a:xfrm>
                            <a:off x="0" y="0"/>
                            <a:ext cx="158100" cy="395250"/>
                          </a:xfrm>
                          <a:prstGeom prst="rect">
                            <a:avLst/>
                          </a:prstGeom>
                          <a:ln>
                            <a:noFill/>
                          </a:ln>
                        </wps:spPr>
                        <wps:txbx>
                          <w:txbxContent>
                            <w:p w14:paraId="6253CCEF"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606F92C7" id="Group 2457826" o:spid="_x0000_s1833" style="position:absolute;left:0;text-align:left;margin-left:3.25pt;margin-top:4.35pt;width:9.35pt;height:23.4pt;z-index:252328960;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">
                <v:rect id="Rectangle 1291129" o:spid="_x0000_s1834"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" filled="f" stroked="f">
                  <v:textbox inset="0,0,0,0">
                    <w:txbxContent>
                      <w:p w14:paraId="6253CCEF" w14:textId="77777777" w:rsidR="00053D93" w:rsidRDefault="00260B75">
                        <w:r>
                          <w:rPr>
                            <w:sz w:val="72"/>
                          </w:rPr>
                          <w:t>1</w:t>
                        </w:r>
                      </w:p>
                    </w:txbxContent>
                  </v:textbox>
                </v:rect>
                <w10:wrap type="square"/>
              </v:group>
            </w:pict>
          </mc:Fallback>
        </mc:AlternateContent>
      </w:r>
      <w:r>
        <w:rPr>
          <w:sz w:val="26"/>
        </w:rPr>
        <w:t xml:space="preserve">En Nota s/n, del 21 de abril de 2025, la licenciada Olga Tzaquitzal Solís de Motta, quien fungió como Jefa del Nivel de Educación Primaria, por el período comprendido del 02 de octubre de 2023 al 31 de diciembre de 2024, manifiesta: </w:t>
      </w:r>
      <w:r>
        <w:rPr>
          <w:noProof/>
        </w:rPr>
        <w:drawing>
          <wp:inline distT="0" distB="0" distL="0" distR="0" wp14:anchorId="537E0806" wp14:editId="2506A792">
            <wp:extent cx="1060704" cy="608076"/>
            <wp:effectExtent l="0" t="0" r="0" b="0"/>
            <wp:docPr id="2458991" name="Picture 2458991"/>
            <wp:cNvGraphicFramePr/>
            <a:graphic xmlns:a="http://schemas.openxmlformats.org/drawingml/2006/main">
              <a:graphicData uri="http://schemas.openxmlformats.org/drawingml/2006/picture">
                <pic:pic xmlns:pic="http://schemas.openxmlformats.org/drawingml/2006/picture">
                  <pic:nvPicPr>
                    <pic:cNvPr id="2458991" name="Picture 2458991"/>
                    <pic:cNvPicPr/>
                  </pic:nvPicPr>
                  <pic:blipFill>
                    <a:blip r:embed="rId1727"/>
                    <a:stretch>
                      <a:fillRect/>
                    </a:stretch>
                  </pic:blipFill>
                  <pic:spPr>
                    <a:xfrm>
                      <a:off x="0" y="0"/>
                      <a:ext cx="1060704" cy="608076"/>
                    </a:xfrm>
                    <a:prstGeom prst="rect">
                      <a:avLst/>
                    </a:prstGeom>
                  </pic:spPr>
                </pic:pic>
              </a:graphicData>
            </a:graphic>
          </wp:inline>
        </w:drawing>
      </w:r>
      <w:r>
        <w:rPr>
          <w:sz w:val="26"/>
        </w:rPr>
        <w:t>1. Proceso de entrega de libros: El proceso para dotar de libros de lectura y</w:t>
      </w:r>
    </w:p>
    <w:p w14:paraId="23A3DC68" w14:textId="77777777" w:rsidR="00053D93" w:rsidRDefault="00260B75">
      <w:pPr>
        <w:spacing w:after="37"/>
        <w:ind w:left="706" w:right="-1368"/>
      </w:pPr>
      <w:r>
        <w:rPr>
          <w:noProof/>
        </w:rPr>
        <w:drawing>
          <wp:inline distT="0" distB="0" distL="0" distR="0" wp14:anchorId="0B575A45" wp14:editId="312EAE75">
            <wp:extent cx="6867145" cy="59436"/>
            <wp:effectExtent l="0" t="0" r="0" b="0"/>
            <wp:docPr id="2458993" name="Picture 2458993"/>
            <wp:cNvGraphicFramePr/>
            <a:graphic xmlns:a="http://schemas.openxmlformats.org/drawingml/2006/main">
              <a:graphicData uri="http://schemas.openxmlformats.org/drawingml/2006/picture">
                <pic:pic xmlns:pic="http://schemas.openxmlformats.org/drawingml/2006/picture">
                  <pic:nvPicPr>
                    <pic:cNvPr id="2458993" name="Picture 2458993"/>
                    <pic:cNvPicPr/>
                  </pic:nvPicPr>
                  <pic:blipFill>
                    <a:blip r:embed="rId1728"/>
                    <a:stretch>
                      <a:fillRect/>
                    </a:stretch>
                  </pic:blipFill>
                  <pic:spPr>
                    <a:xfrm>
                      <a:off x="0" y="0"/>
                      <a:ext cx="6867145" cy="59436"/>
                    </a:xfrm>
                    <a:prstGeom prst="rect">
                      <a:avLst/>
                    </a:prstGeom>
                  </pic:spPr>
                </pic:pic>
              </a:graphicData>
            </a:graphic>
          </wp:inline>
        </w:drawing>
      </w:r>
    </w:p>
    <w:p w14:paraId="604B4823" w14:textId="77777777" w:rsidR="00053D93" w:rsidRDefault="00260B75">
      <w:pPr>
        <w:spacing w:after="4" w:line="269" w:lineRule="auto"/>
        <w:ind w:left="1673" w:right="14" w:hanging="3"/>
        <w:jc w:val="both"/>
      </w:pPr>
      <w:r>
        <w:rPr>
          <w:sz w:val="26"/>
        </w:rPr>
        <w:t>textos para el desarrollo de las competencias manifestadas en el Currículo</w:t>
      </w:r>
    </w:p>
    <w:p w14:paraId="431B560F" w14:textId="77777777" w:rsidR="00053D93" w:rsidRDefault="00260B75">
      <w:pPr>
        <w:spacing w:after="114" w:line="216" w:lineRule="auto"/>
        <w:ind w:left="57" w:right="14" w:firstLine="1670"/>
        <w:jc w:val="both"/>
      </w:pPr>
      <w:r>
        <w:rPr>
          <w:sz w:val="26"/>
        </w:rPr>
        <w:t>Nacional Base -CNB-, a los estudiantes de primero a sexto grados del nivel de 1 educación primaria, se realiza de la forma siguiente:</w:t>
      </w:r>
    </w:p>
    <w:p w14:paraId="0AC15425" w14:textId="77777777" w:rsidR="00053D93" w:rsidRDefault="00260B75">
      <w:pPr>
        <w:numPr>
          <w:ilvl w:val="0"/>
          <w:numId w:val="25"/>
        </w:numPr>
        <w:spacing w:after="261" w:line="269" w:lineRule="auto"/>
        <w:ind w:right="14" w:hanging="317"/>
        <w:jc w:val="both"/>
      </w:pPr>
      <w:r>
        <w:rPr>
          <w:sz w:val="26"/>
        </w:rPr>
        <w:t>Se solicita estadística de los niños que están cursando los grados de primero a 1 sexto grado del nivel de educación primaria, a la Dirección de Planificación -DIPLAN- del Ministerio de Educación.</w:t>
      </w:r>
    </w:p>
    <w:p w14:paraId="35C5C8FD" w14:textId="77777777" w:rsidR="00053D93" w:rsidRDefault="00260B75">
      <w:pPr>
        <w:numPr>
          <w:ilvl w:val="0"/>
          <w:numId w:val="25"/>
        </w:numPr>
        <w:spacing w:after="197" w:line="216" w:lineRule="auto"/>
        <w:ind w:right="14" w:hanging="317"/>
        <w:jc w:val="both"/>
      </w:pPr>
      <w:r>
        <w:rPr>
          <w:sz w:val="26"/>
        </w:rPr>
        <w:t>Con base a la estadística brindada por la Dirección de Planificación -DIPLANse establece la cantidad de libros y textos a imprimir.</w:t>
      </w:r>
    </w:p>
    <w:p w14:paraId="7FBC5890" w14:textId="77777777" w:rsidR="00053D93" w:rsidRDefault="00260B75">
      <w:pPr>
        <w:spacing w:after="3"/>
        <w:ind w:left="24" w:hanging="10"/>
      </w:pPr>
      <w:r>
        <w:rPr>
          <w:sz w:val="86"/>
        </w:rPr>
        <w:t>1</w:t>
      </w:r>
    </w:p>
    <w:p w14:paraId="779E9787" w14:textId="77777777" w:rsidR="00053D93" w:rsidRDefault="00260B75">
      <w:pPr>
        <w:numPr>
          <w:ilvl w:val="0"/>
          <w:numId w:val="25"/>
        </w:numPr>
        <w:spacing w:after="241" w:line="269" w:lineRule="auto"/>
        <w:ind w:right="14" w:hanging="317"/>
        <w:jc w:val="both"/>
      </w:pPr>
      <w:r>
        <w:rPr>
          <w:sz w:val="26"/>
        </w:rPr>
        <w:t>Se elaboran las especificaciones técnicas para el proceso de licitación de la adquisición del servicio de impresión de los textos. En el nombre del evento se indica claramente que el uso de los libros será en el año siguiente, ejemplo: (1-030/2023-MINEDUC "SERVICIO DE IMPRESIÓN DE TEXTOS PARA NIÑOS DE PRIMER GRADO DEL NIVEL DE EDUCACIÓN PRIMARIA Y TEXTOS DE Ml LIBRO DE LECTURAS PRIMER GRADO PRIMARIA, PARA USO EN 2024, A SOLICITUD DE LA DIGECADE")</w:t>
      </w:r>
    </w:p>
    <w:p w14:paraId="1A2802C4" w14:textId="77777777" w:rsidR="00053D93" w:rsidRDefault="00260B75">
      <w:pPr>
        <w:numPr>
          <w:ilvl w:val="0"/>
          <w:numId w:val="25"/>
        </w:numPr>
        <w:spacing w:after="483" w:line="269" w:lineRule="auto"/>
        <w:ind w:right="14" w:hanging="317"/>
        <w:jc w:val="both"/>
      </w:pPr>
      <w:r>
        <w:rPr>
          <w:noProof/>
        </w:rPr>
        <w:drawing>
          <wp:anchor distT="0" distB="0" distL="114300" distR="114300" simplePos="0" relativeHeight="252329984" behindDoc="0" locked="0" layoutInCell="1" allowOverlap="0" wp14:anchorId="66E78A7B" wp14:editId="5BB87191">
            <wp:simplePos x="0" y="0"/>
            <wp:positionH relativeFrom="page">
              <wp:posOffset>214884</wp:posOffset>
            </wp:positionH>
            <wp:positionV relativeFrom="page">
              <wp:posOffset>365760</wp:posOffset>
            </wp:positionV>
            <wp:extent cx="18288" cy="18288"/>
            <wp:effectExtent l="0" t="0" r="0" b="0"/>
            <wp:wrapTopAndBottom/>
            <wp:docPr id="1297519" name="Picture 1297519"/>
            <wp:cNvGraphicFramePr/>
            <a:graphic xmlns:a="http://schemas.openxmlformats.org/drawingml/2006/main">
              <a:graphicData uri="http://schemas.openxmlformats.org/drawingml/2006/picture">
                <pic:pic xmlns:pic="http://schemas.openxmlformats.org/drawingml/2006/picture">
                  <pic:nvPicPr>
                    <pic:cNvPr id="1297519" name="Picture 1297519"/>
                    <pic:cNvPicPr/>
                  </pic:nvPicPr>
                  <pic:blipFill>
                    <a:blip r:embed="rId1729"/>
                    <a:stretch>
                      <a:fillRect/>
                    </a:stretch>
                  </pic:blipFill>
                  <pic:spPr>
                    <a:xfrm>
                      <a:off x="0" y="0"/>
                      <a:ext cx="18288" cy="18288"/>
                    </a:xfrm>
                    <a:prstGeom prst="rect">
                      <a:avLst/>
                    </a:prstGeom>
                  </pic:spPr>
                </pic:pic>
              </a:graphicData>
            </a:graphic>
          </wp:anchor>
        </w:drawing>
      </w:r>
      <w:r>
        <w:rPr>
          <w:sz w:val="26"/>
        </w:rPr>
        <w:t xml:space="preserve">El expediente que contiene las especificaciones técnicas y documentación legal de respaldo, se traslada a la Dirección de Adquisiciones y Contrataciones </w:t>
      </w:r>
      <w:r>
        <w:rPr>
          <w:noProof/>
        </w:rPr>
        <w:drawing>
          <wp:inline distT="0" distB="0" distL="0" distR="0" wp14:anchorId="4DE99C32" wp14:editId="1619FFCF">
            <wp:extent cx="18288" cy="9144"/>
            <wp:effectExtent l="0" t="0" r="0" b="0"/>
            <wp:docPr id="1297520" name="Picture 1297520"/>
            <wp:cNvGraphicFramePr/>
            <a:graphic xmlns:a="http://schemas.openxmlformats.org/drawingml/2006/main">
              <a:graphicData uri="http://schemas.openxmlformats.org/drawingml/2006/picture">
                <pic:pic xmlns:pic="http://schemas.openxmlformats.org/drawingml/2006/picture">
                  <pic:nvPicPr>
                    <pic:cNvPr id="1297520" name="Picture 1297520"/>
                    <pic:cNvPicPr/>
                  </pic:nvPicPr>
                  <pic:blipFill>
                    <a:blip r:embed="rId856"/>
                    <a:stretch>
                      <a:fillRect/>
                    </a:stretch>
                  </pic:blipFill>
                  <pic:spPr>
                    <a:xfrm>
                      <a:off x="0" y="0"/>
                      <a:ext cx="18288" cy="9144"/>
                    </a:xfrm>
                    <a:prstGeom prst="rect">
                      <a:avLst/>
                    </a:prstGeom>
                  </pic:spPr>
                </pic:pic>
              </a:graphicData>
            </a:graphic>
          </wp:inline>
        </w:drawing>
      </w:r>
      <w:r>
        <w:rPr>
          <w:sz w:val="26"/>
        </w:rPr>
        <w:t xml:space="preserve">1 -DIDECO- del Ministerio de Educación, cuya competencia es ejercer la rectoría de los procesos de adquisiciones y contrataciones del Ministerio de Educación, -1 establecidos en la Ley de Contrataciones dei Estado y su Reglamento. </w:t>
      </w:r>
      <w:r>
        <w:rPr>
          <w:noProof/>
        </w:rPr>
        <w:drawing>
          <wp:inline distT="0" distB="0" distL="0" distR="0" wp14:anchorId="7E777346" wp14:editId="478E44C8">
            <wp:extent cx="13716" cy="9144"/>
            <wp:effectExtent l="0" t="0" r="0" b="0"/>
            <wp:docPr id="1297521" name="Picture 1297521"/>
            <wp:cNvGraphicFramePr/>
            <a:graphic xmlns:a="http://schemas.openxmlformats.org/drawingml/2006/main">
              <a:graphicData uri="http://schemas.openxmlformats.org/drawingml/2006/picture">
                <pic:pic xmlns:pic="http://schemas.openxmlformats.org/drawingml/2006/picture">
                  <pic:nvPicPr>
                    <pic:cNvPr id="1297521" name="Picture 1297521"/>
                    <pic:cNvPicPr/>
                  </pic:nvPicPr>
                  <pic:blipFill>
                    <a:blip r:embed="rId49"/>
                    <a:stretch>
                      <a:fillRect/>
                    </a:stretch>
                  </pic:blipFill>
                  <pic:spPr>
                    <a:xfrm>
                      <a:off x="0" y="0"/>
                      <a:ext cx="13716" cy="9144"/>
                    </a:xfrm>
                    <a:prstGeom prst="rect">
                      <a:avLst/>
                    </a:prstGeom>
                  </pic:spPr>
                </pic:pic>
              </a:graphicData>
            </a:graphic>
          </wp:inline>
        </w:drawing>
      </w:r>
    </w:p>
    <w:p w14:paraId="0BFEE243" w14:textId="77777777" w:rsidR="00053D93" w:rsidRDefault="00260B75">
      <w:pPr>
        <w:numPr>
          <w:ilvl w:val="0"/>
          <w:numId w:val="25"/>
        </w:numPr>
        <w:spacing w:after="247" w:line="269" w:lineRule="auto"/>
        <w:ind w:right="14" w:hanging="317"/>
        <w:jc w:val="both"/>
      </w:pPr>
      <w:r>
        <w:rPr>
          <w:sz w:val="26"/>
        </w:rPr>
        <w:t>La Dirección de Adquisiciones y Contrataciones -DIDECO- del Ministerio de</w:t>
      </w:r>
    </w:p>
    <w:p w14:paraId="4C3ADBA3" w14:textId="77777777" w:rsidR="00053D93" w:rsidRDefault="00260B75">
      <w:pPr>
        <w:spacing w:after="418" w:line="455" w:lineRule="auto"/>
        <w:ind w:left="1699" w:right="14" w:hanging="1642"/>
        <w:jc w:val="both"/>
      </w:pPr>
      <w:r>
        <w:rPr>
          <w:sz w:val="26"/>
        </w:rPr>
        <w:t>1 Educación, inicia el proceso de publicación, creando el concurso en el Sistema de Información de Contrataciones y Adquisiciones del Estado -GUATECOMPRAS-.</w:t>
      </w:r>
    </w:p>
    <w:p w14:paraId="0908D801" w14:textId="77777777" w:rsidR="00053D93" w:rsidRDefault="00260B75">
      <w:pPr>
        <w:tabs>
          <w:tab w:val="right" w:pos="10174"/>
        </w:tabs>
        <w:spacing w:after="4" w:line="269" w:lineRule="auto"/>
      </w:pPr>
      <w:r>
        <w:rPr>
          <w:sz w:val="26"/>
        </w:rPr>
        <w:t>1</w:t>
      </w:r>
      <w:r>
        <w:rPr>
          <w:sz w:val="26"/>
        </w:rPr>
        <w:tab/>
        <w:t>El inciso a), b) y c), es responsabilidad de la Dirección General de Gestión de</w:t>
      </w:r>
    </w:p>
    <w:p w14:paraId="33536565" w14:textId="77777777" w:rsidR="00053D93" w:rsidRDefault="00260B75">
      <w:pPr>
        <w:spacing w:after="4" w:line="216" w:lineRule="auto"/>
        <w:ind w:left="57" w:right="14" w:firstLine="1562"/>
        <w:jc w:val="both"/>
      </w:pPr>
      <w:r>
        <w:rPr>
          <w:sz w:val="26"/>
        </w:rPr>
        <w:t>Calidad Educativa -DIGECADE-, a partir del inciso d), que se traslada el 1 expediente para la publicación y creación del evento, es responsabilidad de la</w:t>
      </w:r>
    </w:p>
    <w:p w14:paraId="2165B507" w14:textId="77777777" w:rsidR="00053D93" w:rsidRDefault="00260B75">
      <w:pPr>
        <w:spacing w:after="36"/>
        <w:ind w:left="36"/>
      </w:pPr>
      <w:r>
        <w:rPr>
          <w:noProof/>
        </w:rPr>
        <w:drawing>
          <wp:inline distT="0" distB="0" distL="0" distR="0" wp14:anchorId="37F18C57" wp14:editId="48A1BDB9">
            <wp:extent cx="18288" cy="9144"/>
            <wp:effectExtent l="0" t="0" r="0" b="0"/>
            <wp:docPr id="1297522" name="Picture 1297522"/>
            <wp:cNvGraphicFramePr/>
            <a:graphic xmlns:a="http://schemas.openxmlformats.org/drawingml/2006/main">
              <a:graphicData uri="http://schemas.openxmlformats.org/drawingml/2006/picture">
                <pic:pic xmlns:pic="http://schemas.openxmlformats.org/drawingml/2006/picture">
                  <pic:nvPicPr>
                    <pic:cNvPr id="1297522" name="Picture 1297522"/>
                    <pic:cNvPicPr/>
                  </pic:nvPicPr>
                  <pic:blipFill>
                    <a:blip r:embed="rId1358"/>
                    <a:stretch>
                      <a:fillRect/>
                    </a:stretch>
                  </pic:blipFill>
                  <pic:spPr>
                    <a:xfrm>
                      <a:off x="0" y="0"/>
                      <a:ext cx="18288" cy="9144"/>
                    </a:xfrm>
                    <a:prstGeom prst="rect">
                      <a:avLst/>
                    </a:prstGeom>
                  </pic:spPr>
                </pic:pic>
              </a:graphicData>
            </a:graphic>
          </wp:inline>
        </w:drawing>
      </w:r>
    </w:p>
    <w:p w14:paraId="55DE7F25" w14:textId="77777777" w:rsidR="00053D93" w:rsidRDefault="00260B75">
      <w:pPr>
        <w:spacing w:after="280" w:line="269" w:lineRule="auto"/>
        <w:ind w:left="57" w:right="14" w:firstLine="1642"/>
        <w:jc w:val="both"/>
      </w:pPr>
      <w:r>
        <w:rPr>
          <w:sz w:val="26"/>
        </w:rPr>
        <w:t xml:space="preserve">Dirección de Adquisiciones y Contrataciones -DIDECO- del Ministerio de Educación y las comisiones nombradas por la autoridad superior, para cumplir con </w:t>
      </w:r>
      <w:r>
        <w:rPr>
          <w:noProof/>
        </w:rPr>
        <w:drawing>
          <wp:inline distT="0" distB="0" distL="0" distR="0" wp14:anchorId="7FF82D0F" wp14:editId="6EE583E5">
            <wp:extent cx="13716" cy="9144"/>
            <wp:effectExtent l="0" t="0" r="0" b="0"/>
            <wp:docPr id="1297523" name="Picture 1297523"/>
            <wp:cNvGraphicFramePr/>
            <a:graphic xmlns:a="http://schemas.openxmlformats.org/drawingml/2006/main">
              <a:graphicData uri="http://schemas.openxmlformats.org/drawingml/2006/picture">
                <pic:pic xmlns:pic="http://schemas.openxmlformats.org/drawingml/2006/picture">
                  <pic:nvPicPr>
                    <pic:cNvPr id="1297523" name="Picture 1297523"/>
                    <pic:cNvPicPr/>
                  </pic:nvPicPr>
                  <pic:blipFill>
                    <a:blip r:embed="rId49"/>
                    <a:stretch>
                      <a:fillRect/>
                    </a:stretch>
                  </pic:blipFill>
                  <pic:spPr>
                    <a:xfrm>
                      <a:off x="0" y="0"/>
                      <a:ext cx="13716" cy="9144"/>
                    </a:xfrm>
                    <a:prstGeom prst="rect">
                      <a:avLst/>
                    </a:prstGeom>
                  </pic:spPr>
                </pic:pic>
              </a:graphicData>
            </a:graphic>
          </wp:inline>
        </w:drawing>
      </w:r>
      <w:r>
        <w:rPr>
          <w:sz w:val="26"/>
        </w:rPr>
        <w:t>1 los procesos establecidos en ta Ley de Contrataciones del Estado y su Reglamento.</w:t>
      </w:r>
    </w:p>
    <w:p w14:paraId="53C091B8" w14:textId="77777777" w:rsidR="00053D93" w:rsidRDefault="00260B75">
      <w:pPr>
        <w:spacing w:after="240" w:line="269" w:lineRule="auto"/>
        <w:ind w:left="1645" w:right="14" w:hanging="3"/>
        <w:jc w:val="both"/>
      </w:pPr>
      <w:r>
        <w:rPr>
          <w:sz w:val="26"/>
        </w:rPr>
        <w:t>2. Proceso de la licitación del año 2023, para uso de textos de segundo a sexto grados del nivel de educación primaria, en el año 2024:</w:t>
      </w:r>
    </w:p>
    <w:p w14:paraId="1DA33389" w14:textId="77777777" w:rsidR="00053D93" w:rsidRDefault="00260B75">
      <w:pPr>
        <w:spacing w:after="3" w:line="265" w:lineRule="auto"/>
        <w:ind w:left="60" w:right="65" w:hanging="10"/>
      </w:pPr>
      <w:r>
        <w:rPr>
          <w:sz w:val="66"/>
        </w:rPr>
        <w:t>1</w:t>
      </w:r>
    </w:p>
    <w:p w14:paraId="18FCD3A2" w14:textId="77777777" w:rsidR="00053D93" w:rsidRDefault="00260B75">
      <w:pPr>
        <w:spacing w:after="4" w:line="269" w:lineRule="auto"/>
        <w:ind w:left="1637" w:right="14" w:hanging="3"/>
        <w:jc w:val="both"/>
      </w:pPr>
      <w:r>
        <w:rPr>
          <w:sz w:val="26"/>
        </w:rPr>
        <w:t>A través del oficio Digecade/SEE No. 332-2023 de fecha 24 de abril de 2023, el director en funciones de la Dirección General de Gestión de Calidad Educativa -DIGECADE-, trasladó el expediente que contiene las especificaciones técnicas y</w:t>
      </w:r>
    </w:p>
    <w:tbl>
      <w:tblPr>
        <w:tblStyle w:val="TableGrid"/>
        <w:tblW w:w="9418" w:type="dxa"/>
        <w:tblInd w:w="698" w:type="dxa"/>
        <w:tblLook w:val="04A0" w:firstRow="1" w:lastRow="0" w:firstColumn="1" w:lastColumn="0" w:noHBand="0" w:noVBand="1"/>
      </w:tblPr>
      <w:tblGrid>
        <w:gridCol w:w="1298"/>
        <w:gridCol w:w="8177"/>
      </w:tblGrid>
      <w:tr w:rsidR="00053D93" w14:paraId="6DA16D19" w14:textId="77777777">
        <w:trPr>
          <w:trHeight w:val="634"/>
        </w:trPr>
        <w:tc>
          <w:tcPr>
            <w:tcW w:w="1780" w:type="dxa"/>
            <w:tcBorders>
              <w:top w:val="nil"/>
              <w:left w:val="nil"/>
              <w:bottom w:val="nil"/>
              <w:right w:val="nil"/>
            </w:tcBorders>
          </w:tcPr>
          <w:p w14:paraId="364F9E8E" w14:textId="77777777" w:rsidR="00053D93" w:rsidRDefault="00260B75">
            <w:r>
              <w:rPr>
                <w:noProof/>
              </w:rPr>
              <w:drawing>
                <wp:inline distT="0" distB="0" distL="0" distR="0" wp14:anchorId="7601D44F" wp14:editId="3F3ADF19">
                  <wp:extent cx="1120140" cy="402336"/>
                  <wp:effectExtent l="0" t="0" r="0" b="0"/>
                  <wp:docPr id="1297684" name="Picture 1297684"/>
                  <wp:cNvGraphicFramePr/>
                  <a:graphic xmlns:a="http://schemas.openxmlformats.org/drawingml/2006/main">
                    <a:graphicData uri="http://schemas.openxmlformats.org/drawingml/2006/picture">
                      <pic:pic xmlns:pic="http://schemas.openxmlformats.org/drawingml/2006/picture">
                        <pic:nvPicPr>
                          <pic:cNvPr id="1297684" name="Picture 1297684"/>
                          <pic:cNvPicPr/>
                        </pic:nvPicPr>
                        <pic:blipFill>
                          <a:blip r:embed="rId1730"/>
                          <a:stretch>
                            <a:fillRect/>
                          </a:stretch>
                        </pic:blipFill>
                        <pic:spPr>
                          <a:xfrm>
                            <a:off x="0" y="0"/>
                            <a:ext cx="1120140" cy="402336"/>
                          </a:xfrm>
                          <a:prstGeom prst="rect">
                            <a:avLst/>
                          </a:prstGeom>
                        </pic:spPr>
                      </pic:pic>
                    </a:graphicData>
                  </a:graphic>
                </wp:inline>
              </w:drawing>
            </w:r>
          </w:p>
        </w:tc>
        <w:tc>
          <w:tcPr>
            <w:tcW w:w="7638" w:type="dxa"/>
            <w:tcBorders>
              <w:top w:val="nil"/>
              <w:left w:val="nil"/>
              <w:bottom w:val="nil"/>
              <w:right w:val="nil"/>
            </w:tcBorders>
          </w:tcPr>
          <w:p w14:paraId="278289F9" w14:textId="77777777" w:rsidR="00053D93" w:rsidRDefault="00053D93">
            <w:pPr>
              <w:ind w:left="-2802" w:right="10440"/>
            </w:pPr>
          </w:p>
          <w:tbl>
            <w:tblPr>
              <w:tblStyle w:val="TableGrid"/>
              <w:tblW w:w="7622" w:type="dxa"/>
              <w:tblInd w:w="16" w:type="dxa"/>
              <w:tblCellMar>
                <w:top w:w="19" w:type="dxa"/>
                <w:left w:w="1740" w:type="dxa"/>
                <w:right w:w="115" w:type="dxa"/>
              </w:tblCellMar>
              <w:tblLook w:val="04A0" w:firstRow="1" w:lastRow="0" w:firstColumn="1" w:lastColumn="0" w:noHBand="0" w:noVBand="1"/>
            </w:tblPr>
            <w:tblGrid>
              <w:gridCol w:w="7622"/>
            </w:tblGrid>
            <w:tr w:rsidR="00053D93" w14:paraId="09F96ABE" w14:textId="77777777">
              <w:trPr>
                <w:trHeight w:val="50"/>
              </w:trPr>
              <w:tc>
                <w:tcPr>
                  <w:tcW w:w="7622" w:type="dxa"/>
                  <w:tcBorders>
                    <w:top w:val="nil"/>
                    <w:left w:val="single" w:sz="2" w:space="0" w:color="000000"/>
                    <w:bottom w:val="single" w:sz="2" w:space="0" w:color="000000"/>
                    <w:right w:val="nil"/>
                  </w:tcBorders>
                </w:tcPr>
                <w:p w14:paraId="55F3EDDF" w14:textId="77777777" w:rsidR="00053D93" w:rsidRDefault="00053D93"/>
              </w:tc>
            </w:tr>
            <w:tr w:rsidR="00053D93" w14:paraId="25FD5725" w14:textId="77777777">
              <w:trPr>
                <w:trHeight w:val="576"/>
              </w:trPr>
              <w:tc>
                <w:tcPr>
                  <w:tcW w:w="7622" w:type="dxa"/>
                  <w:tcBorders>
                    <w:top w:val="single" w:sz="2" w:space="0" w:color="000000"/>
                    <w:left w:val="single" w:sz="2" w:space="0" w:color="000000"/>
                    <w:bottom w:val="nil"/>
                    <w:right w:val="nil"/>
                  </w:tcBorders>
                </w:tcPr>
                <w:p w14:paraId="4080AFA0" w14:textId="77777777" w:rsidR="00053D93" w:rsidRDefault="00260B75">
                  <w:pPr>
                    <w:ind w:left="835"/>
                  </w:pPr>
                  <w:r>
                    <w:rPr>
                      <w:sz w:val="14"/>
                    </w:rPr>
                    <w:t>MINISTERIO DE EDUCACION</w:t>
                  </w:r>
                </w:p>
                <w:p w14:paraId="23DE543C" w14:textId="77777777" w:rsidR="00053D93" w:rsidRDefault="00260B75">
                  <w:pPr>
                    <w:ind w:left="338"/>
                  </w:pPr>
                  <w:r>
                    <w:rPr>
                      <w:sz w:val="14"/>
                    </w:rPr>
                    <w:t>AUDITORIA FINANCIERA Y DE CUMPLIMIENTO</w:t>
                  </w:r>
                </w:p>
                <w:p w14:paraId="235243BC" w14:textId="77777777" w:rsidR="00053D93" w:rsidRDefault="00260B75">
                  <w:pPr>
                    <w:tabs>
                      <w:tab w:val="center" w:pos="2113"/>
                    </w:tabs>
                  </w:pPr>
                  <w:r>
                    <w:rPr>
                      <w:sz w:val="14"/>
                    </w:rPr>
                    <w:t xml:space="preserve">PERIODO </w:t>
                  </w:r>
                  <w:r>
                    <w:rPr>
                      <w:sz w:val="14"/>
                    </w:rPr>
                    <w:tab/>
                    <w:t>DE ENERO AL 31 DE DICIEMBRE DE 2024</w:t>
                  </w:r>
                </w:p>
              </w:tc>
            </w:tr>
          </w:tbl>
          <w:p w14:paraId="0304E3BD" w14:textId="77777777" w:rsidR="00053D93" w:rsidRDefault="00053D93"/>
        </w:tc>
      </w:tr>
    </w:tbl>
    <w:p w14:paraId="64E35510" w14:textId="77777777" w:rsidR="00053D93" w:rsidRDefault="00260B75">
      <w:pPr>
        <w:spacing w:after="11"/>
        <w:ind w:left="806" w:right="-857"/>
      </w:pPr>
      <w:r>
        <w:rPr>
          <w:noProof/>
        </w:rPr>
        <w:drawing>
          <wp:inline distT="0" distB="0" distL="0" distR="0" wp14:anchorId="508D9A6C" wp14:editId="636A00FE">
            <wp:extent cx="6473953" cy="64008"/>
            <wp:effectExtent l="0" t="0" r="0" b="0"/>
            <wp:docPr id="2458995" name="Picture 2458995"/>
            <wp:cNvGraphicFramePr/>
            <a:graphic xmlns:a="http://schemas.openxmlformats.org/drawingml/2006/main">
              <a:graphicData uri="http://schemas.openxmlformats.org/drawingml/2006/picture">
                <pic:pic xmlns:pic="http://schemas.openxmlformats.org/drawingml/2006/picture">
                  <pic:nvPicPr>
                    <pic:cNvPr id="2458995" name="Picture 2458995"/>
                    <pic:cNvPicPr/>
                  </pic:nvPicPr>
                  <pic:blipFill>
                    <a:blip r:embed="rId1731"/>
                    <a:stretch>
                      <a:fillRect/>
                    </a:stretch>
                  </pic:blipFill>
                  <pic:spPr>
                    <a:xfrm>
                      <a:off x="0" y="0"/>
                      <a:ext cx="6473953" cy="64008"/>
                    </a:xfrm>
                    <a:prstGeom prst="rect">
                      <a:avLst/>
                    </a:prstGeom>
                  </pic:spPr>
                </pic:pic>
              </a:graphicData>
            </a:graphic>
          </wp:inline>
        </w:drawing>
      </w:r>
    </w:p>
    <w:p w14:paraId="004336D6" w14:textId="77777777" w:rsidR="00053D93" w:rsidRDefault="00260B75">
      <w:pPr>
        <w:spacing w:after="0" w:line="239" w:lineRule="auto"/>
        <w:ind w:right="43"/>
        <w:jc w:val="both"/>
      </w:pPr>
      <w:r>
        <w:rPr>
          <w:sz w:val="28"/>
        </w:rPr>
        <w:t>1 documentos generales necesarios para iniciar el proceso de licitación para la adquisición del: "SERVICIO DE IMPRESIÓN DE TEXTOS PARA NIÑOS DE SEGUNDO A SEXTO GRADO DEL NIVEL DE EDUCACIÓN PRIMARIA DE LAS 1 ÁREAS DE MATEMÁTICAS Y COMUNICACIÓN Y LENGUAJE; DE SEGUNDO Y TERCER GRADO DEL AREA DE MEDIO SOCIAL Y NATURAL; DE CUARTO A 1 SEXTO GRADO DE LAS AREAS DE CIENCIAS NATURALES Y TECNOLOGÍA,</w:t>
      </w:r>
    </w:p>
    <w:p w14:paraId="2D9B5210" w14:textId="77777777" w:rsidR="00053D93" w:rsidRDefault="00260B75">
      <w:pPr>
        <w:pStyle w:val="Ttulo3"/>
        <w:spacing w:after="207" w:line="253" w:lineRule="auto"/>
        <w:ind w:left="1666" w:right="0" w:hanging="3"/>
      </w:pPr>
      <w:r>
        <w:t>CIENCIAS SOCIALES Y FORMACIÓN CIUDADANA Y TEXTOS Ml LIBRO DE LECTURAS PARA CUARTO GRADO PRIMARIA, PARA USO EN 2024, A</w:t>
      </w:r>
    </w:p>
    <w:p w14:paraId="3AA7EAA2" w14:textId="77777777" w:rsidR="00053D93" w:rsidRDefault="00260B75">
      <w:pPr>
        <w:spacing w:after="467" w:line="420" w:lineRule="auto"/>
        <w:ind w:left="1699" w:right="14" w:hanging="1642"/>
        <w:jc w:val="both"/>
      </w:pPr>
      <w:r>
        <w:rPr>
          <w:sz w:val="26"/>
        </w:rPr>
        <w:t>1</w:t>
      </w:r>
      <w:r>
        <w:rPr>
          <w:sz w:val="26"/>
        </w:rPr>
        <w:tab/>
        <w:t xml:space="preserve">SOLICITUD DE LA DIGECADE", determinando que serán en total </w:t>
      </w:r>
      <w:r>
        <w:rPr>
          <w:noProof/>
        </w:rPr>
        <w:drawing>
          <wp:inline distT="0" distB="0" distL="0" distR="0" wp14:anchorId="74B4EF5B" wp14:editId="5C4F6327">
            <wp:extent cx="480060" cy="132588"/>
            <wp:effectExtent l="0" t="0" r="0" b="0"/>
            <wp:docPr id="2458997" name="Picture 2458997"/>
            <wp:cNvGraphicFramePr/>
            <a:graphic xmlns:a="http://schemas.openxmlformats.org/drawingml/2006/main">
              <a:graphicData uri="http://schemas.openxmlformats.org/drawingml/2006/picture">
                <pic:pic xmlns:pic="http://schemas.openxmlformats.org/drawingml/2006/picture">
                  <pic:nvPicPr>
                    <pic:cNvPr id="2458997" name="Picture 2458997"/>
                    <pic:cNvPicPr/>
                  </pic:nvPicPr>
                  <pic:blipFill>
                    <a:blip r:embed="rId1732"/>
                    <a:stretch>
                      <a:fillRect/>
                    </a:stretch>
                  </pic:blipFill>
                  <pic:spPr>
                    <a:xfrm>
                      <a:off x="0" y="0"/>
                      <a:ext cx="480060" cy="132588"/>
                    </a:xfrm>
                    <a:prstGeom prst="rect">
                      <a:avLst/>
                    </a:prstGeom>
                  </pic:spPr>
                </pic:pic>
              </a:graphicData>
            </a:graphic>
          </wp:inline>
        </w:drawing>
      </w:r>
      <w:r>
        <w:rPr>
          <w:sz w:val="26"/>
        </w:rPr>
        <w:t>textos.</w:t>
      </w:r>
    </w:p>
    <w:p w14:paraId="56E12144" w14:textId="77777777" w:rsidR="00053D93" w:rsidRDefault="00260B75">
      <w:pPr>
        <w:spacing w:after="242" w:line="269" w:lineRule="auto"/>
        <w:ind w:left="60" w:right="14" w:hanging="3"/>
        <w:jc w:val="both"/>
      </w:pPr>
      <w:r>
        <w:rPr>
          <w:sz w:val="26"/>
        </w:rPr>
        <w:t>1 Por medio del oficio Digecade/SEE No. 434-2023 de fecha 22 de mayo de 2023, suscrito por el subdirector de Educación Escolar y el director en funciones de la 1 Dirección General de Gestión de Calidad Educativa -DIGECADE-, dirigido al director de la Dideco; informan que el proceso queda sin efecto.</w:t>
      </w:r>
    </w:p>
    <w:p w14:paraId="15C6146F" w14:textId="77777777" w:rsidR="00053D93" w:rsidRDefault="00260B75">
      <w:pPr>
        <w:spacing w:after="112" w:line="248" w:lineRule="auto"/>
        <w:ind w:left="1256" w:hanging="10"/>
        <w:jc w:val="center"/>
      </w:pPr>
      <w:r>
        <w:rPr>
          <w:sz w:val="26"/>
        </w:rPr>
        <w:t>Esta meta física contribuye directamente a la ejecución de metas en el año 2024, derivado que fue incluida en Plan Operativo Anual -POA-, para ser ejecutado del</w:t>
      </w:r>
    </w:p>
    <w:p w14:paraId="6B0A9AEC" w14:textId="77777777" w:rsidR="00053D93" w:rsidRDefault="00260B75">
      <w:pPr>
        <w:tabs>
          <w:tab w:val="center" w:pos="3964"/>
        </w:tabs>
        <w:spacing w:after="137" w:line="269" w:lineRule="auto"/>
      </w:pPr>
      <w:r>
        <w:rPr>
          <w:sz w:val="26"/>
        </w:rPr>
        <w:t>1</w:t>
      </w:r>
      <w:r>
        <w:rPr>
          <w:sz w:val="26"/>
        </w:rPr>
        <w:tab/>
        <w:t>01 de enero al 31 de diciembre del año 2024.</w:t>
      </w:r>
    </w:p>
    <w:p w14:paraId="10E63D35" w14:textId="77777777" w:rsidR="00053D93" w:rsidRDefault="00260B75">
      <w:pPr>
        <w:numPr>
          <w:ilvl w:val="0"/>
          <w:numId w:val="26"/>
        </w:numPr>
        <w:spacing w:after="112" w:line="269" w:lineRule="auto"/>
        <w:ind w:left="1936" w:right="14" w:hanging="266"/>
        <w:jc w:val="both"/>
      </w:pPr>
      <w:r>
        <w:rPr>
          <w:sz w:val="26"/>
        </w:rPr>
        <w:t>Funciones realizadas al 31 de diciembre de 2024</w:t>
      </w:r>
    </w:p>
    <w:p w14:paraId="6BC6DC43" w14:textId="77777777" w:rsidR="00053D93" w:rsidRDefault="00260B75">
      <w:pPr>
        <w:spacing w:after="3" w:line="265" w:lineRule="auto"/>
        <w:ind w:left="60" w:right="65" w:hanging="10"/>
      </w:pPr>
      <w:r>
        <w:rPr>
          <w:sz w:val="66"/>
        </w:rPr>
        <w:t>1</w:t>
      </w:r>
    </w:p>
    <w:p w14:paraId="46FCF784" w14:textId="77777777" w:rsidR="00053D93" w:rsidRDefault="00260B75">
      <w:pPr>
        <w:spacing w:after="4" w:line="269" w:lineRule="auto"/>
        <w:ind w:left="57" w:right="14" w:firstLine="1613"/>
        <w:jc w:val="both"/>
      </w:pPr>
      <w:r>
        <w:rPr>
          <w:noProof/>
        </w:rPr>
        <w:drawing>
          <wp:anchor distT="0" distB="0" distL="114300" distR="114300" simplePos="0" relativeHeight="252331008" behindDoc="0" locked="0" layoutInCell="1" allowOverlap="0" wp14:anchorId="6C9BBAFD" wp14:editId="2D61645D">
            <wp:simplePos x="0" y="0"/>
            <wp:positionH relativeFrom="page">
              <wp:posOffset>114300</wp:posOffset>
            </wp:positionH>
            <wp:positionV relativeFrom="page">
              <wp:posOffset>845820</wp:posOffset>
            </wp:positionV>
            <wp:extent cx="68580" cy="13716"/>
            <wp:effectExtent l="0" t="0" r="0" b="0"/>
            <wp:wrapTopAndBottom/>
            <wp:docPr id="1301012" name="Picture 1301012"/>
            <wp:cNvGraphicFramePr/>
            <a:graphic xmlns:a="http://schemas.openxmlformats.org/drawingml/2006/main">
              <a:graphicData uri="http://schemas.openxmlformats.org/drawingml/2006/picture">
                <pic:pic xmlns:pic="http://schemas.openxmlformats.org/drawingml/2006/picture">
                  <pic:nvPicPr>
                    <pic:cNvPr id="1301012" name="Picture 1301012"/>
                    <pic:cNvPicPr/>
                  </pic:nvPicPr>
                  <pic:blipFill>
                    <a:blip r:embed="rId1733"/>
                    <a:stretch>
                      <a:fillRect/>
                    </a:stretch>
                  </pic:blipFill>
                  <pic:spPr>
                    <a:xfrm>
                      <a:off x="0" y="0"/>
                      <a:ext cx="68580" cy="13716"/>
                    </a:xfrm>
                    <a:prstGeom prst="rect">
                      <a:avLst/>
                    </a:prstGeom>
                  </pic:spPr>
                </pic:pic>
              </a:graphicData>
            </a:graphic>
          </wp:anchor>
        </w:drawing>
      </w:r>
      <w:r>
        <w:rPr>
          <w:sz w:val="26"/>
        </w:rPr>
        <w:t>De conformidad al Manual de funciones, organización y puestos de la Dirección General de Gestión de Calidad Educativa -DIGECADE-, el Jefe del Departamento 1 Nivel Primario, en sus funciones principales, no tiene establecido el seguimiento al cumplimiento de las metas físicas y financieras sobre la Provisión de Textos 1 Escolares en los Niveles Educativos de Primaria.</w:t>
      </w:r>
    </w:p>
    <w:p w14:paraId="71B0627C" w14:textId="77777777" w:rsidR="00053D93" w:rsidRDefault="00260B75">
      <w:pPr>
        <w:spacing w:after="392"/>
        <w:ind w:left="36"/>
      </w:pPr>
      <w:r>
        <w:rPr>
          <w:noProof/>
        </w:rPr>
        <w:drawing>
          <wp:inline distT="0" distB="0" distL="0" distR="0" wp14:anchorId="0C53FF5B" wp14:editId="0D78090C">
            <wp:extent cx="13716" cy="9144"/>
            <wp:effectExtent l="0" t="0" r="0" b="0"/>
            <wp:docPr id="1301020" name="Picture 1301020"/>
            <wp:cNvGraphicFramePr/>
            <a:graphic xmlns:a="http://schemas.openxmlformats.org/drawingml/2006/main">
              <a:graphicData uri="http://schemas.openxmlformats.org/drawingml/2006/picture">
                <pic:pic xmlns:pic="http://schemas.openxmlformats.org/drawingml/2006/picture">
                  <pic:nvPicPr>
                    <pic:cNvPr id="1301020" name="Picture 1301020"/>
                    <pic:cNvPicPr/>
                  </pic:nvPicPr>
                  <pic:blipFill>
                    <a:blip r:embed="rId1734"/>
                    <a:stretch>
                      <a:fillRect/>
                    </a:stretch>
                  </pic:blipFill>
                  <pic:spPr>
                    <a:xfrm>
                      <a:off x="0" y="0"/>
                      <a:ext cx="13716" cy="9144"/>
                    </a:xfrm>
                    <a:prstGeom prst="rect">
                      <a:avLst/>
                    </a:prstGeom>
                  </pic:spPr>
                </pic:pic>
              </a:graphicData>
            </a:graphic>
          </wp:inline>
        </w:drawing>
      </w:r>
    </w:p>
    <w:p w14:paraId="16BF1F98" w14:textId="77777777" w:rsidR="00053D93" w:rsidRDefault="00260B75">
      <w:pPr>
        <w:spacing w:after="191" w:line="269" w:lineRule="auto"/>
        <w:ind w:left="57" w:right="14" w:firstLine="1584"/>
        <w:jc w:val="both"/>
      </w:pPr>
      <w:r>
        <w:rPr>
          <w:sz w:val="26"/>
        </w:rPr>
        <w:t>Como jefa del nivel de educación primaria, le di seguimiento a los procedimientos 1 propios de la jefatura, respecto a la licitación L-030/2023-MlNEDUC "SERVICIO DE IMPRESIÓN DE TEXTOS PARA NIÑOS DE PRIMER GRADO DEL NIVEL DE EDUCACIÓN PRIMARIA Y TEXTOS DE Ml LIBRO DE LECTURAS PRIMER 1 GRADO PRIMARIA, PARA USO EN 2024, A SOLICITUD DE LA DIGECADE", por un monto de Q.20,305,140.44, correspondiente a 1,531 ,510 textos escolares 1 (meta física incluida en el año 2024).</w:t>
      </w:r>
    </w:p>
    <w:p w14:paraId="3D2BB71A" w14:textId="77777777" w:rsidR="00053D93" w:rsidRDefault="00260B75">
      <w:pPr>
        <w:numPr>
          <w:ilvl w:val="0"/>
          <w:numId w:val="26"/>
        </w:numPr>
        <w:spacing w:after="70" w:line="269" w:lineRule="auto"/>
        <w:ind w:left="1936" w:right="14" w:hanging="266"/>
        <w:jc w:val="both"/>
      </w:pPr>
      <w:r>
        <w:rPr>
          <w:sz w:val="26"/>
        </w:rPr>
        <w:t>De la causa del hallazgo</w:t>
      </w:r>
    </w:p>
    <w:p w14:paraId="511C32B7" w14:textId="77777777" w:rsidR="00053D93" w:rsidRDefault="00260B75">
      <w:pPr>
        <w:spacing w:after="3"/>
        <w:ind w:left="74" w:right="3485" w:hanging="10"/>
      </w:pPr>
      <w:r>
        <w:rPr>
          <w:sz w:val="70"/>
        </w:rPr>
        <w:t>1</w:t>
      </w:r>
    </w:p>
    <w:p w14:paraId="41D28141" w14:textId="77777777" w:rsidR="00053D93" w:rsidRDefault="00260B75">
      <w:pPr>
        <w:spacing w:after="382" w:line="269" w:lineRule="auto"/>
        <w:ind w:left="57" w:right="14" w:firstLine="1562"/>
        <w:jc w:val="both"/>
      </w:pPr>
      <w:r>
        <w:rPr>
          <w:sz w:val="26"/>
        </w:rPr>
        <w:t>Como se evidencia en el punto 2, el proceso de licitación de los textos de segundo a sexto grados del nivel de educación primaria, que iban a ser utilizados en el año 1 2024, quedó sin efecto; por lo cual fue imposible concretar el proceso de licitación y cumplir con la ejecución de las metas físicas (6,347291 textos) que están concatenadas a las metas financieras, al 31 de diciembre de 2024.</w:t>
      </w:r>
    </w:p>
    <w:tbl>
      <w:tblPr>
        <w:tblStyle w:val="TableGrid"/>
        <w:tblpPr w:vertAnchor="text" w:tblpX="2514" w:tblpY="33"/>
        <w:tblOverlap w:val="never"/>
        <w:tblW w:w="7631" w:type="dxa"/>
        <w:tblInd w:w="0" w:type="dxa"/>
        <w:tblCellMar>
          <w:top w:w="53" w:type="dxa"/>
          <w:left w:w="1763" w:type="dxa"/>
          <w:right w:w="115" w:type="dxa"/>
        </w:tblCellMar>
        <w:tblLook w:val="04A0" w:firstRow="1" w:lastRow="0" w:firstColumn="1" w:lastColumn="0" w:noHBand="0" w:noVBand="1"/>
      </w:tblPr>
      <w:tblGrid>
        <w:gridCol w:w="7631"/>
      </w:tblGrid>
      <w:tr w:rsidR="00053D93" w14:paraId="45912109" w14:textId="77777777">
        <w:trPr>
          <w:trHeight w:val="615"/>
        </w:trPr>
        <w:tc>
          <w:tcPr>
            <w:tcW w:w="7631" w:type="dxa"/>
            <w:tcBorders>
              <w:top w:val="single" w:sz="2" w:space="0" w:color="000000"/>
              <w:left w:val="single" w:sz="2" w:space="0" w:color="000000"/>
              <w:bottom w:val="nil"/>
              <w:right w:val="nil"/>
            </w:tcBorders>
          </w:tcPr>
          <w:p w14:paraId="43B56E3C" w14:textId="77777777" w:rsidR="00053D93" w:rsidRDefault="00260B75">
            <w:pPr>
              <w:ind w:left="828"/>
            </w:pPr>
            <w:r>
              <w:rPr>
                <w:sz w:val="14"/>
              </w:rPr>
              <w:t>MINISTERIO DE EDUCACION</w:t>
            </w:r>
          </w:p>
          <w:p w14:paraId="2252C28C" w14:textId="77777777" w:rsidR="00053D93" w:rsidRDefault="00260B75">
            <w:pPr>
              <w:ind w:left="338"/>
            </w:pPr>
            <w:r>
              <w:rPr>
                <w:sz w:val="14"/>
              </w:rPr>
              <w:t>AUDITORIA FINANCIERA Y DE CUMPLIMIENTO</w:t>
            </w:r>
          </w:p>
          <w:p w14:paraId="5BFE4B07" w14:textId="77777777" w:rsidR="00053D93" w:rsidRDefault="00260B75">
            <w:r>
              <w:rPr>
                <w:sz w:val="14"/>
              </w:rPr>
              <w:t>PERIODO DEL 01 DE ENERO AL 31 DE DICIEMBRE DE 2024</w:t>
            </w:r>
          </w:p>
        </w:tc>
      </w:tr>
    </w:tbl>
    <w:p w14:paraId="6BAD39C6" w14:textId="77777777" w:rsidR="00053D93" w:rsidRDefault="00260B75">
      <w:pPr>
        <w:pStyle w:val="Ttulo3"/>
        <w:spacing w:after="175" w:line="259" w:lineRule="auto"/>
        <w:ind w:left="146" w:right="-7646"/>
        <w:jc w:val="left"/>
      </w:pPr>
      <w:r>
        <w:rPr>
          <w:sz w:val="32"/>
        </w:rPr>
        <w:t xml:space="preserve">, III </w:t>
      </w:r>
      <w:r>
        <w:rPr>
          <w:noProof/>
        </w:rPr>
        <w:drawing>
          <wp:inline distT="0" distB="0" distL="0" distR="0" wp14:anchorId="50FFD3AC" wp14:editId="01683DD0">
            <wp:extent cx="836676" cy="411480"/>
            <wp:effectExtent l="0" t="0" r="0" b="0"/>
            <wp:docPr id="1301070" name="Picture 1301070"/>
            <wp:cNvGraphicFramePr/>
            <a:graphic xmlns:a="http://schemas.openxmlformats.org/drawingml/2006/main">
              <a:graphicData uri="http://schemas.openxmlformats.org/drawingml/2006/picture">
                <pic:pic xmlns:pic="http://schemas.openxmlformats.org/drawingml/2006/picture">
                  <pic:nvPicPr>
                    <pic:cNvPr id="1301070" name="Picture 1301070"/>
                    <pic:cNvPicPr/>
                  </pic:nvPicPr>
                  <pic:blipFill>
                    <a:blip r:embed="rId1735"/>
                    <a:stretch>
                      <a:fillRect/>
                    </a:stretch>
                  </pic:blipFill>
                  <pic:spPr>
                    <a:xfrm>
                      <a:off x="0" y="0"/>
                      <a:ext cx="836676" cy="411480"/>
                    </a:xfrm>
                    <a:prstGeom prst="rect">
                      <a:avLst/>
                    </a:prstGeom>
                  </pic:spPr>
                </pic:pic>
              </a:graphicData>
            </a:graphic>
          </wp:inline>
        </w:drawing>
      </w:r>
      <w:r>
        <w:rPr>
          <w:sz w:val="32"/>
        </w:rPr>
        <w:t>I I</w:t>
      </w:r>
    </w:p>
    <w:p w14:paraId="6F8E4328" w14:textId="77777777" w:rsidR="00053D93" w:rsidRDefault="00053D93">
      <w:pPr>
        <w:sectPr w:rsidR="00053D93">
          <w:headerReference w:type="even" r:id="rId1736"/>
          <w:headerReference w:type="default" r:id="rId1737"/>
          <w:footerReference w:type="even" r:id="rId1738"/>
          <w:footerReference w:type="default" r:id="rId1739"/>
          <w:headerReference w:type="first" r:id="rId1740"/>
          <w:footerReference w:type="first" r:id="rId1741"/>
          <w:pgSz w:w="12290" w:h="15883"/>
          <w:pgMar w:top="821" w:right="1793" w:bottom="592" w:left="324" w:header="353" w:footer="720" w:gutter="0"/>
          <w:cols w:space="720"/>
          <w:titlePg/>
        </w:sectPr>
      </w:pPr>
    </w:p>
    <w:p w14:paraId="3FB35AD4" w14:textId="77777777" w:rsidR="00053D93" w:rsidRDefault="00260B75">
      <w:pPr>
        <w:spacing w:after="510" w:line="265" w:lineRule="auto"/>
        <w:ind w:left="3177" w:hanging="10"/>
      </w:pPr>
      <w:r>
        <w:rPr>
          <w:sz w:val="14"/>
        </w:rPr>
        <w:t xml:space="preserve">OE </w:t>
      </w:r>
    </w:p>
    <w:p w14:paraId="5EB0563F" w14:textId="77777777" w:rsidR="00053D93" w:rsidRDefault="00260B75">
      <w:pPr>
        <w:spacing w:after="3" w:line="265" w:lineRule="auto"/>
        <w:ind w:left="60" w:right="-29" w:hanging="10"/>
      </w:pPr>
      <w:r>
        <w:rPr>
          <w:noProof/>
        </w:rPr>
        <w:drawing>
          <wp:inline distT="0" distB="0" distL="0" distR="0" wp14:anchorId="1717FD40" wp14:editId="0E5B4BEF">
            <wp:extent cx="36576" cy="4572"/>
            <wp:effectExtent l="0" t="0" r="0" b="0"/>
            <wp:docPr id="1304373" name="Picture 1304373"/>
            <wp:cNvGraphicFramePr/>
            <a:graphic xmlns:a="http://schemas.openxmlformats.org/drawingml/2006/main">
              <a:graphicData uri="http://schemas.openxmlformats.org/drawingml/2006/picture">
                <pic:pic xmlns:pic="http://schemas.openxmlformats.org/drawingml/2006/picture">
                  <pic:nvPicPr>
                    <pic:cNvPr id="1304373" name="Picture 1304373"/>
                    <pic:cNvPicPr/>
                  </pic:nvPicPr>
                  <pic:blipFill>
                    <a:blip r:embed="rId844"/>
                    <a:stretch>
                      <a:fillRect/>
                    </a:stretch>
                  </pic:blipFill>
                  <pic:spPr>
                    <a:xfrm>
                      <a:off x="0" y="0"/>
                      <a:ext cx="36576" cy="4572"/>
                    </a:xfrm>
                    <a:prstGeom prst="rect">
                      <a:avLst/>
                    </a:prstGeom>
                  </pic:spPr>
                </pic:pic>
              </a:graphicData>
            </a:graphic>
          </wp:inline>
        </w:drawing>
      </w:r>
      <w:r>
        <w:rPr>
          <w:sz w:val="66"/>
        </w:rPr>
        <w:t>1</w:t>
      </w:r>
      <w:r>
        <w:rPr>
          <w:noProof/>
        </w:rPr>
        <w:drawing>
          <wp:inline distT="0" distB="0" distL="0" distR="0" wp14:anchorId="5F7CB9F8" wp14:editId="4EF752BF">
            <wp:extent cx="6304788" cy="41148"/>
            <wp:effectExtent l="0" t="0" r="0" b="0"/>
            <wp:docPr id="2459001" name="Picture 2459001"/>
            <wp:cNvGraphicFramePr/>
            <a:graphic xmlns:a="http://schemas.openxmlformats.org/drawingml/2006/main">
              <a:graphicData uri="http://schemas.openxmlformats.org/drawingml/2006/picture">
                <pic:pic xmlns:pic="http://schemas.openxmlformats.org/drawingml/2006/picture">
                  <pic:nvPicPr>
                    <pic:cNvPr id="2459001" name="Picture 2459001"/>
                    <pic:cNvPicPr/>
                  </pic:nvPicPr>
                  <pic:blipFill>
                    <a:blip r:embed="rId1742"/>
                    <a:stretch>
                      <a:fillRect/>
                    </a:stretch>
                  </pic:blipFill>
                  <pic:spPr>
                    <a:xfrm>
                      <a:off x="0" y="0"/>
                      <a:ext cx="6304788" cy="41148"/>
                    </a:xfrm>
                    <a:prstGeom prst="rect">
                      <a:avLst/>
                    </a:prstGeom>
                  </pic:spPr>
                </pic:pic>
              </a:graphicData>
            </a:graphic>
          </wp:inline>
        </w:drawing>
      </w:r>
    </w:p>
    <w:p w14:paraId="2DE9A9EC" w14:textId="77777777" w:rsidR="00053D93" w:rsidRDefault="00260B75">
      <w:pPr>
        <w:spacing w:after="253" w:line="269" w:lineRule="auto"/>
        <w:ind w:left="1760" w:right="14" w:hanging="3"/>
        <w:jc w:val="both"/>
      </w:pPr>
      <w:r>
        <w:rPr>
          <w:sz w:val="26"/>
        </w:rPr>
        <w:t>5. Del efecto del hallazgo</w:t>
      </w:r>
    </w:p>
    <w:p w14:paraId="78287FF3" w14:textId="77777777" w:rsidR="00053D93" w:rsidRDefault="00260B75">
      <w:pPr>
        <w:spacing w:after="3" w:line="265" w:lineRule="auto"/>
        <w:ind w:left="60" w:right="65" w:hanging="10"/>
      </w:pPr>
      <w:r>
        <w:rPr>
          <w:sz w:val="66"/>
        </w:rPr>
        <w:t>1</w:t>
      </w:r>
    </w:p>
    <w:p w14:paraId="44C1767A" w14:textId="77777777" w:rsidR="00053D93" w:rsidRDefault="00260B75">
      <w:pPr>
        <w:spacing w:after="4" w:line="269" w:lineRule="auto"/>
        <w:ind w:left="57" w:right="14" w:firstLine="1692"/>
        <w:jc w:val="both"/>
      </w:pPr>
      <w:r>
        <w:rPr>
          <w:sz w:val="26"/>
        </w:rPr>
        <w:t>Por medio del oficio No. DIGECADE/SEE No. 190-2025, de fecha 21 de marzo de 2025, dirigido al Auditor Gubernamental de la Contraloría General de Cuentas, 1 inciso a., se informó que los textos para niños de Segundo, Tercero, Cuarto, Quinto y Sexto del nivel de educación primaria, se han considerado bienes fungibles, (los niños los utilizan cada año y los dejan para la siguiente promoción); 1 por lo cual, los niños sí tuvieron acceso a libros en el año 2024.</w:t>
      </w:r>
    </w:p>
    <w:p w14:paraId="4CEB010F" w14:textId="77777777" w:rsidR="00053D93" w:rsidRDefault="00260B75">
      <w:pPr>
        <w:spacing w:after="4" w:line="269" w:lineRule="auto"/>
        <w:ind w:left="1738" w:right="14" w:hanging="3"/>
        <w:jc w:val="both"/>
      </w:pPr>
      <w:r>
        <w:rPr>
          <w:sz w:val="26"/>
        </w:rPr>
        <w:t>En el inciso b. y c. se manifestó que de conformidad al Currículo Nacional Base -CNB-, del nivel primario, indica: "...se denomina proceso E-A-E, (enseñanza, aprendizaje y evaluación) a la interrelación que se da entre la planificación, la ejecución y la evaluación de las acciones que realizan el maestro o maestra y los alumnos y alumnas. Este proceso orienta la formación educativa de los educandos, auxiliándose de los materiales curriculares elaborados para el efecto...</w:t>
      </w:r>
    </w:p>
    <w:p w14:paraId="6E947503" w14:textId="77777777" w:rsidR="00053D93" w:rsidRDefault="00260B75">
      <w:pPr>
        <w:spacing w:after="0"/>
        <w:ind w:left="17" w:hanging="10"/>
      </w:pPr>
      <w:r>
        <w:rPr>
          <w:sz w:val="82"/>
        </w:rPr>
        <w:t>1</w:t>
      </w:r>
    </w:p>
    <w:p w14:paraId="5059E8C1" w14:textId="77777777" w:rsidR="00053D93" w:rsidRDefault="00260B75">
      <w:pPr>
        <w:spacing w:after="3" w:line="273" w:lineRule="auto"/>
        <w:ind w:left="21" w:firstLine="1692"/>
      </w:pPr>
      <w:r>
        <w:rPr>
          <w:sz w:val="26"/>
        </w:rPr>
        <w:t xml:space="preserve">Por lo indicado en el párrafo anterior, los docentes son los responsables de </w:t>
      </w:r>
      <w:r>
        <w:rPr>
          <w:noProof/>
        </w:rPr>
        <w:drawing>
          <wp:inline distT="0" distB="0" distL="0" distR="0" wp14:anchorId="012E3DE9" wp14:editId="6609C2EC">
            <wp:extent cx="18288" cy="9144"/>
            <wp:effectExtent l="0" t="0" r="0" b="0"/>
            <wp:docPr id="1304374" name="Picture 1304374"/>
            <wp:cNvGraphicFramePr/>
            <a:graphic xmlns:a="http://schemas.openxmlformats.org/drawingml/2006/main">
              <a:graphicData uri="http://schemas.openxmlformats.org/drawingml/2006/picture">
                <pic:pic xmlns:pic="http://schemas.openxmlformats.org/drawingml/2006/picture">
                  <pic:nvPicPr>
                    <pic:cNvPr id="1304374" name="Picture 1304374"/>
                    <pic:cNvPicPr/>
                  </pic:nvPicPr>
                  <pic:blipFill>
                    <a:blip r:embed="rId844"/>
                    <a:stretch>
                      <a:fillRect/>
                    </a:stretch>
                  </pic:blipFill>
                  <pic:spPr>
                    <a:xfrm>
                      <a:off x="0" y="0"/>
                      <a:ext cx="18288" cy="9144"/>
                    </a:xfrm>
                    <a:prstGeom prst="rect">
                      <a:avLst/>
                    </a:prstGeom>
                  </pic:spPr>
                </pic:pic>
              </a:graphicData>
            </a:graphic>
          </wp:inline>
        </w:drawing>
      </w:r>
      <w:r>
        <w:rPr>
          <w:sz w:val="26"/>
        </w:rPr>
        <w:t>1</w:t>
      </w:r>
      <w:r>
        <w:rPr>
          <w:sz w:val="26"/>
        </w:rPr>
        <w:tab/>
        <w:t>desarrollar los procesos más elevados del</w:t>
      </w:r>
      <w:r>
        <w:rPr>
          <w:sz w:val="26"/>
        </w:rPr>
        <w:tab/>
        <w:t xml:space="preserve">razonamiento y de enseñanza-aprendizaje establecidos en el Currículo Nacional Base -CNB- y los textos (materiales curriculares) son auxiliares para el proceso de </w:t>
      </w:r>
      <w:r>
        <w:rPr>
          <w:noProof/>
        </w:rPr>
        <w:drawing>
          <wp:inline distT="0" distB="0" distL="0" distR="0" wp14:anchorId="1F87C92E" wp14:editId="373DA8CD">
            <wp:extent cx="9144" cy="9144"/>
            <wp:effectExtent l="0" t="0" r="0" b="0"/>
            <wp:docPr id="1304375" name="Picture 1304375"/>
            <wp:cNvGraphicFramePr/>
            <a:graphic xmlns:a="http://schemas.openxmlformats.org/drawingml/2006/main">
              <a:graphicData uri="http://schemas.openxmlformats.org/drawingml/2006/picture">
                <pic:pic xmlns:pic="http://schemas.openxmlformats.org/drawingml/2006/picture">
                  <pic:nvPicPr>
                    <pic:cNvPr id="1304375" name="Picture 1304375"/>
                    <pic:cNvPicPr/>
                  </pic:nvPicPr>
                  <pic:blipFill>
                    <a:blip r:embed="rId93"/>
                    <a:stretch>
                      <a:fillRect/>
                    </a:stretch>
                  </pic:blipFill>
                  <pic:spPr>
                    <a:xfrm>
                      <a:off x="0" y="0"/>
                      <a:ext cx="9144" cy="9144"/>
                    </a:xfrm>
                    <a:prstGeom prst="rect">
                      <a:avLst/>
                    </a:prstGeom>
                  </pic:spPr>
                </pic:pic>
              </a:graphicData>
            </a:graphic>
          </wp:inline>
        </w:drawing>
      </w:r>
      <w:r>
        <w:rPr>
          <w:sz w:val="26"/>
        </w:rPr>
        <w:t>1</w:t>
      </w:r>
      <w:r>
        <w:rPr>
          <w:sz w:val="26"/>
        </w:rPr>
        <w:tab/>
        <w:t>enseñanza-aprendizaje</w:t>
      </w:r>
    </w:p>
    <w:p w14:paraId="244306E9" w14:textId="77777777" w:rsidR="00053D93" w:rsidRDefault="00260B75">
      <w:pPr>
        <w:spacing w:after="188" w:line="348" w:lineRule="auto"/>
        <w:ind w:left="60" w:right="14" w:hanging="3"/>
        <w:jc w:val="both"/>
      </w:pPr>
      <w:r>
        <w:rPr>
          <w:sz w:val="26"/>
        </w:rPr>
        <w:t>1 Para incrementar la calidad educativa, el docente es el responsable de desarrollar los procesos de enseñanza-aprendizaje establecidos en el Currículo Nacional Base -CNB-, además de contar con el apoyo de los textos; por lo que ambos 1 contribuyen al desarrollo de las competencias y mejorar la calidad de vida de los estudiantes.'</w:t>
      </w:r>
      <w:r>
        <w:rPr>
          <w:noProof/>
        </w:rPr>
        <w:drawing>
          <wp:inline distT="0" distB="0" distL="0" distR="0" wp14:anchorId="53819810" wp14:editId="2DB3849E">
            <wp:extent cx="13716" cy="36576"/>
            <wp:effectExtent l="0" t="0" r="0" b="0"/>
            <wp:docPr id="1304376" name="Picture 1304376"/>
            <wp:cNvGraphicFramePr/>
            <a:graphic xmlns:a="http://schemas.openxmlformats.org/drawingml/2006/main">
              <a:graphicData uri="http://schemas.openxmlformats.org/drawingml/2006/picture">
                <pic:pic xmlns:pic="http://schemas.openxmlformats.org/drawingml/2006/picture">
                  <pic:nvPicPr>
                    <pic:cNvPr id="1304376" name="Picture 1304376"/>
                    <pic:cNvPicPr/>
                  </pic:nvPicPr>
                  <pic:blipFill>
                    <a:blip r:embed="rId1743"/>
                    <a:stretch>
                      <a:fillRect/>
                    </a:stretch>
                  </pic:blipFill>
                  <pic:spPr>
                    <a:xfrm>
                      <a:off x="0" y="0"/>
                      <a:ext cx="13716" cy="36576"/>
                    </a:xfrm>
                    <a:prstGeom prst="rect">
                      <a:avLst/>
                    </a:prstGeom>
                  </pic:spPr>
                </pic:pic>
              </a:graphicData>
            </a:graphic>
          </wp:inline>
        </w:drawing>
      </w:r>
    </w:p>
    <w:p w14:paraId="3A6CE778" w14:textId="77777777" w:rsidR="00053D93" w:rsidRDefault="00260B75">
      <w:pPr>
        <w:spacing w:after="243" w:line="266" w:lineRule="auto"/>
        <w:ind w:left="1716" w:hanging="10"/>
      </w:pPr>
      <w:r>
        <w:rPr>
          <w:sz w:val="28"/>
        </w:rPr>
        <w:t>CONCLUSIÓN Y PETICIÓN</w:t>
      </w:r>
    </w:p>
    <w:p w14:paraId="7EF8C3BA" w14:textId="77777777" w:rsidR="00053D93" w:rsidRDefault="00260B75">
      <w:pPr>
        <w:spacing w:after="4" w:line="269" w:lineRule="auto"/>
        <w:ind w:left="57" w:right="14" w:firstLine="1714"/>
        <w:jc w:val="both"/>
      </w:pPr>
      <w:r>
        <w:rPr>
          <w:sz w:val="26"/>
        </w:rPr>
        <w:t xml:space="preserve">El incumplimiento de metas físicas y financieras relacionadas con la provisión de -1 textos escolares, describe la condición del posible hallazgo, que se basó en el reporte número R0081561 1 ,rpt, Analítico de Ejecución Físico y Financiera del </w:t>
      </w:r>
      <w:r>
        <w:rPr>
          <w:noProof/>
        </w:rPr>
        <w:drawing>
          <wp:inline distT="0" distB="0" distL="0" distR="0" wp14:anchorId="5AF35CF7" wp14:editId="45425914">
            <wp:extent cx="4572" cy="4572"/>
            <wp:effectExtent l="0" t="0" r="0" b="0"/>
            <wp:docPr id="1304377" name="Picture 1304377"/>
            <wp:cNvGraphicFramePr/>
            <a:graphic xmlns:a="http://schemas.openxmlformats.org/drawingml/2006/main">
              <a:graphicData uri="http://schemas.openxmlformats.org/drawingml/2006/picture">
                <pic:pic xmlns:pic="http://schemas.openxmlformats.org/drawingml/2006/picture">
                  <pic:nvPicPr>
                    <pic:cNvPr id="1304377" name="Picture 1304377"/>
                    <pic:cNvPicPr/>
                  </pic:nvPicPr>
                  <pic:blipFill>
                    <a:blip r:embed="rId845"/>
                    <a:stretch>
                      <a:fillRect/>
                    </a:stretch>
                  </pic:blipFill>
                  <pic:spPr>
                    <a:xfrm>
                      <a:off x="0" y="0"/>
                      <a:ext cx="4572" cy="4572"/>
                    </a:xfrm>
                    <a:prstGeom prst="rect">
                      <a:avLst/>
                    </a:prstGeom>
                  </pic:spPr>
                </pic:pic>
              </a:graphicData>
            </a:graphic>
          </wp:inline>
        </w:drawing>
      </w:r>
      <w:r>
        <w:rPr>
          <w:sz w:val="26"/>
        </w:rPr>
        <w:t xml:space="preserve">-1 Sistema de Contabilidad Integrada Gubernamental -SICOIN- y R00804768.rpt (Grupos Dinámicos), del 01 de enero al 31 de diciembre de 2024, el cual incluye la impresión de textos para el año 2024; sin embargo, la suscrita no tuvo </w:t>
      </w:r>
      <w:r>
        <w:rPr>
          <w:noProof/>
        </w:rPr>
        <w:drawing>
          <wp:inline distT="0" distB="0" distL="0" distR="0" wp14:anchorId="1D603CF1" wp14:editId="100EB9E1">
            <wp:extent cx="36576" cy="9144"/>
            <wp:effectExtent l="0" t="0" r="0" b="0"/>
            <wp:docPr id="1304378" name="Picture 1304378"/>
            <wp:cNvGraphicFramePr/>
            <a:graphic xmlns:a="http://schemas.openxmlformats.org/drawingml/2006/main">
              <a:graphicData uri="http://schemas.openxmlformats.org/drawingml/2006/picture">
                <pic:pic xmlns:pic="http://schemas.openxmlformats.org/drawingml/2006/picture">
                  <pic:nvPicPr>
                    <pic:cNvPr id="1304378" name="Picture 1304378"/>
                    <pic:cNvPicPr/>
                  </pic:nvPicPr>
                  <pic:blipFill>
                    <a:blip r:embed="rId1744"/>
                    <a:stretch>
                      <a:fillRect/>
                    </a:stretch>
                  </pic:blipFill>
                  <pic:spPr>
                    <a:xfrm>
                      <a:off x="0" y="0"/>
                      <a:ext cx="36576" cy="9144"/>
                    </a:xfrm>
                    <a:prstGeom prst="rect">
                      <a:avLst/>
                    </a:prstGeom>
                  </pic:spPr>
                </pic:pic>
              </a:graphicData>
            </a:graphic>
          </wp:inline>
        </w:drawing>
      </w:r>
      <w:r>
        <w:rPr>
          <w:sz w:val="26"/>
        </w:rPr>
        <w:t>1 participación en dejar sin efecto el proceso de licitación para la impresión de</w:t>
      </w:r>
    </w:p>
    <w:p w14:paraId="2879AE4F" w14:textId="77777777" w:rsidR="00053D93" w:rsidRDefault="00260B75">
      <w:pPr>
        <w:spacing w:after="50" w:line="269" w:lineRule="auto"/>
        <w:ind w:left="67" w:right="14" w:hanging="10"/>
        <w:jc w:val="right"/>
      </w:pPr>
      <w:r>
        <w:rPr>
          <w:sz w:val="26"/>
        </w:rPr>
        <w:t>6,347 ,291 textos para uso en el año 2024 y cumplir con la ejecución de las metas</w:t>
      </w:r>
    </w:p>
    <w:p w14:paraId="5F20CA5D" w14:textId="77777777" w:rsidR="00053D93" w:rsidRDefault="00260B75">
      <w:pPr>
        <w:spacing w:after="143" w:line="444" w:lineRule="auto"/>
        <w:ind w:left="1641" w:right="14" w:hanging="1584"/>
        <w:jc w:val="both"/>
      </w:pPr>
      <w:r>
        <w:rPr>
          <w:sz w:val="26"/>
        </w:rPr>
        <w:t>1 físicas que están concatenadas a las metas financieras, al 31 de diciembre de 2024; además los niños sí tuvieron acceso a libros en el ciclo escolar 2024...</w:t>
      </w:r>
      <w:r>
        <w:rPr>
          <w:noProof/>
        </w:rPr>
        <w:drawing>
          <wp:inline distT="0" distB="0" distL="0" distR="0" wp14:anchorId="1FFD956D" wp14:editId="5E5A4246">
            <wp:extent cx="36576" cy="36576"/>
            <wp:effectExtent l="0" t="0" r="0" b="0"/>
            <wp:docPr id="2459003" name="Picture 2459003"/>
            <wp:cNvGraphicFramePr/>
            <a:graphic xmlns:a="http://schemas.openxmlformats.org/drawingml/2006/main">
              <a:graphicData uri="http://schemas.openxmlformats.org/drawingml/2006/picture">
                <pic:pic xmlns:pic="http://schemas.openxmlformats.org/drawingml/2006/picture">
                  <pic:nvPicPr>
                    <pic:cNvPr id="2459003" name="Picture 2459003"/>
                    <pic:cNvPicPr/>
                  </pic:nvPicPr>
                  <pic:blipFill>
                    <a:blip r:embed="rId1745"/>
                    <a:stretch>
                      <a:fillRect/>
                    </a:stretch>
                  </pic:blipFill>
                  <pic:spPr>
                    <a:xfrm>
                      <a:off x="0" y="0"/>
                      <a:ext cx="36576" cy="36576"/>
                    </a:xfrm>
                    <a:prstGeom prst="rect">
                      <a:avLst/>
                    </a:prstGeom>
                  </pic:spPr>
                </pic:pic>
              </a:graphicData>
            </a:graphic>
          </wp:inline>
        </w:drawing>
      </w:r>
    </w:p>
    <w:p w14:paraId="08003E6F" w14:textId="77777777" w:rsidR="00053D93" w:rsidRDefault="00260B75">
      <w:pPr>
        <w:tabs>
          <w:tab w:val="right" w:pos="10181"/>
        </w:tabs>
        <w:spacing w:after="4" w:line="266" w:lineRule="auto"/>
      </w:pPr>
      <w:r>
        <w:rPr>
          <w:sz w:val="28"/>
        </w:rPr>
        <w:t>1</w:t>
      </w:r>
      <w:r>
        <w:rPr>
          <w:sz w:val="28"/>
        </w:rPr>
        <w:tab/>
        <w:t>En Nota s/n, del 21 de abril de 2025, la licenciada Clara Eugenia Siliezar Vásquez</w:t>
      </w:r>
    </w:p>
    <w:p w14:paraId="0C67EA57" w14:textId="77777777" w:rsidR="00053D93" w:rsidRDefault="00260B75">
      <w:pPr>
        <w:spacing w:after="0"/>
        <w:ind w:left="727"/>
      </w:pPr>
      <w:r>
        <w:rPr>
          <w:noProof/>
        </w:rPr>
        <w:drawing>
          <wp:inline distT="0" distB="0" distL="0" distR="0" wp14:anchorId="47AD62CD" wp14:editId="61B43779">
            <wp:extent cx="5984748" cy="406909"/>
            <wp:effectExtent l="0" t="0" r="0" b="0"/>
            <wp:docPr id="2459005" name="Picture 2459005"/>
            <wp:cNvGraphicFramePr/>
            <a:graphic xmlns:a="http://schemas.openxmlformats.org/drawingml/2006/main">
              <a:graphicData uri="http://schemas.openxmlformats.org/drawingml/2006/picture">
                <pic:pic xmlns:pic="http://schemas.openxmlformats.org/drawingml/2006/picture">
                  <pic:nvPicPr>
                    <pic:cNvPr id="2459005" name="Picture 2459005"/>
                    <pic:cNvPicPr/>
                  </pic:nvPicPr>
                  <pic:blipFill>
                    <a:blip r:embed="rId1746"/>
                    <a:stretch>
                      <a:fillRect/>
                    </a:stretch>
                  </pic:blipFill>
                  <pic:spPr>
                    <a:xfrm>
                      <a:off x="0" y="0"/>
                      <a:ext cx="5984748" cy="406909"/>
                    </a:xfrm>
                    <a:prstGeom prst="rect">
                      <a:avLst/>
                    </a:prstGeom>
                  </pic:spPr>
                </pic:pic>
              </a:graphicData>
            </a:graphic>
          </wp:inline>
        </w:drawing>
      </w:r>
    </w:p>
    <w:p w14:paraId="0995C00F" w14:textId="77777777" w:rsidR="00053D93" w:rsidRDefault="00260B75">
      <w:pPr>
        <w:spacing w:after="30" w:line="269" w:lineRule="auto"/>
        <w:ind w:left="60" w:right="14" w:hanging="3"/>
        <w:jc w:val="both"/>
      </w:pPr>
      <w:r>
        <w:rPr>
          <w:sz w:val="26"/>
        </w:rPr>
        <w:t>1 de García, quien fungió como Coordinadora del Nivel de Educación Preprimaria, por el período comprendido del 04 de octubre al 31 de diciembre de 2024, 1 manifiesta: "... 1. Período laborado: La suscrita, fui nombrada en el puesto funcional de Coordinadora del Nivel de Educación Preprimaria, de la Subdirección de Educación Escolar, Dirección General de Gestión de Calidad Educativa 1 -DIGECADE-, del Ministerio de Educación, el 04 de octubre de 2024, según oficio DIGECADE/SEE No. 641-2024, emitido por Vivian Arcelí Palencia Peralta,</w:t>
      </w:r>
    </w:p>
    <w:p w14:paraId="50F5B89E" w14:textId="77777777" w:rsidR="00053D93" w:rsidRDefault="00260B75">
      <w:pPr>
        <w:spacing w:after="358" w:line="269" w:lineRule="auto"/>
        <w:ind w:left="1709" w:right="14" w:hanging="3"/>
        <w:jc w:val="both"/>
      </w:pPr>
      <w:r>
        <w:rPr>
          <w:sz w:val="26"/>
        </w:rPr>
        <w:t>Subdirectora de Educación Escolar, con visto bueno de Claudia Elizabeth Morales,</w:t>
      </w:r>
    </w:p>
    <w:p w14:paraId="7DB875F0" w14:textId="77777777" w:rsidR="00053D93" w:rsidRDefault="00260B75">
      <w:pPr>
        <w:spacing w:after="82" w:line="333" w:lineRule="auto"/>
        <w:ind w:left="1727" w:right="14" w:hanging="1670"/>
        <w:jc w:val="both"/>
      </w:pPr>
      <w:r>
        <w:rPr>
          <w:sz w:val="26"/>
        </w:rPr>
        <w:t>1 Directora de DIGECADE; fungiendo al 31 de diciembre de 2024, un período de 2 meses y 27 días calendario.</w:t>
      </w:r>
    </w:p>
    <w:p w14:paraId="289171A6" w14:textId="77777777" w:rsidR="00053D93" w:rsidRDefault="00260B75">
      <w:pPr>
        <w:spacing w:after="3"/>
        <w:ind w:left="24" w:hanging="10"/>
      </w:pPr>
      <w:r>
        <w:rPr>
          <w:noProof/>
        </w:rPr>
        <w:drawing>
          <wp:inline distT="0" distB="0" distL="0" distR="0" wp14:anchorId="59C11777" wp14:editId="5FAE0965">
            <wp:extent cx="4572" cy="13716"/>
            <wp:effectExtent l="0" t="0" r="0" b="0"/>
            <wp:docPr id="1307480" name="Picture 1307480"/>
            <wp:cNvGraphicFramePr/>
            <a:graphic xmlns:a="http://schemas.openxmlformats.org/drawingml/2006/main">
              <a:graphicData uri="http://schemas.openxmlformats.org/drawingml/2006/picture">
                <pic:pic xmlns:pic="http://schemas.openxmlformats.org/drawingml/2006/picture">
                  <pic:nvPicPr>
                    <pic:cNvPr id="1307480" name="Picture 1307480"/>
                    <pic:cNvPicPr/>
                  </pic:nvPicPr>
                  <pic:blipFill>
                    <a:blip r:embed="rId114"/>
                    <a:stretch>
                      <a:fillRect/>
                    </a:stretch>
                  </pic:blipFill>
                  <pic:spPr>
                    <a:xfrm>
                      <a:off x="0" y="0"/>
                      <a:ext cx="4572" cy="13716"/>
                    </a:xfrm>
                    <a:prstGeom prst="rect">
                      <a:avLst/>
                    </a:prstGeom>
                  </pic:spPr>
                </pic:pic>
              </a:graphicData>
            </a:graphic>
          </wp:inline>
        </w:drawing>
      </w:r>
      <w:r>
        <w:rPr>
          <w:sz w:val="72"/>
        </w:rPr>
        <w:t>1</w:t>
      </w:r>
    </w:p>
    <w:p w14:paraId="6EC1B1B6" w14:textId="77777777" w:rsidR="00053D93" w:rsidRDefault="00260B75">
      <w:pPr>
        <w:spacing w:after="204" w:line="269" w:lineRule="auto"/>
        <w:ind w:left="1709" w:right="14" w:hanging="3"/>
        <w:jc w:val="both"/>
      </w:pPr>
      <w:r>
        <w:rPr>
          <w:sz w:val="26"/>
        </w:rPr>
        <w:t>2. Ejecución de la licitación L-025/2024 MINEDUC - NOG 23143320</w:t>
      </w:r>
    </w:p>
    <w:p w14:paraId="17CB8D1A" w14:textId="77777777" w:rsidR="00053D93" w:rsidRDefault="00260B75">
      <w:pPr>
        <w:pStyle w:val="Ttulo4"/>
        <w:ind w:left="24"/>
      </w:pPr>
      <w:r>
        <w:rPr>
          <w:noProof/>
        </w:rPr>
        <w:drawing>
          <wp:anchor distT="0" distB="0" distL="114300" distR="114300" simplePos="0" relativeHeight="252332032" behindDoc="0" locked="0" layoutInCell="1" allowOverlap="0" wp14:anchorId="32AB4760" wp14:editId="6FDE05FD">
            <wp:simplePos x="0" y="0"/>
            <wp:positionH relativeFrom="column">
              <wp:posOffset>18288</wp:posOffset>
            </wp:positionH>
            <wp:positionV relativeFrom="paragraph">
              <wp:posOffset>559317</wp:posOffset>
            </wp:positionV>
            <wp:extent cx="13716" cy="9144"/>
            <wp:effectExtent l="0" t="0" r="0" b="0"/>
            <wp:wrapSquare wrapText="bothSides"/>
            <wp:docPr id="1307482" name="Picture 1307482"/>
            <wp:cNvGraphicFramePr/>
            <a:graphic xmlns:a="http://schemas.openxmlformats.org/drawingml/2006/main">
              <a:graphicData uri="http://schemas.openxmlformats.org/drawingml/2006/picture">
                <pic:pic xmlns:pic="http://schemas.openxmlformats.org/drawingml/2006/picture">
                  <pic:nvPicPr>
                    <pic:cNvPr id="1307482" name="Picture 1307482"/>
                    <pic:cNvPicPr/>
                  </pic:nvPicPr>
                  <pic:blipFill>
                    <a:blip r:embed="rId891"/>
                    <a:stretch>
                      <a:fillRect/>
                    </a:stretch>
                  </pic:blipFill>
                  <pic:spPr>
                    <a:xfrm>
                      <a:off x="0" y="0"/>
                      <a:ext cx="13716" cy="9144"/>
                    </a:xfrm>
                    <a:prstGeom prst="rect">
                      <a:avLst/>
                    </a:prstGeom>
                  </pic:spPr>
                </pic:pic>
              </a:graphicData>
            </a:graphic>
          </wp:anchor>
        </w:drawing>
      </w:r>
      <w:r>
        <w:rPr>
          <w:noProof/>
        </w:rPr>
        <w:drawing>
          <wp:inline distT="0" distB="0" distL="0" distR="0" wp14:anchorId="3398AC21" wp14:editId="03103327">
            <wp:extent cx="9144" cy="4572"/>
            <wp:effectExtent l="0" t="0" r="0" b="0"/>
            <wp:docPr id="1307481" name="Picture 1307481"/>
            <wp:cNvGraphicFramePr/>
            <a:graphic xmlns:a="http://schemas.openxmlformats.org/drawingml/2006/main">
              <a:graphicData uri="http://schemas.openxmlformats.org/drawingml/2006/picture">
                <pic:pic xmlns:pic="http://schemas.openxmlformats.org/drawingml/2006/picture">
                  <pic:nvPicPr>
                    <pic:cNvPr id="1307481" name="Picture 1307481"/>
                    <pic:cNvPicPr/>
                  </pic:nvPicPr>
                  <pic:blipFill>
                    <a:blip r:embed="rId24"/>
                    <a:stretch>
                      <a:fillRect/>
                    </a:stretch>
                  </pic:blipFill>
                  <pic:spPr>
                    <a:xfrm>
                      <a:off x="0" y="0"/>
                      <a:ext cx="9144" cy="4572"/>
                    </a:xfrm>
                    <a:prstGeom prst="rect">
                      <a:avLst/>
                    </a:prstGeom>
                  </pic:spPr>
                </pic:pic>
              </a:graphicData>
            </a:graphic>
          </wp:inline>
        </w:drawing>
      </w:r>
      <w:r>
        <w:t>1 Con relación al proceso de licitación identificado como: "SERVICIO DE IMPRESIÓN DE LOS LIBROS DE LA SERIE "DESCUBRO Y APRENDO" PARA PÁRVULOS 1, 2 Y 3 DEL NIVEL DE EDUCACIÓN PREPRIMARIA, A 1 DISTRIBUIRSE PARA SU USO EN EL CICLO ESCOLAR 2025, A SOLICITUD DE</w:t>
      </w:r>
    </w:p>
    <w:p w14:paraId="76F0ED31" w14:textId="77777777" w:rsidR="00053D93" w:rsidRDefault="00260B75">
      <w:pPr>
        <w:spacing w:after="87" w:line="273" w:lineRule="auto"/>
        <w:ind w:left="21" w:firstLine="1678"/>
      </w:pPr>
      <w:r>
        <w:rPr>
          <w:sz w:val="26"/>
        </w:rPr>
        <w:t xml:space="preserve">LA DIGECADE", de conformidad al historial de acciones registrado en el Sistema </w:t>
      </w:r>
      <w:r>
        <w:rPr>
          <w:noProof/>
        </w:rPr>
        <w:drawing>
          <wp:inline distT="0" distB="0" distL="0" distR="0" wp14:anchorId="1F870562" wp14:editId="19E64C82">
            <wp:extent cx="18288" cy="4572"/>
            <wp:effectExtent l="0" t="0" r="0" b="0"/>
            <wp:docPr id="1307483" name="Picture 1307483"/>
            <wp:cNvGraphicFramePr/>
            <a:graphic xmlns:a="http://schemas.openxmlformats.org/drawingml/2006/main">
              <a:graphicData uri="http://schemas.openxmlformats.org/drawingml/2006/picture">
                <pic:pic xmlns:pic="http://schemas.openxmlformats.org/drawingml/2006/picture">
                  <pic:nvPicPr>
                    <pic:cNvPr id="1307483" name="Picture 1307483"/>
                    <pic:cNvPicPr/>
                  </pic:nvPicPr>
                  <pic:blipFill>
                    <a:blip r:embed="rId93"/>
                    <a:stretch>
                      <a:fillRect/>
                    </a:stretch>
                  </pic:blipFill>
                  <pic:spPr>
                    <a:xfrm>
                      <a:off x="0" y="0"/>
                      <a:ext cx="18288" cy="4572"/>
                    </a:xfrm>
                    <a:prstGeom prst="rect">
                      <a:avLst/>
                    </a:prstGeom>
                  </pic:spPr>
                </pic:pic>
              </a:graphicData>
            </a:graphic>
          </wp:inline>
        </w:drawing>
      </w:r>
      <w:r>
        <w:rPr>
          <w:sz w:val="26"/>
        </w:rPr>
        <w:t>1</w:t>
      </w:r>
      <w:r>
        <w:rPr>
          <w:sz w:val="26"/>
        </w:rPr>
        <w:tab/>
        <w:t>de Información de Contrataciones y Adquisiciones del Estado -GUATECOMPRAS-, CREACIÓN: se creó el concurso en el sistema el 21 de mayo de 2024.</w:t>
      </w:r>
    </w:p>
    <w:p w14:paraId="13C86D56" w14:textId="77777777" w:rsidR="00053D93" w:rsidRDefault="00260B75">
      <w:pPr>
        <w:spacing w:after="3"/>
        <w:ind w:left="74" w:right="3485" w:hanging="10"/>
      </w:pPr>
      <w:r>
        <w:rPr>
          <w:sz w:val="70"/>
        </w:rPr>
        <w:t>1</w:t>
      </w:r>
    </w:p>
    <w:p w14:paraId="0B172B87" w14:textId="77777777" w:rsidR="00053D93" w:rsidRDefault="00260B75">
      <w:pPr>
        <w:spacing w:after="586" w:line="269" w:lineRule="auto"/>
        <w:ind w:left="1702" w:right="14" w:hanging="3"/>
        <w:jc w:val="both"/>
      </w:pPr>
      <w:r>
        <w:rPr>
          <w:sz w:val="26"/>
        </w:rPr>
        <w:t>El proceso para la adjudicación, se realizó de la forma siguiente:</w:t>
      </w:r>
    </w:p>
    <w:p w14:paraId="12ED7EC3" w14:textId="77777777" w:rsidR="00053D93" w:rsidRDefault="00260B75">
      <w:pPr>
        <w:tabs>
          <w:tab w:val="right" w:pos="10181"/>
        </w:tabs>
        <w:spacing w:after="4" w:line="269" w:lineRule="auto"/>
      </w:pPr>
      <w:r>
        <w:rPr>
          <w:sz w:val="26"/>
        </w:rPr>
        <w:t>1</w:t>
      </w:r>
      <w:r>
        <w:rPr>
          <w:sz w:val="26"/>
        </w:rPr>
        <w:tab/>
        <w:t>a. El 27 de agosto de 2024, se publicó la adjudicación del proceso por medio del</w:t>
      </w:r>
    </w:p>
    <w:p w14:paraId="3C24B277" w14:textId="77777777" w:rsidR="00053D93" w:rsidRDefault="00260B75">
      <w:pPr>
        <w:spacing w:after="188" w:line="269" w:lineRule="auto"/>
        <w:ind w:left="1681" w:right="14" w:hanging="3"/>
        <w:jc w:val="both"/>
      </w:pPr>
      <w:r>
        <w:rPr>
          <w:sz w:val="26"/>
        </w:rPr>
        <w:t>Acta No. 106-2024.</w:t>
      </w:r>
    </w:p>
    <w:p w14:paraId="66DF5ED6" w14:textId="77777777" w:rsidR="00053D93" w:rsidRDefault="00260B75">
      <w:pPr>
        <w:spacing w:after="3" w:line="265" w:lineRule="auto"/>
        <w:ind w:left="60" w:right="65" w:hanging="10"/>
      </w:pPr>
      <w:r>
        <w:rPr>
          <w:noProof/>
        </w:rPr>
        <w:drawing>
          <wp:inline distT="0" distB="0" distL="0" distR="0" wp14:anchorId="3311E1C8" wp14:editId="500F853B">
            <wp:extent cx="9144" cy="9144"/>
            <wp:effectExtent l="0" t="0" r="0" b="0"/>
            <wp:docPr id="1307484" name="Picture 1307484"/>
            <wp:cNvGraphicFramePr/>
            <a:graphic xmlns:a="http://schemas.openxmlformats.org/drawingml/2006/main">
              <a:graphicData uri="http://schemas.openxmlformats.org/drawingml/2006/picture">
                <pic:pic xmlns:pic="http://schemas.openxmlformats.org/drawingml/2006/picture">
                  <pic:nvPicPr>
                    <pic:cNvPr id="1307484" name="Picture 1307484"/>
                    <pic:cNvPicPr/>
                  </pic:nvPicPr>
                  <pic:blipFill>
                    <a:blip r:embed="rId117"/>
                    <a:stretch>
                      <a:fillRect/>
                    </a:stretch>
                  </pic:blipFill>
                  <pic:spPr>
                    <a:xfrm>
                      <a:off x="0" y="0"/>
                      <a:ext cx="9144" cy="9144"/>
                    </a:xfrm>
                    <a:prstGeom prst="rect">
                      <a:avLst/>
                    </a:prstGeom>
                  </pic:spPr>
                </pic:pic>
              </a:graphicData>
            </a:graphic>
          </wp:inline>
        </w:drawing>
      </w:r>
      <w:r>
        <w:rPr>
          <w:sz w:val="66"/>
        </w:rPr>
        <w:t>1</w:t>
      </w:r>
    </w:p>
    <w:p w14:paraId="22462F41" w14:textId="77777777" w:rsidR="00053D93" w:rsidRDefault="00260B75">
      <w:pPr>
        <w:spacing w:after="56" w:line="269" w:lineRule="auto"/>
        <w:ind w:left="1673" w:right="14" w:hanging="3"/>
        <w:jc w:val="both"/>
      </w:pPr>
      <w:r>
        <w:rPr>
          <w:sz w:val="26"/>
        </w:rPr>
        <w:t>b. El 10 de septiembre de 2024, el Despacho Superior improbó lo actuado por la junta de licitación (Resolución 3545-2024), publicado el 11 de septiembre de 2024.</w:t>
      </w:r>
    </w:p>
    <w:p w14:paraId="798F9F96" w14:textId="77777777" w:rsidR="00053D93" w:rsidRDefault="00260B75">
      <w:pPr>
        <w:pStyle w:val="Ttulo4"/>
        <w:spacing w:after="0" w:line="259" w:lineRule="auto"/>
        <w:ind w:left="24" w:hanging="10"/>
        <w:jc w:val="left"/>
      </w:pPr>
      <w:r>
        <w:rPr>
          <w:sz w:val="36"/>
        </w:rPr>
        <w:t>-1</w:t>
      </w:r>
    </w:p>
    <w:p w14:paraId="15EA2891" w14:textId="77777777" w:rsidR="00053D93" w:rsidRDefault="00260B75">
      <w:pPr>
        <w:numPr>
          <w:ilvl w:val="0"/>
          <w:numId w:val="27"/>
        </w:numPr>
        <w:spacing w:after="412" w:line="269" w:lineRule="auto"/>
        <w:ind w:right="14" w:firstLine="1678"/>
        <w:jc w:val="both"/>
      </w:pPr>
      <w:r>
        <w:rPr>
          <w:sz w:val="26"/>
        </w:rPr>
        <w:t>El 18 de septiembre de 2024, la junta de licitación solicitó aclaraciones a las -1 empresas participantes en el evento.</w:t>
      </w:r>
    </w:p>
    <w:p w14:paraId="53230BE1" w14:textId="77777777" w:rsidR="00053D93" w:rsidRDefault="00260B75">
      <w:pPr>
        <w:numPr>
          <w:ilvl w:val="0"/>
          <w:numId w:val="27"/>
        </w:numPr>
        <w:spacing w:after="191" w:line="217" w:lineRule="auto"/>
        <w:ind w:right="14" w:firstLine="1678"/>
        <w:jc w:val="both"/>
      </w:pPr>
      <w:r>
        <w:rPr>
          <w:sz w:val="26"/>
        </w:rPr>
        <w:t xml:space="preserve">El 20 de septiembre de 2024 la junta de licitación confirmó la adjudicación por </w:t>
      </w:r>
      <w:r>
        <w:rPr>
          <w:noProof/>
        </w:rPr>
        <mc:AlternateContent>
          <mc:Choice Requires="wpg">
            <w:drawing>
              <wp:inline distT="0" distB="0" distL="0" distR="0" wp14:anchorId="7E76FE86" wp14:editId="360F4F92">
                <wp:extent cx="150876" cy="288037"/>
                <wp:effectExtent l="0" t="0" r="0" b="0"/>
                <wp:docPr id="2457858" name="Group 2457858"/>
                <wp:cNvGraphicFramePr/>
                <a:graphic xmlns:a="http://schemas.openxmlformats.org/drawingml/2006/main">
                  <a:graphicData uri="http://schemas.microsoft.com/office/word/2010/wordprocessingGroup">
                    <wpg:wgp>
                      <wpg:cNvGrpSpPr/>
                      <wpg:grpSpPr>
                        <a:xfrm>
                          <a:off x="0" y="0"/>
                          <a:ext cx="150876" cy="288037"/>
                          <a:chOff x="0" y="0"/>
                          <a:chExt cx="150876" cy="288037"/>
                        </a:xfrm>
                      </wpg:grpSpPr>
                      <wps:wsp>
                        <wps:cNvPr id="1305141" name="Rectangle 1305141"/>
                        <wps:cNvSpPr/>
                        <wps:spPr>
                          <a:xfrm>
                            <a:off x="0" y="0"/>
                            <a:ext cx="200665" cy="383089"/>
                          </a:xfrm>
                          <a:prstGeom prst="rect">
                            <a:avLst/>
                          </a:prstGeom>
                          <a:ln>
                            <a:noFill/>
                          </a:ln>
                        </wps:spPr>
                        <wps:txbx>
                          <w:txbxContent>
                            <w:p w14:paraId="7C0F6710" w14:textId="77777777" w:rsidR="00053D93" w:rsidRDefault="00260B75">
                              <w:r>
                                <w:rPr>
                                  <w:sz w:val="92"/>
                                </w:rPr>
                                <w:t>1</w:t>
                              </w:r>
                            </w:p>
                          </w:txbxContent>
                        </wps:txbx>
                        <wps:bodyPr horzOverflow="overflow" vert="horz" lIns="0" tIns="0" rIns="0" bIns="0" rtlCol="0">
                          <a:noAutofit/>
                        </wps:bodyPr>
                      </wps:wsp>
                    </wpg:wgp>
                  </a:graphicData>
                </a:graphic>
              </wp:inline>
            </w:drawing>
          </mc:Choice>
          <mc:Fallback>
            <w:pict>
              <v:group w14:anchorId="7E76FE86" id="Group 2457858" o:spid="_x0000_s1835" style="width:11.9pt;height:22.7pt;mso-position-horizontal-relative:char;mso-position-vertical-relative:line" coordsize="150876,288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">
                <v:rect id="Rectangle 1305141" o:spid="_x0000_s1836" style="position:absolute;width:200665;height:38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" filled="f" stroked="f">
                  <v:textbox inset="0,0,0,0">
                    <w:txbxContent>
                      <w:p w14:paraId="7C0F6710" w14:textId="77777777" w:rsidR="00053D93" w:rsidRDefault="00260B75">
                        <w:r>
                          <w:rPr>
                            <w:sz w:val="92"/>
                          </w:rPr>
                          <w:t>1</w:t>
                        </w:r>
                      </w:p>
                    </w:txbxContent>
                  </v:textbox>
                </v:rect>
                <w10:anchorlock/>
              </v:group>
            </w:pict>
          </mc:Fallback>
        </mc:AlternateContent>
      </w:r>
      <w:r>
        <w:rPr>
          <w:sz w:val="26"/>
        </w:rPr>
        <w:t xml:space="preserve"> medio del Acta 134-2024.</w:t>
      </w:r>
    </w:p>
    <w:p w14:paraId="028BA257" w14:textId="77777777" w:rsidR="00053D93" w:rsidRDefault="00260B75">
      <w:pPr>
        <w:numPr>
          <w:ilvl w:val="0"/>
          <w:numId w:val="27"/>
        </w:numPr>
        <w:spacing w:after="4" w:line="216" w:lineRule="auto"/>
        <w:ind w:right="14" w:firstLine="1678"/>
        <w:jc w:val="both"/>
      </w:pPr>
      <w:r>
        <w:rPr>
          <w:sz w:val="26"/>
        </w:rPr>
        <w:t xml:space="preserve">Por medio de la Resolución 3826-2024, de fecha 01 de octubre de 2024, las </w:t>
      </w:r>
      <w:r>
        <w:rPr>
          <w:noProof/>
        </w:rPr>
        <w:drawing>
          <wp:inline distT="0" distB="0" distL="0" distR="0" wp14:anchorId="046C554E" wp14:editId="4B114CD4">
            <wp:extent cx="45720" cy="9144"/>
            <wp:effectExtent l="0" t="0" r="0" b="0"/>
            <wp:docPr id="1307485" name="Picture 1307485"/>
            <wp:cNvGraphicFramePr/>
            <a:graphic xmlns:a="http://schemas.openxmlformats.org/drawingml/2006/main">
              <a:graphicData uri="http://schemas.openxmlformats.org/drawingml/2006/picture">
                <pic:pic xmlns:pic="http://schemas.openxmlformats.org/drawingml/2006/picture">
                  <pic:nvPicPr>
                    <pic:cNvPr id="1307485" name="Picture 1307485"/>
                    <pic:cNvPicPr/>
                  </pic:nvPicPr>
                  <pic:blipFill>
                    <a:blip r:embed="rId1747"/>
                    <a:stretch>
                      <a:fillRect/>
                    </a:stretch>
                  </pic:blipFill>
                  <pic:spPr>
                    <a:xfrm>
                      <a:off x="0" y="0"/>
                      <a:ext cx="45720" cy="9144"/>
                    </a:xfrm>
                    <a:prstGeom prst="rect">
                      <a:avLst/>
                    </a:prstGeom>
                  </pic:spPr>
                </pic:pic>
              </a:graphicData>
            </a:graphic>
          </wp:inline>
        </w:drawing>
      </w:r>
      <w:r>
        <w:rPr>
          <w:sz w:val="26"/>
        </w:rPr>
        <w:t>1 autoridades superiores aprueban la adjudicación realizada por la junta, publicada</w:t>
      </w:r>
    </w:p>
    <w:p w14:paraId="41DF90CA" w14:textId="77777777" w:rsidR="00053D93" w:rsidRDefault="00260B75">
      <w:pPr>
        <w:spacing w:after="654" w:line="269" w:lineRule="auto"/>
        <w:ind w:left="1666" w:right="14" w:hanging="3"/>
        <w:jc w:val="both"/>
      </w:pPr>
      <w:r>
        <w:rPr>
          <w:sz w:val="26"/>
        </w:rPr>
        <w:t>el 03 de octubre de 2024.</w:t>
      </w:r>
    </w:p>
    <w:p w14:paraId="38C25D2B" w14:textId="77777777" w:rsidR="00053D93" w:rsidRDefault="00260B75">
      <w:pPr>
        <w:tabs>
          <w:tab w:val="right" w:pos="10181"/>
        </w:tabs>
        <w:spacing w:after="4" w:line="266" w:lineRule="auto"/>
      </w:pPr>
      <w:r>
        <w:rPr>
          <w:sz w:val="28"/>
        </w:rPr>
        <w:t>1</w:t>
      </w:r>
      <w:r>
        <w:rPr>
          <w:sz w:val="28"/>
        </w:rPr>
        <w:tab/>
        <w:t>f. La firma del Contrato Administrativo NÚMERO 55-2024-DIGECADE-L, se realizó</w:t>
      </w:r>
    </w:p>
    <w:p w14:paraId="137D058D" w14:textId="77777777" w:rsidR="00053D93" w:rsidRDefault="00260B75">
      <w:pPr>
        <w:spacing w:after="110" w:line="269" w:lineRule="auto"/>
        <w:ind w:left="1666" w:right="14" w:hanging="3"/>
        <w:jc w:val="both"/>
      </w:pPr>
      <w:r>
        <w:rPr>
          <w:sz w:val="26"/>
        </w:rPr>
        <w:t>el día 4 de noviembre de 2024.</w:t>
      </w:r>
    </w:p>
    <w:p w14:paraId="3E4ABE46" w14:textId="77777777" w:rsidR="00053D93" w:rsidRDefault="00260B75">
      <w:pPr>
        <w:pStyle w:val="Ttulo4"/>
        <w:spacing w:after="0" w:line="259" w:lineRule="auto"/>
        <w:ind w:left="17" w:right="29" w:hanging="10"/>
        <w:jc w:val="left"/>
      </w:pPr>
      <w:r>
        <w:rPr>
          <w:sz w:val="38"/>
        </w:rPr>
        <w:t>-1</w:t>
      </w:r>
    </w:p>
    <w:tbl>
      <w:tblPr>
        <w:tblStyle w:val="TableGrid"/>
        <w:tblW w:w="9418" w:type="dxa"/>
        <w:tblInd w:w="713" w:type="dxa"/>
        <w:tblLook w:val="04A0" w:firstRow="1" w:lastRow="0" w:firstColumn="1" w:lastColumn="0" w:noHBand="0" w:noVBand="1"/>
      </w:tblPr>
      <w:tblGrid>
        <w:gridCol w:w="1240"/>
        <w:gridCol w:w="8227"/>
      </w:tblGrid>
      <w:tr w:rsidR="00053D93" w14:paraId="559C3445" w14:textId="77777777">
        <w:trPr>
          <w:trHeight w:val="648"/>
        </w:trPr>
        <w:tc>
          <w:tcPr>
            <w:tcW w:w="1719" w:type="dxa"/>
            <w:tcBorders>
              <w:top w:val="nil"/>
              <w:left w:val="nil"/>
              <w:bottom w:val="nil"/>
              <w:right w:val="nil"/>
            </w:tcBorders>
          </w:tcPr>
          <w:p w14:paraId="54726B48" w14:textId="77777777" w:rsidR="00053D93" w:rsidRDefault="00260B75">
            <w:r>
              <w:rPr>
                <w:noProof/>
              </w:rPr>
              <w:drawing>
                <wp:inline distT="0" distB="0" distL="0" distR="0" wp14:anchorId="71BD4365" wp14:editId="04CF667E">
                  <wp:extent cx="1065276" cy="411480"/>
                  <wp:effectExtent l="0" t="0" r="0" b="0"/>
                  <wp:docPr id="1307570" name="Picture 1307570"/>
                  <wp:cNvGraphicFramePr/>
                  <a:graphic xmlns:a="http://schemas.openxmlformats.org/drawingml/2006/main">
                    <a:graphicData uri="http://schemas.openxmlformats.org/drawingml/2006/picture">
                      <pic:pic xmlns:pic="http://schemas.openxmlformats.org/drawingml/2006/picture">
                        <pic:nvPicPr>
                          <pic:cNvPr id="1307570" name="Picture 1307570"/>
                          <pic:cNvPicPr/>
                        </pic:nvPicPr>
                        <pic:blipFill>
                          <a:blip r:embed="rId1748"/>
                          <a:stretch>
                            <a:fillRect/>
                          </a:stretch>
                        </pic:blipFill>
                        <pic:spPr>
                          <a:xfrm>
                            <a:off x="0" y="0"/>
                            <a:ext cx="1065276" cy="411480"/>
                          </a:xfrm>
                          <a:prstGeom prst="rect">
                            <a:avLst/>
                          </a:prstGeom>
                        </pic:spPr>
                      </pic:pic>
                    </a:graphicData>
                  </a:graphic>
                </wp:inline>
              </w:drawing>
            </w:r>
          </w:p>
        </w:tc>
        <w:tc>
          <w:tcPr>
            <w:tcW w:w="7699" w:type="dxa"/>
            <w:tcBorders>
              <w:top w:val="nil"/>
              <w:left w:val="nil"/>
              <w:bottom w:val="nil"/>
              <w:right w:val="nil"/>
            </w:tcBorders>
          </w:tcPr>
          <w:p w14:paraId="448A798E" w14:textId="77777777" w:rsidR="00053D93" w:rsidRDefault="00053D93">
            <w:pPr>
              <w:ind w:left="-2749" w:right="10447"/>
            </w:pPr>
          </w:p>
          <w:tbl>
            <w:tblPr>
              <w:tblStyle w:val="TableGrid"/>
              <w:tblW w:w="7657" w:type="dxa"/>
              <w:tblInd w:w="41" w:type="dxa"/>
              <w:tblCellMar>
                <w:top w:w="25" w:type="dxa"/>
                <w:left w:w="1775" w:type="dxa"/>
                <w:right w:w="115" w:type="dxa"/>
              </w:tblCellMar>
              <w:tblLook w:val="04A0" w:firstRow="1" w:lastRow="0" w:firstColumn="1" w:lastColumn="0" w:noHBand="0" w:noVBand="1"/>
            </w:tblPr>
            <w:tblGrid>
              <w:gridCol w:w="7657"/>
            </w:tblGrid>
            <w:tr w:rsidR="00053D93" w14:paraId="59E48BDD" w14:textId="77777777">
              <w:trPr>
                <w:trHeight w:val="50"/>
              </w:trPr>
              <w:tc>
                <w:tcPr>
                  <w:tcW w:w="7657" w:type="dxa"/>
                  <w:tcBorders>
                    <w:top w:val="nil"/>
                    <w:left w:val="single" w:sz="2" w:space="0" w:color="000000"/>
                    <w:bottom w:val="single" w:sz="2" w:space="0" w:color="000000"/>
                    <w:right w:val="nil"/>
                  </w:tcBorders>
                </w:tcPr>
                <w:p w14:paraId="0F66129B" w14:textId="77777777" w:rsidR="00053D93" w:rsidRDefault="00053D93"/>
              </w:tc>
            </w:tr>
            <w:tr w:rsidR="00053D93" w14:paraId="160D6FB0" w14:textId="77777777">
              <w:trPr>
                <w:trHeight w:val="590"/>
              </w:trPr>
              <w:tc>
                <w:tcPr>
                  <w:tcW w:w="7657" w:type="dxa"/>
                  <w:tcBorders>
                    <w:top w:val="single" w:sz="2" w:space="0" w:color="000000"/>
                    <w:left w:val="single" w:sz="2" w:space="0" w:color="000000"/>
                    <w:bottom w:val="nil"/>
                    <w:right w:val="nil"/>
                  </w:tcBorders>
                </w:tcPr>
                <w:p w14:paraId="2FD68909" w14:textId="77777777" w:rsidR="00053D93" w:rsidRDefault="00260B75">
                  <w:pPr>
                    <w:ind w:left="842"/>
                  </w:pPr>
                  <w:r>
                    <w:rPr>
                      <w:sz w:val="14"/>
                    </w:rPr>
                    <w:t>MINISTERIO DE EDUCACION</w:t>
                  </w:r>
                </w:p>
                <w:p w14:paraId="5453D963" w14:textId="77777777" w:rsidR="00053D93" w:rsidRDefault="00260B75">
                  <w:pPr>
                    <w:ind w:left="338"/>
                  </w:pPr>
                  <w:r>
                    <w:rPr>
                      <w:sz w:val="14"/>
                    </w:rPr>
                    <w:t>AUDITORIA FINANCIERA Y DE CUMPLIMIENTO</w:t>
                  </w:r>
                </w:p>
                <w:p w14:paraId="2FC790DE" w14:textId="77777777" w:rsidR="00053D93" w:rsidRDefault="00260B75">
                  <w:r>
                    <w:rPr>
                      <w:sz w:val="14"/>
                    </w:rPr>
                    <w:t>PERIODO DEL 01 DE ENERO AL 31 DE DICIEMBRE DE 2024</w:t>
                  </w:r>
                </w:p>
              </w:tc>
            </w:tr>
          </w:tbl>
          <w:p w14:paraId="1C828104" w14:textId="77777777" w:rsidR="00053D93" w:rsidRDefault="00053D93"/>
        </w:tc>
      </w:tr>
    </w:tbl>
    <w:p w14:paraId="648E0F49" w14:textId="77777777" w:rsidR="00053D93" w:rsidRDefault="00260B75">
      <w:pPr>
        <w:tabs>
          <w:tab w:val="right" w:pos="10181"/>
        </w:tabs>
        <w:spacing w:after="4" w:line="269" w:lineRule="auto"/>
      </w:pPr>
      <w:r>
        <w:rPr>
          <w:noProof/>
        </w:rPr>
        <w:drawing>
          <wp:anchor distT="0" distB="0" distL="114300" distR="114300" simplePos="0" relativeHeight="252333056" behindDoc="0" locked="0" layoutInCell="1" allowOverlap="0" wp14:anchorId="239B995C" wp14:editId="235730FF">
            <wp:simplePos x="0" y="0"/>
            <wp:positionH relativeFrom="column">
              <wp:posOffset>795528</wp:posOffset>
            </wp:positionH>
            <wp:positionV relativeFrom="paragraph">
              <wp:posOffset>-77041</wp:posOffset>
            </wp:positionV>
            <wp:extent cx="6195059" cy="45720"/>
            <wp:effectExtent l="0" t="0" r="0" b="0"/>
            <wp:wrapSquare wrapText="bothSides"/>
            <wp:docPr id="2459009" name="Picture 2459009"/>
            <wp:cNvGraphicFramePr/>
            <a:graphic xmlns:a="http://schemas.openxmlformats.org/drawingml/2006/main">
              <a:graphicData uri="http://schemas.openxmlformats.org/drawingml/2006/picture">
                <pic:pic xmlns:pic="http://schemas.openxmlformats.org/drawingml/2006/picture">
                  <pic:nvPicPr>
                    <pic:cNvPr id="2459009" name="Picture 2459009"/>
                    <pic:cNvPicPr/>
                  </pic:nvPicPr>
                  <pic:blipFill>
                    <a:blip r:embed="rId1749"/>
                    <a:stretch>
                      <a:fillRect/>
                    </a:stretch>
                  </pic:blipFill>
                  <pic:spPr>
                    <a:xfrm>
                      <a:off x="0" y="0"/>
                      <a:ext cx="6195059" cy="45720"/>
                    </a:xfrm>
                    <a:prstGeom prst="rect">
                      <a:avLst/>
                    </a:prstGeom>
                  </pic:spPr>
                </pic:pic>
              </a:graphicData>
            </a:graphic>
          </wp:anchor>
        </w:drawing>
      </w:r>
      <w:r>
        <w:rPr>
          <w:noProof/>
        </w:rPr>
        <w:drawing>
          <wp:anchor distT="0" distB="0" distL="114300" distR="114300" simplePos="0" relativeHeight="252334080" behindDoc="0" locked="0" layoutInCell="1" allowOverlap="0" wp14:anchorId="62FF608E" wp14:editId="7A281115">
            <wp:simplePos x="0" y="0"/>
            <wp:positionH relativeFrom="column">
              <wp:posOffset>-41147</wp:posOffset>
            </wp:positionH>
            <wp:positionV relativeFrom="paragraph">
              <wp:posOffset>-49609</wp:posOffset>
            </wp:positionV>
            <wp:extent cx="50292" cy="9144"/>
            <wp:effectExtent l="0" t="0" r="0" b="0"/>
            <wp:wrapSquare wrapText="bothSides"/>
            <wp:docPr id="1310897" name="Picture 1310897"/>
            <wp:cNvGraphicFramePr/>
            <a:graphic xmlns:a="http://schemas.openxmlformats.org/drawingml/2006/main">
              <a:graphicData uri="http://schemas.openxmlformats.org/drawingml/2006/picture">
                <pic:pic xmlns:pic="http://schemas.openxmlformats.org/drawingml/2006/picture">
                  <pic:nvPicPr>
                    <pic:cNvPr id="1310897" name="Picture 1310897"/>
                    <pic:cNvPicPr/>
                  </pic:nvPicPr>
                  <pic:blipFill>
                    <a:blip r:embed="rId1750"/>
                    <a:stretch>
                      <a:fillRect/>
                    </a:stretch>
                  </pic:blipFill>
                  <pic:spPr>
                    <a:xfrm>
                      <a:off x="0" y="0"/>
                      <a:ext cx="50292" cy="9144"/>
                    </a:xfrm>
                    <a:prstGeom prst="rect">
                      <a:avLst/>
                    </a:prstGeom>
                  </pic:spPr>
                </pic:pic>
              </a:graphicData>
            </a:graphic>
          </wp:anchor>
        </w:drawing>
      </w:r>
      <w:r>
        <w:rPr>
          <w:sz w:val="26"/>
        </w:rPr>
        <w:t>1</w:t>
      </w:r>
      <w:r>
        <w:rPr>
          <w:sz w:val="26"/>
        </w:rPr>
        <w:tab/>
        <w:t>g. La aprobación del Contrato Administrativo No. 55-2024-DIGECADE-L por parte</w:t>
      </w:r>
    </w:p>
    <w:p w14:paraId="38ED43A7" w14:textId="77777777" w:rsidR="00053D93" w:rsidRDefault="00260B75">
      <w:pPr>
        <w:spacing w:after="4" w:line="269" w:lineRule="auto"/>
        <w:ind w:left="1681" w:right="14" w:hanging="3"/>
        <w:jc w:val="both"/>
      </w:pPr>
      <w:r>
        <w:rPr>
          <w:sz w:val="26"/>
        </w:rPr>
        <w:t>de las autoridades superiores fue por medio del Acuerdo Ministerial No.</w:t>
      </w:r>
    </w:p>
    <w:p w14:paraId="0149393C" w14:textId="77777777" w:rsidR="00053D93" w:rsidRDefault="00260B75">
      <w:pPr>
        <w:spacing w:after="509" w:line="269" w:lineRule="auto"/>
        <w:ind w:left="60" w:right="14" w:hanging="3"/>
        <w:jc w:val="both"/>
      </w:pPr>
      <w:r>
        <w:rPr>
          <w:noProof/>
        </w:rPr>
        <mc:AlternateContent>
          <mc:Choice Requires="wpg">
            <w:drawing>
              <wp:anchor distT="0" distB="0" distL="114300" distR="114300" simplePos="0" relativeHeight="252335104" behindDoc="0" locked="0" layoutInCell="1" allowOverlap="1" wp14:anchorId="6E24493D" wp14:editId="011A97AF">
                <wp:simplePos x="0" y="0"/>
                <wp:positionH relativeFrom="column">
                  <wp:posOffset>32004</wp:posOffset>
                </wp:positionH>
                <wp:positionV relativeFrom="paragraph">
                  <wp:posOffset>-19815</wp:posOffset>
                </wp:positionV>
                <wp:extent cx="118872" cy="288036"/>
                <wp:effectExtent l="0" t="0" r="0" b="0"/>
                <wp:wrapSquare wrapText="bothSides"/>
                <wp:docPr id="2457874" name="Group 2457874"/>
                <wp:cNvGraphicFramePr/>
                <a:graphic xmlns:a="http://schemas.openxmlformats.org/drawingml/2006/main">
                  <a:graphicData uri="http://schemas.microsoft.com/office/word/2010/wordprocessingGroup">
                    <wpg:wgp>
                      <wpg:cNvGrpSpPr/>
                      <wpg:grpSpPr>
                        <a:xfrm>
                          <a:off x="0" y="0"/>
                          <a:ext cx="118872" cy="288036"/>
                          <a:chOff x="0" y="0"/>
                          <a:chExt cx="118872" cy="288036"/>
                        </a:xfrm>
                      </wpg:grpSpPr>
                      <wps:wsp>
                        <wps:cNvPr id="1308157" name="Rectangle 1308157"/>
                        <wps:cNvSpPr/>
                        <wps:spPr>
                          <a:xfrm>
                            <a:off x="0" y="0"/>
                            <a:ext cx="158100" cy="383088"/>
                          </a:xfrm>
                          <a:prstGeom prst="rect">
                            <a:avLst/>
                          </a:prstGeom>
                          <a:ln>
                            <a:noFill/>
                          </a:ln>
                        </wps:spPr>
                        <wps:txbx>
                          <w:txbxContent>
                            <w:p w14:paraId="576569CA"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6E24493D" id="Group 2457874" o:spid="_x0000_s1837" style="position:absolute;left:0;text-align:left;margin-left:2.5pt;margin-top:-1.55pt;width:9.35pt;height:22.7pt;z-index:252335104;mso-position-horizontal-relative:text;mso-position-vertical-relative:text" coordsize="118872,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">
                <v:rect id="Rectangle 1308157" o:spid="_x0000_s1838" style="position:absolute;width:158100;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" filled="f" stroked="f">
                  <v:textbox inset="0,0,0,0">
                    <w:txbxContent>
                      <w:p w14:paraId="576569CA" w14:textId="77777777" w:rsidR="00053D93" w:rsidRDefault="00260B75">
                        <w:r>
                          <w:rPr>
                            <w:sz w:val="72"/>
                          </w:rPr>
                          <w:t>1</w:t>
                        </w:r>
                      </w:p>
                    </w:txbxContent>
                  </v:textbox>
                </v:rect>
                <w10:wrap type="square"/>
              </v:group>
            </w:pict>
          </mc:Fallback>
        </mc:AlternateContent>
      </w:r>
      <w:r>
        <w:rPr>
          <w:sz w:val="26"/>
        </w:rPr>
        <w:t>3637-2024, con fecha 6 de diciembre de 2024, publicado el día 10 de diciembre de 2024, surtiendo efectos el 1 1 de diciembre de 2024.</w:t>
      </w:r>
    </w:p>
    <w:p w14:paraId="712564EC" w14:textId="77777777" w:rsidR="00053D93" w:rsidRDefault="00260B75">
      <w:pPr>
        <w:spacing w:after="4" w:line="409" w:lineRule="auto"/>
        <w:ind w:left="1706" w:right="14" w:hanging="1649"/>
        <w:jc w:val="both"/>
      </w:pPr>
      <w:r>
        <w:rPr>
          <w:noProof/>
        </w:rPr>
        <w:drawing>
          <wp:inline distT="0" distB="0" distL="0" distR="0" wp14:anchorId="7439C50D" wp14:editId="67497191">
            <wp:extent cx="9144" cy="13716"/>
            <wp:effectExtent l="0" t="0" r="0" b="0"/>
            <wp:docPr id="1310898" name="Picture 1310898"/>
            <wp:cNvGraphicFramePr/>
            <a:graphic xmlns:a="http://schemas.openxmlformats.org/drawingml/2006/main">
              <a:graphicData uri="http://schemas.openxmlformats.org/drawingml/2006/picture">
                <pic:pic xmlns:pic="http://schemas.openxmlformats.org/drawingml/2006/picture">
                  <pic:nvPicPr>
                    <pic:cNvPr id="1310898" name="Picture 1310898"/>
                    <pic:cNvPicPr/>
                  </pic:nvPicPr>
                  <pic:blipFill>
                    <a:blip r:embed="rId49"/>
                    <a:stretch>
                      <a:fillRect/>
                    </a:stretch>
                  </pic:blipFill>
                  <pic:spPr>
                    <a:xfrm>
                      <a:off x="0" y="0"/>
                      <a:ext cx="9144" cy="13716"/>
                    </a:xfrm>
                    <a:prstGeom prst="rect">
                      <a:avLst/>
                    </a:prstGeom>
                  </pic:spPr>
                </pic:pic>
              </a:graphicData>
            </a:graphic>
          </wp:inline>
        </w:drawing>
      </w:r>
      <w:r>
        <w:rPr>
          <w:sz w:val="26"/>
        </w:rPr>
        <w:t>1 h. Por medio de la Resolución 423-2025, de fecha 1 1 de febrero de 2025, las autoridades superiores aprobaron una prórroga de 15 dias al Contrato</w:t>
      </w:r>
    </w:p>
    <w:p w14:paraId="429D9F6E" w14:textId="77777777" w:rsidR="00053D93" w:rsidRDefault="00260B75">
      <w:pPr>
        <w:spacing w:after="4" w:line="266" w:lineRule="auto"/>
        <w:ind w:left="1680" w:hanging="10"/>
      </w:pPr>
      <w:r>
        <w:rPr>
          <w:sz w:val="28"/>
        </w:rPr>
        <w:t>Administrativo No. 55-2024-DIGECADE-L.</w:t>
      </w:r>
    </w:p>
    <w:p w14:paraId="33FA2158" w14:textId="77777777" w:rsidR="00053D93" w:rsidRDefault="00260B75">
      <w:pPr>
        <w:spacing w:after="3"/>
        <w:ind w:left="24" w:hanging="10"/>
      </w:pPr>
      <w:r>
        <w:rPr>
          <w:noProof/>
        </w:rPr>
        <w:drawing>
          <wp:inline distT="0" distB="0" distL="0" distR="0" wp14:anchorId="0796B7FF" wp14:editId="3C1D6FD4">
            <wp:extent cx="9144" cy="18288"/>
            <wp:effectExtent l="0" t="0" r="0" b="0"/>
            <wp:docPr id="1310899" name="Picture 1310899"/>
            <wp:cNvGraphicFramePr/>
            <a:graphic xmlns:a="http://schemas.openxmlformats.org/drawingml/2006/main">
              <a:graphicData uri="http://schemas.openxmlformats.org/drawingml/2006/picture">
                <pic:pic xmlns:pic="http://schemas.openxmlformats.org/drawingml/2006/picture">
                  <pic:nvPicPr>
                    <pic:cNvPr id="1310899" name="Picture 1310899"/>
                    <pic:cNvPicPr/>
                  </pic:nvPicPr>
                  <pic:blipFill>
                    <a:blip r:embed="rId1751"/>
                    <a:stretch>
                      <a:fillRect/>
                    </a:stretch>
                  </pic:blipFill>
                  <pic:spPr>
                    <a:xfrm>
                      <a:off x="0" y="0"/>
                      <a:ext cx="9144" cy="18288"/>
                    </a:xfrm>
                    <a:prstGeom prst="rect">
                      <a:avLst/>
                    </a:prstGeom>
                  </pic:spPr>
                </pic:pic>
              </a:graphicData>
            </a:graphic>
          </wp:inline>
        </w:drawing>
      </w:r>
      <w:r>
        <w:rPr>
          <w:sz w:val="72"/>
        </w:rPr>
        <w:t>1</w:t>
      </w:r>
    </w:p>
    <w:p w14:paraId="1DDDF367" w14:textId="77777777" w:rsidR="00053D93" w:rsidRDefault="00260B75">
      <w:pPr>
        <w:spacing w:after="262" w:line="269" w:lineRule="auto"/>
        <w:ind w:left="1681" w:right="14" w:hanging="3"/>
        <w:jc w:val="both"/>
      </w:pPr>
      <w:r>
        <w:rPr>
          <w:sz w:val="26"/>
        </w:rPr>
        <w:t>3. Funciones realizadas del 04 de octubre al 31 de diciembre de 2024</w:t>
      </w:r>
    </w:p>
    <w:p w14:paraId="66CF865D" w14:textId="77777777" w:rsidR="00053D93" w:rsidRDefault="00260B75">
      <w:pPr>
        <w:spacing w:after="134" w:line="269" w:lineRule="auto"/>
        <w:ind w:left="57" w:right="14" w:firstLine="1663"/>
        <w:jc w:val="both"/>
      </w:pPr>
      <w:r>
        <w:rPr>
          <w:noProof/>
        </w:rPr>
        <w:drawing>
          <wp:anchor distT="0" distB="0" distL="114300" distR="114300" simplePos="0" relativeHeight="252336128" behindDoc="0" locked="0" layoutInCell="1" allowOverlap="0" wp14:anchorId="5057E8B6" wp14:editId="57878002">
            <wp:simplePos x="0" y="0"/>
            <wp:positionH relativeFrom="page">
              <wp:posOffset>214884</wp:posOffset>
            </wp:positionH>
            <wp:positionV relativeFrom="page">
              <wp:posOffset>388620</wp:posOffset>
            </wp:positionV>
            <wp:extent cx="9144" cy="13716"/>
            <wp:effectExtent l="0" t="0" r="0" b="0"/>
            <wp:wrapTopAndBottom/>
            <wp:docPr id="1310893" name="Picture 1310893"/>
            <wp:cNvGraphicFramePr/>
            <a:graphic xmlns:a="http://schemas.openxmlformats.org/drawingml/2006/main">
              <a:graphicData uri="http://schemas.openxmlformats.org/drawingml/2006/picture">
                <pic:pic xmlns:pic="http://schemas.openxmlformats.org/drawingml/2006/picture">
                  <pic:nvPicPr>
                    <pic:cNvPr id="1310893" name="Picture 1310893"/>
                    <pic:cNvPicPr/>
                  </pic:nvPicPr>
                  <pic:blipFill>
                    <a:blip r:embed="rId49"/>
                    <a:stretch>
                      <a:fillRect/>
                    </a:stretch>
                  </pic:blipFill>
                  <pic:spPr>
                    <a:xfrm>
                      <a:off x="0" y="0"/>
                      <a:ext cx="9144" cy="13716"/>
                    </a:xfrm>
                    <a:prstGeom prst="rect">
                      <a:avLst/>
                    </a:prstGeom>
                  </pic:spPr>
                </pic:pic>
              </a:graphicData>
            </a:graphic>
          </wp:anchor>
        </w:drawing>
      </w:r>
      <w:r>
        <w:rPr>
          <w:sz w:val="26"/>
        </w:rPr>
        <w:t xml:space="preserve">De conformidad al oficio DIGECADE/SEE No. 641-2024, de fecha 04 de octubre de 2024, a la suscrita se le indica: "...debiendo organizar la ejecución de funciones </w:t>
      </w:r>
      <w:r>
        <w:rPr>
          <w:noProof/>
        </w:rPr>
        <w:drawing>
          <wp:inline distT="0" distB="0" distL="0" distR="0" wp14:anchorId="0446AA2B" wp14:editId="25FAD424">
            <wp:extent cx="13716" cy="13716"/>
            <wp:effectExtent l="0" t="0" r="0" b="0"/>
            <wp:docPr id="1310900" name="Picture 1310900"/>
            <wp:cNvGraphicFramePr/>
            <a:graphic xmlns:a="http://schemas.openxmlformats.org/drawingml/2006/main">
              <a:graphicData uri="http://schemas.openxmlformats.org/drawingml/2006/picture">
                <pic:pic xmlns:pic="http://schemas.openxmlformats.org/drawingml/2006/picture">
                  <pic:nvPicPr>
                    <pic:cNvPr id="1310900" name="Picture 1310900"/>
                    <pic:cNvPicPr/>
                  </pic:nvPicPr>
                  <pic:blipFill>
                    <a:blip r:embed="rId921"/>
                    <a:stretch>
                      <a:fillRect/>
                    </a:stretch>
                  </pic:blipFill>
                  <pic:spPr>
                    <a:xfrm>
                      <a:off x="0" y="0"/>
                      <a:ext cx="13716" cy="13716"/>
                    </a:xfrm>
                    <a:prstGeom prst="rect">
                      <a:avLst/>
                    </a:prstGeom>
                  </pic:spPr>
                </pic:pic>
              </a:graphicData>
            </a:graphic>
          </wp:inline>
        </w:drawing>
      </w:r>
      <w:r>
        <w:rPr>
          <w:sz w:val="26"/>
        </w:rPr>
        <w:t>1 técnicas y administrativas para garantizar la atención a docentes y estudiantes de este nivel educativo."; por Io cual se brindó apoyo a la Subdirección de Educación -1 Escolar en el seguimiento de las acciones propias del proceso de la licitación 1--025/2024 MINEDUC - NOG 23143320, consistentes en: a) Traslado del listado de profesionales que integran las Comisiones Receptoras Parciales y la Comisión -1 Receptora y Liquidadora; b) Gestión de entrega de las artes finales para la impresión de los libros de la serie "Descubro y aprendo"; c) Revisión y aprobación de dummies para [a impresión de los libros de la serie "Descubro y aprendo"; y d)</w:t>
      </w:r>
    </w:p>
    <w:p w14:paraId="426296B8" w14:textId="77777777" w:rsidR="00053D93" w:rsidRDefault="00260B75">
      <w:pPr>
        <w:spacing w:after="4" w:line="269" w:lineRule="auto"/>
        <w:ind w:left="115" w:right="14" w:hanging="58"/>
        <w:jc w:val="both"/>
      </w:pPr>
      <w:r>
        <w:rPr>
          <w:sz w:val="26"/>
        </w:rPr>
        <w:t>-1 Notificación de resolución No. 4595-2024 del 09 de diciembre de 2024, a los Directores Departamentales de Educación, donde se nombra a las Comisiones 1 Receptoras Parciales.</w:t>
      </w:r>
    </w:p>
    <w:p w14:paraId="5B3CF120" w14:textId="77777777" w:rsidR="00053D93" w:rsidRDefault="00260B75">
      <w:pPr>
        <w:spacing w:after="332"/>
        <w:ind w:left="22"/>
      </w:pPr>
      <w:r>
        <w:rPr>
          <w:noProof/>
        </w:rPr>
        <w:drawing>
          <wp:inline distT="0" distB="0" distL="0" distR="0" wp14:anchorId="22A93C7A" wp14:editId="5181CE2A">
            <wp:extent cx="18288" cy="9144"/>
            <wp:effectExtent l="0" t="0" r="0" b="0"/>
            <wp:docPr id="1310901" name="Picture 1310901"/>
            <wp:cNvGraphicFramePr/>
            <a:graphic xmlns:a="http://schemas.openxmlformats.org/drawingml/2006/main">
              <a:graphicData uri="http://schemas.openxmlformats.org/drawingml/2006/picture">
                <pic:pic xmlns:pic="http://schemas.openxmlformats.org/drawingml/2006/picture">
                  <pic:nvPicPr>
                    <pic:cNvPr id="1310901" name="Picture 1310901"/>
                    <pic:cNvPicPr/>
                  </pic:nvPicPr>
                  <pic:blipFill>
                    <a:blip r:embed="rId844"/>
                    <a:stretch>
                      <a:fillRect/>
                    </a:stretch>
                  </pic:blipFill>
                  <pic:spPr>
                    <a:xfrm>
                      <a:off x="0" y="0"/>
                      <a:ext cx="18288" cy="9144"/>
                    </a:xfrm>
                    <a:prstGeom prst="rect">
                      <a:avLst/>
                    </a:prstGeom>
                  </pic:spPr>
                </pic:pic>
              </a:graphicData>
            </a:graphic>
          </wp:inline>
        </w:drawing>
      </w:r>
    </w:p>
    <w:p w14:paraId="4BFB4220" w14:textId="77777777" w:rsidR="00053D93" w:rsidRDefault="00260B75">
      <w:pPr>
        <w:spacing w:after="183" w:line="269" w:lineRule="auto"/>
        <w:ind w:left="1652" w:right="14" w:hanging="3"/>
        <w:jc w:val="both"/>
      </w:pPr>
      <w:r>
        <w:rPr>
          <w:sz w:val="26"/>
        </w:rPr>
        <w:t>4. De la causa del hallazgo</w:t>
      </w:r>
    </w:p>
    <w:p w14:paraId="012495E1" w14:textId="77777777" w:rsidR="00053D93" w:rsidRDefault="00260B75">
      <w:pPr>
        <w:pStyle w:val="Ttulo5"/>
        <w:ind w:left="17" w:hanging="10"/>
      </w:pPr>
      <w:r>
        <w:rPr>
          <w:sz w:val="34"/>
        </w:rPr>
        <w:t>-1</w:t>
      </w:r>
    </w:p>
    <w:p w14:paraId="73967A74" w14:textId="77777777" w:rsidR="00053D93" w:rsidRDefault="00260B75">
      <w:pPr>
        <w:spacing w:after="4" w:line="269" w:lineRule="auto"/>
        <w:ind w:left="1666" w:right="14" w:hanging="3"/>
        <w:jc w:val="both"/>
      </w:pPr>
      <w:r>
        <w:rPr>
          <w:sz w:val="26"/>
        </w:rPr>
        <w:t>El concurso del proceso de licitación se creó el 21 de mayo de 2024, fecha en la.</w:t>
      </w:r>
    </w:p>
    <w:p w14:paraId="6EE4AA4D" w14:textId="77777777" w:rsidR="00053D93" w:rsidRDefault="00260B75">
      <w:pPr>
        <w:spacing w:after="235" w:line="269" w:lineRule="auto"/>
        <w:ind w:left="1659" w:right="14" w:hanging="3"/>
        <w:jc w:val="both"/>
      </w:pPr>
      <w:r>
        <w:rPr>
          <w:sz w:val="26"/>
        </w:rPr>
        <w:t>que no fungía como Coordinadora del Nivel de Educación Preprimaria. A partir del</w:t>
      </w:r>
    </w:p>
    <w:p w14:paraId="55664295" w14:textId="77777777" w:rsidR="00053D93" w:rsidRDefault="00260B75">
      <w:pPr>
        <w:spacing w:after="4" w:line="269" w:lineRule="auto"/>
        <w:ind w:left="60" w:right="14" w:hanging="3"/>
        <w:jc w:val="both"/>
      </w:pPr>
      <w:r>
        <w:rPr>
          <w:noProof/>
        </w:rPr>
        <w:drawing>
          <wp:inline distT="0" distB="0" distL="0" distR="0" wp14:anchorId="7BCF03C9" wp14:editId="4FD130C0">
            <wp:extent cx="18288" cy="9144"/>
            <wp:effectExtent l="0" t="0" r="0" b="0"/>
            <wp:docPr id="1310902" name="Picture 1310902"/>
            <wp:cNvGraphicFramePr/>
            <a:graphic xmlns:a="http://schemas.openxmlformats.org/drawingml/2006/main">
              <a:graphicData uri="http://schemas.openxmlformats.org/drawingml/2006/picture">
                <pic:pic xmlns:pic="http://schemas.openxmlformats.org/drawingml/2006/picture">
                  <pic:nvPicPr>
                    <pic:cNvPr id="1310902" name="Picture 1310902"/>
                    <pic:cNvPicPr/>
                  </pic:nvPicPr>
                  <pic:blipFill>
                    <a:blip r:embed="rId1752"/>
                    <a:stretch>
                      <a:fillRect/>
                    </a:stretch>
                  </pic:blipFill>
                  <pic:spPr>
                    <a:xfrm>
                      <a:off x="0" y="0"/>
                      <a:ext cx="18288" cy="9144"/>
                    </a:xfrm>
                    <a:prstGeom prst="rect">
                      <a:avLst/>
                    </a:prstGeom>
                  </pic:spPr>
                </pic:pic>
              </a:graphicData>
            </a:graphic>
          </wp:inline>
        </w:drawing>
      </w:r>
      <w:r>
        <w:rPr>
          <w:sz w:val="26"/>
        </w:rPr>
        <w:t>1 04 de octubre de 2024, fecha en la que asumí el puesto funcional de Coordinadora del Nivel de Educación Preprimaria, se les dio seguimiento a las acciones propias 1 del proceso de la licitación; siendo imposible concretar el proceso de licitación y</w:t>
      </w:r>
    </w:p>
    <w:p w14:paraId="4F153CA6" w14:textId="77777777" w:rsidR="00053D93" w:rsidRDefault="00260B75">
      <w:pPr>
        <w:spacing w:after="38"/>
      </w:pPr>
      <w:r>
        <w:rPr>
          <w:noProof/>
        </w:rPr>
        <w:drawing>
          <wp:inline distT="0" distB="0" distL="0" distR="0" wp14:anchorId="274823F9" wp14:editId="1598C25B">
            <wp:extent cx="22860" cy="13716"/>
            <wp:effectExtent l="0" t="0" r="0" b="0"/>
            <wp:docPr id="1310903" name="Picture 1310903"/>
            <wp:cNvGraphicFramePr/>
            <a:graphic xmlns:a="http://schemas.openxmlformats.org/drawingml/2006/main">
              <a:graphicData uri="http://schemas.openxmlformats.org/drawingml/2006/picture">
                <pic:pic xmlns:pic="http://schemas.openxmlformats.org/drawingml/2006/picture">
                  <pic:nvPicPr>
                    <pic:cNvPr id="1310903" name="Picture 1310903"/>
                    <pic:cNvPicPr/>
                  </pic:nvPicPr>
                  <pic:blipFill>
                    <a:blip r:embed="rId1753"/>
                    <a:stretch>
                      <a:fillRect/>
                    </a:stretch>
                  </pic:blipFill>
                  <pic:spPr>
                    <a:xfrm>
                      <a:off x="0" y="0"/>
                      <a:ext cx="22860" cy="13716"/>
                    </a:xfrm>
                    <a:prstGeom prst="rect">
                      <a:avLst/>
                    </a:prstGeom>
                  </pic:spPr>
                </pic:pic>
              </a:graphicData>
            </a:graphic>
          </wp:inline>
        </w:drawing>
      </w:r>
    </w:p>
    <w:p w14:paraId="7CC48311" w14:textId="77777777" w:rsidR="00053D93" w:rsidRDefault="00260B75">
      <w:pPr>
        <w:spacing w:after="4" w:line="269" w:lineRule="auto"/>
        <w:ind w:left="1652" w:right="14" w:hanging="3"/>
        <w:jc w:val="both"/>
      </w:pPr>
      <w:r>
        <w:rPr>
          <w:sz w:val="26"/>
        </w:rPr>
        <w:t>cumplir con la ejecución de las metas físicas que están concatenadas a las metas</w:t>
      </w:r>
    </w:p>
    <w:p w14:paraId="19E5306B" w14:textId="77777777" w:rsidR="00053D93" w:rsidRDefault="00260B75">
      <w:pPr>
        <w:spacing w:after="158" w:line="269" w:lineRule="auto"/>
        <w:ind w:left="1645" w:right="14" w:hanging="3"/>
        <w:jc w:val="both"/>
      </w:pPr>
      <w:r>
        <w:rPr>
          <w:sz w:val="26"/>
        </w:rPr>
        <w:t>financieras, en un periodo tan corto (04 de octubre al 31 de diciembre de 2024).</w:t>
      </w:r>
    </w:p>
    <w:p w14:paraId="087F3B7C" w14:textId="77777777" w:rsidR="00053D93" w:rsidRDefault="00260B75">
      <w:pPr>
        <w:spacing w:after="3"/>
        <w:ind w:left="74" w:right="3485" w:hanging="10"/>
      </w:pPr>
      <w:r>
        <w:rPr>
          <w:sz w:val="70"/>
        </w:rPr>
        <w:t>1</w:t>
      </w:r>
    </w:p>
    <w:p w14:paraId="1419C9E2" w14:textId="77777777" w:rsidR="00053D93" w:rsidRDefault="00260B75">
      <w:pPr>
        <w:spacing w:after="4" w:line="269" w:lineRule="auto"/>
        <w:ind w:left="1637" w:right="14" w:hanging="3"/>
        <w:jc w:val="both"/>
      </w:pPr>
      <w:r>
        <w:rPr>
          <w:sz w:val="26"/>
        </w:rPr>
        <w:t>Además, los plazos legales del proceso de la licitación ya están establecidos en el</w:t>
      </w:r>
    </w:p>
    <w:p w14:paraId="3C62A1AB" w14:textId="77777777" w:rsidR="00053D93" w:rsidRDefault="00260B75">
      <w:pPr>
        <w:spacing w:after="77" w:line="269" w:lineRule="auto"/>
        <w:ind w:left="57" w:right="14" w:firstLine="1642"/>
        <w:jc w:val="both"/>
      </w:pPr>
      <w:r>
        <w:rPr>
          <w:sz w:val="26"/>
        </w:rPr>
        <w:t>Decreto 57-92, del Congreso de la República de Guatemala, Ley de -1 Contrataciones del Estado; siendo la Dirección de Adquisiciones y Contrataciones -DIDECO- la dependencia cuya competencia es ejercer la rectoría de los procesos</w:t>
      </w:r>
    </w:p>
    <w:p w14:paraId="2EE0EA4C" w14:textId="77777777" w:rsidR="00053D93" w:rsidRDefault="00260B75">
      <w:pPr>
        <w:tabs>
          <w:tab w:val="center" w:pos="4817"/>
        </w:tabs>
        <w:spacing w:after="90" w:line="269" w:lineRule="auto"/>
      </w:pPr>
      <w:r>
        <w:rPr>
          <w:sz w:val="26"/>
        </w:rPr>
        <w:t>1</w:t>
      </w:r>
      <w:r>
        <w:rPr>
          <w:sz w:val="26"/>
        </w:rPr>
        <w:tab/>
        <w:t>de adquisiciones y contrataciones del Ministerio de Educación.</w:t>
      </w:r>
    </w:p>
    <w:p w14:paraId="058942E6" w14:textId="77777777" w:rsidR="00053D93" w:rsidRDefault="00260B75">
      <w:pPr>
        <w:spacing w:after="69" w:line="269" w:lineRule="auto"/>
        <w:ind w:left="1645" w:right="14" w:hanging="3"/>
        <w:jc w:val="both"/>
      </w:pPr>
      <w:r>
        <w:rPr>
          <w:sz w:val="26"/>
        </w:rPr>
        <w:t>5. Del efecto del hallazgo</w:t>
      </w:r>
    </w:p>
    <w:tbl>
      <w:tblPr>
        <w:tblStyle w:val="TableGrid"/>
        <w:tblW w:w="9418" w:type="dxa"/>
        <w:tblInd w:w="698" w:type="dxa"/>
        <w:tblLook w:val="04A0" w:firstRow="1" w:lastRow="0" w:firstColumn="1" w:lastColumn="0" w:noHBand="0" w:noVBand="1"/>
      </w:tblPr>
      <w:tblGrid>
        <w:gridCol w:w="1295"/>
        <w:gridCol w:w="8187"/>
      </w:tblGrid>
      <w:tr w:rsidR="00053D93" w14:paraId="14B4562D" w14:textId="77777777">
        <w:trPr>
          <w:trHeight w:val="648"/>
        </w:trPr>
        <w:tc>
          <w:tcPr>
            <w:tcW w:w="1775" w:type="dxa"/>
            <w:tcBorders>
              <w:top w:val="nil"/>
              <w:left w:val="nil"/>
              <w:bottom w:val="nil"/>
              <w:right w:val="nil"/>
            </w:tcBorders>
          </w:tcPr>
          <w:p w14:paraId="7DD82A7F" w14:textId="77777777" w:rsidR="00053D93" w:rsidRDefault="00260B75">
            <w:r>
              <w:rPr>
                <w:noProof/>
              </w:rPr>
              <w:drawing>
                <wp:inline distT="0" distB="0" distL="0" distR="0" wp14:anchorId="2064C7B2" wp14:editId="554DB8B3">
                  <wp:extent cx="1115568" cy="411480"/>
                  <wp:effectExtent l="0" t="0" r="0" b="0"/>
                  <wp:docPr id="1310973" name="Picture 1310973"/>
                  <wp:cNvGraphicFramePr/>
                  <a:graphic xmlns:a="http://schemas.openxmlformats.org/drawingml/2006/main">
                    <a:graphicData uri="http://schemas.openxmlformats.org/drawingml/2006/picture">
                      <pic:pic xmlns:pic="http://schemas.openxmlformats.org/drawingml/2006/picture">
                        <pic:nvPicPr>
                          <pic:cNvPr id="1310973" name="Picture 1310973"/>
                          <pic:cNvPicPr/>
                        </pic:nvPicPr>
                        <pic:blipFill>
                          <a:blip r:embed="rId1754"/>
                          <a:stretch>
                            <a:fillRect/>
                          </a:stretch>
                        </pic:blipFill>
                        <pic:spPr>
                          <a:xfrm>
                            <a:off x="0" y="0"/>
                            <a:ext cx="1115568" cy="411480"/>
                          </a:xfrm>
                          <a:prstGeom prst="rect">
                            <a:avLst/>
                          </a:prstGeom>
                        </pic:spPr>
                      </pic:pic>
                    </a:graphicData>
                  </a:graphic>
                </wp:inline>
              </w:drawing>
            </w:r>
          </w:p>
        </w:tc>
        <w:tc>
          <w:tcPr>
            <w:tcW w:w="7643" w:type="dxa"/>
            <w:tcBorders>
              <w:top w:val="nil"/>
              <w:left w:val="nil"/>
              <w:bottom w:val="nil"/>
              <w:right w:val="nil"/>
            </w:tcBorders>
          </w:tcPr>
          <w:p w14:paraId="68E34C23" w14:textId="77777777" w:rsidR="00053D93" w:rsidRDefault="00053D93">
            <w:pPr>
              <w:ind w:left="-2790" w:right="10433"/>
            </w:pPr>
          </w:p>
          <w:tbl>
            <w:tblPr>
              <w:tblStyle w:val="TableGrid"/>
              <w:tblW w:w="7625" w:type="dxa"/>
              <w:tblInd w:w="18" w:type="dxa"/>
              <w:tblCellMar>
                <w:top w:w="50" w:type="dxa"/>
                <w:left w:w="1742" w:type="dxa"/>
                <w:right w:w="115" w:type="dxa"/>
              </w:tblCellMar>
              <w:tblLook w:val="04A0" w:firstRow="1" w:lastRow="0" w:firstColumn="1" w:lastColumn="0" w:noHBand="0" w:noVBand="1"/>
            </w:tblPr>
            <w:tblGrid>
              <w:gridCol w:w="7625"/>
            </w:tblGrid>
            <w:tr w:rsidR="00053D93" w14:paraId="7EB1F36D" w14:textId="77777777">
              <w:trPr>
                <w:trHeight w:val="55"/>
              </w:trPr>
              <w:tc>
                <w:tcPr>
                  <w:tcW w:w="7625" w:type="dxa"/>
                  <w:tcBorders>
                    <w:top w:val="nil"/>
                    <w:left w:val="single" w:sz="2" w:space="0" w:color="000000"/>
                    <w:bottom w:val="single" w:sz="2" w:space="0" w:color="000000"/>
                    <w:right w:val="nil"/>
                  </w:tcBorders>
                </w:tcPr>
                <w:p w14:paraId="72ECBA3F" w14:textId="77777777" w:rsidR="00053D93" w:rsidRDefault="00053D93"/>
              </w:tc>
            </w:tr>
            <w:tr w:rsidR="00053D93" w14:paraId="50D64BCD" w14:textId="77777777">
              <w:trPr>
                <w:trHeight w:val="586"/>
              </w:trPr>
              <w:tc>
                <w:tcPr>
                  <w:tcW w:w="7625" w:type="dxa"/>
                  <w:tcBorders>
                    <w:top w:val="single" w:sz="2" w:space="0" w:color="000000"/>
                    <w:left w:val="single" w:sz="2" w:space="0" w:color="000000"/>
                    <w:bottom w:val="nil"/>
                    <w:right w:val="nil"/>
                  </w:tcBorders>
                </w:tcPr>
                <w:p w14:paraId="0BD49636" w14:textId="77777777" w:rsidR="00053D93" w:rsidRDefault="00260B75">
                  <w:pPr>
                    <w:ind w:left="835"/>
                  </w:pPr>
                  <w:r>
                    <w:rPr>
                      <w:sz w:val="14"/>
                    </w:rPr>
                    <w:t>MINISTERIO DE EDUCACION</w:t>
                  </w:r>
                </w:p>
                <w:p w14:paraId="75934199" w14:textId="77777777" w:rsidR="00053D93" w:rsidRDefault="00260B75">
                  <w:pPr>
                    <w:ind w:left="338"/>
                  </w:pPr>
                  <w:r>
                    <w:rPr>
                      <w:sz w:val="14"/>
                    </w:rPr>
                    <w:t>AUDITORIA FINANCIERA Y DE CUMPLIMIENTO</w:t>
                  </w:r>
                </w:p>
                <w:p w14:paraId="2D487C53" w14:textId="77777777" w:rsidR="00053D93" w:rsidRDefault="00260B75">
                  <w:r>
                    <w:rPr>
                      <w:sz w:val="14"/>
                    </w:rPr>
                    <w:t>PERIODO DEL 01 DE ENERO AL 31 DE DICIEMBRE DE 2024</w:t>
                  </w:r>
                </w:p>
              </w:tc>
            </w:tr>
          </w:tbl>
          <w:p w14:paraId="4826D489" w14:textId="77777777" w:rsidR="00053D93" w:rsidRDefault="00053D93"/>
        </w:tc>
      </w:tr>
    </w:tbl>
    <w:p w14:paraId="655ABDFC" w14:textId="77777777" w:rsidR="00053D93" w:rsidRDefault="00053D93">
      <w:pPr>
        <w:sectPr w:rsidR="00053D93">
          <w:headerReference w:type="even" r:id="rId1755"/>
          <w:headerReference w:type="default" r:id="rId1756"/>
          <w:footerReference w:type="even" r:id="rId1757"/>
          <w:footerReference w:type="default" r:id="rId1758"/>
          <w:headerReference w:type="first" r:id="rId1759"/>
          <w:footerReference w:type="first" r:id="rId1760"/>
          <w:pgSz w:w="12290" w:h="15883"/>
          <w:pgMar w:top="828" w:right="1793" w:bottom="698" w:left="317" w:header="331" w:footer="720" w:gutter="0"/>
          <w:cols w:space="720"/>
          <w:titlePg/>
        </w:sectPr>
      </w:pPr>
    </w:p>
    <w:p w14:paraId="65374AE1" w14:textId="77777777" w:rsidR="00053D93" w:rsidRDefault="00260B75">
      <w:pPr>
        <w:spacing w:after="179" w:line="339" w:lineRule="auto"/>
        <w:ind w:left="5280" w:right="1735" w:hanging="10"/>
        <w:jc w:val="center"/>
      </w:pPr>
      <w:r>
        <w:rPr>
          <w:sz w:val="14"/>
        </w:rPr>
        <w:t xml:space="preserve">OE </w:t>
      </w:r>
    </w:p>
    <w:p w14:paraId="15408DE1" w14:textId="77777777" w:rsidR="00053D93" w:rsidRDefault="00260B75">
      <w:pPr>
        <w:spacing w:after="27"/>
        <w:ind w:left="1174" w:right="-677"/>
      </w:pPr>
      <w:r>
        <w:rPr>
          <w:noProof/>
        </w:rPr>
        <w:drawing>
          <wp:inline distT="0" distB="0" distL="0" distR="0" wp14:anchorId="21B39E58" wp14:editId="02CE5E5B">
            <wp:extent cx="6135623" cy="41148"/>
            <wp:effectExtent l="0" t="0" r="0" b="0"/>
            <wp:docPr id="2459011" name="Picture 2459011"/>
            <wp:cNvGraphicFramePr/>
            <a:graphic xmlns:a="http://schemas.openxmlformats.org/drawingml/2006/main">
              <a:graphicData uri="http://schemas.openxmlformats.org/drawingml/2006/picture">
                <pic:pic xmlns:pic="http://schemas.openxmlformats.org/drawingml/2006/picture">
                  <pic:nvPicPr>
                    <pic:cNvPr id="2459011" name="Picture 2459011"/>
                    <pic:cNvPicPr/>
                  </pic:nvPicPr>
                  <pic:blipFill>
                    <a:blip r:embed="rId1761"/>
                    <a:stretch>
                      <a:fillRect/>
                    </a:stretch>
                  </pic:blipFill>
                  <pic:spPr>
                    <a:xfrm>
                      <a:off x="0" y="0"/>
                      <a:ext cx="6135623" cy="41148"/>
                    </a:xfrm>
                    <a:prstGeom prst="rect">
                      <a:avLst/>
                    </a:prstGeom>
                  </pic:spPr>
                </pic:pic>
              </a:graphicData>
            </a:graphic>
          </wp:inline>
        </w:drawing>
      </w:r>
    </w:p>
    <w:p w14:paraId="688FB90B" w14:textId="77777777" w:rsidR="00053D93" w:rsidRDefault="00260B75">
      <w:pPr>
        <w:tabs>
          <w:tab w:val="right" w:pos="10166"/>
        </w:tabs>
        <w:spacing w:after="4" w:line="269" w:lineRule="auto"/>
      </w:pPr>
      <w:r>
        <w:rPr>
          <w:noProof/>
        </w:rPr>
        <w:drawing>
          <wp:inline distT="0" distB="0" distL="0" distR="0" wp14:anchorId="42066801" wp14:editId="0AD0C8E2">
            <wp:extent cx="9144" cy="18288"/>
            <wp:effectExtent l="0" t="0" r="0" b="0"/>
            <wp:docPr id="1314547" name="Picture 1314547"/>
            <wp:cNvGraphicFramePr/>
            <a:graphic xmlns:a="http://schemas.openxmlformats.org/drawingml/2006/main">
              <a:graphicData uri="http://schemas.openxmlformats.org/drawingml/2006/picture">
                <pic:pic xmlns:pic="http://schemas.openxmlformats.org/drawingml/2006/picture">
                  <pic:nvPicPr>
                    <pic:cNvPr id="1314547" name="Picture 1314547"/>
                    <pic:cNvPicPr/>
                  </pic:nvPicPr>
                  <pic:blipFill>
                    <a:blip r:embed="rId1360"/>
                    <a:stretch>
                      <a:fillRect/>
                    </a:stretch>
                  </pic:blipFill>
                  <pic:spPr>
                    <a:xfrm>
                      <a:off x="0" y="0"/>
                      <a:ext cx="9144" cy="18288"/>
                    </a:xfrm>
                    <a:prstGeom prst="rect">
                      <a:avLst/>
                    </a:prstGeom>
                  </pic:spPr>
                </pic:pic>
              </a:graphicData>
            </a:graphic>
          </wp:inline>
        </w:drawing>
      </w:r>
      <w:r>
        <w:rPr>
          <w:sz w:val="26"/>
        </w:rPr>
        <w:t>1</w:t>
      </w:r>
      <w:r>
        <w:rPr>
          <w:sz w:val="26"/>
        </w:rPr>
        <w:tab/>
        <w:t>Por medio del oficio No. DIGECADE/SEE No. 170-2025, de fecha 13 de marzo de</w:t>
      </w:r>
    </w:p>
    <w:p w14:paraId="6CBABFB3" w14:textId="77777777" w:rsidR="00053D93" w:rsidRDefault="00260B75">
      <w:pPr>
        <w:spacing w:after="107" w:line="269" w:lineRule="auto"/>
        <w:ind w:left="57" w:right="14" w:firstLine="1649"/>
        <w:jc w:val="both"/>
      </w:pPr>
      <w:r>
        <w:rPr>
          <w:noProof/>
        </w:rPr>
        <w:drawing>
          <wp:anchor distT="0" distB="0" distL="114300" distR="114300" simplePos="0" relativeHeight="252337152" behindDoc="0" locked="0" layoutInCell="1" allowOverlap="0" wp14:anchorId="06B73A68" wp14:editId="3E485304">
            <wp:simplePos x="0" y="0"/>
            <wp:positionH relativeFrom="column">
              <wp:posOffset>18288</wp:posOffset>
            </wp:positionH>
            <wp:positionV relativeFrom="paragraph">
              <wp:posOffset>328537</wp:posOffset>
            </wp:positionV>
            <wp:extent cx="4572" cy="13716"/>
            <wp:effectExtent l="0" t="0" r="0" b="0"/>
            <wp:wrapSquare wrapText="bothSides"/>
            <wp:docPr id="1314548" name="Picture 1314548"/>
            <wp:cNvGraphicFramePr/>
            <a:graphic xmlns:a="http://schemas.openxmlformats.org/drawingml/2006/main">
              <a:graphicData uri="http://schemas.openxmlformats.org/drawingml/2006/picture">
                <pic:pic xmlns:pic="http://schemas.openxmlformats.org/drawingml/2006/picture">
                  <pic:nvPicPr>
                    <pic:cNvPr id="1314548" name="Picture 1314548"/>
                    <pic:cNvPicPr/>
                  </pic:nvPicPr>
                  <pic:blipFill>
                    <a:blip r:embed="rId114"/>
                    <a:stretch>
                      <a:fillRect/>
                    </a:stretch>
                  </pic:blipFill>
                  <pic:spPr>
                    <a:xfrm>
                      <a:off x="0" y="0"/>
                      <a:ext cx="4572" cy="13716"/>
                    </a:xfrm>
                    <a:prstGeom prst="rect">
                      <a:avLst/>
                    </a:prstGeom>
                  </pic:spPr>
                </pic:pic>
              </a:graphicData>
            </a:graphic>
          </wp:anchor>
        </w:drawing>
      </w:r>
      <w:r>
        <w:rPr>
          <w:sz w:val="26"/>
        </w:rPr>
        <w:t xml:space="preserve">2025, dirigido al Auditor Gubernamental de la Contraloría General de Cuentas, se 1 según inciso e., se trasladó en formato digital las nóminas de distribución de los libros de la serie "Descubro y aprendo" para párvulos 1 , 2 y 3, a los centros educativos públicos del Nivel de Educación Preprimaria, correspondiente al ciclo </w:t>
      </w:r>
      <w:r>
        <w:rPr>
          <w:noProof/>
        </w:rPr>
        <w:drawing>
          <wp:inline distT="0" distB="0" distL="0" distR="0" wp14:anchorId="77A592DF" wp14:editId="26006DB9">
            <wp:extent cx="9144" cy="13716"/>
            <wp:effectExtent l="0" t="0" r="0" b="0"/>
            <wp:docPr id="1314549" name="Picture 1314549"/>
            <wp:cNvGraphicFramePr/>
            <a:graphic xmlns:a="http://schemas.openxmlformats.org/drawingml/2006/main">
              <a:graphicData uri="http://schemas.openxmlformats.org/drawingml/2006/picture">
                <pic:pic xmlns:pic="http://schemas.openxmlformats.org/drawingml/2006/picture">
                  <pic:nvPicPr>
                    <pic:cNvPr id="1314549" name="Picture 1314549"/>
                    <pic:cNvPicPr/>
                  </pic:nvPicPr>
                  <pic:blipFill>
                    <a:blip r:embed="rId579"/>
                    <a:stretch>
                      <a:fillRect/>
                    </a:stretch>
                  </pic:blipFill>
                  <pic:spPr>
                    <a:xfrm>
                      <a:off x="0" y="0"/>
                      <a:ext cx="9144" cy="13716"/>
                    </a:xfrm>
                    <a:prstGeom prst="rect">
                      <a:avLst/>
                    </a:prstGeom>
                  </pic:spPr>
                </pic:pic>
              </a:graphicData>
            </a:graphic>
          </wp:inline>
        </w:drawing>
      </w:r>
      <w:r>
        <w:rPr>
          <w:sz w:val="26"/>
        </w:rPr>
        <w:t>1 escolar 2024; por lo tanto, los niños sí tuvieron acceso a los libros en el año 2024.</w:t>
      </w:r>
    </w:p>
    <w:p w14:paraId="535914A9" w14:textId="77777777" w:rsidR="00053D93" w:rsidRDefault="00260B75">
      <w:pPr>
        <w:spacing w:after="659" w:line="269" w:lineRule="auto"/>
        <w:ind w:left="1673" w:right="14" w:hanging="3"/>
        <w:jc w:val="both"/>
      </w:pPr>
      <w:r>
        <w:rPr>
          <w:sz w:val="26"/>
        </w:rPr>
        <w:t>Es importante mencionar que para incrementar la calidad educativa, el docente es el responsable de desarrollar los procesos de enseñanza-aprendizaje establecidos en el Currículo Nacional Base -CNB- del Nivel de Educación Preprimaria, además de contar con el apoyo de los libros; por Eo que ambos contribuyen al desarrollo de las competencias y mejorar la calidad de vida de los estudiantes.</w:t>
      </w:r>
    </w:p>
    <w:p w14:paraId="1B7A811F" w14:textId="77777777" w:rsidR="00053D93" w:rsidRDefault="00260B75">
      <w:pPr>
        <w:tabs>
          <w:tab w:val="center" w:pos="3100"/>
        </w:tabs>
        <w:spacing w:after="4" w:line="266" w:lineRule="auto"/>
      </w:pPr>
      <w:r>
        <w:rPr>
          <w:sz w:val="28"/>
        </w:rPr>
        <w:t>1</w:t>
      </w:r>
      <w:r>
        <w:rPr>
          <w:sz w:val="28"/>
        </w:rPr>
        <w:tab/>
        <w:t>CONCLUSIÓN Y PETICIÓN</w:t>
      </w:r>
    </w:p>
    <w:p w14:paraId="45B8410D" w14:textId="77777777" w:rsidR="00053D93" w:rsidRDefault="00260B75">
      <w:pPr>
        <w:spacing w:after="4" w:line="269" w:lineRule="auto"/>
        <w:ind w:left="57" w:right="14" w:firstLine="50"/>
        <w:jc w:val="both"/>
      </w:pPr>
      <w:r>
        <w:rPr>
          <w:noProof/>
        </w:rPr>
        <w:drawing>
          <wp:anchor distT="0" distB="0" distL="114300" distR="114300" simplePos="0" relativeHeight="252338176" behindDoc="0" locked="0" layoutInCell="1" allowOverlap="0" wp14:anchorId="797E1DA8" wp14:editId="7644B2DC">
            <wp:simplePos x="0" y="0"/>
            <wp:positionH relativeFrom="page">
              <wp:posOffset>219456</wp:posOffset>
            </wp:positionH>
            <wp:positionV relativeFrom="page">
              <wp:posOffset>347472</wp:posOffset>
            </wp:positionV>
            <wp:extent cx="13716" cy="13716"/>
            <wp:effectExtent l="0" t="0" r="0" b="0"/>
            <wp:wrapTopAndBottom/>
            <wp:docPr id="1314535" name="Picture 1314535"/>
            <wp:cNvGraphicFramePr/>
            <a:graphic xmlns:a="http://schemas.openxmlformats.org/drawingml/2006/main">
              <a:graphicData uri="http://schemas.openxmlformats.org/drawingml/2006/picture">
                <pic:pic xmlns:pic="http://schemas.openxmlformats.org/drawingml/2006/picture">
                  <pic:nvPicPr>
                    <pic:cNvPr id="1314535" name="Picture 1314535"/>
                    <pic:cNvPicPr/>
                  </pic:nvPicPr>
                  <pic:blipFill>
                    <a:blip r:embed="rId921"/>
                    <a:stretch>
                      <a:fillRect/>
                    </a:stretch>
                  </pic:blipFill>
                  <pic:spPr>
                    <a:xfrm>
                      <a:off x="0" y="0"/>
                      <a:ext cx="13716" cy="13716"/>
                    </a:xfrm>
                    <a:prstGeom prst="rect">
                      <a:avLst/>
                    </a:prstGeom>
                  </pic:spPr>
                </pic:pic>
              </a:graphicData>
            </a:graphic>
          </wp:anchor>
        </w:drawing>
      </w:r>
      <w:r>
        <w:rPr>
          <w:noProof/>
        </w:rPr>
        <w:drawing>
          <wp:anchor distT="0" distB="0" distL="114300" distR="114300" simplePos="0" relativeHeight="252339200" behindDoc="0" locked="0" layoutInCell="1" allowOverlap="0" wp14:anchorId="448E9370" wp14:editId="2CBB10B9">
            <wp:simplePos x="0" y="0"/>
            <wp:positionH relativeFrom="page">
              <wp:posOffset>160020</wp:posOffset>
            </wp:positionH>
            <wp:positionV relativeFrom="page">
              <wp:posOffset>822960</wp:posOffset>
            </wp:positionV>
            <wp:extent cx="22860" cy="4572"/>
            <wp:effectExtent l="0" t="0" r="0" b="0"/>
            <wp:wrapTopAndBottom/>
            <wp:docPr id="1314543" name="Picture 1314543"/>
            <wp:cNvGraphicFramePr/>
            <a:graphic xmlns:a="http://schemas.openxmlformats.org/drawingml/2006/main">
              <a:graphicData uri="http://schemas.openxmlformats.org/drawingml/2006/picture">
                <pic:pic xmlns:pic="http://schemas.openxmlformats.org/drawingml/2006/picture">
                  <pic:nvPicPr>
                    <pic:cNvPr id="1314543" name="Picture 1314543"/>
                    <pic:cNvPicPr/>
                  </pic:nvPicPr>
                  <pic:blipFill>
                    <a:blip r:embed="rId808"/>
                    <a:stretch>
                      <a:fillRect/>
                    </a:stretch>
                  </pic:blipFill>
                  <pic:spPr>
                    <a:xfrm>
                      <a:off x="0" y="0"/>
                      <a:ext cx="22860" cy="4572"/>
                    </a:xfrm>
                    <a:prstGeom prst="rect">
                      <a:avLst/>
                    </a:prstGeom>
                  </pic:spPr>
                </pic:pic>
              </a:graphicData>
            </a:graphic>
          </wp:anchor>
        </w:drawing>
      </w:r>
      <w:r>
        <w:rPr>
          <w:noProof/>
        </w:rPr>
        <w:drawing>
          <wp:anchor distT="0" distB="0" distL="114300" distR="114300" simplePos="0" relativeHeight="252340224" behindDoc="0" locked="0" layoutInCell="1" allowOverlap="0" wp14:anchorId="1F7D454D" wp14:editId="23D86860">
            <wp:simplePos x="0" y="0"/>
            <wp:positionH relativeFrom="column">
              <wp:posOffset>13716</wp:posOffset>
            </wp:positionH>
            <wp:positionV relativeFrom="paragraph">
              <wp:posOffset>180049</wp:posOffset>
            </wp:positionV>
            <wp:extent cx="18288" cy="18288"/>
            <wp:effectExtent l="0" t="0" r="0" b="0"/>
            <wp:wrapSquare wrapText="bothSides"/>
            <wp:docPr id="1314550" name="Picture 1314550"/>
            <wp:cNvGraphicFramePr/>
            <a:graphic xmlns:a="http://schemas.openxmlformats.org/drawingml/2006/main">
              <a:graphicData uri="http://schemas.openxmlformats.org/drawingml/2006/picture">
                <pic:pic xmlns:pic="http://schemas.openxmlformats.org/drawingml/2006/picture">
                  <pic:nvPicPr>
                    <pic:cNvPr id="1314550" name="Picture 1314550"/>
                    <pic:cNvPicPr/>
                  </pic:nvPicPr>
                  <pic:blipFill>
                    <a:blip r:embed="rId1762"/>
                    <a:stretch>
                      <a:fillRect/>
                    </a:stretch>
                  </pic:blipFill>
                  <pic:spPr>
                    <a:xfrm>
                      <a:off x="0" y="0"/>
                      <a:ext cx="18288" cy="18288"/>
                    </a:xfrm>
                    <a:prstGeom prst="rect">
                      <a:avLst/>
                    </a:prstGeom>
                  </pic:spPr>
                </pic:pic>
              </a:graphicData>
            </a:graphic>
          </wp:anchor>
        </w:drawing>
      </w:r>
      <w:r>
        <w:rPr>
          <w:sz w:val="26"/>
        </w:rPr>
        <w:t xml:space="preserve">1 El incumplimiento de metas físicas y financieras relacionadas con la provisión de textos escolares, describe la condición del posible hallazgo, que se basó en el reporte número R0081561 1,rpt, Analítico de Ejecución Físico y Financiera del </w:t>
      </w:r>
      <w:r>
        <w:rPr>
          <w:noProof/>
        </w:rPr>
        <w:drawing>
          <wp:inline distT="0" distB="0" distL="0" distR="0" wp14:anchorId="4028F6B4" wp14:editId="7E8D2A55">
            <wp:extent cx="18288" cy="13716"/>
            <wp:effectExtent l="0" t="0" r="0" b="0"/>
            <wp:docPr id="1314551" name="Picture 1314551"/>
            <wp:cNvGraphicFramePr/>
            <a:graphic xmlns:a="http://schemas.openxmlformats.org/drawingml/2006/main">
              <a:graphicData uri="http://schemas.openxmlformats.org/drawingml/2006/picture">
                <pic:pic xmlns:pic="http://schemas.openxmlformats.org/drawingml/2006/picture">
                  <pic:nvPicPr>
                    <pic:cNvPr id="1314551" name="Picture 1314551"/>
                    <pic:cNvPicPr/>
                  </pic:nvPicPr>
                  <pic:blipFill>
                    <a:blip r:embed="rId1763"/>
                    <a:stretch>
                      <a:fillRect/>
                    </a:stretch>
                  </pic:blipFill>
                  <pic:spPr>
                    <a:xfrm>
                      <a:off x="0" y="0"/>
                      <a:ext cx="18288" cy="13716"/>
                    </a:xfrm>
                    <a:prstGeom prst="rect">
                      <a:avLst/>
                    </a:prstGeom>
                  </pic:spPr>
                </pic:pic>
              </a:graphicData>
            </a:graphic>
          </wp:inline>
        </w:drawing>
      </w:r>
      <w:r>
        <w:rPr>
          <w:sz w:val="26"/>
        </w:rPr>
        <w:t xml:space="preserve">1 Sistema de Contabilidad Integrada Gubernamental -SICOIN- y R00804768.rpt (Grupos Dinámicos), del 01 de enero al 31 de diciembre de 2024; por [o cual la suscrita no tuvo participación en el establecimiento y seguimiento de [as metas </w:t>
      </w:r>
      <w:r>
        <w:rPr>
          <w:noProof/>
        </w:rPr>
        <w:drawing>
          <wp:inline distT="0" distB="0" distL="0" distR="0" wp14:anchorId="089E0202" wp14:editId="30BFB568">
            <wp:extent cx="13716" cy="9144"/>
            <wp:effectExtent l="0" t="0" r="0" b="0"/>
            <wp:docPr id="1314552" name="Picture 1314552"/>
            <wp:cNvGraphicFramePr/>
            <a:graphic xmlns:a="http://schemas.openxmlformats.org/drawingml/2006/main">
              <a:graphicData uri="http://schemas.openxmlformats.org/drawingml/2006/picture">
                <pic:pic xmlns:pic="http://schemas.openxmlformats.org/drawingml/2006/picture">
                  <pic:nvPicPr>
                    <pic:cNvPr id="1314552" name="Picture 1314552"/>
                    <pic:cNvPicPr/>
                  </pic:nvPicPr>
                  <pic:blipFill>
                    <a:blip r:embed="rId579"/>
                    <a:stretch>
                      <a:fillRect/>
                    </a:stretch>
                  </pic:blipFill>
                  <pic:spPr>
                    <a:xfrm>
                      <a:off x="0" y="0"/>
                      <a:ext cx="13716" cy="9144"/>
                    </a:xfrm>
                    <a:prstGeom prst="rect">
                      <a:avLst/>
                    </a:prstGeom>
                  </pic:spPr>
                </pic:pic>
              </a:graphicData>
            </a:graphic>
          </wp:inline>
        </w:drawing>
      </w:r>
      <w:r>
        <w:rPr>
          <w:sz w:val="26"/>
        </w:rPr>
        <w:t>1 desde el inicio del período, así como en la presentación inicial del expediente de licitación L-025/2024 MINEDUC — NOG 23143320, sino hasta el 04 de octubre de 2024, donde se efectuó seguimiento a las acciones propias del proceso de [a 1 licitación, lo cual se evidencia, con las gestiones realizadas.</w:t>
      </w:r>
    </w:p>
    <w:p w14:paraId="48A471CE" w14:textId="77777777" w:rsidR="00053D93" w:rsidRDefault="00260B75">
      <w:pPr>
        <w:spacing w:after="36" w:line="269" w:lineRule="auto"/>
        <w:ind w:left="60" w:right="14" w:hanging="3"/>
        <w:jc w:val="both"/>
      </w:pPr>
      <w:r>
        <w:rPr>
          <w:sz w:val="26"/>
        </w:rPr>
        <w:t xml:space="preserve">-1 Por lo tanto, era imposible concretar el proceso de licitación y cumplir con la ejecución de [as metas físicas que están concatenadas a las metas financieras, en el periodo del 04 de octubre al 31 de diciembre de 2024; además los niños sí </w:t>
      </w:r>
      <w:r>
        <w:rPr>
          <w:noProof/>
        </w:rPr>
        <w:drawing>
          <wp:inline distT="0" distB="0" distL="0" distR="0" wp14:anchorId="459F36D7" wp14:editId="0807AAB4">
            <wp:extent cx="22860" cy="13716"/>
            <wp:effectExtent l="0" t="0" r="0" b="0"/>
            <wp:docPr id="1314553" name="Picture 1314553"/>
            <wp:cNvGraphicFramePr/>
            <a:graphic xmlns:a="http://schemas.openxmlformats.org/drawingml/2006/main">
              <a:graphicData uri="http://schemas.openxmlformats.org/drawingml/2006/picture">
                <pic:pic xmlns:pic="http://schemas.openxmlformats.org/drawingml/2006/picture">
                  <pic:nvPicPr>
                    <pic:cNvPr id="1314553" name="Picture 1314553"/>
                    <pic:cNvPicPr/>
                  </pic:nvPicPr>
                  <pic:blipFill>
                    <a:blip r:embed="rId1764"/>
                    <a:stretch>
                      <a:fillRect/>
                    </a:stretch>
                  </pic:blipFill>
                  <pic:spPr>
                    <a:xfrm>
                      <a:off x="0" y="0"/>
                      <a:ext cx="22860" cy="13716"/>
                    </a:xfrm>
                    <a:prstGeom prst="rect">
                      <a:avLst/>
                    </a:prstGeom>
                  </pic:spPr>
                </pic:pic>
              </a:graphicData>
            </a:graphic>
          </wp:inline>
        </w:drawing>
      </w:r>
      <w:r>
        <w:rPr>
          <w:sz w:val="26"/>
        </w:rPr>
        <w:t xml:space="preserve">1 tuvieron acceso a los libros en el ciclo escolar 2024, según las nóminas de </w:t>
      </w:r>
      <w:r>
        <w:rPr>
          <w:noProof/>
        </w:rPr>
        <w:drawing>
          <wp:inline distT="0" distB="0" distL="0" distR="0" wp14:anchorId="292C71A4" wp14:editId="29106789">
            <wp:extent cx="9144" cy="13716"/>
            <wp:effectExtent l="0" t="0" r="0" b="0"/>
            <wp:docPr id="1314554" name="Picture 1314554"/>
            <wp:cNvGraphicFramePr/>
            <a:graphic xmlns:a="http://schemas.openxmlformats.org/drawingml/2006/main">
              <a:graphicData uri="http://schemas.openxmlformats.org/drawingml/2006/picture">
                <pic:pic xmlns:pic="http://schemas.openxmlformats.org/drawingml/2006/picture">
                  <pic:nvPicPr>
                    <pic:cNvPr id="1314554" name="Picture 1314554"/>
                    <pic:cNvPicPr/>
                  </pic:nvPicPr>
                  <pic:blipFill>
                    <a:blip r:embed="rId920"/>
                    <a:stretch>
                      <a:fillRect/>
                    </a:stretch>
                  </pic:blipFill>
                  <pic:spPr>
                    <a:xfrm>
                      <a:off x="0" y="0"/>
                      <a:ext cx="9144" cy="13716"/>
                    </a:xfrm>
                    <a:prstGeom prst="rect">
                      <a:avLst/>
                    </a:prstGeom>
                  </pic:spPr>
                </pic:pic>
              </a:graphicData>
            </a:graphic>
          </wp:inline>
        </w:drawing>
      </w:r>
      <w:r>
        <w:rPr>
          <w:sz w:val="26"/>
        </w:rPr>
        <w:t xml:space="preserve"> distribución a los centros educativos públicos del Nivel de Educación Preprimaria... "</w:t>
      </w:r>
    </w:p>
    <w:p w14:paraId="67AEBCC2" w14:textId="77777777" w:rsidR="00053D93" w:rsidRDefault="00260B75">
      <w:pPr>
        <w:pStyle w:val="Ttulo4"/>
        <w:spacing w:after="0" w:line="259" w:lineRule="auto"/>
        <w:ind w:left="17" w:right="29" w:hanging="10"/>
        <w:jc w:val="left"/>
      </w:pPr>
      <w:r>
        <w:rPr>
          <w:sz w:val="38"/>
        </w:rPr>
        <w:t>-1</w:t>
      </w:r>
    </w:p>
    <w:p w14:paraId="358C3EE9" w14:textId="77777777" w:rsidR="00053D93" w:rsidRDefault="00260B75">
      <w:pPr>
        <w:spacing w:after="683" w:line="269" w:lineRule="auto"/>
        <w:ind w:left="57" w:right="14" w:firstLine="1584"/>
        <w:jc w:val="both"/>
      </w:pPr>
      <w:r>
        <w:rPr>
          <w:sz w:val="26"/>
        </w:rPr>
        <w:t>En Nota s/n, del 21 de abril de 2025, la licenciada Claudia Elizabeth Morales 1 García de lxquiac, quien fungió como Directora General de Gestión de Calidad Educativa, por el período comprendido del 25 de enero de 2023 al 31 de diciembre de 2024, manifiesta: 1. Proceso de adquisición de libros: 1.1 - El proceso para 1 dotar de libros de lectura y textos para los estudiantes de los niveles de educación preprimaria y primaria, se realiza de la forma siguiente:</w:t>
      </w:r>
    </w:p>
    <w:p w14:paraId="605641B7" w14:textId="77777777" w:rsidR="00053D93" w:rsidRDefault="00260B75">
      <w:pPr>
        <w:tabs>
          <w:tab w:val="right" w:pos="10166"/>
        </w:tabs>
        <w:spacing w:after="4" w:line="269" w:lineRule="auto"/>
      </w:pPr>
      <w:r>
        <w:rPr>
          <w:sz w:val="26"/>
        </w:rPr>
        <w:t>1</w:t>
      </w:r>
      <w:r>
        <w:rPr>
          <w:sz w:val="26"/>
        </w:rPr>
        <w:tab/>
        <w:t>a) Se solicita la estadística de los niños que están cursando los diferentes grados,</w:t>
      </w:r>
    </w:p>
    <w:p w14:paraId="6823F7D9" w14:textId="77777777" w:rsidR="00053D93" w:rsidRDefault="00260B75">
      <w:pPr>
        <w:spacing w:after="112" w:line="248" w:lineRule="auto"/>
        <w:ind w:left="1256" w:right="1102" w:hanging="10"/>
        <w:jc w:val="center"/>
      </w:pPr>
      <w:r>
        <w:rPr>
          <w:sz w:val="26"/>
        </w:rPr>
        <w:t>a la Dirección de Planificación -DIPLAN- del Ministerio de Educación.</w:t>
      </w:r>
    </w:p>
    <w:p w14:paraId="46E82F07" w14:textId="77777777" w:rsidR="00053D93" w:rsidRDefault="00260B75">
      <w:pPr>
        <w:spacing w:after="3"/>
        <w:ind w:left="74" w:right="43" w:hanging="10"/>
      </w:pPr>
      <w:r>
        <w:rPr>
          <w:sz w:val="74"/>
        </w:rPr>
        <w:t>1</w:t>
      </w:r>
    </w:p>
    <w:tbl>
      <w:tblPr>
        <w:tblStyle w:val="TableGrid"/>
        <w:tblW w:w="9425" w:type="dxa"/>
        <w:tblInd w:w="691" w:type="dxa"/>
        <w:tblLook w:val="04A0" w:firstRow="1" w:lastRow="0" w:firstColumn="1" w:lastColumn="0" w:noHBand="0" w:noVBand="1"/>
      </w:tblPr>
      <w:tblGrid>
        <w:gridCol w:w="1299"/>
        <w:gridCol w:w="8176"/>
      </w:tblGrid>
      <w:tr w:rsidR="00053D93" w14:paraId="1F1F0481" w14:textId="77777777">
        <w:trPr>
          <w:trHeight w:val="634"/>
        </w:trPr>
        <w:tc>
          <w:tcPr>
            <w:tcW w:w="1782" w:type="dxa"/>
            <w:tcBorders>
              <w:top w:val="nil"/>
              <w:left w:val="nil"/>
              <w:bottom w:val="nil"/>
              <w:right w:val="nil"/>
            </w:tcBorders>
          </w:tcPr>
          <w:p w14:paraId="5460E84C" w14:textId="77777777" w:rsidR="00053D93" w:rsidRDefault="00260B75">
            <w:r>
              <w:rPr>
                <w:noProof/>
              </w:rPr>
              <w:drawing>
                <wp:inline distT="0" distB="0" distL="0" distR="0" wp14:anchorId="7560CD21" wp14:editId="1DAA6D71">
                  <wp:extent cx="1120140" cy="402337"/>
                  <wp:effectExtent l="0" t="0" r="0" b="0"/>
                  <wp:docPr id="1314609" name="Picture 1314609"/>
                  <wp:cNvGraphicFramePr/>
                  <a:graphic xmlns:a="http://schemas.openxmlformats.org/drawingml/2006/main">
                    <a:graphicData uri="http://schemas.openxmlformats.org/drawingml/2006/picture">
                      <pic:pic xmlns:pic="http://schemas.openxmlformats.org/drawingml/2006/picture">
                        <pic:nvPicPr>
                          <pic:cNvPr id="1314609" name="Picture 1314609"/>
                          <pic:cNvPicPr/>
                        </pic:nvPicPr>
                        <pic:blipFill>
                          <a:blip r:embed="rId1765"/>
                          <a:stretch>
                            <a:fillRect/>
                          </a:stretch>
                        </pic:blipFill>
                        <pic:spPr>
                          <a:xfrm>
                            <a:off x="0" y="0"/>
                            <a:ext cx="1120140" cy="402337"/>
                          </a:xfrm>
                          <a:prstGeom prst="rect">
                            <a:avLst/>
                          </a:prstGeom>
                        </pic:spPr>
                      </pic:pic>
                    </a:graphicData>
                  </a:graphic>
                </wp:inline>
              </w:drawing>
            </w:r>
          </w:p>
        </w:tc>
        <w:tc>
          <w:tcPr>
            <w:tcW w:w="7643" w:type="dxa"/>
            <w:tcBorders>
              <w:top w:val="nil"/>
              <w:left w:val="nil"/>
              <w:bottom w:val="nil"/>
              <w:right w:val="nil"/>
            </w:tcBorders>
          </w:tcPr>
          <w:p w14:paraId="24BC93C3" w14:textId="77777777" w:rsidR="00053D93" w:rsidRDefault="00053D93">
            <w:pPr>
              <w:ind w:left="-2790" w:right="10433"/>
            </w:pPr>
          </w:p>
          <w:tbl>
            <w:tblPr>
              <w:tblStyle w:val="TableGrid"/>
              <w:tblW w:w="7625" w:type="dxa"/>
              <w:tblInd w:w="18" w:type="dxa"/>
              <w:tblCellMar>
                <w:top w:w="29" w:type="dxa"/>
                <w:left w:w="1742" w:type="dxa"/>
                <w:right w:w="115" w:type="dxa"/>
              </w:tblCellMar>
              <w:tblLook w:val="04A0" w:firstRow="1" w:lastRow="0" w:firstColumn="1" w:lastColumn="0" w:noHBand="0" w:noVBand="1"/>
            </w:tblPr>
            <w:tblGrid>
              <w:gridCol w:w="7625"/>
            </w:tblGrid>
            <w:tr w:rsidR="00053D93" w14:paraId="72B53C48" w14:textId="77777777">
              <w:trPr>
                <w:trHeight w:val="55"/>
              </w:trPr>
              <w:tc>
                <w:tcPr>
                  <w:tcW w:w="7625" w:type="dxa"/>
                  <w:tcBorders>
                    <w:top w:val="nil"/>
                    <w:left w:val="single" w:sz="2" w:space="0" w:color="000000"/>
                    <w:bottom w:val="single" w:sz="2" w:space="0" w:color="000000"/>
                    <w:right w:val="nil"/>
                  </w:tcBorders>
                </w:tcPr>
                <w:p w14:paraId="717D65BF" w14:textId="77777777" w:rsidR="00053D93" w:rsidRDefault="00053D93"/>
              </w:tc>
            </w:tr>
            <w:tr w:rsidR="00053D93" w14:paraId="2A2A47DF" w14:textId="77777777">
              <w:trPr>
                <w:trHeight w:val="579"/>
              </w:trPr>
              <w:tc>
                <w:tcPr>
                  <w:tcW w:w="7625" w:type="dxa"/>
                  <w:tcBorders>
                    <w:top w:val="single" w:sz="2" w:space="0" w:color="000000"/>
                    <w:left w:val="single" w:sz="2" w:space="0" w:color="000000"/>
                    <w:bottom w:val="nil"/>
                    <w:right w:val="nil"/>
                  </w:tcBorders>
                </w:tcPr>
                <w:p w14:paraId="2DD68593" w14:textId="77777777" w:rsidR="00053D93" w:rsidRDefault="00260B75">
                  <w:pPr>
                    <w:ind w:left="835"/>
                  </w:pPr>
                  <w:r>
                    <w:rPr>
                      <w:sz w:val="14"/>
                    </w:rPr>
                    <w:t>MINISTERIO DE EDUCACION</w:t>
                  </w:r>
                </w:p>
                <w:p w14:paraId="19CF3624" w14:textId="77777777" w:rsidR="00053D93" w:rsidRDefault="00260B75">
                  <w:pPr>
                    <w:ind w:left="338"/>
                  </w:pPr>
                  <w:r>
                    <w:rPr>
                      <w:sz w:val="14"/>
                    </w:rPr>
                    <w:t>AUDITORIA FINANCIERA Y OE CUMPLIMIENTO</w:t>
                  </w:r>
                </w:p>
                <w:p w14:paraId="3D5CBF79" w14:textId="77777777" w:rsidR="00053D93" w:rsidRDefault="00260B75">
                  <w:r>
                    <w:rPr>
                      <w:sz w:val="14"/>
                    </w:rPr>
                    <w:t>PERIODO DEL 01 DE ENERO AL 31 DE DICIEMBRE DE 2024</w:t>
                  </w:r>
                </w:p>
              </w:tc>
            </w:tr>
          </w:tbl>
          <w:p w14:paraId="3313F15B" w14:textId="77777777" w:rsidR="00053D93" w:rsidRDefault="00053D93"/>
        </w:tc>
      </w:tr>
    </w:tbl>
    <w:p w14:paraId="03FC978B" w14:textId="77777777" w:rsidR="00053D93" w:rsidRDefault="00260B75">
      <w:pPr>
        <w:spacing w:after="95" w:line="336" w:lineRule="auto"/>
        <w:ind w:left="1706" w:right="14" w:hanging="1649"/>
        <w:jc w:val="both"/>
      </w:pPr>
      <w:r>
        <w:rPr>
          <w:noProof/>
        </w:rPr>
        <w:drawing>
          <wp:anchor distT="0" distB="0" distL="114300" distR="114300" simplePos="0" relativeHeight="252341248" behindDoc="0" locked="0" layoutInCell="1" allowOverlap="0" wp14:anchorId="2E3544AB" wp14:editId="4C982BF0">
            <wp:simplePos x="0" y="0"/>
            <wp:positionH relativeFrom="column">
              <wp:posOffset>955548</wp:posOffset>
            </wp:positionH>
            <wp:positionV relativeFrom="paragraph">
              <wp:posOffset>-63011</wp:posOffset>
            </wp:positionV>
            <wp:extent cx="5980176" cy="36576"/>
            <wp:effectExtent l="0" t="0" r="0" b="0"/>
            <wp:wrapSquare wrapText="bothSides"/>
            <wp:docPr id="2459013" name="Picture 2459013"/>
            <wp:cNvGraphicFramePr/>
            <a:graphic xmlns:a="http://schemas.openxmlformats.org/drawingml/2006/main">
              <a:graphicData uri="http://schemas.openxmlformats.org/drawingml/2006/picture">
                <pic:pic xmlns:pic="http://schemas.openxmlformats.org/drawingml/2006/picture">
                  <pic:nvPicPr>
                    <pic:cNvPr id="2459013" name="Picture 2459013"/>
                    <pic:cNvPicPr/>
                  </pic:nvPicPr>
                  <pic:blipFill>
                    <a:blip r:embed="rId1766"/>
                    <a:stretch>
                      <a:fillRect/>
                    </a:stretch>
                  </pic:blipFill>
                  <pic:spPr>
                    <a:xfrm>
                      <a:off x="0" y="0"/>
                      <a:ext cx="5980176" cy="36576"/>
                    </a:xfrm>
                    <a:prstGeom prst="rect">
                      <a:avLst/>
                    </a:prstGeom>
                  </pic:spPr>
                </pic:pic>
              </a:graphicData>
            </a:graphic>
          </wp:anchor>
        </w:drawing>
      </w:r>
      <w:r>
        <w:rPr>
          <w:noProof/>
        </w:rPr>
        <w:drawing>
          <wp:anchor distT="0" distB="0" distL="114300" distR="114300" simplePos="0" relativeHeight="252342272" behindDoc="0" locked="0" layoutInCell="1" allowOverlap="0" wp14:anchorId="04DA6B89" wp14:editId="4A5C15F9">
            <wp:simplePos x="0" y="0"/>
            <wp:positionH relativeFrom="column">
              <wp:posOffset>-50291</wp:posOffset>
            </wp:positionH>
            <wp:positionV relativeFrom="paragraph">
              <wp:posOffset>-44723</wp:posOffset>
            </wp:positionV>
            <wp:extent cx="64008" cy="9144"/>
            <wp:effectExtent l="0" t="0" r="0" b="0"/>
            <wp:wrapSquare wrapText="bothSides"/>
            <wp:docPr id="1317993" name="Picture 1317993"/>
            <wp:cNvGraphicFramePr/>
            <a:graphic xmlns:a="http://schemas.openxmlformats.org/drawingml/2006/main">
              <a:graphicData uri="http://schemas.openxmlformats.org/drawingml/2006/picture">
                <pic:pic xmlns:pic="http://schemas.openxmlformats.org/drawingml/2006/picture">
                  <pic:nvPicPr>
                    <pic:cNvPr id="1317993" name="Picture 1317993"/>
                    <pic:cNvPicPr/>
                  </pic:nvPicPr>
                  <pic:blipFill>
                    <a:blip r:embed="rId1767"/>
                    <a:stretch>
                      <a:fillRect/>
                    </a:stretch>
                  </pic:blipFill>
                  <pic:spPr>
                    <a:xfrm>
                      <a:off x="0" y="0"/>
                      <a:ext cx="64008" cy="9144"/>
                    </a:xfrm>
                    <a:prstGeom prst="rect">
                      <a:avLst/>
                    </a:prstGeom>
                  </pic:spPr>
                </pic:pic>
              </a:graphicData>
            </a:graphic>
          </wp:anchor>
        </w:drawing>
      </w:r>
      <w:r>
        <w:rPr>
          <w:sz w:val="26"/>
        </w:rPr>
        <w:t>1 b) Con base a [a estadística brindada por la Dirección de Planificación -DIPLANse establece la cantidad de libros y textos a imprimir.</w:t>
      </w:r>
    </w:p>
    <w:p w14:paraId="0C4E5856" w14:textId="77777777" w:rsidR="00053D93" w:rsidRDefault="00260B75">
      <w:pPr>
        <w:spacing w:after="3"/>
        <w:ind w:left="74" w:right="43" w:hanging="10"/>
      </w:pPr>
      <w:r>
        <w:rPr>
          <w:sz w:val="74"/>
        </w:rPr>
        <w:t>1</w:t>
      </w:r>
    </w:p>
    <w:p w14:paraId="349F8E7F" w14:textId="77777777" w:rsidR="00053D93" w:rsidRDefault="00260B75">
      <w:pPr>
        <w:spacing w:after="4" w:line="269" w:lineRule="auto"/>
        <w:ind w:left="57" w:right="14" w:firstLine="1649"/>
        <w:jc w:val="both"/>
      </w:pPr>
      <w:r>
        <w:rPr>
          <w:sz w:val="26"/>
        </w:rPr>
        <w:t>c) Se elaboran las especificaciones técnicas para el proceso de licitación de la adquisición del servicio de impresión de los textos. En el nombre del evento se 1 indica claramente que el uso de los libros será en el año siguiente, ejemplo: (L-030/2023-MlNEDUC "SERVICIO DE IMPRESIÓN DE TEXTOS PARA NIÑOS</w:t>
      </w:r>
    </w:p>
    <w:p w14:paraId="682A5AE7" w14:textId="77777777" w:rsidR="00053D93" w:rsidRDefault="00260B75">
      <w:pPr>
        <w:spacing w:after="252" w:line="266" w:lineRule="auto"/>
        <w:ind w:left="1702" w:hanging="10"/>
      </w:pPr>
      <w:r>
        <w:rPr>
          <w:sz w:val="28"/>
        </w:rPr>
        <w:t>DE PRIMER GRADO DEL NIVEL DE EDUCACIÓN PRIMARIA Y TEXTOS DE Ml</w:t>
      </w:r>
    </w:p>
    <w:p w14:paraId="3BEE35AC" w14:textId="77777777" w:rsidR="00053D93" w:rsidRDefault="00260B75">
      <w:pPr>
        <w:pStyle w:val="Ttulo4"/>
        <w:tabs>
          <w:tab w:val="right" w:pos="10166"/>
        </w:tabs>
        <w:ind w:left="0" w:firstLine="0"/>
        <w:jc w:val="left"/>
      </w:pPr>
      <w:r>
        <w:t>1</w:t>
      </w:r>
      <w:r>
        <w:tab/>
        <w:t>LIBRO DE LECTURAS PRIMER GRADO PRIMARIA, PARA USO EN 2024, A</w:t>
      </w:r>
    </w:p>
    <w:p w14:paraId="3C8DD496" w14:textId="77777777" w:rsidR="00053D93" w:rsidRDefault="00260B75">
      <w:pPr>
        <w:spacing w:after="177" w:line="266" w:lineRule="auto"/>
        <w:ind w:left="1695" w:hanging="10"/>
      </w:pPr>
      <w:r>
        <w:rPr>
          <w:sz w:val="28"/>
        </w:rPr>
        <w:t>SOLICITUD DE LA DIGECADE")</w:t>
      </w:r>
    </w:p>
    <w:p w14:paraId="282154D0" w14:textId="77777777" w:rsidR="00053D93" w:rsidRDefault="00260B75">
      <w:pPr>
        <w:spacing w:after="3"/>
        <w:ind w:left="74" w:right="43" w:hanging="10"/>
      </w:pPr>
      <w:r>
        <w:rPr>
          <w:sz w:val="74"/>
        </w:rPr>
        <w:t>1</w:t>
      </w:r>
    </w:p>
    <w:p w14:paraId="21BF6CA2" w14:textId="77777777" w:rsidR="00053D93" w:rsidRDefault="00260B75">
      <w:pPr>
        <w:numPr>
          <w:ilvl w:val="0"/>
          <w:numId w:val="28"/>
        </w:numPr>
        <w:spacing w:after="226" w:line="269" w:lineRule="auto"/>
        <w:ind w:right="14" w:firstLine="1642"/>
        <w:jc w:val="both"/>
      </w:pPr>
      <w:r>
        <w:rPr>
          <w:sz w:val="26"/>
        </w:rPr>
        <w:t>El expediente que contiene las especificaciones técnicas y documentación legal de respaldo, se traslada a la Dirección de Adquisiciones y Contrataciones 1 -DIDECO- del Ministerio de Educación, cuya competencia es ejercer [a rectoría de los procesos de adquisiciones y contrataciones del Ministerio de Educación, 1 establecidos en la Ley de Contrataciones del Estado y su Reglamento.</w:t>
      </w:r>
    </w:p>
    <w:p w14:paraId="47B737C0" w14:textId="77777777" w:rsidR="00053D93" w:rsidRDefault="00260B75">
      <w:pPr>
        <w:numPr>
          <w:ilvl w:val="0"/>
          <w:numId w:val="28"/>
        </w:numPr>
        <w:spacing w:after="139" w:line="269" w:lineRule="auto"/>
        <w:ind w:right="14" w:firstLine="1642"/>
        <w:jc w:val="both"/>
      </w:pPr>
      <w:r>
        <w:rPr>
          <w:sz w:val="26"/>
        </w:rPr>
        <w:t>La Dirección de Adquisiciones y Contrataciones -DIDECO- del Ministerio de</w:t>
      </w:r>
    </w:p>
    <w:p w14:paraId="5AE2A3BB" w14:textId="77777777" w:rsidR="00053D93" w:rsidRDefault="00260B75">
      <w:pPr>
        <w:spacing w:after="4" w:line="458" w:lineRule="auto"/>
        <w:ind w:left="1691" w:right="14" w:hanging="1634"/>
        <w:jc w:val="both"/>
      </w:pPr>
      <w:r>
        <w:rPr>
          <w:sz w:val="26"/>
        </w:rPr>
        <w:t>1 Educación, inicia el proceso de publicación, creando el concurso en el Sistema de Información de Contrataciones y Adquisiciones del Estado -GUATECOMPRAS-.</w:t>
      </w:r>
    </w:p>
    <w:p w14:paraId="43B014C0" w14:textId="77777777" w:rsidR="00053D93" w:rsidRDefault="00260B75">
      <w:pPr>
        <w:spacing w:after="4" w:line="216" w:lineRule="auto"/>
        <w:ind w:left="60" w:right="14" w:hanging="3"/>
        <w:jc w:val="both"/>
      </w:pPr>
      <w:r>
        <w:rPr>
          <w:noProof/>
        </w:rPr>
        <mc:AlternateContent>
          <mc:Choice Requires="wpg">
            <w:drawing>
              <wp:inline distT="0" distB="0" distL="0" distR="0" wp14:anchorId="49C3DBEE" wp14:editId="79D91791">
                <wp:extent cx="123444" cy="292609"/>
                <wp:effectExtent l="0" t="0" r="0" b="0"/>
                <wp:docPr id="2457910" name="Group 2457910"/>
                <wp:cNvGraphicFramePr/>
                <a:graphic xmlns:a="http://schemas.openxmlformats.org/drawingml/2006/main">
                  <a:graphicData uri="http://schemas.microsoft.com/office/word/2010/wordprocessingGroup">
                    <wpg:wgp>
                      <wpg:cNvGrpSpPr/>
                      <wpg:grpSpPr>
                        <a:xfrm>
                          <a:off x="0" y="0"/>
                          <a:ext cx="123444" cy="292609"/>
                          <a:chOff x="0" y="0"/>
                          <a:chExt cx="123444" cy="292609"/>
                        </a:xfrm>
                      </wpg:grpSpPr>
                      <wps:wsp>
                        <wps:cNvPr id="1315342" name="Rectangle 1315342"/>
                        <wps:cNvSpPr/>
                        <wps:spPr>
                          <a:xfrm>
                            <a:off x="0" y="0"/>
                            <a:ext cx="164181" cy="389169"/>
                          </a:xfrm>
                          <a:prstGeom prst="rect">
                            <a:avLst/>
                          </a:prstGeom>
                          <a:ln>
                            <a:noFill/>
                          </a:ln>
                        </wps:spPr>
                        <wps:txbx>
                          <w:txbxContent>
                            <w:p w14:paraId="333C1EDD"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49C3DBEE" id="Group 2457910" o:spid="_x0000_s1839" style="width:9.7pt;height:23.05pt;mso-position-horizontal-relative:char;mso-position-vertical-relative:line" coordsize="123444,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">
                <v:rect id="Rectangle 1315342" o:spid="_x0000_s1840" style="position:absolute;width:16418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" filled="f" stroked="f">
                  <v:textbox inset="0,0,0,0">
                    <w:txbxContent>
                      <w:p w14:paraId="333C1EDD" w14:textId="77777777" w:rsidR="00053D93" w:rsidRDefault="00260B75">
                        <w:r>
                          <w:rPr>
                            <w:sz w:val="74"/>
                          </w:rPr>
                          <w:t>1</w:t>
                        </w:r>
                      </w:p>
                    </w:txbxContent>
                  </v:textbox>
                </v:rect>
                <w10:anchorlock/>
              </v:group>
            </w:pict>
          </mc:Fallback>
        </mc:AlternateContent>
      </w:r>
      <w:r>
        <w:rPr>
          <w:sz w:val="26"/>
        </w:rPr>
        <w:t xml:space="preserve"> El inciso a), b) y c), es responsabilidad de la Dirección General de Gestión de Calidad Educativa -DIGECADE-, a partir del inciso d), que se traslada el 1 expediente para la publicación y creación del evento, es responsabilidad de la</w:t>
      </w:r>
    </w:p>
    <w:p w14:paraId="5518DF18" w14:textId="77777777" w:rsidR="00053D93" w:rsidRDefault="00260B75">
      <w:pPr>
        <w:spacing w:after="188" w:line="269" w:lineRule="auto"/>
        <w:ind w:left="1681" w:right="14" w:hanging="3"/>
        <w:jc w:val="both"/>
      </w:pPr>
      <w:r>
        <w:rPr>
          <w:sz w:val="26"/>
        </w:rPr>
        <w:t>Dirección de Adquisiciones y Contrataciones -DIDECO- del Ministerio de Educación y las comisiones nombradas por la autoridad superior, para cumplir con</w:t>
      </w:r>
    </w:p>
    <w:p w14:paraId="3633714A" w14:textId="77777777" w:rsidR="00053D93" w:rsidRDefault="00260B75">
      <w:pPr>
        <w:spacing w:after="301" w:line="474" w:lineRule="auto"/>
        <w:ind w:left="1677" w:right="14" w:hanging="1620"/>
        <w:jc w:val="both"/>
      </w:pPr>
      <w:r>
        <w:rPr>
          <w:sz w:val="26"/>
        </w:rPr>
        <w:t>1</w:t>
      </w:r>
      <w:r>
        <w:rPr>
          <w:sz w:val="26"/>
        </w:rPr>
        <w:tab/>
        <w:t>los procesos establecidos en la Ley de Contrataciones del Estado y su Reglamento.</w:t>
      </w:r>
    </w:p>
    <w:p w14:paraId="6E8DE7FD" w14:textId="77777777" w:rsidR="00053D93" w:rsidRDefault="00260B75">
      <w:pPr>
        <w:spacing w:after="460" w:line="378" w:lineRule="auto"/>
        <w:ind w:left="1663" w:right="14" w:hanging="1606"/>
        <w:jc w:val="both"/>
      </w:pPr>
      <w:r>
        <w:rPr>
          <w:sz w:val="26"/>
        </w:rPr>
        <w:t>1 1.2 - Proceso para el inicio de la licitación del año 2023, para uso de textos de segundo a sexto grados del nivel de educación primaria, en el año 2024:</w:t>
      </w:r>
    </w:p>
    <w:p w14:paraId="5509D962" w14:textId="77777777" w:rsidR="00053D93" w:rsidRDefault="00260B75">
      <w:pPr>
        <w:tabs>
          <w:tab w:val="right" w:pos="10166"/>
        </w:tabs>
        <w:spacing w:after="4" w:line="269" w:lineRule="auto"/>
      </w:pPr>
      <w:r>
        <w:rPr>
          <w:sz w:val="26"/>
        </w:rPr>
        <w:t>1</w:t>
      </w:r>
      <w:r>
        <w:rPr>
          <w:sz w:val="26"/>
        </w:rPr>
        <w:tab/>
        <w:t>A través del oficio Digecade/SEE No. 332-2023 de fecha 24 de abril de 2023, el</w:t>
      </w:r>
    </w:p>
    <w:p w14:paraId="75E563D5" w14:textId="77777777" w:rsidR="00053D93" w:rsidRDefault="00260B75">
      <w:pPr>
        <w:spacing w:after="217" w:line="269" w:lineRule="auto"/>
        <w:ind w:left="57" w:right="14" w:firstLine="1591"/>
        <w:jc w:val="both"/>
      </w:pPr>
      <w:r>
        <w:rPr>
          <w:sz w:val="26"/>
        </w:rPr>
        <w:t>director en funciones de la Dirección General de Gestión de Calidad 1 Educativa -DIGECADE-, trasladó el expediente que contiene las especificaciones técnicas y documentos generales necesarios para iniciar el proceso de licitación para la adquisición del: "SERVICIO DE IMPRESIÓN DE TEXTOS PARA NIÑOS</w:t>
      </w:r>
    </w:p>
    <w:p w14:paraId="7C33DD68" w14:textId="77777777" w:rsidR="00053D93" w:rsidRDefault="00260B75">
      <w:pPr>
        <w:spacing w:after="4" w:line="333" w:lineRule="auto"/>
        <w:ind w:left="1663" w:hanging="1649"/>
      </w:pPr>
      <w:r>
        <w:rPr>
          <w:noProof/>
        </w:rPr>
        <w:drawing>
          <wp:inline distT="0" distB="0" distL="0" distR="0" wp14:anchorId="186A1B47" wp14:editId="39A5212D">
            <wp:extent cx="13716" cy="9144"/>
            <wp:effectExtent l="0" t="0" r="0" b="0"/>
            <wp:docPr id="1317994" name="Picture 1317994"/>
            <wp:cNvGraphicFramePr/>
            <a:graphic xmlns:a="http://schemas.openxmlformats.org/drawingml/2006/main">
              <a:graphicData uri="http://schemas.openxmlformats.org/drawingml/2006/picture">
                <pic:pic xmlns:pic="http://schemas.openxmlformats.org/drawingml/2006/picture">
                  <pic:nvPicPr>
                    <pic:cNvPr id="1317994" name="Picture 1317994"/>
                    <pic:cNvPicPr/>
                  </pic:nvPicPr>
                  <pic:blipFill>
                    <a:blip r:embed="rId1526"/>
                    <a:stretch>
                      <a:fillRect/>
                    </a:stretch>
                  </pic:blipFill>
                  <pic:spPr>
                    <a:xfrm>
                      <a:off x="0" y="0"/>
                      <a:ext cx="13716" cy="9144"/>
                    </a:xfrm>
                    <a:prstGeom prst="rect">
                      <a:avLst/>
                    </a:prstGeom>
                  </pic:spPr>
                </pic:pic>
              </a:graphicData>
            </a:graphic>
          </wp:inline>
        </w:drawing>
      </w:r>
      <w:r>
        <w:rPr>
          <w:sz w:val="28"/>
        </w:rPr>
        <w:t>1 DE SEGUNDO A SEXTO GRADO DEL NIVEL DE EDUCACIÓN PRIMARIA DE LAS ÁREAS DE MATEMÁTICAS Y COMUNICACIÓN Y LENGUAJE; DE</w:t>
      </w:r>
    </w:p>
    <w:p w14:paraId="6CC1E8DF" w14:textId="77777777" w:rsidR="00053D93" w:rsidRDefault="00260B75">
      <w:pPr>
        <w:tabs>
          <w:tab w:val="right" w:pos="10166"/>
        </w:tabs>
        <w:spacing w:after="4" w:line="266" w:lineRule="auto"/>
      </w:pPr>
      <w:r>
        <w:rPr>
          <w:sz w:val="28"/>
        </w:rPr>
        <w:t>1</w:t>
      </w:r>
      <w:r>
        <w:rPr>
          <w:sz w:val="28"/>
        </w:rPr>
        <w:tab/>
        <w:t>SEGUNDO Y TERCER GRADO DEL AREA DE MEDIO SOCIAL Y NATURAL; DE</w:t>
      </w:r>
    </w:p>
    <w:p w14:paraId="660FAA38" w14:textId="77777777" w:rsidR="00053D93" w:rsidRDefault="00260B75">
      <w:pPr>
        <w:pStyle w:val="Ttulo4"/>
        <w:ind w:left="1645"/>
      </w:pPr>
      <w:r>
        <w:t>CUARTO A SEXTO GRADO DE LAS AREAS DE CIENCIAS NATURALES Y TECNOLOGÍA, CIENCIAS SOCIALES Y FORMACIÓN CIUDADANA Y TEXTOS 1</w:t>
      </w:r>
      <w:r>
        <w:tab/>
        <w:t>Ml LIBRO DE LECTURAS PARA CUARTO GRADO PRIMARIA, PARA USO EN</w:t>
      </w:r>
    </w:p>
    <w:tbl>
      <w:tblPr>
        <w:tblStyle w:val="TableGrid"/>
        <w:tblW w:w="9403" w:type="dxa"/>
        <w:tblInd w:w="706" w:type="dxa"/>
        <w:tblLook w:val="04A0" w:firstRow="1" w:lastRow="0" w:firstColumn="1" w:lastColumn="0" w:noHBand="0" w:noVBand="1"/>
      </w:tblPr>
      <w:tblGrid>
        <w:gridCol w:w="1292"/>
        <w:gridCol w:w="8168"/>
      </w:tblGrid>
      <w:tr w:rsidR="00053D93" w14:paraId="3785848D" w14:textId="77777777">
        <w:trPr>
          <w:trHeight w:val="648"/>
        </w:trPr>
        <w:tc>
          <w:tcPr>
            <w:tcW w:w="1777" w:type="dxa"/>
            <w:tcBorders>
              <w:top w:val="nil"/>
              <w:left w:val="nil"/>
              <w:bottom w:val="nil"/>
              <w:right w:val="nil"/>
            </w:tcBorders>
          </w:tcPr>
          <w:p w14:paraId="02022640" w14:textId="77777777" w:rsidR="00053D93" w:rsidRDefault="00260B75">
            <w:r>
              <w:rPr>
                <w:noProof/>
              </w:rPr>
              <w:drawing>
                <wp:inline distT="0" distB="0" distL="0" distR="0" wp14:anchorId="0EF67F89" wp14:editId="2187697D">
                  <wp:extent cx="1115568" cy="411481"/>
                  <wp:effectExtent l="0" t="0" r="0" b="0"/>
                  <wp:docPr id="1318051" name="Picture 1318051"/>
                  <wp:cNvGraphicFramePr/>
                  <a:graphic xmlns:a="http://schemas.openxmlformats.org/drawingml/2006/main">
                    <a:graphicData uri="http://schemas.openxmlformats.org/drawingml/2006/picture">
                      <pic:pic xmlns:pic="http://schemas.openxmlformats.org/drawingml/2006/picture">
                        <pic:nvPicPr>
                          <pic:cNvPr id="1318051" name="Picture 1318051"/>
                          <pic:cNvPicPr/>
                        </pic:nvPicPr>
                        <pic:blipFill>
                          <a:blip r:embed="rId1768"/>
                          <a:stretch>
                            <a:fillRect/>
                          </a:stretch>
                        </pic:blipFill>
                        <pic:spPr>
                          <a:xfrm>
                            <a:off x="0" y="0"/>
                            <a:ext cx="1115568" cy="411481"/>
                          </a:xfrm>
                          <a:prstGeom prst="rect">
                            <a:avLst/>
                          </a:prstGeom>
                        </pic:spPr>
                      </pic:pic>
                    </a:graphicData>
                  </a:graphic>
                </wp:inline>
              </w:drawing>
            </w:r>
          </w:p>
        </w:tc>
        <w:tc>
          <w:tcPr>
            <w:tcW w:w="7626" w:type="dxa"/>
            <w:tcBorders>
              <w:top w:val="nil"/>
              <w:left w:val="nil"/>
              <w:bottom w:val="nil"/>
              <w:right w:val="nil"/>
            </w:tcBorders>
          </w:tcPr>
          <w:p w14:paraId="27821B0D" w14:textId="77777777" w:rsidR="00053D93" w:rsidRDefault="00053D93">
            <w:pPr>
              <w:ind w:left="-2799" w:right="10426"/>
            </w:pPr>
          </w:p>
          <w:tbl>
            <w:tblPr>
              <w:tblStyle w:val="TableGrid"/>
              <w:tblW w:w="7606" w:type="dxa"/>
              <w:tblInd w:w="20" w:type="dxa"/>
              <w:tblCellMar>
                <w:top w:w="30" w:type="dxa"/>
                <w:left w:w="1738" w:type="dxa"/>
                <w:right w:w="115" w:type="dxa"/>
              </w:tblCellMar>
              <w:tblLook w:val="04A0" w:firstRow="1" w:lastRow="0" w:firstColumn="1" w:lastColumn="0" w:noHBand="0" w:noVBand="1"/>
            </w:tblPr>
            <w:tblGrid>
              <w:gridCol w:w="7606"/>
            </w:tblGrid>
            <w:tr w:rsidR="00053D93" w14:paraId="56883286" w14:textId="77777777">
              <w:trPr>
                <w:trHeight w:val="55"/>
              </w:trPr>
              <w:tc>
                <w:tcPr>
                  <w:tcW w:w="7606" w:type="dxa"/>
                  <w:tcBorders>
                    <w:top w:val="nil"/>
                    <w:left w:val="single" w:sz="2" w:space="0" w:color="000000"/>
                    <w:bottom w:val="single" w:sz="2" w:space="0" w:color="000000"/>
                    <w:right w:val="nil"/>
                  </w:tcBorders>
                </w:tcPr>
                <w:p w14:paraId="4554853C" w14:textId="77777777" w:rsidR="00053D93" w:rsidRDefault="00053D93"/>
              </w:tc>
            </w:tr>
            <w:tr w:rsidR="00053D93" w14:paraId="26A61D7B" w14:textId="77777777">
              <w:trPr>
                <w:trHeight w:val="586"/>
              </w:trPr>
              <w:tc>
                <w:tcPr>
                  <w:tcW w:w="7606" w:type="dxa"/>
                  <w:tcBorders>
                    <w:top w:val="single" w:sz="2" w:space="0" w:color="000000"/>
                    <w:left w:val="single" w:sz="2" w:space="0" w:color="000000"/>
                    <w:bottom w:val="nil"/>
                    <w:right w:val="nil"/>
                  </w:tcBorders>
                </w:tcPr>
                <w:p w14:paraId="420735D1" w14:textId="77777777" w:rsidR="00053D93" w:rsidRDefault="00260B75">
                  <w:pPr>
                    <w:ind w:left="835"/>
                  </w:pPr>
                  <w:r>
                    <w:rPr>
                      <w:sz w:val="14"/>
                    </w:rPr>
                    <w:t>MINISTERIO DE EDUCACION</w:t>
                  </w:r>
                </w:p>
                <w:p w14:paraId="29A8656C" w14:textId="77777777" w:rsidR="00053D93" w:rsidRDefault="00260B75">
                  <w:pPr>
                    <w:ind w:left="338"/>
                  </w:pPr>
                  <w:r>
                    <w:rPr>
                      <w:sz w:val="14"/>
                    </w:rPr>
                    <w:t>AUDITORIA FINANCIERA Y DE CUMPLIMIENTO</w:t>
                  </w:r>
                </w:p>
                <w:p w14:paraId="3C47B98D" w14:textId="77777777" w:rsidR="00053D93" w:rsidRDefault="00260B75">
                  <w:r>
                    <w:rPr>
                      <w:sz w:val="14"/>
                    </w:rPr>
                    <w:t>PERIODO DEL DE ENERO AL 31 DE DICIEMBRE OE 2024</w:t>
                  </w:r>
                </w:p>
              </w:tc>
            </w:tr>
          </w:tbl>
          <w:p w14:paraId="4DC5C78E" w14:textId="77777777" w:rsidR="00053D93" w:rsidRDefault="00053D93"/>
        </w:tc>
      </w:tr>
    </w:tbl>
    <w:p w14:paraId="183AF9A1" w14:textId="77777777" w:rsidR="00053D93" w:rsidRDefault="00260B75">
      <w:pPr>
        <w:spacing w:after="75" w:line="387" w:lineRule="auto"/>
        <w:ind w:left="1727" w:right="14" w:hanging="1670"/>
        <w:jc w:val="both"/>
      </w:pPr>
      <w:r>
        <w:rPr>
          <w:noProof/>
        </w:rPr>
        <w:drawing>
          <wp:anchor distT="0" distB="0" distL="114300" distR="114300" simplePos="0" relativeHeight="252343296" behindDoc="0" locked="0" layoutInCell="1" allowOverlap="0" wp14:anchorId="62E69528" wp14:editId="42F51AF0">
            <wp:simplePos x="0" y="0"/>
            <wp:positionH relativeFrom="column">
              <wp:posOffset>461772</wp:posOffset>
            </wp:positionH>
            <wp:positionV relativeFrom="paragraph">
              <wp:posOffset>-78569</wp:posOffset>
            </wp:positionV>
            <wp:extent cx="6972301" cy="45720"/>
            <wp:effectExtent l="0" t="0" r="0" b="0"/>
            <wp:wrapSquare wrapText="bothSides"/>
            <wp:docPr id="2459015" name="Picture 2459015"/>
            <wp:cNvGraphicFramePr/>
            <a:graphic xmlns:a="http://schemas.openxmlformats.org/drawingml/2006/main">
              <a:graphicData uri="http://schemas.openxmlformats.org/drawingml/2006/picture">
                <pic:pic xmlns:pic="http://schemas.openxmlformats.org/drawingml/2006/picture">
                  <pic:nvPicPr>
                    <pic:cNvPr id="2459015" name="Picture 2459015"/>
                    <pic:cNvPicPr/>
                  </pic:nvPicPr>
                  <pic:blipFill>
                    <a:blip r:embed="rId1769"/>
                    <a:stretch>
                      <a:fillRect/>
                    </a:stretch>
                  </pic:blipFill>
                  <pic:spPr>
                    <a:xfrm>
                      <a:off x="0" y="0"/>
                      <a:ext cx="6972301" cy="45720"/>
                    </a:xfrm>
                    <a:prstGeom prst="rect">
                      <a:avLst/>
                    </a:prstGeom>
                  </pic:spPr>
                </pic:pic>
              </a:graphicData>
            </a:graphic>
          </wp:anchor>
        </w:drawing>
      </w:r>
      <w:r>
        <w:rPr>
          <w:noProof/>
        </w:rPr>
        <w:drawing>
          <wp:anchor distT="0" distB="0" distL="114300" distR="114300" simplePos="0" relativeHeight="252344320" behindDoc="0" locked="0" layoutInCell="1" allowOverlap="0" wp14:anchorId="5017493F" wp14:editId="2861CA7C">
            <wp:simplePos x="0" y="0"/>
            <wp:positionH relativeFrom="column">
              <wp:posOffset>-50291</wp:posOffset>
            </wp:positionH>
            <wp:positionV relativeFrom="paragraph">
              <wp:posOffset>-41993</wp:posOffset>
            </wp:positionV>
            <wp:extent cx="50292" cy="9144"/>
            <wp:effectExtent l="0" t="0" r="0" b="0"/>
            <wp:wrapSquare wrapText="bothSides"/>
            <wp:docPr id="1321130" name="Picture 1321130"/>
            <wp:cNvGraphicFramePr/>
            <a:graphic xmlns:a="http://schemas.openxmlformats.org/drawingml/2006/main">
              <a:graphicData uri="http://schemas.openxmlformats.org/drawingml/2006/picture">
                <pic:pic xmlns:pic="http://schemas.openxmlformats.org/drawingml/2006/picture">
                  <pic:nvPicPr>
                    <pic:cNvPr id="1321130" name="Picture 1321130"/>
                    <pic:cNvPicPr/>
                  </pic:nvPicPr>
                  <pic:blipFill>
                    <a:blip r:embed="rId1770"/>
                    <a:stretch>
                      <a:fillRect/>
                    </a:stretch>
                  </pic:blipFill>
                  <pic:spPr>
                    <a:xfrm>
                      <a:off x="0" y="0"/>
                      <a:ext cx="50292" cy="9144"/>
                    </a:xfrm>
                    <a:prstGeom prst="rect">
                      <a:avLst/>
                    </a:prstGeom>
                  </pic:spPr>
                </pic:pic>
              </a:graphicData>
            </a:graphic>
          </wp:anchor>
        </w:drawing>
      </w:r>
      <w:r>
        <w:rPr>
          <w:sz w:val="26"/>
        </w:rPr>
        <w:t>1 2024, A SOLICITUD DE LA DIGECADE", determinando que serán en total 6,347 ,291 textos.</w:t>
      </w:r>
    </w:p>
    <w:p w14:paraId="29875840" w14:textId="77777777" w:rsidR="00053D93" w:rsidRDefault="00260B75">
      <w:pPr>
        <w:spacing w:after="3"/>
        <w:ind w:left="74" w:right="3485" w:hanging="10"/>
      </w:pPr>
      <w:r>
        <w:rPr>
          <w:sz w:val="70"/>
        </w:rPr>
        <w:t>1</w:t>
      </w:r>
    </w:p>
    <w:p w14:paraId="48516305" w14:textId="77777777" w:rsidR="00053D93" w:rsidRDefault="00260B75">
      <w:pPr>
        <w:spacing w:after="679" w:line="216" w:lineRule="auto"/>
        <w:ind w:left="57" w:right="14" w:firstLine="1678"/>
        <w:jc w:val="both"/>
      </w:pPr>
      <w:r>
        <w:rPr>
          <w:sz w:val="26"/>
        </w:rPr>
        <w:t xml:space="preserve">Por medio del oficio Digecade/SEE No. 434-2023 de fecha 22 de mayo de 2023, suscrito por el subdirector de Educación Escolar y el director en funciones de la </w:t>
      </w:r>
      <w:r>
        <w:rPr>
          <w:noProof/>
        </w:rPr>
        <mc:AlternateContent>
          <mc:Choice Requires="wpg">
            <w:drawing>
              <wp:inline distT="0" distB="0" distL="0" distR="0" wp14:anchorId="4AA1AD4B" wp14:editId="37820391">
                <wp:extent cx="114300" cy="292608"/>
                <wp:effectExtent l="0" t="0" r="0" b="0"/>
                <wp:docPr id="2457927" name="Group 2457927"/>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318674" name="Rectangle 1318674"/>
                        <wps:cNvSpPr/>
                        <wps:spPr>
                          <a:xfrm>
                            <a:off x="0" y="0"/>
                            <a:ext cx="152019" cy="389169"/>
                          </a:xfrm>
                          <a:prstGeom prst="rect">
                            <a:avLst/>
                          </a:prstGeom>
                          <a:ln>
                            <a:noFill/>
                          </a:ln>
                        </wps:spPr>
                        <wps:txbx>
                          <w:txbxContent>
                            <w:p w14:paraId="4C0B0201"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AA1AD4B" id="Group 2457927" o:spid="_x0000_s1841"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">
                <v:rect id="Rectangle 1318674" o:spid="_x0000_s1842"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" filled="f" stroked="f">
                  <v:textbox inset="0,0,0,0">
                    <w:txbxContent>
                      <w:p w14:paraId="4C0B0201" w14:textId="77777777" w:rsidR="00053D93" w:rsidRDefault="00260B75">
                        <w:r>
                          <w:rPr>
                            <w:sz w:val="70"/>
                          </w:rPr>
                          <w:t>1</w:t>
                        </w:r>
                      </w:p>
                    </w:txbxContent>
                  </v:textbox>
                </v:rect>
                <w10:anchorlock/>
              </v:group>
            </w:pict>
          </mc:Fallback>
        </mc:AlternateContent>
      </w:r>
      <w:r>
        <w:rPr>
          <w:sz w:val="26"/>
        </w:rPr>
        <w:t xml:space="preserve"> Dirección General de Gestión de Calidad Educativa -DIGECADE-, dirigido al director de la Dideco; informan que el proceso queda sin efecto.</w:t>
      </w:r>
    </w:p>
    <w:p w14:paraId="75509380" w14:textId="77777777" w:rsidR="00053D93" w:rsidRDefault="00260B75">
      <w:pPr>
        <w:spacing w:after="50" w:line="345" w:lineRule="auto"/>
        <w:ind w:left="1720" w:right="14" w:hanging="1663"/>
        <w:jc w:val="both"/>
      </w:pPr>
      <w:r>
        <w:rPr>
          <w:sz w:val="26"/>
        </w:rPr>
        <w:t>1 Esta meta física contribuye directamente a la ejecución de metas en el año 2024, derivado que fue incluida en Plan Operativo Anual -POA-, para ser ejecutado del</w:t>
      </w:r>
    </w:p>
    <w:p w14:paraId="2F3789CA" w14:textId="77777777" w:rsidR="00053D93" w:rsidRDefault="00260B75">
      <w:pPr>
        <w:tabs>
          <w:tab w:val="center" w:pos="3996"/>
        </w:tabs>
        <w:spacing w:after="45" w:line="269" w:lineRule="auto"/>
      </w:pPr>
      <w:r>
        <w:rPr>
          <w:sz w:val="26"/>
        </w:rPr>
        <w:t>1</w:t>
      </w:r>
      <w:r>
        <w:rPr>
          <w:sz w:val="26"/>
        </w:rPr>
        <w:tab/>
        <w:t>01 de enero al 31 de diciembre del año 2024.</w:t>
      </w:r>
    </w:p>
    <w:p w14:paraId="00ADE0A1" w14:textId="77777777" w:rsidR="00053D93" w:rsidRDefault="00260B75">
      <w:pPr>
        <w:spacing w:after="4" w:line="269" w:lineRule="auto"/>
        <w:ind w:left="60" w:right="14" w:hanging="3"/>
        <w:jc w:val="both"/>
      </w:pPr>
      <w:r>
        <w:rPr>
          <w:sz w:val="26"/>
        </w:rPr>
        <w:t>2. Funciones de la dirección</w:t>
      </w:r>
    </w:p>
    <w:p w14:paraId="298F3697" w14:textId="77777777" w:rsidR="00053D93" w:rsidRDefault="00260B75">
      <w:pPr>
        <w:spacing w:after="0"/>
        <w:ind w:left="50"/>
      </w:pPr>
      <w:r>
        <w:rPr>
          <w:noProof/>
        </w:rPr>
        <mc:AlternateContent>
          <mc:Choice Requires="wpg">
            <w:drawing>
              <wp:inline distT="0" distB="0" distL="0" distR="0" wp14:anchorId="11CFAC0B" wp14:editId="6707D7B8">
                <wp:extent cx="118872" cy="292608"/>
                <wp:effectExtent l="0" t="0" r="0" b="0"/>
                <wp:docPr id="2457926" name="Group 2457926"/>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318677" name="Rectangle 1318677"/>
                        <wps:cNvSpPr/>
                        <wps:spPr>
                          <a:xfrm>
                            <a:off x="0" y="0"/>
                            <a:ext cx="158100" cy="389169"/>
                          </a:xfrm>
                          <a:prstGeom prst="rect">
                            <a:avLst/>
                          </a:prstGeom>
                          <a:ln>
                            <a:noFill/>
                          </a:ln>
                        </wps:spPr>
                        <wps:txbx>
                          <w:txbxContent>
                            <w:p w14:paraId="2F6DB441"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11CFAC0B" id="Group 2457926" o:spid="_x0000_s1843"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">
                <v:rect id="Rectangle 1318677" o:spid="_x0000_s1844"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" filled="f" stroked="f">
                  <v:textbox inset="0,0,0,0">
                    <w:txbxContent>
                      <w:p w14:paraId="2F6DB441" w14:textId="77777777" w:rsidR="00053D93" w:rsidRDefault="00260B75">
                        <w:r>
                          <w:rPr>
                            <w:sz w:val="72"/>
                          </w:rPr>
                          <w:t>1</w:t>
                        </w:r>
                      </w:p>
                    </w:txbxContent>
                  </v:textbox>
                </v:rect>
                <w10:anchorlock/>
              </v:group>
            </w:pict>
          </mc:Fallback>
        </mc:AlternateContent>
      </w:r>
    </w:p>
    <w:p w14:paraId="762DF7E0" w14:textId="77777777" w:rsidR="00053D93" w:rsidRDefault="00260B75">
      <w:pPr>
        <w:spacing w:after="75" w:line="269" w:lineRule="auto"/>
        <w:ind w:left="60" w:right="14" w:hanging="3"/>
        <w:jc w:val="both"/>
      </w:pPr>
      <w:r>
        <w:rPr>
          <w:sz w:val="26"/>
        </w:rPr>
        <w:t>De conformidad al Manual de funciones, organización y puestos de la Dirección</w:t>
      </w:r>
    </w:p>
    <w:p w14:paraId="5C8B3A7B" w14:textId="77777777" w:rsidR="00053D93" w:rsidRDefault="00260B75">
      <w:pPr>
        <w:spacing w:after="137" w:line="269" w:lineRule="auto"/>
        <w:ind w:left="60" w:right="14" w:hanging="3"/>
        <w:jc w:val="both"/>
      </w:pPr>
      <w:r>
        <w:rPr>
          <w:sz w:val="26"/>
        </w:rPr>
        <w:t xml:space="preserve">1 General de Gestión de Calidad Educativa -DIGECADE-, numeral 5. Atribuciones, inciso k) indica: "Coordinar la elaboración del Plan Operativo Anual (POA), Plan de Adquisiciones y Anteproyecto de Presupuesto de la Dirección", y en las funciones 1 principales, descripciones, id 9, indica "Coordinar la elaboración del Plan Operativo Anual y el Plan de Adquisiciones"; por lo indicado, no tengo establecido el seguimiento al cumplimiento de las metas físicas y financieras sobre la Provisión </w:t>
      </w:r>
      <w:r>
        <w:rPr>
          <w:noProof/>
        </w:rPr>
        <mc:AlternateContent>
          <mc:Choice Requires="wpg">
            <w:drawing>
              <wp:inline distT="0" distB="0" distL="0" distR="0" wp14:anchorId="32EB90C0" wp14:editId="121CE69A">
                <wp:extent cx="118872" cy="292609"/>
                <wp:effectExtent l="0" t="0" r="0" b="0"/>
                <wp:docPr id="2457928" name="Group 2457928"/>
                <wp:cNvGraphicFramePr/>
                <a:graphic xmlns:a="http://schemas.openxmlformats.org/drawingml/2006/main">
                  <a:graphicData uri="http://schemas.microsoft.com/office/word/2010/wordprocessingGroup">
                    <wpg:wgp>
                      <wpg:cNvGrpSpPr/>
                      <wpg:grpSpPr>
                        <a:xfrm>
                          <a:off x="0" y="0"/>
                          <a:ext cx="118872" cy="292609"/>
                          <a:chOff x="0" y="0"/>
                          <a:chExt cx="118872" cy="292609"/>
                        </a:xfrm>
                      </wpg:grpSpPr>
                      <wps:wsp>
                        <wps:cNvPr id="1318680" name="Rectangle 1318680"/>
                        <wps:cNvSpPr/>
                        <wps:spPr>
                          <a:xfrm>
                            <a:off x="0" y="0"/>
                            <a:ext cx="158100" cy="389169"/>
                          </a:xfrm>
                          <a:prstGeom prst="rect">
                            <a:avLst/>
                          </a:prstGeom>
                          <a:ln>
                            <a:noFill/>
                          </a:ln>
                        </wps:spPr>
                        <wps:txbx>
                          <w:txbxContent>
                            <w:p w14:paraId="521FB5B1"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32EB90C0" id="Group 2457928" o:spid="_x0000_s1845" style="width:9.35pt;height:23.05pt;mso-position-horizontal-relative:char;mso-position-vertical-relative:line" coordsize="118872,29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">
                <v:rect id="Rectangle 1318680" o:spid="_x0000_s1846"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" filled="f" stroked="f">
                  <v:textbox inset="0,0,0,0">
                    <w:txbxContent>
                      <w:p w14:paraId="521FB5B1" w14:textId="77777777" w:rsidR="00053D93" w:rsidRDefault="00260B75">
                        <w:r>
                          <w:rPr>
                            <w:sz w:val="72"/>
                          </w:rPr>
                          <w:t>1</w:t>
                        </w:r>
                      </w:p>
                    </w:txbxContent>
                  </v:textbox>
                </v:rect>
                <w10:anchorlock/>
              </v:group>
            </w:pict>
          </mc:Fallback>
        </mc:AlternateContent>
      </w:r>
      <w:r>
        <w:rPr>
          <w:sz w:val="26"/>
        </w:rPr>
        <w:t xml:space="preserve"> de Textos Escolares en los Niveles Educativos de Primaria.</w:t>
      </w:r>
    </w:p>
    <w:p w14:paraId="644F6AB5" w14:textId="77777777" w:rsidR="00053D93" w:rsidRDefault="00260B75">
      <w:pPr>
        <w:numPr>
          <w:ilvl w:val="1"/>
          <w:numId w:val="29"/>
        </w:numPr>
        <w:spacing w:after="4" w:line="269" w:lineRule="auto"/>
        <w:ind w:right="14" w:hanging="274"/>
        <w:jc w:val="both"/>
      </w:pPr>
      <w:r>
        <w:rPr>
          <w:sz w:val="26"/>
        </w:rPr>
        <w:t>De la causa del hallazgo</w:t>
      </w:r>
    </w:p>
    <w:p w14:paraId="55BD7C6B" w14:textId="77777777" w:rsidR="00053D93" w:rsidRDefault="00260B75">
      <w:pPr>
        <w:spacing w:after="3"/>
        <w:ind w:left="74" w:right="3485" w:hanging="10"/>
      </w:pPr>
      <w:r>
        <w:rPr>
          <w:sz w:val="70"/>
        </w:rPr>
        <w:t>1</w:t>
      </w:r>
    </w:p>
    <w:p w14:paraId="615AE677" w14:textId="77777777" w:rsidR="00053D93" w:rsidRDefault="00260B75">
      <w:pPr>
        <w:spacing w:after="4" w:line="216" w:lineRule="auto"/>
        <w:ind w:left="57" w:right="14" w:firstLine="1649"/>
        <w:jc w:val="both"/>
      </w:pPr>
      <w:r>
        <w:rPr>
          <w:sz w:val="26"/>
        </w:rPr>
        <w:t xml:space="preserve">La dirección si veló y supervisó para que se realizaran los procesos de licitación y </w:t>
      </w:r>
      <w:r>
        <w:rPr>
          <w:noProof/>
        </w:rPr>
        <mc:AlternateContent>
          <mc:Choice Requires="wpg">
            <w:drawing>
              <wp:inline distT="0" distB="0" distL="0" distR="0" wp14:anchorId="79C7550B" wp14:editId="6F16828D">
                <wp:extent cx="118872" cy="297180"/>
                <wp:effectExtent l="0" t="0" r="0" b="0"/>
                <wp:docPr id="2457929" name="Group 2457929"/>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318682" name="Rectangle 1318682"/>
                        <wps:cNvSpPr/>
                        <wps:spPr>
                          <a:xfrm>
                            <a:off x="0" y="0"/>
                            <a:ext cx="158100" cy="395249"/>
                          </a:xfrm>
                          <a:prstGeom prst="rect">
                            <a:avLst/>
                          </a:prstGeom>
                          <a:ln>
                            <a:noFill/>
                          </a:ln>
                        </wps:spPr>
                        <wps:txbx>
                          <w:txbxContent>
                            <w:p w14:paraId="43030743"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79C7550B" id="Group 2457929" o:spid="_x0000_s1847" style="width:9.35pt;height:23.4pt;mso-position-horizontal-relative:char;mso-position-vertical-relative:lin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">
                <v:rect id="Rectangle 1318682" o:spid="_x0000_s1848"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" filled="f" stroked="f">
                  <v:textbox inset="0,0,0,0">
                    <w:txbxContent>
                      <w:p w14:paraId="43030743" w14:textId="77777777" w:rsidR="00053D93" w:rsidRDefault="00260B75">
                        <w:r>
                          <w:rPr>
                            <w:sz w:val="72"/>
                          </w:rPr>
                          <w:t>1</w:t>
                        </w:r>
                      </w:p>
                    </w:txbxContent>
                  </v:textbox>
                </v:rect>
                <w10:anchorlock/>
              </v:group>
            </w:pict>
          </mc:Fallback>
        </mc:AlternateContent>
      </w:r>
      <w:r>
        <w:rPr>
          <w:sz w:val="26"/>
        </w:rPr>
        <w:t xml:space="preserve"> cotización para la elaboración, producción, impresión y distribución para [a provisión de textos escolares en el ciclo escolar 2024; evidenciándose a través del oficio No. DIGECADE-090-2024, de fecha 27 de mayo de 2024 (enviado por 1 correo electrónico el 27 de mayo de 2024), dirigido a los subdirectores,</w:t>
      </w:r>
    </w:p>
    <w:p w14:paraId="77485C03" w14:textId="77777777" w:rsidR="00053D93" w:rsidRDefault="00260B75">
      <w:pPr>
        <w:spacing w:after="4" w:line="269" w:lineRule="auto"/>
        <w:ind w:left="1688" w:right="14" w:hanging="3"/>
        <w:jc w:val="both"/>
      </w:pPr>
      <w:r>
        <w:rPr>
          <w:sz w:val="26"/>
        </w:rPr>
        <w:t>específicamente a Gabriel Ernesto Torres Solares, Subdirector de Educación</w:t>
      </w:r>
    </w:p>
    <w:p w14:paraId="2DFED7CD" w14:textId="77777777" w:rsidR="00053D93" w:rsidRDefault="00260B75">
      <w:pPr>
        <w:spacing w:after="4" w:line="269" w:lineRule="auto"/>
        <w:ind w:left="1695" w:right="14" w:hanging="3"/>
        <w:jc w:val="both"/>
      </w:pPr>
      <w:r>
        <w:rPr>
          <w:sz w:val="26"/>
        </w:rPr>
        <w:t>Escolar.</w:t>
      </w:r>
    </w:p>
    <w:p w14:paraId="24A99EED" w14:textId="77777777" w:rsidR="00053D93" w:rsidRDefault="00260B75">
      <w:pPr>
        <w:spacing w:after="3"/>
        <w:ind w:left="74" w:right="43" w:hanging="10"/>
      </w:pPr>
      <w:r>
        <w:rPr>
          <w:sz w:val="74"/>
        </w:rPr>
        <w:t>1</w:t>
      </w:r>
    </w:p>
    <w:p w14:paraId="1A42C091" w14:textId="77777777" w:rsidR="00053D93" w:rsidRDefault="00260B75">
      <w:pPr>
        <w:numPr>
          <w:ilvl w:val="1"/>
          <w:numId w:val="29"/>
        </w:numPr>
        <w:spacing w:after="197" w:line="269" w:lineRule="auto"/>
        <w:ind w:right="14" w:hanging="274"/>
        <w:jc w:val="both"/>
      </w:pPr>
      <w:r>
        <w:rPr>
          <w:sz w:val="26"/>
        </w:rPr>
        <w:t>Del efecto del hallazgo</w:t>
      </w:r>
    </w:p>
    <w:p w14:paraId="0DE245AF" w14:textId="77777777" w:rsidR="00053D93" w:rsidRDefault="00260B75">
      <w:pPr>
        <w:spacing w:after="3"/>
        <w:ind w:left="24" w:hanging="10"/>
      </w:pPr>
      <w:r>
        <w:rPr>
          <w:noProof/>
        </w:rPr>
        <w:drawing>
          <wp:inline distT="0" distB="0" distL="0" distR="0" wp14:anchorId="4D9B494B" wp14:editId="595795A4">
            <wp:extent cx="4572" cy="4572"/>
            <wp:effectExtent l="0" t="0" r="0" b="0"/>
            <wp:docPr id="1321131" name="Picture 1321131"/>
            <wp:cNvGraphicFramePr/>
            <a:graphic xmlns:a="http://schemas.openxmlformats.org/drawingml/2006/main">
              <a:graphicData uri="http://schemas.openxmlformats.org/drawingml/2006/picture">
                <pic:pic xmlns:pic="http://schemas.openxmlformats.org/drawingml/2006/picture">
                  <pic:nvPicPr>
                    <pic:cNvPr id="1321131" name="Picture 1321131"/>
                    <pic:cNvPicPr/>
                  </pic:nvPicPr>
                  <pic:blipFill>
                    <a:blip r:embed="rId845"/>
                    <a:stretch>
                      <a:fillRect/>
                    </a:stretch>
                  </pic:blipFill>
                  <pic:spPr>
                    <a:xfrm>
                      <a:off x="0" y="0"/>
                      <a:ext cx="4572" cy="4572"/>
                    </a:xfrm>
                    <a:prstGeom prst="rect">
                      <a:avLst/>
                    </a:prstGeom>
                  </pic:spPr>
                </pic:pic>
              </a:graphicData>
            </a:graphic>
          </wp:inline>
        </w:drawing>
      </w:r>
      <w:r>
        <w:rPr>
          <w:sz w:val="72"/>
        </w:rPr>
        <w:t>1</w:t>
      </w:r>
    </w:p>
    <w:p w14:paraId="3C97F73B" w14:textId="77777777" w:rsidR="00053D93" w:rsidRDefault="00260B75">
      <w:pPr>
        <w:spacing w:after="4" w:line="269" w:lineRule="auto"/>
        <w:ind w:left="57" w:right="14" w:firstLine="1670"/>
        <w:jc w:val="both"/>
      </w:pPr>
      <w:r>
        <w:rPr>
          <w:noProof/>
        </w:rPr>
        <mc:AlternateContent>
          <mc:Choice Requires="wpg">
            <w:drawing>
              <wp:anchor distT="0" distB="0" distL="114300" distR="114300" simplePos="0" relativeHeight="252345344" behindDoc="0" locked="0" layoutInCell="1" allowOverlap="1" wp14:anchorId="101494CA" wp14:editId="009CC58E">
                <wp:simplePos x="0" y="0"/>
                <wp:positionH relativeFrom="column">
                  <wp:posOffset>41148</wp:posOffset>
                </wp:positionH>
                <wp:positionV relativeFrom="paragraph">
                  <wp:posOffset>773268</wp:posOffset>
                </wp:positionV>
                <wp:extent cx="118872" cy="301752"/>
                <wp:effectExtent l="0" t="0" r="0" b="0"/>
                <wp:wrapSquare wrapText="bothSides"/>
                <wp:docPr id="2457930" name="Group 2457930"/>
                <wp:cNvGraphicFramePr/>
                <a:graphic xmlns:a="http://schemas.openxmlformats.org/drawingml/2006/main">
                  <a:graphicData uri="http://schemas.microsoft.com/office/word/2010/wordprocessingGroup">
                    <wpg:wgp>
                      <wpg:cNvGrpSpPr/>
                      <wpg:grpSpPr>
                        <a:xfrm>
                          <a:off x="0" y="0"/>
                          <a:ext cx="118872" cy="301752"/>
                          <a:chOff x="0" y="0"/>
                          <a:chExt cx="118872" cy="301752"/>
                        </a:xfrm>
                      </wpg:grpSpPr>
                      <wps:wsp>
                        <wps:cNvPr id="1318687" name="Rectangle 1318687"/>
                        <wps:cNvSpPr/>
                        <wps:spPr>
                          <a:xfrm>
                            <a:off x="0" y="0"/>
                            <a:ext cx="158100" cy="401330"/>
                          </a:xfrm>
                          <a:prstGeom prst="rect">
                            <a:avLst/>
                          </a:prstGeom>
                          <a:ln>
                            <a:noFill/>
                          </a:ln>
                        </wps:spPr>
                        <wps:txbx>
                          <w:txbxContent>
                            <w:p w14:paraId="6AFBC70D"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101494CA" id="Group 2457930" o:spid="_x0000_s1849" style="position:absolute;left:0;text-align:left;margin-left:3.25pt;margin-top:60.9pt;width:9.35pt;height:23.75pt;z-index:252345344;mso-position-horizontal-relative:text;mso-position-vertical-relative:text" coordsize="11887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">
                <v:rect id="Rectangle 1318687" o:spid="_x0000_s1850" style="position:absolute;width:158100;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" filled="f" stroked="f">
                  <v:textbox inset="0,0,0,0">
                    <w:txbxContent>
                      <w:p w14:paraId="6AFBC70D" w14:textId="77777777" w:rsidR="00053D93" w:rsidRDefault="00260B75">
                        <w:r>
                          <w:rPr>
                            <w:sz w:val="72"/>
                          </w:rPr>
                          <w:t>1</w:t>
                        </w:r>
                      </w:p>
                    </w:txbxContent>
                  </v:textbox>
                </v:rect>
                <w10:wrap type="square"/>
              </v:group>
            </w:pict>
          </mc:Fallback>
        </mc:AlternateContent>
      </w:r>
      <w:r>
        <w:rPr>
          <w:sz w:val="26"/>
        </w:rPr>
        <w:t>4.1 - Por medio del oficio No. DIGECADE/SEE No. 170-2025, de fecha 13 de marzo de 2025, dirigido al Auditor Gubernamental de la Contraloría General de -1 Cuentas, se según inciso e., se trasladó en formato digital las nóminas de distribución de los libros de la serie "Descubro y aprendo" para párvulos 1 , 2 y 3, a los centros educativos públicos del Nivel de Educación Preprimaria, correspondiente al ciclo escolar 2024; por [o tanto, los niños sí tuvieron acceso a</w:t>
      </w:r>
    </w:p>
    <w:p w14:paraId="2CF4762A" w14:textId="77777777" w:rsidR="00053D93" w:rsidRDefault="00260B75">
      <w:pPr>
        <w:spacing w:after="169" w:line="269" w:lineRule="auto"/>
        <w:ind w:left="1688" w:right="14" w:hanging="3"/>
        <w:jc w:val="both"/>
      </w:pPr>
      <w:r>
        <w:rPr>
          <w:sz w:val="26"/>
        </w:rPr>
        <w:t>los libros en el año 2024.</w:t>
      </w:r>
    </w:p>
    <w:p w14:paraId="3965FA08" w14:textId="77777777" w:rsidR="00053D93" w:rsidRDefault="00260B75">
      <w:pPr>
        <w:pStyle w:val="Ttulo5"/>
        <w:ind w:left="17" w:right="29" w:hanging="10"/>
      </w:pPr>
      <w:r>
        <w:rPr>
          <w:sz w:val="38"/>
        </w:rPr>
        <w:t>-1</w:t>
      </w:r>
    </w:p>
    <w:tbl>
      <w:tblPr>
        <w:tblStyle w:val="TableGrid"/>
        <w:tblW w:w="9410" w:type="dxa"/>
        <w:tblInd w:w="734" w:type="dxa"/>
        <w:tblLook w:val="04A0" w:firstRow="1" w:lastRow="0" w:firstColumn="1" w:lastColumn="0" w:noHBand="0" w:noVBand="1"/>
      </w:tblPr>
      <w:tblGrid>
        <w:gridCol w:w="1282"/>
        <w:gridCol w:w="8150"/>
      </w:tblGrid>
      <w:tr w:rsidR="00053D93" w14:paraId="6AFE3958" w14:textId="77777777">
        <w:trPr>
          <w:trHeight w:val="641"/>
        </w:trPr>
        <w:tc>
          <w:tcPr>
            <w:tcW w:w="1775" w:type="dxa"/>
            <w:tcBorders>
              <w:top w:val="nil"/>
              <w:left w:val="nil"/>
              <w:bottom w:val="nil"/>
              <w:right w:val="nil"/>
            </w:tcBorders>
          </w:tcPr>
          <w:p w14:paraId="1835D768" w14:textId="77777777" w:rsidR="00053D93" w:rsidRDefault="00260B75">
            <w:r>
              <w:rPr>
                <w:noProof/>
              </w:rPr>
              <w:drawing>
                <wp:inline distT="0" distB="0" distL="0" distR="0" wp14:anchorId="19538698" wp14:editId="345F3CED">
                  <wp:extent cx="1115568" cy="406909"/>
                  <wp:effectExtent l="0" t="0" r="0" b="0"/>
                  <wp:docPr id="1321229" name="Picture 1321229"/>
                  <wp:cNvGraphicFramePr/>
                  <a:graphic xmlns:a="http://schemas.openxmlformats.org/drawingml/2006/main">
                    <a:graphicData uri="http://schemas.openxmlformats.org/drawingml/2006/picture">
                      <pic:pic xmlns:pic="http://schemas.openxmlformats.org/drawingml/2006/picture">
                        <pic:nvPicPr>
                          <pic:cNvPr id="1321229" name="Picture 1321229"/>
                          <pic:cNvPicPr/>
                        </pic:nvPicPr>
                        <pic:blipFill>
                          <a:blip r:embed="rId1771"/>
                          <a:stretch>
                            <a:fillRect/>
                          </a:stretch>
                        </pic:blipFill>
                        <pic:spPr>
                          <a:xfrm>
                            <a:off x="0" y="0"/>
                            <a:ext cx="1115568" cy="406909"/>
                          </a:xfrm>
                          <a:prstGeom prst="rect">
                            <a:avLst/>
                          </a:prstGeom>
                        </pic:spPr>
                      </pic:pic>
                    </a:graphicData>
                  </a:graphic>
                </wp:inline>
              </w:drawing>
            </w:r>
          </w:p>
        </w:tc>
        <w:tc>
          <w:tcPr>
            <w:tcW w:w="7636" w:type="dxa"/>
            <w:tcBorders>
              <w:top w:val="nil"/>
              <w:left w:val="nil"/>
              <w:bottom w:val="nil"/>
              <w:right w:val="nil"/>
            </w:tcBorders>
          </w:tcPr>
          <w:p w14:paraId="649563BB" w14:textId="77777777" w:rsidR="00053D93" w:rsidRDefault="00053D93">
            <w:pPr>
              <w:ind w:left="-2826" w:right="10462"/>
            </w:pPr>
          </w:p>
          <w:tbl>
            <w:tblPr>
              <w:tblStyle w:val="TableGrid"/>
              <w:tblW w:w="7618" w:type="dxa"/>
              <w:tblInd w:w="18" w:type="dxa"/>
              <w:tblCellMar>
                <w:top w:w="35" w:type="dxa"/>
                <w:left w:w="1750" w:type="dxa"/>
                <w:right w:w="115" w:type="dxa"/>
              </w:tblCellMar>
              <w:tblLook w:val="04A0" w:firstRow="1" w:lastRow="0" w:firstColumn="1" w:lastColumn="0" w:noHBand="0" w:noVBand="1"/>
            </w:tblPr>
            <w:tblGrid>
              <w:gridCol w:w="7618"/>
            </w:tblGrid>
            <w:tr w:rsidR="00053D93" w14:paraId="2D761976" w14:textId="77777777">
              <w:trPr>
                <w:trHeight w:val="43"/>
              </w:trPr>
              <w:tc>
                <w:tcPr>
                  <w:tcW w:w="7618" w:type="dxa"/>
                  <w:tcBorders>
                    <w:top w:val="nil"/>
                    <w:left w:val="single" w:sz="2" w:space="0" w:color="000000"/>
                    <w:bottom w:val="single" w:sz="2" w:space="0" w:color="000000"/>
                    <w:right w:val="nil"/>
                  </w:tcBorders>
                </w:tcPr>
                <w:p w14:paraId="521FEA8E" w14:textId="77777777" w:rsidR="00053D93" w:rsidRDefault="00053D93"/>
              </w:tc>
            </w:tr>
            <w:tr w:rsidR="00053D93" w14:paraId="3098319C" w14:textId="77777777">
              <w:trPr>
                <w:trHeight w:val="590"/>
              </w:trPr>
              <w:tc>
                <w:tcPr>
                  <w:tcW w:w="7618" w:type="dxa"/>
                  <w:tcBorders>
                    <w:top w:val="single" w:sz="2" w:space="0" w:color="000000"/>
                    <w:left w:val="single" w:sz="2" w:space="0" w:color="000000"/>
                    <w:bottom w:val="nil"/>
                    <w:right w:val="nil"/>
                  </w:tcBorders>
                </w:tcPr>
                <w:p w14:paraId="26BB8F79" w14:textId="77777777" w:rsidR="00053D93" w:rsidRDefault="00260B75">
                  <w:pPr>
                    <w:ind w:left="828"/>
                  </w:pPr>
                  <w:r>
                    <w:rPr>
                      <w:sz w:val="14"/>
                    </w:rPr>
                    <w:t>MINISTERIO DE EDUCACION</w:t>
                  </w:r>
                </w:p>
                <w:p w14:paraId="047BD300" w14:textId="77777777" w:rsidR="00053D93" w:rsidRDefault="00260B75">
                  <w:pPr>
                    <w:ind w:left="338"/>
                  </w:pPr>
                  <w:r>
                    <w:rPr>
                      <w:sz w:val="14"/>
                    </w:rPr>
                    <w:t>AUDITORIA FINANCIERA Y DE CUMPLIMIENTO</w:t>
                  </w:r>
                </w:p>
                <w:p w14:paraId="1D5A69C3" w14:textId="77777777" w:rsidR="00053D93" w:rsidRDefault="00260B75">
                  <w:r>
                    <w:rPr>
                      <w:sz w:val="14"/>
                    </w:rPr>
                    <w:t>PERIODO DEL 01 DE ENERO AL 31 DE DICIEMBRE OE 2024</w:t>
                  </w:r>
                </w:p>
              </w:tc>
            </w:tr>
          </w:tbl>
          <w:p w14:paraId="59B40A5B" w14:textId="77777777" w:rsidR="00053D93" w:rsidRDefault="00053D93"/>
        </w:tc>
      </w:tr>
    </w:tbl>
    <w:p w14:paraId="35EAE193" w14:textId="77777777" w:rsidR="00053D93" w:rsidRDefault="00260B75">
      <w:pPr>
        <w:spacing w:after="83" w:line="269" w:lineRule="auto"/>
        <w:ind w:left="60" w:right="14" w:hanging="3"/>
        <w:jc w:val="both"/>
      </w:pPr>
      <w:r>
        <w:rPr>
          <w:noProof/>
        </w:rPr>
        <w:drawing>
          <wp:anchor distT="0" distB="0" distL="114300" distR="114300" simplePos="0" relativeHeight="252346368" behindDoc="0" locked="0" layoutInCell="1" allowOverlap="0" wp14:anchorId="44B12EEB" wp14:editId="5C61D542">
            <wp:simplePos x="0" y="0"/>
            <wp:positionH relativeFrom="column">
              <wp:posOffset>1060704</wp:posOffset>
            </wp:positionH>
            <wp:positionV relativeFrom="paragraph">
              <wp:posOffset>-69795</wp:posOffset>
            </wp:positionV>
            <wp:extent cx="5952744" cy="41148"/>
            <wp:effectExtent l="0" t="0" r="0" b="0"/>
            <wp:wrapSquare wrapText="bothSides"/>
            <wp:docPr id="2459017" name="Picture 2459017"/>
            <wp:cNvGraphicFramePr/>
            <a:graphic xmlns:a="http://schemas.openxmlformats.org/drawingml/2006/main">
              <a:graphicData uri="http://schemas.openxmlformats.org/drawingml/2006/picture">
                <pic:pic xmlns:pic="http://schemas.openxmlformats.org/drawingml/2006/picture">
                  <pic:nvPicPr>
                    <pic:cNvPr id="2459017" name="Picture 2459017"/>
                    <pic:cNvPicPr/>
                  </pic:nvPicPr>
                  <pic:blipFill>
                    <a:blip r:embed="rId1772"/>
                    <a:stretch>
                      <a:fillRect/>
                    </a:stretch>
                  </pic:blipFill>
                  <pic:spPr>
                    <a:xfrm>
                      <a:off x="0" y="0"/>
                      <a:ext cx="5952744" cy="41148"/>
                    </a:xfrm>
                    <a:prstGeom prst="rect">
                      <a:avLst/>
                    </a:prstGeom>
                  </pic:spPr>
                </pic:pic>
              </a:graphicData>
            </a:graphic>
          </wp:anchor>
        </w:drawing>
      </w:r>
      <w:r>
        <w:rPr>
          <w:noProof/>
        </w:rPr>
        <w:drawing>
          <wp:anchor distT="0" distB="0" distL="114300" distR="114300" simplePos="0" relativeHeight="252347392" behindDoc="0" locked="0" layoutInCell="1" allowOverlap="0" wp14:anchorId="303F2C14" wp14:editId="028AD2B6">
            <wp:simplePos x="0" y="0"/>
            <wp:positionH relativeFrom="column">
              <wp:posOffset>-45719</wp:posOffset>
            </wp:positionH>
            <wp:positionV relativeFrom="paragraph">
              <wp:posOffset>-37791</wp:posOffset>
            </wp:positionV>
            <wp:extent cx="54864" cy="9144"/>
            <wp:effectExtent l="0" t="0" r="0" b="0"/>
            <wp:wrapSquare wrapText="bothSides"/>
            <wp:docPr id="1324539" name="Picture 1324539"/>
            <wp:cNvGraphicFramePr/>
            <a:graphic xmlns:a="http://schemas.openxmlformats.org/drawingml/2006/main">
              <a:graphicData uri="http://schemas.openxmlformats.org/drawingml/2006/picture">
                <pic:pic xmlns:pic="http://schemas.openxmlformats.org/drawingml/2006/picture">
                  <pic:nvPicPr>
                    <pic:cNvPr id="1324539" name="Picture 1324539"/>
                    <pic:cNvPicPr/>
                  </pic:nvPicPr>
                  <pic:blipFill>
                    <a:blip r:embed="rId1773"/>
                    <a:stretch>
                      <a:fillRect/>
                    </a:stretch>
                  </pic:blipFill>
                  <pic:spPr>
                    <a:xfrm>
                      <a:off x="0" y="0"/>
                      <a:ext cx="54864" cy="9144"/>
                    </a:xfrm>
                    <a:prstGeom prst="rect">
                      <a:avLst/>
                    </a:prstGeom>
                  </pic:spPr>
                </pic:pic>
              </a:graphicData>
            </a:graphic>
          </wp:anchor>
        </w:drawing>
      </w:r>
      <w:r>
        <w:rPr>
          <w:noProof/>
        </w:rPr>
        <mc:AlternateContent>
          <mc:Choice Requires="wpg">
            <w:drawing>
              <wp:anchor distT="0" distB="0" distL="114300" distR="114300" simplePos="0" relativeHeight="252348416" behindDoc="0" locked="0" layoutInCell="1" allowOverlap="1" wp14:anchorId="22C2429F" wp14:editId="11829194">
                <wp:simplePos x="0" y="0"/>
                <wp:positionH relativeFrom="column">
                  <wp:posOffset>22860</wp:posOffset>
                </wp:positionH>
                <wp:positionV relativeFrom="paragraph">
                  <wp:posOffset>387404</wp:posOffset>
                </wp:positionV>
                <wp:extent cx="118872" cy="292608"/>
                <wp:effectExtent l="0" t="0" r="0" b="0"/>
                <wp:wrapSquare wrapText="bothSides"/>
                <wp:docPr id="2457950" name="Group 2457950"/>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321796" name="Rectangle 1321796"/>
                        <wps:cNvSpPr/>
                        <wps:spPr>
                          <a:xfrm>
                            <a:off x="0" y="0"/>
                            <a:ext cx="158100" cy="389169"/>
                          </a:xfrm>
                          <a:prstGeom prst="rect">
                            <a:avLst/>
                          </a:prstGeom>
                          <a:ln>
                            <a:noFill/>
                          </a:ln>
                        </wps:spPr>
                        <wps:txbx>
                          <w:txbxContent>
                            <w:p w14:paraId="0274FB3A"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22C2429F" id="Group 2457950" o:spid="_x0000_s1851" style="position:absolute;left:0;text-align:left;margin-left:1.8pt;margin-top:30.5pt;width:9.35pt;height:23.05pt;z-index:252348416;mso-position-horizontal-relative:text;mso-position-vertical-relative:text"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">
                <v:rect id="Rectangle 1321796" o:spid="_x0000_s1852"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" filled="f" stroked="f">
                  <v:textbox inset="0,0,0,0">
                    <w:txbxContent>
                      <w:p w14:paraId="0274FB3A" w14:textId="77777777" w:rsidR="00053D93" w:rsidRDefault="00260B75">
                        <w:r>
                          <w:rPr>
                            <w:sz w:val="72"/>
                          </w:rPr>
                          <w:t>1</w:t>
                        </w:r>
                      </w:p>
                    </w:txbxContent>
                  </v:textbox>
                </v:rect>
                <w10:wrap type="square"/>
              </v:group>
            </w:pict>
          </mc:Fallback>
        </mc:AlternateContent>
      </w:r>
      <w:r>
        <w:rPr>
          <w:sz w:val="26"/>
        </w:rPr>
        <w:t xml:space="preserve">1 4.2 - Por medio del oficio No. DIGECADE/SEE No. 190-2025, de fecha 21 de marzo de 2025, dirigido al Auditor Gubernamental de la Contraloría General de Cuentas, inciso a., se informó que los textos para niños de Segundo, Tercero, Cuarto, Quinto y Sexto del nivel de educación primaria, se han considerado bienes fungibles, (los niños los utilizan cada año y los dejan para la siguiente promoción); </w:t>
      </w:r>
      <w:r>
        <w:rPr>
          <w:noProof/>
        </w:rPr>
        <mc:AlternateContent>
          <mc:Choice Requires="wpg">
            <w:drawing>
              <wp:inline distT="0" distB="0" distL="0" distR="0" wp14:anchorId="59178DA4" wp14:editId="77A1B33A">
                <wp:extent cx="114300" cy="297180"/>
                <wp:effectExtent l="0" t="0" r="0" b="0"/>
                <wp:docPr id="2457951" name="Group 2457951"/>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321797" name="Rectangle 1321797"/>
                        <wps:cNvSpPr/>
                        <wps:spPr>
                          <a:xfrm>
                            <a:off x="0" y="0"/>
                            <a:ext cx="152019" cy="395250"/>
                          </a:xfrm>
                          <a:prstGeom prst="rect">
                            <a:avLst/>
                          </a:prstGeom>
                          <a:ln>
                            <a:noFill/>
                          </a:ln>
                        </wps:spPr>
                        <wps:txbx>
                          <w:txbxContent>
                            <w:p w14:paraId="2FD5C8CD"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59178DA4" id="Group 2457951" o:spid="_x0000_s1853"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">
                <v:rect id="Rectangle 1321797" o:spid="_x0000_s1854"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" filled="f" stroked="f">
                  <v:textbox inset="0,0,0,0">
                    <w:txbxContent>
                      <w:p w14:paraId="2FD5C8CD" w14:textId="77777777" w:rsidR="00053D93" w:rsidRDefault="00260B75">
                        <w:r>
                          <w:rPr>
                            <w:sz w:val="70"/>
                          </w:rPr>
                          <w:t>1</w:t>
                        </w:r>
                      </w:p>
                    </w:txbxContent>
                  </v:textbox>
                </v:rect>
                <w10:anchorlock/>
              </v:group>
            </w:pict>
          </mc:Fallback>
        </mc:AlternateContent>
      </w:r>
      <w:r>
        <w:rPr>
          <w:sz w:val="26"/>
        </w:rPr>
        <w:t xml:space="preserve"> por lo cual, los niños sí tuvieron acceso a libros en el año 2024.</w:t>
      </w:r>
    </w:p>
    <w:p w14:paraId="0EDCA0F1" w14:textId="77777777" w:rsidR="00053D93" w:rsidRDefault="00260B75">
      <w:pPr>
        <w:spacing w:after="276" w:line="269" w:lineRule="auto"/>
        <w:ind w:left="57" w:right="14" w:firstLine="1685"/>
        <w:jc w:val="both"/>
      </w:pPr>
      <w:r>
        <w:rPr>
          <w:sz w:val="26"/>
        </w:rPr>
        <w:t>En los incisos b. y c. se manifestó que de conformidad al Currículo Nacional Base 1 -CNB-, del nivel primario, indica: "...se denomina proceso E-A-E, (enseñanza, aprendizaje y evaluación) a la interrelación que se da entre la planificación, [a 1 ejecución y la evaluación de las acciones que realizan el maestro o maestra y los alumnos y alumnas. Este proceso orienta la formación educativa de los educandos, auxiliándose de los materiales curriculares elaborados para el efecto.</w:t>
      </w:r>
    </w:p>
    <w:p w14:paraId="4116FD8A" w14:textId="77777777" w:rsidR="00053D93" w:rsidRDefault="00260B75">
      <w:pPr>
        <w:spacing w:after="4" w:line="419" w:lineRule="auto"/>
        <w:ind w:left="1713" w:right="14" w:hanging="1656"/>
        <w:jc w:val="both"/>
      </w:pPr>
      <w:r>
        <w:rPr>
          <w:sz w:val="26"/>
        </w:rPr>
        <w:t>1 Por lo indicado, los docentes son los responsables de desarrollar los procesos más elevados del razonamiento y de enseñanza-aprendizaje establecidos en el</w:t>
      </w:r>
    </w:p>
    <w:p w14:paraId="2A09759E" w14:textId="77777777" w:rsidR="00053D93" w:rsidRDefault="00260B75">
      <w:pPr>
        <w:spacing w:after="158" w:line="525" w:lineRule="auto"/>
        <w:ind w:left="1713" w:right="14" w:hanging="1656"/>
        <w:jc w:val="both"/>
      </w:pPr>
      <w:r>
        <w:rPr>
          <w:sz w:val="26"/>
        </w:rPr>
        <w:t>1 Currículo Nacional Base -CNB- y los textos (materiales curriculares) son au*iliares para el proceso de enseñanza-aprendizaje.</w:t>
      </w:r>
    </w:p>
    <w:p w14:paraId="47F20A1C" w14:textId="77777777" w:rsidR="00053D93" w:rsidRDefault="00260B75">
      <w:pPr>
        <w:spacing w:after="620" w:line="322" w:lineRule="auto"/>
        <w:ind w:left="60" w:right="14" w:hanging="3"/>
        <w:jc w:val="both"/>
      </w:pPr>
      <w:r>
        <w:rPr>
          <w:sz w:val="26"/>
        </w:rPr>
        <w:t>1 Para incrementar la calidad educativa, el docente es el responsable de desarrollar los procesos de enseñanza-aprendizaje establecidos en el Currículo Nacional Base -CNB-, además de contar con el apoyo de los textos; por lo que ambos 1 contribuyen al desarrollo de las competencias y mejorar la calidad de vida de los estudiantes.</w:t>
      </w:r>
    </w:p>
    <w:p w14:paraId="2B7ABA9A" w14:textId="77777777" w:rsidR="00053D93" w:rsidRDefault="00260B75">
      <w:pPr>
        <w:spacing w:after="4" w:line="269" w:lineRule="auto"/>
        <w:ind w:left="60" w:right="14" w:hanging="3"/>
        <w:jc w:val="both"/>
      </w:pPr>
      <w:r>
        <w:rPr>
          <w:sz w:val="26"/>
        </w:rPr>
        <w:t xml:space="preserve">1 Asimismo, PDF del Acuerdo Ministerial Número 3027-2019 de fecha 18 de octubre de 2019, que contiene la creación del Programa Nacional de Textos </w:t>
      </w:r>
      <w:r>
        <w:rPr>
          <w:noProof/>
        </w:rPr>
        <w:drawing>
          <wp:inline distT="0" distB="0" distL="0" distR="0" wp14:anchorId="1165B26E" wp14:editId="057AF145">
            <wp:extent cx="9144" cy="9144"/>
            <wp:effectExtent l="0" t="0" r="0" b="0"/>
            <wp:docPr id="1324540" name="Picture 1324540"/>
            <wp:cNvGraphicFramePr/>
            <a:graphic xmlns:a="http://schemas.openxmlformats.org/drawingml/2006/main">
              <a:graphicData uri="http://schemas.openxmlformats.org/drawingml/2006/picture">
                <pic:pic xmlns:pic="http://schemas.openxmlformats.org/drawingml/2006/picture">
                  <pic:nvPicPr>
                    <pic:cNvPr id="1324540" name="Picture 1324540"/>
                    <pic:cNvPicPr/>
                  </pic:nvPicPr>
                  <pic:blipFill>
                    <a:blip r:embed="rId117"/>
                    <a:stretch>
                      <a:fillRect/>
                    </a:stretch>
                  </pic:blipFill>
                  <pic:spPr>
                    <a:xfrm>
                      <a:off x="0" y="0"/>
                      <a:ext cx="9144" cy="9144"/>
                    </a:xfrm>
                    <a:prstGeom prst="rect">
                      <a:avLst/>
                    </a:prstGeom>
                  </pic:spPr>
                </pic:pic>
              </a:graphicData>
            </a:graphic>
          </wp:inline>
        </w:drawing>
      </w:r>
      <w:r>
        <w:rPr>
          <w:sz w:val="26"/>
        </w:rPr>
        <w:t xml:space="preserve">1 Escolares y Materiales Educativos, el cual establece en el Artículo 1. Lo siguiente: Creación y definición: Se crea el Programa Nacional de Textos Escolares y Materiales Educativos, entendido como u proceso sistemático que incluye 1 acciones de diferentes Direcciones Sustantivas del Ministerio de Educación, que deben estar plenamente coordinadas e interrelacionadas, para lograr eficacia y 1 eficiencia en los procesos de producción, entrega, uso, evaluación pertinencia social, cultural y lingüística, en los textos y materiales educativos que contribuyan a mejorar el aprendizaje. Asimismo, el Artículo 3 regula ia Comisión Central: la 1 cual es responsable de coordinar las acciones técnicas, operativas y administrativas, relativas a la producción, entrega y evaluación de textos escolares y materiales educativos. La Comisión Central será integrada permanentemente </w:t>
      </w:r>
      <w:r>
        <w:rPr>
          <w:noProof/>
        </w:rPr>
        <mc:AlternateContent>
          <mc:Choice Requires="wpg">
            <w:drawing>
              <wp:inline distT="0" distB="0" distL="0" distR="0" wp14:anchorId="5886863C" wp14:editId="3BD87F0B">
                <wp:extent cx="123444" cy="306324"/>
                <wp:effectExtent l="0" t="0" r="0" b="0"/>
                <wp:docPr id="2457952" name="Group 2457952"/>
                <wp:cNvGraphicFramePr/>
                <a:graphic xmlns:a="http://schemas.openxmlformats.org/drawingml/2006/main">
                  <a:graphicData uri="http://schemas.microsoft.com/office/word/2010/wordprocessingGroup">
                    <wpg:wgp>
                      <wpg:cNvGrpSpPr/>
                      <wpg:grpSpPr>
                        <a:xfrm>
                          <a:off x="0" y="0"/>
                          <a:ext cx="123444" cy="306324"/>
                          <a:chOff x="0" y="0"/>
                          <a:chExt cx="123444" cy="306324"/>
                        </a:xfrm>
                      </wpg:grpSpPr>
                      <wps:wsp>
                        <wps:cNvPr id="1321809" name="Rectangle 1321809"/>
                        <wps:cNvSpPr/>
                        <wps:spPr>
                          <a:xfrm>
                            <a:off x="0" y="0"/>
                            <a:ext cx="164181" cy="407411"/>
                          </a:xfrm>
                          <a:prstGeom prst="rect">
                            <a:avLst/>
                          </a:prstGeom>
                          <a:ln>
                            <a:noFill/>
                          </a:ln>
                        </wps:spPr>
                        <wps:txbx>
                          <w:txbxContent>
                            <w:p w14:paraId="0B37F677"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5886863C" id="Group 2457952" o:spid="_x0000_s1855" style="width:9.7pt;height:24.1pt;mso-position-horizontal-relative:char;mso-position-vertical-relative:line" coordsize="123444,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">
                <v:rect id="Rectangle 1321809" o:spid="_x0000_s1856" style="position:absolute;width:164181;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" filled="f" stroked="f">
                  <v:textbox inset="0,0,0,0">
                    <w:txbxContent>
                      <w:p w14:paraId="0B37F677" w14:textId="77777777" w:rsidR="00053D93" w:rsidRDefault="00260B75">
                        <w:r>
                          <w:rPr>
                            <w:sz w:val="74"/>
                          </w:rPr>
                          <w:t>1</w:t>
                        </w:r>
                      </w:p>
                    </w:txbxContent>
                  </v:textbox>
                </v:rect>
                <w10:anchorlock/>
              </v:group>
            </w:pict>
          </mc:Fallback>
        </mc:AlternateContent>
      </w:r>
      <w:r>
        <w:rPr>
          <w:sz w:val="26"/>
        </w:rPr>
        <w:t xml:space="preserve"> por un delegado de cada una de las Direcciones siguientes: Dirección General de Currículo (Digecur), Dirección General de Gestión de Calidad Educativa 1 (Digecade), Dirección General de Educación Bilingüe Intercultural (Digebi),</w:t>
      </w:r>
    </w:p>
    <w:p w14:paraId="1E55650A" w14:textId="77777777" w:rsidR="00053D93" w:rsidRDefault="00260B75">
      <w:pPr>
        <w:spacing w:after="426" w:line="269" w:lineRule="auto"/>
        <w:ind w:left="67" w:right="14" w:hanging="10"/>
        <w:jc w:val="right"/>
      </w:pPr>
      <w:r>
        <w:rPr>
          <w:sz w:val="26"/>
        </w:rPr>
        <w:t>Dirección General de Educación Especial (Digeesp), y Dirección General de</w:t>
      </w:r>
    </w:p>
    <w:p w14:paraId="4D11E1DC" w14:textId="77777777" w:rsidR="00053D93" w:rsidRDefault="00260B75">
      <w:pPr>
        <w:spacing w:after="3"/>
        <w:ind w:left="89" w:hanging="10"/>
      </w:pPr>
      <w:r>
        <w:rPr>
          <w:sz w:val="72"/>
        </w:rPr>
        <w:t>1</w:t>
      </w:r>
    </w:p>
    <w:tbl>
      <w:tblPr>
        <w:tblStyle w:val="TableGrid"/>
        <w:tblW w:w="9410" w:type="dxa"/>
        <w:tblInd w:w="727" w:type="dxa"/>
        <w:tblLook w:val="04A0" w:firstRow="1" w:lastRow="0" w:firstColumn="1" w:lastColumn="0" w:noHBand="0" w:noVBand="1"/>
      </w:tblPr>
      <w:tblGrid>
        <w:gridCol w:w="1225"/>
        <w:gridCol w:w="8214"/>
      </w:tblGrid>
      <w:tr w:rsidR="00053D93" w14:paraId="511EE002" w14:textId="77777777">
        <w:trPr>
          <w:trHeight w:val="641"/>
        </w:trPr>
        <w:tc>
          <w:tcPr>
            <w:tcW w:w="1709" w:type="dxa"/>
            <w:tcBorders>
              <w:top w:val="nil"/>
              <w:left w:val="nil"/>
              <w:bottom w:val="nil"/>
              <w:right w:val="nil"/>
            </w:tcBorders>
          </w:tcPr>
          <w:p w14:paraId="42129BB9" w14:textId="77777777" w:rsidR="00053D93" w:rsidRDefault="00260B75">
            <w:r>
              <w:rPr>
                <w:noProof/>
              </w:rPr>
              <w:drawing>
                <wp:inline distT="0" distB="0" distL="0" distR="0" wp14:anchorId="7B8E9B44" wp14:editId="28E76A7A">
                  <wp:extent cx="1056132" cy="402336"/>
                  <wp:effectExtent l="0" t="0" r="0" b="0"/>
                  <wp:docPr id="1324578" name="Picture 1324578"/>
                  <wp:cNvGraphicFramePr/>
                  <a:graphic xmlns:a="http://schemas.openxmlformats.org/drawingml/2006/main">
                    <a:graphicData uri="http://schemas.openxmlformats.org/drawingml/2006/picture">
                      <pic:pic xmlns:pic="http://schemas.openxmlformats.org/drawingml/2006/picture">
                        <pic:nvPicPr>
                          <pic:cNvPr id="1324578" name="Picture 1324578"/>
                          <pic:cNvPicPr/>
                        </pic:nvPicPr>
                        <pic:blipFill>
                          <a:blip r:embed="rId1774"/>
                          <a:stretch>
                            <a:fillRect/>
                          </a:stretch>
                        </pic:blipFill>
                        <pic:spPr>
                          <a:xfrm>
                            <a:off x="0" y="0"/>
                            <a:ext cx="1056132" cy="402336"/>
                          </a:xfrm>
                          <a:prstGeom prst="rect">
                            <a:avLst/>
                          </a:prstGeom>
                        </pic:spPr>
                      </pic:pic>
                    </a:graphicData>
                  </a:graphic>
                </wp:inline>
              </w:drawing>
            </w:r>
          </w:p>
        </w:tc>
        <w:tc>
          <w:tcPr>
            <w:tcW w:w="7702" w:type="dxa"/>
            <w:tcBorders>
              <w:top w:val="nil"/>
              <w:left w:val="nil"/>
              <w:bottom w:val="nil"/>
              <w:right w:val="nil"/>
            </w:tcBorders>
          </w:tcPr>
          <w:p w14:paraId="5EECEA23" w14:textId="77777777" w:rsidR="00053D93" w:rsidRDefault="00053D93">
            <w:pPr>
              <w:ind w:left="-2753" w:right="10454"/>
            </w:pPr>
          </w:p>
          <w:tbl>
            <w:tblPr>
              <w:tblStyle w:val="TableGrid"/>
              <w:tblW w:w="7656" w:type="dxa"/>
              <w:tblInd w:w="45" w:type="dxa"/>
              <w:tblCellMar>
                <w:top w:w="28" w:type="dxa"/>
                <w:left w:w="1781" w:type="dxa"/>
                <w:right w:w="115" w:type="dxa"/>
              </w:tblCellMar>
              <w:tblLook w:val="04A0" w:firstRow="1" w:lastRow="0" w:firstColumn="1" w:lastColumn="0" w:noHBand="0" w:noVBand="1"/>
            </w:tblPr>
            <w:tblGrid>
              <w:gridCol w:w="7656"/>
            </w:tblGrid>
            <w:tr w:rsidR="00053D93" w14:paraId="295D907D" w14:textId="77777777">
              <w:trPr>
                <w:trHeight w:val="58"/>
              </w:trPr>
              <w:tc>
                <w:tcPr>
                  <w:tcW w:w="7656" w:type="dxa"/>
                  <w:tcBorders>
                    <w:top w:val="nil"/>
                    <w:left w:val="single" w:sz="2" w:space="0" w:color="000000"/>
                    <w:bottom w:val="single" w:sz="2" w:space="0" w:color="000000"/>
                    <w:right w:val="nil"/>
                  </w:tcBorders>
                </w:tcPr>
                <w:p w14:paraId="41DF2A10" w14:textId="77777777" w:rsidR="00053D93" w:rsidRDefault="00053D93"/>
              </w:tc>
            </w:tr>
            <w:tr w:rsidR="00053D93" w14:paraId="559BEC19" w14:textId="77777777">
              <w:trPr>
                <w:trHeight w:val="583"/>
              </w:trPr>
              <w:tc>
                <w:tcPr>
                  <w:tcW w:w="7656" w:type="dxa"/>
                  <w:tcBorders>
                    <w:top w:val="single" w:sz="2" w:space="0" w:color="000000"/>
                    <w:left w:val="single" w:sz="2" w:space="0" w:color="000000"/>
                    <w:bottom w:val="nil"/>
                    <w:right w:val="nil"/>
                  </w:tcBorders>
                </w:tcPr>
                <w:p w14:paraId="057CDBBD" w14:textId="77777777" w:rsidR="00053D93" w:rsidRDefault="00260B75">
                  <w:pPr>
                    <w:ind w:left="842"/>
                  </w:pPr>
                  <w:r>
                    <w:rPr>
                      <w:sz w:val="14"/>
                    </w:rPr>
                    <w:t>MINISTERIO DE EDUCACION</w:t>
                  </w:r>
                </w:p>
                <w:p w14:paraId="22068A59" w14:textId="77777777" w:rsidR="00053D93" w:rsidRDefault="00260B75">
                  <w:pPr>
                    <w:ind w:left="338"/>
                  </w:pPr>
                  <w:r>
                    <w:rPr>
                      <w:sz w:val="14"/>
                    </w:rPr>
                    <w:t>AUDITORIA FINANCIERA Y DE CUMPLIMIENTO</w:t>
                  </w:r>
                </w:p>
                <w:p w14:paraId="6FF64402" w14:textId="77777777" w:rsidR="00053D93" w:rsidRDefault="00260B75">
                  <w:r>
                    <w:rPr>
                      <w:sz w:val="14"/>
                    </w:rPr>
                    <w:t>PERIODO DEL 01 DE ENERO AL 31 OE DICIEMBRE OE 2024</w:t>
                  </w:r>
                </w:p>
              </w:tc>
            </w:tr>
          </w:tbl>
          <w:p w14:paraId="59BD6029" w14:textId="77777777" w:rsidR="00053D93" w:rsidRDefault="00053D93"/>
        </w:tc>
      </w:tr>
    </w:tbl>
    <w:p w14:paraId="288481C6" w14:textId="77777777" w:rsidR="00053D93" w:rsidRDefault="00053D93">
      <w:pPr>
        <w:sectPr w:rsidR="00053D93">
          <w:headerReference w:type="even" r:id="rId1775"/>
          <w:headerReference w:type="default" r:id="rId1776"/>
          <w:footerReference w:type="even" r:id="rId1777"/>
          <w:footerReference w:type="default" r:id="rId1778"/>
          <w:headerReference w:type="first" r:id="rId1779"/>
          <w:footerReference w:type="first" r:id="rId1780"/>
          <w:pgSz w:w="12290" w:h="15883"/>
          <w:pgMar w:top="734" w:right="1807" w:bottom="713" w:left="317" w:header="310" w:footer="720" w:gutter="0"/>
          <w:cols w:space="720"/>
          <w:titlePg/>
        </w:sectPr>
      </w:pPr>
    </w:p>
    <w:p w14:paraId="7E73429F" w14:textId="77777777" w:rsidR="00053D93" w:rsidRDefault="00260B75">
      <w:pPr>
        <w:spacing w:after="10"/>
        <w:ind w:left="216" w:right="-158"/>
      </w:pPr>
      <w:r>
        <w:rPr>
          <w:noProof/>
        </w:rPr>
        <w:drawing>
          <wp:inline distT="0" distB="0" distL="0" distR="0" wp14:anchorId="50EC9E04" wp14:editId="2076D52C">
            <wp:extent cx="6441949" cy="86868"/>
            <wp:effectExtent l="0" t="0" r="0" b="0"/>
            <wp:docPr id="2459019" name="Picture 2459019"/>
            <wp:cNvGraphicFramePr/>
            <a:graphic xmlns:a="http://schemas.openxmlformats.org/drawingml/2006/main">
              <a:graphicData uri="http://schemas.openxmlformats.org/drawingml/2006/picture">
                <pic:pic xmlns:pic="http://schemas.openxmlformats.org/drawingml/2006/picture">
                  <pic:nvPicPr>
                    <pic:cNvPr id="2459019" name="Picture 2459019"/>
                    <pic:cNvPicPr/>
                  </pic:nvPicPr>
                  <pic:blipFill>
                    <a:blip r:embed="rId1781"/>
                    <a:stretch>
                      <a:fillRect/>
                    </a:stretch>
                  </pic:blipFill>
                  <pic:spPr>
                    <a:xfrm>
                      <a:off x="0" y="0"/>
                      <a:ext cx="6441949" cy="86868"/>
                    </a:xfrm>
                    <a:prstGeom prst="rect">
                      <a:avLst/>
                    </a:prstGeom>
                  </pic:spPr>
                </pic:pic>
              </a:graphicData>
            </a:graphic>
          </wp:inline>
        </w:drawing>
      </w:r>
    </w:p>
    <w:p w14:paraId="26CFC8B9" w14:textId="77777777" w:rsidR="00053D93" w:rsidRDefault="00260B75">
      <w:pPr>
        <w:spacing w:after="4" w:line="355" w:lineRule="auto"/>
        <w:ind w:left="1720" w:right="14" w:hanging="1663"/>
        <w:jc w:val="both"/>
      </w:pPr>
      <w:r>
        <w:rPr>
          <w:sz w:val="26"/>
        </w:rPr>
        <w:t>1 Educación Extraescolar (Digeex) y estará coordinada por un técnico especialista que será responsable ante el Viceministerio Técnico. La Sede de la Comisión</w:t>
      </w:r>
    </w:p>
    <w:p w14:paraId="0C541789" w14:textId="77777777" w:rsidR="00053D93" w:rsidRDefault="00260B75">
      <w:pPr>
        <w:tabs>
          <w:tab w:val="center" w:pos="4820"/>
        </w:tabs>
        <w:spacing w:after="108" w:line="269" w:lineRule="auto"/>
      </w:pPr>
      <w:r>
        <w:rPr>
          <w:sz w:val="26"/>
        </w:rPr>
        <w:t>1</w:t>
      </w:r>
      <w:r>
        <w:rPr>
          <w:sz w:val="26"/>
        </w:rPr>
        <w:tab/>
        <w:t>estará ubicada en la Dirección General de Currículo (Digecur).</w:t>
      </w:r>
    </w:p>
    <w:p w14:paraId="11178A56" w14:textId="77777777" w:rsidR="00053D93" w:rsidRDefault="00260B75">
      <w:pPr>
        <w:spacing w:after="105" w:line="266" w:lineRule="auto"/>
        <w:ind w:left="1680" w:hanging="10"/>
      </w:pPr>
      <w:r>
        <w:rPr>
          <w:sz w:val="28"/>
        </w:rPr>
        <w:t>CONCLUSIÓN Y PETICIÓN</w:t>
      </w:r>
    </w:p>
    <w:p w14:paraId="4F22B51F" w14:textId="77777777" w:rsidR="00053D93" w:rsidRDefault="00260B75">
      <w:pPr>
        <w:spacing w:after="3"/>
        <w:ind w:left="74" w:right="3485" w:hanging="10"/>
      </w:pPr>
      <w:r>
        <w:rPr>
          <w:sz w:val="70"/>
        </w:rPr>
        <w:t>1</w:t>
      </w:r>
    </w:p>
    <w:p w14:paraId="018B42BA" w14:textId="77777777" w:rsidR="00053D93" w:rsidRDefault="00260B75">
      <w:pPr>
        <w:spacing w:after="708" w:line="269" w:lineRule="auto"/>
        <w:ind w:left="57" w:right="94" w:firstLine="1656"/>
        <w:jc w:val="both"/>
      </w:pPr>
      <w:r>
        <w:rPr>
          <w:sz w:val="26"/>
        </w:rPr>
        <w:t>Como se describe en proceso de adquisición de libros, inciso 1.2, las autoridades del año 2023, decidieron dejar sin efecto el proceso de licitación, causando que las 1 metas establecidas en el Plan Operativo Anual -POA- del año 2024, tuvieran inconvenientes.</w:t>
      </w:r>
    </w:p>
    <w:p w14:paraId="568B9297" w14:textId="77777777" w:rsidR="00053D93" w:rsidRDefault="00260B75">
      <w:pPr>
        <w:spacing w:after="31" w:line="216" w:lineRule="auto"/>
        <w:ind w:left="60" w:right="79" w:hanging="3"/>
        <w:jc w:val="both"/>
      </w:pPr>
      <w:r>
        <w:rPr>
          <w:sz w:val="26"/>
        </w:rPr>
        <w:t xml:space="preserve">1 Se indica en el inciso 3. de la causa del hallazgo, que la dirección si veló y supervisó para que se realizaran los procesos de licitación y cotización para la </w:t>
      </w:r>
      <w:r>
        <w:rPr>
          <w:noProof/>
        </w:rPr>
        <mc:AlternateContent>
          <mc:Choice Requires="wpg">
            <w:drawing>
              <wp:inline distT="0" distB="0" distL="0" distR="0" wp14:anchorId="09DCCB09" wp14:editId="7665C7C5">
                <wp:extent cx="141732" cy="306324"/>
                <wp:effectExtent l="0" t="0" r="0" b="0"/>
                <wp:docPr id="2457969" name="Group 2457969"/>
                <wp:cNvGraphicFramePr/>
                <a:graphic xmlns:a="http://schemas.openxmlformats.org/drawingml/2006/main">
                  <a:graphicData uri="http://schemas.microsoft.com/office/word/2010/wordprocessingGroup">
                    <wpg:wgp>
                      <wpg:cNvGrpSpPr/>
                      <wpg:grpSpPr>
                        <a:xfrm>
                          <a:off x="0" y="0"/>
                          <a:ext cx="141732" cy="306324"/>
                          <a:chOff x="0" y="0"/>
                          <a:chExt cx="141732" cy="306324"/>
                        </a:xfrm>
                      </wpg:grpSpPr>
                      <wps:wsp>
                        <wps:cNvPr id="1325217" name="Rectangle 1325217"/>
                        <wps:cNvSpPr/>
                        <wps:spPr>
                          <a:xfrm>
                            <a:off x="0" y="0"/>
                            <a:ext cx="188504" cy="407411"/>
                          </a:xfrm>
                          <a:prstGeom prst="rect">
                            <a:avLst/>
                          </a:prstGeom>
                          <a:ln>
                            <a:noFill/>
                          </a:ln>
                        </wps:spPr>
                        <wps:txbx>
                          <w:txbxContent>
                            <w:p w14:paraId="27313D1A" w14:textId="77777777" w:rsidR="00053D93" w:rsidRDefault="00260B75">
                              <w:r>
                                <w:rPr>
                                  <w:sz w:val="82"/>
                                </w:rPr>
                                <w:t>1</w:t>
                              </w:r>
                            </w:p>
                          </w:txbxContent>
                        </wps:txbx>
                        <wps:bodyPr horzOverflow="overflow" vert="horz" lIns="0" tIns="0" rIns="0" bIns="0" rtlCol="0">
                          <a:noAutofit/>
                        </wps:bodyPr>
                      </wps:wsp>
                    </wpg:wgp>
                  </a:graphicData>
                </a:graphic>
              </wp:inline>
            </w:drawing>
          </mc:Choice>
          <mc:Fallback>
            <w:pict>
              <v:group w14:anchorId="09DCCB09" id="Group 2457969" o:spid="_x0000_s1857" style="width:11.15pt;height:24.1pt;mso-position-horizontal-relative:char;mso-position-vertical-relative:line" coordsize="14173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">
                <v:rect id="Rectangle 1325217" o:spid="_x0000_s1858" style="position:absolute;width:188504;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" filled="f" stroked="f">
                  <v:textbox inset="0,0,0,0">
                    <w:txbxContent>
                      <w:p w14:paraId="27313D1A" w14:textId="77777777" w:rsidR="00053D93" w:rsidRDefault="00260B75">
                        <w:r>
                          <w:rPr>
                            <w:sz w:val="82"/>
                          </w:rPr>
                          <w:t>1</w:t>
                        </w:r>
                      </w:p>
                    </w:txbxContent>
                  </v:textbox>
                </v:rect>
                <w10:anchorlock/>
              </v:group>
            </w:pict>
          </mc:Fallback>
        </mc:AlternateContent>
      </w:r>
      <w:r>
        <w:rPr>
          <w:sz w:val="26"/>
        </w:rPr>
        <w:t xml:space="preserve"> elaboración, producción, impresión y distribución para [a provisión de textos escolares en el ciclo escolar 2024; además, del efecto del hallazgo, incisos 4.1 y</w:t>
      </w:r>
    </w:p>
    <w:p w14:paraId="43838D76" w14:textId="77777777" w:rsidR="00053D93" w:rsidRDefault="00260B75">
      <w:pPr>
        <w:spacing w:after="3" w:line="269" w:lineRule="auto"/>
        <w:ind w:left="67" w:right="166" w:hanging="10"/>
        <w:jc w:val="right"/>
      </w:pPr>
      <w:r>
        <w:rPr>
          <w:sz w:val="26"/>
        </w:rPr>
        <w:t>4.2, se evidencia que los niños sí tuvieron acceso a libros en el ciclo escolar 2024.</w:t>
      </w:r>
    </w:p>
    <w:p w14:paraId="28D6CEAC" w14:textId="77777777" w:rsidR="00053D93" w:rsidRDefault="00260B75">
      <w:pPr>
        <w:spacing w:after="3"/>
        <w:ind w:left="74" w:right="3485" w:hanging="10"/>
      </w:pPr>
      <w:r>
        <w:rPr>
          <w:noProof/>
        </w:rPr>
        <w:drawing>
          <wp:inline distT="0" distB="0" distL="0" distR="0" wp14:anchorId="39ADD6EA" wp14:editId="5D1A9CB5">
            <wp:extent cx="13716" cy="9144"/>
            <wp:effectExtent l="0" t="0" r="0" b="0"/>
            <wp:docPr id="1328030" name="Picture 1328030"/>
            <wp:cNvGraphicFramePr/>
            <a:graphic xmlns:a="http://schemas.openxmlformats.org/drawingml/2006/main">
              <a:graphicData uri="http://schemas.openxmlformats.org/drawingml/2006/picture">
                <pic:pic xmlns:pic="http://schemas.openxmlformats.org/drawingml/2006/picture">
                  <pic:nvPicPr>
                    <pic:cNvPr id="1328030" name="Picture 1328030"/>
                    <pic:cNvPicPr/>
                  </pic:nvPicPr>
                  <pic:blipFill>
                    <a:blip r:embed="rId1782"/>
                    <a:stretch>
                      <a:fillRect/>
                    </a:stretch>
                  </pic:blipFill>
                  <pic:spPr>
                    <a:xfrm>
                      <a:off x="0" y="0"/>
                      <a:ext cx="13716" cy="9144"/>
                    </a:xfrm>
                    <a:prstGeom prst="rect">
                      <a:avLst/>
                    </a:prstGeom>
                  </pic:spPr>
                </pic:pic>
              </a:graphicData>
            </a:graphic>
          </wp:inline>
        </w:drawing>
      </w:r>
      <w:r>
        <w:rPr>
          <w:sz w:val="70"/>
        </w:rPr>
        <w:t>1</w:t>
      </w:r>
    </w:p>
    <w:tbl>
      <w:tblPr>
        <w:tblStyle w:val="TableGrid"/>
        <w:tblpPr w:vertAnchor="page" w:horzAnchor="page" w:tblpX="2812" w:tblpY="14551"/>
        <w:tblOverlap w:val="never"/>
        <w:tblW w:w="7664" w:type="dxa"/>
        <w:tblInd w:w="0" w:type="dxa"/>
        <w:tblCellMar>
          <w:top w:w="31" w:type="dxa"/>
          <w:left w:w="1775" w:type="dxa"/>
          <w:right w:w="115" w:type="dxa"/>
        </w:tblCellMar>
        <w:tblLook w:val="04A0" w:firstRow="1" w:lastRow="0" w:firstColumn="1" w:lastColumn="0" w:noHBand="0" w:noVBand="1"/>
      </w:tblPr>
      <w:tblGrid>
        <w:gridCol w:w="7664"/>
      </w:tblGrid>
      <w:tr w:rsidR="00053D93" w14:paraId="0815D413" w14:textId="77777777">
        <w:trPr>
          <w:trHeight w:val="36"/>
        </w:trPr>
        <w:tc>
          <w:tcPr>
            <w:tcW w:w="7664" w:type="dxa"/>
            <w:tcBorders>
              <w:top w:val="nil"/>
              <w:left w:val="single" w:sz="2" w:space="0" w:color="000000"/>
              <w:bottom w:val="single" w:sz="2" w:space="0" w:color="000000"/>
              <w:right w:val="nil"/>
            </w:tcBorders>
          </w:tcPr>
          <w:p w14:paraId="53C3580D" w14:textId="77777777" w:rsidR="00053D93" w:rsidRDefault="00053D93"/>
        </w:tc>
      </w:tr>
      <w:tr w:rsidR="00053D93" w14:paraId="323DDDA5" w14:textId="77777777">
        <w:trPr>
          <w:trHeight w:val="605"/>
        </w:trPr>
        <w:tc>
          <w:tcPr>
            <w:tcW w:w="7664" w:type="dxa"/>
            <w:tcBorders>
              <w:top w:val="single" w:sz="2" w:space="0" w:color="000000"/>
              <w:left w:val="single" w:sz="2" w:space="0" w:color="000000"/>
              <w:bottom w:val="nil"/>
              <w:right w:val="nil"/>
            </w:tcBorders>
          </w:tcPr>
          <w:p w14:paraId="48759F37" w14:textId="77777777" w:rsidR="00053D93" w:rsidRDefault="00260B75">
            <w:pPr>
              <w:ind w:left="842"/>
            </w:pPr>
            <w:r>
              <w:rPr>
                <w:sz w:val="14"/>
              </w:rPr>
              <w:t>MINISTERIO DE EDUCACION</w:t>
            </w:r>
          </w:p>
          <w:p w14:paraId="6369D14D" w14:textId="77777777" w:rsidR="00053D93" w:rsidRDefault="00260B75">
            <w:pPr>
              <w:ind w:left="346"/>
            </w:pPr>
            <w:r>
              <w:rPr>
                <w:sz w:val="14"/>
              </w:rPr>
              <w:t>AUDITORIA FINANCIERA Y DE CUMPLIMIENTO</w:t>
            </w:r>
          </w:p>
          <w:p w14:paraId="6D8F6C62" w14:textId="77777777" w:rsidR="00053D93" w:rsidRDefault="00260B75">
            <w:r>
              <w:rPr>
                <w:sz w:val="14"/>
              </w:rPr>
              <w:t>PERIODO DEL 01 DE ENERO AL 31 DE DIC5EMERE DE 2024</w:t>
            </w:r>
          </w:p>
        </w:tc>
      </w:tr>
    </w:tbl>
    <w:p w14:paraId="0A6CC81B" w14:textId="77777777" w:rsidR="00053D93" w:rsidRDefault="00260B75">
      <w:pPr>
        <w:spacing w:after="4" w:line="217" w:lineRule="auto"/>
        <w:ind w:left="57" w:right="79" w:firstLine="1613"/>
        <w:jc w:val="both"/>
      </w:pPr>
      <w:r>
        <w:rPr>
          <w:noProof/>
        </w:rPr>
        <w:drawing>
          <wp:anchor distT="0" distB="0" distL="114300" distR="114300" simplePos="0" relativeHeight="252349440" behindDoc="0" locked="0" layoutInCell="1" allowOverlap="0" wp14:anchorId="60FAB374" wp14:editId="0CC351F8">
            <wp:simplePos x="0" y="0"/>
            <wp:positionH relativeFrom="page">
              <wp:posOffset>667512</wp:posOffset>
            </wp:positionH>
            <wp:positionV relativeFrom="page">
              <wp:posOffset>9240011</wp:posOffset>
            </wp:positionV>
            <wp:extent cx="1065276" cy="406909"/>
            <wp:effectExtent l="0" t="0" r="0" b="0"/>
            <wp:wrapTopAndBottom/>
            <wp:docPr id="1328111" name="Picture 1328111"/>
            <wp:cNvGraphicFramePr/>
            <a:graphic xmlns:a="http://schemas.openxmlformats.org/drawingml/2006/main">
              <a:graphicData uri="http://schemas.openxmlformats.org/drawingml/2006/picture">
                <pic:pic xmlns:pic="http://schemas.openxmlformats.org/drawingml/2006/picture">
                  <pic:nvPicPr>
                    <pic:cNvPr id="1328111" name="Picture 1328111"/>
                    <pic:cNvPicPr/>
                  </pic:nvPicPr>
                  <pic:blipFill>
                    <a:blip r:embed="rId1783"/>
                    <a:stretch>
                      <a:fillRect/>
                    </a:stretch>
                  </pic:blipFill>
                  <pic:spPr>
                    <a:xfrm>
                      <a:off x="0" y="0"/>
                      <a:ext cx="1065276" cy="406909"/>
                    </a:xfrm>
                    <a:prstGeom prst="rect">
                      <a:avLst/>
                    </a:prstGeom>
                  </pic:spPr>
                </pic:pic>
              </a:graphicData>
            </a:graphic>
          </wp:anchor>
        </w:drawing>
      </w:r>
      <w:r>
        <w:rPr>
          <w:noProof/>
        </w:rPr>
        <w:drawing>
          <wp:anchor distT="0" distB="0" distL="114300" distR="114300" simplePos="0" relativeHeight="252350464" behindDoc="0" locked="0" layoutInCell="1" allowOverlap="0" wp14:anchorId="3C2C4EFE" wp14:editId="0ADF2D16">
            <wp:simplePos x="0" y="0"/>
            <wp:positionH relativeFrom="page">
              <wp:posOffset>7255764</wp:posOffset>
            </wp:positionH>
            <wp:positionV relativeFrom="page">
              <wp:posOffset>768096</wp:posOffset>
            </wp:positionV>
            <wp:extent cx="388620" cy="13716"/>
            <wp:effectExtent l="0" t="0" r="0" b="0"/>
            <wp:wrapTopAndBottom/>
            <wp:docPr id="1328108" name="Picture 1328108"/>
            <wp:cNvGraphicFramePr/>
            <a:graphic xmlns:a="http://schemas.openxmlformats.org/drawingml/2006/main">
              <a:graphicData uri="http://schemas.openxmlformats.org/drawingml/2006/picture">
                <pic:pic xmlns:pic="http://schemas.openxmlformats.org/drawingml/2006/picture">
                  <pic:nvPicPr>
                    <pic:cNvPr id="1328108" name="Picture 1328108"/>
                    <pic:cNvPicPr/>
                  </pic:nvPicPr>
                  <pic:blipFill>
                    <a:blip r:embed="rId1784"/>
                    <a:stretch>
                      <a:fillRect/>
                    </a:stretch>
                  </pic:blipFill>
                  <pic:spPr>
                    <a:xfrm>
                      <a:off x="0" y="0"/>
                      <a:ext cx="388620" cy="13716"/>
                    </a:xfrm>
                    <a:prstGeom prst="rect">
                      <a:avLst/>
                    </a:prstGeom>
                  </pic:spPr>
                </pic:pic>
              </a:graphicData>
            </a:graphic>
          </wp:anchor>
        </w:drawing>
      </w:r>
      <w:r>
        <w:rPr>
          <w:noProof/>
        </w:rPr>
        <mc:AlternateContent>
          <mc:Choice Requires="wpg">
            <w:drawing>
              <wp:anchor distT="0" distB="0" distL="114300" distR="114300" simplePos="0" relativeHeight="252351488" behindDoc="0" locked="0" layoutInCell="1" allowOverlap="1" wp14:anchorId="2ED14B0F" wp14:editId="2E393C6B">
                <wp:simplePos x="0" y="0"/>
                <wp:positionH relativeFrom="column">
                  <wp:posOffset>45720</wp:posOffset>
                </wp:positionH>
                <wp:positionV relativeFrom="paragraph">
                  <wp:posOffset>182057</wp:posOffset>
                </wp:positionV>
                <wp:extent cx="114300" cy="301752"/>
                <wp:effectExtent l="0" t="0" r="0" b="0"/>
                <wp:wrapSquare wrapText="bothSides"/>
                <wp:docPr id="2457970" name="Group 2457970"/>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1325219" name="Rectangle 1325219"/>
                        <wps:cNvSpPr/>
                        <wps:spPr>
                          <a:xfrm>
                            <a:off x="0" y="0"/>
                            <a:ext cx="152019" cy="401330"/>
                          </a:xfrm>
                          <a:prstGeom prst="rect">
                            <a:avLst/>
                          </a:prstGeom>
                          <a:ln>
                            <a:noFill/>
                          </a:ln>
                        </wps:spPr>
                        <wps:txbx>
                          <w:txbxContent>
                            <w:p w14:paraId="09C9C8CA"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2ED14B0F" id="Group 2457970" o:spid="_x0000_s1859" style="position:absolute;left:0;text-align:left;margin-left:3.6pt;margin-top:14.35pt;width:9pt;height:23.75pt;z-index:252351488;mso-position-horizontal-relative:text;mso-position-vertical-relative:text"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">
                <v:rect id="Rectangle 1325219" o:spid="_x0000_s1860"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" filled="f" stroked="f">
                  <v:textbox inset="0,0,0,0">
                    <w:txbxContent>
                      <w:p w14:paraId="09C9C8CA" w14:textId="77777777" w:rsidR="00053D93" w:rsidRDefault="00260B75">
                        <w:r>
                          <w:rPr>
                            <w:sz w:val="70"/>
                          </w:rPr>
                          <w:t>1</w:t>
                        </w:r>
                      </w:p>
                    </w:txbxContent>
                  </v:textbox>
                </v:rect>
                <w10:wrap type="square"/>
              </v:group>
            </w:pict>
          </mc:Fallback>
        </mc:AlternateContent>
      </w:r>
      <w:r>
        <w:rPr>
          <w:sz w:val="26"/>
        </w:rPr>
        <w:t xml:space="preserve">La responsabilidad no la tiene con exclusividad la Dirección General de Gestión de Calidad Educativa, toda vez que existen las diferentes comisiones con funciones propias para el abordaje de la producción impresión y distribución de los textos escolares, de conformidad al Acuerdo Ministerial Número 3027-2019 de fecha 18 </w:t>
      </w:r>
      <w:r>
        <w:rPr>
          <w:noProof/>
        </w:rPr>
        <mc:AlternateContent>
          <mc:Choice Requires="wpg">
            <w:drawing>
              <wp:inline distT="0" distB="0" distL="0" distR="0" wp14:anchorId="64CF90A9" wp14:editId="09EDA1A7">
                <wp:extent cx="123444" cy="301752"/>
                <wp:effectExtent l="0" t="0" r="0" b="0"/>
                <wp:docPr id="2457971" name="Group 2457971"/>
                <wp:cNvGraphicFramePr/>
                <a:graphic xmlns:a="http://schemas.openxmlformats.org/drawingml/2006/main">
                  <a:graphicData uri="http://schemas.microsoft.com/office/word/2010/wordprocessingGroup">
                    <wpg:wgp>
                      <wpg:cNvGrpSpPr/>
                      <wpg:grpSpPr>
                        <a:xfrm>
                          <a:off x="0" y="0"/>
                          <a:ext cx="123444" cy="301752"/>
                          <a:chOff x="0" y="0"/>
                          <a:chExt cx="123444" cy="301752"/>
                        </a:xfrm>
                      </wpg:grpSpPr>
                      <wps:wsp>
                        <wps:cNvPr id="1325220" name="Rectangle 1325220"/>
                        <wps:cNvSpPr/>
                        <wps:spPr>
                          <a:xfrm>
                            <a:off x="0" y="0"/>
                            <a:ext cx="164181" cy="401330"/>
                          </a:xfrm>
                          <a:prstGeom prst="rect">
                            <a:avLst/>
                          </a:prstGeom>
                          <a:ln>
                            <a:noFill/>
                          </a:ln>
                        </wps:spPr>
                        <wps:txbx>
                          <w:txbxContent>
                            <w:p w14:paraId="3A932AE3"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64CF90A9" id="Group 2457971" o:spid="_x0000_s1861" style="width:9.7pt;height:23.75pt;mso-position-horizontal-relative:char;mso-position-vertical-relative:line" coordsize="12344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">
                <v:rect id="Rectangle 1325220" o:spid="_x0000_s1862" style="position:absolute;width:164181;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" filled="f" stroked="f">
                  <v:textbox inset="0,0,0,0">
                    <w:txbxContent>
                      <w:p w14:paraId="3A932AE3" w14:textId="77777777" w:rsidR="00053D93" w:rsidRDefault="00260B75">
                        <w:r>
                          <w:rPr>
                            <w:sz w:val="74"/>
                          </w:rPr>
                          <w:t>1</w:t>
                        </w:r>
                      </w:p>
                    </w:txbxContent>
                  </v:textbox>
                </v:rect>
                <w10:anchorlock/>
              </v:group>
            </w:pict>
          </mc:Fallback>
        </mc:AlternateContent>
      </w:r>
      <w:r>
        <w:rPr>
          <w:sz w:val="26"/>
        </w:rPr>
        <w:t xml:space="preserve"> de octubre de 2019, que contiene la creación del Programa Nacional de Textos</w:t>
      </w:r>
    </w:p>
    <w:p w14:paraId="0A455A07" w14:textId="77777777" w:rsidR="00053D93" w:rsidRDefault="00260B75">
      <w:pPr>
        <w:spacing w:after="58" w:line="269" w:lineRule="auto"/>
        <w:ind w:left="1663" w:right="14" w:hanging="1606"/>
        <w:jc w:val="both"/>
      </w:pPr>
      <w:r>
        <w:rPr>
          <w:sz w:val="26"/>
        </w:rPr>
        <w:t>Escolares y Materiales Educativos. Es la Subdirección de Educación Escolar de la Dirección General de Gestión de Calidad Educativa, el enlace directo en el proceso de licitación y cotización para la elaboración, producción, impresión y distribución para la provisión de textos escolares, conjuntamente con las</w:t>
      </w:r>
    </w:p>
    <w:p w14:paraId="219B6416" w14:textId="77777777" w:rsidR="00053D93" w:rsidRDefault="00260B75">
      <w:pPr>
        <w:tabs>
          <w:tab w:val="center" w:pos="3564"/>
        </w:tabs>
        <w:spacing w:after="429" w:line="269" w:lineRule="auto"/>
      </w:pPr>
      <w:r>
        <w:rPr>
          <w:sz w:val="26"/>
        </w:rPr>
        <w:t>-1</w:t>
      </w:r>
      <w:r>
        <w:rPr>
          <w:sz w:val="26"/>
        </w:rPr>
        <w:tab/>
        <w:t>comisiones creadas para el efecto... "</w:t>
      </w:r>
    </w:p>
    <w:p w14:paraId="615B538B" w14:textId="77777777" w:rsidR="00053D93" w:rsidRDefault="00260B75">
      <w:pPr>
        <w:spacing w:after="113" w:line="266" w:lineRule="auto"/>
        <w:ind w:left="24" w:hanging="10"/>
      </w:pPr>
      <w:r>
        <w:rPr>
          <w:sz w:val="28"/>
        </w:rPr>
        <w:t>Comentario de auditoría</w:t>
      </w:r>
    </w:p>
    <w:p w14:paraId="07A0D424" w14:textId="77777777" w:rsidR="00053D93" w:rsidRDefault="00260B75">
      <w:pPr>
        <w:spacing w:after="4" w:line="269" w:lineRule="auto"/>
        <w:ind w:left="60" w:right="14" w:hanging="3"/>
        <w:jc w:val="both"/>
      </w:pPr>
      <w:r>
        <w:rPr>
          <w:noProof/>
        </w:rPr>
        <mc:AlternateContent>
          <mc:Choice Requires="wpg">
            <w:drawing>
              <wp:anchor distT="0" distB="0" distL="114300" distR="114300" simplePos="0" relativeHeight="252352512" behindDoc="0" locked="0" layoutInCell="1" allowOverlap="1" wp14:anchorId="7C5F399D" wp14:editId="6C3233D8">
                <wp:simplePos x="0" y="0"/>
                <wp:positionH relativeFrom="column">
                  <wp:posOffset>64008</wp:posOffset>
                </wp:positionH>
                <wp:positionV relativeFrom="paragraph">
                  <wp:posOffset>941973</wp:posOffset>
                </wp:positionV>
                <wp:extent cx="128016" cy="292608"/>
                <wp:effectExtent l="0" t="0" r="0" b="0"/>
                <wp:wrapSquare wrapText="bothSides"/>
                <wp:docPr id="2457972" name="Group 2457972"/>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1325224" name="Rectangle 1325224"/>
                        <wps:cNvSpPr/>
                        <wps:spPr>
                          <a:xfrm>
                            <a:off x="0" y="0"/>
                            <a:ext cx="170261" cy="389168"/>
                          </a:xfrm>
                          <a:prstGeom prst="rect">
                            <a:avLst/>
                          </a:prstGeom>
                          <a:ln>
                            <a:noFill/>
                          </a:ln>
                        </wps:spPr>
                        <wps:txbx>
                          <w:txbxContent>
                            <w:p w14:paraId="69FD1DDE"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7C5F399D" id="Group 2457972" o:spid="_x0000_s1863" style="position:absolute;left:0;text-align:left;margin-left:5.05pt;margin-top:74.15pt;width:10.1pt;height:23.05pt;z-index:252352512;mso-position-horizontal-relative:text;mso-position-vertical-relative:text"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">
                <v:rect id="Rectangle 1325224" o:spid="_x0000_s1864" style="position:absolute;width:170261;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" filled="f" stroked="f">
                  <v:textbox inset="0,0,0,0">
                    <w:txbxContent>
                      <w:p w14:paraId="69FD1DDE" w14:textId="77777777" w:rsidR="00053D93" w:rsidRDefault="00260B75">
                        <w:r>
                          <w:rPr>
                            <w:sz w:val="74"/>
                          </w:rPr>
                          <w:t>1</w:t>
                        </w:r>
                      </w:p>
                    </w:txbxContent>
                  </v:textbox>
                </v:rect>
                <w10:wrap type="square"/>
              </v:group>
            </w:pict>
          </mc:Fallback>
        </mc:AlternateContent>
      </w:r>
      <w:r>
        <w:rPr>
          <w:sz w:val="26"/>
        </w:rPr>
        <w:t>-1 Se confirma el hallazgo, para el licenciado Gabriel Ernesto Torres Solares, quien fungió como Subdirector Educación Escolar, durante el período comprendido del -1 1 1 de enero de 2022 al 01 de junio de 2024, en virtud que, sus comentarios y pruebas de descargo, no desvanecen los hechos que se le atribuyen; derivado que, el responsable indica que, dejó de laborar desde mayo 2024; sin embargo, esto no lo exime de su responsabilidad durante el período en que fungió como</w:t>
      </w:r>
    </w:p>
    <w:p w14:paraId="3FF717FC" w14:textId="77777777" w:rsidR="00053D93" w:rsidRDefault="00260B75">
      <w:pPr>
        <w:spacing w:after="276" w:line="269" w:lineRule="auto"/>
        <w:ind w:left="57" w:right="14" w:firstLine="79"/>
        <w:jc w:val="both"/>
      </w:pPr>
      <w:r>
        <w:rPr>
          <w:sz w:val="26"/>
        </w:rPr>
        <w:t>Subdirector Educación Escolar del 1 1 de enero de 2022 al 01 de junio de 2024, derivado que, hubo incumplimiento en las metas físicas y financieras sobre la -1 provisión de textos escolares en los niveles educativos de primaria y preprimaria.</w:t>
      </w:r>
    </w:p>
    <w:p w14:paraId="055FED27" w14:textId="77777777" w:rsidR="00053D93" w:rsidRDefault="00260B75">
      <w:pPr>
        <w:spacing w:after="4" w:line="216" w:lineRule="auto"/>
        <w:ind w:left="60" w:right="14" w:hanging="3"/>
        <w:jc w:val="both"/>
      </w:pPr>
      <w:r>
        <w:rPr>
          <w:noProof/>
        </w:rPr>
        <mc:AlternateContent>
          <mc:Choice Requires="wpg">
            <w:drawing>
              <wp:anchor distT="0" distB="0" distL="114300" distR="114300" simplePos="0" relativeHeight="252353536" behindDoc="0" locked="0" layoutInCell="1" allowOverlap="1" wp14:anchorId="5CFBD064" wp14:editId="43766DF6">
                <wp:simplePos x="0" y="0"/>
                <wp:positionH relativeFrom="column">
                  <wp:posOffset>73152</wp:posOffset>
                </wp:positionH>
                <wp:positionV relativeFrom="paragraph">
                  <wp:posOffset>10010</wp:posOffset>
                </wp:positionV>
                <wp:extent cx="128016" cy="310896"/>
                <wp:effectExtent l="0" t="0" r="0" b="0"/>
                <wp:wrapSquare wrapText="bothSides"/>
                <wp:docPr id="2457973" name="Group 2457973"/>
                <wp:cNvGraphicFramePr/>
                <a:graphic xmlns:a="http://schemas.openxmlformats.org/drawingml/2006/main">
                  <a:graphicData uri="http://schemas.microsoft.com/office/word/2010/wordprocessingGroup">
                    <wpg:wgp>
                      <wpg:cNvGrpSpPr/>
                      <wpg:grpSpPr>
                        <a:xfrm>
                          <a:off x="0" y="0"/>
                          <a:ext cx="128016" cy="310896"/>
                          <a:chOff x="0" y="0"/>
                          <a:chExt cx="128016" cy="310896"/>
                        </a:xfrm>
                      </wpg:grpSpPr>
                      <wps:wsp>
                        <wps:cNvPr id="1325226" name="Rectangle 1325226"/>
                        <wps:cNvSpPr/>
                        <wps:spPr>
                          <a:xfrm>
                            <a:off x="0" y="0"/>
                            <a:ext cx="170261" cy="413491"/>
                          </a:xfrm>
                          <a:prstGeom prst="rect">
                            <a:avLst/>
                          </a:prstGeom>
                          <a:ln>
                            <a:noFill/>
                          </a:ln>
                        </wps:spPr>
                        <wps:txbx>
                          <w:txbxContent>
                            <w:p w14:paraId="0FA3D39E"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5CFBD064" id="Group 2457973" o:spid="_x0000_s1865" style="position:absolute;left:0;text-align:left;margin-left:5.75pt;margin-top:.8pt;width:10.1pt;height:24.5pt;z-index:252353536;mso-position-horizontal-relative:text;mso-position-vertical-relative:text" coordsize="128016,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">
                <v:rect id="Rectangle 1325226" o:spid="_x0000_s1866" style="position:absolute;width:170261;height:41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" filled="f" stroked="f">
                  <v:textbox inset="0,0,0,0">
                    <w:txbxContent>
                      <w:p w14:paraId="0FA3D39E" w14:textId="77777777" w:rsidR="00053D93" w:rsidRDefault="00260B75">
                        <w:r>
                          <w:rPr>
                            <w:sz w:val="74"/>
                          </w:rPr>
                          <w:t>1</w:t>
                        </w:r>
                      </w:p>
                    </w:txbxContent>
                  </v:textbox>
                </v:rect>
                <w10:wrap type="square"/>
              </v:group>
            </w:pict>
          </mc:Fallback>
        </mc:AlternateContent>
      </w:r>
      <w:r>
        <w:rPr>
          <w:sz w:val="26"/>
        </w:rPr>
        <w:t>Además, el responsable manifiesta que, se concretó la compra de los textos de preprimaria en el Programa 11, y fueron distribuidos para uso en el 2024 y en el caso de lo adicional fue programado para 2025, sin embargo, la compra que 1 realizaron reflejó una ejecución financiera del 45.83% y una ejecución física del</w:t>
      </w:r>
    </w:p>
    <w:p w14:paraId="4C199309" w14:textId="77777777" w:rsidR="00053D93" w:rsidRDefault="00260B75">
      <w:pPr>
        <w:spacing w:after="41"/>
        <w:ind w:left="1483" w:right="-857"/>
      </w:pPr>
      <w:r>
        <w:rPr>
          <w:noProof/>
        </w:rPr>
        <w:drawing>
          <wp:inline distT="0" distB="0" distL="0" distR="0" wp14:anchorId="316543D8" wp14:editId="14E88844">
            <wp:extent cx="6076188" cy="41148"/>
            <wp:effectExtent l="0" t="0" r="0" b="0"/>
            <wp:docPr id="2459021" name="Picture 2459021"/>
            <wp:cNvGraphicFramePr/>
            <a:graphic xmlns:a="http://schemas.openxmlformats.org/drawingml/2006/main">
              <a:graphicData uri="http://schemas.openxmlformats.org/drawingml/2006/picture">
                <pic:pic xmlns:pic="http://schemas.openxmlformats.org/drawingml/2006/picture">
                  <pic:nvPicPr>
                    <pic:cNvPr id="2459021" name="Picture 2459021"/>
                    <pic:cNvPicPr/>
                  </pic:nvPicPr>
                  <pic:blipFill>
                    <a:blip r:embed="rId1785"/>
                    <a:stretch>
                      <a:fillRect/>
                    </a:stretch>
                  </pic:blipFill>
                  <pic:spPr>
                    <a:xfrm>
                      <a:off x="0" y="0"/>
                      <a:ext cx="6076188" cy="41148"/>
                    </a:xfrm>
                    <a:prstGeom prst="rect">
                      <a:avLst/>
                    </a:prstGeom>
                  </pic:spPr>
                </pic:pic>
              </a:graphicData>
            </a:graphic>
          </wp:inline>
        </w:drawing>
      </w:r>
    </w:p>
    <w:p w14:paraId="0C2A9E02" w14:textId="77777777" w:rsidR="00053D93" w:rsidRDefault="00260B75">
      <w:pPr>
        <w:spacing w:after="91" w:line="269" w:lineRule="auto"/>
        <w:ind w:left="60" w:right="14" w:hanging="3"/>
        <w:jc w:val="both"/>
      </w:pPr>
      <w:r>
        <w:rPr>
          <w:sz w:val="26"/>
        </w:rPr>
        <w:t>1 50.62%, correspondiente a 577,293 libros (textos escolares); lo cual evidencia y confirma el incumplimiento en las metas físicas y financieras sobre la provisión de 1 textos escolares en el nivel educativo de preprimaria.</w:t>
      </w:r>
    </w:p>
    <w:p w14:paraId="59FC6F1E" w14:textId="77777777" w:rsidR="00053D93" w:rsidRDefault="00260B75">
      <w:pPr>
        <w:spacing w:after="347" w:line="269" w:lineRule="auto"/>
        <w:ind w:left="57" w:right="14" w:firstLine="1656"/>
        <w:jc w:val="both"/>
      </w:pPr>
      <w:r>
        <w:rPr>
          <w:sz w:val="26"/>
        </w:rPr>
        <w:t xml:space="preserve">Asimismo, el responsable exterioriza que, en el Nivel de Educación Primaria, 1 realizaron la entrega de los textos de primer grado y que [os demás grados no fueron atendidos debido a que la designación presupuestaria era limitada y por tal 1 razón no procedía; sin embargo, esa entrega reflejó una ejecución financiera del 1 7.60 </w:t>
      </w:r>
      <w:r>
        <w:rPr>
          <w:sz w:val="26"/>
          <w:vertAlign w:val="superscript"/>
        </w:rPr>
        <w:t>0</w:t>
      </w:r>
      <w:r>
        <w:rPr>
          <w:sz w:val="26"/>
        </w:rPr>
        <w:t xml:space="preserve">/0 y una ejecución física del 24.95%, correspondiente a 1 ,531 ,510 textos escolares; con lo cual se evidencia y confirma el incumplimiento en las metas 1 físicas y financieras sobre la provisión de textos escolares en el nivel educativo de primaria; derivado que, alrededor de 1,682,898 niños y niñas de segundo a sexto grado primaria, no tuvieron acceso a los textos correspondientes para el ciclo </w:t>
      </w:r>
      <w:r>
        <w:rPr>
          <w:noProof/>
        </w:rPr>
        <mc:AlternateContent>
          <mc:Choice Requires="wpg">
            <w:drawing>
              <wp:inline distT="0" distB="0" distL="0" distR="0" wp14:anchorId="37C06787" wp14:editId="6B50832D">
                <wp:extent cx="132588" cy="301752"/>
                <wp:effectExtent l="0" t="0" r="0" b="0"/>
                <wp:docPr id="2457979" name="Group 2457979"/>
                <wp:cNvGraphicFramePr/>
                <a:graphic xmlns:a="http://schemas.openxmlformats.org/drawingml/2006/main">
                  <a:graphicData uri="http://schemas.microsoft.com/office/word/2010/wordprocessingGroup">
                    <wpg:wgp>
                      <wpg:cNvGrpSpPr/>
                      <wpg:grpSpPr>
                        <a:xfrm>
                          <a:off x="0" y="0"/>
                          <a:ext cx="132588" cy="301752"/>
                          <a:chOff x="0" y="0"/>
                          <a:chExt cx="132588" cy="301752"/>
                        </a:xfrm>
                      </wpg:grpSpPr>
                      <wps:wsp>
                        <wps:cNvPr id="1328740" name="Rectangle 1328740"/>
                        <wps:cNvSpPr/>
                        <wps:spPr>
                          <a:xfrm>
                            <a:off x="0" y="0"/>
                            <a:ext cx="176342" cy="401330"/>
                          </a:xfrm>
                          <a:prstGeom prst="rect">
                            <a:avLst/>
                          </a:prstGeom>
                          <a:ln>
                            <a:noFill/>
                          </a:ln>
                        </wps:spPr>
                        <wps:txbx>
                          <w:txbxContent>
                            <w:p w14:paraId="034C823A" w14:textId="77777777" w:rsidR="00053D93" w:rsidRDefault="00260B75">
                              <w:r>
                                <w:rPr>
                                  <w:sz w:val="80"/>
                                </w:rPr>
                                <w:t>1</w:t>
                              </w:r>
                            </w:p>
                          </w:txbxContent>
                        </wps:txbx>
                        <wps:bodyPr horzOverflow="overflow" vert="horz" lIns="0" tIns="0" rIns="0" bIns="0" rtlCol="0">
                          <a:noAutofit/>
                        </wps:bodyPr>
                      </wps:wsp>
                    </wpg:wgp>
                  </a:graphicData>
                </a:graphic>
              </wp:inline>
            </w:drawing>
          </mc:Choice>
          <mc:Fallback>
            <w:pict>
              <v:group w14:anchorId="37C06787" id="Group 2457979" o:spid="_x0000_s1867" style="width:10.45pt;height:23.75pt;mso-position-horizontal-relative:char;mso-position-vertical-relative:line" coordsize="132588,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">
                <v:rect id="Rectangle 1328740" o:spid="_x0000_s1868" style="position:absolute;width:176342;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" filled="f" stroked="f">
                  <v:textbox inset="0,0,0,0">
                    <w:txbxContent>
                      <w:p w14:paraId="034C823A" w14:textId="77777777" w:rsidR="00053D93" w:rsidRDefault="00260B75">
                        <w:r>
                          <w:rPr>
                            <w:sz w:val="80"/>
                          </w:rPr>
                          <w:t>1</w:t>
                        </w:r>
                      </w:p>
                    </w:txbxContent>
                  </v:textbox>
                </v:rect>
                <w10:anchorlock/>
              </v:group>
            </w:pict>
          </mc:Fallback>
        </mc:AlternateContent>
      </w:r>
      <w:r>
        <w:rPr>
          <w:sz w:val="26"/>
        </w:rPr>
        <w:t xml:space="preserve"> escolar 2024.</w:t>
      </w:r>
    </w:p>
    <w:p w14:paraId="443FBB2C" w14:textId="77777777" w:rsidR="00053D93" w:rsidRDefault="00260B75">
      <w:pPr>
        <w:tabs>
          <w:tab w:val="right" w:pos="10181"/>
        </w:tabs>
        <w:spacing w:after="4" w:line="269" w:lineRule="auto"/>
      </w:pPr>
      <w:r>
        <w:rPr>
          <w:sz w:val="26"/>
        </w:rPr>
        <w:t>1</w:t>
      </w:r>
      <w:r>
        <w:rPr>
          <w:sz w:val="26"/>
        </w:rPr>
        <w:tab/>
        <w:t>Es preciso indicar que, no presentó documentos de soporte; derivado que, según</w:t>
      </w:r>
    </w:p>
    <w:p w14:paraId="5BFC68B1" w14:textId="77777777" w:rsidR="00053D93" w:rsidRDefault="00260B75">
      <w:pPr>
        <w:spacing w:after="21"/>
        <w:ind w:left="50"/>
      </w:pPr>
      <w:r>
        <w:rPr>
          <w:noProof/>
        </w:rPr>
        <w:drawing>
          <wp:inline distT="0" distB="0" distL="0" distR="0" wp14:anchorId="0AC54D16" wp14:editId="4E2B02A8">
            <wp:extent cx="4572" cy="4572"/>
            <wp:effectExtent l="0" t="0" r="0" b="0"/>
            <wp:docPr id="1331674" name="Picture 1331674"/>
            <wp:cNvGraphicFramePr/>
            <a:graphic xmlns:a="http://schemas.openxmlformats.org/drawingml/2006/main">
              <a:graphicData uri="http://schemas.openxmlformats.org/drawingml/2006/picture">
                <pic:pic xmlns:pic="http://schemas.openxmlformats.org/drawingml/2006/picture">
                  <pic:nvPicPr>
                    <pic:cNvPr id="1331674" name="Picture 1331674"/>
                    <pic:cNvPicPr/>
                  </pic:nvPicPr>
                  <pic:blipFill>
                    <a:blip r:embed="rId845"/>
                    <a:stretch>
                      <a:fillRect/>
                    </a:stretch>
                  </pic:blipFill>
                  <pic:spPr>
                    <a:xfrm>
                      <a:off x="0" y="0"/>
                      <a:ext cx="4572" cy="4572"/>
                    </a:xfrm>
                    <a:prstGeom prst="rect">
                      <a:avLst/>
                    </a:prstGeom>
                  </pic:spPr>
                </pic:pic>
              </a:graphicData>
            </a:graphic>
          </wp:inline>
        </w:drawing>
      </w:r>
    </w:p>
    <w:p w14:paraId="7D4922BE" w14:textId="77777777" w:rsidR="00053D93" w:rsidRDefault="00260B75">
      <w:pPr>
        <w:spacing w:after="448" w:line="269" w:lineRule="auto"/>
        <w:ind w:left="1709" w:right="14" w:hanging="3"/>
        <w:jc w:val="both"/>
      </w:pPr>
      <w:r>
        <w:rPr>
          <w:sz w:val="26"/>
        </w:rPr>
        <w:t>indica el responsable en sus comentarios que no tuvo acceso a los mismos.</w:t>
      </w:r>
    </w:p>
    <w:tbl>
      <w:tblPr>
        <w:tblStyle w:val="TableGrid"/>
        <w:tblpPr w:vertAnchor="page" w:horzAnchor="page" w:tblpX="2822" w:tblpY="14558"/>
        <w:tblOverlap w:val="never"/>
        <w:tblW w:w="7618" w:type="dxa"/>
        <w:tblInd w:w="0" w:type="dxa"/>
        <w:tblCellMar>
          <w:top w:w="28" w:type="dxa"/>
          <w:left w:w="1735" w:type="dxa"/>
          <w:right w:w="115" w:type="dxa"/>
        </w:tblCellMar>
        <w:tblLook w:val="04A0" w:firstRow="1" w:lastRow="0" w:firstColumn="1" w:lastColumn="0" w:noHBand="0" w:noVBand="1"/>
      </w:tblPr>
      <w:tblGrid>
        <w:gridCol w:w="7618"/>
      </w:tblGrid>
      <w:tr w:rsidR="00053D93" w14:paraId="59F5DD29" w14:textId="77777777">
        <w:trPr>
          <w:trHeight w:val="58"/>
        </w:trPr>
        <w:tc>
          <w:tcPr>
            <w:tcW w:w="7618" w:type="dxa"/>
            <w:tcBorders>
              <w:top w:val="nil"/>
              <w:left w:val="single" w:sz="2" w:space="0" w:color="000000"/>
              <w:bottom w:val="single" w:sz="2" w:space="0" w:color="000000"/>
              <w:right w:val="nil"/>
            </w:tcBorders>
          </w:tcPr>
          <w:p w14:paraId="79C6C80F" w14:textId="77777777" w:rsidR="00053D93" w:rsidRDefault="00053D93"/>
        </w:tc>
      </w:tr>
      <w:tr w:rsidR="00053D93" w14:paraId="56012794" w14:textId="77777777">
        <w:trPr>
          <w:trHeight w:val="576"/>
        </w:trPr>
        <w:tc>
          <w:tcPr>
            <w:tcW w:w="7618" w:type="dxa"/>
            <w:tcBorders>
              <w:top w:val="single" w:sz="2" w:space="0" w:color="000000"/>
              <w:left w:val="single" w:sz="2" w:space="0" w:color="000000"/>
              <w:bottom w:val="nil"/>
              <w:right w:val="nil"/>
            </w:tcBorders>
          </w:tcPr>
          <w:p w14:paraId="48325585" w14:textId="77777777" w:rsidR="00053D93" w:rsidRDefault="00260B75">
            <w:pPr>
              <w:ind w:left="835"/>
            </w:pPr>
            <w:r>
              <w:rPr>
                <w:sz w:val="14"/>
              </w:rPr>
              <w:t>MINISTERIO DE EDUCACION</w:t>
            </w:r>
          </w:p>
          <w:p w14:paraId="4E07B12C" w14:textId="77777777" w:rsidR="00053D93" w:rsidRDefault="00260B75">
            <w:pPr>
              <w:ind w:left="338"/>
            </w:pPr>
            <w:r>
              <w:rPr>
                <w:sz w:val="14"/>
              </w:rPr>
              <w:t>AUDITORfA FINANCIERA Y DE CUMPLIMIENTO</w:t>
            </w:r>
          </w:p>
          <w:p w14:paraId="1824C75E" w14:textId="77777777" w:rsidR="00053D93" w:rsidRDefault="00260B75">
            <w:r>
              <w:rPr>
                <w:sz w:val="14"/>
              </w:rPr>
              <w:t>PERIODO DEL 01 OE ENERO AL 31 DE DICIEMERE DE 2024</w:t>
            </w:r>
          </w:p>
        </w:tc>
      </w:tr>
    </w:tbl>
    <w:p w14:paraId="05584F15" w14:textId="77777777" w:rsidR="00053D93" w:rsidRDefault="00260B75">
      <w:pPr>
        <w:spacing w:after="291" w:line="269" w:lineRule="auto"/>
        <w:ind w:left="57" w:right="14" w:firstLine="58"/>
        <w:jc w:val="both"/>
      </w:pPr>
      <w:r>
        <w:rPr>
          <w:noProof/>
        </w:rPr>
        <w:drawing>
          <wp:anchor distT="0" distB="0" distL="114300" distR="114300" simplePos="0" relativeHeight="252354560" behindDoc="0" locked="0" layoutInCell="1" allowOverlap="0" wp14:anchorId="6311D3AD" wp14:editId="3DF27C39">
            <wp:simplePos x="0" y="0"/>
            <wp:positionH relativeFrom="page">
              <wp:posOffset>649224</wp:posOffset>
            </wp:positionH>
            <wp:positionV relativeFrom="page">
              <wp:posOffset>9240013</wp:posOffset>
            </wp:positionV>
            <wp:extent cx="1120140" cy="402336"/>
            <wp:effectExtent l="0" t="0" r="0" b="0"/>
            <wp:wrapTopAndBottom/>
            <wp:docPr id="1331724" name="Picture 1331724"/>
            <wp:cNvGraphicFramePr/>
            <a:graphic xmlns:a="http://schemas.openxmlformats.org/drawingml/2006/main">
              <a:graphicData uri="http://schemas.openxmlformats.org/drawingml/2006/picture">
                <pic:pic xmlns:pic="http://schemas.openxmlformats.org/drawingml/2006/picture">
                  <pic:nvPicPr>
                    <pic:cNvPr id="1331724" name="Picture 1331724"/>
                    <pic:cNvPicPr/>
                  </pic:nvPicPr>
                  <pic:blipFill>
                    <a:blip r:embed="rId1786"/>
                    <a:stretch>
                      <a:fillRect/>
                    </a:stretch>
                  </pic:blipFill>
                  <pic:spPr>
                    <a:xfrm>
                      <a:off x="0" y="0"/>
                      <a:ext cx="1120140" cy="402336"/>
                    </a:xfrm>
                    <a:prstGeom prst="rect">
                      <a:avLst/>
                    </a:prstGeom>
                  </pic:spPr>
                </pic:pic>
              </a:graphicData>
            </a:graphic>
          </wp:anchor>
        </w:drawing>
      </w:r>
      <w:r>
        <w:rPr>
          <w:sz w:val="26"/>
        </w:rPr>
        <w:t xml:space="preserve">1 Se confirma el hallazgo, para la licenciada Olga Tzaquitzal Solís de Motta, quien fungió como Jefa del Nivel de Educación Primaria, durante el período comprendido del 02 de octubre de 2023 al 31 de diciembre de 2024, en virtud que, sus 1 comentarios y pruebas de descargo, no desvanecen los hechos que se [e atribuyen; derivado que, la responsable describe el proceso que conlleva la 1 entrega de libros; sin embargo, la deficiencia establecida en la condición del hallazgo no se refiere a dicho proceso, sino que, al incumplimiento en las metas físicas y financieras sobre la provisión de textos escolares en los niveles -1 educativos de primaria y preprimaria, debido que, en el Programa 1 1 Educación Escolar de Preprimaria, tuvieron una ejecución financiera del 45.83% y una ejecución física del 50,62%, correspondiente a 577,293 libros (textos escolares) y -1 en el Programa 12 Educación Escolar de Primaria, tuvieron una ejecución financiera del 17.60 </w:t>
      </w:r>
      <w:r>
        <w:rPr>
          <w:sz w:val="26"/>
          <w:vertAlign w:val="superscript"/>
        </w:rPr>
        <w:t>0</w:t>
      </w:r>
      <w:r>
        <w:rPr>
          <w:sz w:val="26"/>
        </w:rPr>
        <w:t>/0 y una ejecución física del 24.95%, correspondiente a 1,531 ,510 libros (textos escolares).</w:t>
      </w:r>
    </w:p>
    <w:p w14:paraId="27DE84D7" w14:textId="77777777" w:rsidR="00053D93" w:rsidRDefault="00260B75">
      <w:pPr>
        <w:spacing w:after="196" w:line="269" w:lineRule="auto"/>
        <w:ind w:left="67" w:right="86" w:hanging="10"/>
        <w:jc w:val="right"/>
      </w:pPr>
      <w:r>
        <w:rPr>
          <w:sz w:val="26"/>
        </w:rPr>
        <w:t>Asimismo, la responsable manifiesta que, por medio del oficio Digecade/SEE No.</w:t>
      </w:r>
    </w:p>
    <w:p w14:paraId="1E9AE607" w14:textId="77777777" w:rsidR="00053D93" w:rsidRDefault="00260B75">
      <w:pPr>
        <w:spacing w:after="4" w:line="389" w:lineRule="auto"/>
        <w:ind w:left="1655" w:right="14" w:hanging="1598"/>
        <w:jc w:val="both"/>
      </w:pPr>
      <w:r>
        <w:rPr>
          <w:sz w:val="26"/>
        </w:rPr>
        <w:t>1 332-2023 de fecha 24 de abril de 2023 iniciaron el proceso de licitación para la adquisición del: SERVICIO DE IMPRESIÓN DE TEXTOS PARA NIÑOS DE</w:t>
      </w:r>
    </w:p>
    <w:p w14:paraId="37775DAE" w14:textId="77777777" w:rsidR="00053D93" w:rsidRDefault="00260B75">
      <w:pPr>
        <w:spacing w:after="4" w:line="266" w:lineRule="auto"/>
        <w:ind w:left="14" w:firstLine="1656"/>
      </w:pPr>
      <w:r>
        <w:rPr>
          <w:sz w:val="28"/>
        </w:rPr>
        <w:t>SEGUNDO A SEXTO GRADO DEL NIVEL DE EDUCACIÓN PRIMARIA DE LAS -1 ÁREAS DE MATEMÁTICAS Y COMUNICACIÓN Y LENGUAJE; DE SEGUNDO Y</w:t>
      </w:r>
    </w:p>
    <w:p w14:paraId="7951AC75" w14:textId="77777777" w:rsidR="00053D93" w:rsidRDefault="00260B75">
      <w:pPr>
        <w:spacing w:after="73"/>
        <w:ind w:left="10" w:right="-1" w:hanging="10"/>
        <w:jc w:val="right"/>
      </w:pPr>
      <w:r>
        <w:rPr>
          <w:sz w:val="30"/>
        </w:rPr>
        <w:t>TERCER GRADO DEL AREA DE MEDIO SOCIAL Y NATURAL; DE CUARTO A</w:t>
      </w:r>
    </w:p>
    <w:p w14:paraId="4D51F2F3" w14:textId="77777777" w:rsidR="00053D93" w:rsidRDefault="00260B75">
      <w:pPr>
        <w:pStyle w:val="Ttulo4"/>
        <w:spacing w:line="423" w:lineRule="auto"/>
        <w:ind w:left="1612" w:hanging="1591"/>
      </w:pPr>
      <w:r>
        <w:t>1 SEXTO GRADO DE LAS AREAS DE CIENCIAS NATURALES Y TECNOLOGÍA, CIENCIAS SOCIALES Y FORMACIÓN CIUDADANA Y TEXTOS Ml LIBRO DE</w:t>
      </w:r>
    </w:p>
    <w:p w14:paraId="5BE22439" w14:textId="77777777" w:rsidR="00053D93" w:rsidRDefault="00260B75">
      <w:pPr>
        <w:pStyle w:val="Ttulo5"/>
        <w:spacing w:after="4" w:line="253" w:lineRule="auto"/>
        <w:ind w:left="21" w:firstLine="1591"/>
        <w:jc w:val="both"/>
      </w:pPr>
      <w:r>
        <w:t>LECTURAS PARA CUARTO GRADO PRIMARIA, PARA USO EN 2024, A 1 SOLICITUD DE LA DIGECADE, y determinaron que serían impresos un total de</w:t>
      </w:r>
    </w:p>
    <w:p w14:paraId="0D9497A5" w14:textId="77777777" w:rsidR="00053D93" w:rsidRDefault="00260B75">
      <w:pPr>
        <w:spacing w:after="196" w:line="265" w:lineRule="auto"/>
        <w:ind w:left="1716" w:right="14" w:hanging="10"/>
        <w:jc w:val="center"/>
      </w:pPr>
      <w:r>
        <w:rPr>
          <w:rFonts w:ascii="Courier New" w:eastAsia="Courier New" w:hAnsi="Courier New" w:cs="Courier New"/>
          <w:sz w:val="12"/>
        </w:rPr>
        <w:t>30e</w:t>
      </w:r>
    </w:p>
    <w:p w14:paraId="188A4EDD" w14:textId="77777777" w:rsidR="00053D93" w:rsidRDefault="00260B75">
      <w:pPr>
        <w:spacing w:after="28"/>
        <w:ind w:left="1699" w:right="-14"/>
      </w:pPr>
      <w:r>
        <w:rPr>
          <w:noProof/>
        </w:rPr>
        <mc:AlternateContent>
          <mc:Choice Requires="wpg">
            <w:drawing>
              <wp:inline distT="0" distB="0" distL="0" distR="0" wp14:anchorId="1A947186" wp14:editId="4BD3DAD9">
                <wp:extent cx="5381244" cy="9144"/>
                <wp:effectExtent l="0" t="0" r="0" b="0"/>
                <wp:docPr id="2459024" name="Group 2459024"/>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9023" name="Shape 2459023"/>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24" style="width:423.72pt;height:0.720001pt;mso-position-horizontal-relative:char;mso-position-vertical-relative:line" coordsize="53812,91">
                <v:shape id="Shape 2459023" style="position:absolute;width:53812;height:91;left:0;top:0;" coordsize="5381244,9144" path="m0,4572l5381244,4572">
                  <v:stroke weight="0.720001pt" endcap="flat" joinstyle="miter" miterlimit="1" on="true" color="#000000"/>
                  <v:fill on="false" color="#000000"/>
                </v:shape>
              </v:group>
            </w:pict>
          </mc:Fallback>
        </mc:AlternateContent>
      </w:r>
    </w:p>
    <w:p w14:paraId="0D00376D" w14:textId="77777777" w:rsidR="00053D93" w:rsidRDefault="00260B75">
      <w:pPr>
        <w:tabs>
          <w:tab w:val="right" w:pos="10181"/>
        </w:tabs>
        <w:spacing w:after="4" w:line="269" w:lineRule="auto"/>
      </w:pPr>
      <w:r>
        <w:rPr>
          <w:sz w:val="26"/>
        </w:rPr>
        <w:t>1</w:t>
      </w:r>
      <w:r>
        <w:rPr>
          <w:sz w:val="26"/>
        </w:rPr>
        <w:tab/>
        <w:t>61347,291 textos, y que por medio del oficio Digecade/SEE No. 434-2023 de fecha</w:t>
      </w:r>
    </w:p>
    <w:p w14:paraId="5C5AFA7B" w14:textId="77777777" w:rsidR="00053D93" w:rsidRDefault="00260B75">
      <w:pPr>
        <w:spacing w:after="4" w:line="216" w:lineRule="auto"/>
        <w:ind w:left="57" w:right="14" w:firstLine="1656"/>
        <w:jc w:val="both"/>
      </w:pPr>
      <w:r>
        <w:rPr>
          <w:sz w:val="26"/>
        </w:rPr>
        <w:t>22 de mayo de 2023, les informaron que dicho proceso quedaba sin efecto; por lo 1 tanto, con lo indicado por la responsable se evidencia y confirma el incumplimiento</w:t>
      </w:r>
    </w:p>
    <w:p w14:paraId="29482F21" w14:textId="77777777" w:rsidR="00053D93" w:rsidRDefault="00260B75">
      <w:pPr>
        <w:spacing w:after="600" w:line="269" w:lineRule="auto"/>
        <w:ind w:left="57" w:right="14" w:firstLine="1649"/>
        <w:jc w:val="both"/>
      </w:pPr>
      <w:r>
        <w:rPr>
          <w:sz w:val="26"/>
        </w:rPr>
        <w:t>en las metas físicas y financieras sobre la provisión de textos escolares en el nivel educativo de primaria; derivado que, alrededor de 1,682,898 niños y niñas de 1 segundo a sexto grado primaria, no tuvieron acceso a los textos correspondientes para el ciclo escolar 2024.</w:t>
      </w:r>
    </w:p>
    <w:p w14:paraId="5144D4C9" w14:textId="77777777" w:rsidR="00053D93" w:rsidRDefault="00260B75">
      <w:pPr>
        <w:spacing w:after="47" w:line="345" w:lineRule="auto"/>
        <w:ind w:left="1706" w:right="14" w:hanging="1649"/>
        <w:jc w:val="both"/>
      </w:pPr>
      <w:r>
        <w:rPr>
          <w:sz w:val="26"/>
        </w:rPr>
        <w:t>1 Además, la responsable exterioriza que, el Jefe del Departamento Nivel Primario, no tiene establecido el seguimiento al cumplimiento de las metas físicas y</w:t>
      </w:r>
    </w:p>
    <w:p w14:paraId="58A40E04" w14:textId="77777777" w:rsidR="00053D93" w:rsidRDefault="00260B75">
      <w:pPr>
        <w:spacing w:after="29" w:line="269" w:lineRule="auto"/>
        <w:ind w:left="60" w:right="14" w:hanging="3"/>
        <w:jc w:val="both"/>
      </w:pPr>
      <w:r>
        <w:rPr>
          <w:sz w:val="26"/>
        </w:rPr>
        <w:t>1 financieras sobre la Provisión de Textos Escolares en los Niveles Educativos de Primaria, en sus funciones principales; sin embargo, una de sus funciones principales es la de elaborar el POA del Nivel Primario, y como meta física 1 incluyeron la impresión de 6,347 ,291 textos, para ser ejecutados en el 2024, por lo tanto, dicha meta física no fue cumplida debido que, la única licitación que realizaron fue por un monto de Q.20,305,140.44, correspondiente a 1,531 ,510 1 textos escolares; con esto, se evidencia y confirma el incumplimiento en las metas</w:t>
      </w:r>
    </w:p>
    <w:p w14:paraId="28BA97FB" w14:textId="77777777" w:rsidR="00053D93" w:rsidRDefault="00260B75">
      <w:pPr>
        <w:spacing w:after="106" w:line="216" w:lineRule="auto"/>
        <w:ind w:left="57" w:right="14" w:firstLine="1613"/>
        <w:jc w:val="both"/>
      </w:pPr>
      <w:r>
        <w:rPr>
          <w:sz w:val="26"/>
        </w:rPr>
        <w:t>físicas y financieras sobre la provisión de textos escolares en el nivel educativo de 1</w:t>
      </w:r>
      <w:r>
        <w:rPr>
          <w:sz w:val="26"/>
        </w:rPr>
        <w:tab/>
        <w:t>primaria.</w:t>
      </w:r>
    </w:p>
    <w:tbl>
      <w:tblPr>
        <w:tblStyle w:val="TableGrid"/>
        <w:tblpPr w:vertAnchor="page" w:horzAnchor="page" w:tblpX="2794" w:tblpY="14486"/>
        <w:tblOverlap w:val="never"/>
        <w:tblW w:w="7625" w:type="dxa"/>
        <w:tblInd w:w="0" w:type="dxa"/>
        <w:tblCellMar>
          <w:top w:w="27" w:type="dxa"/>
          <w:left w:w="1735" w:type="dxa"/>
          <w:right w:w="115" w:type="dxa"/>
        </w:tblCellMar>
        <w:tblLook w:val="04A0" w:firstRow="1" w:lastRow="0" w:firstColumn="1" w:lastColumn="0" w:noHBand="0" w:noVBand="1"/>
      </w:tblPr>
      <w:tblGrid>
        <w:gridCol w:w="7625"/>
      </w:tblGrid>
      <w:tr w:rsidR="00053D93" w14:paraId="5B84CA54" w14:textId="77777777">
        <w:trPr>
          <w:trHeight w:val="65"/>
        </w:trPr>
        <w:tc>
          <w:tcPr>
            <w:tcW w:w="7625" w:type="dxa"/>
            <w:tcBorders>
              <w:top w:val="nil"/>
              <w:left w:val="single" w:sz="2" w:space="0" w:color="000000"/>
              <w:bottom w:val="single" w:sz="2" w:space="0" w:color="000000"/>
              <w:right w:val="nil"/>
            </w:tcBorders>
          </w:tcPr>
          <w:p w14:paraId="19653A93" w14:textId="77777777" w:rsidR="00053D93" w:rsidRDefault="00053D93"/>
        </w:tc>
      </w:tr>
      <w:tr w:rsidR="00053D93" w14:paraId="09717ED9" w14:textId="77777777">
        <w:trPr>
          <w:trHeight w:val="576"/>
        </w:trPr>
        <w:tc>
          <w:tcPr>
            <w:tcW w:w="7625" w:type="dxa"/>
            <w:tcBorders>
              <w:top w:val="single" w:sz="2" w:space="0" w:color="000000"/>
              <w:left w:val="single" w:sz="2" w:space="0" w:color="000000"/>
              <w:bottom w:val="nil"/>
              <w:right w:val="nil"/>
            </w:tcBorders>
          </w:tcPr>
          <w:p w14:paraId="1052E9CF" w14:textId="77777777" w:rsidR="00053D93" w:rsidRDefault="00260B75">
            <w:pPr>
              <w:ind w:left="842"/>
            </w:pPr>
            <w:r>
              <w:rPr>
                <w:sz w:val="14"/>
              </w:rPr>
              <w:t>MINISTERIO DE EDUCACION</w:t>
            </w:r>
          </w:p>
          <w:p w14:paraId="57E07640" w14:textId="77777777" w:rsidR="00053D93" w:rsidRDefault="00260B75">
            <w:pPr>
              <w:ind w:left="338"/>
            </w:pPr>
            <w:r>
              <w:rPr>
                <w:sz w:val="14"/>
              </w:rPr>
              <w:t>AUDITORIA FINANCIERA Y DE CUMPLIMIENTO</w:t>
            </w:r>
          </w:p>
          <w:p w14:paraId="59255D19" w14:textId="77777777" w:rsidR="00053D93" w:rsidRDefault="00260B75">
            <w:r>
              <w:rPr>
                <w:sz w:val="14"/>
              </w:rPr>
              <w:t>PERIODO DEL 01 DE ENERO AL 31 DE DICIEMBRE DE 2024</w:t>
            </w:r>
          </w:p>
        </w:tc>
      </w:tr>
    </w:tbl>
    <w:p w14:paraId="621BFA7C" w14:textId="77777777" w:rsidR="00053D93" w:rsidRDefault="00260B75">
      <w:pPr>
        <w:spacing w:after="4" w:line="269" w:lineRule="auto"/>
        <w:ind w:left="57" w:right="14" w:firstLine="1606"/>
        <w:jc w:val="both"/>
      </w:pPr>
      <w:r>
        <w:rPr>
          <w:noProof/>
        </w:rPr>
        <w:drawing>
          <wp:anchor distT="0" distB="0" distL="114300" distR="114300" simplePos="0" relativeHeight="252355584" behindDoc="0" locked="0" layoutInCell="1" allowOverlap="0" wp14:anchorId="197FA761" wp14:editId="5144E0F8">
            <wp:simplePos x="0" y="0"/>
            <wp:positionH relativeFrom="page">
              <wp:posOffset>635508</wp:posOffset>
            </wp:positionH>
            <wp:positionV relativeFrom="page">
              <wp:posOffset>9194292</wp:posOffset>
            </wp:positionV>
            <wp:extent cx="1115568" cy="411480"/>
            <wp:effectExtent l="0" t="0" r="0" b="0"/>
            <wp:wrapTopAndBottom/>
            <wp:docPr id="1335506" name="Picture 1335506"/>
            <wp:cNvGraphicFramePr/>
            <a:graphic xmlns:a="http://schemas.openxmlformats.org/drawingml/2006/main">
              <a:graphicData uri="http://schemas.openxmlformats.org/drawingml/2006/picture">
                <pic:pic xmlns:pic="http://schemas.openxmlformats.org/drawingml/2006/picture">
                  <pic:nvPicPr>
                    <pic:cNvPr id="1335506" name="Picture 1335506"/>
                    <pic:cNvPicPr/>
                  </pic:nvPicPr>
                  <pic:blipFill>
                    <a:blip r:embed="rId1787"/>
                    <a:stretch>
                      <a:fillRect/>
                    </a:stretch>
                  </pic:blipFill>
                  <pic:spPr>
                    <a:xfrm>
                      <a:off x="0" y="0"/>
                      <a:ext cx="1115568" cy="411480"/>
                    </a:xfrm>
                    <a:prstGeom prst="rect">
                      <a:avLst/>
                    </a:prstGeom>
                  </pic:spPr>
                </pic:pic>
              </a:graphicData>
            </a:graphic>
          </wp:anchor>
        </w:drawing>
      </w:r>
      <w:r>
        <w:rPr>
          <w:sz w:val="26"/>
        </w:rPr>
        <w:t>Adicionalmente, la responsable manifiesta que quedó sin efecto, el proceso de 1 licitación de los textos de segundo a sexto grados del nivel de educación primaria, que iban a ser utilizados en el año 2024, por lo cual fue imposible concretarlo y cumplir con la ejecución de las metas físicas y financieras al 31 de diciembre de</w:t>
      </w:r>
    </w:p>
    <w:p w14:paraId="666554F7" w14:textId="77777777" w:rsidR="00053D93" w:rsidRDefault="00260B75">
      <w:pPr>
        <w:spacing w:after="27"/>
        <w:ind w:left="36"/>
      </w:pPr>
      <w:r>
        <w:rPr>
          <w:noProof/>
        </w:rPr>
        <w:drawing>
          <wp:inline distT="0" distB="0" distL="0" distR="0" wp14:anchorId="5A7774CA" wp14:editId="33C85C66">
            <wp:extent cx="9144" cy="9144"/>
            <wp:effectExtent l="0" t="0" r="0" b="0"/>
            <wp:docPr id="1335460" name="Picture 1335460"/>
            <wp:cNvGraphicFramePr/>
            <a:graphic xmlns:a="http://schemas.openxmlformats.org/drawingml/2006/main">
              <a:graphicData uri="http://schemas.openxmlformats.org/drawingml/2006/picture">
                <pic:pic xmlns:pic="http://schemas.openxmlformats.org/drawingml/2006/picture">
                  <pic:nvPicPr>
                    <pic:cNvPr id="1335460" name="Picture 1335460"/>
                    <pic:cNvPicPr/>
                  </pic:nvPicPr>
                  <pic:blipFill>
                    <a:blip r:embed="rId93"/>
                    <a:stretch>
                      <a:fillRect/>
                    </a:stretch>
                  </pic:blipFill>
                  <pic:spPr>
                    <a:xfrm>
                      <a:off x="0" y="0"/>
                      <a:ext cx="9144" cy="9144"/>
                    </a:xfrm>
                    <a:prstGeom prst="rect">
                      <a:avLst/>
                    </a:prstGeom>
                  </pic:spPr>
                </pic:pic>
              </a:graphicData>
            </a:graphic>
          </wp:inline>
        </w:drawing>
      </w:r>
    </w:p>
    <w:p w14:paraId="5879737A" w14:textId="77777777" w:rsidR="00053D93" w:rsidRDefault="00260B75">
      <w:pPr>
        <w:spacing w:after="85" w:line="269" w:lineRule="auto"/>
        <w:ind w:left="60" w:right="14" w:hanging="3"/>
        <w:jc w:val="both"/>
      </w:pPr>
      <w:r>
        <w:rPr>
          <w:sz w:val="26"/>
        </w:rPr>
        <w:t>1 2024; con lo indicado por la responsable, se evidencia y confirma el incumplimiento en las metas físicas y financieras sobre la provisión de textos 1 escolares en el nivel educativo de primaria.</w:t>
      </w:r>
    </w:p>
    <w:p w14:paraId="464FF0CD" w14:textId="77777777" w:rsidR="00053D93" w:rsidRDefault="00260B75">
      <w:pPr>
        <w:spacing w:after="4" w:line="269" w:lineRule="auto"/>
        <w:ind w:left="57" w:right="14" w:firstLine="1606"/>
        <w:jc w:val="both"/>
      </w:pPr>
      <w:r>
        <w:rPr>
          <w:sz w:val="26"/>
        </w:rPr>
        <w:t>Finalmente, la responsable declara que, no tuvo participación en dejar sin efecto el 1 proceso de licitación para la impresión de 6,347 ,291 textos para uso en el año 2024 y cumplir con la ejecución de las metas físicas que están concatenadas a las metas financieras, al 31 de diciembre de 2024; sin embargo, como Jefa del Nivel 1 de Educación Primaria elaboró el POA y como meta física incluyó la impresión de la referida cantidad textos, para ser ejecutados en el 2024, y dicha meta física no 1 fue cumplida, en virtud que, la única licitación que realizaron fue por un monto de Q.20,305,140.44, correspondiente a 1 ,531 ,510 textos escolares; por lo tanto, se evidencia y confirma el incumplimiento en las metas físicas y financieras sobre la 1 provisión de textos escolares en el nivel educativo de primaria.</w:t>
      </w:r>
    </w:p>
    <w:p w14:paraId="03D5CE61" w14:textId="77777777" w:rsidR="00053D93" w:rsidRDefault="00260B75">
      <w:pPr>
        <w:spacing w:after="4" w:line="269" w:lineRule="auto"/>
        <w:ind w:left="57" w:right="14" w:firstLine="1570"/>
        <w:jc w:val="both"/>
      </w:pPr>
      <w:r>
        <w:rPr>
          <w:sz w:val="26"/>
        </w:rPr>
        <w:t>Se confirma el hallazgo, para la licenciada Claudia Elizabeth Morales García de 1 lxquiac, quien fungió como Directora General de Gestión de Calidad Educativa, durante el período comprendido del 25 de enero de 2023 al 31 de diciembre de 1 2024, en virtud que, sus comentarios y pruebas de descargo, no desvanecen los</w:t>
      </w:r>
    </w:p>
    <w:p w14:paraId="3C5B13EA" w14:textId="77777777" w:rsidR="00053D93" w:rsidRDefault="00260B75">
      <w:pPr>
        <w:spacing w:after="40"/>
        <w:ind w:left="1699" w:right="-22"/>
      </w:pPr>
      <w:r>
        <w:rPr>
          <w:noProof/>
        </w:rPr>
        <mc:AlternateContent>
          <mc:Choice Requires="wpg">
            <w:drawing>
              <wp:inline distT="0" distB="0" distL="0" distR="0" wp14:anchorId="288D87ED" wp14:editId="58A464E4">
                <wp:extent cx="5385816" cy="9144"/>
                <wp:effectExtent l="0" t="0" r="0" b="0"/>
                <wp:docPr id="2459026" name="Group 2459026"/>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9025" name="Shape 2459025"/>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26" style="width:424.08pt;height:0.719994pt;mso-position-horizontal-relative:char;mso-position-vertical-relative:line" coordsize="53858,91">
                <v:shape id="Shape 2459025" style="position:absolute;width:53858;height:91;left:0;top:0;" coordsize="5385816,9144" path="m0,4572l5385816,4572">
                  <v:stroke weight="0.719994pt" endcap="flat" joinstyle="miter" miterlimit="1" on="true" color="#000000"/>
                  <v:fill on="false" color="#000000"/>
                </v:shape>
              </v:group>
            </w:pict>
          </mc:Fallback>
        </mc:AlternateContent>
      </w:r>
    </w:p>
    <w:p w14:paraId="0D17C616" w14:textId="77777777" w:rsidR="00053D93" w:rsidRDefault="00260B75">
      <w:pPr>
        <w:spacing w:after="4" w:line="269" w:lineRule="auto"/>
        <w:ind w:left="60" w:right="14" w:hanging="3"/>
        <w:jc w:val="both"/>
      </w:pPr>
      <w:r>
        <w:rPr>
          <w:sz w:val="26"/>
        </w:rPr>
        <w:t xml:space="preserve">1 hechos que se le atribuyen; derivado que, describe el proteso que conlleva la entrega de libros de lectura y textos para los estudiantes de los niveles de 1 educación preprimaria y primaria; sin embargo, la deficiencia establecida en la condición del hallazgo no se refiere a dicho proceso, sino que, al incumplimiento en las metas físicas y financieras sobre la provisión de textos escolares en los 1 niveles educativos de primaria y preprimaria, debido que, en el Programa 1 1 Educación Escolar de Preprimaria, tuvieron una ejecución financiera del 45.83% y una ejecución física del 50.62 </w:t>
      </w:r>
      <w:r>
        <w:rPr>
          <w:sz w:val="26"/>
          <w:vertAlign w:val="superscript"/>
        </w:rPr>
        <w:t>0</w:t>
      </w:r>
      <w:r>
        <w:rPr>
          <w:sz w:val="26"/>
        </w:rPr>
        <w:t xml:space="preserve">/0, correspondiente a 577,293 libros (textos 1 escolares) y en el Programa 12 Educación Escolar de Primaria, tuvieron una ejecución financiera del 1 7.60 </w:t>
      </w:r>
      <w:r>
        <w:rPr>
          <w:sz w:val="26"/>
          <w:vertAlign w:val="superscript"/>
        </w:rPr>
        <w:t>0</w:t>
      </w:r>
      <w:r>
        <w:rPr>
          <w:sz w:val="26"/>
        </w:rPr>
        <w:t>/0 y una ejecución física del 24.95%, 1 correspondiente a 1,531 ,510 libros (textos escolares).</w:t>
      </w:r>
    </w:p>
    <w:p w14:paraId="6416F7CE" w14:textId="77777777" w:rsidR="00053D93" w:rsidRDefault="00260B75">
      <w:pPr>
        <w:spacing w:after="245" w:line="269" w:lineRule="auto"/>
        <w:ind w:left="67" w:right="14" w:hanging="10"/>
        <w:jc w:val="right"/>
      </w:pPr>
      <w:r>
        <w:rPr>
          <w:sz w:val="26"/>
        </w:rPr>
        <w:t>Asimismo, la responsable manifiesta que, por medio del oficio Digecade/SEE No.</w:t>
      </w:r>
    </w:p>
    <w:p w14:paraId="602D946B" w14:textId="77777777" w:rsidR="00053D93" w:rsidRDefault="00260B75">
      <w:pPr>
        <w:spacing w:after="4" w:line="399" w:lineRule="auto"/>
        <w:ind w:left="1735" w:right="14" w:hanging="1678"/>
        <w:jc w:val="both"/>
      </w:pPr>
      <w:r>
        <w:rPr>
          <w:sz w:val="26"/>
        </w:rPr>
        <w:t>1 332-2023 de fecha 24 de abril de 2023 iniciaron el proceso de licitación para la adquisición del: SERVICIO DE IMPRESIÓN DE TEXTOS PARA NIÑOS DE</w:t>
      </w:r>
    </w:p>
    <w:p w14:paraId="4FA3AD01" w14:textId="77777777" w:rsidR="00053D93" w:rsidRDefault="00260B75">
      <w:pPr>
        <w:spacing w:after="4" w:line="266" w:lineRule="auto"/>
        <w:ind w:left="14" w:firstLine="1649"/>
      </w:pPr>
      <w:r>
        <w:rPr>
          <w:sz w:val="28"/>
        </w:rPr>
        <w:t>SEGUNDO A SEXTO GRADO DEL NIVEL DE EDUCACIÓN PRIMARIA DE LAS 1 ÁREAS DE MATEMÁTICAS Y COMUNICACIÓN Y LENGUAJE; DE SEGUNDO Y</w:t>
      </w:r>
    </w:p>
    <w:p w14:paraId="5530DAED" w14:textId="77777777" w:rsidR="00053D93" w:rsidRDefault="00260B75">
      <w:pPr>
        <w:spacing w:after="75"/>
        <w:ind w:left="10" w:right="-1" w:hanging="10"/>
        <w:jc w:val="right"/>
      </w:pPr>
      <w:r>
        <w:rPr>
          <w:sz w:val="30"/>
        </w:rPr>
        <w:t>TERCER GRADO DEL AREA DE MEDIO SOCIAL Y NATURAL; DE CUARTO A</w:t>
      </w:r>
    </w:p>
    <w:p w14:paraId="4E4B8E96" w14:textId="77777777" w:rsidR="00053D93" w:rsidRDefault="00260B75">
      <w:pPr>
        <w:pStyle w:val="Ttulo4"/>
        <w:tabs>
          <w:tab w:val="right" w:pos="10181"/>
        </w:tabs>
        <w:ind w:left="0" w:firstLine="0"/>
        <w:jc w:val="left"/>
      </w:pPr>
      <w:r>
        <w:rPr>
          <w:noProof/>
        </w:rPr>
        <w:drawing>
          <wp:inline distT="0" distB="0" distL="0" distR="0" wp14:anchorId="35BF57D8" wp14:editId="0899CB38">
            <wp:extent cx="4572" cy="9144"/>
            <wp:effectExtent l="0" t="0" r="0" b="0"/>
            <wp:docPr id="1339365" name="Picture 1339365"/>
            <wp:cNvGraphicFramePr/>
            <a:graphic xmlns:a="http://schemas.openxmlformats.org/drawingml/2006/main">
              <a:graphicData uri="http://schemas.openxmlformats.org/drawingml/2006/picture">
                <pic:pic xmlns:pic="http://schemas.openxmlformats.org/drawingml/2006/picture">
                  <pic:nvPicPr>
                    <pic:cNvPr id="1339365" name="Picture 1339365"/>
                    <pic:cNvPicPr/>
                  </pic:nvPicPr>
                  <pic:blipFill>
                    <a:blip r:embed="rId24"/>
                    <a:stretch>
                      <a:fillRect/>
                    </a:stretch>
                  </pic:blipFill>
                  <pic:spPr>
                    <a:xfrm>
                      <a:off x="0" y="0"/>
                      <a:ext cx="4572" cy="9144"/>
                    </a:xfrm>
                    <a:prstGeom prst="rect">
                      <a:avLst/>
                    </a:prstGeom>
                  </pic:spPr>
                </pic:pic>
              </a:graphicData>
            </a:graphic>
          </wp:inline>
        </w:drawing>
      </w:r>
      <w:r>
        <w:t>1</w:t>
      </w:r>
      <w:r>
        <w:tab/>
        <w:t>SEXTO GRADO DE LAS AREAS DE CIENCIAS NATURALES Y TECNOLOGÍA,</w:t>
      </w:r>
    </w:p>
    <w:p w14:paraId="43A9FE30" w14:textId="77777777" w:rsidR="00053D93" w:rsidRDefault="00260B75">
      <w:pPr>
        <w:spacing w:after="0"/>
        <w:ind w:left="10" w:right="-1" w:hanging="10"/>
        <w:jc w:val="right"/>
      </w:pPr>
      <w:r>
        <w:rPr>
          <w:sz w:val="30"/>
        </w:rPr>
        <w:t>CIENCIAS SOCIALES Y FORMACIÓN CIUDADANA Y TEXTOS Ml LIBRO DE</w:t>
      </w:r>
    </w:p>
    <w:tbl>
      <w:tblPr>
        <w:tblStyle w:val="TableGrid"/>
        <w:tblpPr w:vertAnchor="page" w:horzAnchor="page" w:tblpX="2834" w:tblpY="14515"/>
        <w:tblOverlap w:val="never"/>
        <w:tblW w:w="7620" w:type="dxa"/>
        <w:tblInd w:w="0" w:type="dxa"/>
        <w:tblCellMar>
          <w:top w:w="29" w:type="dxa"/>
          <w:left w:w="1738" w:type="dxa"/>
          <w:right w:w="115" w:type="dxa"/>
        </w:tblCellMar>
        <w:tblLook w:val="04A0" w:firstRow="1" w:lastRow="0" w:firstColumn="1" w:lastColumn="0" w:noHBand="0" w:noVBand="1"/>
      </w:tblPr>
      <w:tblGrid>
        <w:gridCol w:w="7620"/>
      </w:tblGrid>
      <w:tr w:rsidR="00053D93" w14:paraId="0D8CE7A4" w14:textId="77777777">
        <w:trPr>
          <w:trHeight w:val="43"/>
        </w:trPr>
        <w:tc>
          <w:tcPr>
            <w:tcW w:w="7620" w:type="dxa"/>
            <w:tcBorders>
              <w:top w:val="nil"/>
              <w:left w:val="single" w:sz="2" w:space="0" w:color="000000"/>
              <w:bottom w:val="single" w:sz="2" w:space="0" w:color="000000"/>
              <w:right w:val="nil"/>
            </w:tcBorders>
          </w:tcPr>
          <w:p w14:paraId="6B894E47" w14:textId="77777777" w:rsidR="00053D93" w:rsidRDefault="00053D93"/>
        </w:tc>
      </w:tr>
      <w:tr w:rsidR="00053D93" w14:paraId="3F1243A0" w14:textId="77777777">
        <w:trPr>
          <w:trHeight w:val="590"/>
        </w:trPr>
        <w:tc>
          <w:tcPr>
            <w:tcW w:w="7620" w:type="dxa"/>
            <w:tcBorders>
              <w:top w:val="single" w:sz="2" w:space="0" w:color="000000"/>
              <w:left w:val="single" w:sz="2" w:space="0" w:color="000000"/>
              <w:bottom w:val="nil"/>
              <w:right w:val="nil"/>
            </w:tcBorders>
          </w:tcPr>
          <w:p w14:paraId="719F3D24" w14:textId="77777777" w:rsidR="00053D93" w:rsidRDefault="00260B75">
            <w:pPr>
              <w:ind w:left="835"/>
            </w:pPr>
            <w:r>
              <w:rPr>
                <w:sz w:val="14"/>
              </w:rPr>
              <w:t>MINISTERIO OE EDUCACION</w:t>
            </w:r>
          </w:p>
          <w:p w14:paraId="04F9819F" w14:textId="77777777" w:rsidR="00053D93" w:rsidRDefault="00260B75">
            <w:pPr>
              <w:ind w:left="338"/>
            </w:pPr>
            <w:r>
              <w:rPr>
                <w:sz w:val="14"/>
              </w:rPr>
              <w:t>AUDITORIA FINANCIERA Y DE CUMPLIMENTO</w:t>
            </w:r>
          </w:p>
          <w:p w14:paraId="72EE67D5" w14:textId="77777777" w:rsidR="00053D93" w:rsidRDefault="00260B75">
            <w:r>
              <w:rPr>
                <w:sz w:val="14"/>
              </w:rPr>
              <w:t>PERiODO DEL 01 DE ENERO AL 31 OE DICIEMBRE OE 2024</w:t>
            </w:r>
          </w:p>
        </w:tc>
      </w:tr>
    </w:tbl>
    <w:p w14:paraId="3AB924AC" w14:textId="77777777" w:rsidR="00053D93" w:rsidRDefault="00260B75">
      <w:pPr>
        <w:pStyle w:val="Ttulo5"/>
        <w:spacing w:after="4" w:line="253" w:lineRule="auto"/>
        <w:ind w:left="21" w:firstLine="1678"/>
        <w:jc w:val="both"/>
      </w:pPr>
      <w:r>
        <w:rPr>
          <w:noProof/>
        </w:rPr>
        <w:drawing>
          <wp:anchor distT="0" distB="0" distL="114300" distR="114300" simplePos="0" relativeHeight="252356608" behindDoc="0" locked="0" layoutInCell="1" allowOverlap="0" wp14:anchorId="0F15DD57" wp14:editId="54D91CB5">
            <wp:simplePos x="0" y="0"/>
            <wp:positionH relativeFrom="page">
              <wp:posOffset>658368</wp:posOffset>
            </wp:positionH>
            <wp:positionV relativeFrom="page">
              <wp:posOffset>9212580</wp:posOffset>
            </wp:positionV>
            <wp:extent cx="1120140" cy="406908"/>
            <wp:effectExtent l="0" t="0" r="0" b="0"/>
            <wp:wrapTopAndBottom/>
            <wp:docPr id="1339408" name="Picture 1339408"/>
            <wp:cNvGraphicFramePr/>
            <a:graphic xmlns:a="http://schemas.openxmlformats.org/drawingml/2006/main">
              <a:graphicData uri="http://schemas.openxmlformats.org/drawingml/2006/picture">
                <pic:pic xmlns:pic="http://schemas.openxmlformats.org/drawingml/2006/picture">
                  <pic:nvPicPr>
                    <pic:cNvPr id="1339408" name="Picture 1339408"/>
                    <pic:cNvPicPr/>
                  </pic:nvPicPr>
                  <pic:blipFill>
                    <a:blip r:embed="rId1788"/>
                    <a:stretch>
                      <a:fillRect/>
                    </a:stretch>
                  </pic:blipFill>
                  <pic:spPr>
                    <a:xfrm>
                      <a:off x="0" y="0"/>
                      <a:ext cx="1120140" cy="406908"/>
                    </a:xfrm>
                    <a:prstGeom prst="rect">
                      <a:avLst/>
                    </a:prstGeom>
                  </pic:spPr>
                </pic:pic>
              </a:graphicData>
            </a:graphic>
          </wp:anchor>
        </w:drawing>
      </w:r>
      <w:r>
        <w:rPr>
          <w:noProof/>
        </w:rPr>
        <w:drawing>
          <wp:anchor distT="0" distB="0" distL="114300" distR="114300" simplePos="0" relativeHeight="252357632" behindDoc="0" locked="0" layoutInCell="1" allowOverlap="0" wp14:anchorId="282F3E3F" wp14:editId="3773BF58">
            <wp:simplePos x="0" y="0"/>
            <wp:positionH relativeFrom="page">
              <wp:posOffset>6949441</wp:posOffset>
            </wp:positionH>
            <wp:positionV relativeFrom="page">
              <wp:posOffset>4206240</wp:posOffset>
            </wp:positionV>
            <wp:extent cx="9144" cy="13716"/>
            <wp:effectExtent l="0" t="0" r="0" b="0"/>
            <wp:wrapSquare wrapText="bothSides"/>
            <wp:docPr id="1339364" name="Picture 1339364"/>
            <wp:cNvGraphicFramePr/>
            <a:graphic xmlns:a="http://schemas.openxmlformats.org/drawingml/2006/main">
              <a:graphicData uri="http://schemas.openxmlformats.org/drawingml/2006/picture">
                <pic:pic xmlns:pic="http://schemas.openxmlformats.org/drawingml/2006/picture">
                  <pic:nvPicPr>
                    <pic:cNvPr id="1339364" name="Picture 1339364"/>
                    <pic:cNvPicPr/>
                  </pic:nvPicPr>
                  <pic:blipFill>
                    <a:blip r:embed="rId1789"/>
                    <a:stretch>
                      <a:fillRect/>
                    </a:stretch>
                  </pic:blipFill>
                  <pic:spPr>
                    <a:xfrm>
                      <a:off x="0" y="0"/>
                      <a:ext cx="9144" cy="13716"/>
                    </a:xfrm>
                    <a:prstGeom prst="rect">
                      <a:avLst/>
                    </a:prstGeom>
                  </pic:spPr>
                </pic:pic>
              </a:graphicData>
            </a:graphic>
          </wp:anchor>
        </w:drawing>
      </w:r>
      <w:r>
        <w:t xml:space="preserve">LECTURAS PARA CUARTO GRADO PRIMARIA, PARA USO EN 2024, A </w:t>
      </w:r>
      <w:r>
        <w:rPr>
          <w:noProof/>
        </w:rPr>
        <w:drawing>
          <wp:inline distT="0" distB="0" distL="0" distR="0" wp14:anchorId="6E805F3E" wp14:editId="4DD2CA47">
            <wp:extent cx="9144" cy="9144"/>
            <wp:effectExtent l="0" t="0" r="0" b="0"/>
            <wp:docPr id="1339366" name="Picture 1339366"/>
            <wp:cNvGraphicFramePr/>
            <a:graphic xmlns:a="http://schemas.openxmlformats.org/drawingml/2006/main">
              <a:graphicData uri="http://schemas.openxmlformats.org/drawingml/2006/picture">
                <pic:pic xmlns:pic="http://schemas.openxmlformats.org/drawingml/2006/picture">
                  <pic:nvPicPr>
                    <pic:cNvPr id="1339366" name="Picture 1339366"/>
                    <pic:cNvPicPr/>
                  </pic:nvPicPr>
                  <pic:blipFill>
                    <a:blip r:embed="rId93"/>
                    <a:stretch>
                      <a:fillRect/>
                    </a:stretch>
                  </pic:blipFill>
                  <pic:spPr>
                    <a:xfrm>
                      <a:off x="0" y="0"/>
                      <a:ext cx="9144" cy="9144"/>
                    </a:xfrm>
                    <a:prstGeom prst="rect">
                      <a:avLst/>
                    </a:prstGeom>
                  </pic:spPr>
                </pic:pic>
              </a:graphicData>
            </a:graphic>
          </wp:inline>
        </w:drawing>
      </w:r>
      <w:r>
        <w:t>1 SOLICITUD DE LA DIGECADE, y determinaron que serían impresos un total de</w:t>
      </w:r>
    </w:p>
    <w:p w14:paraId="6BC0A243" w14:textId="77777777" w:rsidR="00053D93" w:rsidRDefault="00260B75">
      <w:pPr>
        <w:spacing w:after="3" w:line="269" w:lineRule="auto"/>
        <w:ind w:left="67" w:right="14" w:hanging="10"/>
        <w:jc w:val="right"/>
      </w:pPr>
      <w:r>
        <w:rPr>
          <w:sz w:val="26"/>
        </w:rPr>
        <w:t>6,347 ,291 textos, y que por medio del oficio Digecade/SEE No. 434-2023 de fecha</w:t>
      </w:r>
    </w:p>
    <w:p w14:paraId="581DE4FE" w14:textId="77777777" w:rsidR="00053D93" w:rsidRDefault="00260B75">
      <w:pPr>
        <w:spacing w:after="4" w:line="269" w:lineRule="auto"/>
        <w:ind w:left="57" w:right="14" w:firstLine="1663"/>
        <w:jc w:val="both"/>
      </w:pPr>
      <w:r>
        <w:rPr>
          <w:sz w:val="26"/>
        </w:rPr>
        <w:t xml:space="preserve">22 de mayo de 2023, les informaron que dicho proceso quedaba sin efecto; por lo 1 tanto, con lo indicado por la responsable se evidencia y confirma el incumplimiento en las metas físicas y financieras sobre la provisión de textos escolares en el nivel </w:t>
      </w:r>
      <w:r>
        <w:rPr>
          <w:noProof/>
        </w:rPr>
        <w:drawing>
          <wp:inline distT="0" distB="0" distL="0" distR="0" wp14:anchorId="2AA6F045" wp14:editId="615C3ED0">
            <wp:extent cx="9144" cy="4572"/>
            <wp:effectExtent l="0" t="0" r="0" b="0"/>
            <wp:docPr id="1339367" name="Picture 1339367"/>
            <wp:cNvGraphicFramePr/>
            <a:graphic xmlns:a="http://schemas.openxmlformats.org/drawingml/2006/main">
              <a:graphicData uri="http://schemas.openxmlformats.org/drawingml/2006/picture">
                <pic:pic xmlns:pic="http://schemas.openxmlformats.org/drawingml/2006/picture">
                  <pic:nvPicPr>
                    <pic:cNvPr id="1339367" name="Picture 1339367"/>
                    <pic:cNvPicPr/>
                  </pic:nvPicPr>
                  <pic:blipFill>
                    <a:blip r:embed="rId24"/>
                    <a:stretch>
                      <a:fillRect/>
                    </a:stretch>
                  </pic:blipFill>
                  <pic:spPr>
                    <a:xfrm>
                      <a:off x="0" y="0"/>
                      <a:ext cx="9144" cy="4572"/>
                    </a:xfrm>
                    <a:prstGeom prst="rect">
                      <a:avLst/>
                    </a:prstGeom>
                  </pic:spPr>
                </pic:pic>
              </a:graphicData>
            </a:graphic>
          </wp:inline>
        </w:drawing>
      </w:r>
      <w:r>
        <w:rPr>
          <w:sz w:val="26"/>
        </w:rPr>
        <w:t>1 educativo de primaria; derivado que, alrededor de 1 ,682,898 niños y niñas de segundo a sexto grado primaria, no tuvierpn acceso a los textos correspondientes para el ciclo escolar 2024.</w:t>
      </w:r>
    </w:p>
    <w:p w14:paraId="0DE6B978" w14:textId="77777777" w:rsidR="00053D93" w:rsidRDefault="00260B75">
      <w:pPr>
        <w:spacing w:after="0"/>
        <w:ind w:left="58"/>
      </w:pPr>
      <w:r>
        <w:rPr>
          <w:noProof/>
        </w:rPr>
        <mc:AlternateContent>
          <mc:Choice Requires="wpg">
            <w:drawing>
              <wp:inline distT="0" distB="0" distL="0" distR="0" wp14:anchorId="2AE290CC" wp14:editId="50D9B6C7">
                <wp:extent cx="114300" cy="292607"/>
                <wp:effectExtent l="0" t="0" r="0" b="0"/>
                <wp:docPr id="2457989" name="Group 2457989"/>
                <wp:cNvGraphicFramePr/>
                <a:graphic xmlns:a="http://schemas.openxmlformats.org/drawingml/2006/main">
                  <a:graphicData uri="http://schemas.microsoft.com/office/word/2010/wordprocessingGroup">
                    <wpg:wgp>
                      <wpg:cNvGrpSpPr/>
                      <wpg:grpSpPr>
                        <a:xfrm>
                          <a:off x="0" y="0"/>
                          <a:ext cx="114300" cy="292607"/>
                          <a:chOff x="0" y="0"/>
                          <a:chExt cx="114300" cy="292607"/>
                        </a:xfrm>
                      </wpg:grpSpPr>
                      <wps:wsp>
                        <wps:cNvPr id="1336284" name="Rectangle 1336284"/>
                        <wps:cNvSpPr/>
                        <wps:spPr>
                          <a:xfrm>
                            <a:off x="0" y="0"/>
                            <a:ext cx="152019" cy="389168"/>
                          </a:xfrm>
                          <a:prstGeom prst="rect">
                            <a:avLst/>
                          </a:prstGeom>
                          <a:ln>
                            <a:noFill/>
                          </a:ln>
                        </wps:spPr>
                        <wps:txbx>
                          <w:txbxContent>
                            <w:p w14:paraId="2E558359"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2AE290CC" id="Group 2457989" o:spid="_x0000_s1869" style="width:9pt;height:23.05pt;mso-position-horizontal-relative:char;mso-position-vertical-relative:line" coordsize="114300,292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">
                <v:rect id="Rectangle 1336284" o:spid="_x0000_s1870" style="position:absolute;width:152019;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" filled="f" stroked="f">
                  <v:textbox inset="0,0,0,0">
                    <w:txbxContent>
                      <w:p w14:paraId="2E558359" w14:textId="77777777" w:rsidR="00053D93" w:rsidRDefault="00260B75">
                        <w:r>
                          <w:rPr>
                            <w:sz w:val="70"/>
                          </w:rPr>
                          <w:t>1</w:t>
                        </w:r>
                      </w:p>
                    </w:txbxContent>
                  </v:textbox>
                </v:rect>
                <w10:anchorlock/>
              </v:group>
            </w:pict>
          </mc:Fallback>
        </mc:AlternateContent>
      </w:r>
    </w:p>
    <w:p w14:paraId="6765F839" w14:textId="77777777" w:rsidR="00053D93" w:rsidRDefault="00260B75">
      <w:pPr>
        <w:spacing w:after="4" w:line="269" w:lineRule="auto"/>
        <w:ind w:left="57" w:right="14" w:firstLine="1440"/>
        <w:jc w:val="both"/>
      </w:pPr>
      <w:r>
        <w:rPr>
          <w:noProof/>
        </w:rPr>
        <mc:AlternateContent>
          <mc:Choice Requires="wpg">
            <w:drawing>
              <wp:anchor distT="0" distB="0" distL="114300" distR="114300" simplePos="0" relativeHeight="252358656" behindDoc="0" locked="0" layoutInCell="1" allowOverlap="1" wp14:anchorId="4B45D3DF" wp14:editId="50DDFB36">
                <wp:simplePos x="0" y="0"/>
                <wp:positionH relativeFrom="column">
                  <wp:posOffset>36576</wp:posOffset>
                </wp:positionH>
                <wp:positionV relativeFrom="paragraph">
                  <wp:posOffset>250389</wp:posOffset>
                </wp:positionV>
                <wp:extent cx="118872" cy="297180"/>
                <wp:effectExtent l="0" t="0" r="0" b="0"/>
                <wp:wrapSquare wrapText="bothSides"/>
                <wp:docPr id="2457990" name="Group 2457990"/>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1336285" name="Rectangle 1336285"/>
                        <wps:cNvSpPr/>
                        <wps:spPr>
                          <a:xfrm>
                            <a:off x="0" y="0"/>
                            <a:ext cx="158100" cy="395249"/>
                          </a:xfrm>
                          <a:prstGeom prst="rect">
                            <a:avLst/>
                          </a:prstGeom>
                          <a:ln>
                            <a:noFill/>
                          </a:ln>
                        </wps:spPr>
                        <wps:txbx>
                          <w:txbxContent>
                            <w:p w14:paraId="13FF7246"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4B45D3DF" id="Group 2457990" o:spid="_x0000_s1871" style="position:absolute;left:0;text-align:left;margin-left:2.9pt;margin-top:19.7pt;width:9.35pt;height:23.4pt;z-index:252358656;mso-position-horizontal-relative:text;mso-position-vertical-relative:text"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">
                <v:rect id="Rectangle 1336285" o:spid="_x0000_s1872" style="position:absolute;width:158100;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" filled="f" stroked="f">
                  <v:textbox inset="0,0,0,0">
                    <w:txbxContent>
                      <w:p w14:paraId="13FF7246" w14:textId="77777777" w:rsidR="00053D93" w:rsidRDefault="00260B75">
                        <w:r>
                          <w:rPr>
                            <w:sz w:val="72"/>
                          </w:rPr>
                          <w:t>1</w:t>
                        </w:r>
                      </w:p>
                    </w:txbxContent>
                  </v:textbox>
                </v:rect>
                <w10:wrap type="square"/>
              </v:group>
            </w:pict>
          </mc:Fallback>
        </mc:AlternateContent>
      </w:r>
      <w:r>
        <w:rPr>
          <w:sz w:val="26"/>
        </w:rPr>
        <w:t xml:space="preserve">Además, la responsable exterioriza que, no tiene establecido el seguimiento al cumplimiento de las metas físicas y financieras sobre la Provisión de Textos Escolares en los Niveles Educativos de Primaria en el Manual de Funciones; sin embargo, una de sus funciones es coordinar la elaboración del Plan Operativo 1 Anual y el Plan de Adquisiciones, y en el POA para ser ejecutado en el 2024 incluyeron una meta física de 6,347 ,291 textos; por lo tanto si ya tenía conocimiento de que quedaba sin efecto la licitación que cubriría esa cantidad de </w:t>
      </w:r>
      <w:r>
        <w:rPr>
          <w:noProof/>
        </w:rPr>
        <mc:AlternateContent>
          <mc:Choice Requires="wpg">
            <w:drawing>
              <wp:inline distT="0" distB="0" distL="0" distR="0" wp14:anchorId="6EFB215A" wp14:editId="333B78A0">
                <wp:extent cx="118872" cy="292608"/>
                <wp:effectExtent l="0" t="0" r="0" b="0"/>
                <wp:docPr id="2457991" name="Group 2457991"/>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1336287" name="Rectangle 1336287"/>
                        <wps:cNvSpPr/>
                        <wps:spPr>
                          <a:xfrm>
                            <a:off x="0" y="0"/>
                            <a:ext cx="158100" cy="389168"/>
                          </a:xfrm>
                          <a:prstGeom prst="rect">
                            <a:avLst/>
                          </a:prstGeom>
                          <a:ln>
                            <a:noFill/>
                          </a:ln>
                        </wps:spPr>
                        <wps:txbx>
                          <w:txbxContent>
                            <w:p w14:paraId="3FD7C107" w14:textId="77777777" w:rsidR="00053D93" w:rsidRDefault="00260B75">
                              <w:r>
                                <w:rPr>
                                  <w:sz w:val="72"/>
                                </w:rPr>
                                <w:t>1</w:t>
                              </w:r>
                            </w:p>
                          </w:txbxContent>
                        </wps:txbx>
                        <wps:bodyPr horzOverflow="overflow" vert="horz" lIns="0" tIns="0" rIns="0" bIns="0" rtlCol="0">
                          <a:noAutofit/>
                        </wps:bodyPr>
                      </wps:wsp>
                    </wpg:wgp>
                  </a:graphicData>
                </a:graphic>
              </wp:inline>
            </w:drawing>
          </mc:Choice>
          <mc:Fallback>
            <w:pict>
              <v:group w14:anchorId="6EFB215A" id="Group 2457991" o:spid="_x0000_s1873" style="width:9.35pt;height:23.05pt;mso-position-horizontal-relative:char;mso-position-vertical-relative:lin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">
                <v:rect id="Rectangle 1336287" o:spid="_x0000_s1874" style="position:absolute;width:158100;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" filled="f" stroked="f">
                  <v:textbox inset="0,0,0,0">
                    <w:txbxContent>
                      <w:p w14:paraId="3FD7C107" w14:textId="77777777" w:rsidR="00053D93" w:rsidRDefault="00260B75">
                        <w:r>
                          <w:rPr>
                            <w:sz w:val="72"/>
                          </w:rPr>
                          <w:t>1</w:t>
                        </w:r>
                      </w:p>
                    </w:txbxContent>
                  </v:textbox>
                </v:rect>
                <w10:anchorlock/>
              </v:group>
            </w:pict>
          </mc:Fallback>
        </mc:AlternateContent>
      </w:r>
      <w:r>
        <w:rPr>
          <w:sz w:val="26"/>
        </w:rPr>
        <w:t xml:space="preserve"> textos, como Directora General de Gestión de Calidad Educativa hubiera hecho gestiones para modificar el Plan Operativo Anual y establecer metas físicas y financieras que puedan ser cumplidas durante el año en que se ejecutarán; por lo 1 tanto, se evidencia y confirma el incumplimiento en las metas físicas y financieras sobre la provisión de textos escolares en los niveles educativos de preprimaria y 1 primaria; debido que, en el Programa 1 1 Educación Escolar de Preprimaria,</w:t>
      </w:r>
    </w:p>
    <w:p w14:paraId="4DF0956C" w14:textId="77777777" w:rsidR="00053D93" w:rsidRDefault="00053D93">
      <w:pPr>
        <w:sectPr w:rsidR="00053D93">
          <w:headerReference w:type="even" r:id="rId1790"/>
          <w:headerReference w:type="default" r:id="rId1791"/>
          <w:footerReference w:type="even" r:id="rId1792"/>
          <w:footerReference w:type="default" r:id="rId1793"/>
          <w:headerReference w:type="first" r:id="rId1794"/>
          <w:footerReference w:type="first" r:id="rId1795"/>
          <w:pgSz w:w="12290" w:h="15883"/>
          <w:pgMar w:top="785" w:right="1800" w:bottom="691" w:left="310" w:header="353" w:footer="720" w:gutter="0"/>
          <w:cols w:space="720"/>
          <w:titlePg/>
        </w:sectPr>
      </w:pPr>
    </w:p>
    <w:p w14:paraId="21A12D99" w14:textId="77777777" w:rsidR="00053D93" w:rsidRDefault="00260B75">
      <w:pPr>
        <w:spacing w:after="37"/>
        <w:ind w:left="1649"/>
      </w:pPr>
      <w:r>
        <w:rPr>
          <w:noProof/>
        </w:rPr>
        <mc:AlternateContent>
          <mc:Choice Requires="wpg">
            <w:drawing>
              <wp:inline distT="0" distB="0" distL="0" distR="0" wp14:anchorId="0B8F6094" wp14:editId="1678C810">
                <wp:extent cx="5385816" cy="9144"/>
                <wp:effectExtent l="0" t="0" r="0" b="0"/>
                <wp:docPr id="2459028" name="Group 2459028"/>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2459027" name="Shape 2459027"/>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28" style="width:424.08pt;height:0.720001pt;mso-position-horizontal-relative:char;mso-position-vertical-relative:line" coordsize="53858,91">
                <v:shape id="Shape 2459027" style="position:absolute;width:53858;height:91;left:0;top:0;" coordsize="5385816,9144" path="m0,4572l5385816,4572">
                  <v:stroke weight="0.720001pt" endcap="flat" joinstyle="miter" miterlimit="1" on="true" color="#000000"/>
                  <v:fill on="false" color="#000000"/>
                </v:shape>
              </v:group>
            </w:pict>
          </mc:Fallback>
        </mc:AlternateContent>
      </w:r>
    </w:p>
    <w:p w14:paraId="3F5F067F" w14:textId="77777777" w:rsidR="00053D93" w:rsidRDefault="00260B75">
      <w:pPr>
        <w:spacing w:after="12" w:line="317" w:lineRule="auto"/>
        <w:ind w:left="31" w:right="14" w:hanging="3"/>
        <w:jc w:val="both"/>
      </w:pPr>
      <w:r>
        <w:rPr>
          <w:sz w:val="26"/>
        </w:rPr>
        <w:t xml:space="preserve">1 tuvieron una ejecución financiera del 45.83% y una ejecución física del 50.62 </w:t>
      </w:r>
      <w:r>
        <w:rPr>
          <w:sz w:val="26"/>
          <w:vertAlign w:val="superscript"/>
        </w:rPr>
        <w:t>0</w:t>
      </w:r>
      <w:r>
        <w:rPr>
          <w:sz w:val="26"/>
        </w:rPr>
        <w:t>/0, correspondiente a 577,293 libros (textos escolares) y en el Programa 12 1 Educación Escolar de Primaria, tuvieron una ejecución financiera del 17.60% y una ejecución física del 24.95%, correspondiente a 1,531 ,510 libros (textos escolares).</w:t>
      </w:r>
    </w:p>
    <w:p w14:paraId="3B890DA7" w14:textId="77777777" w:rsidR="00053D93" w:rsidRDefault="00260B75">
      <w:pPr>
        <w:spacing w:after="0"/>
        <w:ind w:left="14"/>
      </w:pPr>
      <w:r>
        <w:rPr>
          <w:noProof/>
        </w:rPr>
        <mc:AlternateContent>
          <mc:Choice Requires="wpg">
            <w:drawing>
              <wp:inline distT="0" distB="0" distL="0" distR="0" wp14:anchorId="329FCD6E" wp14:editId="3798B09B">
                <wp:extent cx="114300" cy="292608"/>
                <wp:effectExtent l="0" t="0" r="0" b="0"/>
                <wp:docPr id="2457997" name="Group 2457997"/>
                <wp:cNvGraphicFramePr/>
                <a:graphic xmlns:a="http://schemas.openxmlformats.org/drawingml/2006/main">
                  <a:graphicData uri="http://schemas.microsoft.com/office/word/2010/wordprocessingGroup">
                    <wpg:wgp>
                      <wpg:cNvGrpSpPr/>
                      <wpg:grpSpPr>
                        <a:xfrm>
                          <a:off x="0" y="0"/>
                          <a:ext cx="114300" cy="292608"/>
                          <a:chOff x="0" y="0"/>
                          <a:chExt cx="114300" cy="292608"/>
                        </a:xfrm>
                      </wpg:grpSpPr>
                      <wps:wsp>
                        <wps:cNvPr id="1340181" name="Rectangle 1340181"/>
                        <wps:cNvSpPr/>
                        <wps:spPr>
                          <a:xfrm>
                            <a:off x="0" y="0"/>
                            <a:ext cx="152019" cy="389169"/>
                          </a:xfrm>
                          <a:prstGeom prst="rect">
                            <a:avLst/>
                          </a:prstGeom>
                          <a:ln>
                            <a:noFill/>
                          </a:ln>
                        </wps:spPr>
                        <wps:txbx>
                          <w:txbxContent>
                            <w:p w14:paraId="6632CF29"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329FCD6E" id="Group 2457997" o:spid="_x0000_s1875" style="width:9pt;height:23.05pt;mso-position-horizontal-relative:char;mso-position-vertical-relative:line" coordsize="11430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">
                <v:rect id="Rectangle 1340181" o:spid="_x0000_s1876" style="position:absolute;width:152019;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" filled="f" stroked="f">
                  <v:textbox inset="0,0,0,0">
                    <w:txbxContent>
                      <w:p w14:paraId="6632CF29" w14:textId="77777777" w:rsidR="00053D93" w:rsidRDefault="00260B75">
                        <w:r>
                          <w:rPr>
                            <w:sz w:val="70"/>
                          </w:rPr>
                          <w:t>1</w:t>
                        </w:r>
                      </w:p>
                    </w:txbxContent>
                  </v:textbox>
                </v:rect>
                <w10:anchorlock/>
              </v:group>
            </w:pict>
          </mc:Fallback>
        </mc:AlternateContent>
      </w:r>
    </w:p>
    <w:p w14:paraId="13DD9F81" w14:textId="77777777" w:rsidR="00053D93" w:rsidRDefault="00260B75">
      <w:pPr>
        <w:spacing w:after="5"/>
        <w:ind w:left="24" w:right="35" w:hanging="10"/>
        <w:jc w:val="right"/>
      </w:pPr>
      <w:r>
        <w:rPr>
          <w:sz w:val="26"/>
        </w:rPr>
        <w:t>Adicionalmente, [a responsable declara que, a través del oficio No.</w:t>
      </w:r>
    </w:p>
    <w:p w14:paraId="383CD78E" w14:textId="77777777" w:rsidR="00053D93" w:rsidRDefault="00260B75">
      <w:pPr>
        <w:spacing w:after="12" w:line="250" w:lineRule="auto"/>
        <w:ind w:left="28" w:right="14" w:firstLine="1656"/>
        <w:jc w:val="both"/>
      </w:pPr>
      <w:r>
        <w:rPr>
          <w:sz w:val="26"/>
        </w:rPr>
        <w:t>DIGECADE-090-2024, de fecha 27 de mayo de 2024 dirigido a los subdirectores, 1 específicamente a Gabriel Ernesto Torres Solares, Subdirector de Educación</w:t>
      </w:r>
    </w:p>
    <w:p w14:paraId="11262533" w14:textId="77777777" w:rsidR="00053D93" w:rsidRDefault="00260B75">
      <w:pPr>
        <w:spacing w:after="12" w:line="250" w:lineRule="auto"/>
        <w:ind w:left="28" w:right="14" w:firstLine="1656"/>
        <w:jc w:val="both"/>
      </w:pPr>
      <w:r>
        <w:rPr>
          <w:sz w:val="26"/>
        </w:rPr>
        <w:t xml:space="preserve">Escolar, veló y supervisó para que se realizaran los -procesos de licitación y 1 cotización para la elaboración, producción, impresión y distribución para la provisión de textos escolares en el ciclo escolar 2024; si bien es cierto que veló y supervisó los procesos referidos, sin embargo, no presentó evidencia documental </w:t>
      </w:r>
      <w:r>
        <w:rPr>
          <w:noProof/>
        </w:rPr>
        <mc:AlternateContent>
          <mc:Choice Requires="wpg">
            <w:drawing>
              <wp:inline distT="0" distB="0" distL="0" distR="0" wp14:anchorId="77BBF442" wp14:editId="009692E6">
                <wp:extent cx="123444" cy="297180"/>
                <wp:effectExtent l="0" t="0" r="0" b="0"/>
                <wp:docPr id="2457998" name="Group 2457998"/>
                <wp:cNvGraphicFramePr/>
                <a:graphic xmlns:a="http://schemas.openxmlformats.org/drawingml/2006/main">
                  <a:graphicData uri="http://schemas.microsoft.com/office/word/2010/wordprocessingGroup">
                    <wpg:wgp>
                      <wpg:cNvGrpSpPr/>
                      <wpg:grpSpPr>
                        <a:xfrm>
                          <a:off x="0" y="0"/>
                          <a:ext cx="123444" cy="297180"/>
                          <a:chOff x="0" y="0"/>
                          <a:chExt cx="123444" cy="297180"/>
                        </a:xfrm>
                      </wpg:grpSpPr>
                      <wps:wsp>
                        <wps:cNvPr id="1340184" name="Rectangle 1340184"/>
                        <wps:cNvSpPr/>
                        <wps:spPr>
                          <a:xfrm>
                            <a:off x="0" y="0"/>
                            <a:ext cx="164181" cy="395249"/>
                          </a:xfrm>
                          <a:prstGeom prst="rect">
                            <a:avLst/>
                          </a:prstGeom>
                          <a:ln>
                            <a:noFill/>
                          </a:ln>
                        </wps:spPr>
                        <wps:txbx>
                          <w:txbxContent>
                            <w:p w14:paraId="7A3D689F"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77BBF442" id="Group 2457998" o:spid="_x0000_s1877" style="width:9.7pt;height:23.4pt;mso-position-horizontal-relative:char;mso-position-vertical-relative:line" coordsize="123444,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">
                <v:rect id="Rectangle 1340184" o:spid="_x0000_s1878" style="position:absolute;width:164181;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" filled="f" stroked="f">
                  <v:textbox inset="0,0,0,0">
                    <w:txbxContent>
                      <w:p w14:paraId="7A3D689F" w14:textId="77777777" w:rsidR="00053D93" w:rsidRDefault="00260B75">
                        <w:r>
                          <w:rPr>
                            <w:sz w:val="74"/>
                          </w:rPr>
                          <w:t>1</w:t>
                        </w:r>
                      </w:p>
                    </w:txbxContent>
                  </v:textbox>
                </v:rect>
                <w10:anchorlock/>
              </v:group>
            </w:pict>
          </mc:Fallback>
        </mc:AlternateContent>
      </w:r>
      <w:r>
        <w:rPr>
          <w:sz w:val="26"/>
        </w:rPr>
        <w:t xml:space="preserve"> donde como Directora General de Gestión de Calidad Educativa hubiera hecho gestiones para modificar el Plan Operativo Anual y establecer metas físicas y financieras que puedan ser cumplidas durante el año en que se ejecutarán.</w:t>
      </w:r>
    </w:p>
    <w:p w14:paraId="7F6DDB5B" w14:textId="77777777" w:rsidR="00053D93" w:rsidRDefault="00260B75">
      <w:pPr>
        <w:spacing w:after="0"/>
        <w:ind w:left="38" w:right="22" w:hanging="10"/>
      </w:pPr>
      <w:r>
        <w:rPr>
          <w:sz w:val="70"/>
        </w:rPr>
        <w:t>1</w:t>
      </w:r>
    </w:p>
    <w:tbl>
      <w:tblPr>
        <w:tblStyle w:val="TableGrid"/>
        <w:tblpPr w:vertAnchor="page" w:horzAnchor="page" w:tblpX="2858" w:tblpY="14573"/>
        <w:tblOverlap w:val="never"/>
        <w:tblW w:w="7625" w:type="dxa"/>
        <w:tblInd w:w="0" w:type="dxa"/>
        <w:tblCellMar>
          <w:top w:w="47" w:type="dxa"/>
          <w:left w:w="1742" w:type="dxa"/>
          <w:right w:w="115" w:type="dxa"/>
        </w:tblCellMar>
        <w:tblLook w:val="04A0" w:firstRow="1" w:lastRow="0" w:firstColumn="1" w:lastColumn="0" w:noHBand="0" w:noVBand="1"/>
      </w:tblPr>
      <w:tblGrid>
        <w:gridCol w:w="7625"/>
      </w:tblGrid>
      <w:tr w:rsidR="00053D93" w14:paraId="53A956F5" w14:textId="77777777">
        <w:trPr>
          <w:trHeight w:val="598"/>
        </w:trPr>
        <w:tc>
          <w:tcPr>
            <w:tcW w:w="7625" w:type="dxa"/>
            <w:tcBorders>
              <w:top w:val="single" w:sz="2" w:space="0" w:color="000000"/>
              <w:left w:val="single" w:sz="2" w:space="0" w:color="000000"/>
              <w:bottom w:val="nil"/>
              <w:right w:val="nil"/>
            </w:tcBorders>
          </w:tcPr>
          <w:p w14:paraId="34853D5A" w14:textId="77777777" w:rsidR="00053D93" w:rsidRDefault="00260B75">
            <w:pPr>
              <w:ind w:left="835"/>
            </w:pPr>
            <w:r>
              <w:rPr>
                <w:sz w:val="14"/>
              </w:rPr>
              <w:t>MINISTERIO DE EDUCACION</w:t>
            </w:r>
          </w:p>
          <w:p w14:paraId="768F72F2" w14:textId="77777777" w:rsidR="00053D93" w:rsidRDefault="00260B75">
            <w:pPr>
              <w:ind w:left="338"/>
            </w:pPr>
            <w:r>
              <w:rPr>
                <w:sz w:val="14"/>
              </w:rPr>
              <w:t>AUDITORÍA FINANCIERA Y DE CUMPL'MIENTO</w:t>
            </w:r>
          </w:p>
          <w:p w14:paraId="7839922A" w14:textId="77777777" w:rsidR="00053D93" w:rsidRDefault="00260B75">
            <w:r>
              <w:rPr>
                <w:sz w:val="16"/>
              </w:rPr>
              <w:t>PERIODO DEL 01 DE ENERO AL 31 DE DEIEMBRE OE 2024</w:t>
            </w:r>
          </w:p>
        </w:tc>
      </w:tr>
    </w:tbl>
    <w:p w14:paraId="2279DF08" w14:textId="77777777" w:rsidR="00053D93" w:rsidRDefault="00260B75">
      <w:pPr>
        <w:spacing w:after="12" w:line="250" w:lineRule="auto"/>
        <w:ind w:left="28" w:right="14" w:firstLine="1642"/>
        <w:jc w:val="both"/>
      </w:pPr>
      <w:r>
        <w:rPr>
          <w:noProof/>
        </w:rPr>
        <w:drawing>
          <wp:anchor distT="0" distB="0" distL="114300" distR="114300" simplePos="0" relativeHeight="252359680" behindDoc="0" locked="0" layoutInCell="1" allowOverlap="0" wp14:anchorId="2B8E2C0A" wp14:editId="083C551A">
            <wp:simplePos x="0" y="0"/>
            <wp:positionH relativeFrom="page">
              <wp:posOffset>672084</wp:posOffset>
            </wp:positionH>
            <wp:positionV relativeFrom="page">
              <wp:posOffset>9230868</wp:posOffset>
            </wp:positionV>
            <wp:extent cx="1120140" cy="406909"/>
            <wp:effectExtent l="0" t="0" r="0" b="0"/>
            <wp:wrapTopAndBottom/>
            <wp:docPr id="1343168" name="Picture 1343168"/>
            <wp:cNvGraphicFramePr/>
            <a:graphic xmlns:a="http://schemas.openxmlformats.org/drawingml/2006/main">
              <a:graphicData uri="http://schemas.openxmlformats.org/drawingml/2006/picture">
                <pic:pic xmlns:pic="http://schemas.openxmlformats.org/drawingml/2006/picture">
                  <pic:nvPicPr>
                    <pic:cNvPr id="1343168" name="Picture 1343168"/>
                    <pic:cNvPicPr/>
                  </pic:nvPicPr>
                  <pic:blipFill>
                    <a:blip r:embed="rId1796"/>
                    <a:stretch>
                      <a:fillRect/>
                    </a:stretch>
                  </pic:blipFill>
                  <pic:spPr>
                    <a:xfrm>
                      <a:off x="0" y="0"/>
                      <a:ext cx="1120140" cy="406909"/>
                    </a:xfrm>
                    <a:prstGeom prst="rect">
                      <a:avLst/>
                    </a:prstGeom>
                  </pic:spPr>
                </pic:pic>
              </a:graphicData>
            </a:graphic>
          </wp:anchor>
        </w:drawing>
      </w:r>
      <w:r>
        <w:rPr>
          <w:noProof/>
        </w:rPr>
        <mc:AlternateContent>
          <mc:Choice Requires="wpg">
            <w:drawing>
              <wp:anchor distT="0" distB="0" distL="114300" distR="114300" simplePos="0" relativeHeight="252360704" behindDoc="0" locked="0" layoutInCell="1" allowOverlap="1" wp14:anchorId="0D9980C8" wp14:editId="54EE2892">
                <wp:simplePos x="0" y="0"/>
                <wp:positionH relativeFrom="column">
                  <wp:posOffset>22860</wp:posOffset>
                </wp:positionH>
                <wp:positionV relativeFrom="paragraph">
                  <wp:posOffset>182729</wp:posOffset>
                </wp:positionV>
                <wp:extent cx="114300" cy="297180"/>
                <wp:effectExtent l="0" t="0" r="0" b="0"/>
                <wp:wrapSquare wrapText="bothSides"/>
                <wp:docPr id="2457999" name="Group 2457999"/>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340186" name="Rectangle 1340186"/>
                        <wps:cNvSpPr/>
                        <wps:spPr>
                          <a:xfrm>
                            <a:off x="0" y="0"/>
                            <a:ext cx="152019" cy="395249"/>
                          </a:xfrm>
                          <a:prstGeom prst="rect">
                            <a:avLst/>
                          </a:prstGeom>
                          <a:ln>
                            <a:noFill/>
                          </a:ln>
                        </wps:spPr>
                        <wps:txbx>
                          <w:txbxContent>
                            <w:p w14:paraId="5633CC71"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0D9980C8" id="Group 2457999" o:spid="_x0000_s1879" style="position:absolute;left:0;text-align:left;margin-left:1.8pt;margin-top:14.4pt;width:9pt;height:23.4pt;z-index:252360704;mso-position-horizontal-relative:text;mso-position-vertical-relative:text"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">
                <v:rect id="Rectangle 1340186" o:spid="_x0000_s1880"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" filled="f" stroked="f">
                  <v:textbox inset="0,0,0,0">
                    <w:txbxContent>
                      <w:p w14:paraId="5633CC71" w14:textId="77777777" w:rsidR="00053D93" w:rsidRDefault="00260B75">
                        <w:r>
                          <w:rPr>
                            <w:sz w:val="70"/>
                          </w:rPr>
                          <w:t>1</w:t>
                        </w:r>
                      </w:p>
                    </w:txbxContent>
                  </v:textbox>
                </v:rect>
                <w10:wrap type="square"/>
              </v:group>
            </w:pict>
          </mc:Fallback>
        </mc:AlternateContent>
      </w:r>
      <w:r>
        <w:rPr>
          <w:sz w:val="26"/>
        </w:rPr>
        <w:t xml:space="preserve">Finalmente, [a responsable expone que, la Dirección General de Gestión de Calidad Educativa, no tiene la responsabilidad con exclusividad para el abordaje de la producción impresión y distribución de [os textos escolares, toda vez que existen las diferentes comisiones con funciones propias, conforme al Acuerdo </w:t>
      </w:r>
      <w:r>
        <w:rPr>
          <w:noProof/>
        </w:rPr>
        <mc:AlternateContent>
          <mc:Choice Requires="wpg">
            <w:drawing>
              <wp:inline distT="0" distB="0" distL="0" distR="0" wp14:anchorId="4F975C2A" wp14:editId="7CB7A7CC">
                <wp:extent cx="114300" cy="297180"/>
                <wp:effectExtent l="0" t="0" r="0" b="0"/>
                <wp:docPr id="2458000" name="Group 2458000"/>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1340187" name="Rectangle 1340187"/>
                        <wps:cNvSpPr/>
                        <wps:spPr>
                          <a:xfrm>
                            <a:off x="0" y="0"/>
                            <a:ext cx="152019" cy="395249"/>
                          </a:xfrm>
                          <a:prstGeom prst="rect">
                            <a:avLst/>
                          </a:prstGeom>
                          <a:ln>
                            <a:noFill/>
                          </a:ln>
                        </wps:spPr>
                        <wps:txbx>
                          <w:txbxContent>
                            <w:p w14:paraId="006AF6D7"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4F975C2A" id="Group 2458000" o:spid="_x0000_s1881" style="width:9pt;height:23.4pt;mso-position-horizontal-relative:char;mso-position-vertical-relative:lin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">
                <v:rect id="Rectangle 1340187" o:spid="_x0000_s1882" style="position:absolute;width:152019;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" filled="f" stroked="f">
                  <v:textbox inset="0,0,0,0">
                    <w:txbxContent>
                      <w:p w14:paraId="006AF6D7" w14:textId="77777777" w:rsidR="00053D93" w:rsidRDefault="00260B75">
                        <w:r>
                          <w:rPr>
                            <w:sz w:val="70"/>
                          </w:rPr>
                          <w:t>1</w:t>
                        </w:r>
                      </w:p>
                    </w:txbxContent>
                  </v:textbox>
                </v:rect>
                <w10:anchorlock/>
              </v:group>
            </w:pict>
          </mc:Fallback>
        </mc:AlternateContent>
      </w:r>
      <w:r>
        <w:rPr>
          <w:sz w:val="26"/>
        </w:rPr>
        <w:t xml:space="preserve"> Ministerial Número 3027-2019 de fecha 18 de octubre de 201 9; sin embargo, como Directora General de Gestión de Calidad Educativa el propósito de su puesto es establecer, normar y dar asistencia técnica para la entrega educativa, 1 orientadas a la mejora continua y mejoras de la calidad educativa en el país, el cual fue incumplido debido que, no cumplieron con eficiencia y eficacia la provisión 1 de textos escolares en los niveles educativos de preprimaria y primaria, ya que, en el Programa 1 1 Educación Escolar de Preprimaria, tuvieron una ejecución financiera del 45.83% y una ejecución física del 50.62%, correspondiente a </w:t>
      </w:r>
      <w:r>
        <w:rPr>
          <w:noProof/>
        </w:rPr>
        <mc:AlternateContent>
          <mc:Choice Requires="wpg">
            <w:drawing>
              <wp:inline distT="0" distB="0" distL="0" distR="0" wp14:anchorId="2CAD3692" wp14:editId="0C134374">
                <wp:extent cx="109728" cy="297180"/>
                <wp:effectExtent l="0" t="0" r="0" b="0"/>
                <wp:docPr id="2458001" name="Group 2458001"/>
                <wp:cNvGraphicFramePr/>
                <a:graphic xmlns:a="http://schemas.openxmlformats.org/drawingml/2006/main">
                  <a:graphicData uri="http://schemas.microsoft.com/office/word/2010/wordprocessingGroup">
                    <wpg:wgp>
                      <wpg:cNvGrpSpPr/>
                      <wpg:grpSpPr>
                        <a:xfrm>
                          <a:off x="0" y="0"/>
                          <a:ext cx="109728" cy="297180"/>
                          <a:chOff x="0" y="0"/>
                          <a:chExt cx="109728" cy="297180"/>
                        </a:xfrm>
                      </wpg:grpSpPr>
                      <wps:wsp>
                        <wps:cNvPr id="1340190" name="Rectangle 1340190"/>
                        <wps:cNvSpPr/>
                        <wps:spPr>
                          <a:xfrm>
                            <a:off x="0" y="0"/>
                            <a:ext cx="145938" cy="395249"/>
                          </a:xfrm>
                          <a:prstGeom prst="rect">
                            <a:avLst/>
                          </a:prstGeom>
                          <a:ln>
                            <a:noFill/>
                          </a:ln>
                        </wps:spPr>
                        <wps:txbx>
                          <w:txbxContent>
                            <w:p w14:paraId="7C627A1E" w14:textId="77777777" w:rsidR="00053D93" w:rsidRDefault="00260B75">
                              <w:r>
                                <w:rPr>
                                  <w:sz w:val="66"/>
                                </w:rPr>
                                <w:t>1</w:t>
                              </w:r>
                            </w:p>
                          </w:txbxContent>
                        </wps:txbx>
                        <wps:bodyPr horzOverflow="overflow" vert="horz" lIns="0" tIns="0" rIns="0" bIns="0" rtlCol="0">
                          <a:noAutofit/>
                        </wps:bodyPr>
                      </wps:wsp>
                    </wpg:wgp>
                  </a:graphicData>
                </a:graphic>
              </wp:inline>
            </w:drawing>
          </mc:Choice>
          <mc:Fallback>
            <w:pict>
              <v:group w14:anchorId="2CAD3692" id="Group 2458001" o:spid="_x0000_s1883" style="width:8.65pt;height:23.4pt;mso-position-horizontal-relative:char;mso-position-vertical-relative:line" coordsize="109728,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">
                <v:rect id="Rectangle 1340190" o:spid="_x0000_s1884" style="position:absolute;width:145938;height:39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" filled="f" stroked="f">
                  <v:textbox inset="0,0,0,0">
                    <w:txbxContent>
                      <w:p w14:paraId="7C627A1E" w14:textId="77777777" w:rsidR="00053D93" w:rsidRDefault="00260B75">
                        <w:r>
                          <w:rPr>
                            <w:sz w:val="66"/>
                          </w:rPr>
                          <w:t>1</w:t>
                        </w:r>
                      </w:p>
                    </w:txbxContent>
                  </v:textbox>
                </v:rect>
                <w10:anchorlock/>
              </v:group>
            </w:pict>
          </mc:Fallback>
        </mc:AlternateContent>
      </w:r>
      <w:r>
        <w:rPr>
          <w:sz w:val="26"/>
        </w:rPr>
        <w:t xml:space="preserve"> 577,293 libros (textos escolares) y en el Programa 12 Educación Escolar de Primaria, tuvieron una ejecución financiera del 17.60% y una ejecución física del</w:t>
      </w:r>
    </w:p>
    <w:p w14:paraId="386DEA35" w14:textId="77777777" w:rsidR="00053D93" w:rsidRDefault="00260B75">
      <w:pPr>
        <w:spacing w:after="12" w:line="250" w:lineRule="auto"/>
        <w:ind w:left="1666" w:right="14" w:hanging="3"/>
        <w:jc w:val="both"/>
      </w:pPr>
      <w:r>
        <w:rPr>
          <w:sz w:val="26"/>
        </w:rPr>
        <w:t>24.95%, correspondiente a 1,531 ,510 libros (textos escolares).</w:t>
      </w:r>
    </w:p>
    <w:p w14:paraId="6BBEC4D9" w14:textId="77777777" w:rsidR="00053D93" w:rsidRDefault="00260B75">
      <w:pPr>
        <w:spacing w:after="0"/>
        <w:ind w:left="38" w:right="22" w:hanging="10"/>
      </w:pPr>
      <w:r>
        <w:rPr>
          <w:sz w:val="70"/>
        </w:rPr>
        <w:t>1</w:t>
      </w:r>
    </w:p>
    <w:p w14:paraId="1092B19F" w14:textId="77777777" w:rsidR="00053D93" w:rsidRDefault="00260B75">
      <w:pPr>
        <w:spacing w:after="234" w:line="250" w:lineRule="auto"/>
        <w:ind w:left="28" w:right="14" w:firstLine="1627"/>
        <w:jc w:val="both"/>
      </w:pPr>
      <w:r>
        <w:rPr>
          <w:sz w:val="26"/>
        </w:rPr>
        <w:t>Es preciso indicar que, a través del Oficio DIGECADE/SEE N.0 170-2025 del 13 1 de marzo de 2025, informan al Equipo de Auditoría que para el ciclo escolar 2024, no se distribuyeron textos de segundo a sexto grados, debido a que, la designación presupuestaria, estaba limitada y que en el año 2023 únicamente</w:t>
      </w:r>
    </w:p>
    <w:p w14:paraId="66B4CCBE" w14:textId="77777777" w:rsidR="00053D93" w:rsidRDefault="00260B75">
      <w:pPr>
        <w:spacing w:after="440" w:line="425" w:lineRule="auto"/>
        <w:ind w:left="1648" w:right="14" w:hanging="1620"/>
        <w:jc w:val="both"/>
      </w:pPr>
      <w:r>
        <w:rPr>
          <w:sz w:val="26"/>
        </w:rPr>
        <w:t>1 realizaron las licitaciones L-030-2023 y L028-2023 para la provisión de textos escolares en [os niveles educativos de preprimaria y primaria (1er. Grado).</w:t>
      </w:r>
    </w:p>
    <w:p w14:paraId="411F86C4" w14:textId="77777777" w:rsidR="00053D93" w:rsidRDefault="00260B75">
      <w:pPr>
        <w:tabs>
          <w:tab w:val="right" w:pos="10145"/>
        </w:tabs>
        <w:spacing w:after="12" w:line="250" w:lineRule="auto"/>
      </w:pPr>
      <w:r>
        <w:rPr>
          <w:sz w:val="26"/>
        </w:rPr>
        <w:t>1</w:t>
      </w:r>
      <w:r>
        <w:rPr>
          <w:sz w:val="26"/>
        </w:rPr>
        <w:tab/>
        <w:t>También, mediante el Oficio N.o Digecade/SEE/190-2025 del 21 de marzo de</w:t>
      </w:r>
    </w:p>
    <w:p w14:paraId="7181DCB3" w14:textId="77777777" w:rsidR="00053D93" w:rsidRDefault="00260B75">
      <w:pPr>
        <w:spacing w:after="82"/>
        <w:ind w:left="24" w:right="35" w:hanging="10"/>
        <w:jc w:val="right"/>
      </w:pPr>
      <w:r>
        <w:rPr>
          <w:sz w:val="26"/>
        </w:rPr>
        <w:t>2025 responden a este Equipo de Auditoría que la entrega de textos para niños de</w:t>
      </w:r>
    </w:p>
    <w:p w14:paraId="1DFCB484" w14:textId="77777777" w:rsidR="00053D93" w:rsidRDefault="00260B75">
      <w:pPr>
        <w:tabs>
          <w:tab w:val="right" w:pos="10145"/>
        </w:tabs>
        <w:spacing w:after="12" w:line="250" w:lineRule="auto"/>
      </w:pPr>
      <w:r>
        <w:rPr>
          <w:sz w:val="26"/>
        </w:rPr>
        <w:t>1</w:t>
      </w:r>
      <w:r>
        <w:rPr>
          <w:sz w:val="26"/>
        </w:rPr>
        <w:tab/>
        <w:t>Segundo, Tercero, Cuarto, Quinto y Sexto de' nivel de educación primaria se ha</w:t>
      </w:r>
    </w:p>
    <w:p w14:paraId="02A5FE9A" w14:textId="77777777" w:rsidR="00053D93" w:rsidRDefault="00260B75">
      <w:pPr>
        <w:spacing w:after="29"/>
        <w:ind w:left="1642"/>
      </w:pPr>
      <w:r>
        <w:rPr>
          <w:noProof/>
        </w:rPr>
        <mc:AlternateContent>
          <mc:Choice Requires="wpg">
            <w:drawing>
              <wp:inline distT="0" distB="0" distL="0" distR="0" wp14:anchorId="5A0F6665" wp14:editId="1BD825CF">
                <wp:extent cx="5376672" cy="9144"/>
                <wp:effectExtent l="0" t="0" r="0" b="0"/>
                <wp:docPr id="2459030" name="Group 2459030"/>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9029" name="Shape 2459029"/>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30" style="width:423.36pt;height:0.720001pt;mso-position-horizontal-relative:char;mso-position-vertical-relative:line" coordsize="53766,91">
                <v:shape id="Shape 2459029" style="position:absolute;width:53766;height:91;left:0;top:0;" coordsize="5376672,9144" path="m0,4572l5376672,4572">
                  <v:stroke weight="0.720001pt" endcap="flat" joinstyle="miter" miterlimit="1" on="true" color="#000000"/>
                  <v:fill on="false" color="#000000"/>
                </v:shape>
              </v:group>
            </w:pict>
          </mc:Fallback>
        </mc:AlternateContent>
      </w:r>
    </w:p>
    <w:p w14:paraId="35251AD6" w14:textId="77777777" w:rsidR="00053D93" w:rsidRDefault="00260B75">
      <w:pPr>
        <w:spacing w:after="175" w:line="250" w:lineRule="auto"/>
        <w:ind w:left="31" w:right="14" w:hanging="3"/>
        <w:jc w:val="both"/>
      </w:pPr>
      <w:r>
        <w:rPr>
          <w:sz w:val="26"/>
        </w:rPr>
        <w:t xml:space="preserve">-1 estado realizando cada tres años desde el 20210 según instrucciones verbales de las autoridades de turno, derivado que los libros se consideran bienes fungibles y </w:t>
      </w:r>
      <w:r>
        <w:rPr>
          <w:noProof/>
        </w:rPr>
        <w:drawing>
          <wp:inline distT="0" distB="0" distL="0" distR="0" wp14:anchorId="4E2F2601" wp14:editId="01D1C9DC">
            <wp:extent cx="9144" cy="9144"/>
            <wp:effectExtent l="0" t="0" r="0" b="0"/>
            <wp:docPr id="1346769" name="Picture 1346769"/>
            <wp:cNvGraphicFramePr/>
            <a:graphic xmlns:a="http://schemas.openxmlformats.org/drawingml/2006/main">
              <a:graphicData uri="http://schemas.openxmlformats.org/drawingml/2006/picture">
                <pic:pic xmlns:pic="http://schemas.openxmlformats.org/drawingml/2006/picture">
                  <pic:nvPicPr>
                    <pic:cNvPr id="1346769" name="Picture 1346769"/>
                    <pic:cNvPicPr/>
                  </pic:nvPicPr>
                  <pic:blipFill>
                    <a:blip r:embed="rId117"/>
                    <a:stretch>
                      <a:fillRect/>
                    </a:stretch>
                  </pic:blipFill>
                  <pic:spPr>
                    <a:xfrm>
                      <a:off x="0" y="0"/>
                      <a:ext cx="9144" cy="9144"/>
                    </a:xfrm>
                    <a:prstGeom prst="rect">
                      <a:avLst/>
                    </a:prstGeom>
                  </pic:spPr>
                </pic:pic>
              </a:graphicData>
            </a:graphic>
          </wp:inline>
        </w:drawing>
      </w:r>
      <w:r>
        <w:rPr>
          <w:sz w:val="26"/>
        </w:rPr>
        <w:t>1 los niños que los utilizan cada año, los dejan para la siguiente promoción.</w:t>
      </w:r>
    </w:p>
    <w:p w14:paraId="6B8342C2" w14:textId="77777777" w:rsidR="00053D93" w:rsidRDefault="00260B75">
      <w:pPr>
        <w:spacing w:after="53" w:line="250" w:lineRule="auto"/>
        <w:ind w:left="28" w:right="14" w:firstLine="1627"/>
        <w:jc w:val="both"/>
      </w:pPr>
      <w:r>
        <w:rPr>
          <w:sz w:val="26"/>
        </w:rPr>
        <w:t xml:space="preserve">Finalmente, el Informe de Avance del Plan Operativo Anual al mes de diciembre 2024, presenta la meta física vigente de 1, 140,534 cuadernos de trabajo impresos para estudiantes del nivel preprimario; sin embargo, fue ejecutada la meta física 1 de 577,293 cuadernos que representa el 50.6% de ejecución; asimismo, presenta la meta física vigente de 6, 137,320 textos impresos para estudiantes del nivel </w:t>
      </w:r>
      <w:r>
        <w:rPr>
          <w:noProof/>
        </w:rPr>
        <w:drawing>
          <wp:inline distT="0" distB="0" distL="0" distR="0" wp14:anchorId="6839BA10" wp14:editId="09A3DA0D">
            <wp:extent cx="18288" cy="9144"/>
            <wp:effectExtent l="0" t="0" r="0" b="0"/>
            <wp:docPr id="1346770" name="Picture 1346770"/>
            <wp:cNvGraphicFramePr/>
            <a:graphic xmlns:a="http://schemas.openxmlformats.org/drawingml/2006/main">
              <a:graphicData uri="http://schemas.openxmlformats.org/drawingml/2006/picture">
                <pic:pic xmlns:pic="http://schemas.openxmlformats.org/drawingml/2006/picture">
                  <pic:nvPicPr>
                    <pic:cNvPr id="1346770" name="Picture 1346770"/>
                    <pic:cNvPicPr/>
                  </pic:nvPicPr>
                  <pic:blipFill>
                    <a:blip r:embed="rId151"/>
                    <a:stretch>
                      <a:fillRect/>
                    </a:stretch>
                  </pic:blipFill>
                  <pic:spPr>
                    <a:xfrm>
                      <a:off x="0" y="0"/>
                      <a:ext cx="18288" cy="9144"/>
                    </a:xfrm>
                    <a:prstGeom prst="rect">
                      <a:avLst/>
                    </a:prstGeom>
                  </pic:spPr>
                </pic:pic>
              </a:graphicData>
            </a:graphic>
          </wp:inline>
        </w:drawing>
      </w:r>
      <w:r>
        <w:rPr>
          <w:sz w:val="26"/>
        </w:rPr>
        <w:t xml:space="preserve"> primario; sin embargo, fue ejecutada la meta física de 1,531 ,510 textos que 1 representa el 25.0% de ejecución; evidenciándose y confirmándose la deficiencia determinada por el Equipo de Auditoría, correspondiente al incumplimiento en las metas físicas y financieras sobre la provisión de textos escolares en los niveles 1 educativos de primaria y preprimaria.</w:t>
      </w:r>
    </w:p>
    <w:tbl>
      <w:tblPr>
        <w:tblStyle w:val="TableGrid"/>
        <w:tblpPr w:vertAnchor="page" w:horzAnchor="page" w:tblpX="2815" w:tblpY="14566"/>
        <w:tblOverlap w:val="never"/>
        <w:tblW w:w="7618" w:type="dxa"/>
        <w:tblInd w:w="0" w:type="dxa"/>
        <w:tblCellMar>
          <w:top w:w="30" w:type="dxa"/>
          <w:left w:w="1742" w:type="dxa"/>
          <w:right w:w="115" w:type="dxa"/>
        </w:tblCellMar>
        <w:tblLook w:val="04A0" w:firstRow="1" w:lastRow="0" w:firstColumn="1" w:lastColumn="0" w:noHBand="0" w:noVBand="1"/>
      </w:tblPr>
      <w:tblGrid>
        <w:gridCol w:w="7618"/>
      </w:tblGrid>
      <w:tr w:rsidR="00053D93" w14:paraId="44356B60" w14:textId="77777777">
        <w:trPr>
          <w:trHeight w:val="48"/>
        </w:trPr>
        <w:tc>
          <w:tcPr>
            <w:tcW w:w="7618" w:type="dxa"/>
            <w:tcBorders>
              <w:top w:val="nil"/>
              <w:left w:val="single" w:sz="2" w:space="0" w:color="000000"/>
              <w:bottom w:val="single" w:sz="2" w:space="0" w:color="000000"/>
              <w:right w:val="nil"/>
            </w:tcBorders>
          </w:tcPr>
          <w:p w14:paraId="25A4F41B" w14:textId="77777777" w:rsidR="00053D93" w:rsidRDefault="00053D93"/>
        </w:tc>
      </w:tr>
      <w:tr w:rsidR="00053D93" w14:paraId="7C579825" w14:textId="77777777">
        <w:trPr>
          <w:trHeight w:val="586"/>
        </w:trPr>
        <w:tc>
          <w:tcPr>
            <w:tcW w:w="7618" w:type="dxa"/>
            <w:tcBorders>
              <w:top w:val="single" w:sz="2" w:space="0" w:color="000000"/>
              <w:left w:val="single" w:sz="2" w:space="0" w:color="000000"/>
              <w:bottom w:val="nil"/>
              <w:right w:val="nil"/>
            </w:tcBorders>
          </w:tcPr>
          <w:p w14:paraId="50652B39" w14:textId="77777777" w:rsidR="00053D93" w:rsidRDefault="00260B75">
            <w:pPr>
              <w:ind w:left="835"/>
            </w:pPr>
            <w:r>
              <w:rPr>
                <w:sz w:val="14"/>
              </w:rPr>
              <w:t>MINISTERIO DE EDUCACION</w:t>
            </w:r>
          </w:p>
          <w:p w14:paraId="54381262" w14:textId="77777777" w:rsidR="00053D93" w:rsidRDefault="00260B75">
            <w:pPr>
              <w:ind w:left="338"/>
            </w:pPr>
            <w:r>
              <w:rPr>
                <w:sz w:val="14"/>
              </w:rPr>
              <w:t>AUDITOR(A FINANCIERA Y DE CUMPLIMIENTO</w:t>
            </w:r>
          </w:p>
          <w:p w14:paraId="062609EE" w14:textId="77777777" w:rsidR="00053D93" w:rsidRDefault="00260B75">
            <w:r>
              <w:rPr>
                <w:sz w:val="14"/>
              </w:rPr>
              <w:t>PERIODO DEL 01 DE ENERO AL 31 DE DICIEMBRE DE 2024</w:t>
            </w:r>
          </w:p>
        </w:tc>
      </w:tr>
    </w:tbl>
    <w:p w14:paraId="4774B57B" w14:textId="77777777" w:rsidR="00053D93" w:rsidRDefault="00260B75">
      <w:pPr>
        <w:spacing w:after="95" w:line="250" w:lineRule="auto"/>
        <w:ind w:left="31" w:right="14" w:hanging="3"/>
        <w:jc w:val="both"/>
      </w:pPr>
      <w:r>
        <w:rPr>
          <w:noProof/>
        </w:rPr>
        <w:drawing>
          <wp:anchor distT="0" distB="0" distL="114300" distR="114300" simplePos="0" relativeHeight="252361728" behindDoc="0" locked="0" layoutInCell="1" allowOverlap="0" wp14:anchorId="6DF0CDDB" wp14:editId="4A16400C">
            <wp:simplePos x="0" y="0"/>
            <wp:positionH relativeFrom="page">
              <wp:posOffset>649224</wp:posOffset>
            </wp:positionH>
            <wp:positionV relativeFrom="page">
              <wp:posOffset>9249156</wp:posOffset>
            </wp:positionV>
            <wp:extent cx="1115568" cy="406909"/>
            <wp:effectExtent l="0" t="0" r="0" b="0"/>
            <wp:wrapTopAndBottom/>
            <wp:docPr id="1346865" name="Picture 1346865"/>
            <wp:cNvGraphicFramePr/>
            <a:graphic xmlns:a="http://schemas.openxmlformats.org/drawingml/2006/main">
              <a:graphicData uri="http://schemas.openxmlformats.org/drawingml/2006/picture">
                <pic:pic xmlns:pic="http://schemas.openxmlformats.org/drawingml/2006/picture">
                  <pic:nvPicPr>
                    <pic:cNvPr id="1346865" name="Picture 1346865"/>
                    <pic:cNvPicPr/>
                  </pic:nvPicPr>
                  <pic:blipFill>
                    <a:blip r:embed="rId1797"/>
                    <a:stretch>
                      <a:fillRect/>
                    </a:stretch>
                  </pic:blipFill>
                  <pic:spPr>
                    <a:xfrm>
                      <a:off x="0" y="0"/>
                      <a:ext cx="1115568" cy="406909"/>
                    </a:xfrm>
                    <a:prstGeom prst="rect">
                      <a:avLst/>
                    </a:prstGeom>
                  </pic:spPr>
                </pic:pic>
              </a:graphicData>
            </a:graphic>
          </wp:anchor>
        </w:drawing>
      </w:r>
      <w:r>
        <w:rPr>
          <w:noProof/>
        </w:rPr>
        <w:drawing>
          <wp:anchor distT="0" distB="0" distL="114300" distR="114300" simplePos="0" relativeHeight="252362752" behindDoc="0" locked="0" layoutInCell="1" allowOverlap="0" wp14:anchorId="52A3DF01" wp14:editId="73AF109D">
            <wp:simplePos x="0" y="0"/>
            <wp:positionH relativeFrom="page">
              <wp:posOffset>7127748</wp:posOffset>
            </wp:positionH>
            <wp:positionV relativeFrom="page">
              <wp:posOffset>5440680</wp:posOffset>
            </wp:positionV>
            <wp:extent cx="13717" cy="13716"/>
            <wp:effectExtent l="0" t="0" r="0" b="0"/>
            <wp:wrapSquare wrapText="bothSides"/>
            <wp:docPr id="1346771" name="Picture 1346771"/>
            <wp:cNvGraphicFramePr/>
            <a:graphic xmlns:a="http://schemas.openxmlformats.org/drawingml/2006/main">
              <a:graphicData uri="http://schemas.openxmlformats.org/drawingml/2006/picture">
                <pic:pic xmlns:pic="http://schemas.openxmlformats.org/drawingml/2006/picture">
                  <pic:nvPicPr>
                    <pic:cNvPr id="1346771" name="Picture 1346771"/>
                    <pic:cNvPicPr/>
                  </pic:nvPicPr>
                  <pic:blipFill>
                    <a:blip r:embed="rId1683"/>
                    <a:stretch>
                      <a:fillRect/>
                    </a:stretch>
                  </pic:blipFill>
                  <pic:spPr>
                    <a:xfrm>
                      <a:off x="0" y="0"/>
                      <a:ext cx="13717" cy="13716"/>
                    </a:xfrm>
                    <a:prstGeom prst="rect">
                      <a:avLst/>
                    </a:prstGeom>
                  </pic:spPr>
                </pic:pic>
              </a:graphicData>
            </a:graphic>
          </wp:anchor>
        </w:drawing>
      </w:r>
      <w:r>
        <w:rPr>
          <w:noProof/>
        </w:rPr>
        <w:drawing>
          <wp:anchor distT="0" distB="0" distL="114300" distR="114300" simplePos="0" relativeHeight="252363776" behindDoc="0" locked="0" layoutInCell="1" allowOverlap="0" wp14:anchorId="1E1D3C6A" wp14:editId="62A37F34">
            <wp:simplePos x="0" y="0"/>
            <wp:positionH relativeFrom="page">
              <wp:posOffset>6771133</wp:posOffset>
            </wp:positionH>
            <wp:positionV relativeFrom="page">
              <wp:posOffset>7767828</wp:posOffset>
            </wp:positionV>
            <wp:extent cx="9144" cy="13716"/>
            <wp:effectExtent l="0" t="0" r="0" b="0"/>
            <wp:wrapSquare wrapText="bothSides"/>
            <wp:docPr id="1346773" name="Picture 1346773"/>
            <wp:cNvGraphicFramePr/>
            <a:graphic xmlns:a="http://schemas.openxmlformats.org/drawingml/2006/main">
              <a:graphicData uri="http://schemas.openxmlformats.org/drawingml/2006/picture">
                <pic:pic xmlns:pic="http://schemas.openxmlformats.org/drawingml/2006/picture">
                  <pic:nvPicPr>
                    <pic:cNvPr id="1346773" name="Picture 1346773"/>
                    <pic:cNvPicPr/>
                  </pic:nvPicPr>
                  <pic:blipFill>
                    <a:blip r:embed="rId1186"/>
                    <a:stretch>
                      <a:fillRect/>
                    </a:stretch>
                  </pic:blipFill>
                  <pic:spPr>
                    <a:xfrm>
                      <a:off x="0" y="0"/>
                      <a:ext cx="9144" cy="13716"/>
                    </a:xfrm>
                    <a:prstGeom prst="rect">
                      <a:avLst/>
                    </a:prstGeom>
                  </pic:spPr>
                </pic:pic>
              </a:graphicData>
            </a:graphic>
          </wp:anchor>
        </w:drawing>
      </w:r>
      <w:r>
        <w:rPr>
          <w:sz w:val="26"/>
        </w:rPr>
        <w:t>1 Se desvanece el hallazgo, para la licenciada Vivian Arcel[ Palencia Peralta, quien fungió como Subdirectora Educación Escolar, durante el período comprendido del 16 de julio al 31 de diciembre de 2024, en virtud que, sus comentarios y pruebas 1 de descargo, evidencian y confirman que, al momento de iniciar el proceso de licitación para la impresión de textos escolares para uso en el 2024, no estaba laborando en el cargo correspondiente, ya que inició a laborar el 16 de julio de 1 2024; sin embargo, le dio seguimiento a las acciones propias del proceso de la licitación; por lo tanto, no tuvo incidencia y responsabilidad en el incumplimiento de</w:t>
      </w:r>
    </w:p>
    <w:p w14:paraId="63631B34" w14:textId="77777777" w:rsidR="00053D93" w:rsidRDefault="00260B75">
      <w:pPr>
        <w:spacing w:after="133" w:line="527" w:lineRule="auto"/>
        <w:ind w:left="1619" w:right="14" w:hanging="1591"/>
        <w:jc w:val="both"/>
      </w:pPr>
      <w:r>
        <w:rPr>
          <w:sz w:val="26"/>
        </w:rPr>
        <w:t>1</w:t>
      </w:r>
      <w:r>
        <w:rPr>
          <w:sz w:val="26"/>
        </w:rPr>
        <w:tab/>
        <w:t>las metas físicas y financieras sobre la provisión de textos escolares en los niveles educativos de preprimaria y primaria.</w:t>
      </w:r>
    </w:p>
    <w:p w14:paraId="6C178CD4" w14:textId="77777777" w:rsidR="00053D93" w:rsidRDefault="00260B75">
      <w:pPr>
        <w:spacing w:after="12" w:line="250" w:lineRule="auto"/>
        <w:ind w:left="31" w:right="14" w:hanging="3"/>
        <w:jc w:val="both"/>
      </w:pPr>
      <w:r>
        <w:rPr>
          <w:sz w:val="26"/>
        </w:rPr>
        <w:t>1 Se desvanece el hallazgo, para la licenciada Clara Eugenia Siliezar Vásquez de García, quien fungió como Coordinadora del Nivel de Educación Preprimaria, durante el período comprendido del 04 de octubre al 31 de diciembre de 2024, en virtud que, sus comentarios y pruebas de descargo, evidencian y confirman que, al momento de iniciar el proceso de licitación para la impresión de textos escolares 1 para uso en el 2024, no estaba laborando en el cargo correspondiente, ya que</w:t>
      </w:r>
    </w:p>
    <w:p w14:paraId="5E829348" w14:textId="77777777" w:rsidR="00053D93" w:rsidRDefault="00260B75">
      <w:pPr>
        <w:spacing w:after="47"/>
        <w:ind w:left="29"/>
      </w:pPr>
      <w:r>
        <w:rPr>
          <w:noProof/>
        </w:rPr>
        <w:drawing>
          <wp:inline distT="0" distB="0" distL="0" distR="0" wp14:anchorId="3553DFC8" wp14:editId="6DBCD917">
            <wp:extent cx="4572" cy="4573"/>
            <wp:effectExtent l="0" t="0" r="0" b="0"/>
            <wp:docPr id="1346772" name="Picture 1346772"/>
            <wp:cNvGraphicFramePr/>
            <a:graphic xmlns:a="http://schemas.openxmlformats.org/drawingml/2006/main">
              <a:graphicData uri="http://schemas.openxmlformats.org/drawingml/2006/picture">
                <pic:pic xmlns:pic="http://schemas.openxmlformats.org/drawingml/2006/picture">
                  <pic:nvPicPr>
                    <pic:cNvPr id="1346772" name="Picture 1346772"/>
                    <pic:cNvPicPr/>
                  </pic:nvPicPr>
                  <pic:blipFill>
                    <a:blip r:embed="rId845"/>
                    <a:stretch>
                      <a:fillRect/>
                    </a:stretch>
                  </pic:blipFill>
                  <pic:spPr>
                    <a:xfrm>
                      <a:off x="0" y="0"/>
                      <a:ext cx="4572" cy="4573"/>
                    </a:xfrm>
                    <a:prstGeom prst="rect">
                      <a:avLst/>
                    </a:prstGeom>
                  </pic:spPr>
                </pic:pic>
              </a:graphicData>
            </a:graphic>
          </wp:inline>
        </w:drawing>
      </w:r>
    </w:p>
    <w:p w14:paraId="52590B25" w14:textId="77777777" w:rsidR="00053D93" w:rsidRDefault="00260B75">
      <w:pPr>
        <w:spacing w:after="621" w:line="250" w:lineRule="auto"/>
        <w:ind w:left="28" w:right="14" w:firstLine="1584"/>
        <w:jc w:val="both"/>
      </w:pPr>
      <w:r>
        <w:rPr>
          <w:sz w:val="26"/>
        </w:rPr>
        <w:t>inició a laborar el 04 de octubre de 2024; sin embargo, le dio seguimiento a las acciones propias del proceso de la licitación; por lo tanto, no tuvo incidencia y 1 responsabilidad en el incumplimiento de las metas físicas y financieras sobre [a provisión de textos escolares en los niveles educativos de preprimaria y primaria.</w:t>
      </w:r>
    </w:p>
    <w:p w14:paraId="3D0D6A0D" w14:textId="77777777" w:rsidR="00053D93" w:rsidRDefault="00260B75">
      <w:pPr>
        <w:spacing w:after="689" w:line="383" w:lineRule="auto"/>
        <w:ind w:left="1641" w:right="14" w:hanging="1613"/>
        <w:jc w:val="both"/>
      </w:pPr>
      <w:r>
        <w:rPr>
          <w:noProof/>
        </w:rPr>
        <w:drawing>
          <wp:inline distT="0" distB="0" distL="0" distR="0" wp14:anchorId="00E1349B" wp14:editId="5AABCB7D">
            <wp:extent cx="4572" cy="4572"/>
            <wp:effectExtent l="0" t="0" r="0" b="0"/>
            <wp:docPr id="1346774" name="Picture 1346774"/>
            <wp:cNvGraphicFramePr/>
            <a:graphic xmlns:a="http://schemas.openxmlformats.org/drawingml/2006/main">
              <a:graphicData uri="http://schemas.openxmlformats.org/drawingml/2006/picture">
                <pic:pic xmlns:pic="http://schemas.openxmlformats.org/drawingml/2006/picture">
                  <pic:nvPicPr>
                    <pic:cNvPr id="1346774" name="Picture 1346774"/>
                    <pic:cNvPicPr/>
                  </pic:nvPicPr>
                  <pic:blipFill>
                    <a:blip r:embed="rId845"/>
                    <a:stretch>
                      <a:fillRect/>
                    </a:stretch>
                  </pic:blipFill>
                  <pic:spPr>
                    <a:xfrm>
                      <a:off x="0" y="0"/>
                      <a:ext cx="4572" cy="4572"/>
                    </a:xfrm>
                    <a:prstGeom prst="rect">
                      <a:avLst/>
                    </a:prstGeom>
                  </pic:spPr>
                </pic:pic>
              </a:graphicData>
            </a:graphic>
          </wp:inline>
        </w:drawing>
      </w:r>
      <w:r>
        <w:rPr>
          <w:sz w:val="26"/>
        </w:rPr>
        <w:t>1 El hallazgo se notificó con el número 5 y en el presente informe le corresponde el número 3.</w:t>
      </w:r>
    </w:p>
    <w:p w14:paraId="46AA45DF" w14:textId="77777777" w:rsidR="00053D93" w:rsidRDefault="00260B75">
      <w:pPr>
        <w:tabs>
          <w:tab w:val="center" w:pos="2538"/>
        </w:tabs>
        <w:spacing w:after="14" w:line="251" w:lineRule="auto"/>
      </w:pPr>
      <w:r>
        <w:rPr>
          <w:sz w:val="28"/>
        </w:rPr>
        <w:t>1</w:t>
      </w:r>
      <w:r>
        <w:rPr>
          <w:sz w:val="28"/>
        </w:rPr>
        <w:tab/>
        <w:t>Acciones legales</w:t>
      </w:r>
    </w:p>
    <w:p w14:paraId="0D474AFD" w14:textId="77777777" w:rsidR="00053D93" w:rsidRDefault="00260B75">
      <w:pPr>
        <w:spacing w:after="12" w:line="250" w:lineRule="auto"/>
        <w:ind w:left="28" w:right="14" w:firstLine="1562"/>
        <w:jc w:val="both"/>
      </w:pPr>
      <w:r>
        <w:rPr>
          <w:sz w:val="26"/>
        </w:rPr>
        <w:t>Sanción económica de conformidad con el Decreto 31-2002, del Congreso de la 1 República, Ley Orgánica de la Contraloría General de Cuentas, reformada por el</w:t>
      </w:r>
    </w:p>
    <w:p w14:paraId="031490A0" w14:textId="77777777" w:rsidR="00053D93" w:rsidRDefault="00260B75">
      <w:pPr>
        <w:spacing w:after="194" w:line="265" w:lineRule="auto"/>
        <w:ind w:left="4589" w:right="1044" w:hanging="10"/>
        <w:jc w:val="center"/>
      </w:pPr>
      <w:r>
        <w:rPr>
          <w:sz w:val="14"/>
        </w:rPr>
        <w:t xml:space="preserve">OE </w:t>
      </w:r>
    </w:p>
    <w:p w14:paraId="46FCECE4" w14:textId="77777777" w:rsidR="00053D93" w:rsidRDefault="00260B75">
      <w:pPr>
        <w:spacing w:after="9"/>
        <w:ind w:left="1656"/>
      </w:pPr>
      <w:r>
        <w:rPr>
          <w:noProof/>
        </w:rPr>
        <mc:AlternateContent>
          <mc:Choice Requires="wpg">
            <w:drawing>
              <wp:inline distT="0" distB="0" distL="0" distR="0" wp14:anchorId="0BAA688F" wp14:editId="2379F557">
                <wp:extent cx="5376672" cy="9144"/>
                <wp:effectExtent l="0" t="0" r="0" b="0"/>
                <wp:docPr id="2459032" name="Group 2459032"/>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9031" name="Shape 2459031"/>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32" style="width:423.36pt;height:0.720001pt;mso-position-horizontal-relative:char;mso-position-vertical-relative:line" coordsize="53766,91">
                <v:shape id="Shape 2459031" style="position:absolute;width:53766;height:91;left:0;top:0;" coordsize="5376672,9144" path="m0,4572l5376672,4572">
                  <v:stroke weight="0.720001pt" endcap="flat" joinstyle="miter" miterlimit="1" on="true" color="#000000"/>
                  <v:fill on="false" color="#000000"/>
                </v:shape>
              </v:group>
            </w:pict>
          </mc:Fallback>
        </mc:AlternateContent>
      </w:r>
    </w:p>
    <w:p w14:paraId="7018CB75" w14:textId="77777777" w:rsidR="00053D93" w:rsidRDefault="00260B75">
      <w:pPr>
        <w:spacing w:after="44" w:line="250" w:lineRule="auto"/>
        <w:ind w:left="1673" w:right="14" w:hanging="3"/>
        <w:jc w:val="both"/>
      </w:pPr>
      <w:r>
        <w:rPr>
          <w:sz w:val="26"/>
        </w:rPr>
        <w:t>Decreto 13-2013; artículo 39, Numeral 26, para:</w:t>
      </w:r>
    </w:p>
    <w:tbl>
      <w:tblPr>
        <w:tblStyle w:val="TableGrid"/>
        <w:tblW w:w="8424" w:type="dxa"/>
        <w:tblInd w:w="1670" w:type="dxa"/>
        <w:tblLook w:val="04A0" w:firstRow="1" w:lastRow="0" w:firstColumn="1" w:lastColumn="0" w:noHBand="0" w:noVBand="1"/>
      </w:tblPr>
      <w:tblGrid>
        <w:gridCol w:w="3903"/>
        <w:gridCol w:w="3758"/>
        <w:gridCol w:w="763"/>
      </w:tblGrid>
      <w:tr w:rsidR="00053D93" w14:paraId="6424989F" w14:textId="77777777">
        <w:trPr>
          <w:trHeight w:val="376"/>
        </w:trPr>
        <w:tc>
          <w:tcPr>
            <w:tcW w:w="3902" w:type="dxa"/>
            <w:tcBorders>
              <w:top w:val="nil"/>
              <w:left w:val="nil"/>
              <w:bottom w:val="nil"/>
              <w:right w:val="nil"/>
            </w:tcBorders>
          </w:tcPr>
          <w:p w14:paraId="0242362D" w14:textId="77777777" w:rsidR="00053D93" w:rsidRDefault="00260B75">
            <w:pPr>
              <w:ind w:left="7"/>
            </w:pPr>
            <w:r>
              <w:rPr>
                <w:sz w:val="16"/>
              </w:rPr>
              <w:t>Cargo</w:t>
            </w:r>
          </w:p>
        </w:tc>
        <w:tc>
          <w:tcPr>
            <w:tcW w:w="3758" w:type="dxa"/>
            <w:tcBorders>
              <w:top w:val="nil"/>
              <w:left w:val="nil"/>
              <w:bottom w:val="nil"/>
              <w:right w:val="nil"/>
            </w:tcBorders>
          </w:tcPr>
          <w:p w14:paraId="41251AC3" w14:textId="77777777" w:rsidR="00053D93" w:rsidRDefault="00260B75">
            <w:r>
              <w:rPr>
                <w:sz w:val="16"/>
              </w:rPr>
              <w:t>Nombre</w:t>
            </w:r>
          </w:p>
        </w:tc>
        <w:tc>
          <w:tcPr>
            <w:tcW w:w="763" w:type="dxa"/>
            <w:tcBorders>
              <w:top w:val="nil"/>
              <w:left w:val="nil"/>
              <w:bottom w:val="nil"/>
              <w:right w:val="nil"/>
            </w:tcBorders>
          </w:tcPr>
          <w:p w14:paraId="47809072" w14:textId="77777777" w:rsidR="00053D93" w:rsidRDefault="00260B75">
            <w:pPr>
              <w:jc w:val="right"/>
            </w:pPr>
            <w:r>
              <w:rPr>
                <w:sz w:val="16"/>
              </w:rPr>
              <w:t>Valor en</w:t>
            </w:r>
          </w:p>
          <w:p w14:paraId="2A323B95" w14:textId="77777777" w:rsidR="00053D93" w:rsidRDefault="00260B75">
            <w:pPr>
              <w:jc w:val="right"/>
            </w:pPr>
            <w:r>
              <w:rPr>
                <w:sz w:val="16"/>
              </w:rPr>
              <w:t>Queãates</w:t>
            </w:r>
          </w:p>
        </w:tc>
      </w:tr>
      <w:tr w:rsidR="00053D93" w14:paraId="77F251B5" w14:textId="77777777">
        <w:trPr>
          <w:trHeight w:val="202"/>
        </w:trPr>
        <w:tc>
          <w:tcPr>
            <w:tcW w:w="3902" w:type="dxa"/>
            <w:tcBorders>
              <w:top w:val="nil"/>
              <w:left w:val="nil"/>
              <w:bottom w:val="nil"/>
              <w:right w:val="nil"/>
            </w:tcBorders>
          </w:tcPr>
          <w:p w14:paraId="6AFFEF44" w14:textId="77777777" w:rsidR="00053D93" w:rsidRDefault="00260B75">
            <w:r>
              <w:rPr>
                <w:sz w:val="16"/>
              </w:rPr>
              <w:t>JEFA DEL NIVEL DE EDUCACION PRIMARIA</w:t>
            </w:r>
          </w:p>
        </w:tc>
        <w:tc>
          <w:tcPr>
            <w:tcW w:w="3758" w:type="dxa"/>
            <w:tcBorders>
              <w:top w:val="nil"/>
              <w:left w:val="nil"/>
              <w:bottom w:val="nil"/>
              <w:right w:val="nil"/>
            </w:tcBorders>
          </w:tcPr>
          <w:p w14:paraId="778AE5EE" w14:textId="77777777" w:rsidR="00053D93" w:rsidRDefault="00260B75">
            <w:r>
              <w:rPr>
                <w:sz w:val="16"/>
              </w:rPr>
              <w:t>OLGA TZAQUtTZAL SOLIS DE MOTTA</w:t>
            </w:r>
          </w:p>
        </w:tc>
        <w:tc>
          <w:tcPr>
            <w:tcW w:w="763" w:type="dxa"/>
            <w:tcBorders>
              <w:top w:val="nil"/>
              <w:left w:val="nil"/>
              <w:bottom w:val="nil"/>
              <w:right w:val="nil"/>
            </w:tcBorders>
          </w:tcPr>
          <w:p w14:paraId="26A3E0C3" w14:textId="77777777" w:rsidR="00053D93" w:rsidRDefault="00260B75">
            <w:pPr>
              <w:jc w:val="right"/>
            </w:pPr>
            <w:r>
              <w:rPr>
                <w:sz w:val="16"/>
              </w:rPr>
              <w:t>17.556.19</w:t>
            </w:r>
          </w:p>
        </w:tc>
      </w:tr>
      <w:tr w:rsidR="00053D93" w14:paraId="0E429A54" w14:textId="77777777">
        <w:trPr>
          <w:trHeight w:val="211"/>
        </w:trPr>
        <w:tc>
          <w:tcPr>
            <w:tcW w:w="3902" w:type="dxa"/>
            <w:tcBorders>
              <w:top w:val="nil"/>
              <w:left w:val="nil"/>
              <w:bottom w:val="nil"/>
              <w:right w:val="nil"/>
            </w:tcBorders>
          </w:tcPr>
          <w:p w14:paraId="263587CA" w14:textId="77777777" w:rsidR="00053D93" w:rsidRDefault="00260B75">
            <w:pPr>
              <w:ind w:left="7"/>
            </w:pPr>
            <w:r>
              <w:rPr>
                <w:sz w:val="16"/>
              </w:rPr>
              <w:t>SUBDIRECTOR EDUCACION ESCOLAR</w:t>
            </w:r>
          </w:p>
        </w:tc>
        <w:tc>
          <w:tcPr>
            <w:tcW w:w="3758" w:type="dxa"/>
            <w:tcBorders>
              <w:top w:val="nil"/>
              <w:left w:val="nil"/>
              <w:bottom w:val="nil"/>
              <w:right w:val="nil"/>
            </w:tcBorders>
          </w:tcPr>
          <w:p w14:paraId="6EA70DBF" w14:textId="77777777" w:rsidR="00053D93" w:rsidRDefault="00260B75">
            <w:r>
              <w:rPr>
                <w:sz w:val="18"/>
              </w:rPr>
              <w:t>GABRIEL ERNESTO TORRES SOLARES</w:t>
            </w:r>
          </w:p>
        </w:tc>
        <w:tc>
          <w:tcPr>
            <w:tcW w:w="763" w:type="dxa"/>
            <w:tcBorders>
              <w:top w:val="nil"/>
              <w:left w:val="nil"/>
              <w:bottom w:val="nil"/>
              <w:right w:val="nil"/>
            </w:tcBorders>
          </w:tcPr>
          <w:p w14:paraId="19C74F86" w14:textId="77777777" w:rsidR="00053D93" w:rsidRDefault="00260B75">
            <w:pPr>
              <w:jc w:val="right"/>
            </w:pPr>
            <w:r>
              <w:rPr>
                <w:sz w:val="14"/>
              </w:rPr>
              <w:t>27.439.46</w:t>
            </w:r>
          </w:p>
        </w:tc>
      </w:tr>
      <w:tr w:rsidR="00053D93" w14:paraId="0285EBDC" w14:textId="77777777">
        <w:trPr>
          <w:trHeight w:val="190"/>
        </w:trPr>
        <w:tc>
          <w:tcPr>
            <w:tcW w:w="3902" w:type="dxa"/>
            <w:tcBorders>
              <w:top w:val="nil"/>
              <w:left w:val="nil"/>
              <w:bottom w:val="nil"/>
              <w:right w:val="nil"/>
            </w:tcBorders>
          </w:tcPr>
          <w:p w14:paraId="2C274968" w14:textId="77777777" w:rsidR="00053D93" w:rsidRDefault="00260B75">
            <w:pPr>
              <w:ind w:left="7"/>
            </w:pPr>
            <w:r>
              <w:rPr>
                <w:sz w:val="16"/>
              </w:rPr>
              <w:t>DIRECTORA GENERAL DE GESTION DE CALIDAD</w:t>
            </w:r>
          </w:p>
        </w:tc>
        <w:tc>
          <w:tcPr>
            <w:tcW w:w="3758" w:type="dxa"/>
            <w:tcBorders>
              <w:top w:val="nil"/>
              <w:left w:val="nil"/>
              <w:bottom w:val="nil"/>
              <w:right w:val="nil"/>
            </w:tcBorders>
          </w:tcPr>
          <w:p w14:paraId="7A37D9CB" w14:textId="77777777" w:rsidR="00053D93" w:rsidRDefault="00260B75">
            <w:r>
              <w:rPr>
                <w:sz w:val="18"/>
              </w:rPr>
              <w:t>CLAUDIA ELIZABETH MORALES GARCIA DE</w:t>
            </w:r>
          </w:p>
        </w:tc>
        <w:tc>
          <w:tcPr>
            <w:tcW w:w="763" w:type="dxa"/>
            <w:tcBorders>
              <w:top w:val="nil"/>
              <w:left w:val="nil"/>
              <w:bottom w:val="nil"/>
              <w:right w:val="nil"/>
            </w:tcBorders>
          </w:tcPr>
          <w:p w14:paraId="4BAB37BB" w14:textId="77777777" w:rsidR="00053D93" w:rsidRDefault="00260B75">
            <w:pPr>
              <w:jc w:val="right"/>
            </w:pPr>
            <w:r>
              <w:rPr>
                <w:sz w:val="14"/>
              </w:rPr>
              <w:t>34.125.29</w:t>
            </w:r>
          </w:p>
        </w:tc>
      </w:tr>
      <w:tr w:rsidR="00053D93" w14:paraId="4113DCD9" w14:textId="77777777">
        <w:trPr>
          <w:trHeight w:val="197"/>
        </w:trPr>
        <w:tc>
          <w:tcPr>
            <w:tcW w:w="3902" w:type="dxa"/>
            <w:tcBorders>
              <w:top w:val="nil"/>
              <w:left w:val="nil"/>
              <w:bottom w:val="nil"/>
              <w:right w:val="nil"/>
            </w:tcBorders>
          </w:tcPr>
          <w:p w14:paraId="66B6121D" w14:textId="77777777" w:rsidR="00053D93" w:rsidRDefault="00260B75">
            <w:pPr>
              <w:ind w:left="7"/>
            </w:pPr>
            <w:r>
              <w:rPr>
                <w:sz w:val="16"/>
              </w:rPr>
              <w:t>EDUCATIVA</w:t>
            </w:r>
          </w:p>
        </w:tc>
        <w:tc>
          <w:tcPr>
            <w:tcW w:w="3758" w:type="dxa"/>
            <w:tcBorders>
              <w:top w:val="nil"/>
              <w:left w:val="nil"/>
              <w:bottom w:val="nil"/>
              <w:right w:val="nil"/>
            </w:tcBorders>
          </w:tcPr>
          <w:p w14:paraId="71E1CF68" w14:textId="77777777" w:rsidR="00053D93" w:rsidRDefault="00260B75">
            <w:r>
              <w:rPr>
                <w:sz w:val="16"/>
              </w:rPr>
              <w:t>IXQUIAC</w:t>
            </w:r>
          </w:p>
        </w:tc>
        <w:tc>
          <w:tcPr>
            <w:tcW w:w="763" w:type="dxa"/>
            <w:tcBorders>
              <w:top w:val="nil"/>
              <w:left w:val="nil"/>
              <w:bottom w:val="nil"/>
              <w:right w:val="nil"/>
            </w:tcBorders>
          </w:tcPr>
          <w:p w14:paraId="7EDEB6B3" w14:textId="77777777" w:rsidR="00053D93" w:rsidRDefault="00053D93"/>
        </w:tc>
      </w:tr>
      <w:tr w:rsidR="00053D93" w14:paraId="0CF278B5" w14:textId="77777777">
        <w:trPr>
          <w:trHeight w:val="206"/>
        </w:trPr>
        <w:tc>
          <w:tcPr>
            <w:tcW w:w="3902" w:type="dxa"/>
            <w:tcBorders>
              <w:top w:val="nil"/>
              <w:left w:val="nil"/>
              <w:bottom w:val="nil"/>
              <w:right w:val="nil"/>
            </w:tcBorders>
          </w:tcPr>
          <w:p w14:paraId="320C595C" w14:textId="77777777" w:rsidR="00053D93" w:rsidRDefault="00260B75">
            <w:r>
              <w:rPr>
                <w:sz w:val="16"/>
              </w:rPr>
              <w:t>Total</w:t>
            </w:r>
          </w:p>
        </w:tc>
        <w:tc>
          <w:tcPr>
            <w:tcW w:w="3758" w:type="dxa"/>
            <w:tcBorders>
              <w:top w:val="nil"/>
              <w:left w:val="nil"/>
              <w:bottom w:val="nil"/>
              <w:right w:val="nil"/>
            </w:tcBorders>
          </w:tcPr>
          <w:p w14:paraId="1ECCE0D0" w14:textId="77777777" w:rsidR="00053D93" w:rsidRDefault="00053D93"/>
        </w:tc>
        <w:tc>
          <w:tcPr>
            <w:tcW w:w="763" w:type="dxa"/>
            <w:tcBorders>
              <w:top w:val="nil"/>
              <w:left w:val="nil"/>
              <w:bottom w:val="nil"/>
              <w:right w:val="nil"/>
            </w:tcBorders>
          </w:tcPr>
          <w:p w14:paraId="34D93C7E" w14:textId="77777777" w:rsidR="00053D93" w:rsidRDefault="00260B75">
            <w:pPr>
              <w:jc w:val="both"/>
            </w:pPr>
            <w:r>
              <w:rPr>
                <w:sz w:val="14"/>
              </w:rPr>
              <w:t>Q. 79,120.94</w:t>
            </w:r>
          </w:p>
        </w:tc>
      </w:tr>
    </w:tbl>
    <w:p w14:paraId="4D0D5D71" w14:textId="77777777" w:rsidR="00053D93" w:rsidRDefault="00260B75">
      <w:pPr>
        <w:spacing w:after="310" w:line="251" w:lineRule="auto"/>
        <w:ind w:left="1658" w:hanging="3"/>
        <w:jc w:val="both"/>
      </w:pPr>
      <w:r>
        <w:rPr>
          <w:noProof/>
        </w:rPr>
        <w:drawing>
          <wp:anchor distT="0" distB="0" distL="114300" distR="114300" simplePos="0" relativeHeight="252364800" behindDoc="0" locked="0" layoutInCell="1" allowOverlap="0" wp14:anchorId="18C5D7B6" wp14:editId="78F11111">
            <wp:simplePos x="0" y="0"/>
            <wp:positionH relativeFrom="page">
              <wp:posOffset>649224</wp:posOffset>
            </wp:positionH>
            <wp:positionV relativeFrom="page">
              <wp:posOffset>9244584</wp:posOffset>
            </wp:positionV>
            <wp:extent cx="640080" cy="406908"/>
            <wp:effectExtent l="0" t="0" r="0" b="0"/>
            <wp:wrapTopAndBottom/>
            <wp:docPr id="1351906" name="Picture 1351906"/>
            <wp:cNvGraphicFramePr/>
            <a:graphic xmlns:a="http://schemas.openxmlformats.org/drawingml/2006/main">
              <a:graphicData uri="http://schemas.openxmlformats.org/drawingml/2006/picture">
                <pic:pic xmlns:pic="http://schemas.openxmlformats.org/drawingml/2006/picture">
                  <pic:nvPicPr>
                    <pic:cNvPr id="1351906" name="Picture 1351906"/>
                    <pic:cNvPicPr/>
                  </pic:nvPicPr>
                  <pic:blipFill>
                    <a:blip r:embed="rId1798"/>
                    <a:stretch>
                      <a:fillRect/>
                    </a:stretch>
                  </pic:blipFill>
                  <pic:spPr>
                    <a:xfrm>
                      <a:off x="0" y="0"/>
                      <a:ext cx="640080" cy="406908"/>
                    </a:xfrm>
                    <a:prstGeom prst="rect">
                      <a:avLst/>
                    </a:prstGeom>
                  </pic:spPr>
                </pic:pic>
              </a:graphicData>
            </a:graphic>
          </wp:anchor>
        </w:drawing>
      </w:r>
      <w:r>
        <w:rPr>
          <w:sz w:val="28"/>
        </w:rPr>
        <w:t>Hallazgo No. 4</w:t>
      </w:r>
    </w:p>
    <w:p w14:paraId="14C69FE8" w14:textId="77777777" w:rsidR="00053D93" w:rsidRDefault="00260B75">
      <w:pPr>
        <w:spacing w:after="281" w:line="251" w:lineRule="auto"/>
        <w:ind w:left="1658" w:hanging="3"/>
        <w:jc w:val="both"/>
      </w:pPr>
      <w:r>
        <w:rPr>
          <w:sz w:val="28"/>
        </w:rPr>
        <w:t>Falta de publicación de Facturas en Guatecompras</w:t>
      </w:r>
    </w:p>
    <w:p w14:paraId="22F13151" w14:textId="77777777" w:rsidR="00053D93" w:rsidRDefault="00260B75">
      <w:pPr>
        <w:spacing w:after="14" w:line="251" w:lineRule="auto"/>
        <w:ind w:left="1658" w:hanging="3"/>
        <w:jc w:val="both"/>
      </w:pPr>
      <w:r>
        <w:rPr>
          <w:sz w:val="28"/>
        </w:rPr>
        <w:t>Condición</w:t>
      </w:r>
    </w:p>
    <w:p w14:paraId="19FDC672" w14:textId="77777777" w:rsidR="00053D93" w:rsidRDefault="00260B75">
      <w:pPr>
        <w:spacing w:after="12" w:line="250" w:lineRule="auto"/>
        <w:ind w:left="1652" w:right="14" w:hanging="3"/>
        <w:jc w:val="both"/>
      </w:pPr>
      <w:r>
        <w:rPr>
          <w:sz w:val="26"/>
        </w:rPr>
        <w:t>En el Ministerio de Educación, Unidad Ejecutora 124 Dirección General de Gestión de Calidad Educativa -DIGECADE-, Compras Directas con Oferta Electrónica, el 12 y 28 de febrero de 2025, al verificar la información publicada en el Sistema de Información de Contrataciones y Adquisiciones del Estado -GUATECOMPRAS-, según muestra de auditoría de los Números de Operación de GUATECOMPRAS -NOG- correspondientes, determinándose que, no se publicaron las facturas que respaldan las negociaciones, como [o establece la normativa legal.</w:t>
      </w:r>
    </w:p>
    <w:tbl>
      <w:tblPr>
        <w:tblStyle w:val="TableGrid"/>
        <w:tblW w:w="8381" w:type="dxa"/>
        <w:tblInd w:w="1718" w:type="dxa"/>
        <w:tblCellMar>
          <w:top w:w="21" w:type="dxa"/>
          <w:left w:w="10" w:type="dxa"/>
          <w:bottom w:w="5" w:type="dxa"/>
        </w:tblCellMar>
        <w:tblLook w:val="04A0" w:firstRow="1" w:lastRow="0" w:firstColumn="1" w:lastColumn="0" w:noHBand="0" w:noVBand="1"/>
      </w:tblPr>
      <w:tblGrid>
        <w:gridCol w:w="324"/>
        <w:gridCol w:w="355"/>
        <w:gridCol w:w="733"/>
        <w:gridCol w:w="5695"/>
        <w:gridCol w:w="1274"/>
      </w:tblGrid>
      <w:tr w:rsidR="00053D93" w14:paraId="1FB2D1BB" w14:textId="77777777">
        <w:trPr>
          <w:trHeight w:val="288"/>
        </w:trPr>
        <w:tc>
          <w:tcPr>
            <w:tcW w:w="280" w:type="dxa"/>
            <w:tcBorders>
              <w:top w:val="single" w:sz="2" w:space="0" w:color="000000"/>
              <w:left w:val="single" w:sz="2" w:space="0" w:color="000000"/>
              <w:bottom w:val="single" w:sz="2" w:space="0" w:color="000000"/>
              <w:right w:val="single" w:sz="2" w:space="0" w:color="000000"/>
            </w:tcBorders>
          </w:tcPr>
          <w:p w14:paraId="37B2CAF9" w14:textId="77777777" w:rsidR="00053D93" w:rsidRDefault="00260B75">
            <w:pPr>
              <w:ind w:right="-11"/>
              <w:jc w:val="both"/>
            </w:pPr>
            <w:r>
              <w:t>No.</w:t>
            </w:r>
          </w:p>
        </w:tc>
        <w:tc>
          <w:tcPr>
            <w:tcW w:w="1088" w:type="dxa"/>
            <w:gridSpan w:val="2"/>
            <w:tcBorders>
              <w:top w:val="single" w:sz="2" w:space="0" w:color="000000"/>
              <w:left w:val="single" w:sz="2" w:space="0" w:color="000000"/>
              <w:bottom w:val="single" w:sz="2" w:space="0" w:color="000000"/>
              <w:right w:val="single" w:sz="2" w:space="0" w:color="000000"/>
            </w:tcBorders>
          </w:tcPr>
          <w:p w14:paraId="612177D7" w14:textId="77777777" w:rsidR="00053D93" w:rsidRDefault="00260B75">
            <w:pPr>
              <w:ind w:left="90"/>
              <w:jc w:val="center"/>
            </w:pPr>
            <w:r>
              <w:rPr>
                <w:sz w:val="24"/>
              </w:rPr>
              <w:t>NOG</w:t>
            </w:r>
          </w:p>
        </w:tc>
        <w:tc>
          <w:tcPr>
            <w:tcW w:w="5738" w:type="dxa"/>
            <w:tcBorders>
              <w:top w:val="single" w:sz="2" w:space="0" w:color="000000"/>
              <w:left w:val="single" w:sz="2" w:space="0" w:color="000000"/>
              <w:bottom w:val="single" w:sz="2" w:space="0" w:color="000000"/>
              <w:right w:val="single" w:sz="2" w:space="0" w:color="000000"/>
            </w:tcBorders>
          </w:tcPr>
          <w:p w14:paraId="5BFF5496" w14:textId="77777777" w:rsidR="00053D93" w:rsidRDefault="00260B75">
            <w:pPr>
              <w:ind w:right="12"/>
              <w:jc w:val="center"/>
            </w:pPr>
            <w:r>
              <w:rPr>
                <w:sz w:val="24"/>
              </w:rPr>
              <w:t>DESCRIPCIÓN</w:t>
            </w:r>
          </w:p>
        </w:tc>
        <w:tc>
          <w:tcPr>
            <w:tcW w:w="1274" w:type="dxa"/>
            <w:tcBorders>
              <w:top w:val="single" w:sz="2" w:space="0" w:color="000000"/>
              <w:left w:val="single" w:sz="2" w:space="0" w:color="000000"/>
              <w:bottom w:val="single" w:sz="2" w:space="0" w:color="000000"/>
              <w:right w:val="single" w:sz="2" w:space="0" w:color="000000"/>
            </w:tcBorders>
          </w:tcPr>
          <w:p w14:paraId="6D5CE464" w14:textId="77777777" w:rsidR="00053D93" w:rsidRDefault="00260B75">
            <w:pPr>
              <w:ind w:left="86"/>
            </w:pPr>
            <w:r>
              <w:t>MONTO (Q.)</w:t>
            </w:r>
          </w:p>
        </w:tc>
      </w:tr>
      <w:tr w:rsidR="00053D93" w14:paraId="587FE8C8" w14:textId="77777777">
        <w:trPr>
          <w:trHeight w:val="526"/>
        </w:trPr>
        <w:tc>
          <w:tcPr>
            <w:tcW w:w="280" w:type="dxa"/>
            <w:tcBorders>
              <w:top w:val="single" w:sz="2" w:space="0" w:color="000000"/>
              <w:left w:val="single" w:sz="2" w:space="0" w:color="000000"/>
              <w:bottom w:val="single" w:sz="2" w:space="0" w:color="000000"/>
              <w:right w:val="single" w:sz="2" w:space="0" w:color="000000"/>
            </w:tcBorders>
          </w:tcPr>
          <w:p w14:paraId="2A24C116" w14:textId="77777777" w:rsidR="00053D93" w:rsidRDefault="00260B75">
            <w:pPr>
              <w:ind w:right="4"/>
              <w:jc w:val="center"/>
            </w:pPr>
            <w:r>
              <w:rPr>
                <w:sz w:val="20"/>
              </w:rPr>
              <w:t>1</w:t>
            </w:r>
          </w:p>
        </w:tc>
        <w:tc>
          <w:tcPr>
            <w:tcW w:w="1088" w:type="dxa"/>
            <w:gridSpan w:val="2"/>
            <w:tcBorders>
              <w:top w:val="single" w:sz="2" w:space="0" w:color="000000"/>
              <w:left w:val="single" w:sz="2" w:space="0" w:color="000000"/>
              <w:bottom w:val="single" w:sz="2" w:space="0" w:color="000000"/>
              <w:right w:val="single" w:sz="2" w:space="0" w:color="000000"/>
            </w:tcBorders>
          </w:tcPr>
          <w:p w14:paraId="5F102DC6" w14:textId="77777777" w:rsidR="00053D93" w:rsidRDefault="00260B75">
            <w:pPr>
              <w:ind w:right="76"/>
              <w:jc w:val="right"/>
            </w:pPr>
            <w:r>
              <w:t>22390235</w:t>
            </w:r>
          </w:p>
        </w:tc>
        <w:tc>
          <w:tcPr>
            <w:tcW w:w="5738" w:type="dxa"/>
            <w:tcBorders>
              <w:top w:val="single" w:sz="2" w:space="0" w:color="000000"/>
              <w:left w:val="single" w:sz="2" w:space="0" w:color="000000"/>
              <w:bottom w:val="single" w:sz="2" w:space="0" w:color="000000"/>
              <w:right w:val="single" w:sz="2" w:space="0" w:color="000000"/>
            </w:tcBorders>
          </w:tcPr>
          <w:p w14:paraId="0AB8FB65" w14:textId="77777777" w:rsidR="00053D93" w:rsidRDefault="00260B75">
            <w:pPr>
              <w:ind w:left="86" w:hanging="7"/>
              <w:jc w:val="both"/>
            </w:pPr>
            <w:r>
              <w:t>Adquisición de Equipo Multifuncional para reemplazar equipo que se encuentra en mal estado</w:t>
            </w:r>
          </w:p>
        </w:tc>
        <w:tc>
          <w:tcPr>
            <w:tcW w:w="1274" w:type="dxa"/>
            <w:tcBorders>
              <w:top w:val="single" w:sz="2" w:space="0" w:color="000000"/>
              <w:left w:val="single" w:sz="2" w:space="0" w:color="000000"/>
              <w:bottom w:val="single" w:sz="2" w:space="0" w:color="000000"/>
              <w:right w:val="single" w:sz="2" w:space="0" w:color="000000"/>
            </w:tcBorders>
            <w:vAlign w:val="bottom"/>
          </w:tcPr>
          <w:p w14:paraId="75910BD5" w14:textId="77777777" w:rsidR="00053D93" w:rsidRDefault="00260B75">
            <w:pPr>
              <w:ind w:left="346"/>
            </w:pPr>
            <w:r>
              <w:t>38,587.oo</w:t>
            </w:r>
          </w:p>
        </w:tc>
      </w:tr>
      <w:tr w:rsidR="00053D93" w14:paraId="3F5E1E90" w14:textId="77777777">
        <w:trPr>
          <w:trHeight w:val="785"/>
        </w:trPr>
        <w:tc>
          <w:tcPr>
            <w:tcW w:w="280" w:type="dxa"/>
            <w:tcBorders>
              <w:top w:val="single" w:sz="2" w:space="0" w:color="000000"/>
              <w:left w:val="single" w:sz="2" w:space="0" w:color="000000"/>
              <w:bottom w:val="single" w:sz="2" w:space="0" w:color="000000"/>
              <w:right w:val="single" w:sz="2" w:space="0" w:color="000000"/>
            </w:tcBorders>
          </w:tcPr>
          <w:p w14:paraId="3E122AFB" w14:textId="77777777" w:rsidR="00053D93" w:rsidRDefault="00260B75">
            <w:pPr>
              <w:ind w:left="94"/>
            </w:pPr>
            <w:r>
              <w:rPr>
                <w:sz w:val="20"/>
              </w:rPr>
              <w:t>2</w:t>
            </w:r>
          </w:p>
        </w:tc>
        <w:tc>
          <w:tcPr>
            <w:tcW w:w="1088" w:type="dxa"/>
            <w:gridSpan w:val="2"/>
            <w:tcBorders>
              <w:top w:val="single" w:sz="2" w:space="0" w:color="000000"/>
              <w:left w:val="single" w:sz="2" w:space="0" w:color="000000"/>
              <w:bottom w:val="single" w:sz="2" w:space="0" w:color="000000"/>
              <w:right w:val="single" w:sz="2" w:space="0" w:color="000000"/>
            </w:tcBorders>
          </w:tcPr>
          <w:p w14:paraId="5A07AF5B" w14:textId="77777777" w:rsidR="00053D93" w:rsidRDefault="00260B75">
            <w:pPr>
              <w:ind w:left="61"/>
              <w:jc w:val="center"/>
            </w:pPr>
            <w:r>
              <w:rPr>
                <w:sz w:val="20"/>
              </w:rPr>
              <w:t>22409661</w:t>
            </w:r>
          </w:p>
        </w:tc>
        <w:tc>
          <w:tcPr>
            <w:tcW w:w="5738" w:type="dxa"/>
            <w:tcBorders>
              <w:top w:val="single" w:sz="2" w:space="0" w:color="000000"/>
              <w:left w:val="single" w:sz="2" w:space="0" w:color="000000"/>
              <w:bottom w:val="single" w:sz="2" w:space="0" w:color="000000"/>
              <w:right w:val="single" w:sz="2" w:space="0" w:color="000000"/>
            </w:tcBorders>
          </w:tcPr>
          <w:p w14:paraId="73DF1D88" w14:textId="77777777" w:rsidR="00053D93" w:rsidRDefault="00260B75">
            <w:pPr>
              <w:ind w:left="86" w:right="91"/>
              <w:jc w:val="both"/>
            </w:pPr>
            <w:r>
              <w:t>Capacitación dirigida a delegados Departamentales de Educación en el Marco de Procesos Impulsados por el Programa EDUPAZ, a realizarse los días 12, 13 y 14 de marzo de 2024.</w:t>
            </w:r>
          </w:p>
        </w:tc>
        <w:tc>
          <w:tcPr>
            <w:tcW w:w="1274" w:type="dxa"/>
            <w:tcBorders>
              <w:top w:val="single" w:sz="2" w:space="0" w:color="000000"/>
              <w:left w:val="single" w:sz="2" w:space="0" w:color="000000"/>
              <w:bottom w:val="single" w:sz="2" w:space="0" w:color="000000"/>
              <w:right w:val="single" w:sz="2" w:space="0" w:color="000000"/>
            </w:tcBorders>
            <w:vAlign w:val="bottom"/>
          </w:tcPr>
          <w:p w14:paraId="517CE4B0" w14:textId="77777777" w:rsidR="00053D93" w:rsidRDefault="00260B75">
            <w:pPr>
              <w:ind w:left="346"/>
            </w:pPr>
            <w:r>
              <w:t>55.875.20</w:t>
            </w:r>
          </w:p>
        </w:tc>
      </w:tr>
      <w:tr w:rsidR="00053D93" w14:paraId="57496547" w14:textId="77777777">
        <w:trPr>
          <w:trHeight w:val="785"/>
        </w:trPr>
        <w:tc>
          <w:tcPr>
            <w:tcW w:w="280" w:type="dxa"/>
            <w:tcBorders>
              <w:top w:val="single" w:sz="2" w:space="0" w:color="000000"/>
              <w:left w:val="single" w:sz="2" w:space="0" w:color="000000"/>
              <w:bottom w:val="single" w:sz="2" w:space="0" w:color="000000"/>
              <w:right w:val="single" w:sz="2" w:space="0" w:color="000000"/>
            </w:tcBorders>
          </w:tcPr>
          <w:p w14:paraId="18C74000" w14:textId="77777777" w:rsidR="00053D93" w:rsidRDefault="00260B75">
            <w:pPr>
              <w:ind w:left="94"/>
            </w:pPr>
            <w:r>
              <w:t>3</w:t>
            </w:r>
          </w:p>
        </w:tc>
        <w:tc>
          <w:tcPr>
            <w:tcW w:w="1088" w:type="dxa"/>
            <w:gridSpan w:val="2"/>
            <w:tcBorders>
              <w:top w:val="single" w:sz="2" w:space="0" w:color="000000"/>
              <w:left w:val="single" w:sz="2" w:space="0" w:color="000000"/>
              <w:bottom w:val="single" w:sz="2" w:space="0" w:color="000000"/>
              <w:right w:val="single" w:sz="2" w:space="0" w:color="000000"/>
            </w:tcBorders>
          </w:tcPr>
          <w:p w14:paraId="2EEEF0A1" w14:textId="77777777" w:rsidR="00053D93" w:rsidRDefault="00260B75">
            <w:pPr>
              <w:ind w:left="166"/>
            </w:pPr>
            <w:r>
              <w:t>22550496</w:t>
            </w:r>
          </w:p>
        </w:tc>
        <w:tc>
          <w:tcPr>
            <w:tcW w:w="5738" w:type="dxa"/>
            <w:tcBorders>
              <w:top w:val="single" w:sz="2" w:space="0" w:color="000000"/>
              <w:left w:val="single" w:sz="2" w:space="0" w:color="000000"/>
              <w:bottom w:val="single" w:sz="2" w:space="0" w:color="000000"/>
              <w:right w:val="single" w:sz="2" w:space="0" w:color="000000"/>
            </w:tcBorders>
          </w:tcPr>
          <w:p w14:paraId="1F9225E9" w14:textId="77777777" w:rsidR="00053D93" w:rsidRDefault="00260B75">
            <w:pPr>
              <w:ind w:left="79" w:right="91" w:hanging="7"/>
              <w:jc w:val="both"/>
            </w:pPr>
            <w:r>
              <w:t>Taller de Seguimiento a la Implementación del CNB del Nivel de Educación Preprimaria, a realizarse [os días 18 y 19 de marzo de 2024.</w:t>
            </w:r>
          </w:p>
        </w:tc>
        <w:tc>
          <w:tcPr>
            <w:tcW w:w="1274" w:type="dxa"/>
            <w:tcBorders>
              <w:top w:val="single" w:sz="2" w:space="0" w:color="000000"/>
              <w:left w:val="single" w:sz="2" w:space="0" w:color="000000"/>
              <w:bottom w:val="single" w:sz="2" w:space="0" w:color="000000"/>
              <w:right w:val="single" w:sz="2" w:space="0" w:color="000000"/>
            </w:tcBorders>
            <w:vAlign w:val="bottom"/>
          </w:tcPr>
          <w:p w14:paraId="44C511D1" w14:textId="77777777" w:rsidR="00053D93" w:rsidRDefault="00260B75">
            <w:pPr>
              <w:ind w:left="338"/>
            </w:pPr>
            <w:r>
              <w:t>27,179.20</w:t>
            </w:r>
          </w:p>
        </w:tc>
      </w:tr>
      <w:tr w:rsidR="00053D93" w14:paraId="5D60CED6" w14:textId="77777777">
        <w:trPr>
          <w:trHeight w:val="788"/>
        </w:trPr>
        <w:tc>
          <w:tcPr>
            <w:tcW w:w="280" w:type="dxa"/>
            <w:tcBorders>
              <w:top w:val="single" w:sz="2" w:space="0" w:color="000000"/>
              <w:left w:val="single" w:sz="2" w:space="0" w:color="000000"/>
              <w:bottom w:val="single" w:sz="2" w:space="0" w:color="000000"/>
              <w:right w:val="single" w:sz="2" w:space="0" w:color="000000"/>
            </w:tcBorders>
          </w:tcPr>
          <w:p w14:paraId="35BF3347" w14:textId="77777777" w:rsidR="00053D93" w:rsidRDefault="00260B75">
            <w:pPr>
              <w:ind w:left="86"/>
            </w:pPr>
            <w:r>
              <w:rPr>
                <w:sz w:val="20"/>
              </w:rPr>
              <w:t>4</w:t>
            </w:r>
          </w:p>
        </w:tc>
        <w:tc>
          <w:tcPr>
            <w:tcW w:w="1088" w:type="dxa"/>
            <w:gridSpan w:val="2"/>
            <w:tcBorders>
              <w:top w:val="single" w:sz="2" w:space="0" w:color="000000"/>
              <w:left w:val="single" w:sz="2" w:space="0" w:color="000000"/>
              <w:bottom w:val="single" w:sz="2" w:space="0" w:color="000000"/>
              <w:right w:val="single" w:sz="2" w:space="0" w:color="000000"/>
            </w:tcBorders>
          </w:tcPr>
          <w:p w14:paraId="031F0682" w14:textId="77777777" w:rsidR="00053D93" w:rsidRDefault="00260B75">
            <w:pPr>
              <w:ind w:left="166"/>
            </w:pPr>
            <w:r>
              <w:t>22550607</w:t>
            </w:r>
          </w:p>
        </w:tc>
        <w:tc>
          <w:tcPr>
            <w:tcW w:w="5738" w:type="dxa"/>
            <w:tcBorders>
              <w:top w:val="single" w:sz="2" w:space="0" w:color="000000"/>
              <w:left w:val="single" w:sz="2" w:space="0" w:color="000000"/>
              <w:bottom w:val="single" w:sz="2" w:space="0" w:color="000000"/>
              <w:right w:val="single" w:sz="2" w:space="0" w:color="000000"/>
            </w:tcBorders>
          </w:tcPr>
          <w:p w14:paraId="5849694A" w14:textId="77777777" w:rsidR="00053D93" w:rsidRDefault="00260B75">
            <w:pPr>
              <w:ind w:left="79" w:right="91" w:hanging="7"/>
              <w:jc w:val="both"/>
            </w:pPr>
            <w:r>
              <w:t>Taller de Seguimiento a la Implementación del CNB del Nivel de Educación Preprimaria, a realizarse los dfas 20 y 21 de marzo de 2024.</w:t>
            </w:r>
          </w:p>
        </w:tc>
        <w:tc>
          <w:tcPr>
            <w:tcW w:w="1274" w:type="dxa"/>
            <w:tcBorders>
              <w:top w:val="single" w:sz="2" w:space="0" w:color="000000"/>
              <w:left w:val="single" w:sz="2" w:space="0" w:color="000000"/>
              <w:bottom w:val="single" w:sz="2" w:space="0" w:color="000000"/>
              <w:right w:val="single" w:sz="2" w:space="0" w:color="000000"/>
            </w:tcBorders>
            <w:vAlign w:val="bottom"/>
          </w:tcPr>
          <w:p w14:paraId="13592157" w14:textId="77777777" w:rsidR="00053D93" w:rsidRDefault="00260B75">
            <w:pPr>
              <w:ind w:left="338"/>
            </w:pPr>
            <w:r>
              <w:t>27,179.20</w:t>
            </w:r>
          </w:p>
        </w:tc>
      </w:tr>
      <w:tr w:rsidR="00053D93" w14:paraId="7E7C0B87" w14:textId="77777777">
        <w:trPr>
          <w:trHeight w:val="530"/>
        </w:trPr>
        <w:tc>
          <w:tcPr>
            <w:tcW w:w="280" w:type="dxa"/>
            <w:tcBorders>
              <w:top w:val="single" w:sz="2" w:space="0" w:color="000000"/>
              <w:left w:val="single" w:sz="2" w:space="0" w:color="000000"/>
              <w:bottom w:val="single" w:sz="2" w:space="0" w:color="000000"/>
              <w:right w:val="single" w:sz="2" w:space="0" w:color="000000"/>
            </w:tcBorders>
          </w:tcPr>
          <w:p w14:paraId="65EBC57A" w14:textId="77777777" w:rsidR="00053D93" w:rsidRDefault="00260B75">
            <w:pPr>
              <w:ind w:left="94"/>
            </w:pPr>
            <w:r>
              <w:rPr>
                <w:sz w:val="20"/>
              </w:rPr>
              <w:t>5</w:t>
            </w:r>
          </w:p>
        </w:tc>
        <w:tc>
          <w:tcPr>
            <w:tcW w:w="1088" w:type="dxa"/>
            <w:gridSpan w:val="2"/>
            <w:tcBorders>
              <w:top w:val="single" w:sz="2" w:space="0" w:color="000000"/>
              <w:left w:val="single" w:sz="2" w:space="0" w:color="000000"/>
              <w:bottom w:val="single" w:sz="2" w:space="0" w:color="000000"/>
              <w:right w:val="single" w:sz="2" w:space="0" w:color="000000"/>
            </w:tcBorders>
          </w:tcPr>
          <w:p w14:paraId="2103BC14" w14:textId="77777777" w:rsidR="00053D93" w:rsidRDefault="00260B75">
            <w:pPr>
              <w:ind w:left="68"/>
              <w:jc w:val="center"/>
            </w:pPr>
            <w:r>
              <w:t>22612378</w:t>
            </w:r>
          </w:p>
        </w:tc>
        <w:tc>
          <w:tcPr>
            <w:tcW w:w="5738" w:type="dxa"/>
            <w:tcBorders>
              <w:top w:val="single" w:sz="2" w:space="0" w:color="000000"/>
              <w:left w:val="single" w:sz="2" w:space="0" w:color="000000"/>
              <w:bottom w:val="single" w:sz="2" w:space="0" w:color="000000"/>
              <w:right w:val="single" w:sz="2" w:space="0" w:color="000000"/>
            </w:tcBorders>
          </w:tcPr>
          <w:p w14:paraId="27530E2E" w14:textId="77777777" w:rsidR="00053D93" w:rsidRDefault="00260B75">
            <w:pPr>
              <w:ind w:left="86"/>
              <w:jc w:val="both"/>
            </w:pPr>
            <w:r>
              <w:t>Impresión de Hojas de Respuestas para Evaluación Diagnóstica Intermedia 1 para estudiantes de primer grado del Nivel Primario.</w:t>
            </w:r>
          </w:p>
        </w:tc>
        <w:tc>
          <w:tcPr>
            <w:tcW w:w="1274" w:type="dxa"/>
            <w:tcBorders>
              <w:top w:val="single" w:sz="2" w:space="0" w:color="000000"/>
              <w:left w:val="single" w:sz="2" w:space="0" w:color="000000"/>
              <w:bottom w:val="single" w:sz="2" w:space="0" w:color="000000"/>
              <w:right w:val="single" w:sz="2" w:space="0" w:color="000000"/>
            </w:tcBorders>
            <w:vAlign w:val="bottom"/>
          </w:tcPr>
          <w:p w14:paraId="3853B60E" w14:textId="77777777" w:rsidR="00053D93" w:rsidRDefault="00260B75">
            <w:pPr>
              <w:ind w:left="338"/>
            </w:pPr>
            <w:r>
              <w:t>39.520.00</w:t>
            </w:r>
          </w:p>
        </w:tc>
      </w:tr>
      <w:tr w:rsidR="00053D93" w14:paraId="58DAC551" w14:textId="77777777">
        <w:trPr>
          <w:trHeight w:val="535"/>
        </w:trPr>
        <w:tc>
          <w:tcPr>
            <w:tcW w:w="280" w:type="dxa"/>
            <w:tcBorders>
              <w:top w:val="single" w:sz="2" w:space="0" w:color="000000"/>
              <w:left w:val="single" w:sz="2" w:space="0" w:color="000000"/>
              <w:bottom w:val="single" w:sz="2" w:space="0" w:color="000000"/>
              <w:right w:val="single" w:sz="2" w:space="0" w:color="000000"/>
            </w:tcBorders>
          </w:tcPr>
          <w:p w14:paraId="77D32F14" w14:textId="77777777" w:rsidR="00053D93" w:rsidRDefault="00260B75">
            <w:pPr>
              <w:ind w:left="86"/>
            </w:pPr>
            <w:r>
              <w:rPr>
                <w:sz w:val="20"/>
              </w:rPr>
              <w:t>6</w:t>
            </w:r>
          </w:p>
        </w:tc>
        <w:tc>
          <w:tcPr>
            <w:tcW w:w="1088" w:type="dxa"/>
            <w:gridSpan w:val="2"/>
            <w:tcBorders>
              <w:top w:val="single" w:sz="2" w:space="0" w:color="000000"/>
              <w:left w:val="single" w:sz="2" w:space="0" w:color="000000"/>
              <w:bottom w:val="single" w:sz="2" w:space="0" w:color="000000"/>
              <w:right w:val="single" w:sz="2" w:space="0" w:color="000000"/>
            </w:tcBorders>
          </w:tcPr>
          <w:p w14:paraId="7BC207FA" w14:textId="77777777" w:rsidR="00053D93" w:rsidRDefault="00260B75">
            <w:pPr>
              <w:ind w:left="159"/>
            </w:pPr>
            <w:r>
              <w:t>22612742</w:t>
            </w:r>
          </w:p>
        </w:tc>
        <w:tc>
          <w:tcPr>
            <w:tcW w:w="5738" w:type="dxa"/>
            <w:tcBorders>
              <w:top w:val="single" w:sz="2" w:space="0" w:color="000000"/>
              <w:left w:val="single" w:sz="2" w:space="0" w:color="000000"/>
              <w:bottom w:val="single" w:sz="2" w:space="0" w:color="000000"/>
              <w:right w:val="single" w:sz="2" w:space="0" w:color="000000"/>
            </w:tcBorders>
          </w:tcPr>
          <w:p w14:paraId="5DB8E972" w14:textId="77777777" w:rsidR="00053D93" w:rsidRDefault="00260B75">
            <w:pPr>
              <w:ind w:left="79" w:firstLine="7"/>
              <w:jc w:val="both"/>
            </w:pPr>
            <w:r>
              <w:t>Impresión de Juegos de Tarjetas para Evaluación Diagnóstica Intermedia 1 para estudiantes de primer grado del Nivel Primario.</w:t>
            </w:r>
          </w:p>
        </w:tc>
        <w:tc>
          <w:tcPr>
            <w:tcW w:w="1274" w:type="dxa"/>
            <w:tcBorders>
              <w:top w:val="single" w:sz="2" w:space="0" w:color="000000"/>
              <w:left w:val="single" w:sz="2" w:space="0" w:color="000000"/>
              <w:bottom w:val="single" w:sz="2" w:space="0" w:color="000000"/>
              <w:right w:val="single" w:sz="2" w:space="0" w:color="000000"/>
            </w:tcBorders>
            <w:vAlign w:val="bottom"/>
          </w:tcPr>
          <w:p w14:paraId="19E09C59" w14:textId="77777777" w:rsidR="00053D93" w:rsidRDefault="00260B75">
            <w:pPr>
              <w:ind w:left="338"/>
            </w:pPr>
            <w:r>
              <w:rPr>
                <w:sz w:val="20"/>
              </w:rPr>
              <w:t>31 ,900.oo</w:t>
            </w:r>
          </w:p>
        </w:tc>
      </w:tr>
      <w:tr w:rsidR="00053D93" w14:paraId="697FC352" w14:textId="77777777">
        <w:trPr>
          <w:trHeight w:val="1030"/>
        </w:trPr>
        <w:tc>
          <w:tcPr>
            <w:tcW w:w="280" w:type="dxa"/>
            <w:tcBorders>
              <w:top w:val="single" w:sz="2" w:space="0" w:color="000000"/>
              <w:left w:val="single" w:sz="2" w:space="0" w:color="000000"/>
              <w:bottom w:val="single" w:sz="2" w:space="0" w:color="000000"/>
              <w:right w:val="single" w:sz="2" w:space="0" w:color="000000"/>
            </w:tcBorders>
          </w:tcPr>
          <w:p w14:paraId="5BD09D19" w14:textId="77777777" w:rsidR="00053D93" w:rsidRDefault="00260B75">
            <w:pPr>
              <w:ind w:left="79"/>
            </w:pPr>
            <w:r>
              <w:t>7</w:t>
            </w:r>
          </w:p>
        </w:tc>
        <w:tc>
          <w:tcPr>
            <w:tcW w:w="1088" w:type="dxa"/>
            <w:gridSpan w:val="2"/>
            <w:tcBorders>
              <w:top w:val="single" w:sz="2" w:space="0" w:color="000000"/>
              <w:left w:val="single" w:sz="2" w:space="0" w:color="000000"/>
              <w:bottom w:val="single" w:sz="2" w:space="0" w:color="000000"/>
              <w:right w:val="single" w:sz="2" w:space="0" w:color="000000"/>
            </w:tcBorders>
          </w:tcPr>
          <w:p w14:paraId="6D27BEC4" w14:textId="77777777" w:rsidR="00053D93" w:rsidRDefault="00260B75">
            <w:pPr>
              <w:ind w:left="159"/>
            </w:pPr>
            <w:r>
              <w:t>22628053</w:t>
            </w:r>
          </w:p>
        </w:tc>
        <w:tc>
          <w:tcPr>
            <w:tcW w:w="5738" w:type="dxa"/>
            <w:tcBorders>
              <w:top w:val="single" w:sz="2" w:space="0" w:color="000000"/>
              <w:left w:val="single" w:sz="2" w:space="0" w:color="000000"/>
              <w:bottom w:val="single" w:sz="2" w:space="0" w:color="000000"/>
              <w:right w:val="single" w:sz="2" w:space="0" w:color="000000"/>
            </w:tcBorders>
          </w:tcPr>
          <w:p w14:paraId="28CE5A9E" w14:textId="77777777" w:rsidR="00053D93" w:rsidRDefault="00260B75">
            <w:pPr>
              <w:spacing w:line="228" w:lineRule="auto"/>
              <w:ind w:left="72" w:right="91" w:firstLine="7"/>
              <w:jc w:val="both"/>
            </w:pPr>
            <w:r>
              <w:t>Microscopios binoculares con capacidad de giro de 360 grados para fortalecer los laboratorios de Ciencias Naturales de los INED que imparten la carrera de Bachillerato en Ciencias y</w:t>
            </w:r>
          </w:p>
          <w:p w14:paraId="0F772B27" w14:textId="77777777" w:rsidR="00053D93" w:rsidRDefault="00260B75">
            <w:pPr>
              <w:ind w:left="79"/>
            </w:pPr>
            <w:r>
              <w:t>Letras con orientación en Ciencias Biológicas</w:t>
            </w:r>
          </w:p>
        </w:tc>
        <w:tc>
          <w:tcPr>
            <w:tcW w:w="1274" w:type="dxa"/>
            <w:tcBorders>
              <w:top w:val="single" w:sz="2" w:space="0" w:color="000000"/>
              <w:left w:val="single" w:sz="2" w:space="0" w:color="000000"/>
              <w:bottom w:val="single" w:sz="2" w:space="0" w:color="000000"/>
              <w:right w:val="single" w:sz="2" w:space="0" w:color="000000"/>
            </w:tcBorders>
            <w:vAlign w:val="bottom"/>
          </w:tcPr>
          <w:p w14:paraId="69BF4325" w14:textId="77777777" w:rsidR="00053D93" w:rsidRDefault="00260B75">
            <w:pPr>
              <w:ind w:left="346"/>
            </w:pPr>
            <w:r>
              <w:rPr>
                <w:sz w:val="20"/>
              </w:rPr>
              <w:t>81</w:t>
            </w:r>
          </w:p>
        </w:tc>
      </w:tr>
      <w:tr w:rsidR="00053D93" w14:paraId="2D5EB4F1" w14:textId="77777777">
        <w:trPr>
          <w:trHeight w:val="533"/>
        </w:trPr>
        <w:tc>
          <w:tcPr>
            <w:tcW w:w="280" w:type="dxa"/>
            <w:tcBorders>
              <w:top w:val="single" w:sz="2" w:space="0" w:color="000000"/>
              <w:left w:val="single" w:sz="2" w:space="0" w:color="000000"/>
              <w:bottom w:val="single" w:sz="2" w:space="0" w:color="000000"/>
              <w:right w:val="single" w:sz="2" w:space="0" w:color="000000"/>
            </w:tcBorders>
          </w:tcPr>
          <w:p w14:paraId="65751BAB" w14:textId="77777777" w:rsidR="00053D93" w:rsidRDefault="00260B75">
            <w:pPr>
              <w:ind w:left="86"/>
            </w:pPr>
            <w:r>
              <w:rPr>
                <w:sz w:val="20"/>
              </w:rPr>
              <w:t>8</w:t>
            </w:r>
          </w:p>
        </w:tc>
        <w:tc>
          <w:tcPr>
            <w:tcW w:w="1088" w:type="dxa"/>
            <w:gridSpan w:val="2"/>
            <w:tcBorders>
              <w:top w:val="single" w:sz="2" w:space="0" w:color="000000"/>
              <w:left w:val="single" w:sz="2" w:space="0" w:color="000000"/>
              <w:bottom w:val="single" w:sz="2" w:space="0" w:color="000000"/>
              <w:right w:val="single" w:sz="2" w:space="0" w:color="000000"/>
            </w:tcBorders>
          </w:tcPr>
          <w:p w14:paraId="58B36B20" w14:textId="77777777" w:rsidR="00053D93" w:rsidRDefault="00260B75">
            <w:pPr>
              <w:ind w:left="152"/>
            </w:pPr>
            <w:r>
              <w:t>22823492</w:t>
            </w:r>
          </w:p>
        </w:tc>
        <w:tc>
          <w:tcPr>
            <w:tcW w:w="5738" w:type="dxa"/>
            <w:tcBorders>
              <w:top w:val="single" w:sz="2" w:space="0" w:color="000000"/>
              <w:left w:val="single" w:sz="2" w:space="0" w:color="000000"/>
              <w:bottom w:val="single" w:sz="2" w:space="0" w:color="000000"/>
              <w:right w:val="single" w:sz="2" w:space="0" w:color="000000"/>
            </w:tcBorders>
          </w:tcPr>
          <w:p w14:paraId="76219C10" w14:textId="77777777" w:rsidR="00053D93" w:rsidRDefault="00260B75">
            <w:pPr>
              <w:ind w:left="72" w:hanging="7"/>
              <w:jc w:val="both"/>
            </w:pPr>
            <w:r>
              <w:t>Adquisición de 13 Trompetas para uso de las Aulas Musicales del Programa Pentagrama.</w:t>
            </w:r>
          </w:p>
        </w:tc>
        <w:tc>
          <w:tcPr>
            <w:tcW w:w="1274" w:type="dxa"/>
            <w:tcBorders>
              <w:top w:val="single" w:sz="2" w:space="0" w:color="000000"/>
              <w:left w:val="single" w:sz="2" w:space="0" w:color="000000"/>
              <w:bottom w:val="single" w:sz="2" w:space="0" w:color="000000"/>
              <w:right w:val="single" w:sz="2" w:space="0" w:color="000000"/>
            </w:tcBorders>
            <w:vAlign w:val="bottom"/>
          </w:tcPr>
          <w:p w14:paraId="026D122B" w14:textId="77777777" w:rsidR="00053D93" w:rsidRDefault="00260B75">
            <w:pPr>
              <w:ind w:left="338"/>
            </w:pPr>
            <w:r>
              <w:t>28,275.oo</w:t>
            </w:r>
          </w:p>
        </w:tc>
      </w:tr>
      <w:tr w:rsidR="00053D93" w14:paraId="5F884404" w14:textId="77777777">
        <w:trPr>
          <w:trHeight w:val="1063"/>
        </w:trPr>
        <w:tc>
          <w:tcPr>
            <w:tcW w:w="280" w:type="dxa"/>
            <w:vMerge w:val="restart"/>
            <w:tcBorders>
              <w:top w:val="single" w:sz="2" w:space="0" w:color="000000"/>
              <w:left w:val="single" w:sz="2" w:space="0" w:color="000000"/>
              <w:bottom w:val="nil"/>
              <w:right w:val="single" w:sz="2" w:space="0" w:color="000000"/>
            </w:tcBorders>
          </w:tcPr>
          <w:p w14:paraId="255059AC" w14:textId="77777777" w:rsidR="00053D93" w:rsidRDefault="00260B75">
            <w:pPr>
              <w:ind w:left="86"/>
            </w:pPr>
            <w:r>
              <w:rPr>
                <w:sz w:val="18"/>
              </w:rPr>
              <w:t>9</w:t>
            </w:r>
          </w:p>
        </w:tc>
        <w:tc>
          <w:tcPr>
            <w:tcW w:w="1088" w:type="dxa"/>
            <w:gridSpan w:val="2"/>
            <w:tcBorders>
              <w:top w:val="single" w:sz="2" w:space="0" w:color="000000"/>
              <w:left w:val="single" w:sz="2" w:space="0" w:color="000000"/>
              <w:bottom w:val="nil"/>
              <w:right w:val="single" w:sz="2" w:space="0" w:color="000000"/>
            </w:tcBorders>
          </w:tcPr>
          <w:p w14:paraId="168CD6FB" w14:textId="77777777" w:rsidR="00053D93" w:rsidRDefault="00260B75">
            <w:pPr>
              <w:ind w:left="54"/>
              <w:jc w:val="center"/>
            </w:pPr>
            <w:r>
              <w:t>23011289</w:t>
            </w:r>
          </w:p>
        </w:tc>
        <w:tc>
          <w:tcPr>
            <w:tcW w:w="5738" w:type="dxa"/>
            <w:tcBorders>
              <w:top w:val="single" w:sz="2" w:space="0" w:color="000000"/>
              <w:left w:val="single" w:sz="2" w:space="0" w:color="000000"/>
              <w:bottom w:val="single" w:sz="2" w:space="0" w:color="000000"/>
              <w:right w:val="single" w:sz="2" w:space="0" w:color="000000"/>
            </w:tcBorders>
          </w:tcPr>
          <w:p w14:paraId="34201734" w14:textId="77777777" w:rsidR="00053D93" w:rsidRDefault="00260B75">
            <w:pPr>
              <w:spacing w:after="8"/>
              <w:ind w:left="79"/>
            </w:pPr>
            <w:r>
              <w:t>Implementación del Protocolo de Identificación de Casos de</w:t>
            </w:r>
          </w:p>
          <w:p w14:paraId="4E26EC53" w14:textId="77777777" w:rsidR="00053D93" w:rsidRDefault="00260B75">
            <w:pPr>
              <w:ind w:left="58"/>
            </w:pPr>
            <w:r>
              <w:t>Violencia dentro del Sistema Educativo Nacional dirigido a</w:t>
            </w:r>
          </w:p>
        </w:tc>
        <w:tc>
          <w:tcPr>
            <w:tcW w:w="1274" w:type="dxa"/>
            <w:tcBorders>
              <w:top w:val="single" w:sz="2" w:space="0" w:color="000000"/>
              <w:left w:val="single" w:sz="2" w:space="0" w:color="000000"/>
              <w:bottom w:val="single" w:sz="2" w:space="0" w:color="000000"/>
              <w:right w:val="single" w:sz="2" w:space="0" w:color="000000"/>
            </w:tcBorders>
          </w:tcPr>
          <w:p w14:paraId="4644FC1A" w14:textId="77777777" w:rsidR="00053D93" w:rsidRDefault="00053D93"/>
        </w:tc>
      </w:tr>
      <w:tr w:rsidR="00053D93" w14:paraId="23E95BDB" w14:textId="77777777">
        <w:trPr>
          <w:trHeight w:val="586"/>
        </w:trPr>
        <w:tc>
          <w:tcPr>
            <w:tcW w:w="0" w:type="auto"/>
            <w:vMerge/>
            <w:tcBorders>
              <w:top w:val="nil"/>
              <w:left w:val="single" w:sz="2" w:space="0" w:color="000000"/>
              <w:bottom w:val="nil"/>
              <w:right w:val="single" w:sz="2" w:space="0" w:color="000000"/>
            </w:tcBorders>
          </w:tcPr>
          <w:p w14:paraId="09A62DBD" w14:textId="77777777" w:rsidR="00053D93" w:rsidRDefault="00053D93"/>
        </w:tc>
        <w:tc>
          <w:tcPr>
            <w:tcW w:w="355" w:type="dxa"/>
            <w:tcBorders>
              <w:top w:val="nil"/>
              <w:left w:val="single" w:sz="2" w:space="0" w:color="000000"/>
              <w:bottom w:val="nil"/>
              <w:right w:val="single" w:sz="2" w:space="0" w:color="000000"/>
            </w:tcBorders>
          </w:tcPr>
          <w:p w14:paraId="47356ECC" w14:textId="77777777" w:rsidR="00053D93" w:rsidRDefault="00053D93"/>
        </w:tc>
        <w:tc>
          <w:tcPr>
            <w:tcW w:w="6471" w:type="dxa"/>
            <w:gridSpan w:val="2"/>
            <w:tcBorders>
              <w:top w:val="single" w:sz="2" w:space="0" w:color="000000"/>
              <w:left w:val="single" w:sz="2" w:space="0" w:color="000000"/>
              <w:bottom w:val="nil"/>
              <w:right w:val="nil"/>
            </w:tcBorders>
          </w:tcPr>
          <w:p w14:paraId="67E8585B" w14:textId="77777777" w:rsidR="00053D93" w:rsidRDefault="00260B75">
            <w:pPr>
              <w:ind w:left="498"/>
              <w:jc w:val="center"/>
            </w:pPr>
            <w:r>
              <w:rPr>
                <w:sz w:val="14"/>
              </w:rPr>
              <w:t>MINISTERIO DE EDUCACION</w:t>
            </w:r>
          </w:p>
          <w:p w14:paraId="57928980" w14:textId="77777777" w:rsidR="00053D93" w:rsidRDefault="00260B75">
            <w:pPr>
              <w:ind w:left="498"/>
              <w:jc w:val="center"/>
            </w:pPr>
            <w:r>
              <w:rPr>
                <w:sz w:val="14"/>
              </w:rPr>
              <w:t>AUDITORIA FINANCIERA Y DE CUMPLIMIENTO</w:t>
            </w:r>
          </w:p>
          <w:p w14:paraId="2BB1E9AA" w14:textId="77777777" w:rsidR="00053D93" w:rsidRDefault="00260B75">
            <w:pPr>
              <w:ind w:left="505"/>
              <w:jc w:val="center"/>
            </w:pPr>
            <w:r>
              <w:rPr>
                <w:sz w:val="14"/>
              </w:rPr>
              <w:t>PERIODO DEL 01 DE ENERO AL 31 DE DICIEMBRE DE 2024</w:t>
            </w:r>
          </w:p>
        </w:tc>
        <w:tc>
          <w:tcPr>
            <w:tcW w:w="1274" w:type="dxa"/>
            <w:tcBorders>
              <w:top w:val="single" w:sz="2" w:space="0" w:color="000000"/>
              <w:left w:val="nil"/>
              <w:bottom w:val="nil"/>
              <w:right w:val="nil"/>
            </w:tcBorders>
          </w:tcPr>
          <w:p w14:paraId="635DE364" w14:textId="77777777" w:rsidR="00053D93" w:rsidRDefault="00053D93"/>
        </w:tc>
      </w:tr>
    </w:tbl>
    <w:p w14:paraId="4A75A2F2" w14:textId="77777777" w:rsidR="00053D93" w:rsidRDefault="00053D93">
      <w:pPr>
        <w:sectPr w:rsidR="00053D93">
          <w:headerReference w:type="even" r:id="rId1799"/>
          <w:headerReference w:type="default" r:id="rId1800"/>
          <w:footerReference w:type="even" r:id="rId1801"/>
          <w:footerReference w:type="default" r:id="rId1802"/>
          <w:headerReference w:type="first" r:id="rId1803"/>
          <w:footerReference w:type="first" r:id="rId1804"/>
          <w:pgSz w:w="12290" w:h="15883"/>
          <w:pgMar w:top="760" w:right="1807" w:bottom="706" w:left="338" w:header="691" w:footer="720" w:gutter="0"/>
          <w:cols w:space="720"/>
          <w:titlePg/>
        </w:sectPr>
      </w:pPr>
    </w:p>
    <w:p w14:paraId="1DF8F535" w14:textId="77777777" w:rsidR="00053D93" w:rsidRDefault="00260B75">
      <w:pPr>
        <w:spacing w:after="251" w:line="265" w:lineRule="auto"/>
        <w:ind w:left="5727" w:hanging="10"/>
      </w:pPr>
      <w:r>
        <w:rPr>
          <w:noProof/>
        </w:rPr>
        <w:drawing>
          <wp:anchor distT="0" distB="0" distL="114300" distR="114300" simplePos="0" relativeHeight="252365824" behindDoc="0" locked="0" layoutInCell="1" allowOverlap="0" wp14:anchorId="5328C2F8" wp14:editId="5DCC7F6E">
            <wp:simplePos x="0" y="0"/>
            <wp:positionH relativeFrom="page">
              <wp:posOffset>690372</wp:posOffset>
            </wp:positionH>
            <wp:positionV relativeFrom="page">
              <wp:posOffset>9230868</wp:posOffset>
            </wp:positionV>
            <wp:extent cx="640080" cy="406909"/>
            <wp:effectExtent l="0" t="0" r="0" b="0"/>
            <wp:wrapTopAndBottom/>
            <wp:docPr id="1357990" name="Picture 1357990"/>
            <wp:cNvGraphicFramePr/>
            <a:graphic xmlns:a="http://schemas.openxmlformats.org/drawingml/2006/main">
              <a:graphicData uri="http://schemas.openxmlformats.org/drawingml/2006/picture">
                <pic:pic xmlns:pic="http://schemas.openxmlformats.org/drawingml/2006/picture">
                  <pic:nvPicPr>
                    <pic:cNvPr id="1357990" name="Picture 1357990"/>
                    <pic:cNvPicPr/>
                  </pic:nvPicPr>
                  <pic:blipFill>
                    <a:blip r:embed="rId1805"/>
                    <a:stretch>
                      <a:fillRect/>
                    </a:stretch>
                  </pic:blipFill>
                  <pic:spPr>
                    <a:xfrm>
                      <a:off x="0" y="0"/>
                      <a:ext cx="640080" cy="406909"/>
                    </a:xfrm>
                    <a:prstGeom prst="rect">
                      <a:avLst/>
                    </a:prstGeom>
                  </pic:spPr>
                </pic:pic>
              </a:graphicData>
            </a:graphic>
          </wp:anchor>
        </w:drawing>
      </w:r>
      <w:r>
        <w:rPr>
          <w:sz w:val="14"/>
        </w:rPr>
        <w:t xml:space="preserve">OE </w:t>
      </w:r>
    </w:p>
    <w:tbl>
      <w:tblPr>
        <w:tblStyle w:val="TableGrid"/>
        <w:tblW w:w="8384" w:type="dxa"/>
        <w:tblInd w:w="678" w:type="dxa"/>
        <w:tblCellMar>
          <w:top w:w="29" w:type="dxa"/>
          <w:left w:w="42" w:type="dxa"/>
          <w:bottom w:w="8" w:type="dxa"/>
          <w:right w:w="72" w:type="dxa"/>
        </w:tblCellMar>
        <w:tblLook w:val="04A0" w:firstRow="1" w:lastRow="0" w:firstColumn="1" w:lastColumn="0" w:noHBand="0" w:noVBand="1"/>
      </w:tblPr>
      <w:tblGrid>
        <w:gridCol w:w="387"/>
        <w:gridCol w:w="304"/>
        <w:gridCol w:w="771"/>
        <w:gridCol w:w="5595"/>
        <w:gridCol w:w="1327"/>
      </w:tblGrid>
      <w:tr w:rsidR="00053D93" w14:paraId="29AA95C1" w14:textId="77777777">
        <w:trPr>
          <w:trHeight w:val="792"/>
        </w:trPr>
        <w:tc>
          <w:tcPr>
            <w:tcW w:w="356" w:type="dxa"/>
            <w:tcBorders>
              <w:top w:val="single" w:sz="2" w:space="0" w:color="000000"/>
              <w:left w:val="single" w:sz="2" w:space="0" w:color="000000"/>
              <w:bottom w:val="single" w:sz="2" w:space="0" w:color="000000"/>
              <w:right w:val="single" w:sz="2" w:space="0" w:color="000000"/>
            </w:tcBorders>
          </w:tcPr>
          <w:p w14:paraId="72E3BD2E" w14:textId="77777777" w:rsidR="00053D93" w:rsidRDefault="00053D93"/>
        </w:tc>
        <w:tc>
          <w:tcPr>
            <w:tcW w:w="1018" w:type="dxa"/>
            <w:gridSpan w:val="2"/>
            <w:tcBorders>
              <w:top w:val="single" w:sz="2" w:space="0" w:color="000000"/>
              <w:left w:val="single" w:sz="2" w:space="0" w:color="000000"/>
              <w:bottom w:val="single" w:sz="2" w:space="0" w:color="000000"/>
              <w:right w:val="single" w:sz="2" w:space="0" w:color="000000"/>
            </w:tcBorders>
          </w:tcPr>
          <w:p w14:paraId="25DD8021" w14:textId="77777777" w:rsidR="00053D93" w:rsidRDefault="00053D93"/>
        </w:tc>
        <w:tc>
          <w:tcPr>
            <w:tcW w:w="5736" w:type="dxa"/>
            <w:tcBorders>
              <w:top w:val="single" w:sz="2" w:space="0" w:color="000000"/>
              <w:left w:val="single" w:sz="2" w:space="0" w:color="000000"/>
              <w:bottom w:val="single" w:sz="2" w:space="0" w:color="000000"/>
              <w:right w:val="single" w:sz="2" w:space="0" w:color="000000"/>
            </w:tcBorders>
          </w:tcPr>
          <w:p w14:paraId="3D89338D" w14:textId="77777777" w:rsidR="00053D93" w:rsidRDefault="00260B75">
            <w:pPr>
              <w:ind w:left="66" w:right="5"/>
              <w:jc w:val="both"/>
            </w:pPr>
            <w:r>
              <w:t>profesionales de las Direcciones Departamentales de Educación de la Región 1, a realizarse los días 20, 21 y 22 de mayo en Chiquimula.</w:t>
            </w:r>
          </w:p>
        </w:tc>
        <w:tc>
          <w:tcPr>
            <w:tcW w:w="1274" w:type="dxa"/>
            <w:tcBorders>
              <w:top w:val="single" w:sz="2" w:space="0" w:color="000000"/>
              <w:left w:val="single" w:sz="2" w:space="0" w:color="000000"/>
              <w:bottom w:val="single" w:sz="2" w:space="0" w:color="000000"/>
              <w:right w:val="single" w:sz="2" w:space="0" w:color="000000"/>
            </w:tcBorders>
            <w:vAlign w:val="bottom"/>
          </w:tcPr>
          <w:p w14:paraId="538B7F97" w14:textId="77777777" w:rsidR="00053D93" w:rsidRDefault="00260B75">
            <w:pPr>
              <w:ind w:left="320"/>
            </w:pPr>
            <w:r>
              <w:t>38,769.50</w:t>
            </w:r>
          </w:p>
        </w:tc>
      </w:tr>
      <w:tr w:rsidR="00053D93" w14:paraId="22C8B674" w14:textId="77777777">
        <w:trPr>
          <w:trHeight w:val="1303"/>
        </w:trPr>
        <w:tc>
          <w:tcPr>
            <w:tcW w:w="356" w:type="dxa"/>
            <w:tcBorders>
              <w:top w:val="single" w:sz="2" w:space="0" w:color="000000"/>
              <w:left w:val="single" w:sz="2" w:space="0" w:color="000000"/>
              <w:bottom w:val="single" w:sz="2" w:space="0" w:color="000000"/>
              <w:right w:val="single" w:sz="2" w:space="0" w:color="000000"/>
            </w:tcBorders>
          </w:tcPr>
          <w:p w14:paraId="103FD50C" w14:textId="77777777" w:rsidR="00053D93" w:rsidRDefault="00260B75">
            <w:pPr>
              <w:ind w:left="36"/>
            </w:pPr>
            <w:r>
              <w:rPr>
                <w:sz w:val="24"/>
              </w:rPr>
              <w:t>IO</w:t>
            </w:r>
          </w:p>
        </w:tc>
        <w:tc>
          <w:tcPr>
            <w:tcW w:w="1018" w:type="dxa"/>
            <w:gridSpan w:val="2"/>
            <w:tcBorders>
              <w:top w:val="single" w:sz="2" w:space="0" w:color="000000"/>
              <w:left w:val="single" w:sz="2" w:space="0" w:color="000000"/>
              <w:bottom w:val="single" w:sz="2" w:space="0" w:color="000000"/>
              <w:right w:val="single" w:sz="2" w:space="0" w:color="000000"/>
            </w:tcBorders>
          </w:tcPr>
          <w:p w14:paraId="7BDCEF38" w14:textId="77777777" w:rsidR="00053D93" w:rsidRDefault="00260B75">
            <w:pPr>
              <w:ind w:left="83"/>
            </w:pPr>
            <w:r>
              <w:rPr>
                <w:sz w:val="20"/>
              </w:rPr>
              <w:t>23056959</w:t>
            </w:r>
          </w:p>
        </w:tc>
        <w:tc>
          <w:tcPr>
            <w:tcW w:w="5736" w:type="dxa"/>
            <w:tcBorders>
              <w:top w:val="single" w:sz="2" w:space="0" w:color="000000"/>
              <w:left w:val="single" w:sz="2" w:space="0" w:color="000000"/>
              <w:bottom w:val="single" w:sz="2" w:space="0" w:color="000000"/>
              <w:right w:val="single" w:sz="2" w:space="0" w:color="000000"/>
            </w:tcBorders>
          </w:tcPr>
          <w:p w14:paraId="65D22A95" w14:textId="77777777" w:rsidR="00053D93" w:rsidRDefault="00260B75">
            <w:pPr>
              <w:ind w:left="51" w:right="5" w:firstLine="14"/>
              <w:jc w:val="both"/>
            </w:pPr>
            <w:r>
              <w:t>Implementación del Protocolo de Identificación de Casos de Violencia dentro del Sistema Educativo Nacional dirigido a profesionales de las Direcciones Departamentales de Educación de la Región 2, a realizarse los días 26, 27 y 28 de mayo en Sololá.</w:t>
            </w:r>
          </w:p>
        </w:tc>
        <w:tc>
          <w:tcPr>
            <w:tcW w:w="1274" w:type="dxa"/>
            <w:tcBorders>
              <w:top w:val="single" w:sz="2" w:space="0" w:color="000000"/>
              <w:left w:val="single" w:sz="2" w:space="0" w:color="000000"/>
              <w:bottom w:val="single" w:sz="2" w:space="0" w:color="000000"/>
              <w:right w:val="single" w:sz="2" w:space="0" w:color="000000"/>
            </w:tcBorders>
            <w:vAlign w:val="bottom"/>
          </w:tcPr>
          <w:p w14:paraId="4AB87E0E" w14:textId="77777777" w:rsidR="00053D93" w:rsidRDefault="00260B75">
            <w:pPr>
              <w:ind w:left="313"/>
            </w:pPr>
            <w:r>
              <w:t>35,300.oo</w:t>
            </w:r>
          </w:p>
        </w:tc>
      </w:tr>
      <w:tr w:rsidR="00053D93" w14:paraId="01E494A8" w14:textId="77777777">
        <w:trPr>
          <w:trHeight w:val="530"/>
        </w:trPr>
        <w:tc>
          <w:tcPr>
            <w:tcW w:w="356" w:type="dxa"/>
            <w:tcBorders>
              <w:top w:val="single" w:sz="2" w:space="0" w:color="000000"/>
              <w:left w:val="single" w:sz="2" w:space="0" w:color="000000"/>
              <w:bottom w:val="single" w:sz="2" w:space="0" w:color="000000"/>
              <w:right w:val="single" w:sz="2" w:space="0" w:color="000000"/>
            </w:tcBorders>
          </w:tcPr>
          <w:p w14:paraId="090C520A" w14:textId="77777777" w:rsidR="00053D93" w:rsidRDefault="00260B75">
            <w:pPr>
              <w:ind w:left="36"/>
            </w:pPr>
            <w:r>
              <w:rPr>
                <w:sz w:val="20"/>
              </w:rPr>
              <w:t>11</w:t>
            </w:r>
          </w:p>
        </w:tc>
        <w:tc>
          <w:tcPr>
            <w:tcW w:w="1018" w:type="dxa"/>
            <w:gridSpan w:val="2"/>
            <w:tcBorders>
              <w:top w:val="single" w:sz="2" w:space="0" w:color="000000"/>
              <w:left w:val="single" w:sz="2" w:space="0" w:color="000000"/>
              <w:bottom w:val="single" w:sz="2" w:space="0" w:color="000000"/>
              <w:right w:val="single" w:sz="2" w:space="0" w:color="000000"/>
            </w:tcBorders>
          </w:tcPr>
          <w:p w14:paraId="38B41191" w14:textId="77777777" w:rsidR="00053D93" w:rsidRDefault="00260B75">
            <w:pPr>
              <w:ind w:left="76"/>
            </w:pPr>
            <w:r>
              <w:t>231 17540</w:t>
            </w:r>
          </w:p>
        </w:tc>
        <w:tc>
          <w:tcPr>
            <w:tcW w:w="5736" w:type="dxa"/>
            <w:tcBorders>
              <w:top w:val="single" w:sz="2" w:space="0" w:color="000000"/>
              <w:left w:val="single" w:sz="2" w:space="0" w:color="000000"/>
              <w:bottom w:val="single" w:sz="2" w:space="0" w:color="000000"/>
              <w:right w:val="single" w:sz="2" w:space="0" w:color="000000"/>
            </w:tcBorders>
          </w:tcPr>
          <w:p w14:paraId="6F12A989" w14:textId="77777777" w:rsidR="00053D93" w:rsidRDefault="00260B75">
            <w:pPr>
              <w:ind w:left="66"/>
              <w:jc w:val="both"/>
            </w:pPr>
            <w:r>
              <w:t>Impresión de Hojas de Respuestas para Evaluación Diagnóstica Intermedia [l, del Nivel de Educación Primario.</w:t>
            </w:r>
          </w:p>
        </w:tc>
        <w:tc>
          <w:tcPr>
            <w:tcW w:w="1274" w:type="dxa"/>
            <w:tcBorders>
              <w:top w:val="single" w:sz="2" w:space="0" w:color="000000"/>
              <w:left w:val="single" w:sz="2" w:space="0" w:color="000000"/>
              <w:bottom w:val="single" w:sz="2" w:space="0" w:color="000000"/>
              <w:right w:val="single" w:sz="2" w:space="0" w:color="000000"/>
            </w:tcBorders>
            <w:vAlign w:val="bottom"/>
          </w:tcPr>
          <w:p w14:paraId="39FEE003" w14:textId="77777777" w:rsidR="00053D93" w:rsidRDefault="00260B75">
            <w:pPr>
              <w:ind w:left="313"/>
            </w:pPr>
            <w:r>
              <w:t>39.520.00</w:t>
            </w:r>
          </w:p>
        </w:tc>
      </w:tr>
      <w:tr w:rsidR="00053D93" w14:paraId="21D72417" w14:textId="77777777">
        <w:trPr>
          <w:trHeight w:val="533"/>
        </w:trPr>
        <w:tc>
          <w:tcPr>
            <w:tcW w:w="356" w:type="dxa"/>
            <w:tcBorders>
              <w:top w:val="single" w:sz="2" w:space="0" w:color="000000"/>
              <w:left w:val="single" w:sz="2" w:space="0" w:color="000000"/>
              <w:bottom w:val="single" w:sz="2" w:space="0" w:color="000000"/>
              <w:right w:val="single" w:sz="2" w:space="0" w:color="000000"/>
            </w:tcBorders>
          </w:tcPr>
          <w:p w14:paraId="3927A209" w14:textId="77777777" w:rsidR="00053D93" w:rsidRDefault="00260B75">
            <w:pPr>
              <w:ind w:left="29"/>
            </w:pPr>
            <w:r>
              <w:t>12</w:t>
            </w:r>
          </w:p>
        </w:tc>
        <w:tc>
          <w:tcPr>
            <w:tcW w:w="1018" w:type="dxa"/>
            <w:gridSpan w:val="2"/>
            <w:tcBorders>
              <w:top w:val="single" w:sz="2" w:space="0" w:color="000000"/>
              <w:left w:val="single" w:sz="2" w:space="0" w:color="000000"/>
              <w:bottom w:val="single" w:sz="2" w:space="0" w:color="000000"/>
              <w:right w:val="single" w:sz="2" w:space="0" w:color="000000"/>
            </w:tcBorders>
          </w:tcPr>
          <w:p w14:paraId="4080052B" w14:textId="77777777" w:rsidR="00053D93" w:rsidRDefault="00260B75">
            <w:pPr>
              <w:ind w:left="76"/>
            </w:pPr>
            <w:r>
              <w:rPr>
                <w:sz w:val="20"/>
              </w:rPr>
              <w:t>23118210</w:t>
            </w:r>
          </w:p>
        </w:tc>
        <w:tc>
          <w:tcPr>
            <w:tcW w:w="5736" w:type="dxa"/>
            <w:tcBorders>
              <w:top w:val="single" w:sz="2" w:space="0" w:color="000000"/>
              <w:left w:val="single" w:sz="2" w:space="0" w:color="000000"/>
              <w:bottom w:val="single" w:sz="2" w:space="0" w:color="000000"/>
              <w:right w:val="single" w:sz="2" w:space="0" w:color="000000"/>
            </w:tcBorders>
          </w:tcPr>
          <w:p w14:paraId="0A53218F" w14:textId="77777777" w:rsidR="00053D93" w:rsidRDefault="00260B75">
            <w:pPr>
              <w:ind w:left="66"/>
              <w:jc w:val="both"/>
            </w:pPr>
            <w:r>
              <w:t>Impresión de Cuadernillos para Evaluación Diagnóstica Intermedia ll, del Nivel de Educación Primario.</w:t>
            </w:r>
          </w:p>
        </w:tc>
        <w:tc>
          <w:tcPr>
            <w:tcW w:w="1274" w:type="dxa"/>
            <w:tcBorders>
              <w:top w:val="single" w:sz="2" w:space="0" w:color="000000"/>
              <w:left w:val="single" w:sz="2" w:space="0" w:color="000000"/>
              <w:bottom w:val="single" w:sz="2" w:space="0" w:color="000000"/>
              <w:right w:val="single" w:sz="2" w:space="0" w:color="000000"/>
            </w:tcBorders>
            <w:vAlign w:val="bottom"/>
          </w:tcPr>
          <w:p w14:paraId="323B23BF" w14:textId="77777777" w:rsidR="00053D93" w:rsidRDefault="00260B75">
            <w:pPr>
              <w:ind w:left="306"/>
            </w:pPr>
            <w:r>
              <w:t>22.910.00</w:t>
            </w:r>
          </w:p>
        </w:tc>
      </w:tr>
      <w:tr w:rsidR="00053D93" w14:paraId="69B3DBEE" w14:textId="77777777">
        <w:trPr>
          <w:trHeight w:val="533"/>
        </w:trPr>
        <w:tc>
          <w:tcPr>
            <w:tcW w:w="356" w:type="dxa"/>
            <w:tcBorders>
              <w:top w:val="single" w:sz="2" w:space="0" w:color="000000"/>
              <w:left w:val="single" w:sz="2" w:space="0" w:color="000000"/>
              <w:bottom w:val="single" w:sz="2" w:space="0" w:color="000000"/>
              <w:right w:val="single" w:sz="2" w:space="0" w:color="000000"/>
            </w:tcBorders>
          </w:tcPr>
          <w:p w14:paraId="559047B1" w14:textId="77777777" w:rsidR="00053D93" w:rsidRDefault="00260B75">
            <w:pPr>
              <w:ind w:left="29"/>
            </w:pPr>
            <w:r>
              <w:rPr>
                <w:sz w:val="24"/>
              </w:rPr>
              <w:t>13</w:t>
            </w:r>
          </w:p>
        </w:tc>
        <w:tc>
          <w:tcPr>
            <w:tcW w:w="1018" w:type="dxa"/>
            <w:gridSpan w:val="2"/>
            <w:tcBorders>
              <w:top w:val="single" w:sz="2" w:space="0" w:color="000000"/>
              <w:left w:val="single" w:sz="2" w:space="0" w:color="000000"/>
              <w:bottom w:val="single" w:sz="2" w:space="0" w:color="000000"/>
              <w:right w:val="single" w:sz="2" w:space="0" w:color="000000"/>
            </w:tcBorders>
          </w:tcPr>
          <w:p w14:paraId="1B1B3A21" w14:textId="77777777" w:rsidR="00053D93" w:rsidRDefault="00260B75">
            <w:pPr>
              <w:ind w:left="76"/>
            </w:pPr>
            <w:r>
              <w:rPr>
                <w:sz w:val="20"/>
              </w:rPr>
              <w:t>23118741</w:t>
            </w:r>
          </w:p>
        </w:tc>
        <w:tc>
          <w:tcPr>
            <w:tcW w:w="5736" w:type="dxa"/>
            <w:tcBorders>
              <w:top w:val="single" w:sz="2" w:space="0" w:color="000000"/>
              <w:left w:val="single" w:sz="2" w:space="0" w:color="000000"/>
              <w:bottom w:val="single" w:sz="2" w:space="0" w:color="000000"/>
              <w:right w:val="single" w:sz="2" w:space="0" w:color="000000"/>
            </w:tcBorders>
          </w:tcPr>
          <w:p w14:paraId="7E91BBE2" w14:textId="77777777" w:rsidR="00053D93" w:rsidRDefault="00260B75">
            <w:pPr>
              <w:ind w:left="58" w:firstLine="7"/>
            </w:pPr>
            <w:r>
              <w:t>Impresión de Tarjetas para Evaluación Diagnóstica Intermedia II, del Nivel de Educación Primario.</w:t>
            </w:r>
          </w:p>
        </w:tc>
        <w:tc>
          <w:tcPr>
            <w:tcW w:w="1274" w:type="dxa"/>
            <w:tcBorders>
              <w:top w:val="single" w:sz="2" w:space="0" w:color="000000"/>
              <w:left w:val="single" w:sz="2" w:space="0" w:color="000000"/>
              <w:bottom w:val="single" w:sz="2" w:space="0" w:color="000000"/>
              <w:right w:val="single" w:sz="2" w:space="0" w:color="000000"/>
            </w:tcBorders>
            <w:vAlign w:val="bottom"/>
          </w:tcPr>
          <w:p w14:paraId="37E1BA46" w14:textId="77777777" w:rsidR="00053D93" w:rsidRDefault="00260B75">
            <w:pPr>
              <w:ind w:left="313"/>
            </w:pPr>
            <w:r>
              <w:rPr>
                <w:sz w:val="20"/>
              </w:rPr>
              <w:t>31 ,900.oo</w:t>
            </w:r>
          </w:p>
        </w:tc>
      </w:tr>
      <w:tr w:rsidR="00053D93" w14:paraId="1305108A" w14:textId="77777777">
        <w:trPr>
          <w:trHeight w:val="1037"/>
        </w:trPr>
        <w:tc>
          <w:tcPr>
            <w:tcW w:w="356" w:type="dxa"/>
            <w:tcBorders>
              <w:top w:val="single" w:sz="2" w:space="0" w:color="000000"/>
              <w:left w:val="single" w:sz="2" w:space="0" w:color="000000"/>
              <w:bottom w:val="single" w:sz="2" w:space="0" w:color="000000"/>
              <w:right w:val="single" w:sz="2" w:space="0" w:color="000000"/>
            </w:tcBorders>
          </w:tcPr>
          <w:p w14:paraId="340924C2" w14:textId="77777777" w:rsidR="00053D93" w:rsidRDefault="00260B75">
            <w:pPr>
              <w:ind w:left="29"/>
            </w:pPr>
            <w:r>
              <w:t>14</w:t>
            </w:r>
          </w:p>
        </w:tc>
        <w:tc>
          <w:tcPr>
            <w:tcW w:w="1018" w:type="dxa"/>
            <w:gridSpan w:val="2"/>
            <w:tcBorders>
              <w:top w:val="single" w:sz="2" w:space="0" w:color="000000"/>
              <w:left w:val="single" w:sz="2" w:space="0" w:color="000000"/>
              <w:bottom w:val="single" w:sz="2" w:space="0" w:color="000000"/>
              <w:right w:val="single" w:sz="2" w:space="0" w:color="000000"/>
            </w:tcBorders>
          </w:tcPr>
          <w:p w14:paraId="5DD40483" w14:textId="77777777" w:rsidR="00053D93" w:rsidRDefault="00260B75">
            <w:pPr>
              <w:ind w:left="76"/>
            </w:pPr>
            <w:r>
              <w:rPr>
                <w:sz w:val="20"/>
              </w:rPr>
              <w:t>23158476</w:t>
            </w:r>
          </w:p>
        </w:tc>
        <w:tc>
          <w:tcPr>
            <w:tcW w:w="5736" w:type="dxa"/>
            <w:tcBorders>
              <w:top w:val="single" w:sz="2" w:space="0" w:color="000000"/>
              <w:left w:val="single" w:sz="2" w:space="0" w:color="000000"/>
              <w:bottom w:val="single" w:sz="2" w:space="0" w:color="000000"/>
              <w:right w:val="single" w:sz="2" w:space="0" w:color="000000"/>
            </w:tcBorders>
          </w:tcPr>
          <w:p w14:paraId="29BDEDDB" w14:textId="77777777" w:rsidR="00053D93" w:rsidRDefault="00260B75">
            <w:pPr>
              <w:ind w:left="51" w:right="12" w:firstLine="7"/>
              <w:jc w:val="both"/>
            </w:pPr>
            <w:r>
              <w:t>Capacitación en Técnicas de Ejecución Instrumental dirigido a directores y docentes de las Orquestas y Bandas Sinfónicas del Programa Pentagrama, a realizarse los dras 18 y 19 de junio de 2024 en la Ciudad Capital.</w:t>
            </w:r>
          </w:p>
        </w:tc>
        <w:tc>
          <w:tcPr>
            <w:tcW w:w="1274" w:type="dxa"/>
            <w:tcBorders>
              <w:top w:val="single" w:sz="2" w:space="0" w:color="000000"/>
              <w:left w:val="single" w:sz="2" w:space="0" w:color="000000"/>
              <w:bottom w:val="single" w:sz="2" w:space="0" w:color="000000"/>
              <w:right w:val="single" w:sz="2" w:space="0" w:color="000000"/>
            </w:tcBorders>
            <w:vAlign w:val="bottom"/>
          </w:tcPr>
          <w:p w14:paraId="765AC358" w14:textId="77777777" w:rsidR="00053D93" w:rsidRDefault="00260B75">
            <w:pPr>
              <w:ind w:left="306"/>
            </w:pPr>
            <w:r>
              <w:t>50.080.80</w:t>
            </w:r>
          </w:p>
        </w:tc>
      </w:tr>
      <w:tr w:rsidR="00053D93" w14:paraId="101E940C" w14:textId="77777777">
        <w:trPr>
          <w:trHeight w:val="780"/>
        </w:trPr>
        <w:tc>
          <w:tcPr>
            <w:tcW w:w="356" w:type="dxa"/>
            <w:tcBorders>
              <w:top w:val="single" w:sz="2" w:space="0" w:color="000000"/>
              <w:left w:val="single" w:sz="2" w:space="0" w:color="000000"/>
              <w:bottom w:val="single" w:sz="2" w:space="0" w:color="000000"/>
              <w:right w:val="single" w:sz="2" w:space="0" w:color="000000"/>
            </w:tcBorders>
          </w:tcPr>
          <w:p w14:paraId="4458447E" w14:textId="77777777" w:rsidR="00053D93" w:rsidRDefault="00260B75">
            <w:pPr>
              <w:ind w:left="29"/>
            </w:pPr>
            <w:r>
              <w:t>15</w:t>
            </w:r>
          </w:p>
        </w:tc>
        <w:tc>
          <w:tcPr>
            <w:tcW w:w="1018" w:type="dxa"/>
            <w:gridSpan w:val="2"/>
            <w:tcBorders>
              <w:top w:val="single" w:sz="2" w:space="0" w:color="000000"/>
              <w:left w:val="single" w:sz="2" w:space="0" w:color="000000"/>
              <w:bottom w:val="single" w:sz="2" w:space="0" w:color="000000"/>
              <w:right w:val="single" w:sz="2" w:space="0" w:color="000000"/>
            </w:tcBorders>
          </w:tcPr>
          <w:p w14:paraId="09485EC2" w14:textId="77777777" w:rsidR="00053D93" w:rsidRDefault="00260B75">
            <w:pPr>
              <w:ind w:left="76"/>
            </w:pPr>
            <w:r>
              <w:rPr>
                <w:sz w:val="20"/>
              </w:rPr>
              <w:t>23188898</w:t>
            </w:r>
          </w:p>
        </w:tc>
        <w:tc>
          <w:tcPr>
            <w:tcW w:w="5736" w:type="dxa"/>
            <w:tcBorders>
              <w:top w:val="single" w:sz="2" w:space="0" w:color="000000"/>
              <w:left w:val="single" w:sz="2" w:space="0" w:color="000000"/>
              <w:bottom w:val="single" w:sz="2" w:space="0" w:color="000000"/>
              <w:right w:val="single" w:sz="2" w:space="0" w:color="000000"/>
            </w:tcBorders>
          </w:tcPr>
          <w:p w14:paraId="3867E8CE" w14:textId="77777777" w:rsidR="00053D93" w:rsidRDefault="00260B75">
            <w:pPr>
              <w:ind w:left="51" w:right="12" w:firstLine="7"/>
              <w:jc w:val="both"/>
            </w:pPr>
            <w:r>
              <w:t>Capacitación dirigida a directores y docentes de las Aulas Musicales del Programa Pentagrama que conforman Coros, a realizarse los días 20 y 21 de junio de 2024 en la Ciudad Capital.</w:t>
            </w:r>
          </w:p>
        </w:tc>
        <w:tc>
          <w:tcPr>
            <w:tcW w:w="1274" w:type="dxa"/>
            <w:tcBorders>
              <w:top w:val="single" w:sz="2" w:space="0" w:color="000000"/>
              <w:left w:val="single" w:sz="2" w:space="0" w:color="000000"/>
              <w:bottom w:val="single" w:sz="2" w:space="0" w:color="000000"/>
              <w:right w:val="single" w:sz="2" w:space="0" w:color="000000"/>
            </w:tcBorders>
            <w:vAlign w:val="bottom"/>
          </w:tcPr>
          <w:p w14:paraId="055B06C0" w14:textId="77777777" w:rsidR="00053D93" w:rsidRDefault="00260B75">
            <w:pPr>
              <w:ind w:left="313"/>
            </w:pPr>
            <w:r>
              <w:t>10.947.62</w:t>
            </w:r>
          </w:p>
        </w:tc>
      </w:tr>
      <w:tr w:rsidR="00053D93" w14:paraId="4BDC5CD2" w14:textId="77777777">
        <w:trPr>
          <w:trHeight w:val="1044"/>
        </w:trPr>
        <w:tc>
          <w:tcPr>
            <w:tcW w:w="356" w:type="dxa"/>
            <w:tcBorders>
              <w:top w:val="single" w:sz="2" w:space="0" w:color="000000"/>
              <w:left w:val="single" w:sz="2" w:space="0" w:color="000000"/>
              <w:bottom w:val="single" w:sz="2" w:space="0" w:color="000000"/>
              <w:right w:val="single" w:sz="2" w:space="0" w:color="000000"/>
            </w:tcBorders>
          </w:tcPr>
          <w:p w14:paraId="00224EDB" w14:textId="77777777" w:rsidR="00053D93" w:rsidRDefault="00260B75">
            <w:pPr>
              <w:ind w:left="29"/>
            </w:pPr>
            <w:r>
              <w:t>16</w:t>
            </w:r>
          </w:p>
        </w:tc>
        <w:tc>
          <w:tcPr>
            <w:tcW w:w="1018" w:type="dxa"/>
            <w:gridSpan w:val="2"/>
            <w:tcBorders>
              <w:top w:val="single" w:sz="2" w:space="0" w:color="000000"/>
              <w:left w:val="single" w:sz="2" w:space="0" w:color="000000"/>
              <w:bottom w:val="single" w:sz="2" w:space="0" w:color="000000"/>
              <w:right w:val="single" w:sz="2" w:space="0" w:color="000000"/>
            </w:tcBorders>
          </w:tcPr>
          <w:p w14:paraId="3F37C767" w14:textId="77777777" w:rsidR="00053D93" w:rsidRDefault="00260B75">
            <w:pPr>
              <w:ind w:left="68"/>
            </w:pPr>
            <w:r>
              <w:t>23203242</w:t>
            </w:r>
          </w:p>
        </w:tc>
        <w:tc>
          <w:tcPr>
            <w:tcW w:w="5736" w:type="dxa"/>
            <w:tcBorders>
              <w:top w:val="single" w:sz="2" w:space="0" w:color="000000"/>
              <w:left w:val="single" w:sz="2" w:space="0" w:color="000000"/>
              <w:bottom w:val="single" w:sz="2" w:space="0" w:color="000000"/>
              <w:right w:val="single" w:sz="2" w:space="0" w:color="000000"/>
            </w:tcBorders>
          </w:tcPr>
          <w:p w14:paraId="59E99BD3" w14:textId="77777777" w:rsidR="00053D93" w:rsidRDefault="00260B75">
            <w:pPr>
              <w:ind w:left="44" w:right="19"/>
              <w:jc w:val="both"/>
            </w:pPr>
            <w:r>
              <w:t>Adquisición de 1 1 Kits de Instrumentos para Química para fortalecer los Laboratorios de Ciencias Naturales de los INED que imparten la carrera de Bachillerato en Ciencias y Letras con Orientación en Ciencias Biológicas.</w:t>
            </w:r>
          </w:p>
        </w:tc>
        <w:tc>
          <w:tcPr>
            <w:tcW w:w="1274" w:type="dxa"/>
            <w:tcBorders>
              <w:top w:val="single" w:sz="2" w:space="0" w:color="000000"/>
              <w:left w:val="single" w:sz="2" w:space="0" w:color="000000"/>
              <w:bottom w:val="single" w:sz="2" w:space="0" w:color="000000"/>
              <w:right w:val="single" w:sz="2" w:space="0" w:color="000000"/>
            </w:tcBorders>
            <w:vAlign w:val="bottom"/>
          </w:tcPr>
          <w:p w14:paraId="720BDAF8" w14:textId="77777777" w:rsidR="00053D93" w:rsidRDefault="00260B75">
            <w:pPr>
              <w:ind w:left="306"/>
            </w:pPr>
            <w:r>
              <w:t>84,568.oo</w:t>
            </w:r>
          </w:p>
        </w:tc>
      </w:tr>
      <w:tr w:rsidR="00053D93" w14:paraId="7BDD9A50" w14:textId="77777777">
        <w:trPr>
          <w:trHeight w:val="782"/>
        </w:trPr>
        <w:tc>
          <w:tcPr>
            <w:tcW w:w="356" w:type="dxa"/>
            <w:tcBorders>
              <w:top w:val="single" w:sz="2" w:space="0" w:color="000000"/>
              <w:left w:val="single" w:sz="2" w:space="0" w:color="000000"/>
              <w:bottom w:val="single" w:sz="2" w:space="0" w:color="000000"/>
              <w:right w:val="single" w:sz="2" w:space="0" w:color="000000"/>
            </w:tcBorders>
          </w:tcPr>
          <w:p w14:paraId="5FE1C086" w14:textId="77777777" w:rsidR="00053D93" w:rsidRDefault="00260B75">
            <w:pPr>
              <w:ind w:left="22"/>
            </w:pPr>
            <w:r>
              <w:t>17</w:t>
            </w:r>
          </w:p>
        </w:tc>
        <w:tc>
          <w:tcPr>
            <w:tcW w:w="1018" w:type="dxa"/>
            <w:gridSpan w:val="2"/>
            <w:tcBorders>
              <w:top w:val="single" w:sz="2" w:space="0" w:color="000000"/>
              <w:left w:val="single" w:sz="2" w:space="0" w:color="000000"/>
              <w:bottom w:val="single" w:sz="2" w:space="0" w:color="000000"/>
              <w:right w:val="single" w:sz="2" w:space="0" w:color="000000"/>
            </w:tcBorders>
          </w:tcPr>
          <w:p w14:paraId="72A3C585" w14:textId="77777777" w:rsidR="00053D93" w:rsidRDefault="00260B75">
            <w:pPr>
              <w:ind w:left="68"/>
            </w:pPr>
            <w:r>
              <w:rPr>
                <w:sz w:val="20"/>
              </w:rPr>
              <w:t>23218851</w:t>
            </w:r>
          </w:p>
        </w:tc>
        <w:tc>
          <w:tcPr>
            <w:tcW w:w="5736" w:type="dxa"/>
            <w:tcBorders>
              <w:top w:val="single" w:sz="2" w:space="0" w:color="000000"/>
              <w:left w:val="single" w:sz="2" w:space="0" w:color="000000"/>
              <w:bottom w:val="single" w:sz="2" w:space="0" w:color="000000"/>
              <w:right w:val="single" w:sz="2" w:space="0" w:color="000000"/>
            </w:tcBorders>
          </w:tcPr>
          <w:p w14:paraId="0FDD6E4A" w14:textId="77777777" w:rsidR="00053D93" w:rsidRDefault="00260B75">
            <w:pPr>
              <w:ind w:left="51" w:right="19" w:hanging="7"/>
              <w:jc w:val="both"/>
            </w:pPr>
            <w:r>
              <w:t>Adquisición de 6 Tubas para uso de las Aulas Musicales del Programa Pentagrama que conforman bandas y orquestas sinfónicas.</w:t>
            </w:r>
          </w:p>
        </w:tc>
        <w:tc>
          <w:tcPr>
            <w:tcW w:w="1274" w:type="dxa"/>
            <w:tcBorders>
              <w:top w:val="single" w:sz="2" w:space="0" w:color="000000"/>
              <w:left w:val="single" w:sz="2" w:space="0" w:color="000000"/>
              <w:bottom w:val="single" w:sz="2" w:space="0" w:color="000000"/>
              <w:right w:val="single" w:sz="2" w:space="0" w:color="000000"/>
            </w:tcBorders>
            <w:vAlign w:val="bottom"/>
          </w:tcPr>
          <w:p w14:paraId="3CDCC0CF" w14:textId="77777777" w:rsidR="00053D93" w:rsidRDefault="00260B75">
            <w:pPr>
              <w:ind w:left="306"/>
            </w:pPr>
            <w:r>
              <w:t>90,000.oo</w:t>
            </w:r>
          </w:p>
        </w:tc>
      </w:tr>
      <w:tr w:rsidR="00053D93" w14:paraId="0D8AAC20" w14:textId="77777777">
        <w:trPr>
          <w:trHeight w:val="526"/>
        </w:trPr>
        <w:tc>
          <w:tcPr>
            <w:tcW w:w="356" w:type="dxa"/>
            <w:tcBorders>
              <w:top w:val="single" w:sz="2" w:space="0" w:color="000000"/>
              <w:left w:val="single" w:sz="2" w:space="0" w:color="000000"/>
              <w:bottom w:val="single" w:sz="2" w:space="0" w:color="000000"/>
              <w:right w:val="single" w:sz="2" w:space="0" w:color="000000"/>
            </w:tcBorders>
          </w:tcPr>
          <w:p w14:paraId="7F75FC73" w14:textId="77777777" w:rsidR="00053D93" w:rsidRDefault="00260B75">
            <w:pPr>
              <w:ind w:left="22"/>
            </w:pPr>
            <w:r>
              <w:t>18</w:t>
            </w:r>
          </w:p>
        </w:tc>
        <w:tc>
          <w:tcPr>
            <w:tcW w:w="1018" w:type="dxa"/>
            <w:gridSpan w:val="2"/>
            <w:tcBorders>
              <w:top w:val="single" w:sz="2" w:space="0" w:color="000000"/>
              <w:left w:val="single" w:sz="2" w:space="0" w:color="000000"/>
              <w:bottom w:val="single" w:sz="2" w:space="0" w:color="000000"/>
              <w:right w:val="single" w:sz="2" w:space="0" w:color="000000"/>
            </w:tcBorders>
          </w:tcPr>
          <w:p w14:paraId="6C62BEB0" w14:textId="77777777" w:rsidR="00053D93" w:rsidRDefault="00260B75">
            <w:pPr>
              <w:ind w:left="68"/>
            </w:pPr>
            <w:r>
              <w:rPr>
                <w:sz w:val="20"/>
              </w:rPr>
              <w:t>23223324</w:t>
            </w:r>
          </w:p>
        </w:tc>
        <w:tc>
          <w:tcPr>
            <w:tcW w:w="5736" w:type="dxa"/>
            <w:tcBorders>
              <w:top w:val="single" w:sz="2" w:space="0" w:color="000000"/>
              <w:left w:val="single" w:sz="2" w:space="0" w:color="000000"/>
              <w:bottom w:val="single" w:sz="2" w:space="0" w:color="000000"/>
              <w:right w:val="single" w:sz="2" w:space="0" w:color="000000"/>
            </w:tcBorders>
          </w:tcPr>
          <w:p w14:paraId="233A49F8" w14:textId="77777777" w:rsidR="00053D93" w:rsidRDefault="00260B75">
            <w:pPr>
              <w:ind w:left="51" w:hanging="7"/>
              <w:jc w:val="both"/>
            </w:pPr>
            <w:r>
              <w:t>Adquisición de 150 Atriles de Partituras para uso de las Aulas Musicales del Programa Pentagrama.</w:t>
            </w:r>
          </w:p>
        </w:tc>
        <w:tc>
          <w:tcPr>
            <w:tcW w:w="1274" w:type="dxa"/>
            <w:tcBorders>
              <w:top w:val="single" w:sz="2" w:space="0" w:color="000000"/>
              <w:left w:val="single" w:sz="2" w:space="0" w:color="000000"/>
              <w:bottom w:val="single" w:sz="2" w:space="0" w:color="000000"/>
              <w:right w:val="single" w:sz="2" w:space="0" w:color="000000"/>
            </w:tcBorders>
            <w:vAlign w:val="bottom"/>
          </w:tcPr>
          <w:p w14:paraId="0E347574" w14:textId="77777777" w:rsidR="00053D93" w:rsidRDefault="00260B75">
            <w:pPr>
              <w:ind w:left="306"/>
            </w:pPr>
            <w:r>
              <w:t>32,512.50</w:t>
            </w:r>
          </w:p>
        </w:tc>
      </w:tr>
      <w:tr w:rsidR="00053D93" w14:paraId="554E6F6D" w14:textId="77777777">
        <w:trPr>
          <w:trHeight w:val="788"/>
        </w:trPr>
        <w:tc>
          <w:tcPr>
            <w:tcW w:w="356" w:type="dxa"/>
            <w:tcBorders>
              <w:top w:val="single" w:sz="2" w:space="0" w:color="000000"/>
              <w:left w:val="single" w:sz="2" w:space="0" w:color="000000"/>
              <w:bottom w:val="single" w:sz="2" w:space="0" w:color="000000"/>
              <w:right w:val="single" w:sz="2" w:space="0" w:color="000000"/>
            </w:tcBorders>
          </w:tcPr>
          <w:p w14:paraId="1BF9F7F5" w14:textId="77777777" w:rsidR="00053D93" w:rsidRDefault="00260B75">
            <w:pPr>
              <w:ind w:left="22"/>
            </w:pPr>
            <w:r>
              <w:t>19</w:t>
            </w:r>
          </w:p>
        </w:tc>
        <w:tc>
          <w:tcPr>
            <w:tcW w:w="1018" w:type="dxa"/>
            <w:gridSpan w:val="2"/>
            <w:tcBorders>
              <w:top w:val="single" w:sz="2" w:space="0" w:color="000000"/>
              <w:left w:val="single" w:sz="2" w:space="0" w:color="000000"/>
              <w:bottom w:val="single" w:sz="2" w:space="0" w:color="000000"/>
              <w:right w:val="single" w:sz="2" w:space="0" w:color="000000"/>
            </w:tcBorders>
          </w:tcPr>
          <w:p w14:paraId="5FAA2B8C" w14:textId="77777777" w:rsidR="00053D93" w:rsidRDefault="00260B75">
            <w:pPr>
              <w:ind w:left="61"/>
            </w:pPr>
            <w:r>
              <w:t>23226463</w:t>
            </w:r>
          </w:p>
        </w:tc>
        <w:tc>
          <w:tcPr>
            <w:tcW w:w="5736" w:type="dxa"/>
            <w:tcBorders>
              <w:top w:val="single" w:sz="2" w:space="0" w:color="000000"/>
              <w:left w:val="single" w:sz="2" w:space="0" w:color="000000"/>
              <w:bottom w:val="single" w:sz="2" w:space="0" w:color="000000"/>
              <w:right w:val="single" w:sz="2" w:space="0" w:color="000000"/>
            </w:tcBorders>
          </w:tcPr>
          <w:p w14:paraId="1E5586E2" w14:textId="77777777" w:rsidR="00053D93" w:rsidRDefault="00260B75">
            <w:pPr>
              <w:ind w:left="44" w:right="19" w:hanging="7"/>
              <w:jc w:val="both"/>
            </w:pPr>
            <w:r>
              <w:t>Adquisición de 90 Tabletas para uso de estudiantes de Establecimientos Educativos del Nivel Medio Ciclo Diversificado del sector oficial.</w:t>
            </w:r>
          </w:p>
        </w:tc>
        <w:tc>
          <w:tcPr>
            <w:tcW w:w="1274" w:type="dxa"/>
            <w:tcBorders>
              <w:top w:val="single" w:sz="2" w:space="0" w:color="000000"/>
              <w:left w:val="single" w:sz="2" w:space="0" w:color="000000"/>
              <w:bottom w:val="single" w:sz="2" w:space="0" w:color="000000"/>
              <w:right w:val="single" w:sz="2" w:space="0" w:color="000000"/>
            </w:tcBorders>
            <w:vAlign w:val="bottom"/>
          </w:tcPr>
          <w:p w14:paraId="52244A97" w14:textId="77777777" w:rsidR="00053D93" w:rsidRDefault="00260B75">
            <w:pPr>
              <w:ind w:left="299"/>
            </w:pPr>
            <w:r>
              <w:t>76,050.oo</w:t>
            </w:r>
          </w:p>
        </w:tc>
      </w:tr>
      <w:tr w:rsidR="00053D93" w14:paraId="49D99425" w14:textId="77777777">
        <w:trPr>
          <w:trHeight w:val="533"/>
        </w:trPr>
        <w:tc>
          <w:tcPr>
            <w:tcW w:w="356" w:type="dxa"/>
            <w:tcBorders>
              <w:top w:val="single" w:sz="2" w:space="0" w:color="000000"/>
              <w:left w:val="single" w:sz="2" w:space="0" w:color="000000"/>
              <w:bottom w:val="single" w:sz="2" w:space="0" w:color="000000"/>
              <w:right w:val="single" w:sz="2" w:space="0" w:color="000000"/>
            </w:tcBorders>
          </w:tcPr>
          <w:p w14:paraId="3D158A01" w14:textId="77777777" w:rsidR="00053D93" w:rsidRDefault="00260B75">
            <w:pPr>
              <w:ind w:left="7"/>
            </w:pPr>
            <w:r>
              <w:rPr>
                <w:sz w:val="20"/>
              </w:rPr>
              <w:t>20</w:t>
            </w:r>
          </w:p>
        </w:tc>
        <w:tc>
          <w:tcPr>
            <w:tcW w:w="1018" w:type="dxa"/>
            <w:gridSpan w:val="2"/>
            <w:tcBorders>
              <w:top w:val="single" w:sz="2" w:space="0" w:color="000000"/>
              <w:left w:val="single" w:sz="2" w:space="0" w:color="000000"/>
              <w:bottom w:val="single" w:sz="2" w:space="0" w:color="000000"/>
              <w:right w:val="single" w:sz="2" w:space="0" w:color="000000"/>
            </w:tcBorders>
          </w:tcPr>
          <w:p w14:paraId="7E5C274B" w14:textId="77777777" w:rsidR="00053D93" w:rsidRDefault="00260B75">
            <w:pPr>
              <w:ind w:left="61"/>
            </w:pPr>
            <w:r>
              <w:t>23237813</w:t>
            </w:r>
          </w:p>
        </w:tc>
        <w:tc>
          <w:tcPr>
            <w:tcW w:w="5736" w:type="dxa"/>
            <w:tcBorders>
              <w:top w:val="single" w:sz="2" w:space="0" w:color="000000"/>
              <w:left w:val="single" w:sz="2" w:space="0" w:color="000000"/>
              <w:bottom w:val="single" w:sz="2" w:space="0" w:color="000000"/>
              <w:right w:val="single" w:sz="2" w:space="0" w:color="000000"/>
            </w:tcBorders>
          </w:tcPr>
          <w:p w14:paraId="305C6DC5" w14:textId="77777777" w:rsidR="00053D93" w:rsidRDefault="00260B75">
            <w:pPr>
              <w:ind w:left="51"/>
              <w:jc w:val="both"/>
            </w:pPr>
            <w:r>
              <w:t>Servicio de Pauta Publicitaria Institucional en Radios a Nivel Nacional: Versión "Estrategia de Nivelación de Aprendizajes"</w:t>
            </w:r>
          </w:p>
        </w:tc>
        <w:tc>
          <w:tcPr>
            <w:tcW w:w="1274" w:type="dxa"/>
            <w:tcBorders>
              <w:top w:val="single" w:sz="2" w:space="0" w:color="000000"/>
              <w:left w:val="single" w:sz="2" w:space="0" w:color="000000"/>
              <w:bottom w:val="single" w:sz="2" w:space="0" w:color="000000"/>
              <w:right w:val="single" w:sz="2" w:space="0" w:color="000000"/>
            </w:tcBorders>
            <w:vAlign w:val="bottom"/>
          </w:tcPr>
          <w:p w14:paraId="64EBEC6A" w14:textId="77777777" w:rsidR="00053D93" w:rsidRDefault="00260B75">
            <w:pPr>
              <w:ind w:left="306"/>
            </w:pPr>
            <w:r>
              <w:t>88, 155.00</w:t>
            </w:r>
          </w:p>
        </w:tc>
      </w:tr>
      <w:tr w:rsidR="00053D93" w14:paraId="41C2B1B0" w14:textId="77777777">
        <w:trPr>
          <w:trHeight w:val="785"/>
        </w:trPr>
        <w:tc>
          <w:tcPr>
            <w:tcW w:w="356" w:type="dxa"/>
            <w:tcBorders>
              <w:top w:val="single" w:sz="2" w:space="0" w:color="000000"/>
              <w:left w:val="single" w:sz="2" w:space="0" w:color="000000"/>
              <w:bottom w:val="single" w:sz="2" w:space="0" w:color="000000"/>
              <w:right w:val="single" w:sz="2" w:space="0" w:color="000000"/>
            </w:tcBorders>
          </w:tcPr>
          <w:p w14:paraId="3B153006" w14:textId="77777777" w:rsidR="00053D93" w:rsidRDefault="00260B75">
            <w:pPr>
              <w:ind w:left="7"/>
            </w:pPr>
            <w:r>
              <w:rPr>
                <w:sz w:val="20"/>
              </w:rPr>
              <w:t>21</w:t>
            </w:r>
          </w:p>
        </w:tc>
        <w:tc>
          <w:tcPr>
            <w:tcW w:w="1018" w:type="dxa"/>
            <w:gridSpan w:val="2"/>
            <w:tcBorders>
              <w:top w:val="single" w:sz="2" w:space="0" w:color="000000"/>
              <w:left w:val="single" w:sz="2" w:space="0" w:color="000000"/>
              <w:bottom w:val="single" w:sz="2" w:space="0" w:color="000000"/>
              <w:right w:val="single" w:sz="2" w:space="0" w:color="000000"/>
            </w:tcBorders>
          </w:tcPr>
          <w:p w14:paraId="36E03531" w14:textId="77777777" w:rsidR="00053D93" w:rsidRDefault="00260B75">
            <w:pPr>
              <w:ind w:left="61"/>
            </w:pPr>
            <w:r>
              <w:rPr>
                <w:sz w:val="20"/>
              </w:rPr>
              <w:t>23309431</w:t>
            </w:r>
          </w:p>
        </w:tc>
        <w:tc>
          <w:tcPr>
            <w:tcW w:w="5736" w:type="dxa"/>
            <w:tcBorders>
              <w:top w:val="single" w:sz="2" w:space="0" w:color="000000"/>
              <w:left w:val="single" w:sz="2" w:space="0" w:color="000000"/>
              <w:bottom w:val="single" w:sz="2" w:space="0" w:color="000000"/>
              <w:right w:val="single" w:sz="2" w:space="0" w:color="000000"/>
            </w:tcBorders>
          </w:tcPr>
          <w:p w14:paraId="52655890" w14:textId="77777777" w:rsidR="00053D93" w:rsidRDefault="00260B75">
            <w:pPr>
              <w:ind w:left="44" w:right="19" w:hanging="7"/>
              <w:jc w:val="both"/>
            </w:pPr>
            <w:r>
              <w:t>Adquisición de 60 Flautas para uso de las Aulas Musicales del Programa Pentagrama que conforman bandas y orquestas sinfónicas.</w:t>
            </w:r>
          </w:p>
        </w:tc>
        <w:tc>
          <w:tcPr>
            <w:tcW w:w="1274" w:type="dxa"/>
            <w:tcBorders>
              <w:top w:val="single" w:sz="2" w:space="0" w:color="000000"/>
              <w:left w:val="single" w:sz="2" w:space="0" w:color="000000"/>
              <w:bottom w:val="single" w:sz="2" w:space="0" w:color="000000"/>
              <w:right w:val="single" w:sz="2" w:space="0" w:color="000000"/>
            </w:tcBorders>
            <w:vAlign w:val="bottom"/>
          </w:tcPr>
          <w:p w14:paraId="15037C42" w14:textId="77777777" w:rsidR="00053D93" w:rsidRDefault="00260B75">
            <w:pPr>
              <w:ind w:left="306"/>
            </w:pPr>
            <w:r>
              <w:t>84,000.oo</w:t>
            </w:r>
          </w:p>
        </w:tc>
      </w:tr>
      <w:tr w:rsidR="00053D93" w14:paraId="77541F9E" w14:textId="77777777">
        <w:trPr>
          <w:trHeight w:val="782"/>
        </w:trPr>
        <w:tc>
          <w:tcPr>
            <w:tcW w:w="356" w:type="dxa"/>
            <w:tcBorders>
              <w:top w:val="single" w:sz="2" w:space="0" w:color="000000"/>
              <w:left w:val="single" w:sz="2" w:space="0" w:color="000000"/>
              <w:bottom w:val="single" w:sz="2" w:space="0" w:color="000000"/>
              <w:right w:val="single" w:sz="2" w:space="0" w:color="000000"/>
            </w:tcBorders>
          </w:tcPr>
          <w:p w14:paraId="6527923D" w14:textId="77777777" w:rsidR="00053D93" w:rsidRDefault="00260B75">
            <w:r>
              <w:rPr>
                <w:sz w:val="20"/>
              </w:rPr>
              <w:t>22</w:t>
            </w:r>
          </w:p>
        </w:tc>
        <w:tc>
          <w:tcPr>
            <w:tcW w:w="1018" w:type="dxa"/>
            <w:gridSpan w:val="2"/>
            <w:tcBorders>
              <w:top w:val="single" w:sz="2" w:space="0" w:color="000000"/>
              <w:left w:val="single" w:sz="2" w:space="0" w:color="000000"/>
              <w:bottom w:val="single" w:sz="2" w:space="0" w:color="000000"/>
              <w:right w:val="single" w:sz="2" w:space="0" w:color="000000"/>
            </w:tcBorders>
          </w:tcPr>
          <w:p w14:paraId="3A221E2E" w14:textId="77777777" w:rsidR="00053D93" w:rsidRDefault="00260B75">
            <w:pPr>
              <w:ind w:left="54"/>
            </w:pPr>
            <w:r>
              <w:rPr>
                <w:sz w:val="20"/>
              </w:rPr>
              <w:t>23361964</w:t>
            </w:r>
          </w:p>
        </w:tc>
        <w:tc>
          <w:tcPr>
            <w:tcW w:w="5736" w:type="dxa"/>
            <w:tcBorders>
              <w:top w:val="single" w:sz="2" w:space="0" w:color="000000"/>
              <w:left w:val="single" w:sz="2" w:space="0" w:color="000000"/>
              <w:bottom w:val="single" w:sz="2" w:space="0" w:color="000000"/>
              <w:right w:val="single" w:sz="2" w:space="0" w:color="000000"/>
            </w:tcBorders>
          </w:tcPr>
          <w:p w14:paraId="49EC9364" w14:textId="77777777" w:rsidR="00053D93" w:rsidRDefault="00260B75">
            <w:pPr>
              <w:ind w:left="44" w:right="19" w:hanging="7"/>
              <w:jc w:val="both"/>
            </w:pPr>
            <w:r>
              <w:t>Adquisición de 50 Clarinetes para uso de las Aulas Musicales del Programa Pentagrama que conforman bandas y orquestas sinfónicas.</w:t>
            </w:r>
          </w:p>
        </w:tc>
        <w:tc>
          <w:tcPr>
            <w:tcW w:w="1274" w:type="dxa"/>
            <w:tcBorders>
              <w:top w:val="single" w:sz="2" w:space="0" w:color="000000"/>
              <w:left w:val="single" w:sz="2" w:space="0" w:color="000000"/>
              <w:bottom w:val="single" w:sz="2" w:space="0" w:color="000000"/>
              <w:right w:val="single" w:sz="2" w:space="0" w:color="000000"/>
            </w:tcBorders>
            <w:vAlign w:val="bottom"/>
          </w:tcPr>
          <w:p w14:paraId="13DF4483" w14:textId="77777777" w:rsidR="00053D93" w:rsidRDefault="00260B75">
            <w:pPr>
              <w:ind w:left="306"/>
            </w:pPr>
            <w:r>
              <w:t>85.000.00</w:t>
            </w:r>
          </w:p>
        </w:tc>
      </w:tr>
      <w:tr w:rsidR="00053D93" w14:paraId="192E3AD4" w14:textId="77777777">
        <w:trPr>
          <w:trHeight w:val="528"/>
        </w:trPr>
        <w:tc>
          <w:tcPr>
            <w:tcW w:w="356" w:type="dxa"/>
            <w:tcBorders>
              <w:top w:val="single" w:sz="2" w:space="0" w:color="000000"/>
              <w:left w:val="single" w:sz="2" w:space="0" w:color="000000"/>
              <w:bottom w:val="single" w:sz="2" w:space="0" w:color="000000"/>
              <w:right w:val="single" w:sz="2" w:space="0" w:color="000000"/>
            </w:tcBorders>
          </w:tcPr>
          <w:p w14:paraId="714DDBEB" w14:textId="77777777" w:rsidR="00053D93" w:rsidRDefault="00260B75">
            <w:r>
              <w:t>23</w:t>
            </w:r>
          </w:p>
        </w:tc>
        <w:tc>
          <w:tcPr>
            <w:tcW w:w="1018" w:type="dxa"/>
            <w:gridSpan w:val="2"/>
            <w:tcBorders>
              <w:top w:val="single" w:sz="2" w:space="0" w:color="000000"/>
              <w:left w:val="single" w:sz="2" w:space="0" w:color="000000"/>
              <w:bottom w:val="single" w:sz="2" w:space="0" w:color="000000"/>
              <w:right w:val="single" w:sz="2" w:space="0" w:color="000000"/>
            </w:tcBorders>
          </w:tcPr>
          <w:p w14:paraId="52FAB963" w14:textId="77777777" w:rsidR="00053D93" w:rsidRDefault="00260B75">
            <w:pPr>
              <w:ind w:left="54"/>
            </w:pPr>
            <w:r>
              <w:t>23368977</w:t>
            </w:r>
          </w:p>
        </w:tc>
        <w:tc>
          <w:tcPr>
            <w:tcW w:w="5736" w:type="dxa"/>
            <w:tcBorders>
              <w:top w:val="single" w:sz="2" w:space="0" w:color="000000"/>
              <w:left w:val="single" w:sz="2" w:space="0" w:color="000000"/>
              <w:bottom w:val="single" w:sz="2" w:space="0" w:color="000000"/>
              <w:right w:val="single" w:sz="2" w:space="0" w:color="000000"/>
            </w:tcBorders>
          </w:tcPr>
          <w:p w14:paraId="77A6DDE8" w14:textId="77777777" w:rsidR="00053D93" w:rsidRDefault="00260B75">
            <w:pPr>
              <w:ind w:left="37" w:hanging="7"/>
              <w:jc w:val="both"/>
            </w:pPr>
            <w:r>
              <w:t>Adquisición de 22 Trombones para uso de las Aulas Musicales del Programa Pentagrama.</w:t>
            </w:r>
          </w:p>
        </w:tc>
        <w:tc>
          <w:tcPr>
            <w:tcW w:w="1274" w:type="dxa"/>
            <w:tcBorders>
              <w:top w:val="single" w:sz="2" w:space="0" w:color="000000"/>
              <w:left w:val="single" w:sz="2" w:space="0" w:color="000000"/>
              <w:bottom w:val="single" w:sz="2" w:space="0" w:color="000000"/>
              <w:right w:val="single" w:sz="2" w:space="0" w:color="000000"/>
            </w:tcBorders>
            <w:vAlign w:val="bottom"/>
          </w:tcPr>
          <w:p w14:paraId="579C1068" w14:textId="77777777" w:rsidR="00053D93" w:rsidRDefault="00260B75">
            <w:pPr>
              <w:ind w:left="306"/>
            </w:pPr>
            <w:r>
              <w:t>86, 900.00</w:t>
            </w:r>
          </w:p>
        </w:tc>
      </w:tr>
      <w:tr w:rsidR="00053D93" w14:paraId="2766E532" w14:textId="77777777">
        <w:trPr>
          <w:trHeight w:val="789"/>
        </w:trPr>
        <w:tc>
          <w:tcPr>
            <w:tcW w:w="356" w:type="dxa"/>
            <w:tcBorders>
              <w:top w:val="single" w:sz="2" w:space="0" w:color="000000"/>
              <w:left w:val="single" w:sz="2" w:space="0" w:color="000000"/>
              <w:bottom w:val="single" w:sz="2" w:space="0" w:color="000000"/>
              <w:right w:val="single" w:sz="2" w:space="0" w:color="000000"/>
            </w:tcBorders>
          </w:tcPr>
          <w:p w14:paraId="1D9390B6" w14:textId="77777777" w:rsidR="00053D93" w:rsidRDefault="00260B75">
            <w:r>
              <w:rPr>
                <w:sz w:val="20"/>
              </w:rPr>
              <w:t>24</w:t>
            </w:r>
          </w:p>
        </w:tc>
        <w:tc>
          <w:tcPr>
            <w:tcW w:w="1018" w:type="dxa"/>
            <w:gridSpan w:val="2"/>
            <w:tcBorders>
              <w:top w:val="single" w:sz="2" w:space="0" w:color="000000"/>
              <w:left w:val="single" w:sz="2" w:space="0" w:color="000000"/>
              <w:bottom w:val="single" w:sz="2" w:space="0" w:color="000000"/>
              <w:right w:val="single" w:sz="2" w:space="0" w:color="000000"/>
            </w:tcBorders>
          </w:tcPr>
          <w:p w14:paraId="41236AB6" w14:textId="77777777" w:rsidR="00053D93" w:rsidRDefault="00260B75">
            <w:pPr>
              <w:ind w:left="54"/>
            </w:pPr>
            <w:r>
              <w:t>23477822</w:t>
            </w:r>
          </w:p>
        </w:tc>
        <w:tc>
          <w:tcPr>
            <w:tcW w:w="5736" w:type="dxa"/>
            <w:tcBorders>
              <w:top w:val="single" w:sz="2" w:space="0" w:color="000000"/>
              <w:left w:val="single" w:sz="2" w:space="0" w:color="000000"/>
              <w:bottom w:val="single" w:sz="2" w:space="0" w:color="000000"/>
              <w:right w:val="single" w:sz="2" w:space="0" w:color="000000"/>
            </w:tcBorders>
          </w:tcPr>
          <w:p w14:paraId="06C1A4BB" w14:textId="77777777" w:rsidR="00053D93" w:rsidRDefault="00260B75">
            <w:pPr>
              <w:ind w:left="37" w:right="19" w:hanging="7"/>
              <w:jc w:val="both"/>
            </w:pPr>
            <w:r>
              <w:t>Adquisición del Derecho de uso de una Plataforma Educativa para crear Espacios de Enseñanza en Línea, para uso de los docentes del sector oficial.</w:t>
            </w:r>
          </w:p>
        </w:tc>
        <w:tc>
          <w:tcPr>
            <w:tcW w:w="1274" w:type="dxa"/>
            <w:tcBorders>
              <w:top w:val="single" w:sz="2" w:space="0" w:color="000000"/>
              <w:left w:val="single" w:sz="2" w:space="0" w:color="000000"/>
              <w:bottom w:val="single" w:sz="2" w:space="0" w:color="000000"/>
              <w:right w:val="single" w:sz="2" w:space="0" w:color="000000"/>
            </w:tcBorders>
            <w:vAlign w:val="bottom"/>
          </w:tcPr>
          <w:p w14:paraId="4DD960E4" w14:textId="77777777" w:rsidR="00053D93" w:rsidRDefault="00260B75">
            <w:pPr>
              <w:ind w:left="306"/>
            </w:pPr>
            <w:r>
              <w:t>85.500.00</w:t>
            </w:r>
          </w:p>
        </w:tc>
      </w:tr>
      <w:tr w:rsidR="00053D93" w14:paraId="39910FA9" w14:textId="77777777">
        <w:trPr>
          <w:trHeight w:val="785"/>
        </w:trPr>
        <w:tc>
          <w:tcPr>
            <w:tcW w:w="356" w:type="dxa"/>
            <w:tcBorders>
              <w:top w:val="single" w:sz="2" w:space="0" w:color="000000"/>
              <w:left w:val="single" w:sz="2" w:space="0" w:color="000000"/>
              <w:bottom w:val="single" w:sz="2" w:space="0" w:color="000000"/>
              <w:right w:val="single" w:sz="2" w:space="0" w:color="000000"/>
            </w:tcBorders>
          </w:tcPr>
          <w:p w14:paraId="317364E4" w14:textId="77777777" w:rsidR="00053D93" w:rsidRDefault="00260B75">
            <w:r>
              <w:t>25</w:t>
            </w:r>
          </w:p>
        </w:tc>
        <w:tc>
          <w:tcPr>
            <w:tcW w:w="1018" w:type="dxa"/>
            <w:gridSpan w:val="2"/>
            <w:tcBorders>
              <w:top w:val="single" w:sz="2" w:space="0" w:color="000000"/>
              <w:left w:val="single" w:sz="2" w:space="0" w:color="000000"/>
              <w:bottom w:val="single" w:sz="2" w:space="0" w:color="000000"/>
              <w:right w:val="single" w:sz="2" w:space="0" w:color="000000"/>
            </w:tcBorders>
          </w:tcPr>
          <w:p w14:paraId="32F23B5F" w14:textId="77777777" w:rsidR="00053D93" w:rsidRDefault="00260B75">
            <w:pPr>
              <w:ind w:left="54"/>
            </w:pPr>
            <w:r>
              <w:rPr>
                <w:sz w:val="20"/>
              </w:rPr>
              <w:t>23560762</w:t>
            </w:r>
          </w:p>
        </w:tc>
        <w:tc>
          <w:tcPr>
            <w:tcW w:w="5736" w:type="dxa"/>
            <w:tcBorders>
              <w:top w:val="single" w:sz="2" w:space="0" w:color="000000"/>
              <w:left w:val="single" w:sz="2" w:space="0" w:color="000000"/>
              <w:bottom w:val="single" w:sz="2" w:space="0" w:color="000000"/>
              <w:right w:val="single" w:sz="2" w:space="0" w:color="000000"/>
            </w:tcBorders>
          </w:tcPr>
          <w:p w14:paraId="11DC7C5D" w14:textId="77777777" w:rsidR="00053D93" w:rsidRDefault="00260B75">
            <w:pPr>
              <w:ind w:left="37" w:right="19" w:firstLine="7"/>
              <w:jc w:val="both"/>
            </w:pPr>
            <w:r>
              <w:t>Servicio de Alimentación para los Estudiantes de los diferentes Centros Educativos del Sector Oficial que participarán en la Feria del Libro -FILGUA-.</w:t>
            </w:r>
          </w:p>
        </w:tc>
        <w:tc>
          <w:tcPr>
            <w:tcW w:w="1274" w:type="dxa"/>
            <w:tcBorders>
              <w:top w:val="single" w:sz="2" w:space="0" w:color="000000"/>
              <w:left w:val="single" w:sz="2" w:space="0" w:color="000000"/>
              <w:bottom w:val="single" w:sz="2" w:space="0" w:color="000000"/>
              <w:right w:val="single" w:sz="2" w:space="0" w:color="000000"/>
            </w:tcBorders>
            <w:vAlign w:val="bottom"/>
          </w:tcPr>
          <w:p w14:paraId="529BAEE3" w14:textId="77777777" w:rsidR="00053D93" w:rsidRDefault="00260B75">
            <w:pPr>
              <w:ind w:left="299"/>
            </w:pPr>
            <w:r>
              <w:t>72,000.oo</w:t>
            </w:r>
          </w:p>
        </w:tc>
      </w:tr>
      <w:tr w:rsidR="00053D93" w14:paraId="10FCDA4A" w14:textId="77777777">
        <w:trPr>
          <w:trHeight w:val="420"/>
        </w:trPr>
        <w:tc>
          <w:tcPr>
            <w:tcW w:w="356" w:type="dxa"/>
            <w:vMerge w:val="restart"/>
            <w:tcBorders>
              <w:top w:val="single" w:sz="2" w:space="0" w:color="000000"/>
              <w:left w:val="single" w:sz="2" w:space="0" w:color="000000"/>
              <w:bottom w:val="nil"/>
              <w:right w:val="single" w:sz="2" w:space="0" w:color="000000"/>
            </w:tcBorders>
          </w:tcPr>
          <w:p w14:paraId="0D128E08" w14:textId="77777777" w:rsidR="00053D93" w:rsidRDefault="00260B75">
            <w:pPr>
              <w:spacing w:after="46"/>
            </w:pPr>
            <w:r>
              <w:rPr>
                <w:sz w:val="20"/>
              </w:rPr>
              <w:t>26</w:t>
            </w:r>
          </w:p>
          <w:p w14:paraId="1BDF6EE6" w14:textId="77777777" w:rsidR="00053D93" w:rsidRDefault="00260B75">
            <w:pPr>
              <w:ind w:left="122"/>
            </w:pPr>
            <w:r>
              <w:rPr>
                <w:noProof/>
              </w:rPr>
              <w:drawing>
                <wp:inline distT="0" distB="0" distL="0" distR="0" wp14:anchorId="094188EA" wp14:editId="322E2657">
                  <wp:extent cx="4572" cy="128015"/>
                  <wp:effectExtent l="0" t="0" r="0" b="0"/>
                  <wp:docPr id="2459033" name="Picture 2459033"/>
                  <wp:cNvGraphicFramePr/>
                  <a:graphic xmlns:a="http://schemas.openxmlformats.org/drawingml/2006/main">
                    <a:graphicData uri="http://schemas.openxmlformats.org/drawingml/2006/picture">
                      <pic:pic xmlns:pic="http://schemas.openxmlformats.org/drawingml/2006/picture">
                        <pic:nvPicPr>
                          <pic:cNvPr id="2459033" name="Picture 2459033"/>
                          <pic:cNvPicPr/>
                        </pic:nvPicPr>
                        <pic:blipFill>
                          <a:blip r:embed="rId1767"/>
                          <a:stretch>
                            <a:fillRect/>
                          </a:stretch>
                        </pic:blipFill>
                        <pic:spPr>
                          <a:xfrm>
                            <a:off x="0" y="0"/>
                            <a:ext cx="4572" cy="128015"/>
                          </a:xfrm>
                          <a:prstGeom prst="rect">
                            <a:avLst/>
                          </a:prstGeom>
                        </pic:spPr>
                      </pic:pic>
                    </a:graphicData>
                  </a:graphic>
                </wp:inline>
              </w:drawing>
            </w:r>
          </w:p>
        </w:tc>
        <w:tc>
          <w:tcPr>
            <w:tcW w:w="1018" w:type="dxa"/>
            <w:gridSpan w:val="2"/>
            <w:tcBorders>
              <w:top w:val="single" w:sz="2" w:space="0" w:color="000000"/>
              <w:left w:val="single" w:sz="2" w:space="0" w:color="000000"/>
              <w:bottom w:val="nil"/>
              <w:right w:val="single" w:sz="2" w:space="0" w:color="000000"/>
            </w:tcBorders>
          </w:tcPr>
          <w:p w14:paraId="65AE248D" w14:textId="77777777" w:rsidR="00053D93" w:rsidRDefault="00260B75">
            <w:pPr>
              <w:ind w:left="54"/>
            </w:pPr>
            <w:r>
              <w:rPr>
                <w:sz w:val="20"/>
              </w:rPr>
              <w:t>23722142</w:t>
            </w:r>
          </w:p>
        </w:tc>
        <w:tc>
          <w:tcPr>
            <w:tcW w:w="5736" w:type="dxa"/>
            <w:tcBorders>
              <w:top w:val="single" w:sz="2" w:space="0" w:color="000000"/>
              <w:left w:val="single" w:sz="2" w:space="0" w:color="000000"/>
              <w:bottom w:val="single" w:sz="2" w:space="0" w:color="000000"/>
              <w:right w:val="single" w:sz="2" w:space="0" w:color="000000"/>
            </w:tcBorders>
          </w:tcPr>
          <w:p w14:paraId="64BD1B7F" w14:textId="77777777" w:rsidR="00053D93" w:rsidRDefault="00260B75">
            <w:pPr>
              <w:ind w:left="37"/>
            </w:pPr>
            <w:r>
              <w:t>Servicio de Hospedaje para la Atención de Docentes dentro del</w:t>
            </w:r>
          </w:p>
        </w:tc>
        <w:tc>
          <w:tcPr>
            <w:tcW w:w="1274" w:type="dxa"/>
            <w:tcBorders>
              <w:top w:val="single" w:sz="2" w:space="0" w:color="000000"/>
              <w:left w:val="single" w:sz="2" w:space="0" w:color="000000"/>
              <w:bottom w:val="single" w:sz="2" w:space="0" w:color="000000"/>
              <w:right w:val="single" w:sz="2" w:space="0" w:color="000000"/>
            </w:tcBorders>
          </w:tcPr>
          <w:p w14:paraId="45D4D504" w14:textId="77777777" w:rsidR="00053D93" w:rsidRDefault="00053D93"/>
        </w:tc>
      </w:tr>
      <w:tr w:rsidR="00053D93" w14:paraId="4673BFED" w14:textId="77777777">
        <w:trPr>
          <w:trHeight w:val="598"/>
        </w:trPr>
        <w:tc>
          <w:tcPr>
            <w:tcW w:w="0" w:type="auto"/>
            <w:vMerge/>
            <w:tcBorders>
              <w:top w:val="nil"/>
              <w:left w:val="single" w:sz="2" w:space="0" w:color="000000"/>
              <w:bottom w:val="nil"/>
              <w:right w:val="single" w:sz="2" w:space="0" w:color="000000"/>
            </w:tcBorders>
          </w:tcPr>
          <w:p w14:paraId="4F4F0892" w14:textId="77777777" w:rsidR="00053D93" w:rsidRDefault="00053D93"/>
        </w:tc>
        <w:tc>
          <w:tcPr>
            <w:tcW w:w="286" w:type="dxa"/>
            <w:tcBorders>
              <w:top w:val="nil"/>
              <w:left w:val="single" w:sz="2" w:space="0" w:color="000000"/>
              <w:bottom w:val="nil"/>
              <w:right w:val="single" w:sz="2" w:space="0" w:color="000000"/>
            </w:tcBorders>
          </w:tcPr>
          <w:p w14:paraId="2608B204" w14:textId="77777777" w:rsidR="00053D93" w:rsidRDefault="00053D93"/>
        </w:tc>
        <w:tc>
          <w:tcPr>
            <w:tcW w:w="7742" w:type="dxa"/>
            <w:gridSpan w:val="3"/>
            <w:tcBorders>
              <w:top w:val="single" w:sz="2" w:space="0" w:color="000000"/>
              <w:left w:val="single" w:sz="2" w:space="0" w:color="000000"/>
              <w:bottom w:val="nil"/>
              <w:right w:val="nil"/>
            </w:tcBorders>
          </w:tcPr>
          <w:p w14:paraId="36A2094A" w14:textId="77777777" w:rsidR="00053D93" w:rsidRDefault="00260B75">
            <w:pPr>
              <w:ind w:right="741"/>
              <w:jc w:val="center"/>
            </w:pPr>
            <w:r>
              <w:rPr>
                <w:sz w:val="14"/>
              </w:rPr>
              <w:t>MINISTERIO DE EDUCACION</w:t>
            </w:r>
          </w:p>
          <w:p w14:paraId="014B1A74" w14:textId="77777777" w:rsidR="00053D93" w:rsidRDefault="00260B75">
            <w:pPr>
              <w:ind w:left="2158"/>
            </w:pPr>
            <w:r>
              <w:rPr>
                <w:sz w:val="14"/>
              </w:rPr>
              <w:t>AUDITORIA FINANCIERA Y DE CUMPLIMIENTO</w:t>
            </w:r>
          </w:p>
          <w:p w14:paraId="39427AF4" w14:textId="77777777" w:rsidR="00053D93" w:rsidRDefault="00260B75">
            <w:pPr>
              <w:ind w:left="1827"/>
            </w:pPr>
            <w:r>
              <w:rPr>
                <w:sz w:val="14"/>
              </w:rPr>
              <w:t>PERIODO DEL 01 DE ENERO AL 31 OE DICIEMBRE DE 2024</w:t>
            </w:r>
          </w:p>
        </w:tc>
      </w:tr>
    </w:tbl>
    <w:tbl>
      <w:tblPr>
        <w:tblStyle w:val="TableGrid"/>
        <w:tblpPr w:vertAnchor="text" w:tblpX="590"/>
        <w:tblOverlap w:val="never"/>
        <w:tblW w:w="8443" w:type="dxa"/>
        <w:tblInd w:w="0" w:type="dxa"/>
        <w:tblCellMar>
          <w:top w:w="18" w:type="dxa"/>
          <w:left w:w="53" w:type="dxa"/>
          <w:bottom w:w="10" w:type="dxa"/>
        </w:tblCellMar>
        <w:tblLook w:val="04A0" w:firstRow="1" w:lastRow="0" w:firstColumn="1" w:lastColumn="0" w:noHBand="0" w:noVBand="1"/>
      </w:tblPr>
      <w:tblGrid>
        <w:gridCol w:w="404"/>
        <w:gridCol w:w="288"/>
        <w:gridCol w:w="745"/>
        <w:gridCol w:w="5731"/>
        <w:gridCol w:w="1275"/>
      </w:tblGrid>
      <w:tr w:rsidR="00053D93" w14:paraId="640963E6" w14:textId="77777777">
        <w:trPr>
          <w:trHeight w:val="540"/>
        </w:trPr>
        <w:tc>
          <w:tcPr>
            <w:tcW w:w="404" w:type="dxa"/>
            <w:tcBorders>
              <w:top w:val="single" w:sz="2" w:space="0" w:color="000000"/>
              <w:left w:val="single" w:sz="2" w:space="0" w:color="000000"/>
              <w:bottom w:val="single" w:sz="2" w:space="0" w:color="000000"/>
              <w:right w:val="single" w:sz="2" w:space="0" w:color="000000"/>
            </w:tcBorders>
          </w:tcPr>
          <w:p w14:paraId="6196D1DE" w14:textId="77777777" w:rsidR="00053D93" w:rsidRDefault="00053D93"/>
        </w:tc>
        <w:tc>
          <w:tcPr>
            <w:tcW w:w="1033" w:type="dxa"/>
            <w:gridSpan w:val="2"/>
            <w:tcBorders>
              <w:top w:val="single" w:sz="2" w:space="0" w:color="000000"/>
              <w:left w:val="single" w:sz="2" w:space="0" w:color="000000"/>
              <w:bottom w:val="single" w:sz="2" w:space="0" w:color="000000"/>
              <w:right w:val="single" w:sz="2" w:space="0" w:color="000000"/>
            </w:tcBorders>
          </w:tcPr>
          <w:p w14:paraId="71FE2BA1" w14:textId="77777777" w:rsidR="00053D93" w:rsidRDefault="00053D93"/>
        </w:tc>
        <w:tc>
          <w:tcPr>
            <w:tcW w:w="5731" w:type="dxa"/>
            <w:tcBorders>
              <w:top w:val="single" w:sz="2" w:space="0" w:color="000000"/>
              <w:left w:val="single" w:sz="2" w:space="0" w:color="000000"/>
              <w:bottom w:val="single" w:sz="2" w:space="0" w:color="000000"/>
              <w:right w:val="single" w:sz="2" w:space="0" w:color="000000"/>
            </w:tcBorders>
          </w:tcPr>
          <w:p w14:paraId="3EDCB49A" w14:textId="77777777" w:rsidR="00053D93" w:rsidRDefault="00260B75">
            <w:pPr>
              <w:ind w:left="50" w:firstLine="7"/>
              <w:jc w:val="both"/>
            </w:pPr>
            <w:r>
              <w:t>Programa de Profesionalización Docente, a realizarse del 5 al 6 de agosto de 2024 en el departamento de Sacatepéquez.</w:t>
            </w:r>
          </w:p>
        </w:tc>
        <w:tc>
          <w:tcPr>
            <w:tcW w:w="1274" w:type="dxa"/>
            <w:tcBorders>
              <w:top w:val="single" w:sz="2" w:space="0" w:color="000000"/>
              <w:left w:val="single" w:sz="2" w:space="0" w:color="000000"/>
              <w:bottom w:val="single" w:sz="2" w:space="0" w:color="000000"/>
              <w:right w:val="single" w:sz="2" w:space="0" w:color="000000"/>
            </w:tcBorders>
            <w:vAlign w:val="bottom"/>
          </w:tcPr>
          <w:p w14:paraId="34094E30" w14:textId="77777777" w:rsidR="00053D93" w:rsidRDefault="00260B75">
            <w:pPr>
              <w:ind w:left="317"/>
            </w:pPr>
            <w:r>
              <w:t>89,999.84</w:t>
            </w:r>
          </w:p>
        </w:tc>
      </w:tr>
      <w:tr w:rsidR="00053D93" w14:paraId="68B84D75" w14:textId="77777777">
        <w:trPr>
          <w:trHeight w:val="1044"/>
        </w:trPr>
        <w:tc>
          <w:tcPr>
            <w:tcW w:w="404" w:type="dxa"/>
            <w:tcBorders>
              <w:top w:val="single" w:sz="2" w:space="0" w:color="000000"/>
              <w:left w:val="single" w:sz="2" w:space="0" w:color="000000"/>
              <w:bottom w:val="single" w:sz="2" w:space="0" w:color="000000"/>
              <w:right w:val="single" w:sz="2" w:space="0" w:color="000000"/>
            </w:tcBorders>
          </w:tcPr>
          <w:p w14:paraId="574A4DF0" w14:textId="77777777" w:rsidR="00053D93" w:rsidRDefault="00260B75">
            <w:pPr>
              <w:ind w:left="69"/>
            </w:pPr>
            <w:r>
              <w:rPr>
                <w:sz w:val="20"/>
              </w:rPr>
              <w:t>27</w:t>
            </w:r>
          </w:p>
        </w:tc>
        <w:tc>
          <w:tcPr>
            <w:tcW w:w="1033" w:type="dxa"/>
            <w:gridSpan w:val="2"/>
            <w:tcBorders>
              <w:top w:val="single" w:sz="2" w:space="0" w:color="000000"/>
              <w:left w:val="single" w:sz="2" w:space="0" w:color="000000"/>
              <w:bottom w:val="single" w:sz="2" w:space="0" w:color="000000"/>
              <w:right w:val="single" w:sz="2" w:space="0" w:color="000000"/>
            </w:tcBorders>
          </w:tcPr>
          <w:p w14:paraId="589CD2CB" w14:textId="77777777" w:rsidR="00053D93" w:rsidRDefault="00260B75">
            <w:pPr>
              <w:ind w:left="83"/>
            </w:pPr>
            <w:r>
              <w:rPr>
                <w:sz w:val="20"/>
              </w:rPr>
              <w:t xml:space="preserve">23722231 </w:t>
            </w:r>
          </w:p>
        </w:tc>
        <w:tc>
          <w:tcPr>
            <w:tcW w:w="5731" w:type="dxa"/>
            <w:tcBorders>
              <w:top w:val="single" w:sz="2" w:space="0" w:color="000000"/>
              <w:left w:val="single" w:sz="2" w:space="0" w:color="000000"/>
              <w:bottom w:val="single" w:sz="2" w:space="0" w:color="000000"/>
              <w:right w:val="single" w:sz="2" w:space="0" w:color="000000"/>
            </w:tcBorders>
          </w:tcPr>
          <w:p w14:paraId="134F9116" w14:textId="77777777" w:rsidR="00053D93" w:rsidRDefault="00260B75">
            <w:pPr>
              <w:ind w:left="50" w:right="77" w:firstLine="7"/>
              <w:jc w:val="both"/>
            </w:pPr>
            <w:r>
              <w:t>Servicio de Alimentación para dar seguimiento a la Profesionalización a docentes de los departamentos de Guatemala, Sacatepéquez y Chimaltenango, a realizarse del 5 al de 6 de agosto de 2024 en el departamento de Sacatepéquez.</w:t>
            </w:r>
          </w:p>
        </w:tc>
        <w:tc>
          <w:tcPr>
            <w:tcW w:w="1274" w:type="dxa"/>
            <w:tcBorders>
              <w:top w:val="single" w:sz="2" w:space="0" w:color="000000"/>
              <w:left w:val="single" w:sz="2" w:space="0" w:color="000000"/>
              <w:bottom w:val="single" w:sz="2" w:space="0" w:color="000000"/>
              <w:right w:val="single" w:sz="2" w:space="0" w:color="000000"/>
            </w:tcBorders>
            <w:vAlign w:val="bottom"/>
          </w:tcPr>
          <w:p w14:paraId="6E7DBC93" w14:textId="77777777" w:rsidR="00053D93" w:rsidRDefault="00260B75">
            <w:pPr>
              <w:ind w:left="310"/>
            </w:pPr>
            <w:r>
              <w:t>89,910.oo</w:t>
            </w:r>
          </w:p>
        </w:tc>
      </w:tr>
      <w:tr w:rsidR="00053D93" w14:paraId="335864D5" w14:textId="77777777">
        <w:trPr>
          <w:trHeight w:val="1047"/>
        </w:trPr>
        <w:tc>
          <w:tcPr>
            <w:tcW w:w="404" w:type="dxa"/>
            <w:tcBorders>
              <w:top w:val="single" w:sz="2" w:space="0" w:color="000000"/>
              <w:left w:val="single" w:sz="2" w:space="0" w:color="000000"/>
              <w:bottom w:val="single" w:sz="2" w:space="0" w:color="000000"/>
              <w:right w:val="single" w:sz="2" w:space="0" w:color="000000"/>
            </w:tcBorders>
          </w:tcPr>
          <w:p w14:paraId="01807DAA" w14:textId="77777777" w:rsidR="00053D93" w:rsidRDefault="00260B75">
            <w:pPr>
              <w:ind w:left="62"/>
            </w:pPr>
            <w:r>
              <w:t>28</w:t>
            </w:r>
          </w:p>
        </w:tc>
        <w:tc>
          <w:tcPr>
            <w:tcW w:w="1033" w:type="dxa"/>
            <w:gridSpan w:val="2"/>
            <w:tcBorders>
              <w:top w:val="single" w:sz="2" w:space="0" w:color="000000"/>
              <w:left w:val="single" w:sz="2" w:space="0" w:color="000000"/>
              <w:bottom w:val="single" w:sz="2" w:space="0" w:color="000000"/>
              <w:right w:val="single" w:sz="2" w:space="0" w:color="000000"/>
            </w:tcBorders>
          </w:tcPr>
          <w:p w14:paraId="39619569" w14:textId="77777777" w:rsidR="00053D93" w:rsidRDefault="00260B75">
            <w:pPr>
              <w:ind w:left="76"/>
            </w:pPr>
            <w:r>
              <w:t xml:space="preserve">23765054 </w:t>
            </w:r>
          </w:p>
        </w:tc>
        <w:tc>
          <w:tcPr>
            <w:tcW w:w="5731" w:type="dxa"/>
            <w:tcBorders>
              <w:top w:val="single" w:sz="2" w:space="0" w:color="000000"/>
              <w:left w:val="single" w:sz="2" w:space="0" w:color="000000"/>
              <w:bottom w:val="single" w:sz="2" w:space="0" w:color="000000"/>
              <w:right w:val="single" w:sz="2" w:space="0" w:color="000000"/>
            </w:tcBorders>
          </w:tcPr>
          <w:p w14:paraId="6FADAEE4" w14:textId="77777777" w:rsidR="00053D93" w:rsidRDefault="00260B75">
            <w:pPr>
              <w:ind w:left="50" w:right="77"/>
              <w:jc w:val="both"/>
            </w:pPr>
            <w:r>
              <w:t>Servicio de Atención para el Encuentro de Líderes Juveniles de [a Dirección Departamental de Guatemala Occidente, a realizarse el día 06 de agosto de 2024 en el departamento de Guatemala.</w:t>
            </w:r>
          </w:p>
        </w:tc>
        <w:tc>
          <w:tcPr>
            <w:tcW w:w="1274" w:type="dxa"/>
            <w:tcBorders>
              <w:top w:val="single" w:sz="2" w:space="0" w:color="000000"/>
              <w:left w:val="single" w:sz="2" w:space="0" w:color="000000"/>
              <w:bottom w:val="single" w:sz="2" w:space="0" w:color="000000"/>
              <w:right w:val="single" w:sz="2" w:space="0" w:color="000000"/>
            </w:tcBorders>
            <w:vAlign w:val="bottom"/>
          </w:tcPr>
          <w:p w14:paraId="751B4CA6" w14:textId="77777777" w:rsidR="00053D93" w:rsidRDefault="00260B75">
            <w:pPr>
              <w:ind w:left="317"/>
            </w:pPr>
            <w:r>
              <w:rPr>
                <w:sz w:val="20"/>
              </w:rPr>
              <w:t>18,249.oo</w:t>
            </w:r>
          </w:p>
        </w:tc>
      </w:tr>
      <w:tr w:rsidR="00053D93" w14:paraId="2C78F24B" w14:textId="77777777">
        <w:trPr>
          <w:trHeight w:val="785"/>
        </w:trPr>
        <w:tc>
          <w:tcPr>
            <w:tcW w:w="404" w:type="dxa"/>
            <w:tcBorders>
              <w:top w:val="single" w:sz="2" w:space="0" w:color="000000"/>
              <w:left w:val="single" w:sz="2" w:space="0" w:color="000000"/>
              <w:bottom w:val="single" w:sz="2" w:space="0" w:color="000000"/>
              <w:right w:val="single" w:sz="2" w:space="0" w:color="000000"/>
            </w:tcBorders>
          </w:tcPr>
          <w:p w14:paraId="612101D7" w14:textId="77777777" w:rsidR="00053D93" w:rsidRDefault="00260B75">
            <w:pPr>
              <w:ind w:left="62"/>
            </w:pPr>
            <w:r>
              <w:rPr>
                <w:sz w:val="20"/>
              </w:rPr>
              <w:t>29</w:t>
            </w:r>
          </w:p>
        </w:tc>
        <w:tc>
          <w:tcPr>
            <w:tcW w:w="1033" w:type="dxa"/>
            <w:gridSpan w:val="2"/>
            <w:tcBorders>
              <w:top w:val="single" w:sz="2" w:space="0" w:color="000000"/>
              <w:left w:val="single" w:sz="2" w:space="0" w:color="000000"/>
              <w:bottom w:val="single" w:sz="2" w:space="0" w:color="000000"/>
              <w:right w:val="single" w:sz="2" w:space="0" w:color="000000"/>
            </w:tcBorders>
          </w:tcPr>
          <w:p w14:paraId="4A50735D" w14:textId="77777777" w:rsidR="00053D93" w:rsidRDefault="00260B75">
            <w:pPr>
              <w:ind w:left="76"/>
            </w:pPr>
            <w:r>
              <w:t xml:space="preserve">23765127 </w:t>
            </w:r>
          </w:p>
        </w:tc>
        <w:tc>
          <w:tcPr>
            <w:tcW w:w="5731" w:type="dxa"/>
            <w:tcBorders>
              <w:top w:val="single" w:sz="2" w:space="0" w:color="000000"/>
              <w:left w:val="single" w:sz="2" w:space="0" w:color="000000"/>
              <w:bottom w:val="single" w:sz="2" w:space="0" w:color="000000"/>
              <w:right w:val="single" w:sz="2" w:space="0" w:color="000000"/>
            </w:tcBorders>
          </w:tcPr>
          <w:p w14:paraId="0B66A3F6" w14:textId="77777777" w:rsidR="00053D93" w:rsidRDefault="00260B75">
            <w:pPr>
              <w:ind w:left="43" w:right="84" w:firstLine="7"/>
              <w:jc w:val="both"/>
            </w:pPr>
            <w:r>
              <w:t>Servicio de Atención para el Encuentro de Líderes Juveniles de la Dirección Departamental de Guatemala Oriente, a realizarse el día 07 de agosto de 2024 en el departamento de Guatemala.</w:t>
            </w:r>
          </w:p>
        </w:tc>
        <w:tc>
          <w:tcPr>
            <w:tcW w:w="1274" w:type="dxa"/>
            <w:tcBorders>
              <w:top w:val="single" w:sz="2" w:space="0" w:color="000000"/>
              <w:left w:val="single" w:sz="2" w:space="0" w:color="000000"/>
              <w:bottom w:val="single" w:sz="2" w:space="0" w:color="000000"/>
              <w:right w:val="single" w:sz="2" w:space="0" w:color="000000"/>
            </w:tcBorders>
            <w:vAlign w:val="bottom"/>
          </w:tcPr>
          <w:p w14:paraId="7BACBA6D" w14:textId="77777777" w:rsidR="00053D93" w:rsidRDefault="00260B75">
            <w:pPr>
              <w:ind w:left="310"/>
            </w:pPr>
            <w:r>
              <w:rPr>
                <w:sz w:val="20"/>
              </w:rPr>
              <w:t>1 8,249.oo</w:t>
            </w:r>
          </w:p>
        </w:tc>
      </w:tr>
      <w:tr w:rsidR="00053D93" w14:paraId="0C688810" w14:textId="77777777">
        <w:trPr>
          <w:trHeight w:val="789"/>
        </w:trPr>
        <w:tc>
          <w:tcPr>
            <w:tcW w:w="404" w:type="dxa"/>
            <w:tcBorders>
              <w:top w:val="single" w:sz="2" w:space="0" w:color="000000"/>
              <w:left w:val="single" w:sz="2" w:space="0" w:color="000000"/>
              <w:bottom w:val="single" w:sz="2" w:space="0" w:color="000000"/>
              <w:right w:val="single" w:sz="2" w:space="0" w:color="000000"/>
            </w:tcBorders>
          </w:tcPr>
          <w:p w14:paraId="36F3E31D" w14:textId="77777777" w:rsidR="00053D93" w:rsidRDefault="00260B75">
            <w:pPr>
              <w:ind w:left="62"/>
            </w:pPr>
            <w:r>
              <w:t>30</w:t>
            </w:r>
          </w:p>
        </w:tc>
        <w:tc>
          <w:tcPr>
            <w:tcW w:w="1033" w:type="dxa"/>
            <w:gridSpan w:val="2"/>
            <w:tcBorders>
              <w:top w:val="single" w:sz="2" w:space="0" w:color="000000"/>
              <w:left w:val="single" w:sz="2" w:space="0" w:color="000000"/>
              <w:bottom w:val="single" w:sz="2" w:space="0" w:color="000000"/>
              <w:right w:val="single" w:sz="2" w:space="0" w:color="000000"/>
            </w:tcBorders>
          </w:tcPr>
          <w:p w14:paraId="455CAE65" w14:textId="77777777" w:rsidR="00053D93" w:rsidRDefault="00260B75">
            <w:pPr>
              <w:ind w:left="68"/>
            </w:pPr>
            <w:r>
              <w:t xml:space="preserve">23791624 </w:t>
            </w:r>
          </w:p>
        </w:tc>
        <w:tc>
          <w:tcPr>
            <w:tcW w:w="5731" w:type="dxa"/>
            <w:tcBorders>
              <w:top w:val="single" w:sz="2" w:space="0" w:color="000000"/>
              <w:left w:val="single" w:sz="2" w:space="0" w:color="000000"/>
              <w:bottom w:val="single" w:sz="2" w:space="0" w:color="000000"/>
              <w:right w:val="single" w:sz="2" w:space="0" w:color="000000"/>
            </w:tcBorders>
          </w:tcPr>
          <w:p w14:paraId="0F9B30E3" w14:textId="77777777" w:rsidR="00053D93" w:rsidRDefault="00260B75">
            <w:pPr>
              <w:ind w:left="43" w:right="84"/>
              <w:jc w:val="both"/>
            </w:pPr>
            <w:r>
              <w:t>Servicio de Atención para el Encuentro de Líderes Juveniles de la Dirección Departamental de Guatemala Norte, a realizarse el día 13 de agosto de 2024 en el departamento de Guatemala.</w:t>
            </w:r>
          </w:p>
        </w:tc>
        <w:tc>
          <w:tcPr>
            <w:tcW w:w="1274" w:type="dxa"/>
            <w:tcBorders>
              <w:top w:val="single" w:sz="2" w:space="0" w:color="000000"/>
              <w:left w:val="single" w:sz="2" w:space="0" w:color="000000"/>
              <w:bottom w:val="single" w:sz="2" w:space="0" w:color="000000"/>
              <w:right w:val="single" w:sz="2" w:space="0" w:color="000000"/>
            </w:tcBorders>
            <w:vAlign w:val="bottom"/>
          </w:tcPr>
          <w:p w14:paraId="4FAF1FEC" w14:textId="77777777" w:rsidR="00053D93" w:rsidRDefault="00260B75">
            <w:pPr>
              <w:ind w:left="310"/>
            </w:pPr>
            <w:r>
              <w:t>18,249.oo</w:t>
            </w:r>
          </w:p>
        </w:tc>
      </w:tr>
      <w:tr w:rsidR="00053D93" w14:paraId="1EEA6E55" w14:textId="77777777">
        <w:trPr>
          <w:trHeight w:val="785"/>
        </w:trPr>
        <w:tc>
          <w:tcPr>
            <w:tcW w:w="404" w:type="dxa"/>
            <w:tcBorders>
              <w:top w:val="single" w:sz="2" w:space="0" w:color="000000"/>
              <w:left w:val="single" w:sz="2" w:space="0" w:color="000000"/>
              <w:bottom w:val="single" w:sz="2" w:space="0" w:color="000000"/>
              <w:right w:val="single" w:sz="2" w:space="0" w:color="000000"/>
            </w:tcBorders>
          </w:tcPr>
          <w:p w14:paraId="213893CC" w14:textId="77777777" w:rsidR="00053D93" w:rsidRDefault="00260B75">
            <w:pPr>
              <w:ind w:left="62"/>
            </w:pPr>
            <w:r>
              <w:rPr>
                <w:sz w:val="20"/>
              </w:rPr>
              <w:t>31</w:t>
            </w:r>
          </w:p>
        </w:tc>
        <w:tc>
          <w:tcPr>
            <w:tcW w:w="1033" w:type="dxa"/>
            <w:gridSpan w:val="2"/>
            <w:tcBorders>
              <w:top w:val="single" w:sz="2" w:space="0" w:color="000000"/>
              <w:left w:val="single" w:sz="2" w:space="0" w:color="000000"/>
              <w:bottom w:val="single" w:sz="2" w:space="0" w:color="000000"/>
              <w:right w:val="single" w:sz="2" w:space="0" w:color="000000"/>
            </w:tcBorders>
          </w:tcPr>
          <w:p w14:paraId="128AC59D" w14:textId="77777777" w:rsidR="00053D93" w:rsidRDefault="00260B75">
            <w:pPr>
              <w:ind w:left="68"/>
            </w:pPr>
            <w:r>
              <w:t xml:space="preserve">23791640 </w:t>
            </w:r>
          </w:p>
        </w:tc>
        <w:tc>
          <w:tcPr>
            <w:tcW w:w="5731" w:type="dxa"/>
            <w:tcBorders>
              <w:top w:val="single" w:sz="2" w:space="0" w:color="000000"/>
              <w:left w:val="single" w:sz="2" w:space="0" w:color="000000"/>
              <w:bottom w:val="single" w:sz="2" w:space="0" w:color="000000"/>
              <w:right w:val="single" w:sz="2" w:space="0" w:color="000000"/>
            </w:tcBorders>
          </w:tcPr>
          <w:p w14:paraId="70CBDCF7" w14:textId="77777777" w:rsidR="00053D93" w:rsidRDefault="00260B75">
            <w:pPr>
              <w:ind w:left="43" w:right="91"/>
              <w:jc w:val="both"/>
            </w:pPr>
            <w:r>
              <w:t>Servicio de Atención para el Encuentro de Líderes Juveniles de la Dirección Departamental de Guatemala Sur, a realizarse el día 14 de agosto de 2024 en el departamento de Guatemala.</w:t>
            </w:r>
          </w:p>
        </w:tc>
        <w:tc>
          <w:tcPr>
            <w:tcW w:w="1274" w:type="dxa"/>
            <w:tcBorders>
              <w:top w:val="single" w:sz="2" w:space="0" w:color="000000"/>
              <w:left w:val="single" w:sz="2" w:space="0" w:color="000000"/>
              <w:bottom w:val="single" w:sz="2" w:space="0" w:color="000000"/>
              <w:right w:val="single" w:sz="2" w:space="0" w:color="000000"/>
            </w:tcBorders>
            <w:vAlign w:val="bottom"/>
          </w:tcPr>
          <w:p w14:paraId="57E8F421" w14:textId="77777777" w:rsidR="00053D93" w:rsidRDefault="00260B75">
            <w:pPr>
              <w:ind w:left="310"/>
            </w:pPr>
            <w:r>
              <w:t>18,249.oo</w:t>
            </w:r>
          </w:p>
        </w:tc>
      </w:tr>
      <w:tr w:rsidR="00053D93" w14:paraId="549FF237" w14:textId="77777777">
        <w:trPr>
          <w:trHeight w:val="1044"/>
        </w:trPr>
        <w:tc>
          <w:tcPr>
            <w:tcW w:w="404" w:type="dxa"/>
            <w:tcBorders>
              <w:top w:val="single" w:sz="2" w:space="0" w:color="000000"/>
              <w:left w:val="single" w:sz="2" w:space="0" w:color="000000"/>
              <w:bottom w:val="single" w:sz="2" w:space="0" w:color="000000"/>
              <w:right w:val="single" w:sz="2" w:space="0" w:color="000000"/>
            </w:tcBorders>
          </w:tcPr>
          <w:p w14:paraId="22976C47" w14:textId="77777777" w:rsidR="00053D93" w:rsidRDefault="00260B75">
            <w:pPr>
              <w:ind w:left="62"/>
            </w:pPr>
            <w:r>
              <w:t>32</w:t>
            </w:r>
          </w:p>
        </w:tc>
        <w:tc>
          <w:tcPr>
            <w:tcW w:w="1033" w:type="dxa"/>
            <w:gridSpan w:val="2"/>
            <w:tcBorders>
              <w:top w:val="single" w:sz="2" w:space="0" w:color="000000"/>
              <w:left w:val="single" w:sz="2" w:space="0" w:color="000000"/>
              <w:bottom w:val="single" w:sz="2" w:space="0" w:color="000000"/>
              <w:right w:val="single" w:sz="2" w:space="0" w:color="000000"/>
            </w:tcBorders>
          </w:tcPr>
          <w:p w14:paraId="26219884" w14:textId="77777777" w:rsidR="00053D93" w:rsidRDefault="00260B75">
            <w:pPr>
              <w:ind w:left="68"/>
            </w:pPr>
            <w:r>
              <w:rPr>
                <w:sz w:val="20"/>
              </w:rPr>
              <w:t xml:space="preserve">23816376 </w:t>
            </w:r>
          </w:p>
        </w:tc>
        <w:tc>
          <w:tcPr>
            <w:tcW w:w="5731" w:type="dxa"/>
            <w:tcBorders>
              <w:top w:val="single" w:sz="2" w:space="0" w:color="000000"/>
              <w:left w:val="single" w:sz="2" w:space="0" w:color="000000"/>
              <w:bottom w:val="single" w:sz="2" w:space="0" w:color="000000"/>
              <w:right w:val="single" w:sz="2" w:space="0" w:color="000000"/>
            </w:tcBorders>
          </w:tcPr>
          <w:p w14:paraId="71E4C6AF" w14:textId="77777777" w:rsidR="00053D93" w:rsidRDefault="00260B75">
            <w:pPr>
              <w:ind w:left="29" w:right="91"/>
              <w:jc w:val="both"/>
            </w:pPr>
            <w:r>
              <w:t>Adquisición del Derecho de uso de Servidores en la Nube para los portales y aplicaciones de Innovación Educativa de la Dirección General de Gestión de Calidad Educativa -DIGECADE-.</w:t>
            </w:r>
          </w:p>
        </w:tc>
        <w:tc>
          <w:tcPr>
            <w:tcW w:w="1274" w:type="dxa"/>
            <w:tcBorders>
              <w:top w:val="single" w:sz="2" w:space="0" w:color="000000"/>
              <w:left w:val="single" w:sz="2" w:space="0" w:color="000000"/>
              <w:bottom w:val="single" w:sz="2" w:space="0" w:color="000000"/>
              <w:right w:val="single" w:sz="2" w:space="0" w:color="000000"/>
            </w:tcBorders>
            <w:vAlign w:val="bottom"/>
          </w:tcPr>
          <w:p w14:paraId="70A71365" w14:textId="77777777" w:rsidR="00053D93" w:rsidRDefault="00260B75">
            <w:pPr>
              <w:ind w:left="295"/>
            </w:pPr>
            <w:r>
              <w:t>89,952.oo</w:t>
            </w:r>
          </w:p>
        </w:tc>
      </w:tr>
      <w:tr w:rsidR="00053D93" w14:paraId="43D58AF1" w14:textId="77777777">
        <w:trPr>
          <w:trHeight w:val="780"/>
        </w:trPr>
        <w:tc>
          <w:tcPr>
            <w:tcW w:w="404" w:type="dxa"/>
            <w:tcBorders>
              <w:top w:val="single" w:sz="2" w:space="0" w:color="000000"/>
              <w:left w:val="single" w:sz="2" w:space="0" w:color="000000"/>
              <w:bottom w:val="single" w:sz="2" w:space="0" w:color="000000"/>
              <w:right w:val="single" w:sz="2" w:space="0" w:color="000000"/>
            </w:tcBorders>
          </w:tcPr>
          <w:p w14:paraId="171C10CF" w14:textId="77777777" w:rsidR="00053D93" w:rsidRDefault="00260B75">
            <w:pPr>
              <w:ind w:left="55"/>
            </w:pPr>
            <w:r>
              <w:t>33</w:t>
            </w:r>
          </w:p>
        </w:tc>
        <w:tc>
          <w:tcPr>
            <w:tcW w:w="1033" w:type="dxa"/>
            <w:gridSpan w:val="2"/>
            <w:tcBorders>
              <w:top w:val="single" w:sz="2" w:space="0" w:color="000000"/>
              <w:left w:val="single" w:sz="2" w:space="0" w:color="000000"/>
              <w:bottom w:val="single" w:sz="2" w:space="0" w:color="000000"/>
              <w:right w:val="single" w:sz="2" w:space="0" w:color="000000"/>
            </w:tcBorders>
          </w:tcPr>
          <w:p w14:paraId="2ABD8D19" w14:textId="77777777" w:rsidR="00053D93" w:rsidRDefault="00260B75">
            <w:pPr>
              <w:ind w:left="61"/>
            </w:pPr>
            <w:r>
              <w:t xml:space="preserve">23816694 </w:t>
            </w:r>
          </w:p>
        </w:tc>
        <w:tc>
          <w:tcPr>
            <w:tcW w:w="5731" w:type="dxa"/>
            <w:tcBorders>
              <w:top w:val="single" w:sz="2" w:space="0" w:color="000000"/>
              <w:left w:val="single" w:sz="2" w:space="0" w:color="000000"/>
              <w:bottom w:val="single" w:sz="2" w:space="0" w:color="000000"/>
              <w:right w:val="single" w:sz="2" w:space="0" w:color="000000"/>
            </w:tcBorders>
          </w:tcPr>
          <w:p w14:paraId="44DABEE4" w14:textId="77777777" w:rsidR="00053D93" w:rsidRDefault="00260B75">
            <w:pPr>
              <w:ind w:left="36" w:right="91" w:hanging="7"/>
              <w:jc w:val="both"/>
            </w:pPr>
            <w:r>
              <w:t>Adquisición de Equipo para fortalecer los Talleres de Mecánica de los Centros Educativos que ofrecen las carreras de Formación Laboral.</w:t>
            </w:r>
          </w:p>
        </w:tc>
        <w:tc>
          <w:tcPr>
            <w:tcW w:w="1274" w:type="dxa"/>
            <w:tcBorders>
              <w:top w:val="single" w:sz="2" w:space="0" w:color="000000"/>
              <w:left w:val="single" w:sz="2" w:space="0" w:color="000000"/>
              <w:bottom w:val="single" w:sz="2" w:space="0" w:color="000000"/>
              <w:right w:val="single" w:sz="2" w:space="0" w:color="000000"/>
            </w:tcBorders>
            <w:vAlign w:val="bottom"/>
          </w:tcPr>
          <w:p w14:paraId="16D9FD42" w14:textId="77777777" w:rsidR="00053D93" w:rsidRDefault="00260B75">
            <w:pPr>
              <w:ind w:right="91"/>
              <w:jc w:val="right"/>
            </w:pPr>
            <w:r>
              <w:rPr>
                <w:sz w:val="20"/>
              </w:rPr>
              <w:t>9,920.oo</w:t>
            </w:r>
          </w:p>
        </w:tc>
      </w:tr>
      <w:tr w:rsidR="00053D93" w14:paraId="3D641130" w14:textId="77777777">
        <w:trPr>
          <w:trHeight w:val="530"/>
        </w:trPr>
        <w:tc>
          <w:tcPr>
            <w:tcW w:w="404" w:type="dxa"/>
            <w:tcBorders>
              <w:top w:val="single" w:sz="2" w:space="0" w:color="000000"/>
              <w:left w:val="single" w:sz="2" w:space="0" w:color="000000"/>
              <w:bottom w:val="single" w:sz="2" w:space="0" w:color="000000"/>
              <w:right w:val="single" w:sz="2" w:space="0" w:color="000000"/>
            </w:tcBorders>
          </w:tcPr>
          <w:p w14:paraId="724021B4" w14:textId="77777777" w:rsidR="00053D93" w:rsidRDefault="00260B75">
            <w:pPr>
              <w:ind w:left="55"/>
            </w:pPr>
            <w:r>
              <w:rPr>
                <w:sz w:val="20"/>
              </w:rPr>
              <w:t>34</w:t>
            </w:r>
          </w:p>
        </w:tc>
        <w:tc>
          <w:tcPr>
            <w:tcW w:w="1033" w:type="dxa"/>
            <w:gridSpan w:val="2"/>
            <w:tcBorders>
              <w:top w:val="single" w:sz="2" w:space="0" w:color="000000"/>
              <w:left w:val="single" w:sz="2" w:space="0" w:color="000000"/>
              <w:bottom w:val="single" w:sz="2" w:space="0" w:color="000000"/>
              <w:right w:val="single" w:sz="2" w:space="0" w:color="000000"/>
            </w:tcBorders>
          </w:tcPr>
          <w:p w14:paraId="2159F4A6" w14:textId="77777777" w:rsidR="00053D93" w:rsidRDefault="00260B75">
            <w:pPr>
              <w:ind w:left="61"/>
            </w:pPr>
            <w:r>
              <w:rPr>
                <w:sz w:val="20"/>
              </w:rPr>
              <w:t xml:space="preserve">23816740 </w:t>
            </w:r>
          </w:p>
        </w:tc>
        <w:tc>
          <w:tcPr>
            <w:tcW w:w="5731" w:type="dxa"/>
            <w:tcBorders>
              <w:top w:val="single" w:sz="2" w:space="0" w:color="000000"/>
              <w:left w:val="single" w:sz="2" w:space="0" w:color="000000"/>
              <w:bottom w:val="single" w:sz="2" w:space="0" w:color="000000"/>
              <w:right w:val="single" w:sz="2" w:space="0" w:color="000000"/>
            </w:tcBorders>
          </w:tcPr>
          <w:p w14:paraId="130B3A55" w14:textId="77777777" w:rsidR="00053D93" w:rsidRDefault="00260B75">
            <w:pPr>
              <w:ind w:left="36" w:hanging="14"/>
              <w:jc w:val="both"/>
            </w:pPr>
            <w:r>
              <w:t>Adquisición de Violines para uso de las Aulas Musicales del Programa Pentagrama que conforman orquestas sinfónicas.</w:t>
            </w:r>
          </w:p>
        </w:tc>
        <w:tc>
          <w:tcPr>
            <w:tcW w:w="1274" w:type="dxa"/>
            <w:tcBorders>
              <w:top w:val="single" w:sz="2" w:space="0" w:color="000000"/>
              <w:left w:val="single" w:sz="2" w:space="0" w:color="000000"/>
              <w:bottom w:val="single" w:sz="2" w:space="0" w:color="000000"/>
              <w:right w:val="single" w:sz="2" w:space="0" w:color="000000"/>
            </w:tcBorders>
            <w:vAlign w:val="bottom"/>
          </w:tcPr>
          <w:p w14:paraId="30C980EF" w14:textId="77777777" w:rsidR="00053D93" w:rsidRDefault="00260B75">
            <w:pPr>
              <w:ind w:left="295"/>
            </w:pPr>
            <w:r>
              <w:t>50,700.oo</w:t>
            </w:r>
          </w:p>
        </w:tc>
      </w:tr>
      <w:tr w:rsidR="00053D93" w14:paraId="44277033" w14:textId="77777777">
        <w:trPr>
          <w:trHeight w:val="788"/>
        </w:trPr>
        <w:tc>
          <w:tcPr>
            <w:tcW w:w="404" w:type="dxa"/>
            <w:tcBorders>
              <w:top w:val="single" w:sz="2" w:space="0" w:color="000000"/>
              <w:left w:val="single" w:sz="2" w:space="0" w:color="000000"/>
              <w:bottom w:val="single" w:sz="2" w:space="0" w:color="000000"/>
              <w:right w:val="single" w:sz="2" w:space="0" w:color="000000"/>
            </w:tcBorders>
          </w:tcPr>
          <w:p w14:paraId="42F43967" w14:textId="77777777" w:rsidR="00053D93" w:rsidRDefault="00260B75">
            <w:pPr>
              <w:ind w:left="48"/>
            </w:pPr>
            <w:r>
              <w:t>35</w:t>
            </w:r>
          </w:p>
        </w:tc>
        <w:tc>
          <w:tcPr>
            <w:tcW w:w="1033" w:type="dxa"/>
            <w:gridSpan w:val="2"/>
            <w:tcBorders>
              <w:top w:val="single" w:sz="2" w:space="0" w:color="000000"/>
              <w:left w:val="single" w:sz="2" w:space="0" w:color="000000"/>
              <w:bottom w:val="single" w:sz="2" w:space="0" w:color="000000"/>
              <w:right w:val="single" w:sz="2" w:space="0" w:color="000000"/>
            </w:tcBorders>
          </w:tcPr>
          <w:p w14:paraId="2E4AEB87" w14:textId="77777777" w:rsidR="00053D93" w:rsidRDefault="00260B75">
            <w:pPr>
              <w:ind w:left="54"/>
            </w:pPr>
            <w:r>
              <w:t xml:space="preserve">23845317 </w:t>
            </w:r>
          </w:p>
        </w:tc>
        <w:tc>
          <w:tcPr>
            <w:tcW w:w="5731" w:type="dxa"/>
            <w:tcBorders>
              <w:top w:val="single" w:sz="2" w:space="0" w:color="000000"/>
              <w:left w:val="single" w:sz="2" w:space="0" w:color="000000"/>
              <w:bottom w:val="single" w:sz="2" w:space="0" w:color="000000"/>
              <w:right w:val="single" w:sz="2" w:space="0" w:color="000000"/>
            </w:tcBorders>
          </w:tcPr>
          <w:p w14:paraId="0B3A5BFC" w14:textId="77777777" w:rsidR="00053D93" w:rsidRDefault="00260B75">
            <w:pPr>
              <w:ind w:left="29" w:right="98" w:hanging="7"/>
              <w:jc w:val="both"/>
            </w:pPr>
            <w:r>
              <w:t>Adquisición de Atriles para partituras de las Aulas Musicales que conforman bandas y orquestas sinfónicas del Programa Pentagrama.</w:t>
            </w:r>
          </w:p>
        </w:tc>
        <w:tc>
          <w:tcPr>
            <w:tcW w:w="1274" w:type="dxa"/>
            <w:tcBorders>
              <w:top w:val="single" w:sz="2" w:space="0" w:color="000000"/>
              <w:left w:val="single" w:sz="2" w:space="0" w:color="000000"/>
              <w:bottom w:val="single" w:sz="2" w:space="0" w:color="000000"/>
              <w:right w:val="single" w:sz="2" w:space="0" w:color="000000"/>
            </w:tcBorders>
            <w:vAlign w:val="bottom"/>
          </w:tcPr>
          <w:p w14:paraId="58E78007" w14:textId="77777777" w:rsidR="00053D93" w:rsidRDefault="00260B75">
            <w:pPr>
              <w:ind w:left="295"/>
            </w:pPr>
            <w:r>
              <w:t>89,490.oo</w:t>
            </w:r>
          </w:p>
        </w:tc>
      </w:tr>
      <w:tr w:rsidR="00053D93" w14:paraId="69F5F279" w14:textId="77777777">
        <w:trPr>
          <w:trHeight w:val="533"/>
        </w:trPr>
        <w:tc>
          <w:tcPr>
            <w:tcW w:w="404" w:type="dxa"/>
            <w:tcBorders>
              <w:top w:val="single" w:sz="2" w:space="0" w:color="000000"/>
              <w:left w:val="single" w:sz="2" w:space="0" w:color="000000"/>
              <w:bottom w:val="single" w:sz="2" w:space="0" w:color="000000"/>
              <w:right w:val="single" w:sz="2" w:space="0" w:color="000000"/>
            </w:tcBorders>
          </w:tcPr>
          <w:p w14:paraId="38081E55" w14:textId="77777777" w:rsidR="00053D93" w:rsidRDefault="00260B75">
            <w:pPr>
              <w:ind w:left="48"/>
            </w:pPr>
            <w:r>
              <w:t>36</w:t>
            </w:r>
          </w:p>
        </w:tc>
        <w:tc>
          <w:tcPr>
            <w:tcW w:w="1033" w:type="dxa"/>
            <w:gridSpan w:val="2"/>
            <w:tcBorders>
              <w:top w:val="single" w:sz="2" w:space="0" w:color="000000"/>
              <w:left w:val="single" w:sz="2" w:space="0" w:color="000000"/>
              <w:bottom w:val="single" w:sz="2" w:space="0" w:color="000000"/>
              <w:right w:val="single" w:sz="2" w:space="0" w:color="000000"/>
            </w:tcBorders>
          </w:tcPr>
          <w:p w14:paraId="2A80797F" w14:textId="77777777" w:rsidR="00053D93" w:rsidRDefault="00260B75">
            <w:pPr>
              <w:ind w:left="54"/>
            </w:pPr>
            <w:r>
              <w:rPr>
                <w:sz w:val="20"/>
              </w:rPr>
              <w:t xml:space="preserve">23859091 </w:t>
            </w:r>
          </w:p>
        </w:tc>
        <w:tc>
          <w:tcPr>
            <w:tcW w:w="5731" w:type="dxa"/>
            <w:tcBorders>
              <w:top w:val="single" w:sz="2" w:space="0" w:color="000000"/>
              <w:left w:val="single" w:sz="2" w:space="0" w:color="000000"/>
              <w:bottom w:val="single" w:sz="2" w:space="0" w:color="000000"/>
              <w:right w:val="single" w:sz="2" w:space="0" w:color="000000"/>
            </w:tcBorders>
          </w:tcPr>
          <w:p w14:paraId="1DC1D614" w14:textId="77777777" w:rsidR="00053D93" w:rsidRDefault="00260B75">
            <w:pPr>
              <w:ind w:left="22" w:firstLine="14"/>
              <w:jc w:val="both"/>
            </w:pPr>
            <w:r>
              <w:t>Impresión de trifoliares para los gestores en las comunidades donde se implementa el programa acompáñame a crecer.</w:t>
            </w:r>
          </w:p>
        </w:tc>
        <w:tc>
          <w:tcPr>
            <w:tcW w:w="1274" w:type="dxa"/>
            <w:tcBorders>
              <w:top w:val="single" w:sz="2" w:space="0" w:color="000000"/>
              <w:left w:val="single" w:sz="2" w:space="0" w:color="000000"/>
              <w:bottom w:val="single" w:sz="2" w:space="0" w:color="000000"/>
              <w:right w:val="single" w:sz="2" w:space="0" w:color="000000"/>
            </w:tcBorders>
            <w:vAlign w:val="bottom"/>
          </w:tcPr>
          <w:p w14:paraId="303E880C" w14:textId="77777777" w:rsidR="00053D93" w:rsidRDefault="00260B75">
            <w:pPr>
              <w:ind w:left="295"/>
            </w:pPr>
            <w:r>
              <w:t>50.400.00</w:t>
            </w:r>
          </w:p>
        </w:tc>
      </w:tr>
      <w:tr w:rsidR="00053D93" w14:paraId="1E71DAEA" w14:textId="77777777">
        <w:trPr>
          <w:trHeight w:val="1037"/>
        </w:trPr>
        <w:tc>
          <w:tcPr>
            <w:tcW w:w="404" w:type="dxa"/>
            <w:tcBorders>
              <w:top w:val="single" w:sz="2" w:space="0" w:color="000000"/>
              <w:left w:val="single" w:sz="2" w:space="0" w:color="000000"/>
              <w:bottom w:val="single" w:sz="2" w:space="0" w:color="000000"/>
              <w:right w:val="single" w:sz="2" w:space="0" w:color="000000"/>
            </w:tcBorders>
          </w:tcPr>
          <w:p w14:paraId="1B63FC0D" w14:textId="77777777" w:rsidR="00053D93" w:rsidRDefault="00260B75">
            <w:pPr>
              <w:ind w:left="48"/>
            </w:pPr>
            <w:r>
              <w:rPr>
                <w:sz w:val="20"/>
              </w:rPr>
              <w:t>37</w:t>
            </w:r>
          </w:p>
        </w:tc>
        <w:tc>
          <w:tcPr>
            <w:tcW w:w="1033" w:type="dxa"/>
            <w:gridSpan w:val="2"/>
            <w:tcBorders>
              <w:top w:val="single" w:sz="2" w:space="0" w:color="000000"/>
              <w:left w:val="single" w:sz="2" w:space="0" w:color="000000"/>
              <w:bottom w:val="single" w:sz="2" w:space="0" w:color="000000"/>
              <w:right w:val="single" w:sz="2" w:space="0" w:color="000000"/>
            </w:tcBorders>
          </w:tcPr>
          <w:p w14:paraId="65C94E5F" w14:textId="77777777" w:rsidR="00053D93" w:rsidRDefault="00260B75">
            <w:pPr>
              <w:ind w:left="54"/>
            </w:pPr>
            <w:r>
              <w:t xml:space="preserve">23878592 </w:t>
            </w:r>
          </w:p>
        </w:tc>
        <w:tc>
          <w:tcPr>
            <w:tcW w:w="5731" w:type="dxa"/>
            <w:tcBorders>
              <w:top w:val="single" w:sz="2" w:space="0" w:color="000000"/>
              <w:left w:val="single" w:sz="2" w:space="0" w:color="000000"/>
              <w:bottom w:val="single" w:sz="2" w:space="0" w:color="000000"/>
              <w:right w:val="single" w:sz="2" w:space="0" w:color="000000"/>
            </w:tcBorders>
          </w:tcPr>
          <w:p w14:paraId="76D06F92" w14:textId="77777777" w:rsidR="00053D93" w:rsidRDefault="00260B75">
            <w:pPr>
              <w:ind w:left="22" w:right="98" w:firstLine="7"/>
              <w:jc w:val="both"/>
            </w:pPr>
            <w:r>
              <w:t>Servicio de Alimentación para dar seguimiento a la Profesionalización a docentes de los Departamentos de Guatemala, Sacatepéquez y Chimaltenango, a rea'izarse del 19 al 20 de agosto de 2024 en el municipio</w:t>
            </w:r>
          </w:p>
        </w:tc>
        <w:tc>
          <w:tcPr>
            <w:tcW w:w="1274" w:type="dxa"/>
            <w:tcBorders>
              <w:top w:val="single" w:sz="2" w:space="0" w:color="000000"/>
              <w:left w:val="single" w:sz="2" w:space="0" w:color="000000"/>
              <w:bottom w:val="single" w:sz="2" w:space="0" w:color="000000"/>
              <w:right w:val="single" w:sz="2" w:space="0" w:color="000000"/>
            </w:tcBorders>
            <w:vAlign w:val="bottom"/>
          </w:tcPr>
          <w:p w14:paraId="355524CF" w14:textId="77777777" w:rsidR="00053D93" w:rsidRDefault="00260B75">
            <w:pPr>
              <w:ind w:left="288"/>
            </w:pPr>
            <w:r>
              <w:t>89,491.50</w:t>
            </w:r>
          </w:p>
        </w:tc>
      </w:tr>
      <w:tr w:rsidR="00053D93" w14:paraId="65812563" w14:textId="77777777">
        <w:trPr>
          <w:trHeight w:val="1048"/>
        </w:trPr>
        <w:tc>
          <w:tcPr>
            <w:tcW w:w="404" w:type="dxa"/>
            <w:tcBorders>
              <w:top w:val="single" w:sz="2" w:space="0" w:color="000000"/>
              <w:left w:val="single" w:sz="2" w:space="0" w:color="000000"/>
              <w:bottom w:val="single" w:sz="2" w:space="0" w:color="000000"/>
              <w:right w:val="single" w:sz="2" w:space="0" w:color="000000"/>
            </w:tcBorders>
          </w:tcPr>
          <w:p w14:paraId="10E801F3" w14:textId="77777777" w:rsidR="00053D93" w:rsidRDefault="00260B75">
            <w:pPr>
              <w:ind w:left="40"/>
            </w:pPr>
            <w:r>
              <w:t>38</w:t>
            </w:r>
          </w:p>
        </w:tc>
        <w:tc>
          <w:tcPr>
            <w:tcW w:w="1033" w:type="dxa"/>
            <w:gridSpan w:val="2"/>
            <w:tcBorders>
              <w:top w:val="single" w:sz="2" w:space="0" w:color="000000"/>
              <w:left w:val="single" w:sz="2" w:space="0" w:color="000000"/>
              <w:bottom w:val="single" w:sz="2" w:space="0" w:color="000000"/>
              <w:right w:val="single" w:sz="2" w:space="0" w:color="000000"/>
            </w:tcBorders>
          </w:tcPr>
          <w:p w14:paraId="2F9F90EF" w14:textId="77777777" w:rsidR="00053D93" w:rsidRDefault="00260B75">
            <w:pPr>
              <w:ind w:left="47"/>
            </w:pPr>
            <w:r>
              <w:t xml:space="preserve">23878630 </w:t>
            </w:r>
          </w:p>
        </w:tc>
        <w:tc>
          <w:tcPr>
            <w:tcW w:w="5731" w:type="dxa"/>
            <w:tcBorders>
              <w:top w:val="single" w:sz="2" w:space="0" w:color="000000"/>
              <w:left w:val="single" w:sz="2" w:space="0" w:color="000000"/>
              <w:bottom w:val="single" w:sz="2" w:space="0" w:color="000000"/>
              <w:right w:val="single" w:sz="2" w:space="0" w:color="000000"/>
            </w:tcBorders>
          </w:tcPr>
          <w:p w14:paraId="1787E982" w14:textId="77777777" w:rsidR="00053D93" w:rsidRDefault="00260B75">
            <w:pPr>
              <w:ind w:left="14" w:right="98" w:firstLine="7"/>
              <w:jc w:val="both"/>
            </w:pPr>
            <w:r>
              <w:t>Servicio de Hospedaje para la Atención de docentes dentro del Programa de Profesionalización docente, a realizarse del 19 al 20 de agosto de 2024 en el municipio de Antigua Guatemala departamento de S.</w:t>
            </w:r>
          </w:p>
        </w:tc>
        <w:tc>
          <w:tcPr>
            <w:tcW w:w="1274" w:type="dxa"/>
            <w:tcBorders>
              <w:top w:val="single" w:sz="2" w:space="0" w:color="000000"/>
              <w:left w:val="single" w:sz="2" w:space="0" w:color="000000"/>
              <w:bottom w:val="single" w:sz="2" w:space="0" w:color="000000"/>
              <w:right w:val="single" w:sz="2" w:space="0" w:color="000000"/>
            </w:tcBorders>
            <w:vAlign w:val="bottom"/>
          </w:tcPr>
          <w:p w14:paraId="5415DB0B" w14:textId="77777777" w:rsidR="00053D93" w:rsidRDefault="00260B75">
            <w:pPr>
              <w:ind w:left="288"/>
            </w:pPr>
            <w:r>
              <w:t>88,317.60</w:t>
            </w:r>
          </w:p>
        </w:tc>
      </w:tr>
      <w:tr w:rsidR="00053D93" w14:paraId="286C83F6" w14:textId="77777777">
        <w:trPr>
          <w:trHeight w:val="1037"/>
        </w:trPr>
        <w:tc>
          <w:tcPr>
            <w:tcW w:w="404" w:type="dxa"/>
            <w:tcBorders>
              <w:top w:val="single" w:sz="2" w:space="0" w:color="000000"/>
              <w:left w:val="single" w:sz="2" w:space="0" w:color="000000"/>
              <w:bottom w:val="single" w:sz="2" w:space="0" w:color="000000"/>
              <w:right w:val="single" w:sz="2" w:space="0" w:color="000000"/>
            </w:tcBorders>
          </w:tcPr>
          <w:p w14:paraId="2684327D" w14:textId="77777777" w:rsidR="00053D93" w:rsidRDefault="00260B75">
            <w:pPr>
              <w:ind w:left="40"/>
            </w:pPr>
            <w:r>
              <w:rPr>
                <w:sz w:val="20"/>
              </w:rPr>
              <w:t>39</w:t>
            </w:r>
          </w:p>
        </w:tc>
        <w:tc>
          <w:tcPr>
            <w:tcW w:w="1033" w:type="dxa"/>
            <w:gridSpan w:val="2"/>
            <w:tcBorders>
              <w:top w:val="single" w:sz="2" w:space="0" w:color="000000"/>
              <w:left w:val="single" w:sz="2" w:space="0" w:color="000000"/>
              <w:bottom w:val="single" w:sz="2" w:space="0" w:color="000000"/>
              <w:right w:val="single" w:sz="2" w:space="0" w:color="000000"/>
            </w:tcBorders>
          </w:tcPr>
          <w:p w14:paraId="3891B1FD" w14:textId="77777777" w:rsidR="00053D93" w:rsidRDefault="00260B75">
            <w:pPr>
              <w:ind w:left="47"/>
            </w:pPr>
            <w:r>
              <w:t xml:space="preserve">23900636 </w:t>
            </w:r>
          </w:p>
        </w:tc>
        <w:tc>
          <w:tcPr>
            <w:tcW w:w="5731" w:type="dxa"/>
            <w:tcBorders>
              <w:top w:val="single" w:sz="2" w:space="0" w:color="000000"/>
              <w:left w:val="single" w:sz="2" w:space="0" w:color="000000"/>
              <w:bottom w:val="single" w:sz="2" w:space="0" w:color="000000"/>
              <w:right w:val="single" w:sz="2" w:space="0" w:color="000000"/>
            </w:tcBorders>
          </w:tcPr>
          <w:p w14:paraId="486602D0" w14:textId="77777777" w:rsidR="00053D93" w:rsidRDefault="00260B75">
            <w:pPr>
              <w:ind w:left="14" w:right="98" w:firstLine="7"/>
              <w:jc w:val="both"/>
            </w:pPr>
            <w:r>
              <w:t xml:space="preserve">Servicio de Impresión de cuadernos de ejercicios de comunicación y Lenguaje (Comprensión Lectora) para estudiantes de 5 </w:t>
            </w:r>
            <w:r>
              <w:rPr>
                <w:vertAlign w:val="superscript"/>
              </w:rPr>
              <w:t xml:space="preserve">0 </w:t>
            </w:r>
            <w:r>
              <w:t>. Secretariado de los centros educativos oficiales priorizados de todo el país.</w:t>
            </w:r>
          </w:p>
        </w:tc>
        <w:tc>
          <w:tcPr>
            <w:tcW w:w="1274" w:type="dxa"/>
            <w:tcBorders>
              <w:top w:val="single" w:sz="2" w:space="0" w:color="000000"/>
              <w:left w:val="single" w:sz="2" w:space="0" w:color="000000"/>
              <w:bottom w:val="single" w:sz="2" w:space="0" w:color="000000"/>
              <w:right w:val="single" w:sz="2" w:space="0" w:color="000000"/>
            </w:tcBorders>
            <w:vAlign w:val="bottom"/>
          </w:tcPr>
          <w:p w14:paraId="0C86BF7B" w14:textId="77777777" w:rsidR="00053D93" w:rsidRDefault="00260B75">
            <w:pPr>
              <w:ind w:left="288"/>
            </w:pPr>
            <w:r>
              <w:t>23,840.oo</w:t>
            </w:r>
          </w:p>
        </w:tc>
      </w:tr>
      <w:tr w:rsidR="00053D93" w14:paraId="60172975" w14:textId="77777777">
        <w:trPr>
          <w:trHeight w:val="785"/>
        </w:trPr>
        <w:tc>
          <w:tcPr>
            <w:tcW w:w="404" w:type="dxa"/>
            <w:tcBorders>
              <w:top w:val="single" w:sz="2" w:space="0" w:color="000000"/>
              <w:left w:val="single" w:sz="2" w:space="0" w:color="000000"/>
              <w:bottom w:val="single" w:sz="2" w:space="0" w:color="000000"/>
              <w:right w:val="single" w:sz="2" w:space="0" w:color="000000"/>
            </w:tcBorders>
          </w:tcPr>
          <w:p w14:paraId="660F49A2" w14:textId="77777777" w:rsidR="00053D93" w:rsidRDefault="00260B75">
            <w:pPr>
              <w:ind w:left="26"/>
            </w:pPr>
            <w:r>
              <w:t>40</w:t>
            </w:r>
          </w:p>
        </w:tc>
        <w:tc>
          <w:tcPr>
            <w:tcW w:w="1033" w:type="dxa"/>
            <w:gridSpan w:val="2"/>
            <w:tcBorders>
              <w:top w:val="single" w:sz="2" w:space="0" w:color="000000"/>
              <w:left w:val="single" w:sz="2" w:space="0" w:color="000000"/>
              <w:bottom w:val="single" w:sz="2" w:space="0" w:color="000000"/>
              <w:right w:val="single" w:sz="2" w:space="0" w:color="000000"/>
            </w:tcBorders>
          </w:tcPr>
          <w:p w14:paraId="7388C0D0" w14:textId="77777777" w:rsidR="00053D93" w:rsidRDefault="00260B75">
            <w:pPr>
              <w:ind w:left="40"/>
            </w:pPr>
            <w:r>
              <w:t xml:space="preserve">23905352 </w:t>
            </w:r>
          </w:p>
        </w:tc>
        <w:tc>
          <w:tcPr>
            <w:tcW w:w="5731" w:type="dxa"/>
            <w:tcBorders>
              <w:top w:val="single" w:sz="2" w:space="0" w:color="000000"/>
              <w:left w:val="single" w:sz="2" w:space="0" w:color="000000"/>
              <w:bottom w:val="single" w:sz="2" w:space="0" w:color="000000"/>
              <w:right w:val="single" w:sz="2" w:space="0" w:color="000000"/>
            </w:tcBorders>
          </w:tcPr>
          <w:p w14:paraId="6059DA28" w14:textId="77777777" w:rsidR="00053D93" w:rsidRDefault="00260B75">
            <w:pPr>
              <w:ind w:left="14" w:right="98"/>
              <w:jc w:val="both"/>
            </w:pPr>
            <w:r>
              <w:t>Servicio de Impresión de cuadernos de ejercicios de comunicación y Lenguaje para estudiantes de 5</w:t>
            </w:r>
            <w:r>
              <w:rPr>
                <w:vertAlign w:val="superscript"/>
              </w:rPr>
              <w:t xml:space="preserve">0 </w:t>
            </w:r>
            <w:r>
              <w:t>. Secretariado de los centros educativos oficiales priorizados de todo el país.</w:t>
            </w:r>
          </w:p>
        </w:tc>
        <w:tc>
          <w:tcPr>
            <w:tcW w:w="1274" w:type="dxa"/>
            <w:tcBorders>
              <w:top w:val="single" w:sz="2" w:space="0" w:color="000000"/>
              <w:left w:val="single" w:sz="2" w:space="0" w:color="000000"/>
              <w:bottom w:val="single" w:sz="2" w:space="0" w:color="000000"/>
              <w:right w:val="single" w:sz="2" w:space="0" w:color="000000"/>
            </w:tcBorders>
            <w:vAlign w:val="bottom"/>
          </w:tcPr>
          <w:p w14:paraId="72130E44" w14:textId="77777777" w:rsidR="00053D93" w:rsidRDefault="00260B75">
            <w:pPr>
              <w:ind w:left="288"/>
            </w:pPr>
            <w:r>
              <w:t>26,160.oo</w:t>
            </w:r>
          </w:p>
        </w:tc>
      </w:tr>
      <w:tr w:rsidR="00053D93" w14:paraId="52C79E6B" w14:textId="77777777">
        <w:trPr>
          <w:trHeight w:val="723"/>
        </w:trPr>
        <w:tc>
          <w:tcPr>
            <w:tcW w:w="404" w:type="dxa"/>
            <w:vMerge w:val="restart"/>
            <w:tcBorders>
              <w:top w:val="single" w:sz="2" w:space="0" w:color="000000"/>
              <w:left w:val="single" w:sz="2" w:space="0" w:color="000000"/>
              <w:bottom w:val="nil"/>
              <w:right w:val="single" w:sz="2" w:space="0" w:color="000000"/>
            </w:tcBorders>
          </w:tcPr>
          <w:p w14:paraId="739E56ED" w14:textId="77777777" w:rsidR="00053D93" w:rsidRDefault="00260B75">
            <w:pPr>
              <w:spacing w:after="363"/>
              <w:ind w:left="26"/>
            </w:pPr>
            <w:r>
              <w:rPr>
                <w:sz w:val="20"/>
              </w:rPr>
              <w:t>41</w:t>
            </w:r>
          </w:p>
          <w:p w14:paraId="1C79B1BE" w14:textId="77777777" w:rsidR="00053D93" w:rsidRDefault="00260B75">
            <w:pPr>
              <w:ind w:left="156"/>
            </w:pPr>
            <w:r>
              <w:rPr>
                <w:noProof/>
              </w:rPr>
              <w:drawing>
                <wp:inline distT="0" distB="0" distL="0" distR="0" wp14:anchorId="2F81AD53" wp14:editId="1CE31B34">
                  <wp:extent cx="4572" cy="128015"/>
                  <wp:effectExtent l="0" t="0" r="0" b="0"/>
                  <wp:docPr id="2459035" name="Picture 2459035"/>
                  <wp:cNvGraphicFramePr/>
                  <a:graphic xmlns:a="http://schemas.openxmlformats.org/drawingml/2006/main">
                    <a:graphicData uri="http://schemas.openxmlformats.org/drawingml/2006/picture">
                      <pic:pic xmlns:pic="http://schemas.openxmlformats.org/drawingml/2006/picture">
                        <pic:nvPicPr>
                          <pic:cNvPr id="2459035" name="Picture 2459035"/>
                          <pic:cNvPicPr/>
                        </pic:nvPicPr>
                        <pic:blipFill>
                          <a:blip r:embed="rId1767"/>
                          <a:stretch>
                            <a:fillRect/>
                          </a:stretch>
                        </pic:blipFill>
                        <pic:spPr>
                          <a:xfrm>
                            <a:off x="0" y="0"/>
                            <a:ext cx="4572" cy="128015"/>
                          </a:xfrm>
                          <a:prstGeom prst="rect">
                            <a:avLst/>
                          </a:prstGeom>
                        </pic:spPr>
                      </pic:pic>
                    </a:graphicData>
                  </a:graphic>
                </wp:inline>
              </w:drawing>
            </w:r>
          </w:p>
        </w:tc>
        <w:tc>
          <w:tcPr>
            <w:tcW w:w="1033" w:type="dxa"/>
            <w:gridSpan w:val="2"/>
            <w:tcBorders>
              <w:top w:val="single" w:sz="2" w:space="0" w:color="000000"/>
              <w:left w:val="single" w:sz="2" w:space="0" w:color="000000"/>
              <w:bottom w:val="nil"/>
              <w:right w:val="single" w:sz="2" w:space="0" w:color="000000"/>
            </w:tcBorders>
          </w:tcPr>
          <w:p w14:paraId="03A49261" w14:textId="77777777" w:rsidR="00053D93" w:rsidRDefault="00260B75">
            <w:pPr>
              <w:ind w:left="40"/>
            </w:pPr>
            <w:r>
              <w:t xml:space="preserve">23907525 </w:t>
            </w:r>
          </w:p>
        </w:tc>
        <w:tc>
          <w:tcPr>
            <w:tcW w:w="5731" w:type="dxa"/>
            <w:tcBorders>
              <w:top w:val="single" w:sz="2" w:space="0" w:color="000000"/>
              <w:left w:val="single" w:sz="2" w:space="0" w:color="000000"/>
              <w:bottom w:val="single" w:sz="2" w:space="0" w:color="000000"/>
              <w:right w:val="single" w:sz="2" w:space="0" w:color="000000"/>
            </w:tcBorders>
          </w:tcPr>
          <w:p w14:paraId="5B904A3C" w14:textId="77777777" w:rsidR="00053D93" w:rsidRDefault="00260B75">
            <w:pPr>
              <w:ind w:left="7" w:hanging="7"/>
              <w:jc w:val="both"/>
            </w:pPr>
            <w:r>
              <w:t>Atención de los participantes en el Taller de seguimiento al CNB del Nivel de Educación Preprimaria con docentes de Baja</w:t>
            </w:r>
          </w:p>
        </w:tc>
        <w:tc>
          <w:tcPr>
            <w:tcW w:w="1274" w:type="dxa"/>
            <w:tcBorders>
              <w:top w:val="single" w:sz="2" w:space="0" w:color="000000"/>
              <w:left w:val="single" w:sz="2" w:space="0" w:color="000000"/>
              <w:bottom w:val="single" w:sz="2" w:space="0" w:color="000000"/>
              <w:right w:val="single" w:sz="2" w:space="0" w:color="000000"/>
            </w:tcBorders>
          </w:tcPr>
          <w:p w14:paraId="497CC613" w14:textId="77777777" w:rsidR="00053D93" w:rsidRDefault="00053D93"/>
        </w:tc>
      </w:tr>
      <w:tr w:rsidR="00053D93" w14:paraId="65653FE7" w14:textId="77777777">
        <w:trPr>
          <w:trHeight w:val="598"/>
        </w:trPr>
        <w:tc>
          <w:tcPr>
            <w:tcW w:w="0" w:type="auto"/>
            <w:vMerge/>
            <w:tcBorders>
              <w:top w:val="nil"/>
              <w:left w:val="single" w:sz="2" w:space="0" w:color="000000"/>
              <w:bottom w:val="nil"/>
              <w:right w:val="single" w:sz="2" w:space="0" w:color="000000"/>
            </w:tcBorders>
          </w:tcPr>
          <w:p w14:paraId="4F154EB4" w14:textId="77777777" w:rsidR="00053D93" w:rsidRDefault="00053D93"/>
        </w:tc>
        <w:tc>
          <w:tcPr>
            <w:tcW w:w="288" w:type="dxa"/>
            <w:tcBorders>
              <w:top w:val="nil"/>
              <w:left w:val="single" w:sz="2" w:space="0" w:color="000000"/>
              <w:bottom w:val="nil"/>
              <w:right w:val="single" w:sz="2" w:space="0" w:color="000000"/>
            </w:tcBorders>
          </w:tcPr>
          <w:p w14:paraId="7F793570" w14:textId="77777777" w:rsidR="00053D93" w:rsidRDefault="00053D93"/>
        </w:tc>
        <w:tc>
          <w:tcPr>
            <w:tcW w:w="7751" w:type="dxa"/>
            <w:gridSpan w:val="3"/>
            <w:tcBorders>
              <w:top w:val="single" w:sz="2" w:space="0" w:color="000000"/>
              <w:left w:val="single" w:sz="2" w:space="0" w:color="000000"/>
              <w:bottom w:val="nil"/>
              <w:right w:val="nil"/>
            </w:tcBorders>
          </w:tcPr>
          <w:p w14:paraId="68041906" w14:textId="77777777" w:rsidR="00053D93" w:rsidRDefault="00260B75">
            <w:pPr>
              <w:ind w:right="829"/>
              <w:jc w:val="center"/>
            </w:pPr>
            <w:r>
              <w:rPr>
                <w:sz w:val="14"/>
              </w:rPr>
              <w:t>MINISTERIO DE EDUCACION</w:t>
            </w:r>
          </w:p>
          <w:p w14:paraId="0040E775" w14:textId="77777777" w:rsidR="00053D93" w:rsidRDefault="00260B75">
            <w:pPr>
              <w:ind w:left="2142"/>
            </w:pPr>
            <w:r>
              <w:rPr>
                <w:sz w:val="14"/>
              </w:rPr>
              <w:t>AUDITORIA FINANCIERA Y DE CUMPLIMIENTO</w:t>
            </w:r>
          </w:p>
          <w:p w14:paraId="54FC12AC" w14:textId="77777777" w:rsidR="00053D93" w:rsidRDefault="00260B75">
            <w:pPr>
              <w:ind w:left="1811"/>
            </w:pPr>
            <w:r>
              <w:rPr>
                <w:sz w:val="14"/>
              </w:rPr>
              <w:t>PERIODO DEL 01 OE ENERO AL 31 DE DICIEMBRE DE 2024</w:t>
            </w:r>
          </w:p>
        </w:tc>
      </w:tr>
    </w:tbl>
    <w:p w14:paraId="78516CF6" w14:textId="77777777" w:rsidR="00053D93" w:rsidRDefault="00260B75">
      <w:pPr>
        <w:spacing w:after="0"/>
        <w:ind w:left="-1440" w:right="363"/>
      </w:pPr>
      <w:r>
        <w:rPr>
          <w:noProof/>
        </w:rPr>
        <w:drawing>
          <wp:anchor distT="0" distB="0" distL="114300" distR="114300" simplePos="0" relativeHeight="252366848" behindDoc="0" locked="0" layoutInCell="1" allowOverlap="0" wp14:anchorId="4F974965" wp14:editId="79E787AC">
            <wp:simplePos x="0" y="0"/>
            <wp:positionH relativeFrom="page">
              <wp:posOffset>196596</wp:posOffset>
            </wp:positionH>
            <wp:positionV relativeFrom="page">
              <wp:posOffset>3835908</wp:posOffset>
            </wp:positionV>
            <wp:extent cx="178308" cy="800100"/>
            <wp:effectExtent l="0" t="0" r="0" b="0"/>
            <wp:wrapTopAndBottom/>
            <wp:docPr id="1364107" name="Picture 1364107"/>
            <wp:cNvGraphicFramePr/>
            <a:graphic xmlns:a="http://schemas.openxmlformats.org/drawingml/2006/main">
              <a:graphicData uri="http://schemas.openxmlformats.org/drawingml/2006/picture">
                <pic:pic xmlns:pic="http://schemas.openxmlformats.org/drawingml/2006/picture">
                  <pic:nvPicPr>
                    <pic:cNvPr id="1364107" name="Picture 1364107"/>
                    <pic:cNvPicPr/>
                  </pic:nvPicPr>
                  <pic:blipFill>
                    <a:blip r:embed="rId1806"/>
                    <a:stretch>
                      <a:fillRect/>
                    </a:stretch>
                  </pic:blipFill>
                  <pic:spPr>
                    <a:xfrm>
                      <a:off x="0" y="0"/>
                      <a:ext cx="178308" cy="800100"/>
                    </a:xfrm>
                    <a:prstGeom prst="rect">
                      <a:avLst/>
                    </a:prstGeom>
                  </pic:spPr>
                </pic:pic>
              </a:graphicData>
            </a:graphic>
          </wp:anchor>
        </w:drawing>
      </w:r>
      <w:r>
        <w:rPr>
          <w:noProof/>
        </w:rPr>
        <w:drawing>
          <wp:anchor distT="0" distB="0" distL="114300" distR="114300" simplePos="0" relativeHeight="252367872" behindDoc="0" locked="0" layoutInCell="1" allowOverlap="0" wp14:anchorId="424CC579" wp14:editId="164093B1">
            <wp:simplePos x="0" y="0"/>
            <wp:positionH relativeFrom="page">
              <wp:posOffset>662940</wp:posOffset>
            </wp:positionH>
            <wp:positionV relativeFrom="page">
              <wp:posOffset>9253728</wp:posOffset>
            </wp:positionV>
            <wp:extent cx="640080" cy="406908"/>
            <wp:effectExtent l="0" t="0" r="0" b="0"/>
            <wp:wrapTopAndBottom/>
            <wp:docPr id="1364108" name="Picture 1364108"/>
            <wp:cNvGraphicFramePr/>
            <a:graphic xmlns:a="http://schemas.openxmlformats.org/drawingml/2006/main">
              <a:graphicData uri="http://schemas.openxmlformats.org/drawingml/2006/picture">
                <pic:pic xmlns:pic="http://schemas.openxmlformats.org/drawingml/2006/picture">
                  <pic:nvPicPr>
                    <pic:cNvPr id="1364108" name="Picture 1364108"/>
                    <pic:cNvPicPr/>
                  </pic:nvPicPr>
                  <pic:blipFill>
                    <a:blip r:embed="rId1807"/>
                    <a:stretch>
                      <a:fillRect/>
                    </a:stretch>
                  </pic:blipFill>
                  <pic:spPr>
                    <a:xfrm>
                      <a:off x="0" y="0"/>
                      <a:ext cx="640080" cy="406908"/>
                    </a:xfrm>
                    <a:prstGeom prst="rect">
                      <a:avLst/>
                    </a:prstGeom>
                  </pic:spPr>
                </pic:pic>
              </a:graphicData>
            </a:graphic>
          </wp:anchor>
        </w:drawing>
      </w:r>
      <w:r>
        <w:br w:type="page"/>
      </w:r>
    </w:p>
    <w:tbl>
      <w:tblPr>
        <w:tblStyle w:val="TableGrid"/>
        <w:tblpPr w:vertAnchor="text" w:tblpX="619"/>
        <w:tblOverlap w:val="never"/>
        <w:tblW w:w="8414" w:type="dxa"/>
        <w:tblInd w:w="0" w:type="dxa"/>
        <w:tblCellMar>
          <w:top w:w="29" w:type="dxa"/>
          <w:left w:w="50" w:type="dxa"/>
          <w:right w:w="62" w:type="dxa"/>
        </w:tblCellMar>
        <w:tblLook w:val="04A0" w:firstRow="1" w:lastRow="0" w:firstColumn="1" w:lastColumn="0" w:noHBand="0" w:noVBand="1"/>
      </w:tblPr>
      <w:tblGrid>
        <w:gridCol w:w="379"/>
        <w:gridCol w:w="390"/>
        <w:gridCol w:w="751"/>
        <w:gridCol w:w="5577"/>
        <w:gridCol w:w="1317"/>
      </w:tblGrid>
      <w:tr w:rsidR="00053D93" w14:paraId="2D8D4513" w14:textId="77777777">
        <w:trPr>
          <w:trHeight w:val="533"/>
        </w:trPr>
        <w:tc>
          <w:tcPr>
            <w:tcW w:w="364" w:type="dxa"/>
            <w:tcBorders>
              <w:top w:val="single" w:sz="2" w:space="0" w:color="000000"/>
              <w:left w:val="single" w:sz="2" w:space="0" w:color="000000"/>
              <w:bottom w:val="single" w:sz="2" w:space="0" w:color="000000"/>
              <w:right w:val="single" w:sz="2" w:space="0" w:color="000000"/>
            </w:tcBorders>
          </w:tcPr>
          <w:p w14:paraId="66CE16B8" w14:textId="77777777" w:rsidR="00053D93" w:rsidRDefault="00053D93"/>
        </w:tc>
        <w:tc>
          <w:tcPr>
            <w:tcW w:w="1044" w:type="dxa"/>
            <w:gridSpan w:val="2"/>
            <w:tcBorders>
              <w:top w:val="single" w:sz="2" w:space="0" w:color="000000"/>
              <w:left w:val="single" w:sz="2" w:space="0" w:color="000000"/>
              <w:bottom w:val="single" w:sz="2" w:space="0" w:color="000000"/>
              <w:right w:val="single" w:sz="2" w:space="0" w:color="000000"/>
            </w:tcBorders>
          </w:tcPr>
          <w:p w14:paraId="0B4A8CB4" w14:textId="77777777" w:rsidR="00053D93" w:rsidRDefault="00053D93"/>
        </w:tc>
        <w:tc>
          <w:tcPr>
            <w:tcW w:w="5731" w:type="dxa"/>
            <w:tcBorders>
              <w:top w:val="single" w:sz="2" w:space="0" w:color="000000"/>
              <w:left w:val="single" w:sz="2" w:space="0" w:color="000000"/>
              <w:bottom w:val="single" w:sz="2" w:space="0" w:color="000000"/>
              <w:right w:val="single" w:sz="2" w:space="0" w:color="000000"/>
            </w:tcBorders>
          </w:tcPr>
          <w:p w14:paraId="46049288" w14:textId="77777777" w:rsidR="00053D93" w:rsidRDefault="00260B75">
            <w:pPr>
              <w:ind w:left="60" w:hanging="7"/>
              <w:jc w:val="both"/>
            </w:pPr>
            <w:r>
              <w:t>Verapaz, los días 27 y 28 de agosto de 2024 en el departamento de Guatemala.</w:t>
            </w:r>
          </w:p>
        </w:tc>
        <w:tc>
          <w:tcPr>
            <w:tcW w:w="1274" w:type="dxa"/>
            <w:tcBorders>
              <w:top w:val="single" w:sz="2" w:space="0" w:color="000000"/>
              <w:left w:val="single" w:sz="2" w:space="0" w:color="000000"/>
              <w:bottom w:val="single" w:sz="2" w:space="0" w:color="000000"/>
              <w:right w:val="single" w:sz="2" w:space="0" w:color="000000"/>
            </w:tcBorders>
            <w:vAlign w:val="bottom"/>
          </w:tcPr>
          <w:p w14:paraId="38764DA3" w14:textId="77777777" w:rsidR="00053D93" w:rsidRDefault="00260B75">
            <w:pPr>
              <w:jc w:val="right"/>
            </w:pPr>
            <w:r>
              <w:t>43,310.52</w:t>
            </w:r>
          </w:p>
        </w:tc>
      </w:tr>
      <w:tr w:rsidR="00053D93" w14:paraId="4E720CB2" w14:textId="77777777">
        <w:trPr>
          <w:trHeight w:val="792"/>
        </w:trPr>
        <w:tc>
          <w:tcPr>
            <w:tcW w:w="364" w:type="dxa"/>
            <w:tcBorders>
              <w:top w:val="single" w:sz="2" w:space="0" w:color="000000"/>
              <w:left w:val="single" w:sz="2" w:space="0" w:color="000000"/>
              <w:bottom w:val="single" w:sz="2" w:space="0" w:color="000000"/>
              <w:right w:val="single" w:sz="2" w:space="0" w:color="000000"/>
            </w:tcBorders>
          </w:tcPr>
          <w:p w14:paraId="1F9FC218" w14:textId="77777777" w:rsidR="00053D93" w:rsidRDefault="00260B75">
            <w:pPr>
              <w:ind w:left="43"/>
            </w:pPr>
            <w:r>
              <w:t>42</w:t>
            </w:r>
          </w:p>
        </w:tc>
        <w:tc>
          <w:tcPr>
            <w:tcW w:w="1044" w:type="dxa"/>
            <w:gridSpan w:val="2"/>
            <w:tcBorders>
              <w:top w:val="single" w:sz="2" w:space="0" w:color="000000"/>
              <w:left w:val="single" w:sz="2" w:space="0" w:color="000000"/>
              <w:bottom w:val="single" w:sz="2" w:space="0" w:color="000000"/>
              <w:right w:val="single" w:sz="2" w:space="0" w:color="000000"/>
            </w:tcBorders>
          </w:tcPr>
          <w:p w14:paraId="4EE5E48A" w14:textId="77777777" w:rsidR="00053D93" w:rsidRDefault="00260B75">
            <w:pPr>
              <w:ind w:left="104"/>
            </w:pPr>
            <w:r>
              <w:t>23933852</w:t>
            </w:r>
          </w:p>
        </w:tc>
        <w:tc>
          <w:tcPr>
            <w:tcW w:w="5731" w:type="dxa"/>
            <w:tcBorders>
              <w:top w:val="single" w:sz="2" w:space="0" w:color="000000"/>
              <w:left w:val="single" w:sz="2" w:space="0" w:color="000000"/>
              <w:bottom w:val="single" w:sz="2" w:space="0" w:color="000000"/>
              <w:right w:val="single" w:sz="2" w:space="0" w:color="000000"/>
            </w:tcBorders>
          </w:tcPr>
          <w:p w14:paraId="647D6975" w14:textId="77777777" w:rsidR="00053D93" w:rsidRDefault="00260B75">
            <w:pPr>
              <w:ind w:left="60" w:right="7"/>
              <w:jc w:val="both"/>
            </w:pPr>
            <w:r>
              <w:t>Servicio de Atención para el Equipo de Gestores Educativos Itinerantes y Coordinadoras Departamentales del Programa "Acompáñame a Crecer".</w:t>
            </w:r>
          </w:p>
        </w:tc>
        <w:tc>
          <w:tcPr>
            <w:tcW w:w="1274" w:type="dxa"/>
            <w:tcBorders>
              <w:top w:val="single" w:sz="2" w:space="0" w:color="000000"/>
              <w:left w:val="single" w:sz="2" w:space="0" w:color="000000"/>
              <w:bottom w:val="single" w:sz="2" w:space="0" w:color="000000"/>
              <w:right w:val="single" w:sz="2" w:space="0" w:color="000000"/>
            </w:tcBorders>
            <w:vAlign w:val="bottom"/>
          </w:tcPr>
          <w:p w14:paraId="3A4399DA" w14:textId="77777777" w:rsidR="00053D93" w:rsidRDefault="00260B75">
            <w:pPr>
              <w:jc w:val="right"/>
            </w:pPr>
            <w:r>
              <w:t>72,892.58</w:t>
            </w:r>
          </w:p>
        </w:tc>
      </w:tr>
      <w:tr w:rsidR="00053D93" w14:paraId="6C2025FD" w14:textId="77777777">
        <w:trPr>
          <w:trHeight w:val="536"/>
        </w:trPr>
        <w:tc>
          <w:tcPr>
            <w:tcW w:w="364" w:type="dxa"/>
            <w:tcBorders>
              <w:top w:val="single" w:sz="2" w:space="0" w:color="000000"/>
              <w:left w:val="single" w:sz="2" w:space="0" w:color="000000"/>
              <w:bottom w:val="single" w:sz="2" w:space="0" w:color="000000"/>
              <w:right w:val="single" w:sz="2" w:space="0" w:color="000000"/>
            </w:tcBorders>
          </w:tcPr>
          <w:p w14:paraId="085DF3F7" w14:textId="77777777" w:rsidR="00053D93" w:rsidRDefault="00260B75">
            <w:pPr>
              <w:ind w:left="43"/>
            </w:pPr>
            <w:r>
              <w:t>43</w:t>
            </w:r>
          </w:p>
        </w:tc>
        <w:tc>
          <w:tcPr>
            <w:tcW w:w="1044" w:type="dxa"/>
            <w:gridSpan w:val="2"/>
            <w:tcBorders>
              <w:top w:val="single" w:sz="2" w:space="0" w:color="000000"/>
              <w:left w:val="single" w:sz="2" w:space="0" w:color="000000"/>
              <w:bottom w:val="single" w:sz="2" w:space="0" w:color="000000"/>
              <w:right w:val="single" w:sz="2" w:space="0" w:color="000000"/>
            </w:tcBorders>
          </w:tcPr>
          <w:p w14:paraId="17650268" w14:textId="77777777" w:rsidR="00053D93" w:rsidRDefault="00260B75">
            <w:pPr>
              <w:ind w:left="104"/>
            </w:pPr>
            <w:r>
              <w:t>23964227</w:t>
            </w:r>
          </w:p>
        </w:tc>
        <w:tc>
          <w:tcPr>
            <w:tcW w:w="5731" w:type="dxa"/>
            <w:tcBorders>
              <w:top w:val="single" w:sz="2" w:space="0" w:color="000000"/>
              <w:left w:val="single" w:sz="2" w:space="0" w:color="000000"/>
              <w:bottom w:val="single" w:sz="2" w:space="0" w:color="000000"/>
              <w:right w:val="single" w:sz="2" w:space="0" w:color="000000"/>
            </w:tcBorders>
          </w:tcPr>
          <w:p w14:paraId="191A01B0" w14:textId="77777777" w:rsidR="00053D93" w:rsidRDefault="00260B75">
            <w:pPr>
              <w:ind w:left="60"/>
            </w:pPr>
            <w:r>
              <w:t>Servicio de Impresión de Evaluación de escritura ciclo 2 primaria.</w:t>
            </w:r>
          </w:p>
        </w:tc>
        <w:tc>
          <w:tcPr>
            <w:tcW w:w="1274" w:type="dxa"/>
            <w:tcBorders>
              <w:top w:val="single" w:sz="2" w:space="0" w:color="000000"/>
              <w:left w:val="single" w:sz="2" w:space="0" w:color="000000"/>
              <w:bottom w:val="single" w:sz="2" w:space="0" w:color="000000"/>
              <w:right w:val="single" w:sz="2" w:space="0" w:color="000000"/>
            </w:tcBorders>
            <w:vAlign w:val="bottom"/>
          </w:tcPr>
          <w:p w14:paraId="15BF6F5E" w14:textId="77777777" w:rsidR="00053D93" w:rsidRDefault="00260B75">
            <w:pPr>
              <w:ind w:right="7"/>
              <w:jc w:val="right"/>
            </w:pPr>
            <w:r>
              <w:t>48,461.49</w:t>
            </w:r>
          </w:p>
        </w:tc>
      </w:tr>
      <w:tr w:rsidR="00053D93" w14:paraId="7E16F0A2" w14:textId="77777777">
        <w:trPr>
          <w:trHeight w:val="785"/>
        </w:trPr>
        <w:tc>
          <w:tcPr>
            <w:tcW w:w="364" w:type="dxa"/>
            <w:tcBorders>
              <w:top w:val="single" w:sz="2" w:space="0" w:color="000000"/>
              <w:left w:val="single" w:sz="2" w:space="0" w:color="000000"/>
              <w:bottom w:val="single" w:sz="2" w:space="0" w:color="000000"/>
              <w:right w:val="single" w:sz="2" w:space="0" w:color="000000"/>
            </w:tcBorders>
          </w:tcPr>
          <w:p w14:paraId="285E47A2" w14:textId="77777777" w:rsidR="00053D93" w:rsidRDefault="00260B75">
            <w:pPr>
              <w:ind w:left="43"/>
            </w:pPr>
            <w:r>
              <w:t>44</w:t>
            </w:r>
          </w:p>
        </w:tc>
        <w:tc>
          <w:tcPr>
            <w:tcW w:w="1044" w:type="dxa"/>
            <w:gridSpan w:val="2"/>
            <w:tcBorders>
              <w:top w:val="single" w:sz="2" w:space="0" w:color="000000"/>
              <w:left w:val="single" w:sz="2" w:space="0" w:color="000000"/>
              <w:bottom w:val="single" w:sz="2" w:space="0" w:color="000000"/>
              <w:right w:val="single" w:sz="2" w:space="0" w:color="000000"/>
            </w:tcBorders>
          </w:tcPr>
          <w:p w14:paraId="43EEDAE8" w14:textId="77777777" w:rsidR="00053D93" w:rsidRDefault="00260B75">
            <w:pPr>
              <w:ind w:left="104"/>
            </w:pPr>
            <w:r>
              <w:t>23964456</w:t>
            </w:r>
          </w:p>
        </w:tc>
        <w:tc>
          <w:tcPr>
            <w:tcW w:w="5731" w:type="dxa"/>
            <w:tcBorders>
              <w:top w:val="single" w:sz="2" w:space="0" w:color="000000"/>
              <w:left w:val="single" w:sz="2" w:space="0" w:color="000000"/>
              <w:bottom w:val="single" w:sz="2" w:space="0" w:color="000000"/>
              <w:right w:val="single" w:sz="2" w:space="0" w:color="000000"/>
            </w:tcBorders>
          </w:tcPr>
          <w:p w14:paraId="3D50D3F1" w14:textId="77777777" w:rsidR="00053D93" w:rsidRDefault="00260B75">
            <w:pPr>
              <w:ind w:left="53" w:right="14"/>
              <w:jc w:val="both"/>
            </w:pPr>
            <w:r>
              <w:t>Adquisición de Microscopios para fortalecer los Laboratorios de Biología de los centros que ofrecen las carreras de Peritos Técnicos.</w:t>
            </w:r>
          </w:p>
        </w:tc>
        <w:tc>
          <w:tcPr>
            <w:tcW w:w="1274" w:type="dxa"/>
            <w:tcBorders>
              <w:top w:val="single" w:sz="2" w:space="0" w:color="000000"/>
              <w:left w:val="single" w:sz="2" w:space="0" w:color="000000"/>
              <w:bottom w:val="single" w:sz="2" w:space="0" w:color="000000"/>
              <w:right w:val="single" w:sz="2" w:space="0" w:color="000000"/>
            </w:tcBorders>
            <w:vAlign w:val="bottom"/>
          </w:tcPr>
          <w:p w14:paraId="60DFA056" w14:textId="77777777" w:rsidR="00053D93" w:rsidRDefault="00260B75">
            <w:pPr>
              <w:ind w:left="305"/>
            </w:pPr>
            <w:r>
              <w:t>73,290.oo</w:t>
            </w:r>
          </w:p>
        </w:tc>
      </w:tr>
      <w:tr w:rsidR="00053D93" w14:paraId="4FB69FB1" w14:textId="77777777">
        <w:trPr>
          <w:trHeight w:val="789"/>
        </w:trPr>
        <w:tc>
          <w:tcPr>
            <w:tcW w:w="364" w:type="dxa"/>
            <w:tcBorders>
              <w:top w:val="single" w:sz="2" w:space="0" w:color="000000"/>
              <w:left w:val="single" w:sz="2" w:space="0" w:color="000000"/>
              <w:bottom w:val="single" w:sz="2" w:space="0" w:color="000000"/>
              <w:right w:val="single" w:sz="2" w:space="0" w:color="000000"/>
            </w:tcBorders>
          </w:tcPr>
          <w:p w14:paraId="511A7E8C" w14:textId="77777777" w:rsidR="00053D93" w:rsidRDefault="00260B75">
            <w:pPr>
              <w:ind w:left="36"/>
              <w:jc w:val="both"/>
            </w:pPr>
            <w:r>
              <w:t>45</w:t>
            </w:r>
          </w:p>
        </w:tc>
        <w:tc>
          <w:tcPr>
            <w:tcW w:w="1044" w:type="dxa"/>
            <w:gridSpan w:val="2"/>
            <w:tcBorders>
              <w:top w:val="single" w:sz="2" w:space="0" w:color="000000"/>
              <w:left w:val="single" w:sz="2" w:space="0" w:color="000000"/>
              <w:bottom w:val="single" w:sz="2" w:space="0" w:color="000000"/>
              <w:right w:val="single" w:sz="2" w:space="0" w:color="000000"/>
            </w:tcBorders>
          </w:tcPr>
          <w:p w14:paraId="007598E8" w14:textId="77777777" w:rsidR="00053D93" w:rsidRDefault="00260B75">
            <w:pPr>
              <w:ind w:left="96"/>
            </w:pPr>
            <w:r>
              <w:t>23964529</w:t>
            </w:r>
          </w:p>
        </w:tc>
        <w:tc>
          <w:tcPr>
            <w:tcW w:w="5731" w:type="dxa"/>
            <w:tcBorders>
              <w:top w:val="single" w:sz="2" w:space="0" w:color="000000"/>
              <w:left w:val="single" w:sz="2" w:space="0" w:color="000000"/>
              <w:bottom w:val="single" w:sz="2" w:space="0" w:color="000000"/>
              <w:right w:val="single" w:sz="2" w:space="0" w:color="000000"/>
            </w:tcBorders>
          </w:tcPr>
          <w:p w14:paraId="3A7799CE" w14:textId="77777777" w:rsidR="00053D93" w:rsidRDefault="00260B75">
            <w:pPr>
              <w:ind w:left="60" w:right="14" w:hanging="7"/>
              <w:jc w:val="both"/>
            </w:pPr>
            <w:r>
              <w:t>Adquisición de Materiales Educativos a las 14 Escuelas Oficiales de Párvulos que pertenecen a la Sentencia de Santa Catarina Ixtahuacán del departamento de Sololá</w:t>
            </w:r>
          </w:p>
        </w:tc>
        <w:tc>
          <w:tcPr>
            <w:tcW w:w="1274" w:type="dxa"/>
            <w:tcBorders>
              <w:top w:val="single" w:sz="2" w:space="0" w:color="000000"/>
              <w:left w:val="single" w:sz="2" w:space="0" w:color="000000"/>
              <w:bottom w:val="single" w:sz="2" w:space="0" w:color="000000"/>
              <w:right w:val="single" w:sz="2" w:space="0" w:color="000000"/>
            </w:tcBorders>
            <w:vAlign w:val="bottom"/>
          </w:tcPr>
          <w:p w14:paraId="19543D0B" w14:textId="77777777" w:rsidR="00053D93" w:rsidRDefault="00260B75">
            <w:pPr>
              <w:ind w:left="312"/>
            </w:pPr>
            <w:r>
              <w:t>81 ,995.20</w:t>
            </w:r>
          </w:p>
        </w:tc>
      </w:tr>
      <w:tr w:rsidR="00053D93" w14:paraId="642B8889" w14:textId="77777777">
        <w:trPr>
          <w:trHeight w:val="533"/>
        </w:trPr>
        <w:tc>
          <w:tcPr>
            <w:tcW w:w="364" w:type="dxa"/>
            <w:tcBorders>
              <w:top w:val="single" w:sz="2" w:space="0" w:color="000000"/>
              <w:left w:val="single" w:sz="2" w:space="0" w:color="000000"/>
              <w:bottom w:val="single" w:sz="2" w:space="0" w:color="000000"/>
              <w:right w:val="single" w:sz="2" w:space="0" w:color="000000"/>
            </w:tcBorders>
          </w:tcPr>
          <w:p w14:paraId="2C193B31" w14:textId="77777777" w:rsidR="00053D93" w:rsidRDefault="00260B75">
            <w:pPr>
              <w:ind w:left="36"/>
              <w:jc w:val="both"/>
            </w:pPr>
            <w:r>
              <w:t>46</w:t>
            </w:r>
          </w:p>
        </w:tc>
        <w:tc>
          <w:tcPr>
            <w:tcW w:w="1044" w:type="dxa"/>
            <w:gridSpan w:val="2"/>
            <w:tcBorders>
              <w:top w:val="single" w:sz="2" w:space="0" w:color="000000"/>
              <w:left w:val="single" w:sz="2" w:space="0" w:color="000000"/>
              <w:bottom w:val="single" w:sz="2" w:space="0" w:color="000000"/>
              <w:right w:val="single" w:sz="2" w:space="0" w:color="000000"/>
            </w:tcBorders>
          </w:tcPr>
          <w:p w14:paraId="5F00A43C" w14:textId="77777777" w:rsidR="00053D93" w:rsidRDefault="00260B75">
            <w:pPr>
              <w:ind w:left="96"/>
            </w:pPr>
            <w:r>
              <w:t>23977116</w:t>
            </w:r>
          </w:p>
        </w:tc>
        <w:tc>
          <w:tcPr>
            <w:tcW w:w="5731" w:type="dxa"/>
            <w:tcBorders>
              <w:top w:val="single" w:sz="2" w:space="0" w:color="000000"/>
              <w:left w:val="single" w:sz="2" w:space="0" w:color="000000"/>
              <w:bottom w:val="single" w:sz="2" w:space="0" w:color="000000"/>
              <w:right w:val="single" w:sz="2" w:space="0" w:color="000000"/>
            </w:tcBorders>
          </w:tcPr>
          <w:p w14:paraId="36A97F0B" w14:textId="77777777" w:rsidR="00053D93" w:rsidRDefault="00260B75">
            <w:pPr>
              <w:ind w:left="53" w:firstLine="7"/>
              <w:jc w:val="both"/>
            </w:pPr>
            <w:r>
              <w:t>Impresión del documento del Nuevo Diseño Curricular del CNB del Nivel de Educación Preprimaria.</w:t>
            </w:r>
          </w:p>
        </w:tc>
        <w:tc>
          <w:tcPr>
            <w:tcW w:w="1274" w:type="dxa"/>
            <w:tcBorders>
              <w:top w:val="single" w:sz="2" w:space="0" w:color="000000"/>
              <w:left w:val="single" w:sz="2" w:space="0" w:color="000000"/>
              <w:bottom w:val="single" w:sz="2" w:space="0" w:color="000000"/>
              <w:right w:val="single" w:sz="2" w:space="0" w:color="000000"/>
            </w:tcBorders>
            <w:vAlign w:val="bottom"/>
          </w:tcPr>
          <w:p w14:paraId="1F7B9C65" w14:textId="77777777" w:rsidR="00053D93" w:rsidRDefault="00260B75">
            <w:pPr>
              <w:ind w:left="298"/>
            </w:pPr>
            <w:r>
              <w:t>48,250.oo</w:t>
            </w:r>
          </w:p>
        </w:tc>
      </w:tr>
      <w:tr w:rsidR="00053D93" w14:paraId="57F615A4" w14:textId="77777777">
        <w:trPr>
          <w:trHeight w:val="1044"/>
        </w:trPr>
        <w:tc>
          <w:tcPr>
            <w:tcW w:w="364" w:type="dxa"/>
            <w:tcBorders>
              <w:top w:val="single" w:sz="2" w:space="0" w:color="000000"/>
              <w:left w:val="single" w:sz="2" w:space="0" w:color="000000"/>
              <w:bottom w:val="single" w:sz="2" w:space="0" w:color="000000"/>
              <w:right w:val="single" w:sz="2" w:space="0" w:color="000000"/>
            </w:tcBorders>
          </w:tcPr>
          <w:p w14:paraId="7521D24C" w14:textId="77777777" w:rsidR="00053D93" w:rsidRDefault="00260B75">
            <w:pPr>
              <w:ind w:left="36"/>
              <w:jc w:val="both"/>
            </w:pPr>
            <w:r>
              <w:t>47</w:t>
            </w:r>
          </w:p>
        </w:tc>
        <w:tc>
          <w:tcPr>
            <w:tcW w:w="1044" w:type="dxa"/>
            <w:gridSpan w:val="2"/>
            <w:tcBorders>
              <w:top w:val="single" w:sz="2" w:space="0" w:color="000000"/>
              <w:left w:val="single" w:sz="2" w:space="0" w:color="000000"/>
              <w:bottom w:val="single" w:sz="2" w:space="0" w:color="000000"/>
              <w:right w:val="single" w:sz="2" w:space="0" w:color="000000"/>
            </w:tcBorders>
          </w:tcPr>
          <w:p w14:paraId="2D8DA858" w14:textId="77777777" w:rsidR="00053D93" w:rsidRDefault="00260B75">
            <w:pPr>
              <w:ind w:left="89"/>
            </w:pPr>
            <w:r>
              <w:t>23991143</w:t>
            </w:r>
          </w:p>
        </w:tc>
        <w:tc>
          <w:tcPr>
            <w:tcW w:w="5731" w:type="dxa"/>
            <w:tcBorders>
              <w:top w:val="single" w:sz="2" w:space="0" w:color="000000"/>
              <w:left w:val="single" w:sz="2" w:space="0" w:color="000000"/>
              <w:bottom w:val="single" w:sz="2" w:space="0" w:color="000000"/>
              <w:right w:val="single" w:sz="2" w:space="0" w:color="000000"/>
            </w:tcBorders>
          </w:tcPr>
          <w:p w14:paraId="2E7FFFD4" w14:textId="77777777" w:rsidR="00053D93" w:rsidRDefault="00260B75">
            <w:pPr>
              <w:ind w:left="46" w:right="22" w:firstLine="7"/>
              <w:jc w:val="both"/>
            </w:pPr>
            <w:r>
              <w:t>Servicio de hospedaje para la atención a docentes que participan en los encuentros pedagógicos del Programa de Profesionalización Docente a realizarse del 4 al 5 de septiembre de 2024 en Antigua Guatemala.</w:t>
            </w:r>
          </w:p>
        </w:tc>
        <w:tc>
          <w:tcPr>
            <w:tcW w:w="1274" w:type="dxa"/>
            <w:tcBorders>
              <w:top w:val="single" w:sz="2" w:space="0" w:color="000000"/>
              <w:left w:val="single" w:sz="2" w:space="0" w:color="000000"/>
              <w:bottom w:val="single" w:sz="2" w:space="0" w:color="000000"/>
              <w:right w:val="single" w:sz="2" w:space="0" w:color="000000"/>
            </w:tcBorders>
            <w:vAlign w:val="bottom"/>
          </w:tcPr>
          <w:p w14:paraId="7F8622E8" w14:textId="77777777" w:rsidR="00053D93" w:rsidRDefault="00260B75">
            <w:pPr>
              <w:ind w:left="305"/>
            </w:pPr>
            <w:r>
              <w:rPr>
                <w:sz w:val="20"/>
              </w:rPr>
              <w:t>881317.60</w:t>
            </w:r>
          </w:p>
        </w:tc>
      </w:tr>
      <w:tr w:rsidR="00053D93" w14:paraId="66621E14" w14:textId="77777777">
        <w:trPr>
          <w:trHeight w:val="1040"/>
        </w:trPr>
        <w:tc>
          <w:tcPr>
            <w:tcW w:w="364" w:type="dxa"/>
            <w:tcBorders>
              <w:top w:val="single" w:sz="2" w:space="0" w:color="000000"/>
              <w:left w:val="single" w:sz="2" w:space="0" w:color="000000"/>
              <w:bottom w:val="single" w:sz="2" w:space="0" w:color="000000"/>
              <w:right w:val="single" w:sz="2" w:space="0" w:color="000000"/>
            </w:tcBorders>
          </w:tcPr>
          <w:p w14:paraId="16A91C0F" w14:textId="77777777" w:rsidR="00053D93" w:rsidRDefault="00260B75">
            <w:pPr>
              <w:ind w:left="29"/>
              <w:jc w:val="both"/>
            </w:pPr>
            <w:r>
              <w:t>48</w:t>
            </w:r>
          </w:p>
        </w:tc>
        <w:tc>
          <w:tcPr>
            <w:tcW w:w="1044" w:type="dxa"/>
            <w:gridSpan w:val="2"/>
            <w:tcBorders>
              <w:top w:val="single" w:sz="2" w:space="0" w:color="000000"/>
              <w:left w:val="single" w:sz="2" w:space="0" w:color="000000"/>
              <w:bottom w:val="single" w:sz="2" w:space="0" w:color="000000"/>
              <w:right w:val="single" w:sz="2" w:space="0" w:color="000000"/>
            </w:tcBorders>
          </w:tcPr>
          <w:p w14:paraId="70A61901" w14:textId="77777777" w:rsidR="00053D93" w:rsidRDefault="00260B75">
            <w:pPr>
              <w:ind w:left="89"/>
            </w:pPr>
            <w:r>
              <w:t>23991186</w:t>
            </w:r>
          </w:p>
        </w:tc>
        <w:tc>
          <w:tcPr>
            <w:tcW w:w="5731" w:type="dxa"/>
            <w:tcBorders>
              <w:top w:val="single" w:sz="2" w:space="0" w:color="000000"/>
              <w:left w:val="single" w:sz="2" w:space="0" w:color="000000"/>
              <w:bottom w:val="single" w:sz="2" w:space="0" w:color="000000"/>
              <w:right w:val="single" w:sz="2" w:space="0" w:color="000000"/>
            </w:tcBorders>
          </w:tcPr>
          <w:p w14:paraId="2F1A25FD" w14:textId="77777777" w:rsidR="00053D93" w:rsidRDefault="00260B75">
            <w:pPr>
              <w:ind w:left="39" w:right="29" w:firstLine="14"/>
              <w:jc w:val="both"/>
            </w:pPr>
            <w:r>
              <w:t>Servicio de alimentación para docentes que asisten al evento de encuentros pedagógicos del Programa de Profesionalización docentes a realizarse del 4 al 5 de septiembre de 2024 en Antigua Guatemala.</w:t>
            </w:r>
          </w:p>
        </w:tc>
        <w:tc>
          <w:tcPr>
            <w:tcW w:w="1274" w:type="dxa"/>
            <w:tcBorders>
              <w:top w:val="single" w:sz="2" w:space="0" w:color="000000"/>
              <w:left w:val="single" w:sz="2" w:space="0" w:color="000000"/>
              <w:bottom w:val="single" w:sz="2" w:space="0" w:color="000000"/>
              <w:right w:val="single" w:sz="2" w:space="0" w:color="000000"/>
            </w:tcBorders>
            <w:vAlign w:val="bottom"/>
          </w:tcPr>
          <w:p w14:paraId="193020AC" w14:textId="77777777" w:rsidR="00053D93" w:rsidRDefault="00260B75">
            <w:pPr>
              <w:ind w:left="298"/>
            </w:pPr>
            <w:r>
              <w:t>89,941.50</w:t>
            </w:r>
          </w:p>
        </w:tc>
      </w:tr>
      <w:tr w:rsidR="00053D93" w14:paraId="5A6B059A" w14:textId="77777777">
        <w:trPr>
          <w:trHeight w:val="782"/>
        </w:trPr>
        <w:tc>
          <w:tcPr>
            <w:tcW w:w="364" w:type="dxa"/>
            <w:tcBorders>
              <w:top w:val="single" w:sz="2" w:space="0" w:color="000000"/>
              <w:left w:val="single" w:sz="2" w:space="0" w:color="000000"/>
              <w:bottom w:val="single" w:sz="2" w:space="0" w:color="000000"/>
              <w:right w:val="single" w:sz="2" w:space="0" w:color="000000"/>
            </w:tcBorders>
          </w:tcPr>
          <w:p w14:paraId="5D28DCED" w14:textId="77777777" w:rsidR="00053D93" w:rsidRDefault="00260B75">
            <w:pPr>
              <w:ind w:left="22"/>
            </w:pPr>
            <w:r>
              <w:t>49</w:t>
            </w:r>
          </w:p>
        </w:tc>
        <w:tc>
          <w:tcPr>
            <w:tcW w:w="1044" w:type="dxa"/>
            <w:gridSpan w:val="2"/>
            <w:tcBorders>
              <w:top w:val="single" w:sz="2" w:space="0" w:color="000000"/>
              <w:left w:val="single" w:sz="2" w:space="0" w:color="000000"/>
              <w:bottom w:val="single" w:sz="2" w:space="0" w:color="000000"/>
              <w:right w:val="single" w:sz="2" w:space="0" w:color="000000"/>
            </w:tcBorders>
          </w:tcPr>
          <w:p w14:paraId="03B04D03" w14:textId="77777777" w:rsidR="00053D93" w:rsidRDefault="00260B75">
            <w:pPr>
              <w:ind w:left="82"/>
            </w:pPr>
            <w:r>
              <w:rPr>
                <w:sz w:val="20"/>
              </w:rPr>
              <w:t>23992891</w:t>
            </w:r>
          </w:p>
        </w:tc>
        <w:tc>
          <w:tcPr>
            <w:tcW w:w="5731" w:type="dxa"/>
            <w:tcBorders>
              <w:top w:val="single" w:sz="2" w:space="0" w:color="000000"/>
              <w:left w:val="single" w:sz="2" w:space="0" w:color="000000"/>
              <w:bottom w:val="single" w:sz="2" w:space="0" w:color="000000"/>
              <w:right w:val="single" w:sz="2" w:space="0" w:color="000000"/>
            </w:tcBorders>
          </w:tcPr>
          <w:p w14:paraId="1D87288F" w14:textId="77777777" w:rsidR="00053D93" w:rsidRDefault="00260B75">
            <w:pPr>
              <w:ind w:left="31" w:right="29" w:firstLine="7"/>
              <w:jc w:val="both"/>
            </w:pPr>
            <w:r>
              <w:t>Adquisición de Herramientas Menores para dotar los Talleres de Aprendizaje de Mecánica de los Centros Educativos Oficiales priorizados.</w:t>
            </w:r>
          </w:p>
        </w:tc>
        <w:tc>
          <w:tcPr>
            <w:tcW w:w="1274" w:type="dxa"/>
            <w:tcBorders>
              <w:top w:val="single" w:sz="2" w:space="0" w:color="000000"/>
              <w:left w:val="single" w:sz="2" w:space="0" w:color="000000"/>
              <w:bottom w:val="single" w:sz="2" w:space="0" w:color="000000"/>
              <w:right w:val="single" w:sz="2" w:space="0" w:color="000000"/>
            </w:tcBorders>
            <w:vAlign w:val="bottom"/>
          </w:tcPr>
          <w:p w14:paraId="652BBFD4" w14:textId="77777777" w:rsidR="00053D93" w:rsidRDefault="00260B75">
            <w:pPr>
              <w:ind w:left="291"/>
            </w:pPr>
            <w:r>
              <w:t>67, 170.00</w:t>
            </w:r>
          </w:p>
        </w:tc>
      </w:tr>
      <w:tr w:rsidR="00053D93" w14:paraId="299C9213" w14:textId="77777777">
        <w:trPr>
          <w:trHeight w:val="528"/>
        </w:trPr>
        <w:tc>
          <w:tcPr>
            <w:tcW w:w="364" w:type="dxa"/>
            <w:tcBorders>
              <w:top w:val="single" w:sz="2" w:space="0" w:color="000000"/>
              <w:left w:val="single" w:sz="2" w:space="0" w:color="000000"/>
              <w:bottom w:val="single" w:sz="2" w:space="0" w:color="000000"/>
              <w:right w:val="single" w:sz="2" w:space="0" w:color="000000"/>
            </w:tcBorders>
          </w:tcPr>
          <w:p w14:paraId="56C2B9C3" w14:textId="77777777" w:rsidR="00053D93" w:rsidRDefault="00260B75">
            <w:pPr>
              <w:ind w:left="29"/>
            </w:pPr>
            <w:r>
              <w:t>50</w:t>
            </w:r>
          </w:p>
        </w:tc>
        <w:tc>
          <w:tcPr>
            <w:tcW w:w="1044" w:type="dxa"/>
            <w:gridSpan w:val="2"/>
            <w:tcBorders>
              <w:top w:val="single" w:sz="2" w:space="0" w:color="000000"/>
              <w:left w:val="single" w:sz="2" w:space="0" w:color="000000"/>
              <w:bottom w:val="single" w:sz="2" w:space="0" w:color="000000"/>
              <w:right w:val="single" w:sz="2" w:space="0" w:color="000000"/>
            </w:tcBorders>
          </w:tcPr>
          <w:p w14:paraId="075D5F5C" w14:textId="77777777" w:rsidR="00053D93" w:rsidRDefault="00260B75">
            <w:pPr>
              <w:ind w:left="75"/>
            </w:pPr>
            <w:r>
              <w:t>23995173</w:t>
            </w:r>
          </w:p>
        </w:tc>
        <w:tc>
          <w:tcPr>
            <w:tcW w:w="5731" w:type="dxa"/>
            <w:tcBorders>
              <w:top w:val="single" w:sz="2" w:space="0" w:color="000000"/>
              <w:left w:val="single" w:sz="2" w:space="0" w:color="000000"/>
              <w:bottom w:val="single" w:sz="2" w:space="0" w:color="000000"/>
              <w:right w:val="single" w:sz="2" w:space="0" w:color="000000"/>
            </w:tcBorders>
          </w:tcPr>
          <w:p w14:paraId="24200705" w14:textId="77777777" w:rsidR="00053D93" w:rsidRDefault="00260B75">
            <w:pPr>
              <w:ind w:left="31"/>
              <w:jc w:val="both"/>
            </w:pPr>
            <w:r>
              <w:t>Adquisición de Papel Kraft para desarrollar Talleres de Artes Visuales con docentes de Educación Media, Ciclo Básico.</w:t>
            </w:r>
          </w:p>
        </w:tc>
        <w:tc>
          <w:tcPr>
            <w:tcW w:w="1274" w:type="dxa"/>
            <w:tcBorders>
              <w:top w:val="single" w:sz="2" w:space="0" w:color="000000"/>
              <w:left w:val="single" w:sz="2" w:space="0" w:color="000000"/>
              <w:bottom w:val="single" w:sz="2" w:space="0" w:color="000000"/>
              <w:right w:val="single" w:sz="2" w:space="0" w:color="000000"/>
            </w:tcBorders>
            <w:vAlign w:val="bottom"/>
          </w:tcPr>
          <w:p w14:paraId="7BB9FFF0" w14:textId="77777777" w:rsidR="00053D93" w:rsidRDefault="00260B75">
            <w:pPr>
              <w:ind w:left="291"/>
            </w:pPr>
            <w:r>
              <w:rPr>
                <w:noProof/>
              </w:rPr>
              <w:drawing>
                <wp:inline distT="0" distB="0" distL="0" distR="0" wp14:anchorId="466EB3E2" wp14:editId="1FF7C2FD">
                  <wp:extent cx="534924" cy="109728"/>
                  <wp:effectExtent l="0" t="0" r="0" b="0"/>
                  <wp:docPr id="1370146" name="Picture 1370146"/>
                  <wp:cNvGraphicFramePr/>
                  <a:graphic xmlns:a="http://schemas.openxmlformats.org/drawingml/2006/main">
                    <a:graphicData uri="http://schemas.openxmlformats.org/drawingml/2006/picture">
                      <pic:pic xmlns:pic="http://schemas.openxmlformats.org/drawingml/2006/picture">
                        <pic:nvPicPr>
                          <pic:cNvPr id="1370146" name="Picture 1370146"/>
                          <pic:cNvPicPr/>
                        </pic:nvPicPr>
                        <pic:blipFill>
                          <a:blip r:embed="rId1808"/>
                          <a:stretch>
                            <a:fillRect/>
                          </a:stretch>
                        </pic:blipFill>
                        <pic:spPr>
                          <a:xfrm>
                            <a:off x="0" y="0"/>
                            <a:ext cx="534924" cy="109728"/>
                          </a:xfrm>
                          <a:prstGeom prst="rect">
                            <a:avLst/>
                          </a:prstGeom>
                        </pic:spPr>
                      </pic:pic>
                    </a:graphicData>
                  </a:graphic>
                </wp:inline>
              </w:drawing>
            </w:r>
          </w:p>
        </w:tc>
      </w:tr>
      <w:tr w:rsidR="00053D93" w14:paraId="30E9049F" w14:textId="77777777">
        <w:trPr>
          <w:trHeight w:val="785"/>
        </w:trPr>
        <w:tc>
          <w:tcPr>
            <w:tcW w:w="364" w:type="dxa"/>
            <w:tcBorders>
              <w:top w:val="single" w:sz="2" w:space="0" w:color="000000"/>
              <w:left w:val="single" w:sz="2" w:space="0" w:color="000000"/>
              <w:bottom w:val="single" w:sz="2" w:space="0" w:color="000000"/>
              <w:right w:val="single" w:sz="2" w:space="0" w:color="000000"/>
            </w:tcBorders>
          </w:tcPr>
          <w:p w14:paraId="769CAE5A" w14:textId="77777777" w:rsidR="00053D93" w:rsidRDefault="00260B75">
            <w:pPr>
              <w:ind w:left="22"/>
            </w:pPr>
            <w:r>
              <w:rPr>
                <w:sz w:val="20"/>
              </w:rPr>
              <w:t>51</w:t>
            </w:r>
          </w:p>
        </w:tc>
        <w:tc>
          <w:tcPr>
            <w:tcW w:w="1044" w:type="dxa"/>
            <w:gridSpan w:val="2"/>
            <w:tcBorders>
              <w:top w:val="single" w:sz="2" w:space="0" w:color="000000"/>
              <w:left w:val="single" w:sz="2" w:space="0" w:color="000000"/>
              <w:bottom w:val="single" w:sz="2" w:space="0" w:color="000000"/>
              <w:right w:val="single" w:sz="2" w:space="0" w:color="000000"/>
            </w:tcBorders>
          </w:tcPr>
          <w:p w14:paraId="73D9AF86" w14:textId="77777777" w:rsidR="00053D93" w:rsidRDefault="00260B75">
            <w:pPr>
              <w:ind w:left="75"/>
            </w:pPr>
            <w:r>
              <w:t>23995505</w:t>
            </w:r>
          </w:p>
        </w:tc>
        <w:tc>
          <w:tcPr>
            <w:tcW w:w="5731" w:type="dxa"/>
            <w:tcBorders>
              <w:top w:val="single" w:sz="2" w:space="0" w:color="000000"/>
              <w:left w:val="single" w:sz="2" w:space="0" w:color="000000"/>
              <w:bottom w:val="single" w:sz="2" w:space="0" w:color="000000"/>
              <w:right w:val="single" w:sz="2" w:space="0" w:color="000000"/>
            </w:tcBorders>
          </w:tcPr>
          <w:p w14:paraId="012F9933" w14:textId="77777777" w:rsidR="00053D93" w:rsidRDefault="00260B75">
            <w:pPr>
              <w:ind w:left="31" w:right="36"/>
              <w:jc w:val="both"/>
            </w:pPr>
            <w:r>
              <w:t>Adquisición de Canuela para Clarinete Número 1.5, 2 y 2.5 para uso de las Aulas Musicales que Conforman Bandas y Orquestas Sinfónicas del Programa Pentagrama.</w:t>
            </w:r>
          </w:p>
        </w:tc>
        <w:tc>
          <w:tcPr>
            <w:tcW w:w="1274" w:type="dxa"/>
            <w:tcBorders>
              <w:top w:val="single" w:sz="2" w:space="0" w:color="000000"/>
              <w:left w:val="single" w:sz="2" w:space="0" w:color="000000"/>
              <w:bottom w:val="single" w:sz="2" w:space="0" w:color="000000"/>
              <w:right w:val="single" w:sz="2" w:space="0" w:color="000000"/>
            </w:tcBorders>
            <w:vAlign w:val="bottom"/>
          </w:tcPr>
          <w:p w14:paraId="1A14F433" w14:textId="77777777" w:rsidR="00053D93" w:rsidRDefault="00260B75">
            <w:pPr>
              <w:ind w:left="291"/>
            </w:pPr>
            <w:r>
              <w:t>57.750.00</w:t>
            </w:r>
          </w:p>
        </w:tc>
      </w:tr>
      <w:tr w:rsidR="00053D93" w14:paraId="7E506441" w14:textId="77777777">
        <w:trPr>
          <w:trHeight w:val="785"/>
        </w:trPr>
        <w:tc>
          <w:tcPr>
            <w:tcW w:w="364" w:type="dxa"/>
            <w:tcBorders>
              <w:top w:val="single" w:sz="2" w:space="0" w:color="000000"/>
              <w:left w:val="single" w:sz="2" w:space="0" w:color="000000"/>
              <w:bottom w:val="single" w:sz="2" w:space="0" w:color="000000"/>
              <w:right w:val="single" w:sz="2" w:space="0" w:color="000000"/>
            </w:tcBorders>
          </w:tcPr>
          <w:p w14:paraId="766320A9" w14:textId="77777777" w:rsidR="00053D93" w:rsidRDefault="00260B75">
            <w:pPr>
              <w:ind w:left="22"/>
            </w:pPr>
            <w:r>
              <w:t>52</w:t>
            </w:r>
          </w:p>
        </w:tc>
        <w:tc>
          <w:tcPr>
            <w:tcW w:w="1044" w:type="dxa"/>
            <w:gridSpan w:val="2"/>
            <w:tcBorders>
              <w:top w:val="single" w:sz="2" w:space="0" w:color="000000"/>
              <w:left w:val="single" w:sz="2" w:space="0" w:color="000000"/>
              <w:bottom w:val="single" w:sz="2" w:space="0" w:color="000000"/>
              <w:right w:val="single" w:sz="2" w:space="0" w:color="000000"/>
            </w:tcBorders>
          </w:tcPr>
          <w:p w14:paraId="53E8F43C" w14:textId="77777777" w:rsidR="00053D93" w:rsidRDefault="00260B75">
            <w:pPr>
              <w:ind w:left="68"/>
            </w:pPr>
            <w:r>
              <w:t>23997435</w:t>
            </w:r>
          </w:p>
        </w:tc>
        <w:tc>
          <w:tcPr>
            <w:tcW w:w="5731" w:type="dxa"/>
            <w:tcBorders>
              <w:top w:val="single" w:sz="2" w:space="0" w:color="000000"/>
              <w:left w:val="single" w:sz="2" w:space="0" w:color="000000"/>
              <w:bottom w:val="single" w:sz="2" w:space="0" w:color="000000"/>
              <w:right w:val="single" w:sz="2" w:space="0" w:color="000000"/>
            </w:tcBorders>
          </w:tcPr>
          <w:p w14:paraId="2AEE7532" w14:textId="77777777" w:rsidR="00053D93" w:rsidRDefault="00260B75">
            <w:pPr>
              <w:ind w:left="24" w:right="36"/>
              <w:jc w:val="both"/>
            </w:pPr>
            <w:r>
              <w:t>Adquisición de Pintura para el desarrollo de Talleres de Artes Visuales dirigido a docentes del Nivel de Educación Media, Ciclo Básico.</w:t>
            </w:r>
          </w:p>
        </w:tc>
        <w:tc>
          <w:tcPr>
            <w:tcW w:w="1274" w:type="dxa"/>
            <w:tcBorders>
              <w:top w:val="single" w:sz="2" w:space="0" w:color="000000"/>
              <w:left w:val="single" w:sz="2" w:space="0" w:color="000000"/>
              <w:bottom w:val="single" w:sz="2" w:space="0" w:color="000000"/>
              <w:right w:val="single" w:sz="2" w:space="0" w:color="000000"/>
            </w:tcBorders>
            <w:vAlign w:val="bottom"/>
          </w:tcPr>
          <w:p w14:paraId="1912B903" w14:textId="77777777" w:rsidR="00053D93" w:rsidRDefault="00260B75">
            <w:pPr>
              <w:ind w:left="399"/>
            </w:pPr>
            <w:r>
              <w:rPr>
                <w:sz w:val="24"/>
              </w:rPr>
              <w:t>9782.88</w:t>
            </w:r>
          </w:p>
        </w:tc>
      </w:tr>
      <w:tr w:rsidR="00053D93" w14:paraId="21C5718F" w14:textId="77777777">
        <w:trPr>
          <w:trHeight w:val="530"/>
        </w:trPr>
        <w:tc>
          <w:tcPr>
            <w:tcW w:w="364" w:type="dxa"/>
            <w:tcBorders>
              <w:top w:val="single" w:sz="2" w:space="0" w:color="000000"/>
              <w:left w:val="single" w:sz="2" w:space="0" w:color="000000"/>
              <w:bottom w:val="single" w:sz="2" w:space="0" w:color="000000"/>
              <w:right w:val="single" w:sz="2" w:space="0" w:color="000000"/>
            </w:tcBorders>
          </w:tcPr>
          <w:p w14:paraId="6D230C58" w14:textId="77777777" w:rsidR="00053D93" w:rsidRDefault="00260B75">
            <w:pPr>
              <w:ind w:left="14"/>
            </w:pPr>
            <w:r>
              <w:t>53</w:t>
            </w:r>
          </w:p>
        </w:tc>
        <w:tc>
          <w:tcPr>
            <w:tcW w:w="1044" w:type="dxa"/>
            <w:gridSpan w:val="2"/>
            <w:tcBorders>
              <w:top w:val="single" w:sz="2" w:space="0" w:color="000000"/>
              <w:left w:val="single" w:sz="2" w:space="0" w:color="000000"/>
              <w:bottom w:val="single" w:sz="2" w:space="0" w:color="000000"/>
              <w:right w:val="single" w:sz="2" w:space="0" w:color="000000"/>
            </w:tcBorders>
          </w:tcPr>
          <w:p w14:paraId="749D7A2F" w14:textId="77777777" w:rsidR="00053D93" w:rsidRDefault="00260B75">
            <w:pPr>
              <w:ind w:left="60"/>
            </w:pPr>
            <w:r>
              <w:t>24056995</w:t>
            </w:r>
          </w:p>
        </w:tc>
        <w:tc>
          <w:tcPr>
            <w:tcW w:w="5731" w:type="dxa"/>
            <w:tcBorders>
              <w:top w:val="single" w:sz="2" w:space="0" w:color="000000"/>
              <w:left w:val="single" w:sz="2" w:space="0" w:color="000000"/>
              <w:bottom w:val="single" w:sz="2" w:space="0" w:color="000000"/>
              <w:right w:val="single" w:sz="2" w:space="0" w:color="000000"/>
            </w:tcBorders>
          </w:tcPr>
          <w:p w14:paraId="586564C5" w14:textId="77777777" w:rsidR="00053D93" w:rsidRDefault="00260B75">
            <w:pPr>
              <w:ind w:left="31" w:hanging="7"/>
              <w:jc w:val="both"/>
            </w:pPr>
            <w:r>
              <w:t>Adquisición de Estación de Trabajo "Computadora de alto rendimiento", para el Área de Diseño Gráfico de la DIGECADE</w:t>
            </w:r>
          </w:p>
        </w:tc>
        <w:tc>
          <w:tcPr>
            <w:tcW w:w="1274" w:type="dxa"/>
            <w:tcBorders>
              <w:top w:val="single" w:sz="2" w:space="0" w:color="000000"/>
              <w:left w:val="single" w:sz="2" w:space="0" w:color="000000"/>
              <w:bottom w:val="single" w:sz="2" w:space="0" w:color="000000"/>
              <w:right w:val="single" w:sz="2" w:space="0" w:color="000000"/>
            </w:tcBorders>
            <w:vAlign w:val="bottom"/>
          </w:tcPr>
          <w:p w14:paraId="44D7B19B" w14:textId="77777777" w:rsidR="00053D93" w:rsidRDefault="00260B75">
            <w:pPr>
              <w:ind w:left="291"/>
            </w:pPr>
            <w:r>
              <w:rPr>
                <w:sz w:val="16"/>
              </w:rPr>
              <w:t>57,083.oo</w:t>
            </w:r>
          </w:p>
        </w:tc>
      </w:tr>
      <w:tr w:rsidR="00053D93" w14:paraId="31BE09B2" w14:textId="77777777">
        <w:trPr>
          <w:trHeight w:val="792"/>
        </w:trPr>
        <w:tc>
          <w:tcPr>
            <w:tcW w:w="364" w:type="dxa"/>
            <w:tcBorders>
              <w:top w:val="single" w:sz="2" w:space="0" w:color="000000"/>
              <w:left w:val="single" w:sz="2" w:space="0" w:color="000000"/>
              <w:bottom w:val="single" w:sz="2" w:space="0" w:color="000000"/>
              <w:right w:val="single" w:sz="2" w:space="0" w:color="000000"/>
            </w:tcBorders>
          </w:tcPr>
          <w:p w14:paraId="2EA24428" w14:textId="77777777" w:rsidR="00053D93" w:rsidRDefault="00260B75">
            <w:pPr>
              <w:ind w:left="14"/>
            </w:pPr>
            <w:r>
              <w:t>54</w:t>
            </w:r>
          </w:p>
        </w:tc>
        <w:tc>
          <w:tcPr>
            <w:tcW w:w="1044" w:type="dxa"/>
            <w:gridSpan w:val="2"/>
            <w:tcBorders>
              <w:top w:val="single" w:sz="2" w:space="0" w:color="000000"/>
              <w:left w:val="single" w:sz="2" w:space="0" w:color="000000"/>
              <w:bottom w:val="single" w:sz="2" w:space="0" w:color="000000"/>
              <w:right w:val="single" w:sz="2" w:space="0" w:color="000000"/>
            </w:tcBorders>
          </w:tcPr>
          <w:p w14:paraId="221D77C4" w14:textId="77777777" w:rsidR="00053D93" w:rsidRDefault="00260B75">
            <w:pPr>
              <w:ind w:left="60"/>
            </w:pPr>
            <w:r>
              <w:t>24057274</w:t>
            </w:r>
          </w:p>
        </w:tc>
        <w:tc>
          <w:tcPr>
            <w:tcW w:w="5731" w:type="dxa"/>
            <w:tcBorders>
              <w:top w:val="single" w:sz="2" w:space="0" w:color="000000"/>
              <w:left w:val="single" w:sz="2" w:space="0" w:color="000000"/>
              <w:bottom w:val="single" w:sz="2" w:space="0" w:color="000000"/>
              <w:right w:val="single" w:sz="2" w:space="0" w:color="000000"/>
            </w:tcBorders>
          </w:tcPr>
          <w:p w14:paraId="5F886DBF" w14:textId="77777777" w:rsidR="00053D93" w:rsidRDefault="00260B75">
            <w:pPr>
              <w:ind w:left="24" w:right="43" w:hanging="7"/>
              <w:jc w:val="both"/>
            </w:pPr>
            <w:r>
              <w:t>Atención del Taller de Capacitación en técnicas de ejecución instrumental a directores y docentes de las orquestas y bandas sinfónicas del Programa Pentagrama</w:t>
            </w:r>
          </w:p>
        </w:tc>
        <w:tc>
          <w:tcPr>
            <w:tcW w:w="1274" w:type="dxa"/>
            <w:tcBorders>
              <w:top w:val="single" w:sz="2" w:space="0" w:color="000000"/>
              <w:left w:val="single" w:sz="2" w:space="0" w:color="000000"/>
              <w:bottom w:val="single" w:sz="2" w:space="0" w:color="000000"/>
              <w:right w:val="single" w:sz="2" w:space="0" w:color="000000"/>
            </w:tcBorders>
            <w:vAlign w:val="bottom"/>
          </w:tcPr>
          <w:p w14:paraId="0FE72689" w14:textId="77777777" w:rsidR="00053D93" w:rsidRDefault="00260B75">
            <w:pPr>
              <w:ind w:left="291"/>
            </w:pPr>
            <w:r>
              <w:t>51 ,764.68</w:t>
            </w:r>
          </w:p>
        </w:tc>
      </w:tr>
      <w:tr w:rsidR="00053D93" w14:paraId="734C59D7" w14:textId="77777777">
        <w:trPr>
          <w:trHeight w:val="785"/>
        </w:trPr>
        <w:tc>
          <w:tcPr>
            <w:tcW w:w="364" w:type="dxa"/>
            <w:tcBorders>
              <w:top w:val="single" w:sz="2" w:space="0" w:color="000000"/>
              <w:left w:val="single" w:sz="2" w:space="0" w:color="000000"/>
              <w:bottom w:val="single" w:sz="2" w:space="0" w:color="000000"/>
              <w:right w:val="single" w:sz="2" w:space="0" w:color="000000"/>
            </w:tcBorders>
          </w:tcPr>
          <w:p w14:paraId="6286C6C8" w14:textId="77777777" w:rsidR="00053D93" w:rsidRDefault="00260B75">
            <w:pPr>
              <w:ind w:left="14"/>
            </w:pPr>
            <w:r>
              <w:t>55</w:t>
            </w:r>
          </w:p>
        </w:tc>
        <w:tc>
          <w:tcPr>
            <w:tcW w:w="1044" w:type="dxa"/>
            <w:gridSpan w:val="2"/>
            <w:tcBorders>
              <w:top w:val="single" w:sz="2" w:space="0" w:color="000000"/>
              <w:left w:val="single" w:sz="2" w:space="0" w:color="000000"/>
              <w:bottom w:val="single" w:sz="2" w:space="0" w:color="000000"/>
              <w:right w:val="single" w:sz="2" w:space="0" w:color="000000"/>
            </w:tcBorders>
          </w:tcPr>
          <w:p w14:paraId="6784CDAE" w14:textId="77777777" w:rsidR="00053D93" w:rsidRDefault="00260B75">
            <w:pPr>
              <w:ind w:left="60"/>
            </w:pPr>
            <w:r>
              <w:t>24057533</w:t>
            </w:r>
          </w:p>
        </w:tc>
        <w:tc>
          <w:tcPr>
            <w:tcW w:w="5731" w:type="dxa"/>
            <w:tcBorders>
              <w:top w:val="single" w:sz="2" w:space="0" w:color="000000"/>
              <w:left w:val="single" w:sz="2" w:space="0" w:color="000000"/>
              <w:bottom w:val="single" w:sz="2" w:space="0" w:color="000000"/>
              <w:right w:val="single" w:sz="2" w:space="0" w:color="000000"/>
            </w:tcBorders>
          </w:tcPr>
          <w:p w14:paraId="6CD3830B" w14:textId="77777777" w:rsidR="00053D93" w:rsidRDefault="00260B75">
            <w:pPr>
              <w:ind w:left="17" w:right="43"/>
              <w:jc w:val="both"/>
            </w:pPr>
            <w:r>
              <w:t>Adquisición de Insumos para el desarrollo de Talleres de Artes Visuales dirigido a docentes del Nivel de Educación Media, Ciclo Básico.</w:t>
            </w:r>
          </w:p>
        </w:tc>
        <w:tc>
          <w:tcPr>
            <w:tcW w:w="1274" w:type="dxa"/>
            <w:tcBorders>
              <w:top w:val="single" w:sz="2" w:space="0" w:color="000000"/>
              <w:left w:val="single" w:sz="2" w:space="0" w:color="000000"/>
              <w:bottom w:val="single" w:sz="2" w:space="0" w:color="000000"/>
              <w:right w:val="single" w:sz="2" w:space="0" w:color="000000"/>
            </w:tcBorders>
            <w:vAlign w:val="bottom"/>
          </w:tcPr>
          <w:p w14:paraId="09574059" w14:textId="77777777" w:rsidR="00053D93" w:rsidRDefault="00260B75">
            <w:pPr>
              <w:ind w:left="284"/>
            </w:pPr>
            <w:r>
              <w:t>59,708.50</w:t>
            </w:r>
          </w:p>
        </w:tc>
      </w:tr>
      <w:tr w:rsidR="00053D93" w14:paraId="6063FB6F" w14:textId="77777777">
        <w:trPr>
          <w:trHeight w:val="526"/>
        </w:trPr>
        <w:tc>
          <w:tcPr>
            <w:tcW w:w="364" w:type="dxa"/>
            <w:tcBorders>
              <w:top w:val="single" w:sz="2" w:space="0" w:color="000000"/>
              <w:left w:val="single" w:sz="2" w:space="0" w:color="000000"/>
              <w:bottom w:val="single" w:sz="2" w:space="0" w:color="000000"/>
              <w:right w:val="single" w:sz="2" w:space="0" w:color="000000"/>
            </w:tcBorders>
          </w:tcPr>
          <w:p w14:paraId="531F8032" w14:textId="77777777" w:rsidR="00053D93" w:rsidRDefault="00260B75">
            <w:pPr>
              <w:ind w:left="7"/>
            </w:pPr>
            <w:r>
              <w:t>56</w:t>
            </w:r>
          </w:p>
        </w:tc>
        <w:tc>
          <w:tcPr>
            <w:tcW w:w="1044" w:type="dxa"/>
            <w:gridSpan w:val="2"/>
            <w:tcBorders>
              <w:top w:val="single" w:sz="2" w:space="0" w:color="000000"/>
              <w:left w:val="single" w:sz="2" w:space="0" w:color="000000"/>
              <w:bottom w:val="single" w:sz="2" w:space="0" w:color="000000"/>
              <w:right w:val="single" w:sz="2" w:space="0" w:color="000000"/>
            </w:tcBorders>
          </w:tcPr>
          <w:p w14:paraId="7A85D800" w14:textId="77777777" w:rsidR="00053D93" w:rsidRDefault="00260B75">
            <w:pPr>
              <w:ind w:left="53"/>
            </w:pPr>
            <w:r>
              <w:t>24148512</w:t>
            </w:r>
          </w:p>
        </w:tc>
        <w:tc>
          <w:tcPr>
            <w:tcW w:w="5731" w:type="dxa"/>
            <w:tcBorders>
              <w:top w:val="single" w:sz="2" w:space="0" w:color="000000"/>
              <w:left w:val="single" w:sz="2" w:space="0" w:color="000000"/>
              <w:bottom w:val="single" w:sz="2" w:space="0" w:color="000000"/>
              <w:right w:val="single" w:sz="2" w:space="0" w:color="000000"/>
            </w:tcBorders>
          </w:tcPr>
          <w:p w14:paraId="7BBC7008" w14:textId="77777777" w:rsidR="00053D93" w:rsidRDefault="00260B75">
            <w:pPr>
              <w:ind w:left="17" w:firstLine="7"/>
              <w:jc w:val="both"/>
            </w:pPr>
            <w:r>
              <w:t>Servicio de impresión de afiches para promocionar y divulgar el programa de Educación inicial Acompáñame a Crecer</w:t>
            </w:r>
          </w:p>
        </w:tc>
        <w:tc>
          <w:tcPr>
            <w:tcW w:w="1274" w:type="dxa"/>
            <w:tcBorders>
              <w:top w:val="single" w:sz="2" w:space="0" w:color="000000"/>
              <w:left w:val="single" w:sz="2" w:space="0" w:color="000000"/>
              <w:bottom w:val="single" w:sz="2" w:space="0" w:color="000000"/>
              <w:right w:val="single" w:sz="2" w:space="0" w:color="000000"/>
            </w:tcBorders>
            <w:vAlign w:val="bottom"/>
          </w:tcPr>
          <w:p w14:paraId="0722E2D0" w14:textId="77777777" w:rsidR="00053D93" w:rsidRDefault="00260B75">
            <w:pPr>
              <w:ind w:left="284"/>
            </w:pPr>
            <w:r>
              <w:t>26,075.64</w:t>
            </w:r>
          </w:p>
        </w:tc>
      </w:tr>
      <w:tr w:rsidR="00053D93" w14:paraId="4EA7A229" w14:textId="77777777">
        <w:trPr>
          <w:trHeight w:val="533"/>
        </w:trPr>
        <w:tc>
          <w:tcPr>
            <w:tcW w:w="364" w:type="dxa"/>
            <w:tcBorders>
              <w:top w:val="single" w:sz="2" w:space="0" w:color="000000"/>
              <w:left w:val="single" w:sz="2" w:space="0" w:color="000000"/>
              <w:bottom w:val="single" w:sz="2" w:space="0" w:color="000000"/>
              <w:right w:val="single" w:sz="2" w:space="0" w:color="000000"/>
            </w:tcBorders>
          </w:tcPr>
          <w:p w14:paraId="76B1C22A" w14:textId="77777777" w:rsidR="00053D93" w:rsidRDefault="00260B75">
            <w:pPr>
              <w:ind w:left="7"/>
            </w:pPr>
            <w:r>
              <w:rPr>
                <w:sz w:val="20"/>
              </w:rPr>
              <w:t>57</w:t>
            </w:r>
          </w:p>
        </w:tc>
        <w:tc>
          <w:tcPr>
            <w:tcW w:w="1044" w:type="dxa"/>
            <w:gridSpan w:val="2"/>
            <w:tcBorders>
              <w:top w:val="single" w:sz="2" w:space="0" w:color="000000"/>
              <w:left w:val="single" w:sz="2" w:space="0" w:color="000000"/>
              <w:bottom w:val="single" w:sz="2" w:space="0" w:color="000000"/>
              <w:right w:val="single" w:sz="2" w:space="0" w:color="000000"/>
            </w:tcBorders>
          </w:tcPr>
          <w:p w14:paraId="1C72B43B" w14:textId="77777777" w:rsidR="00053D93" w:rsidRDefault="00260B75">
            <w:pPr>
              <w:ind w:left="46"/>
            </w:pPr>
            <w:r>
              <w:t>24149292</w:t>
            </w:r>
          </w:p>
        </w:tc>
        <w:tc>
          <w:tcPr>
            <w:tcW w:w="5731" w:type="dxa"/>
            <w:tcBorders>
              <w:top w:val="single" w:sz="2" w:space="0" w:color="000000"/>
              <w:left w:val="single" w:sz="2" w:space="0" w:color="000000"/>
              <w:bottom w:val="single" w:sz="2" w:space="0" w:color="000000"/>
              <w:right w:val="single" w:sz="2" w:space="0" w:color="000000"/>
            </w:tcBorders>
          </w:tcPr>
          <w:p w14:paraId="7778EF5B" w14:textId="77777777" w:rsidR="00053D93" w:rsidRDefault="00260B75">
            <w:pPr>
              <w:ind w:left="24" w:hanging="7"/>
            </w:pPr>
            <w:r>
              <w:t>Servicio de Impresión de Hojas de respuestas No. 1 _Ciclo 2 Nivel Primario</w:t>
            </w:r>
          </w:p>
        </w:tc>
        <w:tc>
          <w:tcPr>
            <w:tcW w:w="1274" w:type="dxa"/>
            <w:tcBorders>
              <w:top w:val="single" w:sz="2" w:space="0" w:color="000000"/>
              <w:left w:val="single" w:sz="2" w:space="0" w:color="000000"/>
              <w:bottom w:val="single" w:sz="2" w:space="0" w:color="000000"/>
              <w:right w:val="single" w:sz="2" w:space="0" w:color="000000"/>
            </w:tcBorders>
            <w:vAlign w:val="bottom"/>
          </w:tcPr>
          <w:p w14:paraId="7583718A" w14:textId="77777777" w:rsidR="00053D93" w:rsidRDefault="00260B75">
            <w:pPr>
              <w:ind w:left="284"/>
            </w:pPr>
            <w:r>
              <w:t>62,838.58</w:t>
            </w:r>
          </w:p>
        </w:tc>
      </w:tr>
      <w:tr w:rsidR="00053D93" w14:paraId="0714926E" w14:textId="77777777">
        <w:trPr>
          <w:trHeight w:val="533"/>
        </w:trPr>
        <w:tc>
          <w:tcPr>
            <w:tcW w:w="364" w:type="dxa"/>
            <w:tcBorders>
              <w:top w:val="single" w:sz="2" w:space="0" w:color="000000"/>
              <w:left w:val="single" w:sz="2" w:space="0" w:color="000000"/>
              <w:bottom w:val="single" w:sz="2" w:space="0" w:color="000000"/>
              <w:right w:val="single" w:sz="2" w:space="0" w:color="000000"/>
            </w:tcBorders>
          </w:tcPr>
          <w:p w14:paraId="1004CF72" w14:textId="77777777" w:rsidR="00053D93" w:rsidRDefault="00260B75">
            <w:r>
              <w:t>58</w:t>
            </w:r>
          </w:p>
        </w:tc>
        <w:tc>
          <w:tcPr>
            <w:tcW w:w="1044" w:type="dxa"/>
            <w:gridSpan w:val="2"/>
            <w:tcBorders>
              <w:top w:val="single" w:sz="2" w:space="0" w:color="000000"/>
              <w:left w:val="single" w:sz="2" w:space="0" w:color="000000"/>
              <w:bottom w:val="single" w:sz="2" w:space="0" w:color="000000"/>
              <w:right w:val="single" w:sz="2" w:space="0" w:color="000000"/>
            </w:tcBorders>
          </w:tcPr>
          <w:p w14:paraId="23970602" w14:textId="77777777" w:rsidR="00053D93" w:rsidRDefault="00260B75">
            <w:pPr>
              <w:ind w:left="46"/>
            </w:pPr>
            <w:r>
              <w:t>24166480</w:t>
            </w:r>
          </w:p>
        </w:tc>
        <w:tc>
          <w:tcPr>
            <w:tcW w:w="5731" w:type="dxa"/>
            <w:tcBorders>
              <w:top w:val="single" w:sz="2" w:space="0" w:color="000000"/>
              <w:left w:val="single" w:sz="2" w:space="0" w:color="000000"/>
              <w:bottom w:val="single" w:sz="2" w:space="0" w:color="000000"/>
              <w:right w:val="single" w:sz="2" w:space="0" w:color="000000"/>
            </w:tcBorders>
          </w:tcPr>
          <w:p w14:paraId="73CE3A0A" w14:textId="77777777" w:rsidR="00053D93" w:rsidRDefault="00260B75">
            <w:pPr>
              <w:ind w:left="17" w:hanging="7"/>
            </w:pPr>
            <w:r>
              <w:t>Adquisición de Mochilas para los participantes en los encuentros pedagógicos.</w:t>
            </w:r>
          </w:p>
        </w:tc>
        <w:tc>
          <w:tcPr>
            <w:tcW w:w="1274" w:type="dxa"/>
            <w:tcBorders>
              <w:top w:val="single" w:sz="2" w:space="0" w:color="000000"/>
              <w:left w:val="single" w:sz="2" w:space="0" w:color="000000"/>
              <w:bottom w:val="single" w:sz="2" w:space="0" w:color="000000"/>
              <w:right w:val="single" w:sz="2" w:space="0" w:color="000000"/>
            </w:tcBorders>
            <w:vAlign w:val="bottom"/>
          </w:tcPr>
          <w:p w14:paraId="49957E21" w14:textId="77777777" w:rsidR="00053D93" w:rsidRDefault="00260B75">
            <w:pPr>
              <w:ind w:left="284"/>
            </w:pPr>
            <w:r>
              <w:t>82.500.00</w:t>
            </w:r>
          </w:p>
        </w:tc>
      </w:tr>
      <w:tr w:rsidR="00053D93" w14:paraId="3BC8BD86" w14:textId="77777777">
        <w:trPr>
          <w:trHeight w:val="590"/>
        </w:trPr>
        <w:tc>
          <w:tcPr>
            <w:tcW w:w="364" w:type="dxa"/>
            <w:tcBorders>
              <w:top w:val="single" w:sz="2" w:space="0" w:color="000000"/>
              <w:left w:val="single" w:sz="2" w:space="0" w:color="000000"/>
              <w:bottom w:val="single" w:sz="2" w:space="0" w:color="000000"/>
              <w:right w:val="single" w:sz="2" w:space="0" w:color="000000"/>
            </w:tcBorders>
          </w:tcPr>
          <w:p w14:paraId="3B4242A7" w14:textId="77777777" w:rsidR="00053D93" w:rsidRDefault="00260B75">
            <w:r>
              <w:t>59</w:t>
            </w:r>
          </w:p>
        </w:tc>
        <w:tc>
          <w:tcPr>
            <w:tcW w:w="1044" w:type="dxa"/>
            <w:gridSpan w:val="2"/>
            <w:tcBorders>
              <w:top w:val="single" w:sz="2" w:space="0" w:color="000000"/>
              <w:left w:val="single" w:sz="2" w:space="0" w:color="000000"/>
              <w:bottom w:val="single" w:sz="2" w:space="0" w:color="000000"/>
              <w:right w:val="single" w:sz="2" w:space="0" w:color="000000"/>
            </w:tcBorders>
          </w:tcPr>
          <w:p w14:paraId="7803DF73" w14:textId="77777777" w:rsidR="00053D93" w:rsidRDefault="00260B75">
            <w:pPr>
              <w:ind w:left="46"/>
            </w:pPr>
            <w:r>
              <w:t>24204641</w:t>
            </w:r>
          </w:p>
        </w:tc>
        <w:tc>
          <w:tcPr>
            <w:tcW w:w="5731" w:type="dxa"/>
            <w:tcBorders>
              <w:top w:val="single" w:sz="2" w:space="0" w:color="000000"/>
              <w:left w:val="single" w:sz="2" w:space="0" w:color="000000"/>
              <w:bottom w:val="single" w:sz="2" w:space="0" w:color="000000"/>
              <w:right w:val="single" w:sz="2" w:space="0" w:color="000000"/>
            </w:tcBorders>
          </w:tcPr>
          <w:p w14:paraId="47A0365D" w14:textId="77777777" w:rsidR="00053D93" w:rsidRDefault="00260B75">
            <w:pPr>
              <w:ind w:left="10" w:firstLine="7"/>
              <w:jc w:val="both"/>
            </w:pPr>
            <w:r>
              <w:t>Servicio de Impresión de fichas de caracterización familiar para el Programa Acompáñame a Crecer.</w:t>
            </w:r>
          </w:p>
        </w:tc>
        <w:tc>
          <w:tcPr>
            <w:tcW w:w="1274" w:type="dxa"/>
            <w:tcBorders>
              <w:top w:val="single" w:sz="2" w:space="0" w:color="000000"/>
              <w:left w:val="single" w:sz="2" w:space="0" w:color="000000"/>
              <w:bottom w:val="single" w:sz="2" w:space="0" w:color="000000"/>
              <w:right w:val="single" w:sz="2" w:space="0" w:color="000000"/>
            </w:tcBorders>
            <w:vAlign w:val="bottom"/>
          </w:tcPr>
          <w:p w14:paraId="685263BA" w14:textId="77777777" w:rsidR="00053D93" w:rsidRDefault="00260B75">
            <w:pPr>
              <w:ind w:left="284"/>
            </w:pPr>
            <w:r>
              <w:t>34,000.oo</w:t>
            </w:r>
          </w:p>
        </w:tc>
      </w:tr>
      <w:tr w:rsidR="00053D93" w14:paraId="75C4576B" w14:textId="77777777">
        <w:trPr>
          <w:trHeight w:val="652"/>
        </w:trPr>
        <w:tc>
          <w:tcPr>
            <w:tcW w:w="364" w:type="dxa"/>
            <w:tcBorders>
              <w:top w:val="single" w:sz="2" w:space="0" w:color="000000"/>
              <w:left w:val="single" w:sz="2" w:space="0" w:color="000000"/>
              <w:bottom w:val="nil"/>
              <w:right w:val="single" w:sz="2" w:space="0" w:color="000000"/>
            </w:tcBorders>
          </w:tcPr>
          <w:p w14:paraId="1F1B8730" w14:textId="77777777" w:rsidR="00053D93" w:rsidRDefault="00260B75">
            <w:pPr>
              <w:ind w:left="115"/>
            </w:pPr>
            <w:r>
              <w:rPr>
                <w:noProof/>
              </w:rPr>
              <w:drawing>
                <wp:inline distT="0" distB="0" distL="0" distR="0" wp14:anchorId="7F002E3C" wp14:editId="44FABB31">
                  <wp:extent cx="9144" cy="123444"/>
                  <wp:effectExtent l="0" t="0" r="0" b="0"/>
                  <wp:docPr id="2459037" name="Picture 2459037"/>
                  <wp:cNvGraphicFramePr/>
                  <a:graphic xmlns:a="http://schemas.openxmlformats.org/drawingml/2006/main">
                    <a:graphicData uri="http://schemas.openxmlformats.org/drawingml/2006/picture">
                      <pic:pic xmlns:pic="http://schemas.openxmlformats.org/drawingml/2006/picture">
                        <pic:nvPicPr>
                          <pic:cNvPr id="2459037" name="Picture 2459037"/>
                          <pic:cNvPicPr/>
                        </pic:nvPicPr>
                        <pic:blipFill>
                          <a:blip r:embed="rId1809"/>
                          <a:stretch>
                            <a:fillRect/>
                          </a:stretch>
                        </pic:blipFill>
                        <pic:spPr>
                          <a:xfrm>
                            <a:off x="0" y="0"/>
                            <a:ext cx="9144" cy="123444"/>
                          </a:xfrm>
                          <a:prstGeom prst="rect">
                            <a:avLst/>
                          </a:prstGeom>
                        </pic:spPr>
                      </pic:pic>
                    </a:graphicData>
                  </a:graphic>
                </wp:inline>
              </w:drawing>
            </w:r>
          </w:p>
        </w:tc>
        <w:tc>
          <w:tcPr>
            <w:tcW w:w="292" w:type="dxa"/>
            <w:tcBorders>
              <w:top w:val="single" w:sz="2" w:space="0" w:color="000000"/>
              <w:left w:val="single" w:sz="2" w:space="0" w:color="000000"/>
              <w:bottom w:val="nil"/>
              <w:right w:val="nil"/>
            </w:tcBorders>
          </w:tcPr>
          <w:p w14:paraId="7E1DF72E" w14:textId="77777777" w:rsidR="00053D93" w:rsidRDefault="00053D93"/>
        </w:tc>
        <w:tc>
          <w:tcPr>
            <w:tcW w:w="7758" w:type="dxa"/>
            <w:gridSpan w:val="3"/>
            <w:tcBorders>
              <w:top w:val="single" w:sz="2" w:space="0" w:color="000000"/>
              <w:left w:val="single" w:sz="2" w:space="0" w:color="000000"/>
              <w:bottom w:val="nil"/>
              <w:right w:val="nil"/>
            </w:tcBorders>
            <w:vAlign w:val="center"/>
          </w:tcPr>
          <w:p w14:paraId="5EA08922" w14:textId="77777777" w:rsidR="00053D93" w:rsidRDefault="00260B75">
            <w:pPr>
              <w:ind w:right="771"/>
              <w:jc w:val="center"/>
            </w:pPr>
            <w:r>
              <w:rPr>
                <w:sz w:val="14"/>
              </w:rPr>
              <w:t>MINISTERIO DE EDUCACION</w:t>
            </w:r>
          </w:p>
          <w:p w14:paraId="4FB9CD12" w14:textId="77777777" w:rsidR="00053D93" w:rsidRDefault="00260B75">
            <w:pPr>
              <w:ind w:left="2152"/>
            </w:pPr>
            <w:r>
              <w:rPr>
                <w:sz w:val="14"/>
              </w:rPr>
              <w:t>AUDITORIA FINANCIERA Y DE CUMPLIMIENTO</w:t>
            </w:r>
          </w:p>
          <w:p w14:paraId="25FCFEB6" w14:textId="77777777" w:rsidR="00053D93" w:rsidRDefault="00260B75">
            <w:pPr>
              <w:ind w:left="1813"/>
            </w:pPr>
            <w:r>
              <w:rPr>
                <w:sz w:val="14"/>
              </w:rPr>
              <w:t>PERIODO DEL 01 DE ENERO AL 31 DE DICIEMBRE OE 2024</w:t>
            </w:r>
          </w:p>
        </w:tc>
      </w:tr>
    </w:tbl>
    <w:p w14:paraId="085A92C5" w14:textId="77777777" w:rsidR="00053D93" w:rsidRDefault="00260B75">
      <w:pPr>
        <w:spacing w:after="0"/>
        <w:ind w:left="-1440" w:right="399"/>
      </w:pPr>
      <w:r>
        <w:rPr>
          <w:noProof/>
        </w:rPr>
        <w:drawing>
          <wp:anchor distT="0" distB="0" distL="114300" distR="114300" simplePos="0" relativeHeight="252368896" behindDoc="0" locked="0" layoutInCell="1" allowOverlap="0" wp14:anchorId="61EC2954" wp14:editId="3BFA7640">
            <wp:simplePos x="0" y="0"/>
            <wp:positionH relativeFrom="page">
              <wp:posOffset>658368</wp:posOffset>
            </wp:positionH>
            <wp:positionV relativeFrom="page">
              <wp:posOffset>9240011</wp:posOffset>
            </wp:positionV>
            <wp:extent cx="635508" cy="402337"/>
            <wp:effectExtent l="0" t="0" r="0" b="0"/>
            <wp:wrapTopAndBottom/>
            <wp:docPr id="1370287" name="Picture 1370287"/>
            <wp:cNvGraphicFramePr/>
            <a:graphic xmlns:a="http://schemas.openxmlformats.org/drawingml/2006/main">
              <a:graphicData uri="http://schemas.openxmlformats.org/drawingml/2006/picture">
                <pic:pic xmlns:pic="http://schemas.openxmlformats.org/drawingml/2006/picture">
                  <pic:nvPicPr>
                    <pic:cNvPr id="1370287" name="Picture 1370287"/>
                    <pic:cNvPicPr/>
                  </pic:nvPicPr>
                  <pic:blipFill>
                    <a:blip r:embed="rId1810"/>
                    <a:stretch>
                      <a:fillRect/>
                    </a:stretch>
                  </pic:blipFill>
                  <pic:spPr>
                    <a:xfrm>
                      <a:off x="0" y="0"/>
                      <a:ext cx="635508" cy="402337"/>
                    </a:xfrm>
                    <a:prstGeom prst="rect">
                      <a:avLst/>
                    </a:prstGeom>
                  </pic:spPr>
                </pic:pic>
              </a:graphicData>
            </a:graphic>
          </wp:anchor>
        </w:drawing>
      </w:r>
    </w:p>
    <w:p w14:paraId="15BD3C74" w14:textId="77777777" w:rsidR="00053D93" w:rsidRDefault="00053D93">
      <w:pPr>
        <w:sectPr w:rsidR="00053D93">
          <w:headerReference w:type="even" r:id="rId1811"/>
          <w:headerReference w:type="default" r:id="rId1812"/>
          <w:footerReference w:type="even" r:id="rId1813"/>
          <w:footerReference w:type="default" r:id="rId1814"/>
          <w:headerReference w:type="first" r:id="rId1815"/>
          <w:footerReference w:type="first" r:id="rId1816"/>
          <w:pgSz w:w="12290" w:h="15883"/>
          <w:pgMar w:top="1310" w:right="1440" w:bottom="706" w:left="1440" w:header="691" w:footer="720" w:gutter="0"/>
          <w:cols w:space="720"/>
          <w:titlePg/>
        </w:sectPr>
      </w:pPr>
    </w:p>
    <w:tbl>
      <w:tblPr>
        <w:tblStyle w:val="TableGrid"/>
        <w:tblpPr w:vertAnchor="text" w:tblpX="1699"/>
        <w:tblOverlap w:val="never"/>
        <w:tblW w:w="8407" w:type="dxa"/>
        <w:tblInd w:w="0" w:type="dxa"/>
        <w:tblCellMar>
          <w:top w:w="24" w:type="dxa"/>
          <w:left w:w="43" w:type="dxa"/>
          <w:bottom w:w="1" w:type="dxa"/>
        </w:tblCellMar>
        <w:tblLook w:val="04A0" w:firstRow="1" w:lastRow="0" w:firstColumn="1" w:lastColumn="0" w:noHBand="0" w:noVBand="1"/>
      </w:tblPr>
      <w:tblGrid>
        <w:gridCol w:w="364"/>
        <w:gridCol w:w="283"/>
        <w:gridCol w:w="749"/>
        <w:gridCol w:w="5736"/>
        <w:gridCol w:w="1275"/>
      </w:tblGrid>
      <w:tr w:rsidR="00053D93" w14:paraId="74221A6B" w14:textId="77777777">
        <w:trPr>
          <w:trHeight w:val="1051"/>
        </w:trPr>
        <w:tc>
          <w:tcPr>
            <w:tcW w:w="364" w:type="dxa"/>
            <w:tcBorders>
              <w:top w:val="single" w:sz="2" w:space="0" w:color="000000"/>
              <w:left w:val="single" w:sz="2" w:space="0" w:color="000000"/>
              <w:bottom w:val="single" w:sz="2" w:space="0" w:color="000000"/>
              <w:right w:val="single" w:sz="2" w:space="0" w:color="000000"/>
            </w:tcBorders>
          </w:tcPr>
          <w:p w14:paraId="17C4DA0D" w14:textId="77777777" w:rsidR="00053D93" w:rsidRDefault="00260B75">
            <w:pPr>
              <w:ind w:left="50"/>
            </w:pPr>
            <w:r>
              <w:t>60</w:t>
            </w:r>
          </w:p>
        </w:tc>
        <w:tc>
          <w:tcPr>
            <w:tcW w:w="1032" w:type="dxa"/>
            <w:gridSpan w:val="2"/>
            <w:tcBorders>
              <w:top w:val="single" w:sz="2" w:space="0" w:color="000000"/>
              <w:left w:val="single" w:sz="2" w:space="0" w:color="000000"/>
              <w:bottom w:val="single" w:sz="2" w:space="0" w:color="000000"/>
              <w:right w:val="single" w:sz="2" w:space="0" w:color="000000"/>
            </w:tcBorders>
          </w:tcPr>
          <w:p w14:paraId="75EDE921" w14:textId="77777777" w:rsidR="00053D93" w:rsidRDefault="00260B75">
            <w:pPr>
              <w:ind w:left="96"/>
            </w:pPr>
            <w:r>
              <w:t xml:space="preserve">24350583 </w:t>
            </w:r>
          </w:p>
        </w:tc>
        <w:tc>
          <w:tcPr>
            <w:tcW w:w="5736" w:type="dxa"/>
            <w:tcBorders>
              <w:top w:val="single" w:sz="2" w:space="0" w:color="000000"/>
              <w:left w:val="single" w:sz="2" w:space="0" w:color="000000"/>
              <w:bottom w:val="single" w:sz="2" w:space="0" w:color="000000"/>
              <w:right w:val="single" w:sz="2" w:space="0" w:color="000000"/>
            </w:tcBorders>
          </w:tcPr>
          <w:p w14:paraId="431590F9" w14:textId="77777777" w:rsidR="00053D93" w:rsidRDefault="00260B75">
            <w:pPr>
              <w:ind w:left="72" w:right="69"/>
              <w:jc w:val="both"/>
            </w:pPr>
            <w:r>
              <w:t>Servicio de hospedaje para la atención a docentes que participan en los encuentros pedagógicos del Programa de Profesionalización Docente a realizarse del 14 al 15 de octubre de 2024 en Antigua Guatemala, Sacatepéquez.</w:t>
            </w:r>
          </w:p>
        </w:tc>
        <w:tc>
          <w:tcPr>
            <w:tcW w:w="1274" w:type="dxa"/>
            <w:tcBorders>
              <w:top w:val="single" w:sz="2" w:space="0" w:color="000000"/>
              <w:left w:val="single" w:sz="2" w:space="0" w:color="000000"/>
              <w:bottom w:val="single" w:sz="2" w:space="0" w:color="000000"/>
              <w:right w:val="single" w:sz="2" w:space="0" w:color="000000"/>
            </w:tcBorders>
            <w:vAlign w:val="bottom"/>
          </w:tcPr>
          <w:p w14:paraId="2D676F35" w14:textId="77777777" w:rsidR="00053D93" w:rsidRDefault="00260B75">
            <w:pPr>
              <w:ind w:right="62"/>
              <w:jc w:val="right"/>
            </w:pPr>
            <w:r>
              <w:t>84,084.oo</w:t>
            </w:r>
          </w:p>
        </w:tc>
      </w:tr>
      <w:tr w:rsidR="00053D93" w14:paraId="2314F303" w14:textId="77777777">
        <w:trPr>
          <w:trHeight w:val="1041"/>
        </w:trPr>
        <w:tc>
          <w:tcPr>
            <w:tcW w:w="364" w:type="dxa"/>
            <w:tcBorders>
              <w:top w:val="single" w:sz="2" w:space="0" w:color="000000"/>
              <w:left w:val="single" w:sz="2" w:space="0" w:color="000000"/>
              <w:bottom w:val="single" w:sz="2" w:space="0" w:color="000000"/>
              <w:right w:val="single" w:sz="2" w:space="0" w:color="000000"/>
            </w:tcBorders>
          </w:tcPr>
          <w:p w14:paraId="5B5C76BA" w14:textId="77777777" w:rsidR="00053D93" w:rsidRDefault="00260B75">
            <w:pPr>
              <w:ind w:left="50"/>
            </w:pPr>
            <w:r>
              <w:rPr>
                <w:sz w:val="20"/>
              </w:rPr>
              <w:t>61</w:t>
            </w:r>
          </w:p>
        </w:tc>
        <w:tc>
          <w:tcPr>
            <w:tcW w:w="1032" w:type="dxa"/>
            <w:gridSpan w:val="2"/>
            <w:tcBorders>
              <w:top w:val="single" w:sz="2" w:space="0" w:color="000000"/>
              <w:left w:val="single" w:sz="2" w:space="0" w:color="000000"/>
              <w:bottom w:val="single" w:sz="2" w:space="0" w:color="000000"/>
              <w:right w:val="single" w:sz="2" w:space="0" w:color="000000"/>
            </w:tcBorders>
          </w:tcPr>
          <w:p w14:paraId="0543A127" w14:textId="77777777" w:rsidR="00053D93" w:rsidRDefault="00260B75">
            <w:pPr>
              <w:ind w:left="96"/>
            </w:pPr>
            <w:r>
              <w:t xml:space="preserve">24351075 </w:t>
            </w:r>
          </w:p>
        </w:tc>
        <w:tc>
          <w:tcPr>
            <w:tcW w:w="5736" w:type="dxa"/>
            <w:tcBorders>
              <w:top w:val="single" w:sz="2" w:space="0" w:color="000000"/>
              <w:left w:val="single" w:sz="2" w:space="0" w:color="000000"/>
              <w:bottom w:val="single" w:sz="2" w:space="0" w:color="000000"/>
              <w:right w:val="single" w:sz="2" w:space="0" w:color="000000"/>
            </w:tcBorders>
          </w:tcPr>
          <w:p w14:paraId="0E8A1802" w14:textId="77777777" w:rsidR="00053D93" w:rsidRDefault="00260B75">
            <w:pPr>
              <w:ind w:left="65" w:right="76" w:firstLine="7"/>
              <w:jc w:val="both"/>
            </w:pPr>
            <w:r>
              <w:t>Servicio de alimentación para docentes que asisten al evento de encuentros pedagógicos del Programa de Profesiona[ización docentes a realizarse del 14 al 15 de octubre de 2024 en Antigua Guatemala, Sacatepéquez.</w:t>
            </w:r>
          </w:p>
        </w:tc>
        <w:tc>
          <w:tcPr>
            <w:tcW w:w="1274" w:type="dxa"/>
            <w:tcBorders>
              <w:top w:val="single" w:sz="2" w:space="0" w:color="000000"/>
              <w:left w:val="single" w:sz="2" w:space="0" w:color="000000"/>
              <w:bottom w:val="single" w:sz="2" w:space="0" w:color="000000"/>
              <w:right w:val="single" w:sz="2" w:space="0" w:color="000000"/>
            </w:tcBorders>
            <w:vAlign w:val="bottom"/>
          </w:tcPr>
          <w:p w14:paraId="62C7B91A" w14:textId="77777777" w:rsidR="00053D93" w:rsidRDefault="00260B75">
            <w:pPr>
              <w:ind w:right="69"/>
              <w:jc w:val="right"/>
            </w:pPr>
            <w:r>
              <w:t>87.500.00</w:t>
            </w:r>
          </w:p>
        </w:tc>
      </w:tr>
      <w:tr w:rsidR="00053D93" w14:paraId="7EFB4753" w14:textId="77777777">
        <w:trPr>
          <w:trHeight w:val="1047"/>
        </w:trPr>
        <w:tc>
          <w:tcPr>
            <w:tcW w:w="364" w:type="dxa"/>
            <w:tcBorders>
              <w:top w:val="single" w:sz="2" w:space="0" w:color="000000"/>
              <w:left w:val="single" w:sz="2" w:space="0" w:color="000000"/>
              <w:bottom w:val="single" w:sz="2" w:space="0" w:color="000000"/>
              <w:right w:val="single" w:sz="2" w:space="0" w:color="000000"/>
            </w:tcBorders>
          </w:tcPr>
          <w:p w14:paraId="75BB8863" w14:textId="77777777" w:rsidR="00053D93" w:rsidRDefault="00260B75">
            <w:pPr>
              <w:ind w:left="50"/>
            </w:pPr>
            <w:r>
              <w:t>62</w:t>
            </w:r>
          </w:p>
        </w:tc>
        <w:tc>
          <w:tcPr>
            <w:tcW w:w="1032" w:type="dxa"/>
            <w:gridSpan w:val="2"/>
            <w:tcBorders>
              <w:top w:val="single" w:sz="2" w:space="0" w:color="000000"/>
              <w:left w:val="single" w:sz="2" w:space="0" w:color="000000"/>
              <w:bottom w:val="single" w:sz="2" w:space="0" w:color="000000"/>
              <w:right w:val="single" w:sz="2" w:space="0" w:color="000000"/>
            </w:tcBorders>
          </w:tcPr>
          <w:p w14:paraId="366C370D" w14:textId="77777777" w:rsidR="00053D93" w:rsidRDefault="00260B75">
            <w:pPr>
              <w:ind w:left="96"/>
            </w:pPr>
            <w:r>
              <w:t xml:space="preserve">24377503 </w:t>
            </w:r>
          </w:p>
        </w:tc>
        <w:tc>
          <w:tcPr>
            <w:tcW w:w="5736" w:type="dxa"/>
            <w:tcBorders>
              <w:top w:val="single" w:sz="2" w:space="0" w:color="000000"/>
              <w:left w:val="single" w:sz="2" w:space="0" w:color="000000"/>
              <w:bottom w:val="single" w:sz="2" w:space="0" w:color="000000"/>
              <w:right w:val="single" w:sz="2" w:space="0" w:color="000000"/>
            </w:tcBorders>
          </w:tcPr>
          <w:p w14:paraId="7088B594" w14:textId="77777777" w:rsidR="00053D93" w:rsidRDefault="00260B75">
            <w:pPr>
              <w:ind w:left="65" w:right="76" w:firstLine="7"/>
              <w:jc w:val="both"/>
            </w:pPr>
            <w:r>
              <w:t>Servicio de Hospedaje para la atención de los Talleres para comisiones de evaluación a nivel nacional y Diagnóstico de Implementación Curricular para la calidad educativa a realizarse del 14 al 17 de octubre de 2024.</w:t>
            </w:r>
          </w:p>
        </w:tc>
        <w:tc>
          <w:tcPr>
            <w:tcW w:w="1274" w:type="dxa"/>
            <w:tcBorders>
              <w:top w:val="single" w:sz="2" w:space="0" w:color="000000"/>
              <w:left w:val="single" w:sz="2" w:space="0" w:color="000000"/>
              <w:bottom w:val="single" w:sz="2" w:space="0" w:color="000000"/>
              <w:right w:val="single" w:sz="2" w:space="0" w:color="000000"/>
            </w:tcBorders>
            <w:vAlign w:val="bottom"/>
          </w:tcPr>
          <w:p w14:paraId="47AAD006" w14:textId="77777777" w:rsidR="00053D93" w:rsidRDefault="00260B75">
            <w:pPr>
              <w:ind w:right="69"/>
              <w:jc w:val="right"/>
            </w:pPr>
            <w:r>
              <w:t>59,143.77</w:t>
            </w:r>
          </w:p>
        </w:tc>
      </w:tr>
      <w:tr w:rsidR="00053D93" w14:paraId="5B7104E4" w14:textId="77777777">
        <w:trPr>
          <w:trHeight w:val="1048"/>
        </w:trPr>
        <w:tc>
          <w:tcPr>
            <w:tcW w:w="364" w:type="dxa"/>
            <w:tcBorders>
              <w:top w:val="single" w:sz="2" w:space="0" w:color="000000"/>
              <w:left w:val="single" w:sz="2" w:space="0" w:color="000000"/>
              <w:bottom w:val="single" w:sz="2" w:space="0" w:color="000000"/>
              <w:right w:val="single" w:sz="2" w:space="0" w:color="000000"/>
            </w:tcBorders>
          </w:tcPr>
          <w:p w14:paraId="08EC307E" w14:textId="77777777" w:rsidR="00053D93" w:rsidRDefault="00260B75">
            <w:pPr>
              <w:ind w:left="43"/>
            </w:pPr>
            <w:r>
              <w:t>63</w:t>
            </w:r>
          </w:p>
        </w:tc>
        <w:tc>
          <w:tcPr>
            <w:tcW w:w="1032" w:type="dxa"/>
            <w:gridSpan w:val="2"/>
            <w:tcBorders>
              <w:top w:val="single" w:sz="2" w:space="0" w:color="000000"/>
              <w:left w:val="single" w:sz="2" w:space="0" w:color="000000"/>
              <w:bottom w:val="single" w:sz="2" w:space="0" w:color="000000"/>
              <w:right w:val="single" w:sz="2" w:space="0" w:color="000000"/>
            </w:tcBorders>
          </w:tcPr>
          <w:p w14:paraId="680D16A1" w14:textId="77777777" w:rsidR="00053D93" w:rsidRDefault="00260B75">
            <w:pPr>
              <w:ind w:left="96"/>
            </w:pPr>
            <w:r>
              <w:t xml:space="preserve">24473243 </w:t>
            </w:r>
          </w:p>
        </w:tc>
        <w:tc>
          <w:tcPr>
            <w:tcW w:w="5736" w:type="dxa"/>
            <w:tcBorders>
              <w:top w:val="single" w:sz="2" w:space="0" w:color="000000"/>
              <w:left w:val="single" w:sz="2" w:space="0" w:color="000000"/>
              <w:bottom w:val="single" w:sz="2" w:space="0" w:color="000000"/>
              <w:right w:val="single" w:sz="2" w:space="0" w:color="000000"/>
            </w:tcBorders>
          </w:tcPr>
          <w:p w14:paraId="592A1BEB" w14:textId="77777777" w:rsidR="00053D93" w:rsidRDefault="00260B75">
            <w:pPr>
              <w:ind w:left="65" w:right="76"/>
              <w:jc w:val="both"/>
            </w:pPr>
            <w:r>
              <w:t>Servicio de Atención a Coordinadores Departamentales del Nivel de Educación Preprimaria para Taller de Formación a realizarse los días 24 y 25 de octubre de 2024 en el departamento de Sacatepéquez.</w:t>
            </w:r>
          </w:p>
        </w:tc>
        <w:tc>
          <w:tcPr>
            <w:tcW w:w="1274" w:type="dxa"/>
            <w:tcBorders>
              <w:top w:val="single" w:sz="2" w:space="0" w:color="000000"/>
              <w:left w:val="single" w:sz="2" w:space="0" w:color="000000"/>
              <w:bottom w:val="single" w:sz="2" w:space="0" w:color="000000"/>
              <w:right w:val="single" w:sz="2" w:space="0" w:color="000000"/>
            </w:tcBorders>
            <w:vAlign w:val="bottom"/>
          </w:tcPr>
          <w:p w14:paraId="3F7DE2C2" w14:textId="77777777" w:rsidR="00053D93" w:rsidRDefault="00260B75">
            <w:pPr>
              <w:ind w:left="320"/>
            </w:pPr>
            <w:r>
              <w:t>36,162.oo</w:t>
            </w:r>
          </w:p>
        </w:tc>
      </w:tr>
      <w:tr w:rsidR="00053D93" w14:paraId="021952C6" w14:textId="77777777">
        <w:trPr>
          <w:trHeight w:val="780"/>
        </w:trPr>
        <w:tc>
          <w:tcPr>
            <w:tcW w:w="364" w:type="dxa"/>
            <w:tcBorders>
              <w:top w:val="single" w:sz="2" w:space="0" w:color="000000"/>
              <w:left w:val="single" w:sz="2" w:space="0" w:color="000000"/>
              <w:bottom w:val="single" w:sz="2" w:space="0" w:color="000000"/>
              <w:right w:val="single" w:sz="2" w:space="0" w:color="000000"/>
            </w:tcBorders>
          </w:tcPr>
          <w:p w14:paraId="19D5858F" w14:textId="77777777" w:rsidR="00053D93" w:rsidRDefault="00260B75">
            <w:pPr>
              <w:ind w:left="43"/>
              <w:jc w:val="both"/>
            </w:pPr>
            <w:r>
              <w:t>64</w:t>
            </w:r>
          </w:p>
        </w:tc>
        <w:tc>
          <w:tcPr>
            <w:tcW w:w="1032" w:type="dxa"/>
            <w:gridSpan w:val="2"/>
            <w:tcBorders>
              <w:top w:val="single" w:sz="2" w:space="0" w:color="000000"/>
              <w:left w:val="single" w:sz="2" w:space="0" w:color="000000"/>
              <w:bottom w:val="single" w:sz="2" w:space="0" w:color="000000"/>
              <w:right w:val="single" w:sz="2" w:space="0" w:color="000000"/>
            </w:tcBorders>
          </w:tcPr>
          <w:p w14:paraId="2F71738D" w14:textId="77777777" w:rsidR="00053D93" w:rsidRDefault="00260B75">
            <w:pPr>
              <w:ind w:left="89"/>
            </w:pPr>
            <w:r>
              <w:rPr>
                <w:sz w:val="20"/>
              </w:rPr>
              <w:t xml:space="preserve">24504351 </w:t>
            </w:r>
          </w:p>
        </w:tc>
        <w:tc>
          <w:tcPr>
            <w:tcW w:w="5736" w:type="dxa"/>
            <w:tcBorders>
              <w:top w:val="single" w:sz="2" w:space="0" w:color="000000"/>
              <w:left w:val="single" w:sz="2" w:space="0" w:color="000000"/>
              <w:bottom w:val="single" w:sz="2" w:space="0" w:color="000000"/>
              <w:right w:val="single" w:sz="2" w:space="0" w:color="000000"/>
            </w:tcBorders>
          </w:tcPr>
          <w:p w14:paraId="2E6AAF55" w14:textId="77777777" w:rsidR="00053D93" w:rsidRDefault="00260B75">
            <w:pPr>
              <w:ind w:left="58" w:right="84" w:firstLine="7"/>
              <w:jc w:val="both"/>
            </w:pPr>
            <w:r>
              <w:t>Servicio de Impresión de Guías para la Atención de los niños de 2 a 3 años, del Programa de Educación Inicial "Acompáñame a Crecer".</w:t>
            </w:r>
          </w:p>
        </w:tc>
        <w:tc>
          <w:tcPr>
            <w:tcW w:w="1274" w:type="dxa"/>
            <w:tcBorders>
              <w:top w:val="single" w:sz="2" w:space="0" w:color="000000"/>
              <w:left w:val="single" w:sz="2" w:space="0" w:color="000000"/>
              <w:bottom w:val="single" w:sz="2" w:space="0" w:color="000000"/>
              <w:right w:val="single" w:sz="2" w:space="0" w:color="000000"/>
            </w:tcBorders>
            <w:vAlign w:val="bottom"/>
          </w:tcPr>
          <w:p w14:paraId="4DD511D1" w14:textId="77777777" w:rsidR="00053D93" w:rsidRDefault="00260B75">
            <w:pPr>
              <w:ind w:left="312"/>
            </w:pPr>
            <w:r>
              <w:t>77,105.52</w:t>
            </w:r>
          </w:p>
        </w:tc>
      </w:tr>
      <w:tr w:rsidR="00053D93" w14:paraId="23B72687" w14:textId="77777777">
        <w:trPr>
          <w:trHeight w:val="789"/>
        </w:trPr>
        <w:tc>
          <w:tcPr>
            <w:tcW w:w="364" w:type="dxa"/>
            <w:tcBorders>
              <w:top w:val="single" w:sz="2" w:space="0" w:color="000000"/>
              <w:left w:val="single" w:sz="2" w:space="0" w:color="000000"/>
              <w:bottom w:val="single" w:sz="2" w:space="0" w:color="000000"/>
              <w:right w:val="single" w:sz="2" w:space="0" w:color="000000"/>
            </w:tcBorders>
          </w:tcPr>
          <w:p w14:paraId="20893339" w14:textId="77777777" w:rsidR="00053D93" w:rsidRDefault="00260B75">
            <w:pPr>
              <w:ind w:left="36"/>
            </w:pPr>
            <w:r>
              <w:t>65</w:t>
            </w:r>
          </w:p>
        </w:tc>
        <w:tc>
          <w:tcPr>
            <w:tcW w:w="1032" w:type="dxa"/>
            <w:gridSpan w:val="2"/>
            <w:tcBorders>
              <w:top w:val="single" w:sz="2" w:space="0" w:color="000000"/>
              <w:left w:val="single" w:sz="2" w:space="0" w:color="000000"/>
              <w:bottom w:val="single" w:sz="2" w:space="0" w:color="000000"/>
              <w:right w:val="single" w:sz="2" w:space="0" w:color="000000"/>
            </w:tcBorders>
          </w:tcPr>
          <w:p w14:paraId="4A7EDB83" w14:textId="77777777" w:rsidR="00053D93" w:rsidRDefault="00260B75">
            <w:pPr>
              <w:ind w:left="82"/>
            </w:pPr>
            <w:r>
              <w:t xml:space="preserve">24504807 </w:t>
            </w:r>
          </w:p>
        </w:tc>
        <w:tc>
          <w:tcPr>
            <w:tcW w:w="5736" w:type="dxa"/>
            <w:tcBorders>
              <w:top w:val="single" w:sz="2" w:space="0" w:color="000000"/>
              <w:left w:val="single" w:sz="2" w:space="0" w:color="000000"/>
              <w:bottom w:val="single" w:sz="2" w:space="0" w:color="000000"/>
              <w:right w:val="single" w:sz="2" w:space="0" w:color="000000"/>
            </w:tcBorders>
          </w:tcPr>
          <w:p w14:paraId="7FB81E35" w14:textId="77777777" w:rsidR="00053D93" w:rsidRDefault="00260B75">
            <w:pPr>
              <w:ind w:left="58" w:right="84"/>
              <w:jc w:val="both"/>
            </w:pPr>
            <w:r>
              <w:t>Servicio de Impresión de Guías para la Atención de los niños de 3 a 4 años, del Programa de Educación Inicial "Acompáñame a Crecer".</w:t>
            </w:r>
          </w:p>
        </w:tc>
        <w:tc>
          <w:tcPr>
            <w:tcW w:w="1274" w:type="dxa"/>
            <w:tcBorders>
              <w:top w:val="single" w:sz="2" w:space="0" w:color="000000"/>
              <w:left w:val="single" w:sz="2" w:space="0" w:color="000000"/>
              <w:bottom w:val="single" w:sz="2" w:space="0" w:color="000000"/>
              <w:right w:val="single" w:sz="2" w:space="0" w:color="000000"/>
            </w:tcBorders>
            <w:vAlign w:val="bottom"/>
          </w:tcPr>
          <w:p w14:paraId="556BCD7D" w14:textId="77777777" w:rsidR="00053D93" w:rsidRDefault="00260B75">
            <w:pPr>
              <w:ind w:left="305"/>
            </w:pPr>
            <w:r>
              <w:t>77,105.52</w:t>
            </w:r>
          </w:p>
        </w:tc>
      </w:tr>
      <w:tr w:rsidR="00053D93" w14:paraId="11CD7E6A" w14:textId="77777777">
        <w:trPr>
          <w:trHeight w:val="780"/>
        </w:trPr>
        <w:tc>
          <w:tcPr>
            <w:tcW w:w="364" w:type="dxa"/>
            <w:tcBorders>
              <w:top w:val="single" w:sz="2" w:space="0" w:color="000000"/>
              <w:left w:val="single" w:sz="2" w:space="0" w:color="000000"/>
              <w:bottom w:val="single" w:sz="2" w:space="0" w:color="000000"/>
              <w:right w:val="single" w:sz="2" w:space="0" w:color="000000"/>
            </w:tcBorders>
          </w:tcPr>
          <w:p w14:paraId="444DD505" w14:textId="77777777" w:rsidR="00053D93" w:rsidRDefault="00260B75">
            <w:pPr>
              <w:ind w:left="36"/>
            </w:pPr>
            <w:r>
              <w:t>66</w:t>
            </w:r>
          </w:p>
        </w:tc>
        <w:tc>
          <w:tcPr>
            <w:tcW w:w="1032" w:type="dxa"/>
            <w:gridSpan w:val="2"/>
            <w:tcBorders>
              <w:top w:val="single" w:sz="2" w:space="0" w:color="000000"/>
              <w:left w:val="single" w:sz="2" w:space="0" w:color="000000"/>
              <w:bottom w:val="single" w:sz="2" w:space="0" w:color="000000"/>
              <w:right w:val="single" w:sz="2" w:space="0" w:color="000000"/>
            </w:tcBorders>
          </w:tcPr>
          <w:p w14:paraId="78F201B2" w14:textId="77777777" w:rsidR="00053D93" w:rsidRDefault="00260B75">
            <w:pPr>
              <w:ind w:left="82"/>
            </w:pPr>
            <w:r>
              <w:t xml:space="preserve">24505234 </w:t>
            </w:r>
          </w:p>
        </w:tc>
        <w:tc>
          <w:tcPr>
            <w:tcW w:w="5736" w:type="dxa"/>
            <w:tcBorders>
              <w:top w:val="single" w:sz="2" w:space="0" w:color="000000"/>
              <w:left w:val="single" w:sz="2" w:space="0" w:color="000000"/>
              <w:bottom w:val="single" w:sz="2" w:space="0" w:color="000000"/>
              <w:right w:val="single" w:sz="2" w:space="0" w:color="000000"/>
            </w:tcBorders>
          </w:tcPr>
          <w:p w14:paraId="7738048B" w14:textId="77777777" w:rsidR="00053D93" w:rsidRDefault="00260B75">
            <w:pPr>
              <w:spacing w:line="216" w:lineRule="auto"/>
              <w:ind w:left="65" w:right="33" w:hanging="7"/>
              <w:jc w:val="both"/>
            </w:pPr>
            <w:r>
              <w:t>Servicio de Impresión de Guías para la Atención de los niños de 1 a 2 años, del Programa de Educación Inicial "Acompáñame a</w:t>
            </w:r>
          </w:p>
          <w:p w14:paraId="3B134481" w14:textId="77777777" w:rsidR="00053D93" w:rsidRDefault="00260B75">
            <w:pPr>
              <w:ind w:left="58"/>
            </w:pPr>
            <w:r>
              <w:rPr>
                <w:sz w:val="14"/>
              </w:rPr>
              <w:t>Crecer".</w:t>
            </w:r>
          </w:p>
        </w:tc>
        <w:tc>
          <w:tcPr>
            <w:tcW w:w="1274" w:type="dxa"/>
            <w:tcBorders>
              <w:top w:val="single" w:sz="2" w:space="0" w:color="000000"/>
              <w:left w:val="single" w:sz="2" w:space="0" w:color="000000"/>
              <w:bottom w:val="single" w:sz="2" w:space="0" w:color="000000"/>
              <w:right w:val="single" w:sz="2" w:space="0" w:color="000000"/>
            </w:tcBorders>
            <w:vAlign w:val="bottom"/>
          </w:tcPr>
          <w:p w14:paraId="6D37D404" w14:textId="77777777" w:rsidR="00053D93" w:rsidRDefault="00260B75">
            <w:pPr>
              <w:ind w:left="305"/>
            </w:pPr>
            <w:r>
              <w:t>77,105.52</w:t>
            </w:r>
          </w:p>
        </w:tc>
      </w:tr>
      <w:tr w:rsidR="00053D93" w14:paraId="475CFC4A" w14:textId="77777777">
        <w:trPr>
          <w:trHeight w:val="782"/>
        </w:trPr>
        <w:tc>
          <w:tcPr>
            <w:tcW w:w="364" w:type="dxa"/>
            <w:tcBorders>
              <w:top w:val="single" w:sz="2" w:space="0" w:color="000000"/>
              <w:left w:val="single" w:sz="2" w:space="0" w:color="000000"/>
              <w:bottom w:val="single" w:sz="2" w:space="0" w:color="000000"/>
              <w:right w:val="single" w:sz="2" w:space="0" w:color="000000"/>
            </w:tcBorders>
          </w:tcPr>
          <w:p w14:paraId="13775DC9" w14:textId="77777777" w:rsidR="00053D93" w:rsidRDefault="00260B75">
            <w:pPr>
              <w:ind w:left="29"/>
            </w:pPr>
            <w:r>
              <w:t>67</w:t>
            </w:r>
          </w:p>
        </w:tc>
        <w:tc>
          <w:tcPr>
            <w:tcW w:w="1032" w:type="dxa"/>
            <w:gridSpan w:val="2"/>
            <w:tcBorders>
              <w:top w:val="single" w:sz="2" w:space="0" w:color="000000"/>
              <w:left w:val="single" w:sz="2" w:space="0" w:color="000000"/>
              <w:bottom w:val="single" w:sz="2" w:space="0" w:color="000000"/>
              <w:right w:val="single" w:sz="2" w:space="0" w:color="000000"/>
            </w:tcBorders>
          </w:tcPr>
          <w:p w14:paraId="6555A11D" w14:textId="77777777" w:rsidR="00053D93" w:rsidRDefault="00260B75">
            <w:pPr>
              <w:ind w:left="75"/>
            </w:pPr>
            <w:r>
              <w:t xml:space="preserve">24505536 </w:t>
            </w:r>
          </w:p>
        </w:tc>
        <w:tc>
          <w:tcPr>
            <w:tcW w:w="5736" w:type="dxa"/>
            <w:tcBorders>
              <w:top w:val="single" w:sz="2" w:space="0" w:color="000000"/>
              <w:left w:val="single" w:sz="2" w:space="0" w:color="000000"/>
              <w:bottom w:val="single" w:sz="2" w:space="0" w:color="000000"/>
              <w:right w:val="single" w:sz="2" w:space="0" w:color="000000"/>
            </w:tcBorders>
          </w:tcPr>
          <w:p w14:paraId="2112BF1D" w14:textId="77777777" w:rsidR="00053D93" w:rsidRDefault="00260B75">
            <w:pPr>
              <w:ind w:left="50" w:right="91"/>
              <w:jc w:val="both"/>
            </w:pPr>
            <w:r>
              <w:t>Servicio de Impresión de Guías para la Atención de los niños de O a 1 año, del Programa de Educación Inicial "Acompáñame a Crecer".</w:t>
            </w:r>
          </w:p>
        </w:tc>
        <w:tc>
          <w:tcPr>
            <w:tcW w:w="1274" w:type="dxa"/>
            <w:tcBorders>
              <w:top w:val="single" w:sz="2" w:space="0" w:color="000000"/>
              <w:left w:val="single" w:sz="2" w:space="0" w:color="000000"/>
              <w:bottom w:val="single" w:sz="2" w:space="0" w:color="000000"/>
              <w:right w:val="single" w:sz="2" w:space="0" w:color="000000"/>
            </w:tcBorders>
            <w:vAlign w:val="bottom"/>
          </w:tcPr>
          <w:p w14:paraId="673A6C63" w14:textId="77777777" w:rsidR="00053D93" w:rsidRDefault="00260B75">
            <w:pPr>
              <w:ind w:left="298"/>
            </w:pPr>
            <w:r>
              <w:t>77,105.52</w:t>
            </w:r>
          </w:p>
        </w:tc>
      </w:tr>
      <w:tr w:rsidR="00053D93" w14:paraId="77730A21" w14:textId="77777777">
        <w:trPr>
          <w:trHeight w:val="533"/>
        </w:trPr>
        <w:tc>
          <w:tcPr>
            <w:tcW w:w="364" w:type="dxa"/>
            <w:tcBorders>
              <w:top w:val="single" w:sz="2" w:space="0" w:color="000000"/>
              <w:left w:val="single" w:sz="2" w:space="0" w:color="000000"/>
              <w:bottom w:val="single" w:sz="2" w:space="0" w:color="000000"/>
              <w:right w:val="single" w:sz="2" w:space="0" w:color="000000"/>
            </w:tcBorders>
          </w:tcPr>
          <w:p w14:paraId="5547730E" w14:textId="77777777" w:rsidR="00053D93" w:rsidRDefault="00260B75">
            <w:pPr>
              <w:ind w:left="29"/>
            </w:pPr>
            <w:r>
              <w:t>68</w:t>
            </w:r>
          </w:p>
        </w:tc>
        <w:tc>
          <w:tcPr>
            <w:tcW w:w="1032" w:type="dxa"/>
            <w:gridSpan w:val="2"/>
            <w:tcBorders>
              <w:top w:val="single" w:sz="2" w:space="0" w:color="000000"/>
              <w:left w:val="single" w:sz="2" w:space="0" w:color="000000"/>
              <w:bottom w:val="single" w:sz="2" w:space="0" w:color="000000"/>
              <w:right w:val="single" w:sz="2" w:space="0" w:color="000000"/>
            </w:tcBorders>
          </w:tcPr>
          <w:p w14:paraId="3115C790" w14:textId="77777777" w:rsidR="00053D93" w:rsidRDefault="00260B75">
            <w:pPr>
              <w:ind w:left="75"/>
            </w:pPr>
            <w:r>
              <w:t xml:space="preserve">24532983 </w:t>
            </w:r>
          </w:p>
        </w:tc>
        <w:tc>
          <w:tcPr>
            <w:tcW w:w="5736" w:type="dxa"/>
            <w:tcBorders>
              <w:top w:val="single" w:sz="2" w:space="0" w:color="000000"/>
              <w:left w:val="single" w:sz="2" w:space="0" w:color="000000"/>
              <w:bottom w:val="single" w:sz="2" w:space="0" w:color="000000"/>
              <w:right w:val="single" w:sz="2" w:space="0" w:color="000000"/>
            </w:tcBorders>
          </w:tcPr>
          <w:p w14:paraId="2B95B33C" w14:textId="77777777" w:rsidR="00053D93" w:rsidRDefault="00260B75">
            <w:pPr>
              <w:ind w:left="50"/>
              <w:jc w:val="both"/>
            </w:pPr>
            <w:r>
              <w:t>Servicio de Impresión de Recetarios de Menús Nivel Inicial del Departamento de Sololá.</w:t>
            </w:r>
          </w:p>
        </w:tc>
        <w:tc>
          <w:tcPr>
            <w:tcW w:w="1274" w:type="dxa"/>
            <w:tcBorders>
              <w:top w:val="single" w:sz="2" w:space="0" w:color="000000"/>
              <w:left w:val="single" w:sz="2" w:space="0" w:color="000000"/>
              <w:bottom w:val="single" w:sz="2" w:space="0" w:color="000000"/>
              <w:right w:val="single" w:sz="2" w:space="0" w:color="000000"/>
            </w:tcBorders>
            <w:vAlign w:val="bottom"/>
          </w:tcPr>
          <w:p w14:paraId="2909C90F" w14:textId="77777777" w:rsidR="00053D93" w:rsidRDefault="00260B75">
            <w:pPr>
              <w:ind w:left="305"/>
            </w:pPr>
            <w:r>
              <w:t>31.369.00</w:t>
            </w:r>
          </w:p>
        </w:tc>
      </w:tr>
      <w:tr w:rsidR="00053D93" w14:paraId="4D5159E2" w14:textId="77777777">
        <w:trPr>
          <w:trHeight w:val="780"/>
        </w:trPr>
        <w:tc>
          <w:tcPr>
            <w:tcW w:w="364" w:type="dxa"/>
            <w:tcBorders>
              <w:top w:val="single" w:sz="2" w:space="0" w:color="000000"/>
              <w:left w:val="single" w:sz="2" w:space="0" w:color="000000"/>
              <w:bottom w:val="single" w:sz="2" w:space="0" w:color="000000"/>
              <w:right w:val="single" w:sz="2" w:space="0" w:color="000000"/>
            </w:tcBorders>
          </w:tcPr>
          <w:p w14:paraId="13589159" w14:textId="77777777" w:rsidR="00053D93" w:rsidRDefault="00260B75">
            <w:pPr>
              <w:ind w:left="22"/>
            </w:pPr>
            <w:r>
              <w:t>69</w:t>
            </w:r>
          </w:p>
        </w:tc>
        <w:tc>
          <w:tcPr>
            <w:tcW w:w="1032" w:type="dxa"/>
            <w:gridSpan w:val="2"/>
            <w:tcBorders>
              <w:top w:val="single" w:sz="2" w:space="0" w:color="000000"/>
              <w:left w:val="single" w:sz="2" w:space="0" w:color="000000"/>
              <w:bottom w:val="single" w:sz="2" w:space="0" w:color="000000"/>
              <w:right w:val="single" w:sz="2" w:space="0" w:color="000000"/>
            </w:tcBorders>
          </w:tcPr>
          <w:p w14:paraId="47CCB276" w14:textId="77777777" w:rsidR="00053D93" w:rsidRDefault="00260B75">
            <w:pPr>
              <w:ind w:left="68"/>
            </w:pPr>
            <w:r>
              <w:t xml:space="preserve">24574260 </w:t>
            </w:r>
          </w:p>
        </w:tc>
        <w:tc>
          <w:tcPr>
            <w:tcW w:w="5736" w:type="dxa"/>
            <w:tcBorders>
              <w:top w:val="single" w:sz="2" w:space="0" w:color="000000"/>
              <w:left w:val="single" w:sz="2" w:space="0" w:color="000000"/>
              <w:bottom w:val="single" w:sz="2" w:space="0" w:color="000000"/>
              <w:right w:val="single" w:sz="2" w:space="0" w:color="000000"/>
            </w:tcBorders>
          </w:tcPr>
          <w:p w14:paraId="12E73C60" w14:textId="77777777" w:rsidR="00053D93" w:rsidRDefault="00260B75">
            <w:pPr>
              <w:ind w:left="43" w:right="91"/>
              <w:jc w:val="both"/>
            </w:pPr>
            <w:r>
              <w:t>Servicio de Impresión de cuadernos de ejercicios de comunicación y Lenguaje para estudiantes de 5</w:t>
            </w:r>
            <w:r>
              <w:rPr>
                <w:vertAlign w:val="superscript"/>
              </w:rPr>
              <w:t xml:space="preserve">0 </w:t>
            </w:r>
            <w:r>
              <w:t>Perito de los centros educativos oficiales.</w:t>
            </w:r>
          </w:p>
        </w:tc>
        <w:tc>
          <w:tcPr>
            <w:tcW w:w="1274" w:type="dxa"/>
            <w:tcBorders>
              <w:top w:val="single" w:sz="2" w:space="0" w:color="000000"/>
              <w:left w:val="single" w:sz="2" w:space="0" w:color="000000"/>
              <w:bottom w:val="single" w:sz="2" w:space="0" w:color="000000"/>
              <w:right w:val="single" w:sz="2" w:space="0" w:color="000000"/>
            </w:tcBorders>
            <w:vAlign w:val="bottom"/>
          </w:tcPr>
          <w:p w14:paraId="4C03EABE" w14:textId="77777777" w:rsidR="00053D93" w:rsidRDefault="00260B75">
            <w:pPr>
              <w:ind w:left="305"/>
            </w:pPr>
            <w:r>
              <w:t>55,300.oo</w:t>
            </w:r>
          </w:p>
        </w:tc>
      </w:tr>
      <w:tr w:rsidR="00053D93" w14:paraId="69F35455" w14:textId="77777777">
        <w:trPr>
          <w:trHeight w:val="1048"/>
        </w:trPr>
        <w:tc>
          <w:tcPr>
            <w:tcW w:w="364" w:type="dxa"/>
            <w:tcBorders>
              <w:top w:val="single" w:sz="2" w:space="0" w:color="000000"/>
              <w:left w:val="single" w:sz="2" w:space="0" w:color="000000"/>
              <w:bottom w:val="single" w:sz="2" w:space="0" w:color="000000"/>
              <w:right w:val="single" w:sz="2" w:space="0" w:color="000000"/>
            </w:tcBorders>
          </w:tcPr>
          <w:p w14:paraId="44F20B4B" w14:textId="77777777" w:rsidR="00053D93" w:rsidRDefault="00260B75">
            <w:pPr>
              <w:ind w:left="22"/>
            </w:pPr>
            <w:r>
              <w:rPr>
                <w:sz w:val="20"/>
              </w:rPr>
              <w:t>70</w:t>
            </w:r>
          </w:p>
        </w:tc>
        <w:tc>
          <w:tcPr>
            <w:tcW w:w="1032" w:type="dxa"/>
            <w:gridSpan w:val="2"/>
            <w:tcBorders>
              <w:top w:val="single" w:sz="2" w:space="0" w:color="000000"/>
              <w:left w:val="single" w:sz="2" w:space="0" w:color="000000"/>
              <w:bottom w:val="single" w:sz="2" w:space="0" w:color="000000"/>
              <w:right w:val="single" w:sz="2" w:space="0" w:color="000000"/>
            </w:tcBorders>
          </w:tcPr>
          <w:p w14:paraId="14A80E12" w14:textId="77777777" w:rsidR="00053D93" w:rsidRDefault="00260B75">
            <w:pPr>
              <w:ind w:left="68"/>
            </w:pPr>
            <w:r>
              <w:t xml:space="preserve">24626562 </w:t>
            </w:r>
          </w:p>
        </w:tc>
        <w:tc>
          <w:tcPr>
            <w:tcW w:w="5736" w:type="dxa"/>
            <w:tcBorders>
              <w:top w:val="single" w:sz="2" w:space="0" w:color="000000"/>
              <w:left w:val="single" w:sz="2" w:space="0" w:color="000000"/>
              <w:bottom w:val="single" w:sz="2" w:space="0" w:color="000000"/>
              <w:right w:val="single" w:sz="2" w:space="0" w:color="000000"/>
            </w:tcBorders>
          </w:tcPr>
          <w:p w14:paraId="0E308981" w14:textId="77777777" w:rsidR="00053D93" w:rsidRDefault="00260B75">
            <w:pPr>
              <w:ind w:left="36" w:right="91" w:hanging="7"/>
              <w:jc w:val="both"/>
            </w:pPr>
            <w:r>
              <w:t>Taller de Herramientas para el Aprendizaje de la Lectura y Matemáticas para Mejorar los Aprendizajes en los Estudiantes, a realizarse los dfas 14 y 15 de noviembre de 2024 en el departamento de Sacatepéquez.</w:t>
            </w:r>
          </w:p>
        </w:tc>
        <w:tc>
          <w:tcPr>
            <w:tcW w:w="1274" w:type="dxa"/>
            <w:tcBorders>
              <w:top w:val="single" w:sz="2" w:space="0" w:color="000000"/>
              <w:left w:val="single" w:sz="2" w:space="0" w:color="000000"/>
              <w:bottom w:val="single" w:sz="2" w:space="0" w:color="000000"/>
              <w:right w:val="single" w:sz="2" w:space="0" w:color="000000"/>
            </w:tcBorders>
            <w:vAlign w:val="bottom"/>
          </w:tcPr>
          <w:p w14:paraId="7717DFD8" w14:textId="77777777" w:rsidR="00053D93" w:rsidRDefault="00260B75">
            <w:pPr>
              <w:ind w:left="291"/>
            </w:pPr>
            <w:r>
              <w:t>40.346.00</w:t>
            </w:r>
          </w:p>
        </w:tc>
      </w:tr>
      <w:tr w:rsidR="00053D93" w14:paraId="6DD60342" w14:textId="77777777">
        <w:trPr>
          <w:trHeight w:val="785"/>
        </w:trPr>
        <w:tc>
          <w:tcPr>
            <w:tcW w:w="364" w:type="dxa"/>
            <w:tcBorders>
              <w:top w:val="single" w:sz="2" w:space="0" w:color="000000"/>
              <w:left w:val="single" w:sz="2" w:space="0" w:color="000000"/>
              <w:bottom w:val="single" w:sz="2" w:space="0" w:color="000000"/>
              <w:right w:val="single" w:sz="2" w:space="0" w:color="000000"/>
            </w:tcBorders>
          </w:tcPr>
          <w:p w14:paraId="36F72C41" w14:textId="77777777" w:rsidR="00053D93" w:rsidRDefault="00260B75">
            <w:pPr>
              <w:ind w:left="14"/>
            </w:pPr>
            <w:r>
              <w:rPr>
                <w:sz w:val="20"/>
              </w:rPr>
              <w:t>71</w:t>
            </w:r>
          </w:p>
        </w:tc>
        <w:tc>
          <w:tcPr>
            <w:tcW w:w="1032" w:type="dxa"/>
            <w:gridSpan w:val="2"/>
            <w:tcBorders>
              <w:top w:val="single" w:sz="2" w:space="0" w:color="000000"/>
              <w:left w:val="single" w:sz="2" w:space="0" w:color="000000"/>
              <w:bottom w:val="single" w:sz="2" w:space="0" w:color="000000"/>
              <w:right w:val="single" w:sz="2" w:space="0" w:color="000000"/>
            </w:tcBorders>
          </w:tcPr>
          <w:p w14:paraId="43697841" w14:textId="77777777" w:rsidR="00053D93" w:rsidRDefault="00260B75">
            <w:pPr>
              <w:ind w:left="60"/>
            </w:pPr>
            <w:r>
              <w:t xml:space="preserve">24654272 </w:t>
            </w:r>
          </w:p>
        </w:tc>
        <w:tc>
          <w:tcPr>
            <w:tcW w:w="5736" w:type="dxa"/>
            <w:tcBorders>
              <w:top w:val="single" w:sz="2" w:space="0" w:color="000000"/>
              <w:left w:val="single" w:sz="2" w:space="0" w:color="000000"/>
              <w:bottom w:val="single" w:sz="2" w:space="0" w:color="000000"/>
              <w:right w:val="single" w:sz="2" w:space="0" w:color="000000"/>
            </w:tcBorders>
          </w:tcPr>
          <w:p w14:paraId="403729C2" w14:textId="77777777" w:rsidR="00053D93" w:rsidRDefault="00260B75">
            <w:pPr>
              <w:ind w:left="36" w:right="98"/>
              <w:jc w:val="both"/>
            </w:pPr>
            <w:r>
              <w:t>Servicio de atención para un equipo de docentes y coordinadores del Proyecto de Atención Integral al niño y a la niña menor de seis años -PAIN-.</w:t>
            </w:r>
          </w:p>
        </w:tc>
        <w:tc>
          <w:tcPr>
            <w:tcW w:w="1274" w:type="dxa"/>
            <w:tcBorders>
              <w:top w:val="single" w:sz="2" w:space="0" w:color="000000"/>
              <w:left w:val="single" w:sz="2" w:space="0" w:color="000000"/>
              <w:bottom w:val="single" w:sz="2" w:space="0" w:color="000000"/>
              <w:right w:val="single" w:sz="2" w:space="0" w:color="000000"/>
            </w:tcBorders>
            <w:vAlign w:val="bottom"/>
          </w:tcPr>
          <w:p w14:paraId="1F49D0A5" w14:textId="77777777" w:rsidR="00053D93" w:rsidRDefault="00260B75">
            <w:pPr>
              <w:ind w:left="291"/>
            </w:pPr>
            <w:r>
              <w:t>79.029.00</w:t>
            </w:r>
          </w:p>
        </w:tc>
      </w:tr>
      <w:tr w:rsidR="00053D93" w14:paraId="2B7487C4" w14:textId="77777777">
        <w:trPr>
          <w:trHeight w:val="526"/>
        </w:trPr>
        <w:tc>
          <w:tcPr>
            <w:tcW w:w="364" w:type="dxa"/>
            <w:tcBorders>
              <w:top w:val="single" w:sz="2" w:space="0" w:color="000000"/>
              <w:left w:val="single" w:sz="2" w:space="0" w:color="000000"/>
              <w:bottom w:val="single" w:sz="2" w:space="0" w:color="000000"/>
              <w:right w:val="single" w:sz="2" w:space="0" w:color="000000"/>
            </w:tcBorders>
          </w:tcPr>
          <w:p w14:paraId="4647F975" w14:textId="77777777" w:rsidR="00053D93" w:rsidRDefault="00260B75">
            <w:pPr>
              <w:ind w:left="7"/>
            </w:pPr>
            <w:r>
              <w:t>72</w:t>
            </w:r>
          </w:p>
        </w:tc>
        <w:tc>
          <w:tcPr>
            <w:tcW w:w="1032" w:type="dxa"/>
            <w:gridSpan w:val="2"/>
            <w:tcBorders>
              <w:top w:val="single" w:sz="2" w:space="0" w:color="000000"/>
              <w:left w:val="single" w:sz="2" w:space="0" w:color="000000"/>
              <w:bottom w:val="single" w:sz="2" w:space="0" w:color="000000"/>
              <w:right w:val="single" w:sz="2" w:space="0" w:color="000000"/>
            </w:tcBorders>
          </w:tcPr>
          <w:p w14:paraId="5239C85B" w14:textId="77777777" w:rsidR="00053D93" w:rsidRDefault="00260B75">
            <w:pPr>
              <w:ind w:left="53"/>
            </w:pPr>
            <w:r>
              <w:t xml:space="preserve">24701238 </w:t>
            </w:r>
          </w:p>
        </w:tc>
        <w:tc>
          <w:tcPr>
            <w:tcW w:w="5736" w:type="dxa"/>
            <w:tcBorders>
              <w:top w:val="single" w:sz="2" w:space="0" w:color="000000"/>
              <w:left w:val="single" w:sz="2" w:space="0" w:color="000000"/>
              <w:bottom w:val="single" w:sz="2" w:space="0" w:color="000000"/>
              <w:right w:val="single" w:sz="2" w:space="0" w:color="000000"/>
            </w:tcBorders>
          </w:tcPr>
          <w:p w14:paraId="0DC83682" w14:textId="77777777" w:rsidR="00053D93" w:rsidRDefault="00260B75">
            <w:pPr>
              <w:ind w:left="29" w:hanging="7"/>
              <w:jc w:val="both"/>
            </w:pPr>
            <w:r>
              <w:t>Adquisición de juego de cuerdas para Violines, Vilola y Cello para las aulas musicales.</w:t>
            </w:r>
          </w:p>
        </w:tc>
        <w:tc>
          <w:tcPr>
            <w:tcW w:w="1274" w:type="dxa"/>
            <w:tcBorders>
              <w:top w:val="single" w:sz="2" w:space="0" w:color="000000"/>
              <w:left w:val="single" w:sz="2" w:space="0" w:color="000000"/>
              <w:bottom w:val="single" w:sz="2" w:space="0" w:color="000000"/>
              <w:right w:val="single" w:sz="2" w:space="0" w:color="000000"/>
            </w:tcBorders>
            <w:vAlign w:val="bottom"/>
          </w:tcPr>
          <w:p w14:paraId="54DFDED6" w14:textId="77777777" w:rsidR="00053D93" w:rsidRDefault="00260B75">
            <w:pPr>
              <w:ind w:left="298"/>
            </w:pPr>
            <w:r>
              <w:t>30,720.oo</w:t>
            </w:r>
          </w:p>
        </w:tc>
      </w:tr>
      <w:tr w:rsidR="00053D93" w14:paraId="6F21EB33" w14:textId="77777777">
        <w:trPr>
          <w:trHeight w:val="788"/>
        </w:trPr>
        <w:tc>
          <w:tcPr>
            <w:tcW w:w="364" w:type="dxa"/>
            <w:tcBorders>
              <w:top w:val="single" w:sz="2" w:space="0" w:color="000000"/>
              <w:left w:val="single" w:sz="2" w:space="0" w:color="000000"/>
              <w:bottom w:val="single" w:sz="2" w:space="0" w:color="000000"/>
              <w:right w:val="single" w:sz="2" w:space="0" w:color="000000"/>
            </w:tcBorders>
          </w:tcPr>
          <w:p w14:paraId="308943BE" w14:textId="77777777" w:rsidR="00053D93" w:rsidRDefault="00260B75">
            <w:pPr>
              <w:ind w:left="7"/>
            </w:pPr>
            <w:r>
              <w:t>73</w:t>
            </w:r>
          </w:p>
        </w:tc>
        <w:tc>
          <w:tcPr>
            <w:tcW w:w="1032" w:type="dxa"/>
            <w:gridSpan w:val="2"/>
            <w:tcBorders>
              <w:top w:val="single" w:sz="2" w:space="0" w:color="000000"/>
              <w:left w:val="single" w:sz="2" w:space="0" w:color="000000"/>
              <w:bottom w:val="single" w:sz="2" w:space="0" w:color="000000"/>
              <w:right w:val="single" w:sz="2" w:space="0" w:color="000000"/>
            </w:tcBorders>
          </w:tcPr>
          <w:p w14:paraId="1CF8AC30" w14:textId="77777777" w:rsidR="00053D93" w:rsidRDefault="00260B75">
            <w:pPr>
              <w:ind w:left="53"/>
            </w:pPr>
            <w:r>
              <w:t xml:space="preserve">24726753 </w:t>
            </w:r>
          </w:p>
        </w:tc>
        <w:tc>
          <w:tcPr>
            <w:tcW w:w="5736" w:type="dxa"/>
            <w:tcBorders>
              <w:top w:val="single" w:sz="2" w:space="0" w:color="000000"/>
              <w:left w:val="single" w:sz="2" w:space="0" w:color="000000"/>
              <w:bottom w:val="single" w:sz="2" w:space="0" w:color="000000"/>
              <w:right w:val="single" w:sz="2" w:space="0" w:color="000000"/>
            </w:tcBorders>
          </w:tcPr>
          <w:p w14:paraId="0AF270F4" w14:textId="77777777" w:rsidR="00053D93" w:rsidRDefault="00260B75">
            <w:pPr>
              <w:ind w:left="29" w:right="91"/>
              <w:jc w:val="both"/>
            </w:pPr>
            <w:r>
              <w:t>Servicio de Hospedaje para los docentes participantes del Taller de Capacitación en Temas de Tecnología e Innovación los días 19 y 20 de noviembre de 2024, en el departamento de Sololá.</w:t>
            </w:r>
          </w:p>
        </w:tc>
        <w:tc>
          <w:tcPr>
            <w:tcW w:w="1274" w:type="dxa"/>
            <w:tcBorders>
              <w:top w:val="single" w:sz="2" w:space="0" w:color="000000"/>
              <w:left w:val="single" w:sz="2" w:space="0" w:color="000000"/>
              <w:bottom w:val="single" w:sz="2" w:space="0" w:color="000000"/>
              <w:right w:val="single" w:sz="2" w:space="0" w:color="000000"/>
            </w:tcBorders>
            <w:vAlign w:val="bottom"/>
          </w:tcPr>
          <w:p w14:paraId="11E3E702" w14:textId="77777777" w:rsidR="00053D93" w:rsidRDefault="00260B75">
            <w:pPr>
              <w:ind w:left="291"/>
            </w:pPr>
            <w:r>
              <w:t>40,992.oo</w:t>
            </w:r>
          </w:p>
        </w:tc>
      </w:tr>
      <w:tr w:rsidR="00053D93" w14:paraId="43DFFCD9" w14:textId="77777777">
        <w:trPr>
          <w:trHeight w:val="1037"/>
        </w:trPr>
        <w:tc>
          <w:tcPr>
            <w:tcW w:w="364" w:type="dxa"/>
            <w:tcBorders>
              <w:top w:val="single" w:sz="2" w:space="0" w:color="000000"/>
              <w:left w:val="single" w:sz="2" w:space="0" w:color="000000"/>
              <w:bottom w:val="single" w:sz="2" w:space="0" w:color="000000"/>
              <w:right w:val="single" w:sz="2" w:space="0" w:color="000000"/>
            </w:tcBorders>
          </w:tcPr>
          <w:p w14:paraId="0348FB91" w14:textId="77777777" w:rsidR="00053D93" w:rsidRDefault="00260B75">
            <w:r>
              <w:t>74</w:t>
            </w:r>
          </w:p>
        </w:tc>
        <w:tc>
          <w:tcPr>
            <w:tcW w:w="1032" w:type="dxa"/>
            <w:gridSpan w:val="2"/>
            <w:tcBorders>
              <w:top w:val="single" w:sz="2" w:space="0" w:color="000000"/>
              <w:left w:val="single" w:sz="2" w:space="0" w:color="000000"/>
              <w:bottom w:val="single" w:sz="2" w:space="0" w:color="000000"/>
              <w:right w:val="single" w:sz="2" w:space="0" w:color="000000"/>
            </w:tcBorders>
          </w:tcPr>
          <w:p w14:paraId="21E79CDB" w14:textId="77777777" w:rsidR="00053D93" w:rsidRDefault="00260B75">
            <w:pPr>
              <w:ind w:left="53"/>
            </w:pPr>
            <w:r>
              <w:rPr>
                <w:sz w:val="20"/>
              </w:rPr>
              <w:t xml:space="preserve">24727318 </w:t>
            </w:r>
          </w:p>
        </w:tc>
        <w:tc>
          <w:tcPr>
            <w:tcW w:w="5736" w:type="dxa"/>
            <w:tcBorders>
              <w:top w:val="single" w:sz="2" w:space="0" w:color="000000"/>
              <w:left w:val="single" w:sz="2" w:space="0" w:color="000000"/>
              <w:bottom w:val="single" w:sz="2" w:space="0" w:color="000000"/>
              <w:right w:val="single" w:sz="2" w:space="0" w:color="000000"/>
            </w:tcBorders>
          </w:tcPr>
          <w:p w14:paraId="4D79335C" w14:textId="77777777" w:rsidR="00053D93" w:rsidRDefault="00260B75">
            <w:pPr>
              <w:ind w:left="14" w:right="105" w:firstLine="14"/>
              <w:jc w:val="both"/>
            </w:pPr>
            <w:r>
              <w:t>Servicio de Alimentación para los docentes participantes del Taller de Capacitación en Temas de Tecnología e Innovación los días 19 y 20 de noviembre de 2024, en el departamento de Sololá.</w:t>
            </w:r>
          </w:p>
        </w:tc>
        <w:tc>
          <w:tcPr>
            <w:tcW w:w="1274" w:type="dxa"/>
            <w:tcBorders>
              <w:top w:val="single" w:sz="2" w:space="0" w:color="000000"/>
              <w:left w:val="single" w:sz="2" w:space="0" w:color="000000"/>
              <w:bottom w:val="single" w:sz="2" w:space="0" w:color="000000"/>
              <w:right w:val="single" w:sz="2" w:space="0" w:color="000000"/>
            </w:tcBorders>
            <w:vAlign w:val="bottom"/>
          </w:tcPr>
          <w:p w14:paraId="3DB42AF0" w14:textId="77777777" w:rsidR="00053D93" w:rsidRDefault="00260B75">
            <w:pPr>
              <w:ind w:left="291"/>
            </w:pPr>
            <w:r>
              <w:t>89.846.40</w:t>
            </w:r>
          </w:p>
        </w:tc>
      </w:tr>
      <w:tr w:rsidR="00053D93" w14:paraId="44BDD2A0" w14:textId="77777777">
        <w:trPr>
          <w:trHeight w:val="465"/>
        </w:trPr>
        <w:tc>
          <w:tcPr>
            <w:tcW w:w="364" w:type="dxa"/>
            <w:vMerge w:val="restart"/>
            <w:tcBorders>
              <w:top w:val="single" w:sz="2" w:space="0" w:color="000000"/>
              <w:left w:val="single" w:sz="2" w:space="0" w:color="000000"/>
              <w:bottom w:val="nil"/>
              <w:right w:val="single" w:sz="2" w:space="0" w:color="000000"/>
            </w:tcBorders>
          </w:tcPr>
          <w:p w14:paraId="02F3EB80" w14:textId="77777777" w:rsidR="00053D93" w:rsidRDefault="00260B75">
            <w:r>
              <w:t>75</w:t>
            </w:r>
          </w:p>
        </w:tc>
        <w:tc>
          <w:tcPr>
            <w:tcW w:w="1032" w:type="dxa"/>
            <w:gridSpan w:val="2"/>
            <w:tcBorders>
              <w:top w:val="single" w:sz="2" w:space="0" w:color="000000"/>
              <w:left w:val="single" w:sz="2" w:space="0" w:color="000000"/>
              <w:bottom w:val="nil"/>
              <w:right w:val="single" w:sz="2" w:space="0" w:color="000000"/>
            </w:tcBorders>
          </w:tcPr>
          <w:p w14:paraId="629E38BB" w14:textId="77777777" w:rsidR="00053D93" w:rsidRDefault="00260B75">
            <w:pPr>
              <w:ind w:left="53"/>
            </w:pPr>
            <w:r>
              <w:t xml:space="preserve">24741787 </w:t>
            </w:r>
          </w:p>
        </w:tc>
        <w:tc>
          <w:tcPr>
            <w:tcW w:w="5736" w:type="dxa"/>
            <w:tcBorders>
              <w:top w:val="single" w:sz="2" w:space="0" w:color="000000"/>
              <w:left w:val="single" w:sz="2" w:space="0" w:color="000000"/>
              <w:bottom w:val="single" w:sz="2" w:space="0" w:color="000000"/>
              <w:right w:val="single" w:sz="2" w:space="0" w:color="000000"/>
            </w:tcBorders>
          </w:tcPr>
          <w:p w14:paraId="6AF356B8" w14:textId="77777777" w:rsidR="00053D93" w:rsidRDefault="00260B75">
            <w:pPr>
              <w:ind w:left="22"/>
            </w:pPr>
            <w:r>
              <w:t>Servicio de Alimentación y Hospedaje para los participantes del</w:t>
            </w:r>
          </w:p>
        </w:tc>
        <w:tc>
          <w:tcPr>
            <w:tcW w:w="1274" w:type="dxa"/>
            <w:tcBorders>
              <w:top w:val="single" w:sz="2" w:space="0" w:color="000000"/>
              <w:left w:val="single" w:sz="2" w:space="0" w:color="000000"/>
              <w:bottom w:val="single" w:sz="2" w:space="0" w:color="000000"/>
              <w:right w:val="single" w:sz="2" w:space="0" w:color="000000"/>
            </w:tcBorders>
          </w:tcPr>
          <w:p w14:paraId="1452BA32" w14:textId="77777777" w:rsidR="00053D93" w:rsidRDefault="00053D93"/>
        </w:tc>
      </w:tr>
      <w:tr w:rsidR="00053D93" w14:paraId="0DBD621A" w14:textId="77777777">
        <w:trPr>
          <w:trHeight w:val="579"/>
        </w:trPr>
        <w:tc>
          <w:tcPr>
            <w:tcW w:w="0" w:type="auto"/>
            <w:vMerge/>
            <w:tcBorders>
              <w:top w:val="nil"/>
              <w:left w:val="single" w:sz="2" w:space="0" w:color="000000"/>
              <w:bottom w:val="nil"/>
              <w:right w:val="single" w:sz="2" w:space="0" w:color="000000"/>
            </w:tcBorders>
          </w:tcPr>
          <w:p w14:paraId="41462263" w14:textId="77777777" w:rsidR="00053D93" w:rsidRDefault="00053D93"/>
        </w:tc>
        <w:tc>
          <w:tcPr>
            <w:tcW w:w="283" w:type="dxa"/>
            <w:tcBorders>
              <w:top w:val="nil"/>
              <w:left w:val="single" w:sz="2" w:space="0" w:color="000000"/>
              <w:bottom w:val="nil"/>
              <w:right w:val="single" w:sz="2" w:space="0" w:color="000000"/>
            </w:tcBorders>
          </w:tcPr>
          <w:p w14:paraId="3AA1F6C6" w14:textId="77777777" w:rsidR="00053D93" w:rsidRDefault="00053D93"/>
        </w:tc>
        <w:tc>
          <w:tcPr>
            <w:tcW w:w="7760" w:type="dxa"/>
            <w:gridSpan w:val="3"/>
            <w:tcBorders>
              <w:top w:val="single" w:sz="2" w:space="0" w:color="000000"/>
              <w:left w:val="single" w:sz="2" w:space="0" w:color="000000"/>
              <w:bottom w:val="nil"/>
              <w:right w:val="nil"/>
            </w:tcBorders>
          </w:tcPr>
          <w:p w14:paraId="7284D65B" w14:textId="77777777" w:rsidR="00053D93" w:rsidRDefault="00260B75">
            <w:pPr>
              <w:ind w:right="824"/>
              <w:jc w:val="center"/>
            </w:pPr>
            <w:r>
              <w:rPr>
                <w:sz w:val="14"/>
              </w:rPr>
              <w:t>MINISTERIO OE EDUCACION</w:t>
            </w:r>
          </w:p>
          <w:p w14:paraId="6D204563" w14:textId="77777777" w:rsidR="00053D93" w:rsidRDefault="00260B75">
            <w:pPr>
              <w:ind w:left="2168"/>
            </w:pPr>
            <w:r>
              <w:rPr>
                <w:sz w:val="14"/>
              </w:rPr>
              <w:t>AUDITORIA FINANCIERA Y DE CUMPLIMIENTO</w:t>
            </w:r>
          </w:p>
          <w:p w14:paraId="0A12C933" w14:textId="77777777" w:rsidR="00053D93" w:rsidRDefault="00260B75">
            <w:pPr>
              <w:ind w:left="1837"/>
            </w:pPr>
            <w:r>
              <w:rPr>
                <w:sz w:val="14"/>
              </w:rPr>
              <w:t>PERIODO DEL 01 DE ENERO AL 31 DE DICIEMBRE DE 2024</w:t>
            </w:r>
          </w:p>
        </w:tc>
      </w:tr>
    </w:tbl>
    <w:p w14:paraId="3569383E" w14:textId="77777777" w:rsidR="00053D93" w:rsidRDefault="00260B75">
      <w:pPr>
        <w:spacing w:after="0"/>
        <w:ind w:left="-324" w:right="68"/>
      </w:pPr>
      <w:r>
        <w:rPr>
          <w:noProof/>
        </w:rPr>
        <w:drawing>
          <wp:anchor distT="0" distB="0" distL="114300" distR="114300" simplePos="0" relativeHeight="252369920" behindDoc="0" locked="0" layoutInCell="1" allowOverlap="0" wp14:anchorId="12973CF6" wp14:editId="4F0A5653">
            <wp:simplePos x="0" y="0"/>
            <wp:positionH relativeFrom="page">
              <wp:posOffset>635508</wp:posOffset>
            </wp:positionH>
            <wp:positionV relativeFrom="page">
              <wp:posOffset>9226296</wp:posOffset>
            </wp:positionV>
            <wp:extent cx="640080" cy="406909"/>
            <wp:effectExtent l="0" t="0" r="0" b="0"/>
            <wp:wrapTopAndBottom/>
            <wp:docPr id="1376498" name="Picture 1376498"/>
            <wp:cNvGraphicFramePr/>
            <a:graphic xmlns:a="http://schemas.openxmlformats.org/drawingml/2006/main">
              <a:graphicData uri="http://schemas.openxmlformats.org/drawingml/2006/picture">
                <pic:pic xmlns:pic="http://schemas.openxmlformats.org/drawingml/2006/picture">
                  <pic:nvPicPr>
                    <pic:cNvPr id="1376498" name="Picture 1376498"/>
                    <pic:cNvPicPr/>
                  </pic:nvPicPr>
                  <pic:blipFill>
                    <a:blip r:embed="rId1817"/>
                    <a:stretch>
                      <a:fillRect/>
                    </a:stretch>
                  </pic:blipFill>
                  <pic:spPr>
                    <a:xfrm>
                      <a:off x="0" y="0"/>
                      <a:ext cx="640080" cy="406909"/>
                    </a:xfrm>
                    <a:prstGeom prst="rect">
                      <a:avLst/>
                    </a:prstGeom>
                  </pic:spPr>
                </pic:pic>
              </a:graphicData>
            </a:graphic>
          </wp:anchor>
        </w:drawing>
      </w:r>
      <w:r>
        <w:br w:type="page"/>
      </w:r>
    </w:p>
    <w:tbl>
      <w:tblPr>
        <w:tblStyle w:val="TableGrid"/>
        <w:tblW w:w="8446" w:type="dxa"/>
        <w:tblInd w:w="1668" w:type="dxa"/>
        <w:tblCellMar>
          <w:top w:w="21" w:type="dxa"/>
          <w:left w:w="75" w:type="dxa"/>
        </w:tblCellMar>
        <w:tblLook w:val="04A0" w:firstRow="1" w:lastRow="0" w:firstColumn="1" w:lastColumn="0" w:noHBand="0" w:noVBand="1"/>
      </w:tblPr>
      <w:tblGrid>
        <w:gridCol w:w="446"/>
        <w:gridCol w:w="1008"/>
        <w:gridCol w:w="5725"/>
        <w:gridCol w:w="1267"/>
      </w:tblGrid>
      <w:tr w:rsidR="00053D93" w14:paraId="2DE9F7D9" w14:textId="77777777">
        <w:trPr>
          <w:trHeight w:val="1041"/>
        </w:trPr>
        <w:tc>
          <w:tcPr>
            <w:tcW w:w="446" w:type="dxa"/>
            <w:tcBorders>
              <w:top w:val="single" w:sz="2" w:space="0" w:color="000000"/>
              <w:left w:val="single" w:sz="2" w:space="0" w:color="000000"/>
              <w:bottom w:val="single" w:sz="2" w:space="0" w:color="000000"/>
              <w:right w:val="single" w:sz="2" w:space="0" w:color="000000"/>
            </w:tcBorders>
          </w:tcPr>
          <w:p w14:paraId="209F703A" w14:textId="77777777" w:rsidR="00053D93" w:rsidRDefault="00053D93"/>
        </w:tc>
        <w:tc>
          <w:tcPr>
            <w:tcW w:w="1008" w:type="dxa"/>
            <w:tcBorders>
              <w:top w:val="single" w:sz="2" w:space="0" w:color="000000"/>
              <w:left w:val="single" w:sz="2" w:space="0" w:color="000000"/>
              <w:bottom w:val="single" w:sz="2" w:space="0" w:color="000000"/>
              <w:right w:val="single" w:sz="2" w:space="0" w:color="000000"/>
            </w:tcBorders>
          </w:tcPr>
          <w:p w14:paraId="1FA12269" w14:textId="77777777" w:rsidR="00053D93" w:rsidRDefault="00053D93"/>
        </w:tc>
        <w:tc>
          <w:tcPr>
            <w:tcW w:w="5724" w:type="dxa"/>
            <w:tcBorders>
              <w:top w:val="single" w:sz="2" w:space="0" w:color="000000"/>
              <w:left w:val="single" w:sz="2" w:space="0" w:color="000000"/>
              <w:bottom w:val="single" w:sz="2" w:space="0" w:color="000000"/>
              <w:right w:val="single" w:sz="2" w:space="0" w:color="000000"/>
            </w:tcBorders>
          </w:tcPr>
          <w:p w14:paraId="03B1D89C" w14:textId="77777777" w:rsidR="00053D93" w:rsidRDefault="00260B75">
            <w:pPr>
              <w:ind w:right="84"/>
              <w:jc w:val="both"/>
            </w:pPr>
            <w:r>
              <w:t>Taller de Formación para el Fortalecimiento y Uso de Aplicaciones como Herramientas para la realización de trámites administrativos los días 26 y 27 de noviembre de 2024, en el departamento de Guatemala.</w:t>
            </w:r>
          </w:p>
        </w:tc>
        <w:tc>
          <w:tcPr>
            <w:tcW w:w="1267" w:type="dxa"/>
            <w:tcBorders>
              <w:top w:val="single" w:sz="2" w:space="0" w:color="000000"/>
              <w:left w:val="single" w:sz="2" w:space="0" w:color="000000"/>
              <w:bottom w:val="single" w:sz="2" w:space="0" w:color="000000"/>
              <w:right w:val="single" w:sz="2" w:space="0" w:color="000000"/>
            </w:tcBorders>
            <w:vAlign w:val="bottom"/>
          </w:tcPr>
          <w:p w14:paraId="58CF9091" w14:textId="77777777" w:rsidR="00053D93" w:rsidRDefault="00260B75">
            <w:pPr>
              <w:ind w:left="266"/>
            </w:pPr>
            <w:r>
              <w:t>74,913.32</w:t>
            </w:r>
          </w:p>
        </w:tc>
      </w:tr>
      <w:tr w:rsidR="00053D93" w14:paraId="6F7CE111" w14:textId="77777777">
        <w:trPr>
          <w:trHeight w:val="533"/>
        </w:trPr>
        <w:tc>
          <w:tcPr>
            <w:tcW w:w="446" w:type="dxa"/>
            <w:tcBorders>
              <w:top w:val="single" w:sz="2" w:space="0" w:color="000000"/>
              <w:left w:val="single" w:sz="2" w:space="0" w:color="000000"/>
              <w:bottom w:val="single" w:sz="2" w:space="0" w:color="000000"/>
              <w:right w:val="single" w:sz="2" w:space="0" w:color="000000"/>
            </w:tcBorders>
          </w:tcPr>
          <w:p w14:paraId="03D60C43" w14:textId="77777777" w:rsidR="00053D93" w:rsidRDefault="00260B75">
            <w:pPr>
              <w:ind w:left="43"/>
            </w:pPr>
            <w:r>
              <w:t>76</w:t>
            </w:r>
          </w:p>
        </w:tc>
        <w:tc>
          <w:tcPr>
            <w:tcW w:w="1008" w:type="dxa"/>
            <w:tcBorders>
              <w:top w:val="single" w:sz="2" w:space="0" w:color="000000"/>
              <w:left w:val="single" w:sz="2" w:space="0" w:color="000000"/>
              <w:bottom w:val="single" w:sz="2" w:space="0" w:color="000000"/>
              <w:right w:val="single" w:sz="2" w:space="0" w:color="000000"/>
            </w:tcBorders>
          </w:tcPr>
          <w:p w14:paraId="45A1244E" w14:textId="77777777" w:rsidR="00053D93" w:rsidRDefault="00260B75">
            <w:pPr>
              <w:ind w:left="7"/>
              <w:jc w:val="both"/>
            </w:pPr>
            <w:r>
              <w:t xml:space="preserve">24778052 </w:t>
            </w:r>
          </w:p>
        </w:tc>
        <w:tc>
          <w:tcPr>
            <w:tcW w:w="5724" w:type="dxa"/>
            <w:tcBorders>
              <w:top w:val="single" w:sz="2" w:space="0" w:color="000000"/>
              <w:left w:val="single" w:sz="2" w:space="0" w:color="000000"/>
              <w:bottom w:val="single" w:sz="2" w:space="0" w:color="000000"/>
              <w:right w:val="single" w:sz="2" w:space="0" w:color="000000"/>
            </w:tcBorders>
          </w:tcPr>
          <w:p w14:paraId="51FAA67E" w14:textId="77777777" w:rsidR="00053D93" w:rsidRDefault="00260B75">
            <w:pPr>
              <w:ind w:left="14" w:hanging="14"/>
              <w:jc w:val="both"/>
            </w:pPr>
            <w:r>
              <w:t>Adquisición de Pianos Digitales para la Escuela Normal de Educación Musical Jesús María Alvarado.</w:t>
            </w:r>
          </w:p>
        </w:tc>
        <w:tc>
          <w:tcPr>
            <w:tcW w:w="1267" w:type="dxa"/>
            <w:tcBorders>
              <w:top w:val="single" w:sz="2" w:space="0" w:color="000000"/>
              <w:left w:val="single" w:sz="2" w:space="0" w:color="000000"/>
              <w:bottom w:val="single" w:sz="2" w:space="0" w:color="000000"/>
              <w:right w:val="single" w:sz="2" w:space="0" w:color="000000"/>
            </w:tcBorders>
            <w:vAlign w:val="bottom"/>
          </w:tcPr>
          <w:p w14:paraId="17D207AB" w14:textId="77777777" w:rsidR="00053D93" w:rsidRDefault="00260B75">
            <w:pPr>
              <w:ind w:left="274"/>
            </w:pPr>
            <w:r>
              <w:t>73.080.00</w:t>
            </w:r>
          </w:p>
        </w:tc>
      </w:tr>
      <w:tr w:rsidR="00053D93" w14:paraId="44E754C4" w14:textId="77777777">
        <w:trPr>
          <w:trHeight w:val="535"/>
        </w:trPr>
        <w:tc>
          <w:tcPr>
            <w:tcW w:w="446" w:type="dxa"/>
            <w:tcBorders>
              <w:top w:val="single" w:sz="2" w:space="0" w:color="000000"/>
              <w:left w:val="single" w:sz="2" w:space="0" w:color="000000"/>
              <w:bottom w:val="single" w:sz="2" w:space="0" w:color="000000"/>
              <w:right w:val="single" w:sz="2" w:space="0" w:color="000000"/>
            </w:tcBorders>
          </w:tcPr>
          <w:p w14:paraId="24D340FD" w14:textId="77777777" w:rsidR="00053D93" w:rsidRDefault="00260B75">
            <w:pPr>
              <w:ind w:left="43"/>
            </w:pPr>
            <w:r>
              <w:t>77</w:t>
            </w:r>
          </w:p>
        </w:tc>
        <w:tc>
          <w:tcPr>
            <w:tcW w:w="1008" w:type="dxa"/>
            <w:tcBorders>
              <w:top w:val="single" w:sz="2" w:space="0" w:color="000000"/>
              <w:left w:val="single" w:sz="2" w:space="0" w:color="000000"/>
              <w:bottom w:val="single" w:sz="2" w:space="0" w:color="000000"/>
              <w:right w:val="single" w:sz="2" w:space="0" w:color="000000"/>
            </w:tcBorders>
          </w:tcPr>
          <w:p w14:paraId="5770EE78" w14:textId="77777777" w:rsidR="00053D93" w:rsidRDefault="00260B75">
            <w:pPr>
              <w:ind w:left="7"/>
              <w:jc w:val="both"/>
            </w:pPr>
            <w:r>
              <w:rPr>
                <w:sz w:val="20"/>
              </w:rPr>
              <w:t xml:space="preserve">24810371 </w:t>
            </w:r>
          </w:p>
        </w:tc>
        <w:tc>
          <w:tcPr>
            <w:tcW w:w="5724" w:type="dxa"/>
            <w:tcBorders>
              <w:top w:val="single" w:sz="2" w:space="0" w:color="000000"/>
              <w:left w:val="single" w:sz="2" w:space="0" w:color="000000"/>
              <w:bottom w:val="single" w:sz="2" w:space="0" w:color="000000"/>
              <w:right w:val="single" w:sz="2" w:space="0" w:color="000000"/>
            </w:tcBorders>
          </w:tcPr>
          <w:p w14:paraId="22795327" w14:textId="77777777" w:rsidR="00053D93" w:rsidRDefault="00260B75">
            <w:pPr>
              <w:ind w:left="14"/>
            </w:pPr>
            <w:r>
              <w:t>Servicio de Capacitación para el Taller de Liderazgo, a realizarse del 26 al 27 de noviembre de 2024 en la Ciudad Capital.</w:t>
            </w:r>
          </w:p>
        </w:tc>
        <w:tc>
          <w:tcPr>
            <w:tcW w:w="1267" w:type="dxa"/>
            <w:tcBorders>
              <w:top w:val="single" w:sz="2" w:space="0" w:color="000000"/>
              <w:left w:val="single" w:sz="2" w:space="0" w:color="000000"/>
              <w:bottom w:val="single" w:sz="2" w:space="0" w:color="000000"/>
              <w:right w:val="single" w:sz="2" w:space="0" w:color="000000"/>
            </w:tcBorders>
            <w:vAlign w:val="bottom"/>
          </w:tcPr>
          <w:p w14:paraId="2377C5AD" w14:textId="77777777" w:rsidR="00053D93" w:rsidRDefault="00260B75">
            <w:pPr>
              <w:ind w:left="274"/>
            </w:pPr>
            <w:r>
              <w:t>69,855.84</w:t>
            </w:r>
          </w:p>
        </w:tc>
      </w:tr>
      <w:tr w:rsidR="00053D93" w14:paraId="728EB28E" w14:textId="77777777">
        <w:trPr>
          <w:trHeight w:val="537"/>
        </w:trPr>
        <w:tc>
          <w:tcPr>
            <w:tcW w:w="446" w:type="dxa"/>
            <w:tcBorders>
              <w:top w:val="single" w:sz="2" w:space="0" w:color="000000"/>
              <w:left w:val="single" w:sz="2" w:space="0" w:color="000000"/>
              <w:bottom w:val="single" w:sz="2" w:space="0" w:color="000000"/>
              <w:right w:val="single" w:sz="2" w:space="0" w:color="000000"/>
            </w:tcBorders>
          </w:tcPr>
          <w:p w14:paraId="79ABB1A6" w14:textId="77777777" w:rsidR="00053D93" w:rsidRDefault="00260B75">
            <w:pPr>
              <w:ind w:left="43"/>
            </w:pPr>
            <w:r>
              <w:t>78</w:t>
            </w:r>
          </w:p>
        </w:tc>
        <w:tc>
          <w:tcPr>
            <w:tcW w:w="1008" w:type="dxa"/>
            <w:tcBorders>
              <w:top w:val="single" w:sz="2" w:space="0" w:color="000000"/>
              <w:left w:val="single" w:sz="2" w:space="0" w:color="000000"/>
              <w:bottom w:val="single" w:sz="2" w:space="0" w:color="000000"/>
              <w:right w:val="single" w:sz="2" w:space="0" w:color="000000"/>
            </w:tcBorders>
          </w:tcPr>
          <w:p w14:paraId="4ACB3453" w14:textId="77777777" w:rsidR="00053D93" w:rsidRDefault="00260B75">
            <w:pPr>
              <w:ind w:left="14"/>
            </w:pPr>
            <w:r>
              <w:t xml:space="preserve">24810665 </w:t>
            </w:r>
          </w:p>
        </w:tc>
        <w:tc>
          <w:tcPr>
            <w:tcW w:w="5724" w:type="dxa"/>
            <w:tcBorders>
              <w:top w:val="single" w:sz="2" w:space="0" w:color="000000"/>
              <w:left w:val="single" w:sz="2" w:space="0" w:color="000000"/>
              <w:bottom w:val="single" w:sz="2" w:space="0" w:color="000000"/>
              <w:right w:val="single" w:sz="2" w:space="0" w:color="000000"/>
            </w:tcBorders>
          </w:tcPr>
          <w:p w14:paraId="70A33A47" w14:textId="77777777" w:rsidR="00053D93" w:rsidRDefault="00260B75">
            <w:pPr>
              <w:ind w:left="7"/>
            </w:pPr>
            <w:r>
              <w:t>Adquisición de Estanterías Industriales para uso de la</w:t>
            </w:r>
          </w:p>
          <w:p w14:paraId="40FFA5BC" w14:textId="77777777" w:rsidR="00053D93" w:rsidRDefault="00260B75">
            <w:pPr>
              <w:ind w:left="22"/>
            </w:pPr>
            <w:r>
              <w:rPr>
                <w:sz w:val="24"/>
              </w:rPr>
              <w:t>DIGECADE.</w:t>
            </w:r>
          </w:p>
        </w:tc>
        <w:tc>
          <w:tcPr>
            <w:tcW w:w="1267" w:type="dxa"/>
            <w:tcBorders>
              <w:top w:val="single" w:sz="2" w:space="0" w:color="000000"/>
              <w:left w:val="single" w:sz="2" w:space="0" w:color="000000"/>
              <w:bottom w:val="single" w:sz="2" w:space="0" w:color="000000"/>
              <w:right w:val="single" w:sz="2" w:space="0" w:color="000000"/>
            </w:tcBorders>
            <w:vAlign w:val="bottom"/>
          </w:tcPr>
          <w:p w14:paraId="2A860586" w14:textId="77777777" w:rsidR="00053D93" w:rsidRDefault="00260B75">
            <w:pPr>
              <w:ind w:left="281"/>
            </w:pPr>
            <w:r>
              <w:t>85,000.oo</w:t>
            </w:r>
          </w:p>
        </w:tc>
      </w:tr>
      <w:tr w:rsidR="00053D93" w14:paraId="47C00899" w14:textId="77777777">
        <w:trPr>
          <w:trHeight w:val="535"/>
        </w:trPr>
        <w:tc>
          <w:tcPr>
            <w:tcW w:w="446" w:type="dxa"/>
            <w:tcBorders>
              <w:top w:val="single" w:sz="2" w:space="0" w:color="000000"/>
              <w:left w:val="single" w:sz="2" w:space="0" w:color="000000"/>
              <w:bottom w:val="single" w:sz="2" w:space="0" w:color="000000"/>
              <w:right w:val="single" w:sz="2" w:space="0" w:color="000000"/>
            </w:tcBorders>
          </w:tcPr>
          <w:p w14:paraId="6764D95C" w14:textId="77777777" w:rsidR="00053D93" w:rsidRDefault="00260B75">
            <w:pPr>
              <w:ind w:left="50"/>
            </w:pPr>
            <w:r>
              <w:t>79</w:t>
            </w:r>
          </w:p>
        </w:tc>
        <w:tc>
          <w:tcPr>
            <w:tcW w:w="1008" w:type="dxa"/>
            <w:tcBorders>
              <w:top w:val="single" w:sz="2" w:space="0" w:color="000000"/>
              <w:left w:val="single" w:sz="2" w:space="0" w:color="000000"/>
              <w:bottom w:val="single" w:sz="2" w:space="0" w:color="000000"/>
              <w:right w:val="single" w:sz="2" w:space="0" w:color="000000"/>
            </w:tcBorders>
          </w:tcPr>
          <w:p w14:paraId="22F38E4B" w14:textId="77777777" w:rsidR="00053D93" w:rsidRDefault="00260B75">
            <w:pPr>
              <w:ind w:left="14"/>
              <w:jc w:val="both"/>
            </w:pPr>
            <w:r>
              <w:t xml:space="preserve">24832952 </w:t>
            </w:r>
          </w:p>
        </w:tc>
        <w:tc>
          <w:tcPr>
            <w:tcW w:w="5724" w:type="dxa"/>
            <w:tcBorders>
              <w:top w:val="single" w:sz="2" w:space="0" w:color="000000"/>
              <w:left w:val="single" w:sz="2" w:space="0" w:color="000000"/>
              <w:bottom w:val="single" w:sz="2" w:space="0" w:color="000000"/>
              <w:right w:val="single" w:sz="2" w:space="0" w:color="000000"/>
            </w:tcBorders>
          </w:tcPr>
          <w:p w14:paraId="74A68DFD" w14:textId="77777777" w:rsidR="00053D93" w:rsidRDefault="00260B75">
            <w:pPr>
              <w:ind w:left="21" w:hanging="7"/>
              <w:jc w:val="both"/>
            </w:pPr>
            <w:r>
              <w:t>Servicio de Capacitación para Implementar el Programa EDUPAZ con delegados de Gobiernos Escolares.</w:t>
            </w:r>
          </w:p>
        </w:tc>
        <w:tc>
          <w:tcPr>
            <w:tcW w:w="1267" w:type="dxa"/>
            <w:tcBorders>
              <w:top w:val="single" w:sz="2" w:space="0" w:color="000000"/>
              <w:left w:val="single" w:sz="2" w:space="0" w:color="000000"/>
              <w:bottom w:val="single" w:sz="2" w:space="0" w:color="000000"/>
              <w:right w:val="single" w:sz="2" w:space="0" w:color="000000"/>
            </w:tcBorders>
            <w:vAlign w:val="bottom"/>
          </w:tcPr>
          <w:p w14:paraId="34A20C56" w14:textId="77777777" w:rsidR="00053D93" w:rsidRDefault="00260B75">
            <w:pPr>
              <w:ind w:left="274"/>
            </w:pPr>
            <w:r>
              <w:rPr>
                <w:sz w:val="20"/>
              </w:rPr>
              <w:t>721408.00</w:t>
            </w:r>
          </w:p>
        </w:tc>
      </w:tr>
      <w:tr w:rsidR="00053D93" w14:paraId="06031A08" w14:textId="77777777">
        <w:trPr>
          <w:trHeight w:val="1041"/>
        </w:trPr>
        <w:tc>
          <w:tcPr>
            <w:tcW w:w="446" w:type="dxa"/>
            <w:tcBorders>
              <w:top w:val="single" w:sz="2" w:space="0" w:color="000000"/>
              <w:left w:val="single" w:sz="2" w:space="0" w:color="000000"/>
              <w:bottom w:val="single" w:sz="2" w:space="0" w:color="000000"/>
              <w:right w:val="single" w:sz="2" w:space="0" w:color="000000"/>
            </w:tcBorders>
          </w:tcPr>
          <w:p w14:paraId="2D16A8C1" w14:textId="77777777" w:rsidR="00053D93" w:rsidRDefault="00260B75">
            <w:pPr>
              <w:ind w:left="58"/>
            </w:pPr>
            <w:r>
              <w:rPr>
                <w:sz w:val="20"/>
              </w:rPr>
              <w:t>80</w:t>
            </w:r>
          </w:p>
        </w:tc>
        <w:tc>
          <w:tcPr>
            <w:tcW w:w="1008" w:type="dxa"/>
            <w:tcBorders>
              <w:top w:val="single" w:sz="2" w:space="0" w:color="000000"/>
              <w:left w:val="single" w:sz="2" w:space="0" w:color="000000"/>
              <w:bottom w:val="single" w:sz="2" w:space="0" w:color="000000"/>
              <w:right w:val="single" w:sz="2" w:space="0" w:color="000000"/>
            </w:tcBorders>
          </w:tcPr>
          <w:p w14:paraId="5954BF6A" w14:textId="77777777" w:rsidR="00053D93" w:rsidRDefault="00260B75">
            <w:pPr>
              <w:ind w:left="14"/>
            </w:pPr>
            <w:r>
              <w:t xml:space="preserve">24844519 </w:t>
            </w:r>
          </w:p>
        </w:tc>
        <w:tc>
          <w:tcPr>
            <w:tcW w:w="5724" w:type="dxa"/>
            <w:tcBorders>
              <w:top w:val="single" w:sz="2" w:space="0" w:color="000000"/>
              <w:left w:val="single" w:sz="2" w:space="0" w:color="000000"/>
              <w:bottom w:val="single" w:sz="2" w:space="0" w:color="000000"/>
              <w:right w:val="single" w:sz="2" w:space="0" w:color="000000"/>
            </w:tcBorders>
          </w:tcPr>
          <w:p w14:paraId="23403467" w14:textId="77777777" w:rsidR="00053D93" w:rsidRDefault="00260B75">
            <w:pPr>
              <w:ind w:left="7" w:right="84" w:firstLine="7"/>
              <w:jc w:val="both"/>
            </w:pPr>
            <w:r>
              <w:t>Servicio de Alimentación para los docentes participantes del Taller de Capacitación en Temas de Tecnología e Innovación los dias 28 y 29 de noviembre de 2024, en el departamento de Sololá</w:t>
            </w:r>
          </w:p>
        </w:tc>
        <w:tc>
          <w:tcPr>
            <w:tcW w:w="1267" w:type="dxa"/>
            <w:tcBorders>
              <w:top w:val="single" w:sz="2" w:space="0" w:color="000000"/>
              <w:left w:val="single" w:sz="2" w:space="0" w:color="000000"/>
              <w:bottom w:val="single" w:sz="2" w:space="0" w:color="000000"/>
              <w:right w:val="single" w:sz="2" w:space="0" w:color="000000"/>
            </w:tcBorders>
            <w:vAlign w:val="bottom"/>
          </w:tcPr>
          <w:p w14:paraId="712726A9" w14:textId="77777777" w:rsidR="00053D93" w:rsidRDefault="00260B75">
            <w:pPr>
              <w:ind w:left="281"/>
            </w:pPr>
            <w:r>
              <w:t>88,368.oo</w:t>
            </w:r>
          </w:p>
        </w:tc>
      </w:tr>
      <w:tr w:rsidR="00053D93" w14:paraId="66D5B4D6" w14:textId="77777777">
        <w:trPr>
          <w:trHeight w:val="788"/>
        </w:trPr>
        <w:tc>
          <w:tcPr>
            <w:tcW w:w="446" w:type="dxa"/>
            <w:tcBorders>
              <w:top w:val="single" w:sz="2" w:space="0" w:color="000000"/>
              <w:left w:val="single" w:sz="2" w:space="0" w:color="000000"/>
              <w:bottom w:val="single" w:sz="2" w:space="0" w:color="000000"/>
              <w:right w:val="single" w:sz="2" w:space="0" w:color="000000"/>
            </w:tcBorders>
          </w:tcPr>
          <w:p w14:paraId="400A6977" w14:textId="77777777" w:rsidR="00053D93" w:rsidRDefault="00260B75">
            <w:pPr>
              <w:ind w:left="50"/>
            </w:pPr>
            <w:r>
              <w:rPr>
                <w:sz w:val="20"/>
              </w:rPr>
              <w:t>81</w:t>
            </w:r>
          </w:p>
        </w:tc>
        <w:tc>
          <w:tcPr>
            <w:tcW w:w="1008" w:type="dxa"/>
            <w:tcBorders>
              <w:top w:val="single" w:sz="2" w:space="0" w:color="000000"/>
              <w:left w:val="single" w:sz="2" w:space="0" w:color="000000"/>
              <w:bottom w:val="single" w:sz="2" w:space="0" w:color="000000"/>
              <w:right w:val="single" w:sz="2" w:space="0" w:color="000000"/>
            </w:tcBorders>
          </w:tcPr>
          <w:p w14:paraId="6A7CDBC9" w14:textId="77777777" w:rsidR="00053D93" w:rsidRDefault="00260B75">
            <w:pPr>
              <w:ind w:left="14"/>
              <w:jc w:val="both"/>
            </w:pPr>
            <w:r>
              <w:t xml:space="preserve">24845922 </w:t>
            </w:r>
          </w:p>
        </w:tc>
        <w:tc>
          <w:tcPr>
            <w:tcW w:w="5724" w:type="dxa"/>
            <w:tcBorders>
              <w:top w:val="single" w:sz="2" w:space="0" w:color="000000"/>
              <w:left w:val="single" w:sz="2" w:space="0" w:color="000000"/>
              <w:bottom w:val="single" w:sz="2" w:space="0" w:color="000000"/>
              <w:right w:val="single" w:sz="2" w:space="0" w:color="000000"/>
            </w:tcBorders>
          </w:tcPr>
          <w:p w14:paraId="53089AE4" w14:textId="77777777" w:rsidR="00053D93" w:rsidRDefault="00260B75">
            <w:pPr>
              <w:ind w:left="14" w:right="84"/>
              <w:jc w:val="both"/>
            </w:pPr>
            <w:r>
              <w:t>Renovación de Derecho de uso de una Plataforma Educativa para crear Espacios de Enseñanza en Línea, para uso de los docentes del sector oficial.</w:t>
            </w:r>
          </w:p>
        </w:tc>
        <w:tc>
          <w:tcPr>
            <w:tcW w:w="1267" w:type="dxa"/>
            <w:tcBorders>
              <w:top w:val="single" w:sz="2" w:space="0" w:color="000000"/>
              <w:left w:val="single" w:sz="2" w:space="0" w:color="000000"/>
              <w:bottom w:val="single" w:sz="2" w:space="0" w:color="000000"/>
              <w:right w:val="single" w:sz="2" w:space="0" w:color="000000"/>
            </w:tcBorders>
            <w:vAlign w:val="bottom"/>
          </w:tcPr>
          <w:p w14:paraId="0C2AF3C0" w14:textId="77777777" w:rsidR="00053D93" w:rsidRDefault="00260B75">
            <w:pPr>
              <w:ind w:left="281"/>
            </w:pPr>
            <w:r>
              <w:rPr>
                <w:sz w:val="20"/>
              </w:rPr>
              <w:t>851500.00</w:t>
            </w:r>
          </w:p>
        </w:tc>
      </w:tr>
      <w:tr w:rsidR="00053D93" w14:paraId="6F1DC8EB" w14:textId="77777777">
        <w:trPr>
          <w:trHeight w:val="530"/>
        </w:trPr>
        <w:tc>
          <w:tcPr>
            <w:tcW w:w="446" w:type="dxa"/>
            <w:tcBorders>
              <w:top w:val="single" w:sz="2" w:space="0" w:color="000000"/>
              <w:left w:val="single" w:sz="2" w:space="0" w:color="000000"/>
              <w:bottom w:val="single" w:sz="2" w:space="0" w:color="000000"/>
              <w:right w:val="single" w:sz="2" w:space="0" w:color="000000"/>
            </w:tcBorders>
          </w:tcPr>
          <w:p w14:paraId="2F875667" w14:textId="77777777" w:rsidR="00053D93" w:rsidRDefault="00260B75">
            <w:pPr>
              <w:ind w:left="50"/>
            </w:pPr>
            <w:r>
              <w:t>82</w:t>
            </w:r>
          </w:p>
        </w:tc>
        <w:tc>
          <w:tcPr>
            <w:tcW w:w="1008" w:type="dxa"/>
            <w:tcBorders>
              <w:top w:val="single" w:sz="2" w:space="0" w:color="000000"/>
              <w:left w:val="single" w:sz="2" w:space="0" w:color="000000"/>
              <w:bottom w:val="single" w:sz="2" w:space="0" w:color="000000"/>
              <w:right w:val="single" w:sz="2" w:space="0" w:color="000000"/>
            </w:tcBorders>
          </w:tcPr>
          <w:p w14:paraId="760A6D07" w14:textId="77777777" w:rsidR="00053D93" w:rsidRDefault="00260B75">
            <w:pPr>
              <w:ind w:left="14"/>
            </w:pPr>
            <w:r>
              <w:t xml:space="preserve">24846260 </w:t>
            </w:r>
          </w:p>
        </w:tc>
        <w:tc>
          <w:tcPr>
            <w:tcW w:w="5724" w:type="dxa"/>
            <w:tcBorders>
              <w:top w:val="single" w:sz="2" w:space="0" w:color="000000"/>
              <w:left w:val="single" w:sz="2" w:space="0" w:color="000000"/>
              <w:bottom w:val="single" w:sz="2" w:space="0" w:color="000000"/>
              <w:right w:val="single" w:sz="2" w:space="0" w:color="000000"/>
            </w:tcBorders>
          </w:tcPr>
          <w:p w14:paraId="0905ADEB" w14:textId="77777777" w:rsidR="00053D93" w:rsidRDefault="00260B75">
            <w:pPr>
              <w:ind w:firstLine="7"/>
              <w:jc w:val="both"/>
            </w:pPr>
            <w:r>
              <w:t>Adquisición de Licenciamiento y Soporte para un Año de Antivirus con Consola de Administración en la Nube.</w:t>
            </w:r>
          </w:p>
        </w:tc>
        <w:tc>
          <w:tcPr>
            <w:tcW w:w="1267" w:type="dxa"/>
            <w:tcBorders>
              <w:top w:val="single" w:sz="2" w:space="0" w:color="000000"/>
              <w:left w:val="single" w:sz="2" w:space="0" w:color="000000"/>
              <w:bottom w:val="single" w:sz="2" w:space="0" w:color="000000"/>
              <w:right w:val="single" w:sz="2" w:space="0" w:color="000000"/>
            </w:tcBorders>
            <w:vAlign w:val="bottom"/>
          </w:tcPr>
          <w:p w14:paraId="39EDB3F6" w14:textId="77777777" w:rsidR="00053D93" w:rsidRDefault="00260B75">
            <w:pPr>
              <w:ind w:left="281"/>
            </w:pPr>
            <w:r>
              <w:t>84,325.oo</w:t>
            </w:r>
          </w:p>
        </w:tc>
      </w:tr>
      <w:tr w:rsidR="00053D93" w14:paraId="4505A7E5" w14:textId="77777777">
        <w:trPr>
          <w:trHeight w:val="780"/>
        </w:trPr>
        <w:tc>
          <w:tcPr>
            <w:tcW w:w="446" w:type="dxa"/>
            <w:tcBorders>
              <w:top w:val="single" w:sz="2" w:space="0" w:color="000000"/>
              <w:left w:val="single" w:sz="2" w:space="0" w:color="000000"/>
              <w:bottom w:val="single" w:sz="2" w:space="0" w:color="000000"/>
              <w:right w:val="single" w:sz="2" w:space="0" w:color="000000"/>
            </w:tcBorders>
          </w:tcPr>
          <w:p w14:paraId="64B1D66E" w14:textId="77777777" w:rsidR="00053D93" w:rsidRDefault="00260B75">
            <w:pPr>
              <w:ind w:left="50"/>
            </w:pPr>
            <w:r>
              <w:t>83</w:t>
            </w:r>
          </w:p>
        </w:tc>
        <w:tc>
          <w:tcPr>
            <w:tcW w:w="1008" w:type="dxa"/>
            <w:tcBorders>
              <w:top w:val="single" w:sz="2" w:space="0" w:color="000000"/>
              <w:left w:val="single" w:sz="2" w:space="0" w:color="000000"/>
              <w:bottom w:val="single" w:sz="2" w:space="0" w:color="000000"/>
              <w:right w:val="single" w:sz="2" w:space="0" w:color="000000"/>
            </w:tcBorders>
          </w:tcPr>
          <w:p w14:paraId="157C2BEE" w14:textId="77777777" w:rsidR="00053D93" w:rsidRDefault="00260B75">
            <w:pPr>
              <w:ind w:left="7"/>
              <w:jc w:val="both"/>
            </w:pPr>
            <w:r>
              <w:t xml:space="preserve">24861464 </w:t>
            </w:r>
          </w:p>
        </w:tc>
        <w:tc>
          <w:tcPr>
            <w:tcW w:w="5724" w:type="dxa"/>
            <w:tcBorders>
              <w:top w:val="single" w:sz="2" w:space="0" w:color="000000"/>
              <w:left w:val="single" w:sz="2" w:space="0" w:color="000000"/>
              <w:bottom w:val="single" w:sz="2" w:space="0" w:color="000000"/>
              <w:right w:val="single" w:sz="2" w:space="0" w:color="000000"/>
            </w:tcBorders>
          </w:tcPr>
          <w:p w14:paraId="57AE0780" w14:textId="77777777" w:rsidR="00053D93" w:rsidRDefault="00260B75">
            <w:pPr>
              <w:ind w:left="7" w:right="77" w:firstLine="7"/>
              <w:jc w:val="both"/>
            </w:pPr>
            <w:r>
              <w:t>Servicio de Hospedaje para los docentes participantes del Taller de Capacitación en Temas de Tecnología e Innovación los días 28 y 29 de noviembre de 2024, en el departamento de Sololá.</w:t>
            </w:r>
          </w:p>
        </w:tc>
        <w:tc>
          <w:tcPr>
            <w:tcW w:w="1267" w:type="dxa"/>
            <w:tcBorders>
              <w:top w:val="single" w:sz="2" w:space="0" w:color="000000"/>
              <w:left w:val="single" w:sz="2" w:space="0" w:color="000000"/>
              <w:bottom w:val="single" w:sz="2" w:space="0" w:color="000000"/>
              <w:right w:val="single" w:sz="2" w:space="0" w:color="000000"/>
            </w:tcBorders>
            <w:vAlign w:val="bottom"/>
          </w:tcPr>
          <w:p w14:paraId="4A62A2A0" w14:textId="77777777" w:rsidR="00053D93" w:rsidRDefault="00260B75">
            <w:pPr>
              <w:ind w:left="281"/>
            </w:pPr>
            <w:r>
              <w:t>56,608.oo</w:t>
            </w:r>
          </w:p>
        </w:tc>
      </w:tr>
      <w:tr w:rsidR="00053D93" w14:paraId="7BE91B1E" w14:textId="77777777">
        <w:trPr>
          <w:trHeight w:val="526"/>
        </w:trPr>
        <w:tc>
          <w:tcPr>
            <w:tcW w:w="446" w:type="dxa"/>
            <w:tcBorders>
              <w:top w:val="single" w:sz="2" w:space="0" w:color="000000"/>
              <w:left w:val="single" w:sz="2" w:space="0" w:color="000000"/>
              <w:bottom w:val="single" w:sz="2" w:space="0" w:color="000000"/>
              <w:right w:val="single" w:sz="2" w:space="0" w:color="000000"/>
            </w:tcBorders>
          </w:tcPr>
          <w:p w14:paraId="0506D8E2" w14:textId="77777777" w:rsidR="00053D93" w:rsidRDefault="00260B75">
            <w:pPr>
              <w:ind w:left="50"/>
            </w:pPr>
            <w:r>
              <w:rPr>
                <w:sz w:val="20"/>
              </w:rPr>
              <w:t>84</w:t>
            </w:r>
          </w:p>
        </w:tc>
        <w:tc>
          <w:tcPr>
            <w:tcW w:w="1008" w:type="dxa"/>
            <w:tcBorders>
              <w:top w:val="single" w:sz="2" w:space="0" w:color="000000"/>
              <w:left w:val="single" w:sz="2" w:space="0" w:color="000000"/>
              <w:bottom w:val="single" w:sz="2" w:space="0" w:color="000000"/>
              <w:right w:val="single" w:sz="2" w:space="0" w:color="000000"/>
            </w:tcBorders>
          </w:tcPr>
          <w:p w14:paraId="72BAFDA9" w14:textId="77777777" w:rsidR="00053D93" w:rsidRDefault="00260B75">
            <w:pPr>
              <w:ind w:left="7"/>
              <w:jc w:val="both"/>
            </w:pPr>
            <w:r>
              <w:t xml:space="preserve">24971863 </w:t>
            </w:r>
          </w:p>
        </w:tc>
        <w:tc>
          <w:tcPr>
            <w:tcW w:w="5724" w:type="dxa"/>
            <w:tcBorders>
              <w:top w:val="single" w:sz="2" w:space="0" w:color="000000"/>
              <w:left w:val="single" w:sz="2" w:space="0" w:color="000000"/>
              <w:bottom w:val="single" w:sz="2" w:space="0" w:color="000000"/>
              <w:right w:val="single" w:sz="2" w:space="0" w:color="000000"/>
            </w:tcBorders>
          </w:tcPr>
          <w:p w14:paraId="0AA23901" w14:textId="77777777" w:rsidR="00053D93" w:rsidRDefault="00260B75">
            <w:pPr>
              <w:ind w:left="7" w:hanging="7"/>
              <w:jc w:val="both"/>
            </w:pPr>
            <w:r>
              <w:t>Adquisición de Libros de Tela Infantiles para el Programa "Acompáñame a Crecer"</w:t>
            </w:r>
          </w:p>
        </w:tc>
        <w:tc>
          <w:tcPr>
            <w:tcW w:w="1267" w:type="dxa"/>
            <w:tcBorders>
              <w:top w:val="single" w:sz="2" w:space="0" w:color="000000"/>
              <w:left w:val="single" w:sz="2" w:space="0" w:color="000000"/>
              <w:bottom w:val="single" w:sz="2" w:space="0" w:color="000000"/>
              <w:right w:val="single" w:sz="2" w:space="0" w:color="000000"/>
            </w:tcBorders>
            <w:vAlign w:val="bottom"/>
          </w:tcPr>
          <w:p w14:paraId="0C71918A" w14:textId="77777777" w:rsidR="00053D93" w:rsidRDefault="00260B75">
            <w:pPr>
              <w:ind w:left="281"/>
            </w:pPr>
            <w:r>
              <w:t>89,590.50</w:t>
            </w:r>
          </w:p>
        </w:tc>
      </w:tr>
      <w:tr w:rsidR="00053D93" w14:paraId="02E30102" w14:textId="77777777">
        <w:trPr>
          <w:trHeight w:val="533"/>
        </w:trPr>
        <w:tc>
          <w:tcPr>
            <w:tcW w:w="446" w:type="dxa"/>
            <w:tcBorders>
              <w:top w:val="single" w:sz="2" w:space="0" w:color="000000"/>
              <w:left w:val="single" w:sz="2" w:space="0" w:color="000000"/>
              <w:bottom w:val="single" w:sz="2" w:space="0" w:color="000000"/>
              <w:right w:val="single" w:sz="2" w:space="0" w:color="000000"/>
            </w:tcBorders>
          </w:tcPr>
          <w:p w14:paraId="38C252BF" w14:textId="77777777" w:rsidR="00053D93" w:rsidRDefault="00260B75">
            <w:pPr>
              <w:ind w:left="50"/>
            </w:pPr>
            <w:r>
              <w:t>85</w:t>
            </w:r>
          </w:p>
        </w:tc>
        <w:tc>
          <w:tcPr>
            <w:tcW w:w="1008" w:type="dxa"/>
            <w:tcBorders>
              <w:top w:val="single" w:sz="2" w:space="0" w:color="000000"/>
              <w:left w:val="single" w:sz="2" w:space="0" w:color="000000"/>
              <w:bottom w:val="single" w:sz="2" w:space="0" w:color="000000"/>
              <w:right w:val="single" w:sz="2" w:space="0" w:color="000000"/>
            </w:tcBorders>
          </w:tcPr>
          <w:p w14:paraId="11ED452D" w14:textId="77777777" w:rsidR="00053D93" w:rsidRDefault="00260B75">
            <w:pPr>
              <w:ind w:left="7"/>
              <w:jc w:val="both"/>
            </w:pPr>
            <w:r>
              <w:t xml:space="preserve">25008358 </w:t>
            </w:r>
          </w:p>
        </w:tc>
        <w:tc>
          <w:tcPr>
            <w:tcW w:w="5724" w:type="dxa"/>
            <w:tcBorders>
              <w:top w:val="single" w:sz="2" w:space="0" w:color="000000"/>
              <w:left w:val="single" w:sz="2" w:space="0" w:color="000000"/>
              <w:bottom w:val="single" w:sz="2" w:space="0" w:color="000000"/>
              <w:right w:val="single" w:sz="2" w:space="0" w:color="000000"/>
            </w:tcBorders>
          </w:tcPr>
          <w:p w14:paraId="56839661" w14:textId="77777777" w:rsidR="00053D93" w:rsidRDefault="00260B75">
            <w:pPr>
              <w:ind w:left="7" w:hanging="7"/>
            </w:pPr>
            <w:r>
              <w:t>Adquisición de Libros Infantiles para centros educativos del Nivel de Educación Preprimaria de Santa Catarina Ixtahuacán, Sololá</w:t>
            </w:r>
          </w:p>
        </w:tc>
        <w:tc>
          <w:tcPr>
            <w:tcW w:w="1267" w:type="dxa"/>
            <w:tcBorders>
              <w:top w:val="single" w:sz="2" w:space="0" w:color="000000"/>
              <w:left w:val="single" w:sz="2" w:space="0" w:color="000000"/>
              <w:bottom w:val="single" w:sz="2" w:space="0" w:color="000000"/>
              <w:right w:val="single" w:sz="2" w:space="0" w:color="000000"/>
            </w:tcBorders>
            <w:vAlign w:val="bottom"/>
          </w:tcPr>
          <w:p w14:paraId="112CE893" w14:textId="77777777" w:rsidR="00053D93" w:rsidRDefault="00260B75">
            <w:pPr>
              <w:ind w:left="274"/>
            </w:pPr>
            <w:r>
              <w:rPr>
                <w:sz w:val="16"/>
              </w:rPr>
              <w:t>79,200.oo</w:t>
            </w:r>
          </w:p>
        </w:tc>
      </w:tr>
      <w:tr w:rsidR="00053D93" w14:paraId="57DB53ED" w14:textId="77777777">
        <w:trPr>
          <w:trHeight w:val="554"/>
        </w:trPr>
        <w:tc>
          <w:tcPr>
            <w:tcW w:w="7178" w:type="dxa"/>
            <w:gridSpan w:val="3"/>
            <w:tcBorders>
              <w:top w:val="single" w:sz="2" w:space="0" w:color="000000"/>
              <w:left w:val="single" w:sz="2" w:space="0" w:color="000000"/>
              <w:bottom w:val="single" w:sz="2" w:space="0" w:color="000000"/>
              <w:right w:val="single" w:sz="2" w:space="0" w:color="000000"/>
            </w:tcBorders>
          </w:tcPr>
          <w:p w14:paraId="59AA66A4" w14:textId="77777777" w:rsidR="00053D93" w:rsidRDefault="00260B75">
            <w:pPr>
              <w:ind w:right="113"/>
              <w:jc w:val="center"/>
            </w:pPr>
            <w:r>
              <w:rPr>
                <w:sz w:val="24"/>
              </w:rPr>
              <w:t>TOTAL</w:t>
            </w:r>
          </w:p>
        </w:tc>
        <w:tc>
          <w:tcPr>
            <w:tcW w:w="1267" w:type="dxa"/>
            <w:tcBorders>
              <w:top w:val="single" w:sz="2" w:space="0" w:color="000000"/>
              <w:left w:val="single" w:sz="2" w:space="0" w:color="000000"/>
              <w:bottom w:val="single" w:sz="2" w:space="0" w:color="000000"/>
              <w:right w:val="single" w:sz="2" w:space="0" w:color="000000"/>
            </w:tcBorders>
            <w:vAlign w:val="bottom"/>
          </w:tcPr>
          <w:p w14:paraId="79309544" w14:textId="77777777" w:rsidR="00053D93" w:rsidRDefault="00260B75">
            <w:pPr>
              <w:ind w:left="7"/>
            </w:pPr>
            <w:r>
              <w:rPr>
                <w:noProof/>
              </w:rPr>
              <w:drawing>
                <wp:inline distT="0" distB="0" distL="0" distR="0" wp14:anchorId="5A9E8764" wp14:editId="0EBCEDFC">
                  <wp:extent cx="704087" cy="114300"/>
                  <wp:effectExtent l="0" t="0" r="0" b="0"/>
                  <wp:docPr id="1381632" name="Picture 1381632"/>
                  <wp:cNvGraphicFramePr/>
                  <a:graphic xmlns:a="http://schemas.openxmlformats.org/drawingml/2006/main">
                    <a:graphicData uri="http://schemas.openxmlformats.org/drawingml/2006/picture">
                      <pic:pic xmlns:pic="http://schemas.openxmlformats.org/drawingml/2006/picture">
                        <pic:nvPicPr>
                          <pic:cNvPr id="1381632" name="Picture 1381632"/>
                          <pic:cNvPicPr/>
                        </pic:nvPicPr>
                        <pic:blipFill>
                          <a:blip r:embed="rId1818"/>
                          <a:stretch>
                            <a:fillRect/>
                          </a:stretch>
                        </pic:blipFill>
                        <pic:spPr>
                          <a:xfrm>
                            <a:off x="0" y="0"/>
                            <a:ext cx="704087" cy="114300"/>
                          </a:xfrm>
                          <a:prstGeom prst="rect">
                            <a:avLst/>
                          </a:prstGeom>
                        </pic:spPr>
                      </pic:pic>
                    </a:graphicData>
                  </a:graphic>
                </wp:inline>
              </w:drawing>
            </w:r>
          </w:p>
        </w:tc>
      </w:tr>
    </w:tbl>
    <w:p w14:paraId="142F9F9D" w14:textId="77777777" w:rsidR="00053D93" w:rsidRDefault="00260B75">
      <w:pPr>
        <w:spacing w:after="407" w:line="265" w:lineRule="auto"/>
        <w:ind w:left="1673" w:hanging="10"/>
      </w:pPr>
      <w:r>
        <w:rPr>
          <w:sz w:val="18"/>
        </w:rPr>
        <w:t>Fuente: Elaboración propia con información del Sistema -GUATECOMPRAS-.</w:t>
      </w:r>
    </w:p>
    <w:p w14:paraId="020B0ED3" w14:textId="77777777" w:rsidR="00053D93" w:rsidRDefault="00260B75">
      <w:pPr>
        <w:spacing w:after="12" w:line="250" w:lineRule="auto"/>
        <w:ind w:left="1666" w:right="14" w:hanging="3"/>
        <w:jc w:val="both"/>
      </w:pPr>
      <w:r>
        <w:rPr>
          <w:sz w:val="26"/>
        </w:rPr>
        <w:t>Criterio</w:t>
      </w:r>
    </w:p>
    <w:tbl>
      <w:tblPr>
        <w:tblStyle w:val="TableGrid"/>
        <w:tblpPr w:vertAnchor="page" w:horzAnchor="page" w:tblpX="2830" w:tblpY="14566"/>
        <w:tblOverlap w:val="never"/>
        <w:tblW w:w="7610" w:type="dxa"/>
        <w:tblInd w:w="0" w:type="dxa"/>
        <w:tblCellMar>
          <w:top w:w="21" w:type="dxa"/>
          <w:left w:w="1750" w:type="dxa"/>
          <w:right w:w="115" w:type="dxa"/>
        </w:tblCellMar>
        <w:tblLook w:val="04A0" w:firstRow="1" w:lastRow="0" w:firstColumn="1" w:lastColumn="0" w:noHBand="0" w:noVBand="1"/>
      </w:tblPr>
      <w:tblGrid>
        <w:gridCol w:w="7610"/>
      </w:tblGrid>
      <w:tr w:rsidR="00053D93" w14:paraId="42E5DC7A" w14:textId="77777777">
        <w:trPr>
          <w:trHeight w:val="48"/>
        </w:trPr>
        <w:tc>
          <w:tcPr>
            <w:tcW w:w="7610" w:type="dxa"/>
            <w:tcBorders>
              <w:top w:val="nil"/>
              <w:left w:val="single" w:sz="2" w:space="0" w:color="000000"/>
              <w:bottom w:val="single" w:sz="2" w:space="0" w:color="000000"/>
              <w:right w:val="nil"/>
            </w:tcBorders>
          </w:tcPr>
          <w:p w14:paraId="7D445E62" w14:textId="77777777" w:rsidR="00053D93" w:rsidRDefault="00053D93"/>
        </w:tc>
      </w:tr>
      <w:tr w:rsidR="00053D93" w14:paraId="6D791C3E" w14:textId="77777777">
        <w:trPr>
          <w:trHeight w:val="586"/>
        </w:trPr>
        <w:tc>
          <w:tcPr>
            <w:tcW w:w="7610" w:type="dxa"/>
            <w:tcBorders>
              <w:top w:val="single" w:sz="2" w:space="0" w:color="000000"/>
              <w:left w:val="single" w:sz="2" w:space="0" w:color="000000"/>
              <w:bottom w:val="nil"/>
              <w:right w:val="nil"/>
            </w:tcBorders>
          </w:tcPr>
          <w:p w14:paraId="0747FD14" w14:textId="77777777" w:rsidR="00053D93" w:rsidRDefault="00260B75">
            <w:pPr>
              <w:ind w:left="828"/>
            </w:pPr>
            <w:r>
              <w:rPr>
                <w:sz w:val="14"/>
              </w:rPr>
              <w:t>MENISTERIO DE EDUCACION</w:t>
            </w:r>
          </w:p>
          <w:p w14:paraId="6FC4AA0D" w14:textId="77777777" w:rsidR="00053D93" w:rsidRDefault="00260B75">
            <w:pPr>
              <w:ind w:left="338"/>
            </w:pPr>
            <w:r>
              <w:rPr>
                <w:sz w:val="14"/>
              </w:rPr>
              <w:t>AUDITORIA FINANCIERA Y DE CUMPLIMIENTO</w:t>
            </w:r>
          </w:p>
          <w:p w14:paraId="66BCA0FE" w14:textId="77777777" w:rsidR="00053D93" w:rsidRDefault="00260B75">
            <w:r>
              <w:rPr>
                <w:sz w:val="14"/>
              </w:rPr>
              <w:t>PERIODO DEL Dl DE ENERO AL 31 DE DICIEMBRE DE 2024</w:t>
            </w:r>
          </w:p>
        </w:tc>
      </w:tr>
    </w:tbl>
    <w:p w14:paraId="5A3D6CE9" w14:textId="77777777" w:rsidR="00053D93" w:rsidRDefault="00260B75">
      <w:pPr>
        <w:spacing w:after="12" w:line="250" w:lineRule="auto"/>
        <w:ind w:left="1659" w:right="14" w:hanging="3"/>
        <w:jc w:val="both"/>
      </w:pPr>
      <w:r>
        <w:rPr>
          <w:noProof/>
        </w:rPr>
        <w:drawing>
          <wp:anchor distT="0" distB="0" distL="114300" distR="114300" simplePos="0" relativeHeight="252370944" behindDoc="0" locked="0" layoutInCell="1" allowOverlap="0" wp14:anchorId="01028A2F" wp14:editId="597BD1F0">
            <wp:simplePos x="0" y="0"/>
            <wp:positionH relativeFrom="page">
              <wp:posOffset>658368</wp:posOffset>
            </wp:positionH>
            <wp:positionV relativeFrom="page">
              <wp:posOffset>9244584</wp:posOffset>
            </wp:positionV>
            <wp:extent cx="1115568" cy="411480"/>
            <wp:effectExtent l="0" t="0" r="0" b="0"/>
            <wp:wrapTopAndBottom/>
            <wp:docPr id="1381760" name="Picture 1381760"/>
            <wp:cNvGraphicFramePr/>
            <a:graphic xmlns:a="http://schemas.openxmlformats.org/drawingml/2006/main">
              <a:graphicData uri="http://schemas.openxmlformats.org/drawingml/2006/picture">
                <pic:pic xmlns:pic="http://schemas.openxmlformats.org/drawingml/2006/picture">
                  <pic:nvPicPr>
                    <pic:cNvPr id="1381760" name="Picture 1381760"/>
                    <pic:cNvPicPr/>
                  </pic:nvPicPr>
                  <pic:blipFill>
                    <a:blip r:embed="rId1819"/>
                    <a:stretch>
                      <a:fillRect/>
                    </a:stretch>
                  </pic:blipFill>
                  <pic:spPr>
                    <a:xfrm>
                      <a:off x="0" y="0"/>
                      <a:ext cx="1115568" cy="411480"/>
                    </a:xfrm>
                    <a:prstGeom prst="rect">
                      <a:avLst/>
                    </a:prstGeom>
                  </pic:spPr>
                </pic:pic>
              </a:graphicData>
            </a:graphic>
          </wp:anchor>
        </w:drawing>
      </w:r>
      <w:r>
        <w:rPr>
          <w:sz w:val="26"/>
        </w:rPr>
        <w:t>El Decreto Número 57-92, del Congreso de la República de Guatemala, Ley de Contrataciones del Estado, artículo 4 Bis. Sistema de información de Contrataciones y Adquisiciones del Estado, establece: "... Los sujetos obligados de conformidad con la presente Ley, publicarán en el sistema GUATECOMPRAS la información que la normativa vigente establezca como requisitos obligatorios, en los plazos establecidos en las normas, disposiciones reglamentarias y las resoluciones respectivas... " Artículo 43. Modalidades específicas, establece: "Las modalidades específicas de adquisición pública son: ...b) Compra directa: La modalidad de compra directa consiste en la adquisición de bienes, suministros, obras y servicios a través de una oferta electrónica en el sistema GUATECOMPRAS, prescindiendo de los procedimientos de licitación o cotización, cuando la adquisición sea por montos mayores a veinticinco mil Quetzales (Q.25,000.00) y que no supere los noventa mil Quetzales (Q.90,000.00) ... La oferta electrónica se publicará en GUATECOMPRAS y debe incluir como mínimo:</w:t>
      </w:r>
    </w:p>
    <w:p w14:paraId="01880030" w14:textId="77777777" w:rsidR="00053D93" w:rsidRDefault="00260B75">
      <w:pPr>
        <w:spacing w:after="34"/>
        <w:ind w:left="1692"/>
      </w:pPr>
      <w:r>
        <w:rPr>
          <w:noProof/>
        </w:rPr>
        <mc:AlternateContent>
          <mc:Choice Requires="wpg">
            <w:drawing>
              <wp:inline distT="0" distB="0" distL="0" distR="0" wp14:anchorId="7E31CC1C" wp14:editId="5770575D">
                <wp:extent cx="5376672" cy="9144"/>
                <wp:effectExtent l="0" t="0" r="0" b="0"/>
                <wp:docPr id="2459040" name="Group 2459040"/>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9039" name="Shape 2459039"/>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40" style="width:423.36pt;height:0.719994pt;mso-position-horizontal-relative:char;mso-position-vertical-relative:line" coordsize="53766,91">
                <v:shape id="Shape 2459039" style="position:absolute;width:53766;height:91;left:0;top:0;" coordsize="5376672,9144" path="m0,4572l5376672,4572">
                  <v:stroke weight="0.719994pt" endcap="flat" joinstyle="miter" miterlimit="1" on="true" color="#000000"/>
                  <v:fill on="false" color="#000000"/>
                </v:shape>
              </v:group>
            </w:pict>
          </mc:Fallback>
        </mc:AlternateContent>
      </w:r>
    </w:p>
    <w:p w14:paraId="597BE73C" w14:textId="77777777" w:rsidR="00053D93" w:rsidRDefault="00260B75">
      <w:pPr>
        <w:spacing w:after="52" w:line="250" w:lineRule="auto"/>
        <w:ind w:left="31" w:right="14" w:hanging="3"/>
        <w:jc w:val="both"/>
      </w:pPr>
      <w:r>
        <w:rPr>
          <w:sz w:val="26"/>
        </w:rPr>
        <w:t>1 detalle del bien o servicio ofertado, número de identificación tributaria y nombre o razón social del oferente y el monto de la oferta. Luego de la adjudicación se 1 publicará en GUATECOMPRAS, como mínimo, el número de identificación tributaria y el nombre o razón social det proveedor adjudicado y el monto adjudicado."</w:t>
      </w:r>
    </w:p>
    <w:p w14:paraId="0162D2AD" w14:textId="77777777" w:rsidR="00053D93" w:rsidRDefault="00260B75">
      <w:pPr>
        <w:spacing w:after="0"/>
        <w:ind w:left="36"/>
      </w:pPr>
      <w:r>
        <w:rPr>
          <w:noProof/>
        </w:rPr>
        <mc:AlternateContent>
          <mc:Choice Requires="wpg">
            <w:drawing>
              <wp:inline distT="0" distB="0" distL="0" distR="0" wp14:anchorId="0BD47B1B" wp14:editId="718378FF">
                <wp:extent cx="114300" cy="288036"/>
                <wp:effectExtent l="0" t="0" r="0" b="0"/>
                <wp:docPr id="2458016" name="Group 2458016"/>
                <wp:cNvGraphicFramePr/>
                <a:graphic xmlns:a="http://schemas.openxmlformats.org/drawingml/2006/main">
                  <a:graphicData uri="http://schemas.microsoft.com/office/word/2010/wordprocessingGroup">
                    <wpg:wgp>
                      <wpg:cNvGrpSpPr/>
                      <wpg:grpSpPr>
                        <a:xfrm>
                          <a:off x="0" y="0"/>
                          <a:ext cx="114300" cy="288036"/>
                          <a:chOff x="0" y="0"/>
                          <a:chExt cx="114300" cy="288036"/>
                        </a:xfrm>
                      </wpg:grpSpPr>
                      <wps:wsp>
                        <wps:cNvPr id="1382369" name="Rectangle 1382369"/>
                        <wps:cNvSpPr/>
                        <wps:spPr>
                          <a:xfrm>
                            <a:off x="0" y="0"/>
                            <a:ext cx="152019" cy="383088"/>
                          </a:xfrm>
                          <a:prstGeom prst="rect">
                            <a:avLst/>
                          </a:prstGeom>
                          <a:ln>
                            <a:noFill/>
                          </a:ln>
                        </wps:spPr>
                        <wps:txbx>
                          <w:txbxContent>
                            <w:p w14:paraId="6963B9DA"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0BD47B1B" id="Group 2458016" o:spid="_x0000_s1885" style="width:9pt;height:22.7pt;mso-position-horizontal-relative:char;mso-position-vertical-relative:line" coordsize="114300,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">
                <v:rect id="Rectangle 1382369" o:spid="_x0000_s1886" style="position:absolute;width:152019;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" filled="f" stroked="f">
                  <v:textbox inset="0,0,0,0">
                    <w:txbxContent>
                      <w:p w14:paraId="6963B9DA" w14:textId="77777777" w:rsidR="00053D93" w:rsidRDefault="00260B75">
                        <w:r>
                          <w:rPr>
                            <w:sz w:val="70"/>
                          </w:rPr>
                          <w:t>1</w:t>
                        </w:r>
                      </w:p>
                    </w:txbxContent>
                  </v:textbox>
                </v:rect>
                <w10:anchorlock/>
              </v:group>
            </w:pict>
          </mc:Fallback>
        </mc:AlternateContent>
      </w:r>
    </w:p>
    <w:p w14:paraId="4738E8AD" w14:textId="77777777" w:rsidR="00053D93" w:rsidRDefault="00260B75">
      <w:pPr>
        <w:spacing w:after="12" w:line="250" w:lineRule="auto"/>
        <w:ind w:left="31" w:right="14" w:hanging="3"/>
        <w:jc w:val="both"/>
      </w:pPr>
      <w:r>
        <w:rPr>
          <w:sz w:val="26"/>
        </w:rPr>
        <w:t>La Resolución Número 001-2022, de la Dirección General de Adquisiciones del</w:t>
      </w:r>
    </w:p>
    <w:p w14:paraId="6D4306AB" w14:textId="77777777" w:rsidR="00053D93" w:rsidRDefault="00260B75">
      <w:pPr>
        <w:spacing w:after="12" w:line="250" w:lineRule="auto"/>
        <w:ind w:left="28" w:right="14" w:firstLine="1678"/>
        <w:jc w:val="both"/>
      </w:pPr>
      <w:r>
        <w:rPr>
          <w:sz w:val="26"/>
        </w:rPr>
        <w:t>Estado, del Ministerio de Finanzas Públicas, Normas para el Uso del Sistema de 1 Información de Contrataciones y Adquisiciones del Estado GUATECOMPRAS,</w:t>
      </w:r>
    </w:p>
    <w:p w14:paraId="3F63C0E9" w14:textId="77777777" w:rsidR="00053D93" w:rsidRDefault="00260B75">
      <w:pPr>
        <w:spacing w:after="186" w:line="250" w:lineRule="auto"/>
        <w:ind w:left="28" w:right="14" w:firstLine="1663"/>
        <w:jc w:val="both"/>
      </w:pPr>
      <w:r>
        <w:rPr>
          <w:sz w:val="26"/>
        </w:rPr>
        <w:t>Artículo 13. Tipos de Adquisiciones Públicas que se deben incluir en el Sistema 1 GUATECOMPRAS, establece: "Todo proceso de adquisición pública contemplado en la LEY deberá estar incluido en el Sistema GUATECOMPRAS, para el efecto se pueden clasificar por Número de Operación Guatecompras (NOG) o bien por Número de Publicación Guatecompras (NPG) de acuerdo a lo siguiente: A. Concurso con Número de Operación Guatecompras (NOG): Es el número de 1 operación para todo proceso por medio del cual se crea un concurso de acuerdo al tipo de adquisición a utilizar. Los tipos de concursos públicos que pueden ser creados por medio de un NOG son los siguientes: 1. Cotización. 2. Licitación. 3.</w:t>
      </w:r>
    </w:p>
    <w:tbl>
      <w:tblPr>
        <w:tblStyle w:val="TableGrid"/>
        <w:tblpPr w:vertAnchor="page" w:horzAnchor="page" w:tblpX="2870" w:tblpY="14566"/>
        <w:tblOverlap w:val="never"/>
        <w:tblW w:w="7613" w:type="dxa"/>
        <w:tblInd w:w="0" w:type="dxa"/>
        <w:tblCellMar>
          <w:top w:w="23" w:type="dxa"/>
          <w:left w:w="1738" w:type="dxa"/>
          <w:right w:w="115" w:type="dxa"/>
        </w:tblCellMar>
        <w:tblLook w:val="04A0" w:firstRow="1" w:lastRow="0" w:firstColumn="1" w:lastColumn="0" w:noHBand="0" w:noVBand="1"/>
      </w:tblPr>
      <w:tblGrid>
        <w:gridCol w:w="7613"/>
      </w:tblGrid>
      <w:tr w:rsidR="00053D93" w14:paraId="3E35C89D" w14:textId="77777777">
        <w:trPr>
          <w:trHeight w:val="48"/>
        </w:trPr>
        <w:tc>
          <w:tcPr>
            <w:tcW w:w="7613" w:type="dxa"/>
            <w:tcBorders>
              <w:top w:val="nil"/>
              <w:left w:val="single" w:sz="2" w:space="0" w:color="000000"/>
              <w:bottom w:val="single" w:sz="2" w:space="0" w:color="000000"/>
              <w:right w:val="nil"/>
            </w:tcBorders>
          </w:tcPr>
          <w:p w14:paraId="70EC8EF9" w14:textId="77777777" w:rsidR="00053D93" w:rsidRDefault="00053D93"/>
        </w:tc>
      </w:tr>
      <w:tr w:rsidR="00053D93" w14:paraId="406AE31C" w14:textId="77777777">
        <w:trPr>
          <w:trHeight w:val="593"/>
        </w:trPr>
        <w:tc>
          <w:tcPr>
            <w:tcW w:w="7613" w:type="dxa"/>
            <w:tcBorders>
              <w:top w:val="single" w:sz="2" w:space="0" w:color="000000"/>
              <w:left w:val="single" w:sz="2" w:space="0" w:color="000000"/>
              <w:bottom w:val="nil"/>
              <w:right w:val="nil"/>
            </w:tcBorders>
          </w:tcPr>
          <w:p w14:paraId="305E0714" w14:textId="77777777" w:rsidR="00053D93" w:rsidRDefault="00260B75">
            <w:pPr>
              <w:ind w:left="842"/>
            </w:pPr>
            <w:r>
              <w:rPr>
                <w:sz w:val="14"/>
              </w:rPr>
              <w:t>MINISTERIO DE EDUCACION</w:t>
            </w:r>
          </w:p>
          <w:p w14:paraId="22424E27" w14:textId="77777777" w:rsidR="00053D93" w:rsidRDefault="00260B75">
            <w:pPr>
              <w:ind w:left="346"/>
            </w:pPr>
            <w:r>
              <w:rPr>
                <w:sz w:val="14"/>
              </w:rPr>
              <w:t>AUDITORIA FINANCIERA Y DE CUMPLIMIENTO</w:t>
            </w:r>
          </w:p>
          <w:p w14:paraId="64BCF75F" w14:textId="77777777" w:rsidR="00053D93" w:rsidRDefault="00260B75">
            <w:r>
              <w:rPr>
                <w:sz w:val="14"/>
              </w:rPr>
              <w:t>PERIODO DEL DE ENERO At 31 D? DICIEMBRE DE 2024</w:t>
            </w:r>
          </w:p>
        </w:tc>
      </w:tr>
    </w:tbl>
    <w:p w14:paraId="5F977CB7" w14:textId="77777777" w:rsidR="00053D93" w:rsidRDefault="00260B75">
      <w:pPr>
        <w:spacing w:after="116" w:line="250" w:lineRule="auto"/>
        <w:ind w:left="31" w:right="14" w:hanging="3"/>
        <w:jc w:val="both"/>
      </w:pPr>
      <w:r>
        <w:rPr>
          <w:noProof/>
        </w:rPr>
        <w:drawing>
          <wp:anchor distT="0" distB="0" distL="114300" distR="114300" simplePos="0" relativeHeight="252371968" behindDoc="0" locked="0" layoutInCell="1" allowOverlap="0" wp14:anchorId="5BC5C5B2" wp14:editId="4D3E2FA1">
            <wp:simplePos x="0" y="0"/>
            <wp:positionH relativeFrom="page">
              <wp:posOffset>681228</wp:posOffset>
            </wp:positionH>
            <wp:positionV relativeFrom="page">
              <wp:posOffset>9249156</wp:posOffset>
            </wp:positionV>
            <wp:extent cx="1115568" cy="406908"/>
            <wp:effectExtent l="0" t="0" r="0" b="0"/>
            <wp:wrapTopAndBottom/>
            <wp:docPr id="1385101" name="Picture 1385101"/>
            <wp:cNvGraphicFramePr/>
            <a:graphic xmlns:a="http://schemas.openxmlformats.org/drawingml/2006/main">
              <a:graphicData uri="http://schemas.openxmlformats.org/drawingml/2006/picture">
                <pic:pic xmlns:pic="http://schemas.openxmlformats.org/drawingml/2006/picture">
                  <pic:nvPicPr>
                    <pic:cNvPr id="1385101" name="Picture 1385101"/>
                    <pic:cNvPicPr/>
                  </pic:nvPicPr>
                  <pic:blipFill>
                    <a:blip r:embed="rId1820"/>
                    <a:stretch>
                      <a:fillRect/>
                    </a:stretch>
                  </pic:blipFill>
                  <pic:spPr>
                    <a:xfrm>
                      <a:off x="0" y="0"/>
                      <a:ext cx="1115568" cy="406908"/>
                    </a:xfrm>
                    <a:prstGeom prst="rect">
                      <a:avLst/>
                    </a:prstGeom>
                  </pic:spPr>
                </pic:pic>
              </a:graphicData>
            </a:graphic>
          </wp:anchor>
        </w:drawing>
      </w:r>
      <w:r>
        <w:rPr>
          <w:noProof/>
        </w:rPr>
        <w:drawing>
          <wp:anchor distT="0" distB="0" distL="114300" distR="114300" simplePos="0" relativeHeight="252372992" behindDoc="0" locked="0" layoutInCell="1" allowOverlap="0" wp14:anchorId="65B617E4" wp14:editId="15BF6EF5">
            <wp:simplePos x="0" y="0"/>
            <wp:positionH relativeFrom="page">
              <wp:posOffset>6693409</wp:posOffset>
            </wp:positionH>
            <wp:positionV relativeFrom="page">
              <wp:posOffset>3918204</wp:posOffset>
            </wp:positionV>
            <wp:extent cx="13715" cy="18288"/>
            <wp:effectExtent l="0" t="0" r="0" b="0"/>
            <wp:wrapSquare wrapText="bothSides"/>
            <wp:docPr id="1385044" name="Picture 1385044"/>
            <wp:cNvGraphicFramePr/>
            <a:graphic xmlns:a="http://schemas.openxmlformats.org/drawingml/2006/main">
              <a:graphicData uri="http://schemas.openxmlformats.org/drawingml/2006/picture">
                <pic:pic xmlns:pic="http://schemas.openxmlformats.org/drawingml/2006/picture">
                  <pic:nvPicPr>
                    <pic:cNvPr id="1385044" name="Picture 1385044"/>
                    <pic:cNvPicPr/>
                  </pic:nvPicPr>
                  <pic:blipFill>
                    <a:blip r:embed="rId1821"/>
                    <a:stretch>
                      <a:fillRect/>
                    </a:stretch>
                  </pic:blipFill>
                  <pic:spPr>
                    <a:xfrm>
                      <a:off x="0" y="0"/>
                      <a:ext cx="13715" cy="18288"/>
                    </a:xfrm>
                    <a:prstGeom prst="rect">
                      <a:avLst/>
                    </a:prstGeom>
                  </pic:spPr>
                </pic:pic>
              </a:graphicData>
            </a:graphic>
          </wp:anchor>
        </w:drawing>
      </w:r>
      <w:r>
        <w:rPr>
          <w:noProof/>
        </w:rPr>
        <w:drawing>
          <wp:anchor distT="0" distB="0" distL="114300" distR="114300" simplePos="0" relativeHeight="252374016" behindDoc="0" locked="0" layoutInCell="1" allowOverlap="0" wp14:anchorId="6C105A68" wp14:editId="4A694AD5">
            <wp:simplePos x="0" y="0"/>
            <wp:positionH relativeFrom="page">
              <wp:posOffset>7004304</wp:posOffset>
            </wp:positionH>
            <wp:positionV relativeFrom="page">
              <wp:posOffset>6830569</wp:posOffset>
            </wp:positionV>
            <wp:extent cx="9144" cy="13715"/>
            <wp:effectExtent l="0" t="0" r="0" b="0"/>
            <wp:wrapSquare wrapText="bothSides"/>
            <wp:docPr id="1385047" name="Picture 1385047"/>
            <wp:cNvGraphicFramePr/>
            <a:graphic xmlns:a="http://schemas.openxmlformats.org/drawingml/2006/main">
              <a:graphicData uri="http://schemas.openxmlformats.org/drawingml/2006/picture">
                <pic:pic xmlns:pic="http://schemas.openxmlformats.org/drawingml/2006/picture">
                  <pic:nvPicPr>
                    <pic:cNvPr id="1385047" name="Picture 1385047"/>
                    <pic:cNvPicPr/>
                  </pic:nvPicPr>
                  <pic:blipFill>
                    <a:blip r:embed="rId49"/>
                    <a:stretch>
                      <a:fillRect/>
                    </a:stretch>
                  </pic:blipFill>
                  <pic:spPr>
                    <a:xfrm>
                      <a:off x="0" y="0"/>
                      <a:ext cx="9144" cy="13715"/>
                    </a:xfrm>
                    <a:prstGeom prst="rect">
                      <a:avLst/>
                    </a:prstGeom>
                  </pic:spPr>
                </pic:pic>
              </a:graphicData>
            </a:graphic>
          </wp:anchor>
        </w:drawing>
      </w:r>
      <w:r>
        <w:rPr>
          <w:noProof/>
        </w:rPr>
        <w:drawing>
          <wp:anchor distT="0" distB="0" distL="114300" distR="114300" simplePos="0" relativeHeight="252375040" behindDoc="0" locked="0" layoutInCell="1" allowOverlap="0" wp14:anchorId="44689B61" wp14:editId="7C1DB572">
            <wp:simplePos x="0" y="0"/>
            <wp:positionH relativeFrom="page">
              <wp:posOffset>137160</wp:posOffset>
            </wp:positionH>
            <wp:positionV relativeFrom="page">
              <wp:posOffset>6496812</wp:posOffset>
            </wp:positionV>
            <wp:extent cx="4572" cy="9144"/>
            <wp:effectExtent l="0" t="0" r="0" b="0"/>
            <wp:wrapTopAndBottom/>
            <wp:docPr id="1385045" name="Picture 1385045"/>
            <wp:cNvGraphicFramePr/>
            <a:graphic xmlns:a="http://schemas.openxmlformats.org/drawingml/2006/main">
              <a:graphicData uri="http://schemas.openxmlformats.org/drawingml/2006/picture">
                <pic:pic xmlns:pic="http://schemas.openxmlformats.org/drawingml/2006/picture">
                  <pic:nvPicPr>
                    <pic:cNvPr id="1385045" name="Picture 1385045"/>
                    <pic:cNvPicPr/>
                  </pic:nvPicPr>
                  <pic:blipFill>
                    <a:blip r:embed="rId24"/>
                    <a:stretch>
                      <a:fillRect/>
                    </a:stretch>
                  </pic:blipFill>
                  <pic:spPr>
                    <a:xfrm>
                      <a:off x="0" y="0"/>
                      <a:ext cx="4572" cy="9144"/>
                    </a:xfrm>
                    <a:prstGeom prst="rect">
                      <a:avLst/>
                    </a:prstGeom>
                  </pic:spPr>
                </pic:pic>
              </a:graphicData>
            </a:graphic>
          </wp:anchor>
        </w:drawing>
      </w:r>
      <w:r>
        <w:rPr>
          <w:sz w:val="26"/>
        </w:rPr>
        <w:t>1 Modalidades específicas. a. Compra Directa..." Artículo 21. Procedimiento para el registro de las compras directas con oferta electrónica, establece: "Las Unidades Ejecutoras por medio de los usuarios correspondientes, deben publicar en el 1 Sistema GUATECOMPRAS [a información y documentación que el sistema requiere en cada una de las fases del proceso, en la forma y tiempo que se 1 describen, a continuación: ...f. Factura: La Unidad Ejecutora deberá publicar en el Sistema GUATECOMPRAS la factura dentro de los diez (10) días hábiles siguientes a la fecha de emisión..."</w:t>
      </w:r>
    </w:p>
    <w:p w14:paraId="519866A0" w14:textId="77777777" w:rsidR="00053D93" w:rsidRDefault="00260B75">
      <w:pPr>
        <w:spacing w:after="3"/>
        <w:ind w:left="45" w:hanging="10"/>
      </w:pPr>
      <w:r>
        <w:rPr>
          <w:sz w:val="72"/>
        </w:rPr>
        <w:t>1</w:t>
      </w:r>
    </w:p>
    <w:p w14:paraId="5EA5E269" w14:textId="77777777" w:rsidR="00053D93" w:rsidRDefault="00260B75">
      <w:pPr>
        <w:pStyle w:val="Ttulo5"/>
        <w:ind w:left="1691"/>
      </w:pPr>
      <w:r>
        <w:t>Causa</w:t>
      </w:r>
    </w:p>
    <w:p w14:paraId="1CEBD1A1" w14:textId="77777777" w:rsidR="00053D93" w:rsidRDefault="00260B75">
      <w:pPr>
        <w:spacing w:after="258"/>
        <w:ind w:left="24" w:right="35" w:hanging="10"/>
        <w:jc w:val="right"/>
      </w:pPr>
      <w:r>
        <w:rPr>
          <w:sz w:val="26"/>
        </w:rPr>
        <w:t>El Planificador y el Encargado de Fondo Rotativo, incumplieron la normativa legal</w:t>
      </w:r>
    </w:p>
    <w:p w14:paraId="1DD5CE27" w14:textId="77777777" w:rsidR="00053D93" w:rsidRDefault="00260B75">
      <w:pPr>
        <w:spacing w:after="81" w:line="250" w:lineRule="auto"/>
        <w:ind w:left="86" w:right="14" w:hanging="58"/>
        <w:jc w:val="both"/>
      </w:pPr>
      <w:r>
        <w:rPr>
          <w:noProof/>
        </w:rPr>
        <w:drawing>
          <wp:inline distT="0" distB="0" distL="0" distR="0" wp14:anchorId="1AC6D51F" wp14:editId="58EABFBB">
            <wp:extent cx="13716" cy="13715"/>
            <wp:effectExtent l="0" t="0" r="0" b="0"/>
            <wp:docPr id="1385046" name="Picture 1385046"/>
            <wp:cNvGraphicFramePr/>
            <a:graphic xmlns:a="http://schemas.openxmlformats.org/drawingml/2006/main">
              <a:graphicData uri="http://schemas.openxmlformats.org/drawingml/2006/picture">
                <pic:pic xmlns:pic="http://schemas.openxmlformats.org/drawingml/2006/picture">
                  <pic:nvPicPr>
                    <pic:cNvPr id="1385046" name="Picture 1385046"/>
                    <pic:cNvPicPr/>
                  </pic:nvPicPr>
                  <pic:blipFill>
                    <a:blip r:embed="rId1822"/>
                    <a:stretch>
                      <a:fillRect/>
                    </a:stretch>
                  </pic:blipFill>
                  <pic:spPr>
                    <a:xfrm>
                      <a:off x="0" y="0"/>
                      <a:ext cx="13716" cy="13715"/>
                    </a:xfrm>
                    <a:prstGeom prst="rect">
                      <a:avLst/>
                    </a:prstGeom>
                  </pic:spPr>
                </pic:pic>
              </a:graphicData>
            </a:graphic>
          </wp:inline>
        </w:drawing>
      </w:r>
      <w:r>
        <w:rPr>
          <w:sz w:val="26"/>
        </w:rPr>
        <w:t>1 al no publicar en el Sistema de Información de Contrataciones y Adquisiciones del Estado -GUATECOMPRAS-, las facturas que respaldan las negociaciones, en el 1 plazo establecido en la misma.</w:t>
      </w:r>
    </w:p>
    <w:p w14:paraId="2E527EA4" w14:textId="77777777" w:rsidR="00053D93" w:rsidRDefault="00260B75">
      <w:pPr>
        <w:spacing w:after="194" w:line="251" w:lineRule="auto"/>
        <w:ind w:left="1658" w:hanging="3"/>
        <w:jc w:val="both"/>
      </w:pPr>
      <w:r>
        <w:rPr>
          <w:sz w:val="28"/>
        </w:rPr>
        <w:t>Efecto</w:t>
      </w:r>
    </w:p>
    <w:p w14:paraId="2DD13691" w14:textId="77777777" w:rsidR="00053D93" w:rsidRDefault="00260B75">
      <w:pPr>
        <w:spacing w:after="446" w:line="390" w:lineRule="auto"/>
        <w:ind w:left="1648" w:right="14" w:hanging="1620"/>
        <w:jc w:val="both"/>
      </w:pPr>
      <w:r>
        <w:rPr>
          <w:sz w:val="26"/>
        </w:rPr>
        <w:t>1</w:t>
      </w:r>
      <w:r>
        <w:rPr>
          <w:sz w:val="26"/>
        </w:rPr>
        <w:tab/>
        <w:t>Falta de publicación de las facturas en los plazos establecidos dificulta el proceso de fiscalización y la rendición de cuentas en las negociaciones.</w:t>
      </w:r>
    </w:p>
    <w:p w14:paraId="4E271C1C" w14:textId="77777777" w:rsidR="00053D93" w:rsidRDefault="00260B75">
      <w:pPr>
        <w:tabs>
          <w:tab w:val="center" w:pos="2570"/>
        </w:tabs>
        <w:spacing w:after="14" w:line="251" w:lineRule="auto"/>
      </w:pPr>
      <w:r>
        <w:rPr>
          <w:sz w:val="28"/>
        </w:rPr>
        <w:t>1</w:t>
      </w:r>
      <w:r>
        <w:rPr>
          <w:sz w:val="28"/>
        </w:rPr>
        <w:tab/>
        <w:t>Recomendación</w:t>
      </w:r>
    </w:p>
    <w:p w14:paraId="4D6E4A4B" w14:textId="77777777" w:rsidR="00053D93" w:rsidRDefault="00260B75">
      <w:pPr>
        <w:spacing w:after="12" w:line="250" w:lineRule="auto"/>
        <w:ind w:left="28" w:right="14" w:firstLine="1620"/>
        <w:jc w:val="both"/>
      </w:pPr>
      <w:r>
        <w:rPr>
          <w:sz w:val="26"/>
        </w:rPr>
        <w:t>La Subdirectora Administrativa Financiera, debe girar instrucciones al Planificador 1 y al Encargado de Fondo Rotativo, a efecto que, sean publicadas las facturas que respaldan las negociaciones en el Sistema de Información de Contrataciones y Adquisiciones del Estado -GUATECOMPRAS-, en. el plazo establecido en la normativa legal vigente.</w:t>
      </w:r>
    </w:p>
    <w:p w14:paraId="1B24FD35" w14:textId="77777777" w:rsidR="00053D93" w:rsidRDefault="00260B75">
      <w:pPr>
        <w:spacing w:after="3"/>
        <w:ind w:left="24" w:hanging="10"/>
      </w:pPr>
      <w:r>
        <w:rPr>
          <w:sz w:val="86"/>
        </w:rPr>
        <w:t>1</w:t>
      </w:r>
    </w:p>
    <w:p w14:paraId="7512AB8C" w14:textId="77777777" w:rsidR="00053D93" w:rsidRDefault="00260B75">
      <w:pPr>
        <w:pStyle w:val="Ttulo5"/>
        <w:tabs>
          <w:tab w:val="right" w:pos="10188"/>
        </w:tabs>
        <w:ind w:left="0" w:firstLine="0"/>
      </w:pPr>
      <w:r>
        <w:rPr>
          <w:sz w:val="34"/>
        </w:rPr>
        <w:t>-1</w:t>
      </w:r>
      <w:r>
        <w:rPr>
          <w:sz w:val="34"/>
        </w:rPr>
        <w:tab/>
      </w:r>
      <w:r>
        <w:rPr>
          <w:noProof/>
        </w:rPr>
        <mc:AlternateContent>
          <mc:Choice Requires="wpg">
            <w:drawing>
              <wp:inline distT="0" distB="0" distL="0" distR="0" wp14:anchorId="40CA4EFC" wp14:editId="2C450286">
                <wp:extent cx="5376672" cy="9144"/>
                <wp:effectExtent l="0" t="0" r="0" b="0"/>
                <wp:docPr id="2459044" name="Group 2459044"/>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2459043" name="Shape 2459043"/>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44" style="width:423.36pt;height:0.720001pt;mso-position-horizontal-relative:char;mso-position-vertical-relative:line" coordsize="53766,91">
                <v:shape id="Shape 2459043" style="position:absolute;width:53766;height:91;left:0;top:0;" coordsize="5376672,9144" path="m0,4572l5376672,4572">
                  <v:stroke weight="0.720001pt" endcap="flat" joinstyle="miter" miterlimit="1" on="true" color="#000000"/>
                  <v:fill on="false" color="#000000"/>
                </v:shape>
              </v:group>
            </w:pict>
          </mc:Fallback>
        </mc:AlternateContent>
      </w:r>
    </w:p>
    <w:p w14:paraId="684C1D22" w14:textId="77777777" w:rsidR="00053D93" w:rsidRDefault="00260B75">
      <w:pPr>
        <w:spacing w:after="111" w:line="266" w:lineRule="auto"/>
        <w:ind w:left="1695" w:hanging="10"/>
      </w:pPr>
      <w:r>
        <w:rPr>
          <w:sz w:val="28"/>
        </w:rPr>
        <w:t>Comentario de los responsables</w:t>
      </w:r>
    </w:p>
    <w:p w14:paraId="4B06842E" w14:textId="77777777" w:rsidR="00053D93" w:rsidRDefault="00260B75">
      <w:pPr>
        <w:spacing w:after="4" w:line="269" w:lineRule="auto"/>
        <w:ind w:left="60" w:right="14" w:hanging="3"/>
        <w:jc w:val="both"/>
      </w:pPr>
      <w:r>
        <w:rPr>
          <w:noProof/>
        </w:rPr>
        <w:drawing>
          <wp:inline distT="0" distB="0" distL="0" distR="0" wp14:anchorId="6E7E9483" wp14:editId="09144A86">
            <wp:extent cx="13716" cy="13716"/>
            <wp:effectExtent l="0" t="0" r="0" b="0"/>
            <wp:docPr id="1388251" name="Picture 1388251"/>
            <wp:cNvGraphicFramePr/>
            <a:graphic xmlns:a="http://schemas.openxmlformats.org/drawingml/2006/main">
              <a:graphicData uri="http://schemas.openxmlformats.org/drawingml/2006/picture">
                <pic:pic xmlns:pic="http://schemas.openxmlformats.org/drawingml/2006/picture">
                  <pic:nvPicPr>
                    <pic:cNvPr id="1388251" name="Picture 1388251"/>
                    <pic:cNvPicPr/>
                  </pic:nvPicPr>
                  <pic:blipFill>
                    <a:blip r:embed="rId1823"/>
                    <a:stretch>
                      <a:fillRect/>
                    </a:stretch>
                  </pic:blipFill>
                  <pic:spPr>
                    <a:xfrm>
                      <a:off x="0" y="0"/>
                      <a:ext cx="13716" cy="13716"/>
                    </a:xfrm>
                    <a:prstGeom prst="rect">
                      <a:avLst/>
                    </a:prstGeom>
                  </pic:spPr>
                </pic:pic>
              </a:graphicData>
            </a:graphic>
          </wp:inline>
        </w:drawing>
      </w:r>
      <w:r>
        <w:rPr>
          <w:sz w:val="26"/>
        </w:rPr>
        <w:t xml:space="preserve">1 En Oficio No. DIGECADE-SAF/149-2025, del 1 1 de abril de 2025, el licenciado Marcell Antonio Romero Aguilar, Planificador, manifiesta: ' ... La DIGECADE, a la fecha, no cuenta con una estructura organizacional adecuada que le permita </w:t>
      </w:r>
      <w:r>
        <w:rPr>
          <w:noProof/>
        </w:rPr>
        <w:drawing>
          <wp:inline distT="0" distB="0" distL="0" distR="0" wp14:anchorId="6A7B9D91" wp14:editId="2358A7EF">
            <wp:extent cx="13716" cy="9144"/>
            <wp:effectExtent l="0" t="0" r="0" b="0"/>
            <wp:docPr id="1388252" name="Picture 1388252"/>
            <wp:cNvGraphicFramePr/>
            <a:graphic xmlns:a="http://schemas.openxmlformats.org/drawingml/2006/main">
              <a:graphicData uri="http://schemas.openxmlformats.org/drawingml/2006/picture">
                <pic:pic xmlns:pic="http://schemas.openxmlformats.org/drawingml/2006/picture">
                  <pic:nvPicPr>
                    <pic:cNvPr id="1388252" name="Picture 1388252"/>
                    <pic:cNvPicPr/>
                  </pic:nvPicPr>
                  <pic:blipFill>
                    <a:blip r:embed="rId49"/>
                    <a:stretch>
                      <a:fillRect/>
                    </a:stretch>
                  </pic:blipFill>
                  <pic:spPr>
                    <a:xfrm>
                      <a:off x="0" y="0"/>
                      <a:ext cx="13716" cy="9144"/>
                    </a:xfrm>
                    <a:prstGeom prst="rect">
                      <a:avLst/>
                    </a:prstGeom>
                  </pic:spPr>
                </pic:pic>
              </a:graphicData>
            </a:graphic>
          </wp:inline>
        </w:drawing>
      </w:r>
      <w:r>
        <w:rPr>
          <w:sz w:val="26"/>
        </w:rPr>
        <w:t>1 realizar las gestiones financieras de manera desconcentrada. En ese sentido, no dispone de un manual de funciones actualizado, y, por consiguiente, no se cuenta con un departamento de compras formalmente establecido. Las gestiones 1 relacionadas con los procesos de adquisición se han realizado de manera improvisada, siendo solicitada de forma verbal la publicación de los eventos 1 —NOG— correspondientes a concursos de compra directa con oferta electrónica.</w:t>
      </w:r>
    </w:p>
    <w:p w14:paraId="5409C8F4" w14:textId="77777777" w:rsidR="00053D93" w:rsidRDefault="00260B75">
      <w:pPr>
        <w:spacing w:after="164" w:line="269" w:lineRule="auto"/>
        <w:ind w:left="57" w:right="14" w:firstLine="1685"/>
        <w:jc w:val="both"/>
      </w:pPr>
      <w:r>
        <w:rPr>
          <w:sz w:val="26"/>
        </w:rPr>
        <w:t xml:space="preserve">Después de la publicación del NOG correspondiente, el expediente era remitido </w:t>
      </w:r>
      <w:r>
        <w:rPr>
          <w:noProof/>
        </w:rPr>
        <w:drawing>
          <wp:inline distT="0" distB="0" distL="0" distR="0" wp14:anchorId="1B2F30A7" wp14:editId="7C6A2C50">
            <wp:extent cx="13716" cy="13716"/>
            <wp:effectExtent l="0" t="0" r="0" b="0"/>
            <wp:docPr id="1388253" name="Picture 1388253"/>
            <wp:cNvGraphicFramePr/>
            <a:graphic xmlns:a="http://schemas.openxmlformats.org/drawingml/2006/main">
              <a:graphicData uri="http://schemas.openxmlformats.org/drawingml/2006/picture">
                <pic:pic xmlns:pic="http://schemas.openxmlformats.org/drawingml/2006/picture">
                  <pic:nvPicPr>
                    <pic:cNvPr id="1388253" name="Picture 1388253"/>
                    <pic:cNvPicPr/>
                  </pic:nvPicPr>
                  <pic:blipFill>
                    <a:blip r:embed="rId1824"/>
                    <a:stretch>
                      <a:fillRect/>
                    </a:stretch>
                  </pic:blipFill>
                  <pic:spPr>
                    <a:xfrm>
                      <a:off x="0" y="0"/>
                      <a:ext cx="13716" cy="13716"/>
                    </a:xfrm>
                    <a:prstGeom prst="rect">
                      <a:avLst/>
                    </a:prstGeom>
                  </pic:spPr>
                </pic:pic>
              </a:graphicData>
            </a:graphic>
          </wp:inline>
        </w:drawing>
      </w:r>
      <w:r>
        <w:rPr>
          <w:sz w:val="26"/>
        </w:rPr>
        <w:t>1 directamente a la licenciada Zuly Alejandra Villalobos Tercero, quien en ese entonces fungía como Subdirectora Administrativa Financiera. Ella continuaba con 1 las fases del proceso, incluyendo la evaluación, adjudicación y trámite de pago. Por tal motivo, se desconoce la razón por la cual no fueron publicadas las facturas que respaldan dichas negociaciones.</w:t>
      </w:r>
    </w:p>
    <w:tbl>
      <w:tblPr>
        <w:tblStyle w:val="TableGrid"/>
        <w:tblpPr w:vertAnchor="page" w:horzAnchor="page" w:tblpX="2885" w:tblpY="14606"/>
        <w:tblOverlap w:val="never"/>
        <w:tblW w:w="7620" w:type="dxa"/>
        <w:tblInd w:w="0" w:type="dxa"/>
        <w:tblCellMar>
          <w:top w:w="38" w:type="dxa"/>
          <w:left w:w="1745" w:type="dxa"/>
          <w:right w:w="115" w:type="dxa"/>
        </w:tblCellMar>
        <w:tblLook w:val="04A0" w:firstRow="1" w:lastRow="0" w:firstColumn="1" w:lastColumn="0" w:noHBand="0" w:noVBand="1"/>
      </w:tblPr>
      <w:tblGrid>
        <w:gridCol w:w="7620"/>
      </w:tblGrid>
      <w:tr w:rsidR="00053D93" w14:paraId="31115A24" w14:textId="77777777">
        <w:trPr>
          <w:trHeight w:val="608"/>
        </w:trPr>
        <w:tc>
          <w:tcPr>
            <w:tcW w:w="7620" w:type="dxa"/>
            <w:tcBorders>
              <w:top w:val="single" w:sz="2" w:space="0" w:color="000000"/>
              <w:left w:val="single" w:sz="2" w:space="0" w:color="000000"/>
              <w:bottom w:val="nil"/>
              <w:right w:val="nil"/>
            </w:tcBorders>
          </w:tcPr>
          <w:p w14:paraId="166F163B" w14:textId="77777777" w:rsidR="00053D93" w:rsidRDefault="00260B75">
            <w:pPr>
              <w:ind w:left="835"/>
            </w:pPr>
            <w:r>
              <w:rPr>
                <w:sz w:val="14"/>
              </w:rPr>
              <w:t>MINISTERIO OE EDUCACION</w:t>
            </w:r>
          </w:p>
          <w:p w14:paraId="3EB483E4" w14:textId="77777777" w:rsidR="00053D93" w:rsidRDefault="00260B75">
            <w:pPr>
              <w:ind w:left="338"/>
            </w:pPr>
            <w:r>
              <w:rPr>
                <w:sz w:val="14"/>
              </w:rPr>
              <w:t>AUDITORIA FINANCIERA Y DE CUMPLIMIENTO</w:t>
            </w:r>
          </w:p>
          <w:p w14:paraId="2E348CFC" w14:textId="77777777" w:rsidR="00053D93" w:rsidRDefault="00260B75">
            <w:r>
              <w:rPr>
                <w:sz w:val="14"/>
              </w:rPr>
              <w:t>PERIODO DEL 01 DE ENERO AL 31 OE DICIEMBRE DE 2024</w:t>
            </w:r>
          </w:p>
        </w:tc>
      </w:tr>
    </w:tbl>
    <w:p w14:paraId="01BBF292" w14:textId="77777777" w:rsidR="00053D93" w:rsidRDefault="00260B75">
      <w:pPr>
        <w:spacing w:after="3"/>
        <w:ind w:left="24" w:hanging="10"/>
      </w:pPr>
      <w:r>
        <w:rPr>
          <w:noProof/>
        </w:rPr>
        <w:drawing>
          <wp:anchor distT="0" distB="0" distL="114300" distR="114300" simplePos="0" relativeHeight="252376064" behindDoc="0" locked="0" layoutInCell="1" allowOverlap="0" wp14:anchorId="1032FB5E" wp14:editId="0EE1F3D5">
            <wp:simplePos x="0" y="0"/>
            <wp:positionH relativeFrom="page">
              <wp:posOffset>685800</wp:posOffset>
            </wp:positionH>
            <wp:positionV relativeFrom="page">
              <wp:posOffset>9253728</wp:posOffset>
            </wp:positionV>
            <wp:extent cx="1124712" cy="406908"/>
            <wp:effectExtent l="0" t="0" r="0" b="0"/>
            <wp:wrapTopAndBottom/>
            <wp:docPr id="1388303" name="Picture 1388303"/>
            <wp:cNvGraphicFramePr/>
            <a:graphic xmlns:a="http://schemas.openxmlformats.org/drawingml/2006/main">
              <a:graphicData uri="http://schemas.openxmlformats.org/drawingml/2006/picture">
                <pic:pic xmlns:pic="http://schemas.openxmlformats.org/drawingml/2006/picture">
                  <pic:nvPicPr>
                    <pic:cNvPr id="1388303" name="Picture 1388303"/>
                    <pic:cNvPicPr/>
                  </pic:nvPicPr>
                  <pic:blipFill>
                    <a:blip r:embed="rId1825"/>
                    <a:stretch>
                      <a:fillRect/>
                    </a:stretch>
                  </pic:blipFill>
                  <pic:spPr>
                    <a:xfrm>
                      <a:off x="0" y="0"/>
                      <a:ext cx="1124712" cy="406908"/>
                    </a:xfrm>
                    <a:prstGeom prst="rect">
                      <a:avLst/>
                    </a:prstGeom>
                  </pic:spPr>
                </pic:pic>
              </a:graphicData>
            </a:graphic>
          </wp:anchor>
        </w:drawing>
      </w:r>
      <w:r>
        <w:rPr>
          <w:noProof/>
        </w:rPr>
        <w:drawing>
          <wp:inline distT="0" distB="0" distL="0" distR="0" wp14:anchorId="0D53EC14" wp14:editId="6794697F">
            <wp:extent cx="13716" cy="9144"/>
            <wp:effectExtent l="0" t="0" r="0" b="0"/>
            <wp:docPr id="1388254" name="Picture 1388254"/>
            <wp:cNvGraphicFramePr/>
            <a:graphic xmlns:a="http://schemas.openxmlformats.org/drawingml/2006/main">
              <a:graphicData uri="http://schemas.openxmlformats.org/drawingml/2006/picture">
                <pic:pic xmlns:pic="http://schemas.openxmlformats.org/drawingml/2006/picture">
                  <pic:nvPicPr>
                    <pic:cNvPr id="1388254" name="Picture 1388254"/>
                    <pic:cNvPicPr/>
                  </pic:nvPicPr>
                  <pic:blipFill>
                    <a:blip r:embed="rId49"/>
                    <a:stretch>
                      <a:fillRect/>
                    </a:stretch>
                  </pic:blipFill>
                  <pic:spPr>
                    <a:xfrm>
                      <a:off x="0" y="0"/>
                      <a:ext cx="13716" cy="9144"/>
                    </a:xfrm>
                    <a:prstGeom prst="rect">
                      <a:avLst/>
                    </a:prstGeom>
                  </pic:spPr>
                </pic:pic>
              </a:graphicData>
            </a:graphic>
          </wp:inline>
        </w:drawing>
      </w:r>
      <w:r>
        <w:rPr>
          <w:sz w:val="72"/>
        </w:rPr>
        <w:t>1</w:t>
      </w:r>
    </w:p>
    <w:p w14:paraId="22557633" w14:textId="77777777" w:rsidR="00053D93" w:rsidRDefault="00260B75">
      <w:pPr>
        <w:spacing w:after="257" w:line="269" w:lineRule="auto"/>
        <w:ind w:left="1695" w:right="14" w:hanging="3"/>
        <w:jc w:val="both"/>
      </w:pPr>
      <w:r>
        <w:rPr>
          <w:sz w:val="26"/>
        </w:rPr>
        <w:t>Asimismo, en ningún momento, ya fuera de forma verbal o escrita, se giró instrucción alguna por parte de la licenciada Zuly Alejandra Villalobos Tercero,</w:t>
      </w:r>
    </w:p>
    <w:p w14:paraId="43A44DFC" w14:textId="77777777" w:rsidR="00053D93" w:rsidRDefault="00260B75">
      <w:pPr>
        <w:spacing w:after="508" w:line="366" w:lineRule="auto"/>
        <w:ind w:left="1706" w:right="14" w:hanging="1649"/>
        <w:jc w:val="both"/>
      </w:pPr>
      <w:r>
        <w:rPr>
          <w:noProof/>
        </w:rPr>
        <w:drawing>
          <wp:anchor distT="0" distB="0" distL="114300" distR="114300" simplePos="0" relativeHeight="252377088" behindDoc="0" locked="0" layoutInCell="1" allowOverlap="0" wp14:anchorId="43A009C0" wp14:editId="6DA2D1B4">
            <wp:simplePos x="0" y="0"/>
            <wp:positionH relativeFrom="column">
              <wp:posOffset>5148072</wp:posOffset>
            </wp:positionH>
            <wp:positionV relativeFrom="paragraph">
              <wp:posOffset>193806</wp:posOffset>
            </wp:positionV>
            <wp:extent cx="36576" cy="36576"/>
            <wp:effectExtent l="0" t="0" r="0" b="0"/>
            <wp:wrapSquare wrapText="bothSides"/>
            <wp:docPr id="2459041" name="Picture 2459041"/>
            <wp:cNvGraphicFramePr/>
            <a:graphic xmlns:a="http://schemas.openxmlformats.org/drawingml/2006/main">
              <a:graphicData uri="http://schemas.openxmlformats.org/drawingml/2006/picture">
                <pic:pic xmlns:pic="http://schemas.openxmlformats.org/drawingml/2006/picture">
                  <pic:nvPicPr>
                    <pic:cNvPr id="2459041" name="Picture 2459041"/>
                    <pic:cNvPicPr/>
                  </pic:nvPicPr>
                  <pic:blipFill>
                    <a:blip r:embed="rId1826"/>
                    <a:stretch>
                      <a:fillRect/>
                    </a:stretch>
                  </pic:blipFill>
                  <pic:spPr>
                    <a:xfrm>
                      <a:off x="0" y="0"/>
                      <a:ext cx="36576" cy="36576"/>
                    </a:xfrm>
                    <a:prstGeom prst="rect">
                      <a:avLst/>
                    </a:prstGeom>
                  </pic:spPr>
                </pic:pic>
              </a:graphicData>
            </a:graphic>
          </wp:anchor>
        </w:drawing>
      </w:r>
      <w:r>
        <w:rPr>
          <w:sz w:val="26"/>
        </w:rPr>
        <w:t>1 quien fungía como Subdirectora Administrativa Financiera, para llevar a cabo la publicación de la factura en el sistema de GUATECOMPRAS...</w:t>
      </w:r>
    </w:p>
    <w:p w14:paraId="115083A8" w14:textId="77777777" w:rsidR="00053D93" w:rsidRDefault="00260B75">
      <w:pPr>
        <w:spacing w:after="681" w:line="216" w:lineRule="auto"/>
        <w:ind w:left="60" w:right="14" w:hanging="3"/>
        <w:jc w:val="both"/>
      </w:pPr>
      <w:r>
        <w:rPr>
          <w:sz w:val="26"/>
        </w:rPr>
        <w:t xml:space="preserve">1 En Oficio No. DIGECADE-SAF/149-2025, del 07 de abril de 2025, el licenciado Rohy Daniel Portillo Paredes, Encargado del Fondo Rotativo, manifiesta: </w:t>
      </w:r>
      <w:r>
        <w:rPr>
          <w:noProof/>
        </w:rPr>
        <mc:AlternateContent>
          <mc:Choice Requires="wpg">
            <w:drawing>
              <wp:inline distT="0" distB="0" distL="0" distR="0" wp14:anchorId="1A53E71F" wp14:editId="1FD64623">
                <wp:extent cx="128016" cy="292608"/>
                <wp:effectExtent l="0" t="0" r="0" b="0"/>
                <wp:docPr id="2458021" name="Group 2458021"/>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1385691" name="Rectangle 1385691"/>
                        <wps:cNvSpPr/>
                        <wps:spPr>
                          <a:xfrm>
                            <a:off x="0" y="0"/>
                            <a:ext cx="170261" cy="389168"/>
                          </a:xfrm>
                          <a:prstGeom prst="rect">
                            <a:avLst/>
                          </a:prstGeom>
                          <a:ln>
                            <a:noFill/>
                          </a:ln>
                        </wps:spPr>
                        <wps:txbx>
                          <w:txbxContent>
                            <w:p w14:paraId="247882F3" w14:textId="77777777" w:rsidR="00053D93" w:rsidRDefault="00260B75">
                              <w:r>
                                <w:rPr>
                                  <w:sz w:val="78"/>
                                </w:rPr>
                                <w:t>1</w:t>
                              </w:r>
                            </w:p>
                          </w:txbxContent>
                        </wps:txbx>
                        <wps:bodyPr horzOverflow="overflow" vert="horz" lIns="0" tIns="0" rIns="0" bIns="0" rtlCol="0">
                          <a:noAutofit/>
                        </wps:bodyPr>
                      </wps:wsp>
                    </wpg:wgp>
                  </a:graphicData>
                </a:graphic>
              </wp:inline>
            </w:drawing>
          </mc:Choice>
          <mc:Fallback>
            <w:pict>
              <v:group w14:anchorId="1A53E71F" id="Group 2458021" o:spid="_x0000_s1887" style="width:10.1pt;height:23.05pt;mso-position-horizontal-relative:char;mso-position-vertical-relative:lin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">
                <v:rect id="Rectangle 1385691" o:spid="_x0000_s1888" style="position:absolute;width:170261;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" filled="f" stroked="f">
                  <v:textbox inset="0,0,0,0">
                    <w:txbxContent>
                      <w:p w14:paraId="247882F3" w14:textId="77777777" w:rsidR="00053D93" w:rsidRDefault="00260B75">
                        <w:r>
                          <w:rPr>
                            <w:sz w:val="78"/>
                          </w:rPr>
                          <w:t>1</w:t>
                        </w:r>
                      </w:p>
                    </w:txbxContent>
                  </v:textbox>
                </v:rect>
                <w10:anchorlock/>
              </v:group>
            </w:pict>
          </mc:Fallback>
        </mc:AlternateContent>
      </w:r>
      <w:r>
        <w:rPr>
          <w:sz w:val="26"/>
        </w:rPr>
        <w:t xml:space="preserve"> " ... Debido a que esta Dirección no cuenta con un manual de funciones actualizado y un departamento de compras establecido [a Subdirectora Administrativa Financiera en funciones solicitó mi apoyo de forma verbal, únicamente para </w:t>
      </w:r>
      <w:r>
        <w:rPr>
          <w:noProof/>
        </w:rPr>
        <mc:AlternateContent>
          <mc:Choice Requires="wpg">
            <w:drawing>
              <wp:inline distT="0" distB="0" distL="0" distR="0" wp14:anchorId="7A4D7731" wp14:editId="08E281C6">
                <wp:extent cx="123444" cy="288036"/>
                <wp:effectExtent l="0" t="0" r="0" b="0"/>
                <wp:docPr id="2458022" name="Group 2458022"/>
                <wp:cNvGraphicFramePr/>
                <a:graphic xmlns:a="http://schemas.openxmlformats.org/drawingml/2006/main">
                  <a:graphicData uri="http://schemas.microsoft.com/office/word/2010/wordprocessingGroup">
                    <wpg:wgp>
                      <wpg:cNvGrpSpPr/>
                      <wpg:grpSpPr>
                        <a:xfrm>
                          <a:off x="0" y="0"/>
                          <a:ext cx="123444" cy="288036"/>
                          <a:chOff x="0" y="0"/>
                          <a:chExt cx="123444" cy="288036"/>
                        </a:xfrm>
                      </wpg:grpSpPr>
                      <wps:wsp>
                        <wps:cNvPr id="1385692" name="Rectangle 1385692"/>
                        <wps:cNvSpPr/>
                        <wps:spPr>
                          <a:xfrm>
                            <a:off x="0" y="0"/>
                            <a:ext cx="164181" cy="383087"/>
                          </a:xfrm>
                          <a:prstGeom prst="rect">
                            <a:avLst/>
                          </a:prstGeom>
                          <a:ln>
                            <a:noFill/>
                          </a:ln>
                        </wps:spPr>
                        <wps:txbx>
                          <w:txbxContent>
                            <w:p w14:paraId="612EDE88" w14:textId="77777777" w:rsidR="00053D93" w:rsidRDefault="00260B75">
                              <w:r>
                                <w:rPr>
                                  <w:sz w:val="74"/>
                                </w:rPr>
                                <w:t>1</w:t>
                              </w:r>
                            </w:p>
                          </w:txbxContent>
                        </wps:txbx>
                        <wps:bodyPr horzOverflow="overflow" vert="horz" lIns="0" tIns="0" rIns="0" bIns="0" rtlCol="0">
                          <a:noAutofit/>
                        </wps:bodyPr>
                      </wps:wsp>
                    </wpg:wgp>
                  </a:graphicData>
                </a:graphic>
              </wp:inline>
            </w:drawing>
          </mc:Choice>
          <mc:Fallback>
            <w:pict>
              <v:group w14:anchorId="7A4D7731" id="Group 2458022" o:spid="_x0000_s1889" style="width:9.7pt;height:22.7pt;mso-position-horizontal-relative:char;mso-position-vertical-relative:line" coordsize="123444,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">
                <v:rect id="Rectangle 1385692" o:spid="_x0000_s1890" style="position:absolute;width:164181;height:383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" filled="f" stroked="f">
                  <v:textbox inset="0,0,0,0">
                    <w:txbxContent>
                      <w:p w14:paraId="612EDE88" w14:textId="77777777" w:rsidR="00053D93" w:rsidRDefault="00260B75">
                        <w:r>
                          <w:rPr>
                            <w:sz w:val="74"/>
                          </w:rPr>
                          <w:t>1</w:t>
                        </w:r>
                      </w:p>
                    </w:txbxContent>
                  </v:textbox>
                </v:rect>
                <w10:anchorlock/>
              </v:group>
            </w:pict>
          </mc:Fallback>
        </mc:AlternateContent>
      </w:r>
      <w:r>
        <w:rPr>
          <w:sz w:val="26"/>
        </w:rPr>
        <w:t xml:space="preserve"> realizar la publicación del Número de Operación en Guatecompras -NOG- de los concursos realizados en la Modalidad de Compra Directa con Oferta Electrónica.</w:t>
      </w:r>
    </w:p>
    <w:p w14:paraId="58D785F8" w14:textId="77777777" w:rsidR="00053D93" w:rsidRDefault="00260B75">
      <w:pPr>
        <w:spacing w:after="4" w:line="269" w:lineRule="auto"/>
        <w:ind w:left="60" w:right="14" w:hanging="3"/>
        <w:jc w:val="both"/>
      </w:pPr>
      <w:r>
        <w:rPr>
          <w:sz w:val="26"/>
        </w:rPr>
        <w:t>1 Por lo que después de publicar el Número de Operación en Guatecompras -NOG-, el expediente pasaba directamente con la Subdirectora Administrativa Financiera 1 quien continuaba con el proceso de evaluación, adjudicación y pago, motivo por el cuál no se publicaron las facturas que respaldan las negociaciones, como lo establece la normativa legal.</w:t>
      </w:r>
    </w:p>
    <w:p w14:paraId="5F3B4EF0" w14:textId="77777777" w:rsidR="00053D93" w:rsidRDefault="00260B75">
      <w:pPr>
        <w:spacing w:after="3"/>
        <w:ind w:left="24" w:hanging="10"/>
      </w:pPr>
      <w:r>
        <w:rPr>
          <w:sz w:val="72"/>
        </w:rPr>
        <w:t>1</w:t>
      </w:r>
    </w:p>
    <w:p w14:paraId="015030D9" w14:textId="77777777" w:rsidR="00053D93" w:rsidRDefault="00260B75">
      <w:pPr>
        <w:spacing w:after="65" w:line="269" w:lineRule="auto"/>
        <w:ind w:left="67" w:right="14" w:hanging="10"/>
        <w:jc w:val="right"/>
      </w:pPr>
      <w:r>
        <w:rPr>
          <w:sz w:val="26"/>
        </w:rPr>
        <w:t>Derivado de lo anterior hago la aclaración que solo se apoyó con la publicación de</w:t>
      </w:r>
    </w:p>
    <w:p w14:paraId="7C6E9845" w14:textId="77777777" w:rsidR="00053D93" w:rsidRDefault="00260B75">
      <w:pPr>
        <w:tabs>
          <w:tab w:val="right" w:pos="10188"/>
        </w:tabs>
        <w:spacing w:after="4" w:line="269" w:lineRule="auto"/>
      </w:pPr>
      <w:r>
        <w:rPr>
          <w:sz w:val="26"/>
        </w:rPr>
        <w:t>1</w:t>
      </w:r>
      <w:r>
        <w:rPr>
          <w:sz w:val="26"/>
        </w:rPr>
        <w:tab/>
        <w:t>dichos eventos, ya que mi función no es la de Analista de Adquisiciones, sino la de</w:t>
      </w:r>
    </w:p>
    <w:p w14:paraId="39D48C0C" w14:textId="77777777" w:rsidR="00053D93" w:rsidRDefault="00260B75">
      <w:pPr>
        <w:spacing w:after="54"/>
        <w:ind w:left="36"/>
      </w:pPr>
      <w:r>
        <w:rPr>
          <w:noProof/>
        </w:rPr>
        <w:drawing>
          <wp:inline distT="0" distB="0" distL="0" distR="0" wp14:anchorId="74993CDA" wp14:editId="35C072AE">
            <wp:extent cx="13716" cy="4573"/>
            <wp:effectExtent l="0" t="0" r="0" b="0"/>
            <wp:docPr id="1388257" name="Picture 1388257"/>
            <wp:cNvGraphicFramePr/>
            <a:graphic xmlns:a="http://schemas.openxmlformats.org/drawingml/2006/main">
              <a:graphicData uri="http://schemas.openxmlformats.org/drawingml/2006/picture">
                <pic:pic xmlns:pic="http://schemas.openxmlformats.org/drawingml/2006/picture">
                  <pic:nvPicPr>
                    <pic:cNvPr id="1388257" name="Picture 1388257"/>
                    <pic:cNvPicPr/>
                  </pic:nvPicPr>
                  <pic:blipFill>
                    <a:blip r:embed="rId114"/>
                    <a:stretch>
                      <a:fillRect/>
                    </a:stretch>
                  </pic:blipFill>
                  <pic:spPr>
                    <a:xfrm>
                      <a:off x="0" y="0"/>
                      <a:ext cx="13716" cy="4573"/>
                    </a:xfrm>
                    <a:prstGeom prst="rect">
                      <a:avLst/>
                    </a:prstGeom>
                  </pic:spPr>
                </pic:pic>
              </a:graphicData>
            </a:graphic>
          </wp:inline>
        </w:drawing>
      </w:r>
    </w:p>
    <w:p w14:paraId="2A0D8CD7" w14:textId="77777777" w:rsidR="00053D93" w:rsidRDefault="00260B75">
      <w:pPr>
        <w:spacing w:after="4" w:line="269" w:lineRule="auto"/>
        <w:ind w:left="1717" w:right="14" w:hanging="3"/>
        <w:jc w:val="both"/>
      </w:pPr>
      <w:r>
        <w:rPr>
          <w:sz w:val="26"/>
        </w:rPr>
        <w:t>Encargado det Fondo Rotativo Interno... "</w:t>
      </w:r>
    </w:p>
    <w:p w14:paraId="64E0DDD5" w14:textId="77777777" w:rsidR="00053D93" w:rsidRDefault="00053D93">
      <w:pPr>
        <w:sectPr w:rsidR="00053D93">
          <w:headerReference w:type="even" r:id="rId1827"/>
          <w:headerReference w:type="default" r:id="rId1828"/>
          <w:footerReference w:type="even" r:id="rId1829"/>
          <w:footerReference w:type="default" r:id="rId1830"/>
          <w:headerReference w:type="first" r:id="rId1831"/>
          <w:footerReference w:type="first" r:id="rId1832"/>
          <w:pgSz w:w="12290" w:h="15883"/>
          <w:pgMar w:top="374" w:right="1778" w:bottom="691" w:left="324" w:header="662" w:footer="720" w:gutter="0"/>
          <w:cols w:space="720"/>
          <w:titlePg/>
        </w:sectPr>
      </w:pPr>
    </w:p>
    <w:p w14:paraId="21AB2A65" w14:textId="77777777" w:rsidR="00053D93" w:rsidRDefault="00260B75">
      <w:pPr>
        <w:spacing w:after="3"/>
        <w:ind w:left="74" w:right="3485" w:hanging="10"/>
      </w:pPr>
      <w:r>
        <w:rPr>
          <w:sz w:val="70"/>
        </w:rPr>
        <w:t>1</w:t>
      </w:r>
    </w:p>
    <w:p w14:paraId="3E861B64" w14:textId="77777777" w:rsidR="00053D93" w:rsidRDefault="00260B75">
      <w:pPr>
        <w:spacing w:after="143" w:line="339" w:lineRule="auto"/>
        <w:ind w:left="5280" w:hanging="10"/>
        <w:jc w:val="center"/>
      </w:pPr>
      <w:r>
        <w:rPr>
          <w:sz w:val="14"/>
        </w:rPr>
        <w:t xml:space="preserve">Al- </w:t>
      </w:r>
    </w:p>
    <w:p w14:paraId="39D595BC" w14:textId="77777777" w:rsidR="00053D93" w:rsidRDefault="00260B75">
      <w:pPr>
        <w:spacing w:after="18"/>
        <w:ind w:left="1685" w:right="-22"/>
      </w:pPr>
      <w:r>
        <w:rPr>
          <w:noProof/>
        </w:rPr>
        <w:drawing>
          <wp:inline distT="0" distB="0" distL="0" distR="0" wp14:anchorId="32FC3DE0" wp14:editId="11DE8ADA">
            <wp:extent cx="5385816" cy="54864"/>
            <wp:effectExtent l="0" t="0" r="0" b="0"/>
            <wp:docPr id="2459045" name="Picture 2459045"/>
            <wp:cNvGraphicFramePr/>
            <a:graphic xmlns:a="http://schemas.openxmlformats.org/drawingml/2006/main">
              <a:graphicData uri="http://schemas.openxmlformats.org/drawingml/2006/picture">
                <pic:pic xmlns:pic="http://schemas.openxmlformats.org/drawingml/2006/picture">
                  <pic:nvPicPr>
                    <pic:cNvPr id="2459045" name="Picture 2459045"/>
                    <pic:cNvPicPr/>
                  </pic:nvPicPr>
                  <pic:blipFill>
                    <a:blip r:embed="rId1833"/>
                    <a:stretch>
                      <a:fillRect/>
                    </a:stretch>
                  </pic:blipFill>
                  <pic:spPr>
                    <a:xfrm>
                      <a:off x="0" y="0"/>
                      <a:ext cx="5385816" cy="54864"/>
                    </a:xfrm>
                    <a:prstGeom prst="rect">
                      <a:avLst/>
                    </a:prstGeom>
                  </pic:spPr>
                </pic:pic>
              </a:graphicData>
            </a:graphic>
          </wp:inline>
        </w:drawing>
      </w:r>
    </w:p>
    <w:p w14:paraId="51DE0EEF" w14:textId="77777777" w:rsidR="00053D93" w:rsidRDefault="00260B75">
      <w:pPr>
        <w:tabs>
          <w:tab w:val="center" w:pos="3010"/>
        </w:tabs>
        <w:spacing w:after="4" w:line="266" w:lineRule="auto"/>
      </w:pPr>
      <w:r>
        <w:rPr>
          <w:sz w:val="28"/>
        </w:rPr>
        <w:t>1</w:t>
      </w:r>
      <w:r>
        <w:rPr>
          <w:sz w:val="28"/>
        </w:rPr>
        <w:tab/>
        <w:t>Comentario de auditoría</w:t>
      </w:r>
    </w:p>
    <w:p w14:paraId="4EEFC529" w14:textId="77777777" w:rsidR="00053D93" w:rsidRDefault="00260B75">
      <w:pPr>
        <w:spacing w:after="110" w:line="269" w:lineRule="auto"/>
        <w:ind w:left="57" w:right="14" w:firstLine="1678"/>
        <w:jc w:val="both"/>
      </w:pPr>
      <w:r>
        <w:rPr>
          <w:sz w:val="26"/>
        </w:rPr>
        <w:t>Se confirma el hallazgo, para el licenciado Marcell Antonio Romero Aguilar, 1 Planificador, en virtud que, sus comentarios y pruebas de descargo, no desvanecen los hechos que se le atribuyen; derivado que, el responsable argumenta que no cuentan con estructura organizacional adecuada que permita 1 realizar las gestiones financieras de manera desconcentrada.</w:t>
      </w:r>
    </w:p>
    <w:p w14:paraId="5F6B83AB" w14:textId="77777777" w:rsidR="00053D93" w:rsidRDefault="00260B75">
      <w:pPr>
        <w:spacing w:after="4" w:line="269" w:lineRule="auto"/>
        <w:ind w:left="60" w:right="14" w:hanging="3"/>
        <w:jc w:val="both"/>
      </w:pPr>
      <w:r>
        <w:rPr>
          <w:sz w:val="26"/>
        </w:rPr>
        <w:t xml:space="preserve">1 Asimismo, que no disponen de manual de funciones actualizados, por lo que no cuentan con departamento de compras establecido, realizando los procesos de adquisición de forma improvisada, solicitándoles de manera verbal la publicación 1 de los eventos -NOG- que corresponden a los concursos de compra directa con oferta electrónica; no obstante, la falta de organización interna no exime al funcionario de cumplir con las obligaciones legales establecidas en el Decreto </w:t>
      </w:r>
      <w:r>
        <w:rPr>
          <w:noProof/>
        </w:rPr>
        <w:drawing>
          <wp:inline distT="0" distB="0" distL="0" distR="0" wp14:anchorId="218183D2" wp14:editId="00AAD2BB">
            <wp:extent cx="13716" cy="18288"/>
            <wp:effectExtent l="0" t="0" r="0" b="0"/>
            <wp:docPr id="1391559" name="Picture 1391559"/>
            <wp:cNvGraphicFramePr/>
            <a:graphic xmlns:a="http://schemas.openxmlformats.org/drawingml/2006/main">
              <a:graphicData uri="http://schemas.openxmlformats.org/drawingml/2006/picture">
                <pic:pic xmlns:pic="http://schemas.openxmlformats.org/drawingml/2006/picture">
                  <pic:nvPicPr>
                    <pic:cNvPr id="1391559" name="Picture 1391559"/>
                    <pic:cNvPicPr/>
                  </pic:nvPicPr>
                  <pic:blipFill>
                    <a:blip r:embed="rId1834"/>
                    <a:stretch>
                      <a:fillRect/>
                    </a:stretch>
                  </pic:blipFill>
                  <pic:spPr>
                    <a:xfrm>
                      <a:off x="0" y="0"/>
                      <a:ext cx="13716" cy="18288"/>
                    </a:xfrm>
                    <a:prstGeom prst="rect">
                      <a:avLst/>
                    </a:prstGeom>
                  </pic:spPr>
                </pic:pic>
              </a:graphicData>
            </a:graphic>
          </wp:inline>
        </w:drawing>
      </w:r>
      <w:r>
        <w:rPr>
          <w:sz w:val="26"/>
        </w:rPr>
        <w:t>1 Número 57-92, Ley de Contrataciones del Estado, que en su artículo 4 Bis establece la obligación de publicar en GUATECOMPRAS toda la información 1 requerida en los plazos establecidos.</w:t>
      </w:r>
    </w:p>
    <w:p w14:paraId="3AA725CA" w14:textId="77777777" w:rsidR="00053D93" w:rsidRDefault="00260B75">
      <w:pPr>
        <w:spacing w:after="348"/>
        <w:ind w:left="14"/>
      </w:pPr>
      <w:r>
        <w:rPr>
          <w:noProof/>
        </w:rPr>
        <w:drawing>
          <wp:inline distT="0" distB="0" distL="0" distR="0" wp14:anchorId="3462EF54" wp14:editId="5284477A">
            <wp:extent cx="4572" cy="9144"/>
            <wp:effectExtent l="0" t="0" r="0" b="0"/>
            <wp:docPr id="1391560" name="Picture 1391560"/>
            <wp:cNvGraphicFramePr/>
            <a:graphic xmlns:a="http://schemas.openxmlformats.org/drawingml/2006/main">
              <a:graphicData uri="http://schemas.openxmlformats.org/drawingml/2006/picture">
                <pic:pic xmlns:pic="http://schemas.openxmlformats.org/drawingml/2006/picture">
                  <pic:nvPicPr>
                    <pic:cNvPr id="1391560" name="Picture 1391560"/>
                    <pic:cNvPicPr/>
                  </pic:nvPicPr>
                  <pic:blipFill>
                    <a:blip r:embed="rId24"/>
                    <a:stretch>
                      <a:fillRect/>
                    </a:stretch>
                  </pic:blipFill>
                  <pic:spPr>
                    <a:xfrm>
                      <a:off x="0" y="0"/>
                      <a:ext cx="4572" cy="9144"/>
                    </a:xfrm>
                    <a:prstGeom prst="rect">
                      <a:avLst/>
                    </a:prstGeom>
                  </pic:spPr>
                </pic:pic>
              </a:graphicData>
            </a:graphic>
          </wp:inline>
        </w:drawing>
      </w:r>
    </w:p>
    <w:p w14:paraId="39619B16" w14:textId="77777777" w:rsidR="00053D93" w:rsidRDefault="00260B75">
      <w:pPr>
        <w:spacing w:after="299" w:line="269" w:lineRule="auto"/>
        <w:ind w:left="57" w:right="14" w:firstLine="1649"/>
        <w:jc w:val="both"/>
      </w:pPr>
      <w:r>
        <w:rPr>
          <w:sz w:val="26"/>
        </w:rPr>
        <w:t xml:space="preserve">Adicionalmente, el responsable exterioriza que los expedientes eran remitidos a la </w:t>
      </w:r>
      <w:r>
        <w:rPr>
          <w:noProof/>
        </w:rPr>
        <w:drawing>
          <wp:inline distT="0" distB="0" distL="0" distR="0" wp14:anchorId="37B6F01F" wp14:editId="00269A80">
            <wp:extent cx="4572" cy="4572"/>
            <wp:effectExtent l="0" t="0" r="0" b="0"/>
            <wp:docPr id="1391561" name="Picture 1391561"/>
            <wp:cNvGraphicFramePr/>
            <a:graphic xmlns:a="http://schemas.openxmlformats.org/drawingml/2006/main">
              <a:graphicData uri="http://schemas.openxmlformats.org/drawingml/2006/picture">
                <pic:pic xmlns:pic="http://schemas.openxmlformats.org/drawingml/2006/picture">
                  <pic:nvPicPr>
                    <pic:cNvPr id="1391561" name="Picture 1391561"/>
                    <pic:cNvPicPr/>
                  </pic:nvPicPr>
                  <pic:blipFill>
                    <a:blip r:embed="rId845"/>
                    <a:stretch>
                      <a:fillRect/>
                    </a:stretch>
                  </pic:blipFill>
                  <pic:spPr>
                    <a:xfrm>
                      <a:off x="0" y="0"/>
                      <a:ext cx="4572" cy="4572"/>
                    </a:xfrm>
                    <a:prstGeom prst="rect">
                      <a:avLst/>
                    </a:prstGeom>
                  </pic:spPr>
                </pic:pic>
              </a:graphicData>
            </a:graphic>
          </wp:inline>
        </w:drawing>
      </w:r>
      <w:r>
        <w:rPr>
          <w:sz w:val="26"/>
        </w:rPr>
        <w:t>1 Subidirectora Administrativa Financiera quien continuaba con las fases del proceso como evaluación, adjudicación y trámite de pago, por lo que desconoce la razón por la cual no fueron publicadas las facturas que respaldan las 1 negociaciones; con lo cual, se evidencia y confirma que las facturas que respaldan las negociaciones no se hab(an publicado en Guatecompras, ratificándose la deficiencia establecida por el Equipo de Auditoría.</w:t>
      </w:r>
    </w:p>
    <w:p w14:paraId="708779A0" w14:textId="77777777" w:rsidR="00053D93" w:rsidRDefault="00260B75">
      <w:pPr>
        <w:spacing w:after="4" w:line="269" w:lineRule="auto"/>
        <w:ind w:left="57" w:right="14" w:firstLine="1670"/>
        <w:jc w:val="both"/>
      </w:pPr>
      <w:r>
        <w:rPr>
          <w:sz w:val="26"/>
        </w:rPr>
        <w:t xml:space="preserve">Finalmente, el responsable manifiesta que, en ningún momento le giraron </w:t>
      </w:r>
      <w:r>
        <w:rPr>
          <w:noProof/>
        </w:rPr>
        <w:drawing>
          <wp:inline distT="0" distB="0" distL="0" distR="0" wp14:anchorId="6401CDAE" wp14:editId="343C7A5C">
            <wp:extent cx="4572" cy="4571"/>
            <wp:effectExtent l="0" t="0" r="0" b="0"/>
            <wp:docPr id="1391562" name="Picture 1391562"/>
            <wp:cNvGraphicFramePr/>
            <a:graphic xmlns:a="http://schemas.openxmlformats.org/drawingml/2006/main">
              <a:graphicData uri="http://schemas.openxmlformats.org/drawingml/2006/picture">
                <pic:pic xmlns:pic="http://schemas.openxmlformats.org/drawingml/2006/picture">
                  <pic:nvPicPr>
                    <pic:cNvPr id="1391562" name="Picture 1391562"/>
                    <pic:cNvPicPr/>
                  </pic:nvPicPr>
                  <pic:blipFill>
                    <a:blip r:embed="rId845"/>
                    <a:stretch>
                      <a:fillRect/>
                    </a:stretch>
                  </pic:blipFill>
                  <pic:spPr>
                    <a:xfrm>
                      <a:off x="0" y="0"/>
                      <a:ext cx="4572" cy="4571"/>
                    </a:xfrm>
                    <a:prstGeom prst="rect">
                      <a:avLst/>
                    </a:prstGeom>
                  </pic:spPr>
                </pic:pic>
              </a:graphicData>
            </a:graphic>
          </wp:inline>
        </w:drawing>
      </w:r>
      <w:r>
        <w:rPr>
          <w:sz w:val="26"/>
        </w:rPr>
        <w:t>1 instrucciones de forma verbal o escrita que realizara la publicación de la factura en el sistema de GUATECOMPRAS, con Io cual, se evidencia y confirma que las facturas que respaldan las negociaciones no se habían publicado en 1 Guatecompras, ratificándose la deficiencia establecida por el Equipo de Auditoría.</w:t>
      </w:r>
    </w:p>
    <w:p w14:paraId="1851D8C7" w14:textId="77777777" w:rsidR="00053D93" w:rsidRDefault="00260B75">
      <w:pPr>
        <w:spacing w:after="374" w:line="269" w:lineRule="auto"/>
        <w:ind w:left="60" w:right="14" w:hanging="3"/>
        <w:jc w:val="both"/>
      </w:pPr>
      <w:r>
        <w:rPr>
          <w:sz w:val="26"/>
        </w:rPr>
        <w:t>-1 Se confirma el hallazgo, para el licenciado Rony Daniel Portillo Paredes, Encargado del Fondo Rotativo, en virtud que, sus comentarios y pruebas de descargo, no desvanecen los hechos que se le atribuyen; derivado que, el 1 responsable argumenta que no cuentan con manual de funciones actualizado y un departamento de compras establecido, solicitándole de manera verbal la Subdirectora Administrativa Financiera en funciones el apoyo para realizar la -1 publicación del Número de Operación en Guatecompras -NOG- que corresponden a los concursos realizados en la modalidad de compra directa con oferta electrónica; sin embargo, la falta de estructura interna no exime al responsable de cumplir con las obligaciones que establece el Decreto Número 57-92, Ley de</w:t>
      </w:r>
    </w:p>
    <w:p w14:paraId="16F60244" w14:textId="77777777" w:rsidR="00053D93" w:rsidRDefault="00260B75">
      <w:pPr>
        <w:spacing w:after="3"/>
        <w:ind w:left="74" w:right="43" w:hanging="10"/>
      </w:pPr>
      <w:r>
        <w:rPr>
          <w:sz w:val="74"/>
        </w:rPr>
        <w:t>1</w:t>
      </w:r>
    </w:p>
    <w:tbl>
      <w:tblPr>
        <w:tblStyle w:val="TableGrid"/>
        <w:tblW w:w="9418" w:type="dxa"/>
        <w:tblInd w:w="684" w:type="dxa"/>
        <w:tblLook w:val="04A0" w:firstRow="1" w:lastRow="0" w:firstColumn="1" w:lastColumn="0" w:noHBand="0" w:noVBand="1"/>
      </w:tblPr>
      <w:tblGrid>
        <w:gridCol w:w="1242"/>
        <w:gridCol w:w="8233"/>
      </w:tblGrid>
      <w:tr w:rsidR="00053D93" w14:paraId="124A1DE8" w14:textId="77777777">
        <w:trPr>
          <w:trHeight w:val="641"/>
        </w:trPr>
        <w:tc>
          <w:tcPr>
            <w:tcW w:w="1719" w:type="dxa"/>
            <w:tcBorders>
              <w:top w:val="nil"/>
              <w:left w:val="nil"/>
              <w:bottom w:val="nil"/>
              <w:right w:val="nil"/>
            </w:tcBorders>
          </w:tcPr>
          <w:p w14:paraId="76C1B87A" w14:textId="77777777" w:rsidR="00053D93" w:rsidRDefault="00260B75">
            <w:r>
              <w:rPr>
                <w:noProof/>
              </w:rPr>
              <w:drawing>
                <wp:inline distT="0" distB="0" distL="0" distR="0" wp14:anchorId="0F2EDDBD" wp14:editId="13FD459F">
                  <wp:extent cx="1065276" cy="406908"/>
                  <wp:effectExtent l="0" t="0" r="0" b="0"/>
                  <wp:docPr id="1391623" name="Picture 1391623"/>
                  <wp:cNvGraphicFramePr/>
                  <a:graphic xmlns:a="http://schemas.openxmlformats.org/drawingml/2006/main">
                    <a:graphicData uri="http://schemas.openxmlformats.org/drawingml/2006/picture">
                      <pic:pic xmlns:pic="http://schemas.openxmlformats.org/drawingml/2006/picture">
                        <pic:nvPicPr>
                          <pic:cNvPr id="1391623" name="Picture 1391623"/>
                          <pic:cNvPicPr/>
                        </pic:nvPicPr>
                        <pic:blipFill>
                          <a:blip r:embed="rId1835"/>
                          <a:stretch>
                            <a:fillRect/>
                          </a:stretch>
                        </pic:blipFill>
                        <pic:spPr>
                          <a:xfrm>
                            <a:off x="0" y="0"/>
                            <a:ext cx="1065276" cy="406908"/>
                          </a:xfrm>
                          <a:prstGeom prst="rect">
                            <a:avLst/>
                          </a:prstGeom>
                        </pic:spPr>
                      </pic:pic>
                    </a:graphicData>
                  </a:graphic>
                </wp:inline>
              </w:drawing>
            </w:r>
          </w:p>
        </w:tc>
        <w:tc>
          <w:tcPr>
            <w:tcW w:w="7699" w:type="dxa"/>
            <w:tcBorders>
              <w:top w:val="nil"/>
              <w:left w:val="nil"/>
              <w:bottom w:val="nil"/>
              <w:right w:val="nil"/>
            </w:tcBorders>
          </w:tcPr>
          <w:p w14:paraId="00CF0EFE" w14:textId="77777777" w:rsidR="00053D93" w:rsidRDefault="00053D93">
            <w:pPr>
              <w:ind w:left="-2741" w:right="10440"/>
            </w:pPr>
          </w:p>
          <w:tbl>
            <w:tblPr>
              <w:tblStyle w:val="TableGrid"/>
              <w:tblW w:w="7657" w:type="dxa"/>
              <w:tblInd w:w="41" w:type="dxa"/>
              <w:tblCellMar>
                <w:top w:w="27" w:type="dxa"/>
                <w:left w:w="1782" w:type="dxa"/>
                <w:right w:w="115" w:type="dxa"/>
              </w:tblCellMar>
              <w:tblLook w:val="04A0" w:firstRow="1" w:lastRow="0" w:firstColumn="1" w:lastColumn="0" w:noHBand="0" w:noVBand="1"/>
            </w:tblPr>
            <w:tblGrid>
              <w:gridCol w:w="7657"/>
            </w:tblGrid>
            <w:tr w:rsidR="00053D93" w14:paraId="7918198A" w14:textId="77777777">
              <w:trPr>
                <w:trHeight w:val="55"/>
              </w:trPr>
              <w:tc>
                <w:tcPr>
                  <w:tcW w:w="7657" w:type="dxa"/>
                  <w:tcBorders>
                    <w:top w:val="nil"/>
                    <w:left w:val="single" w:sz="2" w:space="0" w:color="000000"/>
                    <w:bottom w:val="single" w:sz="2" w:space="0" w:color="000000"/>
                    <w:right w:val="nil"/>
                  </w:tcBorders>
                </w:tcPr>
                <w:p w14:paraId="227EE4B1" w14:textId="77777777" w:rsidR="00053D93" w:rsidRDefault="00053D93"/>
              </w:tc>
            </w:tr>
            <w:tr w:rsidR="00053D93" w14:paraId="5F326A34" w14:textId="77777777">
              <w:trPr>
                <w:trHeight w:val="579"/>
              </w:trPr>
              <w:tc>
                <w:tcPr>
                  <w:tcW w:w="7657" w:type="dxa"/>
                  <w:tcBorders>
                    <w:top w:val="single" w:sz="2" w:space="0" w:color="000000"/>
                    <w:left w:val="single" w:sz="2" w:space="0" w:color="000000"/>
                    <w:bottom w:val="nil"/>
                    <w:right w:val="nil"/>
                  </w:tcBorders>
                </w:tcPr>
                <w:p w14:paraId="2C98B42A" w14:textId="77777777" w:rsidR="00053D93" w:rsidRDefault="00260B75">
                  <w:pPr>
                    <w:ind w:left="835"/>
                  </w:pPr>
                  <w:r>
                    <w:rPr>
                      <w:sz w:val="14"/>
                    </w:rPr>
                    <w:t>MINISTERIO DE EDUCACION</w:t>
                  </w:r>
                </w:p>
                <w:p w14:paraId="79447636" w14:textId="77777777" w:rsidR="00053D93" w:rsidRDefault="00260B75">
                  <w:pPr>
                    <w:ind w:left="338"/>
                  </w:pPr>
                  <w:r>
                    <w:rPr>
                      <w:sz w:val="14"/>
                    </w:rPr>
                    <w:t>AUDITORIA FINANCIERA Y DE CUMPLIMIENTO</w:t>
                  </w:r>
                </w:p>
                <w:p w14:paraId="5277F658" w14:textId="77777777" w:rsidR="00053D93" w:rsidRDefault="00260B75">
                  <w:r>
                    <w:rPr>
                      <w:sz w:val="14"/>
                    </w:rPr>
                    <w:t>PERIODO DEI. 01 OE ENERO AL 31 DE DICIEMBRE DE 2024</w:t>
                  </w:r>
                </w:p>
              </w:tc>
            </w:tr>
          </w:tbl>
          <w:p w14:paraId="2C213DBC" w14:textId="77777777" w:rsidR="00053D93" w:rsidRDefault="00053D93"/>
        </w:tc>
      </w:tr>
    </w:tbl>
    <w:p w14:paraId="406A0122" w14:textId="77777777" w:rsidR="00053D93" w:rsidRDefault="00260B75">
      <w:pPr>
        <w:spacing w:after="39"/>
        <w:ind w:left="1663"/>
      </w:pPr>
      <w:r>
        <w:rPr>
          <w:noProof/>
        </w:rPr>
        <mc:AlternateContent>
          <mc:Choice Requires="wpg">
            <w:drawing>
              <wp:inline distT="0" distB="0" distL="0" distR="0" wp14:anchorId="7664B3CF" wp14:editId="1052FE3E">
                <wp:extent cx="5390388" cy="9144"/>
                <wp:effectExtent l="0" t="0" r="0" b="0"/>
                <wp:docPr id="2459050" name="Group 2459050"/>
                <wp:cNvGraphicFramePr/>
                <a:graphic xmlns:a="http://schemas.openxmlformats.org/drawingml/2006/main">
                  <a:graphicData uri="http://schemas.microsoft.com/office/word/2010/wordprocessingGroup">
                    <wpg:wgp>
                      <wpg:cNvGrpSpPr/>
                      <wpg:grpSpPr>
                        <a:xfrm>
                          <a:off x="0" y="0"/>
                          <a:ext cx="5390388" cy="9144"/>
                          <a:chOff x="0" y="0"/>
                          <a:chExt cx="5390388" cy="9144"/>
                        </a:xfrm>
                      </wpg:grpSpPr>
                      <wps:wsp>
                        <wps:cNvPr id="2459049" name="Shape 2459049"/>
                        <wps:cNvSpPr/>
                        <wps:spPr>
                          <a:xfrm>
                            <a:off x="0" y="0"/>
                            <a:ext cx="5390388" cy="9144"/>
                          </a:xfrm>
                          <a:custGeom>
                            <a:avLst/>
                            <a:gdLst/>
                            <a:ahLst/>
                            <a:cxnLst/>
                            <a:rect l="0" t="0" r="0" b="0"/>
                            <a:pathLst>
                              <a:path w="5390388" h="9144">
                                <a:moveTo>
                                  <a:pt x="0" y="4572"/>
                                </a:moveTo>
                                <a:lnTo>
                                  <a:pt x="539038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50" style="width:424.44pt;height:0.720001pt;mso-position-horizontal-relative:char;mso-position-vertical-relative:line" coordsize="53903,91">
                <v:shape id="Shape 2459049" style="position:absolute;width:53903;height:91;left:0;top:0;" coordsize="5390388,9144" path="m0,4572l5390388,4572">
                  <v:stroke weight="0.720001pt" endcap="flat" joinstyle="miter" miterlimit="1" on="true" color="#000000"/>
                  <v:fill on="false" color="#000000"/>
                </v:shape>
              </v:group>
            </w:pict>
          </mc:Fallback>
        </mc:AlternateContent>
      </w:r>
    </w:p>
    <w:p w14:paraId="3DBA4381" w14:textId="77777777" w:rsidR="00053D93" w:rsidRDefault="00260B75">
      <w:pPr>
        <w:spacing w:after="338" w:line="250" w:lineRule="auto"/>
        <w:ind w:left="1681" w:right="14" w:hanging="3"/>
        <w:jc w:val="both"/>
      </w:pPr>
      <w:r>
        <w:rPr>
          <w:sz w:val="26"/>
        </w:rPr>
        <w:t>Contrataciones del Estado, artículo 4 Bis, respecto a la publicación de toda [a documentación requerida en el sistema GUATECOMPRAS, en los plazos establecidos.</w:t>
      </w:r>
    </w:p>
    <w:p w14:paraId="2DBC70A6" w14:textId="77777777" w:rsidR="00053D93" w:rsidRDefault="00260B75">
      <w:pPr>
        <w:spacing w:after="324" w:line="250" w:lineRule="auto"/>
        <w:ind w:left="1673" w:right="14" w:hanging="3"/>
        <w:jc w:val="both"/>
      </w:pPr>
      <w:r>
        <w:rPr>
          <w:sz w:val="26"/>
        </w:rPr>
        <w:t>Adicionalmente, el responsable exterioriza que los expedientes eran remitidos a la Subdirectora Administrativa Financiera quien continuaba con las fases del proceso como evaluación, adjudicación y trámite de pago, por lo que, no fueron publicadas las facturas que respaldan las negociaciones como lo establece la normativa legal; con lo cual, se evidencia y confirma que las facturas que respaldan las negociaciones no se habían publicado en Guatecompras, ratificándose la deficiencia establecida por el Equipo de Auditoría.</w:t>
      </w:r>
    </w:p>
    <w:p w14:paraId="313A6067" w14:textId="77777777" w:rsidR="00053D93" w:rsidRDefault="00260B75">
      <w:pPr>
        <w:spacing w:after="289" w:line="250" w:lineRule="auto"/>
        <w:ind w:left="1666" w:right="14" w:hanging="3"/>
        <w:jc w:val="both"/>
      </w:pPr>
      <w:r>
        <w:rPr>
          <w:sz w:val="26"/>
        </w:rPr>
        <w:t>Finalmente, el responsable manifiesta que, solo apoyó con la publicación de dichos eventos y que su función no es la de Analista de Adquisiciones, sino la de Encargado del Fondo Rotativo Interno; sin embargo, la limitación del apoyo prestado o el hecho de no fungir como Analista de Adquisiciones no releva de la responsabilidad de asegurar la correcta publicación de los documentos exigidos por la ley.</w:t>
      </w:r>
    </w:p>
    <w:p w14:paraId="27912FED" w14:textId="77777777" w:rsidR="00053D93" w:rsidRDefault="00260B75">
      <w:pPr>
        <w:spacing w:after="301" w:line="250" w:lineRule="auto"/>
        <w:ind w:left="1659" w:right="14" w:hanging="3"/>
        <w:jc w:val="both"/>
      </w:pPr>
      <w:r>
        <w:rPr>
          <w:sz w:val="26"/>
        </w:rPr>
        <w:t>El hallazgo se notificó con el número 6 y en el presente informe le corresponde el número 4.</w:t>
      </w:r>
    </w:p>
    <w:p w14:paraId="07E86F24" w14:textId="77777777" w:rsidR="00053D93" w:rsidRDefault="00260B75">
      <w:pPr>
        <w:spacing w:after="14" w:line="251" w:lineRule="auto"/>
        <w:ind w:left="1658" w:hanging="3"/>
        <w:jc w:val="both"/>
      </w:pPr>
      <w:r>
        <w:rPr>
          <w:sz w:val="28"/>
        </w:rPr>
        <w:t>Acciones legales</w:t>
      </w:r>
    </w:p>
    <w:p w14:paraId="7AFC7BF6" w14:textId="77777777" w:rsidR="00053D93" w:rsidRDefault="00260B75">
      <w:pPr>
        <w:spacing w:after="48" w:line="250" w:lineRule="auto"/>
        <w:ind w:left="1652" w:right="14" w:hanging="3"/>
        <w:jc w:val="both"/>
      </w:pPr>
      <w:r>
        <w:rPr>
          <w:sz w:val="26"/>
        </w:rPr>
        <w:t>Sanción económica de conformidad con Ley de Contrataciones del Estado, Decreto No. 57-92, reformado por el Decreto Número 46-2016, del Congreso de la República, Artículo 83, para:</w:t>
      </w:r>
    </w:p>
    <w:tbl>
      <w:tblPr>
        <w:tblStyle w:val="TableGrid"/>
        <w:tblW w:w="8446" w:type="dxa"/>
        <w:tblInd w:w="1642" w:type="dxa"/>
        <w:tblLook w:val="04A0" w:firstRow="1" w:lastRow="0" w:firstColumn="1" w:lastColumn="0" w:noHBand="0" w:noVBand="1"/>
      </w:tblPr>
      <w:tblGrid>
        <w:gridCol w:w="2959"/>
        <w:gridCol w:w="3557"/>
        <w:gridCol w:w="1930"/>
      </w:tblGrid>
      <w:tr w:rsidR="00053D93" w14:paraId="3A4CE754" w14:textId="77777777">
        <w:trPr>
          <w:trHeight w:val="202"/>
        </w:trPr>
        <w:tc>
          <w:tcPr>
            <w:tcW w:w="2959" w:type="dxa"/>
            <w:tcBorders>
              <w:top w:val="nil"/>
              <w:left w:val="nil"/>
              <w:bottom w:val="nil"/>
              <w:right w:val="nil"/>
            </w:tcBorders>
          </w:tcPr>
          <w:p w14:paraId="432C7BF0" w14:textId="77777777" w:rsidR="00053D93" w:rsidRDefault="00260B75">
            <w:pPr>
              <w:ind w:left="7"/>
            </w:pPr>
            <w:r>
              <w:rPr>
                <w:sz w:val="16"/>
              </w:rPr>
              <w:t>Cargo</w:t>
            </w:r>
          </w:p>
        </w:tc>
        <w:tc>
          <w:tcPr>
            <w:tcW w:w="3557" w:type="dxa"/>
            <w:tcBorders>
              <w:top w:val="nil"/>
              <w:left w:val="nil"/>
              <w:bottom w:val="nil"/>
              <w:right w:val="nil"/>
            </w:tcBorders>
          </w:tcPr>
          <w:p w14:paraId="1C9B6B80" w14:textId="77777777" w:rsidR="00053D93" w:rsidRDefault="00260B75">
            <w:pPr>
              <w:ind w:left="346"/>
            </w:pPr>
            <w:r>
              <w:rPr>
                <w:sz w:val="16"/>
              </w:rPr>
              <w:t>Nombre</w:t>
            </w:r>
          </w:p>
        </w:tc>
        <w:tc>
          <w:tcPr>
            <w:tcW w:w="1930" w:type="dxa"/>
            <w:tcBorders>
              <w:top w:val="nil"/>
              <w:left w:val="nil"/>
              <w:bottom w:val="nil"/>
              <w:right w:val="nil"/>
            </w:tcBorders>
          </w:tcPr>
          <w:p w14:paraId="1177C1A7" w14:textId="77777777" w:rsidR="00053D93" w:rsidRDefault="00260B75">
            <w:pPr>
              <w:jc w:val="right"/>
            </w:pPr>
            <w:r>
              <w:rPr>
                <w:sz w:val="16"/>
              </w:rPr>
              <w:t>Valor en Quetzales</w:t>
            </w:r>
          </w:p>
        </w:tc>
      </w:tr>
      <w:tr w:rsidR="00053D93" w14:paraId="2A758E9C" w14:textId="77777777">
        <w:trPr>
          <w:trHeight w:val="201"/>
        </w:trPr>
        <w:tc>
          <w:tcPr>
            <w:tcW w:w="2959" w:type="dxa"/>
            <w:tcBorders>
              <w:top w:val="nil"/>
              <w:left w:val="nil"/>
              <w:bottom w:val="nil"/>
              <w:right w:val="nil"/>
            </w:tcBorders>
          </w:tcPr>
          <w:p w14:paraId="33535C2E" w14:textId="77777777" w:rsidR="00053D93" w:rsidRDefault="00260B75">
            <w:pPr>
              <w:ind w:left="7"/>
            </w:pPr>
            <w:r>
              <w:rPr>
                <w:sz w:val="16"/>
              </w:rPr>
              <w:t>PLANIFICADOR</w:t>
            </w:r>
          </w:p>
        </w:tc>
        <w:tc>
          <w:tcPr>
            <w:tcW w:w="3557" w:type="dxa"/>
            <w:tcBorders>
              <w:top w:val="nil"/>
              <w:left w:val="nil"/>
              <w:bottom w:val="nil"/>
              <w:right w:val="nil"/>
            </w:tcBorders>
          </w:tcPr>
          <w:p w14:paraId="2004224F" w14:textId="77777777" w:rsidR="00053D93" w:rsidRDefault="00260B75">
            <w:pPr>
              <w:ind w:left="346"/>
            </w:pPr>
            <w:r>
              <w:rPr>
                <w:sz w:val="16"/>
              </w:rPr>
              <w:t>MARCELL ANTONIO ROMERO AGUILAR</w:t>
            </w:r>
          </w:p>
        </w:tc>
        <w:tc>
          <w:tcPr>
            <w:tcW w:w="1930" w:type="dxa"/>
            <w:tcBorders>
              <w:top w:val="nil"/>
              <w:left w:val="nil"/>
              <w:bottom w:val="nil"/>
              <w:right w:val="nil"/>
            </w:tcBorders>
          </w:tcPr>
          <w:p w14:paraId="59A5031E" w14:textId="77777777" w:rsidR="00053D93" w:rsidRDefault="00260B75">
            <w:pPr>
              <w:jc w:val="right"/>
            </w:pPr>
            <w:r>
              <w:rPr>
                <w:rFonts w:ascii="Times New Roman" w:eastAsia="Times New Roman" w:hAnsi="Times New Roman" w:cs="Times New Roman"/>
                <w:sz w:val="16"/>
              </w:rPr>
              <w:t>998.60</w:t>
            </w:r>
          </w:p>
        </w:tc>
      </w:tr>
      <w:tr w:rsidR="00053D93" w14:paraId="4C734A52" w14:textId="77777777">
        <w:trPr>
          <w:trHeight w:val="346"/>
        </w:trPr>
        <w:tc>
          <w:tcPr>
            <w:tcW w:w="2959" w:type="dxa"/>
            <w:tcBorders>
              <w:top w:val="nil"/>
              <w:left w:val="nil"/>
              <w:bottom w:val="nil"/>
              <w:right w:val="nil"/>
            </w:tcBorders>
          </w:tcPr>
          <w:p w14:paraId="7AECC20C" w14:textId="77777777" w:rsidR="00053D93" w:rsidRDefault="00260B75">
            <w:pPr>
              <w:ind w:left="7"/>
            </w:pPr>
            <w:r>
              <w:rPr>
                <w:sz w:val="16"/>
              </w:rPr>
              <w:t>ENCARGADO DEL FONDO ROTATIVO</w:t>
            </w:r>
          </w:p>
          <w:p w14:paraId="67DD3C38" w14:textId="77777777" w:rsidR="00053D93" w:rsidRDefault="00260B75">
            <w:r>
              <w:rPr>
                <w:sz w:val="16"/>
              </w:rPr>
              <w:t>Total</w:t>
            </w:r>
          </w:p>
        </w:tc>
        <w:tc>
          <w:tcPr>
            <w:tcW w:w="3557" w:type="dxa"/>
            <w:tcBorders>
              <w:top w:val="nil"/>
              <w:left w:val="nil"/>
              <w:bottom w:val="nil"/>
              <w:right w:val="nil"/>
            </w:tcBorders>
          </w:tcPr>
          <w:p w14:paraId="2D5C25E8" w14:textId="77777777" w:rsidR="00053D93" w:rsidRDefault="00260B75">
            <w:pPr>
              <w:ind w:left="346"/>
            </w:pPr>
            <w:r>
              <w:rPr>
                <w:sz w:val="18"/>
              </w:rPr>
              <w:t>RONY DANIEL PORTILLO PAREDES</w:t>
            </w:r>
          </w:p>
        </w:tc>
        <w:tc>
          <w:tcPr>
            <w:tcW w:w="1930" w:type="dxa"/>
            <w:tcBorders>
              <w:top w:val="nil"/>
              <w:left w:val="nil"/>
              <w:bottom w:val="nil"/>
              <w:right w:val="nil"/>
            </w:tcBorders>
          </w:tcPr>
          <w:p w14:paraId="43270EE5" w14:textId="77777777" w:rsidR="00053D93" w:rsidRDefault="00260B75">
            <w:pPr>
              <w:jc w:val="right"/>
            </w:pPr>
            <w:r>
              <w:rPr>
                <w:rFonts w:ascii="Times New Roman" w:eastAsia="Times New Roman" w:hAnsi="Times New Roman" w:cs="Times New Roman"/>
                <w:sz w:val="16"/>
              </w:rPr>
              <w:t>998.60</w:t>
            </w:r>
          </w:p>
        </w:tc>
      </w:tr>
    </w:tbl>
    <w:p w14:paraId="7DF7118A" w14:textId="77777777" w:rsidR="00053D93" w:rsidRDefault="00260B75">
      <w:pPr>
        <w:spacing w:after="350" w:line="265" w:lineRule="auto"/>
        <w:ind w:left="10" w:right="57" w:hanging="10"/>
        <w:jc w:val="right"/>
      </w:pPr>
      <w:r>
        <w:rPr>
          <w:sz w:val="16"/>
        </w:rPr>
        <w:t>Q. 1.997.20</w:t>
      </w:r>
    </w:p>
    <w:p w14:paraId="0A68CE9A" w14:textId="77777777" w:rsidR="00053D93" w:rsidRDefault="00260B75">
      <w:pPr>
        <w:spacing w:after="318" w:line="251" w:lineRule="auto"/>
        <w:ind w:left="1658" w:hanging="3"/>
        <w:jc w:val="both"/>
      </w:pPr>
      <w:r>
        <w:rPr>
          <w:sz w:val="28"/>
        </w:rPr>
        <w:t>Hallazgo No. 5</w:t>
      </w:r>
    </w:p>
    <w:p w14:paraId="71CA99F9" w14:textId="77777777" w:rsidR="00053D93" w:rsidRDefault="00260B75">
      <w:pPr>
        <w:spacing w:after="279" w:line="251" w:lineRule="auto"/>
        <w:ind w:left="1658" w:hanging="3"/>
        <w:jc w:val="both"/>
      </w:pPr>
      <w:r>
        <w:rPr>
          <w:sz w:val="28"/>
        </w:rPr>
        <w:t>Publicación extemporánea del Acta de Negociación en Guatecompras.</w:t>
      </w:r>
    </w:p>
    <w:p w14:paraId="0481CFDC" w14:textId="77777777" w:rsidR="00053D93" w:rsidRDefault="00260B75">
      <w:pPr>
        <w:spacing w:after="14" w:line="251" w:lineRule="auto"/>
        <w:ind w:left="1658" w:hanging="3"/>
        <w:jc w:val="both"/>
      </w:pPr>
      <w:r>
        <w:rPr>
          <w:sz w:val="28"/>
        </w:rPr>
        <w:t>Condición</w:t>
      </w:r>
    </w:p>
    <w:p w14:paraId="030FDBB4" w14:textId="77777777" w:rsidR="00053D93" w:rsidRDefault="00260B75">
      <w:pPr>
        <w:spacing w:after="275" w:line="250" w:lineRule="auto"/>
        <w:ind w:left="1609" w:right="14" w:hanging="3"/>
        <w:jc w:val="both"/>
      </w:pPr>
      <w:r>
        <w:rPr>
          <w:sz w:val="26"/>
        </w:rPr>
        <w:t>En el Ministerio de Educación, Unidad Ejecutora 124 Dirección General de Gestión de Calidad Educativa -DIGECADE-, Compras de Baja Cuantía, el 17, 21 de febrero y 03 de marzo de 2025, se verificó la información publicada en el Sistema de Información de Contrataciones y Adquisiciones del Estado -GUATECOMPRASsegún muestra de auditoría de los Números de Publicación Guatecompras -NPG-</w:t>
      </w:r>
    </w:p>
    <w:p w14:paraId="126C4563" w14:textId="77777777" w:rsidR="00053D93" w:rsidRDefault="00260B75">
      <w:pPr>
        <w:spacing w:after="0"/>
        <w:ind w:left="662"/>
      </w:pPr>
      <w:r>
        <w:rPr>
          <w:noProof/>
        </w:rPr>
        <w:drawing>
          <wp:inline distT="0" distB="0" distL="0" distR="0" wp14:anchorId="5AF055AE" wp14:editId="5113E726">
            <wp:extent cx="5984748" cy="411480"/>
            <wp:effectExtent l="0" t="0" r="0" b="0"/>
            <wp:docPr id="2459047" name="Picture 2459047"/>
            <wp:cNvGraphicFramePr/>
            <a:graphic xmlns:a="http://schemas.openxmlformats.org/drawingml/2006/main">
              <a:graphicData uri="http://schemas.openxmlformats.org/drawingml/2006/picture">
                <pic:pic xmlns:pic="http://schemas.openxmlformats.org/drawingml/2006/picture">
                  <pic:nvPicPr>
                    <pic:cNvPr id="2459047" name="Picture 2459047"/>
                    <pic:cNvPicPr/>
                  </pic:nvPicPr>
                  <pic:blipFill>
                    <a:blip r:embed="rId1836"/>
                    <a:stretch>
                      <a:fillRect/>
                    </a:stretch>
                  </pic:blipFill>
                  <pic:spPr>
                    <a:xfrm>
                      <a:off x="0" y="0"/>
                      <a:ext cx="5984748" cy="411480"/>
                    </a:xfrm>
                    <a:prstGeom prst="rect">
                      <a:avLst/>
                    </a:prstGeom>
                  </pic:spPr>
                </pic:pic>
              </a:graphicData>
            </a:graphic>
          </wp:inline>
        </w:drawing>
      </w:r>
    </w:p>
    <w:p w14:paraId="5EAE94E6" w14:textId="77777777" w:rsidR="00053D93" w:rsidRDefault="00260B75">
      <w:pPr>
        <w:spacing w:after="0"/>
        <w:ind w:right="7"/>
        <w:jc w:val="right"/>
      </w:pPr>
      <w:r>
        <w:rPr>
          <w:rFonts w:ascii="Times New Roman" w:eastAsia="Times New Roman" w:hAnsi="Times New Roman" w:cs="Times New Roman"/>
          <w:sz w:val="14"/>
        </w:rPr>
        <w:t>CLII.TURA</w:t>
      </w:r>
    </w:p>
    <w:p w14:paraId="6A93134B" w14:textId="77777777" w:rsidR="00053D93" w:rsidRDefault="00260B75">
      <w:pPr>
        <w:spacing w:after="9"/>
        <w:ind w:right="14"/>
        <w:jc w:val="right"/>
      </w:pPr>
      <w:r>
        <w:rPr>
          <w:rFonts w:ascii="Times New Roman" w:eastAsia="Times New Roman" w:hAnsi="Times New Roman" w:cs="Times New Roman"/>
          <w:sz w:val="16"/>
        </w:rPr>
        <w:t>DEPORTES</w:t>
      </w:r>
    </w:p>
    <w:p w14:paraId="275818FC" w14:textId="77777777" w:rsidR="00053D93" w:rsidRDefault="00260B75">
      <w:pPr>
        <w:spacing w:after="46"/>
        <w:ind w:left="1505"/>
      </w:pPr>
      <w:r>
        <w:rPr>
          <w:noProof/>
        </w:rPr>
        <mc:AlternateContent>
          <mc:Choice Requires="wpg">
            <w:drawing>
              <wp:inline distT="0" distB="0" distL="0" distR="0" wp14:anchorId="03978F13" wp14:editId="68587F73">
                <wp:extent cx="5486401" cy="9144"/>
                <wp:effectExtent l="0" t="0" r="0" b="0"/>
                <wp:docPr id="2459054" name="Group 2459054"/>
                <wp:cNvGraphicFramePr/>
                <a:graphic xmlns:a="http://schemas.openxmlformats.org/drawingml/2006/main">
                  <a:graphicData uri="http://schemas.microsoft.com/office/word/2010/wordprocessingGroup">
                    <wpg:wgp>
                      <wpg:cNvGrpSpPr/>
                      <wpg:grpSpPr>
                        <a:xfrm>
                          <a:off x="0" y="0"/>
                          <a:ext cx="5486401" cy="9144"/>
                          <a:chOff x="0" y="0"/>
                          <a:chExt cx="5486401" cy="9144"/>
                        </a:xfrm>
                      </wpg:grpSpPr>
                      <wps:wsp>
                        <wps:cNvPr id="2459053" name="Shape 2459053"/>
                        <wps:cNvSpPr/>
                        <wps:spPr>
                          <a:xfrm>
                            <a:off x="0" y="0"/>
                            <a:ext cx="5486401" cy="9144"/>
                          </a:xfrm>
                          <a:custGeom>
                            <a:avLst/>
                            <a:gdLst/>
                            <a:ahLst/>
                            <a:cxnLst/>
                            <a:rect l="0" t="0" r="0" b="0"/>
                            <a:pathLst>
                              <a:path w="5486401" h="9144">
                                <a:moveTo>
                                  <a:pt x="0" y="4572"/>
                                </a:moveTo>
                                <a:lnTo>
                                  <a:pt x="5486401"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54" style="width:432pt;height:0.719994pt;mso-position-horizontal-relative:char;mso-position-vertical-relative:line" coordsize="54864,91">
                <v:shape id="Shape 2459053" style="position:absolute;width:54864;height:91;left:0;top:0;" coordsize="5486401,9144" path="m0,4572l5486401,4572">
                  <v:stroke weight="0.719994pt" endcap="flat" joinstyle="miter" miterlimit="1" on="true" color="#000000"/>
                  <v:fill on="false" color="#000000"/>
                </v:shape>
              </v:group>
            </w:pict>
          </mc:Fallback>
        </mc:AlternateContent>
      </w:r>
    </w:p>
    <w:tbl>
      <w:tblPr>
        <w:tblStyle w:val="TableGrid"/>
        <w:tblpPr w:vertAnchor="text" w:tblpX="1718" w:tblpY="1168"/>
        <w:tblOverlap w:val="never"/>
        <w:tblW w:w="8275" w:type="dxa"/>
        <w:tblInd w:w="0" w:type="dxa"/>
        <w:tblCellMar>
          <w:left w:w="35" w:type="dxa"/>
          <w:right w:w="36" w:type="dxa"/>
        </w:tblCellMar>
        <w:tblLook w:val="04A0" w:firstRow="1" w:lastRow="0" w:firstColumn="1" w:lastColumn="0" w:noHBand="0" w:noVBand="1"/>
      </w:tblPr>
      <w:tblGrid>
        <w:gridCol w:w="345"/>
        <w:gridCol w:w="77"/>
        <w:gridCol w:w="1254"/>
        <w:gridCol w:w="1857"/>
        <w:gridCol w:w="1842"/>
        <w:gridCol w:w="2158"/>
        <w:gridCol w:w="1323"/>
      </w:tblGrid>
      <w:tr w:rsidR="00053D93" w14:paraId="68990D74" w14:textId="77777777">
        <w:trPr>
          <w:trHeight w:val="1356"/>
        </w:trPr>
        <w:tc>
          <w:tcPr>
            <w:tcW w:w="312" w:type="dxa"/>
            <w:tcBorders>
              <w:top w:val="single" w:sz="2" w:space="0" w:color="000000"/>
              <w:left w:val="single" w:sz="2" w:space="0" w:color="000000"/>
              <w:bottom w:val="single" w:sz="2" w:space="0" w:color="000000"/>
              <w:right w:val="nil"/>
            </w:tcBorders>
          </w:tcPr>
          <w:p w14:paraId="79C3553C" w14:textId="77777777" w:rsidR="00053D93" w:rsidRDefault="00053D93"/>
        </w:tc>
        <w:tc>
          <w:tcPr>
            <w:tcW w:w="311" w:type="dxa"/>
            <w:tcBorders>
              <w:top w:val="single" w:sz="2" w:space="0" w:color="000000"/>
              <w:left w:val="nil"/>
              <w:bottom w:val="single" w:sz="2" w:space="0" w:color="000000"/>
              <w:right w:val="single" w:sz="2" w:space="0" w:color="000000"/>
            </w:tcBorders>
          </w:tcPr>
          <w:p w14:paraId="55A9C8E5"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6D8CDAD2" w14:textId="77777777" w:rsidR="00053D93" w:rsidRDefault="00053D93"/>
        </w:tc>
        <w:tc>
          <w:tcPr>
            <w:tcW w:w="1591" w:type="dxa"/>
            <w:tcBorders>
              <w:top w:val="single" w:sz="2" w:space="0" w:color="000000"/>
              <w:left w:val="single" w:sz="2" w:space="0" w:color="000000"/>
              <w:bottom w:val="single" w:sz="2" w:space="0" w:color="000000"/>
              <w:right w:val="single" w:sz="2" w:space="0" w:color="000000"/>
            </w:tcBorders>
          </w:tcPr>
          <w:p w14:paraId="4FB39E21" w14:textId="77777777" w:rsidR="00053D93" w:rsidRDefault="00260B75">
            <w:pPr>
              <w:ind w:left="57"/>
              <w:jc w:val="center"/>
            </w:pPr>
            <w:r>
              <w:rPr>
                <w:rFonts w:ascii="Times New Roman" w:eastAsia="Times New Roman" w:hAnsi="Times New Roman" w:cs="Times New Roman"/>
                <w:sz w:val="24"/>
              </w:rPr>
              <w:t>ACTA DE</w:t>
            </w:r>
          </w:p>
          <w:p w14:paraId="38C62AEF" w14:textId="77777777" w:rsidR="00053D93" w:rsidRDefault="00260B75">
            <w:pPr>
              <w:ind w:left="119"/>
            </w:pPr>
            <w:r>
              <w:rPr>
                <w:rFonts w:ascii="Times New Roman" w:eastAsia="Times New Roman" w:hAnsi="Times New Roman" w:cs="Times New Roman"/>
                <w:sz w:val="24"/>
              </w:rPr>
              <w:t>NEGOCIACIÖN</w:t>
            </w:r>
          </w:p>
        </w:tc>
        <w:tc>
          <w:tcPr>
            <w:tcW w:w="1584" w:type="dxa"/>
            <w:tcBorders>
              <w:top w:val="single" w:sz="2" w:space="0" w:color="000000"/>
              <w:left w:val="single" w:sz="2" w:space="0" w:color="000000"/>
              <w:bottom w:val="single" w:sz="2" w:space="0" w:color="000000"/>
              <w:right w:val="single" w:sz="2" w:space="0" w:color="000000"/>
            </w:tcBorders>
          </w:tcPr>
          <w:p w14:paraId="2569EF96" w14:textId="77777777" w:rsidR="00053D93" w:rsidRDefault="00260B75">
            <w:pPr>
              <w:spacing w:line="218" w:lineRule="auto"/>
              <w:ind w:left="47"/>
              <w:jc w:val="center"/>
            </w:pPr>
            <w:r>
              <w:rPr>
                <w:rFonts w:ascii="Times New Roman" w:eastAsia="Times New Roman" w:hAnsi="Times New Roman" w:cs="Times New Roman"/>
                <w:sz w:val="26"/>
              </w:rPr>
              <w:t>FECHA ACTA DE</w:t>
            </w:r>
          </w:p>
          <w:p w14:paraId="6C192262" w14:textId="77777777" w:rsidR="00053D93" w:rsidRDefault="00260B75">
            <w:pPr>
              <w:ind w:left="104"/>
            </w:pPr>
            <w:r>
              <w:rPr>
                <w:rFonts w:ascii="Times New Roman" w:eastAsia="Times New Roman" w:hAnsi="Times New Roman" w:cs="Times New Roman"/>
                <w:sz w:val="24"/>
              </w:rPr>
              <w:t>NEGOCIACIÖN</w:t>
            </w:r>
          </w:p>
        </w:tc>
        <w:tc>
          <w:tcPr>
            <w:tcW w:w="1908" w:type="dxa"/>
            <w:tcBorders>
              <w:top w:val="single" w:sz="2" w:space="0" w:color="000000"/>
              <w:left w:val="single" w:sz="2" w:space="0" w:color="000000"/>
              <w:bottom w:val="single" w:sz="2" w:space="0" w:color="000000"/>
              <w:right w:val="single" w:sz="2" w:space="0" w:color="000000"/>
            </w:tcBorders>
          </w:tcPr>
          <w:p w14:paraId="1B490217" w14:textId="77777777" w:rsidR="00053D93" w:rsidRDefault="00260B75">
            <w:pPr>
              <w:ind w:left="64"/>
              <w:jc w:val="center"/>
            </w:pPr>
            <w:r>
              <w:rPr>
                <w:rFonts w:ascii="Times New Roman" w:eastAsia="Times New Roman" w:hAnsi="Times New Roman" w:cs="Times New Roman"/>
                <w:sz w:val="26"/>
              </w:rPr>
              <w:t>FECHA</w:t>
            </w:r>
          </w:p>
          <w:p w14:paraId="5AE1E2D4" w14:textId="77777777" w:rsidR="00053D93" w:rsidRDefault="00260B75">
            <w:pPr>
              <w:ind w:left="57"/>
              <w:jc w:val="center"/>
            </w:pPr>
            <w:r>
              <w:rPr>
                <w:rFonts w:ascii="Times New Roman" w:eastAsia="Times New Roman" w:hAnsi="Times New Roman" w:cs="Times New Roman"/>
                <w:sz w:val="24"/>
              </w:rPr>
              <w:t>PUBLİCACIÖN A</w:t>
            </w:r>
          </w:p>
          <w:p w14:paraId="26C7BAE1" w14:textId="77777777" w:rsidR="00053D93" w:rsidRDefault="00260B75">
            <w:pPr>
              <w:ind w:left="126"/>
            </w:pPr>
            <w:r>
              <w:rPr>
                <w:rFonts w:ascii="Times New Roman" w:eastAsia="Times New Roman" w:hAnsi="Times New Roman" w:cs="Times New Roman"/>
                <w:sz w:val="24"/>
              </w:rPr>
              <w:t>GUATECOMPRAS</w:t>
            </w:r>
          </w:p>
          <w:p w14:paraId="575917BD" w14:textId="77777777" w:rsidR="00053D93" w:rsidRDefault="00260B75">
            <w:pPr>
              <w:ind w:left="42"/>
              <w:jc w:val="center"/>
            </w:pPr>
            <w:r>
              <w:rPr>
                <w:rFonts w:ascii="Times New Roman" w:eastAsia="Times New Roman" w:hAnsi="Times New Roman" w:cs="Times New Roman"/>
                <w:sz w:val="24"/>
              </w:rPr>
              <w:t>ACTA DE</w:t>
            </w:r>
          </w:p>
          <w:p w14:paraId="0FF08AE0" w14:textId="77777777" w:rsidR="00053D93" w:rsidRDefault="00260B75">
            <w:pPr>
              <w:ind w:left="49"/>
              <w:jc w:val="center"/>
            </w:pPr>
            <w:r>
              <w:rPr>
                <w:rFonts w:ascii="Times New Roman" w:eastAsia="Times New Roman" w:hAnsi="Times New Roman" w:cs="Times New Roman"/>
                <w:sz w:val="24"/>
              </w:rPr>
              <w:t>NEGOCIACIÖN</w:t>
            </w:r>
          </w:p>
        </w:tc>
        <w:tc>
          <w:tcPr>
            <w:tcW w:w="1335" w:type="dxa"/>
            <w:tcBorders>
              <w:top w:val="single" w:sz="2" w:space="0" w:color="000000"/>
              <w:left w:val="single" w:sz="2" w:space="0" w:color="000000"/>
              <w:bottom w:val="single" w:sz="2" w:space="0" w:color="000000"/>
              <w:right w:val="single" w:sz="2" w:space="0" w:color="000000"/>
            </w:tcBorders>
          </w:tcPr>
          <w:p w14:paraId="1A0C655B" w14:textId="77777777" w:rsidR="00053D93" w:rsidRDefault="00260B75">
            <w:pPr>
              <w:ind w:left="112"/>
            </w:pPr>
            <w:r>
              <w:rPr>
                <w:rFonts w:ascii="Times New Roman" w:eastAsia="Times New Roman" w:hAnsi="Times New Roman" w:cs="Times New Roman"/>
              </w:rPr>
              <w:t>MONTO (Q.)</w:t>
            </w:r>
          </w:p>
        </w:tc>
      </w:tr>
      <w:tr w:rsidR="00053D93" w14:paraId="0EF0039E" w14:textId="77777777">
        <w:trPr>
          <w:trHeight w:val="540"/>
        </w:trPr>
        <w:tc>
          <w:tcPr>
            <w:tcW w:w="312" w:type="dxa"/>
            <w:tcBorders>
              <w:top w:val="single" w:sz="2" w:space="0" w:color="000000"/>
              <w:left w:val="single" w:sz="2" w:space="0" w:color="000000"/>
              <w:bottom w:val="single" w:sz="2" w:space="0" w:color="000000"/>
              <w:right w:val="nil"/>
            </w:tcBorders>
          </w:tcPr>
          <w:p w14:paraId="52A5FA39" w14:textId="77777777" w:rsidR="00053D93" w:rsidRDefault="00260B75">
            <w:pPr>
              <w:ind w:right="25"/>
              <w:jc w:val="center"/>
            </w:pPr>
            <w:r>
              <w:rPr>
                <w:rFonts w:ascii="Times New Roman" w:eastAsia="Times New Roman" w:hAnsi="Times New Roman" w:cs="Times New Roman"/>
                <w:sz w:val="20"/>
              </w:rPr>
              <w:t>1</w:t>
            </w:r>
          </w:p>
        </w:tc>
        <w:tc>
          <w:tcPr>
            <w:tcW w:w="311" w:type="dxa"/>
            <w:tcBorders>
              <w:top w:val="single" w:sz="2" w:space="0" w:color="000000"/>
              <w:left w:val="nil"/>
              <w:bottom w:val="single" w:sz="2" w:space="0" w:color="000000"/>
              <w:right w:val="single" w:sz="2" w:space="0" w:color="000000"/>
            </w:tcBorders>
          </w:tcPr>
          <w:p w14:paraId="447D49CD"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1585294C" w14:textId="77777777" w:rsidR="00053D93" w:rsidRDefault="00260B75">
            <w:pPr>
              <w:ind w:left="58"/>
            </w:pPr>
            <w:r>
              <w:rPr>
                <w:rFonts w:ascii="Times New Roman" w:eastAsia="Times New Roman" w:hAnsi="Times New Roman" w:cs="Times New Roman"/>
              </w:rPr>
              <w:t>E538023961</w:t>
            </w:r>
          </w:p>
        </w:tc>
        <w:tc>
          <w:tcPr>
            <w:tcW w:w="1591" w:type="dxa"/>
            <w:tcBorders>
              <w:top w:val="single" w:sz="2" w:space="0" w:color="000000"/>
              <w:left w:val="single" w:sz="2" w:space="0" w:color="000000"/>
              <w:bottom w:val="single" w:sz="2" w:space="0" w:color="000000"/>
              <w:right w:val="single" w:sz="2" w:space="0" w:color="000000"/>
            </w:tcBorders>
          </w:tcPr>
          <w:p w14:paraId="308E0AB3" w14:textId="77777777" w:rsidR="00053D93" w:rsidRDefault="00260B75">
            <w:pPr>
              <w:ind w:left="49"/>
              <w:jc w:val="center"/>
            </w:pPr>
            <w:r>
              <w:rPr>
                <w:rFonts w:ascii="Times New Roman" w:eastAsia="Times New Roman" w:hAnsi="Times New Roman" w:cs="Times New Roman"/>
              </w:rPr>
              <w:t>2024-11398</w:t>
            </w:r>
          </w:p>
        </w:tc>
        <w:tc>
          <w:tcPr>
            <w:tcW w:w="1584" w:type="dxa"/>
            <w:tcBorders>
              <w:top w:val="single" w:sz="2" w:space="0" w:color="000000"/>
              <w:left w:val="single" w:sz="2" w:space="0" w:color="000000"/>
              <w:bottom w:val="single" w:sz="2" w:space="0" w:color="000000"/>
              <w:right w:val="single" w:sz="2" w:space="0" w:color="000000"/>
            </w:tcBorders>
          </w:tcPr>
          <w:p w14:paraId="543D3072" w14:textId="77777777" w:rsidR="00053D93" w:rsidRDefault="00260B75">
            <w:pPr>
              <w:ind w:left="42"/>
              <w:jc w:val="center"/>
            </w:pPr>
            <w:r>
              <w:rPr>
                <w:rFonts w:ascii="Times New Roman" w:eastAsia="Times New Roman" w:hAnsi="Times New Roman" w:cs="Times New Roman"/>
                <w:sz w:val="20"/>
              </w:rPr>
              <w:t>25/01/2024</w:t>
            </w:r>
          </w:p>
        </w:tc>
        <w:tc>
          <w:tcPr>
            <w:tcW w:w="1908" w:type="dxa"/>
            <w:tcBorders>
              <w:top w:val="single" w:sz="2" w:space="0" w:color="000000"/>
              <w:left w:val="single" w:sz="2" w:space="0" w:color="000000"/>
              <w:bottom w:val="single" w:sz="2" w:space="0" w:color="000000"/>
              <w:right w:val="single" w:sz="2" w:space="0" w:color="000000"/>
            </w:tcBorders>
          </w:tcPr>
          <w:p w14:paraId="4A7860D4" w14:textId="77777777" w:rsidR="00053D93" w:rsidRDefault="00260B75">
            <w:pPr>
              <w:ind w:left="42"/>
              <w:jc w:val="center"/>
            </w:pPr>
            <w:r>
              <w:rPr>
                <w:rFonts w:ascii="Times New Roman" w:eastAsia="Times New Roman" w:hAnsi="Times New Roman" w:cs="Times New Roman"/>
                <w:sz w:val="20"/>
              </w:rPr>
              <w:t>6/03/2024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07276F93" w14:textId="77777777" w:rsidR="00053D93" w:rsidRDefault="00260B75">
            <w:pPr>
              <w:ind w:right="29"/>
              <w:jc w:val="right"/>
            </w:pPr>
            <w:r>
              <w:rPr>
                <w:rFonts w:ascii="Times New Roman" w:eastAsia="Times New Roman" w:hAnsi="Times New Roman" w:cs="Times New Roman"/>
                <w:sz w:val="24"/>
              </w:rPr>
              <w:t>3730.00</w:t>
            </w:r>
          </w:p>
        </w:tc>
      </w:tr>
      <w:tr w:rsidR="00053D93" w14:paraId="673B5CA0" w14:textId="77777777">
        <w:trPr>
          <w:trHeight w:val="530"/>
        </w:trPr>
        <w:tc>
          <w:tcPr>
            <w:tcW w:w="312" w:type="dxa"/>
            <w:tcBorders>
              <w:top w:val="single" w:sz="2" w:space="0" w:color="000000"/>
              <w:left w:val="single" w:sz="2" w:space="0" w:color="000000"/>
              <w:bottom w:val="single" w:sz="2" w:space="0" w:color="000000"/>
              <w:right w:val="nil"/>
            </w:tcBorders>
          </w:tcPr>
          <w:p w14:paraId="28C77421" w14:textId="77777777" w:rsidR="00053D93" w:rsidRDefault="00260B75">
            <w:pPr>
              <w:ind w:left="68"/>
            </w:pPr>
            <w:r>
              <w:rPr>
                <w:rFonts w:ascii="Times New Roman" w:eastAsia="Times New Roman" w:hAnsi="Times New Roman" w:cs="Times New Roman"/>
                <w:sz w:val="20"/>
              </w:rPr>
              <w:t>2</w:t>
            </w:r>
          </w:p>
        </w:tc>
        <w:tc>
          <w:tcPr>
            <w:tcW w:w="311" w:type="dxa"/>
            <w:tcBorders>
              <w:top w:val="single" w:sz="2" w:space="0" w:color="000000"/>
              <w:left w:val="nil"/>
              <w:bottom w:val="single" w:sz="2" w:space="0" w:color="000000"/>
              <w:right w:val="single" w:sz="2" w:space="0" w:color="000000"/>
            </w:tcBorders>
          </w:tcPr>
          <w:p w14:paraId="06BEE484"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64515D37" w14:textId="77777777" w:rsidR="00053D93" w:rsidRDefault="00260B75">
            <w:pPr>
              <w:ind w:left="58"/>
            </w:pPr>
            <w:r>
              <w:rPr>
                <w:rFonts w:ascii="Times New Roman" w:eastAsia="Times New Roman" w:hAnsi="Times New Roman" w:cs="Times New Roman"/>
              </w:rPr>
              <w:t>E538024976</w:t>
            </w:r>
          </w:p>
        </w:tc>
        <w:tc>
          <w:tcPr>
            <w:tcW w:w="1591" w:type="dxa"/>
            <w:tcBorders>
              <w:top w:val="single" w:sz="2" w:space="0" w:color="000000"/>
              <w:left w:val="single" w:sz="2" w:space="0" w:color="000000"/>
              <w:bottom w:val="single" w:sz="2" w:space="0" w:color="000000"/>
              <w:right w:val="single" w:sz="2" w:space="0" w:color="000000"/>
            </w:tcBorders>
          </w:tcPr>
          <w:p w14:paraId="2071E8D7" w14:textId="77777777" w:rsidR="00053D93" w:rsidRDefault="00260B75">
            <w:pPr>
              <w:ind w:left="28"/>
              <w:jc w:val="center"/>
            </w:pPr>
            <w:r>
              <w:rPr>
                <w:rFonts w:ascii="Times New Roman" w:eastAsia="Times New Roman" w:hAnsi="Times New Roman" w:cs="Times New Roman"/>
                <w:sz w:val="20"/>
              </w:rPr>
              <w:t>2024-11391</w:t>
            </w:r>
          </w:p>
        </w:tc>
        <w:tc>
          <w:tcPr>
            <w:tcW w:w="1584" w:type="dxa"/>
            <w:tcBorders>
              <w:top w:val="single" w:sz="2" w:space="0" w:color="000000"/>
              <w:left w:val="single" w:sz="2" w:space="0" w:color="000000"/>
              <w:bottom w:val="single" w:sz="2" w:space="0" w:color="000000"/>
              <w:right w:val="single" w:sz="2" w:space="0" w:color="000000"/>
            </w:tcBorders>
          </w:tcPr>
          <w:p w14:paraId="4CFE3C1F" w14:textId="77777777" w:rsidR="00053D93" w:rsidRDefault="00260B75">
            <w:pPr>
              <w:ind w:left="42"/>
              <w:jc w:val="center"/>
            </w:pPr>
            <w:r>
              <w:rPr>
                <w:rFonts w:ascii="Times New Roman" w:eastAsia="Times New Roman" w:hAnsi="Times New Roman" w:cs="Times New Roman"/>
                <w:sz w:val="20"/>
              </w:rPr>
              <w:t>27/02/2024</w:t>
            </w:r>
          </w:p>
        </w:tc>
        <w:tc>
          <w:tcPr>
            <w:tcW w:w="1908" w:type="dxa"/>
            <w:tcBorders>
              <w:top w:val="single" w:sz="2" w:space="0" w:color="000000"/>
              <w:left w:val="single" w:sz="2" w:space="0" w:color="000000"/>
              <w:bottom w:val="single" w:sz="2" w:space="0" w:color="000000"/>
              <w:right w:val="single" w:sz="2" w:space="0" w:color="000000"/>
            </w:tcBorders>
          </w:tcPr>
          <w:p w14:paraId="50555E0F" w14:textId="77777777" w:rsidR="00053D93" w:rsidRDefault="00260B75">
            <w:pPr>
              <w:ind w:left="42"/>
              <w:jc w:val="center"/>
            </w:pPr>
            <w:r>
              <w:rPr>
                <w:rFonts w:ascii="Times New Roman" w:eastAsia="Times New Roman" w:hAnsi="Times New Roman" w:cs="Times New Roman"/>
                <w:sz w:val="20"/>
              </w:rPr>
              <w:t>6/03/2024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76063565" w14:textId="77777777" w:rsidR="00053D93" w:rsidRDefault="00260B75">
            <w:pPr>
              <w:ind w:right="29"/>
              <w:jc w:val="right"/>
            </w:pPr>
            <w:r>
              <w:rPr>
                <w:rFonts w:ascii="Times New Roman" w:eastAsia="Times New Roman" w:hAnsi="Times New Roman" w:cs="Times New Roman"/>
              </w:rPr>
              <w:t>3.730.00</w:t>
            </w:r>
          </w:p>
        </w:tc>
      </w:tr>
      <w:tr w:rsidR="00053D93" w14:paraId="61F0C449" w14:textId="77777777">
        <w:trPr>
          <w:trHeight w:val="533"/>
        </w:trPr>
        <w:tc>
          <w:tcPr>
            <w:tcW w:w="312" w:type="dxa"/>
            <w:tcBorders>
              <w:top w:val="single" w:sz="2" w:space="0" w:color="000000"/>
              <w:left w:val="single" w:sz="2" w:space="0" w:color="000000"/>
              <w:bottom w:val="single" w:sz="2" w:space="0" w:color="000000"/>
              <w:right w:val="nil"/>
            </w:tcBorders>
          </w:tcPr>
          <w:p w14:paraId="6B5D468E" w14:textId="77777777" w:rsidR="00053D93" w:rsidRDefault="00260B75">
            <w:pPr>
              <w:ind w:left="68"/>
            </w:pPr>
            <w:r>
              <w:rPr>
                <w:rFonts w:ascii="Times New Roman" w:eastAsia="Times New Roman" w:hAnsi="Times New Roman" w:cs="Times New Roman"/>
              </w:rPr>
              <w:t>3</w:t>
            </w:r>
          </w:p>
        </w:tc>
        <w:tc>
          <w:tcPr>
            <w:tcW w:w="311" w:type="dxa"/>
            <w:tcBorders>
              <w:top w:val="single" w:sz="2" w:space="0" w:color="000000"/>
              <w:left w:val="nil"/>
              <w:bottom w:val="single" w:sz="2" w:space="0" w:color="000000"/>
              <w:right w:val="single" w:sz="2" w:space="0" w:color="000000"/>
            </w:tcBorders>
          </w:tcPr>
          <w:p w14:paraId="7468AD05"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6EC28755" w14:textId="77777777" w:rsidR="00053D93" w:rsidRDefault="00260B75">
            <w:pPr>
              <w:ind w:left="50"/>
              <w:jc w:val="both"/>
            </w:pPr>
            <w:r>
              <w:rPr>
                <w:rFonts w:ascii="Times New Roman" w:eastAsia="Times New Roman" w:hAnsi="Times New Roman" w:cs="Times New Roman"/>
              </w:rPr>
              <w:t>%40167649</w:t>
            </w:r>
          </w:p>
        </w:tc>
        <w:tc>
          <w:tcPr>
            <w:tcW w:w="1591" w:type="dxa"/>
            <w:tcBorders>
              <w:top w:val="single" w:sz="2" w:space="0" w:color="000000"/>
              <w:left w:val="single" w:sz="2" w:space="0" w:color="000000"/>
              <w:bottom w:val="single" w:sz="2" w:space="0" w:color="000000"/>
              <w:right w:val="single" w:sz="2" w:space="0" w:color="000000"/>
            </w:tcBorders>
          </w:tcPr>
          <w:p w14:paraId="37CEC516" w14:textId="77777777" w:rsidR="00053D93" w:rsidRDefault="00260B75">
            <w:pPr>
              <w:ind w:left="49"/>
              <w:jc w:val="center"/>
            </w:pPr>
            <w:r>
              <w:rPr>
                <w:rFonts w:ascii="Times New Roman" w:eastAsia="Times New Roman" w:hAnsi="Times New Roman" w:cs="Times New Roman"/>
              </w:rPr>
              <w:t>2024-13103</w:t>
            </w:r>
          </w:p>
        </w:tc>
        <w:tc>
          <w:tcPr>
            <w:tcW w:w="1584" w:type="dxa"/>
            <w:tcBorders>
              <w:top w:val="single" w:sz="2" w:space="0" w:color="000000"/>
              <w:left w:val="single" w:sz="2" w:space="0" w:color="000000"/>
              <w:bottom w:val="single" w:sz="2" w:space="0" w:color="000000"/>
              <w:right w:val="single" w:sz="2" w:space="0" w:color="000000"/>
            </w:tcBorders>
          </w:tcPr>
          <w:p w14:paraId="126BA48D" w14:textId="77777777" w:rsidR="00053D93" w:rsidRDefault="00260B75">
            <w:pPr>
              <w:ind w:left="35"/>
              <w:jc w:val="center"/>
            </w:pPr>
            <w:r>
              <w:rPr>
                <w:rFonts w:ascii="Times New Roman" w:eastAsia="Times New Roman" w:hAnsi="Times New Roman" w:cs="Times New Roman"/>
                <w:sz w:val="20"/>
              </w:rPr>
              <w:t>25/03/2024</w:t>
            </w:r>
          </w:p>
        </w:tc>
        <w:tc>
          <w:tcPr>
            <w:tcW w:w="1908" w:type="dxa"/>
            <w:tcBorders>
              <w:top w:val="single" w:sz="2" w:space="0" w:color="000000"/>
              <w:left w:val="single" w:sz="2" w:space="0" w:color="000000"/>
              <w:bottom w:val="single" w:sz="2" w:space="0" w:color="000000"/>
              <w:right w:val="single" w:sz="2" w:space="0" w:color="000000"/>
            </w:tcBorders>
          </w:tcPr>
          <w:p w14:paraId="46947A9B" w14:textId="77777777" w:rsidR="00053D93" w:rsidRDefault="00260B75">
            <w:pPr>
              <w:ind w:left="42"/>
              <w:jc w:val="center"/>
            </w:pPr>
            <w:r>
              <w:rPr>
                <w:rFonts w:ascii="Times New Roman" w:eastAsia="Times New Roman" w:hAnsi="Times New Roman" w:cs="Times New Roman"/>
              </w:rPr>
              <w:t>17/04/2024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49306DCA" w14:textId="77777777" w:rsidR="00053D93" w:rsidRDefault="00260B75">
            <w:pPr>
              <w:ind w:right="36"/>
              <w:jc w:val="right"/>
            </w:pPr>
            <w:r>
              <w:rPr>
                <w:rFonts w:ascii="Times New Roman" w:eastAsia="Times New Roman" w:hAnsi="Times New Roman" w:cs="Times New Roman"/>
              </w:rPr>
              <w:t>3,730.oo</w:t>
            </w:r>
          </w:p>
        </w:tc>
      </w:tr>
      <w:tr w:rsidR="00053D93" w14:paraId="77E8C388" w14:textId="77777777">
        <w:trPr>
          <w:trHeight w:val="528"/>
        </w:trPr>
        <w:tc>
          <w:tcPr>
            <w:tcW w:w="312" w:type="dxa"/>
            <w:tcBorders>
              <w:top w:val="single" w:sz="2" w:space="0" w:color="000000"/>
              <w:left w:val="single" w:sz="2" w:space="0" w:color="000000"/>
              <w:bottom w:val="single" w:sz="2" w:space="0" w:color="000000"/>
              <w:right w:val="nil"/>
            </w:tcBorders>
          </w:tcPr>
          <w:p w14:paraId="6CA6FF8E" w14:textId="77777777" w:rsidR="00053D93" w:rsidRDefault="00260B75">
            <w:pPr>
              <w:ind w:left="61"/>
            </w:pPr>
            <w:r>
              <w:rPr>
                <w:rFonts w:ascii="Times New Roman" w:eastAsia="Times New Roman" w:hAnsi="Times New Roman" w:cs="Times New Roman"/>
                <w:sz w:val="20"/>
              </w:rPr>
              <w:t>4</w:t>
            </w:r>
          </w:p>
        </w:tc>
        <w:tc>
          <w:tcPr>
            <w:tcW w:w="311" w:type="dxa"/>
            <w:tcBorders>
              <w:top w:val="single" w:sz="2" w:space="0" w:color="000000"/>
              <w:left w:val="nil"/>
              <w:bottom w:val="single" w:sz="2" w:space="0" w:color="000000"/>
              <w:right w:val="single" w:sz="2" w:space="0" w:color="000000"/>
            </w:tcBorders>
          </w:tcPr>
          <w:p w14:paraId="5DA6DF06"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65C6CD82" w14:textId="77777777" w:rsidR="00053D93" w:rsidRDefault="00260B75">
            <w:pPr>
              <w:ind w:left="50"/>
              <w:jc w:val="both"/>
            </w:pPr>
            <w:r>
              <w:rPr>
                <w:rFonts w:ascii="Times New Roman" w:eastAsia="Times New Roman" w:hAnsi="Times New Roman" w:cs="Times New Roman"/>
              </w:rPr>
              <w:t>%42457067</w:t>
            </w:r>
          </w:p>
        </w:tc>
        <w:tc>
          <w:tcPr>
            <w:tcW w:w="1591" w:type="dxa"/>
            <w:tcBorders>
              <w:top w:val="single" w:sz="2" w:space="0" w:color="000000"/>
              <w:left w:val="single" w:sz="2" w:space="0" w:color="000000"/>
              <w:bottom w:val="single" w:sz="2" w:space="0" w:color="000000"/>
              <w:right w:val="single" w:sz="2" w:space="0" w:color="000000"/>
            </w:tcBorders>
          </w:tcPr>
          <w:p w14:paraId="16C6D663" w14:textId="77777777" w:rsidR="00053D93" w:rsidRDefault="00260B75">
            <w:pPr>
              <w:ind w:left="42"/>
              <w:jc w:val="center"/>
            </w:pPr>
            <w:r>
              <w:rPr>
                <w:rFonts w:ascii="Times New Roman" w:eastAsia="Times New Roman" w:hAnsi="Times New Roman" w:cs="Times New Roman"/>
              </w:rPr>
              <w:t>2024-16287</w:t>
            </w:r>
          </w:p>
        </w:tc>
        <w:tc>
          <w:tcPr>
            <w:tcW w:w="1584" w:type="dxa"/>
            <w:tcBorders>
              <w:top w:val="single" w:sz="2" w:space="0" w:color="000000"/>
              <w:left w:val="single" w:sz="2" w:space="0" w:color="000000"/>
              <w:bottom w:val="single" w:sz="2" w:space="0" w:color="000000"/>
              <w:right w:val="single" w:sz="2" w:space="0" w:color="000000"/>
            </w:tcBorders>
          </w:tcPr>
          <w:p w14:paraId="651B457E" w14:textId="77777777" w:rsidR="00053D93" w:rsidRDefault="00260B75">
            <w:pPr>
              <w:ind w:left="28"/>
              <w:jc w:val="center"/>
            </w:pPr>
            <w:r>
              <w:rPr>
                <w:rFonts w:ascii="Times New Roman" w:eastAsia="Times New Roman" w:hAnsi="Times New Roman" w:cs="Times New Roman"/>
                <w:sz w:val="20"/>
              </w:rPr>
              <w:t>24/04/2024</w:t>
            </w:r>
          </w:p>
        </w:tc>
        <w:tc>
          <w:tcPr>
            <w:tcW w:w="1908" w:type="dxa"/>
            <w:tcBorders>
              <w:top w:val="single" w:sz="2" w:space="0" w:color="000000"/>
              <w:left w:val="single" w:sz="2" w:space="0" w:color="000000"/>
              <w:bottom w:val="single" w:sz="2" w:space="0" w:color="000000"/>
              <w:right w:val="single" w:sz="2" w:space="0" w:color="000000"/>
            </w:tcBorders>
          </w:tcPr>
          <w:p w14:paraId="6245CF15" w14:textId="77777777" w:rsidR="00053D93" w:rsidRDefault="00260B75">
            <w:pPr>
              <w:ind w:left="35"/>
              <w:jc w:val="center"/>
            </w:pPr>
            <w:r>
              <w:rPr>
                <w:rFonts w:ascii="Times New Roman" w:eastAsia="Times New Roman" w:hAnsi="Times New Roman" w:cs="Times New Roman"/>
              </w:rPr>
              <w:t>30/05/2024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2B265071" w14:textId="77777777" w:rsidR="00053D93" w:rsidRDefault="00260B75">
            <w:pPr>
              <w:ind w:right="36"/>
              <w:jc w:val="right"/>
            </w:pPr>
            <w:r>
              <w:rPr>
                <w:rFonts w:ascii="Times New Roman" w:eastAsia="Times New Roman" w:hAnsi="Times New Roman" w:cs="Times New Roman"/>
              </w:rPr>
              <w:t>3,730.oo</w:t>
            </w:r>
          </w:p>
        </w:tc>
      </w:tr>
      <w:tr w:rsidR="00053D93" w14:paraId="2D687797" w14:textId="77777777">
        <w:trPr>
          <w:trHeight w:val="530"/>
        </w:trPr>
        <w:tc>
          <w:tcPr>
            <w:tcW w:w="312" w:type="dxa"/>
            <w:tcBorders>
              <w:top w:val="single" w:sz="2" w:space="0" w:color="000000"/>
              <w:left w:val="single" w:sz="2" w:space="0" w:color="000000"/>
              <w:bottom w:val="single" w:sz="2" w:space="0" w:color="000000"/>
              <w:right w:val="nil"/>
            </w:tcBorders>
          </w:tcPr>
          <w:p w14:paraId="37A2395C" w14:textId="77777777" w:rsidR="00053D93" w:rsidRDefault="00260B75">
            <w:pPr>
              <w:ind w:left="68"/>
            </w:pPr>
            <w:r>
              <w:rPr>
                <w:rFonts w:ascii="Times New Roman" w:eastAsia="Times New Roman" w:hAnsi="Times New Roman" w:cs="Times New Roman"/>
              </w:rPr>
              <w:t>5</w:t>
            </w:r>
          </w:p>
        </w:tc>
        <w:tc>
          <w:tcPr>
            <w:tcW w:w="311" w:type="dxa"/>
            <w:tcBorders>
              <w:top w:val="single" w:sz="2" w:space="0" w:color="000000"/>
              <w:left w:val="nil"/>
              <w:bottom w:val="single" w:sz="2" w:space="0" w:color="000000"/>
              <w:right w:val="single" w:sz="2" w:space="0" w:color="000000"/>
            </w:tcBorders>
          </w:tcPr>
          <w:p w14:paraId="657F4920"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5F252E22" w14:textId="77777777" w:rsidR="00053D93" w:rsidRDefault="00260B75">
            <w:pPr>
              <w:ind w:left="50"/>
            </w:pPr>
            <w:r>
              <w:rPr>
                <w:rFonts w:ascii="Times New Roman" w:eastAsia="Times New Roman" w:hAnsi="Times New Roman" w:cs="Times New Roman"/>
              </w:rPr>
              <w:t>E544003489</w:t>
            </w:r>
          </w:p>
        </w:tc>
        <w:tc>
          <w:tcPr>
            <w:tcW w:w="1591" w:type="dxa"/>
            <w:tcBorders>
              <w:top w:val="single" w:sz="2" w:space="0" w:color="000000"/>
              <w:left w:val="single" w:sz="2" w:space="0" w:color="000000"/>
              <w:bottom w:val="single" w:sz="2" w:space="0" w:color="000000"/>
              <w:right w:val="single" w:sz="2" w:space="0" w:color="000000"/>
            </w:tcBorders>
          </w:tcPr>
          <w:p w14:paraId="3067C291" w14:textId="77777777" w:rsidR="00053D93" w:rsidRDefault="00260B75">
            <w:pPr>
              <w:ind w:left="35"/>
              <w:jc w:val="center"/>
            </w:pPr>
            <w:r>
              <w:rPr>
                <w:rFonts w:ascii="Times New Roman" w:eastAsia="Times New Roman" w:hAnsi="Times New Roman" w:cs="Times New Roman"/>
              </w:rPr>
              <w:t>2024-18078</w:t>
            </w:r>
          </w:p>
        </w:tc>
        <w:tc>
          <w:tcPr>
            <w:tcW w:w="1584" w:type="dxa"/>
            <w:tcBorders>
              <w:top w:val="single" w:sz="2" w:space="0" w:color="000000"/>
              <w:left w:val="single" w:sz="2" w:space="0" w:color="000000"/>
              <w:bottom w:val="single" w:sz="2" w:space="0" w:color="000000"/>
              <w:right w:val="single" w:sz="2" w:space="0" w:color="000000"/>
            </w:tcBorders>
          </w:tcPr>
          <w:p w14:paraId="17A003F4" w14:textId="77777777" w:rsidR="00053D93" w:rsidRDefault="00260B75">
            <w:pPr>
              <w:ind w:left="28"/>
              <w:jc w:val="center"/>
            </w:pPr>
            <w:r>
              <w:rPr>
                <w:rFonts w:ascii="Times New Roman" w:eastAsia="Times New Roman" w:hAnsi="Times New Roman" w:cs="Times New Roman"/>
                <w:sz w:val="20"/>
              </w:rPr>
              <w:t>27/05/2024</w:t>
            </w:r>
          </w:p>
        </w:tc>
        <w:tc>
          <w:tcPr>
            <w:tcW w:w="1908" w:type="dxa"/>
            <w:tcBorders>
              <w:top w:val="single" w:sz="2" w:space="0" w:color="000000"/>
              <w:left w:val="single" w:sz="2" w:space="0" w:color="000000"/>
              <w:bottom w:val="single" w:sz="2" w:space="0" w:color="000000"/>
              <w:right w:val="single" w:sz="2" w:space="0" w:color="000000"/>
            </w:tcBorders>
          </w:tcPr>
          <w:p w14:paraId="70C461DB" w14:textId="77777777" w:rsidR="00053D93" w:rsidRDefault="00260B75">
            <w:pPr>
              <w:ind w:left="21"/>
              <w:jc w:val="center"/>
            </w:pPr>
            <w:r>
              <w:rPr>
                <w:rFonts w:ascii="Times New Roman" w:eastAsia="Times New Roman" w:hAnsi="Times New Roman" w:cs="Times New Roman"/>
                <w:sz w:val="20"/>
              </w:rPr>
              <w:t>28/06/2024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38EB13EF" w14:textId="77777777" w:rsidR="00053D93" w:rsidRDefault="00260B75">
            <w:pPr>
              <w:ind w:right="36"/>
              <w:jc w:val="right"/>
            </w:pPr>
            <w:r>
              <w:rPr>
                <w:rFonts w:ascii="Times New Roman" w:eastAsia="Times New Roman" w:hAnsi="Times New Roman" w:cs="Times New Roman"/>
              </w:rPr>
              <w:t>3.730.00</w:t>
            </w:r>
          </w:p>
        </w:tc>
      </w:tr>
      <w:tr w:rsidR="00053D93" w14:paraId="56D97EA3" w14:textId="77777777">
        <w:trPr>
          <w:trHeight w:val="528"/>
        </w:trPr>
        <w:tc>
          <w:tcPr>
            <w:tcW w:w="312" w:type="dxa"/>
            <w:tcBorders>
              <w:top w:val="single" w:sz="2" w:space="0" w:color="000000"/>
              <w:left w:val="single" w:sz="2" w:space="0" w:color="000000"/>
              <w:bottom w:val="single" w:sz="2" w:space="0" w:color="000000"/>
              <w:right w:val="nil"/>
            </w:tcBorders>
          </w:tcPr>
          <w:p w14:paraId="1BC0A570" w14:textId="77777777" w:rsidR="00053D93" w:rsidRDefault="00260B75">
            <w:pPr>
              <w:ind w:left="61"/>
            </w:pPr>
            <w:r>
              <w:rPr>
                <w:rFonts w:ascii="Times New Roman" w:eastAsia="Times New Roman" w:hAnsi="Times New Roman" w:cs="Times New Roman"/>
                <w:sz w:val="20"/>
              </w:rPr>
              <w:t>6</w:t>
            </w:r>
          </w:p>
        </w:tc>
        <w:tc>
          <w:tcPr>
            <w:tcW w:w="311" w:type="dxa"/>
            <w:tcBorders>
              <w:top w:val="single" w:sz="2" w:space="0" w:color="000000"/>
              <w:left w:val="nil"/>
              <w:bottom w:val="single" w:sz="2" w:space="0" w:color="000000"/>
              <w:right w:val="single" w:sz="2" w:space="0" w:color="000000"/>
            </w:tcBorders>
          </w:tcPr>
          <w:p w14:paraId="48977B66"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7665DD5B" w14:textId="77777777" w:rsidR="00053D93" w:rsidRDefault="00260B75">
            <w:pPr>
              <w:ind w:left="43"/>
            </w:pPr>
            <w:r>
              <w:rPr>
                <w:rFonts w:ascii="Times New Roman" w:eastAsia="Times New Roman" w:hAnsi="Times New Roman" w:cs="Times New Roman"/>
              </w:rPr>
              <w:t>E548691827</w:t>
            </w:r>
          </w:p>
        </w:tc>
        <w:tc>
          <w:tcPr>
            <w:tcW w:w="1591" w:type="dxa"/>
            <w:tcBorders>
              <w:top w:val="single" w:sz="2" w:space="0" w:color="000000"/>
              <w:left w:val="single" w:sz="2" w:space="0" w:color="000000"/>
              <w:bottom w:val="single" w:sz="2" w:space="0" w:color="000000"/>
              <w:right w:val="single" w:sz="2" w:space="0" w:color="000000"/>
            </w:tcBorders>
          </w:tcPr>
          <w:p w14:paraId="3CE9DC14" w14:textId="77777777" w:rsidR="00053D93" w:rsidRDefault="00260B75">
            <w:pPr>
              <w:ind w:left="35"/>
              <w:jc w:val="center"/>
            </w:pPr>
            <w:r>
              <w:rPr>
                <w:rFonts w:ascii="Times New Roman" w:eastAsia="Times New Roman" w:hAnsi="Times New Roman" w:cs="Times New Roman"/>
              </w:rPr>
              <w:t>2024-21173</w:t>
            </w:r>
          </w:p>
        </w:tc>
        <w:tc>
          <w:tcPr>
            <w:tcW w:w="1584" w:type="dxa"/>
            <w:tcBorders>
              <w:top w:val="single" w:sz="2" w:space="0" w:color="000000"/>
              <w:left w:val="single" w:sz="2" w:space="0" w:color="000000"/>
              <w:bottom w:val="single" w:sz="2" w:space="0" w:color="000000"/>
              <w:right w:val="single" w:sz="2" w:space="0" w:color="000000"/>
            </w:tcBorders>
          </w:tcPr>
          <w:p w14:paraId="72ACB405" w14:textId="77777777" w:rsidR="00053D93" w:rsidRDefault="00260B75">
            <w:pPr>
              <w:ind w:left="21"/>
              <w:jc w:val="center"/>
            </w:pPr>
            <w:r>
              <w:rPr>
                <w:rFonts w:ascii="Times New Roman" w:eastAsia="Times New Roman" w:hAnsi="Times New Roman" w:cs="Times New Roman"/>
                <w:sz w:val="20"/>
              </w:rPr>
              <w:t>28/08/2024</w:t>
            </w:r>
          </w:p>
        </w:tc>
        <w:tc>
          <w:tcPr>
            <w:tcW w:w="1908" w:type="dxa"/>
            <w:tcBorders>
              <w:top w:val="single" w:sz="2" w:space="0" w:color="000000"/>
              <w:left w:val="single" w:sz="2" w:space="0" w:color="000000"/>
              <w:bottom w:val="single" w:sz="2" w:space="0" w:color="000000"/>
              <w:right w:val="single" w:sz="2" w:space="0" w:color="000000"/>
            </w:tcBorders>
          </w:tcPr>
          <w:p w14:paraId="66830BF7" w14:textId="77777777" w:rsidR="00053D93" w:rsidRDefault="00260B75">
            <w:pPr>
              <w:ind w:left="21"/>
              <w:jc w:val="center"/>
            </w:pPr>
            <w:r>
              <w:rPr>
                <w:rFonts w:ascii="Times New Roman" w:eastAsia="Times New Roman" w:hAnsi="Times New Roman" w:cs="Times New Roman"/>
                <w:sz w:val="20"/>
              </w:rPr>
              <w:t>24/09/2024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4C6EEF27" w14:textId="77777777" w:rsidR="00053D93" w:rsidRDefault="00260B75">
            <w:pPr>
              <w:ind w:right="43"/>
              <w:jc w:val="right"/>
            </w:pPr>
            <w:r>
              <w:rPr>
                <w:rFonts w:ascii="Times New Roman" w:eastAsia="Times New Roman" w:hAnsi="Times New Roman" w:cs="Times New Roman"/>
              </w:rPr>
              <w:t>6,210.oo</w:t>
            </w:r>
          </w:p>
        </w:tc>
      </w:tr>
      <w:tr w:rsidR="00053D93" w14:paraId="79EACDDD" w14:textId="77777777">
        <w:trPr>
          <w:trHeight w:val="530"/>
        </w:trPr>
        <w:tc>
          <w:tcPr>
            <w:tcW w:w="312" w:type="dxa"/>
            <w:tcBorders>
              <w:top w:val="single" w:sz="2" w:space="0" w:color="000000"/>
              <w:left w:val="single" w:sz="2" w:space="0" w:color="000000"/>
              <w:bottom w:val="single" w:sz="2" w:space="0" w:color="000000"/>
              <w:right w:val="nil"/>
            </w:tcBorders>
          </w:tcPr>
          <w:p w14:paraId="70DC1A63" w14:textId="77777777" w:rsidR="00053D93" w:rsidRDefault="00260B75">
            <w:pPr>
              <w:ind w:left="54"/>
            </w:pPr>
            <w:r>
              <w:rPr>
                <w:rFonts w:ascii="Times New Roman" w:eastAsia="Times New Roman" w:hAnsi="Times New Roman" w:cs="Times New Roman"/>
              </w:rPr>
              <w:t>7</w:t>
            </w:r>
          </w:p>
        </w:tc>
        <w:tc>
          <w:tcPr>
            <w:tcW w:w="311" w:type="dxa"/>
            <w:tcBorders>
              <w:top w:val="single" w:sz="2" w:space="0" w:color="000000"/>
              <w:left w:val="nil"/>
              <w:bottom w:val="single" w:sz="2" w:space="0" w:color="000000"/>
              <w:right w:val="single" w:sz="2" w:space="0" w:color="000000"/>
            </w:tcBorders>
          </w:tcPr>
          <w:p w14:paraId="46ED4CBD"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18A5C368" w14:textId="77777777" w:rsidR="00053D93" w:rsidRDefault="00260B75">
            <w:pPr>
              <w:ind w:left="43"/>
            </w:pPr>
            <w:r>
              <w:rPr>
                <w:rFonts w:ascii="Times New Roman" w:eastAsia="Times New Roman" w:hAnsi="Times New Roman" w:cs="Times New Roman"/>
              </w:rPr>
              <w:t>E552225436</w:t>
            </w:r>
          </w:p>
        </w:tc>
        <w:tc>
          <w:tcPr>
            <w:tcW w:w="1591" w:type="dxa"/>
            <w:tcBorders>
              <w:top w:val="single" w:sz="2" w:space="0" w:color="000000"/>
              <w:left w:val="single" w:sz="2" w:space="0" w:color="000000"/>
              <w:bottom w:val="single" w:sz="2" w:space="0" w:color="000000"/>
              <w:right w:val="single" w:sz="2" w:space="0" w:color="000000"/>
            </w:tcBorders>
          </w:tcPr>
          <w:p w14:paraId="2A4630F8" w14:textId="77777777" w:rsidR="00053D93" w:rsidRDefault="00260B75">
            <w:pPr>
              <w:ind w:left="21"/>
              <w:jc w:val="center"/>
            </w:pPr>
            <w:r>
              <w:rPr>
                <w:rFonts w:ascii="Times New Roman" w:eastAsia="Times New Roman" w:hAnsi="Times New Roman" w:cs="Times New Roman"/>
              </w:rPr>
              <w:t>2024-23103</w:t>
            </w:r>
          </w:p>
        </w:tc>
        <w:tc>
          <w:tcPr>
            <w:tcW w:w="1584" w:type="dxa"/>
            <w:tcBorders>
              <w:top w:val="single" w:sz="2" w:space="0" w:color="000000"/>
              <w:left w:val="single" w:sz="2" w:space="0" w:color="000000"/>
              <w:bottom w:val="single" w:sz="2" w:space="0" w:color="000000"/>
              <w:right w:val="single" w:sz="2" w:space="0" w:color="000000"/>
            </w:tcBorders>
          </w:tcPr>
          <w:p w14:paraId="61D158CF" w14:textId="77777777" w:rsidR="00053D93" w:rsidRDefault="00260B75">
            <w:pPr>
              <w:ind w:left="13"/>
              <w:jc w:val="center"/>
            </w:pPr>
            <w:r>
              <w:rPr>
                <w:rFonts w:ascii="Times New Roman" w:eastAsia="Times New Roman" w:hAnsi="Times New Roman" w:cs="Times New Roman"/>
                <w:sz w:val="20"/>
              </w:rPr>
              <w:t>26/09/2024</w:t>
            </w:r>
          </w:p>
        </w:tc>
        <w:tc>
          <w:tcPr>
            <w:tcW w:w="1908" w:type="dxa"/>
            <w:tcBorders>
              <w:top w:val="single" w:sz="2" w:space="0" w:color="000000"/>
              <w:left w:val="single" w:sz="2" w:space="0" w:color="000000"/>
              <w:bottom w:val="single" w:sz="2" w:space="0" w:color="000000"/>
              <w:right w:val="single" w:sz="2" w:space="0" w:color="000000"/>
            </w:tcBorders>
          </w:tcPr>
          <w:p w14:paraId="3748D850" w14:textId="77777777" w:rsidR="00053D93" w:rsidRDefault="00260B75">
            <w:pPr>
              <w:ind w:left="13"/>
              <w:jc w:val="center"/>
            </w:pPr>
            <w:r>
              <w:rPr>
                <w:rFonts w:ascii="Times New Roman" w:eastAsia="Times New Roman" w:hAnsi="Times New Roman" w:cs="Times New Roman"/>
                <w:sz w:val="20"/>
              </w:rPr>
              <w:t>22/11/2024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009F4A1C" w14:textId="77777777" w:rsidR="00053D93" w:rsidRDefault="00260B75">
            <w:pPr>
              <w:ind w:right="43"/>
              <w:jc w:val="right"/>
            </w:pPr>
            <w:r>
              <w:rPr>
                <w:rFonts w:ascii="Times New Roman" w:eastAsia="Times New Roman" w:hAnsi="Times New Roman" w:cs="Times New Roman"/>
              </w:rPr>
              <w:t>6,210.00</w:t>
            </w:r>
          </w:p>
        </w:tc>
      </w:tr>
      <w:tr w:rsidR="00053D93" w14:paraId="218E1CDB" w14:textId="77777777">
        <w:trPr>
          <w:trHeight w:val="521"/>
        </w:trPr>
        <w:tc>
          <w:tcPr>
            <w:tcW w:w="312" w:type="dxa"/>
            <w:tcBorders>
              <w:top w:val="single" w:sz="2" w:space="0" w:color="000000"/>
              <w:left w:val="single" w:sz="2" w:space="0" w:color="000000"/>
              <w:bottom w:val="single" w:sz="2" w:space="0" w:color="000000"/>
              <w:right w:val="nil"/>
            </w:tcBorders>
          </w:tcPr>
          <w:p w14:paraId="3FE8923E" w14:textId="77777777" w:rsidR="00053D93" w:rsidRDefault="00260B75">
            <w:pPr>
              <w:ind w:left="61"/>
            </w:pPr>
            <w:r>
              <w:rPr>
                <w:rFonts w:ascii="Times New Roman" w:eastAsia="Times New Roman" w:hAnsi="Times New Roman" w:cs="Times New Roman"/>
                <w:sz w:val="20"/>
              </w:rPr>
              <w:t>8</w:t>
            </w:r>
          </w:p>
        </w:tc>
        <w:tc>
          <w:tcPr>
            <w:tcW w:w="311" w:type="dxa"/>
            <w:tcBorders>
              <w:top w:val="single" w:sz="2" w:space="0" w:color="000000"/>
              <w:left w:val="nil"/>
              <w:bottom w:val="single" w:sz="2" w:space="0" w:color="000000"/>
              <w:right w:val="single" w:sz="2" w:space="0" w:color="000000"/>
            </w:tcBorders>
          </w:tcPr>
          <w:p w14:paraId="583F3CBF"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0D0A5EA1" w14:textId="77777777" w:rsidR="00053D93" w:rsidRDefault="00260B75">
            <w:pPr>
              <w:ind w:left="36"/>
            </w:pPr>
            <w:r>
              <w:rPr>
                <w:rFonts w:ascii="Times New Roman" w:eastAsia="Times New Roman" w:hAnsi="Times New Roman" w:cs="Times New Roman"/>
              </w:rPr>
              <w:t>E553642308</w:t>
            </w:r>
          </w:p>
        </w:tc>
        <w:tc>
          <w:tcPr>
            <w:tcW w:w="1591" w:type="dxa"/>
            <w:tcBorders>
              <w:top w:val="single" w:sz="2" w:space="0" w:color="000000"/>
              <w:left w:val="single" w:sz="2" w:space="0" w:color="000000"/>
              <w:bottom w:val="single" w:sz="2" w:space="0" w:color="000000"/>
              <w:right w:val="single" w:sz="2" w:space="0" w:color="000000"/>
            </w:tcBorders>
          </w:tcPr>
          <w:p w14:paraId="61DD07E6" w14:textId="77777777" w:rsidR="00053D93" w:rsidRDefault="00260B75">
            <w:pPr>
              <w:ind w:left="21"/>
              <w:jc w:val="center"/>
            </w:pPr>
            <w:r>
              <w:rPr>
                <w:rFonts w:ascii="Times New Roman" w:eastAsia="Times New Roman" w:hAnsi="Times New Roman" w:cs="Times New Roman"/>
                <w:sz w:val="20"/>
              </w:rPr>
              <w:t>2024-25684</w:t>
            </w:r>
          </w:p>
        </w:tc>
        <w:tc>
          <w:tcPr>
            <w:tcW w:w="1584" w:type="dxa"/>
            <w:tcBorders>
              <w:top w:val="single" w:sz="2" w:space="0" w:color="000000"/>
              <w:left w:val="single" w:sz="2" w:space="0" w:color="000000"/>
              <w:bottom w:val="single" w:sz="2" w:space="0" w:color="000000"/>
              <w:right w:val="single" w:sz="2" w:space="0" w:color="000000"/>
            </w:tcBorders>
          </w:tcPr>
          <w:p w14:paraId="7784F258" w14:textId="77777777" w:rsidR="00053D93" w:rsidRDefault="00260B75">
            <w:pPr>
              <w:ind w:left="13"/>
              <w:jc w:val="center"/>
            </w:pPr>
            <w:r>
              <w:rPr>
                <w:rFonts w:ascii="Times New Roman" w:eastAsia="Times New Roman" w:hAnsi="Times New Roman" w:cs="Times New Roman"/>
                <w:sz w:val="20"/>
              </w:rPr>
              <w:t>22/1 112024</w:t>
            </w:r>
          </w:p>
        </w:tc>
        <w:tc>
          <w:tcPr>
            <w:tcW w:w="1908" w:type="dxa"/>
            <w:tcBorders>
              <w:top w:val="single" w:sz="2" w:space="0" w:color="000000"/>
              <w:left w:val="single" w:sz="2" w:space="0" w:color="000000"/>
              <w:bottom w:val="single" w:sz="2" w:space="0" w:color="000000"/>
              <w:right w:val="single" w:sz="2" w:space="0" w:color="000000"/>
            </w:tcBorders>
          </w:tcPr>
          <w:p w14:paraId="42521A79" w14:textId="77777777" w:rsidR="00053D93" w:rsidRDefault="00260B75">
            <w:pPr>
              <w:ind w:left="21"/>
              <w:jc w:val="center"/>
            </w:pPr>
            <w:r>
              <w:rPr>
                <w:rFonts w:ascii="Times New Roman" w:eastAsia="Times New Roman" w:hAnsi="Times New Roman" w:cs="Times New Roman"/>
                <w:sz w:val="20"/>
              </w:rPr>
              <w:t>1 2/12/2024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62CE5B36" w14:textId="77777777" w:rsidR="00053D93" w:rsidRDefault="00260B75">
            <w:pPr>
              <w:ind w:right="43"/>
              <w:jc w:val="right"/>
            </w:pPr>
            <w:r>
              <w:rPr>
                <w:rFonts w:ascii="Times New Roman" w:eastAsia="Times New Roman" w:hAnsi="Times New Roman" w:cs="Times New Roman"/>
              </w:rPr>
              <w:t>4.650.00</w:t>
            </w:r>
          </w:p>
        </w:tc>
      </w:tr>
      <w:tr w:rsidR="00053D93" w14:paraId="3DF0FB62" w14:textId="77777777">
        <w:trPr>
          <w:trHeight w:val="530"/>
        </w:trPr>
        <w:tc>
          <w:tcPr>
            <w:tcW w:w="312" w:type="dxa"/>
            <w:tcBorders>
              <w:top w:val="single" w:sz="2" w:space="0" w:color="000000"/>
              <w:left w:val="single" w:sz="2" w:space="0" w:color="000000"/>
              <w:bottom w:val="single" w:sz="2" w:space="0" w:color="000000"/>
              <w:right w:val="nil"/>
            </w:tcBorders>
          </w:tcPr>
          <w:p w14:paraId="63F5C929" w14:textId="77777777" w:rsidR="00053D93" w:rsidRDefault="00260B75">
            <w:pPr>
              <w:ind w:left="54"/>
            </w:pPr>
            <w:r>
              <w:rPr>
                <w:rFonts w:ascii="Times New Roman" w:eastAsia="Times New Roman" w:hAnsi="Times New Roman" w:cs="Times New Roman"/>
                <w:sz w:val="20"/>
              </w:rPr>
              <w:t>9</w:t>
            </w:r>
          </w:p>
        </w:tc>
        <w:tc>
          <w:tcPr>
            <w:tcW w:w="311" w:type="dxa"/>
            <w:tcBorders>
              <w:top w:val="single" w:sz="2" w:space="0" w:color="000000"/>
              <w:left w:val="nil"/>
              <w:bottom w:val="single" w:sz="2" w:space="0" w:color="000000"/>
              <w:right w:val="single" w:sz="2" w:space="0" w:color="000000"/>
            </w:tcBorders>
          </w:tcPr>
          <w:p w14:paraId="67330E4C"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2CB862BC" w14:textId="77777777" w:rsidR="00053D93" w:rsidRDefault="00260B75">
            <w:pPr>
              <w:ind w:left="36"/>
            </w:pPr>
            <w:r>
              <w:rPr>
                <w:rFonts w:ascii="Times New Roman" w:eastAsia="Times New Roman" w:hAnsi="Times New Roman" w:cs="Times New Roman"/>
              </w:rPr>
              <w:t>%37144412</w:t>
            </w:r>
          </w:p>
        </w:tc>
        <w:tc>
          <w:tcPr>
            <w:tcW w:w="1591" w:type="dxa"/>
            <w:tcBorders>
              <w:top w:val="single" w:sz="2" w:space="0" w:color="000000"/>
              <w:left w:val="single" w:sz="2" w:space="0" w:color="000000"/>
              <w:bottom w:val="single" w:sz="2" w:space="0" w:color="000000"/>
              <w:right w:val="single" w:sz="2" w:space="0" w:color="000000"/>
            </w:tcBorders>
          </w:tcPr>
          <w:p w14:paraId="38B09A11" w14:textId="77777777" w:rsidR="00053D93" w:rsidRDefault="00260B75">
            <w:pPr>
              <w:ind w:left="13"/>
              <w:jc w:val="center"/>
            </w:pPr>
            <w:r>
              <w:rPr>
                <w:rFonts w:ascii="Times New Roman" w:eastAsia="Times New Roman" w:hAnsi="Times New Roman" w:cs="Times New Roman"/>
              </w:rPr>
              <w:t>2024-10583</w:t>
            </w:r>
          </w:p>
        </w:tc>
        <w:tc>
          <w:tcPr>
            <w:tcW w:w="1584" w:type="dxa"/>
            <w:tcBorders>
              <w:top w:val="single" w:sz="2" w:space="0" w:color="000000"/>
              <w:left w:val="single" w:sz="2" w:space="0" w:color="000000"/>
              <w:bottom w:val="single" w:sz="2" w:space="0" w:color="000000"/>
              <w:right w:val="single" w:sz="2" w:space="0" w:color="000000"/>
            </w:tcBorders>
          </w:tcPr>
          <w:p w14:paraId="6A135ADC" w14:textId="77777777" w:rsidR="00053D93" w:rsidRDefault="00260B75">
            <w:pPr>
              <w:ind w:left="6"/>
              <w:jc w:val="center"/>
            </w:pPr>
            <w:r>
              <w:rPr>
                <w:rFonts w:ascii="Times New Roman" w:eastAsia="Times New Roman" w:hAnsi="Times New Roman" w:cs="Times New Roman"/>
                <w:sz w:val="20"/>
              </w:rPr>
              <w:t>9/02/2024</w:t>
            </w:r>
          </w:p>
        </w:tc>
        <w:tc>
          <w:tcPr>
            <w:tcW w:w="1908" w:type="dxa"/>
            <w:tcBorders>
              <w:top w:val="single" w:sz="2" w:space="0" w:color="000000"/>
              <w:left w:val="single" w:sz="2" w:space="0" w:color="000000"/>
              <w:bottom w:val="single" w:sz="2" w:space="0" w:color="000000"/>
              <w:right w:val="single" w:sz="2" w:space="0" w:color="000000"/>
            </w:tcBorders>
          </w:tcPr>
          <w:p w14:paraId="03919E37" w14:textId="77777777" w:rsidR="00053D93" w:rsidRDefault="00260B75">
            <w:pPr>
              <w:ind w:left="13"/>
              <w:jc w:val="center"/>
            </w:pPr>
            <w:r>
              <w:rPr>
                <w:rFonts w:ascii="Times New Roman" w:eastAsia="Times New Roman" w:hAnsi="Times New Roman" w:cs="Times New Roman"/>
              </w:rPr>
              <w:t>19/02/2024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046F53DD" w14:textId="77777777" w:rsidR="00053D93" w:rsidRDefault="00260B75">
            <w:pPr>
              <w:ind w:right="50"/>
              <w:jc w:val="right"/>
            </w:pPr>
            <w:r>
              <w:rPr>
                <w:rFonts w:ascii="Times New Roman" w:eastAsia="Times New Roman" w:hAnsi="Times New Roman" w:cs="Times New Roman"/>
              </w:rPr>
              <w:t>845.00</w:t>
            </w:r>
          </w:p>
        </w:tc>
      </w:tr>
      <w:tr w:rsidR="00053D93" w14:paraId="2892CA78" w14:textId="77777777">
        <w:trPr>
          <w:trHeight w:val="528"/>
        </w:trPr>
        <w:tc>
          <w:tcPr>
            <w:tcW w:w="312" w:type="dxa"/>
            <w:tcBorders>
              <w:top w:val="single" w:sz="2" w:space="0" w:color="000000"/>
              <w:left w:val="single" w:sz="2" w:space="0" w:color="000000"/>
              <w:bottom w:val="single" w:sz="2" w:space="0" w:color="000000"/>
              <w:right w:val="nil"/>
            </w:tcBorders>
          </w:tcPr>
          <w:p w14:paraId="60E8BDFC" w14:textId="77777777" w:rsidR="00053D93" w:rsidRDefault="00260B75">
            <w:pPr>
              <w:ind w:left="54"/>
            </w:pPr>
            <w:r>
              <w:rPr>
                <w:rFonts w:ascii="Times New Roman" w:eastAsia="Times New Roman" w:hAnsi="Times New Roman" w:cs="Times New Roman"/>
              </w:rPr>
              <w:t>10</w:t>
            </w:r>
          </w:p>
        </w:tc>
        <w:tc>
          <w:tcPr>
            <w:tcW w:w="311" w:type="dxa"/>
            <w:tcBorders>
              <w:top w:val="single" w:sz="2" w:space="0" w:color="000000"/>
              <w:left w:val="nil"/>
              <w:bottom w:val="single" w:sz="2" w:space="0" w:color="000000"/>
              <w:right w:val="single" w:sz="2" w:space="0" w:color="000000"/>
            </w:tcBorders>
          </w:tcPr>
          <w:p w14:paraId="5BCD4F27"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6E626681" w14:textId="77777777" w:rsidR="00053D93" w:rsidRDefault="00260B75">
            <w:pPr>
              <w:ind w:left="29"/>
            </w:pPr>
            <w:r>
              <w:rPr>
                <w:rFonts w:ascii="Times New Roman" w:eastAsia="Times New Roman" w:hAnsi="Times New Roman" w:cs="Times New Roman"/>
              </w:rPr>
              <w:t>E537368795</w:t>
            </w:r>
          </w:p>
        </w:tc>
        <w:tc>
          <w:tcPr>
            <w:tcW w:w="1591" w:type="dxa"/>
            <w:tcBorders>
              <w:top w:val="single" w:sz="2" w:space="0" w:color="000000"/>
              <w:left w:val="single" w:sz="2" w:space="0" w:color="000000"/>
              <w:bottom w:val="single" w:sz="2" w:space="0" w:color="000000"/>
              <w:right w:val="single" w:sz="2" w:space="0" w:color="000000"/>
            </w:tcBorders>
          </w:tcPr>
          <w:p w14:paraId="50034CD0" w14:textId="77777777" w:rsidR="00053D93" w:rsidRDefault="00260B75">
            <w:pPr>
              <w:ind w:left="6"/>
              <w:jc w:val="center"/>
            </w:pPr>
            <w:r>
              <w:rPr>
                <w:rFonts w:ascii="Times New Roman" w:eastAsia="Times New Roman" w:hAnsi="Times New Roman" w:cs="Times New Roman"/>
                <w:sz w:val="20"/>
              </w:rPr>
              <w:t>2024-10094</w:t>
            </w:r>
          </w:p>
        </w:tc>
        <w:tc>
          <w:tcPr>
            <w:tcW w:w="1584" w:type="dxa"/>
            <w:tcBorders>
              <w:top w:val="single" w:sz="2" w:space="0" w:color="000000"/>
              <w:left w:val="single" w:sz="2" w:space="0" w:color="000000"/>
              <w:bottom w:val="single" w:sz="2" w:space="0" w:color="000000"/>
              <w:right w:val="single" w:sz="2" w:space="0" w:color="000000"/>
            </w:tcBorders>
          </w:tcPr>
          <w:p w14:paraId="29A69B69" w14:textId="77777777" w:rsidR="00053D93" w:rsidRDefault="00260B75">
            <w:pPr>
              <w:ind w:right="1"/>
              <w:jc w:val="center"/>
            </w:pPr>
            <w:r>
              <w:rPr>
                <w:rFonts w:ascii="Times New Roman" w:eastAsia="Times New Roman" w:hAnsi="Times New Roman" w:cs="Times New Roman"/>
                <w:sz w:val="20"/>
              </w:rPr>
              <w:t>8/01/2024</w:t>
            </w:r>
          </w:p>
        </w:tc>
        <w:tc>
          <w:tcPr>
            <w:tcW w:w="1908" w:type="dxa"/>
            <w:tcBorders>
              <w:top w:val="single" w:sz="2" w:space="0" w:color="000000"/>
              <w:left w:val="single" w:sz="2" w:space="0" w:color="000000"/>
              <w:bottom w:val="single" w:sz="2" w:space="0" w:color="000000"/>
              <w:right w:val="single" w:sz="2" w:space="0" w:color="000000"/>
            </w:tcBorders>
          </w:tcPr>
          <w:p w14:paraId="77A4C86F" w14:textId="77777777" w:rsidR="00053D93" w:rsidRDefault="00260B75">
            <w:pPr>
              <w:ind w:right="8"/>
              <w:jc w:val="center"/>
            </w:pPr>
            <w:r>
              <w:rPr>
                <w:rFonts w:ascii="Times New Roman" w:eastAsia="Times New Roman" w:hAnsi="Times New Roman" w:cs="Times New Roman"/>
                <w:sz w:val="20"/>
              </w:rPr>
              <w:t>22/02/2024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07AA3A7F" w14:textId="77777777" w:rsidR="00053D93" w:rsidRDefault="00260B75">
            <w:pPr>
              <w:ind w:right="50"/>
              <w:jc w:val="right"/>
            </w:pPr>
            <w:r>
              <w:rPr>
                <w:rFonts w:ascii="Times New Roman" w:eastAsia="Times New Roman" w:hAnsi="Times New Roman" w:cs="Times New Roman"/>
              </w:rPr>
              <w:t>8,700.oo</w:t>
            </w:r>
          </w:p>
        </w:tc>
      </w:tr>
      <w:tr w:rsidR="00053D93" w14:paraId="39033B0C" w14:textId="77777777">
        <w:trPr>
          <w:trHeight w:val="537"/>
        </w:trPr>
        <w:tc>
          <w:tcPr>
            <w:tcW w:w="312" w:type="dxa"/>
            <w:tcBorders>
              <w:top w:val="single" w:sz="2" w:space="0" w:color="000000"/>
              <w:left w:val="single" w:sz="2" w:space="0" w:color="000000"/>
              <w:bottom w:val="single" w:sz="2" w:space="0" w:color="000000"/>
              <w:right w:val="nil"/>
            </w:tcBorders>
          </w:tcPr>
          <w:p w14:paraId="226E1724" w14:textId="77777777" w:rsidR="00053D93" w:rsidRDefault="00260B75">
            <w:pPr>
              <w:ind w:left="54"/>
            </w:pPr>
            <w:r>
              <w:rPr>
                <w:rFonts w:ascii="Times New Roman" w:eastAsia="Times New Roman" w:hAnsi="Times New Roman" w:cs="Times New Roman"/>
                <w:sz w:val="20"/>
              </w:rPr>
              <w:t>1 1</w:t>
            </w:r>
          </w:p>
        </w:tc>
        <w:tc>
          <w:tcPr>
            <w:tcW w:w="311" w:type="dxa"/>
            <w:tcBorders>
              <w:top w:val="single" w:sz="2" w:space="0" w:color="000000"/>
              <w:left w:val="nil"/>
              <w:bottom w:val="single" w:sz="2" w:space="0" w:color="000000"/>
              <w:right w:val="single" w:sz="2" w:space="0" w:color="000000"/>
            </w:tcBorders>
          </w:tcPr>
          <w:p w14:paraId="747A86BC"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1B8FBF27" w14:textId="77777777" w:rsidR="00053D93" w:rsidRDefault="00260B75">
            <w:pPr>
              <w:ind w:left="29"/>
            </w:pPr>
            <w:r>
              <w:rPr>
                <w:rFonts w:ascii="Times New Roman" w:eastAsia="Times New Roman" w:hAnsi="Times New Roman" w:cs="Times New Roman"/>
              </w:rPr>
              <w:t>E537370137</w:t>
            </w:r>
          </w:p>
        </w:tc>
        <w:tc>
          <w:tcPr>
            <w:tcW w:w="1591" w:type="dxa"/>
            <w:tcBorders>
              <w:top w:val="single" w:sz="2" w:space="0" w:color="000000"/>
              <w:left w:val="single" w:sz="2" w:space="0" w:color="000000"/>
              <w:bottom w:val="single" w:sz="2" w:space="0" w:color="000000"/>
              <w:right w:val="single" w:sz="2" w:space="0" w:color="000000"/>
            </w:tcBorders>
          </w:tcPr>
          <w:p w14:paraId="74A50186" w14:textId="77777777" w:rsidR="00053D93" w:rsidRDefault="00260B75">
            <w:pPr>
              <w:ind w:left="6"/>
              <w:jc w:val="center"/>
            </w:pPr>
            <w:r>
              <w:rPr>
                <w:rFonts w:ascii="Times New Roman" w:eastAsia="Times New Roman" w:hAnsi="Times New Roman" w:cs="Times New Roman"/>
              </w:rPr>
              <w:t>2024-10428</w:t>
            </w:r>
          </w:p>
        </w:tc>
        <w:tc>
          <w:tcPr>
            <w:tcW w:w="1584" w:type="dxa"/>
            <w:tcBorders>
              <w:top w:val="single" w:sz="2" w:space="0" w:color="000000"/>
              <w:left w:val="single" w:sz="2" w:space="0" w:color="000000"/>
              <w:bottom w:val="single" w:sz="2" w:space="0" w:color="000000"/>
              <w:right w:val="single" w:sz="2" w:space="0" w:color="000000"/>
            </w:tcBorders>
          </w:tcPr>
          <w:p w14:paraId="79386105" w14:textId="77777777" w:rsidR="00053D93" w:rsidRDefault="00260B75">
            <w:pPr>
              <w:ind w:right="8"/>
              <w:jc w:val="center"/>
            </w:pPr>
            <w:r>
              <w:rPr>
                <w:rFonts w:ascii="Times New Roman" w:eastAsia="Times New Roman" w:hAnsi="Times New Roman" w:cs="Times New Roman"/>
              </w:rPr>
              <w:t>8/02/2024</w:t>
            </w:r>
          </w:p>
        </w:tc>
        <w:tc>
          <w:tcPr>
            <w:tcW w:w="1908" w:type="dxa"/>
            <w:tcBorders>
              <w:top w:val="single" w:sz="2" w:space="0" w:color="000000"/>
              <w:left w:val="single" w:sz="2" w:space="0" w:color="000000"/>
              <w:bottom w:val="single" w:sz="2" w:space="0" w:color="000000"/>
              <w:right w:val="single" w:sz="2" w:space="0" w:color="000000"/>
            </w:tcBorders>
          </w:tcPr>
          <w:p w14:paraId="02EEFA07" w14:textId="77777777" w:rsidR="00053D93" w:rsidRDefault="00260B75">
            <w:pPr>
              <w:ind w:right="8"/>
              <w:jc w:val="center"/>
            </w:pPr>
            <w:r>
              <w:rPr>
                <w:rFonts w:ascii="Times New Roman" w:eastAsia="Times New Roman" w:hAnsi="Times New Roman" w:cs="Times New Roman"/>
                <w:sz w:val="20"/>
              </w:rPr>
              <w:t>22/02/2024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24FA7FBD" w14:textId="77777777" w:rsidR="00053D93" w:rsidRDefault="00260B75">
            <w:pPr>
              <w:ind w:right="50"/>
              <w:jc w:val="right"/>
            </w:pPr>
            <w:r>
              <w:rPr>
                <w:rFonts w:ascii="Times New Roman" w:eastAsia="Times New Roman" w:hAnsi="Times New Roman" w:cs="Times New Roman"/>
              </w:rPr>
              <w:t>9,250.oo</w:t>
            </w:r>
          </w:p>
        </w:tc>
      </w:tr>
      <w:tr w:rsidR="00053D93" w14:paraId="406F1483" w14:textId="77777777">
        <w:trPr>
          <w:trHeight w:val="591"/>
        </w:trPr>
        <w:tc>
          <w:tcPr>
            <w:tcW w:w="312" w:type="dxa"/>
            <w:tcBorders>
              <w:top w:val="single" w:sz="2" w:space="0" w:color="000000"/>
              <w:left w:val="single" w:sz="2" w:space="0" w:color="000000"/>
              <w:bottom w:val="single" w:sz="2" w:space="0" w:color="000000"/>
              <w:right w:val="nil"/>
            </w:tcBorders>
          </w:tcPr>
          <w:p w14:paraId="4BFD0D7B" w14:textId="77777777" w:rsidR="00053D93" w:rsidRDefault="00260B75">
            <w:pPr>
              <w:ind w:left="54"/>
            </w:pPr>
            <w:r>
              <w:rPr>
                <w:rFonts w:ascii="Times New Roman" w:eastAsia="Times New Roman" w:hAnsi="Times New Roman" w:cs="Times New Roman"/>
              </w:rPr>
              <w:t>12</w:t>
            </w:r>
          </w:p>
        </w:tc>
        <w:tc>
          <w:tcPr>
            <w:tcW w:w="311" w:type="dxa"/>
            <w:tcBorders>
              <w:top w:val="single" w:sz="2" w:space="0" w:color="000000"/>
              <w:left w:val="nil"/>
              <w:bottom w:val="single" w:sz="2" w:space="0" w:color="000000"/>
              <w:right w:val="single" w:sz="2" w:space="0" w:color="000000"/>
            </w:tcBorders>
          </w:tcPr>
          <w:p w14:paraId="45FB0485"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49E93E2E" w14:textId="77777777" w:rsidR="00053D93" w:rsidRDefault="00260B75">
            <w:pPr>
              <w:ind w:left="29"/>
            </w:pPr>
            <w:r>
              <w:rPr>
                <w:rFonts w:ascii="Times New Roman" w:eastAsia="Times New Roman" w:hAnsi="Times New Roman" w:cs="Times New Roman"/>
              </w:rPr>
              <w:t>E538292067</w:t>
            </w:r>
          </w:p>
        </w:tc>
        <w:tc>
          <w:tcPr>
            <w:tcW w:w="1591" w:type="dxa"/>
            <w:tcBorders>
              <w:top w:val="single" w:sz="2" w:space="0" w:color="000000"/>
              <w:left w:val="single" w:sz="2" w:space="0" w:color="000000"/>
              <w:bottom w:val="single" w:sz="2" w:space="0" w:color="000000"/>
              <w:right w:val="single" w:sz="2" w:space="0" w:color="000000"/>
            </w:tcBorders>
          </w:tcPr>
          <w:p w14:paraId="140338B7" w14:textId="77777777" w:rsidR="00053D93" w:rsidRDefault="00260B75">
            <w:pPr>
              <w:ind w:right="8"/>
              <w:jc w:val="center"/>
            </w:pPr>
            <w:r>
              <w:rPr>
                <w:rFonts w:ascii="Times New Roman" w:eastAsia="Times New Roman" w:hAnsi="Times New Roman" w:cs="Times New Roman"/>
                <w:sz w:val="20"/>
              </w:rPr>
              <w:t>2024-10094</w:t>
            </w:r>
          </w:p>
        </w:tc>
        <w:tc>
          <w:tcPr>
            <w:tcW w:w="1584" w:type="dxa"/>
            <w:tcBorders>
              <w:top w:val="single" w:sz="2" w:space="0" w:color="000000"/>
              <w:left w:val="single" w:sz="2" w:space="0" w:color="000000"/>
              <w:bottom w:val="single" w:sz="2" w:space="0" w:color="000000"/>
              <w:right w:val="single" w:sz="2" w:space="0" w:color="000000"/>
            </w:tcBorders>
          </w:tcPr>
          <w:p w14:paraId="5AA37B54" w14:textId="77777777" w:rsidR="00053D93" w:rsidRDefault="00260B75">
            <w:pPr>
              <w:ind w:right="15"/>
              <w:jc w:val="center"/>
            </w:pPr>
            <w:r>
              <w:rPr>
                <w:rFonts w:ascii="Times New Roman" w:eastAsia="Times New Roman" w:hAnsi="Times New Roman" w:cs="Times New Roman"/>
                <w:sz w:val="20"/>
              </w:rPr>
              <w:t>5/01/2024</w:t>
            </w:r>
          </w:p>
        </w:tc>
        <w:tc>
          <w:tcPr>
            <w:tcW w:w="1908" w:type="dxa"/>
            <w:tcBorders>
              <w:top w:val="single" w:sz="2" w:space="0" w:color="000000"/>
              <w:left w:val="single" w:sz="2" w:space="0" w:color="000000"/>
              <w:bottom w:val="single" w:sz="2" w:space="0" w:color="000000"/>
              <w:right w:val="single" w:sz="2" w:space="0" w:color="000000"/>
            </w:tcBorders>
          </w:tcPr>
          <w:p w14:paraId="4CBF1DDB" w14:textId="77777777" w:rsidR="00053D93" w:rsidRDefault="00260B75">
            <w:pPr>
              <w:ind w:right="1"/>
              <w:jc w:val="center"/>
            </w:pPr>
            <w:r>
              <w:rPr>
                <w:rFonts w:ascii="Times New Roman" w:eastAsia="Times New Roman" w:hAnsi="Times New Roman" w:cs="Times New Roman"/>
              </w:rPr>
              <w:t>12/03/2024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5AE93A51" w14:textId="77777777" w:rsidR="00053D93" w:rsidRDefault="00260B75">
            <w:pPr>
              <w:ind w:left="364"/>
            </w:pPr>
            <w:r>
              <w:rPr>
                <w:rFonts w:ascii="Times New Roman" w:eastAsia="Times New Roman" w:hAnsi="Times New Roman" w:cs="Times New Roman"/>
              </w:rPr>
              <w:t>24,810.53</w:t>
            </w:r>
          </w:p>
        </w:tc>
      </w:tr>
      <w:tr w:rsidR="00053D93" w14:paraId="52F04B7E" w14:textId="77777777">
        <w:trPr>
          <w:trHeight w:val="470"/>
        </w:trPr>
        <w:tc>
          <w:tcPr>
            <w:tcW w:w="312" w:type="dxa"/>
            <w:tcBorders>
              <w:top w:val="single" w:sz="2" w:space="0" w:color="000000"/>
              <w:left w:val="single" w:sz="2" w:space="0" w:color="000000"/>
              <w:bottom w:val="single" w:sz="2" w:space="0" w:color="000000"/>
              <w:right w:val="nil"/>
            </w:tcBorders>
          </w:tcPr>
          <w:p w14:paraId="0072AC54" w14:textId="77777777" w:rsidR="00053D93" w:rsidRDefault="00260B75">
            <w:pPr>
              <w:ind w:left="47"/>
            </w:pPr>
            <w:r>
              <w:rPr>
                <w:rFonts w:ascii="Times New Roman" w:eastAsia="Times New Roman" w:hAnsi="Times New Roman" w:cs="Times New Roman"/>
              </w:rPr>
              <w:t>13</w:t>
            </w:r>
          </w:p>
        </w:tc>
        <w:tc>
          <w:tcPr>
            <w:tcW w:w="311" w:type="dxa"/>
            <w:tcBorders>
              <w:top w:val="single" w:sz="2" w:space="0" w:color="000000"/>
              <w:left w:val="nil"/>
              <w:bottom w:val="single" w:sz="2" w:space="0" w:color="000000"/>
              <w:right w:val="single" w:sz="2" w:space="0" w:color="000000"/>
            </w:tcBorders>
          </w:tcPr>
          <w:p w14:paraId="4A49B19C"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082F9620" w14:textId="77777777" w:rsidR="00053D93" w:rsidRDefault="00260B75">
            <w:pPr>
              <w:ind w:left="22"/>
            </w:pPr>
            <w:r>
              <w:rPr>
                <w:rFonts w:ascii="Times New Roman" w:eastAsia="Times New Roman" w:hAnsi="Times New Roman" w:cs="Times New Roman"/>
              </w:rPr>
              <w:t>E538295473</w:t>
            </w:r>
          </w:p>
        </w:tc>
        <w:tc>
          <w:tcPr>
            <w:tcW w:w="1591" w:type="dxa"/>
            <w:tcBorders>
              <w:top w:val="single" w:sz="2" w:space="0" w:color="000000"/>
              <w:left w:val="single" w:sz="2" w:space="0" w:color="000000"/>
              <w:bottom w:val="single" w:sz="2" w:space="0" w:color="000000"/>
              <w:right w:val="single" w:sz="2" w:space="0" w:color="000000"/>
            </w:tcBorders>
          </w:tcPr>
          <w:p w14:paraId="249F1082" w14:textId="77777777" w:rsidR="00053D93" w:rsidRDefault="00053D93"/>
        </w:tc>
        <w:tc>
          <w:tcPr>
            <w:tcW w:w="1584" w:type="dxa"/>
            <w:tcBorders>
              <w:top w:val="single" w:sz="2" w:space="0" w:color="000000"/>
              <w:left w:val="single" w:sz="2" w:space="0" w:color="000000"/>
              <w:bottom w:val="single" w:sz="2" w:space="0" w:color="000000"/>
              <w:right w:val="single" w:sz="2" w:space="0" w:color="000000"/>
            </w:tcBorders>
          </w:tcPr>
          <w:p w14:paraId="05491EA0" w14:textId="77777777" w:rsidR="00053D93" w:rsidRDefault="00260B75">
            <w:pPr>
              <w:ind w:right="23"/>
              <w:jc w:val="center"/>
            </w:pPr>
            <w:r>
              <w:rPr>
                <w:rFonts w:ascii="Times New Roman" w:eastAsia="Times New Roman" w:hAnsi="Times New Roman" w:cs="Times New Roman"/>
              </w:rPr>
              <w:t>22/02/2024</w:t>
            </w:r>
          </w:p>
        </w:tc>
        <w:tc>
          <w:tcPr>
            <w:tcW w:w="1908" w:type="dxa"/>
            <w:tcBorders>
              <w:top w:val="single" w:sz="2" w:space="0" w:color="000000"/>
              <w:left w:val="single" w:sz="2" w:space="0" w:color="000000"/>
              <w:bottom w:val="single" w:sz="2" w:space="0" w:color="000000"/>
              <w:right w:val="single" w:sz="2" w:space="0" w:color="000000"/>
            </w:tcBorders>
          </w:tcPr>
          <w:p w14:paraId="612899F8" w14:textId="77777777" w:rsidR="00053D93" w:rsidRDefault="00260B75">
            <w:pPr>
              <w:ind w:right="8"/>
              <w:jc w:val="center"/>
            </w:pPr>
            <w:r>
              <w:rPr>
                <w:rFonts w:ascii="Times New Roman" w:eastAsia="Times New Roman" w:hAnsi="Times New Roman" w:cs="Times New Roman"/>
              </w:rPr>
              <w:t>12/03/2024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6DA7A19F" w14:textId="77777777" w:rsidR="00053D93" w:rsidRDefault="00260B75">
            <w:pPr>
              <w:ind w:left="356"/>
            </w:pPr>
            <w:r>
              <w:rPr>
                <w:rFonts w:ascii="Times New Roman" w:eastAsia="Times New Roman" w:hAnsi="Times New Roman" w:cs="Times New Roman"/>
              </w:rPr>
              <w:t>22, 980.00</w:t>
            </w:r>
          </w:p>
        </w:tc>
      </w:tr>
      <w:tr w:rsidR="00053D93" w14:paraId="7C455442" w14:textId="77777777">
        <w:trPr>
          <w:trHeight w:val="533"/>
        </w:trPr>
        <w:tc>
          <w:tcPr>
            <w:tcW w:w="312" w:type="dxa"/>
            <w:tcBorders>
              <w:top w:val="single" w:sz="2" w:space="0" w:color="000000"/>
              <w:left w:val="single" w:sz="2" w:space="0" w:color="000000"/>
              <w:bottom w:val="single" w:sz="2" w:space="0" w:color="000000"/>
              <w:right w:val="nil"/>
            </w:tcBorders>
          </w:tcPr>
          <w:p w14:paraId="678D0EFE" w14:textId="77777777" w:rsidR="00053D93" w:rsidRDefault="00260B75">
            <w:pPr>
              <w:ind w:left="47"/>
            </w:pPr>
            <w:r>
              <w:rPr>
                <w:rFonts w:ascii="Times New Roman" w:eastAsia="Times New Roman" w:hAnsi="Times New Roman" w:cs="Times New Roman"/>
              </w:rPr>
              <w:t>14</w:t>
            </w:r>
          </w:p>
        </w:tc>
        <w:tc>
          <w:tcPr>
            <w:tcW w:w="311" w:type="dxa"/>
            <w:tcBorders>
              <w:top w:val="single" w:sz="2" w:space="0" w:color="000000"/>
              <w:left w:val="nil"/>
              <w:bottom w:val="single" w:sz="2" w:space="0" w:color="000000"/>
              <w:right w:val="single" w:sz="2" w:space="0" w:color="000000"/>
            </w:tcBorders>
          </w:tcPr>
          <w:p w14:paraId="29850788"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6F7EBD67" w14:textId="77777777" w:rsidR="00053D93" w:rsidRDefault="00260B75">
            <w:pPr>
              <w:ind w:left="14"/>
            </w:pPr>
            <w:r>
              <w:rPr>
                <w:rFonts w:ascii="Times New Roman" w:eastAsia="Times New Roman" w:hAnsi="Times New Roman" w:cs="Times New Roman"/>
              </w:rPr>
              <w:t>%38674598</w:t>
            </w:r>
          </w:p>
        </w:tc>
        <w:tc>
          <w:tcPr>
            <w:tcW w:w="1591" w:type="dxa"/>
            <w:tcBorders>
              <w:top w:val="single" w:sz="2" w:space="0" w:color="000000"/>
              <w:left w:val="single" w:sz="2" w:space="0" w:color="000000"/>
              <w:bottom w:val="single" w:sz="2" w:space="0" w:color="000000"/>
              <w:right w:val="single" w:sz="2" w:space="0" w:color="000000"/>
            </w:tcBorders>
          </w:tcPr>
          <w:p w14:paraId="6C34FFD1" w14:textId="77777777" w:rsidR="00053D93" w:rsidRDefault="00260B75">
            <w:pPr>
              <w:ind w:right="23"/>
              <w:jc w:val="center"/>
            </w:pPr>
            <w:r>
              <w:rPr>
                <w:rFonts w:ascii="Times New Roman" w:eastAsia="Times New Roman" w:hAnsi="Times New Roman" w:cs="Times New Roman"/>
                <w:sz w:val="20"/>
              </w:rPr>
              <w:t>2024-11457</w:t>
            </w:r>
          </w:p>
        </w:tc>
        <w:tc>
          <w:tcPr>
            <w:tcW w:w="1584" w:type="dxa"/>
            <w:tcBorders>
              <w:top w:val="single" w:sz="2" w:space="0" w:color="000000"/>
              <w:left w:val="single" w:sz="2" w:space="0" w:color="000000"/>
              <w:bottom w:val="single" w:sz="2" w:space="0" w:color="000000"/>
              <w:right w:val="single" w:sz="2" w:space="0" w:color="000000"/>
            </w:tcBorders>
          </w:tcPr>
          <w:p w14:paraId="4846E83E" w14:textId="77777777" w:rsidR="00053D93" w:rsidRDefault="00260B75">
            <w:pPr>
              <w:ind w:right="30"/>
              <w:jc w:val="center"/>
            </w:pPr>
            <w:r>
              <w:rPr>
                <w:rFonts w:ascii="Times New Roman" w:eastAsia="Times New Roman" w:hAnsi="Times New Roman" w:cs="Times New Roman"/>
                <w:sz w:val="20"/>
              </w:rPr>
              <w:t>28/02/2024</w:t>
            </w:r>
          </w:p>
        </w:tc>
        <w:tc>
          <w:tcPr>
            <w:tcW w:w="1908" w:type="dxa"/>
            <w:tcBorders>
              <w:top w:val="single" w:sz="2" w:space="0" w:color="000000"/>
              <w:left w:val="single" w:sz="2" w:space="0" w:color="000000"/>
              <w:bottom w:val="single" w:sz="2" w:space="0" w:color="000000"/>
              <w:right w:val="single" w:sz="2" w:space="0" w:color="000000"/>
            </w:tcBorders>
          </w:tcPr>
          <w:p w14:paraId="63485AFA" w14:textId="77777777" w:rsidR="00053D93" w:rsidRDefault="00260B75">
            <w:pPr>
              <w:ind w:right="15"/>
              <w:jc w:val="center"/>
            </w:pPr>
            <w:r>
              <w:rPr>
                <w:rFonts w:ascii="Times New Roman" w:eastAsia="Times New Roman" w:hAnsi="Times New Roman" w:cs="Times New Roman"/>
                <w:sz w:val="20"/>
              </w:rPr>
              <w:t>1 8/03/2024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69D71B75" w14:textId="77777777" w:rsidR="00053D93" w:rsidRDefault="00260B75">
            <w:pPr>
              <w:ind w:left="371"/>
            </w:pPr>
            <w:r>
              <w:rPr>
                <w:rFonts w:ascii="Times New Roman" w:eastAsia="Times New Roman" w:hAnsi="Times New Roman" w:cs="Times New Roman"/>
              </w:rPr>
              <w:t>16,900.oo</w:t>
            </w:r>
          </w:p>
        </w:tc>
      </w:tr>
      <w:tr w:rsidR="00053D93" w14:paraId="1FE35A8F" w14:textId="77777777">
        <w:trPr>
          <w:trHeight w:val="530"/>
        </w:trPr>
        <w:tc>
          <w:tcPr>
            <w:tcW w:w="312" w:type="dxa"/>
            <w:tcBorders>
              <w:top w:val="single" w:sz="2" w:space="0" w:color="000000"/>
              <w:left w:val="single" w:sz="2" w:space="0" w:color="000000"/>
              <w:bottom w:val="single" w:sz="2" w:space="0" w:color="000000"/>
              <w:right w:val="nil"/>
            </w:tcBorders>
          </w:tcPr>
          <w:p w14:paraId="0ABE5261" w14:textId="77777777" w:rsidR="00053D93" w:rsidRDefault="00260B75">
            <w:pPr>
              <w:ind w:left="40"/>
            </w:pPr>
            <w:r>
              <w:rPr>
                <w:rFonts w:ascii="Times New Roman" w:eastAsia="Times New Roman" w:hAnsi="Times New Roman" w:cs="Times New Roman"/>
              </w:rPr>
              <w:t>15</w:t>
            </w:r>
          </w:p>
        </w:tc>
        <w:tc>
          <w:tcPr>
            <w:tcW w:w="311" w:type="dxa"/>
            <w:tcBorders>
              <w:top w:val="single" w:sz="2" w:space="0" w:color="000000"/>
              <w:left w:val="nil"/>
              <w:bottom w:val="single" w:sz="2" w:space="0" w:color="000000"/>
              <w:right w:val="single" w:sz="2" w:space="0" w:color="000000"/>
            </w:tcBorders>
          </w:tcPr>
          <w:p w14:paraId="426B0404"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1E85F0CF" w14:textId="77777777" w:rsidR="00053D93" w:rsidRDefault="00260B75">
            <w:pPr>
              <w:ind w:left="14"/>
            </w:pPr>
            <w:r>
              <w:rPr>
                <w:rFonts w:ascii="Times New Roman" w:eastAsia="Times New Roman" w:hAnsi="Times New Roman" w:cs="Times New Roman"/>
              </w:rPr>
              <w:t>E539804967</w:t>
            </w:r>
          </w:p>
        </w:tc>
        <w:tc>
          <w:tcPr>
            <w:tcW w:w="1591" w:type="dxa"/>
            <w:tcBorders>
              <w:top w:val="single" w:sz="2" w:space="0" w:color="000000"/>
              <w:left w:val="single" w:sz="2" w:space="0" w:color="000000"/>
              <w:bottom w:val="single" w:sz="2" w:space="0" w:color="000000"/>
              <w:right w:val="single" w:sz="2" w:space="0" w:color="000000"/>
            </w:tcBorders>
          </w:tcPr>
          <w:p w14:paraId="1374097F" w14:textId="77777777" w:rsidR="00053D93" w:rsidRDefault="00260B75">
            <w:pPr>
              <w:ind w:right="23"/>
              <w:jc w:val="center"/>
            </w:pPr>
            <w:r>
              <w:rPr>
                <w:rFonts w:ascii="Times New Roman" w:eastAsia="Times New Roman" w:hAnsi="Times New Roman" w:cs="Times New Roman"/>
                <w:sz w:val="20"/>
              </w:rPr>
              <w:t>2024-13299</w:t>
            </w:r>
          </w:p>
        </w:tc>
        <w:tc>
          <w:tcPr>
            <w:tcW w:w="1584" w:type="dxa"/>
            <w:tcBorders>
              <w:top w:val="single" w:sz="2" w:space="0" w:color="000000"/>
              <w:left w:val="single" w:sz="2" w:space="0" w:color="000000"/>
              <w:bottom w:val="single" w:sz="2" w:space="0" w:color="000000"/>
              <w:right w:val="single" w:sz="2" w:space="0" w:color="000000"/>
            </w:tcBorders>
          </w:tcPr>
          <w:p w14:paraId="659D0DDF" w14:textId="77777777" w:rsidR="00053D93" w:rsidRDefault="00260B75">
            <w:pPr>
              <w:ind w:right="37"/>
              <w:jc w:val="center"/>
            </w:pPr>
            <w:r>
              <w:rPr>
                <w:rFonts w:ascii="Times New Roman" w:eastAsia="Times New Roman" w:hAnsi="Times New Roman" w:cs="Times New Roman"/>
                <w:sz w:val="20"/>
              </w:rPr>
              <w:t>2/04/2024</w:t>
            </w:r>
          </w:p>
        </w:tc>
        <w:tc>
          <w:tcPr>
            <w:tcW w:w="1908" w:type="dxa"/>
            <w:tcBorders>
              <w:top w:val="single" w:sz="2" w:space="0" w:color="000000"/>
              <w:left w:val="single" w:sz="2" w:space="0" w:color="000000"/>
              <w:bottom w:val="single" w:sz="2" w:space="0" w:color="000000"/>
              <w:right w:val="single" w:sz="2" w:space="0" w:color="000000"/>
            </w:tcBorders>
          </w:tcPr>
          <w:p w14:paraId="552A21D1" w14:textId="77777777" w:rsidR="00053D93" w:rsidRDefault="00260B75">
            <w:pPr>
              <w:ind w:right="15"/>
              <w:jc w:val="center"/>
            </w:pPr>
            <w:r>
              <w:rPr>
                <w:rFonts w:ascii="Times New Roman" w:eastAsia="Times New Roman" w:hAnsi="Times New Roman" w:cs="Times New Roman"/>
              </w:rPr>
              <w:t>11/04/2024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4C6027CA" w14:textId="77777777" w:rsidR="00053D93" w:rsidRDefault="00260B75">
            <w:pPr>
              <w:ind w:right="58"/>
              <w:jc w:val="right"/>
            </w:pPr>
            <w:r>
              <w:rPr>
                <w:rFonts w:ascii="Times New Roman" w:eastAsia="Times New Roman" w:hAnsi="Times New Roman" w:cs="Times New Roman"/>
              </w:rPr>
              <w:t>241.99</w:t>
            </w:r>
          </w:p>
        </w:tc>
      </w:tr>
      <w:tr w:rsidR="00053D93" w14:paraId="6D35E6FE" w14:textId="77777777">
        <w:trPr>
          <w:trHeight w:val="528"/>
        </w:trPr>
        <w:tc>
          <w:tcPr>
            <w:tcW w:w="312" w:type="dxa"/>
            <w:tcBorders>
              <w:top w:val="single" w:sz="2" w:space="0" w:color="000000"/>
              <w:left w:val="single" w:sz="2" w:space="0" w:color="000000"/>
              <w:bottom w:val="single" w:sz="2" w:space="0" w:color="000000"/>
              <w:right w:val="nil"/>
            </w:tcBorders>
          </w:tcPr>
          <w:p w14:paraId="7015E22F" w14:textId="77777777" w:rsidR="00053D93" w:rsidRDefault="00260B75">
            <w:pPr>
              <w:ind w:left="40"/>
            </w:pPr>
            <w:r>
              <w:rPr>
                <w:rFonts w:ascii="Times New Roman" w:eastAsia="Times New Roman" w:hAnsi="Times New Roman" w:cs="Times New Roman"/>
              </w:rPr>
              <w:t>16</w:t>
            </w:r>
          </w:p>
        </w:tc>
        <w:tc>
          <w:tcPr>
            <w:tcW w:w="311" w:type="dxa"/>
            <w:tcBorders>
              <w:top w:val="single" w:sz="2" w:space="0" w:color="000000"/>
              <w:left w:val="nil"/>
              <w:bottom w:val="single" w:sz="2" w:space="0" w:color="000000"/>
              <w:right w:val="single" w:sz="2" w:space="0" w:color="000000"/>
            </w:tcBorders>
          </w:tcPr>
          <w:p w14:paraId="129314CC"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2F9182FE" w14:textId="77777777" w:rsidR="00053D93" w:rsidRDefault="00260B75">
            <w:pPr>
              <w:ind w:left="14"/>
            </w:pPr>
            <w:r>
              <w:rPr>
                <w:rFonts w:ascii="Times New Roman" w:eastAsia="Times New Roman" w:hAnsi="Times New Roman" w:cs="Times New Roman"/>
              </w:rPr>
              <w:t>E540083488</w:t>
            </w:r>
          </w:p>
        </w:tc>
        <w:tc>
          <w:tcPr>
            <w:tcW w:w="1591" w:type="dxa"/>
            <w:tcBorders>
              <w:top w:val="single" w:sz="2" w:space="0" w:color="000000"/>
              <w:left w:val="single" w:sz="2" w:space="0" w:color="000000"/>
              <w:bottom w:val="single" w:sz="2" w:space="0" w:color="000000"/>
              <w:right w:val="single" w:sz="2" w:space="0" w:color="000000"/>
            </w:tcBorders>
          </w:tcPr>
          <w:p w14:paraId="7C5B1C8B" w14:textId="77777777" w:rsidR="00053D93" w:rsidRDefault="00260B75">
            <w:pPr>
              <w:ind w:right="23"/>
              <w:jc w:val="center"/>
            </w:pPr>
            <w:r>
              <w:rPr>
                <w:rFonts w:ascii="Times New Roman" w:eastAsia="Times New Roman" w:hAnsi="Times New Roman" w:cs="Times New Roman"/>
              </w:rPr>
              <w:t>2024-13615</w:t>
            </w:r>
          </w:p>
        </w:tc>
        <w:tc>
          <w:tcPr>
            <w:tcW w:w="1584" w:type="dxa"/>
            <w:tcBorders>
              <w:top w:val="single" w:sz="2" w:space="0" w:color="000000"/>
              <w:left w:val="single" w:sz="2" w:space="0" w:color="000000"/>
              <w:bottom w:val="single" w:sz="2" w:space="0" w:color="000000"/>
              <w:right w:val="single" w:sz="2" w:space="0" w:color="000000"/>
            </w:tcBorders>
          </w:tcPr>
          <w:p w14:paraId="4E62EB45" w14:textId="77777777" w:rsidR="00053D93" w:rsidRDefault="00260B75">
            <w:pPr>
              <w:ind w:right="37"/>
              <w:jc w:val="center"/>
            </w:pPr>
            <w:r>
              <w:rPr>
                <w:rFonts w:ascii="Times New Roman" w:eastAsia="Times New Roman" w:hAnsi="Times New Roman" w:cs="Times New Roman"/>
                <w:sz w:val="20"/>
              </w:rPr>
              <w:t>6/04/2024</w:t>
            </w:r>
          </w:p>
        </w:tc>
        <w:tc>
          <w:tcPr>
            <w:tcW w:w="1908" w:type="dxa"/>
            <w:tcBorders>
              <w:top w:val="single" w:sz="2" w:space="0" w:color="000000"/>
              <w:left w:val="single" w:sz="2" w:space="0" w:color="000000"/>
              <w:bottom w:val="single" w:sz="2" w:space="0" w:color="000000"/>
              <w:right w:val="single" w:sz="2" w:space="0" w:color="000000"/>
            </w:tcBorders>
          </w:tcPr>
          <w:p w14:paraId="43E889C3" w14:textId="77777777" w:rsidR="00053D93" w:rsidRDefault="00260B75">
            <w:pPr>
              <w:ind w:right="22"/>
              <w:jc w:val="center"/>
            </w:pPr>
            <w:r>
              <w:rPr>
                <w:rFonts w:ascii="Times New Roman" w:eastAsia="Times New Roman" w:hAnsi="Times New Roman" w:cs="Times New Roman"/>
              </w:rPr>
              <w:t>16/04/2024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4AF9D38F" w14:textId="77777777" w:rsidR="00053D93" w:rsidRDefault="00260B75">
            <w:pPr>
              <w:ind w:right="58"/>
              <w:jc w:val="right"/>
            </w:pPr>
            <w:r>
              <w:rPr>
                <w:rFonts w:ascii="Times New Roman" w:eastAsia="Times New Roman" w:hAnsi="Times New Roman" w:cs="Times New Roman"/>
              </w:rPr>
              <w:t>387.60</w:t>
            </w:r>
          </w:p>
        </w:tc>
      </w:tr>
      <w:tr w:rsidR="00053D93" w14:paraId="291686CD" w14:textId="77777777">
        <w:trPr>
          <w:trHeight w:val="530"/>
        </w:trPr>
        <w:tc>
          <w:tcPr>
            <w:tcW w:w="312" w:type="dxa"/>
            <w:tcBorders>
              <w:top w:val="single" w:sz="2" w:space="0" w:color="000000"/>
              <w:left w:val="single" w:sz="2" w:space="0" w:color="000000"/>
              <w:bottom w:val="single" w:sz="2" w:space="0" w:color="000000"/>
              <w:right w:val="nil"/>
            </w:tcBorders>
          </w:tcPr>
          <w:p w14:paraId="47EB9A81" w14:textId="77777777" w:rsidR="00053D93" w:rsidRDefault="00260B75">
            <w:pPr>
              <w:ind w:left="32"/>
              <w:jc w:val="both"/>
            </w:pPr>
            <w:r>
              <w:rPr>
                <w:rFonts w:ascii="Times New Roman" w:eastAsia="Times New Roman" w:hAnsi="Times New Roman" w:cs="Times New Roman"/>
              </w:rPr>
              <w:t>17</w:t>
            </w:r>
          </w:p>
        </w:tc>
        <w:tc>
          <w:tcPr>
            <w:tcW w:w="311" w:type="dxa"/>
            <w:tcBorders>
              <w:top w:val="single" w:sz="2" w:space="0" w:color="000000"/>
              <w:left w:val="nil"/>
              <w:bottom w:val="single" w:sz="2" w:space="0" w:color="000000"/>
              <w:right w:val="single" w:sz="2" w:space="0" w:color="000000"/>
            </w:tcBorders>
          </w:tcPr>
          <w:p w14:paraId="349326FF"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0C4BE034" w14:textId="77777777" w:rsidR="00053D93" w:rsidRDefault="00260B75">
            <w:pPr>
              <w:ind w:left="7"/>
            </w:pPr>
            <w:r>
              <w:rPr>
                <w:rFonts w:ascii="Times New Roman" w:eastAsia="Times New Roman" w:hAnsi="Times New Roman" w:cs="Times New Roman"/>
              </w:rPr>
              <w:t>E540167649</w:t>
            </w:r>
          </w:p>
        </w:tc>
        <w:tc>
          <w:tcPr>
            <w:tcW w:w="1591" w:type="dxa"/>
            <w:tcBorders>
              <w:top w:val="single" w:sz="2" w:space="0" w:color="000000"/>
              <w:left w:val="single" w:sz="2" w:space="0" w:color="000000"/>
              <w:bottom w:val="single" w:sz="2" w:space="0" w:color="000000"/>
              <w:right w:val="single" w:sz="2" w:space="0" w:color="000000"/>
            </w:tcBorders>
          </w:tcPr>
          <w:p w14:paraId="55E4DD04" w14:textId="77777777" w:rsidR="00053D93" w:rsidRDefault="00260B75">
            <w:pPr>
              <w:ind w:right="37"/>
              <w:jc w:val="center"/>
            </w:pPr>
            <w:r>
              <w:rPr>
                <w:rFonts w:ascii="Times New Roman" w:eastAsia="Times New Roman" w:hAnsi="Times New Roman" w:cs="Times New Roman"/>
                <w:sz w:val="20"/>
              </w:rPr>
              <w:t>2024-13620</w:t>
            </w:r>
          </w:p>
        </w:tc>
        <w:tc>
          <w:tcPr>
            <w:tcW w:w="1584" w:type="dxa"/>
            <w:tcBorders>
              <w:top w:val="single" w:sz="2" w:space="0" w:color="000000"/>
              <w:left w:val="single" w:sz="2" w:space="0" w:color="000000"/>
              <w:bottom w:val="single" w:sz="2" w:space="0" w:color="000000"/>
              <w:right w:val="single" w:sz="2" w:space="0" w:color="000000"/>
            </w:tcBorders>
          </w:tcPr>
          <w:p w14:paraId="47FFD026" w14:textId="77777777" w:rsidR="00053D93" w:rsidRDefault="00260B75">
            <w:pPr>
              <w:ind w:right="44"/>
              <w:jc w:val="center"/>
            </w:pPr>
            <w:r>
              <w:rPr>
                <w:rFonts w:ascii="Times New Roman" w:eastAsia="Times New Roman" w:hAnsi="Times New Roman" w:cs="Times New Roman"/>
              </w:rPr>
              <w:t>6/04/2024</w:t>
            </w:r>
          </w:p>
        </w:tc>
        <w:tc>
          <w:tcPr>
            <w:tcW w:w="1908" w:type="dxa"/>
            <w:tcBorders>
              <w:top w:val="single" w:sz="2" w:space="0" w:color="000000"/>
              <w:left w:val="single" w:sz="2" w:space="0" w:color="000000"/>
              <w:bottom w:val="single" w:sz="2" w:space="0" w:color="000000"/>
              <w:right w:val="single" w:sz="2" w:space="0" w:color="000000"/>
            </w:tcBorders>
          </w:tcPr>
          <w:p w14:paraId="3BE118A6" w14:textId="77777777" w:rsidR="00053D93" w:rsidRDefault="00260B75">
            <w:pPr>
              <w:ind w:right="30"/>
              <w:jc w:val="center"/>
            </w:pPr>
            <w:r>
              <w:rPr>
                <w:rFonts w:ascii="Times New Roman" w:eastAsia="Times New Roman" w:hAnsi="Times New Roman" w:cs="Times New Roman"/>
                <w:sz w:val="20"/>
              </w:rPr>
              <w:t>1 8/04/2024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457B5FC9" w14:textId="77777777" w:rsidR="00053D93" w:rsidRDefault="00260B75">
            <w:pPr>
              <w:ind w:right="65"/>
              <w:jc w:val="right"/>
            </w:pPr>
            <w:r>
              <w:rPr>
                <w:rFonts w:ascii="Times New Roman" w:eastAsia="Times New Roman" w:hAnsi="Times New Roman" w:cs="Times New Roman"/>
              </w:rPr>
              <w:t>54.95</w:t>
            </w:r>
          </w:p>
        </w:tc>
      </w:tr>
      <w:tr w:rsidR="00053D93" w14:paraId="5973A878" w14:textId="77777777">
        <w:trPr>
          <w:trHeight w:val="521"/>
        </w:trPr>
        <w:tc>
          <w:tcPr>
            <w:tcW w:w="312" w:type="dxa"/>
            <w:tcBorders>
              <w:top w:val="single" w:sz="2" w:space="0" w:color="000000"/>
              <w:left w:val="single" w:sz="2" w:space="0" w:color="000000"/>
              <w:bottom w:val="single" w:sz="2" w:space="0" w:color="000000"/>
              <w:right w:val="nil"/>
            </w:tcBorders>
          </w:tcPr>
          <w:p w14:paraId="603E25B6" w14:textId="77777777" w:rsidR="00053D93" w:rsidRDefault="00260B75">
            <w:pPr>
              <w:ind w:left="32"/>
              <w:jc w:val="both"/>
            </w:pPr>
            <w:r>
              <w:rPr>
                <w:rFonts w:ascii="Times New Roman" w:eastAsia="Times New Roman" w:hAnsi="Times New Roman" w:cs="Times New Roman"/>
              </w:rPr>
              <w:t>18</w:t>
            </w:r>
          </w:p>
        </w:tc>
        <w:tc>
          <w:tcPr>
            <w:tcW w:w="311" w:type="dxa"/>
            <w:tcBorders>
              <w:top w:val="single" w:sz="2" w:space="0" w:color="000000"/>
              <w:left w:val="nil"/>
              <w:bottom w:val="single" w:sz="2" w:space="0" w:color="000000"/>
              <w:right w:val="single" w:sz="2" w:space="0" w:color="000000"/>
            </w:tcBorders>
          </w:tcPr>
          <w:p w14:paraId="4B399CA5"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7C3B447F" w14:textId="77777777" w:rsidR="00053D93" w:rsidRDefault="00260B75">
            <w:r>
              <w:rPr>
                <w:rFonts w:ascii="Times New Roman" w:eastAsia="Times New Roman" w:hAnsi="Times New Roman" w:cs="Times New Roman"/>
              </w:rPr>
              <w:t>E540205532</w:t>
            </w:r>
          </w:p>
        </w:tc>
        <w:tc>
          <w:tcPr>
            <w:tcW w:w="1591" w:type="dxa"/>
            <w:tcBorders>
              <w:top w:val="single" w:sz="2" w:space="0" w:color="000000"/>
              <w:left w:val="single" w:sz="2" w:space="0" w:color="000000"/>
              <w:bottom w:val="single" w:sz="2" w:space="0" w:color="000000"/>
              <w:right w:val="single" w:sz="2" w:space="0" w:color="000000"/>
            </w:tcBorders>
          </w:tcPr>
          <w:p w14:paraId="08BFC52F" w14:textId="77777777" w:rsidR="00053D93" w:rsidRDefault="00260B75">
            <w:pPr>
              <w:ind w:right="44"/>
              <w:jc w:val="center"/>
            </w:pPr>
            <w:r>
              <w:rPr>
                <w:rFonts w:ascii="Times New Roman" w:eastAsia="Times New Roman" w:hAnsi="Times New Roman" w:cs="Times New Roman"/>
              </w:rPr>
              <w:t>2024-13619</w:t>
            </w:r>
          </w:p>
        </w:tc>
        <w:tc>
          <w:tcPr>
            <w:tcW w:w="1584" w:type="dxa"/>
            <w:tcBorders>
              <w:top w:val="single" w:sz="2" w:space="0" w:color="000000"/>
              <w:left w:val="single" w:sz="2" w:space="0" w:color="000000"/>
              <w:bottom w:val="single" w:sz="2" w:space="0" w:color="000000"/>
              <w:right w:val="single" w:sz="2" w:space="0" w:color="000000"/>
            </w:tcBorders>
          </w:tcPr>
          <w:p w14:paraId="3FFC5818" w14:textId="77777777" w:rsidR="00053D93" w:rsidRDefault="00260B75">
            <w:pPr>
              <w:ind w:right="51"/>
              <w:jc w:val="center"/>
            </w:pPr>
            <w:r>
              <w:rPr>
                <w:rFonts w:ascii="Times New Roman" w:eastAsia="Times New Roman" w:hAnsi="Times New Roman" w:cs="Times New Roman"/>
                <w:sz w:val="20"/>
              </w:rPr>
              <w:t>6/04/2024</w:t>
            </w:r>
          </w:p>
        </w:tc>
        <w:tc>
          <w:tcPr>
            <w:tcW w:w="1908" w:type="dxa"/>
            <w:tcBorders>
              <w:top w:val="single" w:sz="2" w:space="0" w:color="000000"/>
              <w:left w:val="single" w:sz="2" w:space="0" w:color="000000"/>
              <w:bottom w:val="single" w:sz="2" w:space="0" w:color="000000"/>
              <w:right w:val="single" w:sz="2" w:space="0" w:color="000000"/>
            </w:tcBorders>
          </w:tcPr>
          <w:p w14:paraId="4ECC5727" w14:textId="77777777" w:rsidR="00053D93" w:rsidRDefault="00260B75">
            <w:pPr>
              <w:ind w:right="30"/>
              <w:jc w:val="center"/>
            </w:pPr>
            <w:r>
              <w:rPr>
                <w:rFonts w:ascii="Times New Roman" w:eastAsia="Times New Roman" w:hAnsi="Times New Roman" w:cs="Times New Roman"/>
                <w:sz w:val="20"/>
              </w:rPr>
              <w:t>1 8/04/2024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1038431F" w14:textId="77777777" w:rsidR="00053D93" w:rsidRDefault="00260B75">
            <w:pPr>
              <w:ind w:right="65"/>
              <w:jc w:val="right"/>
            </w:pPr>
            <w:r>
              <w:rPr>
                <w:rFonts w:ascii="Times New Roman" w:eastAsia="Times New Roman" w:hAnsi="Times New Roman" w:cs="Times New Roman"/>
              </w:rPr>
              <w:t>208.00</w:t>
            </w:r>
          </w:p>
        </w:tc>
      </w:tr>
      <w:tr w:rsidR="00053D93" w14:paraId="087DEF21" w14:textId="77777777">
        <w:trPr>
          <w:trHeight w:val="533"/>
        </w:trPr>
        <w:tc>
          <w:tcPr>
            <w:tcW w:w="312" w:type="dxa"/>
            <w:tcBorders>
              <w:top w:val="single" w:sz="2" w:space="0" w:color="000000"/>
              <w:left w:val="single" w:sz="2" w:space="0" w:color="000000"/>
              <w:bottom w:val="single" w:sz="2" w:space="0" w:color="000000"/>
              <w:right w:val="nil"/>
            </w:tcBorders>
          </w:tcPr>
          <w:p w14:paraId="4512E3E0" w14:textId="77777777" w:rsidR="00053D93" w:rsidRDefault="00260B75">
            <w:pPr>
              <w:ind w:left="25"/>
              <w:jc w:val="both"/>
            </w:pPr>
            <w:r>
              <w:rPr>
                <w:rFonts w:ascii="Times New Roman" w:eastAsia="Times New Roman" w:hAnsi="Times New Roman" w:cs="Times New Roman"/>
              </w:rPr>
              <w:t>19</w:t>
            </w:r>
          </w:p>
        </w:tc>
        <w:tc>
          <w:tcPr>
            <w:tcW w:w="311" w:type="dxa"/>
            <w:tcBorders>
              <w:top w:val="single" w:sz="2" w:space="0" w:color="000000"/>
              <w:left w:val="nil"/>
              <w:bottom w:val="single" w:sz="2" w:space="0" w:color="000000"/>
              <w:right w:val="single" w:sz="2" w:space="0" w:color="000000"/>
            </w:tcBorders>
          </w:tcPr>
          <w:p w14:paraId="00BCF1E1"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6B97EE9F" w14:textId="77777777" w:rsidR="00053D93" w:rsidRDefault="00260B75">
            <w:r>
              <w:rPr>
                <w:rFonts w:ascii="Times New Roman" w:eastAsia="Times New Roman" w:hAnsi="Times New Roman" w:cs="Times New Roman"/>
              </w:rPr>
              <w:t>E540735027</w:t>
            </w:r>
          </w:p>
        </w:tc>
        <w:tc>
          <w:tcPr>
            <w:tcW w:w="1591" w:type="dxa"/>
            <w:tcBorders>
              <w:top w:val="single" w:sz="2" w:space="0" w:color="000000"/>
              <w:left w:val="single" w:sz="2" w:space="0" w:color="000000"/>
              <w:bottom w:val="single" w:sz="2" w:space="0" w:color="000000"/>
              <w:right w:val="single" w:sz="2" w:space="0" w:color="000000"/>
            </w:tcBorders>
          </w:tcPr>
          <w:p w14:paraId="3EAA3835" w14:textId="77777777" w:rsidR="00053D93" w:rsidRDefault="00260B75">
            <w:pPr>
              <w:ind w:right="51"/>
              <w:jc w:val="center"/>
            </w:pPr>
            <w:r>
              <w:rPr>
                <w:rFonts w:ascii="Times New Roman" w:eastAsia="Times New Roman" w:hAnsi="Times New Roman" w:cs="Times New Roman"/>
                <w:sz w:val="20"/>
              </w:rPr>
              <w:t>2024-14216</w:t>
            </w:r>
          </w:p>
        </w:tc>
        <w:tc>
          <w:tcPr>
            <w:tcW w:w="1584" w:type="dxa"/>
            <w:tcBorders>
              <w:top w:val="single" w:sz="2" w:space="0" w:color="000000"/>
              <w:left w:val="single" w:sz="2" w:space="0" w:color="000000"/>
              <w:bottom w:val="single" w:sz="2" w:space="0" w:color="000000"/>
              <w:right w:val="single" w:sz="2" w:space="0" w:color="000000"/>
            </w:tcBorders>
          </w:tcPr>
          <w:p w14:paraId="233B2498" w14:textId="77777777" w:rsidR="00053D93" w:rsidRDefault="00260B75">
            <w:pPr>
              <w:ind w:right="44"/>
              <w:jc w:val="center"/>
            </w:pPr>
            <w:r>
              <w:rPr>
                <w:rFonts w:ascii="Times New Roman" w:eastAsia="Times New Roman" w:hAnsi="Times New Roman" w:cs="Times New Roman"/>
              </w:rPr>
              <w:t>18/04/2024</w:t>
            </w:r>
          </w:p>
        </w:tc>
        <w:tc>
          <w:tcPr>
            <w:tcW w:w="1908" w:type="dxa"/>
            <w:tcBorders>
              <w:top w:val="single" w:sz="2" w:space="0" w:color="000000"/>
              <w:left w:val="single" w:sz="2" w:space="0" w:color="000000"/>
              <w:bottom w:val="single" w:sz="2" w:space="0" w:color="000000"/>
              <w:right w:val="single" w:sz="2" w:space="0" w:color="000000"/>
            </w:tcBorders>
          </w:tcPr>
          <w:p w14:paraId="2EF79ECE" w14:textId="77777777" w:rsidR="00053D93" w:rsidRDefault="00260B75">
            <w:pPr>
              <w:ind w:right="44"/>
              <w:jc w:val="center"/>
            </w:pPr>
            <w:r>
              <w:rPr>
                <w:rFonts w:ascii="Times New Roman" w:eastAsia="Times New Roman" w:hAnsi="Times New Roman" w:cs="Times New Roman"/>
              </w:rPr>
              <w:t>29/04/2024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6C941887" w14:textId="77777777" w:rsidR="00053D93" w:rsidRDefault="00260B75">
            <w:pPr>
              <w:ind w:right="72"/>
              <w:jc w:val="right"/>
            </w:pPr>
            <w:r>
              <w:rPr>
                <w:rFonts w:ascii="Times New Roman" w:eastAsia="Times New Roman" w:hAnsi="Times New Roman" w:cs="Times New Roman"/>
              </w:rPr>
              <w:t>650.00</w:t>
            </w:r>
          </w:p>
        </w:tc>
      </w:tr>
      <w:tr w:rsidR="00053D93" w14:paraId="74F6965B" w14:textId="77777777">
        <w:trPr>
          <w:trHeight w:val="572"/>
        </w:trPr>
        <w:tc>
          <w:tcPr>
            <w:tcW w:w="312" w:type="dxa"/>
            <w:tcBorders>
              <w:top w:val="single" w:sz="2" w:space="0" w:color="000000"/>
              <w:left w:val="single" w:sz="2" w:space="0" w:color="000000"/>
              <w:bottom w:val="single" w:sz="2" w:space="0" w:color="000000"/>
              <w:right w:val="nil"/>
            </w:tcBorders>
          </w:tcPr>
          <w:p w14:paraId="624B70AB" w14:textId="77777777" w:rsidR="00053D93" w:rsidRDefault="00260B75">
            <w:pPr>
              <w:ind w:left="18"/>
              <w:jc w:val="both"/>
            </w:pPr>
            <w:r>
              <w:rPr>
                <w:rFonts w:ascii="Times New Roman" w:eastAsia="Times New Roman" w:hAnsi="Times New Roman" w:cs="Times New Roman"/>
                <w:sz w:val="20"/>
              </w:rPr>
              <w:t>20</w:t>
            </w:r>
          </w:p>
        </w:tc>
        <w:tc>
          <w:tcPr>
            <w:tcW w:w="311" w:type="dxa"/>
            <w:tcBorders>
              <w:top w:val="single" w:sz="2" w:space="0" w:color="000000"/>
              <w:left w:val="nil"/>
              <w:bottom w:val="single" w:sz="2" w:space="0" w:color="000000"/>
              <w:right w:val="single" w:sz="2" w:space="0" w:color="000000"/>
            </w:tcBorders>
          </w:tcPr>
          <w:p w14:paraId="032E4C5B"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2233F8AE" w14:textId="77777777" w:rsidR="00053D93" w:rsidRDefault="00260B75">
            <w:r>
              <w:rPr>
                <w:rFonts w:ascii="Times New Roman" w:eastAsia="Times New Roman" w:hAnsi="Times New Roman" w:cs="Times New Roman"/>
              </w:rPr>
              <w:t>E540782033</w:t>
            </w:r>
          </w:p>
        </w:tc>
        <w:tc>
          <w:tcPr>
            <w:tcW w:w="1591" w:type="dxa"/>
            <w:tcBorders>
              <w:top w:val="single" w:sz="2" w:space="0" w:color="000000"/>
              <w:left w:val="single" w:sz="2" w:space="0" w:color="000000"/>
              <w:bottom w:val="single" w:sz="2" w:space="0" w:color="000000"/>
              <w:right w:val="single" w:sz="2" w:space="0" w:color="000000"/>
            </w:tcBorders>
          </w:tcPr>
          <w:p w14:paraId="3ED7F8D7" w14:textId="77777777" w:rsidR="00053D93" w:rsidRDefault="00260B75">
            <w:pPr>
              <w:ind w:right="51"/>
              <w:jc w:val="center"/>
            </w:pPr>
            <w:r>
              <w:rPr>
                <w:rFonts w:ascii="Times New Roman" w:eastAsia="Times New Roman" w:hAnsi="Times New Roman" w:cs="Times New Roman"/>
              </w:rPr>
              <w:t>2024-6189</w:t>
            </w:r>
          </w:p>
        </w:tc>
        <w:tc>
          <w:tcPr>
            <w:tcW w:w="1584" w:type="dxa"/>
            <w:tcBorders>
              <w:top w:val="single" w:sz="2" w:space="0" w:color="000000"/>
              <w:left w:val="single" w:sz="2" w:space="0" w:color="000000"/>
              <w:bottom w:val="single" w:sz="2" w:space="0" w:color="000000"/>
              <w:right w:val="single" w:sz="2" w:space="0" w:color="000000"/>
            </w:tcBorders>
          </w:tcPr>
          <w:p w14:paraId="7E722179" w14:textId="77777777" w:rsidR="00053D93" w:rsidRDefault="00260B75">
            <w:pPr>
              <w:ind w:right="58"/>
              <w:jc w:val="center"/>
            </w:pPr>
            <w:r>
              <w:rPr>
                <w:rFonts w:ascii="Times New Roman" w:eastAsia="Times New Roman" w:hAnsi="Times New Roman" w:cs="Times New Roman"/>
                <w:sz w:val="20"/>
              </w:rPr>
              <w:t>21/03/2024</w:t>
            </w:r>
          </w:p>
        </w:tc>
        <w:tc>
          <w:tcPr>
            <w:tcW w:w="1908" w:type="dxa"/>
            <w:tcBorders>
              <w:top w:val="single" w:sz="2" w:space="0" w:color="000000"/>
              <w:left w:val="single" w:sz="2" w:space="0" w:color="000000"/>
              <w:bottom w:val="single" w:sz="2" w:space="0" w:color="000000"/>
              <w:right w:val="single" w:sz="2" w:space="0" w:color="000000"/>
            </w:tcBorders>
          </w:tcPr>
          <w:p w14:paraId="7B7B2932" w14:textId="77777777" w:rsidR="00053D93" w:rsidRDefault="00260B75">
            <w:pPr>
              <w:ind w:right="51"/>
              <w:jc w:val="center"/>
            </w:pPr>
            <w:r>
              <w:rPr>
                <w:rFonts w:ascii="Times New Roman" w:eastAsia="Times New Roman" w:hAnsi="Times New Roman" w:cs="Times New Roman"/>
                <w:sz w:val="20"/>
              </w:rPr>
              <w:t>29/04/2024</w:t>
            </w:r>
          </w:p>
        </w:tc>
        <w:tc>
          <w:tcPr>
            <w:tcW w:w="1335" w:type="dxa"/>
            <w:tcBorders>
              <w:top w:val="single" w:sz="2" w:space="0" w:color="000000"/>
              <w:left w:val="single" w:sz="2" w:space="0" w:color="000000"/>
              <w:bottom w:val="single" w:sz="2" w:space="0" w:color="000000"/>
              <w:right w:val="single" w:sz="2" w:space="0" w:color="000000"/>
            </w:tcBorders>
            <w:vAlign w:val="bottom"/>
          </w:tcPr>
          <w:p w14:paraId="3EE86850" w14:textId="77777777" w:rsidR="00053D93" w:rsidRDefault="00260B75">
            <w:pPr>
              <w:ind w:left="342"/>
            </w:pPr>
            <w:r>
              <w:rPr>
                <w:rFonts w:ascii="Times New Roman" w:eastAsia="Times New Roman" w:hAnsi="Times New Roman" w:cs="Times New Roman"/>
              </w:rPr>
              <w:t>23.200.00</w:t>
            </w:r>
          </w:p>
        </w:tc>
      </w:tr>
      <w:tr w:rsidR="00053D93" w14:paraId="4BC9AB32" w14:textId="77777777">
        <w:trPr>
          <w:trHeight w:val="623"/>
        </w:trPr>
        <w:tc>
          <w:tcPr>
            <w:tcW w:w="312" w:type="dxa"/>
            <w:tcBorders>
              <w:top w:val="single" w:sz="2" w:space="0" w:color="000000"/>
              <w:left w:val="single" w:sz="2" w:space="0" w:color="000000"/>
              <w:bottom w:val="nil"/>
              <w:right w:val="single" w:sz="2" w:space="0" w:color="000000"/>
            </w:tcBorders>
          </w:tcPr>
          <w:p w14:paraId="32F32456" w14:textId="77777777" w:rsidR="00053D93" w:rsidRDefault="00260B75">
            <w:pPr>
              <w:ind w:left="112"/>
            </w:pPr>
            <w:r>
              <w:rPr>
                <w:noProof/>
              </w:rPr>
              <w:drawing>
                <wp:inline distT="0" distB="0" distL="0" distR="0" wp14:anchorId="261E5DC8" wp14:editId="760096EC">
                  <wp:extent cx="4572" cy="123444"/>
                  <wp:effectExtent l="0" t="0" r="0" b="0"/>
                  <wp:docPr id="2459051" name="Picture 2459051"/>
                  <wp:cNvGraphicFramePr/>
                  <a:graphic xmlns:a="http://schemas.openxmlformats.org/drawingml/2006/main">
                    <a:graphicData uri="http://schemas.openxmlformats.org/drawingml/2006/picture">
                      <pic:pic xmlns:pic="http://schemas.openxmlformats.org/drawingml/2006/picture">
                        <pic:nvPicPr>
                          <pic:cNvPr id="2459051" name="Picture 2459051"/>
                          <pic:cNvPicPr/>
                        </pic:nvPicPr>
                        <pic:blipFill>
                          <a:blip r:embed="rId1837"/>
                          <a:stretch>
                            <a:fillRect/>
                          </a:stretch>
                        </pic:blipFill>
                        <pic:spPr>
                          <a:xfrm>
                            <a:off x="0" y="0"/>
                            <a:ext cx="4572" cy="123444"/>
                          </a:xfrm>
                          <a:prstGeom prst="rect">
                            <a:avLst/>
                          </a:prstGeom>
                        </pic:spPr>
                      </pic:pic>
                    </a:graphicData>
                  </a:graphic>
                </wp:inline>
              </w:drawing>
            </w:r>
          </w:p>
        </w:tc>
        <w:tc>
          <w:tcPr>
            <w:tcW w:w="311" w:type="dxa"/>
            <w:tcBorders>
              <w:top w:val="single" w:sz="2" w:space="0" w:color="000000"/>
              <w:left w:val="single" w:sz="2" w:space="0" w:color="000000"/>
              <w:bottom w:val="nil"/>
              <w:right w:val="single" w:sz="2" w:space="0" w:color="000000"/>
            </w:tcBorders>
          </w:tcPr>
          <w:p w14:paraId="34C5B3B6" w14:textId="77777777" w:rsidR="00053D93" w:rsidRDefault="00053D93"/>
        </w:tc>
        <w:tc>
          <w:tcPr>
            <w:tcW w:w="7653" w:type="dxa"/>
            <w:gridSpan w:val="5"/>
            <w:tcBorders>
              <w:top w:val="single" w:sz="2" w:space="0" w:color="000000"/>
              <w:left w:val="single" w:sz="2" w:space="0" w:color="000000"/>
              <w:bottom w:val="nil"/>
              <w:right w:val="nil"/>
            </w:tcBorders>
          </w:tcPr>
          <w:p w14:paraId="1F8C1700" w14:textId="77777777" w:rsidR="00053D93" w:rsidRDefault="00260B75">
            <w:pPr>
              <w:ind w:right="662"/>
              <w:jc w:val="center"/>
            </w:pPr>
            <w:r>
              <w:rPr>
                <w:rFonts w:ascii="Times New Roman" w:eastAsia="Times New Roman" w:hAnsi="Times New Roman" w:cs="Times New Roman"/>
                <w:sz w:val="14"/>
              </w:rPr>
              <w:t>MINISTERIO 0E EDUCACION</w:t>
            </w:r>
          </w:p>
          <w:p w14:paraId="5C5B1239" w14:textId="77777777" w:rsidR="00053D93" w:rsidRDefault="00260B75">
            <w:pPr>
              <w:ind w:left="2174"/>
            </w:pPr>
            <w:r>
              <w:rPr>
                <w:rFonts w:ascii="Times New Roman" w:eastAsia="Times New Roman" w:hAnsi="Times New Roman" w:cs="Times New Roman"/>
                <w:sz w:val="14"/>
              </w:rPr>
              <w:t>AUDITORIA FINANCIERA Y DE CUMPLIMIENTO</w:t>
            </w:r>
          </w:p>
          <w:p w14:paraId="2CD6E987" w14:textId="77777777" w:rsidR="00053D93" w:rsidRDefault="00260B75">
            <w:pPr>
              <w:ind w:left="1836"/>
            </w:pPr>
            <w:r>
              <w:rPr>
                <w:rFonts w:ascii="Times New Roman" w:eastAsia="Times New Roman" w:hAnsi="Times New Roman" w:cs="Times New Roman"/>
                <w:sz w:val="14"/>
              </w:rPr>
              <w:t>PERIODO DEL 01 DE ENERO AL 31 DE DICIEMBRE DE 2024</w:t>
            </w:r>
          </w:p>
        </w:tc>
      </w:tr>
    </w:tbl>
    <w:p w14:paraId="12B97E20" w14:textId="77777777" w:rsidR="00053D93" w:rsidRDefault="00260B75">
      <w:pPr>
        <w:spacing w:after="0" w:line="245" w:lineRule="auto"/>
        <w:ind w:left="1274" w:right="22"/>
        <w:jc w:val="right"/>
      </w:pPr>
      <w:r>
        <w:rPr>
          <w:noProof/>
        </w:rPr>
        <w:drawing>
          <wp:anchor distT="0" distB="0" distL="114300" distR="114300" simplePos="0" relativeHeight="252378112" behindDoc="0" locked="0" layoutInCell="1" allowOverlap="0" wp14:anchorId="0FAAD0B3" wp14:editId="27152B56">
            <wp:simplePos x="0" y="0"/>
            <wp:positionH relativeFrom="column">
              <wp:posOffset>429768</wp:posOffset>
            </wp:positionH>
            <wp:positionV relativeFrom="paragraph">
              <wp:posOffset>8346515</wp:posOffset>
            </wp:positionV>
            <wp:extent cx="704088" cy="411480"/>
            <wp:effectExtent l="0" t="0" r="0" b="0"/>
            <wp:wrapSquare wrapText="bothSides"/>
            <wp:docPr id="1401038" name="Picture 1401038"/>
            <wp:cNvGraphicFramePr/>
            <a:graphic xmlns:a="http://schemas.openxmlformats.org/drawingml/2006/main">
              <a:graphicData uri="http://schemas.openxmlformats.org/drawingml/2006/picture">
                <pic:pic xmlns:pic="http://schemas.openxmlformats.org/drawingml/2006/picture">
                  <pic:nvPicPr>
                    <pic:cNvPr id="1401038" name="Picture 1401038"/>
                    <pic:cNvPicPr/>
                  </pic:nvPicPr>
                  <pic:blipFill>
                    <a:blip r:embed="rId1838"/>
                    <a:stretch>
                      <a:fillRect/>
                    </a:stretch>
                  </pic:blipFill>
                  <pic:spPr>
                    <a:xfrm>
                      <a:off x="0" y="0"/>
                      <a:ext cx="704088" cy="411480"/>
                    </a:xfrm>
                    <a:prstGeom prst="rect">
                      <a:avLst/>
                    </a:prstGeom>
                  </pic:spPr>
                </pic:pic>
              </a:graphicData>
            </a:graphic>
          </wp:anchor>
        </w:drawing>
      </w:r>
      <w:r>
        <w:rPr>
          <w:rFonts w:ascii="Times New Roman" w:eastAsia="Times New Roman" w:hAnsi="Times New Roman" w:cs="Times New Roman"/>
          <w:sz w:val="26"/>
        </w:rPr>
        <w:t>correspondientes, determinândose que se publicaron las actas de negociaciön que respaldan Ias negociaciones de manera extemporânea, incumpliendo al plaza de 5 dias hâbiles que establece la normativa legal, tal como se muestra a continuaciön:</w:t>
      </w:r>
    </w:p>
    <w:p w14:paraId="712846BF" w14:textId="77777777" w:rsidR="00053D93" w:rsidRDefault="00053D93">
      <w:pPr>
        <w:sectPr w:rsidR="00053D93">
          <w:headerReference w:type="even" r:id="rId1839"/>
          <w:headerReference w:type="default" r:id="rId1840"/>
          <w:footerReference w:type="even" r:id="rId1841"/>
          <w:footerReference w:type="default" r:id="rId1842"/>
          <w:headerReference w:type="first" r:id="rId1843"/>
          <w:footerReference w:type="first" r:id="rId1844"/>
          <w:pgSz w:w="12290" w:h="15883"/>
          <w:pgMar w:top="374" w:right="1793" w:bottom="677" w:left="338" w:header="634" w:footer="720" w:gutter="0"/>
          <w:cols w:space="720"/>
          <w:titlePg/>
        </w:sectPr>
      </w:pPr>
    </w:p>
    <w:tbl>
      <w:tblPr>
        <w:tblStyle w:val="TableGrid"/>
        <w:tblpPr w:vertAnchor="text" w:tblpX="998" w:tblpY="554"/>
        <w:tblOverlap w:val="never"/>
        <w:tblW w:w="8268" w:type="dxa"/>
        <w:tblInd w:w="0" w:type="dxa"/>
        <w:tblCellMar>
          <w:top w:w="36" w:type="dxa"/>
          <w:bottom w:w="19" w:type="dxa"/>
        </w:tblCellMar>
        <w:tblLook w:val="04A0" w:firstRow="1" w:lastRow="0" w:firstColumn="1" w:lastColumn="0" w:noHBand="0" w:noVBand="1"/>
      </w:tblPr>
      <w:tblGrid>
        <w:gridCol w:w="1235"/>
        <w:gridCol w:w="232"/>
        <w:gridCol w:w="1164"/>
        <w:gridCol w:w="1299"/>
        <w:gridCol w:w="1405"/>
        <w:gridCol w:w="1646"/>
        <w:gridCol w:w="1287"/>
      </w:tblGrid>
      <w:tr w:rsidR="00053D93" w14:paraId="2EC8C54B" w14:textId="77777777">
        <w:trPr>
          <w:trHeight w:val="544"/>
        </w:trPr>
        <w:tc>
          <w:tcPr>
            <w:tcW w:w="624" w:type="dxa"/>
            <w:gridSpan w:val="2"/>
            <w:tcBorders>
              <w:top w:val="single" w:sz="2" w:space="0" w:color="000000"/>
              <w:left w:val="single" w:sz="2" w:space="0" w:color="000000"/>
              <w:bottom w:val="single" w:sz="2" w:space="0" w:color="000000"/>
              <w:right w:val="single" w:sz="2" w:space="0" w:color="000000"/>
            </w:tcBorders>
          </w:tcPr>
          <w:p w14:paraId="312F0546"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73EA19E1" w14:textId="77777777" w:rsidR="00053D93" w:rsidRDefault="00260B75">
            <w:pPr>
              <w:ind w:left="92"/>
            </w:pPr>
            <w:r>
              <w:rPr>
                <w:rFonts w:ascii="Malgan Gothic" w:eastAsia="Malgan Gothic" w:hAnsi="Malgan Gothic" w:cs="Malgan Gothic"/>
                <w:sz w:val="16"/>
              </w:rPr>
              <w:t>E540783579</w:t>
            </w:r>
          </w:p>
        </w:tc>
        <w:tc>
          <w:tcPr>
            <w:tcW w:w="1591" w:type="dxa"/>
            <w:tcBorders>
              <w:top w:val="single" w:sz="2" w:space="0" w:color="000000"/>
              <w:left w:val="single" w:sz="2" w:space="0" w:color="000000"/>
              <w:bottom w:val="single" w:sz="2" w:space="0" w:color="000000"/>
              <w:right w:val="single" w:sz="2" w:space="0" w:color="000000"/>
            </w:tcBorders>
          </w:tcPr>
          <w:p w14:paraId="76EFC991" w14:textId="77777777" w:rsidR="00053D93" w:rsidRDefault="00260B75">
            <w:pPr>
              <w:ind w:left="58"/>
              <w:jc w:val="center"/>
            </w:pPr>
            <w:r>
              <w:rPr>
                <w:rFonts w:ascii="Malgan Gothic" w:eastAsia="Malgan Gothic" w:hAnsi="Malgan Gothic" w:cs="Malgan Gothic"/>
                <w:sz w:val="16"/>
              </w:rPr>
              <w:t>2024-12859</w:t>
            </w:r>
          </w:p>
        </w:tc>
        <w:tc>
          <w:tcPr>
            <w:tcW w:w="1584" w:type="dxa"/>
            <w:tcBorders>
              <w:top w:val="single" w:sz="2" w:space="0" w:color="000000"/>
              <w:left w:val="single" w:sz="2" w:space="0" w:color="000000"/>
              <w:bottom w:val="single" w:sz="2" w:space="0" w:color="000000"/>
              <w:right w:val="single" w:sz="2" w:space="0" w:color="000000"/>
            </w:tcBorders>
          </w:tcPr>
          <w:p w14:paraId="6814B131" w14:textId="77777777" w:rsidR="00053D93" w:rsidRDefault="00260B75">
            <w:pPr>
              <w:ind w:left="58"/>
              <w:jc w:val="center"/>
            </w:pPr>
            <w:r>
              <w:rPr>
                <w:rFonts w:ascii="Malgan Gothic" w:eastAsia="Malgan Gothic" w:hAnsi="Malgan Gothic" w:cs="Malgan Gothic"/>
                <w:sz w:val="14"/>
              </w:rPr>
              <w:t>1기04/2024</w:t>
            </w:r>
          </w:p>
        </w:tc>
        <w:tc>
          <w:tcPr>
            <w:tcW w:w="1912" w:type="dxa"/>
            <w:tcBorders>
              <w:top w:val="single" w:sz="2" w:space="0" w:color="000000"/>
              <w:left w:val="single" w:sz="2" w:space="0" w:color="000000"/>
              <w:bottom w:val="single" w:sz="2" w:space="0" w:color="000000"/>
              <w:right w:val="single" w:sz="2" w:space="0" w:color="000000"/>
            </w:tcBorders>
          </w:tcPr>
          <w:p w14:paraId="7CDE85D4" w14:textId="77777777" w:rsidR="00053D93" w:rsidRDefault="00260B75">
            <w:pPr>
              <w:ind w:left="46"/>
              <w:jc w:val="center"/>
            </w:pPr>
            <w:r>
              <w:rPr>
                <w:rFonts w:ascii="Malgan Gothic" w:eastAsia="Malgan Gothic" w:hAnsi="Malgan Gothic" w:cs="Malgan Gothic"/>
                <w:sz w:val="16"/>
              </w:rPr>
              <w:t>29/04/2024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7FC11ED5" w14:textId="77777777" w:rsidR="00053D93" w:rsidRDefault="00260B75">
            <w:pPr>
              <w:ind w:right="58"/>
              <w:jc w:val="right"/>
            </w:pPr>
            <w:r>
              <w:rPr>
                <w:rFonts w:ascii="Malgan Gothic" w:eastAsia="Malgan Gothic" w:hAnsi="Malgan Gothic" w:cs="Malgan Gothic"/>
                <w:sz w:val="18"/>
              </w:rPr>
              <w:t>9,000.00</w:t>
            </w:r>
          </w:p>
        </w:tc>
      </w:tr>
      <w:tr w:rsidR="00053D93" w14:paraId="38ECA299" w14:textId="77777777">
        <w:trPr>
          <w:trHeight w:val="540"/>
        </w:trPr>
        <w:tc>
          <w:tcPr>
            <w:tcW w:w="624" w:type="dxa"/>
            <w:gridSpan w:val="2"/>
            <w:tcBorders>
              <w:top w:val="single" w:sz="2" w:space="0" w:color="000000"/>
              <w:left w:val="single" w:sz="2" w:space="0" w:color="000000"/>
              <w:bottom w:val="single" w:sz="2" w:space="0" w:color="000000"/>
              <w:right w:val="single" w:sz="2" w:space="0" w:color="000000"/>
            </w:tcBorders>
          </w:tcPr>
          <w:p w14:paraId="6745A815" w14:textId="77777777" w:rsidR="00053D93" w:rsidRDefault="00260B75">
            <w:pPr>
              <w:ind w:left="111"/>
            </w:pPr>
            <w:r>
              <w:rPr>
                <w:rFonts w:ascii="Malgan Gothic" w:eastAsia="Malgan Gothic" w:hAnsi="Malgan Gothic" w:cs="Malgan Gothic"/>
                <w:sz w:val="14"/>
              </w:rPr>
              <w:t>22</w:t>
            </w:r>
          </w:p>
        </w:tc>
        <w:tc>
          <w:tcPr>
            <w:tcW w:w="1229" w:type="dxa"/>
            <w:tcBorders>
              <w:top w:val="single" w:sz="2" w:space="0" w:color="000000"/>
              <w:left w:val="single" w:sz="2" w:space="0" w:color="000000"/>
              <w:bottom w:val="single" w:sz="2" w:space="0" w:color="000000"/>
              <w:right w:val="single" w:sz="2" w:space="0" w:color="000000"/>
            </w:tcBorders>
          </w:tcPr>
          <w:p w14:paraId="764E25A9" w14:textId="77777777" w:rsidR="00053D93" w:rsidRDefault="00260B75">
            <w:pPr>
              <w:ind w:left="92"/>
            </w:pPr>
            <w:r>
              <w:rPr>
                <w:rFonts w:ascii="Malgan Gothic" w:eastAsia="Malgan Gothic" w:hAnsi="Malgan Gothic" w:cs="Malgan Gothic"/>
                <w:sz w:val="14"/>
              </w:rPr>
              <w:t>E540844624</w:t>
            </w:r>
          </w:p>
        </w:tc>
        <w:tc>
          <w:tcPr>
            <w:tcW w:w="1591" w:type="dxa"/>
            <w:tcBorders>
              <w:top w:val="single" w:sz="2" w:space="0" w:color="000000"/>
              <w:left w:val="single" w:sz="2" w:space="0" w:color="000000"/>
              <w:bottom w:val="single" w:sz="2" w:space="0" w:color="000000"/>
              <w:right w:val="single" w:sz="2" w:space="0" w:color="000000"/>
            </w:tcBorders>
          </w:tcPr>
          <w:p w14:paraId="2F07C426" w14:textId="77777777" w:rsidR="00053D93" w:rsidRDefault="00260B75">
            <w:pPr>
              <w:ind w:left="58"/>
              <w:jc w:val="center"/>
            </w:pPr>
            <w:r>
              <w:rPr>
                <w:rFonts w:ascii="Malgan Gothic" w:eastAsia="Malgan Gothic" w:hAnsi="Malgan Gothic" w:cs="Malgan Gothic"/>
                <w:sz w:val="16"/>
              </w:rPr>
              <w:t>2024-13373</w:t>
            </w:r>
          </w:p>
        </w:tc>
        <w:tc>
          <w:tcPr>
            <w:tcW w:w="1584" w:type="dxa"/>
            <w:tcBorders>
              <w:top w:val="single" w:sz="2" w:space="0" w:color="000000"/>
              <w:left w:val="single" w:sz="2" w:space="0" w:color="000000"/>
              <w:bottom w:val="single" w:sz="2" w:space="0" w:color="000000"/>
              <w:right w:val="single" w:sz="2" w:space="0" w:color="000000"/>
            </w:tcBorders>
          </w:tcPr>
          <w:p w14:paraId="57FCB41B" w14:textId="77777777" w:rsidR="00053D93" w:rsidRDefault="00260B75">
            <w:pPr>
              <w:ind w:left="43"/>
              <w:jc w:val="center"/>
            </w:pPr>
            <w:r>
              <w:rPr>
                <w:rFonts w:ascii="Malgan Gothic" w:eastAsia="Malgan Gothic" w:hAnsi="Malgan Gothic" w:cs="Malgan Gothic"/>
                <w:sz w:val="14"/>
              </w:rPr>
              <w:t>4/04/2024</w:t>
            </w:r>
          </w:p>
        </w:tc>
        <w:tc>
          <w:tcPr>
            <w:tcW w:w="1912" w:type="dxa"/>
            <w:tcBorders>
              <w:top w:val="single" w:sz="2" w:space="0" w:color="000000"/>
              <w:left w:val="single" w:sz="2" w:space="0" w:color="000000"/>
              <w:bottom w:val="single" w:sz="2" w:space="0" w:color="000000"/>
              <w:right w:val="single" w:sz="2" w:space="0" w:color="000000"/>
            </w:tcBorders>
          </w:tcPr>
          <w:p w14:paraId="14964288" w14:textId="77777777" w:rsidR="00053D93" w:rsidRDefault="00260B75">
            <w:pPr>
              <w:ind w:left="53"/>
              <w:jc w:val="center"/>
            </w:pPr>
            <w:r>
              <w:rPr>
                <w:rFonts w:ascii="Malgan Gothic" w:eastAsia="Malgan Gothic" w:hAnsi="Malgan Gothic" w:cs="Malgan Gothic"/>
                <w:sz w:val="16"/>
              </w:rPr>
              <w:t>30/04/2024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63832343" w14:textId="77777777" w:rsidR="00053D93" w:rsidRDefault="00260B75">
            <w:pPr>
              <w:ind w:right="58"/>
              <w:jc w:val="right"/>
            </w:pPr>
            <w:r>
              <w:rPr>
                <w:rFonts w:ascii="Malgan Gothic" w:eastAsia="Malgan Gothic" w:hAnsi="Malgan Gothic" w:cs="Malgan Gothic"/>
                <w:sz w:val="16"/>
              </w:rPr>
              <w:t>313.00</w:t>
            </w:r>
          </w:p>
        </w:tc>
      </w:tr>
      <w:tr w:rsidR="00053D93" w14:paraId="054BF992"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69269894" w14:textId="77777777" w:rsidR="00053D93" w:rsidRDefault="00260B75">
            <w:pPr>
              <w:ind w:left="111"/>
            </w:pPr>
            <w:r>
              <w:rPr>
                <w:rFonts w:ascii="Malgan Gothic" w:eastAsia="Malgan Gothic" w:hAnsi="Malgan Gothic" w:cs="Malgan Gothic"/>
                <w:sz w:val="14"/>
              </w:rPr>
              <w:t>23</w:t>
            </w:r>
          </w:p>
        </w:tc>
        <w:tc>
          <w:tcPr>
            <w:tcW w:w="1229" w:type="dxa"/>
            <w:tcBorders>
              <w:top w:val="single" w:sz="2" w:space="0" w:color="000000"/>
              <w:left w:val="single" w:sz="2" w:space="0" w:color="000000"/>
              <w:bottom w:val="single" w:sz="2" w:space="0" w:color="000000"/>
              <w:right w:val="single" w:sz="2" w:space="0" w:color="000000"/>
            </w:tcBorders>
          </w:tcPr>
          <w:p w14:paraId="08B84D2C" w14:textId="77777777" w:rsidR="00053D93" w:rsidRDefault="00260B75">
            <w:pPr>
              <w:ind w:left="92"/>
            </w:pPr>
            <w:r>
              <w:rPr>
                <w:rFonts w:ascii="Malgan Gothic" w:eastAsia="Malgan Gothic" w:hAnsi="Malgan Gothic" w:cs="Malgan Gothic"/>
                <w:sz w:val="14"/>
              </w:rPr>
              <w:t>E541076329</w:t>
            </w:r>
          </w:p>
        </w:tc>
        <w:tc>
          <w:tcPr>
            <w:tcW w:w="1591" w:type="dxa"/>
            <w:tcBorders>
              <w:top w:val="single" w:sz="2" w:space="0" w:color="000000"/>
              <w:left w:val="single" w:sz="2" w:space="0" w:color="000000"/>
              <w:bottom w:val="single" w:sz="2" w:space="0" w:color="000000"/>
              <w:right w:val="single" w:sz="2" w:space="0" w:color="000000"/>
            </w:tcBorders>
          </w:tcPr>
          <w:p w14:paraId="21753793" w14:textId="77777777" w:rsidR="00053D93" w:rsidRDefault="00260B75">
            <w:pPr>
              <w:ind w:left="58"/>
              <w:jc w:val="center"/>
            </w:pPr>
            <w:r>
              <w:rPr>
                <w:rFonts w:ascii="Malgan Gothic" w:eastAsia="Malgan Gothic" w:hAnsi="Malgan Gothic" w:cs="Malgan Gothic"/>
                <w:sz w:val="16"/>
              </w:rPr>
              <w:t>2024-14706</w:t>
            </w:r>
          </w:p>
        </w:tc>
        <w:tc>
          <w:tcPr>
            <w:tcW w:w="1584" w:type="dxa"/>
            <w:tcBorders>
              <w:top w:val="single" w:sz="2" w:space="0" w:color="000000"/>
              <w:left w:val="single" w:sz="2" w:space="0" w:color="000000"/>
              <w:bottom w:val="single" w:sz="2" w:space="0" w:color="000000"/>
              <w:right w:val="single" w:sz="2" w:space="0" w:color="000000"/>
            </w:tcBorders>
          </w:tcPr>
          <w:p w14:paraId="28E1CAC9" w14:textId="77777777" w:rsidR="00053D93" w:rsidRDefault="00260B75">
            <w:pPr>
              <w:ind w:left="50"/>
              <w:jc w:val="center"/>
            </w:pPr>
            <w:r>
              <w:rPr>
                <w:rFonts w:ascii="Malgan Gothic" w:eastAsia="Malgan Gothic" w:hAnsi="Malgan Gothic" w:cs="Malgan Gothic"/>
                <w:sz w:val="16"/>
              </w:rPr>
              <w:t>26/04/2024</w:t>
            </w:r>
          </w:p>
        </w:tc>
        <w:tc>
          <w:tcPr>
            <w:tcW w:w="1912" w:type="dxa"/>
            <w:tcBorders>
              <w:top w:val="single" w:sz="2" w:space="0" w:color="000000"/>
              <w:left w:val="single" w:sz="2" w:space="0" w:color="000000"/>
              <w:bottom w:val="single" w:sz="2" w:space="0" w:color="000000"/>
              <w:right w:val="single" w:sz="2" w:space="0" w:color="000000"/>
            </w:tcBorders>
          </w:tcPr>
          <w:p w14:paraId="792D4653" w14:textId="77777777" w:rsidR="00053D93" w:rsidRDefault="00260B75">
            <w:pPr>
              <w:ind w:left="46"/>
              <w:jc w:val="center"/>
            </w:pPr>
            <w:r>
              <w:rPr>
                <w:rFonts w:ascii="Malgan Gothic" w:eastAsia="Malgan Gothic" w:hAnsi="Malgan Gothic" w:cs="Malgan Gothic"/>
                <w:sz w:val="14"/>
              </w:rPr>
              <w:t>6/05/2024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58EFDF07" w14:textId="77777777" w:rsidR="00053D93" w:rsidRDefault="00260B75">
            <w:pPr>
              <w:ind w:right="65"/>
              <w:jc w:val="right"/>
            </w:pPr>
            <w:r>
              <w:rPr>
                <w:rFonts w:ascii="Malgan Gothic" w:eastAsia="Malgan Gothic" w:hAnsi="Malgan Gothic" w:cs="Malgan Gothic"/>
                <w:sz w:val="14"/>
              </w:rPr>
              <w:t>350.00</w:t>
            </w:r>
          </w:p>
        </w:tc>
      </w:tr>
      <w:tr w:rsidR="00053D93" w14:paraId="5CAFE1B9"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4EB20A57" w14:textId="77777777" w:rsidR="00053D93" w:rsidRDefault="00260B75">
            <w:pPr>
              <w:ind w:left="111"/>
            </w:pPr>
            <w:r>
              <w:rPr>
                <w:rFonts w:ascii="Malgan Gothic" w:eastAsia="Malgan Gothic" w:hAnsi="Malgan Gothic" w:cs="Malgan Gothic"/>
                <w:sz w:val="14"/>
              </w:rPr>
              <w:t>24</w:t>
            </w:r>
          </w:p>
        </w:tc>
        <w:tc>
          <w:tcPr>
            <w:tcW w:w="1229" w:type="dxa"/>
            <w:tcBorders>
              <w:top w:val="single" w:sz="2" w:space="0" w:color="000000"/>
              <w:left w:val="single" w:sz="2" w:space="0" w:color="000000"/>
              <w:bottom w:val="single" w:sz="2" w:space="0" w:color="000000"/>
              <w:right w:val="single" w:sz="2" w:space="0" w:color="000000"/>
            </w:tcBorders>
          </w:tcPr>
          <w:p w14:paraId="1F437D34" w14:textId="77777777" w:rsidR="00053D93" w:rsidRDefault="00260B75">
            <w:pPr>
              <w:ind w:left="92"/>
            </w:pPr>
            <w:r>
              <w:rPr>
                <w:rFonts w:ascii="Malgan Gothic" w:eastAsia="Malgan Gothic" w:hAnsi="Malgan Gothic" w:cs="Malgan Gothic"/>
                <w:sz w:val="16"/>
              </w:rPr>
              <w:t>E541299107</w:t>
            </w:r>
          </w:p>
        </w:tc>
        <w:tc>
          <w:tcPr>
            <w:tcW w:w="1591" w:type="dxa"/>
            <w:tcBorders>
              <w:top w:val="single" w:sz="2" w:space="0" w:color="000000"/>
              <w:left w:val="single" w:sz="2" w:space="0" w:color="000000"/>
              <w:bottom w:val="single" w:sz="2" w:space="0" w:color="000000"/>
              <w:right w:val="single" w:sz="2" w:space="0" w:color="000000"/>
            </w:tcBorders>
          </w:tcPr>
          <w:p w14:paraId="7B27064F" w14:textId="77777777" w:rsidR="00053D93" w:rsidRDefault="00260B75">
            <w:pPr>
              <w:ind w:left="58"/>
              <w:jc w:val="center"/>
            </w:pPr>
            <w:r>
              <w:rPr>
                <w:rFonts w:ascii="Malgan Gothic" w:eastAsia="Malgan Gothic" w:hAnsi="Malgan Gothic" w:cs="Malgan Gothic"/>
                <w:sz w:val="14"/>
              </w:rPr>
              <w:t>2024-15093</w:t>
            </w:r>
          </w:p>
        </w:tc>
        <w:tc>
          <w:tcPr>
            <w:tcW w:w="1584" w:type="dxa"/>
            <w:tcBorders>
              <w:top w:val="single" w:sz="2" w:space="0" w:color="000000"/>
              <w:left w:val="single" w:sz="2" w:space="0" w:color="000000"/>
              <w:bottom w:val="single" w:sz="2" w:space="0" w:color="000000"/>
              <w:right w:val="single" w:sz="2" w:space="0" w:color="000000"/>
            </w:tcBorders>
          </w:tcPr>
          <w:p w14:paraId="2329FD69" w14:textId="77777777" w:rsidR="00053D93" w:rsidRDefault="00260B75">
            <w:pPr>
              <w:ind w:left="50"/>
              <w:jc w:val="center"/>
            </w:pPr>
            <w:r>
              <w:rPr>
                <w:rFonts w:ascii="Malgan Gothic" w:eastAsia="Malgan Gothic" w:hAnsi="Malgan Gothic" w:cs="Malgan Gothic"/>
                <w:sz w:val="14"/>
              </w:rPr>
              <w:t>30/04/2024</w:t>
            </w:r>
          </w:p>
        </w:tc>
        <w:tc>
          <w:tcPr>
            <w:tcW w:w="1912" w:type="dxa"/>
            <w:tcBorders>
              <w:top w:val="single" w:sz="2" w:space="0" w:color="000000"/>
              <w:left w:val="single" w:sz="2" w:space="0" w:color="000000"/>
              <w:bottom w:val="single" w:sz="2" w:space="0" w:color="000000"/>
              <w:right w:val="single" w:sz="2" w:space="0" w:color="000000"/>
            </w:tcBorders>
          </w:tcPr>
          <w:p w14:paraId="1CEB709A" w14:textId="77777777" w:rsidR="00053D93" w:rsidRDefault="00260B75">
            <w:pPr>
              <w:ind w:left="39"/>
              <w:jc w:val="center"/>
            </w:pPr>
            <w:r>
              <w:rPr>
                <w:rFonts w:ascii="Malgan Gothic" w:eastAsia="Malgan Gothic" w:hAnsi="Malgan Gothic" w:cs="Malgan Gothic"/>
                <w:sz w:val="14"/>
              </w:rPr>
              <w:t>9/05/2024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0F4B740D" w14:textId="77777777" w:rsidR="00053D93" w:rsidRDefault="00260B75">
            <w:pPr>
              <w:ind w:right="65"/>
              <w:jc w:val="right"/>
            </w:pPr>
            <w:r>
              <w:rPr>
                <w:rFonts w:ascii="Malgan Gothic" w:eastAsia="Malgan Gothic" w:hAnsi="Malgan Gothic" w:cs="Malgan Gothic"/>
                <w:sz w:val="16"/>
              </w:rPr>
              <w:t>246.50</w:t>
            </w:r>
          </w:p>
        </w:tc>
      </w:tr>
      <w:tr w:rsidR="00053D93" w14:paraId="28B2A8E0" w14:textId="77777777">
        <w:trPr>
          <w:trHeight w:val="528"/>
        </w:trPr>
        <w:tc>
          <w:tcPr>
            <w:tcW w:w="624" w:type="dxa"/>
            <w:gridSpan w:val="2"/>
            <w:tcBorders>
              <w:top w:val="single" w:sz="2" w:space="0" w:color="000000"/>
              <w:left w:val="single" w:sz="2" w:space="0" w:color="000000"/>
              <w:bottom w:val="single" w:sz="2" w:space="0" w:color="000000"/>
              <w:right w:val="single" w:sz="2" w:space="0" w:color="000000"/>
            </w:tcBorders>
          </w:tcPr>
          <w:p w14:paraId="62736F97" w14:textId="77777777" w:rsidR="00053D93" w:rsidRDefault="00260B75">
            <w:pPr>
              <w:ind w:left="104"/>
            </w:pPr>
            <w:r>
              <w:rPr>
                <w:rFonts w:ascii="Malgan Gothic" w:eastAsia="Malgan Gothic" w:hAnsi="Malgan Gothic" w:cs="Malgan Gothic"/>
                <w:sz w:val="14"/>
              </w:rPr>
              <w:t>25</w:t>
            </w:r>
          </w:p>
        </w:tc>
        <w:tc>
          <w:tcPr>
            <w:tcW w:w="1229" w:type="dxa"/>
            <w:tcBorders>
              <w:top w:val="single" w:sz="2" w:space="0" w:color="000000"/>
              <w:left w:val="single" w:sz="2" w:space="0" w:color="000000"/>
              <w:bottom w:val="single" w:sz="2" w:space="0" w:color="000000"/>
              <w:right w:val="single" w:sz="2" w:space="0" w:color="000000"/>
            </w:tcBorders>
          </w:tcPr>
          <w:p w14:paraId="018CD797" w14:textId="77777777" w:rsidR="00053D93" w:rsidRDefault="00260B75">
            <w:pPr>
              <w:ind w:left="92"/>
            </w:pPr>
            <w:r>
              <w:rPr>
                <w:rFonts w:ascii="Malgan Gothic" w:eastAsia="Malgan Gothic" w:hAnsi="Malgan Gothic" w:cs="Malgan Gothic"/>
                <w:sz w:val="16"/>
              </w:rPr>
              <w:t>E541607383</w:t>
            </w:r>
          </w:p>
        </w:tc>
        <w:tc>
          <w:tcPr>
            <w:tcW w:w="1591" w:type="dxa"/>
            <w:tcBorders>
              <w:top w:val="single" w:sz="2" w:space="0" w:color="000000"/>
              <w:left w:val="single" w:sz="2" w:space="0" w:color="000000"/>
              <w:bottom w:val="single" w:sz="2" w:space="0" w:color="000000"/>
              <w:right w:val="single" w:sz="2" w:space="0" w:color="000000"/>
            </w:tcBorders>
          </w:tcPr>
          <w:p w14:paraId="13376645" w14:textId="77777777" w:rsidR="00053D93" w:rsidRDefault="00260B75">
            <w:pPr>
              <w:ind w:left="50"/>
              <w:jc w:val="center"/>
            </w:pPr>
            <w:r>
              <w:rPr>
                <w:rFonts w:ascii="Malgan Gothic" w:eastAsia="Malgan Gothic" w:hAnsi="Malgan Gothic" w:cs="Malgan Gothic"/>
                <w:sz w:val="14"/>
              </w:rPr>
              <w:t>2024-14636</w:t>
            </w:r>
          </w:p>
        </w:tc>
        <w:tc>
          <w:tcPr>
            <w:tcW w:w="1584" w:type="dxa"/>
            <w:tcBorders>
              <w:top w:val="single" w:sz="2" w:space="0" w:color="000000"/>
              <w:left w:val="single" w:sz="2" w:space="0" w:color="000000"/>
              <w:bottom w:val="single" w:sz="2" w:space="0" w:color="000000"/>
              <w:right w:val="single" w:sz="2" w:space="0" w:color="000000"/>
            </w:tcBorders>
          </w:tcPr>
          <w:p w14:paraId="4F5B1133" w14:textId="77777777" w:rsidR="00053D93" w:rsidRDefault="00260B75">
            <w:pPr>
              <w:ind w:left="36"/>
              <w:jc w:val="center"/>
            </w:pPr>
            <w:r>
              <w:rPr>
                <w:rFonts w:ascii="Malgan Gothic" w:eastAsia="Malgan Gothic" w:hAnsi="Malgan Gothic" w:cs="Malgan Gothic"/>
                <w:sz w:val="14"/>
              </w:rPr>
              <w:t>24/04/2024</w:t>
            </w:r>
          </w:p>
        </w:tc>
        <w:tc>
          <w:tcPr>
            <w:tcW w:w="1912" w:type="dxa"/>
            <w:tcBorders>
              <w:top w:val="single" w:sz="2" w:space="0" w:color="000000"/>
              <w:left w:val="single" w:sz="2" w:space="0" w:color="000000"/>
              <w:bottom w:val="single" w:sz="2" w:space="0" w:color="000000"/>
              <w:right w:val="single" w:sz="2" w:space="0" w:color="000000"/>
            </w:tcBorders>
          </w:tcPr>
          <w:p w14:paraId="73AFB657" w14:textId="77777777" w:rsidR="00053D93" w:rsidRDefault="00260B75">
            <w:pPr>
              <w:ind w:left="46"/>
              <w:jc w:val="center"/>
            </w:pPr>
            <w:r>
              <w:rPr>
                <w:rFonts w:ascii="Malgan Gothic" w:eastAsia="Malgan Gothic" w:hAnsi="Malgan Gothic" w:cs="Malgan Gothic"/>
                <w:sz w:val="14"/>
              </w:rPr>
              <w:t>15/05/2024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36F323D6" w14:textId="77777777" w:rsidR="00053D93" w:rsidRDefault="00260B75">
            <w:pPr>
              <w:ind w:right="65"/>
              <w:jc w:val="right"/>
            </w:pPr>
            <w:r>
              <w:rPr>
                <w:rFonts w:ascii="Malgan Gothic" w:eastAsia="Malgan Gothic" w:hAnsi="Malgan Gothic" w:cs="Malgan Gothic"/>
                <w:sz w:val="18"/>
              </w:rPr>
              <w:t>7,200.00</w:t>
            </w:r>
          </w:p>
        </w:tc>
      </w:tr>
      <w:tr w:rsidR="00053D93" w14:paraId="196DFBEA"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690574EF"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1163F3AE" w14:textId="77777777" w:rsidR="00053D93" w:rsidRDefault="00260B75">
            <w:pPr>
              <w:ind w:left="85"/>
              <w:jc w:val="both"/>
            </w:pPr>
            <w:r>
              <w:rPr>
                <w:rFonts w:ascii="Malgan Gothic" w:eastAsia="Malgan Gothic" w:hAnsi="Malgan Gothic" w:cs="Malgan Gothic"/>
                <w:sz w:val="14"/>
              </w:rPr>
              <w:t>E541612824</w:t>
            </w:r>
          </w:p>
        </w:tc>
        <w:tc>
          <w:tcPr>
            <w:tcW w:w="1591" w:type="dxa"/>
            <w:tcBorders>
              <w:top w:val="single" w:sz="2" w:space="0" w:color="000000"/>
              <w:left w:val="single" w:sz="2" w:space="0" w:color="000000"/>
              <w:bottom w:val="single" w:sz="2" w:space="0" w:color="000000"/>
              <w:right w:val="single" w:sz="2" w:space="0" w:color="000000"/>
            </w:tcBorders>
          </w:tcPr>
          <w:p w14:paraId="4288218B" w14:textId="77777777" w:rsidR="00053D93" w:rsidRDefault="00260B75">
            <w:pPr>
              <w:ind w:left="50"/>
              <w:jc w:val="center"/>
            </w:pPr>
            <w:r>
              <w:rPr>
                <w:rFonts w:ascii="Malgan Gothic" w:eastAsia="Malgan Gothic" w:hAnsi="Malgan Gothic" w:cs="Malgan Gothic"/>
                <w:sz w:val="14"/>
              </w:rPr>
              <w:t>2024-14620</w:t>
            </w:r>
          </w:p>
        </w:tc>
        <w:tc>
          <w:tcPr>
            <w:tcW w:w="1584" w:type="dxa"/>
            <w:tcBorders>
              <w:top w:val="single" w:sz="2" w:space="0" w:color="000000"/>
              <w:left w:val="single" w:sz="2" w:space="0" w:color="000000"/>
              <w:bottom w:val="single" w:sz="2" w:space="0" w:color="000000"/>
              <w:right w:val="single" w:sz="2" w:space="0" w:color="000000"/>
            </w:tcBorders>
          </w:tcPr>
          <w:p w14:paraId="7B7BA856" w14:textId="77777777" w:rsidR="00053D93" w:rsidRDefault="00260B75">
            <w:pPr>
              <w:ind w:left="36"/>
              <w:jc w:val="center"/>
            </w:pPr>
            <w:r>
              <w:rPr>
                <w:rFonts w:ascii="Malgan Gothic" w:eastAsia="Malgan Gothic" w:hAnsi="Malgan Gothic" w:cs="Malgan Gothic"/>
                <w:sz w:val="16"/>
              </w:rPr>
              <w:t>24/04/2024</w:t>
            </w:r>
          </w:p>
        </w:tc>
        <w:tc>
          <w:tcPr>
            <w:tcW w:w="1912" w:type="dxa"/>
            <w:tcBorders>
              <w:top w:val="single" w:sz="2" w:space="0" w:color="000000"/>
              <w:left w:val="single" w:sz="2" w:space="0" w:color="000000"/>
              <w:bottom w:val="single" w:sz="2" w:space="0" w:color="000000"/>
              <w:right w:val="single" w:sz="2" w:space="0" w:color="000000"/>
            </w:tcBorders>
          </w:tcPr>
          <w:p w14:paraId="51F5D916" w14:textId="77777777" w:rsidR="00053D93" w:rsidRDefault="00260B75">
            <w:pPr>
              <w:ind w:left="46"/>
              <w:jc w:val="center"/>
            </w:pPr>
            <w:r>
              <w:rPr>
                <w:rFonts w:ascii="Malgan Gothic" w:eastAsia="Malgan Gothic" w:hAnsi="Malgan Gothic" w:cs="Malgan Gothic"/>
                <w:sz w:val="16"/>
              </w:rPr>
              <w:t>15/05/2024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5F9605EB" w14:textId="77777777" w:rsidR="00053D93" w:rsidRDefault="00260B75">
            <w:pPr>
              <w:ind w:right="72"/>
              <w:jc w:val="right"/>
            </w:pPr>
            <w:r>
              <w:rPr>
                <w:rFonts w:ascii="Malgan Gothic" w:eastAsia="Malgan Gothic" w:hAnsi="Malgan Gothic" w:cs="Malgan Gothic"/>
                <w:sz w:val="18"/>
              </w:rPr>
              <w:t>2|112.35</w:t>
            </w:r>
          </w:p>
        </w:tc>
      </w:tr>
      <w:tr w:rsidR="00053D93" w14:paraId="6A3412E4"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2B65F6EF"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01BEE7C6" w14:textId="77777777" w:rsidR="00053D93" w:rsidRDefault="00260B75">
            <w:pPr>
              <w:ind w:left="85"/>
            </w:pPr>
            <w:r>
              <w:rPr>
                <w:rFonts w:ascii="Malgan Gothic" w:eastAsia="Malgan Gothic" w:hAnsi="Malgan Gothic" w:cs="Malgan Gothic"/>
                <w:sz w:val="16"/>
              </w:rPr>
              <w:t>E541614762</w:t>
            </w:r>
          </w:p>
        </w:tc>
        <w:tc>
          <w:tcPr>
            <w:tcW w:w="1591" w:type="dxa"/>
            <w:tcBorders>
              <w:top w:val="single" w:sz="2" w:space="0" w:color="000000"/>
              <w:left w:val="single" w:sz="2" w:space="0" w:color="000000"/>
              <w:bottom w:val="single" w:sz="2" w:space="0" w:color="000000"/>
              <w:right w:val="single" w:sz="2" w:space="0" w:color="000000"/>
            </w:tcBorders>
          </w:tcPr>
          <w:p w14:paraId="13CE4C35" w14:textId="77777777" w:rsidR="00053D93" w:rsidRDefault="00260B75">
            <w:pPr>
              <w:ind w:left="50"/>
              <w:jc w:val="center"/>
            </w:pPr>
            <w:r>
              <w:rPr>
                <w:rFonts w:ascii="Malgan Gothic" w:eastAsia="Malgan Gothic" w:hAnsi="Malgan Gothic" w:cs="Malgan Gothic"/>
                <w:sz w:val="16"/>
              </w:rPr>
              <w:t>2024-14620</w:t>
            </w:r>
          </w:p>
        </w:tc>
        <w:tc>
          <w:tcPr>
            <w:tcW w:w="1584" w:type="dxa"/>
            <w:tcBorders>
              <w:top w:val="single" w:sz="2" w:space="0" w:color="000000"/>
              <w:left w:val="single" w:sz="2" w:space="0" w:color="000000"/>
              <w:bottom w:val="single" w:sz="2" w:space="0" w:color="000000"/>
              <w:right w:val="single" w:sz="2" w:space="0" w:color="000000"/>
            </w:tcBorders>
          </w:tcPr>
          <w:p w14:paraId="6C4E4659" w14:textId="77777777" w:rsidR="00053D93" w:rsidRDefault="00260B75">
            <w:pPr>
              <w:ind w:left="36"/>
              <w:jc w:val="center"/>
            </w:pPr>
            <w:r>
              <w:rPr>
                <w:rFonts w:ascii="Malgan Gothic" w:eastAsia="Malgan Gothic" w:hAnsi="Malgan Gothic" w:cs="Malgan Gothic"/>
                <w:sz w:val="16"/>
              </w:rPr>
              <w:t>24/04/2024</w:t>
            </w:r>
          </w:p>
        </w:tc>
        <w:tc>
          <w:tcPr>
            <w:tcW w:w="1912" w:type="dxa"/>
            <w:tcBorders>
              <w:top w:val="single" w:sz="2" w:space="0" w:color="000000"/>
              <w:left w:val="single" w:sz="2" w:space="0" w:color="000000"/>
              <w:bottom w:val="single" w:sz="2" w:space="0" w:color="000000"/>
              <w:right w:val="single" w:sz="2" w:space="0" w:color="000000"/>
            </w:tcBorders>
          </w:tcPr>
          <w:p w14:paraId="11EDC4EA" w14:textId="77777777" w:rsidR="00053D93" w:rsidRDefault="00260B75">
            <w:pPr>
              <w:ind w:left="32"/>
              <w:jc w:val="center"/>
            </w:pPr>
            <w:r>
              <w:rPr>
                <w:rFonts w:ascii="Malgan Gothic" w:eastAsia="Malgan Gothic" w:hAnsi="Malgan Gothic" w:cs="Malgan Gothic"/>
                <w:sz w:val="14"/>
              </w:rPr>
              <w:t>15/05/2024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69A7ECCB" w14:textId="77777777" w:rsidR="00053D93" w:rsidRDefault="00260B75">
            <w:pPr>
              <w:ind w:right="72"/>
              <w:jc w:val="right"/>
            </w:pPr>
            <w:r>
              <w:rPr>
                <w:rFonts w:ascii="Malgan Gothic" w:eastAsia="Malgan Gothic" w:hAnsi="Malgan Gothic" w:cs="Malgan Gothic"/>
                <w:sz w:val="18"/>
              </w:rPr>
              <w:t>5,962.95</w:t>
            </w:r>
          </w:p>
        </w:tc>
      </w:tr>
      <w:tr w:rsidR="00053D93" w14:paraId="28D6A1F3" w14:textId="77777777">
        <w:trPr>
          <w:trHeight w:val="537"/>
        </w:trPr>
        <w:tc>
          <w:tcPr>
            <w:tcW w:w="624" w:type="dxa"/>
            <w:gridSpan w:val="2"/>
            <w:tcBorders>
              <w:top w:val="single" w:sz="2" w:space="0" w:color="000000"/>
              <w:left w:val="single" w:sz="2" w:space="0" w:color="000000"/>
              <w:bottom w:val="single" w:sz="2" w:space="0" w:color="000000"/>
              <w:right w:val="single" w:sz="2" w:space="0" w:color="000000"/>
            </w:tcBorders>
          </w:tcPr>
          <w:p w14:paraId="6AC5AB4A"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3C491664" w14:textId="77777777" w:rsidR="00053D93" w:rsidRDefault="00260B75">
            <w:pPr>
              <w:ind w:left="85"/>
            </w:pPr>
            <w:r>
              <w:rPr>
                <w:rFonts w:ascii="Malgan Gothic" w:eastAsia="Malgan Gothic" w:hAnsi="Malgan Gothic" w:cs="Malgan Gothic"/>
                <w:sz w:val="16"/>
              </w:rPr>
              <w:t>E541760785</w:t>
            </w:r>
          </w:p>
        </w:tc>
        <w:tc>
          <w:tcPr>
            <w:tcW w:w="1591" w:type="dxa"/>
            <w:tcBorders>
              <w:top w:val="single" w:sz="2" w:space="0" w:color="000000"/>
              <w:left w:val="single" w:sz="2" w:space="0" w:color="000000"/>
              <w:bottom w:val="single" w:sz="2" w:space="0" w:color="000000"/>
              <w:right w:val="single" w:sz="2" w:space="0" w:color="000000"/>
            </w:tcBorders>
          </w:tcPr>
          <w:p w14:paraId="5AECD25E" w14:textId="77777777" w:rsidR="00053D93" w:rsidRDefault="00260B75">
            <w:pPr>
              <w:ind w:left="43"/>
              <w:jc w:val="center"/>
            </w:pPr>
            <w:r>
              <w:rPr>
                <w:rFonts w:ascii="Malgan Gothic" w:eastAsia="Malgan Gothic" w:hAnsi="Malgan Gothic" w:cs="Malgan Gothic"/>
                <w:sz w:val="16"/>
              </w:rPr>
              <w:t>2024-15256</w:t>
            </w:r>
          </w:p>
        </w:tc>
        <w:tc>
          <w:tcPr>
            <w:tcW w:w="1584" w:type="dxa"/>
            <w:tcBorders>
              <w:top w:val="single" w:sz="2" w:space="0" w:color="000000"/>
              <w:left w:val="single" w:sz="2" w:space="0" w:color="000000"/>
              <w:bottom w:val="single" w:sz="2" w:space="0" w:color="000000"/>
              <w:right w:val="single" w:sz="2" w:space="0" w:color="000000"/>
            </w:tcBorders>
          </w:tcPr>
          <w:p w14:paraId="4A4F4A65" w14:textId="77777777" w:rsidR="00053D93" w:rsidRDefault="00260B75">
            <w:pPr>
              <w:ind w:left="29"/>
              <w:jc w:val="center"/>
            </w:pPr>
            <w:r>
              <w:rPr>
                <w:rFonts w:ascii="Malgan Gothic" w:eastAsia="Malgan Gothic" w:hAnsi="Malgan Gothic" w:cs="Malgan Gothic"/>
                <w:sz w:val="14"/>
              </w:rPr>
              <w:t>8/05/2024</w:t>
            </w:r>
          </w:p>
        </w:tc>
        <w:tc>
          <w:tcPr>
            <w:tcW w:w="1912" w:type="dxa"/>
            <w:tcBorders>
              <w:top w:val="single" w:sz="2" w:space="0" w:color="000000"/>
              <w:left w:val="single" w:sz="2" w:space="0" w:color="000000"/>
              <w:bottom w:val="single" w:sz="2" w:space="0" w:color="000000"/>
              <w:right w:val="single" w:sz="2" w:space="0" w:color="000000"/>
            </w:tcBorders>
          </w:tcPr>
          <w:p w14:paraId="5EE5F442" w14:textId="77777777" w:rsidR="00053D93" w:rsidRDefault="00260B75">
            <w:pPr>
              <w:ind w:left="32"/>
              <w:jc w:val="center"/>
            </w:pPr>
            <w:r>
              <w:rPr>
                <w:rFonts w:ascii="Malgan Gothic" w:eastAsia="Malgan Gothic" w:hAnsi="Malgan Gothic" w:cs="Malgan Gothic"/>
                <w:sz w:val="14"/>
              </w:rPr>
              <w:t>17/05/2024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36D87393" w14:textId="77777777" w:rsidR="00053D93" w:rsidRDefault="00260B75">
            <w:pPr>
              <w:ind w:right="72"/>
              <w:jc w:val="right"/>
            </w:pPr>
            <w:r>
              <w:rPr>
                <w:rFonts w:ascii="Malgan Gothic" w:eastAsia="Malgan Gothic" w:hAnsi="Malgan Gothic" w:cs="Malgan Gothic"/>
                <w:sz w:val="18"/>
              </w:rPr>
              <w:t>11,970.00</w:t>
            </w:r>
          </w:p>
        </w:tc>
      </w:tr>
      <w:tr w:rsidR="00053D93" w14:paraId="5D525EF3" w14:textId="77777777">
        <w:trPr>
          <w:trHeight w:val="526"/>
        </w:trPr>
        <w:tc>
          <w:tcPr>
            <w:tcW w:w="624" w:type="dxa"/>
            <w:gridSpan w:val="2"/>
            <w:tcBorders>
              <w:top w:val="single" w:sz="2" w:space="0" w:color="000000"/>
              <w:left w:val="single" w:sz="2" w:space="0" w:color="000000"/>
              <w:bottom w:val="single" w:sz="2" w:space="0" w:color="000000"/>
              <w:right w:val="single" w:sz="2" w:space="0" w:color="000000"/>
            </w:tcBorders>
          </w:tcPr>
          <w:p w14:paraId="4D0FAF0F" w14:textId="77777777" w:rsidR="00053D93" w:rsidRDefault="00260B75">
            <w:pPr>
              <w:ind w:left="96"/>
            </w:pPr>
            <w:r>
              <w:rPr>
                <w:rFonts w:ascii="Malgan Gothic" w:eastAsia="Malgan Gothic" w:hAnsi="Malgan Gothic" w:cs="Malgan Gothic"/>
                <w:sz w:val="14"/>
              </w:rPr>
              <w:t>29</w:t>
            </w:r>
          </w:p>
        </w:tc>
        <w:tc>
          <w:tcPr>
            <w:tcW w:w="1229" w:type="dxa"/>
            <w:tcBorders>
              <w:top w:val="single" w:sz="2" w:space="0" w:color="000000"/>
              <w:left w:val="single" w:sz="2" w:space="0" w:color="000000"/>
              <w:bottom w:val="single" w:sz="2" w:space="0" w:color="000000"/>
              <w:right w:val="single" w:sz="2" w:space="0" w:color="000000"/>
            </w:tcBorders>
          </w:tcPr>
          <w:p w14:paraId="6DBBACBC" w14:textId="77777777" w:rsidR="00053D93" w:rsidRDefault="00260B75">
            <w:pPr>
              <w:ind w:left="77"/>
            </w:pPr>
            <w:r>
              <w:rPr>
                <w:rFonts w:ascii="Malgan Gothic" w:eastAsia="Malgan Gothic" w:hAnsi="Malgan Gothic" w:cs="Malgan Gothic"/>
                <w:sz w:val="16"/>
              </w:rPr>
              <w:t>E542464780</w:t>
            </w:r>
          </w:p>
        </w:tc>
        <w:tc>
          <w:tcPr>
            <w:tcW w:w="1591" w:type="dxa"/>
            <w:tcBorders>
              <w:top w:val="single" w:sz="2" w:space="0" w:color="000000"/>
              <w:left w:val="single" w:sz="2" w:space="0" w:color="000000"/>
              <w:bottom w:val="single" w:sz="2" w:space="0" w:color="000000"/>
              <w:right w:val="single" w:sz="2" w:space="0" w:color="000000"/>
            </w:tcBorders>
          </w:tcPr>
          <w:p w14:paraId="53DEA3C7" w14:textId="77777777" w:rsidR="00053D93" w:rsidRDefault="00260B75">
            <w:pPr>
              <w:ind w:left="36"/>
              <w:jc w:val="center"/>
            </w:pPr>
            <w:r>
              <w:rPr>
                <w:rFonts w:ascii="Malgan Gothic" w:eastAsia="Malgan Gothic" w:hAnsi="Malgan Gothic" w:cs="Malgan Gothic"/>
                <w:sz w:val="14"/>
              </w:rPr>
              <w:t>2024-15170</w:t>
            </w:r>
          </w:p>
        </w:tc>
        <w:tc>
          <w:tcPr>
            <w:tcW w:w="1584" w:type="dxa"/>
            <w:tcBorders>
              <w:top w:val="single" w:sz="2" w:space="0" w:color="000000"/>
              <w:left w:val="single" w:sz="2" w:space="0" w:color="000000"/>
              <w:bottom w:val="single" w:sz="2" w:space="0" w:color="000000"/>
              <w:right w:val="single" w:sz="2" w:space="0" w:color="000000"/>
            </w:tcBorders>
          </w:tcPr>
          <w:p w14:paraId="1F3DF052" w14:textId="77777777" w:rsidR="00053D93" w:rsidRDefault="00260B75">
            <w:pPr>
              <w:ind w:left="36"/>
              <w:jc w:val="center"/>
            </w:pPr>
            <w:r>
              <w:rPr>
                <w:rFonts w:ascii="Malgan Gothic" w:eastAsia="Malgan Gothic" w:hAnsi="Malgan Gothic" w:cs="Malgan Gothic"/>
                <w:sz w:val="16"/>
              </w:rPr>
              <w:t>17/05/2024</w:t>
            </w:r>
          </w:p>
        </w:tc>
        <w:tc>
          <w:tcPr>
            <w:tcW w:w="1912" w:type="dxa"/>
            <w:tcBorders>
              <w:top w:val="single" w:sz="2" w:space="0" w:color="000000"/>
              <w:left w:val="single" w:sz="2" w:space="0" w:color="000000"/>
              <w:bottom w:val="single" w:sz="2" w:space="0" w:color="000000"/>
              <w:right w:val="single" w:sz="2" w:space="0" w:color="000000"/>
            </w:tcBorders>
          </w:tcPr>
          <w:p w14:paraId="26394A44" w14:textId="77777777" w:rsidR="00053D93" w:rsidRDefault="00260B75">
            <w:pPr>
              <w:ind w:left="24"/>
              <w:jc w:val="center"/>
            </w:pPr>
            <w:r>
              <w:rPr>
                <w:rFonts w:ascii="Malgan Gothic" w:eastAsia="Malgan Gothic" w:hAnsi="Malgan Gothic" w:cs="Malgan Gothic"/>
                <w:sz w:val="14"/>
              </w:rPr>
              <w:t>30/05/2024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7EE2C953" w14:textId="77777777" w:rsidR="00053D93" w:rsidRDefault="00260B75">
            <w:pPr>
              <w:ind w:right="79"/>
              <w:jc w:val="right"/>
            </w:pPr>
            <w:r>
              <w:rPr>
                <w:rFonts w:ascii="Malgan Gothic" w:eastAsia="Malgan Gothic" w:hAnsi="Malgan Gothic" w:cs="Malgan Gothic"/>
                <w:sz w:val="18"/>
              </w:rPr>
              <w:t>2,480.00</w:t>
            </w:r>
          </w:p>
        </w:tc>
      </w:tr>
      <w:tr w:rsidR="00053D93" w14:paraId="091BEADE"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3C117C66" w14:textId="77777777" w:rsidR="00053D93" w:rsidRDefault="00260B75">
            <w:pPr>
              <w:ind w:left="96"/>
            </w:pPr>
            <w:r>
              <w:rPr>
                <w:rFonts w:ascii="Malgan Gothic" w:eastAsia="Malgan Gothic" w:hAnsi="Malgan Gothic" w:cs="Malgan Gothic"/>
                <w:sz w:val="14"/>
              </w:rPr>
              <w:t>30</w:t>
            </w:r>
          </w:p>
        </w:tc>
        <w:tc>
          <w:tcPr>
            <w:tcW w:w="1229" w:type="dxa"/>
            <w:tcBorders>
              <w:top w:val="single" w:sz="2" w:space="0" w:color="000000"/>
              <w:left w:val="single" w:sz="2" w:space="0" w:color="000000"/>
              <w:bottom w:val="single" w:sz="2" w:space="0" w:color="000000"/>
              <w:right w:val="single" w:sz="2" w:space="0" w:color="000000"/>
            </w:tcBorders>
          </w:tcPr>
          <w:p w14:paraId="05DE3305" w14:textId="77777777" w:rsidR="00053D93" w:rsidRDefault="00260B75">
            <w:pPr>
              <w:ind w:left="77"/>
            </w:pPr>
            <w:r>
              <w:rPr>
                <w:rFonts w:ascii="Malgan Gothic" w:eastAsia="Malgan Gothic" w:hAnsi="Malgan Gothic" w:cs="Malgan Gothic"/>
                <w:sz w:val="14"/>
              </w:rPr>
              <w:t>E542468743</w:t>
            </w:r>
          </w:p>
        </w:tc>
        <w:tc>
          <w:tcPr>
            <w:tcW w:w="1591" w:type="dxa"/>
            <w:tcBorders>
              <w:top w:val="single" w:sz="2" w:space="0" w:color="000000"/>
              <w:left w:val="single" w:sz="2" w:space="0" w:color="000000"/>
              <w:bottom w:val="single" w:sz="2" w:space="0" w:color="000000"/>
              <w:right w:val="single" w:sz="2" w:space="0" w:color="000000"/>
            </w:tcBorders>
          </w:tcPr>
          <w:p w14:paraId="3857F1C0" w14:textId="77777777" w:rsidR="00053D93" w:rsidRDefault="00260B75">
            <w:pPr>
              <w:ind w:left="29"/>
              <w:jc w:val="center"/>
            </w:pPr>
            <w:r>
              <w:rPr>
                <w:rFonts w:ascii="Malgan Gothic" w:eastAsia="Malgan Gothic" w:hAnsi="Malgan Gothic" w:cs="Malgan Gothic"/>
                <w:sz w:val="14"/>
              </w:rPr>
              <w:t>2024-16009</w:t>
            </w:r>
          </w:p>
        </w:tc>
        <w:tc>
          <w:tcPr>
            <w:tcW w:w="1584" w:type="dxa"/>
            <w:tcBorders>
              <w:top w:val="single" w:sz="2" w:space="0" w:color="000000"/>
              <w:left w:val="single" w:sz="2" w:space="0" w:color="000000"/>
              <w:bottom w:val="single" w:sz="2" w:space="0" w:color="000000"/>
              <w:right w:val="single" w:sz="2" w:space="0" w:color="000000"/>
            </w:tcBorders>
          </w:tcPr>
          <w:p w14:paraId="20E22FAA" w14:textId="77777777" w:rsidR="00053D93" w:rsidRDefault="00260B75">
            <w:pPr>
              <w:ind w:left="29"/>
              <w:jc w:val="center"/>
            </w:pPr>
            <w:r>
              <w:rPr>
                <w:rFonts w:ascii="Malgan Gothic" w:eastAsia="Malgan Gothic" w:hAnsi="Malgan Gothic" w:cs="Malgan Gothic"/>
                <w:sz w:val="14"/>
              </w:rPr>
              <w:t>17/05/2024</w:t>
            </w:r>
          </w:p>
        </w:tc>
        <w:tc>
          <w:tcPr>
            <w:tcW w:w="1912" w:type="dxa"/>
            <w:tcBorders>
              <w:top w:val="single" w:sz="2" w:space="0" w:color="000000"/>
              <w:left w:val="single" w:sz="2" w:space="0" w:color="000000"/>
              <w:bottom w:val="single" w:sz="2" w:space="0" w:color="000000"/>
              <w:right w:val="single" w:sz="2" w:space="0" w:color="000000"/>
            </w:tcBorders>
          </w:tcPr>
          <w:p w14:paraId="204B493A" w14:textId="77777777" w:rsidR="00053D93" w:rsidRDefault="00260B75">
            <w:pPr>
              <w:ind w:left="10"/>
              <w:jc w:val="center"/>
            </w:pPr>
            <w:r>
              <w:rPr>
                <w:rFonts w:ascii="Malgan Gothic" w:eastAsia="Malgan Gothic" w:hAnsi="Malgan Gothic" w:cs="Malgan Gothic"/>
                <w:sz w:val="16"/>
              </w:rPr>
              <w:t>30/05/2024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0344FFF4" w14:textId="77777777" w:rsidR="00053D93" w:rsidRDefault="00260B75">
            <w:pPr>
              <w:ind w:right="79"/>
              <w:jc w:val="right"/>
            </w:pPr>
            <w:r>
              <w:rPr>
                <w:rFonts w:ascii="Malgan Gothic" w:eastAsia="Malgan Gothic" w:hAnsi="Malgan Gothic" w:cs="Malgan Gothic"/>
                <w:sz w:val="14"/>
              </w:rPr>
              <w:t>473.65</w:t>
            </w:r>
          </w:p>
        </w:tc>
      </w:tr>
      <w:tr w:rsidR="00053D93" w14:paraId="7D28EECD" w14:textId="77777777">
        <w:trPr>
          <w:trHeight w:val="526"/>
        </w:trPr>
        <w:tc>
          <w:tcPr>
            <w:tcW w:w="624" w:type="dxa"/>
            <w:gridSpan w:val="2"/>
            <w:tcBorders>
              <w:top w:val="single" w:sz="2" w:space="0" w:color="000000"/>
              <w:left w:val="single" w:sz="2" w:space="0" w:color="000000"/>
              <w:bottom w:val="single" w:sz="2" w:space="0" w:color="000000"/>
              <w:right w:val="single" w:sz="2" w:space="0" w:color="000000"/>
            </w:tcBorders>
          </w:tcPr>
          <w:p w14:paraId="0F0DF51C" w14:textId="77777777" w:rsidR="00053D93" w:rsidRDefault="00260B75">
            <w:pPr>
              <w:ind w:left="96"/>
            </w:pPr>
            <w:r>
              <w:rPr>
                <w:rFonts w:ascii="Malgan Gothic" w:eastAsia="Malgan Gothic" w:hAnsi="Malgan Gothic" w:cs="Malgan Gothic"/>
                <w:sz w:val="14"/>
              </w:rPr>
              <w:t>31</w:t>
            </w:r>
          </w:p>
        </w:tc>
        <w:tc>
          <w:tcPr>
            <w:tcW w:w="1229" w:type="dxa"/>
            <w:tcBorders>
              <w:top w:val="single" w:sz="2" w:space="0" w:color="000000"/>
              <w:left w:val="single" w:sz="2" w:space="0" w:color="000000"/>
              <w:bottom w:val="single" w:sz="2" w:space="0" w:color="000000"/>
              <w:right w:val="single" w:sz="2" w:space="0" w:color="000000"/>
            </w:tcBorders>
          </w:tcPr>
          <w:p w14:paraId="2580EEF5" w14:textId="77777777" w:rsidR="00053D93" w:rsidRDefault="00260B75">
            <w:pPr>
              <w:ind w:left="77"/>
            </w:pPr>
            <w:r>
              <w:rPr>
                <w:rFonts w:ascii="Malgan Gothic" w:eastAsia="Malgan Gothic" w:hAnsi="Malgan Gothic" w:cs="Malgan Gothic"/>
                <w:sz w:val="16"/>
              </w:rPr>
              <w:t>E542682494</w:t>
            </w:r>
          </w:p>
        </w:tc>
        <w:tc>
          <w:tcPr>
            <w:tcW w:w="1591" w:type="dxa"/>
            <w:tcBorders>
              <w:top w:val="single" w:sz="2" w:space="0" w:color="000000"/>
              <w:left w:val="single" w:sz="2" w:space="0" w:color="000000"/>
              <w:bottom w:val="single" w:sz="2" w:space="0" w:color="000000"/>
              <w:right w:val="single" w:sz="2" w:space="0" w:color="000000"/>
            </w:tcBorders>
          </w:tcPr>
          <w:p w14:paraId="5E5BF5A5" w14:textId="77777777" w:rsidR="00053D93" w:rsidRDefault="00260B75">
            <w:pPr>
              <w:ind w:left="22"/>
              <w:jc w:val="center"/>
            </w:pPr>
            <w:r>
              <w:rPr>
                <w:rFonts w:ascii="Malgan Gothic" w:eastAsia="Malgan Gothic" w:hAnsi="Malgan Gothic" w:cs="Malgan Gothic"/>
                <w:sz w:val="14"/>
              </w:rPr>
              <w:t>2024-16089</w:t>
            </w:r>
          </w:p>
        </w:tc>
        <w:tc>
          <w:tcPr>
            <w:tcW w:w="1584" w:type="dxa"/>
            <w:tcBorders>
              <w:top w:val="single" w:sz="2" w:space="0" w:color="000000"/>
              <w:left w:val="single" w:sz="2" w:space="0" w:color="000000"/>
              <w:bottom w:val="single" w:sz="2" w:space="0" w:color="000000"/>
              <w:right w:val="single" w:sz="2" w:space="0" w:color="000000"/>
            </w:tcBorders>
          </w:tcPr>
          <w:p w14:paraId="08EBABD3" w14:textId="77777777" w:rsidR="00053D93" w:rsidRDefault="00260B75">
            <w:pPr>
              <w:ind w:left="14"/>
              <w:jc w:val="center"/>
            </w:pPr>
            <w:r>
              <w:rPr>
                <w:rFonts w:ascii="Malgan Gothic" w:eastAsia="Malgan Gothic" w:hAnsi="Malgan Gothic" w:cs="Malgan Gothic"/>
                <w:sz w:val="14"/>
              </w:rPr>
              <w:t>24/05/2024</w:t>
            </w:r>
          </w:p>
        </w:tc>
        <w:tc>
          <w:tcPr>
            <w:tcW w:w="1912" w:type="dxa"/>
            <w:tcBorders>
              <w:top w:val="single" w:sz="2" w:space="0" w:color="000000"/>
              <w:left w:val="single" w:sz="2" w:space="0" w:color="000000"/>
              <w:bottom w:val="single" w:sz="2" w:space="0" w:color="000000"/>
              <w:right w:val="single" w:sz="2" w:space="0" w:color="000000"/>
            </w:tcBorders>
          </w:tcPr>
          <w:p w14:paraId="542B7699" w14:textId="77777777" w:rsidR="00053D93" w:rsidRDefault="00260B75">
            <w:pPr>
              <w:ind w:left="10"/>
              <w:jc w:val="center"/>
            </w:pPr>
            <w:r>
              <w:rPr>
                <w:rFonts w:ascii="Malgan Gothic" w:eastAsia="Malgan Gothic" w:hAnsi="Malgan Gothic" w:cs="Malgan Gothic"/>
                <w:sz w:val="14"/>
              </w:rPr>
              <w:t>4/06/2024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2271A739" w14:textId="77777777" w:rsidR="00053D93" w:rsidRDefault="00260B75">
            <w:pPr>
              <w:ind w:right="79"/>
              <w:jc w:val="right"/>
            </w:pPr>
            <w:r>
              <w:rPr>
                <w:rFonts w:ascii="Malgan Gothic" w:eastAsia="Malgan Gothic" w:hAnsi="Malgan Gothic" w:cs="Malgan Gothic"/>
                <w:sz w:val="18"/>
              </w:rPr>
              <w:t>2,480.00</w:t>
            </w:r>
          </w:p>
        </w:tc>
      </w:tr>
      <w:tr w:rsidR="00053D93" w14:paraId="612FB7D5" w14:textId="77777777">
        <w:trPr>
          <w:trHeight w:val="528"/>
        </w:trPr>
        <w:tc>
          <w:tcPr>
            <w:tcW w:w="624" w:type="dxa"/>
            <w:gridSpan w:val="2"/>
            <w:tcBorders>
              <w:top w:val="single" w:sz="2" w:space="0" w:color="000000"/>
              <w:left w:val="single" w:sz="2" w:space="0" w:color="000000"/>
              <w:bottom w:val="single" w:sz="2" w:space="0" w:color="000000"/>
              <w:right w:val="single" w:sz="2" w:space="0" w:color="000000"/>
            </w:tcBorders>
          </w:tcPr>
          <w:p w14:paraId="265E180C"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02CD5BA8" w14:textId="77777777" w:rsidR="00053D93" w:rsidRDefault="00260B75">
            <w:pPr>
              <w:ind w:left="70"/>
            </w:pPr>
            <w:r>
              <w:rPr>
                <w:rFonts w:ascii="Malgan Gothic" w:eastAsia="Malgan Gothic" w:hAnsi="Malgan Gothic" w:cs="Malgan Gothic"/>
                <w:sz w:val="14"/>
              </w:rPr>
              <w:t>E542756463</w:t>
            </w:r>
          </w:p>
        </w:tc>
        <w:tc>
          <w:tcPr>
            <w:tcW w:w="1591" w:type="dxa"/>
            <w:tcBorders>
              <w:top w:val="single" w:sz="2" w:space="0" w:color="000000"/>
              <w:left w:val="single" w:sz="2" w:space="0" w:color="000000"/>
              <w:bottom w:val="single" w:sz="2" w:space="0" w:color="000000"/>
              <w:right w:val="single" w:sz="2" w:space="0" w:color="000000"/>
            </w:tcBorders>
          </w:tcPr>
          <w:p w14:paraId="1B41E099" w14:textId="77777777" w:rsidR="00053D93" w:rsidRDefault="00260B75">
            <w:pPr>
              <w:ind w:left="22"/>
              <w:jc w:val="center"/>
            </w:pPr>
            <w:r>
              <w:rPr>
                <w:rFonts w:ascii="Malgan Gothic" w:eastAsia="Malgan Gothic" w:hAnsi="Malgan Gothic" w:cs="Malgan Gothic"/>
                <w:sz w:val="14"/>
              </w:rPr>
              <w:t>2024-16153</w:t>
            </w:r>
          </w:p>
        </w:tc>
        <w:tc>
          <w:tcPr>
            <w:tcW w:w="1584" w:type="dxa"/>
            <w:tcBorders>
              <w:top w:val="single" w:sz="2" w:space="0" w:color="000000"/>
              <w:left w:val="single" w:sz="2" w:space="0" w:color="000000"/>
              <w:bottom w:val="single" w:sz="2" w:space="0" w:color="000000"/>
              <w:right w:val="single" w:sz="2" w:space="0" w:color="000000"/>
            </w:tcBorders>
          </w:tcPr>
          <w:p w14:paraId="495219A3" w14:textId="77777777" w:rsidR="00053D93" w:rsidRDefault="00260B75">
            <w:pPr>
              <w:ind w:left="7"/>
              <w:jc w:val="center"/>
            </w:pPr>
            <w:r>
              <w:rPr>
                <w:rFonts w:ascii="Malgan Gothic" w:eastAsia="Malgan Gothic" w:hAnsi="Malgan Gothic" w:cs="Malgan Gothic"/>
                <w:sz w:val="14"/>
              </w:rPr>
              <w:t>23105/2024</w:t>
            </w:r>
          </w:p>
        </w:tc>
        <w:tc>
          <w:tcPr>
            <w:tcW w:w="1912" w:type="dxa"/>
            <w:tcBorders>
              <w:top w:val="single" w:sz="2" w:space="0" w:color="000000"/>
              <w:left w:val="single" w:sz="2" w:space="0" w:color="000000"/>
              <w:bottom w:val="single" w:sz="2" w:space="0" w:color="000000"/>
              <w:right w:val="single" w:sz="2" w:space="0" w:color="000000"/>
            </w:tcBorders>
          </w:tcPr>
          <w:p w14:paraId="6DAE5AB4" w14:textId="77777777" w:rsidR="00053D93" w:rsidRDefault="00260B75">
            <w:pPr>
              <w:ind w:left="10"/>
              <w:jc w:val="center"/>
            </w:pPr>
            <w:r>
              <w:rPr>
                <w:rFonts w:ascii="Malgan Gothic" w:eastAsia="Malgan Gothic" w:hAnsi="Malgan Gothic" w:cs="Malgan Gothic"/>
                <w:sz w:val="14"/>
              </w:rPr>
              <w:t>5/06/2024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54DA9916" w14:textId="77777777" w:rsidR="00053D93" w:rsidRDefault="00260B75">
            <w:pPr>
              <w:ind w:right="79"/>
              <w:jc w:val="right"/>
            </w:pPr>
            <w:r>
              <w:rPr>
                <w:rFonts w:ascii="Malgan Gothic" w:eastAsia="Malgan Gothic" w:hAnsi="Malgan Gothic" w:cs="Malgan Gothic"/>
                <w:sz w:val="16"/>
              </w:rPr>
              <w:t>3,843.00</w:t>
            </w:r>
          </w:p>
        </w:tc>
      </w:tr>
      <w:tr w:rsidR="00053D93" w14:paraId="61300E52" w14:textId="77777777">
        <w:trPr>
          <w:trHeight w:val="530"/>
        </w:trPr>
        <w:tc>
          <w:tcPr>
            <w:tcW w:w="624" w:type="dxa"/>
            <w:gridSpan w:val="2"/>
            <w:tcBorders>
              <w:top w:val="single" w:sz="2" w:space="0" w:color="000000"/>
              <w:left w:val="single" w:sz="2" w:space="0" w:color="000000"/>
              <w:bottom w:val="single" w:sz="2" w:space="0" w:color="000000"/>
              <w:right w:val="single" w:sz="2" w:space="0" w:color="000000"/>
            </w:tcBorders>
          </w:tcPr>
          <w:p w14:paraId="7EAC5438"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3427F37D" w14:textId="77777777" w:rsidR="00053D93" w:rsidRDefault="00260B75">
            <w:pPr>
              <w:ind w:left="70"/>
            </w:pPr>
            <w:r>
              <w:rPr>
                <w:rFonts w:ascii="Malgan Gothic" w:eastAsia="Malgan Gothic" w:hAnsi="Malgan Gothic" w:cs="Malgan Gothic"/>
                <w:sz w:val="16"/>
              </w:rPr>
              <w:t>E542762277</w:t>
            </w:r>
          </w:p>
        </w:tc>
        <w:tc>
          <w:tcPr>
            <w:tcW w:w="1591" w:type="dxa"/>
            <w:tcBorders>
              <w:top w:val="single" w:sz="2" w:space="0" w:color="000000"/>
              <w:left w:val="single" w:sz="2" w:space="0" w:color="000000"/>
              <w:bottom w:val="single" w:sz="2" w:space="0" w:color="000000"/>
              <w:right w:val="single" w:sz="2" w:space="0" w:color="000000"/>
            </w:tcBorders>
          </w:tcPr>
          <w:p w14:paraId="7BB4C1B9" w14:textId="77777777" w:rsidR="00053D93" w:rsidRDefault="00260B75">
            <w:pPr>
              <w:ind w:left="14"/>
              <w:jc w:val="center"/>
            </w:pPr>
            <w:r>
              <w:rPr>
                <w:rFonts w:ascii="Malgan Gothic" w:eastAsia="Malgan Gothic" w:hAnsi="Malgan Gothic" w:cs="Malgan Gothic"/>
                <w:sz w:val="14"/>
              </w:rPr>
              <w:t>2024-16338</w:t>
            </w:r>
          </w:p>
        </w:tc>
        <w:tc>
          <w:tcPr>
            <w:tcW w:w="1584" w:type="dxa"/>
            <w:tcBorders>
              <w:top w:val="single" w:sz="2" w:space="0" w:color="000000"/>
              <w:left w:val="single" w:sz="2" w:space="0" w:color="000000"/>
              <w:bottom w:val="single" w:sz="2" w:space="0" w:color="000000"/>
              <w:right w:val="single" w:sz="2" w:space="0" w:color="000000"/>
            </w:tcBorders>
          </w:tcPr>
          <w:p w14:paraId="6078C2B4" w14:textId="77777777" w:rsidR="00053D93" w:rsidRDefault="00260B75">
            <w:pPr>
              <w:ind w:left="7"/>
              <w:jc w:val="center"/>
            </w:pPr>
            <w:r>
              <w:rPr>
                <w:rFonts w:ascii="Malgan Gothic" w:eastAsia="Malgan Gothic" w:hAnsi="Malgan Gothic" w:cs="Malgan Gothic"/>
                <w:sz w:val="16"/>
              </w:rPr>
              <w:t>28/06/2024</w:t>
            </w:r>
          </w:p>
        </w:tc>
        <w:tc>
          <w:tcPr>
            <w:tcW w:w="1912" w:type="dxa"/>
            <w:tcBorders>
              <w:top w:val="single" w:sz="2" w:space="0" w:color="000000"/>
              <w:left w:val="single" w:sz="2" w:space="0" w:color="000000"/>
              <w:bottom w:val="single" w:sz="2" w:space="0" w:color="000000"/>
              <w:right w:val="single" w:sz="2" w:space="0" w:color="000000"/>
            </w:tcBorders>
          </w:tcPr>
          <w:p w14:paraId="13D24DD5" w14:textId="77777777" w:rsidR="00053D93" w:rsidRDefault="00260B75">
            <w:pPr>
              <w:ind w:left="3"/>
              <w:jc w:val="center"/>
            </w:pPr>
            <w:r>
              <w:rPr>
                <w:rFonts w:ascii="Malgan Gothic" w:eastAsia="Malgan Gothic" w:hAnsi="Malgan Gothic" w:cs="Malgan Gothic"/>
                <w:sz w:val="14"/>
              </w:rPr>
              <w:t>5/06/2024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0600A113" w14:textId="77777777" w:rsidR="00053D93" w:rsidRDefault="00260B75">
            <w:pPr>
              <w:ind w:right="86"/>
              <w:jc w:val="right"/>
            </w:pPr>
            <w:r>
              <w:rPr>
                <w:rFonts w:ascii="Malgan Gothic" w:eastAsia="Malgan Gothic" w:hAnsi="Malgan Gothic" w:cs="Malgan Gothic"/>
                <w:sz w:val="16"/>
              </w:rPr>
              <w:t>3,600.00</w:t>
            </w:r>
          </w:p>
        </w:tc>
      </w:tr>
      <w:tr w:rsidR="00053D93" w14:paraId="3FEED66F"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0BA25761" w14:textId="77777777" w:rsidR="00053D93" w:rsidRDefault="00260B75">
            <w:pPr>
              <w:ind w:left="89"/>
            </w:pPr>
            <w:r>
              <w:rPr>
                <w:rFonts w:ascii="Malgan Gothic" w:eastAsia="Malgan Gothic" w:hAnsi="Malgan Gothic" w:cs="Malgan Gothic"/>
                <w:sz w:val="14"/>
              </w:rPr>
              <w:t>34</w:t>
            </w:r>
          </w:p>
        </w:tc>
        <w:tc>
          <w:tcPr>
            <w:tcW w:w="1229" w:type="dxa"/>
            <w:tcBorders>
              <w:top w:val="single" w:sz="2" w:space="0" w:color="000000"/>
              <w:left w:val="single" w:sz="2" w:space="0" w:color="000000"/>
              <w:bottom w:val="single" w:sz="2" w:space="0" w:color="000000"/>
              <w:right w:val="single" w:sz="2" w:space="0" w:color="000000"/>
            </w:tcBorders>
          </w:tcPr>
          <w:p w14:paraId="6DFED3D1" w14:textId="77777777" w:rsidR="00053D93" w:rsidRDefault="00260B75">
            <w:pPr>
              <w:ind w:left="63"/>
            </w:pPr>
            <w:r>
              <w:rPr>
                <w:rFonts w:ascii="Malgan Gothic" w:eastAsia="Malgan Gothic" w:hAnsi="Malgan Gothic" w:cs="Malgan Gothic"/>
                <w:sz w:val="16"/>
              </w:rPr>
              <w:t>E543030466</w:t>
            </w:r>
          </w:p>
        </w:tc>
        <w:tc>
          <w:tcPr>
            <w:tcW w:w="1591" w:type="dxa"/>
            <w:tcBorders>
              <w:top w:val="single" w:sz="2" w:space="0" w:color="000000"/>
              <w:left w:val="single" w:sz="2" w:space="0" w:color="000000"/>
              <w:bottom w:val="single" w:sz="2" w:space="0" w:color="000000"/>
              <w:right w:val="single" w:sz="2" w:space="0" w:color="000000"/>
            </w:tcBorders>
          </w:tcPr>
          <w:p w14:paraId="6410DFE0" w14:textId="77777777" w:rsidR="00053D93" w:rsidRDefault="00260B75">
            <w:pPr>
              <w:ind w:left="7"/>
              <w:jc w:val="center"/>
            </w:pPr>
            <w:r>
              <w:rPr>
                <w:rFonts w:ascii="Malgan Gothic" w:eastAsia="Malgan Gothic" w:hAnsi="Malgan Gothic" w:cs="Malgan Gothic"/>
                <w:sz w:val="14"/>
              </w:rPr>
              <w:t>2024-16653</w:t>
            </w:r>
          </w:p>
        </w:tc>
        <w:tc>
          <w:tcPr>
            <w:tcW w:w="1584" w:type="dxa"/>
            <w:tcBorders>
              <w:top w:val="single" w:sz="2" w:space="0" w:color="000000"/>
              <w:left w:val="single" w:sz="2" w:space="0" w:color="000000"/>
              <w:bottom w:val="single" w:sz="2" w:space="0" w:color="000000"/>
              <w:right w:val="single" w:sz="2" w:space="0" w:color="000000"/>
            </w:tcBorders>
          </w:tcPr>
          <w:p w14:paraId="76698464" w14:textId="77777777" w:rsidR="00053D93" w:rsidRDefault="00260B75">
            <w:pPr>
              <w:jc w:val="center"/>
            </w:pPr>
            <w:r>
              <w:rPr>
                <w:rFonts w:ascii="Malgan Gothic" w:eastAsia="Malgan Gothic" w:hAnsi="Malgan Gothic" w:cs="Malgan Gothic"/>
                <w:sz w:val="16"/>
              </w:rPr>
              <w:t>3/06/2024</w:t>
            </w:r>
          </w:p>
        </w:tc>
        <w:tc>
          <w:tcPr>
            <w:tcW w:w="1912" w:type="dxa"/>
            <w:tcBorders>
              <w:top w:val="single" w:sz="2" w:space="0" w:color="000000"/>
              <w:left w:val="single" w:sz="2" w:space="0" w:color="000000"/>
              <w:bottom w:val="single" w:sz="2" w:space="0" w:color="000000"/>
              <w:right w:val="single" w:sz="2" w:space="0" w:color="000000"/>
            </w:tcBorders>
          </w:tcPr>
          <w:p w14:paraId="4908DF5F" w14:textId="77777777" w:rsidR="00053D93" w:rsidRDefault="00260B75">
            <w:pPr>
              <w:ind w:left="3"/>
              <w:jc w:val="center"/>
            </w:pPr>
            <w:r>
              <w:rPr>
                <w:rFonts w:ascii="Malgan Gothic" w:eastAsia="Malgan Gothic" w:hAnsi="Malgan Gothic" w:cs="Malgan Gothic"/>
                <w:sz w:val="16"/>
              </w:rPr>
              <w:t>11/06/2024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746E20D7" w14:textId="77777777" w:rsidR="00053D93" w:rsidRDefault="00260B75">
            <w:pPr>
              <w:ind w:right="86"/>
              <w:jc w:val="right"/>
            </w:pPr>
            <w:r>
              <w:rPr>
                <w:rFonts w:ascii="Malgan Gothic" w:eastAsia="Malgan Gothic" w:hAnsi="Malgan Gothic" w:cs="Malgan Gothic"/>
                <w:sz w:val="16"/>
              </w:rPr>
              <w:t>1,820.00</w:t>
            </w:r>
          </w:p>
        </w:tc>
      </w:tr>
      <w:tr w:rsidR="00053D93" w14:paraId="3D69EA1E" w14:textId="77777777">
        <w:trPr>
          <w:trHeight w:val="528"/>
        </w:trPr>
        <w:tc>
          <w:tcPr>
            <w:tcW w:w="624" w:type="dxa"/>
            <w:gridSpan w:val="2"/>
            <w:tcBorders>
              <w:top w:val="single" w:sz="2" w:space="0" w:color="000000"/>
              <w:left w:val="single" w:sz="2" w:space="0" w:color="000000"/>
              <w:bottom w:val="single" w:sz="2" w:space="0" w:color="000000"/>
              <w:right w:val="single" w:sz="2" w:space="0" w:color="000000"/>
            </w:tcBorders>
          </w:tcPr>
          <w:p w14:paraId="48A543C1" w14:textId="77777777" w:rsidR="00053D93" w:rsidRDefault="00260B75">
            <w:pPr>
              <w:ind w:left="82"/>
            </w:pPr>
            <w:r>
              <w:rPr>
                <w:rFonts w:ascii="Malgan Gothic" w:eastAsia="Malgan Gothic" w:hAnsi="Malgan Gothic" w:cs="Malgan Gothic"/>
                <w:sz w:val="14"/>
              </w:rPr>
              <w:t>35</w:t>
            </w:r>
          </w:p>
        </w:tc>
        <w:tc>
          <w:tcPr>
            <w:tcW w:w="1229" w:type="dxa"/>
            <w:tcBorders>
              <w:top w:val="single" w:sz="2" w:space="0" w:color="000000"/>
              <w:left w:val="single" w:sz="2" w:space="0" w:color="000000"/>
              <w:bottom w:val="single" w:sz="2" w:space="0" w:color="000000"/>
              <w:right w:val="single" w:sz="2" w:space="0" w:color="000000"/>
            </w:tcBorders>
          </w:tcPr>
          <w:p w14:paraId="07251E61" w14:textId="77777777" w:rsidR="00053D93" w:rsidRDefault="00260B75">
            <w:pPr>
              <w:ind w:left="63"/>
            </w:pPr>
            <w:r>
              <w:rPr>
                <w:rFonts w:ascii="Malgan Gothic" w:eastAsia="Malgan Gothic" w:hAnsi="Malgan Gothic" w:cs="Malgan Gothic"/>
                <w:sz w:val="16"/>
              </w:rPr>
              <w:t>E543046443</w:t>
            </w:r>
          </w:p>
        </w:tc>
        <w:tc>
          <w:tcPr>
            <w:tcW w:w="1591" w:type="dxa"/>
            <w:tcBorders>
              <w:top w:val="single" w:sz="2" w:space="0" w:color="000000"/>
              <w:left w:val="single" w:sz="2" w:space="0" w:color="000000"/>
              <w:bottom w:val="single" w:sz="2" w:space="0" w:color="000000"/>
              <w:right w:val="single" w:sz="2" w:space="0" w:color="000000"/>
            </w:tcBorders>
          </w:tcPr>
          <w:p w14:paraId="360B2BDB" w14:textId="77777777" w:rsidR="00053D93" w:rsidRDefault="00260B75">
            <w:pPr>
              <w:ind w:left="7"/>
              <w:jc w:val="center"/>
            </w:pPr>
            <w:r>
              <w:rPr>
                <w:rFonts w:ascii="Malgan Gothic" w:eastAsia="Malgan Gothic" w:hAnsi="Malgan Gothic" w:cs="Malgan Gothic"/>
                <w:sz w:val="14"/>
              </w:rPr>
              <w:t>2024-16490</w:t>
            </w:r>
          </w:p>
        </w:tc>
        <w:tc>
          <w:tcPr>
            <w:tcW w:w="1584" w:type="dxa"/>
            <w:tcBorders>
              <w:top w:val="single" w:sz="2" w:space="0" w:color="000000"/>
              <w:left w:val="single" w:sz="2" w:space="0" w:color="000000"/>
              <w:bottom w:val="single" w:sz="2" w:space="0" w:color="000000"/>
              <w:right w:val="single" w:sz="2" w:space="0" w:color="000000"/>
            </w:tcBorders>
          </w:tcPr>
          <w:p w14:paraId="659E485F" w14:textId="77777777" w:rsidR="00053D93" w:rsidRDefault="00260B75">
            <w:pPr>
              <w:ind w:right="7"/>
              <w:jc w:val="center"/>
            </w:pPr>
            <w:r>
              <w:rPr>
                <w:rFonts w:ascii="Malgan Gothic" w:eastAsia="Malgan Gothic" w:hAnsi="Malgan Gothic" w:cs="Malgan Gothic"/>
                <w:sz w:val="14"/>
              </w:rPr>
              <w:t>30/05/2024</w:t>
            </w:r>
          </w:p>
        </w:tc>
        <w:tc>
          <w:tcPr>
            <w:tcW w:w="1912" w:type="dxa"/>
            <w:tcBorders>
              <w:top w:val="single" w:sz="2" w:space="0" w:color="000000"/>
              <w:left w:val="single" w:sz="2" w:space="0" w:color="000000"/>
              <w:bottom w:val="single" w:sz="2" w:space="0" w:color="000000"/>
              <w:right w:val="single" w:sz="2" w:space="0" w:color="000000"/>
            </w:tcBorders>
          </w:tcPr>
          <w:p w14:paraId="044B6039" w14:textId="77777777" w:rsidR="00053D93" w:rsidRDefault="00260B75">
            <w:pPr>
              <w:ind w:right="4"/>
              <w:jc w:val="center"/>
            </w:pPr>
            <w:r>
              <w:rPr>
                <w:rFonts w:ascii="Malgan Gothic" w:eastAsia="Malgan Gothic" w:hAnsi="Malgan Gothic" w:cs="Malgan Gothic"/>
                <w:sz w:val="14"/>
              </w:rPr>
              <w:t>11/06/2024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5AB719E9" w14:textId="77777777" w:rsidR="00053D93" w:rsidRDefault="00260B75">
            <w:pPr>
              <w:ind w:right="86"/>
              <w:jc w:val="right"/>
            </w:pPr>
            <w:r>
              <w:rPr>
                <w:rFonts w:ascii="Malgan Gothic" w:eastAsia="Malgan Gothic" w:hAnsi="Malgan Gothic" w:cs="Malgan Gothic"/>
                <w:sz w:val="14"/>
              </w:rPr>
              <w:t>320.00</w:t>
            </w:r>
          </w:p>
        </w:tc>
      </w:tr>
      <w:tr w:rsidR="00053D93" w14:paraId="3F543D82" w14:textId="77777777">
        <w:trPr>
          <w:trHeight w:val="530"/>
        </w:trPr>
        <w:tc>
          <w:tcPr>
            <w:tcW w:w="624" w:type="dxa"/>
            <w:gridSpan w:val="2"/>
            <w:tcBorders>
              <w:top w:val="single" w:sz="2" w:space="0" w:color="000000"/>
              <w:left w:val="single" w:sz="2" w:space="0" w:color="000000"/>
              <w:bottom w:val="single" w:sz="2" w:space="0" w:color="000000"/>
              <w:right w:val="single" w:sz="2" w:space="0" w:color="000000"/>
            </w:tcBorders>
          </w:tcPr>
          <w:p w14:paraId="23475F03" w14:textId="77777777" w:rsidR="00053D93" w:rsidRDefault="00260B75">
            <w:pPr>
              <w:ind w:left="82"/>
            </w:pPr>
            <w:r>
              <w:rPr>
                <w:rFonts w:ascii="Malgan Gothic" w:eastAsia="Malgan Gothic" w:hAnsi="Malgan Gothic" w:cs="Malgan Gothic"/>
                <w:sz w:val="14"/>
              </w:rPr>
              <w:t>36</w:t>
            </w:r>
          </w:p>
        </w:tc>
        <w:tc>
          <w:tcPr>
            <w:tcW w:w="1229" w:type="dxa"/>
            <w:tcBorders>
              <w:top w:val="single" w:sz="2" w:space="0" w:color="000000"/>
              <w:left w:val="single" w:sz="2" w:space="0" w:color="000000"/>
              <w:bottom w:val="single" w:sz="2" w:space="0" w:color="000000"/>
              <w:right w:val="single" w:sz="2" w:space="0" w:color="000000"/>
            </w:tcBorders>
          </w:tcPr>
          <w:p w14:paraId="0414AEF7" w14:textId="77777777" w:rsidR="00053D93" w:rsidRDefault="00260B75">
            <w:pPr>
              <w:ind w:left="63"/>
            </w:pPr>
            <w:r>
              <w:rPr>
                <w:rFonts w:ascii="Malgan Gothic" w:eastAsia="Malgan Gothic" w:hAnsi="Malgan Gothic" w:cs="Malgan Gothic"/>
                <w:sz w:val="16"/>
              </w:rPr>
              <w:t>E543048225</w:t>
            </w:r>
          </w:p>
        </w:tc>
        <w:tc>
          <w:tcPr>
            <w:tcW w:w="1591" w:type="dxa"/>
            <w:tcBorders>
              <w:top w:val="single" w:sz="2" w:space="0" w:color="000000"/>
              <w:left w:val="single" w:sz="2" w:space="0" w:color="000000"/>
              <w:bottom w:val="single" w:sz="2" w:space="0" w:color="000000"/>
              <w:right w:val="single" w:sz="2" w:space="0" w:color="000000"/>
            </w:tcBorders>
          </w:tcPr>
          <w:p w14:paraId="2888E80A" w14:textId="77777777" w:rsidR="00053D93" w:rsidRDefault="00260B75">
            <w:pPr>
              <w:jc w:val="center"/>
            </w:pPr>
            <w:r>
              <w:rPr>
                <w:rFonts w:ascii="Malgan Gothic" w:eastAsia="Malgan Gothic" w:hAnsi="Malgan Gothic" w:cs="Malgan Gothic"/>
                <w:sz w:val="14"/>
              </w:rPr>
              <w:t>2024-16674</w:t>
            </w:r>
          </w:p>
        </w:tc>
        <w:tc>
          <w:tcPr>
            <w:tcW w:w="1584" w:type="dxa"/>
            <w:tcBorders>
              <w:top w:val="single" w:sz="2" w:space="0" w:color="000000"/>
              <w:left w:val="single" w:sz="2" w:space="0" w:color="000000"/>
              <w:bottom w:val="single" w:sz="2" w:space="0" w:color="000000"/>
              <w:right w:val="single" w:sz="2" w:space="0" w:color="000000"/>
            </w:tcBorders>
          </w:tcPr>
          <w:p w14:paraId="273A84DA" w14:textId="77777777" w:rsidR="00053D93" w:rsidRDefault="00260B75">
            <w:pPr>
              <w:ind w:right="7"/>
              <w:jc w:val="center"/>
            </w:pPr>
            <w:r>
              <w:rPr>
                <w:rFonts w:ascii="Malgan Gothic" w:eastAsia="Malgan Gothic" w:hAnsi="Malgan Gothic" w:cs="Malgan Gothic"/>
                <w:sz w:val="16"/>
              </w:rPr>
              <w:t>31/05/2024</w:t>
            </w:r>
          </w:p>
        </w:tc>
        <w:tc>
          <w:tcPr>
            <w:tcW w:w="1912" w:type="dxa"/>
            <w:tcBorders>
              <w:top w:val="single" w:sz="2" w:space="0" w:color="000000"/>
              <w:left w:val="single" w:sz="2" w:space="0" w:color="000000"/>
              <w:bottom w:val="single" w:sz="2" w:space="0" w:color="000000"/>
              <w:right w:val="single" w:sz="2" w:space="0" w:color="000000"/>
            </w:tcBorders>
          </w:tcPr>
          <w:p w14:paraId="0B076209" w14:textId="77777777" w:rsidR="00053D93" w:rsidRDefault="00260B75">
            <w:pPr>
              <w:ind w:right="4"/>
              <w:jc w:val="center"/>
            </w:pPr>
            <w:r>
              <w:rPr>
                <w:rFonts w:ascii="Malgan Gothic" w:eastAsia="Malgan Gothic" w:hAnsi="Malgan Gothic" w:cs="Malgan Gothic"/>
                <w:sz w:val="16"/>
              </w:rPr>
              <w:t>11/06/2024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3548A7A5" w14:textId="77777777" w:rsidR="00053D93" w:rsidRDefault="00260B75">
            <w:pPr>
              <w:ind w:right="94"/>
              <w:jc w:val="right"/>
            </w:pPr>
            <w:r>
              <w:rPr>
                <w:rFonts w:ascii="Malgan Gothic" w:eastAsia="Malgan Gothic" w:hAnsi="Malgan Gothic" w:cs="Malgan Gothic"/>
                <w:sz w:val="14"/>
              </w:rPr>
              <w:t>40.00</w:t>
            </w:r>
          </w:p>
        </w:tc>
      </w:tr>
      <w:tr w:rsidR="00053D93" w14:paraId="7B2E901E" w14:textId="77777777">
        <w:trPr>
          <w:trHeight w:val="528"/>
        </w:trPr>
        <w:tc>
          <w:tcPr>
            <w:tcW w:w="624" w:type="dxa"/>
            <w:gridSpan w:val="2"/>
            <w:tcBorders>
              <w:top w:val="single" w:sz="2" w:space="0" w:color="000000"/>
              <w:left w:val="single" w:sz="2" w:space="0" w:color="000000"/>
              <w:bottom w:val="single" w:sz="2" w:space="0" w:color="000000"/>
              <w:right w:val="single" w:sz="2" w:space="0" w:color="000000"/>
            </w:tcBorders>
          </w:tcPr>
          <w:p w14:paraId="1DC87287" w14:textId="77777777" w:rsidR="00053D93" w:rsidRDefault="00260B75">
            <w:pPr>
              <w:ind w:left="75"/>
            </w:pPr>
            <w:r>
              <w:rPr>
                <w:rFonts w:ascii="Malgan Gothic" w:eastAsia="Malgan Gothic" w:hAnsi="Malgan Gothic" w:cs="Malgan Gothic"/>
                <w:sz w:val="14"/>
              </w:rPr>
              <w:t>37</w:t>
            </w:r>
          </w:p>
        </w:tc>
        <w:tc>
          <w:tcPr>
            <w:tcW w:w="1229" w:type="dxa"/>
            <w:tcBorders>
              <w:top w:val="single" w:sz="2" w:space="0" w:color="000000"/>
              <w:left w:val="single" w:sz="2" w:space="0" w:color="000000"/>
              <w:bottom w:val="single" w:sz="2" w:space="0" w:color="000000"/>
              <w:right w:val="single" w:sz="2" w:space="0" w:color="000000"/>
            </w:tcBorders>
          </w:tcPr>
          <w:p w14:paraId="2DDE77C4" w14:textId="77777777" w:rsidR="00053D93" w:rsidRDefault="00260B75">
            <w:pPr>
              <w:ind w:left="56"/>
            </w:pPr>
            <w:r>
              <w:rPr>
                <w:rFonts w:ascii="Malgan Gothic" w:eastAsia="Malgan Gothic" w:hAnsi="Malgan Gothic" w:cs="Malgan Gothic"/>
                <w:sz w:val="16"/>
              </w:rPr>
              <w:t>E5431 10133</w:t>
            </w:r>
          </w:p>
        </w:tc>
        <w:tc>
          <w:tcPr>
            <w:tcW w:w="1591" w:type="dxa"/>
            <w:tcBorders>
              <w:top w:val="single" w:sz="2" w:space="0" w:color="000000"/>
              <w:left w:val="single" w:sz="2" w:space="0" w:color="000000"/>
              <w:bottom w:val="single" w:sz="2" w:space="0" w:color="000000"/>
              <w:right w:val="single" w:sz="2" w:space="0" w:color="000000"/>
            </w:tcBorders>
          </w:tcPr>
          <w:p w14:paraId="4AA5620F" w14:textId="77777777" w:rsidR="00053D93" w:rsidRDefault="00260B75">
            <w:pPr>
              <w:ind w:right="7"/>
              <w:jc w:val="center"/>
            </w:pPr>
            <w:r>
              <w:rPr>
                <w:rFonts w:ascii="Malgan Gothic" w:eastAsia="Malgan Gothic" w:hAnsi="Malgan Gothic" w:cs="Malgan Gothic"/>
                <w:sz w:val="14"/>
              </w:rPr>
              <w:t>2024-16977</w:t>
            </w:r>
          </w:p>
        </w:tc>
        <w:tc>
          <w:tcPr>
            <w:tcW w:w="1584" w:type="dxa"/>
            <w:tcBorders>
              <w:top w:val="single" w:sz="2" w:space="0" w:color="000000"/>
              <w:left w:val="single" w:sz="2" w:space="0" w:color="000000"/>
              <w:bottom w:val="single" w:sz="2" w:space="0" w:color="000000"/>
              <w:right w:val="single" w:sz="2" w:space="0" w:color="000000"/>
            </w:tcBorders>
          </w:tcPr>
          <w:p w14:paraId="45AFBAB5" w14:textId="77777777" w:rsidR="00053D93" w:rsidRDefault="00260B75">
            <w:pPr>
              <w:ind w:right="7"/>
              <w:jc w:val="center"/>
            </w:pPr>
            <w:r>
              <w:rPr>
                <w:rFonts w:ascii="Malgan Gothic" w:eastAsia="Malgan Gothic" w:hAnsi="Malgan Gothic" w:cs="Malgan Gothic"/>
                <w:sz w:val="16"/>
              </w:rPr>
              <w:t>1/06/2024</w:t>
            </w:r>
          </w:p>
        </w:tc>
        <w:tc>
          <w:tcPr>
            <w:tcW w:w="1912" w:type="dxa"/>
            <w:tcBorders>
              <w:top w:val="single" w:sz="2" w:space="0" w:color="000000"/>
              <w:left w:val="single" w:sz="2" w:space="0" w:color="000000"/>
              <w:bottom w:val="single" w:sz="2" w:space="0" w:color="000000"/>
              <w:right w:val="single" w:sz="2" w:space="0" w:color="000000"/>
            </w:tcBorders>
          </w:tcPr>
          <w:p w14:paraId="019A82C1" w14:textId="77777777" w:rsidR="00053D93" w:rsidRDefault="00260B75">
            <w:pPr>
              <w:ind w:right="12"/>
              <w:jc w:val="center"/>
            </w:pPr>
            <w:r>
              <w:rPr>
                <w:rFonts w:ascii="Malgan Gothic" w:eastAsia="Malgan Gothic" w:hAnsi="Malgan Gothic" w:cs="Malgan Gothic"/>
                <w:sz w:val="16"/>
              </w:rPr>
              <w:t>12/06/2024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1F96E727" w14:textId="77777777" w:rsidR="00053D93" w:rsidRDefault="00260B75">
            <w:pPr>
              <w:ind w:right="94"/>
              <w:jc w:val="right"/>
            </w:pPr>
            <w:r>
              <w:rPr>
                <w:rFonts w:ascii="Malgan Gothic" w:eastAsia="Malgan Gothic" w:hAnsi="Malgan Gothic" w:cs="Malgan Gothic"/>
                <w:sz w:val="14"/>
              </w:rPr>
              <w:t>117.95</w:t>
            </w:r>
          </w:p>
        </w:tc>
      </w:tr>
      <w:tr w:rsidR="00053D93" w14:paraId="2CD2D709" w14:textId="77777777">
        <w:trPr>
          <w:trHeight w:val="530"/>
        </w:trPr>
        <w:tc>
          <w:tcPr>
            <w:tcW w:w="624" w:type="dxa"/>
            <w:gridSpan w:val="2"/>
            <w:tcBorders>
              <w:top w:val="single" w:sz="2" w:space="0" w:color="000000"/>
              <w:left w:val="single" w:sz="2" w:space="0" w:color="000000"/>
              <w:bottom w:val="single" w:sz="2" w:space="0" w:color="000000"/>
              <w:right w:val="single" w:sz="2" w:space="0" w:color="000000"/>
            </w:tcBorders>
          </w:tcPr>
          <w:p w14:paraId="445BC925"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10406470" w14:textId="77777777" w:rsidR="00053D93" w:rsidRDefault="00260B75">
            <w:pPr>
              <w:ind w:left="56"/>
            </w:pPr>
            <w:r>
              <w:rPr>
                <w:rFonts w:ascii="Malgan Gothic" w:eastAsia="Malgan Gothic" w:hAnsi="Malgan Gothic" w:cs="Malgan Gothic"/>
                <w:sz w:val="14"/>
              </w:rPr>
              <w:t>E543165981</w:t>
            </w:r>
          </w:p>
        </w:tc>
        <w:tc>
          <w:tcPr>
            <w:tcW w:w="1591" w:type="dxa"/>
            <w:tcBorders>
              <w:top w:val="single" w:sz="2" w:space="0" w:color="000000"/>
              <w:left w:val="single" w:sz="2" w:space="0" w:color="000000"/>
              <w:bottom w:val="single" w:sz="2" w:space="0" w:color="000000"/>
              <w:right w:val="single" w:sz="2" w:space="0" w:color="000000"/>
            </w:tcBorders>
          </w:tcPr>
          <w:p w14:paraId="1159E7EB" w14:textId="77777777" w:rsidR="00053D93" w:rsidRDefault="00260B75">
            <w:pPr>
              <w:ind w:right="14"/>
              <w:jc w:val="center"/>
            </w:pPr>
            <w:r>
              <w:rPr>
                <w:rFonts w:ascii="Malgan Gothic" w:eastAsia="Malgan Gothic" w:hAnsi="Malgan Gothic" w:cs="Malgan Gothic"/>
                <w:sz w:val="14"/>
              </w:rPr>
              <w:t>2024-16338</w:t>
            </w:r>
          </w:p>
        </w:tc>
        <w:tc>
          <w:tcPr>
            <w:tcW w:w="1584" w:type="dxa"/>
            <w:tcBorders>
              <w:top w:val="single" w:sz="2" w:space="0" w:color="000000"/>
              <w:left w:val="single" w:sz="2" w:space="0" w:color="000000"/>
              <w:bottom w:val="single" w:sz="2" w:space="0" w:color="000000"/>
              <w:right w:val="single" w:sz="2" w:space="0" w:color="000000"/>
            </w:tcBorders>
          </w:tcPr>
          <w:p w14:paraId="4122E3EF" w14:textId="77777777" w:rsidR="00053D93" w:rsidRDefault="00260B75">
            <w:pPr>
              <w:ind w:right="22"/>
              <w:jc w:val="center"/>
            </w:pPr>
            <w:r>
              <w:rPr>
                <w:rFonts w:ascii="Malgan Gothic" w:eastAsia="Malgan Gothic" w:hAnsi="Malgan Gothic" w:cs="Malgan Gothic"/>
                <w:sz w:val="16"/>
              </w:rPr>
              <w:t>29/05/2024</w:t>
            </w:r>
          </w:p>
        </w:tc>
        <w:tc>
          <w:tcPr>
            <w:tcW w:w="1912" w:type="dxa"/>
            <w:tcBorders>
              <w:top w:val="single" w:sz="2" w:space="0" w:color="000000"/>
              <w:left w:val="single" w:sz="2" w:space="0" w:color="000000"/>
              <w:bottom w:val="single" w:sz="2" w:space="0" w:color="000000"/>
              <w:right w:val="single" w:sz="2" w:space="0" w:color="000000"/>
            </w:tcBorders>
          </w:tcPr>
          <w:p w14:paraId="728F1F30" w14:textId="77777777" w:rsidR="00053D93" w:rsidRDefault="00260B75">
            <w:pPr>
              <w:ind w:right="12"/>
              <w:jc w:val="center"/>
            </w:pPr>
            <w:r>
              <w:rPr>
                <w:rFonts w:ascii="Malgan Gothic" w:eastAsia="Malgan Gothic" w:hAnsi="Malgan Gothic" w:cs="Malgan Gothic"/>
                <w:sz w:val="14"/>
              </w:rPr>
              <w:t>1 3/06/2024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77AC6CB2" w14:textId="77777777" w:rsidR="00053D93" w:rsidRDefault="00260B75">
            <w:pPr>
              <w:ind w:right="94"/>
              <w:jc w:val="right"/>
            </w:pPr>
            <w:r>
              <w:rPr>
                <w:rFonts w:ascii="Malgan Gothic" w:eastAsia="Malgan Gothic" w:hAnsi="Malgan Gothic" w:cs="Malgan Gothic"/>
                <w:sz w:val="18"/>
              </w:rPr>
              <w:t>2,450.00</w:t>
            </w:r>
          </w:p>
        </w:tc>
      </w:tr>
      <w:tr w:rsidR="00053D93" w14:paraId="4C9BC612"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2F903D2D" w14:textId="77777777" w:rsidR="00053D93" w:rsidRDefault="00260B75">
            <w:pPr>
              <w:ind w:left="75"/>
            </w:pPr>
            <w:r>
              <w:rPr>
                <w:rFonts w:ascii="Malgan Gothic" w:eastAsia="Malgan Gothic" w:hAnsi="Malgan Gothic" w:cs="Malgan Gothic"/>
                <w:sz w:val="14"/>
              </w:rPr>
              <w:t>39</w:t>
            </w:r>
          </w:p>
        </w:tc>
        <w:tc>
          <w:tcPr>
            <w:tcW w:w="1229" w:type="dxa"/>
            <w:tcBorders>
              <w:top w:val="single" w:sz="2" w:space="0" w:color="000000"/>
              <w:left w:val="single" w:sz="2" w:space="0" w:color="000000"/>
              <w:bottom w:val="single" w:sz="2" w:space="0" w:color="000000"/>
              <w:right w:val="single" w:sz="2" w:space="0" w:color="000000"/>
            </w:tcBorders>
          </w:tcPr>
          <w:p w14:paraId="4B87B712" w14:textId="77777777" w:rsidR="00053D93" w:rsidRDefault="00260B75">
            <w:pPr>
              <w:ind w:left="49"/>
            </w:pPr>
            <w:r>
              <w:rPr>
                <w:rFonts w:ascii="Malgan Gothic" w:eastAsia="Malgan Gothic" w:hAnsi="Malgan Gothic" w:cs="Malgan Gothic"/>
                <w:sz w:val="16"/>
              </w:rPr>
              <w:t>E544634187</w:t>
            </w:r>
          </w:p>
        </w:tc>
        <w:tc>
          <w:tcPr>
            <w:tcW w:w="1591" w:type="dxa"/>
            <w:tcBorders>
              <w:top w:val="single" w:sz="2" w:space="0" w:color="000000"/>
              <w:left w:val="single" w:sz="2" w:space="0" w:color="000000"/>
              <w:bottom w:val="single" w:sz="2" w:space="0" w:color="000000"/>
              <w:right w:val="single" w:sz="2" w:space="0" w:color="000000"/>
            </w:tcBorders>
          </w:tcPr>
          <w:p w14:paraId="30871192" w14:textId="77777777" w:rsidR="00053D93" w:rsidRDefault="00260B75">
            <w:pPr>
              <w:ind w:right="22"/>
              <w:jc w:val="center"/>
            </w:pPr>
            <w:r>
              <w:rPr>
                <w:rFonts w:ascii="Malgan Gothic" w:eastAsia="Malgan Gothic" w:hAnsi="Malgan Gothic" w:cs="Malgan Gothic"/>
                <w:sz w:val="14"/>
              </w:rPr>
              <w:t>2024-14565</w:t>
            </w:r>
          </w:p>
        </w:tc>
        <w:tc>
          <w:tcPr>
            <w:tcW w:w="1584" w:type="dxa"/>
            <w:tcBorders>
              <w:top w:val="single" w:sz="2" w:space="0" w:color="000000"/>
              <w:left w:val="single" w:sz="2" w:space="0" w:color="000000"/>
              <w:bottom w:val="single" w:sz="2" w:space="0" w:color="000000"/>
              <w:right w:val="single" w:sz="2" w:space="0" w:color="000000"/>
            </w:tcBorders>
          </w:tcPr>
          <w:p w14:paraId="48B9D452" w14:textId="77777777" w:rsidR="00053D93" w:rsidRDefault="00260B75">
            <w:pPr>
              <w:ind w:right="14"/>
              <w:jc w:val="center"/>
            </w:pPr>
            <w:r>
              <w:rPr>
                <w:rFonts w:ascii="Malgan Gothic" w:eastAsia="Malgan Gothic" w:hAnsi="Malgan Gothic" w:cs="Malgan Gothic"/>
                <w:sz w:val="16"/>
              </w:rPr>
              <w:t>14/06/2024</w:t>
            </w:r>
          </w:p>
        </w:tc>
        <w:tc>
          <w:tcPr>
            <w:tcW w:w="1912" w:type="dxa"/>
            <w:tcBorders>
              <w:top w:val="single" w:sz="2" w:space="0" w:color="000000"/>
              <w:left w:val="single" w:sz="2" w:space="0" w:color="000000"/>
              <w:bottom w:val="single" w:sz="2" w:space="0" w:color="000000"/>
              <w:right w:val="single" w:sz="2" w:space="0" w:color="000000"/>
            </w:tcBorders>
          </w:tcPr>
          <w:p w14:paraId="1C13362B" w14:textId="77777777" w:rsidR="00053D93" w:rsidRDefault="00260B75">
            <w:pPr>
              <w:ind w:right="19"/>
              <w:jc w:val="center"/>
            </w:pPr>
            <w:r>
              <w:rPr>
                <w:rFonts w:ascii="Malgan Gothic" w:eastAsia="Malgan Gothic" w:hAnsi="Malgan Gothic" w:cs="Malgan Gothic"/>
                <w:sz w:val="14"/>
              </w:rPr>
              <w:t>12/07/2024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2811C413" w14:textId="77777777" w:rsidR="00053D93" w:rsidRDefault="00260B75">
            <w:pPr>
              <w:ind w:right="94"/>
              <w:jc w:val="right"/>
            </w:pPr>
            <w:r>
              <w:rPr>
                <w:rFonts w:ascii="Malgan Gothic" w:eastAsia="Malgan Gothic" w:hAnsi="Malgan Gothic" w:cs="Malgan Gothic"/>
                <w:sz w:val="18"/>
              </w:rPr>
              <w:t>2,050.20</w:t>
            </w:r>
          </w:p>
        </w:tc>
      </w:tr>
      <w:tr w:rsidR="00053D93" w14:paraId="353C3A85"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0F0A9116" w14:textId="77777777" w:rsidR="00053D93" w:rsidRDefault="00260B75">
            <w:pPr>
              <w:ind w:left="60"/>
            </w:pPr>
            <w:r>
              <w:rPr>
                <w:rFonts w:ascii="Malgan Gothic" w:eastAsia="Malgan Gothic" w:hAnsi="Malgan Gothic" w:cs="Malgan Gothic"/>
                <w:sz w:val="14"/>
              </w:rPr>
              <w:t>40</w:t>
            </w:r>
          </w:p>
        </w:tc>
        <w:tc>
          <w:tcPr>
            <w:tcW w:w="1229" w:type="dxa"/>
            <w:tcBorders>
              <w:top w:val="single" w:sz="2" w:space="0" w:color="000000"/>
              <w:left w:val="single" w:sz="2" w:space="0" w:color="000000"/>
              <w:bottom w:val="single" w:sz="2" w:space="0" w:color="000000"/>
              <w:right w:val="single" w:sz="2" w:space="0" w:color="000000"/>
            </w:tcBorders>
          </w:tcPr>
          <w:p w14:paraId="236CA5BA" w14:textId="77777777" w:rsidR="00053D93" w:rsidRDefault="00260B75">
            <w:pPr>
              <w:ind w:left="49"/>
            </w:pPr>
            <w:r>
              <w:rPr>
                <w:rFonts w:ascii="Malgan Gothic" w:eastAsia="Malgan Gothic" w:hAnsi="Malgan Gothic" w:cs="Malgan Gothic"/>
                <w:sz w:val="14"/>
              </w:rPr>
              <w:t>E544824075</w:t>
            </w:r>
          </w:p>
        </w:tc>
        <w:tc>
          <w:tcPr>
            <w:tcW w:w="1591" w:type="dxa"/>
            <w:tcBorders>
              <w:top w:val="single" w:sz="2" w:space="0" w:color="000000"/>
              <w:left w:val="single" w:sz="2" w:space="0" w:color="000000"/>
              <w:bottom w:val="single" w:sz="2" w:space="0" w:color="000000"/>
              <w:right w:val="single" w:sz="2" w:space="0" w:color="000000"/>
            </w:tcBorders>
          </w:tcPr>
          <w:p w14:paraId="1A1E94E8" w14:textId="77777777" w:rsidR="00053D93" w:rsidRDefault="00260B75">
            <w:pPr>
              <w:ind w:right="22"/>
              <w:jc w:val="center"/>
            </w:pPr>
            <w:r>
              <w:rPr>
                <w:rFonts w:ascii="Malgan Gothic" w:eastAsia="Malgan Gothic" w:hAnsi="Malgan Gothic" w:cs="Malgan Gothic"/>
                <w:sz w:val="14"/>
              </w:rPr>
              <w:t>2024-18074</w:t>
            </w:r>
          </w:p>
        </w:tc>
        <w:tc>
          <w:tcPr>
            <w:tcW w:w="1584" w:type="dxa"/>
            <w:tcBorders>
              <w:top w:val="single" w:sz="2" w:space="0" w:color="000000"/>
              <w:left w:val="single" w:sz="2" w:space="0" w:color="000000"/>
              <w:bottom w:val="single" w:sz="2" w:space="0" w:color="000000"/>
              <w:right w:val="single" w:sz="2" w:space="0" w:color="000000"/>
            </w:tcBorders>
          </w:tcPr>
          <w:p w14:paraId="224354EF" w14:textId="77777777" w:rsidR="00053D93" w:rsidRDefault="00260B75">
            <w:pPr>
              <w:ind w:right="36"/>
              <w:jc w:val="center"/>
            </w:pPr>
            <w:r>
              <w:rPr>
                <w:rFonts w:ascii="Malgan Gothic" w:eastAsia="Malgan Gothic" w:hAnsi="Malgan Gothic" w:cs="Malgan Gothic"/>
                <w:sz w:val="16"/>
              </w:rPr>
              <w:t>4/07/2024</w:t>
            </w:r>
          </w:p>
        </w:tc>
        <w:tc>
          <w:tcPr>
            <w:tcW w:w="1912" w:type="dxa"/>
            <w:tcBorders>
              <w:top w:val="single" w:sz="2" w:space="0" w:color="000000"/>
              <w:left w:val="single" w:sz="2" w:space="0" w:color="000000"/>
              <w:bottom w:val="single" w:sz="2" w:space="0" w:color="000000"/>
              <w:right w:val="single" w:sz="2" w:space="0" w:color="000000"/>
            </w:tcBorders>
          </w:tcPr>
          <w:p w14:paraId="0C1E27B3" w14:textId="77777777" w:rsidR="00053D93" w:rsidRDefault="00260B75">
            <w:pPr>
              <w:ind w:right="26"/>
              <w:jc w:val="center"/>
            </w:pPr>
            <w:r>
              <w:rPr>
                <w:rFonts w:ascii="Malgan Gothic" w:eastAsia="Malgan Gothic" w:hAnsi="Malgan Gothic" w:cs="Malgan Gothic"/>
                <w:sz w:val="16"/>
              </w:rPr>
              <w:t>1 6/07/2024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7BE5AD74" w14:textId="77777777" w:rsidR="00053D93" w:rsidRDefault="00260B75">
            <w:pPr>
              <w:ind w:right="101"/>
              <w:jc w:val="right"/>
            </w:pPr>
            <w:r>
              <w:rPr>
                <w:rFonts w:ascii="Malgan Gothic" w:eastAsia="Malgan Gothic" w:hAnsi="Malgan Gothic" w:cs="Malgan Gothic"/>
                <w:sz w:val="16"/>
              </w:rPr>
              <w:t>1,360.00</w:t>
            </w:r>
          </w:p>
        </w:tc>
      </w:tr>
      <w:tr w:rsidR="00053D93" w14:paraId="5884C59E" w14:textId="77777777">
        <w:trPr>
          <w:trHeight w:val="526"/>
        </w:trPr>
        <w:tc>
          <w:tcPr>
            <w:tcW w:w="624" w:type="dxa"/>
            <w:gridSpan w:val="2"/>
            <w:tcBorders>
              <w:top w:val="single" w:sz="2" w:space="0" w:color="000000"/>
              <w:left w:val="single" w:sz="2" w:space="0" w:color="000000"/>
              <w:bottom w:val="single" w:sz="2" w:space="0" w:color="000000"/>
              <w:right w:val="single" w:sz="2" w:space="0" w:color="000000"/>
            </w:tcBorders>
          </w:tcPr>
          <w:p w14:paraId="629DD210"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5B90902B" w14:textId="77777777" w:rsidR="00053D93" w:rsidRDefault="00260B75">
            <w:pPr>
              <w:ind w:left="41"/>
            </w:pPr>
            <w:r>
              <w:rPr>
                <w:rFonts w:ascii="Malgan Gothic" w:eastAsia="Malgan Gothic" w:hAnsi="Malgan Gothic" w:cs="Malgan Gothic"/>
                <w:sz w:val="16"/>
              </w:rPr>
              <w:t>E545012449</w:t>
            </w:r>
          </w:p>
        </w:tc>
        <w:tc>
          <w:tcPr>
            <w:tcW w:w="1591" w:type="dxa"/>
            <w:tcBorders>
              <w:top w:val="single" w:sz="2" w:space="0" w:color="000000"/>
              <w:left w:val="single" w:sz="2" w:space="0" w:color="000000"/>
              <w:bottom w:val="single" w:sz="2" w:space="0" w:color="000000"/>
              <w:right w:val="single" w:sz="2" w:space="0" w:color="000000"/>
            </w:tcBorders>
          </w:tcPr>
          <w:p w14:paraId="53F7B216" w14:textId="77777777" w:rsidR="00053D93" w:rsidRDefault="00260B75">
            <w:pPr>
              <w:ind w:right="29"/>
              <w:jc w:val="center"/>
            </w:pPr>
            <w:r>
              <w:rPr>
                <w:rFonts w:ascii="Malgan Gothic" w:eastAsia="Malgan Gothic" w:hAnsi="Malgan Gothic" w:cs="Malgan Gothic"/>
                <w:sz w:val="14"/>
              </w:rPr>
              <w:t>2024-18664</w:t>
            </w:r>
          </w:p>
        </w:tc>
        <w:tc>
          <w:tcPr>
            <w:tcW w:w="1584" w:type="dxa"/>
            <w:tcBorders>
              <w:top w:val="single" w:sz="2" w:space="0" w:color="000000"/>
              <w:left w:val="single" w:sz="2" w:space="0" w:color="000000"/>
              <w:bottom w:val="single" w:sz="2" w:space="0" w:color="000000"/>
              <w:right w:val="single" w:sz="2" w:space="0" w:color="000000"/>
            </w:tcBorders>
          </w:tcPr>
          <w:p w14:paraId="6077E87B" w14:textId="77777777" w:rsidR="00053D93" w:rsidRDefault="00260B75">
            <w:pPr>
              <w:ind w:right="29"/>
              <w:jc w:val="center"/>
            </w:pPr>
            <w:r>
              <w:rPr>
                <w:rFonts w:ascii="Malgan Gothic" w:eastAsia="Malgan Gothic" w:hAnsi="Malgan Gothic" w:cs="Malgan Gothic"/>
                <w:sz w:val="14"/>
              </w:rPr>
              <w:t>11/03/2024</w:t>
            </w:r>
          </w:p>
        </w:tc>
        <w:tc>
          <w:tcPr>
            <w:tcW w:w="1912" w:type="dxa"/>
            <w:tcBorders>
              <w:top w:val="single" w:sz="2" w:space="0" w:color="000000"/>
              <w:left w:val="single" w:sz="2" w:space="0" w:color="000000"/>
              <w:bottom w:val="single" w:sz="2" w:space="0" w:color="000000"/>
              <w:right w:val="single" w:sz="2" w:space="0" w:color="000000"/>
            </w:tcBorders>
          </w:tcPr>
          <w:p w14:paraId="731EA580" w14:textId="77777777" w:rsidR="00053D93" w:rsidRDefault="00260B75">
            <w:pPr>
              <w:ind w:right="26"/>
              <w:jc w:val="center"/>
            </w:pPr>
            <w:r>
              <w:rPr>
                <w:rFonts w:ascii="Malgan Gothic" w:eastAsia="Malgan Gothic" w:hAnsi="Malgan Gothic" w:cs="Malgan Gothic"/>
                <w:sz w:val="14"/>
              </w:rPr>
              <w:t>17/07/2024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79C01223" w14:textId="77777777" w:rsidR="00053D93" w:rsidRDefault="00260B75">
            <w:pPr>
              <w:ind w:right="101"/>
              <w:jc w:val="right"/>
            </w:pPr>
            <w:r>
              <w:rPr>
                <w:rFonts w:ascii="Malgan Gothic" w:eastAsia="Malgan Gothic" w:hAnsi="Malgan Gothic" w:cs="Malgan Gothic"/>
                <w:sz w:val="14"/>
              </w:rPr>
              <w:t>275.00</w:t>
            </w:r>
          </w:p>
        </w:tc>
      </w:tr>
      <w:tr w:rsidR="00053D93" w14:paraId="50F9E3F6" w14:textId="77777777">
        <w:trPr>
          <w:trHeight w:val="526"/>
        </w:trPr>
        <w:tc>
          <w:tcPr>
            <w:tcW w:w="624" w:type="dxa"/>
            <w:gridSpan w:val="2"/>
            <w:tcBorders>
              <w:top w:val="single" w:sz="2" w:space="0" w:color="000000"/>
              <w:left w:val="single" w:sz="2" w:space="0" w:color="000000"/>
              <w:bottom w:val="single" w:sz="2" w:space="0" w:color="000000"/>
              <w:right w:val="single" w:sz="2" w:space="0" w:color="000000"/>
            </w:tcBorders>
          </w:tcPr>
          <w:p w14:paraId="789E36CE" w14:textId="77777777" w:rsidR="00053D93" w:rsidRDefault="00260B75">
            <w:pPr>
              <w:ind w:left="53"/>
            </w:pPr>
            <w:r>
              <w:rPr>
                <w:rFonts w:ascii="Malgan Gothic" w:eastAsia="Malgan Gothic" w:hAnsi="Malgan Gothic" w:cs="Malgan Gothic"/>
                <w:sz w:val="14"/>
              </w:rPr>
              <w:t>42</w:t>
            </w:r>
          </w:p>
        </w:tc>
        <w:tc>
          <w:tcPr>
            <w:tcW w:w="1229" w:type="dxa"/>
            <w:tcBorders>
              <w:top w:val="single" w:sz="2" w:space="0" w:color="000000"/>
              <w:left w:val="single" w:sz="2" w:space="0" w:color="000000"/>
              <w:bottom w:val="single" w:sz="2" w:space="0" w:color="000000"/>
              <w:right w:val="single" w:sz="2" w:space="0" w:color="000000"/>
            </w:tcBorders>
          </w:tcPr>
          <w:p w14:paraId="68A97911" w14:textId="77777777" w:rsidR="00053D93" w:rsidRDefault="00260B75">
            <w:pPr>
              <w:ind w:left="41"/>
            </w:pPr>
            <w:r>
              <w:rPr>
                <w:rFonts w:ascii="Malgan Gothic" w:eastAsia="Malgan Gothic" w:hAnsi="Malgan Gothic" w:cs="Malgan Gothic"/>
                <w:sz w:val="16"/>
              </w:rPr>
              <w:t>E545151864</w:t>
            </w:r>
          </w:p>
        </w:tc>
        <w:tc>
          <w:tcPr>
            <w:tcW w:w="1591" w:type="dxa"/>
            <w:tcBorders>
              <w:top w:val="single" w:sz="2" w:space="0" w:color="000000"/>
              <w:left w:val="single" w:sz="2" w:space="0" w:color="000000"/>
              <w:bottom w:val="single" w:sz="2" w:space="0" w:color="000000"/>
              <w:right w:val="single" w:sz="2" w:space="0" w:color="000000"/>
            </w:tcBorders>
          </w:tcPr>
          <w:p w14:paraId="4896614F" w14:textId="77777777" w:rsidR="00053D93" w:rsidRDefault="00260B75">
            <w:pPr>
              <w:ind w:right="36"/>
              <w:jc w:val="center"/>
            </w:pPr>
            <w:r>
              <w:rPr>
                <w:rFonts w:ascii="Malgan Gothic" w:eastAsia="Malgan Gothic" w:hAnsi="Malgan Gothic" w:cs="Malgan Gothic"/>
                <w:sz w:val="14"/>
              </w:rPr>
              <w:t>2024-5898</w:t>
            </w:r>
          </w:p>
        </w:tc>
        <w:tc>
          <w:tcPr>
            <w:tcW w:w="1584" w:type="dxa"/>
            <w:tcBorders>
              <w:top w:val="single" w:sz="2" w:space="0" w:color="000000"/>
              <w:left w:val="single" w:sz="2" w:space="0" w:color="000000"/>
              <w:bottom w:val="single" w:sz="2" w:space="0" w:color="000000"/>
              <w:right w:val="single" w:sz="2" w:space="0" w:color="000000"/>
            </w:tcBorders>
          </w:tcPr>
          <w:p w14:paraId="4C1FEF43" w14:textId="77777777" w:rsidR="00053D93" w:rsidRDefault="00260B75">
            <w:pPr>
              <w:ind w:right="43"/>
              <w:jc w:val="center"/>
            </w:pPr>
            <w:r>
              <w:rPr>
                <w:rFonts w:ascii="Malgan Gothic" w:eastAsia="Malgan Gothic" w:hAnsi="Malgan Gothic" w:cs="Malgan Gothic"/>
                <w:sz w:val="14"/>
              </w:rPr>
              <w:t>5/07/2024</w:t>
            </w:r>
          </w:p>
        </w:tc>
        <w:tc>
          <w:tcPr>
            <w:tcW w:w="1912" w:type="dxa"/>
            <w:tcBorders>
              <w:top w:val="single" w:sz="2" w:space="0" w:color="000000"/>
              <w:left w:val="single" w:sz="2" w:space="0" w:color="000000"/>
              <w:bottom w:val="single" w:sz="2" w:space="0" w:color="000000"/>
              <w:right w:val="single" w:sz="2" w:space="0" w:color="000000"/>
            </w:tcBorders>
          </w:tcPr>
          <w:p w14:paraId="002AB5D6" w14:textId="77777777" w:rsidR="00053D93" w:rsidRDefault="00260B75">
            <w:pPr>
              <w:ind w:right="26"/>
              <w:jc w:val="center"/>
            </w:pPr>
            <w:r>
              <w:rPr>
                <w:rFonts w:ascii="Malgan Gothic" w:eastAsia="Malgan Gothic" w:hAnsi="Malgan Gothic" w:cs="Malgan Gothic"/>
                <w:sz w:val="14"/>
              </w:rPr>
              <w:t>19/07/2024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018E73B7" w14:textId="77777777" w:rsidR="00053D93" w:rsidRDefault="00260B75">
            <w:pPr>
              <w:ind w:left="492"/>
            </w:pPr>
            <w:r>
              <w:rPr>
                <w:rFonts w:ascii="Malgan Gothic" w:eastAsia="Malgan Gothic" w:hAnsi="Malgan Gothic" w:cs="Malgan Gothic"/>
                <w:sz w:val="16"/>
              </w:rPr>
              <w:t>기050.20</w:t>
            </w:r>
          </w:p>
        </w:tc>
      </w:tr>
      <w:tr w:rsidR="00053D93" w14:paraId="0709A93E"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1DAB2A39"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4A7FA14D" w14:textId="77777777" w:rsidR="00053D93" w:rsidRDefault="00260B75">
            <w:pPr>
              <w:ind w:left="34"/>
            </w:pPr>
            <w:r>
              <w:rPr>
                <w:rFonts w:ascii="Malgan Gothic" w:eastAsia="Malgan Gothic" w:hAnsi="Malgan Gothic" w:cs="Malgan Gothic"/>
                <w:sz w:val="16"/>
              </w:rPr>
              <w:t>E545152925</w:t>
            </w:r>
          </w:p>
        </w:tc>
        <w:tc>
          <w:tcPr>
            <w:tcW w:w="1591" w:type="dxa"/>
            <w:tcBorders>
              <w:top w:val="single" w:sz="2" w:space="0" w:color="000000"/>
              <w:left w:val="single" w:sz="2" w:space="0" w:color="000000"/>
              <w:bottom w:val="single" w:sz="2" w:space="0" w:color="000000"/>
              <w:right w:val="single" w:sz="2" w:space="0" w:color="000000"/>
            </w:tcBorders>
          </w:tcPr>
          <w:p w14:paraId="1D5BE396" w14:textId="77777777" w:rsidR="00053D93" w:rsidRDefault="00260B75">
            <w:pPr>
              <w:ind w:right="43"/>
              <w:jc w:val="center"/>
            </w:pPr>
            <w:r>
              <w:rPr>
                <w:rFonts w:ascii="Malgan Gothic" w:eastAsia="Malgan Gothic" w:hAnsi="Malgan Gothic" w:cs="Malgan Gothic"/>
                <w:sz w:val="14"/>
              </w:rPr>
              <w:t>2024-17698</w:t>
            </w:r>
          </w:p>
        </w:tc>
        <w:tc>
          <w:tcPr>
            <w:tcW w:w="1584" w:type="dxa"/>
            <w:tcBorders>
              <w:top w:val="single" w:sz="2" w:space="0" w:color="000000"/>
              <w:left w:val="single" w:sz="2" w:space="0" w:color="000000"/>
              <w:bottom w:val="single" w:sz="2" w:space="0" w:color="000000"/>
              <w:right w:val="single" w:sz="2" w:space="0" w:color="000000"/>
            </w:tcBorders>
          </w:tcPr>
          <w:p w14:paraId="6936B872" w14:textId="77777777" w:rsidR="00053D93" w:rsidRDefault="00260B75">
            <w:pPr>
              <w:ind w:right="43"/>
              <w:jc w:val="center"/>
            </w:pPr>
            <w:r>
              <w:rPr>
                <w:rFonts w:ascii="Malgan Gothic" w:eastAsia="Malgan Gothic" w:hAnsi="Malgan Gothic" w:cs="Malgan Gothic"/>
                <w:sz w:val="16"/>
              </w:rPr>
              <w:t>20/06/2024</w:t>
            </w:r>
          </w:p>
        </w:tc>
        <w:tc>
          <w:tcPr>
            <w:tcW w:w="1912" w:type="dxa"/>
            <w:tcBorders>
              <w:top w:val="single" w:sz="2" w:space="0" w:color="000000"/>
              <w:left w:val="single" w:sz="2" w:space="0" w:color="000000"/>
              <w:bottom w:val="single" w:sz="2" w:space="0" w:color="000000"/>
              <w:right w:val="single" w:sz="2" w:space="0" w:color="000000"/>
            </w:tcBorders>
          </w:tcPr>
          <w:p w14:paraId="734EEE23" w14:textId="77777777" w:rsidR="00053D93" w:rsidRDefault="00260B75">
            <w:pPr>
              <w:ind w:right="33"/>
              <w:jc w:val="center"/>
            </w:pPr>
            <w:r>
              <w:rPr>
                <w:rFonts w:ascii="Malgan Gothic" w:eastAsia="Malgan Gothic" w:hAnsi="Malgan Gothic" w:cs="Malgan Gothic"/>
                <w:sz w:val="16"/>
              </w:rPr>
              <w:t>1 9/07/2024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3612B72A" w14:textId="77777777" w:rsidR="00053D93" w:rsidRDefault="00260B75">
            <w:pPr>
              <w:ind w:left="492"/>
            </w:pPr>
            <w:r>
              <w:rPr>
                <w:rFonts w:ascii="Malgan Gothic" w:eastAsia="Malgan Gothic" w:hAnsi="Malgan Gothic" w:cs="Malgan Gothic"/>
                <w:sz w:val="16"/>
              </w:rPr>
              <w:t>2,050.20</w:t>
            </w:r>
          </w:p>
        </w:tc>
      </w:tr>
      <w:tr w:rsidR="00053D93" w14:paraId="3FB30F7B" w14:textId="77777777">
        <w:trPr>
          <w:trHeight w:val="533"/>
        </w:trPr>
        <w:tc>
          <w:tcPr>
            <w:tcW w:w="624" w:type="dxa"/>
            <w:gridSpan w:val="2"/>
            <w:tcBorders>
              <w:top w:val="single" w:sz="2" w:space="0" w:color="000000"/>
              <w:left w:val="single" w:sz="2" w:space="0" w:color="000000"/>
              <w:bottom w:val="single" w:sz="2" w:space="0" w:color="000000"/>
              <w:right w:val="single" w:sz="2" w:space="0" w:color="000000"/>
            </w:tcBorders>
          </w:tcPr>
          <w:p w14:paraId="18AE60FB" w14:textId="77777777" w:rsidR="00053D93" w:rsidRDefault="00260B75">
            <w:pPr>
              <w:ind w:left="46"/>
            </w:pPr>
            <w:r>
              <w:rPr>
                <w:rFonts w:ascii="Malgan Gothic" w:eastAsia="Malgan Gothic" w:hAnsi="Malgan Gothic" w:cs="Malgan Gothic"/>
                <w:sz w:val="14"/>
              </w:rPr>
              <w:t>44</w:t>
            </w:r>
          </w:p>
        </w:tc>
        <w:tc>
          <w:tcPr>
            <w:tcW w:w="1229" w:type="dxa"/>
            <w:tcBorders>
              <w:top w:val="single" w:sz="2" w:space="0" w:color="000000"/>
              <w:left w:val="single" w:sz="2" w:space="0" w:color="000000"/>
              <w:bottom w:val="single" w:sz="2" w:space="0" w:color="000000"/>
              <w:right w:val="single" w:sz="2" w:space="0" w:color="000000"/>
            </w:tcBorders>
          </w:tcPr>
          <w:p w14:paraId="74CB2C29" w14:textId="77777777" w:rsidR="00053D93" w:rsidRDefault="00260B75">
            <w:pPr>
              <w:ind w:left="34"/>
            </w:pPr>
            <w:r>
              <w:rPr>
                <w:rFonts w:ascii="Malgan Gothic" w:eastAsia="Malgan Gothic" w:hAnsi="Malgan Gothic" w:cs="Malgan Gothic"/>
                <w:sz w:val="16"/>
              </w:rPr>
              <w:t>E545154197</w:t>
            </w:r>
          </w:p>
        </w:tc>
        <w:tc>
          <w:tcPr>
            <w:tcW w:w="1591" w:type="dxa"/>
            <w:tcBorders>
              <w:top w:val="single" w:sz="2" w:space="0" w:color="000000"/>
              <w:left w:val="single" w:sz="2" w:space="0" w:color="000000"/>
              <w:bottom w:val="single" w:sz="2" w:space="0" w:color="000000"/>
              <w:right w:val="single" w:sz="2" w:space="0" w:color="000000"/>
            </w:tcBorders>
          </w:tcPr>
          <w:p w14:paraId="316A1CD4" w14:textId="77777777" w:rsidR="00053D93" w:rsidRDefault="00260B75">
            <w:pPr>
              <w:ind w:right="50"/>
              <w:jc w:val="center"/>
            </w:pPr>
            <w:r>
              <w:rPr>
                <w:rFonts w:ascii="Malgan Gothic" w:eastAsia="Malgan Gothic" w:hAnsi="Malgan Gothic" w:cs="Malgan Gothic"/>
                <w:sz w:val="14"/>
              </w:rPr>
              <w:t>2024-18302</w:t>
            </w:r>
          </w:p>
        </w:tc>
        <w:tc>
          <w:tcPr>
            <w:tcW w:w="1584" w:type="dxa"/>
            <w:tcBorders>
              <w:top w:val="single" w:sz="2" w:space="0" w:color="000000"/>
              <w:left w:val="single" w:sz="2" w:space="0" w:color="000000"/>
              <w:bottom w:val="single" w:sz="2" w:space="0" w:color="000000"/>
              <w:right w:val="single" w:sz="2" w:space="0" w:color="000000"/>
            </w:tcBorders>
          </w:tcPr>
          <w:p w14:paraId="4EE0B546" w14:textId="77777777" w:rsidR="00053D93" w:rsidRDefault="00260B75">
            <w:pPr>
              <w:ind w:right="58"/>
              <w:jc w:val="center"/>
            </w:pPr>
            <w:r>
              <w:rPr>
                <w:rFonts w:ascii="Malgan Gothic" w:eastAsia="Malgan Gothic" w:hAnsi="Malgan Gothic" w:cs="Malgan Gothic"/>
                <w:sz w:val="16"/>
              </w:rPr>
              <w:t>4/07/2024</w:t>
            </w:r>
          </w:p>
        </w:tc>
        <w:tc>
          <w:tcPr>
            <w:tcW w:w="1912" w:type="dxa"/>
            <w:tcBorders>
              <w:top w:val="single" w:sz="2" w:space="0" w:color="000000"/>
              <w:left w:val="single" w:sz="2" w:space="0" w:color="000000"/>
              <w:bottom w:val="single" w:sz="2" w:space="0" w:color="000000"/>
              <w:right w:val="single" w:sz="2" w:space="0" w:color="000000"/>
            </w:tcBorders>
          </w:tcPr>
          <w:p w14:paraId="1D972A7B" w14:textId="77777777" w:rsidR="00053D93" w:rsidRDefault="00260B75">
            <w:pPr>
              <w:ind w:right="33"/>
              <w:jc w:val="center"/>
            </w:pPr>
            <w:r>
              <w:rPr>
                <w:rFonts w:ascii="Malgan Gothic" w:eastAsia="Malgan Gothic" w:hAnsi="Malgan Gothic" w:cs="Malgan Gothic"/>
                <w:sz w:val="16"/>
              </w:rPr>
              <w:t>19/07/2024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4B456150" w14:textId="77777777" w:rsidR="00053D93" w:rsidRDefault="00260B75">
            <w:pPr>
              <w:ind w:left="492"/>
            </w:pPr>
            <w:r>
              <w:rPr>
                <w:rFonts w:ascii="Malgan Gothic" w:eastAsia="Malgan Gothic" w:hAnsi="Malgan Gothic" w:cs="Malgan Gothic"/>
                <w:sz w:val="16"/>
              </w:rPr>
              <w:t>8,610.00</w:t>
            </w:r>
          </w:p>
        </w:tc>
      </w:tr>
      <w:tr w:rsidR="00053D93" w14:paraId="594379EE" w14:textId="77777777">
        <w:trPr>
          <w:trHeight w:val="540"/>
        </w:trPr>
        <w:tc>
          <w:tcPr>
            <w:tcW w:w="309" w:type="dxa"/>
            <w:vMerge w:val="restart"/>
            <w:tcBorders>
              <w:top w:val="single" w:sz="2" w:space="0" w:color="000000"/>
              <w:left w:val="nil"/>
              <w:bottom w:val="nil"/>
              <w:right w:val="nil"/>
            </w:tcBorders>
          </w:tcPr>
          <w:p w14:paraId="5365BE38" w14:textId="77777777" w:rsidR="00053D93" w:rsidRDefault="00260B75">
            <w:pPr>
              <w:ind w:left="-271" w:right="-25" w:firstLine="317"/>
            </w:pPr>
            <w:r>
              <w:rPr>
                <w:rFonts w:ascii="Malgan Gothic" w:eastAsia="Malgan Gothic" w:hAnsi="Malgan Gothic" w:cs="Malgan Gothic"/>
                <w:sz w:val="28"/>
              </w:rPr>
              <w:t>45 l!,협.다,챁궤,</w:t>
            </w:r>
          </w:p>
        </w:tc>
        <w:tc>
          <w:tcPr>
            <w:tcW w:w="315" w:type="dxa"/>
            <w:vMerge w:val="restart"/>
            <w:tcBorders>
              <w:top w:val="single" w:sz="2" w:space="0" w:color="000000"/>
              <w:left w:val="nil"/>
              <w:bottom w:val="nil"/>
              <w:right w:val="single" w:sz="2" w:space="0" w:color="000000"/>
            </w:tcBorders>
          </w:tcPr>
          <w:p w14:paraId="013F50B3"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75079B25" w14:textId="77777777" w:rsidR="00053D93" w:rsidRDefault="00260B75">
            <w:pPr>
              <w:ind w:left="34"/>
            </w:pPr>
            <w:r>
              <w:rPr>
                <w:rFonts w:ascii="Malgan Gothic" w:eastAsia="Malgan Gothic" w:hAnsi="Malgan Gothic" w:cs="Malgan Gothic"/>
                <w:sz w:val="16"/>
              </w:rPr>
              <w:t>E545456711</w:t>
            </w:r>
          </w:p>
        </w:tc>
        <w:tc>
          <w:tcPr>
            <w:tcW w:w="1591" w:type="dxa"/>
            <w:tcBorders>
              <w:top w:val="single" w:sz="2" w:space="0" w:color="000000"/>
              <w:left w:val="single" w:sz="2" w:space="0" w:color="000000"/>
              <w:bottom w:val="single" w:sz="2" w:space="0" w:color="000000"/>
              <w:right w:val="single" w:sz="2" w:space="0" w:color="000000"/>
            </w:tcBorders>
          </w:tcPr>
          <w:p w14:paraId="3FD7DC85" w14:textId="77777777" w:rsidR="00053D93" w:rsidRDefault="00260B75">
            <w:pPr>
              <w:ind w:right="50"/>
              <w:jc w:val="center"/>
            </w:pPr>
            <w:r>
              <w:rPr>
                <w:rFonts w:ascii="Malgan Gothic" w:eastAsia="Malgan Gothic" w:hAnsi="Malgan Gothic" w:cs="Malgan Gothic"/>
                <w:sz w:val="16"/>
              </w:rPr>
              <w:t>2024-18454</w:t>
            </w:r>
          </w:p>
        </w:tc>
        <w:tc>
          <w:tcPr>
            <w:tcW w:w="1584" w:type="dxa"/>
            <w:tcBorders>
              <w:top w:val="single" w:sz="2" w:space="0" w:color="000000"/>
              <w:left w:val="single" w:sz="2" w:space="0" w:color="000000"/>
              <w:bottom w:val="single" w:sz="2" w:space="0" w:color="000000"/>
              <w:right w:val="single" w:sz="2" w:space="0" w:color="000000"/>
            </w:tcBorders>
          </w:tcPr>
          <w:p w14:paraId="5733A5EB" w14:textId="77777777" w:rsidR="00053D93" w:rsidRDefault="00260B75">
            <w:pPr>
              <w:ind w:right="58"/>
              <w:jc w:val="center"/>
            </w:pPr>
            <w:r>
              <w:rPr>
                <w:rFonts w:ascii="Malgan Gothic" w:eastAsia="Malgan Gothic" w:hAnsi="Malgan Gothic" w:cs="Malgan Gothic"/>
                <w:sz w:val="16"/>
              </w:rPr>
              <w:t>5/07/2024</w:t>
            </w:r>
          </w:p>
        </w:tc>
        <w:tc>
          <w:tcPr>
            <w:tcW w:w="1912" w:type="dxa"/>
            <w:tcBorders>
              <w:top w:val="single" w:sz="2" w:space="0" w:color="000000"/>
              <w:left w:val="single" w:sz="2" w:space="0" w:color="000000"/>
              <w:bottom w:val="single" w:sz="2" w:space="0" w:color="000000"/>
              <w:right w:val="single" w:sz="2" w:space="0" w:color="000000"/>
            </w:tcBorders>
          </w:tcPr>
          <w:p w14:paraId="73710CC6" w14:textId="77777777" w:rsidR="00053D93" w:rsidRDefault="00260B75">
            <w:pPr>
              <w:ind w:right="55"/>
              <w:jc w:val="center"/>
            </w:pPr>
            <w:r>
              <w:rPr>
                <w:rFonts w:ascii="Malgan Gothic" w:eastAsia="Malgan Gothic" w:hAnsi="Malgan Gothic" w:cs="Malgan Gothic"/>
                <w:sz w:val="14"/>
              </w:rPr>
              <w:t>25/07/2024</w:t>
            </w:r>
          </w:p>
        </w:tc>
        <w:tc>
          <w:tcPr>
            <w:tcW w:w="1328" w:type="dxa"/>
            <w:tcBorders>
              <w:top w:val="single" w:sz="2" w:space="0" w:color="000000"/>
              <w:left w:val="single" w:sz="2" w:space="0" w:color="000000"/>
              <w:bottom w:val="single" w:sz="2" w:space="0" w:color="000000"/>
              <w:right w:val="single" w:sz="2" w:space="0" w:color="000000"/>
            </w:tcBorders>
            <w:vAlign w:val="bottom"/>
          </w:tcPr>
          <w:p w14:paraId="5303F10E" w14:textId="77777777" w:rsidR="00053D93" w:rsidRDefault="00260B75">
            <w:pPr>
              <w:ind w:left="377"/>
            </w:pPr>
            <w:r>
              <w:rPr>
                <w:rFonts w:ascii="Malgan Gothic" w:eastAsia="Malgan Gothic" w:hAnsi="Malgan Gothic" w:cs="Malgan Gothic"/>
                <w:sz w:val="16"/>
              </w:rPr>
              <w:t>25|000.00</w:t>
            </w:r>
          </w:p>
        </w:tc>
      </w:tr>
      <w:tr w:rsidR="00053D93" w14:paraId="17000A09" w14:textId="77777777">
        <w:trPr>
          <w:trHeight w:val="586"/>
        </w:trPr>
        <w:tc>
          <w:tcPr>
            <w:tcW w:w="0" w:type="auto"/>
            <w:vMerge/>
            <w:tcBorders>
              <w:top w:val="nil"/>
              <w:left w:val="nil"/>
              <w:bottom w:val="nil"/>
              <w:right w:val="nil"/>
            </w:tcBorders>
          </w:tcPr>
          <w:p w14:paraId="0CA9831E" w14:textId="77777777" w:rsidR="00053D93" w:rsidRDefault="00053D93"/>
        </w:tc>
        <w:tc>
          <w:tcPr>
            <w:tcW w:w="0" w:type="auto"/>
            <w:vMerge/>
            <w:tcBorders>
              <w:top w:val="nil"/>
              <w:left w:val="nil"/>
              <w:bottom w:val="nil"/>
              <w:right w:val="single" w:sz="2" w:space="0" w:color="000000"/>
            </w:tcBorders>
          </w:tcPr>
          <w:p w14:paraId="5E17DFB4" w14:textId="77777777" w:rsidR="00053D93" w:rsidRDefault="00053D93"/>
        </w:tc>
        <w:tc>
          <w:tcPr>
            <w:tcW w:w="7645" w:type="dxa"/>
            <w:gridSpan w:val="5"/>
            <w:tcBorders>
              <w:top w:val="single" w:sz="2" w:space="0" w:color="000000"/>
              <w:left w:val="single" w:sz="2" w:space="0" w:color="000000"/>
              <w:bottom w:val="nil"/>
              <w:right w:val="nil"/>
            </w:tcBorders>
          </w:tcPr>
          <w:p w14:paraId="54EDD302" w14:textId="77777777" w:rsidR="00053D93" w:rsidRDefault="00260B75">
            <w:pPr>
              <w:spacing w:after="44"/>
              <w:ind w:right="671"/>
              <w:jc w:val="center"/>
            </w:pPr>
            <w:r>
              <w:rPr>
                <w:rFonts w:ascii="Malgan Gothic" w:eastAsia="Malgan Gothic" w:hAnsi="Malgan Gothic" w:cs="Malgan Gothic"/>
                <w:sz w:val="10"/>
              </w:rPr>
              <w:t>MINISTERIO DE EDUCACION</w:t>
            </w:r>
          </w:p>
          <w:p w14:paraId="42C4CCAB" w14:textId="77777777" w:rsidR="00053D93" w:rsidRDefault="00260B75">
            <w:pPr>
              <w:spacing w:after="37"/>
              <w:ind w:left="2209"/>
            </w:pPr>
            <w:r>
              <w:rPr>
                <w:rFonts w:ascii="Malgan Gothic" w:eastAsia="Malgan Gothic" w:hAnsi="Malgan Gothic" w:cs="Malgan Gothic"/>
                <w:sz w:val="10"/>
              </w:rPr>
              <w:t>AUDITORIA FINANCIERA Y DE CUMPL!MIENTO</w:t>
            </w:r>
          </w:p>
          <w:p w14:paraId="12EC86E7" w14:textId="77777777" w:rsidR="00053D93" w:rsidRDefault="00260B75">
            <w:pPr>
              <w:ind w:left="1863"/>
            </w:pPr>
            <w:r>
              <w:rPr>
                <w:rFonts w:ascii="Malgan Gothic" w:eastAsia="Malgan Gothic" w:hAnsi="Malgan Gothic" w:cs="Malgan Gothic"/>
                <w:sz w:val="10"/>
              </w:rPr>
              <w:t>PER}OOO DEI 01 DE ENERO AL 31 OE DtCEMBRE OE 2024</w:t>
            </w:r>
          </w:p>
        </w:tc>
      </w:tr>
    </w:tbl>
    <w:p w14:paraId="778DC4FF" w14:textId="77777777" w:rsidR="00053D93" w:rsidRDefault="00260B75">
      <w:pPr>
        <w:spacing w:after="0"/>
        <w:ind w:left="6048"/>
      </w:pPr>
      <w:r>
        <w:rPr>
          <w:noProof/>
        </w:rPr>
        <w:drawing>
          <wp:anchor distT="0" distB="0" distL="114300" distR="114300" simplePos="0" relativeHeight="252379136" behindDoc="0" locked="0" layoutInCell="1" allowOverlap="0" wp14:anchorId="722C4094" wp14:editId="26B672C4">
            <wp:simplePos x="0" y="0"/>
            <wp:positionH relativeFrom="column">
              <wp:posOffset>-27431</wp:posOffset>
            </wp:positionH>
            <wp:positionV relativeFrom="paragraph">
              <wp:posOffset>8755380</wp:posOffset>
            </wp:positionV>
            <wp:extent cx="662940" cy="406909"/>
            <wp:effectExtent l="0" t="0" r="0" b="0"/>
            <wp:wrapSquare wrapText="bothSides"/>
            <wp:docPr id="1407002" name="Picture 1407002"/>
            <wp:cNvGraphicFramePr/>
            <a:graphic xmlns:a="http://schemas.openxmlformats.org/drawingml/2006/main">
              <a:graphicData uri="http://schemas.openxmlformats.org/drawingml/2006/picture">
                <pic:pic xmlns:pic="http://schemas.openxmlformats.org/drawingml/2006/picture">
                  <pic:nvPicPr>
                    <pic:cNvPr id="1407002" name="Picture 1407002"/>
                    <pic:cNvPicPr/>
                  </pic:nvPicPr>
                  <pic:blipFill>
                    <a:blip r:embed="rId1845"/>
                    <a:stretch>
                      <a:fillRect/>
                    </a:stretch>
                  </pic:blipFill>
                  <pic:spPr>
                    <a:xfrm>
                      <a:off x="0" y="0"/>
                      <a:ext cx="662940" cy="406909"/>
                    </a:xfrm>
                    <a:prstGeom prst="rect">
                      <a:avLst/>
                    </a:prstGeom>
                  </pic:spPr>
                </pic:pic>
              </a:graphicData>
            </a:graphic>
          </wp:anchor>
        </w:drawing>
      </w:r>
      <w:r>
        <w:rPr>
          <w:rFonts w:ascii="Malgan Gothic" w:eastAsia="Malgan Gothic" w:hAnsi="Malgan Gothic" w:cs="Malgan Gothic"/>
          <w:sz w:val="12"/>
        </w:rPr>
        <w:t xml:space="preserve">OE </w:t>
      </w:r>
      <w:r>
        <w:br w:type="page"/>
      </w:r>
    </w:p>
    <w:p w14:paraId="14CB60A7" w14:textId="77777777" w:rsidR="00053D93" w:rsidRDefault="00260B75">
      <w:pPr>
        <w:spacing w:after="8458" w:line="11666" w:lineRule="auto"/>
        <w:ind w:left="10" w:right="201" w:hanging="10"/>
        <w:jc w:val="right"/>
      </w:pPr>
      <w:r>
        <w:rPr>
          <w:rFonts w:ascii="Malgan Gothic" w:eastAsia="Malgan Gothic" w:hAnsi="Malgan Gothic" w:cs="Malgan Gothic"/>
          <w:sz w:val="12"/>
        </w:rPr>
        <w:t xml:space="preserve">ORECCIÖN </w:t>
      </w:r>
    </w:p>
    <w:tbl>
      <w:tblPr>
        <w:tblStyle w:val="TableGrid"/>
        <w:tblpPr w:vertAnchor="text" w:tblpX="1063" w:tblpY="-13244"/>
        <w:tblOverlap w:val="never"/>
        <w:tblW w:w="8254" w:type="dxa"/>
        <w:tblInd w:w="0" w:type="dxa"/>
        <w:tblCellMar>
          <w:top w:w="39" w:type="dxa"/>
          <w:left w:w="31" w:type="dxa"/>
          <w:bottom w:w="22" w:type="dxa"/>
          <w:right w:w="33" w:type="dxa"/>
        </w:tblCellMar>
        <w:tblLook w:val="04A0" w:firstRow="1" w:lastRow="0" w:firstColumn="1" w:lastColumn="0" w:noHBand="0" w:noVBand="1"/>
      </w:tblPr>
      <w:tblGrid>
        <w:gridCol w:w="317"/>
        <w:gridCol w:w="288"/>
        <w:gridCol w:w="1231"/>
        <w:gridCol w:w="1594"/>
        <w:gridCol w:w="1577"/>
        <w:gridCol w:w="1920"/>
        <w:gridCol w:w="1327"/>
      </w:tblGrid>
      <w:tr w:rsidR="00053D93" w14:paraId="2B92F60F" w14:textId="77777777">
        <w:trPr>
          <w:trHeight w:val="551"/>
        </w:trPr>
        <w:tc>
          <w:tcPr>
            <w:tcW w:w="317" w:type="dxa"/>
            <w:tcBorders>
              <w:top w:val="single" w:sz="2" w:space="0" w:color="000000"/>
              <w:left w:val="single" w:sz="2" w:space="0" w:color="000000"/>
              <w:bottom w:val="single" w:sz="2" w:space="0" w:color="000000"/>
              <w:right w:val="nil"/>
            </w:tcBorders>
          </w:tcPr>
          <w:p w14:paraId="59479D70" w14:textId="77777777" w:rsidR="00053D93" w:rsidRDefault="00053D93"/>
        </w:tc>
        <w:tc>
          <w:tcPr>
            <w:tcW w:w="288" w:type="dxa"/>
            <w:tcBorders>
              <w:top w:val="single" w:sz="2" w:space="0" w:color="000000"/>
              <w:left w:val="nil"/>
              <w:bottom w:val="single" w:sz="2" w:space="0" w:color="000000"/>
              <w:right w:val="single" w:sz="2" w:space="0" w:color="000000"/>
            </w:tcBorders>
          </w:tcPr>
          <w:p w14:paraId="2B6FC96D"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7A8F181C" w14:textId="77777777" w:rsidR="00053D93" w:rsidRDefault="00260B75">
            <w:pPr>
              <w:ind w:left="65"/>
            </w:pPr>
            <w:r>
              <w:rPr>
                <w:rFonts w:ascii="Malgan Gothic" w:eastAsia="Malgan Gothic" w:hAnsi="Malgan Gothic" w:cs="Malgan Gothic"/>
                <w:sz w:val="14"/>
              </w:rPr>
              <w:t>E545592593</w:t>
            </w:r>
          </w:p>
        </w:tc>
        <w:tc>
          <w:tcPr>
            <w:tcW w:w="1594" w:type="dxa"/>
            <w:tcBorders>
              <w:top w:val="single" w:sz="2" w:space="0" w:color="000000"/>
              <w:left w:val="single" w:sz="2" w:space="0" w:color="000000"/>
              <w:bottom w:val="single" w:sz="2" w:space="0" w:color="000000"/>
              <w:right w:val="single" w:sz="2" w:space="0" w:color="000000"/>
            </w:tcBorders>
          </w:tcPr>
          <w:p w14:paraId="5E9CEF3E" w14:textId="77777777" w:rsidR="00053D93" w:rsidRDefault="00260B75">
            <w:pPr>
              <w:ind w:left="48"/>
              <w:jc w:val="center"/>
            </w:pPr>
            <w:r>
              <w:rPr>
                <w:rFonts w:ascii="Malgan Gothic" w:eastAsia="Malgan Gothic" w:hAnsi="Malgan Gothic" w:cs="Malgan Gothic"/>
                <w:sz w:val="14"/>
              </w:rPr>
              <w:t>2024-18433</w:t>
            </w:r>
          </w:p>
        </w:tc>
        <w:tc>
          <w:tcPr>
            <w:tcW w:w="1577" w:type="dxa"/>
            <w:tcBorders>
              <w:top w:val="single" w:sz="2" w:space="0" w:color="000000"/>
              <w:left w:val="single" w:sz="2" w:space="0" w:color="000000"/>
              <w:bottom w:val="single" w:sz="2" w:space="0" w:color="000000"/>
              <w:right w:val="single" w:sz="2" w:space="0" w:color="000000"/>
            </w:tcBorders>
          </w:tcPr>
          <w:p w14:paraId="45930E24" w14:textId="77777777" w:rsidR="00053D93" w:rsidRDefault="00260B75">
            <w:pPr>
              <w:ind w:left="59"/>
              <w:jc w:val="center"/>
            </w:pPr>
            <w:r>
              <w:rPr>
                <w:rFonts w:ascii="Malgan Gothic" w:eastAsia="Malgan Gothic" w:hAnsi="Malgan Gothic" w:cs="Malgan Gothic"/>
                <w:sz w:val="16"/>
              </w:rPr>
              <w:t>5/07/2024</w:t>
            </w:r>
          </w:p>
        </w:tc>
        <w:tc>
          <w:tcPr>
            <w:tcW w:w="1920" w:type="dxa"/>
            <w:tcBorders>
              <w:top w:val="single" w:sz="2" w:space="0" w:color="000000"/>
              <w:left w:val="single" w:sz="2" w:space="0" w:color="000000"/>
              <w:bottom w:val="single" w:sz="2" w:space="0" w:color="000000"/>
              <w:right w:val="single" w:sz="2" w:space="0" w:color="000000"/>
            </w:tcBorders>
          </w:tcPr>
          <w:p w14:paraId="35925525" w14:textId="77777777" w:rsidR="00053D93" w:rsidRDefault="00260B75">
            <w:pPr>
              <w:ind w:left="48"/>
              <w:jc w:val="center"/>
            </w:pPr>
            <w:r>
              <w:rPr>
                <w:rFonts w:ascii="Malgan Gothic" w:eastAsia="Malgan Gothic" w:hAnsi="Malgan Gothic" w:cs="Malgan Gothic"/>
                <w:sz w:val="14"/>
              </w:rPr>
              <w:t>29/07/2024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49D92CA8" w14:textId="77777777" w:rsidR="00053D93" w:rsidRDefault="00260B75">
            <w:pPr>
              <w:ind w:right="24"/>
              <w:jc w:val="right"/>
            </w:pPr>
            <w:r>
              <w:rPr>
                <w:rFonts w:ascii="Malgan Gothic" w:eastAsia="Malgan Gothic" w:hAnsi="Malgan Gothic" w:cs="Malgan Gothic"/>
                <w:sz w:val="16"/>
              </w:rPr>
              <w:t>45.00</w:t>
            </w:r>
          </w:p>
        </w:tc>
      </w:tr>
      <w:tr w:rsidR="00053D93" w14:paraId="2106129D" w14:textId="77777777">
        <w:trPr>
          <w:trHeight w:val="540"/>
        </w:trPr>
        <w:tc>
          <w:tcPr>
            <w:tcW w:w="317" w:type="dxa"/>
            <w:tcBorders>
              <w:top w:val="single" w:sz="2" w:space="0" w:color="000000"/>
              <w:left w:val="single" w:sz="2" w:space="0" w:color="000000"/>
              <w:bottom w:val="single" w:sz="2" w:space="0" w:color="000000"/>
              <w:right w:val="nil"/>
            </w:tcBorders>
          </w:tcPr>
          <w:p w14:paraId="3FF66CCC" w14:textId="77777777" w:rsidR="00053D93" w:rsidRDefault="00260B75">
            <w:pPr>
              <w:ind w:left="58"/>
            </w:pPr>
            <w:r>
              <w:rPr>
                <w:rFonts w:ascii="Malgan Gothic" w:eastAsia="Malgan Gothic" w:hAnsi="Malgan Gothic" w:cs="Malgan Gothic"/>
                <w:sz w:val="16"/>
              </w:rPr>
              <w:t>47</w:t>
            </w:r>
          </w:p>
        </w:tc>
        <w:tc>
          <w:tcPr>
            <w:tcW w:w="288" w:type="dxa"/>
            <w:tcBorders>
              <w:top w:val="single" w:sz="2" w:space="0" w:color="000000"/>
              <w:left w:val="nil"/>
              <w:bottom w:val="single" w:sz="2" w:space="0" w:color="000000"/>
              <w:right w:val="single" w:sz="2" w:space="0" w:color="000000"/>
            </w:tcBorders>
          </w:tcPr>
          <w:p w14:paraId="6BB8B5A8"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281DEF49" w14:textId="77777777" w:rsidR="00053D93" w:rsidRDefault="00260B75">
            <w:pPr>
              <w:ind w:left="65"/>
            </w:pPr>
            <w:r>
              <w:rPr>
                <w:rFonts w:ascii="Malgan Gothic" w:eastAsia="Malgan Gothic" w:hAnsi="Malgan Gothic" w:cs="Malgan Gothic"/>
                <w:sz w:val="16"/>
              </w:rPr>
              <w:t>E545594502</w:t>
            </w:r>
          </w:p>
        </w:tc>
        <w:tc>
          <w:tcPr>
            <w:tcW w:w="1594" w:type="dxa"/>
            <w:tcBorders>
              <w:top w:val="single" w:sz="2" w:space="0" w:color="000000"/>
              <w:left w:val="single" w:sz="2" w:space="0" w:color="000000"/>
              <w:bottom w:val="single" w:sz="2" w:space="0" w:color="000000"/>
              <w:right w:val="single" w:sz="2" w:space="0" w:color="000000"/>
            </w:tcBorders>
          </w:tcPr>
          <w:p w14:paraId="1F7183BC" w14:textId="77777777" w:rsidR="00053D93" w:rsidRDefault="00260B75">
            <w:pPr>
              <w:ind w:left="48"/>
              <w:jc w:val="center"/>
            </w:pPr>
            <w:r>
              <w:rPr>
                <w:rFonts w:ascii="Malgan Gothic" w:eastAsia="Malgan Gothic" w:hAnsi="Malgan Gothic" w:cs="Malgan Gothic"/>
                <w:sz w:val="14"/>
              </w:rPr>
              <w:t>2024-19428</w:t>
            </w:r>
          </w:p>
        </w:tc>
        <w:tc>
          <w:tcPr>
            <w:tcW w:w="1577" w:type="dxa"/>
            <w:tcBorders>
              <w:top w:val="single" w:sz="2" w:space="0" w:color="000000"/>
              <w:left w:val="single" w:sz="2" w:space="0" w:color="000000"/>
              <w:bottom w:val="single" w:sz="2" w:space="0" w:color="000000"/>
              <w:right w:val="single" w:sz="2" w:space="0" w:color="000000"/>
            </w:tcBorders>
          </w:tcPr>
          <w:p w14:paraId="60D79052" w14:textId="77777777" w:rsidR="00053D93" w:rsidRDefault="00260B75">
            <w:pPr>
              <w:ind w:left="59"/>
              <w:jc w:val="center"/>
            </w:pPr>
            <w:r>
              <w:rPr>
                <w:rFonts w:ascii="Malgan Gothic" w:eastAsia="Malgan Gothic" w:hAnsi="Malgan Gothic" w:cs="Malgan Gothic"/>
                <w:sz w:val="16"/>
              </w:rPr>
              <w:t>16/07/2024</w:t>
            </w:r>
          </w:p>
        </w:tc>
        <w:tc>
          <w:tcPr>
            <w:tcW w:w="1920" w:type="dxa"/>
            <w:tcBorders>
              <w:top w:val="single" w:sz="2" w:space="0" w:color="000000"/>
              <w:left w:val="single" w:sz="2" w:space="0" w:color="000000"/>
              <w:bottom w:val="single" w:sz="2" w:space="0" w:color="000000"/>
              <w:right w:val="single" w:sz="2" w:space="0" w:color="000000"/>
            </w:tcBorders>
          </w:tcPr>
          <w:p w14:paraId="48C88F80" w14:textId="77777777" w:rsidR="00053D93" w:rsidRDefault="00260B75">
            <w:pPr>
              <w:ind w:left="40"/>
              <w:jc w:val="center"/>
            </w:pPr>
            <w:r>
              <w:rPr>
                <w:rFonts w:ascii="Malgan Gothic" w:eastAsia="Malgan Gothic" w:hAnsi="Malgan Gothic" w:cs="Malgan Gothic"/>
                <w:sz w:val="16"/>
              </w:rPr>
              <w:t>29/07/2024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5136090D" w14:textId="77777777" w:rsidR="00053D93" w:rsidRDefault="00260B75">
            <w:pPr>
              <w:ind w:right="32"/>
              <w:jc w:val="right"/>
            </w:pPr>
            <w:r>
              <w:rPr>
                <w:rFonts w:ascii="Malgan Gothic" w:eastAsia="Malgan Gothic" w:hAnsi="Malgan Gothic" w:cs="Malgan Gothic"/>
                <w:sz w:val="16"/>
              </w:rPr>
              <w:t>123.00</w:t>
            </w:r>
          </w:p>
        </w:tc>
      </w:tr>
      <w:tr w:rsidR="00053D93" w14:paraId="741FCF59" w14:textId="77777777">
        <w:trPr>
          <w:trHeight w:val="530"/>
        </w:trPr>
        <w:tc>
          <w:tcPr>
            <w:tcW w:w="317" w:type="dxa"/>
            <w:tcBorders>
              <w:top w:val="single" w:sz="2" w:space="0" w:color="000000"/>
              <w:left w:val="single" w:sz="2" w:space="0" w:color="000000"/>
              <w:bottom w:val="single" w:sz="2" w:space="0" w:color="000000"/>
              <w:right w:val="nil"/>
            </w:tcBorders>
          </w:tcPr>
          <w:p w14:paraId="0104D12E" w14:textId="77777777" w:rsidR="00053D93" w:rsidRDefault="00260B75">
            <w:pPr>
              <w:ind w:left="50"/>
              <w:jc w:val="both"/>
            </w:pPr>
            <w:r>
              <w:rPr>
                <w:rFonts w:ascii="Malgan Gothic" w:eastAsia="Malgan Gothic" w:hAnsi="Malgan Gothic" w:cs="Malgan Gothic"/>
                <w:sz w:val="14"/>
              </w:rPr>
              <w:t>48</w:t>
            </w:r>
          </w:p>
        </w:tc>
        <w:tc>
          <w:tcPr>
            <w:tcW w:w="288" w:type="dxa"/>
            <w:tcBorders>
              <w:top w:val="single" w:sz="2" w:space="0" w:color="000000"/>
              <w:left w:val="nil"/>
              <w:bottom w:val="single" w:sz="2" w:space="0" w:color="000000"/>
              <w:right w:val="single" w:sz="2" w:space="0" w:color="000000"/>
            </w:tcBorders>
          </w:tcPr>
          <w:p w14:paraId="30D97168"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20E07641" w14:textId="77777777" w:rsidR="00053D93" w:rsidRDefault="00260B75">
            <w:pPr>
              <w:ind w:left="65"/>
            </w:pPr>
            <w:r>
              <w:rPr>
                <w:rFonts w:ascii="Malgan Gothic" w:eastAsia="Malgan Gothic" w:hAnsi="Malgan Gothic" w:cs="Malgan Gothic"/>
                <w:sz w:val="14"/>
              </w:rPr>
              <w:t>E545595622</w:t>
            </w:r>
          </w:p>
        </w:tc>
        <w:tc>
          <w:tcPr>
            <w:tcW w:w="1594" w:type="dxa"/>
            <w:tcBorders>
              <w:top w:val="single" w:sz="2" w:space="0" w:color="000000"/>
              <w:left w:val="single" w:sz="2" w:space="0" w:color="000000"/>
              <w:bottom w:val="single" w:sz="2" w:space="0" w:color="000000"/>
              <w:right w:val="single" w:sz="2" w:space="0" w:color="000000"/>
            </w:tcBorders>
          </w:tcPr>
          <w:p w14:paraId="5E2567ED" w14:textId="77777777" w:rsidR="00053D93" w:rsidRDefault="00260B75">
            <w:pPr>
              <w:ind w:left="48"/>
              <w:jc w:val="center"/>
            </w:pPr>
            <w:r>
              <w:rPr>
                <w:rFonts w:ascii="Malgan Gothic" w:eastAsia="Malgan Gothic" w:hAnsi="Malgan Gothic" w:cs="Malgan Gothic"/>
                <w:sz w:val="14"/>
              </w:rPr>
              <w:t>2024-19427</w:t>
            </w:r>
          </w:p>
        </w:tc>
        <w:tc>
          <w:tcPr>
            <w:tcW w:w="1577" w:type="dxa"/>
            <w:tcBorders>
              <w:top w:val="single" w:sz="2" w:space="0" w:color="000000"/>
              <w:left w:val="single" w:sz="2" w:space="0" w:color="000000"/>
              <w:bottom w:val="single" w:sz="2" w:space="0" w:color="000000"/>
              <w:right w:val="single" w:sz="2" w:space="0" w:color="000000"/>
            </w:tcBorders>
          </w:tcPr>
          <w:p w14:paraId="5C10DC28" w14:textId="77777777" w:rsidR="00053D93" w:rsidRDefault="00260B75">
            <w:pPr>
              <w:ind w:left="59"/>
              <w:jc w:val="center"/>
            </w:pPr>
            <w:r>
              <w:rPr>
                <w:rFonts w:ascii="Malgan Gothic" w:eastAsia="Malgan Gothic" w:hAnsi="Malgan Gothic" w:cs="Malgan Gothic"/>
                <w:sz w:val="16"/>
              </w:rPr>
              <w:t>16/07/2024</w:t>
            </w:r>
          </w:p>
        </w:tc>
        <w:tc>
          <w:tcPr>
            <w:tcW w:w="1920" w:type="dxa"/>
            <w:tcBorders>
              <w:top w:val="single" w:sz="2" w:space="0" w:color="000000"/>
              <w:left w:val="single" w:sz="2" w:space="0" w:color="000000"/>
              <w:bottom w:val="single" w:sz="2" w:space="0" w:color="000000"/>
              <w:right w:val="single" w:sz="2" w:space="0" w:color="000000"/>
            </w:tcBorders>
          </w:tcPr>
          <w:p w14:paraId="0DDABFA7" w14:textId="77777777" w:rsidR="00053D93" w:rsidRDefault="00260B75">
            <w:pPr>
              <w:ind w:left="40"/>
              <w:jc w:val="center"/>
            </w:pPr>
            <w:r>
              <w:rPr>
                <w:rFonts w:ascii="Malgan Gothic" w:eastAsia="Malgan Gothic" w:hAnsi="Malgan Gothic" w:cs="Malgan Gothic"/>
                <w:sz w:val="14"/>
              </w:rPr>
              <w:t>29/07/2024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1BF72A55" w14:textId="77777777" w:rsidR="00053D93" w:rsidRDefault="00260B75">
            <w:pPr>
              <w:ind w:right="32"/>
              <w:jc w:val="right"/>
            </w:pPr>
            <w:r>
              <w:rPr>
                <w:rFonts w:ascii="Malgan Gothic" w:eastAsia="Malgan Gothic" w:hAnsi="Malgan Gothic" w:cs="Malgan Gothic"/>
                <w:sz w:val="18"/>
              </w:rPr>
              <w:t>1,191.00</w:t>
            </w:r>
          </w:p>
        </w:tc>
      </w:tr>
      <w:tr w:rsidR="00053D93" w14:paraId="0AA0BB71" w14:textId="77777777">
        <w:trPr>
          <w:trHeight w:val="533"/>
        </w:trPr>
        <w:tc>
          <w:tcPr>
            <w:tcW w:w="317" w:type="dxa"/>
            <w:tcBorders>
              <w:top w:val="single" w:sz="2" w:space="0" w:color="000000"/>
              <w:left w:val="single" w:sz="2" w:space="0" w:color="000000"/>
              <w:bottom w:val="single" w:sz="2" w:space="0" w:color="000000"/>
              <w:right w:val="nil"/>
            </w:tcBorders>
          </w:tcPr>
          <w:p w14:paraId="03628CAF" w14:textId="77777777" w:rsidR="00053D93" w:rsidRDefault="00260B75">
            <w:pPr>
              <w:ind w:left="50"/>
              <w:jc w:val="both"/>
            </w:pPr>
            <w:r>
              <w:rPr>
                <w:rFonts w:ascii="Malgan Gothic" w:eastAsia="Malgan Gothic" w:hAnsi="Malgan Gothic" w:cs="Malgan Gothic"/>
                <w:sz w:val="14"/>
              </w:rPr>
              <w:t>49</w:t>
            </w:r>
          </w:p>
        </w:tc>
        <w:tc>
          <w:tcPr>
            <w:tcW w:w="288" w:type="dxa"/>
            <w:tcBorders>
              <w:top w:val="single" w:sz="2" w:space="0" w:color="000000"/>
              <w:left w:val="nil"/>
              <w:bottom w:val="single" w:sz="2" w:space="0" w:color="000000"/>
              <w:right w:val="single" w:sz="2" w:space="0" w:color="000000"/>
            </w:tcBorders>
          </w:tcPr>
          <w:p w14:paraId="76BBD915"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1F83EDB9" w14:textId="77777777" w:rsidR="00053D93" w:rsidRDefault="00260B75">
            <w:pPr>
              <w:ind w:left="58"/>
            </w:pPr>
            <w:r>
              <w:rPr>
                <w:rFonts w:ascii="Malgan Gothic" w:eastAsia="Malgan Gothic" w:hAnsi="Malgan Gothic" w:cs="Malgan Gothic"/>
                <w:sz w:val="16"/>
              </w:rPr>
              <w:t>E545604818</w:t>
            </w:r>
          </w:p>
        </w:tc>
        <w:tc>
          <w:tcPr>
            <w:tcW w:w="1594" w:type="dxa"/>
            <w:tcBorders>
              <w:top w:val="single" w:sz="2" w:space="0" w:color="000000"/>
              <w:left w:val="single" w:sz="2" w:space="0" w:color="000000"/>
              <w:bottom w:val="single" w:sz="2" w:space="0" w:color="000000"/>
              <w:right w:val="single" w:sz="2" w:space="0" w:color="000000"/>
            </w:tcBorders>
          </w:tcPr>
          <w:p w14:paraId="234385AF" w14:textId="77777777" w:rsidR="00053D93" w:rsidRDefault="00260B75">
            <w:pPr>
              <w:ind w:left="48"/>
              <w:jc w:val="center"/>
            </w:pPr>
            <w:r>
              <w:rPr>
                <w:rFonts w:ascii="Malgan Gothic" w:eastAsia="Malgan Gothic" w:hAnsi="Malgan Gothic" w:cs="Malgan Gothic"/>
                <w:sz w:val="14"/>
              </w:rPr>
              <w:t>2024-19097</w:t>
            </w:r>
          </w:p>
        </w:tc>
        <w:tc>
          <w:tcPr>
            <w:tcW w:w="1577" w:type="dxa"/>
            <w:tcBorders>
              <w:top w:val="single" w:sz="2" w:space="0" w:color="000000"/>
              <w:left w:val="single" w:sz="2" w:space="0" w:color="000000"/>
              <w:bottom w:val="single" w:sz="2" w:space="0" w:color="000000"/>
              <w:right w:val="single" w:sz="2" w:space="0" w:color="000000"/>
            </w:tcBorders>
          </w:tcPr>
          <w:p w14:paraId="706C5C3E" w14:textId="77777777" w:rsidR="00053D93" w:rsidRDefault="00260B75">
            <w:pPr>
              <w:ind w:left="59"/>
              <w:jc w:val="center"/>
            </w:pPr>
            <w:r>
              <w:rPr>
                <w:rFonts w:ascii="Malgan Gothic" w:eastAsia="Malgan Gothic" w:hAnsi="Malgan Gothic" w:cs="Malgan Gothic"/>
                <w:sz w:val="16"/>
              </w:rPr>
              <w:t>10/07/2024</w:t>
            </w:r>
          </w:p>
        </w:tc>
        <w:tc>
          <w:tcPr>
            <w:tcW w:w="1920" w:type="dxa"/>
            <w:tcBorders>
              <w:top w:val="single" w:sz="2" w:space="0" w:color="000000"/>
              <w:left w:val="single" w:sz="2" w:space="0" w:color="000000"/>
              <w:bottom w:val="single" w:sz="2" w:space="0" w:color="000000"/>
              <w:right w:val="single" w:sz="2" w:space="0" w:color="000000"/>
            </w:tcBorders>
          </w:tcPr>
          <w:p w14:paraId="081BB648" w14:textId="77777777" w:rsidR="00053D93" w:rsidRDefault="00260B75">
            <w:pPr>
              <w:ind w:left="40"/>
              <w:jc w:val="center"/>
            </w:pPr>
            <w:r>
              <w:rPr>
                <w:rFonts w:ascii="Malgan Gothic" w:eastAsia="Malgan Gothic" w:hAnsi="Malgan Gothic" w:cs="Malgan Gothic"/>
                <w:sz w:val="14"/>
              </w:rPr>
              <w:t>29/07/2024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2A2C9018" w14:textId="77777777" w:rsidR="00053D93" w:rsidRDefault="00260B75">
            <w:pPr>
              <w:ind w:right="32"/>
              <w:jc w:val="right"/>
            </w:pPr>
            <w:r>
              <w:rPr>
                <w:rFonts w:ascii="Malgan Gothic" w:eastAsia="Malgan Gothic" w:hAnsi="Malgan Gothic" w:cs="Malgan Gothic"/>
                <w:sz w:val="14"/>
              </w:rPr>
              <w:t>189.99</w:t>
            </w:r>
          </w:p>
        </w:tc>
      </w:tr>
      <w:tr w:rsidR="00053D93" w14:paraId="2B91414F" w14:textId="77777777">
        <w:trPr>
          <w:trHeight w:val="533"/>
        </w:trPr>
        <w:tc>
          <w:tcPr>
            <w:tcW w:w="317" w:type="dxa"/>
            <w:tcBorders>
              <w:top w:val="single" w:sz="2" w:space="0" w:color="000000"/>
              <w:left w:val="single" w:sz="2" w:space="0" w:color="000000"/>
              <w:bottom w:val="single" w:sz="2" w:space="0" w:color="000000"/>
              <w:right w:val="nil"/>
            </w:tcBorders>
          </w:tcPr>
          <w:p w14:paraId="5343A5E8" w14:textId="77777777" w:rsidR="00053D93" w:rsidRDefault="00260B75">
            <w:pPr>
              <w:ind w:left="58"/>
            </w:pPr>
            <w:r>
              <w:rPr>
                <w:rFonts w:ascii="Malgan Gothic" w:eastAsia="Malgan Gothic" w:hAnsi="Malgan Gothic" w:cs="Malgan Gothic"/>
                <w:sz w:val="14"/>
              </w:rPr>
              <w:t>50</w:t>
            </w:r>
          </w:p>
        </w:tc>
        <w:tc>
          <w:tcPr>
            <w:tcW w:w="288" w:type="dxa"/>
            <w:tcBorders>
              <w:top w:val="single" w:sz="2" w:space="0" w:color="000000"/>
              <w:left w:val="nil"/>
              <w:bottom w:val="single" w:sz="2" w:space="0" w:color="000000"/>
              <w:right w:val="single" w:sz="2" w:space="0" w:color="000000"/>
            </w:tcBorders>
          </w:tcPr>
          <w:p w14:paraId="65409689"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79DBFD21" w14:textId="77777777" w:rsidR="00053D93" w:rsidRDefault="00260B75">
            <w:pPr>
              <w:ind w:left="58"/>
              <w:jc w:val="both"/>
            </w:pPr>
            <w:r>
              <w:rPr>
                <w:rFonts w:ascii="Malgan Gothic" w:eastAsia="Malgan Gothic" w:hAnsi="Malgan Gothic" w:cs="Malgan Gothic"/>
                <w:sz w:val="16"/>
              </w:rPr>
              <w:t>E545606764</w:t>
            </w:r>
          </w:p>
        </w:tc>
        <w:tc>
          <w:tcPr>
            <w:tcW w:w="1594" w:type="dxa"/>
            <w:tcBorders>
              <w:top w:val="single" w:sz="2" w:space="0" w:color="000000"/>
              <w:left w:val="single" w:sz="2" w:space="0" w:color="000000"/>
              <w:bottom w:val="single" w:sz="2" w:space="0" w:color="000000"/>
              <w:right w:val="single" w:sz="2" w:space="0" w:color="000000"/>
            </w:tcBorders>
          </w:tcPr>
          <w:p w14:paraId="078AC265" w14:textId="77777777" w:rsidR="00053D93" w:rsidRDefault="00260B75">
            <w:pPr>
              <w:ind w:left="41"/>
              <w:jc w:val="center"/>
            </w:pPr>
            <w:r>
              <w:rPr>
                <w:rFonts w:ascii="Malgan Gothic" w:eastAsia="Malgan Gothic" w:hAnsi="Malgan Gothic" w:cs="Malgan Gothic"/>
                <w:sz w:val="14"/>
              </w:rPr>
              <w:t>2024-19097</w:t>
            </w:r>
          </w:p>
        </w:tc>
        <w:tc>
          <w:tcPr>
            <w:tcW w:w="1577" w:type="dxa"/>
            <w:tcBorders>
              <w:top w:val="single" w:sz="2" w:space="0" w:color="000000"/>
              <w:left w:val="single" w:sz="2" w:space="0" w:color="000000"/>
              <w:bottom w:val="single" w:sz="2" w:space="0" w:color="000000"/>
              <w:right w:val="single" w:sz="2" w:space="0" w:color="000000"/>
            </w:tcBorders>
          </w:tcPr>
          <w:p w14:paraId="71504347" w14:textId="77777777" w:rsidR="00053D93" w:rsidRDefault="00260B75">
            <w:pPr>
              <w:ind w:left="52"/>
              <w:jc w:val="center"/>
            </w:pPr>
            <w:r>
              <w:rPr>
                <w:rFonts w:ascii="Malgan Gothic" w:eastAsia="Malgan Gothic" w:hAnsi="Malgan Gothic" w:cs="Malgan Gothic"/>
                <w:sz w:val="16"/>
              </w:rPr>
              <w:t>10/07/2024</w:t>
            </w:r>
          </w:p>
        </w:tc>
        <w:tc>
          <w:tcPr>
            <w:tcW w:w="1920" w:type="dxa"/>
            <w:tcBorders>
              <w:top w:val="single" w:sz="2" w:space="0" w:color="000000"/>
              <w:left w:val="single" w:sz="2" w:space="0" w:color="000000"/>
              <w:bottom w:val="single" w:sz="2" w:space="0" w:color="000000"/>
              <w:right w:val="single" w:sz="2" w:space="0" w:color="000000"/>
            </w:tcBorders>
          </w:tcPr>
          <w:p w14:paraId="2F31E98A" w14:textId="77777777" w:rsidR="00053D93" w:rsidRDefault="00260B75">
            <w:pPr>
              <w:ind w:left="40"/>
              <w:jc w:val="center"/>
            </w:pPr>
            <w:r>
              <w:rPr>
                <w:rFonts w:ascii="Malgan Gothic" w:eastAsia="Malgan Gothic" w:hAnsi="Malgan Gothic" w:cs="Malgan Gothic"/>
                <w:sz w:val="16"/>
              </w:rPr>
              <w:t>29/07/2024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28D91898" w14:textId="77777777" w:rsidR="00053D93" w:rsidRDefault="00260B75">
            <w:pPr>
              <w:ind w:right="39"/>
              <w:jc w:val="right"/>
            </w:pPr>
            <w:r>
              <w:rPr>
                <w:rFonts w:ascii="Malgan Gothic" w:eastAsia="Malgan Gothic" w:hAnsi="Malgan Gothic" w:cs="Malgan Gothic"/>
                <w:sz w:val="14"/>
              </w:rPr>
              <w:t>19.99</w:t>
            </w:r>
          </w:p>
        </w:tc>
      </w:tr>
      <w:tr w:rsidR="00053D93" w14:paraId="13C6E0F3" w14:textId="77777777">
        <w:trPr>
          <w:trHeight w:val="533"/>
        </w:trPr>
        <w:tc>
          <w:tcPr>
            <w:tcW w:w="317" w:type="dxa"/>
            <w:tcBorders>
              <w:top w:val="single" w:sz="2" w:space="0" w:color="000000"/>
              <w:left w:val="single" w:sz="2" w:space="0" w:color="000000"/>
              <w:bottom w:val="single" w:sz="2" w:space="0" w:color="000000"/>
              <w:right w:val="nil"/>
            </w:tcBorders>
          </w:tcPr>
          <w:p w14:paraId="7E832F1D" w14:textId="77777777" w:rsidR="00053D93" w:rsidRDefault="00053D93"/>
        </w:tc>
        <w:tc>
          <w:tcPr>
            <w:tcW w:w="288" w:type="dxa"/>
            <w:tcBorders>
              <w:top w:val="single" w:sz="2" w:space="0" w:color="000000"/>
              <w:left w:val="nil"/>
              <w:bottom w:val="single" w:sz="2" w:space="0" w:color="000000"/>
              <w:right w:val="single" w:sz="2" w:space="0" w:color="000000"/>
            </w:tcBorders>
          </w:tcPr>
          <w:p w14:paraId="09B36D51"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4375609E" w14:textId="77777777" w:rsidR="00053D93" w:rsidRDefault="00260B75">
            <w:pPr>
              <w:ind w:left="58"/>
              <w:jc w:val="both"/>
            </w:pPr>
            <w:r>
              <w:rPr>
                <w:rFonts w:ascii="Malgan Gothic" w:eastAsia="Malgan Gothic" w:hAnsi="Malgan Gothic" w:cs="Malgan Gothic"/>
                <w:sz w:val="16"/>
              </w:rPr>
              <w:t>E545650836</w:t>
            </w:r>
          </w:p>
        </w:tc>
        <w:tc>
          <w:tcPr>
            <w:tcW w:w="1594" w:type="dxa"/>
            <w:tcBorders>
              <w:top w:val="single" w:sz="2" w:space="0" w:color="000000"/>
              <w:left w:val="single" w:sz="2" w:space="0" w:color="000000"/>
              <w:bottom w:val="single" w:sz="2" w:space="0" w:color="000000"/>
              <w:right w:val="single" w:sz="2" w:space="0" w:color="000000"/>
            </w:tcBorders>
          </w:tcPr>
          <w:p w14:paraId="09085CFA" w14:textId="77777777" w:rsidR="00053D93" w:rsidRDefault="00260B75">
            <w:pPr>
              <w:ind w:left="41"/>
              <w:jc w:val="center"/>
            </w:pPr>
            <w:r>
              <w:rPr>
                <w:rFonts w:ascii="Malgan Gothic" w:eastAsia="Malgan Gothic" w:hAnsi="Malgan Gothic" w:cs="Malgan Gothic"/>
                <w:sz w:val="16"/>
              </w:rPr>
              <w:t>2024-18152</w:t>
            </w:r>
          </w:p>
        </w:tc>
        <w:tc>
          <w:tcPr>
            <w:tcW w:w="1577" w:type="dxa"/>
            <w:tcBorders>
              <w:top w:val="single" w:sz="2" w:space="0" w:color="000000"/>
              <w:left w:val="single" w:sz="2" w:space="0" w:color="000000"/>
              <w:bottom w:val="single" w:sz="2" w:space="0" w:color="000000"/>
              <w:right w:val="single" w:sz="2" w:space="0" w:color="000000"/>
            </w:tcBorders>
          </w:tcPr>
          <w:p w14:paraId="20E3928D" w14:textId="77777777" w:rsidR="00053D93" w:rsidRDefault="00260B75">
            <w:pPr>
              <w:ind w:left="38"/>
              <w:jc w:val="center"/>
            </w:pPr>
            <w:r>
              <w:rPr>
                <w:rFonts w:ascii="Malgan Gothic" w:eastAsia="Malgan Gothic" w:hAnsi="Malgan Gothic" w:cs="Malgan Gothic"/>
                <w:sz w:val="16"/>
              </w:rPr>
              <w:t>2일06/2024</w:t>
            </w:r>
          </w:p>
        </w:tc>
        <w:tc>
          <w:tcPr>
            <w:tcW w:w="1920" w:type="dxa"/>
            <w:tcBorders>
              <w:top w:val="single" w:sz="2" w:space="0" w:color="000000"/>
              <w:left w:val="single" w:sz="2" w:space="0" w:color="000000"/>
              <w:bottom w:val="single" w:sz="2" w:space="0" w:color="000000"/>
              <w:right w:val="single" w:sz="2" w:space="0" w:color="000000"/>
            </w:tcBorders>
          </w:tcPr>
          <w:p w14:paraId="5579F9BF" w14:textId="77777777" w:rsidR="00053D93" w:rsidRDefault="00260B75">
            <w:pPr>
              <w:ind w:left="33"/>
              <w:jc w:val="center"/>
            </w:pPr>
            <w:r>
              <w:rPr>
                <w:rFonts w:ascii="Malgan Gothic" w:eastAsia="Malgan Gothic" w:hAnsi="Malgan Gothic" w:cs="Malgan Gothic"/>
                <w:sz w:val="16"/>
              </w:rPr>
              <w:t>30/07/2024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436EFC03" w14:textId="77777777" w:rsidR="00053D93" w:rsidRDefault="00260B75">
            <w:pPr>
              <w:ind w:right="39"/>
              <w:jc w:val="right"/>
            </w:pPr>
            <w:r>
              <w:rPr>
                <w:rFonts w:ascii="Malgan Gothic" w:eastAsia="Malgan Gothic" w:hAnsi="Malgan Gothic" w:cs="Malgan Gothic"/>
                <w:sz w:val="18"/>
              </w:rPr>
              <w:t>14.850.00</w:t>
            </w:r>
          </w:p>
        </w:tc>
      </w:tr>
      <w:tr w:rsidR="00053D93" w14:paraId="7EFA785C" w14:textId="77777777">
        <w:trPr>
          <w:trHeight w:val="528"/>
        </w:trPr>
        <w:tc>
          <w:tcPr>
            <w:tcW w:w="317" w:type="dxa"/>
            <w:tcBorders>
              <w:top w:val="single" w:sz="2" w:space="0" w:color="000000"/>
              <w:left w:val="single" w:sz="2" w:space="0" w:color="000000"/>
              <w:bottom w:val="single" w:sz="2" w:space="0" w:color="000000"/>
              <w:right w:val="nil"/>
            </w:tcBorders>
          </w:tcPr>
          <w:p w14:paraId="4FB0864B" w14:textId="77777777" w:rsidR="00053D93" w:rsidRDefault="00260B75">
            <w:pPr>
              <w:ind w:left="58"/>
            </w:pPr>
            <w:r>
              <w:rPr>
                <w:rFonts w:ascii="Malgan Gothic" w:eastAsia="Malgan Gothic" w:hAnsi="Malgan Gothic" w:cs="Malgan Gothic"/>
                <w:sz w:val="14"/>
              </w:rPr>
              <w:t>52</w:t>
            </w:r>
          </w:p>
        </w:tc>
        <w:tc>
          <w:tcPr>
            <w:tcW w:w="288" w:type="dxa"/>
            <w:tcBorders>
              <w:top w:val="single" w:sz="2" w:space="0" w:color="000000"/>
              <w:left w:val="nil"/>
              <w:bottom w:val="single" w:sz="2" w:space="0" w:color="000000"/>
              <w:right w:val="single" w:sz="2" w:space="0" w:color="000000"/>
            </w:tcBorders>
          </w:tcPr>
          <w:p w14:paraId="421CD80B"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6798EDF1" w14:textId="77777777" w:rsidR="00053D93" w:rsidRDefault="00260B75">
            <w:pPr>
              <w:ind w:left="58"/>
            </w:pPr>
            <w:r>
              <w:rPr>
                <w:rFonts w:ascii="Malgan Gothic" w:eastAsia="Malgan Gothic" w:hAnsi="Malgan Gothic" w:cs="Malgan Gothic"/>
                <w:sz w:val="16"/>
              </w:rPr>
              <w:t>E545915716</w:t>
            </w:r>
          </w:p>
        </w:tc>
        <w:tc>
          <w:tcPr>
            <w:tcW w:w="1594" w:type="dxa"/>
            <w:tcBorders>
              <w:top w:val="single" w:sz="2" w:space="0" w:color="000000"/>
              <w:left w:val="single" w:sz="2" w:space="0" w:color="000000"/>
              <w:bottom w:val="single" w:sz="2" w:space="0" w:color="000000"/>
              <w:right w:val="single" w:sz="2" w:space="0" w:color="000000"/>
            </w:tcBorders>
          </w:tcPr>
          <w:p w14:paraId="70ED2F7B" w14:textId="77777777" w:rsidR="00053D93" w:rsidRDefault="00260B75">
            <w:pPr>
              <w:ind w:left="41"/>
              <w:jc w:val="center"/>
            </w:pPr>
            <w:r>
              <w:rPr>
                <w:rFonts w:ascii="Malgan Gothic" w:eastAsia="Malgan Gothic" w:hAnsi="Malgan Gothic" w:cs="Malgan Gothic"/>
                <w:sz w:val="14"/>
              </w:rPr>
              <w:t>2024-18777</w:t>
            </w:r>
          </w:p>
        </w:tc>
        <w:tc>
          <w:tcPr>
            <w:tcW w:w="1577" w:type="dxa"/>
            <w:tcBorders>
              <w:top w:val="single" w:sz="2" w:space="0" w:color="000000"/>
              <w:left w:val="single" w:sz="2" w:space="0" w:color="000000"/>
              <w:bottom w:val="single" w:sz="2" w:space="0" w:color="000000"/>
              <w:right w:val="single" w:sz="2" w:space="0" w:color="000000"/>
            </w:tcBorders>
          </w:tcPr>
          <w:p w14:paraId="56438854" w14:textId="77777777" w:rsidR="00053D93" w:rsidRDefault="00260B75">
            <w:pPr>
              <w:ind w:left="45"/>
              <w:jc w:val="center"/>
            </w:pPr>
            <w:r>
              <w:rPr>
                <w:rFonts w:ascii="Malgan Gothic" w:eastAsia="Malgan Gothic" w:hAnsi="Malgan Gothic" w:cs="Malgan Gothic"/>
                <w:sz w:val="14"/>
              </w:rPr>
              <w:t>15/07/2024</w:t>
            </w:r>
          </w:p>
        </w:tc>
        <w:tc>
          <w:tcPr>
            <w:tcW w:w="1920" w:type="dxa"/>
            <w:tcBorders>
              <w:top w:val="single" w:sz="2" w:space="0" w:color="000000"/>
              <w:left w:val="single" w:sz="2" w:space="0" w:color="000000"/>
              <w:bottom w:val="single" w:sz="2" w:space="0" w:color="000000"/>
              <w:right w:val="single" w:sz="2" w:space="0" w:color="000000"/>
            </w:tcBorders>
          </w:tcPr>
          <w:p w14:paraId="77D1E816" w14:textId="77777777" w:rsidR="00053D93" w:rsidRDefault="00260B75">
            <w:pPr>
              <w:ind w:left="40"/>
              <w:jc w:val="center"/>
            </w:pPr>
            <w:r>
              <w:rPr>
                <w:rFonts w:ascii="Malgan Gothic" w:eastAsia="Malgan Gothic" w:hAnsi="Malgan Gothic" w:cs="Malgan Gothic"/>
                <w:sz w:val="14"/>
              </w:rPr>
              <w:t>5/08/2024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4AC19192" w14:textId="77777777" w:rsidR="00053D93" w:rsidRDefault="00260B75">
            <w:pPr>
              <w:ind w:right="39"/>
              <w:jc w:val="right"/>
            </w:pPr>
            <w:r>
              <w:rPr>
                <w:rFonts w:ascii="Malgan Gothic" w:eastAsia="Malgan Gothic" w:hAnsi="Malgan Gothic" w:cs="Malgan Gothic"/>
                <w:sz w:val="16"/>
              </w:rPr>
              <w:t>759.50</w:t>
            </w:r>
          </w:p>
        </w:tc>
      </w:tr>
      <w:tr w:rsidR="00053D93" w14:paraId="56B03CF6" w14:textId="77777777">
        <w:trPr>
          <w:trHeight w:val="533"/>
        </w:trPr>
        <w:tc>
          <w:tcPr>
            <w:tcW w:w="317" w:type="dxa"/>
            <w:tcBorders>
              <w:top w:val="single" w:sz="2" w:space="0" w:color="000000"/>
              <w:left w:val="single" w:sz="2" w:space="0" w:color="000000"/>
              <w:bottom w:val="single" w:sz="2" w:space="0" w:color="000000"/>
              <w:right w:val="nil"/>
            </w:tcBorders>
          </w:tcPr>
          <w:p w14:paraId="69E857F5" w14:textId="77777777" w:rsidR="00053D93" w:rsidRDefault="00260B75">
            <w:pPr>
              <w:ind w:left="58"/>
            </w:pPr>
            <w:r>
              <w:rPr>
                <w:rFonts w:ascii="Malgan Gothic" w:eastAsia="Malgan Gothic" w:hAnsi="Malgan Gothic" w:cs="Malgan Gothic"/>
                <w:sz w:val="14"/>
              </w:rPr>
              <w:t>53</w:t>
            </w:r>
          </w:p>
        </w:tc>
        <w:tc>
          <w:tcPr>
            <w:tcW w:w="288" w:type="dxa"/>
            <w:tcBorders>
              <w:top w:val="single" w:sz="2" w:space="0" w:color="000000"/>
              <w:left w:val="nil"/>
              <w:bottom w:val="single" w:sz="2" w:space="0" w:color="000000"/>
              <w:right w:val="single" w:sz="2" w:space="0" w:color="000000"/>
            </w:tcBorders>
          </w:tcPr>
          <w:p w14:paraId="118339A2"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7246B758" w14:textId="77777777" w:rsidR="00053D93" w:rsidRDefault="00260B75">
            <w:pPr>
              <w:ind w:left="50"/>
            </w:pPr>
            <w:r>
              <w:rPr>
                <w:rFonts w:ascii="Malgan Gothic" w:eastAsia="Malgan Gothic" w:hAnsi="Malgan Gothic" w:cs="Malgan Gothic"/>
                <w:sz w:val="16"/>
              </w:rPr>
              <w:t>E545944953</w:t>
            </w:r>
          </w:p>
        </w:tc>
        <w:tc>
          <w:tcPr>
            <w:tcW w:w="1594" w:type="dxa"/>
            <w:tcBorders>
              <w:top w:val="single" w:sz="2" w:space="0" w:color="000000"/>
              <w:left w:val="single" w:sz="2" w:space="0" w:color="000000"/>
              <w:bottom w:val="single" w:sz="2" w:space="0" w:color="000000"/>
              <w:right w:val="single" w:sz="2" w:space="0" w:color="000000"/>
            </w:tcBorders>
          </w:tcPr>
          <w:p w14:paraId="1DF48D5A" w14:textId="77777777" w:rsidR="00053D93" w:rsidRDefault="00260B75">
            <w:pPr>
              <w:ind w:left="26"/>
              <w:jc w:val="center"/>
            </w:pPr>
            <w:r>
              <w:rPr>
                <w:rFonts w:ascii="Malgan Gothic" w:eastAsia="Malgan Gothic" w:hAnsi="Malgan Gothic" w:cs="Malgan Gothic"/>
                <w:sz w:val="14"/>
              </w:rPr>
              <w:t>2024-19966</w:t>
            </w:r>
          </w:p>
        </w:tc>
        <w:tc>
          <w:tcPr>
            <w:tcW w:w="1577" w:type="dxa"/>
            <w:tcBorders>
              <w:top w:val="single" w:sz="2" w:space="0" w:color="000000"/>
              <w:left w:val="single" w:sz="2" w:space="0" w:color="000000"/>
              <w:bottom w:val="single" w:sz="2" w:space="0" w:color="000000"/>
              <w:right w:val="single" w:sz="2" w:space="0" w:color="000000"/>
            </w:tcBorders>
          </w:tcPr>
          <w:p w14:paraId="49DF7C34" w14:textId="77777777" w:rsidR="00053D93" w:rsidRDefault="00260B75">
            <w:pPr>
              <w:ind w:left="31"/>
              <w:jc w:val="center"/>
            </w:pPr>
            <w:r>
              <w:rPr>
                <w:rFonts w:ascii="Malgan Gothic" w:eastAsia="Malgan Gothic" w:hAnsi="Malgan Gothic" w:cs="Malgan Gothic"/>
                <w:sz w:val="16"/>
              </w:rPr>
              <w:t>26/07/2024</w:t>
            </w:r>
          </w:p>
        </w:tc>
        <w:tc>
          <w:tcPr>
            <w:tcW w:w="1920" w:type="dxa"/>
            <w:tcBorders>
              <w:top w:val="single" w:sz="2" w:space="0" w:color="000000"/>
              <w:left w:val="single" w:sz="2" w:space="0" w:color="000000"/>
              <w:bottom w:val="single" w:sz="2" w:space="0" w:color="000000"/>
              <w:right w:val="single" w:sz="2" w:space="0" w:color="000000"/>
            </w:tcBorders>
          </w:tcPr>
          <w:p w14:paraId="1DACADCF" w14:textId="77777777" w:rsidR="00053D93" w:rsidRDefault="00260B75">
            <w:pPr>
              <w:ind w:left="26"/>
              <w:jc w:val="center"/>
            </w:pPr>
            <w:r>
              <w:rPr>
                <w:rFonts w:ascii="Malgan Gothic" w:eastAsia="Malgan Gothic" w:hAnsi="Malgan Gothic" w:cs="Malgan Gothic"/>
                <w:sz w:val="14"/>
              </w:rPr>
              <w:t>5/08/2024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0494ACA7" w14:textId="77777777" w:rsidR="00053D93" w:rsidRDefault="00260B75">
            <w:pPr>
              <w:ind w:right="46"/>
              <w:jc w:val="right"/>
            </w:pPr>
            <w:r>
              <w:rPr>
                <w:rFonts w:ascii="Malgan Gothic" w:eastAsia="Malgan Gothic" w:hAnsi="Malgan Gothic" w:cs="Malgan Gothic"/>
                <w:sz w:val="14"/>
              </w:rPr>
              <w:t>185.00</w:t>
            </w:r>
          </w:p>
        </w:tc>
      </w:tr>
      <w:tr w:rsidR="00053D93" w14:paraId="05B80310" w14:textId="77777777">
        <w:trPr>
          <w:trHeight w:val="530"/>
        </w:trPr>
        <w:tc>
          <w:tcPr>
            <w:tcW w:w="317" w:type="dxa"/>
            <w:tcBorders>
              <w:top w:val="single" w:sz="2" w:space="0" w:color="000000"/>
              <w:left w:val="single" w:sz="2" w:space="0" w:color="000000"/>
              <w:bottom w:val="single" w:sz="2" w:space="0" w:color="000000"/>
              <w:right w:val="nil"/>
            </w:tcBorders>
          </w:tcPr>
          <w:p w14:paraId="421F8F58" w14:textId="77777777" w:rsidR="00053D93" w:rsidRDefault="00260B75">
            <w:pPr>
              <w:ind w:left="50"/>
              <w:jc w:val="both"/>
            </w:pPr>
            <w:r>
              <w:rPr>
                <w:rFonts w:ascii="Malgan Gothic" w:eastAsia="Malgan Gothic" w:hAnsi="Malgan Gothic" w:cs="Malgan Gothic"/>
                <w:sz w:val="14"/>
              </w:rPr>
              <w:t>54</w:t>
            </w:r>
          </w:p>
        </w:tc>
        <w:tc>
          <w:tcPr>
            <w:tcW w:w="288" w:type="dxa"/>
            <w:tcBorders>
              <w:top w:val="single" w:sz="2" w:space="0" w:color="000000"/>
              <w:left w:val="nil"/>
              <w:bottom w:val="single" w:sz="2" w:space="0" w:color="000000"/>
              <w:right w:val="single" w:sz="2" w:space="0" w:color="000000"/>
            </w:tcBorders>
          </w:tcPr>
          <w:p w14:paraId="4FCB04F9"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3A8AB4C6" w14:textId="77777777" w:rsidR="00053D93" w:rsidRDefault="00260B75">
            <w:pPr>
              <w:ind w:left="50"/>
            </w:pPr>
            <w:r>
              <w:rPr>
                <w:rFonts w:ascii="Malgan Gothic" w:eastAsia="Malgan Gothic" w:hAnsi="Malgan Gothic" w:cs="Malgan Gothic"/>
                <w:sz w:val="16"/>
              </w:rPr>
              <w:t>E545988578</w:t>
            </w:r>
          </w:p>
        </w:tc>
        <w:tc>
          <w:tcPr>
            <w:tcW w:w="1594" w:type="dxa"/>
            <w:tcBorders>
              <w:top w:val="single" w:sz="2" w:space="0" w:color="000000"/>
              <w:left w:val="single" w:sz="2" w:space="0" w:color="000000"/>
              <w:bottom w:val="single" w:sz="2" w:space="0" w:color="000000"/>
              <w:right w:val="single" w:sz="2" w:space="0" w:color="000000"/>
            </w:tcBorders>
          </w:tcPr>
          <w:p w14:paraId="7645F47B" w14:textId="77777777" w:rsidR="00053D93" w:rsidRDefault="00260B75">
            <w:pPr>
              <w:ind w:left="26"/>
              <w:jc w:val="center"/>
            </w:pPr>
            <w:r>
              <w:rPr>
                <w:rFonts w:ascii="Malgan Gothic" w:eastAsia="Malgan Gothic" w:hAnsi="Malgan Gothic" w:cs="Malgan Gothic"/>
                <w:sz w:val="14"/>
              </w:rPr>
              <w:t>2024-19550</w:t>
            </w:r>
          </w:p>
        </w:tc>
        <w:tc>
          <w:tcPr>
            <w:tcW w:w="1577" w:type="dxa"/>
            <w:tcBorders>
              <w:top w:val="single" w:sz="2" w:space="0" w:color="000000"/>
              <w:left w:val="single" w:sz="2" w:space="0" w:color="000000"/>
              <w:bottom w:val="single" w:sz="2" w:space="0" w:color="000000"/>
              <w:right w:val="single" w:sz="2" w:space="0" w:color="000000"/>
            </w:tcBorders>
          </w:tcPr>
          <w:p w14:paraId="74C109BE" w14:textId="77777777" w:rsidR="00053D93" w:rsidRDefault="00260B75">
            <w:pPr>
              <w:ind w:left="31"/>
              <w:jc w:val="center"/>
            </w:pPr>
            <w:r>
              <w:rPr>
                <w:rFonts w:ascii="Malgan Gothic" w:eastAsia="Malgan Gothic" w:hAnsi="Malgan Gothic" w:cs="Malgan Gothic"/>
                <w:sz w:val="14"/>
              </w:rPr>
              <w:t>24/07/2024</w:t>
            </w:r>
          </w:p>
        </w:tc>
        <w:tc>
          <w:tcPr>
            <w:tcW w:w="1920" w:type="dxa"/>
            <w:tcBorders>
              <w:top w:val="single" w:sz="2" w:space="0" w:color="000000"/>
              <w:left w:val="single" w:sz="2" w:space="0" w:color="000000"/>
              <w:bottom w:val="single" w:sz="2" w:space="0" w:color="000000"/>
              <w:right w:val="single" w:sz="2" w:space="0" w:color="000000"/>
            </w:tcBorders>
          </w:tcPr>
          <w:p w14:paraId="2C9FAFFE" w14:textId="77777777" w:rsidR="00053D93" w:rsidRDefault="00260B75">
            <w:pPr>
              <w:ind w:left="26"/>
              <w:jc w:val="center"/>
            </w:pPr>
            <w:r>
              <w:rPr>
                <w:rFonts w:ascii="Malgan Gothic" w:eastAsia="Malgan Gothic" w:hAnsi="Malgan Gothic" w:cs="Malgan Gothic"/>
                <w:sz w:val="16"/>
              </w:rPr>
              <w:t>6/08/2024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052F6165" w14:textId="77777777" w:rsidR="00053D93" w:rsidRDefault="00260B75">
            <w:pPr>
              <w:ind w:right="46"/>
              <w:jc w:val="right"/>
            </w:pPr>
            <w:r>
              <w:rPr>
                <w:rFonts w:ascii="Malgan Gothic" w:eastAsia="Malgan Gothic" w:hAnsi="Malgan Gothic" w:cs="Malgan Gothic"/>
                <w:sz w:val="14"/>
              </w:rPr>
              <w:t>40.00</w:t>
            </w:r>
          </w:p>
        </w:tc>
      </w:tr>
      <w:tr w:rsidR="00053D93" w14:paraId="50B5A1BF" w14:textId="77777777">
        <w:trPr>
          <w:trHeight w:val="533"/>
        </w:trPr>
        <w:tc>
          <w:tcPr>
            <w:tcW w:w="317" w:type="dxa"/>
            <w:tcBorders>
              <w:top w:val="single" w:sz="2" w:space="0" w:color="000000"/>
              <w:left w:val="single" w:sz="2" w:space="0" w:color="000000"/>
              <w:bottom w:val="single" w:sz="2" w:space="0" w:color="000000"/>
              <w:right w:val="nil"/>
            </w:tcBorders>
          </w:tcPr>
          <w:p w14:paraId="7F5A2618" w14:textId="77777777" w:rsidR="00053D93" w:rsidRDefault="00053D93"/>
        </w:tc>
        <w:tc>
          <w:tcPr>
            <w:tcW w:w="288" w:type="dxa"/>
            <w:tcBorders>
              <w:top w:val="single" w:sz="2" w:space="0" w:color="000000"/>
              <w:left w:val="nil"/>
              <w:bottom w:val="single" w:sz="2" w:space="0" w:color="000000"/>
              <w:right w:val="single" w:sz="2" w:space="0" w:color="000000"/>
            </w:tcBorders>
          </w:tcPr>
          <w:p w14:paraId="40746A25"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4D18D7FF" w14:textId="77777777" w:rsidR="00053D93" w:rsidRDefault="00260B75">
            <w:pPr>
              <w:ind w:left="50"/>
            </w:pPr>
            <w:r>
              <w:rPr>
                <w:rFonts w:ascii="Malgan Gothic" w:eastAsia="Malgan Gothic" w:hAnsi="Malgan Gothic" w:cs="Malgan Gothic"/>
                <w:sz w:val="14"/>
              </w:rPr>
              <w:t>E545989787</w:t>
            </w:r>
          </w:p>
        </w:tc>
        <w:tc>
          <w:tcPr>
            <w:tcW w:w="1594" w:type="dxa"/>
            <w:tcBorders>
              <w:top w:val="single" w:sz="2" w:space="0" w:color="000000"/>
              <w:left w:val="single" w:sz="2" w:space="0" w:color="000000"/>
              <w:bottom w:val="single" w:sz="2" w:space="0" w:color="000000"/>
              <w:right w:val="single" w:sz="2" w:space="0" w:color="000000"/>
            </w:tcBorders>
          </w:tcPr>
          <w:p w14:paraId="4D232136" w14:textId="77777777" w:rsidR="00053D93" w:rsidRDefault="00260B75">
            <w:pPr>
              <w:ind w:left="12"/>
              <w:jc w:val="center"/>
            </w:pPr>
            <w:r>
              <w:rPr>
                <w:rFonts w:ascii="Malgan Gothic" w:eastAsia="Malgan Gothic" w:hAnsi="Malgan Gothic" w:cs="Malgan Gothic"/>
                <w:sz w:val="14"/>
              </w:rPr>
              <w:t>2024-19892</w:t>
            </w:r>
          </w:p>
        </w:tc>
        <w:tc>
          <w:tcPr>
            <w:tcW w:w="1577" w:type="dxa"/>
            <w:tcBorders>
              <w:top w:val="single" w:sz="2" w:space="0" w:color="000000"/>
              <w:left w:val="single" w:sz="2" w:space="0" w:color="000000"/>
              <w:bottom w:val="single" w:sz="2" w:space="0" w:color="000000"/>
              <w:right w:val="single" w:sz="2" w:space="0" w:color="000000"/>
            </w:tcBorders>
          </w:tcPr>
          <w:p w14:paraId="57BDEAB5" w14:textId="77777777" w:rsidR="00053D93" w:rsidRDefault="00260B75">
            <w:pPr>
              <w:ind w:left="23"/>
              <w:jc w:val="center"/>
            </w:pPr>
            <w:r>
              <w:rPr>
                <w:rFonts w:ascii="Malgan Gothic" w:eastAsia="Malgan Gothic" w:hAnsi="Malgan Gothic" w:cs="Malgan Gothic"/>
                <w:sz w:val="16"/>
              </w:rPr>
              <w:t>31/07/2024</w:t>
            </w:r>
          </w:p>
        </w:tc>
        <w:tc>
          <w:tcPr>
            <w:tcW w:w="1920" w:type="dxa"/>
            <w:tcBorders>
              <w:top w:val="single" w:sz="2" w:space="0" w:color="000000"/>
              <w:left w:val="single" w:sz="2" w:space="0" w:color="000000"/>
              <w:bottom w:val="single" w:sz="2" w:space="0" w:color="000000"/>
              <w:right w:val="single" w:sz="2" w:space="0" w:color="000000"/>
            </w:tcBorders>
          </w:tcPr>
          <w:p w14:paraId="2BE216A5" w14:textId="77777777" w:rsidR="00053D93" w:rsidRDefault="00260B75">
            <w:pPr>
              <w:ind w:left="26"/>
              <w:jc w:val="center"/>
            </w:pPr>
            <w:r>
              <w:rPr>
                <w:rFonts w:ascii="Malgan Gothic" w:eastAsia="Malgan Gothic" w:hAnsi="Malgan Gothic" w:cs="Malgan Gothic"/>
                <w:sz w:val="14"/>
              </w:rPr>
              <w:t>8/08/2024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1B8B7935" w14:textId="77777777" w:rsidR="00053D93" w:rsidRDefault="00260B75">
            <w:pPr>
              <w:ind w:right="46"/>
              <w:jc w:val="right"/>
            </w:pPr>
            <w:r>
              <w:rPr>
                <w:rFonts w:ascii="Malgan Gothic" w:eastAsia="Malgan Gothic" w:hAnsi="Malgan Gothic" w:cs="Malgan Gothic"/>
                <w:sz w:val="14"/>
              </w:rPr>
              <w:t>418.00</w:t>
            </w:r>
          </w:p>
        </w:tc>
      </w:tr>
      <w:tr w:rsidR="00053D93" w14:paraId="1E13B14A" w14:textId="77777777">
        <w:trPr>
          <w:trHeight w:val="528"/>
        </w:trPr>
        <w:tc>
          <w:tcPr>
            <w:tcW w:w="317" w:type="dxa"/>
            <w:tcBorders>
              <w:top w:val="single" w:sz="2" w:space="0" w:color="000000"/>
              <w:left w:val="single" w:sz="2" w:space="0" w:color="000000"/>
              <w:bottom w:val="single" w:sz="2" w:space="0" w:color="000000"/>
              <w:right w:val="nil"/>
            </w:tcBorders>
          </w:tcPr>
          <w:p w14:paraId="630AFEC4" w14:textId="77777777" w:rsidR="00053D93" w:rsidRDefault="00260B75">
            <w:pPr>
              <w:ind w:left="50"/>
              <w:jc w:val="both"/>
            </w:pPr>
            <w:r>
              <w:rPr>
                <w:rFonts w:ascii="Malgan Gothic" w:eastAsia="Malgan Gothic" w:hAnsi="Malgan Gothic" w:cs="Malgan Gothic"/>
                <w:sz w:val="14"/>
              </w:rPr>
              <w:t>56</w:t>
            </w:r>
          </w:p>
        </w:tc>
        <w:tc>
          <w:tcPr>
            <w:tcW w:w="288" w:type="dxa"/>
            <w:tcBorders>
              <w:top w:val="single" w:sz="2" w:space="0" w:color="000000"/>
              <w:left w:val="nil"/>
              <w:bottom w:val="single" w:sz="2" w:space="0" w:color="000000"/>
              <w:right w:val="single" w:sz="2" w:space="0" w:color="000000"/>
            </w:tcBorders>
          </w:tcPr>
          <w:p w14:paraId="37DC9200"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23D9D9F3" w14:textId="77777777" w:rsidR="00053D93" w:rsidRDefault="00260B75">
            <w:pPr>
              <w:ind w:left="43"/>
            </w:pPr>
            <w:r>
              <w:rPr>
                <w:rFonts w:ascii="Malgan Gothic" w:eastAsia="Malgan Gothic" w:hAnsi="Malgan Gothic" w:cs="Malgan Gothic"/>
                <w:sz w:val="14"/>
              </w:rPr>
              <w:t>E546204406</w:t>
            </w:r>
          </w:p>
        </w:tc>
        <w:tc>
          <w:tcPr>
            <w:tcW w:w="1594" w:type="dxa"/>
            <w:tcBorders>
              <w:top w:val="single" w:sz="2" w:space="0" w:color="000000"/>
              <w:left w:val="single" w:sz="2" w:space="0" w:color="000000"/>
              <w:bottom w:val="single" w:sz="2" w:space="0" w:color="000000"/>
              <w:right w:val="single" w:sz="2" w:space="0" w:color="000000"/>
            </w:tcBorders>
          </w:tcPr>
          <w:p w14:paraId="778B11D8" w14:textId="77777777" w:rsidR="00053D93" w:rsidRDefault="00260B75">
            <w:pPr>
              <w:ind w:left="12"/>
              <w:jc w:val="center"/>
            </w:pPr>
            <w:r>
              <w:rPr>
                <w:rFonts w:ascii="Malgan Gothic" w:eastAsia="Malgan Gothic" w:hAnsi="Malgan Gothic" w:cs="Malgan Gothic"/>
                <w:sz w:val="14"/>
              </w:rPr>
              <w:t>2024-20160</w:t>
            </w:r>
          </w:p>
        </w:tc>
        <w:tc>
          <w:tcPr>
            <w:tcW w:w="1577" w:type="dxa"/>
            <w:tcBorders>
              <w:top w:val="single" w:sz="2" w:space="0" w:color="000000"/>
              <w:left w:val="single" w:sz="2" w:space="0" w:color="000000"/>
              <w:bottom w:val="single" w:sz="2" w:space="0" w:color="000000"/>
              <w:right w:val="single" w:sz="2" w:space="0" w:color="000000"/>
            </w:tcBorders>
          </w:tcPr>
          <w:p w14:paraId="2D38921E" w14:textId="77777777" w:rsidR="00053D93" w:rsidRDefault="00260B75">
            <w:pPr>
              <w:ind w:left="23"/>
              <w:jc w:val="center"/>
            </w:pPr>
            <w:r>
              <w:rPr>
                <w:rFonts w:ascii="Malgan Gothic" w:eastAsia="Malgan Gothic" w:hAnsi="Malgan Gothic" w:cs="Malgan Gothic"/>
                <w:sz w:val="16"/>
              </w:rPr>
              <w:t>31/07/2024</w:t>
            </w:r>
          </w:p>
        </w:tc>
        <w:tc>
          <w:tcPr>
            <w:tcW w:w="1920" w:type="dxa"/>
            <w:tcBorders>
              <w:top w:val="single" w:sz="2" w:space="0" w:color="000000"/>
              <w:left w:val="single" w:sz="2" w:space="0" w:color="000000"/>
              <w:bottom w:val="single" w:sz="2" w:space="0" w:color="000000"/>
              <w:right w:val="single" w:sz="2" w:space="0" w:color="000000"/>
            </w:tcBorders>
          </w:tcPr>
          <w:p w14:paraId="6E4A4C1B" w14:textId="77777777" w:rsidR="00053D93" w:rsidRDefault="00260B75">
            <w:pPr>
              <w:ind w:left="12"/>
              <w:jc w:val="center"/>
            </w:pPr>
            <w:r>
              <w:rPr>
                <w:rFonts w:ascii="Malgan Gothic" w:eastAsia="Malgan Gothic" w:hAnsi="Malgan Gothic" w:cs="Malgan Gothic"/>
                <w:sz w:val="16"/>
              </w:rPr>
              <w:t>9/08/2024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3356A564" w14:textId="77777777" w:rsidR="00053D93" w:rsidRDefault="00260B75">
            <w:pPr>
              <w:ind w:right="53"/>
              <w:jc w:val="right"/>
            </w:pPr>
            <w:r>
              <w:rPr>
                <w:rFonts w:ascii="Malgan Gothic" w:eastAsia="Malgan Gothic" w:hAnsi="Malgan Gothic" w:cs="Malgan Gothic"/>
                <w:sz w:val="14"/>
              </w:rPr>
              <w:t>30.00</w:t>
            </w:r>
          </w:p>
        </w:tc>
      </w:tr>
      <w:tr w:rsidR="00053D93" w14:paraId="79EA7468" w14:textId="77777777">
        <w:trPr>
          <w:trHeight w:val="533"/>
        </w:trPr>
        <w:tc>
          <w:tcPr>
            <w:tcW w:w="317" w:type="dxa"/>
            <w:tcBorders>
              <w:top w:val="single" w:sz="2" w:space="0" w:color="000000"/>
              <w:left w:val="single" w:sz="2" w:space="0" w:color="000000"/>
              <w:bottom w:val="single" w:sz="2" w:space="0" w:color="000000"/>
              <w:right w:val="nil"/>
            </w:tcBorders>
          </w:tcPr>
          <w:p w14:paraId="7485340E" w14:textId="77777777" w:rsidR="00053D93" w:rsidRDefault="00260B75">
            <w:pPr>
              <w:ind w:left="43"/>
              <w:jc w:val="both"/>
            </w:pPr>
            <w:r>
              <w:rPr>
                <w:rFonts w:ascii="Malgan Gothic" w:eastAsia="Malgan Gothic" w:hAnsi="Malgan Gothic" w:cs="Malgan Gothic"/>
                <w:sz w:val="14"/>
              </w:rPr>
              <w:t>57</w:t>
            </w:r>
          </w:p>
        </w:tc>
        <w:tc>
          <w:tcPr>
            <w:tcW w:w="288" w:type="dxa"/>
            <w:tcBorders>
              <w:top w:val="single" w:sz="2" w:space="0" w:color="000000"/>
              <w:left w:val="nil"/>
              <w:bottom w:val="single" w:sz="2" w:space="0" w:color="000000"/>
              <w:right w:val="single" w:sz="2" w:space="0" w:color="000000"/>
            </w:tcBorders>
          </w:tcPr>
          <w:p w14:paraId="352AE490"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498F3C4F" w14:textId="77777777" w:rsidR="00053D93" w:rsidRDefault="00260B75">
            <w:pPr>
              <w:ind w:left="43"/>
            </w:pPr>
            <w:r>
              <w:rPr>
                <w:rFonts w:ascii="Malgan Gothic" w:eastAsia="Malgan Gothic" w:hAnsi="Malgan Gothic" w:cs="Malgan Gothic"/>
                <w:sz w:val="16"/>
              </w:rPr>
              <w:t>E546251129</w:t>
            </w:r>
          </w:p>
        </w:tc>
        <w:tc>
          <w:tcPr>
            <w:tcW w:w="1594" w:type="dxa"/>
            <w:tcBorders>
              <w:top w:val="single" w:sz="2" w:space="0" w:color="000000"/>
              <w:left w:val="single" w:sz="2" w:space="0" w:color="000000"/>
              <w:bottom w:val="single" w:sz="2" w:space="0" w:color="000000"/>
              <w:right w:val="single" w:sz="2" w:space="0" w:color="000000"/>
            </w:tcBorders>
          </w:tcPr>
          <w:p w14:paraId="17096DEE" w14:textId="77777777" w:rsidR="00053D93" w:rsidRDefault="00260B75">
            <w:pPr>
              <w:ind w:left="12"/>
              <w:jc w:val="center"/>
            </w:pPr>
            <w:r>
              <w:rPr>
                <w:rFonts w:ascii="Malgan Gothic" w:eastAsia="Malgan Gothic" w:hAnsi="Malgan Gothic" w:cs="Malgan Gothic"/>
                <w:sz w:val="14"/>
              </w:rPr>
              <w:t>2024-19435</w:t>
            </w:r>
          </w:p>
        </w:tc>
        <w:tc>
          <w:tcPr>
            <w:tcW w:w="1577" w:type="dxa"/>
            <w:tcBorders>
              <w:top w:val="single" w:sz="2" w:space="0" w:color="000000"/>
              <w:left w:val="single" w:sz="2" w:space="0" w:color="000000"/>
              <w:bottom w:val="single" w:sz="2" w:space="0" w:color="000000"/>
              <w:right w:val="single" w:sz="2" w:space="0" w:color="000000"/>
            </w:tcBorders>
          </w:tcPr>
          <w:p w14:paraId="5FCB0506" w14:textId="77777777" w:rsidR="00053D93" w:rsidRDefault="00260B75">
            <w:pPr>
              <w:ind w:left="16"/>
              <w:jc w:val="center"/>
            </w:pPr>
            <w:r>
              <w:rPr>
                <w:rFonts w:ascii="Malgan Gothic" w:eastAsia="Malgan Gothic" w:hAnsi="Malgan Gothic" w:cs="Malgan Gothic"/>
                <w:sz w:val="16"/>
              </w:rPr>
              <w:t>16/07/2024</w:t>
            </w:r>
          </w:p>
        </w:tc>
        <w:tc>
          <w:tcPr>
            <w:tcW w:w="1920" w:type="dxa"/>
            <w:tcBorders>
              <w:top w:val="single" w:sz="2" w:space="0" w:color="000000"/>
              <w:left w:val="single" w:sz="2" w:space="0" w:color="000000"/>
              <w:bottom w:val="single" w:sz="2" w:space="0" w:color="000000"/>
              <w:right w:val="single" w:sz="2" w:space="0" w:color="000000"/>
            </w:tcBorders>
          </w:tcPr>
          <w:p w14:paraId="0A8C8E8D" w14:textId="77777777" w:rsidR="00053D93" w:rsidRDefault="00260B75">
            <w:pPr>
              <w:ind w:left="12"/>
              <w:jc w:val="center"/>
            </w:pPr>
            <w:r>
              <w:rPr>
                <w:rFonts w:ascii="Malgan Gothic" w:eastAsia="Malgan Gothic" w:hAnsi="Malgan Gothic" w:cs="Malgan Gothic"/>
                <w:sz w:val="16"/>
              </w:rPr>
              <w:t>9/08/2024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4D4562C1" w14:textId="77777777" w:rsidR="00053D93" w:rsidRDefault="00260B75">
            <w:pPr>
              <w:ind w:left="389"/>
            </w:pPr>
            <w:r>
              <w:rPr>
                <w:rFonts w:ascii="Malgan Gothic" w:eastAsia="Malgan Gothic" w:hAnsi="Malgan Gothic" w:cs="Malgan Gothic"/>
                <w:sz w:val="18"/>
              </w:rPr>
              <w:t>18.83936</w:t>
            </w:r>
          </w:p>
        </w:tc>
      </w:tr>
      <w:tr w:rsidR="00053D93" w14:paraId="3960CBD7" w14:textId="77777777">
        <w:trPr>
          <w:trHeight w:val="523"/>
        </w:trPr>
        <w:tc>
          <w:tcPr>
            <w:tcW w:w="317" w:type="dxa"/>
            <w:tcBorders>
              <w:top w:val="single" w:sz="2" w:space="0" w:color="000000"/>
              <w:left w:val="single" w:sz="2" w:space="0" w:color="000000"/>
              <w:bottom w:val="single" w:sz="2" w:space="0" w:color="000000"/>
              <w:right w:val="nil"/>
            </w:tcBorders>
          </w:tcPr>
          <w:p w14:paraId="3280A202" w14:textId="77777777" w:rsidR="00053D93" w:rsidRDefault="00053D93"/>
        </w:tc>
        <w:tc>
          <w:tcPr>
            <w:tcW w:w="288" w:type="dxa"/>
            <w:tcBorders>
              <w:top w:val="single" w:sz="2" w:space="0" w:color="000000"/>
              <w:left w:val="nil"/>
              <w:bottom w:val="single" w:sz="2" w:space="0" w:color="000000"/>
              <w:right w:val="single" w:sz="2" w:space="0" w:color="000000"/>
            </w:tcBorders>
          </w:tcPr>
          <w:p w14:paraId="0BD3F3AE"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5D382297" w14:textId="77777777" w:rsidR="00053D93" w:rsidRDefault="00260B75">
            <w:pPr>
              <w:ind w:left="43"/>
            </w:pPr>
            <w:r>
              <w:rPr>
                <w:rFonts w:ascii="Malgan Gothic" w:eastAsia="Malgan Gothic" w:hAnsi="Malgan Gothic" w:cs="Malgan Gothic"/>
                <w:sz w:val="14"/>
              </w:rPr>
              <w:t>E546322883</w:t>
            </w:r>
          </w:p>
        </w:tc>
        <w:tc>
          <w:tcPr>
            <w:tcW w:w="1594" w:type="dxa"/>
            <w:tcBorders>
              <w:top w:val="single" w:sz="2" w:space="0" w:color="000000"/>
              <w:left w:val="single" w:sz="2" w:space="0" w:color="000000"/>
              <w:bottom w:val="single" w:sz="2" w:space="0" w:color="000000"/>
              <w:right w:val="single" w:sz="2" w:space="0" w:color="000000"/>
            </w:tcBorders>
          </w:tcPr>
          <w:p w14:paraId="4D93E687" w14:textId="77777777" w:rsidR="00053D93" w:rsidRDefault="00260B75">
            <w:pPr>
              <w:ind w:right="24"/>
              <w:jc w:val="center"/>
            </w:pPr>
            <w:r>
              <w:rPr>
                <w:rFonts w:ascii="Malgan Gothic" w:eastAsia="Malgan Gothic" w:hAnsi="Malgan Gothic" w:cs="Malgan Gothic"/>
                <w:sz w:val="14"/>
              </w:rPr>
              <w:t>2024-16911</w:t>
            </w:r>
          </w:p>
        </w:tc>
        <w:tc>
          <w:tcPr>
            <w:tcW w:w="1577" w:type="dxa"/>
            <w:tcBorders>
              <w:top w:val="single" w:sz="2" w:space="0" w:color="000000"/>
              <w:left w:val="single" w:sz="2" w:space="0" w:color="000000"/>
              <w:bottom w:val="single" w:sz="2" w:space="0" w:color="000000"/>
              <w:right w:val="single" w:sz="2" w:space="0" w:color="000000"/>
            </w:tcBorders>
          </w:tcPr>
          <w:p w14:paraId="3DFFA38F" w14:textId="77777777" w:rsidR="00053D93" w:rsidRDefault="00260B75">
            <w:pPr>
              <w:ind w:left="16"/>
              <w:jc w:val="center"/>
            </w:pPr>
            <w:r>
              <w:rPr>
                <w:rFonts w:ascii="Malgan Gothic" w:eastAsia="Malgan Gothic" w:hAnsi="Malgan Gothic" w:cs="Malgan Gothic"/>
                <w:sz w:val="14"/>
              </w:rPr>
              <w:t>15/07/2024</w:t>
            </w:r>
          </w:p>
        </w:tc>
        <w:tc>
          <w:tcPr>
            <w:tcW w:w="1920" w:type="dxa"/>
            <w:tcBorders>
              <w:top w:val="single" w:sz="2" w:space="0" w:color="000000"/>
              <w:left w:val="single" w:sz="2" w:space="0" w:color="000000"/>
              <w:bottom w:val="single" w:sz="2" w:space="0" w:color="000000"/>
              <w:right w:val="single" w:sz="2" w:space="0" w:color="000000"/>
            </w:tcBorders>
          </w:tcPr>
          <w:p w14:paraId="1332689D" w14:textId="77777777" w:rsidR="00053D93" w:rsidRDefault="00260B75">
            <w:pPr>
              <w:ind w:left="12"/>
              <w:jc w:val="center"/>
            </w:pPr>
            <w:r>
              <w:rPr>
                <w:rFonts w:ascii="Malgan Gothic" w:eastAsia="Malgan Gothic" w:hAnsi="Malgan Gothic" w:cs="Malgan Gothic"/>
                <w:sz w:val="16"/>
              </w:rPr>
              <w:t>12/08/2024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0FE40357" w14:textId="77777777" w:rsidR="00053D93" w:rsidRDefault="00260B75">
            <w:pPr>
              <w:ind w:right="53"/>
              <w:jc w:val="right"/>
            </w:pPr>
            <w:r>
              <w:rPr>
                <w:rFonts w:ascii="Malgan Gothic" w:eastAsia="Malgan Gothic" w:hAnsi="Malgan Gothic" w:cs="Malgan Gothic"/>
                <w:sz w:val="16"/>
              </w:rPr>
              <w:t>3,920.00</w:t>
            </w:r>
          </w:p>
        </w:tc>
      </w:tr>
      <w:tr w:rsidR="00053D93" w14:paraId="08907027" w14:textId="77777777">
        <w:trPr>
          <w:trHeight w:val="526"/>
        </w:trPr>
        <w:tc>
          <w:tcPr>
            <w:tcW w:w="317" w:type="dxa"/>
            <w:tcBorders>
              <w:top w:val="single" w:sz="2" w:space="0" w:color="000000"/>
              <w:left w:val="single" w:sz="2" w:space="0" w:color="000000"/>
              <w:bottom w:val="single" w:sz="2" w:space="0" w:color="000000"/>
              <w:right w:val="nil"/>
            </w:tcBorders>
          </w:tcPr>
          <w:p w14:paraId="5178C987" w14:textId="77777777" w:rsidR="00053D93" w:rsidRDefault="00260B75">
            <w:pPr>
              <w:ind w:left="36"/>
              <w:jc w:val="both"/>
            </w:pPr>
            <w:r>
              <w:rPr>
                <w:rFonts w:ascii="Malgan Gothic" w:eastAsia="Malgan Gothic" w:hAnsi="Malgan Gothic" w:cs="Malgan Gothic"/>
                <w:sz w:val="14"/>
              </w:rPr>
              <w:t>59</w:t>
            </w:r>
          </w:p>
        </w:tc>
        <w:tc>
          <w:tcPr>
            <w:tcW w:w="288" w:type="dxa"/>
            <w:tcBorders>
              <w:top w:val="single" w:sz="2" w:space="0" w:color="000000"/>
              <w:left w:val="nil"/>
              <w:bottom w:val="single" w:sz="2" w:space="0" w:color="000000"/>
              <w:right w:val="single" w:sz="2" w:space="0" w:color="000000"/>
            </w:tcBorders>
          </w:tcPr>
          <w:p w14:paraId="21D81264"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794651B4" w14:textId="77777777" w:rsidR="00053D93" w:rsidRDefault="00260B75">
            <w:pPr>
              <w:ind w:left="36"/>
            </w:pPr>
            <w:r>
              <w:rPr>
                <w:rFonts w:ascii="Malgan Gothic" w:eastAsia="Malgan Gothic" w:hAnsi="Malgan Gothic" w:cs="Malgan Gothic"/>
                <w:sz w:val="14"/>
              </w:rPr>
              <w:t>E546571514</w:t>
            </w:r>
          </w:p>
        </w:tc>
        <w:tc>
          <w:tcPr>
            <w:tcW w:w="1594" w:type="dxa"/>
            <w:tcBorders>
              <w:top w:val="single" w:sz="2" w:space="0" w:color="000000"/>
              <w:left w:val="single" w:sz="2" w:space="0" w:color="000000"/>
              <w:bottom w:val="single" w:sz="2" w:space="0" w:color="000000"/>
              <w:right w:val="single" w:sz="2" w:space="0" w:color="000000"/>
            </w:tcBorders>
          </w:tcPr>
          <w:p w14:paraId="19B95C41" w14:textId="77777777" w:rsidR="00053D93" w:rsidRDefault="00260B75">
            <w:pPr>
              <w:ind w:right="3"/>
              <w:jc w:val="center"/>
            </w:pPr>
            <w:r>
              <w:rPr>
                <w:rFonts w:ascii="Malgan Gothic" w:eastAsia="Malgan Gothic" w:hAnsi="Malgan Gothic" w:cs="Malgan Gothic"/>
                <w:sz w:val="14"/>
              </w:rPr>
              <w:t>2024-20493</w:t>
            </w:r>
          </w:p>
        </w:tc>
        <w:tc>
          <w:tcPr>
            <w:tcW w:w="1577" w:type="dxa"/>
            <w:tcBorders>
              <w:top w:val="single" w:sz="2" w:space="0" w:color="000000"/>
              <w:left w:val="single" w:sz="2" w:space="0" w:color="000000"/>
              <w:bottom w:val="single" w:sz="2" w:space="0" w:color="000000"/>
              <w:right w:val="single" w:sz="2" w:space="0" w:color="000000"/>
            </w:tcBorders>
          </w:tcPr>
          <w:p w14:paraId="7714F8CF" w14:textId="77777777" w:rsidR="00053D93" w:rsidRDefault="00260B75">
            <w:pPr>
              <w:ind w:right="5"/>
              <w:jc w:val="center"/>
            </w:pPr>
            <w:r>
              <w:rPr>
                <w:rFonts w:ascii="Malgan Gothic" w:eastAsia="Malgan Gothic" w:hAnsi="Malgan Gothic" w:cs="Malgan Gothic"/>
                <w:sz w:val="14"/>
              </w:rPr>
              <w:t>7/08/2024</w:t>
            </w:r>
          </w:p>
        </w:tc>
        <w:tc>
          <w:tcPr>
            <w:tcW w:w="1920" w:type="dxa"/>
            <w:tcBorders>
              <w:top w:val="single" w:sz="2" w:space="0" w:color="000000"/>
              <w:left w:val="single" w:sz="2" w:space="0" w:color="000000"/>
              <w:bottom w:val="single" w:sz="2" w:space="0" w:color="000000"/>
              <w:right w:val="single" w:sz="2" w:space="0" w:color="000000"/>
            </w:tcBorders>
          </w:tcPr>
          <w:p w14:paraId="7A9A1D2C" w14:textId="77777777" w:rsidR="00053D93" w:rsidRDefault="00260B75">
            <w:pPr>
              <w:ind w:left="4"/>
              <w:jc w:val="center"/>
            </w:pPr>
            <w:r>
              <w:rPr>
                <w:rFonts w:ascii="Malgan Gothic" w:eastAsia="Malgan Gothic" w:hAnsi="Malgan Gothic" w:cs="Malgan Gothic"/>
                <w:sz w:val="14"/>
              </w:rPr>
              <w:t>16/08/2024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055E2A7B" w14:textId="77777777" w:rsidR="00053D93" w:rsidRDefault="00260B75">
            <w:pPr>
              <w:ind w:right="53"/>
              <w:jc w:val="right"/>
            </w:pPr>
            <w:r>
              <w:rPr>
                <w:rFonts w:ascii="Malgan Gothic" w:eastAsia="Malgan Gothic" w:hAnsi="Malgan Gothic" w:cs="Malgan Gothic"/>
                <w:sz w:val="14"/>
              </w:rPr>
              <w:t>56.00</w:t>
            </w:r>
          </w:p>
        </w:tc>
      </w:tr>
      <w:tr w:rsidR="00053D93" w14:paraId="28ACF9DD" w14:textId="77777777">
        <w:trPr>
          <w:trHeight w:val="533"/>
        </w:trPr>
        <w:tc>
          <w:tcPr>
            <w:tcW w:w="317" w:type="dxa"/>
            <w:tcBorders>
              <w:top w:val="single" w:sz="2" w:space="0" w:color="000000"/>
              <w:left w:val="single" w:sz="2" w:space="0" w:color="000000"/>
              <w:bottom w:val="single" w:sz="2" w:space="0" w:color="000000"/>
              <w:right w:val="nil"/>
            </w:tcBorders>
          </w:tcPr>
          <w:p w14:paraId="282B35E0" w14:textId="77777777" w:rsidR="00053D93" w:rsidRDefault="00053D93"/>
        </w:tc>
        <w:tc>
          <w:tcPr>
            <w:tcW w:w="288" w:type="dxa"/>
            <w:tcBorders>
              <w:top w:val="single" w:sz="2" w:space="0" w:color="000000"/>
              <w:left w:val="nil"/>
              <w:bottom w:val="single" w:sz="2" w:space="0" w:color="000000"/>
              <w:right w:val="single" w:sz="2" w:space="0" w:color="000000"/>
            </w:tcBorders>
          </w:tcPr>
          <w:p w14:paraId="1CBEA493"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58BC58D8" w14:textId="77777777" w:rsidR="00053D93" w:rsidRDefault="00260B75">
            <w:pPr>
              <w:ind w:left="29"/>
            </w:pPr>
            <w:r>
              <w:rPr>
                <w:rFonts w:ascii="Malgan Gothic" w:eastAsia="Malgan Gothic" w:hAnsi="Malgan Gothic" w:cs="Malgan Gothic"/>
                <w:sz w:val="16"/>
              </w:rPr>
              <w:t>E546754856</w:t>
            </w:r>
          </w:p>
        </w:tc>
        <w:tc>
          <w:tcPr>
            <w:tcW w:w="1594" w:type="dxa"/>
            <w:tcBorders>
              <w:top w:val="single" w:sz="2" w:space="0" w:color="000000"/>
              <w:left w:val="single" w:sz="2" w:space="0" w:color="000000"/>
              <w:bottom w:val="single" w:sz="2" w:space="0" w:color="000000"/>
              <w:right w:val="single" w:sz="2" w:space="0" w:color="000000"/>
            </w:tcBorders>
          </w:tcPr>
          <w:p w14:paraId="4CA92E36" w14:textId="77777777" w:rsidR="00053D93" w:rsidRDefault="00260B75">
            <w:pPr>
              <w:ind w:right="3"/>
              <w:jc w:val="center"/>
            </w:pPr>
            <w:r>
              <w:rPr>
                <w:rFonts w:ascii="Malgan Gothic" w:eastAsia="Malgan Gothic" w:hAnsi="Malgan Gothic" w:cs="Malgan Gothic"/>
                <w:sz w:val="14"/>
              </w:rPr>
              <w:t>2024-20282</w:t>
            </w:r>
          </w:p>
        </w:tc>
        <w:tc>
          <w:tcPr>
            <w:tcW w:w="1577" w:type="dxa"/>
            <w:tcBorders>
              <w:top w:val="single" w:sz="2" w:space="0" w:color="000000"/>
              <w:left w:val="single" w:sz="2" w:space="0" w:color="000000"/>
              <w:bottom w:val="single" w:sz="2" w:space="0" w:color="000000"/>
              <w:right w:val="single" w:sz="2" w:space="0" w:color="000000"/>
            </w:tcBorders>
          </w:tcPr>
          <w:p w14:paraId="115E9BFF" w14:textId="77777777" w:rsidR="00053D93" w:rsidRDefault="00260B75">
            <w:pPr>
              <w:ind w:left="9"/>
              <w:jc w:val="center"/>
            </w:pPr>
            <w:r>
              <w:rPr>
                <w:rFonts w:ascii="Malgan Gothic" w:eastAsia="Malgan Gothic" w:hAnsi="Malgan Gothic" w:cs="Malgan Gothic"/>
                <w:sz w:val="16"/>
              </w:rPr>
              <w:t>1/08/2024</w:t>
            </w:r>
          </w:p>
        </w:tc>
        <w:tc>
          <w:tcPr>
            <w:tcW w:w="1920" w:type="dxa"/>
            <w:tcBorders>
              <w:top w:val="single" w:sz="2" w:space="0" w:color="000000"/>
              <w:left w:val="single" w:sz="2" w:space="0" w:color="000000"/>
              <w:bottom w:val="single" w:sz="2" w:space="0" w:color="000000"/>
              <w:right w:val="single" w:sz="2" w:space="0" w:color="000000"/>
            </w:tcBorders>
          </w:tcPr>
          <w:p w14:paraId="759338F6" w14:textId="77777777" w:rsidR="00053D93" w:rsidRDefault="00260B75">
            <w:pPr>
              <w:ind w:right="17"/>
              <w:jc w:val="center"/>
            </w:pPr>
            <w:r>
              <w:rPr>
                <w:rFonts w:ascii="Malgan Gothic" w:eastAsia="Malgan Gothic" w:hAnsi="Malgan Gothic" w:cs="Malgan Gothic"/>
                <w:sz w:val="14"/>
              </w:rPr>
              <w:t>20/08/2024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2BFD1F78" w14:textId="77777777" w:rsidR="00053D93" w:rsidRDefault="00260B75">
            <w:pPr>
              <w:ind w:right="60"/>
              <w:jc w:val="right"/>
            </w:pPr>
            <w:r>
              <w:rPr>
                <w:rFonts w:ascii="Malgan Gothic" w:eastAsia="Malgan Gothic" w:hAnsi="Malgan Gothic" w:cs="Malgan Gothic"/>
                <w:sz w:val="14"/>
              </w:rPr>
              <w:t>800.00</w:t>
            </w:r>
          </w:p>
        </w:tc>
      </w:tr>
      <w:tr w:rsidR="00053D93" w14:paraId="2E59DCEC" w14:textId="77777777">
        <w:trPr>
          <w:trHeight w:val="533"/>
        </w:trPr>
        <w:tc>
          <w:tcPr>
            <w:tcW w:w="317" w:type="dxa"/>
            <w:tcBorders>
              <w:top w:val="single" w:sz="2" w:space="0" w:color="000000"/>
              <w:left w:val="single" w:sz="2" w:space="0" w:color="000000"/>
              <w:bottom w:val="single" w:sz="2" w:space="0" w:color="000000"/>
              <w:right w:val="nil"/>
            </w:tcBorders>
          </w:tcPr>
          <w:p w14:paraId="0EFA60C4" w14:textId="77777777" w:rsidR="00053D93" w:rsidRDefault="00260B75">
            <w:pPr>
              <w:ind w:left="29"/>
            </w:pPr>
            <w:r>
              <w:rPr>
                <w:rFonts w:ascii="Malgan Gothic" w:eastAsia="Malgan Gothic" w:hAnsi="Malgan Gothic" w:cs="Malgan Gothic"/>
                <w:sz w:val="14"/>
              </w:rPr>
              <w:t>61</w:t>
            </w:r>
          </w:p>
        </w:tc>
        <w:tc>
          <w:tcPr>
            <w:tcW w:w="288" w:type="dxa"/>
            <w:tcBorders>
              <w:top w:val="single" w:sz="2" w:space="0" w:color="000000"/>
              <w:left w:val="nil"/>
              <w:bottom w:val="single" w:sz="2" w:space="0" w:color="000000"/>
              <w:right w:val="single" w:sz="2" w:space="0" w:color="000000"/>
            </w:tcBorders>
          </w:tcPr>
          <w:p w14:paraId="365EEBA3"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72829B09" w14:textId="77777777" w:rsidR="00053D93" w:rsidRDefault="00260B75">
            <w:pPr>
              <w:ind w:left="29"/>
            </w:pPr>
            <w:r>
              <w:rPr>
                <w:rFonts w:ascii="Malgan Gothic" w:eastAsia="Malgan Gothic" w:hAnsi="Malgan Gothic" w:cs="Malgan Gothic"/>
                <w:sz w:val="16"/>
              </w:rPr>
              <w:t>E546886221</w:t>
            </w:r>
          </w:p>
        </w:tc>
        <w:tc>
          <w:tcPr>
            <w:tcW w:w="1594" w:type="dxa"/>
            <w:tcBorders>
              <w:top w:val="single" w:sz="2" w:space="0" w:color="000000"/>
              <w:left w:val="single" w:sz="2" w:space="0" w:color="000000"/>
              <w:bottom w:val="single" w:sz="2" w:space="0" w:color="000000"/>
              <w:right w:val="single" w:sz="2" w:space="0" w:color="000000"/>
            </w:tcBorders>
          </w:tcPr>
          <w:p w14:paraId="1782ABC5" w14:textId="77777777" w:rsidR="00053D93" w:rsidRDefault="00260B75">
            <w:pPr>
              <w:ind w:right="17"/>
              <w:jc w:val="center"/>
            </w:pPr>
            <w:r>
              <w:rPr>
                <w:rFonts w:ascii="Malgan Gothic" w:eastAsia="Malgan Gothic" w:hAnsi="Malgan Gothic" w:cs="Malgan Gothic"/>
                <w:sz w:val="14"/>
              </w:rPr>
              <w:t>2024-18500</w:t>
            </w:r>
          </w:p>
        </w:tc>
        <w:tc>
          <w:tcPr>
            <w:tcW w:w="1577" w:type="dxa"/>
            <w:tcBorders>
              <w:top w:val="single" w:sz="2" w:space="0" w:color="000000"/>
              <w:left w:val="single" w:sz="2" w:space="0" w:color="000000"/>
              <w:bottom w:val="single" w:sz="2" w:space="0" w:color="000000"/>
              <w:right w:val="single" w:sz="2" w:space="0" w:color="000000"/>
            </w:tcBorders>
          </w:tcPr>
          <w:p w14:paraId="0B047604" w14:textId="77777777" w:rsidR="00053D93" w:rsidRDefault="00260B75">
            <w:pPr>
              <w:ind w:right="13"/>
              <w:jc w:val="center"/>
            </w:pPr>
            <w:r>
              <w:rPr>
                <w:rFonts w:ascii="Malgan Gothic" w:eastAsia="Malgan Gothic" w:hAnsi="Malgan Gothic" w:cs="Malgan Gothic"/>
                <w:sz w:val="14"/>
              </w:rPr>
              <w:t>8/07/2024</w:t>
            </w:r>
          </w:p>
        </w:tc>
        <w:tc>
          <w:tcPr>
            <w:tcW w:w="1920" w:type="dxa"/>
            <w:tcBorders>
              <w:top w:val="single" w:sz="2" w:space="0" w:color="000000"/>
              <w:left w:val="single" w:sz="2" w:space="0" w:color="000000"/>
              <w:bottom w:val="single" w:sz="2" w:space="0" w:color="000000"/>
              <w:right w:val="single" w:sz="2" w:space="0" w:color="000000"/>
            </w:tcBorders>
          </w:tcPr>
          <w:p w14:paraId="45303BF0" w14:textId="77777777" w:rsidR="00053D93" w:rsidRDefault="00260B75">
            <w:pPr>
              <w:ind w:right="17"/>
              <w:jc w:val="center"/>
            </w:pPr>
            <w:r>
              <w:rPr>
                <w:rFonts w:ascii="Malgan Gothic" w:eastAsia="Malgan Gothic" w:hAnsi="Malgan Gothic" w:cs="Malgan Gothic"/>
                <w:sz w:val="16"/>
              </w:rPr>
              <w:t>22/08/2024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667840C6" w14:textId="77777777" w:rsidR="00053D93" w:rsidRDefault="00260B75">
            <w:pPr>
              <w:ind w:left="367"/>
            </w:pPr>
            <w:r>
              <w:rPr>
                <w:rFonts w:ascii="Malgan Gothic" w:eastAsia="Malgan Gothic" w:hAnsi="Malgan Gothic" w:cs="Malgan Gothic"/>
                <w:sz w:val="18"/>
              </w:rPr>
              <w:t>21,352.50</w:t>
            </w:r>
          </w:p>
        </w:tc>
      </w:tr>
      <w:tr w:rsidR="00053D93" w14:paraId="4C80EB19" w14:textId="77777777">
        <w:trPr>
          <w:trHeight w:val="528"/>
        </w:trPr>
        <w:tc>
          <w:tcPr>
            <w:tcW w:w="317" w:type="dxa"/>
            <w:tcBorders>
              <w:top w:val="single" w:sz="2" w:space="0" w:color="000000"/>
              <w:left w:val="single" w:sz="2" w:space="0" w:color="000000"/>
              <w:bottom w:val="single" w:sz="2" w:space="0" w:color="000000"/>
              <w:right w:val="nil"/>
            </w:tcBorders>
          </w:tcPr>
          <w:p w14:paraId="487D2047" w14:textId="77777777" w:rsidR="00053D93" w:rsidRDefault="00053D93"/>
        </w:tc>
        <w:tc>
          <w:tcPr>
            <w:tcW w:w="288" w:type="dxa"/>
            <w:tcBorders>
              <w:top w:val="single" w:sz="2" w:space="0" w:color="000000"/>
              <w:left w:val="nil"/>
              <w:bottom w:val="single" w:sz="2" w:space="0" w:color="000000"/>
              <w:right w:val="single" w:sz="2" w:space="0" w:color="000000"/>
            </w:tcBorders>
          </w:tcPr>
          <w:p w14:paraId="034C15C5"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18EBCF1B" w14:textId="77777777" w:rsidR="00053D93" w:rsidRDefault="00260B75">
            <w:pPr>
              <w:ind w:left="29"/>
            </w:pPr>
            <w:r>
              <w:rPr>
                <w:rFonts w:ascii="Malgan Gothic" w:eastAsia="Malgan Gothic" w:hAnsi="Malgan Gothic" w:cs="Malgan Gothic"/>
                <w:sz w:val="14"/>
              </w:rPr>
              <w:t>E546887740</w:t>
            </w:r>
          </w:p>
        </w:tc>
        <w:tc>
          <w:tcPr>
            <w:tcW w:w="1594" w:type="dxa"/>
            <w:tcBorders>
              <w:top w:val="single" w:sz="2" w:space="0" w:color="000000"/>
              <w:left w:val="single" w:sz="2" w:space="0" w:color="000000"/>
              <w:bottom w:val="single" w:sz="2" w:space="0" w:color="000000"/>
              <w:right w:val="single" w:sz="2" w:space="0" w:color="000000"/>
            </w:tcBorders>
          </w:tcPr>
          <w:p w14:paraId="2974FC8E" w14:textId="77777777" w:rsidR="00053D93" w:rsidRDefault="00260B75">
            <w:pPr>
              <w:ind w:right="17"/>
              <w:jc w:val="center"/>
            </w:pPr>
            <w:r>
              <w:rPr>
                <w:rFonts w:ascii="Malgan Gothic" w:eastAsia="Malgan Gothic" w:hAnsi="Malgan Gothic" w:cs="Malgan Gothic"/>
                <w:sz w:val="14"/>
              </w:rPr>
              <w:t>2024-18487</w:t>
            </w:r>
          </w:p>
        </w:tc>
        <w:tc>
          <w:tcPr>
            <w:tcW w:w="1577" w:type="dxa"/>
            <w:tcBorders>
              <w:top w:val="single" w:sz="2" w:space="0" w:color="000000"/>
              <w:left w:val="single" w:sz="2" w:space="0" w:color="000000"/>
              <w:bottom w:val="single" w:sz="2" w:space="0" w:color="000000"/>
              <w:right w:val="single" w:sz="2" w:space="0" w:color="000000"/>
            </w:tcBorders>
          </w:tcPr>
          <w:p w14:paraId="0809917B" w14:textId="77777777" w:rsidR="00053D93" w:rsidRDefault="00260B75">
            <w:pPr>
              <w:ind w:right="13"/>
              <w:jc w:val="center"/>
            </w:pPr>
            <w:r>
              <w:rPr>
                <w:rFonts w:ascii="Malgan Gothic" w:eastAsia="Malgan Gothic" w:hAnsi="Malgan Gothic" w:cs="Malgan Gothic"/>
                <w:sz w:val="14"/>
              </w:rPr>
              <w:t>8/07/2024</w:t>
            </w:r>
          </w:p>
        </w:tc>
        <w:tc>
          <w:tcPr>
            <w:tcW w:w="1920" w:type="dxa"/>
            <w:tcBorders>
              <w:top w:val="single" w:sz="2" w:space="0" w:color="000000"/>
              <w:left w:val="single" w:sz="2" w:space="0" w:color="000000"/>
              <w:bottom w:val="single" w:sz="2" w:space="0" w:color="000000"/>
              <w:right w:val="single" w:sz="2" w:space="0" w:color="000000"/>
            </w:tcBorders>
          </w:tcPr>
          <w:p w14:paraId="721ED081" w14:textId="77777777" w:rsidR="00053D93" w:rsidRDefault="00260B75">
            <w:pPr>
              <w:ind w:right="17"/>
              <w:jc w:val="center"/>
            </w:pPr>
            <w:r>
              <w:rPr>
                <w:rFonts w:ascii="Malgan Gothic" w:eastAsia="Malgan Gothic" w:hAnsi="Malgan Gothic" w:cs="Malgan Gothic"/>
                <w:sz w:val="14"/>
              </w:rPr>
              <w:t>22/08/2024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2331E73E" w14:textId="77777777" w:rsidR="00053D93" w:rsidRDefault="00260B75">
            <w:pPr>
              <w:ind w:left="360"/>
            </w:pPr>
            <w:r>
              <w:rPr>
                <w:rFonts w:ascii="Malgan Gothic" w:eastAsia="Malgan Gothic" w:hAnsi="Malgan Gothic" w:cs="Malgan Gothic"/>
                <w:sz w:val="18"/>
              </w:rPr>
              <w:t>23,123.88</w:t>
            </w:r>
          </w:p>
        </w:tc>
      </w:tr>
      <w:tr w:rsidR="00053D93" w14:paraId="7E2ABFF6" w14:textId="77777777">
        <w:trPr>
          <w:trHeight w:val="526"/>
        </w:trPr>
        <w:tc>
          <w:tcPr>
            <w:tcW w:w="317" w:type="dxa"/>
            <w:tcBorders>
              <w:top w:val="single" w:sz="2" w:space="0" w:color="000000"/>
              <w:left w:val="single" w:sz="2" w:space="0" w:color="000000"/>
              <w:bottom w:val="single" w:sz="2" w:space="0" w:color="000000"/>
              <w:right w:val="nil"/>
            </w:tcBorders>
          </w:tcPr>
          <w:p w14:paraId="08C7F30E" w14:textId="77777777" w:rsidR="00053D93" w:rsidRDefault="00260B75">
            <w:pPr>
              <w:ind w:left="22"/>
              <w:jc w:val="both"/>
            </w:pPr>
            <w:r>
              <w:rPr>
                <w:rFonts w:ascii="Malgan Gothic" w:eastAsia="Malgan Gothic" w:hAnsi="Malgan Gothic" w:cs="Malgan Gothic"/>
                <w:sz w:val="14"/>
              </w:rPr>
              <w:t>63</w:t>
            </w:r>
          </w:p>
        </w:tc>
        <w:tc>
          <w:tcPr>
            <w:tcW w:w="288" w:type="dxa"/>
            <w:tcBorders>
              <w:top w:val="single" w:sz="2" w:space="0" w:color="000000"/>
              <w:left w:val="nil"/>
              <w:bottom w:val="single" w:sz="2" w:space="0" w:color="000000"/>
              <w:right w:val="single" w:sz="2" w:space="0" w:color="000000"/>
            </w:tcBorders>
          </w:tcPr>
          <w:p w14:paraId="79C412CF"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72128E46" w14:textId="77777777" w:rsidR="00053D93" w:rsidRDefault="00260B75">
            <w:pPr>
              <w:ind w:left="22"/>
            </w:pPr>
            <w:r>
              <w:rPr>
                <w:rFonts w:ascii="Malgan Gothic" w:eastAsia="Malgan Gothic" w:hAnsi="Malgan Gothic" w:cs="Malgan Gothic"/>
                <w:sz w:val="16"/>
              </w:rPr>
              <w:t>E546888321</w:t>
            </w:r>
          </w:p>
        </w:tc>
        <w:tc>
          <w:tcPr>
            <w:tcW w:w="1594" w:type="dxa"/>
            <w:tcBorders>
              <w:top w:val="single" w:sz="2" w:space="0" w:color="000000"/>
              <w:left w:val="single" w:sz="2" w:space="0" w:color="000000"/>
              <w:bottom w:val="single" w:sz="2" w:space="0" w:color="000000"/>
              <w:right w:val="single" w:sz="2" w:space="0" w:color="000000"/>
            </w:tcBorders>
          </w:tcPr>
          <w:p w14:paraId="4CE91607" w14:textId="77777777" w:rsidR="00053D93" w:rsidRDefault="00260B75">
            <w:pPr>
              <w:ind w:right="32"/>
              <w:jc w:val="center"/>
            </w:pPr>
            <w:r>
              <w:rPr>
                <w:rFonts w:ascii="Malgan Gothic" w:eastAsia="Malgan Gothic" w:hAnsi="Malgan Gothic" w:cs="Malgan Gothic"/>
                <w:sz w:val="16"/>
              </w:rPr>
              <w:t>2024-18775</w:t>
            </w:r>
          </w:p>
        </w:tc>
        <w:tc>
          <w:tcPr>
            <w:tcW w:w="1577" w:type="dxa"/>
            <w:tcBorders>
              <w:top w:val="single" w:sz="2" w:space="0" w:color="000000"/>
              <w:left w:val="single" w:sz="2" w:space="0" w:color="000000"/>
              <w:bottom w:val="single" w:sz="2" w:space="0" w:color="000000"/>
              <w:right w:val="single" w:sz="2" w:space="0" w:color="000000"/>
            </w:tcBorders>
          </w:tcPr>
          <w:p w14:paraId="24FEFB76" w14:textId="77777777" w:rsidR="00053D93" w:rsidRDefault="00260B75">
            <w:pPr>
              <w:ind w:right="13"/>
              <w:jc w:val="center"/>
            </w:pPr>
            <w:r>
              <w:rPr>
                <w:rFonts w:ascii="Malgan Gothic" w:eastAsia="Malgan Gothic" w:hAnsi="Malgan Gothic" w:cs="Malgan Gothic"/>
                <w:sz w:val="16"/>
              </w:rPr>
              <w:t>8/08/2024</w:t>
            </w:r>
          </w:p>
        </w:tc>
        <w:tc>
          <w:tcPr>
            <w:tcW w:w="1920" w:type="dxa"/>
            <w:tcBorders>
              <w:top w:val="single" w:sz="2" w:space="0" w:color="000000"/>
              <w:left w:val="single" w:sz="2" w:space="0" w:color="000000"/>
              <w:bottom w:val="single" w:sz="2" w:space="0" w:color="000000"/>
              <w:right w:val="single" w:sz="2" w:space="0" w:color="000000"/>
            </w:tcBorders>
          </w:tcPr>
          <w:p w14:paraId="6501AD70" w14:textId="77777777" w:rsidR="00053D93" w:rsidRDefault="00260B75">
            <w:pPr>
              <w:ind w:right="32"/>
              <w:jc w:val="center"/>
            </w:pPr>
            <w:r>
              <w:rPr>
                <w:rFonts w:ascii="Malgan Gothic" w:eastAsia="Malgan Gothic" w:hAnsi="Malgan Gothic" w:cs="Malgan Gothic"/>
                <w:sz w:val="14"/>
              </w:rPr>
              <w:t>22/08/2024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0C679E26" w14:textId="77777777" w:rsidR="00053D93" w:rsidRDefault="00260B75">
            <w:pPr>
              <w:ind w:left="367"/>
            </w:pPr>
            <w:r>
              <w:rPr>
                <w:rFonts w:ascii="Malgan Gothic" w:eastAsia="Malgan Gothic" w:hAnsi="Malgan Gothic" w:cs="Malgan Gothic"/>
                <w:sz w:val="18"/>
              </w:rPr>
              <w:t>18600.00</w:t>
            </w:r>
          </w:p>
        </w:tc>
      </w:tr>
      <w:tr w:rsidR="00053D93" w14:paraId="62CA9163" w14:textId="77777777">
        <w:trPr>
          <w:trHeight w:val="533"/>
        </w:trPr>
        <w:tc>
          <w:tcPr>
            <w:tcW w:w="317" w:type="dxa"/>
            <w:tcBorders>
              <w:top w:val="single" w:sz="2" w:space="0" w:color="000000"/>
              <w:left w:val="single" w:sz="2" w:space="0" w:color="000000"/>
              <w:bottom w:val="single" w:sz="2" w:space="0" w:color="000000"/>
              <w:right w:val="nil"/>
            </w:tcBorders>
          </w:tcPr>
          <w:p w14:paraId="49134E5B" w14:textId="77777777" w:rsidR="00053D93" w:rsidRDefault="00260B75">
            <w:pPr>
              <w:ind w:left="22"/>
              <w:jc w:val="both"/>
            </w:pPr>
            <w:r>
              <w:rPr>
                <w:rFonts w:ascii="Malgan Gothic" w:eastAsia="Malgan Gothic" w:hAnsi="Malgan Gothic" w:cs="Malgan Gothic"/>
                <w:sz w:val="14"/>
              </w:rPr>
              <w:t>64</w:t>
            </w:r>
          </w:p>
        </w:tc>
        <w:tc>
          <w:tcPr>
            <w:tcW w:w="288" w:type="dxa"/>
            <w:tcBorders>
              <w:top w:val="single" w:sz="2" w:space="0" w:color="000000"/>
              <w:left w:val="nil"/>
              <w:bottom w:val="single" w:sz="2" w:space="0" w:color="000000"/>
              <w:right w:val="single" w:sz="2" w:space="0" w:color="000000"/>
            </w:tcBorders>
          </w:tcPr>
          <w:p w14:paraId="04B1DAFE"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362B0543" w14:textId="77777777" w:rsidR="00053D93" w:rsidRDefault="00260B75">
            <w:pPr>
              <w:ind w:left="22"/>
            </w:pPr>
            <w:r>
              <w:rPr>
                <w:rFonts w:ascii="Malgan Gothic" w:eastAsia="Malgan Gothic" w:hAnsi="Malgan Gothic" w:cs="Malgan Gothic"/>
                <w:sz w:val="16"/>
              </w:rPr>
              <w:t>E546889174</w:t>
            </w:r>
          </w:p>
        </w:tc>
        <w:tc>
          <w:tcPr>
            <w:tcW w:w="1594" w:type="dxa"/>
            <w:tcBorders>
              <w:top w:val="single" w:sz="2" w:space="0" w:color="000000"/>
              <w:left w:val="single" w:sz="2" w:space="0" w:color="000000"/>
              <w:bottom w:val="single" w:sz="2" w:space="0" w:color="000000"/>
              <w:right w:val="single" w:sz="2" w:space="0" w:color="000000"/>
            </w:tcBorders>
          </w:tcPr>
          <w:p w14:paraId="2B759DA7" w14:textId="77777777" w:rsidR="00053D93" w:rsidRDefault="00260B75">
            <w:pPr>
              <w:ind w:right="32"/>
              <w:jc w:val="center"/>
            </w:pPr>
            <w:r>
              <w:rPr>
                <w:rFonts w:ascii="Malgan Gothic" w:eastAsia="Malgan Gothic" w:hAnsi="Malgan Gothic" w:cs="Malgan Gothic"/>
                <w:sz w:val="14"/>
              </w:rPr>
              <w:t>2024-18504</w:t>
            </w:r>
          </w:p>
        </w:tc>
        <w:tc>
          <w:tcPr>
            <w:tcW w:w="1577" w:type="dxa"/>
            <w:tcBorders>
              <w:top w:val="single" w:sz="2" w:space="0" w:color="000000"/>
              <w:left w:val="single" w:sz="2" w:space="0" w:color="000000"/>
              <w:bottom w:val="single" w:sz="2" w:space="0" w:color="000000"/>
              <w:right w:val="single" w:sz="2" w:space="0" w:color="000000"/>
            </w:tcBorders>
          </w:tcPr>
          <w:p w14:paraId="5A2DDFFD" w14:textId="77777777" w:rsidR="00053D93" w:rsidRDefault="00260B75">
            <w:pPr>
              <w:ind w:right="27"/>
              <w:jc w:val="center"/>
            </w:pPr>
            <w:r>
              <w:rPr>
                <w:rFonts w:ascii="Malgan Gothic" w:eastAsia="Malgan Gothic" w:hAnsi="Malgan Gothic" w:cs="Malgan Gothic"/>
                <w:sz w:val="16"/>
              </w:rPr>
              <w:t>8/07/2024</w:t>
            </w:r>
          </w:p>
        </w:tc>
        <w:tc>
          <w:tcPr>
            <w:tcW w:w="1920" w:type="dxa"/>
            <w:tcBorders>
              <w:top w:val="single" w:sz="2" w:space="0" w:color="000000"/>
              <w:left w:val="single" w:sz="2" w:space="0" w:color="000000"/>
              <w:bottom w:val="single" w:sz="2" w:space="0" w:color="000000"/>
              <w:right w:val="single" w:sz="2" w:space="0" w:color="000000"/>
            </w:tcBorders>
          </w:tcPr>
          <w:p w14:paraId="2CF6E253" w14:textId="77777777" w:rsidR="00053D93" w:rsidRDefault="00260B75">
            <w:pPr>
              <w:ind w:right="32"/>
              <w:jc w:val="center"/>
            </w:pPr>
            <w:r>
              <w:rPr>
                <w:rFonts w:ascii="Malgan Gothic" w:eastAsia="Malgan Gothic" w:hAnsi="Malgan Gothic" w:cs="Malgan Gothic"/>
                <w:sz w:val="14"/>
              </w:rPr>
              <w:t>22/08/2024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165555D5" w14:textId="77777777" w:rsidR="00053D93" w:rsidRDefault="00260B75">
            <w:pPr>
              <w:ind w:left="468"/>
            </w:pPr>
            <w:r>
              <w:rPr>
                <w:rFonts w:ascii="Malgan Gothic" w:eastAsia="Malgan Gothic" w:hAnsi="Malgan Gothic" w:cs="Malgan Gothic"/>
                <w:sz w:val="18"/>
              </w:rPr>
              <w:t>3,100.00</w:t>
            </w:r>
          </w:p>
        </w:tc>
      </w:tr>
      <w:tr w:rsidR="00053D93" w14:paraId="285301D9" w14:textId="77777777">
        <w:trPr>
          <w:trHeight w:val="533"/>
        </w:trPr>
        <w:tc>
          <w:tcPr>
            <w:tcW w:w="317" w:type="dxa"/>
            <w:tcBorders>
              <w:top w:val="single" w:sz="2" w:space="0" w:color="000000"/>
              <w:left w:val="single" w:sz="2" w:space="0" w:color="000000"/>
              <w:bottom w:val="single" w:sz="2" w:space="0" w:color="000000"/>
              <w:right w:val="nil"/>
            </w:tcBorders>
          </w:tcPr>
          <w:p w14:paraId="103867F9" w14:textId="77777777" w:rsidR="00053D93" w:rsidRDefault="00260B75">
            <w:pPr>
              <w:ind w:left="14"/>
              <w:jc w:val="both"/>
            </w:pPr>
            <w:r>
              <w:rPr>
                <w:rFonts w:ascii="Malgan Gothic" w:eastAsia="Malgan Gothic" w:hAnsi="Malgan Gothic" w:cs="Malgan Gothic"/>
                <w:sz w:val="14"/>
              </w:rPr>
              <w:t>65</w:t>
            </w:r>
          </w:p>
        </w:tc>
        <w:tc>
          <w:tcPr>
            <w:tcW w:w="288" w:type="dxa"/>
            <w:tcBorders>
              <w:top w:val="single" w:sz="2" w:space="0" w:color="000000"/>
              <w:left w:val="nil"/>
              <w:bottom w:val="single" w:sz="2" w:space="0" w:color="000000"/>
              <w:right w:val="single" w:sz="2" w:space="0" w:color="000000"/>
            </w:tcBorders>
          </w:tcPr>
          <w:p w14:paraId="5EF9693D"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21472254" w14:textId="77777777" w:rsidR="00053D93" w:rsidRDefault="00260B75">
            <w:pPr>
              <w:ind w:left="14"/>
            </w:pPr>
            <w:r>
              <w:rPr>
                <w:rFonts w:ascii="Malgan Gothic" w:eastAsia="Malgan Gothic" w:hAnsi="Malgan Gothic" w:cs="Malgan Gothic"/>
                <w:sz w:val="16"/>
              </w:rPr>
              <w:t>E546916562</w:t>
            </w:r>
          </w:p>
        </w:tc>
        <w:tc>
          <w:tcPr>
            <w:tcW w:w="1594" w:type="dxa"/>
            <w:tcBorders>
              <w:top w:val="single" w:sz="2" w:space="0" w:color="000000"/>
              <w:left w:val="single" w:sz="2" w:space="0" w:color="000000"/>
              <w:bottom w:val="single" w:sz="2" w:space="0" w:color="000000"/>
              <w:right w:val="single" w:sz="2" w:space="0" w:color="000000"/>
            </w:tcBorders>
          </w:tcPr>
          <w:p w14:paraId="40FCA9D6" w14:textId="77777777" w:rsidR="00053D93" w:rsidRDefault="00260B75">
            <w:pPr>
              <w:ind w:right="32"/>
              <w:jc w:val="center"/>
            </w:pPr>
            <w:r>
              <w:rPr>
                <w:rFonts w:ascii="Malgan Gothic" w:eastAsia="Malgan Gothic" w:hAnsi="Malgan Gothic" w:cs="Malgan Gothic"/>
                <w:sz w:val="14"/>
              </w:rPr>
              <w:t>2024-18453</w:t>
            </w:r>
          </w:p>
        </w:tc>
        <w:tc>
          <w:tcPr>
            <w:tcW w:w="1577" w:type="dxa"/>
            <w:tcBorders>
              <w:top w:val="single" w:sz="2" w:space="0" w:color="000000"/>
              <w:left w:val="single" w:sz="2" w:space="0" w:color="000000"/>
              <w:bottom w:val="single" w:sz="2" w:space="0" w:color="000000"/>
              <w:right w:val="single" w:sz="2" w:space="0" w:color="000000"/>
            </w:tcBorders>
          </w:tcPr>
          <w:p w14:paraId="380C4EDC" w14:textId="77777777" w:rsidR="00053D93" w:rsidRDefault="00260B75">
            <w:pPr>
              <w:ind w:right="27"/>
              <w:jc w:val="center"/>
            </w:pPr>
            <w:r>
              <w:rPr>
                <w:rFonts w:ascii="Malgan Gothic" w:eastAsia="Malgan Gothic" w:hAnsi="Malgan Gothic" w:cs="Malgan Gothic"/>
                <w:sz w:val="14"/>
              </w:rPr>
              <w:t>5/07/2024</w:t>
            </w:r>
          </w:p>
        </w:tc>
        <w:tc>
          <w:tcPr>
            <w:tcW w:w="1920" w:type="dxa"/>
            <w:tcBorders>
              <w:top w:val="single" w:sz="2" w:space="0" w:color="000000"/>
              <w:left w:val="single" w:sz="2" w:space="0" w:color="000000"/>
              <w:bottom w:val="single" w:sz="2" w:space="0" w:color="000000"/>
              <w:right w:val="single" w:sz="2" w:space="0" w:color="000000"/>
            </w:tcBorders>
          </w:tcPr>
          <w:p w14:paraId="4B3A18C6" w14:textId="77777777" w:rsidR="00053D93" w:rsidRDefault="00260B75">
            <w:pPr>
              <w:ind w:right="39"/>
              <w:jc w:val="center"/>
            </w:pPr>
            <w:r>
              <w:rPr>
                <w:rFonts w:ascii="Malgan Gothic" w:eastAsia="Malgan Gothic" w:hAnsi="Malgan Gothic" w:cs="Malgan Gothic"/>
                <w:sz w:val="14"/>
              </w:rPr>
              <w:t>22/08/2024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0ED54F61" w14:textId="77777777" w:rsidR="00053D93" w:rsidRDefault="00260B75">
            <w:pPr>
              <w:ind w:left="367"/>
            </w:pPr>
            <w:r>
              <w:rPr>
                <w:rFonts w:ascii="Malgan Gothic" w:eastAsia="Malgan Gothic" w:hAnsi="Malgan Gothic" w:cs="Malgan Gothic"/>
                <w:sz w:val="18"/>
              </w:rPr>
              <w:t>18,000.00</w:t>
            </w:r>
          </w:p>
        </w:tc>
      </w:tr>
      <w:tr w:rsidR="00053D93" w14:paraId="4BE90975" w14:textId="77777777">
        <w:trPr>
          <w:trHeight w:val="530"/>
        </w:trPr>
        <w:tc>
          <w:tcPr>
            <w:tcW w:w="317" w:type="dxa"/>
            <w:tcBorders>
              <w:top w:val="single" w:sz="2" w:space="0" w:color="000000"/>
              <w:left w:val="single" w:sz="2" w:space="0" w:color="000000"/>
              <w:bottom w:val="single" w:sz="2" w:space="0" w:color="000000"/>
              <w:right w:val="nil"/>
            </w:tcBorders>
          </w:tcPr>
          <w:p w14:paraId="137AB1DC" w14:textId="77777777" w:rsidR="00053D93" w:rsidRDefault="00260B75">
            <w:pPr>
              <w:ind w:left="7"/>
              <w:jc w:val="both"/>
            </w:pPr>
            <w:r>
              <w:rPr>
                <w:rFonts w:ascii="Malgan Gothic" w:eastAsia="Malgan Gothic" w:hAnsi="Malgan Gothic" w:cs="Malgan Gothic"/>
                <w:sz w:val="14"/>
              </w:rPr>
              <w:t>66</w:t>
            </w:r>
          </w:p>
        </w:tc>
        <w:tc>
          <w:tcPr>
            <w:tcW w:w="288" w:type="dxa"/>
            <w:tcBorders>
              <w:top w:val="single" w:sz="2" w:space="0" w:color="000000"/>
              <w:left w:val="nil"/>
              <w:bottom w:val="single" w:sz="2" w:space="0" w:color="000000"/>
              <w:right w:val="single" w:sz="2" w:space="0" w:color="000000"/>
            </w:tcBorders>
          </w:tcPr>
          <w:p w14:paraId="6505F819"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310BB33F" w14:textId="77777777" w:rsidR="00053D93" w:rsidRDefault="00260B75">
            <w:pPr>
              <w:ind w:left="14"/>
            </w:pPr>
            <w:r>
              <w:rPr>
                <w:rFonts w:ascii="Malgan Gothic" w:eastAsia="Malgan Gothic" w:hAnsi="Malgan Gothic" w:cs="Malgan Gothic"/>
                <w:sz w:val="14"/>
              </w:rPr>
              <w:t>E546935451</w:t>
            </w:r>
          </w:p>
        </w:tc>
        <w:tc>
          <w:tcPr>
            <w:tcW w:w="1594" w:type="dxa"/>
            <w:tcBorders>
              <w:top w:val="single" w:sz="2" w:space="0" w:color="000000"/>
              <w:left w:val="single" w:sz="2" w:space="0" w:color="000000"/>
              <w:bottom w:val="single" w:sz="2" w:space="0" w:color="000000"/>
              <w:right w:val="single" w:sz="2" w:space="0" w:color="000000"/>
            </w:tcBorders>
          </w:tcPr>
          <w:p w14:paraId="28E83B66" w14:textId="77777777" w:rsidR="00053D93" w:rsidRDefault="00260B75">
            <w:pPr>
              <w:ind w:right="46"/>
              <w:jc w:val="center"/>
            </w:pPr>
            <w:r>
              <w:rPr>
                <w:rFonts w:ascii="Malgan Gothic" w:eastAsia="Malgan Gothic" w:hAnsi="Malgan Gothic" w:cs="Malgan Gothic"/>
                <w:sz w:val="14"/>
              </w:rPr>
              <w:t>2024-20762</w:t>
            </w:r>
          </w:p>
        </w:tc>
        <w:tc>
          <w:tcPr>
            <w:tcW w:w="1577" w:type="dxa"/>
            <w:tcBorders>
              <w:top w:val="single" w:sz="2" w:space="0" w:color="000000"/>
              <w:left w:val="single" w:sz="2" w:space="0" w:color="000000"/>
              <w:bottom w:val="single" w:sz="2" w:space="0" w:color="000000"/>
              <w:right w:val="single" w:sz="2" w:space="0" w:color="000000"/>
            </w:tcBorders>
          </w:tcPr>
          <w:p w14:paraId="703B84C7" w14:textId="77777777" w:rsidR="00053D93" w:rsidRDefault="00260B75">
            <w:pPr>
              <w:ind w:right="41"/>
              <w:jc w:val="center"/>
            </w:pPr>
            <w:r>
              <w:rPr>
                <w:rFonts w:ascii="Malgan Gothic" w:eastAsia="Malgan Gothic" w:hAnsi="Malgan Gothic" w:cs="Malgan Gothic"/>
                <w:sz w:val="14"/>
              </w:rPr>
              <w:t>8/08/2024</w:t>
            </w:r>
          </w:p>
        </w:tc>
        <w:tc>
          <w:tcPr>
            <w:tcW w:w="1920" w:type="dxa"/>
            <w:tcBorders>
              <w:top w:val="single" w:sz="2" w:space="0" w:color="000000"/>
              <w:left w:val="single" w:sz="2" w:space="0" w:color="000000"/>
              <w:bottom w:val="single" w:sz="2" w:space="0" w:color="000000"/>
              <w:right w:val="single" w:sz="2" w:space="0" w:color="000000"/>
            </w:tcBorders>
          </w:tcPr>
          <w:p w14:paraId="3661C67F" w14:textId="77777777" w:rsidR="00053D93" w:rsidRDefault="00260B75">
            <w:pPr>
              <w:ind w:right="39"/>
              <w:jc w:val="center"/>
            </w:pPr>
            <w:r>
              <w:rPr>
                <w:rFonts w:ascii="Malgan Gothic" w:eastAsia="Malgan Gothic" w:hAnsi="Malgan Gothic" w:cs="Malgan Gothic"/>
                <w:sz w:val="16"/>
              </w:rPr>
              <w:t>22/08/2024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6008C7E2" w14:textId="77777777" w:rsidR="00053D93" w:rsidRDefault="00260B75">
            <w:pPr>
              <w:ind w:right="67"/>
              <w:jc w:val="right"/>
            </w:pPr>
            <w:r>
              <w:rPr>
                <w:rFonts w:ascii="Malgan Gothic" w:eastAsia="Malgan Gothic" w:hAnsi="Malgan Gothic" w:cs="Malgan Gothic"/>
                <w:sz w:val="14"/>
              </w:rPr>
              <w:t>414.00</w:t>
            </w:r>
          </w:p>
        </w:tc>
      </w:tr>
      <w:tr w:rsidR="00053D93" w14:paraId="426C0E67" w14:textId="77777777">
        <w:trPr>
          <w:trHeight w:val="533"/>
        </w:trPr>
        <w:tc>
          <w:tcPr>
            <w:tcW w:w="317" w:type="dxa"/>
            <w:tcBorders>
              <w:top w:val="single" w:sz="2" w:space="0" w:color="000000"/>
              <w:left w:val="single" w:sz="2" w:space="0" w:color="000000"/>
              <w:bottom w:val="single" w:sz="2" w:space="0" w:color="000000"/>
              <w:right w:val="nil"/>
            </w:tcBorders>
          </w:tcPr>
          <w:p w14:paraId="461CBDF9" w14:textId="77777777" w:rsidR="00053D93" w:rsidRDefault="00260B75">
            <w:pPr>
              <w:ind w:left="7"/>
              <w:jc w:val="both"/>
            </w:pPr>
            <w:r>
              <w:rPr>
                <w:rFonts w:ascii="Malgan Gothic" w:eastAsia="Malgan Gothic" w:hAnsi="Malgan Gothic" w:cs="Malgan Gothic"/>
                <w:sz w:val="14"/>
              </w:rPr>
              <w:t>67</w:t>
            </w:r>
          </w:p>
        </w:tc>
        <w:tc>
          <w:tcPr>
            <w:tcW w:w="288" w:type="dxa"/>
            <w:tcBorders>
              <w:top w:val="single" w:sz="2" w:space="0" w:color="000000"/>
              <w:left w:val="nil"/>
              <w:bottom w:val="single" w:sz="2" w:space="0" w:color="000000"/>
              <w:right w:val="single" w:sz="2" w:space="0" w:color="000000"/>
            </w:tcBorders>
          </w:tcPr>
          <w:p w14:paraId="57B0C595"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3398D3F3" w14:textId="77777777" w:rsidR="00053D93" w:rsidRDefault="00260B75">
            <w:pPr>
              <w:ind w:left="14"/>
            </w:pPr>
            <w:r>
              <w:rPr>
                <w:rFonts w:ascii="Malgan Gothic" w:eastAsia="Malgan Gothic" w:hAnsi="Malgan Gothic" w:cs="Malgan Gothic"/>
                <w:sz w:val="16"/>
              </w:rPr>
              <w:t>E547360657</w:t>
            </w:r>
          </w:p>
        </w:tc>
        <w:tc>
          <w:tcPr>
            <w:tcW w:w="1594" w:type="dxa"/>
            <w:tcBorders>
              <w:top w:val="single" w:sz="2" w:space="0" w:color="000000"/>
              <w:left w:val="single" w:sz="2" w:space="0" w:color="000000"/>
              <w:bottom w:val="single" w:sz="2" w:space="0" w:color="000000"/>
              <w:right w:val="single" w:sz="2" w:space="0" w:color="000000"/>
            </w:tcBorders>
          </w:tcPr>
          <w:p w14:paraId="0907DD8F" w14:textId="77777777" w:rsidR="00053D93" w:rsidRDefault="00260B75">
            <w:pPr>
              <w:ind w:right="46"/>
              <w:jc w:val="center"/>
            </w:pPr>
            <w:r>
              <w:rPr>
                <w:rFonts w:ascii="Malgan Gothic" w:eastAsia="Malgan Gothic" w:hAnsi="Malgan Gothic" w:cs="Malgan Gothic"/>
                <w:sz w:val="16"/>
              </w:rPr>
              <w:t>2024-18780</w:t>
            </w:r>
          </w:p>
        </w:tc>
        <w:tc>
          <w:tcPr>
            <w:tcW w:w="1577" w:type="dxa"/>
            <w:tcBorders>
              <w:top w:val="single" w:sz="2" w:space="0" w:color="000000"/>
              <w:left w:val="single" w:sz="2" w:space="0" w:color="000000"/>
              <w:bottom w:val="single" w:sz="2" w:space="0" w:color="000000"/>
              <w:right w:val="single" w:sz="2" w:space="0" w:color="000000"/>
            </w:tcBorders>
          </w:tcPr>
          <w:p w14:paraId="0DCB66FB" w14:textId="77777777" w:rsidR="00053D93" w:rsidRDefault="00260B75">
            <w:pPr>
              <w:ind w:right="27"/>
              <w:jc w:val="center"/>
            </w:pPr>
            <w:r>
              <w:rPr>
                <w:rFonts w:ascii="Malgan Gothic" w:eastAsia="Malgan Gothic" w:hAnsi="Malgan Gothic" w:cs="Malgan Gothic"/>
                <w:sz w:val="14"/>
              </w:rPr>
              <w:t>15/07/2024</w:t>
            </w:r>
          </w:p>
        </w:tc>
        <w:tc>
          <w:tcPr>
            <w:tcW w:w="1920" w:type="dxa"/>
            <w:tcBorders>
              <w:top w:val="single" w:sz="2" w:space="0" w:color="000000"/>
              <w:left w:val="single" w:sz="2" w:space="0" w:color="000000"/>
              <w:bottom w:val="single" w:sz="2" w:space="0" w:color="000000"/>
              <w:right w:val="single" w:sz="2" w:space="0" w:color="000000"/>
            </w:tcBorders>
          </w:tcPr>
          <w:p w14:paraId="4F3A6F38" w14:textId="77777777" w:rsidR="00053D93" w:rsidRDefault="00260B75">
            <w:pPr>
              <w:ind w:right="32"/>
              <w:jc w:val="center"/>
            </w:pPr>
            <w:r>
              <w:rPr>
                <w:rFonts w:ascii="Malgan Gothic" w:eastAsia="Malgan Gothic" w:hAnsi="Malgan Gothic" w:cs="Malgan Gothic"/>
                <w:sz w:val="14"/>
              </w:rPr>
              <w:t>30/08/2024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0FC98E7D" w14:textId="77777777" w:rsidR="00053D93" w:rsidRDefault="00260B75">
            <w:pPr>
              <w:ind w:left="461"/>
            </w:pPr>
            <w:r>
              <w:rPr>
                <w:rFonts w:ascii="Malgan Gothic" w:eastAsia="Malgan Gothic" w:hAnsi="Malgan Gothic" w:cs="Malgan Gothic"/>
                <w:sz w:val="16"/>
              </w:rPr>
              <w:t>2,940.00</w:t>
            </w:r>
          </w:p>
        </w:tc>
      </w:tr>
      <w:tr w:rsidR="00053D93" w14:paraId="0C60C968" w14:textId="77777777">
        <w:trPr>
          <w:trHeight w:val="528"/>
        </w:trPr>
        <w:tc>
          <w:tcPr>
            <w:tcW w:w="317" w:type="dxa"/>
            <w:tcBorders>
              <w:top w:val="single" w:sz="2" w:space="0" w:color="000000"/>
              <w:left w:val="single" w:sz="2" w:space="0" w:color="000000"/>
              <w:bottom w:val="single" w:sz="2" w:space="0" w:color="000000"/>
              <w:right w:val="nil"/>
            </w:tcBorders>
          </w:tcPr>
          <w:p w14:paraId="467159B6" w14:textId="77777777" w:rsidR="00053D93" w:rsidRDefault="00260B75">
            <w:pPr>
              <w:jc w:val="both"/>
            </w:pPr>
            <w:r>
              <w:rPr>
                <w:rFonts w:ascii="Malgan Gothic" w:eastAsia="Malgan Gothic" w:hAnsi="Malgan Gothic" w:cs="Malgan Gothic"/>
                <w:sz w:val="14"/>
              </w:rPr>
              <w:t>68</w:t>
            </w:r>
          </w:p>
        </w:tc>
        <w:tc>
          <w:tcPr>
            <w:tcW w:w="288" w:type="dxa"/>
            <w:tcBorders>
              <w:top w:val="single" w:sz="2" w:space="0" w:color="000000"/>
              <w:left w:val="nil"/>
              <w:bottom w:val="single" w:sz="2" w:space="0" w:color="000000"/>
              <w:right w:val="single" w:sz="2" w:space="0" w:color="000000"/>
            </w:tcBorders>
          </w:tcPr>
          <w:p w14:paraId="058B8239"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540F75C9" w14:textId="77777777" w:rsidR="00053D93" w:rsidRDefault="00260B75">
            <w:pPr>
              <w:ind w:left="7"/>
            </w:pPr>
            <w:r>
              <w:rPr>
                <w:rFonts w:ascii="Malgan Gothic" w:eastAsia="Malgan Gothic" w:hAnsi="Malgan Gothic" w:cs="Malgan Gothic"/>
                <w:sz w:val="16"/>
              </w:rPr>
              <w:t>E547683073</w:t>
            </w:r>
          </w:p>
        </w:tc>
        <w:tc>
          <w:tcPr>
            <w:tcW w:w="1594" w:type="dxa"/>
            <w:tcBorders>
              <w:top w:val="single" w:sz="2" w:space="0" w:color="000000"/>
              <w:left w:val="single" w:sz="2" w:space="0" w:color="000000"/>
              <w:bottom w:val="single" w:sz="2" w:space="0" w:color="000000"/>
              <w:right w:val="single" w:sz="2" w:space="0" w:color="000000"/>
            </w:tcBorders>
          </w:tcPr>
          <w:p w14:paraId="702678E2" w14:textId="77777777" w:rsidR="00053D93" w:rsidRDefault="00260B75">
            <w:pPr>
              <w:ind w:right="60"/>
              <w:jc w:val="center"/>
            </w:pPr>
            <w:r>
              <w:rPr>
                <w:rFonts w:ascii="Malgan Gothic" w:eastAsia="Malgan Gothic" w:hAnsi="Malgan Gothic" w:cs="Malgan Gothic"/>
                <w:sz w:val="14"/>
              </w:rPr>
              <w:t>2024-20392</w:t>
            </w:r>
          </w:p>
        </w:tc>
        <w:tc>
          <w:tcPr>
            <w:tcW w:w="1577" w:type="dxa"/>
            <w:tcBorders>
              <w:top w:val="single" w:sz="2" w:space="0" w:color="000000"/>
              <w:left w:val="single" w:sz="2" w:space="0" w:color="000000"/>
              <w:bottom w:val="single" w:sz="2" w:space="0" w:color="000000"/>
              <w:right w:val="single" w:sz="2" w:space="0" w:color="000000"/>
            </w:tcBorders>
          </w:tcPr>
          <w:p w14:paraId="0EF86047" w14:textId="77777777" w:rsidR="00053D93" w:rsidRDefault="00260B75">
            <w:pPr>
              <w:ind w:right="41"/>
              <w:jc w:val="center"/>
            </w:pPr>
            <w:r>
              <w:rPr>
                <w:rFonts w:ascii="Malgan Gothic" w:eastAsia="Malgan Gothic" w:hAnsi="Malgan Gothic" w:cs="Malgan Gothic"/>
                <w:sz w:val="16"/>
              </w:rPr>
              <w:t>25/07/2024</w:t>
            </w:r>
          </w:p>
        </w:tc>
        <w:tc>
          <w:tcPr>
            <w:tcW w:w="1920" w:type="dxa"/>
            <w:tcBorders>
              <w:top w:val="single" w:sz="2" w:space="0" w:color="000000"/>
              <w:left w:val="single" w:sz="2" w:space="0" w:color="000000"/>
              <w:bottom w:val="single" w:sz="2" w:space="0" w:color="000000"/>
              <w:right w:val="single" w:sz="2" w:space="0" w:color="000000"/>
            </w:tcBorders>
          </w:tcPr>
          <w:p w14:paraId="6992461A" w14:textId="77777777" w:rsidR="00053D93" w:rsidRDefault="00260B75">
            <w:pPr>
              <w:ind w:right="39"/>
              <w:jc w:val="center"/>
            </w:pPr>
            <w:r>
              <w:rPr>
                <w:rFonts w:ascii="Malgan Gothic" w:eastAsia="Malgan Gothic" w:hAnsi="Malgan Gothic" w:cs="Malgan Gothic"/>
                <w:sz w:val="16"/>
              </w:rPr>
              <w:t>5/09/2024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2B984A22" w14:textId="77777777" w:rsidR="00053D93" w:rsidRDefault="00260B75">
            <w:pPr>
              <w:ind w:left="468"/>
            </w:pPr>
            <w:r>
              <w:rPr>
                <w:rFonts w:ascii="Malgan Gothic" w:eastAsia="Malgan Gothic" w:hAnsi="Malgan Gothic" w:cs="Malgan Gothic"/>
                <w:sz w:val="18"/>
              </w:rPr>
              <w:t>3|400.00</w:t>
            </w:r>
          </w:p>
        </w:tc>
      </w:tr>
      <w:tr w:rsidR="00053D93" w14:paraId="32278F43" w14:textId="77777777">
        <w:trPr>
          <w:trHeight w:val="530"/>
        </w:trPr>
        <w:tc>
          <w:tcPr>
            <w:tcW w:w="317" w:type="dxa"/>
            <w:tcBorders>
              <w:top w:val="single" w:sz="2" w:space="0" w:color="000000"/>
              <w:left w:val="single" w:sz="2" w:space="0" w:color="000000"/>
              <w:bottom w:val="single" w:sz="2" w:space="0" w:color="000000"/>
              <w:right w:val="nil"/>
            </w:tcBorders>
          </w:tcPr>
          <w:p w14:paraId="781B4018" w14:textId="77777777" w:rsidR="00053D93" w:rsidRDefault="00260B75">
            <w:r>
              <w:rPr>
                <w:rFonts w:ascii="Malgan Gothic" w:eastAsia="Malgan Gothic" w:hAnsi="Malgan Gothic" w:cs="Malgan Gothic"/>
                <w:sz w:val="14"/>
              </w:rPr>
              <w:t>69</w:t>
            </w:r>
          </w:p>
        </w:tc>
        <w:tc>
          <w:tcPr>
            <w:tcW w:w="288" w:type="dxa"/>
            <w:tcBorders>
              <w:top w:val="single" w:sz="2" w:space="0" w:color="000000"/>
              <w:left w:val="nil"/>
              <w:bottom w:val="single" w:sz="2" w:space="0" w:color="000000"/>
              <w:right w:val="single" w:sz="2" w:space="0" w:color="000000"/>
            </w:tcBorders>
          </w:tcPr>
          <w:p w14:paraId="4876C417"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0F4D8B70" w14:textId="77777777" w:rsidR="00053D93" w:rsidRDefault="00260B75">
            <w:pPr>
              <w:ind w:left="7"/>
            </w:pPr>
            <w:r>
              <w:rPr>
                <w:rFonts w:ascii="Malgan Gothic" w:eastAsia="Malgan Gothic" w:hAnsi="Malgan Gothic" w:cs="Malgan Gothic"/>
                <w:sz w:val="14"/>
              </w:rPr>
              <w:t>E547752245</w:t>
            </w:r>
          </w:p>
        </w:tc>
        <w:tc>
          <w:tcPr>
            <w:tcW w:w="1594" w:type="dxa"/>
            <w:tcBorders>
              <w:top w:val="single" w:sz="2" w:space="0" w:color="000000"/>
              <w:left w:val="single" w:sz="2" w:space="0" w:color="000000"/>
              <w:bottom w:val="single" w:sz="2" w:space="0" w:color="000000"/>
              <w:right w:val="single" w:sz="2" w:space="0" w:color="000000"/>
            </w:tcBorders>
          </w:tcPr>
          <w:p w14:paraId="2CEAFC70" w14:textId="77777777" w:rsidR="00053D93" w:rsidRDefault="00260B75">
            <w:pPr>
              <w:ind w:right="53"/>
              <w:jc w:val="center"/>
            </w:pPr>
            <w:r>
              <w:rPr>
                <w:rFonts w:ascii="Malgan Gothic" w:eastAsia="Malgan Gothic" w:hAnsi="Malgan Gothic" w:cs="Malgan Gothic"/>
                <w:sz w:val="14"/>
              </w:rPr>
              <w:t>2024-21329</w:t>
            </w:r>
          </w:p>
        </w:tc>
        <w:tc>
          <w:tcPr>
            <w:tcW w:w="1577" w:type="dxa"/>
            <w:tcBorders>
              <w:top w:val="single" w:sz="2" w:space="0" w:color="000000"/>
              <w:left w:val="single" w:sz="2" w:space="0" w:color="000000"/>
              <w:bottom w:val="single" w:sz="2" w:space="0" w:color="000000"/>
              <w:right w:val="single" w:sz="2" w:space="0" w:color="000000"/>
            </w:tcBorders>
          </w:tcPr>
          <w:p w14:paraId="4DE329BB" w14:textId="77777777" w:rsidR="00053D93" w:rsidRDefault="00260B75">
            <w:pPr>
              <w:ind w:right="49"/>
              <w:jc w:val="center"/>
            </w:pPr>
            <w:r>
              <w:rPr>
                <w:rFonts w:ascii="Malgan Gothic" w:eastAsia="Malgan Gothic" w:hAnsi="Malgan Gothic" w:cs="Malgan Gothic"/>
                <w:sz w:val="16"/>
              </w:rPr>
              <w:t>27/08/2024</w:t>
            </w:r>
          </w:p>
        </w:tc>
        <w:tc>
          <w:tcPr>
            <w:tcW w:w="1920" w:type="dxa"/>
            <w:tcBorders>
              <w:top w:val="single" w:sz="2" w:space="0" w:color="000000"/>
              <w:left w:val="single" w:sz="2" w:space="0" w:color="000000"/>
              <w:bottom w:val="single" w:sz="2" w:space="0" w:color="000000"/>
              <w:right w:val="single" w:sz="2" w:space="0" w:color="000000"/>
            </w:tcBorders>
          </w:tcPr>
          <w:p w14:paraId="1EC4CAFE" w14:textId="77777777" w:rsidR="00053D93" w:rsidRDefault="00260B75">
            <w:pPr>
              <w:ind w:right="39"/>
              <w:jc w:val="center"/>
            </w:pPr>
            <w:r>
              <w:rPr>
                <w:rFonts w:ascii="Malgan Gothic" w:eastAsia="Malgan Gothic" w:hAnsi="Malgan Gothic" w:cs="Malgan Gothic"/>
                <w:sz w:val="14"/>
              </w:rPr>
              <w:t>6/09/2024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7EAC46DD" w14:textId="77777777" w:rsidR="00053D93" w:rsidRDefault="00260B75">
            <w:pPr>
              <w:ind w:left="468"/>
            </w:pPr>
            <w:r>
              <w:rPr>
                <w:rFonts w:ascii="Malgan Gothic" w:eastAsia="Malgan Gothic" w:hAnsi="Malgan Gothic" w:cs="Malgan Gothic"/>
                <w:sz w:val="18"/>
              </w:rPr>
              <w:t>1269.00</w:t>
            </w:r>
          </w:p>
        </w:tc>
      </w:tr>
      <w:tr w:rsidR="00053D93" w14:paraId="15080382" w14:textId="77777777">
        <w:trPr>
          <w:trHeight w:val="540"/>
        </w:trPr>
        <w:tc>
          <w:tcPr>
            <w:tcW w:w="317" w:type="dxa"/>
            <w:vMerge w:val="restart"/>
            <w:tcBorders>
              <w:top w:val="single" w:sz="2" w:space="0" w:color="000000"/>
              <w:left w:val="single" w:sz="2" w:space="0" w:color="000000"/>
              <w:bottom w:val="nil"/>
              <w:right w:val="nil"/>
            </w:tcBorders>
          </w:tcPr>
          <w:p w14:paraId="32AFC44C" w14:textId="77777777" w:rsidR="00053D93" w:rsidRDefault="00260B75">
            <w:pPr>
              <w:spacing w:after="268"/>
            </w:pPr>
            <w:r>
              <w:rPr>
                <w:rFonts w:ascii="Malgan Gothic" w:eastAsia="Malgan Gothic" w:hAnsi="Malgan Gothic" w:cs="Malgan Gothic"/>
                <w:sz w:val="14"/>
              </w:rPr>
              <w:t>70</w:t>
            </w:r>
          </w:p>
          <w:p w14:paraId="1C0A71FA" w14:textId="77777777" w:rsidR="00053D93" w:rsidRDefault="00260B75">
            <w:pPr>
              <w:ind w:left="94"/>
            </w:pPr>
            <w:r>
              <w:rPr>
                <w:noProof/>
              </w:rPr>
              <w:drawing>
                <wp:inline distT="0" distB="0" distL="0" distR="0" wp14:anchorId="405D8C90" wp14:editId="5FE65577">
                  <wp:extent cx="4572" cy="123444"/>
                  <wp:effectExtent l="0" t="0" r="0" b="0"/>
                  <wp:docPr id="2459055" name="Picture 2459055"/>
                  <wp:cNvGraphicFramePr/>
                  <a:graphic xmlns:a="http://schemas.openxmlformats.org/drawingml/2006/main">
                    <a:graphicData uri="http://schemas.openxmlformats.org/drawingml/2006/picture">
                      <pic:pic xmlns:pic="http://schemas.openxmlformats.org/drawingml/2006/picture">
                        <pic:nvPicPr>
                          <pic:cNvPr id="2459055" name="Picture 2459055"/>
                          <pic:cNvPicPr/>
                        </pic:nvPicPr>
                        <pic:blipFill>
                          <a:blip r:embed="rId1837"/>
                          <a:stretch>
                            <a:fillRect/>
                          </a:stretch>
                        </pic:blipFill>
                        <pic:spPr>
                          <a:xfrm>
                            <a:off x="0" y="0"/>
                            <a:ext cx="4572" cy="123444"/>
                          </a:xfrm>
                          <a:prstGeom prst="rect">
                            <a:avLst/>
                          </a:prstGeom>
                        </pic:spPr>
                      </pic:pic>
                    </a:graphicData>
                  </a:graphic>
                </wp:inline>
              </w:drawing>
            </w:r>
          </w:p>
        </w:tc>
        <w:tc>
          <w:tcPr>
            <w:tcW w:w="288" w:type="dxa"/>
            <w:vMerge w:val="restart"/>
            <w:tcBorders>
              <w:top w:val="single" w:sz="2" w:space="0" w:color="000000"/>
              <w:left w:val="nil"/>
              <w:bottom w:val="nil"/>
              <w:right w:val="single" w:sz="2" w:space="0" w:color="000000"/>
            </w:tcBorders>
          </w:tcPr>
          <w:p w14:paraId="57C3398B" w14:textId="77777777" w:rsidR="00053D93" w:rsidRDefault="00053D93"/>
        </w:tc>
        <w:tc>
          <w:tcPr>
            <w:tcW w:w="1231" w:type="dxa"/>
            <w:tcBorders>
              <w:top w:val="single" w:sz="2" w:space="0" w:color="000000"/>
              <w:left w:val="single" w:sz="2" w:space="0" w:color="000000"/>
              <w:bottom w:val="single" w:sz="2" w:space="0" w:color="000000"/>
              <w:right w:val="single" w:sz="2" w:space="0" w:color="000000"/>
            </w:tcBorders>
          </w:tcPr>
          <w:p w14:paraId="77836C66" w14:textId="77777777" w:rsidR="00053D93" w:rsidRDefault="00260B75">
            <w:r>
              <w:rPr>
                <w:rFonts w:ascii="Malgan Gothic" w:eastAsia="Malgan Gothic" w:hAnsi="Malgan Gothic" w:cs="Malgan Gothic"/>
                <w:sz w:val="16"/>
              </w:rPr>
              <w:t>E547754175</w:t>
            </w:r>
          </w:p>
        </w:tc>
        <w:tc>
          <w:tcPr>
            <w:tcW w:w="1594" w:type="dxa"/>
            <w:tcBorders>
              <w:top w:val="single" w:sz="2" w:space="0" w:color="000000"/>
              <w:left w:val="single" w:sz="2" w:space="0" w:color="000000"/>
              <w:bottom w:val="single" w:sz="2" w:space="0" w:color="000000"/>
              <w:right w:val="single" w:sz="2" w:space="0" w:color="000000"/>
            </w:tcBorders>
          </w:tcPr>
          <w:p w14:paraId="07E27C45" w14:textId="77777777" w:rsidR="00053D93" w:rsidRDefault="00260B75">
            <w:pPr>
              <w:ind w:right="60"/>
              <w:jc w:val="center"/>
            </w:pPr>
            <w:r>
              <w:rPr>
                <w:rFonts w:ascii="Malgan Gothic" w:eastAsia="Malgan Gothic" w:hAnsi="Malgan Gothic" w:cs="Malgan Gothic"/>
                <w:sz w:val="16"/>
              </w:rPr>
              <w:t>2024-20382</w:t>
            </w:r>
          </w:p>
        </w:tc>
        <w:tc>
          <w:tcPr>
            <w:tcW w:w="1577" w:type="dxa"/>
            <w:tcBorders>
              <w:top w:val="single" w:sz="2" w:space="0" w:color="000000"/>
              <w:left w:val="single" w:sz="2" w:space="0" w:color="000000"/>
              <w:bottom w:val="single" w:sz="2" w:space="0" w:color="000000"/>
              <w:right w:val="single" w:sz="2" w:space="0" w:color="000000"/>
            </w:tcBorders>
          </w:tcPr>
          <w:p w14:paraId="16C6163F" w14:textId="77777777" w:rsidR="00053D93" w:rsidRDefault="00260B75">
            <w:pPr>
              <w:ind w:right="56"/>
              <w:jc w:val="center"/>
            </w:pPr>
            <w:r>
              <w:rPr>
                <w:rFonts w:ascii="Malgan Gothic" w:eastAsia="Malgan Gothic" w:hAnsi="Malgan Gothic" w:cs="Malgan Gothic"/>
                <w:sz w:val="16"/>
              </w:rPr>
              <w:t>29/0하2024</w:t>
            </w:r>
          </w:p>
        </w:tc>
        <w:tc>
          <w:tcPr>
            <w:tcW w:w="1920" w:type="dxa"/>
            <w:tcBorders>
              <w:top w:val="single" w:sz="2" w:space="0" w:color="000000"/>
              <w:left w:val="single" w:sz="2" w:space="0" w:color="000000"/>
              <w:bottom w:val="single" w:sz="2" w:space="0" w:color="000000"/>
              <w:right w:val="single" w:sz="2" w:space="0" w:color="000000"/>
            </w:tcBorders>
          </w:tcPr>
          <w:p w14:paraId="485024AF" w14:textId="77777777" w:rsidR="00053D93" w:rsidRDefault="00260B75">
            <w:pPr>
              <w:ind w:right="53"/>
              <w:jc w:val="center"/>
            </w:pPr>
            <w:r>
              <w:rPr>
                <w:rFonts w:ascii="Malgan Gothic" w:eastAsia="Malgan Gothic" w:hAnsi="Malgan Gothic" w:cs="Malgan Gothic"/>
                <w:sz w:val="16"/>
              </w:rPr>
              <w:t>6/09/2024</w:t>
            </w:r>
          </w:p>
        </w:tc>
        <w:tc>
          <w:tcPr>
            <w:tcW w:w="1327" w:type="dxa"/>
            <w:tcBorders>
              <w:top w:val="single" w:sz="2" w:space="0" w:color="000000"/>
              <w:left w:val="single" w:sz="2" w:space="0" w:color="000000"/>
              <w:bottom w:val="single" w:sz="2" w:space="0" w:color="000000"/>
              <w:right w:val="single" w:sz="2" w:space="0" w:color="000000"/>
            </w:tcBorders>
            <w:vAlign w:val="bottom"/>
          </w:tcPr>
          <w:p w14:paraId="459C3773" w14:textId="77777777" w:rsidR="00053D93" w:rsidRDefault="00260B75">
            <w:pPr>
              <w:ind w:right="82"/>
              <w:jc w:val="right"/>
            </w:pPr>
            <w:r>
              <w:rPr>
                <w:rFonts w:ascii="Malgan Gothic" w:eastAsia="Malgan Gothic" w:hAnsi="Malgan Gothic" w:cs="Malgan Gothic"/>
                <w:sz w:val="14"/>
              </w:rPr>
              <w:t>45.00</w:t>
            </w:r>
          </w:p>
        </w:tc>
      </w:tr>
      <w:tr w:rsidR="00053D93" w14:paraId="349C4D0D" w14:textId="77777777">
        <w:trPr>
          <w:trHeight w:val="586"/>
        </w:trPr>
        <w:tc>
          <w:tcPr>
            <w:tcW w:w="0" w:type="auto"/>
            <w:vMerge/>
            <w:tcBorders>
              <w:top w:val="nil"/>
              <w:left w:val="single" w:sz="2" w:space="0" w:color="000000"/>
              <w:bottom w:val="nil"/>
              <w:right w:val="nil"/>
            </w:tcBorders>
          </w:tcPr>
          <w:p w14:paraId="6F7B45B3" w14:textId="77777777" w:rsidR="00053D93" w:rsidRDefault="00053D93"/>
        </w:tc>
        <w:tc>
          <w:tcPr>
            <w:tcW w:w="0" w:type="auto"/>
            <w:vMerge/>
            <w:tcBorders>
              <w:top w:val="nil"/>
              <w:left w:val="nil"/>
              <w:bottom w:val="nil"/>
              <w:right w:val="single" w:sz="2" w:space="0" w:color="000000"/>
            </w:tcBorders>
          </w:tcPr>
          <w:p w14:paraId="672DDC0F" w14:textId="77777777" w:rsidR="00053D93" w:rsidRDefault="00053D93"/>
        </w:tc>
        <w:tc>
          <w:tcPr>
            <w:tcW w:w="7649" w:type="dxa"/>
            <w:gridSpan w:val="5"/>
            <w:tcBorders>
              <w:top w:val="single" w:sz="2" w:space="0" w:color="000000"/>
              <w:left w:val="single" w:sz="2" w:space="0" w:color="000000"/>
              <w:bottom w:val="nil"/>
              <w:right w:val="nil"/>
            </w:tcBorders>
          </w:tcPr>
          <w:p w14:paraId="65602B5A" w14:textId="77777777" w:rsidR="00053D93" w:rsidRDefault="00260B75">
            <w:pPr>
              <w:spacing w:after="47"/>
              <w:ind w:right="672"/>
              <w:jc w:val="center"/>
            </w:pPr>
            <w:r>
              <w:rPr>
                <w:rFonts w:ascii="Malgan Gothic" w:eastAsia="Malgan Gothic" w:hAnsi="Malgan Gothic" w:cs="Malgan Gothic"/>
                <w:sz w:val="10"/>
              </w:rPr>
              <w:t>MtNISTERtO DE EDUCACION</w:t>
            </w:r>
          </w:p>
          <w:p w14:paraId="356BF7DC" w14:textId="77777777" w:rsidR="00053D93" w:rsidRDefault="00260B75">
            <w:pPr>
              <w:spacing w:after="31"/>
              <w:ind w:left="2167"/>
            </w:pPr>
            <w:r>
              <w:rPr>
                <w:rFonts w:ascii="Malgan Gothic" w:eastAsia="Malgan Gothic" w:hAnsi="Malgan Gothic" w:cs="Malgan Gothic"/>
                <w:sz w:val="10"/>
              </w:rPr>
              <w:t>AUDITORIA FINANCIERA Y DE CUMPLIMIENTO</w:t>
            </w:r>
          </w:p>
          <w:p w14:paraId="0A107670" w14:textId="77777777" w:rsidR="00053D93" w:rsidRDefault="00260B75">
            <w:pPr>
              <w:ind w:left="1829"/>
            </w:pPr>
            <w:r>
              <w:rPr>
                <w:rFonts w:ascii="Malgan Gothic" w:eastAsia="Malgan Gothic" w:hAnsi="Malgan Gothic" w:cs="Malgan Gothic"/>
                <w:sz w:val="10"/>
              </w:rPr>
              <w:t>PERIODO DEL 01 DE ENERO AL 31 OE OICIEMBRE OE 2024</w:t>
            </w:r>
          </w:p>
        </w:tc>
      </w:tr>
    </w:tbl>
    <w:p w14:paraId="6B44C58F" w14:textId="77777777" w:rsidR="00053D93" w:rsidRDefault="00260B75">
      <w:pPr>
        <w:spacing w:after="349"/>
        <w:ind w:left="-5" w:right="5069" w:hanging="10"/>
      </w:pPr>
      <w:r>
        <w:rPr>
          <w:rFonts w:ascii="Malgan Gothic" w:eastAsia="Malgan Gothic" w:hAnsi="Malgan Gothic" w:cs="Malgan Gothic"/>
          <w:sz w:val="64"/>
        </w:rPr>
        <w:t>|Ⅲ鷲壑</w:t>
      </w:r>
      <w:r>
        <w:rPr>
          <w:noProof/>
        </w:rPr>
        <w:drawing>
          <wp:inline distT="0" distB="0" distL="0" distR="0" wp14:anchorId="22699850" wp14:editId="480505FC">
            <wp:extent cx="150876" cy="406909"/>
            <wp:effectExtent l="0" t="0" r="0" b="0"/>
            <wp:docPr id="1412712" name="Picture 1412712"/>
            <wp:cNvGraphicFramePr/>
            <a:graphic xmlns:a="http://schemas.openxmlformats.org/drawingml/2006/main">
              <a:graphicData uri="http://schemas.openxmlformats.org/drawingml/2006/picture">
                <pic:pic xmlns:pic="http://schemas.openxmlformats.org/drawingml/2006/picture">
                  <pic:nvPicPr>
                    <pic:cNvPr id="1412712" name="Picture 1412712"/>
                    <pic:cNvPicPr/>
                  </pic:nvPicPr>
                  <pic:blipFill>
                    <a:blip r:embed="rId1846"/>
                    <a:stretch>
                      <a:fillRect/>
                    </a:stretch>
                  </pic:blipFill>
                  <pic:spPr>
                    <a:xfrm>
                      <a:off x="0" y="0"/>
                      <a:ext cx="150876" cy="406909"/>
                    </a:xfrm>
                    <a:prstGeom prst="rect">
                      <a:avLst/>
                    </a:prstGeom>
                  </pic:spPr>
                </pic:pic>
              </a:graphicData>
            </a:graphic>
          </wp:inline>
        </w:drawing>
      </w:r>
    </w:p>
    <w:tbl>
      <w:tblPr>
        <w:tblStyle w:val="TableGrid"/>
        <w:tblpPr w:vertAnchor="text" w:tblpX="1030" w:tblpY="573"/>
        <w:tblOverlap w:val="never"/>
        <w:tblW w:w="8270" w:type="dxa"/>
        <w:tblInd w:w="0" w:type="dxa"/>
        <w:tblCellMar>
          <w:top w:w="36" w:type="dxa"/>
          <w:left w:w="35" w:type="dxa"/>
          <w:bottom w:w="19" w:type="dxa"/>
          <w:right w:w="55" w:type="dxa"/>
        </w:tblCellMar>
        <w:tblLook w:val="04A0" w:firstRow="1" w:lastRow="0" w:firstColumn="1" w:lastColumn="0" w:noHBand="0" w:noVBand="1"/>
      </w:tblPr>
      <w:tblGrid>
        <w:gridCol w:w="298"/>
        <w:gridCol w:w="314"/>
        <w:gridCol w:w="1235"/>
        <w:gridCol w:w="1587"/>
        <w:gridCol w:w="1584"/>
        <w:gridCol w:w="1915"/>
        <w:gridCol w:w="1337"/>
      </w:tblGrid>
      <w:tr w:rsidR="00053D93" w14:paraId="48585808" w14:textId="77777777">
        <w:trPr>
          <w:trHeight w:val="536"/>
        </w:trPr>
        <w:tc>
          <w:tcPr>
            <w:tcW w:w="613" w:type="dxa"/>
            <w:gridSpan w:val="2"/>
            <w:tcBorders>
              <w:top w:val="single" w:sz="2" w:space="0" w:color="000000"/>
              <w:left w:val="single" w:sz="2" w:space="0" w:color="000000"/>
              <w:bottom w:val="single" w:sz="2" w:space="0" w:color="000000"/>
              <w:right w:val="single" w:sz="2" w:space="0" w:color="000000"/>
            </w:tcBorders>
          </w:tcPr>
          <w:p w14:paraId="485BF6FC" w14:textId="77777777" w:rsidR="00053D93" w:rsidRDefault="00260B75">
            <w:pPr>
              <w:ind w:left="73"/>
            </w:pPr>
            <w:r>
              <w:rPr>
                <w:rFonts w:ascii="Malgan Gothic" w:eastAsia="Malgan Gothic" w:hAnsi="Malgan Gothic" w:cs="Malgan Gothic"/>
                <w:sz w:val="14"/>
              </w:rPr>
              <w:t>71</w:t>
            </w:r>
          </w:p>
        </w:tc>
        <w:tc>
          <w:tcPr>
            <w:tcW w:w="1235" w:type="dxa"/>
            <w:tcBorders>
              <w:top w:val="single" w:sz="2" w:space="0" w:color="000000"/>
              <w:left w:val="single" w:sz="2" w:space="0" w:color="000000"/>
              <w:bottom w:val="single" w:sz="2" w:space="0" w:color="000000"/>
              <w:right w:val="single" w:sz="2" w:space="0" w:color="000000"/>
            </w:tcBorders>
          </w:tcPr>
          <w:p w14:paraId="0B1EFB17" w14:textId="77777777" w:rsidR="00053D93" w:rsidRDefault="00260B75">
            <w:pPr>
              <w:ind w:left="72"/>
            </w:pPr>
            <w:r>
              <w:rPr>
                <w:rFonts w:ascii="Malgan Gothic" w:eastAsia="Malgan Gothic" w:hAnsi="Malgan Gothic" w:cs="Malgan Gothic"/>
                <w:sz w:val="16"/>
              </w:rPr>
              <w:t>E548011591</w:t>
            </w:r>
          </w:p>
        </w:tc>
        <w:tc>
          <w:tcPr>
            <w:tcW w:w="1587" w:type="dxa"/>
            <w:tcBorders>
              <w:top w:val="single" w:sz="2" w:space="0" w:color="000000"/>
              <w:left w:val="single" w:sz="2" w:space="0" w:color="000000"/>
              <w:bottom w:val="single" w:sz="2" w:space="0" w:color="000000"/>
              <w:right w:val="single" w:sz="2" w:space="0" w:color="000000"/>
            </w:tcBorders>
          </w:tcPr>
          <w:p w14:paraId="3E935728" w14:textId="77777777" w:rsidR="00053D93" w:rsidRDefault="00260B75">
            <w:pPr>
              <w:ind w:left="66"/>
              <w:jc w:val="center"/>
            </w:pPr>
            <w:r>
              <w:rPr>
                <w:rFonts w:ascii="Malgan Gothic" w:eastAsia="Malgan Gothic" w:hAnsi="Malgan Gothic" w:cs="Malgan Gothic"/>
                <w:sz w:val="16"/>
              </w:rPr>
              <w:t>2024-21 161</w:t>
            </w:r>
          </w:p>
        </w:tc>
        <w:tc>
          <w:tcPr>
            <w:tcW w:w="1584" w:type="dxa"/>
            <w:tcBorders>
              <w:top w:val="single" w:sz="2" w:space="0" w:color="000000"/>
              <w:left w:val="single" w:sz="2" w:space="0" w:color="000000"/>
              <w:bottom w:val="single" w:sz="2" w:space="0" w:color="000000"/>
              <w:right w:val="single" w:sz="2" w:space="0" w:color="000000"/>
            </w:tcBorders>
          </w:tcPr>
          <w:p w14:paraId="35835D0B" w14:textId="77777777" w:rsidR="00053D93" w:rsidRDefault="00260B75">
            <w:pPr>
              <w:ind w:left="85"/>
              <w:jc w:val="center"/>
            </w:pPr>
            <w:r>
              <w:rPr>
                <w:rFonts w:ascii="Malgan Gothic" w:eastAsia="Malgan Gothic" w:hAnsi="Malgan Gothic" w:cs="Malgan Gothic"/>
                <w:sz w:val="16"/>
              </w:rPr>
              <w:t>21/08/2024</w:t>
            </w:r>
          </w:p>
        </w:tc>
        <w:tc>
          <w:tcPr>
            <w:tcW w:w="1915" w:type="dxa"/>
            <w:tcBorders>
              <w:top w:val="single" w:sz="2" w:space="0" w:color="000000"/>
              <w:left w:val="single" w:sz="2" w:space="0" w:color="000000"/>
              <w:bottom w:val="single" w:sz="2" w:space="0" w:color="000000"/>
              <w:right w:val="single" w:sz="2" w:space="0" w:color="000000"/>
            </w:tcBorders>
          </w:tcPr>
          <w:p w14:paraId="0B953BBA" w14:textId="77777777" w:rsidR="00053D93" w:rsidRDefault="00260B75">
            <w:pPr>
              <w:ind w:left="99"/>
              <w:jc w:val="center"/>
            </w:pPr>
            <w:r>
              <w:rPr>
                <w:rFonts w:ascii="Malgan Gothic" w:eastAsia="Malgan Gothic" w:hAnsi="Malgan Gothic" w:cs="Malgan Gothic"/>
                <w:sz w:val="16"/>
              </w:rPr>
              <w:t>12/09/2024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7721020B" w14:textId="77777777" w:rsidR="00053D93" w:rsidRDefault="00260B75">
            <w:pPr>
              <w:jc w:val="right"/>
            </w:pPr>
            <w:r>
              <w:rPr>
                <w:rFonts w:ascii="Malgan Gothic" w:eastAsia="Malgan Gothic" w:hAnsi="Malgan Gothic" w:cs="Malgan Gothic"/>
                <w:sz w:val="14"/>
              </w:rPr>
              <w:t>205.00</w:t>
            </w:r>
          </w:p>
        </w:tc>
      </w:tr>
      <w:tr w:rsidR="00053D93" w14:paraId="4D18D536"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00360473"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33556594" w14:textId="77777777" w:rsidR="00053D93" w:rsidRDefault="00260B75">
            <w:pPr>
              <w:ind w:left="72"/>
            </w:pPr>
            <w:r>
              <w:rPr>
                <w:rFonts w:ascii="Malgan Gothic" w:eastAsia="Malgan Gothic" w:hAnsi="Malgan Gothic" w:cs="Malgan Gothic"/>
                <w:sz w:val="16"/>
              </w:rPr>
              <w:t>E548012059</w:t>
            </w:r>
          </w:p>
        </w:tc>
        <w:tc>
          <w:tcPr>
            <w:tcW w:w="1587" w:type="dxa"/>
            <w:tcBorders>
              <w:top w:val="single" w:sz="2" w:space="0" w:color="000000"/>
              <w:left w:val="single" w:sz="2" w:space="0" w:color="000000"/>
              <w:bottom w:val="single" w:sz="2" w:space="0" w:color="000000"/>
              <w:right w:val="single" w:sz="2" w:space="0" w:color="000000"/>
            </w:tcBorders>
          </w:tcPr>
          <w:p w14:paraId="6E26A246" w14:textId="77777777" w:rsidR="00053D93" w:rsidRDefault="00260B75">
            <w:pPr>
              <w:ind w:left="87"/>
              <w:jc w:val="center"/>
            </w:pPr>
            <w:r>
              <w:rPr>
                <w:rFonts w:ascii="Malgan Gothic" w:eastAsia="Malgan Gothic" w:hAnsi="Malgan Gothic" w:cs="Malgan Gothic"/>
                <w:sz w:val="14"/>
              </w:rPr>
              <w:t>2024-21147</w:t>
            </w:r>
          </w:p>
        </w:tc>
        <w:tc>
          <w:tcPr>
            <w:tcW w:w="1584" w:type="dxa"/>
            <w:tcBorders>
              <w:top w:val="single" w:sz="2" w:space="0" w:color="000000"/>
              <w:left w:val="single" w:sz="2" w:space="0" w:color="000000"/>
              <w:bottom w:val="single" w:sz="2" w:space="0" w:color="000000"/>
              <w:right w:val="single" w:sz="2" w:space="0" w:color="000000"/>
            </w:tcBorders>
          </w:tcPr>
          <w:p w14:paraId="5B2C58E8" w14:textId="77777777" w:rsidR="00053D93" w:rsidRDefault="00260B75">
            <w:pPr>
              <w:ind w:left="85"/>
              <w:jc w:val="center"/>
            </w:pPr>
            <w:r>
              <w:rPr>
                <w:rFonts w:ascii="Malgan Gothic" w:eastAsia="Malgan Gothic" w:hAnsi="Malgan Gothic" w:cs="Malgan Gothic"/>
                <w:sz w:val="14"/>
              </w:rPr>
              <w:t>22/08/2024</w:t>
            </w:r>
          </w:p>
        </w:tc>
        <w:tc>
          <w:tcPr>
            <w:tcW w:w="1915" w:type="dxa"/>
            <w:tcBorders>
              <w:top w:val="single" w:sz="2" w:space="0" w:color="000000"/>
              <w:left w:val="single" w:sz="2" w:space="0" w:color="000000"/>
              <w:bottom w:val="single" w:sz="2" w:space="0" w:color="000000"/>
              <w:right w:val="single" w:sz="2" w:space="0" w:color="000000"/>
            </w:tcBorders>
          </w:tcPr>
          <w:p w14:paraId="4F5B9153" w14:textId="77777777" w:rsidR="00053D93" w:rsidRDefault="00260B75">
            <w:pPr>
              <w:ind w:left="92"/>
              <w:jc w:val="center"/>
            </w:pPr>
            <w:r>
              <w:rPr>
                <w:rFonts w:ascii="Malgan Gothic" w:eastAsia="Malgan Gothic" w:hAnsi="Malgan Gothic" w:cs="Malgan Gothic"/>
                <w:sz w:val="16"/>
              </w:rPr>
              <w:t>12/09/2024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06E2FD37" w14:textId="77777777" w:rsidR="00053D93" w:rsidRDefault="00260B75">
            <w:pPr>
              <w:jc w:val="right"/>
            </w:pPr>
            <w:r>
              <w:rPr>
                <w:rFonts w:ascii="Malgan Gothic" w:eastAsia="Malgan Gothic" w:hAnsi="Malgan Gothic" w:cs="Malgan Gothic"/>
                <w:sz w:val="14"/>
              </w:rPr>
              <w:t>221.00</w:t>
            </w:r>
          </w:p>
        </w:tc>
      </w:tr>
      <w:tr w:rsidR="00053D93" w14:paraId="499AEB63"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4CB8553A" w14:textId="77777777" w:rsidR="00053D93" w:rsidRDefault="00260B75">
            <w:pPr>
              <w:ind w:left="73"/>
            </w:pPr>
            <w:r>
              <w:rPr>
                <w:rFonts w:ascii="Malgan Gothic" w:eastAsia="Malgan Gothic" w:hAnsi="Malgan Gothic" w:cs="Malgan Gothic"/>
                <w:sz w:val="14"/>
              </w:rPr>
              <w:t>73</w:t>
            </w:r>
          </w:p>
        </w:tc>
        <w:tc>
          <w:tcPr>
            <w:tcW w:w="1235" w:type="dxa"/>
            <w:tcBorders>
              <w:top w:val="single" w:sz="2" w:space="0" w:color="000000"/>
              <w:left w:val="single" w:sz="2" w:space="0" w:color="000000"/>
              <w:bottom w:val="single" w:sz="2" w:space="0" w:color="000000"/>
              <w:right w:val="single" w:sz="2" w:space="0" w:color="000000"/>
            </w:tcBorders>
          </w:tcPr>
          <w:p w14:paraId="56AA7F64" w14:textId="77777777" w:rsidR="00053D93" w:rsidRDefault="00260B75">
            <w:pPr>
              <w:ind w:left="72"/>
            </w:pPr>
            <w:r>
              <w:rPr>
                <w:rFonts w:ascii="Malgan Gothic" w:eastAsia="Malgan Gothic" w:hAnsi="Malgan Gothic" w:cs="Malgan Gothic"/>
                <w:sz w:val="14"/>
              </w:rPr>
              <w:t>E548033978</w:t>
            </w:r>
          </w:p>
        </w:tc>
        <w:tc>
          <w:tcPr>
            <w:tcW w:w="1587" w:type="dxa"/>
            <w:tcBorders>
              <w:top w:val="single" w:sz="2" w:space="0" w:color="000000"/>
              <w:left w:val="single" w:sz="2" w:space="0" w:color="000000"/>
              <w:bottom w:val="single" w:sz="2" w:space="0" w:color="000000"/>
              <w:right w:val="single" w:sz="2" w:space="0" w:color="000000"/>
            </w:tcBorders>
          </w:tcPr>
          <w:p w14:paraId="65E5F9B1" w14:textId="77777777" w:rsidR="00053D93" w:rsidRDefault="00260B75">
            <w:pPr>
              <w:ind w:left="73"/>
              <w:jc w:val="center"/>
            </w:pPr>
            <w:r>
              <w:rPr>
                <w:rFonts w:ascii="Malgan Gothic" w:eastAsia="Malgan Gothic" w:hAnsi="Malgan Gothic" w:cs="Malgan Gothic"/>
                <w:sz w:val="14"/>
              </w:rPr>
              <w:t>2024-21643</w:t>
            </w:r>
          </w:p>
        </w:tc>
        <w:tc>
          <w:tcPr>
            <w:tcW w:w="1584" w:type="dxa"/>
            <w:tcBorders>
              <w:top w:val="single" w:sz="2" w:space="0" w:color="000000"/>
              <w:left w:val="single" w:sz="2" w:space="0" w:color="000000"/>
              <w:bottom w:val="single" w:sz="2" w:space="0" w:color="000000"/>
              <w:right w:val="single" w:sz="2" w:space="0" w:color="000000"/>
            </w:tcBorders>
          </w:tcPr>
          <w:p w14:paraId="42A8D763" w14:textId="77777777" w:rsidR="00053D93" w:rsidRDefault="00260B75">
            <w:pPr>
              <w:ind w:left="77"/>
              <w:jc w:val="center"/>
            </w:pPr>
            <w:r>
              <w:rPr>
                <w:rFonts w:ascii="Malgan Gothic" w:eastAsia="Malgan Gothic" w:hAnsi="Malgan Gothic" w:cs="Malgan Gothic"/>
                <w:sz w:val="16"/>
              </w:rPr>
              <w:t>3/09/2024</w:t>
            </w:r>
          </w:p>
        </w:tc>
        <w:tc>
          <w:tcPr>
            <w:tcW w:w="1915" w:type="dxa"/>
            <w:tcBorders>
              <w:top w:val="single" w:sz="2" w:space="0" w:color="000000"/>
              <w:left w:val="single" w:sz="2" w:space="0" w:color="000000"/>
              <w:bottom w:val="single" w:sz="2" w:space="0" w:color="000000"/>
              <w:right w:val="single" w:sz="2" w:space="0" w:color="000000"/>
            </w:tcBorders>
          </w:tcPr>
          <w:p w14:paraId="625BD3DE" w14:textId="77777777" w:rsidR="00053D93" w:rsidRDefault="00260B75">
            <w:pPr>
              <w:ind w:left="77"/>
              <w:jc w:val="center"/>
            </w:pPr>
            <w:r>
              <w:rPr>
                <w:rFonts w:ascii="Malgan Gothic" w:eastAsia="Malgan Gothic" w:hAnsi="Malgan Gothic" w:cs="Malgan Gothic"/>
                <w:sz w:val="14"/>
              </w:rPr>
              <w:t>12/09/2024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77DBE2DB" w14:textId="77777777" w:rsidR="00053D93" w:rsidRDefault="00260B75">
            <w:pPr>
              <w:ind w:right="7"/>
              <w:jc w:val="right"/>
            </w:pPr>
            <w:r>
              <w:rPr>
                <w:rFonts w:ascii="Malgan Gothic" w:eastAsia="Malgan Gothic" w:hAnsi="Malgan Gothic" w:cs="Malgan Gothic"/>
                <w:sz w:val="14"/>
              </w:rPr>
              <w:t>442.75</w:t>
            </w:r>
          </w:p>
        </w:tc>
      </w:tr>
      <w:tr w:rsidR="00053D93" w14:paraId="4DC1D118" w14:textId="77777777">
        <w:trPr>
          <w:trHeight w:val="537"/>
        </w:trPr>
        <w:tc>
          <w:tcPr>
            <w:tcW w:w="613" w:type="dxa"/>
            <w:gridSpan w:val="2"/>
            <w:tcBorders>
              <w:top w:val="single" w:sz="2" w:space="0" w:color="000000"/>
              <w:left w:val="single" w:sz="2" w:space="0" w:color="000000"/>
              <w:bottom w:val="single" w:sz="2" w:space="0" w:color="000000"/>
              <w:right w:val="single" w:sz="2" w:space="0" w:color="000000"/>
            </w:tcBorders>
          </w:tcPr>
          <w:p w14:paraId="57450A4F"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0EA94E45" w14:textId="77777777" w:rsidR="00053D93" w:rsidRDefault="00260B75">
            <w:pPr>
              <w:ind w:left="65"/>
            </w:pPr>
            <w:r>
              <w:rPr>
                <w:rFonts w:ascii="Malgan Gothic" w:eastAsia="Malgan Gothic" w:hAnsi="Malgan Gothic" w:cs="Malgan Gothic"/>
                <w:sz w:val="14"/>
              </w:rPr>
              <w:t>E548332878</w:t>
            </w:r>
          </w:p>
        </w:tc>
        <w:tc>
          <w:tcPr>
            <w:tcW w:w="1587" w:type="dxa"/>
            <w:tcBorders>
              <w:top w:val="single" w:sz="2" w:space="0" w:color="000000"/>
              <w:left w:val="single" w:sz="2" w:space="0" w:color="000000"/>
              <w:bottom w:val="single" w:sz="2" w:space="0" w:color="000000"/>
              <w:right w:val="single" w:sz="2" w:space="0" w:color="000000"/>
            </w:tcBorders>
          </w:tcPr>
          <w:p w14:paraId="102C712E" w14:textId="77777777" w:rsidR="00053D93" w:rsidRDefault="00260B75">
            <w:pPr>
              <w:ind w:left="73"/>
              <w:jc w:val="center"/>
            </w:pPr>
            <w:r>
              <w:rPr>
                <w:rFonts w:ascii="Malgan Gothic" w:eastAsia="Malgan Gothic" w:hAnsi="Malgan Gothic" w:cs="Malgan Gothic"/>
                <w:sz w:val="14"/>
              </w:rPr>
              <w:t>2024-21645</w:t>
            </w:r>
          </w:p>
        </w:tc>
        <w:tc>
          <w:tcPr>
            <w:tcW w:w="1584" w:type="dxa"/>
            <w:tcBorders>
              <w:top w:val="single" w:sz="2" w:space="0" w:color="000000"/>
              <w:left w:val="single" w:sz="2" w:space="0" w:color="000000"/>
              <w:bottom w:val="single" w:sz="2" w:space="0" w:color="000000"/>
              <w:right w:val="single" w:sz="2" w:space="0" w:color="000000"/>
            </w:tcBorders>
          </w:tcPr>
          <w:p w14:paraId="13FEA976" w14:textId="77777777" w:rsidR="00053D93" w:rsidRDefault="00260B75">
            <w:pPr>
              <w:ind w:left="77"/>
              <w:jc w:val="center"/>
            </w:pPr>
            <w:r>
              <w:rPr>
                <w:rFonts w:ascii="Malgan Gothic" w:eastAsia="Malgan Gothic" w:hAnsi="Malgan Gothic" w:cs="Malgan Gothic"/>
                <w:sz w:val="16"/>
              </w:rPr>
              <w:t>3/09/2024</w:t>
            </w:r>
          </w:p>
        </w:tc>
        <w:tc>
          <w:tcPr>
            <w:tcW w:w="1915" w:type="dxa"/>
            <w:tcBorders>
              <w:top w:val="single" w:sz="2" w:space="0" w:color="000000"/>
              <w:left w:val="single" w:sz="2" w:space="0" w:color="000000"/>
              <w:bottom w:val="single" w:sz="2" w:space="0" w:color="000000"/>
              <w:right w:val="single" w:sz="2" w:space="0" w:color="000000"/>
            </w:tcBorders>
          </w:tcPr>
          <w:p w14:paraId="2BB7CCBD" w14:textId="77777777" w:rsidR="00053D93" w:rsidRDefault="00260B75">
            <w:pPr>
              <w:ind w:left="77"/>
              <w:jc w:val="center"/>
            </w:pPr>
            <w:r>
              <w:rPr>
                <w:rFonts w:ascii="Malgan Gothic" w:eastAsia="Malgan Gothic" w:hAnsi="Malgan Gothic" w:cs="Malgan Gothic"/>
                <w:sz w:val="16"/>
              </w:rPr>
              <w:t>18/09/2024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45364354" w14:textId="77777777" w:rsidR="00053D93" w:rsidRDefault="00260B75">
            <w:pPr>
              <w:ind w:right="14"/>
              <w:jc w:val="right"/>
            </w:pPr>
            <w:r>
              <w:rPr>
                <w:rFonts w:ascii="Malgan Gothic" w:eastAsia="Malgan Gothic" w:hAnsi="Malgan Gothic" w:cs="Malgan Gothic"/>
                <w:sz w:val="16"/>
              </w:rPr>
              <w:t>119.85</w:t>
            </w:r>
          </w:p>
        </w:tc>
      </w:tr>
      <w:tr w:rsidR="00053D93" w14:paraId="5AAF772B"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1F7F6EEC"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76CF081B" w14:textId="77777777" w:rsidR="00053D93" w:rsidRDefault="00260B75">
            <w:pPr>
              <w:ind w:left="65"/>
            </w:pPr>
            <w:r>
              <w:rPr>
                <w:rFonts w:ascii="Malgan Gothic" w:eastAsia="Malgan Gothic" w:hAnsi="Malgan Gothic" w:cs="Malgan Gothic"/>
                <w:sz w:val="14"/>
              </w:rPr>
              <w:t>E548349584</w:t>
            </w:r>
          </w:p>
        </w:tc>
        <w:tc>
          <w:tcPr>
            <w:tcW w:w="1587" w:type="dxa"/>
            <w:tcBorders>
              <w:top w:val="single" w:sz="2" w:space="0" w:color="000000"/>
              <w:left w:val="single" w:sz="2" w:space="0" w:color="000000"/>
              <w:bottom w:val="single" w:sz="2" w:space="0" w:color="000000"/>
              <w:right w:val="single" w:sz="2" w:space="0" w:color="000000"/>
            </w:tcBorders>
          </w:tcPr>
          <w:p w14:paraId="7F76F2BC" w14:textId="77777777" w:rsidR="00053D93" w:rsidRDefault="00260B75">
            <w:pPr>
              <w:ind w:left="51"/>
              <w:jc w:val="center"/>
            </w:pPr>
            <w:r>
              <w:rPr>
                <w:rFonts w:ascii="Malgan Gothic" w:eastAsia="Malgan Gothic" w:hAnsi="Malgan Gothic" w:cs="Malgan Gothic"/>
                <w:sz w:val="14"/>
              </w:rPr>
              <w:t>2024-20621</w:t>
            </w:r>
          </w:p>
        </w:tc>
        <w:tc>
          <w:tcPr>
            <w:tcW w:w="1584" w:type="dxa"/>
            <w:tcBorders>
              <w:top w:val="single" w:sz="2" w:space="0" w:color="000000"/>
              <w:left w:val="single" w:sz="2" w:space="0" w:color="000000"/>
              <w:bottom w:val="single" w:sz="2" w:space="0" w:color="000000"/>
              <w:right w:val="single" w:sz="2" w:space="0" w:color="000000"/>
            </w:tcBorders>
          </w:tcPr>
          <w:p w14:paraId="114B0B1D" w14:textId="77777777" w:rsidR="00053D93" w:rsidRDefault="00260B75">
            <w:pPr>
              <w:ind w:left="85"/>
              <w:jc w:val="center"/>
            </w:pPr>
            <w:r>
              <w:rPr>
                <w:rFonts w:ascii="Malgan Gothic" w:eastAsia="Malgan Gothic" w:hAnsi="Malgan Gothic" w:cs="Malgan Gothic"/>
                <w:sz w:val="14"/>
              </w:rPr>
              <w:t>13/08/2024</w:t>
            </w:r>
          </w:p>
        </w:tc>
        <w:tc>
          <w:tcPr>
            <w:tcW w:w="1915" w:type="dxa"/>
            <w:tcBorders>
              <w:top w:val="single" w:sz="2" w:space="0" w:color="000000"/>
              <w:left w:val="single" w:sz="2" w:space="0" w:color="000000"/>
              <w:bottom w:val="single" w:sz="2" w:space="0" w:color="000000"/>
              <w:right w:val="single" w:sz="2" w:space="0" w:color="000000"/>
            </w:tcBorders>
          </w:tcPr>
          <w:p w14:paraId="06F611E8" w14:textId="77777777" w:rsidR="00053D93" w:rsidRDefault="00260B75">
            <w:pPr>
              <w:ind w:left="77"/>
              <w:jc w:val="center"/>
            </w:pPr>
            <w:r>
              <w:rPr>
                <w:rFonts w:ascii="Malgan Gothic" w:eastAsia="Malgan Gothic" w:hAnsi="Malgan Gothic" w:cs="Malgan Gothic"/>
                <w:sz w:val="16"/>
              </w:rPr>
              <w:t>18/09/2024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2919B7DE" w14:textId="77777777" w:rsidR="00053D93" w:rsidRDefault="00260B75">
            <w:pPr>
              <w:ind w:right="14"/>
              <w:jc w:val="right"/>
            </w:pPr>
            <w:r>
              <w:rPr>
                <w:rFonts w:ascii="Malgan Gothic" w:eastAsia="Malgan Gothic" w:hAnsi="Malgan Gothic" w:cs="Malgan Gothic"/>
                <w:sz w:val="18"/>
              </w:rPr>
              <w:t>기550.00</w:t>
            </w:r>
          </w:p>
        </w:tc>
      </w:tr>
      <w:tr w:rsidR="00053D93" w14:paraId="7429F8E0"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187B9D51" w14:textId="77777777" w:rsidR="00053D93" w:rsidRDefault="00260B75">
            <w:pPr>
              <w:ind w:left="66"/>
            </w:pPr>
            <w:r>
              <w:rPr>
                <w:rFonts w:ascii="Malgan Gothic" w:eastAsia="Malgan Gothic" w:hAnsi="Malgan Gothic" w:cs="Malgan Gothic"/>
                <w:sz w:val="14"/>
              </w:rPr>
              <w:t>76</w:t>
            </w:r>
          </w:p>
        </w:tc>
        <w:tc>
          <w:tcPr>
            <w:tcW w:w="1235" w:type="dxa"/>
            <w:tcBorders>
              <w:top w:val="single" w:sz="2" w:space="0" w:color="000000"/>
              <w:left w:val="single" w:sz="2" w:space="0" w:color="000000"/>
              <w:bottom w:val="single" w:sz="2" w:space="0" w:color="000000"/>
              <w:right w:val="single" w:sz="2" w:space="0" w:color="000000"/>
            </w:tcBorders>
          </w:tcPr>
          <w:p w14:paraId="594EE718" w14:textId="77777777" w:rsidR="00053D93" w:rsidRDefault="00260B75">
            <w:pPr>
              <w:ind w:left="65"/>
            </w:pPr>
            <w:r>
              <w:rPr>
                <w:rFonts w:ascii="Malgan Gothic" w:eastAsia="Malgan Gothic" w:hAnsi="Malgan Gothic" w:cs="Malgan Gothic"/>
                <w:sz w:val="14"/>
              </w:rPr>
              <w:t>E548353581</w:t>
            </w:r>
          </w:p>
        </w:tc>
        <w:tc>
          <w:tcPr>
            <w:tcW w:w="1587" w:type="dxa"/>
            <w:tcBorders>
              <w:top w:val="single" w:sz="2" w:space="0" w:color="000000"/>
              <w:left w:val="single" w:sz="2" w:space="0" w:color="000000"/>
              <w:bottom w:val="single" w:sz="2" w:space="0" w:color="000000"/>
              <w:right w:val="single" w:sz="2" w:space="0" w:color="000000"/>
            </w:tcBorders>
          </w:tcPr>
          <w:p w14:paraId="4304662D" w14:textId="77777777" w:rsidR="00053D93" w:rsidRDefault="00260B75">
            <w:pPr>
              <w:ind w:left="66"/>
              <w:jc w:val="center"/>
            </w:pPr>
            <w:r>
              <w:rPr>
                <w:rFonts w:ascii="Malgan Gothic" w:eastAsia="Malgan Gothic" w:hAnsi="Malgan Gothic" w:cs="Malgan Gothic"/>
                <w:sz w:val="14"/>
              </w:rPr>
              <w:t>2024-20029</w:t>
            </w:r>
          </w:p>
        </w:tc>
        <w:tc>
          <w:tcPr>
            <w:tcW w:w="1584" w:type="dxa"/>
            <w:tcBorders>
              <w:top w:val="single" w:sz="2" w:space="0" w:color="000000"/>
              <w:left w:val="single" w:sz="2" w:space="0" w:color="000000"/>
              <w:bottom w:val="single" w:sz="2" w:space="0" w:color="000000"/>
              <w:right w:val="single" w:sz="2" w:space="0" w:color="000000"/>
            </w:tcBorders>
          </w:tcPr>
          <w:p w14:paraId="1AD099C0" w14:textId="77777777" w:rsidR="00053D93" w:rsidRDefault="00260B75">
            <w:pPr>
              <w:ind w:left="77"/>
              <w:jc w:val="center"/>
            </w:pPr>
            <w:r>
              <w:rPr>
                <w:rFonts w:ascii="Malgan Gothic" w:eastAsia="Malgan Gothic" w:hAnsi="Malgan Gothic" w:cs="Malgan Gothic"/>
                <w:sz w:val="14"/>
              </w:rPr>
              <w:t>12/08/2024</w:t>
            </w:r>
          </w:p>
        </w:tc>
        <w:tc>
          <w:tcPr>
            <w:tcW w:w="1915" w:type="dxa"/>
            <w:tcBorders>
              <w:top w:val="single" w:sz="2" w:space="0" w:color="000000"/>
              <w:left w:val="single" w:sz="2" w:space="0" w:color="000000"/>
              <w:bottom w:val="single" w:sz="2" w:space="0" w:color="000000"/>
              <w:right w:val="single" w:sz="2" w:space="0" w:color="000000"/>
            </w:tcBorders>
          </w:tcPr>
          <w:p w14:paraId="4FA72694" w14:textId="77777777" w:rsidR="00053D93" w:rsidRDefault="00260B75">
            <w:pPr>
              <w:ind w:left="63"/>
              <w:jc w:val="center"/>
            </w:pPr>
            <w:r>
              <w:rPr>
                <w:rFonts w:ascii="Malgan Gothic" w:eastAsia="Malgan Gothic" w:hAnsi="Malgan Gothic" w:cs="Malgan Gothic"/>
                <w:sz w:val="16"/>
              </w:rPr>
              <w:t>1 8/09/2024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5A7FCEB6" w14:textId="77777777" w:rsidR="00053D93" w:rsidRDefault="00260B75">
            <w:pPr>
              <w:ind w:right="14"/>
              <w:jc w:val="right"/>
            </w:pPr>
            <w:r>
              <w:rPr>
                <w:rFonts w:ascii="Malgan Gothic" w:eastAsia="Malgan Gothic" w:hAnsi="Malgan Gothic" w:cs="Malgan Gothic"/>
                <w:sz w:val="18"/>
              </w:rPr>
              <w:t>11|400.00</w:t>
            </w:r>
          </w:p>
        </w:tc>
      </w:tr>
      <w:tr w:rsidR="00053D93" w14:paraId="43975027" w14:textId="77777777">
        <w:trPr>
          <w:trHeight w:val="526"/>
        </w:trPr>
        <w:tc>
          <w:tcPr>
            <w:tcW w:w="613" w:type="dxa"/>
            <w:gridSpan w:val="2"/>
            <w:tcBorders>
              <w:top w:val="single" w:sz="2" w:space="0" w:color="000000"/>
              <w:left w:val="single" w:sz="2" w:space="0" w:color="000000"/>
              <w:bottom w:val="single" w:sz="2" w:space="0" w:color="000000"/>
              <w:right w:val="single" w:sz="2" w:space="0" w:color="000000"/>
            </w:tcBorders>
          </w:tcPr>
          <w:p w14:paraId="093DA4A3" w14:textId="77777777" w:rsidR="00053D93" w:rsidRDefault="00260B75">
            <w:pPr>
              <w:ind w:left="66"/>
            </w:pPr>
            <w:r>
              <w:rPr>
                <w:rFonts w:ascii="Malgan Gothic" w:eastAsia="Malgan Gothic" w:hAnsi="Malgan Gothic" w:cs="Malgan Gothic"/>
                <w:sz w:val="14"/>
              </w:rPr>
              <w:t>77</w:t>
            </w:r>
          </w:p>
        </w:tc>
        <w:tc>
          <w:tcPr>
            <w:tcW w:w="1235" w:type="dxa"/>
            <w:tcBorders>
              <w:top w:val="single" w:sz="2" w:space="0" w:color="000000"/>
              <w:left w:val="single" w:sz="2" w:space="0" w:color="000000"/>
              <w:bottom w:val="single" w:sz="2" w:space="0" w:color="000000"/>
              <w:right w:val="single" w:sz="2" w:space="0" w:color="000000"/>
            </w:tcBorders>
          </w:tcPr>
          <w:p w14:paraId="1CE1AD0D" w14:textId="77777777" w:rsidR="00053D93" w:rsidRDefault="00260B75">
            <w:pPr>
              <w:ind w:left="58"/>
            </w:pPr>
            <w:r>
              <w:rPr>
                <w:rFonts w:ascii="Malgan Gothic" w:eastAsia="Malgan Gothic" w:hAnsi="Malgan Gothic" w:cs="Malgan Gothic"/>
                <w:sz w:val="16"/>
              </w:rPr>
              <w:t>E548354502</w:t>
            </w:r>
          </w:p>
        </w:tc>
        <w:tc>
          <w:tcPr>
            <w:tcW w:w="1587" w:type="dxa"/>
            <w:tcBorders>
              <w:top w:val="single" w:sz="2" w:space="0" w:color="000000"/>
              <w:left w:val="single" w:sz="2" w:space="0" w:color="000000"/>
              <w:bottom w:val="single" w:sz="2" w:space="0" w:color="000000"/>
              <w:right w:val="single" w:sz="2" w:space="0" w:color="000000"/>
            </w:tcBorders>
          </w:tcPr>
          <w:p w14:paraId="18B8892B" w14:textId="77777777" w:rsidR="00053D93" w:rsidRDefault="00260B75">
            <w:pPr>
              <w:ind w:left="59"/>
              <w:jc w:val="center"/>
            </w:pPr>
            <w:r>
              <w:rPr>
                <w:rFonts w:ascii="Malgan Gothic" w:eastAsia="Malgan Gothic" w:hAnsi="Malgan Gothic" w:cs="Malgan Gothic"/>
                <w:sz w:val="14"/>
              </w:rPr>
              <w:t>2024-21209</w:t>
            </w:r>
          </w:p>
        </w:tc>
        <w:tc>
          <w:tcPr>
            <w:tcW w:w="1584" w:type="dxa"/>
            <w:tcBorders>
              <w:top w:val="single" w:sz="2" w:space="0" w:color="000000"/>
              <w:left w:val="single" w:sz="2" w:space="0" w:color="000000"/>
              <w:bottom w:val="single" w:sz="2" w:space="0" w:color="000000"/>
              <w:right w:val="single" w:sz="2" w:space="0" w:color="000000"/>
            </w:tcBorders>
          </w:tcPr>
          <w:p w14:paraId="7A72E7FF" w14:textId="77777777" w:rsidR="00053D93" w:rsidRDefault="00260B75">
            <w:pPr>
              <w:ind w:left="63"/>
              <w:jc w:val="center"/>
            </w:pPr>
            <w:r>
              <w:rPr>
                <w:rFonts w:ascii="Malgan Gothic" w:eastAsia="Malgan Gothic" w:hAnsi="Malgan Gothic" w:cs="Malgan Gothic"/>
                <w:sz w:val="14"/>
              </w:rPr>
              <w:t>5/09/2024</w:t>
            </w:r>
          </w:p>
        </w:tc>
        <w:tc>
          <w:tcPr>
            <w:tcW w:w="1915" w:type="dxa"/>
            <w:tcBorders>
              <w:top w:val="single" w:sz="2" w:space="0" w:color="000000"/>
              <w:left w:val="single" w:sz="2" w:space="0" w:color="000000"/>
              <w:bottom w:val="single" w:sz="2" w:space="0" w:color="000000"/>
              <w:right w:val="single" w:sz="2" w:space="0" w:color="000000"/>
            </w:tcBorders>
          </w:tcPr>
          <w:p w14:paraId="253B1661" w14:textId="77777777" w:rsidR="00053D93" w:rsidRDefault="00260B75">
            <w:pPr>
              <w:ind w:left="63"/>
              <w:jc w:val="center"/>
            </w:pPr>
            <w:r>
              <w:rPr>
                <w:rFonts w:ascii="Malgan Gothic" w:eastAsia="Malgan Gothic" w:hAnsi="Malgan Gothic" w:cs="Malgan Gothic"/>
                <w:sz w:val="16"/>
              </w:rPr>
              <w:t>18/09/2024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66D63AB6" w14:textId="77777777" w:rsidR="00053D93" w:rsidRDefault="00260B75">
            <w:pPr>
              <w:ind w:right="22"/>
              <w:jc w:val="right"/>
            </w:pPr>
            <w:r>
              <w:rPr>
                <w:rFonts w:ascii="Malgan Gothic" w:eastAsia="Malgan Gothic" w:hAnsi="Malgan Gothic" w:cs="Malgan Gothic"/>
                <w:sz w:val="16"/>
              </w:rPr>
              <w:t>6,750.00</w:t>
            </w:r>
          </w:p>
        </w:tc>
      </w:tr>
      <w:tr w:rsidR="00053D93" w14:paraId="6EEF1983"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1EEAC18F" w14:textId="77777777" w:rsidR="00053D93" w:rsidRDefault="00260B75">
            <w:pPr>
              <w:ind w:left="59"/>
            </w:pPr>
            <w:r>
              <w:rPr>
                <w:rFonts w:ascii="Malgan Gothic" w:eastAsia="Malgan Gothic" w:hAnsi="Malgan Gothic" w:cs="Malgan Gothic"/>
                <w:sz w:val="14"/>
              </w:rPr>
              <w:t>78</w:t>
            </w:r>
          </w:p>
        </w:tc>
        <w:tc>
          <w:tcPr>
            <w:tcW w:w="1235" w:type="dxa"/>
            <w:tcBorders>
              <w:top w:val="single" w:sz="2" w:space="0" w:color="000000"/>
              <w:left w:val="single" w:sz="2" w:space="0" w:color="000000"/>
              <w:bottom w:val="single" w:sz="2" w:space="0" w:color="000000"/>
              <w:right w:val="single" w:sz="2" w:space="0" w:color="000000"/>
            </w:tcBorders>
          </w:tcPr>
          <w:p w14:paraId="2F10592D" w14:textId="77777777" w:rsidR="00053D93" w:rsidRDefault="00260B75">
            <w:pPr>
              <w:ind w:left="58"/>
            </w:pPr>
            <w:r>
              <w:rPr>
                <w:rFonts w:ascii="Malgan Gothic" w:eastAsia="Malgan Gothic" w:hAnsi="Malgan Gothic" w:cs="Malgan Gothic"/>
                <w:sz w:val="14"/>
              </w:rPr>
              <w:t>E548458448</w:t>
            </w:r>
          </w:p>
        </w:tc>
        <w:tc>
          <w:tcPr>
            <w:tcW w:w="1587" w:type="dxa"/>
            <w:tcBorders>
              <w:top w:val="single" w:sz="2" w:space="0" w:color="000000"/>
              <w:left w:val="single" w:sz="2" w:space="0" w:color="000000"/>
              <w:bottom w:val="single" w:sz="2" w:space="0" w:color="000000"/>
              <w:right w:val="single" w:sz="2" w:space="0" w:color="000000"/>
            </w:tcBorders>
          </w:tcPr>
          <w:p w14:paraId="2139DF1A" w14:textId="77777777" w:rsidR="00053D93" w:rsidRDefault="00260B75">
            <w:pPr>
              <w:ind w:left="59"/>
              <w:jc w:val="center"/>
            </w:pPr>
            <w:r>
              <w:rPr>
                <w:rFonts w:ascii="Malgan Gothic" w:eastAsia="Malgan Gothic" w:hAnsi="Malgan Gothic" w:cs="Malgan Gothic"/>
                <w:sz w:val="14"/>
              </w:rPr>
              <w:t>2024-21812</w:t>
            </w:r>
          </w:p>
        </w:tc>
        <w:tc>
          <w:tcPr>
            <w:tcW w:w="1584" w:type="dxa"/>
            <w:tcBorders>
              <w:top w:val="single" w:sz="2" w:space="0" w:color="000000"/>
              <w:left w:val="single" w:sz="2" w:space="0" w:color="000000"/>
              <w:bottom w:val="single" w:sz="2" w:space="0" w:color="000000"/>
              <w:right w:val="single" w:sz="2" w:space="0" w:color="000000"/>
            </w:tcBorders>
          </w:tcPr>
          <w:p w14:paraId="4430B46C" w14:textId="77777777" w:rsidR="00053D93" w:rsidRDefault="00260B75">
            <w:pPr>
              <w:ind w:left="63"/>
              <w:jc w:val="center"/>
            </w:pPr>
            <w:r>
              <w:rPr>
                <w:rFonts w:ascii="Malgan Gothic" w:eastAsia="Malgan Gothic" w:hAnsi="Malgan Gothic" w:cs="Malgan Gothic"/>
                <w:sz w:val="16"/>
              </w:rPr>
              <w:t>3/09/2024</w:t>
            </w:r>
          </w:p>
        </w:tc>
        <w:tc>
          <w:tcPr>
            <w:tcW w:w="1915" w:type="dxa"/>
            <w:tcBorders>
              <w:top w:val="single" w:sz="2" w:space="0" w:color="000000"/>
              <w:left w:val="single" w:sz="2" w:space="0" w:color="000000"/>
              <w:bottom w:val="single" w:sz="2" w:space="0" w:color="000000"/>
              <w:right w:val="single" w:sz="2" w:space="0" w:color="000000"/>
            </w:tcBorders>
          </w:tcPr>
          <w:p w14:paraId="1B86741F" w14:textId="77777777" w:rsidR="00053D93" w:rsidRDefault="00260B75">
            <w:pPr>
              <w:ind w:left="49"/>
              <w:jc w:val="center"/>
            </w:pPr>
            <w:r>
              <w:rPr>
                <w:rFonts w:ascii="Malgan Gothic" w:eastAsia="Malgan Gothic" w:hAnsi="Malgan Gothic" w:cs="Malgan Gothic"/>
                <w:sz w:val="16"/>
              </w:rPr>
              <w:t>20/09/2024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1021776C" w14:textId="77777777" w:rsidR="00053D93" w:rsidRDefault="00260B75">
            <w:pPr>
              <w:ind w:right="22"/>
              <w:jc w:val="right"/>
            </w:pPr>
            <w:r>
              <w:rPr>
                <w:rFonts w:ascii="Malgan Gothic" w:eastAsia="Malgan Gothic" w:hAnsi="Malgan Gothic" w:cs="Malgan Gothic"/>
                <w:sz w:val="16"/>
              </w:rPr>
              <w:t>2,805.00</w:t>
            </w:r>
          </w:p>
        </w:tc>
      </w:tr>
      <w:tr w:rsidR="00053D93" w14:paraId="64177974"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65B2A808" w14:textId="77777777" w:rsidR="00053D93" w:rsidRDefault="00260B75">
            <w:pPr>
              <w:ind w:left="59"/>
            </w:pPr>
            <w:r>
              <w:rPr>
                <w:rFonts w:ascii="Malgan Gothic" w:eastAsia="Malgan Gothic" w:hAnsi="Malgan Gothic" w:cs="Malgan Gothic"/>
                <w:sz w:val="14"/>
              </w:rPr>
              <w:t>79</w:t>
            </w:r>
          </w:p>
        </w:tc>
        <w:tc>
          <w:tcPr>
            <w:tcW w:w="1235" w:type="dxa"/>
            <w:tcBorders>
              <w:top w:val="single" w:sz="2" w:space="0" w:color="000000"/>
              <w:left w:val="single" w:sz="2" w:space="0" w:color="000000"/>
              <w:bottom w:val="single" w:sz="2" w:space="0" w:color="000000"/>
              <w:right w:val="single" w:sz="2" w:space="0" w:color="000000"/>
            </w:tcBorders>
          </w:tcPr>
          <w:p w14:paraId="11E5150C" w14:textId="77777777" w:rsidR="00053D93" w:rsidRDefault="00260B75">
            <w:pPr>
              <w:ind w:left="58"/>
            </w:pPr>
            <w:r>
              <w:rPr>
                <w:rFonts w:ascii="Malgan Gothic" w:eastAsia="Malgan Gothic" w:hAnsi="Malgan Gothic" w:cs="Malgan Gothic"/>
                <w:sz w:val="16"/>
              </w:rPr>
              <w:t>E548692920</w:t>
            </w:r>
          </w:p>
        </w:tc>
        <w:tc>
          <w:tcPr>
            <w:tcW w:w="1587" w:type="dxa"/>
            <w:tcBorders>
              <w:top w:val="single" w:sz="2" w:space="0" w:color="000000"/>
              <w:left w:val="single" w:sz="2" w:space="0" w:color="000000"/>
              <w:bottom w:val="single" w:sz="2" w:space="0" w:color="000000"/>
              <w:right w:val="single" w:sz="2" w:space="0" w:color="000000"/>
            </w:tcBorders>
          </w:tcPr>
          <w:p w14:paraId="1C65348B" w14:textId="77777777" w:rsidR="00053D93" w:rsidRDefault="00260B75">
            <w:pPr>
              <w:ind w:left="44"/>
              <w:jc w:val="center"/>
            </w:pPr>
            <w:r>
              <w:rPr>
                <w:rFonts w:ascii="Malgan Gothic" w:eastAsia="Malgan Gothic" w:hAnsi="Malgan Gothic" w:cs="Malgan Gothic"/>
                <w:sz w:val="14"/>
              </w:rPr>
              <w:t>2024-17429</w:t>
            </w:r>
          </w:p>
        </w:tc>
        <w:tc>
          <w:tcPr>
            <w:tcW w:w="1584" w:type="dxa"/>
            <w:tcBorders>
              <w:top w:val="single" w:sz="2" w:space="0" w:color="000000"/>
              <w:left w:val="single" w:sz="2" w:space="0" w:color="000000"/>
              <w:bottom w:val="single" w:sz="2" w:space="0" w:color="000000"/>
              <w:right w:val="single" w:sz="2" w:space="0" w:color="000000"/>
            </w:tcBorders>
          </w:tcPr>
          <w:p w14:paraId="719D8166" w14:textId="77777777" w:rsidR="00053D93" w:rsidRDefault="00260B75">
            <w:pPr>
              <w:ind w:left="49"/>
              <w:jc w:val="center"/>
            </w:pPr>
            <w:r>
              <w:rPr>
                <w:rFonts w:ascii="Malgan Gothic" w:eastAsia="Malgan Gothic" w:hAnsi="Malgan Gothic" w:cs="Malgan Gothic"/>
                <w:sz w:val="16"/>
              </w:rPr>
              <w:t>29/08/2024</w:t>
            </w:r>
          </w:p>
        </w:tc>
        <w:tc>
          <w:tcPr>
            <w:tcW w:w="1915" w:type="dxa"/>
            <w:tcBorders>
              <w:top w:val="single" w:sz="2" w:space="0" w:color="000000"/>
              <w:left w:val="single" w:sz="2" w:space="0" w:color="000000"/>
              <w:bottom w:val="single" w:sz="2" w:space="0" w:color="000000"/>
              <w:right w:val="single" w:sz="2" w:space="0" w:color="000000"/>
            </w:tcBorders>
          </w:tcPr>
          <w:p w14:paraId="427A1C24" w14:textId="77777777" w:rsidR="00053D93" w:rsidRDefault="00260B75">
            <w:pPr>
              <w:ind w:left="41"/>
              <w:jc w:val="center"/>
            </w:pPr>
            <w:r>
              <w:rPr>
                <w:rFonts w:ascii="Malgan Gothic" w:eastAsia="Malgan Gothic" w:hAnsi="Malgan Gothic" w:cs="Malgan Gothic"/>
                <w:sz w:val="16"/>
              </w:rPr>
              <w:t>24/09/2024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6196751B" w14:textId="77777777" w:rsidR="00053D93" w:rsidRDefault="00260B75">
            <w:pPr>
              <w:ind w:right="29"/>
              <w:jc w:val="right"/>
            </w:pPr>
            <w:r>
              <w:rPr>
                <w:rFonts w:ascii="Malgan Gothic" w:eastAsia="Malgan Gothic" w:hAnsi="Malgan Gothic" w:cs="Malgan Gothic"/>
                <w:sz w:val="16"/>
              </w:rPr>
              <w:t>2,050.20</w:t>
            </w:r>
          </w:p>
        </w:tc>
      </w:tr>
      <w:tr w:rsidR="00053D93" w14:paraId="49EA3E98"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739B3F83" w14:textId="77777777" w:rsidR="00053D93" w:rsidRDefault="00260B75">
            <w:pPr>
              <w:ind w:left="66"/>
            </w:pPr>
            <w:r>
              <w:rPr>
                <w:rFonts w:ascii="Malgan Gothic" w:eastAsia="Malgan Gothic" w:hAnsi="Malgan Gothic" w:cs="Malgan Gothic"/>
                <w:sz w:val="14"/>
              </w:rPr>
              <w:t>80</w:t>
            </w:r>
          </w:p>
        </w:tc>
        <w:tc>
          <w:tcPr>
            <w:tcW w:w="1235" w:type="dxa"/>
            <w:tcBorders>
              <w:top w:val="single" w:sz="2" w:space="0" w:color="000000"/>
              <w:left w:val="single" w:sz="2" w:space="0" w:color="000000"/>
              <w:bottom w:val="single" w:sz="2" w:space="0" w:color="000000"/>
              <w:right w:val="single" w:sz="2" w:space="0" w:color="000000"/>
            </w:tcBorders>
          </w:tcPr>
          <w:p w14:paraId="25E085C5" w14:textId="77777777" w:rsidR="00053D93" w:rsidRDefault="00260B75">
            <w:pPr>
              <w:ind w:left="50"/>
            </w:pPr>
            <w:r>
              <w:rPr>
                <w:rFonts w:ascii="Malgan Gothic" w:eastAsia="Malgan Gothic" w:hAnsi="Malgan Gothic" w:cs="Malgan Gothic"/>
                <w:sz w:val="16"/>
              </w:rPr>
              <w:t>E548694028</w:t>
            </w:r>
          </w:p>
        </w:tc>
        <w:tc>
          <w:tcPr>
            <w:tcW w:w="1587" w:type="dxa"/>
            <w:tcBorders>
              <w:top w:val="single" w:sz="2" w:space="0" w:color="000000"/>
              <w:left w:val="single" w:sz="2" w:space="0" w:color="000000"/>
              <w:bottom w:val="single" w:sz="2" w:space="0" w:color="000000"/>
              <w:right w:val="single" w:sz="2" w:space="0" w:color="000000"/>
            </w:tcBorders>
          </w:tcPr>
          <w:p w14:paraId="31788FBD" w14:textId="77777777" w:rsidR="00053D93" w:rsidRDefault="00260B75">
            <w:pPr>
              <w:ind w:left="44"/>
              <w:jc w:val="center"/>
            </w:pPr>
            <w:r>
              <w:rPr>
                <w:rFonts w:ascii="Malgan Gothic" w:eastAsia="Malgan Gothic" w:hAnsi="Malgan Gothic" w:cs="Malgan Gothic"/>
                <w:sz w:val="16"/>
              </w:rPr>
              <w:t>2024-17152</w:t>
            </w:r>
          </w:p>
        </w:tc>
        <w:tc>
          <w:tcPr>
            <w:tcW w:w="1584" w:type="dxa"/>
            <w:tcBorders>
              <w:top w:val="single" w:sz="2" w:space="0" w:color="000000"/>
              <w:left w:val="single" w:sz="2" w:space="0" w:color="000000"/>
              <w:bottom w:val="single" w:sz="2" w:space="0" w:color="000000"/>
              <w:right w:val="single" w:sz="2" w:space="0" w:color="000000"/>
            </w:tcBorders>
          </w:tcPr>
          <w:p w14:paraId="792F0FD6" w14:textId="77777777" w:rsidR="00053D93" w:rsidRDefault="00260B75">
            <w:pPr>
              <w:ind w:left="41"/>
              <w:jc w:val="center"/>
            </w:pPr>
            <w:r>
              <w:rPr>
                <w:rFonts w:ascii="Malgan Gothic" w:eastAsia="Malgan Gothic" w:hAnsi="Malgan Gothic" w:cs="Malgan Gothic"/>
                <w:sz w:val="16"/>
              </w:rPr>
              <w:t>29/08/2024</w:t>
            </w:r>
          </w:p>
        </w:tc>
        <w:tc>
          <w:tcPr>
            <w:tcW w:w="1915" w:type="dxa"/>
            <w:tcBorders>
              <w:top w:val="single" w:sz="2" w:space="0" w:color="000000"/>
              <w:left w:val="single" w:sz="2" w:space="0" w:color="000000"/>
              <w:bottom w:val="single" w:sz="2" w:space="0" w:color="000000"/>
              <w:right w:val="single" w:sz="2" w:space="0" w:color="000000"/>
            </w:tcBorders>
          </w:tcPr>
          <w:p w14:paraId="1D7F7E34" w14:textId="77777777" w:rsidR="00053D93" w:rsidRDefault="00260B75">
            <w:pPr>
              <w:ind w:left="34"/>
              <w:jc w:val="center"/>
            </w:pPr>
            <w:r>
              <w:rPr>
                <w:rFonts w:ascii="Malgan Gothic" w:eastAsia="Malgan Gothic" w:hAnsi="Malgan Gothic" w:cs="Malgan Gothic"/>
                <w:sz w:val="16"/>
              </w:rPr>
              <w:t>24/09/2024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3F19554D" w14:textId="77777777" w:rsidR="00053D93" w:rsidRDefault="00260B75">
            <w:pPr>
              <w:ind w:right="29"/>
              <w:jc w:val="right"/>
            </w:pPr>
            <w:r>
              <w:rPr>
                <w:rFonts w:ascii="Malgan Gothic" w:eastAsia="Malgan Gothic" w:hAnsi="Malgan Gothic" w:cs="Malgan Gothic"/>
                <w:sz w:val="18"/>
              </w:rPr>
              <w:t>2,050.20</w:t>
            </w:r>
          </w:p>
        </w:tc>
      </w:tr>
      <w:tr w:rsidR="00053D93" w14:paraId="1A9B4222" w14:textId="77777777">
        <w:trPr>
          <w:trHeight w:val="528"/>
        </w:trPr>
        <w:tc>
          <w:tcPr>
            <w:tcW w:w="613" w:type="dxa"/>
            <w:gridSpan w:val="2"/>
            <w:tcBorders>
              <w:top w:val="single" w:sz="2" w:space="0" w:color="000000"/>
              <w:left w:val="single" w:sz="2" w:space="0" w:color="000000"/>
              <w:bottom w:val="single" w:sz="2" w:space="0" w:color="000000"/>
              <w:right w:val="single" w:sz="2" w:space="0" w:color="000000"/>
            </w:tcBorders>
          </w:tcPr>
          <w:p w14:paraId="3A701BF8"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79EDCF42" w14:textId="77777777" w:rsidR="00053D93" w:rsidRDefault="00260B75">
            <w:pPr>
              <w:ind w:left="50"/>
            </w:pPr>
            <w:r>
              <w:rPr>
                <w:rFonts w:ascii="Malgan Gothic" w:eastAsia="Malgan Gothic" w:hAnsi="Malgan Gothic" w:cs="Malgan Gothic"/>
                <w:sz w:val="16"/>
              </w:rPr>
              <w:t>E548890781</w:t>
            </w:r>
          </w:p>
        </w:tc>
        <w:tc>
          <w:tcPr>
            <w:tcW w:w="1587" w:type="dxa"/>
            <w:tcBorders>
              <w:top w:val="single" w:sz="2" w:space="0" w:color="000000"/>
              <w:left w:val="single" w:sz="2" w:space="0" w:color="000000"/>
              <w:bottom w:val="single" w:sz="2" w:space="0" w:color="000000"/>
              <w:right w:val="single" w:sz="2" w:space="0" w:color="000000"/>
            </w:tcBorders>
          </w:tcPr>
          <w:p w14:paraId="333512D6" w14:textId="77777777" w:rsidR="00053D93" w:rsidRDefault="00260B75">
            <w:pPr>
              <w:ind w:left="37"/>
              <w:jc w:val="center"/>
            </w:pPr>
            <w:r>
              <w:rPr>
                <w:rFonts w:ascii="Malgan Gothic" w:eastAsia="Malgan Gothic" w:hAnsi="Malgan Gothic" w:cs="Malgan Gothic"/>
                <w:sz w:val="14"/>
              </w:rPr>
              <w:t>2024-22306</w:t>
            </w:r>
          </w:p>
        </w:tc>
        <w:tc>
          <w:tcPr>
            <w:tcW w:w="1584" w:type="dxa"/>
            <w:tcBorders>
              <w:top w:val="single" w:sz="2" w:space="0" w:color="000000"/>
              <w:left w:val="single" w:sz="2" w:space="0" w:color="000000"/>
              <w:bottom w:val="single" w:sz="2" w:space="0" w:color="000000"/>
              <w:right w:val="single" w:sz="2" w:space="0" w:color="000000"/>
            </w:tcBorders>
          </w:tcPr>
          <w:p w14:paraId="162058F6" w14:textId="77777777" w:rsidR="00053D93" w:rsidRDefault="00260B75">
            <w:pPr>
              <w:ind w:left="34"/>
              <w:jc w:val="center"/>
            </w:pPr>
            <w:r>
              <w:rPr>
                <w:rFonts w:ascii="Malgan Gothic" w:eastAsia="Malgan Gothic" w:hAnsi="Malgan Gothic" w:cs="Malgan Gothic"/>
                <w:sz w:val="16"/>
              </w:rPr>
              <w:t>4/09/2024</w:t>
            </w:r>
          </w:p>
        </w:tc>
        <w:tc>
          <w:tcPr>
            <w:tcW w:w="1915" w:type="dxa"/>
            <w:tcBorders>
              <w:top w:val="single" w:sz="2" w:space="0" w:color="000000"/>
              <w:left w:val="single" w:sz="2" w:space="0" w:color="000000"/>
              <w:bottom w:val="single" w:sz="2" w:space="0" w:color="000000"/>
              <w:right w:val="single" w:sz="2" w:space="0" w:color="000000"/>
            </w:tcBorders>
          </w:tcPr>
          <w:p w14:paraId="72019833" w14:textId="77777777" w:rsidR="00053D93" w:rsidRDefault="00260B75">
            <w:pPr>
              <w:ind w:left="27"/>
              <w:jc w:val="center"/>
            </w:pPr>
            <w:r>
              <w:rPr>
                <w:rFonts w:ascii="Malgan Gothic" w:eastAsia="Malgan Gothic" w:hAnsi="Malgan Gothic" w:cs="Malgan Gothic"/>
                <w:sz w:val="14"/>
              </w:rPr>
              <w:t>27/09/2024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4238DDA1" w14:textId="77777777" w:rsidR="00053D93" w:rsidRDefault="00260B75">
            <w:pPr>
              <w:ind w:right="36"/>
              <w:jc w:val="right"/>
            </w:pPr>
            <w:r>
              <w:rPr>
                <w:rFonts w:ascii="Malgan Gothic" w:eastAsia="Malgan Gothic" w:hAnsi="Malgan Gothic" w:cs="Malgan Gothic"/>
                <w:sz w:val="14"/>
              </w:rPr>
              <w:t>30.00</w:t>
            </w:r>
          </w:p>
        </w:tc>
      </w:tr>
      <w:tr w:rsidR="00053D93" w14:paraId="5F78D086" w14:textId="77777777">
        <w:trPr>
          <w:trHeight w:val="526"/>
        </w:trPr>
        <w:tc>
          <w:tcPr>
            <w:tcW w:w="613" w:type="dxa"/>
            <w:gridSpan w:val="2"/>
            <w:tcBorders>
              <w:top w:val="single" w:sz="2" w:space="0" w:color="000000"/>
              <w:left w:val="single" w:sz="2" w:space="0" w:color="000000"/>
              <w:bottom w:val="single" w:sz="2" w:space="0" w:color="000000"/>
              <w:right w:val="single" w:sz="2" w:space="0" w:color="000000"/>
            </w:tcBorders>
          </w:tcPr>
          <w:p w14:paraId="5144C142"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55B6CF93" w14:textId="77777777" w:rsidR="00053D93" w:rsidRDefault="00260B75">
            <w:pPr>
              <w:ind w:left="43"/>
            </w:pPr>
            <w:r>
              <w:rPr>
                <w:rFonts w:ascii="Malgan Gothic" w:eastAsia="Malgan Gothic" w:hAnsi="Malgan Gothic" w:cs="Malgan Gothic"/>
                <w:sz w:val="16"/>
              </w:rPr>
              <w:t>E548904235</w:t>
            </w:r>
          </w:p>
        </w:tc>
        <w:tc>
          <w:tcPr>
            <w:tcW w:w="1587" w:type="dxa"/>
            <w:tcBorders>
              <w:top w:val="single" w:sz="2" w:space="0" w:color="000000"/>
              <w:left w:val="single" w:sz="2" w:space="0" w:color="000000"/>
              <w:bottom w:val="single" w:sz="2" w:space="0" w:color="000000"/>
              <w:right w:val="single" w:sz="2" w:space="0" w:color="000000"/>
            </w:tcBorders>
          </w:tcPr>
          <w:p w14:paraId="614628FF" w14:textId="77777777" w:rsidR="00053D93" w:rsidRDefault="00260B75">
            <w:pPr>
              <w:ind w:left="30"/>
              <w:jc w:val="center"/>
            </w:pPr>
            <w:r>
              <w:rPr>
                <w:rFonts w:ascii="Malgan Gothic" w:eastAsia="Malgan Gothic" w:hAnsi="Malgan Gothic" w:cs="Malgan Gothic"/>
                <w:sz w:val="14"/>
              </w:rPr>
              <w:t>2024-22308</w:t>
            </w:r>
          </w:p>
        </w:tc>
        <w:tc>
          <w:tcPr>
            <w:tcW w:w="1584" w:type="dxa"/>
            <w:tcBorders>
              <w:top w:val="single" w:sz="2" w:space="0" w:color="000000"/>
              <w:left w:val="single" w:sz="2" w:space="0" w:color="000000"/>
              <w:bottom w:val="single" w:sz="2" w:space="0" w:color="000000"/>
              <w:right w:val="single" w:sz="2" w:space="0" w:color="000000"/>
            </w:tcBorders>
          </w:tcPr>
          <w:p w14:paraId="5B9F9C5F" w14:textId="77777777" w:rsidR="00053D93" w:rsidRDefault="00260B75">
            <w:pPr>
              <w:ind w:left="34"/>
              <w:jc w:val="center"/>
            </w:pPr>
            <w:r>
              <w:rPr>
                <w:rFonts w:ascii="Malgan Gothic" w:eastAsia="Malgan Gothic" w:hAnsi="Malgan Gothic" w:cs="Malgan Gothic"/>
                <w:sz w:val="16"/>
              </w:rPr>
              <w:t>6/09/2024</w:t>
            </w:r>
          </w:p>
        </w:tc>
        <w:tc>
          <w:tcPr>
            <w:tcW w:w="1915" w:type="dxa"/>
            <w:tcBorders>
              <w:top w:val="single" w:sz="2" w:space="0" w:color="000000"/>
              <w:left w:val="single" w:sz="2" w:space="0" w:color="000000"/>
              <w:bottom w:val="single" w:sz="2" w:space="0" w:color="000000"/>
              <w:right w:val="single" w:sz="2" w:space="0" w:color="000000"/>
            </w:tcBorders>
          </w:tcPr>
          <w:p w14:paraId="153ECB45" w14:textId="77777777" w:rsidR="00053D93" w:rsidRDefault="00260B75">
            <w:pPr>
              <w:ind w:left="27"/>
              <w:jc w:val="center"/>
            </w:pPr>
            <w:r>
              <w:rPr>
                <w:rFonts w:ascii="Malgan Gothic" w:eastAsia="Malgan Gothic" w:hAnsi="Malgan Gothic" w:cs="Malgan Gothic"/>
                <w:sz w:val="14"/>
              </w:rPr>
              <w:t>27/09/2024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2508D8FB" w14:textId="77777777" w:rsidR="00053D93" w:rsidRDefault="00260B75">
            <w:pPr>
              <w:ind w:right="36"/>
              <w:jc w:val="right"/>
            </w:pPr>
            <w:r>
              <w:rPr>
                <w:rFonts w:ascii="Malgan Gothic" w:eastAsia="Malgan Gothic" w:hAnsi="Malgan Gothic" w:cs="Malgan Gothic"/>
                <w:sz w:val="14"/>
              </w:rPr>
              <w:t>30.00</w:t>
            </w:r>
          </w:p>
        </w:tc>
      </w:tr>
      <w:tr w:rsidR="00053D93" w14:paraId="23B2B759" w14:textId="77777777">
        <w:trPr>
          <w:trHeight w:val="530"/>
        </w:trPr>
        <w:tc>
          <w:tcPr>
            <w:tcW w:w="613" w:type="dxa"/>
            <w:gridSpan w:val="2"/>
            <w:tcBorders>
              <w:top w:val="single" w:sz="2" w:space="0" w:color="000000"/>
              <w:left w:val="single" w:sz="2" w:space="0" w:color="000000"/>
              <w:bottom w:val="single" w:sz="2" w:space="0" w:color="000000"/>
              <w:right w:val="single" w:sz="2" w:space="0" w:color="000000"/>
            </w:tcBorders>
          </w:tcPr>
          <w:p w14:paraId="38E49F7D"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35C74D16" w14:textId="77777777" w:rsidR="00053D93" w:rsidRDefault="00260B75">
            <w:pPr>
              <w:ind w:left="43"/>
            </w:pPr>
            <w:r>
              <w:rPr>
                <w:rFonts w:ascii="Malgan Gothic" w:eastAsia="Malgan Gothic" w:hAnsi="Malgan Gothic" w:cs="Malgan Gothic"/>
                <w:sz w:val="14"/>
              </w:rPr>
              <w:t>E548909288</w:t>
            </w:r>
          </w:p>
        </w:tc>
        <w:tc>
          <w:tcPr>
            <w:tcW w:w="1587" w:type="dxa"/>
            <w:tcBorders>
              <w:top w:val="single" w:sz="2" w:space="0" w:color="000000"/>
              <w:left w:val="single" w:sz="2" w:space="0" w:color="000000"/>
              <w:bottom w:val="single" w:sz="2" w:space="0" w:color="000000"/>
              <w:right w:val="single" w:sz="2" w:space="0" w:color="000000"/>
            </w:tcBorders>
          </w:tcPr>
          <w:p w14:paraId="39E51431" w14:textId="77777777" w:rsidR="00053D93" w:rsidRDefault="00260B75">
            <w:pPr>
              <w:ind w:left="23"/>
              <w:jc w:val="center"/>
            </w:pPr>
            <w:r>
              <w:rPr>
                <w:rFonts w:ascii="Malgan Gothic" w:eastAsia="Malgan Gothic" w:hAnsi="Malgan Gothic" w:cs="Malgan Gothic"/>
                <w:sz w:val="14"/>
              </w:rPr>
              <w:t>2024-22310</w:t>
            </w:r>
          </w:p>
        </w:tc>
        <w:tc>
          <w:tcPr>
            <w:tcW w:w="1584" w:type="dxa"/>
            <w:tcBorders>
              <w:top w:val="single" w:sz="2" w:space="0" w:color="000000"/>
              <w:left w:val="single" w:sz="2" w:space="0" w:color="000000"/>
              <w:bottom w:val="single" w:sz="2" w:space="0" w:color="000000"/>
              <w:right w:val="single" w:sz="2" w:space="0" w:color="000000"/>
            </w:tcBorders>
          </w:tcPr>
          <w:p w14:paraId="2444756B" w14:textId="77777777" w:rsidR="00053D93" w:rsidRDefault="00260B75">
            <w:pPr>
              <w:ind w:left="41"/>
              <w:jc w:val="center"/>
            </w:pPr>
            <w:r>
              <w:rPr>
                <w:rFonts w:ascii="Malgan Gothic" w:eastAsia="Malgan Gothic" w:hAnsi="Malgan Gothic" w:cs="Malgan Gothic"/>
                <w:sz w:val="16"/>
              </w:rPr>
              <w:t>10/09/2024</w:t>
            </w:r>
          </w:p>
        </w:tc>
        <w:tc>
          <w:tcPr>
            <w:tcW w:w="1915" w:type="dxa"/>
            <w:tcBorders>
              <w:top w:val="single" w:sz="2" w:space="0" w:color="000000"/>
              <w:left w:val="single" w:sz="2" w:space="0" w:color="000000"/>
              <w:bottom w:val="single" w:sz="2" w:space="0" w:color="000000"/>
              <w:right w:val="single" w:sz="2" w:space="0" w:color="000000"/>
            </w:tcBorders>
          </w:tcPr>
          <w:p w14:paraId="715946A3" w14:textId="77777777" w:rsidR="00053D93" w:rsidRDefault="00260B75">
            <w:pPr>
              <w:ind w:left="20"/>
              <w:jc w:val="center"/>
            </w:pPr>
            <w:r>
              <w:rPr>
                <w:rFonts w:ascii="Malgan Gothic" w:eastAsia="Malgan Gothic" w:hAnsi="Malgan Gothic" w:cs="Malgan Gothic"/>
                <w:sz w:val="14"/>
              </w:rPr>
              <w:t>27/09/2024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08F7C0F9" w14:textId="77777777" w:rsidR="00053D93" w:rsidRDefault="00260B75">
            <w:pPr>
              <w:ind w:right="36"/>
              <w:jc w:val="right"/>
            </w:pPr>
            <w:r>
              <w:rPr>
                <w:rFonts w:ascii="Malgan Gothic" w:eastAsia="Malgan Gothic" w:hAnsi="Malgan Gothic" w:cs="Malgan Gothic"/>
                <w:sz w:val="14"/>
              </w:rPr>
              <w:t>18.00</w:t>
            </w:r>
          </w:p>
        </w:tc>
      </w:tr>
      <w:tr w:rsidR="00053D93" w14:paraId="6E4785ED" w14:textId="77777777">
        <w:trPr>
          <w:trHeight w:val="528"/>
        </w:trPr>
        <w:tc>
          <w:tcPr>
            <w:tcW w:w="613" w:type="dxa"/>
            <w:gridSpan w:val="2"/>
            <w:tcBorders>
              <w:top w:val="single" w:sz="2" w:space="0" w:color="000000"/>
              <w:left w:val="single" w:sz="2" w:space="0" w:color="000000"/>
              <w:bottom w:val="single" w:sz="2" w:space="0" w:color="000000"/>
              <w:right w:val="single" w:sz="2" w:space="0" w:color="000000"/>
            </w:tcBorders>
          </w:tcPr>
          <w:p w14:paraId="1A308F3A"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53F358E5" w14:textId="77777777" w:rsidR="00053D93" w:rsidRDefault="00260B75">
            <w:pPr>
              <w:ind w:left="36"/>
            </w:pPr>
            <w:r>
              <w:rPr>
                <w:rFonts w:ascii="Malgan Gothic" w:eastAsia="Malgan Gothic" w:hAnsi="Malgan Gothic" w:cs="Malgan Gothic"/>
                <w:sz w:val="16"/>
              </w:rPr>
              <w:t>E54891 1002</w:t>
            </w:r>
          </w:p>
        </w:tc>
        <w:tc>
          <w:tcPr>
            <w:tcW w:w="1587" w:type="dxa"/>
            <w:tcBorders>
              <w:top w:val="single" w:sz="2" w:space="0" w:color="000000"/>
              <w:left w:val="single" w:sz="2" w:space="0" w:color="000000"/>
              <w:bottom w:val="single" w:sz="2" w:space="0" w:color="000000"/>
              <w:right w:val="single" w:sz="2" w:space="0" w:color="000000"/>
            </w:tcBorders>
          </w:tcPr>
          <w:p w14:paraId="39A62534" w14:textId="77777777" w:rsidR="00053D93" w:rsidRDefault="00260B75">
            <w:pPr>
              <w:ind w:left="15"/>
              <w:jc w:val="center"/>
            </w:pPr>
            <w:r>
              <w:rPr>
                <w:rFonts w:ascii="Malgan Gothic" w:eastAsia="Malgan Gothic" w:hAnsi="Malgan Gothic" w:cs="Malgan Gothic"/>
                <w:sz w:val="14"/>
              </w:rPr>
              <w:t>2024-22318</w:t>
            </w:r>
          </w:p>
        </w:tc>
        <w:tc>
          <w:tcPr>
            <w:tcW w:w="1584" w:type="dxa"/>
            <w:tcBorders>
              <w:top w:val="single" w:sz="2" w:space="0" w:color="000000"/>
              <w:left w:val="single" w:sz="2" w:space="0" w:color="000000"/>
              <w:bottom w:val="single" w:sz="2" w:space="0" w:color="000000"/>
              <w:right w:val="single" w:sz="2" w:space="0" w:color="000000"/>
            </w:tcBorders>
          </w:tcPr>
          <w:p w14:paraId="35EE17D4" w14:textId="77777777" w:rsidR="00053D93" w:rsidRDefault="00260B75">
            <w:pPr>
              <w:ind w:left="27"/>
              <w:jc w:val="center"/>
            </w:pPr>
            <w:r>
              <w:rPr>
                <w:rFonts w:ascii="Malgan Gothic" w:eastAsia="Malgan Gothic" w:hAnsi="Malgan Gothic" w:cs="Malgan Gothic"/>
                <w:sz w:val="14"/>
              </w:rPr>
              <w:t>11/09/2024</w:t>
            </w:r>
          </w:p>
        </w:tc>
        <w:tc>
          <w:tcPr>
            <w:tcW w:w="1915" w:type="dxa"/>
            <w:tcBorders>
              <w:top w:val="single" w:sz="2" w:space="0" w:color="000000"/>
              <w:left w:val="single" w:sz="2" w:space="0" w:color="000000"/>
              <w:bottom w:val="single" w:sz="2" w:space="0" w:color="000000"/>
              <w:right w:val="single" w:sz="2" w:space="0" w:color="000000"/>
            </w:tcBorders>
          </w:tcPr>
          <w:p w14:paraId="0A14F4FD" w14:textId="77777777" w:rsidR="00053D93" w:rsidRDefault="00260B75">
            <w:pPr>
              <w:ind w:left="20"/>
              <w:jc w:val="center"/>
            </w:pPr>
            <w:r>
              <w:rPr>
                <w:rFonts w:ascii="Malgan Gothic" w:eastAsia="Malgan Gothic" w:hAnsi="Malgan Gothic" w:cs="Malgan Gothic"/>
                <w:sz w:val="16"/>
              </w:rPr>
              <w:t>27/09/2024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610740A3" w14:textId="77777777" w:rsidR="00053D93" w:rsidRDefault="00260B75">
            <w:pPr>
              <w:ind w:right="36"/>
              <w:jc w:val="right"/>
            </w:pPr>
            <w:r>
              <w:rPr>
                <w:rFonts w:ascii="Malgan Gothic" w:eastAsia="Malgan Gothic" w:hAnsi="Malgan Gothic" w:cs="Malgan Gothic"/>
                <w:sz w:val="14"/>
              </w:rPr>
              <w:t>30.00</w:t>
            </w:r>
          </w:p>
        </w:tc>
      </w:tr>
      <w:tr w:rsidR="00053D93" w14:paraId="1FF6B49E" w14:textId="77777777">
        <w:trPr>
          <w:trHeight w:val="530"/>
        </w:trPr>
        <w:tc>
          <w:tcPr>
            <w:tcW w:w="613" w:type="dxa"/>
            <w:gridSpan w:val="2"/>
            <w:tcBorders>
              <w:top w:val="single" w:sz="2" w:space="0" w:color="000000"/>
              <w:left w:val="single" w:sz="2" w:space="0" w:color="000000"/>
              <w:bottom w:val="single" w:sz="2" w:space="0" w:color="000000"/>
              <w:right w:val="single" w:sz="2" w:space="0" w:color="000000"/>
            </w:tcBorders>
          </w:tcPr>
          <w:p w14:paraId="48E9D7B3"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4E04B895" w14:textId="77777777" w:rsidR="00053D93" w:rsidRDefault="00260B75">
            <w:pPr>
              <w:ind w:left="36"/>
            </w:pPr>
            <w:r>
              <w:rPr>
                <w:rFonts w:ascii="Malgan Gothic" w:eastAsia="Malgan Gothic" w:hAnsi="Malgan Gothic" w:cs="Malgan Gothic"/>
                <w:sz w:val="16"/>
              </w:rPr>
              <w:t>E548914680</w:t>
            </w:r>
          </w:p>
        </w:tc>
        <w:tc>
          <w:tcPr>
            <w:tcW w:w="1587" w:type="dxa"/>
            <w:tcBorders>
              <w:top w:val="single" w:sz="2" w:space="0" w:color="000000"/>
              <w:left w:val="single" w:sz="2" w:space="0" w:color="000000"/>
              <w:bottom w:val="single" w:sz="2" w:space="0" w:color="000000"/>
              <w:right w:val="single" w:sz="2" w:space="0" w:color="000000"/>
            </w:tcBorders>
          </w:tcPr>
          <w:p w14:paraId="2629FBB4" w14:textId="77777777" w:rsidR="00053D93" w:rsidRDefault="00260B75">
            <w:pPr>
              <w:ind w:left="15"/>
              <w:jc w:val="center"/>
            </w:pPr>
            <w:r>
              <w:rPr>
                <w:rFonts w:ascii="Malgan Gothic" w:eastAsia="Malgan Gothic" w:hAnsi="Malgan Gothic" w:cs="Malgan Gothic"/>
                <w:sz w:val="16"/>
              </w:rPr>
              <w:t>2024-22336</w:t>
            </w:r>
          </w:p>
        </w:tc>
        <w:tc>
          <w:tcPr>
            <w:tcW w:w="1584" w:type="dxa"/>
            <w:tcBorders>
              <w:top w:val="single" w:sz="2" w:space="0" w:color="000000"/>
              <w:left w:val="single" w:sz="2" w:space="0" w:color="000000"/>
              <w:bottom w:val="single" w:sz="2" w:space="0" w:color="000000"/>
              <w:right w:val="single" w:sz="2" w:space="0" w:color="000000"/>
            </w:tcBorders>
          </w:tcPr>
          <w:p w14:paraId="33A9FE7C" w14:textId="77777777" w:rsidR="00053D93" w:rsidRDefault="00260B75">
            <w:pPr>
              <w:ind w:left="27"/>
              <w:jc w:val="center"/>
            </w:pPr>
            <w:r>
              <w:rPr>
                <w:rFonts w:ascii="Malgan Gothic" w:eastAsia="Malgan Gothic" w:hAnsi="Malgan Gothic" w:cs="Malgan Gothic"/>
                <w:sz w:val="16"/>
              </w:rPr>
              <w:t>12/09/2024</w:t>
            </w:r>
          </w:p>
        </w:tc>
        <w:tc>
          <w:tcPr>
            <w:tcW w:w="1915" w:type="dxa"/>
            <w:tcBorders>
              <w:top w:val="single" w:sz="2" w:space="0" w:color="000000"/>
              <w:left w:val="single" w:sz="2" w:space="0" w:color="000000"/>
              <w:bottom w:val="single" w:sz="2" w:space="0" w:color="000000"/>
              <w:right w:val="single" w:sz="2" w:space="0" w:color="000000"/>
            </w:tcBorders>
          </w:tcPr>
          <w:p w14:paraId="1B94A993" w14:textId="77777777" w:rsidR="00053D93" w:rsidRDefault="00260B75">
            <w:pPr>
              <w:ind w:left="5"/>
              <w:jc w:val="center"/>
            </w:pPr>
            <w:r>
              <w:rPr>
                <w:rFonts w:ascii="Malgan Gothic" w:eastAsia="Malgan Gothic" w:hAnsi="Malgan Gothic" w:cs="Malgan Gothic"/>
                <w:sz w:val="16"/>
              </w:rPr>
              <w:t>27/09/2024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313A2DAB" w14:textId="77777777" w:rsidR="00053D93" w:rsidRDefault="00260B75">
            <w:pPr>
              <w:ind w:right="36"/>
              <w:jc w:val="right"/>
            </w:pPr>
            <w:r>
              <w:rPr>
                <w:rFonts w:ascii="Malgan Gothic" w:eastAsia="Malgan Gothic" w:hAnsi="Malgan Gothic" w:cs="Malgan Gothic"/>
                <w:sz w:val="14"/>
              </w:rPr>
              <w:t>130.00</w:t>
            </w:r>
          </w:p>
        </w:tc>
      </w:tr>
      <w:tr w:rsidR="00053D93" w14:paraId="220C8762" w14:textId="77777777">
        <w:trPr>
          <w:trHeight w:val="526"/>
        </w:trPr>
        <w:tc>
          <w:tcPr>
            <w:tcW w:w="613" w:type="dxa"/>
            <w:gridSpan w:val="2"/>
            <w:tcBorders>
              <w:top w:val="single" w:sz="2" w:space="0" w:color="000000"/>
              <w:left w:val="single" w:sz="2" w:space="0" w:color="000000"/>
              <w:bottom w:val="single" w:sz="2" w:space="0" w:color="000000"/>
              <w:right w:val="single" w:sz="2" w:space="0" w:color="000000"/>
            </w:tcBorders>
          </w:tcPr>
          <w:p w14:paraId="567BCD6A" w14:textId="77777777" w:rsidR="00053D93" w:rsidRDefault="00260B75">
            <w:pPr>
              <w:ind w:left="44"/>
            </w:pPr>
            <w:r>
              <w:rPr>
                <w:rFonts w:ascii="Malgan Gothic" w:eastAsia="Malgan Gothic" w:hAnsi="Malgan Gothic" w:cs="Malgan Gothic"/>
                <w:sz w:val="14"/>
              </w:rPr>
              <w:t>86</w:t>
            </w:r>
          </w:p>
        </w:tc>
        <w:tc>
          <w:tcPr>
            <w:tcW w:w="1235" w:type="dxa"/>
            <w:tcBorders>
              <w:top w:val="single" w:sz="2" w:space="0" w:color="000000"/>
              <w:left w:val="single" w:sz="2" w:space="0" w:color="000000"/>
              <w:bottom w:val="single" w:sz="2" w:space="0" w:color="000000"/>
              <w:right w:val="single" w:sz="2" w:space="0" w:color="000000"/>
            </w:tcBorders>
          </w:tcPr>
          <w:p w14:paraId="6684484D" w14:textId="77777777" w:rsidR="00053D93" w:rsidRDefault="00260B75">
            <w:pPr>
              <w:ind w:left="36"/>
            </w:pPr>
            <w:r>
              <w:rPr>
                <w:rFonts w:ascii="Malgan Gothic" w:eastAsia="Malgan Gothic" w:hAnsi="Malgan Gothic" w:cs="Malgan Gothic"/>
                <w:sz w:val="16"/>
              </w:rPr>
              <w:t>E549000305</w:t>
            </w:r>
          </w:p>
        </w:tc>
        <w:tc>
          <w:tcPr>
            <w:tcW w:w="1587" w:type="dxa"/>
            <w:tcBorders>
              <w:top w:val="single" w:sz="2" w:space="0" w:color="000000"/>
              <w:left w:val="single" w:sz="2" w:space="0" w:color="000000"/>
              <w:bottom w:val="single" w:sz="2" w:space="0" w:color="000000"/>
              <w:right w:val="single" w:sz="2" w:space="0" w:color="000000"/>
            </w:tcBorders>
          </w:tcPr>
          <w:p w14:paraId="7BD6A848" w14:textId="77777777" w:rsidR="00053D93" w:rsidRDefault="00260B75">
            <w:pPr>
              <w:ind w:left="1"/>
              <w:jc w:val="center"/>
            </w:pPr>
            <w:r>
              <w:rPr>
                <w:rFonts w:ascii="Malgan Gothic" w:eastAsia="Malgan Gothic" w:hAnsi="Malgan Gothic" w:cs="Malgan Gothic"/>
                <w:sz w:val="14"/>
              </w:rPr>
              <w:t>2024-21646</w:t>
            </w:r>
          </w:p>
        </w:tc>
        <w:tc>
          <w:tcPr>
            <w:tcW w:w="1584" w:type="dxa"/>
            <w:tcBorders>
              <w:top w:val="single" w:sz="2" w:space="0" w:color="000000"/>
              <w:left w:val="single" w:sz="2" w:space="0" w:color="000000"/>
              <w:bottom w:val="single" w:sz="2" w:space="0" w:color="000000"/>
              <w:right w:val="single" w:sz="2" w:space="0" w:color="000000"/>
            </w:tcBorders>
          </w:tcPr>
          <w:p w14:paraId="7502CB16" w14:textId="77777777" w:rsidR="00053D93" w:rsidRDefault="00260B75">
            <w:pPr>
              <w:ind w:left="13"/>
              <w:jc w:val="center"/>
            </w:pPr>
            <w:r>
              <w:rPr>
                <w:rFonts w:ascii="Malgan Gothic" w:eastAsia="Malgan Gothic" w:hAnsi="Malgan Gothic" w:cs="Malgan Gothic"/>
                <w:sz w:val="14"/>
              </w:rPr>
              <w:t>27/08/2024</w:t>
            </w:r>
          </w:p>
        </w:tc>
        <w:tc>
          <w:tcPr>
            <w:tcW w:w="1915" w:type="dxa"/>
            <w:tcBorders>
              <w:top w:val="single" w:sz="2" w:space="0" w:color="000000"/>
              <w:left w:val="single" w:sz="2" w:space="0" w:color="000000"/>
              <w:bottom w:val="single" w:sz="2" w:space="0" w:color="000000"/>
              <w:right w:val="single" w:sz="2" w:space="0" w:color="000000"/>
            </w:tcBorders>
          </w:tcPr>
          <w:p w14:paraId="073611CB" w14:textId="77777777" w:rsidR="00053D93" w:rsidRDefault="00260B75">
            <w:pPr>
              <w:ind w:right="2"/>
              <w:jc w:val="center"/>
            </w:pPr>
            <w:r>
              <w:rPr>
                <w:rFonts w:ascii="Malgan Gothic" w:eastAsia="Malgan Gothic" w:hAnsi="Malgan Gothic" w:cs="Malgan Gothic"/>
                <w:sz w:val="14"/>
              </w:rPr>
              <w:t>30/09/2024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40554388" w14:textId="77777777" w:rsidR="00053D93" w:rsidRDefault="00260B75">
            <w:pPr>
              <w:ind w:left="375"/>
            </w:pPr>
            <w:r>
              <w:rPr>
                <w:rFonts w:ascii="Malgan Gothic" w:eastAsia="Malgan Gothic" w:hAnsi="Malgan Gothic" w:cs="Malgan Gothic"/>
                <w:sz w:val="16"/>
              </w:rPr>
              <w:t>11,312.00</w:t>
            </w:r>
          </w:p>
        </w:tc>
      </w:tr>
      <w:tr w:rsidR="00053D93" w14:paraId="15457F83" w14:textId="77777777">
        <w:trPr>
          <w:trHeight w:val="528"/>
        </w:trPr>
        <w:tc>
          <w:tcPr>
            <w:tcW w:w="613" w:type="dxa"/>
            <w:gridSpan w:val="2"/>
            <w:tcBorders>
              <w:top w:val="single" w:sz="2" w:space="0" w:color="000000"/>
              <w:left w:val="single" w:sz="2" w:space="0" w:color="000000"/>
              <w:bottom w:val="single" w:sz="2" w:space="0" w:color="000000"/>
              <w:right w:val="single" w:sz="2" w:space="0" w:color="000000"/>
            </w:tcBorders>
          </w:tcPr>
          <w:p w14:paraId="55B27F4F"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3BCAE931" w14:textId="77777777" w:rsidR="00053D93" w:rsidRDefault="00260B75">
            <w:pPr>
              <w:ind w:left="29"/>
            </w:pPr>
            <w:r>
              <w:rPr>
                <w:rFonts w:ascii="Malgan Gothic" w:eastAsia="Malgan Gothic" w:hAnsi="Malgan Gothic" w:cs="Malgan Gothic"/>
                <w:sz w:val="14"/>
              </w:rPr>
              <w:t>E549030840</w:t>
            </w:r>
          </w:p>
        </w:tc>
        <w:tc>
          <w:tcPr>
            <w:tcW w:w="1587" w:type="dxa"/>
            <w:tcBorders>
              <w:top w:val="single" w:sz="2" w:space="0" w:color="000000"/>
              <w:left w:val="single" w:sz="2" w:space="0" w:color="000000"/>
              <w:bottom w:val="single" w:sz="2" w:space="0" w:color="000000"/>
              <w:right w:val="single" w:sz="2" w:space="0" w:color="000000"/>
            </w:tcBorders>
          </w:tcPr>
          <w:p w14:paraId="7260E16D" w14:textId="77777777" w:rsidR="00053D93" w:rsidRDefault="00260B75">
            <w:pPr>
              <w:ind w:left="1"/>
              <w:jc w:val="center"/>
            </w:pPr>
            <w:r>
              <w:rPr>
                <w:rFonts w:ascii="Malgan Gothic" w:eastAsia="Malgan Gothic" w:hAnsi="Malgan Gothic" w:cs="Malgan Gothic"/>
                <w:sz w:val="16"/>
              </w:rPr>
              <w:t>2024-22724</w:t>
            </w:r>
          </w:p>
        </w:tc>
        <w:tc>
          <w:tcPr>
            <w:tcW w:w="1584" w:type="dxa"/>
            <w:tcBorders>
              <w:top w:val="single" w:sz="2" w:space="0" w:color="000000"/>
              <w:left w:val="single" w:sz="2" w:space="0" w:color="000000"/>
              <w:bottom w:val="single" w:sz="2" w:space="0" w:color="000000"/>
              <w:right w:val="single" w:sz="2" w:space="0" w:color="000000"/>
            </w:tcBorders>
          </w:tcPr>
          <w:p w14:paraId="09B510A1" w14:textId="77777777" w:rsidR="00053D93" w:rsidRDefault="00260B75">
            <w:pPr>
              <w:ind w:left="13"/>
              <w:jc w:val="center"/>
            </w:pPr>
            <w:r>
              <w:rPr>
                <w:rFonts w:ascii="Malgan Gothic" w:eastAsia="Malgan Gothic" w:hAnsi="Malgan Gothic" w:cs="Malgan Gothic"/>
                <w:sz w:val="16"/>
              </w:rPr>
              <w:t>13/09/2024</w:t>
            </w:r>
          </w:p>
        </w:tc>
        <w:tc>
          <w:tcPr>
            <w:tcW w:w="1915" w:type="dxa"/>
            <w:tcBorders>
              <w:top w:val="single" w:sz="2" w:space="0" w:color="000000"/>
              <w:left w:val="single" w:sz="2" w:space="0" w:color="000000"/>
              <w:bottom w:val="single" w:sz="2" w:space="0" w:color="000000"/>
              <w:right w:val="single" w:sz="2" w:space="0" w:color="000000"/>
            </w:tcBorders>
          </w:tcPr>
          <w:p w14:paraId="024BB80D" w14:textId="77777777" w:rsidR="00053D93" w:rsidRDefault="00260B75">
            <w:pPr>
              <w:ind w:left="5"/>
              <w:jc w:val="center"/>
            </w:pPr>
            <w:r>
              <w:rPr>
                <w:rFonts w:ascii="Malgan Gothic" w:eastAsia="Malgan Gothic" w:hAnsi="Malgan Gothic" w:cs="Malgan Gothic"/>
                <w:sz w:val="14"/>
              </w:rPr>
              <w:t>15/10/2024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2DE069BF" w14:textId="77777777" w:rsidR="00053D93" w:rsidRDefault="00260B75">
            <w:pPr>
              <w:ind w:right="43"/>
              <w:jc w:val="right"/>
            </w:pPr>
            <w:r>
              <w:rPr>
                <w:rFonts w:ascii="Malgan Gothic" w:eastAsia="Malgan Gothic" w:hAnsi="Malgan Gothic" w:cs="Malgan Gothic"/>
                <w:sz w:val="16"/>
              </w:rPr>
              <w:t>11120.00</w:t>
            </w:r>
          </w:p>
        </w:tc>
      </w:tr>
      <w:tr w:rsidR="00053D93" w14:paraId="5E418B42"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263974C5" w14:textId="77777777" w:rsidR="00053D93" w:rsidRDefault="00260B75">
            <w:pPr>
              <w:ind w:left="30"/>
            </w:pPr>
            <w:r>
              <w:rPr>
                <w:rFonts w:ascii="Malgan Gothic" w:eastAsia="Malgan Gothic" w:hAnsi="Malgan Gothic" w:cs="Malgan Gothic"/>
                <w:sz w:val="14"/>
              </w:rPr>
              <w:t>88</w:t>
            </w:r>
          </w:p>
        </w:tc>
        <w:tc>
          <w:tcPr>
            <w:tcW w:w="1235" w:type="dxa"/>
            <w:tcBorders>
              <w:top w:val="single" w:sz="2" w:space="0" w:color="000000"/>
              <w:left w:val="single" w:sz="2" w:space="0" w:color="000000"/>
              <w:bottom w:val="single" w:sz="2" w:space="0" w:color="000000"/>
              <w:right w:val="single" w:sz="2" w:space="0" w:color="000000"/>
            </w:tcBorders>
          </w:tcPr>
          <w:p w14:paraId="05417B8B" w14:textId="77777777" w:rsidR="00053D93" w:rsidRDefault="00260B75">
            <w:pPr>
              <w:ind w:left="22"/>
            </w:pPr>
            <w:r>
              <w:rPr>
                <w:rFonts w:ascii="Malgan Gothic" w:eastAsia="Malgan Gothic" w:hAnsi="Malgan Gothic" w:cs="Malgan Gothic"/>
                <w:sz w:val="16"/>
              </w:rPr>
              <w:t>E549033513</w:t>
            </w:r>
          </w:p>
        </w:tc>
        <w:tc>
          <w:tcPr>
            <w:tcW w:w="1587" w:type="dxa"/>
            <w:tcBorders>
              <w:top w:val="single" w:sz="2" w:space="0" w:color="000000"/>
              <w:left w:val="single" w:sz="2" w:space="0" w:color="000000"/>
              <w:bottom w:val="single" w:sz="2" w:space="0" w:color="000000"/>
              <w:right w:val="single" w:sz="2" w:space="0" w:color="000000"/>
            </w:tcBorders>
          </w:tcPr>
          <w:p w14:paraId="3C2D2C08" w14:textId="77777777" w:rsidR="00053D93" w:rsidRDefault="00260B75">
            <w:pPr>
              <w:ind w:right="6"/>
              <w:jc w:val="center"/>
            </w:pPr>
            <w:r>
              <w:rPr>
                <w:rFonts w:ascii="Malgan Gothic" w:eastAsia="Malgan Gothic" w:hAnsi="Malgan Gothic" w:cs="Malgan Gothic"/>
                <w:sz w:val="14"/>
              </w:rPr>
              <w:t>2024-22726</w:t>
            </w:r>
          </w:p>
        </w:tc>
        <w:tc>
          <w:tcPr>
            <w:tcW w:w="1584" w:type="dxa"/>
            <w:tcBorders>
              <w:top w:val="single" w:sz="2" w:space="0" w:color="000000"/>
              <w:left w:val="single" w:sz="2" w:space="0" w:color="000000"/>
              <w:bottom w:val="single" w:sz="2" w:space="0" w:color="000000"/>
              <w:right w:val="single" w:sz="2" w:space="0" w:color="000000"/>
            </w:tcBorders>
          </w:tcPr>
          <w:p w14:paraId="2BFF1303" w14:textId="77777777" w:rsidR="00053D93" w:rsidRDefault="00260B75">
            <w:pPr>
              <w:ind w:left="5"/>
              <w:jc w:val="center"/>
            </w:pPr>
            <w:r>
              <w:rPr>
                <w:rFonts w:ascii="Malgan Gothic" w:eastAsia="Malgan Gothic" w:hAnsi="Malgan Gothic" w:cs="Malgan Gothic"/>
                <w:sz w:val="14"/>
              </w:rPr>
              <w:t>17/09/2024</w:t>
            </w:r>
          </w:p>
        </w:tc>
        <w:tc>
          <w:tcPr>
            <w:tcW w:w="1915" w:type="dxa"/>
            <w:tcBorders>
              <w:top w:val="single" w:sz="2" w:space="0" w:color="000000"/>
              <w:left w:val="single" w:sz="2" w:space="0" w:color="000000"/>
              <w:bottom w:val="single" w:sz="2" w:space="0" w:color="000000"/>
              <w:right w:val="single" w:sz="2" w:space="0" w:color="000000"/>
            </w:tcBorders>
          </w:tcPr>
          <w:p w14:paraId="73892757" w14:textId="77777777" w:rsidR="00053D93" w:rsidRDefault="00260B75">
            <w:pPr>
              <w:ind w:right="2"/>
              <w:jc w:val="center"/>
            </w:pPr>
            <w:r>
              <w:rPr>
                <w:rFonts w:ascii="Malgan Gothic" w:eastAsia="Malgan Gothic" w:hAnsi="Malgan Gothic" w:cs="Malgan Gothic"/>
                <w:sz w:val="16"/>
              </w:rPr>
              <w:t>15/10/2024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6FB718DB" w14:textId="77777777" w:rsidR="00053D93" w:rsidRDefault="00260B75">
            <w:pPr>
              <w:ind w:right="43"/>
              <w:jc w:val="right"/>
            </w:pPr>
            <w:r>
              <w:rPr>
                <w:rFonts w:ascii="Malgan Gothic" w:eastAsia="Malgan Gothic" w:hAnsi="Malgan Gothic" w:cs="Malgan Gothic"/>
                <w:sz w:val="14"/>
              </w:rPr>
              <w:t>357.00</w:t>
            </w:r>
          </w:p>
        </w:tc>
      </w:tr>
      <w:tr w:rsidR="00053D93" w14:paraId="46EE3A39" w14:textId="77777777">
        <w:trPr>
          <w:trHeight w:val="537"/>
        </w:trPr>
        <w:tc>
          <w:tcPr>
            <w:tcW w:w="613" w:type="dxa"/>
            <w:gridSpan w:val="2"/>
            <w:tcBorders>
              <w:top w:val="single" w:sz="2" w:space="0" w:color="000000"/>
              <w:left w:val="single" w:sz="2" w:space="0" w:color="000000"/>
              <w:bottom w:val="single" w:sz="2" w:space="0" w:color="000000"/>
              <w:right w:val="single" w:sz="2" w:space="0" w:color="000000"/>
            </w:tcBorders>
          </w:tcPr>
          <w:p w14:paraId="13884D01" w14:textId="77777777" w:rsidR="00053D93" w:rsidRDefault="00260B75">
            <w:pPr>
              <w:ind w:left="30"/>
            </w:pPr>
            <w:r>
              <w:rPr>
                <w:rFonts w:ascii="Malgan Gothic" w:eastAsia="Malgan Gothic" w:hAnsi="Malgan Gothic" w:cs="Malgan Gothic"/>
                <w:sz w:val="14"/>
              </w:rPr>
              <w:t>89</w:t>
            </w:r>
          </w:p>
        </w:tc>
        <w:tc>
          <w:tcPr>
            <w:tcW w:w="1235" w:type="dxa"/>
            <w:tcBorders>
              <w:top w:val="single" w:sz="2" w:space="0" w:color="000000"/>
              <w:left w:val="single" w:sz="2" w:space="0" w:color="000000"/>
              <w:bottom w:val="single" w:sz="2" w:space="0" w:color="000000"/>
              <w:right w:val="single" w:sz="2" w:space="0" w:color="000000"/>
            </w:tcBorders>
          </w:tcPr>
          <w:p w14:paraId="6EFED3A9" w14:textId="77777777" w:rsidR="00053D93" w:rsidRDefault="00260B75">
            <w:pPr>
              <w:ind w:left="22"/>
            </w:pPr>
            <w:r>
              <w:rPr>
                <w:rFonts w:ascii="Malgan Gothic" w:eastAsia="Malgan Gothic" w:hAnsi="Malgan Gothic" w:cs="Malgan Gothic"/>
                <w:sz w:val="16"/>
              </w:rPr>
              <w:t>E549088474</w:t>
            </w:r>
          </w:p>
        </w:tc>
        <w:tc>
          <w:tcPr>
            <w:tcW w:w="1587" w:type="dxa"/>
            <w:tcBorders>
              <w:top w:val="single" w:sz="2" w:space="0" w:color="000000"/>
              <w:left w:val="single" w:sz="2" w:space="0" w:color="000000"/>
              <w:bottom w:val="single" w:sz="2" w:space="0" w:color="000000"/>
              <w:right w:val="single" w:sz="2" w:space="0" w:color="000000"/>
            </w:tcBorders>
          </w:tcPr>
          <w:p w14:paraId="410AF25B" w14:textId="77777777" w:rsidR="00053D93" w:rsidRDefault="00260B75">
            <w:pPr>
              <w:ind w:right="13"/>
              <w:jc w:val="center"/>
            </w:pPr>
            <w:r>
              <w:rPr>
                <w:rFonts w:ascii="Malgan Gothic" w:eastAsia="Malgan Gothic" w:hAnsi="Malgan Gothic" w:cs="Malgan Gothic"/>
                <w:sz w:val="14"/>
              </w:rPr>
              <w:t>2024-22322</w:t>
            </w:r>
          </w:p>
        </w:tc>
        <w:tc>
          <w:tcPr>
            <w:tcW w:w="1584" w:type="dxa"/>
            <w:tcBorders>
              <w:top w:val="single" w:sz="2" w:space="0" w:color="000000"/>
              <w:left w:val="single" w:sz="2" w:space="0" w:color="000000"/>
              <w:bottom w:val="single" w:sz="2" w:space="0" w:color="000000"/>
              <w:right w:val="single" w:sz="2" w:space="0" w:color="000000"/>
            </w:tcBorders>
          </w:tcPr>
          <w:p w14:paraId="5C005F8E" w14:textId="77777777" w:rsidR="00053D93" w:rsidRDefault="00260B75">
            <w:pPr>
              <w:ind w:right="2"/>
              <w:jc w:val="center"/>
            </w:pPr>
            <w:r>
              <w:rPr>
                <w:rFonts w:ascii="Malgan Gothic" w:eastAsia="Malgan Gothic" w:hAnsi="Malgan Gothic" w:cs="Malgan Gothic"/>
                <w:sz w:val="16"/>
              </w:rPr>
              <w:t>1 8/09/2024</w:t>
            </w:r>
          </w:p>
        </w:tc>
        <w:tc>
          <w:tcPr>
            <w:tcW w:w="1915" w:type="dxa"/>
            <w:tcBorders>
              <w:top w:val="single" w:sz="2" w:space="0" w:color="000000"/>
              <w:left w:val="single" w:sz="2" w:space="0" w:color="000000"/>
              <w:bottom w:val="single" w:sz="2" w:space="0" w:color="000000"/>
              <w:right w:val="single" w:sz="2" w:space="0" w:color="000000"/>
            </w:tcBorders>
          </w:tcPr>
          <w:p w14:paraId="155EA3E7" w14:textId="77777777" w:rsidR="00053D93" w:rsidRDefault="00260B75">
            <w:pPr>
              <w:ind w:right="9"/>
              <w:jc w:val="center"/>
            </w:pPr>
            <w:r>
              <w:rPr>
                <w:rFonts w:ascii="Malgan Gothic" w:eastAsia="Malgan Gothic" w:hAnsi="Malgan Gothic" w:cs="Malgan Gothic"/>
                <w:sz w:val="16"/>
              </w:rPr>
              <w:t>15/10/2024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6AC29C2C" w14:textId="77777777" w:rsidR="00053D93" w:rsidRDefault="00260B75">
            <w:pPr>
              <w:ind w:right="50"/>
              <w:jc w:val="right"/>
            </w:pPr>
            <w:r>
              <w:rPr>
                <w:rFonts w:ascii="Malgan Gothic" w:eastAsia="Malgan Gothic" w:hAnsi="Malgan Gothic" w:cs="Malgan Gothic"/>
                <w:sz w:val="14"/>
              </w:rPr>
              <w:t>130.00</w:t>
            </w:r>
          </w:p>
        </w:tc>
      </w:tr>
      <w:tr w:rsidR="00053D93" w14:paraId="7EAE0ED8" w14:textId="77777777">
        <w:trPr>
          <w:trHeight w:val="535"/>
        </w:trPr>
        <w:tc>
          <w:tcPr>
            <w:tcW w:w="613" w:type="dxa"/>
            <w:gridSpan w:val="2"/>
            <w:tcBorders>
              <w:top w:val="single" w:sz="2" w:space="0" w:color="000000"/>
              <w:left w:val="single" w:sz="2" w:space="0" w:color="000000"/>
              <w:bottom w:val="single" w:sz="2" w:space="0" w:color="000000"/>
              <w:right w:val="single" w:sz="2" w:space="0" w:color="000000"/>
            </w:tcBorders>
          </w:tcPr>
          <w:p w14:paraId="3C3C684F"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747A831A" w14:textId="77777777" w:rsidR="00053D93" w:rsidRDefault="00260B75">
            <w:pPr>
              <w:ind w:left="22"/>
            </w:pPr>
            <w:r>
              <w:rPr>
                <w:rFonts w:ascii="Malgan Gothic" w:eastAsia="Malgan Gothic" w:hAnsi="Malgan Gothic" w:cs="Malgan Gothic"/>
                <w:sz w:val="16"/>
              </w:rPr>
              <w:t>E549135146</w:t>
            </w:r>
          </w:p>
        </w:tc>
        <w:tc>
          <w:tcPr>
            <w:tcW w:w="1587" w:type="dxa"/>
            <w:tcBorders>
              <w:top w:val="single" w:sz="2" w:space="0" w:color="000000"/>
              <w:left w:val="single" w:sz="2" w:space="0" w:color="000000"/>
              <w:bottom w:val="single" w:sz="2" w:space="0" w:color="000000"/>
              <w:right w:val="single" w:sz="2" w:space="0" w:color="000000"/>
            </w:tcBorders>
          </w:tcPr>
          <w:p w14:paraId="1B046593" w14:textId="77777777" w:rsidR="00053D93" w:rsidRDefault="00260B75">
            <w:pPr>
              <w:ind w:right="21"/>
              <w:jc w:val="center"/>
            </w:pPr>
            <w:r>
              <w:rPr>
                <w:rFonts w:ascii="Malgan Gothic" w:eastAsia="Malgan Gothic" w:hAnsi="Malgan Gothic" w:cs="Malgan Gothic"/>
                <w:sz w:val="16"/>
              </w:rPr>
              <w:t>2024-22215</w:t>
            </w:r>
          </w:p>
        </w:tc>
        <w:tc>
          <w:tcPr>
            <w:tcW w:w="1584" w:type="dxa"/>
            <w:tcBorders>
              <w:top w:val="single" w:sz="2" w:space="0" w:color="000000"/>
              <w:left w:val="single" w:sz="2" w:space="0" w:color="000000"/>
              <w:bottom w:val="single" w:sz="2" w:space="0" w:color="000000"/>
              <w:right w:val="single" w:sz="2" w:space="0" w:color="000000"/>
            </w:tcBorders>
          </w:tcPr>
          <w:p w14:paraId="12B965E3" w14:textId="77777777" w:rsidR="00053D93" w:rsidRDefault="00260B75">
            <w:pPr>
              <w:ind w:right="16"/>
              <w:jc w:val="center"/>
            </w:pPr>
            <w:r>
              <w:rPr>
                <w:rFonts w:ascii="Malgan Gothic" w:eastAsia="Malgan Gothic" w:hAnsi="Malgan Gothic" w:cs="Malgan Gothic"/>
                <w:sz w:val="16"/>
              </w:rPr>
              <w:t>20/09/2024</w:t>
            </w:r>
          </w:p>
        </w:tc>
        <w:tc>
          <w:tcPr>
            <w:tcW w:w="1915" w:type="dxa"/>
            <w:tcBorders>
              <w:top w:val="single" w:sz="2" w:space="0" w:color="000000"/>
              <w:left w:val="single" w:sz="2" w:space="0" w:color="000000"/>
              <w:bottom w:val="single" w:sz="2" w:space="0" w:color="000000"/>
              <w:right w:val="single" w:sz="2" w:space="0" w:color="000000"/>
            </w:tcBorders>
          </w:tcPr>
          <w:p w14:paraId="6D8672C1" w14:textId="77777777" w:rsidR="00053D93" w:rsidRDefault="00260B75">
            <w:pPr>
              <w:ind w:right="9"/>
              <w:jc w:val="center"/>
            </w:pPr>
            <w:r>
              <w:rPr>
                <w:rFonts w:ascii="Malgan Gothic" w:eastAsia="Malgan Gothic" w:hAnsi="Malgan Gothic" w:cs="Malgan Gothic"/>
                <w:sz w:val="14"/>
              </w:rPr>
              <w:t>1 5/10/2024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59ED4648" w14:textId="77777777" w:rsidR="00053D93" w:rsidRDefault="00260B75">
            <w:pPr>
              <w:ind w:right="50"/>
              <w:jc w:val="right"/>
            </w:pPr>
            <w:r>
              <w:rPr>
                <w:rFonts w:ascii="Malgan Gothic" w:eastAsia="Malgan Gothic" w:hAnsi="Malgan Gothic" w:cs="Malgan Gothic"/>
                <w:sz w:val="14"/>
              </w:rPr>
              <w:t>270.00</w:t>
            </w:r>
          </w:p>
        </w:tc>
      </w:tr>
      <w:tr w:rsidR="00053D93" w14:paraId="0253D0ED" w14:textId="77777777">
        <w:trPr>
          <w:trHeight w:val="530"/>
        </w:trPr>
        <w:tc>
          <w:tcPr>
            <w:tcW w:w="613" w:type="dxa"/>
            <w:gridSpan w:val="2"/>
            <w:tcBorders>
              <w:top w:val="single" w:sz="2" w:space="0" w:color="000000"/>
              <w:left w:val="single" w:sz="2" w:space="0" w:color="000000"/>
              <w:bottom w:val="single" w:sz="2" w:space="0" w:color="000000"/>
              <w:right w:val="single" w:sz="2" w:space="0" w:color="000000"/>
            </w:tcBorders>
          </w:tcPr>
          <w:p w14:paraId="767C7ABD" w14:textId="77777777" w:rsidR="00053D93" w:rsidRDefault="00260B75">
            <w:pPr>
              <w:ind w:left="23"/>
            </w:pPr>
            <w:r>
              <w:rPr>
                <w:rFonts w:ascii="Malgan Gothic" w:eastAsia="Malgan Gothic" w:hAnsi="Malgan Gothic" w:cs="Malgan Gothic"/>
                <w:sz w:val="14"/>
              </w:rPr>
              <w:t>91</w:t>
            </w:r>
          </w:p>
        </w:tc>
        <w:tc>
          <w:tcPr>
            <w:tcW w:w="1235" w:type="dxa"/>
            <w:tcBorders>
              <w:top w:val="single" w:sz="2" w:space="0" w:color="000000"/>
              <w:left w:val="single" w:sz="2" w:space="0" w:color="000000"/>
              <w:bottom w:val="single" w:sz="2" w:space="0" w:color="000000"/>
              <w:right w:val="single" w:sz="2" w:space="0" w:color="000000"/>
            </w:tcBorders>
          </w:tcPr>
          <w:p w14:paraId="207D91AF" w14:textId="77777777" w:rsidR="00053D93" w:rsidRDefault="00260B75">
            <w:pPr>
              <w:ind w:left="14"/>
            </w:pPr>
            <w:r>
              <w:rPr>
                <w:rFonts w:ascii="Malgan Gothic" w:eastAsia="Malgan Gothic" w:hAnsi="Malgan Gothic" w:cs="Malgan Gothic"/>
                <w:sz w:val="16"/>
              </w:rPr>
              <w:t>E549404457</w:t>
            </w:r>
          </w:p>
        </w:tc>
        <w:tc>
          <w:tcPr>
            <w:tcW w:w="1587" w:type="dxa"/>
            <w:tcBorders>
              <w:top w:val="single" w:sz="2" w:space="0" w:color="000000"/>
              <w:left w:val="single" w:sz="2" w:space="0" w:color="000000"/>
              <w:bottom w:val="single" w:sz="2" w:space="0" w:color="000000"/>
              <w:right w:val="single" w:sz="2" w:space="0" w:color="000000"/>
            </w:tcBorders>
          </w:tcPr>
          <w:p w14:paraId="0C4AA525" w14:textId="77777777" w:rsidR="00053D93" w:rsidRDefault="00260B75">
            <w:pPr>
              <w:ind w:right="49"/>
              <w:jc w:val="center"/>
            </w:pPr>
            <w:r>
              <w:rPr>
                <w:rFonts w:ascii="Malgan Gothic" w:eastAsia="Malgan Gothic" w:hAnsi="Malgan Gothic" w:cs="Malgan Gothic"/>
                <w:sz w:val="14"/>
              </w:rPr>
              <w:t>2024-22581</w:t>
            </w:r>
          </w:p>
        </w:tc>
        <w:tc>
          <w:tcPr>
            <w:tcW w:w="1584" w:type="dxa"/>
            <w:tcBorders>
              <w:top w:val="single" w:sz="2" w:space="0" w:color="000000"/>
              <w:left w:val="single" w:sz="2" w:space="0" w:color="000000"/>
              <w:bottom w:val="single" w:sz="2" w:space="0" w:color="000000"/>
              <w:right w:val="single" w:sz="2" w:space="0" w:color="000000"/>
            </w:tcBorders>
          </w:tcPr>
          <w:p w14:paraId="26AE2342" w14:textId="77777777" w:rsidR="00053D93" w:rsidRDefault="00260B75">
            <w:pPr>
              <w:ind w:right="23"/>
              <w:jc w:val="center"/>
            </w:pPr>
            <w:r>
              <w:rPr>
                <w:rFonts w:ascii="Malgan Gothic" w:eastAsia="Malgan Gothic" w:hAnsi="Malgan Gothic" w:cs="Malgan Gothic"/>
                <w:sz w:val="14"/>
              </w:rPr>
              <w:t>25/09/2024</w:t>
            </w:r>
          </w:p>
        </w:tc>
        <w:tc>
          <w:tcPr>
            <w:tcW w:w="1915" w:type="dxa"/>
            <w:tcBorders>
              <w:top w:val="single" w:sz="2" w:space="0" w:color="000000"/>
              <w:left w:val="single" w:sz="2" w:space="0" w:color="000000"/>
              <w:bottom w:val="single" w:sz="2" w:space="0" w:color="000000"/>
              <w:right w:val="single" w:sz="2" w:space="0" w:color="000000"/>
            </w:tcBorders>
          </w:tcPr>
          <w:p w14:paraId="018B51E7" w14:textId="77777777" w:rsidR="00053D93" w:rsidRDefault="00260B75">
            <w:pPr>
              <w:ind w:right="23"/>
              <w:jc w:val="center"/>
            </w:pPr>
            <w:r>
              <w:rPr>
                <w:rFonts w:ascii="Malgan Gothic" w:eastAsia="Malgan Gothic" w:hAnsi="Malgan Gothic" w:cs="Malgan Gothic"/>
                <w:sz w:val="16"/>
              </w:rPr>
              <w:t>7/1 0/2024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58D1C3DD" w14:textId="77777777" w:rsidR="00053D93" w:rsidRDefault="00260B75">
            <w:pPr>
              <w:ind w:left="454"/>
            </w:pPr>
            <w:r>
              <w:rPr>
                <w:rFonts w:ascii="Malgan Gothic" w:eastAsia="Malgan Gothic" w:hAnsi="Malgan Gothic" w:cs="Malgan Gothic"/>
                <w:sz w:val="16"/>
              </w:rPr>
              <w:t>4,760.00</w:t>
            </w:r>
          </w:p>
        </w:tc>
      </w:tr>
      <w:tr w:rsidR="00053D93" w14:paraId="237C5F2D" w14:textId="77777777">
        <w:trPr>
          <w:trHeight w:val="518"/>
        </w:trPr>
        <w:tc>
          <w:tcPr>
            <w:tcW w:w="613" w:type="dxa"/>
            <w:gridSpan w:val="2"/>
            <w:tcBorders>
              <w:top w:val="single" w:sz="2" w:space="0" w:color="000000"/>
              <w:left w:val="single" w:sz="2" w:space="0" w:color="000000"/>
              <w:bottom w:val="single" w:sz="2" w:space="0" w:color="000000"/>
              <w:right w:val="single" w:sz="2" w:space="0" w:color="000000"/>
            </w:tcBorders>
          </w:tcPr>
          <w:p w14:paraId="6482D8A8" w14:textId="77777777" w:rsidR="00053D93" w:rsidRDefault="00260B75">
            <w:pPr>
              <w:ind w:left="15"/>
            </w:pPr>
            <w:r>
              <w:rPr>
                <w:noProof/>
              </w:rPr>
              <w:drawing>
                <wp:inline distT="0" distB="0" distL="0" distR="0" wp14:anchorId="03C374FC" wp14:editId="7C6B9241">
                  <wp:extent cx="4572" cy="22860"/>
                  <wp:effectExtent l="0" t="0" r="0" b="0"/>
                  <wp:docPr id="1418601" name="Picture 1418601"/>
                  <wp:cNvGraphicFramePr/>
                  <a:graphic xmlns:a="http://schemas.openxmlformats.org/drawingml/2006/main">
                    <a:graphicData uri="http://schemas.openxmlformats.org/drawingml/2006/picture">
                      <pic:pic xmlns:pic="http://schemas.openxmlformats.org/drawingml/2006/picture">
                        <pic:nvPicPr>
                          <pic:cNvPr id="1418601" name="Picture 1418601"/>
                          <pic:cNvPicPr/>
                        </pic:nvPicPr>
                        <pic:blipFill>
                          <a:blip r:embed="rId808"/>
                          <a:stretch>
                            <a:fillRect/>
                          </a:stretch>
                        </pic:blipFill>
                        <pic:spPr>
                          <a:xfrm>
                            <a:off x="0" y="0"/>
                            <a:ext cx="4572" cy="22860"/>
                          </a:xfrm>
                          <a:prstGeom prst="rect">
                            <a:avLst/>
                          </a:prstGeom>
                        </pic:spPr>
                      </pic:pic>
                    </a:graphicData>
                  </a:graphic>
                </wp:inline>
              </w:drawing>
            </w:r>
          </w:p>
        </w:tc>
        <w:tc>
          <w:tcPr>
            <w:tcW w:w="1235" w:type="dxa"/>
            <w:tcBorders>
              <w:top w:val="single" w:sz="2" w:space="0" w:color="000000"/>
              <w:left w:val="single" w:sz="2" w:space="0" w:color="000000"/>
              <w:bottom w:val="single" w:sz="2" w:space="0" w:color="000000"/>
              <w:right w:val="single" w:sz="2" w:space="0" w:color="000000"/>
            </w:tcBorders>
          </w:tcPr>
          <w:p w14:paraId="0ABE8698" w14:textId="77777777" w:rsidR="00053D93" w:rsidRDefault="00260B75">
            <w:pPr>
              <w:ind w:left="7"/>
            </w:pPr>
            <w:r>
              <w:rPr>
                <w:rFonts w:ascii="Malgan Gothic" w:eastAsia="Malgan Gothic" w:hAnsi="Malgan Gothic" w:cs="Malgan Gothic"/>
                <w:sz w:val="16"/>
              </w:rPr>
              <w:t>E549406018</w:t>
            </w:r>
          </w:p>
        </w:tc>
        <w:tc>
          <w:tcPr>
            <w:tcW w:w="1587" w:type="dxa"/>
            <w:tcBorders>
              <w:top w:val="single" w:sz="2" w:space="0" w:color="000000"/>
              <w:left w:val="single" w:sz="2" w:space="0" w:color="000000"/>
              <w:bottom w:val="single" w:sz="2" w:space="0" w:color="000000"/>
              <w:right w:val="single" w:sz="2" w:space="0" w:color="000000"/>
            </w:tcBorders>
          </w:tcPr>
          <w:p w14:paraId="4A3E2C5E" w14:textId="77777777" w:rsidR="00053D93" w:rsidRDefault="00260B75">
            <w:pPr>
              <w:ind w:right="35"/>
              <w:jc w:val="center"/>
            </w:pPr>
            <w:r>
              <w:rPr>
                <w:rFonts w:ascii="Malgan Gothic" w:eastAsia="Malgan Gothic" w:hAnsi="Malgan Gothic" w:cs="Malgan Gothic"/>
                <w:sz w:val="14"/>
              </w:rPr>
              <w:t>2024-22252</w:t>
            </w:r>
          </w:p>
        </w:tc>
        <w:tc>
          <w:tcPr>
            <w:tcW w:w="1584" w:type="dxa"/>
            <w:tcBorders>
              <w:top w:val="single" w:sz="2" w:space="0" w:color="000000"/>
              <w:left w:val="single" w:sz="2" w:space="0" w:color="000000"/>
              <w:bottom w:val="single" w:sz="2" w:space="0" w:color="000000"/>
              <w:right w:val="single" w:sz="2" w:space="0" w:color="000000"/>
            </w:tcBorders>
          </w:tcPr>
          <w:p w14:paraId="4E38E000" w14:textId="77777777" w:rsidR="00053D93" w:rsidRDefault="00260B75">
            <w:pPr>
              <w:ind w:right="23"/>
              <w:jc w:val="center"/>
            </w:pPr>
            <w:r>
              <w:rPr>
                <w:rFonts w:ascii="Malgan Gothic" w:eastAsia="Malgan Gothic" w:hAnsi="Malgan Gothic" w:cs="Malgan Gothic"/>
                <w:sz w:val="14"/>
              </w:rPr>
              <w:t>12109/2024</w:t>
            </w:r>
          </w:p>
        </w:tc>
        <w:tc>
          <w:tcPr>
            <w:tcW w:w="1915" w:type="dxa"/>
            <w:tcBorders>
              <w:top w:val="single" w:sz="2" w:space="0" w:color="000000"/>
              <w:left w:val="single" w:sz="2" w:space="0" w:color="000000"/>
              <w:bottom w:val="single" w:sz="2" w:space="0" w:color="000000"/>
              <w:right w:val="single" w:sz="2" w:space="0" w:color="000000"/>
            </w:tcBorders>
          </w:tcPr>
          <w:p w14:paraId="76F62F45" w14:textId="77777777" w:rsidR="00053D93" w:rsidRDefault="00260B75">
            <w:pPr>
              <w:ind w:right="31"/>
              <w:jc w:val="center"/>
            </w:pPr>
            <w:r>
              <w:rPr>
                <w:rFonts w:ascii="Malgan Gothic" w:eastAsia="Malgan Gothic" w:hAnsi="Malgan Gothic" w:cs="Malgan Gothic"/>
                <w:sz w:val="14"/>
              </w:rPr>
              <w:t>7/10/2024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5D807103" w14:textId="77777777" w:rsidR="00053D93" w:rsidRDefault="00260B75">
            <w:pPr>
              <w:ind w:left="462"/>
            </w:pPr>
            <w:r>
              <w:rPr>
                <w:rFonts w:ascii="Malgan Gothic" w:eastAsia="Malgan Gothic" w:hAnsi="Malgan Gothic" w:cs="Malgan Gothic"/>
                <w:sz w:val="16"/>
              </w:rPr>
              <w:t>3,950.00</w:t>
            </w:r>
          </w:p>
        </w:tc>
      </w:tr>
      <w:tr w:rsidR="00053D93" w14:paraId="44D0FFC9"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755C0814" w14:textId="77777777" w:rsidR="00053D93" w:rsidRDefault="00260B75">
            <w:pPr>
              <w:ind w:left="15"/>
            </w:pPr>
            <w:r>
              <w:rPr>
                <w:rFonts w:ascii="Malgan Gothic" w:eastAsia="Malgan Gothic" w:hAnsi="Malgan Gothic" w:cs="Malgan Gothic"/>
                <w:sz w:val="14"/>
              </w:rPr>
              <w:t>93</w:t>
            </w:r>
          </w:p>
        </w:tc>
        <w:tc>
          <w:tcPr>
            <w:tcW w:w="1235" w:type="dxa"/>
            <w:tcBorders>
              <w:top w:val="single" w:sz="2" w:space="0" w:color="000000"/>
              <w:left w:val="single" w:sz="2" w:space="0" w:color="000000"/>
              <w:bottom w:val="single" w:sz="2" w:space="0" w:color="000000"/>
              <w:right w:val="single" w:sz="2" w:space="0" w:color="000000"/>
            </w:tcBorders>
          </w:tcPr>
          <w:p w14:paraId="66AED316" w14:textId="77777777" w:rsidR="00053D93" w:rsidRDefault="00260B75">
            <w:pPr>
              <w:ind w:left="7"/>
            </w:pPr>
            <w:r>
              <w:rPr>
                <w:rFonts w:ascii="Malgan Gothic" w:eastAsia="Malgan Gothic" w:hAnsi="Malgan Gothic" w:cs="Malgan Gothic"/>
                <w:sz w:val="16"/>
              </w:rPr>
              <w:t>E549935509</w:t>
            </w:r>
          </w:p>
        </w:tc>
        <w:tc>
          <w:tcPr>
            <w:tcW w:w="1587" w:type="dxa"/>
            <w:tcBorders>
              <w:top w:val="single" w:sz="2" w:space="0" w:color="000000"/>
              <w:left w:val="single" w:sz="2" w:space="0" w:color="000000"/>
              <w:bottom w:val="single" w:sz="2" w:space="0" w:color="000000"/>
              <w:right w:val="single" w:sz="2" w:space="0" w:color="000000"/>
            </w:tcBorders>
          </w:tcPr>
          <w:p w14:paraId="5BE4DB84" w14:textId="77777777" w:rsidR="00053D93" w:rsidRDefault="00260B75">
            <w:pPr>
              <w:ind w:right="42"/>
              <w:jc w:val="center"/>
            </w:pPr>
            <w:r>
              <w:rPr>
                <w:rFonts w:ascii="Malgan Gothic" w:eastAsia="Malgan Gothic" w:hAnsi="Malgan Gothic" w:cs="Malgan Gothic"/>
                <w:sz w:val="14"/>
              </w:rPr>
              <w:t>2024-21956</w:t>
            </w:r>
          </w:p>
        </w:tc>
        <w:tc>
          <w:tcPr>
            <w:tcW w:w="1584" w:type="dxa"/>
            <w:tcBorders>
              <w:top w:val="single" w:sz="2" w:space="0" w:color="000000"/>
              <w:left w:val="single" w:sz="2" w:space="0" w:color="000000"/>
              <w:bottom w:val="single" w:sz="2" w:space="0" w:color="000000"/>
              <w:right w:val="single" w:sz="2" w:space="0" w:color="000000"/>
            </w:tcBorders>
          </w:tcPr>
          <w:p w14:paraId="75C63FB3" w14:textId="77777777" w:rsidR="00053D93" w:rsidRDefault="00260B75">
            <w:pPr>
              <w:ind w:right="31"/>
              <w:jc w:val="center"/>
            </w:pPr>
            <w:r>
              <w:rPr>
                <w:rFonts w:ascii="Malgan Gothic" w:eastAsia="Malgan Gothic" w:hAnsi="Malgan Gothic" w:cs="Malgan Gothic"/>
                <w:sz w:val="16"/>
              </w:rPr>
              <w:t>20/09/2024</w:t>
            </w:r>
          </w:p>
        </w:tc>
        <w:tc>
          <w:tcPr>
            <w:tcW w:w="1915" w:type="dxa"/>
            <w:tcBorders>
              <w:top w:val="single" w:sz="2" w:space="0" w:color="000000"/>
              <w:left w:val="single" w:sz="2" w:space="0" w:color="000000"/>
              <w:bottom w:val="single" w:sz="2" w:space="0" w:color="000000"/>
              <w:right w:val="single" w:sz="2" w:space="0" w:color="000000"/>
            </w:tcBorders>
          </w:tcPr>
          <w:p w14:paraId="5186B3AE" w14:textId="77777777" w:rsidR="00053D93" w:rsidRDefault="00260B75">
            <w:pPr>
              <w:ind w:right="23"/>
              <w:jc w:val="center"/>
            </w:pPr>
            <w:r>
              <w:rPr>
                <w:rFonts w:ascii="Malgan Gothic" w:eastAsia="Malgan Gothic" w:hAnsi="Malgan Gothic" w:cs="Malgan Gothic"/>
                <w:sz w:val="16"/>
              </w:rPr>
              <w:t>1 5/10/2024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37A80B94" w14:textId="77777777" w:rsidR="00053D93" w:rsidRDefault="00260B75">
            <w:pPr>
              <w:ind w:left="346"/>
            </w:pPr>
            <w:r>
              <w:rPr>
                <w:rFonts w:ascii="Malgan Gothic" w:eastAsia="Malgan Gothic" w:hAnsi="Malgan Gothic" w:cs="Malgan Gothic"/>
                <w:sz w:val="18"/>
              </w:rPr>
              <w:t>22,440.00</w:t>
            </w:r>
          </w:p>
        </w:tc>
      </w:tr>
      <w:tr w:rsidR="00053D93" w14:paraId="75596551" w14:textId="77777777">
        <w:trPr>
          <w:trHeight w:val="533"/>
        </w:trPr>
        <w:tc>
          <w:tcPr>
            <w:tcW w:w="613" w:type="dxa"/>
            <w:gridSpan w:val="2"/>
            <w:tcBorders>
              <w:top w:val="single" w:sz="2" w:space="0" w:color="000000"/>
              <w:left w:val="single" w:sz="2" w:space="0" w:color="000000"/>
              <w:bottom w:val="single" w:sz="2" w:space="0" w:color="000000"/>
              <w:right w:val="single" w:sz="2" w:space="0" w:color="000000"/>
            </w:tcBorders>
          </w:tcPr>
          <w:p w14:paraId="20F1A5C0" w14:textId="77777777" w:rsidR="00053D93" w:rsidRDefault="00260B75">
            <w:pPr>
              <w:ind w:left="8"/>
            </w:pPr>
            <w:r>
              <w:rPr>
                <w:rFonts w:ascii="Malgan Gothic" w:eastAsia="Malgan Gothic" w:hAnsi="Malgan Gothic" w:cs="Malgan Gothic"/>
                <w:sz w:val="14"/>
              </w:rPr>
              <w:t>94</w:t>
            </w:r>
          </w:p>
        </w:tc>
        <w:tc>
          <w:tcPr>
            <w:tcW w:w="1235" w:type="dxa"/>
            <w:tcBorders>
              <w:top w:val="single" w:sz="2" w:space="0" w:color="000000"/>
              <w:left w:val="single" w:sz="2" w:space="0" w:color="000000"/>
              <w:bottom w:val="single" w:sz="2" w:space="0" w:color="000000"/>
              <w:right w:val="single" w:sz="2" w:space="0" w:color="000000"/>
            </w:tcBorders>
          </w:tcPr>
          <w:p w14:paraId="71708785" w14:textId="77777777" w:rsidR="00053D93" w:rsidRDefault="00260B75">
            <w:r>
              <w:rPr>
                <w:rFonts w:ascii="Malgan Gothic" w:eastAsia="Malgan Gothic" w:hAnsi="Malgan Gothic" w:cs="Malgan Gothic"/>
                <w:sz w:val="16"/>
              </w:rPr>
              <w:t>E549978690</w:t>
            </w:r>
          </w:p>
        </w:tc>
        <w:tc>
          <w:tcPr>
            <w:tcW w:w="1587" w:type="dxa"/>
            <w:tcBorders>
              <w:top w:val="single" w:sz="2" w:space="0" w:color="000000"/>
              <w:left w:val="single" w:sz="2" w:space="0" w:color="000000"/>
              <w:bottom w:val="single" w:sz="2" w:space="0" w:color="000000"/>
              <w:right w:val="single" w:sz="2" w:space="0" w:color="000000"/>
            </w:tcBorders>
          </w:tcPr>
          <w:p w14:paraId="050BF22E" w14:textId="77777777" w:rsidR="00053D93" w:rsidRDefault="00260B75">
            <w:pPr>
              <w:ind w:right="49"/>
              <w:jc w:val="center"/>
            </w:pPr>
            <w:r>
              <w:rPr>
                <w:rFonts w:ascii="Malgan Gothic" w:eastAsia="Malgan Gothic" w:hAnsi="Malgan Gothic" w:cs="Malgan Gothic"/>
                <w:sz w:val="16"/>
              </w:rPr>
              <w:t>2024-22193</w:t>
            </w:r>
          </w:p>
        </w:tc>
        <w:tc>
          <w:tcPr>
            <w:tcW w:w="1584" w:type="dxa"/>
            <w:tcBorders>
              <w:top w:val="single" w:sz="2" w:space="0" w:color="000000"/>
              <w:left w:val="single" w:sz="2" w:space="0" w:color="000000"/>
              <w:bottom w:val="single" w:sz="2" w:space="0" w:color="000000"/>
              <w:right w:val="single" w:sz="2" w:space="0" w:color="000000"/>
            </w:tcBorders>
          </w:tcPr>
          <w:p w14:paraId="365681BD" w14:textId="77777777" w:rsidR="00053D93" w:rsidRDefault="00260B75">
            <w:pPr>
              <w:ind w:right="38"/>
              <w:jc w:val="center"/>
            </w:pPr>
            <w:r>
              <w:rPr>
                <w:rFonts w:ascii="Malgan Gothic" w:eastAsia="Malgan Gothic" w:hAnsi="Malgan Gothic" w:cs="Malgan Gothic"/>
                <w:sz w:val="16"/>
              </w:rPr>
              <w:t>3/09/2024</w:t>
            </w:r>
          </w:p>
        </w:tc>
        <w:tc>
          <w:tcPr>
            <w:tcW w:w="1915" w:type="dxa"/>
            <w:tcBorders>
              <w:top w:val="single" w:sz="2" w:space="0" w:color="000000"/>
              <w:left w:val="single" w:sz="2" w:space="0" w:color="000000"/>
              <w:bottom w:val="single" w:sz="2" w:space="0" w:color="000000"/>
              <w:right w:val="single" w:sz="2" w:space="0" w:color="000000"/>
            </w:tcBorders>
          </w:tcPr>
          <w:p w14:paraId="2FBBFDE3" w14:textId="77777777" w:rsidR="00053D93" w:rsidRDefault="00260B75">
            <w:pPr>
              <w:ind w:right="31"/>
              <w:jc w:val="center"/>
            </w:pPr>
            <w:r>
              <w:rPr>
                <w:rFonts w:ascii="Malgan Gothic" w:eastAsia="Malgan Gothic" w:hAnsi="Malgan Gothic" w:cs="Malgan Gothic"/>
                <w:sz w:val="16"/>
              </w:rPr>
              <w:t>16/10/2024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5A07B937" w14:textId="77777777" w:rsidR="00053D93" w:rsidRDefault="00260B75">
            <w:pPr>
              <w:ind w:left="447"/>
            </w:pPr>
            <w:r>
              <w:rPr>
                <w:rFonts w:ascii="Malgan Gothic" w:eastAsia="Malgan Gothic" w:hAnsi="Malgan Gothic" w:cs="Malgan Gothic"/>
                <w:sz w:val="18"/>
              </w:rPr>
              <w:t>4,891.56</w:t>
            </w:r>
          </w:p>
        </w:tc>
      </w:tr>
      <w:tr w:rsidR="00053D93" w14:paraId="6869AB8F" w14:textId="77777777">
        <w:trPr>
          <w:trHeight w:val="540"/>
        </w:trPr>
        <w:tc>
          <w:tcPr>
            <w:tcW w:w="299" w:type="dxa"/>
            <w:vMerge w:val="restart"/>
            <w:tcBorders>
              <w:top w:val="single" w:sz="2" w:space="0" w:color="000000"/>
              <w:left w:val="single" w:sz="2" w:space="0" w:color="000000"/>
              <w:bottom w:val="nil"/>
              <w:right w:val="nil"/>
            </w:tcBorders>
          </w:tcPr>
          <w:p w14:paraId="0190DBAD" w14:textId="77777777" w:rsidR="00053D93" w:rsidRDefault="00260B75">
            <w:pPr>
              <w:ind w:left="8"/>
            </w:pPr>
            <w:r>
              <w:rPr>
                <w:noProof/>
              </w:rPr>
              <w:drawing>
                <wp:inline distT="0" distB="0" distL="0" distR="0" wp14:anchorId="45D6B5FC" wp14:editId="59104D73">
                  <wp:extent cx="59436" cy="489204"/>
                  <wp:effectExtent l="0" t="0" r="0" b="0"/>
                  <wp:docPr id="2459057" name="Picture 2459057"/>
                  <wp:cNvGraphicFramePr/>
                  <a:graphic xmlns:a="http://schemas.openxmlformats.org/drawingml/2006/main">
                    <a:graphicData uri="http://schemas.openxmlformats.org/drawingml/2006/picture">
                      <pic:pic xmlns:pic="http://schemas.openxmlformats.org/drawingml/2006/picture">
                        <pic:nvPicPr>
                          <pic:cNvPr id="2459057" name="Picture 2459057"/>
                          <pic:cNvPicPr/>
                        </pic:nvPicPr>
                        <pic:blipFill>
                          <a:blip r:embed="rId1847"/>
                          <a:stretch>
                            <a:fillRect/>
                          </a:stretch>
                        </pic:blipFill>
                        <pic:spPr>
                          <a:xfrm>
                            <a:off x="0" y="0"/>
                            <a:ext cx="59436" cy="489204"/>
                          </a:xfrm>
                          <a:prstGeom prst="rect">
                            <a:avLst/>
                          </a:prstGeom>
                        </pic:spPr>
                      </pic:pic>
                    </a:graphicData>
                  </a:graphic>
                </wp:inline>
              </w:drawing>
            </w:r>
          </w:p>
        </w:tc>
        <w:tc>
          <w:tcPr>
            <w:tcW w:w="314" w:type="dxa"/>
            <w:vMerge w:val="restart"/>
            <w:tcBorders>
              <w:top w:val="single" w:sz="2" w:space="0" w:color="000000"/>
              <w:left w:val="nil"/>
              <w:bottom w:val="nil"/>
              <w:right w:val="single" w:sz="2" w:space="0" w:color="000000"/>
            </w:tcBorders>
          </w:tcPr>
          <w:p w14:paraId="2D482A14" w14:textId="77777777" w:rsidR="00053D93" w:rsidRDefault="00053D93"/>
        </w:tc>
        <w:tc>
          <w:tcPr>
            <w:tcW w:w="1235" w:type="dxa"/>
            <w:tcBorders>
              <w:top w:val="single" w:sz="2" w:space="0" w:color="000000"/>
              <w:left w:val="single" w:sz="2" w:space="0" w:color="000000"/>
              <w:bottom w:val="single" w:sz="2" w:space="0" w:color="000000"/>
              <w:right w:val="single" w:sz="2" w:space="0" w:color="000000"/>
            </w:tcBorders>
          </w:tcPr>
          <w:p w14:paraId="44831DE1" w14:textId="77777777" w:rsidR="00053D93" w:rsidRDefault="00260B75">
            <w:r>
              <w:rPr>
                <w:rFonts w:ascii="Malgan Gothic" w:eastAsia="Malgan Gothic" w:hAnsi="Malgan Gothic" w:cs="Malgan Gothic"/>
                <w:sz w:val="16"/>
              </w:rPr>
              <w:t>E550200797</w:t>
            </w:r>
          </w:p>
        </w:tc>
        <w:tc>
          <w:tcPr>
            <w:tcW w:w="1587" w:type="dxa"/>
            <w:tcBorders>
              <w:top w:val="single" w:sz="2" w:space="0" w:color="000000"/>
              <w:left w:val="single" w:sz="2" w:space="0" w:color="000000"/>
              <w:bottom w:val="single" w:sz="2" w:space="0" w:color="000000"/>
              <w:right w:val="single" w:sz="2" w:space="0" w:color="000000"/>
            </w:tcBorders>
          </w:tcPr>
          <w:p w14:paraId="751E1332" w14:textId="77777777" w:rsidR="00053D93" w:rsidRDefault="00260B75">
            <w:pPr>
              <w:ind w:right="49"/>
              <w:jc w:val="center"/>
            </w:pPr>
            <w:r>
              <w:rPr>
                <w:rFonts w:ascii="Malgan Gothic" w:eastAsia="Malgan Gothic" w:hAnsi="Malgan Gothic" w:cs="Malgan Gothic"/>
                <w:sz w:val="14"/>
              </w:rPr>
              <w:t>2024-20774</w:t>
            </w:r>
          </w:p>
        </w:tc>
        <w:tc>
          <w:tcPr>
            <w:tcW w:w="1584" w:type="dxa"/>
            <w:tcBorders>
              <w:top w:val="single" w:sz="2" w:space="0" w:color="000000"/>
              <w:left w:val="single" w:sz="2" w:space="0" w:color="000000"/>
              <w:bottom w:val="single" w:sz="2" w:space="0" w:color="000000"/>
              <w:right w:val="single" w:sz="2" w:space="0" w:color="000000"/>
            </w:tcBorders>
          </w:tcPr>
          <w:p w14:paraId="1DD34E37" w14:textId="77777777" w:rsidR="00053D93" w:rsidRDefault="00260B75">
            <w:pPr>
              <w:ind w:right="38"/>
              <w:jc w:val="center"/>
            </w:pPr>
            <w:r>
              <w:rPr>
                <w:rFonts w:ascii="Malgan Gothic" w:eastAsia="Malgan Gothic" w:hAnsi="Malgan Gothic" w:cs="Malgan Gothic"/>
                <w:sz w:val="14"/>
              </w:rPr>
              <w:t>30/08/2024</w:t>
            </w:r>
          </w:p>
        </w:tc>
        <w:tc>
          <w:tcPr>
            <w:tcW w:w="1915" w:type="dxa"/>
            <w:tcBorders>
              <w:top w:val="single" w:sz="2" w:space="0" w:color="000000"/>
              <w:left w:val="single" w:sz="2" w:space="0" w:color="000000"/>
              <w:bottom w:val="single" w:sz="2" w:space="0" w:color="000000"/>
              <w:right w:val="single" w:sz="2" w:space="0" w:color="000000"/>
            </w:tcBorders>
          </w:tcPr>
          <w:p w14:paraId="4E6C60EE" w14:textId="77777777" w:rsidR="00053D93" w:rsidRDefault="00260B75">
            <w:pPr>
              <w:ind w:right="31"/>
              <w:jc w:val="center"/>
            </w:pPr>
            <w:r>
              <w:rPr>
                <w:rFonts w:ascii="Malgan Gothic" w:eastAsia="Malgan Gothic" w:hAnsi="Malgan Gothic" w:cs="Malgan Gothic"/>
                <w:sz w:val="14"/>
              </w:rPr>
              <w:t>18/1 0/2024</w:t>
            </w:r>
          </w:p>
        </w:tc>
        <w:tc>
          <w:tcPr>
            <w:tcW w:w="1337" w:type="dxa"/>
            <w:tcBorders>
              <w:top w:val="single" w:sz="2" w:space="0" w:color="000000"/>
              <w:left w:val="single" w:sz="2" w:space="0" w:color="000000"/>
              <w:bottom w:val="single" w:sz="2" w:space="0" w:color="000000"/>
              <w:right w:val="single" w:sz="2" w:space="0" w:color="000000"/>
            </w:tcBorders>
            <w:vAlign w:val="bottom"/>
          </w:tcPr>
          <w:p w14:paraId="2ECF7935" w14:textId="77777777" w:rsidR="00053D93" w:rsidRDefault="00260B75">
            <w:pPr>
              <w:ind w:left="339"/>
            </w:pPr>
            <w:r>
              <w:rPr>
                <w:rFonts w:ascii="Malgan Gothic" w:eastAsia="Malgan Gothic" w:hAnsi="Malgan Gothic" w:cs="Malgan Gothic"/>
                <w:sz w:val="16"/>
              </w:rPr>
              <w:t>2기100.00</w:t>
            </w:r>
          </w:p>
        </w:tc>
      </w:tr>
      <w:tr w:rsidR="00053D93" w14:paraId="7A7CA044" w14:textId="77777777">
        <w:trPr>
          <w:trHeight w:val="586"/>
        </w:trPr>
        <w:tc>
          <w:tcPr>
            <w:tcW w:w="0" w:type="auto"/>
            <w:vMerge/>
            <w:tcBorders>
              <w:top w:val="nil"/>
              <w:left w:val="single" w:sz="2" w:space="0" w:color="000000"/>
              <w:bottom w:val="nil"/>
              <w:right w:val="nil"/>
            </w:tcBorders>
          </w:tcPr>
          <w:p w14:paraId="38E78DD4" w14:textId="77777777" w:rsidR="00053D93" w:rsidRDefault="00053D93"/>
        </w:tc>
        <w:tc>
          <w:tcPr>
            <w:tcW w:w="0" w:type="auto"/>
            <w:vMerge/>
            <w:tcBorders>
              <w:top w:val="nil"/>
              <w:left w:val="nil"/>
              <w:bottom w:val="nil"/>
              <w:right w:val="single" w:sz="2" w:space="0" w:color="000000"/>
            </w:tcBorders>
          </w:tcPr>
          <w:p w14:paraId="2638C1AE" w14:textId="77777777" w:rsidR="00053D93" w:rsidRDefault="00053D93"/>
        </w:tc>
        <w:tc>
          <w:tcPr>
            <w:tcW w:w="7657" w:type="dxa"/>
            <w:gridSpan w:val="5"/>
            <w:tcBorders>
              <w:top w:val="single" w:sz="2" w:space="0" w:color="000000"/>
              <w:left w:val="single" w:sz="2" w:space="0" w:color="000000"/>
              <w:bottom w:val="nil"/>
              <w:right w:val="nil"/>
            </w:tcBorders>
          </w:tcPr>
          <w:p w14:paraId="6A6AE482" w14:textId="77777777" w:rsidR="00053D93" w:rsidRDefault="00260B75">
            <w:pPr>
              <w:spacing w:after="51"/>
              <w:ind w:right="670"/>
              <w:jc w:val="center"/>
            </w:pPr>
            <w:r>
              <w:rPr>
                <w:rFonts w:ascii="Malgan Gothic" w:eastAsia="Malgan Gothic" w:hAnsi="Malgan Gothic" w:cs="Malgan Gothic"/>
                <w:sz w:val="10"/>
              </w:rPr>
              <w:t>MINISTERIO DE EDUCACION</w:t>
            </w:r>
          </w:p>
          <w:p w14:paraId="21CD4730" w14:textId="77777777" w:rsidR="00053D93" w:rsidRDefault="00260B75">
            <w:pPr>
              <w:spacing w:after="32"/>
              <w:ind w:left="2160"/>
            </w:pPr>
            <w:r>
              <w:rPr>
                <w:rFonts w:ascii="Malgan Gothic" w:eastAsia="Malgan Gothic" w:hAnsi="Malgan Gothic" w:cs="Malgan Gothic"/>
                <w:sz w:val="10"/>
              </w:rPr>
              <w:t>AUDITORIA FINANCIERA Y DE COMPLIMIENTO</w:t>
            </w:r>
          </w:p>
          <w:p w14:paraId="5B30CEDB" w14:textId="77777777" w:rsidR="00053D93" w:rsidRDefault="00260B75">
            <w:pPr>
              <w:ind w:left="1822"/>
            </w:pPr>
            <w:r>
              <w:rPr>
                <w:rFonts w:ascii="Malgan Gothic" w:eastAsia="Malgan Gothic" w:hAnsi="Malgan Gothic" w:cs="Malgan Gothic"/>
                <w:sz w:val="10"/>
              </w:rPr>
              <w:t>PERIODO DEL 01 DE ENERO AL 31 OE OICIEMBRE OE 2024</w:t>
            </w:r>
          </w:p>
        </w:tc>
      </w:tr>
    </w:tbl>
    <w:p w14:paraId="1A1D4272" w14:textId="77777777" w:rsidR="00053D93" w:rsidRDefault="00260B75">
      <w:pPr>
        <w:spacing w:after="0"/>
        <w:ind w:left="6077"/>
      </w:pPr>
      <w:r>
        <w:rPr>
          <w:noProof/>
        </w:rPr>
        <w:drawing>
          <wp:anchor distT="0" distB="0" distL="114300" distR="114300" simplePos="0" relativeHeight="252380160" behindDoc="0" locked="0" layoutInCell="1" allowOverlap="0" wp14:anchorId="61782ADD" wp14:editId="5A114450">
            <wp:simplePos x="0" y="0"/>
            <wp:positionH relativeFrom="column">
              <wp:posOffset>-22859</wp:posOffset>
            </wp:positionH>
            <wp:positionV relativeFrom="paragraph">
              <wp:posOffset>8764524</wp:posOffset>
            </wp:positionV>
            <wp:extent cx="713232" cy="402336"/>
            <wp:effectExtent l="0" t="0" r="0" b="0"/>
            <wp:wrapSquare wrapText="bothSides"/>
            <wp:docPr id="1418711" name="Picture 1418711"/>
            <wp:cNvGraphicFramePr/>
            <a:graphic xmlns:a="http://schemas.openxmlformats.org/drawingml/2006/main">
              <a:graphicData uri="http://schemas.openxmlformats.org/drawingml/2006/picture">
                <pic:pic xmlns:pic="http://schemas.openxmlformats.org/drawingml/2006/picture">
                  <pic:nvPicPr>
                    <pic:cNvPr id="1418711" name="Picture 1418711"/>
                    <pic:cNvPicPr/>
                  </pic:nvPicPr>
                  <pic:blipFill>
                    <a:blip r:embed="rId1848"/>
                    <a:stretch>
                      <a:fillRect/>
                    </a:stretch>
                  </pic:blipFill>
                  <pic:spPr>
                    <a:xfrm>
                      <a:off x="0" y="0"/>
                      <a:ext cx="713232" cy="402336"/>
                    </a:xfrm>
                    <a:prstGeom prst="rect">
                      <a:avLst/>
                    </a:prstGeom>
                  </pic:spPr>
                </pic:pic>
              </a:graphicData>
            </a:graphic>
          </wp:anchor>
        </w:drawing>
      </w:r>
      <w:r>
        <w:rPr>
          <w:rFonts w:ascii="Malgan Gothic" w:eastAsia="Malgan Gothic" w:hAnsi="Malgan Gothic" w:cs="Malgan Gothic"/>
          <w:sz w:val="12"/>
        </w:rPr>
        <w:t xml:space="preserve">DE </w:t>
      </w:r>
    </w:p>
    <w:p w14:paraId="6F8ADF0F" w14:textId="77777777" w:rsidR="00053D93" w:rsidRDefault="00053D93">
      <w:pPr>
        <w:sectPr w:rsidR="00053D93">
          <w:headerReference w:type="even" r:id="rId1849"/>
          <w:headerReference w:type="default" r:id="rId1850"/>
          <w:footerReference w:type="even" r:id="rId1851"/>
          <w:footerReference w:type="default" r:id="rId1852"/>
          <w:headerReference w:type="first" r:id="rId1853"/>
          <w:footerReference w:type="first" r:id="rId1854"/>
          <w:pgSz w:w="12290" w:h="15883"/>
          <w:pgMar w:top="742" w:right="4990" w:bottom="720" w:left="1066" w:header="691" w:footer="720" w:gutter="0"/>
          <w:cols w:space="720"/>
          <w:titlePg/>
        </w:sectPr>
      </w:pPr>
    </w:p>
    <w:tbl>
      <w:tblPr>
        <w:tblStyle w:val="TableGrid"/>
        <w:tblpPr w:vertAnchor="text" w:tblpX="1027"/>
        <w:tblOverlap w:val="never"/>
        <w:tblW w:w="8283" w:type="dxa"/>
        <w:tblInd w:w="0" w:type="dxa"/>
        <w:tblCellMar>
          <w:top w:w="32" w:type="dxa"/>
          <w:left w:w="34" w:type="dxa"/>
          <w:bottom w:w="14" w:type="dxa"/>
        </w:tblCellMar>
        <w:tblLook w:val="04A0" w:firstRow="1" w:lastRow="0" w:firstColumn="1" w:lastColumn="0" w:noHBand="0" w:noVBand="1"/>
      </w:tblPr>
      <w:tblGrid>
        <w:gridCol w:w="338"/>
        <w:gridCol w:w="293"/>
        <w:gridCol w:w="1229"/>
        <w:gridCol w:w="1589"/>
        <w:gridCol w:w="1591"/>
        <w:gridCol w:w="1911"/>
        <w:gridCol w:w="1332"/>
      </w:tblGrid>
      <w:tr w:rsidR="00053D93" w14:paraId="18490703" w14:textId="77777777">
        <w:trPr>
          <w:trHeight w:val="540"/>
        </w:trPr>
        <w:tc>
          <w:tcPr>
            <w:tcW w:w="631" w:type="dxa"/>
            <w:gridSpan w:val="2"/>
            <w:tcBorders>
              <w:top w:val="single" w:sz="2" w:space="0" w:color="000000"/>
              <w:left w:val="single" w:sz="2" w:space="0" w:color="000000"/>
              <w:bottom w:val="single" w:sz="2" w:space="0" w:color="000000"/>
              <w:right w:val="single" w:sz="2" w:space="0" w:color="000000"/>
            </w:tcBorders>
          </w:tcPr>
          <w:p w14:paraId="3D9C45E0" w14:textId="77777777" w:rsidR="00053D93" w:rsidRDefault="00260B75">
            <w:pPr>
              <w:ind w:left="84"/>
            </w:pPr>
            <w:r>
              <w:rPr>
                <w:rFonts w:ascii="Malgan Gothic" w:eastAsia="Malgan Gothic" w:hAnsi="Malgan Gothic" w:cs="Malgan Gothic"/>
                <w:sz w:val="14"/>
              </w:rPr>
              <w:t>96</w:t>
            </w:r>
          </w:p>
        </w:tc>
        <w:tc>
          <w:tcPr>
            <w:tcW w:w="1229" w:type="dxa"/>
            <w:tcBorders>
              <w:top w:val="single" w:sz="2" w:space="0" w:color="000000"/>
              <w:left w:val="single" w:sz="2" w:space="0" w:color="000000"/>
              <w:bottom w:val="single" w:sz="2" w:space="0" w:color="000000"/>
              <w:right w:val="single" w:sz="2" w:space="0" w:color="000000"/>
            </w:tcBorders>
          </w:tcPr>
          <w:p w14:paraId="2F316CEE" w14:textId="77777777" w:rsidR="00053D93" w:rsidRDefault="00260B75">
            <w:pPr>
              <w:ind w:left="65"/>
            </w:pPr>
            <w:r>
              <w:rPr>
                <w:rFonts w:ascii="Malgan Gothic" w:eastAsia="Malgan Gothic" w:hAnsi="Malgan Gothic" w:cs="Malgan Gothic"/>
                <w:sz w:val="14"/>
              </w:rPr>
              <w:t>E550205209</w:t>
            </w:r>
          </w:p>
        </w:tc>
        <w:tc>
          <w:tcPr>
            <w:tcW w:w="1589" w:type="dxa"/>
            <w:tcBorders>
              <w:top w:val="single" w:sz="2" w:space="0" w:color="000000"/>
              <w:left w:val="single" w:sz="2" w:space="0" w:color="000000"/>
              <w:bottom w:val="single" w:sz="2" w:space="0" w:color="000000"/>
              <w:right w:val="single" w:sz="2" w:space="0" w:color="000000"/>
            </w:tcBorders>
          </w:tcPr>
          <w:p w14:paraId="162CB60A" w14:textId="77777777" w:rsidR="00053D93" w:rsidRDefault="00260B75">
            <w:pPr>
              <w:ind w:left="26"/>
              <w:jc w:val="center"/>
            </w:pPr>
            <w:r>
              <w:rPr>
                <w:rFonts w:ascii="Malgan Gothic" w:eastAsia="Malgan Gothic" w:hAnsi="Malgan Gothic" w:cs="Malgan Gothic"/>
                <w:sz w:val="14"/>
              </w:rPr>
              <w:t>2024-20768</w:t>
            </w:r>
          </w:p>
        </w:tc>
        <w:tc>
          <w:tcPr>
            <w:tcW w:w="1591" w:type="dxa"/>
            <w:tcBorders>
              <w:top w:val="single" w:sz="2" w:space="0" w:color="000000"/>
              <w:left w:val="single" w:sz="2" w:space="0" w:color="000000"/>
              <w:bottom w:val="single" w:sz="2" w:space="0" w:color="000000"/>
              <w:right w:val="single" w:sz="2" w:space="0" w:color="000000"/>
            </w:tcBorders>
          </w:tcPr>
          <w:p w14:paraId="4C504D5D" w14:textId="77777777" w:rsidR="00053D93" w:rsidRDefault="00260B75">
            <w:pPr>
              <w:ind w:left="22"/>
              <w:jc w:val="center"/>
            </w:pPr>
            <w:r>
              <w:rPr>
                <w:rFonts w:ascii="Malgan Gothic" w:eastAsia="Malgan Gothic" w:hAnsi="Malgan Gothic" w:cs="Malgan Gothic"/>
                <w:sz w:val="16"/>
              </w:rPr>
              <w:t>30/08/2024</w:t>
            </w:r>
          </w:p>
        </w:tc>
        <w:tc>
          <w:tcPr>
            <w:tcW w:w="1911" w:type="dxa"/>
            <w:tcBorders>
              <w:top w:val="single" w:sz="2" w:space="0" w:color="000000"/>
              <w:left w:val="single" w:sz="2" w:space="0" w:color="000000"/>
              <w:bottom w:val="single" w:sz="2" w:space="0" w:color="000000"/>
              <w:right w:val="single" w:sz="2" w:space="0" w:color="000000"/>
            </w:tcBorders>
          </w:tcPr>
          <w:p w14:paraId="3FB4B74F" w14:textId="77777777" w:rsidR="00053D93" w:rsidRDefault="00260B75">
            <w:pPr>
              <w:ind w:left="26"/>
              <w:jc w:val="center"/>
            </w:pPr>
            <w:r>
              <w:rPr>
                <w:rFonts w:ascii="Malgan Gothic" w:eastAsia="Malgan Gothic" w:hAnsi="Malgan Gothic" w:cs="Malgan Gothic"/>
                <w:sz w:val="14"/>
              </w:rPr>
              <w:t>1 8/10/2024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12E93954" w14:textId="77777777" w:rsidR="00053D93" w:rsidRDefault="00260B75">
            <w:pPr>
              <w:ind w:right="58"/>
              <w:jc w:val="right"/>
            </w:pPr>
            <w:r>
              <w:rPr>
                <w:rFonts w:ascii="Malgan Gothic" w:eastAsia="Malgan Gothic" w:hAnsi="Malgan Gothic" w:cs="Malgan Gothic"/>
                <w:sz w:val="18"/>
              </w:rPr>
              <w:t>15,000.00</w:t>
            </w:r>
          </w:p>
        </w:tc>
      </w:tr>
      <w:tr w:rsidR="00053D93" w14:paraId="6B2AC103"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449EBA1C" w14:textId="77777777" w:rsidR="00053D93" w:rsidRDefault="00260B75">
            <w:pPr>
              <w:ind w:left="84"/>
            </w:pPr>
            <w:r>
              <w:rPr>
                <w:rFonts w:ascii="Malgan Gothic" w:eastAsia="Malgan Gothic" w:hAnsi="Malgan Gothic" w:cs="Malgan Gothic"/>
                <w:sz w:val="14"/>
              </w:rPr>
              <w:t>97</w:t>
            </w:r>
          </w:p>
        </w:tc>
        <w:tc>
          <w:tcPr>
            <w:tcW w:w="1229" w:type="dxa"/>
            <w:tcBorders>
              <w:top w:val="single" w:sz="2" w:space="0" w:color="000000"/>
              <w:left w:val="single" w:sz="2" w:space="0" w:color="000000"/>
              <w:bottom w:val="single" w:sz="2" w:space="0" w:color="000000"/>
              <w:right w:val="single" w:sz="2" w:space="0" w:color="000000"/>
            </w:tcBorders>
          </w:tcPr>
          <w:p w14:paraId="18568A9B" w14:textId="77777777" w:rsidR="00053D93" w:rsidRDefault="00260B75">
            <w:pPr>
              <w:ind w:left="58"/>
            </w:pPr>
            <w:r>
              <w:rPr>
                <w:rFonts w:ascii="Malgan Gothic" w:eastAsia="Malgan Gothic" w:hAnsi="Malgan Gothic" w:cs="Malgan Gothic"/>
                <w:sz w:val="16"/>
              </w:rPr>
              <w:t>E550205594</w:t>
            </w:r>
          </w:p>
        </w:tc>
        <w:tc>
          <w:tcPr>
            <w:tcW w:w="1589" w:type="dxa"/>
            <w:tcBorders>
              <w:top w:val="single" w:sz="2" w:space="0" w:color="000000"/>
              <w:left w:val="single" w:sz="2" w:space="0" w:color="000000"/>
              <w:bottom w:val="single" w:sz="2" w:space="0" w:color="000000"/>
              <w:right w:val="single" w:sz="2" w:space="0" w:color="000000"/>
            </w:tcBorders>
          </w:tcPr>
          <w:p w14:paraId="4B102C42" w14:textId="77777777" w:rsidR="00053D93" w:rsidRDefault="00260B75">
            <w:pPr>
              <w:ind w:left="26"/>
              <w:jc w:val="center"/>
            </w:pPr>
            <w:r>
              <w:rPr>
                <w:rFonts w:ascii="Malgan Gothic" w:eastAsia="Malgan Gothic" w:hAnsi="Malgan Gothic" w:cs="Malgan Gothic"/>
                <w:sz w:val="14"/>
              </w:rPr>
              <w:t>2024-20776</w:t>
            </w:r>
          </w:p>
        </w:tc>
        <w:tc>
          <w:tcPr>
            <w:tcW w:w="1591" w:type="dxa"/>
            <w:tcBorders>
              <w:top w:val="single" w:sz="2" w:space="0" w:color="000000"/>
              <w:left w:val="single" w:sz="2" w:space="0" w:color="000000"/>
              <w:bottom w:val="single" w:sz="2" w:space="0" w:color="000000"/>
              <w:right w:val="single" w:sz="2" w:space="0" w:color="000000"/>
            </w:tcBorders>
          </w:tcPr>
          <w:p w14:paraId="467EB28C" w14:textId="77777777" w:rsidR="00053D93" w:rsidRDefault="00260B75">
            <w:pPr>
              <w:ind w:left="7"/>
              <w:jc w:val="center"/>
            </w:pPr>
            <w:r>
              <w:rPr>
                <w:rFonts w:ascii="Malgan Gothic" w:eastAsia="Malgan Gothic" w:hAnsi="Malgan Gothic" w:cs="Malgan Gothic"/>
                <w:sz w:val="16"/>
              </w:rPr>
              <w:t>24/09/2024</w:t>
            </w:r>
          </w:p>
        </w:tc>
        <w:tc>
          <w:tcPr>
            <w:tcW w:w="1911" w:type="dxa"/>
            <w:tcBorders>
              <w:top w:val="single" w:sz="2" w:space="0" w:color="000000"/>
              <w:left w:val="single" w:sz="2" w:space="0" w:color="000000"/>
              <w:bottom w:val="single" w:sz="2" w:space="0" w:color="000000"/>
              <w:right w:val="single" w:sz="2" w:space="0" w:color="000000"/>
            </w:tcBorders>
          </w:tcPr>
          <w:p w14:paraId="05948525" w14:textId="77777777" w:rsidR="00053D93" w:rsidRDefault="00260B75">
            <w:pPr>
              <w:ind w:left="19"/>
              <w:jc w:val="center"/>
            </w:pPr>
            <w:r>
              <w:rPr>
                <w:rFonts w:ascii="Malgan Gothic" w:eastAsia="Malgan Gothic" w:hAnsi="Malgan Gothic" w:cs="Malgan Gothic"/>
                <w:sz w:val="14"/>
              </w:rPr>
              <w:t>18/10/2024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2DC49F94" w14:textId="77777777" w:rsidR="00053D93" w:rsidRDefault="00260B75">
            <w:pPr>
              <w:ind w:right="65"/>
              <w:jc w:val="right"/>
            </w:pPr>
            <w:r>
              <w:rPr>
                <w:rFonts w:ascii="Malgan Gothic" w:eastAsia="Malgan Gothic" w:hAnsi="Malgan Gothic" w:cs="Malgan Gothic"/>
                <w:sz w:val="18"/>
              </w:rPr>
              <w:t>6,500.00</w:t>
            </w:r>
          </w:p>
        </w:tc>
      </w:tr>
      <w:tr w:rsidR="00053D93" w14:paraId="70B51AAA"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623B7E88" w14:textId="77777777" w:rsidR="00053D93" w:rsidRDefault="00260B75">
            <w:pPr>
              <w:ind w:left="84"/>
            </w:pPr>
            <w:r>
              <w:rPr>
                <w:rFonts w:ascii="Malgan Gothic" w:eastAsia="Malgan Gothic" w:hAnsi="Malgan Gothic" w:cs="Malgan Gothic"/>
                <w:sz w:val="14"/>
              </w:rPr>
              <w:t>98</w:t>
            </w:r>
          </w:p>
        </w:tc>
        <w:tc>
          <w:tcPr>
            <w:tcW w:w="1229" w:type="dxa"/>
            <w:tcBorders>
              <w:top w:val="single" w:sz="2" w:space="0" w:color="000000"/>
              <w:left w:val="single" w:sz="2" w:space="0" w:color="000000"/>
              <w:bottom w:val="single" w:sz="2" w:space="0" w:color="000000"/>
              <w:right w:val="single" w:sz="2" w:space="0" w:color="000000"/>
            </w:tcBorders>
          </w:tcPr>
          <w:p w14:paraId="1F721DB8" w14:textId="77777777" w:rsidR="00053D93" w:rsidRDefault="00260B75">
            <w:pPr>
              <w:ind w:left="58"/>
            </w:pPr>
            <w:r>
              <w:rPr>
                <w:rFonts w:ascii="Malgan Gothic" w:eastAsia="Malgan Gothic" w:hAnsi="Malgan Gothic" w:cs="Malgan Gothic"/>
                <w:sz w:val="14"/>
              </w:rPr>
              <w:t>E550206736</w:t>
            </w:r>
          </w:p>
        </w:tc>
        <w:tc>
          <w:tcPr>
            <w:tcW w:w="1589" w:type="dxa"/>
            <w:tcBorders>
              <w:top w:val="single" w:sz="2" w:space="0" w:color="000000"/>
              <w:left w:val="single" w:sz="2" w:space="0" w:color="000000"/>
              <w:bottom w:val="single" w:sz="2" w:space="0" w:color="000000"/>
              <w:right w:val="single" w:sz="2" w:space="0" w:color="000000"/>
            </w:tcBorders>
          </w:tcPr>
          <w:p w14:paraId="77EAEE69" w14:textId="77777777" w:rsidR="00053D93" w:rsidRDefault="00260B75">
            <w:pPr>
              <w:ind w:left="19"/>
              <w:jc w:val="center"/>
            </w:pPr>
            <w:r>
              <w:rPr>
                <w:rFonts w:ascii="Malgan Gothic" w:eastAsia="Malgan Gothic" w:hAnsi="Malgan Gothic" w:cs="Malgan Gothic"/>
                <w:sz w:val="14"/>
              </w:rPr>
              <w:t>2024-20767</w:t>
            </w:r>
          </w:p>
        </w:tc>
        <w:tc>
          <w:tcPr>
            <w:tcW w:w="1591" w:type="dxa"/>
            <w:tcBorders>
              <w:top w:val="single" w:sz="2" w:space="0" w:color="000000"/>
              <w:left w:val="single" w:sz="2" w:space="0" w:color="000000"/>
              <w:bottom w:val="single" w:sz="2" w:space="0" w:color="000000"/>
              <w:right w:val="single" w:sz="2" w:space="0" w:color="000000"/>
            </w:tcBorders>
          </w:tcPr>
          <w:p w14:paraId="0AC938CB" w14:textId="77777777" w:rsidR="00053D93" w:rsidRDefault="00260B75">
            <w:pPr>
              <w:ind w:left="14"/>
              <w:jc w:val="center"/>
            </w:pPr>
            <w:r>
              <w:rPr>
                <w:rFonts w:ascii="Malgan Gothic" w:eastAsia="Malgan Gothic" w:hAnsi="Malgan Gothic" w:cs="Malgan Gothic"/>
                <w:sz w:val="14"/>
              </w:rPr>
              <w:t>30/08/2024</w:t>
            </w:r>
          </w:p>
        </w:tc>
        <w:tc>
          <w:tcPr>
            <w:tcW w:w="1911" w:type="dxa"/>
            <w:tcBorders>
              <w:top w:val="single" w:sz="2" w:space="0" w:color="000000"/>
              <w:left w:val="single" w:sz="2" w:space="0" w:color="000000"/>
              <w:bottom w:val="single" w:sz="2" w:space="0" w:color="000000"/>
              <w:right w:val="single" w:sz="2" w:space="0" w:color="000000"/>
            </w:tcBorders>
          </w:tcPr>
          <w:p w14:paraId="649486F4" w14:textId="77777777" w:rsidR="00053D93" w:rsidRDefault="00260B75">
            <w:pPr>
              <w:ind w:left="19"/>
              <w:jc w:val="center"/>
            </w:pPr>
            <w:r>
              <w:rPr>
                <w:rFonts w:ascii="Malgan Gothic" w:eastAsia="Malgan Gothic" w:hAnsi="Malgan Gothic" w:cs="Malgan Gothic"/>
                <w:sz w:val="16"/>
              </w:rPr>
              <w:t>1 8/10/2024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310A3C39" w14:textId="77777777" w:rsidR="00053D93" w:rsidRDefault="00260B75">
            <w:pPr>
              <w:ind w:right="65"/>
              <w:jc w:val="right"/>
            </w:pPr>
            <w:r>
              <w:rPr>
                <w:rFonts w:ascii="Malgan Gothic" w:eastAsia="Malgan Gothic" w:hAnsi="Malgan Gothic" w:cs="Malgan Gothic"/>
                <w:sz w:val="18"/>
              </w:rPr>
              <w:t>18750.00</w:t>
            </w:r>
          </w:p>
        </w:tc>
      </w:tr>
      <w:tr w:rsidR="00053D93" w14:paraId="2E547C87"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6ECCE24B"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45123EDF" w14:textId="77777777" w:rsidR="00053D93" w:rsidRDefault="00260B75">
            <w:pPr>
              <w:ind w:left="58"/>
            </w:pPr>
            <w:r>
              <w:rPr>
                <w:rFonts w:ascii="Malgan Gothic" w:eastAsia="Malgan Gothic" w:hAnsi="Malgan Gothic" w:cs="Malgan Gothic"/>
                <w:sz w:val="16"/>
              </w:rPr>
              <w:t>E55030681 1</w:t>
            </w:r>
          </w:p>
        </w:tc>
        <w:tc>
          <w:tcPr>
            <w:tcW w:w="1589" w:type="dxa"/>
            <w:tcBorders>
              <w:top w:val="single" w:sz="2" w:space="0" w:color="000000"/>
              <w:left w:val="single" w:sz="2" w:space="0" w:color="000000"/>
              <w:bottom w:val="single" w:sz="2" w:space="0" w:color="000000"/>
              <w:right w:val="single" w:sz="2" w:space="0" w:color="000000"/>
            </w:tcBorders>
          </w:tcPr>
          <w:p w14:paraId="6802D2F1" w14:textId="77777777" w:rsidR="00053D93" w:rsidRDefault="00260B75">
            <w:pPr>
              <w:ind w:left="12"/>
              <w:jc w:val="center"/>
            </w:pPr>
            <w:r>
              <w:rPr>
                <w:rFonts w:ascii="Malgan Gothic" w:eastAsia="Malgan Gothic" w:hAnsi="Malgan Gothic" w:cs="Malgan Gothic"/>
                <w:sz w:val="14"/>
              </w:rPr>
              <w:t>2024-23565</w:t>
            </w:r>
          </w:p>
        </w:tc>
        <w:tc>
          <w:tcPr>
            <w:tcW w:w="1591" w:type="dxa"/>
            <w:tcBorders>
              <w:top w:val="single" w:sz="2" w:space="0" w:color="000000"/>
              <w:left w:val="single" w:sz="2" w:space="0" w:color="000000"/>
              <w:bottom w:val="single" w:sz="2" w:space="0" w:color="000000"/>
              <w:right w:val="single" w:sz="2" w:space="0" w:color="000000"/>
            </w:tcBorders>
          </w:tcPr>
          <w:p w14:paraId="4F6350E6" w14:textId="77777777" w:rsidR="00053D93" w:rsidRDefault="00260B75">
            <w:pPr>
              <w:ind w:left="7"/>
              <w:jc w:val="center"/>
            </w:pPr>
            <w:r>
              <w:rPr>
                <w:rFonts w:ascii="Malgan Gothic" w:eastAsia="Malgan Gothic" w:hAnsi="Malgan Gothic" w:cs="Malgan Gothic"/>
                <w:sz w:val="14"/>
              </w:rPr>
              <w:t>3/1 0/2024</w:t>
            </w:r>
          </w:p>
        </w:tc>
        <w:tc>
          <w:tcPr>
            <w:tcW w:w="1911" w:type="dxa"/>
            <w:tcBorders>
              <w:top w:val="single" w:sz="2" w:space="0" w:color="000000"/>
              <w:left w:val="single" w:sz="2" w:space="0" w:color="000000"/>
              <w:bottom w:val="single" w:sz="2" w:space="0" w:color="000000"/>
              <w:right w:val="single" w:sz="2" w:space="0" w:color="000000"/>
            </w:tcBorders>
          </w:tcPr>
          <w:p w14:paraId="3023703B" w14:textId="77777777" w:rsidR="00053D93" w:rsidRDefault="00260B75">
            <w:pPr>
              <w:ind w:right="3"/>
              <w:jc w:val="center"/>
            </w:pPr>
            <w:r>
              <w:rPr>
                <w:rFonts w:ascii="Malgan Gothic" w:eastAsia="Malgan Gothic" w:hAnsi="Malgan Gothic" w:cs="Malgan Gothic"/>
                <w:sz w:val="16"/>
              </w:rPr>
              <w:t>22/1 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A9557C1" w14:textId="77777777" w:rsidR="00053D93" w:rsidRDefault="00260B75">
            <w:pPr>
              <w:ind w:right="72"/>
              <w:jc w:val="right"/>
            </w:pPr>
            <w:r>
              <w:rPr>
                <w:rFonts w:ascii="Malgan Gothic" w:eastAsia="Malgan Gothic" w:hAnsi="Malgan Gothic" w:cs="Malgan Gothic"/>
                <w:sz w:val="14"/>
              </w:rPr>
              <w:t>60.00</w:t>
            </w:r>
          </w:p>
        </w:tc>
      </w:tr>
      <w:tr w:rsidR="00053D93" w14:paraId="2BF0D87E"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7A3A12B8" w14:textId="77777777" w:rsidR="00053D93" w:rsidRDefault="00260B75">
            <w:pPr>
              <w:ind w:left="84"/>
            </w:pPr>
            <w:r>
              <w:rPr>
                <w:rFonts w:ascii="Malgan Gothic" w:eastAsia="Malgan Gothic" w:hAnsi="Malgan Gothic" w:cs="Malgan Gothic"/>
                <w:sz w:val="14"/>
              </w:rPr>
              <w:t>100</w:t>
            </w:r>
          </w:p>
        </w:tc>
        <w:tc>
          <w:tcPr>
            <w:tcW w:w="1229" w:type="dxa"/>
            <w:tcBorders>
              <w:top w:val="single" w:sz="2" w:space="0" w:color="000000"/>
              <w:left w:val="single" w:sz="2" w:space="0" w:color="000000"/>
              <w:bottom w:val="single" w:sz="2" w:space="0" w:color="000000"/>
              <w:right w:val="single" w:sz="2" w:space="0" w:color="000000"/>
            </w:tcBorders>
          </w:tcPr>
          <w:p w14:paraId="20ED0838" w14:textId="77777777" w:rsidR="00053D93" w:rsidRDefault="00260B75">
            <w:pPr>
              <w:ind w:left="58"/>
            </w:pPr>
            <w:r>
              <w:rPr>
                <w:rFonts w:ascii="Malgan Gothic" w:eastAsia="Malgan Gothic" w:hAnsi="Malgan Gothic" w:cs="Malgan Gothic"/>
                <w:sz w:val="16"/>
              </w:rPr>
              <w:t>E550309454</w:t>
            </w:r>
          </w:p>
        </w:tc>
        <w:tc>
          <w:tcPr>
            <w:tcW w:w="1589" w:type="dxa"/>
            <w:tcBorders>
              <w:top w:val="single" w:sz="2" w:space="0" w:color="000000"/>
              <w:left w:val="single" w:sz="2" w:space="0" w:color="000000"/>
              <w:bottom w:val="single" w:sz="2" w:space="0" w:color="000000"/>
              <w:right w:val="single" w:sz="2" w:space="0" w:color="000000"/>
            </w:tcBorders>
          </w:tcPr>
          <w:p w14:paraId="40610B0F" w14:textId="77777777" w:rsidR="00053D93" w:rsidRDefault="00260B75">
            <w:pPr>
              <w:ind w:left="12"/>
              <w:jc w:val="center"/>
            </w:pPr>
            <w:r>
              <w:rPr>
                <w:rFonts w:ascii="Malgan Gothic" w:eastAsia="Malgan Gothic" w:hAnsi="Malgan Gothic" w:cs="Malgan Gothic"/>
                <w:sz w:val="14"/>
              </w:rPr>
              <w:t>2024-23175</w:t>
            </w:r>
          </w:p>
        </w:tc>
        <w:tc>
          <w:tcPr>
            <w:tcW w:w="1591" w:type="dxa"/>
            <w:tcBorders>
              <w:top w:val="single" w:sz="2" w:space="0" w:color="000000"/>
              <w:left w:val="single" w:sz="2" w:space="0" w:color="000000"/>
              <w:bottom w:val="single" w:sz="2" w:space="0" w:color="000000"/>
              <w:right w:val="single" w:sz="2" w:space="0" w:color="000000"/>
            </w:tcBorders>
          </w:tcPr>
          <w:p w14:paraId="65F2198F" w14:textId="77777777" w:rsidR="00053D93" w:rsidRDefault="00260B75">
            <w:pPr>
              <w:jc w:val="center"/>
            </w:pPr>
            <w:r>
              <w:rPr>
                <w:rFonts w:ascii="Malgan Gothic" w:eastAsia="Malgan Gothic" w:hAnsi="Malgan Gothic" w:cs="Malgan Gothic"/>
                <w:sz w:val="14"/>
              </w:rPr>
              <w:t>3/1 0/2024</w:t>
            </w:r>
          </w:p>
        </w:tc>
        <w:tc>
          <w:tcPr>
            <w:tcW w:w="1911" w:type="dxa"/>
            <w:tcBorders>
              <w:top w:val="single" w:sz="2" w:space="0" w:color="000000"/>
              <w:left w:val="single" w:sz="2" w:space="0" w:color="000000"/>
              <w:bottom w:val="single" w:sz="2" w:space="0" w:color="000000"/>
              <w:right w:val="single" w:sz="2" w:space="0" w:color="000000"/>
            </w:tcBorders>
          </w:tcPr>
          <w:p w14:paraId="13CB7E5C" w14:textId="77777777" w:rsidR="00053D93" w:rsidRDefault="00260B75">
            <w:pPr>
              <w:ind w:right="3"/>
              <w:jc w:val="center"/>
            </w:pPr>
            <w:r>
              <w:rPr>
                <w:rFonts w:ascii="Malgan Gothic" w:eastAsia="Malgan Gothic" w:hAnsi="Malgan Gothic" w:cs="Malgan Gothic"/>
                <w:sz w:val="14"/>
              </w:rPr>
              <w:t>22/10/2024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00BB491F" w14:textId="77777777" w:rsidR="00053D93" w:rsidRDefault="00260B75">
            <w:pPr>
              <w:ind w:right="72"/>
              <w:jc w:val="right"/>
            </w:pPr>
            <w:r>
              <w:rPr>
                <w:rFonts w:ascii="Malgan Gothic" w:eastAsia="Malgan Gothic" w:hAnsi="Malgan Gothic" w:cs="Malgan Gothic"/>
                <w:sz w:val="14"/>
              </w:rPr>
              <w:t>295.00</w:t>
            </w:r>
          </w:p>
        </w:tc>
      </w:tr>
      <w:tr w:rsidR="00053D93" w14:paraId="52F7F21D"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51AE3663" w14:textId="77777777" w:rsidR="00053D93" w:rsidRDefault="00260B75">
            <w:pPr>
              <w:ind w:left="84"/>
            </w:pPr>
            <w:r>
              <w:rPr>
                <w:rFonts w:ascii="Malgan Gothic" w:eastAsia="Malgan Gothic" w:hAnsi="Malgan Gothic" w:cs="Malgan Gothic"/>
                <w:sz w:val="14"/>
              </w:rPr>
              <w:t>101</w:t>
            </w:r>
          </w:p>
        </w:tc>
        <w:tc>
          <w:tcPr>
            <w:tcW w:w="1229" w:type="dxa"/>
            <w:tcBorders>
              <w:top w:val="single" w:sz="2" w:space="0" w:color="000000"/>
              <w:left w:val="single" w:sz="2" w:space="0" w:color="000000"/>
              <w:bottom w:val="single" w:sz="2" w:space="0" w:color="000000"/>
              <w:right w:val="single" w:sz="2" w:space="0" w:color="000000"/>
            </w:tcBorders>
          </w:tcPr>
          <w:p w14:paraId="2369466D" w14:textId="77777777" w:rsidR="00053D93" w:rsidRDefault="00260B75">
            <w:pPr>
              <w:ind w:left="58"/>
            </w:pPr>
            <w:r>
              <w:rPr>
                <w:rFonts w:ascii="Malgan Gothic" w:eastAsia="Malgan Gothic" w:hAnsi="Malgan Gothic" w:cs="Malgan Gothic"/>
                <w:sz w:val="16"/>
              </w:rPr>
              <w:t>E550313095</w:t>
            </w:r>
          </w:p>
        </w:tc>
        <w:tc>
          <w:tcPr>
            <w:tcW w:w="1589" w:type="dxa"/>
            <w:tcBorders>
              <w:top w:val="single" w:sz="2" w:space="0" w:color="000000"/>
              <w:left w:val="single" w:sz="2" w:space="0" w:color="000000"/>
              <w:bottom w:val="single" w:sz="2" w:space="0" w:color="000000"/>
              <w:right w:val="single" w:sz="2" w:space="0" w:color="000000"/>
            </w:tcBorders>
          </w:tcPr>
          <w:p w14:paraId="18BF8649" w14:textId="77777777" w:rsidR="00053D93" w:rsidRDefault="00260B75">
            <w:pPr>
              <w:ind w:left="12"/>
              <w:jc w:val="center"/>
            </w:pPr>
            <w:r>
              <w:rPr>
                <w:rFonts w:ascii="Malgan Gothic" w:eastAsia="Malgan Gothic" w:hAnsi="Malgan Gothic" w:cs="Malgan Gothic"/>
                <w:sz w:val="16"/>
              </w:rPr>
              <w:t>2024-23676</w:t>
            </w:r>
          </w:p>
        </w:tc>
        <w:tc>
          <w:tcPr>
            <w:tcW w:w="1591" w:type="dxa"/>
            <w:tcBorders>
              <w:top w:val="single" w:sz="2" w:space="0" w:color="000000"/>
              <w:left w:val="single" w:sz="2" w:space="0" w:color="000000"/>
              <w:bottom w:val="single" w:sz="2" w:space="0" w:color="000000"/>
              <w:right w:val="single" w:sz="2" w:space="0" w:color="000000"/>
            </w:tcBorders>
          </w:tcPr>
          <w:p w14:paraId="068F6B53" w14:textId="77777777" w:rsidR="00053D93" w:rsidRDefault="00260B75">
            <w:pPr>
              <w:jc w:val="center"/>
            </w:pPr>
            <w:r>
              <w:rPr>
                <w:rFonts w:ascii="Malgan Gothic" w:eastAsia="Malgan Gothic" w:hAnsi="Malgan Gothic" w:cs="Malgan Gothic"/>
                <w:sz w:val="16"/>
              </w:rPr>
              <w:t>9/10/2024</w:t>
            </w:r>
          </w:p>
        </w:tc>
        <w:tc>
          <w:tcPr>
            <w:tcW w:w="1911" w:type="dxa"/>
            <w:tcBorders>
              <w:top w:val="single" w:sz="2" w:space="0" w:color="000000"/>
              <w:left w:val="single" w:sz="2" w:space="0" w:color="000000"/>
              <w:bottom w:val="single" w:sz="2" w:space="0" w:color="000000"/>
              <w:right w:val="single" w:sz="2" w:space="0" w:color="000000"/>
            </w:tcBorders>
          </w:tcPr>
          <w:p w14:paraId="47150999" w14:textId="77777777" w:rsidR="00053D93" w:rsidRDefault="00260B75">
            <w:pPr>
              <w:ind w:right="3"/>
              <w:jc w:val="center"/>
            </w:pPr>
            <w:r>
              <w:rPr>
                <w:rFonts w:ascii="Malgan Gothic" w:eastAsia="Malgan Gothic" w:hAnsi="Malgan Gothic" w:cs="Malgan Gothic"/>
                <w:sz w:val="14"/>
              </w:rPr>
              <w:t>22/10/2024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0D1E0023" w14:textId="77777777" w:rsidR="00053D93" w:rsidRDefault="00260B75">
            <w:pPr>
              <w:ind w:right="72"/>
              <w:jc w:val="right"/>
            </w:pPr>
            <w:r>
              <w:rPr>
                <w:rFonts w:ascii="Malgan Gothic" w:eastAsia="Malgan Gothic" w:hAnsi="Malgan Gothic" w:cs="Malgan Gothic"/>
                <w:sz w:val="14"/>
              </w:rPr>
              <w:t>80.00</w:t>
            </w:r>
          </w:p>
        </w:tc>
      </w:tr>
      <w:tr w:rsidR="00053D93" w14:paraId="52747D80" w14:textId="77777777">
        <w:trPr>
          <w:trHeight w:val="528"/>
        </w:trPr>
        <w:tc>
          <w:tcPr>
            <w:tcW w:w="631" w:type="dxa"/>
            <w:gridSpan w:val="2"/>
            <w:tcBorders>
              <w:top w:val="single" w:sz="2" w:space="0" w:color="000000"/>
              <w:left w:val="single" w:sz="2" w:space="0" w:color="000000"/>
              <w:bottom w:val="single" w:sz="2" w:space="0" w:color="000000"/>
              <w:right w:val="single" w:sz="2" w:space="0" w:color="000000"/>
            </w:tcBorders>
          </w:tcPr>
          <w:p w14:paraId="0D10339B" w14:textId="77777777" w:rsidR="00053D93" w:rsidRDefault="00260B75">
            <w:pPr>
              <w:ind w:left="84"/>
            </w:pPr>
            <w:r>
              <w:rPr>
                <w:rFonts w:ascii="Malgan Gothic" w:eastAsia="Malgan Gothic" w:hAnsi="Malgan Gothic" w:cs="Malgan Gothic"/>
                <w:sz w:val="14"/>
              </w:rPr>
              <w:t>102</w:t>
            </w:r>
          </w:p>
        </w:tc>
        <w:tc>
          <w:tcPr>
            <w:tcW w:w="1229" w:type="dxa"/>
            <w:tcBorders>
              <w:top w:val="single" w:sz="2" w:space="0" w:color="000000"/>
              <w:left w:val="single" w:sz="2" w:space="0" w:color="000000"/>
              <w:bottom w:val="single" w:sz="2" w:space="0" w:color="000000"/>
              <w:right w:val="single" w:sz="2" w:space="0" w:color="000000"/>
            </w:tcBorders>
          </w:tcPr>
          <w:p w14:paraId="41987875" w14:textId="77777777" w:rsidR="00053D93" w:rsidRDefault="00260B75">
            <w:pPr>
              <w:ind w:left="50"/>
              <w:jc w:val="both"/>
            </w:pPr>
            <w:r>
              <w:rPr>
                <w:rFonts w:ascii="Malgan Gothic" w:eastAsia="Malgan Gothic" w:hAnsi="Malgan Gothic" w:cs="Malgan Gothic"/>
                <w:sz w:val="14"/>
              </w:rPr>
              <w:t>E550789219</w:t>
            </w:r>
          </w:p>
        </w:tc>
        <w:tc>
          <w:tcPr>
            <w:tcW w:w="1589" w:type="dxa"/>
            <w:tcBorders>
              <w:top w:val="single" w:sz="2" w:space="0" w:color="000000"/>
              <w:left w:val="single" w:sz="2" w:space="0" w:color="000000"/>
              <w:bottom w:val="single" w:sz="2" w:space="0" w:color="000000"/>
              <w:right w:val="single" w:sz="2" w:space="0" w:color="000000"/>
            </w:tcBorders>
          </w:tcPr>
          <w:p w14:paraId="1151EE5C" w14:textId="77777777" w:rsidR="00053D93" w:rsidRDefault="00260B75">
            <w:pPr>
              <w:ind w:right="3"/>
              <w:jc w:val="center"/>
            </w:pPr>
            <w:r>
              <w:rPr>
                <w:rFonts w:ascii="Malgan Gothic" w:eastAsia="Malgan Gothic" w:hAnsi="Malgan Gothic" w:cs="Malgan Gothic"/>
                <w:sz w:val="14"/>
              </w:rPr>
              <w:t>2024-21082</w:t>
            </w:r>
          </w:p>
        </w:tc>
        <w:tc>
          <w:tcPr>
            <w:tcW w:w="1591" w:type="dxa"/>
            <w:tcBorders>
              <w:top w:val="single" w:sz="2" w:space="0" w:color="000000"/>
              <w:left w:val="single" w:sz="2" w:space="0" w:color="000000"/>
              <w:bottom w:val="single" w:sz="2" w:space="0" w:color="000000"/>
              <w:right w:val="single" w:sz="2" w:space="0" w:color="000000"/>
            </w:tcBorders>
          </w:tcPr>
          <w:p w14:paraId="0F31E856" w14:textId="77777777" w:rsidR="00053D93" w:rsidRDefault="00260B75">
            <w:pPr>
              <w:ind w:right="7"/>
              <w:jc w:val="center"/>
            </w:pPr>
            <w:r>
              <w:rPr>
                <w:rFonts w:ascii="Malgan Gothic" w:eastAsia="Malgan Gothic" w:hAnsi="Malgan Gothic" w:cs="Malgan Gothic"/>
                <w:sz w:val="16"/>
              </w:rPr>
              <w:t>27/08/2024</w:t>
            </w:r>
          </w:p>
        </w:tc>
        <w:tc>
          <w:tcPr>
            <w:tcW w:w="1911" w:type="dxa"/>
            <w:tcBorders>
              <w:top w:val="single" w:sz="2" w:space="0" w:color="000000"/>
              <w:left w:val="single" w:sz="2" w:space="0" w:color="000000"/>
              <w:bottom w:val="single" w:sz="2" w:space="0" w:color="000000"/>
              <w:right w:val="single" w:sz="2" w:space="0" w:color="000000"/>
            </w:tcBorders>
          </w:tcPr>
          <w:p w14:paraId="08AAE577" w14:textId="77777777" w:rsidR="00053D93" w:rsidRDefault="00260B75">
            <w:pPr>
              <w:ind w:right="10"/>
              <w:jc w:val="center"/>
            </w:pPr>
            <w:r>
              <w:rPr>
                <w:rFonts w:ascii="Malgan Gothic" w:eastAsia="Malgan Gothic" w:hAnsi="Malgan Gothic" w:cs="Malgan Gothic"/>
                <w:sz w:val="14"/>
              </w:rPr>
              <w:t>30/1 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1F31BEE1" w14:textId="77777777" w:rsidR="00053D93" w:rsidRDefault="00260B75">
            <w:pPr>
              <w:ind w:right="79"/>
              <w:jc w:val="right"/>
            </w:pPr>
            <w:r>
              <w:rPr>
                <w:rFonts w:ascii="Malgan Gothic" w:eastAsia="Malgan Gothic" w:hAnsi="Malgan Gothic" w:cs="Malgan Gothic"/>
                <w:sz w:val="18"/>
              </w:rPr>
              <w:t>14,750.00</w:t>
            </w:r>
          </w:p>
        </w:tc>
      </w:tr>
      <w:tr w:rsidR="00053D93" w14:paraId="7B418111"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59FF8771" w14:textId="77777777" w:rsidR="00053D93" w:rsidRDefault="00260B75">
            <w:pPr>
              <w:ind w:left="77"/>
            </w:pPr>
            <w:r>
              <w:rPr>
                <w:rFonts w:ascii="Malgan Gothic" w:eastAsia="Malgan Gothic" w:hAnsi="Malgan Gothic" w:cs="Malgan Gothic"/>
                <w:sz w:val="16"/>
              </w:rPr>
              <w:t>103</w:t>
            </w:r>
          </w:p>
        </w:tc>
        <w:tc>
          <w:tcPr>
            <w:tcW w:w="1229" w:type="dxa"/>
            <w:tcBorders>
              <w:top w:val="single" w:sz="2" w:space="0" w:color="000000"/>
              <w:left w:val="single" w:sz="2" w:space="0" w:color="000000"/>
              <w:bottom w:val="single" w:sz="2" w:space="0" w:color="000000"/>
              <w:right w:val="single" w:sz="2" w:space="0" w:color="000000"/>
            </w:tcBorders>
          </w:tcPr>
          <w:p w14:paraId="3AFBE220" w14:textId="77777777" w:rsidR="00053D93" w:rsidRDefault="00260B75">
            <w:pPr>
              <w:ind w:left="50"/>
            </w:pPr>
            <w:r>
              <w:rPr>
                <w:rFonts w:ascii="Malgan Gothic" w:eastAsia="Malgan Gothic" w:hAnsi="Malgan Gothic" w:cs="Malgan Gothic"/>
                <w:sz w:val="16"/>
              </w:rPr>
              <w:t>E550817840</w:t>
            </w:r>
          </w:p>
        </w:tc>
        <w:tc>
          <w:tcPr>
            <w:tcW w:w="1589" w:type="dxa"/>
            <w:tcBorders>
              <w:top w:val="single" w:sz="2" w:space="0" w:color="000000"/>
              <w:left w:val="single" w:sz="2" w:space="0" w:color="000000"/>
              <w:bottom w:val="single" w:sz="2" w:space="0" w:color="000000"/>
              <w:right w:val="single" w:sz="2" w:space="0" w:color="000000"/>
            </w:tcBorders>
          </w:tcPr>
          <w:p w14:paraId="6C1ECAED" w14:textId="77777777" w:rsidR="00053D93" w:rsidRDefault="00260B75">
            <w:pPr>
              <w:ind w:right="3"/>
              <w:jc w:val="center"/>
            </w:pPr>
            <w:r>
              <w:rPr>
                <w:rFonts w:ascii="Malgan Gothic" w:eastAsia="Malgan Gothic" w:hAnsi="Malgan Gothic" w:cs="Malgan Gothic"/>
                <w:sz w:val="14"/>
              </w:rPr>
              <w:t>2024-22986</w:t>
            </w:r>
          </w:p>
        </w:tc>
        <w:tc>
          <w:tcPr>
            <w:tcW w:w="1591" w:type="dxa"/>
            <w:tcBorders>
              <w:top w:val="single" w:sz="2" w:space="0" w:color="000000"/>
              <w:left w:val="single" w:sz="2" w:space="0" w:color="000000"/>
              <w:bottom w:val="single" w:sz="2" w:space="0" w:color="000000"/>
              <w:right w:val="single" w:sz="2" w:space="0" w:color="000000"/>
            </w:tcBorders>
          </w:tcPr>
          <w:p w14:paraId="745BD61D" w14:textId="77777777" w:rsidR="00053D93" w:rsidRDefault="00260B75">
            <w:pPr>
              <w:ind w:right="7"/>
              <w:jc w:val="center"/>
            </w:pPr>
            <w:r>
              <w:rPr>
                <w:rFonts w:ascii="Malgan Gothic" w:eastAsia="Malgan Gothic" w:hAnsi="Malgan Gothic" w:cs="Malgan Gothic"/>
                <w:sz w:val="16"/>
              </w:rPr>
              <w:t>1/10/2024</w:t>
            </w:r>
          </w:p>
        </w:tc>
        <w:tc>
          <w:tcPr>
            <w:tcW w:w="1911" w:type="dxa"/>
            <w:tcBorders>
              <w:top w:val="single" w:sz="2" w:space="0" w:color="000000"/>
              <w:left w:val="single" w:sz="2" w:space="0" w:color="000000"/>
              <w:bottom w:val="single" w:sz="2" w:space="0" w:color="000000"/>
              <w:right w:val="single" w:sz="2" w:space="0" w:color="000000"/>
            </w:tcBorders>
          </w:tcPr>
          <w:p w14:paraId="023205A8" w14:textId="77777777" w:rsidR="00053D93" w:rsidRDefault="00260B75">
            <w:pPr>
              <w:ind w:right="17"/>
              <w:jc w:val="center"/>
            </w:pPr>
            <w:r>
              <w:rPr>
                <w:rFonts w:ascii="Malgan Gothic" w:eastAsia="Malgan Gothic" w:hAnsi="Malgan Gothic" w:cs="Malgan Gothic"/>
                <w:sz w:val="16"/>
              </w:rPr>
              <w:t>30/10/2024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40FBFE4" w14:textId="77777777" w:rsidR="00053D93" w:rsidRDefault="00260B75">
            <w:pPr>
              <w:ind w:right="79"/>
              <w:jc w:val="right"/>
            </w:pPr>
            <w:r>
              <w:rPr>
                <w:rFonts w:ascii="Malgan Gothic" w:eastAsia="Malgan Gothic" w:hAnsi="Malgan Gothic" w:cs="Malgan Gothic"/>
                <w:sz w:val="16"/>
              </w:rPr>
              <w:t>3,250.00</w:t>
            </w:r>
          </w:p>
        </w:tc>
      </w:tr>
      <w:tr w:rsidR="00053D93" w14:paraId="5D6FDFC8"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1B0167F5" w14:textId="77777777" w:rsidR="00053D93" w:rsidRDefault="00260B75">
            <w:pPr>
              <w:ind w:left="77"/>
            </w:pPr>
            <w:r>
              <w:rPr>
                <w:rFonts w:ascii="Malgan Gothic" w:eastAsia="Malgan Gothic" w:hAnsi="Malgan Gothic" w:cs="Malgan Gothic"/>
                <w:sz w:val="14"/>
              </w:rPr>
              <w:t>104</w:t>
            </w:r>
          </w:p>
        </w:tc>
        <w:tc>
          <w:tcPr>
            <w:tcW w:w="1229" w:type="dxa"/>
            <w:tcBorders>
              <w:top w:val="single" w:sz="2" w:space="0" w:color="000000"/>
              <w:left w:val="single" w:sz="2" w:space="0" w:color="000000"/>
              <w:bottom w:val="single" w:sz="2" w:space="0" w:color="000000"/>
              <w:right w:val="single" w:sz="2" w:space="0" w:color="000000"/>
            </w:tcBorders>
          </w:tcPr>
          <w:p w14:paraId="1FFDE25F" w14:textId="77777777" w:rsidR="00053D93" w:rsidRDefault="00260B75">
            <w:pPr>
              <w:ind w:left="43"/>
            </w:pPr>
            <w:r>
              <w:rPr>
                <w:rFonts w:ascii="Malgan Gothic" w:eastAsia="Malgan Gothic" w:hAnsi="Malgan Gothic" w:cs="Malgan Gothic"/>
                <w:sz w:val="14"/>
              </w:rPr>
              <w:t>E550820051</w:t>
            </w:r>
          </w:p>
        </w:tc>
        <w:tc>
          <w:tcPr>
            <w:tcW w:w="1589" w:type="dxa"/>
            <w:tcBorders>
              <w:top w:val="single" w:sz="2" w:space="0" w:color="000000"/>
              <w:left w:val="single" w:sz="2" w:space="0" w:color="000000"/>
              <w:bottom w:val="single" w:sz="2" w:space="0" w:color="000000"/>
              <w:right w:val="single" w:sz="2" w:space="0" w:color="000000"/>
            </w:tcBorders>
          </w:tcPr>
          <w:p w14:paraId="69E20B1C" w14:textId="77777777" w:rsidR="00053D93" w:rsidRDefault="00260B75">
            <w:pPr>
              <w:ind w:right="31"/>
              <w:jc w:val="center"/>
            </w:pPr>
            <w:r>
              <w:rPr>
                <w:rFonts w:ascii="Malgan Gothic" w:eastAsia="Malgan Gothic" w:hAnsi="Malgan Gothic" w:cs="Malgan Gothic"/>
                <w:sz w:val="14"/>
              </w:rPr>
              <w:t>2024-22341</w:t>
            </w:r>
          </w:p>
        </w:tc>
        <w:tc>
          <w:tcPr>
            <w:tcW w:w="1591" w:type="dxa"/>
            <w:tcBorders>
              <w:top w:val="single" w:sz="2" w:space="0" w:color="000000"/>
              <w:left w:val="single" w:sz="2" w:space="0" w:color="000000"/>
              <w:bottom w:val="single" w:sz="2" w:space="0" w:color="000000"/>
              <w:right w:val="single" w:sz="2" w:space="0" w:color="000000"/>
            </w:tcBorders>
          </w:tcPr>
          <w:p w14:paraId="1FD11EA5" w14:textId="77777777" w:rsidR="00053D93" w:rsidRDefault="00260B75">
            <w:pPr>
              <w:ind w:right="14"/>
              <w:jc w:val="center"/>
            </w:pPr>
            <w:r>
              <w:rPr>
                <w:rFonts w:ascii="Malgan Gothic" w:eastAsia="Malgan Gothic" w:hAnsi="Malgan Gothic" w:cs="Malgan Gothic"/>
                <w:sz w:val="14"/>
              </w:rPr>
              <w:t>12/09/2024</w:t>
            </w:r>
          </w:p>
        </w:tc>
        <w:tc>
          <w:tcPr>
            <w:tcW w:w="1911" w:type="dxa"/>
            <w:tcBorders>
              <w:top w:val="single" w:sz="2" w:space="0" w:color="000000"/>
              <w:left w:val="single" w:sz="2" w:space="0" w:color="000000"/>
              <w:bottom w:val="single" w:sz="2" w:space="0" w:color="000000"/>
              <w:right w:val="single" w:sz="2" w:space="0" w:color="000000"/>
            </w:tcBorders>
          </w:tcPr>
          <w:p w14:paraId="349161E1" w14:textId="77777777" w:rsidR="00053D93" w:rsidRDefault="00260B75">
            <w:pPr>
              <w:ind w:right="17"/>
              <w:jc w:val="center"/>
            </w:pPr>
            <w:r>
              <w:rPr>
                <w:rFonts w:ascii="Malgan Gothic" w:eastAsia="Malgan Gothic" w:hAnsi="Malgan Gothic" w:cs="Malgan Gothic"/>
                <w:sz w:val="16"/>
              </w:rPr>
              <w:t>30/10/2024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864C895" w14:textId="77777777" w:rsidR="00053D93" w:rsidRDefault="00260B75">
            <w:pPr>
              <w:ind w:right="79"/>
              <w:jc w:val="right"/>
            </w:pPr>
            <w:r>
              <w:rPr>
                <w:rFonts w:ascii="Malgan Gothic" w:eastAsia="Malgan Gothic" w:hAnsi="Malgan Gothic" w:cs="Malgan Gothic"/>
                <w:sz w:val="18"/>
              </w:rPr>
              <w:t>17,700.00</w:t>
            </w:r>
          </w:p>
        </w:tc>
      </w:tr>
      <w:tr w:rsidR="00053D93" w14:paraId="2429BFAE" w14:textId="77777777">
        <w:trPr>
          <w:trHeight w:val="526"/>
        </w:trPr>
        <w:tc>
          <w:tcPr>
            <w:tcW w:w="631" w:type="dxa"/>
            <w:gridSpan w:val="2"/>
            <w:tcBorders>
              <w:top w:val="single" w:sz="2" w:space="0" w:color="000000"/>
              <w:left w:val="single" w:sz="2" w:space="0" w:color="000000"/>
              <w:bottom w:val="single" w:sz="2" w:space="0" w:color="000000"/>
              <w:right w:val="single" w:sz="2" w:space="0" w:color="000000"/>
            </w:tcBorders>
          </w:tcPr>
          <w:p w14:paraId="27E8EBD3" w14:textId="77777777" w:rsidR="00053D93" w:rsidRDefault="00260B75">
            <w:pPr>
              <w:ind w:left="77"/>
            </w:pPr>
            <w:r>
              <w:rPr>
                <w:rFonts w:ascii="Malgan Gothic" w:eastAsia="Malgan Gothic" w:hAnsi="Malgan Gothic" w:cs="Malgan Gothic"/>
                <w:sz w:val="14"/>
              </w:rPr>
              <w:t>105</w:t>
            </w:r>
          </w:p>
        </w:tc>
        <w:tc>
          <w:tcPr>
            <w:tcW w:w="1229" w:type="dxa"/>
            <w:tcBorders>
              <w:top w:val="single" w:sz="2" w:space="0" w:color="000000"/>
              <w:left w:val="single" w:sz="2" w:space="0" w:color="000000"/>
              <w:bottom w:val="single" w:sz="2" w:space="0" w:color="000000"/>
              <w:right w:val="single" w:sz="2" w:space="0" w:color="000000"/>
            </w:tcBorders>
          </w:tcPr>
          <w:p w14:paraId="2DABD445" w14:textId="77777777" w:rsidR="00053D93" w:rsidRDefault="00260B75">
            <w:pPr>
              <w:ind w:left="43"/>
            </w:pPr>
            <w:r>
              <w:rPr>
                <w:rFonts w:ascii="Malgan Gothic" w:eastAsia="Malgan Gothic" w:hAnsi="Malgan Gothic" w:cs="Malgan Gothic"/>
                <w:sz w:val="16"/>
              </w:rPr>
              <w:t>E551629495</w:t>
            </w:r>
          </w:p>
        </w:tc>
        <w:tc>
          <w:tcPr>
            <w:tcW w:w="1589" w:type="dxa"/>
            <w:tcBorders>
              <w:top w:val="single" w:sz="2" w:space="0" w:color="000000"/>
              <w:left w:val="single" w:sz="2" w:space="0" w:color="000000"/>
              <w:bottom w:val="single" w:sz="2" w:space="0" w:color="000000"/>
              <w:right w:val="single" w:sz="2" w:space="0" w:color="000000"/>
            </w:tcBorders>
          </w:tcPr>
          <w:p w14:paraId="33FB3402" w14:textId="77777777" w:rsidR="00053D93" w:rsidRDefault="00260B75">
            <w:pPr>
              <w:ind w:right="17"/>
              <w:jc w:val="center"/>
            </w:pPr>
            <w:r>
              <w:rPr>
                <w:rFonts w:ascii="Malgan Gothic" w:eastAsia="Malgan Gothic" w:hAnsi="Malgan Gothic" w:cs="Malgan Gothic"/>
                <w:sz w:val="14"/>
              </w:rPr>
              <w:t>2024-25180</w:t>
            </w:r>
          </w:p>
        </w:tc>
        <w:tc>
          <w:tcPr>
            <w:tcW w:w="1591" w:type="dxa"/>
            <w:tcBorders>
              <w:top w:val="single" w:sz="2" w:space="0" w:color="000000"/>
              <w:left w:val="single" w:sz="2" w:space="0" w:color="000000"/>
              <w:bottom w:val="single" w:sz="2" w:space="0" w:color="000000"/>
              <w:right w:val="single" w:sz="2" w:space="0" w:color="000000"/>
            </w:tcBorders>
          </w:tcPr>
          <w:p w14:paraId="4706FB81" w14:textId="77777777" w:rsidR="00053D93" w:rsidRDefault="00260B75">
            <w:pPr>
              <w:ind w:right="14"/>
              <w:jc w:val="center"/>
            </w:pPr>
            <w:r>
              <w:rPr>
                <w:rFonts w:ascii="Malgan Gothic" w:eastAsia="Malgan Gothic" w:hAnsi="Malgan Gothic" w:cs="Malgan Gothic"/>
                <w:sz w:val="16"/>
              </w:rPr>
              <w:t>1811 0/2024</w:t>
            </w:r>
          </w:p>
        </w:tc>
        <w:tc>
          <w:tcPr>
            <w:tcW w:w="1911" w:type="dxa"/>
            <w:tcBorders>
              <w:top w:val="single" w:sz="2" w:space="0" w:color="000000"/>
              <w:left w:val="single" w:sz="2" w:space="0" w:color="000000"/>
              <w:bottom w:val="single" w:sz="2" w:space="0" w:color="000000"/>
              <w:right w:val="single" w:sz="2" w:space="0" w:color="000000"/>
            </w:tcBorders>
          </w:tcPr>
          <w:p w14:paraId="71EB6857" w14:textId="77777777" w:rsidR="00053D93" w:rsidRDefault="00260B75">
            <w:pPr>
              <w:ind w:right="17"/>
              <w:jc w:val="center"/>
            </w:pPr>
            <w:r>
              <w:rPr>
                <w:rFonts w:ascii="Malgan Gothic" w:eastAsia="Malgan Gothic" w:hAnsi="Malgan Gothic" w:cs="Malgan Gothic"/>
                <w:sz w:val="14"/>
              </w:rPr>
              <w:t>14/11/2024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6F0EC1B2" w14:textId="77777777" w:rsidR="00053D93" w:rsidRDefault="00260B75">
            <w:pPr>
              <w:ind w:right="79"/>
              <w:jc w:val="right"/>
            </w:pPr>
            <w:r>
              <w:rPr>
                <w:rFonts w:ascii="Malgan Gothic" w:eastAsia="Malgan Gothic" w:hAnsi="Malgan Gothic" w:cs="Malgan Gothic"/>
                <w:sz w:val="14"/>
              </w:rPr>
              <w:t>719.60</w:t>
            </w:r>
          </w:p>
        </w:tc>
      </w:tr>
      <w:tr w:rsidR="00053D93" w14:paraId="5EFDDFE9"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70AB2CFB" w14:textId="77777777" w:rsidR="00053D93" w:rsidRDefault="00260B75">
            <w:pPr>
              <w:ind w:left="69"/>
            </w:pPr>
            <w:r>
              <w:rPr>
                <w:rFonts w:ascii="Malgan Gothic" w:eastAsia="Malgan Gothic" w:hAnsi="Malgan Gothic" w:cs="Malgan Gothic"/>
                <w:sz w:val="14"/>
              </w:rPr>
              <w:t>106</w:t>
            </w:r>
          </w:p>
        </w:tc>
        <w:tc>
          <w:tcPr>
            <w:tcW w:w="1229" w:type="dxa"/>
            <w:tcBorders>
              <w:top w:val="single" w:sz="2" w:space="0" w:color="000000"/>
              <w:left w:val="single" w:sz="2" w:space="0" w:color="000000"/>
              <w:bottom w:val="single" w:sz="2" w:space="0" w:color="000000"/>
              <w:right w:val="single" w:sz="2" w:space="0" w:color="000000"/>
            </w:tcBorders>
          </w:tcPr>
          <w:p w14:paraId="71E990EB" w14:textId="77777777" w:rsidR="00053D93" w:rsidRDefault="00260B75">
            <w:pPr>
              <w:ind w:left="43"/>
            </w:pPr>
            <w:r>
              <w:rPr>
                <w:rFonts w:ascii="Malgan Gothic" w:eastAsia="Malgan Gothic" w:hAnsi="Malgan Gothic" w:cs="Malgan Gothic"/>
                <w:sz w:val="14"/>
              </w:rPr>
              <w:t>E552221910</w:t>
            </w:r>
          </w:p>
        </w:tc>
        <w:tc>
          <w:tcPr>
            <w:tcW w:w="1589" w:type="dxa"/>
            <w:tcBorders>
              <w:top w:val="single" w:sz="2" w:space="0" w:color="000000"/>
              <w:left w:val="single" w:sz="2" w:space="0" w:color="000000"/>
              <w:bottom w:val="single" w:sz="2" w:space="0" w:color="000000"/>
              <w:right w:val="single" w:sz="2" w:space="0" w:color="000000"/>
            </w:tcBorders>
          </w:tcPr>
          <w:p w14:paraId="28696B67" w14:textId="77777777" w:rsidR="00053D93" w:rsidRDefault="00260B75">
            <w:pPr>
              <w:ind w:right="17"/>
              <w:jc w:val="center"/>
            </w:pPr>
            <w:r>
              <w:rPr>
                <w:rFonts w:ascii="Malgan Gothic" w:eastAsia="Malgan Gothic" w:hAnsi="Malgan Gothic" w:cs="Malgan Gothic"/>
                <w:sz w:val="16"/>
              </w:rPr>
              <w:t>2024-24446</w:t>
            </w:r>
          </w:p>
        </w:tc>
        <w:tc>
          <w:tcPr>
            <w:tcW w:w="1591" w:type="dxa"/>
            <w:tcBorders>
              <w:top w:val="single" w:sz="2" w:space="0" w:color="000000"/>
              <w:left w:val="single" w:sz="2" w:space="0" w:color="000000"/>
              <w:bottom w:val="single" w:sz="2" w:space="0" w:color="000000"/>
              <w:right w:val="single" w:sz="2" w:space="0" w:color="000000"/>
            </w:tcBorders>
          </w:tcPr>
          <w:p w14:paraId="6F4A14C6" w14:textId="77777777" w:rsidR="00053D93" w:rsidRDefault="00260B75">
            <w:pPr>
              <w:ind w:right="22"/>
              <w:jc w:val="center"/>
            </w:pPr>
            <w:r>
              <w:rPr>
                <w:rFonts w:ascii="Malgan Gothic" w:eastAsia="Malgan Gothic" w:hAnsi="Malgan Gothic" w:cs="Malgan Gothic"/>
                <w:sz w:val="16"/>
              </w:rPr>
              <w:t>31/10/2024</w:t>
            </w:r>
          </w:p>
        </w:tc>
        <w:tc>
          <w:tcPr>
            <w:tcW w:w="1911" w:type="dxa"/>
            <w:tcBorders>
              <w:top w:val="single" w:sz="2" w:space="0" w:color="000000"/>
              <w:left w:val="single" w:sz="2" w:space="0" w:color="000000"/>
              <w:bottom w:val="single" w:sz="2" w:space="0" w:color="000000"/>
              <w:right w:val="single" w:sz="2" w:space="0" w:color="000000"/>
            </w:tcBorders>
          </w:tcPr>
          <w:p w14:paraId="080BDF47" w14:textId="77777777" w:rsidR="00053D93" w:rsidRDefault="00260B75">
            <w:pPr>
              <w:ind w:right="31"/>
              <w:jc w:val="center"/>
            </w:pPr>
            <w:r>
              <w:rPr>
                <w:rFonts w:ascii="Malgan Gothic" w:eastAsia="Malgan Gothic" w:hAnsi="Malgan Gothic" w:cs="Malgan Gothic"/>
                <w:sz w:val="16"/>
              </w:rPr>
              <w:t>22/11/2024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A815745" w14:textId="77777777" w:rsidR="00053D93" w:rsidRDefault="00260B75">
            <w:pPr>
              <w:ind w:right="86"/>
              <w:jc w:val="right"/>
            </w:pPr>
            <w:r>
              <w:rPr>
                <w:rFonts w:ascii="Malgan Gothic" w:eastAsia="Malgan Gothic" w:hAnsi="Malgan Gothic" w:cs="Malgan Gothic"/>
                <w:sz w:val="16"/>
              </w:rPr>
              <w:t>4,920.00</w:t>
            </w:r>
          </w:p>
        </w:tc>
      </w:tr>
      <w:tr w:rsidR="00053D93" w14:paraId="5F542A1B" w14:textId="77777777">
        <w:trPr>
          <w:trHeight w:val="526"/>
        </w:trPr>
        <w:tc>
          <w:tcPr>
            <w:tcW w:w="631" w:type="dxa"/>
            <w:gridSpan w:val="2"/>
            <w:tcBorders>
              <w:top w:val="single" w:sz="2" w:space="0" w:color="000000"/>
              <w:left w:val="single" w:sz="2" w:space="0" w:color="000000"/>
              <w:bottom w:val="single" w:sz="2" w:space="0" w:color="000000"/>
              <w:right w:val="single" w:sz="2" w:space="0" w:color="000000"/>
            </w:tcBorders>
          </w:tcPr>
          <w:p w14:paraId="4C83D26C" w14:textId="77777777" w:rsidR="00053D93" w:rsidRDefault="00260B75">
            <w:pPr>
              <w:ind w:left="69"/>
            </w:pPr>
            <w:r>
              <w:rPr>
                <w:rFonts w:ascii="Malgan Gothic" w:eastAsia="Malgan Gothic" w:hAnsi="Malgan Gothic" w:cs="Malgan Gothic"/>
                <w:sz w:val="14"/>
              </w:rPr>
              <w:t>107</w:t>
            </w:r>
          </w:p>
        </w:tc>
        <w:tc>
          <w:tcPr>
            <w:tcW w:w="1229" w:type="dxa"/>
            <w:tcBorders>
              <w:top w:val="single" w:sz="2" w:space="0" w:color="000000"/>
              <w:left w:val="single" w:sz="2" w:space="0" w:color="000000"/>
              <w:bottom w:val="single" w:sz="2" w:space="0" w:color="000000"/>
              <w:right w:val="single" w:sz="2" w:space="0" w:color="000000"/>
            </w:tcBorders>
          </w:tcPr>
          <w:p w14:paraId="782C5ED6" w14:textId="77777777" w:rsidR="00053D93" w:rsidRDefault="00260B75">
            <w:pPr>
              <w:ind w:left="36"/>
            </w:pPr>
            <w:r>
              <w:rPr>
                <w:rFonts w:ascii="Malgan Gothic" w:eastAsia="Malgan Gothic" w:hAnsi="Malgan Gothic" w:cs="Malgan Gothic"/>
                <w:sz w:val="16"/>
              </w:rPr>
              <w:t>E552296937</w:t>
            </w:r>
          </w:p>
        </w:tc>
        <w:tc>
          <w:tcPr>
            <w:tcW w:w="1589" w:type="dxa"/>
            <w:tcBorders>
              <w:top w:val="single" w:sz="2" w:space="0" w:color="000000"/>
              <w:left w:val="single" w:sz="2" w:space="0" w:color="000000"/>
              <w:bottom w:val="single" w:sz="2" w:space="0" w:color="000000"/>
              <w:right w:val="single" w:sz="2" w:space="0" w:color="000000"/>
            </w:tcBorders>
          </w:tcPr>
          <w:p w14:paraId="593F1D45" w14:textId="77777777" w:rsidR="00053D93" w:rsidRDefault="00260B75">
            <w:pPr>
              <w:ind w:right="32"/>
              <w:jc w:val="center"/>
            </w:pPr>
            <w:r>
              <w:rPr>
                <w:rFonts w:ascii="Malgan Gothic" w:eastAsia="Malgan Gothic" w:hAnsi="Malgan Gothic" w:cs="Malgan Gothic"/>
                <w:sz w:val="14"/>
              </w:rPr>
              <w:t>2024-25405</w:t>
            </w:r>
          </w:p>
        </w:tc>
        <w:tc>
          <w:tcPr>
            <w:tcW w:w="1591" w:type="dxa"/>
            <w:tcBorders>
              <w:top w:val="single" w:sz="2" w:space="0" w:color="000000"/>
              <w:left w:val="single" w:sz="2" w:space="0" w:color="000000"/>
              <w:bottom w:val="single" w:sz="2" w:space="0" w:color="000000"/>
              <w:right w:val="single" w:sz="2" w:space="0" w:color="000000"/>
            </w:tcBorders>
          </w:tcPr>
          <w:p w14:paraId="6552BEB3" w14:textId="77777777" w:rsidR="00053D93" w:rsidRDefault="00260B75">
            <w:pPr>
              <w:ind w:right="29"/>
              <w:jc w:val="center"/>
            </w:pPr>
            <w:r>
              <w:rPr>
                <w:rFonts w:ascii="Malgan Gothic" w:eastAsia="Malgan Gothic" w:hAnsi="Malgan Gothic" w:cs="Malgan Gothic"/>
                <w:sz w:val="14"/>
              </w:rPr>
              <w:t>18/10/2024</w:t>
            </w:r>
          </w:p>
        </w:tc>
        <w:tc>
          <w:tcPr>
            <w:tcW w:w="1911" w:type="dxa"/>
            <w:tcBorders>
              <w:top w:val="single" w:sz="2" w:space="0" w:color="000000"/>
              <w:left w:val="single" w:sz="2" w:space="0" w:color="000000"/>
              <w:bottom w:val="single" w:sz="2" w:space="0" w:color="000000"/>
              <w:right w:val="single" w:sz="2" w:space="0" w:color="000000"/>
            </w:tcBorders>
          </w:tcPr>
          <w:p w14:paraId="326AC2AD" w14:textId="77777777" w:rsidR="00053D93" w:rsidRDefault="00260B75">
            <w:pPr>
              <w:ind w:right="46"/>
              <w:jc w:val="center"/>
            </w:pPr>
            <w:r>
              <w:rPr>
                <w:rFonts w:ascii="Malgan Gothic" w:eastAsia="Malgan Gothic" w:hAnsi="Malgan Gothic" w:cs="Malgan Gothic"/>
                <w:sz w:val="16"/>
              </w:rPr>
              <w:t>25/11/2024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4BB4508" w14:textId="77777777" w:rsidR="00053D93" w:rsidRDefault="00260B75">
            <w:pPr>
              <w:ind w:left="369"/>
            </w:pPr>
            <w:r>
              <w:rPr>
                <w:rFonts w:ascii="Malgan Gothic" w:eastAsia="Malgan Gothic" w:hAnsi="Malgan Gothic" w:cs="Malgan Gothic"/>
                <w:sz w:val="16"/>
              </w:rPr>
              <w:t>24,950.00</w:t>
            </w:r>
          </w:p>
        </w:tc>
      </w:tr>
      <w:tr w:rsidR="00053D93" w14:paraId="7C117BAE"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3AE044B8" w14:textId="77777777" w:rsidR="00053D93" w:rsidRDefault="00260B75">
            <w:pPr>
              <w:ind w:left="62"/>
            </w:pPr>
            <w:r>
              <w:rPr>
                <w:rFonts w:ascii="Malgan Gothic" w:eastAsia="Malgan Gothic" w:hAnsi="Malgan Gothic" w:cs="Malgan Gothic"/>
                <w:sz w:val="14"/>
              </w:rPr>
              <w:t>108</w:t>
            </w:r>
          </w:p>
        </w:tc>
        <w:tc>
          <w:tcPr>
            <w:tcW w:w="1229" w:type="dxa"/>
            <w:tcBorders>
              <w:top w:val="single" w:sz="2" w:space="0" w:color="000000"/>
              <w:left w:val="single" w:sz="2" w:space="0" w:color="000000"/>
              <w:bottom w:val="single" w:sz="2" w:space="0" w:color="000000"/>
              <w:right w:val="single" w:sz="2" w:space="0" w:color="000000"/>
            </w:tcBorders>
          </w:tcPr>
          <w:p w14:paraId="48B92ACC" w14:textId="77777777" w:rsidR="00053D93" w:rsidRDefault="00260B75">
            <w:pPr>
              <w:ind w:left="36"/>
            </w:pPr>
            <w:r>
              <w:rPr>
                <w:rFonts w:ascii="Malgan Gothic" w:eastAsia="Malgan Gothic" w:hAnsi="Malgan Gothic" w:cs="Malgan Gothic"/>
                <w:sz w:val="14"/>
              </w:rPr>
              <w:t>E552298336</w:t>
            </w:r>
          </w:p>
        </w:tc>
        <w:tc>
          <w:tcPr>
            <w:tcW w:w="1589" w:type="dxa"/>
            <w:tcBorders>
              <w:top w:val="single" w:sz="2" w:space="0" w:color="000000"/>
              <w:left w:val="single" w:sz="2" w:space="0" w:color="000000"/>
              <w:bottom w:val="single" w:sz="2" w:space="0" w:color="000000"/>
              <w:right w:val="single" w:sz="2" w:space="0" w:color="000000"/>
            </w:tcBorders>
          </w:tcPr>
          <w:p w14:paraId="02ABB9CB" w14:textId="77777777" w:rsidR="00053D93" w:rsidRDefault="00260B75">
            <w:pPr>
              <w:ind w:right="32"/>
              <w:jc w:val="center"/>
            </w:pPr>
            <w:r>
              <w:rPr>
                <w:rFonts w:ascii="Malgan Gothic" w:eastAsia="Malgan Gothic" w:hAnsi="Malgan Gothic" w:cs="Malgan Gothic"/>
                <w:sz w:val="14"/>
              </w:rPr>
              <w:t>2024-24876</w:t>
            </w:r>
          </w:p>
        </w:tc>
        <w:tc>
          <w:tcPr>
            <w:tcW w:w="1591" w:type="dxa"/>
            <w:tcBorders>
              <w:top w:val="single" w:sz="2" w:space="0" w:color="000000"/>
              <w:left w:val="single" w:sz="2" w:space="0" w:color="000000"/>
              <w:bottom w:val="single" w:sz="2" w:space="0" w:color="000000"/>
              <w:right w:val="single" w:sz="2" w:space="0" w:color="000000"/>
            </w:tcBorders>
          </w:tcPr>
          <w:p w14:paraId="11034085" w14:textId="77777777" w:rsidR="00053D93" w:rsidRDefault="00260B75">
            <w:pPr>
              <w:ind w:right="36"/>
              <w:jc w:val="center"/>
            </w:pPr>
            <w:r>
              <w:rPr>
                <w:rFonts w:ascii="Malgan Gothic" w:eastAsia="Malgan Gothic" w:hAnsi="Malgan Gothic" w:cs="Malgan Gothic"/>
                <w:sz w:val="14"/>
              </w:rPr>
              <w:t>8/1 1/2024</w:t>
            </w:r>
          </w:p>
        </w:tc>
        <w:tc>
          <w:tcPr>
            <w:tcW w:w="1911" w:type="dxa"/>
            <w:tcBorders>
              <w:top w:val="single" w:sz="2" w:space="0" w:color="000000"/>
              <w:left w:val="single" w:sz="2" w:space="0" w:color="000000"/>
              <w:bottom w:val="single" w:sz="2" w:space="0" w:color="000000"/>
              <w:right w:val="single" w:sz="2" w:space="0" w:color="000000"/>
            </w:tcBorders>
          </w:tcPr>
          <w:p w14:paraId="44CEE265" w14:textId="77777777" w:rsidR="00053D93" w:rsidRDefault="00260B75">
            <w:pPr>
              <w:ind w:right="46"/>
              <w:jc w:val="center"/>
            </w:pPr>
            <w:r>
              <w:rPr>
                <w:rFonts w:ascii="Malgan Gothic" w:eastAsia="Malgan Gothic" w:hAnsi="Malgan Gothic" w:cs="Malgan Gothic"/>
                <w:sz w:val="16"/>
              </w:rPr>
              <w:t>25/11/2024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FD01063" w14:textId="77777777" w:rsidR="00053D93" w:rsidRDefault="00260B75">
            <w:pPr>
              <w:ind w:left="369"/>
            </w:pPr>
            <w:r>
              <w:rPr>
                <w:rFonts w:ascii="Malgan Gothic" w:eastAsia="Malgan Gothic" w:hAnsi="Malgan Gothic" w:cs="Malgan Gothic"/>
                <w:sz w:val="16"/>
              </w:rPr>
              <w:t>24,866.00</w:t>
            </w:r>
          </w:p>
        </w:tc>
      </w:tr>
      <w:tr w:rsidR="00053D93" w14:paraId="7AD85770" w14:textId="77777777">
        <w:trPr>
          <w:trHeight w:val="526"/>
        </w:trPr>
        <w:tc>
          <w:tcPr>
            <w:tcW w:w="631" w:type="dxa"/>
            <w:gridSpan w:val="2"/>
            <w:tcBorders>
              <w:top w:val="single" w:sz="2" w:space="0" w:color="000000"/>
              <w:left w:val="single" w:sz="2" w:space="0" w:color="000000"/>
              <w:bottom w:val="single" w:sz="2" w:space="0" w:color="000000"/>
              <w:right w:val="single" w:sz="2" w:space="0" w:color="000000"/>
            </w:tcBorders>
          </w:tcPr>
          <w:p w14:paraId="45C2BA9F" w14:textId="77777777" w:rsidR="00053D93" w:rsidRDefault="00260B75">
            <w:pPr>
              <w:ind w:left="62"/>
            </w:pPr>
            <w:r>
              <w:rPr>
                <w:rFonts w:ascii="Malgan Gothic" w:eastAsia="Malgan Gothic" w:hAnsi="Malgan Gothic" w:cs="Malgan Gothic"/>
                <w:sz w:val="14"/>
              </w:rPr>
              <w:t>109</w:t>
            </w:r>
          </w:p>
        </w:tc>
        <w:tc>
          <w:tcPr>
            <w:tcW w:w="1229" w:type="dxa"/>
            <w:tcBorders>
              <w:top w:val="single" w:sz="2" w:space="0" w:color="000000"/>
              <w:left w:val="single" w:sz="2" w:space="0" w:color="000000"/>
              <w:bottom w:val="single" w:sz="2" w:space="0" w:color="000000"/>
              <w:right w:val="single" w:sz="2" w:space="0" w:color="000000"/>
            </w:tcBorders>
          </w:tcPr>
          <w:p w14:paraId="5A7E3BB4" w14:textId="77777777" w:rsidR="00053D93" w:rsidRDefault="00260B75">
            <w:pPr>
              <w:ind w:left="29"/>
            </w:pPr>
            <w:r>
              <w:rPr>
                <w:rFonts w:ascii="Malgan Gothic" w:eastAsia="Malgan Gothic" w:hAnsi="Malgan Gothic" w:cs="Malgan Gothic"/>
                <w:sz w:val="16"/>
              </w:rPr>
              <w:t>E552299502</w:t>
            </w:r>
          </w:p>
        </w:tc>
        <w:tc>
          <w:tcPr>
            <w:tcW w:w="1589" w:type="dxa"/>
            <w:tcBorders>
              <w:top w:val="single" w:sz="2" w:space="0" w:color="000000"/>
              <w:left w:val="single" w:sz="2" w:space="0" w:color="000000"/>
              <w:bottom w:val="single" w:sz="2" w:space="0" w:color="000000"/>
              <w:right w:val="single" w:sz="2" w:space="0" w:color="000000"/>
            </w:tcBorders>
          </w:tcPr>
          <w:p w14:paraId="37C54F58" w14:textId="77777777" w:rsidR="00053D93" w:rsidRDefault="00260B75">
            <w:pPr>
              <w:ind w:right="32"/>
              <w:jc w:val="center"/>
            </w:pPr>
            <w:r>
              <w:rPr>
                <w:rFonts w:ascii="Malgan Gothic" w:eastAsia="Malgan Gothic" w:hAnsi="Malgan Gothic" w:cs="Malgan Gothic"/>
                <w:sz w:val="14"/>
              </w:rPr>
              <w:t>2024-22809</w:t>
            </w:r>
          </w:p>
        </w:tc>
        <w:tc>
          <w:tcPr>
            <w:tcW w:w="1591" w:type="dxa"/>
            <w:tcBorders>
              <w:top w:val="single" w:sz="2" w:space="0" w:color="000000"/>
              <w:left w:val="single" w:sz="2" w:space="0" w:color="000000"/>
              <w:bottom w:val="single" w:sz="2" w:space="0" w:color="000000"/>
              <w:right w:val="single" w:sz="2" w:space="0" w:color="000000"/>
            </w:tcBorders>
          </w:tcPr>
          <w:p w14:paraId="2781AC7A" w14:textId="77777777" w:rsidR="00053D93" w:rsidRDefault="00260B75">
            <w:pPr>
              <w:ind w:right="43"/>
              <w:jc w:val="center"/>
            </w:pPr>
            <w:r>
              <w:rPr>
                <w:rFonts w:ascii="Malgan Gothic" w:eastAsia="Malgan Gothic" w:hAnsi="Malgan Gothic" w:cs="Malgan Gothic"/>
                <w:sz w:val="16"/>
              </w:rPr>
              <w:t>30/09/2024</w:t>
            </w:r>
          </w:p>
        </w:tc>
        <w:tc>
          <w:tcPr>
            <w:tcW w:w="1911" w:type="dxa"/>
            <w:tcBorders>
              <w:top w:val="single" w:sz="2" w:space="0" w:color="000000"/>
              <w:left w:val="single" w:sz="2" w:space="0" w:color="000000"/>
              <w:bottom w:val="single" w:sz="2" w:space="0" w:color="000000"/>
              <w:right w:val="single" w:sz="2" w:space="0" w:color="000000"/>
            </w:tcBorders>
          </w:tcPr>
          <w:p w14:paraId="34C27F11" w14:textId="77777777" w:rsidR="00053D93" w:rsidRDefault="00260B75">
            <w:pPr>
              <w:ind w:right="46"/>
              <w:jc w:val="center"/>
            </w:pPr>
            <w:r>
              <w:rPr>
                <w:rFonts w:ascii="Malgan Gothic" w:eastAsia="Malgan Gothic" w:hAnsi="Malgan Gothic" w:cs="Malgan Gothic"/>
                <w:sz w:val="16"/>
              </w:rPr>
              <w:t>25/11/2024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2491723D" w14:textId="77777777" w:rsidR="00053D93" w:rsidRDefault="00260B75">
            <w:pPr>
              <w:ind w:left="369"/>
            </w:pPr>
            <w:r>
              <w:rPr>
                <w:rFonts w:ascii="Malgan Gothic" w:eastAsia="Malgan Gothic" w:hAnsi="Malgan Gothic" w:cs="Malgan Gothic"/>
                <w:sz w:val="18"/>
              </w:rPr>
              <w:t>2이611.20</w:t>
            </w:r>
          </w:p>
        </w:tc>
      </w:tr>
      <w:tr w:rsidR="00053D93" w14:paraId="31A6B04F" w14:textId="77777777">
        <w:trPr>
          <w:trHeight w:val="526"/>
        </w:trPr>
        <w:tc>
          <w:tcPr>
            <w:tcW w:w="631" w:type="dxa"/>
            <w:gridSpan w:val="2"/>
            <w:tcBorders>
              <w:top w:val="single" w:sz="2" w:space="0" w:color="000000"/>
              <w:left w:val="single" w:sz="2" w:space="0" w:color="000000"/>
              <w:bottom w:val="single" w:sz="2" w:space="0" w:color="000000"/>
              <w:right w:val="single" w:sz="2" w:space="0" w:color="000000"/>
            </w:tcBorders>
          </w:tcPr>
          <w:p w14:paraId="589F5640" w14:textId="77777777" w:rsidR="00053D93" w:rsidRDefault="00260B75">
            <w:pPr>
              <w:ind w:left="62"/>
            </w:pPr>
            <w:r>
              <w:rPr>
                <w:rFonts w:ascii="Malgan Gothic" w:eastAsia="Malgan Gothic" w:hAnsi="Malgan Gothic" w:cs="Malgan Gothic"/>
                <w:sz w:val="14"/>
              </w:rPr>
              <w:t>110</w:t>
            </w:r>
          </w:p>
        </w:tc>
        <w:tc>
          <w:tcPr>
            <w:tcW w:w="1229" w:type="dxa"/>
            <w:tcBorders>
              <w:top w:val="single" w:sz="2" w:space="0" w:color="000000"/>
              <w:left w:val="single" w:sz="2" w:space="0" w:color="000000"/>
              <w:bottom w:val="single" w:sz="2" w:space="0" w:color="000000"/>
              <w:right w:val="single" w:sz="2" w:space="0" w:color="000000"/>
            </w:tcBorders>
          </w:tcPr>
          <w:p w14:paraId="73BCCB1C" w14:textId="77777777" w:rsidR="00053D93" w:rsidRDefault="00260B75">
            <w:pPr>
              <w:ind w:left="29"/>
            </w:pPr>
            <w:r>
              <w:rPr>
                <w:rFonts w:ascii="Malgan Gothic" w:eastAsia="Malgan Gothic" w:hAnsi="Malgan Gothic" w:cs="Malgan Gothic"/>
                <w:sz w:val="14"/>
              </w:rPr>
              <w:t>E552300640</w:t>
            </w:r>
          </w:p>
        </w:tc>
        <w:tc>
          <w:tcPr>
            <w:tcW w:w="1589" w:type="dxa"/>
            <w:tcBorders>
              <w:top w:val="single" w:sz="2" w:space="0" w:color="000000"/>
              <w:left w:val="single" w:sz="2" w:space="0" w:color="000000"/>
              <w:bottom w:val="single" w:sz="2" w:space="0" w:color="000000"/>
              <w:right w:val="single" w:sz="2" w:space="0" w:color="000000"/>
            </w:tcBorders>
          </w:tcPr>
          <w:p w14:paraId="2CC8E6A9" w14:textId="77777777" w:rsidR="00053D93" w:rsidRDefault="00260B75">
            <w:pPr>
              <w:ind w:right="46"/>
              <w:jc w:val="center"/>
            </w:pPr>
            <w:r>
              <w:rPr>
                <w:rFonts w:ascii="Malgan Gothic" w:eastAsia="Malgan Gothic" w:hAnsi="Malgan Gothic" w:cs="Malgan Gothic"/>
                <w:sz w:val="14"/>
              </w:rPr>
              <w:t>2024-22005</w:t>
            </w:r>
          </w:p>
        </w:tc>
        <w:tc>
          <w:tcPr>
            <w:tcW w:w="1591" w:type="dxa"/>
            <w:tcBorders>
              <w:top w:val="single" w:sz="2" w:space="0" w:color="000000"/>
              <w:left w:val="single" w:sz="2" w:space="0" w:color="000000"/>
              <w:bottom w:val="single" w:sz="2" w:space="0" w:color="000000"/>
              <w:right w:val="single" w:sz="2" w:space="0" w:color="000000"/>
            </w:tcBorders>
          </w:tcPr>
          <w:p w14:paraId="3245B40B" w14:textId="77777777" w:rsidR="00053D93" w:rsidRDefault="00260B75">
            <w:pPr>
              <w:ind w:right="50"/>
              <w:jc w:val="center"/>
            </w:pPr>
            <w:r>
              <w:rPr>
                <w:rFonts w:ascii="Malgan Gothic" w:eastAsia="Malgan Gothic" w:hAnsi="Malgan Gothic" w:cs="Malgan Gothic"/>
                <w:sz w:val="14"/>
              </w:rPr>
              <w:t>25/1 0/2024</w:t>
            </w:r>
          </w:p>
        </w:tc>
        <w:tc>
          <w:tcPr>
            <w:tcW w:w="1911" w:type="dxa"/>
            <w:tcBorders>
              <w:top w:val="single" w:sz="2" w:space="0" w:color="000000"/>
              <w:left w:val="single" w:sz="2" w:space="0" w:color="000000"/>
              <w:bottom w:val="single" w:sz="2" w:space="0" w:color="000000"/>
              <w:right w:val="single" w:sz="2" w:space="0" w:color="000000"/>
            </w:tcBorders>
          </w:tcPr>
          <w:p w14:paraId="3718CAE3" w14:textId="77777777" w:rsidR="00053D93" w:rsidRDefault="00260B75">
            <w:pPr>
              <w:ind w:right="53"/>
              <w:jc w:val="center"/>
            </w:pPr>
            <w:r>
              <w:rPr>
                <w:rFonts w:ascii="Malgan Gothic" w:eastAsia="Malgan Gothic" w:hAnsi="Malgan Gothic" w:cs="Malgan Gothic"/>
                <w:sz w:val="14"/>
              </w:rPr>
              <w:t>25/11/2024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D2C257B" w14:textId="77777777" w:rsidR="00053D93" w:rsidRDefault="00260B75">
            <w:pPr>
              <w:ind w:left="376"/>
            </w:pPr>
            <w:r>
              <w:rPr>
                <w:rFonts w:ascii="Malgan Gothic" w:eastAsia="Malgan Gothic" w:hAnsi="Malgan Gothic" w:cs="Malgan Gothic"/>
                <w:sz w:val="18"/>
              </w:rPr>
              <w:t>13794.00</w:t>
            </w:r>
          </w:p>
        </w:tc>
      </w:tr>
      <w:tr w:rsidR="00053D93" w14:paraId="0BA1FA10" w14:textId="77777777">
        <w:trPr>
          <w:trHeight w:val="530"/>
        </w:trPr>
        <w:tc>
          <w:tcPr>
            <w:tcW w:w="631" w:type="dxa"/>
            <w:gridSpan w:val="2"/>
            <w:tcBorders>
              <w:top w:val="single" w:sz="2" w:space="0" w:color="000000"/>
              <w:left w:val="single" w:sz="2" w:space="0" w:color="000000"/>
              <w:bottom w:val="single" w:sz="2" w:space="0" w:color="000000"/>
              <w:right w:val="single" w:sz="2" w:space="0" w:color="000000"/>
            </w:tcBorders>
          </w:tcPr>
          <w:p w14:paraId="62C68B42" w14:textId="77777777" w:rsidR="00053D93" w:rsidRDefault="00260B75">
            <w:pPr>
              <w:ind w:left="55"/>
            </w:pPr>
            <w:r>
              <w:rPr>
                <w:rFonts w:ascii="Malgan Gothic" w:eastAsia="Malgan Gothic" w:hAnsi="Malgan Gothic" w:cs="Malgan Gothic"/>
                <w:sz w:val="14"/>
              </w:rPr>
              <w:t>1 1 1</w:t>
            </w:r>
          </w:p>
        </w:tc>
        <w:tc>
          <w:tcPr>
            <w:tcW w:w="1229" w:type="dxa"/>
            <w:tcBorders>
              <w:top w:val="single" w:sz="2" w:space="0" w:color="000000"/>
              <w:left w:val="single" w:sz="2" w:space="0" w:color="000000"/>
              <w:bottom w:val="single" w:sz="2" w:space="0" w:color="000000"/>
              <w:right w:val="single" w:sz="2" w:space="0" w:color="000000"/>
            </w:tcBorders>
          </w:tcPr>
          <w:p w14:paraId="75D94488" w14:textId="77777777" w:rsidR="00053D93" w:rsidRDefault="00260B75">
            <w:pPr>
              <w:ind w:left="22"/>
            </w:pPr>
            <w:r>
              <w:rPr>
                <w:rFonts w:ascii="Malgan Gothic" w:eastAsia="Malgan Gothic" w:hAnsi="Malgan Gothic" w:cs="Malgan Gothic"/>
                <w:sz w:val="16"/>
              </w:rPr>
              <w:t>E552302058</w:t>
            </w:r>
          </w:p>
        </w:tc>
        <w:tc>
          <w:tcPr>
            <w:tcW w:w="1589" w:type="dxa"/>
            <w:tcBorders>
              <w:top w:val="single" w:sz="2" w:space="0" w:color="000000"/>
              <w:left w:val="single" w:sz="2" w:space="0" w:color="000000"/>
              <w:bottom w:val="single" w:sz="2" w:space="0" w:color="000000"/>
              <w:right w:val="single" w:sz="2" w:space="0" w:color="000000"/>
            </w:tcBorders>
          </w:tcPr>
          <w:p w14:paraId="2B270247" w14:textId="77777777" w:rsidR="00053D93" w:rsidRDefault="00260B75">
            <w:pPr>
              <w:ind w:right="46"/>
              <w:jc w:val="center"/>
            </w:pPr>
            <w:r>
              <w:rPr>
                <w:rFonts w:ascii="Malgan Gothic" w:eastAsia="Malgan Gothic" w:hAnsi="Malgan Gothic" w:cs="Malgan Gothic"/>
                <w:sz w:val="16"/>
              </w:rPr>
              <w:t>2024-22014</w:t>
            </w:r>
          </w:p>
        </w:tc>
        <w:tc>
          <w:tcPr>
            <w:tcW w:w="1591" w:type="dxa"/>
            <w:tcBorders>
              <w:top w:val="single" w:sz="2" w:space="0" w:color="000000"/>
              <w:left w:val="single" w:sz="2" w:space="0" w:color="000000"/>
              <w:bottom w:val="single" w:sz="2" w:space="0" w:color="000000"/>
              <w:right w:val="single" w:sz="2" w:space="0" w:color="000000"/>
            </w:tcBorders>
          </w:tcPr>
          <w:p w14:paraId="128F34CA" w14:textId="77777777" w:rsidR="00053D93" w:rsidRDefault="00260B75">
            <w:pPr>
              <w:ind w:right="43"/>
              <w:jc w:val="center"/>
            </w:pPr>
            <w:r>
              <w:rPr>
                <w:rFonts w:ascii="Malgan Gothic" w:eastAsia="Malgan Gothic" w:hAnsi="Malgan Gothic" w:cs="Malgan Gothic"/>
                <w:sz w:val="16"/>
              </w:rPr>
              <w:t>16/10/2024</w:t>
            </w:r>
          </w:p>
        </w:tc>
        <w:tc>
          <w:tcPr>
            <w:tcW w:w="1911" w:type="dxa"/>
            <w:tcBorders>
              <w:top w:val="single" w:sz="2" w:space="0" w:color="000000"/>
              <w:left w:val="single" w:sz="2" w:space="0" w:color="000000"/>
              <w:bottom w:val="single" w:sz="2" w:space="0" w:color="000000"/>
              <w:right w:val="single" w:sz="2" w:space="0" w:color="000000"/>
            </w:tcBorders>
          </w:tcPr>
          <w:p w14:paraId="1AE8D871" w14:textId="77777777" w:rsidR="00053D93" w:rsidRDefault="00260B75">
            <w:pPr>
              <w:ind w:right="60"/>
              <w:jc w:val="center"/>
            </w:pPr>
            <w:r>
              <w:rPr>
                <w:rFonts w:ascii="Malgan Gothic" w:eastAsia="Malgan Gothic" w:hAnsi="Malgan Gothic" w:cs="Malgan Gothic"/>
                <w:sz w:val="16"/>
              </w:rPr>
              <w:t>25/11/2024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1C41D39" w14:textId="77777777" w:rsidR="00053D93" w:rsidRDefault="00260B75">
            <w:pPr>
              <w:ind w:left="362"/>
            </w:pPr>
            <w:r>
              <w:rPr>
                <w:rFonts w:ascii="Malgan Gothic" w:eastAsia="Malgan Gothic" w:hAnsi="Malgan Gothic" w:cs="Malgan Gothic"/>
                <w:sz w:val="16"/>
              </w:rPr>
              <w:t>24900.00</w:t>
            </w:r>
          </w:p>
        </w:tc>
      </w:tr>
      <w:tr w:rsidR="00053D93" w14:paraId="577CE673"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6002F015" w14:textId="77777777" w:rsidR="00053D93" w:rsidRDefault="00260B75">
            <w:pPr>
              <w:ind w:left="55"/>
            </w:pPr>
            <w:r>
              <w:rPr>
                <w:rFonts w:ascii="Malgan Gothic" w:eastAsia="Malgan Gothic" w:hAnsi="Malgan Gothic" w:cs="Malgan Gothic"/>
                <w:sz w:val="14"/>
              </w:rPr>
              <w:t>112</w:t>
            </w:r>
          </w:p>
        </w:tc>
        <w:tc>
          <w:tcPr>
            <w:tcW w:w="1229" w:type="dxa"/>
            <w:tcBorders>
              <w:top w:val="single" w:sz="2" w:space="0" w:color="000000"/>
              <w:left w:val="single" w:sz="2" w:space="0" w:color="000000"/>
              <w:bottom w:val="single" w:sz="2" w:space="0" w:color="000000"/>
              <w:right w:val="single" w:sz="2" w:space="0" w:color="000000"/>
            </w:tcBorders>
          </w:tcPr>
          <w:p w14:paraId="6BC13F47" w14:textId="77777777" w:rsidR="00053D93" w:rsidRDefault="00260B75">
            <w:pPr>
              <w:ind w:left="22"/>
            </w:pPr>
            <w:r>
              <w:rPr>
                <w:rFonts w:ascii="Malgan Gothic" w:eastAsia="Malgan Gothic" w:hAnsi="Malgan Gothic" w:cs="Malgan Gothic"/>
                <w:sz w:val="16"/>
              </w:rPr>
              <w:t>E552500917</w:t>
            </w:r>
          </w:p>
        </w:tc>
        <w:tc>
          <w:tcPr>
            <w:tcW w:w="1589" w:type="dxa"/>
            <w:tcBorders>
              <w:top w:val="single" w:sz="2" w:space="0" w:color="000000"/>
              <w:left w:val="single" w:sz="2" w:space="0" w:color="000000"/>
              <w:bottom w:val="single" w:sz="2" w:space="0" w:color="000000"/>
              <w:right w:val="single" w:sz="2" w:space="0" w:color="000000"/>
            </w:tcBorders>
          </w:tcPr>
          <w:p w14:paraId="6FA564FA" w14:textId="77777777" w:rsidR="00053D93" w:rsidRDefault="00260B75">
            <w:pPr>
              <w:ind w:right="46"/>
              <w:jc w:val="center"/>
            </w:pPr>
            <w:r>
              <w:rPr>
                <w:rFonts w:ascii="Malgan Gothic" w:eastAsia="Malgan Gothic" w:hAnsi="Malgan Gothic" w:cs="Malgan Gothic"/>
                <w:sz w:val="14"/>
              </w:rPr>
              <w:t>2024-24573</w:t>
            </w:r>
          </w:p>
        </w:tc>
        <w:tc>
          <w:tcPr>
            <w:tcW w:w="1591" w:type="dxa"/>
            <w:tcBorders>
              <w:top w:val="single" w:sz="2" w:space="0" w:color="000000"/>
              <w:left w:val="single" w:sz="2" w:space="0" w:color="000000"/>
              <w:bottom w:val="single" w:sz="2" w:space="0" w:color="000000"/>
              <w:right w:val="single" w:sz="2" w:space="0" w:color="000000"/>
            </w:tcBorders>
          </w:tcPr>
          <w:p w14:paraId="371FB119" w14:textId="77777777" w:rsidR="00053D93" w:rsidRDefault="00260B75">
            <w:pPr>
              <w:ind w:right="58"/>
              <w:jc w:val="center"/>
            </w:pPr>
            <w:r>
              <w:rPr>
                <w:rFonts w:ascii="Malgan Gothic" w:eastAsia="Malgan Gothic" w:hAnsi="Malgan Gothic" w:cs="Malgan Gothic"/>
                <w:sz w:val="16"/>
              </w:rPr>
              <w:t>31/1 0/2024</w:t>
            </w:r>
          </w:p>
        </w:tc>
        <w:tc>
          <w:tcPr>
            <w:tcW w:w="1911" w:type="dxa"/>
            <w:tcBorders>
              <w:top w:val="single" w:sz="2" w:space="0" w:color="000000"/>
              <w:left w:val="single" w:sz="2" w:space="0" w:color="000000"/>
              <w:bottom w:val="single" w:sz="2" w:space="0" w:color="000000"/>
              <w:right w:val="single" w:sz="2" w:space="0" w:color="000000"/>
            </w:tcBorders>
          </w:tcPr>
          <w:p w14:paraId="55D9E3AC" w14:textId="77777777" w:rsidR="00053D93" w:rsidRDefault="00260B75">
            <w:pPr>
              <w:ind w:right="67"/>
              <w:jc w:val="center"/>
            </w:pPr>
            <w:r>
              <w:rPr>
                <w:rFonts w:ascii="Malgan Gothic" w:eastAsia="Malgan Gothic" w:hAnsi="Malgan Gothic" w:cs="Malgan Gothic"/>
                <w:sz w:val="16"/>
              </w:rPr>
              <w:t>27/11/2024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2300244A" w14:textId="77777777" w:rsidR="00053D93" w:rsidRDefault="00260B75">
            <w:pPr>
              <w:ind w:left="355"/>
            </w:pPr>
            <w:r>
              <w:rPr>
                <w:rFonts w:ascii="Malgan Gothic" w:eastAsia="Malgan Gothic" w:hAnsi="Malgan Gothic" w:cs="Malgan Gothic"/>
                <w:sz w:val="18"/>
              </w:rPr>
              <w:t>21,452.00</w:t>
            </w:r>
          </w:p>
        </w:tc>
      </w:tr>
      <w:tr w:rsidR="00053D93" w14:paraId="2E56EA39"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6DA1B320" w14:textId="77777777" w:rsidR="00053D93" w:rsidRDefault="00260B75">
            <w:pPr>
              <w:ind w:left="48"/>
            </w:pPr>
            <w:r>
              <w:rPr>
                <w:rFonts w:ascii="Malgan Gothic" w:eastAsia="Malgan Gothic" w:hAnsi="Malgan Gothic" w:cs="Malgan Gothic"/>
                <w:sz w:val="16"/>
              </w:rPr>
              <w:t>113</w:t>
            </w:r>
          </w:p>
        </w:tc>
        <w:tc>
          <w:tcPr>
            <w:tcW w:w="1229" w:type="dxa"/>
            <w:tcBorders>
              <w:top w:val="single" w:sz="2" w:space="0" w:color="000000"/>
              <w:left w:val="single" w:sz="2" w:space="0" w:color="000000"/>
              <w:bottom w:val="single" w:sz="2" w:space="0" w:color="000000"/>
              <w:right w:val="single" w:sz="2" w:space="0" w:color="000000"/>
            </w:tcBorders>
          </w:tcPr>
          <w:p w14:paraId="6F61BB4C" w14:textId="77777777" w:rsidR="00053D93" w:rsidRDefault="00260B75">
            <w:pPr>
              <w:ind w:left="22"/>
            </w:pPr>
            <w:r>
              <w:rPr>
                <w:rFonts w:ascii="Malgan Gothic" w:eastAsia="Malgan Gothic" w:hAnsi="Malgan Gothic" w:cs="Malgan Gothic"/>
                <w:sz w:val="16"/>
              </w:rPr>
              <w:t>E552519545</w:t>
            </w:r>
          </w:p>
        </w:tc>
        <w:tc>
          <w:tcPr>
            <w:tcW w:w="1589" w:type="dxa"/>
            <w:tcBorders>
              <w:top w:val="single" w:sz="2" w:space="0" w:color="000000"/>
              <w:left w:val="single" w:sz="2" w:space="0" w:color="000000"/>
              <w:bottom w:val="single" w:sz="2" w:space="0" w:color="000000"/>
              <w:right w:val="single" w:sz="2" w:space="0" w:color="000000"/>
            </w:tcBorders>
          </w:tcPr>
          <w:p w14:paraId="135B4960" w14:textId="77777777" w:rsidR="00053D93" w:rsidRDefault="00260B75">
            <w:pPr>
              <w:ind w:right="60"/>
              <w:jc w:val="center"/>
            </w:pPr>
            <w:r>
              <w:rPr>
                <w:rFonts w:ascii="Malgan Gothic" w:eastAsia="Malgan Gothic" w:hAnsi="Malgan Gothic" w:cs="Malgan Gothic"/>
                <w:sz w:val="14"/>
              </w:rPr>
              <w:t>2024-25212</w:t>
            </w:r>
          </w:p>
        </w:tc>
        <w:tc>
          <w:tcPr>
            <w:tcW w:w="1591" w:type="dxa"/>
            <w:tcBorders>
              <w:top w:val="single" w:sz="2" w:space="0" w:color="000000"/>
              <w:left w:val="single" w:sz="2" w:space="0" w:color="000000"/>
              <w:bottom w:val="single" w:sz="2" w:space="0" w:color="000000"/>
              <w:right w:val="single" w:sz="2" w:space="0" w:color="000000"/>
            </w:tcBorders>
          </w:tcPr>
          <w:p w14:paraId="301A979B" w14:textId="77777777" w:rsidR="00053D93" w:rsidRDefault="00260B75">
            <w:pPr>
              <w:ind w:right="72"/>
              <w:jc w:val="center"/>
            </w:pPr>
            <w:r>
              <w:rPr>
                <w:rFonts w:ascii="Malgan Gothic" w:eastAsia="Malgan Gothic" w:hAnsi="Malgan Gothic" w:cs="Malgan Gothic"/>
                <w:sz w:val="14"/>
              </w:rPr>
              <w:t>2/10/2024</w:t>
            </w:r>
          </w:p>
        </w:tc>
        <w:tc>
          <w:tcPr>
            <w:tcW w:w="1911" w:type="dxa"/>
            <w:tcBorders>
              <w:top w:val="single" w:sz="2" w:space="0" w:color="000000"/>
              <w:left w:val="single" w:sz="2" w:space="0" w:color="000000"/>
              <w:bottom w:val="single" w:sz="2" w:space="0" w:color="000000"/>
              <w:right w:val="single" w:sz="2" w:space="0" w:color="000000"/>
            </w:tcBorders>
          </w:tcPr>
          <w:p w14:paraId="0736E3D6" w14:textId="77777777" w:rsidR="00053D93" w:rsidRDefault="00260B75">
            <w:pPr>
              <w:ind w:right="67"/>
              <w:jc w:val="center"/>
            </w:pPr>
            <w:r>
              <w:rPr>
                <w:rFonts w:ascii="Malgan Gothic" w:eastAsia="Malgan Gothic" w:hAnsi="Malgan Gothic" w:cs="Malgan Gothic"/>
                <w:sz w:val="14"/>
              </w:rPr>
              <w:t>27/11/2024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FCF4A01" w14:textId="77777777" w:rsidR="00053D93" w:rsidRDefault="00260B75">
            <w:pPr>
              <w:ind w:left="369"/>
            </w:pPr>
            <w:r>
              <w:rPr>
                <w:rFonts w:ascii="Malgan Gothic" w:eastAsia="Malgan Gothic" w:hAnsi="Malgan Gothic" w:cs="Malgan Gothic"/>
                <w:sz w:val="18"/>
              </w:rPr>
              <w:t>16,400.00</w:t>
            </w:r>
          </w:p>
        </w:tc>
      </w:tr>
      <w:tr w:rsidR="00053D93" w14:paraId="446EEE50" w14:textId="77777777">
        <w:trPr>
          <w:trHeight w:val="535"/>
        </w:trPr>
        <w:tc>
          <w:tcPr>
            <w:tcW w:w="631" w:type="dxa"/>
            <w:gridSpan w:val="2"/>
            <w:tcBorders>
              <w:top w:val="single" w:sz="2" w:space="0" w:color="000000"/>
              <w:left w:val="single" w:sz="2" w:space="0" w:color="000000"/>
              <w:bottom w:val="single" w:sz="2" w:space="0" w:color="000000"/>
              <w:right w:val="single" w:sz="2" w:space="0" w:color="000000"/>
            </w:tcBorders>
          </w:tcPr>
          <w:p w14:paraId="576448B9" w14:textId="77777777" w:rsidR="00053D93" w:rsidRDefault="00260B75">
            <w:pPr>
              <w:ind w:left="55"/>
            </w:pPr>
            <w:r>
              <w:rPr>
                <w:rFonts w:ascii="Malgan Gothic" w:eastAsia="Malgan Gothic" w:hAnsi="Malgan Gothic" w:cs="Malgan Gothic"/>
                <w:sz w:val="16"/>
              </w:rPr>
              <w:t>114</w:t>
            </w:r>
          </w:p>
        </w:tc>
        <w:tc>
          <w:tcPr>
            <w:tcW w:w="1229" w:type="dxa"/>
            <w:tcBorders>
              <w:top w:val="single" w:sz="2" w:space="0" w:color="000000"/>
              <w:left w:val="single" w:sz="2" w:space="0" w:color="000000"/>
              <w:bottom w:val="single" w:sz="2" w:space="0" w:color="000000"/>
              <w:right w:val="single" w:sz="2" w:space="0" w:color="000000"/>
            </w:tcBorders>
          </w:tcPr>
          <w:p w14:paraId="3D46CE01" w14:textId="77777777" w:rsidR="00053D93" w:rsidRDefault="00260B75">
            <w:pPr>
              <w:ind w:left="22"/>
            </w:pPr>
            <w:r>
              <w:rPr>
                <w:rFonts w:ascii="Malgan Gothic" w:eastAsia="Malgan Gothic" w:hAnsi="Malgan Gothic" w:cs="Malgan Gothic"/>
                <w:sz w:val="16"/>
              </w:rPr>
              <w:t>E552524190</w:t>
            </w:r>
          </w:p>
        </w:tc>
        <w:tc>
          <w:tcPr>
            <w:tcW w:w="1589" w:type="dxa"/>
            <w:tcBorders>
              <w:top w:val="single" w:sz="2" w:space="0" w:color="000000"/>
              <w:left w:val="single" w:sz="2" w:space="0" w:color="000000"/>
              <w:bottom w:val="single" w:sz="2" w:space="0" w:color="000000"/>
              <w:right w:val="single" w:sz="2" w:space="0" w:color="000000"/>
            </w:tcBorders>
          </w:tcPr>
          <w:p w14:paraId="6059CC4F" w14:textId="77777777" w:rsidR="00053D93" w:rsidRDefault="00260B75">
            <w:pPr>
              <w:ind w:right="60"/>
              <w:jc w:val="center"/>
            </w:pPr>
            <w:r>
              <w:rPr>
                <w:rFonts w:ascii="Malgan Gothic" w:eastAsia="Malgan Gothic" w:hAnsi="Malgan Gothic" w:cs="Malgan Gothic"/>
                <w:sz w:val="14"/>
              </w:rPr>
              <w:t>2024-25212</w:t>
            </w:r>
          </w:p>
        </w:tc>
        <w:tc>
          <w:tcPr>
            <w:tcW w:w="1591" w:type="dxa"/>
            <w:tcBorders>
              <w:top w:val="single" w:sz="2" w:space="0" w:color="000000"/>
              <w:left w:val="single" w:sz="2" w:space="0" w:color="000000"/>
              <w:bottom w:val="single" w:sz="2" w:space="0" w:color="000000"/>
              <w:right w:val="single" w:sz="2" w:space="0" w:color="000000"/>
            </w:tcBorders>
          </w:tcPr>
          <w:p w14:paraId="6FFFEBA2" w14:textId="77777777" w:rsidR="00053D93" w:rsidRDefault="00260B75">
            <w:pPr>
              <w:ind w:right="79"/>
              <w:jc w:val="center"/>
            </w:pPr>
            <w:r>
              <w:rPr>
                <w:rFonts w:ascii="Malgan Gothic" w:eastAsia="Malgan Gothic" w:hAnsi="Malgan Gothic" w:cs="Malgan Gothic"/>
                <w:sz w:val="16"/>
              </w:rPr>
              <w:t>2/10/2024</w:t>
            </w:r>
          </w:p>
        </w:tc>
        <w:tc>
          <w:tcPr>
            <w:tcW w:w="1911" w:type="dxa"/>
            <w:tcBorders>
              <w:top w:val="single" w:sz="2" w:space="0" w:color="000000"/>
              <w:left w:val="single" w:sz="2" w:space="0" w:color="000000"/>
              <w:bottom w:val="single" w:sz="2" w:space="0" w:color="000000"/>
              <w:right w:val="single" w:sz="2" w:space="0" w:color="000000"/>
            </w:tcBorders>
          </w:tcPr>
          <w:p w14:paraId="47FF8622" w14:textId="77777777" w:rsidR="00053D93" w:rsidRDefault="00260B75">
            <w:pPr>
              <w:ind w:right="75"/>
              <w:jc w:val="center"/>
            </w:pPr>
            <w:r>
              <w:rPr>
                <w:rFonts w:ascii="Malgan Gothic" w:eastAsia="Malgan Gothic" w:hAnsi="Malgan Gothic" w:cs="Malgan Gothic"/>
                <w:sz w:val="16"/>
              </w:rPr>
              <w:t>27/11/2024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30C9AFED" w14:textId="77777777" w:rsidR="00053D93" w:rsidRDefault="00260B75">
            <w:pPr>
              <w:ind w:left="355"/>
            </w:pPr>
            <w:r>
              <w:rPr>
                <w:rFonts w:ascii="Malgan Gothic" w:eastAsia="Malgan Gothic" w:hAnsi="Malgan Gothic" w:cs="Malgan Gothic"/>
                <w:sz w:val="16"/>
              </w:rPr>
              <w:t>22|880.00</w:t>
            </w:r>
          </w:p>
        </w:tc>
      </w:tr>
      <w:tr w:rsidR="00053D93" w14:paraId="65810B85" w14:textId="77777777">
        <w:trPr>
          <w:trHeight w:val="526"/>
        </w:trPr>
        <w:tc>
          <w:tcPr>
            <w:tcW w:w="631" w:type="dxa"/>
            <w:gridSpan w:val="2"/>
            <w:tcBorders>
              <w:top w:val="single" w:sz="2" w:space="0" w:color="000000"/>
              <w:left w:val="single" w:sz="2" w:space="0" w:color="000000"/>
              <w:bottom w:val="single" w:sz="2" w:space="0" w:color="000000"/>
              <w:right w:val="single" w:sz="2" w:space="0" w:color="000000"/>
            </w:tcBorders>
          </w:tcPr>
          <w:p w14:paraId="6EB95D62" w14:textId="77777777" w:rsidR="00053D93" w:rsidRDefault="00260B75">
            <w:pPr>
              <w:ind w:left="48"/>
            </w:pPr>
            <w:r>
              <w:rPr>
                <w:rFonts w:ascii="Malgan Gothic" w:eastAsia="Malgan Gothic" w:hAnsi="Malgan Gothic" w:cs="Malgan Gothic"/>
                <w:sz w:val="14"/>
              </w:rPr>
              <w:t>115</w:t>
            </w:r>
          </w:p>
        </w:tc>
        <w:tc>
          <w:tcPr>
            <w:tcW w:w="1229" w:type="dxa"/>
            <w:tcBorders>
              <w:top w:val="single" w:sz="2" w:space="0" w:color="000000"/>
              <w:left w:val="single" w:sz="2" w:space="0" w:color="000000"/>
              <w:bottom w:val="single" w:sz="2" w:space="0" w:color="000000"/>
              <w:right w:val="single" w:sz="2" w:space="0" w:color="000000"/>
            </w:tcBorders>
          </w:tcPr>
          <w:p w14:paraId="58406F23" w14:textId="77777777" w:rsidR="00053D93" w:rsidRDefault="00260B75">
            <w:pPr>
              <w:ind w:left="14"/>
            </w:pPr>
            <w:r>
              <w:rPr>
                <w:rFonts w:ascii="Malgan Gothic" w:eastAsia="Malgan Gothic" w:hAnsi="Malgan Gothic" w:cs="Malgan Gothic"/>
                <w:sz w:val="16"/>
              </w:rPr>
              <w:t>E552529370</w:t>
            </w:r>
          </w:p>
        </w:tc>
        <w:tc>
          <w:tcPr>
            <w:tcW w:w="1589" w:type="dxa"/>
            <w:tcBorders>
              <w:top w:val="single" w:sz="2" w:space="0" w:color="000000"/>
              <w:left w:val="single" w:sz="2" w:space="0" w:color="000000"/>
              <w:bottom w:val="single" w:sz="2" w:space="0" w:color="000000"/>
              <w:right w:val="single" w:sz="2" w:space="0" w:color="000000"/>
            </w:tcBorders>
          </w:tcPr>
          <w:p w14:paraId="3AF47957" w14:textId="77777777" w:rsidR="00053D93" w:rsidRDefault="00260B75">
            <w:pPr>
              <w:ind w:right="75"/>
              <w:jc w:val="center"/>
            </w:pPr>
            <w:r>
              <w:rPr>
                <w:rFonts w:ascii="Malgan Gothic" w:eastAsia="Malgan Gothic" w:hAnsi="Malgan Gothic" w:cs="Malgan Gothic"/>
                <w:sz w:val="16"/>
              </w:rPr>
              <w:t>2024-25207</w:t>
            </w:r>
          </w:p>
        </w:tc>
        <w:tc>
          <w:tcPr>
            <w:tcW w:w="1591" w:type="dxa"/>
            <w:tcBorders>
              <w:top w:val="single" w:sz="2" w:space="0" w:color="000000"/>
              <w:left w:val="single" w:sz="2" w:space="0" w:color="000000"/>
              <w:bottom w:val="single" w:sz="2" w:space="0" w:color="000000"/>
              <w:right w:val="single" w:sz="2" w:space="0" w:color="000000"/>
            </w:tcBorders>
          </w:tcPr>
          <w:p w14:paraId="4FDFE076" w14:textId="77777777" w:rsidR="00053D93" w:rsidRDefault="00260B75">
            <w:pPr>
              <w:ind w:right="72"/>
              <w:jc w:val="center"/>
            </w:pPr>
            <w:r>
              <w:rPr>
                <w:rFonts w:ascii="Malgan Gothic" w:eastAsia="Malgan Gothic" w:hAnsi="Malgan Gothic" w:cs="Malgan Gothic"/>
                <w:sz w:val="14"/>
              </w:rPr>
              <w:t>14/1 0/2024</w:t>
            </w:r>
          </w:p>
        </w:tc>
        <w:tc>
          <w:tcPr>
            <w:tcW w:w="1911" w:type="dxa"/>
            <w:tcBorders>
              <w:top w:val="single" w:sz="2" w:space="0" w:color="000000"/>
              <w:left w:val="single" w:sz="2" w:space="0" w:color="000000"/>
              <w:bottom w:val="single" w:sz="2" w:space="0" w:color="000000"/>
              <w:right w:val="single" w:sz="2" w:space="0" w:color="000000"/>
            </w:tcBorders>
          </w:tcPr>
          <w:p w14:paraId="5AB2F13F" w14:textId="77777777" w:rsidR="00053D93" w:rsidRDefault="00260B75">
            <w:pPr>
              <w:ind w:right="75"/>
              <w:jc w:val="center"/>
            </w:pPr>
            <w:r>
              <w:rPr>
                <w:rFonts w:ascii="Malgan Gothic" w:eastAsia="Malgan Gothic" w:hAnsi="Malgan Gothic" w:cs="Malgan Gothic"/>
                <w:sz w:val="16"/>
              </w:rPr>
              <w:t>27/11/2024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1DDDEAAF" w14:textId="77777777" w:rsidR="00053D93" w:rsidRDefault="00260B75">
            <w:pPr>
              <w:ind w:left="355"/>
            </w:pPr>
            <w:r>
              <w:rPr>
                <w:rFonts w:ascii="Malgan Gothic" w:eastAsia="Malgan Gothic" w:hAnsi="Malgan Gothic" w:cs="Malgan Gothic"/>
                <w:sz w:val="16"/>
              </w:rPr>
              <w:t>23|521.50</w:t>
            </w:r>
          </w:p>
        </w:tc>
      </w:tr>
      <w:tr w:rsidR="00053D93" w14:paraId="7E0D7B3F" w14:textId="77777777">
        <w:trPr>
          <w:trHeight w:val="530"/>
        </w:trPr>
        <w:tc>
          <w:tcPr>
            <w:tcW w:w="631" w:type="dxa"/>
            <w:gridSpan w:val="2"/>
            <w:tcBorders>
              <w:top w:val="single" w:sz="2" w:space="0" w:color="000000"/>
              <w:left w:val="single" w:sz="2" w:space="0" w:color="000000"/>
              <w:bottom w:val="single" w:sz="2" w:space="0" w:color="000000"/>
              <w:right w:val="single" w:sz="2" w:space="0" w:color="000000"/>
            </w:tcBorders>
          </w:tcPr>
          <w:p w14:paraId="22A3E641" w14:textId="77777777" w:rsidR="00053D93" w:rsidRDefault="00260B75">
            <w:pPr>
              <w:ind w:left="41"/>
            </w:pPr>
            <w:r>
              <w:rPr>
                <w:rFonts w:ascii="Malgan Gothic" w:eastAsia="Malgan Gothic" w:hAnsi="Malgan Gothic" w:cs="Malgan Gothic"/>
                <w:sz w:val="16"/>
              </w:rPr>
              <w:t>116</w:t>
            </w:r>
          </w:p>
        </w:tc>
        <w:tc>
          <w:tcPr>
            <w:tcW w:w="1229" w:type="dxa"/>
            <w:tcBorders>
              <w:top w:val="single" w:sz="2" w:space="0" w:color="000000"/>
              <w:left w:val="single" w:sz="2" w:space="0" w:color="000000"/>
              <w:bottom w:val="single" w:sz="2" w:space="0" w:color="000000"/>
              <w:right w:val="single" w:sz="2" w:space="0" w:color="000000"/>
            </w:tcBorders>
          </w:tcPr>
          <w:p w14:paraId="04C50589" w14:textId="77777777" w:rsidR="00053D93" w:rsidRDefault="00260B75">
            <w:pPr>
              <w:ind w:left="7"/>
            </w:pPr>
            <w:r>
              <w:rPr>
                <w:rFonts w:ascii="Malgan Gothic" w:eastAsia="Malgan Gothic" w:hAnsi="Malgan Gothic" w:cs="Malgan Gothic"/>
                <w:sz w:val="16"/>
              </w:rPr>
              <w:t>E552537853</w:t>
            </w:r>
          </w:p>
        </w:tc>
        <w:tc>
          <w:tcPr>
            <w:tcW w:w="1589" w:type="dxa"/>
            <w:tcBorders>
              <w:top w:val="single" w:sz="2" w:space="0" w:color="000000"/>
              <w:left w:val="single" w:sz="2" w:space="0" w:color="000000"/>
              <w:bottom w:val="single" w:sz="2" w:space="0" w:color="000000"/>
              <w:right w:val="single" w:sz="2" w:space="0" w:color="000000"/>
            </w:tcBorders>
          </w:tcPr>
          <w:p w14:paraId="15721BE9" w14:textId="77777777" w:rsidR="00053D93" w:rsidRDefault="00260B75">
            <w:pPr>
              <w:ind w:right="96"/>
              <w:jc w:val="center"/>
            </w:pPr>
            <w:r>
              <w:rPr>
                <w:rFonts w:ascii="Malgan Gothic" w:eastAsia="Malgan Gothic" w:hAnsi="Malgan Gothic" w:cs="Malgan Gothic"/>
                <w:sz w:val="16"/>
              </w:rPr>
              <w:t>2024-25421</w:t>
            </w:r>
          </w:p>
        </w:tc>
        <w:tc>
          <w:tcPr>
            <w:tcW w:w="1591" w:type="dxa"/>
            <w:tcBorders>
              <w:top w:val="single" w:sz="2" w:space="0" w:color="000000"/>
              <w:left w:val="single" w:sz="2" w:space="0" w:color="000000"/>
              <w:bottom w:val="single" w:sz="2" w:space="0" w:color="000000"/>
              <w:right w:val="single" w:sz="2" w:space="0" w:color="000000"/>
            </w:tcBorders>
          </w:tcPr>
          <w:p w14:paraId="55A56387" w14:textId="77777777" w:rsidR="00053D93" w:rsidRDefault="00260B75">
            <w:pPr>
              <w:ind w:right="72"/>
              <w:jc w:val="center"/>
            </w:pPr>
            <w:r>
              <w:rPr>
                <w:rFonts w:ascii="Malgan Gothic" w:eastAsia="Malgan Gothic" w:hAnsi="Malgan Gothic" w:cs="Malgan Gothic"/>
                <w:sz w:val="14"/>
              </w:rPr>
              <w:t>14/1112024</w:t>
            </w:r>
          </w:p>
        </w:tc>
        <w:tc>
          <w:tcPr>
            <w:tcW w:w="1911" w:type="dxa"/>
            <w:tcBorders>
              <w:top w:val="single" w:sz="2" w:space="0" w:color="000000"/>
              <w:left w:val="single" w:sz="2" w:space="0" w:color="000000"/>
              <w:bottom w:val="single" w:sz="2" w:space="0" w:color="000000"/>
              <w:right w:val="single" w:sz="2" w:space="0" w:color="000000"/>
            </w:tcBorders>
          </w:tcPr>
          <w:p w14:paraId="44E8207D" w14:textId="77777777" w:rsidR="00053D93" w:rsidRDefault="00260B75">
            <w:pPr>
              <w:ind w:right="82"/>
              <w:jc w:val="center"/>
            </w:pPr>
            <w:r>
              <w:rPr>
                <w:rFonts w:ascii="Malgan Gothic" w:eastAsia="Malgan Gothic" w:hAnsi="Malgan Gothic" w:cs="Malgan Gothic"/>
                <w:sz w:val="16"/>
              </w:rPr>
              <w:t>27/11/2024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18332B36" w14:textId="77777777" w:rsidR="00053D93" w:rsidRDefault="00260B75">
            <w:pPr>
              <w:ind w:left="355"/>
            </w:pPr>
            <w:r>
              <w:rPr>
                <w:rFonts w:ascii="Malgan Gothic" w:eastAsia="Malgan Gothic" w:hAnsi="Malgan Gothic" w:cs="Malgan Gothic"/>
                <w:sz w:val="16"/>
              </w:rPr>
              <w:t>23,275.00</w:t>
            </w:r>
          </w:p>
        </w:tc>
      </w:tr>
      <w:tr w:rsidR="00053D93" w14:paraId="2CCBDC14" w14:textId="77777777">
        <w:trPr>
          <w:trHeight w:val="526"/>
        </w:trPr>
        <w:tc>
          <w:tcPr>
            <w:tcW w:w="631" w:type="dxa"/>
            <w:gridSpan w:val="2"/>
            <w:tcBorders>
              <w:top w:val="single" w:sz="2" w:space="0" w:color="000000"/>
              <w:left w:val="single" w:sz="2" w:space="0" w:color="000000"/>
              <w:bottom w:val="single" w:sz="2" w:space="0" w:color="000000"/>
              <w:right w:val="single" w:sz="2" w:space="0" w:color="000000"/>
            </w:tcBorders>
          </w:tcPr>
          <w:p w14:paraId="663E2EC6" w14:textId="77777777" w:rsidR="00053D93" w:rsidRDefault="00260B75">
            <w:pPr>
              <w:ind w:left="41"/>
            </w:pPr>
            <w:r>
              <w:rPr>
                <w:rFonts w:ascii="Malgan Gothic" w:eastAsia="Malgan Gothic" w:hAnsi="Malgan Gothic" w:cs="Malgan Gothic"/>
                <w:sz w:val="16"/>
              </w:rPr>
              <w:t>117</w:t>
            </w:r>
          </w:p>
        </w:tc>
        <w:tc>
          <w:tcPr>
            <w:tcW w:w="1229" w:type="dxa"/>
            <w:tcBorders>
              <w:top w:val="single" w:sz="2" w:space="0" w:color="000000"/>
              <w:left w:val="single" w:sz="2" w:space="0" w:color="000000"/>
              <w:bottom w:val="single" w:sz="2" w:space="0" w:color="000000"/>
              <w:right w:val="single" w:sz="2" w:space="0" w:color="000000"/>
            </w:tcBorders>
          </w:tcPr>
          <w:p w14:paraId="7A954AC0" w14:textId="77777777" w:rsidR="00053D93" w:rsidRDefault="00260B75">
            <w:pPr>
              <w:ind w:left="7"/>
            </w:pPr>
            <w:r>
              <w:rPr>
                <w:rFonts w:ascii="Malgan Gothic" w:eastAsia="Malgan Gothic" w:hAnsi="Malgan Gothic" w:cs="Malgan Gothic"/>
                <w:sz w:val="16"/>
              </w:rPr>
              <w:t>E552582670</w:t>
            </w:r>
          </w:p>
        </w:tc>
        <w:tc>
          <w:tcPr>
            <w:tcW w:w="1589" w:type="dxa"/>
            <w:tcBorders>
              <w:top w:val="single" w:sz="2" w:space="0" w:color="000000"/>
              <w:left w:val="single" w:sz="2" w:space="0" w:color="000000"/>
              <w:bottom w:val="single" w:sz="2" w:space="0" w:color="000000"/>
              <w:right w:val="single" w:sz="2" w:space="0" w:color="000000"/>
            </w:tcBorders>
          </w:tcPr>
          <w:p w14:paraId="4C61AC5F" w14:textId="77777777" w:rsidR="00053D93" w:rsidRDefault="00260B75">
            <w:pPr>
              <w:ind w:right="82"/>
              <w:jc w:val="center"/>
            </w:pPr>
            <w:r>
              <w:rPr>
                <w:rFonts w:ascii="Malgan Gothic" w:eastAsia="Malgan Gothic" w:hAnsi="Malgan Gothic" w:cs="Malgan Gothic"/>
                <w:sz w:val="14"/>
              </w:rPr>
              <w:t>2024-25496</w:t>
            </w:r>
          </w:p>
        </w:tc>
        <w:tc>
          <w:tcPr>
            <w:tcW w:w="1591" w:type="dxa"/>
            <w:tcBorders>
              <w:top w:val="single" w:sz="2" w:space="0" w:color="000000"/>
              <w:left w:val="single" w:sz="2" w:space="0" w:color="000000"/>
              <w:bottom w:val="single" w:sz="2" w:space="0" w:color="000000"/>
              <w:right w:val="single" w:sz="2" w:space="0" w:color="000000"/>
            </w:tcBorders>
          </w:tcPr>
          <w:p w14:paraId="5A1EA5D5" w14:textId="77777777" w:rsidR="00053D93" w:rsidRDefault="00260B75">
            <w:pPr>
              <w:ind w:right="72"/>
              <w:jc w:val="center"/>
            </w:pPr>
            <w:r>
              <w:rPr>
                <w:rFonts w:ascii="Malgan Gothic" w:eastAsia="Malgan Gothic" w:hAnsi="Malgan Gothic" w:cs="Malgan Gothic"/>
                <w:sz w:val="14"/>
              </w:rPr>
              <w:t>19/11/2024</w:t>
            </w:r>
          </w:p>
        </w:tc>
        <w:tc>
          <w:tcPr>
            <w:tcW w:w="1911" w:type="dxa"/>
            <w:tcBorders>
              <w:top w:val="single" w:sz="2" w:space="0" w:color="000000"/>
              <w:left w:val="single" w:sz="2" w:space="0" w:color="000000"/>
              <w:bottom w:val="single" w:sz="2" w:space="0" w:color="000000"/>
              <w:right w:val="single" w:sz="2" w:space="0" w:color="000000"/>
            </w:tcBorders>
          </w:tcPr>
          <w:p w14:paraId="64CCB6BE" w14:textId="77777777" w:rsidR="00053D93" w:rsidRDefault="00260B75">
            <w:pPr>
              <w:ind w:right="82"/>
              <w:jc w:val="center"/>
            </w:pPr>
            <w:r>
              <w:rPr>
                <w:rFonts w:ascii="Malgan Gothic" w:eastAsia="Malgan Gothic" w:hAnsi="Malgan Gothic" w:cs="Malgan Gothic"/>
                <w:sz w:val="14"/>
              </w:rPr>
              <w:t>28i11/2024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1C8B731D" w14:textId="77777777" w:rsidR="00053D93" w:rsidRDefault="00260B75">
            <w:pPr>
              <w:ind w:right="101"/>
              <w:jc w:val="right"/>
            </w:pPr>
            <w:r>
              <w:rPr>
                <w:rFonts w:ascii="Malgan Gothic" w:eastAsia="Malgan Gothic" w:hAnsi="Malgan Gothic" w:cs="Malgan Gothic"/>
                <w:sz w:val="14"/>
              </w:rPr>
              <w:t>92.00</w:t>
            </w:r>
          </w:p>
        </w:tc>
      </w:tr>
      <w:tr w:rsidR="00053D93" w14:paraId="63AF30E2"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23C6BC1E" w14:textId="77777777" w:rsidR="00053D93" w:rsidRDefault="00260B75">
            <w:pPr>
              <w:ind w:left="33"/>
            </w:pPr>
            <w:r>
              <w:rPr>
                <w:rFonts w:ascii="Malgan Gothic" w:eastAsia="Malgan Gothic" w:hAnsi="Malgan Gothic" w:cs="Malgan Gothic"/>
                <w:sz w:val="14"/>
              </w:rPr>
              <w:t>118</w:t>
            </w:r>
          </w:p>
        </w:tc>
        <w:tc>
          <w:tcPr>
            <w:tcW w:w="1229" w:type="dxa"/>
            <w:tcBorders>
              <w:top w:val="single" w:sz="2" w:space="0" w:color="000000"/>
              <w:left w:val="single" w:sz="2" w:space="0" w:color="000000"/>
              <w:bottom w:val="single" w:sz="2" w:space="0" w:color="000000"/>
              <w:right w:val="single" w:sz="2" w:space="0" w:color="000000"/>
            </w:tcBorders>
          </w:tcPr>
          <w:p w14:paraId="1A2B7E01" w14:textId="77777777" w:rsidR="00053D93" w:rsidRDefault="00260B75">
            <w:r>
              <w:rPr>
                <w:rFonts w:ascii="Malgan Gothic" w:eastAsia="Malgan Gothic" w:hAnsi="Malgan Gothic" w:cs="Malgan Gothic"/>
                <w:sz w:val="14"/>
              </w:rPr>
              <w:t>E552589330</w:t>
            </w:r>
          </w:p>
        </w:tc>
        <w:tc>
          <w:tcPr>
            <w:tcW w:w="1589" w:type="dxa"/>
            <w:tcBorders>
              <w:top w:val="single" w:sz="2" w:space="0" w:color="000000"/>
              <w:left w:val="single" w:sz="2" w:space="0" w:color="000000"/>
              <w:bottom w:val="single" w:sz="2" w:space="0" w:color="000000"/>
              <w:right w:val="single" w:sz="2" w:space="0" w:color="000000"/>
            </w:tcBorders>
          </w:tcPr>
          <w:p w14:paraId="118D9B32" w14:textId="77777777" w:rsidR="00053D93" w:rsidRDefault="00260B75">
            <w:pPr>
              <w:ind w:right="89"/>
              <w:jc w:val="center"/>
            </w:pPr>
            <w:r>
              <w:rPr>
                <w:rFonts w:ascii="Malgan Gothic" w:eastAsia="Malgan Gothic" w:hAnsi="Malgan Gothic" w:cs="Malgan Gothic"/>
                <w:sz w:val="16"/>
              </w:rPr>
              <w:t>2024-25549</w:t>
            </w:r>
          </w:p>
        </w:tc>
        <w:tc>
          <w:tcPr>
            <w:tcW w:w="1591" w:type="dxa"/>
            <w:tcBorders>
              <w:top w:val="single" w:sz="2" w:space="0" w:color="000000"/>
              <w:left w:val="single" w:sz="2" w:space="0" w:color="000000"/>
              <w:bottom w:val="single" w:sz="2" w:space="0" w:color="000000"/>
              <w:right w:val="single" w:sz="2" w:space="0" w:color="000000"/>
            </w:tcBorders>
          </w:tcPr>
          <w:p w14:paraId="008794CD" w14:textId="77777777" w:rsidR="00053D93" w:rsidRDefault="00260B75">
            <w:pPr>
              <w:ind w:right="86"/>
              <w:jc w:val="center"/>
            </w:pPr>
            <w:r>
              <w:rPr>
                <w:rFonts w:ascii="Malgan Gothic" w:eastAsia="Malgan Gothic" w:hAnsi="Malgan Gothic" w:cs="Malgan Gothic"/>
                <w:sz w:val="14"/>
              </w:rPr>
              <w:t>19/1 1/2024</w:t>
            </w:r>
          </w:p>
        </w:tc>
        <w:tc>
          <w:tcPr>
            <w:tcW w:w="1911" w:type="dxa"/>
            <w:tcBorders>
              <w:top w:val="single" w:sz="2" w:space="0" w:color="000000"/>
              <w:left w:val="single" w:sz="2" w:space="0" w:color="000000"/>
              <w:bottom w:val="single" w:sz="2" w:space="0" w:color="000000"/>
              <w:right w:val="single" w:sz="2" w:space="0" w:color="000000"/>
            </w:tcBorders>
          </w:tcPr>
          <w:p w14:paraId="6C642275" w14:textId="77777777" w:rsidR="00053D93" w:rsidRDefault="00260B75">
            <w:pPr>
              <w:ind w:right="89"/>
              <w:jc w:val="center"/>
            </w:pPr>
            <w:r>
              <w:rPr>
                <w:rFonts w:ascii="Malgan Gothic" w:eastAsia="Malgan Gothic" w:hAnsi="Malgan Gothic" w:cs="Malgan Gothic"/>
                <w:sz w:val="14"/>
              </w:rPr>
              <w:t>28/11/2024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88AE63A" w14:textId="77777777" w:rsidR="00053D93" w:rsidRDefault="00260B75">
            <w:pPr>
              <w:ind w:right="108"/>
              <w:jc w:val="right"/>
            </w:pPr>
            <w:r>
              <w:rPr>
                <w:rFonts w:ascii="Malgan Gothic" w:eastAsia="Malgan Gothic" w:hAnsi="Malgan Gothic" w:cs="Malgan Gothic"/>
                <w:sz w:val="14"/>
              </w:rPr>
              <w:t>120.00</w:t>
            </w:r>
          </w:p>
        </w:tc>
      </w:tr>
      <w:tr w:rsidR="00053D93" w14:paraId="291546EA" w14:textId="77777777">
        <w:trPr>
          <w:trHeight w:val="533"/>
        </w:trPr>
        <w:tc>
          <w:tcPr>
            <w:tcW w:w="631" w:type="dxa"/>
            <w:gridSpan w:val="2"/>
            <w:tcBorders>
              <w:top w:val="single" w:sz="2" w:space="0" w:color="000000"/>
              <w:left w:val="single" w:sz="2" w:space="0" w:color="000000"/>
              <w:bottom w:val="single" w:sz="2" w:space="0" w:color="000000"/>
              <w:right w:val="single" w:sz="2" w:space="0" w:color="000000"/>
            </w:tcBorders>
          </w:tcPr>
          <w:p w14:paraId="52F34AEE" w14:textId="77777777" w:rsidR="00053D93" w:rsidRDefault="00260B75">
            <w:pPr>
              <w:ind w:left="33"/>
            </w:pPr>
            <w:r>
              <w:rPr>
                <w:rFonts w:ascii="Malgan Gothic" w:eastAsia="Malgan Gothic" w:hAnsi="Malgan Gothic" w:cs="Malgan Gothic"/>
                <w:sz w:val="14"/>
              </w:rPr>
              <w:t>1 19</w:t>
            </w:r>
          </w:p>
        </w:tc>
        <w:tc>
          <w:tcPr>
            <w:tcW w:w="1229" w:type="dxa"/>
            <w:tcBorders>
              <w:top w:val="single" w:sz="2" w:space="0" w:color="000000"/>
              <w:left w:val="single" w:sz="2" w:space="0" w:color="000000"/>
              <w:bottom w:val="single" w:sz="2" w:space="0" w:color="000000"/>
              <w:right w:val="single" w:sz="2" w:space="0" w:color="000000"/>
            </w:tcBorders>
          </w:tcPr>
          <w:p w14:paraId="5A8E7DD3" w14:textId="77777777" w:rsidR="00053D93" w:rsidRDefault="00260B75">
            <w:r>
              <w:rPr>
                <w:rFonts w:ascii="Malgan Gothic" w:eastAsia="Malgan Gothic" w:hAnsi="Malgan Gothic" w:cs="Malgan Gothic"/>
                <w:sz w:val="14"/>
              </w:rPr>
              <w:t>E552600253</w:t>
            </w:r>
          </w:p>
        </w:tc>
        <w:tc>
          <w:tcPr>
            <w:tcW w:w="1589" w:type="dxa"/>
            <w:tcBorders>
              <w:top w:val="single" w:sz="2" w:space="0" w:color="000000"/>
              <w:left w:val="single" w:sz="2" w:space="0" w:color="000000"/>
              <w:bottom w:val="single" w:sz="2" w:space="0" w:color="000000"/>
              <w:right w:val="single" w:sz="2" w:space="0" w:color="000000"/>
            </w:tcBorders>
          </w:tcPr>
          <w:p w14:paraId="277E010A" w14:textId="77777777" w:rsidR="00053D93" w:rsidRDefault="00260B75">
            <w:pPr>
              <w:ind w:right="89"/>
              <w:jc w:val="center"/>
            </w:pPr>
            <w:r>
              <w:rPr>
                <w:rFonts w:ascii="Malgan Gothic" w:eastAsia="Malgan Gothic" w:hAnsi="Malgan Gothic" w:cs="Malgan Gothic"/>
                <w:sz w:val="14"/>
              </w:rPr>
              <w:t>2024-25212</w:t>
            </w:r>
          </w:p>
        </w:tc>
        <w:tc>
          <w:tcPr>
            <w:tcW w:w="1591" w:type="dxa"/>
            <w:tcBorders>
              <w:top w:val="single" w:sz="2" w:space="0" w:color="000000"/>
              <w:left w:val="single" w:sz="2" w:space="0" w:color="000000"/>
              <w:bottom w:val="single" w:sz="2" w:space="0" w:color="000000"/>
              <w:right w:val="single" w:sz="2" w:space="0" w:color="000000"/>
            </w:tcBorders>
          </w:tcPr>
          <w:p w14:paraId="27FA9A00" w14:textId="77777777" w:rsidR="00053D93" w:rsidRDefault="00260B75">
            <w:pPr>
              <w:ind w:right="94"/>
              <w:jc w:val="center"/>
            </w:pPr>
            <w:r>
              <w:rPr>
                <w:rFonts w:ascii="Malgan Gothic" w:eastAsia="Malgan Gothic" w:hAnsi="Malgan Gothic" w:cs="Malgan Gothic"/>
                <w:sz w:val="14"/>
              </w:rPr>
              <w:t>2/1 0/2024</w:t>
            </w:r>
          </w:p>
        </w:tc>
        <w:tc>
          <w:tcPr>
            <w:tcW w:w="1911" w:type="dxa"/>
            <w:tcBorders>
              <w:top w:val="single" w:sz="2" w:space="0" w:color="000000"/>
              <w:left w:val="single" w:sz="2" w:space="0" w:color="000000"/>
              <w:bottom w:val="single" w:sz="2" w:space="0" w:color="000000"/>
              <w:right w:val="single" w:sz="2" w:space="0" w:color="000000"/>
            </w:tcBorders>
          </w:tcPr>
          <w:p w14:paraId="53F2C2C6" w14:textId="77777777" w:rsidR="00053D93" w:rsidRDefault="00260B75">
            <w:pPr>
              <w:ind w:right="89"/>
              <w:jc w:val="center"/>
            </w:pPr>
            <w:r>
              <w:rPr>
                <w:rFonts w:ascii="Malgan Gothic" w:eastAsia="Malgan Gothic" w:hAnsi="Malgan Gothic" w:cs="Malgan Gothic"/>
                <w:sz w:val="14"/>
              </w:rPr>
              <w:t>28/11/2024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2326F86E" w14:textId="77777777" w:rsidR="00053D93" w:rsidRDefault="00260B75">
            <w:pPr>
              <w:ind w:left="347"/>
            </w:pPr>
            <w:r>
              <w:rPr>
                <w:rFonts w:ascii="Malgan Gothic" w:eastAsia="Malgan Gothic" w:hAnsi="Malgan Gothic" w:cs="Malgan Gothic"/>
                <w:sz w:val="16"/>
              </w:rPr>
              <w:t>221000.00</w:t>
            </w:r>
          </w:p>
        </w:tc>
      </w:tr>
      <w:tr w:rsidR="00053D93" w14:paraId="7ABCFEE7" w14:textId="77777777">
        <w:trPr>
          <w:trHeight w:val="528"/>
        </w:trPr>
        <w:tc>
          <w:tcPr>
            <w:tcW w:w="338" w:type="dxa"/>
            <w:vMerge w:val="restart"/>
            <w:tcBorders>
              <w:top w:val="single" w:sz="2" w:space="0" w:color="000000"/>
              <w:left w:val="single" w:sz="2" w:space="0" w:color="000000"/>
              <w:bottom w:val="nil"/>
              <w:right w:val="nil"/>
            </w:tcBorders>
          </w:tcPr>
          <w:p w14:paraId="304E4644" w14:textId="77777777" w:rsidR="00053D93" w:rsidRDefault="00260B75">
            <w:pPr>
              <w:spacing w:after="203"/>
              <w:ind w:left="33" w:right="-17"/>
              <w:jc w:val="both"/>
            </w:pPr>
            <w:r>
              <w:rPr>
                <w:rFonts w:ascii="Malgan Gothic" w:eastAsia="Malgan Gothic" w:hAnsi="Malgan Gothic" w:cs="Malgan Gothic"/>
                <w:sz w:val="14"/>
              </w:rPr>
              <w:t>120</w:t>
            </w:r>
          </w:p>
          <w:p w14:paraId="45EA6E94" w14:textId="77777777" w:rsidR="00053D93" w:rsidRDefault="00260B75">
            <w:pPr>
              <w:ind w:left="19"/>
            </w:pPr>
            <w:r>
              <w:rPr>
                <w:noProof/>
              </w:rPr>
              <w:drawing>
                <wp:inline distT="0" distB="0" distL="0" distR="0" wp14:anchorId="63769DB5" wp14:editId="588D1121">
                  <wp:extent cx="64008" cy="164592"/>
                  <wp:effectExtent l="0" t="0" r="0" b="0"/>
                  <wp:docPr id="2459059" name="Picture 2459059"/>
                  <wp:cNvGraphicFramePr/>
                  <a:graphic xmlns:a="http://schemas.openxmlformats.org/drawingml/2006/main">
                    <a:graphicData uri="http://schemas.openxmlformats.org/drawingml/2006/picture">
                      <pic:pic xmlns:pic="http://schemas.openxmlformats.org/drawingml/2006/picture">
                        <pic:nvPicPr>
                          <pic:cNvPr id="2459059" name="Picture 2459059"/>
                          <pic:cNvPicPr/>
                        </pic:nvPicPr>
                        <pic:blipFill>
                          <a:blip r:embed="rId1855"/>
                          <a:stretch>
                            <a:fillRect/>
                          </a:stretch>
                        </pic:blipFill>
                        <pic:spPr>
                          <a:xfrm>
                            <a:off x="0" y="0"/>
                            <a:ext cx="64008" cy="164592"/>
                          </a:xfrm>
                          <a:prstGeom prst="rect">
                            <a:avLst/>
                          </a:prstGeom>
                        </pic:spPr>
                      </pic:pic>
                    </a:graphicData>
                  </a:graphic>
                </wp:inline>
              </w:drawing>
            </w:r>
          </w:p>
        </w:tc>
        <w:tc>
          <w:tcPr>
            <w:tcW w:w="292" w:type="dxa"/>
            <w:vMerge w:val="restart"/>
            <w:tcBorders>
              <w:top w:val="single" w:sz="2" w:space="0" w:color="000000"/>
              <w:left w:val="nil"/>
              <w:bottom w:val="nil"/>
              <w:right w:val="single" w:sz="2" w:space="0" w:color="000000"/>
            </w:tcBorders>
          </w:tcPr>
          <w:p w14:paraId="4DA0EF5E" w14:textId="77777777" w:rsidR="00053D93" w:rsidRDefault="00053D93"/>
        </w:tc>
        <w:tc>
          <w:tcPr>
            <w:tcW w:w="1229" w:type="dxa"/>
            <w:tcBorders>
              <w:top w:val="single" w:sz="2" w:space="0" w:color="000000"/>
              <w:left w:val="single" w:sz="2" w:space="0" w:color="000000"/>
              <w:bottom w:val="single" w:sz="2" w:space="0" w:color="000000"/>
              <w:right w:val="single" w:sz="2" w:space="0" w:color="000000"/>
            </w:tcBorders>
          </w:tcPr>
          <w:p w14:paraId="320BCD8E" w14:textId="77777777" w:rsidR="00053D93" w:rsidRDefault="00260B75">
            <w:r>
              <w:rPr>
                <w:rFonts w:ascii="Malgan Gothic" w:eastAsia="Malgan Gothic" w:hAnsi="Malgan Gothic" w:cs="Malgan Gothic"/>
                <w:sz w:val="16"/>
              </w:rPr>
              <w:t>E552632090</w:t>
            </w:r>
          </w:p>
        </w:tc>
        <w:tc>
          <w:tcPr>
            <w:tcW w:w="1589" w:type="dxa"/>
            <w:tcBorders>
              <w:top w:val="single" w:sz="2" w:space="0" w:color="000000"/>
              <w:left w:val="single" w:sz="2" w:space="0" w:color="000000"/>
              <w:bottom w:val="single" w:sz="2" w:space="0" w:color="000000"/>
              <w:right w:val="single" w:sz="2" w:space="0" w:color="000000"/>
            </w:tcBorders>
          </w:tcPr>
          <w:p w14:paraId="09D9835A" w14:textId="77777777" w:rsidR="00053D93" w:rsidRDefault="00260B75">
            <w:pPr>
              <w:ind w:right="103"/>
              <w:jc w:val="center"/>
            </w:pPr>
            <w:r>
              <w:rPr>
                <w:rFonts w:ascii="Malgan Gothic" w:eastAsia="Malgan Gothic" w:hAnsi="Malgan Gothic" w:cs="Malgan Gothic"/>
                <w:sz w:val="14"/>
              </w:rPr>
              <w:t>2024-24708</w:t>
            </w:r>
          </w:p>
        </w:tc>
        <w:tc>
          <w:tcPr>
            <w:tcW w:w="1591" w:type="dxa"/>
            <w:tcBorders>
              <w:top w:val="single" w:sz="2" w:space="0" w:color="000000"/>
              <w:left w:val="single" w:sz="2" w:space="0" w:color="000000"/>
              <w:bottom w:val="single" w:sz="2" w:space="0" w:color="000000"/>
              <w:right w:val="single" w:sz="2" w:space="0" w:color="000000"/>
            </w:tcBorders>
          </w:tcPr>
          <w:p w14:paraId="7890C119" w14:textId="77777777" w:rsidR="00053D93" w:rsidRDefault="00260B75">
            <w:pPr>
              <w:ind w:right="108"/>
              <w:jc w:val="center"/>
            </w:pPr>
            <w:r>
              <w:rPr>
                <w:rFonts w:ascii="Malgan Gothic" w:eastAsia="Malgan Gothic" w:hAnsi="Malgan Gothic" w:cs="Malgan Gothic"/>
                <w:sz w:val="14"/>
              </w:rPr>
              <w:t>4/11/2024</w:t>
            </w:r>
          </w:p>
        </w:tc>
        <w:tc>
          <w:tcPr>
            <w:tcW w:w="1911" w:type="dxa"/>
            <w:tcBorders>
              <w:top w:val="single" w:sz="2" w:space="0" w:color="000000"/>
              <w:left w:val="single" w:sz="2" w:space="0" w:color="000000"/>
              <w:bottom w:val="single" w:sz="2" w:space="0" w:color="000000"/>
              <w:right w:val="single" w:sz="2" w:space="0" w:color="000000"/>
            </w:tcBorders>
          </w:tcPr>
          <w:p w14:paraId="644CDF21" w14:textId="77777777" w:rsidR="00053D93" w:rsidRDefault="00260B75">
            <w:pPr>
              <w:ind w:right="96"/>
              <w:jc w:val="center"/>
            </w:pPr>
            <w:r>
              <w:rPr>
                <w:rFonts w:ascii="Malgan Gothic" w:eastAsia="Malgan Gothic" w:hAnsi="Malgan Gothic" w:cs="Malgan Gothic"/>
                <w:sz w:val="16"/>
              </w:rPr>
              <w:t>28i11/2024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418E959" w14:textId="77777777" w:rsidR="00053D93" w:rsidRDefault="00260B75">
            <w:pPr>
              <w:ind w:left="455"/>
            </w:pPr>
            <w:r>
              <w:rPr>
                <w:rFonts w:ascii="Malgan Gothic" w:eastAsia="Malgan Gothic" w:hAnsi="Malgan Gothic" w:cs="Malgan Gothic"/>
                <w:sz w:val="16"/>
              </w:rPr>
              <w:t>5,751.49</w:t>
            </w:r>
          </w:p>
        </w:tc>
      </w:tr>
      <w:tr w:rsidR="00053D93" w14:paraId="14A75ABA" w14:textId="77777777">
        <w:trPr>
          <w:trHeight w:val="590"/>
        </w:trPr>
        <w:tc>
          <w:tcPr>
            <w:tcW w:w="0" w:type="auto"/>
            <w:vMerge/>
            <w:tcBorders>
              <w:top w:val="nil"/>
              <w:left w:val="single" w:sz="2" w:space="0" w:color="000000"/>
              <w:bottom w:val="nil"/>
              <w:right w:val="nil"/>
            </w:tcBorders>
          </w:tcPr>
          <w:p w14:paraId="3F8BE29F" w14:textId="77777777" w:rsidR="00053D93" w:rsidRDefault="00053D93"/>
        </w:tc>
        <w:tc>
          <w:tcPr>
            <w:tcW w:w="0" w:type="auto"/>
            <w:vMerge/>
            <w:tcBorders>
              <w:top w:val="nil"/>
              <w:left w:val="nil"/>
              <w:bottom w:val="nil"/>
              <w:right w:val="single" w:sz="2" w:space="0" w:color="000000"/>
            </w:tcBorders>
          </w:tcPr>
          <w:p w14:paraId="7481CD98" w14:textId="77777777" w:rsidR="00053D93" w:rsidRDefault="00053D93"/>
        </w:tc>
        <w:tc>
          <w:tcPr>
            <w:tcW w:w="7652" w:type="dxa"/>
            <w:gridSpan w:val="5"/>
            <w:tcBorders>
              <w:top w:val="single" w:sz="2" w:space="0" w:color="000000"/>
              <w:left w:val="single" w:sz="2" w:space="0" w:color="000000"/>
              <w:bottom w:val="nil"/>
              <w:right w:val="nil"/>
            </w:tcBorders>
          </w:tcPr>
          <w:p w14:paraId="32B92646" w14:textId="77777777" w:rsidR="00053D93" w:rsidRDefault="00260B75">
            <w:pPr>
              <w:spacing w:after="51"/>
              <w:ind w:right="720"/>
              <w:jc w:val="center"/>
            </w:pPr>
            <w:r>
              <w:rPr>
                <w:rFonts w:ascii="Malgan Gothic" w:eastAsia="Malgan Gothic" w:hAnsi="Malgan Gothic" w:cs="Malgan Gothic"/>
                <w:sz w:val="10"/>
              </w:rPr>
              <w:t>MIN,STERIO DE EDUCACION</w:t>
            </w:r>
          </w:p>
          <w:p w14:paraId="03FE0E32" w14:textId="77777777" w:rsidR="00053D93" w:rsidRDefault="00260B75">
            <w:pPr>
              <w:spacing w:after="31"/>
              <w:ind w:left="2167"/>
            </w:pPr>
            <w:r>
              <w:rPr>
                <w:rFonts w:ascii="Malgan Gothic" w:eastAsia="Malgan Gothic" w:hAnsi="Malgan Gothic" w:cs="Malgan Gothic"/>
                <w:sz w:val="10"/>
              </w:rPr>
              <w:t>AUDITORIA FINANCIERA Y CE CUMPL!MIENTO</w:t>
            </w:r>
          </w:p>
          <w:p w14:paraId="44734192" w14:textId="77777777" w:rsidR="00053D93" w:rsidRDefault="00260B75">
            <w:pPr>
              <w:ind w:left="1829"/>
            </w:pPr>
            <w:r>
              <w:rPr>
                <w:rFonts w:ascii="Malgan Gothic" w:eastAsia="Malgan Gothic" w:hAnsi="Malgan Gothic" w:cs="Malgan Gothic"/>
                <w:sz w:val="10"/>
              </w:rPr>
              <w:t>PERIODO DEL 01 DE ENERO AL 31 DE DICIEMBRE OE 2024</w:t>
            </w:r>
          </w:p>
        </w:tc>
      </w:tr>
    </w:tbl>
    <w:p w14:paraId="73505F7E" w14:textId="77777777" w:rsidR="00053D93" w:rsidRDefault="00260B75">
      <w:pPr>
        <w:spacing w:after="0"/>
        <w:ind w:left="-1008" w:right="122"/>
      </w:pPr>
      <w:r>
        <w:rPr>
          <w:noProof/>
        </w:rPr>
        <w:drawing>
          <wp:anchor distT="0" distB="0" distL="114300" distR="114300" simplePos="0" relativeHeight="252381184" behindDoc="0" locked="0" layoutInCell="1" allowOverlap="0" wp14:anchorId="36D6F9CD" wp14:editId="703A0D01">
            <wp:simplePos x="0" y="0"/>
            <wp:positionH relativeFrom="column">
              <wp:posOffset>-13715</wp:posOffset>
            </wp:positionH>
            <wp:positionV relativeFrom="paragraph">
              <wp:posOffset>8391334</wp:posOffset>
            </wp:positionV>
            <wp:extent cx="708660" cy="406908"/>
            <wp:effectExtent l="0" t="0" r="0" b="0"/>
            <wp:wrapSquare wrapText="bothSides"/>
            <wp:docPr id="1424780" name="Picture 1424780"/>
            <wp:cNvGraphicFramePr/>
            <a:graphic xmlns:a="http://schemas.openxmlformats.org/drawingml/2006/main">
              <a:graphicData uri="http://schemas.openxmlformats.org/drawingml/2006/picture">
                <pic:pic xmlns:pic="http://schemas.openxmlformats.org/drawingml/2006/picture">
                  <pic:nvPicPr>
                    <pic:cNvPr id="1424780" name="Picture 1424780"/>
                    <pic:cNvPicPr/>
                  </pic:nvPicPr>
                  <pic:blipFill>
                    <a:blip r:embed="rId1856"/>
                    <a:stretch>
                      <a:fillRect/>
                    </a:stretch>
                  </pic:blipFill>
                  <pic:spPr>
                    <a:xfrm>
                      <a:off x="0" y="0"/>
                      <a:ext cx="708660" cy="406908"/>
                    </a:xfrm>
                    <a:prstGeom prst="rect">
                      <a:avLst/>
                    </a:prstGeom>
                  </pic:spPr>
                </pic:pic>
              </a:graphicData>
            </a:graphic>
          </wp:anchor>
        </w:drawing>
      </w:r>
      <w:r>
        <w:br w:type="page"/>
      </w:r>
    </w:p>
    <w:p w14:paraId="6D6C6160" w14:textId="77777777" w:rsidR="00053D93" w:rsidRDefault="00260B75">
      <w:pPr>
        <w:spacing w:after="8458" w:line="11666" w:lineRule="auto"/>
        <w:ind w:left="10" w:right="3197" w:hanging="10"/>
        <w:jc w:val="right"/>
      </w:pPr>
      <w:r>
        <w:rPr>
          <w:rFonts w:ascii="Malgan Gothic" w:eastAsia="Malgan Gothic" w:hAnsi="Malgan Gothic" w:cs="Malgan Gothic"/>
          <w:sz w:val="12"/>
        </w:rPr>
        <w:t xml:space="preserve">대R三C디éN OE </w:t>
      </w:r>
    </w:p>
    <w:tbl>
      <w:tblPr>
        <w:tblStyle w:val="TableGrid"/>
        <w:tblpPr w:vertAnchor="text" w:tblpX="972" w:tblpY="-13226"/>
        <w:tblOverlap w:val="never"/>
        <w:tblW w:w="8338" w:type="dxa"/>
        <w:tblInd w:w="0" w:type="dxa"/>
        <w:tblCellMar>
          <w:top w:w="39" w:type="dxa"/>
          <w:left w:w="31" w:type="dxa"/>
          <w:bottom w:w="22" w:type="dxa"/>
        </w:tblCellMar>
        <w:tblLook w:val="04A0" w:firstRow="1" w:lastRow="0" w:firstColumn="1" w:lastColumn="0" w:noHBand="0" w:noVBand="1"/>
      </w:tblPr>
      <w:tblGrid>
        <w:gridCol w:w="76"/>
        <w:gridCol w:w="332"/>
        <w:gridCol w:w="289"/>
        <w:gridCol w:w="1226"/>
        <w:gridCol w:w="1584"/>
        <w:gridCol w:w="1584"/>
        <w:gridCol w:w="1915"/>
        <w:gridCol w:w="1332"/>
      </w:tblGrid>
      <w:tr w:rsidR="00053D93" w14:paraId="1272CF58" w14:textId="77777777">
        <w:trPr>
          <w:trHeight w:val="544"/>
        </w:trPr>
        <w:tc>
          <w:tcPr>
            <w:tcW w:w="76" w:type="dxa"/>
            <w:vMerge w:val="restart"/>
            <w:tcBorders>
              <w:top w:val="single" w:sz="2" w:space="0" w:color="000000"/>
              <w:left w:val="nil"/>
              <w:bottom w:val="nil"/>
              <w:right w:val="single" w:sz="2" w:space="0" w:color="000000"/>
            </w:tcBorders>
          </w:tcPr>
          <w:p w14:paraId="71E0A2C6"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51D16C5B" w14:textId="77777777" w:rsidR="00053D93" w:rsidRDefault="00260B75">
            <w:pPr>
              <w:ind w:left="67"/>
            </w:pPr>
            <w:r>
              <w:rPr>
                <w:rFonts w:ascii="Malgan Gothic" w:eastAsia="Malgan Gothic" w:hAnsi="Malgan Gothic" w:cs="Malgan Gothic"/>
                <w:sz w:val="14"/>
              </w:rPr>
              <w:t>121</w:t>
            </w:r>
          </w:p>
        </w:tc>
        <w:tc>
          <w:tcPr>
            <w:tcW w:w="1226" w:type="dxa"/>
            <w:tcBorders>
              <w:top w:val="single" w:sz="2" w:space="0" w:color="000000"/>
              <w:left w:val="single" w:sz="2" w:space="0" w:color="000000"/>
              <w:bottom w:val="single" w:sz="2" w:space="0" w:color="000000"/>
              <w:right w:val="single" w:sz="2" w:space="0" w:color="000000"/>
            </w:tcBorders>
          </w:tcPr>
          <w:p w14:paraId="6A36C496" w14:textId="77777777" w:rsidR="00053D93" w:rsidRDefault="00260B75">
            <w:pPr>
              <w:ind w:left="50"/>
            </w:pPr>
            <w:r>
              <w:rPr>
                <w:rFonts w:ascii="Malgan Gothic" w:eastAsia="Malgan Gothic" w:hAnsi="Malgan Gothic" w:cs="Malgan Gothic"/>
                <w:sz w:val="14"/>
              </w:rPr>
              <w:t>E552633941</w:t>
            </w:r>
          </w:p>
        </w:tc>
        <w:tc>
          <w:tcPr>
            <w:tcW w:w="1584" w:type="dxa"/>
            <w:tcBorders>
              <w:top w:val="single" w:sz="2" w:space="0" w:color="000000"/>
              <w:left w:val="single" w:sz="2" w:space="0" w:color="000000"/>
              <w:bottom w:val="single" w:sz="2" w:space="0" w:color="000000"/>
              <w:right w:val="single" w:sz="2" w:space="0" w:color="000000"/>
            </w:tcBorders>
          </w:tcPr>
          <w:p w14:paraId="52208D0D" w14:textId="77777777" w:rsidR="00053D93" w:rsidRDefault="00260B75">
            <w:pPr>
              <w:ind w:left="5"/>
              <w:jc w:val="center"/>
            </w:pPr>
            <w:r>
              <w:rPr>
                <w:rFonts w:ascii="Malgan Gothic" w:eastAsia="Malgan Gothic" w:hAnsi="Malgan Gothic" w:cs="Malgan Gothic"/>
                <w:sz w:val="16"/>
              </w:rPr>
              <w:t>2024-24968</w:t>
            </w:r>
          </w:p>
        </w:tc>
        <w:tc>
          <w:tcPr>
            <w:tcW w:w="1584" w:type="dxa"/>
            <w:tcBorders>
              <w:top w:val="single" w:sz="2" w:space="0" w:color="000000"/>
              <w:left w:val="single" w:sz="2" w:space="0" w:color="000000"/>
              <w:bottom w:val="single" w:sz="2" w:space="0" w:color="000000"/>
              <w:right w:val="single" w:sz="2" w:space="0" w:color="000000"/>
            </w:tcBorders>
          </w:tcPr>
          <w:p w14:paraId="45D00E67" w14:textId="77777777" w:rsidR="00053D93" w:rsidRDefault="00260B75">
            <w:pPr>
              <w:ind w:left="13"/>
              <w:jc w:val="center"/>
            </w:pPr>
            <w:r>
              <w:rPr>
                <w:rFonts w:ascii="Malgan Gothic" w:eastAsia="Malgan Gothic" w:hAnsi="Malgan Gothic" w:cs="Malgan Gothic"/>
                <w:sz w:val="16"/>
              </w:rPr>
              <w:t>13/11/2024</w:t>
            </w:r>
          </w:p>
        </w:tc>
        <w:tc>
          <w:tcPr>
            <w:tcW w:w="1915" w:type="dxa"/>
            <w:tcBorders>
              <w:top w:val="single" w:sz="2" w:space="0" w:color="000000"/>
              <w:left w:val="single" w:sz="2" w:space="0" w:color="000000"/>
              <w:bottom w:val="single" w:sz="2" w:space="0" w:color="000000"/>
              <w:right w:val="single" w:sz="2" w:space="0" w:color="000000"/>
            </w:tcBorders>
          </w:tcPr>
          <w:p w14:paraId="59C567B9" w14:textId="77777777" w:rsidR="00053D93" w:rsidRDefault="00260B75">
            <w:pPr>
              <w:ind w:left="5"/>
              <w:jc w:val="center"/>
            </w:pPr>
            <w:r>
              <w:rPr>
                <w:rFonts w:ascii="Malgan Gothic" w:eastAsia="Malgan Gothic" w:hAnsi="Malgan Gothic" w:cs="Malgan Gothic"/>
                <w:sz w:val="16"/>
              </w:rPr>
              <w:t>28/11/2024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05290A0A" w14:textId="77777777" w:rsidR="00053D93" w:rsidRDefault="00260B75">
            <w:pPr>
              <w:ind w:right="65"/>
              <w:jc w:val="right"/>
            </w:pPr>
            <w:r>
              <w:rPr>
                <w:rFonts w:ascii="Malgan Gothic" w:eastAsia="Malgan Gothic" w:hAnsi="Malgan Gothic" w:cs="Malgan Gothic"/>
                <w:sz w:val="18"/>
              </w:rPr>
              <w:t>7,000.00</w:t>
            </w:r>
          </w:p>
        </w:tc>
      </w:tr>
      <w:tr w:rsidR="00053D93" w14:paraId="198103D8" w14:textId="77777777">
        <w:trPr>
          <w:trHeight w:val="528"/>
        </w:trPr>
        <w:tc>
          <w:tcPr>
            <w:tcW w:w="0" w:type="auto"/>
            <w:vMerge/>
            <w:tcBorders>
              <w:top w:val="nil"/>
              <w:left w:val="nil"/>
              <w:bottom w:val="nil"/>
              <w:right w:val="single" w:sz="2" w:space="0" w:color="000000"/>
            </w:tcBorders>
          </w:tcPr>
          <w:p w14:paraId="59890ECD"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7A09B246" w14:textId="77777777" w:rsidR="00053D93" w:rsidRDefault="00260B75">
            <w:pPr>
              <w:ind w:left="67"/>
            </w:pPr>
            <w:r>
              <w:rPr>
                <w:rFonts w:ascii="Malgan Gothic" w:eastAsia="Malgan Gothic" w:hAnsi="Malgan Gothic" w:cs="Malgan Gothic"/>
                <w:sz w:val="14"/>
              </w:rPr>
              <w:t>122</w:t>
            </w:r>
          </w:p>
        </w:tc>
        <w:tc>
          <w:tcPr>
            <w:tcW w:w="1226" w:type="dxa"/>
            <w:tcBorders>
              <w:top w:val="single" w:sz="2" w:space="0" w:color="000000"/>
              <w:left w:val="single" w:sz="2" w:space="0" w:color="000000"/>
              <w:bottom w:val="single" w:sz="2" w:space="0" w:color="000000"/>
              <w:right w:val="single" w:sz="2" w:space="0" w:color="000000"/>
            </w:tcBorders>
          </w:tcPr>
          <w:p w14:paraId="61092588" w14:textId="77777777" w:rsidR="00053D93" w:rsidRDefault="00260B75">
            <w:pPr>
              <w:ind w:left="43"/>
              <w:jc w:val="both"/>
            </w:pPr>
            <w:r>
              <w:rPr>
                <w:rFonts w:ascii="Malgan Gothic" w:eastAsia="Malgan Gothic" w:hAnsi="Malgan Gothic" w:cs="Malgan Gothic"/>
                <w:sz w:val="16"/>
              </w:rPr>
              <w:t>E552639753</w:t>
            </w:r>
          </w:p>
        </w:tc>
        <w:tc>
          <w:tcPr>
            <w:tcW w:w="1584" w:type="dxa"/>
            <w:tcBorders>
              <w:top w:val="single" w:sz="2" w:space="0" w:color="000000"/>
              <w:left w:val="single" w:sz="2" w:space="0" w:color="000000"/>
              <w:bottom w:val="single" w:sz="2" w:space="0" w:color="000000"/>
              <w:right w:val="single" w:sz="2" w:space="0" w:color="000000"/>
            </w:tcBorders>
          </w:tcPr>
          <w:p w14:paraId="36F1C738" w14:textId="77777777" w:rsidR="00053D93" w:rsidRDefault="00260B75">
            <w:pPr>
              <w:ind w:left="5"/>
              <w:jc w:val="center"/>
            </w:pPr>
            <w:r>
              <w:rPr>
                <w:rFonts w:ascii="Malgan Gothic" w:eastAsia="Malgan Gothic" w:hAnsi="Malgan Gothic" w:cs="Malgan Gothic"/>
                <w:sz w:val="14"/>
              </w:rPr>
              <w:t>2024-25240</w:t>
            </w:r>
          </w:p>
        </w:tc>
        <w:tc>
          <w:tcPr>
            <w:tcW w:w="1584" w:type="dxa"/>
            <w:tcBorders>
              <w:top w:val="single" w:sz="2" w:space="0" w:color="000000"/>
              <w:left w:val="single" w:sz="2" w:space="0" w:color="000000"/>
              <w:bottom w:val="single" w:sz="2" w:space="0" w:color="000000"/>
              <w:right w:val="single" w:sz="2" w:space="0" w:color="000000"/>
            </w:tcBorders>
          </w:tcPr>
          <w:p w14:paraId="74749000" w14:textId="77777777" w:rsidR="00053D93" w:rsidRDefault="00260B75">
            <w:pPr>
              <w:ind w:left="13"/>
              <w:jc w:val="center"/>
            </w:pPr>
            <w:r>
              <w:rPr>
                <w:rFonts w:ascii="Malgan Gothic" w:eastAsia="Malgan Gothic" w:hAnsi="Malgan Gothic" w:cs="Malgan Gothic"/>
                <w:sz w:val="16"/>
              </w:rPr>
              <w:t>13/11/2024</w:t>
            </w:r>
          </w:p>
        </w:tc>
        <w:tc>
          <w:tcPr>
            <w:tcW w:w="1915" w:type="dxa"/>
            <w:tcBorders>
              <w:top w:val="single" w:sz="2" w:space="0" w:color="000000"/>
              <w:left w:val="single" w:sz="2" w:space="0" w:color="000000"/>
              <w:bottom w:val="single" w:sz="2" w:space="0" w:color="000000"/>
              <w:right w:val="single" w:sz="2" w:space="0" w:color="000000"/>
            </w:tcBorders>
          </w:tcPr>
          <w:p w14:paraId="36C535FA" w14:textId="77777777" w:rsidR="00053D93" w:rsidRDefault="00260B75">
            <w:pPr>
              <w:ind w:left="5"/>
              <w:jc w:val="center"/>
            </w:pPr>
            <w:r>
              <w:rPr>
                <w:rFonts w:ascii="Malgan Gothic" w:eastAsia="Malgan Gothic" w:hAnsi="Malgan Gothic" w:cs="Malgan Gothic"/>
                <w:sz w:val="16"/>
              </w:rPr>
              <w:t>28/1 줩/2024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6B499E7" w14:textId="77777777" w:rsidR="00053D93" w:rsidRDefault="00260B75">
            <w:pPr>
              <w:ind w:right="72"/>
              <w:jc w:val="right"/>
            </w:pPr>
            <w:r>
              <w:rPr>
                <w:rFonts w:ascii="Malgan Gothic" w:eastAsia="Malgan Gothic" w:hAnsi="Malgan Gothic" w:cs="Malgan Gothic"/>
                <w:sz w:val="16"/>
              </w:rPr>
              <w:t>3,480.00</w:t>
            </w:r>
          </w:p>
        </w:tc>
      </w:tr>
      <w:tr w:rsidR="00053D93" w14:paraId="63811261" w14:textId="77777777">
        <w:trPr>
          <w:trHeight w:val="530"/>
        </w:trPr>
        <w:tc>
          <w:tcPr>
            <w:tcW w:w="0" w:type="auto"/>
            <w:vMerge/>
            <w:tcBorders>
              <w:top w:val="nil"/>
              <w:left w:val="nil"/>
              <w:bottom w:val="nil"/>
              <w:right w:val="single" w:sz="2" w:space="0" w:color="000000"/>
            </w:tcBorders>
          </w:tcPr>
          <w:p w14:paraId="057D2F8B"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2E959235" w14:textId="77777777" w:rsidR="00053D93" w:rsidRDefault="00260B75">
            <w:pPr>
              <w:ind w:left="67"/>
            </w:pPr>
            <w:r>
              <w:rPr>
                <w:rFonts w:ascii="Malgan Gothic" w:eastAsia="Malgan Gothic" w:hAnsi="Malgan Gothic" w:cs="Malgan Gothic"/>
                <w:sz w:val="14"/>
              </w:rPr>
              <w:t>123</w:t>
            </w:r>
          </w:p>
        </w:tc>
        <w:tc>
          <w:tcPr>
            <w:tcW w:w="1226" w:type="dxa"/>
            <w:tcBorders>
              <w:top w:val="single" w:sz="2" w:space="0" w:color="000000"/>
              <w:left w:val="single" w:sz="2" w:space="0" w:color="000000"/>
              <w:bottom w:val="single" w:sz="2" w:space="0" w:color="000000"/>
              <w:right w:val="single" w:sz="2" w:space="0" w:color="000000"/>
            </w:tcBorders>
          </w:tcPr>
          <w:p w14:paraId="3B16C343" w14:textId="77777777" w:rsidR="00053D93" w:rsidRDefault="00260B75">
            <w:pPr>
              <w:ind w:left="43"/>
            </w:pPr>
            <w:r>
              <w:rPr>
                <w:rFonts w:ascii="Malgan Gothic" w:eastAsia="Malgan Gothic" w:hAnsi="Malgan Gothic" w:cs="Malgan Gothic"/>
                <w:sz w:val="14"/>
              </w:rPr>
              <w:t>E552641065</w:t>
            </w:r>
          </w:p>
        </w:tc>
        <w:tc>
          <w:tcPr>
            <w:tcW w:w="1584" w:type="dxa"/>
            <w:tcBorders>
              <w:top w:val="single" w:sz="2" w:space="0" w:color="000000"/>
              <w:left w:val="single" w:sz="2" w:space="0" w:color="000000"/>
              <w:bottom w:val="single" w:sz="2" w:space="0" w:color="000000"/>
              <w:right w:val="single" w:sz="2" w:space="0" w:color="000000"/>
            </w:tcBorders>
          </w:tcPr>
          <w:p w14:paraId="734DAA2B" w14:textId="77777777" w:rsidR="00053D93" w:rsidRDefault="00260B75">
            <w:pPr>
              <w:ind w:left="5"/>
              <w:jc w:val="center"/>
            </w:pPr>
            <w:r>
              <w:rPr>
                <w:rFonts w:ascii="Malgan Gothic" w:eastAsia="Malgan Gothic" w:hAnsi="Malgan Gothic" w:cs="Malgan Gothic"/>
                <w:sz w:val="14"/>
              </w:rPr>
              <w:t>2024-25232</w:t>
            </w:r>
          </w:p>
        </w:tc>
        <w:tc>
          <w:tcPr>
            <w:tcW w:w="1584" w:type="dxa"/>
            <w:tcBorders>
              <w:top w:val="single" w:sz="2" w:space="0" w:color="000000"/>
              <w:left w:val="single" w:sz="2" w:space="0" w:color="000000"/>
              <w:bottom w:val="single" w:sz="2" w:space="0" w:color="000000"/>
              <w:right w:val="single" w:sz="2" w:space="0" w:color="000000"/>
            </w:tcBorders>
          </w:tcPr>
          <w:p w14:paraId="058622BE" w14:textId="77777777" w:rsidR="00053D93" w:rsidRDefault="00260B75">
            <w:pPr>
              <w:ind w:left="13"/>
              <w:jc w:val="center"/>
            </w:pPr>
            <w:r>
              <w:rPr>
                <w:rFonts w:ascii="Malgan Gothic" w:eastAsia="Malgan Gothic" w:hAnsi="Malgan Gothic" w:cs="Malgan Gothic"/>
                <w:sz w:val="14"/>
              </w:rPr>
              <w:t>13/1 1/2024</w:t>
            </w:r>
          </w:p>
        </w:tc>
        <w:tc>
          <w:tcPr>
            <w:tcW w:w="1915" w:type="dxa"/>
            <w:tcBorders>
              <w:top w:val="single" w:sz="2" w:space="0" w:color="000000"/>
              <w:left w:val="single" w:sz="2" w:space="0" w:color="000000"/>
              <w:bottom w:val="single" w:sz="2" w:space="0" w:color="000000"/>
              <w:right w:val="single" w:sz="2" w:space="0" w:color="000000"/>
            </w:tcBorders>
          </w:tcPr>
          <w:p w14:paraId="05EF94E4" w14:textId="77777777" w:rsidR="00053D93" w:rsidRDefault="00260B75">
            <w:pPr>
              <w:ind w:right="2"/>
              <w:jc w:val="center"/>
            </w:pPr>
            <w:r>
              <w:rPr>
                <w:rFonts w:ascii="Malgan Gothic" w:eastAsia="Malgan Gothic" w:hAnsi="Malgan Gothic" w:cs="Malgan Gothic"/>
                <w:sz w:val="14"/>
              </w:rPr>
              <w:t>28/11/2024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32F9557" w14:textId="77777777" w:rsidR="00053D93" w:rsidRDefault="00260B75">
            <w:pPr>
              <w:ind w:right="72"/>
              <w:jc w:val="right"/>
            </w:pPr>
            <w:r>
              <w:rPr>
                <w:rFonts w:ascii="Malgan Gothic" w:eastAsia="Malgan Gothic" w:hAnsi="Malgan Gothic" w:cs="Malgan Gothic"/>
                <w:sz w:val="16"/>
              </w:rPr>
              <w:t>5,775.00</w:t>
            </w:r>
          </w:p>
        </w:tc>
      </w:tr>
      <w:tr w:rsidR="00053D93" w14:paraId="6E5C06B7" w14:textId="77777777">
        <w:trPr>
          <w:trHeight w:val="533"/>
        </w:trPr>
        <w:tc>
          <w:tcPr>
            <w:tcW w:w="0" w:type="auto"/>
            <w:vMerge/>
            <w:tcBorders>
              <w:top w:val="nil"/>
              <w:left w:val="nil"/>
              <w:bottom w:val="nil"/>
              <w:right w:val="single" w:sz="2" w:space="0" w:color="000000"/>
            </w:tcBorders>
          </w:tcPr>
          <w:p w14:paraId="69AB0307"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60A0240B" w14:textId="77777777" w:rsidR="00053D93" w:rsidRDefault="00260B75">
            <w:pPr>
              <w:ind w:left="67"/>
            </w:pPr>
            <w:r>
              <w:rPr>
                <w:rFonts w:ascii="Malgan Gothic" w:eastAsia="Malgan Gothic" w:hAnsi="Malgan Gothic" w:cs="Malgan Gothic"/>
                <w:sz w:val="14"/>
              </w:rPr>
              <w:t>124</w:t>
            </w:r>
          </w:p>
        </w:tc>
        <w:tc>
          <w:tcPr>
            <w:tcW w:w="1226" w:type="dxa"/>
            <w:tcBorders>
              <w:top w:val="single" w:sz="2" w:space="0" w:color="000000"/>
              <w:left w:val="single" w:sz="2" w:space="0" w:color="000000"/>
              <w:bottom w:val="single" w:sz="2" w:space="0" w:color="000000"/>
              <w:right w:val="single" w:sz="2" w:space="0" w:color="000000"/>
            </w:tcBorders>
          </w:tcPr>
          <w:p w14:paraId="7A93A78A" w14:textId="77777777" w:rsidR="00053D93" w:rsidRDefault="00260B75">
            <w:pPr>
              <w:ind w:left="43"/>
              <w:jc w:val="both"/>
            </w:pPr>
            <w:r>
              <w:rPr>
                <w:rFonts w:ascii="Malgan Gothic" w:eastAsia="Malgan Gothic" w:hAnsi="Malgan Gothic" w:cs="Malgan Gothic"/>
                <w:sz w:val="14"/>
              </w:rPr>
              <w:t>E552672343</w:t>
            </w:r>
          </w:p>
        </w:tc>
        <w:tc>
          <w:tcPr>
            <w:tcW w:w="1584" w:type="dxa"/>
            <w:tcBorders>
              <w:top w:val="single" w:sz="2" w:space="0" w:color="000000"/>
              <w:left w:val="single" w:sz="2" w:space="0" w:color="000000"/>
              <w:bottom w:val="single" w:sz="2" w:space="0" w:color="000000"/>
              <w:right w:val="single" w:sz="2" w:space="0" w:color="000000"/>
            </w:tcBorders>
          </w:tcPr>
          <w:p w14:paraId="0D8F4868" w14:textId="77777777" w:rsidR="00053D93" w:rsidRDefault="00260B75">
            <w:pPr>
              <w:ind w:left="5"/>
              <w:jc w:val="center"/>
            </w:pPr>
            <w:r>
              <w:rPr>
                <w:rFonts w:ascii="Malgan Gothic" w:eastAsia="Malgan Gothic" w:hAnsi="Malgan Gothic" w:cs="Malgan Gothic"/>
                <w:sz w:val="14"/>
              </w:rPr>
              <w:t>2024-24796</w:t>
            </w:r>
          </w:p>
        </w:tc>
        <w:tc>
          <w:tcPr>
            <w:tcW w:w="1584" w:type="dxa"/>
            <w:tcBorders>
              <w:top w:val="single" w:sz="2" w:space="0" w:color="000000"/>
              <w:left w:val="single" w:sz="2" w:space="0" w:color="000000"/>
              <w:bottom w:val="single" w:sz="2" w:space="0" w:color="000000"/>
              <w:right w:val="single" w:sz="2" w:space="0" w:color="000000"/>
            </w:tcBorders>
          </w:tcPr>
          <w:p w14:paraId="4CD96737" w14:textId="77777777" w:rsidR="00053D93" w:rsidRDefault="00260B75">
            <w:pPr>
              <w:ind w:right="2"/>
              <w:jc w:val="center"/>
            </w:pPr>
            <w:r>
              <w:rPr>
                <w:rFonts w:ascii="Malgan Gothic" w:eastAsia="Malgan Gothic" w:hAnsi="Malgan Gothic" w:cs="Malgan Gothic"/>
                <w:sz w:val="16"/>
              </w:rPr>
              <w:t>8/11/2024</w:t>
            </w:r>
          </w:p>
        </w:tc>
        <w:tc>
          <w:tcPr>
            <w:tcW w:w="1915" w:type="dxa"/>
            <w:tcBorders>
              <w:top w:val="single" w:sz="2" w:space="0" w:color="000000"/>
              <w:left w:val="single" w:sz="2" w:space="0" w:color="000000"/>
              <w:bottom w:val="single" w:sz="2" w:space="0" w:color="000000"/>
              <w:right w:val="single" w:sz="2" w:space="0" w:color="000000"/>
            </w:tcBorders>
          </w:tcPr>
          <w:p w14:paraId="4B5993FA" w14:textId="77777777" w:rsidR="00053D93" w:rsidRDefault="00260B75">
            <w:pPr>
              <w:ind w:right="9"/>
              <w:jc w:val="center"/>
            </w:pPr>
            <w:r>
              <w:rPr>
                <w:rFonts w:ascii="Malgan Gothic" w:eastAsia="Malgan Gothic" w:hAnsi="Malgan Gothic" w:cs="Malgan Gothic"/>
                <w:sz w:val="16"/>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68EC658" w14:textId="77777777" w:rsidR="00053D93" w:rsidRDefault="00260B75">
            <w:pPr>
              <w:ind w:right="72"/>
              <w:jc w:val="right"/>
            </w:pPr>
            <w:r>
              <w:rPr>
                <w:rFonts w:ascii="Malgan Gothic" w:eastAsia="Malgan Gothic" w:hAnsi="Malgan Gothic" w:cs="Malgan Gothic"/>
                <w:sz w:val="18"/>
              </w:rPr>
              <w:t>12|903.00</w:t>
            </w:r>
          </w:p>
        </w:tc>
      </w:tr>
      <w:tr w:rsidR="00053D93" w14:paraId="123AA789" w14:textId="77777777">
        <w:trPr>
          <w:trHeight w:val="535"/>
        </w:trPr>
        <w:tc>
          <w:tcPr>
            <w:tcW w:w="0" w:type="auto"/>
            <w:vMerge/>
            <w:tcBorders>
              <w:top w:val="nil"/>
              <w:left w:val="nil"/>
              <w:bottom w:val="nil"/>
              <w:right w:val="single" w:sz="2" w:space="0" w:color="000000"/>
            </w:tcBorders>
          </w:tcPr>
          <w:p w14:paraId="5B7A9822"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092B41B9" w14:textId="77777777" w:rsidR="00053D93" w:rsidRDefault="00260B75">
            <w:pPr>
              <w:ind w:left="59"/>
            </w:pPr>
            <w:r>
              <w:rPr>
                <w:rFonts w:ascii="Malgan Gothic" w:eastAsia="Malgan Gothic" w:hAnsi="Malgan Gothic" w:cs="Malgan Gothic"/>
                <w:sz w:val="14"/>
              </w:rPr>
              <w:t>125</w:t>
            </w:r>
          </w:p>
        </w:tc>
        <w:tc>
          <w:tcPr>
            <w:tcW w:w="1226" w:type="dxa"/>
            <w:tcBorders>
              <w:top w:val="single" w:sz="2" w:space="0" w:color="000000"/>
              <w:left w:val="single" w:sz="2" w:space="0" w:color="000000"/>
              <w:bottom w:val="single" w:sz="2" w:space="0" w:color="000000"/>
              <w:right w:val="single" w:sz="2" w:space="0" w:color="000000"/>
            </w:tcBorders>
          </w:tcPr>
          <w:p w14:paraId="5B8502DD" w14:textId="77777777" w:rsidR="00053D93" w:rsidRDefault="00260B75">
            <w:pPr>
              <w:ind w:left="43"/>
              <w:jc w:val="both"/>
            </w:pPr>
            <w:r>
              <w:rPr>
                <w:rFonts w:ascii="Malgan Gothic" w:eastAsia="Malgan Gothic" w:hAnsi="Malgan Gothic" w:cs="Malgan Gothic"/>
                <w:sz w:val="16"/>
              </w:rPr>
              <w:t>E552674214</w:t>
            </w:r>
          </w:p>
        </w:tc>
        <w:tc>
          <w:tcPr>
            <w:tcW w:w="1584" w:type="dxa"/>
            <w:tcBorders>
              <w:top w:val="single" w:sz="2" w:space="0" w:color="000000"/>
              <w:left w:val="single" w:sz="2" w:space="0" w:color="000000"/>
              <w:bottom w:val="single" w:sz="2" w:space="0" w:color="000000"/>
              <w:right w:val="single" w:sz="2" w:space="0" w:color="000000"/>
            </w:tcBorders>
          </w:tcPr>
          <w:p w14:paraId="18CBBC04" w14:textId="77777777" w:rsidR="00053D93" w:rsidRDefault="00260B75">
            <w:pPr>
              <w:ind w:left="5"/>
              <w:jc w:val="center"/>
            </w:pPr>
            <w:r>
              <w:rPr>
                <w:rFonts w:ascii="Malgan Gothic" w:eastAsia="Malgan Gothic" w:hAnsi="Malgan Gothic" w:cs="Malgan Gothic"/>
                <w:sz w:val="14"/>
              </w:rPr>
              <w:t>2024-24449</w:t>
            </w:r>
          </w:p>
        </w:tc>
        <w:tc>
          <w:tcPr>
            <w:tcW w:w="1584" w:type="dxa"/>
            <w:tcBorders>
              <w:top w:val="single" w:sz="2" w:space="0" w:color="000000"/>
              <w:left w:val="single" w:sz="2" w:space="0" w:color="000000"/>
              <w:bottom w:val="single" w:sz="2" w:space="0" w:color="000000"/>
              <w:right w:val="single" w:sz="2" w:space="0" w:color="000000"/>
            </w:tcBorders>
          </w:tcPr>
          <w:p w14:paraId="5AF8B639" w14:textId="77777777" w:rsidR="00053D93" w:rsidRDefault="00260B75">
            <w:pPr>
              <w:ind w:right="2"/>
              <w:jc w:val="center"/>
            </w:pPr>
            <w:r>
              <w:rPr>
                <w:rFonts w:ascii="Malgan Gothic" w:eastAsia="Malgan Gothic" w:hAnsi="Malgan Gothic" w:cs="Malgan Gothic"/>
                <w:sz w:val="14"/>
              </w:rPr>
              <w:t>2411 0/2024</w:t>
            </w:r>
          </w:p>
        </w:tc>
        <w:tc>
          <w:tcPr>
            <w:tcW w:w="1915" w:type="dxa"/>
            <w:tcBorders>
              <w:top w:val="single" w:sz="2" w:space="0" w:color="000000"/>
              <w:left w:val="single" w:sz="2" w:space="0" w:color="000000"/>
              <w:bottom w:val="single" w:sz="2" w:space="0" w:color="000000"/>
              <w:right w:val="single" w:sz="2" w:space="0" w:color="000000"/>
            </w:tcBorders>
          </w:tcPr>
          <w:p w14:paraId="1273A192" w14:textId="77777777" w:rsidR="00053D93" w:rsidRDefault="00260B75">
            <w:pPr>
              <w:ind w:right="9"/>
              <w:jc w:val="center"/>
            </w:pPr>
            <w:r>
              <w:rPr>
                <w:rFonts w:ascii="Malgan Gothic" w:eastAsia="Malgan Gothic" w:hAnsi="Malgan Gothic" w:cs="Malgan Gothic"/>
                <w:sz w:val="14"/>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90A10FD" w14:textId="77777777" w:rsidR="00053D93" w:rsidRDefault="00260B75">
            <w:pPr>
              <w:ind w:right="72"/>
              <w:jc w:val="right"/>
            </w:pPr>
            <w:r>
              <w:rPr>
                <w:rFonts w:ascii="Malgan Gothic" w:eastAsia="Malgan Gothic" w:hAnsi="Malgan Gothic" w:cs="Malgan Gothic"/>
                <w:sz w:val="18"/>
              </w:rPr>
              <w:t>19,000.00</w:t>
            </w:r>
          </w:p>
        </w:tc>
      </w:tr>
      <w:tr w:rsidR="00053D93" w14:paraId="6AF4DD89" w14:textId="77777777">
        <w:trPr>
          <w:trHeight w:val="537"/>
        </w:trPr>
        <w:tc>
          <w:tcPr>
            <w:tcW w:w="0" w:type="auto"/>
            <w:vMerge/>
            <w:tcBorders>
              <w:top w:val="nil"/>
              <w:left w:val="nil"/>
              <w:bottom w:val="nil"/>
              <w:right w:val="single" w:sz="2" w:space="0" w:color="000000"/>
            </w:tcBorders>
          </w:tcPr>
          <w:p w14:paraId="6F39DC5A"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19C761A2" w14:textId="77777777" w:rsidR="00053D93" w:rsidRDefault="00260B75">
            <w:pPr>
              <w:ind w:left="59"/>
            </w:pPr>
            <w:r>
              <w:rPr>
                <w:rFonts w:ascii="Malgan Gothic" w:eastAsia="Malgan Gothic" w:hAnsi="Malgan Gothic" w:cs="Malgan Gothic"/>
                <w:sz w:val="14"/>
              </w:rPr>
              <w:t>126</w:t>
            </w:r>
          </w:p>
        </w:tc>
        <w:tc>
          <w:tcPr>
            <w:tcW w:w="1226" w:type="dxa"/>
            <w:tcBorders>
              <w:top w:val="single" w:sz="2" w:space="0" w:color="000000"/>
              <w:left w:val="single" w:sz="2" w:space="0" w:color="000000"/>
              <w:bottom w:val="single" w:sz="2" w:space="0" w:color="000000"/>
              <w:right w:val="single" w:sz="2" w:space="0" w:color="000000"/>
            </w:tcBorders>
          </w:tcPr>
          <w:p w14:paraId="10F93DED" w14:textId="77777777" w:rsidR="00053D93" w:rsidRDefault="00260B75">
            <w:pPr>
              <w:ind w:left="43"/>
              <w:jc w:val="both"/>
            </w:pPr>
            <w:r>
              <w:rPr>
                <w:rFonts w:ascii="Malgan Gothic" w:eastAsia="Malgan Gothic" w:hAnsi="Malgan Gothic" w:cs="Malgan Gothic"/>
                <w:sz w:val="14"/>
              </w:rPr>
              <w:t>E552677418</w:t>
            </w:r>
          </w:p>
        </w:tc>
        <w:tc>
          <w:tcPr>
            <w:tcW w:w="1584" w:type="dxa"/>
            <w:tcBorders>
              <w:top w:val="single" w:sz="2" w:space="0" w:color="000000"/>
              <w:left w:val="single" w:sz="2" w:space="0" w:color="000000"/>
              <w:bottom w:val="single" w:sz="2" w:space="0" w:color="000000"/>
              <w:right w:val="single" w:sz="2" w:space="0" w:color="000000"/>
            </w:tcBorders>
          </w:tcPr>
          <w:p w14:paraId="44C957CF" w14:textId="77777777" w:rsidR="00053D93" w:rsidRDefault="00260B75">
            <w:pPr>
              <w:ind w:left="5"/>
              <w:jc w:val="center"/>
            </w:pPr>
            <w:r>
              <w:rPr>
                <w:rFonts w:ascii="Malgan Gothic" w:eastAsia="Malgan Gothic" w:hAnsi="Malgan Gothic" w:cs="Malgan Gothic"/>
                <w:sz w:val="14"/>
              </w:rPr>
              <w:t>2024•24447</w:t>
            </w:r>
          </w:p>
        </w:tc>
        <w:tc>
          <w:tcPr>
            <w:tcW w:w="1584" w:type="dxa"/>
            <w:tcBorders>
              <w:top w:val="single" w:sz="2" w:space="0" w:color="000000"/>
              <w:left w:val="single" w:sz="2" w:space="0" w:color="000000"/>
              <w:bottom w:val="single" w:sz="2" w:space="0" w:color="000000"/>
              <w:right w:val="single" w:sz="2" w:space="0" w:color="000000"/>
            </w:tcBorders>
          </w:tcPr>
          <w:p w14:paraId="7B3A6834" w14:textId="77777777" w:rsidR="00053D93" w:rsidRDefault="00260B75">
            <w:pPr>
              <w:ind w:right="9"/>
              <w:jc w:val="center"/>
            </w:pPr>
            <w:r>
              <w:rPr>
                <w:rFonts w:ascii="Malgan Gothic" w:eastAsia="Malgan Gothic" w:hAnsi="Malgan Gothic" w:cs="Malgan Gothic"/>
                <w:sz w:val="16"/>
              </w:rPr>
              <w:t>24/10/2024</w:t>
            </w:r>
          </w:p>
        </w:tc>
        <w:tc>
          <w:tcPr>
            <w:tcW w:w="1915" w:type="dxa"/>
            <w:tcBorders>
              <w:top w:val="single" w:sz="2" w:space="0" w:color="000000"/>
              <w:left w:val="single" w:sz="2" w:space="0" w:color="000000"/>
              <w:bottom w:val="single" w:sz="2" w:space="0" w:color="000000"/>
              <w:right w:val="single" w:sz="2" w:space="0" w:color="000000"/>
            </w:tcBorders>
          </w:tcPr>
          <w:p w14:paraId="0ABC8216" w14:textId="77777777" w:rsidR="00053D93" w:rsidRDefault="00260B75">
            <w:pPr>
              <w:ind w:right="9"/>
              <w:jc w:val="center"/>
            </w:pPr>
            <w:r>
              <w:rPr>
                <w:rFonts w:ascii="Malgan Gothic" w:eastAsia="Malgan Gothic" w:hAnsi="Malgan Gothic" w:cs="Malgan Gothic"/>
                <w:sz w:val="16"/>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CD74EBF" w14:textId="77777777" w:rsidR="00053D93" w:rsidRDefault="00260B75">
            <w:pPr>
              <w:ind w:right="79"/>
              <w:jc w:val="right"/>
            </w:pPr>
            <w:r>
              <w:rPr>
                <w:rFonts w:ascii="Malgan Gothic" w:eastAsia="Malgan Gothic" w:hAnsi="Malgan Gothic" w:cs="Malgan Gothic"/>
                <w:sz w:val="16"/>
              </w:rPr>
              <w:t>24240.00</w:t>
            </w:r>
          </w:p>
        </w:tc>
      </w:tr>
      <w:tr w:rsidR="00053D93" w14:paraId="1087954A" w14:textId="77777777">
        <w:trPr>
          <w:trHeight w:val="528"/>
        </w:trPr>
        <w:tc>
          <w:tcPr>
            <w:tcW w:w="0" w:type="auto"/>
            <w:vMerge/>
            <w:tcBorders>
              <w:top w:val="nil"/>
              <w:left w:val="nil"/>
              <w:bottom w:val="nil"/>
              <w:right w:val="single" w:sz="2" w:space="0" w:color="000000"/>
            </w:tcBorders>
          </w:tcPr>
          <w:p w14:paraId="4EE3BD31"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11DDD459" w14:textId="77777777" w:rsidR="00053D93" w:rsidRDefault="00260B75">
            <w:pPr>
              <w:ind w:left="59"/>
            </w:pPr>
            <w:r>
              <w:rPr>
                <w:rFonts w:ascii="Malgan Gothic" w:eastAsia="Malgan Gothic" w:hAnsi="Malgan Gothic" w:cs="Malgan Gothic"/>
                <w:sz w:val="14"/>
              </w:rPr>
              <w:t>127</w:t>
            </w:r>
          </w:p>
        </w:tc>
        <w:tc>
          <w:tcPr>
            <w:tcW w:w="1226" w:type="dxa"/>
            <w:tcBorders>
              <w:top w:val="single" w:sz="2" w:space="0" w:color="000000"/>
              <w:left w:val="single" w:sz="2" w:space="0" w:color="000000"/>
              <w:bottom w:val="single" w:sz="2" w:space="0" w:color="000000"/>
              <w:right w:val="single" w:sz="2" w:space="0" w:color="000000"/>
            </w:tcBorders>
          </w:tcPr>
          <w:p w14:paraId="0628221E" w14:textId="77777777" w:rsidR="00053D93" w:rsidRDefault="00260B75">
            <w:pPr>
              <w:ind w:left="43"/>
            </w:pPr>
            <w:r>
              <w:rPr>
                <w:rFonts w:ascii="Malgan Gothic" w:eastAsia="Malgan Gothic" w:hAnsi="Malgan Gothic" w:cs="Malgan Gothic"/>
                <w:sz w:val="14"/>
              </w:rPr>
              <w:t>E552691518</w:t>
            </w:r>
          </w:p>
        </w:tc>
        <w:tc>
          <w:tcPr>
            <w:tcW w:w="1584" w:type="dxa"/>
            <w:tcBorders>
              <w:top w:val="single" w:sz="2" w:space="0" w:color="000000"/>
              <w:left w:val="single" w:sz="2" w:space="0" w:color="000000"/>
              <w:bottom w:val="single" w:sz="2" w:space="0" w:color="000000"/>
              <w:right w:val="single" w:sz="2" w:space="0" w:color="000000"/>
            </w:tcBorders>
          </w:tcPr>
          <w:p w14:paraId="4CB18CD3" w14:textId="77777777" w:rsidR="00053D93" w:rsidRDefault="00260B75">
            <w:pPr>
              <w:ind w:right="2"/>
              <w:jc w:val="center"/>
            </w:pPr>
            <w:r>
              <w:rPr>
                <w:rFonts w:ascii="Malgan Gothic" w:eastAsia="Malgan Gothic" w:hAnsi="Malgan Gothic" w:cs="Malgan Gothic"/>
                <w:sz w:val="14"/>
              </w:rPr>
              <w:t>2024-24996</w:t>
            </w:r>
          </w:p>
        </w:tc>
        <w:tc>
          <w:tcPr>
            <w:tcW w:w="1584" w:type="dxa"/>
            <w:tcBorders>
              <w:top w:val="single" w:sz="2" w:space="0" w:color="000000"/>
              <w:left w:val="single" w:sz="2" w:space="0" w:color="000000"/>
              <w:bottom w:val="single" w:sz="2" w:space="0" w:color="000000"/>
              <w:right w:val="single" w:sz="2" w:space="0" w:color="000000"/>
            </w:tcBorders>
          </w:tcPr>
          <w:p w14:paraId="52744FC5" w14:textId="77777777" w:rsidR="00053D93" w:rsidRDefault="00260B75">
            <w:pPr>
              <w:ind w:right="9"/>
              <w:jc w:val="center"/>
            </w:pPr>
            <w:r>
              <w:rPr>
                <w:rFonts w:ascii="Malgan Gothic" w:eastAsia="Malgan Gothic" w:hAnsi="Malgan Gothic" w:cs="Malgan Gothic"/>
                <w:sz w:val="16"/>
              </w:rPr>
              <w:t>21서1/2024</w:t>
            </w:r>
          </w:p>
        </w:tc>
        <w:tc>
          <w:tcPr>
            <w:tcW w:w="1915" w:type="dxa"/>
            <w:tcBorders>
              <w:top w:val="single" w:sz="2" w:space="0" w:color="000000"/>
              <w:left w:val="single" w:sz="2" w:space="0" w:color="000000"/>
              <w:bottom w:val="single" w:sz="2" w:space="0" w:color="000000"/>
              <w:right w:val="single" w:sz="2" w:space="0" w:color="000000"/>
            </w:tcBorders>
          </w:tcPr>
          <w:p w14:paraId="53251F98" w14:textId="77777777" w:rsidR="00053D93" w:rsidRDefault="00260B75">
            <w:pPr>
              <w:ind w:right="9"/>
              <w:jc w:val="center"/>
            </w:pPr>
            <w:r>
              <w:rPr>
                <w:rFonts w:ascii="Malgan Gothic" w:eastAsia="Malgan Gothic" w:hAnsi="Malgan Gothic" w:cs="Malgan Gothic"/>
                <w:sz w:val="14"/>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239DAB1" w14:textId="77777777" w:rsidR="00053D93" w:rsidRDefault="00260B75">
            <w:pPr>
              <w:ind w:right="79"/>
              <w:jc w:val="right"/>
            </w:pPr>
            <w:r>
              <w:rPr>
                <w:rFonts w:ascii="Malgan Gothic" w:eastAsia="Malgan Gothic" w:hAnsi="Malgan Gothic" w:cs="Malgan Gothic"/>
                <w:sz w:val="18"/>
              </w:rPr>
              <w:t>17,000.00</w:t>
            </w:r>
          </w:p>
        </w:tc>
      </w:tr>
      <w:tr w:rsidR="00053D93" w14:paraId="605DC092" w14:textId="77777777">
        <w:trPr>
          <w:trHeight w:val="526"/>
        </w:trPr>
        <w:tc>
          <w:tcPr>
            <w:tcW w:w="0" w:type="auto"/>
            <w:vMerge/>
            <w:tcBorders>
              <w:top w:val="nil"/>
              <w:left w:val="nil"/>
              <w:bottom w:val="nil"/>
              <w:right w:val="single" w:sz="2" w:space="0" w:color="000000"/>
            </w:tcBorders>
          </w:tcPr>
          <w:p w14:paraId="3C76FB52"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3B943E8C" w14:textId="77777777" w:rsidR="00053D93" w:rsidRDefault="00260B75">
            <w:pPr>
              <w:ind w:left="59"/>
            </w:pPr>
            <w:r>
              <w:rPr>
                <w:rFonts w:ascii="Malgan Gothic" w:eastAsia="Malgan Gothic" w:hAnsi="Malgan Gothic" w:cs="Malgan Gothic"/>
                <w:sz w:val="14"/>
              </w:rPr>
              <w:t>128</w:t>
            </w:r>
          </w:p>
        </w:tc>
        <w:tc>
          <w:tcPr>
            <w:tcW w:w="1226" w:type="dxa"/>
            <w:tcBorders>
              <w:top w:val="single" w:sz="2" w:space="0" w:color="000000"/>
              <w:left w:val="single" w:sz="2" w:space="0" w:color="000000"/>
              <w:bottom w:val="single" w:sz="2" w:space="0" w:color="000000"/>
              <w:right w:val="single" w:sz="2" w:space="0" w:color="000000"/>
            </w:tcBorders>
          </w:tcPr>
          <w:p w14:paraId="41305ED2" w14:textId="77777777" w:rsidR="00053D93" w:rsidRDefault="00260B75">
            <w:pPr>
              <w:ind w:left="43"/>
            </w:pPr>
            <w:r>
              <w:rPr>
                <w:rFonts w:ascii="Malgan Gothic" w:eastAsia="Malgan Gothic" w:hAnsi="Malgan Gothic" w:cs="Malgan Gothic"/>
                <w:sz w:val="16"/>
              </w:rPr>
              <w:t>E552697982</w:t>
            </w:r>
          </w:p>
        </w:tc>
        <w:tc>
          <w:tcPr>
            <w:tcW w:w="1584" w:type="dxa"/>
            <w:tcBorders>
              <w:top w:val="single" w:sz="2" w:space="0" w:color="000000"/>
              <w:left w:val="single" w:sz="2" w:space="0" w:color="000000"/>
              <w:bottom w:val="single" w:sz="2" w:space="0" w:color="000000"/>
              <w:right w:val="single" w:sz="2" w:space="0" w:color="000000"/>
            </w:tcBorders>
          </w:tcPr>
          <w:p w14:paraId="77B26F95" w14:textId="77777777" w:rsidR="00053D93" w:rsidRDefault="00260B75">
            <w:pPr>
              <w:ind w:right="9"/>
              <w:jc w:val="center"/>
            </w:pPr>
            <w:r>
              <w:rPr>
                <w:rFonts w:ascii="Malgan Gothic" w:eastAsia="Malgan Gothic" w:hAnsi="Malgan Gothic" w:cs="Malgan Gothic"/>
                <w:sz w:val="14"/>
              </w:rPr>
              <w:t>2024-25239</w:t>
            </w:r>
          </w:p>
        </w:tc>
        <w:tc>
          <w:tcPr>
            <w:tcW w:w="1584" w:type="dxa"/>
            <w:tcBorders>
              <w:top w:val="single" w:sz="2" w:space="0" w:color="000000"/>
              <w:left w:val="single" w:sz="2" w:space="0" w:color="000000"/>
              <w:bottom w:val="single" w:sz="2" w:space="0" w:color="000000"/>
              <w:right w:val="single" w:sz="2" w:space="0" w:color="000000"/>
            </w:tcBorders>
          </w:tcPr>
          <w:p w14:paraId="136FAA68" w14:textId="77777777" w:rsidR="00053D93" w:rsidRDefault="00260B75">
            <w:pPr>
              <w:ind w:right="2"/>
              <w:jc w:val="center"/>
            </w:pPr>
            <w:r>
              <w:rPr>
                <w:rFonts w:ascii="Malgan Gothic" w:eastAsia="Malgan Gothic" w:hAnsi="Malgan Gothic" w:cs="Malgan Gothic"/>
                <w:sz w:val="16"/>
              </w:rPr>
              <w:t>12/11/2024</w:t>
            </w:r>
          </w:p>
        </w:tc>
        <w:tc>
          <w:tcPr>
            <w:tcW w:w="1915" w:type="dxa"/>
            <w:tcBorders>
              <w:top w:val="single" w:sz="2" w:space="0" w:color="000000"/>
              <w:left w:val="single" w:sz="2" w:space="0" w:color="000000"/>
              <w:bottom w:val="single" w:sz="2" w:space="0" w:color="000000"/>
              <w:right w:val="single" w:sz="2" w:space="0" w:color="000000"/>
            </w:tcBorders>
          </w:tcPr>
          <w:p w14:paraId="3DE91440" w14:textId="77777777" w:rsidR="00053D93" w:rsidRDefault="00260B75">
            <w:pPr>
              <w:ind w:right="9"/>
              <w:jc w:val="center"/>
            </w:pPr>
            <w:r>
              <w:rPr>
                <w:rFonts w:ascii="Malgan Gothic" w:eastAsia="Malgan Gothic" w:hAnsi="Malgan Gothic" w:cs="Malgan Gothic"/>
                <w:sz w:val="16"/>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31BAA521" w14:textId="77777777" w:rsidR="00053D93" w:rsidRDefault="00260B75">
            <w:pPr>
              <w:ind w:right="79"/>
              <w:jc w:val="right"/>
            </w:pPr>
            <w:r>
              <w:rPr>
                <w:rFonts w:ascii="Malgan Gothic" w:eastAsia="Malgan Gothic" w:hAnsi="Malgan Gothic" w:cs="Malgan Gothic"/>
                <w:sz w:val="18"/>
              </w:rPr>
              <w:t>14,875.00</w:t>
            </w:r>
          </w:p>
        </w:tc>
      </w:tr>
      <w:tr w:rsidR="00053D93" w14:paraId="342A47A5" w14:textId="77777777">
        <w:trPr>
          <w:trHeight w:val="537"/>
        </w:trPr>
        <w:tc>
          <w:tcPr>
            <w:tcW w:w="0" w:type="auto"/>
            <w:vMerge/>
            <w:tcBorders>
              <w:top w:val="nil"/>
              <w:left w:val="nil"/>
              <w:bottom w:val="nil"/>
              <w:right w:val="single" w:sz="2" w:space="0" w:color="000000"/>
            </w:tcBorders>
          </w:tcPr>
          <w:p w14:paraId="07B19C3A"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43C301DC" w14:textId="77777777" w:rsidR="00053D93" w:rsidRDefault="00260B75">
            <w:pPr>
              <w:ind w:left="59"/>
            </w:pPr>
            <w:r>
              <w:rPr>
                <w:rFonts w:ascii="Malgan Gothic" w:eastAsia="Malgan Gothic" w:hAnsi="Malgan Gothic" w:cs="Malgan Gothic"/>
                <w:sz w:val="14"/>
              </w:rPr>
              <w:t>129</w:t>
            </w:r>
          </w:p>
        </w:tc>
        <w:tc>
          <w:tcPr>
            <w:tcW w:w="1226" w:type="dxa"/>
            <w:tcBorders>
              <w:top w:val="single" w:sz="2" w:space="0" w:color="000000"/>
              <w:left w:val="single" w:sz="2" w:space="0" w:color="000000"/>
              <w:bottom w:val="single" w:sz="2" w:space="0" w:color="000000"/>
              <w:right w:val="single" w:sz="2" w:space="0" w:color="000000"/>
            </w:tcBorders>
          </w:tcPr>
          <w:p w14:paraId="2B2B35E1" w14:textId="77777777" w:rsidR="00053D93" w:rsidRDefault="00260B75">
            <w:pPr>
              <w:ind w:left="43"/>
            </w:pPr>
            <w:r>
              <w:rPr>
                <w:rFonts w:ascii="Malgan Gothic" w:eastAsia="Malgan Gothic" w:hAnsi="Malgan Gothic" w:cs="Malgan Gothic"/>
                <w:sz w:val="14"/>
              </w:rPr>
              <w:t>E552698849</w:t>
            </w:r>
          </w:p>
        </w:tc>
        <w:tc>
          <w:tcPr>
            <w:tcW w:w="1584" w:type="dxa"/>
            <w:tcBorders>
              <w:top w:val="single" w:sz="2" w:space="0" w:color="000000"/>
              <w:left w:val="single" w:sz="2" w:space="0" w:color="000000"/>
              <w:bottom w:val="single" w:sz="2" w:space="0" w:color="000000"/>
              <w:right w:val="single" w:sz="2" w:space="0" w:color="000000"/>
            </w:tcBorders>
          </w:tcPr>
          <w:p w14:paraId="33BED43A" w14:textId="77777777" w:rsidR="00053D93" w:rsidRDefault="00260B75">
            <w:pPr>
              <w:ind w:right="9"/>
              <w:jc w:val="center"/>
            </w:pPr>
            <w:r>
              <w:rPr>
                <w:rFonts w:ascii="Malgan Gothic" w:eastAsia="Malgan Gothic" w:hAnsi="Malgan Gothic" w:cs="Malgan Gothic"/>
                <w:sz w:val="14"/>
              </w:rPr>
              <w:t>2024-25425</w:t>
            </w:r>
          </w:p>
        </w:tc>
        <w:tc>
          <w:tcPr>
            <w:tcW w:w="1584" w:type="dxa"/>
            <w:tcBorders>
              <w:top w:val="single" w:sz="2" w:space="0" w:color="000000"/>
              <w:left w:val="single" w:sz="2" w:space="0" w:color="000000"/>
              <w:bottom w:val="single" w:sz="2" w:space="0" w:color="000000"/>
              <w:right w:val="single" w:sz="2" w:space="0" w:color="000000"/>
            </w:tcBorders>
          </w:tcPr>
          <w:p w14:paraId="3AE08698" w14:textId="77777777" w:rsidR="00053D93" w:rsidRDefault="00260B75">
            <w:pPr>
              <w:ind w:right="2"/>
              <w:jc w:val="center"/>
            </w:pPr>
            <w:r>
              <w:rPr>
                <w:rFonts w:ascii="Malgan Gothic" w:eastAsia="Malgan Gothic" w:hAnsi="Malgan Gothic" w:cs="Malgan Gothic"/>
                <w:sz w:val="14"/>
              </w:rPr>
              <w:t>18/1 0/2024</w:t>
            </w:r>
          </w:p>
        </w:tc>
        <w:tc>
          <w:tcPr>
            <w:tcW w:w="1915" w:type="dxa"/>
            <w:tcBorders>
              <w:top w:val="single" w:sz="2" w:space="0" w:color="000000"/>
              <w:left w:val="single" w:sz="2" w:space="0" w:color="000000"/>
              <w:bottom w:val="single" w:sz="2" w:space="0" w:color="000000"/>
              <w:right w:val="single" w:sz="2" w:space="0" w:color="000000"/>
            </w:tcBorders>
          </w:tcPr>
          <w:p w14:paraId="529840AC" w14:textId="77777777" w:rsidR="00053D93" w:rsidRDefault="00260B75">
            <w:pPr>
              <w:ind w:right="23"/>
              <w:jc w:val="center"/>
            </w:pPr>
            <w:r>
              <w:rPr>
                <w:rFonts w:ascii="Malgan Gothic" w:eastAsia="Malgan Gothic" w:hAnsi="Malgan Gothic" w:cs="Malgan Gothic"/>
                <w:sz w:val="14"/>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35F5DCF4" w14:textId="77777777" w:rsidR="00053D93" w:rsidRDefault="00260B75">
            <w:pPr>
              <w:ind w:right="79"/>
              <w:jc w:val="right"/>
            </w:pPr>
            <w:r>
              <w:rPr>
                <w:rFonts w:ascii="Malgan Gothic" w:eastAsia="Malgan Gothic" w:hAnsi="Malgan Gothic" w:cs="Malgan Gothic"/>
                <w:sz w:val="16"/>
              </w:rPr>
              <w:t>23|870.00</w:t>
            </w:r>
          </w:p>
        </w:tc>
      </w:tr>
      <w:tr w:rsidR="00053D93" w14:paraId="16D88404" w14:textId="77777777">
        <w:trPr>
          <w:trHeight w:val="528"/>
        </w:trPr>
        <w:tc>
          <w:tcPr>
            <w:tcW w:w="0" w:type="auto"/>
            <w:vMerge/>
            <w:tcBorders>
              <w:top w:val="nil"/>
              <w:left w:val="nil"/>
              <w:bottom w:val="nil"/>
              <w:right w:val="single" w:sz="2" w:space="0" w:color="000000"/>
            </w:tcBorders>
          </w:tcPr>
          <w:p w14:paraId="550B57F6"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2F3A5C19" w14:textId="77777777" w:rsidR="00053D93" w:rsidRDefault="00260B75">
            <w:pPr>
              <w:ind w:left="52"/>
            </w:pPr>
            <w:r>
              <w:rPr>
                <w:rFonts w:ascii="Malgan Gothic" w:eastAsia="Malgan Gothic" w:hAnsi="Malgan Gothic" w:cs="Malgan Gothic"/>
                <w:sz w:val="14"/>
              </w:rPr>
              <w:t>130</w:t>
            </w:r>
          </w:p>
        </w:tc>
        <w:tc>
          <w:tcPr>
            <w:tcW w:w="1226" w:type="dxa"/>
            <w:tcBorders>
              <w:top w:val="single" w:sz="2" w:space="0" w:color="000000"/>
              <w:left w:val="single" w:sz="2" w:space="0" w:color="000000"/>
              <w:bottom w:val="single" w:sz="2" w:space="0" w:color="000000"/>
              <w:right w:val="single" w:sz="2" w:space="0" w:color="000000"/>
            </w:tcBorders>
          </w:tcPr>
          <w:p w14:paraId="6CEBFBDA" w14:textId="77777777" w:rsidR="00053D93" w:rsidRDefault="00260B75">
            <w:pPr>
              <w:ind w:left="36"/>
            </w:pPr>
            <w:r>
              <w:rPr>
                <w:rFonts w:ascii="Malgan Gothic" w:eastAsia="Malgan Gothic" w:hAnsi="Malgan Gothic" w:cs="Malgan Gothic"/>
                <w:sz w:val="14"/>
              </w:rPr>
              <w:t>E552699888</w:t>
            </w:r>
          </w:p>
        </w:tc>
        <w:tc>
          <w:tcPr>
            <w:tcW w:w="1584" w:type="dxa"/>
            <w:tcBorders>
              <w:top w:val="single" w:sz="2" w:space="0" w:color="000000"/>
              <w:left w:val="single" w:sz="2" w:space="0" w:color="000000"/>
              <w:bottom w:val="single" w:sz="2" w:space="0" w:color="000000"/>
              <w:right w:val="single" w:sz="2" w:space="0" w:color="000000"/>
            </w:tcBorders>
          </w:tcPr>
          <w:p w14:paraId="3429D30E" w14:textId="77777777" w:rsidR="00053D93" w:rsidRDefault="00260B75">
            <w:pPr>
              <w:ind w:right="38"/>
              <w:jc w:val="center"/>
            </w:pPr>
            <w:r>
              <w:rPr>
                <w:rFonts w:ascii="Malgan Gothic" w:eastAsia="Malgan Gothic" w:hAnsi="Malgan Gothic" w:cs="Malgan Gothic"/>
                <w:sz w:val="14"/>
              </w:rPr>
              <w:t>2024-23201</w:t>
            </w:r>
          </w:p>
        </w:tc>
        <w:tc>
          <w:tcPr>
            <w:tcW w:w="1584" w:type="dxa"/>
            <w:tcBorders>
              <w:top w:val="single" w:sz="2" w:space="0" w:color="000000"/>
              <w:left w:val="single" w:sz="2" w:space="0" w:color="000000"/>
              <w:bottom w:val="single" w:sz="2" w:space="0" w:color="000000"/>
              <w:right w:val="single" w:sz="2" w:space="0" w:color="000000"/>
            </w:tcBorders>
          </w:tcPr>
          <w:p w14:paraId="4392997A" w14:textId="77777777" w:rsidR="00053D93" w:rsidRDefault="00260B75">
            <w:pPr>
              <w:ind w:right="23"/>
              <w:jc w:val="center"/>
            </w:pPr>
            <w:r>
              <w:rPr>
                <w:rFonts w:ascii="Malgan Gothic" w:eastAsia="Malgan Gothic" w:hAnsi="Malgan Gothic" w:cs="Malgan Gothic"/>
                <w:sz w:val="14"/>
              </w:rPr>
              <w:t>2/10/2024</w:t>
            </w:r>
          </w:p>
        </w:tc>
        <w:tc>
          <w:tcPr>
            <w:tcW w:w="1915" w:type="dxa"/>
            <w:tcBorders>
              <w:top w:val="single" w:sz="2" w:space="0" w:color="000000"/>
              <w:left w:val="single" w:sz="2" w:space="0" w:color="000000"/>
              <w:bottom w:val="single" w:sz="2" w:space="0" w:color="000000"/>
              <w:right w:val="single" w:sz="2" w:space="0" w:color="000000"/>
            </w:tcBorders>
          </w:tcPr>
          <w:p w14:paraId="6A16AB8B" w14:textId="77777777" w:rsidR="00053D93" w:rsidRDefault="00260B75">
            <w:pPr>
              <w:ind w:right="23"/>
              <w:jc w:val="center"/>
            </w:pPr>
            <w:r>
              <w:rPr>
                <w:rFonts w:ascii="Malgan Gothic" w:eastAsia="Malgan Gothic" w:hAnsi="Malgan Gothic" w:cs="Malgan Gothic"/>
                <w:sz w:val="16"/>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02BFE59E" w14:textId="77777777" w:rsidR="00053D93" w:rsidRDefault="00260B75">
            <w:pPr>
              <w:ind w:right="79"/>
              <w:jc w:val="right"/>
            </w:pPr>
            <w:r>
              <w:rPr>
                <w:rFonts w:ascii="Malgan Gothic" w:eastAsia="Malgan Gothic" w:hAnsi="Malgan Gothic" w:cs="Malgan Gothic"/>
                <w:sz w:val="18"/>
              </w:rPr>
              <w:t>5,068.75</w:t>
            </w:r>
          </w:p>
        </w:tc>
      </w:tr>
      <w:tr w:rsidR="00053D93" w14:paraId="5CF3E11E" w14:textId="77777777">
        <w:trPr>
          <w:trHeight w:val="533"/>
        </w:trPr>
        <w:tc>
          <w:tcPr>
            <w:tcW w:w="0" w:type="auto"/>
            <w:vMerge/>
            <w:tcBorders>
              <w:top w:val="nil"/>
              <w:left w:val="nil"/>
              <w:bottom w:val="nil"/>
              <w:right w:val="single" w:sz="2" w:space="0" w:color="000000"/>
            </w:tcBorders>
          </w:tcPr>
          <w:p w14:paraId="0B4D47FA"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2ECF06FB" w14:textId="77777777" w:rsidR="00053D93" w:rsidRDefault="00260B75">
            <w:pPr>
              <w:ind w:left="52"/>
            </w:pPr>
            <w:r>
              <w:rPr>
                <w:rFonts w:ascii="Malgan Gothic" w:eastAsia="Malgan Gothic" w:hAnsi="Malgan Gothic" w:cs="Malgan Gothic"/>
                <w:sz w:val="14"/>
              </w:rPr>
              <w:t>131</w:t>
            </w:r>
          </w:p>
        </w:tc>
        <w:tc>
          <w:tcPr>
            <w:tcW w:w="1226" w:type="dxa"/>
            <w:tcBorders>
              <w:top w:val="single" w:sz="2" w:space="0" w:color="000000"/>
              <w:left w:val="single" w:sz="2" w:space="0" w:color="000000"/>
              <w:bottom w:val="single" w:sz="2" w:space="0" w:color="000000"/>
              <w:right w:val="single" w:sz="2" w:space="0" w:color="000000"/>
            </w:tcBorders>
          </w:tcPr>
          <w:p w14:paraId="574B97C2" w14:textId="77777777" w:rsidR="00053D93" w:rsidRDefault="00260B75">
            <w:pPr>
              <w:ind w:left="36"/>
            </w:pPr>
            <w:r>
              <w:rPr>
                <w:rFonts w:ascii="Malgan Gothic" w:eastAsia="Malgan Gothic" w:hAnsi="Malgan Gothic" w:cs="Malgan Gothic"/>
                <w:sz w:val="16"/>
              </w:rPr>
              <w:t>E552716561</w:t>
            </w:r>
          </w:p>
        </w:tc>
        <w:tc>
          <w:tcPr>
            <w:tcW w:w="1584" w:type="dxa"/>
            <w:tcBorders>
              <w:top w:val="single" w:sz="2" w:space="0" w:color="000000"/>
              <w:left w:val="single" w:sz="2" w:space="0" w:color="000000"/>
              <w:bottom w:val="single" w:sz="2" w:space="0" w:color="000000"/>
              <w:right w:val="single" w:sz="2" w:space="0" w:color="000000"/>
            </w:tcBorders>
          </w:tcPr>
          <w:p w14:paraId="0A09DFBF" w14:textId="77777777" w:rsidR="00053D93" w:rsidRDefault="00260B75">
            <w:pPr>
              <w:ind w:right="16"/>
              <w:jc w:val="center"/>
            </w:pPr>
            <w:r>
              <w:rPr>
                <w:rFonts w:ascii="Malgan Gothic" w:eastAsia="Malgan Gothic" w:hAnsi="Malgan Gothic" w:cs="Malgan Gothic"/>
                <w:sz w:val="14"/>
              </w:rPr>
              <w:t>2024-25512</w:t>
            </w:r>
          </w:p>
        </w:tc>
        <w:tc>
          <w:tcPr>
            <w:tcW w:w="1584" w:type="dxa"/>
            <w:tcBorders>
              <w:top w:val="single" w:sz="2" w:space="0" w:color="000000"/>
              <w:left w:val="single" w:sz="2" w:space="0" w:color="000000"/>
              <w:bottom w:val="single" w:sz="2" w:space="0" w:color="000000"/>
              <w:right w:val="single" w:sz="2" w:space="0" w:color="000000"/>
            </w:tcBorders>
          </w:tcPr>
          <w:p w14:paraId="37D955F0" w14:textId="77777777" w:rsidR="00053D93" w:rsidRDefault="00260B75">
            <w:pPr>
              <w:ind w:right="16"/>
              <w:jc w:val="center"/>
            </w:pPr>
            <w:r>
              <w:rPr>
                <w:rFonts w:ascii="Malgan Gothic" w:eastAsia="Malgan Gothic" w:hAnsi="Malgan Gothic" w:cs="Malgan Gothic"/>
                <w:sz w:val="16"/>
              </w:rPr>
              <w:t>18/11/2024</w:t>
            </w:r>
          </w:p>
        </w:tc>
        <w:tc>
          <w:tcPr>
            <w:tcW w:w="1915" w:type="dxa"/>
            <w:tcBorders>
              <w:top w:val="single" w:sz="2" w:space="0" w:color="000000"/>
              <w:left w:val="single" w:sz="2" w:space="0" w:color="000000"/>
              <w:bottom w:val="single" w:sz="2" w:space="0" w:color="000000"/>
              <w:right w:val="single" w:sz="2" w:space="0" w:color="000000"/>
            </w:tcBorders>
          </w:tcPr>
          <w:p w14:paraId="27C2B0D4" w14:textId="77777777" w:rsidR="00053D93" w:rsidRDefault="00260B75">
            <w:pPr>
              <w:ind w:right="23"/>
              <w:jc w:val="center"/>
            </w:pPr>
            <w:r>
              <w:rPr>
                <w:rFonts w:ascii="Malgan Gothic" w:eastAsia="Malgan Gothic" w:hAnsi="Malgan Gothic" w:cs="Malgan Gothic"/>
                <w:sz w:val="14"/>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3068A48" w14:textId="77777777" w:rsidR="00053D93" w:rsidRDefault="00260B75">
            <w:pPr>
              <w:ind w:left="380"/>
            </w:pPr>
            <w:r>
              <w:rPr>
                <w:rFonts w:ascii="Malgan Gothic" w:eastAsia="Malgan Gothic" w:hAnsi="Malgan Gothic" w:cs="Malgan Gothic"/>
                <w:sz w:val="16"/>
              </w:rPr>
              <w:t>241750.00</w:t>
            </w:r>
          </w:p>
        </w:tc>
      </w:tr>
      <w:tr w:rsidR="00053D93" w14:paraId="0E1DE8E8" w14:textId="77777777">
        <w:trPr>
          <w:trHeight w:val="526"/>
        </w:trPr>
        <w:tc>
          <w:tcPr>
            <w:tcW w:w="0" w:type="auto"/>
            <w:vMerge/>
            <w:tcBorders>
              <w:top w:val="nil"/>
              <w:left w:val="nil"/>
              <w:bottom w:val="nil"/>
              <w:right w:val="single" w:sz="2" w:space="0" w:color="000000"/>
            </w:tcBorders>
          </w:tcPr>
          <w:p w14:paraId="13102A92"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6E3DE160" w14:textId="77777777" w:rsidR="00053D93" w:rsidRDefault="00260B75">
            <w:pPr>
              <w:ind w:left="52"/>
            </w:pPr>
            <w:r>
              <w:rPr>
                <w:rFonts w:ascii="Malgan Gothic" w:eastAsia="Malgan Gothic" w:hAnsi="Malgan Gothic" w:cs="Malgan Gothic"/>
                <w:sz w:val="14"/>
              </w:rPr>
              <w:t>132</w:t>
            </w:r>
          </w:p>
        </w:tc>
        <w:tc>
          <w:tcPr>
            <w:tcW w:w="1226" w:type="dxa"/>
            <w:tcBorders>
              <w:top w:val="single" w:sz="2" w:space="0" w:color="000000"/>
              <w:left w:val="single" w:sz="2" w:space="0" w:color="000000"/>
              <w:bottom w:val="single" w:sz="2" w:space="0" w:color="000000"/>
              <w:right w:val="single" w:sz="2" w:space="0" w:color="000000"/>
            </w:tcBorders>
          </w:tcPr>
          <w:p w14:paraId="56FC24DF" w14:textId="77777777" w:rsidR="00053D93" w:rsidRDefault="00260B75">
            <w:pPr>
              <w:ind w:left="36"/>
            </w:pPr>
            <w:r>
              <w:rPr>
                <w:rFonts w:ascii="Malgan Gothic" w:eastAsia="Malgan Gothic" w:hAnsi="Malgan Gothic" w:cs="Malgan Gothic"/>
                <w:sz w:val="14"/>
              </w:rPr>
              <w:t>E552726745</w:t>
            </w:r>
          </w:p>
        </w:tc>
        <w:tc>
          <w:tcPr>
            <w:tcW w:w="1584" w:type="dxa"/>
            <w:tcBorders>
              <w:top w:val="single" w:sz="2" w:space="0" w:color="000000"/>
              <w:left w:val="single" w:sz="2" w:space="0" w:color="000000"/>
              <w:bottom w:val="single" w:sz="2" w:space="0" w:color="000000"/>
              <w:right w:val="single" w:sz="2" w:space="0" w:color="000000"/>
            </w:tcBorders>
          </w:tcPr>
          <w:p w14:paraId="221F68BD" w14:textId="77777777" w:rsidR="00053D93" w:rsidRDefault="00260B75">
            <w:pPr>
              <w:ind w:right="23"/>
              <w:jc w:val="center"/>
            </w:pPr>
            <w:r>
              <w:rPr>
                <w:rFonts w:ascii="Malgan Gothic" w:eastAsia="Malgan Gothic" w:hAnsi="Malgan Gothic" w:cs="Malgan Gothic"/>
                <w:sz w:val="14"/>
              </w:rPr>
              <w:t>2024-24922</w:t>
            </w:r>
          </w:p>
        </w:tc>
        <w:tc>
          <w:tcPr>
            <w:tcW w:w="1584" w:type="dxa"/>
            <w:tcBorders>
              <w:top w:val="single" w:sz="2" w:space="0" w:color="000000"/>
              <w:left w:val="single" w:sz="2" w:space="0" w:color="000000"/>
              <w:bottom w:val="single" w:sz="2" w:space="0" w:color="000000"/>
              <w:right w:val="single" w:sz="2" w:space="0" w:color="000000"/>
            </w:tcBorders>
          </w:tcPr>
          <w:p w14:paraId="2A01D974" w14:textId="77777777" w:rsidR="00053D93" w:rsidRDefault="00260B75">
            <w:pPr>
              <w:ind w:right="16"/>
              <w:jc w:val="center"/>
            </w:pPr>
            <w:r>
              <w:rPr>
                <w:rFonts w:ascii="Malgan Gothic" w:eastAsia="Malgan Gothic" w:hAnsi="Malgan Gothic" w:cs="Malgan Gothic"/>
                <w:sz w:val="14"/>
              </w:rPr>
              <w:t>11/1 1/2024</w:t>
            </w:r>
          </w:p>
        </w:tc>
        <w:tc>
          <w:tcPr>
            <w:tcW w:w="1915" w:type="dxa"/>
            <w:tcBorders>
              <w:top w:val="single" w:sz="2" w:space="0" w:color="000000"/>
              <w:left w:val="single" w:sz="2" w:space="0" w:color="000000"/>
              <w:bottom w:val="single" w:sz="2" w:space="0" w:color="000000"/>
              <w:right w:val="single" w:sz="2" w:space="0" w:color="000000"/>
            </w:tcBorders>
          </w:tcPr>
          <w:p w14:paraId="23FFF2DC" w14:textId="77777777" w:rsidR="00053D93" w:rsidRDefault="00260B75">
            <w:pPr>
              <w:ind w:right="23"/>
              <w:jc w:val="center"/>
            </w:pPr>
            <w:r>
              <w:rPr>
                <w:rFonts w:ascii="Malgan Gothic" w:eastAsia="Malgan Gothic" w:hAnsi="Malgan Gothic" w:cs="Malgan Gothic"/>
                <w:sz w:val="16"/>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2D14B2D9" w14:textId="77777777" w:rsidR="00053D93" w:rsidRDefault="00260B75">
            <w:pPr>
              <w:ind w:right="86"/>
              <w:jc w:val="right"/>
            </w:pPr>
            <w:r>
              <w:rPr>
                <w:rFonts w:ascii="Malgan Gothic" w:eastAsia="Malgan Gothic" w:hAnsi="Malgan Gothic" w:cs="Malgan Gothic"/>
                <w:sz w:val="18"/>
              </w:rPr>
              <w:t>3,000.00</w:t>
            </w:r>
          </w:p>
        </w:tc>
      </w:tr>
      <w:tr w:rsidR="00053D93" w14:paraId="242EBE52" w14:textId="77777777">
        <w:trPr>
          <w:trHeight w:val="526"/>
        </w:trPr>
        <w:tc>
          <w:tcPr>
            <w:tcW w:w="0" w:type="auto"/>
            <w:vMerge/>
            <w:tcBorders>
              <w:top w:val="nil"/>
              <w:left w:val="nil"/>
              <w:bottom w:val="nil"/>
              <w:right w:val="single" w:sz="2" w:space="0" w:color="000000"/>
            </w:tcBorders>
          </w:tcPr>
          <w:p w14:paraId="2C7CB6FE"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4784F648" w14:textId="77777777" w:rsidR="00053D93" w:rsidRDefault="00260B75">
            <w:pPr>
              <w:ind w:left="52"/>
            </w:pPr>
            <w:r>
              <w:rPr>
                <w:rFonts w:ascii="Malgan Gothic" w:eastAsia="Malgan Gothic" w:hAnsi="Malgan Gothic" w:cs="Malgan Gothic"/>
                <w:sz w:val="14"/>
              </w:rPr>
              <w:t>133</w:t>
            </w:r>
          </w:p>
        </w:tc>
        <w:tc>
          <w:tcPr>
            <w:tcW w:w="1226" w:type="dxa"/>
            <w:tcBorders>
              <w:top w:val="single" w:sz="2" w:space="0" w:color="000000"/>
              <w:left w:val="single" w:sz="2" w:space="0" w:color="000000"/>
              <w:bottom w:val="single" w:sz="2" w:space="0" w:color="000000"/>
              <w:right w:val="single" w:sz="2" w:space="0" w:color="000000"/>
            </w:tcBorders>
          </w:tcPr>
          <w:p w14:paraId="52E8F0FC" w14:textId="77777777" w:rsidR="00053D93" w:rsidRDefault="00260B75">
            <w:pPr>
              <w:ind w:left="29"/>
            </w:pPr>
            <w:r>
              <w:rPr>
                <w:rFonts w:ascii="Malgan Gothic" w:eastAsia="Malgan Gothic" w:hAnsi="Malgan Gothic" w:cs="Malgan Gothic"/>
                <w:sz w:val="14"/>
              </w:rPr>
              <w:t>E552727504</w:t>
            </w:r>
          </w:p>
        </w:tc>
        <w:tc>
          <w:tcPr>
            <w:tcW w:w="1584" w:type="dxa"/>
            <w:tcBorders>
              <w:top w:val="single" w:sz="2" w:space="0" w:color="000000"/>
              <w:left w:val="single" w:sz="2" w:space="0" w:color="000000"/>
              <w:bottom w:val="single" w:sz="2" w:space="0" w:color="000000"/>
              <w:right w:val="single" w:sz="2" w:space="0" w:color="000000"/>
            </w:tcBorders>
          </w:tcPr>
          <w:p w14:paraId="4D71E2AA" w14:textId="77777777" w:rsidR="00053D93" w:rsidRDefault="00260B75">
            <w:pPr>
              <w:ind w:right="23"/>
              <w:jc w:val="center"/>
            </w:pPr>
            <w:r>
              <w:rPr>
                <w:rFonts w:ascii="Malgan Gothic" w:eastAsia="Malgan Gothic" w:hAnsi="Malgan Gothic" w:cs="Malgan Gothic"/>
                <w:sz w:val="14"/>
              </w:rPr>
              <w:t>2024-25354</w:t>
            </w:r>
          </w:p>
        </w:tc>
        <w:tc>
          <w:tcPr>
            <w:tcW w:w="1584" w:type="dxa"/>
            <w:tcBorders>
              <w:top w:val="single" w:sz="2" w:space="0" w:color="000000"/>
              <w:left w:val="single" w:sz="2" w:space="0" w:color="000000"/>
              <w:bottom w:val="single" w:sz="2" w:space="0" w:color="000000"/>
              <w:right w:val="single" w:sz="2" w:space="0" w:color="000000"/>
            </w:tcBorders>
          </w:tcPr>
          <w:p w14:paraId="25117BE9" w14:textId="77777777" w:rsidR="00053D93" w:rsidRDefault="00260B75">
            <w:pPr>
              <w:ind w:right="16"/>
              <w:jc w:val="center"/>
            </w:pPr>
            <w:r>
              <w:rPr>
                <w:rFonts w:ascii="Malgan Gothic" w:eastAsia="Malgan Gothic" w:hAnsi="Malgan Gothic" w:cs="Malgan Gothic"/>
                <w:sz w:val="14"/>
              </w:rPr>
              <w:t>14/1 1/2024</w:t>
            </w:r>
          </w:p>
        </w:tc>
        <w:tc>
          <w:tcPr>
            <w:tcW w:w="1915" w:type="dxa"/>
            <w:tcBorders>
              <w:top w:val="single" w:sz="2" w:space="0" w:color="000000"/>
              <w:left w:val="single" w:sz="2" w:space="0" w:color="000000"/>
              <w:bottom w:val="single" w:sz="2" w:space="0" w:color="000000"/>
              <w:right w:val="single" w:sz="2" w:space="0" w:color="000000"/>
            </w:tcBorders>
          </w:tcPr>
          <w:p w14:paraId="2ACB5F8E" w14:textId="77777777" w:rsidR="00053D93" w:rsidRDefault="00260B75">
            <w:pPr>
              <w:ind w:right="31"/>
              <w:jc w:val="center"/>
            </w:pPr>
            <w:r>
              <w:rPr>
                <w:rFonts w:ascii="Malgan Gothic" w:eastAsia="Malgan Gothic" w:hAnsi="Malgan Gothic" w:cs="Malgan Gothic"/>
                <w:sz w:val="16"/>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71D901E" w14:textId="77777777" w:rsidR="00053D93" w:rsidRDefault="00260B75">
            <w:pPr>
              <w:ind w:left="387"/>
            </w:pPr>
            <w:r>
              <w:rPr>
                <w:rFonts w:ascii="Malgan Gothic" w:eastAsia="Malgan Gothic" w:hAnsi="Malgan Gothic" w:cs="Malgan Gothic"/>
                <w:sz w:val="18"/>
              </w:rPr>
              <w:t>13.328.00</w:t>
            </w:r>
          </w:p>
        </w:tc>
      </w:tr>
      <w:tr w:rsidR="00053D93" w14:paraId="02F9E111" w14:textId="77777777">
        <w:trPr>
          <w:trHeight w:val="530"/>
        </w:trPr>
        <w:tc>
          <w:tcPr>
            <w:tcW w:w="0" w:type="auto"/>
            <w:vMerge/>
            <w:tcBorders>
              <w:top w:val="nil"/>
              <w:left w:val="nil"/>
              <w:bottom w:val="nil"/>
              <w:right w:val="single" w:sz="2" w:space="0" w:color="000000"/>
            </w:tcBorders>
          </w:tcPr>
          <w:p w14:paraId="30480716"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5644B2C7" w14:textId="77777777" w:rsidR="00053D93" w:rsidRDefault="00260B75">
            <w:pPr>
              <w:ind w:left="45"/>
            </w:pPr>
            <w:r>
              <w:rPr>
                <w:rFonts w:ascii="Malgan Gothic" w:eastAsia="Malgan Gothic" w:hAnsi="Malgan Gothic" w:cs="Malgan Gothic"/>
                <w:sz w:val="14"/>
              </w:rPr>
              <w:t>134</w:t>
            </w:r>
          </w:p>
        </w:tc>
        <w:tc>
          <w:tcPr>
            <w:tcW w:w="1226" w:type="dxa"/>
            <w:tcBorders>
              <w:top w:val="single" w:sz="2" w:space="0" w:color="000000"/>
              <w:left w:val="single" w:sz="2" w:space="0" w:color="000000"/>
              <w:bottom w:val="single" w:sz="2" w:space="0" w:color="000000"/>
              <w:right w:val="single" w:sz="2" w:space="0" w:color="000000"/>
            </w:tcBorders>
          </w:tcPr>
          <w:p w14:paraId="248B69B1" w14:textId="77777777" w:rsidR="00053D93" w:rsidRDefault="00260B75">
            <w:pPr>
              <w:ind w:left="29"/>
            </w:pPr>
            <w:r>
              <w:rPr>
                <w:rFonts w:ascii="Malgan Gothic" w:eastAsia="Malgan Gothic" w:hAnsi="Malgan Gothic" w:cs="Malgan Gothic"/>
                <w:sz w:val="14"/>
              </w:rPr>
              <w:t>E552728144</w:t>
            </w:r>
          </w:p>
        </w:tc>
        <w:tc>
          <w:tcPr>
            <w:tcW w:w="1584" w:type="dxa"/>
            <w:tcBorders>
              <w:top w:val="single" w:sz="2" w:space="0" w:color="000000"/>
              <w:left w:val="single" w:sz="2" w:space="0" w:color="000000"/>
              <w:bottom w:val="single" w:sz="2" w:space="0" w:color="000000"/>
              <w:right w:val="single" w:sz="2" w:space="0" w:color="000000"/>
            </w:tcBorders>
          </w:tcPr>
          <w:p w14:paraId="13626646" w14:textId="77777777" w:rsidR="00053D93" w:rsidRDefault="00260B75">
            <w:pPr>
              <w:ind w:right="31"/>
              <w:jc w:val="center"/>
            </w:pPr>
            <w:r>
              <w:rPr>
                <w:rFonts w:ascii="Malgan Gothic" w:eastAsia="Malgan Gothic" w:hAnsi="Malgan Gothic" w:cs="Malgan Gothic"/>
                <w:sz w:val="14"/>
              </w:rPr>
              <w:t>2024-24879</w:t>
            </w:r>
          </w:p>
        </w:tc>
        <w:tc>
          <w:tcPr>
            <w:tcW w:w="1584" w:type="dxa"/>
            <w:tcBorders>
              <w:top w:val="single" w:sz="2" w:space="0" w:color="000000"/>
              <w:left w:val="single" w:sz="2" w:space="0" w:color="000000"/>
              <w:bottom w:val="single" w:sz="2" w:space="0" w:color="000000"/>
              <w:right w:val="single" w:sz="2" w:space="0" w:color="000000"/>
            </w:tcBorders>
          </w:tcPr>
          <w:p w14:paraId="40FA3D08" w14:textId="77777777" w:rsidR="00053D93" w:rsidRDefault="00260B75">
            <w:pPr>
              <w:ind w:right="38"/>
              <w:jc w:val="center"/>
            </w:pPr>
            <w:r>
              <w:rPr>
                <w:rFonts w:ascii="Malgan Gothic" w:eastAsia="Malgan Gothic" w:hAnsi="Malgan Gothic" w:cs="Malgan Gothic"/>
                <w:sz w:val="14"/>
              </w:rPr>
              <w:t>6/11/2024</w:t>
            </w:r>
          </w:p>
        </w:tc>
        <w:tc>
          <w:tcPr>
            <w:tcW w:w="1915" w:type="dxa"/>
            <w:tcBorders>
              <w:top w:val="single" w:sz="2" w:space="0" w:color="000000"/>
              <w:left w:val="single" w:sz="2" w:space="0" w:color="000000"/>
              <w:bottom w:val="single" w:sz="2" w:space="0" w:color="000000"/>
              <w:right w:val="single" w:sz="2" w:space="0" w:color="000000"/>
            </w:tcBorders>
          </w:tcPr>
          <w:p w14:paraId="5B043F2F" w14:textId="77777777" w:rsidR="00053D93" w:rsidRDefault="00260B75">
            <w:pPr>
              <w:ind w:right="38"/>
              <w:jc w:val="center"/>
            </w:pPr>
            <w:r>
              <w:rPr>
                <w:rFonts w:ascii="Malgan Gothic" w:eastAsia="Malgan Gothic" w:hAnsi="Malgan Gothic" w:cs="Malgan Gothic"/>
                <w:sz w:val="16"/>
              </w:rPr>
              <w:t>29/11/2024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CF8E1C3" w14:textId="77777777" w:rsidR="00053D93" w:rsidRDefault="00260B75">
            <w:pPr>
              <w:ind w:left="373"/>
            </w:pPr>
            <w:r>
              <w:rPr>
                <w:rFonts w:ascii="Malgan Gothic" w:eastAsia="Malgan Gothic" w:hAnsi="Malgan Gothic" w:cs="Malgan Gothic"/>
                <w:sz w:val="16"/>
              </w:rPr>
              <w:t>23350.00</w:t>
            </w:r>
          </w:p>
        </w:tc>
      </w:tr>
      <w:tr w:rsidR="00053D93" w14:paraId="40B1AE4E" w14:textId="77777777">
        <w:trPr>
          <w:trHeight w:val="528"/>
        </w:trPr>
        <w:tc>
          <w:tcPr>
            <w:tcW w:w="0" w:type="auto"/>
            <w:vMerge/>
            <w:tcBorders>
              <w:top w:val="nil"/>
              <w:left w:val="nil"/>
              <w:bottom w:val="nil"/>
              <w:right w:val="single" w:sz="2" w:space="0" w:color="000000"/>
            </w:tcBorders>
          </w:tcPr>
          <w:p w14:paraId="473BF9E1"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62EE0920" w14:textId="77777777" w:rsidR="00053D93" w:rsidRDefault="00260B75">
            <w:pPr>
              <w:ind w:left="45"/>
            </w:pPr>
            <w:r>
              <w:rPr>
                <w:rFonts w:ascii="Malgan Gothic" w:eastAsia="Malgan Gothic" w:hAnsi="Malgan Gothic" w:cs="Malgan Gothic"/>
                <w:sz w:val="16"/>
              </w:rPr>
              <w:t>135</w:t>
            </w:r>
          </w:p>
        </w:tc>
        <w:tc>
          <w:tcPr>
            <w:tcW w:w="1226" w:type="dxa"/>
            <w:tcBorders>
              <w:top w:val="single" w:sz="2" w:space="0" w:color="000000"/>
              <w:left w:val="single" w:sz="2" w:space="0" w:color="000000"/>
              <w:bottom w:val="single" w:sz="2" w:space="0" w:color="000000"/>
              <w:right w:val="single" w:sz="2" w:space="0" w:color="000000"/>
            </w:tcBorders>
          </w:tcPr>
          <w:p w14:paraId="60E1000B" w14:textId="77777777" w:rsidR="00053D93" w:rsidRDefault="00260B75">
            <w:pPr>
              <w:ind w:left="29"/>
            </w:pPr>
            <w:r>
              <w:rPr>
                <w:rFonts w:ascii="Malgan Gothic" w:eastAsia="Malgan Gothic" w:hAnsi="Malgan Gothic" w:cs="Malgan Gothic"/>
                <w:sz w:val="14"/>
              </w:rPr>
              <w:t>E553517384</w:t>
            </w:r>
          </w:p>
        </w:tc>
        <w:tc>
          <w:tcPr>
            <w:tcW w:w="1584" w:type="dxa"/>
            <w:tcBorders>
              <w:top w:val="single" w:sz="2" w:space="0" w:color="000000"/>
              <w:left w:val="single" w:sz="2" w:space="0" w:color="000000"/>
              <w:bottom w:val="single" w:sz="2" w:space="0" w:color="000000"/>
              <w:right w:val="single" w:sz="2" w:space="0" w:color="000000"/>
            </w:tcBorders>
          </w:tcPr>
          <w:p w14:paraId="32CB83A8" w14:textId="77777777" w:rsidR="00053D93" w:rsidRDefault="00260B75">
            <w:pPr>
              <w:ind w:right="31"/>
              <w:jc w:val="center"/>
            </w:pPr>
            <w:r>
              <w:rPr>
                <w:rFonts w:ascii="Malgan Gothic" w:eastAsia="Malgan Gothic" w:hAnsi="Malgan Gothic" w:cs="Malgan Gothic"/>
                <w:sz w:val="14"/>
              </w:rPr>
              <w:t>2024-25382</w:t>
            </w:r>
          </w:p>
        </w:tc>
        <w:tc>
          <w:tcPr>
            <w:tcW w:w="1584" w:type="dxa"/>
            <w:tcBorders>
              <w:top w:val="single" w:sz="2" w:space="0" w:color="000000"/>
              <w:left w:val="single" w:sz="2" w:space="0" w:color="000000"/>
              <w:bottom w:val="single" w:sz="2" w:space="0" w:color="000000"/>
              <w:right w:val="single" w:sz="2" w:space="0" w:color="000000"/>
            </w:tcBorders>
          </w:tcPr>
          <w:p w14:paraId="44869FD2" w14:textId="77777777" w:rsidR="00053D93" w:rsidRDefault="00260B75">
            <w:pPr>
              <w:ind w:right="38"/>
              <w:jc w:val="center"/>
            </w:pPr>
            <w:r>
              <w:rPr>
                <w:rFonts w:ascii="Malgan Gothic" w:eastAsia="Malgan Gothic" w:hAnsi="Malgan Gothic" w:cs="Malgan Gothic"/>
                <w:sz w:val="14"/>
              </w:rPr>
              <w:t>20/11/2024</w:t>
            </w:r>
          </w:p>
        </w:tc>
        <w:tc>
          <w:tcPr>
            <w:tcW w:w="1915" w:type="dxa"/>
            <w:tcBorders>
              <w:top w:val="single" w:sz="2" w:space="0" w:color="000000"/>
              <w:left w:val="single" w:sz="2" w:space="0" w:color="000000"/>
              <w:bottom w:val="single" w:sz="2" w:space="0" w:color="000000"/>
              <w:right w:val="single" w:sz="2" w:space="0" w:color="000000"/>
            </w:tcBorders>
          </w:tcPr>
          <w:p w14:paraId="7BAE0251" w14:textId="77777777" w:rsidR="00053D93" w:rsidRDefault="00260B75">
            <w:pPr>
              <w:ind w:right="31"/>
              <w:jc w:val="center"/>
            </w:pPr>
            <w:r>
              <w:rPr>
                <w:rFonts w:ascii="Malgan Gothic" w:eastAsia="Malgan Gothic" w:hAnsi="Malgan Gothic" w:cs="Malgan Gothic"/>
                <w:sz w:val="16"/>
              </w:rPr>
              <w:t>11/12/2024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D9BE51F" w14:textId="77777777" w:rsidR="00053D93" w:rsidRDefault="00260B75">
            <w:pPr>
              <w:ind w:right="86"/>
              <w:jc w:val="right"/>
            </w:pPr>
            <w:r>
              <w:rPr>
                <w:rFonts w:ascii="Malgan Gothic" w:eastAsia="Malgan Gothic" w:hAnsi="Malgan Gothic" w:cs="Malgan Gothic"/>
                <w:sz w:val="18"/>
              </w:rPr>
              <w:t>3,000.00</w:t>
            </w:r>
          </w:p>
        </w:tc>
      </w:tr>
      <w:tr w:rsidR="00053D93" w14:paraId="691B2C88" w14:textId="77777777">
        <w:trPr>
          <w:trHeight w:val="533"/>
        </w:trPr>
        <w:tc>
          <w:tcPr>
            <w:tcW w:w="0" w:type="auto"/>
            <w:vMerge/>
            <w:tcBorders>
              <w:top w:val="nil"/>
              <w:left w:val="nil"/>
              <w:bottom w:val="nil"/>
              <w:right w:val="single" w:sz="2" w:space="0" w:color="000000"/>
            </w:tcBorders>
          </w:tcPr>
          <w:p w14:paraId="7B78AA38"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5F2715E9" w14:textId="77777777" w:rsidR="00053D93" w:rsidRDefault="00260B75">
            <w:pPr>
              <w:ind w:left="45"/>
            </w:pPr>
            <w:r>
              <w:rPr>
                <w:rFonts w:ascii="Malgan Gothic" w:eastAsia="Malgan Gothic" w:hAnsi="Malgan Gothic" w:cs="Malgan Gothic"/>
                <w:sz w:val="14"/>
              </w:rPr>
              <w:t>136</w:t>
            </w:r>
          </w:p>
        </w:tc>
        <w:tc>
          <w:tcPr>
            <w:tcW w:w="1226" w:type="dxa"/>
            <w:tcBorders>
              <w:top w:val="single" w:sz="2" w:space="0" w:color="000000"/>
              <w:left w:val="single" w:sz="2" w:space="0" w:color="000000"/>
              <w:bottom w:val="single" w:sz="2" w:space="0" w:color="000000"/>
              <w:right w:val="single" w:sz="2" w:space="0" w:color="000000"/>
            </w:tcBorders>
          </w:tcPr>
          <w:p w14:paraId="79807750" w14:textId="77777777" w:rsidR="00053D93" w:rsidRDefault="00260B75">
            <w:pPr>
              <w:ind w:left="22"/>
            </w:pPr>
            <w:r>
              <w:rPr>
                <w:rFonts w:ascii="Malgan Gothic" w:eastAsia="Malgan Gothic" w:hAnsi="Malgan Gothic" w:cs="Malgan Gothic"/>
                <w:sz w:val="16"/>
              </w:rPr>
              <w:t>E553518623</w:t>
            </w:r>
          </w:p>
        </w:tc>
        <w:tc>
          <w:tcPr>
            <w:tcW w:w="1584" w:type="dxa"/>
            <w:tcBorders>
              <w:top w:val="single" w:sz="2" w:space="0" w:color="000000"/>
              <w:left w:val="single" w:sz="2" w:space="0" w:color="000000"/>
              <w:bottom w:val="single" w:sz="2" w:space="0" w:color="000000"/>
              <w:right w:val="single" w:sz="2" w:space="0" w:color="000000"/>
            </w:tcBorders>
          </w:tcPr>
          <w:p w14:paraId="506E38F0" w14:textId="77777777" w:rsidR="00053D93" w:rsidRDefault="00260B75">
            <w:pPr>
              <w:ind w:right="38"/>
              <w:jc w:val="center"/>
            </w:pPr>
            <w:r>
              <w:rPr>
                <w:rFonts w:ascii="Malgan Gothic" w:eastAsia="Malgan Gothic" w:hAnsi="Malgan Gothic" w:cs="Malgan Gothic"/>
                <w:sz w:val="14"/>
              </w:rPr>
              <w:t>2024-25378</w:t>
            </w:r>
          </w:p>
        </w:tc>
        <w:tc>
          <w:tcPr>
            <w:tcW w:w="1584" w:type="dxa"/>
            <w:tcBorders>
              <w:top w:val="single" w:sz="2" w:space="0" w:color="000000"/>
              <w:left w:val="single" w:sz="2" w:space="0" w:color="000000"/>
              <w:bottom w:val="single" w:sz="2" w:space="0" w:color="000000"/>
              <w:right w:val="single" w:sz="2" w:space="0" w:color="000000"/>
            </w:tcBorders>
          </w:tcPr>
          <w:p w14:paraId="2F8B3936" w14:textId="77777777" w:rsidR="00053D93" w:rsidRDefault="00260B75">
            <w:pPr>
              <w:ind w:right="45"/>
              <w:jc w:val="center"/>
            </w:pPr>
            <w:r>
              <w:rPr>
                <w:rFonts w:ascii="Malgan Gothic" w:eastAsia="Malgan Gothic" w:hAnsi="Malgan Gothic" w:cs="Malgan Gothic"/>
                <w:sz w:val="14"/>
              </w:rPr>
              <w:t>20/1 1/2024</w:t>
            </w:r>
          </w:p>
        </w:tc>
        <w:tc>
          <w:tcPr>
            <w:tcW w:w="1915" w:type="dxa"/>
            <w:tcBorders>
              <w:top w:val="single" w:sz="2" w:space="0" w:color="000000"/>
              <w:left w:val="single" w:sz="2" w:space="0" w:color="000000"/>
              <w:bottom w:val="single" w:sz="2" w:space="0" w:color="000000"/>
              <w:right w:val="single" w:sz="2" w:space="0" w:color="000000"/>
            </w:tcBorders>
          </w:tcPr>
          <w:p w14:paraId="0B1EA749" w14:textId="77777777" w:rsidR="00053D93" w:rsidRDefault="00260B75">
            <w:pPr>
              <w:ind w:right="31"/>
              <w:jc w:val="center"/>
            </w:pPr>
            <w:r>
              <w:rPr>
                <w:rFonts w:ascii="Malgan Gothic" w:eastAsia="Malgan Gothic" w:hAnsi="Malgan Gothic" w:cs="Malgan Gothic"/>
                <w:sz w:val="14"/>
              </w:rPr>
              <w:t>1 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320446C1" w14:textId="77777777" w:rsidR="00053D93" w:rsidRDefault="00260B75">
            <w:pPr>
              <w:ind w:right="86"/>
              <w:jc w:val="right"/>
            </w:pPr>
            <w:r>
              <w:rPr>
                <w:rFonts w:ascii="Malgan Gothic" w:eastAsia="Malgan Gothic" w:hAnsi="Malgan Gothic" w:cs="Malgan Gothic"/>
                <w:sz w:val="16"/>
              </w:rPr>
              <w:t>1,375.00</w:t>
            </w:r>
          </w:p>
        </w:tc>
      </w:tr>
      <w:tr w:rsidR="00053D93" w14:paraId="2BE372E5" w14:textId="77777777">
        <w:trPr>
          <w:trHeight w:val="533"/>
        </w:trPr>
        <w:tc>
          <w:tcPr>
            <w:tcW w:w="0" w:type="auto"/>
            <w:vMerge/>
            <w:tcBorders>
              <w:top w:val="nil"/>
              <w:left w:val="nil"/>
              <w:bottom w:val="nil"/>
              <w:right w:val="single" w:sz="2" w:space="0" w:color="000000"/>
            </w:tcBorders>
          </w:tcPr>
          <w:p w14:paraId="5288561D"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535C8847" w14:textId="77777777" w:rsidR="00053D93" w:rsidRDefault="00260B75">
            <w:pPr>
              <w:ind w:left="45"/>
            </w:pPr>
            <w:r>
              <w:rPr>
                <w:rFonts w:ascii="Malgan Gothic" w:eastAsia="Malgan Gothic" w:hAnsi="Malgan Gothic" w:cs="Malgan Gothic"/>
                <w:sz w:val="14"/>
              </w:rPr>
              <w:t>137</w:t>
            </w:r>
          </w:p>
        </w:tc>
        <w:tc>
          <w:tcPr>
            <w:tcW w:w="1226" w:type="dxa"/>
            <w:tcBorders>
              <w:top w:val="single" w:sz="2" w:space="0" w:color="000000"/>
              <w:left w:val="single" w:sz="2" w:space="0" w:color="000000"/>
              <w:bottom w:val="single" w:sz="2" w:space="0" w:color="000000"/>
              <w:right w:val="single" w:sz="2" w:space="0" w:color="000000"/>
            </w:tcBorders>
          </w:tcPr>
          <w:p w14:paraId="1FE4DB4B" w14:textId="77777777" w:rsidR="00053D93" w:rsidRDefault="00260B75">
            <w:pPr>
              <w:ind w:left="22"/>
            </w:pPr>
            <w:r>
              <w:rPr>
                <w:rFonts w:ascii="Malgan Gothic" w:eastAsia="Malgan Gothic" w:hAnsi="Malgan Gothic" w:cs="Malgan Gothic"/>
                <w:sz w:val="16"/>
              </w:rPr>
              <w:t>E553520814</w:t>
            </w:r>
          </w:p>
        </w:tc>
        <w:tc>
          <w:tcPr>
            <w:tcW w:w="1584" w:type="dxa"/>
            <w:tcBorders>
              <w:top w:val="single" w:sz="2" w:space="0" w:color="000000"/>
              <w:left w:val="single" w:sz="2" w:space="0" w:color="000000"/>
              <w:bottom w:val="single" w:sz="2" w:space="0" w:color="000000"/>
              <w:right w:val="single" w:sz="2" w:space="0" w:color="000000"/>
            </w:tcBorders>
          </w:tcPr>
          <w:p w14:paraId="29BD9B5F" w14:textId="77777777" w:rsidR="00053D93" w:rsidRDefault="00260B75">
            <w:pPr>
              <w:ind w:right="38"/>
              <w:jc w:val="center"/>
            </w:pPr>
            <w:r>
              <w:rPr>
                <w:rFonts w:ascii="Malgan Gothic" w:eastAsia="Malgan Gothic" w:hAnsi="Malgan Gothic" w:cs="Malgan Gothic"/>
                <w:sz w:val="16"/>
              </w:rPr>
              <w:t>2024-25029</w:t>
            </w:r>
          </w:p>
        </w:tc>
        <w:tc>
          <w:tcPr>
            <w:tcW w:w="1584" w:type="dxa"/>
            <w:tcBorders>
              <w:top w:val="single" w:sz="2" w:space="0" w:color="000000"/>
              <w:left w:val="single" w:sz="2" w:space="0" w:color="000000"/>
              <w:bottom w:val="single" w:sz="2" w:space="0" w:color="000000"/>
              <w:right w:val="single" w:sz="2" w:space="0" w:color="000000"/>
            </w:tcBorders>
          </w:tcPr>
          <w:p w14:paraId="69FE5E28" w14:textId="77777777" w:rsidR="00053D93" w:rsidRDefault="00260B75">
            <w:pPr>
              <w:ind w:right="45"/>
              <w:jc w:val="center"/>
            </w:pPr>
            <w:r>
              <w:rPr>
                <w:rFonts w:ascii="Malgan Gothic" w:eastAsia="Malgan Gothic" w:hAnsi="Malgan Gothic" w:cs="Malgan Gothic"/>
                <w:sz w:val="14"/>
              </w:rPr>
              <w:t>29/1 1/2024</w:t>
            </w:r>
          </w:p>
        </w:tc>
        <w:tc>
          <w:tcPr>
            <w:tcW w:w="1915" w:type="dxa"/>
            <w:tcBorders>
              <w:top w:val="single" w:sz="2" w:space="0" w:color="000000"/>
              <w:left w:val="single" w:sz="2" w:space="0" w:color="000000"/>
              <w:bottom w:val="single" w:sz="2" w:space="0" w:color="000000"/>
              <w:right w:val="single" w:sz="2" w:space="0" w:color="000000"/>
            </w:tcBorders>
          </w:tcPr>
          <w:p w14:paraId="5E6F0BC8" w14:textId="77777777" w:rsidR="00053D93" w:rsidRDefault="00260B75">
            <w:pPr>
              <w:ind w:right="31"/>
              <w:jc w:val="center"/>
            </w:pPr>
            <w:r>
              <w:rPr>
                <w:rFonts w:ascii="Malgan Gothic" w:eastAsia="Malgan Gothic" w:hAnsi="Malgan Gothic" w:cs="Malgan Gothic"/>
                <w:sz w:val="16"/>
              </w:rPr>
              <w:t>11/12/2024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6523DD08" w14:textId="77777777" w:rsidR="00053D93" w:rsidRDefault="00260B75">
            <w:pPr>
              <w:ind w:right="94"/>
              <w:jc w:val="right"/>
            </w:pPr>
            <w:r>
              <w:rPr>
                <w:rFonts w:ascii="Malgan Gothic" w:eastAsia="Malgan Gothic" w:hAnsi="Malgan Gothic" w:cs="Malgan Gothic"/>
                <w:sz w:val="16"/>
              </w:rPr>
              <w:t>3,000.00</w:t>
            </w:r>
          </w:p>
        </w:tc>
      </w:tr>
      <w:tr w:rsidR="00053D93" w14:paraId="3C3372F1" w14:textId="77777777">
        <w:trPr>
          <w:trHeight w:val="526"/>
        </w:trPr>
        <w:tc>
          <w:tcPr>
            <w:tcW w:w="0" w:type="auto"/>
            <w:vMerge/>
            <w:tcBorders>
              <w:top w:val="nil"/>
              <w:left w:val="nil"/>
              <w:bottom w:val="nil"/>
              <w:right w:val="single" w:sz="2" w:space="0" w:color="000000"/>
            </w:tcBorders>
          </w:tcPr>
          <w:p w14:paraId="4FBB7FC0"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6720CA4E" w14:textId="77777777" w:rsidR="00053D93" w:rsidRDefault="00260B75">
            <w:pPr>
              <w:ind w:left="38"/>
            </w:pPr>
            <w:r>
              <w:rPr>
                <w:rFonts w:ascii="Malgan Gothic" w:eastAsia="Malgan Gothic" w:hAnsi="Malgan Gothic" w:cs="Malgan Gothic"/>
                <w:sz w:val="14"/>
              </w:rPr>
              <w:t>138</w:t>
            </w:r>
          </w:p>
        </w:tc>
        <w:tc>
          <w:tcPr>
            <w:tcW w:w="1226" w:type="dxa"/>
            <w:tcBorders>
              <w:top w:val="single" w:sz="2" w:space="0" w:color="000000"/>
              <w:left w:val="single" w:sz="2" w:space="0" w:color="000000"/>
              <w:bottom w:val="single" w:sz="2" w:space="0" w:color="000000"/>
              <w:right w:val="single" w:sz="2" w:space="0" w:color="000000"/>
            </w:tcBorders>
          </w:tcPr>
          <w:p w14:paraId="6FFDFF34" w14:textId="77777777" w:rsidR="00053D93" w:rsidRDefault="00260B75">
            <w:pPr>
              <w:ind w:left="22"/>
            </w:pPr>
            <w:r>
              <w:rPr>
                <w:rFonts w:ascii="Malgan Gothic" w:eastAsia="Malgan Gothic" w:hAnsi="Malgan Gothic" w:cs="Malgan Gothic"/>
                <w:sz w:val="14"/>
              </w:rPr>
              <w:t>E553521624</w:t>
            </w:r>
          </w:p>
        </w:tc>
        <w:tc>
          <w:tcPr>
            <w:tcW w:w="1584" w:type="dxa"/>
            <w:tcBorders>
              <w:top w:val="single" w:sz="2" w:space="0" w:color="000000"/>
              <w:left w:val="single" w:sz="2" w:space="0" w:color="000000"/>
              <w:bottom w:val="single" w:sz="2" w:space="0" w:color="000000"/>
              <w:right w:val="single" w:sz="2" w:space="0" w:color="000000"/>
            </w:tcBorders>
          </w:tcPr>
          <w:p w14:paraId="7E346B2B" w14:textId="77777777" w:rsidR="00053D93" w:rsidRDefault="00260B75">
            <w:pPr>
              <w:ind w:right="45"/>
              <w:jc w:val="center"/>
            </w:pPr>
            <w:r>
              <w:rPr>
                <w:rFonts w:ascii="Malgan Gothic" w:eastAsia="Malgan Gothic" w:hAnsi="Malgan Gothic" w:cs="Malgan Gothic"/>
                <w:sz w:val="14"/>
              </w:rPr>
              <w:t>2024-25859</w:t>
            </w:r>
          </w:p>
        </w:tc>
        <w:tc>
          <w:tcPr>
            <w:tcW w:w="1584" w:type="dxa"/>
            <w:tcBorders>
              <w:top w:val="single" w:sz="2" w:space="0" w:color="000000"/>
              <w:left w:val="single" w:sz="2" w:space="0" w:color="000000"/>
              <w:bottom w:val="single" w:sz="2" w:space="0" w:color="000000"/>
              <w:right w:val="single" w:sz="2" w:space="0" w:color="000000"/>
            </w:tcBorders>
          </w:tcPr>
          <w:p w14:paraId="3C00456F" w14:textId="77777777" w:rsidR="00053D93" w:rsidRDefault="00260B75">
            <w:pPr>
              <w:ind w:right="52"/>
              <w:jc w:val="center"/>
            </w:pPr>
            <w:r>
              <w:rPr>
                <w:rFonts w:ascii="Malgan Gothic" w:eastAsia="Malgan Gothic" w:hAnsi="Malgan Gothic" w:cs="Malgan Gothic"/>
                <w:sz w:val="14"/>
              </w:rPr>
              <w:t>20/11/2024</w:t>
            </w:r>
          </w:p>
        </w:tc>
        <w:tc>
          <w:tcPr>
            <w:tcW w:w="1915" w:type="dxa"/>
            <w:tcBorders>
              <w:top w:val="single" w:sz="2" w:space="0" w:color="000000"/>
              <w:left w:val="single" w:sz="2" w:space="0" w:color="000000"/>
              <w:bottom w:val="single" w:sz="2" w:space="0" w:color="000000"/>
              <w:right w:val="single" w:sz="2" w:space="0" w:color="000000"/>
            </w:tcBorders>
          </w:tcPr>
          <w:p w14:paraId="7174940E" w14:textId="77777777" w:rsidR="00053D93" w:rsidRDefault="00260B75">
            <w:pPr>
              <w:ind w:right="31"/>
              <w:jc w:val="center"/>
            </w:pPr>
            <w:r>
              <w:rPr>
                <w:rFonts w:ascii="Malgan Gothic" w:eastAsia="Malgan Gothic" w:hAnsi="Malgan Gothic" w:cs="Malgan Gothic"/>
                <w:sz w:val="16"/>
              </w:rPr>
              <w:t>1 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2060CA09" w14:textId="77777777" w:rsidR="00053D93" w:rsidRDefault="00260B75">
            <w:pPr>
              <w:ind w:right="94"/>
              <w:jc w:val="right"/>
            </w:pPr>
            <w:r>
              <w:rPr>
                <w:rFonts w:ascii="Malgan Gothic" w:eastAsia="Malgan Gothic" w:hAnsi="Malgan Gothic" w:cs="Malgan Gothic"/>
                <w:sz w:val="16"/>
              </w:rPr>
              <w:t>3,000.00</w:t>
            </w:r>
          </w:p>
        </w:tc>
      </w:tr>
      <w:tr w:rsidR="00053D93" w14:paraId="2590B719" w14:textId="77777777">
        <w:trPr>
          <w:trHeight w:val="533"/>
        </w:trPr>
        <w:tc>
          <w:tcPr>
            <w:tcW w:w="76" w:type="dxa"/>
            <w:tcBorders>
              <w:top w:val="nil"/>
              <w:left w:val="nil"/>
              <w:bottom w:val="nil"/>
              <w:right w:val="single" w:sz="2" w:space="0" w:color="000000"/>
            </w:tcBorders>
          </w:tcPr>
          <w:p w14:paraId="1CCD5FD2"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0DE1ADB8" w14:textId="77777777" w:rsidR="00053D93" w:rsidRDefault="00260B75">
            <w:pPr>
              <w:ind w:left="38"/>
            </w:pPr>
            <w:r>
              <w:rPr>
                <w:rFonts w:ascii="Malgan Gothic" w:eastAsia="Malgan Gothic" w:hAnsi="Malgan Gothic" w:cs="Malgan Gothic"/>
                <w:sz w:val="14"/>
              </w:rPr>
              <w:t>139</w:t>
            </w:r>
          </w:p>
        </w:tc>
        <w:tc>
          <w:tcPr>
            <w:tcW w:w="1226" w:type="dxa"/>
            <w:tcBorders>
              <w:top w:val="single" w:sz="2" w:space="0" w:color="000000"/>
              <w:left w:val="single" w:sz="2" w:space="0" w:color="000000"/>
              <w:bottom w:val="single" w:sz="2" w:space="0" w:color="000000"/>
              <w:right w:val="single" w:sz="2" w:space="0" w:color="000000"/>
            </w:tcBorders>
          </w:tcPr>
          <w:p w14:paraId="25D228B0" w14:textId="77777777" w:rsidR="00053D93" w:rsidRDefault="00260B75">
            <w:pPr>
              <w:ind w:left="14"/>
            </w:pPr>
            <w:r>
              <w:rPr>
                <w:rFonts w:ascii="Malgan Gothic" w:eastAsia="Malgan Gothic" w:hAnsi="Malgan Gothic" w:cs="Malgan Gothic"/>
                <w:sz w:val="16"/>
              </w:rPr>
              <w:t>E55356271 1</w:t>
            </w:r>
          </w:p>
        </w:tc>
        <w:tc>
          <w:tcPr>
            <w:tcW w:w="1584" w:type="dxa"/>
            <w:tcBorders>
              <w:top w:val="single" w:sz="2" w:space="0" w:color="000000"/>
              <w:left w:val="single" w:sz="2" w:space="0" w:color="000000"/>
              <w:bottom w:val="single" w:sz="2" w:space="0" w:color="000000"/>
              <w:right w:val="single" w:sz="2" w:space="0" w:color="000000"/>
            </w:tcBorders>
          </w:tcPr>
          <w:p w14:paraId="0A6FAE4C" w14:textId="77777777" w:rsidR="00053D93" w:rsidRDefault="00260B75">
            <w:pPr>
              <w:ind w:right="52"/>
              <w:jc w:val="center"/>
            </w:pPr>
            <w:r>
              <w:rPr>
                <w:rFonts w:ascii="Malgan Gothic" w:eastAsia="Malgan Gothic" w:hAnsi="Malgan Gothic" w:cs="Malgan Gothic"/>
                <w:sz w:val="14"/>
              </w:rPr>
              <w:t>2024-25347</w:t>
            </w:r>
          </w:p>
        </w:tc>
        <w:tc>
          <w:tcPr>
            <w:tcW w:w="1584" w:type="dxa"/>
            <w:tcBorders>
              <w:top w:val="single" w:sz="2" w:space="0" w:color="000000"/>
              <w:left w:val="single" w:sz="2" w:space="0" w:color="000000"/>
              <w:bottom w:val="single" w:sz="2" w:space="0" w:color="000000"/>
              <w:right w:val="single" w:sz="2" w:space="0" w:color="000000"/>
            </w:tcBorders>
          </w:tcPr>
          <w:p w14:paraId="797E6296" w14:textId="77777777" w:rsidR="00053D93" w:rsidRDefault="00260B75">
            <w:pPr>
              <w:ind w:right="45"/>
              <w:jc w:val="center"/>
            </w:pPr>
            <w:r>
              <w:rPr>
                <w:rFonts w:ascii="Malgan Gothic" w:eastAsia="Malgan Gothic" w:hAnsi="Malgan Gothic" w:cs="Malgan Gothic"/>
                <w:sz w:val="16"/>
              </w:rPr>
              <w:t>13/11/2024</w:t>
            </w:r>
          </w:p>
        </w:tc>
        <w:tc>
          <w:tcPr>
            <w:tcW w:w="1915" w:type="dxa"/>
            <w:tcBorders>
              <w:top w:val="single" w:sz="2" w:space="0" w:color="000000"/>
              <w:left w:val="single" w:sz="2" w:space="0" w:color="000000"/>
              <w:bottom w:val="single" w:sz="2" w:space="0" w:color="000000"/>
              <w:right w:val="single" w:sz="2" w:space="0" w:color="000000"/>
            </w:tcBorders>
          </w:tcPr>
          <w:p w14:paraId="0099118D" w14:textId="77777777" w:rsidR="00053D93" w:rsidRDefault="00260B75">
            <w:pPr>
              <w:ind w:right="38"/>
              <w:jc w:val="center"/>
            </w:pPr>
            <w:r>
              <w:rPr>
                <w:rFonts w:ascii="Malgan Gothic" w:eastAsia="Malgan Gothic" w:hAnsi="Malgan Gothic" w:cs="Malgan Gothic"/>
                <w:sz w:val="14"/>
              </w:rPr>
              <w:t>12/12/2024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0B4307D9" w14:textId="77777777" w:rsidR="00053D93" w:rsidRDefault="00260B75">
            <w:pPr>
              <w:ind w:right="94"/>
              <w:jc w:val="right"/>
            </w:pPr>
            <w:r>
              <w:rPr>
                <w:rFonts w:ascii="Malgan Gothic" w:eastAsia="Malgan Gothic" w:hAnsi="Malgan Gothic" w:cs="Malgan Gothic"/>
                <w:sz w:val="18"/>
              </w:rPr>
              <w:t>2,550.00</w:t>
            </w:r>
          </w:p>
        </w:tc>
      </w:tr>
      <w:tr w:rsidR="00053D93" w14:paraId="44E6DE2D" w14:textId="77777777">
        <w:trPr>
          <w:trHeight w:val="533"/>
        </w:trPr>
        <w:tc>
          <w:tcPr>
            <w:tcW w:w="76" w:type="dxa"/>
            <w:tcBorders>
              <w:top w:val="nil"/>
              <w:left w:val="nil"/>
              <w:bottom w:val="nil"/>
              <w:right w:val="single" w:sz="2" w:space="0" w:color="000000"/>
            </w:tcBorders>
          </w:tcPr>
          <w:p w14:paraId="3BCCFFF4"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428408DF" w14:textId="77777777" w:rsidR="00053D93" w:rsidRDefault="00260B75">
            <w:pPr>
              <w:ind w:left="31"/>
            </w:pPr>
            <w:r>
              <w:rPr>
                <w:rFonts w:ascii="Malgan Gothic" w:eastAsia="Malgan Gothic" w:hAnsi="Malgan Gothic" w:cs="Malgan Gothic"/>
                <w:sz w:val="14"/>
              </w:rPr>
              <w:t>140</w:t>
            </w:r>
          </w:p>
        </w:tc>
        <w:tc>
          <w:tcPr>
            <w:tcW w:w="1226" w:type="dxa"/>
            <w:tcBorders>
              <w:top w:val="single" w:sz="2" w:space="0" w:color="000000"/>
              <w:left w:val="single" w:sz="2" w:space="0" w:color="000000"/>
              <w:bottom w:val="single" w:sz="2" w:space="0" w:color="000000"/>
              <w:right w:val="single" w:sz="2" w:space="0" w:color="000000"/>
            </w:tcBorders>
          </w:tcPr>
          <w:p w14:paraId="5E553145" w14:textId="77777777" w:rsidR="00053D93" w:rsidRDefault="00260B75">
            <w:pPr>
              <w:ind w:left="14"/>
            </w:pPr>
            <w:r>
              <w:rPr>
                <w:rFonts w:ascii="Malgan Gothic" w:eastAsia="Malgan Gothic" w:hAnsi="Malgan Gothic" w:cs="Malgan Gothic"/>
                <w:sz w:val="14"/>
              </w:rPr>
              <w:t>E553564927</w:t>
            </w:r>
          </w:p>
        </w:tc>
        <w:tc>
          <w:tcPr>
            <w:tcW w:w="1584" w:type="dxa"/>
            <w:tcBorders>
              <w:top w:val="single" w:sz="2" w:space="0" w:color="000000"/>
              <w:left w:val="single" w:sz="2" w:space="0" w:color="000000"/>
              <w:bottom w:val="single" w:sz="2" w:space="0" w:color="000000"/>
              <w:right w:val="single" w:sz="2" w:space="0" w:color="000000"/>
            </w:tcBorders>
          </w:tcPr>
          <w:p w14:paraId="0550113E" w14:textId="77777777" w:rsidR="00053D93" w:rsidRDefault="00260B75">
            <w:pPr>
              <w:ind w:right="52"/>
              <w:jc w:val="center"/>
            </w:pPr>
            <w:r>
              <w:rPr>
                <w:rFonts w:ascii="Malgan Gothic" w:eastAsia="Malgan Gothic" w:hAnsi="Malgan Gothic" w:cs="Malgan Gothic"/>
                <w:sz w:val="14"/>
              </w:rPr>
              <w:t>2024-24698</w:t>
            </w:r>
          </w:p>
        </w:tc>
        <w:tc>
          <w:tcPr>
            <w:tcW w:w="1584" w:type="dxa"/>
            <w:tcBorders>
              <w:top w:val="single" w:sz="2" w:space="0" w:color="000000"/>
              <w:left w:val="single" w:sz="2" w:space="0" w:color="000000"/>
              <w:bottom w:val="single" w:sz="2" w:space="0" w:color="000000"/>
              <w:right w:val="single" w:sz="2" w:space="0" w:color="000000"/>
            </w:tcBorders>
          </w:tcPr>
          <w:p w14:paraId="6BB21D96" w14:textId="77777777" w:rsidR="00053D93" w:rsidRDefault="00260B75">
            <w:pPr>
              <w:ind w:right="52"/>
              <w:jc w:val="center"/>
            </w:pPr>
            <w:r>
              <w:rPr>
                <w:rFonts w:ascii="Malgan Gothic" w:eastAsia="Malgan Gothic" w:hAnsi="Malgan Gothic" w:cs="Malgan Gothic"/>
                <w:sz w:val="16"/>
              </w:rPr>
              <w:t>7/11/2024</w:t>
            </w:r>
          </w:p>
        </w:tc>
        <w:tc>
          <w:tcPr>
            <w:tcW w:w="1915" w:type="dxa"/>
            <w:tcBorders>
              <w:top w:val="single" w:sz="2" w:space="0" w:color="000000"/>
              <w:left w:val="single" w:sz="2" w:space="0" w:color="000000"/>
              <w:bottom w:val="single" w:sz="2" w:space="0" w:color="000000"/>
              <w:right w:val="single" w:sz="2" w:space="0" w:color="000000"/>
            </w:tcBorders>
          </w:tcPr>
          <w:p w14:paraId="2B25E7D3" w14:textId="77777777" w:rsidR="00053D93" w:rsidRDefault="00260B75">
            <w:pPr>
              <w:ind w:right="45"/>
              <w:jc w:val="center"/>
            </w:pPr>
            <w:r>
              <w:rPr>
                <w:rFonts w:ascii="Malgan Gothic" w:eastAsia="Malgan Gothic" w:hAnsi="Malgan Gothic" w:cs="Malgan Gothic"/>
                <w:sz w:val="14"/>
              </w:rPr>
              <w:t>12/12/2024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683B4585" w14:textId="77777777" w:rsidR="00053D93" w:rsidRDefault="00260B75">
            <w:pPr>
              <w:ind w:left="380"/>
            </w:pPr>
            <w:r>
              <w:rPr>
                <w:rFonts w:ascii="Malgan Gothic" w:eastAsia="Malgan Gothic" w:hAnsi="Malgan Gothic" w:cs="Malgan Gothic"/>
                <w:sz w:val="18"/>
              </w:rPr>
              <w:t>11700.00</w:t>
            </w:r>
          </w:p>
        </w:tc>
      </w:tr>
      <w:tr w:rsidR="00053D93" w14:paraId="2FF1A4ED" w14:textId="77777777">
        <w:trPr>
          <w:trHeight w:val="526"/>
        </w:trPr>
        <w:tc>
          <w:tcPr>
            <w:tcW w:w="76" w:type="dxa"/>
            <w:tcBorders>
              <w:top w:val="nil"/>
              <w:left w:val="nil"/>
              <w:bottom w:val="nil"/>
              <w:right w:val="single" w:sz="2" w:space="0" w:color="000000"/>
            </w:tcBorders>
          </w:tcPr>
          <w:p w14:paraId="67E63C89"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06AD4BF5" w14:textId="77777777" w:rsidR="00053D93" w:rsidRDefault="00260B75">
            <w:pPr>
              <w:ind w:left="31"/>
            </w:pPr>
            <w:r>
              <w:rPr>
                <w:rFonts w:ascii="Malgan Gothic" w:eastAsia="Malgan Gothic" w:hAnsi="Malgan Gothic" w:cs="Malgan Gothic"/>
                <w:sz w:val="14"/>
              </w:rPr>
              <w:t>141</w:t>
            </w:r>
          </w:p>
        </w:tc>
        <w:tc>
          <w:tcPr>
            <w:tcW w:w="1226" w:type="dxa"/>
            <w:tcBorders>
              <w:top w:val="single" w:sz="2" w:space="0" w:color="000000"/>
              <w:left w:val="single" w:sz="2" w:space="0" w:color="000000"/>
              <w:bottom w:val="single" w:sz="2" w:space="0" w:color="000000"/>
              <w:right w:val="single" w:sz="2" w:space="0" w:color="000000"/>
            </w:tcBorders>
          </w:tcPr>
          <w:p w14:paraId="4147B6F8" w14:textId="77777777" w:rsidR="00053D93" w:rsidRDefault="00260B75">
            <w:pPr>
              <w:ind w:left="14"/>
            </w:pPr>
            <w:r>
              <w:rPr>
                <w:rFonts w:ascii="Malgan Gothic" w:eastAsia="Malgan Gothic" w:hAnsi="Malgan Gothic" w:cs="Malgan Gothic"/>
                <w:sz w:val="16"/>
              </w:rPr>
              <w:t>E553567306</w:t>
            </w:r>
          </w:p>
        </w:tc>
        <w:tc>
          <w:tcPr>
            <w:tcW w:w="1584" w:type="dxa"/>
            <w:tcBorders>
              <w:top w:val="single" w:sz="2" w:space="0" w:color="000000"/>
              <w:left w:val="single" w:sz="2" w:space="0" w:color="000000"/>
              <w:bottom w:val="single" w:sz="2" w:space="0" w:color="000000"/>
              <w:right w:val="single" w:sz="2" w:space="0" w:color="000000"/>
            </w:tcBorders>
          </w:tcPr>
          <w:p w14:paraId="77430E13" w14:textId="77777777" w:rsidR="00053D93" w:rsidRDefault="00260B75">
            <w:pPr>
              <w:ind w:right="52"/>
              <w:jc w:val="center"/>
            </w:pPr>
            <w:r>
              <w:rPr>
                <w:rFonts w:ascii="Malgan Gothic" w:eastAsia="Malgan Gothic" w:hAnsi="Malgan Gothic" w:cs="Malgan Gothic"/>
                <w:sz w:val="14"/>
              </w:rPr>
              <w:t>2024-25676</w:t>
            </w:r>
          </w:p>
        </w:tc>
        <w:tc>
          <w:tcPr>
            <w:tcW w:w="1584" w:type="dxa"/>
            <w:tcBorders>
              <w:top w:val="single" w:sz="2" w:space="0" w:color="000000"/>
              <w:left w:val="single" w:sz="2" w:space="0" w:color="000000"/>
              <w:bottom w:val="single" w:sz="2" w:space="0" w:color="000000"/>
              <w:right w:val="single" w:sz="2" w:space="0" w:color="000000"/>
            </w:tcBorders>
          </w:tcPr>
          <w:p w14:paraId="627FE1C4" w14:textId="77777777" w:rsidR="00053D93" w:rsidRDefault="00260B75">
            <w:pPr>
              <w:ind w:right="59"/>
              <w:jc w:val="center"/>
            </w:pPr>
            <w:r>
              <w:rPr>
                <w:rFonts w:ascii="Malgan Gothic" w:eastAsia="Malgan Gothic" w:hAnsi="Malgan Gothic" w:cs="Malgan Gothic"/>
                <w:sz w:val="14"/>
              </w:rPr>
              <w:t>24/1 0/2024</w:t>
            </w:r>
          </w:p>
        </w:tc>
        <w:tc>
          <w:tcPr>
            <w:tcW w:w="1915" w:type="dxa"/>
            <w:tcBorders>
              <w:top w:val="single" w:sz="2" w:space="0" w:color="000000"/>
              <w:left w:val="single" w:sz="2" w:space="0" w:color="000000"/>
              <w:bottom w:val="single" w:sz="2" w:space="0" w:color="000000"/>
              <w:right w:val="single" w:sz="2" w:space="0" w:color="000000"/>
            </w:tcBorders>
          </w:tcPr>
          <w:p w14:paraId="5F050793" w14:textId="77777777" w:rsidR="00053D93" w:rsidRDefault="00260B75">
            <w:pPr>
              <w:ind w:right="45"/>
              <w:jc w:val="center"/>
            </w:pPr>
            <w:r>
              <w:rPr>
                <w:rFonts w:ascii="Malgan Gothic" w:eastAsia="Malgan Gothic" w:hAnsi="Malgan Gothic" w:cs="Malgan Gothic"/>
                <w:sz w:val="16"/>
              </w:rPr>
              <w:t>12/12/2024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F007767" w14:textId="77777777" w:rsidR="00053D93" w:rsidRDefault="00260B75">
            <w:pPr>
              <w:ind w:right="94"/>
              <w:jc w:val="right"/>
            </w:pPr>
            <w:r>
              <w:rPr>
                <w:rFonts w:ascii="Malgan Gothic" w:eastAsia="Malgan Gothic" w:hAnsi="Malgan Gothic" w:cs="Malgan Gothic"/>
                <w:sz w:val="16"/>
              </w:rPr>
              <w:t>6210.00</w:t>
            </w:r>
          </w:p>
        </w:tc>
      </w:tr>
      <w:tr w:rsidR="00053D93" w14:paraId="53B001C9" w14:textId="77777777">
        <w:trPr>
          <w:trHeight w:val="530"/>
        </w:trPr>
        <w:tc>
          <w:tcPr>
            <w:tcW w:w="76" w:type="dxa"/>
            <w:tcBorders>
              <w:top w:val="nil"/>
              <w:left w:val="nil"/>
              <w:bottom w:val="nil"/>
              <w:right w:val="single" w:sz="2" w:space="0" w:color="000000"/>
            </w:tcBorders>
          </w:tcPr>
          <w:p w14:paraId="6450F143"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10447707" w14:textId="77777777" w:rsidR="00053D93" w:rsidRDefault="00260B75">
            <w:pPr>
              <w:ind w:left="23"/>
            </w:pPr>
            <w:r>
              <w:rPr>
                <w:rFonts w:ascii="Malgan Gothic" w:eastAsia="Malgan Gothic" w:hAnsi="Malgan Gothic" w:cs="Malgan Gothic"/>
                <w:sz w:val="14"/>
              </w:rPr>
              <w:t>142</w:t>
            </w:r>
          </w:p>
        </w:tc>
        <w:tc>
          <w:tcPr>
            <w:tcW w:w="1226" w:type="dxa"/>
            <w:tcBorders>
              <w:top w:val="single" w:sz="2" w:space="0" w:color="000000"/>
              <w:left w:val="single" w:sz="2" w:space="0" w:color="000000"/>
              <w:bottom w:val="single" w:sz="2" w:space="0" w:color="000000"/>
              <w:right w:val="single" w:sz="2" w:space="0" w:color="000000"/>
            </w:tcBorders>
          </w:tcPr>
          <w:p w14:paraId="2D96F94C" w14:textId="77777777" w:rsidR="00053D93" w:rsidRDefault="00260B75">
            <w:pPr>
              <w:ind w:left="7"/>
            </w:pPr>
            <w:r>
              <w:rPr>
                <w:rFonts w:ascii="Malgan Gothic" w:eastAsia="Malgan Gothic" w:hAnsi="Malgan Gothic" w:cs="Malgan Gothic"/>
                <w:sz w:val="14"/>
              </w:rPr>
              <w:t>E553626264</w:t>
            </w:r>
          </w:p>
        </w:tc>
        <w:tc>
          <w:tcPr>
            <w:tcW w:w="1584" w:type="dxa"/>
            <w:tcBorders>
              <w:top w:val="single" w:sz="2" w:space="0" w:color="000000"/>
              <w:left w:val="single" w:sz="2" w:space="0" w:color="000000"/>
              <w:bottom w:val="single" w:sz="2" w:space="0" w:color="000000"/>
              <w:right w:val="single" w:sz="2" w:space="0" w:color="000000"/>
            </w:tcBorders>
          </w:tcPr>
          <w:p w14:paraId="13E6A377" w14:textId="77777777" w:rsidR="00053D93" w:rsidRDefault="00260B75">
            <w:pPr>
              <w:ind w:right="81"/>
              <w:jc w:val="center"/>
            </w:pPr>
            <w:r>
              <w:rPr>
                <w:rFonts w:ascii="Malgan Gothic" w:eastAsia="Malgan Gothic" w:hAnsi="Malgan Gothic" w:cs="Malgan Gothic"/>
                <w:sz w:val="14"/>
              </w:rPr>
              <w:t>2024-26001</w:t>
            </w:r>
          </w:p>
        </w:tc>
        <w:tc>
          <w:tcPr>
            <w:tcW w:w="1584" w:type="dxa"/>
            <w:tcBorders>
              <w:top w:val="single" w:sz="2" w:space="0" w:color="000000"/>
              <w:left w:val="single" w:sz="2" w:space="0" w:color="000000"/>
              <w:bottom w:val="single" w:sz="2" w:space="0" w:color="000000"/>
              <w:right w:val="single" w:sz="2" w:space="0" w:color="000000"/>
            </w:tcBorders>
          </w:tcPr>
          <w:p w14:paraId="1219D151" w14:textId="77777777" w:rsidR="00053D93" w:rsidRDefault="00260B75">
            <w:pPr>
              <w:ind w:right="67"/>
              <w:jc w:val="center"/>
            </w:pPr>
            <w:r>
              <w:rPr>
                <w:rFonts w:ascii="Malgan Gothic" w:eastAsia="Malgan Gothic" w:hAnsi="Malgan Gothic" w:cs="Malgan Gothic"/>
                <w:sz w:val="14"/>
              </w:rPr>
              <w:t>25/11/2024</w:t>
            </w:r>
          </w:p>
        </w:tc>
        <w:tc>
          <w:tcPr>
            <w:tcW w:w="1915" w:type="dxa"/>
            <w:tcBorders>
              <w:top w:val="single" w:sz="2" w:space="0" w:color="000000"/>
              <w:left w:val="single" w:sz="2" w:space="0" w:color="000000"/>
              <w:bottom w:val="single" w:sz="2" w:space="0" w:color="000000"/>
              <w:right w:val="single" w:sz="2" w:space="0" w:color="000000"/>
            </w:tcBorders>
          </w:tcPr>
          <w:p w14:paraId="037FD60A" w14:textId="77777777" w:rsidR="00053D93" w:rsidRDefault="00260B75">
            <w:pPr>
              <w:ind w:right="45"/>
              <w:jc w:val="center"/>
            </w:pPr>
            <w:r>
              <w:rPr>
                <w:rFonts w:ascii="Malgan Gothic" w:eastAsia="Malgan Gothic" w:hAnsi="Malgan Gothic" w:cs="Malgan Gothic"/>
                <w:sz w:val="14"/>
              </w:rPr>
              <w:t>12/12/2024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A42E74B" w14:textId="77777777" w:rsidR="00053D93" w:rsidRDefault="00260B75">
            <w:pPr>
              <w:ind w:right="94"/>
              <w:jc w:val="right"/>
            </w:pPr>
            <w:r>
              <w:rPr>
                <w:rFonts w:ascii="Malgan Gothic" w:eastAsia="Malgan Gothic" w:hAnsi="Malgan Gothic" w:cs="Malgan Gothic"/>
                <w:sz w:val="16"/>
              </w:rPr>
              <w:t>6,210.00</w:t>
            </w:r>
          </w:p>
        </w:tc>
      </w:tr>
      <w:tr w:rsidR="00053D93" w14:paraId="13B3ECF1" w14:textId="77777777">
        <w:trPr>
          <w:trHeight w:val="528"/>
        </w:trPr>
        <w:tc>
          <w:tcPr>
            <w:tcW w:w="76" w:type="dxa"/>
            <w:tcBorders>
              <w:top w:val="nil"/>
              <w:left w:val="nil"/>
              <w:bottom w:val="nil"/>
              <w:right w:val="single" w:sz="2" w:space="0" w:color="000000"/>
            </w:tcBorders>
          </w:tcPr>
          <w:p w14:paraId="2241582F"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3FE0C696" w14:textId="77777777" w:rsidR="00053D93" w:rsidRDefault="00260B75">
            <w:pPr>
              <w:ind w:left="23"/>
            </w:pPr>
            <w:r>
              <w:rPr>
                <w:rFonts w:ascii="Malgan Gothic" w:eastAsia="Malgan Gothic" w:hAnsi="Malgan Gothic" w:cs="Malgan Gothic"/>
                <w:sz w:val="14"/>
              </w:rPr>
              <w:t>143</w:t>
            </w:r>
          </w:p>
        </w:tc>
        <w:tc>
          <w:tcPr>
            <w:tcW w:w="1226" w:type="dxa"/>
            <w:tcBorders>
              <w:top w:val="single" w:sz="2" w:space="0" w:color="000000"/>
              <w:left w:val="single" w:sz="2" w:space="0" w:color="000000"/>
              <w:bottom w:val="single" w:sz="2" w:space="0" w:color="000000"/>
              <w:right w:val="single" w:sz="2" w:space="0" w:color="000000"/>
            </w:tcBorders>
          </w:tcPr>
          <w:p w14:paraId="2D2F3538" w14:textId="77777777" w:rsidR="00053D93" w:rsidRDefault="00260B75">
            <w:pPr>
              <w:ind w:left="7"/>
            </w:pPr>
            <w:r>
              <w:rPr>
                <w:rFonts w:ascii="Malgan Gothic" w:eastAsia="Malgan Gothic" w:hAnsi="Malgan Gothic" w:cs="Malgan Gothic"/>
                <w:sz w:val="16"/>
              </w:rPr>
              <w:t>E553638645</w:t>
            </w:r>
          </w:p>
        </w:tc>
        <w:tc>
          <w:tcPr>
            <w:tcW w:w="1584" w:type="dxa"/>
            <w:tcBorders>
              <w:top w:val="single" w:sz="2" w:space="0" w:color="000000"/>
              <w:left w:val="single" w:sz="2" w:space="0" w:color="000000"/>
              <w:bottom w:val="single" w:sz="2" w:space="0" w:color="000000"/>
              <w:right w:val="single" w:sz="2" w:space="0" w:color="000000"/>
            </w:tcBorders>
          </w:tcPr>
          <w:p w14:paraId="07197F30" w14:textId="77777777" w:rsidR="00053D93" w:rsidRDefault="00260B75">
            <w:pPr>
              <w:ind w:right="67"/>
              <w:jc w:val="center"/>
            </w:pPr>
            <w:r>
              <w:rPr>
                <w:rFonts w:ascii="Malgan Gothic" w:eastAsia="Malgan Gothic" w:hAnsi="Malgan Gothic" w:cs="Malgan Gothic"/>
                <w:sz w:val="14"/>
              </w:rPr>
              <w:t>2024-25766</w:t>
            </w:r>
          </w:p>
        </w:tc>
        <w:tc>
          <w:tcPr>
            <w:tcW w:w="1584" w:type="dxa"/>
            <w:tcBorders>
              <w:top w:val="single" w:sz="2" w:space="0" w:color="000000"/>
              <w:left w:val="single" w:sz="2" w:space="0" w:color="000000"/>
              <w:bottom w:val="single" w:sz="2" w:space="0" w:color="000000"/>
              <w:right w:val="single" w:sz="2" w:space="0" w:color="000000"/>
            </w:tcBorders>
          </w:tcPr>
          <w:p w14:paraId="7830FFBE" w14:textId="77777777" w:rsidR="00053D93" w:rsidRDefault="00260B75">
            <w:pPr>
              <w:ind w:right="74"/>
              <w:jc w:val="center"/>
            </w:pPr>
            <w:r>
              <w:rPr>
                <w:rFonts w:ascii="Malgan Gothic" w:eastAsia="Malgan Gothic" w:hAnsi="Malgan Gothic" w:cs="Malgan Gothic"/>
                <w:sz w:val="16"/>
              </w:rPr>
              <w:t>29/11/2024</w:t>
            </w:r>
          </w:p>
        </w:tc>
        <w:tc>
          <w:tcPr>
            <w:tcW w:w="1915" w:type="dxa"/>
            <w:tcBorders>
              <w:top w:val="single" w:sz="2" w:space="0" w:color="000000"/>
              <w:left w:val="single" w:sz="2" w:space="0" w:color="000000"/>
              <w:bottom w:val="single" w:sz="2" w:space="0" w:color="000000"/>
              <w:right w:val="single" w:sz="2" w:space="0" w:color="000000"/>
            </w:tcBorders>
          </w:tcPr>
          <w:p w14:paraId="0AD01BC8" w14:textId="77777777" w:rsidR="00053D93" w:rsidRDefault="00260B75">
            <w:pPr>
              <w:ind w:right="45"/>
              <w:jc w:val="center"/>
            </w:pPr>
            <w:r>
              <w:rPr>
                <w:rFonts w:ascii="Malgan Gothic" w:eastAsia="Malgan Gothic" w:hAnsi="Malgan Gothic" w:cs="Malgan Gothic"/>
                <w:sz w:val="16"/>
              </w:rPr>
              <w:t>12/12/2024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6CC66F97" w14:textId="77777777" w:rsidR="00053D93" w:rsidRDefault="00260B75">
            <w:pPr>
              <w:ind w:right="94"/>
              <w:jc w:val="right"/>
            </w:pPr>
            <w:r>
              <w:rPr>
                <w:rFonts w:ascii="Malgan Gothic" w:eastAsia="Malgan Gothic" w:hAnsi="Malgan Gothic" w:cs="Malgan Gothic"/>
                <w:sz w:val="16"/>
              </w:rPr>
              <w:t>4,550.00</w:t>
            </w:r>
          </w:p>
        </w:tc>
      </w:tr>
      <w:tr w:rsidR="00053D93" w14:paraId="5F4C8906" w14:textId="77777777">
        <w:trPr>
          <w:trHeight w:val="530"/>
        </w:trPr>
        <w:tc>
          <w:tcPr>
            <w:tcW w:w="76" w:type="dxa"/>
            <w:tcBorders>
              <w:top w:val="nil"/>
              <w:left w:val="nil"/>
              <w:bottom w:val="nil"/>
              <w:right w:val="single" w:sz="2" w:space="0" w:color="000000"/>
            </w:tcBorders>
          </w:tcPr>
          <w:p w14:paraId="7895A167" w14:textId="77777777" w:rsidR="00053D93" w:rsidRDefault="00053D93"/>
        </w:tc>
        <w:tc>
          <w:tcPr>
            <w:tcW w:w="621" w:type="dxa"/>
            <w:gridSpan w:val="2"/>
            <w:tcBorders>
              <w:top w:val="single" w:sz="2" w:space="0" w:color="000000"/>
              <w:left w:val="single" w:sz="2" w:space="0" w:color="000000"/>
              <w:bottom w:val="single" w:sz="2" w:space="0" w:color="000000"/>
              <w:right w:val="single" w:sz="2" w:space="0" w:color="000000"/>
            </w:tcBorders>
          </w:tcPr>
          <w:p w14:paraId="1F5DF40A" w14:textId="77777777" w:rsidR="00053D93" w:rsidRDefault="00260B75">
            <w:pPr>
              <w:ind w:left="23"/>
            </w:pPr>
            <w:r>
              <w:rPr>
                <w:rFonts w:ascii="Malgan Gothic" w:eastAsia="Malgan Gothic" w:hAnsi="Malgan Gothic" w:cs="Malgan Gothic"/>
                <w:sz w:val="14"/>
              </w:rPr>
              <w:t>144</w:t>
            </w:r>
          </w:p>
        </w:tc>
        <w:tc>
          <w:tcPr>
            <w:tcW w:w="1226" w:type="dxa"/>
            <w:tcBorders>
              <w:top w:val="single" w:sz="2" w:space="0" w:color="000000"/>
              <w:left w:val="single" w:sz="2" w:space="0" w:color="000000"/>
              <w:bottom w:val="single" w:sz="2" w:space="0" w:color="000000"/>
              <w:right w:val="single" w:sz="2" w:space="0" w:color="000000"/>
            </w:tcBorders>
          </w:tcPr>
          <w:p w14:paraId="7267F4C7" w14:textId="77777777" w:rsidR="00053D93" w:rsidRDefault="00260B75">
            <w:pPr>
              <w:ind w:left="7"/>
            </w:pPr>
            <w:r>
              <w:rPr>
                <w:rFonts w:ascii="Malgan Gothic" w:eastAsia="Malgan Gothic" w:hAnsi="Malgan Gothic" w:cs="Malgan Gothic"/>
                <w:sz w:val="14"/>
              </w:rPr>
              <w:t>E553639439</w:t>
            </w:r>
          </w:p>
        </w:tc>
        <w:tc>
          <w:tcPr>
            <w:tcW w:w="1584" w:type="dxa"/>
            <w:tcBorders>
              <w:top w:val="single" w:sz="2" w:space="0" w:color="000000"/>
              <w:left w:val="single" w:sz="2" w:space="0" w:color="000000"/>
              <w:bottom w:val="single" w:sz="2" w:space="0" w:color="000000"/>
              <w:right w:val="single" w:sz="2" w:space="0" w:color="000000"/>
            </w:tcBorders>
          </w:tcPr>
          <w:p w14:paraId="19266BA2" w14:textId="77777777" w:rsidR="00053D93" w:rsidRDefault="00260B75">
            <w:pPr>
              <w:ind w:right="67"/>
              <w:jc w:val="center"/>
            </w:pPr>
            <w:r>
              <w:rPr>
                <w:rFonts w:ascii="Malgan Gothic" w:eastAsia="Malgan Gothic" w:hAnsi="Malgan Gothic" w:cs="Malgan Gothic"/>
                <w:sz w:val="14"/>
              </w:rPr>
              <w:t>2024-25768</w:t>
            </w:r>
          </w:p>
        </w:tc>
        <w:tc>
          <w:tcPr>
            <w:tcW w:w="1584" w:type="dxa"/>
            <w:tcBorders>
              <w:top w:val="single" w:sz="2" w:space="0" w:color="000000"/>
              <w:left w:val="single" w:sz="2" w:space="0" w:color="000000"/>
              <w:bottom w:val="single" w:sz="2" w:space="0" w:color="000000"/>
              <w:right w:val="single" w:sz="2" w:space="0" w:color="000000"/>
            </w:tcBorders>
          </w:tcPr>
          <w:p w14:paraId="71FBEAB5" w14:textId="77777777" w:rsidR="00053D93" w:rsidRDefault="00260B75">
            <w:pPr>
              <w:ind w:right="74"/>
              <w:jc w:val="center"/>
            </w:pPr>
            <w:r>
              <w:rPr>
                <w:rFonts w:ascii="Malgan Gothic" w:eastAsia="Malgan Gothic" w:hAnsi="Malgan Gothic" w:cs="Malgan Gothic"/>
                <w:sz w:val="14"/>
              </w:rPr>
              <w:t>29/11/2024</w:t>
            </w:r>
          </w:p>
        </w:tc>
        <w:tc>
          <w:tcPr>
            <w:tcW w:w="1915" w:type="dxa"/>
            <w:tcBorders>
              <w:top w:val="single" w:sz="2" w:space="0" w:color="000000"/>
              <w:left w:val="single" w:sz="2" w:space="0" w:color="000000"/>
              <w:bottom w:val="single" w:sz="2" w:space="0" w:color="000000"/>
              <w:right w:val="single" w:sz="2" w:space="0" w:color="000000"/>
            </w:tcBorders>
          </w:tcPr>
          <w:p w14:paraId="68681F2F" w14:textId="77777777" w:rsidR="00053D93" w:rsidRDefault="00260B75">
            <w:pPr>
              <w:ind w:right="45"/>
              <w:jc w:val="center"/>
            </w:pPr>
            <w:r>
              <w:rPr>
                <w:rFonts w:ascii="Malgan Gothic" w:eastAsia="Malgan Gothic" w:hAnsi="Malgan Gothic" w:cs="Malgan Gothic"/>
                <w:sz w:val="16"/>
              </w:rPr>
              <w:t>12/12/2024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D812A9B" w14:textId="77777777" w:rsidR="00053D93" w:rsidRDefault="00260B75">
            <w:pPr>
              <w:ind w:left="373"/>
            </w:pPr>
            <w:r>
              <w:rPr>
                <w:rFonts w:ascii="Malgan Gothic" w:eastAsia="Malgan Gothic" w:hAnsi="Malgan Gothic" w:cs="Malgan Gothic"/>
                <w:sz w:val="18"/>
              </w:rPr>
              <w:t>11,050.00</w:t>
            </w:r>
          </w:p>
        </w:tc>
      </w:tr>
      <w:tr w:rsidR="00053D93" w14:paraId="00CFBEB2" w14:textId="77777777">
        <w:trPr>
          <w:trHeight w:val="535"/>
        </w:trPr>
        <w:tc>
          <w:tcPr>
            <w:tcW w:w="76" w:type="dxa"/>
            <w:vMerge w:val="restart"/>
            <w:tcBorders>
              <w:top w:val="nil"/>
              <w:left w:val="nil"/>
              <w:bottom w:val="nil"/>
              <w:right w:val="single" w:sz="2" w:space="0" w:color="000000"/>
            </w:tcBorders>
          </w:tcPr>
          <w:p w14:paraId="163189D1" w14:textId="77777777" w:rsidR="00053D93" w:rsidRDefault="00053D93"/>
        </w:tc>
        <w:tc>
          <w:tcPr>
            <w:tcW w:w="332" w:type="dxa"/>
            <w:vMerge w:val="restart"/>
            <w:tcBorders>
              <w:top w:val="single" w:sz="2" w:space="0" w:color="000000"/>
              <w:left w:val="single" w:sz="2" w:space="0" w:color="000000"/>
              <w:bottom w:val="nil"/>
              <w:right w:val="nil"/>
            </w:tcBorders>
          </w:tcPr>
          <w:p w14:paraId="0580DA37" w14:textId="77777777" w:rsidR="00053D93" w:rsidRDefault="00260B75">
            <w:pPr>
              <w:spacing w:after="261"/>
              <w:ind w:left="23" w:right="-10"/>
              <w:jc w:val="both"/>
            </w:pPr>
            <w:r>
              <w:rPr>
                <w:rFonts w:ascii="Malgan Gothic" w:eastAsia="Malgan Gothic" w:hAnsi="Malgan Gothic" w:cs="Malgan Gothic"/>
                <w:sz w:val="14"/>
              </w:rPr>
              <w:t>145</w:t>
            </w:r>
          </w:p>
          <w:p w14:paraId="3B4027CD" w14:textId="77777777" w:rsidR="00053D93" w:rsidRDefault="00260B75">
            <w:pPr>
              <w:ind w:left="103"/>
            </w:pPr>
            <w:r>
              <w:rPr>
                <w:noProof/>
              </w:rPr>
              <w:drawing>
                <wp:inline distT="0" distB="0" distL="0" distR="0" wp14:anchorId="7E11CFE7" wp14:editId="0C61CA88">
                  <wp:extent cx="9144" cy="132588"/>
                  <wp:effectExtent l="0" t="0" r="0" b="0"/>
                  <wp:docPr id="2459061" name="Picture 2459061"/>
                  <wp:cNvGraphicFramePr/>
                  <a:graphic xmlns:a="http://schemas.openxmlformats.org/drawingml/2006/main">
                    <a:graphicData uri="http://schemas.openxmlformats.org/drawingml/2006/picture">
                      <pic:pic xmlns:pic="http://schemas.openxmlformats.org/drawingml/2006/picture">
                        <pic:nvPicPr>
                          <pic:cNvPr id="2459061" name="Picture 2459061"/>
                          <pic:cNvPicPr/>
                        </pic:nvPicPr>
                        <pic:blipFill>
                          <a:blip r:embed="rId1857"/>
                          <a:stretch>
                            <a:fillRect/>
                          </a:stretch>
                        </pic:blipFill>
                        <pic:spPr>
                          <a:xfrm>
                            <a:off x="0" y="0"/>
                            <a:ext cx="9144" cy="132588"/>
                          </a:xfrm>
                          <a:prstGeom prst="rect">
                            <a:avLst/>
                          </a:prstGeom>
                        </pic:spPr>
                      </pic:pic>
                    </a:graphicData>
                  </a:graphic>
                </wp:inline>
              </w:drawing>
            </w:r>
          </w:p>
        </w:tc>
        <w:tc>
          <w:tcPr>
            <w:tcW w:w="289" w:type="dxa"/>
            <w:vMerge w:val="restart"/>
            <w:tcBorders>
              <w:top w:val="single" w:sz="2" w:space="0" w:color="000000"/>
              <w:left w:val="nil"/>
              <w:bottom w:val="nil"/>
              <w:right w:val="single" w:sz="2" w:space="0" w:color="000000"/>
            </w:tcBorders>
          </w:tcPr>
          <w:p w14:paraId="2743C9AD" w14:textId="77777777" w:rsidR="00053D93" w:rsidRDefault="00053D93"/>
        </w:tc>
        <w:tc>
          <w:tcPr>
            <w:tcW w:w="1226" w:type="dxa"/>
            <w:tcBorders>
              <w:top w:val="single" w:sz="2" w:space="0" w:color="000000"/>
              <w:left w:val="single" w:sz="2" w:space="0" w:color="000000"/>
              <w:bottom w:val="single" w:sz="2" w:space="0" w:color="000000"/>
              <w:right w:val="single" w:sz="2" w:space="0" w:color="000000"/>
            </w:tcBorders>
          </w:tcPr>
          <w:p w14:paraId="6E9CC265" w14:textId="77777777" w:rsidR="00053D93" w:rsidRDefault="00260B75">
            <w:r>
              <w:rPr>
                <w:rFonts w:ascii="Malgan Gothic" w:eastAsia="Malgan Gothic" w:hAnsi="Malgan Gothic" w:cs="Malgan Gothic"/>
                <w:sz w:val="16"/>
              </w:rPr>
              <w:t>E553640224</w:t>
            </w:r>
          </w:p>
        </w:tc>
        <w:tc>
          <w:tcPr>
            <w:tcW w:w="1584" w:type="dxa"/>
            <w:tcBorders>
              <w:top w:val="single" w:sz="2" w:space="0" w:color="000000"/>
              <w:left w:val="single" w:sz="2" w:space="0" w:color="000000"/>
              <w:bottom w:val="single" w:sz="2" w:space="0" w:color="000000"/>
              <w:right w:val="single" w:sz="2" w:space="0" w:color="000000"/>
            </w:tcBorders>
          </w:tcPr>
          <w:p w14:paraId="0EDA80A6" w14:textId="77777777" w:rsidR="00053D93" w:rsidRDefault="00260B75">
            <w:pPr>
              <w:ind w:right="74"/>
              <w:jc w:val="center"/>
            </w:pPr>
            <w:r>
              <w:rPr>
                <w:rFonts w:ascii="Malgan Gothic" w:eastAsia="Malgan Gothic" w:hAnsi="Malgan Gothic" w:cs="Malgan Gothic"/>
                <w:sz w:val="14"/>
              </w:rPr>
              <w:t>2024-25807</w:t>
            </w:r>
          </w:p>
        </w:tc>
        <w:tc>
          <w:tcPr>
            <w:tcW w:w="1584" w:type="dxa"/>
            <w:tcBorders>
              <w:top w:val="single" w:sz="2" w:space="0" w:color="000000"/>
              <w:left w:val="single" w:sz="2" w:space="0" w:color="000000"/>
              <w:bottom w:val="single" w:sz="2" w:space="0" w:color="000000"/>
              <w:right w:val="single" w:sz="2" w:space="0" w:color="000000"/>
            </w:tcBorders>
          </w:tcPr>
          <w:p w14:paraId="6F861FC4" w14:textId="77777777" w:rsidR="00053D93" w:rsidRDefault="00260B75">
            <w:pPr>
              <w:ind w:right="74"/>
              <w:jc w:val="center"/>
            </w:pPr>
            <w:r>
              <w:rPr>
                <w:rFonts w:ascii="Malgan Gothic" w:eastAsia="Malgan Gothic" w:hAnsi="Malgan Gothic" w:cs="Malgan Gothic"/>
                <w:sz w:val="14"/>
              </w:rPr>
              <w:t>27/11/2024</w:t>
            </w:r>
          </w:p>
        </w:tc>
        <w:tc>
          <w:tcPr>
            <w:tcW w:w="1915" w:type="dxa"/>
            <w:tcBorders>
              <w:top w:val="single" w:sz="2" w:space="0" w:color="000000"/>
              <w:left w:val="single" w:sz="2" w:space="0" w:color="000000"/>
              <w:bottom w:val="single" w:sz="2" w:space="0" w:color="000000"/>
              <w:right w:val="single" w:sz="2" w:space="0" w:color="000000"/>
            </w:tcBorders>
          </w:tcPr>
          <w:p w14:paraId="077D9CA4" w14:textId="77777777" w:rsidR="00053D93" w:rsidRDefault="00260B75">
            <w:pPr>
              <w:ind w:right="45"/>
              <w:jc w:val="center"/>
            </w:pPr>
            <w:r>
              <w:rPr>
                <w:rFonts w:ascii="Malgan Gothic" w:eastAsia="Malgan Gothic" w:hAnsi="Malgan Gothic" w:cs="Malgan Gothic"/>
                <w:sz w:val="16"/>
              </w:rPr>
              <w:t>1 2/12/2024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8EEEB8F" w14:textId="77777777" w:rsidR="00053D93" w:rsidRDefault="00260B75">
            <w:pPr>
              <w:ind w:left="365"/>
            </w:pPr>
            <w:r>
              <w:rPr>
                <w:rFonts w:ascii="Malgan Gothic" w:eastAsia="Malgan Gothic" w:hAnsi="Malgan Gothic" w:cs="Malgan Gothic"/>
                <w:sz w:val="16"/>
              </w:rPr>
              <w:t>13275.00</w:t>
            </w:r>
          </w:p>
        </w:tc>
      </w:tr>
      <w:tr w:rsidR="00053D93" w14:paraId="218A4E1B" w14:textId="77777777">
        <w:trPr>
          <w:trHeight w:val="590"/>
        </w:trPr>
        <w:tc>
          <w:tcPr>
            <w:tcW w:w="0" w:type="auto"/>
            <w:vMerge/>
            <w:tcBorders>
              <w:top w:val="nil"/>
              <w:left w:val="nil"/>
              <w:bottom w:val="nil"/>
              <w:right w:val="single" w:sz="2" w:space="0" w:color="000000"/>
            </w:tcBorders>
          </w:tcPr>
          <w:p w14:paraId="3CD35BF3" w14:textId="77777777" w:rsidR="00053D93" w:rsidRDefault="00053D93"/>
        </w:tc>
        <w:tc>
          <w:tcPr>
            <w:tcW w:w="0" w:type="auto"/>
            <w:vMerge/>
            <w:tcBorders>
              <w:top w:val="nil"/>
              <w:left w:val="single" w:sz="2" w:space="0" w:color="000000"/>
              <w:bottom w:val="nil"/>
              <w:right w:val="nil"/>
            </w:tcBorders>
          </w:tcPr>
          <w:p w14:paraId="137B5658" w14:textId="77777777" w:rsidR="00053D93" w:rsidRDefault="00053D93"/>
        </w:tc>
        <w:tc>
          <w:tcPr>
            <w:tcW w:w="0" w:type="auto"/>
            <w:vMerge/>
            <w:tcBorders>
              <w:top w:val="nil"/>
              <w:left w:val="nil"/>
              <w:bottom w:val="nil"/>
              <w:right w:val="single" w:sz="2" w:space="0" w:color="000000"/>
            </w:tcBorders>
          </w:tcPr>
          <w:p w14:paraId="7DAC1D78" w14:textId="77777777" w:rsidR="00053D93" w:rsidRDefault="00053D93"/>
        </w:tc>
        <w:tc>
          <w:tcPr>
            <w:tcW w:w="7641" w:type="dxa"/>
            <w:gridSpan w:val="5"/>
            <w:tcBorders>
              <w:top w:val="single" w:sz="2" w:space="0" w:color="000000"/>
              <w:left w:val="single" w:sz="2" w:space="0" w:color="000000"/>
              <w:bottom w:val="nil"/>
              <w:right w:val="nil"/>
            </w:tcBorders>
          </w:tcPr>
          <w:p w14:paraId="4EF38AF1" w14:textId="77777777" w:rsidR="00053D93" w:rsidRDefault="00260B75">
            <w:pPr>
              <w:spacing w:after="46"/>
              <w:ind w:right="698"/>
              <w:jc w:val="center"/>
            </w:pPr>
            <w:r>
              <w:rPr>
                <w:rFonts w:ascii="Malgan Gothic" w:eastAsia="Malgan Gothic" w:hAnsi="Malgan Gothic" w:cs="Malgan Gothic"/>
                <w:sz w:val="10"/>
              </w:rPr>
              <w:t>MENISTERIO DE EOUCACtON</w:t>
            </w:r>
          </w:p>
          <w:p w14:paraId="70260D40" w14:textId="77777777" w:rsidR="00053D93" w:rsidRDefault="00260B75">
            <w:pPr>
              <w:spacing w:after="26"/>
              <w:ind w:left="2167"/>
            </w:pPr>
            <w:r>
              <w:rPr>
                <w:rFonts w:ascii="Malgan Gothic" w:eastAsia="Malgan Gothic" w:hAnsi="Malgan Gothic" w:cs="Malgan Gothic"/>
                <w:sz w:val="10"/>
              </w:rPr>
              <w:t>AUDITORIA FINANCIERA Y DE CUMPLIMIENTO</w:t>
            </w:r>
          </w:p>
          <w:p w14:paraId="7ED737F2" w14:textId="77777777" w:rsidR="00053D93" w:rsidRDefault="00260B75">
            <w:pPr>
              <w:ind w:left="1836"/>
            </w:pPr>
            <w:r>
              <w:rPr>
                <w:rFonts w:ascii="Malgan Gothic" w:eastAsia="Malgan Gothic" w:hAnsi="Malgan Gothic" w:cs="Malgan Gothic"/>
                <w:sz w:val="10"/>
              </w:rPr>
              <w:t>PERfOOO DEL 01 DE ENERO AL 31 OE DICIEMSRE DE 2024</w:t>
            </w:r>
          </w:p>
        </w:tc>
      </w:tr>
    </w:tbl>
    <w:p w14:paraId="51E319C7" w14:textId="77777777" w:rsidR="00053D93" w:rsidRDefault="00260B75">
      <w:pPr>
        <w:spacing w:after="349"/>
        <w:ind w:left="-5" w:right="8230" w:hanging="10"/>
      </w:pPr>
      <w:r>
        <w:rPr>
          <w:rFonts w:ascii="Malgan Gothic" w:eastAsia="Malgan Gothic" w:hAnsi="Malgan Gothic" w:cs="Malgan Gothic"/>
          <w:sz w:val="64"/>
        </w:rPr>
        <w:t>IIIN</w:t>
      </w:r>
      <w:r>
        <w:rPr>
          <w:noProof/>
        </w:rPr>
        <w:drawing>
          <wp:inline distT="0" distB="0" distL="0" distR="0" wp14:anchorId="1EA36F64" wp14:editId="7EF51AB4">
            <wp:extent cx="132588" cy="406909"/>
            <wp:effectExtent l="0" t="0" r="0" b="0"/>
            <wp:docPr id="1430648" name="Picture 1430648"/>
            <wp:cNvGraphicFramePr/>
            <a:graphic xmlns:a="http://schemas.openxmlformats.org/drawingml/2006/main">
              <a:graphicData uri="http://schemas.openxmlformats.org/drawingml/2006/picture">
                <pic:pic xmlns:pic="http://schemas.openxmlformats.org/drawingml/2006/picture">
                  <pic:nvPicPr>
                    <pic:cNvPr id="1430648" name="Picture 1430648"/>
                    <pic:cNvPicPr/>
                  </pic:nvPicPr>
                  <pic:blipFill>
                    <a:blip r:embed="rId1858"/>
                    <a:stretch>
                      <a:fillRect/>
                    </a:stretch>
                  </pic:blipFill>
                  <pic:spPr>
                    <a:xfrm>
                      <a:off x="0" y="0"/>
                      <a:ext cx="132588" cy="406909"/>
                    </a:xfrm>
                    <a:prstGeom prst="rect">
                      <a:avLst/>
                    </a:prstGeom>
                  </pic:spPr>
                </pic:pic>
              </a:graphicData>
            </a:graphic>
          </wp:inline>
        </w:drawing>
      </w:r>
    </w:p>
    <w:tbl>
      <w:tblPr>
        <w:tblStyle w:val="TableGrid"/>
        <w:tblpPr w:vertAnchor="text" w:tblpX="1008" w:tblpY="-8471"/>
        <w:tblOverlap w:val="never"/>
        <w:tblW w:w="8330" w:type="dxa"/>
        <w:tblInd w:w="0" w:type="dxa"/>
        <w:tblCellMar>
          <w:right w:w="65" w:type="dxa"/>
        </w:tblCellMar>
        <w:tblLook w:val="04A0" w:firstRow="1" w:lastRow="0" w:firstColumn="1" w:lastColumn="0" w:noHBand="0" w:noVBand="1"/>
      </w:tblPr>
      <w:tblGrid>
        <w:gridCol w:w="71"/>
        <w:gridCol w:w="583"/>
        <w:gridCol w:w="1320"/>
        <w:gridCol w:w="1407"/>
        <w:gridCol w:w="148"/>
        <w:gridCol w:w="1563"/>
        <w:gridCol w:w="1883"/>
        <w:gridCol w:w="1355"/>
      </w:tblGrid>
      <w:tr w:rsidR="00053D93" w14:paraId="0809FDD9" w14:textId="77777777">
        <w:trPr>
          <w:trHeight w:val="547"/>
        </w:trPr>
        <w:tc>
          <w:tcPr>
            <w:tcW w:w="62" w:type="dxa"/>
            <w:vMerge w:val="restart"/>
            <w:tcBorders>
              <w:top w:val="single" w:sz="2" w:space="0" w:color="000000"/>
              <w:left w:val="nil"/>
              <w:bottom w:val="nil"/>
              <w:right w:val="single" w:sz="2" w:space="0" w:color="000000"/>
            </w:tcBorders>
          </w:tcPr>
          <w:p w14:paraId="1060DB6F"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6ECEF9A1" w14:textId="77777777" w:rsidR="00053D93" w:rsidRDefault="00260B75">
            <w:pPr>
              <w:ind w:left="111"/>
            </w:pPr>
            <w:r>
              <w:rPr>
                <w:rFonts w:ascii="Times New Roman" w:eastAsia="Times New Roman" w:hAnsi="Times New Roman" w:cs="Times New Roman"/>
              </w:rPr>
              <w:t>146</w:t>
            </w:r>
          </w:p>
        </w:tc>
        <w:tc>
          <w:tcPr>
            <w:tcW w:w="1279" w:type="dxa"/>
            <w:tcBorders>
              <w:top w:val="single" w:sz="2" w:space="0" w:color="000000"/>
              <w:left w:val="single" w:sz="2" w:space="0" w:color="000000"/>
              <w:bottom w:val="single" w:sz="2" w:space="0" w:color="000000"/>
              <w:right w:val="single" w:sz="2" w:space="0" w:color="000000"/>
            </w:tcBorders>
          </w:tcPr>
          <w:p w14:paraId="154B7A32" w14:textId="77777777" w:rsidR="00053D93" w:rsidRDefault="00260B75">
            <w:pPr>
              <w:ind w:left="130"/>
            </w:pPr>
            <w:r>
              <w:rPr>
                <w:rFonts w:ascii="Times New Roman" w:eastAsia="Times New Roman" w:hAnsi="Times New Roman" w:cs="Times New Roman"/>
              </w:rPr>
              <w:t>E553642308</w:t>
            </w:r>
          </w:p>
        </w:tc>
        <w:tc>
          <w:tcPr>
            <w:tcW w:w="1428" w:type="dxa"/>
            <w:tcBorders>
              <w:top w:val="single" w:sz="2" w:space="0" w:color="000000"/>
              <w:left w:val="single" w:sz="2" w:space="0" w:color="000000"/>
              <w:bottom w:val="single" w:sz="2" w:space="0" w:color="000000"/>
              <w:right w:val="nil"/>
            </w:tcBorders>
          </w:tcPr>
          <w:p w14:paraId="0B9B8870" w14:textId="77777777" w:rsidR="00053D93" w:rsidRDefault="00260B75">
            <w:pPr>
              <w:ind w:left="305"/>
            </w:pPr>
            <w:r>
              <w:rPr>
                <w:rFonts w:ascii="Times New Roman" w:eastAsia="Times New Roman" w:hAnsi="Times New Roman" w:cs="Times New Roman"/>
                <w:sz w:val="20"/>
              </w:rPr>
              <w:t>2024-25684</w:t>
            </w:r>
          </w:p>
        </w:tc>
        <w:tc>
          <w:tcPr>
            <w:tcW w:w="151" w:type="dxa"/>
            <w:tcBorders>
              <w:top w:val="single" w:sz="2" w:space="0" w:color="000000"/>
              <w:left w:val="nil"/>
              <w:bottom w:val="single" w:sz="2" w:space="0" w:color="000000"/>
              <w:right w:val="single" w:sz="2" w:space="0" w:color="000000"/>
            </w:tcBorders>
          </w:tcPr>
          <w:p w14:paraId="68CDF3F9"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401575A4" w14:textId="77777777" w:rsidR="00053D93" w:rsidRDefault="00260B75">
            <w:pPr>
              <w:ind w:left="89"/>
              <w:jc w:val="center"/>
            </w:pPr>
            <w:r>
              <w:rPr>
                <w:rFonts w:ascii="Times New Roman" w:eastAsia="Times New Roman" w:hAnsi="Times New Roman" w:cs="Times New Roman"/>
                <w:sz w:val="20"/>
              </w:rPr>
              <w:t>22111/2024</w:t>
            </w:r>
          </w:p>
        </w:tc>
        <w:tc>
          <w:tcPr>
            <w:tcW w:w="1911" w:type="dxa"/>
            <w:tcBorders>
              <w:top w:val="single" w:sz="2" w:space="0" w:color="000000"/>
              <w:left w:val="single" w:sz="2" w:space="0" w:color="000000"/>
              <w:bottom w:val="single" w:sz="2" w:space="0" w:color="000000"/>
              <w:right w:val="single" w:sz="2" w:space="0" w:color="000000"/>
            </w:tcBorders>
          </w:tcPr>
          <w:p w14:paraId="124EFAC9" w14:textId="77777777" w:rsidR="00053D93" w:rsidRDefault="00260B75">
            <w:pPr>
              <w:ind w:left="118"/>
              <w:jc w:val="center"/>
            </w:pPr>
            <w:r>
              <w:rPr>
                <w:rFonts w:ascii="Times New Roman" w:eastAsia="Times New Roman" w:hAnsi="Times New Roman" w:cs="Times New Roman"/>
                <w:sz w:val="20"/>
              </w:rPr>
              <w:t>1 2112/2024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AF79B33" w14:textId="77777777" w:rsidR="00053D93" w:rsidRDefault="00260B75">
            <w:pPr>
              <w:jc w:val="right"/>
            </w:pPr>
            <w:r>
              <w:rPr>
                <w:rFonts w:ascii="Times New Roman" w:eastAsia="Times New Roman" w:hAnsi="Times New Roman" w:cs="Times New Roman"/>
              </w:rPr>
              <w:t>4,650.00</w:t>
            </w:r>
          </w:p>
        </w:tc>
      </w:tr>
      <w:tr w:rsidR="00053D93" w14:paraId="5A672235" w14:textId="77777777">
        <w:trPr>
          <w:trHeight w:val="533"/>
        </w:trPr>
        <w:tc>
          <w:tcPr>
            <w:tcW w:w="0" w:type="auto"/>
            <w:vMerge/>
            <w:tcBorders>
              <w:top w:val="nil"/>
              <w:left w:val="nil"/>
              <w:bottom w:val="nil"/>
              <w:right w:val="single" w:sz="2" w:space="0" w:color="000000"/>
            </w:tcBorders>
          </w:tcPr>
          <w:p w14:paraId="025C2D4D"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254290AE" w14:textId="77777777" w:rsidR="00053D93" w:rsidRDefault="00260B75">
            <w:pPr>
              <w:ind w:left="111"/>
            </w:pPr>
            <w:r>
              <w:rPr>
                <w:rFonts w:ascii="Times New Roman" w:eastAsia="Times New Roman" w:hAnsi="Times New Roman" w:cs="Times New Roman"/>
              </w:rPr>
              <w:t>147</w:t>
            </w:r>
          </w:p>
        </w:tc>
        <w:tc>
          <w:tcPr>
            <w:tcW w:w="1279" w:type="dxa"/>
            <w:tcBorders>
              <w:top w:val="single" w:sz="2" w:space="0" w:color="000000"/>
              <w:left w:val="single" w:sz="2" w:space="0" w:color="000000"/>
              <w:bottom w:val="single" w:sz="2" w:space="0" w:color="000000"/>
              <w:right w:val="single" w:sz="2" w:space="0" w:color="000000"/>
            </w:tcBorders>
          </w:tcPr>
          <w:p w14:paraId="05B5356A" w14:textId="77777777" w:rsidR="00053D93" w:rsidRDefault="00260B75">
            <w:pPr>
              <w:ind w:left="130"/>
            </w:pPr>
            <w:r>
              <w:rPr>
                <w:rFonts w:ascii="Times New Roman" w:eastAsia="Times New Roman" w:hAnsi="Times New Roman" w:cs="Times New Roman"/>
              </w:rPr>
              <w:t>E553643134</w:t>
            </w:r>
          </w:p>
        </w:tc>
        <w:tc>
          <w:tcPr>
            <w:tcW w:w="1428" w:type="dxa"/>
            <w:tcBorders>
              <w:top w:val="single" w:sz="2" w:space="0" w:color="000000"/>
              <w:left w:val="single" w:sz="2" w:space="0" w:color="000000"/>
              <w:bottom w:val="single" w:sz="2" w:space="0" w:color="000000"/>
              <w:right w:val="nil"/>
            </w:tcBorders>
          </w:tcPr>
          <w:p w14:paraId="13CED197" w14:textId="77777777" w:rsidR="00053D93" w:rsidRDefault="00260B75">
            <w:pPr>
              <w:ind w:left="305"/>
            </w:pPr>
            <w:r>
              <w:rPr>
                <w:rFonts w:ascii="Times New Roman" w:eastAsia="Times New Roman" w:hAnsi="Times New Roman" w:cs="Times New Roman"/>
                <w:sz w:val="20"/>
              </w:rPr>
              <w:t>2024-25059</w:t>
            </w:r>
          </w:p>
        </w:tc>
        <w:tc>
          <w:tcPr>
            <w:tcW w:w="151" w:type="dxa"/>
            <w:tcBorders>
              <w:top w:val="single" w:sz="2" w:space="0" w:color="000000"/>
              <w:left w:val="nil"/>
              <w:bottom w:val="single" w:sz="2" w:space="0" w:color="000000"/>
              <w:right w:val="single" w:sz="2" w:space="0" w:color="000000"/>
            </w:tcBorders>
          </w:tcPr>
          <w:p w14:paraId="004B5C89"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66299C9A" w14:textId="77777777" w:rsidR="00053D93" w:rsidRDefault="00260B75">
            <w:pPr>
              <w:ind w:left="89"/>
              <w:jc w:val="center"/>
            </w:pPr>
            <w:r>
              <w:rPr>
                <w:rFonts w:ascii="Times New Roman" w:eastAsia="Times New Roman" w:hAnsi="Times New Roman" w:cs="Times New Roman"/>
                <w:sz w:val="20"/>
              </w:rPr>
              <w:t>4112/2024</w:t>
            </w:r>
          </w:p>
        </w:tc>
        <w:tc>
          <w:tcPr>
            <w:tcW w:w="1911" w:type="dxa"/>
            <w:tcBorders>
              <w:top w:val="single" w:sz="2" w:space="0" w:color="000000"/>
              <w:left w:val="single" w:sz="2" w:space="0" w:color="000000"/>
              <w:bottom w:val="single" w:sz="2" w:space="0" w:color="000000"/>
              <w:right w:val="single" w:sz="2" w:space="0" w:color="000000"/>
            </w:tcBorders>
          </w:tcPr>
          <w:p w14:paraId="6569BFEC" w14:textId="77777777" w:rsidR="00053D93" w:rsidRDefault="00260B75">
            <w:pPr>
              <w:ind w:left="111"/>
              <w:jc w:val="center"/>
            </w:pPr>
            <w:r>
              <w:rPr>
                <w:rFonts w:ascii="Times New Roman" w:eastAsia="Times New Roman" w:hAnsi="Times New Roman" w:cs="Times New Roman"/>
                <w:sz w:val="20"/>
              </w:rPr>
              <w:t>1 2112/2024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24F4B241" w14:textId="77777777" w:rsidR="00053D93" w:rsidRDefault="00260B75">
            <w:pPr>
              <w:ind w:right="7"/>
              <w:jc w:val="right"/>
            </w:pPr>
            <w:r>
              <w:rPr>
                <w:rFonts w:ascii="Times New Roman" w:eastAsia="Times New Roman" w:hAnsi="Times New Roman" w:cs="Times New Roman"/>
              </w:rPr>
              <w:t>5,875.oo</w:t>
            </w:r>
          </w:p>
        </w:tc>
      </w:tr>
      <w:tr w:rsidR="00053D93" w14:paraId="76A66845" w14:textId="77777777">
        <w:trPr>
          <w:trHeight w:val="608"/>
        </w:trPr>
        <w:tc>
          <w:tcPr>
            <w:tcW w:w="0" w:type="auto"/>
            <w:vMerge/>
            <w:tcBorders>
              <w:top w:val="nil"/>
              <w:left w:val="nil"/>
              <w:bottom w:val="nil"/>
              <w:right w:val="single" w:sz="2" w:space="0" w:color="000000"/>
            </w:tcBorders>
          </w:tcPr>
          <w:p w14:paraId="419826BE"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0513188D" w14:textId="77777777" w:rsidR="00053D93" w:rsidRDefault="00260B75">
            <w:pPr>
              <w:ind w:left="111"/>
            </w:pPr>
            <w:r>
              <w:rPr>
                <w:rFonts w:ascii="Times New Roman" w:eastAsia="Times New Roman" w:hAnsi="Times New Roman" w:cs="Times New Roman"/>
              </w:rPr>
              <w:t>148</w:t>
            </w:r>
          </w:p>
        </w:tc>
        <w:tc>
          <w:tcPr>
            <w:tcW w:w="1279" w:type="dxa"/>
            <w:tcBorders>
              <w:top w:val="single" w:sz="2" w:space="0" w:color="000000"/>
              <w:left w:val="single" w:sz="2" w:space="0" w:color="000000"/>
              <w:bottom w:val="single" w:sz="2" w:space="0" w:color="000000"/>
              <w:right w:val="single" w:sz="2" w:space="0" w:color="000000"/>
            </w:tcBorders>
          </w:tcPr>
          <w:p w14:paraId="48A17E50" w14:textId="77777777" w:rsidR="00053D93" w:rsidRDefault="00260B75">
            <w:pPr>
              <w:ind w:left="130"/>
            </w:pPr>
            <w:r>
              <w:rPr>
                <w:rFonts w:ascii="Times New Roman" w:eastAsia="Times New Roman" w:hAnsi="Times New Roman" w:cs="Times New Roman"/>
              </w:rPr>
              <w:t>E553705105</w:t>
            </w:r>
          </w:p>
        </w:tc>
        <w:tc>
          <w:tcPr>
            <w:tcW w:w="1428" w:type="dxa"/>
            <w:tcBorders>
              <w:top w:val="single" w:sz="2" w:space="0" w:color="000000"/>
              <w:left w:val="single" w:sz="2" w:space="0" w:color="000000"/>
              <w:bottom w:val="single" w:sz="2" w:space="0" w:color="000000"/>
              <w:right w:val="nil"/>
            </w:tcBorders>
          </w:tcPr>
          <w:p w14:paraId="76779987" w14:textId="77777777" w:rsidR="00053D93" w:rsidRDefault="00260B75">
            <w:pPr>
              <w:ind w:left="305"/>
            </w:pPr>
            <w:r>
              <w:rPr>
                <w:rFonts w:ascii="Times New Roman" w:eastAsia="Times New Roman" w:hAnsi="Times New Roman" w:cs="Times New Roman"/>
                <w:sz w:val="20"/>
              </w:rPr>
              <w:t>2024-24799</w:t>
            </w:r>
          </w:p>
        </w:tc>
        <w:tc>
          <w:tcPr>
            <w:tcW w:w="151" w:type="dxa"/>
            <w:tcBorders>
              <w:top w:val="single" w:sz="2" w:space="0" w:color="000000"/>
              <w:left w:val="nil"/>
              <w:bottom w:val="single" w:sz="2" w:space="0" w:color="000000"/>
              <w:right w:val="single" w:sz="2" w:space="0" w:color="000000"/>
            </w:tcBorders>
          </w:tcPr>
          <w:p w14:paraId="6549C168"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598DAC3D" w14:textId="77777777" w:rsidR="00053D93" w:rsidRDefault="00260B75">
            <w:pPr>
              <w:ind w:left="89"/>
              <w:jc w:val="center"/>
            </w:pPr>
            <w:r>
              <w:rPr>
                <w:rFonts w:ascii="Times New Roman" w:eastAsia="Times New Roman" w:hAnsi="Times New Roman" w:cs="Times New Roman"/>
                <w:sz w:val="20"/>
              </w:rPr>
              <w:t>8/1 112024</w:t>
            </w:r>
          </w:p>
        </w:tc>
        <w:tc>
          <w:tcPr>
            <w:tcW w:w="1911" w:type="dxa"/>
            <w:tcBorders>
              <w:top w:val="single" w:sz="2" w:space="0" w:color="000000"/>
              <w:left w:val="single" w:sz="2" w:space="0" w:color="000000"/>
              <w:bottom w:val="single" w:sz="2" w:space="0" w:color="000000"/>
              <w:right w:val="single" w:sz="2" w:space="0" w:color="000000"/>
            </w:tcBorders>
          </w:tcPr>
          <w:p w14:paraId="2B158ADC" w14:textId="77777777" w:rsidR="00053D93" w:rsidRDefault="00260B75">
            <w:pPr>
              <w:ind w:left="103"/>
              <w:jc w:val="center"/>
            </w:pPr>
            <w:r>
              <w:rPr>
                <w:rFonts w:ascii="Times New Roman" w:eastAsia="Times New Roman" w:hAnsi="Times New Roman" w:cs="Times New Roman"/>
                <w:sz w:val="20"/>
              </w:rPr>
              <w:t>13112/2024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47CE692" w14:textId="77777777" w:rsidR="00053D93" w:rsidRDefault="00260B75">
            <w:pPr>
              <w:ind w:right="7"/>
              <w:jc w:val="right"/>
            </w:pPr>
            <w:r>
              <w:rPr>
                <w:rFonts w:ascii="Times New Roman" w:eastAsia="Times New Roman" w:hAnsi="Times New Roman" w:cs="Times New Roman"/>
              </w:rPr>
              <w:t>12,716.oo</w:t>
            </w:r>
          </w:p>
        </w:tc>
      </w:tr>
      <w:tr w:rsidR="00053D93" w14:paraId="6F2A7D9F" w14:textId="77777777">
        <w:trPr>
          <w:trHeight w:val="464"/>
        </w:trPr>
        <w:tc>
          <w:tcPr>
            <w:tcW w:w="0" w:type="auto"/>
            <w:vMerge/>
            <w:tcBorders>
              <w:top w:val="nil"/>
              <w:left w:val="nil"/>
              <w:bottom w:val="nil"/>
              <w:right w:val="single" w:sz="2" w:space="0" w:color="000000"/>
            </w:tcBorders>
          </w:tcPr>
          <w:p w14:paraId="68FB1B5F"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0455F28B" w14:textId="77777777" w:rsidR="00053D93" w:rsidRDefault="00260B75">
            <w:pPr>
              <w:ind w:left="111"/>
            </w:pPr>
            <w:r>
              <w:rPr>
                <w:rFonts w:ascii="Times New Roman" w:eastAsia="Times New Roman" w:hAnsi="Times New Roman" w:cs="Times New Roman"/>
              </w:rPr>
              <w:t>149</w:t>
            </w:r>
          </w:p>
        </w:tc>
        <w:tc>
          <w:tcPr>
            <w:tcW w:w="1279" w:type="dxa"/>
            <w:tcBorders>
              <w:top w:val="single" w:sz="2" w:space="0" w:color="000000"/>
              <w:left w:val="single" w:sz="2" w:space="0" w:color="000000"/>
              <w:bottom w:val="single" w:sz="2" w:space="0" w:color="000000"/>
              <w:right w:val="single" w:sz="2" w:space="0" w:color="000000"/>
            </w:tcBorders>
          </w:tcPr>
          <w:p w14:paraId="7046689A" w14:textId="77777777" w:rsidR="00053D93" w:rsidRDefault="00260B75">
            <w:pPr>
              <w:ind w:left="130"/>
            </w:pPr>
            <w:r>
              <w:rPr>
                <w:rFonts w:ascii="Times New Roman" w:eastAsia="Times New Roman" w:hAnsi="Times New Roman" w:cs="Times New Roman"/>
              </w:rPr>
              <w:t>E553710583</w:t>
            </w:r>
          </w:p>
        </w:tc>
        <w:tc>
          <w:tcPr>
            <w:tcW w:w="1428" w:type="dxa"/>
            <w:tcBorders>
              <w:top w:val="single" w:sz="2" w:space="0" w:color="000000"/>
              <w:left w:val="single" w:sz="2" w:space="0" w:color="000000"/>
              <w:bottom w:val="single" w:sz="2" w:space="0" w:color="000000"/>
              <w:right w:val="nil"/>
            </w:tcBorders>
          </w:tcPr>
          <w:p w14:paraId="5827DF4B" w14:textId="77777777" w:rsidR="00053D93" w:rsidRDefault="00260B75">
            <w:pPr>
              <w:ind w:left="305"/>
            </w:pPr>
            <w:r>
              <w:rPr>
                <w:rFonts w:ascii="Times New Roman" w:eastAsia="Times New Roman" w:hAnsi="Times New Roman" w:cs="Times New Roman"/>
                <w:sz w:val="20"/>
              </w:rPr>
              <w:t>2024-25434</w:t>
            </w:r>
          </w:p>
        </w:tc>
        <w:tc>
          <w:tcPr>
            <w:tcW w:w="151" w:type="dxa"/>
            <w:tcBorders>
              <w:top w:val="single" w:sz="2" w:space="0" w:color="000000"/>
              <w:left w:val="nil"/>
              <w:bottom w:val="single" w:sz="2" w:space="0" w:color="000000"/>
              <w:right w:val="single" w:sz="2" w:space="0" w:color="000000"/>
            </w:tcBorders>
          </w:tcPr>
          <w:p w14:paraId="0CAE2A20"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1092B3FE" w14:textId="77777777" w:rsidR="00053D93" w:rsidRDefault="00053D93"/>
        </w:tc>
        <w:tc>
          <w:tcPr>
            <w:tcW w:w="1911" w:type="dxa"/>
            <w:tcBorders>
              <w:top w:val="single" w:sz="2" w:space="0" w:color="000000"/>
              <w:left w:val="single" w:sz="2" w:space="0" w:color="000000"/>
              <w:bottom w:val="single" w:sz="2" w:space="0" w:color="000000"/>
              <w:right w:val="single" w:sz="2" w:space="0" w:color="000000"/>
            </w:tcBorders>
          </w:tcPr>
          <w:p w14:paraId="670FCABF" w14:textId="77777777" w:rsidR="00053D93" w:rsidRDefault="00260B75">
            <w:pPr>
              <w:ind w:left="103"/>
              <w:jc w:val="center"/>
            </w:pPr>
            <w:r>
              <w:rPr>
                <w:rFonts w:ascii="Times New Roman" w:eastAsia="Times New Roman" w:hAnsi="Times New Roman" w:cs="Times New Roman"/>
                <w:sz w:val="20"/>
              </w:rPr>
              <w:t>1 3/12/2024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63E1F96C" w14:textId="77777777" w:rsidR="00053D93" w:rsidRDefault="00260B75">
            <w:pPr>
              <w:ind w:right="7"/>
              <w:jc w:val="right"/>
            </w:pPr>
            <w:r>
              <w:rPr>
                <w:rFonts w:ascii="Times New Roman" w:eastAsia="Times New Roman" w:hAnsi="Times New Roman" w:cs="Times New Roman"/>
              </w:rPr>
              <w:t>24.974.00</w:t>
            </w:r>
          </w:p>
        </w:tc>
      </w:tr>
      <w:tr w:rsidR="00053D93" w14:paraId="14443879" w14:textId="77777777">
        <w:trPr>
          <w:trHeight w:val="533"/>
        </w:trPr>
        <w:tc>
          <w:tcPr>
            <w:tcW w:w="0" w:type="auto"/>
            <w:vMerge/>
            <w:tcBorders>
              <w:top w:val="nil"/>
              <w:left w:val="nil"/>
              <w:bottom w:val="nil"/>
              <w:right w:val="single" w:sz="2" w:space="0" w:color="000000"/>
            </w:tcBorders>
          </w:tcPr>
          <w:p w14:paraId="4C22315A"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56CC1572" w14:textId="77777777" w:rsidR="00053D93" w:rsidRDefault="00260B75">
            <w:pPr>
              <w:ind w:left="111"/>
            </w:pPr>
            <w:r>
              <w:rPr>
                <w:rFonts w:ascii="Times New Roman" w:eastAsia="Times New Roman" w:hAnsi="Times New Roman" w:cs="Times New Roman"/>
              </w:rPr>
              <w:t>150</w:t>
            </w:r>
          </w:p>
        </w:tc>
        <w:tc>
          <w:tcPr>
            <w:tcW w:w="1279" w:type="dxa"/>
            <w:tcBorders>
              <w:top w:val="single" w:sz="2" w:space="0" w:color="000000"/>
              <w:left w:val="single" w:sz="2" w:space="0" w:color="000000"/>
              <w:bottom w:val="single" w:sz="2" w:space="0" w:color="000000"/>
              <w:right w:val="single" w:sz="2" w:space="0" w:color="000000"/>
            </w:tcBorders>
          </w:tcPr>
          <w:p w14:paraId="6E5FA8C1" w14:textId="77777777" w:rsidR="00053D93" w:rsidRDefault="00260B75">
            <w:pPr>
              <w:ind w:left="122"/>
            </w:pPr>
            <w:r>
              <w:rPr>
                <w:rFonts w:ascii="Times New Roman" w:eastAsia="Times New Roman" w:hAnsi="Times New Roman" w:cs="Times New Roman"/>
              </w:rPr>
              <w:t>E553810561</w:t>
            </w:r>
          </w:p>
        </w:tc>
        <w:tc>
          <w:tcPr>
            <w:tcW w:w="1428" w:type="dxa"/>
            <w:tcBorders>
              <w:top w:val="single" w:sz="2" w:space="0" w:color="000000"/>
              <w:left w:val="single" w:sz="2" w:space="0" w:color="000000"/>
              <w:bottom w:val="single" w:sz="2" w:space="0" w:color="000000"/>
              <w:right w:val="nil"/>
            </w:tcBorders>
          </w:tcPr>
          <w:p w14:paraId="66D9D4FE" w14:textId="77777777" w:rsidR="00053D93" w:rsidRDefault="00260B75">
            <w:pPr>
              <w:ind w:left="305"/>
            </w:pPr>
            <w:r>
              <w:rPr>
                <w:rFonts w:ascii="Times New Roman" w:eastAsia="Times New Roman" w:hAnsi="Times New Roman" w:cs="Times New Roman"/>
                <w:sz w:val="20"/>
              </w:rPr>
              <w:t>2024-22522</w:t>
            </w:r>
          </w:p>
        </w:tc>
        <w:tc>
          <w:tcPr>
            <w:tcW w:w="151" w:type="dxa"/>
            <w:tcBorders>
              <w:top w:val="single" w:sz="2" w:space="0" w:color="000000"/>
              <w:left w:val="nil"/>
              <w:bottom w:val="single" w:sz="2" w:space="0" w:color="000000"/>
              <w:right w:val="single" w:sz="2" w:space="0" w:color="000000"/>
            </w:tcBorders>
          </w:tcPr>
          <w:p w14:paraId="4DCD0F3B"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4ECE270B" w14:textId="77777777" w:rsidR="00053D93" w:rsidRDefault="00260B75">
            <w:pPr>
              <w:ind w:left="82"/>
              <w:jc w:val="center"/>
            </w:pPr>
            <w:r>
              <w:rPr>
                <w:rFonts w:ascii="Times New Roman" w:eastAsia="Times New Roman" w:hAnsi="Times New Roman" w:cs="Times New Roman"/>
                <w:sz w:val="20"/>
              </w:rPr>
              <w:t>25/09/2024</w:t>
            </w:r>
          </w:p>
        </w:tc>
        <w:tc>
          <w:tcPr>
            <w:tcW w:w="1911" w:type="dxa"/>
            <w:tcBorders>
              <w:top w:val="single" w:sz="2" w:space="0" w:color="000000"/>
              <w:left w:val="single" w:sz="2" w:space="0" w:color="000000"/>
              <w:bottom w:val="single" w:sz="2" w:space="0" w:color="000000"/>
              <w:right w:val="single" w:sz="2" w:space="0" w:color="000000"/>
            </w:tcBorders>
          </w:tcPr>
          <w:p w14:paraId="55BCBE51" w14:textId="77777777" w:rsidR="00053D93" w:rsidRDefault="00260B75">
            <w:pPr>
              <w:ind w:left="96"/>
              <w:jc w:val="center"/>
            </w:pPr>
            <w:r>
              <w:rPr>
                <w:rFonts w:ascii="Times New Roman" w:eastAsia="Times New Roman" w:hAnsi="Times New Roman" w:cs="Times New Roman"/>
              </w:rPr>
              <w:t>1 6/12/2024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4DE03CA" w14:textId="77777777" w:rsidR="00053D93" w:rsidRDefault="00260B75">
            <w:pPr>
              <w:ind w:right="14"/>
              <w:jc w:val="right"/>
            </w:pPr>
            <w:r>
              <w:rPr>
                <w:rFonts w:ascii="Times New Roman" w:eastAsia="Times New Roman" w:hAnsi="Times New Roman" w:cs="Times New Roman"/>
              </w:rPr>
              <w:t>2,480.oo</w:t>
            </w:r>
          </w:p>
        </w:tc>
      </w:tr>
      <w:tr w:rsidR="00053D93" w14:paraId="77939CC4" w14:textId="77777777">
        <w:trPr>
          <w:trHeight w:val="533"/>
        </w:trPr>
        <w:tc>
          <w:tcPr>
            <w:tcW w:w="0" w:type="auto"/>
            <w:vMerge/>
            <w:tcBorders>
              <w:top w:val="nil"/>
              <w:left w:val="nil"/>
              <w:bottom w:val="nil"/>
              <w:right w:val="single" w:sz="2" w:space="0" w:color="000000"/>
            </w:tcBorders>
          </w:tcPr>
          <w:p w14:paraId="18373680"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19329D5A" w14:textId="77777777" w:rsidR="00053D93" w:rsidRDefault="00260B75">
            <w:pPr>
              <w:ind w:left="104"/>
            </w:pPr>
            <w:r>
              <w:rPr>
                <w:rFonts w:ascii="Times New Roman" w:eastAsia="Times New Roman" w:hAnsi="Times New Roman" w:cs="Times New Roman"/>
              </w:rPr>
              <w:t>151</w:t>
            </w:r>
          </w:p>
        </w:tc>
        <w:tc>
          <w:tcPr>
            <w:tcW w:w="1279" w:type="dxa"/>
            <w:tcBorders>
              <w:top w:val="single" w:sz="2" w:space="0" w:color="000000"/>
              <w:left w:val="single" w:sz="2" w:space="0" w:color="000000"/>
              <w:bottom w:val="single" w:sz="2" w:space="0" w:color="000000"/>
              <w:right w:val="single" w:sz="2" w:space="0" w:color="000000"/>
            </w:tcBorders>
          </w:tcPr>
          <w:p w14:paraId="45CB38CC" w14:textId="77777777" w:rsidR="00053D93" w:rsidRDefault="00260B75">
            <w:pPr>
              <w:ind w:left="122"/>
            </w:pPr>
            <w:r>
              <w:rPr>
                <w:rFonts w:ascii="Times New Roman" w:eastAsia="Times New Roman" w:hAnsi="Times New Roman" w:cs="Times New Roman"/>
              </w:rPr>
              <w:t>E553811398</w:t>
            </w:r>
          </w:p>
        </w:tc>
        <w:tc>
          <w:tcPr>
            <w:tcW w:w="1428" w:type="dxa"/>
            <w:tcBorders>
              <w:top w:val="single" w:sz="2" w:space="0" w:color="000000"/>
              <w:left w:val="single" w:sz="2" w:space="0" w:color="000000"/>
              <w:bottom w:val="single" w:sz="2" w:space="0" w:color="000000"/>
              <w:right w:val="nil"/>
            </w:tcBorders>
          </w:tcPr>
          <w:p w14:paraId="204EBF4E" w14:textId="77777777" w:rsidR="00053D93" w:rsidRDefault="00260B75">
            <w:pPr>
              <w:ind w:left="233"/>
              <w:jc w:val="center"/>
            </w:pPr>
            <w:r>
              <w:rPr>
                <w:rFonts w:ascii="Times New Roman" w:eastAsia="Times New Roman" w:hAnsi="Times New Roman" w:cs="Times New Roman"/>
              </w:rPr>
              <w:t>2024-22828</w:t>
            </w:r>
          </w:p>
        </w:tc>
        <w:tc>
          <w:tcPr>
            <w:tcW w:w="151" w:type="dxa"/>
            <w:tcBorders>
              <w:top w:val="single" w:sz="2" w:space="0" w:color="000000"/>
              <w:left w:val="nil"/>
              <w:bottom w:val="single" w:sz="2" w:space="0" w:color="000000"/>
              <w:right w:val="single" w:sz="2" w:space="0" w:color="000000"/>
            </w:tcBorders>
          </w:tcPr>
          <w:p w14:paraId="080DDAF9"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16962873" w14:textId="77777777" w:rsidR="00053D93" w:rsidRDefault="00260B75">
            <w:pPr>
              <w:ind w:left="67"/>
              <w:jc w:val="center"/>
            </w:pPr>
            <w:r>
              <w:rPr>
                <w:rFonts w:ascii="Times New Roman" w:eastAsia="Times New Roman" w:hAnsi="Times New Roman" w:cs="Times New Roman"/>
                <w:sz w:val="20"/>
              </w:rPr>
              <w:t>4/10/2024</w:t>
            </w:r>
          </w:p>
        </w:tc>
        <w:tc>
          <w:tcPr>
            <w:tcW w:w="1911" w:type="dxa"/>
            <w:tcBorders>
              <w:top w:val="single" w:sz="2" w:space="0" w:color="000000"/>
              <w:left w:val="single" w:sz="2" w:space="0" w:color="000000"/>
              <w:bottom w:val="single" w:sz="2" w:space="0" w:color="000000"/>
              <w:right w:val="single" w:sz="2" w:space="0" w:color="000000"/>
            </w:tcBorders>
          </w:tcPr>
          <w:p w14:paraId="199A7AC7" w14:textId="77777777" w:rsidR="00053D93" w:rsidRDefault="00260B75">
            <w:pPr>
              <w:ind w:left="89"/>
              <w:jc w:val="center"/>
            </w:pPr>
            <w:r>
              <w:rPr>
                <w:rFonts w:ascii="Times New Roman" w:eastAsia="Times New Roman" w:hAnsi="Times New Roman" w:cs="Times New Roman"/>
              </w:rPr>
              <w:t>16/12/2024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5664E435" w14:textId="77777777" w:rsidR="00053D93" w:rsidRDefault="00260B75">
            <w:pPr>
              <w:ind w:right="14"/>
              <w:jc w:val="right"/>
            </w:pPr>
            <w:r>
              <w:rPr>
                <w:rFonts w:ascii="Times New Roman" w:eastAsia="Times New Roman" w:hAnsi="Times New Roman" w:cs="Times New Roman"/>
              </w:rPr>
              <w:t>24,993.93</w:t>
            </w:r>
          </w:p>
        </w:tc>
      </w:tr>
      <w:tr w:rsidR="00053D93" w14:paraId="29843DF0" w14:textId="77777777">
        <w:trPr>
          <w:trHeight w:val="528"/>
        </w:trPr>
        <w:tc>
          <w:tcPr>
            <w:tcW w:w="0" w:type="auto"/>
            <w:vMerge/>
            <w:tcBorders>
              <w:top w:val="nil"/>
              <w:left w:val="nil"/>
              <w:bottom w:val="nil"/>
              <w:right w:val="single" w:sz="2" w:space="0" w:color="000000"/>
            </w:tcBorders>
          </w:tcPr>
          <w:p w14:paraId="74F21166"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05925C30" w14:textId="77777777" w:rsidR="00053D93" w:rsidRDefault="00260B75">
            <w:pPr>
              <w:ind w:left="104"/>
            </w:pPr>
            <w:r>
              <w:rPr>
                <w:rFonts w:ascii="Times New Roman" w:eastAsia="Times New Roman" w:hAnsi="Times New Roman" w:cs="Times New Roman"/>
              </w:rPr>
              <w:t>152</w:t>
            </w:r>
          </w:p>
        </w:tc>
        <w:tc>
          <w:tcPr>
            <w:tcW w:w="1279" w:type="dxa"/>
            <w:tcBorders>
              <w:top w:val="single" w:sz="2" w:space="0" w:color="000000"/>
              <w:left w:val="single" w:sz="2" w:space="0" w:color="000000"/>
              <w:bottom w:val="single" w:sz="2" w:space="0" w:color="000000"/>
              <w:right w:val="single" w:sz="2" w:space="0" w:color="000000"/>
            </w:tcBorders>
          </w:tcPr>
          <w:p w14:paraId="5AE740BA" w14:textId="77777777" w:rsidR="00053D93" w:rsidRDefault="00260B75">
            <w:pPr>
              <w:ind w:left="115"/>
            </w:pPr>
            <w:r>
              <w:rPr>
                <w:rFonts w:ascii="Times New Roman" w:eastAsia="Times New Roman" w:hAnsi="Times New Roman" w:cs="Times New Roman"/>
              </w:rPr>
              <w:t>E553812106</w:t>
            </w:r>
          </w:p>
        </w:tc>
        <w:tc>
          <w:tcPr>
            <w:tcW w:w="1428" w:type="dxa"/>
            <w:tcBorders>
              <w:top w:val="single" w:sz="2" w:space="0" w:color="000000"/>
              <w:left w:val="single" w:sz="2" w:space="0" w:color="000000"/>
              <w:bottom w:val="single" w:sz="2" w:space="0" w:color="000000"/>
              <w:right w:val="nil"/>
            </w:tcBorders>
          </w:tcPr>
          <w:p w14:paraId="74AB0E9C" w14:textId="77777777" w:rsidR="00053D93" w:rsidRDefault="00260B75">
            <w:pPr>
              <w:ind w:left="233"/>
              <w:jc w:val="center"/>
            </w:pPr>
            <w:r>
              <w:rPr>
                <w:rFonts w:ascii="Times New Roman" w:eastAsia="Times New Roman" w:hAnsi="Times New Roman" w:cs="Times New Roman"/>
                <w:sz w:val="20"/>
              </w:rPr>
              <w:t>2024-25939</w:t>
            </w:r>
          </w:p>
        </w:tc>
        <w:tc>
          <w:tcPr>
            <w:tcW w:w="151" w:type="dxa"/>
            <w:tcBorders>
              <w:top w:val="single" w:sz="2" w:space="0" w:color="000000"/>
              <w:left w:val="nil"/>
              <w:bottom w:val="single" w:sz="2" w:space="0" w:color="000000"/>
              <w:right w:val="single" w:sz="2" w:space="0" w:color="000000"/>
            </w:tcBorders>
          </w:tcPr>
          <w:p w14:paraId="615C7E37"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3462F473" w14:textId="77777777" w:rsidR="00053D93" w:rsidRDefault="00260B75">
            <w:pPr>
              <w:ind w:left="67"/>
              <w:jc w:val="center"/>
            </w:pPr>
            <w:r>
              <w:rPr>
                <w:rFonts w:ascii="Times New Roman" w:eastAsia="Times New Roman" w:hAnsi="Times New Roman" w:cs="Times New Roman"/>
                <w:sz w:val="20"/>
              </w:rPr>
              <w:t>4112/2024</w:t>
            </w:r>
          </w:p>
        </w:tc>
        <w:tc>
          <w:tcPr>
            <w:tcW w:w="1911" w:type="dxa"/>
            <w:tcBorders>
              <w:top w:val="single" w:sz="2" w:space="0" w:color="000000"/>
              <w:left w:val="single" w:sz="2" w:space="0" w:color="000000"/>
              <w:bottom w:val="single" w:sz="2" w:space="0" w:color="000000"/>
              <w:right w:val="single" w:sz="2" w:space="0" w:color="000000"/>
            </w:tcBorders>
          </w:tcPr>
          <w:p w14:paraId="5348ABE7" w14:textId="77777777" w:rsidR="00053D93" w:rsidRDefault="00260B75">
            <w:pPr>
              <w:ind w:left="89"/>
              <w:jc w:val="center"/>
            </w:pPr>
            <w:r>
              <w:rPr>
                <w:rFonts w:ascii="Times New Roman" w:eastAsia="Times New Roman" w:hAnsi="Times New Roman" w:cs="Times New Roman"/>
                <w:sz w:val="20"/>
              </w:rPr>
              <w:t>1 6112/2024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25F7ABBD" w14:textId="77777777" w:rsidR="00053D93" w:rsidRDefault="00260B75">
            <w:pPr>
              <w:ind w:right="14"/>
              <w:jc w:val="right"/>
            </w:pPr>
            <w:r>
              <w:rPr>
                <w:rFonts w:ascii="Times New Roman" w:eastAsia="Times New Roman" w:hAnsi="Times New Roman" w:cs="Times New Roman"/>
              </w:rPr>
              <w:t>18.000.00</w:t>
            </w:r>
          </w:p>
        </w:tc>
      </w:tr>
      <w:tr w:rsidR="00053D93" w14:paraId="4D09E308" w14:textId="77777777">
        <w:trPr>
          <w:trHeight w:val="533"/>
        </w:trPr>
        <w:tc>
          <w:tcPr>
            <w:tcW w:w="0" w:type="auto"/>
            <w:vMerge/>
            <w:tcBorders>
              <w:top w:val="nil"/>
              <w:left w:val="nil"/>
              <w:bottom w:val="nil"/>
              <w:right w:val="single" w:sz="2" w:space="0" w:color="000000"/>
            </w:tcBorders>
          </w:tcPr>
          <w:p w14:paraId="5148F694"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77287629" w14:textId="77777777" w:rsidR="00053D93" w:rsidRDefault="00260B75">
            <w:pPr>
              <w:ind w:left="96"/>
            </w:pPr>
            <w:r>
              <w:rPr>
                <w:rFonts w:ascii="Times New Roman" w:eastAsia="Times New Roman" w:hAnsi="Times New Roman" w:cs="Times New Roman"/>
              </w:rPr>
              <w:t>153</w:t>
            </w:r>
          </w:p>
        </w:tc>
        <w:tc>
          <w:tcPr>
            <w:tcW w:w="1279" w:type="dxa"/>
            <w:tcBorders>
              <w:top w:val="single" w:sz="2" w:space="0" w:color="000000"/>
              <w:left w:val="single" w:sz="2" w:space="0" w:color="000000"/>
              <w:bottom w:val="single" w:sz="2" w:space="0" w:color="000000"/>
              <w:right w:val="single" w:sz="2" w:space="0" w:color="000000"/>
            </w:tcBorders>
          </w:tcPr>
          <w:p w14:paraId="664A0066" w14:textId="77777777" w:rsidR="00053D93" w:rsidRDefault="00260B75">
            <w:pPr>
              <w:ind w:left="115"/>
            </w:pPr>
            <w:r>
              <w:rPr>
                <w:rFonts w:ascii="Times New Roman" w:eastAsia="Times New Roman" w:hAnsi="Times New Roman" w:cs="Times New Roman"/>
              </w:rPr>
              <w:t>E553920030</w:t>
            </w:r>
          </w:p>
        </w:tc>
        <w:tc>
          <w:tcPr>
            <w:tcW w:w="1428" w:type="dxa"/>
            <w:tcBorders>
              <w:top w:val="single" w:sz="2" w:space="0" w:color="000000"/>
              <w:left w:val="single" w:sz="2" w:space="0" w:color="000000"/>
              <w:bottom w:val="single" w:sz="2" w:space="0" w:color="000000"/>
              <w:right w:val="nil"/>
            </w:tcBorders>
          </w:tcPr>
          <w:p w14:paraId="3FFE2C7C" w14:textId="77777777" w:rsidR="00053D93" w:rsidRDefault="00260B75">
            <w:pPr>
              <w:ind w:left="226"/>
              <w:jc w:val="center"/>
            </w:pPr>
            <w:r>
              <w:rPr>
                <w:rFonts w:ascii="Times New Roman" w:eastAsia="Times New Roman" w:hAnsi="Times New Roman" w:cs="Times New Roman"/>
              </w:rPr>
              <w:t>2024-26203</w:t>
            </w:r>
          </w:p>
        </w:tc>
        <w:tc>
          <w:tcPr>
            <w:tcW w:w="151" w:type="dxa"/>
            <w:tcBorders>
              <w:top w:val="single" w:sz="2" w:space="0" w:color="000000"/>
              <w:left w:val="nil"/>
              <w:bottom w:val="single" w:sz="2" w:space="0" w:color="000000"/>
              <w:right w:val="single" w:sz="2" w:space="0" w:color="000000"/>
            </w:tcBorders>
          </w:tcPr>
          <w:p w14:paraId="14FD6C50"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5930F5AE" w14:textId="77777777" w:rsidR="00053D93" w:rsidRDefault="00260B75">
            <w:pPr>
              <w:ind w:left="67"/>
              <w:jc w:val="center"/>
            </w:pPr>
            <w:r>
              <w:rPr>
                <w:rFonts w:ascii="Times New Roman" w:eastAsia="Times New Roman" w:hAnsi="Times New Roman" w:cs="Times New Roman"/>
                <w:sz w:val="20"/>
              </w:rPr>
              <w:t>6112/2024</w:t>
            </w:r>
          </w:p>
        </w:tc>
        <w:tc>
          <w:tcPr>
            <w:tcW w:w="1911" w:type="dxa"/>
            <w:tcBorders>
              <w:top w:val="single" w:sz="2" w:space="0" w:color="000000"/>
              <w:left w:val="single" w:sz="2" w:space="0" w:color="000000"/>
              <w:bottom w:val="single" w:sz="2" w:space="0" w:color="000000"/>
              <w:right w:val="single" w:sz="2" w:space="0" w:color="000000"/>
            </w:tcBorders>
          </w:tcPr>
          <w:p w14:paraId="464DEC07" w14:textId="77777777" w:rsidR="00053D93" w:rsidRDefault="00260B75">
            <w:pPr>
              <w:ind w:left="82"/>
              <w:jc w:val="center"/>
            </w:pPr>
            <w:r>
              <w:rPr>
                <w:rFonts w:ascii="Times New Roman" w:eastAsia="Times New Roman" w:hAnsi="Times New Roman" w:cs="Times New Roman"/>
              </w:rPr>
              <w:t>1 7/12/2024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36649DE3" w14:textId="77777777" w:rsidR="00053D93" w:rsidRDefault="00260B75">
            <w:pPr>
              <w:ind w:left="410"/>
            </w:pPr>
            <w:r>
              <w:rPr>
                <w:rFonts w:ascii="Times New Roman" w:eastAsia="Times New Roman" w:hAnsi="Times New Roman" w:cs="Times New Roman"/>
              </w:rPr>
              <w:t>24,700.00</w:t>
            </w:r>
          </w:p>
        </w:tc>
      </w:tr>
      <w:tr w:rsidR="00053D93" w14:paraId="7A340EA9" w14:textId="77777777">
        <w:trPr>
          <w:trHeight w:val="533"/>
        </w:trPr>
        <w:tc>
          <w:tcPr>
            <w:tcW w:w="0" w:type="auto"/>
            <w:vMerge/>
            <w:tcBorders>
              <w:top w:val="nil"/>
              <w:left w:val="nil"/>
              <w:bottom w:val="nil"/>
              <w:right w:val="single" w:sz="2" w:space="0" w:color="000000"/>
            </w:tcBorders>
          </w:tcPr>
          <w:p w14:paraId="0F579462"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2DE42B5A" w14:textId="77777777" w:rsidR="00053D93" w:rsidRDefault="00260B75">
            <w:pPr>
              <w:ind w:left="96"/>
            </w:pPr>
            <w:r>
              <w:rPr>
                <w:rFonts w:ascii="Times New Roman" w:eastAsia="Times New Roman" w:hAnsi="Times New Roman" w:cs="Times New Roman"/>
              </w:rPr>
              <w:t>154</w:t>
            </w:r>
          </w:p>
        </w:tc>
        <w:tc>
          <w:tcPr>
            <w:tcW w:w="1279" w:type="dxa"/>
            <w:tcBorders>
              <w:top w:val="single" w:sz="2" w:space="0" w:color="000000"/>
              <w:left w:val="single" w:sz="2" w:space="0" w:color="000000"/>
              <w:bottom w:val="single" w:sz="2" w:space="0" w:color="000000"/>
              <w:right w:val="single" w:sz="2" w:space="0" w:color="000000"/>
            </w:tcBorders>
          </w:tcPr>
          <w:p w14:paraId="255FD491" w14:textId="77777777" w:rsidR="00053D93" w:rsidRDefault="00260B75">
            <w:pPr>
              <w:ind w:left="115"/>
            </w:pPr>
            <w:r>
              <w:rPr>
                <w:rFonts w:ascii="Times New Roman" w:eastAsia="Times New Roman" w:hAnsi="Times New Roman" w:cs="Times New Roman"/>
              </w:rPr>
              <w:t>E553924125</w:t>
            </w:r>
          </w:p>
        </w:tc>
        <w:tc>
          <w:tcPr>
            <w:tcW w:w="1428" w:type="dxa"/>
            <w:tcBorders>
              <w:top w:val="single" w:sz="2" w:space="0" w:color="000000"/>
              <w:left w:val="single" w:sz="2" w:space="0" w:color="000000"/>
              <w:bottom w:val="single" w:sz="2" w:space="0" w:color="000000"/>
              <w:right w:val="nil"/>
            </w:tcBorders>
          </w:tcPr>
          <w:p w14:paraId="686A9358" w14:textId="77777777" w:rsidR="00053D93" w:rsidRDefault="00260B75">
            <w:pPr>
              <w:ind w:left="197"/>
              <w:jc w:val="center"/>
            </w:pPr>
            <w:r>
              <w:rPr>
                <w:rFonts w:ascii="Times New Roman" w:eastAsia="Times New Roman" w:hAnsi="Times New Roman" w:cs="Times New Roman"/>
                <w:sz w:val="20"/>
              </w:rPr>
              <w:t>2024-26161</w:t>
            </w:r>
          </w:p>
        </w:tc>
        <w:tc>
          <w:tcPr>
            <w:tcW w:w="151" w:type="dxa"/>
            <w:tcBorders>
              <w:top w:val="single" w:sz="2" w:space="0" w:color="000000"/>
              <w:left w:val="nil"/>
              <w:bottom w:val="single" w:sz="2" w:space="0" w:color="000000"/>
              <w:right w:val="single" w:sz="2" w:space="0" w:color="000000"/>
            </w:tcBorders>
          </w:tcPr>
          <w:p w14:paraId="5BA37A8C"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29A1360F" w14:textId="77777777" w:rsidR="00053D93" w:rsidRDefault="00260B75">
            <w:pPr>
              <w:ind w:left="60"/>
              <w:jc w:val="center"/>
            </w:pPr>
            <w:r>
              <w:rPr>
                <w:rFonts w:ascii="Times New Roman" w:eastAsia="Times New Roman" w:hAnsi="Times New Roman" w:cs="Times New Roman"/>
                <w:sz w:val="20"/>
              </w:rPr>
              <w:t>6112/2024</w:t>
            </w:r>
          </w:p>
        </w:tc>
        <w:tc>
          <w:tcPr>
            <w:tcW w:w="1911" w:type="dxa"/>
            <w:tcBorders>
              <w:top w:val="single" w:sz="2" w:space="0" w:color="000000"/>
              <w:left w:val="single" w:sz="2" w:space="0" w:color="000000"/>
              <w:bottom w:val="single" w:sz="2" w:space="0" w:color="000000"/>
              <w:right w:val="single" w:sz="2" w:space="0" w:color="000000"/>
            </w:tcBorders>
          </w:tcPr>
          <w:p w14:paraId="28A3B830" w14:textId="77777777" w:rsidR="00053D93" w:rsidRDefault="00260B75">
            <w:pPr>
              <w:ind w:left="75"/>
              <w:jc w:val="center"/>
            </w:pPr>
            <w:r>
              <w:rPr>
                <w:rFonts w:ascii="Times New Roman" w:eastAsia="Times New Roman" w:hAnsi="Times New Roman" w:cs="Times New Roman"/>
              </w:rPr>
              <w:t>17/12/2024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2BDDE201" w14:textId="77777777" w:rsidR="00053D93" w:rsidRDefault="00260B75">
            <w:pPr>
              <w:ind w:right="22"/>
              <w:jc w:val="right"/>
            </w:pPr>
            <w:r>
              <w:rPr>
                <w:rFonts w:ascii="Times New Roman" w:eastAsia="Times New Roman" w:hAnsi="Times New Roman" w:cs="Times New Roman"/>
              </w:rPr>
              <w:t>2,375.oo</w:t>
            </w:r>
          </w:p>
        </w:tc>
      </w:tr>
      <w:tr w:rsidR="00053D93" w14:paraId="298E5C09" w14:textId="77777777">
        <w:trPr>
          <w:trHeight w:val="526"/>
        </w:trPr>
        <w:tc>
          <w:tcPr>
            <w:tcW w:w="0" w:type="auto"/>
            <w:vMerge/>
            <w:tcBorders>
              <w:top w:val="nil"/>
              <w:left w:val="nil"/>
              <w:bottom w:val="nil"/>
              <w:right w:val="single" w:sz="2" w:space="0" w:color="000000"/>
            </w:tcBorders>
          </w:tcPr>
          <w:p w14:paraId="3A23627B"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7A85D089" w14:textId="77777777" w:rsidR="00053D93" w:rsidRDefault="00260B75">
            <w:pPr>
              <w:ind w:left="96"/>
            </w:pPr>
            <w:r>
              <w:rPr>
                <w:rFonts w:ascii="Times New Roman" w:eastAsia="Times New Roman" w:hAnsi="Times New Roman" w:cs="Times New Roman"/>
              </w:rPr>
              <w:t>155</w:t>
            </w:r>
          </w:p>
        </w:tc>
        <w:tc>
          <w:tcPr>
            <w:tcW w:w="1279" w:type="dxa"/>
            <w:tcBorders>
              <w:top w:val="single" w:sz="2" w:space="0" w:color="000000"/>
              <w:left w:val="single" w:sz="2" w:space="0" w:color="000000"/>
              <w:bottom w:val="single" w:sz="2" w:space="0" w:color="000000"/>
              <w:right w:val="single" w:sz="2" w:space="0" w:color="000000"/>
            </w:tcBorders>
          </w:tcPr>
          <w:p w14:paraId="7A9E1F63" w14:textId="77777777" w:rsidR="00053D93" w:rsidRDefault="00260B75">
            <w:pPr>
              <w:ind w:left="108"/>
            </w:pPr>
            <w:r>
              <w:rPr>
                <w:rFonts w:ascii="Times New Roman" w:eastAsia="Times New Roman" w:hAnsi="Times New Roman" w:cs="Times New Roman"/>
              </w:rPr>
              <w:t>E553927329</w:t>
            </w:r>
          </w:p>
        </w:tc>
        <w:tc>
          <w:tcPr>
            <w:tcW w:w="1428" w:type="dxa"/>
            <w:tcBorders>
              <w:top w:val="single" w:sz="2" w:space="0" w:color="000000"/>
              <w:left w:val="single" w:sz="2" w:space="0" w:color="000000"/>
              <w:bottom w:val="single" w:sz="2" w:space="0" w:color="000000"/>
              <w:right w:val="nil"/>
            </w:tcBorders>
          </w:tcPr>
          <w:p w14:paraId="1F27107A" w14:textId="77777777" w:rsidR="00053D93" w:rsidRDefault="00260B75">
            <w:pPr>
              <w:ind w:left="211"/>
              <w:jc w:val="center"/>
            </w:pPr>
            <w:r>
              <w:rPr>
                <w:rFonts w:ascii="Times New Roman" w:eastAsia="Times New Roman" w:hAnsi="Times New Roman" w:cs="Times New Roman"/>
                <w:sz w:val="20"/>
              </w:rPr>
              <w:t>2024-26296</w:t>
            </w:r>
          </w:p>
        </w:tc>
        <w:tc>
          <w:tcPr>
            <w:tcW w:w="151" w:type="dxa"/>
            <w:tcBorders>
              <w:top w:val="single" w:sz="2" w:space="0" w:color="000000"/>
              <w:left w:val="nil"/>
              <w:bottom w:val="single" w:sz="2" w:space="0" w:color="000000"/>
              <w:right w:val="single" w:sz="2" w:space="0" w:color="000000"/>
            </w:tcBorders>
          </w:tcPr>
          <w:p w14:paraId="38AFE75F"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4F4BF330" w14:textId="77777777" w:rsidR="00053D93" w:rsidRDefault="00260B75">
            <w:pPr>
              <w:ind w:left="53"/>
              <w:jc w:val="center"/>
            </w:pPr>
            <w:r>
              <w:rPr>
                <w:rFonts w:ascii="Times New Roman" w:eastAsia="Times New Roman" w:hAnsi="Times New Roman" w:cs="Times New Roman"/>
                <w:sz w:val="20"/>
              </w:rPr>
              <w:t>6/12/2024</w:t>
            </w:r>
          </w:p>
        </w:tc>
        <w:tc>
          <w:tcPr>
            <w:tcW w:w="1911" w:type="dxa"/>
            <w:tcBorders>
              <w:top w:val="single" w:sz="2" w:space="0" w:color="000000"/>
              <w:left w:val="single" w:sz="2" w:space="0" w:color="000000"/>
              <w:bottom w:val="single" w:sz="2" w:space="0" w:color="000000"/>
              <w:right w:val="single" w:sz="2" w:space="0" w:color="000000"/>
            </w:tcBorders>
          </w:tcPr>
          <w:p w14:paraId="2FBD63D0" w14:textId="77777777" w:rsidR="00053D93" w:rsidRDefault="00260B75">
            <w:pPr>
              <w:ind w:left="67"/>
              <w:jc w:val="center"/>
            </w:pPr>
            <w:r>
              <w:rPr>
                <w:rFonts w:ascii="Times New Roman" w:eastAsia="Times New Roman" w:hAnsi="Times New Roman" w:cs="Times New Roman"/>
                <w:sz w:val="20"/>
              </w:rPr>
              <w:t>1 7112/2024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0FAAE135" w14:textId="77777777" w:rsidR="00053D93" w:rsidRDefault="00260B75">
            <w:pPr>
              <w:ind w:left="410"/>
            </w:pPr>
            <w:r>
              <w:rPr>
                <w:rFonts w:ascii="Times New Roman" w:eastAsia="Times New Roman" w:hAnsi="Times New Roman" w:cs="Times New Roman"/>
                <w:sz w:val="20"/>
              </w:rPr>
              <w:t>121000.00</w:t>
            </w:r>
          </w:p>
        </w:tc>
      </w:tr>
      <w:tr w:rsidR="00053D93" w14:paraId="064C0143" w14:textId="77777777">
        <w:trPr>
          <w:trHeight w:val="526"/>
        </w:trPr>
        <w:tc>
          <w:tcPr>
            <w:tcW w:w="0" w:type="auto"/>
            <w:vMerge/>
            <w:tcBorders>
              <w:top w:val="nil"/>
              <w:left w:val="nil"/>
              <w:bottom w:val="nil"/>
              <w:right w:val="single" w:sz="2" w:space="0" w:color="000000"/>
            </w:tcBorders>
          </w:tcPr>
          <w:p w14:paraId="556D9E6F"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6963E801" w14:textId="77777777" w:rsidR="00053D93" w:rsidRDefault="00260B75">
            <w:pPr>
              <w:ind w:left="89"/>
            </w:pPr>
            <w:r>
              <w:rPr>
                <w:rFonts w:ascii="Times New Roman" w:eastAsia="Times New Roman" w:hAnsi="Times New Roman" w:cs="Times New Roman"/>
              </w:rPr>
              <w:t>156</w:t>
            </w:r>
          </w:p>
        </w:tc>
        <w:tc>
          <w:tcPr>
            <w:tcW w:w="1279" w:type="dxa"/>
            <w:tcBorders>
              <w:top w:val="single" w:sz="2" w:space="0" w:color="000000"/>
              <w:left w:val="single" w:sz="2" w:space="0" w:color="000000"/>
              <w:bottom w:val="single" w:sz="2" w:space="0" w:color="000000"/>
              <w:right w:val="single" w:sz="2" w:space="0" w:color="000000"/>
            </w:tcBorders>
          </w:tcPr>
          <w:p w14:paraId="38C86CD8" w14:textId="77777777" w:rsidR="00053D93" w:rsidRDefault="00260B75">
            <w:pPr>
              <w:ind w:left="101"/>
            </w:pPr>
            <w:r>
              <w:rPr>
                <w:rFonts w:ascii="Times New Roman" w:eastAsia="Times New Roman" w:hAnsi="Times New Roman" w:cs="Times New Roman"/>
              </w:rPr>
              <w:t>E553976745</w:t>
            </w:r>
          </w:p>
        </w:tc>
        <w:tc>
          <w:tcPr>
            <w:tcW w:w="1428" w:type="dxa"/>
            <w:tcBorders>
              <w:top w:val="single" w:sz="2" w:space="0" w:color="000000"/>
              <w:left w:val="single" w:sz="2" w:space="0" w:color="000000"/>
              <w:bottom w:val="single" w:sz="2" w:space="0" w:color="000000"/>
              <w:right w:val="nil"/>
            </w:tcBorders>
          </w:tcPr>
          <w:p w14:paraId="7C046552" w14:textId="77777777" w:rsidR="00053D93" w:rsidRDefault="00260B75">
            <w:pPr>
              <w:ind w:left="204"/>
              <w:jc w:val="center"/>
            </w:pPr>
            <w:r>
              <w:rPr>
                <w:rFonts w:ascii="Times New Roman" w:eastAsia="Times New Roman" w:hAnsi="Times New Roman" w:cs="Times New Roman"/>
                <w:sz w:val="20"/>
              </w:rPr>
              <w:t>2024-26297</w:t>
            </w:r>
          </w:p>
        </w:tc>
        <w:tc>
          <w:tcPr>
            <w:tcW w:w="151" w:type="dxa"/>
            <w:tcBorders>
              <w:top w:val="single" w:sz="2" w:space="0" w:color="000000"/>
              <w:left w:val="nil"/>
              <w:bottom w:val="single" w:sz="2" w:space="0" w:color="000000"/>
              <w:right w:val="single" w:sz="2" w:space="0" w:color="000000"/>
            </w:tcBorders>
          </w:tcPr>
          <w:p w14:paraId="4FAFE63C"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2A2077EC" w14:textId="77777777" w:rsidR="00053D93" w:rsidRDefault="00260B75">
            <w:pPr>
              <w:ind w:left="46"/>
              <w:jc w:val="center"/>
            </w:pPr>
            <w:r>
              <w:rPr>
                <w:rFonts w:ascii="Times New Roman" w:eastAsia="Times New Roman" w:hAnsi="Times New Roman" w:cs="Times New Roman"/>
                <w:sz w:val="20"/>
              </w:rPr>
              <w:t>6/12/2024</w:t>
            </w:r>
          </w:p>
        </w:tc>
        <w:tc>
          <w:tcPr>
            <w:tcW w:w="1911" w:type="dxa"/>
            <w:tcBorders>
              <w:top w:val="single" w:sz="2" w:space="0" w:color="000000"/>
              <w:left w:val="single" w:sz="2" w:space="0" w:color="000000"/>
              <w:bottom w:val="single" w:sz="2" w:space="0" w:color="000000"/>
              <w:right w:val="single" w:sz="2" w:space="0" w:color="000000"/>
            </w:tcBorders>
          </w:tcPr>
          <w:p w14:paraId="3AA55055" w14:textId="77777777" w:rsidR="00053D93" w:rsidRDefault="00260B75">
            <w:pPr>
              <w:ind w:left="60"/>
              <w:jc w:val="center"/>
            </w:pPr>
            <w:r>
              <w:rPr>
                <w:rFonts w:ascii="Times New Roman" w:eastAsia="Times New Roman" w:hAnsi="Times New Roman" w:cs="Times New Roman"/>
                <w:sz w:val="20"/>
              </w:rPr>
              <w:t>1 8112/2024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73079E2C" w14:textId="77777777" w:rsidR="00053D93" w:rsidRDefault="00260B75">
            <w:pPr>
              <w:ind w:left="396"/>
            </w:pPr>
            <w:r>
              <w:rPr>
                <w:rFonts w:ascii="Times New Roman" w:eastAsia="Times New Roman" w:hAnsi="Times New Roman" w:cs="Times New Roman"/>
              </w:rPr>
              <w:t>25.000.00</w:t>
            </w:r>
          </w:p>
        </w:tc>
      </w:tr>
      <w:tr w:rsidR="00053D93" w14:paraId="5E69B19B" w14:textId="77777777">
        <w:trPr>
          <w:trHeight w:val="526"/>
        </w:trPr>
        <w:tc>
          <w:tcPr>
            <w:tcW w:w="0" w:type="auto"/>
            <w:vMerge/>
            <w:tcBorders>
              <w:top w:val="nil"/>
              <w:left w:val="nil"/>
              <w:bottom w:val="nil"/>
              <w:right w:val="single" w:sz="2" w:space="0" w:color="000000"/>
            </w:tcBorders>
          </w:tcPr>
          <w:p w14:paraId="2CD923CF"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213F8615" w14:textId="77777777" w:rsidR="00053D93" w:rsidRDefault="00260B75">
            <w:pPr>
              <w:ind w:left="89"/>
            </w:pPr>
            <w:r>
              <w:rPr>
                <w:rFonts w:ascii="Times New Roman" w:eastAsia="Times New Roman" w:hAnsi="Times New Roman" w:cs="Times New Roman"/>
              </w:rPr>
              <w:t>157</w:t>
            </w:r>
          </w:p>
        </w:tc>
        <w:tc>
          <w:tcPr>
            <w:tcW w:w="1279" w:type="dxa"/>
            <w:tcBorders>
              <w:top w:val="single" w:sz="2" w:space="0" w:color="000000"/>
              <w:left w:val="single" w:sz="2" w:space="0" w:color="000000"/>
              <w:bottom w:val="single" w:sz="2" w:space="0" w:color="000000"/>
              <w:right w:val="single" w:sz="2" w:space="0" w:color="000000"/>
            </w:tcBorders>
          </w:tcPr>
          <w:p w14:paraId="1D078ADB" w14:textId="77777777" w:rsidR="00053D93" w:rsidRDefault="00260B75">
            <w:pPr>
              <w:ind w:left="101"/>
            </w:pPr>
            <w:r>
              <w:rPr>
                <w:rFonts w:ascii="Times New Roman" w:eastAsia="Times New Roman" w:hAnsi="Times New Roman" w:cs="Times New Roman"/>
              </w:rPr>
              <w:t>E553978969</w:t>
            </w:r>
          </w:p>
        </w:tc>
        <w:tc>
          <w:tcPr>
            <w:tcW w:w="1428" w:type="dxa"/>
            <w:tcBorders>
              <w:top w:val="single" w:sz="2" w:space="0" w:color="000000"/>
              <w:left w:val="single" w:sz="2" w:space="0" w:color="000000"/>
              <w:bottom w:val="single" w:sz="2" w:space="0" w:color="000000"/>
              <w:right w:val="nil"/>
            </w:tcBorders>
          </w:tcPr>
          <w:p w14:paraId="4566A204" w14:textId="77777777" w:rsidR="00053D93" w:rsidRDefault="00260B75">
            <w:pPr>
              <w:ind w:left="204"/>
              <w:jc w:val="center"/>
            </w:pPr>
            <w:r>
              <w:rPr>
                <w:rFonts w:ascii="Times New Roman" w:eastAsia="Times New Roman" w:hAnsi="Times New Roman" w:cs="Times New Roman"/>
              </w:rPr>
              <w:t>2024-26295</w:t>
            </w:r>
          </w:p>
        </w:tc>
        <w:tc>
          <w:tcPr>
            <w:tcW w:w="151" w:type="dxa"/>
            <w:tcBorders>
              <w:top w:val="single" w:sz="2" w:space="0" w:color="000000"/>
              <w:left w:val="nil"/>
              <w:bottom w:val="single" w:sz="2" w:space="0" w:color="000000"/>
              <w:right w:val="single" w:sz="2" w:space="0" w:color="000000"/>
            </w:tcBorders>
          </w:tcPr>
          <w:p w14:paraId="0D623E9C"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0D08A145" w14:textId="77777777" w:rsidR="00053D93" w:rsidRDefault="00260B75">
            <w:pPr>
              <w:ind w:left="39"/>
              <w:jc w:val="center"/>
            </w:pPr>
            <w:r>
              <w:rPr>
                <w:rFonts w:ascii="Times New Roman" w:eastAsia="Times New Roman" w:hAnsi="Times New Roman" w:cs="Times New Roman"/>
                <w:sz w:val="20"/>
              </w:rPr>
              <w:t>6112/2024</w:t>
            </w:r>
          </w:p>
        </w:tc>
        <w:tc>
          <w:tcPr>
            <w:tcW w:w="1911" w:type="dxa"/>
            <w:tcBorders>
              <w:top w:val="single" w:sz="2" w:space="0" w:color="000000"/>
              <w:left w:val="single" w:sz="2" w:space="0" w:color="000000"/>
              <w:bottom w:val="single" w:sz="2" w:space="0" w:color="000000"/>
              <w:right w:val="single" w:sz="2" w:space="0" w:color="000000"/>
            </w:tcBorders>
          </w:tcPr>
          <w:p w14:paraId="1F1F8931" w14:textId="77777777" w:rsidR="00053D93" w:rsidRDefault="00260B75">
            <w:pPr>
              <w:ind w:left="53"/>
              <w:jc w:val="center"/>
            </w:pPr>
            <w:r>
              <w:rPr>
                <w:rFonts w:ascii="Times New Roman" w:eastAsia="Times New Roman" w:hAnsi="Times New Roman" w:cs="Times New Roman"/>
                <w:sz w:val="20"/>
              </w:rPr>
              <w:t>1 8112/2024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17DEEE53" w14:textId="77777777" w:rsidR="00053D93" w:rsidRDefault="00260B75">
            <w:pPr>
              <w:ind w:left="396"/>
            </w:pPr>
            <w:r>
              <w:rPr>
                <w:rFonts w:ascii="Times New Roman" w:eastAsia="Times New Roman" w:hAnsi="Times New Roman" w:cs="Times New Roman"/>
              </w:rPr>
              <w:t>25.000.00</w:t>
            </w:r>
          </w:p>
        </w:tc>
      </w:tr>
      <w:tr w:rsidR="00053D93" w14:paraId="7FF15FC9" w14:textId="77777777">
        <w:trPr>
          <w:trHeight w:val="533"/>
        </w:trPr>
        <w:tc>
          <w:tcPr>
            <w:tcW w:w="0" w:type="auto"/>
            <w:vMerge/>
            <w:tcBorders>
              <w:top w:val="nil"/>
              <w:left w:val="nil"/>
              <w:bottom w:val="nil"/>
              <w:right w:val="single" w:sz="2" w:space="0" w:color="000000"/>
            </w:tcBorders>
          </w:tcPr>
          <w:p w14:paraId="17CF5DC7"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094D664D" w14:textId="77777777" w:rsidR="00053D93" w:rsidRDefault="00260B75">
            <w:pPr>
              <w:ind w:left="82"/>
            </w:pPr>
            <w:r>
              <w:rPr>
                <w:rFonts w:ascii="Times New Roman" w:eastAsia="Times New Roman" w:hAnsi="Times New Roman" w:cs="Times New Roman"/>
              </w:rPr>
              <w:t>158</w:t>
            </w:r>
          </w:p>
        </w:tc>
        <w:tc>
          <w:tcPr>
            <w:tcW w:w="1279" w:type="dxa"/>
            <w:tcBorders>
              <w:top w:val="single" w:sz="2" w:space="0" w:color="000000"/>
              <w:left w:val="single" w:sz="2" w:space="0" w:color="000000"/>
              <w:bottom w:val="single" w:sz="2" w:space="0" w:color="000000"/>
              <w:right w:val="single" w:sz="2" w:space="0" w:color="000000"/>
            </w:tcBorders>
          </w:tcPr>
          <w:p w14:paraId="795A44A0" w14:textId="77777777" w:rsidR="00053D93" w:rsidRDefault="00260B75">
            <w:pPr>
              <w:ind w:left="101"/>
            </w:pPr>
            <w:r>
              <w:rPr>
                <w:rFonts w:ascii="Times New Roman" w:eastAsia="Times New Roman" w:hAnsi="Times New Roman" w:cs="Times New Roman"/>
              </w:rPr>
              <w:t>E554072203</w:t>
            </w:r>
          </w:p>
        </w:tc>
        <w:tc>
          <w:tcPr>
            <w:tcW w:w="1428" w:type="dxa"/>
            <w:tcBorders>
              <w:top w:val="single" w:sz="2" w:space="0" w:color="000000"/>
              <w:left w:val="single" w:sz="2" w:space="0" w:color="000000"/>
              <w:bottom w:val="single" w:sz="2" w:space="0" w:color="000000"/>
              <w:right w:val="nil"/>
            </w:tcBorders>
          </w:tcPr>
          <w:p w14:paraId="1707B838" w14:textId="77777777" w:rsidR="00053D93" w:rsidRDefault="00260B75">
            <w:pPr>
              <w:ind w:left="197"/>
              <w:jc w:val="center"/>
            </w:pPr>
            <w:r>
              <w:rPr>
                <w:rFonts w:ascii="Times New Roman" w:eastAsia="Times New Roman" w:hAnsi="Times New Roman" w:cs="Times New Roman"/>
                <w:sz w:val="20"/>
              </w:rPr>
              <w:t>2024-26376</w:t>
            </w:r>
          </w:p>
        </w:tc>
        <w:tc>
          <w:tcPr>
            <w:tcW w:w="151" w:type="dxa"/>
            <w:tcBorders>
              <w:top w:val="single" w:sz="2" w:space="0" w:color="000000"/>
              <w:left w:val="nil"/>
              <w:bottom w:val="single" w:sz="2" w:space="0" w:color="000000"/>
              <w:right w:val="single" w:sz="2" w:space="0" w:color="000000"/>
            </w:tcBorders>
          </w:tcPr>
          <w:p w14:paraId="1E330D32"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278DEA44" w14:textId="77777777" w:rsidR="00053D93" w:rsidRDefault="00260B75">
            <w:pPr>
              <w:ind w:left="39"/>
              <w:jc w:val="center"/>
            </w:pPr>
            <w:r>
              <w:rPr>
                <w:rFonts w:ascii="Times New Roman" w:eastAsia="Times New Roman" w:hAnsi="Times New Roman" w:cs="Times New Roman"/>
                <w:sz w:val="20"/>
              </w:rPr>
              <w:t>3112/2024</w:t>
            </w:r>
          </w:p>
        </w:tc>
        <w:tc>
          <w:tcPr>
            <w:tcW w:w="1911" w:type="dxa"/>
            <w:tcBorders>
              <w:top w:val="single" w:sz="2" w:space="0" w:color="000000"/>
              <w:left w:val="single" w:sz="2" w:space="0" w:color="000000"/>
              <w:bottom w:val="single" w:sz="2" w:space="0" w:color="000000"/>
              <w:right w:val="single" w:sz="2" w:space="0" w:color="000000"/>
            </w:tcBorders>
          </w:tcPr>
          <w:p w14:paraId="0A6107E6" w14:textId="77777777" w:rsidR="00053D93" w:rsidRDefault="00260B75">
            <w:pPr>
              <w:ind w:left="53"/>
              <w:jc w:val="center"/>
            </w:pPr>
            <w:r>
              <w:rPr>
                <w:rFonts w:ascii="Times New Roman" w:eastAsia="Times New Roman" w:hAnsi="Times New Roman" w:cs="Times New Roman"/>
                <w:sz w:val="20"/>
              </w:rPr>
              <w:t>1 9112/2024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4778CA30" w14:textId="77777777" w:rsidR="00053D93" w:rsidRDefault="00260B75">
            <w:pPr>
              <w:ind w:left="389"/>
            </w:pPr>
            <w:r>
              <w:rPr>
                <w:rFonts w:ascii="Times New Roman" w:eastAsia="Times New Roman" w:hAnsi="Times New Roman" w:cs="Times New Roman"/>
              </w:rPr>
              <w:t>23,275.oo</w:t>
            </w:r>
          </w:p>
        </w:tc>
      </w:tr>
      <w:tr w:rsidR="00053D93" w14:paraId="55C36C9D" w14:textId="77777777">
        <w:trPr>
          <w:trHeight w:val="533"/>
        </w:trPr>
        <w:tc>
          <w:tcPr>
            <w:tcW w:w="0" w:type="auto"/>
            <w:vMerge/>
            <w:tcBorders>
              <w:top w:val="nil"/>
              <w:left w:val="nil"/>
              <w:bottom w:val="nil"/>
              <w:right w:val="single" w:sz="2" w:space="0" w:color="000000"/>
            </w:tcBorders>
          </w:tcPr>
          <w:p w14:paraId="69F4A5BE"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69875073" w14:textId="77777777" w:rsidR="00053D93" w:rsidRDefault="00260B75">
            <w:pPr>
              <w:ind w:left="82"/>
            </w:pPr>
            <w:r>
              <w:rPr>
                <w:rFonts w:ascii="Times New Roman" w:eastAsia="Times New Roman" w:hAnsi="Times New Roman" w:cs="Times New Roman"/>
              </w:rPr>
              <w:t>159</w:t>
            </w:r>
          </w:p>
        </w:tc>
        <w:tc>
          <w:tcPr>
            <w:tcW w:w="1279" w:type="dxa"/>
            <w:tcBorders>
              <w:top w:val="single" w:sz="2" w:space="0" w:color="000000"/>
              <w:left w:val="single" w:sz="2" w:space="0" w:color="000000"/>
              <w:bottom w:val="single" w:sz="2" w:space="0" w:color="000000"/>
              <w:right w:val="single" w:sz="2" w:space="0" w:color="000000"/>
            </w:tcBorders>
          </w:tcPr>
          <w:p w14:paraId="0726313C" w14:textId="77777777" w:rsidR="00053D93" w:rsidRDefault="00260B75">
            <w:pPr>
              <w:ind w:left="101"/>
            </w:pPr>
            <w:r>
              <w:rPr>
                <w:rFonts w:ascii="Times New Roman" w:eastAsia="Times New Roman" w:hAnsi="Times New Roman" w:cs="Times New Roman"/>
              </w:rPr>
              <w:t>E554142546</w:t>
            </w:r>
          </w:p>
        </w:tc>
        <w:tc>
          <w:tcPr>
            <w:tcW w:w="1428" w:type="dxa"/>
            <w:tcBorders>
              <w:top w:val="single" w:sz="2" w:space="0" w:color="000000"/>
              <w:left w:val="single" w:sz="2" w:space="0" w:color="000000"/>
              <w:bottom w:val="single" w:sz="2" w:space="0" w:color="000000"/>
              <w:right w:val="nil"/>
            </w:tcBorders>
          </w:tcPr>
          <w:p w14:paraId="5F3B7C06" w14:textId="77777777" w:rsidR="00053D93" w:rsidRDefault="00260B75">
            <w:pPr>
              <w:ind w:left="190"/>
              <w:jc w:val="center"/>
            </w:pPr>
            <w:r>
              <w:rPr>
                <w:rFonts w:ascii="Times New Roman" w:eastAsia="Times New Roman" w:hAnsi="Times New Roman" w:cs="Times New Roman"/>
                <w:sz w:val="20"/>
              </w:rPr>
              <w:t>2024-25814</w:t>
            </w:r>
          </w:p>
        </w:tc>
        <w:tc>
          <w:tcPr>
            <w:tcW w:w="151" w:type="dxa"/>
            <w:tcBorders>
              <w:top w:val="single" w:sz="2" w:space="0" w:color="000000"/>
              <w:left w:val="nil"/>
              <w:bottom w:val="single" w:sz="2" w:space="0" w:color="000000"/>
              <w:right w:val="single" w:sz="2" w:space="0" w:color="000000"/>
            </w:tcBorders>
          </w:tcPr>
          <w:p w14:paraId="0811D8FC"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2FBDF71E" w14:textId="77777777" w:rsidR="00053D93" w:rsidRDefault="00260B75">
            <w:pPr>
              <w:ind w:left="39"/>
              <w:jc w:val="center"/>
            </w:pPr>
            <w:r>
              <w:rPr>
                <w:rFonts w:ascii="Times New Roman" w:eastAsia="Times New Roman" w:hAnsi="Times New Roman" w:cs="Times New Roman"/>
                <w:sz w:val="20"/>
              </w:rPr>
              <w:t>1 0112/2024</w:t>
            </w:r>
          </w:p>
        </w:tc>
        <w:tc>
          <w:tcPr>
            <w:tcW w:w="1911" w:type="dxa"/>
            <w:tcBorders>
              <w:top w:val="single" w:sz="2" w:space="0" w:color="000000"/>
              <w:left w:val="single" w:sz="2" w:space="0" w:color="000000"/>
              <w:bottom w:val="single" w:sz="2" w:space="0" w:color="000000"/>
              <w:right w:val="single" w:sz="2" w:space="0" w:color="000000"/>
            </w:tcBorders>
          </w:tcPr>
          <w:p w14:paraId="25BDFCE3" w14:textId="77777777" w:rsidR="00053D93" w:rsidRDefault="00260B75">
            <w:pPr>
              <w:ind w:left="46"/>
              <w:jc w:val="center"/>
            </w:pPr>
            <w:r>
              <w:rPr>
                <w:rFonts w:ascii="Times New Roman" w:eastAsia="Times New Roman" w:hAnsi="Times New Roman" w:cs="Times New Roman"/>
                <w:sz w:val="20"/>
              </w:rPr>
              <w:t>1 9/12/2024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049B52C8" w14:textId="77777777" w:rsidR="00053D93" w:rsidRDefault="00260B75">
            <w:pPr>
              <w:ind w:right="36"/>
              <w:jc w:val="right"/>
            </w:pPr>
            <w:r>
              <w:rPr>
                <w:rFonts w:ascii="Times New Roman" w:eastAsia="Times New Roman" w:hAnsi="Times New Roman" w:cs="Times New Roman"/>
                <w:sz w:val="20"/>
              </w:rPr>
              <w:t>5,26B.oo</w:t>
            </w:r>
          </w:p>
        </w:tc>
      </w:tr>
      <w:tr w:rsidR="00053D93" w14:paraId="119EC2E7" w14:textId="77777777">
        <w:trPr>
          <w:trHeight w:val="530"/>
        </w:trPr>
        <w:tc>
          <w:tcPr>
            <w:tcW w:w="0" w:type="auto"/>
            <w:vMerge/>
            <w:tcBorders>
              <w:top w:val="nil"/>
              <w:left w:val="nil"/>
              <w:bottom w:val="nil"/>
              <w:right w:val="single" w:sz="2" w:space="0" w:color="000000"/>
            </w:tcBorders>
          </w:tcPr>
          <w:p w14:paraId="452AB873" w14:textId="77777777" w:rsidR="00053D93" w:rsidRDefault="00053D93"/>
        </w:tc>
        <w:tc>
          <w:tcPr>
            <w:tcW w:w="586" w:type="dxa"/>
            <w:tcBorders>
              <w:top w:val="single" w:sz="2" w:space="0" w:color="000000"/>
              <w:left w:val="single" w:sz="2" w:space="0" w:color="000000"/>
              <w:bottom w:val="single" w:sz="2" w:space="0" w:color="000000"/>
              <w:right w:val="single" w:sz="2" w:space="0" w:color="000000"/>
            </w:tcBorders>
          </w:tcPr>
          <w:p w14:paraId="12F2DF75" w14:textId="77777777" w:rsidR="00053D93" w:rsidRDefault="00260B75">
            <w:pPr>
              <w:ind w:left="75"/>
            </w:pPr>
            <w:r>
              <w:rPr>
                <w:rFonts w:ascii="Times New Roman" w:eastAsia="Times New Roman" w:hAnsi="Times New Roman" w:cs="Times New Roman"/>
              </w:rPr>
              <w:t>160</w:t>
            </w:r>
          </w:p>
        </w:tc>
        <w:tc>
          <w:tcPr>
            <w:tcW w:w="1279" w:type="dxa"/>
            <w:tcBorders>
              <w:top w:val="single" w:sz="2" w:space="0" w:color="000000"/>
              <w:left w:val="single" w:sz="2" w:space="0" w:color="000000"/>
              <w:bottom w:val="single" w:sz="2" w:space="0" w:color="000000"/>
              <w:right w:val="single" w:sz="2" w:space="0" w:color="000000"/>
            </w:tcBorders>
          </w:tcPr>
          <w:p w14:paraId="0A735084" w14:textId="77777777" w:rsidR="00053D93" w:rsidRDefault="00260B75">
            <w:pPr>
              <w:ind w:left="94"/>
            </w:pPr>
            <w:r>
              <w:rPr>
                <w:rFonts w:ascii="Times New Roman" w:eastAsia="Times New Roman" w:hAnsi="Times New Roman" w:cs="Times New Roman"/>
              </w:rPr>
              <w:t>E550303502</w:t>
            </w:r>
          </w:p>
        </w:tc>
        <w:tc>
          <w:tcPr>
            <w:tcW w:w="1428" w:type="dxa"/>
            <w:tcBorders>
              <w:top w:val="single" w:sz="2" w:space="0" w:color="000000"/>
              <w:left w:val="single" w:sz="2" w:space="0" w:color="000000"/>
              <w:bottom w:val="single" w:sz="2" w:space="0" w:color="000000"/>
              <w:right w:val="nil"/>
            </w:tcBorders>
          </w:tcPr>
          <w:p w14:paraId="04E49699" w14:textId="77777777" w:rsidR="00053D93" w:rsidRDefault="00260B75">
            <w:pPr>
              <w:ind w:left="183"/>
              <w:jc w:val="center"/>
            </w:pPr>
            <w:r>
              <w:rPr>
                <w:rFonts w:ascii="Times New Roman" w:eastAsia="Times New Roman" w:hAnsi="Times New Roman" w:cs="Times New Roman"/>
                <w:sz w:val="20"/>
              </w:rPr>
              <w:t>2024-23174</w:t>
            </w:r>
          </w:p>
        </w:tc>
        <w:tc>
          <w:tcPr>
            <w:tcW w:w="151" w:type="dxa"/>
            <w:tcBorders>
              <w:top w:val="single" w:sz="2" w:space="0" w:color="000000"/>
              <w:left w:val="nil"/>
              <w:bottom w:val="single" w:sz="2" w:space="0" w:color="000000"/>
              <w:right w:val="single" w:sz="2" w:space="0" w:color="000000"/>
            </w:tcBorders>
          </w:tcPr>
          <w:p w14:paraId="5072195D" w14:textId="77777777" w:rsidR="00053D93" w:rsidRDefault="00053D93"/>
        </w:tc>
        <w:tc>
          <w:tcPr>
            <w:tcW w:w="1581" w:type="dxa"/>
            <w:tcBorders>
              <w:top w:val="single" w:sz="2" w:space="0" w:color="000000"/>
              <w:left w:val="single" w:sz="2" w:space="0" w:color="000000"/>
              <w:bottom w:val="single" w:sz="2" w:space="0" w:color="000000"/>
              <w:right w:val="single" w:sz="2" w:space="0" w:color="000000"/>
            </w:tcBorders>
          </w:tcPr>
          <w:p w14:paraId="4443DDF3" w14:textId="77777777" w:rsidR="00053D93" w:rsidRDefault="00260B75">
            <w:pPr>
              <w:ind w:left="24"/>
              <w:jc w:val="center"/>
            </w:pPr>
            <w:r>
              <w:rPr>
                <w:rFonts w:ascii="Times New Roman" w:eastAsia="Times New Roman" w:hAnsi="Times New Roman" w:cs="Times New Roman"/>
                <w:sz w:val="20"/>
              </w:rPr>
              <w:t>3110/2024</w:t>
            </w:r>
          </w:p>
        </w:tc>
        <w:tc>
          <w:tcPr>
            <w:tcW w:w="1911" w:type="dxa"/>
            <w:tcBorders>
              <w:top w:val="single" w:sz="2" w:space="0" w:color="000000"/>
              <w:left w:val="single" w:sz="2" w:space="0" w:color="000000"/>
              <w:bottom w:val="single" w:sz="2" w:space="0" w:color="000000"/>
              <w:right w:val="single" w:sz="2" w:space="0" w:color="000000"/>
            </w:tcBorders>
          </w:tcPr>
          <w:p w14:paraId="7AA692F5" w14:textId="77777777" w:rsidR="00053D93" w:rsidRDefault="00260B75">
            <w:pPr>
              <w:ind w:left="31"/>
              <w:jc w:val="center"/>
            </w:pPr>
            <w:r>
              <w:rPr>
                <w:rFonts w:ascii="Times New Roman" w:eastAsia="Times New Roman" w:hAnsi="Times New Roman" w:cs="Times New Roman"/>
              </w:rPr>
              <w:t>22/10/2024</w:t>
            </w:r>
          </w:p>
        </w:tc>
        <w:tc>
          <w:tcPr>
            <w:tcW w:w="1332" w:type="dxa"/>
            <w:tcBorders>
              <w:top w:val="single" w:sz="2" w:space="0" w:color="000000"/>
              <w:left w:val="single" w:sz="2" w:space="0" w:color="000000"/>
              <w:bottom w:val="single" w:sz="2" w:space="0" w:color="000000"/>
              <w:right w:val="single" w:sz="2" w:space="0" w:color="000000"/>
            </w:tcBorders>
            <w:vAlign w:val="bottom"/>
          </w:tcPr>
          <w:p w14:paraId="6360BF7B" w14:textId="77777777" w:rsidR="00053D93" w:rsidRDefault="00260B75">
            <w:pPr>
              <w:ind w:right="43"/>
              <w:jc w:val="right"/>
            </w:pPr>
            <w:r>
              <w:rPr>
                <w:rFonts w:ascii="Times New Roman" w:eastAsia="Times New Roman" w:hAnsi="Times New Roman" w:cs="Times New Roman"/>
              </w:rPr>
              <w:t>110.00</w:t>
            </w:r>
          </w:p>
        </w:tc>
      </w:tr>
      <w:tr w:rsidR="00053D93" w14:paraId="0AECB2DF" w14:textId="77777777">
        <w:trPr>
          <w:trHeight w:val="543"/>
        </w:trPr>
        <w:tc>
          <w:tcPr>
            <w:tcW w:w="0" w:type="auto"/>
            <w:vMerge/>
            <w:tcBorders>
              <w:top w:val="nil"/>
              <w:left w:val="nil"/>
              <w:bottom w:val="nil"/>
              <w:right w:val="single" w:sz="2" w:space="0" w:color="000000"/>
            </w:tcBorders>
          </w:tcPr>
          <w:p w14:paraId="12A7DD01" w14:textId="77777777" w:rsidR="00053D93" w:rsidRDefault="00053D93"/>
        </w:tc>
        <w:tc>
          <w:tcPr>
            <w:tcW w:w="3293" w:type="dxa"/>
            <w:gridSpan w:val="3"/>
            <w:tcBorders>
              <w:top w:val="single" w:sz="2" w:space="0" w:color="000000"/>
              <w:left w:val="single" w:sz="2" w:space="0" w:color="000000"/>
              <w:bottom w:val="single" w:sz="2" w:space="0" w:color="000000"/>
              <w:right w:val="nil"/>
            </w:tcBorders>
          </w:tcPr>
          <w:p w14:paraId="4CD634F9" w14:textId="77777777" w:rsidR="00053D93" w:rsidRDefault="00053D93"/>
        </w:tc>
        <w:tc>
          <w:tcPr>
            <w:tcW w:w="3643" w:type="dxa"/>
            <w:gridSpan w:val="3"/>
            <w:tcBorders>
              <w:top w:val="single" w:sz="2" w:space="0" w:color="000000"/>
              <w:left w:val="nil"/>
              <w:bottom w:val="single" w:sz="2" w:space="0" w:color="000000"/>
              <w:right w:val="single" w:sz="2" w:space="0" w:color="000000"/>
            </w:tcBorders>
          </w:tcPr>
          <w:p w14:paraId="50BB047B" w14:textId="77777777" w:rsidR="00053D93" w:rsidRDefault="00260B75">
            <w:r>
              <w:rPr>
                <w:rFonts w:ascii="Times New Roman" w:eastAsia="Times New Roman" w:hAnsi="Times New Roman" w:cs="Times New Roman"/>
                <w:sz w:val="24"/>
              </w:rPr>
              <w:t>TOTAL</w:t>
            </w:r>
          </w:p>
        </w:tc>
        <w:tc>
          <w:tcPr>
            <w:tcW w:w="1332" w:type="dxa"/>
            <w:tcBorders>
              <w:top w:val="single" w:sz="2" w:space="0" w:color="000000"/>
              <w:left w:val="single" w:sz="2" w:space="0" w:color="000000"/>
              <w:bottom w:val="single" w:sz="2" w:space="0" w:color="000000"/>
              <w:right w:val="single" w:sz="2" w:space="0" w:color="000000"/>
            </w:tcBorders>
            <w:vAlign w:val="bottom"/>
          </w:tcPr>
          <w:p w14:paraId="31A7BC39" w14:textId="77777777" w:rsidR="00053D93" w:rsidRDefault="00260B75">
            <w:pPr>
              <w:ind w:left="122"/>
            </w:pPr>
            <w:r>
              <w:rPr>
                <w:noProof/>
              </w:rPr>
              <w:drawing>
                <wp:inline distT="0" distB="0" distL="0" distR="0" wp14:anchorId="1C0E6141" wp14:editId="6EB5C9CF">
                  <wp:extent cx="699517" cy="114300"/>
                  <wp:effectExtent l="0" t="0" r="0" b="0"/>
                  <wp:docPr id="1435903" name="Picture 1435903"/>
                  <wp:cNvGraphicFramePr/>
                  <a:graphic xmlns:a="http://schemas.openxmlformats.org/drawingml/2006/main">
                    <a:graphicData uri="http://schemas.openxmlformats.org/drawingml/2006/picture">
                      <pic:pic xmlns:pic="http://schemas.openxmlformats.org/drawingml/2006/picture">
                        <pic:nvPicPr>
                          <pic:cNvPr id="1435903" name="Picture 1435903"/>
                          <pic:cNvPicPr/>
                        </pic:nvPicPr>
                        <pic:blipFill>
                          <a:blip r:embed="rId1859"/>
                          <a:stretch>
                            <a:fillRect/>
                          </a:stretch>
                        </pic:blipFill>
                        <pic:spPr>
                          <a:xfrm>
                            <a:off x="0" y="0"/>
                            <a:ext cx="699517" cy="114300"/>
                          </a:xfrm>
                          <a:prstGeom prst="rect">
                            <a:avLst/>
                          </a:prstGeom>
                        </pic:spPr>
                      </pic:pic>
                    </a:graphicData>
                  </a:graphic>
                </wp:inline>
              </w:drawing>
            </w:r>
          </w:p>
        </w:tc>
      </w:tr>
    </w:tbl>
    <w:p w14:paraId="3596D886" w14:textId="77777777" w:rsidR="00053D93" w:rsidRDefault="00260B75">
      <w:pPr>
        <w:spacing w:after="405"/>
        <w:ind w:left="979" w:right="180"/>
      </w:pPr>
      <w:r>
        <w:rPr>
          <w:rFonts w:ascii="Times New Roman" w:eastAsia="Times New Roman" w:hAnsi="Times New Roman" w:cs="Times New Roman"/>
          <w:sz w:val="18"/>
        </w:rPr>
        <w:t>Fuente: Elaboración propia por consultas realizadas al Sistema -GUATECOMPRAS-.</w:t>
      </w:r>
    </w:p>
    <w:p w14:paraId="76FD5967" w14:textId="77777777" w:rsidR="00053D93" w:rsidRDefault="00260B75">
      <w:pPr>
        <w:spacing w:after="22"/>
        <w:ind w:left="979"/>
      </w:pPr>
      <w:r>
        <w:rPr>
          <w:rFonts w:ascii="Times New Roman" w:eastAsia="Times New Roman" w:hAnsi="Times New Roman" w:cs="Times New Roman"/>
          <w:sz w:val="28"/>
        </w:rPr>
        <w:t>Criterio</w:t>
      </w:r>
    </w:p>
    <w:p w14:paraId="705BC49E" w14:textId="77777777" w:rsidR="00053D93" w:rsidRDefault="00260B75">
      <w:pPr>
        <w:spacing w:after="424" w:line="249" w:lineRule="auto"/>
        <w:ind w:left="958" w:firstLine="29"/>
        <w:jc w:val="both"/>
      </w:pPr>
      <w:r>
        <w:rPr>
          <w:rFonts w:ascii="Times New Roman" w:eastAsia="Times New Roman" w:hAnsi="Times New Roman" w:cs="Times New Roman"/>
          <w:sz w:val="26"/>
        </w:rPr>
        <w:t>El Decreto Número 57-92, del Congreso de la República de Guatemala, Ley de Contrataciones del Estado, Artículo 4 Bis. Sistema de información de Contrataciones y Adquisiciones del Estado, párrafo cuarto, establece: " Los sujetos obligados de conformidad con la presente Ley, publicarán en el sistema GUATECOMPRAS la información que la normativa vigente establezca como requisitos obligatorios, en los plazos establecidos en las normas, disposiciones reglamentarias y las resoluciones respectivas..." Artículo 43. Modalidades específicas, establece: "Las modalidades específicas de adquisición pública son: a) Compra de baja cuantía: Las compras de baja cuantía deberán publicarse en GUATECOMPRAS, una vez recibido el bien, servicio o suministro, debiendo publicar la documentación de respaldo, conforme al expediente administrativo que ampare la negociación realizada, por constituir información pública de oficio... '</w:t>
      </w:r>
      <w:r>
        <w:rPr>
          <w:noProof/>
        </w:rPr>
        <w:drawing>
          <wp:inline distT="0" distB="0" distL="0" distR="0" wp14:anchorId="4F0C0A2D" wp14:editId="1BEF437B">
            <wp:extent cx="13716" cy="41148"/>
            <wp:effectExtent l="0" t="0" r="0" b="0"/>
            <wp:docPr id="1435974" name="Picture 1435974"/>
            <wp:cNvGraphicFramePr/>
            <a:graphic xmlns:a="http://schemas.openxmlformats.org/drawingml/2006/main">
              <a:graphicData uri="http://schemas.openxmlformats.org/drawingml/2006/picture">
                <pic:pic xmlns:pic="http://schemas.openxmlformats.org/drawingml/2006/picture">
                  <pic:nvPicPr>
                    <pic:cNvPr id="1435974" name="Picture 1435974"/>
                    <pic:cNvPicPr/>
                  </pic:nvPicPr>
                  <pic:blipFill>
                    <a:blip r:embed="rId1860"/>
                    <a:stretch>
                      <a:fillRect/>
                    </a:stretch>
                  </pic:blipFill>
                  <pic:spPr>
                    <a:xfrm>
                      <a:off x="0" y="0"/>
                      <a:ext cx="13716" cy="41148"/>
                    </a:xfrm>
                    <a:prstGeom prst="rect">
                      <a:avLst/>
                    </a:prstGeom>
                  </pic:spPr>
                </pic:pic>
              </a:graphicData>
            </a:graphic>
          </wp:inline>
        </w:drawing>
      </w:r>
    </w:p>
    <w:tbl>
      <w:tblPr>
        <w:tblStyle w:val="TableGrid"/>
        <w:tblpPr w:vertAnchor="text" w:tblpX="1805" w:tblpY="7"/>
        <w:tblOverlap w:val="never"/>
        <w:tblW w:w="7606" w:type="dxa"/>
        <w:tblInd w:w="0" w:type="dxa"/>
        <w:tblCellMar>
          <w:top w:w="50" w:type="dxa"/>
          <w:left w:w="1738" w:type="dxa"/>
          <w:right w:w="115" w:type="dxa"/>
        </w:tblCellMar>
        <w:tblLook w:val="04A0" w:firstRow="1" w:lastRow="0" w:firstColumn="1" w:lastColumn="0" w:noHBand="0" w:noVBand="1"/>
      </w:tblPr>
      <w:tblGrid>
        <w:gridCol w:w="7606"/>
      </w:tblGrid>
      <w:tr w:rsidR="00053D93" w14:paraId="1BAF30A9" w14:textId="77777777">
        <w:trPr>
          <w:trHeight w:val="62"/>
        </w:trPr>
        <w:tc>
          <w:tcPr>
            <w:tcW w:w="7606" w:type="dxa"/>
            <w:tcBorders>
              <w:top w:val="nil"/>
              <w:left w:val="single" w:sz="2" w:space="0" w:color="000000"/>
              <w:bottom w:val="single" w:sz="2" w:space="0" w:color="000000"/>
              <w:right w:val="nil"/>
            </w:tcBorders>
          </w:tcPr>
          <w:p w14:paraId="0B92D983" w14:textId="77777777" w:rsidR="00053D93" w:rsidRDefault="00053D93"/>
        </w:tc>
      </w:tr>
      <w:tr w:rsidR="00053D93" w14:paraId="5E2C860C" w14:textId="77777777">
        <w:trPr>
          <w:trHeight w:val="572"/>
        </w:trPr>
        <w:tc>
          <w:tcPr>
            <w:tcW w:w="7606" w:type="dxa"/>
            <w:tcBorders>
              <w:top w:val="single" w:sz="2" w:space="0" w:color="000000"/>
              <w:left w:val="single" w:sz="2" w:space="0" w:color="000000"/>
              <w:bottom w:val="nil"/>
              <w:right w:val="nil"/>
            </w:tcBorders>
          </w:tcPr>
          <w:p w14:paraId="2AEA9478" w14:textId="77777777" w:rsidR="00053D93" w:rsidRDefault="00260B75">
            <w:pPr>
              <w:ind w:left="835"/>
            </w:pPr>
            <w:r>
              <w:rPr>
                <w:rFonts w:ascii="Times New Roman" w:eastAsia="Times New Roman" w:hAnsi="Times New Roman" w:cs="Times New Roman"/>
                <w:sz w:val="14"/>
              </w:rPr>
              <w:t>MINISTERIO DE EDUCACION</w:t>
            </w:r>
          </w:p>
          <w:p w14:paraId="044E879B" w14:textId="77777777" w:rsidR="00053D93" w:rsidRDefault="00260B75">
            <w:pPr>
              <w:ind w:left="338"/>
            </w:pPr>
            <w:r>
              <w:rPr>
                <w:rFonts w:ascii="Times New Roman" w:eastAsia="Times New Roman" w:hAnsi="Times New Roman" w:cs="Times New Roman"/>
                <w:sz w:val="14"/>
              </w:rPr>
              <w:t>AUDITORIA FINANCIERA Y OE CUMPLIMIENTO</w:t>
            </w:r>
          </w:p>
          <w:p w14:paraId="53B4E7C6" w14:textId="77777777" w:rsidR="00053D93" w:rsidRDefault="00260B75">
            <w:r>
              <w:rPr>
                <w:rFonts w:ascii="Times New Roman" w:eastAsia="Times New Roman" w:hAnsi="Times New Roman" w:cs="Times New Roman"/>
                <w:sz w:val="14"/>
              </w:rPr>
              <w:t>PERIODO DEL 01 DE ENERO 31 DE DICIEMBRE OE 2024</w:t>
            </w:r>
          </w:p>
        </w:tc>
      </w:tr>
    </w:tbl>
    <w:p w14:paraId="6D1F6282" w14:textId="77777777" w:rsidR="00053D93" w:rsidRDefault="00260B75">
      <w:pPr>
        <w:spacing w:after="0"/>
        <w:ind w:left="7"/>
      </w:pPr>
      <w:r>
        <w:rPr>
          <w:rFonts w:ascii="Times New Roman" w:eastAsia="Times New Roman" w:hAnsi="Times New Roman" w:cs="Times New Roman"/>
          <w:sz w:val="34"/>
        </w:rPr>
        <w:t xml:space="preserve">III </w:t>
      </w:r>
      <w:r>
        <w:rPr>
          <w:noProof/>
        </w:rPr>
        <w:drawing>
          <wp:inline distT="0" distB="0" distL="0" distR="0" wp14:anchorId="44FC8513" wp14:editId="2689F701">
            <wp:extent cx="868680" cy="406908"/>
            <wp:effectExtent l="0" t="0" r="0" b="0"/>
            <wp:docPr id="1436127" name="Picture 1436127"/>
            <wp:cNvGraphicFramePr/>
            <a:graphic xmlns:a="http://schemas.openxmlformats.org/drawingml/2006/main">
              <a:graphicData uri="http://schemas.openxmlformats.org/drawingml/2006/picture">
                <pic:pic xmlns:pic="http://schemas.openxmlformats.org/drawingml/2006/picture">
                  <pic:nvPicPr>
                    <pic:cNvPr id="1436127" name="Picture 1436127"/>
                    <pic:cNvPicPr/>
                  </pic:nvPicPr>
                  <pic:blipFill>
                    <a:blip r:embed="rId1861"/>
                    <a:stretch>
                      <a:fillRect/>
                    </a:stretch>
                  </pic:blipFill>
                  <pic:spPr>
                    <a:xfrm>
                      <a:off x="0" y="0"/>
                      <a:ext cx="868680" cy="406908"/>
                    </a:xfrm>
                    <a:prstGeom prst="rect">
                      <a:avLst/>
                    </a:prstGeom>
                  </pic:spPr>
                </pic:pic>
              </a:graphicData>
            </a:graphic>
          </wp:inline>
        </w:drawing>
      </w:r>
      <w:r>
        <w:rPr>
          <w:rFonts w:ascii="Times New Roman" w:eastAsia="Times New Roman" w:hAnsi="Times New Roman" w:cs="Times New Roman"/>
          <w:sz w:val="34"/>
        </w:rPr>
        <w:t>II</w:t>
      </w:r>
    </w:p>
    <w:p w14:paraId="6813017F" w14:textId="77777777" w:rsidR="00053D93" w:rsidRDefault="00053D93">
      <w:pPr>
        <w:sectPr w:rsidR="00053D93">
          <w:headerReference w:type="even" r:id="rId1862"/>
          <w:headerReference w:type="default" r:id="rId1863"/>
          <w:footerReference w:type="even" r:id="rId1864"/>
          <w:footerReference w:type="default" r:id="rId1865"/>
          <w:headerReference w:type="first" r:id="rId1866"/>
          <w:footerReference w:type="first" r:id="rId1867"/>
          <w:pgSz w:w="12290" w:h="15883"/>
          <w:pgMar w:top="765" w:right="1843" w:bottom="684" w:left="1008" w:header="763" w:footer="720" w:gutter="0"/>
          <w:cols w:space="720"/>
        </w:sectPr>
      </w:pPr>
    </w:p>
    <w:p w14:paraId="3C2D511C" w14:textId="77777777" w:rsidR="00053D93" w:rsidRDefault="00260B75">
      <w:pPr>
        <w:spacing w:after="3"/>
        <w:ind w:left="24" w:hanging="10"/>
      </w:pPr>
      <w:r>
        <w:rPr>
          <w:sz w:val="72"/>
        </w:rPr>
        <w:t>1</w:t>
      </w:r>
      <w:r>
        <w:rPr>
          <w:noProof/>
        </w:rPr>
        <w:drawing>
          <wp:inline distT="0" distB="0" distL="0" distR="0" wp14:anchorId="15D5B7AF" wp14:editId="42F471A4">
            <wp:extent cx="6227064" cy="77724"/>
            <wp:effectExtent l="0" t="0" r="0" b="0"/>
            <wp:docPr id="2459064" name="Picture 2459064"/>
            <wp:cNvGraphicFramePr/>
            <a:graphic xmlns:a="http://schemas.openxmlformats.org/drawingml/2006/main">
              <a:graphicData uri="http://schemas.openxmlformats.org/drawingml/2006/picture">
                <pic:pic xmlns:pic="http://schemas.openxmlformats.org/drawingml/2006/picture">
                  <pic:nvPicPr>
                    <pic:cNvPr id="2459064" name="Picture 2459064"/>
                    <pic:cNvPicPr/>
                  </pic:nvPicPr>
                  <pic:blipFill>
                    <a:blip r:embed="rId1868"/>
                    <a:stretch>
                      <a:fillRect/>
                    </a:stretch>
                  </pic:blipFill>
                  <pic:spPr>
                    <a:xfrm>
                      <a:off x="0" y="0"/>
                      <a:ext cx="6227064" cy="77724"/>
                    </a:xfrm>
                    <a:prstGeom prst="rect">
                      <a:avLst/>
                    </a:prstGeom>
                  </pic:spPr>
                </pic:pic>
              </a:graphicData>
            </a:graphic>
          </wp:inline>
        </w:drawing>
      </w:r>
    </w:p>
    <w:p w14:paraId="318D6F32" w14:textId="77777777" w:rsidR="00053D93" w:rsidRDefault="00260B75">
      <w:pPr>
        <w:spacing w:after="192" w:line="269" w:lineRule="auto"/>
        <w:ind w:left="57" w:right="14" w:firstLine="1678"/>
        <w:jc w:val="both"/>
      </w:pPr>
      <w:r>
        <w:rPr>
          <w:sz w:val="26"/>
        </w:rPr>
        <w:t xml:space="preserve">La Resolución Número 001-2022, de la Dirección General de Adquisiciones del 1 Estado, del Ministerio de Finanzas Públicas, Normas para el Uso del Sistema de Información de Contrataciones y Adquisiciones del Estado GUATECOMPRAS, Artículo 13. Tipos de Adquisiciones Públicas que se deben incluir en el Sistema 1 GUATECOMPRAS, establece.• "...B. Número de Publicación Guatecompras (NPG): Es el número de publicación del proceso que se refiere a las adquisiciones que por su naturaleza pueden ser realizadas de manera directa y que de 1 conformidad con la LEY y su REGLAMENTO es obligatoria la publicación en el Sistema GUATECOMPRAS de la información que ampara la compra o 1 adquisición..." Artículo 23. Procedimiento para el registro de las publicaciones NPG, establece: "Las Unidades Ejecutoras deberán publicar en el Sistema GUATECOMPRAS la documentación que respalda las adquisiciones que se </w:t>
      </w:r>
      <w:r>
        <w:rPr>
          <w:noProof/>
        </w:rPr>
        <mc:AlternateContent>
          <mc:Choice Requires="wpg">
            <w:drawing>
              <wp:inline distT="0" distB="0" distL="0" distR="0" wp14:anchorId="36B87BD7" wp14:editId="5E73CA16">
                <wp:extent cx="118872" cy="310896"/>
                <wp:effectExtent l="0" t="0" r="0" b="0"/>
                <wp:docPr id="2458052" name="Group 2458052"/>
                <wp:cNvGraphicFramePr/>
                <a:graphic xmlns:a="http://schemas.openxmlformats.org/drawingml/2006/main">
                  <a:graphicData uri="http://schemas.microsoft.com/office/word/2010/wordprocessingGroup">
                    <wpg:wgp>
                      <wpg:cNvGrpSpPr/>
                      <wpg:grpSpPr>
                        <a:xfrm>
                          <a:off x="0" y="0"/>
                          <a:ext cx="118872" cy="310896"/>
                          <a:chOff x="0" y="0"/>
                          <a:chExt cx="118872" cy="310896"/>
                        </a:xfrm>
                      </wpg:grpSpPr>
                      <wps:wsp>
                        <wps:cNvPr id="1436794" name="Rectangle 1436794"/>
                        <wps:cNvSpPr/>
                        <wps:spPr>
                          <a:xfrm>
                            <a:off x="0" y="0"/>
                            <a:ext cx="158100" cy="413492"/>
                          </a:xfrm>
                          <a:prstGeom prst="rect">
                            <a:avLst/>
                          </a:prstGeom>
                          <a:ln>
                            <a:noFill/>
                          </a:ln>
                        </wps:spPr>
                        <wps:txbx>
                          <w:txbxContent>
                            <w:p w14:paraId="6FA85387"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36B87BD7" id="Group 2458052" o:spid="_x0000_s1891" style="width:9.35pt;height:24.5pt;mso-position-horizontal-relative:char;mso-position-vertical-relative:line" coordsize="118872,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">
                <v:rect id="Rectangle 1436794" o:spid="_x0000_s1892" style="position:absolute;width:158100;height:41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" filled="f" stroked="f">
                  <v:textbox inset="0,0,0,0">
                    <w:txbxContent>
                      <w:p w14:paraId="6FA85387" w14:textId="77777777" w:rsidR="00053D93" w:rsidRDefault="00260B75">
                        <w:r>
                          <w:rPr>
                            <w:sz w:val="70"/>
                          </w:rPr>
                          <w:t>1</w:t>
                        </w:r>
                      </w:p>
                    </w:txbxContent>
                  </v:textbox>
                </v:rect>
                <w10:anchorlock/>
              </v:group>
            </w:pict>
          </mc:Fallback>
        </mc:AlternateContent>
      </w:r>
      <w:r>
        <w:rPr>
          <w:sz w:val="26"/>
        </w:rPr>
        <w:t xml:space="preserve"> realicen de manera directa y cuya publicación de conformidad con el articulo 13 literal B. de la presente Resolución, se realizará a través de un Número de Publicación Guatecompras NPG, debiendo atender lo siguiente: A. Publicación de 1 compras de baja cuantía: La Unidad Ejecutora deberá publicar en el Sistema GUATECOMPRAS las compras de baja cuantía dentro de los cinco (5) días 1 hábiles siguientes a la fecha de emisión de la factura correspondiente, debiendo llenar la información requerida en el formulario electrónico que dicho sistema dispone para tal efecto. Asimismo, se deberán adjuntar los documentos siguientes:</w:t>
      </w:r>
    </w:p>
    <w:p w14:paraId="19EFAAB5" w14:textId="77777777" w:rsidR="00053D93" w:rsidRDefault="00260B75">
      <w:pPr>
        <w:spacing w:after="102" w:line="269" w:lineRule="auto"/>
        <w:ind w:left="60" w:right="14" w:hanging="3"/>
        <w:jc w:val="both"/>
      </w:pPr>
      <w:r>
        <w:rPr>
          <w:sz w:val="26"/>
        </w:rPr>
        <w:t>1 1. Requisición de compra, orden de compra o documento equivalente; 2. Factura; y 3. Cualquier otro documento que respalde la compra, según se establezca en el Manual o Manuales de Normas y Procedimientos de Adquisiciones y 1 Contrataciones de la entidad compradora o cualquier otra norma legal y/o convenios vigentes en que se regule la publicación de documentación adicional 1 para esta modalidad especifica. Para efectos de publicación del Acta de Negociación, podrá emitirse un acta por cada factura recibida o consolidar en una sola acta varías facturas emitidas por compras de baja cuantía, según lo establezca la entidad compradora en su Manual o Manuales de Normas y Procedimientos de Adquisiciones y Contrataciones. La publicación del Acta de Negociación deberá realizarse dentro de los cinco (5) días hábiles posteriores a la 1 emisión de la misma... "</w:t>
      </w:r>
    </w:p>
    <w:p w14:paraId="1A74978E" w14:textId="77777777" w:rsidR="00053D93" w:rsidRDefault="00260B75">
      <w:pPr>
        <w:spacing w:after="4" w:line="269" w:lineRule="auto"/>
        <w:ind w:left="133" w:right="14" w:hanging="3"/>
        <w:jc w:val="both"/>
      </w:pPr>
      <w:r>
        <w:rPr>
          <w:sz w:val="26"/>
        </w:rPr>
        <w:t>1 La Resolución No. 1 1 13 del 30 de noviembre de 2010, del Ministerio de Educación, Resuelve: "l) Aprobar la publicación y utilización de los documentos que encuentran en el Sitio Web del Sistema de Gestión de ta Calidad del 1 Ministerio de Educación, los cuales son los actualizados y aprobados por las autoridades correspondientes para uso oficial en el desarrollo de los procesos 1 administrativos..."</w:t>
      </w:r>
    </w:p>
    <w:p w14:paraId="05E6E61A" w14:textId="77777777" w:rsidR="00053D93" w:rsidRDefault="00260B75">
      <w:pPr>
        <w:spacing w:after="308"/>
        <w:ind w:left="79"/>
      </w:pPr>
      <w:r>
        <w:rPr>
          <w:noProof/>
        </w:rPr>
        <w:drawing>
          <wp:inline distT="0" distB="0" distL="0" distR="0" wp14:anchorId="1B1C85D0" wp14:editId="30462B8B">
            <wp:extent cx="32004" cy="13716"/>
            <wp:effectExtent l="0" t="0" r="0" b="0"/>
            <wp:docPr id="2459066" name="Picture 2459066"/>
            <wp:cNvGraphicFramePr/>
            <a:graphic xmlns:a="http://schemas.openxmlformats.org/drawingml/2006/main">
              <a:graphicData uri="http://schemas.openxmlformats.org/drawingml/2006/picture">
                <pic:pic xmlns:pic="http://schemas.openxmlformats.org/drawingml/2006/picture">
                  <pic:nvPicPr>
                    <pic:cNvPr id="2459066" name="Picture 2459066"/>
                    <pic:cNvPicPr/>
                  </pic:nvPicPr>
                  <pic:blipFill>
                    <a:blip r:embed="rId1869"/>
                    <a:stretch>
                      <a:fillRect/>
                    </a:stretch>
                  </pic:blipFill>
                  <pic:spPr>
                    <a:xfrm>
                      <a:off x="0" y="0"/>
                      <a:ext cx="32004" cy="13716"/>
                    </a:xfrm>
                    <a:prstGeom prst="rect">
                      <a:avLst/>
                    </a:prstGeom>
                  </pic:spPr>
                </pic:pic>
              </a:graphicData>
            </a:graphic>
          </wp:inline>
        </w:drawing>
      </w:r>
    </w:p>
    <w:p w14:paraId="061619D0" w14:textId="77777777" w:rsidR="00053D93" w:rsidRDefault="00260B75">
      <w:pPr>
        <w:spacing w:after="95" w:line="269" w:lineRule="auto"/>
        <w:ind w:left="67" w:right="14" w:hanging="10"/>
        <w:jc w:val="right"/>
      </w:pPr>
      <w:r>
        <w:rPr>
          <w:sz w:val="26"/>
        </w:rPr>
        <w:t>El Procedimiento Gestión de Compras: Modalidades de Contrato Abierto, Compra</w:t>
      </w:r>
    </w:p>
    <w:p w14:paraId="18E8F40A" w14:textId="77777777" w:rsidR="00053D93" w:rsidRDefault="00260B75">
      <w:pPr>
        <w:tabs>
          <w:tab w:val="right" w:pos="10181"/>
        </w:tabs>
        <w:spacing w:after="4" w:line="269" w:lineRule="auto"/>
      </w:pPr>
      <w:r>
        <w:rPr>
          <w:sz w:val="26"/>
        </w:rPr>
        <w:t>1</w:t>
      </w:r>
      <w:r>
        <w:rPr>
          <w:sz w:val="26"/>
        </w:rPr>
        <w:tab/>
        <w:t>de Baja Cuantía y Compra Directa, Del proceso: Gestión de Adquisiciones,</w:t>
      </w:r>
    </w:p>
    <w:tbl>
      <w:tblPr>
        <w:tblStyle w:val="TableGrid"/>
        <w:tblW w:w="9418" w:type="dxa"/>
        <w:tblInd w:w="770" w:type="dxa"/>
        <w:tblLook w:val="04A0" w:firstRow="1" w:lastRow="0" w:firstColumn="1" w:lastColumn="0" w:noHBand="0" w:noVBand="1"/>
      </w:tblPr>
      <w:tblGrid>
        <w:gridCol w:w="1771"/>
        <w:gridCol w:w="10483"/>
      </w:tblGrid>
      <w:tr w:rsidR="00053D93" w14:paraId="082B23D9" w14:textId="77777777">
        <w:trPr>
          <w:trHeight w:val="641"/>
        </w:trPr>
        <w:tc>
          <w:tcPr>
            <w:tcW w:w="1788" w:type="dxa"/>
            <w:tcBorders>
              <w:top w:val="nil"/>
              <w:left w:val="nil"/>
              <w:bottom w:val="nil"/>
              <w:right w:val="nil"/>
            </w:tcBorders>
          </w:tcPr>
          <w:p w14:paraId="3BE6F54E" w14:textId="77777777" w:rsidR="00053D93" w:rsidRDefault="00260B75">
            <w:r>
              <w:rPr>
                <w:noProof/>
              </w:rPr>
              <w:drawing>
                <wp:inline distT="0" distB="0" distL="0" distR="0" wp14:anchorId="0F014911" wp14:editId="3F5CD549">
                  <wp:extent cx="1124712" cy="406909"/>
                  <wp:effectExtent l="0" t="0" r="0" b="0"/>
                  <wp:docPr id="1439775" name="Picture 1439775"/>
                  <wp:cNvGraphicFramePr/>
                  <a:graphic xmlns:a="http://schemas.openxmlformats.org/drawingml/2006/main">
                    <a:graphicData uri="http://schemas.openxmlformats.org/drawingml/2006/picture">
                      <pic:pic xmlns:pic="http://schemas.openxmlformats.org/drawingml/2006/picture">
                        <pic:nvPicPr>
                          <pic:cNvPr id="1439775" name="Picture 1439775"/>
                          <pic:cNvPicPr/>
                        </pic:nvPicPr>
                        <pic:blipFill>
                          <a:blip r:embed="rId1870"/>
                          <a:stretch>
                            <a:fillRect/>
                          </a:stretch>
                        </pic:blipFill>
                        <pic:spPr>
                          <a:xfrm>
                            <a:off x="0" y="0"/>
                            <a:ext cx="1124712" cy="406909"/>
                          </a:xfrm>
                          <a:prstGeom prst="rect">
                            <a:avLst/>
                          </a:prstGeom>
                        </pic:spPr>
                      </pic:pic>
                    </a:graphicData>
                  </a:graphic>
                </wp:inline>
              </w:drawing>
            </w:r>
          </w:p>
        </w:tc>
        <w:tc>
          <w:tcPr>
            <w:tcW w:w="7630" w:type="dxa"/>
            <w:tcBorders>
              <w:top w:val="nil"/>
              <w:left w:val="nil"/>
              <w:bottom w:val="nil"/>
              <w:right w:val="nil"/>
            </w:tcBorders>
          </w:tcPr>
          <w:p w14:paraId="265D8ABA" w14:textId="77777777" w:rsidR="00053D93" w:rsidRDefault="00053D93">
            <w:pPr>
              <w:ind w:left="-2853" w:right="10483"/>
            </w:pPr>
          </w:p>
          <w:tbl>
            <w:tblPr>
              <w:tblStyle w:val="TableGrid"/>
              <w:tblW w:w="7613" w:type="dxa"/>
              <w:tblInd w:w="17" w:type="dxa"/>
              <w:tblCellMar>
                <w:top w:w="31" w:type="dxa"/>
                <w:left w:w="1738" w:type="dxa"/>
                <w:right w:w="115" w:type="dxa"/>
              </w:tblCellMar>
              <w:tblLook w:val="04A0" w:firstRow="1" w:lastRow="0" w:firstColumn="1" w:lastColumn="0" w:noHBand="0" w:noVBand="1"/>
            </w:tblPr>
            <w:tblGrid>
              <w:gridCol w:w="7613"/>
            </w:tblGrid>
            <w:tr w:rsidR="00053D93" w14:paraId="26F390DD" w14:textId="77777777">
              <w:trPr>
                <w:trHeight w:val="36"/>
              </w:trPr>
              <w:tc>
                <w:tcPr>
                  <w:tcW w:w="7613" w:type="dxa"/>
                  <w:tcBorders>
                    <w:top w:val="nil"/>
                    <w:left w:val="single" w:sz="2" w:space="0" w:color="000000"/>
                    <w:bottom w:val="single" w:sz="2" w:space="0" w:color="000000"/>
                    <w:right w:val="nil"/>
                  </w:tcBorders>
                </w:tcPr>
                <w:p w14:paraId="6D9FCFCB" w14:textId="77777777" w:rsidR="00053D93" w:rsidRDefault="00053D93"/>
              </w:tc>
            </w:tr>
            <w:tr w:rsidR="00053D93" w14:paraId="373AFEEB" w14:textId="77777777">
              <w:trPr>
                <w:trHeight w:val="605"/>
              </w:trPr>
              <w:tc>
                <w:tcPr>
                  <w:tcW w:w="7613" w:type="dxa"/>
                  <w:tcBorders>
                    <w:top w:val="single" w:sz="2" w:space="0" w:color="000000"/>
                    <w:left w:val="single" w:sz="2" w:space="0" w:color="000000"/>
                    <w:bottom w:val="nil"/>
                    <w:right w:val="nil"/>
                  </w:tcBorders>
                </w:tcPr>
                <w:p w14:paraId="69093A56" w14:textId="77777777" w:rsidR="00053D93" w:rsidRDefault="00260B75">
                  <w:pPr>
                    <w:ind w:left="835"/>
                  </w:pPr>
                  <w:r>
                    <w:rPr>
                      <w:sz w:val="14"/>
                    </w:rPr>
                    <w:t>MINISTERIO DE EDUCACION</w:t>
                  </w:r>
                </w:p>
                <w:p w14:paraId="220FDD18" w14:textId="77777777" w:rsidR="00053D93" w:rsidRDefault="00260B75">
                  <w:pPr>
                    <w:ind w:left="346"/>
                  </w:pPr>
                  <w:r>
                    <w:rPr>
                      <w:sz w:val="14"/>
                    </w:rPr>
                    <w:t>AUDITORIA FINANCIERA Y DE CUMPLIMIENTO</w:t>
                  </w:r>
                </w:p>
                <w:p w14:paraId="55A1B21E" w14:textId="77777777" w:rsidR="00053D93" w:rsidRDefault="00260B75">
                  <w:r>
                    <w:rPr>
                      <w:sz w:val="14"/>
                    </w:rPr>
                    <w:t>PERÍODO DEL 01 DE ENERO AL 31 DE DICIEMBRE OE 2024</w:t>
                  </w:r>
                </w:p>
              </w:tc>
            </w:tr>
          </w:tbl>
          <w:p w14:paraId="6D5244ED" w14:textId="77777777" w:rsidR="00053D93" w:rsidRDefault="00053D93"/>
        </w:tc>
      </w:tr>
    </w:tbl>
    <w:p w14:paraId="7A0AF719" w14:textId="77777777" w:rsidR="00053D93" w:rsidRDefault="00260B75">
      <w:pPr>
        <w:spacing w:after="34"/>
        <w:ind w:left="1735" w:right="-14"/>
      </w:pPr>
      <w:r>
        <w:rPr>
          <w:noProof/>
        </w:rPr>
        <mc:AlternateContent>
          <mc:Choice Requires="wpg">
            <w:drawing>
              <wp:inline distT="0" distB="0" distL="0" distR="0" wp14:anchorId="676F2FA1" wp14:editId="2F8312B9">
                <wp:extent cx="5372101" cy="9144"/>
                <wp:effectExtent l="0" t="0" r="0" b="0"/>
                <wp:docPr id="2459069" name="Group 2459069"/>
                <wp:cNvGraphicFramePr/>
                <a:graphic xmlns:a="http://schemas.openxmlformats.org/drawingml/2006/main">
                  <a:graphicData uri="http://schemas.microsoft.com/office/word/2010/wordprocessingGroup">
                    <wpg:wgp>
                      <wpg:cNvGrpSpPr/>
                      <wpg:grpSpPr>
                        <a:xfrm>
                          <a:off x="0" y="0"/>
                          <a:ext cx="5372101" cy="9144"/>
                          <a:chOff x="0" y="0"/>
                          <a:chExt cx="5372101" cy="9144"/>
                        </a:xfrm>
                      </wpg:grpSpPr>
                      <wps:wsp>
                        <wps:cNvPr id="2459068" name="Shape 2459068"/>
                        <wps:cNvSpPr/>
                        <wps:spPr>
                          <a:xfrm>
                            <a:off x="0" y="0"/>
                            <a:ext cx="5372101" cy="9144"/>
                          </a:xfrm>
                          <a:custGeom>
                            <a:avLst/>
                            <a:gdLst/>
                            <a:ahLst/>
                            <a:cxnLst/>
                            <a:rect l="0" t="0" r="0" b="0"/>
                            <a:pathLst>
                              <a:path w="5372101" h="9144">
                                <a:moveTo>
                                  <a:pt x="0" y="4572"/>
                                </a:moveTo>
                                <a:lnTo>
                                  <a:pt x="5372101"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69" style="width:423pt;height:0.720001pt;mso-position-horizontal-relative:char;mso-position-vertical-relative:line" coordsize="53721,91">
                <v:shape id="Shape 2459068" style="position:absolute;width:53721;height:91;left:0;top:0;" coordsize="5372101,9144" path="m0,4572l5372101,4572">
                  <v:stroke weight="0.720001pt" endcap="flat" joinstyle="miter" miterlimit="1" on="true" color="#000000"/>
                  <v:fill on="false" color="#000000"/>
                </v:shape>
              </v:group>
            </w:pict>
          </mc:Fallback>
        </mc:AlternateContent>
      </w:r>
    </w:p>
    <w:p w14:paraId="11B66DED" w14:textId="77777777" w:rsidR="00053D93" w:rsidRDefault="00260B75">
      <w:pPr>
        <w:tabs>
          <w:tab w:val="right" w:pos="10181"/>
        </w:tabs>
        <w:spacing w:after="4" w:line="269" w:lineRule="auto"/>
      </w:pPr>
      <w:r>
        <w:rPr>
          <w:sz w:val="26"/>
        </w:rPr>
        <w:t>1</w:t>
      </w:r>
      <w:r>
        <w:rPr>
          <w:sz w:val="26"/>
        </w:rPr>
        <w:tab/>
        <w:t>Código: ADQ-PRO-OI, Versión 16, Literal A. Propósito y Alcance del</w:t>
      </w:r>
    </w:p>
    <w:p w14:paraId="1EA3C9AF" w14:textId="77777777" w:rsidR="00053D93" w:rsidRDefault="00260B75">
      <w:pPr>
        <w:spacing w:after="4" w:line="216" w:lineRule="auto"/>
        <w:ind w:left="57" w:right="14" w:firstLine="1670"/>
        <w:jc w:val="both"/>
      </w:pPr>
      <w:r>
        <w:rPr>
          <w:sz w:val="26"/>
        </w:rPr>
        <w:t>Procedimiento, establece: "Con el objeto de dar cumplimiento a lo establecido en 1 la Ley de Contrataciones del Estado, Decreto número 57-92 y el Acuerdo</w:t>
      </w:r>
    </w:p>
    <w:p w14:paraId="0C7CF4FA" w14:textId="77777777" w:rsidR="00053D93" w:rsidRDefault="00260B75">
      <w:pPr>
        <w:spacing w:after="164" w:line="269" w:lineRule="auto"/>
        <w:ind w:left="57" w:right="14" w:firstLine="1663"/>
        <w:jc w:val="both"/>
      </w:pPr>
      <w:r>
        <w:rPr>
          <w:sz w:val="26"/>
        </w:rPr>
        <w:t>Gubernativo No. 122-2016 Reglamento de la citada Ley, todas las Unidades Ejecutoras deberán aplicar de forma obligatoria, para la gestión de compra de 1 bienes, suministros, obras y servicios en las modalidades de Contrato Abierto, Compra de Baja Cuantía y Compra Directa con Oferta Electrónica, lo que se establece en este procedimiento. El presente documento define las actividades a 1 realizar en el proceso de adquisición en las modalidades antes citadas. Asimismo, se describen los documentos y responsables de su elaboración...' Literal D.</w:t>
      </w:r>
    </w:p>
    <w:p w14:paraId="30CEC95A" w14:textId="77777777" w:rsidR="00053D93" w:rsidRDefault="00260B75">
      <w:pPr>
        <w:spacing w:after="50" w:line="273" w:lineRule="auto"/>
        <w:ind w:left="24" w:hanging="3"/>
      </w:pPr>
      <w:r>
        <w:rPr>
          <w:sz w:val="26"/>
        </w:rPr>
        <w:t>1</w:t>
      </w:r>
      <w:r>
        <w:rPr>
          <w:sz w:val="26"/>
        </w:rPr>
        <w:tab/>
        <w:t xml:space="preserve">Descripción de Actividades y Responsables, establece: "Para la adquisición de los bienes, suministros, obras y servicios de forma oportuna, proyectados previamente en la Programación Anual de Compras -PAC-, es necesario definir las actividades </w:t>
      </w:r>
      <w:r>
        <w:rPr>
          <w:noProof/>
        </w:rPr>
        <w:drawing>
          <wp:inline distT="0" distB="0" distL="0" distR="0" wp14:anchorId="527217E0" wp14:editId="7E0ACFF4">
            <wp:extent cx="4572" cy="13716"/>
            <wp:effectExtent l="0" t="0" r="0" b="0"/>
            <wp:docPr id="1442975" name="Picture 1442975"/>
            <wp:cNvGraphicFramePr/>
            <a:graphic xmlns:a="http://schemas.openxmlformats.org/drawingml/2006/main">
              <a:graphicData uri="http://schemas.openxmlformats.org/drawingml/2006/picture">
                <pic:pic xmlns:pic="http://schemas.openxmlformats.org/drawingml/2006/picture">
                  <pic:nvPicPr>
                    <pic:cNvPr id="1442975" name="Picture 1442975"/>
                    <pic:cNvPicPr/>
                  </pic:nvPicPr>
                  <pic:blipFill>
                    <a:blip r:embed="rId114"/>
                    <a:stretch>
                      <a:fillRect/>
                    </a:stretch>
                  </pic:blipFill>
                  <pic:spPr>
                    <a:xfrm>
                      <a:off x="0" y="0"/>
                      <a:ext cx="4572" cy="13716"/>
                    </a:xfrm>
                    <a:prstGeom prst="rect">
                      <a:avLst/>
                    </a:prstGeom>
                  </pic:spPr>
                </pic:pic>
              </a:graphicData>
            </a:graphic>
          </wp:inline>
        </w:drawing>
      </w:r>
      <w:r>
        <w:rPr>
          <w:sz w:val="26"/>
        </w:rPr>
        <w:t>1</w:t>
      </w:r>
      <w:r>
        <w:rPr>
          <w:sz w:val="26"/>
        </w:rPr>
        <w:tab/>
        <w:t>y responsabilidades siguientes: ...D.2 Registro de adjudicación y notificación del proveedor, establece:</w:t>
      </w:r>
      <w:r>
        <w:rPr>
          <w:sz w:val="26"/>
        </w:rPr>
        <w:tab/>
        <w:t>' ...Actividad 6. Publicar en GUATECOMPRAS; Responsable, Analista de Adquisiciones/ Rol Usuario Operador; Descripción de</w:t>
      </w:r>
    </w:p>
    <w:p w14:paraId="080F53D2" w14:textId="77777777" w:rsidR="00053D93" w:rsidRDefault="00260B75">
      <w:pPr>
        <w:spacing w:after="36"/>
        <w:ind w:left="72"/>
      </w:pPr>
      <w:r>
        <w:rPr>
          <w:noProof/>
        </w:rPr>
        <w:drawing>
          <wp:inline distT="0" distB="0" distL="0" distR="0" wp14:anchorId="7FD8ACD6" wp14:editId="366B8ED8">
            <wp:extent cx="4572" cy="9144"/>
            <wp:effectExtent l="0" t="0" r="0" b="0"/>
            <wp:docPr id="1442976" name="Picture 1442976"/>
            <wp:cNvGraphicFramePr/>
            <a:graphic xmlns:a="http://schemas.openxmlformats.org/drawingml/2006/main">
              <a:graphicData uri="http://schemas.openxmlformats.org/drawingml/2006/picture">
                <pic:pic xmlns:pic="http://schemas.openxmlformats.org/drawingml/2006/picture">
                  <pic:nvPicPr>
                    <pic:cNvPr id="1442976" name="Picture 1442976"/>
                    <pic:cNvPicPr/>
                  </pic:nvPicPr>
                  <pic:blipFill>
                    <a:blip r:embed="rId24"/>
                    <a:stretch>
                      <a:fillRect/>
                    </a:stretch>
                  </pic:blipFill>
                  <pic:spPr>
                    <a:xfrm>
                      <a:off x="0" y="0"/>
                      <a:ext cx="4572" cy="9144"/>
                    </a:xfrm>
                    <a:prstGeom prst="rect">
                      <a:avLst/>
                    </a:prstGeom>
                  </pic:spPr>
                </pic:pic>
              </a:graphicData>
            </a:graphic>
          </wp:inline>
        </w:drawing>
      </w:r>
    </w:p>
    <w:p w14:paraId="4F0F55C3" w14:textId="77777777" w:rsidR="00053D93" w:rsidRDefault="00260B75">
      <w:pPr>
        <w:spacing w:after="131" w:line="269" w:lineRule="auto"/>
        <w:ind w:left="60" w:right="14" w:hanging="3"/>
        <w:jc w:val="both"/>
      </w:pPr>
      <w:r>
        <w:rPr>
          <w:noProof/>
        </w:rPr>
        <w:drawing>
          <wp:anchor distT="0" distB="0" distL="114300" distR="114300" simplePos="0" relativeHeight="252382208" behindDoc="0" locked="0" layoutInCell="1" allowOverlap="0" wp14:anchorId="5753CD1C" wp14:editId="44F08071">
            <wp:simplePos x="0" y="0"/>
            <wp:positionH relativeFrom="page">
              <wp:posOffset>6995159</wp:posOffset>
            </wp:positionH>
            <wp:positionV relativeFrom="page">
              <wp:posOffset>1101852</wp:posOffset>
            </wp:positionV>
            <wp:extent cx="13717" cy="13716"/>
            <wp:effectExtent l="0" t="0" r="0" b="0"/>
            <wp:wrapTopAndBottom/>
            <wp:docPr id="1442974" name="Picture 1442974"/>
            <wp:cNvGraphicFramePr/>
            <a:graphic xmlns:a="http://schemas.openxmlformats.org/drawingml/2006/main">
              <a:graphicData uri="http://schemas.openxmlformats.org/drawingml/2006/picture">
                <pic:pic xmlns:pic="http://schemas.openxmlformats.org/drawingml/2006/picture">
                  <pic:nvPicPr>
                    <pic:cNvPr id="1442974" name="Picture 1442974"/>
                    <pic:cNvPicPr/>
                  </pic:nvPicPr>
                  <pic:blipFill>
                    <a:blip r:embed="rId1341"/>
                    <a:stretch>
                      <a:fillRect/>
                    </a:stretch>
                  </pic:blipFill>
                  <pic:spPr>
                    <a:xfrm>
                      <a:off x="0" y="0"/>
                      <a:ext cx="13717" cy="13716"/>
                    </a:xfrm>
                    <a:prstGeom prst="rect">
                      <a:avLst/>
                    </a:prstGeom>
                  </pic:spPr>
                </pic:pic>
              </a:graphicData>
            </a:graphic>
          </wp:anchor>
        </w:drawing>
      </w:r>
      <w:r>
        <w:rPr>
          <w:noProof/>
        </w:rPr>
        <w:drawing>
          <wp:anchor distT="0" distB="0" distL="114300" distR="114300" simplePos="0" relativeHeight="252383232" behindDoc="0" locked="0" layoutInCell="1" allowOverlap="0" wp14:anchorId="597C3DA6" wp14:editId="0E55F7E7">
            <wp:simplePos x="0" y="0"/>
            <wp:positionH relativeFrom="page">
              <wp:posOffset>6844285</wp:posOffset>
            </wp:positionH>
            <wp:positionV relativeFrom="page">
              <wp:posOffset>4526280</wp:posOffset>
            </wp:positionV>
            <wp:extent cx="9144" cy="9144"/>
            <wp:effectExtent l="0" t="0" r="0" b="0"/>
            <wp:wrapSquare wrapText="bothSides"/>
            <wp:docPr id="1442977" name="Picture 1442977"/>
            <wp:cNvGraphicFramePr/>
            <a:graphic xmlns:a="http://schemas.openxmlformats.org/drawingml/2006/main">
              <a:graphicData uri="http://schemas.openxmlformats.org/drawingml/2006/picture">
                <pic:pic xmlns:pic="http://schemas.openxmlformats.org/drawingml/2006/picture">
                  <pic:nvPicPr>
                    <pic:cNvPr id="1442977" name="Picture 1442977"/>
                    <pic:cNvPicPr/>
                  </pic:nvPicPr>
                  <pic:blipFill>
                    <a:blip r:embed="rId93"/>
                    <a:stretch>
                      <a:fillRect/>
                    </a:stretch>
                  </pic:blipFill>
                  <pic:spPr>
                    <a:xfrm>
                      <a:off x="0" y="0"/>
                      <a:ext cx="9144" cy="9144"/>
                    </a:xfrm>
                    <a:prstGeom prst="rect">
                      <a:avLst/>
                    </a:prstGeom>
                  </pic:spPr>
                </pic:pic>
              </a:graphicData>
            </a:graphic>
          </wp:anchor>
        </w:drawing>
      </w:r>
      <w:r>
        <w:rPr>
          <w:sz w:val="26"/>
        </w:rPr>
        <w:t xml:space="preserve">1 Actividades, Publica, en el caso de compras de baja cuantía, dentro de los 5 días hábiles a la fecha de emisión de la factura, la documentación de respaldo en el 1 Sistema de Información de Contrataciones y Adquisiciones del Estado -GUATECOMPRAS-, en el módulo de Publicaciones NPG (Número de Publicación de -GUATECOMPRAS-), imprime y adjunta la constancia de publicación al 1 expediente. Conforma expediente con la documentación original y completa y lo traslada a la Sección Financiera/Departamento Financiero en un plazo máximo de tres (3) días hábiles para el trámite de pago correspondiente. NOTA: La 1 publicación del acta de negociación debe de publicarse luego de su emisión </w:t>
      </w:r>
      <w:r>
        <w:rPr>
          <w:noProof/>
        </w:rPr>
        <w:drawing>
          <wp:inline distT="0" distB="0" distL="0" distR="0" wp14:anchorId="1314104B" wp14:editId="03C1C9A4">
            <wp:extent cx="4572" cy="9144"/>
            <wp:effectExtent l="0" t="0" r="0" b="0"/>
            <wp:docPr id="1442978" name="Picture 1442978"/>
            <wp:cNvGraphicFramePr/>
            <a:graphic xmlns:a="http://schemas.openxmlformats.org/drawingml/2006/main">
              <a:graphicData uri="http://schemas.openxmlformats.org/drawingml/2006/picture">
                <pic:pic xmlns:pic="http://schemas.openxmlformats.org/drawingml/2006/picture">
                  <pic:nvPicPr>
                    <pic:cNvPr id="1442978" name="Picture 1442978"/>
                    <pic:cNvPicPr/>
                  </pic:nvPicPr>
                  <pic:blipFill>
                    <a:blip r:embed="rId24"/>
                    <a:stretch>
                      <a:fillRect/>
                    </a:stretch>
                  </pic:blipFill>
                  <pic:spPr>
                    <a:xfrm>
                      <a:off x="0" y="0"/>
                      <a:ext cx="4572" cy="9144"/>
                    </a:xfrm>
                    <a:prstGeom prst="rect">
                      <a:avLst/>
                    </a:prstGeom>
                  </pic:spPr>
                </pic:pic>
              </a:graphicData>
            </a:graphic>
          </wp:inline>
        </w:drawing>
      </w:r>
      <w:r>
        <w:rPr>
          <w:sz w:val="26"/>
        </w:rPr>
        <w:t xml:space="preserve"> conforme lo siguiente: 1 . Baja Cuantía: dentro de los 5 días hábiles posteriores a</w:t>
      </w:r>
    </w:p>
    <w:p w14:paraId="1A59F5B4" w14:textId="77777777" w:rsidR="00053D93" w:rsidRDefault="00260B75">
      <w:pPr>
        <w:tabs>
          <w:tab w:val="center" w:pos="2358"/>
        </w:tabs>
        <w:spacing w:after="4" w:line="269" w:lineRule="auto"/>
      </w:pPr>
      <w:r>
        <w:rPr>
          <w:noProof/>
        </w:rPr>
        <w:drawing>
          <wp:inline distT="0" distB="0" distL="0" distR="0" wp14:anchorId="3C615B7D" wp14:editId="7DFFAC1D">
            <wp:extent cx="9144" cy="9144"/>
            <wp:effectExtent l="0" t="0" r="0" b="0"/>
            <wp:docPr id="1442979" name="Picture 1442979"/>
            <wp:cNvGraphicFramePr/>
            <a:graphic xmlns:a="http://schemas.openxmlformats.org/drawingml/2006/main">
              <a:graphicData uri="http://schemas.openxmlformats.org/drawingml/2006/picture">
                <pic:pic xmlns:pic="http://schemas.openxmlformats.org/drawingml/2006/picture">
                  <pic:nvPicPr>
                    <pic:cNvPr id="1442979" name="Picture 1442979"/>
                    <pic:cNvPicPr/>
                  </pic:nvPicPr>
                  <pic:blipFill>
                    <a:blip r:embed="rId93"/>
                    <a:stretch>
                      <a:fillRect/>
                    </a:stretch>
                  </pic:blipFill>
                  <pic:spPr>
                    <a:xfrm>
                      <a:off x="0" y="0"/>
                      <a:ext cx="9144" cy="9144"/>
                    </a:xfrm>
                    <a:prstGeom prst="rect">
                      <a:avLst/>
                    </a:prstGeom>
                  </pic:spPr>
                </pic:pic>
              </a:graphicData>
            </a:graphic>
          </wp:inline>
        </w:drawing>
      </w:r>
      <w:r>
        <w:rPr>
          <w:sz w:val="26"/>
        </w:rPr>
        <w:t>1</w:t>
      </w:r>
      <w:r>
        <w:rPr>
          <w:sz w:val="26"/>
        </w:rPr>
        <w:tab/>
        <w:t>la emisión... "</w:t>
      </w:r>
    </w:p>
    <w:p w14:paraId="0833C865" w14:textId="77777777" w:rsidR="00053D93" w:rsidRDefault="00260B75">
      <w:pPr>
        <w:pStyle w:val="Ttulo6"/>
        <w:spacing w:after="247"/>
        <w:ind w:left="1709"/>
      </w:pPr>
      <w:r>
        <w:t>Causa</w:t>
      </w:r>
    </w:p>
    <w:p w14:paraId="459B818A" w14:textId="77777777" w:rsidR="00053D93" w:rsidRDefault="00260B75">
      <w:pPr>
        <w:spacing w:after="153" w:line="326" w:lineRule="auto"/>
        <w:ind w:left="60" w:right="14" w:hanging="3"/>
        <w:jc w:val="both"/>
      </w:pPr>
      <w:r>
        <w:rPr>
          <w:sz w:val="26"/>
        </w:rPr>
        <w:t>1 El Encargado de Fondo Rotativo y el Encargado de Caja Chica, incumplieron el plazo legal de 5 días que establece la normativa legal al publicar 1 extemporáneamente en el Sistema GUATECOMPRAS, el acta de negociación que respalda las negociaciones.</w:t>
      </w:r>
    </w:p>
    <w:p w14:paraId="79C56378" w14:textId="77777777" w:rsidR="00053D93" w:rsidRDefault="00260B75">
      <w:pPr>
        <w:tabs>
          <w:tab w:val="center" w:pos="2027"/>
        </w:tabs>
        <w:spacing w:after="4" w:line="266" w:lineRule="auto"/>
      </w:pPr>
      <w:r>
        <w:rPr>
          <w:noProof/>
        </w:rPr>
        <mc:AlternateContent>
          <mc:Choice Requires="wpg">
            <w:drawing>
              <wp:inline distT="0" distB="0" distL="0" distR="0" wp14:anchorId="547ACF57" wp14:editId="067131B9">
                <wp:extent cx="114300" cy="301752"/>
                <wp:effectExtent l="0" t="0" r="0" b="0"/>
                <wp:docPr id="2458071" name="Group 2458071"/>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1440404" name="Rectangle 1440404"/>
                        <wps:cNvSpPr/>
                        <wps:spPr>
                          <a:xfrm>
                            <a:off x="0" y="0"/>
                            <a:ext cx="152019" cy="401330"/>
                          </a:xfrm>
                          <a:prstGeom prst="rect">
                            <a:avLst/>
                          </a:prstGeom>
                          <a:ln>
                            <a:noFill/>
                          </a:ln>
                        </wps:spPr>
                        <wps:txbx>
                          <w:txbxContent>
                            <w:p w14:paraId="4257FCD7" w14:textId="77777777" w:rsidR="00053D93" w:rsidRDefault="00260B75">
                              <w:r>
                                <w:rPr>
                                  <w:sz w:val="70"/>
                                </w:rPr>
                                <w:t>1</w:t>
                              </w:r>
                            </w:p>
                          </w:txbxContent>
                        </wps:txbx>
                        <wps:bodyPr horzOverflow="overflow" vert="horz" lIns="0" tIns="0" rIns="0" bIns="0" rtlCol="0">
                          <a:noAutofit/>
                        </wps:bodyPr>
                      </wps:wsp>
                    </wpg:wgp>
                  </a:graphicData>
                </a:graphic>
              </wp:inline>
            </w:drawing>
          </mc:Choice>
          <mc:Fallback>
            <w:pict>
              <v:group w14:anchorId="547ACF57" id="Group 2458071" o:spid="_x0000_s1893" style="width:9pt;height:23.75pt;mso-position-horizontal-relative:char;mso-position-vertical-relative:lin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">
                <v:rect id="Rectangle 1440404" o:spid="_x0000_s189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" filled="f" stroked="f">
                  <v:textbox inset="0,0,0,0">
                    <w:txbxContent>
                      <w:p w14:paraId="4257FCD7" w14:textId="77777777" w:rsidR="00053D93" w:rsidRDefault="00260B75">
                        <w:r>
                          <w:rPr>
                            <w:sz w:val="70"/>
                          </w:rPr>
                          <w:t>1</w:t>
                        </w:r>
                      </w:p>
                    </w:txbxContent>
                  </v:textbox>
                </v:rect>
                <w10:anchorlock/>
              </v:group>
            </w:pict>
          </mc:Fallback>
        </mc:AlternateContent>
      </w:r>
      <w:r>
        <w:rPr>
          <w:sz w:val="28"/>
        </w:rPr>
        <w:tab/>
        <w:t>Efecto</w:t>
      </w:r>
    </w:p>
    <w:p w14:paraId="2485F8B8" w14:textId="77777777" w:rsidR="00053D93" w:rsidRDefault="00260B75">
      <w:pPr>
        <w:spacing w:after="135" w:line="269" w:lineRule="auto"/>
        <w:ind w:left="60" w:right="14" w:hanging="3"/>
        <w:jc w:val="both"/>
      </w:pPr>
      <w:r>
        <w:rPr>
          <w:sz w:val="26"/>
        </w:rPr>
        <w:t>Falta de información actualizada en el Sistema GUATECOMPRAS de manera oportuna, impide la transparencia, la fiscalización efectiva y la rendición de</w:t>
      </w:r>
    </w:p>
    <w:p w14:paraId="42A363B7" w14:textId="77777777" w:rsidR="00053D93" w:rsidRDefault="00260B75">
      <w:pPr>
        <w:tabs>
          <w:tab w:val="center" w:pos="3877"/>
        </w:tabs>
        <w:spacing w:after="577" w:line="269" w:lineRule="auto"/>
      </w:pPr>
      <w:r>
        <w:rPr>
          <w:sz w:val="26"/>
        </w:rPr>
        <w:t>-1</w:t>
      </w:r>
      <w:r>
        <w:rPr>
          <w:sz w:val="26"/>
        </w:rPr>
        <w:tab/>
        <w:t>cuentas sobre las adquisiciones realizadas.</w:t>
      </w:r>
    </w:p>
    <w:p w14:paraId="11353827" w14:textId="77777777" w:rsidR="00053D93" w:rsidRDefault="00260B75">
      <w:pPr>
        <w:tabs>
          <w:tab w:val="center" w:pos="2552"/>
        </w:tabs>
        <w:spacing w:after="4" w:line="266" w:lineRule="auto"/>
      </w:pPr>
      <w:r>
        <w:rPr>
          <w:sz w:val="28"/>
        </w:rPr>
        <w:t>1</w:t>
      </w:r>
      <w:r>
        <w:rPr>
          <w:sz w:val="28"/>
        </w:rPr>
        <w:tab/>
        <w:t>Recomendación</w:t>
      </w:r>
    </w:p>
    <w:p w14:paraId="41B7ED62" w14:textId="77777777" w:rsidR="00053D93" w:rsidRDefault="00260B75">
      <w:pPr>
        <w:spacing w:after="214" w:line="269" w:lineRule="auto"/>
        <w:ind w:left="1681" w:right="14" w:hanging="3"/>
        <w:jc w:val="both"/>
      </w:pPr>
      <w:r>
        <w:rPr>
          <w:sz w:val="26"/>
        </w:rPr>
        <w:t>La Subdirectora Administrativa Financiera, debe girar instrucciones al Encargado de Fondo Rotativo y al Encargado de Caja Chica, a efecto que, se cumpla con la</w:t>
      </w:r>
    </w:p>
    <w:tbl>
      <w:tblPr>
        <w:tblStyle w:val="TableGrid"/>
        <w:tblpPr w:vertAnchor="text" w:tblpX="2525" w:tblpY="230"/>
        <w:tblOverlap w:val="never"/>
        <w:tblW w:w="7613" w:type="dxa"/>
        <w:tblInd w:w="0" w:type="dxa"/>
        <w:tblCellMar>
          <w:top w:w="46" w:type="dxa"/>
          <w:left w:w="1738" w:type="dxa"/>
          <w:right w:w="115" w:type="dxa"/>
        </w:tblCellMar>
        <w:tblLook w:val="04A0" w:firstRow="1" w:lastRow="0" w:firstColumn="1" w:lastColumn="0" w:noHBand="0" w:noVBand="1"/>
      </w:tblPr>
      <w:tblGrid>
        <w:gridCol w:w="7613"/>
      </w:tblGrid>
      <w:tr w:rsidR="00053D93" w14:paraId="4323E036" w14:textId="77777777">
        <w:trPr>
          <w:trHeight w:val="62"/>
        </w:trPr>
        <w:tc>
          <w:tcPr>
            <w:tcW w:w="7613" w:type="dxa"/>
            <w:tcBorders>
              <w:top w:val="nil"/>
              <w:left w:val="single" w:sz="2" w:space="0" w:color="000000"/>
              <w:bottom w:val="single" w:sz="2" w:space="0" w:color="000000"/>
              <w:right w:val="nil"/>
            </w:tcBorders>
          </w:tcPr>
          <w:p w14:paraId="481AB1CD" w14:textId="77777777" w:rsidR="00053D93" w:rsidRDefault="00053D93"/>
        </w:tc>
      </w:tr>
      <w:tr w:rsidR="00053D93" w14:paraId="4100E770" w14:textId="77777777">
        <w:trPr>
          <w:trHeight w:val="579"/>
        </w:trPr>
        <w:tc>
          <w:tcPr>
            <w:tcW w:w="7613" w:type="dxa"/>
            <w:tcBorders>
              <w:top w:val="single" w:sz="2" w:space="0" w:color="000000"/>
              <w:left w:val="single" w:sz="2" w:space="0" w:color="000000"/>
              <w:bottom w:val="nil"/>
              <w:right w:val="nil"/>
            </w:tcBorders>
          </w:tcPr>
          <w:p w14:paraId="525D502E" w14:textId="77777777" w:rsidR="00053D93" w:rsidRDefault="00260B75">
            <w:pPr>
              <w:ind w:left="842"/>
            </w:pPr>
            <w:r>
              <w:rPr>
                <w:sz w:val="14"/>
              </w:rPr>
              <w:t>MINISTERIO OE EDUCACION</w:t>
            </w:r>
          </w:p>
          <w:p w14:paraId="60D9E95F" w14:textId="77777777" w:rsidR="00053D93" w:rsidRDefault="00260B75">
            <w:pPr>
              <w:ind w:left="338"/>
            </w:pPr>
            <w:r>
              <w:rPr>
                <w:sz w:val="14"/>
              </w:rPr>
              <w:t>AUDITORIA FINANCIERA Y DE CUMPLIMIENTO</w:t>
            </w:r>
          </w:p>
          <w:p w14:paraId="22DADA99" w14:textId="77777777" w:rsidR="00053D93" w:rsidRDefault="00260B75">
            <w:r>
              <w:rPr>
                <w:sz w:val="14"/>
              </w:rPr>
              <w:t>PERIODO DEL Dl DE ENERO AL 31 DE DICIEMBRE OE 2024</w:t>
            </w:r>
          </w:p>
        </w:tc>
      </w:tr>
    </w:tbl>
    <w:p w14:paraId="5ABB94F1" w14:textId="77777777" w:rsidR="00053D93" w:rsidRDefault="00260B75">
      <w:pPr>
        <w:spacing w:after="4" w:line="216" w:lineRule="auto"/>
        <w:ind w:left="60" w:right="14" w:hanging="3"/>
        <w:jc w:val="both"/>
      </w:pPr>
      <w:r>
        <w:rPr>
          <w:sz w:val="26"/>
        </w:rPr>
        <w:t>1 publicación de las actas de negociación en el Sistema de GUATECOMPRAS, , III</w:t>
      </w:r>
      <w:r>
        <w:rPr>
          <w:noProof/>
        </w:rPr>
        <w:drawing>
          <wp:inline distT="0" distB="0" distL="0" distR="0" wp14:anchorId="3F8D3603" wp14:editId="275DE696">
            <wp:extent cx="996696" cy="411480"/>
            <wp:effectExtent l="0" t="0" r="0" b="0"/>
            <wp:docPr id="1443054" name="Picture 1443054"/>
            <wp:cNvGraphicFramePr/>
            <a:graphic xmlns:a="http://schemas.openxmlformats.org/drawingml/2006/main">
              <a:graphicData uri="http://schemas.openxmlformats.org/drawingml/2006/picture">
                <pic:pic xmlns:pic="http://schemas.openxmlformats.org/drawingml/2006/picture">
                  <pic:nvPicPr>
                    <pic:cNvPr id="1443054" name="Picture 1443054"/>
                    <pic:cNvPicPr/>
                  </pic:nvPicPr>
                  <pic:blipFill>
                    <a:blip r:embed="rId1871"/>
                    <a:stretch>
                      <a:fillRect/>
                    </a:stretch>
                  </pic:blipFill>
                  <pic:spPr>
                    <a:xfrm>
                      <a:off x="0" y="0"/>
                      <a:ext cx="996696" cy="411480"/>
                    </a:xfrm>
                    <a:prstGeom prst="rect">
                      <a:avLst/>
                    </a:prstGeom>
                  </pic:spPr>
                </pic:pic>
              </a:graphicData>
            </a:graphic>
          </wp:inline>
        </w:drawing>
      </w:r>
    </w:p>
    <w:p w14:paraId="694DD8E9" w14:textId="77777777" w:rsidR="00053D93" w:rsidRDefault="00260B75">
      <w:pPr>
        <w:spacing w:after="13"/>
        <w:ind w:left="1685"/>
      </w:pPr>
      <w:r>
        <w:rPr>
          <w:noProof/>
        </w:rPr>
        <mc:AlternateContent>
          <mc:Choice Requires="wpg">
            <w:drawing>
              <wp:inline distT="0" distB="0" distL="0" distR="0" wp14:anchorId="5863C5A2" wp14:editId="06A1BA16">
                <wp:extent cx="5381244" cy="9144"/>
                <wp:effectExtent l="0" t="0" r="0" b="0"/>
                <wp:docPr id="2459071" name="Group 2459071"/>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2459070" name="Shape 2459070"/>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2459071" style="width:423.72pt;height:0.719994pt;mso-position-horizontal-relative:char;mso-position-vertical-relative:line" coordsize="53812,91">
                <v:shape id="Shape 2459070" style="position:absolute;width:53812;height:91;left:0;top:0;" coordsize="5381244,9144" path="m0,4572l5381244,4572">
                  <v:stroke weight="0.719994pt" endcap="flat" joinstyle="miter" miterlimit="1" on="true" color="#000000"/>
                  <v:fill on="false" color="#000000"/>
                </v:shape>
              </v:group>
            </w:pict>
          </mc:Fallback>
        </mc:AlternateContent>
      </w:r>
    </w:p>
    <w:p w14:paraId="6A874A0B" w14:textId="77777777" w:rsidR="00053D93" w:rsidRDefault="00260B75">
      <w:pPr>
        <w:tabs>
          <w:tab w:val="center" w:pos="4723"/>
        </w:tabs>
        <w:spacing w:after="190" w:line="269" w:lineRule="auto"/>
      </w:pPr>
      <w:r>
        <w:rPr>
          <w:sz w:val="26"/>
        </w:rPr>
        <w:t>1</w:t>
      </w:r>
      <w:r>
        <w:rPr>
          <w:sz w:val="26"/>
        </w:rPr>
        <w:tab/>
        <w:t>conforme al plazo establecido en la normativa legal vigente.</w:t>
      </w:r>
    </w:p>
    <w:p w14:paraId="63307B4F" w14:textId="77777777" w:rsidR="00053D93" w:rsidRDefault="00260B75">
      <w:pPr>
        <w:tabs>
          <w:tab w:val="center" w:pos="3452"/>
        </w:tabs>
        <w:spacing w:after="4" w:line="269" w:lineRule="auto"/>
      </w:pPr>
      <w:r>
        <w:rPr>
          <w:sz w:val="26"/>
        </w:rPr>
        <w:t>1</w:t>
      </w:r>
      <w:r>
        <w:rPr>
          <w:sz w:val="26"/>
        </w:rPr>
        <w:tab/>
        <w:t>Comentario de los responsables</w:t>
      </w:r>
    </w:p>
    <w:p w14:paraId="55F77471" w14:textId="77777777" w:rsidR="00053D93" w:rsidRDefault="00260B75">
      <w:pPr>
        <w:spacing w:after="4" w:line="220" w:lineRule="auto"/>
        <w:ind w:left="57" w:right="14" w:firstLine="1627"/>
        <w:jc w:val="both"/>
      </w:pPr>
      <w:r>
        <w:rPr>
          <w:sz w:val="26"/>
        </w:rPr>
        <w:t xml:space="preserve">En Oficio No. DIGECADE-SAF/149-2025, del 07 de abril de 2025, el licenciado Rony Daniel Portillo Paredes, Encargado del Fondo Rotativo, manifiesta•. </w:t>
      </w:r>
      <w:r>
        <w:rPr>
          <w:sz w:val="26"/>
          <w:vertAlign w:val="superscript"/>
        </w:rPr>
        <w:t>t</w:t>
      </w:r>
      <w:r>
        <w:rPr>
          <w:sz w:val="26"/>
        </w:rPr>
        <w:t>' la 1 publicación extemporánea de las actas de negociación en el portal de</w:t>
      </w:r>
    </w:p>
    <w:p w14:paraId="113AFEBA" w14:textId="77777777" w:rsidR="00053D93" w:rsidRDefault="00260B75">
      <w:pPr>
        <w:spacing w:after="4" w:line="269" w:lineRule="auto"/>
        <w:ind w:left="57" w:right="14" w:firstLine="1656"/>
        <w:jc w:val="both"/>
      </w:pPr>
      <w:r>
        <w:rPr>
          <w:sz w:val="26"/>
        </w:rPr>
        <w:t>Guatecompras se debió a varios factores ya que los funcionarios entrantes al 1 desconocer los procedimientos establecidos en el Sistema de Gestión giraron instrucciones confusas a todo el personal lo que ocasiono un atraso en los procesos para liquidar las compras de baja cuantía, ya que por disposiciones de 1 las autoridades superiores de DIGECADE todo documento financiero (oficios, vales de caja chica, gastos requerimiento, especificaciones técnicas etc.) debían pasar por revisión y rúbrica de la Licda. Zuly Alejandra Villalobos Tercero, Subdirectora Administrativa Financiera, antes de que la directora procediera a firmar dichos documentos lo que causo que las Subdirecciones liquidaran los 1 expedientes extemporáneamente desfasando el proceso de publicación del Número de Publicación en Guatecompras -NPG- inicialmente dicha instrucción se dio de forma verbal en su momento, pero debido a los problemas que ocasiono se 1 enviaron algunos correos electrónicos... "</w:t>
      </w:r>
    </w:p>
    <w:p w14:paraId="1F4AD9B9" w14:textId="77777777" w:rsidR="00053D93" w:rsidRDefault="00260B75">
      <w:pPr>
        <w:spacing w:after="29" w:line="269" w:lineRule="auto"/>
        <w:ind w:left="57" w:right="14" w:firstLine="1649"/>
        <w:jc w:val="both"/>
      </w:pPr>
      <w:r>
        <w:rPr>
          <w:sz w:val="26"/>
        </w:rPr>
        <w:t>En Oficio No. DIGECADE-SAF-154-2025, del 09 de abril de 2025, el señor Juan 1 Francisco Sil Ortiz, Encargado de Caja Chica, manifiesta: "...la Publicación Extemporánea del Acta de Negociación en el portal de Guatecompras, es derivado -1 de varios factores ya que los funcionarios entrantes al desconocer los procedimientos establecidos en el Sistema de Gestión giraron instrucciones confusas a todo el personal lo que ocasionó un atraso en los procesos para</w:t>
      </w:r>
    </w:p>
    <w:p w14:paraId="158F51DF" w14:textId="77777777" w:rsidR="00053D93" w:rsidRDefault="00260B75">
      <w:pPr>
        <w:spacing w:after="52"/>
        <w:ind w:left="1058"/>
      </w:pPr>
      <w:r>
        <w:rPr>
          <w:noProof/>
        </w:rPr>
        <w:drawing>
          <wp:inline distT="0" distB="0" distL="0" distR="0" wp14:anchorId="056C967E" wp14:editId="31D6119A">
            <wp:extent cx="9144" cy="13716"/>
            <wp:effectExtent l="0" t="0" r="0" b="0"/>
            <wp:docPr id="1446751" name="Picture 1446751"/>
            <wp:cNvGraphicFramePr/>
            <a:graphic xmlns:a="http://schemas.openxmlformats.org/drawingml/2006/main">
              <a:graphicData uri="http://schemas.openxmlformats.org/drawingml/2006/picture">
                <pic:pic xmlns:pic="http://schemas.openxmlformats.org/drawingml/2006/picture">
                  <pic:nvPicPr>
                    <pic:cNvPr id="1446751" name="Picture 1446751"/>
                    <pic:cNvPicPr/>
                  </pic:nvPicPr>
                  <pic:blipFill>
                    <a:blip r:embed="rId627"/>
                    <a:stretch>
                      <a:fillRect/>
                    </a:stretch>
                  </pic:blipFill>
                  <pic:spPr>
                    <a:xfrm>
                      <a:off x="0" y="0"/>
                      <a:ext cx="9144" cy="13716"/>
                    </a:xfrm>
                    <a:prstGeom prst="rect">
                      <a:avLst/>
                    </a:prstGeom>
                  </pic:spPr>
                </pic:pic>
              </a:graphicData>
            </a:graphic>
          </wp:inline>
        </w:drawing>
      </w:r>
    </w:p>
    <w:p w14:paraId="36448C50" w14:textId="77777777" w:rsidR="00053D93" w:rsidRDefault="00260B75">
      <w:pPr>
        <w:spacing w:after="293" w:line="269" w:lineRule="auto"/>
        <w:ind w:left="57" w:right="14" w:firstLine="1656"/>
        <w:jc w:val="both"/>
      </w:pPr>
      <w:r>
        <w:rPr>
          <w:sz w:val="26"/>
        </w:rPr>
        <w:t>liquidar las compras de baja cuantía, ya que por disposiciones de las autoridades superiores de DIGECADE todo documento financiero (oficios, vales de baja chica, gastos de requerimiento, especificaciones técnicas, etc.) debían pasar por revisión y rubrica de la Licenciada Zuly Alejandra Villalobos Tercero, Subdirectora Administrativa Financiera, así mismo debían de llevar los formularios IH (ingreso y -1 egreso a almacén) y el formulario de despacho antes de que la directora procediera a firmar dichos documentos Io que causo que las Subdirecciones liquidaran los expedientes extemporáneamente desfasando el proceso de -1 publicación del Número de Publicación en Guatecompras -NPG- inicialmente dicha instrucción fue únicamente verbal en su momento, pero debido a los problemas que ocasiono fueron enviados unos correos... "</w:t>
      </w:r>
    </w:p>
    <w:p w14:paraId="7EC7AAA8" w14:textId="77777777" w:rsidR="00053D93" w:rsidRDefault="00260B75">
      <w:pPr>
        <w:spacing w:after="4" w:line="269" w:lineRule="auto"/>
        <w:ind w:left="1630" w:right="14" w:hanging="3"/>
        <w:jc w:val="both"/>
      </w:pPr>
      <w:r>
        <w:rPr>
          <w:sz w:val="26"/>
        </w:rPr>
        <w:t>Comentario de auditoría</w:t>
      </w:r>
    </w:p>
    <w:p w14:paraId="4CEAE7D1" w14:textId="77777777" w:rsidR="00053D93" w:rsidRDefault="00260B75">
      <w:pPr>
        <w:spacing w:after="4" w:line="269" w:lineRule="auto"/>
        <w:ind w:left="1616" w:right="86" w:hanging="3"/>
        <w:jc w:val="both"/>
      </w:pPr>
      <w:r>
        <w:rPr>
          <w:sz w:val="26"/>
        </w:rPr>
        <w:t>Se confirma el hallazgo, para el licenciado Rony Daniel Portillo Paredes, Encargado del Fondo Rotativo, en virtud que, sus comentarios y pruebas de descargo, no desvanecen los hechos que se le atribuyen; derivado que, el responsable admite que la publicación extemporánea del acta de negociación en</w:t>
      </w:r>
    </w:p>
    <w:tbl>
      <w:tblPr>
        <w:tblStyle w:val="TableGrid"/>
        <w:tblW w:w="9418" w:type="dxa"/>
        <w:tblInd w:w="670" w:type="dxa"/>
        <w:tblLook w:val="04A0" w:firstRow="1" w:lastRow="0" w:firstColumn="1" w:lastColumn="0" w:noHBand="0" w:noVBand="1"/>
      </w:tblPr>
      <w:tblGrid>
        <w:gridCol w:w="1311"/>
        <w:gridCol w:w="8200"/>
      </w:tblGrid>
      <w:tr w:rsidR="00053D93" w14:paraId="46F94CAF" w14:textId="77777777">
        <w:trPr>
          <w:trHeight w:val="641"/>
        </w:trPr>
        <w:tc>
          <w:tcPr>
            <w:tcW w:w="1781" w:type="dxa"/>
            <w:tcBorders>
              <w:top w:val="nil"/>
              <w:left w:val="nil"/>
              <w:bottom w:val="nil"/>
              <w:right w:val="nil"/>
            </w:tcBorders>
          </w:tcPr>
          <w:p w14:paraId="6ACC0F45" w14:textId="77777777" w:rsidR="00053D93" w:rsidRDefault="00260B75">
            <w:r>
              <w:rPr>
                <w:noProof/>
              </w:rPr>
              <w:drawing>
                <wp:inline distT="0" distB="0" distL="0" distR="0" wp14:anchorId="7C6E12C3" wp14:editId="25D2D088">
                  <wp:extent cx="1120140" cy="406908"/>
                  <wp:effectExtent l="0" t="0" r="0" b="0"/>
                  <wp:docPr id="1446801" name="Picture 1446801"/>
                  <wp:cNvGraphicFramePr/>
                  <a:graphic xmlns:a="http://schemas.openxmlformats.org/drawingml/2006/main">
                    <a:graphicData uri="http://schemas.openxmlformats.org/drawingml/2006/picture">
                      <pic:pic xmlns:pic="http://schemas.openxmlformats.org/drawingml/2006/picture">
                        <pic:nvPicPr>
                          <pic:cNvPr id="1446801" name="Picture 1446801"/>
                          <pic:cNvPicPr/>
                        </pic:nvPicPr>
                        <pic:blipFill>
                          <a:blip r:embed="rId1872"/>
                          <a:stretch>
                            <a:fillRect/>
                          </a:stretch>
                        </pic:blipFill>
                        <pic:spPr>
                          <a:xfrm>
                            <a:off x="0" y="0"/>
                            <a:ext cx="1120140" cy="406908"/>
                          </a:xfrm>
                          <a:prstGeom prst="rect">
                            <a:avLst/>
                          </a:prstGeom>
                        </pic:spPr>
                      </pic:pic>
                    </a:graphicData>
                  </a:graphic>
                </wp:inline>
              </w:drawing>
            </w:r>
          </w:p>
        </w:tc>
        <w:tc>
          <w:tcPr>
            <w:tcW w:w="7637" w:type="dxa"/>
            <w:tcBorders>
              <w:top w:val="nil"/>
              <w:left w:val="nil"/>
              <w:bottom w:val="nil"/>
              <w:right w:val="nil"/>
            </w:tcBorders>
          </w:tcPr>
          <w:p w14:paraId="3172BBCF" w14:textId="77777777" w:rsidR="00053D93" w:rsidRDefault="00053D93">
            <w:pPr>
              <w:ind w:left="-2745" w:right="10382"/>
            </w:pPr>
          </w:p>
          <w:tbl>
            <w:tblPr>
              <w:tblStyle w:val="TableGrid"/>
              <w:tblW w:w="7620" w:type="dxa"/>
              <w:tblInd w:w="17" w:type="dxa"/>
              <w:tblCellMar>
                <w:top w:w="32" w:type="dxa"/>
                <w:left w:w="1738" w:type="dxa"/>
                <w:right w:w="115" w:type="dxa"/>
              </w:tblCellMar>
              <w:tblLook w:val="04A0" w:firstRow="1" w:lastRow="0" w:firstColumn="1" w:lastColumn="0" w:noHBand="0" w:noVBand="1"/>
            </w:tblPr>
            <w:tblGrid>
              <w:gridCol w:w="7620"/>
            </w:tblGrid>
            <w:tr w:rsidR="00053D93" w14:paraId="07B538E6" w14:textId="77777777">
              <w:trPr>
                <w:trHeight w:val="62"/>
              </w:trPr>
              <w:tc>
                <w:tcPr>
                  <w:tcW w:w="7620" w:type="dxa"/>
                  <w:tcBorders>
                    <w:top w:val="nil"/>
                    <w:left w:val="single" w:sz="2" w:space="0" w:color="000000"/>
                    <w:bottom w:val="single" w:sz="2" w:space="0" w:color="000000"/>
                    <w:right w:val="nil"/>
                  </w:tcBorders>
                </w:tcPr>
                <w:p w14:paraId="199BC3DA" w14:textId="77777777" w:rsidR="00053D93" w:rsidRDefault="00053D93"/>
              </w:tc>
            </w:tr>
            <w:tr w:rsidR="00053D93" w14:paraId="1C6180FD" w14:textId="77777777">
              <w:trPr>
                <w:trHeight w:val="572"/>
              </w:trPr>
              <w:tc>
                <w:tcPr>
                  <w:tcW w:w="7620" w:type="dxa"/>
                  <w:tcBorders>
                    <w:top w:val="single" w:sz="2" w:space="0" w:color="000000"/>
                    <w:left w:val="single" w:sz="2" w:space="0" w:color="000000"/>
                    <w:bottom w:val="nil"/>
                    <w:right w:val="nil"/>
                  </w:tcBorders>
                </w:tcPr>
                <w:p w14:paraId="4E547398" w14:textId="77777777" w:rsidR="00053D93" w:rsidRDefault="00260B75">
                  <w:pPr>
                    <w:ind w:left="842"/>
                  </w:pPr>
                  <w:r>
                    <w:rPr>
                      <w:sz w:val="14"/>
                    </w:rPr>
                    <w:t>MINISTERIO DE EDUCACION</w:t>
                  </w:r>
                </w:p>
                <w:p w14:paraId="18E37639" w14:textId="77777777" w:rsidR="00053D93" w:rsidRDefault="00260B75">
                  <w:pPr>
                    <w:ind w:left="338"/>
                  </w:pPr>
                  <w:r>
                    <w:rPr>
                      <w:sz w:val="14"/>
                    </w:rPr>
                    <w:t>AUDITORIA ANANCIERA Y DE CUMPLIMIENTO</w:t>
                  </w:r>
                </w:p>
                <w:p w14:paraId="693B20AD" w14:textId="77777777" w:rsidR="00053D93" w:rsidRDefault="00260B75">
                  <w:r>
                    <w:rPr>
                      <w:sz w:val="14"/>
                    </w:rPr>
                    <w:t>PERIODO DEL 01 DE ENERO AL 31 OE DICIEMBRE DE 2024</w:t>
                  </w:r>
                </w:p>
              </w:tc>
            </w:tr>
          </w:tbl>
          <w:p w14:paraId="639E3237" w14:textId="77777777" w:rsidR="00053D93" w:rsidRDefault="00053D93"/>
        </w:tc>
      </w:tr>
    </w:tbl>
    <w:p w14:paraId="64FFB435" w14:textId="77777777" w:rsidR="00053D93" w:rsidRDefault="00053D93">
      <w:pPr>
        <w:sectPr w:rsidR="00053D93">
          <w:headerReference w:type="even" r:id="rId1873"/>
          <w:headerReference w:type="default" r:id="rId1874"/>
          <w:footerReference w:type="even" r:id="rId1875"/>
          <w:footerReference w:type="default" r:id="rId1876"/>
          <w:headerReference w:type="first" r:id="rId1877"/>
          <w:footerReference w:type="first" r:id="rId1878"/>
          <w:pgSz w:w="12290" w:h="15883"/>
          <w:pgMar w:top="1231" w:right="1814" w:bottom="516" w:left="295" w:header="410" w:footer="720" w:gutter="0"/>
          <w:cols w:space="720"/>
        </w:sectPr>
      </w:pPr>
    </w:p>
    <w:p w14:paraId="40B13EE7" w14:textId="77777777" w:rsidR="00053D93" w:rsidRDefault="00260B75">
      <w:pPr>
        <w:spacing w:after="299" w:line="250" w:lineRule="auto"/>
        <w:ind w:left="31" w:right="14" w:hanging="3"/>
        <w:jc w:val="both"/>
      </w:pPr>
      <w:r>
        <w:rPr>
          <w:sz w:val="26"/>
        </w:rPr>
        <w:t>el portal de Guatecompras, se debió a varios factores como el desconocimiento por parte de los funcionarios entrantes de los procedimientos establecidos en el sistema de gestión; asimismo, se giraron instrucciones confusas a todo el personal, ocasionando atraso en los procesos de liquidación de las compras de baja cuantía, confirmando así que las actas de negociación no fueron publicadas dentro del plazo establecido en la normativa aplicable, tal como lo indica el artículo 23 de la Resolución 001-2022 de la Dirección General de Adquisiciones del Estado, la cual establece que las Unidades Ejecutoras deberán publicar el acta de negociación dentro de los cinco (5) días hábiles posteriores a la emisión de la misma, sin condicionamiento alguno a revisiones internas o instrucciones verbales o escritas no contenidas en la normativa oficial. Las disposiciones administrativas internas, aun cuando provengan de autoridades superiores, no pueden justificar el incumplimiento de una norma de carácter legal y reglamentario.</w:t>
      </w:r>
    </w:p>
    <w:tbl>
      <w:tblPr>
        <w:tblStyle w:val="TableGrid"/>
        <w:tblpPr w:vertAnchor="page" w:horzAnchor="page" w:tblpX="2831" w:tblpY="14592"/>
        <w:tblOverlap w:val="never"/>
        <w:tblW w:w="7660" w:type="dxa"/>
        <w:tblInd w:w="0" w:type="dxa"/>
        <w:tblCellMar>
          <w:top w:w="21" w:type="dxa"/>
          <w:left w:w="1785" w:type="dxa"/>
          <w:right w:w="115" w:type="dxa"/>
        </w:tblCellMar>
        <w:tblLook w:val="04A0" w:firstRow="1" w:lastRow="0" w:firstColumn="1" w:lastColumn="0" w:noHBand="0" w:noVBand="1"/>
      </w:tblPr>
      <w:tblGrid>
        <w:gridCol w:w="7660"/>
      </w:tblGrid>
      <w:tr w:rsidR="00053D93" w14:paraId="607FEC39" w14:textId="77777777">
        <w:trPr>
          <w:trHeight w:val="615"/>
        </w:trPr>
        <w:tc>
          <w:tcPr>
            <w:tcW w:w="7660" w:type="dxa"/>
            <w:tcBorders>
              <w:top w:val="single" w:sz="2" w:space="0" w:color="000000"/>
              <w:left w:val="single" w:sz="2" w:space="0" w:color="000000"/>
              <w:bottom w:val="nil"/>
              <w:right w:val="nil"/>
            </w:tcBorders>
          </w:tcPr>
          <w:p w14:paraId="6AC7021A" w14:textId="77777777" w:rsidR="00053D93" w:rsidRDefault="00260B75">
            <w:pPr>
              <w:ind w:left="821"/>
            </w:pPr>
            <w:r>
              <w:rPr>
                <w:sz w:val="14"/>
              </w:rPr>
              <w:t>MINISTERIO EDUCACION</w:t>
            </w:r>
          </w:p>
          <w:p w14:paraId="6FA885A5" w14:textId="77777777" w:rsidR="00053D93" w:rsidRDefault="00260B75">
            <w:pPr>
              <w:ind w:left="338"/>
            </w:pPr>
            <w:r>
              <w:rPr>
                <w:sz w:val="14"/>
              </w:rPr>
              <w:t>AUDITORIA FINANCIERA Y DE CUMPLIMIENTO</w:t>
            </w:r>
          </w:p>
          <w:p w14:paraId="2F1C01DB" w14:textId="77777777" w:rsidR="00053D93" w:rsidRDefault="00260B75">
            <w:r>
              <w:rPr>
                <w:sz w:val="14"/>
              </w:rPr>
              <w:t>PERIODO DEL 01 DE ENERO AL 31 DE DICIEMBRE OE 2024</w:t>
            </w:r>
          </w:p>
        </w:tc>
      </w:tr>
    </w:tbl>
    <w:p w14:paraId="2696335B" w14:textId="77777777" w:rsidR="00053D93" w:rsidRDefault="00260B75">
      <w:pPr>
        <w:spacing w:after="573" w:line="250" w:lineRule="auto"/>
        <w:ind w:left="31" w:right="14" w:hanging="3"/>
        <w:jc w:val="both"/>
      </w:pPr>
      <w:r>
        <w:rPr>
          <w:noProof/>
        </w:rPr>
        <w:drawing>
          <wp:anchor distT="0" distB="0" distL="114300" distR="114300" simplePos="0" relativeHeight="252384256" behindDoc="0" locked="0" layoutInCell="1" allowOverlap="0" wp14:anchorId="2396B777" wp14:editId="680923B3">
            <wp:simplePos x="0" y="0"/>
            <wp:positionH relativeFrom="page">
              <wp:posOffset>576072</wp:posOffset>
            </wp:positionH>
            <wp:positionV relativeFrom="page">
              <wp:posOffset>9244584</wp:posOffset>
            </wp:positionV>
            <wp:extent cx="1165860" cy="448056"/>
            <wp:effectExtent l="0" t="0" r="0" b="0"/>
            <wp:wrapTopAndBottom/>
            <wp:docPr id="1451270" name="Picture 1451270"/>
            <wp:cNvGraphicFramePr/>
            <a:graphic xmlns:a="http://schemas.openxmlformats.org/drawingml/2006/main">
              <a:graphicData uri="http://schemas.openxmlformats.org/drawingml/2006/picture">
                <pic:pic xmlns:pic="http://schemas.openxmlformats.org/drawingml/2006/picture">
                  <pic:nvPicPr>
                    <pic:cNvPr id="1451270" name="Picture 1451270"/>
                    <pic:cNvPicPr/>
                  </pic:nvPicPr>
                  <pic:blipFill>
                    <a:blip r:embed="rId1879"/>
                    <a:stretch>
                      <a:fillRect/>
                    </a:stretch>
                  </pic:blipFill>
                  <pic:spPr>
                    <a:xfrm>
                      <a:off x="0" y="0"/>
                      <a:ext cx="1165860" cy="448056"/>
                    </a:xfrm>
                    <a:prstGeom prst="rect">
                      <a:avLst/>
                    </a:prstGeom>
                  </pic:spPr>
                </pic:pic>
              </a:graphicData>
            </a:graphic>
          </wp:anchor>
        </w:drawing>
      </w:r>
      <w:r>
        <w:rPr>
          <w:noProof/>
        </w:rPr>
        <mc:AlternateContent>
          <mc:Choice Requires="wpg">
            <w:drawing>
              <wp:anchor distT="0" distB="0" distL="114300" distR="114300" simplePos="0" relativeHeight="252385280" behindDoc="0" locked="0" layoutInCell="1" allowOverlap="1" wp14:anchorId="41AB7134" wp14:editId="6922B64C">
                <wp:simplePos x="0" y="0"/>
                <wp:positionH relativeFrom="page">
                  <wp:posOffset>1243584</wp:posOffset>
                </wp:positionH>
                <wp:positionV relativeFrom="page">
                  <wp:posOffset>786384</wp:posOffset>
                </wp:positionV>
                <wp:extent cx="5390388" cy="13716"/>
                <wp:effectExtent l="0" t="0" r="0" b="0"/>
                <wp:wrapTopAndBottom/>
                <wp:docPr id="2459073" name="Group 2459073"/>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2459072" name="Shape 2459072"/>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9073" style="width:424.44pt;height:1.07999pt;position:absolute;mso-position-horizontal-relative:page;mso-position-horizontal:absolute;margin-left:97.92pt;mso-position-vertical-relative:page;margin-top:61.92pt;" coordsize="53903,137">
                <v:shape id="Shape 2459072" style="position:absolute;width:53903;height:137;left:0;top:0;" coordsize="5390388,13716" path="m0,6858l5390388,6858">
                  <v:stroke weight="1.07999pt" endcap="flat" joinstyle="miter" miterlimit="1" on="true" color="#000000"/>
                  <v:fill on="false" color="#000000"/>
                </v:shape>
                <w10:wrap type="topAndBottom"/>
              </v:group>
            </w:pict>
          </mc:Fallback>
        </mc:AlternateContent>
      </w:r>
      <w:r>
        <w:rPr>
          <w:sz w:val="26"/>
        </w:rPr>
        <w:t>Se confirma el hallazgo, para el señor Juan Francisco Sil Ortiz, Encargado de Caja Chica, en virtud que, sus comentarios y pruebas de descargo, no desvanecen los hechos que se le atribuyen; derivado que, el responsable admite que la publicación extemporánea del acta de negociación en el portal de Guatecompras, se debió a varios factores como el desconocimiento por parte de los funcionarios entrantes de los procedimientos establecidos en el sistema de gestión; asimismo, se giraron instrucciones confusas a todo el personal, ocasionando atraso en los procesos de liquidación de las compras de baja cuantía, confirmando así que las actas de negociación no fueron publicadas dentro del plazo establecido en la normativa aplicable, tal como lo indica el artículo 23 de la Resolución 001-2022 de la Dirección General de Adquisiciones del Estado, la cual exige que el acta de negociación se publique dentro de [os cinco días hábiles posteriores a su emisión, sin exceptuar o condicionar esta obligación a circunstancias internas o administrativas. Las indicaciones verbales, correos electrónicos o disposiciones internas que contradigan una norma jerárquicamente superior no pueden prevalecer ni eximir la responsabilidad individual en el cumplimiento del marco</w:t>
      </w:r>
    </w:p>
    <w:p w14:paraId="6B3CEC11" w14:textId="77777777" w:rsidR="00053D93" w:rsidRDefault="00260B75">
      <w:pPr>
        <w:spacing w:after="317" w:line="250" w:lineRule="auto"/>
        <w:ind w:left="31" w:right="14" w:hanging="3"/>
        <w:jc w:val="both"/>
      </w:pPr>
      <w:r>
        <w:rPr>
          <w:sz w:val="26"/>
        </w:rPr>
        <w:t>El hallazgo se notificó con el número 7 y en el presente informe le corresponde el número 5.</w:t>
      </w:r>
    </w:p>
    <w:p w14:paraId="1B39495B" w14:textId="77777777" w:rsidR="00053D93" w:rsidRDefault="00260B75">
      <w:pPr>
        <w:spacing w:after="14" w:line="251" w:lineRule="auto"/>
        <w:ind w:left="17" w:hanging="3"/>
        <w:jc w:val="both"/>
      </w:pPr>
      <w:r>
        <w:rPr>
          <w:sz w:val="28"/>
        </w:rPr>
        <w:t>Acciones legales</w:t>
      </w:r>
    </w:p>
    <w:p w14:paraId="7FBFE13A" w14:textId="77777777" w:rsidR="00053D93" w:rsidRDefault="00260B75">
      <w:pPr>
        <w:spacing w:after="12" w:line="250" w:lineRule="auto"/>
        <w:ind w:left="31" w:right="14" w:hanging="3"/>
        <w:jc w:val="both"/>
      </w:pPr>
      <w:r>
        <w:rPr>
          <w:sz w:val="26"/>
        </w:rPr>
        <w:t>Sanción económica de conformidad con Ley de Contrataciones del Estado, Decreto No. 57-92, reformado por el Decreto Número 46-2016, del Congreso de la</w:t>
      </w:r>
    </w:p>
    <w:p w14:paraId="7F305E9C" w14:textId="77777777" w:rsidR="00053D93" w:rsidRDefault="00053D93">
      <w:pPr>
        <w:sectPr w:rsidR="00053D93">
          <w:headerReference w:type="even" r:id="rId1880"/>
          <w:headerReference w:type="default" r:id="rId1881"/>
          <w:footerReference w:type="even" r:id="rId1882"/>
          <w:footerReference w:type="default" r:id="rId1883"/>
          <w:headerReference w:type="first" r:id="rId1884"/>
          <w:footerReference w:type="first" r:id="rId1885"/>
          <w:pgSz w:w="12290" w:h="15883"/>
          <w:pgMar w:top="1384" w:right="1865" w:bottom="670" w:left="1980" w:header="763" w:footer="720" w:gutter="0"/>
          <w:cols w:space="720"/>
        </w:sectPr>
      </w:pPr>
    </w:p>
    <w:p w14:paraId="7DAA8047" w14:textId="77777777" w:rsidR="00053D93" w:rsidRDefault="00260B75">
      <w:pPr>
        <w:spacing w:after="207" w:line="250" w:lineRule="auto"/>
        <w:ind w:left="31" w:right="14" w:hanging="3"/>
        <w:jc w:val="both"/>
      </w:pPr>
      <w:r>
        <w:rPr>
          <w:sz w:val="26"/>
        </w:rPr>
        <w:t>República, Artículo 82, para:</w:t>
      </w:r>
    </w:p>
    <w:p w14:paraId="11081C81" w14:textId="77777777" w:rsidR="00053D93" w:rsidRDefault="00260B75">
      <w:pPr>
        <w:spacing w:after="3" w:line="266" w:lineRule="auto"/>
        <w:ind w:left="17" w:hanging="10"/>
        <w:jc w:val="both"/>
      </w:pPr>
      <w:r>
        <w:rPr>
          <w:sz w:val="16"/>
        </w:rPr>
        <w:t>Cargo</w:t>
      </w:r>
    </w:p>
    <w:p w14:paraId="7F3A4C50" w14:textId="77777777" w:rsidR="00053D93" w:rsidRDefault="00260B75">
      <w:pPr>
        <w:spacing w:after="0" w:line="265" w:lineRule="auto"/>
        <w:ind w:left="17" w:hanging="10"/>
      </w:pPr>
      <w:r>
        <w:rPr>
          <w:sz w:val="18"/>
        </w:rPr>
        <w:t>ENCARGADO DE CAJA CHICA</w:t>
      </w:r>
    </w:p>
    <w:p w14:paraId="7A8E95E4" w14:textId="77777777" w:rsidR="00053D93" w:rsidRDefault="00260B75">
      <w:pPr>
        <w:spacing w:after="3" w:line="266" w:lineRule="auto"/>
        <w:ind w:left="24" w:hanging="10"/>
        <w:jc w:val="both"/>
      </w:pPr>
      <w:r>
        <w:rPr>
          <w:sz w:val="16"/>
        </w:rPr>
        <w:t>ENCARGADO DEL FONDO ROTATIVO</w:t>
      </w:r>
    </w:p>
    <w:p w14:paraId="4B193D58" w14:textId="77777777" w:rsidR="00053D93" w:rsidRDefault="00260B75">
      <w:pPr>
        <w:spacing w:after="3" w:line="266" w:lineRule="auto"/>
        <w:ind w:left="17" w:hanging="10"/>
        <w:jc w:val="both"/>
      </w:pPr>
      <w:r>
        <w:rPr>
          <w:sz w:val="16"/>
        </w:rPr>
        <w:t>Total</w:t>
      </w:r>
    </w:p>
    <w:p w14:paraId="22533A01" w14:textId="77777777" w:rsidR="00053D93" w:rsidRDefault="00260B75">
      <w:pPr>
        <w:tabs>
          <w:tab w:val="right" w:pos="5011"/>
        </w:tabs>
        <w:spacing w:after="61" w:line="266" w:lineRule="auto"/>
      </w:pPr>
      <w:r>
        <w:rPr>
          <w:sz w:val="16"/>
        </w:rPr>
        <w:t>Nombre</w:t>
      </w:r>
      <w:r>
        <w:rPr>
          <w:sz w:val="16"/>
        </w:rPr>
        <w:tab/>
        <w:t>Valor en Quetzaleg</w:t>
      </w:r>
    </w:p>
    <w:p w14:paraId="6DE4F474" w14:textId="77777777" w:rsidR="00053D93" w:rsidRDefault="00260B75">
      <w:pPr>
        <w:tabs>
          <w:tab w:val="right" w:pos="5011"/>
        </w:tabs>
        <w:spacing w:after="37" w:line="265" w:lineRule="auto"/>
      </w:pPr>
      <w:r>
        <w:rPr>
          <w:sz w:val="16"/>
        </w:rPr>
        <w:t>JUAN FRANCISCO SIL ORTIZ</w:t>
      </w:r>
      <w:r>
        <w:rPr>
          <w:sz w:val="16"/>
        </w:rPr>
        <w:tab/>
        <w:t>25.474.23</w:t>
      </w:r>
    </w:p>
    <w:p w14:paraId="0382F9E9" w14:textId="77777777" w:rsidR="00053D93" w:rsidRDefault="00260B75">
      <w:pPr>
        <w:tabs>
          <w:tab w:val="right" w:pos="5011"/>
        </w:tabs>
        <w:spacing w:after="0" w:line="265" w:lineRule="auto"/>
      </w:pPr>
      <w:r>
        <w:rPr>
          <w:sz w:val="18"/>
        </w:rPr>
        <w:t>RONY DANIEL PORTILLO PAREDES</w:t>
      </w:r>
      <w:r>
        <w:rPr>
          <w:sz w:val="18"/>
        </w:rPr>
        <w:tab/>
        <w:t>25.474.23</w:t>
      </w:r>
    </w:p>
    <w:p w14:paraId="52BA052F" w14:textId="77777777" w:rsidR="00053D93" w:rsidRDefault="00260B75">
      <w:pPr>
        <w:spacing w:after="0"/>
        <w:jc w:val="right"/>
      </w:pPr>
      <w:r>
        <w:rPr>
          <w:rFonts w:ascii="Courier New" w:eastAsia="Courier New" w:hAnsi="Courier New" w:cs="Courier New"/>
          <w:sz w:val="12"/>
        </w:rPr>
        <w:t>Q. 50,948.46</w:t>
      </w:r>
    </w:p>
    <w:p w14:paraId="4565B5FD" w14:textId="77777777" w:rsidR="00053D93" w:rsidRDefault="00053D93">
      <w:pPr>
        <w:sectPr w:rsidR="00053D93">
          <w:type w:val="continuous"/>
          <w:pgSz w:w="12290" w:h="15883"/>
          <w:pgMar w:top="1440" w:right="1865" w:bottom="1440" w:left="2009" w:header="720" w:footer="720" w:gutter="0"/>
          <w:cols w:num="2" w:space="720" w:equalWidth="0">
            <w:col w:w="2846" w:space="581"/>
            <w:col w:w="4990"/>
          </w:cols>
        </w:sectPr>
      </w:pPr>
    </w:p>
    <w:p w14:paraId="6A03838C" w14:textId="77777777" w:rsidR="00053D93" w:rsidRDefault="00260B75">
      <w:pPr>
        <w:spacing w:after="0"/>
        <w:ind w:right="9828"/>
      </w:pPr>
      <w:r>
        <w:rPr>
          <w:sz w:val="78"/>
        </w:rPr>
        <w:t>1</w:t>
      </w:r>
    </w:p>
    <w:p w14:paraId="23DA8D7E" w14:textId="77777777" w:rsidR="00053D93" w:rsidRDefault="00260B75">
      <w:pPr>
        <w:spacing w:after="288" w:line="251" w:lineRule="auto"/>
        <w:ind w:left="1658" w:hanging="3"/>
        <w:jc w:val="both"/>
      </w:pPr>
      <w:r>
        <w:rPr>
          <w:sz w:val="28"/>
        </w:rPr>
        <w:t>Hallazgo No. 6</w:t>
      </w:r>
    </w:p>
    <w:p w14:paraId="1272E960" w14:textId="77777777" w:rsidR="00053D93" w:rsidRDefault="00260B75">
      <w:pPr>
        <w:spacing w:after="298" w:line="251" w:lineRule="auto"/>
        <w:ind w:left="1658" w:hanging="3"/>
        <w:jc w:val="both"/>
      </w:pPr>
      <w:r>
        <w:rPr>
          <w:sz w:val="28"/>
        </w:rPr>
        <w:t>Falta de Registro de Bienes en Donaciones en el Libro de Inventarios y en el Módulo SICOIN.</w:t>
      </w:r>
    </w:p>
    <w:p w14:paraId="5D6FD01B" w14:textId="77777777" w:rsidR="00053D93" w:rsidRDefault="00260B75">
      <w:pPr>
        <w:spacing w:after="14" w:line="251" w:lineRule="auto"/>
        <w:ind w:left="1658" w:hanging="3"/>
        <w:jc w:val="both"/>
      </w:pPr>
      <w:r>
        <w:rPr>
          <w:sz w:val="28"/>
        </w:rPr>
        <w:t>Condición</w:t>
      </w:r>
    </w:p>
    <w:p w14:paraId="258F798C" w14:textId="77777777" w:rsidR="00053D93" w:rsidRDefault="00260B75">
      <w:pPr>
        <w:spacing w:after="242" w:line="250" w:lineRule="auto"/>
        <w:ind w:left="28" w:right="14" w:firstLine="1634"/>
        <w:jc w:val="both"/>
      </w:pPr>
      <w:r>
        <w:rPr>
          <w:sz w:val="26"/>
        </w:rPr>
        <w:t>En el Ministerio de Educación, Unidad Ejecutora 124 Dirección General de Gestión de Calidad Educativa -DIGECADE-, cuenta contable 1232 Maquinaria y equipo, se determinó conforme a muestra que los bienes recibidos como donaciones en 1 especie no fueron registrados en el Libro de Inventario, ni en el Módulo de Inventarios del Sistema de Contabilidad Integrada -SICOIN- y como procedimiento de Auditoría, se solicitó información sobre tres donaciones específicas, las que se detallan a continuación:</w:t>
      </w:r>
    </w:p>
    <w:p w14:paraId="0C36AC41" w14:textId="77777777" w:rsidR="00053D93" w:rsidRDefault="00260B75">
      <w:pPr>
        <w:spacing w:after="196" w:line="251" w:lineRule="auto"/>
        <w:ind w:left="1658" w:hanging="3"/>
        <w:jc w:val="both"/>
      </w:pPr>
      <w:r>
        <w:rPr>
          <w:sz w:val="28"/>
        </w:rPr>
        <w:t>1. Donación de la empresa Malher (2020): A través del Oficio No. CGC-DAS-03-0037-AFC-MlNEDUC-DlGECADE-26-2024, del 07 de noviembre de 2024, se solicitó información sobre esta donación. Dicha donación se encuentra</w:t>
      </w:r>
    </w:p>
    <w:tbl>
      <w:tblPr>
        <w:tblStyle w:val="TableGrid"/>
        <w:tblpPr w:vertAnchor="page" w:horzAnchor="page" w:tblpX="2816" w:tblpY="14642"/>
        <w:tblOverlap w:val="never"/>
        <w:tblW w:w="7646" w:type="dxa"/>
        <w:tblInd w:w="0" w:type="dxa"/>
        <w:tblCellMar>
          <w:top w:w="49" w:type="dxa"/>
          <w:left w:w="1770" w:type="dxa"/>
          <w:right w:w="115" w:type="dxa"/>
        </w:tblCellMar>
        <w:tblLook w:val="04A0" w:firstRow="1" w:lastRow="0" w:firstColumn="1" w:lastColumn="0" w:noHBand="0" w:noVBand="1"/>
      </w:tblPr>
      <w:tblGrid>
        <w:gridCol w:w="7646"/>
      </w:tblGrid>
      <w:tr w:rsidR="00053D93" w14:paraId="4F2B5ED2" w14:textId="77777777">
        <w:trPr>
          <w:trHeight w:val="608"/>
        </w:trPr>
        <w:tc>
          <w:tcPr>
            <w:tcW w:w="7646" w:type="dxa"/>
            <w:tcBorders>
              <w:top w:val="single" w:sz="2" w:space="0" w:color="000000"/>
              <w:left w:val="single" w:sz="2" w:space="0" w:color="000000"/>
              <w:bottom w:val="nil"/>
              <w:right w:val="nil"/>
            </w:tcBorders>
          </w:tcPr>
          <w:p w14:paraId="287AFC87" w14:textId="77777777" w:rsidR="00053D93" w:rsidRDefault="00260B75">
            <w:pPr>
              <w:ind w:left="835"/>
            </w:pPr>
            <w:r>
              <w:rPr>
                <w:sz w:val="14"/>
              </w:rPr>
              <w:t>MINISTERIO DE EDUCACION</w:t>
            </w:r>
          </w:p>
          <w:p w14:paraId="11368264" w14:textId="77777777" w:rsidR="00053D93" w:rsidRDefault="00260B75">
            <w:pPr>
              <w:ind w:left="346"/>
            </w:pPr>
            <w:r>
              <w:rPr>
                <w:sz w:val="14"/>
              </w:rPr>
              <w:t>AUDITORIA FINANCIERA Y DE CUMPLIMIENTO</w:t>
            </w:r>
          </w:p>
          <w:p w14:paraId="7334E468" w14:textId="77777777" w:rsidR="00053D93" w:rsidRDefault="00260B75">
            <w:pPr>
              <w:tabs>
                <w:tab w:val="center" w:pos="2034"/>
              </w:tabs>
            </w:pPr>
            <w:r>
              <w:rPr>
                <w:sz w:val="14"/>
              </w:rPr>
              <w:t xml:space="preserve">PERÍODO </w:t>
            </w:r>
            <w:r>
              <w:rPr>
                <w:sz w:val="14"/>
              </w:rPr>
              <w:tab/>
              <w:t>01 DE ENERO AL 31 DE DICIEMBRE DE 2024</w:t>
            </w:r>
          </w:p>
        </w:tc>
      </w:tr>
    </w:tbl>
    <w:p w14:paraId="4DE16DA3" w14:textId="77777777" w:rsidR="00053D93" w:rsidRDefault="00260B75">
      <w:pPr>
        <w:spacing w:after="485" w:line="250" w:lineRule="auto"/>
        <w:ind w:left="31" w:right="14" w:hanging="3"/>
        <w:jc w:val="both"/>
      </w:pPr>
      <w:r>
        <w:rPr>
          <w:noProof/>
        </w:rPr>
        <w:drawing>
          <wp:anchor distT="0" distB="0" distL="114300" distR="114300" simplePos="0" relativeHeight="252386304" behindDoc="0" locked="0" layoutInCell="1" allowOverlap="0" wp14:anchorId="73B87CB7" wp14:editId="07956308">
            <wp:simplePos x="0" y="0"/>
            <wp:positionH relativeFrom="page">
              <wp:posOffset>672084</wp:posOffset>
            </wp:positionH>
            <wp:positionV relativeFrom="page">
              <wp:posOffset>9281161</wp:posOffset>
            </wp:positionV>
            <wp:extent cx="1060704" cy="406908"/>
            <wp:effectExtent l="0" t="0" r="0" b="0"/>
            <wp:wrapTopAndBottom/>
            <wp:docPr id="1454894" name="Picture 1454894"/>
            <wp:cNvGraphicFramePr/>
            <a:graphic xmlns:a="http://schemas.openxmlformats.org/drawingml/2006/main">
              <a:graphicData uri="http://schemas.openxmlformats.org/drawingml/2006/picture">
                <pic:pic xmlns:pic="http://schemas.openxmlformats.org/drawingml/2006/picture">
                  <pic:nvPicPr>
                    <pic:cNvPr id="1454894" name="Picture 1454894"/>
                    <pic:cNvPicPr/>
                  </pic:nvPicPr>
                  <pic:blipFill>
                    <a:blip r:embed="rId1886"/>
                    <a:stretch>
                      <a:fillRect/>
                    </a:stretch>
                  </pic:blipFill>
                  <pic:spPr>
                    <a:xfrm>
                      <a:off x="0" y="0"/>
                      <a:ext cx="1060704" cy="406908"/>
                    </a:xfrm>
                    <a:prstGeom prst="rect">
                      <a:avLst/>
                    </a:prstGeom>
                  </pic:spPr>
                </pic:pic>
              </a:graphicData>
            </a:graphic>
          </wp:anchor>
        </w:drawing>
      </w:r>
      <w:r>
        <w:rPr>
          <w:noProof/>
        </w:rPr>
        <mc:AlternateContent>
          <mc:Choice Requires="wpg">
            <w:drawing>
              <wp:anchor distT="0" distB="0" distL="114300" distR="114300" simplePos="0" relativeHeight="252387328" behindDoc="0" locked="0" layoutInCell="1" allowOverlap="1" wp14:anchorId="0904E8C6" wp14:editId="1C62B69E">
                <wp:simplePos x="0" y="0"/>
                <wp:positionH relativeFrom="page">
                  <wp:posOffset>1234440</wp:posOffset>
                </wp:positionH>
                <wp:positionV relativeFrom="page">
                  <wp:posOffset>813816</wp:posOffset>
                </wp:positionV>
                <wp:extent cx="5381244" cy="13716"/>
                <wp:effectExtent l="0" t="0" r="0" b="0"/>
                <wp:wrapSquare wrapText="bothSides"/>
                <wp:docPr id="2459075" name="Group 2459075"/>
                <wp:cNvGraphicFramePr/>
                <a:graphic xmlns:a="http://schemas.openxmlformats.org/drawingml/2006/main">
                  <a:graphicData uri="http://schemas.microsoft.com/office/word/2010/wordprocessingGroup">
                    <wpg:wgp>
                      <wpg:cNvGrpSpPr/>
                      <wpg:grpSpPr>
                        <a:xfrm>
                          <a:off x="0" y="0"/>
                          <a:ext cx="5381244" cy="13716"/>
                          <a:chOff x="0" y="0"/>
                          <a:chExt cx="5381244" cy="13716"/>
                        </a:xfrm>
                      </wpg:grpSpPr>
                      <wps:wsp>
                        <wps:cNvPr id="2459074" name="Shape 2459074"/>
                        <wps:cNvSpPr/>
                        <wps:spPr>
                          <a:xfrm>
                            <a:off x="0" y="0"/>
                            <a:ext cx="5381244" cy="13716"/>
                          </a:xfrm>
                          <a:custGeom>
                            <a:avLst/>
                            <a:gdLst/>
                            <a:ahLst/>
                            <a:cxnLst/>
                            <a:rect l="0" t="0" r="0" b="0"/>
                            <a:pathLst>
                              <a:path w="5381244" h="13716">
                                <a:moveTo>
                                  <a:pt x="0" y="6858"/>
                                </a:moveTo>
                                <a:lnTo>
                                  <a:pt x="538124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59075" style="width:423.72pt;height:1.07999pt;position:absolute;mso-position-horizontal-relative:page;mso-position-horizontal:absolute;margin-left:97.2pt;mso-position-vertical-relative:page;margin-top:64.08pt;" coordsize="53812,137">
                <v:shape id="Shape 2459074" style="position:absolute;width:53812;height:137;left:0;top:0;" coordsize="5381244,13716" path="m0,6858l5381244,6858">
                  <v:stroke weight="1.07999pt" endcap="flat" joinstyle="miter" miterlimit="1" on="true" color="#000000"/>
                  <v:fill on="false" color="#000000"/>
                </v:shape>
                <w10:wrap type="square"/>
              </v:group>
            </w:pict>
          </mc:Fallback>
        </mc:AlternateContent>
      </w:r>
      <w:r>
        <w:rPr>
          <w:noProof/>
        </w:rPr>
        <w:drawing>
          <wp:anchor distT="0" distB="0" distL="114300" distR="114300" simplePos="0" relativeHeight="252388352" behindDoc="0" locked="0" layoutInCell="1" allowOverlap="0" wp14:anchorId="12049834" wp14:editId="554FBD55">
            <wp:simplePos x="0" y="0"/>
            <wp:positionH relativeFrom="page">
              <wp:posOffset>365760</wp:posOffset>
            </wp:positionH>
            <wp:positionV relativeFrom="page">
              <wp:posOffset>845820</wp:posOffset>
            </wp:positionV>
            <wp:extent cx="22860" cy="13716"/>
            <wp:effectExtent l="0" t="0" r="0" b="0"/>
            <wp:wrapSquare wrapText="bothSides"/>
            <wp:docPr id="1454810" name="Picture 1454810"/>
            <wp:cNvGraphicFramePr/>
            <a:graphic xmlns:a="http://schemas.openxmlformats.org/drawingml/2006/main">
              <a:graphicData uri="http://schemas.openxmlformats.org/drawingml/2006/picture">
                <pic:pic xmlns:pic="http://schemas.openxmlformats.org/drawingml/2006/picture">
                  <pic:nvPicPr>
                    <pic:cNvPr id="1454810" name="Picture 1454810"/>
                    <pic:cNvPicPr/>
                  </pic:nvPicPr>
                  <pic:blipFill>
                    <a:blip r:embed="rId1887"/>
                    <a:stretch>
                      <a:fillRect/>
                    </a:stretch>
                  </pic:blipFill>
                  <pic:spPr>
                    <a:xfrm>
                      <a:off x="0" y="0"/>
                      <a:ext cx="22860" cy="13716"/>
                    </a:xfrm>
                    <a:prstGeom prst="rect">
                      <a:avLst/>
                    </a:prstGeom>
                  </pic:spPr>
                </pic:pic>
              </a:graphicData>
            </a:graphic>
          </wp:anchor>
        </w:drawing>
      </w:r>
      <w:r>
        <w:rPr>
          <w:sz w:val="26"/>
        </w:rPr>
        <w:t>1 descrita en los puntos cuarto, octavo y noveno de las Actas número 23-2024 del 12 de abril de 2024 y 24-2024 del 15 de abril de 2024, del Libro de Actas Registro No. L2 70,924 de la Dirección General de Gestión de Calidad Educativa 1 -MINEDUC. En respuesta, mediante Oficio No. DIGECADE-SAF/674-2024 del 13 de noviembre de 2024, responden que no existe ninguna constancia o documentación que respaldara la recepción de estos bienes, ni su registró en el Libro de Inventarios ni en el SICOIN.</w:t>
      </w:r>
    </w:p>
    <w:p w14:paraId="5C37EDC4" w14:textId="77777777" w:rsidR="00053D93" w:rsidRDefault="00260B75">
      <w:pPr>
        <w:spacing w:after="12" w:line="250" w:lineRule="auto"/>
        <w:ind w:left="31" w:right="14" w:hanging="3"/>
        <w:jc w:val="both"/>
      </w:pPr>
      <w:r>
        <w:rPr>
          <w:sz w:val="26"/>
        </w:rPr>
        <w:t>1 2. Donación de equipo de cómputo por parte de la Secretaría de Educación de la República de Corea: A través del Oficio No. CGC-DAS-03-0037AFC-MlNEDUC-DlGECADE-28-2024, del 08 de noviembre de 2024, se solicitó 1 información sobre esta donación por un valor de US$197,617.00, dicha donación se encuentra descrita en el punto quinto del Acta número 32-2024 del 12 de abril 1 de 2024, del Libro de Actas Registro No. L2 70,924 de la Dirección General de Gestión de Calidad Educativa -MINEDUC-; La respuesta recibida el 14 de noviembre de 2024, mediante Oficio No. DIGECADE-SAF/683-2024, indicó que no se tenía constancia de la entrega de estos bienes ni de su registro en el sistema en el libro de inventarios, ni en el módulo de Sicoin, y que se desconocía la ubicación y persona responsable del equipo, según consta en el Oficio 1 DIGECADE-SAF-N0.202-2024 del 08 de mayo de 2024.</w:t>
      </w:r>
    </w:p>
    <w:p w14:paraId="68A95317" w14:textId="77777777" w:rsidR="00053D93" w:rsidRDefault="00260B75">
      <w:pPr>
        <w:spacing w:after="14" w:line="394" w:lineRule="auto"/>
        <w:ind w:left="1692" w:hanging="1642"/>
        <w:jc w:val="both"/>
      </w:pPr>
      <w:r>
        <w:rPr>
          <w:noProof/>
        </w:rPr>
        <w:drawing>
          <wp:inline distT="0" distB="0" distL="0" distR="0" wp14:anchorId="6F1F59CA" wp14:editId="20C49A83">
            <wp:extent cx="32004" cy="13716"/>
            <wp:effectExtent l="0" t="0" r="0" b="0"/>
            <wp:docPr id="1454811" name="Picture 1454811"/>
            <wp:cNvGraphicFramePr/>
            <a:graphic xmlns:a="http://schemas.openxmlformats.org/drawingml/2006/main">
              <a:graphicData uri="http://schemas.openxmlformats.org/drawingml/2006/picture">
                <pic:pic xmlns:pic="http://schemas.openxmlformats.org/drawingml/2006/picture">
                  <pic:nvPicPr>
                    <pic:cNvPr id="1454811" name="Picture 1454811"/>
                    <pic:cNvPicPr/>
                  </pic:nvPicPr>
                  <pic:blipFill>
                    <a:blip r:embed="rId1888"/>
                    <a:stretch>
                      <a:fillRect/>
                    </a:stretch>
                  </pic:blipFill>
                  <pic:spPr>
                    <a:xfrm>
                      <a:off x="0" y="0"/>
                      <a:ext cx="32004" cy="13716"/>
                    </a:xfrm>
                    <a:prstGeom prst="rect">
                      <a:avLst/>
                    </a:prstGeom>
                  </pic:spPr>
                </pic:pic>
              </a:graphicData>
            </a:graphic>
          </wp:inline>
        </w:drawing>
      </w:r>
      <w:r>
        <w:rPr>
          <w:sz w:val="28"/>
        </w:rPr>
        <w:t>1 3. Donación de mobiliario y equipo de cómputo por parte de la Secretaría General de la Presidencia (2006, 2007, 2009): Mediante el Oficio No.</w:t>
      </w:r>
    </w:p>
    <w:p w14:paraId="42E57FDC" w14:textId="77777777" w:rsidR="00053D93" w:rsidRDefault="00260B75">
      <w:pPr>
        <w:spacing w:after="61" w:line="251" w:lineRule="auto"/>
        <w:ind w:left="1658" w:hanging="3"/>
        <w:jc w:val="both"/>
      </w:pPr>
      <w:r>
        <w:rPr>
          <w:sz w:val="28"/>
        </w:rPr>
        <w:t>CGC-DAS-03-0037-AFC-MlNEDUC-DlGECADE-29-2024, también del 08 de</w:t>
      </w:r>
    </w:p>
    <w:p w14:paraId="7966E0FA" w14:textId="77777777" w:rsidR="00053D93" w:rsidRDefault="00260B75">
      <w:pPr>
        <w:spacing w:after="3"/>
        <w:ind w:left="140" w:hanging="10"/>
      </w:pPr>
      <w:r>
        <w:rPr>
          <w:sz w:val="72"/>
        </w:rPr>
        <w:t>1</w:t>
      </w:r>
    </w:p>
    <w:sectPr w:rsidR="00053D93">
      <w:type w:val="continuous"/>
      <w:pgSz w:w="12290" w:h="15883"/>
      <w:pgMar w:top="1440" w:right="1829" w:bottom="670" w:left="30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790005" w14:textId="77777777" w:rsidR="003D4CB5" w:rsidRDefault="003D4CB5">
      <w:pPr>
        <w:spacing w:after="0" w:line="240" w:lineRule="auto"/>
      </w:pPr>
      <w:r>
        <w:separator/>
      </w:r>
    </w:p>
  </w:endnote>
  <w:endnote w:type="continuationSeparator" w:id="0">
    <w:p w14:paraId="631AADC1" w14:textId="77777777" w:rsidR="003D4CB5" w:rsidRDefault="003D4C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Malgan Gothic">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D22F3" w14:textId="77777777" w:rsidR="00053D93" w:rsidRDefault="00053D93"/>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BCD3C" w14:textId="77777777" w:rsidR="00053D93" w:rsidRDefault="00260B75">
    <w:pPr>
      <w:spacing w:after="0"/>
      <w:ind w:left="43"/>
    </w:pPr>
    <w:r>
      <w:rPr>
        <w:rFonts w:ascii="Courier New" w:eastAsia="Courier New" w:hAnsi="Courier New" w:cs="Courier New"/>
        <w:sz w:val="64"/>
      </w:rPr>
      <w:t>1</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19D16" w14:textId="77777777" w:rsidR="00053D93" w:rsidRDefault="00053D93"/>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E1EC" w14:textId="77777777" w:rsidR="00053D93" w:rsidRDefault="00053D93"/>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F5949" w14:textId="77777777" w:rsidR="00053D93" w:rsidRDefault="00053D93"/>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B15DD" w14:textId="77777777" w:rsidR="00053D93" w:rsidRDefault="00260B75">
    <w:pPr>
      <w:spacing w:after="0"/>
      <w:ind w:left="36"/>
    </w:pPr>
    <w:r>
      <w:rPr>
        <w:rFonts w:ascii="Courier New" w:eastAsia="Courier New" w:hAnsi="Courier New" w:cs="Courier New"/>
        <w:sz w:val="64"/>
      </w:rPr>
      <w:t>1</w: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B4B12" w14:textId="77777777" w:rsidR="00053D93" w:rsidRDefault="00260B75">
    <w:pPr>
      <w:spacing w:after="0"/>
      <w:ind w:left="43"/>
    </w:pPr>
    <w:r>
      <w:rPr>
        <w:sz w:val="314"/>
        <w:vertAlign w:val="superscript"/>
      </w:rPr>
      <w:t xml:space="preserve">I </w:t>
    </w:r>
  </w:p>
  <w:p w14:paraId="151BD100" w14:textId="77777777" w:rsidR="00053D93" w:rsidRDefault="00260B75">
    <w:pPr>
      <w:spacing w:after="0"/>
      <w:ind w:left="50"/>
    </w:pPr>
    <w:r>
      <w:rPr>
        <w:rFonts w:ascii="Times New Roman" w:eastAsia="Times New Roman" w:hAnsi="Times New Roman" w:cs="Times New Roman"/>
        <w:sz w:val="66"/>
      </w:rPr>
      <w:t>1</w: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2004D" w14:textId="77777777" w:rsidR="00053D93" w:rsidRDefault="00260B75">
    <w:pPr>
      <w:spacing w:after="0"/>
      <w:ind w:left="43"/>
    </w:pPr>
    <w:r>
      <w:rPr>
        <w:sz w:val="314"/>
        <w:vertAlign w:val="superscript"/>
      </w:rPr>
      <w:t xml:space="preserve">I </w:t>
    </w:r>
  </w:p>
  <w:p w14:paraId="60127498" w14:textId="77777777" w:rsidR="00053D93" w:rsidRDefault="00260B75">
    <w:pPr>
      <w:spacing w:after="0"/>
      <w:ind w:left="50"/>
    </w:pPr>
    <w:r>
      <w:rPr>
        <w:rFonts w:ascii="Times New Roman" w:eastAsia="Times New Roman" w:hAnsi="Times New Roman" w:cs="Times New Roman"/>
        <w:sz w:val="66"/>
      </w:rPr>
      <w:t>1</w: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05319" w14:textId="77777777" w:rsidR="00053D93" w:rsidRDefault="00053D93"/>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297A3" w14:textId="77777777" w:rsidR="00053D93" w:rsidRDefault="00260B75">
    <w:pPr>
      <w:spacing w:after="0"/>
      <w:ind w:left="194"/>
    </w:pPr>
    <w:r>
      <w:rPr>
        <w:rFonts w:ascii="Times New Roman" w:eastAsia="Times New Roman" w:hAnsi="Times New Roman" w:cs="Times New Roman"/>
        <w:sz w:val="64"/>
        <w:vertAlign w:val="superscript"/>
      </w:rPr>
      <w:t xml:space="preserve">I </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8E643" w14:textId="77777777" w:rsidR="00053D93" w:rsidRDefault="00260B75">
    <w:pPr>
      <w:spacing w:after="0"/>
      <w:ind w:left="122"/>
    </w:pPr>
    <w:r>
      <w:rPr>
        <w:rFonts w:ascii="Courier New" w:eastAsia="Courier New" w:hAnsi="Courier New" w:cs="Courier New"/>
        <w:sz w:val="64"/>
      </w:rPr>
      <w:t>1</w: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B3702" w14:textId="77777777" w:rsidR="00053D93" w:rsidRDefault="00053D93"/>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FF4C4" w14:textId="77777777" w:rsidR="00053D93" w:rsidRDefault="00053D93"/>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B39A0" w14:textId="77777777" w:rsidR="00053D93" w:rsidRDefault="00053D93"/>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8EDED" w14:textId="77777777" w:rsidR="00053D93" w:rsidRDefault="00053D93"/>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F24F2" w14:textId="77777777" w:rsidR="00053D93" w:rsidRDefault="00053D93"/>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1AEFF" w14:textId="77777777" w:rsidR="00053D93" w:rsidRDefault="00053D93"/>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888D9" w14:textId="77777777" w:rsidR="00053D93" w:rsidRDefault="00053D93"/>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4BFF8" w14:textId="77777777" w:rsidR="00053D93" w:rsidRDefault="00260B75">
    <w:pPr>
      <w:spacing w:after="0"/>
      <w:ind w:left="43"/>
    </w:pPr>
    <w:r>
      <w:rPr>
        <w:rFonts w:ascii="Courier New" w:eastAsia="Courier New" w:hAnsi="Courier New" w:cs="Courier New"/>
        <w:sz w:val="64"/>
      </w:rPr>
      <w:t>1</w: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F777A" w14:textId="77777777" w:rsidR="00053D93" w:rsidRDefault="00260B75">
    <w:pPr>
      <w:spacing w:after="680"/>
      <w:ind w:left="266"/>
    </w:pPr>
    <w:r>
      <w:rPr>
        <w:rFonts w:ascii="Times New Roman" w:eastAsia="Times New Roman" w:hAnsi="Times New Roman" w:cs="Times New Roman"/>
        <w:sz w:val="74"/>
      </w:rPr>
      <w:t>1</w:t>
    </w:r>
  </w:p>
  <w:p w14:paraId="2FB77B6F" w14:textId="77777777" w:rsidR="00053D93" w:rsidRDefault="00260B75">
    <w:pPr>
      <w:spacing w:after="0"/>
      <w:ind w:left="295"/>
    </w:pPr>
    <w:r>
      <w:rPr>
        <w:rFonts w:ascii="Times New Roman" w:eastAsia="Times New Roman" w:hAnsi="Times New Roman" w:cs="Times New Roman"/>
        <w:sz w:val="72"/>
      </w:rPr>
      <w:t>1</w: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16ADA" w14:textId="77777777" w:rsidR="00053D93" w:rsidRDefault="00053D93"/>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6CCCF" w14:textId="77777777" w:rsidR="00053D93" w:rsidRDefault="00260B75">
    <w:pPr>
      <w:spacing w:after="0"/>
      <w:ind w:left="115"/>
    </w:pPr>
    <w:r>
      <w:rPr>
        <w:rFonts w:ascii="Courier New" w:eastAsia="Courier New" w:hAnsi="Courier New" w:cs="Courier New"/>
        <w:sz w:val="64"/>
      </w:rPr>
      <w:t>1</w: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6CEEF" w14:textId="77777777" w:rsidR="00053D93" w:rsidRDefault="00260B75">
    <w:pPr>
      <w:spacing w:after="680"/>
      <w:ind w:left="338"/>
    </w:pPr>
    <w:r>
      <w:rPr>
        <w:rFonts w:ascii="Times New Roman" w:eastAsia="Times New Roman" w:hAnsi="Times New Roman" w:cs="Times New Roman"/>
        <w:sz w:val="74"/>
      </w:rPr>
      <w:t>1</w:t>
    </w:r>
  </w:p>
  <w:p w14:paraId="5ADD8C5A" w14:textId="77777777" w:rsidR="00053D93" w:rsidRDefault="00260B75">
    <w:pPr>
      <w:spacing w:after="0"/>
      <w:ind w:left="367"/>
    </w:pPr>
    <w:r>
      <w:rPr>
        <w:rFonts w:ascii="Times New Roman" w:eastAsia="Times New Roman" w:hAnsi="Times New Roman" w:cs="Times New Roman"/>
        <w:sz w:val="72"/>
      </w:rPr>
      <w:t>1</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2F75C" w14:textId="77777777" w:rsidR="00053D93" w:rsidRDefault="00260B75">
    <w:pPr>
      <w:spacing w:after="0"/>
      <w:ind w:left="634" w:right="-886"/>
      <w:jc w:val="center"/>
    </w:pPr>
    <w:r>
      <w:rPr>
        <w:rFonts w:ascii="Courier New" w:eastAsia="Courier New" w:hAnsi="Courier New" w:cs="Courier New"/>
        <w:sz w:val="16"/>
      </w:rPr>
      <w:t xml:space="preserve">Contraloría General </w:t>
    </w:r>
    <w:r>
      <w:rPr>
        <w:rFonts w:ascii="Courier New" w:eastAsia="Courier New" w:hAnsi="Courier New" w:cs="Courier New"/>
        <w:sz w:val="18"/>
      </w:rPr>
      <w:t xml:space="preserve">de Cuentas </w:t>
    </w:r>
    <w:r>
      <w:rPr>
        <w:rFonts w:ascii="Courier New" w:eastAsia="Courier New" w:hAnsi="Courier New" w:cs="Courier New"/>
        <w:sz w:val="6"/>
      </w:rPr>
      <w:t xml:space="preserve">1 </w:t>
    </w:r>
    <w:r>
      <w:rPr>
        <w:rFonts w:ascii="Courier New" w:eastAsia="Courier New" w:hAnsi="Courier New" w:cs="Courier New"/>
        <w:sz w:val="16"/>
      </w:rPr>
      <w:t xml:space="preserve">7a. </w:t>
    </w:r>
    <w:r>
      <w:rPr>
        <w:rFonts w:ascii="Courier New" w:eastAsia="Courier New" w:hAnsi="Courier New" w:cs="Courier New"/>
        <w:sz w:val="18"/>
      </w:rPr>
      <w:t xml:space="preserve">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6"/>
      </w:rPr>
      <w:t>(502) 2417-8700.</w: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D96F6" w14:textId="77777777" w:rsidR="00053D93" w:rsidRDefault="00260B75">
    <w:pPr>
      <w:spacing w:after="680"/>
      <w:ind w:left="338"/>
    </w:pPr>
    <w:r>
      <w:rPr>
        <w:rFonts w:ascii="Times New Roman" w:eastAsia="Times New Roman" w:hAnsi="Times New Roman" w:cs="Times New Roman"/>
        <w:sz w:val="74"/>
      </w:rPr>
      <w:t>1</w:t>
    </w:r>
  </w:p>
  <w:p w14:paraId="09C53BF4" w14:textId="77777777" w:rsidR="00053D93" w:rsidRDefault="00260B75">
    <w:pPr>
      <w:spacing w:after="0"/>
      <w:ind w:left="367"/>
    </w:pPr>
    <w:r>
      <w:rPr>
        <w:rFonts w:ascii="Times New Roman" w:eastAsia="Times New Roman" w:hAnsi="Times New Roman" w:cs="Times New Roman"/>
        <w:sz w:val="72"/>
      </w:rPr>
      <w:t>1</w: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85314" w14:textId="77777777" w:rsidR="00053D93" w:rsidRDefault="00053D93"/>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904BD" w14:textId="77777777" w:rsidR="00053D93" w:rsidRDefault="00053D93"/>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353FE" w14:textId="77777777" w:rsidR="00053D93" w:rsidRDefault="00053D93"/>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F5BAE" w14:textId="77777777" w:rsidR="00053D93" w:rsidRDefault="00260B75">
    <w:pPr>
      <w:spacing w:after="0"/>
      <w:ind w:left="29"/>
    </w:pPr>
    <w:r>
      <w:rPr>
        <w:rFonts w:ascii="Courier New" w:eastAsia="Courier New" w:hAnsi="Courier New" w:cs="Courier New"/>
        <w:sz w:val="64"/>
      </w:rPr>
      <w:t>1</w: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58546" w14:textId="77777777" w:rsidR="00053D93" w:rsidRDefault="00260B75">
    <w:pPr>
      <w:spacing w:after="0"/>
      <w:ind w:left="29"/>
    </w:pPr>
    <w:r>
      <w:rPr>
        <w:rFonts w:ascii="Courier New" w:eastAsia="Courier New" w:hAnsi="Courier New" w:cs="Courier New"/>
        <w:sz w:val="64"/>
      </w:rPr>
      <w:t>1</w: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CF4DB" w14:textId="77777777" w:rsidR="00053D93" w:rsidRDefault="00053D93"/>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92ECB" w14:textId="77777777" w:rsidR="00053D93" w:rsidRDefault="00260B75">
    <w:pPr>
      <w:spacing w:after="0"/>
      <w:ind w:left="86"/>
    </w:pPr>
    <w:r>
      <w:rPr>
        <w:rFonts w:ascii="Courier New" w:eastAsia="Courier New" w:hAnsi="Courier New" w:cs="Courier New"/>
        <w:sz w:val="64"/>
      </w:rPr>
      <w:t>1</w: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F3C20" w14:textId="77777777" w:rsidR="00053D93" w:rsidRDefault="00260B75">
    <w:pPr>
      <w:spacing w:after="0"/>
      <w:ind w:left="86"/>
    </w:pPr>
    <w:r>
      <w:rPr>
        <w:rFonts w:ascii="Courier New" w:eastAsia="Courier New" w:hAnsi="Courier New" w:cs="Courier New"/>
        <w:sz w:val="64"/>
      </w:rPr>
      <w:t>1</w: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C082D" w14:textId="77777777" w:rsidR="00053D93" w:rsidRDefault="00260B75">
    <w:pPr>
      <w:spacing w:after="0"/>
      <w:ind w:left="86"/>
    </w:pPr>
    <w:r>
      <w:rPr>
        <w:rFonts w:ascii="Courier New" w:eastAsia="Courier New" w:hAnsi="Courier New" w:cs="Courier New"/>
        <w:sz w:val="64"/>
      </w:rPr>
      <w:t>1</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3D9BB" w14:textId="77777777" w:rsidR="00053D93" w:rsidRDefault="00260B75">
    <w:pPr>
      <w:spacing w:after="0"/>
      <w:ind w:left="72"/>
    </w:pPr>
    <w:r>
      <w:rPr>
        <w:rFonts w:ascii="Courier New" w:eastAsia="Courier New" w:hAnsi="Courier New" w:cs="Courier New"/>
        <w:sz w:val="64"/>
      </w:rPr>
      <w:t>1</w: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EA62B" w14:textId="77777777" w:rsidR="00053D93" w:rsidRDefault="00260B75">
    <w:pPr>
      <w:spacing w:after="0"/>
      <w:ind w:left="86"/>
    </w:pPr>
    <w:r>
      <w:rPr>
        <w:rFonts w:ascii="Courier New" w:eastAsia="Courier New" w:hAnsi="Courier New" w:cs="Courier New"/>
        <w:sz w:val="64"/>
      </w:rPr>
      <w:t>1</w: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4887F" w14:textId="77777777" w:rsidR="00053D93" w:rsidRDefault="00260B75">
    <w:pPr>
      <w:spacing w:after="0"/>
      <w:ind w:left="86"/>
    </w:pPr>
    <w:r>
      <w:rPr>
        <w:rFonts w:ascii="Courier New" w:eastAsia="Courier New" w:hAnsi="Courier New" w:cs="Courier New"/>
        <w:sz w:val="64"/>
      </w:rPr>
      <w:t>1</w: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DFBB2" w14:textId="77777777" w:rsidR="00053D93" w:rsidRDefault="00260B75">
    <w:pPr>
      <w:spacing w:after="0"/>
      <w:ind w:left="86"/>
    </w:pPr>
    <w:r>
      <w:rPr>
        <w:rFonts w:ascii="Courier New" w:eastAsia="Courier New" w:hAnsi="Courier New" w:cs="Courier New"/>
        <w:sz w:val="64"/>
      </w:rPr>
      <w:t>1</w: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52877" w14:textId="77777777" w:rsidR="00053D93" w:rsidRDefault="00053D93"/>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6145E" w14:textId="77777777" w:rsidR="00053D93" w:rsidRDefault="00053D93"/>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05D54" w14:textId="77777777" w:rsidR="00053D93" w:rsidRDefault="00260B75">
    <w:pPr>
      <w:spacing w:after="0"/>
      <w:ind w:left="101"/>
    </w:pPr>
    <w:r>
      <w:rPr>
        <w:rFonts w:ascii="Courier New" w:eastAsia="Courier New" w:hAnsi="Courier New" w:cs="Courier New"/>
        <w:sz w:val="64"/>
      </w:rPr>
      <w:t>1</w: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EC9E1" w14:textId="77777777" w:rsidR="00053D93" w:rsidRDefault="00053D93"/>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3F4D4" w14:textId="77777777" w:rsidR="00053D93" w:rsidRDefault="00053D93"/>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1927C" w14:textId="77777777" w:rsidR="00053D93" w:rsidRDefault="00053D93"/>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E3D14" w14:textId="77777777" w:rsidR="00053D93" w:rsidRDefault="00053D93"/>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83CE0" w14:textId="77777777" w:rsidR="00053D93" w:rsidRDefault="00260B75">
    <w:pPr>
      <w:spacing w:after="0"/>
      <w:ind w:left="72"/>
    </w:pPr>
    <w:r>
      <w:rPr>
        <w:rFonts w:ascii="Courier New" w:eastAsia="Courier New" w:hAnsi="Courier New" w:cs="Courier New"/>
        <w:sz w:val="64"/>
      </w:rPr>
      <w:t>1</w: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DCD3A" w14:textId="77777777" w:rsidR="00053D93" w:rsidRDefault="00053D93"/>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61996" w14:textId="77777777" w:rsidR="00053D93" w:rsidRDefault="00053D93"/>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D2EAF" w14:textId="77777777" w:rsidR="00053D93" w:rsidRDefault="00053D93"/>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8DF92" w14:textId="77777777" w:rsidR="00053D93" w:rsidRDefault="00053D93"/>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CFF3F" w14:textId="77777777" w:rsidR="00053D93" w:rsidRDefault="00053D93"/>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E0ABA" w14:textId="77777777" w:rsidR="00053D93" w:rsidRDefault="00053D93"/>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D904A" w14:textId="77777777" w:rsidR="00053D93" w:rsidRDefault="00260B75">
    <w:pPr>
      <w:spacing w:after="0"/>
      <w:ind w:left="108"/>
    </w:pPr>
    <w:r>
      <w:rPr>
        <w:rFonts w:ascii="Courier New" w:eastAsia="Courier New" w:hAnsi="Courier New" w:cs="Courier New"/>
        <w:sz w:val="64"/>
      </w:rPr>
      <w:t>1</w: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AA684" w14:textId="77777777" w:rsidR="00053D93" w:rsidRDefault="00053D93"/>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4E99E" w14:textId="77777777" w:rsidR="00053D93" w:rsidRDefault="00053D93"/>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376B2" w14:textId="77777777" w:rsidR="00053D93" w:rsidRDefault="00260B75">
    <w:pPr>
      <w:spacing w:after="0"/>
      <w:ind w:left="115"/>
    </w:pPr>
    <w:r>
      <w:rPr>
        <w:rFonts w:ascii="Courier New" w:eastAsia="Courier New" w:hAnsi="Courier New" w:cs="Courier New"/>
        <w:sz w:val="64"/>
      </w:rPr>
      <w:t>1</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FF1E3" w14:textId="77777777" w:rsidR="00053D93" w:rsidRDefault="00260B75">
    <w:pPr>
      <w:spacing w:after="0"/>
      <w:ind w:left="72"/>
    </w:pPr>
    <w:r>
      <w:rPr>
        <w:rFonts w:ascii="Courier New" w:eastAsia="Courier New" w:hAnsi="Courier New" w:cs="Courier New"/>
        <w:sz w:val="64"/>
      </w:rPr>
      <w:t>1</w: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4EB79" w14:textId="77777777" w:rsidR="00053D93" w:rsidRDefault="00260B75">
    <w:pPr>
      <w:spacing w:after="0"/>
      <w:ind w:left="115"/>
    </w:pPr>
    <w:r>
      <w:rPr>
        <w:rFonts w:ascii="Courier New" w:eastAsia="Courier New" w:hAnsi="Courier New" w:cs="Courier New"/>
        <w:sz w:val="64"/>
      </w:rPr>
      <w:t>1</w: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B7433" w14:textId="77777777" w:rsidR="00053D93" w:rsidRDefault="00053D93"/>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A5C60" w14:textId="77777777" w:rsidR="00053D93" w:rsidRDefault="00053D93"/>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7A9DE" w14:textId="77777777" w:rsidR="00053D93" w:rsidRDefault="00053D93"/>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2B8B0" w14:textId="77777777" w:rsidR="00053D93" w:rsidRDefault="00053D93"/>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3DC8E" w14:textId="77777777" w:rsidR="00053D93" w:rsidRDefault="00053D93"/>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AD2AE" w14:textId="77777777" w:rsidR="00053D93" w:rsidRDefault="00053D93"/>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DDF3" w14:textId="77777777" w:rsidR="00053D93" w:rsidRDefault="00053D93"/>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72E77" w14:textId="77777777" w:rsidR="00053D93" w:rsidRDefault="00053D93"/>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FBCA8" w14:textId="77777777" w:rsidR="00053D93" w:rsidRDefault="00053D93"/>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6AB30" w14:textId="77777777" w:rsidR="00053D93" w:rsidRDefault="00260B75">
    <w:pPr>
      <w:spacing w:after="0"/>
      <w:ind w:left="72"/>
    </w:pPr>
    <w:r>
      <w:rPr>
        <w:rFonts w:ascii="Courier New" w:eastAsia="Courier New" w:hAnsi="Courier New" w:cs="Courier New"/>
        <w:sz w:val="64"/>
      </w:rPr>
      <w:t>1</w: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AF7C9" w14:textId="77777777" w:rsidR="00053D93" w:rsidRDefault="00260B75">
    <w:pPr>
      <w:spacing w:after="0"/>
      <w:ind w:left="115"/>
    </w:pPr>
    <w:r>
      <w:rPr>
        <w:rFonts w:ascii="Courier New" w:eastAsia="Courier New" w:hAnsi="Courier New" w:cs="Courier New"/>
        <w:sz w:val="64"/>
      </w:rPr>
      <w:t>1</w: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0331C" w14:textId="77777777" w:rsidR="00053D93" w:rsidRDefault="00053D93"/>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E7BF3" w14:textId="77777777" w:rsidR="00053D93" w:rsidRDefault="00260B75">
    <w:pPr>
      <w:spacing w:after="0"/>
      <w:ind w:left="115"/>
    </w:pPr>
    <w:r>
      <w:rPr>
        <w:rFonts w:ascii="Courier New" w:eastAsia="Courier New" w:hAnsi="Courier New" w:cs="Courier New"/>
        <w:sz w:val="64"/>
      </w:rPr>
      <w:t>1</w: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863E2" w14:textId="77777777" w:rsidR="00053D93" w:rsidRDefault="00260B75">
    <w:pPr>
      <w:spacing w:after="0"/>
      <w:ind w:left="94"/>
    </w:pPr>
    <w:r>
      <w:rPr>
        <w:rFonts w:ascii="Courier New" w:eastAsia="Courier New" w:hAnsi="Courier New" w:cs="Courier New"/>
        <w:sz w:val="64"/>
      </w:rPr>
      <w:t>1</w: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31A0C" w14:textId="77777777" w:rsidR="00053D93" w:rsidRDefault="00053D93"/>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68F97" w14:textId="77777777" w:rsidR="00053D93" w:rsidRDefault="00260B75">
    <w:pPr>
      <w:spacing w:after="0"/>
      <w:ind w:left="94"/>
    </w:pPr>
    <w:r>
      <w:rPr>
        <w:rFonts w:ascii="Courier New" w:eastAsia="Courier New" w:hAnsi="Courier New" w:cs="Courier New"/>
        <w:sz w:val="64"/>
      </w:rPr>
      <w:t>1</w: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234B8" w14:textId="77777777" w:rsidR="00053D93" w:rsidRDefault="00053D93"/>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CA945" w14:textId="77777777" w:rsidR="00053D93" w:rsidRDefault="00053D93"/>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3D8B3" w14:textId="77777777" w:rsidR="00053D93" w:rsidRDefault="00053D93"/>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E49CA" w14:textId="77777777" w:rsidR="00053D93" w:rsidRDefault="00053D93"/>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3DDB1" w14:textId="77777777" w:rsidR="00053D93" w:rsidRDefault="00260B75">
    <w:pPr>
      <w:spacing w:after="0"/>
      <w:ind w:left="72"/>
    </w:pPr>
    <w:r>
      <w:rPr>
        <w:rFonts w:ascii="Courier New" w:eastAsia="Courier New" w:hAnsi="Courier New" w:cs="Courier New"/>
        <w:sz w:val="64"/>
      </w:rPr>
      <w:t>1</w:t>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56998" w14:textId="77777777" w:rsidR="00053D93" w:rsidRDefault="00053D93"/>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413AF" w14:textId="77777777" w:rsidR="00053D93" w:rsidRDefault="00053D93"/>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60C8A" w14:textId="77777777" w:rsidR="00053D93" w:rsidRDefault="00053D93"/>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3BA5D" w14:textId="77777777" w:rsidR="00053D93" w:rsidRDefault="00053D93"/>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ED43C" w14:textId="77777777" w:rsidR="00053D93" w:rsidRDefault="00053D93"/>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8C93F" w14:textId="77777777" w:rsidR="00053D93" w:rsidRDefault="00053D93"/>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C72C9" w14:textId="77777777" w:rsidR="00053D93" w:rsidRDefault="00053D93"/>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64E49" w14:textId="77777777" w:rsidR="00053D93" w:rsidRDefault="00053D93"/>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0B1B3" w14:textId="77777777" w:rsidR="00053D93" w:rsidRDefault="00053D93"/>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548F0" w14:textId="77777777" w:rsidR="00053D93" w:rsidRDefault="00053D93"/>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2454F" w14:textId="77777777" w:rsidR="00053D93" w:rsidRDefault="00260B75">
    <w:pPr>
      <w:spacing w:after="0"/>
      <w:ind w:left="72"/>
    </w:pPr>
    <w:r>
      <w:rPr>
        <w:rFonts w:ascii="Courier New" w:eastAsia="Courier New" w:hAnsi="Courier New" w:cs="Courier New"/>
        <w:sz w:val="64"/>
      </w:rPr>
      <w:t>1</w:t>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85301" w14:textId="77777777" w:rsidR="00053D93" w:rsidRDefault="00053D93"/>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F0D0D" w14:textId="77777777" w:rsidR="00053D93" w:rsidRDefault="00053D93"/>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844E6" w14:textId="77777777" w:rsidR="00053D93" w:rsidRDefault="00053D93"/>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9C6AA" w14:textId="77777777" w:rsidR="00053D93" w:rsidRDefault="00053D93"/>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3000B" w14:textId="77777777" w:rsidR="00053D93" w:rsidRDefault="00260B75">
    <w:pPr>
      <w:spacing w:after="0"/>
      <w:ind w:left="180"/>
    </w:pPr>
    <w:r>
      <w:rPr>
        <w:sz w:val="72"/>
      </w:rPr>
      <w:t>1</w:t>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62DAC" w14:textId="77777777" w:rsidR="00053D93" w:rsidRDefault="00260B75">
    <w:pPr>
      <w:spacing w:after="0"/>
      <w:ind w:left="180"/>
    </w:pPr>
    <w:r>
      <w:rPr>
        <w:sz w:val="72"/>
      </w:rPr>
      <w:t>1</w:t>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9837A" w14:textId="77777777" w:rsidR="00053D93" w:rsidRDefault="00260B75">
    <w:pPr>
      <w:spacing w:after="0"/>
      <w:ind w:left="180"/>
    </w:pPr>
    <w:r>
      <w:rPr>
        <w:sz w:val="72"/>
      </w:rPr>
      <w:t>1</w:t>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AEAB5" w14:textId="77777777" w:rsidR="00053D93" w:rsidRDefault="00260B75">
    <w:pPr>
      <w:spacing w:after="0"/>
      <w:ind w:left="187"/>
    </w:pPr>
    <w:r>
      <w:rPr>
        <w:sz w:val="72"/>
      </w:rPr>
      <w:t>1</w:t>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D2D82" w14:textId="77777777" w:rsidR="00053D93" w:rsidRDefault="00260B75">
    <w:pPr>
      <w:spacing w:after="0"/>
      <w:ind w:left="187"/>
    </w:pPr>
    <w:r>
      <w:rPr>
        <w:sz w:val="72"/>
      </w:rPr>
      <w:t>1</w:t>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88544" w14:textId="77777777" w:rsidR="00053D93" w:rsidRDefault="00260B75">
    <w:pPr>
      <w:spacing w:after="0"/>
      <w:ind w:left="187"/>
    </w:pPr>
    <w:r>
      <w:rPr>
        <w:sz w:val="72"/>
      </w:rPr>
      <w:t>1</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01BE1" w14:textId="77777777" w:rsidR="00053D93" w:rsidRDefault="00260B75">
    <w:pPr>
      <w:spacing w:after="0"/>
      <w:ind w:left="94"/>
    </w:pPr>
    <w:r>
      <w:rPr>
        <w:rFonts w:ascii="Courier New" w:eastAsia="Courier New" w:hAnsi="Courier New" w:cs="Courier New"/>
        <w:sz w:val="64"/>
      </w:rPr>
      <w:t>1</w:t>
    </w: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03D40" w14:textId="77777777" w:rsidR="00053D93" w:rsidRDefault="00053D93"/>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267CD" w14:textId="77777777" w:rsidR="00053D93" w:rsidRDefault="00260B75">
    <w:pPr>
      <w:spacing w:after="0"/>
      <w:ind w:left="137"/>
    </w:pPr>
    <w:r>
      <w:rPr>
        <w:sz w:val="72"/>
      </w:rPr>
      <w:t>1</w:t>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90F35" w14:textId="77777777" w:rsidR="00053D93" w:rsidRDefault="00053D93"/>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A77F1" w14:textId="77777777" w:rsidR="00053D93" w:rsidRDefault="00053D93"/>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063A8" w14:textId="77777777" w:rsidR="00053D93" w:rsidRDefault="00260B75">
    <w:pPr>
      <w:spacing w:after="0"/>
      <w:ind w:left="144"/>
    </w:pPr>
    <w:r>
      <w:rPr>
        <w:sz w:val="72"/>
      </w:rPr>
      <w:t>1</w:t>
    </w: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70398" w14:textId="77777777" w:rsidR="00053D93" w:rsidRDefault="00260B75">
    <w:pPr>
      <w:spacing w:after="0"/>
      <w:ind w:left="144"/>
    </w:pPr>
    <w:r>
      <w:rPr>
        <w:sz w:val="72"/>
      </w:rPr>
      <w:t>1</w:t>
    </w: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CA3A0" w14:textId="77777777" w:rsidR="00053D93" w:rsidRDefault="00053D93"/>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D11CA" w14:textId="77777777" w:rsidR="00053D93" w:rsidRDefault="00053D93"/>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B805A" w14:textId="77777777" w:rsidR="00053D93" w:rsidRDefault="00053D93"/>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6D0FC" w14:textId="77777777" w:rsidR="00053D93" w:rsidRDefault="00053D9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5E742" w14:textId="77777777" w:rsidR="00053D93" w:rsidRDefault="00053D93"/>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D6945" w14:textId="77777777" w:rsidR="00053D93" w:rsidRDefault="00260B75">
    <w:pPr>
      <w:spacing w:after="0"/>
      <w:ind w:left="94"/>
    </w:pPr>
    <w:r>
      <w:rPr>
        <w:rFonts w:ascii="Courier New" w:eastAsia="Courier New" w:hAnsi="Courier New" w:cs="Courier New"/>
        <w:sz w:val="64"/>
      </w:rPr>
      <w:t>1</w:t>
    </w: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3F891" w14:textId="77777777" w:rsidR="00053D93" w:rsidRDefault="00053D93"/>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287EA" w14:textId="77777777" w:rsidR="00053D93" w:rsidRDefault="00053D93"/>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12DDC" w14:textId="77777777" w:rsidR="00053D93" w:rsidRDefault="00053D93"/>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4B221" w14:textId="77777777" w:rsidR="00053D93" w:rsidRDefault="00053D93"/>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0A8B8" w14:textId="77777777" w:rsidR="00053D93" w:rsidRDefault="00053D93"/>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E722C" w14:textId="77777777" w:rsidR="00053D93" w:rsidRDefault="00053D93"/>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2B9F3" w14:textId="77777777" w:rsidR="00053D93" w:rsidRDefault="00053D93"/>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0897E" w14:textId="77777777" w:rsidR="00053D93" w:rsidRDefault="00053D93"/>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711B7" w14:textId="77777777" w:rsidR="00053D93" w:rsidRDefault="00053D93"/>
</w:ftr>
</file>

<file path=word/footer2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ABC41" w14:textId="77777777" w:rsidR="00053D93" w:rsidRDefault="00053D93"/>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06F65" w14:textId="77777777" w:rsidR="00053D93" w:rsidRDefault="00053D93"/>
</w:ftr>
</file>

<file path=word/footer2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43122" w14:textId="77777777" w:rsidR="00053D93" w:rsidRDefault="00053D93"/>
</w:ftr>
</file>

<file path=word/footer2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3CED7" w14:textId="77777777" w:rsidR="00053D93" w:rsidRDefault="00053D93"/>
</w:ftr>
</file>

<file path=word/footer2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325E4" w14:textId="77777777" w:rsidR="00053D93" w:rsidRDefault="00053D93"/>
</w:ftr>
</file>

<file path=word/footer2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E306A" w14:textId="77777777" w:rsidR="00053D93" w:rsidRDefault="00053D93"/>
</w:ftr>
</file>

<file path=word/footer2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738F7" w14:textId="77777777" w:rsidR="00053D93" w:rsidRDefault="00053D93"/>
</w:ftr>
</file>

<file path=word/footer2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47BC5" w14:textId="77777777" w:rsidR="00053D93" w:rsidRDefault="00053D93"/>
</w:ftr>
</file>

<file path=word/footer2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6E34B" w14:textId="77777777" w:rsidR="00053D93" w:rsidRDefault="00053D93"/>
</w:ftr>
</file>

<file path=word/footer2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30882" w14:textId="77777777" w:rsidR="00053D93" w:rsidRDefault="00053D93"/>
</w:ftr>
</file>

<file path=word/footer2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83F8A" w14:textId="77777777" w:rsidR="00053D93" w:rsidRDefault="00053D93"/>
</w:ftr>
</file>

<file path=word/footer2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D5CB7" w14:textId="77777777" w:rsidR="00053D93" w:rsidRDefault="00053D93"/>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E5946" w14:textId="77777777" w:rsidR="00053D93" w:rsidRDefault="00053D93"/>
</w:ftr>
</file>

<file path=word/footer2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910E7" w14:textId="77777777" w:rsidR="00053D93" w:rsidRDefault="00053D93"/>
</w:ftr>
</file>

<file path=word/footer2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B5410" w14:textId="77777777" w:rsidR="00053D93" w:rsidRDefault="00053D93"/>
</w:ftr>
</file>

<file path=word/footer2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D8853" w14:textId="77777777" w:rsidR="00053D93" w:rsidRDefault="00053D93"/>
</w:ftr>
</file>

<file path=word/footer2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8F352" w14:textId="77777777" w:rsidR="00053D93" w:rsidRDefault="00053D93"/>
</w:ftr>
</file>

<file path=word/footer2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031E4" w14:textId="77777777" w:rsidR="00053D93" w:rsidRDefault="00053D93"/>
</w:ftr>
</file>

<file path=word/footer2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DEC71" w14:textId="77777777" w:rsidR="00053D93" w:rsidRDefault="00053D93"/>
</w:ftr>
</file>

<file path=word/footer2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85BF8" w14:textId="77777777" w:rsidR="00053D93" w:rsidRDefault="00053D93"/>
</w:ftr>
</file>

<file path=word/footer2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588CD" w14:textId="77777777" w:rsidR="00053D93" w:rsidRDefault="00053D93"/>
</w:ftr>
</file>

<file path=word/footer2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0EACA" w14:textId="77777777" w:rsidR="00053D93" w:rsidRDefault="00053D93"/>
</w:ftr>
</file>

<file path=word/footer2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8678A" w14:textId="77777777" w:rsidR="00053D93" w:rsidRDefault="00053D93"/>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312D1" w14:textId="77777777" w:rsidR="00053D93" w:rsidRDefault="00260B75">
    <w:pPr>
      <w:spacing w:after="0"/>
      <w:ind w:left="65"/>
    </w:pPr>
    <w:r>
      <w:rPr>
        <w:rFonts w:ascii="Courier New" w:eastAsia="Courier New" w:hAnsi="Courier New" w:cs="Courier New"/>
        <w:sz w:val="64"/>
      </w:rPr>
      <w:t>1</w:t>
    </w:r>
  </w:p>
</w:ftr>
</file>

<file path=word/footer2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0338F" w14:textId="77777777" w:rsidR="00053D93" w:rsidRDefault="00053D93"/>
</w:ftr>
</file>

<file path=word/footer2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94A4C" w14:textId="77777777" w:rsidR="00053D93" w:rsidRDefault="00053D93"/>
</w:ftr>
</file>

<file path=word/footer2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5AF9E" w14:textId="77777777" w:rsidR="00053D93" w:rsidRDefault="00260B75">
    <w:pPr>
      <w:spacing w:after="0"/>
      <w:ind w:left="166"/>
    </w:pPr>
    <w:r>
      <w:rPr>
        <w:sz w:val="72"/>
      </w:rPr>
      <w:t>1</w:t>
    </w:r>
  </w:p>
</w:ftr>
</file>

<file path=word/footer2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9ED77" w14:textId="77777777" w:rsidR="00053D93" w:rsidRDefault="00053D93"/>
</w:ftr>
</file>

<file path=word/footer2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64587" w14:textId="77777777" w:rsidR="00053D93" w:rsidRDefault="00053D93"/>
</w:ftr>
</file>

<file path=word/footer2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02F57" w14:textId="77777777" w:rsidR="00053D93" w:rsidRDefault="00260B75">
    <w:pPr>
      <w:spacing w:after="0"/>
      <w:ind w:left="144"/>
    </w:pPr>
    <w:r>
      <w:rPr>
        <w:sz w:val="72"/>
      </w:rPr>
      <w:t>1</w:t>
    </w:r>
  </w:p>
</w:ftr>
</file>

<file path=word/footer2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3281E" w14:textId="77777777" w:rsidR="00053D93" w:rsidRDefault="00260B75">
    <w:pPr>
      <w:spacing w:after="0"/>
      <w:ind w:left="144"/>
    </w:pPr>
    <w:r>
      <w:rPr>
        <w:sz w:val="72"/>
      </w:rPr>
      <w:t>1</w:t>
    </w:r>
  </w:p>
</w:ftr>
</file>

<file path=word/footer2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CE188" w14:textId="77777777" w:rsidR="00053D93" w:rsidRDefault="00260B75">
    <w:pPr>
      <w:spacing w:after="0"/>
      <w:ind w:left="144"/>
    </w:pPr>
    <w:r>
      <w:rPr>
        <w:sz w:val="72"/>
      </w:rPr>
      <w:t>1</w:t>
    </w:r>
  </w:p>
</w:ftr>
</file>

<file path=word/footer2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CC6EA" w14:textId="77777777" w:rsidR="00053D93" w:rsidRDefault="00260B75">
    <w:pPr>
      <w:spacing w:after="0"/>
      <w:ind w:left="173"/>
    </w:pPr>
    <w:r>
      <w:rPr>
        <w:sz w:val="72"/>
      </w:rPr>
      <w:t>1</w:t>
    </w:r>
  </w:p>
</w:ftr>
</file>

<file path=word/footer2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58F48" w14:textId="77777777" w:rsidR="00053D93" w:rsidRDefault="00053D93"/>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A0FD0" w14:textId="77777777" w:rsidR="00053D93" w:rsidRDefault="00260B75">
    <w:pPr>
      <w:spacing w:after="0"/>
      <w:ind w:left="65"/>
    </w:pPr>
    <w:r>
      <w:rPr>
        <w:rFonts w:ascii="Courier New" w:eastAsia="Courier New" w:hAnsi="Courier New" w:cs="Courier New"/>
        <w:sz w:val="64"/>
      </w:rPr>
      <w:t>1</w:t>
    </w:r>
  </w:p>
</w:ftr>
</file>

<file path=word/footer2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1E0AB" w14:textId="77777777" w:rsidR="00053D93" w:rsidRDefault="00260B75">
    <w:pPr>
      <w:spacing w:after="0"/>
      <w:ind w:left="173"/>
    </w:pPr>
    <w:r>
      <w:rPr>
        <w:sz w:val="72"/>
      </w:rPr>
      <w:t>1</w:t>
    </w:r>
  </w:p>
</w:ftr>
</file>

<file path=word/footer2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E6D95" w14:textId="77777777" w:rsidR="00053D93" w:rsidRDefault="00260B75">
    <w:pPr>
      <w:spacing w:after="0"/>
      <w:ind w:left="115"/>
    </w:pPr>
    <w:r>
      <w:rPr>
        <w:sz w:val="72"/>
      </w:rPr>
      <w:t>1</w:t>
    </w:r>
  </w:p>
</w:ftr>
</file>

<file path=word/footer2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F52B2" w14:textId="77777777" w:rsidR="00053D93" w:rsidRDefault="00053D93"/>
</w:ftr>
</file>

<file path=word/footer2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8466E" w14:textId="77777777" w:rsidR="00053D93" w:rsidRDefault="00260B75">
    <w:pPr>
      <w:spacing w:after="0"/>
      <w:ind w:left="115"/>
    </w:pPr>
    <w:r>
      <w:rPr>
        <w:sz w:val="72"/>
      </w:rPr>
      <w:t>1</w:t>
    </w:r>
  </w:p>
</w:ftr>
</file>

<file path=word/footer2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3CB42" w14:textId="77777777" w:rsidR="00053D93" w:rsidRDefault="00053D93"/>
</w:ftr>
</file>

<file path=word/footer2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7AF24" w14:textId="77777777" w:rsidR="00053D93" w:rsidRDefault="00053D93"/>
</w:ftr>
</file>

<file path=word/footer2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D2F57" w14:textId="77777777" w:rsidR="00053D93" w:rsidRDefault="00053D93"/>
</w:ftr>
</file>

<file path=word/footer2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C3483" w14:textId="77777777" w:rsidR="00053D93" w:rsidRDefault="00053D93"/>
</w:ftr>
</file>

<file path=word/footer2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F0057" w14:textId="77777777" w:rsidR="00053D93" w:rsidRDefault="00053D93"/>
</w:ftr>
</file>

<file path=word/footer2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50FBD" w14:textId="77777777" w:rsidR="00053D93" w:rsidRDefault="00053D93"/>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47F5A" w14:textId="77777777" w:rsidR="00053D93" w:rsidRDefault="00260B75">
    <w:pPr>
      <w:spacing w:after="0"/>
      <w:ind w:left="-7"/>
    </w:pPr>
    <w:r>
      <w:rPr>
        <w:rFonts w:ascii="Courier New" w:eastAsia="Courier New" w:hAnsi="Courier New" w:cs="Courier New"/>
        <w:sz w:val="64"/>
      </w:rPr>
      <w:t>1</w:t>
    </w:r>
  </w:p>
</w:ftr>
</file>

<file path=word/footer2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3E30E" w14:textId="77777777" w:rsidR="00053D93" w:rsidRDefault="00053D93"/>
</w:ftr>
</file>

<file path=word/footer2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EB907" w14:textId="77777777" w:rsidR="00053D93" w:rsidRDefault="00053D93"/>
</w:ftr>
</file>

<file path=word/footer2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1978F" w14:textId="77777777" w:rsidR="00053D93" w:rsidRDefault="00053D93"/>
</w:ftr>
</file>

<file path=word/footer2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D007D" w14:textId="77777777" w:rsidR="00053D93" w:rsidRDefault="00053D93"/>
</w:ftr>
</file>

<file path=word/footer2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74AC2" w14:textId="77777777" w:rsidR="00053D93" w:rsidRDefault="00053D93"/>
</w:ftr>
</file>

<file path=word/footer2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CEA9C" w14:textId="77777777" w:rsidR="00053D93" w:rsidRDefault="00053D93"/>
</w:ftr>
</file>

<file path=word/footer2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B1684" w14:textId="77777777" w:rsidR="00053D93" w:rsidRDefault="00053D93"/>
</w:ftr>
</file>

<file path=word/footer2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C29DD" w14:textId="77777777" w:rsidR="00053D93" w:rsidRDefault="00053D93"/>
</w:ftr>
</file>

<file path=word/footer2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7C43A" w14:textId="77777777" w:rsidR="00053D93" w:rsidRDefault="00053D93"/>
</w:ftr>
</file>

<file path=word/footer2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08455" w14:textId="77777777" w:rsidR="00053D93" w:rsidRDefault="00260B75">
    <w:pPr>
      <w:spacing w:after="0"/>
      <w:ind w:left="122"/>
    </w:pPr>
    <w:r>
      <w:rPr>
        <w:sz w:val="72"/>
      </w:rPr>
      <w:t>1</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2EF17" w14:textId="77777777" w:rsidR="00053D93" w:rsidRDefault="00260B75">
    <w:pPr>
      <w:spacing w:after="0"/>
      <w:ind w:left="-7"/>
    </w:pPr>
    <w:r>
      <w:rPr>
        <w:rFonts w:ascii="Courier New" w:eastAsia="Courier New" w:hAnsi="Courier New" w:cs="Courier New"/>
        <w:sz w:val="64"/>
      </w:rPr>
      <w:t>1</w:t>
    </w:r>
  </w:p>
</w:ftr>
</file>

<file path=word/footer2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F632C" w14:textId="77777777" w:rsidR="00053D93" w:rsidRDefault="00260B75">
    <w:pPr>
      <w:spacing w:after="0"/>
      <w:ind w:left="122"/>
    </w:pPr>
    <w:r>
      <w:rPr>
        <w:sz w:val="72"/>
      </w:rPr>
      <w:t>1</w:t>
    </w:r>
  </w:p>
</w:ftr>
</file>

<file path=word/footer2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78991" w14:textId="77777777" w:rsidR="00053D93" w:rsidRDefault="00053D93"/>
</w:ftr>
</file>

<file path=word/footer2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DFF08" w14:textId="77777777" w:rsidR="00053D93" w:rsidRDefault="00053D93"/>
</w:ftr>
</file>

<file path=word/footer2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172EE" w14:textId="77777777" w:rsidR="00053D93" w:rsidRDefault="00053D93"/>
</w:ftr>
</file>

<file path=word/footer2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0DAEB" w14:textId="77777777" w:rsidR="00053D93" w:rsidRDefault="00053D93"/>
</w:ftr>
</file>

<file path=word/footer2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672DF" w14:textId="77777777" w:rsidR="00053D93" w:rsidRDefault="00053D93"/>
</w:ftr>
</file>

<file path=word/footer2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2F1FB" w14:textId="77777777" w:rsidR="00053D93" w:rsidRDefault="00053D93"/>
</w:ftr>
</file>

<file path=word/footer2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728E3" w14:textId="77777777" w:rsidR="00053D93" w:rsidRDefault="00053D93"/>
</w:ftr>
</file>

<file path=word/footer2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2E249" w14:textId="77777777" w:rsidR="00053D93" w:rsidRDefault="00053D93"/>
</w:ftr>
</file>

<file path=word/footer2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A1C0B" w14:textId="77777777" w:rsidR="00053D93" w:rsidRDefault="00053D93"/>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B2309" w14:textId="77777777" w:rsidR="00053D93" w:rsidRDefault="00053D93"/>
</w:ftr>
</file>

<file path=word/footer2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15202" w14:textId="77777777" w:rsidR="00053D93" w:rsidRDefault="00053D93"/>
</w:ftr>
</file>

<file path=word/footer2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03803" w14:textId="77777777" w:rsidR="00053D93" w:rsidRDefault="00053D93"/>
</w:ftr>
</file>

<file path=word/footer2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425EA" w14:textId="77777777" w:rsidR="00053D93" w:rsidRDefault="00053D93"/>
</w:ftr>
</file>

<file path=word/footer2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E83DA" w14:textId="77777777" w:rsidR="00053D93" w:rsidRDefault="00053D93"/>
</w:ftr>
</file>

<file path=word/footer2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60299" w14:textId="77777777" w:rsidR="00053D93" w:rsidRDefault="00053D93"/>
</w:ftr>
</file>

<file path=word/footer2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D276C" w14:textId="77777777" w:rsidR="00053D93" w:rsidRDefault="00053D93"/>
</w:ftr>
</file>

<file path=word/footer2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61EBB" w14:textId="77777777" w:rsidR="00053D93" w:rsidRDefault="00053D93"/>
</w:ftr>
</file>

<file path=word/footer2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E7B39" w14:textId="77777777" w:rsidR="00053D93" w:rsidRDefault="00053D93"/>
</w:ftr>
</file>

<file path=word/footer2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51714" w14:textId="77777777" w:rsidR="00053D93" w:rsidRDefault="00053D93"/>
</w:ftr>
</file>

<file path=word/footer2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1D30D" w14:textId="77777777" w:rsidR="00053D93" w:rsidRDefault="00053D93"/>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275DC" w14:textId="77777777" w:rsidR="00053D93" w:rsidRDefault="00053D93"/>
</w:ftr>
</file>

<file path=word/footer2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A45B1" w14:textId="77777777" w:rsidR="00053D93" w:rsidRDefault="00053D93"/>
</w:ftr>
</file>

<file path=word/footer2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0CD86" w14:textId="77777777" w:rsidR="00053D93" w:rsidRDefault="00053D93"/>
</w:ftr>
</file>

<file path=word/footer2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C6332" w14:textId="77777777" w:rsidR="00053D93" w:rsidRDefault="00053D93"/>
</w:ftr>
</file>

<file path=word/footer2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6868A" w14:textId="77777777" w:rsidR="00053D93" w:rsidRDefault="00053D93"/>
</w:ftr>
</file>

<file path=word/footer2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8D844" w14:textId="77777777" w:rsidR="00053D93" w:rsidRDefault="00053D93"/>
</w:ftr>
</file>

<file path=word/footer2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3C5DC" w14:textId="77777777" w:rsidR="00053D93" w:rsidRDefault="00053D93"/>
</w:ftr>
</file>

<file path=word/footer2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B6072" w14:textId="77777777" w:rsidR="00053D93" w:rsidRDefault="00053D93"/>
</w:ftr>
</file>

<file path=word/footer2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7D821" w14:textId="77777777" w:rsidR="00053D93" w:rsidRDefault="00053D93"/>
</w:ftr>
</file>

<file path=word/footer2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771AC" w14:textId="77777777" w:rsidR="00053D93" w:rsidRDefault="00053D93"/>
</w:ftr>
</file>

<file path=word/footer2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3AC19" w14:textId="77777777" w:rsidR="00053D93" w:rsidRDefault="00053D93"/>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C54EA" w14:textId="77777777" w:rsidR="00053D93" w:rsidRDefault="00260B75">
    <w:pPr>
      <w:spacing w:after="0"/>
      <w:ind w:left="14"/>
    </w:pPr>
    <w:r>
      <w:rPr>
        <w:rFonts w:ascii="Courier New" w:eastAsia="Courier New" w:hAnsi="Courier New" w:cs="Courier New"/>
        <w:sz w:val="64"/>
      </w:rPr>
      <w:t>1</w:t>
    </w:r>
  </w:p>
</w:ftr>
</file>

<file path=word/footer2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EE66C" w14:textId="77777777" w:rsidR="00053D93" w:rsidRDefault="00053D93"/>
</w:ftr>
</file>

<file path=word/footer2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C6D12" w14:textId="77777777" w:rsidR="00053D93" w:rsidRDefault="00053D93"/>
</w:ftr>
</file>

<file path=word/footer2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897BF" w14:textId="77777777" w:rsidR="00053D93" w:rsidRDefault="00053D93"/>
</w:ftr>
</file>

<file path=word/footer2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74C1F" w14:textId="77777777" w:rsidR="00053D93" w:rsidRDefault="00053D93"/>
</w:ftr>
</file>

<file path=word/footer2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AC226" w14:textId="77777777" w:rsidR="00053D93" w:rsidRDefault="00053D93"/>
</w:ftr>
</file>

<file path=word/footer2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B78F3" w14:textId="77777777" w:rsidR="00053D93" w:rsidRDefault="00053D93"/>
</w:ftr>
</file>

<file path=word/footer2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981F1" w14:textId="77777777" w:rsidR="00053D93" w:rsidRDefault="00053D93"/>
</w:ftr>
</file>

<file path=word/footer2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7012F" w14:textId="77777777" w:rsidR="00053D93" w:rsidRDefault="00053D93"/>
</w:ftr>
</file>

<file path=word/footer2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A9992" w14:textId="77777777" w:rsidR="00053D93" w:rsidRDefault="00053D93"/>
</w:ftr>
</file>

<file path=word/footer2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0A725" w14:textId="77777777" w:rsidR="00053D93" w:rsidRDefault="00053D9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2A7D9" w14:textId="77777777" w:rsidR="00053D93" w:rsidRDefault="00053D93"/>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06BD9" w14:textId="77777777" w:rsidR="00053D93" w:rsidRDefault="00260B75">
    <w:pPr>
      <w:spacing w:after="0"/>
      <w:ind w:left="14"/>
    </w:pPr>
    <w:r>
      <w:rPr>
        <w:rFonts w:ascii="Courier New" w:eastAsia="Courier New" w:hAnsi="Courier New" w:cs="Courier New"/>
        <w:sz w:val="64"/>
      </w:rPr>
      <w:t>1</w:t>
    </w:r>
  </w:p>
</w:ftr>
</file>

<file path=word/footer3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E5866" w14:textId="77777777" w:rsidR="00053D93" w:rsidRDefault="00053D93"/>
</w:ftr>
</file>

<file path=word/footer3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59C30" w14:textId="77777777" w:rsidR="00053D93" w:rsidRDefault="00053D93"/>
</w:ftr>
</file>

<file path=word/footer3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5CE44" w14:textId="77777777" w:rsidR="00053D93" w:rsidRDefault="00053D93"/>
</w:ftr>
</file>

<file path=word/footer3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19B13" w14:textId="77777777" w:rsidR="00053D93" w:rsidRDefault="00053D93"/>
</w:ftr>
</file>

<file path=word/footer3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A40FE" w14:textId="77777777" w:rsidR="00053D93" w:rsidRDefault="00053D93"/>
</w:ftr>
</file>

<file path=word/footer3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1EFC6" w14:textId="77777777" w:rsidR="00053D93" w:rsidRDefault="00053D93"/>
</w:ftr>
</file>

<file path=word/footer3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A1937" w14:textId="77777777" w:rsidR="00053D93" w:rsidRDefault="00053D93"/>
</w:ftr>
</file>

<file path=word/footer3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4E418" w14:textId="77777777" w:rsidR="00053D93" w:rsidRDefault="00053D93"/>
</w:ftr>
</file>

<file path=word/footer3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401A7" w14:textId="77777777" w:rsidR="00053D93" w:rsidRDefault="00053D93"/>
</w:ftr>
</file>

<file path=word/footer3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8C211" w14:textId="77777777" w:rsidR="00053D93" w:rsidRDefault="00053D93"/>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49B8C" w14:textId="77777777" w:rsidR="00053D93" w:rsidRDefault="00053D93"/>
</w:ftr>
</file>

<file path=word/footer3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8CF81" w14:textId="77777777" w:rsidR="00053D93" w:rsidRDefault="00053D93"/>
</w:ftr>
</file>

<file path=word/footer3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7899E" w14:textId="77777777" w:rsidR="00053D93" w:rsidRDefault="00053D93"/>
</w:ftr>
</file>

<file path=word/footer3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3A219" w14:textId="77777777" w:rsidR="00053D93" w:rsidRDefault="00053D93"/>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4A45A" w14:textId="77777777" w:rsidR="00053D93" w:rsidRDefault="00260B75">
    <w:pPr>
      <w:spacing w:after="0"/>
      <w:ind w:left="7"/>
    </w:pPr>
    <w:r>
      <w:rPr>
        <w:rFonts w:ascii="Courier New" w:eastAsia="Courier New" w:hAnsi="Courier New" w:cs="Courier New"/>
        <w:sz w:val="64"/>
      </w:rPr>
      <w:t>1</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B7177" w14:textId="77777777" w:rsidR="00053D93" w:rsidRDefault="00053D93"/>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B824E" w14:textId="77777777" w:rsidR="00053D93" w:rsidRDefault="00260B75">
    <w:pPr>
      <w:spacing w:after="0"/>
      <w:ind w:left="43"/>
    </w:pPr>
    <w:r>
      <w:rPr>
        <w:rFonts w:ascii="Courier New" w:eastAsia="Courier New" w:hAnsi="Courier New" w:cs="Courier New"/>
        <w:sz w:val="64"/>
      </w:rPr>
      <w:t>1</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C47A3" w14:textId="77777777" w:rsidR="00053D93" w:rsidRDefault="00260B75">
    <w:pPr>
      <w:spacing w:after="0"/>
      <w:ind w:left="43"/>
    </w:pPr>
    <w:r>
      <w:rPr>
        <w:rFonts w:ascii="Courier New" w:eastAsia="Courier New" w:hAnsi="Courier New" w:cs="Courier New"/>
        <w:sz w:val="64"/>
      </w:rPr>
      <w:t>1</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E159E" w14:textId="77777777" w:rsidR="00053D93" w:rsidRDefault="00260B75">
    <w:pPr>
      <w:spacing w:after="0"/>
      <w:ind w:left="43"/>
    </w:pPr>
    <w:r>
      <w:rPr>
        <w:rFonts w:ascii="Courier New" w:eastAsia="Courier New" w:hAnsi="Courier New" w:cs="Courier New"/>
        <w:sz w:val="64"/>
      </w:rPr>
      <w:t>1</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4F441" w14:textId="77777777" w:rsidR="00053D93" w:rsidRDefault="00053D93"/>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E203B" w14:textId="77777777" w:rsidR="00053D93" w:rsidRDefault="00053D93"/>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E5C62" w14:textId="77777777" w:rsidR="00053D93" w:rsidRDefault="00260B75">
    <w:pPr>
      <w:spacing w:after="0"/>
      <w:ind w:left="72"/>
    </w:pPr>
    <w:r>
      <w:rPr>
        <w:rFonts w:ascii="Courier New" w:eastAsia="Courier New" w:hAnsi="Courier New" w:cs="Courier New"/>
        <w:sz w:val="64"/>
      </w:rPr>
      <w:t>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170EE" w14:textId="77777777" w:rsidR="00053D93" w:rsidRDefault="00260B75">
    <w:pPr>
      <w:spacing w:after="0"/>
      <w:ind w:left="180" w:right="-922"/>
    </w:pPr>
    <w:r>
      <w:rPr>
        <w:rFonts w:ascii="Times New Roman" w:eastAsia="Times New Roman" w:hAnsi="Times New Roman" w:cs="Times New Roman"/>
        <w:sz w:val="64"/>
      </w:rPr>
      <w:t xml:space="preserve">1 </w:t>
    </w:r>
    <w:r>
      <w:rPr>
        <w:rFonts w:ascii="Courier New" w:eastAsia="Courier New" w:hAnsi="Courier New" w:cs="Courier New"/>
        <w:sz w:val="16"/>
      </w:rPr>
      <w:t xml:space="preserve">Contraloría General </w:t>
    </w:r>
    <w:r>
      <w:rPr>
        <w:rFonts w:ascii="Courier New" w:eastAsia="Courier New" w:hAnsi="Courier New" w:cs="Courier New"/>
        <w:sz w:val="18"/>
      </w:rPr>
      <w:t xml:space="preserve">de Cuentas </w:t>
    </w:r>
    <w:r>
      <w:rPr>
        <w:rFonts w:ascii="Courier New" w:eastAsia="Courier New" w:hAnsi="Courier New" w:cs="Courier New"/>
        <w:sz w:val="6"/>
      </w:rPr>
      <w:t xml:space="preserve">1 </w:t>
    </w:r>
    <w:r>
      <w:rPr>
        <w:rFonts w:ascii="Courier New" w:eastAsia="Courier New" w:hAnsi="Courier New" w:cs="Courier New"/>
        <w:sz w:val="16"/>
      </w:rPr>
      <w:t xml:space="preserve">7a. </w:t>
    </w:r>
    <w:r>
      <w:rPr>
        <w:rFonts w:ascii="Courier New" w:eastAsia="Courier New" w:hAnsi="Courier New" w:cs="Courier New"/>
        <w:sz w:val="18"/>
      </w:rPr>
      <w:t xml:space="preserve">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22A7A" w14:textId="77777777" w:rsidR="00053D93" w:rsidRDefault="00260B75">
    <w:pPr>
      <w:spacing w:after="0"/>
      <w:ind w:left="-338" w:right="8489"/>
    </w:pPr>
    <w:r>
      <w:rPr>
        <w:noProof/>
      </w:rPr>
      <mc:AlternateContent>
        <mc:Choice Requires="wpg">
          <w:drawing>
            <wp:anchor distT="0" distB="0" distL="114300" distR="114300" simplePos="0" relativeHeight="251665408" behindDoc="0" locked="0" layoutInCell="1" allowOverlap="1" wp14:anchorId="55EAB6C4" wp14:editId="2872740B">
              <wp:simplePos x="0" y="0"/>
              <wp:positionH relativeFrom="page">
                <wp:posOffset>1248156</wp:posOffset>
              </wp:positionH>
              <wp:positionV relativeFrom="page">
                <wp:posOffset>9454896</wp:posOffset>
              </wp:positionV>
              <wp:extent cx="9144" cy="109728"/>
              <wp:effectExtent l="0" t="0" r="0" b="0"/>
              <wp:wrapSquare wrapText="bothSides"/>
              <wp:docPr id="2446762" name="Group 2446762"/>
              <wp:cNvGraphicFramePr/>
              <a:graphic xmlns:a="http://schemas.openxmlformats.org/drawingml/2006/main">
                <a:graphicData uri="http://schemas.microsoft.com/office/word/2010/wordprocessingGroup">
                  <wpg:wgp>
                    <wpg:cNvGrpSpPr/>
                    <wpg:grpSpPr>
                      <a:xfrm>
                        <a:off x="0" y="0"/>
                        <a:ext cx="9144" cy="109728"/>
                        <a:chOff x="0" y="0"/>
                        <a:chExt cx="9144" cy="109728"/>
                      </a:xfrm>
                    </wpg:grpSpPr>
                    <wps:wsp>
                      <wps:cNvPr id="2446763" name="Shape 2446763"/>
                      <wps:cNvSpPr/>
                      <wps:spPr>
                        <a:xfrm>
                          <a:off x="0" y="0"/>
                          <a:ext cx="4572" cy="109728"/>
                        </a:xfrm>
                        <a:custGeom>
                          <a:avLst/>
                          <a:gdLst/>
                          <a:ahLst/>
                          <a:cxnLst/>
                          <a:rect l="0" t="0" r="0" b="0"/>
                          <a:pathLst>
                            <a:path w="4572" h="109728">
                              <a:moveTo>
                                <a:pt x="2286" y="0"/>
                              </a:moveTo>
                              <a:lnTo>
                                <a:pt x="2286" y="109728"/>
                              </a:lnTo>
                            </a:path>
                          </a:pathLst>
                        </a:custGeom>
                        <a:ln w="4572" cap="flat">
                          <a:miter lim="100000"/>
                        </a:ln>
                      </wps:spPr>
                      <wps:style>
                        <a:lnRef idx="1">
                          <a:srgbClr val="000000"/>
                        </a:lnRef>
                        <a:fillRef idx="0">
                          <a:srgbClr val="000000"/>
                        </a:fillRef>
                        <a:effectRef idx="0">
                          <a:scrgbClr r="0" g="0" b="0"/>
                        </a:effectRef>
                        <a:fontRef idx="none"/>
                      </wps:style>
                      <wps:bodyPr/>
                    </wps:wsp>
                    <wps:wsp>
                      <wps:cNvPr id="2446764" name="Shape 2446764"/>
                      <wps:cNvSpPr/>
                      <wps:spPr>
                        <a:xfrm>
                          <a:off x="4572" y="0"/>
                          <a:ext cx="4572" cy="109728"/>
                        </a:xfrm>
                        <a:custGeom>
                          <a:avLst/>
                          <a:gdLst/>
                          <a:ahLst/>
                          <a:cxnLst/>
                          <a:rect l="0" t="0" r="0" b="0"/>
                          <a:pathLst>
                            <a:path w="4572" h="109728">
                              <a:moveTo>
                                <a:pt x="2286" y="0"/>
                              </a:moveTo>
                              <a:lnTo>
                                <a:pt x="2286" y="109728"/>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46762" style="width:0.720001pt;height:8.64001pt;position:absolute;mso-position-horizontal-relative:page;mso-position-horizontal:absolute;margin-left:98.28pt;mso-position-vertical-relative:page;margin-top:744.48pt;" coordsize="91,1097">
              <v:shape id="Shape 2446763" style="position:absolute;width:45;height:1097;left:0;top:0;" coordsize="4572,109728" path="m2286,0l2286,109728">
                <v:stroke weight="0.360001pt" endcap="flat" joinstyle="miter" miterlimit="1" on="true" color="#000000"/>
                <v:fill on="false" color="#000000"/>
              </v:shape>
              <v:shape id="Shape 2446764" style="position:absolute;width:45;height:1097;left:45;top:0;" coordsize="4572,109728" path="m2286,0l2286,109728">
                <v:stroke weight="0.360001pt" endcap="flat" joinstyle="miter" miterlimit="1" on="true" color="#000000"/>
                <v:fill on="false" color="#000000"/>
              </v:shape>
              <w10:wrap type="square"/>
            </v:group>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3B03E" w14:textId="77777777" w:rsidR="00053D93" w:rsidRDefault="00260B75">
    <w:pPr>
      <w:spacing w:after="0"/>
      <w:ind w:left="-338" w:right="8489"/>
    </w:pPr>
    <w:r>
      <w:rPr>
        <w:noProof/>
      </w:rPr>
      <mc:AlternateContent>
        <mc:Choice Requires="wpg">
          <w:drawing>
            <wp:anchor distT="0" distB="0" distL="114300" distR="114300" simplePos="0" relativeHeight="251666432" behindDoc="0" locked="0" layoutInCell="1" allowOverlap="1" wp14:anchorId="49DA979F" wp14:editId="61F78F7E">
              <wp:simplePos x="0" y="0"/>
              <wp:positionH relativeFrom="page">
                <wp:posOffset>1248156</wp:posOffset>
              </wp:positionH>
              <wp:positionV relativeFrom="page">
                <wp:posOffset>9454896</wp:posOffset>
              </wp:positionV>
              <wp:extent cx="9144" cy="109728"/>
              <wp:effectExtent l="0" t="0" r="0" b="0"/>
              <wp:wrapSquare wrapText="bothSides"/>
              <wp:docPr id="2446730" name="Group 2446730"/>
              <wp:cNvGraphicFramePr/>
              <a:graphic xmlns:a="http://schemas.openxmlformats.org/drawingml/2006/main">
                <a:graphicData uri="http://schemas.microsoft.com/office/word/2010/wordprocessingGroup">
                  <wpg:wgp>
                    <wpg:cNvGrpSpPr/>
                    <wpg:grpSpPr>
                      <a:xfrm>
                        <a:off x="0" y="0"/>
                        <a:ext cx="9144" cy="109728"/>
                        <a:chOff x="0" y="0"/>
                        <a:chExt cx="9144" cy="109728"/>
                      </a:xfrm>
                    </wpg:grpSpPr>
                    <wps:wsp>
                      <wps:cNvPr id="2446731" name="Shape 2446731"/>
                      <wps:cNvSpPr/>
                      <wps:spPr>
                        <a:xfrm>
                          <a:off x="0" y="0"/>
                          <a:ext cx="4572" cy="109728"/>
                        </a:xfrm>
                        <a:custGeom>
                          <a:avLst/>
                          <a:gdLst/>
                          <a:ahLst/>
                          <a:cxnLst/>
                          <a:rect l="0" t="0" r="0" b="0"/>
                          <a:pathLst>
                            <a:path w="4572" h="109728">
                              <a:moveTo>
                                <a:pt x="2286" y="0"/>
                              </a:moveTo>
                              <a:lnTo>
                                <a:pt x="2286" y="109728"/>
                              </a:lnTo>
                            </a:path>
                          </a:pathLst>
                        </a:custGeom>
                        <a:ln w="4572" cap="flat">
                          <a:miter lim="100000"/>
                        </a:ln>
                      </wps:spPr>
                      <wps:style>
                        <a:lnRef idx="1">
                          <a:srgbClr val="000000"/>
                        </a:lnRef>
                        <a:fillRef idx="0">
                          <a:srgbClr val="000000"/>
                        </a:fillRef>
                        <a:effectRef idx="0">
                          <a:scrgbClr r="0" g="0" b="0"/>
                        </a:effectRef>
                        <a:fontRef idx="none"/>
                      </wps:style>
                      <wps:bodyPr/>
                    </wps:wsp>
                    <wps:wsp>
                      <wps:cNvPr id="2446732" name="Shape 2446732"/>
                      <wps:cNvSpPr/>
                      <wps:spPr>
                        <a:xfrm>
                          <a:off x="4572" y="0"/>
                          <a:ext cx="4572" cy="109728"/>
                        </a:xfrm>
                        <a:custGeom>
                          <a:avLst/>
                          <a:gdLst/>
                          <a:ahLst/>
                          <a:cxnLst/>
                          <a:rect l="0" t="0" r="0" b="0"/>
                          <a:pathLst>
                            <a:path w="4572" h="109728">
                              <a:moveTo>
                                <a:pt x="2286" y="0"/>
                              </a:moveTo>
                              <a:lnTo>
                                <a:pt x="2286" y="109728"/>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2446730" style="width:0.720001pt;height:8.64001pt;position:absolute;mso-position-horizontal-relative:page;mso-position-horizontal:absolute;margin-left:98.28pt;mso-position-vertical-relative:page;margin-top:744.48pt;" coordsize="91,1097">
              <v:shape id="Shape 2446731" style="position:absolute;width:45;height:1097;left:0;top:0;" coordsize="4572,109728" path="m2286,0l2286,109728">
                <v:stroke weight="0.360001pt" endcap="flat" joinstyle="miter" miterlimit="1" on="true" color="#000000"/>
                <v:fill on="false" color="#000000"/>
              </v:shape>
              <v:shape id="Shape 2446732" style="position:absolute;width:45;height:1097;left:45;top:0;" coordsize="4572,109728" path="m2286,0l2286,109728">
                <v:stroke weight="0.360001pt" endcap="flat" joinstyle="miter" miterlimit="1" on="true" color="#000000"/>
                <v:fill on="false" color="#000000"/>
              </v:shape>
              <w10:wrap type="square"/>
            </v:group>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2B017" w14:textId="77777777" w:rsidR="00053D93" w:rsidRDefault="00053D93"/>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8B374" w14:textId="77777777" w:rsidR="00053D93" w:rsidRDefault="00053D93"/>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5A969" w14:textId="77777777" w:rsidR="00053D93" w:rsidRDefault="00053D93"/>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DB0C8" w14:textId="77777777" w:rsidR="00053D93" w:rsidRDefault="00053D93"/>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F9DC8" w14:textId="77777777" w:rsidR="00053D93" w:rsidRDefault="00053D93"/>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568CF" w14:textId="77777777" w:rsidR="00053D93" w:rsidRDefault="00053D93"/>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21307" w14:textId="77777777" w:rsidR="00053D93" w:rsidRDefault="00053D93"/>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E436E" w14:textId="77777777" w:rsidR="00053D93" w:rsidRDefault="00053D9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B0387" w14:textId="77777777" w:rsidR="00053D93" w:rsidRDefault="00053D93"/>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2920B" w14:textId="77777777" w:rsidR="00053D93" w:rsidRDefault="00053D93"/>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2F098" w14:textId="77777777" w:rsidR="00053D93" w:rsidRDefault="00053D93"/>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E79F0" w14:textId="77777777" w:rsidR="00053D93" w:rsidRDefault="00260B75">
    <w:pPr>
      <w:spacing w:after="0"/>
      <w:ind w:left="670"/>
    </w:pPr>
    <w:r>
      <w:t xml:space="preserve">PBX: </w:t>
    </w:r>
    <w:r>
      <w:rPr>
        <w:sz w:val="18"/>
      </w:rPr>
      <w:t xml:space="preserve">(502) </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2233C" w14:textId="77777777" w:rsidR="00053D93" w:rsidRDefault="00260B75">
    <w:pPr>
      <w:spacing w:after="0"/>
      <w:ind w:left="670"/>
    </w:pPr>
    <w:r>
      <w:t xml:space="preserve">PBX: </w:t>
    </w:r>
    <w:r>
      <w:rPr>
        <w:sz w:val="18"/>
      </w:rPr>
      <w:t xml:space="preserve">(502)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5A7E1" w14:textId="77777777" w:rsidR="00053D93" w:rsidRDefault="00260B75">
    <w:pPr>
      <w:spacing w:after="0"/>
      <w:ind w:left="670"/>
    </w:pPr>
    <w:r>
      <w:t xml:space="preserve">PBX: </w:t>
    </w:r>
    <w:r>
      <w:rPr>
        <w:sz w:val="18"/>
      </w:rPr>
      <w:t xml:space="preserve">(502)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A73F1" w14:textId="77777777" w:rsidR="00053D93" w:rsidRDefault="00053D93"/>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0AEB3" w14:textId="77777777" w:rsidR="00053D93" w:rsidRDefault="00053D93"/>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C5EBF" w14:textId="77777777" w:rsidR="00053D93" w:rsidRDefault="00053D93"/>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81A04" w14:textId="77777777" w:rsidR="00053D93" w:rsidRDefault="00053D93"/>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E91C4" w14:textId="77777777" w:rsidR="00053D93" w:rsidRDefault="00053D9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2D4D7" w14:textId="77777777" w:rsidR="00053D93" w:rsidRDefault="00260B75">
    <w:pPr>
      <w:spacing w:after="0"/>
      <w:ind w:left="72"/>
    </w:pPr>
    <w:r>
      <w:rPr>
        <w:rFonts w:ascii="Courier New" w:eastAsia="Courier New" w:hAnsi="Courier New" w:cs="Courier New"/>
        <w:sz w:val="64"/>
      </w:rPr>
      <w:t>1</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F3E5A" w14:textId="77777777" w:rsidR="00053D93" w:rsidRDefault="00053D93"/>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3A06A" w14:textId="77777777" w:rsidR="00053D93" w:rsidRDefault="00053D93"/>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24F09" w14:textId="77777777" w:rsidR="00053D93" w:rsidRDefault="00053D93"/>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96AA7" w14:textId="77777777" w:rsidR="00053D93" w:rsidRDefault="00053D93"/>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BB4C1" w14:textId="77777777" w:rsidR="00053D93" w:rsidRDefault="00053D93"/>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4C7D4" w14:textId="77777777" w:rsidR="00053D93" w:rsidRDefault="00260B75">
    <w:pPr>
      <w:spacing w:after="0"/>
      <w:ind w:left="878" w:right="-756"/>
      <w:jc w:val="center"/>
    </w:pPr>
    <w:r>
      <w:rPr>
        <w:rFonts w:ascii="Courier New" w:eastAsia="Courier New" w:hAnsi="Courier New" w:cs="Courier New"/>
        <w:sz w:val="16"/>
      </w:rPr>
      <w:t xml:space="preserve">Contraloría </w:t>
    </w:r>
    <w:r>
      <w:rPr>
        <w:rFonts w:ascii="Courier New" w:eastAsia="Courier New" w:hAnsi="Courier New" w:cs="Courier New"/>
        <w:sz w:val="18"/>
      </w:rPr>
      <w:t xml:space="preserve">General de Cuentas </w:t>
    </w:r>
    <w:r>
      <w:rPr>
        <w:rFonts w:ascii="Courier New" w:eastAsia="Courier New" w:hAnsi="Courier New" w:cs="Courier New"/>
        <w:sz w:val="8"/>
      </w:rPr>
      <w:t xml:space="preserve">1 </w:t>
    </w:r>
    <w:r>
      <w:rPr>
        <w:rFonts w:ascii="Courier New" w:eastAsia="Courier New" w:hAnsi="Courier New" w:cs="Courier New"/>
        <w:sz w:val="18"/>
      </w:rPr>
      <w:t xml:space="preserve">7a. 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6F678" w14:textId="77777777" w:rsidR="00053D93" w:rsidRDefault="00053D93"/>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3CC1E" w14:textId="77777777" w:rsidR="00053D93" w:rsidRDefault="00260B75">
    <w:pPr>
      <w:spacing w:after="0"/>
      <w:ind w:left="662"/>
      <w:jc w:val="center"/>
    </w:pPr>
    <w:r>
      <w:rPr>
        <w:rFonts w:ascii="Courier New" w:eastAsia="Courier New" w:hAnsi="Courier New" w:cs="Courier New"/>
        <w:sz w:val="16"/>
      </w:rPr>
      <w:t xml:space="preserve">Contraloría </w:t>
    </w:r>
    <w:r>
      <w:rPr>
        <w:rFonts w:ascii="Courier New" w:eastAsia="Courier New" w:hAnsi="Courier New" w:cs="Courier New"/>
        <w:sz w:val="18"/>
      </w:rPr>
      <w:t xml:space="preserve">General de Cuentas </w:t>
    </w:r>
    <w:r>
      <w:rPr>
        <w:rFonts w:ascii="Courier New" w:eastAsia="Courier New" w:hAnsi="Courier New" w:cs="Courier New"/>
        <w:sz w:val="8"/>
      </w:rPr>
      <w:t xml:space="preserve">1 </w:t>
    </w:r>
    <w:r>
      <w:rPr>
        <w:rFonts w:ascii="Courier New" w:eastAsia="Courier New" w:hAnsi="Courier New" w:cs="Courier New"/>
        <w:sz w:val="18"/>
      </w:rPr>
      <w:t xml:space="preserve">7a. 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072ED" w14:textId="77777777" w:rsidR="00053D93" w:rsidRDefault="00260B75">
    <w:pPr>
      <w:spacing w:after="0"/>
      <w:ind w:left="662"/>
      <w:jc w:val="center"/>
    </w:pPr>
    <w:r>
      <w:rPr>
        <w:rFonts w:ascii="Courier New" w:eastAsia="Courier New" w:hAnsi="Courier New" w:cs="Courier New"/>
        <w:sz w:val="16"/>
      </w:rPr>
      <w:t xml:space="preserve">Contraloría </w:t>
    </w:r>
    <w:r>
      <w:rPr>
        <w:rFonts w:ascii="Courier New" w:eastAsia="Courier New" w:hAnsi="Courier New" w:cs="Courier New"/>
        <w:sz w:val="18"/>
      </w:rPr>
      <w:t xml:space="preserve">General de Cuentas </w:t>
    </w:r>
    <w:r>
      <w:rPr>
        <w:rFonts w:ascii="Courier New" w:eastAsia="Courier New" w:hAnsi="Courier New" w:cs="Courier New"/>
        <w:sz w:val="8"/>
      </w:rPr>
      <w:t xml:space="preserve">1 </w:t>
    </w:r>
    <w:r>
      <w:rPr>
        <w:rFonts w:ascii="Courier New" w:eastAsia="Courier New" w:hAnsi="Courier New" w:cs="Courier New"/>
        <w:sz w:val="18"/>
      </w:rPr>
      <w:t xml:space="preserve">7a. 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CFE7F" w14:textId="77777777" w:rsidR="00053D93" w:rsidRDefault="00260B75">
    <w:pPr>
      <w:spacing w:after="0"/>
      <w:ind w:left="662"/>
      <w:jc w:val="center"/>
    </w:pPr>
    <w:r>
      <w:rPr>
        <w:rFonts w:ascii="Courier New" w:eastAsia="Courier New" w:hAnsi="Courier New" w:cs="Courier New"/>
        <w:sz w:val="16"/>
      </w:rPr>
      <w:t xml:space="preserve">Contraloría </w:t>
    </w:r>
    <w:r>
      <w:rPr>
        <w:rFonts w:ascii="Courier New" w:eastAsia="Courier New" w:hAnsi="Courier New" w:cs="Courier New"/>
        <w:sz w:val="18"/>
      </w:rPr>
      <w:t xml:space="preserve">General de Cuentas </w:t>
    </w:r>
    <w:r>
      <w:rPr>
        <w:rFonts w:ascii="Courier New" w:eastAsia="Courier New" w:hAnsi="Courier New" w:cs="Courier New"/>
        <w:sz w:val="8"/>
      </w:rPr>
      <w:t xml:space="preserve">1 </w:t>
    </w:r>
    <w:r>
      <w:rPr>
        <w:rFonts w:ascii="Courier New" w:eastAsia="Courier New" w:hAnsi="Courier New" w:cs="Courier New"/>
        <w:sz w:val="18"/>
      </w:rPr>
      <w:t xml:space="preserve">7a. 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64701" w14:textId="77777777" w:rsidR="00053D93" w:rsidRDefault="00260B75">
    <w:pPr>
      <w:spacing w:after="0"/>
      <w:ind w:left="238"/>
    </w:pPr>
    <w:r>
      <w:rPr>
        <w:rFonts w:ascii="Times New Roman" w:eastAsia="Times New Roman" w:hAnsi="Times New Roman" w:cs="Times New Roman"/>
        <w:sz w:val="64"/>
      </w:rPr>
      <w:t xml:space="preserve">1 </w:t>
    </w:r>
    <w:r>
      <w:rPr>
        <w:rFonts w:ascii="Courier New" w:eastAsia="Courier New" w:hAnsi="Courier New" w:cs="Courier New"/>
        <w:sz w:val="16"/>
      </w:rPr>
      <w:t xml:space="preserve">Contraloría General </w:t>
    </w:r>
    <w:r>
      <w:rPr>
        <w:rFonts w:ascii="Courier New" w:eastAsia="Courier New" w:hAnsi="Courier New" w:cs="Courier New"/>
        <w:sz w:val="18"/>
      </w:rPr>
      <w:t xml:space="preserve">de Cuentas </w:t>
    </w:r>
    <w:r>
      <w:rPr>
        <w:rFonts w:ascii="Courier New" w:eastAsia="Courier New" w:hAnsi="Courier New" w:cs="Courier New"/>
        <w:sz w:val="6"/>
      </w:rPr>
      <w:t xml:space="preserve">1 </w:t>
    </w:r>
    <w:r>
      <w:rPr>
        <w:rFonts w:ascii="Courier New" w:eastAsia="Courier New" w:hAnsi="Courier New" w:cs="Courier New"/>
        <w:sz w:val="16"/>
      </w:rPr>
      <w:t xml:space="preserve">7a. </w:t>
    </w:r>
    <w:r>
      <w:rPr>
        <w:rFonts w:ascii="Courier New" w:eastAsia="Courier New" w:hAnsi="Courier New" w:cs="Courier New"/>
        <w:sz w:val="18"/>
      </w:rPr>
      <w:t xml:space="preserve">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482F0" w14:textId="77777777" w:rsidR="00053D93" w:rsidRDefault="00260B75">
    <w:pPr>
      <w:spacing w:after="0"/>
      <w:ind w:left="763" w:right="-1037"/>
      <w:jc w:val="center"/>
    </w:pPr>
    <w:r>
      <w:rPr>
        <w:rFonts w:ascii="Courier New" w:eastAsia="Courier New" w:hAnsi="Courier New" w:cs="Courier New"/>
        <w:sz w:val="16"/>
      </w:rPr>
      <w:t xml:space="preserve">Contraloría </w:t>
    </w:r>
    <w:r>
      <w:rPr>
        <w:rFonts w:ascii="Courier New" w:eastAsia="Courier New" w:hAnsi="Courier New" w:cs="Courier New"/>
        <w:sz w:val="18"/>
      </w:rPr>
      <w:t xml:space="preserve">General de Cuentas </w:t>
    </w:r>
    <w:r>
      <w:rPr>
        <w:rFonts w:ascii="Courier New" w:eastAsia="Courier New" w:hAnsi="Courier New" w:cs="Courier New"/>
        <w:sz w:val="8"/>
      </w:rPr>
      <w:t xml:space="preserve">1 </w:t>
    </w:r>
    <w:r>
      <w:rPr>
        <w:rFonts w:ascii="Courier New" w:eastAsia="Courier New" w:hAnsi="Courier New" w:cs="Courier New"/>
        <w:sz w:val="18"/>
      </w:rPr>
      <w:t xml:space="preserve">7a. 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F163C" w14:textId="77777777" w:rsidR="00053D93" w:rsidRDefault="00260B75">
    <w:pPr>
      <w:spacing w:after="0"/>
      <w:ind w:left="763" w:right="-1037"/>
      <w:jc w:val="center"/>
    </w:pPr>
    <w:r>
      <w:rPr>
        <w:rFonts w:ascii="Courier New" w:eastAsia="Courier New" w:hAnsi="Courier New" w:cs="Courier New"/>
        <w:sz w:val="16"/>
      </w:rPr>
      <w:t xml:space="preserve">Contraloría </w:t>
    </w:r>
    <w:r>
      <w:rPr>
        <w:rFonts w:ascii="Courier New" w:eastAsia="Courier New" w:hAnsi="Courier New" w:cs="Courier New"/>
        <w:sz w:val="18"/>
      </w:rPr>
      <w:t xml:space="preserve">General de Cuentas </w:t>
    </w:r>
    <w:r>
      <w:rPr>
        <w:rFonts w:ascii="Courier New" w:eastAsia="Courier New" w:hAnsi="Courier New" w:cs="Courier New"/>
        <w:sz w:val="8"/>
      </w:rPr>
      <w:t xml:space="preserve">1 </w:t>
    </w:r>
    <w:r>
      <w:rPr>
        <w:rFonts w:ascii="Courier New" w:eastAsia="Courier New" w:hAnsi="Courier New" w:cs="Courier New"/>
        <w:sz w:val="18"/>
      </w:rPr>
      <w:t xml:space="preserve">7a. 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03424" w14:textId="77777777" w:rsidR="00053D93" w:rsidRDefault="00260B75">
    <w:pPr>
      <w:spacing w:after="0"/>
      <w:ind w:left="763" w:right="-1037"/>
      <w:jc w:val="center"/>
    </w:pPr>
    <w:r>
      <w:rPr>
        <w:rFonts w:ascii="Courier New" w:eastAsia="Courier New" w:hAnsi="Courier New" w:cs="Courier New"/>
        <w:sz w:val="16"/>
      </w:rPr>
      <w:t xml:space="preserve">Contraloría </w:t>
    </w:r>
    <w:r>
      <w:rPr>
        <w:rFonts w:ascii="Courier New" w:eastAsia="Courier New" w:hAnsi="Courier New" w:cs="Courier New"/>
        <w:sz w:val="18"/>
      </w:rPr>
      <w:t xml:space="preserve">General de Cuentas </w:t>
    </w:r>
    <w:r>
      <w:rPr>
        <w:rFonts w:ascii="Courier New" w:eastAsia="Courier New" w:hAnsi="Courier New" w:cs="Courier New"/>
        <w:sz w:val="8"/>
      </w:rPr>
      <w:t xml:space="preserve">1 </w:t>
    </w:r>
    <w:r>
      <w:rPr>
        <w:rFonts w:ascii="Courier New" w:eastAsia="Courier New" w:hAnsi="Courier New" w:cs="Courier New"/>
        <w:sz w:val="18"/>
      </w:rPr>
      <w:t xml:space="preserve">7a. 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6D6DD" w14:textId="77777777" w:rsidR="00053D93" w:rsidRDefault="00053D93"/>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C3061" w14:textId="77777777" w:rsidR="00053D93" w:rsidRDefault="00053D93"/>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D7831" w14:textId="77777777" w:rsidR="00053D93" w:rsidRDefault="00260B75">
    <w:pPr>
      <w:spacing w:after="0"/>
      <w:ind w:left="497" w:right="-1037"/>
      <w:jc w:val="center"/>
    </w:pPr>
    <w:r>
      <w:rPr>
        <w:rFonts w:ascii="Courier New" w:eastAsia="Courier New" w:hAnsi="Courier New" w:cs="Courier New"/>
        <w:sz w:val="16"/>
      </w:rPr>
      <w:t xml:space="preserve">Contraloría </w:t>
    </w:r>
    <w:r>
      <w:rPr>
        <w:rFonts w:ascii="Courier New" w:eastAsia="Courier New" w:hAnsi="Courier New" w:cs="Courier New"/>
        <w:sz w:val="18"/>
      </w:rPr>
      <w:t xml:space="preserve">General de Cuentas </w:t>
    </w:r>
    <w:r>
      <w:rPr>
        <w:rFonts w:ascii="Courier New" w:eastAsia="Courier New" w:hAnsi="Courier New" w:cs="Courier New"/>
        <w:sz w:val="8"/>
      </w:rPr>
      <w:t xml:space="preserve">1 </w:t>
    </w:r>
    <w:r>
      <w:rPr>
        <w:rFonts w:ascii="Courier New" w:eastAsia="Courier New" w:hAnsi="Courier New" w:cs="Courier New"/>
        <w:sz w:val="18"/>
      </w:rPr>
      <w:t xml:space="preserve">7a. 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F1AC8" w14:textId="77777777" w:rsidR="00053D93" w:rsidRDefault="00053D93"/>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82525" w14:textId="77777777" w:rsidR="00053D93" w:rsidRDefault="00053D93"/>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F129A" w14:textId="77777777" w:rsidR="00053D93" w:rsidRDefault="00053D93"/>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D255D" w14:textId="77777777" w:rsidR="00053D93" w:rsidRDefault="00053D93"/>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A3FA7" w14:textId="77777777" w:rsidR="00053D93" w:rsidRDefault="00260B75">
    <w:pPr>
      <w:spacing w:after="0"/>
      <w:ind w:left="454"/>
      <w:jc w:val="center"/>
    </w:pPr>
    <w:r>
      <w:rPr>
        <w:rFonts w:ascii="Courier New" w:eastAsia="Courier New" w:hAnsi="Courier New" w:cs="Courier New"/>
        <w:sz w:val="16"/>
      </w:rPr>
      <w:t xml:space="preserve">Contraloría General </w:t>
    </w:r>
    <w:r>
      <w:rPr>
        <w:rFonts w:ascii="Courier New" w:eastAsia="Courier New" w:hAnsi="Courier New" w:cs="Courier New"/>
        <w:sz w:val="18"/>
      </w:rPr>
      <w:t xml:space="preserve">de Cuentas </w:t>
    </w:r>
    <w:r>
      <w:rPr>
        <w:rFonts w:ascii="Courier New" w:eastAsia="Courier New" w:hAnsi="Courier New" w:cs="Courier New"/>
        <w:sz w:val="6"/>
      </w:rPr>
      <w:t xml:space="preserve">1 </w:t>
    </w:r>
    <w:r>
      <w:rPr>
        <w:rFonts w:ascii="Courier New" w:eastAsia="Courier New" w:hAnsi="Courier New" w:cs="Courier New"/>
        <w:sz w:val="16"/>
      </w:rPr>
      <w:t xml:space="preserve">7a. </w:t>
    </w:r>
    <w:r>
      <w:rPr>
        <w:rFonts w:ascii="Courier New" w:eastAsia="Courier New" w:hAnsi="Courier New" w:cs="Courier New"/>
        <w:sz w:val="18"/>
      </w:rPr>
      <w:t xml:space="preserve">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6"/>
      </w:rPr>
      <w:t>(502) 2417-8700.</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1B353" w14:textId="77777777" w:rsidR="00053D93" w:rsidRDefault="00053D93"/>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FF32C" w14:textId="77777777" w:rsidR="00053D93" w:rsidRDefault="00053D93"/>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971A9" w14:textId="77777777" w:rsidR="00053D93" w:rsidRDefault="00053D93"/>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6B3E5" w14:textId="77777777" w:rsidR="00053D93" w:rsidRDefault="00053D93"/>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5FFA3" w14:textId="77777777" w:rsidR="00053D93" w:rsidRDefault="00053D93"/>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5CB6E" w14:textId="77777777" w:rsidR="00053D93" w:rsidRDefault="00053D93"/>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36BB0" w14:textId="77777777" w:rsidR="00053D93" w:rsidRDefault="00053D93"/>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8FAC3" w14:textId="77777777" w:rsidR="00053D93" w:rsidRDefault="00053D93"/>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975CF" w14:textId="77777777" w:rsidR="00053D93" w:rsidRDefault="00053D93"/>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342C7" w14:textId="77777777" w:rsidR="00053D93" w:rsidRDefault="00053D93"/>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FE5D0" w14:textId="77777777" w:rsidR="00053D93" w:rsidRDefault="00260B75">
    <w:pPr>
      <w:spacing w:after="0"/>
      <w:ind w:left="238"/>
    </w:pPr>
    <w:r>
      <w:rPr>
        <w:rFonts w:ascii="Times New Roman" w:eastAsia="Times New Roman" w:hAnsi="Times New Roman" w:cs="Times New Roman"/>
        <w:sz w:val="64"/>
      </w:rPr>
      <w:t xml:space="preserve">1 </w:t>
    </w:r>
    <w:r>
      <w:rPr>
        <w:rFonts w:ascii="Courier New" w:eastAsia="Courier New" w:hAnsi="Courier New" w:cs="Courier New"/>
        <w:sz w:val="16"/>
      </w:rPr>
      <w:t xml:space="preserve">Contraloría General </w:t>
    </w:r>
    <w:r>
      <w:rPr>
        <w:rFonts w:ascii="Courier New" w:eastAsia="Courier New" w:hAnsi="Courier New" w:cs="Courier New"/>
        <w:sz w:val="18"/>
      </w:rPr>
      <w:t xml:space="preserve">de Cuentas </w:t>
    </w:r>
    <w:r>
      <w:rPr>
        <w:rFonts w:ascii="Courier New" w:eastAsia="Courier New" w:hAnsi="Courier New" w:cs="Courier New"/>
        <w:sz w:val="6"/>
      </w:rPr>
      <w:t xml:space="preserve">1 </w:t>
    </w:r>
    <w:r>
      <w:rPr>
        <w:rFonts w:ascii="Courier New" w:eastAsia="Courier New" w:hAnsi="Courier New" w:cs="Courier New"/>
        <w:sz w:val="16"/>
      </w:rPr>
      <w:t xml:space="preserve">7a. </w:t>
    </w:r>
    <w:r>
      <w:rPr>
        <w:rFonts w:ascii="Courier New" w:eastAsia="Courier New" w:hAnsi="Courier New" w:cs="Courier New"/>
        <w:sz w:val="18"/>
      </w:rPr>
      <w:t xml:space="preserve">Avenida </w:t>
    </w:r>
    <w:r>
      <w:rPr>
        <w:rFonts w:ascii="Courier New" w:eastAsia="Courier New" w:hAnsi="Courier New" w:cs="Courier New"/>
        <w:sz w:val="16"/>
      </w:rPr>
      <w:t xml:space="preserve">7-32 </w:t>
    </w:r>
    <w:r>
      <w:rPr>
        <w:rFonts w:ascii="Courier New" w:eastAsia="Courier New" w:hAnsi="Courier New" w:cs="Courier New"/>
        <w:sz w:val="18"/>
      </w:rPr>
      <w:t xml:space="preserve">zona </w:t>
    </w:r>
    <w:r>
      <w:rPr>
        <w:rFonts w:ascii="Courier New" w:eastAsia="Courier New" w:hAnsi="Courier New" w:cs="Courier New"/>
        <w:sz w:val="16"/>
      </w:rPr>
      <w:t xml:space="preserve">13, </w:t>
    </w:r>
    <w:r>
      <w:rPr>
        <w:rFonts w:ascii="Courier New" w:eastAsia="Courier New" w:hAnsi="Courier New" w:cs="Courier New"/>
        <w:sz w:val="18"/>
      </w:rPr>
      <w:t xml:space="preserve">Guatemala C.A. Código </w:t>
    </w:r>
    <w:r>
      <w:rPr>
        <w:rFonts w:ascii="Courier New" w:eastAsia="Courier New" w:hAnsi="Courier New" w:cs="Courier New"/>
        <w:sz w:val="14"/>
      </w:rPr>
      <w:t xml:space="preserve">Postal: </w:t>
    </w:r>
    <w:r>
      <w:rPr>
        <w:rFonts w:ascii="Courier New" w:eastAsia="Courier New" w:hAnsi="Courier New" w:cs="Courier New"/>
        <w:sz w:val="16"/>
      </w:rPr>
      <w:t xml:space="preserve">01013. </w:t>
    </w:r>
    <w:r>
      <w:rPr>
        <w:rFonts w:ascii="Courier New" w:eastAsia="Courier New" w:hAnsi="Courier New" w:cs="Courier New"/>
        <w:sz w:val="20"/>
      </w:rPr>
      <w:t xml:space="preserve">PBX: </w:t>
    </w:r>
    <w:r>
      <w:rPr>
        <w:rFonts w:ascii="Courier New" w:eastAsia="Courier New" w:hAnsi="Courier New" w:cs="Courier New"/>
        <w:sz w:val="18"/>
      </w:rPr>
      <w:t xml:space="preserve">(502) </w:t>
    </w:r>
    <w:r>
      <w:rPr>
        <w:rFonts w:ascii="Courier New" w:eastAsia="Courier New" w:hAnsi="Courier New" w:cs="Courier New"/>
        <w:sz w:val="16"/>
      </w:rPr>
      <w:t>2417-8700.</w: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57C68" w14:textId="77777777" w:rsidR="00053D93" w:rsidRDefault="00053D93"/>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730EA" w14:textId="77777777" w:rsidR="00053D93" w:rsidRDefault="00053D93"/>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12CB6" w14:textId="77777777" w:rsidR="00053D93" w:rsidRDefault="00053D93"/>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12333" w14:textId="77777777" w:rsidR="00053D93" w:rsidRDefault="00053D93"/>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06370" w14:textId="77777777" w:rsidR="00053D93" w:rsidRDefault="00053D93"/>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D84A2" w14:textId="77777777" w:rsidR="00053D93" w:rsidRDefault="00053D93"/>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B0CBA" w14:textId="77777777" w:rsidR="00053D93" w:rsidRDefault="00053D93"/>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01120" w14:textId="77777777" w:rsidR="00053D93" w:rsidRDefault="00053D93"/>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D46F2" w14:textId="77777777" w:rsidR="00053D93" w:rsidRDefault="00053D93"/>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F0D1F" w14:textId="77777777" w:rsidR="00053D93" w:rsidRDefault="00053D9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08FB7E" w14:textId="77777777" w:rsidR="003D4CB5" w:rsidRDefault="003D4CB5">
      <w:pPr>
        <w:spacing w:after="0" w:line="240" w:lineRule="auto"/>
      </w:pPr>
      <w:r>
        <w:separator/>
      </w:r>
    </w:p>
  </w:footnote>
  <w:footnote w:type="continuationSeparator" w:id="0">
    <w:p w14:paraId="1CDA1767" w14:textId="77777777" w:rsidR="003D4CB5" w:rsidRDefault="003D4C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8FB5C" w14:textId="77777777" w:rsidR="00053D93" w:rsidRDefault="00053D93"/>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DF3D6" w14:textId="77777777" w:rsidR="00053D93" w:rsidRDefault="00260B75">
    <w:pPr>
      <w:spacing w:after="0"/>
      <w:ind w:left="3672"/>
      <w:jc w:val="center"/>
    </w:pPr>
    <w:r>
      <w:rPr>
        <w:sz w:val="14"/>
      </w:rPr>
      <w:t xml:space="preserve">DIRECCIÓN </w:t>
    </w:r>
    <w:r>
      <w:rPr>
        <w:sz w:val="16"/>
      </w:rPr>
      <w:t xml:space="preserve">DE </w:t>
    </w:r>
    <w:r>
      <w:rPr>
        <w:sz w:val="14"/>
      </w:rPr>
      <w:t xml:space="preserve">AUDITORÍA AL </w:t>
    </w:r>
  </w:p>
  <w:p w14:paraId="6F104B3B" w14:textId="77777777" w:rsidR="00053D93" w:rsidRDefault="00260B75">
    <w:pPr>
      <w:tabs>
        <w:tab w:val="center" w:pos="2740"/>
        <w:tab w:val="right" w:pos="10159"/>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5F230540" w14:textId="77777777" w:rsidR="00053D93" w:rsidRDefault="00260B75">
    <w:pPr>
      <w:spacing w:after="0"/>
      <w:ind w:right="36"/>
      <w:jc w:val="right"/>
    </w:pPr>
    <w:r>
      <w:rPr>
        <w:sz w:val="16"/>
      </w:rPr>
      <w:t>Y DEPORTES</w: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A9198" w14:textId="77777777" w:rsidR="00053D93" w:rsidRDefault="00260B75">
    <w:pPr>
      <w:spacing w:after="0"/>
      <w:ind w:left="3737"/>
      <w:jc w:val="center"/>
    </w:pPr>
    <w:r>
      <w:rPr>
        <w:sz w:val="14"/>
      </w:rPr>
      <w:t xml:space="preserve">DIRECCIÓN </w:t>
    </w:r>
    <w:r>
      <w:rPr>
        <w:sz w:val="16"/>
      </w:rPr>
      <w:t xml:space="preserve">DE </w:t>
    </w:r>
    <w:r>
      <w:rPr>
        <w:sz w:val="14"/>
      </w:rPr>
      <w:t xml:space="preserve">AUDITORÍA AL </w:t>
    </w:r>
  </w:p>
  <w:p w14:paraId="18702F7D" w14:textId="77777777" w:rsidR="00053D93" w:rsidRDefault="00260B75">
    <w:pPr>
      <w:tabs>
        <w:tab w:val="center" w:pos="2776"/>
        <w:tab w:val="right" w:pos="10166"/>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2DA9BE3" w14:textId="77777777" w:rsidR="00053D93" w:rsidRDefault="00260B75">
    <w:pPr>
      <w:spacing w:after="0"/>
      <w:ind w:right="7"/>
      <w:jc w:val="right"/>
    </w:pPr>
    <w:r>
      <w:rPr>
        <w:sz w:val="16"/>
      </w:rPr>
      <w:t>Y DEPORTES</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7A72A" w14:textId="77777777" w:rsidR="00053D93" w:rsidRDefault="00260B75">
    <w:pPr>
      <w:spacing w:after="0"/>
      <w:ind w:left="3737"/>
      <w:jc w:val="center"/>
    </w:pPr>
    <w:r>
      <w:rPr>
        <w:sz w:val="14"/>
      </w:rPr>
      <w:t xml:space="preserve">DIRECCIÓN </w:t>
    </w:r>
    <w:r>
      <w:rPr>
        <w:sz w:val="16"/>
      </w:rPr>
      <w:t xml:space="preserve">DE </w:t>
    </w:r>
    <w:r>
      <w:rPr>
        <w:sz w:val="14"/>
      </w:rPr>
      <w:t xml:space="preserve">AUDITORÍA AL </w:t>
    </w:r>
  </w:p>
  <w:p w14:paraId="6474D364" w14:textId="77777777" w:rsidR="00053D93" w:rsidRDefault="00260B75">
    <w:pPr>
      <w:tabs>
        <w:tab w:val="center" w:pos="2776"/>
        <w:tab w:val="right" w:pos="10166"/>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70DE9B10" w14:textId="77777777" w:rsidR="00053D93" w:rsidRDefault="00260B75">
    <w:pPr>
      <w:spacing w:after="0"/>
      <w:ind w:right="7"/>
      <w:jc w:val="right"/>
    </w:pPr>
    <w:r>
      <w:rPr>
        <w:sz w:val="16"/>
      </w:rPr>
      <w:t>Y DEPORTES</w: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F8672" w14:textId="77777777" w:rsidR="00053D93" w:rsidRDefault="00260B75">
    <w:pPr>
      <w:tabs>
        <w:tab w:val="center" w:pos="2801"/>
        <w:tab w:val="center" w:pos="6462"/>
        <w:tab w:val="right" w:pos="10166"/>
      </w:tabs>
      <w:spacing w:after="0"/>
      <w:ind w:right="-14"/>
    </w:pPr>
    <w:r>
      <w:tab/>
    </w:r>
    <w:r>
      <w:rPr>
        <w:sz w:val="14"/>
      </w:rPr>
      <w:t xml:space="preserve">CONTRALORIA GENERAL </w:t>
    </w:r>
    <w:r>
      <w:rPr>
        <w:sz w:val="16"/>
      </w:rPr>
      <w:t xml:space="preserve">DE </w:t>
    </w:r>
    <w:r>
      <w:rPr>
        <w:sz w:val="14"/>
      </w:rPr>
      <w:t>CUENTAS</w:t>
    </w:r>
    <w:r>
      <w:rPr>
        <w:sz w:val="14"/>
      </w:rPr>
      <w:tab/>
      <w:t xml:space="preserve">DIRECCEÓN </w:t>
    </w:r>
    <w:r>
      <w:rPr>
        <w:sz w:val="14"/>
      </w:rPr>
      <w:tab/>
      <w:t xml:space="preserve">AUDITORIA AL </w:t>
    </w:r>
    <w:r>
      <w:rPr>
        <w:sz w:val="16"/>
      </w:rPr>
      <w:t xml:space="preserve">SECTOR </w:t>
    </w:r>
    <w:r>
      <w:rPr>
        <w:sz w:val="14"/>
      </w:rPr>
      <w:t>EDUCACIÓN. CIENCIA. CULTURA</w:t>
    </w:r>
  </w:p>
  <w:p w14:paraId="03257E29" w14:textId="77777777" w:rsidR="00053D93" w:rsidRDefault="00260B75">
    <w:pPr>
      <w:spacing w:after="0"/>
      <w:ind w:right="-7"/>
      <w:jc w:val="right"/>
    </w:pPr>
    <w:r>
      <w:rPr>
        <w:sz w:val="16"/>
      </w:rPr>
      <w:t>Y DEPORTES</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42DED" w14:textId="77777777" w:rsidR="00053D93" w:rsidRDefault="00260B75">
    <w:pPr>
      <w:tabs>
        <w:tab w:val="center" w:pos="2758"/>
        <w:tab w:val="center" w:pos="6419"/>
        <w:tab w:val="right" w:pos="10145"/>
      </w:tabs>
      <w:spacing w:after="0"/>
    </w:pPr>
    <w:r>
      <w:tab/>
    </w:r>
    <w:r>
      <w:rPr>
        <w:sz w:val="14"/>
      </w:rPr>
      <w:t xml:space="preserve">CONTRALORIA GENERAL </w:t>
    </w:r>
    <w:r>
      <w:rPr>
        <w:sz w:val="16"/>
      </w:rPr>
      <w:t xml:space="preserve">DE </w:t>
    </w:r>
    <w:r>
      <w:rPr>
        <w:sz w:val="14"/>
      </w:rPr>
      <w:t>CUENTAS</w:t>
    </w:r>
    <w:r>
      <w:rPr>
        <w:sz w:val="14"/>
      </w:rPr>
      <w:tab/>
      <w:t xml:space="preserve">DIRECCEÓN </w:t>
    </w:r>
    <w:r>
      <w:rPr>
        <w:sz w:val="14"/>
      </w:rPr>
      <w:tab/>
      <w:t xml:space="preserve">AUDITORIA AL </w:t>
    </w:r>
    <w:r>
      <w:rPr>
        <w:sz w:val="16"/>
      </w:rPr>
      <w:t xml:space="preserve">SECTOR </w:t>
    </w:r>
    <w:r>
      <w:rPr>
        <w:sz w:val="14"/>
      </w:rPr>
      <w:t>EDUCACIÓN. CIENCIA. CULTURA</w:t>
    </w:r>
  </w:p>
  <w:p w14:paraId="2A82CC71" w14:textId="77777777" w:rsidR="00053D93" w:rsidRDefault="00260B75">
    <w:pPr>
      <w:spacing w:after="0"/>
      <w:ind w:right="14"/>
      <w:jc w:val="right"/>
    </w:pPr>
    <w:r>
      <w:rPr>
        <w:sz w:val="16"/>
      </w:rPr>
      <w:t>Y DEPORTES</w: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BD5AD" w14:textId="77777777" w:rsidR="00053D93" w:rsidRDefault="00260B75">
    <w:pPr>
      <w:spacing w:after="0"/>
      <w:ind w:right="72"/>
      <w:jc w:val="right"/>
    </w:pP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60910C69" w14:textId="77777777" w:rsidR="00053D93" w:rsidRDefault="00260B75">
    <w:pPr>
      <w:tabs>
        <w:tab w:val="center" w:pos="2732"/>
        <w:tab w:val="center" w:pos="5857"/>
        <w:tab w:val="right" w:pos="10145"/>
      </w:tabs>
      <w:spacing w:after="0"/>
    </w:pPr>
    <w:r>
      <w:tab/>
    </w: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105</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Y DEPORTES</w: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DDED5" w14:textId="77777777" w:rsidR="00053D93" w:rsidRDefault="00260B75">
    <w:pPr>
      <w:spacing w:after="0"/>
      <w:ind w:right="22"/>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1AEA7BB4" w14:textId="77777777" w:rsidR="00053D93" w:rsidRDefault="00260B75">
    <w:pPr>
      <w:tabs>
        <w:tab w:val="center" w:pos="2351"/>
        <w:tab w:val="center" w:pos="3553"/>
      </w:tabs>
      <w:spacing w:after="0"/>
    </w:pPr>
    <w:r>
      <w:tab/>
    </w:r>
    <w:r>
      <w:rPr>
        <w:sz w:val="14"/>
      </w:rPr>
      <w:t xml:space="preserve">CONTRALORIA GENERAL </w:t>
    </w:r>
    <w:r>
      <w:rPr>
        <w:sz w:val="14"/>
      </w:rPr>
      <w:tab/>
      <w:t>CUENTAS</w:t>
    </w:r>
  </w:p>
  <w:p w14:paraId="30987891" w14:textId="77777777" w:rsidR="00053D93" w:rsidRDefault="00260B75">
    <w:pPr>
      <w:spacing w:after="0"/>
      <w:ind w:right="22"/>
      <w:jc w:val="right"/>
    </w:pPr>
    <w:r>
      <w:rPr>
        <w:sz w:val="16"/>
      </w:rPr>
      <w:t>Y DEPORTES</w: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222B2" w14:textId="77777777" w:rsidR="00053D93" w:rsidRDefault="00260B75">
    <w:pPr>
      <w:spacing w:after="0"/>
      <w:ind w:left="3722"/>
      <w:jc w:val="center"/>
    </w:pPr>
    <w:r>
      <w:rPr>
        <w:sz w:val="14"/>
      </w:rPr>
      <w:t xml:space="preserve">DIRECCIÓN </w:t>
    </w:r>
    <w:r>
      <w:rPr>
        <w:sz w:val="16"/>
      </w:rPr>
      <w:t xml:space="preserve">DE </w:t>
    </w:r>
    <w:r>
      <w:rPr>
        <w:sz w:val="14"/>
      </w:rPr>
      <w:t xml:space="preserve">AUDITORÍA AL </w:t>
    </w:r>
  </w:p>
  <w:p w14:paraId="7BB9DC14" w14:textId="77777777" w:rsidR="00053D93" w:rsidRDefault="00260B75">
    <w:pPr>
      <w:tabs>
        <w:tab w:val="center" w:pos="2819"/>
        <w:tab w:val="right" w:pos="10267"/>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43CEE2B" w14:textId="77777777" w:rsidR="00053D93" w:rsidRDefault="00260B75">
    <w:pPr>
      <w:spacing w:after="0"/>
      <w:ind w:right="65"/>
      <w:jc w:val="right"/>
    </w:pPr>
    <w:r>
      <w:rPr>
        <w:sz w:val="16"/>
      </w:rPr>
      <w:t>Y DEPORTES</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2CA07" w14:textId="77777777" w:rsidR="00053D93" w:rsidRDefault="00260B75">
    <w:pPr>
      <w:tabs>
        <w:tab w:val="center" w:pos="7243"/>
        <w:tab w:val="right" w:pos="10267"/>
      </w:tabs>
      <w:spacing w:after="0"/>
    </w:pPr>
    <w:r>
      <w:tab/>
    </w:r>
    <w:r>
      <w:rPr>
        <w:sz w:val="14"/>
      </w:rPr>
      <w:t xml:space="preserve">DIRECCIÓN </w:t>
    </w:r>
    <w:r>
      <w:rPr>
        <w:sz w:val="16"/>
      </w:rPr>
      <w:t xml:space="preserve">DE </w:t>
    </w:r>
    <w:r>
      <w:rPr>
        <w:sz w:val="14"/>
      </w:rPr>
      <w:t xml:space="preserve">AUDITORIA AL </w:t>
    </w:r>
    <w:r>
      <w:rPr>
        <w:sz w:val="16"/>
      </w:rPr>
      <w:t xml:space="preserve">SECTOR </w:t>
    </w:r>
    <w:r>
      <w:rPr>
        <w:sz w:val="16"/>
      </w:rPr>
      <w:tab/>
    </w:r>
    <w:r>
      <w:rPr>
        <w:sz w:val="14"/>
      </w:rPr>
      <w:t>CIENCIA. CULTURA</w:t>
    </w:r>
  </w:p>
  <w:p w14:paraId="3C3D4622" w14:textId="77777777" w:rsidR="00053D93" w:rsidRDefault="00260B75">
    <w:pPr>
      <w:tabs>
        <w:tab w:val="center" w:pos="2815"/>
        <w:tab w:val="center" w:pos="5958"/>
        <w:tab w:val="right" w:pos="10267"/>
      </w:tabs>
      <w:spacing w:after="0"/>
    </w:pPr>
    <w:r>
      <w:tab/>
    </w: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107</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Y DEPORTES</w: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A352F" w14:textId="77777777" w:rsidR="00053D93" w:rsidRDefault="00260B75">
    <w:pPr>
      <w:spacing w:after="0"/>
      <w:ind w:right="108"/>
      <w:jc w:val="right"/>
    </w:pP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4B7717C0" w14:textId="77777777" w:rsidR="00053D93" w:rsidRDefault="00260B75">
    <w:pPr>
      <w:tabs>
        <w:tab w:val="center" w:pos="2819"/>
        <w:tab w:val="center" w:pos="5944"/>
        <w:tab w:val="right" w:pos="10267"/>
      </w:tabs>
      <w:spacing w:after="0"/>
    </w:pPr>
    <w:r>
      <w:tab/>
    </w: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105</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Y DEPORTES</w: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C6812" w14:textId="77777777" w:rsidR="00053D93" w:rsidRDefault="00260B75">
    <w:pPr>
      <w:spacing w:after="0"/>
      <w:ind w:left="3708"/>
      <w:jc w:val="center"/>
    </w:pPr>
    <w:r>
      <w:rPr>
        <w:sz w:val="14"/>
      </w:rPr>
      <w:t xml:space="preserve">DIRECCIÓN </w:t>
    </w:r>
    <w:r>
      <w:rPr>
        <w:sz w:val="16"/>
      </w:rPr>
      <w:t xml:space="preserve">DE </w:t>
    </w:r>
    <w:r>
      <w:rPr>
        <w:sz w:val="14"/>
      </w:rPr>
      <w:t xml:space="preserve">AUDITORÍA AL </w:t>
    </w:r>
  </w:p>
  <w:p w14:paraId="76116130" w14:textId="77777777" w:rsidR="00053D93" w:rsidRDefault="00260B75">
    <w:pPr>
      <w:tabs>
        <w:tab w:val="center" w:pos="2797"/>
        <w:tab w:val="right" w:pos="10238"/>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13CA68CC" w14:textId="77777777" w:rsidR="00053D93" w:rsidRDefault="00260B75">
    <w:pPr>
      <w:spacing w:after="0"/>
      <w:ind w:right="58"/>
      <w:jc w:val="right"/>
    </w:pPr>
    <w:r>
      <w:rPr>
        <w:sz w:val="16"/>
      </w:rPr>
      <w:t>Y DEPORTES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79318" w14:textId="77777777" w:rsidR="00053D93" w:rsidRDefault="00260B75">
    <w:pPr>
      <w:spacing w:after="0"/>
      <w:ind w:left="3672"/>
      <w:jc w:val="center"/>
    </w:pPr>
    <w:r>
      <w:rPr>
        <w:sz w:val="14"/>
      </w:rPr>
      <w:t xml:space="preserve">DIRECCIÓN </w:t>
    </w:r>
    <w:r>
      <w:rPr>
        <w:sz w:val="16"/>
      </w:rPr>
      <w:t xml:space="preserve">DE </w:t>
    </w:r>
    <w:r>
      <w:rPr>
        <w:sz w:val="14"/>
      </w:rPr>
      <w:t xml:space="preserve">AUDITORÍA AL </w:t>
    </w:r>
  </w:p>
  <w:p w14:paraId="5902BFA2" w14:textId="77777777" w:rsidR="00053D93" w:rsidRDefault="00260B75">
    <w:pPr>
      <w:tabs>
        <w:tab w:val="center" w:pos="2740"/>
        <w:tab w:val="right" w:pos="10159"/>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597E815E" w14:textId="77777777" w:rsidR="00053D93" w:rsidRDefault="00260B75">
    <w:pPr>
      <w:spacing w:after="0"/>
      <w:ind w:right="36"/>
      <w:jc w:val="right"/>
    </w:pPr>
    <w:r>
      <w:rPr>
        <w:sz w:val="16"/>
      </w:rPr>
      <w:t>Y DEPORTES</w: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F1C09" w14:textId="77777777" w:rsidR="00053D93" w:rsidRDefault="00260B75">
    <w:pPr>
      <w:spacing w:after="0"/>
      <w:ind w:right="58"/>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DC37EE1" w14:textId="77777777" w:rsidR="00053D93" w:rsidRDefault="00260B75">
    <w:pPr>
      <w:tabs>
        <w:tab w:val="center" w:pos="2804"/>
        <w:tab w:val="center" w:pos="594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FE75016" w14:textId="77777777" w:rsidR="00053D93" w:rsidRDefault="00260B75">
    <w:pPr>
      <w:spacing w:after="0"/>
      <w:ind w:right="65"/>
      <w:jc w:val="right"/>
    </w:pPr>
    <w:r>
      <w:rPr>
        <w:sz w:val="16"/>
      </w:rPr>
      <w:t>Y DEPORTES</w: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BC641" w14:textId="77777777" w:rsidR="00053D93" w:rsidRDefault="00260B75">
    <w:pPr>
      <w:spacing w:after="0"/>
      <w:ind w:right="50"/>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27D17C3D" w14:textId="77777777" w:rsidR="00053D93" w:rsidRDefault="00260B75">
    <w:pPr>
      <w:tabs>
        <w:tab w:val="center" w:pos="2416"/>
        <w:tab w:val="center" w:pos="3618"/>
      </w:tabs>
      <w:spacing w:after="0"/>
    </w:pPr>
    <w:r>
      <w:tab/>
    </w:r>
    <w:r>
      <w:rPr>
        <w:sz w:val="14"/>
      </w:rPr>
      <w:t xml:space="preserve">CONTRALORIA GENERAL </w:t>
    </w:r>
    <w:r>
      <w:rPr>
        <w:sz w:val="14"/>
      </w:rPr>
      <w:tab/>
      <w:t>CUENTAS</w:t>
    </w:r>
  </w:p>
  <w:p w14:paraId="2A97F4B9" w14:textId="77777777" w:rsidR="00053D93" w:rsidRDefault="00260B75">
    <w:pPr>
      <w:spacing w:after="0"/>
      <w:ind w:right="50"/>
      <w:jc w:val="right"/>
    </w:pPr>
    <w:r>
      <w:rPr>
        <w:sz w:val="16"/>
      </w:rPr>
      <w:t>Y DEPORTES</w: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B8BE6" w14:textId="77777777" w:rsidR="00053D93" w:rsidRDefault="00260B75">
    <w:pPr>
      <w:spacing w:after="0"/>
      <w:ind w:left="3521"/>
      <w:jc w:val="center"/>
    </w:pPr>
    <w:r>
      <w:rPr>
        <w:sz w:val="14"/>
      </w:rPr>
      <w:t xml:space="preserve">DIRECCIÓN </w:t>
    </w:r>
    <w:r>
      <w:rPr>
        <w:sz w:val="16"/>
      </w:rPr>
      <w:t xml:space="preserve">DE </w:t>
    </w:r>
    <w:r>
      <w:rPr>
        <w:sz w:val="14"/>
      </w:rPr>
      <w:t xml:space="preserve">AUDITORÍA </w:t>
    </w:r>
  </w:p>
  <w:p w14:paraId="6E02FD93" w14:textId="77777777" w:rsidR="00053D93" w:rsidRDefault="00260B75">
    <w:pPr>
      <w:tabs>
        <w:tab w:val="center" w:pos="2725"/>
        <w:tab w:val="center" w:pos="5850"/>
        <w:tab w:val="center" w:pos="7920"/>
        <w:tab w:val="right" w:pos="10102"/>
      </w:tabs>
      <w:spacing w:after="0"/>
      <w:ind w:right="-7"/>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2"/>
      </w:rPr>
      <w:t>71</w:t>
    </w:r>
    <w:r>
      <w:rPr>
        <w:rFonts w:ascii="Times New Roman" w:eastAsia="Times New Roman" w:hAnsi="Times New Roman" w:cs="Times New Roman"/>
        <w:sz w:val="12"/>
      </w:rPr>
      <w:fldChar w:fldCharType="end"/>
    </w:r>
    <w:r>
      <w:rPr>
        <w:rFonts w:ascii="Times New Roman" w:eastAsia="Times New Roman" w:hAnsi="Times New Roman" w:cs="Times New Roman"/>
        <w:sz w:val="12"/>
      </w:rPr>
      <w:tab/>
    </w:r>
    <w:r>
      <w:rPr>
        <w:sz w:val="14"/>
      </w:rPr>
      <w:t xml:space="preserve">AL </w:t>
    </w:r>
    <w:r>
      <w:rPr>
        <w:sz w:val="16"/>
      </w:rPr>
      <w:t xml:space="preserve">SECTOR </w:t>
    </w:r>
    <w:r>
      <w:rPr>
        <w:sz w:val="16"/>
      </w:rPr>
      <w:tab/>
    </w:r>
    <w:r>
      <w:rPr>
        <w:sz w:val="14"/>
      </w:rPr>
      <w:t>CIENCIA, CULTURA</w:t>
    </w:r>
  </w:p>
  <w:p w14:paraId="03C6D689" w14:textId="77777777" w:rsidR="00053D93" w:rsidRDefault="00260B75">
    <w:pPr>
      <w:spacing w:after="0"/>
      <w:ind w:right="-7"/>
      <w:jc w:val="right"/>
    </w:pPr>
    <w:r>
      <w:rPr>
        <w:sz w:val="18"/>
      </w:rPr>
      <w:t xml:space="preserve">Y </w:t>
    </w:r>
    <w:r>
      <w:rPr>
        <w:sz w:val="16"/>
      </w:rPr>
      <w:t>DEPORTES</w: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9D37E" w14:textId="77777777" w:rsidR="00053D93" w:rsidRDefault="00260B75">
    <w:pPr>
      <w:spacing w:after="0"/>
      <w:ind w:right="2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B536A1B" w14:textId="77777777" w:rsidR="00053D93" w:rsidRDefault="00260B75">
    <w:pPr>
      <w:tabs>
        <w:tab w:val="center" w:pos="2704"/>
        <w:tab w:val="center" w:pos="5839"/>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A1A65C7" w14:textId="77777777" w:rsidR="00053D93" w:rsidRDefault="00260B75">
    <w:pPr>
      <w:spacing w:after="0"/>
      <w:ind w:right="29"/>
      <w:jc w:val="right"/>
    </w:pPr>
    <w:r>
      <w:rPr>
        <w:sz w:val="16"/>
      </w:rPr>
      <w:t>Y DEPORTES</w: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54398" w14:textId="77777777" w:rsidR="00053D93" w:rsidRDefault="00260B75">
    <w:pPr>
      <w:spacing w:after="0"/>
      <w:ind w:right="50"/>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088F04F3" w14:textId="77777777" w:rsidR="00053D93" w:rsidRDefault="00260B75">
    <w:pPr>
      <w:tabs>
        <w:tab w:val="center" w:pos="2675"/>
        <w:tab w:val="center" w:pos="5810"/>
        <w:tab w:val="right" w:pos="10102"/>
      </w:tabs>
      <w:spacing w:after="0"/>
    </w:pPr>
    <w:r>
      <w:tab/>
    </w:r>
    <w:r>
      <w:rPr>
        <w:sz w:val="14"/>
      </w:rPr>
      <w:t>CONTRALORIA GENERAL 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14</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8"/>
      </w:rPr>
      <w:t xml:space="preserve">Y </w:t>
    </w:r>
    <w:r>
      <w:rPr>
        <w:sz w:val="16"/>
      </w:rPr>
      <w:t>DEPORTES</w: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E6F49" w14:textId="77777777" w:rsidR="00053D93" w:rsidRDefault="00260B75">
    <w:pPr>
      <w:tabs>
        <w:tab w:val="center" w:pos="2794"/>
        <w:tab w:val="right" w:pos="10159"/>
      </w:tabs>
      <w:spacing w:after="0"/>
      <w:ind w:right="-14"/>
    </w:pPr>
    <w:r>
      <w:rPr>
        <w:noProof/>
      </w:rPr>
      <mc:AlternateContent>
        <mc:Choice Requires="wpg">
          <w:drawing>
            <wp:anchor distT="0" distB="0" distL="114300" distR="114300" simplePos="0" relativeHeight="251678720" behindDoc="0" locked="0" layoutInCell="1" allowOverlap="1" wp14:anchorId="0E371CCD" wp14:editId="73589805">
              <wp:simplePos x="0" y="0"/>
              <wp:positionH relativeFrom="page">
                <wp:posOffset>237744</wp:posOffset>
              </wp:positionH>
              <wp:positionV relativeFrom="page">
                <wp:posOffset>237744</wp:posOffset>
              </wp:positionV>
              <wp:extent cx="114300" cy="297180"/>
              <wp:effectExtent l="0" t="0" r="0" b="0"/>
              <wp:wrapSquare wrapText="bothSides"/>
              <wp:docPr id="2448664" name="Group 2448664"/>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48665" name="Rectangle 2448665"/>
                      <wps:cNvSpPr/>
                      <wps:spPr>
                        <a:xfrm>
                          <a:off x="0" y="0"/>
                          <a:ext cx="152019" cy="395250"/>
                        </a:xfrm>
                        <a:prstGeom prst="rect">
                          <a:avLst/>
                        </a:prstGeom>
                        <a:ln>
                          <a:noFill/>
                        </a:ln>
                      </wps:spPr>
                      <wps:txbx>
                        <w:txbxContent>
                          <w:p w14:paraId="5BE7CC74"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0E371CCD" id="Group 2448664" o:spid="_x0000_s1931" style="position:absolute;margin-left:18.7pt;margin-top:18.7pt;width:9pt;height:23.4pt;z-index:251678720;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">
              <v:rect id="Rectangle 2448665" o:spid="_x0000_s1932"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" filled="f" stroked="f">
                <v:textbox inset="0,0,0,0">
                  <w:txbxContent>
                    <w:p w14:paraId="5BE7CC74"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440FFCB1" w14:textId="77777777" w:rsidR="00053D93" w:rsidRDefault="00260B75">
    <w:pPr>
      <w:spacing w:after="0"/>
      <w:ind w:left="29" w:right="-14"/>
    </w:pPr>
    <w:r>
      <w:rPr>
        <w:sz w:val="16"/>
      </w:rPr>
      <w:t>Y DEPORTES</w: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02DC8" w14:textId="77777777" w:rsidR="00053D93" w:rsidRDefault="00260B75">
    <w:pPr>
      <w:spacing w:after="0"/>
      <w:ind w:left="173" w:right="-158"/>
    </w:pPr>
    <w:r>
      <w:rPr>
        <w:noProof/>
      </w:rPr>
      <mc:AlternateContent>
        <mc:Choice Requires="wpg">
          <w:drawing>
            <wp:anchor distT="0" distB="0" distL="114300" distR="114300" simplePos="0" relativeHeight="251679744" behindDoc="0" locked="0" layoutInCell="1" allowOverlap="1" wp14:anchorId="28CCF6D2" wp14:editId="5A25ABA2">
              <wp:simplePos x="0" y="0"/>
              <wp:positionH relativeFrom="page">
                <wp:posOffset>329184</wp:posOffset>
              </wp:positionH>
              <wp:positionV relativeFrom="page">
                <wp:posOffset>260604</wp:posOffset>
              </wp:positionV>
              <wp:extent cx="114300" cy="297180"/>
              <wp:effectExtent l="0" t="0" r="0" b="0"/>
              <wp:wrapSquare wrapText="bothSides"/>
              <wp:docPr id="2448623" name="Group 2448623"/>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48624" name="Rectangle 2448624"/>
                      <wps:cNvSpPr/>
                      <wps:spPr>
                        <a:xfrm>
                          <a:off x="0" y="0"/>
                          <a:ext cx="152019" cy="395250"/>
                        </a:xfrm>
                        <a:prstGeom prst="rect">
                          <a:avLst/>
                        </a:prstGeom>
                        <a:ln>
                          <a:noFill/>
                        </a:ln>
                      </wps:spPr>
                      <wps:txbx>
                        <w:txbxContent>
                          <w:p w14:paraId="74FD56A4"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28CCF6D2" id="Group 2448623" o:spid="_x0000_s1933" style="position:absolute;left:0;text-align:left;margin-left:25.9pt;margin-top:20.5pt;width:9pt;height:23.4pt;z-index:251679744;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">
              <v:rect id="Rectangle 2448624" o:spid="_x0000_s1934"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" filled="f" stroked="f">
                <v:textbox inset="0,0,0,0">
                  <w:txbxContent>
                    <w:p w14:paraId="74FD56A4"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64915FE" w14:textId="77777777" w:rsidR="00053D93" w:rsidRDefault="00260B75">
    <w:pPr>
      <w:tabs>
        <w:tab w:val="right" w:pos="10159"/>
      </w:tabs>
      <w:spacing w:after="0"/>
      <w:ind w:right="-151"/>
    </w:pPr>
    <w:r>
      <w:rPr>
        <w:sz w:val="14"/>
      </w:rPr>
      <w:t xml:space="preserve">CONTRALORIA GENERAL </w:t>
    </w:r>
    <w:r>
      <w:rPr>
        <w:sz w:val="16"/>
      </w:rPr>
      <w:t xml:space="preserve">DE </w:t>
    </w:r>
    <w:r>
      <w:rPr>
        <w:sz w:val="14"/>
      </w:rPr>
      <w:t>CUENTAS</w:t>
    </w:r>
    <w:r>
      <w:rPr>
        <w:sz w:val="14"/>
      </w:rPr>
      <w:tab/>
    </w:r>
    <w:r>
      <w:rPr>
        <w:sz w:val="18"/>
      </w:rPr>
      <w:t xml:space="preserve">Y </w:t>
    </w:r>
    <w:r>
      <w:rPr>
        <w:sz w:val="16"/>
      </w:rPr>
      <w:t>DEPORTES</w: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CF2C5" w14:textId="77777777" w:rsidR="00053D93" w:rsidRDefault="00260B75">
    <w:pPr>
      <w:spacing w:after="0"/>
      <w:ind w:left="2743"/>
      <w:jc w:val="center"/>
    </w:pPr>
    <w:r>
      <w:rPr>
        <w:sz w:val="14"/>
      </w:rPr>
      <w:t xml:space="preserve">DIRECCIÓN </w:t>
    </w:r>
  </w:p>
  <w:p w14:paraId="5D0A1135" w14:textId="77777777" w:rsidR="00053D93" w:rsidRDefault="00260B75">
    <w:pPr>
      <w:tabs>
        <w:tab w:val="center" w:pos="2790"/>
        <w:tab w:val="center" w:pos="7556"/>
        <w:tab w:val="right" w:pos="10159"/>
      </w:tabs>
      <w:spacing w:after="0"/>
      <w:ind w:right="-14"/>
    </w:pPr>
    <w:r>
      <w:tab/>
    </w:r>
    <w:r>
      <w:rPr>
        <w:sz w:val="14"/>
      </w:rPr>
      <w:t xml:space="preserve">CONTRALORIA GENERAL </w:t>
    </w:r>
    <w:r>
      <w:rPr>
        <w:sz w:val="16"/>
      </w:rPr>
      <w:t xml:space="preserve">DE </w:t>
    </w:r>
    <w:r>
      <w:rPr>
        <w:sz w:val="14"/>
      </w:rPr>
      <w:t>CUENTAS</w:t>
    </w:r>
    <w:r>
      <w:rPr>
        <w:sz w:val="14"/>
      </w:rPr>
      <w:tab/>
    </w:r>
    <w:r>
      <w:rPr>
        <w:sz w:val="16"/>
      </w:rPr>
      <w:t xml:space="preserve">DE </w:t>
    </w:r>
    <w:r>
      <w:rPr>
        <w:sz w:val="14"/>
      </w:rPr>
      <w:t xml:space="preserve">AUDiTORiA </w:t>
    </w:r>
    <w:r>
      <w:rPr>
        <w:sz w:val="16"/>
      </w:rPr>
      <w:t xml:space="preserve">AL SECTOR </w:t>
    </w:r>
    <w:r>
      <w:rPr>
        <w:sz w:val="16"/>
      </w:rPr>
      <w:tab/>
    </w:r>
    <w:r>
      <w:rPr>
        <w:sz w:val="14"/>
      </w:rPr>
      <w:t>CIENCIA, CULTURA</w:t>
    </w:r>
  </w:p>
  <w:p w14:paraId="66430D73" w14:textId="77777777" w:rsidR="00053D93" w:rsidRDefault="00260B75">
    <w:pPr>
      <w:spacing w:after="0"/>
      <w:ind w:right="-14"/>
      <w:jc w:val="right"/>
    </w:pPr>
    <w:r>
      <w:rPr>
        <w:sz w:val="16"/>
      </w:rPr>
      <w:t>Y DEPORTES</w: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674B5" w14:textId="77777777" w:rsidR="00053D93" w:rsidRDefault="00260B75">
    <w:pPr>
      <w:spacing w:after="0"/>
      <w:ind w:right="43"/>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C9805D6" w14:textId="77777777" w:rsidR="00053D93" w:rsidRDefault="00260B75">
    <w:pPr>
      <w:tabs>
        <w:tab w:val="center" w:pos="2819"/>
        <w:tab w:val="center" w:pos="595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F24EAE2" w14:textId="77777777" w:rsidR="00053D93" w:rsidRDefault="00260B75">
    <w:pPr>
      <w:spacing w:after="0"/>
      <w:ind w:right="50"/>
      <w:jc w:val="right"/>
    </w:pPr>
    <w:r>
      <w:rPr>
        <w:sz w:val="16"/>
      </w:rPr>
      <w:t>Y DEPORTES</w: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01F3E" w14:textId="77777777" w:rsidR="00053D93" w:rsidRDefault="00260B75">
    <w:pPr>
      <w:spacing w:after="0"/>
      <w:ind w:right="43"/>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048B39A9" w14:textId="77777777" w:rsidR="00053D93" w:rsidRDefault="00260B75">
    <w:pPr>
      <w:tabs>
        <w:tab w:val="center" w:pos="2819"/>
        <w:tab w:val="center" w:pos="595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C2FBB58" w14:textId="77777777" w:rsidR="00053D93" w:rsidRDefault="00260B75">
    <w:pPr>
      <w:spacing w:after="0"/>
      <w:ind w:right="50"/>
      <w:jc w:val="right"/>
    </w:pPr>
    <w:r>
      <w:rPr>
        <w:sz w:val="16"/>
      </w:rPr>
      <w:t>Y DEPORTES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F6FBE" w14:textId="77777777" w:rsidR="00053D93" w:rsidRDefault="00260B75">
    <w:pPr>
      <w:spacing w:after="0" w:line="216" w:lineRule="auto"/>
      <w:ind w:left="7747" w:right="-1130" w:firstLine="245"/>
    </w:pPr>
    <w:r>
      <w:rPr>
        <w:rFonts w:ascii="Times New Roman" w:eastAsia="Times New Roman" w:hAnsi="Times New Roman" w:cs="Times New Roman"/>
        <w:sz w:val="38"/>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r>
      <w:rPr>
        <w:rFonts w:ascii="Times New Roman" w:eastAsia="Times New Roman" w:hAnsi="Times New Roman" w:cs="Times New Roman"/>
        <w:sz w:val="40"/>
      </w:rPr>
      <w:t>Confianza</w:t>
    </w:r>
  </w:p>
  <w:p w14:paraId="568EA94F" w14:textId="77777777" w:rsidR="00053D93" w:rsidRDefault="00260B75">
    <w:pPr>
      <w:spacing w:after="0"/>
      <w:ind w:left="799"/>
    </w:pPr>
    <w:r>
      <w:rPr>
        <w:rFonts w:ascii="Times New Roman" w:eastAsia="Times New Roman" w:hAnsi="Times New Roman" w:cs="Times New Roman"/>
        <w:sz w:val="20"/>
      </w:rPr>
      <w:t xml:space="preserve">Contraloría General </w:t>
    </w:r>
    <w:r>
      <w:rPr>
        <w:rFonts w:ascii="Times New Roman" w:eastAsia="Times New Roman" w:hAnsi="Times New Roman" w:cs="Times New Roman"/>
      </w:rPr>
      <w:t xml:space="preserve">de </w:t>
    </w:r>
    <w:r>
      <w:rPr>
        <w:rFonts w:ascii="Times New Roman" w:eastAsia="Times New Roman" w:hAnsi="Times New Roman" w:cs="Times New Roman"/>
        <w:sz w:val="20"/>
      </w:rPr>
      <w:t>Cuentas</w: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A9B4B" w14:textId="77777777" w:rsidR="00053D93" w:rsidRDefault="00260B75">
    <w:pPr>
      <w:spacing w:after="0"/>
      <w:ind w:left="79"/>
      <w:jc w:val="both"/>
    </w:pPr>
    <w:r>
      <w:rPr>
        <w:noProof/>
      </w:rPr>
      <mc:AlternateContent>
        <mc:Choice Requires="wpg">
          <w:drawing>
            <wp:anchor distT="0" distB="0" distL="114300" distR="114300" simplePos="0" relativeHeight="251680768" behindDoc="0" locked="0" layoutInCell="1" allowOverlap="1" wp14:anchorId="72363B6B" wp14:editId="25926259">
              <wp:simplePos x="0" y="0"/>
              <wp:positionH relativeFrom="page">
                <wp:posOffset>224028</wp:posOffset>
              </wp:positionH>
              <wp:positionV relativeFrom="page">
                <wp:posOffset>283464</wp:posOffset>
              </wp:positionV>
              <wp:extent cx="114300" cy="297180"/>
              <wp:effectExtent l="0" t="0" r="0" b="0"/>
              <wp:wrapSquare wrapText="bothSides"/>
              <wp:docPr id="2448690" name="Group 2448690"/>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48691" name="Rectangle 2448691"/>
                      <wps:cNvSpPr/>
                      <wps:spPr>
                        <a:xfrm>
                          <a:off x="0" y="0"/>
                          <a:ext cx="152019" cy="395250"/>
                        </a:xfrm>
                        <a:prstGeom prst="rect">
                          <a:avLst/>
                        </a:prstGeom>
                        <a:ln>
                          <a:noFill/>
                        </a:ln>
                      </wps:spPr>
                      <wps:txbx>
                        <w:txbxContent>
                          <w:p w14:paraId="15DF1BE0"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72363B6B" id="Group 2448690" o:spid="_x0000_s1935" style="position:absolute;left:0;text-align:left;margin-left:17.65pt;margin-top:22.3pt;width:9pt;height:23.4pt;z-index:251680768;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">
              <v:rect id="Rectangle 2448691" o:spid="_x0000_s1936"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" filled="f" stroked="f">
                <v:textbox inset="0,0,0,0">
                  <w:txbxContent>
                    <w:p w14:paraId="15DF1BE0"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FA46E8E" w14:textId="77777777" w:rsidR="00053D93" w:rsidRDefault="00260B75">
    <w:pPr>
      <w:tabs>
        <w:tab w:val="center" w:pos="3640"/>
        <w:tab w:val="right" w:pos="10238"/>
      </w:tabs>
      <w:spacing w:after="0"/>
    </w:pPr>
    <w:r>
      <w:rPr>
        <w:sz w:val="14"/>
      </w:rPr>
      <w:t xml:space="preserve">CONTRALORIA GENERAL </w:t>
    </w:r>
    <w:r>
      <w:rPr>
        <w:sz w:val="14"/>
      </w:rPr>
      <w:tab/>
      <w:t>CUENTAS</w:t>
    </w:r>
    <w:r>
      <w:rPr>
        <w:sz w:val="14"/>
      </w:rPr>
      <w:tab/>
    </w:r>
    <w:r>
      <w:rPr>
        <w:sz w:val="18"/>
      </w:rPr>
      <w:t xml:space="preserve">Y </w:t>
    </w:r>
    <w:r>
      <w:rPr>
        <w:sz w:val="16"/>
      </w:rPr>
      <w:t>DEPORTES</w: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FAEA6" w14:textId="77777777" w:rsidR="00053D93" w:rsidRDefault="00260B75">
    <w:pPr>
      <w:spacing w:after="0"/>
      <w:ind w:right="22"/>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181BDFF6" w14:textId="77777777" w:rsidR="00053D93" w:rsidRDefault="00260B75">
    <w:pPr>
      <w:tabs>
        <w:tab w:val="center" w:pos="2430"/>
        <w:tab w:val="center" w:pos="3632"/>
      </w:tabs>
      <w:spacing w:after="0"/>
    </w:pPr>
    <w:r>
      <w:tab/>
    </w:r>
    <w:r>
      <w:rPr>
        <w:sz w:val="14"/>
      </w:rPr>
      <w:t xml:space="preserve">CONTRALORIA GENERAL </w:t>
    </w:r>
    <w:r>
      <w:rPr>
        <w:sz w:val="14"/>
      </w:rPr>
      <w:tab/>
      <w:t>CUENTAS</w:t>
    </w:r>
  </w:p>
  <w:p w14:paraId="006BA90D" w14:textId="77777777" w:rsidR="00053D93" w:rsidRDefault="00260B75">
    <w:pPr>
      <w:spacing w:after="0"/>
      <w:ind w:right="22"/>
      <w:jc w:val="right"/>
    </w:pPr>
    <w:r>
      <w:rPr>
        <w:sz w:val="16"/>
      </w:rPr>
      <w:t>Y DEPORTES</w: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12888" w14:textId="77777777" w:rsidR="00053D93" w:rsidRDefault="00260B75">
    <w:pPr>
      <w:spacing w:after="0"/>
      <w:ind w:left="3751"/>
      <w:jc w:val="center"/>
    </w:pPr>
    <w:r>
      <w:rPr>
        <w:sz w:val="14"/>
      </w:rPr>
      <w:t xml:space="preserve">DIRECCIÓN </w:t>
    </w:r>
    <w:r>
      <w:rPr>
        <w:sz w:val="16"/>
      </w:rPr>
      <w:t xml:space="preserve">DE </w:t>
    </w:r>
    <w:r>
      <w:rPr>
        <w:sz w:val="14"/>
      </w:rPr>
      <w:t xml:space="preserve">AUDITORÍA AL </w:t>
    </w:r>
  </w:p>
  <w:p w14:paraId="042C93AB" w14:textId="77777777" w:rsidR="00053D93" w:rsidRDefault="00260B75">
    <w:pPr>
      <w:tabs>
        <w:tab w:val="center" w:pos="2812"/>
        <w:tab w:val="right" w:pos="1022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3D29CBAE" w14:textId="77777777" w:rsidR="00053D93" w:rsidRDefault="00260B75">
    <w:pPr>
      <w:spacing w:after="0"/>
      <w:ind w:right="29"/>
      <w:jc w:val="right"/>
    </w:pPr>
    <w:r>
      <w:rPr>
        <w:sz w:val="16"/>
      </w:rPr>
      <w:t>Y DEPORTES</w: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AB468" w14:textId="77777777" w:rsidR="00053D93" w:rsidRDefault="00260B75">
    <w:pPr>
      <w:spacing w:after="0"/>
      <w:ind w:right="29"/>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6667B56C" w14:textId="77777777" w:rsidR="00053D93" w:rsidRDefault="00260B75">
    <w:pPr>
      <w:tabs>
        <w:tab w:val="center" w:pos="2819"/>
        <w:tab w:val="center" w:pos="595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3A7E08E" w14:textId="77777777" w:rsidR="00053D93" w:rsidRDefault="00260B75">
    <w:pPr>
      <w:spacing w:after="0"/>
      <w:ind w:right="36"/>
      <w:jc w:val="right"/>
    </w:pPr>
    <w:r>
      <w:rPr>
        <w:sz w:val="16"/>
      </w:rPr>
      <w:t>Y DEPORTES</w: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A4FE9" w14:textId="77777777" w:rsidR="00053D93" w:rsidRDefault="00260B75">
    <w:pPr>
      <w:spacing w:after="0"/>
      <w:ind w:right="50"/>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6BD86486" w14:textId="77777777" w:rsidR="00053D93" w:rsidRDefault="00260B75">
    <w:pPr>
      <w:tabs>
        <w:tab w:val="center" w:pos="2344"/>
        <w:tab w:val="center" w:pos="3546"/>
      </w:tabs>
      <w:spacing w:after="0"/>
    </w:pPr>
    <w:r>
      <w:tab/>
    </w:r>
    <w:r>
      <w:rPr>
        <w:sz w:val="14"/>
      </w:rPr>
      <w:t xml:space="preserve">CONTRALORIA GENERAL </w:t>
    </w:r>
    <w:r>
      <w:rPr>
        <w:sz w:val="14"/>
      </w:rPr>
      <w:tab/>
      <w:t>CUENTAS</w:t>
    </w:r>
  </w:p>
  <w:p w14:paraId="67956270" w14:textId="77777777" w:rsidR="00053D93" w:rsidRDefault="00260B75">
    <w:pPr>
      <w:spacing w:after="0"/>
      <w:ind w:right="50"/>
      <w:jc w:val="right"/>
    </w:pPr>
    <w:r>
      <w:rPr>
        <w:sz w:val="16"/>
      </w:rPr>
      <w:t>Y DEPORTES</w: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C0D98" w14:textId="77777777" w:rsidR="00053D93" w:rsidRDefault="00260B75">
    <w:pPr>
      <w:spacing w:after="0"/>
      <w:ind w:right="58"/>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2F25077" w14:textId="77777777" w:rsidR="00053D93" w:rsidRDefault="00260B75">
    <w:pPr>
      <w:tabs>
        <w:tab w:val="center" w:pos="2732"/>
        <w:tab w:val="center" w:pos="5868"/>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5505D3AC" w14:textId="77777777" w:rsidR="00053D93" w:rsidRDefault="00260B75">
    <w:pPr>
      <w:spacing w:after="0"/>
      <w:ind w:right="65"/>
      <w:jc w:val="right"/>
    </w:pPr>
    <w:r>
      <w:rPr>
        <w:sz w:val="16"/>
      </w:rPr>
      <w:t>Y DEPORTES</w: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2414C" w14:textId="77777777" w:rsidR="00053D93" w:rsidRDefault="00260B75">
    <w:pPr>
      <w:spacing w:after="0"/>
      <w:ind w:right="58"/>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1C5FAA0C" w14:textId="77777777" w:rsidR="00053D93" w:rsidRDefault="00260B75">
    <w:pPr>
      <w:tabs>
        <w:tab w:val="center" w:pos="2732"/>
        <w:tab w:val="center" w:pos="5868"/>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1D0B52FF" w14:textId="77777777" w:rsidR="00053D93" w:rsidRDefault="00260B75">
    <w:pPr>
      <w:spacing w:after="0"/>
      <w:ind w:right="65"/>
      <w:jc w:val="right"/>
    </w:pPr>
    <w:r>
      <w:rPr>
        <w:sz w:val="16"/>
      </w:rPr>
      <w:t>Y DEPORTES</w: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2CFEA" w14:textId="77777777" w:rsidR="00053D93" w:rsidRDefault="00260B75">
    <w:pPr>
      <w:tabs>
        <w:tab w:val="center" w:pos="2837"/>
        <w:tab w:val="right" w:pos="10224"/>
      </w:tabs>
      <w:spacing w:after="0"/>
    </w:pPr>
    <w:r>
      <w:rPr>
        <w:noProof/>
      </w:rPr>
      <mc:AlternateContent>
        <mc:Choice Requires="wpg">
          <w:drawing>
            <wp:anchor distT="0" distB="0" distL="114300" distR="114300" simplePos="0" relativeHeight="251681792" behindDoc="0" locked="0" layoutInCell="1" allowOverlap="1" wp14:anchorId="7BD3A826" wp14:editId="01E6C660">
              <wp:simplePos x="0" y="0"/>
              <wp:positionH relativeFrom="page">
                <wp:posOffset>237744</wp:posOffset>
              </wp:positionH>
              <wp:positionV relativeFrom="page">
                <wp:posOffset>237744</wp:posOffset>
              </wp:positionV>
              <wp:extent cx="114300" cy="297180"/>
              <wp:effectExtent l="0" t="0" r="0" b="0"/>
              <wp:wrapSquare wrapText="bothSides"/>
              <wp:docPr id="2449021" name="Group 2449021"/>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49022" name="Rectangle 2449022"/>
                      <wps:cNvSpPr/>
                      <wps:spPr>
                        <a:xfrm>
                          <a:off x="0" y="0"/>
                          <a:ext cx="152019" cy="395250"/>
                        </a:xfrm>
                        <a:prstGeom prst="rect">
                          <a:avLst/>
                        </a:prstGeom>
                        <a:ln>
                          <a:noFill/>
                        </a:ln>
                      </wps:spPr>
                      <wps:txbx>
                        <w:txbxContent>
                          <w:p w14:paraId="63D8A537"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7BD3A826" id="Group 2449021" o:spid="_x0000_s1937" style="position:absolute;margin-left:18.7pt;margin-top:18.7pt;width:9pt;height:23.4pt;z-index:251681792;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">
              <v:rect id="Rectangle 2449022" o:spid="_x0000_s1938"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" filled="f" stroked="f">
                <v:textbox inset="0,0,0,0">
                  <w:txbxContent>
                    <w:p w14:paraId="63D8A537"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5E0EE9B2" w14:textId="77777777" w:rsidR="00053D93" w:rsidRDefault="00260B75">
    <w:pPr>
      <w:spacing w:after="0"/>
      <w:ind w:left="72"/>
    </w:pPr>
    <w:r>
      <w:rPr>
        <w:sz w:val="16"/>
      </w:rPr>
      <w:t>Y DEPORTES</w: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358D2" w14:textId="77777777" w:rsidR="00053D93" w:rsidRDefault="00260B75">
    <w:pPr>
      <w:spacing w:after="0"/>
      <w:ind w:right="58"/>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BE31813" w14:textId="77777777" w:rsidR="00053D93" w:rsidRDefault="00260B75">
    <w:pPr>
      <w:tabs>
        <w:tab w:val="center" w:pos="2790"/>
        <w:tab w:val="center" w:pos="5926"/>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21F7C0C" w14:textId="77777777" w:rsidR="00053D93" w:rsidRDefault="00260B75">
    <w:pPr>
      <w:spacing w:after="0"/>
      <w:ind w:right="65"/>
      <w:jc w:val="right"/>
    </w:pPr>
    <w:r>
      <w:rPr>
        <w:sz w:val="16"/>
      </w:rPr>
      <w:t>Y DEPORTES</w: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4A25F" w14:textId="77777777" w:rsidR="00053D93" w:rsidRDefault="00260B75">
    <w:pPr>
      <w:spacing w:after="0"/>
      <w:ind w:left="50"/>
      <w:jc w:val="both"/>
    </w:pPr>
    <w:r>
      <w:rPr>
        <w:noProof/>
      </w:rPr>
      <mc:AlternateContent>
        <mc:Choice Requires="wpg">
          <w:drawing>
            <wp:anchor distT="0" distB="0" distL="114300" distR="114300" simplePos="0" relativeHeight="251682816" behindDoc="0" locked="0" layoutInCell="1" allowOverlap="1" wp14:anchorId="0D54FB10" wp14:editId="10305269">
              <wp:simplePos x="0" y="0"/>
              <wp:positionH relativeFrom="page">
                <wp:posOffset>224028</wp:posOffset>
              </wp:positionH>
              <wp:positionV relativeFrom="page">
                <wp:posOffset>283464</wp:posOffset>
              </wp:positionV>
              <wp:extent cx="114300" cy="297180"/>
              <wp:effectExtent l="0" t="0" r="0" b="0"/>
              <wp:wrapSquare wrapText="bothSides"/>
              <wp:docPr id="2448952" name="Group 2448952"/>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48953" name="Rectangle 2448953"/>
                      <wps:cNvSpPr/>
                      <wps:spPr>
                        <a:xfrm>
                          <a:off x="0" y="0"/>
                          <a:ext cx="152019" cy="395250"/>
                        </a:xfrm>
                        <a:prstGeom prst="rect">
                          <a:avLst/>
                        </a:prstGeom>
                        <a:ln>
                          <a:noFill/>
                        </a:ln>
                      </wps:spPr>
                      <wps:txbx>
                        <w:txbxContent>
                          <w:p w14:paraId="08352EEB"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0D54FB10" id="Group 2448952" o:spid="_x0000_s1939" style="position:absolute;left:0;text-align:left;margin-left:17.65pt;margin-top:22.3pt;width:9pt;height:23.4pt;z-index:251682816;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">
              <v:rect id="Rectangle 2448953" o:spid="_x0000_s1940"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" filled="f" stroked="f">
                <v:textbox inset="0,0,0,0">
                  <w:txbxContent>
                    <w:p w14:paraId="08352EEB"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3E5EA6F" w14:textId="77777777" w:rsidR="00053D93" w:rsidRDefault="00260B75">
    <w:pPr>
      <w:tabs>
        <w:tab w:val="center" w:pos="3611"/>
        <w:tab w:val="right" w:pos="10224"/>
      </w:tabs>
      <w:spacing w:after="0"/>
    </w:pPr>
    <w:r>
      <w:rPr>
        <w:sz w:val="14"/>
      </w:rPr>
      <w:t xml:space="preserve">CONTRALORIA GENERAL </w:t>
    </w:r>
    <w:r>
      <w:rPr>
        <w:sz w:val="14"/>
      </w:rPr>
      <w:tab/>
      <w:t>CUENTAS</w:t>
    </w:r>
    <w:r>
      <w:rPr>
        <w:sz w:val="14"/>
      </w:rPr>
      <w:tab/>
    </w:r>
    <w:r>
      <w:rPr>
        <w:sz w:val="18"/>
      </w:rPr>
      <w:t xml:space="preserve">Y </w:t>
    </w:r>
    <w:r>
      <w:rPr>
        <w:sz w:val="16"/>
      </w:rPr>
      <w:t>DEPORTES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C563F" w14:textId="77777777" w:rsidR="00053D93" w:rsidRDefault="00260B75">
    <w:pPr>
      <w:tabs>
        <w:tab w:val="center" w:pos="2794"/>
        <w:tab w:val="center" w:pos="6455"/>
        <w:tab w:val="right" w:pos="10166"/>
      </w:tabs>
      <w:spacing w:after="0"/>
      <w:ind w:right="-7"/>
    </w:pPr>
    <w:r>
      <w:tab/>
    </w:r>
    <w:r>
      <w:rPr>
        <w:sz w:val="14"/>
      </w:rPr>
      <w:t xml:space="preserve">CONTRALORIA GENERAL </w:t>
    </w:r>
    <w:r>
      <w:rPr>
        <w:sz w:val="16"/>
      </w:rPr>
      <w:t xml:space="preserve">DE </w:t>
    </w:r>
    <w:r>
      <w:rPr>
        <w:sz w:val="14"/>
      </w:rPr>
      <w:t>CUENTAS</w:t>
    </w:r>
    <w:r>
      <w:rPr>
        <w:sz w:val="14"/>
      </w:rPr>
      <w:tab/>
      <w:t xml:space="preserve">DIRECCEÓN </w:t>
    </w:r>
    <w:r>
      <w:rPr>
        <w:sz w:val="14"/>
      </w:rPr>
      <w:tab/>
      <w:t xml:space="preserve">AUDITORIA AL </w:t>
    </w:r>
    <w:r>
      <w:rPr>
        <w:sz w:val="16"/>
      </w:rPr>
      <w:t xml:space="preserve">SECTOR </w:t>
    </w:r>
    <w:r>
      <w:rPr>
        <w:sz w:val="14"/>
      </w:rPr>
      <w:t>EDUCACIÓN. CIENCIA. CULTURA</w:t>
    </w:r>
  </w:p>
  <w:p w14:paraId="1CD5940B" w14:textId="77777777" w:rsidR="00053D93" w:rsidRDefault="00260B75">
    <w:pPr>
      <w:spacing w:after="0"/>
      <w:jc w:val="right"/>
    </w:pPr>
    <w:r>
      <w:rPr>
        <w:sz w:val="16"/>
      </w:rPr>
      <w:t>Y DEPORTES</w: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F4807" w14:textId="77777777" w:rsidR="00053D93" w:rsidRDefault="00260B75">
    <w:pPr>
      <w:tabs>
        <w:tab w:val="center" w:pos="2837"/>
        <w:tab w:val="right" w:pos="10217"/>
      </w:tabs>
      <w:spacing w:after="0"/>
    </w:pPr>
    <w:r>
      <w:rPr>
        <w:noProof/>
      </w:rPr>
      <mc:AlternateContent>
        <mc:Choice Requires="wpg">
          <w:drawing>
            <wp:anchor distT="0" distB="0" distL="114300" distR="114300" simplePos="0" relativeHeight="251683840" behindDoc="0" locked="0" layoutInCell="1" allowOverlap="1" wp14:anchorId="28D63617" wp14:editId="3CE5E48A">
              <wp:simplePos x="0" y="0"/>
              <wp:positionH relativeFrom="page">
                <wp:posOffset>237744</wp:posOffset>
              </wp:positionH>
              <wp:positionV relativeFrom="page">
                <wp:posOffset>237744</wp:posOffset>
              </wp:positionV>
              <wp:extent cx="114300" cy="297180"/>
              <wp:effectExtent l="0" t="0" r="0" b="0"/>
              <wp:wrapSquare wrapText="bothSides"/>
              <wp:docPr id="2449119" name="Group 2449119"/>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49120" name="Rectangle 2449120"/>
                      <wps:cNvSpPr/>
                      <wps:spPr>
                        <a:xfrm>
                          <a:off x="0" y="0"/>
                          <a:ext cx="152019" cy="395250"/>
                        </a:xfrm>
                        <a:prstGeom prst="rect">
                          <a:avLst/>
                        </a:prstGeom>
                        <a:ln>
                          <a:noFill/>
                        </a:ln>
                      </wps:spPr>
                      <wps:txbx>
                        <w:txbxContent>
                          <w:p w14:paraId="1E535EA7"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28D63617" id="Group 2449119" o:spid="_x0000_s1941" style="position:absolute;margin-left:18.7pt;margin-top:18.7pt;width:9pt;height:23.4pt;z-index:251683840;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">
              <v:rect id="Rectangle 2449120" o:spid="_x0000_s1942"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" filled="f" stroked="f">
                <v:textbox inset="0,0,0,0">
                  <w:txbxContent>
                    <w:p w14:paraId="1E535EA7"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555AEAB7" w14:textId="77777777" w:rsidR="00053D93" w:rsidRDefault="00260B75">
    <w:pPr>
      <w:spacing w:after="0"/>
      <w:ind w:left="72"/>
    </w:pPr>
    <w:r>
      <w:rPr>
        <w:sz w:val="16"/>
      </w:rPr>
      <w:t>Y DEPORTES</w: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24DDD" w14:textId="77777777" w:rsidR="00053D93" w:rsidRDefault="00260B75">
    <w:pPr>
      <w:spacing w:after="0"/>
      <w:ind w:right="50"/>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511F2FF" w14:textId="77777777" w:rsidR="00053D93" w:rsidRDefault="00260B75">
    <w:pPr>
      <w:tabs>
        <w:tab w:val="center" w:pos="2790"/>
        <w:tab w:val="center" w:pos="5926"/>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4CA40710" w14:textId="77777777" w:rsidR="00053D93" w:rsidRDefault="00260B75">
    <w:pPr>
      <w:spacing w:after="0"/>
      <w:ind w:right="58"/>
      <w:jc w:val="right"/>
    </w:pPr>
    <w:r>
      <w:rPr>
        <w:sz w:val="16"/>
      </w:rPr>
      <w:t>Y DEPORTES</w: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FFB04" w14:textId="77777777" w:rsidR="00053D93" w:rsidRDefault="00260B75">
    <w:pPr>
      <w:tabs>
        <w:tab w:val="center" w:pos="2837"/>
        <w:tab w:val="right" w:pos="10217"/>
      </w:tabs>
      <w:spacing w:after="0"/>
    </w:pPr>
    <w:r>
      <w:rPr>
        <w:noProof/>
      </w:rPr>
      <mc:AlternateContent>
        <mc:Choice Requires="wpg">
          <w:drawing>
            <wp:anchor distT="0" distB="0" distL="114300" distR="114300" simplePos="0" relativeHeight="251684864" behindDoc="0" locked="0" layoutInCell="1" allowOverlap="1" wp14:anchorId="5A7D4B99" wp14:editId="13CA1D6D">
              <wp:simplePos x="0" y="0"/>
              <wp:positionH relativeFrom="page">
                <wp:posOffset>237744</wp:posOffset>
              </wp:positionH>
              <wp:positionV relativeFrom="page">
                <wp:posOffset>237744</wp:posOffset>
              </wp:positionV>
              <wp:extent cx="114300" cy="297180"/>
              <wp:effectExtent l="0" t="0" r="0" b="0"/>
              <wp:wrapSquare wrapText="bothSides"/>
              <wp:docPr id="2449055" name="Group 2449055"/>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49056" name="Rectangle 2449056"/>
                      <wps:cNvSpPr/>
                      <wps:spPr>
                        <a:xfrm>
                          <a:off x="0" y="0"/>
                          <a:ext cx="152019" cy="395250"/>
                        </a:xfrm>
                        <a:prstGeom prst="rect">
                          <a:avLst/>
                        </a:prstGeom>
                        <a:ln>
                          <a:noFill/>
                        </a:ln>
                      </wps:spPr>
                      <wps:txbx>
                        <w:txbxContent>
                          <w:p w14:paraId="13990AF0"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A7D4B99" id="Group 2449055" o:spid="_x0000_s1943" style="position:absolute;margin-left:18.7pt;margin-top:18.7pt;width:9pt;height:23.4pt;z-index:251684864;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">
              <v:rect id="Rectangle 2449056" o:spid="_x0000_s1944"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" filled="f" stroked="f">
                <v:textbox inset="0,0,0,0">
                  <w:txbxContent>
                    <w:p w14:paraId="13990AF0"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420D9ACD" w14:textId="77777777" w:rsidR="00053D93" w:rsidRDefault="00260B75">
    <w:pPr>
      <w:spacing w:after="0"/>
      <w:ind w:left="72"/>
    </w:pPr>
    <w:r>
      <w:rPr>
        <w:sz w:val="16"/>
      </w:rPr>
      <w:t>Y DEPORTES</w: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DDA07" w14:textId="77777777" w:rsidR="00053D93" w:rsidRDefault="00260B75">
    <w:pPr>
      <w:spacing w:after="0"/>
      <w:ind w:right="79"/>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193225CC" w14:textId="77777777" w:rsidR="00053D93" w:rsidRDefault="00260B75">
    <w:pPr>
      <w:tabs>
        <w:tab w:val="center" w:pos="2804"/>
        <w:tab w:val="center" w:pos="594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3E0C220" w14:textId="77777777" w:rsidR="00053D93" w:rsidRDefault="00260B75">
    <w:pPr>
      <w:spacing w:after="0"/>
      <w:ind w:right="86"/>
      <w:jc w:val="right"/>
    </w:pPr>
    <w:r>
      <w:rPr>
        <w:sz w:val="16"/>
      </w:rPr>
      <w:t>Y DEPORTES</w: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659CE" w14:textId="77777777" w:rsidR="00053D93" w:rsidRDefault="00260B75">
    <w:pPr>
      <w:spacing w:after="0"/>
      <w:ind w:right="79"/>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69C03BC1" w14:textId="77777777" w:rsidR="00053D93" w:rsidRDefault="00260B75">
    <w:pPr>
      <w:tabs>
        <w:tab w:val="center" w:pos="2804"/>
        <w:tab w:val="center" w:pos="594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0EC14823" w14:textId="77777777" w:rsidR="00053D93" w:rsidRDefault="00260B75">
    <w:pPr>
      <w:spacing w:after="0"/>
      <w:ind w:right="86"/>
      <w:jc w:val="right"/>
    </w:pPr>
    <w:r>
      <w:rPr>
        <w:sz w:val="16"/>
      </w:rPr>
      <w:t>Y DEPORTES</w: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E7B7D" w14:textId="77777777" w:rsidR="00053D93" w:rsidRDefault="00260B75">
    <w:pPr>
      <w:spacing w:after="0" w:line="216" w:lineRule="auto"/>
      <w:jc w:val="both"/>
    </w:pPr>
    <w:r>
      <w:rPr>
        <w:noProof/>
      </w:rPr>
      <mc:AlternateContent>
        <mc:Choice Requires="wpg">
          <w:drawing>
            <wp:anchor distT="0" distB="0" distL="114300" distR="114300" simplePos="0" relativeHeight="251685888" behindDoc="0" locked="0" layoutInCell="1" allowOverlap="1" wp14:anchorId="4BD7A734" wp14:editId="2B36501B">
              <wp:simplePos x="0" y="0"/>
              <wp:positionH relativeFrom="page">
                <wp:posOffset>182880</wp:posOffset>
              </wp:positionH>
              <wp:positionV relativeFrom="page">
                <wp:posOffset>301752</wp:posOffset>
              </wp:positionV>
              <wp:extent cx="141732" cy="301752"/>
              <wp:effectExtent l="0" t="0" r="0" b="0"/>
              <wp:wrapSquare wrapText="bothSides"/>
              <wp:docPr id="2449151" name="Group 2449151"/>
              <wp:cNvGraphicFramePr/>
              <a:graphic xmlns:a="http://schemas.openxmlformats.org/drawingml/2006/main">
                <a:graphicData uri="http://schemas.microsoft.com/office/word/2010/wordprocessingGroup">
                  <wpg:wgp>
                    <wpg:cNvGrpSpPr/>
                    <wpg:grpSpPr>
                      <a:xfrm>
                        <a:off x="0" y="0"/>
                        <a:ext cx="141732" cy="301752"/>
                        <a:chOff x="0" y="0"/>
                        <a:chExt cx="141732" cy="301752"/>
                      </a:xfrm>
                    </wpg:grpSpPr>
                    <wps:wsp>
                      <wps:cNvPr id="2449152" name="Rectangle 2449152"/>
                      <wps:cNvSpPr/>
                      <wps:spPr>
                        <a:xfrm>
                          <a:off x="0" y="0"/>
                          <a:ext cx="188504" cy="401330"/>
                        </a:xfrm>
                        <a:prstGeom prst="rect">
                          <a:avLst/>
                        </a:prstGeom>
                        <a:ln>
                          <a:noFill/>
                        </a:ln>
                      </wps:spPr>
                      <wps:txbx>
                        <w:txbxContent>
                          <w:p w14:paraId="0C66D2BE" w14:textId="77777777" w:rsidR="00053D93" w:rsidRDefault="00260B75">
                            <w:r>
                              <w:rPr>
                                <w:rFonts w:ascii="Times New Roman" w:eastAsia="Times New Roman" w:hAnsi="Times New Roman" w:cs="Times New Roman"/>
                                <w:sz w:val="82"/>
                              </w:rPr>
                              <w:t>1</w:t>
                            </w:r>
                          </w:p>
                        </w:txbxContent>
                      </wps:txbx>
                      <wps:bodyPr horzOverflow="overflow" vert="horz" lIns="0" tIns="0" rIns="0" bIns="0" rtlCol="0">
                        <a:noAutofit/>
                      </wps:bodyPr>
                    </wps:wsp>
                  </wpg:wgp>
                </a:graphicData>
              </a:graphic>
            </wp:anchor>
          </w:drawing>
        </mc:Choice>
        <mc:Fallback>
          <w:pict>
            <v:group w14:anchorId="4BD7A734" id="Group 2449151" o:spid="_x0000_s1945" style="position:absolute;left:0;text-align:left;margin-left:14.4pt;margin-top:23.75pt;width:11.15pt;height:23.75pt;z-index:251685888;mso-position-horizontal-relative:page;mso-position-vertical-relative:page" coordsize="141732,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">
              <v:rect id="Rectangle 2449152" o:spid="_x0000_s1946" style="position:absolute;width:188504;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" filled="f" stroked="f">
                <v:textbox inset="0,0,0,0">
                  <w:txbxContent>
                    <w:p w14:paraId="0C66D2BE" w14:textId="77777777" w:rsidR="00053D93" w:rsidRDefault="00260B75">
                      <w:r>
                        <w:rPr>
                          <w:rFonts w:ascii="Times New Roman" w:eastAsia="Times New Roman" w:hAnsi="Times New Roman" w:cs="Times New Roman"/>
                          <w:sz w:val="82"/>
                        </w:rPr>
                        <w:t>1</w:t>
                      </w:r>
                    </w:p>
                  </w:txbxContent>
                </v:textbox>
              </v:rect>
              <w10:wrap type="square" anchorx="page" anchory="page"/>
            </v:group>
          </w:pict>
        </mc:Fallback>
      </mc:AlternateContent>
    </w:r>
    <w:r>
      <w:rPr>
        <w:sz w:val="14"/>
      </w:rPr>
      <w:t xml:space="preserve">DIRECCIÓN AUDITORIA AL </w:t>
    </w:r>
    <w:r>
      <w:rPr>
        <w:sz w:val="16"/>
      </w:rPr>
      <w:t xml:space="preserve">SECTOR </w:t>
    </w:r>
    <w:r>
      <w:rPr>
        <w:sz w:val="14"/>
      </w:rPr>
      <w:t xml:space="preserve">EDUCACIÓN, CIENCIA. CULTURA CONTRALOR[A GENERAL </w:t>
    </w:r>
    <w:r>
      <w:rPr>
        <w:sz w:val="16"/>
      </w:rPr>
      <w:t xml:space="preserve">DE </w:t>
    </w:r>
    <w:r>
      <w:rPr>
        <w:sz w:val="14"/>
      </w:rPr>
      <w:t xml:space="preserve">CUENTAS </w:t>
    </w:r>
    <w:r>
      <w:fldChar w:fldCharType="begin"/>
    </w:r>
    <w:r>
      <w:instrText xml:space="preserve"> PAGE   \* MERGEFORMAT </w:instrText>
    </w:r>
    <w:r>
      <w:fldChar w:fldCharType="separate"/>
    </w:r>
    <w:r>
      <w:rPr>
        <w:rFonts w:ascii="Times New Roman" w:eastAsia="Times New Roman" w:hAnsi="Times New Roman" w:cs="Times New Roman"/>
        <w:sz w:val="12"/>
      </w:rPr>
      <w:t>134</w:t>
    </w:r>
    <w:r>
      <w:rPr>
        <w:rFonts w:ascii="Times New Roman" w:eastAsia="Times New Roman" w:hAnsi="Times New Roman" w:cs="Times New Roman"/>
        <w:sz w:val="12"/>
      </w:rPr>
      <w:fldChar w:fldCharType="end"/>
    </w:r>
  </w:p>
  <w:p w14:paraId="3B143EA1" w14:textId="77777777" w:rsidR="00053D93" w:rsidRDefault="00260B75">
    <w:pPr>
      <w:spacing w:after="0"/>
      <w:jc w:val="both"/>
    </w:pPr>
    <w:r>
      <w:rPr>
        <w:sz w:val="16"/>
      </w:rPr>
      <w:t>Y DEPORTES</w: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6AE46" w14:textId="77777777" w:rsidR="00053D93" w:rsidRDefault="00260B75">
    <w:pPr>
      <w:spacing w:after="0"/>
      <w:ind w:left="50"/>
    </w:pPr>
    <w:r>
      <w:rPr>
        <w:noProof/>
      </w:rPr>
      <mc:AlternateContent>
        <mc:Choice Requires="wpg">
          <w:drawing>
            <wp:anchor distT="0" distB="0" distL="114300" distR="114300" simplePos="0" relativeHeight="251686912" behindDoc="0" locked="0" layoutInCell="1" allowOverlap="1" wp14:anchorId="5DABE9F5" wp14:editId="273B4727">
              <wp:simplePos x="0" y="0"/>
              <wp:positionH relativeFrom="page">
                <wp:posOffset>237744</wp:posOffset>
              </wp:positionH>
              <wp:positionV relativeFrom="page">
                <wp:posOffset>224028</wp:posOffset>
              </wp:positionV>
              <wp:extent cx="114300" cy="301752"/>
              <wp:effectExtent l="0" t="0" r="0" b="0"/>
              <wp:wrapSquare wrapText="bothSides"/>
              <wp:docPr id="2449280" name="Group 2449280"/>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9281" name="Rectangle 2449281"/>
                      <wps:cNvSpPr/>
                      <wps:spPr>
                        <a:xfrm>
                          <a:off x="0" y="0"/>
                          <a:ext cx="152019" cy="401330"/>
                        </a:xfrm>
                        <a:prstGeom prst="rect">
                          <a:avLst/>
                        </a:prstGeom>
                        <a:ln>
                          <a:noFill/>
                        </a:ln>
                      </wps:spPr>
                      <wps:txbx>
                        <w:txbxContent>
                          <w:p w14:paraId="68426B1A"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DABE9F5" id="Group 2449280" o:spid="_x0000_s1947" style="position:absolute;left:0;text-align:left;margin-left:18.7pt;margin-top:17.65pt;width:9pt;height:23.75pt;z-index:251686912;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">
              <v:rect id="Rectangle 2449281" o:spid="_x0000_s1948"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" filled="f" stroked="f">
                <v:textbox inset="0,0,0,0">
                  <w:txbxContent>
                    <w:p w14:paraId="68426B1A"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5EC88A45" w14:textId="77777777" w:rsidR="00053D93" w:rsidRDefault="00260B75">
    <w:pPr>
      <w:tabs>
        <w:tab w:val="right" w:pos="10188"/>
      </w:tabs>
      <w:spacing w:after="0"/>
      <w:ind w:right="-7"/>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4E6D66E9" w14:textId="77777777" w:rsidR="00053D93" w:rsidRDefault="00260B75">
    <w:pPr>
      <w:spacing w:after="0"/>
      <w:jc w:val="right"/>
    </w:pPr>
    <w:r>
      <w:rPr>
        <w:sz w:val="16"/>
      </w:rPr>
      <w:t>Y DEPORTES</w: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85DD7" w14:textId="77777777" w:rsidR="00053D93" w:rsidRDefault="00260B75">
    <w:pPr>
      <w:spacing w:after="0"/>
      <w:ind w:left="50"/>
    </w:pPr>
    <w:r>
      <w:rPr>
        <w:noProof/>
      </w:rPr>
      <mc:AlternateContent>
        <mc:Choice Requires="wpg">
          <w:drawing>
            <wp:anchor distT="0" distB="0" distL="114300" distR="114300" simplePos="0" relativeHeight="251687936" behindDoc="0" locked="0" layoutInCell="1" allowOverlap="1" wp14:anchorId="28257345" wp14:editId="3FC3D836">
              <wp:simplePos x="0" y="0"/>
              <wp:positionH relativeFrom="page">
                <wp:posOffset>237744</wp:posOffset>
              </wp:positionH>
              <wp:positionV relativeFrom="page">
                <wp:posOffset>224028</wp:posOffset>
              </wp:positionV>
              <wp:extent cx="114300" cy="301752"/>
              <wp:effectExtent l="0" t="0" r="0" b="0"/>
              <wp:wrapSquare wrapText="bothSides"/>
              <wp:docPr id="2449253" name="Group 2449253"/>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9254" name="Rectangle 2449254"/>
                      <wps:cNvSpPr/>
                      <wps:spPr>
                        <a:xfrm>
                          <a:off x="0" y="0"/>
                          <a:ext cx="152019" cy="401330"/>
                        </a:xfrm>
                        <a:prstGeom prst="rect">
                          <a:avLst/>
                        </a:prstGeom>
                        <a:ln>
                          <a:noFill/>
                        </a:ln>
                      </wps:spPr>
                      <wps:txbx>
                        <w:txbxContent>
                          <w:p w14:paraId="2ADF37D3"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28257345" id="Group 2449253" o:spid="_x0000_s1949" style="position:absolute;left:0;text-align:left;margin-left:18.7pt;margin-top:17.65pt;width:9pt;height:23.75pt;z-index:251687936;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">
              <v:rect id="Rectangle 2449254" o:spid="_x0000_s1950"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" filled="f" stroked="f">
                <v:textbox inset="0,0,0,0">
                  <w:txbxContent>
                    <w:p w14:paraId="2ADF37D3"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6CE4C045" w14:textId="77777777" w:rsidR="00053D93" w:rsidRDefault="00260B75">
    <w:pPr>
      <w:tabs>
        <w:tab w:val="right" w:pos="10188"/>
      </w:tabs>
      <w:spacing w:after="0"/>
      <w:ind w:right="-7"/>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1EB0F5A1" w14:textId="77777777" w:rsidR="00053D93" w:rsidRDefault="00260B75">
    <w:pPr>
      <w:spacing w:after="0"/>
      <w:jc w:val="right"/>
    </w:pPr>
    <w:r>
      <w:rPr>
        <w:sz w:val="16"/>
      </w:rPr>
      <w:t>Y DEPORTES</w: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D4856" w14:textId="77777777" w:rsidR="00053D93" w:rsidRDefault="00260B75">
    <w:pPr>
      <w:spacing w:after="0"/>
      <w:ind w:left="43"/>
    </w:pPr>
    <w:r>
      <w:rPr>
        <w:noProof/>
      </w:rPr>
      <mc:AlternateContent>
        <mc:Choice Requires="wpg">
          <w:drawing>
            <wp:anchor distT="0" distB="0" distL="114300" distR="114300" simplePos="0" relativeHeight="251688960" behindDoc="0" locked="0" layoutInCell="1" allowOverlap="1" wp14:anchorId="574A67A8" wp14:editId="5C778247">
              <wp:simplePos x="0" y="0"/>
              <wp:positionH relativeFrom="page">
                <wp:posOffset>233172</wp:posOffset>
              </wp:positionH>
              <wp:positionV relativeFrom="page">
                <wp:posOffset>228600</wp:posOffset>
              </wp:positionV>
              <wp:extent cx="128016" cy="292608"/>
              <wp:effectExtent l="0" t="0" r="0" b="0"/>
              <wp:wrapSquare wrapText="bothSides"/>
              <wp:docPr id="2449222" name="Group 2449222"/>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49223" name="Rectangle 2449223"/>
                      <wps:cNvSpPr/>
                      <wps:spPr>
                        <a:xfrm>
                          <a:off x="0" y="0"/>
                          <a:ext cx="170261" cy="389169"/>
                        </a:xfrm>
                        <a:prstGeom prst="rect">
                          <a:avLst/>
                        </a:prstGeom>
                        <a:ln>
                          <a:noFill/>
                        </a:ln>
                      </wps:spPr>
                      <wps:txbx>
                        <w:txbxContent>
                          <w:p w14:paraId="10E086DD"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574A67A8" id="Group 2449222" o:spid="_x0000_s1951" style="position:absolute;left:0;text-align:left;margin-left:18.35pt;margin-top:18pt;width:10.1pt;height:23.05pt;z-index:251688960;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">
              <v:rect id="Rectangle 2449223" o:spid="_x0000_s1952"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" filled="f" stroked="f">
                <v:textbox inset="0,0,0,0">
                  <w:txbxContent>
                    <w:p w14:paraId="10E086DD"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071CE71C" w14:textId="77777777" w:rsidR="00053D93" w:rsidRDefault="00260B75">
    <w:pPr>
      <w:tabs>
        <w:tab w:val="center" w:pos="5933"/>
        <w:tab w:val="right" w:pos="10188"/>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7ADAC4CE" w14:textId="77777777" w:rsidR="00053D93" w:rsidRDefault="00260B75">
    <w:pPr>
      <w:spacing w:after="0"/>
      <w:ind w:right="7"/>
      <w:jc w:val="right"/>
    </w:pPr>
    <w:r>
      <w:rPr>
        <w:sz w:val="16"/>
      </w:rPr>
      <w:t>Y DEPORTES</w: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683EB" w14:textId="77777777" w:rsidR="00053D93" w:rsidRDefault="00260B75">
    <w:pPr>
      <w:spacing w:after="0"/>
      <w:ind w:left="3701"/>
      <w:jc w:val="center"/>
    </w:pPr>
    <w:r>
      <w:rPr>
        <w:sz w:val="14"/>
      </w:rPr>
      <w:t xml:space="preserve">DIRECCIÓN </w:t>
    </w:r>
    <w:r>
      <w:rPr>
        <w:sz w:val="16"/>
      </w:rPr>
      <w:t xml:space="preserve">DE </w:t>
    </w:r>
    <w:r>
      <w:rPr>
        <w:sz w:val="14"/>
      </w:rPr>
      <w:t xml:space="preserve">AUDITORÍA AL </w:t>
    </w:r>
  </w:p>
  <w:p w14:paraId="12DFBB78" w14:textId="77777777" w:rsidR="00053D93" w:rsidRDefault="00260B75">
    <w:pPr>
      <w:tabs>
        <w:tab w:val="center" w:pos="2790"/>
        <w:tab w:val="right" w:pos="10231"/>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C27B00E" w14:textId="77777777" w:rsidR="00053D93" w:rsidRDefault="00260B75">
    <w:pPr>
      <w:spacing w:after="0"/>
      <w:ind w:right="58"/>
      <w:jc w:val="right"/>
    </w:pPr>
    <w:r>
      <w:rPr>
        <w:sz w:val="16"/>
      </w:rPr>
      <w:t>Y DEPORTES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CAE67" w14:textId="77777777" w:rsidR="00053D93" w:rsidRDefault="00260B75">
    <w:pPr>
      <w:spacing w:after="0"/>
      <w:ind w:left="3722"/>
      <w:jc w:val="center"/>
    </w:pPr>
    <w:r>
      <w:rPr>
        <w:sz w:val="14"/>
      </w:rPr>
      <w:t xml:space="preserve">DIRECCIÓN </w:t>
    </w:r>
    <w:r>
      <w:rPr>
        <w:sz w:val="16"/>
      </w:rPr>
      <w:t xml:space="preserve">DE </w:t>
    </w:r>
    <w:r>
      <w:rPr>
        <w:sz w:val="14"/>
      </w:rPr>
      <w:t xml:space="preserve">AUDITORÍA AL </w:t>
    </w:r>
  </w:p>
  <w:p w14:paraId="147B85DB" w14:textId="77777777" w:rsidR="00053D93" w:rsidRDefault="00260B75">
    <w:pPr>
      <w:tabs>
        <w:tab w:val="center" w:pos="2768"/>
        <w:tab w:val="right" w:pos="10166"/>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61CACD44" w14:textId="77777777" w:rsidR="00053D93" w:rsidRDefault="00260B75">
    <w:pPr>
      <w:spacing w:after="0"/>
      <w:ind w:right="14"/>
      <w:jc w:val="right"/>
    </w:pPr>
    <w:r>
      <w:rPr>
        <w:sz w:val="16"/>
      </w:rPr>
      <w:t>Y DEPORTES</w: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438C3" w14:textId="77777777" w:rsidR="00053D93" w:rsidRDefault="00260B75">
    <w:pPr>
      <w:spacing w:after="0"/>
      <w:ind w:right="58"/>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ED2929D" w14:textId="77777777" w:rsidR="00053D93" w:rsidRDefault="00260B75">
    <w:pPr>
      <w:tabs>
        <w:tab w:val="center" w:pos="2797"/>
        <w:tab w:val="center" w:pos="5933"/>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4F4F81F4" w14:textId="77777777" w:rsidR="00053D93" w:rsidRDefault="00260B75">
    <w:pPr>
      <w:spacing w:after="0"/>
      <w:ind w:right="65"/>
      <w:jc w:val="right"/>
    </w:pPr>
    <w:r>
      <w:rPr>
        <w:sz w:val="16"/>
      </w:rPr>
      <w:t>Y DEPORTES</w: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48791" w14:textId="77777777" w:rsidR="00053D93" w:rsidRDefault="00260B75">
    <w:pPr>
      <w:spacing w:after="0"/>
      <w:ind w:left="72"/>
    </w:pPr>
    <w:r>
      <w:rPr>
        <w:noProof/>
      </w:rPr>
      <mc:AlternateContent>
        <mc:Choice Requires="wpg">
          <w:drawing>
            <wp:anchor distT="0" distB="0" distL="114300" distR="114300" simplePos="0" relativeHeight="251689984" behindDoc="0" locked="0" layoutInCell="1" allowOverlap="1" wp14:anchorId="6FCDCD5C" wp14:editId="454C2E05">
              <wp:simplePos x="0" y="0"/>
              <wp:positionH relativeFrom="page">
                <wp:posOffset>233172</wp:posOffset>
              </wp:positionH>
              <wp:positionV relativeFrom="page">
                <wp:posOffset>228600</wp:posOffset>
              </wp:positionV>
              <wp:extent cx="128016" cy="292608"/>
              <wp:effectExtent l="0" t="0" r="0" b="0"/>
              <wp:wrapSquare wrapText="bothSides"/>
              <wp:docPr id="2449306" name="Group 2449306"/>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49307" name="Rectangle 2449307"/>
                      <wps:cNvSpPr/>
                      <wps:spPr>
                        <a:xfrm>
                          <a:off x="0" y="0"/>
                          <a:ext cx="170261" cy="389169"/>
                        </a:xfrm>
                        <a:prstGeom prst="rect">
                          <a:avLst/>
                        </a:prstGeom>
                        <a:ln>
                          <a:noFill/>
                        </a:ln>
                      </wps:spPr>
                      <wps:txbx>
                        <w:txbxContent>
                          <w:p w14:paraId="46C6D998"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6FCDCD5C" id="Group 2449306" o:spid="_x0000_s1953" style="position:absolute;left:0;text-align:left;margin-left:18.35pt;margin-top:18pt;width:10.1pt;height:23.05pt;z-index:251689984;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">
              <v:rect id="Rectangle 2449307" o:spid="_x0000_s1954"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" filled="f" stroked="f">
                <v:textbox inset="0,0,0,0">
                  <w:txbxContent>
                    <w:p w14:paraId="46C6D998"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6A9187FC" w14:textId="77777777" w:rsidR="00053D93" w:rsidRDefault="00260B75">
    <w:pPr>
      <w:tabs>
        <w:tab w:val="center" w:pos="5962"/>
        <w:tab w:val="right" w:pos="10231"/>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6C1AC53B" w14:textId="77777777" w:rsidR="00053D93" w:rsidRDefault="00260B75">
    <w:pPr>
      <w:spacing w:after="0"/>
      <w:ind w:right="22"/>
      <w:jc w:val="right"/>
    </w:pPr>
    <w:r>
      <w:rPr>
        <w:sz w:val="16"/>
      </w:rPr>
      <w:t>Y DEPORTES</w: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1EB7B" w14:textId="77777777" w:rsidR="00053D93" w:rsidRDefault="00260B75">
    <w:pPr>
      <w:spacing w:after="0"/>
      <w:ind w:right="36"/>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01137BD8" w14:textId="77777777" w:rsidR="00053D93" w:rsidRDefault="00260B75">
    <w:pPr>
      <w:tabs>
        <w:tab w:val="center" w:pos="2416"/>
        <w:tab w:val="center" w:pos="3618"/>
      </w:tabs>
      <w:spacing w:after="0"/>
    </w:pPr>
    <w:r>
      <w:tab/>
    </w:r>
    <w:r>
      <w:rPr>
        <w:sz w:val="14"/>
      </w:rPr>
      <w:t xml:space="preserve">CONTRALORIA GENERAL </w:t>
    </w:r>
    <w:r>
      <w:rPr>
        <w:sz w:val="14"/>
      </w:rPr>
      <w:tab/>
      <w:t>CUENTAS</w:t>
    </w:r>
  </w:p>
  <w:p w14:paraId="6382BCBF" w14:textId="77777777" w:rsidR="00053D93" w:rsidRDefault="00260B75">
    <w:pPr>
      <w:spacing w:after="0"/>
      <w:ind w:right="36"/>
      <w:jc w:val="right"/>
    </w:pPr>
    <w:r>
      <w:rPr>
        <w:sz w:val="16"/>
      </w:rPr>
      <w:t>Y DEPORTES</w: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79679" w14:textId="77777777" w:rsidR="00053D93" w:rsidRDefault="00260B75">
    <w:pPr>
      <w:spacing w:after="0"/>
      <w:ind w:left="3600"/>
      <w:jc w:val="center"/>
    </w:pPr>
    <w:r>
      <w:rPr>
        <w:sz w:val="14"/>
      </w:rPr>
      <w:t xml:space="preserve">DIRECCIÓN </w:t>
    </w:r>
    <w:r>
      <w:rPr>
        <w:sz w:val="16"/>
      </w:rPr>
      <w:t xml:space="preserve">DE </w:t>
    </w:r>
    <w:r>
      <w:rPr>
        <w:sz w:val="14"/>
      </w:rPr>
      <w:t xml:space="preserve">AUDITORÍA </w:t>
    </w:r>
  </w:p>
  <w:p w14:paraId="16F45130" w14:textId="77777777" w:rsidR="00053D93" w:rsidRDefault="00260B75">
    <w:pPr>
      <w:tabs>
        <w:tab w:val="center" w:pos="2826"/>
        <w:tab w:val="center" w:pos="5951"/>
        <w:tab w:val="center" w:pos="8021"/>
        <w:tab w:val="right" w:pos="1022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2"/>
      </w:rPr>
      <w:t>71</w:t>
    </w:r>
    <w:r>
      <w:rPr>
        <w:rFonts w:ascii="Times New Roman" w:eastAsia="Times New Roman" w:hAnsi="Times New Roman" w:cs="Times New Roman"/>
        <w:sz w:val="12"/>
      </w:rPr>
      <w:fldChar w:fldCharType="end"/>
    </w:r>
    <w:r>
      <w:rPr>
        <w:rFonts w:ascii="Times New Roman" w:eastAsia="Times New Roman" w:hAnsi="Times New Roman" w:cs="Times New Roman"/>
        <w:sz w:val="12"/>
      </w:rPr>
      <w:tab/>
    </w:r>
    <w:r>
      <w:rPr>
        <w:sz w:val="14"/>
      </w:rPr>
      <w:t xml:space="preserve">AL </w:t>
    </w:r>
    <w:r>
      <w:rPr>
        <w:sz w:val="16"/>
      </w:rPr>
      <w:t xml:space="preserve">SECTOR </w:t>
    </w:r>
    <w:r>
      <w:rPr>
        <w:sz w:val="16"/>
      </w:rPr>
      <w:tab/>
    </w:r>
    <w:r>
      <w:rPr>
        <w:sz w:val="14"/>
      </w:rPr>
      <w:t>CIENCIA, CULTURA</w:t>
    </w:r>
  </w:p>
  <w:p w14:paraId="35DB5EE0" w14:textId="77777777" w:rsidR="00053D93" w:rsidRDefault="00260B75">
    <w:pPr>
      <w:spacing w:after="0"/>
      <w:ind w:right="14"/>
      <w:jc w:val="right"/>
    </w:pPr>
    <w:r>
      <w:rPr>
        <w:sz w:val="18"/>
      </w:rPr>
      <w:t xml:space="preserve">Y </w:t>
    </w:r>
    <w:r>
      <w:rPr>
        <w:sz w:val="16"/>
      </w:rPr>
      <w:t>DEPORTES</w: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402E4" w14:textId="77777777" w:rsidR="00053D93" w:rsidRDefault="00260B75">
    <w:pPr>
      <w:spacing w:after="0"/>
      <w:ind w:right="36"/>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1BCFD72C" w14:textId="77777777" w:rsidR="00053D93" w:rsidRDefault="00260B75">
    <w:pPr>
      <w:tabs>
        <w:tab w:val="center" w:pos="2416"/>
        <w:tab w:val="center" w:pos="3618"/>
      </w:tabs>
      <w:spacing w:after="0"/>
    </w:pPr>
    <w:r>
      <w:tab/>
    </w:r>
    <w:r>
      <w:rPr>
        <w:sz w:val="14"/>
      </w:rPr>
      <w:t xml:space="preserve">CONTRALORIA GENERAL </w:t>
    </w:r>
    <w:r>
      <w:rPr>
        <w:sz w:val="14"/>
      </w:rPr>
      <w:tab/>
      <w:t>CUENTAS</w:t>
    </w:r>
  </w:p>
  <w:p w14:paraId="0F7E6D82" w14:textId="77777777" w:rsidR="00053D93" w:rsidRDefault="00260B75">
    <w:pPr>
      <w:spacing w:after="0"/>
      <w:ind w:right="36"/>
      <w:jc w:val="right"/>
    </w:pPr>
    <w:r>
      <w:rPr>
        <w:sz w:val="16"/>
      </w:rPr>
      <w:t>Y DEPORTES</w: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E9217" w14:textId="77777777" w:rsidR="00053D93" w:rsidRDefault="00260B75">
    <w:pPr>
      <w:spacing w:after="0"/>
      <w:ind w:right="2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A8738A8" w14:textId="77777777" w:rsidR="00053D93" w:rsidRDefault="00260B75">
    <w:pPr>
      <w:tabs>
        <w:tab w:val="center" w:pos="2812"/>
        <w:tab w:val="center" w:pos="5947"/>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709548D7" w14:textId="77777777" w:rsidR="00053D93" w:rsidRDefault="00260B75">
    <w:pPr>
      <w:spacing w:after="0"/>
      <w:ind w:right="29"/>
      <w:jc w:val="right"/>
    </w:pPr>
    <w:r>
      <w:rPr>
        <w:sz w:val="16"/>
      </w:rPr>
      <w:t>Y DEPORTES</w: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A111D" w14:textId="77777777" w:rsidR="00053D93" w:rsidRDefault="00260B75">
    <w:pPr>
      <w:spacing w:after="0"/>
      <w:ind w:right="2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175F3258" w14:textId="77777777" w:rsidR="00053D93" w:rsidRDefault="00260B75">
    <w:pPr>
      <w:tabs>
        <w:tab w:val="center" w:pos="2812"/>
        <w:tab w:val="center" w:pos="5947"/>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A1B2546" w14:textId="77777777" w:rsidR="00053D93" w:rsidRDefault="00260B75">
    <w:pPr>
      <w:spacing w:after="0"/>
      <w:ind w:right="29"/>
      <w:jc w:val="right"/>
    </w:pPr>
    <w:r>
      <w:rPr>
        <w:sz w:val="16"/>
      </w:rPr>
      <w:t>Y DEPORTES</w: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55BF2" w14:textId="77777777" w:rsidR="00053D93" w:rsidRDefault="00260B75">
    <w:pPr>
      <w:spacing w:after="0"/>
      <w:ind w:right="14"/>
      <w:jc w:val="right"/>
    </w:pP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5885598F" w14:textId="77777777" w:rsidR="00053D93" w:rsidRDefault="00260B75">
    <w:pPr>
      <w:tabs>
        <w:tab w:val="center" w:pos="3244"/>
        <w:tab w:val="center" w:pos="5958"/>
      </w:tabs>
      <w:spacing w:after="0"/>
    </w:pPr>
    <w:r>
      <w:tab/>
    </w:r>
    <w:r>
      <w:rPr>
        <w:sz w:val="14"/>
      </w:rPr>
      <w:t xml:space="preserve">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149</w:t>
    </w:r>
    <w:r>
      <w:rPr>
        <w:rFonts w:ascii="Times New Roman" w:eastAsia="Times New Roman" w:hAnsi="Times New Roman" w:cs="Times New Roman"/>
        <w:sz w:val="14"/>
      </w:rPr>
      <w:fldChar w:fldCharType="end"/>
    </w:r>
  </w:p>
  <w:p w14:paraId="0EC9AC87" w14:textId="77777777" w:rsidR="00053D93" w:rsidRDefault="00260B75">
    <w:pPr>
      <w:spacing w:after="0"/>
      <w:ind w:right="22"/>
      <w:jc w:val="right"/>
    </w:pPr>
    <w:r>
      <w:rPr>
        <w:sz w:val="16"/>
      </w:rPr>
      <w:t>Y DEPORTES</w:t>
    </w: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3411A" w14:textId="77777777" w:rsidR="00053D93" w:rsidRDefault="00260B75">
    <w:pPr>
      <w:tabs>
        <w:tab w:val="right" w:pos="10224"/>
      </w:tabs>
      <w:spacing w:after="0"/>
    </w:pPr>
    <w:r>
      <w:rPr>
        <w:noProof/>
      </w:rPr>
      <mc:AlternateContent>
        <mc:Choice Requires="wpg">
          <w:drawing>
            <wp:anchor distT="0" distB="0" distL="114300" distR="114300" simplePos="0" relativeHeight="251691008" behindDoc="0" locked="0" layoutInCell="1" allowOverlap="1" wp14:anchorId="168E495D" wp14:editId="6BA13C90">
              <wp:simplePos x="0" y="0"/>
              <wp:positionH relativeFrom="page">
                <wp:posOffset>173736</wp:posOffset>
              </wp:positionH>
              <wp:positionV relativeFrom="page">
                <wp:posOffset>297180</wp:posOffset>
              </wp:positionV>
              <wp:extent cx="146304" cy="301752"/>
              <wp:effectExtent l="0" t="0" r="0" b="0"/>
              <wp:wrapSquare wrapText="bothSides"/>
              <wp:docPr id="2449621" name="Group 2449621"/>
              <wp:cNvGraphicFramePr/>
              <a:graphic xmlns:a="http://schemas.openxmlformats.org/drawingml/2006/main">
                <a:graphicData uri="http://schemas.microsoft.com/office/word/2010/wordprocessingGroup">
                  <wpg:wgp>
                    <wpg:cNvGrpSpPr/>
                    <wpg:grpSpPr>
                      <a:xfrm>
                        <a:off x="0" y="0"/>
                        <a:ext cx="146304" cy="301752"/>
                        <a:chOff x="0" y="0"/>
                        <a:chExt cx="146304" cy="301752"/>
                      </a:xfrm>
                    </wpg:grpSpPr>
                    <wps:wsp>
                      <wps:cNvPr id="2449622" name="Rectangle 2449622"/>
                      <wps:cNvSpPr/>
                      <wps:spPr>
                        <a:xfrm>
                          <a:off x="0" y="0"/>
                          <a:ext cx="194584" cy="401330"/>
                        </a:xfrm>
                        <a:prstGeom prst="rect">
                          <a:avLst/>
                        </a:prstGeom>
                        <a:ln>
                          <a:noFill/>
                        </a:ln>
                      </wps:spPr>
                      <wps:txbx>
                        <w:txbxContent>
                          <w:p w14:paraId="0ACB51A3" w14:textId="77777777" w:rsidR="00053D93" w:rsidRDefault="00260B75">
                            <w:r>
                              <w:rPr>
                                <w:rFonts w:ascii="Times New Roman" w:eastAsia="Times New Roman" w:hAnsi="Times New Roman" w:cs="Times New Roman"/>
                                <w:sz w:val="86"/>
                              </w:rPr>
                              <w:t>1</w:t>
                            </w:r>
                          </w:p>
                        </w:txbxContent>
                      </wps:txbx>
                      <wps:bodyPr horzOverflow="overflow" vert="horz" lIns="0" tIns="0" rIns="0" bIns="0" rtlCol="0">
                        <a:noAutofit/>
                      </wps:bodyPr>
                    </wps:wsp>
                  </wpg:wgp>
                </a:graphicData>
              </a:graphic>
            </wp:anchor>
          </w:drawing>
        </mc:Choice>
        <mc:Fallback>
          <w:pict>
            <v:group w14:anchorId="168E495D" id="Group 2449621" o:spid="_x0000_s1955" style="position:absolute;margin-left:13.7pt;margin-top:23.4pt;width:11.5pt;height:23.75pt;z-index:251691008;mso-position-horizontal-relative:page;mso-position-vertical-relative:page" coordsize="146304,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">
              <v:rect id="Rectangle 2449622" o:spid="_x0000_s1956" style="position:absolute;width:194584;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" filled="f" stroked="f">
                <v:textbox inset="0,0,0,0">
                  <w:txbxContent>
                    <w:p w14:paraId="0ACB51A3" w14:textId="77777777" w:rsidR="00053D93" w:rsidRDefault="00260B75">
                      <w:r>
                        <w:rPr>
                          <w:rFonts w:ascii="Times New Roman" w:eastAsia="Times New Roman" w:hAnsi="Times New Roman" w:cs="Times New Roman"/>
                          <w:sz w:val="86"/>
                        </w:rPr>
                        <w:t>1</w:t>
                      </w:r>
                    </w:p>
                  </w:txbxContent>
                </v:textbox>
              </v:rect>
              <w10:wrap type="square" anchorx="page" anchory="page"/>
            </v:group>
          </w:pict>
        </mc:Fallback>
      </mc:AlternateContent>
    </w:r>
    <w:r>
      <w:rPr>
        <w:sz w:val="14"/>
      </w:rPr>
      <w:tab/>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C55565D" w14:textId="77777777" w:rsidR="00053D93" w:rsidRDefault="00260B75">
    <w:pPr>
      <w:spacing w:after="0" w:line="216" w:lineRule="auto"/>
      <w:ind w:left="14" w:hanging="14"/>
    </w:pPr>
    <w:r>
      <w:rPr>
        <w:sz w:val="14"/>
      </w:rPr>
      <w:t xml:space="preserve">CONTRALOREA GENERAL </w:t>
    </w:r>
    <w:r>
      <w:rPr>
        <w:sz w:val="16"/>
      </w:rPr>
      <w:t xml:space="preserve">DE </w:t>
    </w:r>
    <w:r>
      <w:rPr>
        <w:sz w:val="14"/>
      </w:rPr>
      <w:t>CUENTAS</w:t>
    </w:r>
    <w:r>
      <w:rPr>
        <w:sz w:val="14"/>
      </w:rPr>
      <w:tab/>
    </w:r>
    <w:r>
      <w:rPr>
        <w:sz w:val="18"/>
      </w:rPr>
      <w:t xml:space="preserve">Y </w:t>
    </w:r>
    <w:r>
      <w:rPr>
        <w:sz w:val="16"/>
      </w:rPr>
      <w:t xml:space="preserve">DEPORTES </w:t>
    </w:r>
    <w:r>
      <w:rPr>
        <w:rFonts w:ascii="Times New Roman" w:eastAsia="Times New Roman" w:hAnsi="Times New Roman" w:cs="Times New Roman"/>
        <w:sz w:val="82"/>
      </w:rPr>
      <w:t>1</w: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839D5" w14:textId="77777777" w:rsidR="00053D93" w:rsidRDefault="00260B75">
    <w:pPr>
      <w:spacing w:after="0"/>
      <w:ind w:left="-29"/>
      <w:jc w:val="both"/>
    </w:pPr>
    <w:r>
      <w:rPr>
        <w:noProof/>
      </w:rPr>
      <mc:AlternateContent>
        <mc:Choice Requires="wpg">
          <w:drawing>
            <wp:anchor distT="0" distB="0" distL="114300" distR="114300" simplePos="0" relativeHeight="251692032" behindDoc="0" locked="0" layoutInCell="1" allowOverlap="1" wp14:anchorId="239D60F7" wp14:editId="679DB8EC">
              <wp:simplePos x="0" y="0"/>
              <wp:positionH relativeFrom="page">
                <wp:posOffset>155448</wp:posOffset>
              </wp:positionH>
              <wp:positionV relativeFrom="page">
                <wp:posOffset>320040</wp:posOffset>
              </wp:positionV>
              <wp:extent cx="118872" cy="297180"/>
              <wp:effectExtent l="0" t="0" r="0" b="0"/>
              <wp:wrapSquare wrapText="bothSides"/>
              <wp:docPr id="2449584" name="Group 2449584"/>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2449585" name="Rectangle 2449585"/>
                      <wps:cNvSpPr/>
                      <wps:spPr>
                        <a:xfrm>
                          <a:off x="0" y="0"/>
                          <a:ext cx="158100" cy="395250"/>
                        </a:xfrm>
                        <a:prstGeom prst="rect">
                          <a:avLst/>
                        </a:prstGeom>
                        <a:ln>
                          <a:noFill/>
                        </a:ln>
                      </wps:spPr>
                      <wps:txbx>
                        <w:txbxContent>
                          <w:p w14:paraId="00ADB021"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239D60F7" id="Group 2449584" o:spid="_x0000_s1957" style="position:absolute;left:0;text-align:left;margin-left:12.25pt;margin-top:25.2pt;width:9.35pt;height:23.4pt;z-index:251692032;mso-position-horizontal-relative:page;mso-position-vertical-relative:pag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">
              <v:rect id="Rectangle 2449585" o:spid="_x0000_s1958"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" filled="f" stroked="f">
                <v:textbox inset="0,0,0,0">
                  <w:txbxContent>
                    <w:p w14:paraId="00ADB021"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4B8F5102" w14:textId="77777777" w:rsidR="00053D93" w:rsidRDefault="00260B75">
    <w:pPr>
      <w:tabs>
        <w:tab w:val="center" w:pos="5929"/>
      </w:tabs>
      <w:spacing w:after="0"/>
      <w:ind w:left="-29"/>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153</w:t>
    </w:r>
    <w:r>
      <w:rPr>
        <w:rFonts w:ascii="Times New Roman" w:eastAsia="Times New Roman" w:hAnsi="Times New Roman" w:cs="Times New Roman"/>
        <w:sz w:val="14"/>
      </w:rPr>
      <w:fldChar w:fldCharType="end"/>
    </w:r>
  </w:p>
  <w:p w14:paraId="54238F25" w14:textId="77777777" w:rsidR="00053D93" w:rsidRDefault="00260B75">
    <w:pPr>
      <w:spacing w:after="577"/>
      <w:ind w:left="-29"/>
      <w:jc w:val="both"/>
    </w:pPr>
    <w:r>
      <w:rPr>
        <w:sz w:val="16"/>
      </w:rPr>
      <w:t>Y DEPORTES</w:t>
    </w:r>
  </w:p>
  <w:p w14:paraId="73375AFA" w14:textId="77777777" w:rsidR="00053D93" w:rsidRDefault="00260B75">
    <w:pPr>
      <w:spacing w:after="0"/>
      <w:ind w:left="-14"/>
    </w:pPr>
    <w:r>
      <w:rPr>
        <w:rFonts w:ascii="Times New Roman" w:eastAsia="Times New Roman" w:hAnsi="Times New Roman" w:cs="Times New Roman"/>
        <w:sz w:val="70"/>
      </w:rPr>
      <w:t>1</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A6D0E" w14:textId="77777777" w:rsidR="00053D93" w:rsidRDefault="00260B75">
    <w:pPr>
      <w:spacing w:after="0"/>
      <w:ind w:left="3722"/>
      <w:jc w:val="center"/>
    </w:pPr>
    <w:r>
      <w:rPr>
        <w:sz w:val="14"/>
      </w:rPr>
      <w:t xml:space="preserve">DIRECCIÓN </w:t>
    </w:r>
    <w:r>
      <w:rPr>
        <w:sz w:val="16"/>
      </w:rPr>
      <w:t xml:space="preserve">DE </w:t>
    </w:r>
    <w:r>
      <w:rPr>
        <w:sz w:val="14"/>
      </w:rPr>
      <w:t xml:space="preserve">AUDITORÍA AL </w:t>
    </w:r>
  </w:p>
  <w:p w14:paraId="1EF67B25" w14:textId="77777777" w:rsidR="00053D93" w:rsidRDefault="00260B75">
    <w:pPr>
      <w:tabs>
        <w:tab w:val="center" w:pos="2768"/>
        <w:tab w:val="right" w:pos="10166"/>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70DEF1BC" w14:textId="77777777" w:rsidR="00053D93" w:rsidRDefault="00260B75">
    <w:pPr>
      <w:spacing w:after="0"/>
      <w:ind w:right="14"/>
      <w:jc w:val="right"/>
    </w:pPr>
    <w:r>
      <w:rPr>
        <w:sz w:val="16"/>
      </w:rPr>
      <w:t>Y DEPORTES</w: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98F3A" w14:textId="77777777" w:rsidR="00053D93" w:rsidRDefault="00260B75">
    <w:pPr>
      <w:spacing w:after="0"/>
      <w:ind w:right="29"/>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19884A8" w14:textId="77777777" w:rsidR="00053D93" w:rsidRDefault="00260B75">
    <w:pPr>
      <w:tabs>
        <w:tab w:val="center" w:pos="2819"/>
        <w:tab w:val="center" w:pos="595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7325D9AD" w14:textId="77777777" w:rsidR="00053D93" w:rsidRDefault="00260B75">
    <w:pPr>
      <w:spacing w:after="0"/>
      <w:ind w:right="36"/>
      <w:jc w:val="right"/>
    </w:pPr>
    <w:r>
      <w:rPr>
        <w:sz w:val="16"/>
      </w:rPr>
      <w:t>Y DEPORTES</w: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79156" w14:textId="77777777" w:rsidR="00053D93" w:rsidRDefault="00260B75">
    <w:pPr>
      <w:spacing w:after="0"/>
      <w:ind w:right="50"/>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8AF41D8" w14:textId="77777777" w:rsidR="00053D93" w:rsidRDefault="00260B75">
    <w:pPr>
      <w:tabs>
        <w:tab w:val="center" w:pos="2776"/>
        <w:tab w:val="center" w:pos="5911"/>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67DDEC0" w14:textId="77777777" w:rsidR="00053D93" w:rsidRDefault="00260B75">
    <w:pPr>
      <w:spacing w:after="0"/>
      <w:ind w:right="58"/>
      <w:jc w:val="right"/>
    </w:pPr>
    <w:r>
      <w:rPr>
        <w:sz w:val="16"/>
      </w:rPr>
      <w:t>Y DEPORTES</w: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5791F" w14:textId="77777777" w:rsidR="00053D93" w:rsidRDefault="00260B75">
    <w:pPr>
      <w:spacing w:after="0"/>
      <w:ind w:right="50"/>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8F497B1" w14:textId="77777777" w:rsidR="00053D93" w:rsidRDefault="00260B75">
    <w:pPr>
      <w:tabs>
        <w:tab w:val="center" w:pos="2776"/>
        <w:tab w:val="center" w:pos="5911"/>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A6C3DD6" w14:textId="77777777" w:rsidR="00053D93" w:rsidRDefault="00260B75">
    <w:pPr>
      <w:spacing w:after="0"/>
      <w:ind w:right="58"/>
      <w:jc w:val="right"/>
    </w:pPr>
    <w:r>
      <w:rPr>
        <w:sz w:val="16"/>
      </w:rPr>
      <w:t>Y DEPORTES</w: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3F432" w14:textId="77777777" w:rsidR="00053D93" w:rsidRDefault="00260B75">
    <w:pPr>
      <w:spacing w:after="0"/>
      <w:ind w:left="-72"/>
      <w:jc w:val="both"/>
    </w:pPr>
    <w:r>
      <w:rPr>
        <w:noProof/>
      </w:rPr>
      <mc:AlternateContent>
        <mc:Choice Requires="wpg">
          <w:drawing>
            <wp:anchor distT="0" distB="0" distL="114300" distR="114300" simplePos="0" relativeHeight="251693056" behindDoc="0" locked="0" layoutInCell="1" allowOverlap="1" wp14:anchorId="28CC23BB" wp14:editId="3A838949">
              <wp:simplePos x="0" y="0"/>
              <wp:positionH relativeFrom="page">
                <wp:posOffset>155448</wp:posOffset>
              </wp:positionH>
              <wp:positionV relativeFrom="page">
                <wp:posOffset>320040</wp:posOffset>
              </wp:positionV>
              <wp:extent cx="118872" cy="297180"/>
              <wp:effectExtent l="0" t="0" r="0" b="0"/>
              <wp:wrapSquare wrapText="bothSides"/>
              <wp:docPr id="2449649" name="Group 2449649"/>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2449650" name="Rectangle 2449650"/>
                      <wps:cNvSpPr/>
                      <wps:spPr>
                        <a:xfrm>
                          <a:off x="0" y="0"/>
                          <a:ext cx="158100" cy="395250"/>
                        </a:xfrm>
                        <a:prstGeom prst="rect">
                          <a:avLst/>
                        </a:prstGeom>
                        <a:ln>
                          <a:noFill/>
                        </a:ln>
                      </wps:spPr>
                      <wps:txbx>
                        <w:txbxContent>
                          <w:p w14:paraId="209FDB90"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28CC23BB" id="Group 2449649" o:spid="_x0000_s1959" style="position:absolute;left:0;text-align:left;margin-left:12.25pt;margin-top:25.2pt;width:9.35pt;height:23.4pt;z-index:251693056;mso-position-horizontal-relative:page;mso-position-vertical-relative:pag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">
              <v:rect id="Rectangle 2449650" o:spid="_x0000_s1960"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" filled="f" stroked="f">
                <v:textbox inset="0,0,0,0">
                  <w:txbxContent>
                    <w:p w14:paraId="209FDB90"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5D8BDEA1" w14:textId="77777777" w:rsidR="00053D93" w:rsidRDefault="00260B75">
    <w:pPr>
      <w:tabs>
        <w:tab w:val="center" w:pos="5886"/>
      </w:tabs>
      <w:spacing w:after="0"/>
      <w:ind w:left="-72"/>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153</w:t>
    </w:r>
    <w:r>
      <w:rPr>
        <w:rFonts w:ascii="Times New Roman" w:eastAsia="Times New Roman" w:hAnsi="Times New Roman" w:cs="Times New Roman"/>
        <w:sz w:val="14"/>
      </w:rPr>
      <w:fldChar w:fldCharType="end"/>
    </w:r>
  </w:p>
  <w:p w14:paraId="59E8B6BB" w14:textId="77777777" w:rsidR="00053D93" w:rsidRDefault="00260B75">
    <w:pPr>
      <w:spacing w:after="577"/>
      <w:ind w:left="-72"/>
      <w:jc w:val="both"/>
    </w:pPr>
    <w:r>
      <w:rPr>
        <w:sz w:val="16"/>
      </w:rPr>
      <w:t>Y DEPORTES</w:t>
    </w:r>
  </w:p>
  <w:p w14:paraId="4FB70185" w14:textId="77777777" w:rsidR="00053D93" w:rsidRDefault="00260B75">
    <w:pPr>
      <w:spacing w:after="0"/>
      <w:ind w:left="-58"/>
    </w:pPr>
    <w:r>
      <w:rPr>
        <w:rFonts w:ascii="Times New Roman" w:eastAsia="Times New Roman" w:hAnsi="Times New Roman" w:cs="Times New Roman"/>
        <w:sz w:val="70"/>
      </w:rPr>
      <w:t>1</w:t>
    </w: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E37CC" w14:textId="77777777" w:rsidR="00053D93" w:rsidRDefault="00260B75">
    <w:pPr>
      <w:spacing w:after="0"/>
      <w:ind w:left="3931"/>
      <w:jc w:val="center"/>
    </w:pPr>
    <w:r>
      <w:rPr>
        <w:sz w:val="14"/>
      </w:rPr>
      <w:t xml:space="preserve">DIRECCIÓN </w:t>
    </w:r>
    <w:r>
      <w:rPr>
        <w:sz w:val="16"/>
      </w:rPr>
      <w:t xml:space="preserve">DE </w:t>
    </w:r>
    <w:r>
      <w:rPr>
        <w:sz w:val="14"/>
      </w:rPr>
      <w:t xml:space="preserve">AUDITORÍA </w:t>
    </w:r>
  </w:p>
  <w:p w14:paraId="72AF5EB4" w14:textId="77777777" w:rsidR="00053D93" w:rsidRDefault="00260B75">
    <w:pPr>
      <w:tabs>
        <w:tab w:val="center" w:pos="2012"/>
        <w:tab w:val="center" w:pos="5137"/>
        <w:tab w:val="center" w:pos="7207"/>
        <w:tab w:val="right" w:pos="9396"/>
      </w:tabs>
      <w:spacing w:after="0"/>
      <w:ind w:right="-113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2"/>
      </w:rPr>
      <w:t>71</w:t>
    </w:r>
    <w:r>
      <w:rPr>
        <w:rFonts w:ascii="Times New Roman" w:eastAsia="Times New Roman" w:hAnsi="Times New Roman" w:cs="Times New Roman"/>
        <w:sz w:val="12"/>
      </w:rPr>
      <w:fldChar w:fldCharType="end"/>
    </w:r>
    <w:r>
      <w:rPr>
        <w:rFonts w:ascii="Times New Roman" w:eastAsia="Times New Roman" w:hAnsi="Times New Roman" w:cs="Times New Roman"/>
        <w:sz w:val="12"/>
      </w:rPr>
      <w:tab/>
    </w:r>
    <w:r>
      <w:rPr>
        <w:sz w:val="14"/>
      </w:rPr>
      <w:t xml:space="preserve">AL </w:t>
    </w:r>
    <w:r>
      <w:rPr>
        <w:sz w:val="16"/>
      </w:rPr>
      <w:t xml:space="preserve">SECTOR </w:t>
    </w:r>
    <w:r>
      <w:rPr>
        <w:sz w:val="16"/>
      </w:rPr>
      <w:tab/>
    </w:r>
    <w:r>
      <w:rPr>
        <w:sz w:val="14"/>
      </w:rPr>
      <w:t>CIENCIA, CULTURA</w:t>
    </w:r>
  </w:p>
  <w:p w14:paraId="4CD1182D" w14:textId="77777777" w:rsidR="00053D93" w:rsidRDefault="00260B75">
    <w:pPr>
      <w:spacing w:after="0"/>
      <w:ind w:right="-1130"/>
      <w:jc w:val="right"/>
    </w:pPr>
    <w:r>
      <w:rPr>
        <w:sz w:val="18"/>
      </w:rPr>
      <w:t xml:space="preserve">Y </w:t>
    </w:r>
    <w:r>
      <w:rPr>
        <w:sz w:val="16"/>
      </w:rPr>
      <w:t>DEPORTES</w: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6A00A" w14:textId="77777777" w:rsidR="00053D93" w:rsidRDefault="00260B75">
    <w:pPr>
      <w:spacing w:after="0"/>
      <w:ind w:right="-110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1AB6957F" w14:textId="77777777" w:rsidR="00053D93" w:rsidRDefault="00260B75">
    <w:pPr>
      <w:tabs>
        <w:tab w:val="center" w:pos="1991"/>
        <w:tab w:val="center" w:pos="5126"/>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991F855" w14:textId="77777777" w:rsidR="00053D93" w:rsidRDefault="00260B75">
    <w:pPr>
      <w:spacing w:after="0"/>
      <w:ind w:right="-1094"/>
      <w:jc w:val="right"/>
    </w:pPr>
    <w:r>
      <w:rPr>
        <w:sz w:val="16"/>
      </w:rPr>
      <w:t>Y DEPORTES</w: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CB081" w14:textId="77777777" w:rsidR="00053D93" w:rsidRDefault="00260B75">
    <w:pPr>
      <w:spacing w:after="0"/>
      <w:ind w:left="4054"/>
      <w:jc w:val="center"/>
    </w:pPr>
    <w:r>
      <w:rPr>
        <w:sz w:val="14"/>
      </w:rPr>
      <w:t xml:space="preserve">DIRECCIÓN </w:t>
    </w:r>
    <w:r>
      <w:rPr>
        <w:sz w:val="16"/>
      </w:rPr>
      <w:t xml:space="preserve">DE </w:t>
    </w:r>
    <w:r>
      <w:rPr>
        <w:sz w:val="14"/>
      </w:rPr>
      <w:t xml:space="preserve">AUDITORÍA AL </w:t>
    </w:r>
  </w:p>
  <w:p w14:paraId="7CBC473C" w14:textId="77777777" w:rsidR="00053D93" w:rsidRDefault="00260B75">
    <w:pPr>
      <w:tabs>
        <w:tab w:val="center" w:pos="1984"/>
        <w:tab w:val="right" w:pos="9374"/>
      </w:tabs>
      <w:spacing w:after="0"/>
      <w:ind w:right="-1109"/>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5E05CB18" w14:textId="77777777" w:rsidR="00053D93" w:rsidRDefault="00260B75">
    <w:pPr>
      <w:spacing w:after="0"/>
      <w:ind w:right="-1102"/>
      <w:jc w:val="right"/>
    </w:pPr>
    <w:r>
      <w:rPr>
        <w:sz w:val="16"/>
      </w:rPr>
      <w:t>Y DEPORTES</w:t>
    </w: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0464F" w14:textId="77777777" w:rsidR="00053D93" w:rsidRDefault="00260B75">
    <w:pPr>
      <w:spacing w:after="0"/>
      <w:ind w:left="3672"/>
      <w:jc w:val="center"/>
    </w:pPr>
    <w:r>
      <w:rPr>
        <w:sz w:val="14"/>
      </w:rPr>
      <w:t xml:space="preserve">DIRECCIÓN </w:t>
    </w:r>
    <w:r>
      <w:rPr>
        <w:sz w:val="16"/>
      </w:rPr>
      <w:t xml:space="preserve">DE </w:t>
    </w:r>
    <w:r>
      <w:rPr>
        <w:sz w:val="14"/>
      </w:rPr>
      <w:t xml:space="preserve">AUDITORÍA AL </w:t>
    </w:r>
  </w:p>
  <w:p w14:paraId="382612A0" w14:textId="77777777" w:rsidR="00053D93" w:rsidRDefault="00260B75">
    <w:pPr>
      <w:tabs>
        <w:tab w:val="center" w:pos="2783"/>
        <w:tab w:val="right" w:pos="10246"/>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7A55A5F" w14:textId="77777777" w:rsidR="00053D93" w:rsidRDefault="00260B75">
    <w:pPr>
      <w:spacing w:after="0"/>
      <w:ind w:right="79"/>
      <w:jc w:val="right"/>
    </w:pPr>
    <w:r>
      <w:rPr>
        <w:sz w:val="16"/>
      </w:rPr>
      <w:t>Y DEPORTES</w:t>
    </w: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FD40E" w14:textId="77777777" w:rsidR="00053D93" w:rsidRDefault="00260B75">
    <w:pPr>
      <w:tabs>
        <w:tab w:val="right" w:pos="10246"/>
      </w:tabs>
      <w:spacing w:after="0"/>
      <w:ind w:left="-36"/>
    </w:pPr>
    <w:r>
      <w:rPr>
        <w:noProof/>
      </w:rPr>
      <mc:AlternateContent>
        <mc:Choice Requires="wpg">
          <w:drawing>
            <wp:anchor distT="0" distB="0" distL="114300" distR="114300" simplePos="0" relativeHeight="251694080" behindDoc="0" locked="0" layoutInCell="1" allowOverlap="1" wp14:anchorId="633692E1" wp14:editId="3FADA804">
              <wp:simplePos x="0" y="0"/>
              <wp:positionH relativeFrom="page">
                <wp:posOffset>169164</wp:posOffset>
              </wp:positionH>
              <wp:positionV relativeFrom="page">
                <wp:posOffset>278892</wp:posOffset>
              </wp:positionV>
              <wp:extent cx="118872" cy="288036"/>
              <wp:effectExtent l="0" t="0" r="0" b="0"/>
              <wp:wrapSquare wrapText="bothSides"/>
              <wp:docPr id="2449837" name="Group 2449837"/>
              <wp:cNvGraphicFramePr/>
              <a:graphic xmlns:a="http://schemas.openxmlformats.org/drawingml/2006/main">
                <a:graphicData uri="http://schemas.microsoft.com/office/word/2010/wordprocessingGroup">
                  <wpg:wgp>
                    <wpg:cNvGrpSpPr/>
                    <wpg:grpSpPr>
                      <a:xfrm>
                        <a:off x="0" y="0"/>
                        <a:ext cx="118872" cy="288036"/>
                        <a:chOff x="0" y="0"/>
                        <a:chExt cx="118872" cy="288036"/>
                      </a:xfrm>
                    </wpg:grpSpPr>
                    <wps:wsp>
                      <wps:cNvPr id="2449838" name="Rectangle 2449838"/>
                      <wps:cNvSpPr/>
                      <wps:spPr>
                        <a:xfrm>
                          <a:off x="0" y="0"/>
                          <a:ext cx="158100" cy="383088"/>
                        </a:xfrm>
                        <a:prstGeom prst="rect">
                          <a:avLst/>
                        </a:prstGeom>
                        <a:ln>
                          <a:noFill/>
                        </a:ln>
                      </wps:spPr>
                      <wps:txbx>
                        <w:txbxContent>
                          <w:p w14:paraId="17E5BC41"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633692E1" id="Group 2449837" o:spid="_x0000_s1961" style="position:absolute;left:0;text-align:left;margin-left:13.3pt;margin-top:21.95pt;width:9.35pt;height:22.7pt;z-index:251694080;mso-position-horizontal-relative:page;mso-position-vertical-relative:page" coordsize="118872,28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">
              <v:rect id="Rectangle 2449838" o:spid="_x0000_s1962" style="position:absolute;width:158100;height:38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" filled="f" stroked="f">
                <v:textbox inset="0,0,0,0">
                  <w:txbxContent>
                    <w:p w14:paraId="17E5BC41"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AUDITORfA AL </w:t>
    </w:r>
    <w:r>
      <w:rPr>
        <w:sz w:val="16"/>
      </w:rPr>
      <w:t xml:space="preserve">SECTOR </w:t>
    </w:r>
    <w:r>
      <w:rPr>
        <w:sz w:val="16"/>
      </w:rPr>
      <w:tab/>
    </w:r>
    <w:r>
      <w:rPr>
        <w:sz w:val="14"/>
      </w:rPr>
      <w:t>CIENCIA. CULTURA</w:t>
    </w:r>
  </w:p>
  <w:p w14:paraId="3616FFB1" w14:textId="77777777" w:rsidR="00053D93" w:rsidRDefault="00260B75">
    <w:pPr>
      <w:spacing w:after="0"/>
      <w:ind w:left="-36"/>
    </w:pPr>
    <w:r>
      <w:rPr>
        <w:sz w:val="14"/>
      </w:rPr>
      <w:t xml:space="preserve">CONTRALORIA GENERAL </w:t>
    </w:r>
    <w:r>
      <w:rPr>
        <w:sz w:val="16"/>
      </w:rPr>
      <w:t xml:space="preserve">DE </w:t>
    </w:r>
    <w:r>
      <w:rPr>
        <w:sz w:val="14"/>
      </w:rPr>
      <w:t>CUENTAS</w:t>
    </w:r>
  </w:p>
  <w:p w14:paraId="2B5C04A4" w14:textId="77777777" w:rsidR="00053D93" w:rsidRDefault="00260B75">
    <w:pPr>
      <w:spacing w:after="0"/>
      <w:ind w:left="-36"/>
      <w:jc w:val="both"/>
    </w:pPr>
    <w:r>
      <w:rPr>
        <w:sz w:val="16"/>
      </w:rPr>
      <w:t>Y DEPORTES</w:t>
    </w: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F99DA" w14:textId="77777777" w:rsidR="00053D93" w:rsidRDefault="00260B75">
    <w:pPr>
      <w:spacing w:after="0"/>
      <w:ind w:left="3672"/>
      <w:jc w:val="center"/>
    </w:pPr>
    <w:r>
      <w:rPr>
        <w:sz w:val="14"/>
      </w:rPr>
      <w:t xml:space="preserve">DIRECCIÓN </w:t>
    </w:r>
    <w:r>
      <w:rPr>
        <w:sz w:val="16"/>
      </w:rPr>
      <w:t xml:space="preserve">DE </w:t>
    </w:r>
    <w:r>
      <w:rPr>
        <w:sz w:val="14"/>
      </w:rPr>
      <w:t xml:space="preserve">AUDITORÍA AL </w:t>
    </w:r>
  </w:p>
  <w:p w14:paraId="00AE0DD4" w14:textId="77777777" w:rsidR="00053D93" w:rsidRDefault="00260B75">
    <w:pPr>
      <w:tabs>
        <w:tab w:val="center" w:pos="2783"/>
        <w:tab w:val="right" w:pos="10246"/>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30552907" w14:textId="77777777" w:rsidR="00053D93" w:rsidRDefault="00260B75">
    <w:pPr>
      <w:spacing w:after="0"/>
      <w:ind w:right="79"/>
      <w:jc w:val="right"/>
    </w:pPr>
    <w:r>
      <w:rPr>
        <w:sz w:val="16"/>
      </w:rPr>
      <w:t>Y DEPORTES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F6A43"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62DC7011" w14:textId="77777777" w:rsidR="00053D93" w:rsidRDefault="00260B75">
    <w:pPr>
      <w:tabs>
        <w:tab w:val="center" w:pos="2776"/>
        <w:tab w:val="center" w:pos="5911"/>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DC43363" w14:textId="77777777" w:rsidR="00053D93" w:rsidRDefault="00260B75">
    <w:pPr>
      <w:spacing w:after="0"/>
      <w:ind w:right="22"/>
      <w:jc w:val="right"/>
    </w:pPr>
    <w:r>
      <w:rPr>
        <w:sz w:val="16"/>
      </w:rPr>
      <w:t>Y DEPORTES</w: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36626" w14:textId="77777777" w:rsidR="00053D93" w:rsidRDefault="00260B75">
    <w:pPr>
      <w:spacing w:after="0"/>
      <w:ind w:right="43"/>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C32A867" w14:textId="77777777" w:rsidR="00053D93" w:rsidRDefault="00260B75">
    <w:pPr>
      <w:tabs>
        <w:tab w:val="center" w:pos="2819"/>
        <w:tab w:val="center" w:pos="595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1E736723" w14:textId="77777777" w:rsidR="00053D93" w:rsidRDefault="00260B75">
    <w:pPr>
      <w:spacing w:after="0"/>
      <w:ind w:right="50"/>
      <w:jc w:val="right"/>
    </w:pPr>
    <w:r>
      <w:rPr>
        <w:sz w:val="16"/>
      </w:rPr>
      <w:t>Y DEPORTES</w: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BDBC5" w14:textId="77777777" w:rsidR="00053D93" w:rsidRDefault="00260B75">
    <w:pPr>
      <w:spacing w:after="0"/>
      <w:ind w:left="245" w:right="-151"/>
    </w:pPr>
    <w:r>
      <w:rPr>
        <w:noProof/>
      </w:rPr>
      <mc:AlternateContent>
        <mc:Choice Requires="wpg">
          <w:drawing>
            <wp:anchor distT="0" distB="0" distL="114300" distR="114300" simplePos="0" relativeHeight="251695104" behindDoc="0" locked="0" layoutInCell="1" allowOverlap="1" wp14:anchorId="041378F9" wp14:editId="7A14A1EC">
              <wp:simplePos x="0" y="0"/>
              <wp:positionH relativeFrom="page">
                <wp:posOffset>329184</wp:posOffset>
              </wp:positionH>
              <wp:positionV relativeFrom="page">
                <wp:posOffset>260604</wp:posOffset>
              </wp:positionV>
              <wp:extent cx="114300" cy="297180"/>
              <wp:effectExtent l="0" t="0" r="0" b="0"/>
              <wp:wrapSquare wrapText="bothSides"/>
              <wp:docPr id="2449922" name="Group 2449922"/>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49923" name="Rectangle 2449923"/>
                      <wps:cNvSpPr/>
                      <wps:spPr>
                        <a:xfrm>
                          <a:off x="0" y="0"/>
                          <a:ext cx="152019" cy="395250"/>
                        </a:xfrm>
                        <a:prstGeom prst="rect">
                          <a:avLst/>
                        </a:prstGeom>
                        <a:ln>
                          <a:noFill/>
                        </a:ln>
                      </wps:spPr>
                      <wps:txbx>
                        <w:txbxContent>
                          <w:p w14:paraId="6D981584"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041378F9" id="Group 2449922" o:spid="_x0000_s1963" style="position:absolute;left:0;text-align:left;margin-left:25.9pt;margin-top:20.5pt;width:9pt;height:23.4pt;z-index:251695104;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">
              <v:rect id="Rectangle 2449923" o:spid="_x0000_s1964"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" filled="f" stroked="f">
                <v:textbox inset="0,0,0,0">
                  <w:txbxContent>
                    <w:p w14:paraId="6D981584"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A5ADD19" w14:textId="77777777" w:rsidR="00053D93" w:rsidRDefault="00260B75">
    <w:pPr>
      <w:tabs>
        <w:tab w:val="center" w:pos="3006"/>
        <w:tab w:val="right" w:pos="10238"/>
      </w:tabs>
      <w:spacing w:after="0"/>
      <w:ind w:right="-144"/>
    </w:pPr>
    <w:r>
      <w:tab/>
    </w:r>
    <w:r>
      <w:rPr>
        <w:sz w:val="14"/>
      </w:rPr>
      <w:t xml:space="preserve">CONTRALORIA GENERAL </w:t>
    </w:r>
    <w:r>
      <w:rPr>
        <w:sz w:val="16"/>
      </w:rPr>
      <w:t xml:space="preserve">DE </w:t>
    </w:r>
    <w:r>
      <w:rPr>
        <w:sz w:val="14"/>
      </w:rPr>
      <w:t>CUENTAS</w:t>
    </w:r>
    <w:r>
      <w:rPr>
        <w:sz w:val="14"/>
      </w:rPr>
      <w:tab/>
    </w:r>
    <w:r>
      <w:rPr>
        <w:sz w:val="18"/>
      </w:rPr>
      <w:t xml:space="preserve">Y </w:t>
    </w:r>
    <w:r>
      <w:rPr>
        <w:sz w:val="16"/>
      </w:rPr>
      <w:t>DEPORTES</w: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0D21" w14:textId="77777777" w:rsidR="00053D93" w:rsidRDefault="00260B75">
    <w:pPr>
      <w:tabs>
        <w:tab w:val="center" w:pos="2866"/>
        <w:tab w:val="right" w:pos="10238"/>
      </w:tabs>
      <w:spacing w:after="0"/>
      <w:ind w:right="-7"/>
    </w:pPr>
    <w:r>
      <w:rPr>
        <w:noProof/>
      </w:rPr>
      <mc:AlternateContent>
        <mc:Choice Requires="wpg">
          <w:drawing>
            <wp:anchor distT="0" distB="0" distL="114300" distR="114300" simplePos="0" relativeHeight="251696128" behindDoc="0" locked="0" layoutInCell="1" allowOverlap="1" wp14:anchorId="0494E727" wp14:editId="5F7485ED">
              <wp:simplePos x="0" y="0"/>
              <wp:positionH relativeFrom="page">
                <wp:posOffset>237744</wp:posOffset>
              </wp:positionH>
              <wp:positionV relativeFrom="page">
                <wp:posOffset>237744</wp:posOffset>
              </wp:positionV>
              <wp:extent cx="114300" cy="297180"/>
              <wp:effectExtent l="0" t="0" r="0" b="0"/>
              <wp:wrapSquare wrapText="bothSides"/>
              <wp:docPr id="2449897" name="Group 2449897"/>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49898" name="Rectangle 2449898"/>
                      <wps:cNvSpPr/>
                      <wps:spPr>
                        <a:xfrm>
                          <a:off x="0" y="0"/>
                          <a:ext cx="152019" cy="395250"/>
                        </a:xfrm>
                        <a:prstGeom prst="rect">
                          <a:avLst/>
                        </a:prstGeom>
                        <a:ln>
                          <a:noFill/>
                        </a:ln>
                      </wps:spPr>
                      <wps:txbx>
                        <w:txbxContent>
                          <w:p w14:paraId="50AF2B35"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0494E727" id="Group 2449897" o:spid="_x0000_s1965" style="position:absolute;margin-left:18.7pt;margin-top:18.7pt;width:9pt;height:23.4pt;z-index:251696128;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">
              <v:rect id="Rectangle 2449898" o:spid="_x0000_s1966"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" filled="f" stroked="f">
                <v:textbox inset="0,0,0,0">
                  <w:txbxContent>
                    <w:p w14:paraId="50AF2B35"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01147971" w14:textId="77777777" w:rsidR="00053D93" w:rsidRDefault="00260B75">
    <w:pPr>
      <w:spacing w:after="0"/>
      <w:ind w:left="101" w:right="-7"/>
    </w:pPr>
    <w:r>
      <w:rPr>
        <w:sz w:val="16"/>
      </w:rPr>
      <w:t>Y DEPORTES</w: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F67D6" w14:textId="77777777" w:rsidR="00053D93" w:rsidRDefault="00260B75">
    <w:pPr>
      <w:spacing w:after="0"/>
      <w:ind w:right="58"/>
      <w:jc w:val="right"/>
    </w:pPr>
    <w:r>
      <w:rPr>
        <w:sz w:val="16"/>
      </w:rPr>
      <w:t xml:space="preserve">DRECCIÓN </w:t>
    </w:r>
    <w:r>
      <w:rPr>
        <w:sz w:val="14"/>
      </w:rPr>
      <w:t xml:space="preserve">AUDITORIA AL </w:t>
    </w:r>
    <w:r>
      <w:rPr>
        <w:sz w:val="16"/>
      </w:rPr>
      <w:t xml:space="preserve">SECTOR </w:t>
    </w:r>
    <w:r>
      <w:rPr>
        <w:sz w:val="14"/>
      </w:rPr>
      <w:t>EDUCACIÓN. CIENCIA. CULTURA</w:t>
    </w:r>
  </w:p>
  <w:p w14:paraId="2D7F61BF" w14:textId="77777777" w:rsidR="00053D93" w:rsidRDefault="00260B75">
    <w:pPr>
      <w:tabs>
        <w:tab w:val="center" w:pos="2815"/>
        <w:tab w:val="center" w:pos="5954"/>
      </w:tabs>
      <w:spacing w:after="0"/>
    </w:pPr>
    <w:r>
      <w:tab/>
    </w:r>
    <w:r>
      <w:rPr>
        <w:sz w:val="14"/>
      </w:rPr>
      <w:t xml:space="preserve">COINTRALORIA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170</w:t>
    </w:r>
    <w:r>
      <w:rPr>
        <w:sz w:val="14"/>
      </w:rPr>
      <w:fldChar w:fldCharType="end"/>
    </w:r>
  </w:p>
  <w:p w14:paraId="0AD5B089" w14:textId="77777777" w:rsidR="00053D93" w:rsidRDefault="00260B75">
    <w:pPr>
      <w:spacing w:after="0"/>
      <w:ind w:right="65"/>
      <w:jc w:val="right"/>
    </w:pPr>
    <w:r>
      <w:rPr>
        <w:sz w:val="16"/>
      </w:rPr>
      <w:t>Y DEPORTES</w:t>
    </w: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802B8" w14:textId="77777777" w:rsidR="00053D93" w:rsidRDefault="00260B75">
    <w:pPr>
      <w:tabs>
        <w:tab w:val="center" w:pos="2844"/>
        <w:tab w:val="right" w:pos="10260"/>
      </w:tabs>
      <w:spacing w:after="0"/>
    </w:pPr>
    <w:r>
      <w:rPr>
        <w:noProof/>
      </w:rPr>
      <mc:AlternateContent>
        <mc:Choice Requires="wpg">
          <w:drawing>
            <wp:anchor distT="0" distB="0" distL="114300" distR="114300" simplePos="0" relativeHeight="251697152" behindDoc="0" locked="0" layoutInCell="1" allowOverlap="1" wp14:anchorId="1442CF3C" wp14:editId="6214E71E">
              <wp:simplePos x="0" y="0"/>
              <wp:positionH relativeFrom="page">
                <wp:posOffset>237744</wp:posOffset>
              </wp:positionH>
              <wp:positionV relativeFrom="page">
                <wp:posOffset>237744</wp:posOffset>
              </wp:positionV>
              <wp:extent cx="114300" cy="297180"/>
              <wp:effectExtent l="0" t="0" r="0" b="0"/>
              <wp:wrapSquare wrapText="bothSides"/>
              <wp:docPr id="2450017" name="Group 2450017"/>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0018" name="Rectangle 2450018"/>
                      <wps:cNvSpPr/>
                      <wps:spPr>
                        <a:xfrm>
                          <a:off x="0" y="0"/>
                          <a:ext cx="152019" cy="395250"/>
                        </a:xfrm>
                        <a:prstGeom prst="rect">
                          <a:avLst/>
                        </a:prstGeom>
                        <a:ln>
                          <a:noFill/>
                        </a:ln>
                      </wps:spPr>
                      <wps:txbx>
                        <w:txbxContent>
                          <w:p w14:paraId="4BF34AC4"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1442CF3C" id="Group 2450017" o:spid="_x0000_s1967" style="position:absolute;margin-left:18.7pt;margin-top:18.7pt;width:9pt;height:23.4pt;z-index:251697152;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">
              <v:rect id="Rectangle 2450018" o:spid="_x0000_s1968"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" filled="f" stroked="f">
                <v:textbox inset="0,0,0,0">
                  <w:txbxContent>
                    <w:p w14:paraId="4BF34AC4"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71DD4B52" w14:textId="77777777" w:rsidR="00053D93" w:rsidRDefault="00260B75">
    <w:pPr>
      <w:spacing w:after="0"/>
      <w:ind w:left="79"/>
    </w:pPr>
    <w:r>
      <w:rPr>
        <w:sz w:val="16"/>
      </w:rPr>
      <w:t>Y DEPORTES</w:t>
    </w: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5B605" w14:textId="77777777" w:rsidR="00053D93" w:rsidRDefault="00260B75">
    <w:pPr>
      <w:spacing w:after="0"/>
      <w:ind w:left="3672"/>
      <w:jc w:val="center"/>
    </w:pPr>
    <w:r>
      <w:rPr>
        <w:sz w:val="14"/>
      </w:rPr>
      <w:t xml:space="preserve">DIRECCIÓN </w:t>
    </w:r>
    <w:r>
      <w:rPr>
        <w:sz w:val="16"/>
      </w:rPr>
      <w:t xml:space="preserve">DE </w:t>
    </w:r>
    <w:r>
      <w:rPr>
        <w:sz w:val="14"/>
      </w:rPr>
      <w:t xml:space="preserve">AUDITORÍA AL </w:t>
    </w:r>
  </w:p>
  <w:p w14:paraId="7E748D78" w14:textId="77777777" w:rsidR="00053D93" w:rsidRDefault="00260B75">
    <w:pPr>
      <w:tabs>
        <w:tab w:val="center" w:pos="2790"/>
        <w:tab w:val="right" w:pos="10260"/>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58642283" w14:textId="77777777" w:rsidR="00053D93" w:rsidRDefault="00260B75">
    <w:pPr>
      <w:spacing w:after="0"/>
      <w:ind w:right="86"/>
      <w:jc w:val="right"/>
    </w:pPr>
    <w:r>
      <w:rPr>
        <w:sz w:val="16"/>
      </w:rPr>
      <w:t>Y DEPORTES</w:t>
    </w: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0877C"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CBA97EE" w14:textId="77777777" w:rsidR="00053D93" w:rsidRDefault="00260B75">
    <w:pPr>
      <w:tabs>
        <w:tab w:val="center" w:pos="2768"/>
        <w:tab w:val="center" w:pos="590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1D637748" w14:textId="77777777" w:rsidR="00053D93" w:rsidRDefault="00260B75">
    <w:pPr>
      <w:spacing w:after="0"/>
      <w:ind w:right="22"/>
      <w:jc w:val="right"/>
    </w:pPr>
    <w:r>
      <w:rPr>
        <w:sz w:val="16"/>
      </w:rPr>
      <w:t>Y DEPORTES</w:t>
    </w: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07637" w14:textId="77777777" w:rsidR="00053D93" w:rsidRDefault="00260B75">
    <w:pPr>
      <w:tabs>
        <w:tab w:val="center" w:pos="2815"/>
        <w:tab w:val="right" w:pos="10159"/>
      </w:tabs>
      <w:spacing w:after="0"/>
      <w:ind w:right="-36"/>
    </w:pPr>
    <w:r>
      <w:rPr>
        <w:noProof/>
      </w:rPr>
      <mc:AlternateContent>
        <mc:Choice Requires="wpg">
          <w:drawing>
            <wp:anchor distT="0" distB="0" distL="114300" distR="114300" simplePos="0" relativeHeight="251698176" behindDoc="0" locked="0" layoutInCell="1" allowOverlap="1" wp14:anchorId="56F35E30" wp14:editId="51712DAE">
              <wp:simplePos x="0" y="0"/>
              <wp:positionH relativeFrom="page">
                <wp:posOffset>237744</wp:posOffset>
              </wp:positionH>
              <wp:positionV relativeFrom="page">
                <wp:posOffset>237744</wp:posOffset>
              </wp:positionV>
              <wp:extent cx="114300" cy="297180"/>
              <wp:effectExtent l="0" t="0" r="0" b="0"/>
              <wp:wrapSquare wrapText="bothSides"/>
              <wp:docPr id="2450104" name="Group 2450104"/>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0105" name="Rectangle 2450105"/>
                      <wps:cNvSpPr/>
                      <wps:spPr>
                        <a:xfrm>
                          <a:off x="0" y="0"/>
                          <a:ext cx="152019" cy="395250"/>
                        </a:xfrm>
                        <a:prstGeom prst="rect">
                          <a:avLst/>
                        </a:prstGeom>
                        <a:ln>
                          <a:noFill/>
                        </a:ln>
                      </wps:spPr>
                      <wps:txbx>
                        <w:txbxContent>
                          <w:p w14:paraId="33DE4288"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6F35E30" id="Group 2450104" o:spid="_x0000_s1969" style="position:absolute;margin-left:18.7pt;margin-top:18.7pt;width:9pt;height:23.4pt;z-index:251698176;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">
              <v:rect id="Rectangle 2450105" o:spid="_x0000_s1970"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" filled="f" stroked="f">
                <v:textbox inset="0,0,0,0">
                  <w:txbxContent>
                    <w:p w14:paraId="33DE4288"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41B3EAE1" w14:textId="77777777" w:rsidR="00053D93" w:rsidRDefault="00260B75">
    <w:pPr>
      <w:spacing w:after="0"/>
      <w:ind w:left="50" w:right="-36"/>
    </w:pPr>
    <w:r>
      <w:rPr>
        <w:sz w:val="16"/>
      </w:rPr>
      <w:t>Y DEPORTES</w:t>
    </w: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51334" w14:textId="77777777" w:rsidR="00053D93" w:rsidRDefault="00260B75">
    <w:pPr>
      <w:tabs>
        <w:tab w:val="center" w:pos="2815"/>
        <w:tab w:val="right" w:pos="10159"/>
      </w:tabs>
      <w:spacing w:after="0"/>
      <w:ind w:right="-36"/>
    </w:pPr>
    <w:r>
      <w:rPr>
        <w:noProof/>
      </w:rPr>
      <mc:AlternateContent>
        <mc:Choice Requires="wpg">
          <w:drawing>
            <wp:anchor distT="0" distB="0" distL="114300" distR="114300" simplePos="0" relativeHeight="251699200" behindDoc="0" locked="0" layoutInCell="1" allowOverlap="1" wp14:anchorId="7DF248AB" wp14:editId="52DACDDE">
              <wp:simplePos x="0" y="0"/>
              <wp:positionH relativeFrom="page">
                <wp:posOffset>237744</wp:posOffset>
              </wp:positionH>
              <wp:positionV relativeFrom="page">
                <wp:posOffset>237744</wp:posOffset>
              </wp:positionV>
              <wp:extent cx="114300" cy="297180"/>
              <wp:effectExtent l="0" t="0" r="0" b="0"/>
              <wp:wrapSquare wrapText="bothSides"/>
              <wp:docPr id="2450076" name="Group 2450076"/>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0077" name="Rectangle 2450077"/>
                      <wps:cNvSpPr/>
                      <wps:spPr>
                        <a:xfrm>
                          <a:off x="0" y="0"/>
                          <a:ext cx="152019" cy="395250"/>
                        </a:xfrm>
                        <a:prstGeom prst="rect">
                          <a:avLst/>
                        </a:prstGeom>
                        <a:ln>
                          <a:noFill/>
                        </a:ln>
                      </wps:spPr>
                      <wps:txbx>
                        <w:txbxContent>
                          <w:p w14:paraId="7091614D"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7DF248AB" id="Group 2450076" o:spid="_x0000_s1971" style="position:absolute;margin-left:18.7pt;margin-top:18.7pt;width:9pt;height:23.4pt;z-index:251699200;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">
              <v:rect id="Rectangle 2450077" o:spid="_x0000_s1972"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" filled="f" stroked="f">
                <v:textbox inset="0,0,0,0">
                  <w:txbxContent>
                    <w:p w14:paraId="7091614D"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029E86F0" w14:textId="77777777" w:rsidR="00053D93" w:rsidRDefault="00260B75">
    <w:pPr>
      <w:spacing w:after="0"/>
      <w:ind w:left="50" w:right="-36"/>
    </w:pPr>
    <w:r>
      <w:rPr>
        <w:sz w:val="16"/>
      </w:rPr>
      <w:t>Y DEPORTES</w:t>
    </w: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9400C" w14:textId="77777777" w:rsidR="00053D93" w:rsidRDefault="00260B75">
    <w:pPr>
      <w:spacing w:after="0"/>
      <w:ind w:left="209" w:right="-108"/>
    </w:pPr>
    <w:r>
      <w:rPr>
        <w:noProof/>
      </w:rPr>
      <mc:AlternateContent>
        <mc:Choice Requires="wpg">
          <w:drawing>
            <wp:anchor distT="0" distB="0" distL="114300" distR="114300" simplePos="0" relativeHeight="251700224" behindDoc="0" locked="0" layoutInCell="1" allowOverlap="1" wp14:anchorId="2F18A055" wp14:editId="5ECB98D2">
              <wp:simplePos x="0" y="0"/>
              <wp:positionH relativeFrom="page">
                <wp:posOffset>329184</wp:posOffset>
              </wp:positionH>
              <wp:positionV relativeFrom="page">
                <wp:posOffset>260604</wp:posOffset>
              </wp:positionV>
              <wp:extent cx="114300" cy="297180"/>
              <wp:effectExtent l="0" t="0" r="0" b="0"/>
              <wp:wrapSquare wrapText="bothSides"/>
              <wp:docPr id="2450202" name="Group 2450202"/>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0203" name="Rectangle 2450203"/>
                      <wps:cNvSpPr/>
                      <wps:spPr>
                        <a:xfrm>
                          <a:off x="0" y="0"/>
                          <a:ext cx="152019" cy="395250"/>
                        </a:xfrm>
                        <a:prstGeom prst="rect">
                          <a:avLst/>
                        </a:prstGeom>
                        <a:ln>
                          <a:noFill/>
                        </a:ln>
                      </wps:spPr>
                      <wps:txbx>
                        <w:txbxContent>
                          <w:p w14:paraId="2B7B6F45"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2F18A055" id="Group 2450202" o:spid="_x0000_s1973" style="position:absolute;left:0;text-align:left;margin-left:25.9pt;margin-top:20.5pt;width:9pt;height:23.4pt;z-index:251700224;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">
              <v:rect id="Rectangle 2450203" o:spid="_x0000_s1974"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" filled="f" stroked="f">
                <v:textbox inset="0,0,0,0">
                  <w:txbxContent>
                    <w:p w14:paraId="2B7B6F45"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1BAE78C" w14:textId="77777777" w:rsidR="00053D93" w:rsidRDefault="00260B75">
    <w:pPr>
      <w:tabs>
        <w:tab w:val="center" w:pos="2970"/>
        <w:tab w:val="right" w:pos="10246"/>
      </w:tabs>
      <w:spacing w:after="0"/>
      <w:ind w:right="-101"/>
    </w:pPr>
    <w:r>
      <w:tab/>
    </w:r>
    <w:r>
      <w:rPr>
        <w:sz w:val="14"/>
      </w:rPr>
      <w:t xml:space="preserve">CONTRALORIA GENERAL </w:t>
    </w:r>
    <w:r>
      <w:rPr>
        <w:sz w:val="16"/>
      </w:rPr>
      <w:t xml:space="preserve">DE </w:t>
    </w:r>
    <w:r>
      <w:rPr>
        <w:sz w:val="14"/>
      </w:rPr>
      <w:t>CUENTAS</w:t>
    </w:r>
    <w:r>
      <w:rPr>
        <w:sz w:val="14"/>
      </w:rPr>
      <w:tab/>
    </w:r>
    <w:r>
      <w:rPr>
        <w:sz w:val="18"/>
      </w:rPr>
      <w:t xml:space="preserve">Y </w:t>
    </w:r>
    <w:r>
      <w:rPr>
        <w:sz w:val="16"/>
      </w:rPr>
      <w:t>DEPORTES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8EF27" w14:textId="77777777" w:rsidR="00053D93" w:rsidRDefault="00260B75">
    <w:pPr>
      <w:spacing w:after="0"/>
      <w:ind w:left="3722"/>
      <w:jc w:val="center"/>
    </w:pPr>
    <w:r>
      <w:rPr>
        <w:sz w:val="14"/>
      </w:rPr>
      <w:t xml:space="preserve">DIRECCIÓN </w:t>
    </w:r>
    <w:r>
      <w:rPr>
        <w:sz w:val="16"/>
      </w:rPr>
      <w:t xml:space="preserve">DE </w:t>
    </w:r>
    <w:r>
      <w:rPr>
        <w:sz w:val="14"/>
      </w:rPr>
      <w:t xml:space="preserve">AUDITORÍA AL </w:t>
    </w:r>
  </w:p>
  <w:p w14:paraId="1E5B992A" w14:textId="77777777" w:rsidR="00053D93" w:rsidRDefault="00260B75">
    <w:pPr>
      <w:tabs>
        <w:tab w:val="center" w:pos="2768"/>
        <w:tab w:val="right" w:pos="10166"/>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3B0FAC9C" w14:textId="77777777" w:rsidR="00053D93" w:rsidRDefault="00260B75">
    <w:pPr>
      <w:spacing w:after="0"/>
      <w:ind w:right="14"/>
      <w:jc w:val="right"/>
    </w:pPr>
    <w:r>
      <w:rPr>
        <w:sz w:val="16"/>
      </w:rPr>
      <w:t>Y DEPORTES</w:t>
    </w: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763F2" w14:textId="77777777" w:rsidR="00053D93" w:rsidRDefault="00260B75">
    <w:pPr>
      <w:spacing w:after="0"/>
      <w:ind w:left="3658"/>
      <w:jc w:val="center"/>
    </w:pPr>
    <w:r>
      <w:rPr>
        <w:sz w:val="14"/>
      </w:rPr>
      <w:t xml:space="preserve">DIRECCIÓN </w:t>
    </w:r>
    <w:r>
      <w:rPr>
        <w:sz w:val="16"/>
      </w:rPr>
      <w:t xml:space="preserve">DE </w:t>
    </w:r>
    <w:r>
      <w:rPr>
        <w:sz w:val="14"/>
      </w:rPr>
      <w:t xml:space="preserve">AUDITORÍA AL </w:t>
    </w:r>
  </w:p>
  <w:p w14:paraId="4E12363F" w14:textId="77777777" w:rsidR="00053D93" w:rsidRDefault="00260B75">
    <w:pPr>
      <w:tabs>
        <w:tab w:val="center" w:pos="2776"/>
        <w:tab w:val="right" w:pos="10246"/>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BB7E821" w14:textId="77777777" w:rsidR="00053D93" w:rsidRDefault="00260B75">
    <w:pPr>
      <w:spacing w:after="0"/>
      <w:ind w:right="86"/>
      <w:jc w:val="right"/>
    </w:pPr>
    <w:r>
      <w:rPr>
        <w:sz w:val="16"/>
      </w:rPr>
      <w:t>Y DEPORTES</w:t>
    </w: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BE153" w14:textId="77777777" w:rsidR="00053D93" w:rsidRDefault="00260B75">
    <w:pPr>
      <w:spacing w:after="0"/>
      <w:ind w:right="86"/>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F600304" w14:textId="77777777" w:rsidR="00053D93" w:rsidRDefault="00260B75">
    <w:pPr>
      <w:tabs>
        <w:tab w:val="center" w:pos="2783"/>
        <w:tab w:val="center" w:pos="5918"/>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160B6CD" w14:textId="77777777" w:rsidR="00053D93" w:rsidRDefault="00260B75">
    <w:pPr>
      <w:spacing w:after="0"/>
      <w:ind w:right="94"/>
      <w:jc w:val="right"/>
    </w:pPr>
    <w:r>
      <w:rPr>
        <w:sz w:val="16"/>
      </w:rPr>
      <w:t>Y DEPORTES</w:t>
    </w: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96C51" w14:textId="77777777" w:rsidR="00053D93" w:rsidRDefault="00260B75">
    <w:pPr>
      <w:spacing w:after="0"/>
      <w:ind w:left="230" w:right="-130"/>
    </w:pPr>
    <w:r>
      <w:rPr>
        <w:noProof/>
      </w:rPr>
      <mc:AlternateContent>
        <mc:Choice Requires="wpg">
          <w:drawing>
            <wp:anchor distT="0" distB="0" distL="114300" distR="114300" simplePos="0" relativeHeight="251701248" behindDoc="0" locked="0" layoutInCell="1" allowOverlap="1" wp14:anchorId="43B2961E" wp14:editId="3535D0F8">
              <wp:simplePos x="0" y="0"/>
              <wp:positionH relativeFrom="page">
                <wp:posOffset>329184</wp:posOffset>
              </wp:positionH>
              <wp:positionV relativeFrom="page">
                <wp:posOffset>260604</wp:posOffset>
              </wp:positionV>
              <wp:extent cx="114300" cy="297180"/>
              <wp:effectExtent l="0" t="0" r="0" b="0"/>
              <wp:wrapSquare wrapText="bothSides"/>
              <wp:docPr id="2450280" name="Group 2450280"/>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0281" name="Rectangle 2450281"/>
                      <wps:cNvSpPr/>
                      <wps:spPr>
                        <a:xfrm>
                          <a:off x="0" y="0"/>
                          <a:ext cx="152019" cy="395250"/>
                        </a:xfrm>
                        <a:prstGeom prst="rect">
                          <a:avLst/>
                        </a:prstGeom>
                        <a:ln>
                          <a:noFill/>
                        </a:ln>
                      </wps:spPr>
                      <wps:txbx>
                        <w:txbxContent>
                          <w:p w14:paraId="792ED1BC"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43B2961E" id="Group 2450280" o:spid="_x0000_s1975" style="position:absolute;left:0;text-align:left;margin-left:25.9pt;margin-top:20.5pt;width:9pt;height:23.4pt;z-index:251701248;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">
              <v:rect id="Rectangle 2450281" o:spid="_x0000_s1976"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" filled="f" stroked="f">
                <v:textbox inset="0,0,0,0">
                  <w:txbxContent>
                    <w:p w14:paraId="792ED1BC"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72D2662" w14:textId="77777777" w:rsidR="00053D93" w:rsidRDefault="00260B75">
    <w:pPr>
      <w:tabs>
        <w:tab w:val="center" w:pos="2992"/>
        <w:tab w:val="right" w:pos="10246"/>
      </w:tabs>
      <w:spacing w:after="0"/>
      <w:ind w:right="-122"/>
    </w:pPr>
    <w:r>
      <w:tab/>
    </w:r>
    <w:r>
      <w:rPr>
        <w:sz w:val="14"/>
      </w:rPr>
      <w:t xml:space="preserve">CONTRALORIA GENERAL </w:t>
    </w:r>
    <w:r>
      <w:rPr>
        <w:sz w:val="16"/>
      </w:rPr>
      <w:t xml:space="preserve">DE </w:t>
    </w:r>
    <w:r>
      <w:rPr>
        <w:sz w:val="14"/>
      </w:rPr>
      <w:t>CUENTAS</w:t>
    </w:r>
    <w:r>
      <w:rPr>
        <w:sz w:val="14"/>
      </w:rPr>
      <w:tab/>
    </w:r>
    <w:r>
      <w:rPr>
        <w:sz w:val="18"/>
      </w:rPr>
      <w:t xml:space="preserve">Y </w:t>
    </w:r>
    <w:r>
      <w:rPr>
        <w:sz w:val="16"/>
      </w:rPr>
      <w:t>DEPORTES</w:t>
    </w: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97AD2" w14:textId="77777777" w:rsidR="00053D93" w:rsidRDefault="00260B75">
    <w:pPr>
      <w:tabs>
        <w:tab w:val="center" w:pos="2851"/>
        <w:tab w:val="right" w:pos="10246"/>
      </w:tabs>
      <w:spacing w:after="0"/>
    </w:pPr>
    <w:r>
      <w:rPr>
        <w:noProof/>
      </w:rPr>
      <mc:AlternateContent>
        <mc:Choice Requires="wpg">
          <w:drawing>
            <wp:anchor distT="0" distB="0" distL="114300" distR="114300" simplePos="0" relativeHeight="251702272" behindDoc="0" locked="0" layoutInCell="1" allowOverlap="1" wp14:anchorId="6C9E8C4A" wp14:editId="1978D6B1">
              <wp:simplePos x="0" y="0"/>
              <wp:positionH relativeFrom="page">
                <wp:posOffset>237744</wp:posOffset>
              </wp:positionH>
              <wp:positionV relativeFrom="page">
                <wp:posOffset>237744</wp:posOffset>
              </wp:positionV>
              <wp:extent cx="114300" cy="297180"/>
              <wp:effectExtent l="0" t="0" r="0" b="0"/>
              <wp:wrapSquare wrapText="bothSides"/>
              <wp:docPr id="2450260" name="Group 2450260"/>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0261" name="Rectangle 2450261"/>
                      <wps:cNvSpPr/>
                      <wps:spPr>
                        <a:xfrm>
                          <a:off x="0" y="0"/>
                          <a:ext cx="152019" cy="395250"/>
                        </a:xfrm>
                        <a:prstGeom prst="rect">
                          <a:avLst/>
                        </a:prstGeom>
                        <a:ln>
                          <a:noFill/>
                        </a:ln>
                      </wps:spPr>
                      <wps:txbx>
                        <w:txbxContent>
                          <w:p w14:paraId="3A7577A1"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6C9E8C4A" id="Group 2450260" o:spid="_x0000_s1977" style="position:absolute;margin-left:18.7pt;margin-top:18.7pt;width:9pt;height:23.4pt;z-index:251702272;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">
              <v:rect id="Rectangle 2450261" o:spid="_x0000_s1978"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" filled="f" stroked="f">
                <v:textbox inset="0,0,0,0">
                  <w:txbxContent>
                    <w:p w14:paraId="3A7577A1"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62B986D4" w14:textId="77777777" w:rsidR="00053D93" w:rsidRDefault="00260B75">
    <w:pPr>
      <w:spacing w:after="0"/>
      <w:ind w:left="86"/>
    </w:pPr>
    <w:r>
      <w:rPr>
        <w:sz w:val="16"/>
      </w:rPr>
      <w:t>Y DEPORTES</w:t>
    </w: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35FA8" w14:textId="77777777" w:rsidR="00053D93" w:rsidRDefault="00260B75">
    <w:pPr>
      <w:spacing w:after="0" w:line="216" w:lineRule="auto"/>
      <w:ind w:left="-7" w:right="58"/>
      <w:jc w:val="right"/>
    </w:pPr>
    <w:r>
      <w:rPr>
        <w:noProof/>
      </w:rPr>
      <mc:AlternateContent>
        <mc:Choice Requires="wpg">
          <w:drawing>
            <wp:anchor distT="0" distB="0" distL="114300" distR="114300" simplePos="0" relativeHeight="251703296" behindDoc="0" locked="0" layoutInCell="1" allowOverlap="1" wp14:anchorId="4BD0F5AE" wp14:editId="2A6DE296">
              <wp:simplePos x="0" y="0"/>
              <wp:positionH relativeFrom="page">
                <wp:posOffset>178308</wp:posOffset>
              </wp:positionH>
              <wp:positionV relativeFrom="page">
                <wp:posOffset>297180</wp:posOffset>
              </wp:positionV>
              <wp:extent cx="141732" cy="297180"/>
              <wp:effectExtent l="0" t="0" r="0" b="0"/>
              <wp:wrapSquare wrapText="bothSides"/>
              <wp:docPr id="2450236" name="Group 2450236"/>
              <wp:cNvGraphicFramePr/>
              <a:graphic xmlns:a="http://schemas.openxmlformats.org/drawingml/2006/main">
                <a:graphicData uri="http://schemas.microsoft.com/office/word/2010/wordprocessingGroup">
                  <wpg:wgp>
                    <wpg:cNvGrpSpPr/>
                    <wpg:grpSpPr>
                      <a:xfrm>
                        <a:off x="0" y="0"/>
                        <a:ext cx="141732" cy="297180"/>
                        <a:chOff x="0" y="0"/>
                        <a:chExt cx="141732" cy="297180"/>
                      </a:xfrm>
                    </wpg:grpSpPr>
                    <wps:wsp>
                      <wps:cNvPr id="2450237" name="Rectangle 2450237"/>
                      <wps:cNvSpPr/>
                      <wps:spPr>
                        <a:xfrm>
                          <a:off x="0" y="0"/>
                          <a:ext cx="188504" cy="395250"/>
                        </a:xfrm>
                        <a:prstGeom prst="rect">
                          <a:avLst/>
                        </a:prstGeom>
                        <a:ln>
                          <a:noFill/>
                        </a:ln>
                      </wps:spPr>
                      <wps:txbx>
                        <w:txbxContent>
                          <w:p w14:paraId="5CE4C73F" w14:textId="77777777" w:rsidR="00053D93" w:rsidRDefault="00260B75">
                            <w:r>
                              <w:rPr>
                                <w:sz w:val="82"/>
                              </w:rPr>
                              <w:t>1</w:t>
                            </w:r>
                          </w:p>
                        </w:txbxContent>
                      </wps:txbx>
                      <wps:bodyPr horzOverflow="overflow" vert="horz" lIns="0" tIns="0" rIns="0" bIns="0" rtlCol="0">
                        <a:noAutofit/>
                      </wps:bodyPr>
                    </wps:wsp>
                  </wpg:wgp>
                </a:graphicData>
              </a:graphic>
            </wp:anchor>
          </w:drawing>
        </mc:Choice>
        <mc:Fallback>
          <w:pict>
            <v:group w14:anchorId="4BD0F5AE" id="Group 2450236" o:spid="_x0000_s1979" style="position:absolute;left:0;text-align:left;margin-left:14.05pt;margin-top:23.4pt;width:11.15pt;height:23.4pt;z-index:251703296;mso-position-horizontal-relative:page;mso-position-vertical-relative:page" coordsize="14173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">
              <v:rect id="Rectangle 2450237" o:spid="_x0000_s1980" style="position:absolute;width:188504;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" filled="f" stroked="f">
                <v:textbox inset="0,0,0,0">
                  <w:txbxContent>
                    <w:p w14:paraId="5CE4C73F" w14:textId="77777777" w:rsidR="00053D93" w:rsidRDefault="00260B75">
                      <w:r>
                        <w:rPr>
                          <w:sz w:val="82"/>
                        </w:rPr>
                        <w:t>1</w:t>
                      </w:r>
                    </w:p>
                  </w:txbxContent>
                </v:textbox>
              </v:rect>
              <w10:wrap type="square" anchorx="page" anchory="page"/>
            </v:group>
          </w:pict>
        </mc:Fallback>
      </mc:AlternateContent>
    </w:r>
    <w:r>
      <w:rPr>
        <w:sz w:val="14"/>
      </w:rPr>
      <w:t xml:space="preserve">AUDITORIA AL </w:t>
    </w:r>
    <w:r>
      <w:rPr>
        <w:sz w:val="16"/>
      </w:rPr>
      <w:t xml:space="preserve">SECTOR </w:t>
    </w:r>
    <w:r>
      <w:rPr>
        <w:sz w:val="14"/>
      </w:rPr>
      <w:t xml:space="preserve">EDUCACIÓN, CIENCIA. CULTURA 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179</w:t>
    </w:r>
    <w:r>
      <w:rPr>
        <w:sz w:val="14"/>
      </w:rPr>
      <w:fldChar w:fldCharType="end"/>
    </w:r>
    <w:r>
      <w:rPr>
        <w:sz w:val="14"/>
      </w:rPr>
      <w:tab/>
    </w:r>
    <w:r>
      <w:rPr>
        <w:sz w:val="16"/>
      </w:rPr>
      <w:t>Y DEPORTES</w:t>
    </w: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4D638" w14:textId="77777777" w:rsidR="00053D93" w:rsidRDefault="00260B75">
    <w:pPr>
      <w:spacing w:after="0"/>
      <w:ind w:left="3622"/>
      <w:jc w:val="center"/>
    </w:pPr>
    <w:r>
      <w:rPr>
        <w:sz w:val="14"/>
      </w:rPr>
      <w:t xml:space="preserve">DIRECCIÓN </w:t>
    </w:r>
    <w:r>
      <w:rPr>
        <w:sz w:val="16"/>
      </w:rPr>
      <w:t xml:space="preserve">DE </w:t>
    </w:r>
    <w:r>
      <w:rPr>
        <w:sz w:val="14"/>
      </w:rPr>
      <w:t xml:space="preserve">AUDITORÍA AL </w:t>
    </w:r>
  </w:p>
  <w:p w14:paraId="7E4B08D8" w14:textId="77777777" w:rsidR="00053D93" w:rsidRDefault="00260B75">
    <w:pPr>
      <w:tabs>
        <w:tab w:val="center" w:pos="2711"/>
        <w:tab w:val="right" w:pos="10152"/>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1F9F32E4" w14:textId="77777777" w:rsidR="00053D93" w:rsidRDefault="00260B75">
    <w:pPr>
      <w:spacing w:after="0"/>
      <w:ind w:right="58"/>
      <w:jc w:val="right"/>
    </w:pPr>
    <w:r>
      <w:rPr>
        <w:sz w:val="16"/>
      </w:rPr>
      <w:t>Y DEPORTES</w:t>
    </w: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9B2A9" w14:textId="77777777" w:rsidR="00053D93" w:rsidRDefault="00260B75">
    <w:pPr>
      <w:spacing w:after="0"/>
      <w:ind w:left="3499"/>
      <w:jc w:val="center"/>
    </w:pPr>
    <w:r>
      <w:rPr>
        <w:sz w:val="14"/>
      </w:rPr>
      <w:t xml:space="preserve">DIRECCIÓN </w:t>
    </w:r>
    <w:r>
      <w:rPr>
        <w:sz w:val="16"/>
      </w:rPr>
      <w:t xml:space="preserve">DE </w:t>
    </w:r>
    <w:r>
      <w:rPr>
        <w:sz w:val="14"/>
      </w:rPr>
      <w:t xml:space="preserve">AUDITORÍA </w:t>
    </w:r>
  </w:p>
  <w:p w14:paraId="3AD7B152" w14:textId="77777777" w:rsidR="00053D93" w:rsidRDefault="00260B75">
    <w:pPr>
      <w:tabs>
        <w:tab w:val="center" w:pos="2740"/>
        <w:tab w:val="center" w:pos="5864"/>
        <w:tab w:val="center" w:pos="7934"/>
        <w:tab w:val="right" w:pos="10152"/>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2"/>
      </w:rPr>
      <w:t>71</w:t>
    </w:r>
    <w:r>
      <w:rPr>
        <w:rFonts w:ascii="Times New Roman" w:eastAsia="Times New Roman" w:hAnsi="Times New Roman" w:cs="Times New Roman"/>
        <w:sz w:val="12"/>
      </w:rPr>
      <w:fldChar w:fldCharType="end"/>
    </w:r>
    <w:r>
      <w:rPr>
        <w:rFonts w:ascii="Times New Roman" w:eastAsia="Times New Roman" w:hAnsi="Times New Roman" w:cs="Times New Roman"/>
        <w:sz w:val="12"/>
      </w:rPr>
      <w:tab/>
    </w:r>
    <w:r>
      <w:rPr>
        <w:sz w:val="14"/>
      </w:rPr>
      <w:t xml:space="preserve">AL </w:t>
    </w:r>
    <w:r>
      <w:rPr>
        <w:sz w:val="16"/>
      </w:rPr>
      <w:t xml:space="preserve">SECTOR </w:t>
    </w:r>
    <w:r>
      <w:rPr>
        <w:sz w:val="16"/>
      </w:rPr>
      <w:tab/>
    </w:r>
    <w:r>
      <w:rPr>
        <w:sz w:val="14"/>
      </w:rPr>
      <w:t>CIENCIA, CULTURA</w:t>
    </w:r>
  </w:p>
  <w:p w14:paraId="7FBA6BE7" w14:textId="77777777" w:rsidR="00053D93" w:rsidRDefault="00260B75">
    <w:pPr>
      <w:spacing w:after="0"/>
      <w:ind w:right="29"/>
      <w:jc w:val="right"/>
    </w:pPr>
    <w:r>
      <w:rPr>
        <w:sz w:val="18"/>
      </w:rPr>
      <w:t xml:space="preserve">Y </w:t>
    </w:r>
    <w:r>
      <w:rPr>
        <w:sz w:val="16"/>
      </w:rPr>
      <w:t>DEPORTES</w:t>
    </w: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5659C" w14:textId="77777777" w:rsidR="00053D93" w:rsidRDefault="00260B75">
    <w:pPr>
      <w:spacing w:after="0"/>
      <w:ind w:left="3578"/>
      <w:jc w:val="center"/>
    </w:pPr>
    <w:r>
      <w:rPr>
        <w:rFonts w:ascii="Courier New" w:eastAsia="Courier New" w:hAnsi="Courier New" w:cs="Courier New"/>
        <w:sz w:val="14"/>
      </w:rPr>
      <w:t xml:space="preserve">DIRECCIÓN </w:t>
    </w:r>
    <w:r>
      <w:rPr>
        <w:rFonts w:ascii="Courier New" w:eastAsia="Courier New" w:hAnsi="Courier New" w:cs="Courier New"/>
        <w:sz w:val="16"/>
      </w:rPr>
      <w:t xml:space="preserve">DE </w:t>
    </w:r>
    <w:r>
      <w:rPr>
        <w:rFonts w:ascii="Courier New" w:eastAsia="Courier New" w:hAnsi="Courier New" w:cs="Courier New"/>
        <w:sz w:val="14"/>
      </w:rPr>
      <w:t xml:space="preserve">AUDITORIA </w:t>
    </w:r>
  </w:p>
  <w:p w14:paraId="4607CE5D" w14:textId="77777777" w:rsidR="00053D93" w:rsidRDefault="00260B75">
    <w:pPr>
      <w:tabs>
        <w:tab w:val="center" w:pos="2394"/>
        <w:tab w:val="center" w:pos="3593"/>
        <w:tab w:val="center" w:pos="5915"/>
        <w:tab w:val="right" w:pos="10152"/>
      </w:tabs>
      <w:spacing w:after="0"/>
      <w:ind w:right="-14"/>
    </w:pPr>
    <w:r>
      <w:tab/>
    </w:r>
    <w:r>
      <w:rPr>
        <w:rFonts w:ascii="Courier New" w:eastAsia="Courier New" w:hAnsi="Courier New" w:cs="Courier New"/>
        <w:sz w:val="14"/>
      </w:rPr>
      <w:t xml:space="preserve">CONTRALORÍA GENERAL </w:t>
    </w:r>
    <w:r>
      <w:rPr>
        <w:rFonts w:ascii="Courier New" w:eastAsia="Courier New" w:hAnsi="Courier New" w:cs="Courier New"/>
        <w:sz w:val="14"/>
      </w:rPr>
      <w:tab/>
      <w:t>CUENTAS</w:t>
    </w:r>
    <w:r>
      <w:rPr>
        <w:rFonts w:ascii="Courier New" w:eastAsia="Courier New" w:hAnsi="Courier New" w:cs="Courier New"/>
        <w:sz w:val="14"/>
      </w:rPr>
      <w:tab/>
    </w:r>
    <w:r>
      <w:fldChar w:fldCharType="begin"/>
    </w:r>
    <w:r>
      <w:instrText xml:space="preserve"> PAGE   \* MERGEFORMAT </w:instrText>
    </w:r>
    <w:r>
      <w:fldChar w:fldCharType="separate"/>
    </w:r>
    <w:r>
      <w:rPr>
        <w:sz w:val="14"/>
      </w:rPr>
      <w:t>183</w:t>
    </w:r>
    <w:r>
      <w:rPr>
        <w:sz w:val="14"/>
      </w:rPr>
      <w:fldChar w:fldCharType="end"/>
    </w:r>
    <w:r>
      <w:rPr>
        <w:sz w:val="14"/>
      </w:rPr>
      <w:tab/>
    </w:r>
    <w:r>
      <w:rPr>
        <w:rFonts w:ascii="Courier New" w:eastAsia="Courier New" w:hAnsi="Courier New" w:cs="Courier New"/>
        <w:sz w:val="16"/>
      </w:rPr>
      <w:t xml:space="preserve">SECTOR </w:t>
    </w:r>
    <w:r>
      <w:rPr>
        <w:rFonts w:ascii="Courier New" w:eastAsia="Courier New" w:hAnsi="Courier New" w:cs="Courier New"/>
        <w:sz w:val="14"/>
      </w:rPr>
      <w:t>EDUCACIÓN. CIENCIA. CULTURA</w:t>
    </w:r>
  </w:p>
  <w:p w14:paraId="3484A492" w14:textId="77777777" w:rsidR="00053D93" w:rsidRDefault="00260B75">
    <w:pPr>
      <w:spacing w:after="0"/>
      <w:ind w:right="-7"/>
      <w:jc w:val="right"/>
    </w:pPr>
    <w:r>
      <w:rPr>
        <w:rFonts w:ascii="Courier New" w:eastAsia="Courier New" w:hAnsi="Courier New" w:cs="Courier New"/>
        <w:sz w:val="16"/>
      </w:rPr>
      <w:t>Y DEPORTES</w:t>
    </w: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B86AD" w14:textId="77777777" w:rsidR="00053D93" w:rsidRDefault="00260B75">
    <w:pPr>
      <w:spacing w:after="0"/>
      <w:ind w:right="22"/>
      <w:jc w:val="right"/>
    </w:pPr>
    <w:r>
      <w:rPr>
        <w:sz w:val="14"/>
      </w:rPr>
      <w:t xml:space="preserve">DIRECCIÓN </w:t>
    </w:r>
    <w:r>
      <w:rPr>
        <w:sz w:val="16"/>
      </w:rPr>
      <w:t xml:space="preserve">DE </w:t>
    </w:r>
    <w:r>
      <w:rPr>
        <w:sz w:val="14"/>
      </w:rPr>
      <w:t xml:space="preserve">AUDITORIA </w:t>
    </w:r>
    <w:r>
      <w:rPr>
        <w:sz w:val="16"/>
      </w:rPr>
      <w:t xml:space="preserve">SECTOR </w:t>
    </w:r>
    <w:r>
      <w:rPr>
        <w:sz w:val="14"/>
      </w:rPr>
      <w:t>EDUCACIÓN. CIENCIA. CULTURA</w:t>
    </w:r>
  </w:p>
  <w:p w14:paraId="2A7A7BF5" w14:textId="77777777" w:rsidR="00053D93" w:rsidRDefault="00260B75">
    <w:pPr>
      <w:spacing w:after="0"/>
      <w:ind w:left="986"/>
    </w:pPr>
    <w:r>
      <w:rPr>
        <w:sz w:val="14"/>
      </w:rPr>
      <w:t xml:space="preserve">CONTRALORÍA GENERAL </w:t>
    </w:r>
    <w:r>
      <w:rPr>
        <w:sz w:val="16"/>
      </w:rPr>
      <w:t xml:space="preserve">DE </w:t>
    </w:r>
    <w:r>
      <w:rPr>
        <w:sz w:val="14"/>
      </w:rPr>
      <w:t>CUENTAS</w:t>
    </w:r>
  </w:p>
  <w:p w14:paraId="37F22911" w14:textId="77777777" w:rsidR="00053D93" w:rsidRDefault="00260B75">
    <w:pPr>
      <w:spacing w:after="0"/>
      <w:ind w:right="22"/>
      <w:jc w:val="right"/>
    </w:pPr>
    <w:r>
      <w:rPr>
        <w:sz w:val="16"/>
      </w:rPr>
      <w:t>Y DEPORTES</w:t>
    </w: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566B6" w14:textId="77777777" w:rsidR="00053D93" w:rsidRDefault="00260B75">
    <w:pPr>
      <w:spacing w:after="0"/>
      <w:ind w:left="2966"/>
      <w:jc w:val="center"/>
    </w:pPr>
    <w:r>
      <w:rPr>
        <w:sz w:val="14"/>
      </w:rPr>
      <w:t xml:space="preserve">DIRECCIÓN </w:t>
    </w:r>
    <w:r>
      <w:rPr>
        <w:sz w:val="16"/>
      </w:rPr>
      <w:t xml:space="preserve">DE </w:t>
    </w:r>
    <w:r>
      <w:rPr>
        <w:sz w:val="14"/>
      </w:rPr>
      <w:t xml:space="preserve">AUDITORÍA AL </w:t>
    </w:r>
  </w:p>
  <w:p w14:paraId="0431FD2F" w14:textId="77777777" w:rsidR="00053D93" w:rsidRDefault="00260B75">
    <w:pPr>
      <w:tabs>
        <w:tab w:val="center" w:pos="2041"/>
        <w:tab w:val="right" w:pos="9468"/>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0CCA95DF" w14:textId="77777777" w:rsidR="00053D93" w:rsidRDefault="00260B75">
    <w:pPr>
      <w:spacing w:after="0"/>
      <w:ind w:right="43"/>
      <w:jc w:val="right"/>
    </w:pPr>
    <w:r>
      <w:rPr>
        <w:sz w:val="16"/>
      </w:rPr>
      <w:t>Y DEPORTES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668E2" w14:textId="77777777" w:rsidR="00053D93" w:rsidRDefault="00260B75">
    <w:pPr>
      <w:tabs>
        <w:tab w:val="center" w:pos="2786"/>
        <w:tab w:val="right" w:pos="10166"/>
      </w:tabs>
      <w:spacing w:after="6"/>
    </w:pPr>
    <w:r>
      <w:tab/>
    </w:r>
    <w:r>
      <w:rPr>
        <w:sz w:val="14"/>
      </w:rPr>
      <w:t xml:space="preserve">CONTRALOR(A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6"/>
      </w:rPr>
      <w:t>8</w:t>
    </w:r>
    <w:r>
      <w:rPr>
        <w:rFonts w:ascii="Times New Roman" w:eastAsia="Times New Roman" w:hAnsi="Times New Roman" w:cs="Times New Roman"/>
        <w:sz w:val="16"/>
      </w:rPr>
      <w:fldChar w:fldCharType="end"/>
    </w:r>
    <w:r>
      <w:rPr>
        <w:rFonts w:ascii="Times New Roman" w:eastAsia="Times New Roman" w:hAnsi="Times New Roman" w:cs="Times New Roman"/>
        <w:sz w:val="16"/>
      </w:rPr>
      <w:t xml:space="preserve"> </w:t>
    </w:r>
    <w:r>
      <w:rPr>
        <w:sz w:val="14"/>
      </w:rPr>
      <w:t xml:space="preserve">DIRECCIÓN DE AUDITORIA </w:t>
    </w:r>
    <w:r>
      <w:rPr>
        <w:sz w:val="16"/>
      </w:rPr>
      <w:t xml:space="preserve">SECTOR </w:t>
    </w:r>
    <w:r>
      <w:rPr>
        <w:sz w:val="14"/>
      </w:rPr>
      <w:t>EDUCACIÓN, CIENCIA. CULTURA</w:t>
    </w:r>
  </w:p>
  <w:p w14:paraId="5322924C" w14:textId="77777777" w:rsidR="00053D93" w:rsidRDefault="00260B75">
    <w:pPr>
      <w:spacing w:after="0"/>
      <w:jc w:val="right"/>
    </w:pPr>
    <w:r>
      <w:rPr>
        <w:sz w:val="16"/>
      </w:rPr>
      <w:t>Y DEPORTES</w:t>
    </w: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ECE80" w14:textId="77777777" w:rsidR="00053D93" w:rsidRDefault="00260B75">
    <w:pPr>
      <w:spacing w:after="0"/>
      <w:ind w:right="43"/>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4A4F771" w14:textId="77777777" w:rsidR="00053D93" w:rsidRDefault="00260B75">
    <w:pPr>
      <w:tabs>
        <w:tab w:val="center" w:pos="2048"/>
        <w:tab w:val="center" w:pos="518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07B5761B" w14:textId="77777777" w:rsidR="00053D93" w:rsidRDefault="00260B75">
    <w:pPr>
      <w:spacing w:after="0"/>
      <w:ind w:right="50"/>
      <w:jc w:val="right"/>
    </w:pPr>
    <w:r>
      <w:rPr>
        <w:sz w:val="16"/>
      </w:rPr>
      <w:t>Y DEPORTES</w:t>
    </w: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AEBF1" w14:textId="77777777" w:rsidR="00053D93" w:rsidRDefault="00260B75">
    <w:pPr>
      <w:spacing w:after="0"/>
      <w:ind w:left="3658"/>
      <w:jc w:val="center"/>
    </w:pPr>
    <w:r>
      <w:rPr>
        <w:sz w:val="14"/>
      </w:rPr>
      <w:t xml:space="preserve">DIRECCIÓN </w:t>
    </w:r>
    <w:r>
      <w:rPr>
        <w:sz w:val="16"/>
      </w:rPr>
      <w:t xml:space="preserve">DE </w:t>
    </w:r>
    <w:r>
      <w:rPr>
        <w:sz w:val="14"/>
      </w:rPr>
      <w:t xml:space="preserve">AUDITORÍA AL </w:t>
    </w:r>
  </w:p>
  <w:p w14:paraId="4CBA684C" w14:textId="77777777" w:rsidR="00053D93" w:rsidRDefault="00260B75">
    <w:pPr>
      <w:tabs>
        <w:tab w:val="center" w:pos="2790"/>
        <w:tab w:val="right" w:pos="1027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6400D3E" w14:textId="77777777" w:rsidR="00053D93" w:rsidRDefault="00260B75">
    <w:pPr>
      <w:spacing w:after="0"/>
      <w:ind w:right="101"/>
      <w:jc w:val="right"/>
    </w:pPr>
    <w:r>
      <w:rPr>
        <w:sz w:val="16"/>
      </w:rPr>
      <w:t>Y DEPORTES</w:t>
    </w: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6BFCC" w14:textId="77777777" w:rsidR="00053D93" w:rsidRDefault="00260B75">
    <w:pPr>
      <w:spacing w:after="0"/>
      <w:ind w:left="3658"/>
      <w:jc w:val="center"/>
    </w:pPr>
    <w:r>
      <w:rPr>
        <w:sz w:val="14"/>
      </w:rPr>
      <w:t xml:space="preserve">DIRECCIÓN </w:t>
    </w:r>
    <w:r>
      <w:rPr>
        <w:sz w:val="16"/>
      </w:rPr>
      <w:t xml:space="preserve">DE </w:t>
    </w:r>
    <w:r>
      <w:rPr>
        <w:sz w:val="14"/>
      </w:rPr>
      <w:t xml:space="preserve">AUDITORÍA AL </w:t>
    </w:r>
  </w:p>
  <w:p w14:paraId="5278C3EF" w14:textId="77777777" w:rsidR="00053D93" w:rsidRDefault="00260B75">
    <w:pPr>
      <w:tabs>
        <w:tab w:val="center" w:pos="2790"/>
        <w:tab w:val="right" w:pos="1027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7E019BF6" w14:textId="77777777" w:rsidR="00053D93" w:rsidRDefault="00260B75">
    <w:pPr>
      <w:spacing w:after="0"/>
      <w:ind w:right="101"/>
      <w:jc w:val="right"/>
    </w:pPr>
    <w:r>
      <w:rPr>
        <w:sz w:val="16"/>
      </w:rPr>
      <w:t>Y DEPORTES</w:t>
    </w: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91F6E" w14:textId="77777777" w:rsidR="00053D93" w:rsidRDefault="00260B75">
    <w:pPr>
      <w:spacing w:after="0"/>
      <w:ind w:left="3658"/>
      <w:jc w:val="center"/>
    </w:pPr>
    <w:r>
      <w:rPr>
        <w:sz w:val="14"/>
      </w:rPr>
      <w:t xml:space="preserve">DIRECCIÓN </w:t>
    </w:r>
    <w:r>
      <w:rPr>
        <w:sz w:val="16"/>
      </w:rPr>
      <w:t xml:space="preserve">DE </w:t>
    </w:r>
    <w:r>
      <w:rPr>
        <w:sz w:val="14"/>
      </w:rPr>
      <w:t xml:space="preserve">AUDITORÍA AL </w:t>
    </w:r>
  </w:p>
  <w:p w14:paraId="68F7A144" w14:textId="77777777" w:rsidR="00053D93" w:rsidRDefault="00260B75">
    <w:pPr>
      <w:tabs>
        <w:tab w:val="center" w:pos="2790"/>
        <w:tab w:val="right" w:pos="1027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7EF29387" w14:textId="77777777" w:rsidR="00053D93" w:rsidRDefault="00260B75">
    <w:pPr>
      <w:spacing w:after="0"/>
      <w:ind w:right="101"/>
      <w:jc w:val="right"/>
    </w:pPr>
    <w:r>
      <w:rPr>
        <w:sz w:val="16"/>
      </w:rPr>
      <w:t>Y DEPORTES</w:t>
    </w: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15300" w14:textId="77777777" w:rsidR="00053D93" w:rsidRDefault="00260B75">
    <w:pPr>
      <w:spacing w:after="0"/>
      <w:ind w:left="86"/>
    </w:pPr>
    <w:r>
      <w:rPr>
        <w:noProof/>
      </w:rPr>
      <mc:AlternateContent>
        <mc:Choice Requires="wpg">
          <w:drawing>
            <wp:anchor distT="0" distB="0" distL="114300" distR="114300" simplePos="0" relativeHeight="251704320" behindDoc="0" locked="0" layoutInCell="1" allowOverlap="1" wp14:anchorId="549A6E2E" wp14:editId="4381C4CF">
              <wp:simplePos x="0" y="0"/>
              <wp:positionH relativeFrom="page">
                <wp:posOffset>237744</wp:posOffset>
              </wp:positionH>
              <wp:positionV relativeFrom="page">
                <wp:posOffset>224028</wp:posOffset>
              </wp:positionV>
              <wp:extent cx="114300" cy="301752"/>
              <wp:effectExtent l="0" t="0" r="0" b="0"/>
              <wp:wrapSquare wrapText="bothSides"/>
              <wp:docPr id="2450595" name="Group 2450595"/>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0596" name="Rectangle 2450596"/>
                      <wps:cNvSpPr/>
                      <wps:spPr>
                        <a:xfrm>
                          <a:off x="0" y="0"/>
                          <a:ext cx="152019" cy="401330"/>
                        </a:xfrm>
                        <a:prstGeom prst="rect">
                          <a:avLst/>
                        </a:prstGeom>
                        <a:ln>
                          <a:noFill/>
                        </a:ln>
                      </wps:spPr>
                      <wps:txbx>
                        <w:txbxContent>
                          <w:p w14:paraId="12F39949"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49A6E2E" id="Group 2450595" o:spid="_x0000_s1981" style="position:absolute;left:0;text-align:left;margin-left:18.7pt;margin-top:17.65pt;width:9pt;height:23.75pt;z-index:251704320;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">
              <v:rect id="Rectangle 2450596" o:spid="_x0000_s1982"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" filled="f" stroked="f">
                <v:textbox inset="0,0,0,0">
                  <w:txbxContent>
                    <w:p w14:paraId="12F39949"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3169F620" w14:textId="77777777" w:rsidR="00053D93" w:rsidRDefault="00260B75">
    <w:pPr>
      <w:tabs>
        <w:tab w:val="right" w:pos="10246"/>
      </w:tabs>
      <w:spacing w:after="0"/>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4913FC45" w14:textId="77777777" w:rsidR="00053D93" w:rsidRDefault="00260B75">
    <w:pPr>
      <w:spacing w:after="0"/>
      <w:ind w:right="22"/>
      <w:jc w:val="right"/>
    </w:pPr>
    <w:r>
      <w:rPr>
        <w:sz w:val="16"/>
      </w:rPr>
      <w:t>Y DEPORTES</w:t>
    </w: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B6ACF" w14:textId="77777777" w:rsidR="00053D93" w:rsidRDefault="00260B75">
    <w:pPr>
      <w:spacing w:after="0"/>
      <w:ind w:left="86"/>
    </w:pPr>
    <w:r>
      <w:rPr>
        <w:noProof/>
      </w:rPr>
      <mc:AlternateContent>
        <mc:Choice Requires="wpg">
          <w:drawing>
            <wp:anchor distT="0" distB="0" distL="114300" distR="114300" simplePos="0" relativeHeight="251705344" behindDoc="0" locked="0" layoutInCell="1" allowOverlap="1" wp14:anchorId="64681AD4" wp14:editId="08DA2ADC">
              <wp:simplePos x="0" y="0"/>
              <wp:positionH relativeFrom="page">
                <wp:posOffset>237744</wp:posOffset>
              </wp:positionH>
              <wp:positionV relativeFrom="page">
                <wp:posOffset>224028</wp:posOffset>
              </wp:positionV>
              <wp:extent cx="114300" cy="301752"/>
              <wp:effectExtent l="0" t="0" r="0" b="0"/>
              <wp:wrapSquare wrapText="bothSides"/>
              <wp:docPr id="2450563" name="Group 2450563"/>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0564" name="Rectangle 2450564"/>
                      <wps:cNvSpPr/>
                      <wps:spPr>
                        <a:xfrm>
                          <a:off x="0" y="0"/>
                          <a:ext cx="152019" cy="401330"/>
                        </a:xfrm>
                        <a:prstGeom prst="rect">
                          <a:avLst/>
                        </a:prstGeom>
                        <a:ln>
                          <a:noFill/>
                        </a:ln>
                      </wps:spPr>
                      <wps:txbx>
                        <w:txbxContent>
                          <w:p w14:paraId="56ABEF5E"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64681AD4" id="Group 2450563" o:spid="_x0000_s1983" style="position:absolute;left:0;text-align:left;margin-left:18.7pt;margin-top:17.65pt;width:9pt;height:23.75pt;z-index:251705344;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">
              <v:rect id="Rectangle 2450564" o:spid="_x0000_s198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" filled="f" stroked="f">
                <v:textbox inset="0,0,0,0">
                  <w:txbxContent>
                    <w:p w14:paraId="56ABEF5E"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18BD3176" w14:textId="77777777" w:rsidR="00053D93" w:rsidRDefault="00260B75">
    <w:pPr>
      <w:tabs>
        <w:tab w:val="right" w:pos="10246"/>
      </w:tabs>
      <w:spacing w:after="0"/>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2D1F406E" w14:textId="77777777" w:rsidR="00053D93" w:rsidRDefault="00260B75">
    <w:pPr>
      <w:spacing w:after="0"/>
      <w:ind w:right="22"/>
      <w:jc w:val="right"/>
    </w:pPr>
    <w:r>
      <w:rPr>
        <w:sz w:val="16"/>
      </w:rPr>
      <w:t>Y DEPORTES</w:t>
    </w: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94B0E" w14:textId="77777777" w:rsidR="00053D93" w:rsidRDefault="00260B75">
    <w:pPr>
      <w:spacing w:after="0"/>
      <w:ind w:left="86"/>
    </w:pPr>
    <w:r>
      <w:rPr>
        <w:noProof/>
      </w:rPr>
      <mc:AlternateContent>
        <mc:Choice Requires="wpg">
          <w:drawing>
            <wp:anchor distT="0" distB="0" distL="114300" distR="114300" simplePos="0" relativeHeight="251706368" behindDoc="0" locked="0" layoutInCell="1" allowOverlap="1" wp14:anchorId="34AAE65B" wp14:editId="1B53FFE3">
              <wp:simplePos x="0" y="0"/>
              <wp:positionH relativeFrom="page">
                <wp:posOffset>237744</wp:posOffset>
              </wp:positionH>
              <wp:positionV relativeFrom="page">
                <wp:posOffset>224028</wp:posOffset>
              </wp:positionV>
              <wp:extent cx="114300" cy="301752"/>
              <wp:effectExtent l="0" t="0" r="0" b="0"/>
              <wp:wrapSquare wrapText="bothSides"/>
              <wp:docPr id="2450531" name="Group 2450531"/>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0532" name="Rectangle 2450532"/>
                      <wps:cNvSpPr/>
                      <wps:spPr>
                        <a:xfrm>
                          <a:off x="0" y="0"/>
                          <a:ext cx="152019" cy="401330"/>
                        </a:xfrm>
                        <a:prstGeom prst="rect">
                          <a:avLst/>
                        </a:prstGeom>
                        <a:ln>
                          <a:noFill/>
                        </a:ln>
                      </wps:spPr>
                      <wps:txbx>
                        <w:txbxContent>
                          <w:p w14:paraId="406B9B25"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34AAE65B" id="Group 2450531" o:spid="_x0000_s1985" style="position:absolute;left:0;text-align:left;margin-left:18.7pt;margin-top:17.65pt;width:9pt;height:23.75pt;z-index:251706368;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">
              <v:rect id="Rectangle 2450532" o:spid="_x0000_s1986"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" filled="f" stroked="f">
                <v:textbox inset="0,0,0,0">
                  <w:txbxContent>
                    <w:p w14:paraId="406B9B25"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4B113A17" w14:textId="77777777" w:rsidR="00053D93" w:rsidRDefault="00260B75">
    <w:pPr>
      <w:tabs>
        <w:tab w:val="right" w:pos="10246"/>
      </w:tabs>
      <w:spacing w:after="0"/>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6EEE74AC" w14:textId="77777777" w:rsidR="00053D93" w:rsidRDefault="00260B75">
    <w:pPr>
      <w:spacing w:after="0"/>
      <w:ind w:right="22"/>
      <w:jc w:val="right"/>
    </w:pPr>
    <w:r>
      <w:rPr>
        <w:sz w:val="16"/>
      </w:rPr>
      <w:t>Y DEPORTES</w:t>
    </w: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E89FF" w14:textId="77777777" w:rsidR="00053D93" w:rsidRDefault="00260B75">
    <w:pPr>
      <w:tabs>
        <w:tab w:val="center" w:pos="2830"/>
        <w:tab w:val="center" w:pos="6491"/>
        <w:tab w:val="right" w:pos="10253"/>
      </w:tabs>
      <w:spacing w:after="0"/>
    </w:pPr>
    <w:r>
      <w:tab/>
    </w:r>
    <w:r>
      <w:rPr>
        <w:sz w:val="14"/>
      </w:rPr>
      <w:t xml:space="preserve">CONTRALORIA GENERAL </w:t>
    </w:r>
    <w:r>
      <w:rPr>
        <w:sz w:val="16"/>
      </w:rPr>
      <w:t xml:space="preserve">DE </w:t>
    </w:r>
    <w:r>
      <w:rPr>
        <w:sz w:val="14"/>
      </w:rPr>
      <w:t>CUENTAS</w:t>
    </w:r>
    <w:r>
      <w:rPr>
        <w:sz w:val="14"/>
      </w:rPr>
      <w:tab/>
      <w:t xml:space="preserve">DIRECCEÓN </w:t>
    </w:r>
    <w:r>
      <w:rPr>
        <w:sz w:val="14"/>
      </w:rPr>
      <w:tab/>
      <w:t xml:space="preserve">AUDITORIA AL </w:t>
    </w:r>
    <w:r>
      <w:rPr>
        <w:sz w:val="16"/>
      </w:rPr>
      <w:t xml:space="preserve">SECTOR </w:t>
    </w:r>
    <w:r>
      <w:rPr>
        <w:sz w:val="14"/>
      </w:rPr>
      <w:t>EDUCACIÓN. CIENCIA. CULTURA</w:t>
    </w:r>
  </w:p>
  <w:p w14:paraId="33A0E9A2" w14:textId="77777777" w:rsidR="00053D93" w:rsidRDefault="00260B75">
    <w:pPr>
      <w:spacing w:after="0"/>
      <w:ind w:right="50"/>
      <w:jc w:val="right"/>
    </w:pPr>
    <w:r>
      <w:rPr>
        <w:sz w:val="16"/>
      </w:rPr>
      <w:t>Y DEPORTES</w:t>
    </w: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A8041" w14:textId="77777777" w:rsidR="00053D93" w:rsidRDefault="00260B75">
    <w:pPr>
      <w:spacing w:after="0"/>
      <w:ind w:left="3708"/>
      <w:jc w:val="center"/>
    </w:pPr>
    <w:r>
      <w:rPr>
        <w:sz w:val="14"/>
      </w:rPr>
      <w:t xml:space="preserve">DIRECCIÓN </w:t>
    </w:r>
    <w:r>
      <w:rPr>
        <w:sz w:val="16"/>
      </w:rPr>
      <w:t xml:space="preserve">DE </w:t>
    </w:r>
    <w:r>
      <w:rPr>
        <w:sz w:val="14"/>
      </w:rPr>
      <w:t xml:space="preserve">AUDITORÍA AL </w:t>
    </w:r>
  </w:p>
  <w:p w14:paraId="21D6FD87" w14:textId="77777777" w:rsidR="00053D93" w:rsidRDefault="00260B75">
    <w:pPr>
      <w:tabs>
        <w:tab w:val="center" w:pos="2804"/>
        <w:tab w:val="right" w:pos="10253"/>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4FC8FB8F" w14:textId="77777777" w:rsidR="00053D93" w:rsidRDefault="00260B75">
    <w:pPr>
      <w:spacing w:after="0"/>
      <w:ind w:right="65"/>
      <w:jc w:val="right"/>
    </w:pPr>
    <w:r>
      <w:rPr>
        <w:sz w:val="16"/>
      </w:rPr>
      <w:t>Y DEPORTES</w:t>
    </w: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ACEEE" w14:textId="77777777" w:rsidR="00053D93" w:rsidRDefault="00260B75">
    <w:pPr>
      <w:spacing w:after="0"/>
      <w:ind w:left="3708"/>
      <w:jc w:val="center"/>
    </w:pPr>
    <w:r>
      <w:rPr>
        <w:sz w:val="14"/>
      </w:rPr>
      <w:t xml:space="preserve">DIRECCIÓN </w:t>
    </w:r>
    <w:r>
      <w:rPr>
        <w:sz w:val="16"/>
      </w:rPr>
      <w:t xml:space="preserve">DE </w:t>
    </w:r>
    <w:r>
      <w:rPr>
        <w:sz w:val="14"/>
      </w:rPr>
      <w:t xml:space="preserve">AUDITORÍA AL </w:t>
    </w:r>
  </w:p>
  <w:p w14:paraId="05217D12" w14:textId="77777777" w:rsidR="00053D93" w:rsidRDefault="00260B75">
    <w:pPr>
      <w:tabs>
        <w:tab w:val="center" w:pos="2804"/>
        <w:tab w:val="right" w:pos="10253"/>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70C7D1A2" w14:textId="77777777" w:rsidR="00053D93" w:rsidRDefault="00260B75">
    <w:pPr>
      <w:spacing w:after="0"/>
      <w:ind w:right="65"/>
      <w:jc w:val="right"/>
    </w:pPr>
    <w:r>
      <w:rPr>
        <w:sz w:val="16"/>
      </w:rPr>
      <w:t>Y DEPORTES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C9699" w14:textId="77777777" w:rsidR="00053D93" w:rsidRDefault="00260B75">
    <w:pPr>
      <w:spacing w:after="0"/>
      <w:ind w:right="7"/>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77A3EF9" w14:textId="77777777" w:rsidR="00053D93" w:rsidRDefault="00260B75">
    <w:pPr>
      <w:tabs>
        <w:tab w:val="center" w:pos="2797"/>
        <w:tab w:val="center" w:pos="5933"/>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7CEDD08" w14:textId="77777777" w:rsidR="00053D93" w:rsidRDefault="00260B75">
    <w:pPr>
      <w:spacing w:after="0"/>
      <w:ind w:right="14"/>
      <w:jc w:val="right"/>
    </w:pPr>
    <w:r>
      <w:rPr>
        <w:sz w:val="16"/>
      </w:rPr>
      <w:t>Y DEPORTES</w:t>
    </w: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2C8C6" w14:textId="77777777" w:rsidR="00053D93" w:rsidRDefault="00260B75">
    <w:pPr>
      <w:spacing w:after="0"/>
      <w:ind w:left="3636"/>
      <w:jc w:val="center"/>
    </w:pPr>
    <w:r>
      <w:rPr>
        <w:sz w:val="14"/>
      </w:rPr>
      <w:t xml:space="preserve">DIRECCIÓN </w:t>
    </w:r>
    <w:r>
      <w:rPr>
        <w:sz w:val="16"/>
      </w:rPr>
      <w:t xml:space="preserve">DE </w:t>
    </w:r>
    <w:r>
      <w:rPr>
        <w:sz w:val="14"/>
      </w:rPr>
      <w:t xml:space="preserve">AUDITORÍA AL </w:t>
    </w:r>
  </w:p>
  <w:p w14:paraId="245D18A4" w14:textId="77777777" w:rsidR="00053D93" w:rsidRDefault="00260B75">
    <w:pPr>
      <w:tabs>
        <w:tab w:val="center" w:pos="2754"/>
        <w:tab w:val="right" w:pos="1022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28714B6" w14:textId="77777777" w:rsidR="00053D93" w:rsidRDefault="00260B75">
    <w:pPr>
      <w:spacing w:after="0"/>
      <w:ind w:right="86"/>
      <w:jc w:val="right"/>
    </w:pPr>
    <w:r>
      <w:rPr>
        <w:sz w:val="16"/>
      </w:rPr>
      <w:t>Y DEPORTES</w:t>
    </w: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FAF45" w14:textId="77777777" w:rsidR="00053D93" w:rsidRDefault="00260B75">
    <w:pPr>
      <w:spacing w:after="0"/>
      <w:ind w:right="86"/>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13C3B17A" w14:textId="77777777" w:rsidR="00053D93" w:rsidRDefault="00260B75">
    <w:pPr>
      <w:tabs>
        <w:tab w:val="center" w:pos="2761"/>
        <w:tab w:val="center" w:pos="5897"/>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557C4CC4" w14:textId="77777777" w:rsidR="00053D93" w:rsidRDefault="00260B75">
    <w:pPr>
      <w:spacing w:after="0"/>
      <w:ind w:right="94"/>
      <w:jc w:val="right"/>
    </w:pPr>
    <w:r>
      <w:rPr>
        <w:sz w:val="16"/>
      </w:rPr>
      <w:t>Y DEPORTES</w:t>
    </w: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3AC6D" w14:textId="77777777" w:rsidR="00053D93" w:rsidRDefault="00260B75">
    <w:pPr>
      <w:spacing w:after="0"/>
      <w:ind w:left="3636"/>
      <w:jc w:val="center"/>
    </w:pPr>
    <w:r>
      <w:rPr>
        <w:sz w:val="14"/>
      </w:rPr>
      <w:t xml:space="preserve">DIRECCIÓN </w:t>
    </w:r>
    <w:r>
      <w:rPr>
        <w:sz w:val="16"/>
      </w:rPr>
      <w:t xml:space="preserve">DE </w:t>
    </w:r>
    <w:r>
      <w:rPr>
        <w:sz w:val="14"/>
      </w:rPr>
      <w:t xml:space="preserve">AUDITORÍA AL </w:t>
    </w:r>
  </w:p>
  <w:p w14:paraId="53DAC6EF" w14:textId="77777777" w:rsidR="00053D93" w:rsidRDefault="00260B75">
    <w:pPr>
      <w:tabs>
        <w:tab w:val="center" w:pos="2754"/>
        <w:tab w:val="right" w:pos="1022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0B0EA9E6" w14:textId="77777777" w:rsidR="00053D93" w:rsidRDefault="00260B75">
    <w:pPr>
      <w:spacing w:after="0"/>
      <w:ind w:right="86"/>
      <w:jc w:val="right"/>
    </w:pPr>
    <w:r>
      <w:rPr>
        <w:sz w:val="16"/>
      </w:rPr>
      <w:t>Y DEPORTES</w:t>
    </w: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CD65B" w14:textId="77777777" w:rsidR="00053D93" w:rsidRDefault="00260B75">
    <w:pPr>
      <w:spacing w:after="0"/>
      <w:ind w:right="65"/>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B683EDE" w14:textId="77777777" w:rsidR="00053D93" w:rsidRDefault="00260B75">
    <w:pPr>
      <w:tabs>
        <w:tab w:val="center" w:pos="2768"/>
        <w:tab w:val="center" w:pos="590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7940B45E" w14:textId="77777777" w:rsidR="00053D93" w:rsidRDefault="00260B75">
    <w:pPr>
      <w:spacing w:after="0"/>
      <w:ind w:right="72"/>
      <w:jc w:val="right"/>
    </w:pPr>
    <w:r>
      <w:rPr>
        <w:sz w:val="16"/>
      </w:rPr>
      <w:t>Y DEPORTES</w:t>
    </w: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8ACFD" w14:textId="77777777" w:rsidR="00053D93" w:rsidRDefault="00260B75">
    <w:pPr>
      <w:spacing w:after="0"/>
      <w:ind w:right="65"/>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F3144C5" w14:textId="77777777" w:rsidR="00053D93" w:rsidRDefault="00260B75">
    <w:pPr>
      <w:tabs>
        <w:tab w:val="center" w:pos="2768"/>
        <w:tab w:val="center" w:pos="590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002811C3" w14:textId="77777777" w:rsidR="00053D93" w:rsidRDefault="00260B75">
    <w:pPr>
      <w:spacing w:after="0"/>
      <w:ind w:right="72"/>
      <w:jc w:val="right"/>
    </w:pPr>
    <w:r>
      <w:rPr>
        <w:sz w:val="16"/>
      </w:rPr>
      <w:t>Y DEPORTES</w:t>
    </w: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D10F0" w14:textId="77777777" w:rsidR="00053D93" w:rsidRDefault="00260B75">
    <w:pPr>
      <w:spacing w:after="0"/>
      <w:ind w:left="3665"/>
      <w:jc w:val="center"/>
    </w:pPr>
    <w:r>
      <w:rPr>
        <w:sz w:val="14"/>
      </w:rPr>
      <w:t xml:space="preserve">DIRECCIÓN </w:t>
    </w:r>
    <w:r>
      <w:rPr>
        <w:sz w:val="16"/>
      </w:rPr>
      <w:t xml:space="preserve">DE </w:t>
    </w:r>
    <w:r>
      <w:rPr>
        <w:sz w:val="14"/>
      </w:rPr>
      <w:t xml:space="preserve">AUDITORÍA AL </w:t>
    </w:r>
  </w:p>
  <w:p w14:paraId="1C7F877A" w14:textId="77777777" w:rsidR="00053D93" w:rsidRDefault="00260B75">
    <w:pPr>
      <w:tabs>
        <w:tab w:val="center" w:pos="2761"/>
        <w:tab w:val="right" w:pos="10210"/>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637D2750" w14:textId="77777777" w:rsidR="00053D93" w:rsidRDefault="00260B75">
    <w:pPr>
      <w:spacing w:after="0"/>
      <w:ind w:right="65"/>
      <w:jc w:val="right"/>
    </w:pPr>
    <w:r>
      <w:rPr>
        <w:sz w:val="16"/>
      </w:rPr>
      <w:t>Y DEPORTES</w:t>
    </w: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00D64" w14:textId="77777777" w:rsidR="00053D93" w:rsidRDefault="00260B75">
    <w:pPr>
      <w:spacing w:after="0"/>
      <w:ind w:right="94"/>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711E7D42" w14:textId="77777777" w:rsidR="00053D93" w:rsidRDefault="00260B75">
    <w:pPr>
      <w:tabs>
        <w:tab w:val="center" w:pos="2416"/>
        <w:tab w:val="center" w:pos="3618"/>
      </w:tabs>
      <w:spacing w:after="0"/>
    </w:pPr>
    <w:r>
      <w:tab/>
    </w:r>
    <w:r>
      <w:rPr>
        <w:sz w:val="14"/>
      </w:rPr>
      <w:t xml:space="preserve">CONTRALORIA GENERAL </w:t>
    </w:r>
    <w:r>
      <w:rPr>
        <w:sz w:val="14"/>
      </w:rPr>
      <w:tab/>
      <w:t>CUENTAS</w:t>
    </w:r>
  </w:p>
  <w:p w14:paraId="39B83534" w14:textId="77777777" w:rsidR="00053D93" w:rsidRDefault="00260B75">
    <w:pPr>
      <w:spacing w:after="0"/>
      <w:ind w:right="94"/>
      <w:jc w:val="right"/>
    </w:pPr>
    <w:r>
      <w:rPr>
        <w:sz w:val="16"/>
      </w:rPr>
      <w:t>Y DEPORTES</w:t>
    </w: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49ED9" w14:textId="77777777" w:rsidR="00053D93" w:rsidRDefault="00260B75">
    <w:pPr>
      <w:spacing w:after="0"/>
      <w:ind w:right="101"/>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06DED6A8" w14:textId="77777777" w:rsidR="00053D93" w:rsidRDefault="00260B75">
    <w:pPr>
      <w:tabs>
        <w:tab w:val="center" w:pos="2804"/>
        <w:tab w:val="center" w:pos="594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DDDAD1F" w14:textId="77777777" w:rsidR="00053D93" w:rsidRDefault="00260B75">
    <w:pPr>
      <w:spacing w:after="0"/>
      <w:ind w:right="108"/>
      <w:jc w:val="right"/>
    </w:pPr>
    <w:r>
      <w:rPr>
        <w:sz w:val="16"/>
      </w:rPr>
      <w:t>Y DEPORTES</w:t>
    </w: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9810F" w14:textId="77777777" w:rsidR="00053D93" w:rsidRDefault="00260B75">
    <w:pPr>
      <w:spacing w:after="0"/>
      <w:ind w:right="101"/>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0F90413" w14:textId="77777777" w:rsidR="00053D93" w:rsidRDefault="00260B75">
    <w:pPr>
      <w:tabs>
        <w:tab w:val="center" w:pos="2804"/>
        <w:tab w:val="center" w:pos="594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C1E2EC3" w14:textId="77777777" w:rsidR="00053D93" w:rsidRDefault="00260B75">
    <w:pPr>
      <w:spacing w:after="0"/>
      <w:ind w:right="108"/>
      <w:jc w:val="right"/>
    </w:pPr>
    <w:r>
      <w:rPr>
        <w:sz w:val="16"/>
      </w:rPr>
      <w:t>Y DEPORTES</w:t>
    </w: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26660" w14:textId="77777777" w:rsidR="00053D93" w:rsidRDefault="00260B75">
    <w:pPr>
      <w:tabs>
        <w:tab w:val="center" w:pos="6379"/>
        <w:tab w:val="center" w:pos="7582"/>
      </w:tabs>
      <w:spacing w:after="0"/>
    </w:pPr>
    <w:r>
      <w:tab/>
    </w:r>
    <w:r>
      <w:rPr>
        <w:sz w:val="14"/>
      </w:rPr>
      <w:t xml:space="preserve">DIRECCIÓN </w:t>
    </w:r>
    <w:r>
      <w:rPr>
        <w:sz w:val="14"/>
      </w:rPr>
      <w:tab/>
      <w:t xml:space="preserve">AUDITORÍA AL </w:t>
    </w:r>
    <w:r>
      <w:rPr>
        <w:sz w:val="16"/>
      </w:rPr>
      <w:t xml:space="preserve">SECTOR </w:t>
    </w:r>
  </w:p>
  <w:p w14:paraId="2F9E31D7" w14:textId="77777777" w:rsidR="00053D93" w:rsidRDefault="00260B75">
    <w:pPr>
      <w:tabs>
        <w:tab w:val="center" w:pos="2336"/>
        <w:tab w:val="center" w:pos="3535"/>
        <w:tab w:val="center" w:pos="5857"/>
        <w:tab w:val="right" w:pos="10181"/>
      </w:tabs>
      <w:spacing w:after="0"/>
    </w:pPr>
    <w:r>
      <w:tab/>
    </w:r>
    <w:r>
      <w:rPr>
        <w:sz w:val="14"/>
      </w:rPr>
      <w:t xml:space="preserve">CONTRALORIA GENERAL </w:t>
    </w:r>
    <w:r>
      <w:rPr>
        <w:sz w:val="14"/>
      </w:rPr>
      <w:tab/>
      <w:t>CUENTAS</w:t>
    </w:r>
    <w:r>
      <w:rPr>
        <w:sz w:val="14"/>
      </w:rPr>
      <w:tab/>
    </w:r>
    <w:r>
      <w:fldChar w:fldCharType="begin"/>
    </w:r>
    <w:r>
      <w:instrText xml:space="preserve"> PAGE   \* MERGEFORMAT </w:instrText>
    </w:r>
    <w:r>
      <w:fldChar w:fldCharType="separate"/>
    </w:r>
    <w:r>
      <w:rPr>
        <w:sz w:val="12"/>
      </w:rPr>
      <w:t>210</w:t>
    </w:r>
    <w:r>
      <w:rPr>
        <w:sz w:val="12"/>
      </w:rPr>
      <w:fldChar w:fldCharType="end"/>
    </w:r>
    <w:r>
      <w:rPr>
        <w:sz w:val="12"/>
      </w:rPr>
      <w:tab/>
    </w:r>
    <w:r>
      <w:rPr>
        <w:sz w:val="14"/>
      </w:rPr>
      <w:t>EDUCACIÓN. CIENCtA, CULTURA</w:t>
    </w:r>
  </w:p>
  <w:p w14:paraId="62EACB16" w14:textId="77777777" w:rsidR="00053D93" w:rsidRDefault="00260B75">
    <w:pPr>
      <w:spacing w:after="0"/>
      <w:ind w:right="79"/>
      <w:jc w:val="right"/>
    </w:pPr>
    <w:r>
      <w:rPr>
        <w:sz w:val="16"/>
      </w:rPr>
      <w:t>Y DEPORTES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EEF1E" w14:textId="77777777" w:rsidR="00053D93" w:rsidRDefault="00053D93"/>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E0545" w14:textId="77777777" w:rsidR="00053D93" w:rsidRDefault="00260B75">
    <w:pPr>
      <w:spacing w:after="0"/>
      <w:ind w:right="7"/>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68D1623" w14:textId="77777777" w:rsidR="00053D93" w:rsidRDefault="00260B75">
    <w:pPr>
      <w:tabs>
        <w:tab w:val="center" w:pos="2797"/>
        <w:tab w:val="center" w:pos="5933"/>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0D97100A" w14:textId="77777777" w:rsidR="00053D93" w:rsidRDefault="00260B75">
    <w:pPr>
      <w:spacing w:after="0"/>
      <w:ind w:right="14"/>
      <w:jc w:val="right"/>
    </w:pPr>
    <w:r>
      <w:rPr>
        <w:sz w:val="16"/>
      </w:rPr>
      <w:t>Y DEPORTES</w:t>
    </w: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0A5DB" w14:textId="77777777" w:rsidR="00053D93" w:rsidRDefault="00260B75">
    <w:pPr>
      <w:tabs>
        <w:tab w:val="center" w:pos="2743"/>
        <w:tab w:val="center" w:pos="6404"/>
        <w:tab w:val="right" w:pos="10181"/>
      </w:tabs>
      <w:spacing w:after="0"/>
    </w:pPr>
    <w:r>
      <w:tab/>
    </w:r>
    <w:r>
      <w:rPr>
        <w:sz w:val="14"/>
      </w:rPr>
      <w:t xml:space="preserve">CONTRALORIA GENERAL </w:t>
    </w:r>
    <w:r>
      <w:rPr>
        <w:sz w:val="16"/>
      </w:rPr>
      <w:t xml:space="preserve">DE </w:t>
    </w:r>
    <w:r>
      <w:rPr>
        <w:sz w:val="14"/>
      </w:rPr>
      <w:t>CUENTAS</w:t>
    </w:r>
    <w:r>
      <w:rPr>
        <w:sz w:val="14"/>
      </w:rPr>
      <w:tab/>
      <w:t xml:space="preserve">DIRECCEÓN </w:t>
    </w:r>
    <w:r>
      <w:rPr>
        <w:sz w:val="14"/>
      </w:rPr>
      <w:tab/>
      <w:t xml:space="preserve">AUDITORIA AL </w:t>
    </w:r>
    <w:r>
      <w:rPr>
        <w:sz w:val="16"/>
      </w:rPr>
      <w:t xml:space="preserve">SECTOR </w:t>
    </w:r>
    <w:r>
      <w:rPr>
        <w:sz w:val="14"/>
      </w:rPr>
      <w:t>EDUCACIÓN. CIENCIA. CULTURA</w:t>
    </w:r>
  </w:p>
  <w:p w14:paraId="7267A097" w14:textId="77777777" w:rsidR="00053D93" w:rsidRDefault="00260B75">
    <w:pPr>
      <w:spacing w:after="0"/>
      <w:ind w:right="65"/>
      <w:jc w:val="right"/>
    </w:pPr>
    <w:r>
      <w:rPr>
        <w:sz w:val="16"/>
      </w:rPr>
      <w:t>Y DEPORTES</w:t>
    </w: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D993E" w14:textId="77777777" w:rsidR="00053D93" w:rsidRDefault="00260B75">
    <w:pPr>
      <w:spacing w:after="0"/>
      <w:ind w:right="108"/>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FCCDFBA" w14:textId="77777777" w:rsidR="00053D93" w:rsidRDefault="00260B75">
    <w:pPr>
      <w:tabs>
        <w:tab w:val="center" w:pos="2696"/>
        <w:tab w:val="center" w:pos="5832"/>
        <w:tab w:val="right" w:pos="10181"/>
      </w:tabs>
      <w:spacing w:after="0"/>
    </w:pPr>
    <w:r>
      <w:tab/>
    </w:r>
    <w:r>
      <w:rPr>
        <w:sz w:val="14"/>
      </w:rPr>
      <w:t>CONTRALORIA GENERAL 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14</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8"/>
      </w:rPr>
      <w:t xml:space="preserve">Y </w:t>
    </w:r>
    <w:r>
      <w:rPr>
        <w:sz w:val="16"/>
      </w:rPr>
      <w:t>DEPORTES</w:t>
    </w: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ACB8C" w14:textId="77777777" w:rsidR="00053D93" w:rsidRDefault="00260B75">
    <w:pPr>
      <w:spacing w:after="0"/>
      <w:ind w:right="65"/>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CBFAC46" w14:textId="77777777" w:rsidR="00053D93" w:rsidRDefault="00260B75">
    <w:pPr>
      <w:tabs>
        <w:tab w:val="center" w:pos="2740"/>
        <w:tab w:val="center" w:pos="5875"/>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4040E148" w14:textId="77777777" w:rsidR="00053D93" w:rsidRDefault="00260B75">
    <w:pPr>
      <w:spacing w:after="0"/>
      <w:ind w:right="72"/>
      <w:jc w:val="right"/>
    </w:pPr>
    <w:r>
      <w:rPr>
        <w:sz w:val="16"/>
      </w:rPr>
      <w:t>Y DEPORTES</w:t>
    </w: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EB89B" w14:textId="77777777" w:rsidR="00053D93" w:rsidRDefault="00260B75">
    <w:pPr>
      <w:spacing w:after="0"/>
      <w:ind w:left="14"/>
    </w:pPr>
    <w:r>
      <w:rPr>
        <w:noProof/>
      </w:rPr>
      <mc:AlternateContent>
        <mc:Choice Requires="wpg">
          <w:drawing>
            <wp:anchor distT="0" distB="0" distL="114300" distR="114300" simplePos="0" relativeHeight="251707392" behindDoc="0" locked="0" layoutInCell="1" allowOverlap="1" wp14:anchorId="008C5E3E" wp14:editId="24081B89">
              <wp:simplePos x="0" y="0"/>
              <wp:positionH relativeFrom="page">
                <wp:posOffset>233172</wp:posOffset>
              </wp:positionH>
              <wp:positionV relativeFrom="page">
                <wp:posOffset>228600</wp:posOffset>
              </wp:positionV>
              <wp:extent cx="128016" cy="292608"/>
              <wp:effectExtent l="0" t="0" r="0" b="0"/>
              <wp:wrapSquare wrapText="bothSides"/>
              <wp:docPr id="2451065" name="Group 2451065"/>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066" name="Rectangle 2451066"/>
                      <wps:cNvSpPr/>
                      <wps:spPr>
                        <a:xfrm>
                          <a:off x="0" y="0"/>
                          <a:ext cx="170261" cy="389169"/>
                        </a:xfrm>
                        <a:prstGeom prst="rect">
                          <a:avLst/>
                        </a:prstGeom>
                        <a:ln>
                          <a:noFill/>
                        </a:ln>
                      </wps:spPr>
                      <wps:txbx>
                        <w:txbxContent>
                          <w:p w14:paraId="546E39D2"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008C5E3E" id="Group 2451065" o:spid="_x0000_s1987" style="position:absolute;left:0;text-align:left;margin-left:18.35pt;margin-top:18pt;width:10.1pt;height:23.05pt;z-index:251707392;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GSYq0oMAgAA&#10;lwQAAA4AAAAAAAAAAAAAAAAALgIAAGRycy9lMm9Eb2MueG1sUEsBAi0AFAAGAAgAAAAhALPTHHHe&#10;AAAABwEAAA8AAAAAAAAAAAAAAAAAZgQAAGRycy9kb3ducmV2LnhtbFBLBQYAAAAABAAEAPMAAABx&#10;BQAAAAA=&#10;">
              <v:rect id="Rectangle 2451066" o:spid="_x0000_s1988"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" filled="f" stroked="f">
                <v:textbox inset="0,0,0,0">
                  <w:txbxContent>
                    <w:p w14:paraId="546E39D2"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031CD9DF" w14:textId="77777777" w:rsidR="00053D93" w:rsidRDefault="00260B75">
    <w:pPr>
      <w:tabs>
        <w:tab w:val="center" w:pos="5904"/>
        <w:tab w:val="right" w:pos="10181"/>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04DEDF09" w14:textId="77777777" w:rsidR="00053D93" w:rsidRDefault="00260B75">
    <w:pPr>
      <w:spacing w:after="0"/>
      <w:ind w:right="29"/>
      <w:jc w:val="right"/>
    </w:pPr>
    <w:r>
      <w:rPr>
        <w:sz w:val="16"/>
      </w:rPr>
      <w:t>Y DEPORTES</w:t>
    </w: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C52C6" w14:textId="77777777" w:rsidR="00053D93" w:rsidRDefault="00260B75">
    <w:pPr>
      <w:spacing w:after="0"/>
      <w:ind w:right="65"/>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2E04C2C" w14:textId="77777777" w:rsidR="00053D93" w:rsidRDefault="00260B75">
    <w:pPr>
      <w:tabs>
        <w:tab w:val="center" w:pos="2740"/>
        <w:tab w:val="center" w:pos="5875"/>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01D71073" w14:textId="77777777" w:rsidR="00053D93" w:rsidRDefault="00260B75">
    <w:pPr>
      <w:spacing w:after="0"/>
      <w:ind w:right="72"/>
      <w:jc w:val="right"/>
    </w:pPr>
    <w:r>
      <w:rPr>
        <w:sz w:val="16"/>
      </w:rPr>
      <w:t>Y DEPORTES</w:t>
    </w: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6672B" w14:textId="77777777" w:rsidR="00053D93" w:rsidRDefault="00260B75">
    <w:pPr>
      <w:spacing w:after="0"/>
      <w:ind w:left="65"/>
    </w:pPr>
    <w:r>
      <w:rPr>
        <w:noProof/>
      </w:rPr>
      <mc:AlternateContent>
        <mc:Choice Requires="wpg">
          <w:drawing>
            <wp:anchor distT="0" distB="0" distL="114300" distR="114300" simplePos="0" relativeHeight="251708416" behindDoc="0" locked="0" layoutInCell="1" allowOverlap="1" wp14:anchorId="66151449" wp14:editId="51B81EBB">
              <wp:simplePos x="0" y="0"/>
              <wp:positionH relativeFrom="page">
                <wp:posOffset>233172</wp:posOffset>
              </wp:positionH>
              <wp:positionV relativeFrom="page">
                <wp:posOffset>228600</wp:posOffset>
              </wp:positionV>
              <wp:extent cx="128016" cy="292608"/>
              <wp:effectExtent l="0" t="0" r="0" b="0"/>
              <wp:wrapSquare wrapText="bothSides"/>
              <wp:docPr id="2451179" name="Group 2451179"/>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180" name="Rectangle 2451180"/>
                      <wps:cNvSpPr/>
                      <wps:spPr>
                        <a:xfrm>
                          <a:off x="0" y="0"/>
                          <a:ext cx="170261" cy="389169"/>
                        </a:xfrm>
                        <a:prstGeom prst="rect">
                          <a:avLst/>
                        </a:prstGeom>
                        <a:ln>
                          <a:noFill/>
                        </a:ln>
                      </wps:spPr>
                      <wps:txbx>
                        <w:txbxContent>
                          <w:p w14:paraId="434FE81F"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66151449" id="Group 2451179" o:spid="_x0000_s1989" style="position:absolute;left:0;text-align:left;margin-left:18.35pt;margin-top:18pt;width:10.1pt;height:23.05pt;z-index:251708416;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">
              <v:rect id="Rectangle 2451180" o:spid="_x0000_s1990"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" filled="f" stroked="f">
                <v:textbox inset="0,0,0,0">
                  <w:txbxContent>
                    <w:p w14:paraId="434FE81F"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1C70D782" w14:textId="77777777" w:rsidR="00053D93" w:rsidRDefault="00260B75">
    <w:pPr>
      <w:tabs>
        <w:tab w:val="center" w:pos="5954"/>
        <w:tab w:val="right" w:pos="10238"/>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30084582" w14:textId="77777777" w:rsidR="00053D93" w:rsidRDefault="00260B75">
    <w:pPr>
      <w:spacing w:after="0"/>
      <w:ind w:right="36"/>
      <w:jc w:val="right"/>
    </w:pPr>
    <w:r>
      <w:rPr>
        <w:sz w:val="16"/>
      </w:rPr>
      <w:t>Y DEPORTES</w:t>
    </w: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52554" w14:textId="77777777" w:rsidR="00053D93" w:rsidRDefault="00260B75">
    <w:pPr>
      <w:spacing w:after="0"/>
      <w:ind w:left="65"/>
    </w:pPr>
    <w:r>
      <w:rPr>
        <w:noProof/>
      </w:rPr>
      <mc:AlternateContent>
        <mc:Choice Requires="wpg">
          <w:drawing>
            <wp:anchor distT="0" distB="0" distL="114300" distR="114300" simplePos="0" relativeHeight="251709440" behindDoc="0" locked="0" layoutInCell="1" allowOverlap="1" wp14:anchorId="1F7FC4CD" wp14:editId="03ADB049">
              <wp:simplePos x="0" y="0"/>
              <wp:positionH relativeFrom="page">
                <wp:posOffset>233172</wp:posOffset>
              </wp:positionH>
              <wp:positionV relativeFrom="page">
                <wp:posOffset>228600</wp:posOffset>
              </wp:positionV>
              <wp:extent cx="128016" cy="292608"/>
              <wp:effectExtent l="0" t="0" r="0" b="0"/>
              <wp:wrapSquare wrapText="bothSides"/>
              <wp:docPr id="2451150" name="Group 2451150"/>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151" name="Rectangle 2451151"/>
                      <wps:cNvSpPr/>
                      <wps:spPr>
                        <a:xfrm>
                          <a:off x="0" y="0"/>
                          <a:ext cx="170261" cy="389169"/>
                        </a:xfrm>
                        <a:prstGeom prst="rect">
                          <a:avLst/>
                        </a:prstGeom>
                        <a:ln>
                          <a:noFill/>
                        </a:ln>
                      </wps:spPr>
                      <wps:txbx>
                        <w:txbxContent>
                          <w:p w14:paraId="792883AA"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1F7FC4CD" id="Group 2451150" o:spid="_x0000_s1991" style="position:absolute;left:0;text-align:left;margin-left:18.35pt;margin-top:18pt;width:10.1pt;height:23.05pt;z-index:251709440;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Pgge0YMAgAA&#10;lwQAAA4AAAAAAAAAAAAAAAAALgIAAGRycy9lMm9Eb2MueG1sUEsBAi0AFAAGAAgAAAAhALPTHHHe&#10;AAAABwEAAA8AAAAAAAAAAAAAAAAAZgQAAGRycy9kb3ducmV2LnhtbFBLBQYAAAAABAAEAPMAAABx&#10;BQAAAAA=&#10;">
              <v:rect id="Rectangle 2451151" o:spid="_x0000_s1992"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" filled="f" stroked="f">
                <v:textbox inset="0,0,0,0">
                  <w:txbxContent>
                    <w:p w14:paraId="792883AA"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3695C0C3" w14:textId="77777777" w:rsidR="00053D93" w:rsidRDefault="00260B75">
    <w:pPr>
      <w:tabs>
        <w:tab w:val="center" w:pos="5954"/>
        <w:tab w:val="right" w:pos="10238"/>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2A10C9FD" w14:textId="77777777" w:rsidR="00053D93" w:rsidRDefault="00260B75">
    <w:pPr>
      <w:spacing w:after="0"/>
      <w:ind w:right="36"/>
      <w:jc w:val="right"/>
    </w:pPr>
    <w:r>
      <w:rPr>
        <w:sz w:val="16"/>
      </w:rPr>
      <w:t>Y DEPORTES</w:t>
    </w: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3E952" w14:textId="77777777" w:rsidR="00053D93" w:rsidRDefault="00260B75">
    <w:pPr>
      <w:spacing w:after="0"/>
      <w:ind w:left="65"/>
    </w:pPr>
    <w:r>
      <w:rPr>
        <w:noProof/>
      </w:rPr>
      <mc:AlternateContent>
        <mc:Choice Requires="wpg">
          <w:drawing>
            <wp:anchor distT="0" distB="0" distL="114300" distR="114300" simplePos="0" relativeHeight="251710464" behindDoc="0" locked="0" layoutInCell="1" allowOverlap="1" wp14:anchorId="3950A2C2" wp14:editId="6580B5D4">
              <wp:simplePos x="0" y="0"/>
              <wp:positionH relativeFrom="page">
                <wp:posOffset>233172</wp:posOffset>
              </wp:positionH>
              <wp:positionV relativeFrom="page">
                <wp:posOffset>228600</wp:posOffset>
              </wp:positionV>
              <wp:extent cx="128016" cy="292608"/>
              <wp:effectExtent l="0" t="0" r="0" b="0"/>
              <wp:wrapSquare wrapText="bothSides"/>
              <wp:docPr id="2451121" name="Group 2451121"/>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122" name="Rectangle 2451122"/>
                      <wps:cNvSpPr/>
                      <wps:spPr>
                        <a:xfrm>
                          <a:off x="0" y="0"/>
                          <a:ext cx="170261" cy="389169"/>
                        </a:xfrm>
                        <a:prstGeom prst="rect">
                          <a:avLst/>
                        </a:prstGeom>
                        <a:ln>
                          <a:noFill/>
                        </a:ln>
                      </wps:spPr>
                      <wps:txbx>
                        <w:txbxContent>
                          <w:p w14:paraId="76456C7D"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3950A2C2" id="Group 2451121" o:spid="_x0000_s1993" style="position:absolute;left:0;text-align:left;margin-left:18.35pt;margin-top:18pt;width:10.1pt;height:23.05pt;z-index:251710464;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I8EjB0MAgAA&#10;lwQAAA4AAAAAAAAAAAAAAAAALgIAAGRycy9lMm9Eb2MueG1sUEsBAi0AFAAGAAgAAAAhALPTHHHe&#10;AAAABwEAAA8AAAAAAAAAAAAAAAAAZgQAAGRycy9kb3ducmV2LnhtbFBLBQYAAAAABAAEAPMAAABx&#10;BQAAAAA=&#10;">
              <v:rect id="Rectangle 2451122" o:spid="_x0000_s1994"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" filled="f" stroked="f">
                <v:textbox inset="0,0,0,0">
                  <w:txbxContent>
                    <w:p w14:paraId="76456C7D"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303ACC9A" w14:textId="77777777" w:rsidR="00053D93" w:rsidRDefault="00260B75">
    <w:pPr>
      <w:tabs>
        <w:tab w:val="center" w:pos="5954"/>
        <w:tab w:val="right" w:pos="10238"/>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5AC7F34E" w14:textId="77777777" w:rsidR="00053D93" w:rsidRDefault="00260B75">
    <w:pPr>
      <w:spacing w:after="0"/>
      <w:ind w:right="36"/>
      <w:jc w:val="right"/>
    </w:pPr>
    <w:r>
      <w:rPr>
        <w:sz w:val="16"/>
      </w:rPr>
      <w:t>Y DEPORTES</w:t>
    </w: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7C818" w14:textId="77777777" w:rsidR="00053D93" w:rsidRDefault="00260B75">
    <w:pPr>
      <w:spacing w:after="0" w:line="216" w:lineRule="auto"/>
      <w:ind w:left="-7" w:right="50"/>
      <w:jc w:val="right"/>
    </w:pPr>
    <w:r>
      <w:rPr>
        <w:noProof/>
      </w:rPr>
      <mc:AlternateContent>
        <mc:Choice Requires="wpg">
          <w:drawing>
            <wp:anchor distT="0" distB="0" distL="114300" distR="114300" simplePos="0" relativeHeight="251711488" behindDoc="0" locked="0" layoutInCell="1" allowOverlap="1" wp14:anchorId="15CC7F8D" wp14:editId="61460F86">
              <wp:simplePos x="0" y="0"/>
              <wp:positionH relativeFrom="page">
                <wp:posOffset>182880</wp:posOffset>
              </wp:positionH>
              <wp:positionV relativeFrom="page">
                <wp:posOffset>269748</wp:posOffset>
              </wp:positionV>
              <wp:extent cx="118872" cy="297180"/>
              <wp:effectExtent l="0" t="0" r="0" b="0"/>
              <wp:wrapSquare wrapText="bothSides"/>
              <wp:docPr id="2451280" name="Group 2451280"/>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2451281" name="Rectangle 2451281"/>
                      <wps:cNvSpPr/>
                      <wps:spPr>
                        <a:xfrm>
                          <a:off x="0" y="0"/>
                          <a:ext cx="158100" cy="395250"/>
                        </a:xfrm>
                        <a:prstGeom prst="rect">
                          <a:avLst/>
                        </a:prstGeom>
                        <a:ln>
                          <a:noFill/>
                        </a:ln>
                      </wps:spPr>
                      <wps:txbx>
                        <w:txbxContent>
                          <w:p w14:paraId="5AF347A4"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15CC7F8D" id="Group 2451280" o:spid="_x0000_s1995" style="position:absolute;left:0;text-align:left;margin-left:14.4pt;margin-top:21.25pt;width:9.35pt;height:23.4pt;z-index:251711488;mso-position-horizontal-relative:page;mso-position-vertical-relative:pag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">
              <v:rect id="Rectangle 2451281" o:spid="_x0000_s1996"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" filled="f" stroked="f">
                <v:textbox inset="0,0,0,0">
                  <w:txbxContent>
                    <w:p w14:paraId="5AF347A4" w14:textId="77777777" w:rsidR="00053D93" w:rsidRDefault="00260B75">
                      <w:r>
                        <w:rPr>
                          <w:sz w:val="70"/>
                        </w:rPr>
                        <w:t>1</w:t>
                      </w:r>
                    </w:p>
                  </w:txbxContent>
                </v:textbox>
              </v:rect>
              <w10:wrap type="square" anchorx="page" anchory="page"/>
            </v:group>
          </w:pict>
        </mc:Fallback>
      </mc:AlternateContent>
    </w:r>
    <w:r>
      <w:rPr>
        <w:sz w:val="14"/>
      </w:rPr>
      <w:tab/>
      <w:t xml:space="preserve">DIRECCIÓN </w:t>
    </w:r>
    <w:r>
      <w:rPr>
        <w:sz w:val="14"/>
      </w:rPr>
      <w:tab/>
      <w:t xml:space="preserve">AUDITORIA </w:t>
    </w:r>
    <w:r>
      <w:rPr>
        <w:sz w:val="16"/>
      </w:rPr>
      <w:t xml:space="preserve">SECTOR </w:t>
    </w:r>
    <w:r>
      <w:rPr>
        <w:sz w:val="14"/>
      </w:rPr>
      <w:t xml:space="preserve">EDUCACIÓN. CIENCIA. CULTURA 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2"/>
      </w:rPr>
      <w:t>220</w:t>
    </w:r>
    <w:r>
      <w:rPr>
        <w:sz w:val="12"/>
      </w:rPr>
      <w:fldChar w:fldCharType="end"/>
    </w:r>
    <w:r>
      <w:rPr>
        <w:sz w:val="12"/>
      </w:rPr>
      <w:tab/>
    </w:r>
    <w:r>
      <w:rPr>
        <w:sz w:val="16"/>
      </w:rPr>
      <w:t xml:space="preserve">Y </w:t>
    </w:r>
    <w:r>
      <w:rPr>
        <w:sz w:val="14"/>
      </w:rPr>
      <w:t>DEPORTES</w:t>
    </w: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B358B" w14:textId="77777777" w:rsidR="00053D93" w:rsidRDefault="00260B75">
    <w:pPr>
      <w:tabs>
        <w:tab w:val="right" w:pos="10224"/>
      </w:tabs>
      <w:spacing w:after="0"/>
    </w:pPr>
    <w:r>
      <w:rPr>
        <w:noProof/>
      </w:rPr>
      <mc:AlternateContent>
        <mc:Choice Requires="wpg">
          <w:drawing>
            <wp:anchor distT="0" distB="0" distL="114300" distR="114300" simplePos="0" relativeHeight="251712512" behindDoc="0" locked="0" layoutInCell="1" allowOverlap="1" wp14:anchorId="57CE7693" wp14:editId="26A7B8A6">
              <wp:simplePos x="0" y="0"/>
              <wp:positionH relativeFrom="page">
                <wp:posOffset>224028</wp:posOffset>
              </wp:positionH>
              <wp:positionV relativeFrom="page">
                <wp:posOffset>283464</wp:posOffset>
              </wp:positionV>
              <wp:extent cx="118872" cy="297180"/>
              <wp:effectExtent l="0" t="0" r="0" b="0"/>
              <wp:wrapSquare wrapText="bothSides"/>
              <wp:docPr id="2451244" name="Group 2451244"/>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2451245" name="Rectangle 2451245"/>
                      <wps:cNvSpPr/>
                      <wps:spPr>
                        <a:xfrm>
                          <a:off x="0" y="0"/>
                          <a:ext cx="158100" cy="395250"/>
                        </a:xfrm>
                        <a:prstGeom prst="rect">
                          <a:avLst/>
                        </a:prstGeom>
                        <a:ln>
                          <a:noFill/>
                        </a:ln>
                      </wps:spPr>
                      <wps:txbx>
                        <w:txbxContent>
                          <w:p w14:paraId="07D79E6E"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57CE7693" id="Group 2451244" o:spid="_x0000_s1997" style="position:absolute;margin-left:17.65pt;margin-top:22.3pt;width:9.35pt;height:23.4pt;z-index:251712512;mso-position-horizontal-relative:page;mso-position-vertical-relative:pag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">
              <v:rect id="Rectangle 2451245" o:spid="_x0000_s1998"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" filled="f" stroked="f">
                <v:textbox inset="0,0,0,0">
                  <w:txbxContent>
                    <w:p w14:paraId="07D79E6E" w14:textId="77777777" w:rsidR="00053D93" w:rsidRDefault="00260B75">
                      <w:r>
                        <w:rPr>
                          <w:rFonts w:ascii="Times New Roman" w:eastAsia="Times New Roman" w:hAnsi="Times New Roman" w:cs="Times New Roman"/>
                          <w:sz w:val="72"/>
                        </w:rPr>
                        <w:t>1</w:t>
                      </w:r>
                    </w:p>
                  </w:txbxContent>
                </v:textbox>
              </v:rect>
              <w10:wrap type="square" anchorx="page" anchory="page"/>
            </v:group>
          </w:pict>
        </mc:Fallback>
      </mc:AlternateContent>
    </w:r>
    <w:r>
      <w:rPr>
        <w:sz w:val="14"/>
      </w:rPr>
      <w:t xml:space="preserve">DIRECCIÓN </w:t>
    </w:r>
    <w:r>
      <w:rPr>
        <w:sz w:val="14"/>
      </w:rPr>
      <w:tab/>
      <w:t xml:space="preserve">AUDITORIA AL </w:t>
    </w:r>
    <w:r>
      <w:rPr>
        <w:sz w:val="16"/>
      </w:rPr>
      <w:t xml:space="preserve">SECTOR </w:t>
    </w:r>
    <w:r>
      <w:rPr>
        <w:sz w:val="14"/>
      </w:rPr>
      <w:t>EDUCACIÓN. CIENCIA. CULTURA</w:t>
    </w:r>
  </w:p>
  <w:p w14:paraId="29F1D543" w14:textId="77777777" w:rsidR="00053D93" w:rsidRDefault="00260B75">
    <w:pPr>
      <w:spacing w:after="0"/>
      <w:ind w:left="58"/>
    </w:pPr>
    <w:r>
      <w:rPr>
        <w:sz w:val="14"/>
      </w:rPr>
      <w:t xml:space="preserve">CONTRALORÍA GENERAL </w:t>
    </w:r>
    <w:r>
      <w:rPr>
        <w:sz w:val="16"/>
      </w:rPr>
      <w:t xml:space="preserve">DE </w:t>
    </w:r>
    <w:r>
      <w:rPr>
        <w:sz w:val="14"/>
      </w:rPr>
      <w:t>CUENTAS</w:t>
    </w:r>
  </w:p>
  <w:p w14:paraId="3D8F34EB" w14:textId="77777777" w:rsidR="00053D93" w:rsidRDefault="00260B75">
    <w:pPr>
      <w:spacing w:after="0"/>
      <w:ind w:right="29"/>
      <w:jc w:val="right"/>
    </w:pPr>
    <w:r>
      <w:rPr>
        <w:sz w:val="16"/>
      </w:rPr>
      <w:t>Y DEPORTES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8EF14" w14:textId="77777777" w:rsidR="00053D93" w:rsidRDefault="00260B75">
    <w:pPr>
      <w:spacing w:after="0"/>
      <w:ind w:left="3751"/>
      <w:jc w:val="center"/>
    </w:pPr>
    <w:r>
      <w:rPr>
        <w:sz w:val="14"/>
      </w:rPr>
      <w:t xml:space="preserve">DIRECCIÓN </w:t>
    </w:r>
    <w:r>
      <w:rPr>
        <w:sz w:val="16"/>
      </w:rPr>
      <w:t xml:space="preserve">DE </w:t>
    </w:r>
    <w:r>
      <w:rPr>
        <w:sz w:val="14"/>
      </w:rPr>
      <w:t xml:space="preserve">AUDITORÍA AL </w:t>
    </w:r>
  </w:p>
  <w:p w14:paraId="2738C37C" w14:textId="77777777" w:rsidR="00053D93" w:rsidRDefault="00260B75">
    <w:pPr>
      <w:tabs>
        <w:tab w:val="center" w:pos="2790"/>
        <w:tab w:val="right" w:pos="10181"/>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47B03121" w14:textId="77777777" w:rsidR="00053D93" w:rsidRDefault="00260B75">
    <w:pPr>
      <w:spacing w:after="0"/>
      <w:ind w:right="7"/>
      <w:jc w:val="right"/>
    </w:pPr>
    <w:r>
      <w:rPr>
        <w:sz w:val="16"/>
      </w:rPr>
      <w:t>Y DEPORTES</w:t>
    </w: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BB243" w14:textId="77777777" w:rsidR="00053D93" w:rsidRDefault="00260B75">
    <w:pPr>
      <w:spacing w:after="0"/>
      <w:ind w:left="58"/>
    </w:pPr>
    <w:r>
      <w:rPr>
        <w:sz w:val="74"/>
      </w:rPr>
      <w:t>1</w:t>
    </w:r>
  </w:p>
  <w:p w14:paraId="751287CF" w14:textId="77777777" w:rsidR="00053D93" w:rsidRDefault="00260B75">
    <w:pPr>
      <w:tabs>
        <w:tab w:val="center" w:pos="2437"/>
        <w:tab w:val="center" w:pos="3636"/>
        <w:tab w:val="right" w:pos="10224"/>
      </w:tabs>
      <w:spacing w:after="0"/>
    </w:pPr>
    <w:r>
      <w:tab/>
    </w:r>
    <w:r>
      <w:rPr>
        <w:sz w:val="14"/>
      </w:rPr>
      <w:t xml:space="preserve">CONTRALORíA GENERAL </w:t>
    </w:r>
    <w:r>
      <w:rPr>
        <w:sz w:val="14"/>
      </w:rPr>
      <w:tab/>
      <w:t>CUENTAS</w:t>
    </w:r>
    <w:r>
      <w:rPr>
        <w:sz w:val="14"/>
      </w:rPr>
      <w:tab/>
    </w:r>
    <w:r>
      <w:fldChar w:fldCharType="begin"/>
    </w:r>
    <w:r>
      <w:instrText xml:space="preserve"> PAGE   \* MERGEFORMAT </w:instrText>
    </w:r>
    <w:r>
      <w:fldChar w:fldCharType="separate"/>
    </w:r>
    <w:r>
      <w:rPr>
        <w:sz w:val="12"/>
      </w:rPr>
      <w:t>218</w:t>
    </w:r>
    <w:r>
      <w:rPr>
        <w:sz w:val="12"/>
      </w:rPr>
      <w:fldChar w:fldCharType="end"/>
    </w:r>
    <w:r>
      <w:rPr>
        <w:sz w:val="12"/>
      </w:rPr>
      <w:t xml:space="preserve"> </w:t>
    </w:r>
    <w:r>
      <w:rPr>
        <w:sz w:val="14"/>
      </w:rPr>
      <w:t xml:space="preserve">DIRECCIÓN </w:t>
    </w:r>
    <w:r>
      <w:rPr>
        <w:sz w:val="16"/>
      </w:rPr>
      <w:t xml:space="preserve">DE </w:t>
    </w:r>
    <w:r>
      <w:rPr>
        <w:sz w:val="14"/>
      </w:rPr>
      <w:t xml:space="preserve">AUDITORÍA </w:t>
    </w:r>
    <w:r>
      <w:rPr>
        <w:sz w:val="16"/>
      </w:rPr>
      <w:t xml:space="preserve">AL SECTOR </w:t>
    </w:r>
    <w:r>
      <w:rPr>
        <w:sz w:val="14"/>
      </w:rPr>
      <w:t>EDUCACIÓN. CIENCIA. CULTURA</w:t>
    </w:r>
  </w:p>
  <w:p w14:paraId="62F0F760" w14:textId="77777777" w:rsidR="00053D93" w:rsidRDefault="00260B75">
    <w:pPr>
      <w:spacing w:after="0"/>
      <w:ind w:right="22"/>
      <w:jc w:val="right"/>
    </w:pPr>
    <w:r>
      <w:rPr>
        <w:sz w:val="16"/>
      </w:rPr>
      <w:t>Y DEPORTES</w:t>
    </w: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F76BF" w14:textId="77777777" w:rsidR="00053D93" w:rsidRDefault="00260B75">
    <w:pPr>
      <w:spacing w:after="0"/>
      <w:ind w:left="58"/>
    </w:pPr>
    <w:r>
      <w:rPr>
        <w:sz w:val="70"/>
      </w:rPr>
      <w:t>1</w:t>
    </w:r>
  </w:p>
  <w:p w14:paraId="5CCB54FA" w14:textId="77777777" w:rsidR="00053D93" w:rsidRDefault="00260B75">
    <w:pPr>
      <w:tabs>
        <w:tab w:val="center" w:pos="2844"/>
        <w:tab w:val="center" w:pos="6354"/>
        <w:tab w:val="right" w:pos="10238"/>
      </w:tabs>
      <w:spacing w:after="0"/>
    </w:pPr>
    <w:r>
      <w:tab/>
    </w: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2"/>
      </w:rPr>
      <w:t>221</w:t>
    </w:r>
    <w:r>
      <w:rPr>
        <w:sz w:val="12"/>
      </w:rPr>
      <w:fldChar w:fldCharType="end"/>
    </w:r>
    <w:r>
      <w:rPr>
        <w:sz w:val="12"/>
      </w:rPr>
      <w:t xml:space="preserve"> </w:t>
    </w:r>
    <w:r>
      <w:rPr>
        <w:sz w:val="14"/>
      </w:rPr>
      <w:t xml:space="preserve">DIRECCIÓN </w:t>
    </w:r>
    <w:r>
      <w:rPr>
        <w:sz w:val="14"/>
      </w:rPr>
      <w:tab/>
      <w:t xml:space="preserve">AUDITORIA AL </w:t>
    </w:r>
    <w:r>
      <w:rPr>
        <w:sz w:val="16"/>
      </w:rPr>
      <w:t xml:space="preserve">SECTOR </w:t>
    </w:r>
    <w:r>
      <w:rPr>
        <w:sz w:val="14"/>
      </w:rPr>
      <w:t>EDUCACIÓN. CIENCIA. CULTURA</w:t>
    </w:r>
  </w:p>
  <w:p w14:paraId="7F87E19E" w14:textId="77777777" w:rsidR="00053D93" w:rsidRDefault="00260B75">
    <w:pPr>
      <w:spacing w:after="0"/>
      <w:ind w:right="14"/>
      <w:jc w:val="right"/>
    </w:pPr>
    <w:r>
      <w:rPr>
        <w:sz w:val="16"/>
      </w:rPr>
      <w:t>Y DEPORTES</w:t>
    </w: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7D9BA" w14:textId="77777777" w:rsidR="00053D93" w:rsidRDefault="00260B75">
    <w:pPr>
      <w:spacing w:after="0"/>
      <w:ind w:right="7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FD87DD9" w14:textId="77777777" w:rsidR="00053D93" w:rsidRDefault="00260B75">
    <w:pPr>
      <w:tabs>
        <w:tab w:val="center" w:pos="2790"/>
        <w:tab w:val="center" w:pos="5926"/>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0F60E067" w14:textId="77777777" w:rsidR="00053D93" w:rsidRDefault="00260B75">
    <w:pPr>
      <w:spacing w:after="0"/>
      <w:ind w:right="79"/>
      <w:jc w:val="right"/>
    </w:pPr>
    <w:r>
      <w:rPr>
        <w:sz w:val="16"/>
      </w:rPr>
      <w:t>Y DEPORTES</w:t>
    </w: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DFB03" w14:textId="77777777" w:rsidR="00053D93" w:rsidRDefault="00260B75">
    <w:pPr>
      <w:spacing w:after="0"/>
      <w:ind w:left="58"/>
    </w:pPr>
    <w:r>
      <w:rPr>
        <w:sz w:val="70"/>
      </w:rPr>
      <w:t>1</w:t>
    </w:r>
  </w:p>
  <w:p w14:paraId="1EB38B24" w14:textId="77777777" w:rsidR="00053D93" w:rsidRDefault="00260B75">
    <w:pPr>
      <w:tabs>
        <w:tab w:val="center" w:pos="2844"/>
        <w:tab w:val="center" w:pos="6354"/>
        <w:tab w:val="right" w:pos="10238"/>
      </w:tabs>
      <w:spacing w:after="0"/>
    </w:pPr>
    <w:r>
      <w:tab/>
    </w: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2"/>
      </w:rPr>
      <w:t>221</w:t>
    </w:r>
    <w:r>
      <w:rPr>
        <w:sz w:val="12"/>
      </w:rPr>
      <w:fldChar w:fldCharType="end"/>
    </w:r>
    <w:r>
      <w:rPr>
        <w:sz w:val="12"/>
      </w:rPr>
      <w:t xml:space="preserve"> </w:t>
    </w:r>
    <w:r>
      <w:rPr>
        <w:sz w:val="14"/>
      </w:rPr>
      <w:t xml:space="preserve">DIRECCIÓN </w:t>
    </w:r>
    <w:r>
      <w:rPr>
        <w:sz w:val="14"/>
      </w:rPr>
      <w:tab/>
      <w:t xml:space="preserve">AUDITORIA AL </w:t>
    </w:r>
    <w:r>
      <w:rPr>
        <w:sz w:val="16"/>
      </w:rPr>
      <w:t xml:space="preserve">SECTOR </w:t>
    </w:r>
    <w:r>
      <w:rPr>
        <w:sz w:val="14"/>
      </w:rPr>
      <w:t>EDUCACIÓN. CIENCIA. CULTURA</w:t>
    </w:r>
  </w:p>
  <w:p w14:paraId="68EDB0E1" w14:textId="77777777" w:rsidR="00053D93" w:rsidRDefault="00260B75">
    <w:pPr>
      <w:spacing w:after="0"/>
      <w:ind w:right="14"/>
      <w:jc w:val="right"/>
    </w:pPr>
    <w:r>
      <w:rPr>
        <w:sz w:val="16"/>
      </w:rPr>
      <w:t>Y DEPORTES</w:t>
    </w: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391DA" w14:textId="77777777" w:rsidR="00053D93" w:rsidRDefault="00260B75">
    <w:pPr>
      <w:spacing w:after="0"/>
      <w:ind w:left="101"/>
    </w:pPr>
    <w:r>
      <w:rPr>
        <w:noProof/>
      </w:rPr>
      <mc:AlternateContent>
        <mc:Choice Requires="wpg">
          <w:drawing>
            <wp:anchor distT="0" distB="0" distL="114300" distR="114300" simplePos="0" relativeHeight="251713536" behindDoc="0" locked="0" layoutInCell="1" allowOverlap="1" wp14:anchorId="0B638A94" wp14:editId="04C8142E">
              <wp:simplePos x="0" y="0"/>
              <wp:positionH relativeFrom="page">
                <wp:posOffset>233172</wp:posOffset>
              </wp:positionH>
              <wp:positionV relativeFrom="page">
                <wp:posOffset>228600</wp:posOffset>
              </wp:positionV>
              <wp:extent cx="128016" cy="292608"/>
              <wp:effectExtent l="0" t="0" r="0" b="0"/>
              <wp:wrapSquare wrapText="bothSides"/>
              <wp:docPr id="2451431" name="Group 2451431"/>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432" name="Rectangle 2451432"/>
                      <wps:cNvSpPr/>
                      <wps:spPr>
                        <a:xfrm>
                          <a:off x="0" y="0"/>
                          <a:ext cx="170261" cy="389169"/>
                        </a:xfrm>
                        <a:prstGeom prst="rect">
                          <a:avLst/>
                        </a:prstGeom>
                        <a:ln>
                          <a:noFill/>
                        </a:ln>
                      </wps:spPr>
                      <wps:txbx>
                        <w:txbxContent>
                          <w:p w14:paraId="01E52F69"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0B638A94" id="Group 2451431" o:spid="_x0000_s1999" style="position:absolute;left:0;text-align:left;margin-left:18.35pt;margin-top:18pt;width:10.1pt;height:23.05pt;z-index:251713536;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">
              <v:rect id="Rectangle 2451432" o:spid="_x0000_s2000"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" filled="f" stroked="f">
                <v:textbox inset="0,0,0,0">
                  <w:txbxContent>
                    <w:p w14:paraId="01E52F69"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25DF1E1B" w14:textId="77777777" w:rsidR="00053D93" w:rsidRDefault="00260B75">
    <w:pPr>
      <w:tabs>
        <w:tab w:val="center" w:pos="5990"/>
        <w:tab w:val="right" w:pos="10296"/>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7B92B757" w14:textId="77777777" w:rsidR="00053D93" w:rsidRDefault="00260B75">
    <w:pPr>
      <w:spacing w:after="0"/>
      <w:ind w:right="58"/>
      <w:jc w:val="right"/>
    </w:pPr>
    <w:r>
      <w:rPr>
        <w:sz w:val="16"/>
      </w:rPr>
      <w:t>Y DEPORTES</w:t>
    </w: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FE7EB" w14:textId="77777777" w:rsidR="00053D93" w:rsidRDefault="00260B75">
    <w:pPr>
      <w:spacing w:after="0"/>
      <w:ind w:left="101"/>
    </w:pPr>
    <w:r>
      <w:rPr>
        <w:noProof/>
      </w:rPr>
      <mc:AlternateContent>
        <mc:Choice Requires="wpg">
          <w:drawing>
            <wp:anchor distT="0" distB="0" distL="114300" distR="114300" simplePos="0" relativeHeight="251714560" behindDoc="0" locked="0" layoutInCell="1" allowOverlap="1" wp14:anchorId="0ABAD5F9" wp14:editId="3CAF59D8">
              <wp:simplePos x="0" y="0"/>
              <wp:positionH relativeFrom="page">
                <wp:posOffset>233172</wp:posOffset>
              </wp:positionH>
              <wp:positionV relativeFrom="page">
                <wp:posOffset>228600</wp:posOffset>
              </wp:positionV>
              <wp:extent cx="128016" cy="292608"/>
              <wp:effectExtent l="0" t="0" r="0" b="0"/>
              <wp:wrapSquare wrapText="bothSides"/>
              <wp:docPr id="2451402" name="Group 2451402"/>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403" name="Rectangle 2451403"/>
                      <wps:cNvSpPr/>
                      <wps:spPr>
                        <a:xfrm>
                          <a:off x="0" y="0"/>
                          <a:ext cx="170261" cy="389169"/>
                        </a:xfrm>
                        <a:prstGeom prst="rect">
                          <a:avLst/>
                        </a:prstGeom>
                        <a:ln>
                          <a:noFill/>
                        </a:ln>
                      </wps:spPr>
                      <wps:txbx>
                        <w:txbxContent>
                          <w:p w14:paraId="6C86F73B"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0ABAD5F9" id="Group 2451402" o:spid="_x0000_s2001" style="position:absolute;left:0;text-align:left;margin-left:18.35pt;margin-top:18pt;width:10.1pt;height:23.05pt;z-index:251714560;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M4uvvkMAgAA&#10;lwQAAA4AAAAAAAAAAAAAAAAALgIAAGRycy9lMm9Eb2MueG1sUEsBAi0AFAAGAAgAAAAhALPTHHHe&#10;AAAABwEAAA8AAAAAAAAAAAAAAAAAZgQAAGRycy9kb3ducmV2LnhtbFBLBQYAAAAABAAEAPMAAABx&#10;BQAAAAA=&#10;">
              <v:rect id="Rectangle 2451403" o:spid="_x0000_s2002"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" filled="f" stroked="f">
                <v:textbox inset="0,0,0,0">
                  <w:txbxContent>
                    <w:p w14:paraId="6C86F73B"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1330DEC4" w14:textId="77777777" w:rsidR="00053D93" w:rsidRDefault="00260B75">
    <w:pPr>
      <w:tabs>
        <w:tab w:val="center" w:pos="5990"/>
        <w:tab w:val="right" w:pos="10296"/>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54DEC81D" w14:textId="77777777" w:rsidR="00053D93" w:rsidRDefault="00260B75">
    <w:pPr>
      <w:spacing w:after="0"/>
      <w:ind w:right="58"/>
      <w:jc w:val="right"/>
    </w:pPr>
    <w:r>
      <w:rPr>
        <w:sz w:val="16"/>
      </w:rPr>
      <w:t>Y DEPORTES</w:t>
    </w: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A0D7D" w14:textId="77777777" w:rsidR="00053D93" w:rsidRDefault="00260B75">
    <w:pPr>
      <w:spacing w:after="0"/>
      <w:ind w:left="101"/>
    </w:pPr>
    <w:r>
      <w:rPr>
        <w:noProof/>
      </w:rPr>
      <mc:AlternateContent>
        <mc:Choice Requires="wpg">
          <w:drawing>
            <wp:anchor distT="0" distB="0" distL="114300" distR="114300" simplePos="0" relativeHeight="251715584" behindDoc="0" locked="0" layoutInCell="1" allowOverlap="1" wp14:anchorId="2E1689A3" wp14:editId="31AB07B6">
              <wp:simplePos x="0" y="0"/>
              <wp:positionH relativeFrom="page">
                <wp:posOffset>233172</wp:posOffset>
              </wp:positionH>
              <wp:positionV relativeFrom="page">
                <wp:posOffset>228600</wp:posOffset>
              </wp:positionV>
              <wp:extent cx="128016" cy="292608"/>
              <wp:effectExtent l="0" t="0" r="0" b="0"/>
              <wp:wrapSquare wrapText="bothSides"/>
              <wp:docPr id="2451373" name="Group 2451373"/>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374" name="Rectangle 2451374"/>
                      <wps:cNvSpPr/>
                      <wps:spPr>
                        <a:xfrm>
                          <a:off x="0" y="0"/>
                          <a:ext cx="170261" cy="389169"/>
                        </a:xfrm>
                        <a:prstGeom prst="rect">
                          <a:avLst/>
                        </a:prstGeom>
                        <a:ln>
                          <a:noFill/>
                        </a:ln>
                      </wps:spPr>
                      <wps:txbx>
                        <w:txbxContent>
                          <w:p w14:paraId="4F99D3B1"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2E1689A3" id="Group 2451373" o:spid="_x0000_s2003" style="position:absolute;left:0;text-align:left;margin-left:18.35pt;margin-top:18pt;width:10.1pt;height:23.05pt;z-index:251715584;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G+wgXQMAgAA&#10;lwQAAA4AAAAAAAAAAAAAAAAALgIAAGRycy9lMm9Eb2MueG1sUEsBAi0AFAAGAAgAAAAhALPTHHHe&#10;AAAABwEAAA8AAAAAAAAAAAAAAAAAZgQAAGRycy9kb3ducmV2LnhtbFBLBQYAAAAABAAEAPMAAABx&#10;BQAAAAA=&#10;">
              <v:rect id="Rectangle 2451374" o:spid="_x0000_s2004"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" filled="f" stroked="f">
                <v:textbox inset="0,0,0,0">
                  <w:txbxContent>
                    <w:p w14:paraId="4F99D3B1"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1B545A3E" w14:textId="77777777" w:rsidR="00053D93" w:rsidRDefault="00260B75">
    <w:pPr>
      <w:tabs>
        <w:tab w:val="center" w:pos="5990"/>
        <w:tab w:val="right" w:pos="10296"/>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0E16AA3C" w14:textId="77777777" w:rsidR="00053D93" w:rsidRDefault="00260B75">
    <w:pPr>
      <w:spacing w:after="0"/>
      <w:ind w:right="58"/>
      <w:jc w:val="right"/>
    </w:pPr>
    <w:r>
      <w:rPr>
        <w:sz w:val="16"/>
      </w:rPr>
      <w:t>Y DEPORTES</w:t>
    </w: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93749" w14:textId="77777777" w:rsidR="00053D93" w:rsidRDefault="00260B75">
    <w:pPr>
      <w:spacing w:after="0"/>
      <w:ind w:right="50"/>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6ADAC535" w14:textId="77777777" w:rsidR="00053D93" w:rsidRDefault="00260B75">
    <w:pPr>
      <w:tabs>
        <w:tab w:val="center" w:pos="2012"/>
        <w:tab w:val="center" w:pos="5148"/>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5CC6C5A" w14:textId="77777777" w:rsidR="00053D93" w:rsidRDefault="00260B75">
    <w:pPr>
      <w:spacing w:after="0"/>
      <w:ind w:right="58"/>
      <w:jc w:val="right"/>
    </w:pPr>
    <w:r>
      <w:rPr>
        <w:sz w:val="16"/>
      </w:rPr>
      <w:t>Y DEPORTES</w:t>
    </w: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E55FE" w14:textId="77777777" w:rsidR="00053D93" w:rsidRDefault="00260B75">
    <w:pPr>
      <w:spacing w:after="0"/>
      <w:ind w:right="50"/>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E95C438" w14:textId="77777777" w:rsidR="00053D93" w:rsidRDefault="00260B75">
    <w:pPr>
      <w:tabs>
        <w:tab w:val="center" w:pos="2012"/>
        <w:tab w:val="center" w:pos="5148"/>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295751A" w14:textId="77777777" w:rsidR="00053D93" w:rsidRDefault="00260B75">
    <w:pPr>
      <w:spacing w:after="0"/>
      <w:ind w:right="58"/>
      <w:jc w:val="right"/>
    </w:pPr>
    <w:r>
      <w:rPr>
        <w:sz w:val="16"/>
      </w:rPr>
      <w:t>Y DEPORTES</w:t>
    </w: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C0EC0" w14:textId="77777777" w:rsidR="00053D93" w:rsidRDefault="00260B75">
    <w:pPr>
      <w:spacing w:after="0"/>
      <w:ind w:right="50"/>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1F9EB48B" w14:textId="77777777" w:rsidR="00053D93" w:rsidRDefault="00260B75">
    <w:pPr>
      <w:tabs>
        <w:tab w:val="center" w:pos="2012"/>
        <w:tab w:val="center" w:pos="5148"/>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680F557" w14:textId="77777777" w:rsidR="00053D93" w:rsidRDefault="00260B75">
    <w:pPr>
      <w:spacing w:after="0"/>
      <w:ind w:right="58"/>
      <w:jc w:val="right"/>
    </w:pPr>
    <w:r>
      <w:rPr>
        <w:sz w:val="16"/>
      </w:rPr>
      <w:t>Y DEPORTES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2A8CF" w14:textId="77777777" w:rsidR="00053D93" w:rsidRDefault="00260B75">
    <w:pPr>
      <w:spacing w:after="0"/>
      <w:ind w:right="29"/>
      <w:jc w:val="right"/>
    </w:pPr>
    <w:r>
      <w:rPr>
        <w:sz w:val="16"/>
      </w:rPr>
      <w:t xml:space="preserve">DE </w:t>
    </w:r>
    <w:r>
      <w:rPr>
        <w:sz w:val="14"/>
      </w:rPr>
      <w:t xml:space="preserve">AUDITORÍA AL </w:t>
    </w:r>
    <w:r>
      <w:rPr>
        <w:sz w:val="16"/>
      </w:rPr>
      <w:t xml:space="preserve">SECTOR </w:t>
    </w:r>
    <w:r>
      <w:rPr>
        <w:sz w:val="14"/>
      </w:rPr>
      <w:t>EDUCACEóN. CIENCIA. CULTURA</w:t>
    </w:r>
  </w:p>
  <w:p w14:paraId="7B82F712" w14:textId="77777777" w:rsidR="00053D93" w:rsidRDefault="00260B75">
    <w:pPr>
      <w:tabs>
        <w:tab w:val="center" w:pos="2768"/>
        <w:tab w:val="right" w:pos="10174"/>
      </w:tabs>
      <w:spacing w:after="0"/>
    </w:pPr>
    <w:r>
      <w:tab/>
    </w:r>
    <w:r>
      <w:rPr>
        <w:sz w:val="14"/>
      </w:rPr>
      <w:t xml:space="preserve">CONTRALORIA GENERAL </w:t>
    </w:r>
    <w:r>
      <w:rPr>
        <w:sz w:val="16"/>
      </w:rPr>
      <w:t xml:space="preserve">DE </w:t>
    </w:r>
    <w:r>
      <w:rPr>
        <w:sz w:val="14"/>
      </w:rPr>
      <w:t>CUENTAS</w:t>
    </w:r>
    <w:r>
      <w:rPr>
        <w:sz w:val="14"/>
      </w:rPr>
      <w:tab/>
    </w:r>
    <w:r>
      <w:rPr>
        <w:sz w:val="16"/>
      </w:rPr>
      <w:t>Y DEPORTES</w:t>
    </w: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F4D1B" w14:textId="77777777" w:rsidR="00053D93" w:rsidRDefault="00260B75">
    <w:pPr>
      <w:spacing w:after="0"/>
      <w:ind w:right="58"/>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62DF1D5" w14:textId="77777777" w:rsidR="00053D93" w:rsidRDefault="00260B75">
    <w:pPr>
      <w:tabs>
        <w:tab w:val="center" w:pos="2761"/>
        <w:tab w:val="center" w:pos="5897"/>
        <w:tab w:val="right" w:pos="10195"/>
      </w:tabs>
      <w:spacing w:after="0"/>
    </w:pPr>
    <w:r>
      <w:tab/>
    </w:r>
    <w:r>
      <w:rPr>
        <w:sz w:val="14"/>
      </w:rPr>
      <w:t>CONTRALORIA GENERAL 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14</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8"/>
      </w:rPr>
      <w:t xml:space="preserve">Y </w:t>
    </w:r>
    <w:r>
      <w:rPr>
        <w:sz w:val="16"/>
      </w:rPr>
      <w:t>DEPORTES</w:t>
    </w: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FAF17" w14:textId="77777777" w:rsidR="00053D93" w:rsidRDefault="00260B75">
    <w:pPr>
      <w:spacing w:after="0"/>
      <w:ind w:left="65"/>
    </w:pPr>
    <w:r>
      <w:rPr>
        <w:noProof/>
      </w:rPr>
      <mc:AlternateContent>
        <mc:Choice Requires="wpg">
          <w:drawing>
            <wp:anchor distT="0" distB="0" distL="114300" distR="114300" simplePos="0" relativeHeight="251716608" behindDoc="0" locked="0" layoutInCell="1" allowOverlap="1" wp14:anchorId="09538E43" wp14:editId="65855C35">
              <wp:simplePos x="0" y="0"/>
              <wp:positionH relativeFrom="page">
                <wp:posOffset>233172</wp:posOffset>
              </wp:positionH>
              <wp:positionV relativeFrom="page">
                <wp:posOffset>228600</wp:posOffset>
              </wp:positionV>
              <wp:extent cx="128016" cy="292608"/>
              <wp:effectExtent l="0" t="0" r="0" b="0"/>
              <wp:wrapSquare wrapText="bothSides"/>
              <wp:docPr id="2451564" name="Group 2451564"/>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565" name="Rectangle 2451565"/>
                      <wps:cNvSpPr/>
                      <wps:spPr>
                        <a:xfrm>
                          <a:off x="0" y="0"/>
                          <a:ext cx="170261" cy="389169"/>
                        </a:xfrm>
                        <a:prstGeom prst="rect">
                          <a:avLst/>
                        </a:prstGeom>
                        <a:ln>
                          <a:noFill/>
                        </a:ln>
                      </wps:spPr>
                      <wps:txbx>
                        <w:txbxContent>
                          <w:p w14:paraId="514FBDAB"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09538E43" id="Group 2451564" o:spid="_x0000_s2005" style="position:absolute;left:0;text-align:left;margin-left:18.35pt;margin-top:18pt;width:10.1pt;height:23.05pt;z-index:251716608;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Kka3pIMAgAA&#10;lwQAAA4AAAAAAAAAAAAAAAAALgIAAGRycy9lMm9Eb2MueG1sUEsBAi0AFAAGAAgAAAAhALPTHHHe&#10;AAAABwEAAA8AAAAAAAAAAAAAAAAAZgQAAGRycy9kb3ducmV2LnhtbFBLBQYAAAAABAAEAPMAAABx&#10;BQAAAAA=&#10;">
              <v:rect id="Rectangle 2451565" o:spid="_x0000_s2006"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" filled="f" stroked="f">
                <v:textbox inset="0,0,0,0">
                  <w:txbxContent>
                    <w:p w14:paraId="514FBDAB"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706CE2A3" w14:textId="77777777" w:rsidR="00053D93" w:rsidRDefault="00260B75">
    <w:pPr>
      <w:tabs>
        <w:tab w:val="center" w:pos="5954"/>
        <w:tab w:val="right" w:pos="10195"/>
      </w:tabs>
      <w:spacing w:after="0"/>
      <w:ind w:right="-7"/>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1C3F8CE4" w14:textId="77777777" w:rsidR="00053D93" w:rsidRDefault="00260B75">
    <w:pPr>
      <w:spacing w:after="0"/>
      <w:ind w:right="-7"/>
      <w:jc w:val="right"/>
    </w:pPr>
    <w:r>
      <w:rPr>
        <w:sz w:val="16"/>
      </w:rPr>
      <w:t>Y DEPORTES</w:t>
    </w: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666DD" w14:textId="77777777" w:rsidR="00053D93" w:rsidRDefault="00260B75">
    <w:pPr>
      <w:spacing w:after="0"/>
      <w:ind w:right="22"/>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0934EDC7" w14:textId="77777777" w:rsidR="00053D93" w:rsidRDefault="00260B75">
    <w:pPr>
      <w:tabs>
        <w:tab w:val="center" w:pos="2401"/>
        <w:tab w:val="center" w:pos="3604"/>
      </w:tabs>
      <w:spacing w:after="0"/>
    </w:pPr>
    <w:r>
      <w:tab/>
    </w:r>
    <w:r>
      <w:rPr>
        <w:sz w:val="14"/>
      </w:rPr>
      <w:t xml:space="preserve">CONTRALORIA GENERAL </w:t>
    </w:r>
    <w:r>
      <w:rPr>
        <w:sz w:val="14"/>
      </w:rPr>
      <w:tab/>
      <w:t>CUENTAS</w:t>
    </w:r>
  </w:p>
  <w:p w14:paraId="4E929554" w14:textId="77777777" w:rsidR="00053D93" w:rsidRDefault="00260B75">
    <w:pPr>
      <w:spacing w:after="0"/>
      <w:ind w:right="22"/>
      <w:jc w:val="right"/>
    </w:pPr>
    <w:r>
      <w:rPr>
        <w:sz w:val="16"/>
      </w:rPr>
      <w:t>Y DEPORTES</w:t>
    </w: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F300A" w14:textId="77777777" w:rsidR="00053D93" w:rsidRDefault="00260B75">
    <w:pPr>
      <w:spacing w:after="0"/>
      <w:ind w:left="29"/>
    </w:pPr>
    <w:r>
      <w:rPr>
        <w:noProof/>
      </w:rPr>
      <mc:AlternateContent>
        <mc:Choice Requires="wpg">
          <w:drawing>
            <wp:anchor distT="0" distB="0" distL="114300" distR="114300" simplePos="0" relativeHeight="251717632" behindDoc="0" locked="0" layoutInCell="1" allowOverlap="1" wp14:anchorId="482F3C1D" wp14:editId="5721FCBA">
              <wp:simplePos x="0" y="0"/>
              <wp:positionH relativeFrom="page">
                <wp:posOffset>233172</wp:posOffset>
              </wp:positionH>
              <wp:positionV relativeFrom="page">
                <wp:posOffset>228600</wp:posOffset>
              </wp:positionV>
              <wp:extent cx="128016" cy="292608"/>
              <wp:effectExtent l="0" t="0" r="0" b="0"/>
              <wp:wrapSquare wrapText="bothSides"/>
              <wp:docPr id="2451673" name="Group 2451673"/>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674" name="Rectangle 2451674"/>
                      <wps:cNvSpPr/>
                      <wps:spPr>
                        <a:xfrm>
                          <a:off x="0" y="0"/>
                          <a:ext cx="170261" cy="389169"/>
                        </a:xfrm>
                        <a:prstGeom prst="rect">
                          <a:avLst/>
                        </a:prstGeom>
                        <a:ln>
                          <a:noFill/>
                        </a:ln>
                      </wps:spPr>
                      <wps:txbx>
                        <w:txbxContent>
                          <w:p w14:paraId="675FE7DF"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482F3C1D" id="Group 2451673" o:spid="_x0000_s2007" style="position:absolute;left:0;text-align:left;margin-left:18.35pt;margin-top:18pt;width:10.1pt;height:23.05pt;z-index:251717632;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">
              <v:rect id="Rectangle 2451674" o:spid="_x0000_s2008"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" filled="f" stroked="f">
                <v:textbox inset="0,0,0,0">
                  <w:txbxContent>
                    <w:p w14:paraId="675FE7DF"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1442AF2D" w14:textId="77777777" w:rsidR="00053D93" w:rsidRDefault="00260B75">
    <w:pPr>
      <w:tabs>
        <w:tab w:val="center" w:pos="5918"/>
        <w:tab w:val="right" w:pos="10188"/>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5D470605" w14:textId="77777777" w:rsidR="00053D93" w:rsidRDefault="00260B75">
    <w:pPr>
      <w:spacing w:after="0"/>
      <w:ind w:right="22"/>
      <w:jc w:val="right"/>
    </w:pPr>
    <w:r>
      <w:rPr>
        <w:sz w:val="16"/>
      </w:rPr>
      <w:t>Y DEPORTES</w:t>
    </w: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ABBCB" w14:textId="77777777" w:rsidR="00053D93" w:rsidRDefault="00260B75">
    <w:pPr>
      <w:spacing w:after="0"/>
      <w:ind w:left="36"/>
    </w:pPr>
    <w:r>
      <w:rPr>
        <w:noProof/>
      </w:rPr>
      <mc:AlternateContent>
        <mc:Choice Requires="wpg">
          <w:drawing>
            <wp:anchor distT="0" distB="0" distL="114300" distR="114300" simplePos="0" relativeHeight="251718656" behindDoc="0" locked="0" layoutInCell="1" allowOverlap="1" wp14:anchorId="4DE93D64" wp14:editId="07E50CA8">
              <wp:simplePos x="0" y="0"/>
              <wp:positionH relativeFrom="page">
                <wp:posOffset>237744</wp:posOffset>
              </wp:positionH>
              <wp:positionV relativeFrom="page">
                <wp:posOffset>224028</wp:posOffset>
              </wp:positionV>
              <wp:extent cx="114300" cy="301752"/>
              <wp:effectExtent l="0" t="0" r="0" b="0"/>
              <wp:wrapSquare wrapText="bothSides"/>
              <wp:docPr id="2451648" name="Group 2451648"/>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1649" name="Rectangle 2451649"/>
                      <wps:cNvSpPr/>
                      <wps:spPr>
                        <a:xfrm>
                          <a:off x="0" y="0"/>
                          <a:ext cx="152019" cy="401330"/>
                        </a:xfrm>
                        <a:prstGeom prst="rect">
                          <a:avLst/>
                        </a:prstGeom>
                        <a:ln>
                          <a:noFill/>
                        </a:ln>
                      </wps:spPr>
                      <wps:txbx>
                        <w:txbxContent>
                          <w:p w14:paraId="2FCDCC1A"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4DE93D64" id="Group 2451648" o:spid="_x0000_s2009" style="position:absolute;left:0;text-align:left;margin-left:18.7pt;margin-top:17.65pt;width:9pt;height:23.75pt;z-index:251718656;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">
              <v:rect id="Rectangle 2451649" o:spid="_x0000_s2010"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" filled="f" stroked="f">
                <v:textbox inset="0,0,0,0">
                  <w:txbxContent>
                    <w:p w14:paraId="2FCDCC1A"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37032EF7" w14:textId="77777777" w:rsidR="00053D93" w:rsidRDefault="00260B75">
    <w:pPr>
      <w:tabs>
        <w:tab w:val="right" w:pos="10188"/>
      </w:tabs>
      <w:spacing w:after="0"/>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102D99DE" w14:textId="77777777" w:rsidR="00053D93" w:rsidRDefault="00260B75">
    <w:pPr>
      <w:spacing w:after="0"/>
      <w:ind w:right="14"/>
      <w:jc w:val="right"/>
    </w:pPr>
    <w:r>
      <w:rPr>
        <w:sz w:val="16"/>
      </w:rPr>
      <w:t>Y DEPORTES</w:t>
    </w: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61E7B" w14:textId="77777777" w:rsidR="00053D93" w:rsidRDefault="00260B75">
    <w:pPr>
      <w:spacing w:after="0"/>
      <w:ind w:left="22"/>
    </w:pPr>
    <w:r>
      <w:rPr>
        <w:sz w:val="70"/>
      </w:rPr>
      <w:t>1</w:t>
    </w:r>
  </w:p>
  <w:p w14:paraId="0A5C1400" w14:textId="77777777" w:rsidR="00053D93" w:rsidRDefault="00260B75">
    <w:pPr>
      <w:tabs>
        <w:tab w:val="center" w:pos="2808"/>
        <w:tab w:val="center" w:pos="6318"/>
        <w:tab w:val="right" w:pos="10188"/>
      </w:tabs>
      <w:spacing w:after="0"/>
    </w:pPr>
    <w:r>
      <w:tab/>
    </w: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2"/>
      </w:rPr>
      <w:t>221</w:t>
    </w:r>
    <w:r>
      <w:rPr>
        <w:sz w:val="12"/>
      </w:rPr>
      <w:fldChar w:fldCharType="end"/>
    </w:r>
    <w:r>
      <w:rPr>
        <w:sz w:val="12"/>
      </w:rPr>
      <w:t xml:space="preserve"> </w:t>
    </w:r>
    <w:r>
      <w:rPr>
        <w:sz w:val="14"/>
      </w:rPr>
      <w:t xml:space="preserve">DIRECCIÓN </w:t>
    </w:r>
    <w:r>
      <w:rPr>
        <w:sz w:val="14"/>
      </w:rPr>
      <w:tab/>
      <w:t xml:space="preserve">AUDITORIA AL </w:t>
    </w:r>
    <w:r>
      <w:rPr>
        <w:sz w:val="16"/>
      </w:rPr>
      <w:t xml:space="preserve">SECTOR </w:t>
    </w:r>
    <w:r>
      <w:rPr>
        <w:sz w:val="14"/>
      </w:rPr>
      <w:t>EDUCACIÓN. CIENCIA. CULTURA</w:t>
    </w:r>
  </w:p>
  <w:p w14:paraId="09780A23" w14:textId="77777777" w:rsidR="00053D93" w:rsidRDefault="00260B75">
    <w:pPr>
      <w:spacing w:after="0"/>
      <w:jc w:val="right"/>
    </w:pPr>
    <w:r>
      <w:rPr>
        <w:sz w:val="16"/>
      </w:rPr>
      <w:t>Y DEPORTES</w:t>
    </w: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8EA2E" w14:textId="77777777" w:rsidR="00053D93" w:rsidRDefault="00260B75">
    <w:pPr>
      <w:spacing w:after="0"/>
      <w:ind w:left="86"/>
    </w:pPr>
    <w:r>
      <w:rPr>
        <w:noProof/>
      </w:rPr>
      <mc:AlternateContent>
        <mc:Choice Requires="wpg">
          <w:drawing>
            <wp:anchor distT="0" distB="0" distL="114300" distR="114300" simplePos="0" relativeHeight="251719680" behindDoc="0" locked="0" layoutInCell="1" allowOverlap="1" wp14:anchorId="79234F03" wp14:editId="5A9B18F4">
              <wp:simplePos x="0" y="0"/>
              <wp:positionH relativeFrom="page">
                <wp:posOffset>233172</wp:posOffset>
              </wp:positionH>
              <wp:positionV relativeFrom="page">
                <wp:posOffset>228600</wp:posOffset>
              </wp:positionV>
              <wp:extent cx="128016" cy="292608"/>
              <wp:effectExtent l="0" t="0" r="0" b="0"/>
              <wp:wrapSquare wrapText="bothSides"/>
              <wp:docPr id="2451756" name="Group 2451756"/>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757" name="Rectangle 2451757"/>
                      <wps:cNvSpPr/>
                      <wps:spPr>
                        <a:xfrm>
                          <a:off x="0" y="0"/>
                          <a:ext cx="170261" cy="389169"/>
                        </a:xfrm>
                        <a:prstGeom prst="rect">
                          <a:avLst/>
                        </a:prstGeom>
                        <a:ln>
                          <a:noFill/>
                        </a:ln>
                      </wps:spPr>
                      <wps:txbx>
                        <w:txbxContent>
                          <w:p w14:paraId="16FDA51C"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79234F03" id="Group 2451756" o:spid="_x0000_s2011" style="position:absolute;left:0;text-align:left;margin-left:18.35pt;margin-top:18pt;width:10.1pt;height:23.05pt;z-index:251719680;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">
              <v:rect id="Rectangle 2451757" o:spid="_x0000_s2012"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" filled="f" stroked="f">
                <v:textbox inset="0,0,0,0">
                  <w:txbxContent>
                    <w:p w14:paraId="16FDA51C"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558CBCA7" w14:textId="77777777" w:rsidR="00053D93" w:rsidRDefault="00260B75">
    <w:pPr>
      <w:tabs>
        <w:tab w:val="center" w:pos="5976"/>
        <w:tab w:val="right" w:pos="10195"/>
      </w:tabs>
      <w:spacing w:after="0"/>
      <w:ind w:right="-29"/>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132E399F" w14:textId="77777777" w:rsidR="00053D93" w:rsidRDefault="00260B75">
    <w:pPr>
      <w:spacing w:after="0"/>
      <w:ind w:right="-29"/>
      <w:jc w:val="right"/>
    </w:pPr>
    <w:r>
      <w:rPr>
        <w:sz w:val="16"/>
      </w:rPr>
      <w:t>Y DEPORTES</w:t>
    </w:r>
  </w:p>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1DBD0" w14:textId="77777777" w:rsidR="00053D93" w:rsidRDefault="00260B75">
    <w:pPr>
      <w:tabs>
        <w:tab w:val="right" w:pos="10195"/>
      </w:tabs>
      <w:spacing w:after="0"/>
    </w:pPr>
    <w:r>
      <w:rPr>
        <w:noProof/>
      </w:rPr>
      <mc:AlternateContent>
        <mc:Choice Requires="wpg">
          <w:drawing>
            <wp:anchor distT="0" distB="0" distL="114300" distR="114300" simplePos="0" relativeHeight="251720704" behindDoc="0" locked="0" layoutInCell="1" allowOverlap="1" wp14:anchorId="0B193404" wp14:editId="60ED3C17">
              <wp:simplePos x="0" y="0"/>
              <wp:positionH relativeFrom="page">
                <wp:posOffset>201168</wp:posOffset>
              </wp:positionH>
              <wp:positionV relativeFrom="page">
                <wp:posOffset>242316</wp:posOffset>
              </wp:positionV>
              <wp:extent cx="118872" cy="292608"/>
              <wp:effectExtent l="0" t="0" r="0" b="0"/>
              <wp:wrapSquare wrapText="bothSides"/>
              <wp:docPr id="2451737" name="Group 2451737"/>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2451738" name="Rectangle 2451738"/>
                      <wps:cNvSpPr/>
                      <wps:spPr>
                        <a:xfrm>
                          <a:off x="0" y="0"/>
                          <a:ext cx="158100" cy="389169"/>
                        </a:xfrm>
                        <a:prstGeom prst="rect">
                          <a:avLst/>
                        </a:prstGeom>
                        <a:ln>
                          <a:noFill/>
                        </a:ln>
                      </wps:spPr>
                      <wps:txbx>
                        <w:txbxContent>
                          <w:p w14:paraId="604C4CCC" w14:textId="77777777" w:rsidR="00053D93" w:rsidRDefault="00260B75">
                            <w:r>
                              <w:rPr>
                                <w:sz w:val="70"/>
                              </w:rPr>
                              <w:t>1</w:t>
                            </w:r>
                          </w:p>
                        </w:txbxContent>
                      </wps:txbx>
                      <wps:bodyPr horzOverflow="overflow" vert="horz" lIns="0" tIns="0" rIns="0" bIns="0" rtlCol="0">
                        <a:noAutofit/>
                      </wps:bodyPr>
                    </wps:wsp>
                  </wpg:wgp>
                </a:graphicData>
              </a:graphic>
            </wp:anchor>
          </w:drawing>
        </mc:Choice>
        <mc:Fallback>
          <w:pict>
            <v:group w14:anchorId="0B193404" id="Group 2451737" o:spid="_x0000_s2013" style="position:absolute;margin-left:15.85pt;margin-top:19.1pt;width:9.35pt;height:23.05pt;z-index:251720704;mso-position-horizontal-relative:page;mso-position-vertical-relative:pag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">
              <v:rect id="Rectangle 2451738" o:spid="_x0000_s2014"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" filled="f" stroked="f">
                <v:textbox inset="0,0,0,0">
                  <w:txbxContent>
                    <w:p w14:paraId="604C4CCC" w14:textId="77777777" w:rsidR="00053D93" w:rsidRDefault="00260B75">
                      <w:r>
                        <w:rPr>
                          <w:sz w:val="70"/>
                        </w:rPr>
                        <w:t>1</w:t>
                      </w:r>
                    </w:p>
                  </w:txbxContent>
                </v:textbox>
              </v:rect>
              <w10:wrap type="square" anchorx="page" anchory="page"/>
            </v:group>
          </w:pict>
        </mc:Fallback>
      </mc:AlternateContent>
    </w:r>
    <w:r>
      <w:rPr>
        <w:sz w:val="14"/>
      </w:rPr>
      <w:tab/>
      <w:t xml:space="preserve">DIRECCIÓN </w:t>
    </w:r>
    <w:r>
      <w:rPr>
        <w:sz w:val="16"/>
      </w:rPr>
      <w:t xml:space="preserve">DE </w:t>
    </w:r>
    <w:r>
      <w:rPr>
        <w:sz w:val="14"/>
      </w:rPr>
      <w:t xml:space="preserve">AUDITORÍA </w:t>
    </w:r>
    <w:r>
      <w:rPr>
        <w:sz w:val="16"/>
      </w:rPr>
      <w:t xml:space="preserve">SECTOR </w:t>
    </w:r>
    <w:r>
      <w:rPr>
        <w:sz w:val="14"/>
      </w:rPr>
      <w:t>EDUCACIÓN. CIENCIA, CULTURA</w:t>
    </w:r>
  </w:p>
  <w:p w14:paraId="512A7D9F" w14:textId="77777777" w:rsidR="00053D93" w:rsidRDefault="00260B75">
    <w:pPr>
      <w:spacing w:after="0"/>
      <w:ind w:left="36"/>
    </w:pPr>
    <w:r>
      <w:rPr>
        <w:sz w:val="14"/>
      </w:rPr>
      <w:t xml:space="preserve">CONTRALORFA GENERAL </w:t>
    </w:r>
    <w:r>
      <w:rPr>
        <w:sz w:val="16"/>
      </w:rPr>
      <w:t xml:space="preserve">DE </w:t>
    </w:r>
    <w:r>
      <w:rPr>
        <w:sz w:val="14"/>
      </w:rPr>
      <w:t>CUENTAS</w:t>
    </w:r>
  </w:p>
  <w:p w14:paraId="66222C67" w14:textId="77777777" w:rsidR="00053D93" w:rsidRDefault="00260B75">
    <w:pPr>
      <w:spacing w:after="0"/>
      <w:ind w:right="14"/>
      <w:jc w:val="right"/>
    </w:pPr>
    <w:r>
      <w:rPr>
        <w:sz w:val="16"/>
      </w:rPr>
      <w:t>Y DEPORTES</w:t>
    </w:r>
  </w:p>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CCA3C" w14:textId="77777777" w:rsidR="00053D93" w:rsidRDefault="00260B75">
    <w:pPr>
      <w:spacing w:after="0"/>
      <w:ind w:left="94"/>
    </w:pPr>
    <w:r>
      <w:rPr>
        <w:noProof/>
      </w:rPr>
      <mc:AlternateContent>
        <mc:Choice Requires="wpg">
          <w:drawing>
            <wp:anchor distT="0" distB="0" distL="114300" distR="114300" simplePos="0" relativeHeight="251721728" behindDoc="0" locked="0" layoutInCell="1" allowOverlap="1" wp14:anchorId="082738DE" wp14:editId="63BD4F73">
              <wp:simplePos x="0" y="0"/>
              <wp:positionH relativeFrom="page">
                <wp:posOffset>237744</wp:posOffset>
              </wp:positionH>
              <wp:positionV relativeFrom="page">
                <wp:posOffset>224028</wp:posOffset>
              </wp:positionV>
              <wp:extent cx="114300" cy="301752"/>
              <wp:effectExtent l="0" t="0" r="0" b="0"/>
              <wp:wrapSquare wrapText="bothSides"/>
              <wp:docPr id="2451705" name="Group 2451705"/>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1706" name="Rectangle 2451706"/>
                      <wps:cNvSpPr/>
                      <wps:spPr>
                        <a:xfrm>
                          <a:off x="0" y="0"/>
                          <a:ext cx="152019" cy="401330"/>
                        </a:xfrm>
                        <a:prstGeom prst="rect">
                          <a:avLst/>
                        </a:prstGeom>
                        <a:ln>
                          <a:noFill/>
                        </a:ln>
                      </wps:spPr>
                      <wps:txbx>
                        <w:txbxContent>
                          <w:p w14:paraId="144953FF"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082738DE" id="Group 2451705" o:spid="_x0000_s2015" style="position:absolute;left:0;text-align:left;margin-left:18.7pt;margin-top:17.65pt;width:9pt;height:23.75pt;z-index:251721728;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">
              <v:rect id="Rectangle 2451706" o:spid="_x0000_s2016"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" filled="f" stroked="f">
                <v:textbox inset="0,0,0,0">
                  <w:txbxContent>
                    <w:p w14:paraId="144953FF"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09871EAA" w14:textId="77777777" w:rsidR="00053D93" w:rsidRDefault="00260B75">
    <w:pPr>
      <w:tabs>
        <w:tab w:val="right" w:pos="10195"/>
      </w:tabs>
      <w:spacing w:after="0"/>
      <w:ind w:right="-43"/>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1FB02272" w14:textId="77777777" w:rsidR="00053D93" w:rsidRDefault="00260B75">
    <w:pPr>
      <w:spacing w:after="0"/>
      <w:ind w:right="-36"/>
      <w:jc w:val="right"/>
    </w:pPr>
    <w:r>
      <w:rPr>
        <w:sz w:val="16"/>
      </w:rPr>
      <w:t>Y DEPORTES</w:t>
    </w:r>
  </w:p>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BEE97" w14:textId="77777777" w:rsidR="00053D93" w:rsidRDefault="00260B75">
    <w:pPr>
      <w:spacing w:after="0"/>
      <w:ind w:right="36"/>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95CE18F" w14:textId="77777777" w:rsidR="00053D93" w:rsidRDefault="00260B75">
    <w:pPr>
      <w:tabs>
        <w:tab w:val="center" w:pos="2804"/>
        <w:tab w:val="center" w:pos="594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B460876" w14:textId="77777777" w:rsidR="00053D93" w:rsidRDefault="00260B75">
    <w:pPr>
      <w:spacing w:after="0"/>
      <w:ind w:right="43"/>
      <w:jc w:val="right"/>
    </w:pPr>
    <w:r>
      <w:rPr>
        <w:sz w:val="16"/>
      </w:rPr>
      <w:t>Y DEPORTES</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0DA54" w14:textId="77777777" w:rsidR="00053D93" w:rsidRDefault="00260B75">
    <w:pPr>
      <w:spacing w:after="0"/>
      <w:ind w:right="29"/>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B449A30" w14:textId="77777777" w:rsidR="00053D93" w:rsidRDefault="00260B75">
    <w:pPr>
      <w:tabs>
        <w:tab w:val="center" w:pos="2768"/>
        <w:tab w:val="center" w:pos="590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01DBFCD5" w14:textId="77777777" w:rsidR="00053D93" w:rsidRDefault="00260B75">
    <w:pPr>
      <w:spacing w:after="0"/>
      <w:ind w:right="36"/>
      <w:jc w:val="right"/>
    </w:pPr>
    <w:r>
      <w:rPr>
        <w:sz w:val="16"/>
      </w:rPr>
      <w:t>Y DEPORTES</w:t>
    </w: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7B61E" w14:textId="77777777" w:rsidR="00053D93" w:rsidRDefault="00260B75">
    <w:pPr>
      <w:spacing w:after="0"/>
      <w:ind w:left="79"/>
    </w:pPr>
    <w:r>
      <w:rPr>
        <w:noProof/>
      </w:rPr>
      <mc:AlternateContent>
        <mc:Choice Requires="wpg">
          <w:drawing>
            <wp:anchor distT="0" distB="0" distL="114300" distR="114300" simplePos="0" relativeHeight="251722752" behindDoc="0" locked="0" layoutInCell="1" allowOverlap="1" wp14:anchorId="709DCE75" wp14:editId="71065CFB">
              <wp:simplePos x="0" y="0"/>
              <wp:positionH relativeFrom="page">
                <wp:posOffset>233172</wp:posOffset>
              </wp:positionH>
              <wp:positionV relativeFrom="page">
                <wp:posOffset>228600</wp:posOffset>
              </wp:positionV>
              <wp:extent cx="128016" cy="292608"/>
              <wp:effectExtent l="0" t="0" r="0" b="0"/>
              <wp:wrapSquare wrapText="bothSides"/>
              <wp:docPr id="2451812" name="Group 2451812"/>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1813" name="Rectangle 2451813"/>
                      <wps:cNvSpPr/>
                      <wps:spPr>
                        <a:xfrm>
                          <a:off x="0" y="0"/>
                          <a:ext cx="170261" cy="389169"/>
                        </a:xfrm>
                        <a:prstGeom prst="rect">
                          <a:avLst/>
                        </a:prstGeom>
                        <a:ln>
                          <a:noFill/>
                        </a:ln>
                      </wps:spPr>
                      <wps:txbx>
                        <w:txbxContent>
                          <w:p w14:paraId="0BF6AB3D"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709DCE75" id="Group 2451812" o:spid="_x0000_s2017" style="position:absolute;left:0;text-align:left;margin-left:18.35pt;margin-top:18pt;width:10.1pt;height:23.05pt;z-index:251722752;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Gy3rS0MAgAA&#10;lwQAAA4AAAAAAAAAAAAAAAAALgIAAGRycy9lMm9Eb2MueG1sUEsBAi0AFAAGAAgAAAAhALPTHHHe&#10;AAAABwEAAA8AAAAAAAAAAAAAAAAAZgQAAGRycy9kb3ducmV2LnhtbFBLBQYAAAAABAAEAPMAAABx&#10;BQAAAAA=&#10;">
              <v:rect id="Rectangle 2451813" o:spid="_x0000_s2018"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" filled="f" stroked="f">
                <v:textbox inset="0,0,0,0">
                  <w:txbxContent>
                    <w:p w14:paraId="0BF6AB3D"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3E627D7B" w14:textId="77777777" w:rsidR="00053D93" w:rsidRDefault="00260B75">
    <w:pPr>
      <w:tabs>
        <w:tab w:val="center" w:pos="5969"/>
        <w:tab w:val="right" w:pos="10217"/>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6374B6B1" w14:textId="77777777" w:rsidR="00053D93" w:rsidRDefault="00260B75">
    <w:pPr>
      <w:spacing w:after="0"/>
      <w:jc w:val="right"/>
    </w:pPr>
    <w:r>
      <w:rPr>
        <w:sz w:val="16"/>
      </w:rPr>
      <w:t>Y DEPORTES</w:t>
    </w: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B08FD" w14:textId="77777777" w:rsidR="00053D93" w:rsidRDefault="00260B75">
    <w:pPr>
      <w:tabs>
        <w:tab w:val="right" w:pos="10217"/>
      </w:tabs>
      <w:spacing w:after="0"/>
    </w:pPr>
    <w:r>
      <w:rPr>
        <w:noProof/>
      </w:rPr>
      <mc:AlternateContent>
        <mc:Choice Requires="wpg">
          <w:drawing>
            <wp:anchor distT="0" distB="0" distL="114300" distR="114300" simplePos="0" relativeHeight="251723776" behindDoc="0" locked="0" layoutInCell="1" allowOverlap="1" wp14:anchorId="1C29FA67" wp14:editId="11780694">
              <wp:simplePos x="0" y="0"/>
              <wp:positionH relativeFrom="page">
                <wp:posOffset>224028</wp:posOffset>
              </wp:positionH>
              <wp:positionV relativeFrom="page">
                <wp:posOffset>283464</wp:posOffset>
              </wp:positionV>
              <wp:extent cx="118872" cy="297180"/>
              <wp:effectExtent l="0" t="0" r="0" b="0"/>
              <wp:wrapSquare wrapText="bothSides"/>
              <wp:docPr id="2451793" name="Group 2451793"/>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2451794" name="Rectangle 2451794"/>
                      <wps:cNvSpPr/>
                      <wps:spPr>
                        <a:xfrm>
                          <a:off x="0" y="0"/>
                          <a:ext cx="158100" cy="395250"/>
                        </a:xfrm>
                        <a:prstGeom prst="rect">
                          <a:avLst/>
                        </a:prstGeom>
                        <a:ln>
                          <a:noFill/>
                        </a:ln>
                      </wps:spPr>
                      <wps:txbx>
                        <w:txbxContent>
                          <w:p w14:paraId="4895BE1B"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1C29FA67" id="Group 2451793" o:spid="_x0000_s2019" style="position:absolute;margin-left:17.65pt;margin-top:22.3pt;width:9.35pt;height:23.4pt;z-index:251723776;mso-position-horizontal-relative:page;mso-position-vertical-relative:pag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">
              <v:rect id="Rectangle 2451794" o:spid="_x0000_s2020"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" filled="f" stroked="f">
                <v:textbox inset="0,0,0,0">
                  <w:txbxContent>
                    <w:p w14:paraId="4895BE1B" w14:textId="77777777" w:rsidR="00053D93" w:rsidRDefault="00260B75">
                      <w:r>
                        <w:rPr>
                          <w:rFonts w:ascii="Times New Roman" w:eastAsia="Times New Roman" w:hAnsi="Times New Roman" w:cs="Times New Roman"/>
                          <w:sz w:val="72"/>
                        </w:rPr>
                        <w:t>1</w:t>
                      </w:r>
                    </w:p>
                  </w:txbxContent>
                </v:textbox>
              </v:rect>
              <w10:wrap type="square" anchorx="page" anchory="page"/>
            </v:group>
          </w:pict>
        </mc:Fallback>
      </mc:AlternateContent>
    </w:r>
    <w:r>
      <w:rPr>
        <w:sz w:val="14"/>
      </w:rPr>
      <w:t xml:space="preserve">DIRECCIÓN </w:t>
    </w:r>
    <w:r>
      <w:rPr>
        <w:sz w:val="14"/>
      </w:rPr>
      <w:tab/>
      <w:t xml:space="preserve">AUDITORIA AL </w:t>
    </w:r>
    <w:r>
      <w:rPr>
        <w:sz w:val="16"/>
      </w:rPr>
      <w:t xml:space="preserve">SECTOR </w:t>
    </w:r>
    <w:r>
      <w:rPr>
        <w:sz w:val="14"/>
      </w:rPr>
      <w:t>EDUCACIÓN. CIENCIA. CULTURA</w:t>
    </w:r>
  </w:p>
  <w:p w14:paraId="7984B317" w14:textId="77777777" w:rsidR="00053D93" w:rsidRDefault="00260B75">
    <w:pPr>
      <w:spacing w:after="0"/>
      <w:ind w:left="65"/>
    </w:pPr>
    <w:r>
      <w:rPr>
        <w:sz w:val="14"/>
      </w:rPr>
      <w:t xml:space="preserve">CONTRALORÍA GENERAL </w:t>
    </w:r>
    <w:r>
      <w:rPr>
        <w:sz w:val="16"/>
      </w:rPr>
      <w:t xml:space="preserve">DE </w:t>
    </w:r>
    <w:r>
      <w:rPr>
        <w:sz w:val="14"/>
      </w:rPr>
      <w:t>CUENTAS</w:t>
    </w:r>
  </w:p>
  <w:p w14:paraId="72D769BF" w14:textId="77777777" w:rsidR="00053D93" w:rsidRDefault="00260B75">
    <w:pPr>
      <w:spacing w:after="0"/>
      <w:ind w:right="14"/>
      <w:jc w:val="right"/>
    </w:pPr>
    <w:r>
      <w:rPr>
        <w:sz w:val="16"/>
      </w:rPr>
      <w:t>Y DEPORTES</w:t>
    </w: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BFC79"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151AD56" w14:textId="77777777" w:rsidR="00053D93" w:rsidRDefault="00260B75">
    <w:pPr>
      <w:tabs>
        <w:tab w:val="center" w:pos="2790"/>
        <w:tab w:val="center" w:pos="5926"/>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5738DFE" w14:textId="77777777" w:rsidR="00053D93" w:rsidRDefault="00260B75">
    <w:pPr>
      <w:spacing w:after="0"/>
      <w:ind w:right="22"/>
      <w:jc w:val="right"/>
    </w:pPr>
    <w:r>
      <w:rPr>
        <w:sz w:val="16"/>
      </w:rPr>
      <w:t>Y DEPORTES</w:t>
    </w:r>
  </w:p>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9382B"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9CCBC1D" w14:textId="77777777" w:rsidR="00053D93" w:rsidRDefault="00260B75">
    <w:pPr>
      <w:tabs>
        <w:tab w:val="center" w:pos="2790"/>
        <w:tab w:val="center" w:pos="5926"/>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E596CFE" w14:textId="77777777" w:rsidR="00053D93" w:rsidRDefault="00260B75">
    <w:pPr>
      <w:spacing w:after="0"/>
      <w:ind w:right="22"/>
      <w:jc w:val="right"/>
    </w:pPr>
    <w:r>
      <w:rPr>
        <w:sz w:val="16"/>
      </w:rPr>
      <w:t>Y DEPORTES</w:t>
    </w:r>
  </w:p>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03BF1" w14:textId="77777777" w:rsidR="00053D93" w:rsidRDefault="00260B75">
    <w:pPr>
      <w:spacing w:after="0"/>
      <w:ind w:right="-14"/>
      <w:jc w:val="right"/>
    </w:pPr>
    <w:r>
      <w:rPr>
        <w:sz w:val="16"/>
      </w:rPr>
      <w:t xml:space="preserve">DRECCIÓN </w:t>
    </w:r>
    <w:r>
      <w:rPr>
        <w:sz w:val="14"/>
      </w:rPr>
      <w:t xml:space="preserve">AUDITORIA AL </w:t>
    </w:r>
    <w:r>
      <w:rPr>
        <w:sz w:val="16"/>
      </w:rPr>
      <w:t xml:space="preserve">SECTOR </w:t>
    </w:r>
    <w:r>
      <w:rPr>
        <w:sz w:val="14"/>
      </w:rPr>
      <w:t>EDUCACIÓN. CIENCIA. CULTURA</w:t>
    </w:r>
  </w:p>
  <w:p w14:paraId="4F1834DD" w14:textId="77777777" w:rsidR="00053D93" w:rsidRDefault="00260B75">
    <w:pPr>
      <w:tabs>
        <w:tab w:val="center" w:pos="2808"/>
        <w:tab w:val="center" w:pos="5947"/>
      </w:tabs>
      <w:spacing w:after="0"/>
    </w:pPr>
    <w:r>
      <w:tab/>
    </w:r>
    <w:r>
      <w:rPr>
        <w:sz w:val="14"/>
      </w:rPr>
      <w:t xml:space="preserve">COINTRALORIA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170</w:t>
    </w:r>
    <w:r>
      <w:rPr>
        <w:sz w:val="14"/>
      </w:rPr>
      <w:fldChar w:fldCharType="end"/>
    </w:r>
  </w:p>
  <w:p w14:paraId="6EB0D17B" w14:textId="77777777" w:rsidR="00053D93" w:rsidRDefault="00260B75">
    <w:pPr>
      <w:spacing w:after="0"/>
      <w:ind w:right="-7"/>
      <w:jc w:val="right"/>
    </w:pPr>
    <w:r>
      <w:rPr>
        <w:sz w:val="16"/>
      </w:rPr>
      <w:t>Y DEPORTES</w:t>
    </w:r>
  </w:p>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16E6E" w14:textId="77777777" w:rsidR="00053D93" w:rsidRDefault="00260B75">
    <w:pPr>
      <w:spacing w:after="0"/>
      <w:ind w:left="3701"/>
      <w:jc w:val="center"/>
    </w:pPr>
    <w:r>
      <w:rPr>
        <w:sz w:val="14"/>
      </w:rPr>
      <w:t xml:space="preserve">DIRECCIÓN </w:t>
    </w:r>
    <w:r>
      <w:rPr>
        <w:sz w:val="16"/>
      </w:rPr>
      <w:t xml:space="preserve">DE </w:t>
    </w:r>
    <w:r>
      <w:rPr>
        <w:sz w:val="14"/>
      </w:rPr>
      <w:t xml:space="preserve">AUDITORÍA AL </w:t>
    </w:r>
  </w:p>
  <w:p w14:paraId="4DC638EB" w14:textId="77777777" w:rsidR="00053D93" w:rsidRDefault="00260B75">
    <w:pPr>
      <w:tabs>
        <w:tab w:val="center" w:pos="2761"/>
        <w:tab w:val="right" w:pos="1017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488269BC" w14:textId="77777777" w:rsidR="00053D93" w:rsidRDefault="00260B75">
    <w:pPr>
      <w:spacing w:after="0"/>
      <w:ind w:right="29"/>
      <w:jc w:val="right"/>
    </w:pPr>
    <w:r>
      <w:rPr>
        <w:sz w:val="16"/>
      </w:rPr>
      <w:t>Y DEPORTES</w:t>
    </w: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CEB82" w14:textId="77777777" w:rsidR="00053D93" w:rsidRDefault="00260B75">
    <w:pPr>
      <w:spacing w:after="0"/>
      <w:ind w:right="29"/>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983AB12" w14:textId="77777777" w:rsidR="00053D93" w:rsidRDefault="00260B75">
    <w:pPr>
      <w:tabs>
        <w:tab w:val="center" w:pos="2768"/>
        <w:tab w:val="center" w:pos="590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4B46D15E" w14:textId="77777777" w:rsidR="00053D93" w:rsidRDefault="00260B75">
    <w:pPr>
      <w:spacing w:after="0"/>
      <w:ind w:right="36"/>
      <w:jc w:val="right"/>
    </w:pPr>
    <w:r>
      <w:rPr>
        <w:sz w:val="16"/>
      </w:rPr>
      <w:t>Y DEPORTES</w:t>
    </w: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B4940" w14:textId="77777777" w:rsidR="00053D93" w:rsidRDefault="00260B75">
    <w:pPr>
      <w:spacing w:after="0"/>
      <w:ind w:right="29"/>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A95D26C" w14:textId="77777777" w:rsidR="00053D93" w:rsidRDefault="00260B75">
    <w:pPr>
      <w:tabs>
        <w:tab w:val="center" w:pos="2768"/>
        <w:tab w:val="center" w:pos="590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0B65F97" w14:textId="77777777" w:rsidR="00053D93" w:rsidRDefault="00260B75">
    <w:pPr>
      <w:spacing w:after="0"/>
      <w:ind w:right="36"/>
      <w:jc w:val="right"/>
    </w:pPr>
    <w:r>
      <w:rPr>
        <w:sz w:val="16"/>
      </w:rPr>
      <w:t>Y DEPORTES</w:t>
    </w:r>
  </w:p>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744D5" w14:textId="77777777" w:rsidR="00053D93" w:rsidRDefault="00260B75">
    <w:pPr>
      <w:spacing w:after="0"/>
      <w:ind w:left="79"/>
    </w:pPr>
    <w:r>
      <w:rPr>
        <w:noProof/>
      </w:rPr>
      <mc:AlternateContent>
        <mc:Choice Requires="wpg">
          <w:drawing>
            <wp:anchor distT="0" distB="0" distL="114300" distR="114300" simplePos="0" relativeHeight="251724800" behindDoc="0" locked="0" layoutInCell="1" allowOverlap="1" wp14:anchorId="44A12858" wp14:editId="759583DE">
              <wp:simplePos x="0" y="0"/>
              <wp:positionH relativeFrom="page">
                <wp:posOffset>237744</wp:posOffset>
              </wp:positionH>
              <wp:positionV relativeFrom="page">
                <wp:posOffset>224028</wp:posOffset>
              </wp:positionV>
              <wp:extent cx="114300" cy="301752"/>
              <wp:effectExtent l="0" t="0" r="0" b="0"/>
              <wp:wrapSquare wrapText="bothSides"/>
              <wp:docPr id="2452107" name="Group 2452107"/>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2108" name="Rectangle 2452108"/>
                      <wps:cNvSpPr/>
                      <wps:spPr>
                        <a:xfrm>
                          <a:off x="0" y="0"/>
                          <a:ext cx="152019" cy="401330"/>
                        </a:xfrm>
                        <a:prstGeom prst="rect">
                          <a:avLst/>
                        </a:prstGeom>
                        <a:ln>
                          <a:noFill/>
                        </a:ln>
                      </wps:spPr>
                      <wps:txbx>
                        <w:txbxContent>
                          <w:p w14:paraId="418BF50B"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44A12858" id="Group 2452107" o:spid="_x0000_s2021" style="position:absolute;left:0;text-align:left;margin-left:18.7pt;margin-top:17.65pt;width:9pt;height:23.75pt;z-index:251724800;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">
              <v:rect id="Rectangle 2452108" o:spid="_x0000_s2022"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" filled="f" stroked="f">
                <v:textbox inset="0,0,0,0">
                  <w:txbxContent>
                    <w:p w14:paraId="418BF50B"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0FC87720" w14:textId="77777777" w:rsidR="00053D93" w:rsidRDefault="00260B75">
    <w:pPr>
      <w:tabs>
        <w:tab w:val="right" w:pos="10210"/>
      </w:tabs>
      <w:spacing w:after="0"/>
      <w:ind w:right="-14"/>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188EAEA4" w14:textId="77777777" w:rsidR="00053D93" w:rsidRDefault="00260B75">
    <w:pPr>
      <w:spacing w:after="0"/>
      <w:ind w:right="-7"/>
      <w:jc w:val="right"/>
    </w:pPr>
    <w:r>
      <w:rPr>
        <w:sz w:val="16"/>
      </w:rPr>
      <w:t>Y DEPORTES</w:t>
    </w:r>
  </w:p>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A9404" w14:textId="77777777" w:rsidR="00053D93" w:rsidRDefault="00260B75">
    <w:pPr>
      <w:spacing w:after="0"/>
      <w:ind w:left="72"/>
    </w:pPr>
    <w:r>
      <w:rPr>
        <w:noProof/>
      </w:rPr>
      <mc:AlternateContent>
        <mc:Choice Requires="wpg">
          <w:drawing>
            <wp:anchor distT="0" distB="0" distL="114300" distR="114300" simplePos="0" relativeHeight="251725824" behindDoc="0" locked="0" layoutInCell="1" allowOverlap="1" wp14:anchorId="03F0DBEE" wp14:editId="4A31EBBD">
              <wp:simplePos x="0" y="0"/>
              <wp:positionH relativeFrom="page">
                <wp:posOffset>233172</wp:posOffset>
              </wp:positionH>
              <wp:positionV relativeFrom="page">
                <wp:posOffset>228600</wp:posOffset>
              </wp:positionV>
              <wp:extent cx="128016" cy="292608"/>
              <wp:effectExtent l="0" t="0" r="0" b="0"/>
              <wp:wrapSquare wrapText="bothSides"/>
              <wp:docPr id="2452076" name="Group 2452076"/>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077" name="Rectangle 2452077"/>
                      <wps:cNvSpPr/>
                      <wps:spPr>
                        <a:xfrm>
                          <a:off x="0" y="0"/>
                          <a:ext cx="170261" cy="389169"/>
                        </a:xfrm>
                        <a:prstGeom prst="rect">
                          <a:avLst/>
                        </a:prstGeom>
                        <a:ln>
                          <a:noFill/>
                        </a:ln>
                      </wps:spPr>
                      <wps:txbx>
                        <w:txbxContent>
                          <w:p w14:paraId="2AD331A4"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03F0DBEE" id="Group 2452076" o:spid="_x0000_s2023" style="position:absolute;left:0;text-align:left;margin-left:18.35pt;margin-top:18pt;width:10.1pt;height:23.05pt;z-index:251725824;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PB4n4gMAgAA&#10;lwQAAA4AAAAAAAAAAAAAAAAALgIAAGRycy9lMm9Eb2MueG1sUEsBAi0AFAAGAAgAAAAhALPTHHHe&#10;AAAABwEAAA8AAAAAAAAAAAAAAAAAZgQAAGRycy9kb3ducmV2LnhtbFBLBQYAAAAABAAEAPMAAABx&#10;BQAAAAA=&#10;">
              <v:rect id="Rectangle 2452077" o:spid="_x0000_s2024"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" filled="f" stroked="f">
                <v:textbox inset="0,0,0,0">
                  <w:txbxContent>
                    <w:p w14:paraId="2AD331A4"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752D3F15" w14:textId="77777777" w:rsidR="00053D93" w:rsidRDefault="00260B75">
    <w:pPr>
      <w:tabs>
        <w:tab w:val="center" w:pos="5962"/>
        <w:tab w:val="right" w:pos="10210"/>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63D9FC8B" w14:textId="77777777" w:rsidR="00053D93" w:rsidRDefault="00260B75">
    <w:pPr>
      <w:spacing w:after="0"/>
      <w:jc w:val="right"/>
    </w:pPr>
    <w:r>
      <w:rPr>
        <w:sz w:val="16"/>
      </w:rPr>
      <w:t>Y DEPORTES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98B64" w14:textId="77777777" w:rsidR="00053D93" w:rsidRDefault="00260B75">
    <w:pPr>
      <w:spacing w:after="0"/>
      <w:ind w:right="58"/>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1A75662E" w14:textId="77777777" w:rsidR="00053D93" w:rsidRDefault="00260B75">
    <w:pPr>
      <w:tabs>
        <w:tab w:val="center" w:pos="2740"/>
        <w:tab w:val="center" w:pos="5875"/>
        <w:tab w:val="right" w:pos="10174"/>
      </w:tabs>
      <w:spacing w:after="0"/>
    </w:pPr>
    <w:r>
      <w:tab/>
    </w:r>
    <w:r>
      <w:rPr>
        <w:sz w:val="14"/>
      </w:rPr>
      <w:t>CONTRALORIA GENERAL 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14</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8"/>
      </w:rPr>
      <w:t xml:space="preserve">Y </w:t>
    </w:r>
    <w:r>
      <w:rPr>
        <w:sz w:val="16"/>
      </w:rPr>
      <w:t>DEPORTES</w:t>
    </w: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F1E9F" w14:textId="77777777" w:rsidR="00053D93" w:rsidRDefault="00260B75">
    <w:pPr>
      <w:spacing w:after="0"/>
      <w:ind w:right="36"/>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0169AA5" w14:textId="77777777" w:rsidR="00053D93" w:rsidRDefault="00260B75">
    <w:pPr>
      <w:tabs>
        <w:tab w:val="center" w:pos="2797"/>
        <w:tab w:val="center" w:pos="5933"/>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E378076" w14:textId="77777777" w:rsidR="00053D93" w:rsidRDefault="00260B75">
    <w:pPr>
      <w:spacing w:after="0"/>
      <w:ind w:right="43"/>
      <w:jc w:val="right"/>
    </w:pPr>
    <w:r>
      <w:rPr>
        <w:sz w:val="16"/>
      </w:rPr>
      <w:t>Y DEPORTES</w:t>
    </w:r>
  </w:p>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60386" w14:textId="77777777" w:rsidR="00053D93" w:rsidRDefault="00260B75">
    <w:pPr>
      <w:spacing w:after="0"/>
      <w:ind w:left="14"/>
    </w:pPr>
    <w:r>
      <w:rPr>
        <w:noProof/>
      </w:rPr>
      <mc:AlternateContent>
        <mc:Choice Requires="wpg">
          <w:drawing>
            <wp:anchor distT="0" distB="0" distL="114300" distR="114300" simplePos="0" relativeHeight="251726848" behindDoc="0" locked="0" layoutInCell="1" allowOverlap="1" wp14:anchorId="782D86ED" wp14:editId="059E2711">
              <wp:simplePos x="0" y="0"/>
              <wp:positionH relativeFrom="page">
                <wp:posOffset>233172</wp:posOffset>
              </wp:positionH>
              <wp:positionV relativeFrom="page">
                <wp:posOffset>228600</wp:posOffset>
              </wp:positionV>
              <wp:extent cx="128016" cy="292608"/>
              <wp:effectExtent l="0" t="0" r="0" b="0"/>
              <wp:wrapSquare wrapText="bothSides"/>
              <wp:docPr id="2452198" name="Group 2452198"/>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199" name="Rectangle 2452199"/>
                      <wps:cNvSpPr/>
                      <wps:spPr>
                        <a:xfrm>
                          <a:off x="0" y="0"/>
                          <a:ext cx="170261" cy="389169"/>
                        </a:xfrm>
                        <a:prstGeom prst="rect">
                          <a:avLst/>
                        </a:prstGeom>
                        <a:ln>
                          <a:noFill/>
                        </a:ln>
                      </wps:spPr>
                      <wps:txbx>
                        <w:txbxContent>
                          <w:p w14:paraId="1EC2797A"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782D86ED" id="Group 2452198" o:spid="_x0000_s2025" style="position:absolute;left:0;text-align:left;margin-left:18.35pt;margin-top:18pt;width:10.1pt;height:23.05pt;z-index:251726848;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Kpy07sMAgAA&#10;lwQAAA4AAAAAAAAAAAAAAAAALgIAAGRycy9lMm9Eb2MueG1sUEsBAi0AFAAGAAgAAAAhALPTHHHe&#10;AAAABwEAAA8AAAAAAAAAAAAAAAAAZgQAAGRycy9kb3ducmV2LnhtbFBLBQYAAAAABAAEAPMAAABx&#10;BQAAAAA=&#10;">
              <v:rect id="Rectangle 2452199" o:spid="_x0000_s2026"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" filled="f" stroked="f">
                <v:textbox inset="0,0,0,0">
                  <w:txbxContent>
                    <w:p w14:paraId="1EC2797A"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3B21F496" w14:textId="77777777" w:rsidR="00053D93" w:rsidRDefault="00260B75">
    <w:pPr>
      <w:tabs>
        <w:tab w:val="center" w:pos="5904"/>
        <w:tab w:val="right" w:pos="10130"/>
      </w:tabs>
      <w:spacing w:after="0"/>
      <w:ind w:right="-22"/>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20B0EE38" w14:textId="77777777" w:rsidR="00053D93" w:rsidRDefault="00260B75">
    <w:pPr>
      <w:spacing w:after="0"/>
      <w:ind w:right="-22"/>
      <w:jc w:val="right"/>
    </w:pPr>
    <w:r>
      <w:rPr>
        <w:sz w:val="16"/>
      </w:rPr>
      <w:t>Y DEPORTES</w:t>
    </w:r>
  </w:p>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7715F" w14:textId="77777777" w:rsidR="00053D93" w:rsidRDefault="00260B75">
    <w:pPr>
      <w:spacing w:after="0"/>
      <w:ind w:left="14"/>
    </w:pPr>
    <w:r>
      <w:rPr>
        <w:sz w:val="74"/>
      </w:rPr>
      <w:t>1</w:t>
    </w:r>
  </w:p>
  <w:p w14:paraId="287531E3" w14:textId="77777777" w:rsidR="00053D93" w:rsidRDefault="00260B75">
    <w:pPr>
      <w:tabs>
        <w:tab w:val="center" w:pos="2729"/>
        <w:tab w:val="center" w:pos="7153"/>
        <w:tab w:val="right" w:pos="10130"/>
      </w:tabs>
      <w:spacing w:after="0"/>
    </w:pPr>
    <w: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w:t>
    </w:r>
    <w:r>
      <w:rPr>
        <w:sz w:val="16"/>
      </w:rPr>
      <w:t xml:space="preserve">AL SECTOR </w:t>
    </w:r>
    <w:r>
      <w:rPr>
        <w:sz w:val="16"/>
      </w:rPr>
      <w:tab/>
    </w:r>
    <w:r>
      <w:rPr>
        <w:sz w:val="14"/>
      </w:rPr>
      <w:t>CIENCIA. CULTURA</w:t>
    </w:r>
  </w:p>
  <w:p w14:paraId="3307AC5B" w14:textId="77777777" w:rsidR="00053D93" w:rsidRDefault="00260B75">
    <w:pPr>
      <w:spacing w:after="0"/>
      <w:ind w:right="22"/>
      <w:jc w:val="right"/>
    </w:pPr>
    <w:r>
      <w:rPr>
        <w:sz w:val="18"/>
      </w:rPr>
      <w:t xml:space="preserve">Y </w:t>
    </w:r>
    <w:r>
      <w:rPr>
        <w:sz w:val="16"/>
      </w:rPr>
      <w:t>DEPORTES</w:t>
    </w: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778CF" w14:textId="77777777" w:rsidR="00053D93" w:rsidRDefault="00260B75">
    <w:pPr>
      <w:spacing w:after="0"/>
      <w:ind w:left="14"/>
    </w:pPr>
    <w:r>
      <w:rPr>
        <w:noProof/>
      </w:rPr>
      <mc:AlternateContent>
        <mc:Choice Requires="wpg">
          <w:drawing>
            <wp:anchor distT="0" distB="0" distL="114300" distR="114300" simplePos="0" relativeHeight="251727872" behindDoc="0" locked="0" layoutInCell="1" allowOverlap="1" wp14:anchorId="1F4D591F" wp14:editId="7560B899">
              <wp:simplePos x="0" y="0"/>
              <wp:positionH relativeFrom="page">
                <wp:posOffset>233172</wp:posOffset>
              </wp:positionH>
              <wp:positionV relativeFrom="page">
                <wp:posOffset>228600</wp:posOffset>
              </wp:positionV>
              <wp:extent cx="128016" cy="292608"/>
              <wp:effectExtent l="0" t="0" r="0" b="0"/>
              <wp:wrapSquare wrapText="bothSides"/>
              <wp:docPr id="2452138" name="Group 2452138"/>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139" name="Rectangle 2452139"/>
                      <wps:cNvSpPr/>
                      <wps:spPr>
                        <a:xfrm>
                          <a:off x="0" y="0"/>
                          <a:ext cx="170261" cy="389169"/>
                        </a:xfrm>
                        <a:prstGeom prst="rect">
                          <a:avLst/>
                        </a:prstGeom>
                        <a:ln>
                          <a:noFill/>
                        </a:ln>
                      </wps:spPr>
                      <wps:txbx>
                        <w:txbxContent>
                          <w:p w14:paraId="13E7BA6B"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1F4D591F" id="Group 2452138" o:spid="_x0000_s2027" style="position:absolute;left:0;text-align:left;margin-left:18.35pt;margin-top:18pt;width:10.1pt;height:23.05pt;z-index:251727872;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">
              <v:rect id="Rectangle 2452139" o:spid="_x0000_s2028"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" filled="f" stroked="f">
                <v:textbox inset="0,0,0,0">
                  <w:txbxContent>
                    <w:p w14:paraId="13E7BA6B"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2DE26236" w14:textId="77777777" w:rsidR="00053D93" w:rsidRDefault="00260B75">
    <w:pPr>
      <w:tabs>
        <w:tab w:val="center" w:pos="5904"/>
        <w:tab w:val="right" w:pos="10130"/>
      </w:tabs>
      <w:spacing w:after="0"/>
      <w:ind w:right="-22"/>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60DE7041" w14:textId="77777777" w:rsidR="00053D93" w:rsidRDefault="00260B75">
    <w:pPr>
      <w:spacing w:after="0"/>
      <w:ind w:right="-22"/>
      <w:jc w:val="right"/>
    </w:pPr>
    <w:r>
      <w:rPr>
        <w:sz w:val="16"/>
      </w:rPr>
      <w:t>Y DEPORTES</w:t>
    </w:r>
  </w:p>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ED945" w14:textId="77777777" w:rsidR="00053D93" w:rsidRDefault="00260B75">
    <w:pPr>
      <w:tabs>
        <w:tab w:val="center" w:pos="2786"/>
        <w:tab w:val="right" w:pos="10152"/>
      </w:tabs>
      <w:spacing w:after="0"/>
      <w:ind w:right="-14"/>
    </w:pPr>
    <w:r>
      <w:rPr>
        <w:noProof/>
      </w:rPr>
      <mc:AlternateContent>
        <mc:Choice Requires="wpg">
          <w:drawing>
            <wp:anchor distT="0" distB="0" distL="114300" distR="114300" simplePos="0" relativeHeight="251728896" behindDoc="0" locked="0" layoutInCell="1" allowOverlap="1" wp14:anchorId="1A96CA95" wp14:editId="25E6797E">
              <wp:simplePos x="0" y="0"/>
              <wp:positionH relativeFrom="page">
                <wp:posOffset>237744</wp:posOffset>
              </wp:positionH>
              <wp:positionV relativeFrom="page">
                <wp:posOffset>237744</wp:posOffset>
              </wp:positionV>
              <wp:extent cx="114300" cy="297180"/>
              <wp:effectExtent l="0" t="0" r="0" b="0"/>
              <wp:wrapSquare wrapText="bothSides"/>
              <wp:docPr id="2452307" name="Group 2452307"/>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2308" name="Rectangle 2452308"/>
                      <wps:cNvSpPr/>
                      <wps:spPr>
                        <a:xfrm>
                          <a:off x="0" y="0"/>
                          <a:ext cx="152019" cy="395250"/>
                        </a:xfrm>
                        <a:prstGeom prst="rect">
                          <a:avLst/>
                        </a:prstGeom>
                        <a:ln>
                          <a:noFill/>
                        </a:ln>
                      </wps:spPr>
                      <wps:txbx>
                        <w:txbxContent>
                          <w:p w14:paraId="370577DB"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1A96CA95" id="Group 2452307" o:spid="_x0000_s2029" style="position:absolute;margin-left:18.7pt;margin-top:18.7pt;width:9pt;height:23.4pt;z-index:251728896;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">
              <v:rect id="Rectangle 2452308" o:spid="_x0000_s2030"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" filled="f" stroked="f">
                <v:textbox inset="0,0,0,0">
                  <w:txbxContent>
                    <w:p w14:paraId="370577DB"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4F521D48" w14:textId="77777777" w:rsidR="00053D93" w:rsidRDefault="00260B75">
    <w:pPr>
      <w:spacing w:after="0"/>
      <w:ind w:left="22" w:right="-14"/>
    </w:pPr>
    <w:r>
      <w:rPr>
        <w:sz w:val="16"/>
      </w:rPr>
      <w:t>Y DEPORTES</w:t>
    </w: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365CB" w14:textId="77777777" w:rsidR="00053D93" w:rsidRDefault="00260B75">
    <w:pPr>
      <w:spacing w:after="0"/>
      <w:ind w:left="14"/>
    </w:pPr>
    <w:r>
      <w:rPr>
        <w:noProof/>
      </w:rPr>
      <mc:AlternateContent>
        <mc:Choice Requires="wpg">
          <w:drawing>
            <wp:anchor distT="0" distB="0" distL="114300" distR="114300" simplePos="0" relativeHeight="251729920" behindDoc="0" locked="0" layoutInCell="1" allowOverlap="1" wp14:anchorId="15CF9591" wp14:editId="57A99764">
              <wp:simplePos x="0" y="0"/>
              <wp:positionH relativeFrom="page">
                <wp:posOffset>233172</wp:posOffset>
              </wp:positionH>
              <wp:positionV relativeFrom="page">
                <wp:posOffset>228600</wp:posOffset>
              </wp:positionV>
              <wp:extent cx="128016" cy="292608"/>
              <wp:effectExtent l="0" t="0" r="0" b="0"/>
              <wp:wrapSquare wrapText="bothSides"/>
              <wp:docPr id="2452263" name="Group 2452263"/>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264" name="Rectangle 2452264"/>
                      <wps:cNvSpPr/>
                      <wps:spPr>
                        <a:xfrm>
                          <a:off x="0" y="0"/>
                          <a:ext cx="170261" cy="389169"/>
                        </a:xfrm>
                        <a:prstGeom prst="rect">
                          <a:avLst/>
                        </a:prstGeom>
                        <a:ln>
                          <a:noFill/>
                        </a:ln>
                      </wps:spPr>
                      <wps:txbx>
                        <w:txbxContent>
                          <w:p w14:paraId="4332B728"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15CF9591" id="Group 2452263" o:spid="_x0000_s2031" style="position:absolute;left:0;text-align:left;margin-left:18.35pt;margin-top:18pt;width:10.1pt;height:23.05pt;z-index:251729920;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F2NvZAMAgAA&#10;lwQAAA4AAAAAAAAAAAAAAAAALgIAAGRycy9lMm9Eb2MueG1sUEsBAi0AFAAGAAgAAAAhALPTHHHe&#10;AAAABwEAAA8AAAAAAAAAAAAAAAAAZgQAAGRycy9kb3ducmV2LnhtbFBLBQYAAAAABAAEAPMAAABx&#10;BQAAAAA=&#10;">
              <v:rect id="Rectangle 2452264" o:spid="_x0000_s2032"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" filled="f" stroked="f">
                <v:textbox inset="0,0,0,0">
                  <w:txbxContent>
                    <w:p w14:paraId="4332B728"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28E4C249" w14:textId="77777777" w:rsidR="00053D93" w:rsidRDefault="00260B75">
    <w:pPr>
      <w:tabs>
        <w:tab w:val="center" w:pos="5904"/>
        <w:tab w:val="right" w:pos="10152"/>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6AFE446F" w14:textId="77777777" w:rsidR="00053D93" w:rsidRDefault="00260B75">
    <w:pPr>
      <w:spacing w:after="0"/>
      <w:jc w:val="right"/>
    </w:pPr>
    <w:r>
      <w:rPr>
        <w:sz w:val="16"/>
      </w:rPr>
      <w:t>Y DEPORTES</w:t>
    </w: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59693" w14:textId="77777777" w:rsidR="00053D93" w:rsidRDefault="00260B75">
    <w:pPr>
      <w:spacing w:after="0"/>
      <w:ind w:left="14"/>
    </w:pPr>
    <w:r>
      <w:rPr>
        <w:noProof/>
      </w:rPr>
      <mc:AlternateContent>
        <mc:Choice Requires="wpg">
          <w:drawing>
            <wp:anchor distT="0" distB="0" distL="114300" distR="114300" simplePos="0" relativeHeight="251730944" behindDoc="0" locked="0" layoutInCell="1" allowOverlap="1" wp14:anchorId="2021CE9E" wp14:editId="4C003D78">
              <wp:simplePos x="0" y="0"/>
              <wp:positionH relativeFrom="page">
                <wp:posOffset>233172</wp:posOffset>
              </wp:positionH>
              <wp:positionV relativeFrom="page">
                <wp:posOffset>228600</wp:posOffset>
              </wp:positionV>
              <wp:extent cx="128016" cy="292608"/>
              <wp:effectExtent l="0" t="0" r="0" b="0"/>
              <wp:wrapSquare wrapText="bothSides"/>
              <wp:docPr id="2452234" name="Group 2452234"/>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235" name="Rectangle 2452235"/>
                      <wps:cNvSpPr/>
                      <wps:spPr>
                        <a:xfrm>
                          <a:off x="0" y="0"/>
                          <a:ext cx="170261" cy="389169"/>
                        </a:xfrm>
                        <a:prstGeom prst="rect">
                          <a:avLst/>
                        </a:prstGeom>
                        <a:ln>
                          <a:noFill/>
                        </a:ln>
                      </wps:spPr>
                      <wps:txbx>
                        <w:txbxContent>
                          <w:p w14:paraId="775DF2CC"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2021CE9E" id="Group 2452234" o:spid="_x0000_s2033" style="position:absolute;left:0;text-align:left;margin-left:18.35pt;margin-top:18pt;width:10.1pt;height:23.05pt;z-index:251730944;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">
              <v:rect id="Rectangle 2452235" o:spid="_x0000_s2034"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" filled="f" stroked="f">
                <v:textbox inset="0,0,0,0">
                  <w:txbxContent>
                    <w:p w14:paraId="775DF2CC"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067E7606" w14:textId="77777777" w:rsidR="00053D93" w:rsidRDefault="00260B75">
    <w:pPr>
      <w:tabs>
        <w:tab w:val="center" w:pos="5904"/>
        <w:tab w:val="right" w:pos="10152"/>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3C8277F5" w14:textId="77777777" w:rsidR="00053D93" w:rsidRDefault="00260B75">
    <w:pPr>
      <w:spacing w:after="0"/>
      <w:jc w:val="right"/>
    </w:pPr>
    <w:r>
      <w:rPr>
        <w:sz w:val="16"/>
      </w:rPr>
      <w:t>Y DEPORTES</w:t>
    </w:r>
  </w:p>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2D447" w14:textId="77777777" w:rsidR="00053D93" w:rsidRDefault="00260B75">
    <w:pPr>
      <w:tabs>
        <w:tab w:val="center" w:pos="2808"/>
        <w:tab w:val="right" w:pos="10123"/>
      </w:tabs>
      <w:spacing w:after="0"/>
      <w:ind w:right="-65"/>
    </w:pPr>
    <w:r>
      <w:rPr>
        <w:noProof/>
      </w:rPr>
      <mc:AlternateContent>
        <mc:Choice Requires="wpg">
          <w:drawing>
            <wp:anchor distT="0" distB="0" distL="114300" distR="114300" simplePos="0" relativeHeight="251731968" behindDoc="0" locked="0" layoutInCell="1" allowOverlap="1" wp14:anchorId="4042F5AB" wp14:editId="63D76920">
              <wp:simplePos x="0" y="0"/>
              <wp:positionH relativeFrom="page">
                <wp:posOffset>237744</wp:posOffset>
              </wp:positionH>
              <wp:positionV relativeFrom="page">
                <wp:posOffset>237744</wp:posOffset>
              </wp:positionV>
              <wp:extent cx="114300" cy="297180"/>
              <wp:effectExtent l="0" t="0" r="0" b="0"/>
              <wp:wrapSquare wrapText="bothSides"/>
              <wp:docPr id="2452390" name="Group 2452390"/>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2391" name="Rectangle 2452391"/>
                      <wps:cNvSpPr/>
                      <wps:spPr>
                        <a:xfrm>
                          <a:off x="0" y="0"/>
                          <a:ext cx="152019" cy="395250"/>
                        </a:xfrm>
                        <a:prstGeom prst="rect">
                          <a:avLst/>
                        </a:prstGeom>
                        <a:ln>
                          <a:noFill/>
                        </a:ln>
                      </wps:spPr>
                      <wps:txbx>
                        <w:txbxContent>
                          <w:p w14:paraId="11A75606"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4042F5AB" id="Group 2452390" o:spid="_x0000_s2035" style="position:absolute;margin-left:18.7pt;margin-top:18.7pt;width:9pt;height:23.4pt;z-index:251731968;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">
              <v:rect id="Rectangle 2452391" o:spid="_x0000_s2036"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" filled="f" stroked="f">
                <v:textbox inset="0,0,0,0">
                  <w:txbxContent>
                    <w:p w14:paraId="11A75606"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3E167100" w14:textId="77777777" w:rsidR="00053D93" w:rsidRDefault="00260B75">
    <w:pPr>
      <w:spacing w:after="0"/>
      <w:ind w:left="43" w:right="-65"/>
    </w:pPr>
    <w:r>
      <w:rPr>
        <w:sz w:val="16"/>
      </w:rPr>
      <w:t>Y DEPORTES</w:t>
    </w:r>
  </w:p>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31B57" w14:textId="77777777" w:rsidR="00053D93" w:rsidRDefault="00260B75">
    <w:pPr>
      <w:tabs>
        <w:tab w:val="center" w:pos="2808"/>
        <w:tab w:val="right" w:pos="10123"/>
      </w:tabs>
      <w:spacing w:after="0"/>
      <w:ind w:right="-65"/>
    </w:pPr>
    <w:r>
      <w:rPr>
        <w:noProof/>
      </w:rPr>
      <mc:AlternateContent>
        <mc:Choice Requires="wpg">
          <w:drawing>
            <wp:anchor distT="0" distB="0" distL="114300" distR="114300" simplePos="0" relativeHeight="251732992" behindDoc="0" locked="0" layoutInCell="1" allowOverlap="1" wp14:anchorId="59E8DFD1" wp14:editId="55DF440B">
              <wp:simplePos x="0" y="0"/>
              <wp:positionH relativeFrom="page">
                <wp:posOffset>237744</wp:posOffset>
              </wp:positionH>
              <wp:positionV relativeFrom="page">
                <wp:posOffset>237744</wp:posOffset>
              </wp:positionV>
              <wp:extent cx="114300" cy="297180"/>
              <wp:effectExtent l="0" t="0" r="0" b="0"/>
              <wp:wrapSquare wrapText="bothSides"/>
              <wp:docPr id="2452362" name="Group 2452362"/>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2363" name="Rectangle 2452363"/>
                      <wps:cNvSpPr/>
                      <wps:spPr>
                        <a:xfrm>
                          <a:off x="0" y="0"/>
                          <a:ext cx="152019" cy="395250"/>
                        </a:xfrm>
                        <a:prstGeom prst="rect">
                          <a:avLst/>
                        </a:prstGeom>
                        <a:ln>
                          <a:noFill/>
                        </a:ln>
                      </wps:spPr>
                      <wps:txbx>
                        <w:txbxContent>
                          <w:p w14:paraId="08700E62"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9E8DFD1" id="Group 2452362" o:spid="_x0000_s2037" style="position:absolute;margin-left:18.7pt;margin-top:18.7pt;width:9pt;height:23.4pt;z-index:251732992;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">
              <v:rect id="Rectangle 2452363" o:spid="_x0000_s2038"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" filled="f" stroked="f">
                <v:textbox inset="0,0,0,0">
                  <w:txbxContent>
                    <w:p w14:paraId="08700E62"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ab/>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1 18</w:t>
    </w:r>
    <w:r>
      <w:rPr>
        <w:rFonts w:ascii="Times New Roman" w:eastAsia="Times New Roman" w:hAnsi="Times New Roman" w:cs="Times New Roman"/>
        <w:sz w:val="14"/>
      </w:rPr>
      <w:fldChar w:fldCharType="end"/>
    </w:r>
    <w:r>
      <w:rPr>
        <w:rFonts w:ascii="Times New Roman" w:eastAsia="Times New Roman" w:hAnsi="Times New Roman" w:cs="Times New Roman"/>
        <w:sz w:val="14"/>
      </w:rPr>
      <w:t xml:space="preserve"> </w: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363CC6D3" w14:textId="77777777" w:rsidR="00053D93" w:rsidRDefault="00260B75">
    <w:pPr>
      <w:spacing w:after="0"/>
      <w:ind w:left="43" w:right="-65"/>
    </w:pPr>
    <w:r>
      <w:rPr>
        <w:sz w:val="16"/>
      </w:rPr>
      <w:t>Y DEPORTES</w:t>
    </w: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9824C"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EB879FF" w14:textId="77777777" w:rsidR="00053D93" w:rsidRDefault="00260B75">
    <w:pPr>
      <w:tabs>
        <w:tab w:val="center" w:pos="2761"/>
        <w:tab w:val="center" w:pos="5897"/>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462D040D" w14:textId="77777777" w:rsidR="00053D93" w:rsidRDefault="00260B75">
    <w:pPr>
      <w:spacing w:after="0"/>
      <w:ind w:right="-7"/>
      <w:jc w:val="right"/>
    </w:pPr>
    <w:r>
      <w:rPr>
        <w:sz w:val="16"/>
      </w:rPr>
      <w:t>Y DEPORTES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21C92" w14:textId="77777777" w:rsidR="00053D93" w:rsidRDefault="00260B75">
    <w:pPr>
      <w:spacing w:after="0"/>
      <w:ind w:left="3643"/>
      <w:jc w:val="center"/>
    </w:pPr>
    <w:r>
      <w:rPr>
        <w:sz w:val="14"/>
      </w:rPr>
      <w:t xml:space="preserve">DIRECCIÓN </w:t>
    </w:r>
    <w:r>
      <w:rPr>
        <w:sz w:val="16"/>
      </w:rPr>
      <w:t xml:space="preserve">DE </w:t>
    </w:r>
    <w:r>
      <w:rPr>
        <w:sz w:val="14"/>
      </w:rPr>
      <w:t xml:space="preserve">AUDITORÍA AL </w:t>
    </w:r>
  </w:p>
  <w:p w14:paraId="076EB594" w14:textId="77777777" w:rsidR="00053D93" w:rsidRDefault="00260B75">
    <w:pPr>
      <w:tabs>
        <w:tab w:val="center" w:pos="2689"/>
        <w:tab w:val="right" w:pos="10087"/>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3D38AC82" w14:textId="77777777" w:rsidR="00053D93" w:rsidRDefault="00260B75">
    <w:pPr>
      <w:spacing w:after="0"/>
      <w:ind w:right="14"/>
      <w:jc w:val="right"/>
    </w:pPr>
    <w:r>
      <w:rPr>
        <w:sz w:val="16"/>
      </w:rPr>
      <w:t>Y DEPORTES</w:t>
    </w:r>
  </w:p>
</w:hdr>
</file>

<file path=word/header2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9E15D" w14:textId="77777777" w:rsidR="00053D93" w:rsidRDefault="00260B75">
    <w:pPr>
      <w:spacing w:after="0"/>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38678799" w14:textId="77777777" w:rsidR="00053D93" w:rsidRDefault="00260B75">
    <w:pPr>
      <w:tabs>
        <w:tab w:val="center" w:pos="2336"/>
        <w:tab w:val="center" w:pos="3539"/>
      </w:tabs>
      <w:spacing w:after="0"/>
    </w:pPr>
    <w:r>
      <w:tab/>
    </w:r>
    <w:r>
      <w:rPr>
        <w:sz w:val="14"/>
      </w:rPr>
      <w:t xml:space="preserve">CONTRALORIA GENERAL </w:t>
    </w:r>
    <w:r>
      <w:rPr>
        <w:sz w:val="14"/>
      </w:rPr>
      <w:tab/>
      <w:t>CUENTAS</w:t>
    </w:r>
  </w:p>
  <w:p w14:paraId="76C9D81D" w14:textId="77777777" w:rsidR="00053D93" w:rsidRDefault="00260B75">
    <w:pPr>
      <w:spacing w:after="0"/>
      <w:jc w:val="right"/>
    </w:pPr>
    <w:r>
      <w:rPr>
        <w:sz w:val="16"/>
      </w:rPr>
      <w:t>Y DEPORTES</w:t>
    </w:r>
  </w:p>
</w:hdr>
</file>

<file path=word/header2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FEF82" w14:textId="77777777" w:rsidR="00053D93" w:rsidRDefault="00260B75">
    <w:pPr>
      <w:spacing w:after="0"/>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4E3446DC" w14:textId="77777777" w:rsidR="00053D93" w:rsidRDefault="00260B75">
    <w:pPr>
      <w:tabs>
        <w:tab w:val="center" w:pos="2336"/>
        <w:tab w:val="center" w:pos="3539"/>
      </w:tabs>
      <w:spacing w:after="0"/>
    </w:pPr>
    <w:r>
      <w:tab/>
    </w:r>
    <w:r>
      <w:rPr>
        <w:sz w:val="14"/>
      </w:rPr>
      <w:t xml:space="preserve">CONTRALORIA GENERAL </w:t>
    </w:r>
    <w:r>
      <w:rPr>
        <w:sz w:val="14"/>
      </w:rPr>
      <w:tab/>
      <w:t>CUENTAS</w:t>
    </w:r>
  </w:p>
  <w:p w14:paraId="468F50D8" w14:textId="77777777" w:rsidR="00053D93" w:rsidRDefault="00260B75">
    <w:pPr>
      <w:spacing w:after="0"/>
      <w:jc w:val="right"/>
    </w:pPr>
    <w:r>
      <w:rPr>
        <w:sz w:val="16"/>
      </w:rPr>
      <w:t>Y DEPORTES</w:t>
    </w:r>
  </w:p>
</w:hdr>
</file>

<file path=word/header2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9D1F0" w14:textId="77777777" w:rsidR="00053D93" w:rsidRDefault="00260B75">
    <w:pPr>
      <w:spacing w:after="0"/>
      <w:ind w:left="151" w:right="-187"/>
    </w:pPr>
    <w:r>
      <w:rPr>
        <w:noProof/>
      </w:rPr>
      <mc:AlternateContent>
        <mc:Choice Requires="wpg">
          <w:drawing>
            <wp:anchor distT="0" distB="0" distL="114300" distR="114300" simplePos="0" relativeHeight="251734016" behindDoc="0" locked="0" layoutInCell="1" allowOverlap="1" wp14:anchorId="71424225" wp14:editId="15F071B7">
              <wp:simplePos x="0" y="0"/>
              <wp:positionH relativeFrom="page">
                <wp:posOffset>329184</wp:posOffset>
              </wp:positionH>
              <wp:positionV relativeFrom="page">
                <wp:posOffset>260604</wp:posOffset>
              </wp:positionV>
              <wp:extent cx="114300" cy="297180"/>
              <wp:effectExtent l="0" t="0" r="0" b="0"/>
              <wp:wrapSquare wrapText="bothSides"/>
              <wp:docPr id="2452411" name="Group 2452411"/>
              <wp:cNvGraphicFramePr/>
              <a:graphic xmlns:a="http://schemas.openxmlformats.org/drawingml/2006/main">
                <a:graphicData uri="http://schemas.microsoft.com/office/word/2010/wordprocessingGroup">
                  <wpg:wgp>
                    <wpg:cNvGrpSpPr/>
                    <wpg:grpSpPr>
                      <a:xfrm>
                        <a:off x="0" y="0"/>
                        <a:ext cx="114300" cy="297180"/>
                        <a:chOff x="0" y="0"/>
                        <a:chExt cx="114300" cy="297180"/>
                      </a:xfrm>
                    </wpg:grpSpPr>
                    <wps:wsp>
                      <wps:cNvPr id="2452412" name="Rectangle 2452412"/>
                      <wps:cNvSpPr/>
                      <wps:spPr>
                        <a:xfrm>
                          <a:off x="0" y="0"/>
                          <a:ext cx="152019" cy="395250"/>
                        </a:xfrm>
                        <a:prstGeom prst="rect">
                          <a:avLst/>
                        </a:prstGeom>
                        <a:ln>
                          <a:noFill/>
                        </a:ln>
                      </wps:spPr>
                      <wps:txbx>
                        <w:txbxContent>
                          <w:p w14:paraId="5108A5CF"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71424225" id="Group 2452411" o:spid="_x0000_s2039" style="position:absolute;left:0;text-align:left;margin-left:25.9pt;margin-top:20.5pt;width:9pt;height:23.4pt;z-index:251734016;mso-position-horizontal-relative:page;mso-position-vertical-relative:page" coordsize="1143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">
              <v:rect id="Rectangle 2452412" o:spid="_x0000_s2040" style="position:absolute;width:152019;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" filled="f" stroked="f">
                <v:textbox inset="0,0,0,0">
                  <w:txbxContent>
                    <w:p w14:paraId="5108A5CF"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357C61E" w14:textId="77777777" w:rsidR="00053D93" w:rsidRDefault="00260B75">
    <w:pPr>
      <w:tabs>
        <w:tab w:val="right" w:pos="10109"/>
      </w:tabs>
      <w:spacing w:after="0"/>
      <w:ind w:right="-180"/>
    </w:pPr>
    <w:r>
      <w:rPr>
        <w:sz w:val="14"/>
      </w:rPr>
      <w:t xml:space="preserve">CONTRALORIA GENERAL </w:t>
    </w:r>
    <w:r>
      <w:rPr>
        <w:sz w:val="16"/>
      </w:rPr>
      <w:t xml:space="preserve">DE </w:t>
    </w:r>
    <w:r>
      <w:rPr>
        <w:sz w:val="14"/>
      </w:rPr>
      <w:t>CUENTAS</w:t>
    </w:r>
    <w:r>
      <w:rPr>
        <w:sz w:val="14"/>
      </w:rPr>
      <w:tab/>
    </w:r>
    <w:r>
      <w:rPr>
        <w:sz w:val="18"/>
      </w:rPr>
      <w:t xml:space="preserve">Y </w:t>
    </w:r>
    <w:r>
      <w:rPr>
        <w:sz w:val="16"/>
      </w:rPr>
      <w:t>DEPORTES</w:t>
    </w:r>
  </w:p>
</w:hdr>
</file>

<file path=word/header2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61F44" w14:textId="77777777" w:rsidR="00053D93" w:rsidRDefault="00260B75">
    <w:pPr>
      <w:spacing w:after="0"/>
      <w:ind w:left="29"/>
    </w:pPr>
    <w:r>
      <w:rPr>
        <w:noProof/>
      </w:rPr>
      <mc:AlternateContent>
        <mc:Choice Requires="wpg">
          <w:drawing>
            <wp:anchor distT="0" distB="0" distL="114300" distR="114300" simplePos="0" relativeHeight="251735040" behindDoc="0" locked="0" layoutInCell="1" allowOverlap="1" wp14:anchorId="44473F17" wp14:editId="7C4C2560">
              <wp:simplePos x="0" y="0"/>
              <wp:positionH relativeFrom="page">
                <wp:posOffset>233172</wp:posOffset>
              </wp:positionH>
              <wp:positionV relativeFrom="page">
                <wp:posOffset>228600</wp:posOffset>
              </wp:positionV>
              <wp:extent cx="128016" cy="292608"/>
              <wp:effectExtent l="0" t="0" r="0" b="0"/>
              <wp:wrapSquare wrapText="bothSides"/>
              <wp:docPr id="2452529" name="Group 2452529"/>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530" name="Rectangle 2452530"/>
                      <wps:cNvSpPr/>
                      <wps:spPr>
                        <a:xfrm>
                          <a:off x="0" y="0"/>
                          <a:ext cx="170261" cy="389169"/>
                        </a:xfrm>
                        <a:prstGeom prst="rect">
                          <a:avLst/>
                        </a:prstGeom>
                        <a:ln>
                          <a:noFill/>
                        </a:ln>
                      </wps:spPr>
                      <wps:txbx>
                        <w:txbxContent>
                          <w:p w14:paraId="19038932"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44473F17" id="Group 2452529" o:spid="_x0000_s2041" style="position:absolute;left:0;text-align:left;margin-left:18.35pt;margin-top:18pt;width:10.1pt;height:23.05pt;z-index:251735040;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">
              <v:rect id="Rectangle 2452530" o:spid="_x0000_s2042"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" filled="f" stroked="f">
                <v:textbox inset="0,0,0,0">
                  <w:txbxContent>
                    <w:p w14:paraId="19038932"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200A3F62" w14:textId="77777777" w:rsidR="00053D93" w:rsidRDefault="00260B75">
    <w:pPr>
      <w:tabs>
        <w:tab w:val="center" w:pos="5918"/>
        <w:tab w:val="right" w:pos="10166"/>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442E579C" w14:textId="77777777" w:rsidR="00053D93" w:rsidRDefault="00260B75">
    <w:pPr>
      <w:spacing w:after="0"/>
      <w:jc w:val="right"/>
    </w:pPr>
    <w:r>
      <w:rPr>
        <w:sz w:val="16"/>
      </w:rPr>
      <w:t>Y DEPORTES</w:t>
    </w:r>
  </w:p>
</w:hdr>
</file>

<file path=word/header2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F20FF" w14:textId="77777777" w:rsidR="00053D93" w:rsidRDefault="00260B75">
    <w:pPr>
      <w:spacing w:after="0"/>
      <w:ind w:left="36"/>
    </w:pPr>
    <w:r>
      <w:rPr>
        <w:noProof/>
      </w:rPr>
      <mc:AlternateContent>
        <mc:Choice Requires="wpg">
          <w:drawing>
            <wp:anchor distT="0" distB="0" distL="114300" distR="114300" simplePos="0" relativeHeight="251736064" behindDoc="0" locked="0" layoutInCell="1" allowOverlap="1" wp14:anchorId="1042D3C8" wp14:editId="6EC35587">
              <wp:simplePos x="0" y="0"/>
              <wp:positionH relativeFrom="page">
                <wp:posOffset>237744</wp:posOffset>
              </wp:positionH>
              <wp:positionV relativeFrom="page">
                <wp:posOffset>224028</wp:posOffset>
              </wp:positionV>
              <wp:extent cx="114300" cy="301752"/>
              <wp:effectExtent l="0" t="0" r="0" b="0"/>
              <wp:wrapSquare wrapText="bothSides"/>
              <wp:docPr id="2452504" name="Group 2452504"/>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2505" name="Rectangle 2452505"/>
                      <wps:cNvSpPr/>
                      <wps:spPr>
                        <a:xfrm>
                          <a:off x="0" y="0"/>
                          <a:ext cx="152019" cy="401330"/>
                        </a:xfrm>
                        <a:prstGeom prst="rect">
                          <a:avLst/>
                        </a:prstGeom>
                        <a:ln>
                          <a:noFill/>
                        </a:ln>
                      </wps:spPr>
                      <wps:txbx>
                        <w:txbxContent>
                          <w:p w14:paraId="6AC8FF6D"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1042D3C8" id="Group 2452504" o:spid="_x0000_s2043" style="position:absolute;left:0;text-align:left;margin-left:18.7pt;margin-top:17.65pt;width:9pt;height:23.75pt;z-index:251736064;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">
              <v:rect id="Rectangle 2452505" o:spid="_x0000_s204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" filled="f" stroked="f">
                <v:textbox inset="0,0,0,0">
                  <w:txbxContent>
                    <w:p w14:paraId="6AC8FF6D"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08118971" w14:textId="77777777" w:rsidR="00053D93" w:rsidRDefault="00260B75">
    <w:pPr>
      <w:tabs>
        <w:tab w:val="right" w:pos="10166"/>
      </w:tabs>
      <w:spacing w:after="0"/>
      <w:ind w:right="-14"/>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23D26D60" w14:textId="77777777" w:rsidR="00053D93" w:rsidRDefault="00260B75">
    <w:pPr>
      <w:spacing w:after="0"/>
      <w:ind w:right="-7"/>
      <w:jc w:val="right"/>
    </w:pPr>
    <w:r>
      <w:rPr>
        <w:sz w:val="16"/>
      </w:rPr>
      <w:t>Y DEPORTES</w:t>
    </w:r>
  </w:p>
</w:hdr>
</file>

<file path=word/header2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9A6B8" w14:textId="77777777" w:rsidR="00053D93" w:rsidRDefault="00260B75">
    <w:pPr>
      <w:spacing w:after="0"/>
      <w:ind w:left="-72"/>
    </w:pPr>
    <w:r>
      <w:rPr>
        <w:noProof/>
      </w:rPr>
      <mc:AlternateContent>
        <mc:Choice Requires="wpg">
          <w:drawing>
            <wp:anchor distT="0" distB="0" distL="114300" distR="114300" simplePos="0" relativeHeight="251737088" behindDoc="0" locked="0" layoutInCell="1" allowOverlap="1" wp14:anchorId="56B50CE2" wp14:editId="7ABC2938">
              <wp:simplePos x="0" y="0"/>
              <wp:positionH relativeFrom="page">
                <wp:posOffset>169164</wp:posOffset>
              </wp:positionH>
              <wp:positionV relativeFrom="page">
                <wp:posOffset>333756</wp:posOffset>
              </wp:positionV>
              <wp:extent cx="114300" cy="301752"/>
              <wp:effectExtent l="0" t="0" r="0" b="0"/>
              <wp:wrapSquare wrapText="bothSides"/>
              <wp:docPr id="2452485" name="Group 2452485"/>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2486" name="Rectangle 2452486"/>
                      <wps:cNvSpPr/>
                      <wps:spPr>
                        <a:xfrm>
                          <a:off x="0" y="0"/>
                          <a:ext cx="152019" cy="401330"/>
                        </a:xfrm>
                        <a:prstGeom prst="rect">
                          <a:avLst/>
                        </a:prstGeom>
                        <a:ln>
                          <a:noFill/>
                        </a:ln>
                      </wps:spPr>
                      <wps:txbx>
                        <w:txbxContent>
                          <w:p w14:paraId="481AF51F"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anchor>
          </w:drawing>
        </mc:Choice>
        <mc:Fallback>
          <w:pict>
            <v:group w14:anchorId="56B50CE2" id="Group 2452485" o:spid="_x0000_s2045" style="position:absolute;left:0;text-align:left;margin-left:13.3pt;margin-top:26.3pt;width:9pt;height:23.75pt;z-index:251737088;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">
              <v:rect id="Rectangle 2452486" o:spid="_x0000_s2046"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" filled="f" stroked="f">
                <v:textbox inset="0,0,0,0">
                  <w:txbxContent>
                    <w:p w14:paraId="481AF51F" w14:textId="77777777" w:rsidR="00053D93" w:rsidRDefault="00260B75">
                      <w:r>
                        <w:rPr>
                          <w:rFonts w:ascii="Times New Roman" w:eastAsia="Times New Roman" w:hAnsi="Times New Roman" w:cs="Times New Roman"/>
                          <w:sz w:val="66"/>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49ADA7F3" w14:textId="77777777" w:rsidR="00053D93" w:rsidRDefault="00260B75">
    <w:pPr>
      <w:tabs>
        <w:tab w:val="right" w:pos="10166"/>
      </w:tabs>
      <w:spacing w:after="0"/>
      <w:ind w:left="-72"/>
    </w:pPr>
    <w:r>
      <w:rPr>
        <w:sz w:val="14"/>
      </w:rPr>
      <w:t>CONTRALORÍA GENERAL CUENTAS</w:t>
    </w:r>
    <w:r>
      <w:rPr>
        <w:sz w:val="14"/>
      </w:rPr>
      <w:tab/>
    </w:r>
    <w:r>
      <w:rPr>
        <w:sz w:val="16"/>
      </w:rPr>
      <w:t xml:space="preserve">Y </w:t>
    </w:r>
    <w:r>
      <w:rPr>
        <w:sz w:val="14"/>
      </w:rPr>
      <w:t>DEPORTES</w:t>
    </w:r>
  </w:p>
</w:hdr>
</file>

<file path=word/header2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3CE78" w14:textId="77777777" w:rsidR="00053D93" w:rsidRDefault="00260B75">
    <w:pPr>
      <w:spacing w:after="0"/>
      <w:ind w:right="2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664B626" w14:textId="77777777" w:rsidR="00053D93" w:rsidRDefault="00260B75">
    <w:pPr>
      <w:tabs>
        <w:tab w:val="center" w:pos="2776"/>
        <w:tab w:val="center" w:pos="5911"/>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0ACA081" w14:textId="77777777" w:rsidR="00053D93" w:rsidRDefault="00260B75">
    <w:pPr>
      <w:spacing w:after="0"/>
      <w:ind w:right="29"/>
      <w:jc w:val="right"/>
    </w:pPr>
    <w:r>
      <w:rPr>
        <w:sz w:val="16"/>
      </w:rPr>
      <w:t>Y DEPORTES</w:t>
    </w:r>
  </w:p>
</w:hdr>
</file>

<file path=word/header2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119C4" w14:textId="77777777" w:rsidR="00053D93" w:rsidRDefault="00260B75">
    <w:pPr>
      <w:spacing w:after="0"/>
      <w:ind w:right="2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AB63B16" w14:textId="77777777" w:rsidR="00053D93" w:rsidRDefault="00260B75">
    <w:pPr>
      <w:tabs>
        <w:tab w:val="center" w:pos="2776"/>
        <w:tab w:val="center" w:pos="5911"/>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1C058E64" w14:textId="77777777" w:rsidR="00053D93" w:rsidRDefault="00260B75">
    <w:pPr>
      <w:spacing w:after="0"/>
      <w:ind w:right="29"/>
      <w:jc w:val="right"/>
    </w:pPr>
    <w:r>
      <w:rPr>
        <w:sz w:val="16"/>
      </w:rPr>
      <w:t>Y DEPORTES</w:t>
    </w:r>
  </w:p>
</w:hdr>
</file>

<file path=word/header2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C13C4" w14:textId="77777777" w:rsidR="00053D93" w:rsidRDefault="00260B75">
    <w:pPr>
      <w:spacing w:after="0" w:line="216" w:lineRule="auto"/>
      <w:ind w:left="36"/>
      <w:jc w:val="both"/>
    </w:pPr>
    <w:r>
      <w:rPr>
        <w:noProof/>
      </w:rPr>
      <mc:AlternateContent>
        <mc:Choice Requires="wpg">
          <w:drawing>
            <wp:anchor distT="0" distB="0" distL="114300" distR="114300" simplePos="0" relativeHeight="251738112" behindDoc="0" locked="0" layoutInCell="1" allowOverlap="1" wp14:anchorId="1F86317F" wp14:editId="7A259B31">
              <wp:simplePos x="0" y="0"/>
              <wp:positionH relativeFrom="page">
                <wp:posOffset>224028</wp:posOffset>
              </wp:positionH>
              <wp:positionV relativeFrom="page">
                <wp:posOffset>256032</wp:posOffset>
              </wp:positionV>
              <wp:extent cx="118872" cy="292608"/>
              <wp:effectExtent l="0" t="0" r="0" b="0"/>
              <wp:wrapSquare wrapText="bothSides"/>
              <wp:docPr id="2452573" name="Group 2452573"/>
              <wp:cNvGraphicFramePr/>
              <a:graphic xmlns:a="http://schemas.openxmlformats.org/drawingml/2006/main">
                <a:graphicData uri="http://schemas.microsoft.com/office/word/2010/wordprocessingGroup">
                  <wpg:wgp>
                    <wpg:cNvGrpSpPr/>
                    <wpg:grpSpPr>
                      <a:xfrm>
                        <a:off x="0" y="0"/>
                        <a:ext cx="118872" cy="292608"/>
                        <a:chOff x="0" y="0"/>
                        <a:chExt cx="118872" cy="292608"/>
                      </a:xfrm>
                    </wpg:grpSpPr>
                    <wps:wsp>
                      <wps:cNvPr id="2452574" name="Rectangle 2452574"/>
                      <wps:cNvSpPr/>
                      <wps:spPr>
                        <a:xfrm>
                          <a:off x="0" y="0"/>
                          <a:ext cx="158100" cy="389169"/>
                        </a:xfrm>
                        <a:prstGeom prst="rect">
                          <a:avLst/>
                        </a:prstGeom>
                        <a:ln>
                          <a:noFill/>
                        </a:ln>
                      </wps:spPr>
                      <wps:txbx>
                        <w:txbxContent>
                          <w:p w14:paraId="55D5F3B2"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1F86317F" id="Group 2452573" o:spid="_x0000_s2047" style="position:absolute;left:0;text-align:left;margin-left:17.65pt;margin-top:20.15pt;width:9.35pt;height:23.05pt;z-index:251738112;mso-position-horizontal-relative:page;mso-position-vertical-relative:page" coordsize="118872,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">
              <v:rect id="Rectangle 2452574" o:spid="_x0000_s2048" style="position:absolute;width:158100;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" filled="f" stroked="f">
                <v:textbox inset="0,0,0,0">
                  <w:txbxContent>
                    <w:p w14:paraId="55D5F3B2" w14:textId="77777777" w:rsidR="00053D93" w:rsidRDefault="00260B75">
                      <w:r>
                        <w:rPr>
                          <w:sz w:val="72"/>
                        </w:rPr>
                        <w:t>1</w:t>
                      </w:r>
                    </w:p>
                  </w:txbxContent>
                </v:textbox>
              </v:rect>
              <w10:wrap type="square" anchorx="page" anchory="page"/>
            </v:group>
          </w:pict>
        </mc:Fallback>
      </mc:AlternateContent>
    </w:r>
    <w:r>
      <w:rPr>
        <w:sz w:val="14"/>
      </w:rPr>
      <w:tab/>
      <w:t xml:space="preserve">DIRECCIÓN </w:t>
    </w:r>
    <w:r>
      <w:rPr>
        <w:sz w:val="16"/>
      </w:rPr>
      <w:t xml:space="preserve">DE </w:t>
    </w:r>
    <w:r>
      <w:rPr>
        <w:sz w:val="14"/>
      </w:rPr>
      <w:t xml:space="preserve">AUDITORIA </w:t>
    </w:r>
    <w:r>
      <w:rPr>
        <w:sz w:val="16"/>
      </w:rPr>
      <w:t xml:space="preserve">SECTOR </w:t>
    </w:r>
    <w:r>
      <w:rPr>
        <w:sz w:val="14"/>
      </w:rPr>
      <w:t xml:space="preserve">EDUCACIÓN. CIENCIA. CULTURA CONTRALORiA GENERAL </w:t>
    </w:r>
    <w:r>
      <w:rPr>
        <w:sz w:val="16"/>
      </w:rPr>
      <w:t xml:space="preserve">DE </w:t>
    </w:r>
    <w:r>
      <w:rPr>
        <w:sz w:val="14"/>
      </w:rPr>
      <w:t xml:space="preserve">CUENTAS </w:t>
    </w:r>
    <w:r>
      <w:fldChar w:fldCharType="begin"/>
    </w:r>
    <w:r>
      <w:instrText xml:space="preserve"> PAGE   \* MERGEFORMAT </w:instrText>
    </w:r>
    <w:r>
      <w:fldChar w:fldCharType="separate"/>
    </w:r>
    <w:r>
      <w:rPr>
        <w:sz w:val="14"/>
      </w:rPr>
      <w:t>269</w:t>
    </w:r>
    <w:r>
      <w:rPr>
        <w:sz w:val="14"/>
      </w:rPr>
      <w:fldChar w:fldCharType="end"/>
    </w:r>
  </w:p>
  <w:p w14:paraId="2F8F1D7F" w14:textId="77777777" w:rsidR="00053D93" w:rsidRDefault="00260B75">
    <w:pPr>
      <w:spacing w:after="0"/>
      <w:ind w:right="36"/>
      <w:jc w:val="right"/>
    </w:pPr>
    <w:r>
      <w:rPr>
        <w:sz w:val="16"/>
      </w:rPr>
      <w:t>Y DEPORTES</w:t>
    </w:r>
  </w:p>
</w:hdr>
</file>

<file path=word/header2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54A22" w14:textId="77777777" w:rsidR="00053D93" w:rsidRDefault="00260B75">
    <w:pPr>
      <w:spacing w:after="0"/>
      <w:ind w:left="22"/>
    </w:pPr>
    <w:r>
      <w:rPr>
        <w:noProof/>
      </w:rPr>
      <mc:AlternateContent>
        <mc:Choice Requires="wpg">
          <w:drawing>
            <wp:anchor distT="0" distB="0" distL="114300" distR="114300" simplePos="0" relativeHeight="251739136" behindDoc="0" locked="0" layoutInCell="1" allowOverlap="1" wp14:anchorId="0FBFA0A3" wp14:editId="45824E2D">
              <wp:simplePos x="0" y="0"/>
              <wp:positionH relativeFrom="page">
                <wp:posOffset>233172</wp:posOffset>
              </wp:positionH>
              <wp:positionV relativeFrom="page">
                <wp:posOffset>228600</wp:posOffset>
              </wp:positionV>
              <wp:extent cx="128016" cy="292608"/>
              <wp:effectExtent l="0" t="0" r="0" b="0"/>
              <wp:wrapSquare wrapText="bothSides"/>
              <wp:docPr id="2452698" name="Group 2452698"/>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699" name="Rectangle 2452699"/>
                      <wps:cNvSpPr/>
                      <wps:spPr>
                        <a:xfrm>
                          <a:off x="0" y="0"/>
                          <a:ext cx="170261" cy="389169"/>
                        </a:xfrm>
                        <a:prstGeom prst="rect">
                          <a:avLst/>
                        </a:prstGeom>
                        <a:ln>
                          <a:noFill/>
                        </a:ln>
                      </wps:spPr>
                      <wps:txbx>
                        <w:txbxContent>
                          <w:p w14:paraId="00F2CF4D"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0FBFA0A3" id="Group 2452698" o:spid="_x0000_s2049" style="position:absolute;left:0;text-align:left;margin-left:18.35pt;margin-top:18pt;width:10.1pt;height:23.05pt;z-index:251739136;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">
              <v:rect id="Rectangle 2452699" o:spid="_x0000_s2050"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" filled="f" stroked="f">
                <v:textbox inset="0,0,0,0">
                  <w:txbxContent>
                    <w:p w14:paraId="00F2CF4D"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7549D05E" w14:textId="77777777" w:rsidR="00053D93" w:rsidRDefault="00260B75">
    <w:pPr>
      <w:tabs>
        <w:tab w:val="center" w:pos="5911"/>
        <w:tab w:val="right" w:pos="10123"/>
      </w:tabs>
      <w:spacing w:after="0"/>
      <w:ind w:right="-36"/>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2BCB9412" w14:textId="77777777" w:rsidR="00053D93" w:rsidRDefault="00260B75">
    <w:pPr>
      <w:spacing w:after="0"/>
      <w:ind w:right="-36"/>
      <w:jc w:val="right"/>
    </w:pPr>
    <w:r>
      <w:rPr>
        <w:sz w:val="16"/>
      </w:rPr>
      <w:t>Y DEPORTES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46092" w14:textId="77777777" w:rsidR="00053D93" w:rsidRDefault="00260B75">
    <w:pPr>
      <w:spacing w:after="0"/>
      <w:ind w:left="3643"/>
      <w:jc w:val="center"/>
    </w:pPr>
    <w:r>
      <w:rPr>
        <w:sz w:val="14"/>
      </w:rPr>
      <w:t xml:space="preserve">DIRECCIÓN </w:t>
    </w:r>
    <w:r>
      <w:rPr>
        <w:sz w:val="16"/>
      </w:rPr>
      <w:t xml:space="preserve">DE </w:t>
    </w:r>
    <w:r>
      <w:rPr>
        <w:sz w:val="14"/>
      </w:rPr>
      <w:t xml:space="preserve">AUDITORÍA AL </w:t>
    </w:r>
  </w:p>
  <w:p w14:paraId="2BF9C297" w14:textId="77777777" w:rsidR="00053D93" w:rsidRDefault="00260B75">
    <w:pPr>
      <w:tabs>
        <w:tab w:val="center" w:pos="2689"/>
        <w:tab w:val="right" w:pos="10087"/>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7AAF6F2" w14:textId="77777777" w:rsidR="00053D93" w:rsidRDefault="00260B75">
    <w:pPr>
      <w:spacing w:after="0"/>
      <w:ind w:right="14"/>
      <w:jc w:val="right"/>
    </w:pPr>
    <w:r>
      <w:rPr>
        <w:sz w:val="16"/>
      </w:rPr>
      <w:t>Y DEPORTES</w:t>
    </w:r>
  </w:p>
</w:hdr>
</file>

<file path=word/header2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68E16" w14:textId="77777777" w:rsidR="00053D93" w:rsidRDefault="00260B75">
    <w:pPr>
      <w:spacing w:after="0"/>
      <w:ind w:left="22"/>
    </w:pPr>
    <w:r>
      <w:rPr>
        <w:noProof/>
      </w:rPr>
      <mc:AlternateContent>
        <mc:Choice Requires="wpg">
          <w:drawing>
            <wp:anchor distT="0" distB="0" distL="114300" distR="114300" simplePos="0" relativeHeight="251740160" behindDoc="0" locked="0" layoutInCell="1" allowOverlap="1" wp14:anchorId="32FE00B2" wp14:editId="556D792A">
              <wp:simplePos x="0" y="0"/>
              <wp:positionH relativeFrom="page">
                <wp:posOffset>233172</wp:posOffset>
              </wp:positionH>
              <wp:positionV relativeFrom="page">
                <wp:posOffset>228600</wp:posOffset>
              </wp:positionV>
              <wp:extent cx="128016" cy="292608"/>
              <wp:effectExtent l="0" t="0" r="0" b="0"/>
              <wp:wrapSquare wrapText="bothSides"/>
              <wp:docPr id="2452664" name="Group 2452664"/>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665" name="Rectangle 2452665"/>
                      <wps:cNvSpPr/>
                      <wps:spPr>
                        <a:xfrm>
                          <a:off x="0" y="0"/>
                          <a:ext cx="170261" cy="389169"/>
                        </a:xfrm>
                        <a:prstGeom prst="rect">
                          <a:avLst/>
                        </a:prstGeom>
                        <a:ln>
                          <a:noFill/>
                        </a:ln>
                      </wps:spPr>
                      <wps:txbx>
                        <w:txbxContent>
                          <w:p w14:paraId="7DFBE2C0"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32FE00B2" id="Group 2452664" o:spid="_x0000_s2051" style="position:absolute;left:0;text-align:left;margin-left:18.35pt;margin-top:18pt;width:10.1pt;height:23.05pt;z-index:251740160;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MuMxQAMAgAA&#10;lwQAAA4AAAAAAAAAAAAAAAAALgIAAGRycy9lMm9Eb2MueG1sUEsBAi0AFAAGAAgAAAAhALPTHHHe&#10;AAAABwEAAA8AAAAAAAAAAAAAAAAAZgQAAGRycy9kb3ducmV2LnhtbFBLBQYAAAAABAAEAPMAAABx&#10;BQAAAAA=&#10;">
              <v:rect id="Rectangle 2452665" o:spid="_x0000_s2052"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" filled="f" stroked="f">
                <v:textbox inset="0,0,0,0">
                  <w:txbxContent>
                    <w:p w14:paraId="7DFBE2C0"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68D5C3C5" w14:textId="77777777" w:rsidR="00053D93" w:rsidRDefault="00260B75">
    <w:pPr>
      <w:tabs>
        <w:tab w:val="center" w:pos="5911"/>
        <w:tab w:val="right" w:pos="10123"/>
      </w:tabs>
      <w:spacing w:after="0"/>
      <w:ind w:right="-36"/>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6BC45E57" w14:textId="77777777" w:rsidR="00053D93" w:rsidRDefault="00260B75">
    <w:pPr>
      <w:spacing w:after="0"/>
      <w:ind w:right="-36"/>
      <w:jc w:val="right"/>
    </w:pPr>
    <w:r>
      <w:rPr>
        <w:sz w:val="16"/>
      </w:rPr>
      <w:t>Y DEPORTES</w:t>
    </w:r>
  </w:p>
</w:hdr>
</file>

<file path=word/header2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DC21A" w14:textId="77777777" w:rsidR="00053D93" w:rsidRDefault="00260B75">
    <w:pPr>
      <w:spacing w:after="0"/>
      <w:ind w:left="3708"/>
      <w:jc w:val="center"/>
    </w:pPr>
    <w:r>
      <w:rPr>
        <w:sz w:val="14"/>
      </w:rPr>
      <w:t xml:space="preserve">DIRECCIÓN </w:t>
    </w:r>
    <w:r>
      <w:rPr>
        <w:sz w:val="16"/>
      </w:rPr>
      <w:t xml:space="preserve">DE </w:t>
    </w:r>
    <w:r>
      <w:rPr>
        <w:sz w:val="14"/>
      </w:rPr>
      <w:t xml:space="preserve">AUDITORÍA AL </w:t>
    </w:r>
  </w:p>
  <w:p w14:paraId="29DC06DC" w14:textId="77777777" w:rsidR="00053D93" w:rsidRDefault="00260B75">
    <w:pPr>
      <w:tabs>
        <w:tab w:val="center" w:pos="2740"/>
        <w:tab w:val="right" w:pos="10123"/>
      </w:tabs>
      <w:spacing w:after="0"/>
      <w:ind w:right="-7"/>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78FFEE39" w14:textId="77777777" w:rsidR="00053D93" w:rsidRDefault="00260B75">
    <w:pPr>
      <w:spacing w:after="0"/>
      <w:jc w:val="right"/>
    </w:pPr>
    <w:r>
      <w:rPr>
        <w:sz w:val="16"/>
      </w:rPr>
      <w:t>Y DEPORTES</w:t>
    </w:r>
  </w:p>
</w:hdr>
</file>

<file path=word/header2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6B58C"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0E3FC86E" w14:textId="77777777" w:rsidR="00053D93" w:rsidRDefault="00260B75">
    <w:pPr>
      <w:tabs>
        <w:tab w:val="center" w:pos="2740"/>
        <w:tab w:val="center" w:pos="5875"/>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FF8CE25" w14:textId="77777777" w:rsidR="00053D93" w:rsidRDefault="00260B75">
    <w:pPr>
      <w:spacing w:after="0"/>
      <w:ind w:right="22"/>
      <w:jc w:val="right"/>
    </w:pPr>
    <w:r>
      <w:rPr>
        <w:sz w:val="16"/>
      </w:rPr>
      <w:t>Y DEPORTES</w:t>
    </w:r>
  </w:p>
</w:hdr>
</file>

<file path=word/header2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8195E"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6B217A5" w14:textId="77777777" w:rsidR="00053D93" w:rsidRDefault="00260B75">
    <w:pPr>
      <w:tabs>
        <w:tab w:val="center" w:pos="2740"/>
        <w:tab w:val="center" w:pos="5875"/>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941EF61" w14:textId="77777777" w:rsidR="00053D93" w:rsidRDefault="00260B75">
    <w:pPr>
      <w:spacing w:after="0"/>
      <w:ind w:right="22"/>
      <w:jc w:val="right"/>
    </w:pPr>
    <w:r>
      <w:rPr>
        <w:sz w:val="16"/>
      </w:rPr>
      <w:t>Y DEPORTES</w:t>
    </w:r>
  </w:p>
</w:hdr>
</file>

<file path=word/header2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3DB03" w14:textId="77777777" w:rsidR="00053D93" w:rsidRDefault="00260B75">
    <w:pPr>
      <w:tabs>
        <w:tab w:val="center" w:pos="7150"/>
      </w:tabs>
      <w:spacing w:after="0"/>
      <w:ind w:left="-7"/>
    </w:pPr>
    <w:r>
      <w:rPr>
        <w:noProof/>
      </w:rPr>
      <mc:AlternateContent>
        <mc:Choice Requires="wpg">
          <w:drawing>
            <wp:anchor distT="0" distB="0" distL="114300" distR="114300" simplePos="0" relativeHeight="251741184" behindDoc="0" locked="0" layoutInCell="1" allowOverlap="1" wp14:anchorId="63CE2B8E" wp14:editId="7769C49E">
              <wp:simplePos x="0" y="0"/>
              <wp:positionH relativeFrom="page">
                <wp:posOffset>219456</wp:posOffset>
              </wp:positionH>
              <wp:positionV relativeFrom="page">
                <wp:posOffset>251460</wp:posOffset>
              </wp:positionV>
              <wp:extent cx="118872" cy="306324"/>
              <wp:effectExtent l="0" t="0" r="0" b="0"/>
              <wp:wrapSquare wrapText="bothSides"/>
              <wp:docPr id="2452738" name="Group 2452738"/>
              <wp:cNvGraphicFramePr/>
              <a:graphic xmlns:a="http://schemas.openxmlformats.org/drawingml/2006/main">
                <a:graphicData uri="http://schemas.microsoft.com/office/word/2010/wordprocessingGroup">
                  <wpg:wgp>
                    <wpg:cNvGrpSpPr/>
                    <wpg:grpSpPr>
                      <a:xfrm>
                        <a:off x="0" y="0"/>
                        <a:ext cx="118872" cy="306324"/>
                        <a:chOff x="0" y="0"/>
                        <a:chExt cx="118872" cy="306324"/>
                      </a:xfrm>
                    </wpg:grpSpPr>
                    <wps:wsp>
                      <wps:cNvPr id="2452739" name="Rectangle 2452739"/>
                      <wps:cNvSpPr/>
                      <wps:spPr>
                        <a:xfrm>
                          <a:off x="0" y="0"/>
                          <a:ext cx="158100" cy="407411"/>
                        </a:xfrm>
                        <a:prstGeom prst="rect">
                          <a:avLst/>
                        </a:prstGeom>
                        <a:ln>
                          <a:noFill/>
                        </a:ln>
                      </wps:spPr>
                      <wps:txbx>
                        <w:txbxContent>
                          <w:p w14:paraId="2979F990"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63CE2B8E" id="Group 2452738" o:spid="_x0000_s2053" style="position:absolute;left:0;text-align:left;margin-left:17.3pt;margin-top:19.8pt;width:9.35pt;height:24.1pt;z-index:251741184;mso-position-horizontal-relative:page;mso-position-vertical-relative:page" coordsize="11887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">
              <v:rect id="Rectangle 2452739" o:spid="_x0000_s2054" style="position:absolute;width:158100;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" filled="f" stroked="f">
                <v:textbox inset="0,0,0,0">
                  <w:txbxContent>
                    <w:p w14:paraId="2979F990" w14:textId="77777777" w:rsidR="00053D93" w:rsidRDefault="00260B75">
                      <w:r>
                        <w:rPr>
                          <w:sz w:val="72"/>
                        </w:rPr>
                        <w:t>1</w:t>
                      </w:r>
                    </w:p>
                  </w:txbxContent>
                </v:textbox>
              </v:rect>
              <w10:wrap type="square" anchorx="page" anchory="page"/>
            </v:group>
          </w:pict>
        </mc:Fallback>
      </mc:AlternateContent>
    </w:r>
    <w:r>
      <w:rPr>
        <w:sz w:val="14"/>
      </w:rPr>
      <w:tab/>
      <w:t xml:space="preserve">DIRECCIÓN </w:t>
    </w:r>
    <w:r>
      <w:rPr>
        <w:sz w:val="16"/>
      </w:rPr>
      <w:t xml:space="preserve">DE </w:t>
    </w:r>
    <w:r>
      <w:rPr>
        <w:sz w:val="14"/>
      </w:rPr>
      <w:t xml:space="preserve">AUDITORÍA AL </w:t>
    </w:r>
    <w:r>
      <w:rPr>
        <w:sz w:val="16"/>
      </w:rPr>
      <w:t xml:space="preserve">SECTOR </w:t>
    </w:r>
  </w:p>
  <w:p w14:paraId="1985E333" w14:textId="77777777" w:rsidR="00053D93" w:rsidRDefault="00260B75">
    <w:pPr>
      <w:tabs>
        <w:tab w:val="center" w:pos="5861"/>
        <w:tab w:val="right" w:pos="10130"/>
      </w:tabs>
      <w:spacing w:after="0"/>
      <w:ind w:left="-7"/>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278</w:t>
    </w:r>
    <w:r>
      <w:rPr>
        <w:sz w:val="14"/>
      </w:rPr>
      <w:fldChar w:fldCharType="end"/>
    </w:r>
    <w:r>
      <w:rPr>
        <w:sz w:val="14"/>
      </w:rPr>
      <w:tab/>
      <w:t>CIENCIA. CULTURA</w:t>
    </w:r>
  </w:p>
  <w:p w14:paraId="4069DE97" w14:textId="77777777" w:rsidR="00053D93" w:rsidRDefault="00260B75">
    <w:pPr>
      <w:spacing w:after="0"/>
      <w:ind w:right="29"/>
      <w:jc w:val="right"/>
    </w:pPr>
    <w:r>
      <w:rPr>
        <w:sz w:val="18"/>
      </w:rPr>
      <w:t xml:space="preserve">Y </w:t>
    </w:r>
    <w:r>
      <w:rPr>
        <w:sz w:val="16"/>
      </w:rPr>
      <w:t>DEPORTES</w:t>
    </w:r>
  </w:p>
</w:hdr>
</file>

<file path=word/header2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EB244" w14:textId="77777777" w:rsidR="00053D93" w:rsidRDefault="00260B75">
    <w:pPr>
      <w:spacing w:after="0"/>
      <w:ind w:left="22"/>
    </w:pPr>
    <w:r>
      <w:rPr>
        <w:noProof/>
      </w:rPr>
      <mc:AlternateContent>
        <mc:Choice Requires="wpg">
          <w:drawing>
            <wp:anchor distT="0" distB="0" distL="114300" distR="114300" simplePos="0" relativeHeight="251742208" behindDoc="0" locked="0" layoutInCell="1" allowOverlap="1" wp14:anchorId="2FA8E007" wp14:editId="7CA7457B">
              <wp:simplePos x="0" y="0"/>
              <wp:positionH relativeFrom="page">
                <wp:posOffset>233172</wp:posOffset>
              </wp:positionH>
              <wp:positionV relativeFrom="page">
                <wp:posOffset>228600</wp:posOffset>
              </wp:positionV>
              <wp:extent cx="128016" cy="292608"/>
              <wp:effectExtent l="0" t="0" r="0" b="0"/>
              <wp:wrapSquare wrapText="bothSides"/>
              <wp:docPr id="2452873" name="Group 2452873"/>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874" name="Rectangle 2452874"/>
                      <wps:cNvSpPr/>
                      <wps:spPr>
                        <a:xfrm>
                          <a:off x="0" y="0"/>
                          <a:ext cx="170261" cy="389169"/>
                        </a:xfrm>
                        <a:prstGeom prst="rect">
                          <a:avLst/>
                        </a:prstGeom>
                        <a:ln>
                          <a:noFill/>
                        </a:ln>
                      </wps:spPr>
                      <wps:txbx>
                        <w:txbxContent>
                          <w:p w14:paraId="7717C59F"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2FA8E007" id="Group 2452873" o:spid="_x0000_s2055" style="position:absolute;left:0;text-align:left;margin-left:18.35pt;margin-top:18pt;width:10.1pt;height:23.05pt;z-index:251742208;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P+eHw0MAgAA&#10;lwQAAA4AAAAAAAAAAAAAAAAALgIAAGRycy9lMm9Eb2MueG1sUEsBAi0AFAAGAAgAAAAhALPTHHHe&#10;AAAABwEAAA8AAAAAAAAAAAAAAAAAZgQAAGRycy9kb3ducmV2LnhtbFBLBQYAAAAABAAEAPMAAABx&#10;BQAAAAA=&#10;">
              <v:rect id="Rectangle 2452874" o:spid="_x0000_s2056"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" filled="f" stroked="f">
                <v:textbox inset="0,0,0,0">
                  <w:txbxContent>
                    <w:p w14:paraId="7717C59F"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7A19B178" w14:textId="77777777" w:rsidR="00053D93" w:rsidRDefault="00260B75">
    <w:pPr>
      <w:tabs>
        <w:tab w:val="center" w:pos="5911"/>
        <w:tab w:val="right" w:pos="10138"/>
      </w:tabs>
      <w:spacing w:after="0"/>
      <w:ind w:right="-22"/>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46BA2F78" w14:textId="77777777" w:rsidR="00053D93" w:rsidRDefault="00260B75">
    <w:pPr>
      <w:spacing w:after="0"/>
      <w:ind w:right="-22"/>
      <w:jc w:val="right"/>
    </w:pPr>
    <w:r>
      <w:rPr>
        <w:sz w:val="16"/>
      </w:rPr>
      <w:t>Y DEPORTES</w:t>
    </w:r>
  </w:p>
</w:hdr>
</file>

<file path=word/header2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561E0" w14:textId="77777777" w:rsidR="00053D93" w:rsidRDefault="00260B75">
    <w:pPr>
      <w:tabs>
        <w:tab w:val="center" w:pos="7157"/>
      </w:tabs>
      <w:spacing w:after="0"/>
    </w:pPr>
    <w:r>
      <w:rPr>
        <w:noProof/>
      </w:rPr>
      <mc:AlternateContent>
        <mc:Choice Requires="wpg">
          <w:drawing>
            <wp:anchor distT="0" distB="0" distL="114300" distR="114300" simplePos="0" relativeHeight="251743232" behindDoc="0" locked="0" layoutInCell="1" allowOverlap="1" wp14:anchorId="382170D3" wp14:editId="75F23347">
              <wp:simplePos x="0" y="0"/>
              <wp:positionH relativeFrom="page">
                <wp:posOffset>219456</wp:posOffset>
              </wp:positionH>
              <wp:positionV relativeFrom="page">
                <wp:posOffset>251460</wp:posOffset>
              </wp:positionV>
              <wp:extent cx="118872" cy="306324"/>
              <wp:effectExtent l="0" t="0" r="0" b="0"/>
              <wp:wrapSquare wrapText="bothSides"/>
              <wp:docPr id="2452849" name="Group 2452849"/>
              <wp:cNvGraphicFramePr/>
              <a:graphic xmlns:a="http://schemas.openxmlformats.org/drawingml/2006/main">
                <a:graphicData uri="http://schemas.microsoft.com/office/word/2010/wordprocessingGroup">
                  <wpg:wgp>
                    <wpg:cNvGrpSpPr/>
                    <wpg:grpSpPr>
                      <a:xfrm>
                        <a:off x="0" y="0"/>
                        <a:ext cx="118872" cy="306324"/>
                        <a:chOff x="0" y="0"/>
                        <a:chExt cx="118872" cy="306324"/>
                      </a:xfrm>
                    </wpg:grpSpPr>
                    <wps:wsp>
                      <wps:cNvPr id="2452850" name="Rectangle 2452850"/>
                      <wps:cNvSpPr/>
                      <wps:spPr>
                        <a:xfrm>
                          <a:off x="0" y="0"/>
                          <a:ext cx="158100" cy="407411"/>
                        </a:xfrm>
                        <a:prstGeom prst="rect">
                          <a:avLst/>
                        </a:prstGeom>
                        <a:ln>
                          <a:noFill/>
                        </a:ln>
                      </wps:spPr>
                      <wps:txbx>
                        <w:txbxContent>
                          <w:p w14:paraId="77C88BDB" w14:textId="77777777" w:rsidR="00053D93" w:rsidRDefault="00260B75">
                            <w:r>
                              <w:rPr>
                                <w:sz w:val="72"/>
                              </w:rPr>
                              <w:t>1</w:t>
                            </w:r>
                          </w:p>
                        </w:txbxContent>
                      </wps:txbx>
                      <wps:bodyPr horzOverflow="overflow" vert="horz" lIns="0" tIns="0" rIns="0" bIns="0" rtlCol="0">
                        <a:noAutofit/>
                      </wps:bodyPr>
                    </wps:wsp>
                  </wpg:wgp>
                </a:graphicData>
              </a:graphic>
            </wp:anchor>
          </w:drawing>
        </mc:Choice>
        <mc:Fallback>
          <w:pict>
            <v:group w14:anchorId="382170D3" id="Group 2452849" o:spid="_x0000_s2057" style="position:absolute;margin-left:17.3pt;margin-top:19.8pt;width:9.35pt;height:24.1pt;z-index:251743232;mso-position-horizontal-relative:page;mso-position-vertical-relative:page" coordsize="118872,30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">
              <v:rect id="Rectangle 2452850" o:spid="_x0000_s2058" style="position:absolute;width:158100;height:40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" filled="f" stroked="f">
                <v:textbox inset="0,0,0,0">
                  <w:txbxContent>
                    <w:p w14:paraId="77C88BDB" w14:textId="77777777" w:rsidR="00053D93" w:rsidRDefault="00260B75">
                      <w:r>
                        <w:rPr>
                          <w:sz w:val="72"/>
                        </w:rPr>
                        <w:t>1</w:t>
                      </w:r>
                    </w:p>
                  </w:txbxContent>
                </v:textbox>
              </v:rect>
              <w10:wrap type="square" anchorx="page" anchory="page"/>
            </v:group>
          </w:pict>
        </mc:Fallback>
      </mc:AlternateContent>
    </w:r>
    <w:r>
      <w:rPr>
        <w:sz w:val="14"/>
      </w:rPr>
      <w:tab/>
      <w:t xml:space="preserve">DIRECCIÓN </w:t>
    </w:r>
    <w:r>
      <w:rPr>
        <w:sz w:val="16"/>
      </w:rPr>
      <w:t xml:space="preserve">DE </w:t>
    </w:r>
    <w:r>
      <w:rPr>
        <w:sz w:val="14"/>
      </w:rPr>
      <w:t xml:space="preserve">AUDITORÍA AL </w:t>
    </w:r>
    <w:r>
      <w:rPr>
        <w:sz w:val="16"/>
      </w:rPr>
      <w:t xml:space="preserve">SECTOR </w:t>
    </w:r>
  </w:p>
  <w:p w14:paraId="64588CF0" w14:textId="77777777" w:rsidR="00053D93" w:rsidRDefault="00260B75">
    <w:pPr>
      <w:tabs>
        <w:tab w:val="center" w:pos="5868"/>
        <w:tab w:val="right" w:pos="10138"/>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278</w:t>
    </w:r>
    <w:r>
      <w:rPr>
        <w:sz w:val="14"/>
      </w:rPr>
      <w:fldChar w:fldCharType="end"/>
    </w:r>
    <w:r>
      <w:rPr>
        <w:sz w:val="14"/>
      </w:rPr>
      <w:tab/>
      <w:t>CIENCIA. CULTURA</w:t>
    </w:r>
  </w:p>
  <w:p w14:paraId="3423C6BA" w14:textId="77777777" w:rsidR="00053D93" w:rsidRDefault="00260B75">
    <w:pPr>
      <w:spacing w:after="0"/>
      <w:ind w:right="29"/>
      <w:jc w:val="right"/>
    </w:pPr>
    <w:r>
      <w:rPr>
        <w:sz w:val="18"/>
      </w:rPr>
      <w:t xml:space="preserve">Y </w:t>
    </w:r>
    <w:r>
      <w:rPr>
        <w:sz w:val="16"/>
      </w:rPr>
      <w:t>DEPORTES</w:t>
    </w:r>
  </w:p>
</w:hdr>
</file>

<file path=word/header2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512E9" w14:textId="77777777" w:rsidR="00053D93" w:rsidRDefault="00260B75">
    <w:pPr>
      <w:spacing w:after="0"/>
      <w:ind w:left="22"/>
    </w:pPr>
    <w:r>
      <w:rPr>
        <w:noProof/>
      </w:rPr>
      <mc:AlternateContent>
        <mc:Choice Requires="wpg">
          <w:drawing>
            <wp:anchor distT="0" distB="0" distL="114300" distR="114300" simplePos="0" relativeHeight="251744256" behindDoc="0" locked="0" layoutInCell="1" allowOverlap="1" wp14:anchorId="67A628D2" wp14:editId="6C78EE35">
              <wp:simplePos x="0" y="0"/>
              <wp:positionH relativeFrom="page">
                <wp:posOffset>233172</wp:posOffset>
              </wp:positionH>
              <wp:positionV relativeFrom="page">
                <wp:posOffset>228600</wp:posOffset>
              </wp:positionV>
              <wp:extent cx="128016" cy="292608"/>
              <wp:effectExtent l="0" t="0" r="0" b="0"/>
              <wp:wrapSquare wrapText="bothSides"/>
              <wp:docPr id="2452815" name="Group 2452815"/>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2816" name="Rectangle 2452816"/>
                      <wps:cNvSpPr/>
                      <wps:spPr>
                        <a:xfrm>
                          <a:off x="0" y="0"/>
                          <a:ext cx="170261" cy="389169"/>
                        </a:xfrm>
                        <a:prstGeom prst="rect">
                          <a:avLst/>
                        </a:prstGeom>
                        <a:ln>
                          <a:noFill/>
                        </a:ln>
                      </wps:spPr>
                      <wps:txbx>
                        <w:txbxContent>
                          <w:p w14:paraId="181438B9"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67A628D2" id="Group 2452815" o:spid="_x0000_s2059" style="position:absolute;left:0;text-align:left;margin-left:18.35pt;margin-top:18pt;width:10.1pt;height:23.05pt;z-index:251744256;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N3qSSYMAgAA&#10;lwQAAA4AAAAAAAAAAAAAAAAALgIAAGRycy9lMm9Eb2MueG1sUEsBAi0AFAAGAAgAAAAhALPTHHHe&#10;AAAABwEAAA8AAAAAAAAAAAAAAAAAZgQAAGRycy9kb3ducmV2LnhtbFBLBQYAAAAABAAEAPMAAABx&#10;BQAAAAA=&#10;">
              <v:rect id="Rectangle 2452816" o:spid="_x0000_s2060"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" filled="f" stroked="f">
                <v:textbox inset="0,0,0,0">
                  <w:txbxContent>
                    <w:p w14:paraId="181438B9"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57C3389A" w14:textId="77777777" w:rsidR="00053D93" w:rsidRDefault="00260B75">
    <w:pPr>
      <w:tabs>
        <w:tab w:val="center" w:pos="5911"/>
        <w:tab w:val="right" w:pos="10138"/>
      </w:tabs>
      <w:spacing w:after="0"/>
      <w:ind w:right="-22"/>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775F627B" w14:textId="77777777" w:rsidR="00053D93" w:rsidRDefault="00260B75">
    <w:pPr>
      <w:spacing w:after="0"/>
      <w:ind w:right="-22"/>
      <w:jc w:val="right"/>
    </w:pPr>
    <w:r>
      <w:rPr>
        <w:sz w:val="16"/>
      </w:rPr>
      <w:t>Y DEPORTES</w:t>
    </w:r>
  </w:p>
</w:hdr>
</file>

<file path=word/header2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8C703" w14:textId="77777777" w:rsidR="00053D93" w:rsidRDefault="00260B75">
    <w:pPr>
      <w:spacing w:after="0"/>
      <w:ind w:left="22"/>
    </w:pPr>
    <w:r>
      <w:rPr>
        <w:sz w:val="74"/>
      </w:rPr>
      <w:t>1</w:t>
    </w:r>
  </w:p>
  <w:p w14:paraId="23B79589" w14:textId="77777777" w:rsidR="00053D93" w:rsidRDefault="00260B75">
    <w:pPr>
      <w:tabs>
        <w:tab w:val="center" w:pos="2401"/>
        <w:tab w:val="center" w:pos="3600"/>
        <w:tab w:val="right" w:pos="10152"/>
      </w:tabs>
      <w:spacing w:after="0"/>
      <w:ind w:right="-14"/>
    </w:pPr>
    <w:r>
      <w:tab/>
    </w:r>
    <w:r>
      <w:rPr>
        <w:sz w:val="14"/>
      </w:rPr>
      <w:t xml:space="preserve">CONTRALORíA GENERAL </w:t>
    </w:r>
    <w:r>
      <w:rPr>
        <w:sz w:val="14"/>
      </w:rPr>
      <w:tab/>
      <w:t>CUENTAS</w:t>
    </w:r>
    <w:r>
      <w:rPr>
        <w:sz w:val="14"/>
      </w:rPr>
      <w:tab/>
    </w:r>
    <w:r>
      <w:fldChar w:fldCharType="begin"/>
    </w:r>
    <w:r>
      <w:instrText xml:space="preserve"> PAGE   \* MERGEFORMAT </w:instrText>
    </w:r>
    <w:r>
      <w:fldChar w:fldCharType="separate"/>
    </w:r>
    <w:r>
      <w:rPr>
        <w:sz w:val="12"/>
      </w:rPr>
      <w:t>218</w:t>
    </w:r>
    <w:r>
      <w:rPr>
        <w:sz w:val="12"/>
      </w:rPr>
      <w:fldChar w:fldCharType="end"/>
    </w:r>
    <w:r>
      <w:rPr>
        <w:sz w:val="12"/>
      </w:rPr>
      <w:t xml:space="preserve"> </w:t>
    </w:r>
    <w:r>
      <w:rPr>
        <w:sz w:val="14"/>
      </w:rPr>
      <w:t xml:space="preserve">DIRECCIÓN </w:t>
    </w:r>
    <w:r>
      <w:rPr>
        <w:sz w:val="16"/>
      </w:rPr>
      <w:t xml:space="preserve">DE </w:t>
    </w:r>
    <w:r>
      <w:rPr>
        <w:sz w:val="14"/>
      </w:rPr>
      <w:t xml:space="preserve">AUDITORÍA </w:t>
    </w:r>
    <w:r>
      <w:rPr>
        <w:sz w:val="16"/>
      </w:rPr>
      <w:t xml:space="preserve">AL SECTOR </w:t>
    </w:r>
    <w:r>
      <w:rPr>
        <w:sz w:val="14"/>
      </w:rPr>
      <w:t>EDUCACIÓN. CIENCIA. CULTURA</w:t>
    </w:r>
  </w:p>
  <w:p w14:paraId="54F05B45" w14:textId="77777777" w:rsidR="00053D93" w:rsidRDefault="00260B75">
    <w:pPr>
      <w:spacing w:after="0"/>
      <w:ind w:right="-14"/>
      <w:jc w:val="right"/>
    </w:pPr>
    <w:r>
      <w:rPr>
        <w:sz w:val="16"/>
      </w:rPr>
      <w:t>Y DEPORTES</w:t>
    </w:r>
  </w:p>
</w:hdr>
</file>

<file path=word/header2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51CC2"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17FD2E33" w14:textId="77777777" w:rsidR="00053D93" w:rsidRDefault="00260B75">
    <w:pPr>
      <w:tabs>
        <w:tab w:val="center" w:pos="2761"/>
        <w:tab w:val="center" w:pos="5897"/>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6E20768" w14:textId="77777777" w:rsidR="00053D93" w:rsidRDefault="00260B75">
    <w:pPr>
      <w:spacing w:after="0"/>
      <w:ind w:right="22"/>
      <w:jc w:val="right"/>
    </w:pPr>
    <w:r>
      <w:rPr>
        <w:sz w:val="16"/>
      </w:rPr>
      <w:t>Y DEPORTES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E1243" w14:textId="77777777" w:rsidR="00053D93" w:rsidRDefault="00260B75">
    <w:pPr>
      <w:spacing w:after="0"/>
      <w:ind w:left="3643"/>
      <w:jc w:val="center"/>
    </w:pPr>
    <w:r>
      <w:rPr>
        <w:sz w:val="14"/>
      </w:rPr>
      <w:t xml:space="preserve">DIRECCIÓN </w:t>
    </w:r>
    <w:r>
      <w:rPr>
        <w:sz w:val="16"/>
      </w:rPr>
      <w:t xml:space="preserve">DE </w:t>
    </w:r>
    <w:r>
      <w:rPr>
        <w:sz w:val="14"/>
      </w:rPr>
      <w:t xml:space="preserve">AUDITORÍA AL </w:t>
    </w:r>
  </w:p>
  <w:p w14:paraId="034F71B4" w14:textId="77777777" w:rsidR="00053D93" w:rsidRDefault="00260B75">
    <w:pPr>
      <w:tabs>
        <w:tab w:val="center" w:pos="2689"/>
        <w:tab w:val="right" w:pos="10087"/>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19C9C64F" w14:textId="77777777" w:rsidR="00053D93" w:rsidRDefault="00260B75">
    <w:pPr>
      <w:spacing w:after="0"/>
      <w:ind w:right="14"/>
      <w:jc w:val="right"/>
    </w:pPr>
    <w:r>
      <w:rPr>
        <w:sz w:val="16"/>
      </w:rPr>
      <w:t>Y DEPORTES</w:t>
    </w:r>
  </w:p>
</w:hdr>
</file>

<file path=word/header2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A28C1" w14:textId="77777777" w:rsidR="00053D93" w:rsidRDefault="00260B75">
    <w:pPr>
      <w:spacing w:after="0"/>
      <w:ind w:left="29"/>
    </w:pPr>
    <w:r>
      <w:rPr>
        <w:sz w:val="70"/>
      </w:rPr>
      <w:t>1</w:t>
    </w:r>
  </w:p>
  <w:p w14:paraId="68EA3141" w14:textId="77777777" w:rsidR="00053D93" w:rsidRDefault="00260B75">
    <w:pPr>
      <w:tabs>
        <w:tab w:val="center" w:pos="2815"/>
        <w:tab w:val="center" w:pos="6325"/>
        <w:tab w:val="right" w:pos="10152"/>
      </w:tabs>
      <w:spacing w:after="0"/>
      <w:ind w:right="-43"/>
    </w:pPr>
    <w:r>
      <w:tab/>
    </w: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2"/>
      </w:rPr>
      <w:t>221</w:t>
    </w:r>
    <w:r>
      <w:rPr>
        <w:sz w:val="12"/>
      </w:rPr>
      <w:fldChar w:fldCharType="end"/>
    </w:r>
    <w:r>
      <w:rPr>
        <w:sz w:val="12"/>
      </w:rPr>
      <w:t xml:space="preserve"> </w:t>
    </w:r>
    <w:r>
      <w:rPr>
        <w:sz w:val="14"/>
      </w:rPr>
      <w:t xml:space="preserve">DIRECCIÓN </w:t>
    </w:r>
    <w:r>
      <w:rPr>
        <w:sz w:val="14"/>
      </w:rPr>
      <w:tab/>
      <w:t xml:space="preserve">AUDITORIA AL </w:t>
    </w:r>
    <w:r>
      <w:rPr>
        <w:sz w:val="16"/>
      </w:rPr>
      <w:t xml:space="preserve">SECTOR </w:t>
    </w:r>
    <w:r>
      <w:rPr>
        <w:sz w:val="14"/>
      </w:rPr>
      <w:t>EDUCACIÓN. CIENCIA. CULTURA</w:t>
    </w:r>
  </w:p>
  <w:p w14:paraId="7B707858" w14:textId="77777777" w:rsidR="00053D93" w:rsidRDefault="00260B75">
    <w:pPr>
      <w:spacing w:after="0"/>
      <w:ind w:right="-43"/>
      <w:jc w:val="right"/>
    </w:pPr>
    <w:r>
      <w:rPr>
        <w:sz w:val="16"/>
      </w:rPr>
      <w:t>Y DEPORTES</w:t>
    </w:r>
  </w:p>
</w:hdr>
</file>

<file path=word/header2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355C1" w14:textId="77777777" w:rsidR="00053D93" w:rsidRDefault="00260B75">
    <w:pPr>
      <w:spacing w:after="0"/>
      <w:ind w:left="2966"/>
      <w:jc w:val="center"/>
    </w:pPr>
    <w:r>
      <w:rPr>
        <w:sz w:val="14"/>
      </w:rPr>
      <w:t xml:space="preserve">DIRECCIÓN </w:t>
    </w:r>
    <w:r>
      <w:rPr>
        <w:sz w:val="16"/>
      </w:rPr>
      <w:t xml:space="preserve">DE </w:t>
    </w:r>
    <w:r>
      <w:rPr>
        <w:sz w:val="14"/>
      </w:rPr>
      <w:t xml:space="preserve">AUDITORÍA AL </w:t>
    </w:r>
  </w:p>
  <w:p w14:paraId="08FD9426" w14:textId="77777777" w:rsidR="00053D93" w:rsidRDefault="00260B75">
    <w:pPr>
      <w:tabs>
        <w:tab w:val="center" w:pos="2020"/>
        <w:tab w:val="right" w:pos="9425"/>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032930C7" w14:textId="77777777" w:rsidR="00053D93" w:rsidRDefault="00260B75">
    <w:pPr>
      <w:spacing w:after="0"/>
      <w:ind w:right="22"/>
      <w:jc w:val="right"/>
    </w:pPr>
    <w:r>
      <w:rPr>
        <w:sz w:val="16"/>
      </w:rPr>
      <w:t>Y DEPORTES</w:t>
    </w:r>
  </w:p>
</w:hdr>
</file>

<file path=word/header2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97B78" w14:textId="77777777" w:rsidR="00053D93" w:rsidRDefault="00260B75">
    <w:pPr>
      <w:spacing w:after="0"/>
      <w:ind w:right="2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E62B549" w14:textId="77777777" w:rsidR="00053D93" w:rsidRDefault="00260B75">
    <w:pPr>
      <w:tabs>
        <w:tab w:val="center" w:pos="2027"/>
        <w:tab w:val="center" w:pos="5162"/>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BD193C0" w14:textId="77777777" w:rsidR="00053D93" w:rsidRDefault="00260B75">
    <w:pPr>
      <w:spacing w:after="0"/>
      <w:ind w:right="29"/>
      <w:jc w:val="right"/>
    </w:pPr>
    <w:r>
      <w:rPr>
        <w:sz w:val="16"/>
      </w:rPr>
      <w:t>Y DEPORTES</w:t>
    </w:r>
  </w:p>
</w:hdr>
</file>

<file path=word/header2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62445" w14:textId="77777777" w:rsidR="00053D93" w:rsidRDefault="00260B75">
    <w:pPr>
      <w:spacing w:after="0"/>
      <w:ind w:right="2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DCA2D28" w14:textId="77777777" w:rsidR="00053D93" w:rsidRDefault="00260B75">
    <w:pPr>
      <w:tabs>
        <w:tab w:val="center" w:pos="2027"/>
        <w:tab w:val="center" w:pos="5162"/>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403312F3" w14:textId="77777777" w:rsidR="00053D93" w:rsidRDefault="00260B75">
    <w:pPr>
      <w:spacing w:after="0"/>
      <w:ind w:right="29"/>
      <w:jc w:val="right"/>
    </w:pPr>
    <w:r>
      <w:rPr>
        <w:sz w:val="16"/>
      </w:rPr>
      <w:t>Y DEPORTES</w:t>
    </w:r>
  </w:p>
</w:hdr>
</file>

<file path=word/header2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75D72" w14:textId="77777777" w:rsidR="00053D93" w:rsidRDefault="00260B75">
    <w:pPr>
      <w:spacing w:after="0"/>
      <w:ind w:left="50"/>
    </w:pPr>
    <w:r>
      <w:rPr>
        <w:noProof/>
      </w:rPr>
      <mc:AlternateContent>
        <mc:Choice Requires="wpg">
          <w:drawing>
            <wp:anchor distT="0" distB="0" distL="114300" distR="114300" simplePos="0" relativeHeight="251745280" behindDoc="0" locked="0" layoutInCell="1" allowOverlap="1" wp14:anchorId="765752FF" wp14:editId="0F1808A3">
              <wp:simplePos x="0" y="0"/>
              <wp:positionH relativeFrom="page">
                <wp:posOffset>237744</wp:posOffset>
              </wp:positionH>
              <wp:positionV relativeFrom="page">
                <wp:posOffset>224028</wp:posOffset>
              </wp:positionV>
              <wp:extent cx="114300" cy="301752"/>
              <wp:effectExtent l="0" t="0" r="0" b="0"/>
              <wp:wrapSquare wrapText="bothSides"/>
              <wp:docPr id="2453120" name="Group 2453120"/>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3121" name="Rectangle 2453121"/>
                      <wps:cNvSpPr/>
                      <wps:spPr>
                        <a:xfrm>
                          <a:off x="0" y="0"/>
                          <a:ext cx="152019" cy="401330"/>
                        </a:xfrm>
                        <a:prstGeom prst="rect">
                          <a:avLst/>
                        </a:prstGeom>
                        <a:ln>
                          <a:noFill/>
                        </a:ln>
                      </wps:spPr>
                      <wps:txbx>
                        <w:txbxContent>
                          <w:p w14:paraId="1A57AE3C"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765752FF" id="Group 2453120" o:spid="_x0000_s2061" style="position:absolute;left:0;text-align:left;margin-left:18.7pt;margin-top:17.65pt;width:9pt;height:23.75pt;z-index:251745280;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">
              <v:rect id="Rectangle 2453121" o:spid="_x0000_s2062"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" filled="f" stroked="f">
                <v:textbox inset="0,0,0,0">
                  <w:txbxContent>
                    <w:p w14:paraId="1A57AE3C"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43D8CA3D" w14:textId="77777777" w:rsidR="00053D93" w:rsidRDefault="00260B75">
    <w:pPr>
      <w:tabs>
        <w:tab w:val="right" w:pos="10159"/>
      </w:tabs>
      <w:spacing w:after="0"/>
      <w:ind w:right="-36"/>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6ED3561B" w14:textId="77777777" w:rsidR="00053D93" w:rsidRDefault="00260B75">
    <w:pPr>
      <w:spacing w:after="0"/>
      <w:ind w:right="-29"/>
      <w:jc w:val="right"/>
    </w:pPr>
    <w:r>
      <w:rPr>
        <w:sz w:val="16"/>
      </w:rPr>
      <w:t>Y DEPORTES</w:t>
    </w:r>
  </w:p>
</w:hdr>
</file>

<file path=word/header2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C5375" w14:textId="77777777" w:rsidR="00053D93" w:rsidRDefault="00260B75">
    <w:pPr>
      <w:spacing w:after="0"/>
      <w:ind w:left="50"/>
    </w:pPr>
    <w:r>
      <w:rPr>
        <w:noProof/>
      </w:rPr>
      <mc:AlternateContent>
        <mc:Choice Requires="wpg">
          <w:drawing>
            <wp:anchor distT="0" distB="0" distL="114300" distR="114300" simplePos="0" relativeHeight="251746304" behindDoc="0" locked="0" layoutInCell="1" allowOverlap="1" wp14:anchorId="280FFC67" wp14:editId="0852D530">
              <wp:simplePos x="0" y="0"/>
              <wp:positionH relativeFrom="page">
                <wp:posOffset>237744</wp:posOffset>
              </wp:positionH>
              <wp:positionV relativeFrom="page">
                <wp:posOffset>224028</wp:posOffset>
              </wp:positionV>
              <wp:extent cx="114300" cy="301752"/>
              <wp:effectExtent l="0" t="0" r="0" b="0"/>
              <wp:wrapSquare wrapText="bothSides"/>
              <wp:docPr id="2453093" name="Group 2453093"/>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3094" name="Rectangle 2453094"/>
                      <wps:cNvSpPr/>
                      <wps:spPr>
                        <a:xfrm>
                          <a:off x="0" y="0"/>
                          <a:ext cx="152019" cy="401330"/>
                        </a:xfrm>
                        <a:prstGeom prst="rect">
                          <a:avLst/>
                        </a:prstGeom>
                        <a:ln>
                          <a:noFill/>
                        </a:ln>
                      </wps:spPr>
                      <wps:txbx>
                        <w:txbxContent>
                          <w:p w14:paraId="682187DD"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280FFC67" id="Group 2453093" o:spid="_x0000_s2063" style="position:absolute;left:0;text-align:left;margin-left:18.7pt;margin-top:17.65pt;width:9pt;height:23.75pt;z-index:251746304;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">
              <v:rect id="Rectangle 2453094" o:spid="_x0000_s206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" filled="f" stroked="f">
                <v:textbox inset="0,0,0,0">
                  <w:txbxContent>
                    <w:p w14:paraId="682187DD"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0FFA8094" w14:textId="77777777" w:rsidR="00053D93" w:rsidRDefault="00260B75">
    <w:pPr>
      <w:tabs>
        <w:tab w:val="right" w:pos="10159"/>
      </w:tabs>
      <w:spacing w:after="0"/>
      <w:ind w:right="-36"/>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182375C6" w14:textId="77777777" w:rsidR="00053D93" w:rsidRDefault="00260B75">
    <w:pPr>
      <w:spacing w:after="0"/>
      <w:ind w:right="-29"/>
      <w:jc w:val="right"/>
    </w:pPr>
    <w:r>
      <w:rPr>
        <w:sz w:val="16"/>
      </w:rPr>
      <w:t>Y DEPORTES</w:t>
    </w:r>
  </w:p>
</w:hdr>
</file>

<file path=word/header2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5919E" w14:textId="77777777" w:rsidR="00053D93" w:rsidRDefault="00260B75">
    <w:pPr>
      <w:spacing w:after="0"/>
      <w:ind w:left="50"/>
    </w:pPr>
    <w:r>
      <w:rPr>
        <w:noProof/>
      </w:rPr>
      <mc:AlternateContent>
        <mc:Choice Requires="wpg">
          <w:drawing>
            <wp:anchor distT="0" distB="0" distL="114300" distR="114300" simplePos="0" relativeHeight="251747328" behindDoc="0" locked="0" layoutInCell="1" allowOverlap="1" wp14:anchorId="6CC936C6" wp14:editId="7E474DCD">
              <wp:simplePos x="0" y="0"/>
              <wp:positionH relativeFrom="page">
                <wp:posOffset>237744</wp:posOffset>
              </wp:positionH>
              <wp:positionV relativeFrom="page">
                <wp:posOffset>224028</wp:posOffset>
              </wp:positionV>
              <wp:extent cx="114300" cy="301752"/>
              <wp:effectExtent l="0" t="0" r="0" b="0"/>
              <wp:wrapSquare wrapText="bothSides"/>
              <wp:docPr id="2453066" name="Group 2453066"/>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3067" name="Rectangle 2453067"/>
                      <wps:cNvSpPr/>
                      <wps:spPr>
                        <a:xfrm>
                          <a:off x="0" y="0"/>
                          <a:ext cx="152019" cy="401330"/>
                        </a:xfrm>
                        <a:prstGeom prst="rect">
                          <a:avLst/>
                        </a:prstGeom>
                        <a:ln>
                          <a:noFill/>
                        </a:ln>
                      </wps:spPr>
                      <wps:txbx>
                        <w:txbxContent>
                          <w:p w14:paraId="0E699C90"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6CC936C6" id="Group 2453066" o:spid="_x0000_s2065" style="position:absolute;left:0;text-align:left;margin-left:18.7pt;margin-top:17.65pt;width:9pt;height:23.75pt;z-index:251747328;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">
              <v:rect id="Rectangle 2453067" o:spid="_x0000_s2066"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" filled="f" stroked="f">
                <v:textbox inset="0,0,0,0">
                  <w:txbxContent>
                    <w:p w14:paraId="0E699C90"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23A05E6D" w14:textId="77777777" w:rsidR="00053D93" w:rsidRDefault="00260B75">
    <w:pPr>
      <w:tabs>
        <w:tab w:val="right" w:pos="10159"/>
      </w:tabs>
      <w:spacing w:after="0"/>
      <w:ind w:right="-36"/>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5A53312C" w14:textId="77777777" w:rsidR="00053D93" w:rsidRDefault="00260B75">
    <w:pPr>
      <w:spacing w:after="0"/>
      <w:ind w:right="-29"/>
      <w:jc w:val="right"/>
    </w:pPr>
    <w:r>
      <w:rPr>
        <w:sz w:val="16"/>
      </w:rPr>
      <w:t>Y DEPORTES</w:t>
    </w:r>
  </w:p>
</w:hdr>
</file>

<file path=word/header2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5F08B" w14:textId="77777777" w:rsidR="00053D93" w:rsidRDefault="00260B75">
    <w:pPr>
      <w:spacing w:after="0"/>
      <w:ind w:left="50"/>
    </w:pPr>
    <w:r>
      <w:rPr>
        <w:noProof/>
      </w:rPr>
      <mc:AlternateContent>
        <mc:Choice Requires="wpg">
          <w:drawing>
            <wp:anchor distT="0" distB="0" distL="114300" distR="114300" simplePos="0" relativeHeight="251748352" behindDoc="0" locked="0" layoutInCell="1" allowOverlap="1" wp14:anchorId="1080A5B1" wp14:editId="3261204A">
              <wp:simplePos x="0" y="0"/>
              <wp:positionH relativeFrom="page">
                <wp:posOffset>237744</wp:posOffset>
              </wp:positionH>
              <wp:positionV relativeFrom="page">
                <wp:posOffset>224028</wp:posOffset>
              </wp:positionV>
              <wp:extent cx="114300" cy="301752"/>
              <wp:effectExtent l="0" t="0" r="0" b="0"/>
              <wp:wrapSquare wrapText="bothSides"/>
              <wp:docPr id="2453200" name="Group 2453200"/>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3201" name="Rectangle 2453201"/>
                      <wps:cNvSpPr/>
                      <wps:spPr>
                        <a:xfrm>
                          <a:off x="0" y="0"/>
                          <a:ext cx="152019" cy="401330"/>
                        </a:xfrm>
                        <a:prstGeom prst="rect">
                          <a:avLst/>
                        </a:prstGeom>
                        <a:ln>
                          <a:noFill/>
                        </a:ln>
                      </wps:spPr>
                      <wps:txbx>
                        <w:txbxContent>
                          <w:p w14:paraId="3877529E"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1080A5B1" id="Group 2453200" o:spid="_x0000_s2067" style="position:absolute;left:0;text-align:left;margin-left:18.7pt;margin-top:17.65pt;width:9pt;height:23.75pt;z-index:251748352;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">
              <v:rect id="Rectangle 2453201" o:spid="_x0000_s2068"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" filled="f" stroked="f">
                <v:textbox inset="0,0,0,0">
                  <w:txbxContent>
                    <w:p w14:paraId="3877529E"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5009CEF9" w14:textId="77777777" w:rsidR="00053D93" w:rsidRDefault="00260B75">
    <w:pPr>
      <w:tabs>
        <w:tab w:val="right" w:pos="10174"/>
      </w:tabs>
      <w:spacing w:after="0"/>
      <w:ind w:right="-22"/>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2356156E" w14:textId="77777777" w:rsidR="00053D93" w:rsidRDefault="00260B75">
    <w:pPr>
      <w:spacing w:after="0"/>
      <w:ind w:right="-14"/>
      <w:jc w:val="right"/>
    </w:pPr>
    <w:r>
      <w:rPr>
        <w:sz w:val="16"/>
      </w:rPr>
      <w:t>Y DEPORTES</w:t>
    </w:r>
  </w:p>
</w:hdr>
</file>

<file path=word/header2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789B7" w14:textId="77777777" w:rsidR="00053D93" w:rsidRDefault="00260B75">
    <w:pPr>
      <w:spacing w:after="0"/>
      <w:ind w:left="50"/>
    </w:pPr>
    <w:r>
      <w:rPr>
        <w:noProof/>
      </w:rPr>
      <mc:AlternateContent>
        <mc:Choice Requires="wpg">
          <w:drawing>
            <wp:anchor distT="0" distB="0" distL="114300" distR="114300" simplePos="0" relativeHeight="251749376" behindDoc="0" locked="0" layoutInCell="1" allowOverlap="1" wp14:anchorId="53207812" wp14:editId="1FAB256E">
              <wp:simplePos x="0" y="0"/>
              <wp:positionH relativeFrom="page">
                <wp:posOffset>237744</wp:posOffset>
              </wp:positionH>
              <wp:positionV relativeFrom="page">
                <wp:posOffset>224028</wp:posOffset>
              </wp:positionV>
              <wp:extent cx="114300" cy="301752"/>
              <wp:effectExtent l="0" t="0" r="0" b="0"/>
              <wp:wrapSquare wrapText="bothSides"/>
              <wp:docPr id="2453173" name="Group 2453173"/>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3174" name="Rectangle 2453174"/>
                      <wps:cNvSpPr/>
                      <wps:spPr>
                        <a:xfrm>
                          <a:off x="0" y="0"/>
                          <a:ext cx="152019" cy="401330"/>
                        </a:xfrm>
                        <a:prstGeom prst="rect">
                          <a:avLst/>
                        </a:prstGeom>
                        <a:ln>
                          <a:noFill/>
                        </a:ln>
                      </wps:spPr>
                      <wps:txbx>
                        <w:txbxContent>
                          <w:p w14:paraId="7F02FE4D"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3207812" id="Group 2453173" o:spid="_x0000_s2069" style="position:absolute;left:0;text-align:left;margin-left:18.7pt;margin-top:17.65pt;width:9pt;height:23.75pt;z-index:251749376;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">
              <v:rect id="Rectangle 2453174" o:spid="_x0000_s2070"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" filled="f" stroked="f">
                <v:textbox inset="0,0,0,0">
                  <w:txbxContent>
                    <w:p w14:paraId="7F02FE4D"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27CAF644" w14:textId="77777777" w:rsidR="00053D93" w:rsidRDefault="00260B75">
    <w:pPr>
      <w:tabs>
        <w:tab w:val="right" w:pos="10174"/>
      </w:tabs>
      <w:spacing w:after="0"/>
      <w:ind w:right="-22"/>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30565ECE" w14:textId="77777777" w:rsidR="00053D93" w:rsidRDefault="00260B75">
    <w:pPr>
      <w:spacing w:after="0"/>
      <w:ind w:right="-14"/>
      <w:jc w:val="right"/>
    </w:pPr>
    <w:r>
      <w:rPr>
        <w:sz w:val="16"/>
      </w:rPr>
      <w:t>Y DEPORTES</w:t>
    </w:r>
  </w:p>
</w:hdr>
</file>

<file path=word/header2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DE9F2" w14:textId="77777777" w:rsidR="00053D93" w:rsidRDefault="00260B75">
    <w:pPr>
      <w:spacing w:after="0"/>
      <w:ind w:left="-58"/>
    </w:pPr>
    <w:r>
      <w:rPr>
        <w:noProof/>
      </w:rPr>
      <mc:AlternateContent>
        <mc:Choice Requires="wpg">
          <w:drawing>
            <wp:anchor distT="0" distB="0" distL="114300" distR="114300" simplePos="0" relativeHeight="251750400" behindDoc="0" locked="0" layoutInCell="1" allowOverlap="1" wp14:anchorId="03C7AD1B" wp14:editId="1E488481">
              <wp:simplePos x="0" y="0"/>
              <wp:positionH relativeFrom="page">
                <wp:posOffset>169164</wp:posOffset>
              </wp:positionH>
              <wp:positionV relativeFrom="page">
                <wp:posOffset>333756</wp:posOffset>
              </wp:positionV>
              <wp:extent cx="114300" cy="301752"/>
              <wp:effectExtent l="0" t="0" r="0" b="0"/>
              <wp:wrapSquare wrapText="bothSides"/>
              <wp:docPr id="2453154" name="Group 2453154"/>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3155" name="Rectangle 2453155"/>
                      <wps:cNvSpPr/>
                      <wps:spPr>
                        <a:xfrm>
                          <a:off x="0" y="0"/>
                          <a:ext cx="152019" cy="401330"/>
                        </a:xfrm>
                        <a:prstGeom prst="rect">
                          <a:avLst/>
                        </a:prstGeom>
                        <a:ln>
                          <a:noFill/>
                        </a:ln>
                      </wps:spPr>
                      <wps:txbx>
                        <w:txbxContent>
                          <w:p w14:paraId="09A970E4"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anchor>
          </w:drawing>
        </mc:Choice>
        <mc:Fallback>
          <w:pict>
            <v:group w14:anchorId="03C7AD1B" id="Group 2453154" o:spid="_x0000_s2071" style="position:absolute;left:0;text-align:left;margin-left:13.3pt;margin-top:26.3pt;width:9pt;height:23.75pt;z-index:251750400;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">
              <v:rect id="Rectangle 2453155" o:spid="_x0000_s2072"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" filled="f" stroked="f">
                <v:textbox inset="0,0,0,0">
                  <w:txbxContent>
                    <w:p w14:paraId="09A970E4" w14:textId="77777777" w:rsidR="00053D93" w:rsidRDefault="00260B75">
                      <w:r>
                        <w:rPr>
                          <w:rFonts w:ascii="Times New Roman" w:eastAsia="Times New Roman" w:hAnsi="Times New Roman" w:cs="Times New Roman"/>
                          <w:sz w:val="66"/>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6C74AD2C" w14:textId="77777777" w:rsidR="00053D93" w:rsidRDefault="00260B75">
    <w:pPr>
      <w:tabs>
        <w:tab w:val="right" w:pos="10174"/>
      </w:tabs>
      <w:spacing w:after="0"/>
      <w:ind w:left="-58"/>
    </w:pPr>
    <w:r>
      <w:rPr>
        <w:sz w:val="14"/>
      </w:rPr>
      <w:t>CONTRALORÍA GENERAL CUENTAS</w:t>
    </w:r>
    <w:r>
      <w:rPr>
        <w:sz w:val="14"/>
      </w:rPr>
      <w:tab/>
    </w:r>
    <w:r>
      <w:rPr>
        <w:sz w:val="16"/>
      </w:rPr>
      <w:t xml:space="preserve">Y </w:t>
    </w:r>
    <w:r>
      <w:rPr>
        <w:sz w:val="14"/>
      </w:rPr>
      <w:t>DEPORTES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FC25E" w14:textId="77777777" w:rsidR="00053D93" w:rsidRDefault="00260B75">
    <w:pPr>
      <w:spacing w:after="804" w:line="246" w:lineRule="auto"/>
      <w:ind w:left="-43" w:right="-14"/>
    </w:pPr>
    <w:r>
      <w:rPr>
        <w:noProof/>
      </w:rPr>
      <mc:AlternateContent>
        <mc:Choice Requires="wpg">
          <w:drawing>
            <wp:anchor distT="0" distB="0" distL="114300" distR="114300" simplePos="0" relativeHeight="251658240" behindDoc="0" locked="0" layoutInCell="1" allowOverlap="1" wp14:anchorId="16860D98" wp14:editId="2FC43EA3">
              <wp:simplePos x="0" y="0"/>
              <wp:positionH relativeFrom="page">
                <wp:posOffset>210312</wp:posOffset>
              </wp:positionH>
              <wp:positionV relativeFrom="page">
                <wp:posOffset>288036</wp:posOffset>
              </wp:positionV>
              <wp:extent cx="132588" cy="416052"/>
              <wp:effectExtent l="0" t="0" r="0" b="0"/>
              <wp:wrapSquare wrapText="bothSides"/>
              <wp:docPr id="2446404" name="Group 2446404"/>
              <wp:cNvGraphicFramePr/>
              <a:graphic xmlns:a="http://schemas.openxmlformats.org/drawingml/2006/main">
                <a:graphicData uri="http://schemas.microsoft.com/office/word/2010/wordprocessingGroup">
                  <wpg:wgp>
                    <wpg:cNvGrpSpPr/>
                    <wpg:grpSpPr>
                      <a:xfrm>
                        <a:off x="0" y="0"/>
                        <a:ext cx="132588" cy="416052"/>
                        <a:chOff x="0" y="0"/>
                        <a:chExt cx="132588" cy="416052"/>
                      </a:xfrm>
                    </wpg:grpSpPr>
                    <wps:wsp>
                      <wps:cNvPr id="2446405" name="Rectangle 2446405"/>
                      <wps:cNvSpPr/>
                      <wps:spPr>
                        <a:xfrm>
                          <a:off x="0" y="0"/>
                          <a:ext cx="176342" cy="553349"/>
                        </a:xfrm>
                        <a:prstGeom prst="rect">
                          <a:avLst/>
                        </a:prstGeom>
                        <a:ln>
                          <a:noFill/>
                        </a:ln>
                      </wps:spPr>
                      <wps:txbx>
                        <w:txbxContent>
                          <w:p w14:paraId="7A6CA62A" w14:textId="77777777" w:rsidR="00053D93" w:rsidRDefault="00260B75">
                            <w:r>
                              <w:rPr>
                                <w:sz w:val="274"/>
                              </w:rPr>
                              <w:t>i</w:t>
                            </w:r>
                          </w:p>
                        </w:txbxContent>
                      </wps:txbx>
                      <wps:bodyPr horzOverflow="overflow" vert="horz" lIns="0" tIns="0" rIns="0" bIns="0" rtlCol="0">
                        <a:noAutofit/>
                      </wps:bodyPr>
                    </wps:wsp>
                  </wpg:wgp>
                </a:graphicData>
              </a:graphic>
            </wp:anchor>
          </w:drawing>
        </mc:Choice>
        <mc:Fallback>
          <w:pict>
            <v:group w14:anchorId="16860D98" id="Group 2446404" o:spid="_x0000_s1895" style="position:absolute;left:0;text-align:left;margin-left:16.55pt;margin-top:22.7pt;width:10.45pt;height:32.75pt;z-index:251658240;mso-position-horizontal-relative:page;mso-position-vertical-relative:page" coordsize="132588,416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">
              <v:rect id="Rectangle 2446405" o:spid="_x0000_s1896" style="position:absolute;width:176342;height:553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" filled="f" stroked="f">
                <v:textbox inset="0,0,0,0">
                  <w:txbxContent>
                    <w:p w14:paraId="7A6CA62A" w14:textId="77777777" w:rsidR="00053D93" w:rsidRDefault="00260B75">
                      <w:r>
                        <w:rPr>
                          <w:sz w:val="274"/>
                        </w:rPr>
                        <w:t>i</w:t>
                      </w:r>
                    </w:p>
                  </w:txbxContent>
                </v:textbox>
              </v:rect>
              <w10:wrap type="square" anchorx="page" anchory="page"/>
            </v:group>
          </w:pict>
        </mc:Fallback>
      </mc:AlternateContent>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AUDITORÍA AL </w:t>
    </w:r>
    <w:r>
      <w:rPr>
        <w:sz w:val="16"/>
      </w:rPr>
      <w:t xml:space="preserve">SECTOR </w:t>
    </w:r>
    <w:r>
      <w:rPr>
        <w:sz w:val="14"/>
      </w:rPr>
      <w:t xml:space="preserve">EDUCACIÓN. CIENCIA. CULTURA </w:t>
    </w:r>
    <w:r>
      <w:rPr>
        <w:sz w:val="16"/>
      </w:rPr>
      <w:t>Y DEPORTES</w:t>
    </w:r>
  </w:p>
  <w:p w14:paraId="57E07407" w14:textId="77777777" w:rsidR="00053D93" w:rsidRDefault="00260B75">
    <w:pPr>
      <w:spacing w:after="0"/>
      <w:ind w:left="-43"/>
    </w:pPr>
    <w:r>
      <w:rPr>
        <w:sz w:val="284"/>
      </w:rPr>
      <w:t>i</w:t>
    </w:r>
  </w:p>
</w:hdr>
</file>

<file path=word/header2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D7EC6" w14:textId="77777777" w:rsidR="00053D93" w:rsidRDefault="00260B75">
    <w:pPr>
      <w:spacing w:after="0"/>
      <w:ind w:left="50"/>
    </w:pPr>
    <w:r>
      <w:rPr>
        <w:noProof/>
      </w:rPr>
      <mc:AlternateContent>
        <mc:Choice Requires="wpg">
          <w:drawing>
            <wp:anchor distT="0" distB="0" distL="114300" distR="114300" simplePos="0" relativeHeight="251751424" behindDoc="0" locked="0" layoutInCell="1" allowOverlap="1" wp14:anchorId="5F101C55" wp14:editId="081BD00F">
              <wp:simplePos x="0" y="0"/>
              <wp:positionH relativeFrom="page">
                <wp:posOffset>233172</wp:posOffset>
              </wp:positionH>
              <wp:positionV relativeFrom="page">
                <wp:posOffset>228600</wp:posOffset>
              </wp:positionV>
              <wp:extent cx="128016" cy="292608"/>
              <wp:effectExtent l="0" t="0" r="0" b="0"/>
              <wp:wrapSquare wrapText="bothSides"/>
              <wp:docPr id="2453285" name="Group 2453285"/>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3286" name="Rectangle 2453286"/>
                      <wps:cNvSpPr/>
                      <wps:spPr>
                        <a:xfrm>
                          <a:off x="0" y="0"/>
                          <a:ext cx="170261" cy="389169"/>
                        </a:xfrm>
                        <a:prstGeom prst="rect">
                          <a:avLst/>
                        </a:prstGeom>
                        <a:ln>
                          <a:noFill/>
                        </a:ln>
                      </wps:spPr>
                      <wps:txbx>
                        <w:txbxContent>
                          <w:p w14:paraId="30361C34"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5F101C55" id="Group 2453285" o:spid="_x0000_s2073" style="position:absolute;left:0;text-align:left;margin-left:18.35pt;margin-top:18pt;width:10.1pt;height:23.05pt;z-index:251751424;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">
              <v:rect id="Rectangle 2453286" o:spid="_x0000_s2074"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" filled="f" stroked="f">
                <v:textbox inset="0,0,0,0">
                  <w:txbxContent>
                    <w:p w14:paraId="30361C34"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78355907" w14:textId="77777777" w:rsidR="00053D93" w:rsidRDefault="00260B75">
    <w:pPr>
      <w:tabs>
        <w:tab w:val="center" w:pos="5940"/>
        <w:tab w:val="right" w:pos="10181"/>
      </w:tabs>
      <w:spacing w:after="0"/>
      <w:ind w:right="-7"/>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31A55F59" w14:textId="77777777" w:rsidR="00053D93" w:rsidRDefault="00260B75">
    <w:pPr>
      <w:spacing w:after="0"/>
      <w:ind w:right="-7"/>
      <w:jc w:val="right"/>
    </w:pPr>
    <w:r>
      <w:rPr>
        <w:sz w:val="16"/>
      </w:rPr>
      <w:t>Y DEPORTES</w:t>
    </w:r>
  </w:p>
</w:hdr>
</file>

<file path=word/header2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EF235" w14:textId="77777777" w:rsidR="00053D93" w:rsidRDefault="00260B75">
    <w:pPr>
      <w:spacing w:after="0"/>
      <w:ind w:left="29"/>
    </w:pPr>
    <w:r>
      <w:rPr>
        <w:noProof/>
      </w:rPr>
      <w:drawing>
        <wp:anchor distT="0" distB="0" distL="114300" distR="114300" simplePos="0" relativeHeight="251752448" behindDoc="0" locked="0" layoutInCell="1" allowOverlap="0" wp14:anchorId="2E09877F" wp14:editId="3E9FE7E2">
          <wp:simplePos x="0" y="0"/>
          <wp:positionH relativeFrom="page">
            <wp:posOffset>6752844</wp:posOffset>
          </wp:positionH>
          <wp:positionV relativeFrom="page">
            <wp:posOffset>832104</wp:posOffset>
          </wp:positionV>
          <wp:extent cx="9145" cy="9144"/>
          <wp:effectExtent l="0" t="0" r="0" b="0"/>
          <wp:wrapSquare wrapText="bothSides"/>
          <wp:docPr id="1307473" name="Picture 1307473"/>
          <wp:cNvGraphicFramePr/>
          <a:graphic xmlns:a="http://schemas.openxmlformats.org/drawingml/2006/main">
            <a:graphicData uri="http://schemas.openxmlformats.org/drawingml/2006/picture">
              <pic:pic xmlns:pic="http://schemas.openxmlformats.org/drawingml/2006/picture">
                <pic:nvPicPr>
                  <pic:cNvPr id="1307473" name="Picture 1307473"/>
                  <pic:cNvPicPr/>
                </pic:nvPicPr>
                <pic:blipFill>
                  <a:blip r:embed="rId1"/>
                  <a:stretch>
                    <a:fillRect/>
                  </a:stretch>
                </pic:blipFill>
                <pic:spPr>
                  <a:xfrm>
                    <a:off x="0" y="0"/>
                    <a:ext cx="9145" cy="9144"/>
                  </a:xfrm>
                  <a:prstGeom prst="rect">
                    <a:avLst/>
                  </a:prstGeom>
                </pic:spPr>
              </pic:pic>
            </a:graphicData>
          </a:graphic>
        </wp:anchor>
      </w:drawing>
    </w:r>
    <w:r>
      <w:rPr>
        <w:sz w:val="72"/>
      </w:rPr>
      <w:t>1</w:t>
    </w:r>
  </w:p>
  <w:p w14:paraId="0BEEBFBC" w14:textId="77777777" w:rsidR="00053D93" w:rsidRDefault="00260B75">
    <w:pPr>
      <w:spacing w:after="0"/>
      <w:ind w:left="6120"/>
    </w:pPr>
    <w:r>
      <w:rPr>
        <w:sz w:val="14"/>
      </w:rPr>
      <w:t xml:space="preserve">DIRECCIÓN </w:t>
    </w:r>
    <w:r>
      <w:rPr>
        <w:sz w:val="16"/>
      </w:rPr>
      <w:t xml:space="preserve">DE </w:t>
    </w:r>
    <w:r>
      <w:rPr>
        <w:sz w:val="14"/>
      </w:rPr>
      <w:t xml:space="preserve">AUDITOREA AL </w:t>
    </w:r>
    <w:r>
      <w:rPr>
        <w:sz w:val="16"/>
      </w:rPr>
      <w:t xml:space="preserve">SECTOR </w:t>
    </w:r>
    <w:r>
      <w:rPr>
        <w:sz w:val="14"/>
      </w:rPr>
      <w:t>EDUCACIÓN. CIENCIA. CULTURA</w:t>
    </w:r>
  </w:p>
  <w:p w14:paraId="613E5906" w14:textId="77777777" w:rsidR="00053D93" w:rsidRDefault="00260B75">
    <w:pPr>
      <w:tabs>
        <w:tab w:val="center" w:pos="2783"/>
        <w:tab w:val="center" w:pos="5908"/>
      </w:tabs>
      <w:spacing w:after="0"/>
    </w:pPr>
    <w:r>
      <w:tab/>
    </w: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2"/>
      </w:rPr>
      <w:t>301</w:t>
    </w:r>
    <w:r>
      <w:rPr>
        <w:sz w:val="12"/>
      </w:rPr>
      <w:fldChar w:fldCharType="end"/>
    </w:r>
  </w:p>
  <w:p w14:paraId="2FEA3131" w14:textId="77777777" w:rsidR="00053D93" w:rsidRDefault="00260B75">
    <w:pPr>
      <w:spacing w:after="0"/>
      <w:ind w:right="22"/>
      <w:jc w:val="right"/>
    </w:pPr>
    <w:r>
      <w:rPr>
        <w:sz w:val="16"/>
      </w:rPr>
      <w:t>Y DEPORTES</w:t>
    </w:r>
  </w:p>
</w:hdr>
</file>

<file path=word/header2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65FCF" w14:textId="77777777" w:rsidR="00053D93" w:rsidRDefault="00260B75">
    <w:pPr>
      <w:spacing w:after="0"/>
      <w:ind w:left="36"/>
    </w:pPr>
    <w:r>
      <w:rPr>
        <w:sz w:val="74"/>
      </w:rPr>
      <w:t>1</w:t>
    </w:r>
  </w:p>
  <w:p w14:paraId="13266CE8" w14:textId="77777777" w:rsidR="00053D93" w:rsidRDefault="00260B75">
    <w:pPr>
      <w:tabs>
        <w:tab w:val="center" w:pos="2416"/>
        <w:tab w:val="center" w:pos="3614"/>
        <w:tab w:val="right" w:pos="10181"/>
      </w:tabs>
      <w:spacing w:after="0"/>
    </w:pPr>
    <w:r>
      <w:tab/>
    </w:r>
    <w:r>
      <w:rPr>
        <w:sz w:val="14"/>
      </w:rPr>
      <w:t xml:space="preserve">CONTRALORíA GENERAL </w:t>
    </w:r>
    <w:r>
      <w:rPr>
        <w:sz w:val="14"/>
      </w:rPr>
      <w:tab/>
      <w:t>CUENTAS</w:t>
    </w:r>
    <w:r>
      <w:rPr>
        <w:sz w:val="14"/>
      </w:rPr>
      <w:tab/>
    </w:r>
    <w:r>
      <w:fldChar w:fldCharType="begin"/>
    </w:r>
    <w:r>
      <w:instrText xml:space="preserve"> PAGE   \* MERGEFORMAT </w:instrText>
    </w:r>
    <w:r>
      <w:fldChar w:fldCharType="separate"/>
    </w:r>
    <w:r>
      <w:rPr>
        <w:sz w:val="12"/>
      </w:rPr>
      <w:t>218</w:t>
    </w:r>
    <w:r>
      <w:rPr>
        <w:sz w:val="12"/>
      </w:rPr>
      <w:fldChar w:fldCharType="end"/>
    </w:r>
    <w:r>
      <w:rPr>
        <w:sz w:val="12"/>
      </w:rPr>
      <w:t xml:space="preserve"> </w:t>
    </w:r>
    <w:r>
      <w:rPr>
        <w:sz w:val="14"/>
      </w:rPr>
      <w:t xml:space="preserve">DIRECCIÓN </w:t>
    </w:r>
    <w:r>
      <w:rPr>
        <w:sz w:val="16"/>
      </w:rPr>
      <w:t xml:space="preserve">DE </w:t>
    </w:r>
    <w:r>
      <w:rPr>
        <w:sz w:val="14"/>
      </w:rPr>
      <w:t xml:space="preserve">AUDITORÍA </w:t>
    </w:r>
    <w:r>
      <w:rPr>
        <w:sz w:val="16"/>
      </w:rPr>
      <w:t xml:space="preserve">AL SECTOR </w:t>
    </w:r>
    <w:r>
      <w:rPr>
        <w:sz w:val="14"/>
      </w:rPr>
      <w:t>EDUCACIÓN. CIENCIA. CULTURA</w:t>
    </w:r>
  </w:p>
  <w:p w14:paraId="442CB88D" w14:textId="77777777" w:rsidR="00053D93" w:rsidRDefault="00260B75">
    <w:pPr>
      <w:spacing w:after="0"/>
      <w:jc w:val="right"/>
    </w:pPr>
    <w:r>
      <w:rPr>
        <w:sz w:val="16"/>
      </w:rPr>
      <w:t>Y DEPORTES</w:t>
    </w:r>
  </w:p>
</w:hdr>
</file>

<file path=word/header2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C0CB2" w14:textId="77777777" w:rsidR="00053D93" w:rsidRDefault="00260B75">
    <w:pPr>
      <w:spacing w:after="0"/>
      <w:ind w:left="50"/>
    </w:pPr>
    <w:r>
      <w:rPr>
        <w:noProof/>
      </w:rPr>
      <mc:AlternateContent>
        <mc:Choice Requires="wpg">
          <w:drawing>
            <wp:anchor distT="0" distB="0" distL="114300" distR="114300" simplePos="0" relativeHeight="251753472" behindDoc="0" locked="0" layoutInCell="1" allowOverlap="1" wp14:anchorId="178F8D4A" wp14:editId="792C0E98">
              <wp:simplePos x="0" y="0"/>
              <wp:positionH relativeFrom="page">
                <wp:posOffset>233172</wp:posOffset>
              </wp:positionH>
              <wp:positionV relativeFrom="page">
                <wp:posOffset>228600</wp:posOffset>
              </wp:positionV>
              <wp:extent cx="128016" cy="292608"/>
              <wp:effectExtent l="0" t="0" r="0" b="0"/>
              <wp:wrapSquare wrapText="bothSides"/>
              <wp:docPr id="2453376" name="Group 2453376"/>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3377" name="Rectangle 2453377"/>
                      <wps:cNvSpPr/>
                      <wps:spPr>
                        <a:xfrm>
                          <a:off x="0" y="0"/>
                          <a:ext cx="170261" cy="389169"/>
                        </a:xfrm>
                        <a:prstGeom prst="rect">
                          <a:avLst/>
                        </a:prstGeom>
                        <a:ln>
                          <a:noFill/>
                        </a:ln>
                      </wps:spPr>
                      <wps:txbx>
                        <w:txbxContent>
                          <w:p w14:paraId="328A4EB8"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178F8D4A" id="Group 2453376" o:spid="_x0000_s2075" style="position:absolute;left:0;text-align:left;margin-left:18.35pt;margin-top:18pt;width:10.1pt;height:23.05pt;z-index:251753472;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NAEvGQMAgAA&#10;lwQAAA4AAAAAAAAAAAAAAAAALgIAAGRycy9lMm9Eb2MueG1sUEsBAi0AFAAGAAgAAAAhALPTHHHe&#10;AAAABwEAAA8AAAAAAAAAAAAAAAAAZgQAAGRycy9kb3ducmV2LnhtbFBLBQYAAAAABAAEAPMAAABx&#10;BQAAAAA=&#10;">
              <v:rect id="Rectangle 2453377" o:spid="_x0000_s2076"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" filled="f" stroked="f">
                <v:textbox inset="0,0,0,0">
                  <w:txbxContent>
                    <w:p w14:paraId="328A4EB8"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5BA009EA" w14:textId="77777777" w:rsidR="00053D93" w:rsidRDefault="00260B75">
    <w:pPr>
      <w:tabs>
        <w:tab w:val="center" w:pos="5940"/>
        <w:tab w:val="right" w:pos="10166"/>
      </w:tabs>
      <w:spacing w:after="0"/>
      <w:ind w:right="-22"/>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25A93C96" w14:textId="77777777" w:rsidR="00053D93" w:rsidRDefault="00260B75">
    <w:pPr>
      <w:spacing w:after="0"/>
      <w:ind w:right="-22"/>
      <w:jc w:val="right"/>
    </w:pPr>
    <w:r>
      <w:rPr>
        <w:sz w:val="16"/>
      </w:rPr>
      <w:t>Y DEPORTES</w:t>
    </w:r>
  </w:p>
</w:hdr>
</file>

<file path=word/header2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7A4AA" w14:textId="77777777" w:rsidR="00053D93" w:rsidRDefault="00260B75">
    <w:pPr>
      <w:spacing w:after="0"/>
      <w:ind w:left="29"/>
    </w:pPr>
    <w:r>
      <w:rPr>
        <w:noProof/>
      </w:rPr>
      <w:drawing>
        <wp:anchor distT="0" distB="0" distL="114300" distR="114300" simplePos="0" relativeHeight="251754496" behindDoc="0" locked="0" layoutInCell="1" allowOverlap="0" wp14:anchorId="2A38DEB2" wp14:editId="62C427B5">
          <wp:simplePos x="0" y="0"/>
          <wp:positionH relativeFrom="page">
            <wp:posOffset>6752844</wp:posOffset>
          </wp:positionH>
          <wp:positionV relativeFrom="page">
            <wp:posOffset>832104</wp:posOffset>
          </wp:positionV>
          <wp:extent cx="9145" cy="9144"/>
          <wp:effectExtent l="0" t="0" r="0" b="0"/>
          <wp:wrapSquare wrapText="bothSides"/>
          <wp:docPr id="1" name="Picture 1307473"/>
          <wp:cNvGraphicFramePr/>
          <a:graphic xmlns:a="http://schemas.openxmlformats.org/drawingml/2006/main">
            <a:graphicData uri="http://schemas.openxmlformats.org/drawingml/2006/picture">
              <pic:pic xmlns:pic="http://schemas.openxmlformats.org/drawingml/2006/picture">
                <pic:nvPicPr>
                  <pic:cNvPr id="1307473" name="Picture 1307473"/>
                  <pic:cNvPicPr/>
                </pic:nvPicPr>
                <pic:blipFill>
                  <a:blip r:embed="rId1"/>
                  <a:stretch>
                    <a:fillRect/>
                  </a:stretch>
                </pic:blipFill>
                <pic:spPr>
                  <a:xfrm>
                    <a:off x="0" y="0"/>
                    <a:ext cx="9145" cy="9144"/>
                  </a:xfrm>
                  <a:prstGeom prst="rect">
                    <a:avLst/>
                  </a:prstGeom>
                </pic:spPr>
              </pic:pic>
            </a:graphicData>
          </a:graphic>
        </wp:anchor>
      </w:drawing>
    </w:r>
    <w:r>
      <w:rPr>
        <w:sz w:val="72"/>
      </w:rPr>
      <w:t>1</w:t>
    </w:r>
  </w:p>
  <w:p w14:paraId="0C64F550" w14:textId="77777777" w:rsidR="00053D93" w:rsidRDefault="00260B75">
    <w:pPr>
      <w:spacing w:after="0"/>
      <w:ind w:left="6120"/>
    </w:pPr>
    <w:r>
      <w:rPr>
        <w:sz w:val="14"/>
      </w:rPr>
      <w:t xml:space="preserve">DIRECCIÓN </w:t>
    </w:r>
    <w:r>
      <w:rPr>
        <w:sz w:val="16"/>
      </w:rPr>
      <w:t xml:space="preserve">DE </w:t>
    </w:r>
    <w:r>
      <w:rPr>
        <w:sz w:val="14"/>
      </w:rPr>
      <w:t xml:space="preserve">AUDITOREA AL </w:t>
    </w:r>
    <w:r>
      <w:rPr>
        <w:sz w:val="16"/>
      </w:rPr>
      <w:t xml:space="preserve">SECTOR </w:t>
    </w:r>
    <w:r>
      <w:rPr>
        <w:sz w:val="14"/>
      </w:rPr>
      <w:t>EDUCACIÓN. CIENCIA. CULTURA</w:t>
    </w:r>
  </w:p>
  <w:p w14:paraId="1823B2BD" w14:textId="77777777" w:rsidR="00053D93" w:rsidRDefault="00260B75">
    <w:pPr>
      <w:tabs>
        <w:tab w:val="center" w:pos="2783"/>
        <w:tab w:val="center" w:pos="5908"/>
      </w:tabs>
      <w:spacing w:after="0"/>
    </w:pPr>
    <w:r>
      <w:tab/>
    </w: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2"/>
      </w:rPr>
      <w:t>301</w:t>
    </w:r>
    <w:r>
      <w:rPr>
        <w:sz w:val="12"/>
      </w:rPr>
      <w:fldChar w:fldCharType="end"/>
    </w:r>
  </w:p>
  <w:p w14:paraId="2C8CCABD" w14:textId="77777777" w:rsidR="00053D93" w:rsidRDefault="00260B75">
    <w:pPr>
      <w:spacing w:after="0"/>
      <w:ind w:right="7"/>
      <w:jc w:val="right"/>
    </w:pPr>
    <w:r>
      <w:rPr>
        <w:sz w:val="16"/>
      </w:rPr>
      <w:t>Y DEPORTES</w:t>
    </w:r>
  </w:p>
</w:hdr>
</file>

<file path=word/header2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2397F" w14:textId="77777777" w:rsidR="00053D93" w:rsidRDefault="00260B75">
    <w:pPr>
      <w:spacing w:after="0"/>
      <w:ind w:left="65"/>
    </w:pPr>
    <w:r>
      <w:rPr>
        <w:noProof/>
      </w:rPr>
      <w:drawing>
        <wp:anchor distT="0" distB="0" distL="114300" distR="114300" simplePos="0" relativeHeight="251755520" behindDoc="0" locked="0" layoutInCell="1" allowOverlap="0" wp14:anchorId="1A342AD1" wp14:editId="5E5B4228">
          <wp:simplePos x="0" y="0"/>
          <wp:positionH relativeFrom="page">
            <wp:posOffset>6867144</wp:posOffset>
          </wp:positionH>
          <wp:positionV relativeFrom="page">
            <wp:posOffset>822960</wp:posOffset>
          </wp:positionV>
          <wp:extent cx="18287" cy="4572"/>
          <wp:effectExtent l="0" t="0" r="0" b="0"/>
          <wp:wrapSquare wrapText="bothSides"/>
          <wp:docPr id="1314542" name="Picture 1314542"/>
          <wp:cNvGraphicFramePr/>
          <a:graphic xmlns:a="http://schemas.openxmlformats.org/drawingml/2006/main">
            <a:graphicData uri="http://schemas.openxmlformats.org/drawingml/2006/picture">
              <pic:pic xmlns:pic="http://schemas.openxmlformats.org/drawingml/2006/picture">
                <pic:nvPicPr>
                  <pic:cNvPr id="1314542" name="Picture 1314542"/>
                  <pic:cNvPicPr/>
                </pic:nvPicPr>
                <pic:blipFill>
                  <a:blip r:embed="rId1"/>
                  <a:stretch>
                    <a:fillRect/>
                  </a:stretch>
                </pic:blipFill>
                <pic:spPr>
                  <a:xfrm>
                    <a:off x="0" y="0"/>
                    <a:ext cx="18287" cy="4572"/>
                  </a:xfrm>
                  <a:prstGeom prst="rect">
                    <a:avLst/>
                  </a:prstGeom>
                </pic:spPr>
              </pic:pic>
            </a:graphicData>
          </a:graphic>
        </wp:anchor>
      </w:drawing>
    </w:r>
    <w:r>
      <w:rPr>
        <w:noProof/>
      </w:rPr>
      <mc:AlternateContent>
        <mc:Choice Requires="wpg">
          <w:drawing>
            <wp:anchor distT="0" distB="0" distL="114300" distR="114300" simplePos="0" relativeHeight="251756544" behindDoc="0" locked="0" layoutInCell="1" allowOverlap="1" wp14:anchorId="6E05D524" wp14:editId="70CEB365">
              <wp:simplePos x="0" y="0"/>
              <wp:positionH relativeFrom="page">
                <wp:posOffset>242316</wp:posOffset>
              </wp:positionH>
              <wp:positionV relativeFrom="page">
                <wp:posOffset>196596</wp:posOffset>
              </wp:positionV>
              <wp:extent cx="109728" cy="297180"/>
              <wp:effectExtent l="0" t="0" r="0" b="0"/>
              <wp:wrapSquare wrapText="bothSides"/>
              <wp:docPr id="2453317" name="Group 2453317"/>
              <wp:cNvGraphicFramePr/>
              <a:graphic xmlns:a="http://schemas.openxmlformats.org/drawingml/2006/main">
                <a:graphicData uri="http://schemas.microsoft.com/office/word/2010/wordprocessingGroup">
                  <wpg:wgp>
                    <wpg:cNvGrpSpPr/>
                    <wpg:grpSpPr>
                      <a:xfrm>
                        <a:off x="0" y="0"/>
                        <a:ext cx="109728" cy="297180"/>
                        <a:chOff x="0" y="0"/>
                        <a:chExt cx="109728" cy="297180"/>
                      </a:xfrm>
                    </wpg:grpSpPr>
                    <wps:wsp>
                      <wps:cNvPr id="2453318" name="Rectangle 2453318"/>
                      <wps:cNvSpPr/>
                      <wps:spPr>
                        <a:xfrm>
                          <a:off x="0" y="0"/>
                          <a:ext cx="145938" cy="395250"/>
                        </a:xfrm>
                        <a:prstGeom prst="rect">
                          <a:avLst/>
                        </a:prstGeom>
                        <a:ln>
                          <a:noFill/>
                        </a:ln>
                      </wps:spPr>
                      <wps:txbx>
                        <w:txbxContent>
                          <w:p w14:paraId="74732C19" w14:textId="77777777" w:rsidR="00053D93" w:rsidRDefault="00260B75">
                            <w:r>
                              <w:rPr>
                                <w:sz w:val="66"/>
                              </w:rPr>
                              <w:t>1</w:t>
                            </w:r>
                          </w:p>
                        </w:txbxContent>
                      </wps:txbx>
                      <wps:bodyPr horzOverflow="overflow" vert="horz" lIns="0" tIns="0" rIns="0" bIns="0" rtlCol="0">
                        <a:noAutofit/>
                      </wps:bodyPr>
                    </wps:wsp>
                  </wpg:wgp>
                </a:graphicData>
              </a:graphic>
            </wp:anchor>
          </w:drawing>
        </mc:Choice>
        <mc:Fallback>
          <w:pict>
            <v:group w14:anchorId="6E05D524" id="Group 2453317" o:spid="_x0000_s2077" style="position:absolute;left:0;text-align:left;margin-left:19.1pt;margin-top:15.5pt;width:8.65pt;height:23.4pt;z-index:251756544;mso-position-horizontal-relative:page;mso-position-vertical-relative:page" coordsize="109728,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">
              <v:rect id="Rectangle 2453318" o:spid="_x0000_s2078" style="position:absolute;width:145938;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" filled="f" stroked="f">
                <v:textbox inset="0,0,0,0">
                  <w:txbxContent>
                    <w:p w14:paraId="74732C19" w14:textId="77777777" w:rsidR="00053D93" w:rsidRDefault="00260B75">
                      <w:r>
                        <w:rPr>
                          <w:sz w:val="66"/>
                        </w:rPr>
                        <w:t>1</w:t>
                      </w:r>
                    </w:p>
                  </w:txbxContent>
                </v:textbox>
              </v:rect>
              <w10:wrap type="square" anchorx="page" anchory="page"/>
            </v:group>
          </w:pict>
        </mc:Fallback>
      </mc:AlternateContent>
    </w:r>
    <w:r>
      <w:rPr>
        <w:sz w:val="14"/>
      </w:rPr>
      <w:t xml:space="preserve">DIRECCtÓN </w:t>
    </w:r>
  </w:p>
  <w:p w14:paraId="3284B15A" w14:textId="77777777" w:rsidR="00053D93" w:rsidRDefault="00260B75">
    <w:pPr>
      <w:tabs>
        <w:tab w:val="center" w:pos="5897"/>
        <w:tab w:val="right" w:pos="10166"/>
      </w:tabs>
      <w:spacing w:after="0"/>
    </w:pP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303</w:t>
    </w:r>
    <w:r>
      <w:rPr>
        <w:sz w:val="14"/>
      </w:rPr>
      <w:fldChar w:fldCharType="end"/>
    </w:r>
    <w:r>
      <w:rPr>
        <w:sz w:val="14"/>
      </w:rPr>
      <w:tab/>
      <w:t xml:space="preserve">AUDITORIA AL </w:t>
    </w:r>
    <w:r>
      <w:rPr>
        <w:sz w:val="16"/>
      </w:rPr>
      <w:t xml:space="preserve">SECTOR </w:t>
    </w:r>
    <w:r>
      <w:rPr>
        <w:sz w:val="14"/>
      </w:rPr>
      <w:t>EDUCACIÓN. CIENCIA. CULTURA</w:t>
    </w:r>
  </w:p>
  <w:p w14:paraId="279498F9" w14:textId="77777777" w:rsidR="00053D93" w:rsidRDefault="00260B75">
    <w:pPr>
      <w:spacing w:after="0"/>
      <w:ind w:right="22"/>
      <w:jc w:val="right"/>
    </w:pPr>
    <w:r>
      <w:rPr>
        <w:sz w:val="16"/>
      </w:rPr>
      <w:t>Y DEPORTES</w:t>
    </w:r>
  </w:p>
</w:hdr>
</file>

<file path=word/header2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35185" w14:textId="77777777" w:rsidR="00053D93" w:rsidRDefault="00260B75">
    <w:pPr>
      <w:spacing w:after="0"/>
      <w:ind w:left="58"/>
    </w:pPr>
    <w:r>
      <w:rPr>
        <w:noProof/>
      </w:rPr>
      <mc:AlternateContent>
        <mc:Choice Requires="wpg">
          <w:drawing>
            <wp:anchor distT="0" distB="0" distL="114300" distR="114300" simplePos="0" relativeHeight="251757568" behindDoc="0" locked="0" layoutInCell="1" allowOverlap="1" wp14:anchorId="44C52A7E" wp14:editId="5AFC06E7">
              <wp:simplePos x="0" y="0"/>
              <wp:positionH relativeFrom="page">
                <wp:posOffset>233172</wp:posOffset>
              </wp:positionH>
              <wp:positionV relativeFrom="page">
                <wp:posOffset>228600</wp:posOffset>
              </wp:positionV>
              <wp:extent cx="128016" cy="292608"/>
              <wp:effectExtent l="0" t="0" r="0" b="0"/>
              <wp:wrapSquare wrapText="bothSides"/>
              <wp:docPr id="2453462" name="Group 2453462"/>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3463" name="Rectangle 2453463"/>
                      <wps:cNvSpPr/>
                      <wps:spPr>
                        <a:xfrm>
                          <a:off x="0" y="0"/>
                          <a:ext cx="170261" cy="389169"/>
                        </a:xfrm>
                        <a:prstGeom prst="rect">
                          <a:avLst/>
                        </a:prstGeom>
                        <a:ln>
                          <a:noFill/>
                        </a:ln>
                      </wps:spPr>
                      <wps:txbx>
                        <w:txbxContent>
                          <w:p w14:paraId="349F0638"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44C52A7E" id="Group 2453462" o:spid="_x0000_s2079" style="position:absolute;left:0;text-align:left;margin-left:18.35pt;margin-top:18pt;width:10.1pt;height:23.05pt;z-index:251757568;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">
              <v:rect id="Rectangle 2453463" o:spid="_x0000_s2080"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" filled="f" stroked="f">
                <v:textbox inset="0,0,0,0">
                  <w:txbxContent>
                    <w:p w14:paraId="349F0638"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39DB1D07" w14:textId="77777777" w:rsidR="00053D93" w:rsidRDefault="00260B75">
    <w:pPr>
      <w:tabs>
        <w:tab w:val="center" w:pos="5947"/>
        <w:tab w:val="right" w:pos="10181"/>
      </w:tabs>
      <w:spacing w:after="0"/>
      <w:ind w:right="-14"/>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25F57AD9" w14:textId="77777777" w:rsidR="00053D93" w:rsidRDefault="00260B75">
    <w:pPr>
      <w:spacing w:after="0"/>
      <w:ind w:right="-14"/>
      <w:jc w:val="right"/>
    </w:pPr>
    <w:r>
      <w:rPr>
        <w:sz w:val="16"/>
      </w:rPr>
      <w:t>Y DEPORTES</w:t>
    </w:r>
  </w:p>
</w:hdr>
</file>

<file path=word/header2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7A417" w14:textId="77777777" w:rsidR="00053D93" w:rsidRDefault="00260B75">
    <w:pPr>
      <w:spacing w:after="0"/>
      <w:ind w:left="65"/>
    </w:pPr>
    <w:r>
      <w:rPr>
        <w:noProof/>
      </w:rPr>
      <mc:AlternateContent>
        <mc:Choice Requires="wpg">
          <w:drawing>
            <wp:anchor distT="0" distB="0" distL="114300" distR="114300" simplePos="0" relativeHeight="251758592" behindDoc="0" locked="0" layoutInCell="1" allowOverlap="1" wp14:anchorId="11A1B1AC" wp14:editId="0329E097">
              <wp:simplePos x="0" y="0"/>
              <wp:positionH relativeFrom="page">
                <wp:posOffset>237744</wp:posOffset>
              </wp:positionH>
              <wp:positionV relativeFrom="page">
                <wp:posOffset>224028</wp:posOffset>
              </wp:positionV>
              <wp:extent cx="114300" cy="301752"/>
              <wp:effectExtent l="0" t="0" r="0" b="0"/>
              <wp:wrapSquare wrapText="bothSides"/>
              <wp:docPr id="2453437" name="Group 2453437"/>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53438" name="Rectangle 2453438"/>
                      <wps:cNvSpPr/>
                      <wps:spPr>
                        <a:xfrm>
                          <a:off x="0" y="0"/>
                          <a:ext cx="152019" cy="401330"/>
                        </a:xfrm>
                        <a:prstGeom prst="rect">
                          <a:avLst/>
                        </a:prstGeom>
                        <a:ln>
                          <a:noFill/>
                        </a:ln>
                      </wps:spPr>
                      <wps:txbx>
                        <w:txbxContent>
                          <w:p w14:paraId="48D3A092"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11A1B1AC" id="Group 2453437" o:spid="_x0000_s2081" style="position:absolute;left:0;text-align:left;margin-left:18.7pt;margin-top:17.65pt;width:9pt;height:23.75pt;z-index:251758592;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">
              <v:rect id="Rectangle 2453438" o:spid="_x0000_s2082"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" filled="f" stroked="f">
                <v:textbox inset="0,0,0,0">
                  <w:txbxContent>
                    <w:p w14:paraId="48D3A092"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315EE78A" w14:textId="77777777" w:rsidR="00053D93" w:rsidRDefault="00260B75">
    <w:pPr>
      <w:tabs>
        <w:tab w:val="right" w:pos="10181"/>
      </w:tabs>
      <w:spacing w:after="0"/>
      <w:ind w:right="-29"/>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20E5632A" w14:textId="77777777" w:rsidR="00053D93" w:rsidRDefault="00260B75">
    <w:pPr>
      <w:spacing w:after="0"/>
      <w:ind w:right="-22"/>
      <w:jc w:val="right"/>
    </w:pPr>
    <w:r>
      <w:rPr>
        <w:sz w:val="16"/>
      </w:rPr>
      <w:t>Y DEPORTES</w:t>
    </w:r>
  </w:p>
</w:hdr>
</file>

<file path=word/header2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831FA" w14:textId="77777777" w:rsidR="00053D93" w:rsidRDefault="00260B75">
    <w:pPr>
      <w:spacing w:after="0"/>
      <w:ind w:left="58"/>
    </w:pPr>
    <w:r>
      <w:rPr>
        <w:noProof/>
      </w:rPr>
      <mc:AlternateContent>
        <mc:Choice Requires="wpg">
          <w:drawing>
            <wp:anchor distT="0" distB="0" distL="114300" distR="114300" simplePos="0" relativeHeight="251759616" behindDoc="0" locked="0" layoutInCell="1" allowOverlap="1" wp14:anchorId="7899B0CE" wp14:editId="3B20D8A2">
              <wp:simplePos x="0" y="0"/>
              <wp:positionH relativeFrom="page">
                <wp:posOffset>233172</wp:posOffset>
              </wp:positionH>
              <wp:positionV relativeFrom="page">
                <wp:posOffset>228600</wp:posOffset>
              </wp:positionV>
              <wp:extent cx="128016" cy="292608"/>
              <wp:effectExtent l="0" t="0" r="0" b="0"/>
              <wp:wrapSquare wrapText="bothSides"/>
              <wp:docPr id="2453406" name="Group 2453406"/>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53407" name="Rectangle 2453407"/>
                      <wps:cNvSpPr/>
                      <wps:spPr>
                        <a:xfrm>
                          <a:off x="0" y="0"/>
                          <a:ext cx="170261" cy="389169"/>
                        </a:xfrm>
                        <a:prstGeom prst="rect">
                          <a:avLst/>
                        </a:prstGeom>
                        <a:ln>
                          <a:noFill/>
                        </a:ln>
                      </wps:spPr>
                      <wps:txbx>
                        <w:txbxContent>
                          <w:p w14:paraId="69186243"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7899B0CE" id="Group 2453406" o:spid="_x0000_s2083" style="position:absolute;left:0;text-align:left;margin-left:18.35pt;margin-top:18pt;width:10.1pt;height:23.05pt;z-index:251759616;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K/+1AEMAgAA&#10;lwQAAA4AAAAAAAAAAAAAAAAALgIAAGRycy9lMm9Eb2MueG1sUEsBAi0AFAAGAAgAAAAhALPTHHHe&#10;AAAABwEAAA8AAAAAAAAAAAAAAAAAZgQAAGRycy9kb3ducmV2LnhtbFBLBQYAAAAABAAEAPMAAABx&#10;BQAAAAA=&#10;">
              <v:rect id="Rectangle 2453407" o:spid="_x0000_s2084"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" filled="f" stroked="f">
                <v:textbox inset="0,0,0,0">
                  <w:txbxContent>
                    <w:p w14:paraId="69186243"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5AD1EC0E" w14:textId="77777777" w:rsidR="00053D93" w:rsidRDefault="00260B75">
    <w:pPr>
      <w:tabs>
        <w:tab w:val="center" w:pos="5947"/>
        <w:tab w:val="right" w:pos="10181"/>
      </w:tabs>
      <w:spacing w:after="0"/>
      <w:ind w:right="-14"/>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4259C3AE" w14:textId="77777777" w:rsidR="00053D93" w:rsidRDefault="00260B75">
    <w:pPr>
      <w:spacing w:after="0"/>
      <w:ind w:right="-14"/>
      <w:jc w:val="right"/>
    </w:pPr>
    <w:r>
      <w:rPr>
        <w:sz w:val="16"/>
      </w:rPr>
      <w:t>Y DEPORTES</w:t>
    </w:r>
  </w:p>
</w:hdr>
</file>

<file path=word/header2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68267"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0F955781" w14:textId="77777777" w:rsidR="00053D93" w:rsidRDefault="00260B75">
    <w:pPr>
      <w:tabs>
        <w:tab w:val="center" w:pos="2754"/>
        <w:tab w:val="center" w:pos="589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F4A982C" w14:textId="77777777" w:rsidR="00053D93" w:rsidRDefault="00260B75">
    <w:pPr>
      <w:spacing w:after="0"/>
      <w:ind w:right="22"/>
      <w:jc w:val="right"/>
    </w:pPr>
    <w:r>
      <w:rPr>
        <w:sz w:val="16"/>
      </w:rPr>
      <w:t>Y DEPORTES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5FADE" w14:textId="77777777" w:rsidR="00053D93" w:rsidRDefault="00260B75">
    <w:pPr>
      <w:spacing w:after="0"/>
      <w:ind w:left="-14" w:right="-29"/>
      <w:jc w:val="both"/>
    </w:pPr>
    <w:r>
      <w:rPr>
        <w:noProof/>
      </w:rPr>
      <mc:AlternateContent>
        <mc:Choice Requires="wpg">
          <w:drawing>
            <wp:anchor distT="0" distB="0" distL="114300" distR="114300" simplePos="0" relativeHeight="251659264" behindDoc="0" locked="0" layoutInCell="1" allowOverlap="1" wp14:anchorId="16A3B275" wp14:editId="2101F1AC">
              <wp:simplePos x="0" y="0"/>
              <wp:positionH relativeFrom="page">
                <wp:posOffset>228600</wp:posOffset>
              </wp:positionH>
              <wp:positionV relativeFrom="page">
                <wp:posOffset>274320</wp:posOffset>
              </wp:positionV>
              <wp:extent cx="141732" cy="388620"/>
              <wp:effectExtent l="0" t="0" r="0" b="0"/>
              <wp:wrapSquare wrapText="bothSides"/>
              <wp:docPr id="2446362" name="Group 2446362"/>
              <wp:cNvGraphicFramePr/>
              <a:graphic xmlns:a="http://schemas.openxmlformats.org/drawingml/2006/main">
                <a:graphicData uri="http://schemas.microsoft.com/office/word/2010/wordprocessingGroup">
                  <wpg:wgp>
                    <wpg:cNvGrpSpPr/>
                    <wpg:grpSpPr>
                      <a:xfrm>
                        <a:off x="0" y="0"/>
                        <a:ext cx="141732" cy="388620"/>
                        <a:chOff x="0" y="0"/>
                        <a:chExt cx="141732" cy="388620"/>
                      </a:xfrm>
                    </wpg:grpSpPr>
                    <wps:wsp>
                      <wps:cNvPr id="2446363" name="Rectangle 2446363"/>
                      <wps:cNvSpPr/>
                      <wps:spPr>
                        <a:xfrm>
                          <a:off x="0" y="0"/>
                          <a:ext cx="188504" cy="516864"/>
                        </a:xfrm>
                        <a:prstGeom prst="rect">
                          <a:avLst/>
                        </a:prstGeom>
                        <a:ln>
                          <a:noFill/>
                        </a:ln>
                      </wps:spPr>
                      <wps:txbx>
                        <w:txbxContent>
                          <w:p w14:paraId="7E139621" w14:textId="77777777" w:rsidR="00053D93" w:rsidRDefault="00260B75">
                            <w:r>
                              <w:rPr>
                                <w:sz w:val="294"/>
                              </w:rPr>
                              <w:t>i</w:t>
                            </w:r>
                          </w:p>
                        </w:txbxContent>
                      </wps:txbx>
                      <wps:bodyPr horzOverflow="overflow" vert="horz" lIns="0" tIns="0" rIns="0" bIns="0" rtlCol="0">
                        <a:noAutofit/>
                      </wps:bodyPr>
                    </wps:wsp>
                  </wpg:wgp>
                </a:graphicData>
              </a:graphic>
            </wp:anchor>
          </w:drawing>
        </mc:Choice>
        <mc:Fallback>
          <w:pict>
            <v:group w14:anchorId="16A3B275" id="Group 2446362" o:spid="_x0000_s1897" style="position:absolute;left:0;text-align:left;margin-left:18pt;margin-top:21.6pt;width:11.15pt;height:30.6pt;z-index:251659264;mso-position-horizontal-relative:page;mso-position-vertical-relative:page" coordsize="141732,38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">
              <v:rect id="Rectangle 2446363" o:spid="_x0000_s1898" style="position:absolute;width:188504;height:516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" filled="f" stroked="f">
                <v:textbox inset="0,0,0,0">
                  <w:txbxContent>
                    <w:p w14:paraId="7E139621" w14:textId="77777777" w:rsidR="00053D93" w:rsidRDefault="00260B75">
                      <w:r>
                        <w:rPr>
                          <w:sz w:val="294"/>
                        </w:rPr>
                        <w:t>i</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51D5F0B6" w14:textId="77777777" w:rsidR="00053D93" w:rsidRDefault="00260B75">
    <w:pPr>
      <w:tabs>
        <w:tab w:val="center" w:pos="3550"/>
      </w:tabs>
      <w:spacing w:after="0"/>
      <w:ind w:left="-14"/>
    </w:pPr>
    <w:r>
      <w:rPr>
        <w:sz w:val="14"/>
      </w:rPr>
      <w:t xml:space="preserve">CONTRALOR(A GENERAL </w:t>
    </w:r>
    <w:r>
      <w:rPr>
        <w:sz w:val="14"/>
      </w:rPr>
      <w:tab/>
      <w:t>CUENTAS</w:t>
    </w:r>
  </w:p>
  <w:p w14:paraId="17805CB2" w14:textId="77777777" w:rsidR="00053D93" w:rsidRDefault="00260B75">
    <w:pPr>
      <w:spacing w:after="750"/>
      <w:ind w:left="-14" w:right="-22"/>
      <w:jc w:val="both"/>
    </w:pPr>
    <w:r>
      <w:rPr>
        <w:sz w:val="16"/>
      </w:rPr>
      <w:t>Y DEPORTES</w:t>
    </w:r>
  </w:p>
  <w:p w14:paraId="3270E5B1" w14:textId="77777777" w:rsidR="00053D93" w:rsidRDefault="00260B75">
    <w:pPr>
      <w:spacing w:after="0"/>
      <w:ind w:left="-14"/>
    </w:pPr>
    <w:r>
      <w:rPr>
        <w:sz w:val="294"/>
      </w:rPr>
      <w:t>i</w:t>
    </w:r>
  </w:p>
</w:hdr>
</file>

<file path=word/header2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3658D" w14:textId="77777777" w:rsidR="00053D93" w:rsidRDefault="00260B75">
    <w:pPr>
      <w:spacing w:after="0"/>
      <w:ind w:right="-14"/>
      <w:jc w:val="right"/>
    </w:pPr>
    <w:r>
      <w:rPr>
        <w:sz w:val="16"/>
      </w:rPr>
      <w:t xml:space="preserve">DRECCIÓN </w:t>
    </w:r>
    <w:r>
      <w:rPr>
        <w:sz w:val="14"/>
      </w:rPr>
      <w:t xml:space="preserve">AUDITORIA AL </w:t>
    </w:r>
    <w:r>
      <w:rPr>
        <w:sz w:val="16"/>
      </w:rPr>
      <w:t xml:space="preserve">SECTOR </w:t>
    </w:r>
    <w:r>
      <w:rPr>
        <w:sz w:val="14"/>
      </w:rPr>
      <w:t>EDUCACIÓN. CIENCIA. CULTURA</w:t>
    </w:r>
  </w:p>
  <w:p w14:paraId="1B8B95F6" w14:textId="77777777" w:rsidR="00053D93" w:rsidRDefault="00260B75">
    <w:pPr>
      <w:tabs>
        <w:tab w:val="center" w:pos="2772"/>
        <w:tab w:val="center" w:pos="5911"/>
      </w:tabs>
      <w:spacing w:after="0"/>
    </w:pPr>
    <w:r>
      <w:tab/>
    </w:r>
    <w:r>
      <w:rPr>
        <w:sz w:val="14"/>
      </w:rPr>
      <w:t xml:space="preserve">COINTRALORIA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170</w:t>
    </w:r>
    <w:r>
      <w:rPr>
        <w:sz w:val="14"/>
      </w:rPr>
      <w:fldChar w:fldCharType="end"/>
    </w:r>
  </w:p>
  <w:p w14:paraId="5504B9A2" w14:textId="77777777" w:rsidR="00053D93" w:rsidRDefault="00260B75">
    <w:pPr>
      <w:spacing w:after="0"/>
      <w:ind w:right="-7"/>
      <w:jc w:val="right"/>
    </w:pPr>
    <w:r>
      <w:rPr>
        <w:sz w:val="16"/>
      </w:rPr>
      <w:t>Y DEPORTES</w:t>
    </w:r>
  </w:p>
</w:hdr>
</file>

<file path=word/header2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DF667"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892AC21" w14:textId="77777777" w:rsidR="00053D93" w:rsidRDefault="00260B75">
    <w:pPr>
      <w:tabs>
        <w:tab w:val="center" w:pos="2754"/>
        <w:tab w:val="center" w:pos="589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DE2383E" w14:textId="77777777" w:rsidR="00053D93" w:rsidRDefault="00260B75">
    <w:pPr>
      <w:spacing w:after="0"/>
      <w:ind w:right="22"/>
      <w:jc w:val="right"/>
    </w:pPr>
    <w:r>
      <w:rPr>
        <w:sz w:val="16"/>
      </w:rPr>
      <w:t>Y DEPORTES</w:t>
    </w:r>
  </w:p>
</w:hdr>
</file>

<file path=word/header2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84207" w14:textId="77777777" w:rsidR="00053D93" w:rsidRDefault="00260B75">
    <w:pPr>
      <w:spacing w:after="0"/>
      <w:ind w:right="38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799C7BB" w14:textId="77777777" w:rsidR="00053D93" w:rsidRDefault="00260B75">
    <w:pPr>
      <w:tabs>
        <w:tab w:val="center" w:pos="1652"/>
        <w:tab w:val="center" w:pos="4788"/>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51902BD2" w14:textId="77777777" w:rsidR="00053D93" w:rsidRDefault="00260B75">
    <w:pPr>
      <w:spacing w:after="0"/>
      <w:ind w:right="389"/>
      <w:jc w:val="right"/>
    </w:pPr>
    <w:r>
      <w:rPr>
        <w:sz w:val="16"/>
      </w:rPr>
      <w:t>Y DEPORTES</w:t>
    </w:r>
  </w:p>
</w:hdr>
</file>

<file path=word/header2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E1ACE" w14:textId="77777777" w:rsidR="00053D93" w:rsidRDefault="00260B75">
    <w:pPr>
      <w:spacing w:after="0"/>
      <w:ind w:right="38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6C7244E" w14:textId="77777777" w:rsidR="00053D93" w:rsidRDefault="00260B75">
    <w:pPr>
      <w:tabs>
        <w:tab w:val="center" w:pos="1652"/>
        <w:tab w:val="center" w:pos="4788"/>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0C8AB83" w14:textId="77777777" w:rsidR="00053D93" w:rsidRDefault="00260B75">
    <w:pPr>
      <w:spacing w:after="0"/>
      <w:ind w:right="389"/>
      <w:jc w:val="right"/>
    </w:pPr>
    <w:r>
      <w:rPr>
        <w:sz w:val="16"/>
      </w:rPr>
      <w:t>Y DEPORTES</w:t>
    </w:r>
  </w:p>
</w:hdr>
</file>

<file path=word/header2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57259" w14:textId="77777777" w:rsidR="00053D93" w:rsidRDefault="00260B75">
    <w:pPr>
      <w:spacing w:after="0"/>
      <w:ind w:right="353"/>
      <w:jc w:val="right"/>
    </w:pPr>
    <w:r>
      <w:rPr>
        <w:sz w:val="16"/>
      </w:rPr>
      <w:t xml:space="preserve">DRECCIÓN </w:t>
    </w:r>
    <w:r>
      <w:rPr>
        <w:sz w:val="14"/>
      </w:rPr>
      <w:t xml:space="preserve">AUDITORIA AL </w:t>
    </w:r>
    <w:r>
      <w:rPr>
        <w:sz w:val="16"/>
      </w:rPr>
      <w:t xml:space="preserve">SECTOR </w:t>
    </w:r>
    <w:r>
      <w:rPr>
        <w:sz w:val="14"/>
      </w:rPr>
      <w:t>EDUCACIÓN. CIENCIA. CULTURA</w:t>
    </w:r>
  </w:p>
  <w:p w14:paraId="17B08FAF" w14:textId="77777777" w:rsidR="00053D93" w:rsidRDefault="00260B75">
    <w:pPr>
      <w:tabs>
        <w:tab w:val="center" w:pos="1670"/>
        <w:tab w:val="center" w:pos="4810"/>
      </w:tabs>
      <w:spacing w:after="0"/>
    </w:pPr>
    <w:r>
      <w:tab/>
    </w:r>
    <w:r>
      <w:rPr>
        <w:sz w:val="14"/>
      </w:rPr>
      <w:t xml:space="preserve">COINTRALORIA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170</w:t>
    </w:r>
    <w:r>
      <w:rPr>
        <w:sz w:val="14"/>
      </w:rPr>
      <w:fldChar w:fldCharType="end"/>
    </w:r>
  </w:p>
  <w:p w14:paraId="6B84EDC2" w14:textId="77777777" w:rsidR="00053D93" w:rsidRDefault="00260B75">
    <w:pPr>
      <w:spacing w:after="0"/>
      <w:ind w:right="360"/>
      <w:jc w:val="right"/>
    </w:pPr>
    <w:r>
      <w:rPr>
        <w:sz w:val="16"/>
      </w:rPr>
      <w:t>Y DEPORTES</w:t>
    </w:r>
  </w:p>
</w:hdr>
</file>

<file path=word/header2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4D2BA" w14:textId="77777777" w:rsidR="00053D93" w:rsidRDefault="00260B75">
    <w:pPr>
      <w:spacing w:after="0"/>
      <w:ind w:right="43"/>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625111F" w14:textId="77777777" w:rsidR="00053D93" w:rsidRDefault="00260B75">
    <w:pPr>
      <w:tabs>
        <w:tab w:val="center" w:pos="2768"/>
        <w:tab w:val="center" w:pos="590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70EAD26" w14:textId="77777777" w:rsidR="00053D93" w:rsidRDefault="00260B75">
    <w:pPr>
      <w:spacing w:after="0"/>
      <w:ind w:right="50"/>
      <w:jc w:val="right"/>
    </w:pPr>
    <w:r>
      <w:rPr>
        <w:sz w:val="16"/>
      </w:rPr>
      <w:t>Y DEPORTES</w:t>
    </w:r>
  </w:p>
</w:hdr>
</file>

<file path=word/header2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8A9C3" w14:textId="77777777" w:rsidR="00053D93" w:rsidRDefault="00260B75">
    <w:pPr>
      <w:spacing w:after="0"/>
      <w:ind w:right="43"/>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0F854AF3" w14:textId="77777777" w:rsidR="00053D93" w:rsidRDefault="00260B75">
    <w:pPr>
      <w:tabs>
        <w:tab w:val="center" w:pos="2768"/>
        <w:tab w:val="center" w:pos="5904"/>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07990D18" w14:textId="77777777" w:rsidR="00053D93" w:rsidRDefault="00260B75">
    <w:pPr>
      <w:spacing w:after="0"/>
      <w:ind w:right="50"/>
      <w:jc w:val="right"/>
    </w:pPr>
    <w:r>
      <w:rPr>
        <w:sz w:val="16"/>
      </w:rPr>
      <w:t>Y DEPORTES</w:t>
    </w:r>
  </w:p>
</w:hdr>
</file>

<file path=word/header2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36D95" w14:textId="77777777" w:rsidR="00053D93" w:rsidRDefault="00260B75">
    <w:pPr>
      <w:spacing w:after="0"/>
      <w:ind w:left="3686"/>
      <w:jc w:val="center"/>
    </w:pPr>
    <w:r>
      <w:rPr>
        <w:sz w:val="14"/>
      </w:rPr>
      <w:t xml:space="preserve">DIRECCIÓN </w:t>
    </w:r>
    <w:r>
      <w:rPr>
        <w:sz w:val="16"/>
      </w:rPr>
      <w:t xml:space="preserve">DE </w:t>
    </w:r>
    <w:r>
      <w:rPr>
        <w:sz w:val="14"/>
      </w:rPr>
      <w:t xml:space="preserve">AUDITORÍA AL </w:t>
    </w:r>
  </w:p>
  <w:p w14:paraId="2ACFF3A0" w14:textId="77777777" w:rsidR="00053D93" w:rsidRDefault="00260B75">
    <w:pPr>
      <w:tabs>
        <w:tab w:val="center" w:pos="2761"/>
        <w:tab w:val="right" w:pos="10188"/>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06C21CC4" w14:textId="77777777" w:rsidR="00053D93" w:rsidRDefault="00260B75">
    <w:pPr>
      <w:spacing w:after="0"/>
      <w:ind w:right="43"/>
      <w:jc w:val="right"/>
    </w:pPr>
    <w:r>
      <w:rPr>
        <w:sz w:val="16"/>
      </w:rPr>
      <w:t>Y DEPORTES</w:t>
    </w:r>
  </w:p>
</w:hdr>
</file>

<file path=word/header2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9E434" w14:textId="77777777" w:rsidR="00053D93" w:rsidRDefault="00260B75">
    <w:pPr>
      <w:spacing w:after="0"/>
      <w:ind w:right="29"/>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F54956C" w14:textId="77777777" w:rsidR="00053D93" w:rsidRDefault="00260B75">
    <w:pPr>
      <w:tabs>
        <w:tab w:val="center" w:pos="2754"/>
        <w:tab w:val="center" w:pos="589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6AF55E12" w14:textId="77777777" w:rsidR="00053D93" w:rsidRDefault="00260B75">
    <w:pPr>
      <w:spacing w:after="0"/>
      <w:ind w:right="36"/>
      <w:jc w:val="right"/>
    </w:pPr>
    <w:r>
      <w:rPr>
        <w:sz w:val="16"/>
      </w:rPr>
      <w:t>Y DEPORTES</w:t>
    </w:r>
  </w:p>
</w:hdr>
</file>

<file path=word/header2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58CDD" w14:textId="77777777" w:rsidR="00053D93" w:rsidRDefault="00260B75">
    <w:pPr>
      <w:spacing w:after="0"/>
      <w:ind w:left="2671"/>
      <w:jc w:val="center"/>
    </w:pPr>
    <w:r>
      <w:rPr>
        <w:rFonts w:ascii="Times New Roman" w:eastAsia="Times New Roman" w:hAnsi="Times New Roman" w:cs="Times New Roman"/>
        <w:sz w:val="14"/>
      </w:rPr>
      <w:t xml:space="preserve">DIRECCIÖN </w:t>
    </w:r>
  </w:p>
  <w:p w14:paraId="66A99C73" w14:textId="77777777" w:rsidR="00053D93" w:rsidRDefault="00260B75">
    <w:pPr>
      <w:tabs>
        <w:tab w:val="center" w:pos="2758"/>
        <w:tab w:val="center" w:pos="5893"/>
        <w:tab w:val="center" w:pos="8161"/>
      </w:tabs>
      <w:spacing w:after="0"/>
    </w:pPr>
    <w:r>
      <w:tab/>
    </w:r>
    <w:r>
      <w:rPr>
        <w:rFonts w:ascii="Times New Roman" w:eastAsia="Times New Roman" w:hAnsi="Times New Roman" w:cs="Times New Roman"/>
        <w:sz w:val="14"/>
      </w:rPr>
      <w:t xml:space="preserve">CONTRALORIA GENERAL </w:t>
    </w:r>
    <w:r>
      <w:rPr>
        <w:rFonts w:ascii="Times New Roman" w:eastAsia="Times New Roman" w:hAnsi="Times New Roman" w:cs="Times New Roman"/>
        <w:sz w:val="16"/>
      </w:rPr>
      <w:t xml:space="preserve">DE </w:t>
    </w:r>
    <w:r>
      <w:rPr>
        <w:rFonts w:ascii="Times New Roman" w:eastAsia="Times New Roman" w:hAnsi="Times New Roman" w:cs="Times New Roman"/>
        <w:sz w:val="14"/>
      </w:rPr>
      <w:t>CUENTAS</w:t>
    </w:r>
    <w:r>
      <w:rPr>
        <w:rFonts w:ascii="Times New Roman" w:eastAsia="Times New Roman" w:hAnsi="Times New Roman" w:cs="Times New Roman"/>
        <w:sz w:val="14"/>
      </w:rPr>
      <w:tab/>
    </w:r>
    <w:r>
      <w:fldChar w:fldCharType="begin"/>
    </w:r>
    <w:r>
      <w:instrText xml:space="preserve"> PAGE   \* MERGEFORMAT </w:instrText>
    </w:r>
    <w:r>
      <w:fldChar w:fldCharType="separate"/>
    </w:r>
    <w:r>
      <w:rPr>
        <w:rFonts w:ascii="Times New Roman" w:eastAsia="Times New Roman" w:hAnsi="Times New Roman" w:cs="Times New Roman"/>
        <w:sz w:val="14"/>
      </w:rPr>
      <w:t>323</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rFonts w:ascii="Times New Roman" w:eastAsia="Times New Roman" w:hAnsi="Times New Roman" w:cs="Times New Roman"/>
        <w:sz w:val="16"/>
      </w:rPr>
      <w:t xml:space="preserve">DE </w:t>
    </w:r>
    <w:r>
      <w:rPr>
        <w:rFonts w:ascii="Times New Roman" w:eastAsia="Times New Roman" w:hAnsi="Times New Roman" w:cs="Times New Roman"/>
        <w:sz w:val="14"/>
      </w:rPr>
      <w:t xml:space="preserve">AUDITORİA AL </w:t>
    </w:r>
    <w:r>
      <w:rPr>
        <w:rFonts w:ascii="Times New Roman" w:eastAsia="Times New Roman" w:hAnsi="Times New Roman" w:cs="Times New Roman"/>
        <w:sz w:val="16"/>
      </w:rPr>
      <w:t xml:space="preserve">SECTOR </w:t>
    </w:r>
    <w:r>
      <w:rPr>
        <w:rFonts w:ascii="Times New Roman" w:eastAsia="Times New Roman" w:hAnsi="Times New Roman" w:cs="Times New Roman"/>
        <w:sz w:val="14"/>
      </w:rPr>
      <w:t xml:space="preserve">EDUCACÖN. CIENCIA. </w:t>
    </w:r>
  </w:p>
  <w:p w14:paraId="13E3E164" w14:textId="77777777" w:rsidR="00053D93" w:rsidRDefault="00260B75">
    <w:pPr>
      <w:spacing w:after="0"/>
      <w:ind w:right="691"/>
      <w:jc w:val="right"/>
    </w:pPr>
    <w:r>
      <w:rPr>
        <w:rFonts w:ascii="Times New Roman" w:eastAsia="Times New Roman" w:hAnsi="Times New Roman" w:cs="Times New Roman"/>
        <w:sz w:val="16"/>
      </w:rPr>
      <w:t xml:space="preserve">Y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75808" w14:textId="77777777" w:rsidR="00053D93" w:rsidRDefault="00053D93"/>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C2C81" w14:textId="77777777" w:rsidR="00053D93" w:rsidRDefault="00260B75">
    <w:pPr>
      <w:spacing w:after="0"/>
      <w:ind w:right="-29"/>
      <w:jc w:val="right"/>
    </w:pPr>
    <w:r>
      <w:rPr>
        <w:sz w:val="14"/>
      </w:rPr>
      <w:t xml:space="preserve">DIRECCIÓN </w:t>
    </w:r>
    <w:r>
      <w:rPr>
        <w:sz w:val="16"/>
      </w:rPr>
      <w:t xml:space="preserve">DE </w:t>
    </w:r>
    <w:r>
      <w:rPr>
        <w:sz w:val="14"/>
      </w:rPr>
      <w:t xml:space="preserve">AUDITORIA </w:t>
    </w:r>
    <w:r>
      <w:rPr>
        <w:sz w:val="16"/>
      </w:rPr>
      <w:t xml:space="preserve">SECTOR </w:t>
    </w:r>
    <w:r>
      <w:rPr>
        <w:sz w:val="14"/>
      </w:rPr>
      <w:t>EDUCACIÓN. CIENCIA. CULTURA</w:t>
    </w:r>
  </w:p>
  <w:p w14:paraId="1E143F03" w14:textId="77777777" w:rsidR="00053D93" w:rsidRDefault="00260B75">
    <w:pPr>
      <w:spacing w:after="0"/>
      <w:ind w:left="1656"/>
    </w:pPr>
    <w:r>
      <w:rPr>
        <w:sz w:val="14"/>
      </w:rPr>
      <w:t xml:space="preserve">CONTRALORÍA GENERAL </w:t>
    </w:r>
    <w:r>
      <w:rPr>
        <w:sz w:val="16"/>
      </w:rPr>
      <w:t xml:space="preserve">DE </w:t>
    </w:r>
    <w:r>
      <w:rPr>
        <w:sz w:val="14"/>
      </w:rPr>
      <w:t>CUENTAS</w:t>
    </w:r>
  </w:p>
  <w:p w14:paraId="09C20A2B" w14:textId="77777777" w:rsidR="00053D93" w:rsidRDefault="00260B75">
    <w:pPr>
      <w:spacing w:after="0"/>
      <w:ind w:right="-29"/>
      <w:jc w:val="right"/>
    </w:pPr>
    <w:r>
      <w:rPr>
        <w:sz w:val="16"/>
      </w:rPr>
      <w:t>Y DEPORTES</w:t>
    </w:r>
  </w:p>
</w:hdr>
</file>

<file path=word/header3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5922B" w14:textId="77777777" w:rsidR="00053D93" w:rsidRDefault="00260B75">
    <w:pPr>
      <w:tabs>
        <w:tab w:val="center" w:pos="2765"/>
        <w:tab w:val="right" w:pos="10159"/>
      </w:tabs>
      <w:spacing w:after="6"/>
    </w:pPr>
    <w:r>
      <w:tab/>
    </w:r>
    <w:r>
      <w:rPr>
        <w:sz w:val="14"/>
      </w:rPr>
      <w:t xml:space="preserve">CONTRALOR(A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6"/>
      </w:rPr>
      <w:t>8</w:t>
    </w:r>
    <w:r>
      <w:rPr>
        <w:rFonts w:ascii="Times New Roman" w:eastAsia="Times New Roman" w:hAnsi="Times New Roman" w:cs="Times New Roman"/>
        <w:sz w:val="16"/>
      </w:rPr>
      <w:fldChar w:fldCharType="end"/>
    </w:r>
    <w:r>
      <w:rPr>
        <w:rFonts w:ascii="Times New Roman" w:eastAsia="Times New Roman" w:hAnsi="Times New Roman" w:cs="Times New Roman"/>
        <w:sz w:val="16"/>
      </w:rPr>
      <w:t xml:space="preserve"> </w:t>
    </w:r>
    <w:r>
      <w:rPr>
        <w:sz w:val="14"/>
      </w:rPr>
      <w:t xml:space="preserve">DIRECCIÓN DE AUDITORIA </w:t>
    </w:r>
    <w:r>
      <w:rPr>
        <w:sz w:val="16"/>
      </w:rPr>
      <w:t xml:space="preserve">SECTOR </w:t>
    </w:r>
    <w:r>
      <w:rPr>
        <w:sz w:val="14"/>
      </w:rPr>
      <w:t>EDUCACIÓN, CIENCIA. CULTURA</w:t>
    </w:r>
  </w:p>
  <w:p w14:paraId="335538C4" w14:textId="77777777" w:rsidR="00053D93" w:rsidRDefault="00260B75">
    <w:pPr>
      <w:spacing w:after="0"/>
      <w:ind w:right="14"/>
      <w:jc w:val="right"/>
    </w:pPr>
    <w:r>
      <w:rPr>
        <w:sz w:val="16"/>
      </w:rPr>
      <w:t>Y DEPORTES</w:t>
    </w:r>
  </w:p>
</w:hdr>
</file>

<file path=word/header3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F57B5" w14:textId="77777777" w:rsidR="00053D93" w:rsidRDefault="00260B75">
    <w:pPr>
      <w:spacing w:after="0"/>
      <w:ind w:left="5400" w:right="-662"/>
      <w:jc w:val="center"/>
    </w:pPr>
    <w:r>
      <w:rPr>
        <w:rFonts w:ascii="Malgan Gothic" w:eastAsia="Malgan Gothic" w:hAnsi="Malgan Gothic" w:cs="Malgan Gothic"/>
        <w:sz w:val="12"/>
      </w:rPr>
      <w:t xml:space="preserve">DIRECCIÖN AUDITORIA </w:t>
    </w:r>
  </w:p>
  <w:p w14:paraId="4954A214" w14:textId="77777777" w:rsidR="00053D93" w:rsidRDefault="00260B75">
    <w:pPr>
      <w:tabs>
        <w:tab w:val="center" w:pos="2063"/>
        <w:tab w:val="center" w:pos="5198"/>
        <w:tab w:val="right" w:pos="9446"/>
      </w:tabs>
      <w:spacing w:after="23"/>
      <w:ind w:right="-3211"/>
    </w:pPr>
    <w:r>
      <w:tab/>
    </w:r>
    <w:r>
      <w:rPr>
        <w:rFonts w:ascii="Malgan Gothic" w:eastAsia="Malgan Gothic" w:hAnsi="Malgan Gothic" w:cs="Malgan Gothic"/>
        <w:sz w:val="12"/>
      </w:rPr>
      <w:t xml:space="preserve">CONTRALOR(A </w:t>
    </w:r>
    <w:r>
      <w:rPr>
        <w:rFonts w:ascii="Malgan Gothic" w:eastAsia="Malgan Gothic" w:hAnsi="Malgan Gothic" w:cs="Malgan Gothic"/>
        <w:sz w:val="10"/>
      </w:rPr>
      <w:t>GENERAL DE CUENTAS</w:t>
    </w:r>
    <w:r>
      <w:rPr>
        <w:rFonts w:ascii="Malgan Gothic" w:eastAsia="Malgan Gothic" w:hAnsi="Malgan Gothic" w:cs="Malgan Gothic"/>
        <w:sz w:val="10"/>
      </w:rPr>
      <w:tab/>
    </w:r>
    <w:r>
      <w:fldChar w:fldCharType="begin"/>
    </w:r>
    <w:r>
      <w:instrText xml:space="preserve"> PAGE   \* MERGEFORMAT </w:instrText>
    </w:r>
    <w:r>
      <w:fldChar w:fldCharType="separate"/>
    </w:r>
    <w:r>
      <w:rPr>
        <w:rFonts w:ascii="Malgan Gothic" w:eastAsia="Malgan Gothic" w:hAnsi="Malgan Gothic" w:cs="Malgan Gothic"/>
        <w:sz w:val="10"/>
      </w:rPr>
      <w:t>326</w:t>
    </w:r>
    <w:r>
      <w:rPr>
        <w:rFonts w:ascii="Malgan Gothic" w:eastAsia="Malgan Gothic" w:hAnsi="Malgan Gothic" w:cs="Malgan Gothic"/>
        <w:sz w:val="10"/>
      </w:rPr>
      <w:fldChar w:fldCharType="end"/>
    </w:r>
    <w:r>
      <w:rPr>
        <w:rFonts w:ascii="Malgan Gothic" w:eastAsia="Malgan Gothic" w:hAnsi="Malgan Gothic" w:cs="Malgan Gothic"/>
        <w:sz w:val="10"/>
      </w:rPr>
      <w:tab/>
      <w:t xml:space="preserve">AL </w:t>
    </w:r>
    <w:r>
      <w:rPr>
        <w:rFonts w:ascii="Malgan Gothic" w:eastAsia="Malgan Gothic" w:hAnsi="Malgan Gothic" w:cs="Malgan Gothic"/>
        <w:sz w:val="14"/>
      </w:rPr>
      <w:t xml:space="preserve">SECTOR EOUCACIÖN. </w:t>
    </w:r>
    <w:r>
      <w:rPr>
        <w:rFonts w:ascii="Malgan Gothic" w:eastAsia="Malgan Gothic" w:hAnsi="Malgan Gothic" w:cs="Malgan Gothic"/>
        <w:sz w:val="10"/>
      </w:rPr>
      <w:t>CIENCIA. CULTURA</w:t>
    </w:r>
  </w:p>
  <w:p w14:paraId="4EDAC5B0" w14:textId="77777777" w:rsidR="00053D93" w:rsidRDefault="00260B75">
    <w:pPr>
      <w:spacing w:after="0"/>
      <w:ind w:right="-3204"/>
      <w:jc w:val="right"/>
    </w:pPr>
    <w:r>
      <w:rPr>
        <w:rFonts w:ascii="Malgan Gothic" w:eastAsia="Malgan Gothic" w:hAnsi="Malgan Gothic" w:cs="Malgan Gothic"/>
        <w:sz w:val="10"/>
      </w:rPr>
      <w:t>Y DEPORTES</w:t>
    </w:r>
  </w:p>
</w:hdr>
</file>

<file path=word/header3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1B0F5" w14:textId="77777777" w:rsidR="00053D93" w:rsidRDefault="00260B75">
    <w:pPr>
      <w:spacing w:after="0"/>
      <w:ind w:left="6091" w:right="-670"/>
      <w:jc w:val="center"/>
    </w:pPr>
    <w:r>
      <w:rPr>
        <w:rFonts w:ascii="Malgan Gothic" w:eastAsia="Malgan Gothic" w:hAnsi="Malgan Gothic" w:cs="Malgan Gothic"/>
        <w:sz w:val="12"/>
      </w:rPr>
      <w:t xml:space="preserve">DE AUDITORIA </w:t>
    </w:r>
  </w:p>
  <w:p w14:paraId="518E856A" w14:textId="77777777" w:rsidR="00053D93" w:rsidRDefault="00260B75">
    <w:pPr>
      <w:tabs>
        <w:tab w:val="center" w:pos="2074"/>
        <w:tab w:val="center" w:pos="5213"/>
        <w:tab w:val="right" w:pos="9454"/>
      </w:tabs>
      <w:spacing w:after="17"/>
      <w:ind w:right="-3218"/>
    </w:pPr>
    <w:r>
      <w:tab/>
    </w:r>
    <w:r>
      <w:rPr>
        <w:rFonts w:ascii="Malgan Gothic" w:eastAsia="Malgan Gothic" w:hAnsi="Malgan Gothic" w:cs="Malgan Gothic"/>
        <w:sz w:val="12"/>
      </w:rPr>
      <w:t xml:space="preserve">CONTRALORIA </w:t>
    </w:r>
    <w:r>
      <w:rPr>
        <w:rFonts w:ascii="Malgan Gothic" w:eastAsia="Malgan Gothic" w:hAnsi="Malgan Gothic" w:cs="Malgan Gothic"/>
        <w:sz w:val="10"/>
      </w:rPr>
      <w:t>GENERAL DE CUENTAS</w:t>
    </w:r>
    <w:r>
      <w:rPr>
        <w:rFonts w:ascii="Malgan Gothic" w:eastAsia="Malgan Gothic" w:hAnsi="Malgan Gothic" w:cs="Malgan Gothic"/>
        <w:sz w:val="10"/>
      </w:rPr>
      <w:tab/>
    </w:r>
    <w:r>
      <w:fldChar w:fldCharType="begin"/>
    </w:r>
    <w:r>
      <w:instrText xml:space="preserve"> PAGE   \* MERGEFORMAT </w:instrText>
    </w:r>
    <w:r>
      <w:fldChar w:fldCharType="separate"/>
    </w:r>
    <w:r>
      <w:rPr>
        <w:rFonts w:ascii="Malgan Gothic" w:eastAsia="Malgan Gothic" w:hAnsi="Malgan Gothic" w:cs="Malgan Gothic"/>
        <w:sz w:val="10"/>
      </w:rPr>
      <w:t>325</w:t>
    </w:r>
    <w:r>
      <w:rPr>
        <w:rFonts w:ascii="Malgan Gothic" w:eastAsia="Malgan Gothic" w:hAnsi="Malgan Gothic" w:cs="Malgan Gothic"/>
        <w:sz w:val="10"/>
      </w:rPr>
      <w:fldChar w:fldCharType="end"/>
    </w:r>
    <w:r>
      <w:rPr>
        <w:rFonts w:ascii="Malgan Gothic" w:eastAsia="Malgan Gothic" w:hAnsi="Malgan Gothic" w:cs="Malgan Gothic"/>
        <w:sz w:val="10"/>
      </w:rPr>
      <w:tab/>
      <w:t xml:space="preserve">AL </w:t>
    </w:r>
    <w:r>
      <w:rPr>
        <w:rFonts w:ascii="Malgan Gothic" w:eastAsia="Malgan Gothic" w:hAnsi="Malgan Gothic" w:cs="Malgan Gothic"/>
        <w:sz w:val="12"/>
      </w:rPr>
      <w:t xml:space="preserve">SECTOR </w:t>
    </w:r>
    <w:r>
      <w:rPr>
        <w:rFonts w:ascii="Malgan Gothic" w:eastAsia="Malgan Gothic" w:hAnsi="Malgan Gothic" w:cs="Malgan Gothic"/>
        <w:sz w:val="14"/>
      </w:rPr>
      <w:t xml:space="preserve">EDUCACtåN. </w:t>
    </w:r>
    <w:r>
      <w:rPr>
        <w:rFonts w:ascii="Malgan Gothic" w:eastAsia="Malgan Gothic" w:hAnsi="Malgan Gothic" w:cs="Malgan Gothic"/>
        <w:sz w:val="10"/>
      </w:rPr>
      <w:t>CIENCfA. CULTURA</w:t>
    </w:r>
  </w:p>
  <w:p w14:paraId="63A10840" w14:textId="77777777" w:rsidR="00053D93" w:rsidRDefault="00260B75">
    <w:pPr>
      <w:spacing w:after="0"/>
      <w:ind w:right="-3211"/>
      <w:jc w:val="right"/>
    </w:pPr>
    <w:r>
      <w:rPr>
        <w:rFonts w:ascii="Malgan Gothic" w:eastAsia="Malgan Gothic" w:hAnsi="Malgan Gothic" w:cs="Malgan Gothic"/>
        <w:sz w:val="10"/>
      </w:rPr>
      <w:t>Y DEPORTÉS</w:t>
    </w:r>
  </w:p>
</w:hdr>
</file>

<file path=word/header3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F9B6E" w14:textId="77777777" w:rsidR="00053D93" w:rsidRDefault="00260B75">
    <w:pPr>
      <w:spacing w:after="0"/>
      <w:ind w:right="-3197"/>
      <w:jc w:val="right"/>
    </w:pPr>
    <w:r>
      <w:rPr>
        <w:sz w:val="16"/>
      </w:rPr>
      <w:t xml:space="preserve">DRECCIÓN </w:t>
    </w:r>
    <w:r>
      <w:rPr>
        <w:sz w:val="14"/>
      </w:rPr>
      <w:t xml:space="preserve">AUDITORIA AL </w:t>
    </w:r>
    <w:r>
      <w:rPr>
        <w:sz w:val="16"/>
      </w:rPr>
      <w:t xml:space="preserve">SECTOR </w:t>
    </w:r>
    <w:r>
      <w:rPr>
        <w:sz w:val="14"/>
      </w:rPr>
      <w:t>EDUCACIÓN. CIENCIA. CULTURA</w:t>
    </w:r>
  </w:p>
  <w:p w14:paraId="369ACDF0" w14:textId="77777777" w:rsidR="00053D93" w:rsidRDefault="00260B75">
    <w:pPr>
      <w:tabs>
        <w:tab w:val="center" w:pos="2045"/>
        <w:tab w:val="center" w:pos="5184"/>
      </w:tabs>
      <w:spacing w:after="0"/>
    </w:pPr>
    <w:r>
      <w:tab/>
    </w:r>
    <w:r>
      <w:rPr>
        <w:sz w:val="14"/>
      </w:rPr>
      <w:t xml:space="preserve">COINTRALORIA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170</w:t>
    </w:r>
    <w:r>
      <w:rPr>
        <w:sz w:val="14"/>
      </w:rPr>
      <w:fldChar w:fldCharType="end"/>
    </w:r>
  </w:p>
  <w:p w14:paraId="6BDB3724" w14:textId="77777777" w:rsidR="00053D93" w:rsidRDefault="00260B75">
    <w:pPr>
      <w:spacing w:after="0"/>
      <w:ind w:right="-3190"/>
      <w:jc w:val="right"/>
    </w:pPr>
    <w:r>
      <w:rPr>
        <w:sz w:val="16"/>
      </w:rPr>
      <w:t>Y DEPORTES</w:t>
    </w:r>
  </w:p>
</w:hdr>
</file>

<file path=word/header3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D6235" w14:textId="77777777" w:rsidR="00053D93" w:rsidRDefault="00260B75">
    <w:pPr>
      <w:spacing w:after="0"/>
      <w:ind w:left="3715"/>
      <w:jc w:val="center"/>
    </w:pPr>
    <w:r>
      <w:rPr>
        <w:rFonts w:ascii="Malgan Gothic" w:eastAsia="Malgan Gothic" w:hAnsi="Malgan Gothic" w:cs="Malgan Gothic"/>
        <w:sz w:val="12"/>
      </w:rPr>
      <w:t xml:space="preserve">AUDITORIA </w:t>
    </w:r>
  </w:p>
  <w:p w14:paraId="1B6D6578" w14:textId="77777777" w:rsidR="00053D93" w:rsidRDefault="00260B75">
    <w:pPr>
      <w:tabs>
        <w:tab w:val="center" w:pos="2059"/>
        <w:tab w:val="center" w:pos="5191"/>
        <w:tab w:val="right" w:pos="9439"/>
      </w:tabs>
      <w:spacing w:after="16"/>
    </w:pPr>
    <w:r>
      <w:tab/>
    </w:r>
    <w:r>
      <w:rPr>
        <w:rFonts w:ascii="Malgan Gothic" w:eastAsia="Malgan Gothic" w:hAnsi="Malgan Gothic" w:cs="Malgan Gothic"/>
        <w:sz w:val="12"/>
      </w:rPr>
      <w:t xml:space="preserve">CONTRALOR(A </w:t>
    </w:r>
    <w:r>
      <w:rPr>
        <w:rFonts w:ascii="Malgan Gothic" w:eastAsia="Malgan Gothic" w:hAnsi="Malgan Gothic" w:cs="Malgan Gothic"/>
        <w:sz w:val="10"/>
      </w:rPr>
      <w:t>GENERAL DE CUENTAS</w:t>
    </w:r>
    <w:r>
      <w:rPr>
        <w:rFonts w:ascii="Malgan Gothic" w:eastAsia="Malgan Gothic" w:hAnsi="Malgan Gothic" w:cs="Malgan Gothic"/>
        <w:sz w:val="10"/>
      </w:rPr>
      <w:tab/>
    </w:r>
    <w:r>
      <w:fldChar w:fldCharType="begin"/>
    </w:r>
    <w:r>
      <w:instrText xml:space="preserve"> PAGE   \* MERGEFORMAT </w:instrText>
    </w:r>
    <w:r>
      <w:fldChar w:fldCharType="separate"/>
    </w:r>
    <w:r>
      <w:rPr>
        <w:rFonts w:ascii="Malgan Gothic" w:eastAsia="Malgan Gothic" w:hAnsi="Malgan Gothic" w:cs="Malgan Gothic"/>
        <w:sz w:val="8"/>
      </w:rPr>
      <w:t>328</w:t>
    </w:r>
    <w:r>
      <w:rPr>
        <w:rFonts w:ascii="Malgan Gothic" w:eastAsia="Malgan Gothic" w:hAnsi="Malgan Gothic" w:cs="Malgan Gothic"/>
        <w:sz w:val="8"/>
      </w:rPr>
      <w:fldChar w:fldCharType="end"/>
    </w:r>
    <w:r>
      <w:rPr>
        <w:rFonts w:ascii="Malgan Gothic" w:eastAsia="Malgan Gothic" w:hAnsi="Malgan Gothic" w:cs="Malgan Gothic"/>
        <w:sz w:val="8"/>
      </w:rPr>
      <w:tab/>
    </w:r>
    <w:r>
      <w:rPr>
        <w:rFonts w:ascii="Malgan Gothic" w:eastAsia="Malgan Gothic" w:hAnsi="Malgan Gothic" w:cs="Malgan Gothic"/>
        <w:sz w:val="10"/>
      </w:rPr>
      <w:t xml:space="preserve">AL </w:t>
    </w:r>
    <w:r>
      <w:rPr>
        <w:rFonts w:ascii="Malgan Gothic" w:eastAsia="Malgan Gothic" w:hAnsi="Malgan Gothic" w:cs="Malgan Gothic"/>
        <w:sz w:val="14"/>
      </w:rPr>
      <w:t xml:space="preserve">SECTOR EOUCACIÖN. </w:t>
    </w:r>
    <w:r>
      <w:rPr>
        <w:rFonts w:ascii="Malgan Gothic" w:eastAsia="Malgan Gothic" w:hAnsi="Malgan Gothic" w:cs="Malgan Gothic"/>
        <w:sz w:val="10"/>
      </w:rPr>
      <w:t>CIENCIA. CULTURA</w:t>
    </w:r>
  </w:p>
  <w:p w14:paraId="4EDA7ABE" w14:textId="77777777" w:rsidR="00053D93" w:rsidRDefault="00260B75">
    <w:pPr>
      <w:spacing w:after="0"/>
      <w:ind w:right="7"/>
      <w:jc w:val="right"/>
    </w:pPr>
    <w:r>
      <w:rPr>
        <w:rFonts w:ascii="Malgan Gothic" w:eastAsia="Malgan Gothic" w:hAnsi="Malgan Gothic" w:cs="Malgan Gothic"/>
        <w:sz w:val="10"/>
      </w:rPr>
      <w:t>Y DEPORTES</w:t>
    </w:r>
  </w:p>
</w:hdr>
</file>

<file path=word/header3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08615" w14:textId="77777777" w:rsidR="00053D93" w:rsidRDefault="00260B75">
    <w:pPr>
      <w:spacing w:after="0"/>
      <w:ind w:left="2016"/>
      <w:jc w:val="center"/>
    </w:pPr>
    <w:r>
      <w:rPr>
        <w:rFonts w:ascii="Malgan Gothic" w:eastAsia="Malgan Gothic" w:hAnsi="Malgan Gothic" w:cs="Malgan Gothic"/>
        <w:sz w:val="12"/>
      </w:rPr>
      <w:t xml:space="preserve">DIRECCIÖN </w:t>
    </w:r>
  </w:p>
  <w:p w14:paraId="1874B424" w14:textId="77777777" w:rsidR="00053D93" w:rsidRDefault="00260B75">
    <w:pPr>
      <w:tabs>
        <w:tab w:val="center" w:pos="2066"/>
        <w:tab w:val="center" w:pos="5198"/>
        <w:tab w:val="right" w:pos="9446"/>
      </w:tabs>
      <w:spacing w:after="61"/>
      <w:ind w:right="-7"/>
    </w:pPr>
    <w:r>
      <w:tab/>
    </w:r>
    <w:r>
      <w:rPr>
        <w:rFonts w:ascii="Malgan Gothic" w:eastAsia="Malgan Gothic" w:hAnsi="Malgan Gothic" w:cs="Malgan Gothic"/>
        <w:sz w:val="12"/>
      </w:rPr>
      <w:t xml:space="preserve">CONTRALORIA </w:t>
    </w:r>
    <w:r>
      <w:rPr>
        <w:rFonts w:ascii="Malgan Gothic" w:eastAsia="Malgan Gothic" w:hAnsi="Malgan Gothic" w:cs="Malgan Gothic"/>
        <w:sz w:val="10"/>
      </w:rPr>
      <w:t>GENERAL DE CUENTAS</w:t>
    </w:r>
    <w:r>
      <w:rPr>
        <w:rFonts w:ascii="Malgan Gothic" w:eastAsia="Malgan Gothic" w:hAnsi="Malgan Gothic" w:cs="Malgan Gothic"/>
        <w:sz w:val="10"/>
      </w:rPr>
      <w:tab/>
    </w:r>
    <w:r>
      <w:fldChar w:fldCharType="begin"/>
    </w:r>
    <w:r>
      <w:instrText xml:space="preserve"> PAGE   \* MERGEFORMAT </w:instrText>
    </w:r>
    <w:r>
      <w:fldChar w:fldCharType="separate"/>
    </w:r>
    <w:r>
      <w:rPr>
        <w:rFonts w:ascii="Malgan Gothic" w:eastAsia="Malgan Gothic" w:hAnsi="Malgan Gothic" w:cs="Malgan Gothic"/>
        <w:sz w:val="8"/>
      </w:rPr>
      <w:t>327</w:t>
    </w:r>
    <w:r>
      <w:rPr>
        <w:rFonts w:ascii="Malgan Gothic" w:eastAsia="Malgan Gothic" w:hAnsi="Malgan Gothic" w:cs="Malgan Gothic"/>
        <w:sz w:val="8"/>
      </w:rPr>
      <w:fldChar w:fldCharType="end"/>
    </w:r>
    <w:r>
      <w:rPr>
        <w:rFonts w:ascii="Malgan Gothic" w:eastAsia="Malgan Gothic" w:hAnsi="Malgan Gothic" w:cs="Malgan Gothic"/>
        <w:sz w:val="8"/>
      </w:rPr>
      <w:tab/>
    </w:r>
    <w:r>
      <w:rPr>
        <w:rFonts w:ascii="Malgan Gothic" w:eastAsia="Malgan Gothic" w:hAnsi="Malgan Gothic" w:cs="Malgan Gothic"/>
        <w:sz w:val="12"/>
      </w:rPr>
      <w:t xml:space="preserve">DE AUDITORIA </w:t>
    </w:r>
    <w:r>
      <w:rPr>
        <w:rFonts w:ascii="Malgan Gothic" w:eastAsia="Malgan Gothic" w:hAnsi="Malgan Gothic" w:cs="Malgan Gothic"/>
        <w:sz w:val="10"/>
      </w:rPr>
      <w:t xml:space="preserve">AL </w:t>
    </w:r>
    <w:r>
      <w:rPr>
        <w:rFonts w:ascii="Malgan Gothic" w:eastAsia="Malgan Gothic" w:hAnsi="Malgan Gothic" w:cs="Malgan Gothic"/>
        <w:sz w:val="12"/>
      </w:rPr>
      <w:t xml:space="preserve">SECTOR EDUCACIÖN. </w:t>
    </w:r>
    <w:r>
      <w:rPr>
        <w:rFonts w:ascii="Malgan Gothic" w:eastAsia="Malgan Gothic" w:hAnsi="Malgan Gothic" w:cs="Malgan Gothic"/>
        <w:sz w:val="10"/>
      </w:rPr>
      <w:t>CIENCtA. CULTURA</w:t>
    </w:r>
  </w:p>
  <w:p w14:paraId="502F7AC1" w14:textId="77777777" w:rsidR="00053D93" w:rsidRDefault="00260B75">
    <w:pPr>
      <w:spacing w:after="0"/>
      <w:ind w:right="-7"/>
      <w:jc w:val="right"/>
    </w:pPr>
    <w:r>
      <w:rPr>
        <w:rFonts w:ascii="Malgan Gothic" w:eastAsia="Malgan Gothic" w:hAnsi="Malgan Gothic" w:cs="Malgan Gothic"/>
        <w:sz w:val="10"/>
      </w:rPr>
      <w:t>Y DEPORTES</w:t>
    </w:r>
  </w:p>
</w:hdr>
</file>

<file path=word/header3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A568" w14:textId="77777777" w:rsidR="00053D93" w:rsidRDefault="00260B75">
    <w:pPr>
      <w:spacing w:after="0"/>
      <w:ind w:left="2016"/>
      <w:jc w:val="center"/>
    </w:pPr>
    <w:r>
      <w:rPr>
        <w:rFonts w:ascii="Malgan Gothic" w:eastAsia="Malgan Gothic" w:hAnsi="Malgan Gothic" w:cs="Malgan Gothic"/>
        <w:sz w:val="12"/>
      </w:rPr>
      <w:t xml:space="preserve">DIRECCIÖN </w:t>
    </w:r>
  </w:p>
  <w:p w14:paraId="143F7933" w14:textId="77777777" w:rsidR="00053D93" w:rsidRDefault="00260B75">
    <w:pPr>
      <w:tabs>
        <w:tab w:val="center" w:pos="2066"/>
        <w:tab w:val="center" w:pos="5198"/>
        <w:tab w:val="right" w:pos="9446"/>
      </w:tabs>
      <w:spacing w:after="61"/>
      <w:ind w:right="-7"/>
    </w:pPr>
    <w:r>
      <w:tab/>
    </w:r>
    <w:r>
      <w:rPr>
        <w:rFonts w:ascii="Malgan Gothic" w:eastAsia="Malgan Gothic" w:hAnsi="Malgan Gothic" w:cs="Malgan Gothic"/>
        <w:sz w:val="12"/>
      </w:rPr>
      <w:t xml:space="preserve">CONTRALORIA </w:t>
    </w:r>
    <w:r>
      <w:rPr>
        <w:rFonts w:ascii="Malgan Gothic" w:eastAsia="Malgan Gothic" w:hAnsi="Malgan Gothic" w:cs="Malgan Gothic"/>
        <w:sz w:val="10"/>
      </w:rPr>
      <w:t>GENERAL DE CUENTAS</w:t>
    </w:r>
    <w:r>
      <w:rPr>
        <w:rFonts w:ascii="Malgan Gothic" w:eastAsia="Malgan Gothic" w:hAnsi="Malgan Gothic" w:cs="Malgan Gothic"/>
        <w:sz w:val="10"/>
      </w:rPr>
      <w:tab/>
    </w:r>
    <w:r>
      <w:fldChar w:fldCharType="begin"/>
    </w:r>
    <w:r>
      <w:instrText xml:space="preserve"> PAGE   \* MERGEFORMAT </w:instrText>
    </w:r>
    <w:r>
      <w:fldChar w:fldCharType="separate"/>
    </w:r>
    <w:r>
      <w:rPr>
        <w:rFonts w:ascii="Malgan Gothic" w:eastAsia="Malgan Gothic" w:hAnsi="Malgan Gothic" w:cs="Malgan Gothic"/>
        <w:sz w:val="8"/>
      </w:rPr>
      <w:t>327</w:t>
    </w:r>
    <w:r>
      <w:rPr>
        <w:rFonts w:ascii="Malgan Gothic" w:eastAsia="Malgan Gothic" w:hAnsi="Malgan Gothic" w:cs="Malgan Gothic"/>
        <w:sz w:val="8"/>
      </w:rPr>
      <w:fldChar w:fldCharType="end"/>
    </w:r>
    <w:r>
      <w:rPr>
        <w:rFonts w:ascii="Malgan Gothic" w:eastAsia="Malgan Gothic" w:hAnsi="Malgan Gothic" w:cs="Malgan Gothic"/>
        <w:sz w:val="8"/>
      </w:rPr>
      <w:tab/>
    </w:r>
    <w:r>
      <w:rPr>
        <w:rFonts w:ascii="Malgan Gothic" w:eastAsia="Malgan Gothic" w:hAnsi="Malgan Gothic" w:cs="Malgan Gothic"/>
        <w:sz w:val="12"/>
      </w:rPr>
      <w:t xml:space="preserve">DE AUDITORIA </w:t>
    </w:r>
    <w:r>
      <w:rPr>
        <w:rFonts w:ascii="Malgan Gothic" w:eastAsia="Malgan Gothic" w:hAnsi="Malgan Gothic" w:cs="Malgan Gothic"/>
        <w:sz w:val="10"/>
      </w:rPr>
      <w:t xml:space="preserve">AL </w:t>
    </w:r>
    <w:r>
      <w:rPr>
        <w:rFonts w:ascii="Malgan Gothic" w:eastAsia="Malgan Gothic" w:hAnsi="Malgan Gothic" w:cs="Malgan Gothic"/>
        <w:sz w:val="12"/>
      </w:rPr>
      <w:t xml:space="preserve">SECTOR EDUCACIÖN. </w:t>
    </w:r>
    <w:r>
      <w:rPr>
        <w:rFonts w:ascii="Malgan Gothic" w:eastAsia="Malgan Gothic" w:hAnsi="Malgan Gothic" w:cs="Malgan Gothic"/>
        <w:sz w:val="10"/>
      </w:rPr>
      <w:t>CIENCtA. CULTURA</w:t>
    </w:r>
  </w:p>
  <w:p w14:paraId="62195B03" w14:textId="77777777" w:rsidR="00053D93" w:rsidRDefault="00260B75">
    <w:pPr>
      <w:spacing w:after="0"/>
      <w:ind w:right="-7"/>
      <w:jc w:val="right"/>
    </w:pPr>
    <w:r>
      <w:rPr>
        <w:rFonts w:ascii="Malgan Gothic" w:eastAsia="Malgan Gothic" w:hAnsi="Malgan Gothic" w:cs="Malgan Gothic"/>
        <w:sz w:val="10"/>
      </w:rPr>
      <w:t>Y DEPORTES</w:t>
    </w:r>
  </w:p>
</w:hdr>
</file>

<file path=word/header3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4FC84" w14:textId="77777777" w:rsidR="00053D93" w:rsidRDefault="00260B75">
    <w:pPr>
      <w:tabs>
        <w:tab w:val="right" w:pos="10181"/>
      </w:tabs>
      <w:spacing w:after="0"/>
    </w:pPr>
    <w:r>
      <w:rPr>
        <w:noProof/>
      </w:rPr>
      <mc:AlternateContent>
        <mc:Choice Requires="wpg">
          <w:drawing>
            <wp:anchor distT="0" distB="0" distL="114300" distR="114300" simplePos="0" relativeHeight="251760640" behindDoc="0" locked="0" layoutInCell="1" allowOverlap="1" wp14:anchorId="76238AC0" wp14:editId="4C8EE807">
              <wp:simplePos x="0" y="0"/>
              <wp:positionH relativeFrom="page">
                <wp:posOffset>205740</wp:posOffset>
              </wp:positionH>
              <wp:positionV relativeFrom="page">
                <wp:posOffset>260604</wp:posOffset>
              </wp:positionV>
              <wp:extent cx="128016" cy="310896"/>
              <wp:effectExtent l="0" t="0" r="0" b="0"/>
              <wp:wrapSquare wrapText="bothSides"/>
              <wp:docPr id="2454026" name="Group 2454026"/>
              <wp:cNvGraphicFramePr/>
              <a:graphic xmlns:a="http://schemas.openxmlformats.org/drawingml/2006/main">
                <a:graphicData uri="http://schemas.microsoft.com/office/word/2010/wordprocessingGroup">
                  <wpg:wgp>
                    <wpg:cNvGrpSpPr/>
                    <wpg:grpSpPr>
                      <a:xfrm>
                        <a:off x="0" y="0"/>
                        <a:ext cx="128016" cy="310896"/>
                        <a:chOff x="0" y="0"/>
                        <a:chExt cx="128016" cy="310896"/>
                      </a:xfrm>
                    </wpg:grpSpPr>
                    <wps:wsp>
                      <wps:cNvPr id="2454027" name="Rectangle 2454027"/>
                      <wps:cNvSpPr/>
                      <wps:spPr>
                        <a:xfrm>
                          <a:off x="0" y="0"/>
                          <a:ext cx="170261" cy="413492"/>
                        </a:xfrm>
                        <a:prstGeom prst="rect">
                          <a:avLst/>
                        </a:prstGeom>
                        <a:ln>
                          <a:noFill/>
                        </a:ln>
                      </wps:spPr>
                      <wps:txbx>
                        <w:txbxContent>
                          <w:p w14:paraId="7EA98F1D"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76238AC0" id="Group 2454026" o:spid="_x0000_s2085" style="position:absolute;margin-left:16.2pt;margin-top:20.5pt;width:10.1pt;height:24.5pt;z-index:251760640;mso-position-horizontal-relative:page;mso-position-vertical-relative:page" coordsize="128016,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">
              <v:rect id="Rectangle 2454027" o:spid="_x0000_s2086" style="position:absolute;width:170261;height:41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" filled="f" stroked="f">
                <v:textbox inset="0,0,0,0">
                  <w:txbxContent>
                    <w:p w14:paraId="7EA98F1D" w14:textId="77777777" w:rsidR="00053D93" w:rsidRDefault="00260B75">
                      <w:r>
                        <w:rPr>
                          <w:sz w:val="74"/>
                        </w:rPr>
                        <w:t>1</w:t>
                      </w:r>
                    </w:p>
                  </w:txbxContent>
                </v:textbox>
              </v:rect>
              <w10:wrap type="square" anchorx="page" anchory="page"/>
            </v:group>
          </w:pict>
        </mc:Fallback>
      </mc:AlternateContent>
    </w:r>
    <w:r>
      <w:rPr>
        <w:sz w:val="14"/>
      </w:rPr>
      <w:tab/>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12852CF" w14:textId="77777777" w:rsidR="00053D93" w:rsidRDefault="00260B75">
    <w:pPr>
      <w:tabs>
        <w:tab w:val="center" w:pos="5911"/>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330</w:t>
    </w:r>
    <w:r>
      <w:rPr>
        <w:sz w:val="14"/>
      </w:rPr>
      <w:fldChar w:fldCharType="end"/>
    </w:r>
  </w:p>
  <w:p w14:paraId="42FD969B" w14:textId="77777777" w:rsidR="00053D93" w:rsidRDefault="00260B75">
    <w:pPr>
      <w:spacing w:after="0"/>
      <w:ind w:right="29"/>
      <w:jc w:val="right"/>
    </w:pPr>
    <w:r>
      <w:rPr>
        <w:sz w:val="16"/>
      </w:rPr>
      <w:t>Y DEPORTES</w:t>
    </w:r>
  </w:p>
</w:hdr>
</file>

<file path=word/header3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6E6A0" w14:textId="77777777" w:rsidR="00053D93" w:rsidRDefault="00260B75">
    <w:pPr>
      <w:tabs>
        <w:tab w:val="right" w:pos="10181"/>
      </w:tabs>
      <w:spacing w:after="0"/>
    </w:pPr>
    <w:r>
      <w:rPr>
        <w:noProof/>
      </w:rPr>
      <mc:AlternateContent>
        <mc:Choice Requires="wpg">
          <w:drawing>
            <wp:anchor distT="0" distB="0" distL="114300" distR="114300" simplePos="0" relativeHeight="251761664" behindDoc="0" locked="0" layoutInCell="1" allowOverlap="1" wp14:anchorId="21682D2F" wp14:editId="349A3958">
              <wp:simplePos x="0" y="0"/>
              <wp:positionH relativeFrom="page">
                <wp:posOffset>205740</wp:posOffset>
              </wp:positionH>
              <wp:positionV relativeFrom="page">
                <wp:posOffset>260604</wp:posOffset>
              </wp:positionV>
              <wp:extent cx="128016" cy="310896"/>
              <wp:effectExtent l="0" t="0" r="0" b="0"/>
              <wp:wrapSquare wrapText="bothSides"/>
              <wp:docPr id="2453997" name="Group 2453997"/>
              <wp:cNvGraphicFramePr/>
              <a:graphic xmlns:a="http://schemas.openxmlformats.org/drawingml/2006/main">
                <a:graphicData uri="http://schemas.microsoft.com/office/word/2010/wordprocessingGroup">
                  <wpg:wgp>
                    <wpg:cNvGrpSpPr/>
                    <wpg:grpSpPr>
                      <a:xfrm>
                        <a:off x="0" y="0"/>
                        <a:ext cx="128016" cy="310896"/>
                        <a:chOff x="0" y="0"/>
                        <a:chExt cx="128016" cy="310896"/>
                      </a:xfrm>
                    </wpg:grpSpPr>
                    <wps:wsp>
                      <wps:cNvPr id="2453998" name="Rectangle 2453998"/>
                      <wps:cNvSpPr/>
                      <wps:spPr>
                        <a:xfrm>
                          <a:off x="0" y="0"/>
                          <a:ext cx="170261" cy="413492"/>
                        </a:xfrm>
                        <a:prstGeom prst="rect">
                          <a:avLst/>
                        </a:prstGeom>
                        <a:ln>
                          <a:noFill/>
                        </a:ln>
                      </wps:spPr>
                      <wps:txbx>
                        <w:txbxContent>
                          <w:p w14:paraId="5879498A"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21682D2F" id="Group 2453997" o:spid="_x0000_s2087" style="position:absolute;margin-left:16.2pt;margin-top:20.5pt;width:10.1pt;height:24.5pt;z-index:251761664;mso-position-horizontal-relative:page;mso-position-vertical-relative:page" coordsize="128016,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">
              <v:rect id="Rectangle 2453998" o:spid="_x0000_s2088" style="position:absolute;width:170261;height:41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" filled="f" stroked="f">
                <v:textbox inset="0,0,0,0">
                  <w:txbxContent>
                    <w:p w14:paraId="5879498A" w14:textId="77777777" w:rsidR="00053D93" w:rsidRDefault="00260B75">
                      <w:r>
                        <w:rPr>
                          <w:sz w:val="74"/>
                        </w:rPr>
                        <w:t>1</w:t>
                      </w:r>
                    </w:p>
                  </w:txbxContent>
                </v:textbox>
              </v:rect>
              <w10:wrap type="square" anchorx="page" anchory="page"/>
            </v:group>
          </w:pict>
        </mc:Fallback>
      </mc:AlternateContent>
    </w:r>
    <w:r>
      <w:rPr>
        <w:sz w:val="14"/>
      </w:rPr>
      <w:tab/>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11A46EA" w14:textId="77777777" w:rsidR="00053D93" w:rsidRDefault="00260B75">
    <w:pPr>
      <w:tabs>
        <w:tab w:val="center" w:pos="5911"/>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330</w:t>
    </w:r>
    <w:r>
      <w:rPr>
        <w:sz w:val="14"/>
      </w:rPr>
      <w:fldChar w:fldCharType="end"/>
    </w:r>
  </w:p>
  <w:p w14:paraId="181F6117" w14:textId="77777777" w:rsidR="00053D93" w:rsidRDefault="00260B75">
    <w:pPr>
      <w:spacing w:after="0"/>
      <w:ind w:right="29"/>
      <w:jc w:val="right"/>
    </w:pPr>
    <w:r>
      <w:rPr>
        <w:sz w:val="16"/>
      </w:rPr>
      <w:t>Y DEPORTES</w:t>
    </w:r>
  </w:p>
</w:hdr>
</file>

<file path=word/header3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0D956" w14:textId="77777777" w:rsidR="00053D93" w:rsidRDefault="00260B75">
    <w:pPr>
      <w:tabs>
        <w:tab w:val="right" w:pos="10181"/>
      </w:tabs>
      <w:spacing w:after="0"/>
    </w:pPr>
    <w:r>
      <w:rPr>
        <w:noProof/>
      </w:rPr>
      <mc:AlternateContent>
        <mc:Choice Requires="wpg">
          <w:drawing>
            <wp:anchor distT="0" distB="0" distL="114300" distR="114300" simplePos="0" relativeHeight="251762688" behindDoc="0" locked="0" layoutInCell="1" allowOverlap="1" wp14:anchorId="1B96B392" wp14:editId="7F73B044">
              <wp:simplePos x="0" y="0"/>
              <wp:positionH relativeFrom="page">
                <wp:posOffset>205740</wp:posOffset>
              </wp:positionH>
              <wp:positionV relativeFrom="page">
                <wp:posOffset>260604</wp:posOffset>
              </wp:positionV>
              <wp:extent cx="128016" cy="310896"/>
              <wp:effectExtent l="0" t="0" r="0" b="0"/>
              <wp:wrapSquare wrapText="bothSides"/>
              <wp:docPr id="2453968" name="Group 2453968"/>
              <wp:cNvGraphicFramePr/>
              <a:graphic xmlns:a="http://schemas.openxmlformats.org/drawingml/2006/main">
                <a:graphicData uri="http://schemas.microsoft.com/office/word/2010/wordprocessingGroup">
                  <wpg:wgp>
                    <wpg:cNvGrpSpPr/>
                    <wpg:grpSpPr>
                      <a:xfrm>
                        <a:off x="0" y="0"/>
                        <a:ext cx="128016" cy="310896"/>
                        <a:chOff x="0" y="0"/>
                        <a:chExt cx="128016" cy="310896"/>
                      </a:xfrm>
                    </wpg:grpSpPr>
                    <wps:wsp>
                      <wps:cNvPr id="2453969" name="Rectangle 2453969"/>
                      <wps:cNvSpPr/>
                      <wps:spPr>
                        <a:xfrm>
                          <a:off x="0" y="0"/>
                          <a:ext cx="170261" cy="413492"/>
                        </a:xfrm>
                        <a:prstGeom prst="rect">
                          <a:avLst/>
                        </a:prstGeom>
                        <a:ln>
                          <a:noFill/>
                        </a:ln>
                      </wps:spPr>
                      <wps:txbx>
                        <w:txbxContent>
                          <w:p w14:paraId="6D7A70BC" w14:textId="77777777" w:rsidR="00053D93" w:rsidRDefault="00260B75">
                            <w:r>
                              <w:rPr>
                                <w:sz w:val="74"/>
                              </w:rPr>
                              <w:t>1</w:t>
                            </w:r>
                          </w:p>
                        </w:txbxContent>
                      </wps:txbx>
                      <wps:bodyPr horzOverflow="overflow" vert="horz" lIns="0" tIns="0" rIns="0" bIns="0" rtlCol="0">
                        <a:noAutofit/>
                      </wps:bodyPr>
                    </wps:wsp>
                  </wpg:wgp>
                </a:graphicData>
              </a:graphic>
            </wp:anchor>
          </w:drawing>
        </mc:Choice>
        <mc:Fallback>
          <w:pict>
            <v:group w14:anchorId="1B96B392" id="Group 2453968" o:spid="_x0000_s2089" style="position:absolute;margin-left:16.2pt;margin-top:20.5pt;width:10.1pt;height:24.5pt;z-index:251762688;mso-position-horizontal-relative:page;mso-position-vertical-relative:page" coordsize="128016,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">
              <v:rect id="Rectangle 2453969" o:spid="_x0000_s2090" style="position:absolute;width:170261;height:41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" filled="f" stroked="f">
                <v:textbox inset="0,0,0,0">
                  <w:txbxContent>
                    <w:p w14:paraId="6D7A70BC" w14:textId="77777777" w:rsidR="00053D93" w:rsidRDefault="00260B75">
                      <w:r>
                        <w:rPr>
                          <w:sz w:val="74"/>
                        </w:rPr>
                        <w:t>1</w:t>
                      </w:r>
                    </w:p>
                  </w:txbxContent>
                </v:textbox>
              </v:rect>
              <w10:wrap type="square" anchorx="page" anchory="page"/>
            </v:group>
          </w:pict>
        </mc:Fallback>
      </mc:AlternateContent>
    </w:r>
    <w:r>
      <w:rPr>
        <w:sz w:val="14"/>
      </w:rPr>
      <w:tab/>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6A3E7BE6" w14:textId="77777777" w:rsidR="00053D93" w:rsidRDefault="00260B75">
    <w:pPr>
      <w:tabs>
        <w:tab w:val="center" w:pos="5911"/>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sz w:val="14"/>
      </w:rPr>
      <w:t>330</w:t>
    </w:r>
    <w:r>
      <w:rPr>
        <w:sz w:val="14"/>
      </w:rPr>
      <w:fldChar w:fldCharType="end"/>
    </w:r>
  </w:p>
  <w:p w14:paraId="7A242794" w14:textId="77777777" w:rsidR="00053D93" w:rsidRDefault="00260B75">
    <w:pPr>
      <w:spacing w:after="0"/>
      <w:ind w:right="29"/>
      <w:jc w:val="right"/>
    </w:pPr>
    <w:r>
      <w:rPr>
        <w:sz w:val="16"/>
      </w:rPr>
      <w:t>Y DEPORTES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10FE6" w14:textId="77777777" w:rsidR="00053D93" w:rsidRDefault="00260B75">
    <w:pPr>
      <w:spacing w:after="804" w:line="246" w:lineRule="auto"/>
      <w:ind w:left="-50"/>
    </w:pPr>
    <w:r>
      <w:rPr>
        <w:noProof/>
      </w:rPr>
      <mc:AlternateContent>
        <mc:Choice Requires="wpg">
          <w:drawing>
            <wp:anchor distT="0" distB="0" distL="114300" distR="114300" simplePos="0" relativeHeight="251660288" behindDoc="0" locked="0" layoutInCell="1" allowOverlap="1" wp14:anchorId="62A10BAE" wp14:editId="5749F4E4">
              <wp:simplePos x="0" y="0"/>
              <wp:positionH relativeFrom="page">
                <wp:posOffset>210312</wp:posOffset>
              </wp:positionH>
              <wp:positionV relativeFrom="page">
                <wp:posOffset>288036</wp:posOffset>
              </wp:positionV>
              <wp:extent cx="132588" cy="416052"/>
              <wp:effectExtent l="0" t="0" r="0" b="0"/>
              <wp:wrapSquare wrapText="bothSides"/>
              <wp:docPr id="2446492" name="Group 2446492"/>
              <wp:cNvGraphicFramePr/>
              <a:graphic xmlns:a="http://schemas.openxmlformats.org/drawingml/2006/main">
                <a:graphicData uri="http://schemas.microsoft.com/office/word/2010/wordprocessingGroup">
                  <wpg:wgp>
                    <wpg:cNvGrpSpPr/>
                    <wpg:grpSpPr>
                      <a:xfrm>
                        <a:off x="0" y="0"/>
                        <a:ext cx="132588" cy="416052"/>
                        <a:chOff x="0" y="0"/>
                        <a:chExt cx="132588" cy="416052"/>
                      </a:xfrm>
                    </wpg:grpSpPr>
                    <wps:wsp>
                      <wps:cNvPr id="2446493" name="Rectangle 2446493"/>
                      <wps:cNvSpPr/>
                      <wps:spPr>
                        <a:xfrm>
                          <a:off x="0" y="0"/>
                          <a:ext cx="176342" cy="553349"/>
                        </a:xfrm>
                        <a:prstGeom prst="rect">
                          <a:avLst/>
                        </a:prstGeom>
                        <a:ln>
                          <a:noFill/>
                        </a:ln>
                      </wps:spPr>
                      <wps:txbx>
                        <w:txbxContent>
                          <w:p w14:paraId="75569422" w14:textId="77777777" w:rsidR="00053D93" w:rsidRDefault="00260B75">
                            <w:r>
                              <w:rPr>
                                <w:sz w:val="274"/>
                              </w:rPr>
                              <w:t>i</w:t>
                            </w:r>
                          </w:p>
                        </w:txbxContent>
                      </wps:txbx>
                      <wps:bodyPr horzOverflow="overflow" vert="horz" lIns="0" tIns="0" rIns="0" bIns="0" rtlCol="0">
                        <a:noAutofit/>
                      </wps:bodyPr>
                    </wps:wsp>
                  </wpg:wgp>
                </a:graphicData>
              </a:graphic>
            </wp:anchor>
          </w:drawing>
        </mc:Choice>
        <mc:Fallback>
          <w:pict>
            <v:group w14:anchorId="62A10BAE" id="Group 2446492" o:spid="_x0000_s1899" style="position:absolute;left:0;text-align:left;margin-left:16.55pt;margin-top:22.7pt;width:10.45pt;height:32.75pt;z-index:251660288;mso-position-horizontal-relative:page;mso-position-vertical-relative:page" coordsize="132588,416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">
              <v:rect id="Rectangle 2446493" o:spid="_x0000_s1900" style="position:absolute;width:176342;height:553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" filled="f" stroked="f">
                <v:textbox inset="0,0,0,0">
                  <w:txbxContent>
                    <w:p w14:paraId="75569422" w14:textId="77777777" w:rsidR="00053D93" w:rsidRDefault="00260B75">
                      <w:r>
                        <w:rPr>
                          <w:sz w:val="274"/>
                        </w:rPr>
                        <w:t>i</w:t>
                      </w:r>
                    </w:p>
                  </w:txbxContent>
                </v:textbox>
              </v:rect>
              <w10:wrap type="square" anchorx="page" anchory="page"/>
            </v:group>
          </w:pict>
        </mc:Fallback>
      </mc:AlternateContent>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AUDITORÍA AL </w:t>
    </w:r>
    <w:r>
      <w:rPr>
        <w:sz w:val="16"/>
      </w:rPr>
      <w:t xml:space="preserve">SECTOR </w:t>
    </w:r>
    <w:r>
      <w:rPr>
        <w:sz w:val="14"/>
      </w:rPr>
      <w:t xml:space="preserve">EDUCACIÓN. CIENCIA. CULTURA </w:t>
    </w:r>
    <w:r>
      <w:rPr>
        <w:sz w:val="16"/>
      </w:rPr>
      <w:t>Y DEPORTES</w:t>
    </w:r>
  </w:p>
  <w:p w14:paraId="680BCD62" w14:textId="77777777" w:rsidR="00053D93" w:rsidRDefault="00260B75">
    <w:pPr>
      <w:spacing w:after="0"/>
      <w:ind w:left="-50"/>
    </w:pPr>
    <w:r>
      <w:rPr>
        <w:sz w:val="284"/>
      </w:rPr>
      <w:t>i</w:t>
    </w:r>
  </w:p>
</w:hdr>
</file>

<file path=word/header3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AC09" w14:textId="77777777" w:rsidR="00053D93" w:rsidRDefault="00260B75">
    <w:pPr>
      <w:spacing w:after="0"/>
      <w:ind w:left="1066"/>
      <w:jc w:val="center"/>
    </w:pPr>
    <w:r>
      <w:rPr>
        <w:rFonts w:ascii="Malgan Gothic" w:eastAsia="Malgan Gothic" w:hAnsi="Malgan Gothic" w:cs="Malgan Gothic"/>
        <w:sz w:val="12"/>
      </w:rPr>
      <w:t xml:space="preserve">DIRECCIÖN </w:t>
    </w:r>
  </w:p>
  <w:p w14:paraId="36D77EC8" w14:textId="77777777" w:rsidR="00053D93" w:rsidRDefault="00260B75">
    <w:pPr>
      <w:tabs>
        <w:tab w:val="center" w:pos="1094"/>
        <w:tab w:val="center" w:pos="4226"/>
        <w:tab w:val="right" w:pos="8474"/>
      </w:tabs>
      <w:spacing w:after="61"/>
      <w:ind w:right="-29"/>
    </w:pPr>
    <w:r>
      <w:tab/>
    </w:r>
    <w:r>
      <w:rPr>
        <w:rFonts w:ascii="Malgan Gothic" w:eastAsia="Malgan Gothic" w:hAnsi="Malgan Gothic" w:cs="Malgan Gothic"/>
        <w:sz w:val="12"/>
      </w:rPr>
      <w:t xml:space="preserve">CONTRALORIA </w:t>
    </w:r>
    <w:r>
      <w:rPr>
        <w:rFonts w:ascii="Malgan Gothic" w:eastAsia="Malgan Gothic" w:hAnsi="Malgan Gothic" w:cs="Malgan Gothic"/>
        <w:sz w:val="10"/>
      </w:rPr>
      <w:t>GENERAL DE CUENTAS</w:t>
    </w:r>
    <w:r>
      <w:rPr>
        <w:rFonts w:ascii="Malgan Gothic" w:eastAsia="Malgan Gothic" w:hAnsi="Malgan Gothic" w:cs="Malgan Gothic"/>
        <w:sz w:val="10"/>
      </w:rPr>
      <w:tab/>
    </w:r>
    <w:r>
      <w:fldChar w:fldCharType="begin"/>
    </w:r>
    <w:r>
      <w:instrText xml:space="preserve"> PAGE   \* MERGEFORMAT </w:instrText>
    </w:r>
    <w:r>
      <w:fldChar w:fldCharType="separate"/>
    </w:r>
    <w:r>
      <w:rPr>
        <w:rFonts w:ascii="Malgan Gothic" w:eastAsia="Malgan Gothic" w:hAnsi="Malgan Gothic" w:cs="Malgan Gothic"/>
        <w:sz w:val="8"/>
      </w:rPr>
      <w:t>327</w:t>
    </w:r>
    <w:r>
      <w:rPr>
        <w:rFonts w:ascii="Malgan Gothic" w:eastAsia="Malgan Gothic" w:hAnsi="Malgan Gothic" w:cs="Malgan Gothic"/>
        <w:sz w:val="8"/>
      </w:rPr>
      <w:fldChar w:fldCharType="end"/>
    </w:r>
    <w:r>
      <w:rPr>
        <w:rFonts w:ascii="Malgan Gothic" w:eastAsia="Malgan Gothic" w:hAnsi="Malgan Gothic" w:cs="Malgan Gothic"/>
        <w:sz w:val="8"/>
      </w:rPr>
      <w:tab/>
    </w:r>
    <w:r>
      <w:rPr>
        <w:rFonts w:ascii="Malgan Gothic" w:eastAsia="Malgan Gothic" w:hAnsi="Malgan Gothic" w:cs="Malgan Gothic"/>
        <w:sz w:val="12"/>
      </w:rPr>
      <w:t xml:space="preserve">DE AUDITORIA </w:t>
    </w:r>
    <w:r>
      <w:rPr>
        <w:rFonts w:ascii="Malgan Gothic" w:eastAsia="Malgan Gothic" w:hAnsi="Malgan Gothic" w:cs="Malgan Gothic"/>
        <w:sz w:val="10"/>
      </w:rPr>
      <w:t xml:space="preserve">AL </w:t>
    </w:r>
    <w:r>
      <w:rPr>
        <w:rFonts w:ascii="Malgan Gothic" w:eastAsia="Malgan Gothic" w:hAnsi="Malgan Gothic" w:cs="Malgan Gothic"/>
        <w:sz w:val="12"/>
      </w:rPr>
      <w:t xml:space="preserve">SECTOR EDUCACIÖN. </w:t>
    </w:r>
    <w:r>
      <w:rPr>
        <w:rFonts w:ascii="Malgan Gothic" w:eastAsia="Malgan Gothic" w:hAnsi="Malgan Gothic" w:cs="Malgan Gothic"/>
        <w:sz w:val="10"/>
      </w:rPr>
      <w:t>CIENCtA. CULTURA</w:t>
    </w:r>
  </w:p>
  <w:p w14:paraId="04278A43" w14:textId="77777777" w:rsidR="00053D93" w:rsidRDefault="00260B75">
    <w:pPr>
      <w:spacing w:after="0"/>
      <w:ind w:right="-29"/>
      <w:jc w:val="right"/>
    </w:pPr>
    <w:r>
      <w:rPr>
        <w:rFonts w:ascii="Malgan Gothic" w:eastAsia="Malgan Gothic" w:hAnsi="Malgan Gothic" w:cs="Malgan Gothic"/>
        <w:sz w:val="10"/>
      </w:rPr>
      <w:t>Y DEPORTES</w:t>
    </w:r>
  </w:p>
</w:hdr>
</file>

<file path=word/header3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F745D" w14:textId="77777777" w:rsidR="00053D93" w:rsidRDefault="00260B75">
    <w:pPr>
      <w:spacing w:after="0"/>
      <w:ind w:left="1066"/>
      <w:jc w:val="center"/>
    </w:pPr>
    <w:r>
      <w:rPr>
        <w:rFonts w:ascii="Malgan Gothic" w:eastAsia="Malgan Gothic" w:hAnsi="Malgan Gothic" w:cs="Malgan Gothic"/>
        <w:sz w:val="12"/>
      </w:rPr>
      <w:t xml:space="preserve">DIRECCIÖN </w:t>
    </w:r>
  </w:p>
  <w:p w14:paraId="0C1FE7A2" w14:textId="77777777" w:rsidR="00053D93" w:rsidRDefault="00260B75">
    <w:pPr>
      <w:tabs>
        <w:tab w:val="center" w:pos="1094"/>
        <w:tab w:val="center" w:pos="4226"/>
        <w:tab w:val="right" w:pos="8474"/>
      </w:tabs>
      <w:spacing w:after="61"/>
      <w:ind w:right="-29"/>
    </w:pPr>
    <w:r>
      <w:tab/>
    </w:r>
    <w:r>
      <w:rPr>
        <w:rFonts w:ascii="Malgan Gothic" w:eastAsia="Malgan Gothic" w:hAnsi="Malgan Gothic" w:cs="Malgan Gothic"/>
        <w:sz w:val="12"/>
      </w:rPr>
      <w:t xml:space="preserve">CONTRALORIA </w:t>
    </w:r>
    <w:r>
      <w:rPr>
        <w:rFonts w:ascii="Malgan Gothic" w:eastAsia="Malgan Gothic" w:hAnsi="Malgan Gothic" w:cs="Malgan Gothic"/>
        <w:sz w:val="10"/>
      </w:rPr>
      <w:t>GENERAL DE CUENTAS</w:t>
    </w:r>
    <w:r>
      <w:rPr>
        <w:rFonts w:ascii="Malgan Gothic" w:eastAsia="Malgan Gothic" w:hAnsi="Malgan Gothic" w:cs="Malgan Gothic"/>
        <w:sz w:val="10"/>
      </w:rPr>
      <w:tab/>
    </w:r>
    <w:r>
      <w:fldChar w:fldCharType="begin"/>
    </w:r>
    <w:r>
      <w:instrText xml:space="preserve"> PAGE   \* MERGEFORMAT </w:instrText>
    </w:r>
    <w:r>
      <w:fldChar w:fldCharType="separate"/>
    </w:r>
    <w:r>
      <w:rPr>
        <w:rFonts w:ascii="Malgan Gothic" w:eastAsia="Malgan Gothic" w:hAnsi="Malgan Gothic" w:cs="Malgan Gothic"/>
        <w:sz w:val="8"/>
      </w:rPr>
      <w:t>327</w:t>
    </w:r>
    <w:r>
      <w:rPr>
        <w:rFonts w:ascii="Malgan Gothic" w:eastAsia="Malgan Gothic" w:hAnsi="Malgan Gothic" w:cs="Malgan Gothic"/>
        <w:sz w:val="8"/>
      </w:rPr>
      <w:fldChar w:fldCharType="end"/>
    </w:r>
    <w:r>
      <w:rPr>
        <w:rFonts w:ascii="Malgan Gothic" w:eastAsia="Malgan Gothic" w:hAnsi="Malgan Gothic" w:cs="Malgan Gothic"/>
        <w:sz w:val="8"/>
      </w:rPr>
      <w:tab/>
    </w:r>
    <w:r>
      <w:rPr>
        <w:rFonts w:ascii="Malgan Gothic" w:eastAsia="Malgan Gothic" w:hAnsi="Malgan Gothic" w:cs="Malgan Gothic"/>
        <w:sz w:val="12"/>
      </w:rPr>
      <w:t xml:space="preserve">DE AUDITORIA </w:t>
    </w:r>
    <w:r>
      <w:rPr>
        <w:rFonts w:ascii="Malgan Gothic" w:eastAsia="Malgan Gothic" w:hAnsi="Malgan Gothic" w:cs="Malgan Gothic"/>
        <w:sz w:val="10"/>
      </w:rPr>
      <w:t xml:space="preserve">AL </w:t>
    </w:r>
    <w:r>
      <w:rPr>
        <w:rFonts w:ascii="Malgan Gothic" w:eastAsia="Malgan Gothic" w:hAnsi="Malgan Gothic" w:cs="Malgan Gothic"/>
        <w:sz w:val="12"/>
      </w:rPr>
      <w:t xml:space="preserve">SECTOR EDUCACIÖN. </w:t>
    </w:r>
    <w:r>
      <w:rPr>
        <w:rFonts w:ascii="Malgan Gothic" w:eastAsia="Malgan Gothic" w:hAnsi="Malgan Gothic" w:cs="Malgan Gothic"/>
        <w:sz w:val="10"/>
      </w:rPr>
      <w:t>CIENCtA. CULTURA</w:t>
    </w:r>
  </w:p>
  <w:p w14:paraId="3F05EF25" w14:textId="77777777" w:rsidR="00053D93" w:rsidRDefault="00260B75">
    <w:pPr>
      <w:spacing w:after="0"/>
      <w:ind w:right="-29"/>
      <w:jc w:val="right"/>
    </w:pPr>
    <w:r>
      <w:rPr>
        <w:rFonts w:ascii="Malgan Gothic" w:eastAsia="Malgan Gothic" w:hAnsi="Malgan Gothic" w:cs="Malgan Gothic"/>
        <w:sz w:val="10"/>
      </w:rPr>
      <w:t>Y DEPORTES</w:t>
    </w:r>
  </w:p>
</w:hdr>
</file>

<file path=word/header3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D01AF" w14:textId="77777777" w:rsidR="00053D93" w:rsidRDefault="00260B75">
    <w:pPr>
      <w:spacing w:after="0"/>
      <w:ind w:left="1066"/>
      <w:jc w:val="center"/>
    </w:pPr>
    <w:r>
      <w:rPr>
        <w:rFonts w:ascii="Malgan Gothic" w:eastAsia="Malgan Gothic" w:hAnsi="Malgan Gothic" w:cs="Malgan Gothic"/>
        <w:sz w:val="12"/>
      </w:rPr>
      <w:t xml:space="preserve">DIRECCIÖN </w:t>
    </w:r>
  </w:p>
  <w:p w14:paraId="5E366639" w14:textId="77777777" w:rsidR="00053D93" w:rsidRDefault="00260B75">
    <w:pPr>
      <w:tabs>
        <w:tab w:val="center" w:pos="1094"/>
        <w:tab w:val="center" w:pos="4226"/>
        <w:tab w:val="right" w:pos="8474"/>
      </w:tabs>
      <w:spacing w:after="61"/>
      <w:ind w:right="-29"/>
    </w:pPr>
    <w:r>
      <w:tab/>
    </w:r>
    <w:r>
      <w:rPr>
        <w:rFonts w:ascii="Malgan Gothic" w:eastAsia="Malgan Gothic" w:hAnsi="Malgan Gothic" w:cs="Malgan Gothic"/>
        <w:sz w:val="12"/>
      </w:rPr>
      <w:t xml:space="preserve">CONTRALORIA </w:t>
    </w:r>
    <w:r>
      <w:rPr>
        <w:rFonts w:ascii="Malgan Gothic" w:eastAsia="Malgan Gothic" w:hAnsi="Malgan Gothic" w:cs="Malgan Gothic"/>
        <w:sz w:val="10"/>
      </w:rPr>
      <w:t>GENERAL DE CUENTAS</w:t>
    </w:r>
    <w:r>
      <w:rPr>
        <w:rFonts w:ascii="Malgan Gothic" w:eastAsia="Malgan Gothic" w:hAnsi="Malgan Gothic" w:cs="Malgan Gothic"/>
        <w:sz w:val="10"/>
      </w:rPr>
      <w:tab/>
    </w:r>
    <w:r>
      <w:fldChar w:fldCharType="begin"/>
    </w:r>
    <w:r>
      <w:instrText xml:space="preserve"> PAGE   \* MERGEFORMAT </w:instrText>
    </w:r>
    <w:r>
      <w:fldChar w:fldCharType="separate"/>
    </w:r>
    <w:r>
      <w:rPr>
        <w:rFonts w:ascii="Malgan Gothic" w:eastAsia="Malgan Gothic" w:hAnsi="Malgan Gothic" w:cs="Malgan Gothic"/>
        <w:sz w:val="8"/>
      </w:rPr>
      <w:t>327</w:t>
    </w:r>
    <w:r>
      <w:rPr>
        <w:rFonts w:ascii="Malgan Gothic" w:eastAsia="Malgan Gothic" w:hAnsi="Malgan Gothic" w:cs="Malgan Gothic"/>
        <w:sz w:val="8"/>
      </w:rPr>
      <w:fldChar w:fldCharType="end"/>
    </w:r>
    <w:r>
      <w:rPr>
        <w:rFonts w:ascii="Malgan Gothic" w:eastAsia="Malgan Gothic" w:hAnsi="Malgan Gothic" w:cs="Malgan Gothic"/>
        <w:sz w:val="8"/>
      </w:rPr>
      <w:tab/>
    </w:r>
    <w:r>
      <w:rPr>
        <w:rFonts w:ascii="Malgan Gothic" w:eastAsia="Malgan Gothic" w:hAnsi="Malgan Gothic" w:cs="Malgan Gothic"/>
        <w:sz w:val="12"/>
      </w:rPr>
      <w:t xml:space="preserve">DE AUDITORIA </w:t>
    </w:r>
    <w:r>
      <w:rPr>
        <w:rFonts w:ascii="Malgan Gothic" w:eastAsia="Malgan Gothic" w:hAnsi="Malgan Gothic" w:cs="Malgan Gothic"/>
        <w:sz w:val="10"/>
      </w:rPr>
      <w:t xml:space="preserve">AL </w:t>
    </w:r>
    <w:r>
      <w:rPr>
        <w:rFonts w:ascii="Malgan Gothic" w:eastAsia="Malgan Gothic" w:hAnsi="Malgan Gothic" w:cs="Malgan Gothic"/>
        <w:sz w:val="12"/>
      </w:rPr>
      <w:t xml:space="preserve">SECTOR EDUCACIÖN. </w:t>
    </w:r>
    <w:r>
      <w:rPr>
        <w:rFonts w:ascii="Malgan Gothic" w:eastAsia="Malgan Gothic" w:hAnsi="Malgan Gothic" w:cs="Malgan Gothic"/>
        <w:sz w:val="10"/>
      </w:rPr>
      <w:t>CIENCtA. CULTURA</w:t>
    </w:r>
  </w:p>
  <w:p w14:paraId="67FC75C4" w14:textId="77777777" w:rsidR="00053D93" w:rsidRDefault="00260B75">
    <w:pPr>
      <w:spacing w:after="0"/>
      <w:ind w:right="-29"/>
      <w:jc w:val="right"/>
    </w:pPr>
    <w:r>
      <w:rPr>
        <w:rFonts w:ascii="Malgan Gothic" w:eastAsia="Malgan Gothic" w:hAnsi="Malgan Gothic" w:cs="Malgan Gothic"/>
        <w:sz w:val="10"/>
      </w:rPr>
      <w:t>Y DEPORTES</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FD3EC" w14:textId="77777777" w:rsidR="00053D93" w:rsidRDefault="00260B75">
    <w:pPr>
      <w:spacing w:after="0"/>
      <w:ind w:left="-14" w:right="-7"/>
      <w:jc w:val="both"/>
    </w:pPr>
    <w:r>
      <w:rPr>
        <w:noProof/>
      </w:rPr>
      <mc:AlternateContent>
        <mc:Choice Requires="wpg">
          <w:drawing>
            <wp:anchor distT="0" distB="0" distL="114300" distR="114300" simplePos="0" relativeHeight="251661312" behindDoc="0" locked="0" layoutInCell="1" allowOverlap="1" wp14:anchorId="4B44B122" wp14:editId="254C4B2E">
              <wp:simplePos x="0" y="0"/>
              <wp:positionH relativeFrom="page">
                <wp:posOffset>233172</wp:posOffset>
              </wp:positionH>
              <wp:positionV relativeFrom="page">
                <wp:posOffset>260604</wp:posOffset>
              </wp:positionV>
              <wp:extent cx="118872" cy="411480"/>
              <wp:effectExtent l="0" t="0" r="0" b="0"/>
              <wp:wrapSquare wrapText="bothSides"/>
              <wp:docPr id="2446453" name="Group 2446453"/>
              <wp:cNvGraphicFramePr/>
              <a:graphic xmlns:a="http://schemas.openxmlformats.org/drawingml/2006/main">
                <a:graphicData uri="http://schemas.microsoft.com/office/word/2010/wordprocessingGroup">
                  <wpg:wgp>
                    <wpg:cNvGrpSpPr/>
                    <wpg:grpSpPr>
                      <a:xfrm>
                        <a:off x="0" y="0"/>
                        <a:ext cx="118872" cy="411480"/>
                        <a:chOff x="0" y="0"/>
                        <a:chExt cx="118872" cy="411480"/>
                      </a:xfrm>
                    </wpg:grpSpPr>
                    <wps:wsp>
                      <wps:cNvPr id="2446454" name="Rectangle 2446454"/>
                      <wps:cNvSpPr/>
                      <wps:spPr>
                        <a:xfrm>
                          <a:off x="0" y="0"/>
                          <a:ext cx="158100" cy="547269"/>
                        </a:xfrm>
                        <a:prstGeom prst="rect">
                          <a:avLst/>
                        </a:prstGeom>
                        <a:ln>
                          <a:noFill/>
                        </a:ln>
                      </wps:spPr>
                      <wps:txbx>
                        <w:txbxContent>
                          <w:p w14:paraId="14E84EED" w14:textId="77777777" w:rsidR="00053D93" w:rsidRDefault="00260B75">
                            <w:r>
                              <w:rPr>
                                <w:sz w:val="246"/>
                              </w:rPr>
                              <w:t>i</w:t>
                            </w:r>
                          </w:p>
                        </w:txbxContent>
                      </wps:txbx>
                      <wps:bodyPr horzOverflow="overflow" vert="horz" lIns="0" tIns="0" rIns="0" bIns="0" rtlCol="0">
                        <a:noAutofit/>
                      </wps:bodyPr>
                    </wps:wsp>
                  </wpg:wgp>
                </a:graphicData>
              </a:graphic>
            </wp:anchor>
          </w:drawing>
        </mc:Choice>
        <mc:Fallback>
          <w:pict>
            <v:group w14:anchorId="4B44B122" id="Group 2446453" o:spid="_x0000_s1901" style="position:absolute;left:0;text-align:left;margin-left:18.35pt;margin-top:20.5pt;width:9.35pt;height:32.4pt;z-index:251661312;mso-position-horizontal-relative:page;mso-position-vertical-relative:page" coordsize="118872,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">
              <v:rect id="Rectangle 2446454" o:spid="_x0000_s1902" style="position:absolute;width:158100;height:54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" filled="f" stroked="f">
                <v:textbox inset="0,0,0,0">
                  <w:txbxContent>
                    <w:p w14:paraId="14E84EED" w14:textId="77777777" w:rsidR="00053D93" w:rsidRDefault="00260B75">
                      <w:r>
                        <w:rPr>
                          <w:sz w:val="246"/>
                        </w:rPr>
                        <w:t>i</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2521FBCC" w14:textId="77777777" w:rsidR="00053D93" w:rsidRDefault="00260B75">
    <w:pPr>
      <w:spacing w:after="0"/>
      <w:ind w:left="-14"/>
    </w:pPr>
    <w:r>
      <w:rPr>
        <w:sz w:val="14"/>
      </w:rPr>
      <w:t xml:space="preserve">CONTRALORÍA GENERAL </w:t>
    </w:r>
    <w:r>
      <w:rPr>
        <w:sz w:val="16"/>
      </w:rPr>
      <w:t xml:space="preserve">DE </w:t>
    </w:r>
    <w:r>
      <w:rPr>
        <w:sz w:val="14"/>
      </w:rPr>
      <w:t>CUENTAS</w:t>
    </w:r>
  </w:p>
  <w:p w14:paraId="23C58CA4" w14:textId="77777777" w:rsidR="00053D93" w:rsidRDefault="00260B75">
    <w:pPr>
      <w:spacing w:after="0"/>
      <w:ind w:left="-14" w:right="-7"/>
      <w:jc w:val="both"/>
    </w:pPr>
    <w:r>
      <w:rPr>
        <w:sz w:val="16"/>
      </w:rPr>
      <w:t>Y DEPORTES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0DCE2" w14:textId="77777777" w:rsidR="00053D93" w:rsidRDefault="00260B75">
    <w:pPr>
      <w:spacing w:after="0"/>
      <w:ind w:left="-22" w:right="-7"/>
      <w:jc w:val="both"/>
    </w:pPr>
    <w:r>
      <w:rPr>
        <w:noProof/>
      </w:rPr>
      <mc:AlternateContent>
        <mc:Choice Requires="wpg">
          <w:drawing>
            <wp:anchor distT="0" distB="0" distL="114300" distR="114300" simplePos="0" relativeHeight="251662336" behindDoc="0" locked="0" layoutInCell="1" allowOverlap="1" wp14:anchorId="7AECF7C7" wp14:editId="6FEA85DA">
              <wp:simplePos x="0" y="0"/>
              <wp:positionH relativeFrom="page">
                <wp:posOffset>228600</wp:posOffset>
              </wp:positionH>
              <wp:positionV relativeFrom="page">
                <wp:posOffset>274320</wp:posOffset>
              </wp:positionV>
              <wp:extent cx="141732" cy="388620"/>
              <wp:effectExtent l="0" t="0" r="0" b="0"/>
              <wp:wrapSquare wrapText="bothSides"/>
              <wp:docPr id="2446424" name="Group 2446424"/>
              <wp:cNvGraphicFramePr/>
              <a:graphic xmlns:a="http://schemas.openxmlformats.org/drawingml/2006/main">
                <a:graphicData uri="http://schemas.microsoft.com/office/word/2010/wordprocessingGroup">
                  <wpg:wgp>
                    <wpg:cNvGrpSpPr/>
                    <wpg:grpSpPr>
                      <a:xfrm>
                        <a:off x="0" y="0"/>
                        <a:ext cx="141732" cy="388620"/>
                        <a:chOff x="0" y="0"/>
                        <a:chExt cx="141732" cy="388620"/>
                      </a:xfrm>
                    </wpg:grpSpPr>
                    <wps:wsp>
                      <wps:cNvPr id="2446425" name="Rectangle 2446425"/>
                      <wps:cNvSpPr/>
                      <wps:spPr>
                        <a:xfrm>
                          <a:off x="0" y="0"/>
                          <a:ext cx="188504" cy="516864"/>
                        </a:xfrm>
                        <a:prstGeom prst="rect">
                          <a:avLst/>
                        </a:prstGeom>
                        <a:ln>
                          <a:noFill/>
                        </a:ln>
                      </wps:spPr>
                      <wps:txbx>
                        <w:txbxContent>
                          <w:p w14:paraId="40D7BD11" w14:textId="77777777" w:rsidR="00053D93" w:rsidRDefault="00260B75">
                            <w:r>
                              <w:rPr>
                                <w:sz w:val="294"/>
                              </w:rPr>
                              <w:t>i</w:t>
                            </w:r>
                          </w:p>
                        </w:txbxContent>
                      </wps:txbx>
                      <wps:bodyPr horzOverflow="overflow" vert="horz" lIns="0" tIns="0" rIns="0" bIns="0" rtlCol="0">
                        <a:noAutofit/>
                      </wps:bodyPr>
                    </wps:wsp>
                  </wpg:wgp>
                </a:graphicData>
              </a:graphic>
            </wp:anchor>
          </w:drawing>
        </mc:Choice>
        <mc:Fallback>
          <w:pict>
            <v:group w14:anchorId="7AECF7C7" id="Group 2446424" o:spid="_x0000_s1903" style="position:absolute;left:0;text-align:left;margin-left:18pt;margin-top:21.6pt;width:11.15pt;height:30.6pt;z-index:251662336;mso-position-horizontal-relative:page;mso-position-vertical-relative:page" coordsize="141732,38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">
              <v:rect id="Rectangle 2446425" o:spid="_x0000_s1904" style="position:absolute;width:188504;height:516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" filled="f" stroked="f">
                <v:textbox inset="0,0,0,0">
                  <w:txbxContent>
                    <w:p w14:paraId="40D7BD11" w14:textId="77777777" w:rsidR="00053D93" w:rsidRDefault="00260B75">
                      <w:r>
                        <w:rPr>
                          <w:sz w:val="294"/>
                        </w:rPr>
                        <w:t>i</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AUDITORÍA AL </w:t>
    </w:r>
    <w:r>
      <w:rPr>
        <w:sz w:val="16"/>
      </w:rPr>
      <w:t xml:space="preserve">SECTOR </w:t>
    </w:r>
    <w:r>
      <w:rPr>
        <w:sz w:val="14"/>
      </w:rPr>
      <w:t>EDUCACIÓN. CIENCIA. CULTURA</w:t>
    </w:r>
  </w:p>
  <w:p w14:paraId="35068AC4" w14:textId="77777777" w:rsidR="00053D93" w:rsidRDefault="00260B75">
    <w:pPr>
      <w:tabs>
        <w:tab w:val="center" w:pos="3542"/>
      </w:tabs>
      <w:spacing w:after="0"/>
      <w:ind w:left="-22"/>
    </w:pPr>
    <w:r>
      <w:rPr>
        <w:sz w:val="14"/>
      </w:rPr>
      <w:t xml:space="preserve">CONTRALOR(A GENERAL </w:t>
    </w:r>
    <w:r>
      <w:rPr>
        <w:sz w:val="14"/>
      </w:rPr>
      <w:tab/>
      <w:t>CUENTAS</w:t>
    </w:r>
  </w:p>
  <w:p w14:paraId="570651AD" w14:textId="77777777" w:rsidR="00053D93" w:rsidRDefault="00260B75">
    <w:pPr>
      <w:spacing w:after="750"/>
      <w:ind w:left="-22"/>
      <w:jc w:val="both"/>
    </w:pPr>
    <w:r>
      <w:rPr>
        <w:sz w:val="16"/>
      </w:rPr>
      <w:t>Y DEPORTES</w:t>
    </w:r>
  </w:p>
  <w:p w14:paraId="287836D6" w14:textId="77777777" w:rsidR="00053D93" w:rsidRDefault="00260B75">
    <w:pPr>
      <w:spacing w:after="0"/>
      <w:ind w:left="-22"/>
    </w:pPr>
    <w:r>
      <w:rPr>
        <w:sz w:val="294"/>
      </w:rPr>
      <w:t>i</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5A708" w14:textId="77777777" w:rsidR="00053D93" w:rsidRDefault="00260B75">
    <w:pPr>
      <w:spacing w:after="0"/>
      <w:ind w:right="-7"/>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D05C8D4" w14:textId="77777777" w:rsidR="00053D93" w:rsidRDefault="00260B75">
    <w:pPr>
      <w:tabs>
        <w:tab w:val="center" w:pos="2747"/>
        <w:tab w:val="center" w:pos="5882"/>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71F64EA5" w14:textId="77777777" w:rsidR="00053D93" w:rsidRDefault="00260B75">
    <w:pPr>
      <w:spacing w:after="0"/>
      <w:jc w:val="right"/>
    </w:pPr>
    <w:r>
      <w:rPr>
        <w:sz w:val="16"/>
      </w:rPr>
      <w:t>Y DEPORTES</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1E29B" w14:textId="77777777" w:rsidR="00053D93" w:rsidRDefault="00260B75">
    <w:pPr>
      <w:tabs>
        <w:tab w:val="right" w:pos="10116"/>
      </w:tabs>
      <w:spacing w:after="0"/>
      <w:ind w:right="-7"/>
    </w:pPr>
    <w:r>
      <w:rPr>
        <w:noProof/>
      </w:rPr>
      <mc:AlternateContent>
        <mc:Choice Requires="wpg">
          <w:drawing>
            <wp:anchor distT="0" distB="0" distL="114300" distR="114300" simplePos="0" relativeHeight="251663360" behindDoc="0" locked="0" layoutInCell="1" allowOverlap="1" wp14:anchorId="131DE014" wp14:editId="7C2A17AF">
              <wp:simplePos x="0" y="0"/>
              <wp:positionH relativeFrom="page">
                <wp:posOffset>219456</wp:posOffset>
              </wp:positionH>
              <wp:positionV relativeFrom="page">
                <wp:posOffset>288036</wp:posOffset>
              </wp:positionV>
              <wp:extent cx="123444" cy="393192"/>
              <wp:effectExtent l="0" t="0" r="0" b="0"/>
              <wp:wrapSquare wrapText="bothSides"/>
              <wp:docPr id="2446544" name="Group 2446544"/>
              <wp:cNvGraphicFramePr/>
              <a:graphic xmlns:a="http://schemas.openxmlformats.org/drawingml/2006/main">
                <a:graphicData uri="http://schemas.microsoft.com/office/word/2010/wordprocessingGroup">
                  <wpg:wgp>
                    <wpg:cNvGrpSpPr/>
                    <wpg:grpSpPr>
                      <a:xfrm>
                        <a:off x="0" y="0"/>
                        <a:ext cx="123444" cy="393192"/>
                        <a:chOff x="0" y="0"/>
                        <a:chExt cx="123444" cy="393192"/>
                      </a:xfrm>
                    </wpg:grpSpPr>
                    <wps:wsp>
                      <wps:cNvPr id="2446545" name="Rectangle 2446545"/>
                      <wps:cNvSpPr/>
                      <wps:spPr>
                        <a:xfrm>
                          <a:off x="0" y="0"/>
                          <a:ext cx="164181" cy="522946"/>
                        </a:xfrm>
                        <a:prstGeom prst="rect">
                          <a:avLst/>
                        </a:prstGeom>
                        <a:ln>
                          <a:noFill/>
                        </a:ln>
                      </wps:spPr>
                      <wps:txbx>
                        <w:txbxContent>
                          <w:p w14:paraId="6C65363C" w14:textId="77777777" w:rsidR="00053D93" w:rsidRDefault="00260B75">
                            <w:r>
                              <w:rPr>
                                <w:sz w:val="256"/>
                              </w:rPr>
                              <w:t>i</w:t>
                            </w:r>
                          </w:p>
                        </w:txbxContent>
                      </wps:txbx>
                      <wps:bodyPr horzOverflow="overflow" vert="horz" lIns="0" tIns="0" rIns="0" bIns="0" rtlCol="0">
                        <a:noAutofit/>
                      </wps:bodyPr>
                    </wps:wsp>
                  </wpg:wgp>
                </a:graphicData>
              </a:graphic>
            </wp:anchor>
          </w:drawing>
        </mc:Choice>
        <mc:Fallback>
          <w:pict>
            <v:group w14:anchorId="131DE014" id="Group 2446544" o:spid="_x0000_s1905" style="position:absolute;margin-left:17.3pt;margin-top:22.7pt;width:9.7pt;height:30.95pt;z-index:251663360;mso-position-horizontal-relative:page;mso-position-vertical-relative:page" coordsize="123444,39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">
              <v:rect id="Rectangle 2446545" o:spid="_x0000_s1906" style="position:absolute;width:164181;height:52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" filled="f" stroked="f">
                <v:textbox inset="0,0,0,0">
                  <w:txbxContent>
                    <w:p w14:paraId="6C65363C" w14:textId="77777777" w:rsidR="00053D93" w:rsidRDefault="00260B75">
                      <w:r>
                        <w:rPr>
                          <w:sz w:val="256"/>
                        </w:rPr>
                        <w:t>i</w:t>
                      </w:r>
                    </w:p>
                  </w:txbxContent>
                </v:textbox>
              </v:rect>
              <w10:wrap type="square" anchorx="page" anchory="page"/>
            </v:group>
          </w:pict>
        </mc:Fallback>
      </mc:AlternateContent>
    </w:r>
    <w:r>
      <w:rPr>
        <w:sz w:val="14"/>
      </w:rPr>
      <w:t xml:space="preserve">DIRECCIÓN </w:t>
    </w:r>
    <w:r>
      <w:rPr>
        <w:sz w:val="14"/>
      </w:rPr>
      <w:tab/>
      <w:t xml:space="preserve">AL </w:t>
    </w:r>
    <w:r>
      <w:rPr>
        <w:sz w:val="16"/>
      </w:rPr>
      <w:t xml:space="preserve">SECTOR </w:t>
    </w:r>
    <w:r>
      <w:rPr>
        <w:sz w:val="14"/>
      </w:rPr>
      <w:t>EDUCACIÔN. CIENCIA. CULTURA</w:t>
    </w:r>
  </w:p>
  <w:p w14:paraId="78DF0AB4" w14:textId="77777777" w:rsidR="00053D93" w:rsidRDefault="00260B75">
    <w:pPr>
      <w:spacing w:after="0"/>
    </w:pPr>
    <w:r>
      <w:rPr>
        <w:sz w:val="14"/>
      </w:rPr>
      <w:t xml:space="preserve">CONTRALORIA GENERAL </w:t>
    </w:r>
    <w:r>
      <w:rPr>
        <w:sz w:val="16"/>
      </w:rPr>
      <w:t xml:space="preserve">DE </w:t>
    </w:r>
    <w:r>
      <w:rPr>
        <w:sz w:val="14"/>
      </w:rPr>
      <w:t>CUENTAS</w:t>
    </w:r>
  </w:p>
  <w:p w14:paraId="1FAA96A6" w14:textId="77777777" w:rsidR="00053D93" w:rsidRDefault="00260B75">
    <w:pPr>
      <w:spacing w:after="0"/>
      <w:jc w:val="both"/>
    </w:pPr>
    <w:r>
      <w:rPr>
        <w:sz w:val="16"/>
      </w:rPr>
      <w:t>Y DEPORTES</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C72E0" w14:textId="77777777" w:rsidR="00053D93" w:rsidRDefault="00260B75">
    <w:pPr>
      <w:spacing w:after="0"/>
      <w:ind w:right="-7"/>
    </w:pPr>
    <w:r>
      <w:rPr>
        <w:noProof/>
      </w:rPr>
      <mc:AlternateContent>
        <mc:Choice Requires="wpg">
          <w:drawing>
            <wp:anchor distT="0" distB="0" distL="114300" distR="114300" simplePos="0" relativeHeight="251664384" behindDoc="0" locked="0" layoutInCell="1" allowOverlap="1" wp14:anchorId="75DB8C28" wp14:editId="029CD6D7">
              <wp:simplePos x="0" y="0"/>
              <wp:positionH relativeFrom="page">
                <wp:posOffset>219456</wp:posOffset>
              </wp:positionH>
              <wp:positionV relativeFrom="page">
                <wp:posOffset>301752</wp:posOffset>
              </wp:positionV>
              <wp:extent cx="114300" cy="379476"/>
              <wp:effectExtent l="0" t="0" r="0" b="0"/>
              <wp:wrapSquare wrapText="bothSides"/>
              <wp:docPr id="2446512" name="Group 2446512"/>
              <wp:cNvGraphicFramePr/>
              <a:graphic xmlns:a="http://schemas.openxmlformats.org/drawingml/2006/main">
                <a:graphicData uri="http://schemas.microsoft.com/office/word/2010/wordprocessingGroup">
                  <wpg:wgp>
                    <wpg:cNvGrpSpPr/>
                    <wpg:grpSpPr>
                      <a:xfrm>
                        <a:off x="0" y="0"/>
                        <a:ext cx="114300" cy="379476"/>
                        <a:chOff x="0" y="0"/>
                        <a:chExt cx="114300" cy="379476"/>
                      </a:xfrm>
                    </wpg:grpSpPr>
                    <wps:wsp>
                      <wps:cNvPr id="2446513" name="Rectangle 2446513"/>
                      <wps:cNvSpPr/>
                      <wps:spPr>
                        <a:xfrm>
                          <a:off x="0" y="0"/>
                          <a:ext cx="152019" cy="504703"/>
                        </a:xfrm>
                        <a:prstGeom prst="rect">
                          <a:avLst/>
                        </a:prstGeom>
                        <a:ln>
                          <a:noFill/>
                        </a:ln>
                      </wps:spPr>
                      <wps:txbx>
                        <w:txbxContent>
                          <w:p w14:paraId="50D4C332" w14:textId="77777777" w:rsidR="00053D93" w:rsidRDefault="00260B75">
                            <w:r>
                              <w:rPr>
                                <w:rFonts w:ascii="Times New Roman" w:eastAsia="Times New Roman" w:hAnsi="Times New Roman" w:cs="Times New Roman"/>
                                <w:sz w:val="80"/>
                              </w:rPr>
                              <w:t>i</w:t>
                            </w:r>
                          </w:p>
                        </w:txbxContent>
                      </wps:txbx>
                      <wps:bodyPr horzOverflow="overflow" vert="horz" lIns="0" tIns="0" rIns="0" bIns="0" rtlCol="0">
                        <a:noAutofit/>
                      </wps:bodyPr>
                    </wps:wsp>
                  </wpg:wgp>
                </a:graphicData>
              </a:graphic>
            </wp:anchor>
          </w:drawing>
        </mc:Choice>
        <mc:Fallback>
          <w:pict>
            <v:group w14:anchorId="75DB8C28" id="Group 2446512" o:spid="_x0000_s1907" style="position:absolute;margin-left:17.3pt;margin-top:23.75pt;width:9pt;height:29.9pt;z-index:251664384;mso-position-horizontal-relative:page;mso-position-vertical-relative:page" coordsize="114300,3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">
              <v:rect id="Rectangle 2446513" o:spid="_x0000_s1908" style="position:absolute;width:152019;height:504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" filled="f" stroked="f">
                <v:textbox inset="0,0,0,0">
                  <w:txbxContent>
                    <w:p w14:paraId="50D4C332" w14:textId="77777777" w:rsidR="00053D93" w:rsidRDefault="00260B75">
                      <w:r>
                        <w:rPr>
                          <w:rFonts w:ascii="Times New Roman" w:eastAsia="Times New Roman" w:hAnsi="Times New Roman" w:cs="Times New Roman"/>
                          <w:sz w:val="80"/>
                        </w:rPr>
                        <w:t>i</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DFFE3F9" w14:textId="77777777" w:rsidR="00053D93" w:rsidRDefault="00260B75">
    <w:pPr>
      <w:tabs>
        <w:tab w:val="center" w:pos="5879"/>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26</w:t>
    </w:r>
    <w:r>
      <w:rPr>
        <w:rFonts w:ascii="Times New Roman" w:eastAsia="Times New Roman" w:hAnsi="Times New Roman" w:cs="Times New Roman"/>
        <w:sz w:val="14"/>
      </w:rPr>
      <w:fldChar w:fldCharType="end"/>
    </w:r>
  </w:p>
  <w:p w14:paraId="3CD9B72D" w14:textId="77777777" w:rsidR="00053D93" w:rsidRDefault="00260B75">
    <w:pPr>
      <w:spacing w:after="0"/>
    </w:pPr>
    <w:r>
      <w:rPr>
        <w:sz w:val="16"/>
      </w:rPr>
      <w:t>Y DEPORTES</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C397D" w14:textId="77777777" w:rsidR="00053D93" w:rsidRDefault="00260B75">
    <w:pPr>
      <w:spacing w:after="0"/>
      <w:ind w:right="36"/>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0796690C" w14:textId="77777777" w:rsidR="00053D93" w:rsidRDefault="00260B75">
    <w:pPr>
      <w:tabs>
        <w:tab w:val="center" w:pos="2776"/>
        <w:tab w:val="center" w:pos="5911"/>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048B5C5" w14:textId="77777777" w:rsidR="00053D93" w:rsidRDefault="00260B75">
    <w:pPr>
      <w:spacing w:after="0"/>
      <w:ind w:right="43"/>
      <w:jc w:val="right"/>
    </w:pPr>
    <w:r>
      <w:rPr>
        <w:sz w:val="16"/>
      </w:rPr>
      <w:t>Y DEPORTES</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3722F" w14:textId="77777777" w:rsidR="00053D93" w:rsidRDefault="00260B75">
    <w:pPr>
      <w:spacing w:after="0"/>
      <w:ind w:right="36"/>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562071AE" w14:textId="77777777" w:rsidR="00053D93" w:rsidRDefault="00260B75">
    <w:pPr>
      <w:tabs>
        <w:tab w:val="center" w:pos="2776"/>
        <w:tab w:val="center" w:pos="5911"/>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5B5FCAC" w14:textId="77777777" w:rsidR="00053D93" w:rsidRDefault="00260B75">
    <w:pPr>
      <w:spacing w:after="0"/>
      <w:ind w:right="43"/>
      <w:jc w:val="right"/>
    </w:pPr>
    <w:r>
      <w:rPr>
        <w:sz w:val="16"/>
      </w:rPr>
      <w:t>Y DEPORTES</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A48EB" w14:textId="77777777" w:rsidR="00053D93" w:rsidRDefault="00260B75">
    <w:pPr>
      <w:spacing w:after="0"/>
      <w:ind w:right="36"/>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8AC57C8" w14:textId="77777777" w:rsidR="00053D93" w:rsidRDefault="00260B75">
    <w:pPr>
      <w:tabs>
        <w:tab w:val="center" w:pos="2776"/>
        <w:tab w:val="center" w:pos="5911"/>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16B06987" w14:textId="77777777" w:rsidR="00053D93" w:rsidRDefault="00260B75">
    <w:pPr>
      <w:spacing w:after="0"/>
      <w:ind w:right="43"/>
      <w:jc w:val="right"/>
    </w:pPr>
    <w:r>
      <w:rPr>
        <w:sz w:val="16"/>
      </w:rPr>
      <w:t>Y DEPORTES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C44C9" w14:textId="77777777" w:rsidR="00053D93" w:rsidRDefault="00260B75">
    <w:pPr>
      <w:spacing w:after="0" w:line="216" w:lineRule="auto"/>
      <w:ind w:left="7776" w:right="-1109" w:firstLine="245"/>
    </w:pPr>
    <w:r>
      <w:rPr>
        <w:rFonts w:ascii="Times New Roman" w:eastAsia="Times New Roman" w:hAnsi="Times New Roman" w:cs="Times New Roman"/>
        <w:sz w:val="38"/>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r>
      <w:rPr>
        <w:rFonts w:ascii="Times New Roman" w:eastAsia="Times New Roman" w:hAnsi="Times New Roman" w:cs="Times New Roman"/>
        <w:sz w:val="40"/>
      </w:rPr>
      <w:t>Confianza</w:t>
    </w:r>
  </w:p>
  <w:p w14:paraId="35D7B95F" w14:textId="77777777" w:rsidR="00053D93" w:rsidRDefault="00260B75">
    <w:pPr>
      <w:spacing w:after="0"/>
      <w:ind w:left="828"/>
    </w:pPr>
    <w:r>
      <w:rPr>
        <w:rFonts w:ascii="Times New Roman" w:eastAsia="Times New Roman" w:hAnsi="Times New Roman" w:cs="Times New Roman"/>
        <w:sz w:val="20"/>
      </w:rPr>
      <w:t xml:space="preserve">Contraloría General </w:t>
    </w:r>
    <w:r>
      <w:rPr>
        <w:rFonts w:ascii="Times New Roman" w:eastAsia="Times New Roman" w:hAnsi="Times New Roman" w:cs="Times New Roman"/>
      </w:rPr>
      <w:t xml:space="preserve">de </w:t>
    </w:r>
    <w:r>
      <w:rPr>
        <w:rFonts w:ascii="Times New Roman" w:eastAsia="Times New Roman" w:hAnsi="Times New Roman" w:cs="Times New Roman"/>
        <w:sz w:val="20"/>
      </w:rPr>
      <w:t>Cuentas</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F35D4" w14:textId="77777777" w:rsidR="00053D93" w:rsidRDefault="00260B75">
    <w:pPr>
      <w:spacing w:after="0"/>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1D40BD8A" w14:textId="77777777" w:rsidR="00053D93" w:rsidRDefault="00260B75">
    <w:pPr>
      <w:tabs>
        <w:tab w:val="center" w:pos="2754"/>
        <w:tab w:val="center" w:pos="589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57B42176" w14:textId="77777777" w:rsidR="00053D93" w:rsidRDefault="00260B75">
    <w:pPr>
      <w:spacing w:after="0"/>
      <w:ind w:right="7"/>
      <w:jc w:val="right"/>
    </w:pPr>
    <w:r>
      <w:rPr>
        <w:sz w:val="16"/>
      </w:rPr>
      <w:t>Y DEPORTES</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E3602" w14:textId="77777777" w:rsidR="00053D93" w:rsidRDefault="00260B75">
    <w:pPr>
      <w:spacing w:after="0"/>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317ADE7E" w14:textId="77777777" w:rsidR="00053D93" w:rsidRDefault="00260B75">
    <w:pPr>
      <w:tabs>
        <w:tab w:val="center" w:pos="2754"/>
        <w:tab w:val="center" w:pos="589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51B653AD" w14:textId="77777777" w:rsidR="00053D93" w:rsidRDefault="00260B75">
    <w:pPr>
      <w:spacing w:after="0"/>
      <w:ind w:right="7"/>
      <w:jc w:val="right"/>
    </w:pPr>
    <w:r>
      <w:rPr>
        <w:sz w:val="16"/>
      </w:rPr>
      <w:t>Y DEPORTES</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F83D9" w14:textId="77777777" w:rsidR="00053D93" w:rsidRDefault="00260B75">
    <w:pPr>
      <w:spacing w:after="0"/>
      <w:ind w:right="-14"/>
      <w:jc w:val="right"/>
    </w:pPr>
    <w:r>
      <w:rPr>
        <w:sz w:val="14"/>
      </w:rPr>
      <w:t xml:space="preserve">DIRECCIÓN </w:t>
    </w:r>
    <w:r>
      <w:rPr>
        <w:sz w:val="16"/>
      </w:rPr>
      <w:t xml:space="preserve">DE </w:t>
    </w:r>
    <w:r>
      <w:rPr>
        <w:sz w:val="14"/>
      </w:rPr>
      <w:t xml:space="preserve">AUDITORIA </w:t>
    </w:r>
    <w:r>
      <w:rPr>
        <w:sz w:val="16"/>
      </w:rPr>
      <w:t xml:space="preserve">SECTOR </w:t>
    </w:r>
    <w:r>
      <w:rPr>
        <w:sz w:val="14"/>
      </w:rPr>
      <w:t>EDUCACIÓN. CIENCIA. CULTURA</w:t>
    </w:r>
  </w:p>
  <w:p w14:paraId="4021FE96" w14:textId="77777777" w:rsidR="00053D93" w:rsidRDefault="00260B75">
    <w:pPr>
      <w:tabs>
        <w:tab w:val="center" w:pos="2376"/>
        <w:tab w:val="center" w:pos="3571"/>
      </w:tabs>
      <w:spacing w:after="0"/>
    </w:pPr>
    <w:r>
      <w:tab/>
    </w:r>
    <w:r>
      <w:rPr>
        <w:sz w:val="14"/>
      </w:rPr>
      <w:t xml:space="preserve">CONTRALORIA GENERAL </w:t>
    </w:r>
    <w:r>
      <w:rPr>
        <w:sz w:val="14"/>
      </w:rPr>
      <w:tab/>
      <w:t>CUENTAS</w:t>
    </w:r>
  </w:p>
  <w:p w14:paraId="7330A9C3" w14:textId="77777777" w:rsidR="00053D93" w:rsidRDefault="00260B75">
    <w:pPr>
      <w:spacing w:after="0"/>
      <w:ind w:right="-14"/>
      <w:jc w:val="right"/>
    </w:pPr>
    <w:r>
      <w:rPr>
        <w:sz w:val="16"/>
      </w:rPr>
      <w:t>Y DEPORTES</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7CF1A" w14:textId="77777777" w:rsidR="00053D93" w:rsidRDefault="00260B75">
    <w:pPr>
      <w:spacing w:after="0"/>
      <w:ind w:right="7"/>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6FC1186C" w14:textId="77777777" w:rsidR="00053D93" w:rsidRDefault="00260B75">
    <w:pPr>
      <w:tabs>
        <w:tab w:val="center" w:pos="4219"/>
      </w:tabs>
      <w:spacing w:after="0"/>
    </w:pP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5DD2CA5D" w14:textId="77777777" w:rsidR="00053D93" w:rsidRDefault="00260B75">
    <w:pPr>
      <w:spacing w:after="0"/>
      <w:ind w:right="14"/>
      <w:jc w:val="right"/>
    </w:pPr>
    <w:r>
      <w:rPr>
        <w:sz w:val="16"/>
      </w:rPr>
      <w:t>Y DEPORTES</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4561A" w14:textId="77777777" w:rsidR="00053D93" w:rsidRDefault="00260B75">
    <w:pPr>
      <w:spacing w:after="0"/>
      <w:ind w:right="7"/>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60081C27" w14:textId="77777777" w:rsidR="00053D93" w:rsidRDefault="00260B75">
    <w:pPr>
      <w:tabs>
        <w:tab w:val="center" w:pos="4219"/>
      </w:tabs>
      <w:spacing w:after="0"/>
    </w:pP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322CF5FC" w14:textId="77777777" w:rsidR="00053D93" w:rsidRDefault="00260B75">
    <w:pPr>
      <w:spacing w:after="0"/>
      <w:ind w:right="14"/>
      <w:jc w:val="right"/>
    </w:pPr>
    <w:r>
      <w:rPr>
        <w:sz w:val="16"/>
      </w:rPr>
      <w:t>Y DEPORTES</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1844E" w14:textId="77777777" w:rsidR="00053D93" w:rsidRDefault="00260B75">
    <w:pPr>
      <w:spacing w:after="0"/>
      <w:jc w:val="right"/>
    </w:pP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6B3D5736" w14:textId="77777777" w:rsidR="00053D93" w:rsidRDefault="00260B75">
    <w:pPr>
      <w:tabs>
        <w:tab w:val="center" w:pos="1897"/>
      </w:tabs>
      <w:spacing w:after="0"/>
      <w:ind w:left="-7"/>
    </w:pPr>
    <w:r>
      <w:rPr>
        <w:sz w:val="14"/>
      </w:rPr>
      <w:t xml:space="preserve">CONTRALORIA GENERAL </w:t>
    </w:r>
    <w:r>
      <w:rPr>
        <w:sz w:val="14"/>
      </w:rPr>
      <w:tab/>
      <w:t>CUENTAS</w:t>
    </w:r>
  </w:p>
  <w:p w14:paraId="2B479945" w14:textId="77777777" w:rsidR="00053D93" w:rsidRDefault="00260B75">
    <w:pPr>
      <w:spacing w:after="0"/>
      <w:jc w:val="right"/>
    </w:pPr>
    <w:r>
      <w:rPr>
        <w:sz w:val="16"/>
      </w:rPr>
      <w:t>Y DEPORTES</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F4976"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6C621CD7" w14:textId="77777777" w:rsidR="00053D93" w:rsidRDefault="00260B75">
    <w:pPr>
      <w:tabs>
        <w:tab w:val="center" w:pos="2812"/>
        <w:tab w:val="center" w:pos="5947"/>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0AF95061" w14:textId="77777777" w:rsidR="00053D93" w:rsidRDefault="00260B75">
    <w:pPr>
      <w:spacing w:after="0"/>
      <w:ind w:right="22"/>
      <w:jc w:val="right"/>
    </w:pPr>
    <w:r>
      <w:rPr>
        <w:sz w:val="16"/>
      </w:rPr>
      <w:t>Y DEPORTES</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C7ADB" w14:textId="77777777" w:rsidR="00053D93" w:rsidRDefault="00260B75">
    <w:pPr>
      <w:spacing w:after="0"/>
      <w:ind w:right="14"/>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581FD19" w14:textId="77777777" w:rsidR="00053D93" w:rsidRDefault="00260B75">
    <w:pPr>
      <w:tabs>
        <w:tab w:val="center" w:pos="2812"/>
        <w:tab w:val="center" w:pos="5947"/>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6D7843F" w14:textId="77777777" w:rsidR="00053D93" w:rsidRDefault="00260B75">
    <w:pPr>
      <w:spacing w:after="0"/>
      <w:ind w:right="22"/>
      <w:jc w:val="right"/>
    </w:pPr>
    <w:r>
      <w:rPr>
        <w:sz w:val="16"/>
      </w:rPr>
      <w:t>Y DEPORTES</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DC896" w14:textId="77777777" w:rsidR="00053D93" w:rsidRDefault="00260B75">
    <w:pPr>
      <w:tabs>
        <w:tab w:val="center" w:pos="6566"/>
        <w:tab w:val="right" w:pos="10202"/>
      </w:tabs>
      <w:spacing w:after="0"/>
    </w:pPr>
    <w:r>
      <w:tab/>
    </w:r>
    <w:r>
      <w:rPr>
        <w:sz w:val="14"/>
      </w:rPr>
      <w:t xml:space="preserve">DIRECCIÓN </w:t>
    </w:r>
    <w:r>
      <w:rPr>
        <w:sz w:val="16"/>
      </w:rPr>
      <w:t xml:space="preserve">DE </w:t>
    </w:r>
    <w:r>
      <w:rPr>
        <w:sz w:val="16"/>
      </w:rPr>
      <w:tab/>
      <w:t xml:space="preserve">AL SECTOR </w:t>
    </w:r>
    <w:r>
      <w:rPr>
        <w:sz w:val="14"/>
      </w:rPr>
      <w:t>EDUCACIÓN, CIENCIA. CULTURA</w:t>
    </w:r>
  </w:p>
  <w:p w14:paraId="6554D687" w14:textId="77777777" w:rsidR="00053D93" w:rsidRDefault="00260B75">
    <w:pPr>
      <w:tabs>
        <w:tab w:val="center" w:pos="2819"/>
        <w:tab w:val="center" w:pos="5947"/>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41</w:t>
    </w:r>
    <w:r>
      <w:rPr>
        <w:rFonts w:ascii="Times New Roman" w:eastAsia="Times New Roman" w:hAnsi="Times New Roman" w:cs="Times New Roman"/>
        <w:sz w:val="14"/>
      </w:rPr>
      <w:fldChar w:fldCharType="end"/>
    </w:r>
  </w:p>
  <w:p w14:paraId="02B6EBCD" w14:textId="77777777" w:rsidR="00053D93" w:rsidRDefault="00260B75">
    <w:pPr>
      <w:spacing w:after="0"/>
      <w:ind w:right="7"/>
      <w:jc w:val="right"/>
    </w:pPr>
    <w:r>
      <w:rPr>
        <w:sz w:val="16"/>
      </w:rPr>
      <w:t>Y DEPORTES</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371AB" w14:textId="77777777" w:rsidR="00053D93" w:rsidRDefault="00260B75">
    <w:pPr>
      <w:spacing w:after="0"/>
      <w:ind w:left="2074"/>
      <w:jc w:val="center"/>
    </w:pPr>
    <w:r>
      <w:rPr>
        <w:sz w:val="14"/>
      </w:rPr>
      <w:t xml:space="preserve">DIRECCIÓN </w:t>
    </w:r>
    <w:r>
      <w:rPr>
        <w:sz w:val="16"/>
      </w:rPr>
      <w:t xml:space="preserve">DE </w:t>
    </w:r>
    <w:r>
      <w:rPr>
        <w:sz w:val="14"/>
      </w:rPr>
      <w:t xml:space="preserve">AUDITORÍA AL </w:t>
    </w:r>
  </w:p>
  <w:p w14:paraId="1F0C7F52" w14:textId="77777777" w:rsidR="00053D93" w:rsidRDefault="00260B75">
    <w:pPr>
      <w:tabs>
        <w:tab w:val="right" w:pos="8503"/>
      </w:tabs>
      <w:spacing w:after="0"/>
    </w:pP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3D7D2A3B" w14:textId="77777777" w:rsidR="00053D93" w:rsidRDefault="00260B75">
    <w:pPr>
      <w:spacing w:after="0"/>
      <w:ind w:right="7"/>
      <w:jc w:val="right"/>
    </w:pPr>
    <w:r>
      <w:rPr>
        <w:sz w:val="16"/>
      </w:rPr>
      <w:t>Y DEPORTES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CC55A" w14:textId="77777777" w:rsidR="00053D93" w:rsidRDefault="00053D93"/>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619B9" w14:textId="77777777" w:rsidR="00053D93" w:rsidRDefault="00260B75">
    <w:pPr>
      <w:spacing w:after="0"/>
      <w:ind w:right="7"/>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4985A7E5" w14:textId="77777777" w:rsidR="00053D93" w:rsidRDefault="00260B75">
    <w:pPr>
      <w:tabs>
        <w:tab w:val="center" w:pos="4255"/>
      </w:tabs>
      <w:spacing w:after="0"/>
    </w:pP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2786E64B" w14:textId="77777777" w:rsidR="00053D93" w:rsidRDefault="00260B75">
    <w:pPr>
      <w:spacing w:after="0"/>
      <w:ind w:right="14"/>
      <w:jc w:val="right"/>
    </w:pPr>
    <w:r>
      <w:rPr>
        <w:sz w:val="16"/>
      </w:rPr>
      <w:t>Y DEPORTES</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BF0F4" w14:textId="77777777" w:rsidR="00053D93" w:rsidRDefault="00260B75">
    <w:pPr>
      <w:spacing w:after="0"/>
      <w:ind w:left="2074"/>
      <w:jc w:val="center"/>
    </w:pPr>
    <w:r>
      <w:rPr>
        <w:sz w:val="14"/>
      </w:rPr>
      <w:t xml:space="preserve">DIRECCIÓN </w:t>
    </w:r>
    <w:r>
      <w:rPr>
        <w:sz w:val="16"/>
      </w:rPr>
      <w:t xml:space="preserve">DE </w:t>
    </w:r>
    <w:r>
      <w:rPr>
        <w:sz w:val="14"/>
      </w:rPr>
      <w:t xml:space="preserve">AUDITORÍA AL </w:t>
    </w:r>
  </w:p>
  <w:p w14:paraId="2D97771D" w14:textId="77777777" w:rsidR="00053D93" w:rsidRDefault="00260B75">
    <w:pPr>
      <w:tabs>
        <w:tab w:val="right" w:pos="8503"/>
      </w:tabs>
      <w:spacing w:after="0"/>
    </w:pP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6C16F67" w14:textId="77777777" w:rsidR="00053D93" w:rsidRDefault="00260B75">
    <w:pPr>
      <w:spacing w:after="0"/>
      <w:ind w:right="7"/>
      <w:jc w:val="right"/>
    </w:pPr>
    <w:r>
      <w:rPr>
        <w:sz w:val="16"/>
      </w:rPr>
      <w:t>Y DEPORTES</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B1F4A" w14:textId="77777777" w:rsidR="00053D93" w:rsidRDefault="00053D93"/>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A16F0" w14:textId="77777777" w:rsidR="00053D93" w:rsidRDefault="00053D93"/>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3CDA5" w14:textId="77777777" w:rsidR="00053D93" w:rsidRDefault="00053D93"/>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6F912" w14:textId="77777777" w:rsidR="00053D93" w:rsidRDefault="00053D93"/>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0875C" w14:textId="77777777" w:rsidR="00053D93" w:rsidRDefault="00260B75">
    <w:pPr>
      <w:spacing w:after="0"/>
      <w:ind w:right="1462"/>
      <w:jc w:val="right"/>
    </w:pPr>
    <w:r>
      <w:rPr>
        <w:sz w:val="14"/>
      </w:rPr>
      <w:t xml:space="preserve">DIRECCIÓN </w:t>
    </w:r>
    <w:r>
      <w:rPr>
        <w:sz w:val="16"/>
      </w:rPr>
      <w:t xml:space="preserve">DE </w:t>
    </w:r>
    <w:r>
      <w:rPr>
        <w:sz w:val="14"/>
      </w:rPr>
      <w:t xml:space="preserve">AUDITORÍA </w:t>
    </w:r>
    <w:r>
      <w:rPr>
        <w:sz w:val="16"/>
      </w:rPr>
      <w:t xml:space="preserve">AL SECTOR </w:t>
    </w:r>
    <w:r>
      <w:rPr>
        <w:sz w:val="14"/>
      </w:rPr>
      <w:t xml:space="preserve">EDUCACIÓN, </w:t>
    </w:r>
  </w:p>
  <w:p w14:paraId="7725A5CA" w14:textId="77777777" w:rsidR="00053D93" w:rsidRDefault="00260B75">
    <w:pPr>
      <w:tabs>
        <w:tab w:val="center" w:pos="1663"/>
        <w:tab w:val="center" w:pos="8521"/>
      </w:tabs>
      <w:spacing w:after="0"/>
    </w:pPr>
    <w:r>
      <w:tab/>
    </w:r>
    <w:r>
      <w:rPr>
        <w:sz w:val="14"/>
      </w:rPr>
      <w:t xml:space="preserve">CONTRALORíA GENERAL </w:t>
    </w:r>
    <w:r>
      <w:rPr>
        <w:sz w:val="16"/>
      </w:rPr>
      <w:t xml:space="preserve">DE </w:t>
    </w:r>
    <w:r>
      <w:rPr>
        <w:sz w:val="14"/>
      </w:rPr>
      <w:t>CUENTAS</w:t>
    </w:r>
    <w:r>
      <w:rPr>
        <w:sz w:val="14"/>
      </w:rPr>
      <w:tab/>
      <w:t>CIENCIA. CULTURA</w:t>
    </w:r>
  </w:p>
  <w:p w14:paraId="7A56409F" w14:textId="77777777" w:rsidR="00053D93" w:rsidRDefault="00260B75">
    <w:pPr>
      <w:spacing w:after="0"/>
      <w:ind w:right="353"/>
      <w:jc w:val="right"/>
    </w:pPr>
    <w:r>
      <w:rPr>
        <w:sz w:val="16"/>
      </w:rPr>
      <w:t>Y DEPORTES</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9EBDE" w14:textId="77777777" w:rsidR="00053D93" w:rsidRDefault="00053D93"/>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95975" w14:textId="77777777" w:rsidR="00053D93" w:rsidRDefault="00053D93"/>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F4ADE" w14:textId="77777777" w:rsidR="00053D93" w:rsidRDefault="00053D9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E0305" w14:textId="77777777" w:rsidR="00053D93" w:rsidRDefault="00053D93"/>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41216" w14:textId="77777777" w:rsidR="00053D93" w:rsidRDefault="00053D93"/>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3EA2B" w14:textId="77777777" w:rsidR="00053D93" w:rsidRDefault="00260B75">
    <w:pPr>
      <w:spacing w:after="0"/>
      <w:ind w:right="1469"/>
      <w:jc w:val="right"/>
    </w:pPr>
    <w:r>
      <w:rPr>
        <w:sz w:val="14"/>
      </w:rPr>
      <w:t xml:space="preserve">DIRECCIÓN </w:t>
    </w:r>
    <w:r>
      <w:rPr>
        <w:sz w:val="16"/>
      </w:rPr>
      <w:t xml:space="preserve">DE </w:t>
    </w:r>
    <w:r>
      <w:rPr>
        <w:sz w:val="14"/>
      </w:rPr>
      <w:t xml:space="preserve">AUDITORÍA </w:t>
    </w:r>
    <w:r>
      <w:rPr>
        <w:sz w:val="16"/>
      </w:rPr>
      <w:t xml:space="preserve">AL SECTOR </w:t>
    </w:r>
    <w:r>
      <w:rPr>
        <w:sz w:val="14"/>
      </w:rPr>
      <w:t xml:space="preserve">EDUCACIÓN, </w:t>
    </w:r>
  </w:p>
  <w:p w14:paraId="2D1B607E" w14:textId="77777777" w:rsidR="00053D93" w:rsidRDefault="00260B75">
    <w:pPr>
      <w:tabs>
        <w:tab w:val="center" w:pos="1663"/>
        <w:tab w:val="center" w:pos="8521"/>
      </w:tabs>
      <w:spacing w:after="0"/>
    </w:pPr>
    <w:r>
      <w:tab/>
    </w:r>
    <w:r>
      <w:rPr>
        <w:sz w:val="14"/>
      </w:rPr>
      <w:t xml:space="preserve">CONTRALORíA GENERAL </w:t>
    </w:r>
    <w:r>
      <w:rPr>
        <w:sz w:val="16"/>
      </w:rPr>
      <w:t xml:space="preserve">DE </w:t>
    </w:r>
    <w:r>
      <w:rPr>
        <w:sz w:val="14"/>
      </w:rPr>
      <w:t>CUENTAS</w:t>
    </w:r>
    <w:r>
      <w:rPr>
        <w:sz w:val="14"/>
      </w:rPr>
      <w:tab/>
      <w:t>CIENCIA. CULTURA</w:t>
    </w:r>
  </w:p>
  <w:p w14:paraId="0E5198C5" w14:textId="77777777" w:rsidR="00053D93" w:rsidRDefault="00260B75">
    <w:pPr>
      <w:spacing w:after="0"/>
      <w:ind w:right="360"/>
      <w:jc w:val="right"/>
    </w:pPr>
    <w:r>
      <w:rPr>
        <w:sz w:val="16"/>
      </w:rPr>
      <w:t>Y DEPORTES</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9EC4D" w14:textId="77777777" w:rsidR="00053D93" w:rsidRDefault="00260B75">
    <w:pPr>
      <w:spacing w:after="0"/>
      <w:ind w:right="1469"/>
      <w:jc w:val="right"/>
    </w:pPr>
    <w:r>
      <w:rPr>
        <w:sz w:val="14"/>
      </w:rPr>
      <w:t xml:space="preserve">DIRECCIÓN </w:t>
    </w:r>
    <w:r>
      <w:rPr>
        <w:sz w:val="16"/>
      </w:rPr>
      <w:t xml:space="preserve">DE </w:t>
    </w:r>
    <w:r>
      <w:rPr>
        <w:sz w:val="14"/>
      </w:rPr>
      <w:t xml:space="preserve">AUDITORÍA </w:t>
    </w:r>
    <w:r>
      <w:rPr>
        <w:sz w:val="16"/>
      </w:rPr>
      <w:t xml:space="preserve">AL SECTOR </w:t>
    </w:r>
    <w:r>
      <w:rPr>
        <w:sz w:val="14"/>
      </w:rPr>
      <w:t xml:space="preserve">EDUCACIÓN, </w:t>
    </w:r>
  </w:p>
  <w:p w14:paraId="006B060A" w14:textId="77777777" w:rsidR="00053D93" w:rsidRDefault="00260B75">
    <w:pPr>
      <w:tabs>
        <w:tab w:val="center" w:pos="1663"/>
        <w:tab w:val="center" w:pos="8521"/>
      </w:tabs>
      <w:spacing w:after="0"/>
    </w:pPr>
    <w:r>
      <w:tab/>
    </w:r>
    <w:r>
      <w:rPr>
        <w:sz w:val="14"/>
      </w:rPr>
      <w:t xml:space="preserve">CONTRALORíA GENERAL </w:t>
    </w:r>
    <w:r>
      <w:rPr>
        <w:sz w:val="16"/>
      </w:rPr>
      <w:t xml:space="preserve">DE </w:t>
    </w:r>
    <w:r>
      <w:rPr>
        <w:sz w:val="14"/>
      </w:rPr>
      <w:t>CUENTAS</w:t>
    </w:r>
    <w:r>
      <w:rPr>
        <w:sz w:val="14"/>
      </w:rPr>
      <w:tab/>
      <w:t>CIENCIA. CULTURA</w:t>
    </w:r>
  </w:p>
  <w:p w14:paraId="24D36CB9" w14:textId="77777777" w:rsidR="00053D93" w:rsidRDefault="00260B75">
    <w:pPr>
      <w:spacing w:after="0"/>
      <w:ind w:right="360"/>
      <w:jc w:val="right"/>
    </w:pPr>
    <w:r>
      <w:rPr>
        <w:sz w:val="16"/>
      </w:rPr>
      <w:t>Y DEPORTES</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596F7" w14:textId="77777777" w:rsidR="00053D93" w:rsidRDefault="00260B75">
    <w:pPr>
      <w:spacing w:after="0"/>
      <w:ind w:right="1469"/>
      <w:jc w:val="right"/>
    </w:pPr>
    <w:r>
      <w:rPr>
        <w:sz w:val="14"/>
      </w:rPr>
      <w:t xml:space="preserve">DIRECCIÓN </w:t>
    </w:r>
    <w:r>
      <w:rPr>
        <w:sz w:val="16"/>
      </w:rPr>
      <w:t xml:space="preserve">DE </w:t>
    </w:r>
    <w:r>
      <w:rPr>
        <w:sz w:val="14"/>
      </w:rPr>
      <w:t xml:space="preserve">AUDITORÍA </w:t>
    </w:r>
    <w:r>
      <w:rPr>
        <w:sz w:val="16"/>
      </w:rPr>
      <w:t xml:space="preserve">AL SECTOR </w:t>
    </w:r>
    <w:r>
      <w:rPr>
        <w:sz w:val="14"/>
      </w:rPr>
      <w:t xml:space="preserve">EDUCACIÓN, </w:t>
    </w:r>
  </w:p>
  <w:p w14:paraId="7CBD2E3C" w14:textId="77777777" w:rsidR="00053D93" w:rsidRDefault="00260B75">
    <w:pPr>
      <w:tabs>
        <w:tab w:val="center" w:pos="1663"/>
        <w:tab w:val="center" w:pos="8521"/>
      </w:tabs>
      <w:spacing w:after="0"/>
    </w:pPr>
    <w:r>
      <w:tab/>
    </w:r>
    <w:r>
      <w:rPr>
        <w:sz w:val="14"/>
      </w:rPr>
      <w:t xml:space="preserve">CONTRALORíA GENERAL </w:t>
    </w:r>
    <w:r>
      <w:rPr>
        <w:sz w:val="16"/>
      </w:rPr>
      <w:t xml:space="preserve">DE </w:t>
    </w:r>
    <w:r>
      <w:rPr>
        <w:sz w:val="14"/>
      </w:rPr>
      <w:t>CUENTAS</w:t>
    </w:r>
    <w:r>
      <w:rPr>
        <w:sz w:val="14"/>
      </w:rPr>
      <w:tab/>
      <w:t>CIENCIA. CULTURA</w:t>
    </w:r>
  </w:p>
  <w:p w14:paraId="00A3AFF5" w14:textId="77777777" w:rsidR="00053D93" w:rsidRDefault="00260B75">
    <w:pPr>
      <w:spacing w:after="0"/>
      <w:ind w:right="360"/>
      <w:jc w:val="right"/>
    </w:pPr>
    <w:r>
      <w:rPr>
        <w:sz w:val="16"/>
      </w:rPr>
      <w:t>Y DEPORTES</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E612A" w14:textId="77777777" w:rsidR="00053D93" w:rsidRDefault="00053D93"/>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AA2E3" w14:textId="77777777" w:rsidR="00053D93" w:rsidRDefault="00260B75">
    <w:pPr>
      <w:spacing w:after="0"/>
      <w:ind w:left="7934"/>
    </w:pPr>
    <w:r>
      <w:rPr>
        <w:rFonts w:ascii="Times New Roman" w:eastAsia="Times New Roman" w:hAnsi="Times New Roman" w:cs="Times New Roman"/>
        <w:sz w:val="38"/>
      </w:rPr>
      <w:t>Prevgncióny</w:t>
    </w:r>
  </w:p>
  <w:p w14:paraId="4CC782F4" w14:textId="77777777" w:rsidR="00053D93" w:rsidRDefault="00260B75">
    <w:pPr>
      <w:tabs>
        <w:tab w:val="center" w:pos="8006"/>
        <w:tab w:val="right" w:pos="11232"/>
      </w:tabs>
      <w:spacing w:after="0"/>
      <w:ind w:right="-727"/>
    </w:pPr>
    <w:r>
      <w:tab/>
    </w:r>
    <w:r>
      <w:rPr>
        <w:rFonts w:ascii="Times New Roman" w:eastAsia="Times New Roman" w:hAnsi="Times New Roman" w:cs="Times New Roman"/>
        <w:sz w:val="26"/>
      </w:rPr>
      <w:t xml:space="preserve">buena </w:t>
    </w:r>
    <w:r>
      <w:rPr>
        <w:rFonts w:ascii="Times New Roman" w:eastAsia="Times New Roman" w:hAnsi="Times New Roman" w:cs="Times New Roman"/>
        <w:sz w:val="26"/>
      </w:rPr>
      <w:tab/>
    </w:r>
    <w:r>
      <w:rPr>
        <w:rFonts w:ascii="Times New Roman" w:eastAsia="Times New Roman" w:hAnsi="Times New Roman" w:cs="Times New Roman"/>
        <w:sz w:val="40"/>
      </w:rPr>
      <w:t>anza</w:t>
    </w:r>
  </w:p>
  <w:p w14:paraId="1CF7B617" w14:textId="77777777" w:rsidR="00053D93" w:rsidRDefault="00260B75">
    <w:pPr>
      <w:spacing w:after="0"/>
      <w:ind w:left="749"/>
    </w:pPr>
    <w:r>
      <w:rPr>
        <w:rFonts w:ascii="Times New Roman" w:eastAsia="Times New Roman" w:hAnsi="Times New Roman" w:cs="Times New Roman"/>
      </w:rPr>
      <w:t xml:space="preserve">Contraloría </w:t>
    </w:r>
    <w:r>
      <w:rPr>
        <w:rFonts w:ascii="Times New Roman" w:eastAsia="Times New Roman" w:hAnsi="Times New Roman" w:cs="Times New Roman"/>
        <w:sz w:val="20"/>
      </w:rPr>
      <w:t xml:space="preserve">General </w:t>
    </w:r>
    <w:r>
      <w:rPr>
        <w:rFonts w:ascii="Times New Roman" w:eastAsia="Times New Roman" w:hAnsi="Times New Roman" w:cs="Times New Roman"/>
      </w:rPr>
      <w:t>de Cuentas</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96C8E" w14:textId="77777777" w:rsidR="00053D93" w:rsidRDefault="00260B75">
    <w:pPr>
      <w:tabs>
        <w:tab w:val="center" w:pos="6574"/>
        <w:tab w:val="center" w:pos="8942"/>
      </w:tabs>
      <w:spacing w:after="0"/>
    </w:pPr>
    <w:r>
      <w:tab/>
    </w:r>
    <w:r>
      <w:rPr>
        <w:sz w:val="14"/>
      </w:rPr>
      <w:t xml:space="preserve">DIRECCIÓN </w:t>
    </w:r>
    <w:r>
      <w:rPr>
        <w:sz w:val="16"/>
      </w:rPr>
      <w:t xml:space="preserve">DE </w:t>
    </w:r>
    <w:r>
      <w:rPr>
        <w:sz w:val="16"/>
      </w:rPr>
      <w:tab/>
    </w:r>
    <w:r>
      <w:rPr>
        <w:sz w:val="14"/>
      </w:rPr>
      <w:t xml:space="preserve">AL </w:t>
    </w:r>
    <w:r>
      <w:rPr>
        <w:sz w:val="16"/>
      </w:rPr>
      <w:t xml:space="preserve">SECTOR </w:t>
    </w:r>
    <w:r>
      <w:rPr>
        <w:sz w:val="14"/>
      </w:rPr>
      <w:t>EDUCACIÓN. CIENCIA. CULTURA</w:t>
    </w:r>
  </w:p>
  <w:p w14:paraId="7DE65D6C" w14:textId="77777777" w:rsidR="00053D93" w:rsidRDefault="00260B75">
    <w:pPr>
      <w:spacing w:after="0"/>
      <w:ind w:left="1742"/>
    </w:pPr>
    <w:r>
      <w:rPr>
        <w:sz w:val="14"/>
      </w:rPr>
      <w:t xml:space="preserve">CONTRALORiA GENERAL </w:t>
    </w:r>
    <w:r>
      <w:rPr>
        <w:sz w:val="16"/>
      </w:rPr>
      <w:t xml:space="preserve">DE </w:t>
    </w:r>
    <w:r>
      <w:rPr>
        <w:sz w:val="14"/>
      </w:rPr>
      <w:t>CUENTAS</w:t>
    </w:r>
  </w:p>
  <w:p w14:paraId="099AF046" w14:textId="77777777" w:rsidR="00053D93" w:rsidRDefault="00260B75">
    <w:pPr>
      <w:spacing w:after="0"/>
      <w:ind w:right="310"/>
      <w:jc w:val="right"/>
    </w:pPr>
    <w:r>
      <w:rPr>
        <w:sz w:val="16"/>
      </w:rPr>
      <w:t>Y DEPORTES</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B1F52" w14:textId="77777777" w:rsidR="00053D93" w:rsidRDefault="00260B75">
    <w:pPr>
      <w:spacing w:after="37" w:line="216" w:lineRule="auto"/>
      <w:ind w:left="7603" w:right="1066"/>
      <w:jc w:val="center"/>
    </w:pPr>
    <w:r>
      <w:rPr>
        <w:rFonts w:ascii="Times New Roman" w:eastAsia="Times New Roman" w:hAnsi="Times New Roman" w:cs="Times New Roman"/>
        <w:sz w:val="38"/>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r>
      <w:rPr>
        <w:rFonts w:ascii="Times New Roman" w:eastAsia="Times New Roman" w:hAnsi="Times New Roman" w:cs="Times New Roman"/>
        <w:sz w:val="32"/>
      </w:rPr>
      <w:t xml:space="preserve">Con </w:t>
    </w:r>
  </w:p>
  <w:p w14:paraId="161D66A2" w14:textId="77777777" w:rsidR="00053D93" w:rsidRDefault="00260B75">
    <w:pPr>
      <w:spacing w:after="0"/>
      <w:ind w:left="727"/>
    </w:pPr>
    <w:r>
      <w:rPr>
        <w:rFonts w:ascii="Courier New" w:eastAsia="Courier New" w:hAnsi="Courier New" w:cs="Courier New"/>
        <w:sz w:val="14"/>
      </w:rPr>
      <w:t xml:space="preserve">Contraloría </w:t>
    </w:r>
    <w:r>
      <w:rPr>
        <w:rFonts w:ascii="Courier New" w:eastAsia="Courier New" w:hAnsi="Courier New" w:cs="Courier New"/>
        <w:sz w:val="16"/>
      </w:rPr>
      <w:t>General de Cuentas</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DFE49" w14:textId="77777777" w:rsidR="00053D93" w:rsidRDefault="00260B75">
    <w:pPr>
      <w:spacing w:after="0" w:line="216" w:lineRule="auto"/>
      <w:ind w:left="7668" w:right="7" w:firstLine="245"/>
    </w:pPr>
    <w:r>
      <w:rPr>
        <w:rFonts w:ascii="Times New Roman" w:eastAsia="Times New Roman" w:hAnsi="Times New Roman" w:cs="Times New Roman"/>
        <w:sz w:val="38"/>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r>
      <w:rPr>
        <w:rFonts w:ascii="Times New Roman" w:eastAsia="Times New Roman" w:hAnsi="Times New Roman" w:cs="Times New Roman"/>
        <w:sz w:val="28"/>
      </w:rPr>
      <w:tab/>
    </w:r>
    <w:r>
      <w:rPr>
        <w:rFonts w:ascii="Times New Roman" w:eastAsia="Times New Roman" w:hAnsi="Times New Roman" w:cs="Times New Roman"/>
        <w:sz w:val="40"/>
      </w:rPr>
      <w:t>anza</w:t>
    </w:r>
  </w:p>
  <w:p w14:paraId="5FA104BF" w14:textId="77777777" w:rsidR="00053D93" w:rsidRDefault="00260B75">
    <w:pPr>
      <w:spacing w:after="0"/>
      <w:ind w:left="8482"/>
    </w:pPr>
    <w:r>
      <w:rPr>
        <w:rFonts w:ascii="Times New Roman" w:eastAsia="Times New Roman" w:hAnsi="Times New Roman" w:cs="Times New Roman"/>
        <w:sz w:val="24"/>
      </w:rPr>
      <w:t xml:space="preserve">construyen </w:t>
    </w:r>
  </w:p>
  <w:p w14:paraId="3F3FEAA4" w14:textId="77777777" w:rsidR="00053D93" w:rsidRDefault="00260B75">
    <w:pPr>
      <w:spacing w:after="0"/>
      <w:ind w:left="727"/>
    </w:pPr>
    <w:r>
      <w:rPr>
        <w:rFonts w:ascii="Times New Roman" w:eastAsia="Times New Roman" w:hAnsi="Times New Roman" w:cs="Times New Roman"/>
        <w:sz w:val="20"/>
      </w:rPr>
      <w:t xml:space="preserve">Contraloría General </w:t>
    </w:r>
    <w:r>
      <w:rPr>
        <w:rFonts w:ascii="Times New Roman" w:eastAsia="Times New Roman" w:hAnsi="Times New Roman" w:cs="Times New Roman"/>
      </w:rPr>
      <w:t xml:space="preserve">de </w:t>
    </w:r>
    <w:r>
      <w:rPr>
        <w:rFonts w:ascii="Times New Roman" w:eastAsia="Times New Roman" w:hAnsi="Times New Roman" w:cs="Times New Roman"/>
        <w:sz w:val="20"/>
      </w:rPr>
      <w:t>Cuentas</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98F09" w14:textId="77777777" w:rsidR="00053D93" w:rsidRDefault="00260B75">
    <w:pPr>
      <w:spacing w:after="104" w:line="216" w:lineRule="auto"/>
      <w:ind w:left="7520" w:right="1141"/>
      <w:jc w:val="center"/>
    </w:pPr>
    <w:r>
      <w:rPr>
        <w:sz w:val="38"/>
      </w:rPr>
      <w:t xml:space="preserve">Prevencióny </w:t>
    </w:r>
    <w:r>
      <w:rPr>
        <w:sz w:val="26"/>
      </w:rPr>
      <w:t xml:space="preserve">buena </w:t>
    </w:r>
    <w:r>
      <w:rPr>
        <w:sz w:val="28"/>
      </w:rPr>
      <w:t>gobernanza</w:t>
    </w:r>
    <w:r>
      <w:rPr>
        <w:sz w:val="32"/>
      </w:rPr>
      <w:t xml:space="preserve">Con </w:t>
    </w:r>
  </w:p>
  <w:p w14:paraId="0B511B66" w14:textId="77777777" w:rsidR="00053D93" w:rsidRDefault="00260B75">
    <w:pPr>
      <w:tabs>
        <w:tab w:val="center" w:pos="1130"/>
        <w:tab w:val="center" w:pos="2941"/>
      </w:tabs>
      <w:spacing w:after="0"/>
    </w:pPr>
    <w:r>
      <w:tab/>
      <w:t xml:space="preserve">Contraloría </w:t>
    </w:r>
    <w:r>
      <w:tab/>
    </w:r>
    <w:r>
      <w:rPr>
        <w:sz w:val="20"/>
      </w:rPr>
      <w:t>Cuentas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E572C" w14:textId="77777777" w:rsidR="00053D93" w:rsidRDefault="00260B75">
    <w:pPr>
      <w:spacing w:after="0" w:line="216" w:lineRule="auto"/>
      <w:ind w:left="7834" w:right="22" w:firstLine="245"/>
    </w:pPr>
    <w:r>
      <w:rPr>
        <w:rFonts w:ascii="Times New Roman" w:eastAsia="Times New Roman" w:hAnsi="Times New Roman" w:cs="Times New Roman"/>
        <w:sz w:val="38"/>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r>
      <w:rPr>
        <w:rFonts w:ascii="Times New Roman" w:eastAsia="Times New Roman" w:hAnsi="Times New Roman" w:cs="Times New Roman"/>
        <w:sz w:val="40"/>
      </w:rPr>
      <w:t>Confianza</w:t>
    </w:r>
  </w:p>
  <w:p w14:paraId="29F33570" w14:textId="77777777" w:rsidR="00053D93" w:rsidRDefault="00260B75">
    <w:pPr>
      <w:spacing w:after="0"/>
      <w:ind w:left="886"/>
    </w:pPr>
    <w:r>
      <w:rPr>
        <w:rFonts w:ascii="Times New Roman" w:eastAsia="Times New Roman" w:hAnsi="Times New Roman" w:cs="Times New Roman"/>
        <w:sz w:val="20"/>
      </w:rPr>
      <w:t xml:space="preserve">Contraloría General </w:t>
    </w:r>
    <w:r>
      <w:rPr>
        <w:rFonts w:ascii="Times New Roman" w:eastAsia="Times New Roman" w:hAnsi="Times New Roman" w:cs="Times New Roman"/>
      </w:rPr>
      <w:t xml:space="preserve">de </w:t>
    </w:r>
    <w:r>
      <w:rPr>
        <w:rFonts w:ascii="Times New Roman" w:eastAsia="Times New Roman" w:hAnsi="Times New Roman" w:cs="Times New Roman"/>
        <w:sz w:val="20"/>
      </w:rPr>
      <w:t>Cuentas</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161CB" w14:textId="77777777" w:rsidR="00053D93" w:rsidRDefault="00260B75">
    <w:pPr>
      <w:spacing w:after="0" w:line="216" w:lineRule="auto"/>
      <w:ind w:left="7675" w:right="-1109" w:firstLine="252"/>
      <w:jc w:val="both"/>
    </w:pPr>
    <w:r>
      <w:rPr>
        <w:rFonts w:ascii="Times New Roman" w:eastAsia="Times New Roman" w:hAnsi="Times New Roman" w:cs="Times New Roman"/>
        <w:sz w:val="38"/>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r>
      <w:rPr>
        <w:rFonts w:ascii="Times New Roman" w:eastAsia="Times New Roman" w:hAnsi="Times New Roman" w:cs="Times New Roman"/>
        <w:sz w:val="32"/>
      </w:rPr>
      <w:t xml:space="preserve">Con </w:t>
    </w:r>
    <w:r>
      <w:rPr>
        <w:rFonts w:ascii="Times New Roman" w:eastAsia="Times New Roman" w:hAnsi="Times New Roman" w:cs="Times New Roman"/>
        <w:sz w:val="54"/>
      </w:rPr>
      <w:t xml:space="preserve">fi </w:t>
    </w:r>
    <w:r>
      <w:rPr>
        <w:rFonts w:ascii="Times New Roman" w:eastAsia="Times New Roman" w:hAnsi="Times New Roman" w:cs="Times New Roman"/>
        <w:sz w:val="40"/>
      </w:rPr>
      <w:t xml:space="preserve">anza </w:t>
    </w:r>
    <w:r>
      <w:rPr>
        <w:rFonts w:ascii="Times New Roman" w:eastAsia="Times New Roman" w:hAnsi="Times New Roman" w:cs="Times New Roman"/>
        <w:sz w:val="24"/>
      </w:rPr>
      <w:t xml:space="preserve">construyen </w:t>
    </w:r>
  </w:p>
  <w:p w14:paraId="01618450" w14:textId="77777777" w:rsidR="00053D93" w:rsidRDefault="00260B75">
    <w:pPr>
      <w:spacing w:after="0"/>
      <w:ind w:left="734"/>
    </w:pPr>
    <w:r>
      <w:rPr>
        <w:rFonts w:ascii="Times New Roman" w:eastAsia="Times New Roman" w:hAnsi="Times New Roman" w:cs="Times New Roman"/>
      </w:rPr>
      <w:t xml:space="preserve">Contraloría </w:t>
    </w:r>
    <w:r>
      <w:rPr>
        <w:rFonts w:ascii="Times New Roman" w:eastAsia="Times New Roman" w:hAnsi="Times New Roman" w:cs="Times New Roman"/>
        <w:sz w:val="20"/>
      </w:rPr>
      <w:t xml:space="preserve">General </w:t>
    </w:r>
    <w:r>
      <w:rPr>
        <w:rFonts w:ascii="Times New Roman" w:eastAsia="Times New Roman" w:hAnsi="Times New Roman" w:cs="Times New Roman"/>
      </w:rPr>
      <w:t xml:space="preserve">de </w:t>
    </w:r>
    <w:r>
      <w:rPr>
        <w:rFonts w:ascii="Times New Roman" w:eastAsia="Times New Roman" w:hAnsi="Times New Roman" w:cs="Times New Roman"/>
        <w:sz w:val="20"/>
      </w:rPr>
      <w:t>Cuentas</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A5623" w14:textId="77777777" w:rsidR="00053D93" w:rsidRDefault="00260B75">
    <w:pPr>
      <w:spacing w:after="0" w:line="216" w:lineRule="auto"/>
      <w:ind w:left="7675" w:right="-1109" w:firstLine="252"/>
      <w:jc w:val="both"/>
    </w:pPr>
    <w:r>
      <w:rPr>
        <w:rFonts w:ascii="Times New Roman" w:eastAsia="Times New Roman" w:hAnsi="Times New Roman" w:cs="Times New Roman"/>
        <w:sz w:val="38"/>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r>
      <w:rPr>
        <w:rFonts w:ascii="Times New Roman" w:eastAsia="Times New Roman" w:hAnsi="Times New Roman" w:cs="Times New Roman"/>
        <w:sz w:val="32"/>
      </w:rPr>
      <w:t xml:space="preserve">Con </w:t>
    </w:r>
    <w:r>
      <w:rPr>
        <w:rFonts w:ascii="Times New Roman" w:eastAsia="Times New Roman" w:hAnsi="Times New Roman" w:cs="Times New Roman"/>
        <w:sz w:val="54"/>
      </w:rPr>
      <w:t xml:space="preserve">fi </w:t>
    </w:r>
    <w:r>
      <w:rPr>
        <w:rFonts w:ascii="Times New Roman" w:eastAsia="Times New Roman" w:hAnsi="Times New Roman" w:cs="Times New Roman"/>
        <w:sz w:val="40"/>
      </w:rPr>
      <w:t xml:space="preserve">anza </w:t>
    </w:r>
    <w:r>
      <w:rPr>
        <w:rFonts w:ascii="Times New Roman" w:eastAsia="Times New Roman" w:hAnsi="Times New Roman" w:cs="Times New Roman"/>
        <w:sz w:val="24"/>
      </w:rPr>
      <w:t xml:space="preserve">construyen </w:t>
    </w:r>
  </w:p>
  <w:p w14:paraId="009738B3" w14:textId="77777777" w:rsidR="00053D93" w:rsidRDefault="00260B75">
    <w:pPr>
      <w:spacing w:after="0"/>
      <w:ind w:left="734"/>
    </w:pPr>
    <w:r>
      <w:rPr>
        <w:rFonts w:ascii="Times New Roman" w:eastAsia="Times New Roman" w:hAnsi="Times New Roman" w:cs="Times New Roman"/>
      </w:rPr>
      <w:t xml:space="preserve">Contraloría </w:t>
    </w:r>
    <w:r>
      <w:rPr>
        <w:rFonts w:ascii="Times New Roman" w:eastAsia="Times New Roman" w:hAnsi="Times New Roman" w:cs="Times New Roman"/>
        <w:sz w:val="20"/>
      </w:rPr>
      <w:t xml:space="preserve">General </w:t>
    </w:r>
    <w:r>
      <w:rPr>
        <w:rFonts w:ascii="Times New Roman" w:eastAsia="Times New Roman" w:hAnsi="Times New Roman" w:cs="Times New Roman"/>
      </w:rPr>
      <w:t xml:space="preserve">de </w:t>
    </w:r>
    <w:r>
      <w:rPr>
        <w:rFonts w:ascii="Times New Roman" w:eastAsia="Times New Roman" w:hAnsi="Times New Roman" w:cs="Times New Roman"/>
        <w:sz w:val="20"/>
      </w:rPr>
      <w:t>Cuentas</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8D5AF" w14:textId="77777777" w:rsidR="00053D93" w:rsidRDefault="00260B75">
    <w:pPr>
      <w:spacing w:after="0" w:line="216" w:lineRule="auto"/>
      <w:ind w:left="7675" w:right="-1109" w:firstLine="252"/>
      <w:jc w:val="both"/>
    </w:pPr>
    <w:r>
      <w:rPr>
        <w:rFonts w:ascii="Times New Roman" w:eastAsia="Times New Roman" w:hAnsi="Times New Roman" w:cs="Times New Roman"/>
        <w:sz w:val="38"/>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r>
      <w:rPr>
        <w:rFonts w:ascii="Times New Roman" w:eastAsia="Times New Roman" w:hAnsi="Times New Roman" w:cs="Times New Roman"/>
        <w:sz w:val="32"/>
      </w:rPr>
      <w:t xml:space="preserve">Con </w:t>
    </w:r>
    <w:r>
      <w:rPr>
        <w:rFonts w:ascii="Times New Roman" w:eastAsia="Times New Roman" w:hAnsi="Times New Roman" w:cs="Times New Roman"/>
        <w:sz w:val="54"/>
      </w:rPr>
      <w:t xml:space="preserve">fi </w:t>
    </w:r>
    <w:r>
      <w:rPr>
        <w:rFonts w:ascii="Times New Roman" w:eastAsia="Times New Roman" w:hAnsi="Times New Roman" w:cs="Times New Roman"/>
        <w:sz w:val="40"/>
      </w:rPr>
      <w:t xml:space="preserve">anza </w:t>
    </w:r>
    <w:r>
      <w:rPr>
        <w:rFonts w:ascii="Times New Roman" w:eastAsia="Times New Roman" w:hAnsi="Times New Roman" w:cs="Times New Roman"/>
        <w:sz w:val="24"/>
      </w:rPr>
      <w:t xml:space="preserve">construyen </w:t>
    </w:r>
  </w:p>
  <w:p w14:paraId="009A8E58" w14:textId="77777777" w:rsidR="00053D93" w:rsidRDefault="00260B75">
    <w:pPr>
      <w:spacing w:after="0"/>
      <w:ind w:left="734"/>
    </w:pPr>
    <w:r>
      <w:rPr>
        <w:rFonts w:ascii="Times New Roman" w:eastAsia="Times New Roman" w:hAnsi="Times New Roman" w:cs="Times New Roman"/>
      </w:rPr>
      <w:t xml:space="preserve">Contraloría </w:t>
    </w:r>
    <w:r>
      <w:rPr>
        <w:rFonts w:ascii="Times New Roman" w:eastAsia="Times New Roman" w:hAnsi="Times New Roman" w:cs="Times New Roman"/>
        <w:sz w:val="20"/>
      </w:rPr>
      <w:t xml:space="preserve">General </w:t>
    </w:r>
    <w:r>
      <w:rPr>
        <w:rFonts w:ascii="Times New Roman" w:eastAsia="Times New Roman" w:hAnsi="Times New Roman" w:cs="Times New Roman"/>
      </w:rPr>
      <w:t xml:space="preserve">de </w:t>
    </w:r>
    <w:r>
      <w:rPr>
        <w:rFonts w:ascii="Times New Roman" w:eastAsia="Times New Roman" w:hAnsi="Times New Roman" w:cs="Times New Roman"/>
        <w:sz w:val="20"/>
      </w:rPr>
      <w:t>Cuentas</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B3153" w14:textId="77777777" w:rsidR="00053D93" w:rsidRDefault="00260B75">
    <w:pPr>
      <w:spacing w:after="0"/>
      <w:ind w:right="2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2CD02168" w14:textId="77777777" w:rsidR="00053D93" w:rsidRDefault="00260B75">
    <w:pPr>
      <w:tabs>
        <w:tab w:val="center" w:pos="2444"/>
        <w:tab w:val="center" w:pos="558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479E6E1E" w14:textId="77777777" w:rsidR="00053D93" w:rsidRDefault="00260B75">
    <w:pPr>
      <w:spacing w:after="0"/>
      <w:ind w:right="29"/>
      <w:jc w:val="right"/>
    </w:pPr>
    <w:r>
      <w:rPr>
        <w:sz w:val="16"/>
      </w:rPr>
      <w:t>Y DEPORTES</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A7E87" w14:textId="77777777" w:rsidR="00053D93" w:rsidRDefault="00260B75">
    <w:pPr>
      <w:tabs>
        <w:tab w:val="center" w:pos="6930"/>
        <w:tab w:val="center" w:pos="9043"/>
      </w:tabs>
      <w:spacing w:after="0"/>
    </w:pPr>
    <w:r>
      <w:tab/>
    </w:r>
    <w:r>
      <w:rPr>
        <w:sz w:val="14"/>
      </w:rPr>
      <w:t xml:space="preserve">DIRECCIÓN </w:t>
    </w:r>
    <w:r>
      <w:rPr>
        <w:sz w:val="16"/>
      </w:rPr>
      <w:t xml:space="preserve">DE </w:t>
    </w:r>
    <w:r>
      <w:rPr>
        <w:sz w:val="14"/>
      </w:rPr>
      <w:t xml:space="preserve">AUDITORIA </w:t>
    </w:r>
    <w:r>
      <w:rPr>
        <w:sz w:val="16"/>
      </w:rPr>
      <w:t xml:space="preserve">AL SECTOR </w:t>
    </w:r>
    <w:r>
      <w:rPr>
        <w:sz w:val="16"/>
      </w:rPr>
      <w:tab/>
      <w:t xml:space="preserve">CIENCIA. </w:t>
    </w:r>
  </w:p>
  <w:p w14:paraId="3E24D6C3" w14:textId="77777777" w:rsidR="00053D93" w:rsidRDefault="00260B75">
    <w:pPr>
      <w:tabs>
        <w:tab w:val="center" w:pos="1829"/>
        <w:tab w:val="center" w:pos="3215"/>
        <w:tab w:val="center" w:pos="5634"/>
        <w:tab w:val="right" w:pos="9842"/>
      </w:tabs>
      <w:spacing w:after="0"/>
      <w:ind w:right="-43"/>
    </w:pPr>
    <w:r>
      <w:tab/>
    </w:r>
    <w:r>
      <w:rPr>
        <w:sz w:val="14"/>
      </w:rPr>
      <w:t xml:space="preserve">CONTRALOR[A </w:t>
    </w:r>
    <w:r>
      <w:rPr>
        <w:sz w:val="14"/>
      </w:rPr>
      <w:tab/>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69</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4"/>
      </w:rPr>
      <w:t>CULTURA</w:t>
    </w:r>
  </w:p>
  <w:p w14:paraId="264FC8E3" w14:textId="77777777" w:rsidR="00053D93" w:rsidRDefault="00260B75">
    <w:pPr>
      <w:spacing w:after="0"/>
      <w:ind w:right="-43"/>
      <w:jc w:val="right"/>
    </w:pPr>
    <w:r>
      <w:rPr>
        <w:sz w:val="16"/>
      </w:rPr>
      <w:t>Y DEPORTES</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3B92C" w14:textId="77777777" w:rsidR="00053D93" w:rsidRDefault="00260B75">
    <w:pPr>
      <w:spacing w:after="0" w:line="216" w:lineRule="auto"/>
      <w:ind w:left="7510" w:right="158" w:firstLine="245"/>
      <w:jc w:val="both"/>
    </w:pPr>
    <w:r>
      <w:rPr>
        <w:rFonts w:ascii="Times New Roman" w:eastAsia="Times New Roman" w:hAnsi="Times New Roman" w:cs="Times New Roman"/>
        <w:sz w:val="38"/>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 xml:space="preserve">gobernanza </w:t>
    </w:r>
    <w:r>
      <w:rPr>
        <w:rFonts w:ascii="Times New Roman" w:eastAsia="Times New Roman" w:hAnsi="Times New Roman" w:cs="Times New Roman"/>
        <w:sz w:val="24"/>
      </w:rPr>
      <w:t xml:space="preserve">construyen </w:t>
    </w:r>
  </w:p>
  <w:p w14:paraId="5683BDAD" w14:textId="77777777" w:rsidR="00053D93" w:rsidRDefault="00260B75">
    <w:pPr>
      <w:spacing w:after="0"/>
      <w:ind w:left="547"/>
    </w:pPr>
    <w:r>
      <w:rPr>
        <w:rFonts w:ascii="Times New Roman" w:eastAsia="Times New Roman" w:hAnsi="Times New Roman" w:cs="Times New Roman"/>
        <w:sz w:val="20"/>
      </w:rPr>
      <w:t xml:space="preserve">Contraloría General </w:t>
    </w:r>
    <w:r>
      <w:rPr>
        <w:rFonts w:ascii="Times New Roman" w:eastAsia="Times New Roman" w:hAnsi="Times New Roman" w:cs="Times New Roman"/>
      </w:rPr>
      <w:t xml:space="preserve">de </w:t>
    </w:r>
    <w:r>
      <w:rPr>
        <w:rFonts w:ascii="Times New Roman" w:eastAsia="Times New Roman" w:hAnsi="Times New Roman" w:cs="Times New Roman"/>
        <w:sz w:val="20"/>
      </w:rPr>
      <w:t>Cuentas</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EFD94" w14:textId="77777777" w:rsidR="00053D93" w:rsidRDefault="00260B75">
    <w:pPr>
      <w:spacing w:after="0"/>
      <w:ind w:left="65"/>
    </w:pPr>
    <w:r>
      <w:rPr>
        <w:noProof/>
      </w:rPr>
      <mc:AlternateContent>
        <mc:Choice Requires="wpg">
          <w:drawing>
            <wp:anchor distT="0" distB="0" distL="114300" distR="114300" simplePos="0" relativeHeight="251667456" behindDoc="0" locked="0" layoutInCell="1" allowOverlap="1" wp14:anchorId="7148C1B7" wp14:editId="0F3C8DBB">
              <wp:simplePos x="0" y="0"/>
              <wp:positionH relativeFrom="page">
                <wp:posOffset>233172</wp:posOffset>
              </wp:positionH>
              <wp:positionV relativeFrom="page">
                <wp:posOffset>228600</wp:posOffset>
              </wp:positionV>
              <wp:extent cx="128016" cy="292608"/>
              <wp:effectExtent l="0" t="0" r="0" b="0"/>
              <wp:wrapSquare wrapText="bothSides"/>
              <wp:docPr id="2447611" name="Group 2447611"/>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47612" name="Rectangle 2447612"/>
                      <wps:cNvSpPr/>
                      <wps:spPr>
                        <a:xfrm>
                          <a:off x="0" y="0"/>
                          <a:ext cx="170261" cy="389169"/>
                        </a:xfrm>
                        <a:prstGeom prst="rect">
                          <a:avLst/>
                        </a:prstGeom>
                        <a:ln>
                          <a:noFill/>
                        </a:ln>
                      </wps:spPr>
                      <wps:txbx>
                        <w:txbxContent>
                          <w:p w14:paraId="00CCA7CA"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7148C1B7" id="Group 2447611" o:spid="_x0000_s1909" style="position:absolute;left:0;text-align:left;margin-left:18.35pt;margin-top:18pt;width:10.1pt;height:23.05pt;z-index:251667456;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">
              <v:rect id="Rectangle 2447612" o:spid="_x0000_s1910"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" filled="f" stroked="f">
                <v:textbox inset="0,0,0,0">
                  <w:txbxContent>
                    <w:p w14:paraId="00CCA7CA"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5C02F0AE" w14:textId="77777777" w:rsidR="00053D93" w:rsidRDefault="00260B75">
    <w:pPr>
      <w:tabs>
        <w:tab w:val="center" w:pos="5954"/>
        <w:tab w:val="right" w:pos="10210"/>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77D81BD9" w14:textId="77777777" w:rsidR="00053D93" w:rsidRDefault="00260B75">
    <w:pPr>
      <w:spacing w:after="0"/>
      <w:ind w:right="7"/>
      <w:jc w:val="right"/>
    </w:pPr>
    <w:r>
      <w:rPr>
        <w:sz w:val="16"/>
      </w:rPr>
      <w:t>Y DEPORTES</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256FC" w14:textId="77777777" w:rsidR="00053D93" w:rsidRDefault="00260B75">
    <w:pPr>
      <w:spacing w:after="0"/>
      <w:ind w:left="65"/>
    </w:pPr>
    <w:r>
      <w:rPr>
        <w:noProof/>
      </w:rPr>
      <mc:AlternateContent>
        <mc:Choice Requires="wpg">
          <w:drawing>
            <wp:anchor distT="0" distB="0" distL="114300" distR="114300" simplePos="0" relativeHeight="251668480" behindDoc="0" locked="0" layoutInCell="1" allowOverlap="1" wp14:anchorId="21160957" wp14:editId="6571103E">
              <wp:simplePos x="0" y="0"/>
              <wp:positionH relativeFrom="page">
                <wp:posOffset>233172</wp:posOffset>
              </wp:positionH>
              <wp:positionV relativeFrom="page">
                <wp:posOffset>228600</wp:posOffset>
              </wp:positionV>
              <wp:extent cx="128016" cy="292608"/>
              <wp:effectExtent l="0" t="0" r="0" b="0"/>
              <wp:wrapSquare wrapText="bothSides"/>
              <wp:docPr id="2447582" name="Group 2447582"/>
              <wp:cNvGraphicFramePr/>
              <a:graphic xmlns:a="http://schemas.openxmlformats.org/drawingml/2006/main">
                <a:graphicData uri="http://schemas.microsoft.com/office/word/2010/wordprocessingGroup">
                  <wpg:wgp>
                    <wpg:cNvGrpSpPr/>
                    <wpg:grpSpPr>
                      <a:xfrm>
                        <a:off x="0" y="0"/>
                        <a:ext cx="128016" cy="292608"/>
                        <a:chOff x="0" y="0"/>
                        <a:chExt cx="128016" cy="292608"/>
                      </a:xfrm>
                    </wpg:grpSpPr>
                    <wps:wsp>
                      <wps:cNvPr id="2447583" name="Rectangle 2447583"/>
                      <wps:cNvSpPr/>
                      <wps:spPr>
                        <a:xfrm>
                          <a:off x="0" y="0"/>
                          <a:ext cx="170261" cy="389169"/>
                        </a:xfrm>
                        <a:prstGeom prst="rect">
                          <a:avLst/>
                        </a:prstGeom>
                        <a:ln>
                          <a:noFill/>
                        </a:ln>
                      </wps:spPr>
                      <wps:txbx>
                        <w:txbxContent>
                          <w:p w14:paraId="2B438438" w14:textId="77777777" w:rsidR="00053D93" w:rsidRDefault="00260B75">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21160957" id="Group 2447582" o:spid="_x0000_s1911" style="position:absolute;left:0;text-align:left;margin-left:18.35pt;margin-top:18pt;width:10.1pt;height:23.05pt;z-index:251668480;mso-position-horizontal-relative:page;mso-position-vertical-relative:page" coordsize="128016,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">
              <v:rect id="Rectangle 2447583" o:spid="_x0000_s1912" style="position:absolute;width:170261;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" filled="f" stroked="f">
                <v:textbox inset="0,0,0,0">
                  <w:txbxContent>
                    <w:p w14:paraId="2B438438" w14:textId="77777777" w:rsidR="00053D93" w:rsidRDefault="00260B75">
                      <w:r>
                        <w:rPr>
                          <w:rFonts w:ascii="Times New Roman" w:eastAsia="Times New Roman" w:hAnsi="Times New Roman" w:cs="Times New Roman"/>
                          <w:sz w:val="78"/>
                        </w:rPr>
                        <w:t>1</w:t>
                      </w:r>
                    </w:p>
                  </w:txbxContent>
                </v:textbox>
              </v:rect>
              <w10:wrap type="square" anchorx="page" anchory="page"/>
            </v:group>
          </w:pict>
        </mc:Fallback>
      </mc:AlternateContent>
    </w:r>
    <w:r>
      <w:rPr>
        <w:sz w:val="14"/>
      </w:rPr>
      <w:t xml:space="preserve">DIRECCIÓN </w:t>
    </w:r>
  </w:p>
  <w:p w14:paraId="5D0FB15A" w14:textId="77777777" w:rsidR="00053D93" w:rsidRDefault="00260B75">
    <w:pPr>
      <w:tabs>
        <w:tab w:val="center" w:pos="5954"/>
        <w:tab w:val="right" w:pos="10210"/>
      </w:tabs>
      <w:spacing w:after="0"/>
    </w:pPr>
    <w:r>
      <w:rPr>
        <w:sz w:val="14"/>
      </w:rPr>
      <w:t xml:space="preserve">CONTRALORIA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72</w:t>
    </w:r>
    <w:r>
      <w:rPr>
        <w:rFonts w:ascii="Times New Roman" w:eastAsia="Times New Roman" w:hAnsi="Times New Roman" w:cs="Times New Roman"/>
        <w:sz w:val="14"/>
      </w:rPr>
      <w:fldChar w:fldCharType="end"/>
    </w:r>
    <w:r>
      <w:rPr>
        <w:rFonts w:ascii="Times New Roman" w:eastAsia="Times New Roman" w:hAnsi="Times New Roman" w:cs="Times New Roman"/>
        <w:sz w:val="14"/>
      </w:rPr>
      <w:tab/>
    </w:r>
    <w:r>
      <w:rPr>
        <w:sz w:val="16"/>
      </w:rPr>
      <w:t xml:space="preserve">DE </w:t>
    </w:r>
    <w:r>
      <w:rPr>
        <w:sz w:val="14"/>
      </w:rPr>
      <w:t xml:space="preserve">AUDTORIA AL </w:t>
    </w:r>
    <w:r>
      <w:rPr>
        <w:sz w:val="16"/>
      </w:rPr>
      <w:t xml:space="preserve">SECTOR </w:t>
    </w:r>
    <w:r>
      <w:rPr>
        <w:sz w:val="14"/>
      </w:rPr>
      <w:t>EDUCACIÓN. CIENCIA. CULTURA</w:t>
    </w:r>
  </w:p>
  <w:p w14:paraId="3E139F30" w14:textId="77777777" w:rsidR="00053D93" w:rsidRDefault="00260B75">
    <w:pPr>
      <w:spacing w:after="0"/>
      <w:ind w:right="7"/>
      <w:jc w:val="right"/>
    </w:pPr>
    <w:r>
      <w:rPr>
        <w:sz w:val="16"/>
      </w:rPr>
      <w:t>Y DEPORTES</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6C7AA" w14:textId="77777777" w:rsidR="00053D93" w:rsidRDefault="00260B75">
    <w:pPr>
      <w:spacing w:after="0"/>
      <w:ind w:left="3586"/>
      <w:jc w:val="center"/>
    </w:pPr>
    <w:r>
      <w:rPr>
        <w:sz w:val="14"/>
      </w:rPr>
      <w:t xml:space="preserve">DIRECCIÓN </w:t>
    </w:r>
    <w:r>
      <w:rPr>
        <w:sz w:val="16"/>
      </w:rPr>
      <w:t xml:space="preserve">DE </w:t>
    </w:r>
    <w:r>
      <w:rPr>
        <w:sz w:val="14"/>
      </w:rPr>
      <w:t xml:space="preserve">AUDITORÍA </w:t>
    </w:r>
  </w:p>
  <w:p w14:paraId="34F6B11B" w14:textId="77777777" w:rsidR="00053D93" w:rsidRDefault="00260B75">
    <w:pPr>
      <w:tabs>
        <w:tab w:val="center" w:pos="2812"/>
        <w:tab w:val="center" w:pos="5936"/>
        <w:tab w:val="center" w:pos="8006"/>
        <w:tab w:val="right" w:pos="10210"/>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2"/>
      </w:rPr>
      <w:t>71</w:t>
    </w:r>
    <w:r>
      <w:rPr>
        <w:rFonts w:ascii="Times New Roman" w:eastAsia="Times New Roman" w:hAnsi="Times New Roman" w:cs="Times New Roman"/>
        <w:sz w:val="12"/>
      </w:rPr>
      <w:fldChar w:fldCharType="end"/>
    </w:r>
    <w:r>
      <w:rPr>
        <w:rFonts w:ascii="Times New Roman" w:eastAsia="Times New Roman" w:hAnsi="Times New Roman" w:cs="Times New Roman"/>
        <w:sz w:val="12"/>
      </w:rPr>
      <w:tab/>
    </w:r>
    <w:r>
      <w:rPr>
        <w:sz w:val="14"/>
      </w:rPr>
      <w:t xml:space="preserve">AL </w:t>
    </w:r>
    <w:r>
      <w:rPr>
        <w:sz w:val="16"/>
      </w:rPr>
      <w:t xml:space="preserve">SECTOR </w:t>
    </w:r>
    <w:r>
      <w:rPr>
        <w:sz w:val="16"/>
      </w:rPr>
      <w:tab/>
    </w:r>
    <w:r>
      <w:rPr>
        <w:sz w:val="14"/>
      </w:rPr>
      <w:t>CIENCIA, CULTURA</w:t>
    </w:r>
  </w:p>
  <w:p w14:paraId="76F52575" w14:textId="77777777" w:rsidR="00053D93" w:rsidRDefault="00260B75">
    <w:pPr>
      <w:spacing w:after="0"/>
      <w:ind w:right="14"/>
      <w:jc w:val="right"/>
    </w:pPr>
    <w:r>
      <w:rPr>
        <w:sz w:val="18"/>
      </w:rPr>
      <w:t xml:space="preserve">Y </w:t>
    </w:r>
    <w:r>
      <w:rPr>
        <w:sz w:val="16"/>
      </w:rPr>
      <w:t>DEPORTES</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C3535" w14:textId="77777777" w:rsidR="00053D93" w:rsidRDefault="00260B75">
    <w:pPr>
      <w:spacing w:after="0"/>
      <w:ind w:left="3715"/>
      <w:jc w:val="center"/>
    </w:pPr>
    <w:r>
      <w:rPr>
        <w:sz w:val="14"/>
      </w:rPr>
      <w:t xml:space="preserve">DIRECCIÓN </w:t>
    </w:r>
    <w:r>
      <w:rPr>
        <w:sz w:val="16"/>
      </w:rPr>
      <w:t xml:space="preserve">DE </w:t>
    </w:r>
    <w:r>
      <w:rPr>
        <w:sz w:val="14"/>
      </w:rPr>
      <w:t xml:space="preserve">AUDITORÍA AL </w:t>
    </w:r>
  </w:p>
  <w:p w14:paraId="62B2215F" w14:textId="77777777" w:rsidR="00053D93" w:rsidRDefault="00260B75">
    <w:pPr>
      <w:tabs>
        <w:tab w:val="center" w:pos="2768"/>
        <w:tab w:val="right" w:pos="1017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66B721BC" w14:textId="77777777" w:rsidR="00053D93" w:rsidRDefault="00260B75">
    <w:pPr>
      <w:spacing w:after="0"/>
      <w:ind w:right="22"/>
      <w:jc w:val="right"/>
    </w:pPr>
    <w:r>
      <w:rPr>
        <w:sz w:val="16"/>
      </w:rPr>
      <w:t>Y DEPORTES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57626" w14:textId="77777777" w:rsidR="00053D93" w:rsidRDefault="00260B75">
    <w:pPr>
      <w:spacing w:after="76" w:line="216" w:lineRule="auto"/>
      <w:ind w:left="7812" w:right="778" w:firstLine="252"/>
    </w:pPr>
    <w:r>
      <w:rPr>
        <w:rFonts w:ascii="Times New Roman" w:eastAsia="Times New Roman" w:hAnsi="Times New Roman" w:cs="Times New Roman"/>
        <w:sz w:val="36"/>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p>
  <w:p w14:paraId="69B28B82" w14:textId="77777777" w:rsidR="00053D93" w:rsidRDefault="00260B75">
    <w:pPr>
      <w:spacing w:after="0"/>
      <w:ind w:left="871"/>
    </w:pPr>
    <w:r>
      <w:rPr>
        <w:rFonts w:ascii="Times New Roman" w:eastAsia="Times New Roman" w:hAnsi="Times New Roman" w:cs="Times New Roman"/>
        <w:sz w:val="20"/>
      </w:rPr>
      <w:t>Contraloría General de Cuentas</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19B8C" w14:textId="77777777" w:rsidR="00053D93" w:rsidRDefault="00260B75">
    <w:pPr>
      <w:tabs>
        <w:tab w:val="center" w:pos="2794"/>
        <w:tab w:val="center" w:pos="6455"/>
        <w:tab w:val="right" w:pos="10174"/>
      </w:tabs>
      <w:spacing w:after="0"/>
    </w:pPr>
    <w:r>
      <w:tab/>
    </w:r>
    <w:r>
      <w:rPr>
        <w:sz w:val="14"/>
      </w:rPr>
      <w:t xml:space="preserve">CONTRALORIA GENERAL </w:t>
    </w:r>
    <w:r>
      <w:rPr>
        <w:sz w:val="16"/>
      </w:rPr>
      <w:t xml:space="preserve">DE </w:t>
    </w:r>
    <w:r>
      <w:rPr>
        <w:sz w:val="14"/>
      </w:rPr>
      <w:t>CUENTAS</w:t>
    </w:r>
    <w:r>
      <w:rPr>
        <w:sz w:val="14"/>
      </w:rPr>
      <w:tab/>
      <w:t xml:space="preserve">DIRECCEÓN </w:t>
    </w:r>
    <w:r>
      <w:rPr>
        <w:sz w:val="14"/>
      </w:rPr>
      <w:tab/>
      <w:t xml:space="preserve">AUDITORIA AL </w:t>
    </w:r>
    <w:r>
      <w:rPr>
        <w:sz w:val="16"/>
      </w:rPr>
      <w:t xml:space="preserve">SECTOR </w:t>
    </w:r>
    <w:r>
      <w:rPr>
        <w:sz w:val="14"/>
      </w:rPr>
      <w:t>EDUCACIÓN. CIENCIA. CULTURA</w:t>
    </w:r>
  </w:p>
  <w:p w14:paraId="0349134B" w14:textId="77777777" w:rsidR="00053D93" w:rsidRDefault="00260B75">
    <w:pPr>
      <w:spacing w:after="0"/>
      <w:ind w:right="7"/>
      <w:jc w:val="right"/>
    </w:pPr>
    <w:r>
      <w:rPr>
        <w:sz w:val="16"/>
      </w:rPr>
      <w:t>Y DEPORTES</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BC126" w14:textId="77777777" w:rsidR="00053D93" w:rsidRDefault="00260B75">
    <w:pPr>
      <w:spacing w:after="0"/>
      <w:ind w:right="22"/>
      <w:jc w:val="right"/>
    </w:pPr>
    <w:r>
      <w:rPr>
        <w:sz w:val="14"/>
      </w:rPr>
      <w:t xml:space="preserve">DIRECCIÓN </w:t>
    </w:r>
    <w:r>
      <w:rPr>
        <w:sz w:val="16"/>
      </w:rPr>
      <w:t xml:space="preserve">DE </w:t>
    </w:r>
    <w:r>
      <w:rPr>
        <w:sz w:val="14"/>
      </w:rPr>
      <w:t xml:space="preserve">AUDITORIA AL </w:t>
    </w:r>
    <w:r>
      <w:rPr>
        <w:sz w:val="16"/>
      </w:rPr>
      <w:t xml:space="preserve">SECTOR </w:t>
    </w:r>
    <w:r>
      <w:rPr>
        <w:sz w:val="14"/>
      </w:rPr>
      <w:t>EDUCACIÓN. CIENCIA. CULTURA</w:t>
    </w:r>
  </w:p>
  <w:p w14:paraId="71EDB035" w14:textId="77777777" w:rsidR="00053D93" w:rsidRDefault="00260B75">
    <w:pPr>
      <w:tabs>
        <w:tab w:val="center" w:pos="2776"/>
        <w:tab w:val="center" w:pos="5911"/>
      </w:tabs>
      <w:spacing w:after="0"/>
    </w:pPr>
    <w:r>
      <w:tab/>
    </w:r>
    <w:r>
      <w:rPr>
        <w:sz w:val="14"/>
      </w:rPr>
      <w:t xml:space="preserve">CONTRALORÍA GENERAL </w:t>
    </w:r>
    <w:r>
      <w:rPr>
        <w:sz w:val="16"/>
      </w:rPr>
      <w:t xml:space="preserve">DE </w:t>
    </w:r>
    <w:r>
      <w:rPr>
        <w:sz w:val="14"/>
      </w:rPr>
      <w:t>CUENTAS</w:t>
    </w:r>
    <w:r>
      <w:rPr>
        <w:sz w:val="14"/>
      </w:rPr>
      <w:tab/>
    </w:r>
    <w:r>
      <w:fldChar w:fldCharType="begin"/>
    </w:r>
    <w:r>
      <w:instrText xml:space="preserve"> PAGE   \* MERGEFORMAT </w:instrText>
    </w:r>
    <w:r>
      <w:fldChar w:fldCharType="separate"/>
    </w:r>
    <w:r>
      <w:rPr>
        <w:rFonts w:ascii="Times New Roman" w:eastAsia="Times New Roman" w:hAnsi="Times New Roman" w:cs="Times New Roman"/>
        <w:sz w:val="14"/>
      </w:rPr>
      <w:t>10</w:t>
    </w:r>
    <w:r>
      <w:rPr>
        <w:rFonts w:ascii="Times New Roman" w:eastAsia="Times New Roman" w:hAnsi="Times New Roman" w:cs="Times New Roman"/>
        <w:sz w:val="14"/>
      </w:rPr>
      <w:fldChar w:fldCharType="end"/>
    </w:r>
  </w:p>
  <w:p w14:paraId="468DE68D" w14:textId="77777777" w:rsidR="00053D93" w:rsidRDefault="00260B75">
    <w:pPr>
      <w:spacing w:after="0"/>
      <w:ind w:right="29"/>
      <w:jc w:val="right"/>
    </w:pPr>
    <w:r>
      <w:rPr>
        <w:sz w:val="16"/>
      </w:rPr>
      <w:t>Y DEPORTES</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4F782" w14:textId="77777777" w:rsidR="00053D93" w:rsidRDefault="00260B75">
    <w:pPr>
      <w:spacing w:after="0"/>
      <w:ind w:left="65"/>
    </w:pPr>
    <w:r>
      <w:rPr>
        <w:noProof/>
      </w:rPr>
      <mc:AlternateContent>
        <mc:Choice Requires="wpg">
          <w:drawing>
            <wp:anchor distT="0" distB="0" distL="114300" distR="114300" simplePos="0" relativeHeight="251669504" behindDoc="0" locked="0" layoutInCell="1" allowOverlap="1" wp14:anchorId="3D88F8DC" wp14:editId="4ABFDDB2">
              <wp:simplePos x="0" y="0"/>
              <wp:positionH relativeFrom="page">
                <wp:posOffset>237744</wp:posOffset>
              </wp:positionH>
              <wp:positionV relativeFrom="page">
                <wp:posOffset>224028</wp:posOffset>
              </wp:positionV>
              <wp:extent cx="114300" cy="301752"/>
              <wp:effectExtent l="0" t="0" r="0" b="0"/>
              <wp:wrapSquare wrapText="bothSides"/>
              <wp:docPr id="2447767" name="Group 2447767"/>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7768" name="Rectangle 2447768"/>
                      <wps:cNvSpPr/>
                      <wps:spPr>
                        <a:xfrm>
                          <a:off x="0" y="0"/>
                          <a:ext cx="152019" cy="401330"/>
                        </a:xfrm>
                        <a:prstGeom prst="rect">
                          <a:avLst/>
                        </a:prstGeom>
                        <a:ln>
                          <a:noFill/>
                        </a:ln>
                      </wps:spPr>
                      <wps:txbx>
                        <w:txbxContent>
                          <w:p w14:paraId="6168556E"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3D88F8DC" id="Group 2447767" o:spid="_x0000_s1913" style="position:absolute;left:0;text-align:left;margin-left:18.7pt;margin-top:17.65pt;width:9pt;height:23.75pt;z-index:251669504;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">
              <v:rect id="Rectangle 2447768" o:spid="_x0000_s191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" filled="f" stroked="f">
                <v:textbox inset="0,0,0,0">
                  <w:txbxContent>
                    <w:p w14:paraId="6168556E"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14983755" w14:textId="77777777" w:rsidR="00053D93" w:rsidRDefault="00260B75">
    <w:pPr>
      <w:tabs>
        <w:tab w:val="right" w:pos="10202"/>
      </w:tabs>
      <w:spacing w:after="0"/>
      <w:ind w:right="-7"/>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2E8F6A28" w14:textId="77777777" w:rsidR="00053D93" w:rsidRDefault="00260B75">
    <w:pPr>
      <w:spacing w:after="0"/>
      <w:jc w:val="right"/>
    </w:pPr>
    <w:r>
      <w:rPr>
        <w:sz w:val="16"/>
      </w:rPr>
      <w:t>Y DEPORTES</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06813" w14:textId="77777777" w:rsidR="00053D93" w:rsidRDefault="00260B75">
    <w:pPr>
      <w:spacing w:after="0"/>
      <w:ind w:left="3701"/>
      <w:jc w:val="center"/>
    </w:pPr>
    <w:r>
      <w:rPr>
        <w:sz w:val="14"/>
      </w:rPr>
      <w:t xml:space="preserve">DIRECCIÓN </w:t>
    </w:r>
    <w:r>
      <w:rPr>
        <w:sz w:val="16"/>
      </w:rPr>
      <w:t xml:space="preserve">DE </w:t>
    </w:r>
    <w:r>
      <w:rPr>
        <w:sz w:val="14"/>
      </w:rPr>
      <w:t xml:space="preserve">AUDITORÍA AL </w:t>
    </w:r>
  </w:p>
  <w:p w14:paraId="56156922" w14:textId="77777777" w:rsidR="00053D93" w:rsidRDefault="00260B75">
    <w:pPr>
      <w:tabs>
        <w:tab w:val="center" w:pos="2776"/>
        <w:tab w:val="right" w:pos="10202"/>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0E6F1B17" w14:textId="77777777" w:rsidR="00053D93" w:rsidRDefault="00260B75">
    <w:pPr>
      <w:spacing w:after="0"/>
      <w:ind w:right="43"/>
      <w:jc w:val="right"/>
    </w:pPr>
    <w:r>
      <w:rPr>
        <w:sz w:val="16"/>
      </w:rPr>
      <w:t>Y DEPORTES</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303EE" w14:textId="77777777" w:rsidR="00053D93" w:rsidRDefault="00260B75">
    <w:pPr>
      <w:tabs>
        <w:tab w:val="center" w:pos="2801"/>
        <w:tab w:val="center" w:pos="6462"/>
        <w:tab w:val="right" w:pos="10202"/>
      </w:tabs>
      <w:spacing w:after="0"/>
    </w:pPr>
    <w:r>
      <w:tab/>
    </w:r>
    <w:r>
      <w:rPr>
        <w:sz w:val="14"/>
      </w:rPr>
      <w:t xml:space="preserve">CONTRALORIA GENERAL </w:t>
    </w:r>
    <w:r>
      <w:rPr>
        <w:sz w:val="16"/>
      </w:rPr>
      <w:t xml:space="preserve">DE </w:t>
    </w:r>
    <w:r>
      <w:rPr>
        <w:sz w:val="14"/>
      </w:rPr>
      <w:t>CUENTAS</w:t>
    </w:r>
    <w:r>
      <w:rPr>
        <w:sz w:val="14"/>
      </w:rPr>
      <w:tab/>
      <w:t xml:space="preserve">DIRECCEÓN </w:t>
    </w:r>
    <w:r>
      <w:rPr>
        <w:sz w:val="14"/>
      </w:rPr>
      <w:tab/>
      <w:t xml:space="preserve">AUDITORIA AL </w:t>
    </w:r>
    <w:r>
      <w:rPr>
        <w:sz w:val="16"/>
      </w:rPr>
      <w:t xml:space="preserve">SECTOR </w:t>
    </w:r>
    <w:r>
      <w:rPr>
        <w:sz w:val="14"/>
      </w:rPr>
      <w:t>EDUCACIÓN. CIENCIA. CULTURA</w:t>
    </w:r>
  </w:p>
  <w:p w14:paraId="702ABD51" w14:textId="77777777" w:rsidR="00053D93" w:rsidRDefault="00260B75">
    <w:pPr>
      <w:spacing w:after="0"/>
      <w:ind w:right="29"/>
      <w:jc w:val="right"/>
    </w:pPr>
    <w:r>
      <w:rPr>
        <w:sz w:val="16"/>
      </w:rPr>
      <w:t>Y DEPORTES</w: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9BF2E" w14:textId="77777777" w:rsidR="00053D93" w:rsidRDefault="00260B75">
    <w:pPr>
      <w:spacing w:after="0"/>
      <w:ind w:left="72"/>
    </w:pPr>
    <w:r>
      <w:rPr>
        <w:noProof/>
      </w:rPr>
      <mc:AlternateContent>
        <mc:Choice Requires="wpg">
          <w:drawing>
            <wp:anchor distT="0" distB="0" distL="114300" distR="114300" simplePos="0" relativeHeight="251670528" behindDoc="0" locked="0" layoutInCell="1" allowOverlap="1" wp14:anchorId="3DA8E455" wp14:editId="134C7596">
              <wp:simplePos x="0" y="0"/>
              <wp:positionH relativeFrom="page">
                <wp:posOffset>237744</wp:posOffset>
              </wp:positionH>
              <wp:positionV relativeFrom="page">
                <wp:posOffset>224028</wp:posOffset>
              </wp:positionV>
              <wp:extent cx="114300" cy="301752"/>
              <wp:effectExtent l="0" t="0" r="0" b="0"/>
              <wp:wrapSquare wrapText="bothSides"/>
              <wp:docPr id="2447849" name="Group 2447849"/>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7850" name="Rectangle 2447850"/>
                      <wps:cNvSpPr/>
                      <wps:spPr>
                        <a:xfrm>
                          <a:off x="0" y="0"/>
                          <a:ext cx="152019" cy="401330"/>
                        </a:xfrm>
                        <a:prstGeom prst="rect">
                          <a:avLst/>
                        </a:prstGeom>
                        <a:ln>
                          <a:noFill/>
                        </a:ln>
                      </wps:spPr>
                      <wps:txbx>
                        <w:txbxContent>
                          <w:p w14:paraId="4086D552"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3DA8E455" id="Group 2447849" o:spid="_x0000_s1915" style="position:absolute;left:0;text-align:left;margin-left:18.7pt;margin-top:17.65pt;width:9pt;height:23.75pt;z-index:251670528;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">
              <v:rect id="Rectangle 2447850" o:spid="_x0000_s1916"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" filled="f" stroked="f">
                <v:textbox inset="0,0,0,0">
                  <w:txbxContent>
                    <w:p w14:paraId="4086D552"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09781664" w14:textId="77777777" w:rsidR="00053D93" w:rsidRDefault="00260B75">
    <w:pPr>
      <w:tabs>
        <w:tab w:val="right" w:pos="10202"/>
      </w:tabs>
      <w:spacing w:after="0"/>
      <w:ind w:right="-14"/>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5EFFA32A" w14:textId="77777777" w:rsidR="00053D93" w:rsidRDefault="00260B75">
    <w:pPr>
      <w:spacing w:after="0"/>
      <w:ind w:right="-7"/>
      <w:jc w:val="right"/>
    </w:pPr>
    <w:r>
      <w:rPr>
        <w:sz w:val="16"/>
      </w:rPr>
      <w:t>Y DEPORTES</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85D25" w14:textId="77777777" w:rsidR="00053D93" w:rsidRDefault="00260B75">
    <w:pPr>
      <w:spacing w:after="0"/>
      <w:ind w:left="72"/>
    </w:pPr>
    <w:r>
      <w:rPr>
        <w:noProof/>
      </w:rPr>
      <mc:AlternateContent>
        <mc:Choice Requires="wpg">
          <w:drawing>
            <wp:anchor distT="0" distB="0" distL="114300" distR="114300" simplePos="0" relativeHeight="251671552" behindDoc="0" locked="0" layoutInCell="1" allowOverlap="1" wp14:anchorId="7747B3C3" wp14:editId="14C8297E">
              <wp:simplePos x="0" y="0"/>
              <wp:positionH relativeFrom="page">
                <wp:posOffset>237744</wp:posOffset>
              </wp:positionH>
              <wp:positionV relativeFrom="page">
                <wp:posOffset>224028</wp:posOffset>
              </wp:positionV>
              <wp:extent cx="114300" cy="301752"/>
              <wp:effectExtent l="0" t="0" r="0" b="0"/>
              <wp:wrapSquare wrapText="bothSides"/>
              <wp:docPr id="2447822" name="Group 2447822"/>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7823" name="Rectangle 2447823"/>
                      <wps:cNvSpPr/>
                      <wps:spPr>
                        <a:xfrm>
                          <a:off x="0" y="0"/>
                          <a:ext cx="152019" cy="401330"/>
                        </a:xfrm>
                        <a:prstGeom prst="rect">
                          <a:avLst/>
                        </a:prstGeom>
                        <a:ln>
                          <a:noFill/>
                        </a:ln>
                      </wps:spPr>
                      <wps:txbx>
                        <w:txbxContent>
                          <w:p w14:paraId="4D497529"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7747B3C3" id="Group 2447822" o:spid="_x0000_s1917" style="position:absolute;left:0;text-align:left;margin-left:18.7pt;margin-top:17.65pt;width:9pt;height:23.75pt;z-index:251671552;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">
              <v:rect id="Rectangle 2447823" o:spid="_x0000_s1918"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" filled="f" stroked="f">
                <v:textbox inset="0,0,0,0">
                  <w:txbxContent>
                    <w:p w14:paraId="4D497529"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056A13D6" w14:textId="77777777" w:rsidR="00053D93" w:rsidRDefault="00260B75">
    <w:pPr>
      <w:tabs>
        <w:tab w:val="right" w:pos="10202"/>
      </w:tabs>
      <w:spacing w:after="0"/>
      <w:ind w:right="-14"/>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51879F7B" w14:textId="77777777" w:rsidR="00053D93" w:rsidRDefault="00260B75">
    <w:pPr>
      <w:spacing w:after="0"/>
      <w:ind w:right="-7"/>
      <w:jc w:val="right"/>
    </w:pPr>
    <w:r>
      <w:rPr>
        <w:sz w:val="16"/>
      </w:rPr>
      <w:t>Y DEPORTES</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0BF75" w14:textId="77777777" w:rsidR="00053D93" w:rsidRDefault="00260B75">
    <w:pPr>
      <w:spacing w:after="0"/>
      <w:ind w:left="72"/>
    </w:pPr>
    <w:r>
      <w:rPr>
        <w:noProof/>
      </w:rPr>
      <mc:AlternateContent>
        <mc:Choice Requires="wpg">
          <w:drawing>
            <wp:anchor distT="0" distB="0" distL="114300" distR="114300" simplePos="0" relativeHeight="251672576" behindDoc="0" locked="0" layoutInCell="1" allowOverlap="1" wp14:anchorId="5DEC7EBE" wp14:editId="54C73329">
              <wp:simplePos x="0" y="0"/>
              <wp:positionH relativeFrom="page">
                <wp:posOffset>237744</wp:posOffset>
              </wp:positionH>
              <wp:positionV relativeFrom="page">
                <wp:posOffset>224028</wp:posOffset>
              </wp:positionV>
              <wp:extent cx="114300" cy="301752"/>
              <wp:effectExtent l="0" t="0" r="0" b="0"/>
              <wp:wrapSquare wrapText="bothSides"/>
              <wp:docPr id="2447795" name="Group 2447795"/>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7796" name="Rectangle 2447796"/>
                      <wps:cNvSpPr/>
                      <wps:spPr>
                        <a:xfrm>
                          <a:off x="0" y="0"/>
                          <a:ext cx="152019" cy="401330"/>
                        </a:xfrm>
                        <a:prstGeom prst="rect">
                          <a:avLst/>
                        </a:prstGeom>
                        <a:ln>
                          <a:noFill/>
                        </a:ln>
                      </wps:spPr>
                      <wps:txbx>
                        <w:txbxContent>
                          <w:p w14:paraId="7A664338"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DEC7EBE" id="Group 2447795" o:spid="_x0000_s1919" style="position:absolute;left:0;text-align:left;margin-left:18.7pt;margin-top:17.65pt;width:9pt;height:23.75pt;z-index:251672576;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">
              <v:rect id="Rectangle 2447796" o:spid="_x0000_s1920"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" filled="f" stroked="f">
                <v:textbox inset="0,0,0,0">
                  <w:txbxContent>
                    <w:p w14:paraId="7A664338"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23CDC113" w14:textId="77777777" w:rsidR="00053D93" w:rsidRDefault="00260B75">
    <w:pPr>
      <w:tabs>
        <w:tab w:val="right" w:pos="10202"/>
      </w:tabs>
      <w:spacing w:after="0"/>
      <w:ind w:right="-14"/>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2774BA04" w14:textId="77777777" w:rsidR="00053D93" w:rsidRDefault="00260B75">
    <w:pPr>
      <w:spacing w:after="0"/>
      <w:ind w:right="-7"/>
      <w:jc w:val="right"/>
    </w:pPr>
    <w:r>
      <w:rPr>
        <w:sz w:val="16"/>
      </w:rPr>
      <w:t>Y DEPORTES</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361CE" w14:textId="77777777" w:rsidR="00053D93" w:rsidRDefault="00260B75">
    <w:pPr>
      <w:tabs>
        <w:tab w:val="center" w:pos="2801"/>
        <w:tab w:val="center" w:pos="6462"/>
        <w:tab w:val="right" w:pos="10188"/>
      </w:tabs>
      <w:spacing w:after="0"/>
    </w:pPr>
    <w:r>
      <w:tab/>
    </w:r>
    <w:r>
      <w:rPr>
        <w:sz w:val="14"/>
      </w:rPr>
      <w:t xml:space="preserve">CONTRALORIA GENERAL </w:t>
    </w:r>
    <w:r>
      <w:rPr>
        <w:sz w:val="16"/>
      </w:rPr>
      <w:t xml:space="preserve">DE </w:t>
    </w:r>
    <w:r>
      <w:rPr>
        <w:sz w:val="14"/>
      </w:rPr>
      <w:t>CUENTAS</w:t>
    </w:r>
    <w:r>
      <w:rPr>
        <w:sz w:val="14"/>
      </w:rPr>
      <w:tab/>
      <w:t xml:space="preserve">DIRECCEÓN </w:t>
    </w:r>
    <w:r>
      <w:rPr>
        <w:sz w:val="14"/>
      </w:rPr>
      <w:tab/>
      <w:t xml:space="preserve">AUDITORIA AL </w:t>
    </w:r>
    <w:r>
      <w:rPr>
        <w:sz w:val="16"/>
      </w:rPr>
      <w:t xml:space="preserve">SECTOR </w:t>
    </w:r>
    <w:r>
      <w:rPr>
        <w:sz w:val="14"/>
      </w:rPr>
      <w:t>EDUCACIÓN. CIENCIA. CULTURA</w:t>
    </w:r>
  </w:p>
  <w:p w14:paraId="1A5C050A" w14:textId="77777777" w:rsidR="00053D93" w:rsidRDefault="00260B75">
    <w:pPr>
      <w:spacing w:after="0"/>
      <w:ind w:right="14"/>
      <w:jc w:val="right"/>
    </w:pPr>
    <w:r>
      <w:rPr>
        <w:sz w:val="16"/>
      </w:rPr>
      <w:t>Y DEPORTES</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EF64A" w14:textId="77777777" w:rsidR="00053D93" w:rsidRDefault="00260B75">
    <w:pPr>
      <w:tabs>
        <w:tab w:val="right" w:pos="10188"/>
      </w:tabs>
      <w:spacing w:after="0"/>
    </w:pPr>
    <w:r>
      <w:rPr>
        <w:noProof/>
      </w:rPr>
      <mc:AlternateContent>
        <mc:Choice Requires="wpg">
          <w:drawing>
            <wp:anchor distT="0" distB="0" distL="114300" distR="114300" simplePos="0" relativeHeight="251673600" behindDoc="0" locked="0" layoutInCell="1" allowOverlap="1" wp14:anchorId="79029A8F" wp14:editId="73F06B03">
              <wp:simplePos x="0" y="0"/>
              <wp:positionH relativeFrom="page">
                <wp:posOffset>224028</wp:posOffset>
              </wp:positionH>
              <wp:positionV relativeFrom="page">
                <wp:posOffset>283464</wp:posOffset>
              </wp:positionV>
              <wp:extent cx="118872" cy="297180"/>
              <wp:effectExtent l="0" t="0" r="0" b="0"/>
              <wp:wrapSquare wrapText="bothSides"/>
              <wp:docPr id="2447907" name="Group 2447907"/>
              <wp:cNvGraphicFramePr/>
              <a:graphic xmlns:a="http://schemas.openxmlformats.org/drawingml/2006/main">
                <a:graphicData uri="http://schemas.microsoft.com/office/word/2010/wordprocessingGroup">
                  <wpg:wgp>
                    <wpg:cNvGrpSpPr/>
                    <wpg:grpSpPr>
                      <a:xfrm>
                        <a:off x="0" y="0"/>
                        <a:ext cx="118872" cy="297180"/>
                        <a:chOff x="0" y="0"/>
                        <a:chExt cx="118872" cy="297180"/>
                      </a:xfrm>
                    </wpg:grpSpPr>
                    <wps:wsp>
                      <wps:cNvPr id="2447908" name="Rectangle 2447908"/>
                      <wps:cNvSpPr/>
                      <wps:spPr>
                        <a:xfrm>
                          <a:off x="0" y="0"/>
                          <a:ext cx="158100" cy="395250"/>
                        </a:xfrm>
                        <a:prstGeom prst="rect">
                          <a:avLst/>
                        </a:prstGeom>
                        <a:ln>
                          <a:noFill/>
                        </a:ln>
                      </wps:spPr>
                      <wps:txbx>
                        <w:txbxContent>
                          <w:p w14:paraId="371EA8FC" w14:textId="77777777" w:rsidR="00053D93" w:rsidRDefault="00260B75">
                            <w:r>
                              <w:rPr>
                                <w:rFonts w:ascii="Times New Roman" w:eastAsia="Times New Roman" w:hAnsi="Times New Roman" w:cs="Times New Roman"/>
                                <w:sz w:val="72"/>
                              </w:rPr>
                              <w:t>1</w:t>
                            </w:r>
                          </w:p>
                        </w:txbxContent>
                      </wps:txbx>
                      <wps:bodyPr horzOverflow="overflow" vert="horz" lIns="0" tIns="0" rIns="0" bIns="0" rtlCol="0">
                        <a:noAutofit/>
                      </wps:bodyPr>
                    </wps:wsp>
                  </wpg:wgp>
                </a:graphicData>
              </a:graphic>
            </wp:anchor>
          </w:drawing>
        </mc:Choice>
        <mc:Fallback>
          <w:pict>
            <v:group w14:anchorId="79029A8F" id="Group 2447907" o:spid="_x0000_s1921" style="position:absolute;margin-left:17.65pt;margin-top:22.3pt;width:9.35pt;height:23.4pt;z-index:251673600;mso-position-horizontal-relative:page;mso-position-vertical-relative:page" coordsize="118872,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">
              <v:rect id="Rectangle 2447908" o:spid="_x0000_s1922" style="position:absolute;width:158100;height:3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" filled="f" stroked="f">
                <v:textbox inset="0,0,0,0">
                  <w:txbxContent>
                    <w:p w14:paraId="371EA8FC" w14:textId="77777777" w:rsidR="00053D93" w:rsidRDefault="00260B75">
                      <w:r>
                        <w:rPr>
                          <w:rFonts w:ascii="Times New Roman" w:eastAsia="Times New Roman" w:hAnsi="Times New Roman" w:cs="Times New Roman"/>
                          <w:sz w:val="72"/>
                        </w:rPr>
                        <w:t>1</w:t>
                      </w:r>
                    </w:p>
                  </w:txbxContent>
                </v:textbox>
              </v:rect>
              <w10:wrap type="square" anchorx="page" anchory="page"/>
            </v:group>
          </w:pict>
        </mc:Fallback>
      </mc:AlternateContent>
    </w:r>
    <w:r>
      <w:rPr>
        <w:sz w:val="14"/>
      </w:rPr>
      <w:t xml:space="preserve">DIRECCIÓN </w:t>
    </w:r>
    <w:r>
      <w:rPr>
        <w:sz w:val="14"/>
      </w:rPr>
      <w:tab/>
      <w:t xml:space="preserve">AUDITORIA AL </w:t>
    </w:r>
    <w:r>
      <w:rPr>
        <w:sz w:val="16"/>
      </w:rPr>
      <w:t xml:space="preserve">SECTOR </w:t>
    </w:r>
    <w:r>
      <w:rPr>
        <w:sz w:val="14"/>
      </w:rPr>
      <w:t>EDUCACIÓN. CIENCIA. CULTURA</w:t>
    </w:r>
  </w:p>
  <w:p w14:paraId="6F9B698B" w14:textId="77777777" w:rsidR="00053D93" w:rsidRDefault="00260B75">
    <w:pPr>
      <w:spacing w:after="0"/>
      <w:ind w:left="43"/>
    </w:pPr>
    <w:r>
      <w:rPr>
        <w:sz w:val="14"/>
      </w:rPr>
      <w:t xml:space="preserve">CONTRALORÍA GENERAL </w:t>
    </w:r>
    <w:r>
      <w:rPr>
        <w:sz w:val="16"/>
      </w:rPr>
      <w:t xml:space="preserve">DE </w:t>
    </w:r>
    <w:r>
      <w:rPr>
        <w:sz w:val="14"/>
      </w:rPr>
      <w:t>CUENTAS</w:t>
    </w:r>
  </w:p>
  <w:p w14:paraId="382CF295" w14:textId="77777777" w:rsidR="00053D93" w:rsidRDefault="00260B75">
    <w:pPr>
      <w:spacing w:after="0"/>
      <w:ind w:right="7"/>
      <w:jc w:val="right"/>
    </w:pPr>
    <w:r>
      <w:rPr>
        <w:sz w:val="16"/>
      </w:rPr>
      <w:t>Y DEPORTES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6F873" w14:textId="77777777" w:rsidR="00053D93" w:rsidRDefault="00260B75">
    <w:pPr>
      <w:spacing w:after="76" w:line="216" w:lineRule="auto"/>
      <w:ind w:left="7812" w:right="778" w:firstLine="252"/>
    </w:pPr>
    <w:r>
      <w:rPr>
        <w:rFonts w:ascii="Times New Roman" w:eastAsia="Times New Roman" w:hAnsi="Times New Roman" w:cs="Times New Roman"/>
        <w:sz w:val="36"/>
      </w:rPr>
      <w:t xml:space="preserve">PrevenciÓny </w:t>
    </w:r>
    <w:r>
      <w:rPr>
        <w:rFonts w:ascii="Times New Roman" w:eastAsia="Times New Roman" w:hAnsi="Times New Roman" w:cs="Times New Roman"/>
        <w:sz w:val="26"/>
      </w:rPr>
      <w:t xml:space="preserve">buena </w:t>
    </w:r>
    <w:r>
      <w:rPr>
        <w:rFonts w:ascii="Times New Roman" w:eastAsia="Times New Roman" w:hAnsi="Times New Roman" w:cs="Times New Roman"/>
        <w:sz w:val="28"/>
      </w:rPr>
      <w:t>gobernanza</w:t>
    </w:r>
  </w:p>
  <w:p w14:paraId="53F60335" w14:textId="77777777" w:rsidR="00053D93" w:rsidRDefault="00260B75">
    <w:pPr>
      <w:spacing w:after="0"/>
      <w:ind w:left="871"/>
    </w:pPr>
    <w:r>
      <w:rPr>
        <w:rFonts w:ascii="Times New Roman" w:eastAsia="Times New Roman" w:hAnsi="Times New Roman" w:cs="Times New Roman"/>
        <w:sz w:val="20"/>
      </w:rPr>
      <w:t>Contraloría General de Cuentas</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48C20" w14:textId="77777777" w:rsidR="00053D93" w:rsidRDefault="00260B75">
    <w:pPr>
      <w:spacing w:after="0"/>
      <w:ind w:left="3715"/>
      <w:jc w:val="center"/>
    </w:pPr>
    <w:r>
      <w:rPr>
        <w:sz w:val="14"/>
      </w:rPr>
      <w:t xml:space="preserve">DIRECCIÓN </w:t>
    </w:r>
    <w:r>
      <w:rPr>
        <w:sz w:val="16"/>
      </w:rPr>
      <w:t xml:space="preserve">DE </w:t>
    </w:r>
    <w:r>
      <w:rPr>
        <w:sz w:val="14"/>
      </w:rPr>
      <w:t xml:space="preserve">AUDITORÍA AL </w:t>
    </w:r>
  </w:p>
  <w:p w14:paraId="00609A45" w14:textId="77777777" w:rsidR="00053D93" w:rsidRDefault="00260B75">
    <w:pPr>
      <w:tabs>
        <w:tab w:val="center" w:pos="2776"/>
        <w:tab w:val="right" w:pos="10188"/>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150AF919" w14:textId="77777777" w:rsidR="00053D93" w:rsidRDefault="00260B75">
    <w:pPr>
      <w:spacing w:after="0"/>
      <w:ind w:right="29"/>
      <w:jc w:val="right"/>
    </w:pPr>
    <w:r>
      <w:rPr>
        <w:sz w:val="16"/>
      </w:rPr>
      <w:t>Y DEPORTES</w: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03EB6" w14:textId="77777777" w:rsidR="00053D93" w:rsidRDefault="00260B75">
    <w:pPr>
      <w:tabs>
        <w:tab w:val="center" w:pos="2779"/>
        <w:tab w:val="center" w:pos="6440"/>
        <w:tab w:val="right" w:pos="10181"/>
      </w:tabs>
      <w:spacing w:after="0"/>
    </w:pPr>
    <w:r>
      <w:tab/>
    </w:r>
    <w:r>
      <w:rPr>
        <w:sz w:val="14"/>
      </w:rPr>
      <w:t xml:space="preserve">CONTRALORIA GENERAL </w:t>
    </w:r>
    <w:r>
      <w:rPr>
        <w:sz w:val="16"/>
      </w:rPr>
      <w:t xml:space="preserve">DE </w:t>
    </w:r>
    <w:r>
      <w:rPr>
        <w:sz w:val="14"/>
      </w:rPr>
      <w:t>CUENTAS</w:t>
    </w:r>
    <w:r>
      <w:rPr>
        <w:sz w:val="14"/>
      </w:rPr>
      <w:tab/>
      <w:t xml:space="preserve">DIRECCEÓN </w:t>
    </w:r>
    <w:r>
      <w:rPr>
        <w:sz w:val="14"/>
      </w:rPr>
      <w:tab/>
      <w:t xml:space="preserve">AUDITORIA AL </w:t>
    </w:r>
    <w:r>
      <w:rPr>
        <w:sz w:val="16"/>
      </w:rPr>
      <w:t xml:space="preserve">SECTOR </w:t>
    </w:r>
    <w:r>
      <w:rPr>
        <w:sz w:val="14"/>
      </w:rPr>
      <w:t>EDUCACIÓN. CIENCIA. CULTURA</w:t>
    </w:r>
  </w:p>
  <w:p w14:paraId="4D127D58" w14:textId="77777777" w:rsidR="00053D93" w:rsidRDefault="00260B75">
    <w:pPr>
      <w:spacing w:after="0"/>
      <w:ind w:right="29"/>
      <w:jc w:val="right"/>
    </w:pPr>
    <w:r>
      <w:rPr>
        <w:sz w:val="16"/>
      </w:rPr>
      <w:t>Y DEPORTES</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595F6" w14:textId="77777777" w:rsidR="00053D93" w:rsidRDefault="00260B75">
    <w:pPr>
      <w:spacing w:after="0"/>
      <w:ind w:left="43"/>
    </w:pPr>
    <w:r>
      <w:rPr>
        <w:noProof/>
      </w:rPr>
      <mc:AlternateContent>
        <mc:Choice Requires="wpg">
          <w:drawing>
            <wp:anchor distT="0" distB="0" distL="114300" distR="114300" simplePos="0" relativeHeight="251674624" behindDoc="0" locked="0" layoutInCell="1" allowOverlap="1" wp14:anchorId="69465716" wp14:editId="4A87D0B7">
              <wp:simplePos x="0" y="0"/>
              <wp:positionH relativeFrom="page">
                <wp:posOffset>237744</wp:posOffset>
              </wp:positionH>
              <wp:positionV relativeFrom="page">
                <wp:posOffset>224028</wp:posOffset>
              </wp:positionV>
              <wp:extent cx="114300" cy="301752"/>
              <wp:effectExtent l="0" t="0" r="0" b="0"/>
              <wp:wrapSquare wrapText="bothSides"/>
              <wp:docPr id="2447979" name="Group 2447979"/>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7980" name="Rectangle 2447980"/>
                      <wps:cNvSpPr/>
                      <wps:spPr>
                        <a:xfrm>
                          <a:off x="0" y="0"/>
                          <a:ext cx="152019" cy="401330"/>
                        </a:xfrm>
                        <a:prstGeom prst="rect">
                          <a:avLst/>
                        </a:prstGeom>
                        <a:ln>
                          <a:noFill/>
                        </a:ln>
                      </wps:spPr>
                      <wps:txbx>
                        <w:txbxContent>
                          <w:p w14:paraId="3F2ECC6D"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69465716" id="Group 2447979" o:spid="_x0000_s1923" style="position:absolute;left:0;text-align:left;margin-left:18.7pt;margin-top:17.65pt;width:9pt;height:23.75pt;z-index:251674624;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">
              <v:rect id="Rectangle 2447980" o:spid="_x0000_s1924"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" filled="f" stroked="f">
                <v:textbox inset="0,0,0,0">
                  <w:txbxContent>
                    <w:p w14:paraId="3F2ECC6D"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3446DFB3" w14:textId="77777777" w:rsidR="00053D93" w:rsidRDefault="00260B75">
    <w:pPr>
      <w:tabs>
        <w:tab w:val="right" w:pos="10181"/>
      </w:tabs>
      <w:spacing w:after="0"/>
      <w:ind w:right="-7"/>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1E00ADFF" w14:textId="77777777" w:rsidR="00053D93" w:rsidRDefault="00260B75">
    <w:pPr>
      <w:spacing w:after="0"/>
      <w:jc w:val="right"/>
    </w:pPr>
    <w:r>
      <w:rPr>
        <w:sz w:val="16"/>
      </w:rPr>
      <w:t>Y DEPORTES</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D90E1" w14:textId="77777777" w:rsidR="00053D93" w:rsidRDefault="00260B75">
    <w:pPr>
      <w:spacing w:after="0"/>
      <w:ind w:left="43"/>
    </w:pPr>
    <w:r>
      <w:rPr>
        <w:noProof/>
      </w:rPr>
      <mc:AlternateContent>
        <mc:Choice Requires="wpg">
          <w:drawing>
            <wp:anchor distT="0" distB="0" distL="114300" distR="114300" simplePos="0" relativeHeight="251675648" behindDoc="0" locked="0" layoutInCell="1" allowOverlap="1" wp14:anchorId="575EE1A2" wp14:editId="6E02E5EE">
              <wp:simplePos x="0" y="0"/>
              <wp:positionH relativeFrom="page">
                <wp:posOffset>237744</wp:posOffset>
              </wp:positionH>
              <wp:positionV relativeFrom="page">
                <wp:posOffset>224028</wp:posOffset>
              </wp:positionV>
              <wp:extent cx="114300" cy="301752"/>
              <wp:effectExtent l="0" t="0" r="0" b="0"/>
              <wp:wrapSquare wrapText="bothSides"/>
              <wp:docPr id="2447952" name="Group 2447952"/>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7953" name="Rectangle 2447953"/>
                      <wps:cNvSpPr/>
                      <wps:spPr>
                        <a:xfrm>
                          <a:off x="0" y="0"/>
                          <a:ext cx="152019" cy="401330"/>
                        </a:xfrm>
                        <a:prstGeom prst="rect">
                          <a:avLst/>
                        </a:prstGeom>
                        <a:ln>
                          <a:noFill/>
                        </a:ln>
                      </wps:spPr>
                      <wps:txbx>
                        <w:txbxContent>
                          <w:p w14:paraId="22BBDF83"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75EE1A2" id="Group 2447952" o:spid="_x0000_s1925" style="position:absolute;left:0;text-align:left;margin-left:18.7pt;margin-top:17.65pt;width:9pt;height:23.75pt;z-index:251675648;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">
              <v:rect id="Rectangle 2447953" o:spid="_x0000_s1926"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" filled="f" stroked="f">
                <v:textbox inset="0,0,0,0">
                  <w:txbxContent>
                    <w:p w14:paraId="22BBDF83"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0B4BED45" w14:textId="77777777" w:rsidR="00053D93" w:rsidRDefault="00260B75">
    <w:pPr>
      <w:tabs>
        <w:tab w:val="right" w:pos="10181"/>
      </w:tabs>
      <w:spacing w:after="0"/>
      <w:ind w:right="-7"/>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7ADA2842" w14:textId="77777777" w:rsidR="00053D93" w:rsidRDefault="00260B75">
    <w:pPr>
      <w:spacing w:after="0"/>
      <w:jc w:val="right"/>
    </w:pPr>
    <w:r>
      <w:rPr>
        <w:sz w:val="16"/>
      </w:rPr>
      <w:t>Y DEPORTES</w: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3AA50" w14:textId="77777777" w:rsidR="00053D93" w:rsidRDefault="00260B75">
    <w:pPr>
      <w:spacing w:after="0"/>
      <w:ind w:left="3758"/>
      <w:jc w:val="center"/>
    </w:pPr>
    <w:r>
      <w:rPr>
        <w:sz w:val="14"/>
      </w:rPr>
      <w:t xml:space="preserve">DIRECCIÓN </w:t>
    </w:r>
    <w:r>
      <w:rPr>
        <w:sz w:val="16"/>
      </w:rPr>
      <w:t xml:space="preserve">DE </w:t>
    </w:r>
    <w:r>
      <w:rPr>
        <w:sz w:val="14"/>
      </w:rPr>
      <w:t xml:space="preserve">AUDITORÍA AL </w:t>
    </w:r>
  </w:p>
  <w:p w14:paraId="1359B800" w14:textId="77777777" w:rsidR="00053D93" w:rsidRDefault="00260B75">
    <w:pPr>
      <w:tabs>
        <w:tab w:val="center" w:pos="2804"/>
        <w:tab w:val="right" w:pos="10202"/>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73F49211" w14:textId="77777777" w:rsidR="00053D93" w:rsidRDefault="00260B75">
    <w:pPr>
      <w:spacing w:after="0"/>
      <w:ind w:right="14"/>
      <w:jc w:val="right"/>
    </w:pPr>
    <w:r>
      <w:rPr>
        <w:sz w:val="16"/>
      </w:rPr>
      <w:t>Y DEPORTES</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98831" w14:textId="77777777" w:rsidR="00053D93" w:rsidRDefault="00260B75">
    <w:pPr>
      <w:spacing w:after="0"/>
      <w:ind w:left="94"/>
    </w:pPr>
    <w:r>
      <w:rPr>
        <w:noProof/>
      </w:rPr>
      <mc:AlternateContent>
        <mc:Choice Requires="wpg">
          <w:drawing>
            <wp:anchor distT="0" distB="0" distL="114300" distR="114300" simplePos="0" relativeHeight="251676672" behindDoc="0" locked="0" layoutInCell="1" allowOverlap="1" wp14:anchorId="003BD2C0" wp14:editId="1210C9D3">
              <wp:simplePos x="0" y="0"/>
              <wp:positionH relativeFrom="page">
                <wp:posOffset>237744</wp:posOffset>
              </wp:positionH>
              <wp:positionV relativeFrom="page">
                <wp:posOffset>224028</wp:posOffset>
              </wp:positionV>
              <wp:extent cx="114300" cy="301752"/>
              <wp:effectExtent l="0" t="0" r="0" b="0"/>
              <wp:wrapSquare wrapText="bothSides"/>
              <wp:docPr id="2448054" name="Group 2448054"/>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8055" name="Rectangle 2448055"/>
                      <wps:cNvSpPr/>
                      <wps:spPr>
                        <a:xfrm>
                          <a:off x="0" y="0"/>
                          <a:ext cx="152019" cy="401330"/>
                        </a:xfrm>
                        <a:prstGeom prst="rect">
                          <a:avLst/>
                        </a:prstGeom>
                        <a:ln>
                          <a:noFill/>
                        </a:ln>
                      </wps:spPr>
                      <wps:txbx>
                        <w:txbxContent>
                          <w:p w14:paraId="2076D47A" w14:textId="77777777" w:rsidR="00053D93" w:rsidRDefault="00260B75">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003BD2C0" id="Group 2448054" o:spid="_x0000_s1927" style="position:absolute;left:0;text-align:left;margin-left:18.7pt;margin-top:17.65pt;width:9pt;height:23.75pt;z-index:251676672;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">
              <v:rect id="Rectangle 2448055" o:spid="_x0000_s1928"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" filled="f" stroked="f">
                <v:textbox inset="0,0,0,0">
                  <w:txbxContent>
                    <w:p w14:paraId="2076D47A" w14:textId="77777777" w:rsidR="00053D93" w:rsidRDefault="00260B75">
                      <w:r>
                        <w:rPr>
                          <w:rFonts w:ascii="Times New Roman" w:eastAsia="Times New Roman" w:hAnsi="Times New Roman" w:cs="Times New Roman"/>
                          <w:sz w:val="70"/>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p>
  <w:p w14:paraId="76BA9691" w14:textId="77777777" w:rsidR="00053D93" w:rsidRDefault="00260B75">
    <w:pPr>
      <w:tabs>
        <w:tab w:val="right" w:pos="10202"/>
      </w:tabs>
      <w:spacing w:after="0"/>
      <w:ind w:right="-36"/>
    </w:pPr>
    <w:r>
      <w:rPr>
        <w:sz w:val="14"/>
      </w:rPr>
      <w:t xml:space="preserve">CONTRALORÍA GENERAL </w:t>
    </w:r>
    <w:r>
      <w:rPr>
        <w:sz w:val="16"/>
      </w:rPr>
      <w:t xml:space="preserve">DE </w:t>
    </w:r>
    <w:r>
      <w:rPr>
        <w:sz w:val="14"/>
      </w:rPr>
      <w:t>CUENTAS</w:t>
    </w:r>
    <w:r>
      <w:rPr>
        <w:sz w:val="14"/>
      </w:rPr>
      <w:tab/>
      <w:t xml:space="preserve">AL </w:t>
    </w:r>
    <w:r>
      <w:rPr>
        <w:sz w:val="16"/>
      </w:rPr>
      <w:t xml:space="preserve">SECTOR </w:t>
    </w:r>
    <w:r>
      <w:rPr>
        <w:sz w:val="14"/>
      </w:rPr>
      <w:t>EDUCACIÓN. CIENCIA. CULTURA</w:t>
    </w:r>
  </w:p>
  <w:p w14:paraId="6F2F1F8D" w14:textId="77777777" w:rsidR="00053D93" w:rsidRDefault="00260B75">
    <w:pPr>
      <w:spacing w:after="0"/>
      <w:ind w:right="-29"/>
      <w:jc w:val="right"/>
    </w:pPr>
    <w:r>
      <w:rPr>
        <w:sz w:val="16"/>
      </w:rPr>
      <w:t>Y DEPORTES</w: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91C7E" w14:textId="77777777" w:rsidR="00053D93" w:rsidRDefault="00260B75">
    <w:pPr>
      <w:spacing w:after="0"/>
      <w:ind w:left="-14"/>
    </w:pPr>
    <w:r>
      <w:rPr>
        <w:noProof/>
      </w:rPr>
      <mc:AlternateContent>
        <mc:Choice Requires="wpg">
          <w:drawing>
            <wp:anchor distT="0" distB="0" distL="114300" distR="114300" simplePos="0" relativeHeight="251677696" behindDoc="0" locked="0" layoutInCell="1" allowOverlap="1" wp14:anchorId="291B4E5D" wp14:editId="179A1C29">
              <wp:simplePos x="0" y="0"/>
              <wp:positionH relativeFrom="page">
                <wp:posOffset>169164</wp:posOffset>
              </wp:positionH>
              <wp:positionV relativeFrom="page">
                <wp:posOffset>333756</wp:posOffset>
              </wp:positionV>
              <wp:extent cx="114300" cy="301752"/>
              <wp:effectExtent l="0" t="0" r="0" b="0"/>
              <wp:wrapSquare wrapText="bothSides"/>
              <wp:docPr id="2448035" name="Group 2448035"/>
              <wp:cNvGraphicFramePr/>
              <a:graphic xmlns:a="http://schemas.openxmlformats.org/drawingml/2006/main">
                <a:graphicData uri="http://schemas.microsoft.com/office/word/2010/wordprocessingGroup">
                  <wpg:wgp>
                    <wpg:cNvGrpSpPr/>
                    <wpg:grpSpPr>
                      <a:xfrm>
                        <a:off x="0" y="0"/>
                        <a:ext cx="114300" cy="301752"/>
                        <a:chOff x="0" y="0"/>
                        <a:chExt cx="114300" cy="301752"/>
                      </a:xfrm>
                    </wpg:grpSpPr>
                    <wps:wsp>
                      <wps:cNvPr id="2448036" name="Rectangle 2448036"/>
                      <wps:cNvSpPr/>
                      <wps:spPr>
                        <a:xfrm>
                          <a:off x="0" y="0"/>
                          <a:ext cx="152019" cy="401330"/>
                        </a:xfrm>
                        <a:prstGeom prst="rect">
                          <a:avLst/>
                        </a:prstGeom>
                        <a:ln>
                          <a:noFill/>
                        </a:ln>
                      </wps:spPr>
                      <wps:txbx>
                        <w:txbxContent>
                          <w:p w14:paraId="730A7082" w14:textId="77777777" w:rsidR="00053D93" w:rsidRDefault="00260B75">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anchor>
          </w:drawing>
        </mc:Choice>
        <mc:Fallback>
          <w:pict>
            <v:group w14:anchorId="291B4E5D" id="Group 2448035" o:spid="_x0000_s1929" style="position:absolute;left:0;text-align:left;margin-left:13.3pt;margin-top:26.3pt;width:9pt;height:23.75pt;z-index:251677696;mso-position-horizontal-relative:page;mso-position-vertical-relative:page" coordsize="114300,3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">
              <v:rect id="Rectangle 2448036" o:spid="_x0000_s1930" style="position:absolute;width:152019;height:40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" filled="f" stroked="f">
                <v:textbox inset="0,0,0,0">
                  <w:txbxContent>
                    <w:p w14:paraId="730A7082" w14:textId="77777777" w:rsidR="00053D93" w:rsidRDefault="00260B75">
                      <w:r>
                        <w:rPr>
                          <w:rFonts w:ascii="Times New Roman" w:eastAsia="Times New Roman" w:hAnsi="Times New Roman" w:cs="Times New Roman"/>
                          <w:sz w:val="66"/>
                        </w:rPr>
                        <w:t>1</w:t>
                      </w:r>
                    </w:p>
                  </w:txbxContent>
                </v:textbox>
              </v:rect>
              <w10:wrap type="square" anchorx="page" anchory="page"/>
            </v:group>
          </w:pict>
        </mc:Fallback>
      </mc:AlternateContent>
    </w:r>
    <w:r>
      <w:rPr>
        <w:sz w:val="14"/>
      </w:rPr>
      <w:t xml:space="preserve">DIRECCIÓN </w:t>
    </w:r>
    <w:r>
      <w:rPr>
        <w:sz w:val="16"/>
      </w:rPr>
      <w:t xml:space="preserve">DE </w:t>
    </w:r>
    <w:r>
      <w:rPr>
        <w:sz w:val="14"/>
      </w:rPr>
      <w:t xml:space="preserve">AUDITORIA </w:t>
    </w:r>
    <w:r>
      <w:rPr>
        <w:sz w:val="16"/>
      </w:rPr>
      <w:t xml:space="preserve">AL SECTOR </w:t>
    </w:r>
    <w:r>
      <w:rPr>
        <w:sz w:val="14"/>
      </w:rPr>
      <w:t>EDUCACIÓN. CIENCIA. CULTURA</w:t>
    </w:r>
  </w:p>
  <w:p w14:paraId="3446D149" w14:textId="77777777" w:rsidR="00053D93" w:rsidRDefault="00260B75">
    <w:pPr>
      <w:tabs>
        <w:tab w:val="right" w:pos="10202"/>
      </w:tabs>
      <w:spacing w:after="0"/>
      <w:ind w:left="-14"/>
    </w:pPr>
    <w:r>
      <w:rPr>
        <w:sz w:val="14"/>
      </w:rPr>
      <w:t>CONTRALORÍA GENERAL CUENTAS</w:t>
    </w:r>
    <w:r>
      <w:rPr>
        <w:sz w:val="14"/>
      </w:rPr>
      <w:tab/>
    </w:r>
    <w:r>
      <w:rPr>
        <w:sz w:val="16"/>
      </w:rPr>
      <w:t xml:space="preserve">Y </w:t>
    </w:r>
    <w:r>
      <w:rPr>
        <w:sz w:val="14"/>
      </w:rPr>
      <w:t>DEPORTES</w: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CDCEA" w14:textId="77777777" w:rsidR="00053D93" w:rsidRDefault="00260B75">
    <w:pPr>
      <w:spacing w:after="0"/>
      <w:ind w:left="3751"/>
      <w:jc w:val="center"/>
    </w:pPr>
    <w:r>
      <w:rPr>
        <w:sz w:val="14"/>
      </w:rPr>
      <w:t xml:space="preserve">DIRECCIÓN </w:t>
    </w:r>
    <w:r>
      <w:rPr>
        <w:sz w:val="16"/>
      </w:rPr>
      <w:t xml:space="preserve">DE </w:t>
    </w:r>
    <w:r>
      <w:rPr>
        <w:sz w:val="14"/>
      </w:rPr>
      <w:t xml:space="preserve">AUDITORÍA AL </w:t>
    </w:r>
  </w:p>
  <w:p w14:paraId="57C3CB3B" w14:textId="77777777" w:rsidR="00053D93" w:rsidRDefault="00260B75">
    <w:pPr>
      <w:tabs>
        <w:tab w:val="center" w:pos="2812"/>
        <w:tab w:val="right" w:pos="1022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0D58888E" w14:textId="77777777" w:rsidR="00053D93" w:rsidRDefault="00260B75">
    <w:pPr>
      <w:spacing w:after="0"/>
      <w:ind w:right="29"/>
      <w:jc w:val="right"/>
    </w:pPr>
    <w:r>
      <w:rPr>
        <w:sz w:val="16"/>
      </w:rPr>
      <w:t>Y DEPORTES</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06669" w14:textId="77777777" w:rsidR="00053D93" w:rsidRDefault="00260B75">
    <w:pPr>
      <w:spacing w:after="0"/>
      <w:ind w:left="3751"/>
      <w:jc w:val="center"/>
    </w:pPr>
    <w:r>
      <w:rPr>
        <w:sz w:val="14"/>
      </w:rPr>
      <w:t xml:space="preserve">DIRECCIÓN </w:t>
    </w:r>
    <w:r>
      <w:rPr>
        <w:sz w:val="16"/>
      </w:rPr>
      <w:t xml:space="preserve">DE </w:t>
    </w:r>
    <w:r>
      <w:rPr>
        <w:sz w:val="14"/>
      </w:rPr>
      <w:t xml:space="preserve">AUDITORÍA AL </w:t>
    </w:r>
  </w:p>
  <w:p w14:paraId="2EE59EAA" w14:textId="77777777" w:rsidR="00053D93" w:rsidRDefault="00260B75">
    <w:pPr>
      <w:tabs>
        <w:tab w:val="center" w:pos="2812"/>
        <w:tab w:val="right" w:pos="1022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3A04B567" w14:textId="77777777" w:rsidR="00053D93" w:rsidRDefault="00260B75">
    <w:pPr>
      <w:spacing w:after="0"/>
      <w:ind w:right="29"/>
      <w:jc w:val="right"/>
    </w:pPr>
    <w:r>
      <w:rPr>
        <w:sz w:val="16"/>
      </w:rPr>
      <w:t>Y DEPORTES</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86F8A" w14:textId="77777777" w:rsidR="00053D93" w:rsidRDefault="00260B75">
    <w:pPr>
      <w:spacing w:after="0"/>
      <w:ind w:left="3751"/>
      <w:jc w:val="center"/>
    </w:pPr>
    <w:r>
      <w:rPr>
        <w:sz w:val="14"/>
      </w:rPr>
      <w:t xml:space="preserve">DIRECCIÓN </w:t>
    </w:r>
    <w:r>
      <w:rPr>
        <w:sz w:val="16"/>
      </w:rPr>
      <w:t xml:space="preserve">DE </w:t>
    </w:r>
    <w:r>
      <w:rPr>
        <w:sz w:val="14"/>
      </w:rPr>
      <w:t xml:space="preserve">AUDITORÍA AL </w:t>
    </w:r>
  </w:p>
  <w:p w14:paraId="73ABCA43" w14:textId="77777777" w:rsidR="00053D93" w:rsidRDefault="00260B75">
    <w:pPr>
      <w:tabs>
        <w:tab w:val="center" w:pos="2812"/>
        <w:tab w:val="right" w:pos="10224"/>
      </w:tabs>
      <w:spacing w:after="0"/>
    </w:pPr>
    <w:r>
      <w:tab/>
    </w:r>
    <w:r>
      <w:rPr>
        <w:sz w:val="14"/>
      </w:rPr>
      <w:t xml:space="preserve">CONTRALOR(A GENERAL </w:t>
    </w:r>
    <w:r>
      <w:rPr>
        <w:sz w:val="16"/>
      </w:rPr>
      <w:t xml:space="preserve">DE </w:t>
    </w:r>
    <w:r>
      <w:rPr>
        <w:sz w:val="14"/>
      </w:rPr>
      <w:t>CUENTAS</w:t>
    </w:r>
    <w:r>
      <w:rPr>
        <w:sz w:val="14"/>
      </w:rPr>
      <w:tab/>
    </w:r>
    <w:r>
      <w:rPr>
        <w:sz w:val="16"/>
      </w:rPr>
      <w:t xml:space="preserve">SECTOR </w:t>
    </w:r>
    <w:r>
      <w:rPr>
        <w:sz w:val="14"/>
      </w:rPr>
      <w:t>EDUCACIÓN, CJENCIA. CULTURA</w:t>
    </w:r>
  </w:p>
  <w:p w14:paraId="207B50F9" w14:textId="77777777" w:rsidR="00053D93" w:rsidRDefault="00260B75">
    <w:pPr>
      <w:spacing w:after="0"/>
      <w:ind w:right="29"/>
      <w:jc w:val="right"/>
    </w:pPr>
    <w:r>
      <w:rPr>
        <w:sz w:val="16"/>
      </w:rPr>
      <w:t>Y DEPORTES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 id="_x0000_i1061" style="width:4.5pt;height:5.25pt" coordsize="" o:spt="100" o:bullet="t" adj="0,,0" path="" stroked="f">
        <v:stroke joinstyle="miter"/>
        <v:imagedata r:id="rId1" o:title="image1868"/>
        <v:formulas/>
        <v:path o:connecttype="segments"/>
      </v:shape>
    </w:pict>
  </w:numPicBullet>
  <w:numPicBullet w:numPicBulletId="1">
    <w:pict>
      <v:shape id="_x0000_i1062" style="width:4.5pt;height:4.5pt" coordsize="" o:spt="100" o:bullet="t" adj="0,,0" path="" stroked="f">
        <v:stroke joinstyle="miter"/>
        <v:imagedata r:id="rId2" o:title="image1869"/>
        <v:formulas/>
        <v:path o:connecttype="segments"/>
      </v:shape>
    </w:pict>
  </w:numPicBullet>
  <w:numPicBullet w:numPicBulletId="2">
    <w:pict>
      <v:shape id="_x0000_i1063" style="width:4.5pt;height:5.25pt" coordsize="" o:spt="100" o:bullet="t" adj="0,,0" path="" stroked="f">
        <v:stroke joinstyle="miter"/>
        <v:imagedata r:id="rId3" o:title="image1870"/>
        <v:formulas/>
        <v:path o:connecttype="segments"/>
      </v:shape>
    </w:pict>
  </w:numPicBullet>
  <w:numPicBullet w:numPicBulletId="3">
    <w:pict>
      <v:shape id="_x0000_i1064" style="width:5.25pt;height:5.25pt" coordsize="" o:spt="100" o:bullet="t" adj="0,,0" path="" stroked="f">
        <v:stroke joinstyle="miter"/>
        <v:imagedata r:id="rId4" o:title="image1871"/>
        <v:formulas/>
        <v:path o:connecttype="segments"/>
      </v:shape>
    </w:pict>
  </w:numPicBullet>
  <w:numPicBullet w:numPicBulletId="4">
    <w:pict>
      <v:shape id="_x0000_i1065" style="width:4.5pt;height:4.5pt" coordsize="" o:spt="100" o:bullet="t" adj="0,,0" path="" stroked="f">
        <v:stroke joinstyle="miter"/>
        <v:imagedata r:id="rId5" o:title="image1872"/>
        <v:formulas/>
        <v:path o:connecttype="segments"/>
      </v:shape>
    </w:pict>
  </w:numPicBullet>
  <w:abstractNum w:abstractNumId="0" w15:restartNumberingAfterBreak="0">
    <w:nsid w:val="0238484F"/>
    <w:multiLevelType w:val="hybridMultilevel"/>
    <w:tmpl w:val="76AC37E8"/>
    <w:lvl w:ilvl="0" w:tplc="36ACCAEA">
      <w:start w:val="14"/>
      <w:numFmt w:val="decimal"/>
      <w:lvlText w:val="%1."/>
      <w:lvlJc w:val="left"/>
      <w:pPr>
        <w:ind w:left="8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CC86E38">
      <w:start w:val="1"/>
      <w:numFmt w:val="lowerLetter"/>
      <w:lvlText w:val="%2"/>
      <w:lvlJc w:val="left"/>
      <w:pPr>
        <w:ind w:left="27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A580AD8">
      <w:start w:val="1"/>
      <w:numFmt w:val="lowerRoman"/>
      <w:lvlText w:val="%3"/>
      <w:lvlJc w:val="left"/>
      <w:pPr>
        <w:ind w:left="35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A561518">
      <w:start w:val="1"/>
      <w:numFmt w:val="decimal"/>
      <w:lvlText w:val="%4"/>
      <w:lvlJc w:val="left"/>
      <w:pPr>
        <w:ind w:left="42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DA2D760">
      <w:start w:val="1"/>
      <w:numFmt w:val="lowerLetter"/>
      <w:lvlText w:val="%5"/>
      <w:lvlJc w:val="left"/>
      <w:pPr>
        <w:ind w:left="49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A7AD384">
      <w:start w:val="1"/>
      <w:numFmt w:val="lowerRoman"/>
      <w:lvlText w:val="%6"/>
      <w:lvlJc w:val="left"/>
      <w:pPr>
        <w:ind w:left="56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49240BE">
      <w:start w:val="1"/>
      <w:numFmt w:val="decimal"/>
      <w:lvlText w:val="%7"/>
      <w:lvlJc w:val="left"/>
      <w:pPr>
        <w:ind w:left="63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64C089C">
      <w:start w:val="1"/>
      <w:numFmt w:val="lowerLetter"/>
      <w:lvlText w:val="%8"/>
      <w:lvlJc w:val="left"/>
      <w:pPr>
        <w:ind w:left="71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9AE413C">
      <w:start w:val="1"/>
      <w:numFmt w:val="lowerRoman"/>
      <w:lvlText w:val="%9"/>
      <w:lvlJc w:val="left"/>
      <w:pPr>
        <w:ind w:left="78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7C674C5"/>
    <w:multiLevelType w:val="hybridMultilevel"/>
    <w:tmpl w:val="F014B89A"/>
    <w:lvl w:ilvl="0" w:tplc="644C56B4">
      <w:start w:val="3"/>
      <w:numFmt w:val="decimal"/>
      <w:lvlText w:val="%1."/>
      <w:lvlJc w:val="left"/>
      <w:pPr>
        <w:ind w:left="19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20A3F04">
      <w:start w:val="1"/>
      <w:numFmt w:val="lowerLetter"/>
      <w:lvlText w:val="%2"/>
      <w:lvlJc w:val="left"/>
      <w:pPr>
        <w:ind w:left="27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606E64A">
      <w:start w:val="1"/>
      <w:numFmt w:val="lowerRoman"/>
      <w:lvlText w:val="%3"/>
      <w:lvlJc w:val="left"/>
      <w:pPr>
        <w:ind w:left="34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D1A50D8">
      <w:start w:val="1"/>
      <w:numFmt w:val="decimal"/>
      <w:lvlText w:val="%4"/>
      <w:lvlJc w:val="left"/>
      <w:pPr>
        <w:ind w:left="41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C421220">
      <w:start w:val="1"/>
      <w:numFmt w:val="lowerLetter"/>
      <w:lvlText w:val="%5"/>
      <w:lvlJc w:val="left"/>
      <w:pPr>
        <w:ind w:left="49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DD0D934">
      <w:start w:val="1"/>
      <w:numFmt w:val="lowerRoman"/>
      <w:lvlText w:val="%6"/>
      <w:lvlJc w:val="left"/>
      <w:pPr>
        <w:ind w:left="56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82E3572">
      <w:start w:val="1"/>
      <w:numFmt w:val="decimal"/>
      <w:lvlText w:val="%7"/>
      <w:lvlJc w:val="left"/>
      <w:pPr>
        <w:ind w:left="63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D92F4CC">
      <w:start w:val="1"/>
      <w:numFmt w:val="lowerLetter"/>
      <w:lvlText w:val="%8"/>
      <w:lvlJc w:val="left"/>
      <w:pPr>
        <w:ind w:left="70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166F9F6">
      <w:start w:val="1"/>
      <w:numFmt w:val="lowerRoman"/>
      <w:lvlText w:val="%9"/>
      <w:lvlJc w:val="left"/>
      <w:pPr>
        <w:ind w:left="77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9E725B9"/>
    <w:multiLevelType w:val="hybridMultilevel"/>
    <w:tmpl w:val="DC7E7BE2"/>
    <w:lvl w:ilvl="0" w:tplc="09BAA85A">
      <w:start w:val="1"/>
      <w:numFmt w:val="bullet"/>
      <w:lvlText w:val="•"/>
      <w:lvlPicBulletId w:val="0"/>
      <w:lvlJc w:val="left"/>
      <w:pPr>
        <w:ind w:left="127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F8989D94">
      <w:start w:val="1"/>
      <w:numFmt w:val="bullet"/>
      <w:lvlText w:val="o"/>
      <w:lvlJc w:val="left"/>
      <w:pPr>
        <w:ind w:left="329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C6FA0484">
      <w:start w:val="1"/>
      <w:numFmt w:val="bullet"/>
      <w:lvlText w:val="▪"/>
      <w:lvlJc w:val="left"/>
      <w:pPr>
        <w:ind w:left="401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A0A8B3FA">
      <w:start w:val="1"/>
      <w:numFmt w:val="bullet"/>
      <w:lvlText w:val="•"/>
      <w:lvlJc w:val="left"/>
      <w:pPr>
        <w:ind w:left="473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367EC694">
      <w:start w:val="1"/>
      <w:numFmt w:val="bullet"/>
      <w:lvlText w:val="o"/>
      <w:lvlJc w:val="left"/>
      <w:pPr>
        <w:ind w:left="545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8F6A6F5C">
      <w:start w:val="1"/>
      <w:numFmt w:val="bullet"/>
      <w:lvlText w:val="▪"/>
      <w:lvlJc w:val="left"/>
      <w:pPr>
        <w:ind w:left="617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93F21192">
      <w:start w:val="1"/>
      <w:numFmt w:val="bullet"/>
      <w:lvlText w:val="•"/>
      <w:lvlJc w:val="left"/>
      <w:pPr>
        <w:ind w:left="689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76D4323C">
      <w:start w:val="1"/>
      <w:numFmt w:val="bullet"/>
      <w:lvlText w:val="o"/>
      <w:lvlJc w:val="left"/>
      <w:pPr>
        <w:ind w:left="761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958CBFD8">
      <w:start w:val="1"/>
      <w:numFmt w:val="bullet"/>
      <w:lvlText w:val="▪"/>
      <w:lvlJc w:val="left"/>
      <w:pPr>
        <w:ind w:left="833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1464057B"/>
    <w:multiLevelType w:val="hybridMultilevel"/>
    <w:tmpl w:val="CDD4D42C"/>
    <w:lvl w:ilvl="0" w:tplc="3F4CB998">
      <w:start w:val="1"/>
      <w:numFmt w:val="bullet"/>
      <w:lvlText w:val="•"/>
      <w:lvlPicBulletId w:val="3"/>
      <w:lvlJc w:val="left"/>
      <w:pPr>
        <w:ind w:left="13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79A4FE1C">
      <w:start w:val="1"/>
      <w:numFmt w:val="bullet"/>
      <w:lvlText w:val="o"/>
      <w:lvlJc w:val="left"/>
      <w:pPr>
        <w:ind w:left="335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30AA4BDE">
      <w:start w:val="1"/>
      <w:numFmt w:val="bullet"/>
      <w:lvlText w:val="▪"/>
      <w:lvlJc w:val="left"/>
      <w:pPr>
        <w:ind w:left="407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EA8A31B2">
      <w:start w:val="1"/>
      <w:numFmt w:val="bullet"/>
      <w:lvlText w:val="•"/>
      <w:lvlJc w:val="left"/>
      <w:pPr>
        <w:ind w:left="479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E56C1DEA">
      <w:start w:val="1"/>
      <w:numFmt w:val="bullet"/>
      <w:lvlText w:val="o"/>
      <w:lvlJc w:val="left"/>
      <w:pPr>
        <w:ind w:left="551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040EE19A">
      <w:start w:val="1"/>
      <w:numFmt w:val="bullet"/>
      <w:lvlText w:val="▪"/>
      <w:lvlJc w:val="left"/>
      <w:pPr>
        <w:ind w:left="623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900A476E">
      <w:start w:val="1"/>
      <w:numFmt w:val="bullet"/>
      <w:lvlText w:val="•"/>
      <w:lvlJc w:val="left"/>
      <w:pPr>
        <w:ind w:left="695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AEB046EC">
      <w:start w:val="1"/>
      <w:numFmt w:val="bullet"/>
      <w:lvlText w:val="o"/>
      <w:lvlJc w:val="left"/>
      <w:pPr>
        <w:ind w:left="767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4AD06D28">
      <w:start w:val="1"/>
      <w:numFmt w:val="bullet"/>
      <w:lvlText w:val="▪"/>
      <w:lvlJc w:val="left"/>
      <w:pPr>
        <w:ind w:left="839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4" w15:restartNumberingAfterBreak="0">
    <w:nsid w:val="16771B31"/>
    <w:multiLevelType w:val="hybridMultilevel"/>
    <w:tmpl w:val="AA54FFD2"/>
    <w:lvl w:ilvl="0" w:tplc="E0E07158">
      <w:start w:val="4"/>
      <w:numFmt w:val="decimal"/>
      <w:lvlText w:val="%1."/>
      <w:lvlJc w:val="left"/>
      <w:pPr>
        <w:ind w:left="3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CED43206">
      <w:start w:val="1"/>
      <w:numFmt w:val="lowerLetter"/>
      <w:lvlText w:val="%2"/>
      <w:lvlJc w:val="left"/>
      <w:pPr>
        <w:ind w:left="284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9C088CE8">
      <w:start w:val="1"/>
      <w:numFmt w:val="lowerRoman"/>
      <w:lvlText w:val="%3"/>
      <w:lvlJc w:val="left"/>
      <w:pPr>
        <w:ind w:left="356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07907E2E">
      <w:start w:val="1"/>
      <w:numFmt w:val="decimal"/>
      <w:lvlText w:val="%4"/>
      <w:lvlJc w:val="left"/>
      <w:pPr>
        <w:ind w:left="428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0B681A5E">
      <w:start w:val="1"/>
      <w:numFmt w:val="lowerLetter"/>
      <w:lvlText w:val="%5"/>
      <w:lvlJc w:val="left"/>
      <w:pPr>
        <w:ind w:left="500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E0A471A0">
      <w:start w:val="1"/>
      <w:numFmt w:val="lowerRoman"/>
      <w:lvlText w:val="%6"/>
      <w:lvlJc w:val="left"/>
      <w:pPr>
        <w:ind w:left="572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70167766">
      <w:start w:val="1"/>
      <w:numFmt w:val="decimal"/>
      <w:lvlText w:val="%7"/>
      <w:lvlJc w:val="left"/>
      <w:pPr>
        <w:ind w:left="644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F962CE9E">
      <w:start w:val="1"/>
      <w:numFmt w:val="lowerLetter"/>
      <w:lvlText w:val="%8"/>
      <w:lvlJc w:val="left"/>
      <w:pPr>
        <w:ind w:left="716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1B54AA8C">
      <w:start w:val="1"/>
      <w:numFmt w:val="lowerRoman"/>
      <w:lvlText w:val="%9"/>
      <w:lvlJc w:val="left"/>
      <w:pPr>
        <w:ind w:left="788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7DE649A"/>
    <w:multiLevelType w:val="hybridMultilevel"/>
    <w:tmpl w:val="69708D30"/>
    <w:lvl w:ilvl="0" w:tplc="0DAA7C70">
      <w:start w:val="24"/>
      <w:numFmt w:val="decimal"/>
      <w:lvlText w:val="%1."/>
      <w:lvlJc w:val="left"/>
      <w:pPr>
        <w:ind w:left="212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386CE314">
      <w:start w:val="1"/>
      <w:numFmt w:val="lowerLetter"/>
      <w:lvlText w:val="%2"/>
      <w:lvlJc w:val="left"/>
      <w:pPr>
        <w:ind w:left="279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00C4B65A">
      <w:start w:val="1"/>
      <w:numFmt w:val="lowerRoman"/>
      <w:lvlText w:val="%3"/>
      <w:lvlJc w:val="left"/>
      <w:pPr>
        <w:ind w:left="351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490EF680">
      <w:start w:val="1"/>
      <w:numFmt w:val="decimal"/>
      <w:lvlText w:val="%4"/>
      <w:lvlJc w:val="left"/>
      <w:pPr>
        <w:ind w:left="423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4ADC6E16">
      <w:start w:val="1"/>
      <w:numFmt w:val="lowerLetter"/>
      <w:lvlText w:val="%5"/>
      <w:lvlJc w:val="left"/>
      <w:pPr>
        <w:ind w:left="495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DADCCBFC">
      <w:start w:val="1"/>
      <w:numFmt w:val="lowerRoman"/>
      <w:lvlText w:val="%6"/>
      <w:lvlJc w:val="left"/>
      <w:pPr>
        <w:ind w:left="567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40EC0EC6">
      <w:start w:val="1"/>
      <w:numFmt w:val="decimal"/>
      <w:lvlText w:val="%7"/>
      <w:lvlJc w:val="left"/>
      <w:pPr>
        <w:ind w:left="639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44CCBD96">
      <w:start w:val="1"/>
      <w:numFmt w:val="lowerLetter"/>
      <w:lvlText w:val="%8"/>
      <w:lvlJc w:val="left"/>
      <w:pPr>
        <w:ind w:left="711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CD98E95A">
      <w:start w:val="1"/>
      <w:numFmt w:val="lowerRoman"/>
      <w:lvlText w:val="%9"/>
      <w:lvlJc w:val="left"/>
      <w:pPr>
        <w:ind w:left="783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6" w15:restartNumberingAfterBreak="0">
    <w:nsid w:val="187B656D"/>
    <w:multiLevelType w:val="hybridMultilevel"/>
    <w:tmpl w:val="AD620636"/>
    <w:lvl w:ilvl="0" w:tplc="C5A830B2">
      <w:start w:val="2"/>
      <w:numFmt w:val="decimal"/>
      <w:lvlText w:val="%1."/>
      <w:lvlJc w:val="left"/>
      <w:pPr>
        <w:ind w:left="9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3D05BF4">
      <w:start w:val="1"/>
      <w:numFmt w:val="lowerLetter"/>
      <w:lvlText w:val="%2"/>
      <w:lvlJc w:val="left"/>
      <w:pPr>
        <w:ind w:left="10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18C808F0">
      <w:start w:val="1"/>
      <w:numFmt w:val="lowerRoman"/>
      <w:lvlText w:val="%3"/>
      <w:lvlJc w:val="left"/>
      <w:pPr>
        <w:ind w:left="18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24E0F128">
      <w:start w:val="1"/>
      <w:numFmt w:val="decimal"/>
      <w:lvlText w:val="%4"/>
      <w:lvlJc w:val="left"/>
      <w:pPr>
        <w:ind w:left="25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3F66BA1E">
      <w:start w:val="1"/>
      <w:numFmt w:val="lowerLetter"/>
      <w:lvlText w:val="%5"/>
      <w:lvlJc w:val="left"/>
      <w:pPr>
        <w:ind w:left="32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A210C8FE">
      <w:start w:val="1"/>
      <w:numFmt w:val="lowerRoman"/>
      <w:lvlText w:val="%6"/>
      <w:lvlJc w:val="left"/>
      <w:pPr>
        <w:ind w:left="39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6E4CC950">
      <w:start w:val="1"/>
      <w:numFmt w:val="decimal"/>
      <w:lvlText w:val="%7"/>
      <w:lvlJc w:val="left"/>
      <w:pPr>
        <w:ind w:left="46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BE02C926">
      <w:start w:val="1"/>
      <w:numFmt w:val="lowerLetter"/>
      <w:lvlText w:val="%8"/>
      <w:lvlJc w:val="left"/>
      <w:pPr>
        <w:ind w:left="54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3CA01EC2">
      <w:start w:val="1"/>
      <w:numFmt w:val="lowerRoman"/>
      <w:lvlText w:val="%9"/>
      <w:lvlJc w:val="left"/>
      <w:pPr>
        <w:ind w:left="61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A9B68BF"/>
    <w:multiLevelType w:val="hybridMultilevel"/>
    <w:tmpl w:val="4B7C48DC"/>
    <w:lvl w:ilvl="0" w:tplc="8862772C">
      <w:start w:val="14"/>
      <w:numFmt w:val="decimal"/>
      <w:lvlText w:val="%1."/>
      <w:lvlJc w:val="left"/>
      <w:pPr>
        <w:ind w:left="22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C0A9590">
      <w:start w:val="1"/>
      <w:numFmt w:val="lowerLetter"/>
      <w:lvlText w:val="%2"/>
      <w:lvlJc w:val="left"/>
      <w:pPr>
        <w:ind w:left="29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30E4C00">
      <w:start w:val="1"/>
      <w:numFmt w:val="lowerRoman"/>
      <w:lvlText w:val="%3"/>
      <w:lvlJc w:val="left"/>
      <w:pPr>
        <w:ind w:left="36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BECC7FE">
      <w:start w:val="1"/>
      <w:numFmt w:val="decimal"/>
      <w:lvlText w:val="%4"/>
      <w:lvlJc w:val="left"/>
      <w:pPr>
        <w:ind w:left="43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71205AE">
      <w:start w:val="1"/>
      <w:numFmt w:val="lowerLetter"/>
      <w:lvlText w:val="%5"/>
      <w:lvlJc w:val="left"/>
      <w:pPr>
        <w:ind w:left="51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D8AF6E6">
      <w:start w:val="1"/>
      <w:numFmt w:val="lowerRoman"/>
      <w:lvlText w:val="%6"/>
      <w:lvlJc w:val="left"/>
      <w:pPr>
        <w:ind w:left="58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CC67CA2">
      <w:start w:val="1"/>
      <w:numFmt w:val="decimal"/>
      <w:lvlText w:val="%7"/>
      <w:lvlJc w:val="left"/>
      <w:pPr>
        <w:ind w:left="65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0380932">
      <w:start w:val="1"/>
      <w:numFmt w:val="lowerLetter"/>
      <w:lvlText w:val="%8"/>
      <w:lvlJc w:val="left"/>
      <w:pPr>
        <w:ind w:left="72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23CD26A">
      <w:start w:val="1"/>
      <w:numFmt w:val="lowerRoman"/>
      <w:lvlText w:val="%9"/>
      <w:lvlJc w:val="left"/>
      <w:pPr>
        <w:ind w:left="79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D3A796B"/>
    <w:multiLevelType w:val="hybridMultilevel"/>
    <w:tmpl w:val="ABF68C02"/>
    <w:lvl w:ilvl="0" w:tplc="CD5A9E6C">
      <w:start w:val="2"/>
      <w:numFmt w:val="lowerLetter"/>
      <w:lvlText w:val="%1."/>
      <w:lvlJc w:val="left"/>
      <w:pPr>
        <w:ind w:left="22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18527764">
      <w:start w:val="1"/>
      <w:numFmt w:val="lowerLetter"/>
      <w:lvlText w:val="%2"/>
      <w:lvlJc w:val="left"/>
      <w:pPr>
        <w:ind w:left="30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9B92C10A">
      <w:start w:val="1"/>
      <w:numFmt w:val="lowerRoman"/>
      <w:lvlText w:val="%3"/>
      <w:lvlJc w:val="left"/>
      <w:pPr>
        <w:ind w:left="37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1CBEEDB8">
      <w:start w:val="1"/>
      <w:numFmt w:val="decimal"/>
      <w:lvlText w:val="%4"/>
      <w:lvlJc w:val="left"/>
      <w:pPr>
        <w:ind w:left="44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659450EC">
      <w:start w:val="1"/>
      <w:numFmt w:val="lowerLetter"/>
      <w:lvlText w:val="%5"/>
      <w:lvlJc w:val="left"/>
      <w:pPr>
        <w:ind w:left="52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D1460938">
      <w:start w:val="1"/>
      <w:numFmt w:val="lowerRoman"/>
      <w:lvlText w:val="%6"/>
      <w:lvlJc w:val="left"/>
      <w:pPr>
        <w:ind w:left="59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2BB40CA4">
      <w:start w:val="1"/>
      <w:numFmt w:val="decimal"/>
      <w:lvlText w:val="%7"/>
      <w:lvlJc w:val="left"/>
      <w:pPr>
        <w:ind w:left="66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57805B9C">
      <w:start w:val="1"/>
      <w:numFmt w:val="lowerLetter"/>
      <w:lvlText w:val="%8"/>
      <w:lvlJc w:val="left"/>
      <w:pPr>
        <w:ind w:left="73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CBD090B0">
      <w:start w:val="1"/>
      <w:numFmt w:val="lowerRoman"/>
      <w:lvlText w:val="%9"/>
      <w:lvlJc w:val="left"/>
      <w:pPr>
        <w:ind w:left="80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2231739E"/>
    <w:multiLevelType w:val="hybridMultilevel"/>
    <w:tmpl w:val="A5BEDDA4"/>
    <w:lvl w:ilvl="0" w:tplc="6CDA4B1C">
      <w:start w:val="1"/>
      <w:numFmt w:val="bullet"/>
      <w:lvlText w:val="•"/>
      <w:lvlPicBulletId w:val="1"/>
      <w:lvlJc w:val="left"/>
      <w:pPr>
        <w:ind w:left="34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8B2D8EE">
      <w:start w:val="1"/>
      <w:numFmt w:val="bullet"/>
      <w:lvlText w:val="o"/>
      <w:lvlJc w:val="left"/>
      <w:pPr>
        <w:ind w:left="334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DF6489D6">
      <w:start w:val="1"/>
      <w:numFmt w:val="bullet"/>
      <w:lvlText w:val="▪"/>
      <w:lvlJc w:val="left"/>
      <w:pPr>
        <w:ind w:left="406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4EF6B410">
      <w:start w:val="1"/>
      <w:numFmt w:val="bullet"/>
      <w:lvlText w:val="•"/>
      <w:lvlJc w:val="left"/>
      <w:pPr>
        <w:ind w:left="47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4014C166">
      <w:start w:val="1"/>
      <w:numFmt w:val="bullet"/>
      <w:lvlText w:val="o"/>
      <w:lvlJc w:val="left"/>
      <w:pPr>
        <w:ind w:left="55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ECECD8BA">
      <w:start w:val="1"/>
      <w:numFmt w:val="bullet"/>
      <w:lvlText w:val="▪"/>
      <w:lvlJc w:val="left"/>
      <w:pPr>
        <w:ind w:left="62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0F9C50C4">
      <w:start w:val="1"/>
      <w:numFmt w:val="bullet"/>
      <w:lvlText w:val="•"/>
      <w:lvlJc w:val="left"/>
      <w:pPr>
        <w:ind w:left="694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061E2190">
      <w:start w:val="1"/>
      <w:numFmt w:val="bullet"/>
      <w:lvlText w:val="o"/>
      <w:lvlJc w:val="left"/>
      <w:pPr>
        <w:ind w:left="766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0484A91E">
      <w:start w:val="1"/>
      <w:numFmt w:val="bullet"/>
      <w:lvlText w:val="▪"/>
      <w:lvlJc w:val="left"/>
      <w:pPr>
        <w:ind w:left="83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2BA80298"/>
    <w:multiLevelType w:val="hybridMultilevel"/>
    <w:tmpl w:val="43FEF722"/>
    <w:lvl w:ilvl="0" w:tplc="9BF0D822">
      <w:start w:val="4"/>
      <w:numFmt w:val="lowerLetter"/>
      <w:lvlText w:val="%1."/>
      <w:lvlJc w:val="left"/>
      <w:pPr>
        <w:ind w:left="8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1D84A22A">
      <w:start w:val="1"/>
      <w:numFmt w:val="lowerLetter"/>
      <w:lvlText w:val="%2"/>
      <w:lvlJc w:val="left"/>
      <w:pPr>
        <w:ind w:left="27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8C344182">
      <w:start w:val="1"/>
      <w:numFmt w:val="lowerRoman"/>
      <w:lvlText w:val="%3"/>
      <w:lvlJc w:val="left"/>
      <w:pPr>
        <w:ind w:left="34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9F2E21F4">
      <w:start w:val="1"/>
      <w:numFmt w:val="decimal"/>
      <w:lvlText w:val="%4"/>
      <w:lvlJc w:val="left"/>
      <w:pPr>
        <w:ind w:left="41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1A62A6EC">
      <w:start w:val="1"/>
      <w:numFmt w:val="lowerLetter"/>
      <w:lvlText w:val="%5"/>
      <w:lvlJc w:val="left"/>
      <w:pPr>
        <w:ind w:left="49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151045F6">
      <w:start w:val="1"/>
      <w:numFmt w:val="lowerRoman"/>
      <w:lvlText w:val="%6"/>
      <w:lvlJc w:val="left"/>
      <w:pPr>
        <w:ind w:left="56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6C0A557A">
      <w:start w:val="1"/>
      <w:numFmt w:val="decimal"/>
      <w:lvlText w:val="%7"/>
      <w:lvlJc w:val="left"/>
      <w:pPr>
        <w:ind w:left="63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B7B6718A">
      <w:start w:val="1"/>
      <w:numFmt w:val="lowerLetter"/>
      <w:lvlText w:val="%8"/>
      <w:lvlJc w:val="left"/>
      <w:pPr>
        <w:ind w:left="70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2BC6C518">
      <w:start w:val="1"/>
      <w:numFmt w:val="lowerRoman"/>
      <w:lvlText w:val="%9"/>
      <w:lvlJc w:val="left"/>
      <w:pPr>
        <w:ind w:left="77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2C226013"/>
    <w:multiLevelType w:val="hybridMultilevel"/>
    <w:tmpl w:val="129A08AC"/>
    <w:lvl w:ilvl="0" w:tplc="3224FA02">
      <w:start w:val="1"/>
      <w:numFmt w:val="decimal"/>
      <w:lvlText w:val="%1)"/>
      <w:lvlJc w:val="left"/>
      <w:pPr>
        <w:ind w:left="90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D8B074EE">
      <w:start w:val="1"/>
      <w:numFmt w:val="lowerLetter"/>
      <w:lvlText w:val="%2"/>
      <w:lvlJc w:val="left"/>
      <w:pPr>
        <w:ind w:left="27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4D681A82">
      <w:start w:val="1"/>
      <w:numFmt w:val="lowerRoman"/>
      <w:lvlText w:val="%3"/>
      <w:lvlJc w:val="left"/>
      <w:pPr>
        <w:ind w:left="35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4A2CD304">
      <w:start w:val="1"/>
      <w:numFmt w:val="decimal"/>
      <w:lvlText w:val="%4"/>
      <w:lvlJc w:val="left"/>
      <w:pPr>
        <w:ind w:left="422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BDC4AE5E">
      <w:start w:val="1"/>
      <w:numFmt w:val="lowerLetter"/>
      <w:lvlText w:val="%5"/>
      <w:lvlJc w:val="left"/>
      <w:pPr>
        <w:ind w:left="494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DA0ED47A">
      <w:start w:val="1"/>
      <w:numFmt w:val="lowerRoman"/>
      <w:lvlText w:val="%6"/>
      <w:lvlJc w:val="left"/>
      <w:pPr>
        <w:ind w:left="566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F7A0391C">
      <w:start w:val="1"/>
      <w:numFmt w:val="decimal"/>
      <w:lvlText w:val="%7"/>
      <w:lvlJc w:val="left"/>
      <w:pPr>
        <w:ind w:left="63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42066042">
      <w:start w:val="1"/>
      <w:numFmt w:val="lowerLetter"/>
      <w:lvlText w:val="%8"/>
      <w:lvlJc w:val="left"/>
      <w:pPr>
        <w:ind w:left="71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62EC7526">
      <w:start w:val="1"/>
      <w:numFmt w:val="lowerRoman"/>
      <w:lvlText w:val="%9"/>
      <w:lvlJc w:val="left"/>
      <w:pPr>
        <w:ind w:left="782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34130AF5"/>
    <w:multiLevelType w:val="hybridMultilevel"/>
    <w:tmpl w:val="FE604206"/>
    <w:lvl w:ilvl="0" w:tplc="36BC4A62">
      <w:start w:val="1"/>
      <w:numFmt w:val="decimal"/>
      <w:lvlText w:val="%1"/>
      <w:lvlJc w:val="left"/>
      <w:pPr>
        <w:ind w:left="3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DD27968">
      <w:start w:val="1"/>
      <w:numFmt w:val="lowerLetter"/>
      <w:lvlText w:val="%2"/>
      <w:lvlJc w:val="left"/>
      <w:pPr>
        <w:ind w:left="29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05E681BA">
      <w:start w:val="1"/>
      <w:numFmt w:val="lowerRoman"/>
      <w:lvlText w:val="%3"/>
      <w:lvlJc w:val="left"/>
      <w:pPr>
        <w:ind w:left="37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5A527256">
      <w:start w:val="1"/>
      <w:numFmt w:val="decimal"/>
      <w:lvlText w:val="%4"/>
      <w:lvlJc w:val="left"/>
      <w:pPr>
        <w:ind w:left="44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A7A28C88">
      <w:start w:val="1"/>
      <w:numFmt w:val="lowerLetter"/>
      <w:lvlText w:val="%5"/>
      <w:lvlJc w:val="left"/>
      <w:pPr>
        <w:ind w:left="514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BE740E7E">
      <w:start w:val="1"/>
      <w:numFmt w:val="lowerRoman"/>
      <w:lvlText w:val="%6"/>
      <w:lvlJc w:val="left"/>
      <w:pPr>
        <w:ind w:left="586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40429B2C">
      <w:start w:val="1"/>
      <w:numFmt w:val="decimal"/>
      <w:lvlText w:val="%7"/>
      <w:lvlJc w:val="left"/>
      <w:pPr>
        <w:ind w:left="65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7D7A306A">
      <w:start w:val="1"/>
      <w:numFmt w:val="lowerLetter"/>
      <w:lvlText w:val="%8"/>
      <w:lvlJc w:val="left"/>
      <w:pPr>
        <w:ind w:left="73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C3566898">
      <w:start w:val="1"/>
      <w:numFmt w:val="lowerRoman"/>
      <w:lvlText w:val="%9"/>
      <w:lvlJc w:val="left"/>
      <w:pPr>
        <w:ind w:left="80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37033FE8"/>
    <w:multiLevelType w:val="hybridMultilevel"/>
    <w:tmpl w:val="C34E1D48"/>
    <w:lvl w:ilvl="0" w:tplc="B38CA36E">
      <w:start w:val="4"/>
      <w:numFmt w:val="decimal"/>
      <w:lvlText w:val="%1."/>
      <w:lvlJc w:val="left"/>
      <w:pPr>
        <w:ind w:left="2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98A9B2C">
      <w:start w:val="1"/>
      <w:numFmt w:val="lowerLetter"/>
      <w:lvlText w:val="%2"/>
      <w:lvlJc w:val="left"/>
      <w:pPr>
        <w:ind w:left="2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A549F12">
      <w:start w:val="1"/>
      <w:numFmt w:val="lowerRoman"/>
      <w:lvlText w:val="%3"/>
      <w:lvlJc w:val="left"/>
      <w:pPr>
        <w:ind w:left="3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344552">
      <w:start w:val="1"/>
      <w:numFmt w:val="decimal"/>
      <w:lvlText w:val="%4"/>
      <w:lvlJc w:val="left"/>
      <w:pPr>
        <w:ind w:left="4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140574">
      <w:start w:val="1"/>
      <w:numFmt w:val="lowerLetter"/>
      <w:lvlText w:val="%5"/>
      <w:lvlJc w:val="left"/>
      <w:pPr>
        <w:ind w:left="4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D68B3E">
      <w:start w:val="1"/>
      <w:numFmt w:val="lowerRoman"/>
      <w:lvlText w:val="%6"/>
      <w:lvlJc w:val="left"/>
      <w:pPr>
        <w:ind w:left="5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ACC331A">
      <w:start w:val="1"/>
      <w:numFmt w:val="decimal"/>
      <w:lvlText w:val="%7"/>
      <w:lvlJc w:val="left"/>
      <w:pPr>
        <w:ind w:left="63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310638E">
      <w:start w:val="1"/>
      <w:numFmt w:val="lowerLetter"/>
      <w:lvlText w:val="%8"/>
      <w:lvlJc w:val="left"/>
      <w:pPr>
        <w:ind w:left="7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9FC046C">
      <w:start w:val="1"/>
      <w:numFmt w:val="lowerRoman"/>
      <w:lvlText w:val="%9"/>
      <w:lvlJc w:val="left"/>
      <w:pPr>
        <w:ind w:left="78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72A0D2D"/>
    <w:multiLevelType w:val="hybridMultilevel"/>
    <w:tmpl w:val="71124006"/>
    <w:lvl w:ilvl="0" w:tplc="8FDA211C">
      <w:start w:val="22"/>
      <w:numFmt w:val="decimal"/>
      <w:lvlText w:val="%1."/>
      <w:lvlJc w:val="left"/>
      <w:pPr>
        <w:ind w:left="21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AF48036A">
      <w:start w:val="1"/>
      <w:numFmt w:val="lowerLetter"/>
      <w:lvlText w:val="%2"/>
      <w:lvlJc w:val="left"/>
      <w:pPr>
        <w:ind w:left="28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71AC5560">
      <w:start w:val="1"/>
      <w:numFmt w:val="lowerRoman"/>
      <w:lvlText w:val="%3"/>
      <w:lvlJc w:val="left"/>
      <w:pPr>
        <w:ind w:left="35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B4C6B90E">
      <w:start w:val="1"/>
      <w:numFmt w:val="decimal"/>
      <w:lvlText w:val="%4"/>
      <w:lvlJc w:val="left"/>
      <w:pPr>
        <w:ind w:left="424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F23C78AA">
      <w:start w:val="1"/>
      <w:numFmt w:val="lowerLetter"/>
      <w:lvlText w:val="%5"/>
      <w:lvlJc w:val="left"/>
      <w:pPr>
        <w:ind w:left="496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A3FCA7BC">
      <w:start w:val="1"/>
      <w:numFmt w:val="lowerRoman"/>
      <w:lvlText w:val="%6"/>
      <w:lvlJc w:val="left"/>
      <w:pPr>
        <w:ind w:left="568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80408B4E">
      <w:start w:val="1"/>
      <w:numFmt w:val="decimal"/>
      <w:lvlText w:val="%7"/>
      <w:lvlJc w:val="left"/>
      <w:pPr>
        <w:ind w:left="640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94620C94">
      <w:start w:val="1"/>
      <w:numFmt w:val="lowerLetter"/>
      <w:lvlText w:val="%8"/>
      <w:lvlJc w:val="left"/>
      <w:pPr>
        <w:ind w:left="712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0396EF4E">
      <w:start w:val="1"/>
      <w:numFmt w:val="lowerRoman"/>
      <w:lvlText w:val="%9"/>
      <w:lvlJc w:val="left"/>
      <w:pPr>
        <w:ind w:left="784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386118D1"/>
    <w:multiLevelType w:val="hybridMultilevel"/>
    <w:tmpl w:val="9146C560"/>
    <w:lvl w:ilvl="0" w:tplc="A5563F4C">
      <w:start w:val="1"/>
      <w:numFmt w:val="decimal"/>
      <w:lvlText w:val="%1"/>
      <w:lvlJc w:val="left"/>
      <w:pPr>
        <w:ind w:left="115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A93E5DAA">
      <w:start w:val="1"/>
      <w:numFmt w:val="lowerLetter"/>
      <w:lvlText w:val="%2"/>
      <w:lvlJc w:val="left"/>
      <w:pPr>
        <w:ind w:left="205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CE540436">
      <w:start w:val="1"/>
      <w:numFmt w:val="lowerRoman"/>
      <w:lvlText w:val="%3"/>
      <w:lvlJc w:val="left"/>
      <w:pPr>
        <w:ind w:left="277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CD804DEE">
      <w:start w:val="1"/>
      <w:numFmt w:val="decimal"/>
      <w:lvlText w:val="%4"/>
      <w:lvlJc w:val="left"/>
      <w:pPr>
        <w:ind w:left="349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328EC1C6">
      <w:start w:val="1"/>
      <w:numFmt w:val="lowerLetter"/>
      <w:lvlText w:val="%5"/>
      <w:lvlJc w:val="left"/>
      <w:pPr>
        <w:ind w:left="421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6F4AE246">
      <w:start w:val="1"/>
      <w:numFmt w:val="lowerRoman"/>
      <w:lvlText w:val="%6"/>
      <w:lvlJc w:val="left"/>
      <w:pPr>
        <w:ind w:left="493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30DE3252">
      <w:start w:val="1"/>
      <w:numFmt w:val="decimal"/>
      <w:lvlText w:val="%7"/>
      <w:lvlJc w:val="left"/>
      <w:pPr>
        <w:ind w:left="565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E152C4E2">
      <w:start w:val="1"/>
      <w:numFmt w:val="lowerLetter"/>
      <w:lvlText w:val="%8"/>
      <w:lvlJc w:val="left"/>
      <w:pPr>
        <w:ind w:left="637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BAA4D95C">
      <w:start w:val="1"/>
      <w:numFmt w:val="lowerRoman"/>
      <w:lvlText w:val="%9"/>
      <w:lvlJc w:val="left"/>
      <w:pPr>
        <w:ind w:left="709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16" w15:restartNumberingAfterBreak="0">
    <w:nsid w:val="3BC8172C"/>
    <w:multiLevelType w:val="hybridMultilevel"/>
    <w:tmpl w:val="3E3CD51E"/>
    <w:lvl w:ilvl="0" w:tplc="570E12FA">
      <w:start w:val="1"/>
      <w:numFmt w:val="lowerLetter"/>
      <w:lvlText w:val="%1."/>
      <w:lvlJc w:val="left"/>
      <w:pPr>
        <w:ind w:left="164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6D2ED7EC">
      <w:start w:val="1"/>
      <w:numFmt w:val="lowerLetter"/>
      <w:lvlText w:val="%2"/>
      <w:lvlJc w:val="left"/>
      <w:pPr>
        <w:ind w:left="203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F2F4394E">
      <w:start w:val="1"/>
      <w:numFmt w:val="lowerRoman"/>
      <w:lvlText w:val="%3"/>
      <w:lvlJc w:val="left"/>
      <w:pPr>
        <w:ind w:left="275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BEEC0686">
      <w:start w:val="1"/>
      <w:numFmt w:val="decimal"/>
      <w:lvlText w:val="%4"/>
      <w:lvlJc w:val="left"/>
      <w:pPr>
        <w:ind w:left="347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87E6204A">
      <w:start w:val="1"/>
      <w:numFmt w:val="lowerLetter"/>
      <w:lvlText w:val="%5"/>
      <w:lvlJc w:val="left"/>
      <w:pPr>
        <w:ind w:left="419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250825E2">
      <w:start w:val="1"/>
      <w:numFmt w:val="lowerRoman"/>
      <w:lvlText w:val="%6"/>
      <w:lvlJc w:val="left"/>
      <w:pPr>
        <w:ind w:left="491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97A89112">
      <w:start w:val="1"/>
      <w:numFmt w:val="decimal"/>
      <w:lvlText w:val="%7"/>
      <w:lvlJc w:val="left"/>
      <w:pPr>
        <w:ind w:left="563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FAFC4B82">
      <w:start w:val="1"/>
      <w:numFmt w:val="lowerLetter"/>
      <w:lvlText w:val="%8"/>
      <w:lvlJc w:val="left"/>
      <w:pPr>
        <w:ind w:left="635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503EE268">
      <w:start w:val="1"/>
      <w:numFmt w:val="lowerRoman"/>
      <w:lvlText w:val="%9"/>
      <w:lvlJc w:val="left"/>
      <w:pPr>
        <w:ind w:left="707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40000654"/>
    <w:multiLevelType w:val="hybridMultilevel"/>
    <w:tmpl w:val="05003FCC"/>
    <w:lvl w:ilvl="0" w:tplc="C8D894A6">
      <w:start w:val="1"/>
      <w:numFmt w:val="bullet"/>
      <w:lvlText w:val="•"/>
      <w:lvlPicBulletId w:val="2"/>
      <w:lvlJc w:val="left"/>
      <w:pPr>
        <w:ind w:left="3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4582E568">
      <w:start w:val="1"/>
      <w:numFmt w:val="bullet"/>
      <w:lvlText w:val="o"/>
      <w:lvlJc w:val="left"/>
      <w:pPr>
        <w:ind w:left="33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68949322">
      <w:start w:val="1"/>
      <w:numFmt w:val="bullet"/>
      <w:lvlText w:val="▪"/>
      <w:lvlJc w:val="left"/>
      <w:pPr>
        <w:ind w:left="40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244833FC">
      <w:start w:val="1"/>
      <w:numFmt w:val="bullet"/>
      <w:lvlText w:val="•"/>
      <w:lvlJc w:val="left"/>
      <w:pPr>
        <w:ind w:left="47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D18A597E">
      <w:start w:val="1"/>
      <w:numFmt w:val="bullet"/>
      <w:lvlText w:val="o"/>
      <w:lvlJc w:val="left"/>
      <w:pPr>
        <w:ind w:left="55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90B603A2">
      <w:start w:val="1"/>
      <w:numFmt w:val="bullet"/>
      <w:lvlText w:val="▪"/>
      <w:lvlJc w:val="left"/>
      <w:pPr>
        <w:ind w:left="62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D5361AE4">
      <w:start w:val="1"/>
      <w:numFmt w:val="bullet"/>
      <w:lvlText w:val="•"/>
      <w:lvlJc w:val="left"/>
      <w:pPr>
        <w:ind w:left="69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EB22229A">
      <w:start w:val="1"/>
      <w:numFmt w:val="bullet"/>
      <w:lvlText w:val="o"/>
      <w:lvlJc w:val="left"/>
      <w:pPr>
        <w:ind w:left="76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D19C035C">
      <w:start w:val="1"/>
      <w:numFmt w:val="bullet"/>
      <w:lvlText w:val="▪"/>
      <w:lvlJc w:val="left"/>
      <w:pPr>
        <w:ind w:left="83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4797259A"/>
    <w:multiLevelType w:val="hybridMultilevel"/>
    <w:tmpl w:val="8292B090"/>
    <w:lvl w:ilvl="0" w:tplc="13565154">
      <w:start w:val="4"/>
      <w:numFmt w:val="lowerLetter"/>
      <w:lvlText w:val="%1)"/>
      <w:lvlJc w:val="left"/>
      <w:pPr>
        <w:ind w:left="8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DB0452A">
      <w:start w:val="1"/>
      <w:numFmt w:val="lowerLetter"/>
      <w:lvlText w:val="%2"/>
      <w:lvlJc w:val="left"/>
      <w:pPr>
        <w:ind w:left="2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D8E8ECC">
      <w:start w:val="1"/>
      <w:numFmt w:val="lowerRoman"/>
      <w:lvlText w:val="%3"/>
      <w:lvlJc w:val="left"/>
      <w:pPr>
        <w:ind w:left="3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3F41FDC">
      <w:start w:val="1"/>
      <w:numFmt w:val="decimal"/>
      <w:lvlText w:val="%4"/>
      <w:lvlJc w:val="left"/>
      <w:pPr>
        <w:ind w:left="41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E6E83D0">
      <w:start w:val="1"/>
      <w:numFmt w:val="lowerLetter"/>
      <w:lvlText w:val="%5"/>
      <w:lvlJc w:val="left"/>
      <w:pPr>
        <w:ind w:left="49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B74F004">
      <w:start w:val="1"/>
      <w:numFmt w:val="lowerRoman"/>
      <w:lvlText w:val="%6"/>
      <w:lvlJc w:val="left"/>
      <w:pPr>
        <w:ind w:left="56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A44B7B2">
      <w:start w:val="1"/>
      <w:numFmt w:val="decimal"/>
      <w:lvlText w:val="%7"/>
      <w:lvlJc w:val="left"/>
      <w:pPr>
        <w:ind w:left="6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81A00AE">
      <w:start w:val="1"/>
      <w:numFmt w:val="lowerLetter"/>
      <w:lvlText w:val="%8"/>
      <w:lvlJc w:val="left"/>
      <w:pPr>
        <w:ind w:left="70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36C9E78">
      <w:start w:val="1"/>
      <w:numFmt w:val="lowerRoman"/>
      <w:lvlText w:val="%9"/>
      <w:lvlJc w:val="left"/>
      <w:pPr>
        <w:ind w:left="77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51487779"/>
    <w:multiLevelType w:val="hybridMultilevel"/>
    <w:tmpl w:val="7890CAA0"/>
    <w:lvl w:ilvl="0" w:tplc="DAF2195E">
      <w:start w:val="1"/>
      <w:numFmt w:val="decimal"/>
      <w:lvlText w:val="%1)"/>
      <w:lvlJc w:val="left"/>
      <w:pPr>
        <w:ind w:left="87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97FC17CE">
      <w:start w:val="1"/>
      <w:numFmt w:val="lowerLetter"/>
      <w:lvlText w:val="%2"/>
      <w:lvlJc w:val="left"/>
      <w:pPr>
        <w:ind w:left="27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98825638">
      <w:start w:val="1"/>
      <w:numFmt w:val="lowerRoman"/>
      <w:lvlText w:val="%3"/>
      <w:lvlJc w:val="left"/>
      <w:pPr>
        <w:ind w:left="35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04244F04">
      <w:start w:val="1"/>
      <w:numFmt w:val="decimal"/>
      <w:lvlText w:val="%4"/>
      <w:lvlJc w:val="left"/>
      <w:pPr>
        <w:ind w:left="42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CA469D10">
      <w:start w:val="1"/>
      <w:numFmt w:val="lowerLetter"/>
      <w:lvlText w:val="%5"/>
      <w:lvlJc w:val="left"/>
      <w:pPr>
        <w:ind w:left="49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F2EAA75A">
      <w:start w:val="1"/>
      <w:numFmt w:val="lowerRoman"/>
      <w:lvlText w:val="%6"/>
      <w:lvlJc w:val="left"/>
      <w:pPr>
        <w:ind w:left="56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D026CC6A">
      <w:start w:val="1"/>
      <w:numFmt w:val="decimal"/>
      <w:lvlText w:val="%7"/>
      <w:lvlJc w:val="left"/>
      <w:pPr>
        <w:ind w:left="63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73620B66">
      <w:start w:val="1"/>
      <w:numFmt w:val="lowerLetter"/>
      <w:lvlText w:val="%8"/>
      <w:lvlJc w:val="left"/>
      <w:pPr>
        <w:ind w:left="71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99CA631A">
      <w:start w:val="1"/>
      <w:numFmt w:val="lowerRoman"/>
      <w:lvlText w:val="%9"/>
      <w:lvlJc w:val="left"/>
      <w:pPr>
        <w:ind w:left="78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0" w15:restartNumberingAfterBreak="0">
    <w:nsid w:val="59CC369F"/>
    <w:multiLevelType w:val="hybridMultilevel"/>
    <w:tmpl w:val="7DF48EC6"/>
    <w:lvl w:ilvl="0" w:tplc="BAA250BE">
      <w:start w:val="2"/>
      <w:numFmt w:val="lowerLetter"/>
      <w:lvlText w:val="%1)"/>
      <w:lvlJc w:val="left"/>
      <w:pPr>
        <w:ind w:left="165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DDA25192">
      <w:start w:val="1"/>
      <w:numFmt w:val="lowerLetter"/>
      <w:lvlText w:val="%2"/>
      <w:lvlJc w:val="left"/>
      <w:pPr>
        <w:ind w:left="10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B10A7CC4">
      <w:start w:val="1"/>
      <w:numFmt w:val="lowerRoman"/>
      <w:lvlText w:val="%3"/>
      <w:lvlJc w:val="left"/>
      <w:pPr>
        <w:ind w:left="18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06C4F5D2">
      <w:start w:val="1"/>
      <w:numFmt w:val="decimal"/>
      <w:lvlText w:val="%4"/>
      <w:lvlJc w:val="left"/>
      <w:pPr>
        <w:ind w:left="25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2090AFEE">
      <w:start w:val="1"/>
      <w:numFmt w:val="lowerLetter"/>
      <w:lvlText w:val="%5"/>
      <w:lvlJc w:val="left"/>
      <w:pPr>
        <w:ind w:left="32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E904FFBC">
      <w:start w:val="1"/>
      <w:numFmt w:val="lowerRoman"/>
      <w:lvlText w:val="%6"/>
      <w:lvlJc w:val="left"/>
      <w:pPr>
        <w:ind w:left="39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64C69E70">
      <w:start w:val="1"/>
      <w:numFmt w:val="decimal"/>
      <w:lvlText w:val="%7"/>
      <w:lvlJc w:val="left"/>
      <w:pPr>
        <w:ind w:left="46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C98E00DC">
      <w:start w:val="1"/>
      <w:numFmt w:val="lowerLetter"/>
      <w:lvlText w:val="%8"/>
      <w:lvlJc w:val="left"/>
      <w:pPr>
        <w:ind w:left="54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2EF03160">
      <w:start w:val="1"/>
      <w:numFmt w:val="lowerRoman"/>
      <w:lvlText w:val="%9"/>
      <w:lvlJc w:val="left"/>
      <w:pPr>
        <w:ind w:left="61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62AF301C"/>
    <w:multiLevelType w:val="hybridMultilevel"/>
    <w:tmpl w:val="CB5634FC"/>
    <w:lvl w:ilvl="0" w:tplc="39943ACE">
      <w:start w:val="1"/>
      <w:numFmt w:val="lowerLetter"/>
      <w:lvlText w:val="%1)"/>
      <w:lvlJc w:val="left"/>
      <w:pPr>
        <w:ind w:left="197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4880BD40">
      <w:start w:val="1"/>
      <w:numFmt w:val="lowerLetter"/>
      <w:lvlText w:val="%2"/>
      <w:lvlJc w:val="left"/>
      <w:pPr>
        <w:ind w:left="27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B13CBB9C">
      <w:start w:val="1"/>
      <w:numFmt w:val="lowerRoman"/>
      <w:lvlText w:val="%3"/>
      <w:lvlJc w:val="left"/>
      <w:pPr>
        <w:ind w:left="34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EC98282C">
      <w:start w:val="1"/>
      <w:numFmt w:val="decimal"/>
      <w:lvlText w:val="%4"/>
      <w:lvlJc w:val="left"/>
      <w:pPr>
        <w:ind w:left="417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9CA6F298">
      <w:start w:val="1"/>
      <w:numFmt w:val="lowerLetter"/>
      <w:lvlText w:val="%5"/>
      <w:lvlJc w:val="left"/>
      <w:pPr>
        <w:ind w:left="489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613A6208">
      <w:start w:val="1"/>
      <w:numFmt w:val="lowerRoman"/>
      <w:lvlText w:val="%6"/>
      <w:lvlJc w:val="left"/>
      <w:pPr>
        <w:ind w:left="561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3FAAAB34">
      <w:start w:val="1"/>
      <w:numFmt w:val="decimal"/>
      <w:lvlText w:val="%7"/>
      <w:lvlJc w:val="left"/>
      <w:pPr>
        <w:ind w:left="63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97DC530C">
      <w:start w:val="1"/>
      <w:numFmt w:val="lowerLetter"/>
      <w:lvlText w:val="%8"/>
      <w:lvlJc w:val="left"/>
      <w:pPr>
        <w:ind w:left="70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6CB28216">
      <w:start w:val="1"/>
      <w:numFmt w:val="lowerRoman"/>
      <w:lvlText w:val="%9"/>
      <w:lvlJc w:val="left"/>
      <w:pPr>
        <w:ind w:left="777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643500AB"/>
    <w:multiLevelType w:val="hybridMultilevel"/>
    <w:tmpl w:val="B6882C3C"/>
    <w:lvl w:ilvl="0" w:tplc="7FA432B8">
      <w:start w:val="22"/>
      <w:numFmt w:val="decimal"/>
      <w:lvlText w:val="%1."/>
      <w:lvlJc w:val="left"/>
      <w:pPr>
        <w:ind w:left="226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A32896A">
      <w:start w:val="1"/>
      <w:numFmt w:val="lowerLetter"/>
      <w:lvlText w:val="%2"/>
      <w:lvlJc w:val="left"/>
      <w:pPr>
        <w:ind w:left="296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35D8F524">
      <w:start w:val="1"/>
      <w:numFmt w:val="lowerRoman"/>
      <w:lvlText w:val="%3"/>
      <w:lvlJc w:val="left"/>
      <w:pPr>
        <w:ind w:left="36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10226224">
      <w:start w:val="1"/>
      <w:numFmt w:val="decimal"/>
      <w:lvlText w:val="%4"/>
      <w:lvlJc w:val="left"/>
      <w:pPr>
        <w:ind w:left="44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64963FE4">
      <w:start w:val="1"/>
      <w:numFmt w:val="lowerLetter"/>
      <w:lvlText w:val="%5"/>
      <w:lvlJc w:val="left"/>
      <w:pPr>
        <w:ind w:left="512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8266FE6E">
      <w:start w:val="1"/>
      <w:numFmt w:val="lowerRoman"/>
      <w:lvlText w:val="%6"/>
      <w:lvlJc w:val="left"/>
      <w:pPr>
        <w:ind w:left="584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74684944">
      <w:start w:val="1"/>
      <w:numFmt w:val="decimal"/>
      <w:lvlText w:val="%7"/>
      <w:lvlJc w:val="left"/>
      <w:pPr>
        <w:ind w:left="656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3B40996C">
      <w:start w:val="1"/>
      <w:numFmt w:val="lowerLetter"/>
      <w:lvlText w:val="%8"/>
      <w:lvlJc w:val="left"/>
      <w:pPr>
        <w:ind w:left="72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46E29DB6">
      <w:start w:val="1"/>
      <w:numFmt w:val="lowerRoman"/>
      <w:lvlText w:val="%9"/>
      <w:lvlJc w:val="left"/>
      <w:pPr>
        <w:ind w:left="80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3" w15:restartNumberingAfterBreak="0">
    <w:nsid w:val="6A353BB9"/>
    <w:multiLevelType w:val="hybridMultilevel"/>
    <w:tmpl w:val="DE921240"/>
    <w:lvl w:ilvl="0" w:tplc="9146959A">
      <w:start w:val="2"/>
      <w:numFmt w:val="decimal"/>
      <w:lvlText w:val="%1)"/>
      <w:lvlJc w:val="left"/>
      <w:pPr>
        <w:ind w:left="88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D5A6F640">
      <w:start w:val="1"/>
      <w:numFmt w:val="lowerLetter"/>
      <w:lvlText w:val="%2"/>
      <w:lvlJc w:val="left"/>
      <w:pPr>
        <w:ind w:left="27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B5B0ACA4">
      <w:start w:val="1"/>
      <w:numFmt w:val="lowerRoman"/>
      <w:lvlText w:val="%3"/>
      <w:lvlJc w:val="left"/>
      <w:pPr>
        <w:ind w:left="34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B7DCE770">
      <w:start w:val="1"/>
      <w:numFmt w:val="decimal"/>
      <w:lvlText w:val="%4"/>
      <w:lvlJc w:val="left"/>
      <w:pPr>
        <w:ind w:left="41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2FC60CF6">
      <w:start w:val="1"/>
      <w:numFmt w:val="lowerLetter"/>
      <w:lvlText w:val="%5"/>
      <w:lvlJc w:val="left"/>
      <w:pPr>
        <w:ind w:left="49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948E929C">
      <w:start w:val="1"/>
      <w:numFmt w:val="lowerRoman"/>
      <w:lvlText w:val="%6"/>
      <w:lvlJc w:val="left"/>
      <w:pPr>
        <w:ind w:left="56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F6828820">
      <w:start w:val="1"/>
      <w:numFmt w:val="decimal"/>
      <w:lvlText w:val="%7"/>
      <w:lvlJc w:val="left"/>
      <w:pPr>
        <w:ind w:left="63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C59CAAB0">
      <w:start w:val="1"/>
      <w:numFmt w:val="lowerLetter"/>
      <w:lvlText w:val="%8"/>
      <w:lvlJc w:val="left"/>
      <w:pPr>
        <w:ind w:left="70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B6EC2C92">
      <w:start w:val="1"/>
      <w:numFmt w:val="lowerRoman"/>
      <w:lvlText w:val="%9"/>
      <w:lvlJc w:val="left"/>
      <w:pPr>
        <w:ind w:left="77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4" w15:restartNumberingAfterBreak="0">
    <w:nsid w:val="6F5F69B5"/>
    <w:multiLevelType w:val="hybridMultilevel"/>
    <w:tmpl w:val="1E1096F0"/>
    <w:lvl w:ilvl="0" w:tplc="ECFE5740">
      <w:start w:val="3"/>
      <w:numFmt w:val="lowerLetter"/>
      <w:lvlText w:val="%1."/>
      <w:lvlJc w:val="left"/>
      <w:pPr>
        <w:ind w:left="5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A83EEF38">
      <w:start w:val="1"/>
      <w:numFmt w:val="lowerLetter"/>
      <w:lvlText w:val="%2"/>
      <w:lvlJc w:val="left"/>
      <w:pPr>
        <w:ind w:left="275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E95AB250">
      <w:start w:val="1"/>
      <w:numFmt w:val="lowerRoman"/>
      <w:lvlText w:val="%3"/>
      <w:lvlJc w:val="left"/>
      <w:pPr>
        <w:ind w:left="347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5364BED4">
      <w:start w:val="1"/>
      <w:numFmt w:val="decimal"/>
      <w:lvlText w:val="%4"/>
      <w:lvlJc w:val="left"/>
      <w:pPr>
        <w:ind w:left="419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5518F548">
      <w:start w:val="1"/>
      <w:numFmt w:val="lowerLetter"/>
      <w:lvlText w:val="%5"/>
      <w:lvlJc w:val="left"/>
      <w:pPr>
        <w:ind w:left="491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6706DD84">
      <w:start w:val="1"/>
      <w:numFmt w:val="lowerRoman"/>
      <w:lvlText w:val="%6"/>
      <w:lvlJc w:val="left"/>
      <w:pPr>
        <w:ind w:left="563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C26C5658">
      <w:start w:val="1"/>
      <w:numFmt w:val="decimal"/>
      <w:lvlText w:val="%7"/>
      <w:lvlJc w:val="left"/>
      <w:pPr>
        <w:ind w:left="635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D38661AE">
      <w:start w:val="1"/>
      <w:numFmt w:val="lowerLetter"/>
      <w:lvlText w:val="%8"/>
      <w:lvlJc w:val="left"/>
      <w:pPr>
        <w:ind w:left="707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D4F2D73A">
      <w:start w:val="1"/>
      <w:numFmt w:val="lowerRoman"/>
      <w:lvlText w:val="%9"/>
      <w:lvlJc w:val="left"/>
      <w:pPr>
        <w:ind w:left="779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5" w15:restartNumberingAfterBreak="0">
    <w:nsid w:val="74EA00D6"/>
    <w:multiLevelType w:val="hybridMultilevel"/>
    <w:tmpl w:val="7D6C1F26"/>
    <w:lvl w:ilvl="0" w:tplc="7048122E">
      <w:start w:val="4"/>
      <w:numFmt w:val="decimal"/>
      <w:lvlText w:val="%1."/>
      <w:lvlJc w:val="left"/>
      <w:pPr>
        <w:ind w:left="13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71290FE">
      <w:start w:val="1"/>
      <w:numFmt w:val="lowerLetter"/>
      <w:lvlText w:val="%2"/>
      <w:lvlJc w:val="left"/>
      <w:pPr>
        <w:ind w:left="29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81C75FE">
      <w:start w:val="1"/>
      <w:numFmt w:val="lowerRoman"/>
      <w:lvlText w:val="%3"/>
      <w:lvlJc w:val="left"/>
      <w:pPr>
        <w:ind w:left="36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51E9B6C">
      <w:start w:val="1"/>
      <w:numFmt w:val="decimal"/>
      <w:lvlText w:val="%4"/>
      <w:lvlJc w:val="left"/>
      <w:pPr>
        <w:ind w:left="44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174887A">
      <w:start w:val="1"/>
      <w:numFmt w:val="lowerLetter"/>
      <w:lvlText w:val="%5"/>
      <w:lvlJc w:val="left"/>
      <w:pPr>
        <w:ind w:left="51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3584EF2">
      <w:start w:val="1"/>
      <w:numFmt w:val="lowerRoman"/>
      <w:lvlText w:val="%6"/>
      <w:lvlJc w:val="left"/>
      <w:pPr>
        <w:ind w:left="58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42200B2">
      <w:start w:val="1"/>
      <w:numFmt w:val="decimal"/>
      <w:lvlText w:val="%7"/>
      <w:lvlJc w:val="left"/>
      <w:pPr>
        <w:ind w:left="65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D72C4F6">
      <w:start w:val="1"/>
      <w:numFmt w:val="lowerLetter"/>
      <w:lvlText w:val="%8"/>
      <w:lvlJc w:val="left"/>
      <w:pPr>
        <w:ind w:left="72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1F0DF06">
      <w:start w:val="1"/>
      <w:numFmt w:val="lowerRoman"/>
      <w:lvlText w:val="%9"/>
      <w:lvlJc w:val="left"/>
      <w:pPr>
        <w:ind w:left="80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77C51597"/>
    <w:multiLevelType w:val="hybridMultilevel"/>
    <w:tmpl w:val="CEFAED96"/>
    <w:lvl w:ilvl="0" w:tplc="4F3C0AC2">
      <w:start w:val="19"/>
      <w:numFmt w:val="decimal"/>
      <w:lvlText w:val="%1."/>
      <w:lvlJc w:val="left"/>
      <w:pPr>
        <w:ind w:left="21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1F63BA6">
      <w:start w:val="1"/>
      <w:numFmt w:val="lowerLetter"/>
      <w:lvlText w:val="%2"/>
      <w:lvlJc w:val="left"/>
      <w:pPr>
        <w:ind w:left="27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9EC8D54">
      <w:start w:val="1"/>
      <w:numFmt w:val="lowerRoman"/>
      <w:lvlText w:val="%3"/>
      <w:lvlJc w:val="left"/>
      <w:pPr>
        <w:ind w:left="35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030E640">
      <w:start w:val="1"/>
      <w:numFmt w:val="decimal"/>
      <w:lvlText w:val="%4"/>
      <w:lvlJc w:val="left"/>
      <w:pPr>
        <w:ind w:left="42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B2653E0">
      <w:start w:val="1"/>
      <w:numFmt w:val="lowerLetter"/>
      <w:lvlText w:val="%5"/>
      <w:lvlJc w:val="left"/>
      <w:pPr>
        <w:ind w:left="49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69A3392">
      <w:start w:val="1"/>
      <w:numFmt w:val="lowerRoman"/>
      <w:lvlText w:val="%6"/>
      <w:lvlJc w:val="left"/>
      <w:pPr>
        <w:ind w:left="56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002894C">
      <w:start w:val="1"/>
      <w:numFmt w:val="decimal"/>
      <w:lvlText w:val="%7"/>
      <w:lvlJc w:val="left"/>
      <w:pPr>
        <w:ind w:left="63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BACAB5C">
      <w:start w:val="1"/>
      <w:numFmt w:val="lowerLetter"/>
      <w:lvlText w:val="%8"/>
      <w:lvlJc w:val="left"/>
      <w:pPr>
        <w:ind w:left="71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61EFF9A">
      <w:start w:val="1"/>
      <w:numFmt w:val="lowerRoman"/>
      <w:lvlText w:val="%9"/>
      <w:lvlJc w:val="left"/>
      <w:pPr>
        <w:ind w:left="78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7AC945DF"/>
    <w:multiLevelType w:val="hybridMultilevel"/>
    <w:tmpl w:val="5A6EC8D8"/>
    <w:lvl w:ilvl="0" w:tplc="877639E2">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A72D21C">
      <w:start w:val="3"/>
      <w:numFmt w:val="decimal"/>
      <w:lvlRestart w:val="0"/>
      <w:lvlText w:val="%2."/>
      <w:lvlJc w:val="left"/>
      <w:pPr>
        <w:ind w:left="19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A622D94">
      <w:start w:val="1"/>
      <w:numFmt w:val="lowerRoman"/>
      <w:lvlText w:val="%3"/>
      <w:lvlJc w:val="left"/>
      <w:pPr>
        <w:ind w:left="27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20E1AFE">
      <w:start w:val="1"/>
      <w:numFmt w:val="decimal"/>
      <w:lvlText w:val="%4"/>
      <w:lvlJc w:val="left"/>
      <w:pPr>
        <w:ind w:left="34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8AA853E">
      <w:start w:val="1"/>
      <w:numFmt w:val="lowerLetter"/>
      <w:lvlText w:val="%5"/>
      <w:lvlJc w:val="left"/>
      <w:pPr>
        <w:ind w:left="42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C389524">
      <w:start w:val="1"/>
      <w:numFmt w:val="lowerRoman"/>
      <w:lvlText w:val="%6"/>
      <w:lvlJc w:val="left"/>
      <w:pPr>
        <w:ind w:left="49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89A7672">
      <w:start w:val="1"/>
      <w:numFmt w:val="decimal"/>
      <w:lvlText w:val="%7"/>
      <w:lvlJc w:val="left"/>
      <w:pPr>
        <w:ind w:left="56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DA26B9A">
      <w:start w:val="1"/>
      <w:numFmt w:val="lowerLetter"/>
      <w:lvlText w:val="%8"/>
      <w:lvlJc w:val="left"/>
      <w:pPr>
        <w:ind w:left="63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474F250">
      <w:start w:val="1"/>
      <w:numFmt w:val="lowerRoman"/>
      <w:lvlText w:val="%9"/>
      <w:lvlJc w:val="left"/>
      <w:pPr>
        <w:ind w:left="70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7B3A321A"/>
    <w:multiLevelType w:val="hybridMultilevel"/>
    <w:tmpl w:val="9D008102"/>
    <w:lvl w:ilvl="0" w:tplc="C9CC222C">
      <w:start w:val="1"/>
      <w:numFmt w:val="bullet"/>
      <w:lvlText w:val="•"/>
      <w:lvlJc w:val="left"/>
      <w:pPr>
        <w:ind w:left="3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658AEDF0">
      <w:start w:val="1"/>
      <w:numFmt w:val="bullet"/>
      <w:lvlRestart w:val="0"/>
      <w:lvlText w:val="•"/>
      <w:lvlPicBulletId w:val="4"/>
      <w:lvlJc w:val="left"/>
      <w:pPr>
        <w:ind w:left="5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A170EDD2">
      <w:start w:val="1"/>
      <w:numFmt w:val="bullet"/>
      <w:lvlText w:val="▪"/>
      <w:lvlJc w:val="left"/>
      <w:pPr>
        <w:ind w:left="33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561E54C4">
      <w:start w:val="1"/>
      <w:numFmt w:val="bullet"/>
      <w:lvlText w:val="•"/>
      <w:lvlJc w:val="left"/>
      <w:pPr>
        <w:ind w:left="402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7F62659C">
      <w:start w:val="1"/>
      <w:numFmt w:val="bullet"/>
      <w:lvlText w:val="o"/>
      <w:lvlJc w:val="left"/>
      <w:pPr>
        <w:ind w:left="474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AAF64FD8">
      <w:start w:val="1"/>
      <w:numFmt w:val="bullet"/>
      <w:lvlText w:val="▪"/>
      <w:lvlJc w:val="left"/>
      <w:pPr>
        <w:ind w:left="546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942863FC">
      <w:start w:val="1"/>
      <w:numFmt w:val="bullet"/>
      <w:lvlText w:val="•"/>
      <w:lvlJc w:val="left"/>
      <w:pPr>
        <w:ind w:left="618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0EA2A8F0">
      <w:start w:val="1"/>
      <w:numFmt w:val="bullet"/>
      <w:lvlText w:val="o"/>
      <w:lvlJc w:val="left"/>
      <w:pPr>
        <w:ind w:left="690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B1D0F0B2">
      <w:start w:val="1"/>
      <w:numFmt w:val="bullet"/>
      <w:lvlText w:val="▪"/>
      <w:lvlJc w:val="left"/>
      <w:pPr>
        <w:ind w:left="762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7EB54139"/>
    <w:multiLevelType w:val="hybridMultilevel"/>
    <w:tmpl w:val="CAAE1822"/>
    <w:lvl w:ilvl="0" w:tplc="1422CF28">
      <w:start w:val="25"/>
      <w:numFmt w:val="decimal"/>
      <w:lvlText w:val="%1."/>
      <w:lvlJc w:val="left"/>
      <w:pPr>
        <w:ind w:left="13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B69AD968">
      <w:start w:val="1"/>
      <w:numFmt w:val="lowerLetter"/>
      <w:lvlText w:val="%2"/>
      <w:lvlJc w:val="left"/>
      <w:pPr>
        <w:ind w:left="295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1048E67C">
      <w:start w:val="1"/>
      <w:numFmt w:val="lowerRoman"/>
      <w:lvlText w:val="%3"/>
      <w:lvlJc w:val="left"/>
      <w:pPr>
        <w:ind w:left="367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D7684BD4">
      <w:start w:val="1"/>
      <w:numFmt w:val="decimal"/>
      <w:lvlText w:val="%4"/>
      <w:lvlJc w:val="left"/>
      <w:pPr>
        <w:ind w:left="439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92E4E058">
      <w:start w:val="1"/>
      <w:numFmt w:val="lowerLetter"/>
      <w:lvlText w:val="%5"/>
      <w:lvlJc w:val="left"/>
      <w:pPr>
        <w:ind w:left="511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38208E8A">
      <w:start w:val="1"/>
      <w:numFmt w:val="lowerRoman"/>
      <w:lvlText w:val="%6"/>
      <w:lvlJc w:val="left"/>
      <w:pPr>
        <w:ind w:left="583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E348FF24">
      <w:start w:val="1"/>
      <w:numFmt w:val="decimal"/>
      <w:lvlText w:val="%7"/>
      <w:lvlJc w:val="left"/>
      <w:pPr>
        <w:ind w:left="655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C0702DBE">
      <w:start w:val="1"/>
      <w:numFmt w:val="lowerLetter"/>
      <w:lvlText w:val="%8"/>
      <w:lvlJc w:val="left"/>
      <w:pPr>
        <w:ind w:left="727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5C4C5CB2">
      <w:start w:val="1"/>
      <w:numFmt w:val="lowerRoman"/>
      <w:lvlText w:val="%9"/>
      <w:lvlJc w:val="left"/>
      <w:pPr>
        <w:ind w:left="799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num w:numId="1">
    <w:abstractNumId w:val="4"/>
  </w:num>
  <w:num w:numId="2">
    <w:abstractNumId w:val="7"/>
  </w:num>
  <w:num w:numId="3">
    <w:abstractNumId w:val="22"/>
  </w:num>
  <w:num w:numId="4">
    <w:abstractNumId w:val="29"/>
  </w:num>
  <w:num w:numId="5">
    <w:abstractNumId w:val="13"/>
  </w:num>
  <w:num w:numId="6">
    <w:abstractNumId w:val="0"/>
  </w:num>
  <w:num w:numId="7">
    <w:abstractNumId w:val="26"/>
  </w:num>
  <w:num w:numId="8">
    <w:abstractNumId w:val="14"/>
  </w:num>
  <w:num w:numId="9">
    <w:abstractNumId w:val="5"/>
  </w:num>
  <w:num w:numId="10">
    <w:abstractNumId w:val="20"/>
  </w:num>
  <w:num w:numId="11">
    <w:abstractNumId w:val="19"/>
  </w:num>
  <w:num w:numId="12">
    <w:abstractNumId w:val="11"/>
  </w:num>
  <w:num w:numId="13">
    <w:abstractNumId w:val="23"/>
  </w:num>
  <w:num w:numId="14">
    <w:abstractNumId w:val="6"/>
  </w:num>
  <w:num w:numId="15">
    <w:abstractNumId w:val="8"/>
  </w:num>
  <w:num w:numId="16">
    <w:abstractNumId w:val="2"/>
  </w:num>
  <w:num w:numId="17">
    <w:abstractNumId w:val="9"/>
  </w:num>
  <w:num w:numId="18">
    <w:abstractNumId w:val="17"/>
  </w:num>
  <w:num w:numId="19">
    <w:abstractNumId w:val="3"/>
  </w:num>
  <w:num w:numId="20">
    <w:abstractNumId w:val="28"/>
  </w:num>
  <w:num w:numId="21">
    <w:abstractNumId w:val="12"/>
  </w:num>
  <w:num w:numId="22">
    <w:abstractNumId w:val="25"/>
  </w:num>
  <w:num w:numId="23">
    <w:abstractNumId w:val="16"/>
  </w:num>
  <w:num w:numId="24">
    <w:abstractNumId w:val="10"/>
  </w:num>
  <w:num w:numId="25">
    <w:abstractNumId w:val="21"/>
  </w:num>
  <w:num w:numId="26">
    <w:abstractNumId w:val="1"/>
  </w:num>
  <w:num w:numId="27">
    <w:abstractNumId w:val="24"/>
  </w:num>
  <w:num w:numId="28">
    <w:abstractNumId w:val="18"/>
  </w:num>
  <w:num w:numId="29">
    <w:abstractNumId w:val="27"/>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3D93"/>
    <w:rsid w:val="0003373E"/>
    <w:rsid w:val="00053D93"/>
    <w:rsid w:val="00260B75"/>
    <w:rsid w:val="003D4CB5"/>
    <w:rsid w:val="00E41474"/>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DD8FD6"/>
  <w15:docId w15:val="{58E37B15-BF54-4843-8B99-CCCBBE6858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qFormat/>
    <w:pPr>
      <w:keepNext/>
      <w:keepLines/>
      <w:spacing w:after="3" w:line="261" w:lineRule="auto"/>
      <w:ind w:left="10" w:right="2477" w:hanging="10"/>
      <w:jc w:val="both"/>
      <w:outlineLvl w:val="0"/>
    </w:pPr>
    <w:rPr>
      <w:rFonts w:ascii="Calibri" w:eastAsia="Calibri" w:hAnsi="Calibri" w:cs="Calibri"/>
      <w:color w:val="000000"/>
      <w:sz w:val="30"/>
    </w:rPr>
  </w:style>
  <w:style w:type="paragraph" w:styleId="Ttulo2">
    <w:name w:val="heading 2"/>
    <w:next w:val="Normal"/>
    <w:link w:val="Ttulo2Car"/>
    <w:uiPriority w:val="9"/>
    <w:unhideWhenUsed/>
    <w:qFormat/>
    <w:pPr>
      <w:keepNext/>
      <w:keepLines/>
      <w:spacing w:after="80"/>
      <w:ind w:left="190" w:right="29" w:hanging="10"/>
      <w:outlineLvl w:val="1"/>
    </w:pPr>
    <w:rPr>
      <w:rFonts w:ascii="Calibri" w:eastAsia="Calibri" w:hAnsi="Calibri" w:cs="Calibri"/>
      <w:color w:val="000000"/>
      <w:sz w:val="34"/>
    </w:rPr>
  </w:style>
  <w:style w:type="paragraph" w:styleId="Ttulo3">
    <w:name w:val="heading 3"/>
    <w:next w:val="Normal"/>
    <w:link w:val="Ttulo3Car"/>
    <w:uiPriority w:val="9"/>
    <w:unhideWhenUsed/>
    <w:qFormat/>
    <w:pPr>
      <w:keepNext/>
      <w:keepLines/>
      <w:spacing w:after="3" w:line="261" w:lineRule="auto"/>
      <w:ind w:left="10" w:right="2477" w:hanging="10"/>
      <w:jc w:val="both"/>
      <w:outlineLvl w:val="2"/>
    </w:pPr>
    <w:rPr>
      <w:rFonts w:ascii="Calibri" w:eastAsia="Calibri" w:hAnsi="Calibri" w:cs="Calibri"/>
      <w:color w:val="000000"/>
      <w:sz w:val="30"/>
    </w:rPr>
  </w:style>
  <w:style w:type="paragraph" w:styleId="Ttulo4">
    <w:name w:val="heading 4"/>
    <w:next w:val="Normal"/>
    <w:link w:val="Ttulo4Car"/>
    <w:uiPriority w:val="9"/>
    <w:unhideWhenUsed/>
    <w:qFormat/>
    <w:pPr>
      <w:keepNext/>
      <w:keepLines/>
      <w:spacing w:after="4" w:line="253" w:lineRule="auto"/>
      <w:ind w:left="147" w:hanging="3"/>
      <w:jc w:val="both"/>
      <w:outlineLvl w:val="3"/>
    </w:pPr>
    <w:rPr>
      <w:rFonts w:ascii="Calibri" w:eastAsia="Calibri" w:hAnsi="Calibri" w:cs="Calibri"/>
      <w:color w:val="000000"/>
      <w:sz w:val="30"/>
    </w:rPr>
  </w:style>
  <w:style w:type="paragraph" w:styleId="Ttulo5">
    <w:name w:val="heading 5"/>
    <w:next w:val="Normal"/>
    <w:link w:val="Ttulo5Car"/>
    <w:uiPriority w:val="9"/>
    <w:unhideWhenUsed/>
    <w:qFormat/>
    <w:pPr>
      <w:keepNext/>
      <w:keepLines/>
      <w:spacing w:after="0"/>
      <w:ind w:left="1750" w:firstLine="4"/>
      <w:outlineLvl w:val="4"/>
    </w:pPr>
    <w:rPr>
      <w:rFonts w:ascii="Calibri" w:eastAsia="Calibri" w:hAnsi="Calibri" w:cs="Calibri"/>
      <w:color w:val="000000"/>
      <w:sz w:val="30"/>
    </w:rPr>
  </w:style>
  <w:style w:type="paragraph" w:styleId="Ttulo6">
    <w:name w:val="heading 6"/>
    <w:next w:val="Normal"/>
    <w:link w:val="Ttulo6Car"/>
    <w:uiPriority w:val="9"/>
    <w:unhideWhenUsed/>
    <w:qFormat/>
    <w:pPr>
      <w:keepNext/>
      <w:keepLines/>
      <w:spacing w:after="4" w:line="253" w:lineRule="auto"/>
      <w:ind w:left="147" w:hanging="3"/>
      <w:jc w:val="both"/>
      <w:outlineLvl w:val="5"/>
    </w:pPr>
    <w:rPr>
      <w:rFonts w:ascii="Calibri" w:eastAsia="Calibri" w:hAnsi="Calibri" w:cs="Calibri"/>
      <w:color w:val="000000"/>
      <w:sz w:val="3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5Car">
    <w:name w:val="Título 5 Car"/>
    <w:link w:val="Ttulo5"/>
    <w:rPr>
      <w:rFonts w:ascii="Calibri" w:eastAsia="Calibri" w:hAnsi="Calibri" w:cs="Calibri"/>
      <w:color w:val="000000"/>
      <w:sz w:val="30"/>
    </w:rPr>
  </w:style>
  <w:style w:type="character" w:customStyle="1" w:styleId="Ttulo6Car">
    <w:name w:val="Título 6 Car"/>
    <w:link w:val="Ttulo6"/>
    <w:rPr>
      <w:rFonts w:ascii="Calibri" w:eastAsia="Calibri" w:hAnsi="Calibri" w:cs="Calibri"/>
      <w:color w:val="000000"/>
      <w:sz w:val="30"/>
    </w:rPr>
  </w:style>
  <w:style w:type="character" w:customStyle="1" w:styleId="Ttulo3Car">
    <w:name w:val="Título 3 Car"/>
    <w:link w:val="Ttulo3"/>
    <w:rPr>
      <w:rFonts w:ascii="Calibri" w:eastAsia="Calibri" w:hAnsi="Calibri" w:cs="Calibri"/>
      <w:color w:val="000000"/>
      <w:sz w:val="30"/>
    </w:rPr>
  </w:style>
  <w:style w:type="character" w:customStyle="1" w:styleId="Ttulo2Car">
    <w:name w:val="Título 2 Car"/>
    <w:link w:val="Ttulo2"/>
    <w:rPr>
      <w:rFonts w:ascii="Calibri" w:eastAsia="Calibri" w:hAnsi="Calibri" w:cs="Calibri"/>
      <w:color w:val="000000"/>
      <w:sz w:val="34"/>
    </w:rPr>
  </w:style>
  <w:style w:type="character" w:customStyle="1" w:styleId="Ttulo1Car">
    <w:name w:val="Título 1 Car"/>
    <w:link w:val="Ttulo1"/>
    <w:rPr>
      <w:rFonts w:ascii="Calibri" w:eastAsia="Calibri" w:hAnsi="Calibri" w:cs="Calibri"/>
      <w:color w:val="000000"/>
      <w:sz w:val="30"/>
    </w:rPr>
  </w:style>
  <w:style w:type="character" w:customStyle="1" w:styleId="Ttulo4Car">
    <w:name w:val="Título 4 Car"/>
    <w:link w:val="Ttulo4"/>
    <w:rPr>
      <w:rFonts w:ascii="Calibri" w:eastAsia="Calibri" w:hAnsi="Calibri" w:cs="Calibri"/>
      <w:color w:val="000000"/>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1053.jpg"/><Relationship Id="rId1827" Type="http://schemas.openxmlformats.org/officeDocument/2006/relationships/header" Target="header295.xml"/><Relationship Id="rId21" Type="http://schemas.openxmlformats.org/officeDocument/2006/relationships/image" Target="media/image14.jpg"/><Relationship Id="rId170" Type="http://schemas.openxmlformats.org/officeDocument/2006/relationships/footer" Target="footer35.xml"/><Relationship Id="rId268" Type="http://schemas.openxmlformats.org/officeDocument/2006/relationships/footer" Target="footer43.xml"/><Relationship Id="rId475" Type="http://schemas.openxmlformats.org/officeDocument/2006/relationships/image" Target="media/image354.jpg"/><Relationship Id="rId682" Type="http://schemas.openxmlformats.org/officeDocument/2006/relationships/footer" Target="footer93.xml"/><Relationship Id="rId128" Type="http://schemas.openxmlformats.org/officeDocument/2006/relationships/image" Target="media/image79.jpg"/><Relationship Id="rId335" Type="http://schemas.openxmlformats.org/officeDocument/2006/relationships/footer" Target="footer46.xml"/><Relationship Id="rId542" Type="http://schemas.openxmlformats.org/officeDocument/2006/relationships/image" Target="media/image409.jpg"/><Relationship Id="rId987" Type="http://schemas.openxmlformats.org/officeDocument/2006/relationships/image" Target="media/image710.jpg"/><Relationship Id="rId1172" Type="http://schemas.openxmlformats.org/officeDocument/2006/relationships/image" Target="media/image835.jpg"/><Relationship Id="rId402" Type="http://schemas.openxmlformats.org/officeDocument/2006/relationships/image" Target="media/image293.jpg"/><Relationship Id="rId847" Type="http://schemas.openxmlformats.org/officeDocument/2006/relationships/header" Target="header115.xml"/><Relationship Id="rId1032" Type="http://schemas.openxmlformats.org/officeDocument/2006/relationships/footer" Target="footer147.xml"/><Relationship Id="rId1477" Type="http://schemas.openxmlformats.org/officeDocument/2006/relationships/image" Target="media/image1026.jpg"/><Relationship Id="rId1684" Type="http://schemas.openxmlformats.org/officeDocument/2006/relationships/image" Target="media/image1149.jpg"/><Relationship Id="rId707" Type="http://schemas.openxmlformats.org/officeDocument/2006/relationships/header" Target="header96.xml"/><Relationship Id="rId914" Type="http://schemas.openxmlformats.org/officeDocument/2006/relationships/image" Target="media/image661.jpg"/><Relationship Id="rId1337" Type="http://schemas.openxmlformats.org/officeDocument/2006/relationships/image" Target="media/image934.jpg"/><Relationship Id="rId1544" Type="http://schemas.openxmlformats.org/officeDocument/2006/relationships/image" Target="media/image1069.jpg"/><Relationship Id="rId1751" Type="http://schemas.openxmlformats.org/officeDocument/2006/relationships/image" Target="media/image1192.jpg"/><Relationship Id="rId43" Type="http://schemas.openxmlformats.org/officeDocument/2006/relationships/image" Target="media/image30.jpg"/><Relationship Id="rId1404" Type="http://schemas.openxmlformats.org/officeDocument/2006/relationships/image" Target="media/image977.jpg"/><Relationship Id="rId1611" Type="http://schemas.openxmlformats.org/officeDocument/2006/relationships/image" Target="media/image1106.jpg"/><Relationship Id="rId1849" Type="http://schemas.openxmlformats.org/officeDocument/2006/relationships/header" Target="header301.xml"/><Relationship Id="rId192" Type="http://schemas.openxmlformats.org/officeDocument/2006/relationships/image" Target="media/image113.jpg"/><Relationship Id="rId1709" Type="http://schemas.openxmlformats.org/officeDocument/2006/relationships/image" Target="media/image1162.jpg"/><Relationship Id="rId497" Type="http://schemas.openxmlformats.org/officeDocument/2006/relationships/image" Target="media/image376.jpg"/><Relationship Id="rId357" Type="http://schemas.openxmlformats.org/officeDocument/2006/relationships/image" Target="media/image260.jpg"/><Relationship Id="rId1194" Type="http://schemas.openxmlformats.org/officeDocument/2006/relationships/image" Target="media/image851.jpg"/><Relationship Id="rId217" Type="http://schemas.openxmlformats.org/officeDocument/2006/relationships/image" Target="media/image138.jpg"/><Relationship Id="rId564" Type="http://schemas.openxmlformats.org/officeDocument/2006/relationships/image" Target="media/image425.jpg"/><Relationship Id="rId771" Type="http://schemas.openxmlformats.org/officeDocument/2006/relationships/footer" Target="footer103.xml"/><Relationship Id="rId869" Type="http://schemas.openxmlformats.org/officeDocument/2006/relationships/image" Target="media/image628.jpg"/><Relationship Id="rId1499" Type="http://schemas.openxmlformats.org/officeDocument/2006/relationships/footer" Target="footer230.xml"/><Relationship Id="rId424" Type="http://schemas.openxmlformats.org/officeDocument/2006/relationships/image" Target="media/image315.jpg"/><Relationship Id="rId631" Type="http://schemas.openxmlformats.org/officeDocument/2006/relationships/footer" Target="footer82.xml"/><Relationship Id="rId729" Type="http://schemas.openxmlformats.org/officeDocument/2006/relationships/footer" Target="footer99.xml"/><Relationship Id="rId1054" Type="http://schemas.openxmlformats.org/officeDocument/2006/relationships/image" Target="media/image753.jpg"/><Relationship Id="rId1261" Type="http://schemas.openxmlformats.org/officeDocument/2006/relationships/image" Target="media/image888.jpg"/><Relationship Id="rId1359" Type="http://schemas.openxmlformats.org/officeDocument/2006/relationships/image" Target="media/image950.jpg"/><Relationship Id="rId936" Type="http://schemas.openxmlformats.org/officeDocument/2006/relationships/image" Target="media/image677.jpg"/><Relationship Id="rId1121" Type="http://schemas.openxmlformats.org/officeDocument/2006/relationships/image" Target="media/image796.jpg"/><Relationship Id="rId1219" Type="http://schemas.openxmlformats.org/officeDocument/2006/relationships/image" Target="media/image864.jpg"/><Relationship Id="rId1566" Type="http://schemas.openxmlformats.org/officeDocument/2006/relationships/footer" Target="footer241.xml"/><Relationship Id="rId1773" Type="http://schemas.openxmlformats.org/officeDocument/2006/relationships/image" Target="media/image1208.jpg"/><Relationship Id="rId65" Type="http://schemas.openxmlformats.org/officeDocument/2006/relationships/image" Target="media/image46.jpg"/><Relationship Id="rId1426" Type="http://schemas.openxmlformats.org/officeDocument/2006/relationships/footer" Target="footer219.xml"/><Relationship Id="rId1633" Type="http://schemas.openxmlformats.org/officeDocument/2006/relationships/footer" Target="footer256.xml"/><Relationship Id="rId1840" Type="http://schemas.openxmlformats.org/officeDocument/2006/relationships/header" Target="header299.xml"/><Relationship Id="rId1700" Type="http://schemas.openxmlformats.org/officeDocument/2006/relationships/footer" Target="footer271.xml"/><Relationship Id="rId281" Type="http://schemas.openxmlformats.org/officeDocument/2006/relationships/image" Target="media/image190.jpg"/><Relationship Id="rId141" Type="http://schemas.openxmlformats.org/officeDocument/2006/relationships/header" Target="header28.xml"/><Relationship Id="rId379" Type="http://schemas.openxmlformats.org/officeDocument/2006/relationships/image" Target="media/image276.jpg"/><Relationship Id="rId586" Type="http://schemas.openxmlformats.org/officeDocument/2006/relationships/footer" Target="footer74.xml"/><Relationship Id="rId793" Type="http://schemas.openxmlformats.org/officeDocument/2006/relationships/header" Target="header108.xml"/><Relationship Id="rId7" Type="http://schemas.openxmlformats.org/officeDocument/2006/relationships/image" Target="media/image6.jpg"/><Relationship Id="rId239" Type="http://schemas.openxmlformats.org/officeDocument/2006/relationships/image" Target="media/image160.jpg"/><Relationship Id="rId446" Type="http://schemas.openxmlformats.org/officeDocument/2006/relationships/header" Target="header59.xml"/><Relationship Id="rId653" Type="http://schemas.openxmlformats.org/officeDocument/2006/relationships/image" Target="media/image478.jpg"/><Relationship Id="rId1076" Type="http://schemas.openxmlformats.org/officeDocument/2006/relationships/image" Target="media/image769.jpg"/><Relationship Id="rId1283" Type="http://schemas.openxmlformats.org/officeDocument/2006/relationships/image" Target="media/image904.jpg"/><Relationship Id="rId1490" Type="http://schemas.openxmlformats.org/officeDocument/2006/relationships/image" Target="media/image1033.jpg"/><Relationship Id="rId306" Type="http://schemas.openxmlformats.org/officeDocument/2006/relationships/image" Target="media/image215.jpg"/><Relationship Id="rId860" Type="http://schemas.openxmlformats.org/officeDocument/2006/relationships/image" Target="media/image625.jpg"/><Relationship Id="rId958" Type="http://schemas.openxmlformats.org/officeDocument/2006/relationships/image" Target="media/image687.jpg"/><Relationship Id="rId1143" Type="http://schemas.openxmlformats.org/officeDocument/2006/relationships/image" Target="media/image812.jpg"/><Relationship Id="rId1588" Type="http://schemas.openxmlformats.org/officeDocument/2006/relationships/header" Target="header248.xml"/><Relationship Id="rId1795" Type="http://schemas.openxmlformats.org/officeDocument/2006/relationships/footer" Target="footer288.xml"/><Relationship Id="rId87" Type="http://schemas.openxmlformats.org/officeDocument/2006/relationships/image" Target="media/image56.jpg"/><Relationship Id="rId513" Type="http://schemas.openxmlformats.org/officeDocument/2006/relationships/footer" Target="footer61.xml"/><Relationship Id="rId720" Type="http://schemas.openxmlformats.org/officeDocument/2006/relationships/image" Target="media/image527.jpg"/><Relationship Id="rId818" Type="http://schemas.openxmlformats.org/officeDocument/2006/relationships/image" Target="media/image595.jpg"/><Relationship Id="rId1350" Type="http://schemas.openxmlformats.org/officeDocument/2006/relationships/image" Target="media/image941.jpg"/><Relationship Id="rId1448" Type="http://schemas.openxmlformats.org/officeDocument/2006/relationships/image" Target="media/image1003.jpg"/><Relationship Id="rId1655" Type="http://schemas.openxmlformats.org/officeDocument/2006/relationships/footer" Target="footer259.xml"/><Relationship Id="rId1003" Type="http://schemas.openxmlformats.org/officeDocument/2006/relationships/image" Target="media/image720.jpg"/><Relationship Id="rId1210" Type="http://schemas.openxmlformats.org/officeDocument/2006/relationships/header" Target="header175.xml"/><Relationship Id="rId1308" Type="http://schemas.openxmlformats.org/officeDocument/2006/relationships/image" Target="media/image917.jpg"/><Relationship Id="rId1862" Type="http://schemas.openxmlformats.org/officeDocument/2006/relationships/header" Target="header304.xml"/><Relationship Id="rId1515" Type="http://schemas.openxmlformats.org/officeDocument/2006/relationships/image" Target="media/image1046.jpg"/><Relationship Id="rId1722" Type="http://schemas.openxmlformats.org/officeDocument/2006/relationships/image" Target="media/image1169.jpg"/><Relationship Id="rId14" Type="http://schemas.openxmlformats.org/officeDocument/2006/relationships/footer" Target="footer2.xml"/><Relationship Id="rId163" Type="http://schemas.openxmlformats.org/officeDocument/2006/relationships/image" Target="media/image96.jpg"/><Relationship Id="rId370" Type="http://schemas.openxmlformats.org/officeDocument/2006/relationships/header" Target="header50.xml"/><Relationship Id="rId230" Type="http://schemas.openxmlformats.org/officeDocument/2006/relationships/image" Target="media/image151.jpg"/><Relationship Id="rId468" Type="http://schemas.openxmlformats.org/officeDocument/2006/relationships/image" Target="media/image347.jpg"/><Relationship Id="rId675" Type="http://schemas.openxmlformats.org/officeDocument/2006/relationships/image" Target="media/image494.jpg"/><Relationship Id="rId882" Type="http://schemas.openxmlformats.org/officeDocument/2006/relationships/header" Target="header122.xml"/><Relationship Id="rId1098" Type="http://schemas.openxmlformats.org/officeDocument/2006/relationships/image" Target="media/image785.jpg"/><Relationship Id="rId328" Type="http://schemas.openxmlformats.org/officeDocument/2006/relationships/image" Target="media/image237.jpg"/><Relationship Id="rId535" Type="http://schemas.openxmlformats.org/officeDocument/2006/relationships/header" Target="header65.xml"/><Relationship Id="rId742" Type="http://schemas.openxmlformats.org/officeDocument/2006/relationships/image" Target="media/image543.jpg"/><Relationship Id="rId1165" Type="http://schemas.openxmlformats.org/officeDocument/2006/relationships/image" Target="media/image828.jpg"/><Relationship Id="rId1372" Type="http://schemas.openxmlformats.org/officeDocument/2006/relationships/image" Target="media/image957.jpg"/><Relationship Id="rId602" Type="http://schemas.openxmlformats.org/officeDocument/2006/relationships/image" Target="media/image445.jpg"/><Relationship Id="rId1025" Type="http://schemas.openxmlformats.org/officeDocument/2006/relationships/image" Target="media/image736.jpg"/><Relationship Id="rId1232" Type="http://schemas.openxmlformats.org/officeDocument/2006/relationships/image" Target="media/image871.jpg"/><Relationship Id="rId1677" Type="http://schemas.openxmlformats.org/officeDocument/2006/relationships/header" Target="header265.xml"/><Relationship Id="rId1884" Type="http://schemas.openxmlformats.org/officeDocument/2006/relationships/header" Target="header312.xml"/><Relationship Id="rId907" Type="http://schemas.openxmlformats.org/officeDocument/2006/relationships/header" Target="header124.xml"/><Relationship Id="rId1537" Type="http://schemas.openxmlformats.org/officeDocument/2006/relationships/header" Target="header235.xml"/><Relationship Id="rId1744" Type="http://schemas.openxmlformats.org/officeDocument/2006/relationships/image" Target="media/image1185.jpg"/><Relationship Id="rId36" Type="http://schemas.openxmlformats.org/officeDocument/2006/relationships/footer" Target="footer4.xml"/><Relationship Id="rId1604" Type="http://schemas.openxmlformats.org/officeDocument/2006/relationships/header" Target="header251.xml"/><Relationship Id="rId185" Type="http://schemas.openxmlformats.org/officeDocument/2006/relationships/image" Target="media/image106.jpg"/><Relationship Id="rId1811" Type="http://schemas.openxmlformats.org/officeDocument/2006/relationships/header" Target="header292.xml"/><Relationship Id="rId392" Type="http://schemas.openxmlformats.org/officeDocument/2006/relationships/image" Target="media/image289.jpg"/><Relationship Id="rId697" Type="http://schemas.openxmlformats.org/officeDocument/2006/relationships/image" Target="media/image510.jpg"/><Relationship Id="rId252" Type="http://schemas.openxmlformats.org/officeDocument/2006/relationships/header" Target="header41.xml"/><Relationship Id="rId1187" Type="http://schemas.openxmlformats.org/officeDocument/2006/relationships/image" Target="media/image844.jpg"/><Relationship Id="rId112" Type="http://schemas.openxmlformats.org/officeDocument/2006/relationships/image" Target="media/image69.jpg"/><Relationship Id="rId557" Type="http://schemas.openxmlformats.org/officeDocument/2006/relationships/footer" Target="footer69.xml"/><Relationship Id="rId764" Type="http://schemas.openxmlformats.org/officeDocument/2006/relationships/footer" Target="footer102.xml"/><Relationship Id="rId971" Type="http://schemas.openxmlformats.org/officeDocument/2006/relationships/image" Target="media/image694.jpg"/><Relationship Id="rId1394" Type="http://schemas.openxmlformats.org/officeDocument/2006/relationships/image" Target="media/image973.jpg"/><Relationship Id="rId1699" Type="http://schemas.openxmlformats.org/officeDocument/2006/relationships/header" Target="header272.xml"/><Relationship Id="rId417" Type="http://schemas.openxmlformats.org/officeDocument/2006/relationships/image" Target="media/image308.jpg"/><Relationship Id="rId624" Type="http://schemas.openxmlformats.org/officeDocument/2006/relationships/image" Target="media/image461.jpg"/><Relationship Id="rId831" Type="http://schemas.openxmlformats.org/officeDocument/2006/relationships/header" Target="header112.xml"/><Relationship Id="rId1047" Type="http://schemas.openxmlformats.org/officeDocument/2006/relationships/header" Target="header150.xml"/><Relationship Id="rId1254" Type="http://schemas.openxmlformats.org/officeDocument/2006/relationships/footer" Target="footer185.xml"/><Relationship Id="rId1461" Type="http://schemas.openxmlformats.org/officeDocument/2006/relationships/header" Target="header223.xml"/><Relationship Id="rId929" Type="http://schemas.openxmlformats.org/officeDocument/2006/relationships/header" Target="header129.xml"/><Relationship Id="rId1114" Type="http://schemas.openxmlformats.org/officeDocument/2006/relationships/image" Target="media/image795.jpg"/><Relationship Id="rId1321" Type="http://schemas.openxmlformats.org/officeDocument/2006/relationships/footer" Target="footer198.xml"/><Relationship Id="rId1559" Type="http://schemas.openxmlformats.org/officeDocument/2006/relationships/footer" Target="footer238.xml"/><Relationship Id="rId1766" Type="http://schemas.openxmlformats.org/officeDocument/2006/relationships/image" Target="media/image1201.jpg"/><Relationship Id="rId58" Type="http://schemas.openxmlformats.org/officeDocument/2006/relationships/image" Target="media/image39.jpg"/><Relationship Id="rId1419" Type="http://schemas.openxmlformats.org/officeDocument/2006/relationships/image" Target="media/image986.jpg"/><Relationship Id="rId1626" Type="http://schemas.openxmlformats.org/officeDocument/2006/relationships/image" Target="media/image1115.jpg"/><Relationship Id="rId1833" Type="http://schemas.openxmlformats.org/officeDocument/2006/relationships/image" Target="media/image1238.jpg"/><Relationship Id="rId274" Type="http://schemas.openxmlformats.org/officeDocument/2006/relationships/image" Target="media/image183.jpg"/><Relationship Id="rId481" Type="http://schemas.openxmlformats.org/officeDocument/2006/relationships/image" Target="media/image360.jpg"/><Relationship Id="rId134" Type="http://schemas.openxmlformats.org/officeDocument/2006/relationships/header" Target="header27.xml"/><Relationship Id="rId579" Type="http://schemas.openxmlformats.org/officeDocument/2006/relationships/image" Target="media/image434.jpg"/><Relationship Id="rId786" Type="http://schemas.openxmlformats.org/officeDocument/2006/relationships/image" Target="media/image575.jpg"/><Relationship Id="rId993" Type="http://schemas.openxmlformats.org/officeDocument/2006/relationships/header" Target="header140.xml"/><Relationship Id="rId341" Type="http://schemas.openxmlformats.org/officeDocument/2006/relationships/image" Target="media/image244.jpg"/><Relationship Id="rId439" Type="http://schemas.openxmlformats.org/officeDocument/2006/relationships/footer" Target="footer56.xml"/><Relationship Id="rId646" Type="http://schemas.openxmlformats.org/officeDocument/2006/relationships/image" Target="media/image477.jpg"/><Relationship Id="rId1069" Type="http://schemas.openxmlformats.org/officeDocument/2006/relationships/image" Target="media/image762.jpg"/><Relationship Id="rId1276" Type="http://schemas.openxmlformats.org/officeDocument/2006/relationships/image" Target="media/image897.jpg"/><Relationship Id="rId1483" Type="http://schemas.openxmlformats.org/officeDocument/2006/relationships/footer" Target="footer226.xml"/><Relationship Id="rId201" Type="http://schemas.openxmlformats.org/officeDocument/2006/relationships/image" Target="media/image122.jpg"/><Relationship Id="rId506" Type="http://schemas.openxmlformats.org/officeDocument/2006/relationships/image" Target="media/image385.jpg"/><Relationship Id="rId853" Type="http://schemas.openxmlformats.org/officeDocument/2006/relationships/image" Target="media/image618.jpg"/><Relationship Id="rId1136" Type="http://schemas.openxmlformats.org/officeDocument/2006/relationships/image" Target="media/image805.jpg"/><Relationship Id="rId1690" Type="http://schemas.openxmlformats.org/officeDocument/2006/relationships/footer" Target="footer269.xml"/><Relationship Id="rId1788" Type="http://schemas.openxmlformats.org/officeDocument/2006/relationships/image" Target="media/image1217.jpg"/><Relationship Id="rId713" Type="http://schemas.openxmlformats.org/officeDocument/2006/relationships/image" Target="media/image520.jpg"/><Relationship Id="rId920" Type="http://schemas.openxmlformats.org/officeDocument/2006/relationships/image" Target="media/image667.jpg"/><Relationship Id="rId1343" Type="http://schemas.openxmlformats.org/officeDocument/2006/relationships/header" Target="header202.xml"/><Relationship Id="rId1550" Type="http://schemas.openxmlformats.org/officeDocument/2006/relationships/image" Target="media/image1075.jpg"/><Relationship Id="rId1648" Type="http://schemas.openxmlformats.org/officeDocument/2006/relationships/image" Target="media/image1131.jpg"/><Relationship Id="rId1203" Type="http://schemas.openxmlformats.org/officeDocument/2006/relationships/image" Target="media/image854.jpg"/><Relationship Id="rId1410" Type="http://schemas.openxmlformats.org/officeDocument/2006/relationships/header" Target="header215.xml"/><Relationship Id="rId1508" Type="http://schemas.openxmlformats.org/officeDocument/2006/relationships/footer" Target="footer232.xml"/><Relationship Id="rId1855" Type="http://schemas.openxmlformats.org/officeDocument/2006/relationships/image" Target="media/image1248.jpg"/><Relationship Id="rId1715" Type="http://schemas.openxmlformats.org/officeDocument/2006/relationships/footer" Target="footer276.xml"/><Relationship Id="rId296" Type="http://schemas.openxmlformats.org/officeDocument/2006/relationships/image" Target="media/image205.jpg"/><Relationship Id="rId156" Type="http://schemas.openxmlformats.org/officeDocument/2006/relationships/header" Target="header31.xml"/><Relationship Id="rId363" Type="http://schemas.openxmlformats.org/officeDocument/2006/relationships/image" Target="media/image266.jpg"/><Relationship Id="rId570" Type="http://schemas.openxmlformats.org/officeDocument/2006/relationships/header" Target="header70.xml"/><Relationship Id="rId223" Type="http://schemas.openxmlformats.org/officeDocument/2006/relationships/image" Target="media/image144.jpg"/><Relationship Id="rId430" Type="http://schemas.openxmlformats.org/officeDocument/2006/relationships/image" Target="media/image321.jpg"/><Relationship Id="rId668" Type="http://schemas.openxmlformats.org/officeDocument/2006/relationships/image" Target="media/image487.jpg"/><Relationship Id="rId875" Type="http://schemas.openxmlformats.org/officeDocument/2006/relationships/image" Target="media/image634.jpg"/><Relationship Id="rId1060" Type="http://schemas.openxmlformats.org/officeDocument/2006/relationships/header" Target="header152.xml"/><Relationship Id="rId1298" Type="http://schemas.openxmlformats.org/officeDocument/2006/relationships/footer" Target="footer195.xml"/><Relationship Id="rId528" Type="http://schemas.openxmlformats.org/officeDocument/2006/relationships/image" Target="media/image401.jpg"/><Relationship Id="rId735" Type="http://schemas.openxmlformats.org/officeDocument/2006/relationships/image" Target="media/image536.jpg"/><Relationship Id="rId942" Type="http://schemas.openxmlformats.org/officeDocument/2006/relationships/header" Target="header132.xml"/><Relationship Id="rId1158" Type="http://schemas.openxmlformats.org/officeDocument/2006/relationships/footer" Target="footer168.xml"/><Relationship Id="rId1365" Type="http://schemas.openxmlformats.org/officeDocument/2006/relationships/header" Target="header205.xml"/><Relationship Id="rId1572" Type="http://schemas.openxmlformats.org/officeDocument/2006/relationships/image" Target="media/image1085.jpg"/><Relationship Id="rId1018" Type="http://schemas.openxmlformats.org/officeDocument/2006/relationships/image" Target="media/image729.jpg"/><Relationship Id="rId1225" Type="http://schemas.openxmlformats.org/officeDocument/2006/relationships/footer" Target="footer179.xml"/><Relationship Id="rId1432" Type="http://schemas.openxmlformats.org/officeDocument/2006/relationships/image" Target="media/image993.jpg"/><Relationship Id="rId1877" Type="http://schemas.openxmlformats.org/officeDocument/2006/relationships/header" Target="header309.xml"/><Relationship Id="rId71" Type="http://schemas.openxmlformats.org/officeDocument/2006/relationships/footer" Target="footer12.xml"/><Relationship Id="rId802" Type="http://schemas.openxmlformats.org/officeDocument/2006/relationships/image" Target="media/image585.jpg"/><Relationship Id="rId1737" Type="http://schemas.openxmlformats.org/officeDocument/2006/relationships/header" Target="header278.xml"/><Relationship Id="rId29" Type="http://schemas.openxmlformats.org/officeDocument/2006/relationships/image" Target="media/image22.jpg"/><Relationship Id="rId178" Type="http://schemas.openxmlformats.org/officeDocument/2006/relationships/footer" Target="footer37.xml"/><Relationship Id="rId1804" Type="http://schemas.openxmlformats.org/officeDocument/2006/relationships/footer" Target="footer291.xml"/><Relationship Id="rId385" Type="http://schemas.openxmlformats.org/officeDocument/2006/relationships/image" Target="media/image282.jpg"/><Relationship Id="rId592" Type="http://schemas.openxmlformats.org/officeDocument/2006/relationships/image" Target="media/image441.jpg"/><Relationship Id="rId245" Type="http://schemas.openxmlformats.org/officeDocument/2006/relationships/image" Target="media/image166.jpg"/><Relationship Id="rId452" Type="http://schemas.openxmlformats.org/officeDocument/2006/relationships/image" Target="media/image331.jpg"/><Relationship Id="rId897" Type="http://schemas.openxmlformats.org/officeDocument/2006/relationships/image" Target="media/image650.jpg"/><Relationship Id="rId1082" Type="http://schemas.openxmlformats.org/officeDocument/2006/relationships/header" Target="header155.xml"/><Relationship Id="rId105" Type="http://schemas.openxmlformats.org/officeDocument/2006/relationships/image" Target="media/image68.jpg"/><Relationship Id="rId312" Type="http://schemas.openxmlformats.org/officeDocument/2006/relationships/image" Target="media/image221.jpg"/><Relationship Id="rId757" Type="http://schemas.openxmlformats.org/officeDocument/2006/relationships/image" Target="media/image558.jpg"/><Relationship Id="rId964" Type="http://schemas.openxmlformats.org/officeDocument/2006/relationships/image" Target="media/image693.jpg"/><Relationship Id="rId1387" Type="http://schemas.openxmlformats.org/officeDocument/2006/relationships/footer" Target="footer210.xml"/><Relationship Id="rId1594" Type="http://schemas.openxmlformats.org/officeDocument/2006/relationships/image" Target="media/image1095.jpg"/><Relationship Id="rId93" Type="http://schemas.openxmlformats.org/officeDocument/2006/relationships/image" Target="media/image62.jpg"/><Relationship Id="rId617" Type="http://schemas.openxmlformats.org/officeDocument/2006/relationships/image" Target="media/image454.jpg"/><Relationship Id="rId824" Type="http://schemas.openxmlformats.org/officeDocument/2006/relationships/image" Target="media/image601.jpg"/><Relationship Id="rId1247" Type="http://schemas.openxmlformats.org/officeDocument/2006/relationships/image" Target="media/image880.jpg"/><Relationship Id="rId1454" Type="http://schemas.openxmlformats.org/officeDocument/2006/relationships/image" Target="media/image1009.jpg"/><Relationship Id="rId1661" Type="http://schemas.openxmlformats.org/officeDocument/2006/relationships/image" Target="media/image1138.jpg"/><Relationship Id="rId1107" Type="http://schemas.openxmlformats.org/officeDocument/2006/relationships/footer" Target="footer159.xml"/><Relationship Id="rId1314" Type="http://schemas.openxmlformats.org/officeDocument/2006/relationships/image" Target="media/image923.jpg"/><Relationship Id="rId1521" Type="http://schemas.openxmlformats.org/officeDocument/2006/relationships/image" Target="media/image1052.jpeg"/><Relationship Id="rId1759" Type="http://schemas.openxmlformats.org/officeDocument/2006/relationships/header" Target="header282.xml"/><Relationship Id="rId1619" Type="http://schemas.openxmlformats.org/officeDocument/2006/relationships/footer" Target="footer254.xml"/><Relationship Id="rId1826" Type="http://schemas.openxmlformats.org/officeDocument/2006/relationships/image" Target="media/image1237.jpg"/><Relationship Id="rId20" Type="http://schemas.openxmlformats.org/officeDocument/2006/relationships/image" Target="media/image13.jpg"/><Relationship Id="rId267" Type="http://schemas.openxmlformats.org/officeDocument/2006/relationships/header" Target="header44.xml"/><Relationship Id="rId474" Type="http://schemas.openxmlformats.org/officeDocument/2006/relationships/image" Target="media/image353.jpg"/><Relationship Id="rId127" Type="http://schemas.openxmlformats.org/officeDocument/2006/relationships/image" Target="media/image78.jpg"/><Relationship Id="rId681" Type="http://schemas.openxmlformats.org/officeDocument/2006/relationships/header" Target="header93.xml"/><Relationship Id="rId779" Type="http://schemas.openxmlformats.org/officeDocument/2006/relationships/image" Target="media/image568.jpg"/><Relationship Id="rId986" Type="http://schemas.openxmlformats.org/officeDocument/2006/relationships/image" Target="media/image709.jpg"/><Relationship Id="rId334" Type="http://schemas.openxmlformats.org/officeDocument/2006/relationships/header" Target="header47.xml"/><Relationship Id="rId541" Type="http://schemas.openxmlformats.org/officeDocument/2006/relationships/image" Target="media/image408.jpg"/><Relationship Id="rId639" Type="http://schemas.openxmlformats.org/officeDocument/2006/relationships/image" Target="media/image470.jpg"/><Relationship Id="rId1171" Type="http://schemas.openxmlformats.org/officeDocument/2006/relationships/image" Target="media/image834.jpg"/><Relationship Id="rId1269" Type="http://schemas.openxmlformats.org/officeDocument/2006/relationships/header" Target="header189.xml"/><Relationship Id="rId1476" Type="http://schemas.openxmlformats.org/officeDocument/2006/relationships/image" Target="media/image1025.jpg"/><Relationship Id="rId401" Type="http://schemas.openxmlformats.org/officeDocument/2006/relationships/image" Target="media/image292.jpg"/><Relationship Id="rId846" Type="http://schemas.openxmlformats.org/officeDocument/2006/relationships/image" Target="media/image617.jpg"/><Relationship Id="rId1031" Type="http://schemas.openxmlformats.org/officeDocument/2006/relationships/header" Target="header147.xml"/><Relationship Id="rId1129" Type="http://schemas.openxmlformats.org/officeDocument/2006/relationships/image" Target="media/image804.jpg"/><Relationship Id="rId1683" Type="http://schemas.openxmlformats.org/officeDocument/2006/relationships/image" Target="media/image1148.jpg"/><Relationship Id="rId1890" Type="http://schemas.openxmlformats.org/officeDocument/2006/relationships/theme" Target="theme/theme1.xml"/><Relationship Id="rId706" Type="http://schemas.openxmlformats.org/officeDocument/2006/relationships/footer" Target="footer95.xml"/><Relationship Id="rId913" Type="http://schemas.openxmlformats.org/officeDocument/2006/relationships/image" Target="media/image660.jpg"/><Relationship Id="rId1336" Type="http://schemas.openxmlformats.org/officeDocument/2006/relationships/image" Target="media/image933.jpg"/><Relationship Id="rId1543" Type="http://schemas.openxmlformats.org/officeDocument/2006/relationships/image" Target="media/image1068.jpg"/><Relationship Id="rId1750" Type="http://schemas.openxmlformats.org/officeDocument/2006/relationships/image" Target="media/image1191.jpg"/><Relationship Id="rId42" Type="http://schemas.openxmlformats.org/officeDocument/2006/relationships/image" Target="media/image29.jpg"/><Relationship Id="rId1403" Type="http://schemas.openxmlformats.org/officeDocument/2006/relationships/image" Target="media/image976.jpg"/><Relationship Id="rId1610" Type="http://schemas.openxmlformats.org/officeDocument/2006/relationships/image" Target="media/image1105.jpg"/><Relationship Id="rId1848" Type="http://schemas.openxmlformats.org/officeDocument/2006/relationships/image" Target="media/image1247.jpg"/><Relationship Id="rId191" Type="http://schemas.openxmlformats.org/officeDocument/2006/relationships/image" Target="media/image112.jpg"/><Relationship Id="rId1708" Type="http://schemas.openxmlformats.org/officeDocument/2006/relationships/image" Target="media/image1161.jpg"/><Relationship Id="rId289" Type="http://schemas.openxmlformats.org/officeDocument/2006/relationships/image" Target="media/image198.jpg"/><Relationship Id="rId496" Type="http://schemas.openxmlformats.org/officeDocument/2006/relationships/image" Target="media/image375.jpg"/><Relationship Id="rId149" Type="http://schemas.openxmlformats.org/officeDocument/2006/relationships/image" Target="media/image88.jpg"/><Relationship Id="rId356" Type="http://schemas.openxmlformats.org/officeDocument/2006/relationships/image" Target="media/image259.jpg"/><Relationship Id="rId563" Type="http://schemas.openxmlformats.org/officeDocument/2006/relationships/image" Target="media/image424.jpg"/><Relationship Id="rId770" Type="http://schemas.openxmlformats.org/officeDocument/2006/relationships/header" Target="header104.xml"/><Relationship Id="rId1193" Type="http://schemas.openxmlformats.org/officeDocument/2006/relationships/image" Target="media/image850.jpg"/><Relationship Id="rId216" Type="http://schemas.openxmlformats.org/officeDocument/2006/relationships/image" Target="media/image137.jpg"/><Relationship Id="rId423" Type="http://schemas.openxmlformats.org/officeDocument/2006/relationships/image" Target="media/image314.jpg"/><Relationship Id="rId868" Type="http://schemas.openxmlformats.org/officeDocument/2006/relationships/image" Target="media/image627.jpg"/><Relationship Id="rId1053" Type="http://schemas.openxmlformats.org/officeDocument/2006/relationships/image" Target="media/image752.jpg"/><Relationship Id="rId1260" Type="http://schemas.openxmlformats.org/officeDocument/2006/relationships/image" Target="media/image887.jpg"/><Relationship Id="rId1498" Type="http://schemas.openxmlformats.org/officeDocument/2006/relationships/footer" Target="footer229.xml"/><Relationship Id="rId630" Type="http://schemas.openxmlformats.org/officeDocument/2006/relationships/header" Target="header83.xml"/><Relationship Id="rId728" Type="http://schemas.openxmlformats.org/officeDocument/2006/relationships/header" Target="header99.xml"/><Relationship Id="rId935" Type="http://schemas.openxmlformats.org/officeDocument/2006/relationships/image" Target="media/image676.jpg"/><Relationship Id="rId1358" Type="http://schemas.openxmlformats.org/officeDocument/2006/relationships/image" Target="media/image949.jpg"/><Relationship Id="rId1565" Type="http://schemas.openxmlformats.org/officeDocument/2006/relationships/header" Target="header242.xml"/><Relationship Id="rId1772" Type="http://schemas.openxmlformats.org/officeDocument/2006/relationships/image" Target="media/image1207.jpg"/><Relationship Id="rId64" Type="http://schemas.openxmlformats.org/officeDocument/2006/relationships/image" Target="media/image45.jpg"/><Relationship Id="rId1120" Type="http://schemas.openxmlformats.org/officeDocument/2006/relationships/footer" Target="footer162.xml"/><Relationship Id="rId1218" Type="http://schemas.openxmlformats.org/officeDocument/2006/relationships/image" Target="media/image863.jpg"/><Relationship Id="rId1425" Type="http://schemas.openxmlformats.org/officeDocument/2006/relationships/header" Target="header219.xml"/><Relationship Id="rId1632" Type="http://schemas.openxmlformats.org/officeDocument/2006/relationships/header" Target="header257.xml"/><Relationship Id="rId280" Type="http://schemas.openxmlformats.org/officeDocument/2006/relationships/image" Target="media/image189.jpg"/><Relationship Id="rId140" Type="http://schemas.openxmlformats.org/officeDocument/2006/relationships/image" Target="media/image85.jpg"/><Relationship Id="rId378" Type="http://schemas.openxmlformats.org/officeDocument/2006/relationships/image" Target="media/image275.jpg"/><Relationship Id="rId585" Type="http://schemas.openxmlformats.org/officeDocument/2006/relationships/footer" Target="footer73.xml"/><Relationship Id="rId792" Type="http://schemas.openxmlformats.org/officeDocument/2006/relationships/footer" Target="footer107.xml"/><Relationship Id="rId6" Type="http://schemas.openxmlformats.org/officeDocument/2006/relationships/endnotes" Target="endnotes.xml"/><Relationship Id="rId238" Type="http://schemas.openxmlformats.org/officeDocument/2006/relationships/image" Target="media/image159.jpg"/><Relationship Id="rId445" Type="http://schemas.openxmlformats.org/officeDocument/2006/relationships/header" Target="header58.xml"/><Relationship Id="rId652" Type="http://schemas.openxmlformats.org/officeDocument/2006/relationships/footer" Target="footer87.xml"/><Relationship Id="rId1075" Type="http://schemas.openxmlformats.org/officeDocument/2006/relationships/image" Target="media/image768.jpg"/><Relationship Id="rId1282" Type="http://schemas.openxmlformats.org/officeDocument/2006/relationships/image" Target="media/image903.jpg"/><Relationship Id="rId305" Type="http://schemas.openxmlformats.org/officeDocument/2006/relationships/image" Target="media/image214.jpg"/><Relationship Id="rId512" Type="http://schemas.openxmlformats.org/officeDocument/2006/relationships/header" Target="header62.xml"/><Relationship Id="rId957" Type="http://schemas.openxmlformats.org/officeDocument/2006/relationships/image" Target="media/image686.jpg"/><Relationship Id="rId1142" Type="http://schemas.openxmlformats.org/officeDocument/2006/relationships/image" Target="media/image811.jpg"/><Relationship Id="rId1587" Type="http://schemas.openxmlformats.org/officeDocument/2006/relationships/header" Target="header247.xml"/><Relationship Id="rId1794" Type="http://schemas.openxmlformats.org/officeDocument/2006/relationships/header" Target="header288.xml"/><Relationship Id="rId86" Type="http://schemas.openxmlformats.org/officeDocument/2006/relationships/image" Target="media/image55.jpg"/><Relationship Id="rId817" Type="http://schemas.openxmlformats.org/officeDocument/2006/relationships/image" Target="media/image594.jpg"/><Relationship Id="rId1002" Type="http://schemas.openxmlformats.org/officeDocument/2006/relationships/image" Target="media/image719.jpg"/><Relationship Id="rId1447" Type="http://schemas.openxmlformats.org/officeDocument/2006/relationships/footer" Target="footer222.xml"/><Relationship Id="rId1654" Type="http://schemas.openxmlformats.org/officeDocument/2006/relationships/header" Target="header260.xml"/><Relationship Id="rId1861" Type="http://schemas.openxmlformats.org/officeDocument/2006/relationships/image" Target="media/image1254.jpg"/><Relationship Id="rId1307" Type="http://schemas.openxmlformats.org/officeDocument/2006/relationships/image" Target="media/image916.jpg"/><Relationship Id="rId1514" Type="http://schemas.openxmlformats.org/officeDocument/2006/relationships/image" Target="media/image1045.jpg"/><Relationship Id="rId1721" Type="http://schemas.openxmlformats.org/officeDocument/2006/relationships/image" Target="media/image1168.jpg"/><Relationship Id="rId13" Type="http://schemas.openxmlformats.org/officeDocument/2006/relationships/footer" Target="footer1.xml"/><Relationship Id="rId1819" Type="http://schemas.openxmlformats.org/officeDocument/2006/relationships/image" Target="media/image1230.jpg"/><Relationship Id="rId162" Type="http://schemas.openxmlformats.org/officeDocument/2006/relationships/image" Target="media/image95.jpg"/><Relationship Id="rId467" Type="http://schemas.openxmlformats.org/officeDocument/2006/relationships/image" Target="media/image346.jpg"/><Relationship Id="rId1097" Type="http://schemas.openxmlformats.org/officeDocument/2006/relationships/image" Target="media/image784.jpg"/><Relationship Id="rId674" Type="http://schemas.openxmlformats.org/officeDocument/2006/relationships/image" Target="media/image493.jpg"/><Relationship Id="rId881" Type="http://schemas.openxmlformats.org/officeDocument/2006/relationships/header" Target="header121.xml"/><Relationship Id="rId979" Type="http://schemas.openxmlformats.org/officeDocument/2006/relationships/image" Target="media/image702.jpg"/><Relationship Id="rId327" Type="http://schemas.openxmlformats.org/officeDocument/2006/relationships/image" Target="media/image236.jpg"/><Relationship Id="rId534" Type="http://schemas.openxmlformats.org/officeDocument/2006/relationships/header" Target="header64.xml"/><Relationship Id="rId741" Type="http://schemas.openxmlformats.org/officeDocument/2006/relationships/image" Target="media/image542.jpg"/><Relationship Id="rId839" Type="http://schemas.openxmlformats.org/officeDocument/2006/relationships/image" Target="media/image610.jpg"/><Relationship Id="rId1164" Type="http://schemas.openxmlformats.org/officeDocument/2006/relationships/image" Target="media/image827.jpg"/><Relationship Id="rId1371" Type="http://schemas.openxmlformats.org/officeDocument/2006/relationships/image" Target="media/image956.jpg"/><Relationship Id="rId1469" Type="http://schemas.openxmlformats.org/officeDocument/2006/relationships/image" Target="media/image1018.jpg"/><Relationship Id="rId601" Type="http://schemas.openxmlformats.org/officeDocument/2006/relationships/image" Target="media/image444.jpg"/><Relationship Id="rId1024" Type="http://schemas.openxmlformats.org/officeDocument/2006/relationships/image" Target="media/image735.jpg"/><Relationship Id="rId1231" Type="http://schemas.openxmlformats.org/officeDocument/2006/relationships/image" Target="media/image870.jpg"/><Relationship Id="rId1676" Type="http://schemas.openxmlformats.org/officeDocument/2006/relationships/image" Target="media/image1147.jpg"/><Relationship Id="rId1883" Type="http://schemas.openxmlformats.org/officeDocument/2006/relationships/footer" Target="footer311.xml"/><Relationship Id="rId906" Type="http://schemas.openxmlformats.org/officeDocument/2006/relationships/image" Target="media/image659.jpg"/><Relationship Id="rId1329" Type="http://schemas.openxmlformats.org/officeDocument/2006/relationships/header" Target="header199.xml"/><Relationship Id="rId1536" Type="http://schemas.openxmlformats.org/officeDocument/2006/relationships/image" Target="media/image1067.jpg"/><Relationship Id="rId1743" Type="http://schemas.openxmlformats.org/officeDocument/2006/relationships/image" Target="media/image1184.jpg"/><Relationship Id="rId35" Type="http://schemas.openxmlformats.org/officeDocument/2006/relationships/header" Target="header5.xml"/><Relationship Id="rId1603" Type="http://schemas.openxmlformats.org/officeDocument/2006/relationships/header" Target="header250.xml"/><Relationship Id="rId1810" Type="http://schemas.openxmlformats.org/officeDocument/2006/relationships/image" Target="media/image1227.jpg"/><Relationship Id="rId184" Type="http://schemas.openxmlformats.org/officeDocument/2006/relationships/image" Target="media/image105.jpg"/><Relationship Id="rId391" Type="http://schemas.openxmlformats.org/officeDocument/2006/relationships/image" Target="media/image288.jpg"/><Relationship Id="rId251" Type="http://schemas.openxmlformats.org/officeDocument/2006/relationships/header" Target="header40.xml"/><Relationship Id="rId489" Type="http://schemas.openxmlformats.org/officeDocument/2006/relationships/image" Target="media/image368.jpg"/><Relationship Id="rId696" Type="http://schemas.openxmlformats.org/officeDocument/2006/relationships/image" Target="media/image509.jpg"/><Relationship Id="rId349" Type="http://schemas.openxmlformats.org/officeDocument/2006/relationships/image" Target="media/image252.jpg"/><Relationship Id="rId556" Type="http://schemas.openxmlformats.org/officeDocument/2006/relationships/header" Target="header69.xml"/><Relationship Id="rId763" Type="http://schemas.openxmlformats.org/officeDocument/2006/relationships/header" Target="header102.xml"/><Relationship Id="rId1186" Type="http://schemas.openxmlformats.org/officeDocument/2006/relationships/image" Target="media/image843.jpg"/><Relationship Id="rId1393" Type="http://schemas.openxmlformats.org/officeDocument/2006/relationships/image" Target="media/image972.jpg"/><Relationship Id="rId111" Type="http://schemas.openxmlformats.org/officeDocument/2006/relationships/footer" Target="footer21.xml"/><Relationship Id="rId209" Type="http://schemas.openxmlformats.org/officeDocument/2006/relationships/image" Target="media/image130.jpg"/><Relationship Id="rId416" Type="http://schemas.openxmlformats.org/officeDocument/2006/relationships/image" Target="media/image307.jpg"/><Relationship Id="rId970" Type="http://schemas.openxmlformats.org/officeDocument/2006/relationships/footer" Target="footer138.xml"/><Relationship Id="rId1046" Type="http://schemas.openxmlformats.org/officeDocument/2006/relationships/footer" Target="footer149.xml"/><Relationship Id="rId1253" Type="http://schemas.openxmlformats.org/officeDocument/2006/relationships/footer" Target="footer184.xml"/><Relationship Id="rId1698" Type="http://schemas.openxmlformats.org/officeDocument/2006/relationships/header" Target="header271.xml"/><Relationship Id="rId623" Type="http://schemas.openxmlformats.org/officeDocument/2006/relationships/image" Target="media/image460.jpg"/><Relationship Id="rId830" Type="http://schemas.openxmlformats.org/officeDocument/2006/relationships/image" Target="media/image607.jpg"/><Relationship Id="rId928" Type="http://schemas.openxmlformats.org/officeDocument/2006/relationships/footer" Target="footer128.xml"/><Relationship Id="rId1460" Type="http://schemas.openxmlformats.org/officeDocument/2006/relationships/image" Target="media/image1015.jpg"/><Relationship Id="rId1558" Type="http://schemas.openxmlformats.org/officeDocument/2006/relationships/header" Target="header239.xml"/><Relationship Id="rId1765" Type="http://schemas.openxmlformats.org/officeDocument/2006/relationships/image" Target="media/image1200.jpg"/><Relationship Id="rId57" Type="http://schemas.openxmlformats.org/officeDocument/2006/relationships/image" Target="media/image38.jpg"/><Relationship Id="rId1113" Type="http://schemas.openxmlformats.org/officeDocument/2006/relationships/image" Target="media/image794.jpg"/><Relationship Id="rId1320" Type="http://schemas.openxmlformats.org/officeDocument/2006/relationships/header" Target="header198.xml"/><Relationship Id="rId1418" Type="http://schemas.openxmlformats.org/officeDocument/2006/relationships/image" Target="media/image985.jpg"/><Relationship Id="rId1625" Type="http://schemas.openxmlformats.org/officeDocument/2006/relationships/image" Target="media/image1114.jpg"/><Relationship Id="rId1832" Type="http://schemas.openxmlformats.org/officeDocument/2006/relationships/footer" Target="footer297.xml"/><Relationship Id="rId273" Type="http://schemas.openxmlformats.org/officeDocument/2006/relationships/image" Target="media/image182.jpg"/><Relationship Id="rId480" Type="http://schemas.openxmlformats.org/officeDocument/2006/relationships/image" Target="media/image359.jpg"/><Relationship Id="rId133" Type="http://schemas.openxmlformats.org/officeDocument/2006/relationships/footer" Target="footer26.xml"/><Relationship Id="rId340" Type="http://schemas.openxmlformats.org/officeDocument/2006/relationships/image" Target="media/image243.jpg"/><Relationship Id="rId578" Type="http://schemas.openxmlformats.org/officeDocument/2006/relationships/image" Target="media/image433.jpg"/><Relationship Id="rId785" Type="http://schemas.openxmlformats.org/officeDocument/2006/relationships/image" Target="media/image574.jpg"/><Relationship Id="rId992" Type="http://schemas.openxmlformats.org/officeDocument/2006/relationships/header" Target="header139.xml"/><Relationship Id="rId200" Type="http://schemas.openxmlformats.org/officeDocument/2006/relationships/image" Target="media/image121.jpg"/><Relationship Id="rId438" Type="http://schemas.openxmlformats.org/officeDocument/2006/relationships/footer" Target="footer55.xml"/><Relationship Id="rId645" Type="http://schemas.openxmlformats.org/officeDocument/2006/relationships/image" Target="media/image476.jpg"/><Relationship Id="rId852" Type="http://schemas.openxmlformats.org/officeDocument/2006/relationships/footer" Target="footer117.xml"/><Relationship Id="rId1068" Type="http://schemas.openxmlformats.org/officeDocument/2006/relationships/image" Target="media/image761.jpg"/><Relationship Id="rId1275" Type="http://schemas.openxmlformats.org/officeDocument/2006/relationships/image" Target="media/image896.jpg"/><Relationship Id="rId1482" Type="http://schemas.openxmlformats.org/officeDocument/2006/relationships/header" Target="header227.xml"/><Relationship Id="rId505" Type="http://schemas.openxmlformats.org/officeDocument/2006/relationships/image" Target="media/image384.jpg"/><Relationship Id="rId712" Type="http://schemas.openxmlformats.org/officeDocument/2006/relationships/image" Target="media/image519.jpg"/><Relationship Id="rId1135" Type="http://schemas.openxmlformats.org/officeDocument/2006/relationships/footer" Target="footer165.xml"/><Relationship Id="rId1342" Type="http://schemas.openxmlformats.org/officeDocument/2006/relationships/image" Target="media/image939.jpg"/><Relationship Id="rId1787" Type="http://schemas.openxmlformats.org/officeDocument/2006/relationships/image" Target="media/image1216.jpg"/><Relationship Id="rId79" Type="http://schemas.openxmlformats.org/officeDocument/2006/relationships/header" Target="header13.xml"/><Relationship Id="rId1202" Type="http://schemas.openxmlformats.org/officeDocument/2006/relationships/image" Target="media/image853.jpg"/><Relationship Id="rId1647" Type="http://schemas.openxmlformats.org/officeDocument/2006/relationships/image" Target="media/image1130.jpg"/><Relationship Id="rId1854" Type="http://schemas.openxmlformats.org/officeDocument/2006/relationships/footer" Target="footer303.xml"/><Relationship Id="rId1507" Type="http://schemas.openxmlformats.org/officeDocument/2006/relationships/header" Target="header233.xml"/><Relationship Id="rId1714" Type="http://schemas.openxmlformats.org/officeDocument/2006/relationships/header" Target="header276.xml"/><Relationship Id="rId295" Type="http://schemas.openxmlformats.org/officeDocument/2006/relationships/image" Target="media/image204.jpg"/><Relationship Id="rId155" Type="http://schemas.openxmlformats.org/officeDocument/2006/relationships/image" Target="media/image94.jpg"/><Relationship Id="rId362" Type="http://schemas.openxmlformats.org/officeDocument/2006/relationships/image" Target="media/image265.jpg"/><Relationship Id="rId1297" Type="http://schemas.openxmlformats.org/officeDocument/2006/relationships/header" Target="header195.xml"/><Relationship Id="rId222" Type="http://schemas.openxmlformats.org/officeDocument/2006/relationships/image" Target="media/image143.jpg"/><Relationship Id="rId667" Type="http://schemas.openxmlformats.org/officeDocument/2006/relationships/footer" Target="footer90.xml"/><Relationship Id="rId874" Type="http://schemas.openxmlformats.org/officeDocument/2006/relationships/image" Target="media/image633.jpg"/><Relationship Id="rId527" Type="http://schemas.openxmlformats.org/officeDocument/2006/relationships/image" Target="media/image400.jpg"/><Relationship Id="rId734" Type="http://schemas.openxmlformats.org/officeDocument/2006/relationships/image" Target="media/image535.jpg"/><Relationship Id="rId941" Type="http://schemas.openxmlformats.org/officeDocument/2006/relationships/footer" Target="footer131.xml"/><Relationship Id="rId1157" Type="http://schemas.openxmlformats.org/officeDocument/2006/relationships/header" Target="header168.xml"/><Relationship Id="rId1364" Type="http://schemas.openxmlformats.org/officeDocument/2006/relationships/image" Target="media/image955.jpg"/><Relationship Id="rId1571" Type="http://schemas.openxmlformats.org/officeDocument/2006/relationships/image" Target="media/image1084.jpg"/><Relationship Id="rId70" Type="http://schemas.openxmlformats.org/officeDocument/2006/relationships/header" Target="header12.xml"/><Relationship Id="rId801" Type="http://schemas.openxmlformats.org/officeDocument/2006/relationships/image" Target="media/image584.jpg"/><Relationship Id="rId1017" Type="http://schemas.openxmlformats.org/officeDocument/2006/relationships/image" Target="media/image728.jpg"/><Relationship Id="rId1224" Type="http://schemas.openxmlformats.org/officeDocument/2006/relationships/footer" Target="footer178.xml"/><Relationship Id="rId1431" Type="http://schemas.openxmlformats.org/officeDocument/2006/relationships/image" Target="media/image992.jpg"/><Relationship Id="rId1669" Type="http://schemas.openxmlformats.org/officeDocument/2006/relationships/image" Target="media/image1140.jpg"/><Relationship Id="rId1876" Type="http://schemas.openxmlformats.org/officeDocument/2006/relationships/footer" Target="footer308.xml"/><Relationship Id="rId1529" Type="http://schemas.openxmlformats.org/officeDocument/2006/relationships/image" Target="media/image1060.jpg"/><Relationship Id="rId1736" Type="http://schemas.openxmlformats.org/officeDocument/2006/relationships/header" Target="header277.xml"/><Relationship Id="rId28" Type="http://schemas.openxmlformats.org/officeDocument/2006/relationships/image" Target="media/image21.jpg"/><Relationship Id="rId1803" Type="http://schemas.openxmlformats.org/officeDocument/2006/relationships/header" Target="header291.xml"/><Relationship Id="rId177" Type="http://schemas.openxmlformats.org/officeDocument/2006/relationships/header" Target="header38.xml"/><Relationship Id="rId384" Type="http://schemas.openxmlformats.org/officeDocument/2006/relationships/image" Target="media/image281.jpg"/><Relationship Id="rId591" Type="http://schemas.openxmlformats.org/officeDocument/2006/relationships/image" Target="media/image440.jpg"/><Relationship Id="rId244" Type="http://schemas.openxmlformats.org/officeDocument/2006/relationships/image" Target="media/image165.jpg"/><Relationship Id="rId689" Type="http://schemas.openxmlformats.org/officeDocument/2006/relationships/image" Target="media/image502.jpg"/><Relationship Id="rId896" Type="http://schemas.openxmlformats.org/officeDocument/2006/relationships/image" Target="media/image649.jpg"/><Relationship Id="rId1081" Type="http://schemas.openxmlformats.org/officeDocument/2006/relationships/header" Target="header154.xml"/><Relationship Id="rId451" Type="http://schemas.openxmlformats.org/officeDocument/2006/relationships/image" Target="media/image330.jpg"/><Relationship Id="rId549" Type="http://schemas.openxmlformats.org/officeDocument/2006/relationships/image" Target="media/image416.jpg"/><Relationship Id="rId756" Type="http://schemas.openxmlformats.org/officeDocument/2006/relationships/image" Target="media/image557.jpg"/><Relationship Id="rId1179" Type="http://schemas.openxmlformats.org/officeDocument/2006/relationships/image" Target="media/image836.jpg"/><Relationship Id="rId1386" Type="http://schemas.openxmlformats.org/officeDocument/2006/relationships/header" Target="header210.xml"/><Relationship Id="rId1593" Type="http://schemas.openxmlformats.org/officeDocument/2006/relationships/image" Target="media/image1094.jpg"/><Relationship Id="rId104" Type="http://schemas.openxmlformats.org/officeDocument/2006/relationships/image" Target="media/image67.jpg"/><Relationship Id="rId311" Type="http://schemas.openxmlformats.org/officeDocument/2006/relationships/image" Target="media/image220.jpg"/><Relationship Id="rId409" Type="http://schemas.openxmlformats.org/officeDocument/2006/relationships/image" Target="media/image300.jpg"/><Relationship Id="rId963" Type="http://schemas.openxmlformats.org/officeDocument/2006/relationships/image" Target="media/image692.jpg"/><Relationship Id="rId1039" Type="http://schemas.openxmlformats.org/officeDocument/2006/relationships/image" Target="media/image744.jpg"/><Relationship Id="rId1246" Type="http://schemas.openxmlformats.org/officeDocument/2006/relationships/image" Target="media/image879.jpg"/><Relationship Id="rId92" Type="http://schemas.openxmlformats.org/officeDocument/2006/relationships/image" Target="media/image61.jpg"/><Relationship Id="rId616" Type="http://schemas.openxmlformats.org/officeDocument/2006/relationships/image" Target="media/image453.jpg"/><Relationship Id="rId823" Type="http://schemas.openxmlformats.org/officeDocument/2006/relationships/image" Target="media/image600.jpg"/><Relationship Id="rId1453" Type="http://schemas.openxmlformats.org/officeDocument/2006/relationships/image" Target="media/image1008.jpg"/><Relationship Id="rId1660" Type="http://schemas.openxmlformats.org/officeDocument/2006/relationships/image" Target="media/image1137.jpg"/><Relationship Id="rId1758" Type="http://schemas.openxmlformats.org/officeDocument/2006/relationships/footer" Target="footer281.xml"/><Relationship Id="rId1106" Type="http://schemas.openxmlformats.org/officeDocument/2006/relationships/header" Target="header159.xml"/><Relationship Id="rId1313" Type="http://schemas.openxmlformats.org/officeDocument/2006/relationships/image" Target="media/image922.jpg"/><Relationship Id="rId1520" Type="http://schemas.openxmlformats.org/officeDocument/2006/relationships/image" Target="media/image1051.jpg"/><Relationship Id="rId1618" Type="http://schemas.openxmlformats.org/officeDocument/2006/relationships/footer" Target="footer253.xml"/><Relationship Id="rId1825" Type="http://schemas.openxmlformats.org/officeDocument/2006/relationships/image" Target="media/image1236.jpg"/><Relationship Id="rId199" Type="http://schemas.openxmlformats.org/officeDocument/2006/relationships/image" Target="media/image120.jpg"/><Relationship Id="rId266" Type="http://schemas.openxmlformats.org/officeDocument/2006/relationships/header" Target="header43.xml"/><Relationship Id="rId473" Type="http://schemas.openxmlformats.org/officeDocument/2006/relationships/image" Target="media/image352.jpg"/><Relationship Id="rId680" Type="http://schemas.openxmlformats.org/officeDocument/2006/relationships/footer" Target="footer92.xml"/><Relationship Id="rId126" Type="http://schemas.openxmlformats.org/officeDocument/2006/relationships/image" Target="media/image77.jpg"/><Relationship Id="rId333" Type="http://schemas.openxmlformats.org/officeDocument/2006/relationships/header" Target="header46.xml"/><Relationship Id="rId540" Type="http://schemas.openxmlformats.org/officeDocument/2006/relationships/image" Target="media/image407.jpg"/><Relationship Id="rId778" Type="http://schemas.openxmlformats.org/officeDocument/2006/relationships/image" Target="media/image567.jpg"/><Relationship Id="rId985" Type="http://schemas.openxmlformats.org/officeDocument/2006/relationships/image" Target="media/image708.jpg"/><Relationship Id="rId1170" Type="http://schemas.openxmlformats.org/officeDocument/2006/relationships/image" Target="media/image833.jpg"/><Relationship Id="rId638" Type="http://schemas.openxmlformats.org/officeDocument/2006/relationships/image" Target="media/image469.jpg"/><Relationship Id="rId845" Type="http://schemas.openxmlformats.org/officeDocument/2006/relationships/image" Target="media/image616.jpg"/><Relationship Id="rId1030" Type="http://schemas.openxmlformats.org/officeDocument/2006/relationships/footer" Target="footer146.xml"/><Relationship Id="rId1268" Type="http://schemas.openxmlformats.org/officeDocument/2006/relationships/footer" Target="footer188.xml"/><Relationship Id="rId1475" Type="http://schemas.openxmlformats.org/officeDocument/2006/relationships/image" Target="media/image1024.jpg"/><Relationship Id="rId1682" Type="http://schemas.openxmlformats.org/officeDocument/2006/relationships/footer" Target="footer267.xml"/><Relationship Id="rId400" Type="http://schemas.openxmlformats.org/officeDocument/2006/relationships/footer" Target="footer54.xml"/><Relationship Id="rId705" Type="http://schemas.openxmlformats.org/officeDocument/2006/relationships/footer" Target="footer94.xml"/><Relationship Id="rId1128" Type="http://schemas.openxmlformats.org/officeDocument/2006/relationships/image" Target="media/image803.jpg"/><Relationship Id="rId1335" Type="http://schemas.openxmlformats.org/officeDocument/2006/relationships/image" Target="media/image932.jpg"/><Relationship Id="rId1542" Type="http://schemas.openxmlformats.org/officeDocument/2006/relationships/footer" Target="footer237.xml"/><Relationship Id="rId912" Type="http://schemas.openxmlformats.org/officeDocument/2006/relationships/footer" Target="footer126.xml"/><Relationship Id="rId1847" Type="http://schemas.openxmlformats.org/officeDocument/2006/relationships/image" Target="media/image1246.jpg"/><Relationship Id="rId41" Type="http://schemas.openxmlformats.org/officeDocument/2006/relationships/image" Target="media/image28.jpg"/><Relationship Id="rId1402" Type="http://schemas.openxmlformats.org/officeDocument/2006/relationships/image" Target="media/image975.jpg"/><Relationship Id="rId1707" Type="http://schemas.openxmlformats.org/officeDocument/2006/relationships/image" Target="media/image1160.jpg"/><Relationship Id="rId190" Type="http://schemas.openxmlformats.org/officeDocument/2006/relationships/image" Target="media/image111.jpg"/><Relationship Id="rId288" Type="http://schemas.openxmlformats.org/officeDocument/2006/relationships/image" Target="media/image197.jpg"/><Relationship Id="rId495" Type="http://schemas.openxmlformats.org/officeDocument/2006/relationships/image" Target="media/image374.jpg"/><Relationship Id="rId148" Type="http://schemas.openxmlformats.org/officeDocument/2006/relationships/image" Target="media/image87.jpg"/><Relationship Id="rId355" Type="http://schemas.openxmlformats.org/officeDocument/2006/relationships/image" Target="media/image258.jpg"/><Relationship Id="rId562" Type="http://schemas.openxmlformats.org/officeDocument/2006/relationships/image" Target="media/image423.jpg"/><Relationship Id="rId1192" Type="http://schemas.openxmlformats.org/officeDocument/2006/relationships/image" Target="media/image849.jpg"/><Relationship Id="rId215" Type="http://schemas.openxmlformats.org/officeDocument/2006/relationships/image" Target="media/image136.jpg"/><Relationship Id="rId422" Type="http://schemas.openxmlformats.org/officeDocument/2006/relationships/image" Target="media/image313.jpg"/><Relationship Id="rId867" Type="http://schemas.openxmlformats.org/officeDocument/2006/relationships/image" Target="media/image626.jpg"/><Relationship Id="rId1052" Type="http://schemas.openxmlformats.org/officeDocument/2006/relationships/image" Target="media/image751.jpg"/><Relationship Id="rId1497" Type="http://schemas.openxmlformats.org/officeDocument/2006/relationships/header" Target="header230.xml"/><Relationship Id="rId727" Type="http://schemas.openxmlformats.org/officeDocument/2006/relationships/footer" Target="footer98.xml"/><Relationship Id="rId934" Type="http://schemas.openxmlformats.org/officeDocument/2006/relationships/image" Target="media/image675.jpg"/><Relationship Id="rId1357" Type="http://schemas.openxmlformats.org/officeDocument/2006/relationships/image" Target="media/image948.jpg"/><Relationship Id="rId1564" Type="http://schemas.openxmlformats.org/officeDocument/2006/relationships/header" Target="header241.xml"/><Relationship Id="rId1771" Type="http://schemas.openxmlformats.org/officeDocument/2006/relationships/image" Target="media/image1206.jpg"/><Relationship Id="rId63" Type="http://schemas.openxmlformats.org/officeDocument/2006/relationships/image" Target="media/image44.jpg"/><Relationship Id="rId1217" Type="http://schemas.openxmlformats.org/officeDocument/2006/relationships/image" Target="media/image862.jpg"/><Relationship Id="rId1424" Type="http://schemas.openxmlformats.org/officeDocument/2006/relationships/footer" Target="footer218.xml"/><Relationship Id="rId1631" Type="http://schemas.openxmlformats.org/officeDocument/2006/relationships/header" Target="header256.xml"/><Relationship Id="rId1869" Type="http://schemas.openxmlformats.org/officeDocument/2006/relationships/image" Target="media/image1256.jpg"/><Relationship Id="rId1729" Type="http://schemas.openxmlformats.org/officeDocument/2006/relationships/image" Target="media/image1176.jpg"/><Relationship Id="rId377" Type="http://schemas.openxmlformats.org/officeDocument/2006/relationships/image" Target="media/image274.jpg"/><Relationship Id="rId584" Type="http://schemas.openxmlformats.org/officeDocument/2006/relationships/header" Target="header74.xml"/><Relationship Id="rId5" Type="http://schemas.openxmlformats.org/officeDocument/2006/relationships/footnotes" Target="footnotes.xml"/><Relationship Id="rId237" Type="http://schemas.openxmlformats.org/officeDocument/2006/relationships/image" Target="media/image158.jpg"/><Relationship Id="rId791" Type="http://schemas.openxmlformats.org/officeDocument/2006/relationships/footer" Target="footer106.xml"/><Relationship Id="rId889" Type="http://schemas.openxmlformats.org/officeDocument/2006/relationships/image" Target="media/image642.jpg"/><Relationship Id="rId1074" Type="http://schemas.openxmlformats.org/officeDocument/2006/relationships/image" Target="media/image767.jpg"/><Relationship Id="rId444" Type="http://schemas.openxmlformats.org/officeDocument/2006/relationships/image" Target="media/image329.jpg"/><Relationship Id="rId651" Type="http://schemas.openxmlformats.org/officeDocument/2006/relationships/header" Target="header87.xml"/><Relationship Id="rId749" Type="http://schemas.openxmlformats.org/officeDocument/2006/relationships/image" Target="media/image550.jpg"/><Relationship Id="rId1281" Type="http://schemas.openxmlformats.org/officeDocument/2006/relationships/image" Target="media/image902.jpg"/><Relationship Id="rId1379" Type="http://schemas.openxmlformats.org/officeDocument/2006/relationships/image" Target="media/image964.jpg"/><Relationship Id="rId1586" Type="http://schemas.openxmlformats.org/officeDocument/2006/relationships/image" Target="media/image1093.jpg"/><Relationship Id="rId304" Type="http://schemas.openxmlformats.org/officeDocument/2006/relationships/image" Target="media/image213.jpg"/><Relationship Id="rId511" Type="http://schemas.openxmlformats.org/officeDocument/2006/relationships/header" Target="header61.xml"/><Relationship Id="rId609" Type="http://schemas.openxmlformats.org/officeDocument/2006/relationships/image" Target="media/image452.jpg"/><Relationship Id="rId956" Type="http://schemas.openxmlformats.org/officeDocument/2006/relationships/image" Target="media/image685.jpg"/><Relationship Id="rId1141" Type="http://schemas.openxmlformats.org/officeDocument/2006/relationships/image" Target="media/image810.jpg"/><Relationship Id="rId1239" Type="http://schemas.openxmlformats.org/officeDocument/2006/relationships/image" Target="media/image872.jpg"/><Relationship Id="rId1793" Type="http://schemas.openxmlformats.org/officeDocument/2006/relationships/footer" Target="footer287.xml"/><Relationship Id="rId85" Type="http://schemas.openxmlformats.org/officeDocument/2006/relationships/image" Target="media/image54.jpg"/><Relationship Id="rId816" Type="http://schemas.openxmlformats.org/officeDocument/2006/relationships/footer" Target="footer111.xml"/><Relationship Id="rId1001" Type="http://schemas.openxmlformats.org/officeDocument/2006/relationships/image" Target="media/image718.jpg"/><Relationship Id="rId1446" Type="http://schemas.openxmlformats.org/officeDocument/2006/relationships/header" Target="header222.xml"/><Relationship Id="rId1653" Type="http://schemas.openxmlformats.org/officeDocument/2006/relationships/header" Target="header259.xml"/><Relationship Id="rId1860" Type="http://schemas.openxmlformats.org/officeDocument/2006/relationships/image" Target="media/image1253.jpg"/><Relationship Id="rId1306" Type="http://schemas.openxmlformats.org/officeDocument/2006/relationships/image" Target="media/image915.jpg"/><Relationship Id="rId1513" Type="http://schemas.openxmlformats.org/officeDocument/2006/relationships/image" Target="media/image1044.jpg"/><Relationship Id="rId1720" Type="http://schemas.openxmlformats.org/officeDocument/2006/relationships/image" Target="media/image1167.jpg"/><Relationship Id="rId12" Type="http://schemas.openxmlformats.org/officeDocument/2006/relationships/header" Target="header2.xml"/><Relationship Id="rId1818" Type="http://schemas.openxmlformats.org/officeDocument/2006/relationships/image" Target="media/image1229.jpg"/><Relationship Id="rId161" Type="http://schemas.openxmlformats.org/officeDocument/2006/relationships/footer" Target="footer33.xml"/><Relationship Id="rId399" Type="http://schemas.openxmlformats.org/officeDocument/2006/relationships/header" Target="header54.xml"/><Relationship Id="rId259" Type="http://schemas.openxmlformats.org/officeDocument/2006/relationships/image" Target="media/image174.jpg"/><Relationship Id="rId466" Type="http://schemas.openxmlformats.org/officeDocument/2006/relationships/image" Target="media/image345.jpg"/><Relationship Id="rId673" Type="http://schemas.openxmlformats.org/officeDocument/2006/relationships/image" Target="media/image492.jpg"/><Relationship Id="rId880" Type="http://schemas.openxmlformats.org/officeDocument/2006/relationships/image" Target="media/image639.jpg"/><Relationship Id="rId1096" Type="http://schemas.openxmlformats.org/officeDocument/2006/relationships/image" Target="media/image783.jpg"/><Relationship Id="rId119" Type="http://schemas.openxmlformats.org/officeDocument/2006/relationships/header" Target="header22.xml"/><Relationship Id="rId326" Type="http://schemas.openxmlformats.org/officeDocument/2006/relationships/image" Target="media/image235.jpg"/><Relationship Id="rId533" Type="http://schemas.openxmlformats.org/officeDocument/2006/relationships/image" Target="media/image406.jpg"/><Relationship Id="rId978" Type="http://schemas.openxmlformats.org/officeDocument/2006/relationships/image" Target="media/image701.jpg"/><Relationship Id="rId1163" Type="http://schemas.openxmlformats.org/officeDocument/2006/relationships/image" Target="media/image826.jpg"/><Relationship Id="rId1370" Type="http://schemas.openxmlformats.org/officeDocument/2006/relationships/footer" Target="footer207.xml"/><Relationship Id="rId740" Type="http://schemas.openxmlformats.org/officeDocument/2006/relationships/image" Target="media/image541.jpg"/><Relationship Id="rId838" Type="http://schemas.openxmlformats.org/officeDocument/2006/relationships/image" Target="media/image609.jpg"/><Relationship Id="rId1023" Type="http://schemas.openxmlformats.org/officeDocument/2006/relationships/image" Target="media/image734.jpg"/><Relationship Id="rId1468" Type="http://schemas.openxmlformats.org/officeDocument/2006/relationships/image" Target="media/image1017.jpg"/><Relationship Id="rId1675" Type="http://schemas.openxmlformats.org/officeDocument/2006/relationships/image" Target="media/image1146.jpg"/><Relationship Id="rId1882" Type="http://schemas.openxmlformats.org/officeDocument/2006/relationships/footer" Target="footer310.xml"/><Relationship Id="rId600" Type="http://schemas.openxmlformats.org/officeDocument/2006/relationships/image" Target="media/image443.jpg"/><Relationship Id="rId1230" Type="http://schemas.openxmlformats.org/officeDocument/2006/relationships/image" Target="media/image869.jpg"/><Relationship Id="rId1328" Type="http://schemas.openxmlformats.org/officeDocument/2006/relationships/image" Target="media/image931.jpg"/><Relationship Id="rId1535" Type="http://schemas.openxmlformats.org/officeDocument/2006/relationships/image" Target="media/image1066.jpg"/><Relationship Id="rId905" Type="http://schemas.openxmlformats.org/officeDocument/2006/relationships/image" Target="media/image658.jpg"/><Relationship Id="rId1742" Type="http://schemas.openxmlformats.org/officeDocument/2006/relationships/image" Target="media/image1183.jpg"/><Relationship Id="rId34" Type="http://schemas.openxmlformats.org/officeDocument/2006/relationships/header" Target="header4.xml"/><Relationship Id="rId1602" Type="http://schemas.openxmlformats.org/officeDocument/2006/relationships/image" Target="media/image1103.jpg"/><Relationship Id="rId183" Type="http://schemas.openxmlformats.org/officeDocument/2006/relationships/image" Target="media/image104.jpg"/><Relationship Id="rId390" Type="http://schemas.openxmlformats.org/officeDocument/2006/relationships/image" Target="media/image287.jpg"/><Relationship Id="rId250" Type="http://schemas.openxmlformats.org/officeDocument/2006/relationships/image" Target="media/image171.jpg"/><Relationship Id="rId488" Type="http://schemas.openxmlformats.org/officeDocument/2006/relationships/image" Target="media/image367.jpg"/><Relationship Id="rId695" Type="http://schemas.openxmlformats.org/officeDocument/2006/relationships/image" Target="media/image508.jpg"/><Relationship Id="rId110" Type="http://schemas.openxmlformats.org/officeDocument/2006/relationships/header" Target="header21.xml"/><Relationship Id="rId348" Type="http://schemas.openxmlformats.org/officeDocument/2006/relationships/image" Target="media/image251.jpg"/><Relationship Id="rId555" Type="http://schemas.openxmlformats.org/officeDocument/2006/relationships/footer" Target="footer68.xml"/><Relationship Id="rId762" Type="http://schemas.openxmlformats.org/officeDocument/2006/relationships/footer" Target="footer101.xml"/><Relationship Id="rId1185" Type="http://schemas.openxmlformats.org/officeDocument/2006/relationships/image" Target="media/image842.jpg"/><Relationship Id="rId1392" Type="http://schemas.openxmlformats.org/officeDocument/2006/relationships/image" Target="media/image971.jpg"/><Relationship Id="rId208" Type="http://schemas.openxmlformats.org/officeDocument/2006/relationships/image" Target="media/image129.jpg"/><Relationship Id="rId415" Type="http://schemas.openxmlformats.org/officeDocument/2006/relationships/image" Target="media/image306.jpg"/><Relationship Id="rId622" Type="http://schemas.openxmlformats.org/officeDocument/2006/relationships/image" Target="media/image459.jpg"/><Relationship Id="rId1045" Type="http://schemas.openxmlformats.org/officeDocument/2006/relationships/footer" Target="footer148.xml"/><Relationship Id="rId1252" Type="http://schemas.openxmlformats.org/officeDocument/2006/relationships/header" Target="header185.xml"/><Relationship Id="rId1697" Type="http://schemas.openxmlformats.org/officeDocument/2006/relationships/image" Target="media/image1156.jpg"/><Relationship Id="rId927" Type="http://schemas.openxmlformats.org/officeDocument/2006/relationships/footer" Target="footer127.xml"/><Relationship Id="rId1112" Type="http://schemas.openxmlformats.org/officeDocument/2006/relationships/image" Target="media/image793.jpg"/><Relationship Id="rId1557" Type="http://schemas.openxmlformats.org/officeDocument/2006/relationships/header" Target="header238.xml"/><Relationship Id="rId1764" Type="http://schemas.openxmlformats.org/officeDocument/2006/relationships/image" Target="media/image1199.jpg"/><Relationship Id="rId56" Type="http://schemas.openxmlformats.org/officeDocument/2006/relationships/footer" Target="footer9.xml"/><Relationship Id="rId1417" Type="http://schemas.openxmlformats.org/officeDocument/2006/relationships/image" Target="media/image984.jpg"/><Relationship Id="rId1624" Type="http://schemas.openxmlformats.org/officeDocument/2006/relationships/image" Target="media/image1113.jpg"/><Relationship Id="rId1831" Type="http://schemas.openxmlformats.org/officeDocument/2006/relationships/header" Target="header297.xml"/><Relationship Id="rId272" Type="http://schemas.openxmlformats.org/officeDocument/2006/relationships/image" Target="media/image181.jpg"/><Relationship Id="rId577" Type="http://schemas.openxmlformats.org/officeDocument/2006/relationships/image" Target="media/image432.jpeg"/><Relationship Id="rId132" Type="http://schemas.openxmlformats.org/officeDocument/2006/relationships/footer" Target="footer25.xml"/><Relationship Id="rId784" Type="http://schemas.openxmlformats.org/officeDocument/2006/relationships/image" Target="media/image573.jpg"/><Relationship Id="rId991" Type="http://schemas.openxmlformats.org/officeDocument/2006/relationships/image" Target="media/image714.jpg"/><Relationship Id="rId1067" Type="http://schemas.openxmlformats.org/officeDocument/2006/relationships/image" Target="media/image760.jpg"/><Relationship Id="rId437" Type="http://schemas.openxmlformats.org/officeDocument/2006/relationships/header" Target="header56.xml"/><Relationship Id="rId644" Type="http://schemas.openxmlformats.org/officeDocument/2006/relationships/image" Target="media/image475.jpg"/><Relationship Id="rId851" Type="http://schemas.openxmlformats.org/officeDocument/2006/relationships/header" Target="header117.xml"/><Relationship Id="rId1274" Type="http://schemas.openxmlformats.org/officeDocument/2006/relationships/image" Target="media/image895.jpg"/><Relationship Id="rId1481" Type="http://schemas.openxmlformats.org/officeDocument/2006/relationships/header" Target="header226.xml"/><Relationship Id="rId1579" Type="http://schemas.openxmlformats.org/officeDocument/2006/relationships/footer" Target="footer245.xml"/><Relationship Id="rId504" Type="http://schemas.openxmlformats.org/officeDocument/2006/relationships/image" Target="media/image383.jpg"/><Relationship Id="rId711" Type="http://schemas.openxmlformats.org/officeDocument/2006/relationships/image" Target="media/image518.jpg"/><Relationship Id="rId949" Type="http://schemas.openxmlformats.org/officeDocument/2006/relationships/image" Target="media/image684.jpg"/><Relationship Id="rId1134" Type="http://schemas.openxmlformats.org/officeDocument/2006/relationships/header" Target="header165.xml"/><Relationship Id="rId1341" Type="http://schemas.openxmlformats.org/officeDocument/2006/relationships/image" Target="media/image938.jpg"/><Relationship Id="rId1786" Type="http://schemas.openxmlformats.org/officeDocument/2006/relationships/image" Target="media/image1215.jpg"/><Relationship Id="rId78" Type="http://schemas.openxmlformats.org/officeDocument/2006/relationships/image" Target="media/image53.jpg"/><Relationship Id="rId809" Type="http://schemas.openxmlformats.org/officeDocument/2006/relationships/image" Target="media/image592.jpg"/><Relationship Id="rId1201" Type="http://schemas.openxmlformats.org/officeDocument/2006/relationships/image" Target="media/image852.jpg"/><Relationship Id="rId1439" Type="http://schemas.openxmlformats.org/officeDocument/2006/relationships/image" Target="media/image1000.jpg"/><Relationship Id="rId1646" Type="http://schemas.openxmlformats.org/officeDocument/2006/relationships/image" Target="media/image1129.jpg"/><Relationship Id="rId1853" Type="http://schemas.openxmlformats.org/officeDocument/2006/relationships/header" Target="header303.xml"/><Relationship Id="rId1506" Type="http://schemas.openxmlformats.org/officeDocument/2006/relationships/header" Target="header232.xml"/><Relationship Id="rId1713" Type="http://schemas.openxmlformats.org/officeDocument/2006/relationships/footer" Target="footer275.xml"/><Relationship Id="rId294" Type="http://schemas.openxmlformats.org/officeDocument/2006/relationships/image" Target="media/image203.jpg"/><Relationship Id="rId154" Type="http://schemas.openxmlformats.org/officeDocument/2006/relationships/image" Target="media/image93.jpg"/><Relationship Id="rId361" Type="http://schemas.openxmlformats.org/officeDocument/2006/relationships/image" Target="media/image264.jpg"/><Relationship Id="rId599" Type="http://schemas.openxmlformats.org/officeDocument/2006/relationships/footer" Target="footer78.xml"/><Relationship Id="rId459" Type="http://schemas.openxmlformats.org/officeDocument/2006/relationships/image" Target="media/image338.jpg"/><Relationship Id="rId666" Type="http://schemas.openxmlformats.org/officeDocument/2006/relationships/header" Target="header90.xml"/><Relationship Id="rId873" Type="http://schemas.openxmlformats.org/officeDocument/2006/relationships/image" Target="media/image632.jpg"/><Relationship Id="rId1089" Type="http://schemas.openxmlformats.org/officeDocument/2006/relationships/image" Target="media/image776.jpg"/><Relationship Id="rId1296" Type="http://schemas.openxmlformats.org/officeDocument/2006/relationships/footer" Target="footer194.xml"/><Relationship Id="rId221" Type="http://schemas.openxmlformats.org/officeDocument/2006/relationships/image" Target="media/image142.jpg"/><Relationship Id="rId319" Type="http://schemas.openxmlformats.org/officeDocument/2006/relationships/image" Target="media/image228.jpg"/><Relationship Id="rId526" Type="http://schemas.openxmlformats.org/officeDocument/2006/relationships/image" Target="media/image399.jpg"/><Relationship Id="rId1156" Type="http://schemas.openxmlformats.org/officeDocument/2006/relationships/footer" Target="footer167.xml"/><Relationship Id="rId1363" Type="http://schemas.openxmlformats.org/officeDocument/2006/relationships/image" Target="media/image954.jpg"/><Relationship Id="rId733" Type="http://schemas.openxmlformats.org/officeDocument/2006/relationships/image" Target="media/image534.jpg"/><Relationship Id="rId940" Type="http://schemas.openxmlformats.org/officeDocument/2006/relationships/footer" Target="footer130.xml"/><Relationship Id="rId1016" Type="http://schemas.openxmlformats.org/officeDocument/2006/relationships/image" Target="media/image727.jpg"/><Relationship Id="rId1570" Type="http://schemas.openxmlformats.org/officeDocument/2006/relationships/image" Target="media/image1083.jpg"/><Relationship Id="rId1668" Type="http://schemas.openxmlformats.org/officeDocument/2006/relationships/footer" Target="footer264.xml"/><Relationship Id="rId1875" Type="http://schemas.openxmlformats.org/officeDocument/2006/relationships/footer" Target="footer307.xml"/><Relationship Id="rId800" Type="http://schemas.openxmlformats.org/officeDocument/2006/relationships/image" Target="media/image583.jpg"/><Relationship Id="rId1223" Type="http://schemas.openxmlformats.org/officeDocument/2006/relationships/header" Target="header179.xml"/><Relationship Id="rId1430" Type="http://schemas.openxmlformats.org/officeDocument/2006/relationships/image" Target="media/image991.jpg"/><Relationship Id="rId1528" Type="http://schemas.openxmlformats.org/officeDocument/2006/relationships/image" Target="media/image1059.jpg"/><Relationship Id="rId1735" Type="http://schemas.openxmlformats.org/officeDocument/2006/relationships/image" Target="media/image1182.jpg"/><Relationship Id="rId27" Type="http://schemas.openxmlformats.org/officeDocument/2006/relationships/image" Target="media/image20.jpg"/><Relationship Id="rId1802" Type="http://schemas.openxmlformats.org/officeDocument/2006/relationships/footer" Target="footer290.xml"/><Relationship Id="rId176" Type="http://schemas.openxmlformats.org/officeDocument/2006/relationships/header" Target="header37.xml"/><Relationship Id="rId383" Type="http://schemas.openxmlformats.org/officeDocument/2006/relationships/image" Target="media/image280.jpg"/><Relationship Id="rId590" Type="http://schemas.openxmlformats.org/officeDocument/2006/relationships/image" Target="media/image439.jpg"/><Relationship Id="rId243" Type="http://schemas.openxmlformats.org/officeDocument/2006/relationships/image" Target="media/image164.jpg"/><Relationship Id="rId450" Type="http://schemas.openxmlformats.org/officeDocument/2006/relationships/footer" Target="footer60.xml"/><Relationship Id="rId688" Type="http://schemas.openxmlformats.org/officeDocument/2006/relationships/image" Target="media/image501.jpg"/><Relationship Id="rId895" Type="http://schemas.openxmlformats.org/officeDocument/2006/relationships/image" Target="media/image648.jpg"/><Relationship Id="rId1080" Type="http://schemas.openxmlformats.org/officeDocument/2006/relationships/image" Target="media/image773.jpg"/><Relationship Id="rId103" Type="http://schemas.openxmlformats.org/officeDocument/2006/relationships/image" Target="media/image66.jpg"/><Relationship Id="rId310" Type="http://schemas.openxmlformats.org/officeDocument/2006/relationships/image" Target="media/image219.jpg"/><Relationship Id="rId548" Type="http://schemas.openxmlformats.org/officeDocument/2006/relationships/image" Target="media/image415.jpg"/><Relationship Id="rId755" Type="http://schemas.openxmlformats.org/officeDocument/2006/relationships/image" Target="media/image556.jpg"/><Relationship Id="rId962" Type="http://schemas.openxmlformats.org/officeDocument/2006/relationships/image" Target="media/image691.jpg"/><Relationship Id="rId1178" Type="http://schemas.openxmlformats.org/officeDocument/2006/relationships/footer" Target="footer171.xml"/><Relationship Id="rId1385" Type="http://schemas.openxmlformats.org/officeDocument/2006/relationships/footer" Target="footer209.xml"/><Relationship Id="rId1592" Type="http://schemas.openxmlformats.org/officeDocument/2006/relationships/footer" Target="footer249.xml"/><Relationship Id="rId91" Type="http://schemas.openxmlformats.org/officeDocument/2006/relationships/image" Target="media/image60.jpg"/><Relationship Id="rId408" Type="http://schemas.openxmlformats.org/officeDocument/2006/relationships/image" Target="media/image299.jpg"/><Relationship Id="rId615" Type="http://schemas.openxmlformats.org/officeDocument/2006/relationships/footer" Target="footer81.xml"/><Relationship Id="rId822" Type="http://schemas.openxmlformats.org/officeDocument/2006/relationships/image" Target="media/image599.jpg"/><Relationship Id="rId1038" Type="http://schemas.openxmlformats.org/officeDocument/2006/relationships/image" Target="media/image743.jpg"/><Relationship Id="rId1245" Type="http://schemas.openxmlformats.org/officeDocument/2006/relationships/image" Target="media/image878.jpg"/><Relationship Id="rId1452" Type="http://schemas.openxmlformats.org/officeDocument/2006/relationships/image" Target="media/image1007.jpg"/><Relationship Id="rId1105" Type="http://schemas.openxmlformats.org/officeDocument/2006/relationships/footer" Target="footer158.xml"/><Relationship Id="rId1312" Type="http://schemas.openxmlformats.org/officeDocument/2006/relationships/image" Target="media/image921.jpg"/><Relationship Id="rId1757" Type="http://schemas.openxmlformats.org/officeDocument/2006/relationships/footer" Target="footer280.xml"/><Relationship Id="rId49" Type="http://schemas.openxmlformats.org/officeDocument/2006/relationships/image" Target="media/image36.jpg"/><Relationship Id="rId1617" Type="http://schemas.openxmlformats.org/officeDocument/2006/relationships/header" Target="header254.xml"/><Relationship Id="rId1824" Type="http://schemas.openxmlformats.org/officeDocument/2006/relationships/image" Target="media/image1235.jpg"/><Relationship Id="rId198" Type="http://schemas.openxmlformats.org/officeDocument/2006/relationships/image" Target="media/image119.jpg"/><Relationship Id="rId265" Type="http://schemas.openxmlformats.org/officeDocument/2006/relationships/image" Target="media/image180.jpg"/><Relationship Id="rId472" Type="http://schemas.openxmlformats.org/officeDocument/2006/relationships/image" Target="media/image351.jpg"/><Relationship Id="rId125" Type="http://schemas.openxmlformats.org/officeDocument/2006/relationships/image" Target="media/image76.jpg"/><Relationship Id="rId332" Type="http://schemas.openxmlformats.org/officeDocument/2006/relationships/image" Target="media/image241.jpg"/><Relationship Id="rId777" Type="http://schemas.openxmlformats.org/officeDocument/2006/relationships/image" Target="media/image566.jpg"/><Relationship Id="rId984" Type="http://schemas.openxmlformats.org/officeDocument/2006/relationships/image" Target="media/image707.jpeg"/><Relationship Id="rId637" Type="http://schemas.openxmlformats.org/officeDocument/2006/relationships/image" Target="media/image468.jpg"/><Relationship Id="rId844" Type="http://schemas.openxmlformats.org/officeDocument/2006/relationships/image" Target="media/image615.jpg"/><Relationship Id="rId1267" Type="http://schemas.openxmlformats.org/officeDocument/2006/relationships/footer" Target="footer187.xml"/><Relationship Id="rId1474" Type="http://schemas.openxmlformats.org/officeDocument/2006/relationships/image" Target="media/image1023.jpg"/><Relationship Id="rId1681" Type="http://schemas.openxmlformats.org/officeDocument/2006/relationships/header" Target="header267.xml"/><Relationship Id="rId704" Type="http://schemas.openxmlformats.org/officeDocument/2006/relationships/header" Target="header95.xml"/><Relationship Id="rId911" Type="http://schemas.openxmlformats.org/officeDocument/2006/relationships/header" Target="header126.xml"/><Relationship Id="rId1127" Type="http://schemas.openxmlformats.org/officeDocument/2006/relationships/image" Target="media/image802.jpg"/><Relationship Id="rId1334" Type="http://schemas.openxmlformats.org/officeDocument/2006/relationships/footer" Target="footer201.xml"/><Relationship Id="rId1541" Type="http://schemas.openxmlformats.org/officeDocument/2006/relationships/header" Target="header237.xml"/><Relationship Id="rId1779" Type="http://schemas.openxmlformats.org/officeDocument/2006/relationships/header" Target="header285.xml"/><Relationship Id="rId40" Type="http://schemas.openxmlformats.org/officeDocument/2006/relationships/image" Target="media/image27.jpg"/><Relationship Id="rId1401" Type="http://schemas.openxmlformats.org/officeDocument/2006/relationships/image" Target="media/image974.jpg"/><Relationship Id="rId1639" Type="http://schemas.openxmlformats.org/officeDocument/2006/relationships/image" Target="media/image1122.jpg"/><Relationship Id="rId1846" Type="http://schemas.openxmlformats.org/officeDocument/2006/relationships/image" Target="media/image1245.jpg"/><Relationship Id="rId1706" Type="http://schemas.openxmlformats.org/officeDocument/2006/relationships/image" Target="media/image1159.jpeg"/><Relationship Id="rId287" Type="http://schemas.openxmlformats.org/officeDocument/2006/relationships/image" Target="media/image196.jpg"/><Relationship Id="rId494" Type="http://schemas.openxmlformats.org/officeDocument/2006/relationships/image" Target="media/image373.jpg"/><Relationship Id="rId147" Type="http://schemas.openxmlformats.org/officeDocument/2006/relationships/image" Target="media/image86.jpg"/><Relationship Id="rId354" Type="http://schemas.openxmlformats.org/officeDocument/2006/relationships/image" Target="media/image257.jpg"/><Relationship Id="rId799" Type="http://schemas.openxmlformats.org/officeDocument/2006/relationships/image" Target="media/image582.jpg"/><Relationship Id="rId1191" Type="http://schemas.openxmlformats.org/officeDocument/2006/relationships/image" Target="media/image848.jpg"/><Relationship Id="rId561" Type="http://schemas.openxmlformats.org/officeDocument/2006/relationships/image" Target="media/image422.jpg"/><Relationship Id="rId659" Type="http://schemas.openxmlformats.org/officeDocument/2006/relationships/image" Target="media/image484.jpg"/><Relationship Id="rId866" Type="http://schemas.openxmlformats.org/officeDocument/2006/relationships/footer" Target="footer120.xml"/><Relationship Id="rId1289" Type="http://schemas.openxmlformats.org/officeDocument/2006/relationships/header" Target="header192.xml"/><Relationship Id="rId1496" Type="http://schemas.openxmlformats.org/officeDocument/2006/relationships/header" Target="header229.xml"/><Relationship Id="rId214" Type="http://schemas.openxmlformats.org/officeDocument/2006/relationships/image" Target="media/image135.jpg"/><Relationship Id="rId421" Type="http://schemas.openxmlformats.org/officeDocument/2006/relationships/image" Target="media/image312.jpg"/><Relationship Id="rId519" Type="http://schemas.openxmlformats.org/officeDocument/2006/relationships/image" Target="media/image392.jpg"/><Relationship Id="rId1051" Type="http://schemas.openxmlformats.org/officeDocument/2006/relationships/image" Target="media/image750.jpg"/><Relationship Id="rId1149" Type="http://schemas.openxmlformats.org/officeDocument/2006/relationships/image" Target="media/image818.jpg"/><Relationship Id="rId1356" Type="http://schemas.openxmlformats.org/officeDocument/2006/relationships/image" Target="media/image947.jpg"/><Relationship Id="rId726" Type="http://schemas.openxmlformats.org/officeDocument/2006/relationships/footer" Target="footer97.xml"/><Relationship Id="rId933" Type="http://schemas.openxmlformats.org/officeDocument/2006/relationships/image" Target="media/image674.jpg"/><Relationship Id="rId1009" Type="http://schemas.openxmlformats.org/officeDocument/2006/relationships/footer" Target="footer143.xml"/><Relationship Id="rId1563" Type="http://schemas.openxmlformats.org/officeDocument/2006/relationships/image" Target="media/image1082.jpg"/><Relationship Id="rId1770" Type="http://schemas.openxmlformats.org/officeDocument/2006/relationships/image" Target="media/image1205.jpg"/><Relationship Id="rId1868" Type="http://schemas.openxmlformats.org/officeDocument/2006/relationships/image" Target="media/image1255.jpg"/><Relationship Id="rId62" Type="http://schemas.openxmlformats.org/officeDocument/2006/relationships/image" Target="media/image43.jpg"/><Relationship Id="rId1216" Type="http://schemas.openxmlformats.org/officeDocument/2006/relationships/image" Target="media/image861.jpg"/><Relationship Id="rId1423" Type="http://schemas.openxmlformats.org/officeDocument/2006/relationships/footer" Target="footer217.xml"/><Relationship Id="rId1630" Type="http://schemas.openxmlformats.org/officeDocument/2006/relationships/image" Target="media/image1119.jpg"/><Relationship Id="rId1728" Type="http://schemas.openxmlformats.org/officeDocument/2006/relationships/image" Target="media/image1175.jpg"/><Relationship Id="rId169" Type="http://schemas.openxmlformats.org/officeDocument/2006/relationships/footer" Target="footer34.xml"/><Relationship Id="rId376" Type="http://schemas.openxmlformats.org/officeDocument/2006/relationships/image" Target="media/image273.jpg"/><Relationship Id="rId583" Type="http://schemas.openxmlformats.org/officeDocument/2006/relationships/header" Target="header73.xml"/><Relationship Id="rId790" Type="http://schemas.openxmlformats.org/officeDocument/2006/relationships/header" Target="header107.xml"/><Relationship Id="rId4" Type="http://schemas.openxmlformats.org/officeDocument/2006/relationships/webSettings" Target="webSettings.xml"/><Relationship Id="rId236" Type="http://schemas.openxmlformats.org/officeDocument/2006/relationships/image" Target="media/image157.jpg"/><Relationship Id="rId443" Type="http://schemas.openxmlformats.org/officeDocument/2006/relationships/image" Target="media/image328.jpg"/><Relationship Id="rId650" Type="http://schemas.openxmlformats.org/officeDocument/2006/relationships/footer" Target="footer86.xml"/><Relationship Id="rId888" Type="http://schemas.openxmlformats.org/officeDocument/2006/relationships/image" Target="media/image641.jpg"/><Relationship Id="rId1073" Type="http://schemas.openxmlformats.org/officeDocument/2006/relationships/image" Target="media/image766.jpg"/><Relationship Id="rId1280" Type="http://schemas.openxmlformats.org/officeDocument/2006/relationships/image" Target="media/image901.jpg"/><Relationship Id="rId303" Type="http://schemas.openxmlformats.org/officeDocument/2006/relationships/image" Target="media/image212.jpg"/><Relationship Id="rId748" Type="http://schemas.openxmlformats.org/officeDocument/2006/relationships/image" Target="media/image549.jpg"/><Relationship Id="rId955" Type="http://schemas.openxmlformats.org/officeDocument/2006/relationships/footer" Target="footer135.xml"/><Relationship Id="rId1140" Type="http://schemas.openxmlformats.org/officeDocument/2006/relationships/image" Target="media/image809.jpg"/><Relationship Id="rId1378" Type="http://schemas.openxmlformats.org/officeDocument/2006/relationships/image" Target="media/image963.jpg"/><Relationship Id="rId1585" Type="http://schemas.openxmlformats.org/officeDocument/2006/relationships/image" Target="media/image1092.jpg"/><Relationship Id="rId1792" Type="http://schemas.openxmlformats.org/officeDocument/2006/relationships/footer" Target="footer286.xml"/><Relationship Id="rId84" Type="http://schemas.openxmlformats.org/officeDocument/2006/relationships/footer" Target="footer15.xml"/><Relationship Id="rId510" Type="http://schemas.openxmlformats.org/officeDocument/2006/relationships/image" Target="media/image389.jpg"/><Relationship Id="rId608" Type="http://schemas.openxmlformats.org/officeDocument/2006/relationships/image" Target="media/image451.jpg"/><Relationship Id="rId815" Type="http://schemas.openxmlformats.org/officeDocument/2006/relationships/header" Target="header111.xml"/><Relationship Id="rId1238" Type="http://schemas.openxmlformats.org/officeDocument/2006/relationships/footer" Target="footer183.xml"/><Relationship Id="rId1445" Type="http://schemas.openxmlformats.org/officeDocument/2006/relationships/footer" Target="footer221.xml"/><Relationship Id="rId1652" Type="http://schemas.openxmlformats.org/officeDocument/2006/relationships/image" Target="media/image1135.jpg"/><Relationship Id="rId1000" Type="http://schemas.openxmlformats.org/officeDocument/2006/relationships/image" Target="media/image717.jpg"/><Relationship Id="rId1305" Type="http://schemas.openxmlformats.org/officeDocument/2006/relationships/image" Target="media/image914.jpg"/><Relationship Id="rId1512" Type="http://schemas.openxmlformats.org/officeDocument/2006/relationships/image" Target="media/image1043.jpg"/><Relationship Id="rId1817" Type="http://schemas.openxmlformats.org/officeDocument/2006/relationships/image" Target="media/image1228.jpg"/><Relationship Id="rId11" Type="http://schemas.openxmlformats.org/officeDocument/2006/relationships/header" Target="header1.xml"/><Relationship Id="rId398" Type="http://schemas.openxmlformats.org/officeDocument/2006/relationships/footer" Target="footer53.xml"/><Relationship Id="rId160" Type="http://schemas.openxmlformats.org/officeDocument/2006/relationships/header" Target="header33.xml"/><Relationship Id="rId258" Type="http://schemas.openxmlformats.org/officeDocument/2006/relationships/image" Target="media/image173.jpg"/><Relationship Id="rId465" Type="http://schemas.openxmlformats.org/officeDocument/2006/relationships/image" Target="media/image344.jpg"/><Relationship Id="rId672" Type="http://schemas.openxmlformats.org/officeDocument/2006/relationships/image" Target="media/image491.jpg"/><Relationship Id="rId1095" Type="http://schemas.openxmlformats.org/officeDocument/2006/relationships/image" Target="media/image782.jpg"/><Relationship Id="rId118" Type="http://schemas.openxmlformats.org/officeDocument/2006/relationships/image" Target="media/image75.jpg"/><Relationship Id="rId325" Type="http://schemas.openxmlformats.org/officeDocument/2006/relationships/image" Target="media/image234.jpg"/><Relationship Id="rId532" Type="http://schemas.openxmlformats.org/officeDocument/2006/relationships/image" Target="media/image405.jpg"/><Relationship Id="rId977" Type="http://schemas.openxmlformats.org/officeDocument/2006/relationships/image" Target="media/image700.jpg"/><Relationship Id="rId1162" Type="http://schemas.openxmlformats.org/officeDocument/2006/relationships/image" Target="media/image825.jpg"/><Relationship Id="rId837" Type="http://schemas.openxmlformats.org/officeDocument/2006/relationships/image" Target="media/image608.jpg"/><Relationship Id="rId1022" Type="http://schemas.openxmlformats.org/officeDocument/2006/relationships/image" Target="media/image733.jpg"/><Relationship Id="rId1467" Type="http://schemas.openxmlformats.org/officeDocument/2006/relationships/image" Target="media/image1016.jpg"/><Relationship Id="rId1674" Type="http://schemas.openxmlformats.org/officeDocument/2006/relationships/image" Target="media/image1145.jpg"/><Relationship Id="rId1881" Type="http://schemas.openxmlformats.org/officeDocument/2006/relationships/header" Target="header311.xml"/><Relationship Id="rId904" Type="http://schemas.openxmlformats.org/officeDocument/2006/relationships/image" Target="media/image657.jpg"/><Relationship Id="rId1327" Type="http://schemas.openxmlformats.org/officeDocument/2006/relationships/image" Target="media/image930.jpg"/><Relationship Id="rId1534" Type="http://schemas.openxmlformats.org/officeDocument/2006/relationships/image" Target="media/image1065.jpg"/><Relationship Id="rId1741" Type="http://schemas.openxmlformats.org/officeDocument/2006/relationships/footer" Target="footer279.xml"/><Relationship Id="rId33" Type="http://schemas.openxmlformats.org/officeDocument/2006/relationships/image" Target="media/image26.jpg"/><Relationship Id="rId1601" Type="http://schemas.openxmlformats.org/officeDocument/2006/relationships/image" Target="media/image1102.jpg"/><Relationship Id="rId1839" Type="http://schemas.openxmlformats.org/officeDocument/2006/relationships/header" Target="header298.xml"/><Relationship Id="rId182" Type="http://schemas.openxmlformats.org/officeDocument/2006/relationships/image" Target="media/image103.jpg"/><Relationship Id="rId487" Type="http://schemas.openxmlformats.org/officeDocument/2006/relationships/image" Target="media/image366.jpg"/><Relationship Id="rId694" Type="http://schemas.openxmlformats.org/officeDocument/2006/relationships/image" Target="media/image507.jpg"/><Relationship Id="rId347" Type="http://schemas.openxmlformats.org/officeDocument/2006/relationships/image" Target="media/image250.jpg"/><Relationship Id="rId999" Type="http://schemas.openxmlformats.org/officeDocument/2006/relationships/image" Target="media/image716.jpg"/><Relationship Id="rId1184" Type="http://schemas.openxmlformats.org/officeDocument/2006/relationships/image" Target="media/image841.jpg"/><Relationship Id="rId554" Type="http://schemas.openxmlformats.org/officeDocument/2006/relationships/footer" Target="footer67.xml"/><Relationship Id="rId761" Type="http://schemas.openxmlformats.org/officeDocument/2006/relationships/footer" Target="footer100.xml"/><Relationship Id="rId859" Type="http://schemas.openxmlformats.org/officeDocument/2006/relationships/image" Target="media/image624.jpg"/><Relationship Id="rId1391" Type="http://schemas.openxmlformats.org/officeDocument/2006/relationships/image" Target="media/image970.jpg"/><Relationship Id="rId1489" Type="http://schemas.openxmlformats.org/officeDocument/2006/relationships/image" Target="media/image1032.jpg"/><Relationship Id="rId1696" Type="http://schemas.openxmlformats.org/officeDocument/2006/relationships/image" Target="media/image1155.jpg"/><Relationship Id="rId207" Type="http://schemas.openxmlformats.org/officeDocument/2006/relationships/image" Target="media/image128.jpg"/><Relationship Id="rId414" Type="http://schemas.openxmlformats.org/officeDocument/2006/relationships/image" Target="media/image305.jpg"/><Relationship Id="rId621" Type="http://schemas.openxmlformats.org/officeDocument/2006/relationships/image" Target="media/image458.jpg"/><Relationship Id="rId1044" Type="http://schemas.openxmlformats.org/officeDocument/2006/relationships/header" Target="header149.xml"/><Relationship Id="rId1251" Type="http://schemas.openxmlformats.org/officeDocument/2006/relationships/header" Target="header184.xml"/><Relationship Id="rId1349" Type="http://schemas.openxmlformats.org/officeDocument/2006/relationships/image" Target="media/image940.jpg"/><Relationship Id="rId719" Type="http://schemas.openxmlformats.org/officeDocument/2006/relationships/image" Target="media/image526.jpg"/><Relationship Id="rId926" Type="http://schemas.openxmlformats.org/officeDocument/2006/relationships/header" Target="header128.xml"/><Relationship Id="rId1111" Type="http://schemas.openxmlformats.org/officeDocument/2006/relationships/image" Target="media/image792.jpg"/><Relationship Id="rId1556" Type="http://schemas.openxmlformats.org/officeDocument/2006/relationships/image" Target="media/image1081.jpg"/><Relationship Id="rId1763" Type="http://schemas.openxmlformats.org/officeDocument/2006/relationships/image" Target="media/image1198.jpg"/><Relationship Id="rId55" Type="http://schemas.openxmlformats.org/officeDocument/2006/relationships/header" Target="header9.xml"/><Relationship Id="rId1209" Type="http://schemas.openxmlformats.org/officeDocument/2006/relationships/image" Target="media/image860.jpg"/><Relationship Id="rId1416" Type="http://schemas.openxmlformats.org/officeDocument/2006/relationships/image" Target="media/image983.jpg"/><Relationship Id="rId1623" Type="http://schemas.openxmlformats.org/officeDocument/2006/relationships/image" Target="media/image1112.jpg"/><Relationship Id="rId1830" Type="http://schemas.openxmlformats.org/officeDocument/2006/relationships/footer" Target="footer296.xml"/><Relationship Id="rId271" Type="http://schemas.openxmlformats.org/officeDocument/2006/relationships/footer" Target="footer45.xml"/><Relationship Id="rId131" Type="http://schemas.openxmlformats.org/officeDocument/2006/relationships/header" Target="header26.xml"/><Relationship Id="rId369" Type="http://schemas.openxmlformats.org/officeDocument/2006/relationships/header" Target="header49.xml"/><Relationship Id="rId576" Type="http://schemas.openxmlformats.org/officeDocument/2006/relationships/image" Target="media/image431.jpg"/><Relationship Id="rId783" Type="http://schemas.openxmlformats.org/officeDocument/2006/relationships/image" Target="media/image572.jpg"/><Relationship Id="rId990" Type="http://schemas.openxmlformats.org/officeDocument/2006/relationships/image" Target="media/image713.jpg"/><Relationship Id="rId229" Type="http://schemas.openxmlformats.org/officeDocument/2006/relationships/image" Target="media/image150.jpg"/><Relationship Id="rId436" Type="http://schemas.openxmlformats.org/officeDocument/2006/relationships/header" Target="header55.xml"/><Relationship Id="rId643" Type="http://schemas.openxmlformats.org/officeDocument/2006/relationships/image" Target="media/image474.jpg"/><Relationship Id="rId1066" Type="http://schemas.openxmlformats.org/officeDocument/2006/relationships/image" Target="media/image759.jpg"/><Relationship Id="rId1273" Type="http://schemas.openxmlformats.org/officeDocument/2006/relationships/image" Target="media/image894.jpg"/><Relationship Id="rId1480" Type="http://schemas.openxmlformats.org/officeDocument/2006/relationships/image" Target="media/image1029.jpg"/><Relationship Id="rId850" Type="http://schemas.openxmlformats.org/officeDocument/2006/relationships/footer" Target="footer116.xml"/><Relationship Id="rId948" Type="http://schemas.openxmlformats.org/officeDocument/2006/relationships/image" Target="media/image683.jpg"/><Relationship Id="rId1133" Type="http://schemas.openxmlformats.org/officeDocument/2006/relationships/footer" Target="footer164.xml"/><Relationship Id="rId1578" Type="http://schemas.openxmlformats.org/officeDocument/2006/relationships/footer" Target="footer244.xml"/><Relationship Id="rId1785" Type="http://schemas.openxmlformats.org/officeDocument/2006/relationships/image" Target="media/image1214.jpg"/><Relationship Id="rId77" Type="http://schemas.openxmlformats.org/officeDocument/2006/relationships/image" Target="media/image52.jpg"/><Relationship Id="rId503" Type="http://schemas.openxmlformats.org/officeDocument/2006/relationships/image" Target="media/image382.jpg"/><Relationship Id="rId710" Type="http://schemas.openxmlformats.org/officeDocument/2006/relationships/image" Target="media/image517.jpg"/><Relationship Id="rId808" Type="http://schemas.openxmlformats.org/officeDocument/2006/relationships/image" Target="media/image591.jpg"/><Relationship Id="rId1340" Type="http://schemas.openxmlformats.org/officeDocument/2006/relationships/image" Target="media/image937.jpg"/><Relationship Id="rId1438" Type="http://schemas.openxmlformats.org/officeDocument/2006/relationships/image" Target="media/image999.jpg"/><Relationship Id="rId1645" Type="http://schemas.openxmlformats.org/officeDocument/2006/relationships/image" Target="media/image1128.jpg"/><Relationship Id="rId1200" Type="http://schemas.openxmlformats.org/officeDocument/2006/relationships/footer" Target="footer174.xml"/><Relationship Id="rId1852" Type="http://schemas.openxmlformats.org/officeDocument/2006/relationships/footer" Target="footer302.xml"/><Relationship Id="rId654" Type="http://schemas.openxmlformats.org/officeDocument/2006/relationships/image" Target="media/image479.jpg"/><Relationship Id="rId861" Type="http://schemas.openxmlformats.org/officeDocument/2006/relationships/header" Target="header118.xml"/><Relationship Id="rId959" Type="http://schemas.openxmlformats.org/officeDocument/2006/relationships/image" Target="media/image688.jpg"/><Relationship Id="rId1284" Type="http://schemas.openxmlformats.org/officeDocument/2006/relationships/image" Target="media/image905.jpg"/><Relationship Id="rId1491" Type="http://schemas.openxmlformats.org/officeDocument/2006/relationships/image" Target="media/image1034.jpg"/><Relationship Id="rId1505" Type="http://schemas.openxmlformats.org/officeDocument/2006/relationships/image" Target="media/image1042.jpg"/><Relationship Id="rId1589" Type="http://schemas.openxmlformats.org/officeDocument/2006/relationships/footer" Target="footer247.xml"/><Relationship Id="rId1712" Type="http://schemas.openxmlformats.org/officeDocument/2006/relationships/footer" Target="footer274.xml"/><Relationship Id="rId293" Type="http://schemas.openxmlformats.org/officeDocument/2006/relationships/image" Target="media/image202.jpg"/><Relationship Id="rId307" Type="http://schemas.openxmlformats.org/officeDocument/2006/relationships/image" Target="media/image216.jpg"/><Relationship Id="rId514" Type="http://schemas.openxmlformats.org/officeDocument/2006/relationships/footer" Target="footer62.xml"/><Relationship Id="rId721" Type="http://schemas.openxmlformats.org/officeDocument/2006/relationships/image" Target="media/image528.jpg"/><Relationship Id="rId1144" Type="http://schemas.openxmlformats.org/officeDocument/2006/relationships/image" Target="media/image813.jpg"/><Relationship Id="rId1351" Type="http://schemas.openxmlformats.org/officeDocument/2006/relationships/image" Target="media/image942.jpg"/><Relationship Id="rId1449" Type="http://schemas.openxmlformats.org/officeDocument/2006/relationships/image" Target="media/image1004.jpg"/><Relationship Id="rId1796" Type="http://schemas.openxmlformats.org/officeDocument/2006/relationships/image" Target="media/image1219.jpg"/><Relationship Id="rId88" Type="http://schemas.openxmlformats.org/officeDocument/2006/relationships/image" Target="media/image57.jpg"/><Relationship Id="rId153" Type="http://schemas.openxmlformats.org/officeDocument/2006/relationships/image" Target="media/image92.jpg"/><Relationship Id="rId360" Type="http://schemas.openxmlformats.org/officeDocument/2006/relationships/image" Target="media/image263.jpg"/><Relationship Id="rId598" Type="http://schemas.openxmlformats.org/officeDocument/2006/relationships/header" Target="header78.xml"/><Relationship Id="rId819" Type="http://schemas.openxmlformats.org/officeDocument/2006/relationships/image" Target="media/image596.jpg"/><Relationship Id="rId1004" Type="http://schemas.openxmlformats.org/officeDocument/2006/relationships/image" Target="media/image721.jpg"/><Relationship Id="rId1211" Type="http://schemas.openxmlformats.org/officeDocument/2006/relationships/header" Target="header176.xml"/><Relationship Id="rId1656" Type="http://schemas.openxmlformats.org/officeDocument/2006/relationships/footer" Target="footer260.xml"/><Relationship Id="rId1863" Type="http://schemas.openxmlformats.org/officeDocument/2006/relationships/header" Target="header305.xml"/><Relationship Id="rId220" Type="http://schemas.openxmlformats.org/officeDocument/2006/relationships/image" Target="media/image141.jpg"/><Relationship Id="rId458" Type="http://schemas.openxmlformats.org/officeDocument/2006/relationships/image" Target="media/image337.jpg"/><Relationship Id="rId665" Type="http://schemas.openxmlformats.org/officeDocument/2006/relationships/footer" Target="footer89.xml"/><Relationship Id="rId872" Type="http://schemas.openxmlformats.org/officeDocument/2006/relationships/image" Target="media/image631.jpg"/><Relationship Id="rId1088" Type="http://schemas.openxmlformats.org/officeDocument/2006/relationships/image" Target="media/image775.jpg"/><Relationship Id="rId1295" Type="http://schemas.openxmlformats.org/officeDocument/2006/relationships/footer" Target="footer193.xml"/><Relationship Id="rId1309" Type="http://schemas.openxmlformats.org/officeDocument/2006/relationships/image" Target="media/image918.jpg"/><Relationship Id="rId1516" Type="http://schemas.openxmlformats.org/officeDocument/2006/relationships/image" Target="media/image1047.jpg"/><Relationship Id="rId1723" Type="http://schemas.openxmlformats.org/officeDocument/2006/relationships/image" Target="media/image1170.jpg"/><Relationship Id="rId15" Type="http://schemas.openxmlformats.org/officeDocument/2006/relationships/header" Target="header3.xml"/><Relationship Id="rId318" Type="http://schemas.openxmlformats.org/officeDocument/2006/relationships/image" Target="media/image227.jpg"/><Relationship Id="rId525" Type="http://schemas.openxmlformats.org/officeDocument/2006/relationships/image" Target="media/image398.jpg"/><Relationship Id="rId732" Type="http://schemas.openxmlformats.org/officeDocument/2006/relationships/image" Target="media/image533.jpg"/><Relationship Id="rId1155" Type="http://schemas.openxmlformats.org/officeDocument/2006/relationships/footer" Target="footer166.xml"/><Relationship Id="rId1362" Type="http://schemas.openxmlformats.org/officeDocument/2006/relationships/image" Target="media/image953.jpg"/><Relationship Id="rId99" Type="http://schemas.openxmlformats.org/officeDocument/2006/relationships/header" Target="header18.xml"/><Relationship Id="rId164" Type="http://schemas.openxmlformats.org/officeDocument/2006/relationships/image" Target="media/image97.jpg"/><Relationship Id="rId371" Type="http://schemas.openxmlformats.org/officeDocument/2006/relationships/footer" Target="footer49.xml"/><Relationship Id="rId1015" Type="http://schemas.openxmlformats.org/officeDocument/2006/relationships/image" Target="media/image726.jpg"/><Relationship Id="rId1222" Type="http://schemas.openxmlformats.org/officeDocument/2006/relationships/header" Target="header178.xml"/><Relationship Id="rId1667" Type="http://schemas.openxmlformats.org/officeDocument/2006/relationships/header" Target="header264.xml"/><Relationship Id="rId1874" Type="http://schemas.openxmlformats.org/officeDocument/2006/relationships/header" Target="header308.xml"/><Relationship Id="rId469" Type="http://schemas.openxmlformats.org/officeDocument/2006/relationships/image" Target="media/image348.jpg"/><Relationship Id="rId676" Type="http://schemas.openxmlformats.org/officeDocument/2006/relationships/image" Target="media/image495.jpg"/><Relationship Id="rId883" Type="http://schemas.openxmlformats.org/officeDocument/2006/relationships/footer" Target="footer121.xml"/><Relationship Id="rId1099" Type="http://schemas.openxmlformats.org/officeDocument/2006/relationships/image" Target="media/image786.jpg"/><Relationship Id="rId1527" Type="http://schemas.openxmlformats.org/officeDocument/2006/relationships/image" Target="media/image1058.jpg"/><Relationship Id="rId1734" Type="http://schemas.openxmlformats.org/officeDocument/2006/relationships/image" Target="media/image1181.jpg"/><Relationship Id="rId26" Type="http://schemas.openxmlformats.org/officeDocument/2006/relationships/image" Target="media/image19.jpg"/><Relationship Id="rId231" Type="http://schemas.openxmlformats.org/officeDocument/2006/relationships/image" Target="media/image152.jpg"/><Relationship Id="rId329" Type="http://schemas.openxmlformats.org/officeDocument/2006/relationships/image" Target="media/image238.jpg"/><Relationship Id="rId536" Type="http://schemas.openxmlformats.org/officeDocument/2006/relationships/footer" Target="footer64.xml"/><Relationship Id="rId1166" Type="http://schemas.openxmlformats.org/officeDocument/2006/relationships/image" Target="media/image829.jpg"/><Relationship Id="rId1373" Type="http://schemas.openxmlformats.org/officeDocument/2006/relationships/image" Target="media/image958.jpg"/><Relationship Id="rId175" Type="http://schemas.openxmlformats.org/officeDocument/2006/relationships/image" Target="media/image102.jpg"/><Relationship Id="rId743" Type="http://schemas.openxmlformats.org/officeDocument/2006/relationships/image" Target="media/image544.jpg"/><Relationship Id="rId950" Type="http://schemas.openxmlformats.org/officeDocument/2006/relationships/header" Target="header133.xml"/><Relationship Id="rId1026" Type="http://schemas.openxmlformats.org/officeDocument/2006/relationships/image" Target="media/image737.jpg"/><Relationship Id="rId1580" Type="http://schemas.openxmlformats.org/officeDocument/2006/relationships/header" Target="header246.xml"/><Relationship Id="rId1678" Type="http://schemas.openxmlformats.org/officeDocument/2006/relationships/header" Target="header266.xml"/><Relationship Id="rId1801" Type="http://schemas.openxmlformats.org/officeDocument/2006/relationships/footer" Target="footer289.xml"/><Relationship Id="rId1885" Type="http://schemas.openxmlformats.org/officeDocument/2006/relationships/footer" Target="footer312.xml"/><Relationship Id="rId382" Type="http://schemas.openxmlformats.org/officeDocument/2006/relationships/image" Target="media/image279.jpg"/><Relationship Id="rId603" Type="http://schemas.openxmlformats.org/officeDocument/2006/relationships/image" Target="media/image446.jpg"/><Relationship Id="rId687" Type="http://schemas.openxmlformats.org/officeDocument/2006/relationships/image" Target="media/image500.jpg"/><Relationship Id="rId810" Type="http://schemas.openxmlformats.org/officeDocument/2006/relationships/image" Target="media/image593.jpg"/><Relationship Id="rId908" Type="http://schemas.openxmlformats.org/officeDocument/2006/relationships/header" Target="header125.xml"/><Relationship Id="rId1233" Type="http://schemas.openxmlformats.org/officeDocument/2006/relationships/header" Target="header181.xml"/><Relationship Id="rId1440" Type="http://schemas.openxmlformats.org/officeDocument/2006/relationships/image" Target="media/image1001.jpg"/><Relationship Id="rId1538" Type="http://schemas.openxmlformats.org/officeDocument/2006/relationships/header" Target="header236.xml"/><Relationship Id="rId242" Type="http://schemas.openxmlformats.org/officeDocument/2006/relationships/image" Target="media/image163.jpg"/><Relationship Id="rId894" Type="http://schemas.openxmlformats.org/officeDocument/2006/relationships/image" Target="media/image647.jpg"/><Relationship Id="rId1177" Type="http://schemas.openxmlformats.org/officeDocument/2006/relationships/header" Target="header171.xml"/><Relationship Id="rId1300" Type="http://schemas.openxmlformats.org/officeDocument/2006/relationships/image" Target="media/image909.jpg"/><Relationship Id="rId1745" Type="http://schemas.openxmlformats.org/officeDocument/2006/relationships/image" Target="media/image1186.jpg"/><Relationship Id="rId37" Type="http://schemas.openxmlformats.org/officeDocument/2006/relationships/footer" Target="footer5.xml"/><Relationship Id="rId102" Type="http://schemas.openxmlformats.org/officeDocument/2006/relationships/image" Target="media/image65.jpg"/><Relationship Id="rId547" Type="http://schemas.openxmlformats.org/officeDocument/2006/relationships/image" Target="media/image414.jpg"/><Relationship Id="rId754" Type="http://schemas.openxmlformats.org/officeDocument/2006/relationships/image" Target="media/image555.jpg"/><Relationship Id="rId961" Type="http://schemas.openxmlformats.org/officeDocument/2006/relationships/image" Target="media/image690.jpg"/><Relationship Id="rId1384" Type="http://schemas.openxmlformats.org/officeDocument/2006/relationships/footer" Target="footer208.xml"/><Relationship Id="rId1591" Type="http://schemas.openxmlformats.org/officeDocument/2006/relationships/header" Target="header249.xml"/><Relationship Id="rId1605" Type="http://schemas.openxmlformats.org/officeDocument/2006/relationships/footer" Target="footer250.xml"/><Relationship Id="rId1689" Type="http://schemas.openxmlformats.org/officeDocument/2006/relationships/footer" Target="footer268.xml"/><Relationship Id="rId1812" Type="http://schemas.openxmlformats.org/officeDocument/2006/relationships/header" Target="header293.xml"/><Relationship Id="rId90" Type="http://schemas.openxmlformats.org/officeDocument/2006/relationships/image" Target="media/image59.jpg"/><Relationship Id="rId186" Type="http://schemas.openxmlformats.org/officeDocument/2006/relationships/image" Target="media/image107.jpg"/><Relationship Id="rId393" Type="http://schemas.openxmlformats.org/officeDocument/2006/relationships/image" Target="media/image290.jpg"/><Relationship Id="rId407" Type="http://schemas.openxmlformats.org/officeDocument/2006/relationships/image" Target="media/image298.jpg"/><Relationship Id="rId614" Type="http://schemas.openxmlformats.org/officeDocument/2006/relationships/header" Target="header81.xml"/><Relationship Id="rId821" Type="http://schemas.openxmlformats.org/officeDocument/2006/relationships/image" Target="media/image598.jpg"/><Relationship Id="rId1037" Type="http://schemas.openxmlformats.org/officeDocument/2006/relationships/image" Target="media/image742.jpg"/><Relationship Id="rId1244" Type="http://schemas.openxmlformats.org/officeDocument/2006/relationships/image" Target="media/image877.jpg"/><Relationship Id="rId1451" Type="http://schemas.openxmlformats.org/officeDocument/2006/relationships/image" Target="media/image1006.jpg"/><Relationship Id="rId253" Type="http://schemas.openxmlformats.org/officeDocument/2006/relationships/footer" Target="footer40.xml"/><Relationship Id="rId460" Type="http://schemas.openxmlformats.org/officeDocument/2006/relationships/image" Target="media/image339.jpg"/><Relationship Id="rId698" Type="http://schemas.openxmlformats.org/officeDocument/2006/relationships/image" Target="media/image511.jpg"/><Relationship Id="rId919" Type="http://schemas.openxmlformats.org/officeDocument/2006/relationships/image" Target="media/image666.jpg"/><Relationship Id="rId1090" Type="http://schemas.openxmlformats.org/officeDocument/2006/relationships/image" Target="media/image777.jpg"/><Relationship Id="rId1104" Type="http://schemas.openxmlformats.org/officeDocument/2006/relationships/footer" Target="footer157.xml"/><Relationship Id="rId1311" Type="http://schemas.openxmlformats.org/officeDocument/2006/relationships/image" Target="media/image920.jpg"/><Relationship Id="rId1549" Type="http://schemas.openxmlformats.org/officeDocument/2006/relationships/image" Target="media/image1074.jpg"/><Relationship Id="rId1756" Type="http://schemas.openxmlformats.org/officeDocument/2006/relationships/header" Target="header281.xml"/><Relationship Id="rId48" Type="http://schemas.openxmlformats.org/officeDocument/2006/relationships/image" Target="media/image35.jpg"/><Relationship Id="rId113" Type="http://schemas.openxmlformats.org/officeDocument/2006/relationships/image" Target="media/image70.jpg"/><Relationship Id="rId320" Type="http://schemas.openxmlformats.org/officeDocument/2006/relationships/image" Target="media/image229.jpg"/><Relationship Id="rId558" Type="http://schemas.openxmlformats.org/officeDocument/2006/relationships/image" Target="media/image419.jpg"/><Relationship Id="rId765" Type="http://schemas.openxmlformats.org/officeDocument/2006/relationships/image" Target="media/image560.jpg"/><Relationship Id="rId972" Type="http://schemas.openxmlformats.org/officeDocument/2006/relationships/image" Target="media/image695.jpg"/><Relationship Id="rId1188" Type="http://schemas.openxmlformats.org/officeDocument/2006/relationships/image" Target="media/image845.jpg"/><Relationship Id="rId1395" Type="http://schemas.openxmlformats.org/officeDocument/2006/relationships/header" Target="header211.xml"/><Relationship Id="rId1409" Type="http://schemas.openxmlformats.org/officeDocument/2006/relationships/header" Target="header214.xml"/><Relationship Id="rId1616" Type="http://schemas.openxmlformats.org/officeDocument/2006/relationships/header" Target="header253.xml"/><Relationship Id="rId1823" Type="http://schemas.openxmlformats.org/officeDocument/2006/relationships/image" Target="media/image1234.jpg"/><Relationship Id="rId197" Type="http://schemas.openxmlformats.org/officeDocument/2006/relationships/image" Target="media/image118.jpg"/><Relationship Id="rId418" Type="http://schemas.openxmlformats.org/officeDocument/2006/relationships/image" Target="media/image309.jpg"/><Relationship Id="rId625" Type="http://schemas.openxmlformats.org/officeDocument/2006/relationships/image" Target="media/image462.jpg"/><Relationship Id="rId832" Type="http://schemas.openxmlformats.org/officeDocument/2006/relationships/header" Target="header113.xml"/><Relationship Id="rId1048" Type="http://schemas.openxmlformats.org/officeDocument/2006/relationships/footer" Target="footer150.xml"/><Relationship Id="rId1255" Type="http://schemas.openxmlformats.org/officeDocument/2006/relationships/header" Target="header186.xml"/><Relationship Id="rId1462" Type="http://schemas.openxmlformats.org/officeDocument/2006/relationships/header" Target="header224.xml"/><Relationship Id="rId264" Type="http://schemas.openxmlformats.org/officeDocument/2006/relationships/image" Target="media/image179.jpg"/><Relationship Id="rId471" Type="http://schemas.openxmlformats.org/officeDocument/2006/relationships/image" Target="media/image350.jpg"/><Relationship Id="rId1115" Type="http://schemas.openxmlformats.org/officeDocument/2006/relationships/header" Target="header160.xml"/><Relationship Id="rId1322" Type="http://schemas.openxmlformats.org/officeDocument/2006/relationships/image" Target="media/image925.jpg"/><Relationship Id="rId1767" Type="http://schemas.openxmlformats.org/officeDocument/2006/relationships/image" Target="media/image1202.jpg"/><Relationship Id="rId59" Type="http://schemas.openxmlformats.org/officeDocument/2006/relationships/image" Target="media/image40.jpeg"/><Relationship Id="rId124" Type="http://schemas.openxmlformats.org/officeDocument/2006/relationships/footer" Target="footer24.xml"/><Relationship Id="rId569" Type="http://schemas.openxmlformats.org/officeDocument/2006/relationships/image" Target="media/image430.jpg"/><Relationship Id="rId776" Type="http://schemas.openxmlformats.org/officeDocument/2006/relationships/image" Target="media/image565.jpg"/><Relationship Id="rId983" Type="http://schemas.openxmlformats.org/officeDocument/2006/relationships/image" Target="media/image706.jpg"/><Relationship Id="rId1199" Type="http://schemas.openxmlformats.org/officeDocument/2006/relationships/header" Target="header174.xml"/><Relationship Id="rId1627" Type="http://schemas.openxmlformats.org/officeDocument/2006/relationships/image" Target="media/image1116.jpg"/><Relationship Id="rId1834" Type="http://schemas.openxmlformats.org/officeDocument/2006/relationships/image" Target="media/image1239.jpg"/><Relationship Id="rId331" Type="http://schemas.openxmlformats.org/officeDocument/2006/relationships/image" Target="media/image240.jpg"/><Relationship Id="rId429" Type="http://schemas.openxmlformats.org/officeDocument/2006/relationships/image" Target="media/image320.jpg"/><Relationship Id="rId636" Type="http://schemas.openxmlformats.org/officeDocument/2006/relationships/image" Target="media/image467.jpg"/><Relationship Id="rId1059" Type="http://schemas.openxmlformats.org/officeDocument/2006/relationships/header" Target="header151.xml"/><Relationship Id="rId1266" Type="http://schemas.openxmlformats.org/officeDocument/2006/relationships/header" Target="header188.xml"/><Relationship Id="rId1473" Type="http://schemas.openxmlformats.org/officeDocument/2006/relationships/image" Target="media/image1022.jpg"/><Relationship Id="rId843" Type="http://schemas.openxmlformats.org/officeDocument/2006/relationships/image" Target="media/image614.jpg"/><Relationship Id="rId1126" Type="http://schemas.openxmlformats.org/officeDocument/2006/relationships/image" Target="media/image801.jpg"/><Relationship Id="rId1680" Type="http://schemas.openxmlformats.org/officeDocument/2006/relationships/footer" Target="footer266.xml"/><Relationship Id="rId1778" Type="http://schemas.openxmlformats.org/officeDocument/2006/relationships/footer" Target="footer284.xml"/><Relationship Id="rId275" Type="http://schemas.openxmlformats.org/officeDocument/2006/relationships/image" Target="media/image184.jpg"/><Relationship Id="rId482" Type="http://schemas.openxmlformats.org/officeDocument/2006/relationships/image" Target="media/image361.jpg"/><Relationship Id="rId703" Type="http://schemas.openxmlformats.org/officeDocument/2006/relationships/header" Target="header94.xml"/><Relationship Id="rId910" Type="http://schemas.openxmlformats.org/officeDocument/2006/relationships/footer" Target="footer125.xml"/><Relationship Id="rId1333" Type="http://schemas.openxmlformats.org/officeDocument/2006/relationships/header" Target="header201.xml"/><Relationship Id="rId1540" Type="http://schemas.openxmlformats.org/officeDocument/2006/relationships/footer" Target="footer236.xml"/><Relationship Id="rId1638" Type="http://schemas.openxmlformats.org/officeDocument/2006/relationships/image" Target="media/image1121.jpg"/><Relationship Id="rId135" Type="http://schemas.openxmlformats.org/officeDocument/2006/relationships/footer" Target="footer27.xml"/><Relationship Id="rId342" Type="http://schemas.openxmlformats.org/officeDocument/2006/relationships/image" Target="media/image245.jpg"/><Relationship Id="rId787" Type="http://schemas.openxmlformats.org/officeDocument/2006/relationships/image" Target="media/image576.jpg"/><Relationship Id="rId994" Type="http://schemas.openxmlformats.org/officeDocument/2006/relationships/footer" Target="footer139.xml"/><Relationship Id="rId1400" Type="http://schemas.openxmlformats.org/officeDocument/2006/relationships/footer" Target="footer213.xml"/><Relationship Id="rId1845" Type="http://schemas.openxmlformats.org/officeDocument/2006/relationships/image" Target="media/image1244.jpg"/><Relationship Id="rId202" Type="http://schemas.openxmlformats.org/officeDocument/2006/relationships/image" Target="media/image123.jpg"/><Relationship Id="rId647" Type="http://schemas.openxmlformats.org/officeDocument/2006/relationships/header" Target="header85.xml"/><Relationship Id="rId854" Type="http://schemas.openxmlformats.org/officeDocument/2006/relationships/image" Target="media/image619.jpg"/><Relationship Id="rId1277" Type="http://schemas.openxmlformats.org/officeDocument/2006/relationships/image" Target="media/image898.jpg"/><Relationship Id="rId1484" Type="http://schemas.openxmlformats.org/officeDocument/2006/relationships/footer" Target="footer227.xml"/><Relationship Id="rId1691" Type="http://schemas.openxmlformats.org/officeDocument/2006/relationships/header" Target="header270.xml"/><Relationship Id="rId1705" Type="http://schemas.openxmlformats.org/officeDocument/2006/relationships/image" Target="media/image1158.jpg"/><Relationship Id="rId286" Type="http://schemas.openxmlformats.org/officeDocument/2006/relationships/image" Target="media/image195.jpg"/><Relationship Id="rId493" Type="http://schemas.openxmlformats.org/officeDocument/2006/relationships/image" Target="media/image372.jpg"/><Relationship Id="rId507" Type="http://schemas.openxmlformats.org/officeDocument/2006/relationships/image" Target="media/image386.jpg"/><Relationship Id="rId714" Type="http://schemas.openxmlformats.org/officeDocument/2006/relationships/image" Target="media/image521.jpg"/><Relationship Id="rId921" Type="http://schemas.openxmlformats.org/officeDocument/2006/relationships/image" Target="media/image668.jpg"/><Relationship Id="rId1137" Type="http://schemas.openxmlformats.org/officeDocument/2006/relationships/image" Target="media/image806.jpg"/><Relationship Id="rId1344" Type="http://schemas.openxmlformats.org/officeDocument/2006/relationships/header" Target="header203.xml"/><Relationship Id="rId1551" Type="http://schemas.openxmlformats.org/officeDocument/2006/relationships/image" Target="media/image1076.jpg"/><Relationship Id="rId1789" Type="http://schemas.openxmlformats.org/officeDocument/2006/relationships/image" Target="media/image1218.jpg"/><Relationship Id="rId50" Type="http://schemas.openxmlformats.org/officeDocument/2006/relationships/image" Target="media/image37.jpg"/><Relationship Id="rId146" Type="http://schemas.openxmlformats.org/officeDocument/2006/relationships/footer" Target="footer30.xml"/><Relationship Id="rId353" Type="http://schemas.openxmlformats.org/officeDocument/2006/relationships/image" Target="media/image256.jpg"/><Relationship Id="rId560" Type="http://schemas.openxmlformats.org/officeDocument/2006/relationships/image" Target="media/image421.jpg"/><Relationship Id="rId798" Type="http://schemas.openxmlformats.org/officeDocument/2006/relationships/image" Target="media/image581.jpg"/><Relationship Id="rId1190" Type="http://schemas.openxmlformats.org/officeDocument/2006/relationships/image" Target="media/image847.jpg"/><Relationship Id="rId1204" Type="http://schemas.openxmlformats.org/officeDocument/2006/relationships/image" Target="media/image855.jpg"/><Relationship Id="rId1411" Type="http://schemas.openxmlformats.org/officeDocument/2006/relationships/footer" Target="footer214.xml"/><Relationship Id="rId1649" Type="http://schemas.openxmlformats.org/officeDocument/2006/relationships/image" Target="media/image1132.jpeg"/><Relationship Id="rId1856" Type="http://schemas.openxmlformats.org/officeDocument/2006/relationships/image" Target="media/image1249.jpg"/><Relationship Id="rId213" Type="http://schemas.openxmlformats.org/officeDocument/2006/relationships/image" Target="media/image134.jpg"/><Relationship Id="rId420" Type="http://schemas.openxmlformats.org/officeDocument/2006/relationships/image" Target="media/image311.jpg"/><Relationship Id="rId658" Type="http://schemas.openxmlformats.org/officeDocument/2006/relationships/image" Target="media/image483.jpg"/><Relationship Id="rId865" Type="http://schemas.openxmlformats.org/officeDocument/2006/relationships/header" Target="header120.xml"/><Relationship Id="rId1050" Type="http://schemas.openxmlformats.org/officeDocument/2006/relationships/image" Target="media/image749.jpg"/><Relationship Id="rId1288" Type="http://schemas.openxmlformats.org/officeDocument/2006/relationships/footer" Target="footer191.xml"/><Relationship Id="rId1495" Type="http://schemas.openxmlformats.org/officeDocument/2006/relationships/image" Target="media/image1038.jpg"/><Relationship Id="rId1509" Type="http://schemas.openxmlformats.org/officeDocument/2006/relationships/footer" Target="footer233.xml"/><Relationship Id="rId1716" Type="http://schemas.openxmlformats.org/officeDocument/2006/relationships/image" Target="media/image1163.jpg"/><Relationship Id="rId297" Type="http://schemas.openxmlformats.org/officeDocument/2006/relationships/image" Target="media/image206.jpg"/><Relationship Id="rId518" Type="http://schemas.openxmlformats.org/officeDocument/2006/relationships/image" Target="media/image391.jpg"/><Relationship Id="rId725" Type="http://schemas.openxmlformats.org/officeDocument/2006/relationships/header" Target="header98.xml"/><Relationship Id="rId932" Type="http://schemas.openxmlformats.org/officeDocument/2006/relationships/image" Target="media/image673.jpg"/><Relationship Id="rId1148" Type="http://schemas.openxmlformats.org/officeDocument/2006/relationships/image" Target="media/image817.jpg"/><Relationship Id="rId1355" Type="http://schemas.openxmlformats.org/officeDocument/2006/relationships/image" Target="media/image946.jpg"/><Relationship Id="rId1562" Type="http://schemas.openxmlformats.org/officeDocument/2006/relationships/footer" Target="footer240.xml"/><Relationship Id="rId157" Type="http://schemas.openxmlformats.org/officeDocument/2006/relationships/header" Target="header32.xml"/><Relationship Id="rId364" Type="http://schemas.openxmlformats.org/officeDocument/2006/relationships/image" Target="media/image267.jpg"/><Relationship Id="rId1008" Type="http://schemas.openxmlformats.org/officeDocument/2006/relationships/footer" Target="footer142.xml"/><Relationship Id="rId1215" Type="http://schemas.openxmlformats.org/officeDocument/2006/relationships/footer" Target="footer177.xml"/><Relationship Id="rId1422" Type="http://schemas.openxmlformats.org/officeDocument/2006/relationships/header" Target="header218.xml"/><Relationship Id="rId1867" Type="http://schemas.openxmlformats.org/officeDocument/2006/relationships/footer" Target="footer306.xml"/><Relationship Id="rId61" Type="http://schemas.openxmlformats.org/officeDocument/2006/relationships/image" Target="media/image42.jpg"/><Relationship Id="rId571" Type="http://schemas.openxmlformats.org/officeDocument/2006/relationships/header" Target="header71.xml"/><Relationship Id="rId669" Type="http://schemas.openxmlformats.org/officeDocument/2006/relationships/image" Target="media/image488.jpg"/><Relationship Id="rId876" Type="http://schemas.openxmlformats.org/officeDocument/2006/relationships/image" Target="media/image635.jpg"/><Relationship Id="rId1299" Type="http://schemas.openxmlformats.org/officeDocument/2006/relationships/image" Target="media/image908.jpg"/><Relationship Id="rId1727" Type="http://schemas.openxmlformats.org/officeDocument/2006/relationships/image" Target="media/image1174.jpg"/><Relationship Id="rId19" Type="http://schemas.openxmlformats.org/officeDocument/2006/relationships/image" Target="media/image12.jpeg"/><Relationship Id="rId224" Type="http://schemas.openxmlformats.org/officeDocument/2006/relationships/image" Target="media/image145.jpg"/><Relationship Id="rId431" Type="http://schemas.openxmlformats.org/officeDocument/2006/relationships/image" Target="media/image322.jpg"/><Relationship Id="rId529" Type="http://schemas.openxmlformats.org/officeDocument/2006/relationships/image" Target="media/image402.jpg"/><Relationship Id="rId736" Type="http://schemas.openxmlformats.org/officeDocument/2006/relationships/image" Target="media/image537.jpg"/><Relationship Id="rId1061" Type="http://schemas.openxmlformats.org/officeDocument/2006/relationships/footer" Target="footer151.xml"/><Relationship Id="rId1159" Type="http://schemas.openxmlformats.org/officeDocument/2006/relationships/image" Target="media/image822.jpg"/><Relationship Id="rId1366" Type="http://schemas.openxmlformats.org/officeDocument/2006/relationships/header" Target="header206.xml"/><Relationship Id="rId168" Type="http://schemas.openxmlformats.org/officeDocument/2006/relationships/header" Target="header35.xml"/><Relationship Id="rId943" Type="http://schemas.openxmlformats.org/officeDocument/2006/relationships/footer" Target="footer132.xml"/><Relationship Id="rId1019" Type="http://schemas.openxmlformats.org/officeDocument/2006/relationships/image" Target="media/image730.jpg"/><Relationship Id="rId1573" Type="http://schemas.openxmlformats.org/officeDocument/2006/relationships/image" Target="media/image1086.jpg"/><Relationship Id="rId1780" Type="http://schemas.openxmlformats.org/officeDocument/2006/relationships/footer" Target="footer285.xml"/><Relationship Id="rId1878" Type="http://schemas.openxmlformats.org/officeDocument/2006/relationships/footer" Target="footer309.xml"/><Relationship Id="rId72" Type="http://schemas.openxmlformats.org/officeDocument/2006/relationships/image" Target="media/image47.jpg"/><Relationship Id="rId375" Type="http://schemas.openxmlformats.org/officeDocument/2006/relationships/image" Target="media/image272.jpg"/><Relationship Id="rId582" Type="http://schemas.openxmlformats.org/officeDocument/2006/relationships/image" Target="media/image437.jpg"/><Relationship Id="rId803" Type="http://schemas.openxmlformats.org/officeDocument/2006/relationships/image" Target="media/image586.jpg"/><Relationship Id="rId1226" Type="http://schemas.openxmlformats.org/officeDocument/2006/relationships/header" Target="header180.xml"/><Relationship Id="rId1433" Type="http://schemas.openxmlformats.org/officeDocument/2006/relationships/image" Target="media/image994.jpg"/><Relationship Id="rId1640" Type="http://schemas.openxmlformats.org/officeDocument/2006/relationships/image" Target="media/image1123.jpg"/><Relationship Id="rId1738" Type="http://schemas.openxmlformats.org/officeDocument/2006/relationships/footer" Target="footer277.xml"/><Relationship Id="rId3" Type="http://schemas.openxmlformats.org/officeDocument/2006/relationships/settings" Target="settings.xml"/><Relationship Id="rId235" Type="http://schemas.openxmlformats.org/officeDocument/2006/relationships/image" Target="media/image156.jpg"/><Relationship Id="rId442" Type="http://schemas.openxmlformats.org/officeDocument/2006/relationships/image" Target="media/image327.jpg"/><Relationship Id="rId887" Type="http://schemas.openxmlformats.org/officeDocument/2006/relationships/image" Target="media/image640.jpg"/><Relationship Id="rId1072" Type="http://schemas.openxmlformats.org/officeDocument/2006/relationships/image" Target="media/image765.jpg"/><Relationship Id="rId1500" Type="http://schemas.openxmlformats.org/officeDocument/2006/relationships/header" Target="header231.xml"/><Relationship Id="rId302" Type="http://schemas.openxmlformats.org/officeDocument/2006/relationships/image" Target="media/image211.jpg"/><Relationship Id="rId747" Type="http://schemas.openxmlformats.org/officeDocument/2006/relationships/image" Target="media/image548.jpg"/><Relationship Id="rId954" Type="http://schemas.openxmlformats.org/officeDocument/2006/relationships/header" Target="header135.xml"/><Relationship Id="rId1377" Type="http://schemas.openxmlformats.org/officeDocument/2006/relationships/image" Target="media/image962.jpg"/><Relationship Id="rId1584" Type="http://schemas.openxmlformats.org/officeDocument/2006/relationships/image" Target="media/image1091.jpg"/><Relationship Id="rId1791" Type="http://schemas.openxmlformats.org/officeDocument/2006/relationships/header" Target="header287.xml"/><Relationship Id="rId1805" Type="http://schemas.openxmlformats.org/officeDocument/2006/relationships/image" Target="media/image1222.jpg"/><Relationship Id="rId83" Type="http://schemas.openxmlformats.org/officeDocument/2006/relationships/header" Target="header15.xml"/><Relationship Id="rId179" Type="http://schemas.openxmlformats.org/officeDocument/2006/relationships/footer" Target="footer38.xml"/><Relationship Id="rId386" Type="http://schemas.openxmlformats.org/officeDocument/2006/relationships/image" Target="media/image283.jpeg"/><Relationship Id="rId593" Type="http://schemas.openxmlformats.org/officeDocument/2006/relationships/image" Target="media/image442.jpg"/><Relationship Id="rId607" Type="http://schemas.openxmlformats.org/officeDocument/2006/relationships/image" Target="media/image450.jpg"/><Relationship Id="rId814" Type="http://schemas.openxmlformats.org/officeDocument/2006/relationships/footer" Target="footer110.xml"/><Relationship Id="rId1237" Type="http://schemas.openxmlformats.org/officeDocument/2006/relationships/header" Target="header183.xml"/><Relationship Id="rId1444" Type="http://schemas.openxmlformats.org/officeDocument/2006/relationships/footer" Target="footer220.xml"/><Relationship Id="rId1651" Type="http://schemas.openxmlformats.org/officeDocument/2006/relationships/image" Target="media/image1134.jpg"/><Relationship Id="rId1889" Type="http://schemas.openxmlformats.org/officeDocument/2006/relationships/fontTable" Target="fontTable.xml"/><Relationship Id="rId246" Type="http://schemas.openxmlformats.org/officeDocument/2006/relationships/image" Target="media/image167.jpg"/><Relationship Id="rId453" Type="http://schemas.openxmlformats.org/officeDocument/2006/relationships/image" Target="media/image332.jpg"/><Relationship Id="rId660" Type="http://schemas.openxmlformats.org/officeDocument/2006/relationships/image" Target="media/image485.jpg"/><Relationship Id="rId898" Type="http://schemas.openxmlformats.org/officeDocument/2006/relationships/image" Target="media/image651.jpg"/><Relationship Id="rId1083" Type="http://schemas.openxmlformats.org/officeDocument/2006/relationships/footer" Target="footer154.xml"/><Relationship Id="rId1290" Type="http://schemas.openxmlformats.org/officeDocument/2006/relationships/footer" Target="footer192.xml"/><Relationship Id="rId1304" Type="http://schemas.openxmlformats.org/officeDocument/2006/relationships/image" Target="media/image913.jpg"/><Relationship Id="rId1511" Type="http://schemas.openxmlformats.org/officeDocument/2006/relationships/footer" Target="footer234.xml"/><Relationship Id="rId1749" Type="http://schemas.openxmlformats.org/officeDocument/2006/relationships/image" Target="media/image1190.jpg"/><Relationship Id="rId106" Type="http://schemas.openxmlformats.org/officeDocument/2006/relationships/header" Target="header19.xml"/><Relationship Id="rId313" Type="http://schemas.openxmlformats.org/officeDocument/2006/relationships/image" Target="media/image222.jpg"/><Relationship Id="rId758" Type="http://schemas.openxmlformats.org/officeDocument/2006/relationships/image" Target="media/image559.jpg"/><Relationship Id="rId965" Type="http://schemas.openxmlformats.org/officeDocument/2006/relationships/header" Target="header136.xml"/><Relationship Id="rId1150" Type="http://schemas.openxmlformats.org/officeDocument/2006/relationships/image" Target="media/image819.jpg"/><Relationship Id="rId1388" Type="http://schemas.openxmlformats.org/officeDocument/2006/relationships/image" Target="media/image967.jpg"/><Relationship Id="rId1595" Type="http://schemas.openxmlformats.org/officeDocument/2006/relationships/image" Target="media/image1096.jpg"/><Relationship Id="rId1609" Type="http://schemas.openxmlformats.org/officeDocument/2006/relationships/image" Target="media/image1104.jpg"/><Relationship Id="rId1816" Type="http://schemas.openxmlformats.org/officeDocument/2006/relationships/footer" Target="footer294.xml"/><Relationship Id="rId10" Type="http://schemas.openxmlformats.org/officeDocument/2006/relationships/image" Target="media/image9.jpg"/><Relationship Id="rId94" Type="http://schemas.openxmlformats.org/officeDocument/2006/relationships/image" Target="media/image63.jpg"/><Relationship Id="rId397" Type="http://schemas.openxmlformats.org/officeDocument/2006/relationships/footer" Target="footer52.xml"/><Relationship Id="rId520" Type="http://schemas.openxmlformats.org/officeDocument/2006/relationships/image" Target="media/image393.jpg"/><Relationship Id="rId618" Type="http://schemas.openxmlformats.org/officeDocument/2006/relationships/image" Target="media/image455.jpg"/><Relationship Id="rId825" Type="http://schemas.openxmlformats.org/officeDocument/2006/relationships/image" Target="media/image602.jpg"/><Relationship Id="rId1248" Type="http://schemas.openxmlformats.org/officeDocument/2006/relationships/image" Target="media/image881.jpg"/><Relationship Id="rId1455" Type="http://schemas.openxmlformats.org/officeDocument/2006/relationships/image" Target="media/image1010.jpg"/><Relationship Id="rId1662" Type="http://schemas.openxmlformats.org/officeDocument/2006/relationships/image" Target="media/image1139.jpg"/><Relationship Id="rId257" Type="http://schemas.openxmlformats.org/officeDocument/2006/relationships/image" Target="media/image172.jpg"/><Relationship Id="rId464" Type="http://schemas.openxmlformats.org/officeDocument/2006/relationships/image" Target="media/image343.jpg"/><Relationship Id="rId1010" Type="http://schemas.openxmlformats.org/officeDocument/2006/relationships/header" Target="header144.xml"/><Relationship Id="rId1094" Type="http://schemas.openxmlformats.org/officeDocument/2006/relationships/image" Target="media/image781.jpg"/><Relationship Id="rId1108" Type="http://schemas.openxmlformats.org/officeDocument/2006/relationships/image" Target="media/image789.jpg"/><Relationship Id="rId1315" Type="http://schemas.openxmlformats.org/officeDocument/2006/relationships/image" Target="media/image924.jpg"/><Relationship Id="rId117" Type="http://schemas.openxmlformats.org/officeDocument/2006/relationships/image" Target="media/image74.jpg"/><Relationship Id="rId671" Type="http://schemas.openxmlformats.org/officeDocument/2006/relationships/image" Target="media/image490.jpg"/><Relationship Id="rId769" Type="http://schemas.openxmlformats.org/officeDocument/2006/relationships/header" Target="header103.xml"/><Relationship Id="rId976" Type="http://schemas.openxmlformats.org/officeDocument/2006/relationships/image" Target="media/image699.jpg"/><Relationship Id="rId1399" Type="http://schemas.openxmlformats.org/officeDocument/2006/relationships/header" Target="header213.xml"/><Relationship Id="rId324" Type="http://schemas.openxmlformats.org/officeDocument/2006/relationships/image" Target="media/image233.jpg"/><Relationship Id="rId531" Type="http://schemas.openxmlformats.org/officeDocument/2006/relationships/image" Target="media/image404.jpg"/><Relationship Id="rId629" Type="http://schemas.openxmlformats.org/officeDocument/2006/relationships/header" Target="header82.xml"/><Relationship Id="rId1161" Type="http://schemas.openxmlformats.org/officeDocument/2006/relationships/image" Target="media/image824.jpg"/><Relationship Id="rId1259" Type="http://schemas.openxmlformats.org/officeDocument/2006/relationships/image" Target="media/image886.jpg"/><Relationship Id="rId1466" Type="http://schemas.openxmlformats.org/officeDocument/2006/relationships/footer" Target="footer225.xml"/><Relationship Id="rId836" Type="http://schemas.openxmlformats.org/officeDocument/2006/relationships/footer" Target="footer114.xml"/><Relationship Id="rId1021" Type="http://schemas.openxmlformats.org/officeDocument/2006/relationships/image" Target="media/image732.jpg"/><Relationship Id="rId1119" Type="http://schemas.openxmlformats.org/officeDocument/2006/relationships/header" Target="header162.xml"/><Relationship Id="rId1673" Type="http://schemas.openxmlformats.org/officeDocument/2006/relationships/image" Target="media/image1144.jpg"/><Relationship Id="rId1880" Type="http://schemas.openxmlformats.org/officeDocument/2006/relationships/header" Target="header310.xml"/><Relationship Id="rId903" Type="http://schemas.openxmlformats.org/officeDocument/2006/relationships/image" Target="media/image656.jpg"/><Relationship Id="rId1326" Type="http://schemas.openxmlformats.org/officeDocument/2006/relationships/image" Target="media/image929.jpg"/><Relationship Id="rId1533" Type="http://schemas.openxmlformats.org/officeDocument/2006/relationships/image" Target="media/image1064.jpg"/><Relationship Id="rId1740" Type="http://schemas.openxmlformats.org/officeDocument/2006/relationships/header" Target="header279.xml"/><Relationship Id="rId32" Type="http://schemas.openxmlformats.org/officeDocument/2006/relationships/image" Target="media/image25.jpg"/><Relationship Id="rId1600" Type="http://schemas.openxmlformats.org/officeDocument/2006/relationships/image" Target="media/image1101.jpg"/><Relationship Id="rId1838" Type="http://schemas.openxmlformats.org/officeDocument/2006/relationships/image" Target="media/image1243.jpg"/><Relationship Id="rId181" Type="http://schemas.openxmlformats.org/officeDocument/2006/relationships/footer" Target="footer39.xml"/><Relationship Id="rId279" Type="http://schemas.openxmlformats.org/officeDocument/2006/relationships/image" Target="media/image188.jpg"/><Relationship Id="rId486" Type="http://schemas.openxmlformats.org/officeDocument/2006/relationships/image" Target="media/image365.jpg"/><Relationship Id="rId693" Type="http://schemas.openxmlformats.org/officeDocument/2006/relationships/image" Target="media/image506.jpg"/><Relationship Id="rId139" Type="http://schemas.openxmlformats.org/officeDocument/2006/relationships/image" Target="media/image84.jpg"/><Relationship Id="rId346" Type="http://schemas.openxmlformats.org/officeDocument/2006/relationships/image" Target="media/image249.jpg"/><Relationship Id="rId553" Type="http://schemas.openxmlformats.org/officeDocument/2006/relationships/header" Target="header68.xml"/><Relationship Id="rId760" Type="http://schemas.openxmlformats.org/officeDocument/2006/relationships/header" Target="header101.xml"/><Relationship Id="rId998" Type="http://schemas.openxmlformats.org/officeDocument/2006/relationships/image" Target="media/image715.jpg"/><Relationship Id="rId1183" Type="http://schemas.openxmlformats.org/officeDocument/2006/relationships/image" Target="media/image840.jpg"/><Relationship Id="rId1390" Type="http://schemas.openxmlformats.org/officeDocument/2006/relationships/image" Target="media/image969.jpg"/><Relationship Id="rId206" Type="http://schemas.openxmlformats.org/officeDocument/2006/relationships/image" Target="media/image127.jpg"/><Relationship Id="rId413" Type="http://schemas.openxmlformats.org/officeDocument/2006/relationships/image" Target="media/image304.jpg"/><Relationship Id="rId858" Type="http://schemas.openxmlformats.org/officeDocument/2006/relationships/image" Target="media/image623.jpg"/><Relationship Id="rId1043" Type="http://schemas.openxmlformats.org/officeDocument/2006/relationships/header" Target="header148.xml"/><Relationship Id="rId1488" Type="http://schemas.openxmlformats.org/officeDocument/2006/relationships/image" Target="media/image1031.jpg"/><Relationship Id="rId1695" Type="http://schemas.openxmlformats.org/officeDocument/2006/relationships/image" Target="media/image1154.jpg"/><Relationship Id="rId620" Type="http://schemas.openxmlformats.org/officeDocument/2006/relationships/image" Target="media/image457.jpg"/><Relationship Id="rId718" Type="http://schemas.openxmlformats.org/officeDocument/2006/relationships/image" Target="media/image525.jpg"/><Relationship Id="rId925" Type="http://schemas.openxmlformats.org/officeDocument/2006/relationships/header" Target="header127.xml"/><Relationship Id="rId1250" Type="http://schemas.openxmlformats.org/officeDocument/2006/relationships/image" Target="media/image883.jpg"/><Relationship Id="rId1348" Type="http://schemas.openxmlformats.org/officeDocument/2006/relationships/footer" Target="footer204.xml"/><Relationship Id="rId1555" Type="http://schemas.openxmlformats.org/officeDocument/2006/relationships/image" Target="media/image1080.jpg"/><Relationship Id="rId1762" Type="http://schemas.openxmlformats.org/officeDocument/2006/relationships/image" Target="media/image1197.jpg"/><Relationship Id="rId1110" Type="http://schemas.openxmlformats.org/officeDocument/2006/relationships/image" Target="media/image791.jpg"/><Relationship Id="rId1208" Type="http://schemas.openxmlformats.org/officeDocument/2006/relationships/image" Target="media/image859.jpg"/><Relationship Id="rId1415" Type="http://schemas.openxmlformats.org/officeDocument/2006/relationships/image" Target="media/image982.jpg"/><Relationship Id="rId54" Type="http://schemas.openxmlformats.org/officeDocument/2006/relationships/footer" Target="footer8.xml"/><Relationship Id="rId1622" Type="http://schemas.openxmlformats.org/officeDocument/2006/relationships/image" Target="media/image1111.jpg"/><Relationship Id="rId270" Type="http://schemas.openxmlformats.org/officeDocument/2006/relationships/header" Target="header45.xml"/><Relationship Id="rId130" Type="http://schemas.openxmlformats.org/officeDocument/2006/relationships/header" Target="header25.xml"/><Relationship Id="rId368" Type="http://schemas.openxmlformats.org/officeDocument/2006/relationships/image" Target="media/image271.jpg"/><Relationship Id="rId575" Type="http://schemas.openxmlformats.org/officeDocument/2006/relationships/footer" Target="footer72.xml"/><Relationship Id="rId782" Type="http://schemas.openxmlformats.org/officeDocument/2006/relationships/image" Target="media/image571.jpg"/><Relationship Id="rId228" Type="http://schemas.openxmlformats.org/officeDocument/2006/relationships/image" Target="media/image149.jpg"/><Relationship Id="rId435" Type="http://schemas.openxmlformats.org/officeDocument/2006/relationships/image" Target="media/image326.jpg"/><Relationship Id="rId642" Type="http://schemas.openxmlformats.org/officeDocument/2006/relationships/image" Target="media/image473.jpg"/><Relationship Id="rId1065" Type="http://schemas.openxmlformats.org/officeDocument/2006/relationships/image" Target="media/image758.jpg"/><Relationship Id="rId1272" Type="http://schemas.openxmlformats.org/officeDocument/2006/relationships/image" Target="media/image893.jpg"/><Relationship Id="rId502" Type="http://schemas.openxmlformats.org/officeDocument/2006/relationships/image" Target="media/image381.jpg"/><Relationship Id="rId947" Type="http://schemas.openxmlformats.org/officeDocument/2006/relationships/image" Target="media/image682.jpg"/><Relationship Id="rId1132" Type="http://schemas.openxmlformats.org/officeDocument/2006/relationships/footer" Target="footer163.xml"/><Relationship Id="rId1577" Type="http://schemas.openxmlformats.org/officeDocument/2006/relationships/header" Target="header245.xml"/><Relationship Id="rId1784" Type="http://schemas.openxmlformats.org/officeDocument/2006/relationships/image" Target="media/image1213.jpg"/><Relationship Id="rId76" Type="http://schemas.openxmlformats.org/officeDocument/2006/relationships/image" Target="media/image51.jpg"/><Relationship Id="rId807" Type="http://schemas.openxmlformats.org/officeDocument/2006/relationships/image" Target="media/image590.jpg"/><Relationship Id="rId1437" Type="http://schemas.openxmlformats.org/officeDocument/2006/relationships/image" Target="media/image998.jpg"/><Relationship Id="rId1644" Type="http://schemas.openxmlformats.org/officeDocument/2006/relationships/image" Target="media/image1127.jpg"/><Relationship Id="rId1851" Type="http://schemas.openxmlformats.org/officeDocument/2006/relationships/footer" Target="footer301.xml"/><Relationship Id="rId1504" Type="http://schemas.openxmlformats.org/officeDocument/2006/relationships/image" Target="media/image1041.jpg"/><Relationship Id="rId1711" Type="http://schemas.openxmlformats.org/officeDocument/2006/relationships/header" Target="header275.xml"/><Relationship Id="rId292" Type="http://schemas.openxmlformats.org/officeDocument/2006/relationships/image" Target="media/image201.jpg"/><Relationship Id="rId1809" Type="http://schemas.openxmlformats.org/officeDocument/2006/relationships/image" Target="media/image1226.jpg"/><Relationship Id="rId597" Type="http://schemas.openxmlformats.org/officeDocument/2006/relationships/footer" Target="footer77.xml"/><Relationship Id="rId152" Type="http://schemas.openxmlformats.org/officeDocument/2006/relationships/image" Target="media/image91.jpg"/><Relationship Id="rId457" Type="http://schemas.openxmlformats.org/officeDocument/2006/relationships/image" Target="media/image336.jpg"/><Relationship Id="rId1087" Type="http://schemas.openxmlformats.org/officeDocument/2006/relationships/image" Target="media/image774.jpg"/><Relationship Id="rId1294" Type="http://schemas.openxmlformats.org/officeDocument/2006/relationships/header" Target="header194.xml"/><Relationship Id="rId664" Type="http://schemas.openxmlformats.org/officeDocument/2006/relationships/footer" Target="footer88.xml"/><Relationship Id="rId871" Type="http://schemas.openxmlformats.org/officeDocument/2006/relationships/image" Target="media/image630.jpg"/><Relationship Id="rId969" Type="http://schemas.openxmlformats.org/officeDocument/2006/relationships/header" Target="header138.xml"/><Relationship Id="rId1599" Type="http://schemas.openxmlformats.org/officeDocument/2006/relationships/image" Target="media/image1100.jpg"/><Relationship Id="rId317" Type="http://schemas.openxmlformats.org/officeDocument/2006/relationships/image" Target="media/image226.jpg"/><Relationship Id="rId524" Type="http://schemas.openxmlformats.org/officeDocument/2006/relationships/image" Target="media/image397.jpg"/><Relationship Id="rId731" Type="http://schemas.openxmlformats.org/officeDocument/2006/relationships/image" Target="media/image532.jpg"/><Relationship Id="rId1154" Type="http://schemas.openxmlformats.org/officeDocument/2006/relationships/header" Target="header167.xml"/><Relationship Id="rId1361" Type="http://schemas.openxmlformats.org/officeDocument/2006/relationships/image" Target="media/image952.jpg"/><Relationship Id="rId1459" Type="http://schemas.openxmlformats.org/officeDocument/2006/relationships/image" Target="media/image1014.jpg"/><Relationship Id="rId98" Type="http://schemas.openxmlformats.org/officeDocument/2006/relationships/footer" Target="footer17.xml"/><Relationship Id="rId829" Type="http://schemas.openxmlformats.org/officeDocument/2006/relationships/image" Target="media/image606.jpg"/><Relationship Id="rId1014" Type="http://schemas.openxmlformats.org/officeDocument/2006/relationships/image" Target="media/image725.jpg"/><Relationship Id="rId1221" Type="http://schemas.openxmlformats.org/officeDocument/2006/relationships/image" Target="media/image866.jpg"/><Relationship Id="rId1666" Type="http://schemas.openxmlformats.org/officeDocument/2006/relationships/footer" Target="footer263.xml"/><Relationship Id="rId1873" Type="http://schemas.openxmlformats.org/officeDocument/2006/relationships/header" Target="header307.xml"/><Relationship Id="rId1319" Type="http://schemas.openxmlformats.org/officeDocument/2006/relationships/footer" Target="footer197.xml"/><Relationship Id="rId1526" Type="http://schemas.openxmlformats.org/officeDocument/2006/relationships/image" Target="media/image1057.jpg"/><Relationship Id="rId1733" Type="http://schemas.openxmlformats.org/officeDocument/2006/relationships/image" Target="media/image1180.jpg"/><Relationship Id="rId25" Type="http://schemas.openxmlformats.org/officeDocument/2006/relationships/image" Target="media/image18.jpg"/><Relationship Id="rId1800" Type="http://schemas.openxmlformats.org/officeDocument/2006/relationships/header" Target="header290.xml"/><Relationship Id="rId174" Type="http://schemas.openxmlformats.org/officeDocument/2006/relationships/image" Target="media/image101.jpg"/><Relationship Id="rId381" Type="http://schemas.openxmlformats.org/officeDocument/2006/relationships/image" Target="media/image278.jpeg"/><Relationship Id="rId241" Type="http://schemas.openxmlformats.org/officeDocument/2006/relationships/image" Target="media/image162.jpg"/><Relationship Id="rId479" Type="http://schemas.openxmlformats.org/officeDocument/2006/relationships/image" Target="media/image358.jpg"/><Relationship Id="rId686" Type="http://schemas.openxmlformats.org/officeDocument/2006/relationships/image" Target="media/image499.jpg"/><Relationship Id="rId893" Type="http://schemas.openxmlformats.org/officeDocument/2006/relationships/image" Target="media/image646.jpg"/><Relationship Id="rId339" Type="http://schemas.openxmlformats.org/officeDocument/2006/relationships/image" Target="media/image242.jpg"/><Relationship Id="rId546" Type="http://schemas.openxmlformats.org/officeDocument/2006/relationships/image" Target="media/image413.jpg"/><Relationship Id="rId753" Type="http://schemas.openxmlformats.org/officeDocument/2006/relationships/image" Target="media/image554.jpg"/><Relationship Id="rId1176" Type="http://schemas.openxmlformats.org/officeDocument/2006/relationships/footer" Target="footer170.xml"/><Relationship Id="rId1383" Type="http://schemas.openxmlformats.org/officeDocument/2006/relationships/header" Target="header209.xml"/><Relationship Id="rId101" Type="http://schemas.openxmlformats.org/officeDocument/2006/relationships/image" Target="media/image64.jpg"/><Relationship Id="rId406" Type="http://schemas.openxmlformats.org/officeDocument/2006/relationships/image" Target="media/image297.jpg"/><Relationship Id="rId960" Type="http://schemas.openxmlformats.org/officeDocument/2006/relationships/image" Target="media/image689.jpg"/><Relationship Id="rId1036" Type="http://schemas.openxmlformats.org/officeDocument/2006/relationships/image" Target="media/image741.jpg"/><Relationship Id="rId1243" Type="http://schemas.openxmlformats.org/officeDocument/2006/relationships/image" Target="media/image876.jpg"/><Relationship Id="rId1590" Type="http://schemas.openxmlformats.org/officeDocument/2006/relationships/footer" Target="footer248.xml"/><Relationship Id="rId1688" Type="http://schemas.openxmlformats.org/officeDocument/2006/relationships/header" Target="header269.xml"/><Relationship Id="rId613" Type="http://schemas.openxmlformats.org/officeDocument/2006/relationships/footer" Target="footer80.xml"/><Relationship Id="rId820" Type="http://schemas.openxmlformats.org/officeDocument/2006/relationships/image" Target="media/image597.jpg"/><Relationship Id="rId918" Type="http://schemas.openxmlformats.org/officeDocument/2006/relationships/image" Target="media/image665.jpg"/><Relationship Id="rId1450" Type="http://schemas.openxmlformats.org/officeDocument/2006/relationships/image" Target="media/image1005.jpg"/><Relationship Id="rId1548" Type="http://schemas.openxmlformats.org/officeDocument/2006/relationships/image" Target="media/image1073.jpg"/><Relationship Id="rId1755" Type="http://schemas.openxmlformats.org/officeDocument/2006/relationships/header" Target="header280.xml"/><Relationship Id="rId1103" Type="http://schemas.openxmlformats.org/officeDocument/2006/relationships/header" Target="header158.xml"/><Relationship Id="rId1310" Type="http://schemas.openxmlformats.org/officeDocument/2006/relationships/image" Target="media/image919.jpg"/><Relationship Id="rId1408" Type="http://schemas.openxmlformats.org/officeDocument/2006/relationships/image" Target="media/image981.jpg"/><Relationship Id="rId47" Type="http://schemas.openxmlformats.org/officeDocument/2006/relationships/image" Target="media/image34.jpg"/><Relationship Id="rId1615" Type="http://schemas.openxmlformats.org/officeDocument/2006/relationships/image" Target="media/image1110.jpg"/><Relationship Id="rId1822" Type="http://schemas.openxmlformats.org/officeDocument/2006/relationships/image" Target="media/image1233.jpg"/><Relationship Id="rId196" Type="http://schemas.openxmlformats.org/officeDocument/2006/relationships/image" Target="media/image117.jpg"/><Relationship Id="rId263" Type="http://schemas.openxmlformats.org/officeDocument/2006/relationships/image" Target="media/image178.jpg"/><Relationship Id="rId470" Type="http://schemas.openxmlformats.org/officeDocument/2006/relationships/image" Target="media/image349.jpg"/><Relationship Id="rId123" Type="http://schemas.openxmlformats.org/officeDocument/2006/relationships/header" Target="header24.xml"/><Relationship Id="rId330" Type="http://schemas.openxmlformats.org/officeDocument/2006/relationships/image" Target="media/image239.jpg"/><Relationship Id="rId568" Type="http://schemas.openxmlformats.org/officeDocument/2006/relationships/image" Target="media/image429.jpeg"/><Relationship Id="rId775" Type="http://schemas.openxmlformats.org/officeDocument/2006/relationships/image" Target="media/image564.jpg"/><Relationship Id="rId982" Type="http://schemas.openxmlformats.org/officeDocument/2006/relationships/image" Target="media/image705.jpg"/><Relationship Id="rId1198" Type="http://schemas.openxmlformats.org/officeDocument/2006/relationships/footer" Target="footer173.xml"/><Relationship Id="rId428" Type="http://schemas.openxmlformats.org/officeDocument/2006/relationships/image" Target="media/image319.jpg"/><Relationship Id="rId635" Type="http://schemas.openxmlformats.org/officeDocument/2006/relationships/image" Target="media/image466.jpg"/><Relationship Id="rId842" Type="http://schemas.openxmlformats.org/officeDocument/2006/relationships/image" Target="media/image613.jpg"/><Relationship Id="rId1058" Type="http://schemas.openxmlformats.org/officeDocument/2006/relationships/image" Target="media/image757.jpg"/><Relationship Id="rId1265" Type="http://schemas.openxmlformats.org/officeDocument/2006/relationships/header" Target="header187.xml"/><Relationship Id="rId1472" Type="http://schemas.openxmlformats.org/officeDocument/2006/relationships/image" Target="media/image1021.jpg"/><Relationship Id="rId702" Type="http://schemas.openxmlformats.org/officeDocument/2006/relationships/image" Target="media/image515.jpg"/><Relationship Id="rId1125" Type="http://schemas.openxmlformats.org/officeDocument/2006/relationships/image" Target="media/image800.jpg"/><Relationship Id="rId1332" Type="http://schemas.openxmlformats.org/officeDocument/2006/relationships/footer" Target="footer200.xml"/><Relationship Id="rId1777" Type="http://schemas.openxmlformats.org/officeDocument/2006/relationships/footer" Target="footer283.xml"/><Relationship Id="rId69" Type="http://schemas.openxmlformats.org/officeDocument/2006/relationships/footer" Target="footer11.xml"/><Relationship Id="rId1637" Type="http://schemas.openxmlformats.org/officeDocument/2006/relationships/image" Target="media/image1120.jpg"/><Relationship Id="rId1844" Type="http://schemas.openxmlformats.org/officeDocument/2006/relationships/footer" Target="footer300.xml"/><Relationship Id="rId1704" Type="http://schemas.openxmlformats.org/officeDocument/2006/relationships/image" Target="media/image1157.jpg"/><Relationship Id="rId285" Type="http://schemas.openxmlformats.org/officeDocument/2006/relationships/image" Target="media/image194.jpg"/><Relationship Id="rId492" Type="http://schemas.openxmlformats.org/officeDocument/2006/relationships/image" Target="media/image371.jpg"/><Relationship Id="rId797" Type="http://schemas.openxmlformats.org/officeDocument/2006/relationships/image" Target="media/image580.jpg"/><Relationship Id="rId145" Type="http://schemas.openxmlformats.org/officeDocument/2006/relationships/header" Target="header30.xml"/><Relationship Id="rId352" Type="http://schemas.openxmlformats.org/officeDocument/2006/relationships/image" Target="media/image255.jpg"/><Relationship Id="rId1287" Type="http://schemas.openxmlformats.org/officeDocument/2006/relationships/footer" Target="footer190.xml"/><Relationship Id="rId212" Type="http://schemas.openxmlformats.org/officeDocument/2006/relationships/image" Target="media/image133.jpg"/><Relationship Id="rId657" Type="http://schemas.openxmlformats.org/officeDocument/2006/relationships/image" Target="media/image482.jpg"/><Relationship Id="rId864" Type="http://schemas.openxmlformats.org/officeDocument/2006/relationships/footer" Target="footer119.xml"/><Relationship Id="rId1494" Type="http://schemas.openxmlformats.org/officeDocument/2006/relationships/image" Target="media/image1037.jpeg"/><Relationship Id="rId1799" Type="http://schemas.openxmlformats.org/officeDocument/2006/relationships/header" Target="header289.xml"/><Relationship Id="rId517" Type="http://schemas.openxmlformats.org/officeDocument/2006/relationships/image" Target="media/image390.jpg"/><Relationship Id="rId724" Type="http://schemas.openxmlformats.org/officeDocument/2006/relationships/header" Target="header97.xml"/><Relationship Id="rId931" Type="http://schemas.openxmlformats.org/officeDocument/2006/relationships/image" Target="media/image672.jpg"/><Relationship Id="rId1147" Type="http://schemas.openxmlformats.org/officeDocument/2006/relationships/image" Target="media/image816.jpg"/><Relationship Id="rId1354" Type="http://schemas.openxmlformats.org/officeDocument/2006/relationships/image" Target="media/image945.jpg"/><Relationship Id="rId1561" Type="http://schemas.openxmlformats.org/officeDocument/2006/relationships/header" Target="header240.xml"/><Relationship Id="rId60" Type="http://schemas.openxmlformats.org/officeDocument/2006/relationships/image" Target="media/image41.jpg"/><Relationship Id="rId1007" Type="http://schemas.openxmlformats.org/officeDocument/2006/relationships/header" Target="header143.xml"/><Relationship Id="rId1214" Type="http://schemas.openxmlformats.org/officeDocument/2006/relationships/header" Target="header177.xml"/><Relationship Id="rId1421" Type="http://schemas.openxmlformats.org/officeDocument/2006/relationships/header" Target="header217.xml"/><Relationship Id="rId1659" Type="http://schemas.openxmlformats.org/officeDocument/2006/relationships/image" Target="media/image1136.jpg"/><Relationship Id="rId1866" Type="http://schemas.openxmlformats.org/officeDocument/2006/relationships/header" Target="header306.xml"/><Relationship Id="rId1519" Type="http://schemas.openxmlformats.org/officeDocument/2006/relationships/image" Target="media/image1050.jpg"/><Relationship Id="rId1726" Type="http://schemas.openxmlformats.org/officeDocument/2006/relationships/image" Target="media/image1173.jpg"/><Relationship Id="rId18" Type="http://schemas.openxmlformats.org/officeDocument/2006/relationships/image" Target="media/image11.jpg"/><Relationship Id="rId167" Type="http://schemas.openxmlformats.org/officeDocument/2006/relationships/header" Target="header34.xml"/><Relationship Id="rId374" Type="http://schemas.openxmlformats.org/officeDocument/2006/relationships/footer" Target="footer51.xml"/><Relationship Id="rId581" Type="http://schemas.openxmlformats.org/officeDocument/2006/relationships/image" Target="media/image436.jpg"/><Relationship Id="rId234" Type="http://schemas.openxmlformats.org/officeDocument/2006/relationships/image" Target="media/image155.jpg"/><Relationship Id="rId679" Type="http://schemas.openxmlformats.org/officeDocument/2006/relationships/footer" Target="footer91.xml"/><Relationship Id="rId886" Type="http://schemas.openxmlformats.org/officeDocument/2006/relationships/footer" Target="footer123.xml"/><Relationship Id="rId2" Type="http://schemas.openxmlformats.org/officeDocument/2006/relationships/styles" Target="styles.xml"/><Relationship Id="rId441" Type="http://schemas.openxmlformats.org/officeDocument/2006/relationships/footer" Target="footer57.xml"/><Relationship Id="rId539" Type="http://schemas.openxmlformats.org/officeDocument/2006/relationships/footer" Target="footer66.xml"/><Relationship Id="rId746" Type="http://schemas.openxmlformats.org/officeDocument/2006/relationships/image" Target="media/image547.jpg"/><Relationship Id="rId1071" Type="http://schemas.openxmlformats.org/officeDocument/2006/relationships/image" Target="media/image764.jpg"/><Relationship Id="rId1169" Type="http://schemas.openxmlformats.org/officeDocument/2006/relationships/image" Target="media/image832.jpg"/><Relationship Id="rId1376" Type="http://schemas.openxmlformats.org/officeDocument/2006/relationships/image" Target="media/image961.jpg"/><Relationship Id="rId1583" Type="http://schemas.openxmlformats.org/officeDocument/2006/relationships/image" Target="media/image1090.jpeg"/><Relationship Id="rId301" Type="http://schemas.openxmlformats.org/officeDocument/2006/relationships/image" Target="media/image210.jpg"/><Relationship Id="rId953" Type="http://schemas.openxmlformats.org/officeDocument/2006/relationships/footer" Target="footer134.xml"/><Relationship Id="rId1029" Type="http://schemas.openxmlformats.org/officeDocument/2006/relationships/footer" Target="footer145.xml"/><Relationship Id="rId1236" Type="http://schemas.openxmlformats.org/officeDocument/2006/relationships/footer" Target="footer182.xml"/><Relationship Id="rId1790" Type="http://schemas.openxmlformats.org/officeDocument/2006/relationships/header" Target="header286.xml"/><Relationship Id="rId1888" Type="http://schemas.openxmlformats.org/officeDocument/2006/relationships/image" Target="media/image1263.jpg"/><Relationship Id="rId82" Type="http://schemas.openxmlformats.org/officeDocument/2006/relationships/footer" Target="footer14.xml"/><Relationship Id="rId606" Type="http://schemas.openxmlformats.org/officeDocument/2006/relationships/image" Target="media/image449.jpg"/><Relationship Id="rId813" Type="http://schemas.openxmlformats.org/officeDocument/2006/relationships/footer" Target="footer109.xml"/><Relationship Id="rId1443" Type="http://schemas.openxmlformats.org/officeDocument/2006/relationships/header" Target="header221.xml"/><Relationship Id="rId1650" Type="http://schemas.openxmlformats.org/officeDocument/2006/relationships/image" Target="media/image1133.jpg"/><Relationship Id="rId1748" Type="http://schemas.openxmlformats.org/officeDocument/2006/relationships/image" Target="media/image1189.jpg"/><Relationship Id="rId1303" Type="http://schemas.openxmlformats.org/officeDocument/2006/relationships/image" Target="media/image912.jpg"/><Relationship Id="rId1510" Type="http://schemas.openxmlformats.org/officeDocument/2006/relationships/header" Target="header234.xml"/><Relationship Id="rId1608" Type="http://schemas.openxmlformats.org/officeDocument/2006/relationships/footer" Target="footer252.xml"/><Relationship Id="rId1815" Type="http://schemas.openxmlformats.org/officeDocument/2006/relationships/header" Target="header294.xml"/><Relationship Id="rId189" Type="http://schemas.openxmlformats.org/officeDocument/2006/relationships/image" Target="media/image110.jpg"/><Relationship Id="rId396" Type="http://schemas.openxmlformats.org/officeDocument/2006/relationships/header" Target="header53.xml"/><Relationship Id="rId256" Type="http://schemas.openxmlformats.org/officeDocument/2006/relationships/footer" Target="footer42.xml"/><Relationship Id="rId463" Type="http://schemas.openxmlformats.org/officeDocument/2006/relationships/image" Target="media/image342.jpg"/><Relationship Id="rId670" Type="http://schemas.openxmlformats.org/officeDocument/2006/relationships/image" Target="media/image489.jpg"/><Relationship Id="rId1093" Type="http://schemas.openxmlformats.org/officeDocument/2006/relationships/image" Target="media/image780.jpg"/><Relationship Id="rId116" Type="http://schemas.openxmlformats.org/officeDocument/2006/relationships/image" Target="media/image73.jpg"/><Relationship Id="rId323" Type="http://schemas.openxmlformats.org/officeDocument/2006/relationships/image" Target="media/image232.jpg"/><Relationship Id="rId530" Type="http://schemas.openxmlformats.org/officeDocument/2006/relationships/image" Target="media/image403.jpg"/><Relationship Id="rId768" Type="http://schemas.openxmlformats.org/officeDocument/2006/relationships/image" Target="media/image563.jpg"/><Relationship Id="rId975" Type="http://schemas.openxmlformats.org/officeDocument/2006/relationships/image" Target="media/image698.jpg"/><Relationship Id="rId1160" Type="http://schemas.openxmlformats.org/officeDocument/2006/relationships/image" Target="media/image823.jpg"/><Relationship Id="rId1398" Type="http://schemas.openxmlformats.org/officeDocument/2006/relationships/footer" Target="footer212.xml"/><Relationship Id="rId628" Type="http://schemas.openxmlformats.org/officeDocument/2006/relationships/image" Target="media/image465.jpg"/><Relationship Id="rId835" Type="http://schemas.openxmlformats.org/officeDocument/2006/relationships/header" Target="header114.xml"/><Relationship Id="rId1258" Type="http://schemas.openxmlformats.org/officeDocument/2006/relationships/image" Target="media/image885.jpg"/><Relationship Id="rId1465" Type="http://schemas.openxmlformats.org/officeDocument/2006/relationships/header" Target="header225.xml"/><Relationship Id="rId1672" Type="http://schemas.openxmlformats.org/officeDocument/2006/relationships/image" Target="media/image1143.jpg"/><Relationship Id="rId1020" Type="http://schemas.openxmlformats.org/officeDocument/2006/relationships/image" Target="media/image731.jpg"/><Relationship Id="rId1118" Type="http://schemas.openxmlformats.org/officeDocument/2006/relationships/footer" Target="footer161.xml"/><Relationship Id="rId1325" Type="http://schemas.openxmlformats.org/officeDocument/2006/relationships/image" Target="media/image928.jpg"/><Relationship Id="rId1532" Type="http://schemas.openxmlformats.org/officeDocument/2006/relationships/image" Target="media/image1063.jpg"/><Relationship Id="rId902" Type="http://schemas.openxmlformats.org/officeDocument/2006/relationships/image" Target="media/image655.jpg"/><Relationship Id="rId1837" Type="http://schemas.openxmlformats.org/officeDocument/2006/relationships/image" Target="media/image1242.jpg"/><Relationship Id="rId31" Type="http://schemas.openxmlformats.org/officeDocument/2006/relationships/image" Target="media/image24.jpg"/><Relationship Id="rId180" Type="http://schemas.openxmlformats.org/officeDocument/2006/relationships/header" Target="header39.xml"/><Relationship Id="rId278" Type="http://schemas.openxmlformats.org/officeDocument/2006/relationships/image" Target="media/image187.jpg"/><Relationship Id="rId485" Type="http://schemas.openxmlformats.org/officeDocument/2006/relationships/image" Target="media/image364.jpg"/><Relationship Id="rId692" Type="http://schemas.openxmlformats.org/officeDocument/2006/relationships/image" Target="media/image505.jpg"/><Relationship Id="rId138" Type="http://schemas.openxmlformats.org/officeDocument/2006/relationships/image" Target="media/image83.jpg"/><Relationship Id="rId345" Type="http://schemas.openxmlformats.org/officeDocument/2006/relationships/image" Target="media/image248.jpg"/><Relationship Id="rId552" Type="http://schemas.openxmlformats.org/officeDocument/2006/relationships/header" Target="header67.xml"/><Relationship Id="rId997" Type="http://schemas.openxmlformats.org/officeDocument/2006/relationships/footer" Target="footer141.xml"/><Relationship Id="rId1182" Type="http://schemas.openxmlformats.org/officeDocument/2006/relationships/image" Target="media/image839.jpg"/><Relationship Id="rId205" Type="http://schemas.openxmlformats.org/officeDocument/2006/relationships/image" Target="media/image126.jpg"/><Relationship Id="rId412" Type="http://schemas.openxmlformats.org/officeDocument/2006/relationships/image" Target="media/image303.jpg"/><Relationship Id="rId857" Type="http://schemas.openxmlformats.org/officeDocument/2006/relationships/image" Target="media/image622.jpg"/><Relationship Id="rId1042" Type="http://schemas.openxmlformats.org/officeDocument/2006/relationships/image" Target="media/image747.jpg"/><Relationship Id="rId1487" Type="http://schemas.openxmlformats.org/officeDocument/2006/relationships/image" Target="media/image1030.jpg"/><Relationship Id="rId1694" Type="http://schemas.openxmlformats.org/officeDocument/2006/relationships/image" Target="media/image1153.jpg"/><Relationship Id="rId717" Type="http://schemas.openxmlformats.org/officeDocument/2006/relationships/image" Target="media/image524.jpg"/><Relationship Id="rId924" Type="http://schemas.openxmlformats.org/officeDocument/2006/relationships/image" Target="media/image671.jpg"/><Relationship Id="rId1347" Type="http://schemas.openxmlformats.org/officeDocument/2006/relationships/header" Target="header204.xml"/><Relationship Id="rId1554" Type="http://schemas.openxmlformats.org/officeDocument/2006/relationships/image" Target="media/image1079.jpg"/><Relationship Id="rId1761" Type="http://schemas.openxmlformats.org/officeDocument/2006/relationships/image" Target="media/image1196.jpg"/><Relationship Id="rId53" Type="http://schemas.openxmlformats.org/officeDocument/2006/relationships/footer" Target="footer7.xml"/><Relationship Id="rId1207" Type="http://schemas.openxmlformats.org/officeDocument/2006/relationships/image" Target="media/image858.jpg"/><Relationship Id="rId1414" Type="http://schemas.openxmlformats.org/officeDocument/2006/relationships/footer" Target="footer216.xml"/><Relationship Id="rId1621" Type="http://schemas.openxmlformats.org/officeDocument/2006/relationships/footer" Target="footer255.xml"/><Relationship Id="rId1859" Type="http://schemas.openxmlformats.org/officeDocument/2006/relationships/image" Target="media/image1252.jpg"/><Relationship Id="rId1719" Type="http://schemas.openxmlformats.org/officeDocument/2006/relationships/image" Target="media/image1166.jpg"/><Relationship Id="rId367" Type="http://schemas.openxmlformats.org/officeDocument/2006/relationships/image" Target="media/image270.jpg"/><Relationship Id="rId574" Type="http://schemas.openxmlformats.org/officeDocument/2006/relationships/header" Target="header72.xml"/><Relationship Id="rId227" Type="http://schemas.openxmlformats.org/officeDocument/2006/relationships/image" Target="media/image148.jpg"/><Relationship Id="rId781" Type="http://schemas.openxmlformats.org/officeDocument/2006/relationships/image" Target="media/image570.jpg"/><Relationship Id="rId879" Type="http://schemas.openxmlformats.org/officeDocument/2006/relationships/image" Target="media/image638.jpg"/><Relationship Id="rId434" Type="http://schemas.openxmlformats.org/officeDocument/2006/relationships/image" Target="media/image325.jpg"/><Relationship Id="rId641" Type="http://schemas.openxmlformats.org/officeDocument/2006/relationships/image" Target="media/image472.jpg"/><Relationship Id="rId739" Type="http://schemas.openxmlformats.org/officeDocument/2006/relationships/image" Target="media/image540.jpg"/><Relationship Id="rId1064" Type="http://schemas.openxmlformats.org/officeDocument/2006/relationships/footer" Target="footer153.xml"/><Relationship Id="rId1271" Type="http://schemas.openxmlformats.org/officeDocument/2006/relationships/image" Target="media/image892.jpg"/><Relationship Id="rId1369" Type="http://schemas.openxmlformats.org/officeDocument/2006/relationships/header" Target="header207.xml"/><Relationship Id="rId1576" Type="http://schemas.openxmlformats.org/officeDocument/2006/relationships/header" Target="header244.xml"/><Relationship Id="rId501" Type="http://schemas.openxmlformats.org/officeDocument/2006/relationships/image" Target="media/image380.jpg"/><Relationship Id="rId946" Type="http://schemas.openxmlformats.org/officeDocument/2006/relationships/image" Target="media/image681.jpg"/><Relationship Id="rId1131" Type="http://schemas.openxmlformats.org/officeDocument/2006/relationships/header" Target="header164.xml"/><Relationship Id="rId1229" Type="http://schemas.openxmlformats.org/officeDocument/2006/relationships/image" Target="media/image868.jpg"/><Relationship Id="rId1783" Type="http://schemas.openxmlformats.org/officeDocument/2006/relationships/image" Target="media/image1212.jpg"/><Relationship Id="rId75" Type="http://schemas.openxmlformats.org/officeDocument/2006/relationships/image" Target="media/image50.jpg"/><Relationship Id="rId806" Type="http://schemas.openxmlformats.org/officeDocument/2006/relationships/image" Target="media/image589.jpg"/><Relationship Id="rId1436" Type="http://schemas.openxmlformats.org/officeDocument/2006/relationships/image" Target="media/image997.jpg"/><Relationship Id="rId1643" Type="http://schemas.openxmlformats.org/officeDocument/2006/relationships/image" Target="media/image1126.jpg"/><Relationship Id="rId1850" Type="http://schemas.openxmlformats.org/officeDocument/2006/relationships/header" Target="header302.xml"/><Relationship Id="rId1503" Type="http://schemas.openxmlformats.org/officeDocument/2006/relationships/image" Target="media/image1040.jpg"/><Relationship Id="rId1710" Type="http://schemas.openxmlformats.org/officeDocument/2006/relationships/header" Target="header274.xml"/><Relationship Id="rId291" Type="http://schemas.openxmlformats.org/officeDocument/2006/relationships/image" Target="media/image200.jpg"/><Relationship Id="rId1808" Type="http://schemas.openxmlformats.org/officeDocument/2006/relationships/image" Target="media/image1225.jpg"/><Relationship Id="rId151" Type="http://schemas.openxmlformats.org/officeDocument/2006/relationships/image" Target="media/image90.jpg"/><Relationship Id="rId389" Type="http://schemas.openxmlformats.org/officeDocument/2006/relationships/image" Target="media/image286.jpg"/><Relationship Id="rId596" Type="http://schemas.openxmlformats.org/officeDocument/2006/relationships/footer" Target="footer76.xml"/><Relationship Id="rId249" Type="http://schemas.openxmlformats.org/officeDocument/2006/relationships/image" Target="media/image170.jpg"/><Relationship Id="rId456" Type="http://schemas.openxmlformats.org/officeDocument/2006/relationships/image" Target="media/image335.jpg"/><Relationship Id="rId663" Type="http://schemas.openxmlformats.org/officeDocument/2006/relationships/header" Target="header89.xml"/><Relationship Id="rId870" Type="http://schemas.openxmlformats.org/officeDocument/2006/relationships/image" Target="media/image629.jpg"/><Relationship Id="rId1086" Type="http://schemas.openxmlformats.org/officeDocument/2006/relationships/footer" Target="footer156.xml"/><Relationship Id="rId1293" Type="http://schemas.openxmlformats.org/officeDocument/2006/relationships/header" Target="header193.xml"/><Relationship Id="rId109" Type="http://schemas.openxmlformats.org/officeDocument/2006/relationships/footer" Target="footer20.xml"/><Relationship Id="rId316" Type="http://schemas.openxmlformats.org/officeDocument/2006/relationships/image" Target="media/image225.jpg"/><Relationship Id="rId523" Type="http://schemas.openxmlformats.org/officeDocument/2006/relationships/image" Target="media/image396.jpg"/><Relationship Id="rId968" Type="http://schemas.openxmlformats.org/officeDocument/2006/relationships/footer" Target="footer137.xml"/><Relationship Id="rId1153" Type="http://schemas.openxmlformats.org/officeDocument/2006/relationships/header" Target="header166.xml"/><Relationship Id="rId1598" Type="http://schemas.openxmlformats.org/officeDocument/2006/relationships/image" Target="media/image1099.jpg"/><Relationship Id="rId97" Type="http://schemas.openxmlformats.org/officeDocument/2006/relationships/footer" Target="footer16.xml"/><Relationship Id="rId730" Type="http://schemas.openxmlformats.org/officeDocument/2006/relationships/image" Target="media/image531.jpg"/><Relationship Id="rId828" Type="http://schemas.openxmlformats.org/officeDocument/2006/relationships/image" Target="media/image605.jpg"/><Relationship Id="rId1013" Type="http://schemas.openxmlformats.org/officeDocument/2006/relationships/image" Target="media/image724.jpg"/><Relationship Id="rId1360" Type="http://schemas.openxmlformats.org/officeDocument/2006/relationships/image" Target="media/image951.jpg"/><Relationship Id="rId1458" Type="http://schemas.openxmlformats.org/officeDocument/2006/relationships/image" Target="media/image1013.jpg"/><Relationship Id="rId1665" Type="http://schemas.openxmlformats.org/officeDocument/2006/relationships/footer" Target="footer262.xml"/><Relationship Id="rId1872" Type="http://schemas.openxmlformats.org/officeDocument/2006/relationships/image" Target="media/image1259.jpg"/><Relationship Id="rId1220" Type="http://schemas.openxmlformats.org/officeDocument/2006/relationships/image" Target="media/image865.jpg"/><Relationship Id="rId1318" Type="http://schemas.openxmlformats.org/officeDocument/2006/relationships/footer" Target="footer196.xml"/><Relationship Id="rId1525" Type="http://schemas.openxmlformats.org/officeDocument/2006/relationships/image" Target="media/image1056.jpg"/><Relationship Id="rId1732" Type="http://schemas.openxmlformats.org/officeDocument/2006/relationships/image" Target="media/image1179.jpg"/><Relationship Id="rId24" Type="http://schemas.openxmlformats.org/officeDocument/2006/relationships/image" Target="media/image17.jpg"/><Relationship Id="rId173" Type="http://schemas.openxmlformats.org/officeDocument/2006/relationships/image" Target="media/image100.jpg"/><Relationship Id="rId380" Type="http://schemas.openxmlformats.org/officeDocument/2006/relationships/image" Target="media/image277.jpg"/><Relationship Id="rId240" Type="http://schemas.openxmlformats.org/officeDocument/2006/relationships/image" Target="media/image161.jpg"/><Relationship Id="rId478" Type="http://schemas.openxmlformats.org/officeDocument/2006/relationships/image" Target="media/image357.jpg"/><Relationship Id="rId685" Type="http://schemas.openxmlformats.org/officeDocument/2006/relationships/image" Target="media/image498.jpg"/><Relationship Id="rId892" Type="http://schemas.openxmlformats.org/officeDocument/2006/relationships/image" Target="media/image645.jpg"/><Relationship Id="rId100" Type="http://schemas.openxmlformats.org/officeDocument/2006/relationships/footer" Target="footer18.xml"/><Relationship Id="rId338" Type="http://schemas.openxmlformats.org/officeDocument/2006/relationships/footer" Target="footer48.xml"/><Relationship Id="rId545" Type="http://schemas.openxmlformats.org/officeDocument/2006/relationships/image" Target="media/image412.jpeg"/><Relationship Id="rId752" Type="http://schemas.openxmlformats.org/officeDocument/2006/relationships/image" Target="media/image553.jpg"/><Relationship Id="rId1175" Type="http://schemas.openxmlformats.org/officeDocument/2006/relationships/footer" Target="footer169.xml"/><Relationship Id="rId1382" Type="http://schemas.openxmlformats.org/officeDocument/2006/relationships/header" Target="header208.xml"/><Relationship Id="rId405" Type="http://schemas.openxmlformats.org/officeDocument/2006/relationships/image" Target="media/image296.jpg"/><Relationship Id="rId612" Type="http://schemas.openxmlformats.org/officeDocument/2006/relationships/footer" Target="footer79.xml"/><Relationship Id="rId1035" Type="http://schemas.openxmlformats.org/officeDocument/2006/relationships/image" Target="media/image740.jpg"/><Relationship Id="rId1242" Type="http://schemas.openxmlformats.org/officeDocument/2006/relationships/image" Target="media/image875.jpg"/><Relationship Id="rId1687" Type="http://schemas.openxmlformats.org/officeDocument/2006/relationships/header" Target="header268.xml"/><Relationship Id="rId917" Type="http://schemas.openxmlformats.org/officeDocument/2006/relationships/image" Target="media/image664.jpg"/><Relationship Id="rId1102" Type="http://schemas.openxmlformats.org/officeDocument/2006/relationships/header" Target="header157.xml"/><Relationship Id="rId1547" Type="http://schemas.openxmlformats.org/officeDocument/2006/relationships/image" Target="media/image1072.jpg"/><Relationship Id="rId1754" Type="http://schemas.openxmlformats.org/officeDocument/2006/relationships/image" Target="media/image1195.jpg"/><Relationship Id="rId46" Type="http://schemas.openxmlformats.org/officeDocument/2006/relationships/image" Target="media/image33.jpg"/><Relationship Id="rId1407" Type="http://schemas.openxmlformats.org/officeDocument/2006/relationships/image" Target="media/image980.jpg"/><Relationship Id="rId1614" Type="http://schemas.openxmlformats.org/officeDocument/2006/relationships/image" Target="media/image1109.jpg"/><Relationship Id="rId1821" Type="http://schemas.openxmlformats.org/officeDocument/2006/relationships/image" Target="media/image1232.jpg"/><Relationship Id="rId195" Type="http://schemas.openxmlformats.org/officeDocument/2006/relationships/image" Target="media/image116.jpg"/><Relationship Id="rId262" Type="http://schemas.openxmlformats.org/officeDocument/2006/relationships/image" Target="media/image177.jpg"/><Relationship Id="rId567" Type="http://schemas.openxmlformats.org/officeDocument/2006/relationships/image" Target="media/image428.jpg"/><Relationship Id="rId1197" Type="http://schemas.openxmlformats.org/officeDocument/2006/relationships/footer" Target="footer172.xml"/><Relationship Id="rId122" Type="http://schemas.openxmlformats.org/officeDocument/2006/relationships/footer" Target="footer23.xml"/><Relationship Id="rId774" Type="http://schemas.openxmlformats.org/officeDocument/2006/relationships/footer" Target="footer105.xml"/><Relationship Id="rId981" Type="http://schemas.openxmlformats.org/officeDocument/2006/relationships/image" Target="media/image704.jpg"/><Relationship Id="rId1057" Type="http://schemas.openxmlformats.org/officeDocument/2006/relationships/image" Target="media/image756.jpg"/><Relationship Id="rId427" Type="http://schemas.openxmlformats.org/officeDocument/2006/relationships/image" Target="media/image318.jpg"/><Relationship Id="rId634" Type="http://schemas.openxmlformats.org/officeDocument/2006/relationships/footer" Target="footer84.xml"/><Relationship Id="rId841" Type="http://schemas.openxmlformats.org/officeDocument/2006/relationships/image" Target="media/image612.jpg"/><Relationship Id="rId1264" Type="http://schemas.openxmlformats.org/officeDocument/2006/relationships/image" Target="media/image891.jpg"/><Relationship Id="rId1471" Type="http://schemas.openxmlformats.org/officeDocument/2006/relationships/image" Target="media/image1020.jpg"/><Relationship Id="rId1569" Type="http://schemas.openxmlformats.org/officeDocument/2006/relationships/footer" Target="footer243.xml"/><Relationship Id="rId701" Type="http://schemas.openxmlformats.org/officeDocument/2006/relationships/image" Target="media/image514.jpg"/><Relationship Id="rId939" Type="http://schemas.openxmlformats.org/officeDocument/2006/relationships/header" Target="header131.xml"/><Relationship Id="rId1124" Type="http://schemas.openxmlformats.org/officeDocument/2006/relationships/image" Target="media/image799.jpg"/><Relationship Id="rId1331" Type="http://schemas.openxmlformats.org/officeDocument/2006/relationships/footer" Target="footer199.xml"/><Relationship Id="rId1776" Type="http://schemas.openxmlformats.org/officeDocument/2006/relationships/header" Target="header284.xml"/><Relationship Id="rId68" Type="http://schemas.openxmlformats.org/officeDocument/2006/relationships/footer" Target="footer10.xml"/><Relationship Id="rId1429" Type="http://schemas.openxmlformats.org/officeDocument/2006/relationships/image" Target="media/image990.jpg"/><Relationship Id="rId1636" Type="http://schemas.openxmlformats.org/officeDocument/2006/relationships/footer" Target="footer258.xml"/><Relationship Id="rId1843" Type="http://schemas.openxmlformats.org/officeDocument/2006/relationships/header" Target="header300.xml"/><Relationship Id="rId1703" Type="http://schemas.openxmlformats.org/officeDocument/2006/relationships/footer" Target="footer273.xml"/><Relationship Id="rId284" Type="http://schemas.openxmlformats.org/officeDocument/2006/relationships/image" Target="media/image193.jpg"/><Relationship Id="rId491" Type="http://schemas.openxmlformats.org/officeDocument/2006/relationships/image" Target="media/image370.jpg"/><Relationship Id="rId144" Type="http://schemas.openxmlformats.org/officeDocument/2006/relationships/footer" Target="footer29.xml"/><Relationship Id="rId589" Type="http://schemas.openxmlformats.org/officeDocument/2006/relationships/image" Target="media/image438.jpg"/><Relationship Id="rId796" Type="http://schemas.openxmlformats.org/officeDocument/2006/relationships/image" Target="media/image579.jpg"/><Relationship Id="rId351" Type="http://schemas.openxmlformats.org/officeDocument/2006/relationships/image" Target="media/image254.jpg"/><Relationship Id="rId449" Type="http://schemas.openxmlformats.org/officeDocument/2006/relationships/header" Target="header60.xml"/><Relationship Id="rId656" Type="http://schemas.openxmlformats.org/officeDocument/2006/relationships/image" Target="media/image481.jpg"/><Relationship Id="rId863" Type="http://schemas.openxmlformats.org/officeDocument/2006/relationships/footer" Target="footer118.xml"/><Relationship Id="rId1079" Type="http://schemas.openxmlformats.org/officeDocument/2006/relationships/image" Target="media/image772.jpg"/><Relationship Id="rId1286" Type="http://schemas.openxmlformats.org/officeDocument/2006/relationships/header" Target="header191.xml"/><Relationship Id="rId1493" Type="http://schemas.openxmlformats.org/officeDocument/2006/relationships/image" Target="media/image1036.jpg"/><Relationship Id="rId211" Type="http://schemas.openxmlformats.org/officeDocument/2006/relationships/image" Target="media/image132.jpg"/><Relationship Id="rId309" Type="http://schemas.openxmlformats.org/officeDocument/2006/relationships/image" Target="media/image218.jpg"/><Relationship Id="rId516" Type="http://schemas.openxmlformats.org/officeDocument/2006/relationships/footer" Target="footer63.xml"/><Relationship Id="rId1146" Type="http://schemas.openxmlformats.org/officeDocument/2006/relationships/image" Target="media/image815.jpg"/><Relationship Id="rId1798" Type="http://schemas.openxmlformats.org/officeDocument/2006/relationships/image" Target="media/image1221.jpg"/><Relationship Id="rId723" Type="http://schemas.openxmlformats.org/officeDocument/2006/relationships/image" Target="media/image530.jpg"/><Relationship Id="rId930" Type="http://schemas.openxmlformats.org/officeDocument/2006/relationships/footer" Target="footer129.xml"/><Relationship Id="rId1006" Type="http://schemas.openxmlformats.org/officeDocument/2006/relationships/header" Target="header142.xml"/><Relationship Id="rId1353" Type="http://schemas.openxmlformats.org/officeDocument/2006/relationships/image" Target="media/image944.jpg"/><Relationship Id="rId1560" Type="http://schemas.openxmlformats.org/officeDocument/2006/relationships/footer" Target="footer239.xml"/><Relationship Id="rId1658" Type="http://schemas.openxmlformats.org/officeDocument/2006/relationships/footer" Target="footer261.xml"/><Relationship Id="rId1865" Type="http://schemas.openxmlformats.org/officeDocument/2006/relationships/footer" Target="footer305.xml"/><Relationship Id="rId1213" Type="http://schemas.openxmlformats.org/officeDocument/2006/relationships/footer" Target="footer176.xml"/><Relationship Id="rId1420" Type="http://schemas.openxmlformats.org/officeDocument/2006/relationships/image" Target="media/image987.jpg"/><Relationship Id="rId1518" Type="http://schemas.openxmlformats.org/officeDocument/2006/relationships/image" Target="media/image1049.jpg"/><Relationship Id="rId1725" Type="http://schemas.openxmlformats.org/officeDocument/2006/relationships/image" Target="media/image1172.jpg"/><Relationship Id="rId17" Type="http://schemas.openxmlformats.org/officeDocument/2006/relationships/image" Target="media/image10.jpg"/><Relationship Id="rId166" Type="http://schemas.openxmlformats.org/officeDocument/2006/relationships/image" Target="media/image99.jpg"/><Relationship Id="rId373" Type="http://schemas.openxmlformats.org/officeDocument/2006/relationships/header" Target="header51.xml"/><Relationship Id="rId580" Type="http://schemas.openxmlformats.org/officeDocument/2006/relationships/image" Target="media/image435.jpg"/><Relationship Id="rId1" Type="http://schemas.openxmlformats.org/officeDocument/2006/relationships/numbering" Target="numbering.xml"/><Relationship Id="rId233" Type="http://schemas.openxmlformats.org/officeDocument/2006/relationships/image" Target="media/image154.jpg"/><Relationship Id="rId440" Type="http://schemas.openxmlformats.org/officeDocument/2006/relationships/header" Target="header57.xml"/><Relationship Id="rId678" Type="http://schemas.openxmlformats.org/officeDocument/2006/relationships/header" Target="header92.xml"/><Relationship Id="rId885" Type="http://schemas.openxmlformats.org/officeDocument/2006/relationships/header" Target="header123.xml"/><Relationship Id="rId1070" Type="http://schemas.openxmlformats.org/officeDocument/2006/relationships/image" Target="media/image763.jpg"/><Relationship Id="rId300" Type="http://schemas.openxmlformats.org/officeDocument/2006/relationships/image" Target="media/image209.jpg"/><Relationship Id="rId538" Type="http://schemas.openxmlformats.org/officeDocument/2006/relationships/header" Target="header66.xml"/><Relationship Id="rId745" Type="http://schemas.openxmlformats.org/officeDocument/2006/relationships/image" Target="media/image546.jpg"/><Relationship Id="rId952" Type="http://schemas.openxmlformats.org/officeDocument/2006/relationships/footer" Target="footer133.xml"/><Relationship Id="rId1168" Type="http://schemas.openxmlformats.org/officeDocument/2006/relationships/image" Target="media/image831.jpg"/><Relationship Id="rId1375" Type="http://schemas.openxmlformats.org/officeDocument/2006/relationships/image" Target="media/image960.jpg"/><Relationship Id="rId1582" Type="http://schemas.openxmlformats.org/officeDocument/2006/relationships/image" Target="media/image1089.jpg"/><Relationship Id="rId81" Type="http://schemas.openxmlformats.org/officeDocument/2006/relationships/footer" Target="footer13.xml"/><Relationship Id="rId605" Type="http://schemas.openxmlformats.org/officeDocument/2006/relationships/image" Target="media/image448.jpg"/><Relationship Id="rId812" Type="http://schemas.openxmlformats.org/officeDocument/2006/relationships/header" Target="header110.xml"/><Relationship Id="rId1028" Type="http://schemas.openxmlformats.org/officeDocument/2006/relationships/header" Target="header146.xml"/><Relationship Id="rId1235" Type="http://schemas.openxmlformats.org/officeDocument/2006/relationships/footer" Target="footer181.xml"/><Relationship Id="rId1442" Type="http://schemas.openxmlformats.org/officeDocument/2006/relationships/header" Target="header220.xml"/><Relationship Id="rId1887" Type="http://schemas.openxmlformats.org/officeDocument/2006/relationships/image" Target="media/image1262.jpg"/><Relationship Id="rId1302" Type="http://schemas.openxmlformats.org/officeDocument/2006/relationships/image" Target="media/image911.jpg"/><Relationship Id="rId1747" Type="http://schemas.openxmlformats.org/officeDocument/2006/relationships/image" Target="media/image1188.jpg"/><Relationship Id="rId39" Type="http://schemas.openxmlformats.org/officeDocument/2006/relationships/footer" Target="footer6.xml"/><Relationship Id="rId1607" Type="http://schemas.openxmlformats.org/officeDocument/2006/relationships/header" Target="header252.xml"/><Relationship Id="rId1814" Type="http://schemas.openxmlformats.org/officeDocument/2006/relationships/footer" Target="footer293.xml"/><Relationship Id="rId188" Type="http://schemas.openxmlformats.org/officeDocument/2006/relationships/image" Target="media/image109.jpg"/><Relationship Id="rId395" Type="http://schemas.openxmlformats.org/officeDocument/2006/relationships/header" Target="header52.xml"/><Relationship Id="rId255" Type="http://schemas.openxmlformats.org/officeDocument/2006/relationships/header" Target="header42.xml"/><Relationship Id="rId462" Type="http://schemas.openxmlformats.org/officeDocument/2006/relationships/image" Target="media/image341.jpg"/><Relationship Id="rId1092" Type="http://schemas.openxmlformats.org/officeDocument/2006/relationships/image" Target="media/image779.jpg"/><Relationship Id="rId1397" Type="http://schemas.openxmlformats.org/officeDocument/2006/relationships/footer" Target="footer211.xml"/><Relationship Id="rId115" Type="http://schemas.openxmlformats.org/officeDocument/2006/relationships/image" Target="media/image72.jpg"/><Relationship Id="rId322" Type="http://schemas.openxmlformats.org/officeDocument/2006/relationships/image" Target="media/image231.jpg"/><Relationship Id="rId767" Type="http://schemas.openxmlformats.org/officeDocument/2006/relationships/image" Target="media/image562.jpg"/><Relationship Id="rId974" Type="http://schemas.openxmlformats.org/officeDocument/2006/relationships/image" Target="media/image697.jpg"/><Relationship Id="rId627" Type="http://schemas.openxmlformats.org/officeDocument/2006/relationships/image" Target="media/image464.jpg"/><Relationship Id="rId834" Type="http://schemas.openxmlformats.org/officeDocument/2006/relationships/footer" Target="footer113.xml"/><Relationship Id="rId1257" Type="http://schemas.openxmlformats.org/officeDocument/2006/relationships/image" Target="media/image884.jpg"/><Relationship Id="rId1464" Type="http://schemas.openxmlformats.org/officeDocument/2006/relationships/footer" Target="footer224.xml"/><Relationship Id="rId1671" Type="http://schemas.openxmlformats.org/officeDocument/2006/relationships/image" Target="media/image1142.jpg"/><Relationship Id="rId901" Type="http://schemas.openxmlformats.org/officeDocument/2006/relationships/image" Target="media/image654.jpg"/><Relationship Id="rId1117" Type="http://schemas.openxmlformats.org/officeDocument/2006/relationships/footer" Target="footer160.xml"/><Relationship Id="rId1324" Type="http://schemas.openxmlformats.org/officeDocument/2006/relationships/image" Target="media/image927.jpg"/><Relationship Id="rId1531" Type="http://schemas.openxmlformats.org/officeDocument/2006/relationships/image" Target="media/image1062.jpg"/><Relationship Id="rId1769" Type="http://schemas.openxmlformats.org/officeDocument/2006/relationships/image" Target="media/image1204.jpg"/><Relationship Id="rId30" Type="http://schemas.openxmlformats.org/officeDocument/2006/relationships/image" Target="media/image23.jpg"/><Relationship Id="rId1629" Type="http://schemas.openxmlformats.org/officeDocument/2006/relationships/image" Target="media/image1118.jpg"/><Relationship Id="rId1836" Type="http://schemas.openxmlformats.org/officeDocument/2006/relationships/image" Target="media/image1241.jpg"/><Relationship Id="rId277" Type="http://schemas.openxmlformats.org/officeDocument/2006/relationships/image" Target="media/image186.jpg"/><Relationship Id="rId484" Type="http://schemas.openxmlformats.org/officeDocument/2006/relationships/image" Target="media/image363.jpg"/><Relationship Id="rId137" Type="http://schemas.openxmlformats.org/officeDocument/2006/relationships/image" Target="media/image82.jpg"/><Relationship Id="rId344" Type="http://schemas.openxmlformats.org/officeDocument/2006/relationships/image" Target="media/image247.jpg"/><Relationship Id="rId691" Type="http://schemas.openxmlformats.org/officeDocument/2006/relationships/image" Target="media/image504.jpg"/><Relationship Id="rId789" Type="http://schemas.openxmlformats.org/officeDocument/2006/relationships/header" Target="header106.xml"/><Relationship Id="rId996" Type="http://schemas.openxmlformats.org/officeDocument/2006/relationships/header" Target="header141.xml"/><Relationship Id="rId551" Type="http://schemas.openxmlformats.org/officeDocument/2006/relationships/image" Target="media/image418.jpg"/><Relationship Id="rId649" Type="http://schemas.openxmlformats.org/officeDocument/2006/relationships/footer" Target="footer85.xml"/><Relationship Id="rId856" Type="http://schemas.openxmlformats.org/officeDocument/2006/relationships/image" Target="media/image621.jpg"/><Relationship Id="rId1181" Type="http://schemas.openxmlformats.org/officeDocument/2006/relationships/image" Target="media/image838.jpg"/><Relationship Id="rId1279" Type="http://schemas.openxmlformats.org/officeDocument/2006/relationships/image" Target="media/image900.jpg"/><Relationship Id="rId1486" Type="http://schemas.openxmlformats.org/officeDocument/2006/relationships/footer" Target="footer228.xml"/><Relationship Id="rId204" Type="http://schemas.openxmlformats.org/officeDocument/2006/relationships/image" Target="media/image125.jpg"/><Relationship Id="rId411" Type="http://schemas.openxmlformats.org/officeDocument/2006/relationships/image" Target="media/image302.jpg"/><Relationship Id="rId509" Type="http://schemas.openxmlformats.org/officeDocument/2006/relationships/image" Target="media/image388.jpg"/><Relationship Id="rId1041" Type="http://schemas.openxmlformats.org/officeDocument/2006/relationships/image" Target="media/image746.jpg"/><Relationship Id="rId1139" Type="http://schemas.openxmlformats.org/officeDocument/2006/relationships/image" Target="media/image808.jpg"/><Relationship Id="rId1346" Type="http://schemas.openxmlformats.org/officeDocument/2006/relationships/footer" Target="footer203.xml"/><Relationship Id="rId1693" Type="http://schemas.openxmlformats.org/officeDocument/2006/relationships/image" Target="media/image1152.jpg"/><Relationship Id="rId716" Type="http://schemas.openxmlformats.org/officeDocument/2006/relationships/image" Target="media/image523.jpg"/><Relationship Id="rId923" Type="http://schemas.openxmlformats.org/officeDocument/2006/relationships/image" Target="media/image670.jpg"/><Relationship Id="rId1553" Type="http://schemas.openxmlformats.org/officeDocument/2006/relationships/image" Target="media/image1078.jpg"/><Relationship Id="rId1760" Type="http://schemas.openxmlformats.org/officeDocument/2006/relationships/footer" Target="footer282.xml"/><Relationship Id="rId1858" Type="http://schemas.openxmlformats.org/officeDocument/2006/relationships/image" Target="media/image1251.jpg"/><Relationship Id="rId52" Type="http://schemas.openxmlformats.org/officeDocument/2006/relationships/header" Target="header8.xml"/><Relationship Id="rId1206" Type="http://schemas.openxmlformats.org/officeDocument/2006/relationships/image" Target="media/image857.jpg"/><Relationship Id="rId1413" Type="http://schemas.openxmlformats.org/officeDocument/2006/relationships/header" Target="header216.xml"/><Relationship Id="rId1620" Type="http://schemas.openxmlformats.org/officeDocument/2006/relationships/header" Target="header255.xml"/><Relationship Id="rId1718" Type="http://schemas.openxmlformats.org/officeDocument/2006/relationships/image" Target="media/image1165.jpg"/><Relationship Id="rId299" Type="http://schemas.openxmlformats.org/officeDocument/2006/relationships/image" Target="media/image208.jpg"/><Relationship Id="rId159" Type="http://schemas.openxmlformats.org/officeDocument/2006/relationships/footer" Target="footer32.xml"/><Relationship Id="rId366" Type="http://schemas.openxmlformats.org/officeDocument/2006/relationships/image" Target="media/image269.jpg"/><Relationship Id="rId573" Type="http://schemas.openxmlformats.org/officeDocument/2006/relationships/footer" Target="footer71.xml"/><Relationship Id="rId780" Type="http://schemas.openxmlformats.org/officeDocument/2006/relationships/image" Target="media/image569.jpg"/><Relationship Id="rId226" Type="http://schemas.openxmlformats.org/officeDocument/2006/relationships/image" Target="media/image147.jpg"/><Relationship Id="rId433" Type="http://schemas.openxmlformats.org/officeDocument/2006/relationships/image" Target="media/image324.jpg"/><Relationship Id="rId878" Type="http://schemas.openxmlformats.org/officeDocument/2006/relationships/image" Target="media/image637.jpg"/><Relationship Id="rId1063" Type="http://schemas.openxmlformats.org/officeDocument/2006/relationships/header" Target="header153.xml"/><Relationship Id="rId1270" Type="http://schemas.openxmlformats.org/officeDocument/2006/relationships/footer" Target="footer189.xml"/><Relationship Id="rId640" Type="http://schemas.openxmlformats.org/officeDocument/2006/relationships/image" Target="media/image471.jpg"/><Relationship Id="rId738" Type="http://schemas.openxmlformats.org/officeDocument/2006/relationships/image" Target="media/image539.jpg"/><Relationship Id="rId945" Type="http://schemas.openxmlformats.org/officeDocument/2006/relationships/image" Target="media/image680.jpg"/><Relationship Id="rId1368" Type="http://schemas.openxmlformats.org/officeDocument/2006/relationships/footer" Target="footer206.xml"/><Relationship Id="rId1575" Type="http://schemas.openxmlformats.org/officeDocument/2006/relationships/image" Target="media/image1088.jpg"/><Relationship Id="rId1782" Type="http://schemas.openxmlformats.org/officeDocument/2006/relationships/image" Target="media/image1211.jpg"/><Relationship Id="rId74" Type="http://schemas.openxmlformats.org/officeDocument/2006/relationships/image" Target="media/image49.jpg"/><Relationship Id="rId500" Type="http://schemas.openxmlformats.org/officeDocument/2006/relationships/image" Target="media/image379.jpg"/><Relationship Id="rId805" Type="http://schemas.openxmlformats.org/officeDocument/2006/relationships/image" Target="media/image588.jpg"/><Relationship Id="rId1130" Type="http://schemas.openxmlformats.org/officeDocument/2006/relationships/header" Target="header163.xml"/><Relationship Id="rId1228" Type="http://schemas.openxmlformats.org/officeDocument/2006/relationships/image" Target="media/image867.jpg"/><Relationship Id="rId1435" Type="http://schemas.openxmlformats.org/officeDocument/2006/relationships/image" Target="media/image996.jpg"/><Relationship Id="rId1642" Type="http://schemas.openxmlformats.org/officeDocument/2006/relationships/image" Target="media/image1125.jpg"/><Relationship Id="rId1502" Type="http://schemas.openxmlformats.org/officeDocument/2006/relationships/image" Target="media/image1039.jpg"/><Relationship Id="rId1807" Type="http://schemas.openxmlformats.org/officeDocument/2006/relationships/image" Target="media/image1224.jpg"/><Relationship Id="rId290" Type="http://schemas.openxmlformats.org/officeDocument/2006/relationships/image" Target="media/image199.jpg"/><Relationship Id="rId388" Type="http://schemas.openxmlformats.org/officeDocument/2006/relationships/image" Target="media/image285.jpg"/><Relationship Id="rId150" Type="http://schemas.openxmlformats.org/officeDocument/2006/relationships/image" Target="media/image89.jpg"/><Relationship Id="rId595" Type="http://schemas.openxmlformats.org/officeDocument/2006/relationships/header" Target="header77.xml"/><Relationship Id="rId248" Type="http://schemas.openxmlformats.org/officeDocument/2006/relationships/image" Target="media/image169.jpg"/><Relationship Id="rId455" Type="http://schemas.openxmlformats.org/officeDocument/2006/relationships/image" Target="media/image334.jpg"/><Relationship Id="rId662" Type="http://schemas.openxmlformats.org/officeDocument/2006/relationships/header" Target="header88.xml"/><Relationship Id="rId1085" Type="http://schemas.openxmlformats.org/officeDocument/2006/relationships/header" Target="header156.xml"/><Relationship Id="rId1292" Type="http://schemas.openxmlformats.org/officeDocument/2006/relationships/image" Target="media/image907.jpg"/><Relationship Id="rId108" Type="http://schemas.openxmlformats.org/officeDocument/2006/relationships/footer" Target="footer19.xml"/><Relationship Id="rId315" Type="http://schemas.openxmlformats.org/officeDocument/2006/relationships/image" Target="media/image224.jpg"/><Relationship Id="rId522" Type="http://schemas.openxmlformats.org/officeDocument/2006/relationships/image" Target="media/image395.jpg"/><Relationship Id="rId967" Type="http://schemas.openxmlformats.org/officeDocument/2006/relationships/footer" Target="footer136.xml"/><Relationship Id="rId1152" Type="http://schemas.openxmlformats.org/officeDocument/2006/relationships/image" Target="media/image821.jpg"/><Relationship Id="rId1597" Type="http://schemas.openxmlformats.org/officeDocument/2006/relationships/image" Target="media/image1098.jpg"/><Relationship Id="rId96" Type="http://schemas.openxmlformats.org/officeDocument/2006/relationships/header" Target="header17.xml"/><Relationship Id="rId827" Type="http://schemas.openxmlformats.org/officeDocument/2006/relationships/image" Target="media/image604.jpg"/><Relationship Id="rId1012" Type="http://schemas.openxmlformats.org/officeDocument/2006/relationships/image" Target="media/image723.jpg"/><Relationship Id="rId1457" Type="http://schemas.openxmlformats.org/officeDocument/2006/relationships/image" Target="media/image1012.jpg"/><Relationship Id="rId1664" Type="http://schemas.openxmlformats.org/officeDocument/2006/relationships/header" Target="header263.xml"/><Relationship Id="rId1871" Type="http://schemas.openxmlformats.org/officeDocument/2006/relationships/image" Target="media/image1258.jpg"/><Relationship Id="rId1317" Type="http://schemas.openxmlformats.org/officeDocument/2006/relationships/header" Target="header197.xml"/><Relationship Id="rId1524" Type="http://schemas.openxmlformats.org/officeDocument/2006/relationships/image" Target="media/image1055.jpg"/><Relationship Id="rId1731" Type="http://schemas.openxmlformats.org/officeDocument/2006/relationships/image" Target="media/image1178.jpg"/><Relationship Id="rId23" Type="http://schemas.openxmlformats.org/officeDocument/2006/relationships/image" Target="media/image16.jpg"/><Relationship Id="rId1829" Type="http://schemas.openxmlformats.org/officeDocument/2006/relationships/footer" Target="footer295.xml"/><Relationship Id="rId172" Type="http://schemas.openxmlformats.org/officeDocument/2006/relationships/footer" Target="footer36.xml"/><Relationship Id="rId477" Type="http://schemas.openxmlformats.org/officeDocument/2006/relationships/image" Target="media/image356.jpg"/><Relationship Id="rId684" Type="http://schemas.openxmlformats.org/officeDocument/2006/relationships/image" Target="media/image497.jpg"/><Relationship Id="rId337" Type="http://schemas.openxmlformats.org/officeDocument/2006/relationships/header" Target="header48.xml"/><Relationship Id="rId891" Type="http://schemas.openxmlformats.org/officeDocument/2006/relationships/image" Target="media/image644.jpg"/><Relationship Id="rId989" Type="http://schemas.openxmlformats.org/officeDocument/2006/relationships/image" Target="media/image712.jpg"/><Relationship Id="rId544" Type="http://schemas.openxmlformats.org/officeDocument/2006/relationships/image" Target="media/image411.jpg"/><Relationship Id="rId751" Type="http://schemas.openxmlformats.org/officeDocument/2006/relationships/image" Target="media/image552.jpg"/><Relationship Id="rId849" Type="http://schemas.openxmlformats.org/officeDocument/2006/relationships/footer" Target="footer115.xml"/><Relationship Id="rId1174" Type="http://schemas.openxmlformats.org/officeDocument/2006/relationships/header" Target="header170.xml"/><Relationship Id="rId1381" Type="http://schemas.openxmlformats.org/officeDocument/2006/relationships/image" Target="media/image966.jpg"/><Relationship Id="rId1479" Type="http://schemas.openxmlformats.org/officeDocument/2006/relationships/image" Target="media/image1028.jpg"/><Relationship Id="rId1686" Type="http://schemas.openxmlformats.org/officeDocument/2006/relationships/image" Target="media/image1151.jpg"/><Relationship Id="rId404" Type="http://schemas.openxmlformats.org/officeDocument/2006/relationships/image" Target="media/image295.jpg"/><Relationship Id="rId611" Type="http://schemas.openxmlformats.org/officeDocument/2006/relationships/header" Target="header80.xml"/><Relationship Id="rId1034" Type="http://schemas.openxmlformats.org/officeDocument/2006/relationships/image" Target="media/image739.jpg"/><Relationship Id="rId1241" Type="http://schemas.openxmlformats.org/officeDocument/2006/relationships/image" Target="media/image874.jpeg"/><Relationship Id="rId1339" Type="http://schemas.openxmlformats.org/officeDocument/2006/relationships/image" Target="media/image936.jpg"/><Relationship Id="rId709" Type="http://schemas.openxmlformats.org/officeDocument/2006/relationships/image" Target="media/image516.jpg"/><Relationship Id="rId916" Type="http://schemas.openxmlformats.org/officeDocument/2006/relationships/image" Target="media/image663.jpg"/><Relationship Id="rId1101" Type="http://schemas.openxmlformats.org/officeDocument/2006/relationships/image" Target="media/image788.jpg"/><Relationship Id="rId1546" Type="http://schemas.openxmlformats.org/officeDocument/2006/relationships/image" Target="media/image1071.jpg"/><Relationship Id="rId1753" Type="http://schemas.openxmlformats.org/officeDocument/2006/relationships/image" Target="media/image1194.jpg"/><Relationship Id="rId45" Type="http://schemas.openxmlformats.org/officeDocument/2006/relationships/image" Target="media/image32.jpg"/><Relationship Id="rId1406" Type="http://schemas.openxmlformats.org/officeDocument/2006/relationships/image" Target="media/image979.jpg"/><Relationship Id="rId1613" Type="http://schemas.openxmlformats.org/officeDocument/2006/relationships/image" Target="media/image1108.jpg"/><Relationship Id="rId1820" Type="http://schemas.openxmlformats.org/officeDocument/2006/relationships/image" Target="media/image1231.jpg"/><Relationship Id="rId194" Type="http://schemas.openxmlformats.org/officeDocument/2006/relationships/image" Target="media/image115.jpg"/><Relationship Id="rId261" Type="http://schemas.openxmlformats.org/officeDocument/2006/relationships/image" Target="media/image176.jpg"/><Relationship Id="rId499" Type="http://schemas.openxmlformats.org/officeDocument/2006/relationships/image" Target="media/image378.jpg"/><Relationship Id="rId359" Type="http://schemas.openxmlformats.org/officeDocument/2006/relationships/image" Target="media/image262.jpg"/><Relationship Id="rId566" Type="http://schemas.openxmlformats.org/officeDocument/2006/relationships/image" Target="media/image427.jpg"/><Relationship Id="rId773" Type="http://schemas.openxmlformats.org/officeDocument/2006/relationships/header" Target="header105.xml"/><Relationship Id="rId1196" Type="http://schemas.openxmlformats.org/officeDocument/2006/relationships/header" Target="header173.xml"/><Relationship Id="rId121" Type="http://schemas.openxmlformats.org/officeDocument/2006/relationships/footer" Target="footer22.xml"/><Relationship Id="rId219" Type="http://schemas.openxmlformats.org/officeDocument/2006/relationships/image" Target="media/image140.jpg"/><Relationship Id="rId426" Type="http://schemas.openxmlformats.org/officeDocument/2006/relationships/image" Target="media/image317.jpg"/><Relationship Id="rId633" Type="http://schemas.openxmlformats.org/officeDocument/2006/relationships/header" Target="header84.xml"/><Relationship Id="rId980" Type="http://schemas.openxmlformats.org/officeDocument/2006/relationships/image" Target="media/image703.jpg"/><Relationship Id="rId1056" Type="http://schemas.openxmlformats.org/officeDocument/2006/relationships/image" Target="media/image755.jpg"/><Relationship Id="rId1263" Type="http://schemas.openxmlformats.org/officeDocument/2006/relationships/image" Target="media/image890.jpg"/><Relationship Id="rId840" Type="http://schemas.openxmlformats.org/officeDocument/2006/relationships/image" Target="media/image611.jpg"/><Relationship Id="rId938" Type="http://schemas.openxmlformats.org/officeDocument/2006/relationships/header" Target="header130.xml"/><Relationship Id="rId1470" Type="http://schemas.openxmlformats.org/officeDocument/2006/relationships/image" Target="media/image1019.jpg"/><Relationship Id="rId1568" Type="http://schemas.openxmlformats.org/officeDocument/2006/relationships/header" Target="header243.xml"/><Relationship Id="rId1775" Type="http://schemas.openxmlformats.org/officeDocument/2006/relationships/header" Target="header283.xml"/><Relationship Id="rId67" Type="http://schemas.openxmlformats.org/officeDocument/2006/relationships/header" Target="header11.xml"/><Relationship Id="rId700" Type="http://schemas.openxmlformats.org/officeDocument/2006/relationships/image" Target="media/image513.jpg"/><Relationship Id="rId1123" Type="http://schemas.openxmlformats.org/officeDocument/2006/relationships/image" Target="media/image798.jpg"/><Relationship Id="rId1330" Type="http://schemas.openxmlformats.org/officeDocument/2006/relationships/header" Target="header200.xml"/><Relationship Id="rId1428" Type="http://schemas.openxmlformats.org/officeDocument/2006/relationships/image" Target="media/image989.jpg"/><Relationship Id="rId1635" Type="http://schemas.openxmlformats.org/officeDocument/2006/relationships/header" Target="header258.xml"/><Relationship Id="rId1842" Type="http://schemas.openxmlformats.org/officeDocument/2006/relationships/footer" Target="footer299.xml"/><Relationship Id="rId1702" Type="http://schemas.openxmlformats.org/officeDocument/2006/relationships/header" Target="header273.xml"/><Relationship Id="rId283" Type="http://schemas.openxmlformats.org/officeDocument/2006/relationships/image" Target="media/image192.jpg"/><Relationship Id="rId490" Type="http://schemas.openxmlformats.org/officeDocument/2006/relationships/image" Target="media/image369.jpg"/><Relationship Id="rId143" Type="http://schemas.openxmlformats.org/officeDocument/2006/relationships/footer" Target="footer28.xml"/><Relationship Id="rId350" Type="http://schemas.openxmlformats.org/officeDocument/2006/relationships/image" Target="media/image253.jpg"/><Relationship Id="rId588" Type="http://schemas.openxmlformats.org/officeDocument/2006/relationships/footer" Target="footer75.xml"/><Relationship Id="rId795" Type="http://schemas.openxmlformats.org/officeDocument/2006/relationships/image" Target="media/image578.jpg"/><Relationship Id="rId9" Type="http://schemas.openxmlformats.org/officeDocument/2006/relationships/image" Target="media/image8.jpg"/><Relationship Id="rId210" Type="http://schemas.openxmlformats.org/officeDocument/2006/relationships/image" Target="media/image131.jpg"/><Relationship Id="rId448" Type="http://schemas.openxmlformats.org/officeDocument/2006/relationships/footer" Target="footer59.xml"/><Relationship Id="rId655" Type="http://schemas.openxmlformats.org/officeDocument/2006/relationships/image" Target="media/image480.jpg"/><Relationship Id="rId862" Type="http://schemas.openxmlformats.org/officeDocument/2006/relationships/header" Target="header119.xml"/><Relationship Id="rId1078" Type="http://schemas.openxmlformats.org/officeDocument/2006/relationships/image" Target="media/image771.jpg"/><Relationship Id="rId1285" Type="http://schemas.openxmlformats.org/officeDocument/2006/relationships/header" Target="header190.xml"/><Relationship Id="rId1492" Type="http://schemas.openxmlformats.org/officeDocument/2006/relationships/image" Target="media/image1035.jpg"/><Relationship Id="rId308" Type="http://schemas.openxmlformats.org/officeDocument/2006/relationships/image" Target="media/image217.jpg"/><Relationship Id="rId515" Type="http://schemas.openxmlformats.org/officeDocument/2006/relationships/header" Target="header63.xml"/><Relationship Id="rId722" Type="http://schemas.openxmlformats.org/officeDocument/2006/relationships/image" Target="media/image529.jpg"/><Relationship Id="rId1145" Type="http://schemas.openxmlformats.org/officeDocument/2006/relationships/image" Target="media/image814.jpg"/><Relationship Id="rId1352" Type="http://schemas.openxmlformats.org/officeDocument/2006/relationships/image" Target="media/image943.jpg"/><Relationship Id="rId1797" Type="http://schemas.openxmlformats.org/officeDocument/2006/relationships/image" Target="media/image1220.jpg"/><Relationship Id="rId89" Type="http://schemas.openxmlformats.org/officeDocument/2006/relationships/image" Target="media/image58.jpg"/><Relationship Id="rId1005" Type="http://schemas.openxmlformats.org/officeDocument/2006/relationships/image" Target="media/image722.jpg"/><Relationship Id="rId1212" Type="http://schemas.openxmlformats.org/officeDocument/2006/relationships/footer" Target="footer175.xml"/><Relationship Id="rId1657" Type="http://schemas.openxmlformats.org/officeDocument/2006/relationships/header" Target="header261.xml"/><Relationship Id="rId1864" Type="http://schemas.openxmlformats.org/officeDocument/2006/relationships/footer" Target="footer304.xml"/><Relationship Id="rId1517" Type="http://schemas.openxmlformats.org/officeDocument/2006/relationships/image" Target="media/image1048.jpg"/><Relationship Id="rId1724" Type="http://schemas.openxmlformats.org/officeDocument/2006/relationships/image" Target="media/image1171.jpg"/><Relationship Id="rId16" Type="http://schemas.openxmlformats.org/officeDocument/2006/relationships/footer" Target="footer3.xml"/><Relationship Id="rId165" Type="http://schemas.openxmlformats.org/officeDocument/2006/relationships/image" Target="media/image98.jpg"/><Relationship Id="rId372" Type="http://schemas.openxmlformats.org/officeDocument/2006/relationships/footer" Target="footer50.xml"/><Relationship Id="rId677" Type="http://schemas.openxmlformats.org/officeDocument/2006/relationships/header" Target="header91.xml"/><Relationship Id="rId232" Type="http://schemas.openxmlformats.org/officeDocument/2006/relationships/image" Target="media/image153.jpg"/><Relationship Id="rId884" Type="http://schemas.openxmlformats.org/officeDocument/2006/relationships/footer" Target="footer122.xml"/><Relationship Id="rId537" Type="http://schemas.openxmlformats.org/officeDocument/2006/relationships/footer" Target="footer65.xml"/><Relationship Id="rId744" Type="http://schemas.openxmlformats.org/officeDocument/2006/relationships/image" Target="media/image545.jpg"/><Relationship Id="rId951" Type="http://schemas.openxmlformats.org/officeDocument/2006/relationships/header" Target="header134.xml"/><Relationship Id="rId1167" Type="http://schemas.openxmlformats.org/officeDocument/2006/relationships/image" Target="media/image830.jpg"/><Relationship Id="rId1374" Type="http://schemas.openxmlformats.org/officeDocument/2006/relationships/image" Target="media/image959.jpg"/><Relationship Id="rId1581" Type="http://schemas.openxmlformats.org/officeDocument/2006/relationships/footer" Target="footer246.xml"/><Relationship Id="rId1679" Type="http://schemas.openxmlformats.org/officeDocument/2006/relationships/footer" Target="footer265.xml"/><Relationship Id="rId80" Type="http://schemas.openxmlformats.org/officeDocument/2006/relationships/header" Target="header14.xml"/><Relationship Id="rId604" Type="http://schemas.openxmlformats.org/officeDocument/2006/relationships/image" Target="media/image447.jpg"/><Relationship Id="rId811" Type="http://schemas.openxmlformats.org/officeDocument/2006/relationships/header" Target="header109.xml"/><Relationship Id="rId1027" Type="http://schemas.openxmlformats.org/officeDocument/2006/relationships/header" Target="header145.xml"/><Relationship Id="rId1234" Type="http://schemas.openxmlformats.org/officeDocument/2006/relationships/header" Target="header182.xml"/><Relationship Id="rId1441" Type="http://schemas.openxmlformats.org/officeDocument/2006/relationships/image" Target="media/image1002.jpg"/><Relationship Id="rId1886" Type="http://schemas.openxmlformats.org/officeDocument/2006/relationships/image" Target="media/image1261.jpg"/><Relationship Id="rId909" Type="http://schemas.openxmlformats.org/officeDocument/2006/relationships/footer" Target="footer124.xml"/><Relationship Id="rId1301" Type="http://schemas.openxmlformats.org/officeDocument/2006/relationships/image" Target="media/image910.jpg"/><Relationship Id="rId1539" Type="http://schemas.openxmlformats.org/officeDocument/2006/relationships/footer" Target="footer235.xml"/><Relationship Id="rId1746" Type="http://schemas.openxmlformats.org/officeDocument/2006/relationships/image" Target="media/image1187.jpg"/><Relationship Id="rId38" Type="http://schemas.openxmlformats.org/officeDocument/2006/relationships/header" Target="header6.xml"/><Relationship Id="rId1606" Type="http://schemas.openxmlformats.org/officeDocument/2006/relationships/footer" Target="footer251.xml"/><Relationship Id="rId1813" Type="http://schemas.openxmlformats.org/officeDocument/2006/relationships/footer" Target="footer292.xml"/><Relationship Id="rId187" Type="http://schemas.openxmlformats.org/officeDocument/2006/relationships/image" Target="media/image108.jpg"/><Relationship Id="rId394" Type="http://schemas.openxmlformats.org/officeDocument/2006/relationships/image" Target="media/image291.jpg"/><Relationship Id="rId254" Type="http://schemas.openxmlformats.org/officeDocument/2006/relationships/footer" Target="footer41.xml"/><Relationship Id="rId699" Type="http://schemas.openxmlformats.org/officeDocument/2006/relationships/image" Target="media/image512.jpg"/><Relationship Id="rId1091" Type="http://schemas.openxmlformats.org/officeDocument/2006/relationships/image" Target="media/image778.jpg"/><Relationship Id="rId114" Type="http://schemas.openxmlformats.org/officeDocument/2006/relationships/image" Target="media/image71.jpg"/><Relationship Id="rId461" Type="http://schemas.openxmlformats.org/officeDocument/2006/relationships/image" Target="media/image340.jpg"/><Relationship Id="rId559" Type="http://schemas.openxmlformats.org/officeDocument/2006/relationships/image" Target="media/image420.jpg"/><Relationship Id="rId766" Type="http://schemas.openxmlformats.org/officeDocument/2006/relationships/image" Target="media/image561.jpg"/><Relationship Id="rId1189" Type="http://schemas.openxmlformats.org/officeDocument/2006/relationships/image" Target="media/image846.jpg"/><Relationship Id="rId1396" Type="http://schemas.openxmlformats.org/officeDocument/2006/relationships/header" Target="header212.xml"/><Relationship Id="rId321" Type="http://schemas.openxmlformats.org/officeDocument/2006/relationships/image" Target="media/image230.jpg"/><Relationship Id="rId419" Type="http://schemas.openxmlformats.org/officeDocument/2006/relationships/image" Target="media/image310.jpg"/><Relationship Id="rId626" Type="http://schemas.openxmlformats.org/officeDocument/2006/relationships/image" Target="media/image463.jpg"/><Relationship Id="rId973" Type="http://schemas.openxmlformats.org/officeDocument/2006/relationships/image" Target="media/image696.jpg"/><Relationship Id="rId1049" Type="http://schemas.openxmlformats.org/officeDocument/2006/relationships/image" Target="media/image748.jpg"/><Relationship Id="rId1256" Type="http://schemas.openxmlformats.org/officeDocument/2006/relationships/footer" Target="footer186.xml"/><Relationship Id="rId833" Type="http://schemas.openxmlformats.org/officeDocument/2006/relationships/footer" Target="footer112.xml"/><Relationship Id="rId1116" Type="http://schemas.openxmlformats.org/officeDocument/2006/relationships/header" Target="header161.xml"/><Relationship Id="rId1463" Type="http://schemas.openxmlformats.org/officeDocument/2006/relationships/footer" Target="footer223.xml"/><Relationship Id="rId1670" Type="http://schemas.openxmlformats.org/officeDocument/2006/relationships/image" Target="media/image1141.jpg"/><Relationship Id="rId1768" Type="http://schemas.openxmlformats.org/officeDocument/2006/relationships/image" Target="media/image1203.jpg"/><Relationship Id="rId900" Type="http://schemas.openxmlformats.org/officeDocument/2006/relationships/image" Target="media/image653.jpg"/><Relationship Id="rId1323" Type="http://schemas.openxmlformats.org/officeDocument/2006/relationships/image" Target="media/image926.jpg"/><Relationship Id="rId1530" Type="http://schemas.openxmlformats.org/officeDocument/2006/relationships/image" Target="media/image1061.jpg"/><Relationship Id="rId1628" Type="http://schemas.openxmlformats.org/officeDocument/2006/relationships/image" Target="media/image1117.jpg"/><Relationship Id="rId1835" Type="http://schemas.openxmlformats.org/officeDocument/2006/relationships/image" Target="media/image1240.jpg"/><Relationship Id="rId276" Type="http://schemas.openxmlformats.org/officeDocument/2006/relationships/image" Target="media/image185.jpg"/><Relationship Id="rId483" Type="http://schemas.openxmlformats.org/officeDocument/2006/relationships/image" Target="media/image362.jpg"/><Relationship Id="rId690" Type="http://schemas.openxmlformats.org/officeDocument/2006/relationships/image" Target="media/image503.jpg"/><Relationship Id="rId136" Type="http://schemas.openxmlformats.org/officeDocument/2006/relationships/image" Target="media/image81.jpg"/><Relationship Id="rId343" Type="http://schemas.openxmlformats.org/officeDocument/2006/relationships/image" Target="media/image246.jpg"/><Relationship Id="rId550" Type="http://schemas.openxmlformats.org/officeDocument/2006/relationships/image" Target="media/image417.jpg"/><Relationship Id="rId788" Type="http://schemas.openxmlformats.org/officeDocument/2006/relationships/image" Target="media/image577.jpg"/><Relationship Id="rId995" Type="http://schemas.openxmlformats.org/officeDocument/2006/relationships/footer" Target="footer140.xml"/><Relationship Id="rId1180" Type="http://schemas.openxmlformats.org/officeDocument/2006/relationships/image" Target="media/image837.jpg"/><Relationship Id="rId203" Type="http://schemas.openxmlformats.org/officeDocument/2006/relationships/image" Target="media/image124.jpg"/><Relationship Id="rId648" Type="http://schemas.openxmlformats.org/officeDocument/2006/relationships/header" Target="header86.xml"/><Relationship Id="rId855" Type="http://schemas.openxmlformats.org/officeDocument/2006/relationships/image" Target="media/image620.jpg"/><Relationship Id="rId1040" Type="http://schemas.openxmlformats.org/officeDocument/2006/relationships/image" Target="media/image745.jpg"/><Relationship Id="rId1278" Type="http://schemas.openxmlformats.org/officeDocument/2006/relationships/image" Target="media/image899.jpg"/><Relationship Id="rId1485" Type="http://schemas.openxmlformats.org/officeDocument/2006/relationships/header" Target="header228.xml"/><Relationship Id="rId1692" Type="http://schemas.openxmlformats.org/officeDocument/2006/relationships/footer" Target="footer270.xml"/><Relationship Id="rId410" Type="http://schemas.openxmlformats.org/officeDocument/2006/relationships/image" Target="media/image301.jpg"/><Relationship Id="rId508" Type="http://schemas.openxmlformats.org/officeDocument/2006/relationships/image" Target="media/image387.jpg"/><Relationship Id="rId715" Type="http://schemas.openxmlformats.org/officeDocument/2006/relationships/image" Target="media/image522.jpg"/><Relationship Id="rId922" Type="http://schemas.openxmlformats.org/officeDocument/2006/relationships/image" Target="media/image669.jpg"/><Relationship Id="rId1138" Type="http://schemas.openxmlformats.org/officeDocument/2006/relationships/image" Target="media/image807.jpg"/><Relationship Id="rId1345" Type="http://schemas.openxmlformats.org/officeDocument/2006/relationships/footer" Target="footer202.xml"/><Relationship Id="rId1552" Type="http://schemas.openxmlformats.org/officeDocument/2006/relationships/image" Target="media/image1077.jpg"/><Relationship Id="rId1205" Type="http://schemas.openxmlformats.org/officeDocument/2006/relationships/image" Target="media/image856.jpg"/><Relationship Id="rId1857" Type="http://schemas.openxmlformats.org/officeDocument/2006/relationships/image" Target="media/image1250.jpg"/><Relationship Id="rId51" Type="http://schemas.openxmlformats.org/officeDocument/2006/relationships/header" Target="header7.xml"/><Relationship Id="rId1412" Type="http://schemas.openxmlformats.org/officeDocument/2006/relationships/footer" Target="footer215.xml"/><Relationship Id="rId1717" Type="http://schemas.openxmlformats.org/officeDocument/2006/relationships/image" Target="media/image1164.jpg"/><Relationship Id="rId298" Type="http://schemas.openxmlformats.org/officeDocument/2006/relationships/image" Target="media/image207.jpg"/><Relationship Id="rId158" Type="http://schemas.openxmlformats.org/officeDocument/2006/relationships/footer" Target="footer31.xml"/><Relationship Id="rId365" Type="http://schemas.openxmlformats.org/officeDocument/2006/relationships/image" Target="media/image268.jpg"/><Relationship Id="rId572" Type="http://schemas.openxmlformats.org/officeDocument/2006/relationships/footer" Target="footer70.xml"/><Relationship Id="rId225" Type="http://schemas.openxmlformats.org/officeDocument/2006/relationships/image" Target="media/image146.jpg"/><Relationship Id="rId432" Type="http://schemas.openxmlformats.org/officeDocument/2006/relationships/image" Target="media/image323.jpg"/><Relationship Id="rId877" Type="http://schemas.openxmlformats.org/officeDocument/2006/relationships/image" Target="media/image636.jpg"/><Relationship Id="rId1062" Type="http://schemas.openxmlformats.org/officeDocument/2006/relationships/footer" Target="footer152.xml"/><Relationship Id="rId737" Type="http://schemas.openxmlformats.org/officeDocument/2006/relationships/image" Target="media/image538.jpg"/><Relationship Id="rId944" Type="http://schemas.openxmlformats.org/officeDocument/2006/relationships/image" Target="media/image679.jpg"/><Relationship Id="rId1367" Type="http://schemas.openxmlformats.org/officeDocument/2006/relationships/footer" Target="footer205.xml"/><Relationship Id="rId1574" Type="http://schemas.openxmlformats.org/officeDocument/2006/relationships/image" Target="media/image1087.jpg"/><Relationship Id="rId1781" Type="http://schemas.openxmlformats.org/officeDocument/2006/relationships/image" Target="media/image1210.jpg"/><Relationship Id="rId73" Type="http://schemas.openxmlformats.org/officeDocument/2006/relationships/image" Target="media/image48.jpg"/><Relationship Id="rId804" Type="http://schemas.openxmlformats.org/officeDocument/2006/relationships/image" Target="media/image587.jpg"/><Relationship Id="rId1227" Type="http://schemas.openxmlformats.org/officeDocument/2006/relationships/footer" Target="footer180.xml"/><Relationship Id="rId1434" Type="http://schemas.openxmlformats.org/officeDocument/2006/relationships/image" Target="media/image995.jpg"/><Relationship Id="rId1641" Type="http://schemas.openxmlformats.org/officeDocument/2006/relationships/image" Target="media/image1124.jpg"/><Relationship Id="rId1879" Type="http://schemas.openxmlformats.org/officeDocument/2006/relationships/image" Target="media/image1260.jpg"/><Relationship Id="rId1501" Type="http://schemas.openxmlformats.org/officeDocument/2006/relationships/footer" Target="footer231.xml"/><Relationship Id="rId1739" Type="http://schemas.openxmlformats.org/officeDocument/2006/relationships/footer" Target="footer278.xml"/><Relationship Id="rId1806" Type="http://schemas.openxmlformats.org/officeDocument/2006/relationships/image" Target="media/image1223.jpg"/><Relationship Id="rId387" Type="http://schemas.openxmlformats.org/officeDocument/2006/relationships/image" Target="media/image284.jpg"/><Relationship Id="rId594" Type="http://schemas.openxmlformats.org/officeDocument/2006/relationships/header" Target="header76.xml"/><Relationship Id="rId247" Type="http://schemas.openxmlformats.org/officeDocument/2006/relationships/image" Target="media/image168.jpg"/><Relationship Id="rId899" Type="http://schemas.openxmlformats.org/officeDocument/2006/relationships/image" Target="media/image652.jpg"/><Relationship Id="rId1084" Type="http://schemas.openxmlformats.org/officeDocument/2006/relationships/footer" Target="footer155.xml"/><Relationship Id="rId107" Type="http://schemas.openxmlformats.org/officeDocument/2006/relationships/header" Target="header20.xml"/><Relationship Id="rId454" Type="http://schemas.openxmlformats.org/officeDocument/2006/relationships/image" Target="media/image333.jpg"/><Relationship Id="rId661" Type="http://schemas.openxmlformats.org/officeDocument/2006/relationships/image" Target="media/image486.jpg"/><Relationship Id="rId759" Type="http://schemas.openxmlformats.org/officeDocument/2006/relationships/header" Target="header100.xml"/><Relationship Id="rId966" Type="http://schemas.openxmlformats.org/officeDocument/2006/relationships/header" Target="header137.xml"/><Relationship Id="rId1291" Type="http://schemas.openxmlformats.org/officeDocument/2006/relationships/image" Target="media/image906.jpg"/><Relationship Id="rId1389" Type="http://schemas.openxmlformats.org/officeDocument/2006/relationships/image" Target="media/image968.jpg"/><Relationship Id="rId1596" Type="http://schemas.openxmlformats.org/officeDocument/2006/relationships/image" Target="media/image1097.jpg"/><Relationship Id="rId314" Type="http://schemas.openxmlformats.org/officeDocument/2006/relationships/image" Target="media/image223.jpg"/><Relationship Id="rId521" Type="http://schemas.openxmlformats.org/officeDocument/2006/relationships/image" Target="media/image394.jpg"/><Relationship Id="rId619" Type="http://schemas.openxmlformats.org/officeDocument/2006/relationships/image" Target="media/image456.jpg"/><Relationship Id="rId1151" Type="http://schemas.openxmlformats.org/officeDocument/2006/relationships/image" Target="media/image820.jpg"/><Relationship Id="rId1249" Type="http://schemas.openxmlformats.org/officeDocument/2006/relationships/image" Target="media/image882.jpg"/><Relationship Id="rId95" Type="http://schemas.openxmlformats.org/officeDocument/2006/relationships/header" Target="header16.xml"/><Relationship Id="rId826" Type="http://schemas.openxmlformats.org/officeDocument/2006/relationships/image" Target="media/image603.jpg"/><Relationship Id="rId1011" Type="http://schemas.openxmlformats.org/officeDocument/2006/relationships/footer" Target="footer144.xml"/><Relationship Id="rId1109" Type="http://schemas.openxmlformats.org/officeDocument/2006/relationships/image" Target="media/image790.jpg"/><Relationship Id="rId1456" Type="http://schemas.openxmlformats.org/officeDocument/2006/relationships/image" Target="media/image1011.jpg"/><Relationship Id="rId1663" Type="http://schemas.openxmlformats.org/officeDocument/2006/relationships/header" Target="header262.xml"/><Relationship Id="rId1870" Type="http://schemas.openxmlformats.org/officeDocument/2006/relationships/image" Target="media/image1257.jpg"/><Relationship Id="rId1316" Type="http://schemas.openxmlformats.org/officeDocument/2006/relationships/header" Target="header196.xml"/><Relationship Id="rId1523" Type="http://schemas.openxmlformats.org/officeDocument/2006/relationships/image" Target="media/image1054.jpg"/><Relationship Id="rId1730" Type="http://schemas.openxmlformats.org/officeDocument/2006/relationships/image" Target="media/image1177.jpg"/><Relationship Id="rId22" Type="http://schemas.openxmlformats.org/officeDocument/2006/relationships/image" Target="media/image15.jpg"/><Relationship Id="rId1828" Type="http://schemas.openxmlformats.org/officeDocument/2006/relationships/header" Target="header296.xml"/><Relationship Id="rId171" Type="http://schemas.openxmlformats.org/officeDocument/2006/relationships/header" Target="header36.xml"/><Relationship Id="rId269" Type="http://schemas.openxmlformats.org/officeDocument/2006/relationships/footer" Target="footer44.xml"/><Relationship Id="rId476" Type="http://schemas.openxmlformats.org/officeDocument/2006/relationships/image" Target="media/image355.jpg"/><Relationship Id="rId683" Type="http://schemas.openxmlformats.org/officeDocument/2006/relationships/image" Target="media/image496.jpg"/><Relationship Id="rId890" Type="http://schemas.openxmlformats.org/officeDocument/2006/relationships/image" Target="media/image643.jpg"/><Relationship Id="rId129" Type="http://schemas.openxmlformats.org/officeDocument/2006/relationships/image" Target="media/image80.jpg"/><Relationship Id="rId336" Type="http://schemas.openxmlformats.org/officeDocument/2006/relationships/footer" Target="footer47.xml"/><Relationship Id="rId543" Type="http://schemas.openxmlformats.org/officeDocument/2006/relationships/image" Target="media/image410.jpeg"/><Relationship Id="rId988" Type="http://schemas.openxmlformats.org/officeDocument/2006/relationships/image" Target="media/image711.jpg"/><Relationship Id="rId1173" Type="http://schemas.openxmlformats.org/officeDocument/2006/relationships/header" Target="header169.xml"/><Relationship Id="rId1380" Type="http://schemas.openxmlformats.org/officeDocument/2006/relationships/image" Target="media/image965.jpg"/><Relationship Id="rId403" Type="http://schemas.openxmlformats.org/officeDocument/2006/relationships/image" Target="media/image294.jpg"/><Relationship Id="rId750" Type="http://schemas.openxmlformats.org/officeDocument/2006/relationships/image" Target="media/image551.jpg"/><Relationship Id="rId848" Type="http://schemas.openxmlformats.org/officeDocument/2006/relationships/header" Target="header116.xml"/><Relationship Id="rId1033" Type="http://schemas.openxmlformats.org/officeDocument/2006/relationships/image" Target="media/image738.jpg"/><Relationship Id="rId1478" Type="http://schemas.openxmlformats.org/officeDocument/2006/relationships/image" Target="media/image1027.jpg"/><Relationship Id="rId1685" Type="http://schemas.openxmlformats.org/officeDocument/2006/relationships/image" Target="media/image1150.jpg"/><Relationship Id="rId610" Type="http://schemas.openxmlformats.org/officeDocument/2006/relationships/header" Target="header79.xml"/><Relationship Id="rId708" Type="http://schemas.openxmlformats.org/officeDocument/2006/relationships/footer" Target="footer96.xml"/><Relationship Id="rId915" Type="http://schemas.openxmlformats.org/officeDocument/2006/relationships/image" Target="media/image662.jpg"/><Relationship Id="rId1240" Type="http://schemas.openxmlformats.org/officeDocument/2006/relationships/image" Target="media/image873.jpg"/><Relationship Id="rId1338" Type="http://schemas.openxmlformats.org/officeDocument/2006/relationships/image" Target="media/image935.jpg"/><Relationship Id="rId1545" Type="http://schemas.openxmlformats.org/officeDocument/2006/relationships/image" Target="media/image1070.jpg"/><Relationship Id="rId1100" Type="http://schemas.openxmlformats.org/officeDocument/2006/relationships/image" Target="media/image787.jpg"/><Relationship Id="rId1405" Type="http://schemas.openxmlformats.org/officeDocument/2006/relationships/image" Target="media/image978.jpg"/><Relationship Id="rId1752" Type="http://schemas.openxmlformats.org/officeDocument/2006/relationships/image" Target="media/image1193.jpg"/><Relationship Id="rId44" Type="http://schemas.openxmlformats.org/officeDocument/2006/relationships/image" Target="media/image31.jpg"/><Relationship Id="rId1612" Type="http://schemas.openxmlformats.org/officeDocument/2006/relationships/image" Target="media/image1107.jpg"/><Relationship Id="rId193" Type="http://schemas.openxmlformats.org/officeDocument/2006/relationships/image" Target="media/image114.jpg"/><Relationship Id="rId498" Type="http://schemas.openxmlformats.org/officeDocument/2006/relationships/image" Target="media/image377.jpg"/><Relationship Id="rId260" Type="http://schemas.openxmlformats.org/officeDocument/2006/relationships/image" Target="media/image175.jpg"/><Relationship Id="rId120" Type="http://schemas.openxmlformats.org/officeDocument/2006/relationships/header" Target="header23.xml"/><Relationship Id="rId358" Type="http://schemas.openxmlformats.org/officeDocument/2006/relationships/image" Target="media/image261.jpg"/><Relationship Id="rId565" Type="http://schemas.openxmlformats.org/officeDocument/2006/relationships/image" Target="media/image426.jpg"/><Relationship Id="rId772" Type="http://schemas.openxmlformats.org/officeDocument/2006/relationships/footer" Target="footer104.xml"/><Relationship Id="rId1195" Type="http://schemas.openxmlformats.org/officeDocument/2006/relationships/header" Target="header172.xml"/><Relationship Id="rId218" Type="http://schemas.openxmlformats.org/officeDocument/2006/relationships/image" Target="media/image139.jpg"/><Relationship Id="rId425" Type="http://schemas.openxmlformats.org/officeDocument/2006/relationships/image" Target="media/image316.jpg"/><Relationship Id="rId632" Type="http://schemas.openxmlformats.org/officeDocument/2006/relationships/footer" Target="footer83.xml"/><Relationship Id="rId1055" Type="http://schemas.openxmlformats.org/officeDocument/2006/relationships/image" Target="media/image754.jpg"/><Relationship Id="rId1262" Type="http://schemas.openxmlformats.org/officeDocument/2006/relationships/image" Target="media/image889.jpg"/><Relationship Id="rId937" Type="http://schemas.openxmlformats.org/officeDocument/2006/relationships/image" Target="media/image678.jpg"/><Relationship Id="rId1122" Type="http://schemas.openxmlformats.org/officeDocument/2006/relationships/image" Target="media/image797.jpg"/><Relationship Id="rId1567" Type="http://schemas.openxmlformats.org/officeDocument/2006/relationships/footer" Target="footer242.xml"/><Relationship Id="rId1774" Type="http://schemas.openxmlformats.org/officeDocument/2006/relationships/image" Target="media/image1209.jpg"/><Relationship Id="rId66" Type="http://schemas.openxmlformats.org/officeDocument/2006/relationships/header" Target="header10.xml"/><Relationship Id="rId1427" Type="http://schemas.openxmlformats.org/officeDocument/2006/relationships/image" Target="media/image988.jpg"/><Relationship Id="rId1634" Type="http://schemas.openxmlformats.org/officeDocument/2006/relationships/footer" Target="footer257.xml"/><Relationship Id="rId1841" Type="http://schemas.openxmlformats.org/officeDocument/2006/relationships/footer" Target="footer298.xml"/><Relationship Id="rId1701" Type="http://schemas.openxmlformats.org/officeDocument/2006/relationships/footer" Target="footer272.xml"/><Relationship Id="rId282" Type="http://schemas.openxmlformats.org/officeDocument/2006/relationships/image" Target="media/image191.jpg"/><Relationship Id="rId587" Type="http://schemas.openxmlformats.org/officeDocument/2006/relationships/header" Target="header75.xml"/><Relationship Id="rId8" Type="http://schemas.openxmlformats.org/officeDocument/2006/relationships/image" Target="media/image7.jpg"/><Relationship Id="rId142" Type="http://schemas.openxmlformats.org/officeDocument/2006/relationships/header" Target="header29.xml"/><Relationship Id="rId447" Type="http://schemas.openxmlformats.org/officeDocument/2006/relationships/footer" Target="footer58.xml"/><Relationship Id="rId794" Type="http://schemas.openxmlformats.org/officeDocument/2006/relationships/footer" Target="footer108.xml"/><Relationship Id="rId1077" Type="http://schemas.openxmlformats.org/officeDocument/2006/relationships/image" Target="media/image770.jpg"/></Relationships>
</file>

<file path=word/_rels/header281.xml.rels><?xml version="1.0" encoding="UTF-8" standalone="yes"?>
<Relationships xmlns="http://schemas.openxmlformats.org/package/2006/relationships"><Relationship Id="rId1" Type="http://schemas.openxmlformats.org/officeDocument/2006/relationships/image" Target="media/image62.jpg"/></Relationships>
</file>

<file path=word/_rels/header284.xml.rels><?xml version="1.0" encoding="UTF-8" standalone="yes"?>
<Relationships xmlns="http://schemas.openxmlformats.org/package/2006/relationships"><Relationship Id="rId1" Type="http://schemas.openxmlformats.org/officeDocument/2006/relationships/image" Target="media/image62.jpg"/></Relationships>
</file>

<file path=word/_rels/header285.xml.rels><?xml version="1.0" encoding="UTF-8" standalone="yes"?>
<Relationships xmlns="http://schemas.openxmlformats.org/package/2006/relationships"><Relationship Id="rId1" Type="http://schemas.openxmlformats.org/officeDocument/2006/relationships/image" Target="media/image62.jp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138216</Words>
  <Characters>760194</Characters>
  <Application>Microsoft Office Word</Application>
  <DocSecurity>0</DocSecurity>
  <Lines>6334</Lines>
  <Paragraphs>1793</Paragraphs>
  <ScaleCrop>false</ScaleCrop>
  <Company/>
  <LinksUpToDate>false</LinksUpToDate>
  <CharactersWithSpaces>896617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Mauricio Yoc Subuyuj</dc:creator>
  <cp:keywords/>
  <cp:lastModifiedBy>Jorge Mauricio Yoc Subuyuj</cp:lastModifiedBy>
  <cp:revision>3</cp:revision>
  <dcterms:created xsi:type="dcterms:W3CDTF">2025-06-11T15:26:00Z</dcterms:created>
  <dcterms:modified xsi:type="dcterms:W3CDTF">2025-06-11T15:26:00Z</dcterms:modified>
</cp:coreProperties>
</file>